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882849" w14:textId="77777777" w:rsidR="00E37274" w:rsidRPr="00D70754" w:rsidRDefault="00E37274" w:rsidP="0063725B">
      <w:pPr>
        <w:autoSpaceDE w:val="0"/>
        <w:autoSpaceDN w:val="0"/>
        <w:adjustRightInd w:val="0"/>
        <w:snapToGrid w:val="0"/>
        <w:jc w:val="center"/>
        <w:rPr>
          <w:rFonts w:eastAsiaTheme="minorEastAsia"/>
          <w:b/>
          <w:bCs/>
          <w:sz w:val="22"/>
          <w:szCs w:val="22"/>
          <w:lang w:val="en-AU" w:eastAsia="ko-KR"/>
        </w:rPr>
      </w:pPr>
    </w:p>
    <w:p w14:paraId="297E4C71" w14:textId="77777777" w:rsidR="00E37274" w:rsidRPr="004635E5" w:rsidRDefault="00E37274" w:rsidP="0063725B">
      <w:pPr>
        <w:autoSpaceDE w:val="0"/>
        <w:autoSpaceDN w:val="0"/>
        <w:adjustRightInd w:val="0"/>
        <w:snapToGrid w:val="0"/>
        <w:jc w:val="center"/>
        <w:rPr>
          <w:b/>
          <w:bCs/>
          <w:sz w:val="22"/>
          <w:szCs w:val="22"/>
          <w:lang w:val="en-AU" w:eastAsia="en-NZ"/>
        </w:rPr>
      </w:pPr>
    </w:p>
    <w:p w14:paraId="6D474F4F" w14:textId="77777777" w:rsidR="00E37274" w:rsidRPr="004635E5" w:rsidRDefault="00E37274" w:rsidP="0063725B">
      <w:pPr>
        <w:autoSpaceDE w:val="0"/>
        <w:autoSpaceDN w:val="0"/>
        <w:adjustRightInd w:val="0"/>
        <w:snapToGrid w:val="0"/>
        <w:jc w:val="center"/>
        <w:rPr>
          <w:b/>
          <w:bCs/>
          <w:sz w:val="22"/>
          <w:szCs w:val="22"/>
          <w:lang w:val="en-AU" w:eastAsia="en-NZ"/>
        </w:rPr>
      </w:pPr>
    </w:p>
    <w:p w14:paraId="63BA75BE" w14:textId="77777777" w:rsidR="00E37274" w:rsidRPr="004635E5" w:rsidRDefault="00E37274" w:rsidP="0063725B">
      <w:pPr>
        <w:autoSpaceDE w:val="0"/>
        <w:autoSpaceDN w:val="0"/>
        <w:adjustRightInd w:val="0"/>
        <w:snapToGrid w:val="0"/>
        <w:jc w:val="center"/>
        <w:rPr>
          <w:b/>
          <w:bCs/>
          <w:sz w:val="22"/>
          <w:szCs w:val="22"/>
          <w:lang w:val="en-AU" w:eastAsia="en-NZ"/>
        </w:rPr>
      </w:pPr>
      <w:r w:rsidRPr="004635E5">
        <w:rPr>
          <w:noProof/>
          <w:sz w:val="22"/>
          <w:szCs w:val="22"/>
          <w:lang w:eastAsia="zh-CN" w:bidi="mn-Mong-CN"/>
        </w:rPr>
        <w:drawing>
          <wp:inline distT="0" distB="0" distL="0" distR="0" wp14:anchorId="122E1835" wp14:editId="0D6359F6">
            <wp:extent cx="2106295" cy="11049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0343F788" w14:textId="77777777" w:rsidR="00E37274" w:rsidRPr="004635E5" w:rsidRDefault="00E37274" w:rsidP="0063725B">
      <w:pPr>
        <w:autoSpaceDE w:val="0"/>
        <w:autoSpaceDN w:val="0"/>
        <w:adjustRightInd w:val="0"/>
        <w:snapToGrid w:val="0"/>
        <w:jc w:val="center"/>
        <w:rPr>
          <w:b/>
          <w:bCs/>
          <w:sz w:val="22"/>
          <w:szCs w:val="22"/>
          <w:lang w:val="en-AU" w:eastAsia="en-NZ"/>
        </w:rPr>
      </w:pPr>
    </w:p>
    <w:p w14:paraId="617BD965" w14:textId="77777777" w:rsidR="00E37274" w:rsidRPr="004635E5" w:rsidRDefault="00E37274" w:rsidP="0063725B">
      <w:pPr>
        <w:autoSpaceDE w:val="0"/>
        <w:autoSpaceDN w:val="0"/>
        <w:adjustRightInd w:val="0"/>
        <w:snapToGrid w:val="0"/>
        <w:jc w:val="center"/>
        <w:rPr>
          <w:b/>
          <w:bCs/>
          <w:sz w:val="22"/>
          <w:szCs w:val="22"/>
          <w:lang w:val="en-AU" w:eastAsia="en-NZ"/>
        </w:rPr>
      </w:pPr>
    </w:p>
    <w:p w14:paraId="674FF259" w14:textId="77777777" w:rsidR="00E37274" w:rsidRPr="004635E5" w:rsidRDefault="00E37274" w:rsidP="0063725B">
      <w:pPr>
        <w:adjustRightInd w:val="0"/>
        <w:snapToGrid w:val="0"/>
        <w:jc w:val="center"/>
        <w:rPr>
          <w:b/>
          <w:sz w:val="22"/>
          <w:szCs w:val="22"/>
          <w:lang w:val="en-NZ"/>
        </w:rPr>
      </w:pPr>
      <w:r w:rsidRPr="004635E5">
        <w:rPr>
          <w:b/>
          <w:sz w:val="22"/>
          <w:szCs w:val="22"/>
          <w:lang w:val="en-NZ"/>
        </w:rPr>
        <w:t xml:space="preserve">The Commission for the Conservation and Management of </w:t>
      </w:r>
    </w:p>
    <w:p w14:paraId="01113E71" w14:textId="77777777" w:rsidR="00E37274" w:rsidRPr="004635E5" w:rsidRDefault="00E37274" w:rsidP="0063725B">
      <w:pPr>
        <w:adjustRightInd w:val="0"/>
        <w:snapToGrid w:val="0"/>
        <w:jc w:val="center"/>
        <w:rPr>
          <w:b/>
          <w:sz w:val="22"/>
          <w:szCs w:val="22"/>
          <w:lang w:val="en-NZ"/>
        </w:rPr>
      </w:pPr>
      <w:r w:rsidRPr="004635E5">
        <w:rPr>
          <w:b/>
          <w:sz w:val="22"/>
          <w:szCs w:val="22"/>
          <w:lang w:val="en-NZ"/>
        </w:rPr>
        <w:t xml:space="preserve">Highly Migratory Fish Stocks in the Western and Central Pacific Ocean </w:t>
      </w:r>
    </w:p>
    <w:p w14:paraId="0D951D11" w14:textId="77777777" w:rsidR="00E37274" w:rsidRPr="004635E5" w:rsidRDefault="00E37274" w:rsidP="0063725B">
      <w:pPr>
        <w:adjustRightInd w:val="0"/>
        <w:snapToGrid w:val="0"/>
        <w:jc w:val="center"/>
        <w:rPr>
          <w:b/>
          <w:sz w:val="22"/>
          <w:szCs w:val="22"/>
          <w:lang w:val="en-NZ"/>
        </w:rPr>
      </w:pPr>
    </w:p>
    <w:p w14:paraId="2C88C881" w14:textId="77777777" w:rsidR="00E37274" w:rsidRPr="004635E5" w:rsidRDefault="00E37274" w:rsidP="0063725B">
      <w:pPr>
        <w:adjustRightInd w:val="0"/>
        <w:snapToGrid w:val="0"/>
        <w:jc w:val="center"/>
        <w:rPr>
          <w:b/>
          <w:sz w:val="22"/>
          <w:szCs w:val="22"/>
          <w:lang w:val="en-NZ"/>
        </w:rPr>
      </w:pPr>
    </w:p>
    <w:p w14:paraId="1680CC1A" w14:textId="77777777" w:rsidR="00E37274" w:rsidRPr="004635E5" w:rsidRDefault="00E37274" w:rsidP="0063725B">
      <w:pPr>
        <w:adjustRightInd w:val="0"/>
        <w:snapToGrid w:val="0"/>
        <w:jc w:val="center"/>
        <w:rPr>
          <w:b/>
          <w:sz w:val="22"/>
          <w:szCs w:val="22"/>
          <w:lang w:val="en-NZ"/>
        </w:rPr>
      </w:pPr>
    </w:p>
    <w:p w14:paraId="6622CB5C" w14:textId="77777777" w:rsidR="00E37274" w:rsidRPr="004635E5" w:rsidRDefault="00E37274" w:rsidP="0063725B">
      <w:pPr>
        <w:adjustRightInd w:val="0"/>
        <w:snapToGrid w:val="0"/>
        <w:jc w:val="center"/>
        <w:rPr>
          <w:b/>
          <w:sz w:val="22"/>
          <w:szCs w:val="22"/>
          <w:lang w:val="en-NZ"/>
        </w:rPr>
      </w:pPr>
      <w:r w:rsidRPr="004635E5">
        <w:rPr>
          <w:b/>
          <w:sz w:val="22"/>
          <w:szCs w:val="22"/>
          <w:lang w:val="en-NZ"/>
        </w:rPr>
        <w:t>Fourteenth Regular Session of the Scientific Committee</w:t>
      </w:r>
    </w:p>
    <w:p w14:paraId="5FE07CAC" w14:textId="77777777" w:rsidR="00E37274" w:rsidRPr="004635E5" w:rsidRDefault="00E37274" w:rsidP="0063725B">
      <w:pPr>
        <w:adjustRightInd w:val="0"/>
        <w:snapToGrid w:val="0"/>
        <w:jc w:val="center"/>
        <w:rPr>
          <w:b/>
          <w:sz w:val="22"/>
          <w:szCs w:val="22"/>
          <w:lang w:val="en-NZ"/>
        </w:rPr>
      </w:pPr>
    </w:p>
    <w:p w14:paraId="421BB863" w14:textId="77777777" w:rsidR="00E37274" w:rsidRPr="004635E5" w:rsidRDefault="00E37274" w:rsidP="0063725B">
      <w:pPr>
        <w:adjustRightInd w:val="0"/>
        <w:snapToGrid w:val="0"/>
        <w:jc w:val="center"/>
        <w:rPr>
          <w:b/>
          <w:sz w:val="22"/>
          <w:szCs w:val="22"/>
          <w:lang w:val="en-NZ"/>
        </w:rPr>
      </w:pPr>
      <w:r w:rsidRPr="004635E5">
        <w:rPr>
          <w:b/>
          <w:sz w:val="22"/>
          <w:szCs w:val="22"/>
          <w:lang w:val="en-NZ"/>
        </w:rPr>
        <w:t>Busan, South Korea</w:t>
      </w:r>
    </w:p>
    <w:p w14:paraId="3C7D8901" w14:textId="77777777" w:rsidR="00E37274" w:rsidRPr="004635E5" w:rsidRDefault="00E37274" w:rsidP="0063725B">
      <w:pPr>
        <w:adjustRightInd w:val="0"/>
        <w:snapToGrid w:val="0"/>
        <w:jc w:val="center"/>
        <w:rPr>
          <w:b/>
          <w:sz w:val="22"/>
          <w:szCs w:val="22"/>
          <w:lang w:val="en-NZ"/>
        </w:rPr>
      </w:pPr>
      <w:r w:rsidRPr="004635E5">
        <w:rPr>
          <w:b/>
          <w:sz w:val="22"/>
          <w:szCs w:val="22"/>
          <w:lang w:val="en-NZ"/>
        </w:rPr>
        <w:t>8–16 August 2018</w:t>
      </w:r>
    </w:p>
    <w:p w14:paraId="36FDB970" w14:textId="77777777" w:rsidR="00E37274" w:rsidRPr="004635E5" w:rsidRDefault="00E37274" w:rsidP="0063725B">
      <w:pPr>
        <w:adjustRightInd w:val="0"/>
        <w:snapToGrid w:val="0"/>
        <w:jc w:val="center"/>
        <w:rPr>
          <w:b/>
          <w:sz w:val="22"/>
          <w:szCs w:val="22"/>
          <w:lang w:val="en-NZ"/>
        </w:rPr>
      </w:pPr>
    </w:p>
    <w:p w14:paraId="3EBFE1DE" w14:textId="77777777" w:rsidR="00E37274" w:rsidRPr="004635E5" w:rsidRDefault="00E37274" w:rsidP="0063725B">
      <w:pPr>
        <w:adjustRightInd w:val="0"/>
        <w:snapToGrid w:val="0"/>
        <w:jc w:val="center"/>
        <w:rPr>
          <w:b/>
          <w:sz w:val="22"/>
          <w:szCs w:val="22"/>
          <w:lang w:val="en-NZ"/>
        </w:rPr>
      </w:pPr>
    </w:p>
    <w:p w14:paraId="6248D5DE" w14:textId="77777777" w:rsidR="00E37274" w:rsidRPr="004635E5" w:rsidRDefault="00E37274" w:rsidP="0063725B">
      <w:pPr>
        <w:adjustRightInd w:val="0"/>
        <w:snapToGrid w:val="0"/>
        <w:jc w:val="center"/>
        <w:rPr>
          <w:b/>
          <w:sz w:val="22"/>
          <w:szCs w:val="22"/>
          <w:lang w:val="en-NZ"/>
        </w:rPr>
      </w:pPr>
    </w:p>
    <w:p w14:paraId="1F4185C9" w14:textId="77777777" w:rsidR="00E37274" w:rsidRPr="004635E5" w:rsidRDefault="00E37274" w:rsidP="0063725B">
      <w:pPr>
        <w:adjustRightInd w:val="0"/>
        <w:snapToGrid w:val="0"/>
        <w:jc w:val="center"/>
        <w:rPr>
          <w:b/>
          <w:sz w:val="22"/>
          <w:szCs w:val="22"/>
          <w:lang w:val="en-NZ"/>
        </w:rPr>
      </w:pPr>
    </w:p>
    <w:p w14:paraId="2FB62538" w14:textId="77777777" w:rsidR="00E37274" w:rsidRPr="004635E5" w:rsidRDefault="00E37274" w:rsidP="0063725B">
      <w:pPr>
        <w:adjustRightInd w:val="0"/>
        <w:snapToGrid w:val="0"/>
        <w:jc w:val="center"/>
        <w:rPr>
          <w:b/>
          <w:sz w:val="22"/>
          <w:szCs w:val="22"/>
          <w:lang w:val="en-NZ"/>
        </w:rPr>
      </w:pPr>
    </w:p>
    <w:p w14:paraId="79BEADD5" w14:textId="77777777" w:rsidR="00E37274" w:rsidRPr="004635E5" w:rsidRDefault="00E37274" w:rsidP="0063725B">
      <w:pPr>
        <w:adjustRightInd w:val="0"/>
        <w:snapToGrid w:val="0"/>
        <w:jc w:val="center"/>
        <w:rPr>
          <w:b/>
          <w:sz w:val="22"/>
          <w:szCs w:val="22"/>
          <w:lang w:val="en-NZ"/>
        </w:rPr>
      </w:pPr>
    </w:p>
    <w:p w14:paraId="231FB213" w14:textId="77777777" w:rsidR="00E37274" w:rsidRPr="004635E5" w:rsidRDefault="00E37274" w:rsidP="0063725B">
      <w:pPr>
        <w:adjustRightInd w:val="0"/>
        <w:snapToGrid w:val="0"/>
        <w:jc w:val="center"/>
        <w:rPr>
          <w:b/>
          <w:sz w:val="22"/>
          <w:szCs w:val="22"/>
          <w:lang w:val="en-NZ"/>
        </w:rPr>
      </w:pPr>
    </w:p>
    <w:p w14:paraId="11FF59BF" w14:textId="77777777" w:rsidR="00E37274" w:rsidRPr="004635E5" w:rsidRDefault="00E37274" w:rsidP="0063725B">
      <w:pPr>
        <w:adjustRightInd w:val="0"/>
        <w:snapToGrid w:val="0"/>
        <w:jc w:val="center"/>
        <w:rPr>
          <w:b/>
          <w:sz w:val="22"/>
          <w:szCs w:val="22"/>
          <w:lang w:val="en-NZ"/>
        </w:rPr>
      </w:pPr>
      <w:r w:rsidRPr="004635E5">
        <w:rPr>
          <w:b/>
          <w:sz w:val="22"/>
          <w:szCs w:val="22"/>
          <w:lang w:val="en-NZ"/>
        </w:rPr>
        <w:t>SUMMARY REPORT</w:t>
      </w:r>
    </w:p>
    <w:p w14:paraId="0C22BBDF" w14:textId="77777777" w:rsidR="00E37274" w:rsidRPr="004635E5" w:rsidRDefault="00E37274" w:rsidP="0063725B">
      <w:pPr>
        <w:adjustRightInd w:val="0"/>
        <w:snapToGrid w:val="0"/>
        <w:jc w:val="center"/>
        <w:rPr>
          <w:b/>
          <w:sz w:val="22"/>
          <w:szCs w:val="22"/>
          <w:lang w:val="en-NZ"/>
        </w:rPr>
      </w:pPr>
    </w:p>
    <w:p w14:paraId="2B8E186E" w14:textId="77777777" w:rsidR="00E37274" w:rsidRPr="004635E5" w:rsidRDefault="00E37274" w:rsidP="0063725B">
      <w:pPr>
        <w:adjustRightInd w:val="0"/>
        <w:snapToGrid w:val="0"/>
        <w:jc w:val="center"/>
        <w:rPr>
          <w:b/>
          <w:sz w:val="22"/>
          <w:szCs w:val="22"/>
          <w:lang w:val="en-NZ"/>
        </w:rPr>
      </w:pPr>
    </w:p>
    <w:p w14:paraId="054BF334" w14:textId="77777777" w:rsidR="00E37274" w:rsidRPr="004635E5" w:rsidRDefault="00E37274" w:rsidP="0063725B">
      <w:pPr>
        <w:adjustRightInd w:val="0"/>
        <w:snapToGrid w:val="0"/>
        <w:jc w:val="center"/>
        <w:rPr>
          <w:b/>
          <w:sz w:val="22"/>
          <w:szCs w:val="22"/>
          <w:lang w:val="en-NZ"/>
        </w:rPr>
      </w:pPr>
    </w:p>
    <w:p w14:paraId="4DBDD10E" w14:textId="77777777" w:rsidR="00E37274" w:rsidRPr="004635E5" w:rsidRDefault="00E37274" w:rsidP="0063725B">
      <w:pPr>
        <w:adjustRightInd w:val="0"/>
        <w:snapToGrid w:val="0"/>
        <w:jc w:val="center"/>
        <w:rPr>
          <w:b/>
          <w:sz w:val="22"/>
          <w:szCs w:val="22"/>
          <w:lang w:val="en-NZ" w:eastAsia="ko-KR"/>
        </w:rPr>
      </w:pPr>
    </w:p>
    <w:p w14:paraId="0609E4A6" w14:textId="77777777" w:rsidR="00E37274" w:rsidRPr="004635E5" w:rsidRDefault="00E37274" w:rsidP="0063725B">
      <w:pPr>
        <w:adjustRightInd w:val="0"/>
        <w:snapToGrid w:val="0"/>
        <w:jc w:val="center"/>
        <w:rPr>
          <w:b/>
          <w:sz w:val="22"/>
          <w:szCs w:val="22"/>
          <w:lang w:val="en-NZ" w:eastAsia="ko-KR"/>
        </w:rPr>
      </w:pPr>
    </w:p>
    <w:p w14:paraId="4495709F" w14:textId="77777777" w:rsidR="00E37274" w:rsidRPr="004635E5" w:rsidRDefault="00E37274" w:rsidP="0063725B">
      <w:pPr>
        <w:adjustRightInd w:val="0"/>
        <w:snapToGrid w:val="0"/>
        <w:jc w:val="center"/>
        <w:rPr>
          <w:b/>
          <w:sz w:val="22"/>
          <w:szCs w:val="22"/>
          <w:lang w:val="en-NZ"/>
        </w:rPr>
      </w:pPr>
    </w:p>
    <w:p w14:paraId="340E6612" w14:textId="77777777" w:rsidR="00E37274" w:rsidRPr="004635E5" w:rsidRDefault="00E37274" w:rsidP="0063725B">
      <w:pPr>
        <w:adjustRightInd w:val="0"/>
        <w:snapToGrid w:val="0"/>
        <w:jc w:val="center"/>
        <w:rPr>
          <w:b/>
          <w:color w:val="FF0000"/>
          <w:sz w:val="22"/>
          <w:szCs w:val="22"/>
          <w:lang w:val="en-NZ" w:eastAsia="ko-KR"/>
        </w:rPr>
      </w:pPr>
    </w:p>
    <w:p w14:paraId="276E8001" w14:textId="77777777" w:rsidR="00E37274" w:rsidRPr="004635E5" w:rsidRDefault="00E37274" w:rsidP="0063725B">
      <w:pPr>
        <w:rPr>
          <w:b/>
          <w:bCs/>
          <w:sz w:val="22"/>
          <w:szCs w:val="22"/>
          <w:lang w:val="en-AU" w:eastAsia="en-NZ"/>
        </w:rPr>
      </w:pPr>
      <w:r w:rsidRPr="004635E5">
        <w:rPr>
          <w:b/>
          <w:bCs/>
          <w:sz w:val="22"/>
          <w:szCs w:val="22"/>
          <w:lang w:val="en-AU" w:eastAsia="en-NZ"/>
        </w:rPr>
        <w:br w:type="page"/>
      </w:r>
    </w:p>
    <w:p w14:paraId="55317A6F" w14:textId="77777777" w:rsidR="00E37274" w:rsidRPr="004635E5" w:rsidRDefault="00E37274" w:rsidP="0063725B">
      <w:pPr>
        <w:jc w:val="center"/>
        <w:rPr>
          <w:b/>
          <w:bCs/>
          <w:sz w:val="22"/>
          <w:szCs w:val="22"/>
          <w:lang w:val="en-AU" w:eastAsia="en-NZ"/>
        </w:rPr>
      </w:pPr>
      <w:r w:rsidRPr="004635E5">
        <w:rPr>
          <w:b/>
          <w:bCs/>
          <w:sz w:val="22"/>
          <w:szCs w:val="22"/>
          <w:lang w:val="en-AU" w:eastAsia="en-NZ"/>
        </w:rPr>
        <w:lastRenderedPageBreak/>
        <w:t>TABLE OF CONTENTS</w:t>
      </w:r>
    </w:p>
    <w:p w14:paraId="6632C685" w14:textId="77777777" w:rsidR="00E065F0" w:rsidRPr="004635E5" w:rsidRDefault="00E065F0" w:rsidP="0063725B">
      <w:pPr>
        <w:jc w:val="center"/>
        <w:rPr>
          <w:b/>
          <w:bCs/>
          <w:sz w:val="22"/>
          <w:szCs w:val="22"/>
          <w:lang w:val="en-AU" w:eastAsia="en-NZ"/>
        </w:rPr>
      </w:pPr>
    </w:p>
    <w:p w14:paraId="57D301A2" w14:textId="27226688" w:rsidR="006958E8" w:rsidRDefault="00472973">
      <w:pPr>
        <w:pStyle w:val="TOC1"/>
        <w:tabs>
          <w:tab w:val="right" w:leader="dot" w:pos="9350"/>
        </w:tabs>
        <w:rPr>
          <w:rFonts w:asciiTheme="minorHAnsi" w:eastAsiaTheme="minorEastAsia" w:hAnsiTheme="minorHAnsi" w:cstheme="minorBidi"/>
          <w:noProof/>
          <w:szCs w:val="28"/>
          <w:lang w:eastAsia="zh-CN" w:bidi="mn-Mong-CN"/>
        </w:rPr>
      </w:pPr>
      <w:r w:rsidRPr="004635E5">
        <w:rPr>
          <w:b/>
          <w:bCs/>
          <w:szCs w:val="22"/>
          <w:lang w:val="en-AU" w:eastAsia="en-NZ"/>
        </w:rPr>
        <w:fldChar w:fldCharType="begin"/>
      </w:r>
      <w:r w:rsidR="00E37274" w:rsidRPr="004635E5">
        <w:rPr>
          <w:b/>
          <w:bCs/>
          <w:szCs w:val="22"/>
          <w:lang w:val="en-AU" w:eastAsia="en-NZ"/>
        </w:rPr>
        <w:instrText xml:space="preserve"> TOC \f \h \z </w:instrText>
      </w:r>
      <w:r w:rsidRPr="004635E5">
        <w:rPr>
          <w:b/>
          <w:bCs/>
          <w:szCs w:val="22"/>
          <w:lang w:val="en-AU" w:eastAsia="en-NZ"/>
        </w:rPr>
        <w:fldChar w:fldCharType="separate"/>
      </w:r>
      <w:hyperlink w:anchor="_Toc16417999" w:history="1">
        <w:r w:rsidR="006958E8" w:rsidRPr="001F5801">
          <w:rPr>
            <w:rStyle w:val="Hyperlink"/>
            <w:b/>
            <w:bCs/>
            <w:noProof/>
            <w:lang w:val="en-AU" w:eastAsia="en-NZ"/>
          </w:rPr>
          <w:t>EXECUTIVE SUMMARY</w:t>
        </w:r>
        <w:r w:rsidR="006958E8">
          <w:rPr>
            <w:noProof/>
            <w:webHidden/>
          </w:rPr>
          <w:tab/>
        </w:r>
        <w:r w:rsidR="006958E8">
          <w:rPr>
            <w:noProof/>
            <w:webHidden/>
          </w:rPr>
          <w:fldChar w:fldCharType="begin"/>
        </w:r>
        <w:r w:rsidR="006958E8">
          <w:rPr>
            <w:noProof/>
            <w:webHidden/>
          </w:rPr>
          <w:instrText xml:space="preserve"> PAGEREF _Toc16417999 \h </w:instrText>
        </w:r>
        <w:r w:rsidR="006958E8">
          <w:rPr>
            <w:noProof/>
            <w:webHidden/>
          </w:rPr>
        </w:r>
        <w:r w:rsidR="006958E8">
          <w:rPr>
            <w:noProof/>
            <w:webHidden/>
          </w:rPr>
          <w:fldChar w:fldCharType="separate"/>
        </w:r>
        <w:r w:rsidR="00117A6F">
          <w:rPr>
            <w:noProof/>
            <w:webHidden/>
          </w:rPr>
          <w:t>iv</w:t>
        </w:r>
        <w:r w:rsidR="006958E8">
          <w:rPr>
            <w:noProof/>
            <w:webHidden/>
          </w:rPr>
          <w:fldChar w:fldCharType="end"/>
        </w:r>
      </w:hyperlink>
    </w:p>
    <w:p w14:paraId="54F278E5" w14:textId="19278204"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00" w:history="1">
        <w:r w:rsidR="006958E8" w:rsidRPr="001F5801">
          <w:rPr>
            <w:rStyle w:val="Hyperlink"/>
            <w:noProof/>
          </w:rPr>
          <w:t>AGENDA ITEM 1 — OPENING OF THE MEETING</w:t>
        </w:r>
        <w:r w:rsidR="006958E8">
          <w:rPr>
            <w:noProof/>
            <w:webHidden/>
          </w:rPr>
          <w:tab/>
        </w:r>
        <w:r w:rsidR="006958E8">
          <w:rPr>
            <w:noProof/>
            <w:webHidden/>
          </w:rPr>
          <w:fldChar w:fldCharType="begin"/>
        </w:r>
        <w:r w:rsidR="006958E8">
          <w:rPr>
            <w:noProof/>
            <w:webHidden/>
          </w:rPr>
          <w:instrText xml:space="preserve"> PAGEREF _Toc16418000 \h </w:instrText>
        </w:r>
        <w:r w:rsidR="006958E8">
          <w:rPr>
            <w:noProof/>
            <w:webHidden/>
          </w:rPr>
        </w:r>
        <w:r w:rsidR="006958E8">
          <w:rPr>
            <w:noProof/>
            <w:webHidden/>
          </w:rPr>
          <w:fldChar w:fldCharType="separate"/>
        </w:r>
        <w:r w:rsidR="00117A6F">
          <w:rPr>
            <w:noProof/>
            <w:webHidden/>
          </w:rPr>
          <w:t>iv</w:t>
        </w:r>
        <w:r w:rsidR="006958E8">
          <w:rPr>
            <w:noProof/>
            <w:webHidden/>
          </w:rPr>
          <w:fldChar w:fldCharType="end"/>
        </w:r>
      </w:hyperlink>
    </w:p>
    <w:p w14:paraId="7514C93F" w14:textId="547105EC"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01" w:history="1">
        <w:r w:rsidR="006958E8" w:rsidRPr="001F5801">
          <w:rPr>
            <w:rStyle w:val="Hyperlink"/>
            <w:noProof/>
          </w:rPr>
          <w:t>AGENDA ITEM 2 — REVIEW OF FISHERIES</w:t>
        </w:r>
        <w:r w:rsidR="006958E8">
          <w:rPr>
            <w:noProof/>
            <w:webHidden/>
          </w:rPr>
          <w:tab/>
        </w:r>
        <w:r w:rsidR="006958E8">
          <w:rPr>
            <w:noProof/>
            <w:webHidden/>
          </w:rPr>
          <w:fldChar w:fldCharType="begin"/>
        </w:r>
        <w:r w:rsidR="006958E8">
          <w:rPr>
            <w:noProof/>
            <w:webHidden/>
          </w:rPr>
          <w:instrText xml:space="preserve"> PAGEREF _Toc16418001 \h </w:instrText>
        </w:r>
        <w:r w:rsidR="006958E8">
          <w:rPr>
            <w:noProof/>
            <w:webHidden/>
          </w:rPr>
        </w:r>
        <w:r w:rsidR="006958E8">
          <w:rPr>
            <w:noProof/>
            <w:webHidden/>
          </w:rPr>
          <w:fldChar w:fldCharType="separate"/>
        </w:r>
        <w:r w:rsidR="00117A6F">
          <w:rPr>
            <w:noProof/>
            <w:webHidden/>
          </w:rPr>
          <w:t>v</w:t>
        </w:r>
        <w:r w:rsidR="006958E8">
          <w:rPr>
            <w:noProof/>
            <w:webHidden/>
          </w:rPr>
          <w:fldChar w:fldCharType="end"/>
        </w:r>
      </w:hyperlink>
    </w:p>
    <w:p w14:paraId="397970D8" w14:textId="1BBA8707"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02" w:history="1">
        <w:r w:rsidR="006958E8" w:rsidRPr="001F5801">
          <w:rPr>
            <w:rStyle w:val="Hyperlink"/>
            <w:noProof/>
          </w:rPr>
          <w:t>AGENDA ITEM 3 — DATA AND STATISTICS THEME</w:t>
        </w:r>
        <w:r w:rsidR="006958E8">
          <w:rPr>
            <w:noProof/>
            <w:webHidden/>
          </w:rPr>
          <w:tab/>
        </w:r>
        <w:r w:rsidR="006958E8">
          <w:rPr>
            <w:noProof/>
            <w:webHidden/>
          </w:rPr>
          <w:fldChar w:fldCharType="begin"/>
        </w:r>
        <w:r w:rsidR="006958E8">
          <w:rPr>
            <w:noProof/>
            <w:webHidden/>
          </w:rPr>
          <w:instrText xml:space="preserve"> PAGEREF _Toc16418002 \h </w:instrText>
        </w:r>
        <w:r w:rsidR="006958E8">
          <w:rPr>
            <w:noProof/>
            <w:webHidden/>
          </w:rPr>
        </w:r>
        <w:r w:rsidR="006958E8">
          <w:rPr>
            <w:noProof/>
            <w:webHidden/>
          </w:rPr>
          <w:fldChar w:fldCharType="separate"/>
        </w:r>
        <w:r w:rsidR="00117A6F">
          <w:rPr>
            <w:noProof/>
            <w:webHidden/>
          </w:rPr>
          <w:t>vi</w:t>
        </w:r>
        <w:r w:rsidR="006958E8">
          <w:rPr>
            <w:noProof/>
            <w:webHidden/>
          </w:rPr>
          <w:fldChar w:fldCharType="end"/>
        </w:r>
      </w:hyperlink>
    </w:p>
    <w:p w14:paraId="02EAEB29" w14:textId="2D43D525"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03" w:history="1">
        <w:r w:rsidR="006958E8" w:rsidRPr="001F5801">
          <w:rPr>
            <w:rStyle w:val="Hyperlink"/>
            <w:noProof/>
          </w:rPr>
          <w:t>AGENDA ITEM 4 — STOCK ASSESSMENT THEME</w:t>
        </w:r>
        <w:r w:rsidR="006958E8">
          <w:rPr>
            <w:noProof/>
            <w:webHidden/>
          </w:rPr>
          <w:tab/>
        </w:r>
        <w:r w:rsidR="006958E8">
          <w:rPr>
            <w:noProof/>
            <w:webHidden/>
          </w:rPr>
          <w:fldChar w:fldCharType="begin"/>
        </w:r>
        <w:r w:rsidR="006958E8">
          <w:rPr>
            <w:noProof/>
            <w:webHidden/>
          </w:rPr>
          <w:instrText xml:space="preserve"> PAGEREF _Toc16418003 \h </w:instrText>
        </w:r>
        <w:r w:rsidR="006958E8">
          <w:rPr>
            <w:noProof/>
            <w:webHidden/>
          </w:rPr>
        </w:r>
        <w:r w:rsidR="006958E8">
          <w:rPr>
            <w:noProof/>
            <w:webHidden/>
          </w:rPr>
          <w:fldChar w:fldCharType="separate"/>
        </w:r>
        <w:r w:rsidR="00117A6F">
          <w:rPr>
            <w:noProof/>
            <w:webHidden/>
          </w:rPr>
          <w:t>vii</w:t>
        </w:r>
        <w:r w:rsidR="006958E8">
          <w:rPr>
            <w:noProof/>
            <w:webHidden/>
          </w:rPr>
          <w:fldChar w:fldCharType="end"/>
        </w:r>
      </w:hyperlink>
    </w:p>
    <w:p w14:paraId="094C2B76" w14:textId="3472D366"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04" w:history="1">
        <w:r w:rsidR="006958E8" w:rsidRPr="001F5801">
          <w:rPr>
            <w:rStyle w:val="Hyperlink"/>
            <w:noProof/>
          </w:rPr>
          <w:t>AGENDA ITEM 5 — MANAGEMENT ISSUES THEME</w:t>
        </w:r>
        <w:r w:rsidR="006958E8">
          <w:rPr>
            <w:noProof/>
            <w:webHidden/>
          </w:rPr>
          <w:tab/>
        </w:r>
        <w:r w:rsidR="006958E8">
          <w:rPr>
            <w:noProof/>
            <w:webHidden/>
          </w:rPr>
          <w:fldChar w:fldCharType="begin"/>
        </w:r>
        <w:r w:rsidR="006958E8">
          <w:rPr>
            <w:noProof/>
            <w:webHidden/>
          </w:rPr>
          <w:instrText xml:space="preserve"> PAGEREF _Toc16418004 \h </w:instrText>
        </w:r>
        <w:r w:rsidR="006958E8">
          <w:rPr>
            <w:noProof/>
            <w:webHidden/>
          </w:rPr>
        </w:r>
        <w:r w:rsidR="006958E8">
          <w:rPr>
            <w:noProof/>
            <w:webHidden/>
          </w:rPr>
          <w:fldChar w:fldCharType="separate"/>
        </w:r>
        <w:r w:rsidR="00117A6F">
          <w:rPr>
            <w:noProof/>
            <w:webHidden/>
          </w:rPr>
          <w:t>xliii</w:t>
        </w:r>
        <w:r w:rsidR="006958E8">
          <w:rPr>
            <w:noProof/>
            <w:webHidden/>
          </w:rPr>
          <w:fldChar w:fldCharType="end"/>
        </w:r>
      </w:hyperlink>
    </w:p>
    <w:p w14:paraId="4A2BFDC0" w14:textId="02062C01"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05" w:history="1">
        <w:r w:rsidR="006958E8" w:rsidRPr="001F5801">
          <w:rPr>
            <w:rStyle w:val="Hyperlink"/>
            <w:noProof/>
            <w:lang w:eastAsia="ko-KR"/>
          </w:rPr>
          <w:t>AGENDA ITEM 6 — ECOSYSTEM AND BYCATCH MITIGATION THEME</w:t>
        </w:r>
        <w:r w:rsidR="006958E8">
          <w:rPr>
            <w:noProof/>
            <w:webHidden/>
          </w:rPr>
          <w:tab/>
        </w:r>
        <w:r w:rsidR="006958E8">
          <w:rPr>
            <w:noProof/>
            <w:webHidden/>
          </w:rPr>
          <w:fldChar w:fldCharType="begin"/>
        </w:r>
        <w:r w:rsidR="006958E8">
          <w:rPr>
            <w:noProof/>
            <w:webHidden/>
          </w:rPr>
          <w:instrText xml:space="preserve"> PAGEREF _Toc16418005 \h </w:instrText>
        </w:r>
        <w:r w:rsidR="006958E8">
          <w:rPr>
            <w:noProof/>
            <w:webHidden/>
          </w:rPr>
        </w:r>
        <w:r w:rsidR="006958E8">
          <w:rPr>
            <w:noProof/>
            <w:webHidden/>
          </w:rPr>
          <w:fldChar w:fldCharType="separate"/>
        </w:r>
        <w:r w:rsidR="00117A6F">
          <w:rPr>
            <w:noProof/>
            <w:webHidden/>
          </w:rPr>
          <w:t>xlviii</w:t>
        </w:r>
        <w:r w:rsidR="006958E8">
          <w:rPr>
            <w:noProof/>
            <w:webHidden/>
          </w:rPr>
          <w:fldChar w:fldCharType="end"/>
        </w:r>
      </w:hyperlink>
    </w:p>
    <w:p w14:paraId="14B27BD8" w14:textId="52D50E96"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06" w:history="1">
        <w:r w:rsidR="006958E8" w:rsidRPr="001F5801">
          <w:rPr>
            <w:rStyle w:val="Hyperlink"/>
            <w:noProof/>
          </w:rPr>
          <w:t>AGENDA ITEM 7 — OTHER RESEARCH PROJECTS</w:t>
        </w:r>
        <w:r w:rsidR="006958E8">
          <w:rPr>
            <w:noProof/>
            <w:webHidden/>
          </w:rPr>
          <w:tab/>
        </w:r>
        <w:r w:rsidR="006958E8">
          <w:rPr>
            <w:noProof/>
            <w:webHidden/>
          </w:rPr>
          <w:fldChar w:fldCharType="begin"/>
        </w:r>
        <w:r w:rsidR="006958E8">
          <w:rPr>
            <w:noProof/>
            <w:webHidden/>
          </w:rPr>
          <w:instrText xml:space="preserve"> PAGEREF _Toc16418006 \h </w:instrText>
        </w:r>
        <w:r w:rsidR="006958E8">
          <w:rPr>
            <w:noProof/>
            <w:webHidden/>
          </w:rPr>
        </w:r>
        <w:r w:rsidR="006958E8">
          <w:rPr>
            <w:noProof/>
            <w:webHidden/>
          </w:rPr>
          <w:fldChar w:fldCharType="separate"/>
        </w:r>
        <w:r w:rsidR="00117A6F">
          <w:rPr>
            <w:noProof/>
            <w:webHidden/>
          </w:rPr>
          <w:t>li</w:t>
        </w:r>
        <w:r w:rsidR="006958E8">
          <w:rPr>
            <w:noProof/>
            <w:webHidden/>
          </w:rPr>
          <w:fldChar w:fldCharType="end"/>
        </w:r>
      </w:hyperlink>
    </w:p>
    <w:p w14:paraId="1E45D481" w14:textId="7CFF254C"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07" w:history="1">
        <w:r w:rsidR="006958E8" w:rsidRPr="001F5801">
          <w:rPr>
            <w:rStyle w:val="Hyperlink"/>
            <w:noProof/>
          </w:rPr>
          <w:t>AGENDA ITEM 8 — COOPERATION WITH OTHER ORGANISATIONS</w:t>
        </w:r>
        <w:r w:rsidR="006958E8">
          <w:rPr>
            <w:noProof/>
            <w:webHidden/>
          </w:rPr>
          <w:tab/>
        </w:r>
        <w:r w:rsidR="006958E8">
          <w:rPr>
            <w:noProof/>
            <w:webHidden/>
          </w:rPr>
          <w:fldChar w:fldCharType="begin"/>
        </w:r>
        <w:r w:rsidR="006958E8">
          <w:rPr>
            <w:noProof/>
            <w:webHidden/>
          </w:rPr>
          <w:instrText xml:space="preserve"> PAGEREF _Toc16418007 \h </w:instrText>
        </w:r>
        <w:r w:rsidR="006958E8">
          <w:rPr>
            <w:noProof/>
            <w:webHidden/>
          </w:rPr>
        </w:r>
        <w:r w:rsidR="006958E8">
          <w:rPr>
            <w:noProof/>
            <w:webHidden/>
          </w:rPr>
          <w:fldChar w:fldCharType="separate"/>
        </w:r>
        <w:r w:rsidR="00117A6F">
          <w:rPr>
            <w:noProof/>
            <w:webHidden/>
          </w:rPr>
          <w:t>lii</w:t>
        </w:r>
        <w:r w:rsidR="006958E8">
          <w:rPr>
            <w:noProof/>
            <w:webHidden/>
          </w:rPr>
          <w:fldChar w:fldCharType="end"/>
        </w:r>
      </w:hyperlink>
    </w:p>
    <w:p w14:paraId="77F613D4" w14:textId="2D50F8E7"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08" w:history="1">
        <w:r w:rsidR="006958E8" w:rsidRPr="001F5801">
          <w:rPr>
            <w:rStyle w:val="Hyperlink"/>
            <w:noProof/>
          </w:rPr>
          <w:t>AGENDA ITEM 9 — SPECIAL REQUIREMENTS OF DEVELOPING STATES</w:t>
        </w:r>
        <w:r w:rsidR="006958E8" w:rsidRPr="001F5801">
          <w:rPr>
            <w:rStyle w:val="Hyperlink"/>
            <w:noProof/>
            <w:lang w:eastAsia="ko-KR"/>
          </w:rPr>
          <w:t xml:space="preserve"> </w:t>
        </w:r>
        <w:r w:rsidR="006958E8" w:rsidRPr="001F5801">
          <w:rPr>
            <w:rStyle w:val="Hyperlink"/>
            <w:noProof/>
          </w:rPr>
          <w:t>AND PARTICIPATING TERRITORIES</w:t>
        </w:r>
        <w:r w:rsidR="006958E8">
          <w:rPr>
            <w:noProof/>
            <w:webHidden/>
          </w:rPr>
          <w:tab/>
        </w:r>
        <w:r w:rsidR="006958E8">
          <w:rPr>
            <w:noProof/>
            <w:webHidden/>
          </w:rPr>
          <w:fldChar w:fldCharType="begin"/>
        </w:r>
        <w:r w:rsidR="006958E8">
          <w:rPr>
            <w:noProof/>
            <w:webHidden/>
          </w:rPr>
          <w:instrText xml:space="preserve"> PAGEREF _Toc16418008 \h </w:instrText>
        </w:r>
        <w:r w:rsidR="006958E8">
          <w:rPr>
            <w:noProof/>
            <w:webHidden/>
          </w:rPr>
        </w:r>
        <w:r w:rsidR="006958E8">
          <w:rPr>
            <w:noProof/>
            <w:webHidden/>
          </w:rPr>
          <w:fldChar w:fldCharType="separate"/>
        </w:r>
        <w:r w:rsidR="00117A6F">
          <w:rPr>
            <w:noProof/>
            <w:webHidden/>
          </w:rPr>
          <w:t>lii</w:t>
        </w:r>
        <w:r w:rsidR="006958E8">
          <w:rPr>
            <w:noProof/>
            <w:webHidden/>
          </w:rPr>
          <w:fldChar w:fldCharType="end"/>
        </w:r>
      </w:hyperlink>
    </w:p>
    <w:p w14:paraId="3663AA58" w14:textId="68B48E8E"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09" w:history="1">
        <w:r w:rsidR="006958E8" w:rsidRPr="001F5801">
          <w:rPr>
            <w:rStyle w:val="Hyperlink"/>
            <w:noProof/>
          </w:rPr>
          <w:t>AGENDA ITEM 10 — FUTURE WORK PROGRAM AND BUDGET</w:t>
        </w:r>
        <w:r w:rsidR="006958E8">
          <w:rPr>
            <w:noProof/>
            <w:webHidden/>
          </w:rPr>
          <w:tab/>
        </w:r>
        <w:r w:rsidR="006958E8">
          <w:rPr>
            <w:noProof/>
            <w:webHidden/>
          </w:rPr>
          <w:fldChar w:fldCharType="begin"/>
        </w:r>
        <w:r w:rsidR="006958E8">
          <w:rPr>
            <w:noProof/>
            <w:webHidden/>
          </w:rPr>
          <w:instrText xml:space="preserve"> PAGEREF _Toc16418009 \h </w:instrText>
        </w:r>
        <w:r w:rsidR="006958E8">
          <w:rPr>
            <w:noProof/>
            <w:webHidden/>
          </w:rPr>
        </w:r>
        <w:r w:rsidR="006958E8">
          <w:rPr>
            <w:noProof/>
            <w:webHidden/>
          </w:rPr>
          <w:fldChar w:fldCharType="separate"/>
        </w:r>
        <w:r w:rsidR="00117A6F">
          <w:rPr>
            <w:noProof/>
            <w:webHidden/>
          </w:rPr>
          <w:t>lii</w:t>
        </w:r>
        <w:r w:rsidR="006958E8">
          <w:rPr>
            <w:noProof/>
            <w:webHidden/>
          </w:rPr>
          <w:fldChar w:fldCharType="end"/>
        </w:r>
      </w:hyperlink>
    </w:p>
    <w:p w14:paraId="288AD540" w14:textId="7E7DE5AF"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10" w:history="1">
        <w:r w:rsidR="006958E8" w:rsidRPr="001F5801">
          <w:rPr>
            <w:rStyle w:val="Hyperlink"/>
            <w:noProof/>
          </w:rPr>
          <w:t>AGENDA ITEM 11 — ADMINISTRATIVE MATTERS</w:t>
        </w:r>
        <w:r w:rsidR="006958E8">
          <w:rPr>
            <w:noProof/>
            <w:webHidden/>
          </w:rPr>
          <w:tab/>
        </w:r>
        <w:r w:rsidR="006958E8">
          <w:rPr>
            <w:noProof/>
            <w:webHidden/>
          </w:rPr>
          <w:fldChar w:fldCharType="begin"/>
        </w:r>
        <w:r w:rsidR="006958E8">
          <w:rPr>
            <w:noProof/>
            <w:webHidden/>
          </w:rPr>
          <w:instrText xml:space="preserve"> PAGEREF _Toc16418010 \h </w:instrText>
        </w:r>
        <w:r w:rsidR="006958E8">
          <w:rPr>
            <w:noProof/>
            <w:webHidden/>
          </w:rPr>
        </w:r>
        <w:r w:rsidR="006958E8">
          <w:rPr>
            <w:noProof/>
            <w:webHidden/>
          </w:rPr>
          <w:fldChar w:fldCharType="separate"/>
        </w:r>
        <w:r w:rsidR="00117A6F">
          <w:rPr>
            <w:noProof/>
            <w:webHidden/>
          </w:rPr>
          <w:t>liv</w:t>
        </w:r>
        <w:r w:rsidR="006958E8">
          <w:rPr>
            <w:noProof/>
            <w:webHidden/>
          </w:rPr>
          <w:fldChar w:fldCharType="end"/>
        </w:r>
      </w:hyperlink>
    </w:p>
    <w:p w14:paraId="7123C593" w14:textId="6A3A157C"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11" w:history="1">
        <w:r w:rsidR="006958E8" w:rsidRPr="001F5801">
          <w:rPr>
            <w:rStyle w:val="Hyperlink"/>
            <w:noProof/>
          </w:rPr>
          <w:t>AGENDA ITEM 12 — OTHER MATTERS</w:t>
        </w:r>
        <w:r w:rsidR="006958E8">
          <w:rPr>
            <w:noProof/>
            <w:webHidden/>
          </w:rPr>
          <w:tab/>
        </w:r>
        <w:r w:rsidR="006958E8">
          <w:rPr>
            <w:noProof/>
            <w:webHidden/>
          </w:rPr>
          <w:fldChar w:fldCharType="begin"/>
        </w:r>
        <w:r w:rsidR="006958E8">
          <w:rPr>
            <w:noProof/>
            <w:webHidden/>
          </w:rPr>
          <w:instrText xml:space="preserve"> PAGEREF _Toc16418011 \h </w:instrText>
        </w:r>
        <w:r w:rsidR="006958E8">
          <w:rPr>
            <w:noProof/>
            <w:webHidden/>
          </w:rPr>
        </w:r>
        <w:r w:rsidR="006958E8">
          <w:rPr>
            <w:noProof/>
            <w:webHidden/>
          </w:rPr>
          <w:fldChar w:fldCharType="separate"/>
        </w:r>
        <w:r w:rsidR="00117A6F">
          <w:rPr>
            <w:noProof/>
            <w:webHidden/>
          </w:rPr>
          <w:t>liv</w:t>
        </w:r>
        <w:r w:rsidR="006958E8">
          <w:rPr>
            <w:noProof/>
            <w:webHidden/>
          </w:rPr>
          <w:fldChar w:fldCharType="end"/>
        </w:r>
      </w:hyperlink>
    </w:p>
    <w:p w14:paraId="045F83A1" w14:textId="16734D56"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12" w:history="1">
        <w:r w:rsidR="006958E8" w:rsidRPr="001F5801">
          <w:rPr>
            <w:rStyle w:val="Hyperlink"/>
            <w:noProof/>
          </w:rPr>
          <w:t>AGENDA ITEM 13 — ADOPTION OF THE SC14 REPORT</w:t>
        </w:r>
        <w:r w:rsidR="006958E8">
          <w:rPr>
            <w:noProof/>
            <w:webHidden/>
          </w:rPr>
          <w:tab/>
        </w:r>
        <w:r w:rsidR="006958E8">
          <w:rPr>
            <w:noProof/>
            <w:webHidden/>
          </w:rPr>
          <w:fldChar w:fldCharType="begin"/>
        </w:r>
        <w:r w:rsidR="006958E8">
          <w:rPr>
            <w:noProof/>
            <w:webHidden/>
          </w:rPr>
          <w:instrText xml:space="preserve"> PAGEREF _Toc16418012 \h </w:instrText>
        </w:r>
        <w:r w:rsidR="006958E8">
          <w:rPr>
            <w:noProof/>
            <w:webHidden/>
          </w:rPr>
        </w:r>
        <w:r w:rsidR="006958E8">
          <w:rPr>
            <w:noProof/>
            <w:webHidden/>
          </w:rPr>
          <w:fldChar w:fldCharType="separate"/>
        </w:r>
        <w:r w:rsidR="00117A6F">
          <w:rPr>
            <w:noProof/>
            <w:webHidden/>
          </w:rPr>
          <w:t>lv</w:t>
        </w:r>
        <w:r w:rsidR="006958E8">
          <w:rPr>
            <w:noProof/>
            <w:webHidden/>
          </w:rPr>
          <w:fldChar w:fldCharType="end"/>
        </w:r>
      </w:hyperlink>
    </w:p>
    <w:p w14:paraId="5F496844" w14:textId="727A3EA0"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13" w:history="1">
        <w:r w:rsidR="006958E8" w:rsidRPr="001F5801">
          <w:rPr>
            <w:rStyle w:val="Hyperlink"/>
            <w:noProof/>
          </w:rPr>
          <w:t>AGENDA ITEM 14 — CLOSE OF MEETING</w:t>
        </w:r>
        <w:r w:rsidR="006958E8">
          <w:rPr>
            <w:noProof/>
            <w:webHidden/>
          </w:rPr>
          <w:tab/>
        </w:r>
        <w:r w:rsidR="006958E8">
          <w:rPr>
            <w:noProof/>
            <w:webHidden/>
          </w:rPr>
          <w:fldChar w:fldCharType="begin"/>
        </w:r>
        <w:r w:rsidR="006958E8">
          <w:rPr>
            <w:noProof/>
            <w:webHidden/>
          </w:rPr>
          <w:instrText xml:space="preserve"> PAGEREF _Toc16418013 \h </w:instrText>
        </w:r>
        <w:r w:rsidR="006958E8">
          <w:rPr>
            <w:noProof/>
            <w:webHidden/>
          </w:rPr>
        </w:r>
        <w:r w:rsidR="006958E8">
          <w:rPr>
            <w:noProof/>
            <w:webHidden/>
          </w:rPr>
          <w:fldChar w:fldCharType="separate"/>
        </w:r>
        <w:r w:rsidR="00117A6F">
          <w:rPr>
            <w:noProof/>
            <w:webHidden/>
          </w:rPr>
          <w:t>lv</w:t>
        </w:r>
        <w:r w:rsidR="006958E8">
          <w:rPr>
            <w:noProof/>
            <w:webHidden/>
          </w:rPr>
          <w:fldChar w:fldCharType="end"/>
        </w:r>
      </w:hyperlink>
    </w:p>
    <w:p w14:paraId="1E31DC0F" w14:textId="57CC8F31"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14" w:history="1">
        <w:r w:rsidR="006958E8" w:rsidRPr="001F5801">
          <w:rPr>
            <w:rStyle w:val="Hyperlink"/>
            <w:b/>
            <w:bCs/>
            <w:noProof/>
            <w:lang w:val="en-AU" w:eastAsia="ko-KR"/>
          </w:rPr>
          <w:t>SUMMARY REPORT</w:t>
        </w:r>
        <w:r w:rsidR="006958E8">
          <w:rPr>
            <w:noProof/>
            <w:webHidden/>
          </w:rPr>
          <w:tab/>
        </w:r>
        <w:r w:rsidR="006958E8">
          <w:rPr>
            <w:noProof/>
            <w:webHidden/>
          </w:rPr>
          <w:fldChar w:fldCharType="begin"/>
        </w:r>
        <w:r w:rsidR="006958E8">
          <w:rPr>
            <w:noProof/>
            <w:webHidden/>
          </w:rPr>
          <w:instrText xml:space="preserve"> PAGEREF _Toc16418014 \h </w:instrText>
        </w:r>
        <w:r w:rsidR="006958E8">
          <w:rPr>
            <w:noProof/>
            <w:webHidden/>
          </w:rPr>
        </w:r>
        <w:r w:rsidR="006958E8">
          <w:rPr>
            <w:noProof/>
            <w:webHidden/>
          </w:rPr>
          <w:fldChar w:fldCharType="separate"/>
        </w:r>
        <w:r w:rsidR="00117A6F">
          <w:rPr>
            <w:noProof/>
            <w:webHidden/>
          </w:rPr>
          <w:t>1</w:t>
        </w:r>
        <w:r w:rsidR="006958E8">
          <w:rPr>
            <w:noProof/>
            <w:webHidden/>
          </w:rPr>
          <w:fldChar w:fldCharType="end"/>
        </w:r>
      </w:hyperlink>
    </w:p>
    <w:p w14:paraId="79D3FFBE" w14:textId="17329647"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15" w:history="1">
        <w:r w:rsidR="006958E8" w:rsidRPr="001F5801">
          <w:rPr>
            <w:rStyle w:val="Hyperlink"/>
            <w:noProof/>
          </w:rPr>
          <w:t>AGENDA ITEM 1 — OPENING OF THE MEETING</w:t>
        </w:r>
        <w:r w:rsidR="006958E8">
          <w:rPr>
            <w:noProof/>
            <w:webHidden/>
          </w:rPr>
          <w:tab/>
        </w:r>
        <w:r w:rsidR="006958E8">
          <w:rPr>
            <w:noProof/>
            <w:webHidden/>
          </w:rPr>
          <w:fldChar w:fldCharType="begin"/>
        </w:r>
        <w:r w:rsidR="006958E8">
          <w:rPr>
            <w:noProof/>
            <w:webHidden/>
          </w:rPr>
          <w:instrText xml:space="preserve"> PAGEREF _Toc16418015 \h </w:instrText>
        </w:r>
        <w:r w:rsidR="006958E8">
          <w:rPr>
            <w:noProof/>
            <w:webHidden/>
          </w:rPr>
        </w:r>
        <w:r w:rsidR="006958E8">
          <w:rPr>
            <w:noProof/>
            <w:webHidden/>
          </w:rPr>
          <w:fldChar w:fldCharType="separate"/>
        </w:r>
        <w:r w:rsidR="00117A6F">
          <w:rPr>
            <w:noProof/>
            <w:webHidden/>
          </w:rPr>
          <w:t>1</w:t>
        </w:r>
        <w:r w:rsidR="006958E8">
          <w:rPr>
            <w:noProof/>
            <w:webHidden/>
          </w:rPr>
          <w:fldChar w:fldCharType="end"/>
        </w:r>
      </w:hyperlink>
    </w:p>
    <w:p w14:paraId="55070320" w14:textId="65EB4777"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16" w:history="1">
        <w:r w:rsidR="006958E8" w:rsidRPr="001F5801">
          <w:rPr>
            <w:rStyle w:val="Hyperlink"/>
            <w:noProof/>
          </w:rPr>
          <w:t>AGENDA ITEM 2 — REVIEW OF FISHERIES</w:t>
        </w:r>
        <w:r w:rsidR="006958E8">
          <w:rPr>
            <w:noProof/>
            <w:webHidden/>
          </w:rPr>
          <w:tab/>
        </w:r>
        <w:r w:rsidR="006958E8">
          <w:rPr>
            <w:noProof/>
            <w:webHidden/>
          </w:rPr>
          <w:fldChar w:fldCharType="begin"/>
        </w:r>
        <w:r w:rsidR="006958E8">
          <w:rPr>
            <w:noProof/>
            <w:webHidden/>
          </w:rPr>
          <w:instrText xml:space="preserve"> PAGEREF _Toc16418016 \h </w:instrText>
        </w:r>
        <w:r w:rsidR="006958E8">
          <w:rPr>
            <w:noProof/>
            <w:webHidden/>
          </w:rPr>
        </w:r>
        <w:r w:rsidR="006958E8">
          <w:rPr>
            <w:noProof/>
            <w:webHidden/>
          </w:rPr>
          <w:fldChar w:fldCharType="separate"/>
        </w:r>
        <w:r w:rsidR="00117A6F">
          <w:rPr>
            <w:noProof/>
            <w:webHidden/>
          </w:rPr>
          <w:t>4</w:t>
        </w:r>
        <w:r w:rsidR="006958E8">
          <w:rPr>
            <w:noProof/>
            <w:webHidden/>
          </w:rPr>
          <w:fldChar w:fldCharType="end"/>
        </w:r>
      </w:hyperlink>
    </w:p>
    <w:p w14:paraId="090FBA12" w14:textId="385453AF"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17" w:history="1">
        <w:r w:rsidR="006958E8" w:rsidRPr="001F5801">
          <w:rPr>
            <w:rStyle w:val="Hyperlink"/>
            <w:noProof/>
          </w:rPr>
          <w:t>AGENDA ITEM 3 — DATA AND STATISTICS THEME</w:t>
        </w:r>
        <w:r w:rsidR="006958E8">
          <w:rPr>
            <w:noProof/>
            <w:webHidden/>
          </w:rPr>
          <w:tab/>
        </w:r>
        <w:r w:rsidR="006958E8">
          <w:rPr>
            <w:noProof/>
            <w:webHidden/>
          </w:rPr>
          <w:fldChar w:fldCharType="begin"/>
        </w:r>
        <w:r w:rsidR="006958E8">
          <w:rPr>
            <w:noProof/>
            <w:webHidden/>
          </w:rPr>
          <w:instrText xml:space="preserve"> PAGEREF _Toc16418017 \h </w:instrText>
        </w:r>
        <w:r w:rsidR="006958E8">
          <w:rPr>
            <w:noProof/>
            <w:webHidden/>
          </w:rPr>
        </w:r>
        <w:r w:rsidR="006958E8">
          <w:rPr>
            <w:noProof/>
            <w:webHidden/>
          </w:rPr>
          <w:fldChar w:fldCharType="separate"/>
        </w:r>
        <w:r w:rsidR="00117A6F">
          <w:rPr>
            <w:noProof/>
            <w:webHidden/>
          </w:rPr>
          <w:t>11</w:t>
        </w:r>
        <w:r w:rsidR="006958E8">
          <w:rPr>
            <w:noProof/>
            <w:webHidden/>
          </w:rPr>
          <w:fldChar w:fldCharType="end"/>
        </w:r>
      </w:hyperlink>
    </w:p>
    <w:p w14:paraId="3B61F70B" w14:textId="29A05418"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18" w:history="1">
        <w:r w:rsidR="006958E8" w:rsidRPr="001F5801">
          <w:rPr>
            <w:rStyle w:val="Hyperlink"/>
            <w:noProof/>
          </w:rPr>
          <w:t>AGENDA ITEM 4 — STOCK ASSESSMENT THEME</w:t>
        </w:r>
        <w:r w:rsidR="006958E8">
          <w:rPr>
            <w:noProof/>
            <w:webHidden/>
          </w:rPr>
          <w:tab/>
        </w:r>
        <w:r w:rsidR="006958E8">
          <w:rPr>
            <w:noProof/>
            <w:webHidden/>
          </w:rPr>
          <w:fldChar w:fldCharType="begin"/>
        </w:r>
        <w:r w:rsidR="006958E8">
          <w:rPr>
            <w:noProof/>
            <w:webHidden/>
          </w:rPr>
          <w:instrText xml:space="preserve"> PAGEREF _Toc16418018 \h </w:instrText>
        </w:r>
        <w:r w:rsidR="006958E8">
          <w:rPr>
            <w:noProof/>
            <w:webHidden/>
          </w:rPr>
        </w:r>
        <w:r w:rsidR="006958E8">
          <w:rPr>
            <w:noProof/>
            <w:webHidden/>
          </w:rPr>
          <w:fldChar w:fldCharType="separate"/>
        </w:r>
        <w:r w:rsidR="00117A6F">
          <w:rPr>
            <w:noProof/>
            <w:webHidden/>
          </w:rPr>
          <w:t>23</w:t>
        </w:r>
        <w:r w:rsidR="006958E8">
          <w:rPr>
            <w:noProof/>
            <w:webHidden/>
          </w:rPr>
          <w:fldChar w:fldCharType="end"/>
        </w:r>
      </w:hyperlink>
    </w:p>
    <w:p w14:paraId="384F24CF" w14:textId="14E2F7B1"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19" w:history="1">
        <w:r w:rsidR="006958E8" w:rsidRPr="001F5801">
          <w:rPr>
            <w:rStyle w:val="Hyperlink"/>
            <w:noProof/>
          </w:rPr>
          <w:t>AGENDA ITEM 5 — MANAGEMENT ISSUES THEME</w:t>
        </w:r>
        <w:r w:rsidR="006958E8">
          <w:rPr>
            <w:noProof/>
            <w:webHidden/>
          </w:rPr>
          <w:tab/>
        </w:r>
        <w:r w:rsidR="006958E8">
          <w:rPr>
            <w:noProof/>
            <w:webHidden/>
          </w:rPr>
          <w:fldChar w:fldCharType="begin"/>
        </w:r>
        <w:r w:rsidR="006958E8">
          <w:rPr>
            <w:noProof/>
            <w:webHidden/>
          </w:rPr>
          <w:instrText xml:space="preserve"> PAGEREF _Toc16418019 \h </w:instrText>
        </w:r>
        <w:r w:rsidR="006958E8">
          <w:rPr>
            <w:noProof/>
            <w:webHidden/>
          </w:rPr>
        </w:r>
        <w:r w:rsidR="006958E8">
          <w:rPr>
            <w:noProof/>
            <w:webHidden/>
          </w:rPr>
          <w:fldChar w:fldCharType="separate"/>
        </w:r>
        <w:r w:rsidR="00117A6F">
          <w:rPr>
            <w:noProof/>
            <w:webHidden/>
          </w:rPr>
          <w:t>125</w:t>
        </w:r>
        <w:r w:rsidR="006958E8">
          <w:rPr>
            <w:noProof/>
            <w:webHidden/>
          </w:rPr>
          <w:fldChar w:fldCharType="end"/>
        </w:r>
      </w:hyperlink>
    </w:p>
    <w:p w14:paraId="4F43DB6F" w14:textId="0BB4195B"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20" w:history="1">
        <w:r w:rsidR="006958E8" w:rsidRPr="001F5801">
          <w:rPr>
            <w:rStyle w:val="Hyperlink"/>
            <w:noProof/>
            <w:lang w:eastAsia="ko-KR"/>
          </w:rPr>
          <w:t>AGENDA ITEM 6 — ECOSYSTEM AND BYCATCH MITIGATION THEME</w:t>
        </w:r>
        <w:r w:rsidR="006958E8">
          <w:rPr>
            <w:noProof/>
            <w:webHidden/>
          </w:rPr>
          <w:tab/>
        </w:r>
        <w:r w:rsidR="006958E8">
          <w:rPr>
            <w:noProof/>
            <w:webHidden/>
          </w:rPr>
          <w:fldChar w:fldCharType="begin"/>
        </w:r>
        <w:r w:rsidR="006958E8">
          <w:rPr>
            <w:noProof/>
            <w:webHidden/>
          </w:rPr>
          <w:instrText xml:space="preserve"> PAGEREF _Toc16418020 \h </w:instrText>
        </w:r>
        <w:r w:rsidR="006958E8">
          <w:rPr>
            <w:noProof/>
            <w:webHidden/>
          </w:rPr>
        </w:r>
        <w:r w:rsidR="006958E8">
          <w:rPr>
            <w:noProof/>
            <w:webHidden/>
          </w:rPr>
          <w:fldChar w:fldCharType="separate"/>
        </w:r>
        <w:r w:rsidR="00117A6F">
          <w:rPr>
            <w:noProof/>
            <w:webHidden/>
          </w:rPr>
          <w:t>154</w:t>
        </w:r>
        <w:r w:rsidR="006958E8">
          <w:rPr>
            <w:noProof/>
            <w:webHidden/>
          </w:rPr>
          <w:fldChar w:fldCharType="end"/>
        </w:r>
      </w:hyperlink>
    </w:p>
    <w:p w14:paraId="7946210A" w14:textId="2975E267"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21" w:history="1">
        <w:r w:rsidR="006958E8" w:rsidRPr="001F5801">
          <w:rPr>
            <w:rStyle w:val="Hyperlink"/>
            <w:noProof/>
            <w:lang w:eastAsia="ko-KR"/>
          </w:rPr>
          <w:t xml:space="preserve">AGENDA ITEM 7— </w:t>
        </w:r>
        <w:r w:rsidR="006958E8" w:rsidRPr="001F5801">
          <w:rPr>
            <w:rStyle w:val="Hyperlink"/>
            <w:noProof/>
          </w:rPr>
          <w:t>OTHER RESEARCH PROJECTS</w:t>
        </w:r>
        <w:r w:rsidR="006958E8">
          <w:rPr>
            <w:noProof/>
            <w:webHidden/>
          </w:rPr>
          <w:tab/>
        </w:r>
        <w:r w:rsidR="006958E8">
          <w:rPr>
            <w:noProof/>
            <w:webHidden/>
          </w:rPr>
          <w:fldChar w:fldCharType="begin"/>
        </w:r>
        <w:r w:rsidR="006958E8">
          <w:rPr>
            <w:noProof/>
            <w:webHidden/>
          </w:rPr>
          <w:instrText xml:space="preserve"> PAGEREF _Toc16418021 \h </w:instrText>
        </w:r>
        <w:r w:rsidR="006958E8">
          <w:rPr>
            <w:noProof/>
            <w:webHidden/>
          </w:rPr>
        </w:r>
        <w:r w:rsidR="006958E8">
          <w:rPr>
            <w:noProof/>
            <w:webHidden/>
          </w:rPr>
          <w:fldChar w:fldCharType="separate"/>
        </w:r>
        <w:r w:rsidR="00117A6F">
          <w:rPr>
            <w:noProof/>
            <w:webHidden/>
          </w:rPr>
          <w:t>174</w:t>
        </w:r>
        <w:r w:rsidR="006958E8">
          <w:rPr>
            <w:noProof/>
            <w:webHidden/>
          </w:rPr>
          <w:fldChar w:fldCharType="end"/>
        </w:r>
      </w:hyperlink>
    </w:p>
    <w:p w14:paraId="126E762B" w14:textId="565A3DA9"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22" w:history="1">
        <w:r w:rsidR="006958E8" w:rsidRPr="001F5801">
          <w:rPr>
            <w:rStyle w:val="Hyperlink"/>
            <w:noProof/>
          </w:rPr>
          <w:t>AGENDA ITEM 8 — COOPERATION WITH OTHER ORGANISATIONS</w:t>
        </w:r>
        <w:r w:rsidR="006958E8">
          <w:rPr>
            <w:noProof/>
            <w:webHidden/>
          </w:rPr>
          <w:tab/>
        </w:r>
        <w:r w:rsidR="006958E8">
          <w:rPr>
            <w:noProof/>
            <w:webHidden/>
          </w:rPr>
          <w:fldChar w:fldCharType="begin"/>
        </w:r>
        <w:r w:rsidR="006958E8">
          <w:rPr>
            <w:noProof/>
            <w:webHidden/>
          </w:rPr>
          <w:instrText xml:space="preserve"> PAGEREF _Toc16418022 \h </w:instrText>
        </w:r>
        <w:r w:rsidR="006958E8">
          <w:rPr>
            <w:noProof/>
            <w:webHidden/>
          </w:rPr>
        </w:r>
        <w:r w:rsidR="006958E8">
          <w:rPr>
            <w:noProof/>
            <w:webHidden/>
          </w:rPr>
          <w:fldChar w:fldCharType="separate"/>
        </w:r>
        <w:r w:rsidR="00117A6F">
          <w:rPr>
            <w:noProof/>
            <w:webHidden/>
          </w:rPr>
          <w:t>179</w:t>
        </w:r>
        <w:r w:rsidR="006958E8">
          <w:rPr>
            <w:noProof/>
            <w:webHidden/>
          </w:rPr>
          <w:fldChar w:fldCharType="end"/>
        </w:r>
      </w:hyperlink>
    </w:p>
    <w:p w14:paraId="32B81AED" w14:textId="158CFF0B"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23" w:history="1">
        <w:r w:rsidR="006958E8" w:rsidRPr="001F5801">
          <w:rPr>
            <w:rStyle w:val="Hyperlink"/>
            <w:noProof/>
          </w:rPr>
          <w:t>AGENDA ITEM 9 — SPECIAL REQUIREMENTS OF DEVELOPING STATES</w:t>
        </w:r>
        <w:r w:rsidR="006958E8">
          <w:rPr>
            <w:noProof/>
            <w:webHidden/>
          </w:rPr>
          <w:tab/>
        </w:r>
        <w:r w:rsidR="006958E8">
          <w:rPr>
            <w:noProof/>
            <w:webHidden/>
          </w:rPr>
          <w:fldChar w:fldCharType="begin"/>
        </w:r>
        <w:r w:rsidR="006958E8">
          <w:rPr>
            <w:noProof/>
            <w:webHidden/>
          </w:rPr>
          <w:instrText xml:space="preserve"> PAGEREF _Toc16418023 \h </w:instrText>
        </w:r>
        <w:r w:rsidR="006958E8">
          <w:rPr>
            <w:noProof/>
            <w:webHidden/>
          </w:rPr>
        </w:r>
        <w:r w:rsidR="006958E8">
          <w:rPr>
            <w:noProof/>
            <w:webHidden/>
          </w:rPr>
          <w:fldChar w:fldCharType="separate"/>
        </w:r>
        <w:r w:rsidR="00117A6F">
          <w:rPr>
            <w:noProof/>
            <w:webHidden/>
          </w:rPr>
          <w:t>179</w:t>
        </w:r>
        <w:r w:rsidR="006958E8">
          <w:rPr>
            <w:noProof/>
            <w:webHidden/>
          </w:rPr>
          <w:fldChar w:fldCharType="end"/>
        </w:r>
      </w:hyperlink>
    </w:p>
    <w:p w14:paraId="5BEDBEA0" w14:textId="57F24390"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24" w:history="1">
        <w:r w:rsidR="006958E8" w:rsidRPr="001F5801">
          <w:rPr>
            <w:rStyle w:val="Hyperlink"/>
            <w:noProof/>
          </w:rPr>
          <w:t>AGENDA ITEM 10 — FUTURE WORK PROGRAM AND BUDGET</w:t>
        </w:r>
        <w:r w:rsidR="006958E8">
          <w:rPr>
            <w:noProof/>
            <w:webHidden/>
          </w:rPr>
          <w:tab/>
        </w:r>
        <w:r w:rsidR="006958E8">
          <w:rPr>
            <w:noProof/>
            <w:webHidden/>
          </w:rPr>
          <w:fldChar w:fldCharType="begin"/>
        </w:r>
        <w:r w:rsidR="006958E8">
          <w:rPr>
            <w:noProof/>
            <w:webHidden/>
          </w:rPr>
          <w:instrText xml:space="preserve"> PAGEREF _Toc16418024 \h </w:instrText>
        </w:r>
        <w:r w:rsidR="006958E8">
          <w:rPr>
            <w:noProof/>
            <w:webHidden/>
          </w:rPr>
        </w:r>
        <w:r w:rsidR="006958E8">
          <w:rPr>
            <w:noProof/>
            <w:webHidden/>
          </w:rPr>
          <w:fldChar w:fldCharType="separate"/>
        </w:r>
        <w:r w:rsidR="00117A6F">
          <w:rPr>
            <w:noProof/>
            <w:webHidden/>
          </w:rPr>
          <w:t>180</w:t>
        </w:r>
        <w:r w:rsidR="006958E8">
          <w:rPr>
            <w:noProof/>
            <w:webHidden/>
          </w:rPr>
          <w:fldChar w:fldCharType="end"/>
        </w:r>
      </w:hyperlink>
    </w:p>
    <w:p w14:paraId="4AB6F9BC" w14:textId="7C7BADF6"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25" w:history="1">
        <w:r w:rsidR="006958E8" w:rsidRPr="001F5801">
          <w:rPr>
            <w:rStyle w:val="Hyperlink"/>
            <w:noProof/>
          </w:rPr>
          <w:t>AGENDA ITEM 11 — ADMINISTRATIVE MATTERS</w:t>
        </w:r>
        <w:r w:rsidR="006958E8">
          <w:rPr>
            <w:noProof/>
            <w:webHidden/>
          </w:rPr>
          <w:tab/>
        </w:r>
        <w:r w:rsidR="006958E8">
          <w:rPr>
            <w:noProof/>
            <w:webHidden/>
          </w:rPr>
          <w:fldChar w:fldCharType="begin"/>
        </w:r>
        <w:r w:rsidR="006958E8">
          <w:rPr>
            <w:noProof/>
            <w:webHidden/>
          </w:rPr>
          <w:instrText xml:space="preserve"> PAGEREF _Toc16418025 \h </w:instrText>
        </w:r>
        <w:r w:rsidR="006958E8">
          <w:rPr>
            <w:noProof/>
            <w:webHidden/>
          </w:rPr>
        </w:r>
        <w:r w:rsidR="006958E8">
          <w:rPr>
            <w:noProof/>
            <w:webHidden/>
          </w:rPr>
          <w:fldChar w:fldCharType="separate"/>
        </w:r>
        <w:r w:rsidR="00117A6F">
          <w:rPr>
            <w:noProof/>
            <w:webHidden/>
          </w:rPr>
          <w:t>182</w:t>
        </w:r>
        <w:r w:rsidR="006958E8">
          <w:rPr>
            <w:noProof/>
            <w:webHidden/>
          </w:rPr>
          <w:fldChar w:fldCharType="end"/>
        </w:r>
      </w:hyperlink>
    </w:p>
    <w:p w14:paraId="68977391" w14:textId="003B43BA"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26" w:history="1">
        <w:r w:rsidR="006958E8" w:rsidRPr="001F5801">
          <w:rPr>
            <w:rStyle w:val="Hyperlink"/>
            <w:noProof/>
          </w:rPr>
          <w:t>AGENDA ITEM 12 — OTHER MATTERS</w:t>
        </w:r>
        <w:r w:rsidR="006958E8">
          <w:rPr>
            <w:noProof/>
            <w:webHidden/>
          </w:rPr>
          <w:tab/>
        </w:r>
        <w:r w:rsidR="006958E8">
          <w:rPr>
            <w:noProof/>
            <w:webHidden/>
          </w:rPr>
          <w:fldChar w:fldCharType="begin"/>
        </w:r>
        <w:r w:rsidR="006958E8">
          <w:rPr>
            <w:noProof/>
            <w:webHidden/>
          </w:rPr>
          <w:instrText xml:space="preserve"> PAGEREF _Toc16418026 \h </w:instrText>
        </w:r>
        <w:r w:rsidR="006958E8">
          <w:rPr>
            <w:noProof/>
            <w:webHidden/>
          </w:rPr>
        </w:r>
        <w:r w:rsidR="006958E8">
          <w:rPr>
            <w:noProof/>
            <w:webHidden/>
          </w:rPr>
          <w:fldChar w:fldCharType="separate"/>
        </w:r>
        <w:r w:rsidR="00117A6F">
          <w:rPr>
            <w:noProof/>
            <w:webHidden/>
          </w:rPr>
          <w:t>183</w:t>
        </w:r>
        <w:r w:rsidR="006958E8">
          <w:rPr>
            <w:noProof/>
            <w:webHidden/>
          </w:rPr>
          <w:fldChar w:fldCharType="end"/>
        </w:r>
      </w:hyperlink>
    </w:p>
    <w:p w14:paraId="15396C74" w14:textId="6957CEA5"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27" w:history="1">
        <w:r w:rsidR="006958E8" w:rsidRPr="001F5801">
          <w:rPr>
            <w:rStyle w:val="Hyperlink"/>
            <w:noProof/>
          </w:rPr>
          <w:t>AGENDA ITEM 13 — ADOPTION OF THE SC14 REPORT</w:t>
        </w:r>
        <w:r w:rsidR="006958E8">
          <w:rPr>
            <w:noProof/>
            <w:webHidden/>
          </w:rPr>
          <w:tab/>
        </w:r>
        <w:r w:rsidR="006958E8">
          <w:rPr>
            <w:noProof/>
            <w:webHidden/>
          </w:rPr>
          <w:fldChar w:fldCharType="begin"/>
        </w:r>
        <w:r w:rsidR="006958E8">
          <w:rPr>
            <w:noProof/>
            <w:webHidden/>
          </w:rPr>
          <w:instrText xml:space="preserve"> PAGEREF _Toc16418027 \h </w:instrText>
        </w:r>
        <w:r w:rsidR="006958E8">
          <w:rPr>
            <w:noProof/>
            <w:webHidden/>
          </w:rPr>
        </w:r>
        <w:r w:rsidR="006958E8">
          <w:rPr>
            <w:noProof/>
            <w:webHidden/>
          </w:rPr>
          <w:fldChar w:fldCharType="separate"/>
        </w:r>
        <w:r w:rsidR="00117A6F">
          <w:rPr>
            <w:noProof/>
            <w:webHidden/>
          </w:rPr>
          <w:t>183</w:t>
        </w:r>
        <w:r w:rsidR="006958E8">
          <w:rPr>
            <w:noProof/>
            <w:webHidden/>
          </w:rPr>
          <w:fldChar w:fldCharType="end"/>
        </w:r>
      </w:hyperlink>
    </w:p>
    <w:p w14:paraId="57024B65" w14:textId="498F8DF6"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28" w:history="1">
        <w:r w:rsidR="006958E8" w:rsidRPr="001F5801">
          <w:rPr>
            <w:rStyle w:val="Hyperlink"/>
            <w:noProof/>
          </w:rPr>
          <w:t>AGENDA ITEM 14 — CLOSE OF MEETING</w:t>
        </w:r>
        <w:r w:rsidR="006958E8">
          <w:rPr>
            <w:noProof/>
            <w:webHidden/>
          </w:rPr>
          <w:tab/>
        </w:r>
        <w:r w:rsidR="006958E8">
          <w:rPr>
            <w:noProof/>
            <w:webHidden/>
          </w:rPr>
          <w:fldChar w:fldCharType="begin"/>
        </w:r>
        <w:r w:rsidR="006958E8">
          <w:rPr>
            <w:noProof/>
            <w:webHidden/>
          </w:rPr>
          <w:instrText xml:space="preserve"> PAGEREF _Toc16418028 \h </w:instrText>
        </w:r>
        <w:r w:rsidR="006958E8">
          <w:rPr>
            <w:noProof/>
            <w:webHidden/>
          </w:rPr>
        </w:r>
        <w:r w:rsidR="006958E8">
          <w:rPr>
            <w:noProof/>
            <w:webHidden/>
          </w:rPr>
          <w:fldChar w:fldCharType="separate"/>
        </w:r>
        <w:r w:rsidR="00117A6F">
          <w:rPr>
            <w:noProof/>
            <w:webHidden/>
          </w:rPr>
          <w:t>184</w:t>
        </w:r>
        <w:r w:rsidR="006958E8">
          <w:rPr>
            <w:noProof/>
            <w:webHidden/>
          </w:rPr>
          <w:fldChar w:fldCharType="end"/>
        </w:r>
      </w:hyperlink>
    </w:p>
    <w:p w14:paraId="0E1356CF" w14:textId="4EAF60D2"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29" w:history="1">
        <w:r w:rsidR="006958E8" w:rsidRPr="001F5801">
          <w:rPr>
            <w:rStyle w:val="Hyperlink"/>
            <w:noProof/>
          </w:rPr>
          <w:t>ATTACHMENTS</w:t>
        </w:r>
        <w:r w:rsidR="006958E8">
          <w:rPr>
            <w:noProof/>
            <w:webHidden/>
          </w:rPr>
          <w:tab/>
        </w:r>
        <w:r w:rsidR="006958E8">
          <w:rPr>
            <w:noProof/>
            <w:webHidden/>
          </w:rPr>
          <w:fldChar w:fldCharType="begin"/>
        </w:r>
        <w:r w:rsidR="006958E8">
          <w:rPr>
            <w:noProof/>
            <w:webHidden/>
          </w:rPr>
          <w:instrText xml:space="preserve"> PAGEREF _Toc16418029 \h </w:instrText>
        </w:r>
        <w:r w:rsidR="006958E8">
          <w:rPr>
            <w:noProof/>
            <w:webHidden/>
          </w:rPr>
        </w:r>
        <w:r w:rsidR="006958E8">
          <w:rPr>
            <w:noProof/>
            <w:webHidden/>
          </w:rPr>
          <w:fldChar w:fldCharType="separate"/>
        </w:r>
        <w:r w:rsidR="00117A6F">
          <w:rPr>
            <w:noProof/>
            <w:webHidden/>
          </w:rPr>
          <w:t>185</w:t>
        </w:r>
        <w:r w:rsidR="006958E8">
          <w:rPr>
            <w:noProof/>
            <w:webHidden/>
          </w:rPr>
          <w:fldChar w:fldCharType="end"/>
        </w:r>
      </w:hyperlink>
    </w:p>
    <w:p w14:paraId="16F5F302" w14:textId="6F9F3105"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30" w:history="1">
        <w:r w:rsidR="006958E8" w:rsidRPr="001F5801">
          <w:rPr>
            <w:rStyle w:val="Hyperlink"/>
            <w:noProof/>
          </w:rPr>
          <w:t>ATTACHMENT A — LIST OF PARTICIPANTS</w:t>
        </w:r>
        <w:r w:rsidR="006958E8">
          <w:rPr>
            <w:noProof/>
            <w:webHidden/>
          </w:rPr>
          <w:tab/>
        </w:r>
        <w:r w:rsidR="006958E8">
          <w:rPr>
            <w:noProof/>
            <w:webHidden/>
          </w:rPr>
          <w:fldChar w:fldCharType="begin"/>
        </w:r>
        <w:r w:rsidR="006958E8">
          <w:rPr>
            <w:noProof/>
            <w:webHidden/>
          </w:rPr>
          <w:instrText xml:space="preserve"> PAGEREF _Toc16418030 \h </w:instrText>
        </w:r>
        <w:r w:rsidR="006958E8">
          <w:rPr>
            <w:noProof/>
            <w:webHidden/>
          </w:rPr>
        </w:r>
        <w:r w:rsidR="006958E8">
          <w:rPr>
            <w:noProof/>
            <w:webHidden/>
          </w:rPr>
          <w:fldChar w:fldCharType="separate"/>
        </w:r>
        <w:r w:rsidR="00117A6F">
          <w:rPr>
            <w:noProof/>
            <w:webHidden/>
          </w:rPr>
          <w:t>185</w:t>
        </w:r>
        <w:r w:rsidR="006958E8">
          <w:rPr>
            <w:noProof/>
            <w:webHidden/>
          </w:rPr>
          <w:fldChar w:fldCharType="end"/>
        </w:r>
      </w:hyperlink>
    </w:p>
    <w:p w14:paraId="747842DB" w14:textId="3274D90C"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31" w:history="1">
        <w:r w:rsidR="006958E8" w:rsidRPr="001F5801">
          <w:rPr>
            <w:rStyle w:val="Hyperlink"/>
            <w:noProof/>
            <w:lang w:val="en-NZ"/>
          </w:rPr>
          <w:t xml:space="preserve">ATTACHMENT B — OPENING REMARKS BY DIRECTOR </w:t>
        </w:r>
        <w:r w:rsidR="006958E8" w:rsidRPr="001F5801">
          <w:rPr>
            <w:rStyle w:val="Hyperlink"/>
            <w:noProof/>
          </w:rPr>
          <w:t>YANG DONG-YEOB</w:t>
        </w:r>
        <w:r w:rsidR="006958E8">
          <w:rPr>
            <w:noProof/>
            <w:webHidden/>
          </w:rPr>
          <w:tab/>
        </w:r>
        <w:r w:rsidR="006958E8">
          <w:rPr>
            <w:noProof/>
            <w:webHidden/>
          </w:rPr>
          <w:fldChar w:fldCharType="begin"/>
        </w:r>
        <w:r w:rsidR="006958E8">
          <w:rPr>
            <w:noProof/>
            <w:webHidden/>
          </w:rPr>
          <w:instrText xml:space="preserve"> PAGEREF _Toc16418031 \h </w:instrText>
        </w:r>
        <w:r w:rsidR="006958E8">
          <w:rPr>
            <w:noProof/>
            <w:webHidden/>
          </w:rPr>
        </w:r>
        <w:r w:rsidR="006958E8">
          <w:rPr>
            <w:noProof/>
            <w:webHidden/>
          </w:rPr>
          <w:fldChar w:fldCharType="separate"/>
        </w:r>
        <w:r w:rsidR="00117A6F">
          <w:rPr>
            <w:noProof/>
            <w:webHidden/>
          </w:rPr>
          <w:t>202</w:t>
        </w:r>
        <w:r w:rsidR="006958E8">
          <w:rPr>
            <w:noProof/>
            <w:webHidden/>
          </w:rPr>
          <w:fldChar w:fldCharType="end"/>
        </w:r>
      </w:hyperlink>
    </w:p>
    <w:p w14:paraId="44A9AF10" w14:textId="662637E0"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32" w:history="1">
        <w:r w:rsidR="006958E8" w:rsidRPr="001F5801">
          <w:rPr>
            <w:rStyle w:val="Hyperlink"/>
            <w:noProof/>
            <w:lang w:val="en-NZ"/>
          </w:rPr>
          <w:t>ATTACHMENT C — OPENING REMARKS BY THE WCPFC CHAIR</w:t>
        </w:r>
        <w:r w:rsidR="006958E8">
          <w:rPr>
            <w:noProof/>
            <w:webHidden/>
          </w:rPr>
          <w:tab/>
        </w:r>
        <w:r w:rsidR="006958E8">
          <w:rPr>
            <w:noProof/>
            <w:webHidden/>
          </w:rPr>
          <w:fldChar w:fldCharType="begin"/>
        </w:r>
        <w:r w:rsidR="006958E8">
          <w:rPr>
            <w:noProof/>
            <w:webHidden/>
          </w:rPr>
          <w:instrText xml:space="preserve"> PAGEREF _Toc16418032 \h </w:instrText>
        </w:r>
        <w:r w:rsidR="006958E8">
          <w:rPr>
            <w:noProof/>
            <w:webHidden/>
          </w:rPr>
        </w:r>
        <w:r w:rsidR="006958E8">
          <w:rPr>
            <w:noProof/>
            <w:webHidden/>
          </w:rPr>
          <w:fldChar w:fldCharType="separate"/>
        </w:r>
        <w:r w:rsidR="00117A6F">
          <w:rPr>
            <w:noProof/>
            <w:webHidden/>
          </w:rPr>
          <w:t>204</w:t>
        </w:r>
        <w:r w:rsidR="006958E8">
          <w:rPr>
            <w:noProof/>
            <w:webHidden/>
          </w:rPr>
          <w:fldChar w:fldCharType="end"/>
        </w:r>
      </w:hyperlink>
    </w:p>
    <w:p w14:paraId="3CADDB0B" w14:textId="57BFC07B"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33" w:history="1">
        <w:r w:rsidR="006958E8" w:rsidRPr="001F5801">
          <w:rPr>
            <w:rStyle w:val="Hyperlink"/>
            <w:noProof/>
            <w:lang w:val="en-NZ"/>
          </w:rPr>
          <w:t>ATTACHMENT D — OPENING REMARKS BY THE WCPFC EXECUTIVE DIRECTOR</w:t>
        </w:r>
        <w:r w:rsidR="006958E8">
          <w:rPr>
            <w:noProof/>
            <w:webHidden/>
          </w:rPr>
          <w:tab/>
        </w:r>
        <w:r w:rsidR="006958E8">
          <w:rPr>
            <w:noProof/>
            <w:webHidden/>
          </w:rPr>
          <w:fldChar w:fldCharType="begin"/>
        </w:r>
        <w:r w:rsidR="006958E8">
          <w:rPr>
            <w:noProof/>
            <w:webHidden/>
          </w:rPr>
          <w:instrText xml:space="preserve"> PAGEREF _Toc16418033 \h </w:instrText>
        </w:r>
        <w:r w:rsidR="006958E8">
          <w:rPr>
            <w:noProof/>
            <w:webHidden/>
          </w:rPr>
        </w:r>
        <w:r w:rsidR="006958E8">
          <w:rPr>
            <w:noProof/>
            <w:webHidden/>
          </w:rPr>
          <w:fldChar w:fldCharType="separate"/>
        </w:r>
        <w:r w:rsidR="00117A6F">
          <w:rPr>
            <w:noProof/>
            <w:webHidden/>
          </w:rPr>
          <w:t>206</w:t>
        </w:r>
        <w:r w:rsidR="006958E8">
          <w:rPr>
            <w:noProof/>
            <w:webHidden/>
          </w:rPr>
          <w:fldChar w:fldCharType="end"/>
        </w:r>
      </w:hyperlink>
    </w:p>
    <w:p w14:paraId="74B913DA" w14:textId="51816295"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34" w:history="1">
        <w:r w:rsidR="006958E8" w:rsidRPr="001F5801">
          <w:rPr>
            <w:rStyle w:val="Hyperlink"/>
            <w:noProof/>
            <w:lang w:val="en-NZ"/>
          </w:rPr>
          <w:t>ATTACHMENT E — AGENDA</w:t>
        </w:r>
        <w:r w:rsidR="006958E8">
          <w:rPr>
            <w:noProof/>
            <w:webHidden/>
          </w:rPr>
          <w:tab/>
        </w:r>
        <w:r w:rsidR="006958E8">
          <w:rPr>
            <w:noProof/>
            <w:webHidden/>
          </w:rPr>
          <w:fldChar w:fldCharType="begin"/>
        </w:r>
        <w:r w:rsidR="006958E8">
          <w:rPr>
            <w:noProof/>
            <w:webHidden/>
          </w:rPr>
          <w:instrText xml:space="preserve"> PAGEREF _Toc16418034 \h </w:instrText>
        </w:r>
        <w:r w:rsidR="006958E8">
          <w:rPr>
            <w:noProof/>
            <w:webHidden/>
          </w:rPr>
        </w:r>
        <w:r w:rsidR="006958E8">
          <w:rPr>
            <w:noProof/>
            <w:webHidden/>
          </w:rPr>
          <w:fldChar w:fldCharType="separate"/>
        </w:r>
        <w:r w:rsidR="00117A6F">
          <w:rPr>
            <w:noProof/>
            <w:webHidden/>
          </w:rPr>
          <w:t>209</w:t>
        </w:r>
        <w:r w:rsidR="006958E8">
          <w:rPr>
            <w:noProof/>
            <w:webHidden/>
          </w:rPr>
          <w:fldChar w:fldCharType="end"/>
        </w:r>
      </w:hyperlink>
    </w:p>
    <w:p w14:paraId="7B3B90BF" w14:textId="52D3788A"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35" w:history="1">
        <w:r w:rsidR="006958E8" w:rsidRPr="001F5801">
          <w:rPr>
            <w:rStyle w:val="Hyperlink"/>
            <w:noProof/>
          </w:rPr>
          <w:t xml:space="preserve">ATTACHMENT F — TORs FOR A </w:t>
        </w:r>
        <w:r w:rsidR="006958E8" w:rsidRPr="001F5801">
          <w:rPr>
            <w:rStyle w:val="Hyperlink"/>
            <w:noProof/>
            <w:lang w:val="en-NZ"/>
          </w:rPr>
          <w:t>WCPFC SCIENCE-MANAGEMENT DIALOGUE MEETING</w:t>
        </w:r>
        <w:r w:rsidR="006958E8">
          <w:rPr>
            <w:noProof/>
            <w:webHidden/>
          </w:rPr>
          <w:tab/>
        </w:r>
        <w:r w:rsidR="006958E8">
          <w:rPr>
            <w:noProof/>
            <w:webHidden/>
          </w:rPr>
          <w:fldChar w:fldCharType="begin"/>
        </w:r>
        <w:r w:rsidR="006958E8">
          <w:rPr>
            <w:noProof/>
            <w:webHidden/>
          </w:rPr>
          <w:instrText xml:space="preserve"> PAGEREF _Toc16418035 \h </w:instrText>
        </w:r>
        <w:r w:rsidR="006958E8">
          <w:rPr>
            <w:noProof/>
            <w:webHidden/>
          </w:rPr>
        </w:r>
        <w:r w:rsidR="006958E8">
          <w:rPr>
            <w:noProof/>
            <w:webHidden/>
          </w:rPr>
          <w:fldChar w:fldCharType="separate"/>
        </w:r>
        <w:r w:rsidR="00117A6F">
          <w:rPr>
            <w:noProof/>
            <w:webHidden/>
          </w:rPr>
          <w:t>214</w:t>
        </w:r>
        <w:r w:rsidR="006958E8">
          <w:rPr>
            <w:noProof/>
            <w:webHidden/>
          </w:rPr>
          <w:fldChar w:fldCharType="end"/>
        </w:r>
      </w:hyperlink>
    </w:p>
    <w:p w14:paraId="372CE7A6" w14:textId="210859C0"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36" w:history="1">
        <w:r w:rsidR="006958E8" w:rsidRPr="001F5801">
          <w:rPr>
            <w:rStyle w:val="Hyperlink"/>
            <w:noProof/>
          </w:rPr>
          <w:t xml:space="preserve">ATTACHMENT G — </w:t>
        </w:r>
        <w:r w:rsidR="006958E8" w:rsidRPr="001F5801">
          <w:rPr>
            <w:rStyle w:val="Hyperlink"/>
            <w:noProof/>
            <w:lang w:val="en-NZ"/>
          </w:rPr>
          <w:t>SHARK SAFE RELEASE GUIDELINES</w:t>
        </w:r>
        <w:r w:rsidR="006958E8">
          <w:rPr>
            <w:noProof/>
            <w:webHidden/>
          </w:rPr>
          <w:tab/>
        </w:r>
        <w:r w:rsidR="006958E8">
          <w:rPr>
            <w:noProof/>
            <w:webHidden/>
          </w:rPr>
          <w:fldChar w:fldCharType="begin"/>
        </w:r>
        <w:r w:rsidR="006958E8">
          <w:rPr>
            <w:noProof/>
            <w:webHidden/>
          </w:rPr>
          <w:instrText xml:space="preserve"> PAGEREF _Toc16418036 \h </w:instrText>
        </w:r>
        <w:r w:rsidR="006958E8">
          <w:rPr>
            <w:noProof/>
            <w:webHidden/>
          </w:rPr>
        </w:r>
        <w:r w:rsidR="006958E8">
          <w:rPr>
            <w:noProof/>
            <w:webHidden/>
          </w:rPr>
          <w:fldChar w:fldCharType="separate"/>
        </w:r>
        <w:r w:rsidR="00117A6F">
          <w:rPr>
            <w:noProof/>
            <w:webHidden/>
          </w:rPr>
          <w:t>217</w:t>
        </w:r>
        <w:r w:rsidR="006958E8">
          <w:rPr>
            <w:noProof/>
            <w:webHidden/>
          </w:rPr>
          <w:fldChar w:fldCharType="end"/>
        </w:r>
      </w:hyperlink>
    </w:p>
    <w:p w14:paraId="50BF934F" w14:textId="2472F54F"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37" w:history="1">
        <w:r w:rsidR="006958E8" w:rsidRPr="001F5801">
          <w:rPr>
            <w:rStyle w:val="Hyperlink"/>
            <w:noProof/>
            <w:lang w:val="en-NZ"/>
          </w:rPr>
          <w:t>ATTACHMENT H — SHARK RESEARCH PLAN</w:t>
        </w:r>
        <w:r w:rsidR="006958E8">
          <w:rPr>
            <w:noProof/>
            <w:webHidden/>
          </w:rPr>
          <w:tab/>
        </w:r>
        <w:r w:rsidR="006958E8">
          <w:rPr>
            <w:noProof/>
            <w:webHidden/>
          </w:rPr>
          <w:fldChar w:fldCharType="begin"/>
        </w:r>
        <w:r w:rsidR="006958E8">
          <w:rPr>
            <w:noProof/>
            <w:webHidden/>
          </w:rPr>
          <w:instrText xml:space="preserve"> PAGEREF _Toc16418037 \h </w:instrText>
        </w:r>
        <w:r w:rsidR="006958E8">
          <w:rPr>
            <w:noProof/>
            <w:webHidden/>
          </w:rPr>
        </w:r>
        <w:r w:rsidR="006958E8">
          <w:rPr>
            <w:noProof/>
            <w:webHidden/>
          </w:rPr>
          <w:fldChar w:fldCharType="separate"/>
        </w:r>
        <w:r w:rsidR="00117A6F">
          <w:rPr>
            <w:noProof/>
            <w:webHidden/>
          </w:rPr>
          <w:t>219</w:t>
        </w:r>
        <w:r w:rsidR="006958E8">
          <w:rPr>
            <w:noProof/>
            <w:webHidden/>
          </w:rPr>
          <w:fldChar w:fldCharType="end"/>
        </w:r>
      </w:hyperlink>
    </w:p>
    <w:p w14:paraId="60832CE4" w14:textId="62CD6A4A"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38" w:history="1">
        <w:r w:rsidR="006958E8" w:rsidRPr="001F5801">
          <w:rPr>
            <w:rStyle w:val="Hyperlink"/>
            <w:noProof/>
          </w:rPr>
          <w:t>ATTACHMENT I — WORK PROGRAMME AND BUDGET FOR 2019-2021</w:t>
        </w:r>
        <w:r w:rsidR="006958E8">
          <w:rPr>
            <w:noProof/>
            <w:webHidden/>
          </w:rPr>
          <w:tab/>
        </w:r>
        <w:r w:rsidR="006958E8">
          <w:rPr>
            <w:noProof/>
            <w:webHidden/>
          </w:rPr>
          <w:fldChar w:fldCharType="begin"/>
        </w:r>
        <w:r w:rsidR="006958E8">
          <w:rPr>
            <w:noProof/>
            <w:webHidden/>
          </w:rPr>
          <w:instrText xml:space="preserve"> PAGEREF _Toc16418038 \h </w:instrText>
        </w:r>
        <w:r w:rsidR="006958E8">
          <w:rPr>
            <w:noProof/>
            <w:webHidden/>
          </w:rPr>
        </w:r>
        <w:r w:rsidR="006958E8">
          <w:rPr>
            <w:noProof/>
            <w:webHidden/>
          </w:rPr>
          <w:fldChar w:fldCharType="separate"/>
        </w:r>
        <w:r w:rsidR="00117A6F">
          <w:rPr>
            <w:noProof/>
            <w:webHidden/>
          </w:rPr>
          <w:t>224</w:t>
        </w:r>
        <w:r w:rsidR="006958E8">
          <w:rPr>
            <w:noProof/>
            <w:webHidden/>
          </w:rPr>
          <w:fldChar w:fldCharType="end"/>
        </w:r>
      </w:hyperlink>
    </w:p>
    <w:p w14:paraId="235E15F3" w14:textId="53C81510" w:rsidR="006958E8" w:rsidRDefault="00BC5151">
      <w:pPr>
        <w:pStyle w:val="TOC1"/>
        <w:tabs>
          <w:tab w:val="right" w:leader="dot" w:pos="9350"/>
        </w:tabs>
        <w:rPr>
          <w:rFonts w:asciiTheme="minorHAnsi" w:eastAsiaTheme="minorEastAsia" w:hAnsiTheme="minorHAnsi" w:cstheme="minorBidi"/>
          <w:noProof/>
          <w:szCs w:val="28"/>
          <w:lang w:eastAsia="zh-CN" w:bidi="mn-Mong-CN"/>
        </w:rPr>
      </w:pPr>
      <w:hyperlink w:anchor="_Toc16418039" w:history="1">
        <w:r w:rsidR="006958E8" w:rsidRPr="001F5801">
          <w:rPr>
            <w:rStyle w:val="Hyperlink"/>
            <w:noProof/>
            <w:lang w:val="en-NZ"/>
          </w:rPr>
          <w:t>ATTACHMENT J — LIST OF ABBREVIATIONS</w:t>
        </w:r>
        <w:r w:rsidR="006958E8">
          <w:rPr>
            <w:noProof/>
            <w:webHidden/>
          </w:rPr>
          <w:tab/>
        </w:r>
        <w:r w:rsidR="006958E8">
          <w:rPr>
            <w:noProof/>
            <w:webHidden/>
          </w:rPr>
          <w:fldChar w:fldCharType="begin"/>
        </w:r>
        <w:r w:rsidR="006958E8">
          <w:rPr>
            <w:noProof/>
            <w:webHidden/>
          </w:rPr>
          <w:instrText xml:space="preserve"> PAGEREF _Toc16418039 \h </w:instrText>
        </w:r>
        <w:r w:rsidR="006958E8">
          <w:rPr>
            <w:noProof/>
            <w:webHidden/>
          </w:rPr>
        </w:r>
        <w:r w:rsidR="006958E8">
          <w:rPr>
            <w:noProof/>
            <w:webHidden/>
          </w:rPr>
          <w:fldChar w:fldCharType="separate"/>
        </w:r>
        <w:r w:rsidR="00117A6F">
          <w:rPr>
            <w:noProof/>
            <w:webHidden/>
          </w:rPr>
          <w:t>252</w:t>
        </w:r>
        <w:r w:rsidR="006958E8">
          <w:rPr>
            <w:noProof/>
            <w:webHidden/>
          </w:rPr>
          <w:fldChar w:fldCharType="end"/>
        </w:r>
      </w:hyperlink>
    </w:p>
    <w:p w14:paraId="18EAA7B7" w14:textId="18BC24F6" w:rsidR="00E37274" w:rsidRPr="004635E5" w:rsidRDefault="00472973" w:rsidP="0063725B">
      <w:pPr>
        <w:rPr>
          <w:b/>
          <w:bCs/>
          <w:sz w:val="22"/>
          <w:szCs w:val="22"/>
          <w:lang w:val="en-AU" w:eastAsia="en-NZ"/>
        </w:rPr>
      </w:pPr>
      <w:r w:rsidRPr="004635E5">
        <w:rPr>
          <w:b/>
          <w:bCs/>
          <w:sz w:val="22"/>
          <w:szCs w:val="22"/>
          <w:lang w:val="en-AU" w:eastAsia="en-NZ"/>
        </w:rPr>
        <w:fldChar w:fldCharType="end"/>
      </w:r>
    </w:p>
    <w:p w14:paraId="7D30E34E" w14:textId="77777777" w:rsidR="00E37274" w:rsidRPr="004635E5" w:rsidRDefault="00E37274" w:rsidP="0063725B">
      <w:pPr>
        <w:jc w:val="center"/>
        <w:rPr>
          <w:sz w:val="22"/>
          <w:szCs w:val="22"/>
          <w:lang w:val="en-NZ"/>
        </w:rPr>
      </w:pPr>
      <w:r w:rsidRPr="004635E5">
        <w:rPr>
          <w:b/>
          <w:bCs/>
          <w:sz w:val="22"/>
          <w:szCs w:val="22"/>
          <w:lang w:val="en-AU" w:eastAsia="en-NZ"/>
        </w:rPr>
        <w:br w:type="page"/>
      </w:r>
      <w:r w:rsidRPr="004635E5">
        <w:rPr>
          <w:b/>
          <w:bCs/>
          <w:sz w:val="22"/>
          <w:szCs w:val="22"/>
          <w:lang w:val="en-AU" w:eastAsia="en-NZ"/>
        </w:rPr>
        <w:lastRenderedPageBreak/>
        <w:t xml:space="preserve">The Commission for the Conservation and Management of </w:t>
      </w:r>
      <w:r w:rsidRPr="004635E5">
        <w:rPr>
          <w:b/>
          <w:bCs/>
          <w:sz w:val="22"/>
          <w:szCs w:val="22"/>
          <w:lang w:val="en-AU" w:eastAsia="en-NZ"/>
        </w:rPr>
        <w:br/>
        <w:t>Highly Migratory Fish Stocks in the Western and Central Pacific Ocean</w:t>
      </w:r>
    </w:p>
    <w:p w14:paraId="578D20A5" w14:textId="77777777" w:rsidR="00E37274" w:rsidRPr="004635E5" w:rsidRDefault="00E37274" w:rsidP="0063725B">
      <w:pPr>
        <w:autoSpaceDE w:val="0"/>
        <w:autoSpaceDN w:val="0"/>
        <w:adjustRightInd w:val="0"/>
        <w:snapToGrid w:val="0"/>
        <w:jc w:val="center"/>
        <w:rPr>
          <w:b/>
          <w:bCs/>
          <w:sz w:val="22"/>
          <w:szCs w:val="22"/>
          <w:lang w:val="en-AU" w:eastAsia="en-NZ"/>
        </w:rPr>
      </w:pPr>
    </w:p>
    <w:p w14:paraId="5C2A36C7" w14:textId="77777777" w:rsidR="00E37274" w:rsidRPr="004635E5" w:rsidRDefault="00E37274" w:rsidP="0063725B">
      <w:pPr>
        <w:autoSpaceDE w:val="0"/>
        <w:autoSpaceDN w:val="0"/>
        <w:adjustRightInd w:val="0"/>
        <w:snapToGrid w:val="0"/>
        <w:jc w:val="center"/>
        <w:rPr>
          <w:b/>
          <w:bCs/>
          <w:sz w:val="22"/>
          <w:szCs w:val="22"/>
          <w:lang w:val="en-AU" w:eastAsia="ko-KR"/>
        </w:rPr>
      </w:pPr>
      <w:r w:rsidRPr="004635E5">
        <w:rPr>
          <w:b/>
          <w:bCs/>
          <w:sz w:val="22"/>
          <w:szCs w:val="22"/>
          <w:lang w:val="en-AU" w:eastAsia="en-NZ"/>
        </w:rPr>
        <w:t xml:space="preserve">Scientific Committee </w:t>
      </w:r>
    </w:p>
    <w:p w14:paraId="5A844C27" w14:textId="77777777" w:rsidR="00E37274" w:rsidRPr="004635E5" w:rsidRDefault="00E37274" w:rsidP="0063725B">
      <w:pPr>
        <w:autoSpaceDE w:val="0"/>
        <w:autoSpaceDN w:val="0"/>
        <w:adjustRightInd w:val="0"/>
        <w:snapToGrid w:val="0"/>
        <w:jc w:val="center"/>
        <w:rPr>
          <w:b/>
          <w:bCs/>
          <w:sz w:val="22"/>
          <w:szCs w:val="22"/>
          <w:lang w:val="en-AU" w:eastAsia="ko-KR"/>
        </w:rPr>
      </w:pPr>
      <w:r w:rsidRPr="004635E5">
        <w:rPr>
          <w:b/>
          <w:bCs/>
          <w:sz w:val="22"/>
          <w:szCs w:val="22"/>
          <w:lang w:val="en-AU" w:eastAsia="en-NZ"/>
        </w:rPr>
        <w:t>Fourteenth Regular Session</w:t>
      </w:r>
    </w:p>
    <w:p w14:paraId="206A6889" w14:textId="77777777" w:rsidR="00E37274" w:rsidRPr="004635E5" w:rsidRDefault="00E37274" w:rsidP="0063725B">
      <w:pPr>
        <w:adjustRightInd w:val="0"/>
        <w:snapToGrid w:val="0"/>
        <w:jc w:val="center"/>
        <w:rPr>
          <w:b/>
          <w:sz w:val="22"/>
          <w:szCs w:val="22"/>
          <w:lang w:val="en-NZ"/>
        </w:rPr>
      </w:pPr>
    </w:p>
    <w:p w14:paraId="2D39069E" w14:textId="77777777" w:rsidR="00E37274" w:rsidRPr="004635E5" w:rsidRDefault="00E37274" w:rsidP="0063725B">
      <w:pPr>
        <w:adjustRightInd w:val="0"/>
        <w:snapToGrid w:val="0"/>
        <w:jc w:val="center"/>
        <w:rPr>
          <w:bCs/>
          <w:sz w:val="22"/>
          <w:szCs w:val="22"/>
        </w:rPr>
      </w:pPr>
      <w:r w:rsidRPr="004635E5">
        <w:rPr>
          <w:rFonts w:eastAsiaTheme="minorEastAsia"/>
          <w:bCs/>
          <w:sz w:val="22"/>
          <w:szCs w:val="22"/>
          <w:lang w:eastAsia="ko-KR"/>
        </w:rPr>
        <w:t>Busan, Republic of Korea</w:t>
      </w:r>
    </w:p>
    <w:p w14:paraId="7FBFB3BC" w14:textId="77777777" w:rsidR="00E37274" w:rsidRPr="004635E5" w:rsidRDefault="00E37274" w:rsidP="0063725B">
      <w:pPr>
        <w:adjustRightInd w:val="0"/>
        <w:snapToGrid w:val="0"/>
        <w:jc w:val="center"/>
        <w:rPr>
          <w:b/>
          <w:bCs/>
          <w:sz w:val="22"/>
          <w:szCs w:val="22"/>
          <w:lang w:val="en-AU" w:eastAsia="en-NZ"/>
        </w:rPr>
      </w:pPr>
      <w:r w:rsidRPr="004635E5">
        <w:rPr>
          <w:rFonts w:eastAsiaTheme="minorEastAsia"/>
          <w:bCs/>
          <w:sz w:val="22"/>
          <w:szCs w:val="22"/>
          <w:lang w:eastAsia="ko-KR"/>
        </w:rPr>
        <w:t>8–16</w:t>
      </w:r>
      <w:r w:rsidRPr="004635E5">
        <w:rPr>
          <w:bCs/>
          <w:sz w:val="22"/>
          <w:szCs w:val="22"/>
        </w:rPr>
        <w:t xml:space="preserve"> August 201</w:t>
      </w:r>
      <w:r w:rsidRPr="004635E5">
        <w:rPr>
          <w:rFonts w:eastAsiaTheme="minorEastAsia"/>
          <w:bCs/>
          <w:sz w:val="22"/>
          <w:szCs w:val="22"/>
          <w:lang w:eastAsia="ko-KR"/>
        </w:rPr>
        <w:t>8</w:t>
      </w:r>
    </w:p>
    <w:p w14:paraId="785F396A" w14:textId="77777777" w:rsidR="00E37274" w:rsidRPr="004635E5" w:rsidRDefault="00E37274" w:rsidP="0063725B">
      <w:pPr>
        <w:rPr>
          <w:b/>
          <w:bCs/>
          <w:sz w:val="22"/>
          <w:szCs w:val="22"/>
          <w:lang w:val="en-AU" w:eastAsia="en-NZ"/>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E37274" w:rsidRPr="004635E5" w14:paraId="15D9E98E" w14:textId="77777777" w:rsidTr="005E7A19">
        <w:trPr>
          <w:trHeight w:val="123"/>
        </w:trPr>
        <w:tc>
          <w:tcPr>
            <w:tcW w:w="9576" w:type="dxa"/>
            <w:tcBorders>
              <w:top w:val="single" w:sz="12" w:space="0" w:color="auto"/>
              <w:left w:val="nil"/>
              <w:bottom w:val="single" w:sz="12" w:space="0" w:color="auto"/>
              <w:right w:val="nil"/>
            </w:tcBorders>
            <w:hideMark/>
          </w:tcPr>
          <w:p w14:paraId="782A9D1A" w14:textId="77777777" w:rsidR="00E37274" w:rsidRPr="004635E5" w:rsidRDefault="00E37274" w:rsidP="0063725B">
            <w:pPr>
              <w:jc w:val="center"/>
              <w:rPr>
                <w:b/>
                <w:bCs/>
                <w:sz w:val="22"/>
                <w:szCs w:val="22"/>
                <w:lang w:val="en-AU" w:eastAsia="en-NZ"/>
              </w:rPr>
            </w:pPr>
            <w:r w:rsidRPr="004635E5">
              <w:rPr>
                <w:b/>
                <w:bCs/>
                <w:sz w:val="22"/>
                <w:szCs w:val="22"/>
                <w:lang w:val="en-AU" w:eastAsia="en-NZ"/>
              </w:rPr>
              <w:t>EXECUTIVE SUMMARY</w:t>
            </w:r>
            <w:r w:rsidR="00472973" w:rsidRPr="004635E5">
              <w:rPr>
                <w:b/>
                <w:bCs/>
                <w:sz w:val="22"/>
                <w:szCs w:val="22"/>
                <w:lang w:val="en-AU" w:eastAsia="en-NZ"/>
              </w:rPr>
              <w:fldChar w:fldCharType="begin"/>
            </w:r>
            <w:r w:rsidRPr="004635E5">
              <w:rPr>
                <w:sz w:val="22"/>
                <w:szCs w:val="22"/>
              </w:rPr>
              <w:instrText xml:space="preserve"> TC "</w:instrText>
            </w:r>
            <w:bookmarkStart w:id="0" w:name="_Toc522810360"/>
            <w:bookmarkStart w:id="1" w:name="_Toc16417999"/>
            <w:r w:rsidRPr="004635E5">
              <w:rPr>
                <w:b/>
                <w:bCs/>
                <w:sz w:val="22"/>
                <w:szCs w:val="22"/>
                <w:lang w:val="en-AU" w:eastAsia="en-NZ"/>
              </w:rPr>
              <w:instrText>EXECUTIVE SUMMARY</w:instrText>
            </w:r>
            <w:bookmarkEnd w:id="0"/>
            <w:bookmarkEnd w:id="1"/>
            <w:r w:rsidRPr="004635E5">
              <w:rPr>
                <w:sz w:val="22"/>
                <w:szCs w:val="22"/>
              </w:rPr>
              <w:instrText xml:space="preserve">" \f C \l "1" </w:instrText>
            </w:r>
            <w:r w:rsidR="00472973" w:rsidRPr="004635E5">
              <w:rPr>
                <w:b/>
                <w:bCs/>
                <w:sz w:val="22"/>
                <w:szCs w:val="22"/>
                <w:lang w:val="en-AU" w:eastAsia="en-NZ"/>
              </w:rPr>
              <w:fldChar w:fldCharType="end"/>
            </w:r>
          </w:p>
        </w:tc>
      </w:tr>
    </w:tbl>
    <w:p w14:paraId="63E1B0D8" w14:textId="77777777" w:rsidR="003D217E" w:rsidRPr="00166D0D" w:rsidRDefault="003D217E" w:rsidP="003D217E">
      <w:pPr>
        <w:adjustRightInd w:val="0"/>
        <w:snapToGrid w:val="0"/>
        <w:jc w:val="center"/>
        <w:rPr>
          <w:rFonts w:eastAsiaTheme="minorEastAsia"/>
          <w:bCs/>
          <w:sz w:val="22"/>
          <w:szCs w:val="22"/>
          <w:lang w:eastAsia="ko-KR"/>
        </w:rPr>
      </w:pPr>
    </w:p>
    <w:p w14:paraId="644A3A83" w14:textId="77777777" w:rsidR="003D217E" w:rsidRDefault="003D217E" w:rsidP="003D217E">
      <w:pPr>
        <w:adjustRightInd w:val="0"/>
        <w:snapToGrid w:val="0"/>
        <w:jc w:val="center"/>
        <w:rPr>
          <w:rFonts w:eastAsiaTheme="minorEastAsia"/>
          <w:bCs/>
          <w:sz w:val="22"/>
          <w:szCs w:val="22"/>
          <w:lang w:eastAsia="ko-KR"/>
        </w:rPr>
      </w:pPr>
    </w:p>
    <w:p w14:paraId="0EB3B0F3" w14:textId="77777777" w:rsidR="003D217E" w:rsidRPr="004635E5" w:rsidRDefault="003D217E" w:rsidP="003D217E">
      <w:pPr>
        <w:adjustRightInd w:val="0"/>
        <w:snapToGrid w:val="0"/>
        <w:jc w:val="center"/>
        <w:rPr>
          <w:rFonts w:eastAsiaTheme="minorEastAsia"/>
          <w:bCs/>
          <w:sz w:val="22"/>
          <w:szCs w:val="22"/>
          <w:lang w:eastAsia="ko-KR"/>
        </w:rPr>
      </w:pPr>
    </w:p>
    <w:p w14:paraId="1E980956" w14:textId="77777777" w:rsidR="003D217E" w:rsidRPr="00166EEA" w:rsidRDefault="003D217E" w:rsidP="003D217E">
      <w:pPr>
        <w:pStyle w:val="Heading1"/>
        <w:numPr>
          <w:ilvl w:val="0"/>
          <w:numId w:val="0"/>
        </w:numPr>
        <w:adjustRightInd w:val="0"/>
        <w:snapToGrid w:val="0"/>
        <w:spacing w:after="0"/>
        <w:ind w:left="360"/>
        <w:rPr>
          <w:sz w:val="28"/>
          <w:szCs w:val="28"/>
        </w:rPr>
      </w:pPr>
      <w:r w:rsidRPr="00166EEA">
        <w:rPr>
          <w:sz w:val="28"/>
          <w:szCs w:val="28"/>
        </w:rPr>
        <w:t>AGENDA ITEM 1 — OPENING OF THE MEETING</w:t>
      </w:r>
    </w:p>
    <w:p w14:paraId="49AADE6A" w14:textId="77777777" w:rsidR="003D217E" w:rsidRDefault="003D217E" w:rsidP="003D217E">
      <w:pPr>
        <w:pStyle w:val="Heading1"/>
        <w:numPr>
          <w:ilvl w:val="0"/>
          <w:numId w:val="0"/>
        </w:numPr>
        <w:tabs>
          <w:tab w:val="left" w:pos="2744"/>
        </w:tabs>
        <w:adjustRightInd w:val="0"/>
        <w:snapToGrid w:val="0"/>
        <w:spacing w:after="0"/>
        <w:ind w:left="360"/>
        <w:jc w:val="left"/>
        <w:rPr>
          <w:lang w:eastAsia="ko-KR"/>
        </w:rPr>
      </w:pPr>
      <w:r>
        <w:rPr>
          <w:lang w:eastAsia="ko-KR"/>
        </w:rPr>
        <w:tab/>
      </w:r>
    </w:p>
    <w:p w14:paraId="3B236EDC" w14:textId="77777777" w:rsidR="003D217E" w:rsidRPr="00146B98" w:rsidRDefault="003D217E" w:rsidP="003D217E">
      <w:pPr>
        <w:pStyle w:val="Heading1"/>
        <w:numPr>
          <w:ilvl w:val="0"/>
          <w:numId w:val="0"/>
        </w:numPr>
        <w:tabs>
          <w:tab w:val="left" w:pos="2744"/>
        </w:tabs>
        <w:adjustRightInd w:val="0"/>
        <w:snapToGrid w:val="0"/>
        <w:spacing w:after="0"/>
        <w:ind w:left="360"/>
        <w:jc w:val="left"/>
        <w:rPr>
          <w:bCs w:val="0"/>
          <w:lang w:val="en-AU"/>
        </w:rPr>
      </w:pPr>
      <w:r w:rsidRPr="004635E5">
        <w:fldChar w:fldCharType="begin"/>
      </w:r>
      <w:r w:rsidRPr="004635E5">
        <w:instrText xml:space="preserve"> TC "</w:instrText>
      </w:r>
      <w:bookmarkStart w:id="2" w:name="_Toc10607002"/>
      <w:bookmarkStart w:id="3" w:name="_Toc10607263"/>
      <w:bookmarkStart w:id="4" w:name="_Toc10607352"/>
      <w:bookmarkStart w:id="5" w:name="_Toc10607537"/>
      <w:bookmarkStart w:id="6" w:name="_Toc16418000"/>
      <w:r w:rsidRPr="004635E5">
        <w:instrText>AGENDA ITEM 1 — OPENING OF THE MEETING</w:instrText>
      </w:r>
      <w:bookmarkEnd w:id="2"/>
      <w:bookmarkEnd w:id="3"/>
      <w:bookmarkEnd w:id="4"/>
      <w:bookmarkEnd w:id="5"/>
      <w:bookmarkEnd w:id="6"/>
      <w:r w:rsidRPr="004635E5">
        <w:instrText xml:space="preserve">" \f C \l "1" </w:instrText>
      </w:r>
      <w:r w:rsidRPr="004635E5">
        <w:fldChar w:fldCharType="end"/>
      </w:r>
    </w:p>
    <w:p w14:paraId="5960CC68" w14:textId="77777777" w:rsidR="003D217E" w:rsidRDefault="003D217E" w:rsidP="001740C5">
      <w:pPr>
        <w:pStyle w:val="WCPFC"/>
        <w:ind w:left="0" w:firstLine="0"/>
      </w:pPr>
      <w:r>
        <w:t xml:space="preserve">The </w:t>
      </w:r>
      <w:r>
        <w:rPr>
          <w:lang w:eastAsia="ko-KR"/>
        </w:rPr>
        <w:t>F</w:t>
      </w:r>
      <w:r>
        <w:t xml:space="preserve">ourteenth Regular Session of the Scientific Committee of the Commission for the Conservation and Management of Highly Migratory Fish Stocks in the Western and Central Pacific Ocean took place from 8–16 August 2018 at the Lotte Hotel, </w:t>
      </w:r>
      <w:r>
        <w:rPr>
          <w:bCs/>
        </w:rPr>
        <w:t>Busan, Republic of Korea</w:t>
      </w:r>
      <w:r>
        <w:t xml:space="preserve">. </w:t>
      </w:r>
    </w:p>
    <w:p w14:paraId="718E8D7E" w14:textId="77777777" w:rsidR="003D217E" w:rsidRDefault="003D217E" w:rsidP="003D217E">
      <w:pPr>
        <w:pStyle w:val="WCPFC"/>
        <w:adjustRightInd w:val="0"/>
        <w:spacing w:after="0"/>
        <w:ind w:left="0" w:firstLine="0"/>
      </w:pPr>
      <w:r>
        <w:t xml:space="preserve">The following WCPFC Members, Cooperating Non-members and Participating Territories (CCMs) attended SC14: Australia, China, Cook Islands, European Union (EU), Federated States of Micronesia (FSM), Fiji, French Polynesia, Indonesia, Japan, Kiribati, Republic of Korea, </w:t>
      </w:r>
      <w:r>
        <w:rPr>
          <w:lang w:eastAsia="ko-KR"/>
        </w:rPr>
        <w:t xml:space="preserve">Republic of </w:t>
      </w:r>
      <w:r>
        <w:t>Marshall Islands</w:t>
      </w:r>
      <w:r>
        <w:rPr>
          <w:lang w:eastAsia="ko-KR"/>
        </w:rPr>
        <w:t xml:space="preserve"> (RMI)</w:t>
      </w:r>
      <w:r>
        <w:t>, Nauru, New Caledonia, New Zealand, Palau, Philippines, Papua New Guinea</w:t>
      </w:r>
      <w:r>
        <w:rPr>
          <w:lang w:eastAsia="ko-KR"/>
        </w:rPr>
        <w:t xml:space="preserve"> (PNG)</w:t>
      </w:r>
      <w:r>
        <w:t>, Samoa, Solomon Islands, Chinese Taipei, Tokelau, Tonga, Tuvalu, United States of America (USA), Vanuatu and Vietnam.</w:t>
      </w:r>
    </w:p>
    <w:p w14:paraId="04D70134" w14:textId="77777777" w:rsidR="003D217E" w:rsidRDefault="003D217E" w:rsidP="003D217E">
      <w:pPr>
        <w:adjustRightInd w:val="0"/>
        <w:snapToGrid w:val="0"/>
        <w:jc w:val="both"/>
        <w:rPr>
          <w:sz w:val="22"/>
          <w:szCs w:val="22"/>
          <w:lang w:val="en-AU"/>
        </w:rPr>
      </w:pPr>
    </w:p>
    <w:p w14:paraId="4755E70E" w14:textId="77777777" w:rsidR="003D217E" w:rsidRDefault="003D217E" w:rsidP="003D217E">
      <w:pPr>
        <w:pStyle w:val="WCPFC"/>
        <w:adjustRightInd w:val="0"/>
        <w:spacing w:after="0"/>
        <w:ind w:left="0" w:firstLine="0"/>
        <w:rPr>
          <w:lang w:val="en-AU"/>
        </w:rPr>
      </w:pPr>
      <w:r>
        <w:rPr>
          <w:lang w:val="en-AU"/>
        </w:rPr>
        <w:t>Observers from the following IGOs and NGOs attended SC14: Pacific Islands Forum Fisheries Agency (FFA), Inter-American Tropical Tuna Commission (IATTC), Parties to the Nauru Agreement (PNA), the Pacific Community (SPC) and the Food and Agriculture Organization of the United Nations (FAO), Birdlife International, Environmental Defense Fund, International Seafood Sustainability Foundation (ISSF), Marine Stewardship Council, The Nature Conservancy, Pacific Islands Tuna Industry Association, The Pew Charitable Trusts (Pew), and the Worldwide Fund for Nature (WWF).</w:t>
      </w:r>
    </w:p>
    <w:p w14:paraId="458DE2A5" w14:textId="77777777" w:rsidR="003D217E" w:rsidRDefault="003D217E" w:rsidP="003D217E">
      <w:pPr>
        <w:adjustRightInd w:val="0"/>
        <w:snapToGrid w:val="0"/>
        <w:jc w:val="both"/>
        <w:rPr>
          <w:sz w:val="22"/>
          <w:szCs w:val="22"/>
          <w:lang w:val="en-AU"/>
        </w:rPr>
      </w:pPr>
    </w:p>
    <w:p w14:paraId="6F3CB69F" w14:textId="77777777" w:rsidR="003D217E" w:rsidRDefault="003D217E" w:rsidP="003D217E">
      <w:pPr>
        <w:pStyle w:val="WCPFC"/>
        <w:adjustRightInd w:val="0"/>
        <w:spacing w:after="0"/>
        <w:ind w:left="0" w:firstLine="0"/>
        <w:rPr>
          <w:lang w:val="en-AU"/>
        </w:rPr>
      </w:pPr>
      <w:r>
        <w:rPr>
          <w:lang w:val="en-AU"/>
        </w:rPr>
        <w:t xml:space="preserve">The Director General Yang Dong-yeob (Korea’s Distant Water Fisheries and International Policy Bureau), </w:t>
      </w:r>
      <w:r>
        <w:t xml:space="preserve">Rhea Moss-Christian (Chair of the WCPFC), </w:t>
      </w:r>
      <w:r>
        <w:rPr>
          <w:lang w:val="en-AU"/>
        </w:rPr>
        <w:t>Feleti Teo (the Exec</w:t>
      </w:r>
      <w:r>
        <w:rPr>
          <w:lang w:val="en-AU" w:eastAsia="ko-KR"/>
        </w:rPr>
        <w:t>u</w:t>
      </w:r>
      <w:r>
        <w:rPr>
          <w:lang w:val="en-AU"/>
        </w:rPr>
        <w:t xml:space="preserve">tive Director) and the SC Chair </w:t>
      </w:r>
      <w:r>
        <w:rPr>
          <w:rFonts w:eastAsia="Batang"/>
          <w:lang w:val="fr-FR" w:eastAsia="ko-KR"/>
        </w:rPr>
        <w:t xml:space="preserve">Ueta Jr. Faasili </w:t>
      </w:r>
      <w:r>
        <w:rPr>
          <w:rFonts w:eastAsia="Batang"/>
          <w:lang w:eastAsia="ko-KR"/>
        </w:rPr>
        <w:t xml:space="preserve">(Samoa) </w:t>
      </w:r>
      <w:r>
        <w:rPr>
          <w:lang w:eastAsia="ko-KR"/>
        </w:rPr>
        <w:t>delivered opening and welcome speeches.</w:t>
      </w:r>
    </w:p>
    <w:p w14:paraId="0736D412" w14:textId="77777777" w:rsidR="003D217E" w:rsidRPr="004635E5" w:rsidRDefault="003D217E" w:rsidP="003D217E">
      <w:pPr>
        <w:pStyle w:val="SC2"/>
        <w:numPr>
          <w:ilvl w:val="0"/>
          <w:numId w:val="0"/>
        </w:numPr>
        <w:spacing w:after="0"/>
        <w:ind w:left="720" w:hanging="720"/>
      </w:pPr>
    </w:p>
    <w:p w14:paraId="5D727600" w14:textId="77777777" w:rsidR="003D217E" w:rsidRDefault="003D217E" w:rsidP="003D217E">
      <w:pPr>
        <w:pStyle w:val="WCPFC"/>
        <w:adjustRightInd w:val="0"/>
        <w:spacing w:after="0"/>
        <w:ind w:left="0" w:firstLine="0"/>
      </w:pPr>
      <w:r>
        <w:t>The theme conveners and their assigned themes were:</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413"/>
        <w:gridCol w:w="5163"/>
      </w:tblGrid>
      <w:tr w:rsidR="003D217E" w:rsidRPr="003763AA" w14:paraId="2D3A8E1F" w14:textId="77777777" w:rsidTr="001740C5">
        <w:tc>
          <w:tcPr>
            <w:tcW w:w="2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B25D870" w14:textId="77777777" w:rsidR="003D217E" w:rsidRPr="003763AA" w:rsidRDefault="003D217E" w:rsidP="001740C5">
            <w:pPr>
              <w:adjustRightInd w:val="0"/>
              <w:snapToGrid w:val="0"/>
              <w:ind w:left="162"/>
              <w:jc w:val="both"/>
              <w:rPr>
                <w:rFonts w:eastAsiaTheme="minorEastAsia"/>
                <w:sz w:val="20"/>
                <w:szCs w:val="20"/>
                <w:lang w:eastAsia="ko-KR"/>
              </w:rPr>
            </w:pPr>
            <w:r w:rsidRPr="003763AA">
              <w:rPr>
                <w:rFonts w:eastAsiaTheme="minorEastAsia"/>
                <w:sz w:val="20"/>
                <w:szCs w:val="20"/>
                <w:lang w:eastAsia="ko-KR"/>
              </w:rPr>
              <w:t xml:space="preserve">Data and Statistics </w:t>
            </w:r>
          </w:p>
        </w:tc>
        <w:tc>
          <w:tcPr>
            <w:tcW w:w="26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5ECEC85" w14:textId="77777777" w:rsidR="003D217E" w:rsidRPr="003763AA" w:rsidRDefault="003D217E" w:rsidP="001740C5">
            <w:pPr>
              <w:adjustRightInd w:val="0"/>
              <w:snapToGrid w:val="0"/>
              <w:jc w:val="both"/>
              <w:rPr>
                <w:rFonts w:eastAsiaTheme="minorEastAsia"/>
                <w:sz w:val="20"/>
                <w:szCs w:val="20"/>
                <w:lang w:val="fr-FR" w:eastAsia="ko-KR"/>
              </w:rPr>
            </w:pPr>
            <w:r w:rsidRPr="003763AA">
              <w:rPr>
                <w:rFonts w:eastAsiaTheme="minorEastAsia"/>
                <w:sz w:val="20"/>
                <w:szCs w:val="20"/>
                <w:lang w:val="fr-FR" w:eastAsia="ko-KR"/>
              </w:rPr>
              <w:t>V. Post (USA)</w:t>
            </w:r>
          </w:p>
        </w:tc>
      </w:tr>
      <w:tr w:rsidR="003D217E" w:rsidRPr="003763AA" w14:paraId="732EBB59" w14:textId="77777777" w:rsidTr="001740C5">
        <w:tc>
          <w:tcPr>
            <w:tcW w:w="2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A6B1301" w14:textId="77777777" w:rsidR="003D217E" w:rsidRPr="003763AA" w:rsidRDefault="003D217E" w:rsidP="001740C5">
            <w:pPr>
              <w:adjustRightInd w:val="0"/>
              <w:snapToGrid w:val="0"/>
              <w:ind w:left="162"/>
              <w:jc w:val="both"/>
              <w:rPr>
                <w:rFonts w:eastAsiaTheme="minorEastAsia"/>
                <w:sz w:val="20"/>
                <w:szCs w:val="20"/>
                <w:lang w:eastAsia="ko-KR"/>
              </w:rPr>
            </w:pPr>
            <w:r w:rsidRPr="003763AA">
              <w:rPr>
                <w:rFonts w:eastAsiaTheme="minorEastAsia"/>
                <w:sz w:val="20"/>
                <w:szCs w:val="20"/>
                <w:lang w:eastAsia="ko-KR"/>
              </w:rPr>
              <w:t xml:space="preserve">Stock Assessment </w:t>
            </w:r>
          </w:p>
        </w:tc>
        <w:tc>
          <w:tcPr>
            <w:tcW w:w="26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8C4DBBD" w14:textId="77777777" w:rsidR="003D217E" w:rsidRPr="003763AA" w:rsidRDefault="003D217E" w:rsidP="001740C5">
            <w:pPr>
              <w:adjustRightInd w:val="0"/>
              <w:snapToGrid w:val="0"/>
              <w:jc w:val="both"/>
              <w:rPr>
                <w:rFonts w:eastAsiaTheme="minorEastAsia"/>
                <w:sz w:val="20"/>
                <w:szCs w:val="20"/>
                <w:lang w:eastAsia="ko-KR"/>
              </w:rPr>
            </w:pPr>
            <w:r w:rsidRPr="003763AA">
              <w:rPr>
                <w:sz w:val="20"/>
                <w:szCs w:val="20"/>
              </w:rPr>
              <w:t>J. Brodziak</w:t>
            </w:r>
            <w:r w:rsidRPr="003763AA">
              <w:rPr>
                <w:rFonts w:eastAsiaTheme="minorEastAsia"/>
                <w:sz w:val="20"/>
                <w:szCs w:val="20"/>
                <w:lang w:eastAsia="ko-KR"/>
              </w:rPr>
              <w:t xml:space="preserve"> (USA) and </w:t>
            </w:r>
            <w:r w:rsidRPr="003763AA">
              <w:rPr>
                <w:sz w:val="20"/>
                <w:szCs w:val="20"/>
              </w:rPr>
              <w:t>H. Minami (Japan)</w:t>
            </w:r>
          </w:p>
        </w:tc>
      </w:tr>
      <w:tr w:rsidR="003D217E" w:rsidRPr="003763AA" w14:paraId="1C7A44B2" w14:textId="77777777" w:rsidTr="001740C5">
        <w:tc>
          <w:tcPr>
            <w:tcW w:w="2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2D62F6E" w14:textId="77777777" w:rsidR="003D217E" w:rsidRPr="003763AA" w:rsidRDefault="003D217E" w:rsidP="001740C5">
            <w:pPr>
              <w:adjustRightInd w:val="0"/>
              <w:snapToGrid w:val="0"/>
              <w:ind w:left="162"/>
              <w:jc w:val="both"/>
              <w:rPr>
                <w:rFonts w:eastAsiaTheme="minorEastAsia"/>
                <w:sz w:val="20"/>
                <w:szCs w:val="20"/>
                <w:lang w:eastAsia="ko-KR"/>
              </w:rPr>
            </w:pPr>
            <w:r w:rsidRPr="003763AA">
              <w:rPr>
                <w:rFonts w:eastAsiaTheme="minorEastAsia"/>
                <w:sz w:val="20"/>
                <w:szCs w:val="20"/>
                <w:lang w:eastAsia="ko-KR"/>
              </w:rPr>
              <w:t xml:space="preserve">Management Issues </w:t>
            </w:r>
          </w:p>
        </w:tc>
        <w:tc>
          <w:tcPr>
            <w:tcW w:w="26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DE67098" w14:textId="77777777" w:rsidR="003D217E" w:rsidRPr="003763AA" w:rsidRDefault="003D217E" w:rsidP="001740C5">
            <w:pPr>
              <w:adjustRightInd w:val="0"/>
              <w:snapToGrid w:val="0"/>
              <w:jc w:val="both"/>
              <w:rPr>
                <w:rFonts w:eastAsiaTheme="minorEastAsia"/>
                <w:sz w:val="20"/>
                <w:szCs w:val="20"/>
                <w:lang w:eastAsia="ko-KR"/>
              </w:rPr>
            </w:pPr>
            <w:r w:rsidRPr="003763AA">
              <w:rPr>
                <w:sz w:val="20"/>
                <w:szCs w:val="20"/>
              </w:rPr>
              <w:t>R. Campbell</w:t>
            </w:r>
            <w:r w:rsidRPr="003763AA">
              <w:rPr>
                <w:rFonts w:eastAsiaTheme="minorEastAsia"/>
                <w:sz w:val="20"/>
                <w:szCs w:val="20"/>
                <w:lang w:eastAsia="ko-KR"/>
              </w:rPr>
              <w:t xml:space="preserve"> (Australia)</w:t>
            </w:r>
          </w:p>
        </w:tc>
      </w:tr>
      <w:tr w:rsidR="003D217E" w:rsidRPr="003763AA" w14:paraId="5711D770" w14:textId="77777777" w:rsidTr="001740C5">
        <w:tc>
          <w:tcPr>
            <w:tcW w:w="2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9AA3376" w14:textId="77777777" w:rsidR="003D217E" w:rsidRPr="003763AA" w:rsidRDefault="003D217E" w:rsidP="001740C5">
            <w:pPr>
              <w:adjustRightInd w:val="0"/>
              <w:snapToGrid w:val="0"/>
              <w:ind w:left="162"/>
              <w:jc w:val="both"/>
              <w:rPr>
                <w:rFonts w:eastAsiaTheme="minorEastAsia"/>
                <w:sz w:val="20"/>
                <w:szCs w:val="20"/>
                <w:lang w:eastAsia="ko-KR"/>
              </w:rPr>
            </w:pPr>
            <w:r w:rsidRPr="003763AA">
              <w:rPr>
                <w:rFonts w:eastAsiaTheme="minorEastAsia"/>
                <w:sz w:val="20"/>
                <w:szCs w:val="20"/>
                <w:lang w:eastAsia="ko-KR"/>
              </w:rPr>
              <w:t xml:space="preserve">Ecosystem and Bycatch Mitigation </w:t>
            </w:r>
          </w:p>
        </w:tc>
        <w:tc>
          <w:tcPr>
            <w:tcW w:w="26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18504B1" w14:textId="77777777" w:rsidR="003D217E" w:rsidRPr="003763AA" w:rsidRDefault="003D217E" w:rsidP="001740C5">
            <w:pPr>
              <w:adjustRightInd w:val="0"/>
              <w:snapToGrid w:val="0"/>
              <w:jc w:val="both"/>
              <w:rPr>
                <w:rFonts w:eastAsiaTheme="minorEastAsia"/>
                <w:sz w:val="20"/>
                <w:szCs w:val="20"/>
                <w:lang w:eastAsia="ko-KR"/>
              </w:rPr>
            </w:pPr>
            <w:r w:rsidRPr="003763AA">
              <w:rPr>
                <w:sz w:val="20"/>
                <w:szCs w:val="20"/>
              </w:rPr>
              <w:t>J. Annala (New Zealand) and Y. Swimmer (USA)</w:t>
            </w:r>
          </w:p>
        </w:tc>
      </w:tr>
    </w:tbl>
    <w:p w14:paraId="6282B50F" w14:textId="77777777" w:rsidR="003D217E" w:rsidRDefault="003D217E" w:rsidP="003D217E">
      <w:pPr>
        <w:pStyle w:val="WCPFC"/>
        <w:numPr>
          <w:ilvl w:val="0"/>
          <w:numId w:val="0"/>
        </w:numPr>
        <w:adjustRightInd w:val="0"/>
        <w:spacing w:after="0"/>
        <w:ind w:left="567"/>
      </w:pPr>
    </w:p>
    <w:p w14:paraId="4B68E454" w14:textId="77777777" w:rsidR="003D217E" w:rsidRDefault="003D217E" w:rsidP="003D217E">
      <w:pPr>
        <w:pStyle w:val="WCPFC"/>
        <w:adjustRightInd w:val="0"/>
        <w:spacing w:after="0"/>
        <w:ind w:left="0" w:firstLine="0"/>
      </w:pPr>
      <w:r>
        <w:rPr>
          <w:lang w:eastAsia="ko-KR"/>
        </w:rPr>
        <w:t>SC1</w:t>
      </w:r>
      <w:r>
        <w:rPr>
          <w:rFonts w:hint="eastAsia"/>
          <w:lang w:eastAsia="ko-KR"/>
        </w:rPr>
        <w:t>4</w:t>
      </w:r>
      <w:r>
        <w:rPr>
          <w:lang w:eastAsia="ko-KR"/>
        </w:rPr>
        <w:t xml:space="preserve"> established </w:t>
      </w:r>
      <w:r>
        <w:rPr>
          <w:rFonts w:hint="eastAsia"/>
          <w:lang w:eastAsia="ko-KR"/>
        </w:rPr>
        <w:t>eight</w:t>
      </w:r>
      <w:r>
        <w:rPr>
          <w:lang w:eastAsia="ko-KR"/>
        </w:rPr>
        <w:t xml:space="preserve"> informal small groups (ISGs) to facilitate the meeting process:</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9" w:type="dxa"/>
          <w:right w:w="29" w:type="dxa"/>
        </w:tblCellMar>
        <w:tblLook w:val="04A0" w:firstRow="1" w:lastRow="0" w:firstColumn="1" w:lastColumn="0" w:noHBand="0" w:noVBand="1"/>
      </w:tblPr>
      <w:tblGrid>
        <w:gridCol w:w="930"/>
        <w:gridCol w:w="6623"/>
        <w:gridCol w:w="1865"/>
      </w:tblGrid>
      <w:tr w:rsidR="003D217E" w:rsidRPr="003763AA" w14:paraId="373306B5" w14:textId="77777777" w:rsidTr="001740C5">
        <w:tc>
          <w:tcPr>
            <w:tcW w:w="494" w:type="pct"/>
            <w:tcBorders>
              <w:top w:val="single" w:sz="2" w:space="0" w:color="auto"/>
              <w:left w:val="single" w:sz="2" w:space="0" w:color="auto"/>
              <w:bottom w:val="single" w:sz="2" w:space="0" w:color="auto"/>
              <w:right w:val="single" w:sz="2" w:space="0" w:color="auto"/>
            </w:tcBorders>
            <w:shd w:val="clear" w:color="auto" w:fill="D9D9D9" w:themeFill="background1" w:themeFillShade="D9"/>
            <w:hideMark/>
          </w:tcPr>
          <w:p w14:paraId="120C493A" w14:textId="77777777" w:rsidR="003D217E" w:rsidRPr="003763AA" w:rsidRDefault="003D217E" w:rsidP="001740C5">
            <w:pPr>
              <w:pStyle w:val="Best2"/>
              <w:numPr>
                <w:ilvl w:val="0"/>
                <w:numId w:val="0"/>
              </w:numPr>
              <w:adjustRightInd w:val="0"/>
              <w:snapToGrid w:val="0"/>
              <w:spacing w:after="0" w:line="240" w:lineRule="auto"/>
              <w:jc w:val="center"/>
              <w:rPr>
                <w:rFonts w:eastAsia="Malgun Gothic" w:cs="Times New Roman"/>
                <w:bCs/>
                <w:sz w:val="20"/>
                <w:szCs w:val="20"/>
                <w:lang w:eastAsia="ko-KR"/>
              </w:rPr>
            </w:pPr>
            <w:r w:rsidRPr="003763AA">
              <w:rPr>
                <w:rFonts w:eastAsia="Malgun Gothic" w:cs="Times New Roman"/>
                <w:bCs/>
                <w:sz w:val="20"/>
                <w:szCs w:val="20"/>
                <w:lang w:eastAsia="ko-KR"/>
              </w:rPr>
              <w:t>ISG ID.</w:t>
            </w:r>
          </w:p>
        </w:tc>
        <w:tc>
          <w:tcPr>
            <w:tcW w:w="3516" w:type="pct"/>
            <w:tcBorders>
              <w:top w:val="single" w:sz="2" w:space="0" w:color="auto"/>
              <w:left w:val="single" w:sz="2" w:space="0" w:color="auto"/>
              <w:bottom w:val="single" w:sz="2" w:space="0" w:color="auto"/>
              <w:right w:val="single" w:sz="2" w:space="0" w:color="auto"/>
            </w:tcBorders>
            <w:shd w:val="clear" w:color="auto" w:fill="D9D9D9" w:themeFill="background1" w:themeFillShade="D9"/>
            <w:hideMark/>
          </w:tcPr>
          <w:p w14:paraId="7C620052" w14:textId="77777777" w:rsidR="003D217E" w:rsidRPr="003763AA" w:rsidRDefault="003D217E" w:rsidP="001740C5">
            <w:pPr>
              <w:adjustRightInd w:val="0"/>
              <w:snapToGrid w:val="0"/>
              <w:spacing w:after="0"/>
              <w:jc w:val="center"/>
              <w:rPr>
                <w:rFonts w:eastAsia="Malgun Gothic"/>
                <w:bCs/>
                <w:sz w:val="20"/>
                <w:szCs w:val="20"/>
                <w:lang w:eastAsia="ko-KR"/>
              </w:rPr>
            </w:pPr>
            <w:r w:rsidRPr="003763AA">
              <w:rPr>
                <w:rFonts w:eastAsia="Malgun Gothic"/>
                <w:bCs/>
                <w:sz w:val="20"/>
                <w:szCs w:val="20"/>
                <w:lang w:eastAsia="ko-KR"/>
              </w:rPr>
              <w:t>Title</w:t>
            </w:r>
          </w:p>
        </w:tc>
        <w:tc>
          <w:tcPr>
            <w:tcW w:w="990" w:type="pct"/>
            <w:tcBorders>
              <w:top w:val="single" w:sz="2" w:space="0" w:color="auto"/>
              <w:left w:val="single" w:sz="2" w:space="0" w:color="auto"/>
              <w:bottom w:val="single" w:sz="2" w:space="0" w:color="auto"/>
              <w:right w:val="single" w:sz="2" w:space="0" w:color="auto"/>
            </w:tcBorders>
            <w:shd w:val="clear" w:color="auto" w:fill="D9D9D9" w:themeFill="background1" w:themeFillShade="D9"/>
            <w:hideMark/>
          </w:tcPr>
          <w:p w14:paraId="56B34A37" w14:textId="77777777" w:rsidR="003D217E" w:rsidRPr="003763AA" w:rsidRDefault="003D217E" w:rsidP="001740C5">
            <w:pPr>
              <w:pStyle w:val="Best2"/>
              <w:numPr>
                <w:ilvl w:val="0"/>
                <w:numId w:val="0"/>
              </w:numPr>
              <w:adjustRightInd w:val="0"/>
              <w:snapToGrid w:val="0"/>
              <w:spacing w:after="0" w:line="240" w:lineRule="auto"/>
              <w:jc w:val="center"/>
              <w:rPr>
                <w:rFonts w:eastAsia="Malgun Gothic" w:cs="Times New Roman"/>
                <w:bCs/>
                <w:sz w:val="20"/>
                <w:szCs w:val="20"/>
                <w:lang w:val="en-US" w:eastAsia="ko-KR"/>
              </w:rPr>
            </w:pPr>
            <w:r w:rsidRPr="003763AA">
              <w:rPr>
                <w:rFonts w:eastAsia="Malgun Gothic" w:cs="Times New Roman"/>
                <w:bCs/>
                <w:sz w:val="20"/>
                <w:szCs w:val="20"/>
                <w:lang w:val="en-US" w:eastAsia="ko-KR"/>
              </w:rPr>
              <w:t>Facilitator</w:t>
            </w:r>
          </w:p>
        </w:tc>
      </w:tr>
      <w:tr w:rsidR="003D217E" w:rsidRPr="003763AA" w14:paraId="7AC6749B" w14:textId="77777777" w:rsidTr="001740C5">
        <w:tc>
          <w:tcPr>
            <w:tcW w:w="494" w:type="pct"/>
            <w:tcBorders>
              <w:top w:val="single" w:sz="2" w:space="0" w:color="auto"/>
              <w:left w:val="single" w:sz="2" w:space="0" w:color="auto"/>
              <w:bottom w:val="single" w:sz="2" w:space="0" w:color="auto"/>
              <w:right w:val="single" w:sz="2" w:space="0" w:color="auto"/>
            </w:tcBorders>
            <w:vAlign w:val="center"/>
            <w:hideMark/>
          </w:tcPr>
          <w:p w14:paraId="3B9528B8" w14:textId="77777777" w:rsidR="003D217E" w:rsidRPr="003763AA" w:rsidRDefault="003D217E" w:rsidP="001740C5">
            <w:pPr>
              <w:adjustRightInd w:val="0"/>
              <w:snapToGrid w:val="0"/>
              <w:spacing w:after="0"/>
              <w:jc w:val="center"/>
              <w:rPr>
                <w:rFonts w:eastAsia="Batang"/>
                <w:sz w:val="20"/>
                <w:szCs w:val="20"/>
                <w:lang w:val="en-NZ" w:eastAsia="ko-KR"/>
              </w:rPr>
            </w:pPr>
            <w:r w:rsidRPr="003763AA">
              <w:rPr>
                <w:rFonts w:eastAsia="Batang"/>
                <w:sz w:val="20"/>
                <w:szCs w:val="20"/>
                <w:lang w:val="en-NZ" w:eastAsia="ko-KR"/>
              </w:rPr>
              <w:t>ISG-01</w:t>
            </w:r>
          </w:p>
        </w:tc>
        <w:tc>
          <w:tcPr>
            <w:tcW w:w="3516" w:type="pct"/>
            <w:tcBorders>
              <w:top w:val="single" w:sz="2" w:space="0" w:color="auto"/>
              <w:left w:val="single" w:sz="2" w:space="0" w:color="auto"/>
              <w:bottom w:val="single" w:sz="2" w:space="0" w:color="auto"/>
              <w:right w:val="single" w:sz="2" w:space="0" w:color="auto"/>
            </w:tcBorders>
            <w:hideMark/>
          </w:tcPr>
          <w:p w14:paraId="6447E1F3"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North Pacific striped marlin and North Pacific blue shark – designation as northern stocks/ management advice</w:t>
            </w:r>
          </w:p>
        </w:tc>
        <w:tc>
          <w:tcPr>
            <w:tcW w:w="990" w:type="pct"/>
            <w:tcBorders>
              <w:top w:val="single" w:sz="2" w:space="0" w:color="auto"/>
              <w:left w:val="single" w:sz="2" w:space="0" w:color="auto"/>
              <w:bottom w:val="single" w:sz="2" w:space="0" w:color="auto"/>
              <w:right w:val="single" w:sz="2" w:space="0" w:color="auto"/>
            </w:tcBorders>
            <w:vAlign w:val="center"/>
            <w:hideMark/>
          </w:tcPr>
          <w:p w14:paraId="34B40F94" w14:textId="77777777" w:rsidR="003D217E" w:rsidRPr="003763AA" w:rsidRDefault="003D217E" w:rsidP="001740C5">
            <w:pPr>
              <w:pStyle w:val="Best2"/>
              <w:numPr>
                <w:ilvl w:val="0"/>
                <w:numId w:val="0"/>
              </w:numPr>
              <w:adjustRightInd w:val="0"/>
              <w:snapToGrid w:val="0"/>
              <w:spacing w:after="0" w:line="240" w:lineRule="auto"/>
              <w:jc w:val="left"/>
              <w:rPr>
                <w:rFonts w:cs="Times New Roman"/>
                <w:sz w:val="20"/>
                <w:szCs w:val="20"/>
                <w:lang w:eastAsia="ko-KR"/>
              </w:rPr>
            </w:pPr>
            <w:r w:rsidRPr="003763AA">
              <w:rPr>
                <w:rFonts w:cs="Times New Roman"/>
                <w:sz w:val="20"/>
                <w:szCs w:val="20"/>
              </w:rPr>
              <w:t>M</w:t>
            </w:r>
            <w:r w:rsidRPr="003763AA">
              <w:rPr>
                <w:rFonts w:cs="Times New Roman"/>
                <w:sz w:val="20"/>
                <w:szCs w:val="20"/>
                <w:lang w:eastAsia="ko-KR"/>
              </w:rPr>
              <w:t>.</w:t>
            </w:r>
            <w:r w:rsidRPr="003763AA">
              <w:rPr>
                <w:rFonts w:cs="Times New Roman"/>
                <w:sz w:val="20"/>
                <w:szCs w:val="20"/>
              </w:rPr>
              <w:t xml:space="preserve"> Kai</w:t>
            </w:r>
          </w:p>
        </w:tc>
      </w:tr>
      <w:tr w:rsidR="003D217E" w:rsidRPr="003763AA" w14:paraId="2ADC4A81" w14:textId="77777777" w:rsidTr="001740C5">
        <w:tc>
          <w:tcPr>
            <w:tcW w:w="494" w:type="pct"/>
            <w:tcBorders>
              <w:top w:val="single" w:sz="2" w:space="0" w:color="auto"/>
              <w:left w:val="single" w:sz="2" w:space="0" w:color="auto"/>
              <w:bottom w:val="single" w:sz="2" w:space="0" w:color="auto"/>
              <w:right w:val="single" w:sz="2" w:space="0" w:color="auto"/>
            </w:tcBorders>
            <w:vAlign w:val="center"/>
            <w:hideMark/>
          </w:tcPr>
          <w:p w14:paraId="2A746854" w14:textId="77777777" w:rsidR="003D217E" w:rsidRPr="003763AA" w:rsidRDefault="003D217E" w:rsidP="001740C5">
            <w:pPr>
              <w:adjustRightInd w:val="0"/>
              <w:snapToGrid w:val="0"/>
              <w:spacing w:after="0"/>
              <w:jc w:val="center"/>
              <w:rPr>
                <w:rFonts w:eastAsia="Batang"/>
                <w:sz w:val="20"/>
                <w:szCs w:val="20"/>
                <w:lang w:val="en-NZ" w:eastAsia="ko-KR"/>
              </w:rPr>
            </w:pPr>
            <w:r w:rsidRPr="003763AA">
              <w:rPr>
                <w:rFonts w:eastAsia="Batang"/>
                <w:sz w:val="20"/>
                <w:szCs w:val="20"/>
                <w:lang w:val="en-NZ" w:eastAsia="ko-KR"/>
              </w:rPr>
              <w:t>ISG-02</w:t>
            </w:r>
          </w:p>
        </w:tc>
        <w:tc>
          <w:tcPr>
            <w:tcW w:w="3516" w:type="pct"/>
            <w:tcBorders>
              <w:top w:val="single" w:sz="2" w:space="0" w:color="auto"/>
              <w:left w:val="single" w:sz="2" w:space="0" w:color="auto"/>
              <w:bottom w:val="single" w:sz="2" w:space="0" w:color="auto"/>
              <w:right w:val="single" w:sz="2" w:space="0" w:color="auto"/>
            </w:tcBorders>
            <w:hideMark/>
          </w:tcPr>
          <w:p w14:paraId="4ED32878" w14:textId="77777777" w:rsidR="003D217E" w:rsidRPr="003763AA" w:rsidRDefault="003D217E" w:rsidP="001740C5">
            <w:pPr>
              <w:adjustRightInd w:val="0"/>
              <w:snapToGrid w:val="0"/>
              <w:spacing w:after="0"/>
              <w:rPr>
                <w:rFonts w:eastAsia="Batang"/>
                <w:sz w:val="20"/>
                <w:szCs w:val="20"/>
                <w:lang w:eastAsia="ko-KR"/>
              </w:rPr>
            </w:pPr>
            <w:r w:rsidRPr="003763AA">
              <w:rPr>
                <w:rFonts w:eastAsia="Batang"/>
                <w:sz w:val="20"/>
                <w:szCs w:val="20"/>
                <w:lang w:val="en-NZ" w:eastAsia="ko-KR"/>
              </w:rPr>
              <w:t>Target reference point for South Pacific albacore tuna</w:t>
            </w:r>
          </w:p>
        </w:tc>
        <w:tc>
          <w:tcPr>
            <w:tcW w:w="990" w:type="pct"/>
            <w:tcBorders>
              <w:top w:val="single" w:sz="2" w:space="0" w:color="auto"/>
              <w:left w:val="single" w:sz="2" w:space="0" w:color="auto"/>
              <w:bottom w:val="single" w:sz="2" w:space="0" w:color="auto"/>
              <w:right w:val="single" w:sz="2" w:space="0" w:color="auto"/>
            </w:tcBorders>
            <w:vAlign w:val="center"/>
            <w:hideMark/>
          </w:tcPr>
          <w:p w14:paraId="15C46827"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Withdrawn</w:t>
            </w:r>
          </w:p>
        </w:tc>
      </w:tr>
      <w:tr w:rsidR="003D217E" w:rsidRPr="003763AA" w14:paraId="5A555863" w14:textId="77777777" w:rsidTr="001740C5">
        <w:tc>
          <w:tcPr>
            <w:tcW w:w="494" w:type="pct"/>
            <w:tcBorders>
              <w:top w:val="single" w:sz="2" w:space="0" w:color="auto"/>
              <w:left w:val="single" w:sz="2" w:space="0" w:color="auto"/>
              <w:bottom w:val="single" w:sz="2" w:space="0" w:color="auto"/>
              <w:right w:val="single" w:sz="2" w:space="0" w:color="auto"/>
            </w:tcBorders>
            <w:vAlign w:val="center"/>
            <w:hideMark/>
          </w:tcPr>
          <w:p w14:paraId="60230264" w14:textId="77777777" w:rsidR="003D217E" w:rsidRPr="003763AA" w:rsidRDefault="003D217E" w:rsidP="001740C5">
            <w:pPr>
              <w:adjustRightInd w:val="0"/>
              <w:snapToGrid w:val="0"/>
              <w:spacing w:after="0"/>
              <w:jc w:val="center"/>
              <w:rPr>
                <w:rFonts w:eastAsia="Batang"/>
                <w:sz w:val="20"/>
                <w:szCs w:val="20"/>
                <w:lang w:val="en-NZ" w:eastAsia="ko-KR"/>
              </w:rPr>
            </w:pPr>
            <w:r w:rsidRPr="003763AA">
              <w:rPr>
                <w:rFonts w:eastAsia="Batang"/>
                <w:sz w:val="20"/>
                <w:szCs w:val="20"/>
                <w:lang w:val="en-NZ" w:eastAsia="ko-KR"/>
              </w:rPr>
              <w:t>ISG-03</w:t>
            </w:r>
          </w:p>
        </w:tc>
        <w:tc>
          <w:tcPr>
            <w:tcW w:w="3516" w:type="pct"/>
            <w:tcBorders>
              <w:top w:val="single" w:sz="2" w:space="0" w:color="auto"/>
              <w:left w:val="single" w:sz="2" w:space="0" w:color="auto"/>
              <w:bottom w:val="single" w:sz="2" w:space="0" w:color="auto"/>
              <w:right w:val="single" w:sz="2" w:space="0" w:color="auto"/>
            </w:tcBorders>
            <w:hideMark/>
          </w:tcPr>
          <w:p w14:paraId="3A1F93C4"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Roadmap for South Pacific albacore</w:t>
            </w:r>
          </w:p>
        </w:tc>
        <w:tc>
          <w:tcPr>
            <w:tcW w:w="990" w:type="pct"/>
            <w:tcBorders>
              <w:top w:val="single" w:sz="2" w:space="0" w:color="auto"/>
              <w:left w:val="single" w:sz="2" w:space="0" w:color="auto"/>
              <w:bottom w:val="single" w:sz="2" w:space="0" w:color="auto"/>
              <w:right w:val="single" w:sz="2" w:space="0" w:color="auto"/>
            </w:tcBorders>
            <w:vAlign w:val="center"/>
            <w:hideMark/>
          </w:tcPr>
          <w:p w14:paraId="68748D15"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S. Williams</w:t>
            </w:r>
          </w:p>
        </w:tc>
      </w:tr>
      <w:tr w:rsidR="003D217E" w:rsidRPr="003763AA" w14:paraId="3C4613DC" w14:textId="77777777" w:rsidTr="001740C5">
        <w:tc>
          <w:tcPr>
            <w:tcW w:w="494" w:type="pct"/>
            <w:tcBorders>
              <w:top w:val="single" w:sz="2" w:space="0" w:color="auto"/>
              <w:left w:val="single" w:sz="2" w:space="0" w:color="auto"/>
              <w:bottom w:val="single" w:sz="2" w:space="0" w:color="auto"/>
              <w:right w:val="single" w:sz="2" w:space="0" w:color="auto"/>
            </w:tcBorders>
            <w:vAlign w:val="center"/>
            <w:hideMark/>
          </w:tcPr>
          <w:p w14:paraId="172CAE2D" w14:textId="77777777" w:rsidR="003D217E" w:rsidRPr="003763AA" w:rsidRDefault="003D217E" w:rsidP="001740C5">
            <w:pPr>
              <w:adjustRightInd w:val="0"/>
              <w:snapToGrid w:val="0"/>
              <w:spacing w:after="0"/>
              <w:jc w:val="center"/>
              <w:rPr>
                <w:rFonts w:eastAsia="Batang"/>
                <w:sz w:val="20"/>
                <w:szCs w:val="20"/>
                <w:lang w:val="en-NZ" w:eastAsia="ko-KR"/>
              </w:rPr>
            </w:pPr>
            <w:r w:rsidRPr="003763AA">
              <w:rPr>
                <w:rFonts w:eastAsia="Batang"/>
                <w:sz w:val="20"/>
                <w:szCs w:val="20"/>
                <w:lang w:val="en-NZ" w:eastAsia="ko-KR"/>
              </w:rPr>
              <w:t>ISG-04</w:t>
            </w:r>
          </w:p>
        </w:tc>
        <w:tc>
          <w:tcPr>
            <w:tcW w:w="3516" w:type="pct"/>
            <w:tcBorders>
              <w:top w:val="single" w:sz="2" w:space="0" w:color="auto"/>
              <w:left w:val="single" w:sz="2" w:space="0" w:color="auto"/>
              <w:bottom w:val="single" w:sz="2" w:space="0" w:color="auto"/>
              <w:right w:val="single" w:sz="2" w:space="0" w:color="auto"/>
            </w:tcBorders>
            <w:hideMark/>
          </w:tcPr>
          <w:p w14:paraId="2822B084"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Science/Management Dialogue</w:t>
            </w:r>
          </w:p>
        </w:tc>
        <w:tc>
          <w:tcPr>
            <w:tcW w:w="990" w:type="pct"/>
            <w:tcBorders>
              <w:top w:val="single" w:sz="2" w:space="0" w:color="auto"/>
              <w:left w:val="single" w:sz="2" w:space="0" w:color="auto"/>
              <w:bottom w:val="single" w:sz="2" w:space="0" w:color="auto"/>
              <w:right w:val="single" w:sz="2" w:space="0" w:color="auto"/>
            </w:tcBorders>
            <w:vAlign w:val="center"/>
            <w:hideMark/>
          </w:tcPr>
          <w:p w14:paraId="55DA8C52"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R. Campbell</w:t>
            </w:r>
          </w:p>
        </w:tc>
      </w:tr>
      <w:tr w:rsidR="003D217E" w:rsidRPr="003763AA" w14:paraId="5996EDC5" w14:textId="77777777" w:rsidTr="001740C5">
        <w:tc>
          <w:tcPr>
            <w:tcW w:w="494" w:type="pct"/>
            <w:tcBorders>
              <w:top w:val="single" w:sz="2" w:space="0" w:color="auto"/>
              <w:left w:val="single" w:sz="2" w:space="0" w:color="auto"/>
              <w:bottom w:val="single" w:sz="2" w:space="0" w:color="auto"/>
              <w:right w:val="single" w:sz="2" w:space="0" w:color="auto"/>
            </w:tcBorders>
            <w:vAlign w:val="center"/>
            <w:hideMark/>
          </w:tcPr>
          <w:p w14:paraId="6774B23D" w14:textId="77777777" w:rsidR="003D217E" w:rsidRPr="003763AA" w:rsidRDefault="003D217E" w:rsidP="001740C5">
            <w:pPr>
              <w:adjustRightInd w:val="0"/>
              <w:snapToGrid w:val="0"/>
              <w:spacing w:after="0"/>
              <w:jc w:val="center"/>
              <w:rPr>
                <w:rFonts w:eastAsia="Batang"/>
                <w:sz w:val="20"/>
                <w:szCs w:val="20"/>
                <w:lang w:val="en-NZ" w:eastAsia="ko-KR"/>
              </w:rPr>
            </w:pPr>
            <w:r w:rsidRPr="003763AA">
              <w:rPr>
                <w:rFonts w:eastAsia="Batang"/>
                <w:sz w:val="20"/>
                <w:szCs w:val="20"/>
                <w:lang w:val="en-NZ" w:eastAsia="ko-KR"/>
              </w:rPr>
              <w:lastRenderedPageBreak/>
              <w:t>ISG-05</w:t>
            </w:r>
          </w:p>
        </w:tc>
        <w:tc>
          <w:tcPr>
            <w:tcW w:w="3516" w:type="pct"/>
            <w:tcBorders>
              <w:top w:val="single" w:sz="2" w:space="0" w:color="auto"/>
              <w:left w:val="single" w:sz="2" w:space="0" w:color="auto"/>
              <w:bottom w:val="single" w:sz="2" w:space="0" w:color="auto"/>
              <w:right w:val="single" w:sz="2" w:space="0" w:color="auto"/>
            </w:tcBorders>
            <w:hideMark/>
          </w:tcPr>
          <w:p w14:paraId="02E6CDC4"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Comprehensive shark and ray measure</w:t>
            </w:r>
          </w:p>
        </w:tc>
        <w:tc>
          <w:tcPr>
            <w:tcW w:w="990" w:type="pct"/>
            <w:tcBorders>
              <w:top w:val="single" w:sz="2" w:space="0" w:color="auto"/>
              <w:left w:val="single" w:sz="2" w:space="0" w:color="auto"/>
              <w:bottom w:val="single" w:sz="2" w:space="0" w:color="auto"/>
              <w:right w:val="single" w:sz="2" w:space="0" w:color="auto"/>
            </w:tcBorders>
            <w:vAlign w:val="center"/>
            <w:hideMark/>
          </w:tcPr>
          <w:p w14:paraId="6B70987D"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J. Annala</w:t>
            </w:r>
          </w:p>
        </w:tc>
      </w:tr>
      <w:tr w:rsidR="003D217E" w:rsidRPr="003763AA" w14:paraId="6A37EC57" w14:textId="77777777" w:rsidTr="001740C5">
        <w:tc>
          <w:tcPr>
            <w:tcW w:w="494" w:type="pct"/>
            <w:tcBorders>
              <w:top w:val="single" w:sz="2" w:space="0" w:color="auto"/>
              <w:left w:val="single" w:sz="2" w:space="0" w:color="auto"/>
              <w:bottom w:val="single" w:sz="2" w:space="0" w:color="auto"/>
              <w:right w:val="single" w:sz="2" w:space="0" w:color="auto"/>
            </w:tcBorders>
            <w:vAlign w:val="center"/>
            <w:hideMark/>
          </w:tcPr>
          <w:p w14:paraId="0E2C80CD" w14:textId="77777777" w:rsidR="003D217E" w:rsidRPr="003763AA" w:rsidRDefault="003D217E" w:rsidP="001740C5">
            <w:pPr>
              <w:adjustRightInd w:val="0"/>
              <w:snapToGrid w:val="0"/>
              <w:spacing w:after="0"/>
              <w:jc w:val="center"/>
              <w:rPr>
                <w:rFonts w:eastAsia="Batang"/>
                <w:sz w:val="20"/>
                <w:szCs w:val="20"/>
                <w:lang w:val="en-NZ" w:eastAsia="ko-KR"/>
              </w:rPr>
            </w:pPr>
            <w:r w:rsidRPr="003763AA">
              <w:rPr>
                <w:rFonts w:eastAsia="Batang"/>
                <w:sz w:val="20"/>
                <w:szCs w:val="20"/>
                <w:lang w:val="en-NZ" w:eastAsia="ko-KR"/>
              </w:rPr>
              <w:t>ISG-06</w:t>
            </w:r>
          </w:p>
        </w:tc>
        <w:tc>
          <w:tcPr>
            <w:tcW w:w="3516" w:type="pct"/>
            <w:tcBorders>
              <w:top w:val="single" w:sz="2" w:space="0" w:color="auto"/>
              <w:left w:val="single" w:sz="2" w:space="0" w:color="auto"/>
              <w:bottom w:val="single" w:sz="2" w:space="0" w:color="auto"/>
              <w:right w:val="single" w:sz="2" w:space="0" w:color="auto"/>
            </w:tcBorders>
            <w:hideMark/>
          </w:tcPr>
          <w:p w14:paraId="5C55F0F8"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Safe release guidelines for sharks and rays</w:t>
            </w:r>
          </w:p>
        </w:tc>
        <w:tc>
          <w:tcPr>
            <w:tcW w:w="990" w:type="pct"/>
            <w:tcBorders>
              <w:top w:val="single" w:sz="2" w:space="0" w:color="auto"/>
              <w:left w:val="single" w:sz="2" w:space="0" w:color="auto"/>
              <w:bottom w:val="single" w:sz="2" w:space="0" w:color="auto"/>
              <w:right w:val="single" w:sz="2" w:space="0" w:color="auto"/>
            </w:tcBorders>
            <w:vAlign w:val="center"/>
            <w:hideMark/>
          </w:tcPr>
          <w:p w14:paraId="680A3248"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Yonat Swimmer</w:t>
            </w:r>
          </w:p>
        </w:tc>
      </w:tr>
      <w:tr w:rsidR="003D217E" w:rsidRPr="003763AA" w14:paraId="6F9F8D10" w14:textId="77777777" w:rsidTr="001740C5">
        <w:tc>
          <w:tcPr>
            <w:tcW w:w="494" w:type="pct"/>
            <w:tcBorders>
              <w:top w:val="single" w:sz="2" w:space="0" w:color="auto"/>
              <w:left w:val="single" w:sz="2" w:space="0" w:color="auto"/>
              <w:bottom w:val="single" w:sz="2" w:space="0" w:color="auto"/>
              <w:right w:val="single" w:sz="2" w:space="0" w:color="auto"/>
            </w:tcBorders>
            <w:vAlign w:val="center"/>
            <w:hideMark/>
          </w:tcPr>
          <w:p w14:paraId="7E72ACEE" w14:textId="77777777" w:rsidR="003D217E" w:rsidRPr="003763AA" w:rsidRDefault="003D217E" w:rsidP="001740C5">
            <w:pPr>
              <w:adjustRightInd w:val="0"/>
              <w:snapToGrid w:val="0"/>
              <w:spacing w:after="0"/>
              <w:jc w:val="center"/>
              <w:rPr>
                <w:rFonts w:eastAsia="Batang"/>
                <w:sz w:val="20"/>
                <w:szCs w:val="20"/>
                <w:lang w:val="en-NZ" w:eastAsia="ko-KR"/>
              </w:rPr>
            </w:pPr>
            <w:r w:rsidRPr="003763AA">
              <w:rPr>
                <w:rFonts w:eastAsia="Batang"/>
                <w:sz w:val="20"/>
                <w:szCs w:val="20"/>
                <w:lang w:val="en-NZ" w:eastAsia="ko-KR"/>
              </w:rPr>
              <w:t>ISG-07</w:t>
            </w:r>
          </w:p>
        </w:tc>
        <w:tc>
          <w:tcPr>
            <w:tcW w:w="3516" w:type="pct"/>
            <w:tcBorders>
              <w:top w:val="single" w:sz="2" w:space="0" w:color="auto"/>
              <w:left w:val="single" w:sz="2" w:space="0" w:color="auto"/>
              <w:bottom w:val="single" w:sz="2" w:space="0" w:color="auto"/>
              <w:right w:val="single" w:sz="2" w:space="0" w:color="auto"/>
            </w:tcBorders>
            <w:hideMark/>
          </w:tcPr>
          <w:p w14:paraId="106112CF"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Shark Research Plan and future work plan</w:t>
            </w:r>
          </w:p>
        </w:tc>
        <w:tc>
          <w:tcPr>
            <w:tcW w:w="990" w:type="pct"/>
            <w:tcBorders>
              <w:top w:val="single" w:sz="2" w:space="0" w:color="auto"/>
              <w:left w:val="single" w:sz="2" w:space="0" w:color="auto"/>
              <w:bottom w:val="single" w:sz="2" w:space="0" w:color="auto"/>
              <w:right w:val="single" w:sz="2" w:space="0" w:color="auto"/>
            </w:tcBorders>
            <w:vAlign w:val="center"/>
            <w:hideMark/>
          </w:tcPr>
          <w:p w14:paraId="771B5BD9"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J. Larcombe</w:t>
            </w:r>
          </w:p>
        </w:tc>
      </w:tr>
      <w:tr w:rsidR="003D217E" w:rsidRPr="003763AA" w14:paraId="603C9606" w14:textId="77777777" w:rsidTr="001740C5">
        <w:tc>
          <w:tcPr>
            <w:tcW w:w="494" w:type="pct"/>
            <w:tcBorders>
              <w:top w:val="single" w:sz="2" w:space="0" w:color="auto"/>
              <w:left w:val="single" w:sz="2" w:space="0" w:color="auto"/>
              <w:bottom w:val="single" w:sz="2" w:space="0" w:color="auto"/>
              <w:right w:val="single" w:sz="2" w:space="0" w:color="auto"/>
            </w:tcBorders>
            <w:vAlign w:val="center"/>
            <w:hideMark/>
          </w:tcPr>
          <w:p w14:paraId="56F39B1E" w14:textId="77777777" w:rsidR="003D217E" w:rsidRPr="003763AA" w:rsidRDefault="003D217E" w:rsidP="001740C5">
            <w:pPr>
              <w:adjustRightInd w:val="0"/>
              <w:snapToGrid w:val="0"/>
              <w:spacing w:after="0"/>
              <w:jc w:val="center"/>
              <w:rPr>
                <w:rFonts w:eastAsia="Batang"/>
                <w:sz w:val="20"/>
                <w:szCs w:val="20"/>
                <w:lang w:val="en-NZ" w:eastAsia="ko-KR"/>
              </w:rPr>
            </w:pPr>
            <w:r w:rsidRPr="003763AA">
              <w:rPr>
                <w:rFonts w:eastAsia="Batang"/>
                <w:sz w:val="20"/>
                <w:szCs w:val="20"/>
                <w:lang w:val="en-NZ" w:eastAsia="ko-KR"/>
              </w:rPr>
              <w:t>ISG-08</w:t>
            </w:r>
          </w:p>
        </w:tc>
        <w:tc>
          <w:tcPr>
            <w:tcW w:w="3516" w:type="pct"/>
            <w:tcBorders>
              <w:top w:val="single" w:sz="2" w:space="0" w:color="auto"/>
              <w:left w:val="single" w:sz="2" w:space="0" w:color="auto"/>
              <w:bottom w:val="single" w:sz="2" w:space="0" w:color="auto"/>
              <w:right w:val="single" w:sz="2" w:space="0" w:color="auto"/>
            </w:tcBorders>
            <w:hideMark/>
          </w:tcPr>
          <w:p w14:paraId="5A92B4EC" w14:textId="77777777" w:rsidR="003D217E" w:rsidRPr="003763AA" w:rsidRDefault="003D217E" w:rsidP="001740C5">
            <w:pPr>
              <w:adjustRightInd w:val="0"/>
              <w:snapToGrid w:val="0"/>
              <w:spacing w:after="0"/>
              <w:rPr>
                <w:rFonts w:eastAsia="Batang"/>
                <w:sz w:val="20"/>
                <w:szCs w:val="20"/>
                <w:lang w:eastAsia="ko-KR"/>
              </w:rPr>
            </w:pPr>
            <w:r w:rsidRPr="003763AA">
              <w:rPr>
                <w:rFonts w:eastAsia="Batang"/>
                <w:sz w:val="20"/>
                <w:szCs w:val="20"/>
                <w:lang w:val="en-NZ" w:eastAsia="ko-KR"/>
              </w:rPr>
              <w:t>SC Budget for 2019– 2021</w:t>
            </w:r>
          </w:p>
        </w:tc>
        <w:tc>
          <w:tcPr>
            <w:tcW w:w="990" w:type="pct"/>
            <w:tcBorders>
              <w:top w:val="single" w:sz="2" w:space="0" w:color="auto"/>
              <w:left w:val="single" w:sz="2" w:space="0" w:color="auto"/>
              <w:bottom w:val="single" w:sz="2" w:space="0" w:color="auto"/>
              <w:right w:val="single" w:sz="2" w:space="0" w:color="auto"/>
            </w:tcBorders>
            <w:vAlign w:val="center"/>
            <w:hideMark/>
          </w:tcPr>
          <w:p w14:paraId="4933B892"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U. Faasili</w:t>
            </w:r>
          </w:p>
        </w:tc>
      </w:tr>
      <w:tr w:rsidR="003D217E" w:rsidRPr="003763AA" w14:paraId="0BE414E4" w14:textId="77777777" w:rsidTr="001740C5">
        <w:tc>
          <w:tcPr>
            <w:tcW w:w="494" w:type="pct"/>
            <w:tcBorders>
              <w:top w:val="single" w:sz="2" w:space="0" w:color="auto"/>
              <w:left w:val="single" w:sz="2" w:space="0" w:color="auto"/>
              <w:bottom w:val="single" w:sz="2" w:space="0" w:color="auto"/>
              <w:right w:val="single" w:sz="2" w:space="0" w:color="auto"/>
            </w:tcBorders>
            <w:vAlign w:val="center"/>
            <w:hideMark/>
          </w:tcPr>
          <w:p w14:paraId="0F544DFB" w14:textId="77777777" w:rsidR="003D217E" w:rsidRPr="003763AA" w:rsidRDefault="003D217E" w:rsidP="001740C5">
            <w:pPr>
              <w:adjustRightInd w:val="0"/>
              <w:snapToGrid w:val="0"/>
              <w:spacing w:after="0"/>
              <w:jc w:val="center"/>
              <w:rPr>
                <w:rFonts w:eastAsia="Batang"/>
                <w:sz w:val="20"/>
                <w:szCs w:val="20"/>
                <w:lang w:val="en-NZ" w:eastAsia="ko-KR"/>
              </w:rPr>
            </w:pPr>
            <w:r w:rsidRPr="003763AA">
              <w:rPr>
                <w:rFonts w:eastAsia="Batang"/>
                <w:sz w:val="20"/>
                <w:szCs w:val="20"/>
                <w:lang w:val="en-NZ" w:eastAsia="ko-KR"/>
              </w:rPr>
              <w:t>ISG-09</w:t>
            </w:r>
          </w:p>
        </w:tc>
        <w:tc>
          <w:tcPr>
            <w:tcW w:w="3516" w:type="pct"/>
            <w:tcBorders>
              <w:top w:val="single" w:sz="2" w:space="0" w:color="auto"/>
              <w:left w:val="single" w:sz="2" w:space="0" w:color="auto"/>
              <w:bottom w:val="single" w:sz="2" w:space="0" w:color="auto"/>
              <w:right w:val="single" w:sz="2" w:space="0" w:color="auto"/>
            </w:tcBorders>
            <w:hideMark/>
          </w:tcPr>
          <w:p w14:paraId="30405BF1"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Seabird Mitigation Measures</w:t>
            </w:r>
          </w:p>
        </w:tc>
        <w:tc>
          <w:tcPr>
            <w:tcW w:w="990" w:type="pct"/>
            <w:tcBorders>
              <w:top w:val="single" w:sz="2" w:space="0" w:color="auto"/>
              <w:left w:val="single" w:sz="2" w:space="0" w:color="auto"/>
              <w:bottom w:val="single" w:sz="2" w:space="0" w:color="auto"/>
              <w:right w:val="single" w:sz="2" w:space="0" w:color="auto"/>
            </w:tcBorders>
            <w:vAlign w:val="center"/>
            <w:hideMark/>
          </w:tcPr>
          <w:p w14:paraId="30140A83"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Withdrawn</w:t>
            </w:r>
          </w:p>
        </w:tc>
      </w:tr>
      <w:tr w:rsidR="003D217E" w:rsidRPr="003763AA" w14:paraId="5E87AF6F" w14:textId="77777777" w:rsidTr="001740C5">
        <w:tc>
          <w:tcPr>
            <w:tcW w:w="494" w:type="pct"/>
            <w:tcBorders>
              <w:top w:val="single" w:sz="2" w:space="0" w:color="auto"/>
              <w:left w:val="single" w:sz="2" w:space="0" w:color="auto"/>
              <w:bottom w:val="single" w:sz="2" w:space="0" w:color="auto"/>
              <w:right w:val="single" w:sz="2" w:space="0" w:color="auto"/>
            </w:tcBorders>
            <w:vAlign w:val="center"/>
            <w:hideMark/>
          </w:tcPr>
          <w:p w14:paraId="48022560" w14:textId="77777777" w:rsidR="003D217E" w:rsidRPr="003763AA" w:rsidRDefault="003D217E" w:rsidP="001740C5">
            <w:pPr>
              <w:adjustRightInd w:val="0"/>
              <w:snapToGrid w:val="0"/>
              <w:spacing w:after="0"/>
              <w:jc w:val="center"/>
              <w:rPr>
                <w:rFonts w:eastAsia="Batang"/>
                <w:sz w:val="20"/>
                <w:szCs w:val="20"/>
                <w:lang w:val="en-NZ" w:eastAsia="ko-KR"/>
              </w:rPr>
            </w:pPr>
            <w:r w:rsidRPr="003763AA">
              <w:rPr>
                <w:rFonts w:eastAsia="Batang"/>
                <w:sz w:val="20"/>
                <w:szCs w:val="20"/>
                <w:lang w:val="en-NZ" w:eastAsia="ko-KR"/>
              </w:rPr>
              <w:t>ISG-10</w:t>
            </w:r>
          </w:p>
        </w:tc>
        <w:tc>
          <w:tcPr>
            <w:tcW w:w="3516" w:type="pct"/>
            <w:tcBorders>
              <w:top w:val="single" w:sz="2" w:space="0" w:color="auto"/>
              <w:left w:val="single" w:sz="2" w:space="0" w:color="auto"/>
              <w:bottom w:val="single" w:sz="2" w:space="0" w:color="auto"/>
              <w:right w:val="single" w:sz="2" w:space="0" w:color="auto"/>
            </w:tcBorders>
            <w:hideMark/>
          </w:tcPr>
          <w:p w14:paraId="1560B6B5"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ROP minimum standard data fields species of special interest</w:t>
            </w:r>
          </w:p>
        </w:tc>
        <w:tc>
          <w:tcPr>
            <w:tcW w:w="990" w:type="pct"/>
            <w:tcBorders>
              <w:top w:val="single" w:sz="2" w:space="0" w:color="auto"/>
              <w:left w:val="single" w:sz="2" w:space="0" w:color="auto"/>
              <w:bottom w:val="single" w:sz="2" w:space="0" w:color="auto"/>
              <w:right w:val="single" w:sz="2" w:space="0" w:color="auto"/>
            </w:tcBorders>
            <w:vAlign w:val="center"/>
            <w:hideMark/>
          </w:tcPr>
          <w:p w14:paraId="3A4E07A2"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 xml:space="preserve">Withdrawn </w:t>
            </w:r>
          </w:p>
        </w:tc>
      </w:tr>
      <w:tr w:rsidR="003D217E" w:rsidRPr="003763AA" w14:paraId="1535C1A8" w14:textId="77777777" w:rsidTr="001740C5">
        <w:tc>
          <w:tcPr>
            <w:tcW w:w="494" w:type="pct"/>
            <w:tcBorders>
              <w:top w:val="single" w:sz="2" w:space="0" w:color="auto"/>
              <w:left w:val="single" w:sz="2" w:space="0" w:color="auto"/>
              <w:bottom w:val="single" w:sz="2" w:space="0" w:color="auto"/>
              <w:right w:val="single" w:sz="2" w:space="0" w:color="auto"/>
            </w:tcBorders>
            <w:vAlign w:val="center"/>
            <w:hideMark/>
          </w:tcPr>
          <w:p w14:paraId="16623082" w14:textId="77777777" w:rsidR="003D217E" w:rsidRPr="003763AA" w:rsidRDefault="003D217E" w:rsidP="001740C5">
            <w:pPr>
              <w:adjustRightInd w:val="0"/>
              <w:snapToGrid w:val="0"/>
              <w:spacing w:after="0"/>
              <w:jc w:val="center"/>
              <w:rPr>
                <w:rFonts w:eastAsia="Batang"/>
                <w:sz w:val="20"/>
                <w:szCs w:val="20"/>
                <w:lang w:val="en-NZ" w:eastAsia="ko-KR"/>
              </w:rPr>
            </w:pPr>
            <w:r w:rsidRPr="003763AA">
              <w:rPr>
                <w:rFonts w:eastAsia="Batang"/>
                <w:sz w:val="20"/>
                <w:szCs w:val="20"/>
                <w:lang w:val="en-NZ" w:eastAsia="ko-KR"/>
              </w:rPr>
              <w:t>ISG-11</w:t>
            </w:r>
          </w:p>
        </w:tc>
        <w:tc>
          <w:tcPr>
            <w:tcW w:w="3516" w:type="pct"/>
            <w:tcBorders>
              <w:top w:val="single" w:sz="2" w:space="0" w:color="auto"/>
              <w:left w:val="single" w:sz="2" w:space="0" w:color="auto"/>
              <w:bottom w:val="single" w:sz="2" w:space="0" w:color="auto"/>
              <w:right w:val="single" w:sz="2" w:space="0" w:color="auto"/>
            </w:tcBorders>
            <w:hideMark/>
          </w:tcPr>
          <w:p w14:paraId="4FEBB661"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Conversion factor</w:t>
            </w:r>
          </w:p>
        </w:tc>
        <w:tc>
          <w:tcPr>
            <w:tcW w:w="990" w:type="pct"/>
            <w:tcBorders>
              <w:top w:val="single" w:sz="2" w:space="0" w:color="auto"/>
              <w:left w:val="single" w:sz="2" w:space="0" w:color="auto"/>
              <w:bottom w:val="single" w:sz="2" w:space="0" w:color="auto"/>
              <w:right w:val="single" w:sz="2" w:space="0" w:color="auto"/>
            </w:tcBorders>
            <w:vAlign w:val="center"/>
            <w:hideMark/>
          </w:tcPr>
          <w:p w14:paraId="20C08833" w14:textId="77777777" w:rsidR="003D217E" w:rsidRPr="003763AA" w:rsidRDefault="003D217E" w:rsidP="001740C5">
            <w:pPr>
              <w:adjustRightInd w:val="0"/>
              <w:snapToGrid w:val="0"/>
              <w:spacing w:after="0"/>
              <w:rPr>
                <w:rFonts w:eastAsia="Batang"/>
                <w:sz w:val="20"/>
                <w:szCs w:val="20"/>
                <w:lang w:val="en-NZ" w:eastAsia="ko-KR"/>
              </w:rPr>
            </w:pPr>
            <w:r w:rsidRPr="003763AA">
              <w:rPr>
                <w:sz w:val="20"/>
                <w:szCs w:val="20"/>
              </w:rPr>
              <w:t>F</w:t>
            </w:r>
            <w:r w:rsidRPr="003763AA">
              <w:rPr>
                <w:rFonts w:eastAsiaTheme="minorEastAsia"/>
                <w:sz w:val="20"/>
                <w:szCs w:val="20"/>
                <w:lang w:eastAsia="ko-KR"/>
              </w:rPr>
              <w:t>.</w:t>
            </w:r>
            <w:r w:rsidRPr="003763AA">
              <w:rPr>
                <w:sz w:val="20"/>
                <w:szCs w:val="20"/>
              </w:rPr>
              <w:t xml:space="preserve"> Abascal</w:t>
            </w:r>
          </w:p>
        </w:tc>
      </w:tr>
      <w:tr w:rsidR="003D217E" w:rsidRPr="003763AA" w14:paraId="3BE8F8C8" w14:textId="77777777" w:rsidTr="001740C5">
        <w:tc>
          <w:tcPr>
            <w:tcW w:w="494" w:type="pct"/>
            <w:tcBorders>
              <w:top w:val="single" w:sz="2" w:space="0" w:color="auto"/>
              <w:left w:val="single" w:sz="2" w:space="0" w:color="auto"/>
              <w:bottom w:val="single" w:sz="2" w:space="0" w:color="auto"/>
              <w:right w:val="single" w:sz="2" w:space="0" w:color="auto"/>
            </w:tcBorders>
            <w:vAlign w:val="center"/>
            <w:hideMark/>
          </w:tcPr>
          <w:p w14:paraId="4A52F531" w14:textId="77777777" w:rsidR="003D217E" w:rsidRPr="003763AA" w:rsidRDefault="003D217E" w:rsidP="001740C5">
            <w:pPr>
              <w:adjustRightInd w:val="0"/>
              <w:snapToGrid w:val="0"/>
              <w:spacing w:after="0"/>
              <w:jc w:val="center"/>
              <w:rPr>
                <w:rFonts w:eastAsia="Batang"/>
                <w:sz w:val="20"/>
                <w:szCs w:val="20"/>
                <w:lang w:val="en-NZ" w:eastAsia="ko-KR"/>
              </w:rPr>
            </w:pPr>
            <w:r w:rsidRPr="003763AA">
              <w:rPr>
                <w:rFonts w:eastAsia="Batang"/>
                <w:sz w:val="20"/>
                <w:szCs w:val="20"/>
                <w:lang w:val="en-NZ" w:eastAsia="ko-KR"/>
              </w:rPr>
              <w:t>ISG-12</w:t>
            </w:r>
          </w:p>
        </w:tc>
        <w:tc>
          <w:tcPr>
            <w:tcW w:w="3516" w:type="pct"/>
            <w:tcBorders>
              <w:top w:val="single" w:sz="2" w:space="0" w:color="auto"/>
              <w:left w:val="single" w:sz="2" w:space="0" w:color="auto"/>
              <w:bottom w:val="single" w:sz="2" w:space="0" w:color="auto"/>
              <w:right w:val="single" w:sz="2" w:space="0" w:color="auto"/>
            </w:tcBorders>
            <w:hideMark/>
          </w:tcPr>
          <w:p w14:paraId="6B952440"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Process for developing guidelines for the voluntary provision of economic data</w:t>
            </w:r>
          </w:p>
        </w:tc>
        <w:tc>
          <w:tcPr>
            <w:tcW w:w="990" w:type="pct"/>
            <w:tcBorders>
              <w:top w:val="single" w:sz="2" w:space="0" w:color="auto"/>
              <w:left w:val="single" w:sz="2" w:space="0" w:color="auto"/>
              <w:bottom w:val="single" w:sz="2" w:space="0" w:color="auto"/>
              <w:right w:val="single" w:sz="2" w:space="0" w:color="auto"/>
            </w:tcBorders>
            <w:vAlign w:val="center"/>
            <w:hideMark/>
          </w:tcPr>
          <w:p w14:paraId="539CA814" w14:textId="77777777" w:rsidR="003D217E" w:rsidRPr="003763AA" w:rsidRDefault="003D217E" w:rsidP="001740C5">
            <w:pPr>
              <w:adjustRightInd w:val="0"/>
              <w:snapToGrid w:val="0"/>
              <w:spacing w:after="0"/>
              <w:rPr>
                <w:rFonts w:eastAsia="Batang"/>
                <w:sz w:val="20"/>
                <w:szCs w:val="20"/>
                <w:lang w:val="en-NZ" w:eastAsia="ko-KR"/>
              </w:rPr>
            </w:pPr>
            <w:r w:rsidRPr="003763AA">
              <w:rPr>
                <w:rFonts w:eastAsia="Batang"/>
                <w:sz w:val="20"/>
                <w:szCs w:val="20"/>
                <w:lang w:val="en-NZ" w:eastAsia="ko-KR"/>
              </w:rPr>
              <w:t xml:space="preserve">Withdrawn </w:t>
            </w:r>
          </w:p>
        </w:tc>
      </w:tr>
    </w:tbl>
    <w:p w14:paraId="739CF19C" w14:textId="77777777" w:rsidR="003D217E" w:rsidRDefault="003D217E" w:rsidP="003D217E">
      <w:pPr>
        <w:pStyle w:val="Heading1"/>
        <w:numPr>
          <w:ilvl w:val="0"/>
          <w:numId w:val="0"/>
        </w:numPr>
        <w:adjustRightInd w:val="0"/>
        <w:snapToGrid w:val="0"/>
        <w:spacing w:after="0"/>
        <w:ind w:left="360"/>
        <w:rPr>
          <w:lang w:eastAsia="ko-KR"/>
        </w:rPr>
      </w:pPr>
    </w:p>
    <w:p w14:paraId="66EDEF85" w14:textId="77777777" w:rsidR="003D217E" w:rsidRDefault="003D217E" w:rsidP="003D217E">
      <w:pPr>
        <w:pStyle w:val="Heading1"/>
        <w:numPr>
          <w:ilvl w:val="0"/>
          <w:numId w:val="0"/>
        </w:numPr>
        <w:adjustRightInd w:val="0"/>
        <w:snapToGrid w:val="0"/>
        <w:spacing w:after="0"/>
        <w:ind w:left="360"/>
        <w:rPr>
          <w:lang w:eastAsia="ko-KR"/>
        </w:rPr>
      </w:pPr>
    </w:p>
    <w:p w14:paraId="510AB947" w14:textId="77777777" w:rsidR="003D217E" w:rsidRPr="00166EEA" w:rsidRDefault="003D217E" w:rsidP="003D217E">
      <w:pPr>
        <w:pStyle w:val="Heading1"/>
        <w:numPr>
          <w:ilvl w:val="0"/>
          <w:numId w:val="0"/>
        </w:numPr>
        <w:adjustRightInd w:val="0"/>
        <w:snapToGrid w:val="0"/>
        <w:spacing w:after="0"/>
        <w:ind w:left="360"/>
        <w:rPr>
          <w:sz w:val="28"/>
          <w:szCs w:val="28"/>
        </w:rPr>
      </w:pPr>
      <w:r w:rsidRPr="00166EEA">
        <w:rPr>
          <w:sz w:val="28"/>
          <w:szCs w:val="28"/>
        </w:rPr>
        <w:t>AGENDA ITEM 2 — REVIEW OF FISHERIES</w:t>
      </w:r>
    </w:p>
    <w:p w14:paraId="2372AB37" w14:textId="77777777" w:rsidR="003D217E" w:rsidRDefault="003D217E" w:rsidP="003D217E">
      <w:pPr>
        <w:pStyle w:val="Heading1"/>
        <w:numPr>
          <w:ilvl w:val="0"/>
          <w:numId w:val="0"/>
        </w:numPr>
        <w:adjustRightInd w:val="0"/>
        <w:snapToGrid w:val="0"/>
        <w:spacing w:after="0"/>
        <w:ind w:left="360"/>
        <w:rPr>
          <w:lang w:eastAsia="ko-KR"/>
        </w:rPr>
      </w:pPr>
    </w:p>
    <w:p w14:paraId="011F2F55" w14:textId="77777777" w:rsidR="003D217E" w:rsidRPr="004635E5" w:rsidRDefault="003D217E" w:rsidP="003D217E">
      <w:pPr>
        <w:pStyle w:val="Heading1"/>
        <w:numPr>
          <w:ilvl w:val="0"/>
          <w:numId w:val="0"/>
        </w:numPr>
        <w:adjustRightInd w:val="0"/>
        <w:snapToGrid w:val="0"/>
        <w:spacing w:after="0"/>
        <w:ind w:left="360"/>
      </w:pPr>
      <w:r w:rsidRPr="004635E5">
        <w:fldChar w:fldCharType="begin"/>
      </w:r>
      <w:r w:rsidRPr="004635E5">
        <w:instrText xml:space="preserve"> TC "</w:instrText>
      </w:r>
      <w:bookmarkStart w:id="7" w:name="_Toc10607003"/>
      <w:bookmarkStart w:id="8" w:name="_Toc10607264"/>
      <w:bookmarkStart w:id="9" w:name="_Toc10607353"/>
      <w:bookmarkStart w:id="10" w:name="_Toc10607538"/>
      <w:bookmarkStart w:id="11" w:name="_Toc16418001"/>
      <w:r w:rsidRPr="004635E5">
        <w:instrText>AGENDA ITEM 2 — REVIEW OF FISHERIES</w:instrText>
      </w:r>
      <w:bookmarkEnd w:id="7"/>
      <w:bookmarkEnd w:id="8"/>
      <w:bookmarkEnd w:id="9"/>
      <w:bookmarkEnd w:id="10"/>
      <w:bookmarkEnd w:id="11"/>
      <w:r w:rsidRPr="004635E5">
        <w:instrText xml:space="preserve">" \f C \l "1" </w:instrText>
      </w:r>
      <w:r w:rsidRPr="004635E5">
        <w:fldChar w:fldCharType="end"/>
      </w:r>
    </w:p>
    <w:p w14:paraId="246774E5" w14:textId="77777777" w:rsidR="003D217E" w:rsidRDefault="003D217E" w:rsidP="003D217E">
      <w:pPr>
        <w:pStyle w:val="WCPFC"/>
        <w:adjustRightInd w:val="0"/>
        <w:spacing w:after="0"/>
        <w:ind w:left="0" w:firstLine="0"/>
        <w:rPr>
          <w:rFonts w:cs="Times New Roman"/>
        </w:rPr>
      </w:pPr>
      <w:r>
        <w:rPr>
          <w:rFonts w:cs="Times New Roman"/>
        </w:rPr>
        <w:t xml:space="preserve">P. Williams (SPC-OFP) and C. Reid (FFA) introduced SC14-GN-WP-01 </w:t>
      </w:r>
      <w:r>
        <w:rPr>
          <w:rFonts w:cs="Times New Roman"/>
          <w:i/>
        </w:rPr>
        <w:t>Overview of tuna fisheries in the western and central Pacific Ocean, including economic conditions – 2017</w:t>
      </w:r>
      <w:r>
        <w:rPr>
          <w:rFonts w:cs="Times New Roman"/>
        </w:rPr>
        <w:t>, which provided an overview of the WCPO key fisheries, including billfish and trends in purse-seine fishery capacity. They noted that SC14-ST-IP-01 Estimates of annual catches in the WCPFC Statistical Area, and Annual Reports- Part 1 provided additional detail.</w:t>
      </w:r>
    </w:p>
    <w:p w14:paraId="2FFC44B1" w14:textId="77777777" w:rsidR="003D217E" w:rsidRDefault="003D217E" w:rsidP="003D217E">
      <w:pPr>
        <w:pStyle w:val="WCPFC"/>
        <w:numPr>
          <w:ilvl w:val="0"/>
          <w:numId w:val="0"/>
        </w:numPr>
        <w:adjustRightInd w:val="0"/>
        <w:spacing w:after="0"/>
        <w:rPr>
          <w:rFonts w:cs="Times New Roman"/>
        </w:rPr>
      </w:pPr>
    </w:p>
    <w:p w14:paraId="7BE414EC" w14:textId="77777777" w:rsidR="003D217E" w:rsidRDefault="003D217E" w:rsidP="003D217E">
      <w:pPr>
        <w:pStyle w:val="WCPFC"/>
        <w:adjustRightInd w:val="0"/>
        <w:spacing w:after="0"/>
        <w:ind w:left="0" w:firstLine="0"/>
        <w:rPr>
          <w:rFonts w:cs="Times New Roman"/>
        </w:rPr>
      </w:pPr>
      <w:r>
        <w:rPr>
          <w:rFonts w:cs="Times New Roman"/>
        </w:rPr>
        <w:t>The provisional total WCP–CA tuna catch for 2017 was estimated at 2,539,950 metric tons (mt), the lowest catch for six years, and around 340,000 mt below the record catch in 2014 (2,883,204 mt). The WCP–CA tuna catch (2,539,950 mt) for 2017 represented 78% of the total Pacific Ocean catch of 3,239,704 mt, and 54% of the global tuna catch (the provisional estimate for 2017 is 4,715,836 mt, at this stage, the fourth highest on record).</w:t>
      </w:r>
    </w:p>
    <w:p w14:paraId="7803A964" w14:textId="77777777" w:rsidR="003D217E" w:rsidRDefault="003D217E" w:rsidP="003D217E">
      <w:pPr>
        <w:pStyle w:val="WCPFC"/>
        <w:numPr>
          <w:ilvl w:val="0"/>
          <w:numId w:val="0"/>
        </w:numPr>
        <w:adjustRightInd w:val="0"/>
        <w:spacing w:after="0"/>
        <w:rPr>
          <w:rFonts w:cs="Times New Roman"/>
        </w:rPr>
      </w:pPr>
    </w:p>
    <w:p w14:paraId="3F86491B" w14:textId="77777777" w:rsidR="003D217E" w:rsidRDefault="003D217E" w:rsidP="003D217E">
      <w:pPr>
        <w:pStyle w:val="WCPFC"/>
        <w:adjustRightInd w:val="0"/>
        <w:spacing w:after="0"/>
        <w:ind w:left="0" w:firstLine="0"/>
        <w:rPr>
          <w:rFonts w:cs="Times New Roman"/>
        </w:rPr>
      </w:pPr>
      <w:r>
        <w:rPr>
          <w:rFonts w:cs="Times New Roman"/>
        </w:rPr>
        <w:t>The 2017 WCP–CA catch of skipjack (1,624,162 mt – 64% of the total catch) was the lowest since 2011, at nearly 375,000 mt less than the record in 2014 (2,000,608 mt). The WCP–CA yellowfin catch for 2017 (670,890 mt – 26%) was the highest recorded (more than 35,000 mt higher than the previous record catch of 2016), mainly due to increased catches in the purse seine fishery. The WCP–CA bigeye catch for 2017 (126,929 mt – 5%) was the lowest since 2016 and mainly due to continued low longline catches. The 2017 WCP–CA albacore</w:t>
      </w:r>
      <w:r>
        <w:rPr>
          <w:rStyle w:val="FootnoteReference"/>
          <w:rFonts w:cs="Times New Roman"/>
        </w:rPr>
        <w:t xml:space="preserve"> </w:t>
      </w:r>
      <w:r>
        <w:rPr>
          <w:rFonts w:cs="Times New Roman"/>
        </w:rPr>
        <w:t xml:space="preserve">catch (117,969 mt – 5%) was slightly lower than the average over the past decade and around 50,000 mt lower than the record catch in 2002 at 147,793 mt. The south Pacific albacore catch in 2017 (92,291 mt) was a record catch, primarily due to a record in the longline fishery (89,388 mt); the 2017 catch was around 4,000-5,000 mt more than the previous record catch in 2010 of 88,147 mt. </w:t>
      </w:r>
    </w:p>
    <w:p w14:paraId="1DAF5A51" w14:textId="77777777" w:rsidR="003D217E" w:rsidRDefault="003D217E" w:rsidP="003D217E">
      <w:pPr>
        <w:pStyle w:val="WCPFC"/>
        <w:numPr>
          <w:ilvl w:val="0"/>
          <w:numId w:val="0"/>
        </w:numPr>
        <w:adjustRightInd w:val="0"/>
        <w:spacing w:after="0"/>
        <w:rPr>
          <w:rFonts w:cs="Times New Roman"/>
        </w:rPr>
      </w:pPr>
    </w:p>
    <w:p w14:paraId="6B28902B" w14:textId="77777777" w:rsidR="003D217E" w:rsidRDefault="003D217E" w:rsidP="003D217E">
      <w:pPr>
        <w:pStyle w:val="WCPFC"/>
        <w:adjustRightInd w:val="0"/>
        <w:spacing w:after="0"/>
        <w:ind w:left="0" w:firstLine="0"/>
        <w:rPr>
          <w:rFonts w:cs="Times New Roman"/>
        </w:rPr>
      </w:pPr>
      <w:r>
        <w:rPr>
          <w:rFonts w:cs="Times New Roman"/>
        </w:rPr>
        <w:t>The provisional 2017 purse-seine catch of 1,812,474 mt was slightly less than the most recent five-year average, and nearly 250,000 less than the record in 2014 (2,059,008 mt). While the total purse seine catch in 2017 was similar to the 2016 catch level, the species composition was clearly different. The 2017 purse-seine skipjack catch (1,280,311 mt; 71% of total catch) was the lowest since 2011 and nearly 350,000 mt lower than the record in 2014. In contrast, the 2017 purse-seine catch estimate for yellowfin tuna (472,279 mt; 26%) was the highest on record at nearly 50,000 mt higher than the previous record (423,788 mt in 2008); this record was mainly due to good catches of large yellowfin from unassociated-school set types in the west and central tropical WCP-CA areas (see Figure 3.4.8–right). The provisional catch estimate for bigeye tuna for 2017 (56,194 mt) was a decrease on the catch in 2016 and lower than the most recent five-year average.</w:t>
      </w:r>
    </w:p>
    <w:p w14:paraId="0E2FAB0C" w14:textId="77777777" w:rsidR="003D217E" w:rsidRDefault="003D217E" w:rsidP="003D217E">
      <w:pPr>
        <w:pStyle w:val="WCPFC"/>
        <w:numPr>
          <w:ilvl w:val="0"/>
          <w:numId w:val="0"/>
        </w:numPr>
        <w:adjustRightInd w:val="0"/>
        <w:spacing w:after="0"/>
        <w:rPr>
          <w:rFonts w:cs="Times New Roman"/>
        </w:rPr>
      </w:pPr>
    </w:p>
    <w:p w14:paraId="55C1B4B7" w14:textId="77777777" w:rsidR="003D217E" w:rsidRDefault="003D217E" w:rsidP="003D217E">
      <w:pPr>
        <w:pStyle w:val="WCPFC"/>
        <w:adjustRightInd w:val="0"/>
        <w:spacing w:after="0"/>
        <w:ind w:left="0" w:firstLine="0"/>
        <w:rPr>
          <w:rFonts w:cs="Times New Roman"/>
        </w:rPr>
      </w:pPr>
      <w:r>
        <w:rPr>
          <w:rFonts w:cs="Times New Roman"/>
        </w:rPr>
        <w:t xml:space="preserve">The provisional 2017 pole-and-line catch (151,232 mt) was the lowest annual catch since the mid-1960s, with reduced catches in both the Japanese and the Indonesian fisheries. </w:t>
      </w:r>
    </w:p>
    <w:p w14:paraId="033EA3A8" w14:textId="77777777" w:rsidR="003D217E" w:rsidRDefault="003D217E" w:rsidP="003D217E">
      <w:pPr>
        <w:pStyle w:val="WCPFC"/>
        <w:numPr>
          <w:ilvl w:val="0"/>
          <w:numId w:val="0"/>
        </w:numPr>
        <w:adjustRightInd w:val="0"/>
        <w:spacing w:after="0"/>
        <w:rPr>
          <w:rFonts w:cs="Times New Roman"/>
        </w:rPr>
      </w:pPr>
    </w:p>
    <w:p w14:paraId="151908F9" w14:textId="77777777" w:rsidR="003D217E" w:rsidRDefault="003D217E" w:rsidP="003D217E">
      <w:pPr>
        <w:pStyle w:val="WCPFC"/>
        <w:adjustRightInd w:val="0"/>
        <w:spacing w:after="0"/>
        <w:ind w:left="0" w:firstLine="0"/>
        <w:rPr>
          <w:rFonts w:cs="Times New Roman"/>
        </w:rPr>
      </w:pPr>
      <w:r>
        <w:rPr>
          <w:rFonts w:cs="Times New Roman"/>
        </w:rPr>
        <w:lastRenderedPageBreak/>
        <w:t xml:space="preserve">The provisional WCP–CA longline catch (240,387 mt) for 2017 was lower than the average for the past five years. The WCP–CA albacore longline catch (96,280 mt – 40%) for 2017 was higher than the average catch over the past decade, and only 5,000 mt lower than the record of 101,816 mt attained in 2010. The provisional bigeye catch (58,164 mt – 25%) for 2017 was the lowest since 1996, presumably mainly due to continued reduction in effort in the main bigeye tuna fishery. The yellowfin catch for 2017 (83,399 mt – 35%) was lower than the average for the past decade and more than 20,000 mt less that the record for this fishery. </w:t>
      </w:r>
    </w:p>
    <w:p w14:paraId="7C7A00FD" w14:textId="77777777" w:rsidR="003D217E" w:rsidRDefault="003D217E" w:rsidP="003D217E">
      <w:pPr>
        <w:pStyle w:val="WCPFC"/>
        <w:numPr>
          <w:ilvl w:val="0"/>
          <w:numId w:val="0"/>
        </w:numPr>
        <w:adjustRightInd w:val="0"/>
        <w:spacing w:after="0"/>
        <w:rPr>
          <w:rFonts w:cs="Times New Roman"/>
        </w:rPr>
      </w:pPr>
    </w:p>
    <w:p w14:paraId="6F84D428" w14:textId="77777777" w:rsidR="003D217E" w:rsidRDefault="003D217E" w:rsidP="003D217E">
      <w:pPr>
        <w:pStyle w:val="WCPFC"/>
        <w:adjustRightInd w:val="0"/>
        <w:spacing w:after="0"/>
        <w:ind w:left="0" w:firstLine="0"/>
        <w:rPr>
          <w:rFonts w:cs="Times New Roman"/>
          <w:color w:val="0000FF"/>
        </w:rPr>
      </w:pPr>
      <w:r>
        <w:rPr>
          <w:rFonts w:cs="Times New Roman"/>
        </w:rPr>
        <w:t>The 2017 South Pacific troll albacore catch (2,508 mt) was similar to catch levels experienced over the past four years. The New Zealand troll fleet (111 vessels catching 1,952 mt in 2017) and the United States troll fleet (13 vessels catching 556 mt in 2017) accounted for all of the 2017 albacore troll catch.</w:t>
      </w:r>
    </w:p>
    <w:p w14:paraId="55CBF240" w14:textId="77777777" w:rsidR="003D217E" w:rsidRDefault="003D217E" w:rsidP="003D217E">
      <w:pPr>
        <w:pStyle w:val="SC2"/>
        <w:numPr>
          <w:ilvl w:val="0"/>
          <w:numId w:val="0"/>
        </w:numPr>
        <w:spacing w:after="0"/>
        <w:ind w:left="720"/>
        <w:rPr>
          <w:rFonts w:eastAsiaTheme="minorEastAsia"/>
          <w:lang w:eastAsia="ko-KR"/>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741"/>
      </w:tblGrid>
      <w:tr w:rsidR="003D217E" w14:paraId="0EF1A68F" w14:textId="77777777" w:rsidTr="001740C5">
        <w:tc>
          <w:tcPr>
            <w:tcW w:w="4734" w:type="dxa"/>
          </w:tcPr>
          <w:p w14:paraId="0C195480" w14:textId="77777777" w:rsidR="003D217E" w:rsidRDefault="003D217E" w:rsidP="001740C5">
            <w:pPr>
              <w:pStyle w:val="SC2"/>
              <w:numPr>
                <w:ilvl w:val="0"/>
                <w:numId w:val="0"/>
              </w:numPr>
              <w:spacing w:after="0"/>
              <w:rPr>
                <w:rFonts w:eastAsiaTheme="minorEastAsia"/>
                <w:lang w:eastAsia="ko-KR"/>
              </w:rPr>
            </w:pPr>
            <w:r>
              <w:rPr>
                <w:noProof/>
                <w:lang w:val="en-US" w:eastAsia="zh-CN" w:bidi="mn-Mong-CN"/>
              </w:rPr>
              <w:drawing>
                <wp:inline distT="0" distB="0" distL="0" distR="0" wp14:anchorId="377EE864" wp14:editId="1AA61CBF">
                  <wp:extent cx="2876550" cy="2095500"/>
                  <wp:effectExtent l="0" t="0" r="0" b="0"/>
                  <wp:docPr id="265" name="Picture 265"/>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cstate="email">
                            <a:extLst>
                              <a:ext uri="{28A0092B-C50C-407E-A947-70E740481C1C}">
                                <a14:useLocalDpi xmlns:a14="http://schemas.microsoft.com/office/drawing/2010/main" val="0"/>
                              </a:ext>
                            </a:extLst>
                          </a:blip>
                          <a:srcRect/>
                          <a:stretch>
                            <a:fillRect/>
                          </a:stretch>
                        </pic:blipFill>
                        <pic:spPr bwMode="auto">
                          <a:xfrm>
                            <a:off x="0" y="0"/>
                            <a:ext cx="2878622" cy="2097010"/>
                          </a:xfrm>
                          <a:prstGeom prst="rect">
                            <a:avLst/>
                          </a:prstGeom>
                          <a:noFill/>
                          <a:ln>
                            <a:noFill/>
                          </a:ln>
                        </pic:spPr>
                      </pic:pic>
                    </a:graphicData>
                  </a:graphic>
                </wp:inline>
              </w:drawing>
            </w:r>
          </w:p>
        </w:tc>
        <w:tc>
          <w:tcPr>
            <w:tcW w:w="4734" w:type="dxa"/>
          </w:tcPr>
          <w:p w14:paraId="42CB5E68" w14:textId="77777777" w:rsidR="003D217E" w:rsidRDefault="003D217E" w:rsidP="001740C5">
            <w:pPr>
              <w:pStyle w:val="SC2"/>
              <w:numPr>
                <w:ilvl w:val="0"/>
                <w:numId w:val="0"/>
              </w:numPr>
              <w:spacing w:after="0"/>
              <w:rPr>
                <w:rFonts w:eastAsiaTheme="minorEastAsia"/>
                <w:lang w:eastAsia="ko-KR"/>
              </w:rPr>
            </w:pPr>
            <w:r>
              <w:rPr>
                <w:noProof/>
                <w:lang w:val="en-US" w:eastAsia="zh-CN" w:bidi="mn-Mong-CN"/>
              </w:rPr>
              <w:drawing>
                <wp:inline distT="0" distB="0" distL="0" distR="0" wp14:anchorId="71A98BBF" wp14:editId="10631FB7">
                  <wp:extent cx="2886075" cy="2095500"/>
                  <wp:effectExtent l="0" t="0" r="0" b="0"/>
                  <wp:docPr id="266" name="Picture 266"/>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0" cstate="email">
                            <a:extLst>
                              <a:ext uri="{28A0092B-C50C-407E-A947-70E740481C1C}">
                                <a14:useLocalDpi xmlns:a14="http://schemas.microsoft.com/office/drawing/2010/main" val="0"/>
                              </a:ext>
                            </a:extLst>
                          </a:blip>
                          <a:srcRect/>
                          <a:stretch>
                            <a:fillRect/>
                          </a:stretch>
                        </pic:blipFill>
                        <pic:spPr bwMode="auto">
                          <a:xfrm>
                            <a:off x="0" y="0"/>
                            <a:ext cx="2888891" cy="2097545"/>
                          </a:xfrm>
                          <a:prstGeom prst="rect">
                            <a:avLst/>
                          </a:prstGeom>
                          <a:noFill/>
                          <a:ln>
                            <a:noFill/>
                          </a:ln>
                        </pic:spPr>
                      </pic:pic>
                    </a:graphicData>
                  </a:graphic>
                </wp:inline>
              </w:drawing>
            </w:r>
          </w:p>
        </w:tc>
      </w:tr>
      <w:tr w:rsidR="003D217E" w14:paraId="0D352D89" w14:textId="77777777" w:rsidTr="001740C5">
        <w:tc>
          <w:tcPr>
            <w:tcW w:w="4734" w:type="dxa"/>
          </w:tcPr>
          <w:p w14:paraId="678F6934" w14:textId="77777777" w:rsidR="003D217E" w:rsidRDefault="003D217E" w:rsidP="001740C5">
            <w:pPr>
              <w:pStyle w:val="SC2"/>
              <w:numPr>
                <w:ilvl w:val="0"/>
                <w:numId w:val="0"/>
              </w:numPr>
              <w:spacing w:after="0"/>
              <w:rPr>
                <w:rFonts w:eastAsiaTheme="minorEastAsia"/>
                <w:lang w:eastAsia="ko-KR"/>
              </w:rPr>
            </w:pPr>
            <w:r w:rsidRPr="002445A7">
              <w:rPr>
                <w:bCs/>
              </w:rPr>
              <w:t>Figure 1</w:t>
            </w:r>
            <w:r>
              <w:rPr>
                <w:b w:val="0"/>
              </w:rPr>
              <w:t>.</w:t>
            </w:r>
            <w:r>
              <w:t xml:space="preserve"> </w:t>
            </w:r>
            <w:r w:rsidRPr="002445A7">
              <w:rPr>
                <w:b w:val="0"/>
                <w:bCs/>
              </w:rPr>
              <w:t>Catch (mt) of albacore, bigeye, skipjack and yellowfin in the WCP–CA, by longline, pole-and-line, purse seine and other gear types</w:t>
            </w:r>
          </w:p>
        </w:tc>
        <w:tc>
          <w:tcPr>
            <w:tcW w:w="4734" w:type="dxa"/>
          </w:tcPr>
          <w:p w14:paraId="03C3E502" w14:textId="77777777" w:rsidR="003D217E" w:rsidRDefault="003D217E" w:rsidP="001740C5">
            <w:pPr>
              <w:pStyle w:val="SC2"/>
              <w:numPr>
                <w:ilvl w:val="0"/>
                <w:numId w:val="0"/>
              </w:numPr>
              <w:spacing w:after="0"/>
              <w:rPr>
                <w:rFonts w:eastAsiaTheme="minorEastAsia"/>
                <w:lang w:eastAsia="ko-KR"/>
              </w:rPr>
            </w:pPr>
            <w:r w:rsidRPr="002445A7">
              <w:rPr>
                <w:bCs/>
              </w:rPr>
              <w:t>Figure 2</w:t>
            </w:r>
            <w:r>
              <w:rPr>
                <w:b w:val="0"/>
              </w:rPr>
              <w:t>.</w:t>
            </w:r>
            <w:r>
              <w:t xml:space="preserve"> </w:t>
            </w:r>
            <w:r w:rsidRPr="002445A7">
              <w:rPr>
                <w:b w:val="0"/>
                <w:bCs/>
              </w:rPr>
              <w:t>Catch (mt) of albacore, bigeye, skipjack and yellowfin in the WCP–CA</w:t>
            </w:r>
          </w:p>
        </w:tc>
      </w:tr>
    </w:tbl>
    <w:p w14:paraId="4C208FE6" w14:textId="77777777" w:rsidR="003D217E" w:rsidRPr="002445A7" w:rsidRDefault="003D217E" w:rsidP="003D217E">
      <w:pPr>
        <w:pStyle w:val="SC2"/>
        <w:numPr>
          <w:ilvl w:val="0"/>
          <w:numId w:val="0"/>
        </w:numPr>
        <w:spacing w:after="0"/>
        <w:ind w:left="720"/>
        <w:rPr>
          <w:rFonts w:eastAsiaTheme="minorEastAsia"/>
          <w:lang w:eastAsia="ko-KR"/>
        </w:rPr>
      </w:pPr>
    </w:p>
    <w:p w14:paraId="183D4E10" w14:textId="77777777" w:rsidR="003D217E" w:rsidRPr="004635E5" w:rsidRDefault="003D217E" w:rsidP="003D217E">
      <w:pPr>
        <w:adjustRightInd w:val="0"/>
        <w:snapToGrid w:val="0"/>
        <w:rPr>
          <w:rFonts w:eastAsiaTheme="minorEastAsia"/>
          <w:sz w:val="22"/>
          <w:szCs w:val="22"/>
          <w:lang w:val="en-NZ" w:eastAsia="ko-KR"/>
        </w:rPr>
      </w:pPr>
    </w:p>
    <w:p w14:paraId="02E877AF" w14:textId="77777777" w:rsidR="003D217E" w:rsidRPr="00166EEA" w:rsidRDefault="003D217E" w:rsidP="003D217E">
      <w:pPr>
        <w:pStyle w:val="Heading1"/>
        <w:numPr>
          <w:ilvl w:val="0"/>
          <w:numId w:val="0"/>
        </w:numPr>
        <w:adjustRightInd w:val="0"/>
        <w:snapToGrid w:val="0"/>
        <w:spacing w:after="0"/>
        <w:ind w:left="360"/>
        <w:rPr>
          <w:sz w:val="28"/>
          <w:szCs w:val="28"/>
        </w:rPr>
      </w:pPr>
      <w:r w:rsidRPr="00166EEA">
        <w:rPr>
          <w:sz w:val="28"/>
          <w:szCs w:val="28"/>
        </w:rPr>
        <w:t>AGENDA ITEM 3 — DATA AND STATISTICS THEME</w:t>
      </w:r>
    </w:p>
    <w:p w14:paraId="2B442D12" w14:textId="77777777" w:rsidR="003D217E" w:rsidRDefault="003D217E" w:rsidP="003D217E">
      <w:pPr>
        <w:pStyle w:val="Heading1"/>
        <w:numPr>
          <w:ilvl w:val="0"/>
          <w:numId w:val="0"/>
        </w:numPr>
        <w:adjustRightInd w:val="0"/>
        <w:snapToGrid w:val="0"/>
        <w:spacing w:after="0"/>
        <w:ind w:left="360"/>
        <w:rPr>
          <w:lang w:eastAsia="ko-KR"/>
        </w:rPr>
      </w:pPr>
    </w:p>
    <w:p w14:paraId="7181E3BB" w14:textId="77777777" w:rsidR="003D217E" w:rsidRPr="004635E5" w:rsidRDefault="003D217E" w:rsidP="003D217E">
      <w:pPr>
        <w:pStyle w:val="Heading1"/>
        <w:numPr>
          <w:ilvl w:val="0"/>
          <w:numId w:val="0"/>
        </w:numPr>
        <w:adjustRightInd w:val="0"/>
        <w:snapToGrid w:val="0"/>
        <w:spacing w:after="0"/>
        <w:ind w:left="360"/>
      </w:pPr>
      <w:r w:rsidRPr="004635E5">
        <w:fldChar w:fldCharType="begin"/>
      </w:r>
      <w:r w:rsidRPr="004635E5">
        <w:instrText xml:space="preserve"> TC "</w:instrText>
      </w:r>
      <w:bookmarkStart w:id="12" w:name="_Toc10607004"/>
      <w:bookmarkStart w:id="13" w:name="_Toc10607265"/>
      <w:bookmarkStart w:id="14" w:name="_Toc10607354"/>
      <w:bookmarkStart w:id="15" w:name="_Toc10607539"/>
      <w:bookmarkStart w:id="16" w:name="_Toc16418002"/>
      <w:r w:rsidRPr="004635E5">
        <w:instrText>AGENDA ITEM 3 — DATA AND STATISTICS THEME</w:instrText>
      </w:r>
      <w:bookmarkEnd w:id="12"/>
      <w:bookmarkEnd w:id="13"/>
      <w:bookmarkEnd w:id="14"/>
      <w:bookmarkEnd w:id="15"/>
      <w:bookmarkEnd w:id="16"/>
      <w:r w:rsidRPr="004635E5">
        <w:instrText xml:space="preserve">" \f C \l "1" </w:instrText>
      </w:r>
      <w:r w:rsidRPr="004635E5">
        <w:fldChar w:fldCharType="end"/>
      </w:r>
    </w:p>
    <w:p w14:paraId="1F0A65C3" w14:textId="77777777" w:rsidR="003D217E" w:rsidRPr="002445A7" w:rsidRDefault="003D217E" w:rsidP="00580EA4">
      <w:pPr>
        <w:pStyle w:val="ListParagraph"/>
        <w:keepNext/>
        <w:numPr>
          <w:ilvl w:val="0"/>
          <w:numId w:val="56"/>
        </w:numPr>
        <w:suppressLineNumbers/>
        <w:adjustRightInd w:val="0"/>
        <w:snapToGrid w:val="0"/>
        <w:jc w:val="both"/>
        <w:rPr>
          <w:b/>
          <w:vanish/>
          <w:sz w:val="22"/>
          <w:szCs w:val="22"/>
          <w:lang w:val="en-NZ"/>
        </w:rPr>
      </w:pPr>
    </w:p>
    <w:p w14:paraId="6CEEA1CF" w14:textId="77777777" w:rsidR="003D217E" w:rsidRPr="002445A7" w:rsidRDefault="003D217E" w:rsidP="00580EA4">
      <w:pPr>
        <w:pStyle w:val="ListParagraph"/>
        <w:keepNext/>
        <w:numPr>
          <w:ilvl w:val="0"/>
          <w:numId w:val="56"/>
        </w:numPr>
        <w:suppressLineNumbers/>
        <w:adjustRightInd w:val="0"/>
        <w:snapToGrid w:val="0"/>
        <w:jc w:val="both"/>
        <w:rPr>
          <w:b/>
          <w:vanish/>
          <w:sz w:val="22"/>
          <w:szCs w:val="22"/>
          <w:lang w:val="en-NZ"/>
        </w:rPr>
      </w:pPr>
    </w:p>
    <w:p w14:paraId="19C27657" w14:textId="77777777" w:rsidR="003D217E" w:rsidRPr="002445A7" w:rsidRDefault="003D217E" w:rsidP="00580EA4">
      <w:pPr>
        <w:pStyle w:val="ListParagraph"/>
        <w:keepNext/>
        <w:numPr>
          <w:ilvl w:val="0"/>
          <w:numId w:val="56"/>
        </w:numPr>
        <w:suppressLineNumbers/>
        <w:adjustRightInd w:val="0"/>
        <w:snapToGrid w:val="0"/>
        <w:jc w:val="both"/>
        <w:rPr>
          <w:b/>
          <w:vanish/>
          <w:sz w:val="22"/>
          <w:szCs w:val="22"/>
          <w:lang w:val="en-NZ"/>
        </w:rPr>
      </w:pPr>
    </w:p>
    <w:p w14:paraId="5442B00F" w14:textId="77777777" w:rsidR="003D217E" w:rsidRPr="00166EEA" w:rsidRDefault="003D217E" w:rsidP="003D217E">
      <w:pPr>
        <w:pStyle w:val="SC2"/>
        <w:spacing w:after="0"/>
        <w:rPr>
          <w:sz w:val="24"/>
          <w:szCs w:val="24"/>
        </w:rPr>
      </w:pPr>
      <w:r w:rsidRPr="00166EEA">
        <w:rPr>
          <w:sz w:val="24"/>
          <w:szCs w:val="24"/>
        </w:rPr>
        <w:t xml:space="preserve">Data gaps </w:t>
      </w:r>
    </w:p>
    <w:p w14:paraId="1D692218" w14:textId="77777777" w:rsidR="003D217E" w:rsidRPr="004635E5" w:rsidRDefault="003D217E" w:rsidP="003D217E">
      <w:pPr>
        <w:pStyle w:val="SC2"/>
        <w:numPr>
          <w:ilvl w:val="0"/>
          <w:numId w:val="0"/>
        </w:numPr>
        <w:spacing w:after="0"/>
        <w:ind w:left="720"/>
      </w:pPr>
    </w:p>
    <w:p w14:paraId="654DA2BF" w14:textId="77777777" w:rsidR="003D217E" w:rsidRPr="00166EEA" w:rsidRDefault="003D217E" w:rsidP="003D217E">
      <w:pPr>
        <w:pStyle w:val="SC3"/>
        <w:spacing w:after="0"/>
        <w:rPr>
          <w:sz w:val="24"/>
          <w:szCs w:val="24"/>
        </w:rPr>
      </w:pPr>
      <w:r w:rsidRPr="00166EEA">
        <w:rPr>
          <w:sz w:val="24"/>
          <w:szCs w:val="24"/>
        </w:rPr>
        <w:t xml:space="preserve"> Data gaps of the Commission</w:t>
      </w:r>
    </w:p>
    <w:p w14:paraId="6E6963C8" w14:textId="77777777" w:rsidR="003D217E" w:rsidRPr="004635E5" w:rsidRDefault="003D217E" w:rsidP="003D217E">
      <w:pPr>
        <w:pStyle w:val="SC3"/>
        <w:numPr>
          <w:ilvl w:val="0"/>
          <w:numId w:val="0"/>
        </w:numPr>
        <w:spacing w:after="0"/>
        <w:ind w:left="1440"/>
      </w:pPr>
    </w:p>
    <w:p w14:paraId="5C25ED29" w14:textId="77777777" w:rsidR="003D217E" w:rsidRPr="00166EEA" w:rsidRDefault="003D217E" w:rsidP="003D217E">
      <w:pPr>
        <w:pStyle w:val="WCPFC"/>
        <w:adjustRightInd w:val="0"/>
        <w:spacing w:after="0"/>
        <w:ind w:left="0" w:firstLine="0"/>
        <w:rPr>
          <w:bCs/>
        </w:rPr>
      </w:pPr>
      <w:r w:rsidRPr="00166EEA">
        <w:rPr>
          <w:bCs/>
          <w:lang w:val="en-AU"/>
        </w:rPr>
        <w:t>SC14</w:t>
      </w:r>
      <w:r w:rsidRPr="00166EEA">
        <w:rPr>
          <w:bCs/>
        </w:rPr>
        <w:t xml:space="preserve"> recommended that the Scientific Services Provider include a table listing the observer data collected by small island developing state (SIDS) observer providers in future versions of the ST Information Paper “Status of ROP Data Management” </w:t>
      </w:r>
    </w:p>
    <w:p w14:paraId="36082153" w14:textId="77777777" w:rsidR="003D217E" w:rsidRPr="004635E5" w:rsidRDefault="003D217E" w:rsidP="003D217E">
      <w:pPr>
        <w:adjustRightInd w:val="0"/>
        <w:snapToGrid w:val="0"/>
        <w:ind w:left="720"/>
        <w:jc w:val="both"/>
        <w:rPr>
          <w:bCs/>
          <w:sz w:val="22"/>
          <w:szCs w:val="22"/>
          <w:lang w:val="en-NZ"/>
        </w:rPr>
      </w:pPr>
    </w:p>
    <w:p w14:paraId="70F3486A" w14:textId="77777777" w:rsidR="003D217E" w:rsidRPr="00166EEA" w:rsidRDefault="003D217E" w:rsidP="003D217E">
      <w:pPr>
        <w:pStyle w:val="SC3"/>
        <w:spacing w:after="0"/>
        <w:rPr>
          <w:sz w:val="24"/>
          <w:szCs w:val="24"/>
        </w:rPr>
      </w:pPr>
      <w:r w:rsidRPr="00166EEA">
        <w:rPr>
          <w:sz w:val="24"/>
          <w:szCs w:val="24"/>
        </w:rPr>
        <w:t>Species composition of purse-seine catches</w:t>
      </w:r>
      <w:r w:rsidRPr="00166EEA">
        <w:rPr>
          <w:rFonts w:eastAsiaTheme="minorEastAsia"/>
          <w:sz w:val="24"/>
          <w:szCs w:val="24"/>
        </w:rPr>
        <w:t xml:space="preserve"> </w:t>
      </w:r>
    </w:p>
    <w:p w14:paraId="402DED7D" w14:textId="77777777" w:rsidR="003D217E" w:rsidRPr="004635E5" w:rsidRDefault="003D217E" w:rsidP="003D217E">
      <w:pPr>
        <w:pStyle w:val="SC3"/>
        <w:numPr>
          <w:ilvl w:val="0"/>
          <w:numId w:val="0"/>
        </w:numPr>
        <w:spacing w:after="0"/>
        <w:ind w:left="1440"/>
      </w:pPr>
    </w:p>
    <w:p w14:paraId="3CFCAC4D" w14:textId="77777777" w:rsidR="003D217E" w:rsidRPr="00166EEA" w:rsidRDefault="003D217E" w:rsidP="00580EA4">
      <w:pPr>
        <w:numPr>
          <w:ilvl w:val="0"/>
          <w:numId w:val="18"/>
        </w:numPr>
        <w:autoSpaceDE w:val="0"/>
        <w:autoSpaceDN w:val="0"/>
        <w:adjustRightInd w:val="0"/>
        <w:snapToGrid w:val="0"/>
        <w:ind w:left="0" w:firstLine="0"/>
        <w:jc w:val="both"/>
        <w:rPr>
          <w:bCs/>
          <w:sz w:val="22"/>
          <w:szCs w:val="22"/>
        </w:rPr>
      </w:pPr>
      <w:r w:rsidRPr="00166EEA">
        <w:rPr>
          <w:bCs/>
          <w:sz w:val="22"/>
          <w:szCs w:val="22"/>
        </w:rPr>
        <w:t xml:space="preserve">SC14 recommended that the future work proposed by the Scientific Service Provider under Project 60 (Improving purse seine species composition) continue over the coming two years. </w:t>
      </w:r>
    </w:p>
    <w:p w14:paraId="446AE249" w14:textId="77777777" w:rsidR="003D217E" w:rsidRPr="004635E5" w:rsidRDefault="003D217E" w:rsidP="003D217E">
      <w:pPr>
        <w:autoSpaceDE w:val="0"/>
        <w:autoSpaceDN w:val="0"/>
        <w:adjustRightInd w:val="0"/>
        <w:snapToGrid w:val="0"/>
        <w:jc w:val="both"/>
        <w:rPr>
          <w:sz w:val="22"/>
          <w:szCs w:val="22"/>
          <w:lang w:val="en-AU"/>
        </w:rPr>
      </w:pPr>
    </w:p>
    <w:p w14:paraId="5377DBF7" w14:textId="77777777" w:rsidR="003D217E" w:rsidRPr="00166EEA" w:rsidRDefault="003D217E" w:rsidP="003D217E">
      <w:pPr>
        <w:pStyle w:val="SC3"/>
        <w:spacing w:after="0"/>
        <w:rPr>
          <w:rFonts w:eastAsia="Batang"/>
          <w:sz w:val="24"/>
          <w:szCs w:val="24"/>
          <w:lang w:eastAsia="ko-KR"/>
        </w:rPr>
      </w:pPr>
      <w:r w:rsidRPr="00166EEA">
        <w:rPr>
          <w:rFonts w:eastAsia="Batang"/>
          <w:sz w:val="24"/>
          <w:szCs w:val="24"/>
          <w:lang w:eastAsia="ko-KR"/>
        </w:rPr>
        <w:t>Potential use of cannery receipt data for the work of the WCPFC</w:t>
      </w:r>
    </w:p>
    <w:p w14:paraId="383E7D94" w14:textId="77777777" w:rsidR="003D217E" w:rsidRDefault="003D217E" w:rsidP="003D217E">
      <w:pPr>
        <w:pStyle w:val="SC3"/>
        <w:numPr>
          <w:ilvl w:val="0"/>
          <w:numId w:val="0"/>
        </w:numPr>
        <w:spacing w:after="0"/>
        <w:rPr>
          <w:rFonts w:eastAsia="Batang"/>
          <w:lang w:eastAsia="ko-KR"/>
        </w:rPr>
      </w:pPr>
    </w:p>
    <w:p w14:paraId="5064715A" w14:textId="77777777" w:rsidR="003D217E" w:rsidRDefault="003D217E" w:rsidP="003D217E">
      <w:pPr>
        <w:pStyle w:val="WCPFC"/>
        <w:adjustRightInd w:val="0"/>
        <w:spacing w:after="0"/>
        <w:ind w:left="0" w:firstLine="0"/>
      </w:pPr>
      <w:r>
        <w:rPr>
          <w:rFonts w:hint="eastAsia"/>
          <w:lang w:eastAsia="ko-KR"/>
        </w:rPr>
        <w:t>No recommendations were made.</w:t>
      </w:r>
    </w:p>
    <w:p w14:paraId="385D7AB0" w14:textId="77777777" w:rsidR="003D217E" w:rsidRPr="004635E5" w:rsidRDefault="003D217E" w:rsidP="003D217E">
      <w:pPr>
        <w:pStyle w:val="WCPFC"/>
        <w:numPr>
          <w:ilvl w:val="0"/>
          <w:numId w:val="0"/>
        </w:numPr>
        <w:adjustRightInd w:val="0"/>
        <w:spacing w:after="0"/>
      </w:pPr>
    </w:p>
    <w:p w14:paraId="7538887A" w14:textId="77777777" w:rsidR="003D217E" w:rsidRPr="00166EEA" w:rsidRDefault="003D217E" w:rsidP="003D217E">
      <w:pPr>
        <w:pStyle w:val="SC3"/>
        <w:spacing w:after="0"/>
        <w:rPr>
          <w:sz w:val="24"/>
          <w:szCs w:val="24"/>
        </w:rPr>
      </w:pPr>
      <w:r w:rsidRPr="00166EEA">
        <w:rPr>
          <w:rFonts w:eastAsiaTheme="minorEastAsia"/>
          <w:sz w:val="24"/>
          <w:szCs w:val="24"/>
          <w:lang w:eastAsia="ko-KR"/>
        </w:rPr>
        <w:t>Bycatch e</w:t>
      </w:r>
      <w:r w:rsidRPr="00166EEA">
        <w:rPr>
          <w:sz w:val="24"/>
          <w:szCs w:val="24"/>
        </w:rPr>
        <w:t>stimates of longline and purse seine</w:t>
      </w:r>
      <w:r w:rsidRPr="00166EEA">
        <w:rPr>
          <w:rFonts w:eastAsiaTheme="minorEastAsia"/>
          <w:sz w:val="24"/>
          <w:szCs w:val="24"/>
          <w:lang w:eastAsia="ko-KR"/>
        </w:rPr>
        <w:t xml:space="preserve"> </w:t>
      </w:r>
    </w:p>
    <w:p w14:paraId="14D8A8A8" w14:textId="77777777" w:rsidR="003D217E" w:rsidRPr="004635E5" w:rsidRDefault="003D217E" w:rsidP="003D217E">
      <w:pPr>
        <w:pStyle w:val="SC3"/>
        <w:numPr>
          <w:ilvl w:val="0"/>
          <w:numId w:val="0"/>
        </w:numPr>
        <w:spacing w:after="0"/>
        <w:ind w:left="1440"/>
      </w:pPr>
    </w:p>
    <w:p w14:paraId="56CB0414" w14:textId="77777777" w:rsidR="003D217E" w:rsidRPr="00166EEA" w:rsidRDefault="003D217E" w:rsidP="00580EA4">
      <w:pPr>
        <w:numPr>
          <w:ilvl w:val="0"/>
          <w:numId w:val="18"/>
        </w:numPr>
        <w:autoSpaceDE w:val="0"/>
        <w:autoSpaceDN w:val="0"/>
        <w:adjustRightInd w:val="0"/>
        <w:snapToGrid w:val="0"/>
        <w:ind w:left="0" w:firstLine="0"/>
        <w:jc w:val="both"/>
        <w:rPr>
          <w:bCs/>
          <w:sz w:val="22"/>
          <w:szCs w:val="22"/>
        </w:rPr>
      </w:pPr>
      <w:r w:rsidRPr="00166EEA">
        <w:rPr>
          <w:bCs/>
          <w:sz w:val="22"/>
          <w:szCs w:val="22"/>
        </w:rPr>
        <w:t xml:space="preserve">SC14 recommended that the Scientific Services Provider continue the work on purse seine and longline bycatch estimates, and provide updates every 2-3 years. </w:t>
      </w:r>
    </w:p>
    <w:p w14:paraId="4568654E" w14:textId="77777777" w:rsidR="003D217E" w:rsidRPr="00166EEA" w:rsidRDefault="003D217E" w:rsidP="003D217E">
      <w:pPr>
        <w:autoSpaceDE w:val="0"/>
        <w:autoSpaceDN w:val="0"/>
        <w:adjustRightInd w:val="0"/>
        <w:snapToGrid w:val="0"/>
        <w:jc w:val="both"/>
        <w:rPr>
          <w:bCs/>
          <w:sz w:val="22"/>
          <w:szCs w:val="22"/>
        </w:rPr>
      </w:pPr>
    </w:p>
    <w:p w14:paraId="51034CB5" w14:textId="77777777" w:rsidR="003D217E" w:rsidRPr="00166EEA" w:rsidRDefault="003D217E" w:rsidP="00580EA4">
      <w:pPr>
        <w:numPr>
          <w:ilvl w:val="0"/>
          <w:numId w:val="18"/>
        </w:numPr>
        <w:autoSpaceDE w:val="0"/>
        <w:autoSpaceDN w:val="0"/>
        <w:adjustRightInd w:val="0"/>
        <w:snapToGrid w:val="0"/>
        <w:ind w:left="0" w:firstLine="0"/>
        <w:jc w:val="both"/>
        <w:rPr>
          <w:bCs/>
          <w:sz w:val="22"/>
          <w:szCs w:val="22"/>
        </w:rPr>
      </w:pPr>
      <w:r w:rsidRPr="00166EEA">
        <w:rPr>
          <w:bCs/>
          <w:sz w:val="22"/>
          <w:szCs w:val="22"/>
        </w:rPr>
        <w:t xml:space="preserve">SC14 encouraged CCMs to provide catch estimates of all species at the species level (in addition to the binding provision of estimates for the WCPFC key species) as part of their annual data submission. </w:t>
      </w:r>
    </w:p>
    <w:p w14:paraId="06A2A0C3" w14:textId="77777777" w:rsidR="003D217E" w:rsidRPr="00166EEA" w:rsidRDefault="003D217E" w:rsidP="003D217E">
      <w:pPr>
        <w:autoSpaceDE w:val="0"/>
        <w:autoSpaceDN w:val="0"/>
        <w:adjustRightInd w:val="0"/>
        <w:snapToGrid w:val="0"/>
        <w:jc w:val="both"/>
        <w:rPr>
          <w:bCs/>
          <w:sz w:val="22"/>
          <w:szCs w:val="22"/>
        </w:rPr>
      </w:pPr>
    </w:p>
    <w:p w14:paraId="27FE069F" w14:textId="77777777" w:rsidR="003D217E" w:rsidRPr="00166EEA" w:rsidRDefault="003D217E" w:rsidP="00580EA4">
      <w:pPr>
        <w:numPr>
          <w:ilvl w:val="0"/>
          <w:numId w:val="18"/>
        </w:numPr>
        <w:autoSpaceDE w:val="0"/>
        <w:autoSpaceDN w:val="0"/>
        <w:adjustRightInd w:val="0"/>
        <w:snapToGrid w:val="0"/>
        <w:ind w:left="0" w:firstLine="0"/>
        <w:jc w:val="both"/>
        <w:rPr>
          <w:bCs/>
          <w:sz w:val="22"/>
          <w:szCs w:val="22"/>
        </w:rPr>
      </w:pPr>
      <w:r w:rsidRPr="00166EEA">
        <w:rPr>
          <w:bCs/>
          <w:sz w:val="22"/>
          <w:szCs w:val="22"/>
        </w:rPr>
        <w:t>SC14 recommended that the bycatch estimates (from SC14-ST-WP-03)</w:t>
      </w:r>
      <w:r w:rsidRPr="00166EEA" w:rsidDel="008A383A">
        <w:rPr>
          <w:bCs/>
          <w:sz w:val="22"/>
          <w:szCs w:val="22"/>
        </w:rPr>
        <w:t xml:space="preserve"> </w:t>
      </w:r>
      <w:r w:rsidRPr="00166EEA">
        <w:rPr>
          <w:bCs/>
          <w:sz w:val="22"/>
          <w:szCs w:val="22"/>
        </w:rPr>
        <w:t xml:space="preserve">also include the estimates of uncertainty (e.g. CVs) in the next iteration of this work, and consider alternative better estimates where appropriate. </w:t>
      </w:r>
    </w:p>
    <w:p w14:paraId="5750DAED" w14:textId="77777777" w:rsidR="003D217E" w:rsidRPr="00166EEA" w:rsidRDefault="003D217E" w:rsidP="003D217E">
      <w:pPr>
        <w:autoSpaceDE w:val="0"/>
        <w:autoSpaceDN w:val="0"/>
        <w:adjustRightInd w:val="0"/>
        <w:snapToGrid w:val="0"/>
        <w:jc w:val="both"/>
        <w:rPr>
          <w:bCs/>
          <w:sz w:val="22"/>
          <w:szCs w:val="22"/>
        </w:rPr>
      </w:pPr>
    </w:p>
    <w:p w14:paraId="53EB95C8" w14:textId="77777777" w:rsidR="003D217E" w:rsidRPr="00166EEA" w:rsidRDefault="003D217E" w:rsidP="00580EA4">
      <w:pPr>
        <w:numPr>
          <w:ilvl w:val="0"/>
          <w:numId w:val="18"/>
        </w:numPr>
        <w:autoSpaceDE w:val="0"/>
        <w:autoSpaceDN w:val="0"/>
        <w:adjustRightInd w:val="0"/>
        <w:snapToGrid w:val="0"/>
        <w:ind w:left="0" w:firstLine="0"/>
        <w:jc w:val="both"/>
        <w:rPr>
          <w:bCs/>
          <w:sz w:val="22"/>
          <w:szCs w:val="22"/>
        </w:rPr>
      </w:pPr>
      <w:r w:rsidRPr="00166EEA">
        <w:rPr>
          <w:bCs/>
          <w:sz w:val="22"/>
          <w:szCs w:val="22"/>
        </w:rPr>
        <w:t>SC14 recommended that the Scientific Service</w:t>
      </w:r>
      <w:r w:rsidRPr="00166EEA">
        <w:rPr>
          <w:rFonts w:eastAsiaTheme="minorEastAsia" w:hint="eastAsia"/>
          <w:bCs/>
          <w:sz w:val="22"/>
          <w:szCs w:val="22"/>
          <w:lang w:eastAsia="ko-KR"/>
        </w:rPr>
        <w:t>s</w:t>
      </w:r>
      <w:r w:rsidRPr="00166EEA">
        <w:rPr>
          <w:bCs/>
          <w:sz w:val="22"/>
          <w:szCs w:val="22"/>
        </w:rPr>
        <w:t xml:space="preserve"> Provider reconcile the names and codes of some species of sharks included in their databases. </w:t>
      </w:r>
    </w:p>
    <w:p w14:paraId="0FDDF1C6" w14:textId="77777777" w:rsidR="003D217E" w:rsidRPr="00166EEA" w:rsidRDefault="003D217E" w:rsidP="003D217E">
      <w:pPr>
        <w:autoSpaceDE w:val="0"/>
        <w:autoSpaceDN w:val="0"/>
        <w:adjustRightInd w:val="0"/>
        <w:snapToGrid w:val="0"/>
        <w:jc w:val="both"/>
        <w:rPr>
          <w:bCs/>
          <w:sz w:val="22"/>
          <w:szCs w:val="22"/>
        </w:rPr>
      </w:pPr>
    </w:p>
    <w:p w14:paraId="509103C8" w14:textId="77777777" w:rsidR="003D217E" w:rsidRPr="00166EEA" w:rsidRDefault="003D217E" w:rsidP="00580EA4">
      <w:pPr>
        <w:numPr>
          <w:ilvl w:val="0"/>
          <w:numId w:val="18"/>
        </w:numPr>
        <w:autoSpaceDE w:val="0"/>
        <w:autoSpaceDN w:val="0"/>
        <w:adjustRightInd w:val="0"/>
        <w:snapToGrid w:val="0"/>
        <w:ind w:left="0" w:firstLine="0"/>
        <w:jc w:val="both"/>
        <w:rPr>
          <w:bCs/>
          <w:sz w:val="22"/>
          <w:szCs w:val="22"/>
        </w:rPr>
      </w:pPr>
      <w:r w:rsidRPr="00166EEA">
        <w:rPr>
          <w:bCs/>
          <w:sz w:val="22"/>
          <w:szCs w:val="22"/>
        </w:rPr>
        <w:t>SC14 recommended that the differences in coverage of longline observer data presented in some SC14 papers be investigated by Scientific Service</w:t>
      </w:r>
      <w:r w:rsidRPr="00166EEA">
        <w:rPr>
          <w:rFonts w:eastAsiaTheme="minorEastAsia" w:hint="eastAsia"/>
          <w:bCs/>
          <w:sz w:val="22"/>
          <w:szCs w:val="22"/>
          <w:lang w:eastAsia="ko-KR"/>
        </w:rPr>
        <w:t>s</w:t>
      </w:r>
      <w:r w:rsidRPr="00166EEA">
        <w:rPr>
          <w:bCs/>
          <w:sz w:val="22"/>
          <w:szCs w:val="22"/>
        </w:rPr>
        <w:t xml:space="preserve"> Provider and reported to SC15. </w:t>
      </w:r>
    </w:p>
    <w:p w14:paraId="664AFB1A" w14:textId="77777777" w:rsidR="003D217E" w:rsidRPr="004635E5" w:rsidRDefault="003D217E" w:rsidP="003D217E">
      <w:pPr>
        <w:autoSpaceDE w:val="0"/>
        <w:autoSpaceDN w:val="0"/>
        <w:adjustRightInd w:val="0"/>
        <w:snapToGrid w:val="0"/>
        <w:jc w:val="both"/>
        <w:rPr>
          <w:b/>
          <w:sz w:val="22"/>
          <w:szCs w:val="22"/>
        </w:rPr>
      </w:pPr>
    </w:p>
    <w:p w14:paraId="6590006A" w14:textId="77777777" w:rsidR="003D217E" w:rsidRPr="00166EEA" w:rsidRDefault="003D217E" w:rsidP="003D217E">
      <w:pPr>
        <w:pStyle w:val="SC3"/>
        <w:spacing w:after="0"/>
        <w:rPr>
          <w:rFonts w:eastAsiaTheme="minorEastAsia"/>
          <w:sz w:val="24"/>
          <w:szCs w:val="24"/>
          <w:lang w:eastAsia="ko-KR"/>
        </w:rPr>
      </w:pPr>
      <w:r w:rsidRPr="00166EEA">
        <w:rPr>
          <w:rFonts w:eastAsiaTheme="minorEastAsia"/>
          <w:sz w:val="24"/>
          <w:szCs w:val="24"/>
          <w:lang w:eastAsia="ko-KR"/>
        </w:rPr>
        <w:t>Better size data (length and weight) for scientific analyses (Project 90)</w:t>
      </w:r>
    </w:p>
    <w:p w14:paraId="606CD8E5" w14:textId="77777777" w:rsidR="003D217E" w:rsidRPr="004635E5" w:rsidRDefault="003D217E" w:rsidP="003D217E">
      <w:pPr>
        <w:pStyle w:val="SC3"/>
        <w:numPr>
          <w:ilvl w:val="0"/>
          <w:numId w:val="0"/>
        </w:numPr>
        <w:spacing w:after="0"/>
        <w:ind w:left="1440"/>
        <w:rPr>
          <w:rFonts w:eastAsiaTheme="minorEastAsia"/>
          <w:lang w:eastAsia="ko-KR"/>
        </w:rPr>
      </w:pPr>
    </w:p>
    <w:p w14:paraId="4AC9A2BB" w14:textId="77777777" w:rsidR="003D217E" w:rsidRPr="00166EEA" w:rsidRDefault="003D217E" w:rsidP="00580EA4">
      <w:pPr>
        <w:numPr>
          <w:ilvl w:val="0"/>
          <w:numId w:val="18"/>
        </w:numPr>
        <w:autoSpaceDE w:val="0"/>
        <w:autoSpaceDN w:val="0"/>
        <w:adjustRightInd w:val="0"/>
        <w:snapToGrid w:val="0"/>
        <w:ind w:left="0" w:firstLine="0"/>
        <w:jc w:val="both"/>
        <w:rPr>
          <w:bCs/>
          <w:sz w:val="22"/>
          <w:szCs w:val="22"/>
          <w:shd w:val="clear" w:color="auto" w:fill="FFFFFF"/>
        </w:rPr>
      </w:pPr>
      <w:r w:rsidRPr="00166EEA">
        <w:rPr>
          <w:bCs/>
          <w:sz w:val="22"/>
          <w:szCs w:val="22"/>
          <w:shd w:val="clear" w:color="auto" w:fill="FFFFFF"/>
        </w:rPr>
        <w:t xml:space="preserve">SC14 recommends that the Scientific Services Provider be tasked with a project to design and coordinate the systematic collection of data for conversion factors on relevant species to better inform catch estimation, and agrees its inclusion in the SC future work programme and budget under Project 90. </w:t>
      </w:r>
    </w:p>
    <w:p w14:paraId="3474BC19" w14:textId="77777777" w:rsidR="003D217E" w:rsidRPr="004635E5" w:rsidRDefault="003D217E" w:rsidP="003D217E">
      <w:pPr>
        <w:autoSpaceDE w:val="0"/>
        <w:autoSpaceDN w:val="0"/>
        <w:adjustRightInd w:val="0"/>
        <w:snapToGrid w:val="0"/>
        <w:jc w:val="both"/>
        <w:rPr>
          <w:b/>
          <w:sz w:val="22"/>
          <w:szCs w:val="22"/>
          <w:shd w:val="clear" w:color="auto" w:fill="FFFFFF"/>
        </w:rPr>
      </w:pPr>
    </w:p>
    <w:p w14:paraId="7D60CE97" w14:textId="77777777" w:rsidR="003D217E" w:rsidRPr="00166EEA" w:rsidRDefault="003D217E" w:rsidP="003D217E">
      <w:pPr>
        <w:pStyle w:val="SC2"/>
        <w:spacing w:after="0"/>
        <w:rPr>
          <w:sz w:val="24"/>
          <w:szCs w:val="24"/>
        </w:rPr>
      </w:pPr>
      <w:r w:rsidRPr="00166EEA">
        <w:rPr>
          <w:sz w:val="24"/>
          <w:szCs w:val="24"/>
        </w:rPr>
        <w:t xml:space="preserve">FAD </w:t>
      </w:r>
      <w:r w:rsidRPr="00166EEA">
        <w:rPr>
          <w:rFonts w:eastAsiaTheme="minorEastAsia"/>
          <w:sz w:val="24"/>
          <w:szCs w:val="24"/>
          <w:lang w:eastAsia="ko-KR"/>
        </w:rPr>
        <w:t>data m</w:t>
      </w:r>
      <w:r w:rsidRPr="00166EEA">
        <w:rPr>
          <w:sz w:val="24"/>
          <w:szCs w:val="24"/>
        </w:rPr>
        <w:t xml:space="preserve">anagement </w:t>
      </w:r>
    </w:p>
    <w:p w14:paraId="05E269F3" w14:textId="77777777" w:rsidR="003D217E" w:rsidRDefault="003D217E" w:rsidP="003D217E">
      <w:pPr>
        <w:pStyle w:val="SC2"/>
        <w:numPr>
          <w:ilvl w:val="0"/>
          <w:numId w:val="0"/>
        </w:numPr>
        <w:spacing w:after="0"/>
        <w:rPr>
          <w:rFonts w:eastAsiaTheme="minorEastAsia"/>
          <w:lang w:eastAsia="ko-KR"/>
        </w:rPr>
      </w:pPr>
    </w:p>
    <w:p w14:paraId="5A0742C0" w14:textId="77777777" w:rsidR="003D217E" w:rsidRPr="004635E5" w:rsidRDefault="003D217E" w:rsidP="003D217E">
      <w:pPr>
        <w:pStyle w:val="WCPFC"/>
        <w:adjustRightInd w:val="0"/>
        <w:spacing w:after="0"/>
        <w:ind w:left="0" w:firstLine="0"/>
      </w:pPr>
      <w:r>
        <w:rPr>
          <w:rFonts w:hint="eastAsia"/>
          <w:lang w:eastAsia="ko-KR"/>
        </w:rPr>
        <w:t>No recommendations were made.</w:t>
      </w:r>
    </w:p>
    <w:p w14:paraId="6398B7C9" w14:textId="77777777" w:rsidR="003D217E" w:rsidRPr="002445A7" w:rsidRDefault="003D217E" w:rsidP="003D217E">
      <w:pPr>
        <w:pStyle w:val="SC2"/>
        <w:numPr>
          <w:ilvl w:val="0"/>
          <w:numId w:val="0"/>
        </w:numPr>
        <w:spacing w:after="0"/>
        <w:rPr>
          <w:rFonts w:eastAsiaTheme="minorEastAsia"/>
          <w:lang w:eastAsia="ko-KR"/>
        </w:rPr>
      </w:pPr>
    </w:p>
    <w:p w14:paraId="74CF7368" w14:textId="77777777" w:rsidR="003D217E" w:rsidRPr="00166EEA" w:rsidRDefault="003D217E" w:rsidP="003D217E">
      <w:pPr>
        <w:pStyle w:val="SC2"/>
        <w:spacing w:after="0"/>
        <w:rPr>
          <w:sz w:val="24"/>
          <w:szCs w:val="24"/>
        </w:rPr>
      </w:pPr>
      <w:r w:rsidRPr="00166EEA">
        <w:rPr>
          <w:sz w:val="24"/>
          <w:szCs w:val="24"/>
        </w:rPr>
        <w:t>Regional Observer Programme</w:t>
      </w:r>
    </w:p>
    <w:p w14:paraId="558B515E" w14:textId="77777777" w:rsidR="003D217E" w:rsidRDefault="003D217E" w:rsidP="003D217E">
      <w:pPr>
        <w:pStyle w:val="SC3"/>
        <w:numPr>
          <w:ilvl w:val="0"/>
          <w:numId w:val="0"/>
        </w:numPr>
        <w:spacing w:after="0"/>
        <w:ind w:left="1080" w:hanging="1080"/>
        <w:rPr>
          <w:rFonts w:eastAsiaTheme="minorEastAsia"/>
          <w:lang w:eastAsia="ko-KR"/>
        </w:rPr>
      </w:pPr>
    </w:p>
    <w:p w14:paraId="5CBD7543" w14:textId="77777777" w:rsidR="003D217E" w:rsidRPr="004635E5" w:rsidRDefault="003D217E" w:rsidP="003D217E">
      <w:pPr>
        <w:pStyle w:val="WCPFC"/>
        <w:adjustRightInd w:val="0"/>
        <w:spacing w:after="0"/>
        <w:ind w:left="0" w:firstLine="0"/>
      </w:pPr>
      <w:r>
        <w:rPr>
          <w:rFonts w:hint="eastAsia"/>
          <w:lang w:eastAsia="ko-KR"/>
        </w:rPr>
        <w:t>No recommendations were made.</w:t>
      </w:r>
    </w:p>
    <w:p w14:paraId="6B487DAE" w14:textId="77777777" w:rsidR="003D217E" w:rsidRPr="004635E5" w:rsidRDefault="003D217E" w:rsidP="003D217E">
      <w:pPr>
        <w:pStyle w:val="SC3"/>
        <w:numPr>
          <w:ilvl w:val="0"/>
          <w:numId w:val="0"/>
        </w:numPr>
        <w:spacing w:after="0"/>
        <w:ind w:left="1440"/>
        <w:rPr>
          <w:rFonts w:eastAsiaTheme="minorEastAsia"/>
          <w:bCs/>
          <w:lang w:eastAsia="ko-KR"/>
        </w:rPr>
      </w:pPr>
    </w:p>
    <w:p w14:paraId="570A5D18" w14:textId="77777777" w:rsidR="003D217E" w:rsidRPr="00166EEA" w:rsidRDefault="003D217E" w:rsidP="003D217E">
      <w:pPr>
        <w:pStyle w:val="SC2"/>
        <w:spacing w:after="0"/>
        <w:rPr>
          <w:sz w:val="24"/>
          <w:szCs w:val="24"/>
        </w:rPr>
      </w:pPr>
      <w:r w:rsidRPr="00166EEA">
        <w:rPr>
          <w:sz w:val="24"/>
          <w:szCs w:val="24"/>
        </w:rPr>
        <w:t>Electronic Reporting and Electronic Monitoring</w:t>
      </w:r>
    </w:p>
    <w:p w14:paraId="43A23650" w14:textId="77777777" w:rsidR="003D217E" w:rsidRPr="004635E5" w:rsidRDefault="003D217E" w:rsidP="003D217E">
      <w:pPr>
        <w:pStyle w:val="SC2"/>
        <w:numPr>
          <w:ilvl w:val="0"/>
          <w:numId w:val="0"/>
        </w:numPr>
        <w:spacing w:after="0"/>
        <w:ind w:left="720"/>
      </w:pPr>
    </w:p>
    <w:p w14:paraId="410A77AD" w14:textId="77777777" w:rsidR="003D217E" w:rsidRPr="00166EEA" w:rsidRDefault="003D217E" w:rsidP="00580EA4">
      <w:pPr>
        <w:numPr>
          <w:ilvl w:val="0"/>
          <w:numId w:val="18"/>
        </w:numPr>
        <w:autoSpaceDE w:val="0"/>
        <w:autoSpaceDN w:val="0"/>
        <w:adjustRightInd w:val="0"/>
        <w:snapToGrid w:val="0"/>
        <w:ind w:left="0" w:firstLine="0"/>
        <w:jc w:val="both"/>
        <w:rPr>
          <w:bCs/>
          <w:sz w:val="22"/>
          <w:szCs w:val="22"/>
        </w:rPr>
      </w:pPr>
      <w:r w:rsidRPr="00166EEA">
        <w:rPr>
          <w:bCs/>
          <w:sz w:val="22"/>
          <w:szCs w:val="22"/>
        </w:rPr>
        <w:t xml:space="preserve">SC14 recommends that FFA, PNA Office, the Scientific Services Provider and WCPFC Secretariat jointly work on a project to review the Commission’s data needs and collection programmes (Project 93). </w:t>
      </w:r>
    </w:p>
    <w:p w14:paraId="499DEECE" w14:textId="77777777" w:rsidR="003D217E" w:rsidRPr="004635E5" w:rsidRDefault="003D217E" w:rsidP="003D217E">
      <w:pPr>
        <w:autoSpaceDE w:val="0"/>
        <w:autoSpaceDN w:val="0"/>
        <w:adjustRightInd w:val="0"/>
        <w:snapToGrid w:val="0"/>
        <w:jc w:val="both"/>
        <w:rPr>
          <w:b/>
          <w:sz w:val="22"/>
          <w:szCs w:val="22"/>
        </w:rPr>
      </w:pPr>
    </w:p>
    <w:p w14:paraId="4ADF2F33" w14:textId="77777777" w:rsidR="003D217E" w:rsidRPr="00166EEA" w:rsidRDefault="003D217E" w:rsidP="003D217E">
      <w:pPr>
        <w:pStyle w:val="SC2"/>
        <w:spacing w:after="0"/>
        <w:rPr>
          <w:rFonts w:eastAsiaTheme="minorEastAsia"/>
          <w:sz w:val="24"/>
          <w:szCs w:val="24"/>
          <w:lang w:eastAsia="ko-KR"/>
        </w:rPr>
      </w:pPr>
      <w:r w:rsidRPr="00166EEA">
        <w:rPr>
          <w:rFonts w:eastAsiaTheme="minorEastAsia"/>
          <w:sz w:val="24"/>
          <w:szCs w:val="24"/>
          <w:lang w:eastAsia="ko-KR"/>
        </w:rPr>
        <w:t xml:space="preserve">Economic data </w:t>
      </w:r>
    </w:p>
    <w:p w14:paraId="6F22939D" w14:textId="77777777" w:rsidR="003D217E" w:rsidRPr="004635E5" w:rsidRDefault="003D217E" w:rsidP="003D217E">
      <w:pPr>
        <w:pStyle w:val="SC2"/>
        <w:numPr>
          <w:ilvl w:val="0"/>
          <w:numId w:val="0"/>
        </w:numPr>
        <w:spacing w:after="0"/>
        <w:ind w:left="720"/>
        <w:rPr>
          <w:rFonts w:eastAsiaTheme="minorEastAsia"/>
          <w:lang w:eastAsia="ko-KR"/>
        </w:rPr>
      </w:pPr>
    </w:p>
    <w:p w14:paraId="1C85D0F1" w14:textId="77777777" w:rsidR="003D217E" w:rsidRPr="00166EEA" w:rsidRDefault="003D217E" w:rsidP="00580EA4">
      <w:pPr>
        <w:widowControl w:val="0"/>
        <w:numPr>
          <w:ilvl w:val="0"/>
          <w:numId w:val="18"/>
        </w:numPr>
        <w:kinsoku w:val="0"/>
        <w:overflowPunct w:val="0"/>
        <w:autoSpaceDE w:val="0"/>
        <w:autoSpaceDN w:val="0"/>
        <w:adjustRightInd w:val="0"/>
        <w:snapToGrid w:val="0"/>
        <w:ind w:left="0" w:firstLine="0"/>
        <w:jc w:val="both"/>
        <w:rPr>
          <w:bCs/>
          <w:sz w:val="22"/>
          <w:szCs w:val="22"/>
          <w:shd w:val="clear" w:color="auto" w:fill="FFFFFF"/>
        </w:rPr>
      </w:pPr>
      <w:r w:rsidRPr="00166EEA">
        <w:rPr>
          <w:bCs/>
          <w:sz w:val="22"/>
          <w:szCs w:val="22"/>
          <w:shd w:val="clear" w:color="auto" w:fill="FFFFFF"/>
        </w:rPr>
        <w:t xml:space="preserve">SC14 recommended that future reports on economic conditions in WCPO fisheries (SC14-ST-WP-04) be delivered in the SC general reports under Agenda item 2.1. </w:t>
      </w:r>
    </w:p>
    <w:p w14:paraId="54AD7E66" w14:textId="77777777" w:rsidR="003D217E" w:rsidRDefault="003D217E" w:rsidP="003D217E">
      <w:pPr>
        <w:widowControl w:val="0"/>
        <w:kinsoku w:val="0"/>
        <w:overflowPunct w:val="0"/>
        <w:autoSpaceDE w:val="0"/>
        <w:autoSpaceDN w:val="0"/>
        <w:adjustRightInd w:val="0"/>
        <w:snapToGrid w:val="0"/>
        <w:jc w:val="both"/>
        <w:rPr>
          <w:rFonts w:eastAsiaTheme="minorEastAsia"/>
          <w:b/>
          <w:sz w:val="22"/>
          <w:szCs w:val="22"/>
          <w:shd w:val="clear" w:color="auto" w:fill="FFFFFF"/>
          <w:lang w:eastAsia="ko-KR"/>
        </w:rPr>
      </w:pPr>
    </w:p>
    <w:p w14:paraId="1ED6E885" w14:textId="77777777" w:rsidR="003D217E" w:rsidRPr="004635E5" w:rsidRDefault="003D217E" w:rsidP="003D217E">
      <w:pPr>
        <w:widowControl w:val="0"/>
        <w:kinsoku w:val="0"/>
        <w:overflowPunct w:val="0"/>
        <w:autoSpaceDE w:val="0"/>
        <w:autoSpaceDN w:val="0"/>
        <w:adjustRightInd w:val="0"/>
        <w:snapToGrid w:val="0"/>
        <w:rPr>
          <w:b/>
          <w:sz w:val="22"/>
          <w:szCs w:val="22"/>
          <w:shd w:val="clear" w:color="auto" w:fill="FFFFFF"/>
        </w:rPr>
      </w:pPr>
    </w:p>
    <w:p w14:paraId="35A30B83" w14:textId="77777777" w:rsidR="003D217E" w:rsidRPr="00166EEA" w:rsidRDefault="003D217E" w:rsidP="003D217E">
      <w:pPr>
        <w:pStyle w:val="Heading1"/>
        <w:keepNext w:val="0"/>
        <w:keepLines w:val="0"/>
        <w:widowControl w:val="0"/>
        <w:numPr>
          <w:ilvl w:val="0"/>
          <w:numId w:val="0"/>
        </w:numPr>
        <w:kinsoku w:val="0"/>
        <w:overflowPunct w:val="0"/>
        <w:autoSpaceDE w:val="0"/>
        <w:autoSpaceDN w:val="0"/>
        <w:adjustRightInd w:val="0"/>
        <w:snapToGrid w:val="0"/>
        <w:spacing w:after="0"/>
        <w:ind w:left="720"/>
        <w:rPr>
          <w:sz w:val="28"/>
          <w:szCs w:val="28"/>
        </w:rPr>
      </w:pPr>
      <w:r w:rsidRPr="00166EEA">
        <w:rPr>
          <w:sz w:val="28"/>
          <w:szCs w:val="28"/>
        </w:rPr>
        <w:t>AGENDA ITEM 4 — STOCK ASSESSMENT THEME</w:t>
      </w:r>
      <w:r w:rsidRPr="00166EEA">
        <w:rPr>
          <w:sz w:val="28"/>
          <w:szCs w:val="28"/>
        </w:rPr>
        <w:fldChar w:fldCharType="begin"/>
      </w:r>
      <w:r w:rsidRPr="00166EEA">
        <w:rPr>
          <w:sz w:val="28"/>
          <w:szCs w:val="28"/>
        </w:rPr>
        <w:instrText xml:space="preserve"> TC "</w:instrText>
      </w:r>
      <w:bookmarkStart w:id="17" w:name="_Toc10607005"/>
      <w:bookmarkStart w:id="18" w:name="_Toc10607266"/>
      <w:bookmarkStart w:id="19" w:name="_Toc10607355"/>
      <w:bookmarkStart w:id="20" w:name="_Toc10607540"/>
      <w:bookmarkStart w:id="21" w:name="_Toc16418003"/>
      <w:r w:rsidRPr="00166EEA">
        <w:rPr>
          <w:sz w:val="28"/>
          <w:szCs w:val="28"/>
        </w:rPr>
        <w:instrText>AGENDA ITEM 4 — STOCK ASSESSMENT THEME</w:instrText>
      </w:r>
      <w:bookmarkEnd w:id="17"/>
      <w:bookmarkEnd w:id="18"/>
      <w:bookmarkEnd w:id="19"/>
      <w:bookmarkEnd w:id="20"/>
      <w:bookmarkEnd w:id="21"/>
      <w:r w:rsidRPr="00166EEA">
        <w:rPr>
          <w:sz w:val="28"/>
          <w:szCs w:val="28"/>
        </w:rPr>
        <w:instrText xml:space="preserve">" \f C \l "1" </w:instrText>
      </w:r>
      <w:r w:rsidRPr="00166EEA">
        <w:rPr>
          <w:sz w:val="28"/>
          <w:szCs w:val="28"/>
        </w:rPr>
        <w:fldChar w:fldCharType="end"/>
      </w:r>
      <w:r w:rsidRPr="00166EEA">
        <w:rPr>
          <w:sz w:val="28"/>
          <w:szCs w:val="28"/>
        </w:rPr>
        <w:t xml:space="preserve">  </w:t>
      </w:r>
    </w:p>
    <w:p w14:paraId="4AFD6839" w14:textId="77777777" w:rsidR="003D217E" w:rsidRDefault="003D217E" w:rsidP="003D217E">
      <w:pPr>
        <w:widowControl w:val="0"/>
        <w:kinsoku w:val="0"/>
        <w:overflowPunct w:val="0"/>
        <w:autoSpaceDE w:val="0"/>
        <w:autoSpaceDN w:val="0"/>
        <w:adjustRightInd w:val="0"/>
        <w:snapToGrid w:val="0"/>
        <w:rPr>
          <w:rFonts w:eastAsiaTheme="minorEastAsia"/>
          <w:sz w:val="22"/>
          <w:szCs w:val="22"/>
          <w:lang w:val="en-NZ" w:eastAsia="ko-KR"/>
        </w:rPr>
      </w:pPr>
    </w:p>
    <w:p w14:paraId="76941F0E" w14:textId="77777777" w:rsidR="003D217E" w:rsidRPr="003763AA" w:rsidRDefault="003D217E" w:rsidP="003D217E">
      <w:pPr>
        <w:widowControl w:val="0"/>
        <w:kinsoku w:val="0"/>
        <w:overflowPunct w:val="0"/>
        <w:autoSpaceDE w:val="0"/>
        <w:autoSpaceDN w:val="0"/>
        <w:adjustRightInd w:val="0"/>
        <w:snapToGrid w:val="0"/>
        <w:rPr>
          <w:rFonts w:eastAsiaTheme="minorEastAsia"/>
          <w:sz w:val="22"/>
          <w:szCs w:val="22"/>
          <w:lang w:val="en-NZ" w:eastAsia="ko-KR"/>
        </w:rPr>
      </w:pPr>
    </w:p>
    <w:p w14:paraId="2B785FD0" w14:textId="77777777" w:rsidR="003D217E" w:rsidRPr="00166EEA" w:rsidRDefault="003D217E" w:rsidP="003D217E">
      <w:pPr>
        <w:pStyle w:val="SC2"/>
        <w:keepNext w:val="0"/>
        <w:widowControl w:val="0"/>
        <w:numPr>
          <w:ilvl w:val="0"/>
          <w:numId w:val="0"/>
        </w:numPr>
        <w:suppressLineNumbers w:val="0"/>
        <w:kinsoku w:val="0"/>
        <w:overflowPunct w:val="0"/>
        <w:autoSpaceDE w:val="0"/>
        <w:autoSpaceDN w:val="0"/>
        <w:spacing w:after="0"/>
        <w:rPr>
          <w:rFonts w:eastAsia="Malgun Gothic"/>
          <w:sz w:val="24"/>
          <w:szCs w:val="24"/>
          <w:lang w:eastAsia="ko-KR"/>
        </w:rPr>
      </w:pPr>
      <w:r w:rsidRPr="00166EEA">
        <w:rPr>
          <w:rFonts w:eastAsia="Batang"/>
          <w:sz w:val="24"/>
          <w:szCs w:val="24"/>
          <w:lang w:eastAsia="ko-KR"/>
        </w:rPr>
        <w:t>4.0</w:t>
      </w:r>
      <w:r w:rsidRPr="00166EEA">
        <w:rPr>
          <w:rFonts w:eastAsia="Batang"/>
          <w:sz w:val="24"/>
          <w:szCs w:val="24"/>
          <w:lang w:eastAsia="ko-KR"/>
        </w:rPr>
        <w:tab/>
        <w:t>Improvement</w:t>
      </w:r>
      <w:r w:rsidRPr="00166EEA">
        <w:rPr>
          <w:rFonts w:eastAsia="Malgun Gothic"/>
          <w:sz w:val="24"/>
          <w:szCs w:val="24"/>
          <w:lang w:eastAsia="ko-KR"/>
        </w:rPr>
        <w:t xml:space="preserve"> of MULTIFAN-CL software </w:t>
      </w:r>
    </w:p>
    <w:p w14:paraId="44006EA0" w14:textId="77777777" w:rsidR="003D217E" w:rsidRPr="004635E5" w:rsidRDefault="003D217E" w:rsidP="003D217E">
      <w:pPr>
        <w:pStyle w:val="SC2"/>
        <w:keepNext w:val="0"/>
        <w:widowControl w:val="0"/>
        <w:numPr>
          <w:ilvl w:val="0"/>
          <w:numId w:val="0"/>
        </w:numPr>
        <w:suppressLineNumbers w:val="0"/>
        <w:kinsoku w:val="0"/>
        <w:overflowPunct w:val="0"/>
        <w:autoSpaceDE w:val="0"/>
        <w:autoSpaceDN w:val="0"/>
        <w:spacing w:after="0"/>
        <w:rPr>
          <w:rFonts w:eastAsia="Batang"/>
          <w:lang w:eastAsia="ko-KR"/>
        </w:rPr>
      </w:pPr>
    </w:p>
    <w:p w14:paraId="5FA0D594" w14:textId="77777777" w:rsidR="003D217E" w:rsidRPr="004635E5" w:rsidRDefault="003D217E" w:rsidP="00580EA4">
      <w:pPr>
        <w:pStyle w:val="ListParagraph"/>
        <w:widowControl w:val="0"/>
        <w:numPr>
          <w:ilvl w:val="0"/>
          <w:numId w:val="56"/>
        </w:numPr>
        <w:kinsoku w:val="0"/>
        <w:overflowPunct w:val="0"/>
        <w:autoSpaceDE w:val="0"/>
        <w:autoSpaceDN w:val="0"/>
        <w:adjustRightInd w:val="0"/>
        <w:snapToGrid w:val="0"/>
        <w:jc w:val="both"/>
        <w:rPr>
          <w:rFonts w:eastAsia="Batang"/>
          <w:b/>
          <w:vanish/>
          <w:sz w:val="22"/>
          <w:szCs w:val="22"/>
          <w:lang w:val="en-NZ" w:eastAsia="ko-KR"/>
        </w:rPr>
      </w:pPr>
    </w:p>
    <w:p w14:paraId="382E665C" w14:textId="77777777" w:rsidR="003D217E" w:rsidRPr="00166EEA" w:rsidRDefault="003D217E" w:rsidP="003D217E">
      <w:pPr>
        <w:pStyle w:val="SC2"/>
        <w:keepNext w:val="0"/>
        <w:widowControl w:val="0"/>
        <w:suppressLineNumbers w:val="0"/>
        <w:kinsoku w:val="0"/>
        <w:overflowPunct w:val="0"/>
        <w:autoSpaceDE w:val="0"/>
        <w:autoSpaceDN w:val="0"/>
        <w:spacing w:after="0"/>
        <w:rPr>
          <w:rFonts w:eastAsia="Batang"/>
          <w:sz w:val="24"/>
          <w:szCs w:val="24"/>
          <w:lang w:eastAsia="ko-KR"/>
        </w:rPr>
      </w:pPr>
      <w:r w:rsidRPr="00166EEA">
        <w:rPr>
          <w:rFonts w:eastAsia="Batang"/>
          <w:sz w:val="24"/>
          <w:szCs w:val="24"/>
          <w:lang w:eastAsia="ko-KR"/>
        </w:rPr>
        <w:t xml:space="preserve">WCPO tunas </w:t>
      </w:r>
    </w:p>
    <w:p w14:paraId="671997DC" w14:textId="77777777" w:rsidR="003D217E" w:rsidRPr="004635E5" w:rsidRDefault="003D217E" w:rsidP="003D217E">
      <w:pPr>
        <w:pStyle w:val="SC2"/>
        <w:keepNext w:val="0"/>
        <w:widowControl w:val="0"/>
        <w:numPr>
          <w:ilvl w:val="0"/>
          <w:numId w:val="0"/>
        </w:numPr>
        <w:suppressLineNumbers w:val="0"/>
        <w:kinsoku w:val="0"/>
        <w:overflowPunct w:val="0"/>
        <w:autoSpaceDE w:val="0"/>
        <w:autoSpaceDN w:val="0"/>
        <w:spacing w:after="0"/>
        <w:ind w:left="720"/>
        <w:rPr>
          <w:rFonts w:eastAsia="Batang"/>
          <w:lang w:eastAsia="ko-KR"/>
        </w:rPr>
      </w:pPr>
    </w:p>
    <w:p w14:paraId="5BE3B4DA" w14:textId="77777777" w:rsidR="003D217E" w:rsidRPr="00166EEA" w:rsidRDefault="003D217E" w:rsidP="002F64C2">
      <w:pPr>
        <w:pStyle w:val="SC3"/>
        <w:keepNext w:val="0"/>
        <w:widowControl w:val="0"/>
        <w:numPr>
          <w:ilvl w:val="2"/>
          <w:numId w:val="57"/>
        </w:numPr>
        <w:suppressLineNumbers w:val="0"/>
        <w:kinsoku w:val="0"/>
        <w:overflowPunct w:val="0"/>
        <w:autoSpaceDE w:val="0"/>
        <w:autoSpaceDN w:val="0"/>
        <w:spacing w:after="0"/>
        <w:ind w:left="720"/>
        <w:rPr>
          <w:rFonts w:eastAsia="Batang"/>
          <w:sz w:val="24"/>
          <w:szCs w:val="24"/>
          <w:lang w:eastAsia="ko-KR"/>
        </w:rPr>
      </w:pPr>
      <w:r w:rsidRPr="00166EEA">
        <w:rPr>
          <w:rFonts w:eastAsia="Batang"/>
          <w:sz w:val="24"/>
          <w:szCs w:val="24"/>
          <w:lang w:eastAsia="ko-KR"/>
        </w:rPr>
        <w:t>WCPO bigeye tuna (</w:t>
      </w:r>
      <w:r w:rsidRPr="00166EEA">
        <w:rPr>
          <w:rFonts w:eastAsia="Batang"/>
          <w:i/>
          <w:sz w:val="24"/>
          <w:szCs w:val="24"/>
          <w:lang w:eastAsia="ko-KR"/>
        </w:rPr>
        <w:t>Thunnus obesus</w:t>
      </w:r>
      <w:r w:rsidRPr="00166EEA">
        <w:rPr>
          <w:rFonts w:eastAsia="Batang"/>
          <w:sz w:val="24"/>
          <w:szCs w:val="24"/>
          <w:lang w:eastAsia="ko-KR"/>
        </w:rPr>
        <w:t xml:space="preserve">) </w:t>
      </w:r>
    </w:p>
    <w:p w14:paraId="499DF88B" w14:textId="77777777" w:rsidR="003D217E" w:rsidRPr="004635E5" w:rsidRDefault="003D217E" w:rsidP="003D217E">
      <w:pPr>
        <w:pStyle w:val="SC3"/>
        <w:numPr>
          <w:ilvl w:val="0"/>
          <w:numId w:val="0"/>
        </w:numPr>
        <w:spacing w:after="0"/>
        <w:ind w:left="1080"/>
        <w:rPr>
          <w:rFonts w:eastAsia="Batang"/>
          <w:lang w:eastAsia="ko-KR"/>
        </w:rPr>
      </w:pPr>
    </w:p>
    <w:p w14:paraId="4C54D52C" w14:textId="77777777" w:rsidR="003D217E" w:rsidRPr="00166EEA" w:rsidRDefault="003D217E" w:rsidP="002F64C2">
      <w:pPr>
        <w:pStyle w:val="SCa"/>
        <w:tabs>
          <w:tab w:val="clear" w:pos="1080"/>
        </w:tabs>
        <w:spacing w:after="0"/>
        <w:ind w:left="0"/>
        <w:rPr>
          <w:sz w:val="24"/>
          <w:szCs w:val="24"/>
        </w:rPr>
      </w:pPr>
      <w:r w:rsidRPr="00166EEA">
        <w:rPr>
          <w:sz w:val="24"/>
          <w:szCs w:val="24"/>
        </w:rPr>
        <w:t>a.</w:t>
      </w:r>
      <w:r w:rsidRPr="00166EEA">
        <w:rPr>
          <w:sz w:val="24"/>
          <w:szCs w:val="24"/>
        </w:rPr>
        <w:tab/>
        <w:t>Stock status and trends</w:t>
      </w:r>
    </w:p>
    <w:p w14:paraId="6D82C94E" w14:textId="77777777" w:rsidR="003D217E" w:rsidRPr="00166EEA" w:rsidRDefault="003D217E" w:rsidP="003D217E">
      <w:pPr>
        <w:pStyle w:val="SCa"/>
        <w:spacing w:after="0"/>
        <w:rPr>
          <w:sz w:val="24"/>
          <w:szCs w:val="24"/>
        </w:rPr>
      </w:pPr>
    </w:p>
    <w:p w14:paraId="4D71AAC0" w14:textId="77777777" w:rsidR="003D217E" w:rsidRPr="00166EEA" w:rsidRDefault="003D217E" w:rsidP="00580EA4">
      <w:pPr>
        <w:numPr>
          <w:ilvl w:val="0"/>
          <w:numId w:val="18"/>
        </w:numPr>
        <w:autoSpaceDE w:val="0"/>
        <w:autoSpaceDN w:val="0"/>
        <w:adjustRightInd w:val="0"/>
        <w:snapToGrid w:val="0"/>
        <w:ind w:left="0" w:firstLine="0"/>
        <w:jc w:val="both"/>
        <w:rPr>
          <w:bCs/>
          <w:sz w:val="22"/>
          <w:szCs w:val="22"/>
        </w:rPr>
      </w:pPr>
      <w:r w:rsidRPr="00166EEA">
        <w:rPr>
          <w:bCs/>
          <w:sz w:val="22"/>
          <w:szCs w:val="22"/>
        </w:rPr>
        <w:t>The median values of relative recent (2012-2015) spawning biomass depletion (</w:t>
      </w:r>
      <w:r w:rsidRPr="00166EEA">
        <w:rPr>
          <w:bCs/>
          <w:i/>
          <w:sz w:val="22"/>
          <w:szCs w:val="22"/>
        </w:rPr>
        <w:t>SB</w:t>
      </w:r>
      <w:r w:rsidRPr="00166EEA">
        <w:rPr>
          <w:bCs/>
          <w:i/>
          <w:sz w:val="22"/>
          <w:szCs w:val="22"/>
          <w:vertAlign w:val="subscript"/>
        </w:rPr>
        <w:t>recent</w:t>
      </w:r>
      <w:r w:rsidRPr="00166EEA">
        <w:rPr>
          <w:bCs/>
          <w:i/>
          <w:sz w:val="22"/>
          <w:szCs w:val="22"/>
        </w:rPr>
        <w:t>/ SB</w:t>
      </w:r>
      <w:r w:rsidRPr="00166EEA">
        <w:rPr>
          <w:bCs/>
          <w:i/>
          <w:sz w:val="22"/>
          <w:szCs w:val="22"/>
          <w:vertAlign w:val="subscript"/>
        </w:rPr>
        <w:t>F=0</w:t>
      </w:r>
      <w:r w:rsidRPr="00166EEA">
        <w:rPr>
          <w:bCs/>
          <w:sz w:val="22"/>
          <w:szCs w:val="22"/>
        </w:rPr>
        <w:t>) and relative recent (2011-2014) fishing mortality (</w:t>
      </w:r>
      <w:r w:rsidRPr="00166EEA">
        <w:rPr>
          <w:bCs/>
          <w:i/>
          <w:sz w:val="22"/>
          <w:szCs w:val="22"/>
        </w:rPr>
        <w:t>F</w:t>
      </w:r>
      <w:r w:rsidRPr="00166EEA">
        <w:rPr>
          <w:bCs/>
          <w:i/>
          <w:sz w:val="22"/>
          <w:szCs w:val="22"/>
          <w:vertAlign w:val="subscript"/>
        </w:rPr>
        <w:t>recent</w:t>
      </w:r>
      <w:r w:rsidRPr="00166EEA">
        <w:rPr>
          <w:bCs/>
          <w:i/>
          <w:sz w:val="22"/>
          <w:szCs w:val="22"/>
        </w:rPr>
        <w:t>/F</w:t>
      </w:r>
      <w:r w:rsidRPr="00166EEA">
        <w:rPr>
          <w:bCs/>
          <w:i/>
          <w:sz w:val="22"/>
          <w:szCs w:val="22"/>
          <w:vertAlign w:val="subscript"/>
        </w:rPr>
        <w:t>MSY</w:t>
      </w:r>
      <w:r w:rsidRPr="00166EEA">
        <w:rPr>
          <w:bCs/>
          <w:sz w:val="22"/>
          <w:szCs w:val="22"/>
        </w:rPr>
        <w:t>) over the uncertainty grid of 36 models (Table BET-1) were used to define stock status. The values of the upper 90</w:t>
      </w:r>
      <w:r w:rsidRPr="00166EEA">
        <w:rPr>
          <w:rFonts w:eastAsiaTheme="minorEastAsia"/>
          <w:bCs/>
          <w:sz w:val="22"/>
          <w:szCs w:val="22"/>
          <w:vertAlign w:val="superscript"/>
          <w:lang w:eastAsia="ko-KR"/>
        </w:rPr>
        <w:t>th</w:t>
      </w:r>
      <w:r w:rsidRPr="00166EEA">
        <w:rPr>
          <w:rFonts w:eastAsiaTheme="minorEastAsia" w:hint="eastAsia"/>
          <w:bCs/>
          <w:sz w:val="22"/>
          <w:szCs w:val="22"/>
          <w:lang w:eastAsia="ko-KR"/>
        </w:rPr>
        <w:t xml:space="preserve"> </w:t>
      </w:r>
      <w:r w:rsidRPr="00166EEA">
        <w:rPr>
          <w:bCs/>
          <w:sz w:val="22"/>
          <w:szCs w:val="22"/>
        </w:rPr>
        <w:t>and lower 10</w:t>
      </w:r>
      <w:r w:rsidRPr="00166EEA">
        <w:rPr>
          <w:rFonts w:eastAsiaTheme="minorEastAsia"/>
          <w:bCs/>
          <w:sz w:val="22"/>
          <w:szCs w:val="22"/>
          <w:vertAlign w:val="superscript"/>
          <w:lang w:eastAsia="ko-KR"/>
        </w:rPr>
        <w:t>th</w:t>
      </w:r>
      <w:r w:rsidRPr="00166EEA">
        <w:rPr>
          <w:rFonts w:eastAsiaTheme="minorEastAsia" w:hint="eastAsia"/>
          <w:bCs/>
          <w:sz w:val="22"/>
          <w:szCs w:val="22"/>
          <w:lang w:eastAsia="ko-KR"/>
        </w:rPr>
        <w:t xml:space="preserve"> </w:t>
      </w:r>
      <w:r w:rsidRPr="00166EEA">
        <w:rPr>
          <w:bCs/>
          <w:sz w:val="22"/>
          <w:szCs w:val="22"/>
        </w:rPr>
        <w:t xml:space="preserve">percentiles of the empirical distributions of relative spawning biomass and relative fishing mortality from the uncertainty grid were used to characterize the probable range of stock status. </w:t>
      </w:r>
    </w:p>
    <w:p w14:paraId="1CB05381" w14:textId="77777777" w:rsidR="003D217E" w:rsidRPr="00166EEA" w:rsidRDefault="003D217E" w:rsidP="003D217E">
      <w:pPr>
        <w:autoSpaceDE w:val="0"/>
        <w:autoSpaceDN w:val="0"/>
        <w:adjustRightInd w:val="0"/>
        <w:snapToGrid w:val="0"/>
        <w:jc w:val="both"/>
        <w:rPr>
          <w:bCs/>
          <w:sz w:val="22"/>
          <w:szCs w:val="22"/>
        </w:rPr>
      </w:pPr>
    </w:p>
    <w:p w14:paraId="338047D7" w14:textId="77777777" w:rsidR="003D217E" w:rsidRPr="00166EEA" w:rsidRDefault="003D217E" w:rsidP="00580EA4">
      <w:pPr>
        <w:numPr>
          <w:ilvl w:val="0"/>
          <w:numId w:val="18"/>
        </w:numPr>
        <w:autoSpaceDE w:val="0"/>
        <w:autoSpaceDN w:val="0"/>
        <w:adjustRightInd w:val="0"/>
        <w:snapToGrid w:val="0"/>
        <w:ind w:left="0" w:firstLine="0"/>
        <w:jc w:val="both"/>
        <w:rPr>
          <w:bCs/>
          <w:sz w:val="22"/>
          <w:szCs w:val="22"/>
        </w:rPr>
      </w:pPr>
      <w:r w:rsidRPr="00166EEA">
        <w:rPr>
          <w:bCs/>
          <w:sz w:val="22"/>
          <w:szCs w:val="22"/>
        </w:rPr>
        <w:t xml:space="preserve">A description of the updated structural sensitivity grid used to characterize uncertainty in the assessment is set out in Table BET-1. Time series of total annual catch by fishing gear over the full assessment period is shown in Figure BET-1. Estimated trends in spawning biomass depletion for the 36 models in the structural uncertainty grid is shown in Figure BET-2, and juvenile and adult fishing mortality rates from the diagnostic case model is show in BET-3. Figure BET-4 displays Majuro plots summarising the results for each of the models in the structural uncertainty grid. Figures BET-5 show Kobe plots summarising the results for each of the models in the structural uncertainty grid. Table BET-2 provides a summary of reference points over the 36 models in the structural uncertainty grid. </w:t>
      </w:r>
    </w:p>
    <w:p w14:paraId="5B50E3FD" w14:textId="77777777" w:rsidR="003D217E" w:rsidRPr="00166EEA" w:rsidRDefault="003D217E" w:rsidP="003D217E">
      <w:pPr>
        <w:autoSpaceDE w:val="0"/>
        <w:autoSpaceDN w:val="0"/>
        <w:adjustRightInd w:val="0"/>
        <w:snapToGrid w:val="0"/>
        <w:jc w:val="both"/>
        <w:rPr>
          <w:bCs/>
          <w:sz w:val="22"/>
          <w:szCs w:val="22"/>
        </w:rPr>
      </w:pPr>
    </w:p>
    <w:p w14:paraId="4947356E" w14:textId="77777777" w:rsidR="003D217E" w:rsidRPr="00166EEA" w:rsidRDefault="003D217E" w:rsidP="00580EA4">
      <w:pPr>
        <w:numPr>
          <w:ilvl w:val="0"/>
          <w:numId w:val="18"/>
        </w:numPr>
        <w:autoSpaceDE w:val="0"/>
        <w:autoSpaceDN w:val="0"/>
        <w:adjustRightInd w:val="0"/>
        <w:snapToGrid w:val="0"/>
        <w:ind w:left="0" w:firstLine="0"/>
        <w:jc w:val="both"/>
        <w:rPr>
          <w:bCs/>
          <w:sz w:val="22"/>
          <w:szCs w:val="22"/>
        </w:rPr>
      </w:pPr>
      <w:r w:rsidRPr="00166EEA">
        <w:rPr>
          <w:bCs/>
          <w:sz w:val="22"/>
          <w:szCs w:val="22"/>
        </w:rPr>
        <w:t xml:space="preserve">SC14 agreed to use the “updated new growth” model to describe the stock status of bigeye tuna because SC14 considered it to be the best available scientific information. By removing results using the old growth model, the stock status becomes considerably more optimistic. However, SC14 also notes that questions remain regarding the “updated new growth” model. </w:t>
      </w:r>
    </w:p>
    <w:p w14:paraId="4BD9929B" w14:textId="77777777" w:rsidR="003D217E" w:rsidRPr="00166EEA" w:rsidRDefault="003D217E" w:rsidP="003D217E">
      <w:pPr>
        <w:autoSpaceDE w:val="0"/>
        <w:autoSpaceDN w:val="0"/>
        <w:adjustRightInd w:val="0"/>
        <w:snapToGrid w:val="0"/>
        <w:jc w:val="both"/>
        <w:rPr>
          <w:bCs/>
          <w:sz w:val="22"/>
          <w:szCs w:val="22"/>
        </w:rPr>
      </w:pPr>
    </w:p>
    <w:p w14:paraId="74DA0F62" w14:textId="77777777" w:rsidR="003D217E" w:rsidRPr="00166EEA" w:rsidRDefault="003D217E" w:rsidP="00580EA4">
      <w:pPr>
        <w:numPr>
          <w:ilvl w:val="0"/>
          <w:numId w:val="18"/>
        </w:numPr>
        <w:autoSpaceDE w:val="0"/>
        <w:autoSpaceDN w:val="0"/>
        <w:adjustRightInd w:val="0"/>
        <w:snapToGrid w:val="0"/>
        <w:ind w:left="0" w:firstLine="0"/>
        <w:jc w:val="both"/>
        <w:rPr>
          <w:bCs/>
          <w:sz w:val="22"/>
          <w:szCs w:val="22"/>
        </w:rPr>
      </w:pPr>
      <w:r w:rsidRPr="00166EEA">
        <w:rPr>
          <w:bCs/>
          <w:sz w:val="22"/>
          <w:szCs w:val="22"/>
        </w:rPr>
        <w:t xml:space="preserve">Therefore, SC14 acknowledges that further study is warranted related to the new growth model, in particular as to the cause of the difference of growth between EPO and WCPO. An inter-laboratory ageing workshop is planned for late 2018 to review ageing approaches in the WCPO and EPO and to resolve differences, if they exist. </w:t>
      </w:r>
    </w:p>
    <w:p w14:paraId="6C8D22F4" w14:textId="77777777" w:rsidR="003D217E" w:rsidRPr="00166EEA" w:rsidRDefault="003D217E" w:rsidP="003D217E">
      <w:pPr>
        <w:autoSpaceDE w:val="0"/>
        <w:autoSpaceDN w:val="0"/>
        <w:adjustRightInd w:val="0"/>
        <w:snapToGrid w:val="0"/>
        <w:jc w:val="both"/>
        <w:rPr>
          <w:bCs/>
          <w:sz w:val="22"/>
          <w:szCs w:val="22"/>
        </w:rPr>
      </w:pPr>
    </w:p>
    <w:p w14:paraId="7D82CA52" w14:textId="77777777" w:rsidR="003D217E" w:rsidRPr="00166EEA" w:rsidRDefault="003D217E" w:rsidP="00580EA4">
      <w:pPr>
        <w:numPr>
          <w:ilvl w:val="0"/>
          <w:numId w:val="18"/>
        </w:numPr>
        <w:autoSpaceDE w:val="0"/>
        <w:autoSpaceDN w:val="0"/>
        <w:adjustRightInd w:val="0"/>
        <w:snapToGrid w:val="0"/>
        <w:ind w:left="0" w:firstLine="0"/>
        <w:jc w:val="both"/>
        <w:rPr>
          <w:bCs/>
          <w:sz w:val="22"/>
          <w:szCs w:val="22"/>
        </w:rPr>
      </w:pPr>
      <w:r w:rsidRPr="00166EEA">
        <w:rPr>
          <w:bCs/>
          <w:sz w:val="22"/>
          <w:szCs w:val="22"/>
        </w:rPr>
        <w:t xml:space="preserve">In addition, SC14 acknowledges that further study is warranted to refine the tagging dataset in the WCPO to assist validating age estimates of bigeye in the WCPO. SC14 further notes that adopting the </w:t>
      </w:r>
      <w:r w:rsidRPr="00166EEA">
        <w:rPr>
          <w:rFonts w:eastAsiaTheme="minorEastAsia" w:hint="eastAsia"/>
          <w:bCs/>
          <w:sz w:val="22"/>
          <w:szCs w:val="22"/>
          <w:lang w:eastAsia="ko-KR"/>
        </w:rPr>
        <w:t xml:space="preserve">updated </w:t>
      </w:r>
      <w:r w:rsidRPr="00166EEA">
        <w:rPr>
          <w:bCs/>
          <w:sz w:val="22"/>
          <w:szCs w:val="22"/>
        </w:rPr>
        <w:t xml:space="preserve">new growth curve generates new broader questions related to the bigeye tuna stock assessment and agreed that several aspects need to be investigated further to inform future assessments. </w:t>
      </w:r>
    </w:p>
    <w:p w14:paraId="1D98AA58" w14:textId="77777777" w:rsidR="003D217E" w:rsidRDefault="003D217E" w:rsidP="003D217E">
      <w:pPr>
        <w:adjustRightInd w:val="0"/>
        <w:snapToGrid w:val="0"/>
        <w:rPr>
          <w:b/>
          <w:sz w:val="22"/>
          <w:szCs w:val="22"/>
        </w:rPr>
      </w:pPr>
    </w:p>
    <w:p w14:paraId="04CBC3DF" w14:textId="77777777" w:rsidR="003D217E" w:rsidRPr="004635E5" w:rsidRDefault="003D217E" w:rsidP="003D217E">
      <w:pPr>
        <w:adjustRightInd w:val="0"/>
        <w:snapToGrid w:val="0"/>
        <w:rPr>
          <w:sz w:val="22"/>
          <w:szCs w:val="22"/>
        </w:rPr>
      </w:pPr>
      <w:r w:rsidRPr="004635E5">
        <w:rPr>
          <w:b/>
          <w:sz w:val="22"/>
          <w:szCs w:val="22"/>
        </w:rPr>
        <w:t xml:space="preserve">Table BET-1. </w:t>
      </w:r>
      <w:r w:rsidRPr="004635E5">
        <w:rPr>
          <w:sz w:val="22"/>
          <w:szCs w:val="22"/>
        </w:rPr>
        <w:t>Description of the updated structural sensitivity grid used to characterize uncertainty in the assessment.</w:t>
      </w:r>
    </w:p>
    <w:tbl>
      <w:tblPr>
        <w:tblW w:w="0" w:type="auto"/>
        <w:tblInd w:w="119"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962"/>
        <w:gridCol w:w="1488"/>
        <w:gridCol w:w="4907"/>
      </w:tblGrid>
      <w:tr w:rsidR="003D217E" w:rsidRPr="004635E5" w14:paraId="147CCE96" w14:textId="77777777" w:rsidTr="001740C5">
        <w:trPr>
          <w:trHeight w:hRule="exact" w:val="283"/>
        </w:trPr>
        <w:tc>
          <w:tcPr>
            <w:tcW w:w="2962" w:type="dxa"/>
            <w:tcBorders>
              <w:top w:val="single" w:sz="11" w:space="0" w:color="000000"/>
              <w:bottom w:val="single" w:sz="11" w:space="0" w:color="000000"/>
            </w:tcBorders>
          </w:tcPr>
          <w:p w14:paraId="1825E395" w14:textId="77777777" w:rsidR="003D217E" w:rsidRPr="004635E5" w:rsidRDefault="003D217E" w:rsidP="001740C5">
            <w:pPr>
              <w:adjustRightInd w:val="0"/>
              <w:snapToGrid w:val="0"/>
              <w:rPr>
                <w:b/>
                <w:sz w:val="22"/>
                <w:szCs w:val="22"/>
              </w:rPr>
            </w:pPr>
            <w:r w:rsidRPr="004635E5">
              <w:rPr>
                <w:b/>
                <w:sz w:val="22"/>
                <w:szCs w:val="22"/>
              </w:rPr>
              <w:t>Axis</w:t>
            </w:r>
          </w:p>
        </w:tc>
        <w:tc>
          <w:tcPr>
            <w:tcW w:w="1488" w:type="dxa"/>
            <w:tcBorders>
              <w:top w:val="single" w:sz="11" w:space="0" w:color="000000"/>
              <w:bottom w:val="single" w:sz="11" w:space="0" w:color="000000"/>
            </w:tcBorders>
          </w:tcPr>
          <w:p w14:paraId="00988CFF" w14:textId="77777777" w:rsidR="003D217E" w:rsidRPr="004635E5" w:rsidRDefault="003D217E" w:rsidP="001740C5">
            <w:pPr>
              <w:adjustRightInd w:val="0"/>
              <w:snapToGrid w:val="0"/>
              <w:rPr>
                <w:b/>
                <w:sz w:val="22"/>
                <w:szCs w:val="22"/>
              </w:rPr>
            </w:pPr>
            <w:r w:rsidRPr="004635E5">
              <w:rPr>
                <w:b/>
                <w:sz w:val="22"/>
                <w:szCs w:val="22"/>
              </w:rPr>
              <w:t>Levels</w:t>
            </w:r>
          </w:p>
        </w:tc>
        <w:tc>
          <w:tcPr>
            <w:tcW w:w="4907" w:type="dxa"/>
            <w:tcBorders>
              <w:top w:val="single" w:sz="11" w:space="0" w:color="000000"/>
              <w:bottom w:val="single" w:sz="11" w:space="0" w:color="000000"/>
            </w:tcBorders>
          </w:tcPr>
          <w:p w14:paraId="7765B926" w14:textId="77777777" w:rsidR="003D217E" w:rsidRPr="004635E5" w:rsidRDefault="003D217E" w:rsidP="001740C5">
            <w:pPr>
              <w:adjustRightInd w:val="0"/>
              <w:snapToGrid w:val="0"/>
              <w:rPr>
                <w:b/>
                <w:sz w:val="22"/>
                <w:szCs w:val="22"/>
              </w:rPr>
            </w:pPr>
            <w:r w:rsidRPr="004635E5">
              <w:rPr>
                <w:b/>
                <w:sz w:val="22"/>
                <w:szCs w:val="22"/>
              </w:rPr>
              <w:t>Option</w:t>
            </w:r>
          </w:p>
        </w:tc>
      </w:tr>
      <w:tr w:rsidR="003D217E" w:rsidRPr="004635E5" w14:paraId="3AE10278" w14:textId="77777777" w:rsidTr="001740C5">
        <w:trPr>
          <w:trHeight w:hRule="exact" w:val="271"/>
        </w:trPr>
        <w:tc>
          <w:tcPr>
            <w:tcW w:w="2962" w:type="dxa"/>
            <w:tcBorders>
              <w:top w:val="single" w:sz="11" w:space="0" w:color="000000"/>
            </w:tcBorders>
          </w:tcPr>
          <w:p w14:paraId="130DFF2D" w14:textId="77777777" w:rsidR="003D217E" w:rsidRPr="004635E5" w:rsidRDefault="003D217E" w:rsidP="001740C5">
            <w:pPr>
              <w:adjustRightInd w:val="0"/>
              <w:snapToGrid w:val="0"/>
              <w:rPr>
                <w:sz w:val="22"/>
                <w:szCs w:val="22"/>
              </w:rPr>
            </w:pPr>
            <w:r w:rsidRPr="004635E5">
              <w:rPr>
                <w:sz w:val="22"/>
                <w:szCs w:val="22"/>
              </w:rPr>
              <w:t>Steepness</w:t>
            </w:r>
          </w:p>
        </w:tc>
        <w:tc>
          <w:tcPr>
            <w:tcW w:w="1488" w:type="dxa"/>
            <w:tcBorders>
              <w:top w:val="single" w:sz="11" w:space="0" w:color="000000"/>
            </w:tcBorders>
          </w:tcPr>
          <w:p w14:paraId="1B031B0C" w14:textId="77777777" w:rsidR="003D217E" w:rsidRPr="004635E5" w:rsidRDefault="003D217E" w:rsidP="001740C5">
            <w:pPr>
              <w:adjustRightInd w:val="0"/>
              <w:snapToGrid w:val="0"/>
              <w:rPr>
                <w:sz w:val="22"/>
                <w:szCs w:val="22"/>
              </w:rPr>
            </w:pPr>
            <w:r w:rsidRPr="004635E5">
              <w:rPr>
                <w:sz w:val="22"/>
                <w:szCs w:val="22"/>
              </w:rPr>
              <w:t>3</w:t>
            </w:r>
          </w:p>
        </w:tc>
        <w:tc>
          <w:tcPr>
            <w:tcW w:w="4907" w:type="dxa"/>
            <w:tcBorders>
              <w:top w:val="single" w:sz="11" w:space="0" w:color="000000"/>
            </w:tcBorders>
          </w:tcPr>
          <w:p w14:paraId="61314997" w14:textId="77777777" w:rsidR="003D217E" w:rsidRPr="004635E5" w:rsidRDefault="003D217E" w:rsidP="001740C5">
            <w:pPr>
              <w:adjustRightInd w:val="0"/>
              <w:snapToGrid w:val="0"/>
              <w:rPr>
                <w:sz w:val="22"/>
                <w:szCs w:val="22"/>
              </w:rPr>
            </w:pPr>
            <w:r w:rsidRPr="004635E5">
              <w:rPr>
                <w:sz w:val="22"/>
                <w:szCs w:val="22"/>
              </w:rPr>
              <w:t>0.65, 0.80, 0.95</w:t>
            </w:r>
          </w:p>
        </w:tc>
      </w:tr>
      <w:tr w:rsidR="003D217E" w:rsidRPr="004635E5" w14:paraId="2D64CDAC" w14:textId="77777777" w:rsidTr="001740C5">
        <w:trPr>
          <w:trHeight w:hRule="exact" w:val="253"/>
        </w:trPr>
        <w:tc>
          <w:tcPr>
            <w:tcW w:w="2962" w:type="dxa"/>
          </w:tcPr>
          <w:p w14:paraId="65287C8D" w14:textId="77777777" w:rsidR="003D217E" w:rsidRPr="004635E5" w:rsidRDefault="003D217E" w:rsidP="001740C5">
            <w:pPr>
              <w:adjustRightInd w:val="0"/>
              <w:snapToGrid w:val="0"/>
              <w:rPr>
                <w:sz w:val="22"/>
                <w:szCs w:val="22"/>
              </w:rPr>
            </w:pPr>
            <w:r w:rsidRPr="004635E5">
              <w:rPr>
                <w:sz w:val="22"/>
                <w:szCs w:val="22"/>
              </w:rPr>
              <w:t>Growth</w:t>
            </w:r>
          </w:p>
        </w:tc>
        <w:tc>
          <w:tcPr>
            <w:tcW w:w="1488" w:type="dxa"/>
          </w:tcPr>
          <w:p w14:paraId="5D3F0796" w14:textId="77777777" w:rsidR="003D217E" w:rsidRPr="004635E5" w:rsidRDefault="003D217E" w:rsidP="001740C5">
            <w:pPr>
              <w:adjustRightInd w:val="0"/>
              <w:snapToGrid w:val="0"/>
              <w:rPr>
                <w:sz w:val="22"/>
                <w:szCs w:val="22"/>
              </w:rPr>
            </w:pPr>
            <w:r w:rsidRPr="004635E5">
              <w:rPr>
                <w:sz w:val="22"/>
                <w:szCs w:val="22"/>
              </w:rPr>
              <w:t>1</w:t>
            </w:r>
          </w:p>
        </w:tc>
        <w:tc>
          <w:tcPr>
            <w:tcW w:w="4907" w:type="dxa"/>
          </w:tcPr>
          <w:p w14:paraId="5612E194" w14:textId="77777777" w:rsidR="003D217E" w:rsidRPr="004635E5" w:rsidRDefault="003D217E" w:rsidP="001740C5">
            <w:pPr>
              <w:adjustRightInd w:val="0"/>
              <w:snapToGrid w:val="0"/>
              <w:rPr>
                <w:sz w:val="22"/>
                <w:szCs w:val="22"/>
              </w:rPr>
            </w:pPr>
            <w:r w:rsidRPr="004635E5">
              <w:rPr>
                <w:sz w:val="22"/>
                <w:szCs w:val="22"/>
              </w:rPr>
              <w:t>‘Updated new growth’</w:t>
            </w:r>
          </w:p>
        </w:tc>
      </w:tr>
      <w:tr w:rsidR="003D217E" w:rsidRPr="004635E5" w14:paraId="4598F9E4" w14:textId="77777777" w:rsidTr="001740C5">
        <w:trPr>
          <w:trHeight w:hRule="exact" w:val="253"/>
        </w:trPr>
        <w:tc>
          <w:tcPr>
            <w:tcW w:w="2962" w:type="dxa"/>
          </w:tcPr>
          <w:p w14:paraId="0F331056" w14:textId="77777777" w:rsidR="003D217E" w:rsidRPr="004635E5" w:rsidRDefault="003D217E" w:rsidP="001740C5">
            <w:pPr>
              <w:adjustRightInd w:val="0"/>
              <w:snapToGrid w:val="0"/>
              <w:rPr>
                <w:sz w:val="22"/>
                <w:szCs w:val="22"/>
              </w:rPr>
            </w:pPr>
            <w:r w:rsidRPr="004635E5">
              <w:rPr>
                <w:sz w:val="22"/>
                <w:szCs w:val="22"/>
              </w:rPr>
              <w:t>Tagging over-dispersion</w:t>
            </w:r>
          </w:p>
        </w:tc>
        <w:tc>
          <w:tcPr>
            <w:tcW w:w="1488" w:type="dxa"/>
          </w:tcPr>
          <w:p w14:paraId="35066658" w14:textId="77777777" w:rsidR="003D217E" w:rsidRPr="004635E5" w:rsidRDefault="003D217E" w:rsidP="001740C5">
            <w:pPr>
              <w:adjustRightInd w:val="0"/>
              <w:snapToGrid w:val="0"/>
              <w:rPr>
                <w:sz w:val="22"/>
                <w:szCs w:val="22"/>
              </w:rPr>
            </w:pPr>
            <w:r w:rsidRPr="004635E5">
              <w:rPr>
                <w:sz w:val="22"/>
                <w:szCs w:val="22"/>
              </w:rPr>
              <w:t>2</w:t>
            </w:r>
          </w:p>
        </w:tc>
        <w:tc>
          <w:tcPr>
            <w:tcW w:w="4907" w:type="dxa"/>
          </w:tcPr>
          <w:p w14:paraId="51911329" w14:textId="77777777" w:rsidR="003D217E" w:rsidRPr="004635E5" w:rsidRDefault="003D217E" w:rsidP="001740C5">
            <w:pPr>
              <w:adjustRightInd w:val="0"/>
              <w:snapToGrid w:val="0"/>
              <w:rPr>
                <w:sz w:val="22"/>
                <w:szCs w:val="22"/>
              </w:rPr>
            </w:pPr>
            <w:r w:rsidRPr="004635E5">
              <w:rPr>
                <w:sz w:val="22"/>
                <w:szCs w:val="22"/>
              </w:rPr>
              <w:t>Default level (1), fixed (moderate) level</w:t>
            </w:r>
          </w:p>
        </w:tc>
      </w:tr>
      <w:tr w:rsidR="003D217E" w:rsidRPr="004635E5" w14:paraId="2318CF72" w14:textId="77777777" w:rsidTr="001740C5">
        <w:trPr>
          <w:trHeight w:hRule="exact" w:val="253"/>
        </w:trPr>
        <w:tc>
          <w:tcPr>
            <w:tcW w:w="2962" w:type="dxa"/>
          </w:tcPr>
          <w:p w14:paraId="18B76C2F" w14:textId="77777777" w:rsidR="003D217E" w:rsidRPr="004635E5" w:rsidRDefault="003D217E" w:rsidP="001740C5">
            <w:pPr>
              <w:adjustRightInd w:val="0"/>
              <w:snapToGrid w:val="0"/>
              <w:rPr>
                <w:sz w:val="22"/>
                <w:szCs w:val="22"/>
              </w:rPr>
            </w:pPr>
            <w:r w:rsidRPr="004635E5">
              <w:rPr>
                <w:sz w:val="22"/>
                <w:szCs w:val="22"/>
              </w:rPr>
              <w:t>Size frequency weighting</w:t>
            </w:r>
          </w:p>
        </w:tc>
        <w:tc>
          <w:tcPr>
            <w:tcW w:w="1488" w:type="dxa"/>
          </w:tcPr>
          <w:p w14:paraId="4FBDFE12" w14:textId="77777777" w:rsidR="003D217E" w:rsidRPr="004635E5" w:rsidRDefault="003D217E" w:rsidP="001740C5">
            <w:pPr>
              <w:adjustRightInd w:val="0"/>
              <w:snapToGrid w:val="0"/>
              <w:rPr>
                <w:sz w:val="22"/>
                <w:szCs w:val="22"/>
              </w:rPr>
            </w:pPr>
            <w:r w:rsidRPr="004635E5">
              <w:rPr>
                <w:sz w:val="22"/>
                <w:szCs w:val="22"/>
              </w:rPr>
              <w:t>3</w:t>
            </w:r>
          </w:p>
        </w:tc>
        <w:tc>
          <w:tcPr>
            <w:tcW w:w="4907" w:type="dxa"/>
          </w:tcPr>
          <w:p w14:paraId="46C8DED1" w14:textId="77777777" w:rsidR="003D217E" w:rsidRPr="004635E5" w:rsidRDefault="003D217E" w:rsidP="001740C5">
            <w:pPr>
              <w:adjustRightInd w:val="0"/>
              <w:snapToGrid w:val="0"/>
              <w:rPr>
                <w:sz w:val="22"/>
                <w:szCs w:val="22"/>
              </w:rPr>
            </w:pPr>
            <w:r w:rsidRPr="004635E5">
              <w:rPr>
                <w:sz w:val="22"/>
                <w:szCs w:val="22"/>
              </w:rPr>
              <w:t>Sample sizes divided by 10, 20, 50</w:t>
            </w:r>
          </w:p>
        </w:tc>
      </w:tr>
      <w:tr w:rsidR="003D217E" w:rsidRPr="004635E5" w14:paraId="71035746" w14:textId="77777777" w:rsidTr="001740C5">
        <w:trPr>
          <w:trHeight w:hRule="exact" w:val="265"/>
        </w:trPr>
        <w:tc>
          <w:tcPr>
            <w:tcW w:w="2962" w:type="dxa"/>
            <w:tcBorders>
              <w:bottom w:val="single" w:sz="11" w:space="0" w:color="000000"/>
            </w:tcBorders>
          </w:tcPr>
          <w:p w14:paraId="09DB01E3" w14:textId="77777777" w:rsidR="003D217E" w:rsidRPr="004635E5" w:rsidRDefault="003D217E" w:rsidP="001740C5">
            <w:pPr>
              <w:adjustRightInd w:val="0"/>
              <w:snapToGrid w:val="0"/>
              <w:rPr>
                <w:sz w:val="22"/>
                <w:szCs w:val="22"/>
              </w:rPr>
            </w:pPr>
            <w:r w:rsidRPr="004635E5">
              <w:rPr>
                <w:sz w:val="22"/>
                <w:szCs w:val="22"/>
              </w:rPr>
              <w:t>Regional structure</w:t>
            </w:r>
          </w:p>
        </w:tc>
        <w:tc>
          <w:tcPr>
            <w:tcW w:w="1488" w:type="dxa"/>
            <w:tcBorders>
              <w:bottom w:val="single" w:sz="11" w:space="0" w:color="000000"/>
            </w:tcBorders>
          </w:tcPr>
          <w:p w14:paraId="31E42128" w14:textId="77777777" w:rsidR="003D217E" w:rsidRPr="004635E5" w:rsidRDefault="003D217E" w:rsidP="001740C5">
            <w:pPr>
              <w:adjustRightInd w:val="0"/>
              <w:snapToGrid w:val="0"/>
              <w:rPr>
                <w:sz w:val="22"/>
                <w:szCs w:val="22"/>
              </w:rPr>
            </w:pPr>
            <w:r w:rsidRPr="004635E5">
              <w:rPr>
                <w:sz w:val="22"/>
                <w:szCs w:val="22"/>
              </w:rPr>
              <w:t>2</w:t>
            </w:r>
          </w:p>
        </w:tc>
        <w:tc>
          <w:tcPr>
            <w:tcW w:w="4907" w:type="dxa"/>
            <w:tcBorders>
              <w:bottom w:val="single" w:sz="11" w:space="0" w:color="000000"/>
            </w:tcBorders>
          </w:tcPr>
          <w:p w14:paraId="17D8BE25" w14:textId="77777777" w:rsidR="003D217E" w:rsidRPr="004635E5" w:rsidRDefault="003D217E" w:rsidP="001740C5">
            <w:pPr>
              <w:adjustRightInd w:val="0"/>
              <w:snapToGrid w:val="0"/>
              <w:rPr>
                <w:sz w:val="22"/>
                <w:szCs w:val="22"/>
              </w:rPr>
            </w:pPr>
            <w:r w:rsidRPr="004635E5">
              <w:rPr>
                <w:sz w:val="22"/>
                <w:szCs w:val="22"/>
              </w:rPr>
              <w:t>10°N regions, 20°N regions</w:t>
            </w:r>
          </w:p>
        </w:tc>
      </w:tr>
    </w:tbl>
    <w:p w14:paraId="2837FD5C" w14:textId="77777777" w:rsidR="003D217E" w:rsidRPr="004635E5" w:rsidRDefault="003D217E" w:rsidP="003D217E">
      <w:pPr>
        <w:adjustRightInd w:val="0"/>
        <w:snapToGrid w:val="0"/>
        <w:rPr>
          <w:sz w:val="22"/>
          <w:szCs w:val="22"/>
        </w:rPr>
        <w:sectPr w:rsidR="003D217E" w:rsidRPr="004635E5" w:rsidSect="005C40D5">
          <w:footerReference w:type="default" r:id="rId11"/>
          <w:type w:val="continuous"/>
          <w:pgSz w:w="12240" w:h="15840" w:code="1"/>
          <w:pgMar w:top="1440" w:right="1440" w:bottom="1440" w:left="1440" w:header="720" w:footer="720" w:gutter="0"/>
          <w:pgNumType w:fmt="lowerRoman" w:start="1"/>
          <w:cols w:space="720"/>
          <w:titlePg/>
        </w:sectPr>
      </w:pPr>
    </w:p>
    <w:p w14:paraId="06FF7FAD" w14:textId="77777777" w:rsidR="003D217E" w:rsidRDefault="003D217E" w:rsidP="003D217E">
      <w:pPr>
        <w:widowControl w:val="0"/>
        <w:autoSpaceDE w:val="0"/>
        <w:autoSpaceDN w:val="0"/>
        <w:adjustRightInd w:val="0"/>
        <w:snapToGrid w:val="0"/>
        <w:rPr>
          <w:rFonts w:eastAsiaTheme="minorEastAsia"/>
          <w:bCs/>
          <w:sz w:val="22"/>
          <w:szCs w:val="22"/>
          <w:lang w:eastAsia="ko-KR"/>
        </w:rPr>
      </w:pPr>
    </w:p>
    <w:p w14:paraId="12D1CDBE" w14:textId="77777777" w:rsidR="003D217E" w:rsidRDefault="003D217E" w:rsidP="003D217E">
      <w:pPr>
        <w:widowControl w:val="0"/>
        <w:autoSpaceDE w:val="0"/>
        <w:autoSpaceDN w:val="0"/>
        <w:adjustRightInd w:val="0"/>
        <w:snapToGrid w:val="0"/>
        <w:rPr>
          <w:rFonts w:eastAsiaTheme="minorEastAsia"/>
          <w:bCs/>
          <w:sz w:val="22"/>
          <w:szCs w:val="22"/>
          <w:lang w:eastAsia="ko-KR"/>
        </w:rPr>
      </w:pPr>
    </w:p>
    <w:p w14:paraId="15CEA6DA" w14:textId="77777777" w:rsidR="003D217E" w:rsidRDefault="003D217E" w:rsidP="003D217E">
      <w:pPr>
        <w:widowControl w:val="0"/>
        <w:autoSpaceDE w:val="0"/>
        <w:autoSpaceDN w:val="0"/>
        <w:adjustRightInd w:val="0"/>
        <w:snapToGrid w:val="0"/>
        <w:rPr>
          <w:rFonts w:eastAsiaTheme="minorEastAsia"/>
          <w:bCs/>
          <w:sz w:val="22"/>
          <w:szCs w:val="22"/>
          <w:lang w:eastAsia="ko-KR"/>
        </w:rPr>
      </w:pPr>
    </w:p>
    <w:p w14:paraId="33E3AED8" w14:textId="77777777" w:rsidR="003D217E" w:rsidRDefault="003D217E" w:rsidP="003D217E">
      <w:pPr>
        <w:widowControl w:val="0"/>
        <w:autoSpaceDE w:val="0"/>
        <w:autoSpaceDN w:val="0"/>
        <w:adjustRightInd w:val="0"/>
        <w:snapToGrid w:val="0"/>
        <w:rPr>
          <w:rFonts w:eastAsiaTheme="minorEastAsia"/>
          <w:bCs/>
          <w:sz w:val="22"/>
          <w:szCs w:val="22"/>
          <w:lang w:eastAsia="ko-KR"/>
        </w:rPr>
      </w:pPr>
    </w:p>
    <w:p w14:paraId="40B77068" w14:textId="77777777" w:rsidR="003D217E" w:rsidRDefault="003D217E" w:rsidP="003D217E">
      <w:pPr>
        <w:widowControl w:val="0"/>
        <w:autoSpaceDE w:val="0"/>
        <w:autoSpaceDN w:val="0"/>
        <w:adjustRightInd w:val="0"/>
        <w:snapToGrid w:val="0"/>
        <w:rPr>
          <w:rFonts w:eastAsiaTheme="minorEastAsia"/>
          <w:bCs/>
          <w:sz w:val="22"/>
          <w:szCs w:val="22"/>
          <w:lang w:eastAsia="ko-KR"/>
        </w:rPr>
      </w:pPr>
    </w:p>
    <w:p w14:paraId="58601AC0" w14:textId="77777777" w:rsidR="003D217E" w:rsidRDefault="003D217E" w:rsidP="003D217E">
      <w:pPr>
        <w:widowControl w:val="0"/>
        <w:autoSpaceDE w:val="0"/>
        <w:autoSpaceDN w:val="0"/>
        <w:adjustRightInd w:val="0"/>
        <w:snapToGrid w:val="0"/>
        <w:rPr>
          <w:rFonts w:eastAsiaTheme="minorEastAsia"/>
          <w:bCs/>
          <w:sz w:val="22"/>
          <w:szCs w:val="22"/>
          <w:lang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810"/>
      </w:tblGrid>
      <w:tr w:rsidR="003D217E" w14:paraId="566EB486" w14:textId="77777777" w:rsidTr="001740C5">
        <w:tc>
          <w:tcPr>
            <w:tcW w:w="4788" w:type="dxa"/>
          </w:tcPr>
          <w:p w14:paraId="79EF10D6" w14:textId="77777777" w:rsidR="003D217E" w:rsidRDefault="003D217E" w:rsidP="001740C5">
            <w:pPr>
              <w:widowControl w:val="0"/>
              <w:autoSpaceDE w:val="0"/>
              <w:autoSpaceDN w:val="0"/>
              <w:adjustRightInd w:val="0"/>
              <w:snapToGrid w:val="0"/>
              <w:spacing w:after="0"/>
              <w:rPr>
                <w:rFonts w:eastAsiaTheme="minorEastAsia"/>
                <w:bCs/>
                <w:sz w:val="22"/>
                <w:szCs w:val="22"/>
                <w:lang w:eastAsia="ko-KR"/>
              </w:rPr>
            </w:pPr>
            <w:r w:rsidRPr="004635E5">
              <w:rPr>
                <w:bCs/>
                <w:noProof/>
                <w:sz w:val="22"/>
                <w:szCs w:val="22"/>
                <w:lang w:eastAsia="zh-CN" w:bidi="mn-Mong-CN"/>
              </w:rPr>
              <w:lastRenderedPageBreak/>
              <w:drawing>
                <wp:inline distT="0" distB="0" distL="0" distR="0" wp14:anchorId="45C476BD" wp14:editId="1D0C0089">
                  <wp:extent cx="2905125" cy="1235610"/>
                  <wp:effectExtent l="0" t="0" r="0" b="3175"/>
                  <wp:docPr id="26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2911040" cy="1238126"/>
                          </a:xfrm>
                          <a:prstGeom prst="rect">
                            <a:avLst/>
                          </a:prstGeom>
                        </pic:spPr>
                      </pic:pic>
                    </a:graphicData>
                  </a:graphic>
                </wp:inline>
              </w:drawing>
            </w:r>
          </w:p>
        </w:tc>
        <w:tc>
          <w:tcPr>
            <w:tcW w:w="4788" w:type="dxa"/>
          </w:tcPr>
          <w:p w14:paraId="6365E0D2" w14:textId="77777777" w:rsidR="003D217E" w:rsidRDefault="003D217E" w:rsidP="001740C5">
            <w:pPr>
              <w:widowControl w:val="0"/>
              <w:autoSpaceDE w:val="0"/>
              <w:autoSpaceDN w:val="0"/>
              <w:adjustRightInd w:val="0"/>
              <w:snapToGrid w:val="0"/>
              <w:spacing w:after="0"/>
              <w:rPr>
                <w:rFonts w:eastAsiaTheme="minorEastAsia"/>
                <w:bCs/>
                <w:sz w:val="22"/>
                <w:szCs w:val="22"/>
                <w:lang w:eastAsia="ko-KR"/>
              </w:rPr>
            </w:pPr>
            <w:r w:rsidRPr="004635E5">
              <w:rPr>
                <w:bCs/>
                <w:noProof/>
                <w:sz w:val="22"/>
                <w:szCs w:val="22"/>
                <w:lang w:eastAsia="zh-CN" w:bidi="mn-Mong-CN"/>
              </w:rPr>
              <w:drawing>
                <wp:inline distT="0" distB="0" distL="0" distR="0" wp14:anchorId="707D535F" wp14:editId="12F447EB">
                  <wp:extent cx="2933700" cy="1209675"/>
                  <wp:effectExtent l="0" t="0" r="0" b="9525"/>
                  <wp:docPr id="268"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6242" cy="1218970"/>
                          </a:xfrm>
                          <a:prstGeom prst="rect">
                            <a:avLst/>
                          </a:prstGeom>
                        </pic:spPr>
                      </pic:pic>
                    </a:graphicData>
                  </a:graphic>
                </wp:inline>
              </w:drawing>
            </w:r>
          </w:p>
        </w:tc>
      </w:tr>
      <w:tr w:rsidR="003D217E" w14:paraId="483D84CF" w14:textId="77777777" w:rsidTr="001740C5">
        <w:tc>
          <w:tcPr>
            <w:tcW w:w="4788" w:type="dxa"/>
          </w:tcPr>
          <w:p w14:paraId="70106985" w14:textId="77777777" w:rsidR="003D217E" w:rsidRDefault="003D217E" w:rsidP="001740C5">
            <w:pPr>
              <w:widowControl w:val="0"/>
              <w:autoSpaceDE w:val="0"/>
              <w:autoSpaceDN w:val="0"/>
              <w:adjustRightInd w:val="0"/>
              <w:snapToGrid w:val="0"/>
              <w:spacing w:after="0"/>
              <w:rPr>
                <w:rFonts w:eastAsiaTheme="minorEastAsia"/>
                <w:bCs/>
                <w:sz w:val="22"/>
                <w:szCs w:val="22"/>
                <w:lang w:eastAsia="ko-KR"/>
              </w:rPr>
            </w:pPr>
            <w:r w:rsidRPr="004635E5">
              <w:rPr>
                <w:rFonts w:eastAsia="MS PMincho"/>
                <w:b/>
                <w:sz w:val="22"/>
                <w:szCs w:val="22"/>
              </w:rPr>
              <w:t xml:space="preserve">Figure BET-1. </w:t>
            </w:r>
            <w:r w:rsidRPr="004635E5">
              <w:rPr>
                <w:rFonts w:eastAsia="MS PMincho"/>
                <w:sz w:val="22"/>
                <w:szCs w:val="22"/>
              </w:rPr>
              <w:t>Time series of total annual catch (1000's mt) by fishing gear over the full assessment period.</w:t>
            </w:r>
          </w:p>
        </w:tc>
        <w:tc>
          <w:tcPr>
            <w:tcW w:w="4788" w:type="dxa"/>
          </w:tcPr>
          <w:p w14:paraId="40AD0249" w14:textId="77777777" w:rsidR="003D217E" w:rsidRPr="008F2979" w:rsidRDefault="003D217E" w:rsidP="001740C5">
            <w:pPr>
              <w:adjustRightInd w:val="0"/>
              <w:snapToGrid w:val="0"/>
              <w:spacing w:after="0"/>
              <w:ind w:right="99"/>
              <w:jc w:val="both"/>
              <w:rPr>
                <w:rFonts w:eastAsiaTheme="minorEastAsia"/>
                <w:sz w:val="22"/>
                <w:szCs w:val="22"/>
                <w:lang w:eastAsia="ko-KR"/>
              </w:rPr>
            </w:pPr>
            <w:r w:rsidRPr="004635E5">
              <w:rPr>
                <w:rFonts w:eastAsia="MS PMincho"/>
                <w:b/>
                <w:sz w:val="22"/>
                <w:szCs w:val="22"/>
              </w:rPr>
              <w:t xml:space="preserve">Figure BET-2. </w:t>
            </w:r>
            <w:r w:rsidRPr="004635E5">
              <w:rPr>
                <w:rFonts w:eastAsia="MS PMincho"/>
                <w:sz w:val="22"/>
                <w:szCs w:val="22"/>
              </w:rPr>
              <w:t>Plot showing the trajectories of spawning biomass depletion for the 36 model runs included in the structural uncertainty grid. The colours depict the models in the grid with the 10°N and 20°N spatial structures.</w:t>
            </w:r>
          </w:p>
        </w:tc>
      </w:tr>
      <w:tr w:rsidR="003D217E" w14:paraId="1B23E074" w14:textId="77777777" w:rsidTr="001740C5">
        <w:tc>
          <w:tcPr>
            <w:tcW w:w="9576" w:type="dxa"/>
            <w:gridSpan w:val="2"/>
          </w:tcPr>
          <w:p w14:paraId="7B1CCE51" w14:textId="77777777" w:rsidR="003D217E" w:rsidRPr="004635E5" w:rsidRDefault="003D217E" w:rsidP="001740C5">
            <w:pPr>
              <w:adjustRightInd w:val="0"/>
              <w:snapToGrid w:val="0"/>
              <w:spacing w:after="0"/>
              <w:ind w:right="99"/>
              <w:jc w:val="center"/>
              <w:rPr>
                <w:rFonts w:eastAsia="MS PMincho"/>
                <w:b/>
                <w:sz w:val="22"/>
                <w:szCs w:val="22"/>
              </w:rPr>
            </w:pPr>
            <w:r w:rsidRPr="004635E5">
              <w:rPr>
                <w:rFonts w:eastAsia="MS PMincho"/>
                <w:noProof/>
                <w:sz w:val="22"/>
                <w:szCs w:val="22"/>
                <w:lang w:eastAsia="zh-CN" w:bidi="mn-Mong-CN"/>
              </w:rPr>
              <w:drawing>
                <wp:inline distT="0" distB="0" distL="0" distR="0" wp14:anchorId="4077C522" wp14:editId="4DD27D1F">
                  <wp:extent cx="4762500" cy="1781175"/>
                  <wp:effectExtent l="0" t="0" r="0" b="9525"/>
                  <wp:docPr id="27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_temporal_F.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6083" cy="1782515"/>
                          </a:xfrm>
                          <a:prstGeom prst="rect">
                            <a:avLst/>
                          </a:prstGeom>
                        </pic:spPr>
                      </pic:pic>
                    </a:graphicData>
                  </a:graphic>
                </wp:inline>
              </w:drawing>
            </w:r>
          </w:p>
        </w:tc>
      </w:tr>
      <w:tr w:rsidR="003D217E" w14:paraId="5C164DE4" w14:textId="77777777" w:rsidTr="001740C5">
        <w:tc>
          <w:tcPr>
            <w:tcW w:w="9576" w:type="dxa"/>
            <w:gridSpan w:val="2"/>
          </w:tcPr>
          <w:p w14:paraId="4A6692B0" w14:textId="77777777" w:rsidR="003D217E" w:rsidRPr="008F2979" w:rsidRDefault="003D217E" w:rsidP="001740C5">
            <w:pPr>
              <w:adjustRightInd w:val="0"/>
              <w:snapToGrid w:val="0"/>
              <w:spacing w:after="0"/>
              <w:jc w:val="both"/>
              <w:rPr>
                <w:rFonts w:eastAsiaTheme="minorEastAsia"/>
                <w:sz w:val="22"/>
                <w:szCs w:val="22"/>
                <w:lang w:eastAsia="ko-KR"/>
              </w:rPr>
            </w:pPr>
            <w:r w:rsidRPr="004635E5">
              <w:rPr>
                <w:rFonts w:eastAsia="MS PMincho"/>
                <w:b/>
                <w:sz w:val="22"/>
                <w:szCs w:val="22"/>
              </w:rPr>
              <w:t xml:space="preserve">Figure BET-3. </w:t>
            </w:r>
            <w:r w:rsidRPr="004635E5">
              <w:rPr>
                <w:rFonts w:eastAsia="MS PMincho"/>
                <w:sz w:val="22"/>
                <w:szCs w:val="22"/>
              </w:rPr>
              <w:t>Estimated annual average juvenile and adult fishing mortality for the diagnostic case model.</w:t>
            </w:r>
          </w:p>
        </w:tc>
      </w:tr>
    </w:tbl>
    <w:p w14:paraId="5EB70981" w14:textId="77777777" w:rsidR="003D217E" w:rsidRDefault="003D217E" w:rsidP="003D217E">
      <w:pPr>
        <w:widowControl w:val="0"/>
        <w:autoSpaceDE w:val="0"/>
        <w:autoSpaceDN w:val="0"/>
        <w:adjustRightInd w:val="0"/>
        <w:snapToGrid w:val="0"/>
        <w:rPr>
          <w:rFonts w:eastAsiaTheme="minorEastAsia"/>
          <w:bCs/>
          <w:sz w:val="22"/>
          <w:szCs w:val="22"/>
          <w:lang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D217E" w14:paraId="3DEE20C1" w14:textId="77777777" w:rsidTr="001740C5">
        <w:tc>
          <w:tcPr>
            <w:tcW w:w="4788" w:type="dxa"/>
          </w:tcPr>
          <w:p w14:paraId="2EF4865C" w14:textId="77777777" w:rsidR="003D217E" w:rsidRDefault="003D217E" w:rsidP="001740C5">
            <w:pPr>
              <w:widowControl w:val="0"/>
              <w:autoSpaceDE w:val="0"/>
              <w:autoSpaceDN w:val="0"/>
              <w:adjustRightInd w:val="0"/>
              <w:snapToGrid w:val="0"/>
              <w:spacing w:after="0"/>
              <w:rPr>
                <w:rFonts w:eastAsiaTheme="minorEastAsia"/>
                <w:bCs/>
                <w:sz w:val="22"/>
                <w:szCs w:val="22"/>
                <w:lang w:eastAsia="ko-KR"/>
              </w:rPr>
            </w:pPr>
          </w:p>
          <w:p w14:paraId="75D351DB" w14:textId="77777777" w:rsidR="003D217E" w:rsidRPr="001C4A6B" w:rsidRDefault="003D217E" w:rsidP="001740C5">
            <w:pPr>
              <w:widowControl w:val="0"/>
              <w:autoSpaceDE w:val="0"/>
              <w:autoSpaceDN w:val="0"/>
              <w:adjustRightInd w:val="0"/>
              <w:snapToGrid w:val="0"/>
              <w:spacing w:after="0"/>
              <w:rPr>
                <w:rFonts w:eastAsiaTheme="minorEastAsia"/>
                <w:bCs/>
                <w:sz w:val="22"/>
                <w:szCs w:val="22"/>
                <w:lang w:eastAsia="ko-KR"/>
              </w:rPr>
            </w:pPr>
            <w:r w:rsidRPr="001C4A6B">
              <w:rPr>
                <w:bCs/>
                <w:sz w:val="22"/>
                <w:szCs w:val="22"/>
              </w:rPr>
              <w:t>SB</w:t>
            </w:r>
            <w:r w:rsidRPr="001C4A6B">
              <w:rPr>
                <w:bCs/>
                <w:sz w:val="22"/>
                <w:szCs w:val="22"/>
                <w:vertAlign w:val="subscript"/>
              </w:rPr>
              <w:t>recent</w:t>
            </w:r>
            <w:r w:rsidRPr="001C4A6B">
              <w:rPr>
                <w:bCs/>
                <w:sz w:val="22"/>
                <w:szCs w:val="22"/>
              </w:rPr>
              <w:t xml:space="preserve"> (2012-2015) / SB</w:t>
            </w:r>
            <w:r w:rsidRPr="001C4A6B">
              <w:rPr>
                <w:bCs/>
                <w:sz w:val="22"/>
                <w:szCs w:val="22"/>
                <w:vertAlign w:val="subscript"/>
              </w:rPr>
              <w:t>F=0</w:t>
            </w:r>
          </w:p>
        </w:tc>
        <w:tc>
          <w:tcPr>
            <w:tcW w:w="4788" w:type="dxa"/>
          </w:tcPr>
          <w:p w14:paraId="46F847FA" w14:textId="77777777" w:rsidR="003D217E" w:rsidRPr="001C4A6B" w:rsidRDefault="003D217E" w:rsidP="001740C5">
            <w:pPr>
              <w:widowControl w:val="0"/>
              <w:autoSpaceDE w:val="0"/>
              <w:autoSpaceDN w:val="0"/>
              <w:adjustRightInd w:val="0"/>
              <w:snapToGrid w:val="0"/>
              <w:spacing w:after="0"/>
              <w:rPr>
                <w:rFonts w:eastAsiaTheme="minorEastAsia"/>
                <w:bCs/>
                <w:sz w:val="22"/>
                <w:szCs w:val="22"/>
                <w:lang w:eastAsia="ko-KR"/>
              </w:rPr>
            </w:pPr>
            <w:r w:rsidRPr="001C4A6B">
              <w:rPr>
                <w:bCs/>
                <w:sz w:val="22"/>
                <w:szCs w:val="22"/>
              </w:rPr>
              <w:t>SB</w:t>
            </w:r>
            <w:r w:rsidRPr="001C4A6B">
              <w:rPr>
                <w:bCs/>
                <w:sz w:val="22"/>
                <w:szCs w:val="22"/>
                <w:vertAlign w:val="subscript"/>
              </w:rPr>
              <w:t>latest</w:t>
            </w:r>
            <w:r w:rsidRPr="001C4A6B">
              <w:rPr>
                <w:bCs/>
                <w:sz w:val="22"/>
                <w:szCs w:val="22"/>
              </w:rPr>
              <w:t xml:space="preserve"> (2015) / SB</w:t>
            </w:r>
            <w:r w:rsidRPr="001C4A6B">
              <w:rPr>
                <w:bCs/>
                <w:sz w:val="22"/>
                <w:szCs w:val="22"/>
                <w:vertAlign w:val="subscript"/>
              </w:rPr>
              <w:t>F=0</w:t>
            </w:r>
          </w:p>
        </w:tc>
      </w:tr>
      <w:tr w:rsidR="003D217E" w14:paraId="2A001BC4" w14:textId="77777777" w:rsidTr="001740C5">
        <w:tc>
          <w:tcPr>
            <w:tcW w:w="4788" w:type="dxa"/>
            <w:vAlign w:val="center"/>
          </w:tcPr>
          <w:p w14:paraId="736B6B45" w14:textId="77777777" w:rsidR="003D217E" w:rsidRDefault="003D217E" w:rsidP="001740C5">
            <w:pPr>
              <w:widowControl w:val="0"/>
              <w:autoSpaceDE w:val="0"/>
              <w:autoSpaceDN w:val="0"/>
              <w:adjustRightInd w:val="0"/>
              <w:snapToGrid w:val="0"/>
              <w:spacing w:after="0"/>
              <w:jc w:val="center"/>
              <w:rPr>
                <w:rFonts w:eastAsiaTheme="minorEastAsia"/>
                <w:bCs/>
                <w:sz w:val="22"/>
                <w:szCs w:val="22"/>
                <w:lang w:eastAsia="ko-KR"/>
              </w:rPr>
            </w:pPr>
            <w:r w:rsidRPr="004635E5">
              <w:rPr>
                <w:bCs/>
                <w:noProof/>
                <w:lang w:eastAsia="zh-CN" w:bidi="mn-Mong-CN"/>
              </w:rPr>
              <w:drawing>
                <wp:inline distT="0" distB="0" distL="0" distR="0" wp14:anchorId="1F16EAF3" wp14:editId="4D403A34">
                  <wp:extent cx="1922757" cy="1798733"/>
                  <wp:effectExtent l="0" t="0" r="1905" b="0"/>
                  <wp:docPr id="278"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23052" cy="1799009"/>
                          </a:xfrm>
                          <a:prstGeom prst="rect">
                            <a:avLst/>
                          </a:prstGeom>
                        </pic:spPr>
                      </pic:pic>
                    </a:graphicData>
                  </a:graphic>
                </wp:inline>
              </w:drawing>
            </w:r>
          </w:p>
        </w:tc>
        <w:tc>
          <w:tcPr>
            <w:tcW w:w="4788" w:type="dxa"/>
            <w:vAlign w:val="center"/>
          </w:tcPr>
          <w:p w14:paraId="7AFF2A21" w14:textId="77777777" w:rsidR="003D217E" w:rsidRDefault="003D217E" w:rsidP="001740C5">
            <w:pPr>
              <w:widowControl w:val="0"/>
              <w:autoSpaceDE w:val="0"/>
              <w:autoSpaceDN w:val="0"/>
              <w:adjustRightInd w:val="0"/>
              <w:snapToGrid w:val="0"/>
              <w:spacing w:after="0"/>
              <w:jc w:val="center"/>
              <w:rPr>
                <w:rFonts w:eastAsiaTheme="minorEastAsia"/>
                <w:bCs/>
                <w:sz w:val="22"/>
                <w:szCs w:val="22"/>
                <w:lang w:eastAsia="ko-KR"/>
              </w:rPr>
            </w:pPr>
            <w:r w:rsidRPr="004635E5">
              <w:rPr>
                <w:bCs/>
                <w:noProof/>
                <w:lang w:eastAsia="zh-CN" w:bidi="mn-Mong-CN"/>
              </w:rPr>
              <w:drawing>
                <wp:inline distT="0" distB="0" distL="0" distR="0" wp14:anchorId="3405B322" wp14:editId="59B5FBD0">
                  <wp:extent cx="1883892" cy="1771650"/>
                  <wp:effectExtent l="0" t="0" r="2540" b="0"/>
                  <wp:docPr id="27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87596" cy="1775134"/>
                          </a:xfrm>
                          <a:prstGeom prst="rect">
                            <a:avLst/>
                          </a:prstGeom>
                        </pic:spPr>
                      </pic:pic>
                    </a:graphicData>
                  </a:graphic>
                </wp:inline>
              </w:drawing>
            </w:r>
          </w:p>
        </w:tc>
      </w:tr>
      <w:tr w:rsidR="003D217E" w14:paraId="6E6CBBDC" w14:textId="77777777" w:rsidTr="001740C5">
        <w:tc>
          <w:tcPr>
            <w:tcW w:w="9576" w:type="dxa"/>
            <w:gridSpan w:val="2"/>
          </w:tcPr>
          <w:p w14:paraId="6135F7B5" w14:textId="77777777" w:rsidR="003D217E" w:rsidRPr="001C4A6B" w:rsidRDefault="003D217E" w:rsidP="001740C5">
            <w:pPr>
              <w:adjustRightInd w:val="0"/>
              <w:snapToGrid w:val="0"/>
              <w:spacing w:after="0"/>
              <w:ind w:right="115"/>
              <w:jc w:val="both"/>
              <w:rPr>
                <w:rFonts w:eastAsiaTheme="minorEastAsia"/>
                <w:sz w:val="22"/>
                <w:szCs w:val="22"/>
                <w:lang w:eastAsia="ko-KR"/>
              </w:rPr>
            </w:pPr>
            <w:r w:rsidRPr="004635E5">
              <w:rPr>
                <w:rFonts w:eastAsia="MS PMincho"/>
                <w:b/>
                <w:sz w:val="22"/>
                <w:szCs w:val="22"/>
              </w:rPr>
              <w:t>Figure BET-4</w:t>
            </w:r>
            <w:r w:rsidRPr="004635E5">
              <w:rPr>
                <w:rFonts w:eastAsia="MS PMincho"/>
                <w:sz w:val="22"/>
                <w:szCs w:val="22"/>
              </w:rPr>
              <w:t xml:space="preserve">. Majuro plot summarising the results for each of the models in the structural uncertainty grid. The plots represent estimates of stock status in terms of spawning biomass depletion and fishing mortality. The red zone represents spawning biomass levels lower than the agreed limit reference point, </w:t>
            </w:r>
            <w:r w:rsidRPr="004635E5">
              <w:rPr>
                <w:rFonts w:eastAsia="MS PMincho"/>
                <w:position w:val="2"/>
                <w:sz w:val="22"/>
                <w:szCs w:val="22"/>
              </w:rPr>
              <w:t>which</w:t>
            </w:r>
            <w:r w:rsidRPr="004635E5">
              <w:rPr>
                <w:rFonts w:eastAsia="MS PMincho"/>
                <w:spacing w:val="-13"/>
                <w:position w:val="2"/>
                <w:sz w:val="22"/>
                <w:szCs w:val="22"/>
              </w:rPr>
              <w:t xml:space="preserve"> </w:t>
            </w:r>
            <w:r w:rsidRPr="004635E5">
              <w:rPr>
                <w:rFonts w:eastAsia="MS PMincho"/>
                <w:position w:val="2"/>
                <w:sz w:val="22"/>
                <w:szCs w:val="22"/>
              </w:rPr>
              <w:t>is</w:t>
            </w:r>
            <w:r w:rsidRPr="004635E5">
              <w:rPr>
                <w:rFonts w:eastAsia="MS PMincho"/>
                <w:spacing w:val="-12"/>
                <w:position w:val="2"/>
                <w:sz w:val="22"/>
                <w:szCs w:val="22"/>
              </w:rPr>
              <w:t xml:space="preserve"> </w:t>
            </w:r>
            <w:r w:rsidRPr="004635E5">
              <w:rPr>
                <w:rFonts w:eastAsia="MS PMincho"/>
                <w:position w:val="2"/>
                <w:sz w:val="22"/>
                <w:szCs w:val="22"/>
              </w:rPr>
              <w:t>marked</w:t>
            </w:r>
            <w:r w:rsidRPr="004635E5">
              <w:rPr>
                <w:rFonts w:eastAsia="MS PMincho"/>
                <w:spacing w:val="-11"/>
                <w:position w:val="2"/>
                <w:sz w:val="22"/>
                <w:szCs w:val="22"/>
              </w:rPr>
              <w:t xml:space="preserve"> </w:t>
            </w:r>
            <w:r w:rsidRPr="004635E5">
              <w:rPr>
                <w:rFonts w:eastAsia="MS PMincho"/>
                <w:position w:val="2"/>
                <w:sz w:val="22"/>
                <w:szCs w:val="22"/>
              </w:rPr>
              <w:t>with</w:t>
            </w:r>
            <w:r w:rsidRPr="004635E5">
              <w:rPr>
                <w:rFonts w:eastAsia="MS PMincho"/>
                <w:spacing w:val="-13"/>
                <w:position w:val="2"/>
                <w:sz w:val="22"/>
                <w:szCs w:val="22"/>
              </w:rPr>
              <w:t xml:space="preserve"> </w:t>
            </w:r>
            <w:r w:rsidRPr="004635E5">
              <w:rPr>
                <w:rFonts w:eastAsia="MS PMincho"/>
                <w:position w:val="2"/>
                <w:sz w:val="22"/>
                <w:szCs w:val="22"/>
              </w:rPr>
              <w:t>the</w:t>
            </w:r>
            <w:r w:rsidRPr="004635E5">
              <w:rPr>
                <w:rFonts w:eastAsia="MS PMincho"/>
                <w:spacing w:val="-13"/>
                <w:position w:val="2"/>
                <w:sz w:val="22"/>
                <w:szCs w:val="22"/>
              </w:rPr>
              <w:t xml:space="preserve"> </w:t>
            </w:r>
            <w:r w:rsidRPr="004635E5">
              <w:rPr>
                <w:rFonts w:eastAsia="MS PMincho"/>
                <w:position w:val="2"/>
                <w:sz w:val="22"/>
                <w:szCs w:val="22"/>
              </w:rPr>
              <w:t>solid</w:t>
            </w:r>
            <w:r w:rsidRPr="004635E5">
              <w:rPr>
                <w:rFonts w:eastAsia="MS PMincho"/>
                <w:spacing w:val="-13"/>
                <w:position w:val="2"/>
                <w:sz w:val="22"/>
                <w:szCs w:val="22"/>
              </w:rPr>
              <w:t xml:space="preserve"> </w:t>
            </w:r>
            <w:r w:rsidRPr="004635E5">
              <w:rPr>
                <w:rFonts w:eastAsia="MS PMincho"/>
                <w:position w:val="2"/>
                <w:sz w:val="22"/>
                <w:szCs w:val="22"/>
              </w:rPr>
              <w:t>black</w:t>
            </w:r>
            <w:r w:rsidRPr="004635E5">
              <w:rPr>
                <w:rFonts w:eastAsia="MS PMincho"/>
                <w:spacing w:val="-13"/>
                <w:position w:val="2"/>
                <w:sz w:val="22"/>
                <w:szCs w:val="22"/>
              </w:rPr>
              <w:t xml:space="preserve"> </w:t>
            </w:r>
            <w:r w:rsidRPr="004635E5">
              <w:rPr>
                <w:rFonts w:eastAsia="MS PMincho"/>
                <w:position w:val="2"/>
                <w:sz w:val="22"/>
                <w:szCs w:val="22"/>
              </w:rPr>
              <w:t>line.</w:t>
            </w:r>
            <w:r w:rsidRPr="004635E5">
              <w:rPr>
                <w:rFonts w:eastAsia="MS PMincho"/>
                <w:spacing w:val="-13"/>
                <w:position w:val="2"/>
                <w:sz w:val="22"/>
                <w:szCs w:val="22"/>
              </w:rPr>
              <w:t xml:space="preserve"> </w:t>
            </w:r>
            <w:r w:rsidRPr="004635E5">
              <w:rPr>
                <w:rFonts w:eastAsia="MS PMincho"/>
                <w:position w:val="2"/>
                <w:sz w:val="22"/>
                <w:szCs w:val="22"/>
              </w:rPr>
              <w:t>The</w:t>
            </w:r>
            <w:r w:rsidRPr="004635E5">
              <w:rPr>
                <w:rFonts w:eastAsia="MS PMincho"/>
                <w:spacing w:val="-11"/>
                <w:position w:val="2"/>
                <w:sz w:val="22"/>
                <w:szCs w:val="22"/>
              </w:rPr>
              <w:t xml:space="preserve"> </w:t>
            </w:r>
            <w:r w:rsidRPr="004635E5">
              <w:rPr>
                <w:rFonts w:eastAsia="MS PMincho"/>
                <w:position w:val="2"/>
                <w:sz w:val="22"/>
                <w:szCs w:val="22"/>
              </w:rPr>
              <w:t>orange</w:t>
            </w:r>
            <w:r w:rsidRPr="004635E5">
              <w:rPr>
                <w:rFonts w:eastAsia="MS PMincho"/>
                <w:spacing w:val="-13"/>
                <w:position w:val="2"/>
                <w:sz w:val="22"/>
                <w:szCs w:val="22"/>
              </w:rPr>
              <w:t xml:space="preserve"> </w:t>
            </w:r>
            <w:r w:rsidRPr="004635E5">
              <w:rPr>
                <w:rFonts w:eastAsia="MS PMincho"/>
                <w:position w:val="2"/>
                <w:sz w:val="22"/>
                <w:szCs w:val="22"/>
              </w:rPr>
              <w:t>region</w:t>
            </w:r>
            <w:r w:rsidRPr="004635E5">
              <w:rPr>
                <w:rFonts w:eastAsia="MS PMincho"/>
                <w:spacing w:val="-11"/>
                <w:position w:val="2"/>
                <w:sz w:val="22"/>
                <w:szCs w:val="22"/>
              </w:rPr>
              <w:t xml:space="preserve"> </w:t>
            </w:r>
            <w:r w:rsidRPr="004635E5">
              <w:rPr>
                <w:rFonts w:eastAsia="MS PMincho"/>
                <w:position w:val="2"/>
                <w:sz w:val="22"/>
                <w:szCs w:val="22"/>
              </w:rPr>
              <w:t>is</w:t>
            </w:r>
            <w:r w:rsidRPr="004635E5">
              <w:rPr>
                <w:rFonts w:eastAsia="MS PMincho"/>
                <w:spacing w:val="-12"/>
                <w:position w:val="2"/>
                <w:sz w:val="22"/>
                <w:szCs w:val="22"/>
              </w:rPr>
              <w:t xml:space="preserve"> </w:t>
            </w:r>
            <w:r w:rsidRPr="004635E5">
              <w:rPr>
                <w:rFonts w:eastAsia="MS PMincho"/>
                <w:position w:val="2"/>
                <w:sz w:val="22"/>
                <w:szCs w:val="22"/>
              </w:rPr>
              <w:t>for</w:t>
            </w:r>
            <w:r w:rsidRPr="004635E5">
              <w:rPr>
                <w:rFonts w:eastAsia="MS PMincho"/>
                <w:spacing w:val="-12"/>
                <w:position w:val="2"/>
                <w:sz w:val="22"/>
                <w:szCs w:val="22"/>
              </w:rPr>
              <w:t xml:space="preserve"> </w:t>
            </w:r>
            <w:r w:rsidRPr="004635E5">
              <w:rPr>
                <w:rFonts w:eastAsia="MS PMincho"/>
                <w:position w:val="2"/>
                <w:sz w:val="22"/>
                <w:szCs w:val="22"/>
              </w:rPr>
              <w:t>fishing</w:t>
            </w:r>
            <w:r w:rsidRPr="004635E5">
              <w:rPr>
                <w:rFonts w:eastAsia="MS PMincho"/>
                <w:spacing w:val="-13"/>
                <w:position w:val="2"/>
                <w:sz w:val="22"/>
                <w:szCs w:val="22"/>
              </w:rPr>
              <w:t xml:space="preserve"> </w:t>
            </w:r>
            <w:r w:rsidRPr="004635E5">
              <w:rPr>
                <w:rFonts w:eastAsia="MS PMincho"/>
                <w:position w:val="2"/>
                <w:sz w:val="22"/>
                <w:szCs w:val="22"/>
              </w:rPr>
              <w:t>mortality</w:t>
            </w:r>
            <w:r w:rsidRPr="004635E5">
              <w:rPr>
                <w:rFonts w:eastAsia="MS PMincho"/>
                <w:spacing w:val="-13"/>
                <w:position w:val="2"/>
                <w:sz w:val="22"/>
                <w:szCs w:val="22"/>
              </w:rPr>
              <w:t xml:space="preserve"> </w:t>
            </w:r>
            <w:r w:rsidRPr="004635E5">
              <w:rPr>
                <w:rFonts w:eastAsia="MS PMincho"/>
                <w:position w:val="2"/>
                <w:sz w:val="22"/>
                <w:szCs w:val="22"/>
              </w:rPr>
              <w:t>greater</w:t>
            </w:r>
            <w:r w:rsidRPr="004635E5">
              <w:rPr>
                <w:rFonts w:eastAsia="MS PMincho"/>
                <w:spacing w:val="-11"/>
                <w:position w:val="2"/>
                <w:sz w:val="22"/>
                <w:szCs w:val="22"/>
              </w:rPr>
              <w:t xml:space="preserve"> </w:t>
            </w:r>
            <w:r w:rsidRPr="004635E5">
              <w:rPr>
                <w:rFonts w:eastAsia="MS PMincho"/>
                <w:position w:val="2"/>
                <w:sz w:val="22"/>
                <w:szCs w:val="22"/>
              </w:rPr>
              <w:t>than</w:t>
            </w:r>
            <w:r w:rsidRPr="004635E5">
              <w:rPr>
                <w:rFonts w:eastAsia="MS PMincho"/>
                <w:spacing w:val="-11"/>
                <w:position w:val="2"/>
                <w:sz w:val="22"/>
                <w:szCs w:val="22"/>
              </w:rPr>
              <w:t xml:space="preserve"> </w:t>
            </w:r>
            <w:r w:rsidRPr="004635E5">
              <w:rPr>
                <w:rFonts w:eastAsia="MS PMincho"/>
                <w:i/>
                <w:position w:val="2"/>
                <w:sz w:val="22"/>
                <w:szCs w:val="22"/>
              </w:rPr>
              <w:t>F</w:t>
            </w:r>
            <w:r w:rsidRPr="004E1B05">
              <w:rPr>
                <w:rFonts w:eastAsia="MS PMincho"/>
                <w:sz w:val="22"/>
                <w:szCs w:val="22"/>
                <w:vertAlign w:val="subscript"/>
              </w:rPr>
              <w:t>MSY</w:t>
            </w:r>
            <w:r w:rsidRPr="004635E5">
              <w:rPr>
                <w:rFonts w:eastAsia="MS PMincho"/>
                <w:spacing w:val="9"/>
                <w:sz w:val="22"/>
                <w:szCs w:val="22"/>
              </w:rPr>
              <w:t xml:space="preserve"> </w:t>
            </w:r>
            <w:r w:rsidRPr="004635E5">
              <w:rPr>
                <w:rFonts w:eastAsia="MS PMincho"/>
                <w:position w:val="2"/>
                <w:sz w:val="22"/>
                <w:szCs w:val="22"/>
              </w:rPr>
              <w:t>(</w:t>
            </w:r>
            <w:r w:rsidRPr="004635E5">
              <w:rPr>
                <w:rFonts w:eastAsia="MS PMincho"/>
                <w:i/>
                <w:position w:val="2"/>
                <w:sz w:val="22"/>
                <w:szCs w:val="22"/>
              </w:rPr>
              <w:t>F</w:t>
            </w:r>
            <w:r w:rsidRPr="004E1B05">
              <w:rPr>
                <w:rFonts w:eastAsia="MS PMincho"/>
                <w:sz w:val="22"/>
                <w:szCs w:val="22"/>
                <w:vertAlign w:val="subscript"/>
              </w:rPr>
              <w:t>MSY</w:t>
            </w:r>
            <w:r w:rsidRPr="004635E5">
              <w:rPr>
                <w:rFonts w:eastAsia="MS PMincho"/>
                <w:sz w:val="22"/>
                <w:szCs w:val="22"/>
              </w:rPr>
              <w:t xml:space="preserve"> </w:t>
            </w:r>
            <w:r w:rsidRPr="004635E5">
              <w:rPr>
                <w:rFonts w:eastAsia="MS PMincho"/>
                <w:position w:val="2"/>
                <w:sz w:val="22"/>
                <w:szCs w:val="22"/>
              </w:rPr>
              <w:t xml:space="preserve">is marked with the black dashed line). In the upper panel, the points represent </w:t>
            </w:r>
            <w:r w:rsidRPr="004635E5">
              <w:rPr>
                <w:rFonts w:eastAsia="MS PMincho"/>
                <w:i/>
                <w:position w:val="2"/>
                <w:sz w:val="22"/>
                <w:szCs w:val="22"/>
              </w:rPr>
              <w:t>SB</w:t>
            </w:r>
            <w:r w:rsidRPr="004E1B05">
              <w:rPr>
                <w:rFonts w:eastAsia="MS PMincho"/>
                <w:i/>
                <w:sz w:val="22"/>
                <w:szCs w:val="22"/>
                <w:vertAlign w:val="subscript"/>
              </w:rPr>
              <w:t>recent</w:t>
            </w:r>
            <w:r w:rsidRPr="004635E5">
              <w:rPr>
                <w:rFonts w:eastAsia="MS PMincho"/>
                <w:i/>
                <w:position w:val="2"/>
                <w:sz w:val="22"/>
                <w:szCs w:val="22"/>
              </w:rPr>
              <w:t>/SB</w:t>
            </w:r>
            <w:r w:rsidRPr="004E1B05">
              <w:rPr>
                <w:rFonts w:eastAsia="MS PMincho"/>
                <w:i/>
                <w:sz w:val="22"/>
                <w:szCs w:val="22"/>
                <w:vertAlign w:val="subscript"/>
              </w:rPr>
              <w:t>F=0</w:t>
            </w:r>
            <w:r w:rsidRPr="004635E5">
              <w:rPr>
                <w:rFonts w:eastAsia="MS PMincho"/>
                <w:position w:val="2"/>
                <w:sz w:val="22"/>
                <w:szCs w:val="22"/>
              </w:rPr>
              <w:t xml:space="preserve">, where </w:t>
            </w:r>
            <w:r w:rsidRPr="004635E5">
              <w:rPr>
                <w:rFonts w:eastAsia="MS PMincho"/>
                <w:i/>
                <w:position w:val="2"/>
                <w:sz w:val="22"/>
                <w:szCs w:val="22"/>
              </w:rPr>
              <w:t>SB</w:t>
            </w:r>
            <w:r w:rsidRPr="004E1B05">
              <w:rPr>
                <w:rFonts w:eastAsia="MS PMincho"/>
                <w:i/>
                <w:sz w:val="22"/>
                <w:szCs w:val="22"/>
                <w:vertAlign w:val="subscript"/>
              </w:rPr>
              <w:t>recent</w:t>
            </w:r>
            <w:r w:rsidRPr="004635E5">
              <w:rPr>
                <w:rFonts w:eastAsia="MS PMincho"/>
                <w:position w:val="2"/>
                <w:sz w:val="22"/>
                <w:szCs w:val="22"/>
              </w:rPr>
              <w:t xml:space="preserve"> is the mean </w:t>
            </w:r>
            <w:r w:rsidRPr="004635E5">
              <w:rPr>
                <w:rFonts w:eastAsia="MS PMincho"/>
                <w:i/>
                <w:position w:val="2"/>
                <w:sz w:val="22"/>
                <w:szCs w:val="22"/>
              </w:rPr>
              <w:t xml:space="preserve">SB </w:t>
            </w:r>
            <w:r w:rsidRPr="004635E5">
              <w:rPr>
                <w:rFonts w:eastAsia="MS PMincho"/>
                <w:position w:val="2"/>
                <w:sz w:val="22"/>
                <w:szCs w:val="22"/>
              </w:rPr>
              <w:t xml:space="preserve">over 2012-2015. In the lower panel, the points represent </w:t>
            </w:r>
            <w:r w:rsidRPr="004635E5">
              <w:rPr>
                <w:rFonts w:eastAsia="MS PMincho"/>
                <w:i/>
                <w:position w:val="2"/>
                <w:sz w:val="22"/>
                <w:szCs w:val="22"/>
              </w:rPr>
              <w:t>SB</w:t>
            </w:r>
            <w:r w:rsidRPr="004635E5">
              <w:rPr>
                <w:rFonts w:eastAsia="MS PMincho"/>
                <w:i/>
                <w:position w:val="2"/>
                <w:sz w:val="22"/>
                <w:szCs w:val="22"/>
                <w:vertAlign w:val="subscript"/>
              </w:rPr>
              <w:t>latest</w:t>
            </w:r>
            <w:r w:rsidRPr="004635E5">
              <w:rPr>
                <w:rFonts w:eastAsia="MS PMincho"/>
                <w:i/>
                <w:position w:val="2"/>
                <w:sz w:val="22"/>
                <w:szCs w:val="22"/>
              </w:rPr>
              <w:t>/SB</w:t>
            </w:r>
            <w:r w:rsidRPr="004635E5">
              <w:rPr>
                <w:rFonts w:eastAsia="MS PMincho"/>
                <w:i/>
                <w:position w:val="2"/>
                <w:sz w:val="22"/>
                <w:szCs w:val="22"/>
                <w:vertAlign w:val="subscript"/>
              </w:rPr>
              <w:t>F=0</w:t>
            </w:r>
            <w:r w:rsidRPr="004635E5">
              <w:rPr>
                <w:rFonts w:eastAsia="MS PMincho"/>
                <w:position w:val="2"/>
                <w:sz w:val="22"/>
                <w:szCs w:val="22"/>
              </w:rPr>
              <w:t xml:space="preserve">, where </w:t>
            </w:r>
            <w:r w:rsidRPr="004635E5">
              <w:rPr>
                <w:rFonts w:eastAsia="MS PMincho"/>
                <w:i/>
                <w:position w:val="2"/>
                <w:sz w:val="22"/>
                <w:szCs w:val="22"/>
              </w:rPr>
              <w:t>SB</w:t>
            </w:r>
            <w:r w:rsidRPr="004635E5">
              <w:rPr>
                <w:rFonts w:eastAsia="MS PMincho"/>
                <w:i/>
                <w:position w:val="2"/>
                <w:sz w:val="22"/>
                <w:szCs w:val="22"/>
                <w:vertAlign w:val="subscript"/>
              </w:rPr>
              <w:t>latest</w:t>
            </w:r>
            <w:r w:rsidRPr="004635E5">
              <w:rPr>
                <w:rFonts w:eastAsia="MS PMincho"/>
                <w:position w:val="2"/>
                <w:sz w:val="22"/>
                <w:szCs w:val="22"/>
              </w:rPr>
              <w:t xml:space="preserve"> is from 2015. In both panels </w:t>
            </w:r>
            <w:r w:rsidRPr="004635E5">
              <w:rPr>
                <w:rFonts w:eastAsia="MS PMincho"/>
                <w:sz w:val="22"/>
                <w:szCs w:val="22"/>
              </w:rPr>
              <w:t>the colors depict the models in the grid with the 10°N and 20°N regional structures.</w:t>
            </w:r>
          </w:p>
        </w:tc>
      </w:tr>
    </w:tbl>
    <w:p w14:paraId="5C6FD058" w14:textId="77777777" w:rsidR="003D217E" w:rsidRDefault="003D217E" w:rsidP="003D217E">
      <w:pPr>
        <w:widowControl w:val="0"/>
        <w:autoSpaceDE w:val="0"/>
        <w:autoSpaceDN w:val="0"/>
        <w:adjustRightInd w:val="0"/>
        <w:snapToGrid w:val="0"/>
        <w:rPr>
          <w:rFonts w:eastAsiaTheme="minorEastAsia"/>
          <w:bCs/>
          <w:sz w:val="22"/>
          <w:szCs w:val="22"/>
          <w:lang w:eastAsia="ko-KR"/>
        </w:rPr>
      </w:pPr>
    </w:p>
    <w:p w14:paraId="4898AFB0" w14:textId="77777777" w:rsidR="003D217E" w:rsidRDefault="003D217E" w:rsidP="003D217E">
      <w:pPr>
        <w:widowControl w:val="0"/>
        <w:autoSpaceDE w:val="0"/>
        <w:autoSpaceDN w:val="0"/>
        <w:adjustRightInd w:val="0"/>
        <w:snapToGrid w:val="0"/>
        <w:rPr>
          <w:rFonts w:eastAsiaTheme="minorEastAsia"/>
          <w:bCs/>
          <w:sz w:val="22"/>
          <w:szCs w:val="22"/>
          <w:lang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D217E" w14:paraId="35FA6FDA" w14:textId="77777777" w:rsidTr="001740C5">
        <w:tc>
          <w:tcPr>
            <w:tcW w:w="4788" w:type="dxa"/>
          </w:tcPr>
          <w:p w14:paraId="2498C61C" w14:textId="77777777" w:rsidR="003D217E" w:rsidRPr="001C4A6B" w:rsidRDefault="003D217E" w:rsidP="001740C5">
            <w:pPr>
              <w:widowControl w:val="0"/>
              <w:autoSpaceDE w:val="0"/>
              <w:autoSpaceDN w:val="0"/>
              <w:adjustRightInd w:val="0"/>
              <w:snapToGrid w:val="0"/>
              <w:spacing w:after="0"/>
              <w:rPr>
                <w:rFonts w:eastAsiaTheme="minorEastAsia"/>
                <w:bCs/>
                <w:sz w:val="22"/>
                <w:szCs w:val="22"/>
                <w:lang w:eastAsia="ko-KR"/>
              </w:rPr>
            </w:pPr>
            <w:r w:rsidRPr="001C4A6B">
              <w:rPr>
                <w:bCs/>
                <w:sz w:val="22"/>
                <w:szCs w:val="22"/>
              </w:rPr>
              <w:lastRenderedPageBreak/>
              <w:t>SB</w:t>
            </w:r>
            <w:r w:rsidRPr="001C4A6B">
              <w:rPr>
                <w:bCs/>
                <w:sz w:val="22"/>
                <w:szCs w:val="22"/>
                <w:vertAlign w:val="subscript"/>
              </w:rPr>
              <w:t>recent</w:t>
            </w:r>
            <w:r w:rsidRPr="001C4A6B">
              <w:rPr>
                <w:bCs/>
                <w:sz w:val="22"/>
                <w:szCs w:val="22"/>
              </w:rPr>
              <w:t xml:space="preserve"> (2012-2015) / SB</w:t>
            </w:r>
            <w:r w:rsidRPr="001C4A6B">
              <w:rPr>
                <w:bCs/>
                <w:sz w:val="22"/>
                <w:szCs w:val="22"/>
                <w:vertAlign w:val="subscript"/>
              </w:rPr>
              <w:t>MSY</w:t>
            </w:r>
          </w:p>
        </w:tc>
        <w:tc>
          <w:tcPr>
            <w:tcW w:w="4788" w:type="dxa"/>
          </w:tcPr>
          <w:p w14:paraId="13F4EB7A" w14:textId="77777777" w:rsidR="003D217E" w:rsidRPr="001C4A6B" w:rsidRDefault="003D217E" w:rsidP="001740C5">
            <w:pPr>
              <w:widowControl w:val="0"/>
              <w:autoSpaceDE w:val="0"/>
              <w:autoSpaceDN w:val="0"/>
              <w:adjustRightInd w:val="0"/>
              <w:snapToGrid w:val="0"/>
              <w:spacing w:after="0"/>
              <w:rPr>
                <w:rFonts w:eastAsiaTheme="minorEastAsia"/>
                <w:bCs/>
                <w:sz w:val="22"/>
                <w:szCs w:val="22"/>
                <w:lang w:eastAsia="ko-KR"/>
              </w:rPr>
            </w:pPr>
            <w:r w:rsidRPr="001C4A6B">
              <w:rPr>
                <w:bCs/>
                <w:sz w:val="22"/>
                <w:szCs w:val="22"/>
              </w:rPr>
              <w:t>SB</w:t>
            </w:r>
            <w:r w:rsidRPr="001C4A6B">
              <w:rPr>
                <w:bCs/>
                <w:sz w:val="22"/>
                <w:szCs w:val="22"/>
                <w:vertAlign w:val="subscript"/>
              </w:rPr>
              <w:t>latest</w:t>
            </w:r>
            <w:r w:rsidRPr="001C4A6B">
              <w:rPr>
                <w:bCs/>
                <w:sz w:val="22"/>
                <w:szCs w:val="22"/>
              </w:rPr>
              <w:t xml:space="preserve"> (2015) / SB</w:t>
            </w:r>
            <w:r w:rsidRPr="001C4A6B">
              <w:rPr>
                <w:bCs/>
                <w:sz w:val="22"/>
                <w:szCs w:val="22"/>
                <w:vertAlign w:val="subscript"/>
              </w:rPr>
              <w:t>MSY</w:t>
            </w:r>
          </w:p>
        </w:tc>
      </w:tr>
      <w:tr w:rsidR="003D217E" w14:paraId="7FE86A8F" w14:textId="77777777" w:rsidTr="001740C5">
        <w:tc>
          <w:tcPr>
            <w:tcW w:w="4788" w:type="dxa"/>
          </w:tcPr>
          <w:p w14:paraId="63A1D170" w14:textId="77777777" w:rsidR="003D217E" w:rsidRDefault="003D217E" w:rsidP="001740C5">
            <w:pPr>
              <w:widowControl w:val="0"/>
              <w:autoSpaceDE w:val="0"/>
              <w:autoSpaceDN w:val="0"/>
              <w:adjustRightInd w:val="0"/>
              <w:snapToGrid w:val="0"/>
              <w:spacing w:after="0"/>
              <w:rPr>
                <w:rFonts w:eastAsiaTheme="minorEastAsia"/>
                <w:bCs/>
                <w:sz w:val="22"/>
                <w:szCs w:val="22"/>
                <w:lang w:eastAsia="ko-KR"/>
              </w:rPr>
            </w:pPr>
            <w:r w:rsidRPr="004635E5">
              <w:rPr>
                <w:bCs/>
                <w:noProof/>
                <w:lang w:eastAsia="zh-CN" w:bidi="mn-Mong-CN"/>
              </w:rPr>
              <w:drawing>
                <wp:inline distT="0" distB="0" distL="0" distR="0" wp14:anchorId="358A39F2" wp14:editId="12DDDB86">
                  <wp:extent cx="1971675" cy="1971675"/>
                  <wp:effectExtent l="0" t="0" r="9525" b="9525"/>
                  <wp:docPr id="280"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71978" cy="1971978"/>
                          </a:xfrm>
                          <a:prstGeom prst="rect">
                            <a:avLst/>
                          </a:prstGeom>
                        </pic:spPr>
                      </pic:pic>
                    </a:graphicData>
                  </a:graphic>
                </wp:inline>
              </w:drawing>
            </w:r>
          </w:p>
        </w:tc>
        <w:tc>
          <w:tcPr>
            <w:tcW w:w="4788" w:type="dxa"/>
          </w:tcPr>
          <w:p w14:paraId="51ECAE52" w14:textId="77777777" w:rsidR="003D217E" w:rsidRDefault="003D217E" w:rsidP="001740C5">
            <w:pPr>
              <w:widowControl w:val="0"/>
              <w:autoSpaceDE w:val="0"/>
              <w:autoSpaceDN w:val="0"/>
              <w:adjustRightInd w:val="0"/>
              <w:snapToGrid w:val="0"/>
              <w:spacing w:after="0"/>
              <w:rPr>
                <w:rFonts w:eastAsiaTheme="minorEastAsia"/>
                <w:bCs/>
                <w:sz w:val="22"/>
                <w:szCs w:val="22"/>
                <w:lang w:eastAsia="ko-KR"/>
              </w:rPr>
            </w:pPr>
            <w:r w:rsidRPr="004635E5">
              <w:rPr>
                <w:bCs/>
                <w:noProof/>
                <w:lang w:eastAsia="zh-CN" w:bidi="mn-Mong-CN"/>
              </w:rPr>
              <w:drawing>
                <wp:inline distT="0" distB="0" distL="0" distR="0" wp14:anchorId="643B58A7" wp14:editId="53C4E89E">
                  <wp:extent cx="2209800" cy="2209800"/>
                  <wp:effectExtent l="0" t="0" r="0" b="0"/>
                  <wp:docPr id="282"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10139" cy="2210139"/>
                          </a:xfrm>
                          <a:prstGeom prst="rect">
                            <a:avLst/>
                          </a:prstGeom>
                        </pic:spPr>
                      </pic:pic>
                    </a:graphicData>
                  </a:graphic>
                </wp:inline>
              </w:drawing>
            </w:r>
          </w:p>
        </w:tc>
      </w:tr>
      <w:tr w:rsidR="003D217E" w14:paraId="2BB74493" w14:textId="77777777" w:rsidTr="001740C5">
        <w:tc>
          <w:tcPr>
            <w:tcW w:w="9576" w:type="dxa"/>
            <w:gridSpan w:val="2"/>
          </w:tcPr>
          <w:p w14:paraId="124CE9F0" w14:textId="77777777" w:rsidR="003D217E" w:rsidRPr="001C4A6B" w:rsidRDefault="003D217E" w:rsidP="001740C5">
            <w:pPr>
              <w:adjustRightInd w:val="0"/>
              <w:snapToGrid w:val="0"/>
              <w:spacing w:after="0"/>
              <w:ind w:right="99"/>
              <w:jc w:val="both"/>
              <w:rPr>
                <w:rFonts w:eastAsiaTheme="minorEastAsia"/>
                <w:sz w:val="22"/>
                <w:szCs w:val="22"/>
                <w:lang w:eastAsia="ko-KR"/>
              </w:rPr>
            </w:pPr>
            <w:r w:rsidRPr="004635E5">
              <w:rPr>
                <w:rFonts w:eastAsia="MS PMincho"/>
                <w:b/>
                <w:sz w:val="22"/>
                <w:szCs w:val="22"/>
              </w:rPr>
              <w:t xml:space="preserve">Figure BET-5. </w:t>
            </w:r>
            <w:r w:rsidRPr="004635E5">
              <w:rPr>
                <w:rFonts w:eastAsia="MS PMincho"/>
                <w:sz w:val="22"/>
                <w:szCs w:val="22"/>
              </w:rPr>
              <w:t xml:space="preserve">Kobe plot summarising the results for each of the models in the structural uncertainty grid. </w:t>
            </w:r>
            <w:r w:rsidRPr="004635E5">
              <w:rPr>
                <w:rFonts w:eastAsia="MS PMincho"/>
                <w:position w:val="2"/>
                <w:sz w:val="22"/>
                <w:szCs w:val="22"/>
              </w:rPr>
              <w:t xml:space="preserve">In the upper panel, the points represent </w:t>
            </w:r>
            <w:r w:rsidRPr="004635E5">
              <w:rPr>
                <w:rFonts w:eastAsia="MS PMincho"/>
                <w:i/>
                <w:position w:val="2"/>
                <w:sz w:val="22"/>
                <w:szCs w:val="22"/>
              </w:rPr>
              <w:t>SB</w:t>
            </w:r>
            <w:r w:rsidRPr="004E1B05">
              <w:rPr>
                <w:rFonts w:eastAsia="MS PMincho"/>
                <w:i/>
                <w:sz w:val="22"/>
                <w:szCs w:val="22"/>
                <w:vertAlign w:val="subscript"/>
              </w:rPr>
              <w:t>recent</w:t>
            </w:r>
            <w:r w:rsidRPr="004635E5">
              <w:rPr>
                <w:rFonts w:eastAsia="MS PMincho"/>
                <w:i/>
                <w:position w:val="2"/>
                <w:sz w:val="22"/>
                <w:szCs w:val="22"/>
              </w:rPr>
              <w:t>/SB</w:t>
            </w:r>
            <w:r w:rsidRPr="004E1B05">
              <w:rPr>
                <w:rFonts w:eastAsia="MS PMincho"/>
                <w:i/>
                <w:sz w:val="22"/>
                <w:szCs w:val="22"/>
                <w:vertAlign w:val="subscript"/>
              </w:rPr>
              <w:t>MSY</w:t>
            </w:r>
            <w:r w:rsidRPr="004635E5">
              <w:rPr>
                <w:rFonts w:eastAsia="MS PMincho"/>
                <w:position w:val="2"/>
                <w:sz w:val="22"/>
                <w:szCs w:val="22"/>
              </w:rPr>
              <w:t xml:space="preserve">, where </w:t>
            </w:r>
            <w:r w:rsidRPr="004635E5">
              <w:rPr>
                <w:rFonts w:eastAsia="MS PMincho"/>
                <w:i/>
                <w:position w:val="2"/>
                <w:sz w:val="22"/>
                <w:szCs w:val="22"/>
              </w:rPr>
              <w:t>SB</w:t>
            </w:r>
            <w:r w:rsidRPr="004E1B05">
              <w:rPr>
                <w:rFonts w:eastAsia="MS PMincho"/>
                <w:i/>
                <w:sz w:val="22"/>
                <w:szCs w:val="22"/>
                <w:vertAlign w:val="subscript"/>
              </w:rPr>
              <w:t>recent</w:t>
            </w:r>
            <w:r w:rsidRPr="004E1B05">
              <w:rPr>
                <w:rFonts w:eastAsia="MS PMincho"/>
                <w:position w:val="2"/>
                <w:sz w:val="22"/>
                <w:szCs w:val="22"/>
                <w:vertAlign w:val="subscript"/>
              </w:rPr>
              <w:t xml:space="preserve"> </w:t>
            </w:r>
            <w:r w:rsidRPr="004635E5">
              <w:rPr>
                <w:rFonts w:eastAsia="MS PMincho"/>
                <w:position w:val="2"/>
                <w:sz w:val="22"/>
                <w:szCs w:val="22"/>
              </w:rPr>
              <w:t xml:space="preserve">is the mean </w:t>
            </w:r>
            <w:r w:rsidRPr="004635E5">
              <w:rPr>
                <w:rFonts w:eastAsia="MS PMincho"/>
                <w:i/>
                <w:position w:val="2"/>
                <w:sz w:val="22"/>
                <w:szCs w:val="22"/>
              </w:rPr>
              <w:t xml:space="preserve">SB </w:t>
            </w:r>
            <w:r w:rsidRPr="004635E5">
              <w:rPr>
                <w:rFonts w:eastAsia="MS PMincho"/>
                <w:position w:val="2"/>
                <w:sz w:val="22"/>
                <w:szCs w:val="22"/>
              </w:rPr>
              <w:t xml:space="preserve">over 2012-2015. In the lower panel, the points represent </w:t>
            </w:r>
            <w:r w:rsidRPr="004635E5">
              <w:rPr>
                <w:rFonts w:eastAsia="MS PMincho"/>
                <w:i/>
                <w:position w:val="2"/>
                <w:sz w:val="22"/>
                <w:szCs w:val="22"/>
              </w:rPr>
              <w:t>SB</w:t>
            </w:r>
            <w:r w:rsidRPr="004635E5">
              <w:rPr>
                <w:rFonts w:eastAsia="MS PMincho"/>
                <w:i/>
                <w:position w:val="2"/>
                <w:sz w:val="22"/>
                <w:szCs w:val="22"/>
                <w:vertAlign w:val="subscript"/>
              </w:rPr>
              <w:t>latest</w:t>
            </w:r>
            <w:r w:rsidRPr="004635E5">
              <w:rPr>
                <w:rFonts w:eastAsia="MS PMincho"/>
                <w:i/>
                <w:position w:val="2"/>
                <w:sz w:val="22"/>
                <w:szCs w:val="22"/>
              </w:rPr>
              <w:t>/SB</w:t>
            </w:r>
            <w:r w:rsidRPr="004635E5">
              <w:rPr>
                <w:rFonts w:eastAsia="MS PMincho"/>
                <w:i/>
                <w:position w:val="2"/>
                <w:sz w:val="22"/>
                <w:szCs w:val="22"/>
                <w:vertAlign w:val="subscript"/>
              </w:rPr>
              <w:t>MSY</w:t>
            </w:r>
            <w:r w:rsidRPr="004635E5">
              <w:rPr>
                <w:rFonts w:eastAsia="MS PMincho"/>
                <w:position w:val="2"/>
                <w:sz w:val="22"/>
                <w:szCs w:val="22"/>
              </w:rPr>
              <w:t xml:space="preserve">, where </w:t>
            </w:r>
            <w:r w:rsidRPr="004635E5">
              <w:rPr>
                <w:rFonts w:eastAsia="MS PMincho"/>
                <w:i/>
                <w:position w:val="2"/>
                <w:sz w:val="22"/>
                <w:szCs w:val="22"/>
              </w:rPr>
              <w:t>SB</w:t>
            </w:r>
            <w:r w:rsidRPr="004635E5">
              <w:rPr>
                <w:rFonts w:eastAsia="MS PMincho"/>
                <w:i/>
                <w:position w:val="2"/>
                <w:sz w:val="22"/>
                <w:szCs w:val="22"/>
                <w:vertAlign w:val="subscript"/>
              </w:rPr>
              <w:t>latest</w:t>
            </w:r>
            <w:r w:rsidRPr="004635E5">
              <w:rPr>
                <w:rFonts w:eastAsia="MS PMincho"/>
                <w:position w:val="2"/>
                <w:sz w:val="22"/>
                <w:szCs w:val="22"/>
              </w:rPr>
              <w:t xml:space="preserve"> is from 2015.</w:t>
            </w:r>
          </w:p>
        </w:tc>
      </w:tr>
    </w:tbl>
    <w:p w14:paraId="30CE9192" w14:textId="77777777" w:rsidR="003D217E" w:rsidRPr="004635E5" w:rsidRDefault="003D217E" w:rsidP="003D217E">
      <w:pPr>
        <w:widowControl w:val="0"/>
        <w:autoSpaceDE w:val="0"/>
        <w:autoSpaceDN w:val="0"/>
        <w:adjustRightInd w:val="0"/>
        <w:snapToGrid w:val="0"/>
        <w:rPr>
          <w:bCs/>
          <w:sz w:val="22"/>
          <w:szCs w:val="22"/>
        </w:rPr>
      </w:pPr>
    </w:p>
    <w:p w14:paraId="7FB36387" w14:textId="77777777" w:rsidR="003D217E" w:rsidRPr="004635E5" w:rsidRDefault="003D217E" w:rsidP="003D217E">
      <w:pPr>
        <w:adjustRightInd w:val="0"/>
        <w:snapToGrid w:val="0"/>
        <w:ind w:right="116"/>
        <w:jc w:val="both"/>
        <w:rPr>
          <w:bCs/>
          <w:sz w:val="22"/>
          <w:szCs w:val="22"/>
        </w:rPr>
      </w:pPr>
      <w:r w:rsidRPr="004635E5">
        <w:rPr>
          <w:rFonts w:eastAsia="MS PMincho"/>
          <w:b/>
          <w:sz w:val="22"/>
          <w:szCs w:val="22"/>
        </w:rPr>
        <w:t>Table</w:t>
      </w:r>
      <w:r w:rsidRPr="004635E5">
        <w:rPr>
          <w:rFonts w:eastAsia="MS PMincho"/>
          <w:b/>
          <w:spacing w:val="-8"/>
          <w:sz w:val="22"/>
          <w:szCs w:val="22"/>
        </w:rPr>
        <w:t xml:space="preserve"> </w:t>
      </w:r>
      <w:r w:rsidRPr="004635E5">
        <w:rPr>
          <w:rFonts w:eastAsia="MS PMincho"/>
          <w:b/>
          <w:sz w:val="22"/>
          <w:szCs w:val="22"/>
        </w:rPr>
        <w:t>BET-2.</w:t>
      </w:r>
      <w:r w:rsidRPr="004635E5">
        <w:rPr>
          <w:rFonts w:eastAsia="MS PMincho"/>
          <w:b/>
          <w:spacing w:val="-6"/>
          <w:sz w:val="22"/>
          <w:szCs w:val="22"/>
        </w:rPr>
        <w:t xml:space="preserve"> </w:t>
      </w:r>
      <w:r w:rsidRPr="004635E5">
        <w:rPr>
          <w:rFonts w:eastAsia="MS PMincho"/>
          <w:sz w:val="22"/>
          <w:szCs w:val="22"/>
        </w:rPr>
        <w:t>Summary</w:t>
      </w:r>
      <w:r w:rsidRPr="004635E5">
        <w:rPr>
          <w:rFonts w:eastAsia="MS PMincho"/>
          <w:spacing w:val="-8"/>
          <w:sz w:val="22"/>
          <w:szCs w:val="22"/>
        </w:rPr>
        <w:t xml:space="preserve"> </w:t>
      </w:r>
      <w:r w:rsidRPr="004635E5">
        <w:rPr>
          <w:rFonts w:eastAsia="MS PMincho"/>
          <w:sz w:val="22"/>
          <w:szCs w:val="22"/>
        </w:rPr>
        <w:t>of</w:t>
      </w:r>
      <w:r w:rsidRPr="004635E5">
        <w:rPr>
          <w:rFonts w:eastAsia="MS PMincho"/>
          <w:spacing w:val="-5"/>
          <w:sz w:val="22"/>
          <w:szCs w:val="22"/>
        </w:rPr>
        <w:t xml:space="preserve"> </w:t>
      </w:r>
      <w:r w:rsidRPr="004635E5">
        <w:rPr>
          <w:rFonts w:eastAsia="MS PMincho"/>
          <w:sz w:val="22"/>
          <w:szCs w:val="22"/>
        </w:rPr>
        <w:t>reference</w:t>
      </w:r>
      <w:r w:rsidRPr="004635E5">
        <w:rPr>
          <w:rFonts w:eastAsia="MS PMincho"/>
          <w:spacing w:val="-6"/>
          <w:sz w:val="22"/>
          <w:szCs w:val="22"/>
        </w:rPr>
        <w:t xml:space="preserve"> </w:t>
      </w:r>
      <w:r w:rsidRPr="004635E5">
        <w:rPr>
          <w:rFonts w:eastAsia="MS PMincho"/>
          <w:sz w:val="22"/>
          <w:szCs w:val="22"/>
        </w:rPr>
        <w:t>points</w:t>
      </w:r>
      <w:r w:rsidRPr="004635E5">
        <w:rPr>
          <w:rFonts w:eastAsia="MS PMincho"/>
          <w:spacing w:val="-5"/>
          <w:sz w:val="22"/>
          <w:szCs w:val="22"/>
        </w:rPr>
        <w:t xml:space="preserve"> </w:t>
      </w:r>
      <w:r w:rsidRPr="004635E5">
        <w:rPr>
          <w:rFonts w:eastAsia="MS PMincho"/>
          <w:sz w:val="22"/>
          <w:szCs w:val="22"/>
        </w:rPr>
        <w:t>over</w:t>
      </w:r>
      <w:r w:rsidRPr="004635E5">
        <w:rPr>
          <w:rFonts w:eastAsia="MS PMincho"/>
          <w:spacing w:val="-5"/>
          <w:sz w:val="22"/>
          <w:szCs w:val="22"/>
        </w:rPr>
        <w:t xml:space="preserve"> </w:t>
      </w:r>
      <w:r w:rsidRPr="004635E5">
        <w:rPr>
          <w:rFonts w:eastAsia="MS PMincho"/>
          <w:sz w:val="22"/>
          <w:szCs w:val="22"/>
        </w:rPr>
        <w:t>the</w:t>
      </w:r>
      <w:r w:rsidRPr="004635E5">
        <w:rPr>
          <w:rFonts w:eastAsia="MS PMincho"/>
          <w:spacing w:val="-6"/>
          <w:sz w:val="22"/>
          <w:szCs w:val="22"/>
        </w:rPr>
        <w:t xml:space="preserve"> </w:t>
      </w:r>
      <w:r w:rsidRPr="004635E5">
        <w:rPr>
          <w:rFonts w:eastAsia="MS PMincho"/>
          <w:sz w:val="22"/>
          <w:szCs w:val="22"/>
        </w:rPr>
        <w:t>36</w:t>
      </w:r>
      <w:r w:rsidRPr="004635E5">
        <w:rPr>
          <w:rFonts w:eastAsia="MS PMincho"/>
          <w:spacing w:val="-6"/>
          <w:sz w:val="22"/>
          <w:szCs w:val="22"/>
        </w:rPr>
        <w:t xml:space="preserve"> </w:t>
      </w:r>
      <w:r w:rsidRPr="004635E5">
        <w:rPr>
          <w:rFonts w:eastAsia="MS PMincho"/>
          <w:sz w:val="22"/>
          <w:szCs w:val="22"/>
        </w:rPr>
        <w:t>models</w:t>
      </w:r>
      <w:r w:rsidRPr="004635E5">
        <w:rPr>
          <w:rFonts w:eastAsia="MS PMincho"/>
          <w:spacing w:val="-4"/>
          <w:sz w:val="22"/>
          <w:szCs w:val="22"/>
        </w:rPr>
        <w:t xml:space="preserve"> </w:t>
      </w:r>
      <w:r w:rsidRPr="004635E5">
        <w:rPr>
          <w:rFonts w:eastAsia="MS PMincho"/>
          <w:sz w:val="22"/>
          <w:szCs w:val="22"/>
        </w:rPr>
        <w:t>in</w:t>
      </w:r>
      <w:r w:rsidRPr="004635E5">
        <w:rPr>
          <w:rFonts w:eastAsia="MS PMincho"/>
          <w:spacing w:val="-6"/>
          <w:sz w:val="22"/>
          <w:szCs w:val="22"/>
        </w:rPr>
        <w:t xml:space="preserve"> </w:t>
      </w:r>
      <w:r w:rsidRPr="004635E5">
        <w:rPr>
          <w:rFonts w:eastAsia="MS PMincho"/>
          <w:sz w:val="22"/>
          <w:szCs w:val="22"/>
        </w:rPr>
        <w:t>the</w:t>
      </w:r>
      <w:r w:rsidRPr="004635E5">
        <w:rPr>
          <w:rFonts w:eastAsia="MS PMincho"/>
          <w:spacing w:val="-6"/>
          <w:sz w:val="22"/>
          <w:szCs w:val="22"/>
        </w:rPr>
        <w:t xml:space="preserve"> </w:t>
      </w:r>
      <w:r w:rsidRPr="004635E5">
        <w:rPr>
          <w:rFonts w:eastAsia="MS PMincho"/>
          <w:sz w:val="22"/>
          <w:szCs w:val="22"/>
        </w:rPr>
        <w:t>structural</w:t>
      </w:r>
      <w:r w:rsidRPr="004635E5">
        <w:rPr>
          <w:rFonts w:eastAsia="MS PMincho"/>
          <w:spacing w:val="-5"/>
          <w:sz w:val="22"/>
          <w:szCs w:val="22"/>
        </w:rPr>
        <w:t xml:space="preserve"> </w:t>
      </w:r>
      <w:r w:rsidRPr="004635E5">
        <w:rPr>
          <w:rFonts w:eastAsia="MS PMincho"/>
          <w:sz w:val="22"/>
          <w:szCs w:val="22"/>
        </w:rPr>
        <w:t>uncertainty</w:t>
      </w:r>
      <w:r w:rsidRPr="004635E5">
        <w:rPr>
          <w:rFonts w:eastAsia="MS PMincho"/>
          <w:spacing w:val="-8"/>
          <w:sz w:val="22"/>
          <w:szCs w:val="22"/>
        </w:rPr>
        <w:t xml:space="preserve"> </w:t>
      </w:r>
      <w:r w:rsidRPr="004635E5">
        <w:rPr>
          <w:rFonts w:eastAsia="MS PMincho"/>
          <w:sz w:val="22"/>
          <w:szCs w:val="22"/>
        </w:rPr>
        <w:t>grid</w:t>
      </w:r>
      <w:r w:rsidRPr="004635E5">
        <w:rPr>
          <w:rFonts w:eastAsia="MS PMincho"/>
          <w:position w:val="2"/>
          <w:sz w:val="22"/>
          <w:szCs w:val="22"/>
        </w:rPr>
        <w:t>.</w:t>
      </w:r>
      <w:r w:rsidRPr="004635E5">
        <w:rPr>
          <w:rFonts w:eastAsia="MS PMincho"/>
          <w:spacing w:val="-6"/>
          <w:position w:val="2"/>
          <w:sz w:val="22"/>
          <w:szCs w:val="22"/>
        </w:rPr>
        <w:t xml:space="preserve"> </w:t>
      </w:r>
      <w:r w:rsidRPr="004635E5">
        <w:rPr>
          <w:rFonts w:eastAsia="MS PMincho"/>
          <w:position w:val="2"/>
          <w:sz w:val="22"/>
          <w:szCs w:val="22"/>
        </w:rPr>
        <w:t>Note</w:t>
      </w:r>
      <w:r w:rsidRPr="004635E5">
        <w:rPr>
          <w:rFonts w:eastAsia="MS PMincho"/>
          <w:spacing w:val="-6"/>
          <w:position w:val="2"/>
          <w:sz w:val="22"/>
          <w:szCs w:val="22"/>
        </w:rPr>
        <w:t xml:space="preserve"> </w:t>
      </w:r>
      <w:r w:rsidRPr="004635E5">
        <w:rPr>
          <w:rFonts w:eastAsia="MS PMincho"/>
          <w:position w:val="2"/>
          <w:sz w:val="22"/>
          <w:szCs w:val="22"/>
        </w:rPr>
        <w:t>that</w:t>
      </w:r>
      <w:r w:rsidRPr="004635E5">
        <w:rPr>
          <w:rFonts w:eastAsia="MS PMincho"/>
          <w:spacing w:val="-6"/>
          <w:position w:val="2"/>
          <w:sz w:val="22"/>
          <w:szCs w:val="22"/>
        </w:rPr>
        <w:t xml:space="preserve"> </w:t>
      </w:r>
      <w:r w:rsidRPr="004635E5">
        <w:rPr>
          <w:rFonts w:eastAsia="MS PMincho"/>
          <w:i/>
          <w:position w:val="2"/>
          <w:sz w:val="22"/>
          <w:szCs w:val="22"/>
        </w:rPr>
        <w:t>SB</w:t>
      </w:r>
      <w:r w:rsidRPr="004E1B05">
        <w:rPr>
          <w:rFonts w:eastAsia="MS PMincho"/>
          <w:i/>
          <w:sz w:val="22"/>
          <w:szCs w:val="22"/>
          <w:vertAlign w:val="subscript"/>
        </w:rPr>
        <w:t>recent</w:t>
      </w:r>
      <w:r w:rsidRPr="004635E5">
        <w:rPr>
          <w:rFonts w:eastAsia="MS PMincho"/>
          <w:i/>
          <w:position w:val="2"/>
          <w:sz w:val="22"/>
          <w:szCs w:val="22"/>
        </w:rPr>
        <w:t>/SB</w:t>
      </w:r>
      <w:r w:rsidRPr="004E1B05">
        <w:rPr>
          <w:rFonts w:eastAsia="MS PMincho"/>
          <w:i/>
          <w:sz w:val="22"/>
          <w:szCs w:val="22"/>
          <w:vertAlign w:val="subscript"/>
        </w:rPr>
        <w:t>F=0</w:t>
      </w:r>
      <w:r w:rsidRPr="004635E5">
        <w:rPr>
          <w:rFonts w:eastAsia="MS PMincho"/>
          <w:i/>
          <w:spacing w:val="14"/>
          <w:sz w:val="22"/>
          <w:szCs w:val="22"/>
        </w:rPr>
        <w:t xml:space="preserve"> </w:t>
      </w:r>
      <w:r w:rsidRPr="004635E5">
        <w:rPr>
          <w:rFonts w:eastAsia="MS PMincho"/>
          <w:position w:val="2"/>
          <w:sz w:val="22"/>
          <w:szCs w:val="22"/>
        </w:rPr>
        <w:t>is</w:t>
      </w:r>
      <w:r w:rsidRPr="004635E5">
        <w:rPr>
          <w:rFonts w:eastAsia="MS PMincho"/>
          <w:spacing w:val="-5"/>
          <w:position w:val="2"/>
          <w:sz w:val="22"/>
          <w:szCs w:val="22"/>
        </w:rPr>
        <w:t xml:space="preserve"> </w:t>
      </w:r>
      <w:r w:rsidRPr="004635E5">
        <w:rPr>
          <w:rFonts w:eastAsia="MS PMincho"/>
          <w:position w:val="2"/>
          <w:sz w:val="22"/>
          <w:szCs w:val="22"/>
        </w:rPr>
        <w:t>calculated</w:t>
      </w:r>
      <w:r w:rsidRPr="004635E5">
        <w:rPr>
          <w:rFonts w:eastAsia="MS PMincho"/>
          <w:spacing w:val="-6"/>
          <w:position w:val="2"/>
          <w:sz w:val="22"/>
          <w:szCs w:val="22"/>
        </w:rPr>
        <w:t xml:space="preserve"> </w:t>
      </w:r>
      <w:r w:rsidRPr="004635E5">
        <w:rPr>
          <w:rFonts w:eastAsia="MS PMincho"/>
          <w:position w:val="2"/>
          <w:sz w:val="22"/>
          <w:szCs w:val="22"/>
        </w:rPr>
        <w:t>where</w:t>
      </w:r>
      <w:r w:rsidRPr="004635E5">
        <w:rPr>
          <w:rFonts w:eastAsia="MS PMincho"/>
          <w:spacing w:val="-4"/>
          <w:position w:val="2"/>
          <w:sz w:val="22"/>
          <w:szCs w:val="22"/>
        </w:rPr>
        <w:t xml:space="preserve"> </w:t>
      </w:r>
      <w:r w:rsidRPr="004635E5">
        <w:rPr>
          <w:rFonts w:eastAsia="MS PMincho"/>
          <w:i/>
          <w:position w:val="2"/>
          <w:sz w:val="22"/>
          <w:szCs w:val="22"/>
        </w:rPr>
        <w:t>SB</w:t>
      </w:r>
      <w:r w:rsidRPr="004E1B05">
        <w:rPr>
          <w:rFonts w:eastAsia="MS PMincho"/>
          <w:i/>
          <w:sz w:val="22"/>
          <w:szCs w:val="22"/>
          <w:vertAlign w:val="subscript"/>
        </w:rPr>
        <w:t>recent</w:t>
      </w:r>
      <w:r w:rsidRPr="004635E5">
        <w:rPr>
          <w:rFonts w:eastAsia="MS PMincho"/>
          <w:i/>
          <w:spacing w:val="14"/>
          <w:sz w:val="22"/>
          <w:szCs w:val="22"/>
        </w:rPr>
        <w:t xml:space="preserve"> </w:t>
      </w:r>
      <w:r w:rsidRPr="004635E5">
        <w:rPr>
          <w:rFonts w:eastAsia="MS PMincho"/>
          <w:position w:val="2"/>
          <w:sz w:val="22"/>
          <w:szCs w:val="22"/>
        </w:rPr>
        <w:t>is</w:t>
      </w:r>
      <w:r w:rsidRPr="004635E5">
        <w:rPr>
          <w:rFonts w:eastAsia="MS PMincho"/>
          <w:spacing w:val="-5"/>
          <w:position w:val="2"/>
          <w:sz w:val="22"/>
          <w:szCs w:val="22"/>
        </w:rPr>
        <w:t xml:space="preserve"> </w:t>
      </w:r>
      <w:r w:rsidRPr="004635E5">
        <w:rPr>
          <w:rFonts w:eastAsia="MS PMincho"/>
          <w:position w:val="2"/>
          <w:sz w:val="22"/>
          <w:szCs w:val="22"/>
        </w:rPr>
        <w:t>the</w:t>
      </w:r>
      <w:r w:rsidRPr="004635E5">
        <w:rPr>
          <w:rFonts w:eastAsia="MS PMincho"/>
          <w:spacing w:val="-6"/>
          <w:position w:val="2"/>
          <w:sz w:val="22"/>
          <w:szCs w:val="22"/>
        </w:rPr>
        <w:t xml:space="preserve"> </w:t>
      </w:r>
      <w:r w:rsidRPr="004635E5">
        <w:rPr>
          <w:rFonts w:eastAsia="MS PMincho"/>
          <w:position w:val="2"/>
          <w:sz w:val="22"/>
          <w:szCs w:val="22"/>
        </w:rPr>
        <w:t>mean</w:t>
      </w:r>
      <w:r w:rsidRPr="004635E5">
        <w:rPr>
          <w:rFonts w:eastAsia="MS PMincho"/>
          <w:spacing w:val="-5"/>
          <w:position w:val="2"/>
          <w:sz w:val="22"/>
          <w:szCs w:val="22"/>
        </w:rPr>
        <w:t xml:space="preserve"> </w:t>
      </w:r>
      <w:r w:rsidRPr="004635E5">
        <w:rPr>
          <w:rFonts w:eastAsia="MS PMincho"/>
          <w:i/>
          <w:position w:val="2"/>
          <w:sz w:val="22"/>
          <w:szCs w:val="22"/>
        </w:rPr>
        <w:t>SB</w:t>
      </w:r>
      <w:r w:rsidRPr="004635E5">
        <w:rPr>
          <w:rFonts w:eastAsia="MS PMincho"/>
          <w:i/>
          <w:spacing w:val="-6"/>
          <w:position w:val="2"/>
          <w:sz w:val="22"/>
          <w:szCs w:val="22"/>
        </w:rPr>
        <w:t xml:space="preserve"> </w:t>
      </w:r>
      <w:r w:rsidRPr="004635E5">
        <w:rPr>
          <w:rFonts w:eastAsia="MS PMincho"/>
          <w:position w:val="2"/>
          <w:sz w:val="22"/>
          <w:szCs w:val="22"/>
        </w:rPr>
        <w:t>over</w:t>
      </w:r>
      <w:r w:rsidRPr="004635E5">
        <w:rPr>
          <w:rFonts w:eastAsia="MS PMincho"/>
          <w:spacing w:val="-5"/>
          <w:position w:val="2"/>
          <w:sz w:val="22"/>
          <w:szCs w:val="22"/>
        </w:rPr>
        <w:t xml:space="preserve"> </w:t>
      </w:r>
      <w:r w:rsidRPr="004635E5">
        <w:rPr>
          <w:rFonts w:eastAsia="MS PMincho"/>
          <w:position w:val="2"/>
          <w:sz w:val="22"/>
          <w:szCs w:val="22"/>
        </w:rPr>
        <w:t>2012-2015</w:t>
      </w:r>
      <w:r w:rsidRPr="004635E5">
        <w:rPr>
          <w:rFonts w:eastAsia="MS PMincho"/>
          <w:spacing w:val="-5"/>
          <w:position w:val="2"/>
          <w:sz w:val="22"/>
          <w:szCs w:val="22"/>
        </w:rPr>
        <w:t xml:space="preserve"> </w:t>
      </w:r>
      <w:r w:rsidRPr="004635E5">
        <w:rPr>
          <w:rFonts w:eastAsia="MS PMincho"/>
          <w:sz w:val="22"/>
          <w:szCs w:val="22"/>
        </w:rPr>
        <w:t>at the request of the Scientific</w:t>
      </w:r>
      <w:r w:rsidRPr="004635E5">
        <w:rPr>
          <w:rFonts w:eastAsia="MS PMincho"/>
          <w:spacing w:val="-27"/>
          <w:sz w:val="22"/>
          <w:szCs w:val="22"/>
        </w:rPr>
        <w:t xml:space="preserve"> </w:t>
      </w:r>
      <w:r w:rsidRPr="004635E5">
        <w:rPr>
          <w:rFonts w:eastAsia="MS PMincho"/>
          <w:sz w:val="22"/>
          <w:szCs w:val="22"/>
        </w:rPr>
        <w:t>Committee.</w:t>
      </w:r>
    </w:p>
    <w:tbl>
      <w:tblPr>
        <w:tblW w:w="9580" w:type="dxa"/>
        <w:tblLook w:val="04A0" w:firstRow="1" w:lastRow="0" w:firstColumn="1" w:lastColumn="0" w:noHBand="0" w:noVBand="1"/>
      </w:tblPr>
      <w:tblGrid>
        <w:gridCol w:w="1843"/>
        <w:gridCol w:w="1016"/>
        <w:gridCol w:w="1368"/>
        <w:gridCol w:w="1368"/>
        <w:gridCol w:w="1368"/>
        <w:gridCol w:w="1368"/>
        <w:gridCol w:w="1368"/>
      </w:tblGrid>
      <w:tr w:rsidR="003D217E" w:rsidRPr="003763AA" w14:paraId="01F38F65" w14:textId="77777777" w:rsidTr="001740C5">
        <w:trPr>
          <w:trHeight w:val="280"/>
        </w:trPr>
        <w:tc>
          <w:tcPr>
            <w:tcW w:w="1843" w:type="dxa"/>
            <w:tcBorders>
              <w:top w:val="single" w:sz="4" w:space="0" w:color="auto"/>
              <w:left w:val="nil"/>
              <w:bottom w:val="single" w:sz="4" w:space="0" w:color="auto"/>
              <w:right w:val="nil"/>
            </w:tcBorders>
            <w:shd w:val="clear" w:color="auto" w:fill="auto"/>
            <w:noWrap/>
            <w:vAlign w:val="bottom"/>
            <w:hideMark/>
          </w:tcPr>
          <w:p w14:paraId="1FFE3BEA" w14:textId="77777777" w:rsidR="003D217E" w:rsidRPr="003763AA" w:rsidRDefault="003D217E" w:rsidP="001740C5">
            <w:pPr>
              <w:adjustRightInd w:val="0"/>
              <w:snapToGrid w:val="0"/>
              <w:rPr>
                <w:rFonts w:eastAsia="MS PMincho"/>
                <w:i/>
                <w:sz w:val="20"/>
                <w:szCs w:val="20"/>
                <w:lang w:val="en-AU"/>
              </w:rPr>
            </w:pPr>
          </w:p>
        </w:tc>
        <w:tc>
          <w:tcPr>
            <w:tcW w:w="897" w:type="dxa"/>
            <w:tcBorders>
              <w:top w:val="single" w:sz="4" w:space="0" w:color="auto"/>
              <w:left w:val="nil"/>
              <w:bottom w:val="single" w:sz="4" w:space="0" w:color="auto"/>
              <w:right w:val="nil"/>
            </w:tcBorders>
            <w:shd w:val="clear" w:color="auto" w:fill="auto"/>
            <w:noWrap/>
            <w:vAlign w:val="bottom"/>
            <w:hideMark/>
          </w:tcPr>
          <w:p w14:paraId="774D3BDF" w14:textId="77777777" w:rsidR="003D217E" w:rsidRPr="003763AA" w:rsidRDefault="003D217E" w:rsidP="001740C5">
            <w:pPr>
              <w:adjustRightInd w:val="0"/>
              <w:snapToGrid w:val="0"/>
              <w:jc w:val="center"/>
              <w:rPr>
                <w:color w:val="000000"/>
                <w:sz w:val="20"/>
                <w:szCs w:val="20"/>
                <w:lang w:val="en-AU"/>
              </w:rPr>
            </w:pPr>
            <w:r w:rsidRPr="003763AA">
              <w:rPr>
                <w:color w:val="000000"/>
                <w:sz w:val="20"/>
                <w:szCs w:val="20"/>
                <w:lang w:val="en-AU"/>
              </w:rPr>
              <w:t>Mean</w:t>
            </w:r>
          </w:p>
        </w:tc>
        <w:tc>
          <w:tcPr>
            <w:tcW w:w="1368" w:type="dxa"/>
            <w:tcBorders>
              <w:top w:val="single" w:sz="4" w:space="0" w:color="auto"/>
              <w:left w:val="nil"/>
              <w:bottom w:val="single" w:sz="4" w:space="0" w:color="auto"/>
              <w:right w:val="nil"/>
            </w:tcBorders>
            <w:shd w:val="clear" w:color="auto" w:fill="auto"/>
            <w:noWrap/>
            <w:vAlign w:val="bottom"/>
            <w:hideMark/>
          </w:tcPr>
          <w:p w14:paraId="68FEDF3B" w14:textId="77777777" w:rsidR="003D217E" w:rsidRPr="003763AA" w:rsidRDefault="003D217E" w:rsidP="001740C5">
            <w:pPr>
              <w:adjustRightInd w:val="0"/>
              <w:snapToGrid w:val="0"/>
              <w:jc w:val="center"/>
              <w:rPr>
                <w:color w:val="000000"/>
                <w:sz w:val="20"/>
                <w:szCs w:val="20"/>
                <w:lang w:val="en-AU"/>
              </w:rPr>
            </w:pPr>
            <w:r w:rsidRPr="003763AA">
              <w:rPr>
                <w:color w:val="000000"/>
                <w:sz w:val="20"/>
                <w:szCs w:val="20"/>
                <w:lang w:val="en-AU"/>
              </w:rPr>
              <w:t>Median</w:t>
            </w:r>
          </w:p>
        </w:tc>
        <w:tc>
          <w:tcPr>
            <w:tcW w:w="1368" w:type="dxa"/>
            <w:tcBorders>
              <w:top w:val="single" w:sz="4" w:space="0" w:color="auto"/>
              <w:left w:val="nil"/>
              <w:bottom w:val="single" w:sz="4" w:space="0" w:color="auto"/>
              <w:right w:val="nil"/>
            </w:tcBorders>
            <w:shd w:val="clear" w:color="auto" w:fill="auto"/>
            <w:noWrap/>
            <w:vAlign w:val="bottom"/>
            <w:hideMark/>
          </w:tcPr>
          <w:p w14:paraId="14C6D924" w14:textId="77777777" w:rsidR="003D217E" w:rsidRPr="003763AA" w:rsidRDefault="003D217E" w:rsidP="001740C5">
            <w:pPr>
              <w:adjustRightInd w:val="0"/>
              <w:snapToGrid w:val="0"/>
              <w:jc w:val="center"/>
              <w:rPr>
                <w:color w:val="000000"/>
                <w:sz w:val="20"/>
                <w:szCs w:val="20"/>
                <w:lang w:val="en-AU"/>
              </w:rPr>
            </w:pPr>
            <w:r w:rsidRPr="003763AA">
              <w:rPr>
                <w:color w:val="000000"/>
                <w:sz w:val="20"/>
                <w:szCs w:val="20"/>
                <w:lang w:val="en-AU"/>
              </w:rPr>
              <w:t>Min</w:t>
            </w:r>
          </w:p>
        </w:tc>
        <w:tc>
          <w:tcPr>
            <w:tcW w:w="1368" w:type="dxa"/>
            <w:tcBorders>
              <w:top w:val="single" w:sz="4" w:space="0" w:color="auto"/>
              <w:left w:val="nil"/>
              <w:bottom w:val="single" w:sz="4" w:space="0" w:color="auto"/>
              <w:right w:val="nil"/>
            </w:tcBorders>
            <w:shd w:val="clear" w:color="auto" w:fill="auto"/>
            <w:noWrap/>
            <w:vAlign w:val="bottom"/>
            <w:hideMark/>
          </w:tcPr>
          <w:p w14:paraId="2B84F37A" w14:textId="77777777" w:rsidR="003D217E" w:rsidRPr="003763AA" w:rsidRDefault="003D217E" w:rsidP="001740C5">
            <w:pPr>
              <w:adjustRightInd w:val="0"/>
              <w:snapToGrid w:val="0"/>
              <w:jc w:val="center"/>
              <w:rPr>
                <w:color w:val="000000"/>
                <w:sz w:val="20"/>
                <w:szCs w:val="20"/>
                <w:lang w:val="en-AU"/>
              </w:rPr>
            </w:pPr>
            <w:r w:rsidRPr="003763AA">
              <w:rPr>
                <w:color w:val="000000"/>
                <w:sz w:val="20"/>
                <w:szCs w:val="20"/>
                <w:lang w:val="en-AU"/>
              </w:rPr>
              <w:t>10%</w:t>
            </w:r>
          </w:p>
        </w:tc>
        <w:tc>
          <w:tcPr>
            <w:tcW w:w="1368" w:type="dxa"/>
            <w:tcBorders>
              <w:top w:val="single" w:sz="4" w:space="0" w:color="auto"/>
              <w:left w:val="nil"/>
              <w:bottom w:val="single" w:sz="4" w:space="0" w:color="auto"/>
              <w:right w:val="nil"/>
            </w:tcBorders>
            <w:shd w:val="clear" w:color="auto" w:fill="auto"/>
            <w:noWrap/>
            <w:vAlign w:val="bottom"/>
            <w:hideMark/>
          </w:tcPr>
          <w:p w14:paraId="267D480B" w14:textId="77777777" w:rsidR="003D217E" w:rsidRPr="003763AA" w:rsidRDefault="003D217E" w:rsidP="001740C5">
            <w:pPr>
              <w:adjustRightInd w:val="0"/>
              <w:snapToGrid w:val="0"/>
              <w:jc w:val="center"/>
              <w:rPr>
                <w:color w:val="000000"/>
                <w:sz w:val="20"/>
                <w:szCs w:val="20"/>
                <w:lang w:val="en-AU"/>
              </w:rPr>
            </w:pPr>
            <w:r w:rsidRPr="003763AA">
              <w:rPr>
                <w:color w:val="000000"/>
                <w:sz w:val="20"/>
                <w:szCs w:val="20"/>
                <w:lang w:val="en-AU"/>
              </w:rPr>
              <w:t>90%</w:t>
            </w:r>
          </w:p>
        </w:tc>
        <w:tc>
          <w:tcPr>
            <w:tcW w:w="1368" w:type="dxa"/>
            <w:tcBorders>
              <w:top w:val="single" w:sz="4" w:space="0" w:color="auto"/>
              <w:left w:val="nil"/>
              <w:bottom w:val="single" w:sz="4" w:space="0" w:color="auto"/>
              <w:right w:val="nil"/>
            </w:tcBorders>
            <w:shd w:val="clear" w:color="auto" w:fill="auto"/>
            <w:noWrap/>
            <w:vAlign w:val="bottom"/>
            <w:hideMark/>
          </w:tcPr>
          <w:p w14:paraId="2F4194BB" w14:textId="77777777" w:rsidR="003D217E" w:rsidRPr="003763AA" w:rsidRDefault="003D217E" w:rsidP="001740C5">
            <w:pPr>
              <w:adjustRightInd w:val="0"/>
              <w:snapToGrid w:val="0"/>
              <w:jc w:val="center"/>
              <w:rPr>
                <w:color w:val="000000"/>
                <w:sz w:val="20"/>
                <w:szCs w:val="20"/>
                <w:lang w:val="en-AU"/>
              </w:rPr>
            </w:pPr>
            <w:r w:rsidRPr="003763AA">
              <w:rPr>
                <w:color w:val="000000"/>
                <w:sz w:val="20"/>
                <w:szCs w:val="20"/>
                <w:lang w:val="en-AU"/>
              </w:rPr>
              <w:t>Max</w:t>
            </w:r>
          </w:p>
        </w:tc>
      </w:tr>
      <w:tr w:rsidR="003D217E" w:rsidRPr="003763AA" w14:paraId="1AD09316" w14:textId="77777777" w:rsidTr="001740C5">
        <w:trPr>
          <w:trHeight w:val="280"/>
        </w:trPr>
        <w:tc>
          <w:tcPr>
            <w:tcW w:w="1843" w:type="dxa"/>
            <w:tcBorders>
              <w:top w:val="single" w:sz="4" w:space="0" w:color="auto"/>
              <w:left w:val="nil"/>
              <w:bottom w:val="nil"/>
              <w:right w:val="nil"/>
            </w:tcBorders>
            <w:shd w:val="clear" w:color="auto" w:fill="auto"/>
            <w:noWrap/>
            <w:vAlign w:val="bottom"/>
            <w:hideMark/>
          </w:tcPr>
          <w:p w14:paraId="77D0D7C6" w14:textId="77777777" w:rsidR="003D217E" w:rsidRPr="003763AA" w:rsidRDefault="003D217E" w:rsidP="001740C5">
            <w:pPr>
              <w:adjustRightInd w:val="0"/>
              <w:snapToGrid w:val="0"/>
              <w:rPr>
                <w:i/>
                <w:color w:val="000000"/>
                <w:sz w:val="20"/>
                <w:szCs w:val="20"/>
                <w:lang w:val="en-AU"/>
              </w:rPr>
            </w:pPr>
            <w:r w:rsidRPr="003763AA">
              <w:rPr>
                <w:i/>
                <w:color w:val="000000"/>
                <w:sz w:val="20"/>
                <w:szCs w:val="20"/>
                <w:lang w:val="en-AU"/>
              </w:rPr>
              <w:t>C</w:t>
            </w:r>
            <w:r w:rsidRPr="003763AA">
              <w:rPr>
                <w:i/>
                <w:color w:val="000000"/>
                <w:sz w:val="20"/>
                <w:szCs w:val="20"/>
                <w:vertAlign w:val="subscript"/>
                <w:lang w:val="en-AU"/>
              </w:rPr>
              <w:t>latest</w:t>
            </w:r>
          </w:p>
        </w:tc>
        <w:tc>
          <w:tcPr>
            <w:tcW w:w="897" w:type="dxa"/>
            <w:tcBorders>
              <w:top w:val="single" w:sz="4" w:space="0" w:color="auto"/>
              <w:left w:val="nil"/>
              <w:bottom w:val="nil"/>
              <w:right w:val="nil"/>
            </w:tcBorders>
            <w:shd w:val="clear" w:color="auto" w:fill="auto"/>
            <w:noWrap/>
            <w:vAlign w:val="bottom"/>
            <w:hideMark/>
          </w:tcPr>
          <w:p w14:paraId="21F2CF14"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152,148</w:t>
            </w:r>
          </w:p>
        </w:tc>
        <w:tc>
          <w:tcPr>
            <w:tcW w:w="1368" w:type="dxa"/>
            <w:tcBorders>
              <w:top w:val="single" w:sz="4" w:space="0" w:color="auto"/>
              <w:left w:val="nil"/>
              <w:bottom w:val="nil"/>
              <w:right w:val="nil"/>
            </w:tcBorders>
            <w:shd w:val="clear" w:color="auto" w:fill="auto"/>
            <w:noWrap/>
            <w:vAlign w:val="bottom"/>
            <w:hideMark/>
          </w:tcPr>
          <w:p w14:paraId="7AFEFE51"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151,846</w:t>
            </w:r>
          </w:p>
        </w:tc>
        <w:tc>
          <w:tcPr>
            <w:tcW w:w="1368" w:type="dxa"/>
            <w:tcBorders>
              <w:top w:val="single" w:sz="4" w:space="0" w:color="auto"/>
              <w:left w:val="nil"/>
              <w:bottom w:val="nil"/>
              <w:right w:val="nil"/>
            </w:tcBorders>
            <w:shd w:val="clear" w:color="auto" w:fill="auto"/>
            <w:noWrap/>
            <w:vAlign w:val="bottom"/>
            <w:hideMark/>
          </w:tcPr>
          <w:p w14:paraId="236F5147"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148,888</w:t>
            </w:r>
          </w:p>
        </w:tc>
        <w:tc>
          <w:tcPr>
            <w:tcW w:w="1368" w:type="dxa"/>
            <w:tcBorders>
              <w:top w:val="single" w:sz="4" w:space="0" w:color="auto"/>
              <w:left w:val="nil"/>
              <w:bottom w:val="nil"/>
              <w:right w:val="nil"/>
            </w:tcBorders>
            <w:shd w:val="clear" w:color="auto" w:fill="auto"/>
            <w:noWrap/>
            <w:vAlign w:val="bottom"/>
            <w:hideMark/>
          </w:tcPr>
          <w:p w14:paraId="008DE158"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148,936</w:t>
            </w:r>
          </w:p>
        </w:tc>
        <w:tc>
          <w:tcPr>
            <w:tcW w:w="1368" w:type="dxa"/>
            <w:tcBorders>
              <w:top w:val="single" w:sz="4" w:space="0" w:color="auto"/>
              <w:left w:val="nil"/>
              <w:bottom w:val="nil"/>
              <w:right w:val="nil"/>
            </w:tcBorders>
            <w:shd w:val="clear" w:color="auto" w:fill="auto"/>
            <w:noWrap/>
            <w:vAlign w:val="bottom"/>
            <w:hideMark/>
          </w:tcPr>
          <w:p w14:paraId="5E0AAA8F"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154,971</w:t>
            </w:r>
          </w:p>
        </w:tc>
        <w:tc>
          <w:tcPr>
            <w:tcW w:w="1368" w:type="dxa"/>
            <w:tcBorders>
              <w:top w:val="single" w:sz="4" w:space="0" w:color="auto"/>
              <w:left w:val="nil"/>
              <w:bottom w:val="nil"/>
              <w:right w:val="nil"/>
            </w:tcBorders>
            <w:shd w:val="clear" w:color="auto" w:fill="auto"/>
            <w:noWrap/>
            <w:vAlign w:val="bottom"/>
            <w:hideMark/>
          </w:tcPr>
          <w:p w14:paraId="5A3E15A0"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155,577</w:t>
            </w:r>
          </w:p>
        </w:tc>
      </w:tr>
      <w:tr w:rsidR="003D217E" w:rsidRPr="003763AA" w14:paraId="0294967F" w14:textId="77777777" w:rsidTr="001740C5">
        <w:trPr>
          <w:trHeight w:val="280"/>
        </w:trPr>
        <w:tc>
          <w:tcPr>
            <w:tcW w:w="1843" w:type="dxa"/>
            <w:tcBorders>
              <w:top w:val="nil"/>
              <w:left w:val="nil"/>
              <w:bottom w:val="nil"/>
              <w:right w:val="nil"/>
            </w:tcBorders>
            <w:shd w:val="clear" w:color="auto" w:fill="auto"/>
            <w:noWrap/>
            <w:vAlign w:val="bottom"/>
            <w:hideMark/>
          </w:tcPr>
          <w:p w14:paraId="4EA7856A" w14:textId="77777777" w:rsidR="003D217E" w:rsidRPr="003763AA" w:rsidRDefault="003D217E" w:rsidP="001740C5">
            <w:pPr>
              <w:adjustRightInd w:val="0"/>
              <w:snapToGrid w:val="0"/>
              <w:rPr>
                <w:i/>
                <w:color w:val="000000"/>
                <w:sz w:val="20"/>
                <w:szCs w:val="20"/>
                <w:lang w:val="en-AU"/>
              </w:rPr>
            </w:pPr>
            <w:r w:rsidRPr="003763AA">
              <w:rPr>
                <w:i/>
                <w:color w:val="000000"/>
                <w:sz w:val="20"/>
                <w:szCs w:val="20"/>
                <w:lang w:val="en-AU"/>
              </w:rPr>
              <w:t>YF</w:t>
            </w:r>
            <w:r w:rsidRPr="003763AA">
              <w:rPr>
                <w:i/>
                <w:color w:val="000000"/>
                <w:sz w:val="20"/>
                <w:szCs w:val="20"/>
                <w:vertAlign w:val="subscript"/>
                <w:lang w:val="en-AU"/>
              </w:rPr>
              <w:t>recent</w:t>
            </w:r>
          </w:p>
        </w:tc>
        <w:tc>
          <w:tcPr>
            <w:tcW w:w="897" w:type="dxa"/>
            <w:tcBorders>
              <w:top w:val="nil"/>
              <w:left w:val="nil"/>
              <w:bottom w:val="nil"/>
              <w:right w:val="nil"/>
            </w:tcBorders>
            <w:shd w:val="clear" w:color="auto" w:fill="auto"/>
            <w:noWrap/>
            <w:vAlign w:val="bottom"/>
            <w:hideMark/>
          </w:tcPr>
          <w:p w14:paraId="0BB605DC"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154,180</w:t>
            </w:r>
          </w:p>
        </w:tc>
        <w:tc>
          <w:tcPr>
            <w:tcW w:w="1368" w:type="dxa"/>
            <w:tcBorders>
              <w:top w:val="nil"/>
              <w:left w:val="nil"/>
              <w:bottom w:val="nil"/>
              <w:right w:val="nil"/>
            </w:tcBorders>
            <w:shd w:val="clear" w:color="auto" w:fill="auto"/>
            <w:noWrap/>
            <w:vAlign w:val="bottom"/>
            <w:hideMark/>
          </w:tcPr>
          <w:p w14:paraId="610B6DEF"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153,220</w:t>
            </w:r>
          </w:p>
        </w:tc>
        <w:tc>
          <w:tcPr>
            <w:tcW w:w="1368" w:type="dxa"/>
            <w:tcBorders>
              <w:top w:val="nil"/>
              <w:left w:val="nil"/>
              <w:bottom w:val="nil"/>
              <w:right w:val="nil"/>
            </w:tcBorders>
            <w:shd w:val="clear" w:color="auto" w:fill="auto"/>
            <w:noWrap/>
            <w:vAlign w:val="bottom"/>
            <w:hideMark/>
          </w:tcPr>
          <w:p w14:paraId="0E855FB1"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133</w:t>
            </w:r>
            <w:r w:rsidRPr="003763AA">
              <w:rPr>
                <w:color w:val="000000"/>
                <w:sz w:val="20"/>
                <w:szCs w:val="20"/>
                <w:lang w:val="en-AU"/>
              </w:rPr>
              <w:t>,120</w:t>
            </w:r>
          </w:p>
        </w:tc>
        <w:tc>
          <w:tcPr>
            <w:tcW w:w="1368" w:type="dxa"/>
            <w:tcBorders>
              <w:top w:val="nil"/>
              <w:left w:val="nil"/>
              <w:bottom w:val="nil"/>
              <w:right w:val="nil"/>
            </w:tcBorders>
            <w:shd w:val="clear" w:color="auto" w:fill="auto"/>
            <w:noWrap/>
            <w:vAlign w:val="bottom"/>
            <w:hideMark/>
          </w:tcPr>
          <w:p w14:paraId="2DB4B210"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141,140</w:t>
            </w:r>
          </w:p>
        </w:tc>
        <w:tc>
          <w:tcPr>
            <w:tcW w:w="1368" w:type="dxa"/>
            <w:tcBorders>
              <w:top w:val="nil"/>
              <w:left w:val="nil"/>
              <w:bottom w:val="nil"/>
              <w:right w:val="nil"/>
            </w:tcBorders>
            <w:shd w:val="clear" w:color="auto" w:fill="auto"/>
            <w:noWrap/>
            <w:vAlign w:val="bottom"/>
            <w:hideMark/>
          </w:tcPr>
          <w:p w14:paraId="081FE276"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170,720</w:t>
            </w:r>
          </w:p>
        </w:tc>
        <w:tc>
          <w:tcPr>
            <w:tcW w:w="1368" w:type="dxa"/>
            <w:tcBorders>
              <w:top w:val="nil"/>
              <w:left w:val="nil"/>
              <w:bottom w:val="nil"/>
              <w:right w:val="nil"/>
            </w:tcBorders>
            <w:shd w:val="clear" w:color="auto" w:fill="auto"/>
            <w:noWrap/>
            <w:vAlign w:val="bottom"/>
            <w:hideMark/>
          </w:tcPr>
          <w:p w14:paraId="4A3F89C1"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172,280</w:t>
            </w:r>
          </w:p>
        </w:tc>
      </w:tr>
      <w:tr w:rsidR="003D217E" w:rsidRPr="003763AA" w14:paraId="380C8105" w14:textId="77777777" w:rsidTr="001740C5">
        <w:trPr>
          <w:trHeight w:val="280"/>
        </w:trPr>
        <w:tc>
          <w:tcPr>
            <w:tcW w:w="1843" w:type="dxa"/>
            <w:tcBorders>
              <w:top w:val="nil"/>
              <w:left w:val="nil"/>
              <w:bottom w:val="nil"/>
              <w:right w:val="nil"/>
            </w:tcBorders>
            <w:shd w:val="clear" w:color="auto" w:fill="auto"/>
            <w:noWrap/>
            <w:vAlign w:val="bottom"/>
            <w:hideMark/>
          </w:tcPr>
          <w:p w14:paraId="195E3066" w14:textId="77777777" w:rsidR="003D217E" w:rsidRPr="003763AA" w:rsidRDefault="003D217E" w:rsidP="001740C5">
            <w:pPr>
              <w:adjustRightInd w:val="0"/>
              <w:snapToGrid w:val="0"/>
              <w:rPr>
                <w:i/>
                <w:color w:val="000000"/>
                <w:sz w:val="20"/>
                <w:szCs w:val="20"/>
                <w:lang w:val="en-AU"/>
              </w:rPr>
            </w:pPr>
            <w:r w:rsidRPr="003763AA">
              <w:rPr>
                <w:i/>
                <w:iCs/>
                <w:color w:val="000000"/>
                <w:sz w:val="20"/>
                <w:szCs w:val="20"/>
                <w:lang w:val="en-AU" w:eastAsia="en-AU"/>
              </w:rPr>
              <w:t>f</w:t>
            </w:r>
            <w:r w:rsidRPr="003763AA">
              <w:rPr>
                <w:i/>
                <w:iCs/>
                <w:color w:val="000000"/>
                <w:sz w:val="20"/>
                <w:szCs w:val="20"/>
                <w:vertAlign w:val="subscript"/>
                <w:lang w:val="en-AU" w:eastAsia="en-AU"/>
              </w:rPr>
              <w:t>mult</w:t>
            </w:r>
          </w:p>
        </w:tc>
        <w:tc>
          <w:tcPr>
            <w:tcW w:w="897" w:type="dxa"/>
            <w:tcBorders>
              <w:top w:val="nil"/>
              <w:left w:val="nil"/>
              <w:bottom w:val="nil"/>
              <w:right w:val="nil"/>
            </w:tcBorders>
            <w:shd w:val="clear" w:color="auto" w:fill="auto"/>
            <w:noWrap/>
            <w:vAlign w:val="bottom"/>
            <w:hideMark/>
          </w:tcPr>
          <w:p w14:paraId="4D737D9E"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1.291</w:t>
            </w:r>
          </w:p>
        </w:tc>
        <w:tc>
          <w:tcPr>
            <w:tcW w:w="1368" w:type="dxa"/>
            <w:tcBorders>
              <w:top w:val="nil"/>
              <w:left w:val="nil"/>
              <w:bottom w:val="nil"/>
              <w:right w:val="nil"/>
            </w:tcBorders>
            <w:shd w:val="clear" w:color="auto" w:fill="auto"/>
            <w:noWrap/>
            <w:vAlign w:val="bottom"/>
            <w:hideMark/>
          </w:tcPr>
          <w:p w14:paraId="62A6E898"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1.301</w:t>
            </w:r>
          </w:p>
        </w:tc>
        <w:tc>
          <w:tcPr>
            <w:tcW w:w="1368" w:type="dxa"/>
            <w:tcBorders>
              <w:top w:val="nil"/>
              <w:left w:val="nil"/>
              <w:bottom w:val="nil"/>
              <w:right w:val="nil"/>
            </w:tcBorders>
            <w:shd w:val="clear" w:color="auto" w:fill="auto"/>
            <w:noWrap/>
            <w:vAlign w:val="bottom"/>
            <w:hideMark/>
          </w:tcPr>
          <w:p w14:paraId="3835F306"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0.946</w:t>
            </w:r>
          </w:p>
        </w:tc>
        <w:tc>
          <w:tcPr>
            <w:tcW w:w="1368" w:type="dxa"/>
            <w:tcBorders>
              <w:top w:val="nil"/>
              <w:left w:val="nil"/>
              <w:bottom w:val="nil"/>
              <w:right w:val="nil"/>
            </w:tcBorders>
            <w:shd w:val="clear" w:color="auto" w:fill="auto"/>
            <w:noWrap/>
            <w:vAlign w:val="bottom"/>
            <w:hideMark/>
          </w:tcPr>
          <w:p w14:paraId="08B904ED"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1.075</w:t>
            </w:r>
          </w:p>
        </w:tc>
        <w:tc>
          <w:tcPr>
            <w:tcW w:w="1368" w:type="dxa"/>
            <w:tcBorders>
              <w:top w:val="nil"/>
              <w:left w:val="nil"/>
              <w:bottom w:val="nil"/>
              <w:right w:val="nil"/>
            </w:tcBorders>
            <w:shd w:val="clear" w:color="auto" w:fill="auto"/>
            <w:noWrap/>
            <w:vAlign w:val="bottom"/>
            <w:hideMark/>
          </w:tcPr>
          <w:p w14:paraId="3CFEA01C"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1.499</w:t>
            </w:r>
          </w:p>
        </w:tc>
        <w:tc>
          <w:tcPr>
            <w:tcW w:w="1368" w:type="dxa"/>
            <w:tcBorders>
              <w:top w:val="nil"/>
              <w:left w:val="nil"/>
              <w:bottom w:val="nil"/>
              <w:right w:val="nil"/>
            </w:tcBorders>
            <w:shd w:val="clear" w:color="auto" w:fill="auto"/>
            <w:noWrap/>
            <w:vAlign w:val="bottom"/>
            <w:hideMark/>
          </w:tcPr>
          <w:p w14:paraId="0F512BDD"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1.690</w:t>
            </w:r>
          </w:p>
        </w:tc>
      </w:tr>
      <w:tr w:rsidR="003D217E" w:rsidRPr="003763AA" w14:paraId="2B2CD8B6" w14:textId="77777777" w:rsidTr="001740C5">
        <w:trPr>
          <w:trHeight w:val="280"/>
        </w:trPr>
        <w:tc>
          <w:tcPr>
            <w:tcW w:w="1843" w:type="dxa"/>
            <w:tcBorders>
              <w:top w:val="nil"/>
              <w:left w:val="nil"/>
              <w:bottom w:val="nil"/>
              <w:right w:val="nil"/>
            </w:tcBorders>
            <w:shd w:val="clear" w:color="auto" w:fill="auto"/>
            <w:noWrap/>
            <w:vAlign w:val="bottom"/>
            <w:hideMark/>
          </w:tcPr>
          <w:p w14:paraId="52BE7E72" w14:textId="77777777" w:rsidR="003D217E" w:rsidRPr="003763AA" w:rsidRDefault="003D217E" w:rsidP="001740C5">
            <w:pPr>
              <w:adjustRightInd w:val="0"/>
              <w:snapToGrid w:val="0"/>
              <w:rPr>
                <w:i/>
                <w:color w:val="000000"/>
                <w:sz w:val="20"/>
                <w:szCs w:val="20"/>
                <w:lang w:val="en-AU"/>
              </w:rPr>
            </w:pPr>
            <w:r w:rsidRPr="003763AA">
              <w:rPr>
                <w:i/>
                <w:color w:val="000000"/>
                <w:sz w:val="20"/>
                <w:szCs w:val="20"/>
                <w:lang w:val="en-AU"/>
              </w:rPr>
              <w:t>F</w:t>
            </w:r>
            <w:r w:rsidRPr="003763AA">
              <w:rPr>
                <w:i/>
                <w:color w:val="000000"/>
                <w:sz w:val="20"/>
                <w:szCs w:val="20"/>
                <w:vertAlign w:val="subscript"/>
                <w:lang w:val="en-AU"/>
              </w:rPr>
              <w:t>MSY</w:t>
            </w:r>
          </w:p>
        </w:tc>
        <w:tc>
          <w:tcPr>
            <w:tcW w:w="897" w:type="dxa"/>
            <w:tcBorders>
              <w:top w:val="nil"/>
              <w:left w:val="nil"/>
              <w:bottom w:val="nil"/>
              <w:right w:val="nil"/>
            </w:tcBorders>
            <w:shd w:val="clear" w:color="auto" w:fill="auto"/>
            <w:noWrap/>
            <w:vAlign w:val="bottom"/>
            <w:hideMark/>
          </w:tcPr>
          <w:p w14:paraId="7105CF40"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0.050</w:t>
            </w:r>
          </w:p>
        </w:tc>
        <w:tc>
          <w:tcPr>
            <w:tcW w:w="1368" w:type="dxa"/>
            <w:tcBorders>
              <w:top w:val="nil"/>
              <w:left w:val="nil"/>
              <w:bottom w:val="nil"/>
              <w:right w:val="nil"/>
            </w:tcBorders>
            <w:shd w:val="clear" w:color="auto" w:fill="auto"/>
            <w:noWrap/>
            <w:vAlign w:val="bottom"/>
            <w:hideMark/>
          </w:tcPr>
          <w:p w14:paraId="06ECC36A"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0.049</w:t>
            </w:r>
          </w:p>
        </w:tc>
        <w:tc>
          <w:tcPr>
            <w:tcW w:w="1368" w:type="dxa"/>
            <w:tcBorders>
              <w:top w:val="nil"/>
              <w:left w:val="nil"/>
              <w:bottom w:val="nil"/>
              <w:right w:val="nil"/>
            </w:tcBorders>
            <w:shd w:val="clear" w:color="auto" w:fill="auto"/>
            <w:noWrap/>
            <w:vAlign w:val="bottom"/>
            <w:hideMark/>
          </w:tcPr>
          <w:p w14:paraId="4411620B"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044</w:t>
            </w:r>
          </w:p>
        </w:tc>
        <w:tc>
          <w:tcPr>
            <w:tcW w:w="1368" w:type="dxa"/>
            <w:tcBorders>
              <w:top w:val="nil"/>
              <w:left w:val="nil"/>
              <w:bottom w:val="nil"/>
              <w:right w:val="nil"/>
            </w:tcBorders>
            <w:shd w:val="clear" w:color="auto" w:fill="auto"/>
            <w:noWrap/>
            <w:vAlign w:val="bottom"/>
            <w:hideMark/>
          </w:tcPr>
          <w:p w14:paraId="69EB2419"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045</w:t>
            </w:r>
          </w:p>
        </w:tc>
        <w:tc>
          <w:tcPr>
            <w:tcW w:w="1368" w:type="dxa"/>
            <w:tcBorders>
              <w:top w:val="nil"/>
              <w:left w:val="nil"/>
              <w:bottom w:val="nil"/>
              <w:right w:val="nil"/>
            </w:tcBorders>
            <w:shd w:val="clear" w:color="auto" w:fill="auto"/>
            <w:noWrap/>
            <w:vAlign w:val="bottom"/>
            <w:hideMark/>
          </w:tcPr>
          <w:p w14:paraId="7CD4C6B1"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0.054</w:t>
            </w:r>
          </w:p>
        </w:tc>
        <w:tc>
          <w:tcPr>
            <w:tcW w:w="1368" w:type="dxa"/>
            <w:tcBorders>
              <w:top w:val="nil"/>
              <w:left w:val="nil"/>
              <w:bottom w:val="nil"/>
              <w:right w:val="nil"/>
            </w:tcBorders>
            <w:shd w:val="clear" w:color="auto" w:fill="auto"/>
            <w:noWrap/>
            <w:vAlign w:val="bottom"/>
            <w:hideMark/>
          </w:tcPr>
          <w:p w14:paraId="09D77EEC"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0.056</w:t>
            </w:r>
          </w:p>
        </w:tc>
      </w:tr>
      <w:tr w:rsidR="003D217E" w:rsidRPr="003763AA" w14:paraId="77F9B075" w14:textId="77777777" w:rsidTr="001740C5">
        <w:trPr>
          <w:trHeight w:val="280"/>
        </w:trPr>
        <w:tc>
          <w:tcPr>
            <w:tcW w:w="1843" w:type="dxa"/>
            <w:tcBorders>
              <w:top w:val="nil"/>
              <w:left w:val="nil"/>
              <w:bottom w:val="nil"/>
              <w:right w:val="nil"/>
            </w:tcBorders>
            <w:shd w:val="clear" w:color="auto" w:fill="auto"/>
            <w:noWrap/>
            <w:vAlign w:val="bottom"/>
            <w:hideMark/>
          </w:tcPr>
          <w:p w14:paraId="728281B3" w14:textId="77777777" w:rsidR="003D217E" w:rsidRPr="003763AA" w:rsidRDefault="003D217E" w:rsidP="001740C5">
            <w:pPr>
              <w:adjustRightInd w:val="0"/>
              <w:snapToGrid w:val="0"/>
              <w:rPr>
                <w:i/>
                <w:color w:val="000000"/>
                <w:sz w:val="20"/>
                <w:szCs w:val="20"/>
                <w:lang w:val="en-AU"/>
              </w:rPr>
            </w:pPr>
            <w:r w:rsidRPr="003763AA">
              <w:rPr>
                <w:i/>
                <w:color w:val="000000"/>
                <w:sz w:val="20"/>
                <w:szCs w:val="20"/>
                <w:lang w:val="en-AU" w:eastAsia="en-AU"/>
              </w:rPr>
              <w:t>MSY</w:t>
            </w:r>
          </w:p>
        </w:tc>
        <w:tc>
          <w:tcPr>
            <w:tcW w:w="897" w:type="dxa"/>
            <w:tcBorders>
              <w:top w:val="nil"/>
              <w:left w:val="nil"/>
              <w:bottom w:val="nil"/>
              <w:right w:val="nil"/>
            </w:tcBorders>
            <w:shd w:val="clear" w:color="auto" w:fill="auto"/>
            <w:noWrap/>
            <w:vAlign w:val="bottom"/>
            <w:hideMark/>
          </w:tcPr>
          <w:p w14:paraId="13B6AA17"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158,551</w:t>
            </w:r>
          </w:p>
        </w:tc>
        <w:tc>
          <w:tcPr>
            <w:tcW w:w="1368" w:type="dxa"/>
            <w:tcBorders>
              <w:top w:val="nil"/>
              <w:left w:val="nil"/>
              <w:bottom w:val="nil"/>
              <w:right w:val="nil"/>
            </w:tcBorders>
            <w:shd w:val="clear" w:color="auto" w:fill="auto"/>
            <w:noWrap/>
            <w:vAlign w:val="bottom"/>
            <w:hideMark/>
          </w:tcPr>
          <w:p w14:paraId="61A7E3C9"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159,020</w:t>
            </w:r>
          </w:p>
        </w:tc>
        <w:tc>
          <w:tcPr>
            <w:tcW w:w="1368" w:type="dxa"/>
            <w:tcBorders>
              <w:top w:val="nil"/>
              <w:left w:val="nil"/>
              <w:bottom w:val="nil"/>
              <w:right w:val="nil"/>
            </w:tcBorders>
            <w:shd w:val="clear" w:color="auto" w:fill="auto"/>
            <w:noWrap/>
            <w:vAlign w:val="bottom"/>
            <w:hideMark/>
          </w:tcPr>
          <w:p w14:paraId="00DA6F0A"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133,520</w:t>
            </w:r>
          </w:p>
        </w:tc>
        <w:tc>
          <w:tcPr>
            <w:tcW w:w="1368" w:type="dxa"/>
            <w:tcBorders>
              <w:top w:val="nil"/>
              <w:left w:val="nil"/>
              <w:bottom w:val="nil"/>
              <w:right w:val="nil"/>
            </w:tcBorders>
            <w:shd w:val="clear" w:color="auto" w:fill="auto"/>
            <w:noWrap/>
            <w:vAlign w:val="bottom"/>
            <w:hideMark/>
          </w:tcPr>
          <w:p w14:paraId="56E27E04"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143,040</w:t>
            </w:r>
          </w:p>
        </w:tc>
        <w:tc>
          <w:tcPr>
            <w:tcW w:w="1368" w:type="dxa"/>
            <w:tcBorders>
              <w:top w:val="nil"/>
              <w:left w:val="nil"/>
              <w:bottom w:val="nil"/>
              <w:right w:val="nil"/>
            </w:tcBorders>
            <w:shd w:val="clear" w:color="auto" w:fill="auto"/>
            <w:noWrap/>
            <w:vAlign w:val="bottom"/>
            <w:hideMark/>
          </w:tcPr>
          <w:p w14:paraId="4A093FD0"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173,880</w:t>
            </w:r>
          </w:p>
        </w:tc>
        <w:tc>
          <w:tcPr>
            <w:tcW w:w="1368" w:type="dxa"/>
            <w:tcBorders>
              <w:top w:val="nil"/>
              <w:left w:val="nil"/>
              <w:bottom w:val="nil"/>
              <w:right w:val="nil"/>
            </w:tcBorders>
            <w:shd w:val="clear" w:color="auto" w:fill="auto"/>
            <w:noWrap/>
            <w:vAlign w:val="bottom"/>
            <w:hideMark/>
          </w:tcPr>
          <w:p w14:paraId="5FE1E421"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180,120</w:t>
            </w:r>
          </w:p>
        </w:tc>
      </w:tr>
      <w:tr w:rsidR="003D217E" w:rsidRPr="003763AA" w14:paraId="5E294FBD" w14:textId="77777777" w:rsidTr="001740C5">
        <w:trPr>
          <w:trHeight w:val="280"/>
        </w:trPr>
        <w:tc>
          <w:tcPr>
            <w:tcW w:w="1843" w:type="dxa"/>
            <w:tcBorders>
              <w:top w:val="nil"/>
              <w:left w:val="nil"/>
              <w:bottom w:val="nil"/>
              <w:right w:val="nil"/>
            </w:tcBorders>
            <w:shd w:val="clear" w:color="auto" w:fill="auto"/>
            <w:noWrap/>
            <w:vAlign w:val="bottom"/>
            <w:hideMark/>
          </w:tcPr>
          <w:p w14:paraId="40F37CFA" w14:textId="77777777" w:rsidR="003D217E" w:rsidRPr="003763AA" w:rsidRDefault="003D217E" w:rsidP="001740C5">
            <w:pPr>
              <w:adjustRightInd w:val="0"/>
              <w:snapToGrid w:val="0"/>
              <w:rPr>
                <w:i/>
                <w:color w:val="000000"/>
                <w:sz w:val="20"/>
                <w:szCs w:val="20"/>
                <w:lang w:val="en-AU"/>
              </w:rPr>
            </w:pPr>
            <w:r w:rsidRPr="003763AA">
              <w:rPr>
                <w:i/>
                <w:color w:val="000000"/>
                <w:sz w:val="20"/>
                <w:szCs w:val="20"/>
                <w:lang w:val="en-AU"/>
              </w:rPr>
              <w:t>F</w:t>
            </w:r>
            <w:r w:rsidRPr="003763AA">
              <w:rPr>
                <w:i/>
                <w:color w:val="000000"/>
                <w:sz w:val="20"/>
                <w:szCs w:val="20"/>
                <w:vertAlign w:val="subscript"/>
                <w:lang w:val="en-AU"/>
              </w:rPr>
              <w:t>recent</w:t>
            </w:r>
            <w:r w:rsidRPr="003763AA">
              <w:rPr>
                <w:i/>
                <w:color w:val="000000"/>
                <w:sz w:val="20"/>
                <w:szCs w:val="20"/>
                <w:lang w:val="en-AU"/>
              </w:rPr>
              <w:t>/F</w:t>
            </w:r>
            <w:r w:rsidRPr="003763AA">
              <w:rPr>
                <w:i/>
                <w:color w:val="000000"/>
                <w:sz w:val="20"/>
                <w:szCs w:val="20"/>
                <w:vertAlign w:val="subscript"/>
                <w:lang w:val="en-AU"/>
              </w:rPr>
              <w:t>MSY</w:t>
            </w:r>
          </w:p>
        </w:tc>
        <w:tc>
          <w:tcPr>
            <w:tcW w:w="897" w:type="dxa"/>
            <w:tcBorders>
              <w:top w:val="nil"/>
              <w:left w:val="nil"/>
              <w:bottom w:val="nil"/>
              <w:right w:val="nil"/>
            </w:tcBorders>
            <w:shd w:val="clear" w:color="auto" w:fill="auto"/>
            <w:noWrap/>
            <w:vAlign w:val="bottom"/>
            <w:hideMark/>
          </w:tcPr>
          <w:p w14:paraId="580E620E"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789</w:t>
            </w:r>
          </w:p>
        </w:tc>
        <w:tc>
          <w:tcPr>
            <w:tcW w:w="1368" w:type="dxa"/>
            <w:tcBorders>
              <w:top w:val="nil"/>
              <w:left w:val="nil"/>
              <w:bottom w:val="nil"/>
              <w:right w:val="nil"/>
            </w:tcBorders>
            <w:shd w:val="clear" w:color="auto" w:fill="auto"/>
            <w:noWrap/>
            <w:vAlign w:val="bottom"/>
            <w:hideMark/>
          </w:tcPr>
          <w:p w14:paraId="3AD487C1"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768</w:t>
            </w:r>
          </w:p>
        </w:tc>
        <w:tc>
          <w:tcPr>
            <w:tcW w:w="1368" w:type="dxa"/>
            <w:tcBorders>
              <w:top w:val="nil"/>
              <w:left w:val="nil"/>
              <w:bottom w:val="nil"/>
              <w:right w:val="nil"/>
            </w:tcBorders>
            <w:shd w:val="clear" w:color="auto" w:fill="auto"/>
            <w:noWrap/>
            <w:vAlign w:val="bottom"/>
            <w:hideMark/>
          </w:tcPr>
          <w:p w14:paraId="0668DAB2"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592</w:t>
            </w:r>
          </w:p>
        </w:tc>
        <w:tc>
          <w:tcPr>
            <w:tcW w:w="1368" w:type="dxa"/>
            <w:tcBorders>
              <w:top w:val="nil"/>
              <w:left w:val="nil"/>
              <w:bottom w:val="nil"/>
              <w:right w:val="nil"/>
            </w:tcBorders>
            <w:shd w:val="clear" w:color="auto" w:fill="auto"/>
            <w:noWrap/>
            <w:vAlign w:val="bottom"/>
            <w:hideMark/>
          </w:tcPr>
          <w:p w14:paraId="7F9AA17F"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667</w:t>
            </w:r>
          </w:p>
        </w:tc>
        <w:tc>
          <w:tcPr>
            <w:tcW w:w="1368" w:type="dxa"/>
            <w:tcBorders>
              <w:top w:val="nil"/>
              <w:left w:val="nil"/>
              <w:bottom w:val="nil"/>
              <w:right w:val="nil"/>
            </w:tcBorders>
            <w:shd w:val="clear" w:color="auto" w:fill="auto"/>
            <w:noWrap/>
            <w:vAlign w:val="bottom"/>
            <w:hideMark/>
          </w:tcPr>
          <w:p w14:paraId="6A32863C"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0.931</w:t>
            </w:r>
          </w:p>
        </w:tc>
        <w:tc>
          <w:tcPr>
            <w:tcW w:w="1368" w:type="dxa"/>
            <w:tcBorders>
              <w:top w:val="nil"/>
              <w:left w:val="nil"/>
              <w:bottom w:val="nil"/>
              <w:right w:val="nil"/>
            </w:tcBorders>
            <w:shd w:val="clear" w:color="auto" w:fill="auto"/>
            <w:noWrap/>
            <w:vAlign w:val="bottom"/>
            <w:hideMark/>
          </w:tcPr>
          <w:p w14:paraId="2F54AACD"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1.</w:t>
            </w:r>
            <w:r w:rsidRPr="003763AA">
              <w:rPr>
                <w:color w:val="000000"/>
                <w:sz w:val="20"/>
                <w:szCs w:val="20"/>
                <w:lang w:val="en-AU" w:eastAsia="en-AU"/>
              </w:rPr>
              <w:t>058</w:t>
            </w:r>
          </w:p>
        </w:tc>
      </w:tr>
      <w:tr w:rsidR="003D217E" w:rsidRPr="003763AA" w14:paraId="40C6B0A4" w14:textId="77777777" w:rsidTr="001740C5">
        <w:trPr>
          <w:trHeight w:val="280"/>
        </w:trPr>
        <w:tc>
          <w:tcPr>
            <w:tcW w:w="1843" w:type="dxa"/>
            <w:tcBorders>
              <w:top w:val="nil"/>
              <w:left w:val="nil"/>
              <w:bottom w:val="nil"/>
              <w:right w:val="nil"/>
            </w:tcBorders>
            <w:shd w:val="clear" w:color="auto" w:fill="auto"/>
            <w:noWrap/>
            <w:vAlign w:val="bottom"/>
            <w:hideMark/>
          </w:tcPr>
          <w:p w14:paraId="71E4FA9F" w14:textId="77777777" w:rsidR="003D217E" w:rsidRPr="003763AA" w:rsidRDefault="003D217E" w:rsidP="001740C5">
            <w:pPr>
              <w:adjustRightInd w:val="0"/>
              <w:snapToGrid w:val="0"/>
              <w:rPr>
                <w:i/>
                <w:color w:val="000000"/>
                <w:sz w:val="20"/>
                <w:szCs w:val="20"/>
                <w:vertAlign w:val="subscript"/>
                <w:lang w:val="en-AU"/>
              </w:rPr>
            </w:pPr>
            <w:r w:rsidRPr="003763AA">
              <w:rPr>
                <w:i/>
                <w:iCs/>
                <w:color w:val="000000"/>
                <w:sz w:val="20"/>
                <w:szCs w:val="20"/>
                <w:lang w:val="en-AU" w:eastAsia="en-AU"/>
              </w:rPr>
              <w:t>SB</w:t>
            </w:r>
            <w:r w:rsidRPr="003763AA">
              <w:rPr>
                <w:i/>
                <w:iCs/>
                <w:color w:val="000000"/>
                <w:sz w:val="20"/>
                <w:szCs w:val="20"/>
                <w:vertAlign w:val="subscript"/>
                <w:lang w:val="en-AU" w:eastAsia="en-AU"/>
              </w:rPr>
              <w:t>0</w:t>
            </w:r>
          </w:p>
        </w:tc>
        <w:tc>
          <w:tcPr>
            <w:tcW w:w="897" w:type="dxa"/>
            <w:tcBorders>
              <w:top w:val="nil"/>
              <w:left w:val="nil"/>
              <w:bottom w:val="nil"/>
              <w:right w:val="nil"/>
            </w:tcBorders>
            <w:shd w:val="clear" w:color="auto" w:fill="auto"/>
            <w:noWrap/>
            <w:vAlign w:val="bottom"/>
            <w:hideMark/>
          </w:tcPr>
          <w:p w14:paraId="786F945A"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1,674,833</w:t>
            </w:r>
          </w:p>
        </w:tc>
        <w:tc>
          <w:tcPr>
            <w:tcW w:w="1368" w:type="dxa"/>
            <w:tcBorders>
              <w:top w:val="nil"/>
              <w:left w:val="nil"/>
              <w:bottom w:val="nil"/>
              <w:right w:val="nil"/>
            </w:tcBorders>
            <w:shd w:val="clear" w:color="auto" w:fill="auto"/>
            <w:noWrap/>
            <w:vAlign w:val="bottom"/>
            <w:hideMark/>
          </w:tcPr>
          <w:p w14:paraId="6B9B44CB"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1,675,500</w:t>
            </w:r>
          </w:p>
        </w:tc>
        <w:tc>
          <w:tcPr>
            <w:tcW w:w="1368" w:type="dxa"/>
            <w:tcBorders>
              <w:top w:val="nil"/>
              <w:left w:val="nil"/>
              <w:bottom w:val="nil"/>
              <w:right w:val="nil"/>
            </w:tcBorders>
            <w:shd w:val="clear" w:color="auto" w:fill="auto"/>
            <w:noWrap/>
            <w:vAlign w:val="bottom"/>
            <w:hideMark/>
          </w:tcPr>
          <w:p w14:paraId="3EAB0294"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1,261,000</w:t>
            </w:r>
          </w:p>
        </w:tc>
        <w:tc>
          <w:tcPr>
            <w:tcW w:w="1368" w:type="dxa"/>
            <w:tcBorders>
              <w:top w:val="nil"/>
              <w:left w:val="nil"/>
              <w:bottom w:val="nil"/>
              <w:right w:val="nil"/>
            </w:tcBorders>
            <w:shd w:val="clear" w:color="auto" w:fill="auto"/>
            <w:noWrap/>
            <w:vAlign w:val="bottom"/>
            <w:hideMark/>
          </w:tcPr>
          <w:p w14:paraId="418EB1B8"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1,415,500</w:t>
            </w:r>
          </w:p>
        </w:tc>
        <w:tc>
          <w:tcPr>
            <w:tcW w:w="1368" w:type="dxa"/>
            <w:tcBorders>
              <w:top w:val="nil"/>
              <w:left w:val="nil"/>
              <w:bottom w:val="nil"/>
              <w:right w:val="nil"/>
            </w:tcBorders>
            <w:shd w:val="clear" w:color="auto" w:fill="auto"/>
            <w:noWrap/>
            <w:vAlign w:val="bottom"/>
            <w:hideMark/>
          </w:tcPr>
          <w:p w14:paraId="1A44C466"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1,941,000</w:t>
            </w:r>
          </w:p>
        </w:tc>
        <w:tc>
          <w:tcPr>
            <w:tcW w:w="1368" w:type="dxa"/>
            <w:tcBorders>
              <w:top w:val="nil"/>
              <w:left w:val="nil"/>
              <w:bottom w:val="nil"/>
              <w:right w:val="nil"/>
            </w:tcBorders>
            <w:shd w:val="clear" w:color="auto" w:fill="auto"/>
            <w:noWrap/>
            <w:vAlign w:val="bottom"/>
            <w:hideMark/>
          </w:tcPr>
          <w:p w14:paraId="5B2F4DC0"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2,085</w:t>
            </w:r>
            <w:r w:rsidRPr="003763AA">
              <w:rPr>
                <w:color w:val="000000"/>
                <w:sz w:val="20"/>
                <w:szCs w:val="20"/>
                <w:lang w:val="en-AU"/>
              </w:rPr>
              <w:t>,000</w:t>
            </w:r>
          </w:p>
        </w:tc>
      </w:tr>
      <w:tr w:rsidR="003D217E" w:rsidRPr="003763AA" w14:paraId="1DAB5F7F" w14:textId="77777777" w:rsidTr="001740C5">
        <w:trPr>
          <w:trHeight w:val="280"/>
        </w:trPr>
        <w:tc>
          <w:tcPr>
            <w:tcW w:w="1843" w:type="dxa"/>
            <w:tcBorders>
              <w:top w:val="nil"/>
              <w:left w:val="nil"/>
              <w:bottom w:val="nil"/>
              <w:right w:val="nil"/>
            </w:tcBorders>
            <w:shd w:val="clear" w:color="auto" w:fill="auto"/>
            <w:noWrap/>
            <w:vAlign w:val="bottom"/>
            <w:hideMark/>
          </w:tcPr>
          <w:p w14:paraId="21736104" w14:textId="77777777" w:rsidR="003D217E" w:rsidRPr="003763AA" w:rsidRDefault="003D217E" w:rsidP="001740C5">
            <w:pPr>
              <w:adjustRightInd w:val="0"/>
              <w:snapToGrid w:val="0"/>
              <w:rPr>
                <w:i/>
                <w:color w:val="000000"/>
                <w:sz w:val="20"/>
                <w:szCs w:val="20"/>
                <w:lang w:val="en-AU"/>
              </w:rPr>
            </w:pPr>
            <w:r w:rsidRPr="003763AA">
              <w:rPr>
                <w:i/>
                <w:color w:val="000000"/>
                <w:sz w:val="20"/>
                <w:szCs w:val="20"/>
                <w:lang w:val="en-AU"/>
              </w:rPr>
              <w:t>SB</w:t>
            </w:r>
            <w:r w:rsidRPr="003763AA">
              <w:rPr>
                <w:i/>
                <w:color w:val="000000"/>
                <w:sz w:val="20"/>
                <w:szCs w:val="20"/>
                <w:vertAlign w:val="subscript"/>
                <w:lang w:val="en-AU"/>
              </w:rPr>
              <w:t>F=0</w:t>
            </w:r>
          </w:p>
        </w:tc>
        <w:tc>
          <w:tcPr>
            <w:tcW w:w="897" w:type="dxa"/>
            <w:tcBorders>
              <w:top w:val="nil"/>
              <w:left w:val="nil"/>
              <w:bottom w:val="nil"/>
              <w:right w:val="nil"/>
            </w:tcBorders>
            <w:shd w:val="clear" w:color="auto" w:fill="auto"/>
            <w:noWrap/>
            <w:vAlign w:val="bottom"/>
            <w:hideMark/>
          </w:tcPr>
          <w:p w14:paraId="625D9D55"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1,</w:t>
            </w:r>
            <w:r w:rsidRPr="003763AA">
              <w:rPr>
                <w:color w:val="000000"/>
                <w:sz w:val="20"/>
                <w:szCs w:val="20"/>
                <w:lang w:val="en-AU" w:eastAsia="en-AU"/>
              </w:rPr>
              <w:t>841,609</w:t>
            </w:r>
          </w:p>
        </w:tc>
        <w:tc>
          <w:tcPr>
            <w:tcW w:w="1368" w:type="dxa"/>
            <w:tcBorders>
              <w:top w:val="nil"/>
              <w:left w:val="nil"/>
              <w:bottom w:val="nil"/>
              <w:right w:val="nil"/>
            </w:tcBorders>
            <w:shd w:val="clear" w:color="auto" w:fill="auto"/>
            <w:noWrap/>
            <w:vAlign w:val="bottom"/>
            <w:hideMark/>
          </w:tcPr>
          <w:p w14:paraId="3C69BFA3"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1,</w:t>
            </w:r>
            <w:r w:rsidRPr="003763AA">
              <w:rPr>
                <w:color w:val="000000"/>
                <w:sz w:val="20"/>
                <w:szCs w:val="20"/>
                <w:lang w:val="en-AU" w:eastAsia="en-AU"/>
              </w:rPr>
              <w:t>858,775</w:t>
            </w:r>
          </w:p>
        </w:tc>
        <w:tc>
          <w:tcPr>
            <w:tcW w:w="1368" w:type="dxa"/>
            <w:tcBorders>
              <w:top w:val="nil"/>
              <w:left w:val="nil"/>
              <w:bottom w:val="nil"/>
              <w:right w:val="nil"/>
            </w:tcBorders>
            <w:shd w:val="clear" w:color="auto" w:fill="auto"/>
            <w:noWrap/>
            <w:vAlign w:val="bottom"/>
            <w:hideMark/>
          </w:tcPr>
          <w:p w14:paraId="3FE9B06C"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1,</w:t>
            </w:r>
            <w:r w:rsidRPr="003763AA">
              <w:rPr>
                <w:color w:val="000000"/>
                <w:sz w:val="20"/>
                <w:szCs w:val="20"/>
                <w:lang w:val="en-AU" w:eastAsia="en-AU"/>
              </w:rPr>
              <w:t>509,007</w:t>
            </w:r>
          </w:p>
        </w:tc>
        <w:tc>
          <w:tcPr>
            <w:tcW w:w="1368" w:type="dxa"/>
            <w:tcBorders>
              <w:top w:val="nil"/>
              <w:left w:val="nil"/>
              <w:bottom w:val="nil"/>
              <w:right w:val="nil"/>
            </w:tcBorders>
            <w:shd w:val="clear" w:color="auto" w:fill="auto"/>
            <w:noWrap/>
            <w:vAlign w:val="bottom"/>
            <w:hideMark/>
          </w:tcPr>
          <w:p w14:paraId="032201C5"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1,</w:t>
            </w:r>
            <w:r w:rsidRPr="003763AA">
              <w:rPr>
                <w:color w:val="000000"/>
                <w:sz w:val="20"/>
                <w:szCs w:val="20"/>
                <w:lang w:val="en-AU" w:eastAsia="en-AU"/>
              </w:rPr>
              <w:t>632,014</w:t>
            </w:r>
          </w:p>
        </w:tc>
        <w:tc>
          <w:tcPr>
            <w:tcW w:w="1368" w:type="dxa"/>
            <w:tcBorders>
              <w:top w:val="nil"/>
              <w:left w:val="nil"/>
              <w:bottom w:val="nil"/>
              <w:right w:val="nil"/>
            </w:tcBorders>
            <w:shd w:val="clear" w:color="auto" w:fill="auto"/>
            <w:noWrap/>
            <w:vAlign w:val="bottom"/>
            <w:hideMark/>
          </w:tcPr>
          <w:p w14:paraId="4AAA9092"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2,</w:t>
            </w:r>
            <w:r w:rsidRPr="003763AA">
              <w:rPr>
                <w:color w:val="000000"/>
                <w:sz w:val="20"/>
                <w:szCs w:val="20"/>
                <w:lang w:val="en-AU" w:eastAsia="en-AU"/>
              </w:rPr>
              <w:t>043,108</w:t>
            </w:r>
          </w:p>
        </w:tc>
        <w:tc>
          <w:tcPr>
            <w:tcW w:w="1368" w:type="dxa"/>
            <w:tcBorders>
              <w:top w:val="nil"/>
              <w:left w:val="nil"/>
              <w:bottom w:val="nil"/>
              <w:right w:val="nil"/>
            </w:tcBorders>
            <w:shd w:val="clear" w:color="auto" w:fill="auto"/>
            <w:noWrap/>
            <w:vAlign w:val="bottom"/>
            <w:hideMark/>
          </w:tcPr>
          <w:p w14:paraId="0C791F1D"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2,</w:t>
            </w:r>
            <w:r w:rsidRPr="003763AA">
              <w:rPr>
                <w:color w:val="000000"/>
                <w:sz w:val="20"/>
                <w:szCs w:val="20"/>
                <w:lang w:val="en-AU" w:eastAsia="en-AU"/>
              </w:rPr>
              <w:t>139,644</w:t>
            </w:r>
          </w:p>
        </w:tc>
      </w:tr>
      <w:tr w:rsidR="003D217E" w:rsidRPr="003763AA" w14:paraId="665278D5" w14:textId="77777777" w:rsidTr="001740C5">
        <w:trPr>
          <w:trHeight w:val="280"/>
        </w:trPr>
        <w:tc>
          <w:tcPr>
            <w:tcW w:w="1843" w:type="dxa"/>
            <w:tcBorders>
              <w:top w:val="nil"/>
              <w:left w:val="nil"/>
              <w:bottom w:val="nil"/>
              <w:right w:val="nil"/>
            </w:tcBorders>
            <w:shd w:val="clear" w:color="auto" w:fill="auto"/>
            <w:noWrap/>
            <w:vAlign w:val="bottom"/>
            <w:hideMark/>
          </w:tcPr>
          <w:p w14:paraId="527B5B4F" w14:textId="77777777" w:rsidR="003D217E" w:rsidRPr="003763AA" w:rsidRDefault="003D217E" w:rsidP="001740C5">
            <w:pPr>
              <w:adjustRightInd w:val="0"/>
              <w:snapToGrid w:val="0"/>
              <w:rPr>
                <w:i/>
                <w:color w:val="000000"/>
                <w:sz w:val="20"/>
                <w:szCs w:val="20"/>
                <w:lang w:val="en-AU"/>
              </w:rPr>
            </w:pPr>
            <w:r w:rsidRPr="003763AA">
              <w:rPr>
                <w:i/>
                <w:color w:val="000000"/>
                <w:sz w:val="20"/>
                <w:szCs w:val="20"/>
                <w:lang w:val="en-AU"/>
              </w:rPr>
              <w:t>SB</w:t>
            </w:r>
            <w:r w:rsidRPr="003763AA">
              <w:rPr>
                <w:i/>
                <w:color w:val="000000"/>
                <w:sz w:val="20"/>
                <w:szCs w:val="20"/>
                <w:vertAlign w:val="subscript"/>
                <w:lang w:val="en-AU"/>
              </w:rPr>
              <w:t>MSY</w:t>
            </w:r>
          </w:p>
        </w:tc>
        <w:tc>
          <w:tcPr>
            <w:tcW w:w="897" w:type="dxa"/>
            <w:tcBorders>
              <w:top w:val="nil"/>
              <w:left w:val="nil"/>
              <w:bottom w:val="nil"/>
              <w:right w:val="nil"/>
            </w:tcBorders>
            <w:shd w:val="clear" w:color="auto" w:fill="auto"/>
            <w:noWrap/>
            <w:vAlign w:val="bottom"/>
            <w:hideMark/>
          </w:tcPr>
          <w:p w14:paraId="616ACD2C"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471,956</w:t>
            </w:r>
          </w:p>
        </w:tc>
        <w:tc>
          <w:tcPr>
            <w:tcW w:w="1368" w:type="dxa"/>
            <w:tcBorders>
              <w:top w:val="nil"/>
              <w:left w:val="nil"/>
              <w:bottom w:val="nil"/>
              <w:right w:val="nil"/>
            </w:tcBorders>
            <w:shd w:val="clear" w:color="auto" w:fill="auto"/>
            <w:noWrap/>
            <w:vAlign w:val="bottom"/>
            <w:hideMark/>
          </w:tcPr>
          <w:p w14:paraId="594E0B44"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476,050</w:t>
            </w:r>
          </w:p>
        </w:tc>
        <w:tc>
          <w:tcPr>
            <w:tcW w:w="1368" w:type="dxa"/>
            <w:tcBorders>
              <w:top w:val="nil"/>
              <w:left w:val="nil"/>
              <w:bottom w:val="nil"/>
              <w:right w:val="nil"/>
            </w:tcBorders>
            <w:shd w:val="clear" w:color="auto" w:fill="auto"/>
            <w:noWrap/>
            <w:vAlign w:val="bottom"/>
            <w:hideMark/>
          </w:tcPr>
          <w:p w14:paraId="22131A54"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340,700</w:t>
            </w:r>
          </w:p>
        </w:tc>
        <w:tc>
          <w:tcPr>
            <w:tcW w:w="1368" w:type="dxa"/>
            <w:tcBorders>
              <w:top w:val="nil"/>
              <w:left w:val="nil"/>
              <w:bottom w:val="nil"/>
              <w:right w:val="nil"/>
            </w:tcBorders>
            <w:shd w:val="clear" w:color="auto" w:fill="auto"/>
            <w:noWrap/>
            <w:vAlign w:val="bottom"/>
            <w:hideMark/>
          </w:tcPr>
          <w:p w14:paraId="51E5CE33"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386,600</w:t>
            </w:r>
          </w:p>
        </w:tc>
        <w:tc>
          <w:tcPr>
            <w:tcW w:w="1368" w:type="dxa"/>
            <w:tcBorders>
              <w:top w:val="nil"/>
              <w:left w:val="nil"/>
              <w:bottom w:val="nil"/>
              <w:right w:val="nil"/>
            </w:tcBorders>
            <w:shd w:val="clear" w:color="auto" w:fill="auto"/>
            <w:noWrap/>
            <w:vAlign w:val="bottom"/>
            <w:hideMark/>
          </w:tcPr>
          <w:p w14:paraId="78245184"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577,400</w:t>
            </w:r>
          </w:p>
        </w:tc>
        <w:tc>
          <w:tcPr>
            <w:tcW w:w="1368" w:type="dxa"/>
            <w:tcBorders>
              <w:top w:val="nil"/>
              <w:left w:val="nil"/>
              <w:bottom w:val="nil"/>
              <w:right w:val="nil"/>
            </w:tcBorders>
            <w:shd w:val="clear" w:color="auto" w:fill="auto"/>
            <w:noWrap/>
            <w:vAlign w:val="bottom"/>
            <w:hideMark/>
          </w:tcPr>
          <w:p w14:paraId="245830BD"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614,200</w:t>
            </w:r>
          </w:p>
        </w:tc>
      </w:tr>
      <w:tr w:rsidR="003D217E" w:rsidRPr="003763AA" w14:paraId="17CFE929" w14:textId="77777777" w:rsidTr="001740C5">
        <w:trPr>
          <w:trHeight w:val="280"/>
        </w:trPr>
        <w:tc>
          <w:tcPr>
            <w:tcW w:w="1843" w:type="dxa"/>
            <w:tcBorders>
              <w:top w:val="nil"/>
              <w:left w:val="nil"/>
              <w:bottom w:val="nil"/>
              <w:right w:val="nil"/>
            </w:tcBorders>
            <w:shd w:val="clear" w:color="auto" w:fill="auto"/>
            <w:noWrap/>
            <w:vAlign w:val="bottom"/>
            <w:hideMark/>
          </w:tcPr>
          <w:p w14:paraId="04F269BC" w14:textId="77777777" w:rsidR="003D217E" w:rsidRPr="003763AA" w:rsidRDefault="003D217E" w:rsidP="001740C5">
            <w:pPr>
              <w:widowControl w:val="0"/>
              <w:autoSpaceDE w:val="0"/>
              <w:autoSpaceDN w:val="0"/>
              <w:adjustRightInd w:val="0"/>
              <w:snapToGrid w:val="0"/>
              <w:rPr>
                <w:i/>
                <w:color w:val="000000"/>
                <w:sz w:val="20"/>
                <w:szCs w:val="20"/>
                <w:lang w:val="en-AU"/>
              </w:rPr>
            </w:pPr>
            <w:r w:rsidRPr="003763AA">
              <w:rPr>
                <w:i/>
                <w:color w:val="000000"/>
                <w:sz w:val="20"/>
                <w:szCs w:val="20"/>
                <w:lang w:val="en-AU"/>
              </w:rPr>
              <w:t>SB</w:t>
            </w:r>
            <w:r w:rsidRPr="003763AA">
              <w:rPr>
                <w:i/>
                <w:color w:val="000000"/>
                <w:sz w:val="20"/>
                <w:szCs w:val="20"/>
                <w:vertAlign w:val="subscript"/>
                <w:lang w:val="en-AU"/>
              </w:rPr>
              <w:t>MSY</w:t>
            </w:r>
            <w:r w:rsidRPr="003763AA">
              <w:rPr>
                <w:i/>
                <w:color w:val="000000"/>
                <w:sz w:val="20"/>
                <w:szCs w:val="20"/>
                <w:lang w:val="en-AU"/>
              </w:rPr>
              <w:t>/SB</w:t>
            </w:r>
            <w:r w:rsidRPr="003763AA">
              <w:rPr>
                <w:i/>
                <w:color w:val="000000"/>
                <w:sz w:val="20"/>
                <w:szCs w:val="20"/>
                <w:vertAlign w:val="subscript"/>
                <w:lang w:val="en-AU"/>
              </w:rPr>
              <w:t>0</w:t>
            </w:r>
          </w:p>
        </w:tc>
        <w:tc>
          <w:tcPr>
            <w:tcW w:w="897" w:type="dxa"/>
            <w:tcBorders>
              <w:top w:val="nil"/>
              <w:left w:val="nil"/>
              <w:bottom w:val="nil"/>
              <w:right w:val="nil"/>
            </w:tcBorders>
            <w:shd w:val="clear" w:color="auto" w:fill="auto"/>
            <w:noWrap/>
            <w:vAlign w:val="bottom"/>
            <w:hideMark/>
          </w:tcPr>
          <w:p w14:paraId="62CF096B"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0.281</w:t>
            </w:r>
          </w:p>
        </w:tc>
        <w:tc>
          <w:tcPr>
            <w:tcW w:w="1368" w:type="dxa"/>
            <w:tcBorders>
              <w:top w:val="nil"/>
              <w:left w:val="nil"/>
              <w:bottom w:val="nil"/>
              <w:right w:val="nil"/>
            </w:tcBorders>
            <w:shd w:val="clear" w:color="auto" w:fill="auto"/>
            <w:noWrap/>
            <w:vAlign w:val="bottom"/>
            <w:hideMark/>
          </w:tcPr>
          <w:p w14:paraId="3BA92995"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0.280</w:t>
            </w:r>
          </w:p>
        </w:tc>
        <w:tc>
          <w:tcPr>
            <w:tcW w:w="1368" w:type="dxa"/>
            <w:tcBorders>
              <w:top w:val="nil"/>
              <w:left w:val="nil"/>
              <w:bottom w:val="nil"/>
              <w:right w:val="nil"/>
            </w:tcBorders>
            <w:shd w:val="clear" w:color="auto" w:fill="auto"/>
            <w:noWrap/>
            <w:vAlign w:val="bottom"/>
            <w:hideMark/>
          </w:tcPr>
          <w:p w14:paraId="63AD1F8E"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0.260</w:t>
            </w:r>
          </w:p>
        </w:tc>
        <w:tc>
          <w:tcPr>
            <w:tcW w:w="1368" w:type="dxa"/>
            <w:tcBorders>
              <w:top w:val="nil"/>
              <w:left w:val="nil"/>
              <w:bottom w:val="nil"/>
              <w:right w:val="nil"/>
            </w:tcBorders>
            <w:shd w:val="clear" w:color="auto" w:fill="auto"/>
            <w:noWrap/>
            <w:vAlign w:val="bottom"/>
            <w:hideMark/>
          </w:tcPr>
          <w:p w14:paraId="03A0700B"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0.262</w:t>
            </w:r>
          </w:p>
        </w:tc>
        <w:tc>
          <w:tcPr>
            <w:tcW w:w="1368" w:type="dxa"/>
            <w:tcBorders>
              <w:top w:val="nil"/>
              <w:left w:val="nil"/>
              <w:bottom w:val="nil"/>
              <w:right w:val="nil"/>
            </w:tcBorders>
            <w:shd w:val="clear" w:color="auto" w:fill="auto"/>
            <w:noWrap/>
            <w:vAlign w:val="bottom"/>
            <w:hideMark/>
          </w:tcPr>
          <w:p w14:paraId="3CF70739"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0.300</w:t>
            </w:r>
          </w:p>
        </w:tc>
        <w:tc>
          <w:tcPr>
            <w:tcW w:w="1368" w:type="dxa"/>
            <w:tcBorders>
              <w:top w:val="nil"/>
              <w:left w:val="nil"/>
              <w:bottom w:val="nil"/>
              <w:right w:val="nil"/>
            </w:tcBorders>
            <w:shd w:val="clear" w:color="auto" w:fill="auto"/>
            <w:noWrap/>
            <w:vAlign w:val="bottom"/>
            <w:hideMark/>
          </w:tcPr>
          <w:p w14:paraId="6BDCFC82"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0.302</w:t>
            </w:r>
          </w:p>
        </w:tc>
      </w:tr>
      <w:tr w:rsidR="003D217E" w:rsidRPr="003763AA" w14:paraId="2DDD06F2" w14:textId="77777777" w:rsidTr="001740C5">
        <w:trPr>
          <w:trHeight w:val="280"/>
        </w:trPr>
        <w:tc>
          <w:tcPr>
            <w:tcW w:w="1843" w:type="dxa"/>
            <w:tcBorders>
              <w:top w:val="nil"/>
              <w:left w:val="nil"/>
              <w:bottom w:val="nil"/>
              <w:right w:val="nil"/>
            </w:tcBorders>
            <w:shd w:val="clear" w:color="auto" w:fill="auto"/>
            <w:noWrap/>
            <w:vAlign w:val="bottom"/>
            <w:hideMark/>
          </w:tcPr>
          <w:p w14:paraId="1E308CF5" w14:textId="77777777" w:rsidR="003D217E" w:rsidRPr="003763AA" w:rsidRDefault="003D217E" w:rsidP="001740C5">
            <w:pPr>
              <w:widowControl w:val="0"/>
              <w:autoSpaceDE w:val="0"/>
              <w:autoSpaceDN w:val="0"/>
              <w:adjustRightInd w:val="0"/>
              <w:snapToGrid w:val="0"/>
              <w:rPr>
                <w:i/>
                <w:color w:val="000000"/>
                <w:sz w:val="20"/>
                <w:szCs w:val="20"/>
                <w:lang w:val="en-AU"/>
              </w:rPr>
            </w:pPr>
            <w:r w:rsidRPr="003763AA">
              <w:rPr>
                <w:i/>
                <w:color w:val="000000"/>
                <w:sz w:val="20"/>
                <w:szCs w:val="20"/>
                <w:lang w:val="en-AU"/>
              </w:rPr>
              <w:t>SB</w:t>
            </w:r>
            <w:r w:rsidRPr="003763AA">
              <w:rPr>
                <w:i/>
                <w:color w:val="000000"/>
                <w:sz w:val="20"/>
                <w:szCs w:val="20"/>
                <w:vertAlign w:val="subscript"/>
                <w:lang w:val="en-AU"/>
              </w:rPr>
              <w:t>MSY</w:t>
            </w:r>
            <w:r w:rsidRPr="003763AA">
              <w:rPr>
                <w:i/>
                <w:color w:val="000000"/>
                <w:sz w:val="20"/>
                <w:szCs w:val="20"/>
                <w:lang w:val="en-AU"/>
              </w:rPr>
              <w:t>/SB</w:t>
            </w:r>
            <w:r w:rsidRPr="003763AA">
              <w:rPr>
                <w:i/>
                <w:color w:val="000000"/>
                <w:sz w:val="20"/>
                <w:szCs w:val="20"/>
                <w:vertAlign w:val="subscript"/>
                <w:lang w:val="en-AU"/>
              </w:rPr>
              <w:t>F=0</w:t>
            </w:r>
          </w:p>
        </w:tc>
        <w:tc>
          <w:tcPr>
            <w:tcW w:w="897" w:type="dxa"/>
            <w:tcBorders>
              <w:top w:val="nil"/>
              <w:left w:val="nil"/>
              <w:bottom w:val="nil"/>
              <w:right w:val="nil"/>
            </w:tcBorders>
            <w:shd w:val="clear" w:color="auto" w:fill="auto"/>
            <w:noWrap/>
            <w:vAlign w:val="bottom"/>
            <w:hideMark/>
          </w:tcPr>
          <w:p w14:paraId="479C5C49"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255</w:t>
            </w:r>
          </w:p>
        </w:tc>
        <w:tc>
          <w:tcPr>
            <w:tcW w:w="1368" w:type="dxa"/>
            <w:tcBorders>
              <w:top w:val="nil"/>
              <w:left w:val="nil"/>
              <w:bottom w:val="nil"/>
              <w:right w:val="nil"/>
            </w:tcBorders>
            <w:shd w:val="clear" w:color="auto" w:fill="auto"/>
            <w:noWrap/>
            <w:vAlign w:val="bottom"/>
            <w:hideMark/>
          </w:tcPr>
          <w:p w14:paraId="548D28B8"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255</w:t>
            </w:r>
          </w:p>
        </w:tc>
        <w:tc>
          <w:tcPr>
            <w:tcW w:w="1368" w:type="dxa"/>
            <w:tcBorders>
              <w:top w:val="nil"/>
              <w:left w:val="nil"/>
              <w:bottom w:val="nil"/>
              <w:right w:val="nil"/>
            </w:tcBorders>
            <w:shd w:val="clear" w:color="auto" w:fill="auto"/>
            <w:noWrap/>
            <w:vAlign w:val="bottom"/>
            <w:hideMark/>
          </w:tcPr>
          <w:p w14:paraId="466010A2"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226</w:t>
            </w:r>
          </w:p>
        </w:tc>
        <w:tc>
          <w:tcPr>
            <w:tcW w:w="1368" w:type="dxa"/>
            <w:tcBorders>
              <w:top w:val="nil"/>
              <w:left w:val="nil"/>
              <w:bottom w:val="nil"/>
              <w:right w:val="nil"/>
            </w:tcBorders>
            <w:shd w:val="clear" w:color="auto" w:fill="auto"/>
            <w:noWrap/>
            <w:vAlign w:val="bottom"/>
            <w:hideMark/>
          </w:tcPr>
          <w:p w14:paraId="6E6ADF01"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235</w:t>
            </w:r>
          </w:p>
        </w:tc>
        <w:tc>
          <w:tcPr>
            <w:tcW w:w="1368" w:type="dxa"/>
            <w:tcBorders>
              <w:top w:val="nil"/>
              <w:left w:val="nil"/>
              <w:bottom w:val="nil"/>
              <w:right w:val="nil"/>
            </w:tcBorders>
            <w:shd w:val="clear" w:color="auto" w:fill="auto"/>
            <w:noWrap/>
            <w:vAlign w:val="bottom"/>
            <w:hideMark/>
          </w:tcPr>
          <w:p w14:paraId="14FA267F"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280</w:t>
            </w:r>
          </w:p>
        </w:tc>
        <w:tc>
          <w:tcPr>
            <w:tcW w:w="1368" w:type="dxa"/>
            <w:tcBorders>
              <w:top w:val="nil"/>
              <w:left w:val="nil"/>
              <w:bottom w:val="nil"/>
              <w:right w:val="nil"/>
            </w:tcBorders>
            <w:shd w:val="clear" w:color="auto" w:fill="auto"/>
            <w:noWrap/>
            <w:vAlign w:val="bottom"/>
            <w:hideMark/>
          </w:tcPr>
          <w:p w14:paraId="5BA396CC"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287</w:t>
            </w:r>
          </w:p>
        </w:tc>
      </w:tr>
      <w:tr w:rsidR="003D217E" w:rsidRPr="003763AA" w14:paraId="2576FD29" w14:textId="77777777" w:rsidTr="001740C5">
        <w:trPr>
          <w:trHeight w:val="280"/>
        </w:trPr>
        <w:tc>
          <w:tcPr>
            <w:tcW w:w="1843" w:type="dxa"/>
            <w:tcBorders>
              <w:top w:val="nil"/>
              <w:left w:val="nil"/>
              <w:bottom w:val="nil"/>
              <w:right w:val="nil"/>
            </w:tcBorders>
            <w:shd w:val="clear" w:color="auto" w:fill="auto"/>
            <w:noWrap/>
            <w:vAlign w:val="bottom"/>
            <w:hideMark/>
          </w:tcPr>
          <w:p w14:paraId="13604EE7" w14:textId="77777777" w:rsidR="003D217E" w:rsidRPr="003763AA" w:rsidRDefault="003D217E" w:rsidP="001740C5">
            <w:pPr>
              <w:adjustRightInd w:val="0"/>
              <w:snapToGrid w:val="0"/>
              <w:rPr>
                <w:i/>
                <w:color w:val="000000"/>
                <w:sz w:val="20"/>
                <w:szCs w:val="20"/>
                <w:vertAlign w:val="subscript"/>
                <w:lang w:val="en-AU"/>
              </w:rPr>
            </w:pPr>
            <w:r w:rsidRPr="003763AA">
              <w:rPr>
                <w:i/>
                <w:color w:val="000000"/>
                <w:sz w:val="20"/>
                <w:szCs w:val="20"/>
                <w:lang w:val="en-AU"/>
              </w:rPr>
              <w:t>SB</w:t>
            </w:r>
            <w:r w:rsidRPr="003763AA">
              <w:rPr>
                <w:i/>
                <w:color w:val="000000"/>
                <w:sz w:val="20"/>
                <w:szCs w:val="20"/>
                <w:vertAlign w:val="subscript"/>
                <w:lang w:val="en-AU"/>
              </w:rPr>
              <w:t>latest</w:t>
            </w:r>
            <w:r w:rsidRPr="003763AA">
              <w:rPr>
                <w:i/>
                <w:color w:val="000000"/>
                <w:sz w:val="20"/>
                <w:szCs w:val="20"/>
                <w:lang w:val="en-AU"/>
              </w:rPr>
              <w:t>/SB</w:t>
            </w:r>
            <w:r w:rsidRPr="003763AA">
              <w:rPr>
                <w:i/>
                <w:color w:val="000000"/>
                <w:sz w:val="20"/>
                <w:szCs w:val="20"/>
                <w:vertAlign w:val="subscript"/>
                <w:lang w:val="en-AU"/>
              </w:rPr>
              <w:t>0</w:t>
            </w:r>
          </w:p>
        </w:tc>
        <w:tc>
          <w:tcPr>
            <w:tcW w:w="897" w:type="dxa"/>
            <w:tcBorders>
              <w:top w:val="nil"/>
              <w:left w:val="nil"/>
              <w:bottom w:val="nil"/>
              <w:right w:val="nil"/>
            </w:tcBorders>
            <w:shd w:val="clear" w:color="auto" w:fill="auto"/>
            <w:noWrap/>
            <w:vAlign w:val="bottom"/>
            <w:hideMark/>
          </w:tcPr>
          <w:p w14:paraId="70BFB75A"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456</w:t>
            </w:r>
          </w:p>
        </w:tc>
        <w:tc>
          <w:tcPr>
            <w:tcW w:w="1368" w:type="dxa"/>
            <w:tcBorders>
              <w:top w:val="nil"/>
              <w:left w:val="nil"/>
              <w:bottom w:val="nil"/>
              <w:right w:val="nil"/>
            </w:tcBorders>
            <w:shd w:val="clear" w:color="auto" w:fill="auto"/>
            <w:noWrap/>
            <w:vAlign w:val="bottom"/>
            <w:hideMark/>
          </w:tcPr>
          <w:p w14:paraId="05E9E3D2"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456</w:t>
            </w:r>
          </w:p>
        </w:tc>
        <w:tc>
          <w:tcPr>
            <w:tcW w:w="1368" w:type="dxa"/>
            <w:tcBorders>
              <w:top w:val="nil"/>
              <w:left w:val="nil"/>
              <w:bottom w:val="nil"/>
              <w:right w:val="nil"/>
            </w:tcBorders>
            <w:shd w:val="clear" w:color="auto" w:fill="auto"/>
            <w:noWrap/>
            <w:vAlign w:val="bottom"/>
            <w:hideMark/>
          </w:tcPr>
          <w:p w14:paraId="78D5A6F5"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346</w:t>
            </w:r>
          </w:p>
        </w:tc>
        <w:tc>
          <w:tcPr>
            <w:tcW w:w="1368" w:type="dxa"/>
            <w:tcBorders>
              <w:top w:val="nil"/>
              <w:left w:val="nil"/>
              <w:bottom w:val="nil"/>
              <w:right w:val="nil"/>
            </w:tcBorders>
            <w:shd w:val="clear" w:color="auto" w:fill="auto"/>
            <w:noWrap/>
            <w:vAlign w:val="bottom"/>
            <w:hideMark/>
          </w:tcPr>
          <w:p w14:paraId="377303A2"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392</w:t>
            </w:r>
          </w:p>
        </w:tc>
        <w:tc>
          <w:tcPr>
            <w:tcW w:w="1368" w:type="dxa"/>
            <w:tcBorders>
              <w:top w:val="nil"/>
              <w:left w:val="nil"/>
              <w:bottom w:val="nil"/>
              <w:right w:val="nil"/>
            </w:tcBorders>
            <w:shd w:val="clear" w:color="auto" w:fill="auto"/>
            <w:noWrap/>
            <w:vAlign w:val="bottom"/>
            <w:hideMark/>
          </w:tcPr>
          <w:p w14:paraId="525F36CA"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523</w:t>
            </w:r>
          </w:p>
        </w:tc>
        <w:tc>
          <w:tcPr>
            <w:tcW w:w="1368" w:type="dxa"/>
            <w:tcBorders>
              <w:top w:val="nil"/>
              <w:left w:val="nil"/>
              <w:bottom w:val="nil"/>
              <w:right w:val="nil"/>
            </w:tcBorders>
            <w:shd w:val="clear" w:color="auto" w:fill="auto"/>
            <w:noWrap/>
            <w:vAlign w:val="bottom"/>
            <w:hideMark/>
          </w:tcPr>
          <w:p w14:paraId="29C5D487"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568</w:t>
            </w:r>
          </w:p>
        </w:tc>
      </w:tr>
      <w:tr w:rsidR="003D217E" w:rsidRPr="003763AA" w14:paraId="4C8A4990" w14:textId="77777777" w:rsidTr="001740C5">
        <w:trPr>
          <w:trHeight w:val="280"/>
        </w:trPr>
        <w:tc>
          <w:tcPr>
            <w:tcW w:w="1843" w:type="dxa"/>
            <w:tcBorders>
              <w:top w:val="nil"/>
              <w:left w:val="nil"/>
              <w:bottom w:val="nil"/>
              <w:right w:val="nil"/>
            </w:tcBorders>
            <w:shd w:val="clear" w:color="auto" w:fill="auto"/>
            <w:noWrap/>
            <w:vAlign w:val="bottom"/>
            <w:hideMark/>
          </w:tcPr>
          <w:p w14:paraId="60DAD79F" w14:textId="77777777" w:rsidR="003D217E" w:rsidRPr="003763AA" w:rsidRDefault="003D217E" w:rsidP="001740C5">
            <w:pPr>
              <w:adjustRightInd w:val="0"/>
              <w:snapToGrid w:val="0"/>
              <w:rPr>
                <w:i/>
                <w:color w:val="000000"/>
                <w:sz w:val="20"/>
                <w:szCs w:val="20"/>
                <w:lang w:val="en-AU"/>
              </w:rPr>
            </w:pPr>
            <w:r w:rsidRPr="003763AA">
              <w:rPr>
                <w:i/>
                <w:color w:val="000000"/>
                <w:sz w:val="20"/>
                <w:szCs w:val="20"/>
                <w:lang w:val="en-AU"/>
              </w:rPr>
              <w:t>SB</w:t>
            </w:r>
            <w:r w:rsidRPr="003763AA">
              <w:rPr>
                <w:i/>
                <w:color w:val="000000"/>
                <w:sz w:val="20"/>
                <w:szCs w:val="20"/>
                <w:vertAlign w:val="subscript"/>
                <w:lang w:val="en-AU"/>
              </w:rPr>
              <w:t>latest</w:t>
            </w:r>
            <w:r w:rsidRPr="003763AA">
              <w:rPr>
                <w:i/>
                <w:color w:val="000000"/>
                <w:sz w:val="20"/>
                <w:szCs w:val="20"/>
                <w:lang w:val="en-AU"/>
              </w:rPr>
              <w:t>/SB</w:t>
            </w:r>
            <w:r w:rsidRPr="003763AA">
              <w:rPr>
                <w:i/>
                <w:color w:val="000000"/>
                <w:sz w:val="20"/>
                <w:szCs w:val="20"/>
                <w:vertAlign w:val="subscript"/>
                <w:lang w:val="en-AU"/>
              </w:rPr>
              <w:t>F=0</w:t>
            </w:r>
          </w:p>
        </w:tc>
        <w:tc>
          <w:tcPr>
            <w:tcW w:w="897" w:type="dxa"/>
            <w:tcBorders>
              <w:top w:val="nil"/>
              <w:left w:val="nil"/>
              <w:bottom w:val="nil"/>
              <w:right w:val="nil"/>
            </w:tcBorders>
            <w:shd w:val="clear" w:color="auto" w:fill="auto"/>
            <w:noWrap/>
            <w:vAlign w:val="bottom"/>
            <w:hideMark/>
          </w:tcPr>
          <w:p w14:paraId="468EE4C6"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414</w:t>
            </w:r>
          </w:p>
        </w:tc>
        <w:tc>
          <w:tcPr>
            <w:tcW w:w="1368" w:type="dxa"/>
            <w:tcBorders>
              <w:top w:val="nil"/>
              <w:left w:val="nil"/>
              <w:bottom w:val="nil"/>
              <w:right w:val="nil"/>
            </w:tcBorders>
            <w:shd w:val="clear" w:color="auto" w:fill="auto"/>
            <w:noWrap/>
            <w:vAlign w:val="bottom"/>
            <w:hideMark/>
          </w:tcPr>
          <w:p w14:paraId="72EB5CFD"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420</w:t>
            </w:r>
          </w:p>
        </w:tc>
        <w:tc>
          <w:tcPr>
            <w:tcW w:w="1368" w:type="dxa"/>
            <w:tcBorders>
              <w:top w:val="nil"/>
              <w:left w:val="nil"/>
              <w:bottom w:val="nil"/>
              <w:right w:val="nil"/>
            </w:tcBorders>
            <w:shd w:val="clear" w:color="auto" w:fill="auto"/>
            <w:noWrap/>
            <w:vAlign w:val="bottom"/>
            <w:hideMark/>
          </w:tcPr>
          <w:p w14:paraId="4A5B46AD"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298</w:t>
            </w:r>
          </w:p>
        </w:tc>
        <w:tc>
          <w:tcPr>
            <w:tcW w:w="1368" w:type="dxa"/>
            <w:tcBorders>
              <w:top w:val="nil"/>
              <w:left w:val="nil"/>
              <w:bottom w:val="nil"/>
              <w:right w:val="nil"/>
            </w:tcBorders>
            <w:shd w:val="clear" w:color="auto" w:fill="auto"/>
            <w:noWrap/>
            <w:vAlign w:val="bottom"/>
            <w:hideMark/>
          </w:tcPr>
          <w:p w14:paraId="2AB342ED"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351</w:t>
            </w:r>
          </w:p>
        </w:tc>
        <w:tc>
          <w:tcPr>
            <w:tcW w:w="1368" w:type="dxa"/>
            <w:tcBorders>
              <w:top w:val="nil"/>
              <w:left w:val="nil"/>
              <w:bottom w:val="nil"/>
              <w:right w:val="nil"/>
            </w:tcBorders>
            <w:shd w:val="clear" w:color="auto" w:fill="auto"/>
            <w:noWrap/>
            <w:vAlign w:val="bottom"/>
            <w:hideMark/>
          </w:tcPr>
          <w:p w14:paraId="3A1B3D0A"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480</w:t>
            </w:r>
          </w:p>
        </w:tc>
        <w:tc>
          <w:tcPr>
            <w:tcW w:w="1368" w:type="dxa"/>
            <w:tcBorders>
              <w:top w:val="nil"/>
              <w:left w:val="nil"/>
              <w:bottom w:val="nil"/>
              <w:right w:val="nil"/>
            </w:tcBorders>
            <w:shd w:val="clear" w:color="auto" w:fill="auto"/>
            <w:noWrap/>
            <w:vAlign w:val="bottom"/>
            <w:hideMark/>
          </w:tcPr>
          <w:p w14:paraId="4201724A"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526</w:t>
            </w:r>
          </w:p>
        </w:tc>
      </w:tr>
      <w:tr w:rsidR="003D217E" w:rsidRPr="003763AA" w14:paraId="7A69FB79" w14:textId="77777777" w:rsidTr="001740C5">
        <w:trPr>
          <w:trHeight w:val="280"/>
        </w:trPr>
        <w:tc>
          <w:tcPr>
            <w:tcW w:w="1843" w:type="dxa"/>
            <w:tcBorders>
              <w:top w:val="nil"/>
              <w:left w:val="nil"/>
              <w:bottom w:val="nil"/>
              <w:right w:val="nil"/>
            </w:tcBorders>
            <w:shd w:val="clear" w:color="auto" w:fill="auto"/>
            <w:noWrap/>
            <w:vAlign w:val="bottom"/>
            <w:hideMark/>
          </w:tcPr>
          <w:p w14:paraId="7034FA7E" w14:textId="77777777" w:rsidR="003D217E" w:rsidRPr="003763AA" w:rsidRDefault="003D217E" w:rsidP="001740C5">
            <w:pPr>
              <w:adjustRightInd w:val="0"/>
              <w:snapToGrid w:val="0"/>
              <w:rPr>
                <w:i/>
                <w:color w:val="000000"/>
                <w:sz w:val="20"/>
                <w:szCs w:val="20"/>
                <w:lang w:val="en-AU"/>
              </w:rPr>
            </w:pPr>
            <w:r w:rsidRPr="003763AA">
              <w:rPr>
                <w:i/>
                <w:color w:val="000000"/>
                <w:sz w:val="20"/>
                <w:szCs w:val="20"/>
                <w:lang w:val="en-AU"/>
              </w:rPr>
              <w:t>SB</w:t>
            </w:r>
            <w:r w:rsidRPr="003763AA">
              <w:rPr>
                <w:i/>
                <w:color w:val="000000"/>
                <w:sz w:val="20"/>
                <w:szCs w:val="20"/>
                <w:vertAlign w:val="subscript"/>
                <w:lang w:val="en-AU"/>
              </w:rPr>
              <w:t>latest</w:t>
            </w:r>
            <w:r w:rsidRPr="003763AA">
              <w:rPr>
                <w:i/>
                <w:color w:val="000000"/>
                <w:sz w:val="20"/>
                <w:szCs w:val="20"/>
                <w:lang w:val="en-AU"/>
              </w:rPr>
              <w:t>/SB</w:t>
            </w:r>
            <w:r w:rsidRPr="003763AA">
              <w:rPr>
                <w:i/>
                <w:color w:val="000000"/>
                <w:sz w:val="20"/>
                <w:szCs w:val="20"/>
                <w:vertAlign w:val="subscript"/>
                <w:lang w:val="en-AU"/>
              </w:rPr>
              <w:t>MSY</w:t>
            </w:r>
          </w:p>
        </w:tc>
        <w:tc>
          <w:tcPr>
            <w:tcW w:w="897" w:type="dxa"/>
            <w:tcBorders>
              <w:top w:val="nil"/>
              <w:left w:val="nil"/>
              <w:bottom w:val="nil"/>
              <w:right w:val="nil"/>
            </w:tcBorders>
            <w:shd w:val="clear" w:color="auto" w:fill="auto"/>
            <w:noWrap/>
            <w:vAlign w:val="bottom"/>
            <w:hideMark/>
          </w:tcPr>
          <w:p w14:paraId="3B7AA42B"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1.</w:t>
            </w:r>
            <w:r w:rsidRPr="003763AA">
              <w:rPr>
                <w:color w:val="000000"/>
                <w:sz w:val="20"/>
                <w:szCs w:val="20"/>
                <w:lang w:val="en-AU" w:eastAsia="en-AU"/>
              </w:rPr>
              <w:t>633</w:t>
            </w:r>
          </w:p>
        </w:tc>
        <w:tc>
          <w:tcPr>
            <w:tcW w:w="1368" w:type="dxa"/>
            <w:tcBorders>
              <w:top w:val="nil"/>
              <w:left w:val="nil"/>
              <w:bottom w:val="nil"/>
              <w:right w:val="nil"/>
            </w:tcBorders>
            <w:shd w:val="clear" w:color="auto" w:fill="auto"/>
            <w:noWrap/>
            <w:vAlign w:val="bottom"/>
            <w:hideMark/>
          </w:tcPr>
          <w:p w14:paraId="6AF8CAC7"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1.</w:t>
            </w:r>
            <w:r w:rsidRPr="003763AA">
              <w:rPr>
                <w:color w:val="000000"/>
                <w:sz w:val="20"/>
                <w:szCs w:val="20"/>
                <w:lang w:val="en-AU" w:eastAsia="en-AU"/>
              </w:rPr>
              <w:t>624</w:t>
            </w:r>
          </w:p>
        </w:tc>
        <w:tc>
          <w:tcPr>
            <w:tcW w:w="1368" w:type="dxa"/>
            <w:tcBorders>
              <w:top w:val="nil"/>
              <w:left w:val="nil"/>
              <w:bottom w:val="nil"/>
              <w:right w:val="nil"/>
            </w:tcBorders>
            <w:shd w:val="clear" w:color="auto" w:fill="auto"/>
            <w:noWrap/>
            <w:vAlign w:val="bottom"/>
            <w:hideMark/>
          </w:tcPr>
          <w:p w14:paraId="6588273B"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1.146</w:t>
            </w:r>
          </w:p>
        </w:tc>
        <w:tc>
          <w:tcPr>
            <w:tcW w:w="1368" w:type="dxa"/>
            <w:tcBorders>
              <w:top w:val="nil"/>
              <w:left w:val="nil"/>
              <w:bottom w:val="nil"/>
              <w:right w:val="nil"/>
            </w:tcBorders>
            <w:shd w:val="clear" w:color="auto" w:fill="auto"/>
            <w:noWrap/>
            <w:vAlign w:val="bottom"/>
            <w:hideMark/>
          </w:tcPr>
          <w:p w14:paraId="3355F4DA"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1.306</w:t>
            </w:r>
          </w:p>
        </w:tc>
        <w:tc>
          <w:tcPr>
            <w:tcW w:w="1368" w:type="dxa"/>
            <w:tcBorders>
              <w:top w:val="nil"/>
              <w:left w:val="nil"/>
              <w:bottom w:val="nil"/>
              <w:right w:val="nil"/>
            </w:tcBorders>
            <w:shd w:val="clear" w:color="auto" w:fill="auto"/>
            <w:noWrap/>
            <w:vAlign w:val="bottom"/>
            <w:hideMark/>
          </w:tcPr>
          <w:p w14:paraId="039F10B0"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1.</w:t>
            </w:r>
            <w:r w:rsidRPr="003763AA">
              <w:rPr>
                <w:color w:val="000000"/>
                <w:sz w:val="20"/>
                <w:szCs w:val="20"/>
                <w:lang w:val="en-AU" w:eastAsia="en-AU"/>
              </w:rPr>
              <w:t>933</w:t>
            </w:r>
          </w:p>
        </w:tc>
        <w:tc>
          <w:tcPr>
            <w:tcW w:w="1368" w:type="dxa"/>
            <w:tcBorders>
              <w:top w:val="nil"/>
              <w:left w:val="nil"/>
              <w:bottom w:val="nil"/>
              <w:right w:val="nil"/>
            </w:tcBorders>
            <w:shd w:val="clear" w:color="auto" w:fill="auto"/>
            <w:noWrap/>
            <w:vAlign w:val="bottom"/>
            <w:hideMark/>
          </w:tcPr>
          <w:p w14:paraId="084FD9FA"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2.</w:t>
            </w:r>
            <w:r w:rsidRPr="003763AA">
              <w:rPr>
                <w:color w:val="000000"/>
                <w:sz w:val="20"/>
                <w:szCs w:val="20"/>
                <w:lang w:val="en-AU" w:eastAsia="en-AU"/>
              </w:rPr>
              <w:t>187</w:t>
            </w:r>
          </w:p>
        </w:tc>
      </w:tr>
      <w:tr w:rsidR="003D217E" w:rsidRPr="003763AA" w14:paraId="738DE40E" w14:textId="77777777" w:rsidTr="001740C5">
        <w:trPr>
          <w:trHeight w:val="280"/>
        </w:trPr>
        <w:tc>
          <w:tcPr>
            <w:tcW w:w="1843" w:type="dxa"/>
            <w:tcBorders>
              <w:top w:val="nil"/>
              <w:left w:val="nil"/>
              <w:right w:val="nil"/>
            </w:tcBorders>
            <w:shd w:val="clear" w:color="auto" w:fill="auto"/>
            <w:noWrap/>
            <w:vAlign w:val="bottom"/>
            <w:hideMark/>
          </w:tcPr>
          <w:p w14:paraId="4EE13EE0" w14:textId="77777777" w:rsidR="003D217E" w:rsidRPr="003763AA" w:rsidRDefault="003D217E" w:rsidP="001740C5">
            <w:pPr>
              <w:adjustRightInd w:val="0"/>
              <w:snapToGrid w:val="0"/>
              <w:rPr>
                <w:i/>
                <w:color w:val="000000"/>
                <w:sz w:val="20"/>
                <w:szCs w:val="20"/>
                <w:vertAlign w:val="subscript"/>
                <w:lang w:val="en-AU"/>
              </w:rPr>
            </w:pPr>
            <w:r w:rsidRPr="003763AA">
              <w:rPr>
                <w:i/>
                <w:color w:val="000000"/>
                <w:sz w:val="20"/>
                <w:szCs w:val="20"/>
                <w:lang w:val="en-AU"/>
              </w:rPr>
              <w:t>SB</w:t>
            </w:r>
            <w:r w:rsidRPr="003763AA">
              <w:rPr>
                <w:i/>
                <w:color w:val="000000"/>
                <w:sz w:val="20"/>
                <w:szCs w:val="20"/>
                <w:vertAlign w:val="subscript"/>
                <w:lang w:val="en-AU"/>
              </w:rPr>
              <w:t>recent</w:t>
            </w:r>
            <w:r w:rsidRPr="003763AA">
              <w:rPr>
                <w:i/>
                <w:color w:val="000000"/>
                <w:sz w:val="20"/>
                <w:szCs w:val="20"/>
                <w:lang w:val="en-AU"/>
              </w:rPr>
              <w:t>/SB</w:t>
            </w:r>
            <w:r w:rsidRPr="003763AA">
              <w:rPr>
                <w:i/>
                <w:color w:val="000000"/>
                <w:sz w:val="20"/>
                <w:szCs w:val="20"/>
                <w:vertAlign w:val="subscript"/>
                <w:lang w:val="en-AU"/>
              </w:rPr>
              <w:t>F=0</w:t>
            </w:r>
          </w:p>
        </w:tc>
        <w:tc>
          <w:tcPr>
            <w:tcW w:w="897" w:type="dxa"/>
            <w:tcBorders>
              <w:top w:val="nil"/>
              <w:left w:val="nil"/>
              <w:right w:val="nil"/>
            </w:tcBorders>
            <w:shd w:val="clear" w:color="auto" w:fill="auto"/>
            <w:noWrap/>
            <w:vAlign w:val="bottom"/>
            <w:hideMark/>
          </w:tcPr>
          <w:p w14:paraId="32360333"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353</w:t>
            </w:r>
          </w:p>
        </w:tc>
        <w:tc>
          <w:tcPr>
            <w:tcW w:w="1368" w:type="dxa"/>
            <w:tcBorders>
              <w:top w:val="nil"/>
              <w:left w:val="nil"/>
              <w:right w:val="nil"/>
            </w:tcBorders>
            <w:shd w:val="clear" w:color="auto" w:fill="auto"/>
            <w:noWrap/>
            <w:vAlign w:val="bottom"/>
            <w:hideMark/>
          </w:tcPr>
          <w:p w14:paraId="5D257D9D"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358</w:t>
            </w:r>
          </w:p>
        </w:tc>
        <w:tc>
          <w:tcPr>
            <w:tcW w:w="1368" w:type="dxa"/>
            <w:tcBorders>
              <w:top w:val="nil"/>
              <w:left w:val="nil"/>
              <w:right w:val="nil"/>
            </w:tcBorders>
            <w:shd w:val="clear" w:color="auto" w:fill="auto"/>
            <w:noWrap/>
            <w:vAlign w:val="bottom"/>
            <w:hideMark/>
          </w:tcPr>
          <w:p w14:paraId="0250D1D2"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251</w:t>
            </w:r>
          </w:p>
        </w:tc>
        <w:tc>
          <w:tcPr>
            <w:tcW w:w="1368" w:type="dxa"/>
            <w:tcBorders>
              <w:top w:val="nil"/>
              <w:left w:val="nil"/>
              <w:right w:val="nil"/>
            </w:tcBorders>
            <w:shd w:val="clear" w:color="auto" w:fill="auto"/>
            <w:noWrap/>
            <w:vAlign w:val="bottom"/>
            <w:hideMark/>
          </w:tcPr>
          <w:p w14:paraId="718E1A56"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295</w:t>
            </w:r>
          </w:p>
        </w:tc>
        <w:tc>
          <w:tcPr>
            <w:tcW w:w="1368" w:type="dxa"/>
            <w:tcBorders>
              <w:top w:val="nil"/>
              <w:left w:val="nil"/>
              <w:right w:val="nil"/>
            </w:tcBorders>
            <w:shd w:val="clear" w:color="auto" w:fill="auto"/>
            <w:noWrap/>
            <w:vAlign w:val="bottom"/>
            <w:hideMark/>
          </w:tcPr>
          <w:p w14:paraId="73954629"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412</w:t>
            </w:r>
          </w:p>
        </w:tc>
        <w:tc>
          <w:tcPr>
            <w:tcW w:w="1368" w:type="dxa"/>
            <w:tcBorders>
              <w:top w:val="nil"/>
              <w:left w:val="nil"/>
              <w:right w:val="nil"/>
            </w:tcBorders>
            <w:shd w:val="clear" w:color="auto" w:fill="auto"/>
            <w:noWrap/>
            <w:vAlign w:val="bottom"/>
            <w:hideMark/>
          </w:tcPr>
          <w:p w14:paraId="40B17979"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452</w:t>
            </w:r>
          </w:p>
        </w:tc>
      </w:tr>
      <w:tr w:rsidR="003D217E" w:rsidRPr="003763AA" w14:paraId="1AB99AF7" w14:textId="77777777" w:rsidTr="001740C5">
        <w:trPr>
          <w:trHeight w:val="280"/>
        </w:trPr>
        <w:tc>
          <w:tcPr>
            <w:tcW w:w="1843" w:type="dxa"/>
            <w:tcBorders>
              <w:left w:val="nil"/>
              <w:bottom w:val="single" w:sz="4" w:space="0" w:color="auto"/>
              <w:right w:val="nil"/>
            </w:tcBorders>
            <w:shd w:val="clear" w:color="auto" w:fill="auto"/>
            <w:noWrap/>
            <w:vAlign w:val="bottom"/>
            <w:hideMark/>
          </w:tcPr>
          <w:p w14:paraId="2572E9C5" w14:textId="77777777" w:rsidR="003D217E" w:rsidRPr="003763AA" w:rsidRDefault="003D217E" w:rsidP="001740C5">
            <w:pPr>
              <w:adjustRightInd w:val="0"/>
              <w:snapToGrid w:val="0"/>
              <w:rPr>
                <w:i/>
                <w:color w:val="000000"/>
                <w:sz w:val="20"/>
                <w:szCs w:val="20"/>
                <w:lang w:val="en-AU"/>
              </w:rPr>
            </w:pPr>
            <w:r w:rsidRPr="003763AA">
              <w:rPr>
                <w:i/>
                <w:color w:val="000000"/>
                <w:sz w:val="20"/>
                <w:szCs w:val="20"/>
                <w:lang w:val="en-AU"/>
              </w:rPr>
              <w:t>SB</w:t>
            </w:r>
            <w:r w:rsidRPr="003763AA">
              <w:rPr>
                <w:i/>
                <w:color w:val="000000"/>
                <w:sz w:val="20"/>
                <w:szCs w:val="20"/>
                <w:vertAlign w:val="subscript"/>
                <w:lang w:val="en-AU"/>
              </w:rPr>
              <w:t>recent</w:t>
            </w:r>
            <w:r w:rsidRPr="003763AA">
              <w:rPr>
                <w:i/>
                <w:color w:val="000000"/>
                <w:sz w:val="20"/>
                <w:szCs w:val="20"/>
                <w:lang w:val="en-AU"/>
              </w:rPr>
              <w:t>/SB</w:t>
            </w:r>
            <w:r w:rsidRPr="003763AA">
              <w:rPr>
                <w:i/>
                <w:color w:val="000000"/>
                <w:sz w:val="20"/>
                <w:szCs w:val="20"/>
                <w:vertAlign w:val="subscript"/>
                <w:lang w:val="en-AU"/>
              </w:rPr>
              <w:t>MSY</w:t>
            </w:r>
          </w:p>
        </w:tc>
        <w:tc>
          <w:tcPr>
            <w:tcW w:w="897" w:type="dxa"/>
            <w:tcBorders>
              <w:left w:val="nil"/>
              <w:bottom w:val="single" w:sz="4" w:space="0" w:color="auto"/>
              <w:right w:val="nil"/>
            </w:tcBorders>
            <w:shd w:val="clear" w:color="auto" w:fill="auto"/>
            <w:noWrap/>
            <w:vAlign w:val="bottom"/>
            <w:hideMark/>
          </w:tcPr>
          <w:p w14:paraId="447EE7A2"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1.</w:t>
            </w:r>
            <w:r w:rsidRPr="003763AA">
              <w:rPr>
                <w:color w:val="000000"/>
                <w:sz w:val="20"/>
                <w:szCs w:val="20"/>
                <w:lang w:val="en-AU" w:eastAsia="en-AU"/>
              </w:rPr>
              <w:t>394</w:t>
            </w:r>
          </w:p>
        </w:tc>
        <w:tc>
          <w:tcPr>
            <w:tcW w:w="1368" w:type="dxa"/>
            <w:tcBorders>
              <w:left w:val="nil"/>
              <w:bottom w:val="single" w:sz="4" w:space="0" w:color="auto"/>
              <w:right w:val="nil"/>
            </w:tcBorders>
            <w:shd w:val="clear" w:color="auto" w:fill="auto"/>
            <w:noWrap/>
            <w:vAlign w:val="bottom"/>
            <w:hideMark/>
          </w:tcPr>
          <w:p w14:paraId="53890D1D"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1.</w:t>
            </w:r>
            <w:r w:rsidRPr="003763AA">
              <w:rPr>
                <w:color w:val="000000"/>
                <w:sz w:val="20"/>
                <w:szCs w:val="20"/>
                <w:lang w:val="en-AU" w:eastAsia="en-AU"/>
              </w:rPr>
              <w:t>377</w:t>
            </w:r>
          </w:p>
        </w:tc>
        <w:tc>
          <w:tcPr>
            <w:tcW w:w="1368" w:type="dxa"/>
            <w:tcBorders>
              <w:left w:val="nil"/>
              <w:bottom w:val="single" w:sz="4" w:space="0" w:color="auto"/>
              <w:right w:val="nil"/>
            </w:tcBorders>
            <w:shd w:val="clear" w:color="auto" w:fill="auto"/>
            <w:noWrap/>
            <w:vAlign w:val="bottom"/>
            <w:hideMark/>
          </w:tcPr>
          <w:p w14:paraId="4BC8F484"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0.</w:t>
            </w:r>
            <w:r w:rsidRPr="003763AA">
              <w:rPr>
                <w:color w:val="000000"/>
                <w:sz w:val="20"/>
                <w:szCs w:val="20"/>
                <w:lang w:val="en-AU" w:eastAsia="en-AU"/>
              </w:rPr>
              <w:t>963</w:t>
            </w:r>
          </w:p>
        </w:tc>
        <w:tc>
          <w:tcPr>
            <w:tcW w:w="1368" w:type="dxa"/>
            <w:tcBorders>
              <w:left w:val="nil"/>
              <w:bottom w:val="single" w:sz="4" w:space="0" w:color="auto"/>
              <w:right w:val="nil"/>
            </w:tcBorders>
            <w:shd w:val="clear" w:color="auto" w:fill="auto"/>
            <w:noWrap/>
            <w:vAlign w:val="bottom"/>
            <w:hideMark/>
          </w:tcPr>
          <w:p w14:paraId="775943C4"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eastAsia="en-AU"/>
              </w:rPr>
              <w:t>1.117</w:t>
            </w:r>
          </w:p>
        </w:tc>
        <w:tc>
          <w:tcPr>
            <w:tcW w:w="1368" w:type="dxa"/>
            <w:tcBorders>
              <w:left w:val="nil"/>
              <w:bottom w:val="single" w:sz="4" w:space="0" w:color="auto"/>
              <w:right w:val="nil"/>
            </w:tcBorders>
            <w:shd w:val="clear" w:color="auto" w:fill="auto"/>
            <w:noWrap/>
            <w:vAlign w:val="bottom"/>
            <w:hideMark/>
          </w:tcPr>
          <w:p w14:paraId="3689B1E9"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1.</w:t>
            </w:r>
            <w:r w:rsidRPr="003763AA">
              <w:rPr>
                <w:color w:val="000000"/>
                <w:sz w:val="20"/>
                <w:szCs w:val="20"/>
                <w:lang w:val="en-AU" w:eastAsia="en-AU"/>
              </w:rPr>
              <w:t>659</w:t>
            </w:r>
          </w:p>
        </w:tc>
        <w:tc>
          <w:tcPr>
            <w:tcW w:w="1368" w:type="dxa"/>
            <w:tcBorders>
              <w:left w:val="nil"/>
              <w:bottom w:val="single" w:sz="4" w:space="0" w:color="auto"/>
              <w:right w:val="nil"/>
            </w:tcBorders>
            <w:shd w:val="clear" w:color="auto" w:fill="auto"/>
            <w:noWrap/>
            <w:vAlign w:val="bottom"/>
            <w:hideMark/>
          </w:tcPr>
          <w:p w14:paraId="5B7B0D49" w14:textId="77777777" w:rsidR="003D217E" w:rsidRPr="003763AA" w:rsidRDefault="003D217E" w:rsidP="001740C5">
            <w:pPr>
              <w:adjustRightInd w:val="0"/>
              <w:snapToGrid w:val="0"/>
              <w:jc w:val="right"/>
              <w:rPr>
                <w:color w:val="000000"/>
                <w:sz w:val="20"/>
                <w:szCs w:val="20"/>
                <w:lang w:val="en-AU"/>
              </w:rPr>
            </w:pPr>
            <w:r w:rsidRPr="003763AA">
              <w:rPr>
                <w:color w:val="000000"/>
                <w:sz w:val="20"/>
                <w:szCs w:val="20"/>
                <w:lang w:val="en-AU"/>
              </w:rPr>
              <w:t>1.</w:t>
            </w:r>
            <w:r w:rsidRPr="003763AA">
              <w:rPr>
                <w:color w:val="000000"/>
                <w:sz w:val="20"/>
                <w:szCs w:val="20"/>
                <w:lang w:val="en-AU" w:eastAsia="en-AU"/>
              </w:rPr>
              <w:t>879</w:t>
            </w:r>
          </w:p>
        </w:tc>
      </w:tr>
    </w:tbl>
    <w:p w14:paraId="5D7AA95B" w14:textId="77777777" w:rsidR="003D217E" w:rsidRPr="004635E5" w:rsidRDefault="003D217E" w:rsidP="003D217E">
      <w:pPr>
        <w:widowControl w:val="0"/>
        <w:autoSpaceDE w:val="0"/>
        <w:autoSpaceDN w:val="0"/>
        <w:adjustRightInd w:val="0"/>
        <w:snapToGrid w:val="0"/>
        <w:rPr>
          <w:bCs/>
          <w:sz w:val="22"/>
          <w:szCs w:val="22"/>
        </w:rPr>
      </w:pPr>
    </w:p>
    <w:p w14:paraId="45BFE7AB"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SC14 noted that there has been a long-term decrease in spawning biomass from the 1950s to the present for bigeye tuna and that this is consistent with previous</w:t>
      </w:r>
      <w:r w:rsidRPr="001C4A6B">
        <w:rPr>
          <w:bCs/>
          <w:spacing w:val="-25"/>
          <w:sz w:val="22"/>
          <w:szCs w:val="22"/>
        </w:rPr>
        <w:t xml:space="preserve"> </w:t>
      </w:r>
      <w:r w:rsidRPr="001C4A6B">
        <w:rPr>
          <w:bCs/>
          <w:sz w:val="22"/>
          <w:szCs w:val="22"/>
        </w:rPr>
        <w:t xml:space="preserve">assessments. </w:t>
      </w:r>
    </w:p>
    <w:p w14:paraId="6E275C44" w14:textId="77777777" w:rsidR="003D217E" w:rsidRPr="001C4A6B" w:rsidRDefault="003D217E" w:rsidP="003D217E">
      <w:pPr>
        <w:autoSpaceDE w:val="0"/>
        <w:autoSpaceDN w:val="0"/>
        <w:adjustRightInd w:val="0"/>
        <w:snapToGrid w:val="0"/>
        <w:jc w:val="both"/>
        <w:rPr>
          <w:bCs/>
          <w:sz w:val="22"/>
          <w:szCs w:val="22"/>
        </w:rPr>
      </w:pPr>
    </w:p>
    <w:p w14:paraId="770B920A"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 xml:space="preserve">SC14 also noted that the central tendency of relative recent (2012-2015) spawning biomass depletion </w:t>
      </w:r>
      <w:r w:rsidRPr="001C4A6B">
        <w:rPr>
          <w:bCs/>
          <w:position w:val="2"/>
          <w:sz w:val="22"/>
          <w:szCs w:val="22"/>
        </w:rPr>
        <w:t>was median (SB</w:t>
      </w:r>
      <w:r w:rsidRPr="001C4A6B">
        <w:rPr>
          <w:bCs/>
          <w:sz w:val="22"/>
          <w:szCs w:val="22"/>
          <w:vertAlign w:val="subscript"/>
        </w:rPr>
        <w:t>recent</w:t>
      </w:r>
      <w:r w:rsidRPr="001C4A6B">
        <w:rPr>
          <w:bCs/>
          <w:position w:val="2"/>
          <w:sz w:val="22"/>
          <w:szCs w:val="22"/>
        </w:rPr>
        <w:t>/SB</w:t>
      </w:r>
      <w:r w:rsidRPr="001C4A6B">
        <w:rPr>
          <w:bCs/>
          <w:sz w:val="22"/>
          <w:szCs w:val="22"/>
          <w:vertAlign w:val="subscript"/>
        </w:rPr>
        <w:t>F=0</w:t>
      </w:r>
      <w:r w:rsidRPr="001C4A6B">
        <w:rPr>
          <w:bCs/>
          <w:position w:val="2"/>
          <w:sz w:val="22"/>
          <w:szCs w:val="22"/>
        </w:rPr>
        <w:t>) = 0.36 with a range of 0.30 to 0.41</w:t>
      </w:r>
      <w:r w:rsidRPr="001C4A6B">
        <w:rPr>
          <w:bCs/>
          <w:spacing w:val="-8"/>
          <w:sz w:val="22"/>
          <w:szCs w:val="22"/>
        </w:rPr>
        <w:t xml:space="preserve"> </w:t>
      </w:r>
      <w:r w:rsidRPr="001C4A6B">
        <w:rPr>
          <w:bCs/>
          <w:sz w:val="22"/>
          <w:szCs w:val="22"/>
        </w:rPr>
        <w:t>(80%</w:t>
      </w:r>
      <w:r w:rsidRPr="001C4A6B">
        <w:rPr>
          <w:bCs/>
          <w:spacing w:val="-13"/>
          <w:sz w:val="22"/>
          <w:szCs w:val="22"/>
        </w:rPr>
        <w:t xml:space="preserve"> </w:t>
      </w:r>
      <w:r w:rsidRPr="001C4A6B">
        <w:rPr>
          <w:bCs/>
          <w:sz w:val="22"/>
          <w:szCs w:val="22"/>
        </w:rPr>
        <w:t>probability</w:t>
      </w:r>
      <w:r w:rsidRPr="001C4A6B">
        <w:rPr>
          <w:bCs/>
          <w:spacing w:val="-11"/>
          <w:sz w:val="22"/>
          <w:szCs w:val="22"/>
        </w:rPr>
        <w:t xml:space="preserve"> </w:t>
      </w:r>
      <w:r w:rsidRPr="001C4A6B">
        <w:rPr>
          <w:bCs/>
          <w:sz w:val="22"/>
          <w:szCs w:val="22"/>
        </w:rPr>
        <w:t>interval).</w:t>
      </w:r>
      <w:r w:rsidRPr="001C4A6B">
        <w:rPr>
          <w:bCs/>
          <w:spacing w:val="-11"/>
          <w:sz w:val="22"/>
          <w:szCs w:val="22"/>
        </w:rPr>
        <w:t xml:space="preserve"> </w:t>
      </w:r>
    </w:p>
    <w:p w14:paraId="11EE74DC" w14:textId="77777777" w:rsidR="003D217E" w:rsidRPr="001C4A6B" w:rsidRDefault="003D217E" w:rsidP="003D217E">
      <w:pPr>
        <w:autoSpaceDE w:val="0"/>
        <w:autoSpaceDN w:val="0"/>
        <w:adjustRightInd w:val="0"/>
        <w:snapToGrid w:val="0"/>
        <w:jc w:val="both"/>
        <w:rPr>
          <w:bCs/>
          <w:sz w:val="22"/>
          <w:szCs w:val="22"/>
        </w:rPr>
      </w:pPr>
    </w:p>
    <w:p w14:paraId="0405CCB4"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SC14</w:t>
      </w:r>
      <w:r w:rsidRPr="001C4A6B">
        <w:rPr>
          <w:bCs/>
          <w:spacing w:val="-4"/>
          <w:sz w:val="22"/>
          <w:szCs w:val="22"/>
        </w:rPr>
        <w:t xml:space="preserve"> </w:t>
      </w:r>
      <w:r w:rsidRPr="001C4A6B">
        <w:rPr>
          <w:bCs/>
          <w:sz w:val="22"/>
          <w:szCs w:val="22"/>
        </w:rPr>
        <w:t>further</w:t>
      </w:r>
      <w:r w:rsidRPr="001C4A6B">
        <w:rPr>
          <w:bCs/>
          <w:spacing w:val="-4"/>
          <w:sz w:val="22"/>
          <w:szCs w:val="22"/>
        </w:rPr>
        <w:t xml:space="preserve"> </w:t>
      </w:r>
      <w:r w:rsidRPr="001C4A6B">
        <w:rPr>
          <w:bCs/>
          <w:sz w:val="22"/>
          <w:szCs w:val="22"/>
        </w:rPr>
        <w:t>noted</w:t>
      </w:r>
      <w:r w:rsidRPr="001C4A6B">
        <w:rPr>
          <w:bCs/>
          <w:spacing w:val="-6"/>
          <w:sz w:val="22"/>
          <w:szCs w:val="22"/>
        </w:rPr>
        <w:t xml:space="preserve"> </w:t>
      </w:r>
      <w:r w:rsidRPr="001C4A6B">
        <w:rPr>
          <w:bCs/>
          <w:sz w:val="22"/>
          <w:szCs w:val="22"/>
        </w:rPr>
        <w:t>that</w:t>
      </w:r>
      <w:r w:rsidRPr="001C4A6B">
        <w:rPr>
          <w:bCs/>
          <w:spacing w:val="-3"/>
          <w:sz w:val="22"/>
          <w:szCs w:val="22"/>
        </w:rPr>
        <w:t xml:space="preserve"> </w:t>
      </w:r>
      <w:r w:rsidRPr="001C4A6B">
        <w:rPr>
          <w:bCs/>
          <w:sz w:val="22"/>
          <w:szCs w:val="22"/>
        </w:rPr>
        <w:t>there</w:t>
      </w:r>
      <w:r w:rsidRPr="001C4A6B">
        <w:rPr>
          <w:bCs/>
          <w:spacing w:val="-6"/>
          <w:sz w:val="22"/>
          <w:szCs w:val="22"/>
        </w:rPr>
        <w:t xml:space="preserve"> </w:t>
      </w:r>
      <w:r w:rsidRPr="001C4A6B">
        <w:rPr>
          <w:bCs/>
          <w:sz w:val="22"/>
          <w:szCs w:val="22"/>
        </w:rPr>
        <w:t>was</w:t>
      </w:r>
      <w:r w:rsidRPr="001C4A6B">
        <w:rPr>
          <w:bCs/>
          <w:spacing w:val="-3"/>
          <w:sz w:val="22"/>
          <w:szCs w:val="22"/>
        </w:rPr>
        <w:t xml:space="preserve"> </w:t>
      </w:r>
      <w:r w:rsidRPr="001C4A6B">
        <w:rPr>
          <w:bCs/>
          <w:sz w:val="22"/>
          <w:szCs w:val="22"/>
        </w:rPr>
        <w:t>0%</w:t>
      </w:r>
      <w:r w:rsidRPr="001C4A6B">
        <w:rPr>
          <w:bCs/>
          <w:spacing w:val="-5"/>
          <w:sz w:val="22"/>
          <w:szCs w:val="22"/>
        </w:rPr>
        <w:t xml:space="preserve"> </w:t>
      </w:r>
      <w:r w:rsidRPr="001C4A6B">
        <w:rPr>
          <w:bCs/>
          <w:sz w:val="22"/>
          <w:szCs w:val="22"/>
        </w:rPr>
        <w:t>probability</w:t>
      </w:r>
      <w:r w:rsidRPr="001C4A6B">
        <w:rPr>
          <w:bCs/>
          <w:spacing w:val="-6"/>
          <w:sz w:val="22"/>
          <w:szCs w:val="22"/>
        </w:rPr>
        <w:t xml:space="preserve"> </w:t>
      </w:r>
      <w:r w:rsidRPr="001C4A6B">
        <w:rPr>
          <w:bCs/>
          <w:sz w:val="22"/>
          <w:szCs w:val="22"/>
        </w:rPr>
        <w:t>(0</w:t>
      </w:r>
      <w:r w:rsidRPr="001C4A6B">
        <w:rPr>
          <w:bCs/>
          <w:spacing w:val="-6"/>
          <w:sz w:val="22"/>
          <w:szCs w:val="22"/>
        </w:rPr>
        <w:t xml:space="preserve"> </w:t>
      </w:r>
      <w:r w:rsidRPr="001C4A6B">
        <w:rPr>
          <w:bCs/>
          <w:sz w:val="22"/>
          <w:szCs w:val="22"/>
        </w:rPr>
        <w:t>out</w:t>
      </w:r>
      <w:r w:rsidRPr="001C4A6B">
        <w:rPr>
          <w:bCs/>
          <w:spacing w:val="-3"/>
          <w:sz w:val="22"/>
          <w:szCs w:val="22"/>
        </w:rPr>
        <w:t xml:space="preserve"> </w:t>
      </w:r>
      <w:r w:rsidRPr="001C4A6B">
        <w:rPr>
          <w:bCs/>
          <w:sz w:val="22"/>
          <w:szCs w:val="22"/>
        </w:rPr>
        <w:t>of</w:t>
      </w:r>
      <w:r w:rsidRPr="001C4A6B">
        <w:rPr>
          <w:bCs/>
          <w:spacing w:val="-3"/>
          <w:sz w:val="22"/>
          <w:szCs w:val="22"/>
        </w:rPr>
        <w:t xml:space="preserve"> </w:t>
      </w:r>
      <w:r w:rsidRPr="001C4A6B">
        <w:rPr>
          <w:bCs/>
          <w:sz w:val="22"/>
          <w:szCs w:val="22"/>
        </w:rPr>
        <w:t>36</w:t>
      </w:r>
      <w:r w:rsidRPr="001C4A6B">
        <w:rPr>
          <w:bCs/>
          <w:spacing w:val="-6"/>
          <w:sz w:val="22"/>
          <w:szCs w:val="22"/>
        </w:rPr>
        <w:t xml:space="preserve"> </w:t>
      </w:r>
      <w:r w:rsidRPr="001C4A6B">
        <w:rPr>
          <w:bCs/>
          <w:sz w:val="22"/>
          <w:szCs w:val="22"/>
        </w:rPr>
        <w:t xml:space="preserve">models) </w:t>
      </w:r>
      <w:r w:rsidRPr="001C4A6B">
        <w:rPr>
          <w:bCs/>
          <w:position w:val="2"/>
          <w:sz w:val="22"/>
          <w:szCs w:val="22"/>
        </w:rPr>
        <w:t>that the recent spawning biomass had breached the adopted LRP.</w:t>
      </w:r>
    </w:p>
    <w:p w14:paraId="6D8AD261" w14:textId="77777777" w:rsidR="003D217E" w:rsidRPr="001C4A6B" w:rsidRDefault="003D217E" w:rsidP="003D217E">
      <w:pPr>
        <w:autoSpaceDE w:val="0"/>
        <w:autoSpaceDN w:val="0"/>
        <w:adjustRightInd w:val="0"/>
        <w:snapToGrid w:val="0"/>
        <w:jc w:val="both"/>
        <w:rPr>
          <w:bCs/>
          <w:sz w:val="22"/>
          <w:szCs w:val="22"/>
        </w:rPr>
      </w:pPr>
    </w:p>
    <w:p w14:paraId="01B5CDE6"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lastRenderedPageBreak/>
        <w:t>SC14 noted that there has been a long-term increase in fishing mortality for both juvenile and adult bigeye tuna (Figure BET-3), consistent with previous</w:t>
      </w:r>
      <w:r w:rsidRPr="001C4A6B">
        <w:rPr>
          <w:bCs/>
          <w:spacing w:val="-11"/>
          <w:sz w:val="22"/>
          <w:szCs w:val="22"/>
        </w:rPr>
        <w:t xml:space="preserve"> </w:t>
      </w:r>
      <w:r w:rsidRPr="001C4A6B">
        <w:rPr>
          <w:bCs/>
          <w:sz w:val="22"/>
          <w:szCs w:val="22"/>
        </w:rPr>
        <w:t xml:space="preserve">assessments. </w:t>
      </w:r>
    </w:p>
    <w:p w14:paraId="36A8B15E" w14:textId="77777777" w:rsidR="003D217E" w:rsidRPr="001C4A6B" w:rsidRDefault="003D217E" w:rsidP="003D217E">
      <w:pPr>
        <w:autoSpaceDE w:val="0"/>
        <w:autoSpaceDN w:val="0"/>
        <w:adjustRightInd w:val="0"/>
        <w:snapToGrid w:val="0"/>
        <w:jc w:val="both"/>
        <w:rPr>
          <w:bCs/>
          <w:sz w:val="22"/>
          <w:szCs w:val="22"/>
        </w:rPr>
      </w:pPr>
    </w:p>
    <w:p w14:paraId="00A94191"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 xml:space="preserve">SC14 also noted that the central tendency of relative recent fishing mortality </w:t>
      </w:r>
      <w:r w:rsidRPr="001C4A6B">
        <w:rPr>
          <w:bCs/>
          <w:position w:val="2"/>
          <w:sz w:val="22"/>
          <w:szCs w:val="22"/>
        </w:rPr>
        <w:t>was</w:t>
      </w:r>
      <w:r w:rsidRPr="001C4A6B">
        <w:rPr>
          <w:bCs/>
          <w:spacing w:val="-8"/>
          <w:position w:val="2"/>
          <w:sz w:val="22"/>
          <w:szCs w:val="22"/>
        </w:rPr>
        <w:t xml:space="preserve"> </w:t>
      </w:r>
      <w:r w:rsidRPr="001C4A6B">
        <w:rPr>
          <w:bCs/>
          <w:position w:val="2"/>
          <w:sz w:val="22"/>
          <w:szCs w:val="22"/>
        </w:rPr>
        <w:t>median (F</w:t>
      </w:r>
      <w:r w:rsidRPr="001C4A6B">
        <w:rPr>
          <w:bCs/>
          <w:sz w:val="22"/>
          <w:szCs w:val="22"/>
          <w:vertAlign w:val="subscript"/>
        </w:rPr>
        <w:t>recent</w:t>
      </w:r>
      <w:r w:rsidRPr="001C4A6B">
        <w:rPr>
          <w:bCs/>
          <w:position w:val="2"/>
          <w:sz w:val="22"/>
          <w:szCs w:val="22"/>
        </w:rPr>
        <w:t>/F</w:t>
      </w:r>
      <w:r w:rsidRPr="001C4A6B">
        <w:rPr>
          <w:bCs/>
          <w:sz w:val="22"/>
          <w:szCs w:val="22"/>
          <w:vertAlign w:val="subscript"/>
        </w:rPr>
        <w:t>MSY</w:t>
      </w:r>
      <w:r w:rsidRPr="001C4A6B">
        <w:rPr>
          <w:bCs/>
          <w:position w:val="2"/>
          <w:sz w:val="22"/>
          <w:szCs w:val="22"/>
        </w:rPr>
        <w:t>)</w:t>
      </w:r>
      <w:r w:rsidRPr="001C4A6B">
        <w:rPr>
          <w:bCs/>
          <w:spacing w:val="-6"/>
          <w:position w:val="2"/>
          <w:sz w:val="22"/>
          <w:szCs w:val="22"/>
        </w:rPr>
        <w:t xml:space="preserve"> </w:t>
      </w:r>
      <w:r w:rsidRPr="001C4A6B">
        <w:rPr>
          <w:bCs/>
          <w:position w:val="2"/>
          <w:sz w:val="22"/>
          <w:szCs w:val="22"/>
        </w:rPr>
        <w:t>=</w:t>
      </w:r>
      <w:r w:rsidRPr="001C4A6B">
        <w:rPr>
          <w:bCs/>
          <w:spacing w:val="-9"/>
          <w:position w:val="2"/>
          <w:sz w:val="22"/>
          <w:szCs w:val="22"/>
        </w:rPr>
        <w:t xml:space="preserve"> </w:t>
      </w:r>
      <w:r w:rsidRPr="001C4A6B">
        <w:rPr>
          <w:bCs/>
          <w:position w:val="2"/>
          <w:sz w:val="22"/>
          <w:szCs w:val="22"/>
        </w:rPr>
        <w:t>0.77</w:t>
      </w:r>
      <w:r w:rsidRPr="001C4A6B">
        <w:rPr>
          <w:bCs/>
          <w:spacing w:val="-8"/>
          <w:position w:val="2"/>
          <w:sz w:val="22"/>
          <w:szCs w:val="22"/>
        </w:rPr>
        <w:t xml:space="preserve"> </w:t>
      </w:r>
      <w:r w:rsidRPr="001C4A6B">
        <w:rPr>
          <w:bCs/>
          <w:position w:val="2"/>
          <w:sz w:val="22"/>
          <w:szCs w:val="22"/>
        </w:rPr>
        <w:t>with</w:t>
      </w:r>
      <w:r w:rsidRPr="001C4A6B">
        <w:rPr>
          <w:bCs/>
          <w:spacing w:val="-6"/>
          <w:position w:val="2"/>
          <w:sz w:val="22"/>
          <w:szCs w:val="22"/>
        </w:rPr>
        <w:t xml:space="preserve"> </w:t>
      </w:r>
      <w:r w:rsidRPr="001C4A6B">
        <w:rPr>
          <w:bCs/>
          <w:position w:val="2"/>
          <w:sz w:val="22"/>
          <w:szCs w:val="22"/>
        </w:rPr>
        <w:t>an</w:t>
      </w:r>
      <w:r w:rsidRPr="001C4A6B">
        <w:rPr>
          <w:bCs/>
          <w:spacing w:val="-6"/>
          <w:position w:val="2"/>
          <w:sz w:val="22"/>
          <w:szCs w:val="22"/>
        </w:rPr>
        <w:t xml:space="preserve"> </w:t>
      </w:r>
      <w:r w:rsidRPr="001C4A6B">
        <w:rPr>
          <w:bCs/>
          <w:position w:val="2"/>
          <w:sz w:val="22"/>
          <w:szCs w:val="22"/>
        </w:rPr>
        <w:t>80%</w:t>
      </w:r>
      <w:r w:rsidRPr="001C4A6B">
        <w:rPr>
          <w:bCs/>
          <w:spacing w:val="-8"/>
          <w:position w:val="2"/>
          <w:sz w:val="22"/>
          <w:szCs w:val="22"/>
        </w:rPr>
        <w:t xml:space="preserve"> </w:t>
      </w:r>
      <w:r w:rsidRPr="001C4A6B">
        <w:rPr>
          <w:bCs/>
          <w:position w:val="2"/>
          <w:sz w:val="22"/>
          <w:szCs w:val="22"/>
        </w:rPr>
        <w:t xml:space="preserve">probability </w:t>
      </w:r>
      <w:r w:rsidRPr="001C4A6B">
        <w:rPr>
          <w:bCs/>
          <w:sz w:val="22"/>
          <w:szCs w:val="22"/>
        </w:rPr>
        <w:t>interval of 0.67 to 0.93.</w:t>
      </w:r>
    </w:p>
    <w:p w14:paraId="7844F6B1" w14:textId="77777777" w:rsidR="003D217E" w:rsidRPr="001C4A6B" w:rsidRDefault="003D217E" w:rsidP="003D217E">
      <w:pPr>
        <w:autoSpaceDE w:val="0"/>
        <w:autoSpaceDN w:val="0"/>
        <w:adjustRightInd w:val="0"/>
        <w:snapToGrid w:val="0"/>
        <w:jc w:val="both"/>
        <w:rPr>
          <w:bCs/>
          <w:sz w:val="22"/>
          <w:szCs w:val="22"/>
        </w:rPr>
      </w:pPr>
      <w:r w:rsidRPr="001C4A6B">
        <w:rPr>
          <w:bCs/>
          <w:sz w:val="22"/>
          <w:szCs w:val="22"/>
        </w:rPr>
        <w:t xml:space="preserve"> </w:t>
      </w:r>
    </w:p>
    <w:p w14:paraId="08B8EC27"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SC14 further noted that there was a roughly 6% probability (2 out of 36 models</w:t>
      </w:r>
      <w:r w:rsidRPr="001C4A6B">
        <w:rPr>
          <w:bCs/>
          <w:position w:val="2"/>
          <w:sz w:val="22"/>
          <w:szCs w:val="22"/>
        </w:rPr>
        <w:t>)</w:t>
      </w:r>
      <w:r w:rsidRPr="001C4A6B">
        <w:rPr>
          <w:bCs/>
          <w:spacing w:val="-4"/>
          <w:position w:val="2"/>
          <w:sz w:val="22"/>
          <w:szCs w:val="22"/>
        </w:rPr>
        <w:t xml:space="preserve"> </w:t>
      </w:r>
      <w:r w:rsidRPr="001C4A6B">
        <w:rPr>
          <w:bCs/>
          <w:position w:val="2"/>
          <w:sz w:val="22"/>
          <w:szCs w:val="22"/>
        </w:rPr>
        <w:t>that</w:t>
      </w:r>
      <w:r w:rsidRPr="001C4A6B">
        <w:rPr>
          <w:bCs/>
          <w:spacing w:val="-3"/>
          <w:position w:val="2"/>
          <w:sz w:val="22"/>
          <w:szCs w:val="22"/>
        </w:rPr>
        <w:t xml:space="preserve"> </w:t>
      </w:r>
      <w:r w:rsidRPr="001C4A6B">
        <w:rPr>
          <w:bCs/>
          <w:position w:val="2"/>
          <w:sz w:val="22"/>
          <w:szCs w:val="22"/>
        </w:rPr>
        <w:t>the</w:t>
      </w:r>
      <w:r w:rsidRPr="001C4A6B">
        <w:rPr>
          <w:bCs/>
          <w:spacing w:val="-3"/>
          <w:position w:val="2"/>
          <w:sz w:val="22"/>
          <w:szCs w:val="22"/>
        </w:rPr>
        <w:t xml:space="preserve"> </w:t>
      </w:r>
      <w:r w:rsidRPr="001C4A6B">
        <w:rPr>
          <w:bCs/>
          <w:position w:val="2"/>
          <w:sz w:val="22"/>
          <w:szCs w:val="22"/>
        </w:rPr>
        <w:t>recent</w:t>
      </w:r>
      <w:r w:rsidRPr="001C4A6B">
        <w:rPr>
          <w:bCs/>
          <w:spacing w:val="-5"/>
          <w:position w:val="2"/>
          <w:sz w:val="22"/>
          <w:szCs w:val="22"/>
        </w:rPr>
        <w:t xml:space="preserve"> </w:t>
      </w:r>
      <w:r w:rsidRPr="001C4A6B">
        <w:rPr>
          <w:bCs/>
          <w:position w:val="2"/>
          <w:sz w:val="22"/>
          <w:szCs w:val="22"/>
        </w:rPr>
        <w:t>fishing</w:t>
      </w:r>
      <w:r w:rsidRPr="001C4A6B">
        <w:rPr>
          <w:bCs/>
          <w:spacing w:val="-4"/>
          <w:position w:val="2"/>
          <w:sz w:val="22"/>
          <w:szCs w:val="22"/>
        </w:rPr>
        <w:t xml:space="preserve"> </w:t>
      </w:r>
      <w:r w:rsidRPr="001C4A6B">
        <w:rPr>
          <w:bCs/>
          <w:position w:val="2"/>
          <w:sz w:val="22"/>
          <w:szCs w:val="22"/>
        </w:rPr>
        <w:t>mortality</w:t>
      </w:r>
      <w:r w:rsidRPr="001C4A6B">
        <w:rPr>
          <w:bCs/>
          <w:spacing w:val="-6"/>
          <w:position w:val="2"/>
          <w:sz w:val="22"/>
          <w:szCs w:val="22"/>
        </w:rPr>
        <w:t xml:space="preserve"> </w:t>
      </w:r>
      <w:r w:rsidRPr="001C4A6B">
        <w:rPr>
          <w:bCs/>
          <w:position w:val="2"/>
          <w:sz w:val="22"/>
          <w:szCs w:val="22"/>
        </w:rPr>
        <w:t>was</w:t>
      </w:r>
      <w:r w:rsidRPr="001C4A6B">
        <w:rPr>
          <w:bCs/>
          <w:spacing w:val="-3"/>
          <w:position w:val="2"/>
          <w:sz w:val="22"/>
          <w:szCs w:val="22"/>
        </w:rPr>
        <w:t xml:space="preserve"> </w:t>
      </w:r>
      <w:r w:rsidRPr="001C4A6B">
        <w:rPr>
          <w:bCs/>
          <w:position w:val="2"/>
          <w:sz w:val="22"/>
          <w:szCs w:val="22"/>
        </w:rPr>
        <w:t>above</w:t>
      </w:r>
      <w:r w:rsidRPr="001C4A6B">
        <w:rPr>
          <w:bCs/>
          <w:spacing w:val="-3"/>
          <w:position w:val="2"/>
          <w:sz w:val="22"/>
          <w:szCs w:val="22"/>
        </w:rPr>
        <w:t xml:space="preserve"> </w:t>
      </w:r>
      <w:r w:rsidRPr="001C4A6B">
        <w:rPr>
          <w:bCs/>
          <w:position w:val="2"/>
          <w:sz w:val="22"/>
          <w:szCs w:val="22"/>
        </w:rPr>
        <w:t>F</w:t>
      </w:r>
      <w:r w:rsidRPr="001C4A6B">
        <w:rPr>
          <w:bCs/>
          <w:sz w:val="22"/>
          <w:szCs w:val="22"/>
          <w:vertAlign w:val="subscript"/>
        </w:rPr>
        <w:t>MSY</w:t>
      </w:r>
      <w:r w:rsidRPr="001C4A6B">
        <w:rPr>
          <w:bCs/>
          <w:position w:val="2"/>
          <w:sz w:val="22"/>
          <w:szCs w:val="22"/>
        </w:rPr>
        <w:t xml:space="preserve">. </w:t>
      </w:r>
    </w:p>
    <w:p w14:paraId="394838F5" w14:textId="77777777" w:rsidR="003D217E" w:rsidRPr="001C4A6B" w:rsidRDefault="003D217E" w:rsidP="003D217E">
      <w:pPr>
        <w:autoSpaceDE w:val="0"/>
        <w:autoSpaceDN w:val="0"/>
        <w:adjustRightInd w:val="0"/>
        <w:snapToGrid w:val="0"/>
        <w:jc w:val="both"/>
        <w:rPr>
          <w:bCs/>
          <w:sz w:val="22"/>
          <w:szCs w:val="22"/>
        </w:rPr>
      </w:pPr>
    </w:p>
    <w:p w14:paraId="22BDEFF7"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SC14</w:t>
      </w:r>
      <w:r w:rsidRPr="001C4A6B">
        <w:rPr>
          <w:bCs/>
          <w:spacing w:val="-12"/>
          <w:sz w:val="22"/>
          <w:szCs w:val="22"/>
        </w:rPr>
        <w:t xml:space="preserve"> </w:t>
      </w:r>
      <w:r w:rsidRPr="001C4A6B">
        <w:rPr>
          <w:bCs/>
          <w:sz w:val="22"/>
          <w:szCs w:val="22"/>
        </w:rPr>
        <w:t>also</w:t>
      </w:r>
      <w:r w:rsidRPr="001C4A6B">
        <w:rPr>
          <w:bCs/>
          <w:spacing w:val="-12"/>
          <w:sz w:val="22"/>
          <w:szCs w:val="22"/>
        </w:rPr>
        <w:t xml:space="preserve"> </w:t>
      </w:r>
      <w:r w:rsidRPr="001C4A6B">
        <w:rPr>
          <w:bCs/>
          <w:sz w:val="22"/>
          <w:szCs w:val="22"/>
        </w:rPr>
        <w:t>noted</w:t>
      </w:r>
      <w:r w:rsidRPr="001C4A6B">
        <w:rPr>
          <w:bCs/>
          <w:spacing w:val="-12"/>
          <w:sz w:val="22"/>
          <w:szCs w:val="22"/>
        </w:rPr>
        <w:t xml:space="preserve"> </w:t>
      </w:r>
      <w:r w:rsidRPr="001C4A6B">
        <w:rPr>
          <w:bCs/>
          <w:sz w:val="22"/>
          <w:szCs w:val="22"/>
        </w:rPr>
        <w:t>that,</w:t>
      </w:r>
      <w:r w:rsidRPr="001C4A6B">
        <w:rPr>
          <w:bCs/>
          <w:spacing w:val="-12"/>
          <w:sz w:val="22"/>
          <w:szCs w:val="22"/>
        </w:rPr>
        <w:t xml:space="preserve"> </w:t>
      </w:r>
      <w:r w:rsidRPr="001C4A6B">
        <w:rPr>
          <w:bCs/>
          <w:sz w:val="22"/>
          <w:szCs w:val="22"/>
        </w:rPr>
        <w:t>regardless</w:t>
      </w:r>
      <w:r w:rsidRPr="001C4A6B">
        <w:rPr>
          <w:bCs/>
          <w:spacing w:val="-11"/>
          <w:sz w:val="22"/>
          <w:szCs w:val="22"/>
        </w:rPr>
        <w:t xml:space="preserve"> </w:t>
      </w:r>
      <w:r w:rsidRPr="001C4A6B">
        <w:rPr>
          <w:bCs/>
          <w:sz w:val="22"/>
          <w:szCs w:val="22"/>
        </w:rPr>
        <w:t>of</w:t>
      </w:r>
      <w:r w:rsidRPr="001C4A6B">
        <w:rPr>
          <w:bCs/>
          <w:spacing w:val="-9"/>
          <w:sz w:val="22"/>
          <w:szCs w:val="22"/>
        </w:rPr>
        <w:t xml:space="preserve"> </w:t>
      </w:r>
      <w:r w:rsidRPr="001C4A6B">
        <w:rPr>
          <w:bCs/>
          <w:sz w:val="22"/>
          <w:szCs w:val="22"/>
        </w:rPr>
        <w:t>the</w:t>
      </w:r>
      <w:r w:rsidRPr="001C4A6B">
        <w:rPr>
          <w:bCs/>
          <w:spacing w:val="-11"/>
          <w:sz w:val="22"/>
          <w:szCs w:val="22"/>
        </w:rPr>
        <w:t xml:space="preserve"> </w:t>
      </w:r>
      <w:r w:rsidRPr="001C4A6B">
        <w:rPr>
          <w:bCs/>
          <w:sz w:val="22"/>
          <w:szCs w:val="22"/>
        </w:rPr>
        <w:t>choice</w:t>
      </w:r>
      <w:r w:rsidRPr="001C4A6B">
        <w:rPr>
          <w:bCs/>
          <w:spacing w:val="-11"/>
          <w:sz w:val="22"/>
          <w:szCs w:val="22"/>
        </w:rPr>
        <w:t xml:space="preserve"> </w:t>
      </w:r>
      <w:r w:rsidRPr="001C4A6B">
        <w:rPr>
          <w:bCs/>
          <w:sz w:val="22"/>
          <w:szCs w:val="22"/>
        </w:rPr>
        <w:t>of</w:t>
      </w:r>
      <w:r w:rsidRPr="001C4A6B">
        <w:rPr>
          <w:bCs/>
          <w:spacing w:val="-9"/>
          <w:sz w:val="22"/>
          <w:szCs w:val="22"/>
        </w:rPr>
        <w:t xml:space="preserve"> </w:t>
      </w:r>
      <w:r w:rsidRPr="001C4A6B">
        <w:rPr>
          <w:bCs/>
          <w:sz w:val="22"/>
          <w:szCs w:val="22"/>
        </w:rPr>
        <w:t>uncertainty</w:t>
      </w:r>
      <w:r w:rsidRPr="001C4A6B">
        <w:rPr>
          <w:bCs/>
          <w:spacing w:val="-12"/>
          <w:sz w:val="22"/>
          <w:szCs w:val="22"/>
        </w:rPr>
        <w:t xml:space="preserve"> </w:t>
      </w:r>
      <w:r w:rsidRPr="001C4A6B">
        <w:rPr>
          <w:bCs/>
          <w:sz w:val="22"/>
          <w:szCs w:val="22"/>
        </w:rPr>
        <w:t>grid,</w:t>
      </w:r>
      <w:r w:rsidRPr="001C4A6B">
        <w:rPr>
          <w:bCs/>
          <w:spacing w:val="-12"/>
          <w:sz w:val="22"/>
          <w:szCs w:val="22"/>
        </w:rPr>
        <w:t xml:space="preserve"> </w:t>
      </w:r>
      <w:r w:rsidRPr="001C4A6B">
        <w:rPr>
          <w:bCs/>
          <w:sz w:val="22"/>
          <w:szCs w:val="22"/>
        </w:rPr>
        <w:t>the</w:t>
      </w:r>
      <w:r w:rsidRPr="001C4A6B">
        <w:rPr>
          <w:bCs/>
          <w:spacing w:val="-11"/>
          <w:sz w:val="22"/>
          <w:szCs w:val="22"/>
        </w:rPr>
        <w:t xml:space="preserve"> </w:t>
      </w:r>
      <w:r w:rsidRPr="001C4A6B">
        <w:rPr>
          <w:bCs/>
          <w:sz w:val="22"/>
          <w:szCs w:val="22"/>
        </w:rPr>
        <w:t>assessment</w:t>
      </w:r>
      <w:r w:rsidRPr="001C4A6B">
        <w:rPr>
          <w:bCs/>
          <w:spacing w:val="-11"/>
          <w:sz w:val="22"/>
          <w:szCs w:val="22"/>
        </w:rPr>
        <w:t xml:space="preserve"> </w:t>
      </w:r>
      <w:r w:rsidRPr="001C4A6B">
        <w:rPr>
          <w:bCs/>
          <w:sz w:val="22"/>
          <w:szCs w:val="22"/>
        </w:rPr>
        <w:t>results</w:t>
      </w:r>
      <w:r w:rsidRPr="001C4A6B">
        <w:rPr>
          <w:bCs/>
          <w:spacing w:val="-11"/>
          <w:sz w:val="22"/>
          <w:szCs w:val="22"/>
        </w:rPr>
        <w:t xml:space="preserve"> </w:t>
      </w:r>
      <w:r w:rsidRPr="001C4A6B">
        <w:rPr>
          <w:bCs/>
          <w:sz w:val="22"/>
          <w:szCs w:val="22"/>
        </w:rPr>
        <w:t>show that</w:t>
      </w:r>
      <w:r w:rsidRPr="001C4A6B">
        <w:rPr>
          <w:bCs/>
          <w:spacing w:val="-3"/>
          <w:sz w:val="22"/>
          <w:szCs w:val="22"/>
        </w:rPr>
        <w:t xml:space="preserve"> </w:t>
      </w:r>
      <w:r w:rsidRPr="001C4A6B">
        <w:rPr>
          <w:bCs/>
          <w:sz w:val="22"/>
          <w:szCs w:val="22"/>
        </w:rPr>
        <w:t>the</w:t>
      </w:r>
      <w:r w:rsidRPr="001C4A6B">
        <w:rPr>
          <w:bCs/>
          <w:spacing w:val="-3"/>
          <w:sz w:val="22"/>
          <w:szCs w:val="22"/>
        </w:rPr>
        <w:t xml:space="preserve"> </w:t>
      </w:r>
      <w:r w:rsidRPr="001C4A6B">
        <w:rPr>
          <w:bCs/>
          <w:sz w:val="22"/>
          <w:szCs w:val="22"/>
        </w:rPr>
        <w:t>stock</w:t>
      </w:r>
      <w:r w:rsidRPr="001C4A6B">
        <w:rPr>
          <w:bCs/>
          <w:spacing w:val="-1"/>
          <w:sz w:val="22"/>
          <w:szCs w:val="22"/>
        </w:rPr>
        <w:t xml:space="preserve"> </w:t>
      </w:r>
      <w:r w:rsidRPr="001C4A6B">
        <w:rPr>
          <w:bCs/>
          <w:sz w:val="22"/>
          <w:szCs w:val="22"/>
        </w:rPr>
        <w:t>has</w:t>
      </w:r>
      <w:r w:rsidRPr="001C4A6B">
        <w:rPr>
          <w:bCs/>
          <w:spacing w:val="-1"/>
          <w:sz w:val="22"/>
          <w:szCs w:val="22"/>
        </w:rPr>
        <w:t xml:space="preserve"> </w:t>
      </w:r>
      <w:r w:rsidRPr="001C4A6B">
        <w:rPr>
          <w:bCs/>
          <w:sz w:val="22"/>
          <w:szCs w:val="22"/>
        </w:rPr>
        <w:t>been</w:t>
      </w:r>
      <w:r w:rsidRPr="001C4A6B">
        <w:rPr>
          <w:bCs/>
          <w:spacing w:val="-4"/>
          <w:sz w:val="22"/>
          <w:szCs w:val="22"/>
        </w:rPr>
        <w:t xml:space="preserve"> </w:t>
      </w:r>
      <w:r w:rsidRPr="001C4A6B">
        <w:rPr>
          <w:bCs/>
          <w:sz w:val="22"/>
          <w:szCs w:val="22"/>
        </w:rPr>
        <w:t>continuously</w:t>
      </w:r>
      <w:r w:rsidRPr="001C4A6B">
        <w:rPr>
          <w:bCs/>
          <w:spacing w:val="-3"/>
          <w:sz w:val="22"/>
          <w:szCs w:val="22"/>
        </w:rPr>
        <w:t xml:space="preserve"> </w:t>
      </w:r>
      <w:r w:rsidRPr="001C4A6B">
        <w:rPr>
          <w:bCs/>
          <w:sz w:val="22"/>
          <w:szCs w:val="22"/>
        </w:rPr>
        <w:t>declining</w:t>
      </w:r>
      <w:r w:rsidRPr="001C4A6B">
        <w:rPr>
          <w:bCs/>
          <w:spacing w:val="-6"/>
          <w:sz w:val="22"/>
          <w:szCs w:val="22"/>
        </w:rPr>
        <w:t xml:space="preserve"> </w:t>
      </w:r>
      <w:r w:rsidRPr="001C4A6B">
        <w:rPr>
          <w:bCs/>
          <w:sz w:val="22"/>
          <w:szCs w:val="22"/>
        </w:rPr>
        <w:t>for</w:t>
      </w:r>
      <w:r w:rsidRPr="001C4A6B">
        <w:rPr>
          <w:bCs/>
          <w:spacing w:val="-3"/>
          <w:sz w:val="22"/>
          <w:szCs w:val="22"/>
        </w:rPr>
        <w:t xml:space="preserve"> </w:t>
      </w:r>
      <w:r w:rsidRPr="001C4A6B">
        <w:rPr>
          <w:bCs/>
          <w:sz w:val="22"/>
          <w:szCs w:val="22"/>
        </w:rPr>
        <w:t>about</w:t>
      </w:r>
      <w:r w:rsidRPr="001C4A6B">
        <w:rPr>
          <w:bCs/>
          <w:spacing w:val="-1"/>
          <w:sz w:val="22"/>
          <w:szCs w:val="22"/>
        </w:rPr>
        <w:t xml:space="preserve"> </w:t>
      </w:r>
      <w:r w:rsidRPr="001C4A6B">
        <w:rPr>
          <w:bCs/>
          <w:sz w:val="22"/>
          <w:szCs w:val="22"/>
        </w:rPr>
        <w:t>60</w:t>
      </w:r>
      <w:r w:rsidRPr="001C4A6B">
        <w:rPr>
          <w:bCs/>
          <w:spacing w:val="-3"/>
          <w:sz w:val="22"/>
          <w:szCs w:val="22"/>
        </w:rPr>
        <w:t xml:space="preserve"> </w:t>
      </w:r>
      <w:r w:rsidRPr="001C4A6B">
        <w:rPr>
          <w:bCs/>
          <w:sz w:val="22"/>
          <w:szCs w:val="22"/>
        </w:rPr>
        <w:t>years</w:t>
      </w:r>
      <w:r w:rsidRPr="001C4A6B">
        <w:rPr>
          <w:bCs/>
          <w:spacing w:val="-3"/>
          <w:sz w:val="22"/>
          <w:szCs w:val="22"/>
        </w:rPr>
        <w:t xml:space="preserve"> </w:t>
      </w:r>
      <w:r w:rsidRPr="001C4A6B">
        <w:rPr>
          <w:bCs/>
          <w:sz w:val="22"/>
          <w:szCs w:val="22"/>
        </w:rPr>
        <w:t>since</w:t>
      </w:r>
      <w:r w:rsidRPr="001C4A6B">
        <w:rPr>
          <w:bCs/>
          <w:spacing w:val="-3"/>
          <w:sz w:val="22"/>
          <w:szCs w:val="22"/>
        </w:rPr>
        <w:t xml:space="preserve"> </w:t>
      </w:r>
      <w:r w:rsidRPr="001C4A6B">
        <w:rPr>
          <w:bCs/>
          <w:sz w:val="22"/>
          <w:szCs w:val="22"/>
        </w:rPr>
        <w:t>the</w:t>
      </w:r>
      <w:r w:rsidRPr="001C4A6B">
        <w:rPr>
          <w:bCs/>
          <w:spacing w:val="-3"/>
          <w:sz w:val="22"/>
          <w:szCs w:val="22"/>
        </w:rPr>
        <w:t xml:space="preserve"> </w:t>
      </w:r>
      <w:r w:rsidRPr="001C4A6B">
        <w:rPr>
          <w:bCs/>
          <w:sz w:val="22"/>
          <w:szCs w:val="22"/>
        </w:rPr>
        <w:t>late</w:t>
      </w:r>
      <w:r w:rsidRPr="001C4A6B">
        <w:rPr>
          <w:bCs/>
          <w:spacing w:val="-1"/>
          <w:sz w:val="22"/>
          <w:szCs w:val="22"/>
        </w:rPr>
        <w:t xml:space="preserve"> </w:t>
      </w:r>
      <w:r w:rsidRPr="001C4A6B">
        <w:rPr>
          <w:bCs/>
          <w:sz w:val="22"/>
          <w:szCs w:val="22"/>
        </w:rPr>
        <w:t>1950’s,</w:t>
      </w:r>
      <w:r w:rsidRPr="001C4A6B">
        <w:rPr>
          <w:bCs/>
          <w:spacing w:val="-4"/>
          <w:sz w:val="22"/>
          <w:szCs w:val="22"/>
        </w:rPr>
        <w:t xml:space="preserve"> </w:t>
      </w:r>
      <w:r w:rsidRPr="001C4A6B">
        <w:rPr>
          <w:bCs/>
          <w:sz w:val="22"/>
          <w:szCs w:val="22"/>
        </w:rPr>
        <w:t>except</w:t>
      </w:r>
      <w:r w:rsidRPr="001C4A6B">
        <w:rPr>
          <w:bCs/>
          <w:spacing w:val="-5"/>
          <w:sz w:val="22"/>
          <w:szCs w:val="22"/>
        </w:rPr>
        <w:t xml:space="preserve"> </w:t>
      </w:r>
      <w:r w:rsidRPr="001C4A6B">
        <w:rPr>
          <w:bCs/>
          <w:sz w:val="22"/>
          <w:szCs w:val="22"/>
        </w:rPr>
        <w:t>for</w:t>
      </w:r>
      <w:r w:rsidRPr="001C4A6B">
        <w:rPr>
          <w:bCs/>
          <w:spacing w:val="-3"/>
          <w:sz w:val="22"/>
          <w:szCs w:val="22"/>
        </w:rPr>
        <w:t xml:space="preserve"> </w:t>
      </w:r>
      <w:r w:rsidRPr="001C4A6B">
        <w:rPr>
          <w:bCs/>
          <w:sz w:val="22"/>
          <w:szCs w:val="22"/>
        </w:rPr>
        <w:t xml:space="preserve">the recent small increase. </w:t>
      </w:r>
    </w:p>
    <w:p w14:paraId="6BAB8BDA" w14:textId="77777777" w:rsidR="003D217E" w:rsidRPr="001C4A6B" w:rsidRDefault="003D217E" w:rsidP="003D217E">
      <w:pPr>
        <w:autoSpaceDE w:val="0"/>
        <w:autoSpaceDN w:val="0"/>
        <w:adjustRightInd w:val="0"/>
        <w:snapToGrid w:val="0"/>
        <w:jc w:val="both"/>
        <w:rPr>
          <w:bCs/>
          <w:sz w:val="22"/>
          <w:szCs w:val="22"/>
        </w:rPr>
      </w:pPr>
    </w:p>
    <w:p w14:paraId="2F212215" w14:textId="77777777" w:rsidR="003D217E" w:rsidRPr="00363A41"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SC14</w:t>
      </w:r>
      <w:r w:rsidRPr="001C4A6B">
        <w:rPr>
          <w:bCs/>
          <w:spacing w:val="-8"/>
          <w:sz w:val="22"/>
          <w:szCs w:val="22"/>
        </w:rPr>
        <w:t xml:space="preserve"> </w:t>
      </w:r>
      <w:r w:rsidRPr="001C4A6B">
        <w:rPr>
          <w:bCs/>
          <w:sz w:val="22"/>
          <w:szCs w:val="22"/>
        </w:rPr>
        <w:t>also</w:t>
      </w:r>
      <w:r w:rsidRPr="001C4A6B">
        <w:rPr>
          <w:bCs/>
          <w:spacing w:val="-8"/>
          <w:sz w:val="22"/>
          <w:szCs w:val="22"/>
        </w:rPr>
        <w:t xml:space="preserve"> </w:t>
      </w:r>
      <w:r w:rsidRPr="001C4A6B">
        <w:rPr>
          <w:bCs/>
          <w:sz w:val="22"/>
          <w:szCs w:val="22"/>
        </w:rPr>
        <w:t>noted</w:t>
      </w:r>
      <w:r w:rsidRPr="001C4A6B">
        <w:rPr>
          <w:bCs/>
          <w:spacing w:val="-8"/>
          <w:sz w:val="22"/>
          <w:szCs w:val="22"/>
        </w:rPr>
        <w:t xml:space="preserve"> </w:t>
      </w:r>
      <w:r w:rsidRPr="001C4A6B">
        <w:rPr>
          <w:bCs/>
          <w:sz w:val="22"/>
          <w:szCs w:val="22"/>
        </w:rPr>
        <w:t>the</w:t>
      </w:r>
      <w:r w:rsidRPr="001C4A6B">
        <w:rPr>
          <w:bCs/>
          <w:spacing w:val="-8"/>
          <w:sz w:val="22"/>
          <w:szCs w:val="22"/>
        </w:rPr>
        <w:t xml:space="preserve"> </w:t>
      </w:r>
      <w:r w:rsidRPr="001C4A6B">
        <w:rPr>
          <w:bCs/>
          <w:sz w:val="22"/>
          <w:szCs w:val="22"/>
        </w:rPr>
        <w:t>continued</w:t>
      </w:r>
      <w:r w:rsidRPr="001C4A6B">
        <w:rPr>
          <w:bCs/>
          <w:spacing w:val="-8"/>
          <w:sz w:val="22"/>
          <w:szCs w:val="22"/>
        </w:rPr>
        <w:t xml:space="preserve"> relatively </w:t>
      </w:r>
      <w:r w:rsidRPr="001C4A6B">
        <w:rPr>
          <w:bCs/>
          <w:sz w:val="22"/>
          <w:szCs w:val="22"/>
        </w:rPr>
        <w:t>higher</w:t>
      </w:r>
      <w:r w:rsidRPr="001C4A6B">
        <w:rPr>
          <w:bCs/>
          <w:spacing w:val="-10"/>
          <w:sz w:val="22"/>
          <w:szCs w:val="22"/>
        </w:rPr>
        <w:t xml:space="preserve"> </w:t>
      </w:r>
      <w:r w:rsidRPr="001C4A6B">
        <w:rPr>
          <w:bCs/>
          <w:sz w:val="22"/>
          <w:szCs w:val="22"/>
        </w:rPr>
        <w:t>levels</w:t>
      </w:r>
      <w:r w:rsidRPr="001C4A6B">
        <w:rPr>
          <w:bCs/>
          <w:spacing w:val="-8"/>
          <w:sz w:val="22"/>
          <w:szCs w:val="22"/>
        </w:rPr>
        <w:t xml:space="preserve"> </w:t>
      </w:r>
      <w:r w:rsidRPr="001C4A6B">
        <w:rPr>
          <w:bCs/>
          <w:sz w:val="22"/>
          <w:szCs w:val="22"/>
        </w:rPr>
        <w:t>of</w:t>
      </w:r>
      <w:r w:rsidRPr="001C4A6B">
        <w:rPr>
          <w:bCs/>
          <w:spacing w:val="-5"/>
          <w:sz w:val="22"/>
          <w:szCs w:val="22"/>
        </w:rPr>
        <w:t xml:space="preserve"> </w:t>
      </w:r>
      <w:r w:rsidRPr="001C4A6B">
        <w:rPr>
          <w:bCs/>
          <w:sz w:val="22"/>
          <w:szCs w:val="22"/>
        </w:rPr>
        <w:t>depletion</w:t>
      </w:r>
      <w:r w:rsidRPr="001C4A6B">
        <w:rPr>
          <w:bCs/>
          <w:spacing w:val="-11"/>
          <w:sz w:val="22"/>
          <w:szCs w:val="22"/>
        </w:rPr>
        <w:t xml:space="preserve"> </w:t>
      </w:r>
      <w:r w:rsidRPr="001C4A6B">
        <w:rPr>
          <w:bCs/>
          <w:sz w:val="22"/>
          <w:szCs w:val="22"/>
        </w:rPr>
        <w:t>in</w:t>
      </w:r>
      <w:r w:rsidRPr="001C4A6B">
        <w:rPr>
          <w:bCs/>
          <w:spacing w:val="-8"/>
          <w:sz w:val="22"/>
          <w:szCs w:val="22"/>
        </w:rPr>
        <w:t xml:space="preserve"> </w:t>
      </w:r>
      <w:r w:rsidRPr="001C4A6B">
        <w:rPr>
          <w:bCs/>
          <w:sz w:val="22"/>
          <w:szCs w:val="22"/>
        </w:rPr>
        <w:t>the</w:t>
      </w:r>
      <w:r w:rsidRPr="001C4A6B">
        <w:rPr>
          <w:bCs/>
          <w:spacing w:val="-8"/>
          <w:sz w:val="22"/>
          <w:szCs w:val="22"/>
        </w:rPr>
        <w:t xml:space="preserve"> </w:t>
      </w:r>
      <w:r w:rsidRPr="001C4A6B">
        <w:rPr>
          <w:bCs/>
          <w:sz w:val="22"/>
          <w:szCs w:val="22"/>
        </w:rPr>
        <w:t>equatorial</w:t>
      </w:r>
      <w:r w:rsidRPr="001C4A6B">
        <w:rPr>
          <w:bCs/>
          <w:spacing w:val="-7"/>
          <w:sz w:val="22"/>
          <w:szCs w:val="22"/>
        </w:rPr>
        <w:t xml:space="preserve"> </w:t>
      </w:r>
      <w:r w:rsidRPr="001C4A6B">
        <w:rPr>
          <w:bCs/>
          <w:sz w:val="22"/>
          <w:szCs w:val="22"/>
        </w:rPr>
        <w:t>and</w:t>
      </w:r>
      <w:r w:rsidRPr="001C4A6B">
        <w:rPr>
          <w:bCs/>
          <w:spacing w:val="-8"/>
          <w:sz w:val="22"/>
          <w:szCs w:val="22"/>
        </w:rPr>
        <w:t xml:space="preserve"> </w:t>
      </w:r>
      <w:r w:rsidRPr="001C4A6B">
        <w:rPr>
          <w:bCs/>
          <w:sz w:val="22"/>
          <w:szCs w:val="22"/>
        </w:rPr>
        <w:t>western</w:t>
      </w:r>
      <w:r w:rsidRPr="001C4A6B">
        <w:rPr>
          <w:bCs/>
          <w:spacing w:val="-11"/>
          <w:sz w:val="22"/>
          <w:szCs w:val="22"/>
        </w:rPr>
        <w:t xml:space="preserve"> </w:t>
      </w:r>
      <w:r w:rsidRPr="001C4A6B">
        <w:rPr>
          <w:bCs/>
          <w:sz w:val="22"/>
          <w:szCs w:val="22"/>
        </w:rPr>
        <w:t>Pacific (specifically</w:t>
      </w:r>
      <w:r w:rsidRPr="001C4A6B">
        <w:rPr>
          <w:bCs/>
          <w:spacing w:val="-2"/>
          <w:sz w:val="22"/>
          <w:szCs w:val="22"/>
        </w:rPr>
        <w:t xml:space="preserve"> </w:t>
      </w:r>
      <w:r w:rsidRPr="001C4A6B">
        <w:rPr>
          <w:bCs/>
          <w:sz w:val="22"/>
          <w:szCs w:val="22"/>
        </w:rPr>
        <w:t>Regions</w:t>
      </w:r>
      <w:r w:rsidRPr="001C4A6B">
        <w:rPr>
          <w:bCs/>
          <w:spacing w:val="-4"/>
          <w:sz w:val="22"/>
          <w:szCs w:val="22"/>
        </w:rPr>
        <w:t xml:space="preserve"> </w:t>
      </w:r>
      <w:r w:rsidRPr="001C4A6B">
        <w:rPr>
          <w:bCs/>
          <w:sz w:val="22"/>
          <w:szCs w:val="22"/>
        </w:rPr>
        <w:t>3,</w:t>
      </w:r>
      <w:r w:rsidRPr="001C4A6B">
        <w:rPr>
          <w:bCs/>
          <w:spacing w:val="-5"/>
          <w:sz w:val="22"/>
          <w:szCs w:val="22"/>
        </w:rPr>
        <w:t xml:space="preserve"> </w:t>
      </w:r>
      <w:r w:rsidRPr="001C4A6B">
        <w:rPr>
          <w:bCs/>
          <w:sz w:val="22"/>
          <w:szCs w:val="22"/>
        </w:rPr>
        <w:t>4,</w:t>
      </w:r>
      <w:r w:rsidRPr="001C4A6B">
        <w:rPr>
          <w:bCs/>
          <w:spacing w:val="-3"/>
          <w:sz w:val="22"/>
          <w:szCs w:val="22"/>
        </w:rPr>
        <w:t xml:space="preserve"> </w:t>
      </w:r>
      <w:r w:rsidRPr="001C4A6B">
        <w:rPr>
          <w:bCs/>
          <w:sz w:val="22"/>
          <w:szCs w:val="22"/>
        </w:rPr>
        <w:t>7</w:t>
      </w:r>
      <w:r w:rsidRPr="001C4A6B">
        <w:rPr>
          <w:bCs/>
          <w:spacing w:val="-2"/>
          <w:sz w:val="22"/>
          <w:szCs w:val="22"/>
        </w:rPr>
        <w:t xml:space="preserve"> </w:t>
      </w:r>
      <w:r w:rsidRPr="001C4A6B">
        <w:rPr>
          <w:bCs/>
          <w:sz w:val="22"/>
          <w:szCs w:val="22"/>
        </w:rPr>
        <w:t>and</w:t>
      </w:r>
      <w:r w:rsidRPr="001C4A6B">
        <w:rPr>
          <w:bCs/>
          <w:spacing w:val="-2"/>
          <w:sz w:val="22"/>
          <w:szCs w:val="22"/>
        </w:rPr>
        <w:t xml:space="preserve"> </w:t>
      </w:r>
      <w:r w:rsidRPr="001C4A6B">
        <w:rPr>
          <w:bCs/>
          <w:sz w:val="22"/>
          <w:szCs w:val="22"/>
        </w:rPr>
        <w:t>8)</w:t>
      </w:r>
      <w:r w:rsidRPr="001C4A6B">
        <w:rPr>
          <w:bCs/>
          <w:spacing w:val="-2"/>
          <w:sz w:val="22"/>
          <w:szCs w:val="22"/>
        </w:rPr>
        <w:t xml:space="preserve"> </w:t>
      </w:r>
      <w:r w:rsidRPr="001C4A6B">
        <w:rPr>
          <w:bCs/>
          <w:sz w:val="22"/>
          <w:szCs w:val="22"/>
        </w:rPr>
        <w:t>and</w:t>
      </w:r>
      <w:r w:rsidRPr="001C4A6B">
        <w:rPr>
          <w:bCs/>
          <w:spacing w:val="-2"/>
          <w:sz w:val="22"/>
          <w:szCs w:val="22"/>
        </w:rPr>
        <w:t xml:space="preserve"> </w:t>
      </w:r>
      <w:r w:rsidRPr="001C4A6B">
        <w:rPr>
          <w:bCs/>
          <w:sz w:val="22"/>
          <w:szCs w:val="22"/>
        </w:rPr>
        <w:t>the</w:t>
      </w:r>
      <w:r w:rsidRPr="001C4A6B">
        <w:rPr>
          <w:bCs/>
          <w:spacing w:val="-2"/>
          <w:sz w:val="22"/>
          <w:szCs w:val="22"/>
        </w:rPr>
        <w:t xml:space="preserve"> </w:t>
      </w:r>
      <w:r w:rsidRPr="001C4A6B">
        <w:rPr>
          <w:bCs/>
          <w:sz w:val="22"/>
          <w:szCs w:val="22"/>
        </w:rPr>
        <w:t>associated</w:t>
      </w:r>
      <w:r w:rsidRPr="001C4A6B">
        <w:rPr>
          <w:bCs/>
          <w:spacing w:val="-5"/>
          <w:sz w:val="22"/>
          <w:szCs w:val="22"/>
        </w:rPr>
        <w:t xml:space="preserve"> </w:t>
      </w:r>
      <w:r w:rsidRPr="001C4A6B">
        <w:rPr>
          <w:bCs/>
          <w:sz w:val="22"/>
          <w:szCs w:val="22"/>
        </w:rPr>
        <w:t>higher</w:t>
      </w:r>
      <w:r w:rsidRPr="001C4A6B">
        <w:rPr>
          <w:bCs/>
          <w:spacing w:val="-4"/>
          <w:sz w:val="22"/>
          <w:szCs w:val="22"/>
        </w:rPr>
        <w:t xml:space="preserve"> </w:t>
      </w:r>
      <w:r w:rsidRPr="001C4A6B">
        <w:rPr>
          <w:bCs/>
          <w:sz w:val="22"/>
          <w:szCs w:val="22"/>
        </w:rPr>
        <w:t>levels</w:t>
      </w:r>
      <w:r w:rsidRPr="001C4A6B">
        <w:rPr>
          <w:bCs/>
          <w:spacing w:val="-4"/>
          <w:sz w:val="22"/>
          <w:szCs w:val="22"/>
        </w:rPr>
        <w:t xml:space="preserve"> </w:t>
      </w:r>
      <w:r w:rsidRPr="001C4A6B">
        <w:rPr>
          <w:bCs/>
          <w:sz w:val="22"/>
          <w:szCs w:val="22"/>
        </w:rPr>
        <w:t>of</w:t>
      </w:r>
      <w:r w:rsidRPr="001C4A6B">
        <w:rPr>
          <w:bCs/>
          <w:spacing w:val="-1"/>
          <w:sz w:val="22"/>
          <w:szCs w:val="22"/>
        </w:rPr>
        <w:t xml:space="preserve"> </w:t>
      </w:r>
      <w:r w:rsidRPr="001C4A6B">
        <w:rPr>
          <w:bCs/>
          <w:sz w:val="22"/>
          <w:szCs w:val="22"/>
        </w:rPr>
        <w:t>impact, especially</w:t>
      </w:r>
      <w:r w:rsidRPr="001C4A6B">
        <w:rPr>
          <w:bCs/>
          <w:spacing w:val="-7"/>
          <w:sz w:val="22"/>
          <w:szCs w:val="22"/>
        </w:rPr>
        <w:t xml:space="preserve"> </w:t>
      </w:r>
      <w:r w:rsidRPr="001C4A6B">
        <w:rPr>
          <w:bCs/>
          <w:sz w:val="22"/>
          <w:szCs w:val="22"/>
        </w:rPr>
        <w:t>on</w:t>
      </w:r>
      <w:r w:rsidRPr="001C4A6B">
        <w:rPr>
          <w:bCs/>
          <w:spacing w:val="-5"/>
          <w:sz w:val="22"/>
          <w:szCs w:val="22"/>
        </w:rPr>
        <w:t xml:space="preserve"> </w:t>
      </w:r>
      <w:r w:rsidRPr="001C4A6B">
        <w:rPr>
          <w:bCs/>
          <w:sz w:val="22"/>
          <w:szCs w:val="22"/>
        </w:rPr>
        <w:t>juvenile</w:t>
      </w:r>
      <w:r w:rsidRPr="001C4A6B">
        <w:rPr>
          <w:bCs/>
          <w:spacing w:val="-4"/>
          <w:sz w:val="22"/>
          <w:szCs w:val="22"/>
        </w:rPr>
        <w:t xml:space="preserve"> </w:t>
      </w:r>
      <w:r w:rsidRPr="001C4A6B">
        <w:rPr>
          <w:bCs/>
          <w:sz w:val="22"/>
          <w:szCs w:val="22"/>
        </w:rPr>
        <w:t>bigeye</w:t>
      </w:r>
      <w:r w:rsidRPr="001C4A6B">
        <w:rPr>
          <w:bCs/>
          <w:spacing w:val="-4"/>
          <w:sz w:val="22"/>
          <w:szCs w:val="22"/>
        </w:rPr>
        <w:t xml:space="preserve"> </w:t>
      </w:r>
      <w:r w:rsidRPr="001C4A6B">
        <w:rPr>
          <w:bCs/>
          <w:sz w:val="22"/>
          <w:szCs w:val="22"/>
        </w:rPr>
        <w:t>tuna,</w:t>
      </w:r>
      <w:r w:rsidRPr="001C4A6B">
        <w:rPr>
          <w:bCs/>
          <w:spacing w:val="-7"/>
          <w:sz w:val="22"/>
          <w:szCs w:val="22"/>
        </w:rPr>
        <w:t xml:space="preserve"> </w:t>
      </w:r>
      <w:r w:rsidRPr="001C4A6B">
        <w:rPr>
          <w:bCs/>
          <w:sz w:val="22"/>
          <w:szCs w:val="22"/>
        </w:rPr>
        <w:t>in</w:t>
      </w:r>
      <w:r w:rsidRPr="001C4A6B">
        <w:rPr>
          <w:bCs/>
          <w:spacing w:val="-7"/>
          <w:sz w:val="22"/>
          <w:szCs w:val="22"/>
        </w:rPr>
        <w:t xml:space="preserve"> </w:t>
      </w:r>
      <w:r w:rsidRPr="001C4A6B">
        <w:rPr>
          <w:bCs/>
          <w:sz w:val="22"/>
          <w:szCs w:val="22"/>
        </w:rPr>
        <w:t>these</w:t>
      </w:r>
      <w:r w:rsidRPr="001C4A6B">
        <w:rPr>
          <w:bCs/>
          <w:spacing w:val="-4"/>
          <w:sz w:val="22"/>
          <w:szCs w:val="22"/>
        </w:rPr>
        <w:t xml:space="preserve"> </w:t>
      </w:r>
      <w:r w:rsidRPr="001C4A6B">
        <w:rPr>
          <w:bCs/>
          <w:sz w:val="22"/>
          <w:szCs w:val="22"/>
        </w:rPr>
        <w:t>regions</w:t>
      </w:r>
      <w:r w:rsidRPr="001C4A6B">
        <w:rPr>
          <w:bCs/>
          <w:spacing w:val="-4"/>
          <w:sz w:val="22"/>
          <w:szCs w:val="22"/>
        </w:rPr>
        <w:t xml:space="preserve"> </w:t>
      </w:r>
      <w:r w:rsidRPr="001C4A6B">
        <w:rPr>
          <w:bCs/>
          <w:sz w:val="22"/>
          <w:szCs w:val="22"/>
        </w:rPr>
        <w:t>due</w:t>
      </w:r>
      <w:r w:rsidRPr="001C4A6B">
        <w:rPr>
          <w:bCs/>
          <w:spacing w:val="-4"/>
          <w:sz w:val="22"/>
          <w:szCs w:val="22"/>
        </w:rPr>
        <w:t xml:space="preserve"> </w:t>
      </w:r>
      <w:r w:rsidRPr="001C4A6B">
        <w:rPr>
          <w:bCs/>
          <w:sz w:val="22"/>
          <w:szCs w:val="22"/>
        </w:rPr>
        <w:t>to</w:t>
      </w:r>
      <w:r w:rsidRPr="001C4A6B">
        <w:rPr>
          <w:bCs/>
          <w:spacing w:val="-7"/>
          <w:sz w:val="22"/>
          <w:szCs w:val="22"/>
        </w:rPr>
        <w:t xml:space="preserve"> </w:t>
      </w:r>
      <w:r w:rsidRPr="001C4A6B">
        <w:rPr>
          <w:bCs/>
          <w:sz w:val="22"/>
          <w:szCs w:val="22"/>
        </w:rPr>
        <w:t>the</w:t>
      </w:r>
      <w:r w:rsidRPr="001C4A6B">
        <w:rPr>
          <w:bCs/>
          <w:spacing w:val="-4"/>
          <w:sz w:val="22"/>
          <w:szCs w:val="22"/>
        </w:rPr>
        <w:t xml:space="preserve"> </w:t>
      </w:r>
      <w:r w:rsidRPr="001C4A6B">
        <w:rPr>
          <w:bCs/>
          <w:sz w:val="22"/>
          <w:szCs w:val="22"/>
        </w:rPr>
        <w:t>associated</w:t>
      </w:r>
      <w:r w:rsidRPr="001C4A6B">
        <w:rPr>
          <w:bCs/>
          <w:spacing w:val="-5"/>
          <w:sz w:val="22"/>
          <w:szCs w:val="22"/>
        </w:rPr>
        <w:t xml:space="preserve"> </w:t>
      </w:r>
      <w:r w:rsidRPr="001C4A6B">
        <w:rPr>
          <w:bCs/>
          <w:sz w:val="22"/>
          <w:szCs w:val="22"/>
        </w:rPr>
        <w:t>purse-seine</w:t>
      </w:r>
      <w:r w:rsidRPr="001C4A6B">
        <w:rPr>
          <w:bCs/>
          <w:spacing w:val="-7"/>
          <w:sz w:val="22"/>
          <w:szCs w:val="22"/>
        </w:rPr>
        <w:t xml:space="preserve"> </w:t>
      </w:r>
      <w:r w:rsidRPr="001C4A6B">
        <w:rPr>
          <w:bCs/>
          <w:sz w:val="22"/>
          <w:szCs w:val="22"/>
        </w:rPr>
        <w:t>fisheries</w:t>
      </w:r>
      <w:r w:rsidRPr="001C4A6B">
        <w:rPr>
          <w:bCs/>
          <w:spacing w:val="-6"/>
          <w:sz w:val="22"/>
          <w:szCs w:val="22"/>
        </w:rPr>
        <w:t xml:space="preserve"> </w:t>
      </w:r>
      <w:r w:rsidRPr="001C4A6B">
        <w:rPr>
          <w:bCs/>
          <w:sz w:val="22"/>
          <w:szCs w:val="22"/>
        </w:rPr>
        <w:t>and</w:t>
      </w:r>
      <w:r w:rsidRPr="001C4A6B">
        <w:rPr>
          <w:bCs/>
          <w:spacing w:val="-5"/>
          <w:sz w:val="22"/>
          <w:szCs w:val="22"/>
        </w:rPr>
        <w:t xml:space="preserve"> </w:t>
      </w:r>
      <w:r w:rsidRPr="001C4A6B">
        <w:rPr>
          <w:bCs/>
          <w:sz w:val="22"/>
          <w:szCs w:val="22"/>
        </w:rPr>
        <w:t>the ‘other’ fisheries within the western Pacific (as shown in Figures 46 and 47 of</w:t>
      </w:r>
      <w:r w:rsidRPr="001C4A6B">
        <w:rPr>
          <w:bCs/>
          <w:spacing w:val="-20"/>
          <w:sz w:val="22"/>
          <w:szCs w:val="22"/>
        </w:rPr>
        <w:t xml:space="preserve"> </w:t>
      </w:r>
      <w:r w:rsidRPr="001C4A6B">
        <w:rPr>
          <w:bCs/>
          <w:sz w:val="22"/>
          <w:szCs w:val="22"/>
        </w:rPr>
        <w:t xml:space="preserve">SC13-SA-WP-03). </w:t>
      </w:r>
    </w:p>
    <w:p w14:paraId="25254B15" w14:textId="77777777" w:rsidR="003D217E" w:rsidRDefault="003D217E" w:rsidP="003D217E">
      <w:pPr>
        <w:pStyle w:val="ListParagraph"/>
        <w:rPr>
          <w:bCs/>
          <w:sz w:val="22"/>
          <w:szCs w:val="22"/>
        </w:rPr>
      </w:pPr>
    </w:p>
    <w:p w14:paraId="22BE3B19" w14:textId="77777777" w:rsidR="003D217E" w:rsidRPr="001C4A6B" w:rsidRDefault="003D217E" w:rsidP="00580EA4">
      <w:pPr>
        <w:numPr>
          <w:ilvl w:val="0"/>
          <w:numId w:val="18"/>
        </w:numPr>
        <w:autoSpaceDE w:val="0"/>
        <w:autoSpaceDN w:val="0"/>
        <w:adjustRightInd w:val="0"/>
        <w:snapToGrid w:val="0"/>
        <w:ind w:left="0" w:firstLine="0"/>
        <w:jc w:val="both"/>
        <w:rPr>
          <w:rFonts w:eastAsia="MS PMincho"/>
          <w:bCs/>
          <w:sz w:val="22"/>
          <w:szCs w:val="22"/>
        </w:rPr>
      </w:pPr>
      <w:r w:rsidRPr="001C4A6B">
        <w:rPr>
          <w:rFonts w:eastAsia="MS PMincho"/>
          <w:bCs/>
          <w:sz w:val="22"/>
          <w:szCs w:val="22"/>
        </w:rPr>
        <w:t>Table BET-3 summarises the median values of SB/SB</w:t>
      </w:r>
      <w:r w:rsidRPr="001C4A6B">
        <w:rPr>
          <w:rFonts w:eastAsia="MS PMincho"/>
          <w:bCs/>
          <w:sz w:val="22"/>
          <w:szCs w:val="22"/>
          <w:vertAlign w:val="subscript"/>
        </w:rPr>
        <w:t>F=0</w:t>
      </w:r>
      <w:r w:rsidRPr="001C4A6B">
        <w:rPr>
          <w:rFonts w:eastAsia="MS PMincho"/>
          <w:bCs/>
          <w:sz w:val="22"/>
          <w:szCs w:val="22"/>
        </w:rPr>
        <w:t xml:space="preserve"> and F/F</w:t>
      </w:r>
      <w:r w:rsidRPr="001C4A6B">
        <w:rPr>
          <w:rFonts w:eastAsia="MS PMincho"/>
          <w:bCs/>
          <w:sz w:val="22"/>
          <w:szCs w:val="22"/>
          <w:vertAlign w:val="subscript"/>
        </w:rPr>
        <w:t>MSY</w:t>
      </w:r>
      <w:r w:rsidRPr="001C4A6B">
        <w:rPr>
          <w:rFonts w:eastAsia="MS PMincho"/>
          <w:bCs/>
          <w:sz w:val="22"/>
          <w:szCs w:val="22"/>
        </w:rPr>
        <w:t xml:space="preserve"> achieved in the long term, along with the potential risk of breaching the limit reference point (LRP) and exceeding F</w:t>
      </w:r>
      <w:r w:rsidRPr="001C4A6B">
        <w:rPr>
          <w:rFonts w:eastAsia="MS PMincho"/>
          <w:bCs/>
          <w:sz w:val="22"/>
          <w:szCs w:val="22"/>
          <w:vertAlign w:val="subscript"/>
        </w:rPr>
        <w:t>MSY</w:t>
      </w:r>
      <w:r w:rsidRPr="001C4A6B">
        <w:rPr>
          <w:rFonts w:eastAsia="MS PMincho"/>
          <w:bCs/>
          <w:sz w:val="22"/>
          <w:szCs w:val="22"/>
        </w:rPr>
        <w:t>, under each of the future fishing and recruitment combinations. Figure BET-6 presents the corresponding distributions of long term SB/SB</w:t>
      </w:r>
      <w:r w:rsidRPr="001C4A6B">
        <w:rPr>
          <w:rFonts w:eastAsia="MS PMincho"/>
          <w:bCs/>
          <w:sz w:val="22"/>
          <w:szCs w:val="22"/>
          <w:vertAlign w:val="subscript"/>
        </w:rPr>
        <w:t>F=0</w:t>
      </w:r>
      <w:r w:rsidRPr="001C4A6B">
        <w:rPr>
          <w:rFonts w:eastAsia="MS PMincho"/>
          <w:bCs/>
          <w:sz w:val="22"/>
          <w:szCs w:val="22"/>
        </w:rPr>
        <w:t xml:space="preserve"> and Figure BET-7 those for F/F</w:t>
      </w:r>
      <w:r w:rsidRPr="001C4A6B">
        <w:rPr>
          <w:rFonts w:eastAsia="MS PMincho"/>
          <w:bCs/>
          <w:sz w:val="22"/>
          <w:szCs w:val="22"/>
          <w:vertAlign w:val="subscript"/>
        </w:rPr>
        <w:t>MSY</w:t>
      </w:r>
      <w:r w:rsidRPr="001C4A6B">
        <w:rPr>
          <w:rFonts w:eastAsia="MS PMincho"/>
          <w:bCs/>
          <w:sz w:val="22"/>
          <w:szCs w:val="22"/>
        </w:rPr>
        <w:t>.</w:t>
      </w:r>
    </w:p>
    <w:p w14:paraId="76EDF915" w14:textId="77777777" w:rsidR="003D217E" w:rsidRPr="001C4A6B" w:rsidRDefault="003D217E" w:rsidP="003D217E">
      <w:pPr>
        <w:autoSpaceDE w:val="0"/>
        <w:autoSpaceDN w:val="0"/>
        <w:adjustRightInd w:val="0"/>
        <w:snapToGrid w:val="0"/>
        <w:jc w:val="both"/>
        <w:rPr>
          <w:rFonts w:eastAsia="MS PMincho"/>
          <w:bCs/>
          <w:sz w:val="22"/>
          <w:szCs w:val="22"/>
        </w:rPr>
      </w:pPr>
    </w:p>
    <w:p w14:paraId="22799404" w14:textId="77777777" w:rsidR="003D217E" w:rsidRPr="001C4A6B" w:rsidRDefault="003D217E" w:rsidP="00580EA4">
      <w:pPr>
        <w:numPr>
          <w:ilvl w:val="0"/>
          <w:numId w:val="18"/>
        </w:numPr>
        <w:autoSpaceDE w:val="0"/>
        <w:autoSpaceDN w:val="0"/>
        <w:adjustRightInd w:val="0"/>
        <w:snapToGrid w:val="0"/>
        <w:ind w:left="0" w:firstLine="0"/>
        <w:jc w:val="both"/>
        <w:rPr>
          <w:rFonts w:eastAsia="MS PMincho"/>
          <w:bCs/>
          <w:sz w:val="22"/>
          <w:szCs w:val="22"/>
        </w:rPr>
      </w:pPr>
      <w:r w:rsidRPr="001C4A6B">
        <w:rPr>
          <w:rFonts w:eastAsia="MS PMincho"/>
          <w:bCs/>
          <w:sz w:val="22"/>
          <w:szCs w:val="22"/>
        </w:rPr>
        <w:t xml:space="preserve">Potential outcomes under the 2013-15 average and CMM scenario conditions were strongly influenced by the assumed future recruitment levels. </w:t>
      </w:r>
    </w:p>
    <w:p w14:paraId="2D301AD2" w14:textId="77777777" w:rsidR="003D217E" w:rsidRPr="001C4A6B" w:rsidRDefault="003D217E" w:rsidP="003D217E">
      <w:pPr>
        <w:autoSpaceDE w:val="0"/>
        <w:autoSpaceDN w:val="0"/>
        <w:adjustRightInd w:val="0"/>
        <w:snapToGrid w:val="0"/>
        <w:jc w:val="both"/>
        <w:rPr>
          <w:rFonts w:eastAsia="MS PMincho"/>
          <w:bCs/>
          <w:sz w:val="22"/>
          <w:szCs w:val="22"/>
        </w:rPr>
      </w:pPr>
    </w:p>
    <w:p w14:paraId="2981BB10" w14:textId="77777777" w:rsidR="003D217E" w:rsidRPr="001C4A6B" w:rsidRDefault="003D217E" w:rsidP="00580EA4">
      <w:pPr>
        <w:numPr>
          <w:ilvl w:val="0"/>
          <w:numId w:val="18"/>
        </w:numPr>
        <w:autoSpaceDE w:val="0"/>
        <w:autoSpaceDN w:val="0"/>
        <w:adjustRightInd w:val="0"/>
        <w:snapToGrid w:val="0"/>
        <w:ind w:left="0" w:firstLine="0"/>
        <w:jc w:val="both"/>
        <w:rPr>
          <w:rFonts w:eastAsia="MS PMincho"/>
          <w:bCs/>
          <w:sz w:val="22"/>
          <w:szCs w:val="22"/>
        </w:rPr>
      </w:pPr>
      <w:r w:rsidRPr="001C4A6B">
        <w:rPr>
          <w:rFonts w:eastAsia="MS PMincho"/>
          <w:bCs/>
          <w:sz w:val="22"/>
          <w:szCs w:val="22"/>
        </w:rPr>
        <w:t>Under the assumption that recent positive recruitments will continue into the future, spawning biomass relative to unfished levels is predicted to increase from recent levels under all examined future scenarios by 0-18% (SB</w:t>
      </w:r>
      <w:r w:rsidRPr="001C4A6B">
        <w:rPr>
          <w:rFonts w:eastAsia="MS PMincho"/>
          <w:bCs/>
          <w:sz w:val="22"/>
          <w:szCs w:val="22"/>
          <w:vertAlign w:val="subscript"/>
        </w:rPr>
        <w:t>2045</w:t>
      </w:r>
      <w:r w:rsidRPr="001C4A6B">
        <w:rPr>
          <w:rFonts w:eastAsia="MS PMincho"/>
          <w:bCs/>
          <w:sz w:val="22"/>
          <w:szCs w:val="22"/>
        </w:rPr>
        <w:t>/SB</w:t>
      </w:r>
      <w:r w:rsidRPr="001C4A6B">
        <w:rPr>
          <w:rFonts w:eastAsia="MS PMincho"/>
          <w:bCs/>
          <w:sz w:val="22"/>
          <w:szCs w:val="22"/>
          <w:vertAlign w:val="subscript"/>
        </w:rPr>
        <w:t>F=0</w:t>
      </w:r>
      <w:r w:rsidRPr="001C4A6B">
        <w:rPr>
          <w:rFonts w:eastAsia="MS PMincho"/>
          <w:bCs/>
          <w:sz w:val="22"/>
          <w:szCs w:val="22"/>
        </w:rPr>
        <w:t xml:space="preserve"> ranges from 0.36 to 0.42; Table BET-3, Figure BET-6). While future uncertainty in stock status increases due to stochastic future recruitment levels, the risk of future spawning biomass falling below the LRP falls to between 0 and 5%, due to the improved overall stock size. Fishing mortality falls slightly under both the status quo and optimistic scenarios, assuming recent recruitment. However, fishing mortality increases under the pessimistic scenario, but remains below F</w:t>
      </w:r>
      <w:r w:rsidRPr="001C4A6B">
        <w:rPr>
          <w:rFonts w:eastAsia="MS PMincho"/>
          <w:bCs/>
          <w:sz w:val="22"/>
          <w:szCs w:val="22"/>
          <w:vertAlign w:val="subscript"/>
        </w:rPr>
        <w:t>MSY</w:t>
      </w:r>
      <w:r w:rsidRPr="001C4A6B">
        <w:rPr>
          <w:rFonts w:eastAsia="MS PMincho"/>
          <w:bCs/>
          <w:sz w:val="22"/>
          <w:szCs w:val="22"/>
        </w:rPr>
        <w:t xml:space="preserve"> (30% risk of F &gt; F</w:t>
      </w:r>
      <w:r w:rsidRPr="001C4A6B">
        <w:rPr>
          <w:rFonts w:eastAsia="MS PMincho"/>
          <w:bCs/>
          <w:sz w:val="22"/>
          <w:szCs w:val="22"/>
          <w:vertAlign w:val="subscript"/>
        </w:rPr>
        <w:t>MSY</w:t>
      </w:r>
      <w:r w:rsidRPr="001C4A6B">
        <w:rPr>
          <w:rFonts w:eastAsia="MS PMincho"/>
          <w:bCs/>
          <w:sz w:val="22"/>
          <w:szCs w:val="22"/>
        </w:rPr>
        <w:t xml:space="preserve"> Table BET-3, Figure BET-7).</w:t>
      </w:r>
    </w:p>
    <w:p w14:paraId="70F2274E" w14:textId="77777777" w:rsidR="003D217E" w:rsidRPr="001C4A6B" w:rsidRDefault="003D217E" w:rsidP="003D217E">
      <w:pPr>
        <w:autoSpaceDE w:val="0"/>
        <w:autoSpaceDN w:val="0"/>
        <w:adjustRightInd w:val="0"/>
        <w:snapToGrid w:val="0"/>
        <w:jc w:val="both"/>
        <w:rPr>
          <w:rFonts w:eastAsia="MS PMincho"/>
          <w:bCs/>
          <w:sz w:val="22"/>
          <w:szCs w:val="22"/>
        </w:rPr>
      </w:pPr>
      <w:r w:rsidRPr="001C4A6B">
        <w:rPr>
          <w:rFonts w:eastAsia="MS PMincho"/>
          <w:bCs/>
          <w:sz w:val="22"/>
          <w:szCs w:val="22"/>
        </w:rPr>
        <w:t xml:space="preserve"> </w:t>
      </w:r>
    </w:p>
    <w:p w14:paraId="14DADB04" w14:textId="77777777" w:rsidR="003D217E" w:rsidRPr="001C4A6B" w:rsidRDefault="003D217E" w:rsidP="00580EA4">
      <w:pPr>
        <w:numPr>
          <w:ilvl w:val="0"/>
          <w:numId w:val="18"/>
        </w:numPr>
        <w:autoSpaceDE w:val="0"/>
        <w:autoSpaceDN w:val="0"/>
        <w:adjustRightInd w:val="0"/>
        <w:snapToGrid w:val="0"/>
        <w:ind w:left="0" w:firstLine="0"/>
        <w:jc w:val="both"/>
        <w:rPr>
          <w:rFonts w:eastAsia="MS PMincho"/>
          <w:bCs/>
          <w:sz w:val="22"/>
          <w:szCs w:val="22"/>
        </w:rPr>
      </w:pPr>
      <w:r w:rsidRPr="001C4A6B">
        <w:rPr>
          <w:rFonts w:eastAsia="MS PMincho"/>
          <w:bCs/>
          <w:sz w:val="22"/>
          <w:szCs w:val="22"/>
        </w:rPr>
        <w:t>Under the assumption that less positive long-term recruitments are experienced in the future, spawning biomass relative to unfished levels will decline under all scenarios (SB</w:t>
      </w:r>
      <w:r w:rsidRPr="001C4A6B">
        <w:rPr>
          <w:rFonts w:eastAsia="MS PMincho"/>
          <w:bCs/>
          <w:sz w:val="22"/>
          <w:szCs w:val="22"/>
          <w:vertAlign w:val="subscript"/>
        </w:rPr>
        <w:t>2045</w:t>
      </w:r>
      <w:r w:rsidRPr="001C4A6B">
        <w:rPr>
          <w:rFonts w:eastAsia="MS PMincho"/>
          <w:bCs/>
          <w:sz w:val="22"/>
          <w:szCs w:val="22"/>
        </w:rPr>
        <w:t>/SB</w:t>
      </w:r>
      <w:r w:rsidRPr="001C4A6B">
        <w:rPr>
          <w:rFonts w:eastAsia="MS PMincho"/>
          <w:bCs/>
          <w:sz w:val="22"/>
          <w:szCs w:val="22"/>
          <w:vertAlign w:val="subscript"/>
        </w:rPr>
        <w:t>F=0</w:t>
      </w:r>
      <w:r w:rsidRPr="001C4A6B">
        <w:rPr>
          <w:rFonts w:eastAsia="MS PMincho"/>
          <w:bCs/>
          <w:sz w:val="22"/>
          <w:szCs w:val="22"/>
        </w:rPr>
        <w:t xml:space="preserve"> ranges from 0.25 to 0.30). The risk of spawning biomass falling below the LRP increases to between 17 and 32% (Table BET-3). In all fishing scenarios, fishing mortality increases relative to recent levels (by 109-138%) and is well above F</w:t>
      </w:r>
      <w:r w:rsidRPr="001C4A6B">
        <w:rPr>
          <w:rFonts w:eastAsia="MS PMincho"/>
          <w:bCs/>
          <w:sz w:val="22"/>
          <w:szCs w:val="22"/>
          <w:vertAlign w:val="subscript"/>
        </w:rPr>
        <w:t>MSY</w:t>
      </w:r>
      <w:r w:rsidRPr="001C4A6B">
        <w:rPr>
          <w:rFonts w:eastAsia="MS PMincho"/>
          <w:bCs/>
          <w:sz w:val="22"/>
          <w:szCs w:val="22"/>
        </w:rPr>
        <w:t>. Risk of fishing mortality exceeding F</w:t>
      </w:r>
      <w:r w:rsidRPr="001C4A6B">
        <w:rPr>
          <w:rFonts w:eastAsia="MS PMincho"/>
          <w:bCs/>
          <w:sz w:val="22"/>
          <w:szCs w:val="22"/>
          <w:vertAlign w:val="subscript"/>
        </w:rPr>
        <w:t xml:space="preserve">MSY </w:t>
      </w:r>
      <w:r w:rsidRPr="001C4A6B">
        <w:rPr>
          <w:rFonts w:eastAsia="MS PMincho"/>
          <w:bCs/>
          <w:sz w:val="22"/>
          <w:szCs w:val="22"/>
        </w:rPr>
        <w:t xml:space="preserve">ranges from 93 to 98%. </w:t>
      </w:r>
    </w:p>
    <w:p w14:paraId="2B10EFB6" w14:textId="77777777" w:rsidR="003D217E" w:rsidRPr="001C4A6B" w:rsidRDefault="003D217E" w:rsidP="003D217E">
      <w:pPr>
        <w:autoSpaceDE w:val="0"/>
        <w:autoSpaceDN w:val="0"/>
        <w:adjustRightInd w:val="0"/>
        <w:snapToGrid w:val="0"/>
        <w:jc w:val="both"/>
        <w:rPr>
          <w:rFonts w:eastAsia="MS PMincho"/>
          <w:bCs/>
          <w:sz w:val="22"/>
          <w:szCs w:val="22"/>
        </w:rPr>
      </w:pPr>
    </w:p>
    <w:p w14:paraId="43C8E8FE" w14:textId="77777777" w:rsidR="003D217E" w:rsidRPr="001C4A6B" w:rsidRDefault="003D217E" w:rsidP="00580EA4">
      <w:pPr>
        <w:numPr>
          <w:ilvl w:val="0"/>
          <w:numId w:val="18"/>
        </w:numPr>
        <w:autoSpaceDE w:val="0"/>
        <w:autoSpaceDN w:val="0"/>
        <w:adjustRightInd w:val="0"/>
        <w:snapToGrid w:val="0"/>
        <w:ind w:left="0" w:firstLine="0"/>
        <w:jc w:val="both"/>
        <w:rPr>
          <w:rFonts w:eastAsia="MS PMincho"/>
          <w:bCs/>
          <w:sz w:val="22"/>
          <w:szCs w:val="22"/>
        </w:rPr>
      </w:pPr>
      <w:r w:rsidRPr="001C4A6B">
        <w:rPr>
          <w:rFonts w:eastAsia="MS PMincho"/>
          <w:bCs/>
          <w:sz w:val="22"/>
          <w:szCs w:val="22"/>
        </w:rPr>
        <w:t xml:space="preserve">It should be noted that even under assumption of long term recruitment levels, the risk of exceeding the LRP in the short term ranges between 2% and 7% (2020) and 12 and 26% (2025), with only the pessimistic scenario exceeding the 20% level of risk in 2025. (Table BET-4 and Figure BET-8) </w:t>
      </w:r>
    </w:p>
    <w:p w14:paraId="0D9F23E1" w14:textId="77777777" w:rsidR="003D217E" w:rsidRPr="004635E5" w:rsidRDefault="003D217E" w:rsidP="003D217E">
      <w:pPr>
        <w:autoSpaceDE w:val="0"/>
        <w:autoSpaceDN w:val="0"/>
        <w:adjustRightInd w:val="0"/>
        <w:snapToGrid w:val="0"/>
        <w:rPr>
          <w:rFonts w:eastAsia="MS PMincho"/>
          <w:sz w:val="22"/>
          <w:szCs w:val="22"/>
        </w:rPr>
      </w:pPr>
    </w:p>
    <w:p w14:paraId="2D302CC8" w14:textId="77777777" w:rsidR="003D217E" w:rsidRPr="004635E5" w:rsidRDefault="003D217E" w:rsidP="003D217E">
      <w:pPr>
        <w:adjustRightInd w:val="0"/>
        <w:snapToGrid w:val="0"/>
        <w:rPr>
          <w:rFonts w:eastAsia="MS PMincho"/>
          <w:sz w:val="22"/>
          <w:szCs w:val="22"/>
        </w:rPr>
        <w:sectPr w:rsidR="003D217E" w:rsidRPr="004635E5" w:rsidSect="0094159E">
          <w:type w:val="continuous"/>
          <w:pgSz w:w="12240" w:h="15840" w:code="1"/>
          <w:pgMar w:top="1440" w:right="1440" w:bottom="1440" w:left="1440" w:header="720" w:footer="720" w:gutter="0"/>
          <w:pgNumType w:fmt="lowerRoman"/>
          <w:cols w:space="720"/>
        </w:sectPr>
      </w:pPr>
      <w:r w:rsidRPr="004635E5">
        <w:rPr>
          <w:rFonts w:eastAsia="MS PMincho"/>
          <w:sz w:val="22"/>
          <w:szCs w:val="22"/>
        </w:rPr>
        <w:br w:type="page"/>
      </w:r>
    </w:p>
    <w:p w14:paraId="2C32B76B" w14:textId="77777777" w:rsidR="003D217E" w:rsidRPr="00D10883" w:rsidRDefault="003D217E" w:rsidP="003D217E">
      <w:pPr>
        <w:keepNext/>
        <w:adjustRightInd w:val="0"/>
        <w:snapToGrid w:val="0"/>
        <w:rPr>
          <w:bCs/>
          <w:sz w:val="22"/>
          <w:szCs w:val="22"/>
          <w:lang w:val="en-GB"/>
        </w:rPr>
      </w:pPr>
      <w:r w:rsidRPr="004635E5">
        <w:rPr>
          <w:b/>
          <w:bCs/>
          <w:sz w:val="22"/>
          <w:szCs w:val="22"/>
          <w:lang w:val="en-GB"/>
        </w:rPr>
        <w:lastRenderedPageBreak/>
        <w:t xml:space="preserve">Table BET-3. </w:t>
      </w:r>
      <w:r w:rsidRPr="00D10883">
        <w:rPr>
          <w:bCs/>
          <w:sz w:val="22"/>
          <w:szCs w:val="22"/>
          <w:lang w:val="en-GB"/>
        </w:rPr>
        <w:t>Including ‘2013-2015 average levels’</w:t>
      </w:r>
    </w:p>
    <w:p w14:paraId="30B357A4" w14:textId="77777777" w:rsidR="003D217E" w:rsidRPr="00D10883" w:rsidRDefault="003D217E" w:rsidP="003D217E">
      <w:pPr>
        <w:keepNext/>
        <w:adjustRightInd w:val="0"/>
        <w:snapToGrid w:val="0"/>
        <w:jc w:val="both"/>
        <w:rPr>
          <w:bCs/>
          <w:sz w:val="22"/>
          <w:szCs w:val="22"/>
          <w:lang w:val="en-GB"/>
        </w:rPr>
      </w:pPr>
      <w:r w:rsidRPr="00D10883">
        <w:rPr>
          <w:bCs/>
          <w:sz w:val="22"/>
          <w:szCs w:val="22"/>
          <w:lang w:val="en-GB"/>
        </w:rPr>
        <w:t>Median values of reference point levels (adopted limit reference point (LRP) of 20% SB</w:t>
      </w:r>
      <w:r w:rsidRPr="00D10883">
        <w:rPr>
          <w:bCs/>
          <w:sz w:val="22"/>
          <w:szCs w:val="22"/>
          <w:vertAlign w:val="subscript"/>
          <w:lang w:val="en-GB"/>
        </w:rPr>
        <w:t>F=0</w:t>
      </w:r>
      <w:r w:rsidRPr="00D10883">
        <w:rPr>
          <w:bCs/>
          <w:sz w:val="22"/>
          <w:szCs w:val="22"/>
          <w:lang w:val="en-GB"/>
        </w:rPr>
        <w:t>; F</w:t>
      </w:r>
      <w:r w:rsidRPr="00D10883">
        <w:rPr>
          <w:bCs/>
          <w:sz w:val="22"/>
          <w:szCs w:val="22"/>
          <w:vertAlign w:val="subscript"/>
          <w:lang w:val="en-GB"/>
        </w:rPr>
        <w:t>MSY</w:t>
      </w:r>
      <w:r w:rsidRPr="00D10883">
        <w:rPr>
          <w:bCs/>
          <w:sz w:val="22"/>
          <w:szCs w:val="22"/>
          <w:lang w:val="en-GB"/>
        </w:rPr>
        <w:t>) and risk</w:t>
      </w:r>
      <w:r w:rsidRPr="00D10883">
        <w:rPr>
          <w:bCs/>
          <w:sz w:val="22"/>
          <w:szCs w:val="22"/>
          <w:vertAlign w:val="superscript"/>
          <w:lang w:val="en-GB"/>
        </w:rPr>
        <w:t>1</w:t>
      </w:r>
      <w:r w:rsidRPr="00D10883">
        <w:rPr>
          <w:bCs/>
          <w:sz w:val="22"/>
          <w:szCs w:val="22"/>
          <w:lang w:val="en-GB"/>
        </w:rPr>
        <w:t xml:space="preserve"> of breaching reference points from the 201</w:t>
      </w:r>
      <w:r>
        <w:rPr>
          <w:rFonts w:eastAsiaTheme="minorEastAsia" w:hint="eastAsia"/>
          <w:bCs/>
          <w:sz w:val="22"/>
          <w:szCs w:val="22"/>
          <w:lang w:val="en-GB" w:eastAsia="ko-KR"/>
        </w:rPr>
        <w:t>8</w:t>
      </w:r>
      <w:r w:rsidRPr="00D10883">
        <w:rPr>
          <w:bCs/>
          <w:sz w:val="22"/>
          <w:szCs w:val="22"/>
          <w:lang w:val="en-GB"/>
        </w:rPr>
        <w:t xml:space="preserve"> bigeye stock assessment incorporating updated </w:t>
      </w:r>
      <w:r>
        <w:rPr>
          <w:rFonts w:eastAsiaTheme="minorEastAsia" w:hint="eastAsia"/>
          <w:bCs/>
          <w:sz w:val="22"/>
          <w:szCs w:val="22"/>
          <w:lang w:val="en-GB" w:eastAsia="ko-KR"/>
        </w:rPr>
        <w:t xml:space="preserve">new </w:t>
      </w:r>
      <w:r w:rsidRPr="00D10883">
        <w:rPr>
          <w:bCs/>
          <w:sz w:val="22"/>
          <w:szCs w:val="22"/>
          <w:lang w:val="en-GB"/>
        </w:rPr>
        <w:t xml:space="preserve">growth information, and in 2045 under the three future harvest scenarios (2013-2015 average fishing levels, optimistic, and pessimistic) and alternative recruitment hypotheses. </w:t>
      </w:r>
      <w:r w:rsidRPr="00D10883">
        <w:rPr>
          <w:bCs/>
          <w:sz w:val="22"/>
          <w:szCs w:val="22"/>
          <w:u w:val="single"/>
          <w:lang w:val="en-GB"/>
        </w:rPr>
        <w:t>‘Updated new growth’ runs only</w:t>
      </w:r>
      <w:r w:rsidRPr="00D10883">
        <w:rPr>
          <w:bCs/>
          <w:sz w:val="22"/>
          <w:szCs w:val="22"/>
          <w:lang w:val="en-G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1272"/>
        <w:gridCol w:w="1077"/>
        <w:gridCol w:w="526"/>
        <w:gridCol w:w="767"/>
        <w:gridCol w:w="1090"/>
        <w:gridCol w:w="1219"/>
        <w:gridCol w:w="891"/>
        <w:gridCol w:w="1085"/>
        <w:gridCol w:w="724"/>
        <w:gridCol w:w="795"/>
      </w:tblGrid>
      <w:tr w:rsidR="003D217E" w:rsidRPr="004635E5" w14:paraId="7AF60ECD" w14:textId="77777777" w:rsidTr="001740C5">
        <w:trPr>
          <w:jc w:val="center"/>
        </w:trPr>
        <w:tc>
          <w:tcPr>
            <w:tcW w:w="0" w:type="auto"/>
            <w:gridSpan w:val="2"/>
          </w:tcPr>
          <w:p w14:paraId="6B360B43" w14:textId="77777777" w:rsidR="003D217E" w:rsidRPr="00997A26" w:rsidRDefault="003D217E" w:rsidP="001740C5">
            <w:pPr>
              <w:adjustRightInd w:val="0"/>
              <w:snapToGrid w:val="0"/>
              <w:jc w:val="center"/>
              <w:rPr>
                <w:rFonts w:eastAsia="MS PMincho"/>
                <w:b/>
                <w:sz w:val="18"/>
                <w:szCs w:val="18"/>
              </w:rPr>
            </w:pPr>
            <w:r w:rsidRPr="00997A26">
              <w:rPr>
                <w:rFonts w:eastAsia="MS PMincho"/>
                <w:b/>
                <w:sz w:val="18"/>
                <w:szCs w:val="18"/>
              </w:rPr>
              <w:t>Scenario</w:t>
            </w:r>
          </w:p>
        </w:tc>
        <w:tc>
          <w:tcPr>
            <w:tcW w:w="0" w:type="auto"/>
            <w:gridSpan w:val="2"/>
            <w:shd w:val="clear" w:color="auto" w:fill="auto"/>
          </w:tcPr>
          <w:p w14:paraId="135AFDA2" w14:textId="77777777" w:rsidR="003D217E" w:rsidRPr="00997A26" w:rsidRDefault="003D217E" w:rsidP="001740C5">
            <w:pPr>
              <w:adjustRightInd w:val="0"/>
              <w:snapToGrid w:val="0"/>
              <w:jc w:val="center"/>
              <w:rPr>
                <w:rFonts w:eastAsia="MS PMincho"/>
                <w:b/>
                <w:sz w:val="18"/>
                <w:szCs w:val="18"/>
              </w:rPr>
            </w:pPr>
            <w:r w:rsidRPr="00997A26">
              <w:rPr>
                <w:rFonts w:eastAsia="MS PMincho"/>
                <w:b/>
                <w:sz w:val="18"/>
                <w:szCs w:val="18"/>
              </w:rPr>
              <w:t>Scalars relative to 2013-2015</w:t>
            </w:r>
          </w:p>
        </w:tc>
        <w:tc>
          <w:tcPr>
            <w:tcW w:w="1090" w:type="dxa"/>
            <w:vMerge w:val="restart"/>
            <w:shd w:val="clear" w:color="auto" w:fill="auto"/>
          </w:tcPr>
          <w:p w14:paraId="24C0DFBC" w14:textId="77777777" w:rsidR="003D217E" w:rsidRPr="00997A26" w:rsidRDefault="003D217E" w:rsidP="001740C5">
            <w:pPr>
              <w:adjustRightInd w:val="0"/>
              <w:snapToGrid w:val="0"/>
              <w:jc w:val="center"/>
              <w:rPr>
                <w:rFonts w:eastAsia="MS PMincho"/>
                <w:b/>
                <w:sz w:val="18"/>
                <w:szCs w:val="18"/>
              </w:rPr>
            </w:pPr>
            <w:r w:rsidRPr="00997A26">
              <w:rPr>
                <w:rFonts w:eastAsia="MS PMincho"/>
                <w:b/>
                <w:sz w:val="18"/>
                <w:szCs w:val="18"/>
              </w:rPr>
              <w:t>Median SB</w:t>
            </w:r>
            <w:r w:rsidRPr="00997A26">
              <w:rPr>
                <w:rFonts w:eastAsia="MS PMincho"/>
                <w:b/>
                <w:sz w:val="18"/>
                <w:szCs w:val="18"/>
                <w:vertAlign w:val="subscript"/>
              </w:rPr>
              <w:t>2045</w:t>
            </w:r>
            <w:r w:rsidRPr="00997A26">
              <w:rPr>
                <w:rFonts w:eastAsia="MS PMincho"/>
                <w:b/>
                <w:sz w:val="18"/>
                <w:szCs w:val="18"/>
              </w:rPr>
              <w:t>/SB</w:t>
            </w:r>
            <w:r w:rsidRPr="00997A26">
              <w:rPr>
                <w:rFonts w:eastAsia="MS PMincho"/>
                <w:b/>
                <w:sz w:val="18"/>
                <w:szCs w:val="18"/>
                <w:vertAlign w:val="subscript"/>
              </w:rPr>
              <w:t>F=0</w:t>
            </w:r>
          </w:p>
        </w:tc>
        <w:tc>
          <w:tcPr>
            <w:tcW w:w="1219" w:type="dxa"/>
            <w:vMerge w:val="restart"/>
            <w:shd w:val="clear" w:color="auto" w:fill="auto"/>
          </w:tcPr>
          <w:p w14:paraId="1653E566" w14:textId="77777777" w:rsidR="003D217E" w:rsidRPr="00997A26" w:rsidRDefault="003D217E" w:rsidP="001740C5">
            <w:pPr>
              <w:adjustRightInd w:val="0"/>
              <w:snapToGrid w:val="0"/>
              <w:jc w:val="center"/>
              <w:rPr>
                <w:rFonts w:eastAsia="MS PMincho"/>
                <w:b/>
                <w:sz w:val="18"/>
                <w:szCs w:val="18"/>
                <w:vertAlign w:val="subscript"/>
              </w:rPr>
            </w:pPr>
            <w:r w:rsidRPr="00997A26">
              <w:rPr>
                <w:rFonts w:eastAsia="MS PMincho"/>
                <w:b/>
                <w:sz w:val="18"/>
                <w:szCs w:val="18"/>
              </w:rPr>
              <w:t>Median SB</w:t>
            </w:r>
            <w:r w:rsidRPr="00997A26">
              <w:rPr>
                <w:rFonts w:eastAsia="MS PMincho"/>
                <w:b/>
                <w:sz w:val="18"/>
                <w:szCs w:val="18"/>
                <w:vertAlign w:val="subscript"/>
              </w:rPr>
              <w:t>2045</w:t>
            </w:r>
            <w:r w:rsidRPr="00997A26">
              <w:rPr>
                <w:rFonts w:eastAsia="MS PMincho"/>
                <w:b/>
                <w:sz w:val="18"/>
                <w:szCs w:val="18"/>
              </w:rPr>
              <w:t>/SB</w:t>
            </w:r>
            <w:r w:rsidRPr="00997A26">
              <w:rPr>
                <w:rFonts w:eastAsia="MS PMincho"/>
                <w:b/>
                <w:sz w:val="18"/>
                <w:szCs w:val="18"/>
                <w:vertAlign w:val="subscript"/>
              </w:rPr>
              <w:t xml:space="preserve">F=0 </w:t>
            </w:r>
          </w:p>
          <w:p w14:paraId="2B943314" w14:textId="77777777" w:rsidR="003D217E" w:rsidRPr="00997A26" w:rsidRDefault="003D217E" w:rsidP="001740C5">
            <w:pPr>
              <w:adjustRightInd w:val="0"/>
              <w:snapToGrid w:val="0"/>
              <w:jc w:val="center"/>
              <w:rPr>
                <w:rFonts w:eastAsia="MS PMincho"/>
                <w:b/>
                <w:sz w:val="18"/>
                <w:szCs w:val="18"/>
              </w:rPr>
            </w:pPr>
            <w:r w:rsidRPr="00997A26">
              <w:rPr>
                <w:rFonts w:eastAsia="MS PMincho"/>
                <w:b/>
                <w:sz w:val="18"/>
                <w:szCs w:val="18"/>
              </w:rPr>
              <w:t xml:space="preserve">v </w:t>
            </w:r>
          </w:p>
          <w:p w14:paraId="6F784281" w14:textId="77777777" w:rsidR="003D217E" w:rsidRPr="00997A26" w:rsidRDefault="003D217E" w:rsidP="001740C5">
            <w:pPr>
              <w:adjustRightInd w:val="0"/>
              <w:snapToGrid w:val="0"/>
              <w:jc w:val="center"/>
              <w:rPr>
                <w:rFonts w:eastAsia="MS PMincho"/>
                <w:b/>
                <w:sz w:val="18"/>
                <w:szCs w:val="18"/>
              </w:rPr>
            </w:pPr>
            <w:r w:rsidRPr="00997A26">
              <w:rPr>
                <w:rFonts w:eastAsia="MS PMincho"/>
                <w:b/>
                <w:sz w:val="18"/>
                <w:szCs w:val="18"/>
              </w:rPr>
              <w:t>SB</w:t>
            </w:r>
            <w:r w:rsidRPr="00997A26">
              <w:rPr>
                <w:rFonts w:eastAsia="MS PMincho"/>
                <w:b/>
                <w:sz w:val="18"/>
                <w:szCs w:val="18"/>
                <w:vertAlign w:val="subscript"/>
              </w:rPr>
              <w:t>2012-15</w:t>
            </w:r>
            <w:r w:rsidRPr="00997A26">
              <w:rPr>
                <w:rFonts w:eastAsia="MS PMincho"/>
                <w:b/>
                <w:sz w:val="18"/>
                <w:szCs w:val="18"/>
              </w:rPr>
              <w:t>/SB</w:t>
            </w:r>
            <w:r w:rsidRPr="00997A26">
              <w:rPr>
                <w:rFonts w:eastAsia="MS PMincho"/>
                <w:b/>
                <w:sz w:val="18"/>
                <w:szCs w:val="18"/>
                <w:vertAlign w:val="subscript"/>
              </w:rPr>
              <w:t>F=0</w:t>
            </w:r>
          </w:p>
        </w:tc>
        <w:tc>
          <w:tcPr>
            <w:tcW w:w="891" w:type="dxa"/>
            <w:vMerge w:val="restart"/>
            <w:shd w:val="clear" w:color="auto" w:fill="auto"/>
          </w:tcPr>
          <w:p w14:paraId="739C5090" w14:textId="77777777" w:rsidR="003D217E" w:rsidRPr="00997A26" w:rsidRDefault="003D217E" w:rsidP="001740C5">
            <w:pPr>
              <w:adjustRightInd w:val="0"/>
              <w:snapToGrid w:val="0"/>
              <w:jc w:val="center"/>
              <w:rPr>
                <w:rFonts w:eastAsia="MS PMincho"/>
                <w:b/>
                <w:sz w:val="18"/>
                <w:szCs w:val="18"/>
              </w:rPr>
            </w:pPr>
            <w:r w:rsidRPr="00997A26">
              <w:rPr>
                <w:rFonts w:eastAsia="MS PMincho"/>
                <w:b/>
                <w:sz w:val="18"/>
                <w:szCs w:val="18"/>
              </w:rPr>
              <w:t xml:space="preserve">Median </w:t>
            </w:r>
          </w:p>
          <w:p w14:paraId="4ECB8E56" w14:textId="77777777" w:rsidR="003D217E" w:rsidRPr="00997A26" w:rsidRDefault="003D217E" w:rsidP="001740C5">
            <w:pPr>
              <w:adjustRightInd w:val="0"/>
              <w:snapToGrid w:val="0"/>
              <w:jc w:val="center"/>
              <w:rPr>
                <w:rFonts w:eastAsia="MS PMincho"/>
                <w:b/>
                <w:sz w:val="18"/>
                <w:szCs w:val="18"/>
              </w:rPr>
            </w:pPr>
          </w:p>
          <w:p w14:paraId="722053FA" w14:textId="77777777" w:rsidR="003D217E" w:rsidRDefault="003D217E" w:rsidP="001740C5">
            <w:pPr>
              <w:adjustRightInd w:val="0"/>
              <w:snapToGrid w:val="0"/>
              <w:jc w:val="center"/>
              <w:rPr>
                <w:rFonts w:eastAsia="MS PMincho"/>
                <w:b/>
                <w:sz w:val="18"/>
                <w:szCs w:val="18"/>
              </w:rPr>
            </w:pPr>
            <w:r w:rsidRPr="00997A26">
              <w:rPr>
                <w:rFonts w:eastAsia="MS PMincho"/>
                <w:b/>
                <w:sz w:val="18"/>
                <w:szCs w:val="18"/>
              </w:rPr>
              <w:t>F</w:t>
            </w:r>
            <w:r w:rsidRPr="00997A26">
              <w:rPr>
                <w:rFonts w:eastAsia="MS PMincho"/>
                <w:b/>
                <w:sz w:val="18"/>
                <w:szCs w:val="18"/>
                <w:vertAlign w:val="subscript"/>
              </w:rPr>
              <w:t>2041-2044</w:t>
            </w:r>
            <w:r w:rsidRPr="00997A26">
              <w:rPr>
                <w:rFonts w:eastAsia="MS PMincho"/>
                <w:b/>
                <w:sz w:val="18"/>
                <w:szCs w:val="18"/>
              </w:rPr>
              <w:t>/</w:t>
            </w:r>
          </w:p>
          <w:p w14:paraId="5D429CBF" w14:textId="77777777" w:rsidR="003D217E" w:rsidRPr="00997A26" w:rsidRDefault="003D217E" w:rsidP="001740C5">
            <w:pPr>
              <w:adjustRightInd w:val="0"/>
              <w:snapToGrid w:val="0"/>
              <w:jc w:val="center"/>
              <w:rPr>
                <w:rFonts w:eastAsia="MS PMincho"/>
                <w:b/>
                <w:sz w:val="18"/>
                <w:szCs w:val="18"/>
                <w:vertAlign w:val="superscript"/>
              </w:rPr>
            </w:pPr>
            <w:r w:rsidRPr="00997A26">
              <w:rPr>
                <w:rFonts w:eastAsia="MS PMincho"/>
                <w:b/>
                <w:sz w:val="18"/>
                <w:szCs w:val="18"/>
              </w:rPr>
              <w:t>F</w:t>
            </w:r>
            <w:r w:rsidRPr="00997A26">
              <w:rPr>
                <w:rFonts w:eastAsia="MS PMincho"/>
                <w:b/>
                <w:sz w:val="18"/>
                <w:szCs w:val="18"/>
                <w:vertAlign w:val="subscript"/>
              </w:rPr>
              <w:t>MSY</w:t>
            </w:r>
          </w:p>
        </w:tc>
        <w:tc>
          <w:tcPr>
            <w:tcW w:w="1085" w:type="dxa"/>
            <w:vMerge w:val="restart"/>
            <w:shd w:val="clear" w:color="auto" w:fill="auto"/>
          </w:tcPr>
          <w:p w14:paraId="5F844033" w14:textId="77777777" w:rsidR="003D217E" w:rsidRPr="00997A26" w:rsidRDefault="003D217E" w:rsidP="001740C5">
            <w:pPr>
              <w:adjustRightInd w:val="0"/>
              <w:snapToGrid w:val="0"/>
              <w:jc w:val="center"/>
              <w:rPr>
                <w:rFonts w:eastAsia="MS PMincho"/>
                <w:b/>
                <w:sz w:val="18"/>
                <w:szCs w:val="18"/>
                <w:vertAlign w:val="subscript"/>
              </w:rPr>
            </w:pPr>
            <w:r w:rsidRPr="00997A26">
              <w:rPr>
                <w:rFonts w:eastAsia="MS PMincho"/>
                <w:b/>
                <w:sz w:val="18"/>
                <w:szCs w:val="18"/>
              </w:rPr>
              <w:t>Median F</w:t>
            </w:r>
            <w:r w:rsidRPr="00997A26">
              <w:rPr>
                <w:rFonts w:eastAsia="MS PMincho"/>
                <w:b/>
                <w:sz w:val="18"/>
                <w:szCs w:val="18"/>
                <w:vertAlign w:val="subscript"/>
              </w:rPr>
              <w:t>2041-2044</w:t>
            </w:r>
            <w:r w:rsidRPr="00997A26">
              <w:rPr>
                <w:rFonts w:eastAsia="MS PMincho"/>
                <w:b/>
                <w:sz w:val="18"/>
                <w:szCs w:val="18"/>
              </w:rPr>
              <w:t>/F</w:t>
            </w:r>
            <w:r w:rsidRPr="00997A26">
              <w:rPr>
                <w:rFonts w:eastAsia="MS PMincho"/>
                <w:b/>
                <w:sz w:val="18"/>
                <w:szCs w:val="18"/>
                <w:vertAlign w:val="subscript"/>
              </w:rPr>
              <w:t xml:space="preserve">MSY </w:t>
            </w:r>
            <w:r w:rsidRPr="00997A26">
              <w:rPr>
                <w:rFonts w:eastAsia="MS PMincho"/>
                <w:b/>
                <w:sz w:val="18"/>
                <w:szCs w:val="18"/>
              </w:rPr>
              <w:t>v</w:t>
            </w:r>
            <w:r w:rsidRPr="00997A26">
              <w:rPr>
                <w:rFonts w:eastAsia="MS PMincho"/>
                <w:b/>
                <w:sz w:val="18"/>
                <w:szCs w:val="18"/>
                <w:vertAlign w:val="subscript"/>
              </w:rPr>
              <w:t xml:space="preserve"> </w:t>
            </w:r>
          </w:p>
          <w:p w14:paraId="6F9FC52F" w14:textId="77777777" w:rsidR="003D217E" w:rsidRPr="00997A26" w:rsidRDefault="003D217E" w:rsidP="001740C5">
            <w:pPr>
              <w:adjustRightInd w:val="0"/>
              <w:snapToGrid w:val="0"/>
              <w:jc w:val="center"/>
              <w:rPr>
                <w:rFonts w:eastAsia="MS PMincho"/>
                <w:b/>
                <w:sz w:val="18"/>
                <w:szCs w:val="18"/>
                <w:vertAlign w:val="subscript"/>
              </w:rPr>
            </w:pPr>
            <w:r w:rsidRPr="00997A26">
              <w:rPr>
                <w:rFonts w:eastAsia="MS PMincho"/>
                <w:b/>
                <w:sz w:val="18"/>
                <w:szCs w:val="18"/>
              </w:rPr>
              <w:t>F</w:t>
            </w:r>
            <w:r w:rsidRPr="00997A26">
              <w:rPr>
                <w:rFonts w:eastAsia="MS PMincho"/>
                <w:b/>
                <w:sz w:val="18"/>
                <w:szCs w:val="18"/>
                <w:vertAlign w:val="subscript"/>
              </w:rPr>
              <w:t>2011-14</w:t>
            </w:r>
            <w:r w:rsidRPr="00997A26">
              <w:rPr>
                <w:rFonts w:eastAsia="MS PMincho"/>
                <w:b/>
                <w:sz w:val="18"/>
                <w:szCs w:val="18"/>
              </w:rPr>
              <w:t>/F</w:t>
            </w:r>
            <w:r w:rsidRPr="00997A26">
              <w:rPr>
                <w:rFonts w:eastAsia="MS PMincho"/>
                <w:b/>
                <w:sz w:val="18"/>
                <w:szCs w:val="18"/>
                <w:vertAlign w:val="subscript"/>
              </w:rPr>
              <w:t>MSY</w:t>
            </w:r>
          </w:p>
        </w:tc>
        <w:tc>
          <w:tcPr>
            <w:tcW w:w="1519" w:type="dxa"/>
            <w:gridSpan w:val="2"/>
            <w:shd w:val="clear" w:color="auto" w:fill="auto"/>
          </w:tcPr>
          <w:p w14:paraId="5F5C820D" w14:textId="77777777" w:rsidR="003D217E" w:rsidRPr="00997A26" w:rsidRDefault="003D217E" w:rsidP="001740C5">
            <w:pPr>
              <w:adjustRightInd w:val="0"/>
              <w:snapToGrid w:val="0"/>
              <w:jc w:val="center"/>
              <w:rPr>
                <w:rFonts w:eastAsia="MS PMincho"/>
                <w:b/>
                <w:sz w:val="18"/>
                <w:szCs w:val="18"/>
              </w:rPr>
            </w:pPr>
            <w:r w:rsidRPr="00997A26">
              <w:rPr>
                <w:rFonts w:eastAsia="MS PMincho"/>
                <w:b/>
                <w:sz w:val="18"/>
                <w:szCs w:val="18"/>
              </w:rPr>
              <w:t xml:space="preserve">Risk </w:t>
            </w:r>
          </w:p>
        </w:tc>
      </w:tr>
      <w:tr w:rsidR="003D217E" w:rsidRPr="004635E5" w14:paraId="72F61576" w14:textId="77777777" w:rsidTr="001740C5">
        <w:trPr>
          <w:jc w:val="center"/>
        </w:trPr>
        <w:tc>
          <w:tcPr>
            <w:tcW w:w="0" w:type="auto"/>
          </w:tcPr>
          <w:p w14:paraId="4CA2C5C2" w14:textId="77777777" w:rsidR="003D217E" w:rsidRPr="004635E5" w:rsidRDefault="003D217E" w:rsidP="001740C5">
            <w:pPr>
              <w:adjustRightInd w:val="0"/>
              <w:snapToGrid w:val="0"/>
              <w:rPr>
                <w:rFonts w:eastAsia="MS PMincho"/>
                <w:b/>
                <w:sz w:val="22"/>
                <w:szCs w:val="22"/>
              </w:rPr>
            </w:pPr>
            <w:r w:rsidRPr="004635E5">
              <w:rPr>
                <w:rFonts w:eastAsia="MS PMincho"/>
                <w:b/>
                <w:sz w:val="22"/>
                <w:szCs w:val="22"/>
              </w:rPr>
              <w:t>Recruitment</w:t>
            </w:r>
          </w:p>
        </w:tc>
        <w:tc>
          <w:tcPr>
            <w:tcW w:w="0" w:type="auto"/>
          </w:tcPr>
          <w:p w14:paraId="1B8983E9" w14:textId="77777777" w:rsidR="003D217E" w:rsidRPr="00997A26" w:rsidRDefault="003D217E" w:rsidP="001740C5">
            <w:pPr>
              <w:adjustRightInd w:val="0"/>
              <w:snapToGrid w:val="0"/>
              <w:jc w:val="center"/>
              <w:rPr>
                <w:rFonts w:eastAsia="MS PMincho"/>
                <w:b/>
                <w:sz w:val="18"/>
                <w:szCs w:val="18"/>
              </w:rPr>
            </w:pPr>
            <w:r w:rsidRPr="00997A26">
              <w:rPr>
                <w:rFonts w:eastAsia="MS PMincho"/>
                <w:b/>
                <w:sz w:val="18"/>
                <w:szCs w:val="18"/>
              </w:rPr>
              <w:t>Fishing level</w:t>
            </w:r>
          </w:p>
        </w:tc>
        <w:tc>
          <w:tcPr>
            <w:tcW w:w="0" w:type="auto"/>
            <w:shd w:val="clear" w:color="auto" w:fill="auto"/>
          </w:tcPr>
          <w:p w14:paraId="059652B9" w14:textId="77777777" w:rsidR="003D217E" w:rsidRPr="00997A26" w:rsidRDefault="003D217E" w:rsidP="001740C5">
            <w:pPr>
              <w:adjustRightInd w:val="0"/>
              <w:snapToGrid w:val="0"/>
              <w:jc w:val="center"/>
              <w:rPr>
                <w:rFonts w:eastAsia="MS PMincho"/>
                <w:b/>
                <w:sz w:val="18"/>
                <w:szCs w:val="18"/>
              </w:rPr>
            </w:pPr>
            <w:r w:rsidRPr="00997A26">
              <w:rPr>
                <w:rFonts w:eastAsia="MS PMincho"/>
                <w:b/>
                <w:sz w:val="18"/>
                <w:szCs w:val="18"/>
              </w:rPr>
              <w:t>Purse seine</w:t>
            </w:r>
          </w:p>
        </w:tc>
        <w:tc>
          <w:tcPr>
            <w:tcW w:w="0" w:type="auto"/>
            <w:shd w:val="clear" w:color="auto" w:fill="auto"/>
          </w:tcPr>
          <w:p w14:paraId="72F024D9" w14:textId="77777777" w:rsidR="003D217E" w:rsidRPr="00997A26" w:rsidRDefault="003D217E" w:rsidP="001740C5">
            <w:pPr>
              <w:adjustRightInd w:val="0"/>
              <w:snapToGrid w:val="0"/>
              <w:jc w:val="center"/>
              <w:rPr>
                <w:rFonts w:eastAsia="MS PMincho"/>
                <w:b/>
                <w:sz w:val="18"/>
                <w:szCs w:val="18"/>
              </w:rPr>
            </w:pPr>
            <w:r w:rsidRPr="00997A26">
              <w:rPr>
                <w:rFonts w:eastAsia="MS PMincho"/>
                <w:b/>
                <w:sz w:val="18"/>
                <w:szCs w:val="18"/>
              </w:rPr>
              <w:t>Longline</w:t>
            </w:r>
          </w:p>
        </w:tc>
        <w:tc>
          <w:tcPr>
            <w:tcW w:w="1090" w:type="dxa"/>
            <w:vMerge/>
            <w:shd w:val="clear" w:color="auto" w:fill="auto"/>
          </w:tcPr>
          <w:p w14:paraId="01C28808" w14:textId="77777777" w:rsidR="003D217E" w:rsidRPr="00997A26" w:rsidRDefault="003D217E" w:rsidP="001740C5">
            <w:pPr>
              <w:adjustRightInd w:val="0"/>
              <w:snapToGrid w:val="0"/>
              <w:jc w:val="center"/>
              <w:rPr>
                <w:rFonts w:eastAsia="MS PMincho"/>
                <w:b/>
                <w:sz w:val="18"/>
                <w:szCs w:val="18"/>
              </w:rPr>
            </w:pPr>
          </w:p>
        </w:tc>
        <w:tc>
          <w:tcPr>
            <w:tcW w:w="1219" w:type="dxa"/>
            <w:vMerge/>
            <w:shd w:val="clear" w:color="auto" w:fill="auto"/>
          </w:tcPr>
          <w:p w14:paraId="1EE93D4D" w14:textId="77777777" w:rsidR="003D217E" w:rsidRPr="00997A26" w:rsidRDefault="003D217E" w:rsidP="001740C5">
            <w:pPr>
              <w:adjustRightInd w:val="0"/>
              <w:snapToGrid w:val="0"/>
              <w:jc w:val="center"/>
              <w:rPr>
                <w:rFonts w:eastAsia="MS PMincho"/>
                <w:b/>
                <w:sz w:val="18"/>
                <w:szCs w:val="18"/>
              </w:rPr>
            </w:pPr>
          </w:p>
        </w:tc>
        <w:tc>
          <w:tcPr>
            <w:tcW w:w="891" w:type="dxa"/>
            <w:vMerge/>
            <w:shd w:val="clear" w:color="auto" w:fill="auto"/>
          </w:tcPr>
          <w:p w14:paraId="74E174C2" w14:textId="77777777" w:rsidR="003D217E" w:rsidRPr="00997A26" w:rsidRDefault="003D217E" w:rsidP="001740C5">
            <w:pPr>
              <w:adjustRightInd w:val="0"/>
              <w:snapToGrid w:val="0"/>
              <w:jc w:val="center"/>
              <w:rPr>
                <w:rFonts w:eastAsia="MS PMincho"/>
                <w:b/>
                <w:sz w:val="18"/>
                <w:szCs w:val="18"/>
              </w:rPr>
            </w:pPr>
          </w:p>
        </w:tc>
        <w:tc>
          <w:tcPr>
            <w:tcW w:w="1085" w:type="dxa"/>
            <w:vMerge/>
            <w:shd w:val="clear" w:color="auto" w:fill="auto"/>
          </w:tcPr>
          <w:p w14:paraId="084939C1" w14:textId="77777777" w:rsidR="003D217E" w:rsidRPr="00997A26" w:rsidRDefault="003D217E" w:rsidP="001740C5">
            <w:pPr>
              <w:adjustRightInd w:val="0"/>
              <w:snapToGrid w:val="0"/>
              <w:jc w:val="center"/>
              <w:rPr>
                <w:rFonts w:eastAsia="MS PMincho"/>
                <w:b/>
                <w:sz w:val="18"/>
                <w:szCs w:val="18"/>
              </w:rPr>
            </w:pPr>
          </w:p>
        </w:tc>
        <w:tc>
          <w:tcPr>
            <w:tcW w:w="724" w:type="dxa"/>
            <w:shd w:val="clear" w:color="auto" w:fill="auto"/>
          </w:tcPr>
          <w:p w14:paraId="7C395D94" w14:textId="77777777" w:rsidR="003D217E" w:rsidRPr="00997A26" w:rsidRDefault="003D217E" w:rsidP="001740C5">
            <w:pPr>
              <w:adjustRightInd w:val="0"/>
              <w:snapToGrid w:val="0"/>
              <w:jc w:val="center"/>
              <w:rPr>
                <w:rFonts w:eastAsia="MS PMincho"/>
                <w:b/>
                <w:sz w:val="18"/>
                <w:szCs w:val="18"/>
              </w:rPr>
            </w:pPr>
            <w:r w:rsidRPr="00997A26">
              <w:rPr>
                <w:rFonts w:eastAsia="MS PMincho"/>
                <w:b/>
                <w:sz w:val="18"/>
                <w:szCs w:val="18"/>
              </w:rPr>
              <w:t>SB</w:t>
            </w:r>
            <w:r w:rsidRPr="00997A26">
              <w:rPr>
                <w:rFonts w:eastAsia="MS PMincho"/>
                <w:b/>
                <w:sz w:val="18"/>
                <w:szCs w:val="18"/>
                <w:vertAlign w:val="subscript"/>
              </w:rPr>
              <w:t>2045</w:t>
            </w:r>
            <w:r w:rsidRPr="00997A26">
              <w:rPr>
                <w:rFonts w:eastAsia="MS PMincho"/>
                <w:b/>
                <w:sz w:val="18"/>
                <w:szCs w:val="18"/>
              </w:rPr>
              <w:t xml:space="preserve"> &lt; LRP</w:t>
            </w:r>
          </w:p>
        </w:tc>
        <w:tc>
          <w:tcPr>
            <w:tcW w:w="795" w:type="dxa"/>
          </w:tcPr>
          <w:p w14:paraId="3FC7E702" w14:textId="77777777" w:rsidR="003D217E" w:rsidRPr="00997A26" w:rsidRDefault="003D217E" w:rsidP="001740C5">
            <w:pPr>
              <w:adjustRightInd w:val="0"/>
              <w:snapToGrid w:val="0"/>
              <w:jc w:val="center"/>
              <w:rPr>
                <w:rFonts w:eastAsia="MS PMincho"/>
                <w:b/>
                <w:sz w:val="18"/>
                <w:szCs w:val="18"/>
              </w:rPr>
            </w:pPr>
            <w:r w:rsidRPr="00997A26">
              <w:rPr>
                <w:rFonts w:eastAsia="MS PMincho"/>
                <w:b/>
                <w:sz w:val="18"/>
                <w:szCs w:val="18"/>
              </w:rPr>
              <w:t>F&gt;F</w:t>
            </w:r>
            <w:r w:rsidRPr="00997A26">
              <w:rPr>
                <w:rFonts w:eastAsia="MS PMincho"/>
                <w:b/>
                <w:sz w:val="18"/>
                <w:szCs w:val="18"/>
                <w:vertAlign w:val="subscript"/>
              </w:rPr>
              <w:t>MSY</w:t>
            </w:r>
          </w:p>
        </w:tc>
      </w:tr>
      <w:tr w:rsidR="003D217E" w:rsidRPr="004635E5" w14:paraId="6D123648" w14:textId="77777777" w:rsidTr="001740C5">
        <w:trPr>
          <w:jc w:val="center"/>
        </w:trPr>
        <w:tc>
          <w:tcPr>
            <w:tcW w:w="0" w:type="auto"/>
            <w:gridSpan w:val="4"/>
          </w:tcPr>
          <w:p w14:paraId="65A2329F" w14:textId="77777777" w:rsidR="003D217E" w:rsidRPr="004635E5" w:rsidRDefault="003D217E" w:rsidP="001740C5">
            <w:pPr>
              <w:adjustRightInd w:val="0"/>
              <w:snapToGrid w:val="0"/>
              <w:jc w:val="center"/>
              <w:rPr>
                <w:rFonts w:eastAsia="MS PMincho"/>
                <w:sz w:val="22"/>
                <w:szCs w:val="22"/>
              </w:rPr>
            </w:pPr>
            <w:r w:rsidRPr="004635E5">
              <w:rPr>
                <w:rFonts w:eastAsia="MS PMincho"/>
                <w:i/>
                <w:sz w:val="22"/>
                <w:szCs w:val="22"/>
              </w:rPr>
              <w:t>Bigeye assessment (‘recent’ levels)</w:t>
            </w:r>
          </w:p>
        </w:tc>
        <w:tc>
          <w:tcPr>
            <w:tcW w:w="1090" w:type="dxa"/>
            <w:shd w:val="clear" w:color="auto" w:fill="auto"/>
          </w:tcPr>
          <w:p w14:paraId="1A7CE730"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0.36</w:t>
            </w:r>
          </w:p>
        </w:tc>
        <w:tc>
          <w:tcPr>
            <w:tcW w:w="1219" w:type="dxa"/>
            <w:shd w:val="clear" w:color="auto" w:fill="auto"/>
          </w:tcPr>
          <w:p w14:paraId="44BDE5B8"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w:t>
            </w:r>
          </w:p>
        </w:tc>
        <w:tc>
          <w:tcPr>
            <w:tcW w:w="891" w:type="dxa"/>
            <w:shd w:val="clear" w:color="auto" w:fill="auto"/>
          </w:tcPr>
          <w:p w14:paraId="4422900C"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0.77</w:t>
            </w:r>
          </w:p>
        </w:tc>
        <w:tc>
          <w:tcPr>
            <w:tcW w:w="1085" w:type="dxa"/>
            <w:shd w:val="clear" w:color="auto" w:fill="auto"/>
          </w:tcPr>
          <w:p w14:paraId="7CFCEBC8"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w:t>
            </w:r>
          </w:p>
        </w:tc>
        <w:tc>
          <w:tcPr>
            <w:tcW w:w="724" w:type="dxa"/>
            <w:shd w:val="clear" w:color="auto" w:fill="auto"/>
          </w:tcPr>
          <w:p w14:paraId="0DEE462E"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w:t>
            </w:r>
          </w:p>
        </w:tc>
        <w:tc>
          <w:tcPr>
            <w:tcW w:w="795" w:type="dxa"/>
          </w:tcPr>
          <w:p w14:paraId="09070331"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6%</w:t>
            </w:r>
          </w:p>
        </w:tc>
      </w:tr>
      <w:tr w:rsidR="003D217E" w:rsidRPr="004635E5" w14:paraId="55C95280" w14:textId="77777777" w:rsidTr="001740C5">
        <w:trPr>
          <w:jc w:val="center"/>
        </w:trPr>
        <w:tc>
          <w:tcPr>
            <w:tcW w:w="9446" w:type="dxa"/>
            <w:gridSpan w:val="10"/>
          </w:tcPr>
          <w:p w14:paraId="6EB94CEF" w14:textId="77777777" w:rsidR="003D217E" w:rsidRPr="004635E5" w:rsidRDefault="003D217E" w:rsidP="001740C5">
            <w:pPr>
              <w:adjustRightInd w:val="0"/>
              <w:snapToGrid w:val="0"/>
              <w:jc w:val="center"/>
              <w:rPr>
                <w:rFonts w:eastAsia="MS PMincho"/>
                <w:i/>
                <w:sz w:val="22"/>
                <w:szCs w:val="22"/>
              </w:rPr>
            </w:pPr>
          </w:p>
        </w:tc>
      </w:tr>
      <w:tr w:rsidR="003D217E" w:rsidRPr="004635E5" w14:paraId="1AF8401B" w14:textId="77777777" w:rsidTr="001740C5">
        <w:trPr>
          <w:jc w:val="center"/>
        </w:trPr>
        <w:tc>
          <w:tcPr>
            <w:tcW w:w="0" w:type="auto"/>
            <w:vMerge w:val="restart"/>
          </w:tcPr>
          <w:p w14:paraId="276EE513"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Recent</w:t>
            </w:r>
          </w:p>
        </w:tc>
        <w:tc>
          <w:tcPr>
            <w:tcW w:w="0" w:type="auto"/>
          </w:tcPr>
          <w:p w14:paraId="6456C4F2"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 xml:space="preserve">2013-2015 </w:t>
            </w:r>
            <w:r>
              <w:rPr>
                <w:rFonts w:eastAsia="MS PMincho"/>
                <w:sz w:val="22"/>
                <w:szCs w:val="22"/>
              </w:rPr>
              <w:t>average</w:t>
            </w:r>
            <w:r w:rsidRPr="004635E5">
              <w:rPr>
                <w:rFonts w:eastAsia="MS PMincho"/>
                <w:sz w:val="22"/>
                <w:szCs w:val="22"/>
              </w:rPr>
              <w:t xml:space="preserve"> </w:t>
            </w:r>
          </w:p>
        </w:tc>
        <w:tc>
          <w:tcPr>
            <w:tcW w:w="0" w:type="auto"/>
            <w:shd w:val="clear" w:color="auto" w:fill="auto"/>
          </w:tcPr>
          <w:p w14:paraId="6FCE56D8"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w:t>
            </w:r>
          </w:p>
        </w:tc>
        <w:tc>
          <w:tcPr>
            <w:tcW w:w="0" w:type="auto"/>
            <w:shd w:val="clear" w:color="auto" w:fill="auto"/>
          </w:tcPr>
          <w:p w14:paraId="59E6A1FD"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w:t>
            </w:r>
          </w:p>
        </w:tc>
        <w:tc>
          <w:tcPr>
            <w:tcW w:w="1090" w:type="dxa"/>
            <w:shd w:val="clear" w:color="auto" w:fill="auto"/>
          </w:tcPr>
          <w:p w14:paraId="7FE15B1F" w14:textId="77777777" w:rsidR="003D217E" w:rsidRPr="004635E5" w:rsidRDefault="003D217E" w:rsidP="001740C5">
            <w:pPr>
              <w:adjustRightInd w:val="0"/>
              <w:snapToGrid w:val="0"/>
              <w:jc w:val="center"/>
              <w:rPr>
                <w:rFonts w:eastAsia="MS PMincho"/>
                <w:sz w:val="22"/>
                <w:szCs w:val="22"/>
                <w:highlight w:val="yellow"/>
              </w:rPr>
            </w:pPr>
            <w:r w:rsidRPr="004635E5">
              <w:rPr>
                <w:rFonts w:eastAsia="MS PMincho"/>
                <w:sz w:val="22"/>
                <w:szCs w:val="22"/>
              </w:rPr>
              <w:t>0.42</w:t>
            </w:r>
          </w:p>
        </w:tc>
        <w:tc>
          <w:tcPr>
            <w:tcW w:w="1219" w:type="dxa"/>
            <w:shd w:val="clear" w:color="auto" w:fill="auto"/>
          </w:tcPr>
          <w:p w14:paraId="0371A9E7"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1.18</w:t>
            </w:r>
          </w:p>
        </w:tc>
        <w:tc>
          <w:tcPr>
            <w:tcW w:w="891" w:type="dxa"/>
            <w:shd w:val="clear" w:color="auto" w:fill="auto"/>
          </w:tcPr>
          <w:p w14:paraId="3A8FBD4A"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0.73</w:t>
            </w:r>
          </w:p>
        </w:tc>
        <w:tc>
          <w:tcPr>
            <w:tcW w:w="1085" w:type="dxa"/>
            <w:shd w:val="clear" w:color="auto" w:fill="auto"/>
          </w:tcPr>
          <w:p w14:paraId="375D8677"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0.95</w:t>
            </w:r>
          </w:p>
        </w:tc>
        <w:tc>
          <w:tcPr>
            <w:tcW w:w="724" w:type="dxa"/>
            <w:shd w:val="clear" w:color="auto" w:fill="auto"/>
          </w:tcPr>
          <w:p w14:paraId="19FC611E"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w:t>
            </w:r>
          </w:p>
        </w:tc>
        <w:tc>
          <w:tcPr>
            <w:tcW w:w="795" w:type="dxa"/>
          </w:tcPr>
          <w:p w14:paraId="0226863B"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11%</w:t>
            </w:r>
          </w:p>
        </w:tc>
      </w:tr>
      <w:tr w:rsidR="003D217E" w:rsidRPr="004635E5" w14:paraId="09B47C70" w14:textId="77777777" w:rsidTr="001740C5">
        <w:trPr>
          <w:jc w:val="center"/>
        </w:trPr>
        <w:tc>
          <w:tcPr>
            <w:tcW w:w="0" w:type="auto"/>
            <w:vMerge/>
          </w:tcPr>
          <w:p w14:paraId="40C007E7" w14:textId="77777777" w:rsidR="003D217E" w:rsidRPr="004635E5" w:rsidRDefault="003D217E" w:rsidP="001740C5">
            <w:pPr>
              <w:adjustRightInd w:val="0"/>
              <w:snapToGrid w:val="0"/>
              <w:rPr>
                <w:rFonts w:eastAsia="MS PMincho"/>
                <w:sz w:val="22"/>
                <w:szCs w:val="22"/>
              </w:rPr>
            </w:pPr>
          </w:p>
        </w:tc>
        <w:tc>
          <w:tcPr>
            <w:tcW w:w="0" w:type="auto"/>
          </w:tcPr>
          <w:p w14:paraId="21FC0D53"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Optimistic</w:t>
            </w:r>
          </w:p>
        </w:tc>
        <w:tc>
          <w:tcPr>
            <w:tcW w:w="0" w:type="auto"/>
            <w:shd w:val="clear" w:color="auto" w:fill="auto"/>
          </w:tcPr>
          <w:p w14:paraId="5D97EBE9"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1.11</w:t>
            </w:r>
          </w:p>
        </w:tc>
        <w:tc>
          <w:tcPr>
            <w:tcW w:w="0" w:type="auto"/>
            <w:shd w:val="clear" w:color="auto" w:fill="auto"/>
          </w:tcPr>
          <w:p w14:paraId="284243C8"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0.98</w:t>
            </w:r>
          </w:p>
        </w:tc>
        <w:tc>
          <w:tcPr>
            <w:tcW w:w="1090" w:type="dxa"/>
            <w:shd w:val="clear" w:color="auto" w:fill="auto"/>
          </w:tcPr>
          <w:p w14:paraId="112F05FC" w14:textId="77777777" w:rsidR="003D217E" w:rsidRPr="004635E5" w:rsidRDefault="003D217E" w:rsidP="001740C5">
            <w:pPr>
              <w:adjustRightInd w:val="0"/>
              <w:snapToGrid w:val="0"/>
              <w:jc w:val="center"/>
              <w:rPr>
                <w:rFonts w:eastAsia="MS PMincho"/>
                <w:sz w:val="22"/>
                <w:szCs w:val="22"/>
                <w:highlight w:val="yellow"/>
              </w:rPr>
            </w:pPr>
            <w:r w:rsidRPr="004635E5">
              <w:rPr>
                <w:rFonts w:eastAsia="MS PMincho"/>
                <w:sz w:val="22"/>
                <w:szCs w:val="22"/>
              </w:rPr>
              <w:t>0.41</w:t>
            </w:r>
          </w:p>
        </w:tc>
        <w:tc>
          <w:tcPr>
            <w:tcW w:w="1219" w:type="dxa"/>
            <w:shd w:val="clear" w:color="auto" w:fill="auto"/>
          </w:tcPr>
          <w:p w14:paraId="54053C1C"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1.15</w:t>
            </w:r>
          </w:p>
        </w:tc>
        <w:tc>
          <w:tcPr>
            <w:tcW w:w="891" w:type="dxa"/>
            <w:shd w:val="clear" w:color="auto" w:fill="auto"/>
          </w:tcPr>
          <w:p w14:paraId="67DFD46A"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0.75</w:t>
            </w:r>
          </w:p>
        </w:tc>
        <w:tc>
          <w:tcPr>
            <w:tcW w:w="1085" w:type="dxa"/>
            <w:shd w:val="clear" w:color="auto" w:fill="auto"/>
          </w:tcPr>
          <w:p w14:paraId="10E4C2F9"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0.98</w:t>
            </w:r>
          </w:p>
        </w:tc>
        <w:tc>
          <w:tcPr>
            <w:tcW w:w="724" w:type="dxa"/>
            <w:shd w:val="clear" w:color="auto" w:fill="auto"/>
          </w:tcPr>
          <w:p w14:paraId="3318837B"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w:t>
            </w:r>
          </w:p>
        </w:tc>
        <w:tc>
          <w:tcPr>
            <w:tcW w:w="795" w:type="dxa"/>
          </w:tcPr>
          <w:p w14:paraId="4E78C1ED"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13%</w:t>
            </w:r>
          </w:p>
        </w:tc>
      </w:tr>
      <w:tr w:rsidR="003D217E" w:rsidRPr="004635E5" w14:paraId="4440535A" w14:textId="77777777" w:rsidTr="001740C5">
        <w:trPr>
          <w:jc w:val="center"/>
        </w:trPr>
        <w:tc>
          <w:tcPr>
            <w:tcW w:w="0" w:type="auto"/>
            <w:vMerge/>
          </w:tcPr>
          <w:p w14:paraId="6C169845" w14:textId="77777777" w:rsidR="003D217E" w:rsidRPr="004635E5" w:rsidRDefault="003D217E" w:rsidP="001740C5">
            <w:pPr>
              <w:adjustRightInd w:val="0"/>
              <w:snapToGrid w:val="0"/>
              <w:rPr>
                <w:rFonts w:eastAsia="MS PMincho"/>
                <w:sz w:val="22"/>
                <w:szCs w:val="22"/>
              </w:rPr>
            </w:pPr>
          </w:p>
        </w:tc>
        <w:tc>
          <w:tcPr>
            <w:tcW w:w="0" w:type="auto"/>
          </w:tcPr>
          <w:p w14:paraId="39DC8920"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Pessimistic</w:t>
            </w:r>
          </w:p>
        </w:tc>
        <w:tc>
          <w:tcPr>
            <w:tcW w:w="0" w:type="auto"/>
            <w:shd w:val="clear" w:color="auto" w:fill="auto"/>
          </w:tcPr>
          <w:p w14:paraId="5C85666B"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1.12</w:t>
            </w:r>
          </w:p>
        </w:tc>
        <w:tc>
          <w:tcPr>
            <w:tcW w:w="0" w:type="auto"/>
            <w:shd w:val="clear" w:color="auto" w:fill="auto"/>
          </w:tcPr>
          <w:p w14:paraId="04B6EFE4"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1.35</w:t>
            </w:r>
          </w:p>
        </w:tc>
        <w:tc>
          <w:tcPr>
            <w:tcW w:w="1090" w:type="dxa"/>
            <w:shd w:val="clear" w:color="auto" w:fill="auto"/>
          </w:tcPr>
          <w:p w14:paraId="791DA935" w14:textId="77777777" w:rsidR="003D217E" w:rsidRPr="004635E5" w:rsidRDefault="003D217E" w:rsidP="001740C5">
            <w:pPr>
              <w:adjustRightInd w:val="0"/>
              <w:snapToGrid w:val="0"/>
              <w:jc w:val="center"/>
              <w:rPr>
                <w:rFonts w:eastAsia="MS PMincho"/>
                <w:sz w:val="22"/>
                <w:szCs w:val="22"/>
                <w:highlight w:val="yellow"/>
              </w:rPr>
            </w:pPr>
            <w:r w:rsidRPr="004635E5">
              <w:rPr>
                <w:rFonts w:eastAsia="MS PMincho"/>
                <w:sz w:val="22"/>
                <w:szCs w:val="22"/>
              </w:rPr>
              <w:t>0.36</w:t>
            </w:r>
          </w:p>
        </w:tc>
        <w:tc>
          <w:tcPr>
            <w:tcW w:w="1219" w:type="dxa"/>
            <w:shd w:val="clear" w:color="auto" w:fill="auto"/>
          </w:tcPr>
          <w:p w14:paraId="01F15CFB"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1.00</w:t>
            </w:r>
          </w:p>
        </w:tc>
        <w:tc>
          <w:tcPr>
            <w:tcW w:w="891" w:type="dxa"/>
            <w:shd w:val="clear" w:color="auto" w:fill="auto"/>
          </w:tcPr>
          <w:p w14:paraId="2388AD14"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0.89</w:t>
            </w:r>
          </w:p>
        </w:tc>
        <w:tc>
          <w:tcPr>
            <w:tcW w:w="1085" w:type="dxa"/>
            <w:shd w:val="clear" w:color="auto" w:fill="auto"/>
          </w:tcPr>
          <w:p w14:paraId="4D648BF8"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1.15</w:t>
            </w:r>
          </w:p>
        </w:tc>
        <w:tc>
          <w:tcPr>
            <w:tcW w:w="724" w:type="dxa"/>
            <w:shd w:val="clear" w:color="auto" w:fill="auto"/>
          </w:tcPr>
          <w:p w14:paraId="255A8050"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5%</w:t>
            </w:r>
          </w:p>
        </w:tc>
        <w:tc>
          <w:tcPr>
            <w:tcW w:w="795" w:type="dxa"/>
          </w:tcPr>
          <w:p w14:paraId="1BF94106"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30%</w:t>
            </w:r>
          </w:p>
        </w:tc>
      </w:tr>
      <w:tr w:rsidR="003D217E" w:rsidRPr="004635E5" w14:paraId="772E00D4" w14:textId="77777777" w:rsidTr="001740C5">
        <w:trPr>
          <w:jc w:val="center"/>
        </w:trPr>
        <w:tc>
          <w:tcPr>
            <w:tcW w:w="0" w:type="auto"/>
            <w:tcBorders>
              <w:right w:val="nil"/>
            </w:tcBorders>
          </w:tcPr>
          <w:p w14:paraId="72CA8B2B" w14:textId="77777777" w:rsidR="003D217E" w:rsidRPr="004635E5" w:rsidRDefault="003D217E" w:rsidP="001740C5">
            <w:pPr>
              <w:adjustRightInd w:val="0"/>
              <w:snapToGrid w:val="0"/>
              <w:rPr>
                <w:rFonts w:eastAsia="MS PMincho"/>
                <w:sz w:val="22"/>
                <w:szCs w:val="22"/>
              </w:rPr>
            </w:pPr>
          </w:p>
        </w:tc>
        <w:tc>
          <w:tcPr>
            <w:tcW w:w="0" w:type="auto"/>
            <w:tcBorders>
              <w:left w:val="nil"/>
              <w:right w:val="nil"/>
            </w:tcBorders>
          </w:tcPr>
          <w:p w14:paraId="5F49EAE7" w14:textId="77777777" w:rsidR="003D217E" w:rsidRPr="004635E5" w:rsidRDefault="003D217E" w:rsidP="001740C5">
            <w:pPr>
              <w:adjustRightInd w:val="0"/>
              <w:snapToGrid w:val="0"/>
              <w:rPr>
                <w:rFonts w:eastAsia="MS PMincho"/>
                <w:sz w:val="22"/>
                <w:szCs w:val="22"/>
              </w:rPr>
            </w:pPr>
          </w:p>
        </w:tc>
        <w:tc>
          <w:tcPr>
            <w:tcW w:w="0" w:type="auto"/>
            <w:tcBorders>
              <w:left w:val="nil"/>
              <w:right w:val="nil"/>
            </w:tcBorders>
            <w:shd w:val="clear" w:color="auto" w:fill="auto"/>
          </w:tcPr>
          <w:p w14:paraId="31C58A8B" w14:textId="77777777" w:rsidR="003D217E" w:rsidRPr="004635E5" w:rsidRDefault="003D217E" w:rsidP="001740C5">
            <w:pPr>
              <w:adjustRightInd w:val="0"/>
              <w:snapToGrid w:val="0"/>
              <w:jc w:val="center"/>
              <w:rPr>
                <w:rFonts w:eastAsia="MS PMincho"/>
                <w:sz w:val="22"/>
                <w:szCs w:val="22"/>
              </w:rPr>
            </w:pPr>
          </w:p>
        </w:tc>
        <w:tc>
          <w:tcPr>
            <w:tcW w:w="0" w:type="auto"/>
            <w:tcBorders>
              <w:left w:val="nil"/>
              <w:right w:val="nil"/>
            </w:tcBorders>
            <w:shd w:val="clear" w:color="auto" w:fill="auto"/>
          </w:tcPr>
          <w:p w14:paraId="0260BC2F" w14:textId="77777777" w:rsidR="003D217E" w:rsidRPr="004635E5" w:rsidRDefault="003D217E" w:rsidP="001740C5">
            <w:pPr>
              <w:adjustRightInd w:val="0"/>
              <w:snapToGrid w:val="0"/>
              <w:jc w:val="center"/>
              <w:rPr>
                <w:rFonts w:eastAsia="MS PMincho"/>
                <w:sz w:val="22"/>
                <w:szCs w:val="22"/>
              </w:rPr>
            </w:pPr>
          </w:p>
        </w:tc>
        <w:tc>
          <w:tcPr>
            <w:tcW w:w="1090" w:type="dxa"/>
            <w:tcBorders>
              <w:left w:val="nil"/>
              <w:right w:val="nil"/>
            </w:tcBorders>
            <w:shd w:val="clear" w:color="auto" w:fill="auto"/>
          </w:tcPr>
          <w:p w14:paraId="542007B4" w14:textId="77777777" w:rsidR="003D217E" w:rsidRPr="004635E5" w:rsidRDefault="003D217E" w:rsidP="001740C5">
            <w:pPr>
              <w:adjustRightInd w:val="0"/>
              <w:snapToGrid w:val="0"/>
              <w:jc w:val="center"/>
              <w:rPr>
                <w:rFonts w:eastAsia="MS PMincho"/>
                <w:sz w:val="22"/>
                <w:szCs w:val="22"/>
              </w:rPr>
            </w:pPr>
          </w:p>
        </w:tc>
        <w:tc>
          <w:tcPr>
            <w:tcW w:w="1219" w:type="dxa"/>
            <w:tcBorders>
              <w:left w:val="nil"/>
              <w:right w:val="nil"/>
            </w:tcBorders>
            <w:shd w:val="clear" w:color="auto" w:fill="auto"/>
          </w:tcPr>
          <w:p w14:paraId="6BD459CF" w14:textId="77777777" w:rsidR="003D217E" w:rsidRPr="004635E5" w:rsidRDefault="003D217E" w:rsidP="001740C5">
            <w:pPr>
              <w:adjustRightInd w:val="0"/>
              <w:snapToGrid w:val="0"/>
              <w:jc w:val="center"/>
              <w:rPr>
                <w:rFonts w:eastAsia="MS PMincho"/>
                <w:sz w:val="22"/>
                <w:szCs w:val="22"/>
              </w:rPr>
            </w:pPr>
          </w:p>
        </w:tc>
        <w:tc>
          <w:tcPr>
            <w:tcW w:w="891" w:type="dxa"/>
            <w:tcBorders>
              <w:left w:val="nil"/>
              <w:right w:val="nil"/>
            </w:tcBorders>
            <w:shd w:val="clear" w:color="auto" w:fill="auto"/>
          </w:tcPr>
          <w:p w14:paraId="4C864DBD" w14:textId="77777777" w:rsidR="003D217E" w:rsidRPr="004635E5" w:rsidRDefault="003D217E" w:rsidP="001740C5">
            <w:pPr>
              <w:adjustRightInd w:val="0"/>
              <w:snapToGrid w:val="0"/>
              <w:jc w:val="center"/>
              <w:rPr>
                <w:rFonts w:eastAsia="MS PMincho"/>
                <w:sz w:val="22"/>
                <w:szCs w:val="22"/>
              </w:rPr>
            </w:pPr>
          </w:p>
        </w:tc>
        <w:tc>
          <w:tcPr>
            <w:tcW w:w="1085" w:type="dxa"/>
            <w:tcBorders>
              <w:left w:val="nil"/>
              <w:right w:val="nil"/>
            </w:tcBorders>
            <w:shd w:val="clear" w:color="auto" w:fill="auto"/>
          </w:tcPr>
          <w:p w14:paraId="57612918" w14:textId="77777777" w:rsidR="003D217E" w:rsidRPr="004635E5" w:rsidRDefault="003D217E" w:rsidP="001740C5">
            <w:pPr>
              <w:adjustRightInd w:val="0"/>
              <w:snapToGrid w:val="0"/>
              <w:jc w:val="center"/>
              <w:rPr>
                <w:rFonts w:eastAsia="MS PMincho"/>
                <w:sz w:val="22"/>
                <w:szCs w:val="22"/>
              </w:rPr>
            </w:pPr>
          </w:p>
        </w:tc>
        <w:tc>
          <w:tcPr>
            <w:tcW w:w="724" w:type="dxa"/>
            <w:tcBorders>
              <w:left w:val="nil"/>
            </w:tcBorders>
            <w:shd w:val="clear" w:color="auto" w:fill="auto"/>
          </w:tcPr>
          <w:p w14:paraId="45726AF7" w14:textId="77777777" w:rsidR="003D217E" w:rsidRPr="004635E5" w:rsidRDefault="003D217E" w:rsidP="001740C5">
            <w:pPr>
              <w:adjustRightInd w:val="0"/>
              <w:snapToGrid w:val="0"/>
              <w:jc w:val="center"/>
              <w:rPr>
                <w:rFonts w:eastAsia="MS PMincho"/>
                <w:sz w:val="22"/>
                <w:szCs w:val="22"/>
              </w:rPr>
            </w:pPr>
          </w:p>
        </w:tc>
        <w:tc>
          <w:tcPr>
            <w:tcW w:w="795" w:type="dxa"/>
            <w:tcBorders>
              <w:left w:val="nil"/>
            </w:tcBorders>
          </w:tcPr>
          <w:p w14:paraId="517E5920" w14:textId="77777777" w:rsidR="003D217E" w:rsidRPr="004635E5" w:rsidRDefault="003D217E" w:rsidP="001740C5">
            <w:pPr>
              <w:adjustRightInd w:val="0"/>
              <w:snapToGrid w:val="0"/>
              <w:jc w:val="center"/>
              <w:rPr>
                <w:rFonts w:eastAsia="MS PMincho"/>
                <w:sz w:val="22"/>
                <w:szCs w:val="22"/>
              </w:rPr>
            </w:pPr>
          </w:p>
        </w:tc>
      </w:tr>
      <w:tr w:rsidR="003D217E" w:rsidRPr="004635E5" w14:paraId="124C4BCC" w14:textId="77777777" w:rsidTr="001740C5">
        <w:trPr>
          <w:jc w:val="center"/>
        </w:trPr>
        <w:tc>
          <w:tcPr>
            <w:tcW w:w="0" w:type="auto"/>
            <w:vMerge w:val="restart"/>
          </w:tcPr>
          <w:p w14:paraId="3AE2CDE9"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Long-term</w:t>
            </w:r>
          </w:p>
        </w:tc>
        <w:tc>
          <w:tcPr>
            <w:tcW w:w="0" w:type="auto"/>
          </w:tcPr>
          <w:p w14:paraId="2A023817"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2013-</w:t>
            </w:r>
            <w:r>
              <w:rPr>
                <w:rFonts w:eastAsiaTheme="minorEastAsia" w:hint="eastAsia"/>
                <w:sz w:val="22"/>
                <w:szCs w:val="22"/>
                <w:lang w:eastAsia="ko-KR"/>
              </w:rPr>
              <w:t>20</w:t>
            </w:r>
            <w:r w:rsidRPr="004635E5">
              <w:rPr>
                <w:rFonts w:eastAsia="MS PMincho"/>
                <w:sz w:val="22"/>
                <w:szCs w:val="22"/>
              </w:rPr>
              <w:t xml:space="preserve">15 </w:t>
            </w:r>
            <w:r>
              <w:rPr>
                <w:rFonts w:eastAsia="MS PMincho"/>
                <w:sz w:val="22"/>
                <w:szCs w:val="22"/>
              </w:rPr>
              <w:t>average</w:t>
            </w:r>
          </w:p>
        </w:tc>
        <w:tc>
          <w:tcPr>
            <w:tcW w:w="0" w:type="auto"/>
            <w:shd w:val="clear" w:color="auto" w:fill="auto"/>
          </w:tcPr>
          <w:p w14:paraId="322E9908"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w:t>
            </w:r>
          </w:p>
        </w:tc>
        <w:tc>
          <w:tcPr>
            <w:tcW w:w="0" w:type="auto"/>
            <w:shd w:val="clear" w:color="auto" w:fill="auto"/>
          </w:tcPr>
          <w:p w14:paraId="40B1971B"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w:t>
            </w:r>
          </w:p>
        </w:tc>
        <w:tc>
          <w:tcPr>
            <w:tcW w:w="1090" w:type="dxa"/>
            <w:shd w:val="clear" w:color="auto" w:fill="auto"/>
          </w:tcPr>
          <w:p w14:paraId="77FEC06B"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0.30</w:t>
            </w:r>
          </w:p>
        </w:tc>
        <w:tc>
          <w:tcPr>
            <w:tcW w:w="1219" w:type="dxa"/>
            <w:shd w:val="clear" w:color="auto" w:fill="auto"/>
          </w:tcPr>
          <w:p w14:paraId="0328D25E"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0.84</w:t>
            </w:r>
          </w:p>
        </w:tc>
        <w:tc>
          <w:tcPr>
            <w:tcW w:w="891" w:type="dxa"/>
            <w:shd w:val="clear" w:color="auto" w:fill="auto"/>
          </w:tcPr>
          <w:p w14:paraId="501B1F9D"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1.60</w:t>
            </w:r>
          </w:p>
        </w:tc>
        <w:tc>
          <w:tcPr>
            <w:tcW w:w="1085" w:type="dxa"/>
            <w:shd w:val="clear" w:color="auto" w:fill="auto"/>
          </w:tcPr>
          <w:p w14:paraId="3B989E1C"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2.09</w:t>
            </w:r>
          </w:p>
        </w:tc>
        <w:tc>
          <w:tcPr>
            <w:tcW w:w="724" w:type="dxa"/>
            <w:shd w:val="clear" w:color="auto" w:fill="auto"/>
          </w:tcPr>
          <w:p w14:paraId="68F65B01"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17%</w:t>
            </w:r>
          </w:p>
        </w:tc>
        <w:tc>
          <w:tcPr>
            <w:tcW w:w="795" w:type="dxa"/>
          </w:tcPr>
          <w:p w14:paraId="4E0E3677"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93%</w:t>
            </w:r>
          </w:p>
        </w:tc>
      </w:tr>
      <w:tr w:rsidR="003D217E" w:rsidRPr="004635E5" w14:paraId="24A1B59C" w14:textId="77777777" w:rsidTr="001740C5">
        <w:trPr>
          <w:jc w:val="center"/>
        </w:trPr>
        <w:tc>
          <w:tcPr>
            <w:tcW w:w="0" w:type="auto"/>
            <w:vMerge/>
          </w:tcPr>
          <w:p w14:paraId="14049F6A" w14:textId="77777777" w:rsidR="003D217E" w:rsidRPr="004635E5" w:rsidRDefault="003D217E" w:rsidP="001740C5">
            <w:pPr>
              <w:adjustRightInd w:val="0"/>
              <w:snapToGrid w:val="0"/>
              <w:rPr>
                <w:rFonts w:eastAsia="MS PMincho"/>
                <w:sz w:val="22"/>
                <w:szCs w:val="22"/>
              </w:rPr>
            </w:pPr>
          </w:p>
        </w:tc>
        <w:tc>
          <w:tcPr>
            <w:tcW w:w="0" w:type="auto"/>
          </w:tcPr>
          <w:p w14:paraId="106451DE"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Optimistic</w:t>
            </w:r>
          </w:p>
        </w:tc>
        <w:tc>
          <w:tcPr>
            <w:tcW w:w="0" w:type="auto"/>
            <w:shd w:val="clear" w:color="auto" w:fill="auto"/>
          </w:tcPr>
          <w:p w14:paraId="73A57980"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1.11</w:t>
            </w:r>
          </w:p>
        </w:tc>
        <w:tc>
          <w:tcPr>
            <w:tcW w:w="0" w:type="auto"/>
            <w:shd w:val="clear" w:color="auto" w:fill="auto"/>
          </w:tcPr>
          <w:p w14:paraId="2E332B1F"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0.98</w:t>
            </w:r>
          </w:p>
        </w:tc>
        <w:tc>
          <w:tcPr>
            <w:tcW w:w="1090" w:type="dxa"/>
            <w:shd w:val="clear" w:color="auto" w:fill="auto"/>
          </w:tcPr>
          <w:p w14:paraId="7C0A1568"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0.29</w:t>
            </w:r>
          </w:p>
        </w:tc>
        <w:tc>
          <w:tcPr>
            <w:tcW w:w="1219" w:type="dxa"/>
            <w:shd w:val="clear" w:color="auto" w:fill="auto"/>
          </w:tcPr>
          <w:p w14:paraId="29E42C1F"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0.82</w:t>
            </w:r>
          </w:p>
        </w:tc>
        <w:tc>
          <w:tcPr>
            <w:tcW w:w="891" w:type="dxa"/>
            <w:shd w:val="clear" w:color="auto" w:fill="auto"/>
          </w:tcPr>
          <w:p w14:paraId="317D661F"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1.64</w:t>
            </w:r>
          </w:p>
        </w:tc>
        <w:tc>
          <w:tcPr>
            <w:tcW w:w="1085" w:type="dxa"/>
            <w:shd w:val="clear" w:color="auto" w:fill="auto"/>
          </w:tcPr>
          <w:p w14:paraId="32C38A54"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2.13</w:t>
            </w:r>
          </w:p>
        </w:tc>
        <w:tc>
          <w:tcPr>
            <w:tcW w:w="724" w:type="dxa"/>
            <w:shd w:val="clear" w:color="auto" w:fill="auto"/>
          </w:tcPr>
          <w:p w14:paraId="129E94E8"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18%</w:t>
            </w:r>
          </w:p>
        </w:tc>
        <w:tc>
          <w:tcPr>
            <w:tcW w:w="795" w:type="dxa"/>
          </w:tcPr>
          <w:p w14:paraId="68C33A55"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94%</w:t>
            </w:r>
          </w:p>
        </w:tc>
      </w:tr>
      <w:tr w:rsidR="003D217E" w:rsidRPr="004635E5" w14:paraId="4E826FEF" w14:textId="77777777" w:rsidTr="001740C5">
        <w:trPr>
          <w:jc w:val="center"/>
        </w:trPr>
        <w:tc>
          <w:tcPr>
            <w:tcW w:w="0" w:type="auto"/>
            <w:vMerge/>
          </w:tcPr>
          <w:p w14:paraId="6AC0D645" w14:textId="77777777" w:rsidR="003D217E" w:rsidRPr="004635E5" w:rsidRDefault="003D217E" w:rsidP="001740C5">
            <w:pPr>
              <w:adjustRightInd w:val="0"/>
              <w:snapToGrid w:val="0"/>
              <w:rPr>
                <w:rFonts w:eastAsia="MS PMincho"/>
                <w:sz w:val="22"/>
                <w:szCs w:val="22"/>
              </w:rPr>
            </w:pPr>
          </w:p>
        </w:tc>
        <w:tc>
          <w:tcPr>
            <w:tcW w:w="0" w:type="auto"/>
          </w:tcPr>
          <w:p w14:paraId="02E9028A"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Pessimistic</w:t>
            </w:r>
          </w:p>
        </w:tc>
        <w:tc>
          <w:tcPr>
            <w:tcW w:w="0" w:type="auto"/>
            <w:shd w:val="clear" w:color="auto" w:fill="auto"/>
          </w:tcPr>
          <w:p w14:paraId="40132A12"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1.12</w:t>
            </w:r>
          </w:p>
        </w:tc>
        <w:tc>
          <w:tcPr>
            <w:tcW w:w="0" w:type="auto"/>
            <w:shd w:val="clear" w:color="auto" w:fill="auto"/>
          </w:tcPr>
          <w:p w14:paraId="3A41C863"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1.35</w:t>
            </w:r>
          </w:p>
        </w:tc>
        <w:tc>
          <w:tcPr>
            <w:tcW w:w="1090" w:type="dxa"/>
            <w:shd w:val="clear" w:color="auto" w:fill="auto"/>
          </w:tcPr>
          <w:p w14:paraId="08B15243"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0.25</w:t>
            </w:r>
          </w:p>
        </w:tc>
        <w:tc>
          <w:tcPr>
            <w:tcW w:w="1219" w:type="dxa"/>
            <w:shd w:val="clear" w:color="auto" w:fill="auto"/>
          </w:tcPr>
          <w:p w14:paraId="15AD9515"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0.70</w:t>
            </w:r>
          </w:p>
        </w:tc>
        <w:tc>
          <w:tcPr>
            <w:tcW w:w="891" w:type="dxa"/>
            <w:shd w:val="clear" w:color="auto" w:fill="auto"/>
          </w:tcPr>
          <w:p w14:paraId="3F3CF7B5"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1.84</w:t>
            </w:r>
          </w:p>
        </w:tc>
        <w:tc>
          <w:tcPr>
            <w:tcW w:w="1085" w:type="dxa"/>
            <w:shd w:val="clear" w:color="auto" w:fill="auto"/>
          </w:tcPr>
          <w:p w14:paraId="20F7B39F"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2.38</w:t>
            </w:r>
          </w:p>
        </w:tc>
        <w:tc>
          <w:tcPr>
            <w:tcW w:w="724" w:type="dxa"/>
            <w:shd w:val="clear" w:color="auto" w:fill="auto"/>
          </w:tcPr>
          <w:p w14:paraId="59B29E92"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32%</w:t>
            </w:r>
          </w:p>
        </w:tc>
        <w:tc>
          <w:tcPr>
            <w:tcW w:w="795" w:type="dxa"/>
          </w:tcPr>
          <w:p w14:paraId="347A2FA4"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98%</w:t>
            </w:r>
          </w:p>
        </w:tc>
      </w:tr>
    </w:tbl>
    <w:p w14:paraId="7D0CF6FE" w14:textId="77777777" w:rsidR="003D217E" w:rsidRPr="004635E5" w:rsidRDefault="003D217E" w:rsidP="003D217E">
      <w:pPr>
        <w:adjustRightInd w:val="0"/>
        <w:snapToGrid w:val="0"/>
        <w:rPr>
          <w:rFonts w:eastAsia="MS PMincho"/>
          <w:sz w:val="22"/>
          <w:szCs w:val="22"/>
        </w:rPr>
      </w:pPr>
      <w:r w:rsidRPr="004635E5">
        <w:rPr>
          <w:rFonts w:eastAsia="MS PMincho"/>
          <w:sz w:val="22"/>
          <w:szCs w:val="22"/>
          <w:vertAlign w:val="superscript"/>
        </w:rPr>
        <w:t>1</w:t>
      </w:r>
      <w:r w:rsidRPr="004635E5">
        <w:rPr>
          <w:rFonts w:eastAsia="MS PMincho"/>
          <w:sz w:val="22"/>
          <w:szCs w:val="22"/>
        </w:rPr>
        <w:t xml:space="preserve"> note risk within the stock assessment is calculated as the (weighted) number of models falling below the LRP (X / 36 models). Risk under a projection scenario is the number of projections across the grid that fall below the LRP (X / 3600 (36 models x 100 projections).</w:t>
      </w:r>
    </w:p>
    <w:p w14:paraId="756C5FF0" w14:textId="77777777" w:rsidR="003D217E" w:rsidRDefault="003D217E" w:rsidP="003D217E">
      <w:pPr>
        <w:keepNext/>
        <w:adjustRightInd w:val="0"/>
        <w:snapToGrid w:val="0"/>
        <w:jc w:val="both"/>
        <w:rPr>
          <w:rFonts w:eastAsiaTheme="minorEastAsia"/>
          <w:b/>
          <w:bCs/>
          <w:sz w:val="22"/>
          <w:szCs w:val="22"/>
          <w:lang w:val="en-GB" w:eastAsia="ko-KR"/>
        </w:rPr>
      </w:pPr>
    </w:p>
    <w:p w14:paraId="59A96928" w14:textId="77777777" w:rsidR="003D217E" w:rsidRDefault="003D217E" w:rsidP="003D217E">
      <w:pPr>
        <w:keepNext/>
        <w:adjustRightInd w:val="0"/>
        <w:snapToGrid w:val="0"/>
        <w:jc w:val="both"/>
        <w:rPr>
          <w:rFonts w:eastAsiaTheme="minorEastAsia"/>
          <w:b/>
          <w:bCs/>
          <w:sz w:val="22"/>
          <w:szCs w:val="22"/>
          <w:lang w:val="en-GB" w:eastAsia="ko-KR"/>
        </w:rPr>
      </w:pPr>
    </w:p>
    <w:p w14:paraId="5333FDD2" w14:textId="77777777" w:rsidR="003D217E" w:rsidRPr="004635E5" w:rsidRDefault="003D217E" w:rsidP="003D217E">
      <w:pPr>
        <w:keepNext/>
        <w:adjustRightInd w:val="0"/>
        <w:snapToGrid w:val="0"/>
        <w:jc w:val="both"/>
        <w:rPr>
          <w:bCs/>
          <w:sz w:val="22"/>
          <w:szCs w:val="22"/>
          <w:u w:val="single"/>
          <w:lang w:val="en-GB"/>
        </w:rPr>
      </w:pPr>
      <w:r w:rsidRPr="004635E5">
        <w:rPr>
          <w:b/>
          <w:bCs/>
          <w:sz w:val="22"/>
          <w:szCs w:val="22"/>
          <w:lang w:val="en-GB"/>
        </w:rPr>
        <w:t xml:space="preserve">Table BET-4. </w:t>
      </w:r>
      <w:r w:rsidRPr="004635E5">
        <w:rPr>
          <w:bCs/>
          <w:sz w:val="22"/>
          <w:szCs w:val="22"/>
          <w:lang w:val="en-GB"/>
        </w:rPr>
        <w:t>Median values of SB/SB</w:t>
      </w:r>
      <w:r w:rsidRPr="004635E5">
        <w:rPr>
          <w:bCs/>
          <w:sz w:val="22"/>
          <w:szCs w:val="22"/>
          <w:vertAlign w:val="subscript"/>
          <w:lang w:val="en-GB"/>
        </w:rPr>
        <w:t>F=0</w:t>
      </w:r>
      <w:r w:rsidRPr="004635E5">
        <w:rPr>
          <w:bCs/>
          <w:sz w:val="22"/>
          <w:szCs w:val="22"/>
          <w:lang w:val="en-GB"/>
        </w:rPr>
        <w:t xml:space="preserve"> and associated risk of breaching the adopted limit reference point (LRP) of 20% SBF=0 in 2020, 2025 and 2045 under the three future harvest scenarios (2013-2015 average fishing levels, optimistic, and pessimistic) and alternative recruitment hypotheses. </w:t>
      </w:r>
      <w:r w:rsidRPr="004635E5">
        <w:rPr>
          <w:bCs/>
          <w:sz w:val="22"/>
          <w:szCs w:val="22"/>
          <w:u w:val="single"/>
          <w:lang w:val="en-GB"/>
        </w:rPr>
        <w:t>‘Updated new growth’ runs only.</w:t>
      </w:r>
    </w:p>
    <w:p w14:paraId="0C9D3669" w14:textId="77777777" w:rsidR="003D217E" w:rsidRPr="004635E5" w:rsidRDefault="003D217E" w:rsidP="003D217E">
      <w:pPr>
        <w:adjustRightInd w:val="0"/>
        <w:snapToGrid w:val="0"/>
        <w:rPr>
          <w:rFonts w:eastAsia="MS PMincho"/>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1212"/>
        <w:gridCol w:w="657"/>
        <w:gridCol w:w="898"/>
        <w:gridCol w:w="1163"/>
        <w:gridCol w:w="1165"/>
        <w:gridCol w:w="1158"/>
        <w:gridCol w:w="711"/>
        <w:gridCol w:w="705"/>
        <w:gridCol w:w="717"/>
      </w:tblGrid>
      <w:tr w:rsidR="003D217E" w:rsidRPr="004635E5" w14:paraId="6379BCBE" w14:textId="77777777" w:rsidTr="001740C5">
        <w:trPr>
          <w:jc w:val="center"/>
        </w:trPr>
        <w:tc>
          <w:tcPr>
            <w:tcW w:w="2547" w:type="dxa"/>
            <w:gridSpan w:val="2"/>
          </w:tcPr>
          <w:p w14:paraId="063D1AD0" w14:textId="77777777" w:rsidR="003D217E" w:rsidRPr="00D10883" w:rsidRDefault="003D217E" w:rsidP="001740C5">
            <w:pPr>
              <w:adjustRightInd w:val="0"/>
              <w:snapToGrid w:val="0"/>
              <w:jc w:val="center"/>
              <w:rPr>
                <w:rFonts w:eastAsia="MS PMincho"/>
                <w:b/>
                <w:sz w:val="18"/>
                <w:szCs w:val="18"/>
              </w:rPr>
            </w:pPr>
            <w:r w:rsidRPr="00D10883">
              <w:rPr>
                <w:rFonts w:eastAsia="MS PMincho"/>
                <w:b/>
                <w:sz w:val="18"/>
                <w:szCs w:val="18"/>
              </w:rPr>
              <w:t>Scenario</w:t>
            </w:r>
          </w:p>
        </w:tc>
        <w:tc>
          <w:tcPr>
            <w:tcW w:w="1599" w:type="dxa"/>
            <w:gridSpan w:val="2"/>
            <w:shd w:val="clear" w:color="auto" w:fill="auto"/>
          </w:tcPr>
          <w:p w14:paraId="713A47AB" w14:textId="77777777" w:rsidR="003D217E" w:rsidRPr="00D10883" w:rsidRDefault="003D217E" w:rsidP="001740C5">
            <w:pPr>
              <w:adjustRightInd w:val="0"/>
              <w:snapToGrid w:val="0"/>
              <w:jc w:val="center"/>
              <w:rPr>
                <w:rFonts w:eastAsia="MS PMincho"/>
                <w:b/>
                <w:sz w:val="18"/>
                <w:szCs w:val="18"/>
              </w:rPr>
            </w:pPr>
            <w:r w:rsidRPr="00D10883">
              <w:rPr>
                <w:rFonts w:eastAsia="MS PMincho"/>
                <w:b/>
                <w:sz w:val="18"/>
                <w:szCs w:val="18"/>
              </w:rPr>
              <w:t>Scalars relative to 2013-2015</w:t>
            </w:r>
          </w:p>
        </w:tc>
        <w:tc>
          <w:tcPr>
            <w:tcW w:w="1430" w:type="dxa"/>
            <w:vMerge w:val="restart"/>
            <w:shd w:val="clear" w:color="auto" w:fill="auto"/>
          </w:tcPr>
          <w:p w14:paraId="63DC6E78" w14:textId="77777777" w:rsidR="003D217E" w:rsidRPr="00D10883" w:rsidRDefault="003D217E" w:rsidP="001740C5">
            <w:pPr>
              <w:adjustRightInd w:val="0"/>
              <w:snapToGrid w:val="0"/>
              <w:jc w:val="center"/>
              <w:rPr>
                <w:rFonts w:eastAsia="MS PMincho"/>
                <w:b/>
                <w:sz w:val="18"/>
                <w:szCs w:val="18"/>
              </w:rPr>
            </w:pPr>
            <w:r w:rsidRPr="00D10883">
              <w:rPr>
                <w:rFonts w:eastAsia="MS PMincho"/>
                <w:b/>
                <w:sz w:val="18"/>
                <w:szCs w:val="18"/>
              </w:rPr>
              <w:t>Median SB</w:t>
            </w:r>
            <w:r w:rsidRPr="00D10883">
              <w:rPr>
                <w:rFonts w:eastAsia="MS PMincho"/>
                <w:b/>
                <w:sz w:val="18"/>
                <w:szCs w:val="18"/>
                <w:vertAlign w:val="subscript"/>
              </w:rPr>
              <w:t>2020</w:t>
            </w:r>
            <w:r w:rsidRPr="00D10883">
              <w:rPr>
                <w:rFonts w:eastAsia="MS PMincho"/>
                <w:b/>
                <w:sz w:val="18"/>
                <w:szCs w:val="18"/>
              </w:rPr>
              <w:t>/SB</w:t>
            </w:r>
            <w:r w:rsidRPr="00D10883">
              <w:rPr>
                <w:rFonts w:eastAsia="MS PMincho"/>
                <w:b/>
                <w:sz w:val="18"/>
                <w:szCs w:val="18"/>
                <w:vertAlign w:val="subscript"/>
              </w:rPr>
              <w:t>F=0</w:t>
            </w:r>
          </w:p>
        </w:tc>
        <w:tc>
          <w:tcPr>
            <w:tcW w:w="1466" w:type="dxa"/>
            <w:vMerge w:val="restart"/>
            <w:shd w:val="clear" w:color="auto" w:fill="auto"/>
          </w:tcPr>
          <w:p w14:paraId="1A86DB78" w14:textId="77777777" w:rsidR="003D217E" w:rsidRPr="00D10883" w:rsidRDefault="003D217E" w:rsidP="001740C5">
            <w:pPr>
              <w:adjustRightInd w:val="0"/>
              <w:snapToGrid w:val="0"/>
              <w:jc w:val="center"/>
              <w:rPr>
                <w:rFonts w:eastAsia="MS PMincho"/>
                <w:b/>
                <w:sz w:val="18"/>
                <w:szCs w:val="18"/>
              </w:rPr>
            </w:pPr>
            <w:r w:rsidRPr="00D10883">
              <w:rPr>
                <w:rFonts w:eastAsia="MS PMincho"/>
                <w:b/>
                <w:sz w:val="18"/>
                <w:szCs w:val="18"/>
              </w:rPr>
              <w:t>Median SB</w:t>
            </w:r>
            <w:r w:rsidRPr="00D10883">
              <w:rPr>
                <w:rFonts w:eastAsia="MS PMincho"/>
                <w:b/>
                <w:sz w:val="18"/>
                <w:szCs w:val="18"/>
                <w:vertAlign w:val="subscript"/>
              </w:rPr>
              <w:t>2025</w:t>
            </w:r>
            <w:r w:rsidRPr="00D10883">
              <w:rPr>
                <w:rFonts w:eastAsia="MS PMincho"/>
                <w:b/>
                <w:sz w:val="18"/>
                <w:szCs w:val="18"/>
              </w:rPr>
              <w:t>/SB</w:t>
            </w:r>
            <w:r w:rsidRPr="00D10883">
              <w:rPr>
                <w:rFonts w:eastAsia="MS PMincho"/>
                <w:b/>
                <w:sz w:val="18"/>
                <w:szCs w:val="18"/>
                <w:vertAlign w:val="subscript"/>
              </w:rPr>
              <w:t>F=0</w:t>
            </w:r>
          </w:p>
        </w:tc>
        <w:tc>
          <w:tcPr>
            <w:tcW w:w="1337" w:type="dxa"/>
            <w:vMerge w:val="restart"/>
            <w:shd w:val="clear" w:color="auto" w:fill="auto"/>
          </w:tcPr>
          <w:p w14:paraId="429E5752" w14:textId="77777777" w:rsidR="003D217E" w:rsidRPr="00D10883" w:rsidRDefault="003D217E" w:rsidP="001740C5">
            <w:pPr>
              <w:adjustRightInd w:val="0"/>
              <w:snapToGrid w:val="0"/>
              <w:jc w:val="center"/>
              <w:rPr>
                <w:rFonts w:eastAsia="MS PMincho"/>
                <w:b/>
                <w:sz w:val="18"/>
                <w:szCs w:val="18"/>
                <w:vertAlign w:val="superscript"/>
              </w:rPr>
            </w:pPr>
            <w:r w:rsidRPr="00D10883">
              <w:rPr>
                <w:rFonts w:eastAsia="MS PMincho"/>
                <w:b/>
                <w:sz w:val="18"/>
                <w:szCs w:val="18"/>
              </w:rPr>
              <w:t>Median SB</w:t>
            </w:r>
            <w:r w:rsidRPr="00D10883">
              <w:rPr>
                <w:rFonts w:eastAsia="MS PMincho"/>
                <w:b/>
                <w:sz w:val="18"/>
                <w:szCs w:val="18"/>
                <w:vertAlign w:val="subscript"/>
              </w:rPr>
              <w:t>2045</w:t>
            </w:r>
            <w:r w:rsidRPr="00D10883">
              <w:rPr>
                <w:rFonts w:eastAsia="MS PMincho"/>
                <w:b/>
                <w:sz w:val="18"/>
                <w:szCs w:val="18"/>
              </w:rPr>
              <w:t>/SB</w:t>
            </w:r>
            <w:r w:rsidRPr="00D10883">
              <w:rPr>
                <w:rFonts w:eastAsia="MS PMincho"/>
                <w:b/>
                <w:sz w:val="18"/>
                <w:szCs w:val="18"/>
                <w:vertAlign w:val="subscript"/>
              </w:rPr>
              <w:t>F=0</w:t>
            </w:r>
          </w:p>
        </w:tc>
        <w:tc>
          <w:tcPr>
            <w:tcW w:w="1344" w:type="dxa"/>
            <w:vMerge w:val="restart"/>
            <w:shd w:val="clear" w:color="auto" w:fill="auto"/>
          </w:tcPr>
          <w:p w14:paraId="4F88BEA1" w14:textId="77777777" w:rsidR="003D217E" w:rsidRPr="00D10883" w:rsidRDefault="003D217E" w:rsidP="001740C5">
            <w:pPr>
              <w:adjustRightInd w:val="0"/>
              <w:snapToGrid w:val="0"/>
              <w:jc w:val="center"/>
              <w:rPr>
                <w:rFonts w:eastAsia="MS PMincho"/>
                <w:b/>
                <w:sz w:val="18"/>
                <w:szCs w:val="18"/>
                <w:vertAlign w:val="subscript"/>
              </w:rPr>
            </w:pPr>
            <w:r w:rsidRPr="00D10883">
              <w:rPr>
                <w:rFonts w:eastAsia="MS PMincho"/>
                <w:b/>
                <w:sz w:val="18"/>
                <w:szCs w:val="18"/>
              </w:rPr>
              <w:t>Risk SB</w:t>
            </w:r>
            <w:r w:rsidRPr="00D10883">
              <w:rPr>
                <w:rFonts w:eastAsia="MS PMincho"/>
                <w:b/>
                <w:sz w:val="18"/>
                <w:szCs w:val="18"/>
                <w:vertAlign w:val="subscript"/>
              </w:rPr>
              <w:t>2020</w:t>
            </w:r>
            <w:r w:rsidRPr="00D10883">
              <w:rPr>
                <w:rFonts w:eastAsia="MS PMincho"/>
                <w:b/>
                <w:sz w:val="18"/>
                <w:szCs w:val="18"/>
              </w:rPr>
              <w:t xml:space="preserve"> &lt; LRP</w:t>
            </w:r>
          </w:p>
        </w:tc>
        <w:tc>
          <w:tcPr>
            <w:tcW w:w="1236" w:type="dxa"/>
            <w:vMerge w:val="restart"/>
          </w:tcPr>
          <w:p w14:paraId="4C05F829" w14:textId="77777777" w:rsidR="003D217E" w:rsidRPr="00D10883" w:rsidRDefault="003D217E" w:rsidP="001740C5">
            <w:pPr>
              <w:adjustRightInd w:val="0"/>
              <w:snapToGrid w:val="0"/>
              <w:jc w:val="center"/>
              <w:rPr>
                <w:rFonts w:eastAsia="MS PMincho"/>
                <w:b/>
                <w:sz w:val="18"/>
                <w:szCs w:val="18"/>
              </w:rPr>
            </w:pPr>
            <w:r w:rsidRPr="00D10883">
              <w:rPr>
                <w:rFonts w:eastAsia="MS PMincho"/>
                <w:b/>
                <w:sz w:val="18"/>
                <w:szCs w:val="18"/>
              </w:rPr>
              <w:t>Risk SB</w:t>
            </w:r>
            <w:r w:rsidRPr="00D10883">
              <w:rPr>
                <w:rFonts w:eastAsia="MS PMincho"/>
                <w:b/>
                <w:sz w:val="18"/>
                <w:szCs w:val="18"/>
                <w:vertAlign w:val="subscript"/>
              </w:rPr>
              <w:t>2025</w:t>
            </w:r>
            <w:r w:rsidRPr="00D10883">
              <w:rPr>
                <w:rFonts w:eastAsia="MS PMincho"/>
                <w:b/>
                <w:sz w:val="18"/>
                <w:szCs w:val="18"/>
              </w:rPr>
              <w:t xml:space="preserve"> &lt; LRP</w:t>
            </w:r>
          </w:p>
        </w:tc>
        <w:tc>
          <w:tcPr>
            <w:tcW w:w="1473" w:type="dxa"/>
            <w:vMerge w:val="restart"/>
          </w:tcPr>
          <w:p w14:paraId="1C0E1649" w14:textId="77777777" w:rsidR="003D217E" w:rsidRPr="00D10883" w:rsidRDefault="003D217E" w:rsidP="001740C5">
            <w:pPr>
              <w:adjustRightInd w:val="0"/>
              <w:snapToGrid w:val="0"/>
              <w:jc w:val="center"/>
              <w:rPr>
                <w:rFonts w:eastAsia="MS PMincho"/>
                <w:b/>
                <w:sz w:val="18"/>
                <w:szCs w:val="18"/>
              </w:rPr>
            </w:pPr>
            <w:r w:rsidRPr="00D10883">
              <w:rPr>
                <w:rFonts w:eastAsia="MS PMincho"/>
                <w:b/>
                <w:sz w:val="18"/>
                <w:szCs w:val="18"/>
              </w:rPr>
              <w:t>Risk SB</w:t>
            </w:r>
            <w:r w:rsidRPr="00D10883">
              <w:rPr>
                <w:rFonts w:eastAsia="MS PMincho"/>
                <w:b/>
                <w:sz w:val="18"/>
                <w:szCs w:val="18"/>
                <w:vertAlign w:val="subscript"/>
              </w:rPr>
              <w:t>2045</w:t>
            </w:r>
            <w:r w:rsidRPr="00D10883">
              <w:rPr>
                <w:rFonts w:eastAsia="MS PMincho"/>
                <w:b/>
                <w:sz w:val="18"/>
                <w:szCs w:val="18"/>
              </w:rPr>
              <w:t xml:space="preserve"> &lt; LRP</w:t>
            </w:r>
          </w:p>
        </w:tc>
      </w:tr>
      <w:tr w:rsidR="003D217E" w:rsidRPr="004635E5" w14:paraId="0B3EE079" w14:textId="77777777" w:rsidTr="001740C5">
        <w:trPr>
          <w:jc w:val="center"/>
        </w:trPr>
        <w:tc>
          <w:tcPr>
            <w:tcW w:w="1250" w:type="dxa"/>
          </w:tcPr>
          <w:p w14:paraId="504AB723" w14:textId="77777777" w:rsidR="003D217E" w:rsidRPr="00D10883" w:rsidRDefault="003D217E" w:rsidP="001740C5">
            <w:pPr>
              <w:adjustRightInd w:val="0"/>
              <w:snapToGrid w:val="0"/>
              <w:rPr>
                <w:rFonts w:eastAsia="MS PMincho"/>
                <w:b/>
                <w:sz w:val="18"/>
                <w:szCs w:val="18"/>
              </w:rPr>
            </w:pPr>
            <w:r w:rsidRPr="00D10883">
              <w:rPr>
                <w:rFonts w:eastAsia="MS PMincho"/>
                <w:b/>
                <w:sz w:val="18"/>
                <w:szCs w:val="18"/>
              </w:rPr>
              <w:t>Recruitment</w:t>
            </w:r>
          </w:p>
        </w:tc>
        <w:tc>
          <w:tcPr>
            <w:tcW w:w="1297" w:type="dxa"/>
          </w:tcPr>
          <w:p w14:paraId="5D60AC0E" w14:textId="77777777" w:rsidR="003D217E" w:rsidRPr="00D10883" w:rsidRDefault="003D217E" w:rsidP="001740C5">
            <w:pPr>
              <w:adjustRightInd w:val="0"/>
              <w:snapToGrid w:val="0"/>
              <w:jc w:val="center"/>
              <w:rPr>
                <w:rFonts w:eastAsia="MS PMincho"/>
                <w:b/>
                <w:sz w:val="18"/>
                <w:szCs w:val="18"/>
              </w:rPr>
            </w:pPr>
            <w:r w:rsidRPr="00D10883">
              <w:rPr>
                <w:rFonts w:eastAsia="MS PMincho"/>
                <w:b/>
                <w:sz w:val="18"/>
                <w:szCs w:val="18"/>
              </w:rPr>
              <w:t>Fishing level</w:t>
            </w:r>
          </w:p>
        </w:tc>
        <w:tc>
          <w:tcPr>
            <w:tcW w:w="682" w:type="dxa"/>
            <w:shd w:val="clear" w:color="auto" w:fill="auto"/>
          </w:tcPr>
          <w:p w14:paraId="60B575F7" w14:textId="77777777" w:rsidR="003D217E" w:rsidRPr="00D10883" w:rsidRDefault="003D217E" w:rsidP="001740C5">
            <w:pPr>
              <w:adjustRightInd w:val="0"/>
              <w:snapToGrid w:val="0"/>
              <w:jc w:val="center"/>
              <w:rPr>
                <w:rFonts w:eastAsia="MS PMincho"/>
                <w:b/>
                <w:sz w:val="18"/>
                <w:szCs w:val="18"/>
              </w:rPr>
            </w:pPr>
            <w:r w:rsidRPr="00D10883">
              <w:rPr>
                <w:rFonts w:eastAsia="MS PMincho"/>
                <w:b/>
                <w:sz w:val="18"/>
                <w:szCs w:val="18"/>
              </w:rPr>
              <w:t>Purse seine</w:t>
            </w:r>
          </w:p>
        </w:tc>
        <w:tc>
          <w:tcPr>
            <w:tcW w:w="917" w:type="dxa"/>
            <w:shd w:val="clear" w:color="auto" w:fill="auto"/>
          </w:tcPr>
          <w:p w14:paraId="2C7B7F9D" w14:textId="77777777" w:rsidR="003D217E" w:rsidRPr="00D10883" w:rsidRDefault="003D217E" w:rsidP="001740C5">
            <w:pPr>
              <w:adjustRightInd w:val="0"/>
              <w:snapToGrid w:val="0"/>
              <w:jc w:val="center"/>
              <w:rPr>
                <w:rFonts w:eastAsia="MS PMincho"/>
                <w:b/>
                <w:sz w:val="18"/>
                <w:szCs w:val="18"/>
              </w:rPr>
            </w:pPr>
            <w:r w:rsidRPr="00D10883">
              <w:rPr>
                <w:rFonts w:eastAsia="MS PMincho"/>
                <w:b/>
                <w:sz w:val="18"/>
                <w:szCs w:val="18"/>
              </w:rPr>
              <w:t>Longline</w:t>
            </w:r>
          </w:p>
        </w:tc>
        <w:tc>
          <w:tcPr>
            <w:tcW w:w="1430" w:type="dxa"/>
            <w:vMerge/>
            <w:shd w:val="clear" w:color="auto" w:fill="auto"/>
          </w:tcPr>
          <w:p w14:paraId="18DB7FAE" w14:textId="77777777" w:rsidR="003D217E" w:rsidRPr="00D10883" w:rsidRDefault="003D217E" w:rsidP="001740C5">
            <w:pPr>
              <w:adjustRightInd w:val="0"/>
              <w:snapToGrid w:val="0"/>
              <w:jc w:val="center"/>
              <w:rPr>
                <w:rFonts w:eastAsia="MS PMincho"/>
                <w:b/>
                <w:sz w:val="18"/>
                <w:szCs w:val="18"/>
              </w:rPr>
            </w:pPr>
          </w:p>
        </w:tc>
        <w:tc>
          <w:tcPr>
            <w:tcW w:w="1466" w:type="dxa"/>
            <w:vMerge/>
            <w:shd w:val="clear" w:color="auto" w:fill="auto"/>
          </w:tcPr>
          <w:p w14:paraId="37BE014A" w14:textId="77777777" w:rsidR="003D217E" w:rsidRPr="00D10883" w:rsidRDefault="003D217E" w:rsidP="001740C5">
            <w:pPr>
              <w:adjustRightInd w:val="0"/>
              <w:snapToGrid w:val="0"/>
              <w:jc w:val="center"/>
              <w:rPr>
                <w:rFonts w:eastAsia="MS PMincho"/>
                <w:b/>
                <w:sz w:val="18"/>
                <w:szCs w:val="18"/>
              </w:rPr>
            </w:pPr>
          </w:p>
        </w:tc>
        <w:tc>
          <w:tcPr>
            <w:tcW w:w="1337" w:type="dxa"/>
            <w:vMerge/>
            <w:shd w:val="clear" w:color="auto" w:fill="auto"/>
          </w:tcPr>
          <w:p w14:paraId="0F444DE0" w14:textId="77777777" w:rsidR="003D217E" w:rsidRPr="00D10883" w:rsidRDefault="003D217E" w:rsidP="001740C5">
            <w:pPr>
              <w:adjustRightInd w:val="0"/>
              <w:snapToGrid w:val="0"/>
              <w:jc w:val="center"/>
              <w:rPr>
                <w:rFonts w:eastAsia="MS PMincho"/>
                <w:b/>
                <w:sz w:val="18"/>
                <w:szCs w:val="18"/>
              </w:rPr>
            </w:pPr>
          </w:p>
        </w:tc>
        <w:tc>
          <w:tcPr>
            <w:tcW w:w="1344" w:type="dxa"/>
            <w:vMerge/>
            <w:shd w:val="clear" w:color="auto" w:fill="auto"/>
          </w:tcPr>
          <w:p w14:paraId="4A6C439F" w14:textId="77777777" w:rsidR="003D217E" w:rsidRPr="00D10883" w:rsidRDefault="003D217E" w:rsidP="001740C5">
            <w:pPr>
              <w:adjustRightInd w:val="0"/>
              <w:snapToGrid w:val="0"/>
              <w:jc w:val="center"/>
              <w:rPr>
                <w:rFonts w:eastAsia="MS PMincho"/>
                <w:b/>
                <w:sz w:val="18"/>
                <w:szCs w:val="18"/>
              </w:rPr>
            </w:pPr>
          </w:p>
        </w:tc>
        <w:tc>
          <w:tcPr>
            <w:tcW w:w="1236" w:type="dxa"/>
            <w:vMerge/>
          </w:tcPr>
          <w:p w14:paraId="366AFBE9" w14:textId="77777777" w:rsidR="003D217E" w:rsidRPr="00D10883" w:rsidRDefault="003D217E" w:rsidP="001740C5">
            <w:pPr>
              <w:adjustRightInd w:val="0"/>
              <w:snapToGrid w:val="0"/>
              <w:jc w:val="center"/>
              <w:rPr>
                <w:rFonts w:eastAsia="MS PMincho"/>
                <w:b/>
                <w:sz w:val="18"/>
                <w:szCs w:val="18"/>
              </w:rPr>
            </w:pPr>
          </w:p>
        </w:tc>
        <w:tc>
          <w:tcPr>
            <w:tcW w:w="1473" w:type="dxa"/>
            <w:vMerge/>
          </w:tcPr>
          <w:p w14:paraId="414EE89F" w14:textId="77777777" w:rsidR="003D217E" w:rsidRPr="00D10883" w:rsidRDefault="003D217E" w:rsidP="001740C5">
            <w:pPr>
              <w:adjustRightInd w:val="0"/>
              <w:snapToGrid w:val="0"/>
              <w:jc w:val="center"/>
              <w:rPr>
                <w:rFonts w:eastAsia="MS PMincho"/>
                <w:b/>
                <w:sz w:val="18"/>
                <w:szCs w:val="18"/>
              </w:rPr>
            </w:pPr>
          </w:p>
        </w:tc>
      </w:tr>
      <w:tr w:rsidR="003D217E" w:rsidRPr="004635E5" w14:paraId="4B08DF48" w14:textId="77777777" w:rsidTr="001740C5">
        <w:trPr>
          <w:jc w:val="center"/>
        </w:trPr>
        <w:tc>
          <w:tcPr>
            <w:tcW w:w="1250" w:type="dxa"/>
            <w:vMerge w:val="restart"/>
          </w:tcPr>
          <w:p w14:paraId="06364B17"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Recent</w:t>
            </w:r>
          </w:p>
        </w:tc>
        <w:tc>
          <w:tcPr>
            <w:tcW w:w="1297" w:type="dxa"/>
          </w:tcPr>
          <w:p w14:paraId="6BEB6F9E"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 xml:space="preserve">2013-2015 </w:t>
            </w:r>
            <w:r>
              <w:rPr>
                <w:rFonts w:eastAsia="MS PMincho"/>
                <w:sz w:val="22"/>
                <w:szCs w:val="22"/>
              </w:rPr>
              <w:t>average</w:t>
            </w:r>
            <w:r w:rsidRPr="004635E5">
              <w:rPr>
                <w:rFonts w:eastAsia="MS PMincho"/>
                <w:sz w:val="22"/>
                <w:szCs w:val="22"/>
              </w:rPr>
              <w:t xml:space="preserve"> </w:t>
            </w:r>
          </w:p>
        </w:tc>
        <w:tc>
          <w:tcPr>
            <w:tcW w:w="682" w:type="dxa"/>
            <w:shd w:val="clear" w:color="auto" w:fill="auto"/>
          </w:tcPr>
          <w:p w14:paraId="4225FE6E"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w:t>
            </w:r>
          </w:p>
        </w:tc>
        <w:tc>
          <w:tcPr>
            <w:tcW w:w="917" w:type="dxa"/>
            <w:shd w:val="clear" w:color="auto" w:fill="auto"/>
          </w:tcPr>
          <w:p w14:paraId="469E8984"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w:t>
            </w:r>
          </w:p>
        </w:tc>
        <w:tc>
          <w:tcPr>
            <w:tcW w:w="1430" w:type="dxa"/>
            <w:shd w:val="clear" w:color="auto" w:fill="auto"/>
          </w:tcPr>
          <w:p w14:paraId="4B0E78B3" w14:textId="77777777" w:rsidR="003D217E" w:rsidRPr="004635E5" w:rsidRDefault="003D217E" w:rsidP="001740C5">
            <w:pPr>
              <w:adjustRightInd w:val="0"/>
              <w:snapToGrid w:val="0"/>
              <w:jc w:val="center"/>
              <w:rPr>
                <w:rFonts w:eastAsia="MS PMincho"/>
                <w:sz w:val="22"/>
                <w:szCs w:val="22"/>
                <w:highlight w:val="yellow"/>
              </w:rPr>
            </w:pPr>
            <w:r w:rsidRPr="004635E5">
              <w:rPr>
                <w:rFonts w:eastAsia="MS PMincho"/>
                <w:sz w:val="22"/>
                <w:szCs w:val="22"/>
              </w:rPr>
              <w:t>0.42</w:t>
            </w:r>
          </w:p>
        </w:tc>
        <w:tc>
          <w:tcPr>
            <w:tcW w:w="1466" w:type="dxa"/>
            <w:shd w:val="clear" w:color="auto" w:fill="auto"/>
          </w:tcPr>
          <w:p w14:paraId="05394C83" w14:textId="77777777" w:rsidR="003D217E" w:rsidRPr="004635E5" w:rsidRDefault="003D217E" w:rsidP="001740C5">
            <w:pPr>
              <w:adjustRightInd w:val="0"/>
              <w:snapToGrid w:val="0"/>
              <w:jc w:val="center"/>
              <w:rPr>
                <w:rFonts w:eastAsia="MS PMincho"/>
                <w:sz w:val="22"/>
                <w:szCs w:val="22"/>
                <w:highlight w:val="yellow"/>
              </w:rPr>
            </w:pPr>
            <w:r w:rsidRPr="004635E5">
              <w:rPr>
                <w:rFonts w:eastAsia="MS PMincho"/>
                <w:sz w:val="22"/>
                <w:szCs w:val="22"/>
              </w:rPr>
              <w:t>0.41</w:t>
            </w:r>
          </w:p>
        </w:tc>
        <w:tc>
          <w:tcPr>
            <w:tcW w:w="1337" w:type="dxa"/>
            <w:shd w:val="clear" w:color="auto" w:fill="auto"/>
          </w:tcPr>
          <w:p w14:paraId="0238FD22" w14:textId="77777777" w:rsidR="003D217E" w:rsidRPr="004635E5" w:rsidRDefault="003D217E" w:rsidP="001740C5">
            <w:pPr>
              <w:adjustRightInd w:val="0"/>
              <w:snapToGrid w:val="0"/>
              <w:jc w:val="center"/>
              <w:rPr>
                <w:rFonts w:eastAsia="MS PMincho"/>
                <w:sz w:val="22"/>
                <w:szCs w:val="22"/>
                <w:highlight w:val="yellow"/>
              </w:rPr>
            </w:pPr>
            <w:r w:rsidRPr="004635E5">
              <w:rPr>
                <w:rFonts w:eastAsia="MS PMincho"/>
                <w:sz w:val="22"/>
                <w:szCs w:val="22"/>
              </w:rPr>
              <w:t>0.42</w:t>
            </w:r>
          </w:p>
        </w:tc>
        <w:tc>
          <w:tcPr>
            <w:tcW w:w="1344" w:type="dxa"/>
            <w:shd w:val="clear" w:color="auto" w:fill="auto"/>
          </w:tcPr>
          <w:p w14:paraId="5F53B606"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w:t>
            </w:r>
          </w:p>
        </w:tc>
        <w:tc>
          <w:tcPr>
            <w:tcW w:w="1236" w:type="dxa"/>
          </w:tcPr>
          <w:p w14:paraId="297AF89F"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w:t>
            </w:r>
          </w:p>
        </w:tc>
        <w:tc>
          <w:tcPr>
            <w:tcW w:w="1473" w:type="dxa"/>
          </w:tcPr>
          <w:p w14:paraId="6DA0C094"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w:t>
            </w:r>
          </w:p>
        </w:tc>
      </w:tr>
      <w:tr w:rsidR="003D217E" w:rsidRPr="004635E5" w14:paraId="468F3704" w14:textId="77777777" w:rsidTr="001740C5">
        <w:trPr>
          <w:jc w:val="center"/>
        </w:trPr>
        <w:tc>
          <w:tcPr>
            <w:tcW w:w="1250" w:type="dxa"/>
            <w:vMerge/>
          </w:tcPr>
          <w:p w14:paraId="2E6AAE31" w14:textId="77777777" w:rsidR="003D217E" w:rsidRPr="004635E5" w:rsidRDefault="003D217E" w:rsidP="001740C5">
            <w:pPr>
              <w:adjustRightInd w:val="0"/>
              <w:snapToGrid w:val="0"/>
              <w:rPr>
                <w:rFonts w:eastAsia="MS PMincho"/>
                <w:sz w:val="22"/>
                <w:szCs w:val="22"/>
              </w:rPr>
            </w:pPr>
          </w:p>
        </w:tc>
        <w:tc>
          <w:tcPr>
            <w:tcW w:w="1297" w:type="dxa"/>
          </w:tcPr>
          <w:p w14:paraId="4DA949E5"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Optimistic</w:t>
            </w:r>
          </w:p>
        </w:tc>
        <w:tc>
          <w:tcPr>
            <w:tcW w:w="682" w:type="dxa"/>
            <w:shd w:val="clear" w:color="auto" w:fill="auto"/>
          </w:tcPr>
          <w:p w14:paraId="7284A397"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1.11</w:t>
            </w:r>
          </w:p>
        </w:tc>
        <w:tc>
          <w:tcPr>
            <w:tcW w:w="917" w:type="dxa"/>
            <w:shd w:val="clear" w:color="auto" w:fill="auto"/>
          </w:tcPr>
          <w:p w14:paraId="6584CA0B"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0.98</w:t>
            </w:r>
          </w:p>
        </w:tc>
        <w:tc>
          <w:tcPr>
            <w:tcW w:w="1430" w:type="dxa"/>
            <w:shd w:val="clear" w:color="auto" w:fill="auto"/>
          </w:tcPr>
          <w:p w14:paraId="3248014E" w14:textId="77777777" w:rsidR="003D217E" w:rsidRPr="004635E5" w:rsidRDefault="003D217E" w:rsidP="001740C5">
            <w:pPr>
              <w:adjustRightInd w:val="0"/>
              <w:snapToGrid w:val="0"/>
              <w:jc w:val="center"/>
              <w:rPr>
                <w:rFonts w:eastAsia="MS PMincho"/>
                <w:sz w:val="22"/>
                <w:szCs w:val="22"/>
                <w:highlight w:val="yellow"/>
              </w:rPr>
            </w:pPr>
            <w:r w:rsidRPr="004635E5">
              <w:rPr>
                <w:rFonts w:eastAsia="MS PMincho"/>
                <w:sz w:val="22"/>
                <w:szCs w:val="22"/>
              </w:rPr>
              <w:t>0.41</w:t>
            </w:r>
          </w:p>
        </w:tc>
        <w:tc>
          <w:tcPr>
            <w:tcW w:w="1466" w:type="dxa"/>
            <w:shd w:val="clear" w:color="auto" w:fill="auto"/>
          </w:tcPr>
          <w:p w14:paraId="0F66EA1A" w14:textId="77777777" w:rsidR="003D217E" w:rsidRPr="004635E5" w:rsidRDefault="003D217E" w:rsidP="001740C5">
            <w:pPr>
              <w:adjustRightInd w:val="0"/>
              <w:snapToGrid w:val="0"/>
              <w:jc w:val="center"/>
              <w:rPr>
                <w:rFonts w:eastAsia="MS PMincho"/>
                <w:sz w:val="22"/>
                <w:szCs w:val="22"/>
                <w:highlight w:val="yellow"/>
              </w:rPr>
            </w:pPr>
            <w:r w:rsidRPr="004635E5">
              <w:rPr>
                <w:rFonts w:eastAsia="MS PMincho"/>
                <w:sz w:val="22"/>
                <w:szCs w:val="22"/>
              </w:rPr>
              <w:t>0.40</w:t>
            </w:r>
          </w:p>
        </w:tc>
        <w:tc>
          <w:tcPr>
            <w:tcW w:w="1337" w:type="dxa"/>
            <w:shd w:val="clear" w:color="auto" w:fill="auto"/>
          </w:tcPr>
          <w:p w14:paraId="7A2F95F9" w14:textId="77777777" w:rsidR="003D217E" w:rsidRPr="004635E5" w:rsidRDefault="003D217E" w:rsidP="001740C5">
            <w:pPr>
              <w:adjustRightInd w:val="0"/>
              <w:snapToGrid w:val="0"/>
              <w:jc w:val="center"/>
              <w:rPr>
                <w:rFonts w:eastAsia="MS PMincho"/>
                <w:sz w:val="22"/>
                <w:szCs w:val="22"/>
                <w:highlight w:val="yellow"/>
              </w:rPr>
            </w:pPr>
            <w:r w:rsidRPr="004635E5">
              <w:rPr>
                <w:rFonts w:eastAsia="MS PMincho"/>
                <w:sz w:val="22"/>
                <w:szCs w:val="22"/>
              </w:rPr>
              <w:t>0.41</w:t>
            </w:r>
          </w:p>
        </w:tc>
        <w:tc>
          <w:tcPr>
            <w:tcW w:w="1344" w:type="dxa"/>
            <w:shd w:val="clear" w:color="auto" w:fill="auto"/>
          </w:tcPr>
          <w:p w14:paraId="0E9969F2"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w:t>
            </w:r>
          </w:p>
        </w:tc>
        <w:tc>
          <w:tcPr>
            <w:tcW w:w="1236" w:type="dxa"/>
          </w:tcPr>
          <w:p w14:paraId="2E821F63"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w:t>
            </w:r>
          </w:p>
        </w:tc>
        <w:tc>
          <w:tcPr>
            <w:tcW w:w="1473" w:type="dxa"/>
          </w:tcPr>
          <w:p w14:paraId="50FAF4D4"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w:t>
            </w:r>
          </w:p>
        </w:tc>
      </w:tr>
      <w:tr w:rsidR="003D217E" w:rsidRPr="004635E5" w14:paraId="5C04C3FB" w14:textId="77777777" w:rsidTr="001740C5">
        <w:trPr>
          <w:jc w:val="center"/>
        </w:trPr>
        <w:tc>
          <w:tcPr>
            <w:tcW w:w="1250" w:type="dxa"/>
            <w:vMerge/>
          </w:tcPr>
          <w:p w14:paraId="7F3E71A9" w14:textId="77777777" w:rsidR="003D217E" w:rsidRPr="004635E5" w:rsidRDefault="003D217E" w:rsidP="001740C5">
            <w:pPr>
              <w:adjustRightInd w:val="0"/>
              <w:snapToGrid w:val="0"/>
              <w:rPr>
                <w:rFonts w:eastAsia="MS PMincho"/>
                <w:sz w:val="22"/>
                <w:szCs w:val="22"/>
              </w:rPr>
            </w:pPr>
          </w:p>
        </w:tc>
        <w:tc>
          <w:tcPr>
            <w:tcW w:w="1297" w:type="dxa"/>
          </w:tcPr>
          <w:p w14:paraId="199B5F1A"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Pessimistic</w:t>
            </w:r>
          </w:p>
        </w:tc>
        <w:tc>
          <w:tcPr>
            <w:tcW w:w="682" w:type="dxa"/>
            <w:shd w:val="clear" w:color="auto" w:fill="auto"/>
          </w:tcPr>
          <w:p w14:paraId="789C21EA"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1.12</w:t>
            </w:r>
          </w:p>
        </w:tc>
        <w:tc>
          <w:tcPr>
            <w:tcW w:w="917" w:type="dxa"/>
            <w:shd w:val="clear" w:color="auto" w:fill="auto"/>
          </w:tcPr>
          <w:p w14:paraId="18CDF410"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1.35</w:t>
            </w:r>
          </w:p>
        </w:tc>
        <w:tc>
          <w:tcPr>
            <w:tcW w:w="1430" w:type="dxa"/>
            <w:shd w:val="clear" w:color="auto" w:fill="auto"/>
          </w:tcPr>
          <w:p w14:paraId="3018CC93" w14:textId="77777777" w:rsidR="003D217E" w:rsidRPr="004635E5" w:rsidRDefault="003D217E" w:rsidP="001740C5">
            <w:pPr>
              <w:adjustRightInd w:val="0"/>
              <w:snapToGrid w:val="0"/>
              <w:jc w:val="center"/>
              <w:rPr>
                <w:rFonts w:eastAsia="MS PMincho"/>
                <w:sz w:val="22"/>
                <w:szCs w:val="22"/>
                <w:highlight w:val="yellow"/>
              </w:rPr>
            </w:pPr>
            <w:r w:rsidRPr="004635E5">
              <w:rPr>
                <w:rFonts w:eastAsia="MS PMincho"/>
                <w:sz w:val="22"/>
                <w:szCs w:val="22"/>
              </w:rPr>
              <w:t>0.38</w:t>
            </w:r>
          </w:p>
        </w:tc>
        <w:tc>
          <w:tcPr>
            <w:tcW w:w="1466" w:type="dxa"/>
            <w:shd w:val="clear" w:color="auto" w:fill="auto"/>
          </w:tcPr>
          <w:p w14:paraId="426CF72C"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0.35</w:t>
            </w:r>
          </w:p>
        </w:tc>
        <w:tc>
          <w:tcPr>
            <w:tcW w:w="1337" w:type="dxa"/>
            <w:shd w:val="clear" w:color="auto" w:fill="auto"/>
          </w:tcPr>
          <w:p w14:paraId="69532FAB" w14:textId="77777777" w:rsidR="003D217E" w:rsidRPr="004635E5" w:rsidRDefault="003D217E" w:rsidP="001740C5">
            <w:pPr>
              <w:adjustRightInd w:val="0"/>
              <w:snapToGrid w:val="0"/>
              <w:jc w:val="center"/>
              <w:rPr>
                <w:rFonts w:eastAsia="MS PMincho"/>
                <w:sz w:val="22"/>
                <w:szCs w:val="22"/>
                <w:highlight w:val="yellow"/>
              </w:rPr>
            </w:pPr>
            <w:r w:rsidRPr="004635E5">
              <w:rPr>
                <w:rFonts w:eastAsia="MS PMincho"/>
                <w:sz w:val="22"/>
                <w:szCs w:val="22"/>
              </w:rPr>
              <w:t>0.36</w:t>
            </w:r>
          </w:p>
        </w:tc>
        <w:tc>
          <w:tcPr>
            <w:tcW w:w="1344" w:type="dxa"/>
            <w:shd w:val="clear" w:color="auto" w:fill="auto"/>
          </w:tcPr>
          <w:p w14:paraId="3758A769"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w:t>
            </w:r>
          </w:p>
        </w:tc>
        <w:tc>
          <w:tcPr>
            <w:tcW w:w="1236" w:type="dxa"/>
          </w:tcPr>
          <w:p w14:paraId="5F1B3D63"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4%</w:t>
            </w:r>
          </w:p>
        </w:tc>
        <w:tc>
          <w:tcPr>
            <w:tcW w:w="1473" w:type="dxa"/>
          </w:tcPr>
          <w:p w14:paraId="330EDB6D"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5%</w:t>
            </w:r>
          </w:p>
        </w:tc>
      </w:tr>
      <w:tr w:rsidR="003D217E" w:rsidRPr="004635E5" w14:paraId="28F334D7" w14:textId="77777777" w:rsidTr="001740C5">
        <w:trPr>
          <w:jc w:val="center"/>
        </w:trPr>
        <w:tc>
          <w:tcPr>
            <w:tcW w:w="1250" w:type="dxa"/>
            <w:tcBorders>
              <w:right w:val="nil"/>
            </w:tcBorders>
          </w:tcPr>
          <w:p w14:paraId="3DDF56CA" w14:textId="77777777" w:rsidR="003D217E" w:rsidRPr="004635E5" w:rsidRDefault="003D217E" w:rsidP="001740C5">
            <w:pPr>
              <w:adjustRightInd w:val="0"/>
              <w:snapToGrid w:val="0"/>
              <w:rPr>
                <w:rFonts w:eastAsia="MS PMincho"/>
                <w:sz w:val="22"/>
                <w:szCs w:val="22"/>
              </w:rPr>
            </w:pPr>
          </w:p>
        </w:tc>
        <w:tc>
          <w:tcPr>
            <w:tcW w:w="1297" w:type="dxa"/>
            <w:tcBorders>
              <w:left w:val="nil"/>
              <w:right w:val="nil"/>
            </w:tcBorders>
          </w:tcPr>
          <w:p w14:paraId="3C115EB9" w14:textId="77777777" w:rsidR="003D217E" w:rsidRPr="004635E5" w:rsidRDefault="003D217E" w:rsidP="001740C5">
            <w:pPr>
              <w:adjustRightInd w:val="0"/>
              <w:snapToGrid w:val="0"/>
              <w:rPr>
                <w:rFonts w:eastAsia="MS PMincho"/>
                <w:sz w:val="22"/>
                <w:szCs w:val="22"/>
              </w:rPr>
            </w:pPr>
          </w:p>
        </w:tc>
        <w:tc>
          <w:tcPr>
            <w:tcW w:w="682" w:type="dxa"/>
            <w:tcBorders>
              <w:left w:val="nil"/>
              <w:right w:val="nil"/>
            </w:tcBorders>
            <w:shd w:val="clear" w:color="auto" w:fill="auto"/>
          </w:tcPr>
          <w:p w14:paraId="016BA2CC" w14:textId="77777777" w:rsidR="003D217E" w:rsidRPr="004635E5" w:rsidRDefault="003D217E" w:rsidP="001740C5">
            <w:pPr>
              <w:adjustRightInd w:val="0"/>
              <w:snapToGrid w:val="0"/>
              <w:jc w:val="center"/>
              <w:rPr>
                <w:rFonts w:eastAsia="MS PMincho"/>
                <w:sz w:val="22"/>
                <w:szCs w:val="22"/>
              </w:rPr>
            </w:pPr>
          </w:p>
        </w:tc>
        <w:tc>
          <w:tcPr>
            <w:tcW w:w="917" w:type="dxa"/>
            <w:tcBorders>
              <w:left w:val="nil"/>
              <w:right w:val="nil"/>
            </w:tcBorders>
            <w:shd w:val="clear" w:color="auto" w:fill="auto"/>
          </w:tcPr>
          <w:p w14:paraId="19511972" w14:textId="77777777" w:rsidR="003D217E" w:rsidRPr="004635E5" w:rsidRDefault="003D217E" w:rsidP="001740C5">
            <w:pPr>
              <w:adjustRightInd w:val="0"/>
              <w:snapToGrid w:val="0"/>
              <w:jc w:val="center"/>
              <w:rPr>
                <w:rFonts w:eastAsia="MS PMincho"/>
                <w:sz w:val="22"/>
                <w:szCs w:val="22"/>
              </w:rPr>
            </w:pPr>
          </w:p>
        </w:tc>
        <w:tc>
          <w:tcPr>
            <w:tcW w:w="1430" w:type="dxa"/>
            <w:tcBorders>
              <w:left w:val="nil"/>
              <w:right w:val="nil"/>
            </w:tcBorders>
            <w:shd w:val="clear" w:color="auto" w:fill="auto"/>
          </w:tcPr>
          <w:p w14:paraId="5749D9C5" w14:textId="77777777" w:rsidR="003D217E" w:rsidRPr="004635E5" w:rsidRDefault="003D217E" w:rsidP="001740C5">
            <w:pPr>
              <w:adjustRightInd w:val="0"/>
              <w:snapToGrid w:val="0"/>
              <w:jc w:val="center"/>
              <w:rPr>
                <w:rFonts w:eastAsia="MS PMincho"/>
                <w:sz w:val="22"/>
                <w:szCs w:val="22"/>
              </w:rPr>
            </w:pPr>
          </w:p>
        </w:tc>
        <w:tc>
          <w:tcPr>
            <w:tcW w:w="1466" w:type="dxa"/>
            <w:tcBorders>
              <w:left w:val="nil"/>
              <w:right w:val="nil"/>
            </w:tcBorders>
            <w:shd w:val="clear" w:color="auto" w:fill="auto"/>
          </w:tcPr>
          <w:p w14:paraId="4734381D" w14:textId="77777777" w:rsidR="003D217E" w:rsidRPr="004635E5" w:rsidRDefault="003D217E" w:rsidP="001740C5">
            <w:pPr>
              <w:adjustRightInd w:val="0"/>
              <w:snapToGrid w:val="0"/>
              <w:jc w:val="center"/>
              <w:rPr>
                <w:rFonts w:eastAsia="MS PMincho"/>
                <w:sz w:val="22"/>
                <w:szCs w:val="22"/>
              </w:rPr>
            </w:pPr>
          </w:p>
        </w:tc>
        <w:tc>
          <w:tcPr>
            <w:tcW w:w="1337" w:type="dxa"/>
            <w:tcBorders>
              <w:left w:val="nil"/>
              <w:right w:val="nil"/>
            </w:tcBorders>
            <w:shd w:val="clear" w:color="auto" w:fill="auto"/>
          </w:tcPr>
          <w:p w14:paraId="39599517" w14:textId="77777777" w:rsidR="003D217E" w:rsidRPr="004635E5" w:rsidRDefault="003D217E" w:rsidP="001740C5">
            <w:pPr>
              <w:adjustRightInd w:val="0"/>
              <w:snapToGrid w:val="0"/>
              <w:jc w:val="center"/>
              <w:rPr>
                <w:rFonts w:eastAsia="MS PMincho"/>
                <w:sz w:val="22"/>
                <w:szCs w:val="22"/>
              </w:rPr>
            </w:pPr>
          </w:p>
        </w:tc>
        <w:tc>
          <w:tcPr>
            <w:tcW w:w="1344" w:type="dxa"/>
            <w:tcBorders>
              <w:left w:val="nil"/>
              <w:right w:val="nil"/>
            </w:tcBorders>
            <w:shd w:val="clear" w:color="auto" w:fill="auto"/>
          </w:tcPr>
          <w:p w14:paraId="3CB9640E" w14:textId="77777777" w:rsidR="003D217E" w:rsidRPr="004635E5" w:rsidRDefault="003D217E" w:rsidP="001740C5">
            <w:pPr>
              <w:adjustRightInd w:val="0"/>
              <w:snapToGrid w:val="0"/>
              <w:jc w:val="center"/>
              <w:rPr>
                <w:rFonts w:eastAsia="MS PMincho"/>
                <w:sz w:val="22"/>
                <w:szCs w:val="22"/>
              </w:rPr>
            </w:pPr>
          </w:p>
        </w:tc>
        <w:tc>
          <w:tcPr>
            <w:tcW w:w="1236" w:type="dxa"/>
            <w:tcBorders>
              <w:left w:val="nil"/>
              <w:right w:val="nil"/>
            </w:tcBorders>
          </w:tcPr>
          <w:p w14:paraId="2F40389D" w14:textId="77777777" w:rsidR="003D217E" w:rsidRPr="004635E5" w:rsidRDefault="003D217E" w:rsidP="001740C5">
            <w:pPr>
              <w:adjustRightInd w:val="0"/>
              <w:snapToGrid w:val="0"/>
              <w:jc w:val="center"/>
              <w:rPr>
                <w:rFonts w:eastAsia="MS PMincho"/>
                <w:sz w:val="22"/>
                <w:szCs w:val="22"/>
              </w:rPr>
            </w:pPr>
          </w:p>
        </w:tc>
        <w:tc>
          <w:tcPr>
            <w:tcW w:w="1473" w:type="dxa"/>
            <w:tcBorders>
              <w:left w:val="nil"/>
              <w:right w:val="single" w:sz="4" w:space="0" w:color="auto"/>
            </w:tcBorders>
          </w:tcPr>
          <w:p w14:paraId="4DC8BC78" w14:textId="77777777" w:rsidR="003D217E" w:rsidRPr="004635E5" w:rsidRDefault="003D217E" w:rsidP="001740C5">
            <w:pPr>
              <w:adjustRightInd w:val="0"/>
              <w:snapToGrid w:val="0"/>
              <w:jc w:val="center"/>
              <w:rPr>
                <w:rFonts w:eastAsia="MS PMincho"/>
                <w:sz w:val="22"/>
                <w:szCs w:val="22"/>
              </w:rPr>
            </w:pPr>
          </w:p>
        </w:tc>
      </w:tr>
      <w:tr w:rsidR="003D217E" w:rsidRPr="004635E5" w14:paraId="315AFA91" w14:textId="77777777" w:rsidTr="001740C5">
        <w:trPr>
          <w:jc w:val="center"/>
        </w:trPr>
        <w:tc>
          <w:tcPr>
            <w:tcW w:w="1250" w:type="dxa"/>
            <w:vMerge w:val="restart"/>
          </w:tcPr>
          <w:p w14:paraId="153EEF81"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Long-term</w:t>
            </w:r>
          </w:p>
        </w:tc>
        <w:tc>
          <w:tcPr>
            <w:tcW w:w="1297" w:type="dxa"/>
          </w:tcPr>
          <w:p w14:paraId="2A76E1B6"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 xml:space="preserve">2013-2015 </w:t>
            </w:r>
            <w:r>
              <w:rPr>
                <w:rFonts w:eastAsia="MS PMincho"/>
                <w:sz w:val="22"/>
                <w:szCs w:val="22"/>
              </w:rPr>
              <w:t>average</w:t>
            </w:r>
          </w:p>
        </w:tc>
        <w:tc>
          <w:tcPr>
            <w:tcW w:w="682" w:type="dxa"/>
            <w:shd w:val="clear" w:color="auto" w:fill="auto"/>
          </w:tcPr>
          <w:p w14:paraId="2DBDBF49"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w:t>
            </w:r>
          </w:p>
        </w:tc>
        <w:tc>
          <w:tcPr>
            <w:tcW w:w="917" w:type="dxa"/>
            <w:shd w:val="clear" w:color="auto" w:fill="auto"/>
          </w:tcPr>
          <w:p w14:paraId="636027E3"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w:t>
            </w:r>
          </w:p>
        </w:tc>
        <w:tc>
          <w:tcPr>
            <w:tcW w:w="1430" w:type="dxa"/>
            <w:shd w:val="clear" w:color="auto" w:fill="auto"/>
          </w:tcPr>
          <w:p w14:paraId="7AE71D88"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0.35</w:t>
            </w:r>
          </w:p>
        </w:tc>
        <w:tc>
          <w:tcPr>
            <w:tcW w:w="1466" w:type="dxa"/>
            <w:shd w:val="clear" w:color="auto" w:fill="auto"/>
          </w:tcPr>
          <w:p w14:paraId="0F64E418"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0.30</w:t>
            </w:r>
          </w:p>
        </w:tc>
        <w:tc>
          <w:tcPr>
            <w:tcW w:w="1337" w:type="dxa"/>
            <w:shd w:val="clear" w:color="auto" w:fill="auto"/>
          </w:tcPr>
          <w:p w14:paraId="2C8F1F99"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0.30</w:t>
            </w:r>
          </w:p>
        </w:tc>
        <w:tc>
          <w:tcPr>
            <w:tcW w:w="1344" w:type="dxa"/>
            <w:shd w:val="clear" w:color="auto" w:fill="auto"/>
          </w:tcPr>
          <w:p w14:paraId="09BBF0E0"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2%</w:t>
            </w:r>
          </w:p>
        </w:tc>
        <w:tc>
          <w:tcPr>
            <w:tcW w:w="1236" w:type="dxa"/>
          </w:tcPr>
          <w:p w14:paraId="0A146F03"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12%</w:t>
            </w:r>
          </w:p>
        </w:tc>
        <w:tc>
          <w:tcPr>
            <w:tcW w:w="1473" w:type="dxa"/>
          </w:tcPr>
          <w:p w14:paraId="4CF36AF4"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17%</w:t>
            </w:r>
          </w:p>
        </w:tc>
      </w:tr>
      <w:tr w:rsidR="003D217E" w:rsidRPr="004635E5" w14:paraId="39846C73" w14:textId="77777777" w:rsidTr="001740C5">
        <w:trPr>
          <w:jc w:val="center"/>
        </w:trPr>
        <w:tc>
          <w:tcPr>
            <w:tcW w:w="1250" w:type="dxa"/>
            <w:vMerge/>
          </w:tcPr>
          <w:p w14:paraId="0A4B640C" w14:textId="77777777" w:rsidR="003D217E" w:rsidRPr="004635E5" w:rsidRDefault="003D217E" w:rsidP="001740C5">
            <w:pPr>
              <w:adjustRightInd w:val="0"/>
              <w:snapToGrid w:val="0"/>
              <w:rPr>
                <w:rFonts w:eastAsia="MS PMincho"/>
                <w:sz w:val="22"/>
                <w:szCs w:val="22"/>
              </w:rPr>
            </w:pPr>
          </w:p>
        </w:tc>
        <w:tc>
          <w:tcPr>
            <w:tcW w:w="1297" w:type="dxa"/>
          </w:tcPr>
          <w:p w14:paraId="0949CBE5"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Optimistic</w:t>
            </w:r>
          </w:p>
        </w:tc>
        <w:tc>
          <w:tcPr>
            <w:tcW w:w="682" w:type="dxa"/>
            <w:shd w:val="clear" w:color="auto" w:fill="auto"/>
          </w:tcPr>
          <w:p w14:paraId="6F1FD81F"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1.11</w:t>
            </w:r>
          </w:p>
        </w:tc>
        <w:tc>
          <w:tcPr>
            <w:tcW w:w="917" w:type="dxa"/>
            <w:shd w:val="clear" w:color="auto" w:fill="auto"/>
          </w:tcPr>
          <w:p w14:paraId="33B3057D"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0.98</w:t>
            </w:r>
          </w:p>
        </w:tc>
        <w:tc>
          <w:tcPr>
            <w:tcW w:w="1430" w:type="dxa"/>
            <w:shd w:val="clear" w:color="auto" w:fill="auto"/>
          </w:tcPr>
          <w:p w14:paraId="75E6595C"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0.35</w:t>
            </w:r>
          </w:p>
        </w:tc>
        <w:tc>
          <w:tcPr>
            <w:tcW w:w="1466" w:type="dxa"/>
            <w:shd w:val="clear" w:color="auto" w:fill="auto"/>
          </w:tcPr>
          <w:p w14:paraId="20FF0D2B"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0.30</w:t>
            </w:r>
          </w:p>
        </w:tc>
        <w:tc>
          <w:tcPr>
            <w:tcW w:w="1337" w:type="dxa"/>
            <w:shd w:val="clear" w:color="auto" w:fill="auto"/>
          </w:tcPr>
          <w:p w14:paraId="73A8F014"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0.29</w:t>
            </w:r>
          </w:p>
        </w:tc>
        <w:tc>
          <w:tcPr>
            <w:tcW w:w="1344" w:type="dxa"/>
            <w:shd w:val="clear" w:color="auto" w:fill="auto"/>
          </w:tcPr>
          <w:p w14:paraId="330F17B7"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2%</w:t>
            </w:r>
          </w:p>
        </w:tc>
        <w:tc>
          <w:tcPr>
            <w:tcW w:w="1236" w:type="dxa"/>
          </w:tcPr>
          <w:p w14:paraId="650DA969"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13%</w:t>
            </w:r>
          </w:p>
        </w:tc>
        <w:tc>
          <w:tcPr>
            <w:tcW w:w="1473" w:type="dxa"/>
          </w:tcPr>
          <w:p w14:paraId="58290A7E"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18%</w:t>
            </w:r>
          </w:p>
        </w:tc>
      </w:tr>
      <w:tr w:rsidR="003D217E" w:rsidRPr="004635E5" w14:paraId="6671B0DC" w14:textId="77777777" w:rsidTr="001740C5">
        <w:trPr>
          <w:jc w:val="center"/>
        </w:trPr>
        <w:tc>
          <w:tcPr>
            <w:tcW w:w="1250" w:type="dxa"/>
            <w:vMerge/>
          </w:tcPr>
          <w:p w14:paraId="2841481A" w14:textId="77777777" w:rsidR="003D217E" w:rsidRPr="004635E5" w:rsidRDefault="003D217E" w:rsidP="001740C5">
            <w:pPr>
              <w:adjustRightInd w:val="0"/>
              <w:snapToGrid w:val="0"/>
              <w:rPr>
                <w:rFonts w:eastAsia="MS PMincho"/>
                <w:sz w:val="22"/>
                <w:szCs w:val="22"/>
              </w:rPr>
            </w:pPr>
          </w:p>
        </w:tc>
        <w:tc>
          <w:tcPr>
            <w:tcW w:w="1297" w:type="dxa"/>
          </w:tcPr>
          <w:p w14:paraId="6B77DC7E" w14:textId="77777777" w:rsidR="003D217E" w:rsidRPr="004635E5" w:rsidRDefault="003D217E" w:rsidP="001740C5">
            <w:pPr>
              <w:adjustRightInd w:val="0"/>
              <w:snapToGrid w:val="0"/>
              <w:rPr>
                <w:rFonts w:eastAsia="MS PMincho"/>
                <w:sz w:val="22"/>
                <w:szCs w:val="22"/>
              </w:rPr>
            </w:pPr>
            <w:r w:rsidRPr="004635E5">
              <w:rPr>
                <w:rFonts w:eastAsia="MS PMincho"/>
                <w:sz w:val="22"/>
                <w:szCs w:val="22"/>
              </w:rPr>
              <w:t>Pessimistic</w:t>
            </w:r>
          </w:p>
        </w:tc>
        <w:tc>
          <w:tcPr>
            <w:tcW w:w="682" w:type="dxa"/>
            <w:shd w:val="clear" w:color="auto" w:fill="auto"/>
          </w:tcPr>
          <w:p w14:paraId="7052BFD0"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1.12</w:t>
            </w:r>
          </w:p>
        </w:tc>
        <w:tc>
          <w:tcPr>
            <w:tcW w:w="917" w:type="dxa"/>
            <w:shd w:val="clear" w:color="auto" w:fill="auto"/>
          </w:tcPr>
          <w:p w14:paraId="31957A16"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1.35</w:t>
            </w:r>
          </w:p>
        </w:tc>
        <w:tc>
          <w:tcPr>
            <w:tcW w:w="1430" w:type="dxa"/>
            <w:shd w:val="clear" w:color="auto" w:fill="auto"/>
          </w:tcPr>
          <w:p w14:paraId="4E796AA5"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0.32</w:t>
            </w:r>
          </w:p>
        </w:tc>
        <w:tc>
          <w:tcPr>
            <w:tcW w:w="1466" w:type="dxa"/>
            <w:shd w:val="clear" w:color="auto" w:fill="auto"/>
          </w:tcPr>
          <w:p w14:paraId="22FD0ED0"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0.26</w:t>
            </w:r>
          </w:p>
        </w:tc>
        <w:tc>
          <w:tcPr>
            <w:tcW w:w="1337" w:type="dxa"/>
            <w:shd w:val="clear" w:color="auto" w:fill="auto"/>
          </w:tcPr>
          <w:p w14:paraId="612E175B"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0.25</w:t>
            </w:r>
          </w:p>
        </w:tc>
        <w:tc>
          <w:tcPr>
            <w:tcW w:w="1344" w:type="dxa"/>
            <w:shd w:val="clear" w:color="auto" w:fill="auto"/>
          </w:tcPr>
          <w:p w14:paraId="4042D713"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7%</w:t>
            </w:r>
          </w:p>
        </w:tc>
        <w:tc>
          <w:tcPr>
            <w:tcW w:w="1236" w:type="dxa"/>
          </w:tcPr>
          <w:p w14:paraId="5F41C5A6"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26%</w:t>
            </w:r>
          </w:p>
        </w:tc>
        <w:tc>
          <w:tcPr>
            <w:tcW w:w="1473" w:type="dxa"/>
          </w:tcPr>
          <w:p w14:paraId="794851A9" w14:textId="77777777" w:rsidR="003D217E" w:rsidRPr="004635E5" w:rsidRDefault="003D217E" w:rsidP="001740C5">
            <w:pPr>
              <w:adjustRightInd w:val="0"/>
              <w:snapToGrid w:val="0"/>
              <w:jc w:val="center"/>
              <w:rPr>
                <w:rFonts w:eastAsia="MS PMincho"/>
                <w:sz w:val="22"/>
                <w:szCs w:val="22"/>
              </w:rPr>
            </w:pPr>
            <w:r w:rsidRPr="004635E5">
              <w:rPr>
                <w:rFonts w:eastAsia="MS PMincho"/>
                <w:sz w:val="22"/>
                <w:szCs w:val="22"/>
              </w:rPr>
              <w:t>32%</w:t>
            </w:r>
          </w:p>
        </w:tc>
      </w:tr>
    </w:tbl>
    <w:p w14:paraId="329ADA7D" w14:textId="77777777" w:rsidR="003D217E" w:rsidRPr="004635E5" w:rsidRDefault="003D217E" w:rsidP="003D217E">
      <w:pPr>
        <w:adjustRightInd w:val="0"/>
        <w:snapToGrid w:val="0"/>
        <w:rPr>
          <w:rFonts w:eastAsia="MS PMincho"/>
          <w:sz w:val="22"/>
          <w:szCs w:val="22"/>
        </w:rPr>
        <w:sectPr w:rsidR="003D217E" w:rsidRPr="004635E5" w:rsidSect="0094159E">
          <w:type w:val="continuous"/>
          <w:pgSz w:w="12240" w:h="15840" w:code="1"/>
          <w:pgMar w:top="1440" w:right="1440" w:bottom="1440" w:left="1440" w:header="708" w:footer="708" w:gutter="0"/>
          <w:pgNumType w:fmt="lowerRoman"/>
          <w:cols w:space="708"/>
          <w:docGrid w:linePitch="360"/>
        </w:sectPr>
      </w:pPr>
    </w:p>
    <w:p w14:paraId="79BCBCD5" w14:textId="77777777" w:rsidR="003D217E" w:rsidRDefault="003D217E" w:rsidP="003D217E">
      <w:pPr>
        <w:adjustRightInd w:val="0"/>
        <w:snapToGrid w:val="0"/>
        <w:rPr>
          <w:rFonts w:eastAsiaTheme="minorEastAsia"/>
          <w:lang w:eastAsia="ko-KR"/>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743"/>
      </w:tblGrid>
      <w:tr w:rsidR="003D217E" w14:paraId="21DA738A" w14:textId="77777777" w:rsidTr="001740C5">
        <w:tc>
          <w:tcPr>
            <w:tcW w:w="4788" w:type="dxa"/>
          </w:tcPr>
          <w:p w14:paraId="58A525E6" w14:textId="77777777" w:rsidR="003D217E" w:rsidRDefault="003D217E" w:rsidP="001740C5">
            <w:pPr>
              <w:adjustRightInd w:val="0"/>
              <w:snapToGrid w:val="0"/>
              <w:rPr>
                <w:rFonts w:eastAsiaTheme="minorEastAsia"/>
                <w:lang w:eastAsia="ko-KR"/>
              </w:rPr>
            </w:pPr>
            <w:r>
              <w:rPr>
                <w:noProof/>
                <w:lang w:eastAsia="zh-CN" w:bidi="mn-Mong-CN"/>
              </w:rPr>
              <w:lastRenderedPageBreak/>
              <w:drawing>
                <wp:inline distT="0" distB="0" distL="0" distR="0" wp14:anchorId="441CC918" wp14:editId="1F5B7370">
                  <wp:extent cx="2940424" cy="156210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40424" cy="1562100"/>
                          </a:xfrm>
                          <a:prstGeom prst="rect">
                            <a:avLst/>
                          </a:prstGeom>
                        </pic:spPr>
                      </pic:pic>
                    </a:graphicData>
                  </a:graphic>
                </wp:inline>
              </w:drawing>
            </w:r>
          </w:p>
        </w:tc>
        <w:tc>
          <w:tcPr>
            <w:tcW w:w="4788" w:type="dxa"/>
          </w:tcPr>
          <w:p w14:paraId="52ABBF65" w14:textId="77777777" w:rsidR="003D217E" w:rsidRDefault="003D217E" w:rsidP="001740C5">
            <w:pPr>
              <w:adjustRightInd w:val="0"/>
              <w:snapToGrid w:val="0"/>
              <w:rPr>
                <w:rFonts w:eastAsiaTheme="minorEastAsia"/>
                <w:lang w:eastAsia="ko-KR"/>
              </w:rPr>
            </w:pPr>
            <w:r>
              <w:rPr>
                <w:noProof/>
                <w:lang w:eastAsia="zh-CN" w:bidi="mn-Mong-CN"/>
              </w:rPr>
              <w:drawing>
                <wp:inline distT="0" distB="0" distL="0" distR="0" wp14:anchorId="126861BD" wp14:editId="497A3F2A">
                  <wp:extent cx="2882692" cy="1514475"/>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882692" cy="1514475"/>
                          </a:xfrm>
                          <a:prstGeom prst="rect">
                            <a:avLst/>
                          </a:prstGeom>
                        </pic:spPr>
                      </pic:pic>
                    </a:graphicData>
                  </a:graphic>
                </wp:inline>
              </w:drawing>
            </w:r>
          </w:p>
        </w:tc>
      </w:tr>
      <w:tr w:rsidR="003D217E" w14:paraId="27C2FF66" w14:textId="77777777" w:rsidTr="001740C5">
        <w:tc>
          <w:tcPr>
            <w:tcW w:w="4788" w:type="dxa"/>
          </w:tcPr>
          <w:p w14:paraId="548F338C" w14:textId="77777777" w:rsidR="003D217E" w:rsidRDefault="003D217E" w:rsidP="001740C5">
            <w:pPr>
              <w:adjustRightInd w:val="0"/>
              <w:snapToGrid w:val="0"/>
              <w:rPr>
                <w:rFonts w:eastAsiaTheme="minorEastAsia"/>
                <w:lang w:eastAsia="ko-KR"/>
              </w:rPr>
            </w:pPr>
            <w:r w:rsidRPr="004635E5">
              <w:rPr>
                <w:b/>
                <w:bCs/>
                <w:sz w:val="22"/>
                <w:szCs w:val="22"/>
                <w:lang w:val="en-GB"/>
              </w:rPr>
              <w:t xml:space="preserve">Figure BET-6. </w:t>
            </w:r>
            <w:r w:rsidRPr="004635E5">
              <w:rPr>
                <w:bCs/>
                <w:sz w:val="22"/>
                <w:szCs w:val="22"/>
                <w:lang w:val="en-GB"/>
              </w:rPr>
              <w:t>Distribution of SB</w:t>
            </w:r>
            <w:r w:rsidRPr="004635E5">
              <w:rPr>
                <w:bCs/>
                <w:sz w:val="22"/>
                <w:szCs w:val="22"/>
                <w:vertAlign w:val="subscript"/>
                <w:lang w:val="en-GB"/>
              </w:rPr>
              <w:t>2045</w:t>
            </w:r>
            <w:r w:rsidRPr="004635E5">
              <w:rPr>
                <w:bCs/>
                <w:sz w:val="22"/>
                <w:szCs w:val="22"/>
                <w:lang w:val="en-GB"/>
              </w:rPr>
              <w:t>/SB</w:t>
            </w:r>
            <w:r w:rsidRPr="004635E5">
              <w:rPr>
                <w:bCs/>
                <w:sz w:val="22"/>
                <w:szCs w:val="22"/>
                <w:vertAlign w:val="subscript"/>
                <w:lang w:val="en-GB"/>
              </w:rPr>
              <w:t>F=0</w:t>
            </w:r>
            <w:r w:rsidRPr="004635E5">
              <w:rPr>
                <w:bCs/>
                <w:sz w:val="22"/>
                <w:szCs w:val="22"/>
                <w:lang w:val="en-GB"/>
              </w:rPr>
              <w:t xml:space="preserve"> assuming recent and long term recruitment conditions (left and right columns, respectively), under the three future fishing scenarios: 2013-15 </w:t>
            </w:r>
            <w:r>
              <w:rPr>
                <w:bCs/>
                <w:sz w:val="22"/>
                <w:szCs w:val="22"/>
                <w:lang w:val="en-GB"/>
              </w:rPr>
              <w:t>average</w:t>
            </w:r>
            <w:r w:rsidRPr="004635E5">
              <w:rPr>
                <w:bCs/>
                <w:sz w:val="22"/>
                <w:szCs w:val="22"/>
                <w:lang w:val="en-GB"/>
              </w:rPr>
              <w:t xml:space="preserve"> (2013-15 average conditions, top row); optimistic conditions (middle row); and pessimistic conditions (bottom row). Projection results from ‘updated new growth’ models (3,600 projections) only where the red line indicates the LRP.</w:t>
            </w:r>
          </w:p>
        </w:tc>
        <w:tc>
          <w:tcPr>
            <w:tcW w:w="4788" w:type="dxa"/>
          </w:tcPr>
          <w:p w14:paraId="14B96777" w14:textId="77777777" w:rsidR="003D217E" w:rsidRDefault="003D217E" w:rsidP="001740C5">
            <w:pPr>
              <w:adjustRightInd w:val="0"/>
              <w:snapToGrid w:val="0"/>
              <w:rPr>
                <w:rFonts w:eastAsiaTheme="minorEastAsia"/>
                <w:lang w:eastAsia="ko-KR"/>
              </w:rPr>
            </w:pPr>
            <w:r w:rsidRPr="004635E5">
              <w:rPr>
                <w:rFonts w:eastAsia="MS PMincho"/>
                <w:b/>
                <w:bCs/>
                <w:sz w:val="22"/>
                <w:szCs w:val="22"/>
              </w:rPr>
              <w:t xml:space="preserve">Figure BET-7. </w:t>
            </w:r>
            <w:r w:rsidRPr="004635E5">
              <w:rPr>
                <w:rFonts w:eastAsia="MS PMincho"/>
                <w:bCs/>
                <w:sz w:val="22"/>
                <w:szCs w:val="22"/>
              </w:rPr>
              <w:t>Distribution of F/F</w:t>
            </w:r>
            <w:r w:rsidRPr="004635E5">
              <w:rPr>
                <w:rFonts w:eastAsia="MS PMincho"/>
                <w:bCs/>
                <w:sz w:val="22"/>
                <w:szCs w:val="22"/>
                <w:vertAlign w:val="subscript"/>
              </w:rPr>
              <w:t>MSY</w:t>
            </w:r>
            <w:r w:rsidRPr="004635E5">
              <w:rPr>
                <w:rFonts w:eastAsia="MS PMincho"/>
                <w:bCs/>
                <w:sz w:val="22"/>
                <w:szCs w:val="22"/>
              </w:rPr>
              <w:t xml:space="preserve"> assuming recent and long term recruitment conditions (left and right columns, respectively), under the three future fishing scenarios: 2013-15 </w:t>
            </w:r>
            <w:r>
              <w:rPr>
                <w:rFonts w:eastAsia="MS PMincho"/>
                <w:bCs/>
                <w:sz w:val="22"/>
                <w:szCs w:val="22"/>
              </w:rPr>
              <w:t>average</w:t>
            </w:r>
            <w:r w:rsidRPr="004635E5">
              <w:rPr>
                <w:rFonts w:eastAsia="MS PMincho"/>
                <w:bCs/>
                <w:sz w:val="22"/>
                <w:szCs w:val="22"/>
              </w:rPr>
              <w:t xml:space="preserve"> (2013-15 average conditions, top row); optimistic conditions (middle row); and pessimistic conditions (bottom row). Projection results from ‘updated new growth’ models (3,600 projections) only.</w:t>
            </w:r>
          </w:p>
        </w:tc>
      </w:tr>
    </w:tbl>
    <w:p w14:paraId="7ECCA43F" w14:textId="77777777" w:rsidR="003D217E" w:rsidRDefault="003D217E" w:rsidP="003D217E">
      <w:pPr>
        <w:adjustRightInd w:val="0"/>
        <w:snapToGrid w:val="0"/>
        <w:rPr>
          <w:rFonts w:eastAsiaTheme="minorEastAsia"/>
          <w:lang w:eastAsia="ko-KR"/>
        </w:rPr>
      </w:pPr>
    </w:p>
    <w:tbl>
      <w:tblPr>
        <w:tblStyle w:val="TableGrid"/>
        <w:tblW w:w="0" w:type="auto"/>
        <w:tblLook w:val="04A0" w:firstRow="1" w:lastRow="0" w:firstColumn="1" w:lastColumn="0" w:noHBand="0" w:noVBand="1"/>
      </w:tblPr>
      <w:tblGrid>
        <w:gridCol w:w="4770"/>
        <w:gridCol w:w="4806"/>
      </w:tblGrid>
      <w:tr w:rsidR="003D217E" w14:paraId="59B135E6" w14:textId="77777777" w:rsidTr="001740C5">
        <w:tc>
          <w:tcPr>
            <w:tcW w:w="4788" w:type="dxa"/>
            <w:tcBorders>
              <w:top w:val="nil"/>
              <w:left w:val="nil"/>
              <w:bottom w:val="nil"/>
              <w:right w:val="nil"/>
            </w:tcBorders>
          </w:tcPr>
          <w:p w14:paraId="0BC60DEF" w14:textId="77777777" w:rsidR="003D217E" w:rsidRDefault="003D217E" w:rsidP="001740C5">
            <w:pPr>
              <w:adjustRightInd w:val="0"/>
              <w:snapToGrid w:val="0"/>
              <w:jc w:val="center"/>
              <w:rPr>
                <w:rFonts w:eastAsia="MS PMincho"/>
                <w:sz w:val="22"/>
                <w:szCs w:val="22"/>
              </w:rPr>
            </w:pPr>
            <w:r>
              <w:rPr>
                <w:noProof/>
                <w:lang w:eastAsia="zh-CN" w:bidi="mn-Mong-CN"/>
              </w:rPr>
              <w:drawing>
                <wp:inline distT="0" distB="0" distL="0" distR="0" wp14:anchorId="71D60E3D" wp14:editId="3BED2E26">
                  <wp:extent cx="2886075" cy="2142056"/>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892994" cy="2147191"/>
                          </a:xfrm>
                          <a:prstGeom prst="rect">
                            <a:avLst/>
                          </a:prstGeom>
                        </pic:spPr>
                      </pic:pic>
                    </a:graphicData>
                  </a:graphic>
                </wp:inline>
              </w:drawing>
            </w:r>
          </w:p>
        </w:tc>
        <w:tc>
          <w:tcPr>
            <w:tcW w:w="4788" w:type="dxa"/>
            <w:tcBorders>
              <w:top w:val="nil"/>
              <w:left w:val="nil"/>
              <w:bottom w:val="nil"/>
              <w:right w:val="nil"/>
            </w:tcBorders>
          </w:tcPr>
          <w:p w14:paraId="481145D7" w14:textId="77777777" w:rsidR="003D217E" w:rsidRDefault="003D217E" w:rsidP="001740C5">
            <w:pPr>
              <w:adjustRightInd w:val="0"/>
              <w:snapToGrid w:val="0"/>
              <w:rPr>
                <w:rFonts w:eastAsia="MS PMincho"/>
                <w:sz w:val="22"/>
                <w:szCs w:val="22"/>
              </w:rPr>
            </w:pPr>
            <w:r>
              <w:rPr>
                <w:noProof/>
                <w:lang w:eastAsia="zh-CN" w:bidi="mn-Mong-CN"/>
              </w:rPr>
              <w:drawing>
                <wp:inline distT="0" distB="0" distL="0" distR="0" wp14:anchorId="1510488A" wp14:editId="2CBB9CB7">
                  <wp:extent cx="2914650" cy="2193627"/>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917523" cy="2195790"/>
                          </a:xfrm>
                          <a:prstGeom prst="rect">
                            <a:avLst/>
                          </a:prstGeom>
                        </pic:spPr>
                      </pic:pic>
                    </a:graphicData>
                  </a:graphic>
                </wp:inline>
              </w:drawing>
            </w:r>
          </w:p>
        </w:tc>
      </w:tr>
      <w:tr w:rsidR="003D217E" w14:paraId="50DA4D38" w14:textId="77777777" w:rsidTr="001740C5">
        <w:tc>
          <w:tcPr>
            <w:tcW w:w="9576" w:type="dxa"/>
            <w:gridSpan w:val="2"/>
            <w:tcBorders>
              <w:top w:val="nil"/>
              <w:left w:val="nil"/>
              <w:bottom w:val="nil"/>
              <w:right w:val="nil"/>
            </w:tcBorders>
          </w:tcPr>
          <w:p w14:paraId="7E6DAEDD" w14:textId="77777777" w:rsidR="003D217E" w:rsidRDefault="003D217E" w:rsidP="001740C5">
            <w:pPr>
              <w:adjustRightInd w:val="0"/>
              <w:snapToGrid w:val="0"/>
              <w:rPr>
                <w:rFonts w:eastAsia="MS PMincho"/>
                <w:sz w:val="22"/>
                <w:szCs w:val="22"/>
              </w:rPr>
            </w:pPr>
            <w:r w:rsidRPr="00FA69D2">
              <w:rPr>
                <w:b/>
                <w:bCs/>
                <w:sz w:val="22"/>
                <w:szCs w:val="22"/>
                <w:lang w:val="en-GB"/>
              </w:rPr>
              <w:t>Figure BET-8.</w:t>
            </w:r>
            <w:r w:rsidRPr="004635E5">
              <w:rPr>
                <w:b/>
                <w:bCs/>
                <w:sz w:val="22"/>
                <w:szCs w:val="22"/>
                <w:lang w:val="en-GB"/>
              </w:rPr>
              <w:t xml:space="preserve"> </w:t>
            </w:r>
            <w:r w:rsidRPr="004635E5">
              <w:rPr>
                <w:sz w:val="22"/>
                <w:szCs w:val="22"/>
              </w:rPr>
              <w:t>Time series of WCPO bigeye tuna spawning biomass (SB/SB</w:t>
            </w:r>
            <w:r w:rsidRPr="00D10883">
              <w:rPr>
                <w:sz w:val="22"/>
                <w:szCs w:val="22"/>
                <w:vertAlign w:val="subscript"/>
              </w:rPr>
              <w:t>F=0</w:t>
            </w:r>
            <w:r w:rsidRPr="004635E5">
              <w:rPr>
                <w:sz w:val="22"/>
                <w:szCs w:val="22"/>
              </w:rPr>
              <w:t xml:space="preserve">) from the uncertainty grid of assessment model runs for the period 1990 to 2015 (the vertical line at 2015 represents the last year of the assessment), and stochastic projection results for the period 2016 to 2045 under the three future fishing scenarios (“2013-15 </w:t>
            </w:r>
            <w:r>
              <w:rPr>
                <w:sz w:val="22"/>
                <w:szCs w:val="22"/>
              </w:rPr>
              <w:t>average</w:t>
            </w:r>
            <w:r w:rsidRPr="004635E5">
              <w:rPr>
                <w:sz w:val="22"/>
                <w:szCs w:val="22"/>
              </w:rPr>
              <w:t>”, “Optimistic” and “Pessimistic”; rows). During the projection period (2016-2045) levels of recruitment variability are assumed to match those over the “recent” time period (2005-2014; left panel) or the time period used to estimate the stock-recruitment relationship (1962-2014; right panel). The red dashed line represents the agreed limit reference point.</w:t>
            </w:r>
          </w:p>
        </w:tc>
      </w:tr>
    </w:tbl>
    <w:p w14:paraId="61D13DC6" w14:textId="77777777" w:rsidR="003D217E" w:rsidRPr="004635E5" w:rsidRDefault="003D217E" w:rsidP="003D217E">
      <w:pPr>
        <w:adjustRightInd w:val="0"/>
        <w:snapToGrid w:val="0"/>
        <w:rPr>
          <w:rFonts w:eastAsia="MS PMincho"/>
          <w:sz w:val="22"/>
          <w:szCs w:val="22"/>
        </w:rPr>
      </w:pPr>
    </w:p>
    <w:p w14:paraId="333BCC5E" w14:textId="77777777" w:rsidR="003D217E" w:rsidRPr="004635E5" w:rsidRDefault="003D217E" w:rsidP="002F64C2">
      <w:pPr>
        <w:pStyle w:val="SCa"/>
        <w:tabs>
          <w:tab w:val="clear" w:pos="1080"/>
        </w:tabs>
        <w:spacing w:after="0"/>
        <w:ind w:left="0"/>
      </w:pPr>
      <w:r w:rsidRPr="004635E5">
        <w:t>b.</w:t>
      </w:r>
      <w:r w:rsidRPr="004635E5">
        <w:tab/>
        <w:t>Management advice and implications</w:t>
      </w:r>
    </w:p>
    <w:p w14:paraId="181BFA28" w14:textId="77777777" w:rsidR="003D217E" w:rsidRPr="004635E5" w:rsidRDefault="003D217E" w:rsidP="003D217E">
      <w:pPr>
        <w:pStyle w:val="SCa"/>
        <w:spacing w:after="0"/>
      </w:pPr>
    </w:p>
    <w:p w14:paraId="0458995E"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SC14</w:t>
      </w:r>
      <w:r w:rsidRPr="001C4A6B">
        <w:rPr>
          <w:bCs/>
          <w:spacing w:val="-2"/>
          <w:sz w:val="22"/>
          <w:szCs w:val="22"/>
        </w:rPr>
        <w:t xml:space="preserve"> </w:t>
      </w:r>
      <w:r w:rsidRPr="001C4A6B">
        <w:rPr>
          <w:bCs/>
          <w:sz w:val="22"/>
          <w:szCs w:val="22"/>
        </w:rPr>
        <w:t>noted</w:t>
      </w:r>
      <w:r w:rsidRPr="001C4A6B">
        <w:rPr>
          <w:bCs/>
          <w:spacing w:val="-4"/>
          <w:sz w:val="22"/>
          <w:szCs w:val="22"/>
        </w:rPr>
        <w:t xml:space="preserve"> </w:t>
      </w:r>
      <w:r w:rsidRPr="001C4A6B">
        <w:rPr>
          <w:bCs/>
          <w:sz w:val="22"/>
          <w:szCs w:val="22"/>
        </w:rPr>
        <w:t>that</w:t>
      </w:r>
      <w:r w:rsidRPr="001C4A6B">
        <w:rPr>
          <w:bCs/>
          <w:spacing w:val="-5"/>
          <w:sz w:val="22"/>
          <w:szCs w:val="22"/>
        </w:rPr>
        <w:t xml:space="preserve"> </w:t>
      </w:r>
      <w:r w:rsidRPr="001C4A6B">
        <w:rPr>
          <w:bCs/>
          <w:sz w:val="22"/>
          <w:szCs w:val="22"/>
        </w:rPr>
        <w:t>the</w:t>
      </w:r>
      <w:r w:rsidRPr="001C4A6B">
        <w:rPr>
          <w:bCs/>
          <w:spacing w:val="-3"/>
          <w:sz w:val="22"/>
          <w:szCs w:val="22"/>
        </w:rPr>
        <w:t xml:space="preserve"> </w:t>
      </w:r>
      <w:r w:rsidRPr="001C4A6B">
        <w:rPr>
          <w:bCs/>
          <w:sz w:val="22"/>
          <w:szCs w:val="22"/>
        </w:rPr>
        <w:t>preliminary</w:t>
      </w:r>
      <w:r w:rsidRPr="001C4A6B">
        <w:rPr>
          <w:bCs/>
          <w:spacing w:val="-4"/>
          <w:sz w:val="22"/>
          <w:szCs w:val="22"/>
        </w:rPr>
        <w:t xml:space="preserve"> </w:t>
      </w:r>
      <w:r w:rsidRPr="001C4A6B">
        <w:rPr>
          <w:bCs/>
          <w:sz w:val="22"/>
          <w:szCs w:val="22"/>
        </w:rPr>
        <w:t>estimate</w:t>
      </w:r>
      <w:r w:rsidRPr="001C4A6B">
        <w:rPr>
          <w:bCs/>
          <w:spacing w:val="-3"/>
          <w:sz w:val="22"/>
          <w:szCs w:val="22"/>
        </w:rPr>
        <w:t xml:space="preserve"> </w:t>
      </w:r>
      <w:r w:rsidRPr="001C4A6B">
        <w:rPr>
          <w:bCs/>
          <w:sz w:val="22"/>
          <w:szCs w:val="22"/>
        </w:rPr>
        <w:t>of</w:t>
      </w:r>
      <w:r w:rsidRPr="001C4A6B">
        <w:rPr>
          <w:bCs/>
          <w:spacing w:val="-3"/>
          <w:sz w:val="22"/>
          <w:szCs w:val="22"/>
        </w:rPr>
        <w:t xml:space="preserve"> </w:t>
      </w:r>
      <w:r w:rsidRPr="001C4A6B">
        <w:rPr>
          <w:bCs/>
          <w:sz w:val="22"/>
          <w:szCs w:val="22"/>
        </w:rPr>
        <w:t>total</w:t>
      </w:r>
      <w:r w:rsidRPr="001C4A6B">
        <w:rPr>
          <w:bCs/>
          <w:spacing w:val="-4"/>
          <w:sz w:val="22"/>
          <w:szCs w:val="22"/>
        </w:rPr>
        <w:t xml:space="preserve"> </w:t>
      </w:r>
      <w:r w:rsidRPr="001C4A6B">
        <w:rPr>
          <w:bCs/>
          <w:sz w:val="22"/>
          <w:szCs w:val="22"/>
        </w:rPr>
        <w:t>catch</w:t>
      </w:r>
      <w:r w:rsidRPr="001C4A6B">
        <w:rPr>
          <w:bCs/>
          <w:spacing w:val="-4"/>
          <w:sz w:val="22"/>
          <w:szCs w:val="22"/>
        </w:rPr>
        <w:t xml:space="preserve"> </w:t>
      </w:r>
      <w:r w:rsidRPr="001C4A6B">
        <w:rPr>
          <w:bCs/>
          <w:sz w:val="22"/>
          <w:szCs w:val="22"/>
        </w:rPr>
        <w:t>of</w:t>
      </w:r>
      <w:r w:rsidRPr="001C4A6B">
        <w:rPr>
          <w:bCs/>
          <w:spacing w:val="-3"/>
          <w:sz w:val="22"/>
          <w:szCs w:val="22"/>
        </w:rPr>
        <w:t xml:space="preserve"> </w:t>
      </w:r>
      <w:r w:rsidRPr="001C4A6B">
        <w:rPr>
          <w:bCs/>
          <w:sz w:val="22"/>
          <w:szCs w:val="22"/>
        </w:rPr>
        <w:t>WCPO bigeye tuna</w:t>
      </w:r>
      <w:r w:rsidRPr="001C4A6B">
        <w:rPr>
          <w:bCs/>
          <w:spacing w:val="-3"/>
          <w:sz w:val="22"/>
          <w:szCs w:val="22"/>
        </w:rPr>
        <w:t xml:space="preserve"> </w:t>
      </w:r>
      <w:r w:rsidRPr="001C4A6B">
        <w:rPr>
          <w:bCs/>
          <w:sz w:val="22"/>
          <w:szCs w:val="22"/>
        </w:rPr>
        <w:t xml:space="preserve">for 2017 was 126,929 mt, a 17% decrease from 2016 and a 19% decrease from the average 2012-2016. Longline catch in 2017 (58,164 mt) was an 8% decrease from 2016 and a 19% decrease from the 2012-2016 average. Purse seine catch in 2017 (56,194 mt) was a 12% decrease from 2016 and a 13% decrease from the 2012-2016 average. Pole and line catch (1,411 mt) was a 65% decrease from 2016 and a 70% decrease from the </w:t>
      </w:r>
      <w:r w:rsidRPr="001C4A6B">
        <w:rPr>
          <w:bCs/>
          <w:sz w:val="22"/>
          <w:szCs w:val="22"/>
        </w:rPr>
        <w:lastRenderedPageBreak/>
        <w:t xml:space="preserve">average 2012-2016 catch. Catch by other gear (11,160 mt) was a 48% decrease from 2016 and 28% decrease from the average catch in 2012-2016. </w:t>
      </w:r>
    </w:p>
    <w:p w14:paraId="56004D8A" w14:textId="77777777" w:rsidR="003D217E" w:rsidRPr="001C4A6B" w:rsidRDefault="003D217E" w:rsidP="003D217E">
      <w:pPr>
        <w:autoSpaceDE w:val="0"/>
        <w:autoSpaceDN w:val="0"/>
        <w:adjustRightInd w:val="0"/>
        <w:snapToGrid w:val="0"/>
        <w:jc w:val="both"/>
        <w:rPr>
          <w:bCs/>
          <w:sz w:val="22"/>
          <w:szCs w:val="22"/>
        </w:rPr>
      </w:pPr>
    </w:p>
    <w:p w14:paraId="64AB8F48"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Based</w:t>
      </w:r>
      <w:r w:rsidRPr="001C4A6B">
        <w:rPr>
          <w:bCs/>
          <w:spacing w:val="-4"/>
          <w:sz w:val="22"/>
          <w:szCs w:val="22"/>
        </w:rPr>
        <w:t xml:space="preserve"> </w:t>
      </w:r>
      <w:r w:rsidRPr="001C4A6B">
        <w:rPr>
          <w:bCs/>
          <w:sz w:val="22"/>
          <w:szCs w:val="22"/>
        </w:rPr>
        <w:t>on</w:t>
      </w:r>
      <w:r w:rsidRPr="001C4A6B">
        <w:rPr>
          <w:bCs/>
          <w:spacing w:val="-6"/>
          <w:sz w:val="22"/>
          <w:szCs w:val="22"/>
        </w:rPr>
        <w:t xml:space="preserve"> </w:t>
      </w:r>
      <w:r w:rsidRPr="001C4A6B">
        <w:rPr>
          <w:bCs/>
          <w:sz w:val="22"/>
          <w:szCs w:val="22"/>
        </w:rPr>
        <w:t>the</w:t>
      </w:r>
      <w:r w:rsidRPr="001C4A6B">
        <w:rPr>
          <w:bCs/>
          <w:spacing w:val="-5"/>
          <w:sz w:val="22"/>
          <w:szCs w:val="22"/>
        </w:rPr>
        <w:t xml:space="preserve"> </w:t>
      </w:r>
      <w:r w:rsidRPr="001C4A6B">
        <w:rPr>
          <w:bCs/>
          <w:sz w:val="22"/>
          <w:szCs w:val="22"/>
        </w:rPr>
        <w:t>uncertainty</w:t>
      </w:r>
      <w:r w:rsidRPr="001C4A6B">
        <w:rPr>
          <w:bCs/>
          <w:spacing w:val="-6"/>
          <w:sz w:val="22"/>
          <w:szCs w:val="22"/>
        </w:rPr>
        <w:t xml:space="preserve"> </w:t>
      </w:r>
      <w:r w:rsidRPr="001C4A6B">
        <w:rPr>
          <w:bCs/>
          <w:sz w:val="22"/>
          <w:szCs w:val="22"/>
        </w:rPr>
        <w:t>grid</w:t>
      </w:r>
      <w:r w:rsidRPr="001C4A6B">
        <w:rPr>
          <w:bCs/>
          <w:spacing w:val="-6"/>
          <w:sz w:val="22"/>
          <w:szCs w:val="22"/>
        </w:rPr>
        <w:t xml:space="preserve"> </w:t>
      </w:r>
      <w:r w:rsidRPr="001C4A6B">
        <w:rPr>
          <w:bCs/>
          <w:sz w:val="22"/>
          <w:szCs w:val="22"/>
        </w:rPr>
        <w:t>adopted</w:t>
      </w:r>
      <w:r w:rsidRPr="001C4A6B">
        <w:rPr>
          <w:bCs/>
          <w:spacing w:val="-4"/>
          <w:sz w:val="22"/>
          <w:szCs w:val="22"/>
        </w:rPr>
        <w:t xml:space="preserve"> </w:t>
      </w:r>
      <w:r w:rsidRPr="001C4A6B">
        <w:rPr>
          <w:bCs/>
          <w:sz w:val="22"/>
          <w:szCs w:val="22"/>
        </w:rPr>
        <w:t>by</w:t>
      </w:r>
      <w:r w:rsidRPr="001C4A6B">
        <w:rPr>
          <w:bCs/>
          <w:spacing w:val="-6"/>
          <w:sz w:val="22"/>
          <w:szCs w:val="22"/>
        </w:rPr>
        <w:t xml:space="preserve"> </w:t>
      </w:r>
      <w:r w:rsidRPr="001C4A6B">
        <w:rPr>
          <w:bCs/>
          <w:sz w:val="22"/>
          <w:szCs w:val="22"/>
        </w:rPr>
        <w:t>SC14,</w:t>
      </w:r>
      <w:r w:rsidRPr="001C4A6B">
        <w:rPr>
          <w:bCs/>
          <w:spacing w:val="-6"/>
          <w:sz w:val="22"/>
          <w:szCs w:val="22"/>
        </w:rPr>
        <w:t xml:space="preserve"> </w:t>
      </w:r>
      <w:r w:rsidRPr="001C4A6B">
        <w:rPr>
          <w:bCs/>
          <w:sz w:val="22"/>
          <w:szCs w:val="22"/>
        </w:rPr>
        <w:t>the</w:t>
      </w:r>
      <w:r w:rsidRPr="001C4A6B">
        <w:rPr>
          <w:bCs/>
          <w:spacing w:val="-5"/>
          <w:sz w:val="22"/>
          <w:szCs w:val="22"/>
        </w:rPr>
        <w:t xml:space="preserve"> </w:t>
      </w:r>
      <w:r w:rsidRPr="001C4A6B">
        <w:rPr>
          <w:bCs/>
          <w:sz w:val="22"/>
          <w:szCs w:val="22"/>
        </w:rPr>
        <w:t>WCPO</w:t>
      </w:r>
      <w:r w:rsidRPr="001C4A6B">
        <w:rPr>
          <w:bCs/>
          <w:spacing w:val="-4"/>
          <w:sz w:val="22"/>
          <w:szCs w:val="22"/>
        </w:rPr>
        <w:t xml:space="preserve"> </w:t>
      </w:r>
      <w:r w:rsidRPr="001C4A6B">
        <w:rPr>
          <w:bCs/>
          <w:sz w:val="22"/>
          <w:szCs w:val="22"/>
        </w:rPr>
        <w:t>bigeye</w:t>
      </w:r>
      <w:r w:rsidRPr="001C4A6B">
        <w:rPr>
          <w:bCs/>
          <w:spacing w:val="-5"/>
          <w:sz w:val="22"/>
          <w:szCs w:val="22"/>
        </w:rPr>
        <w:t xml:space="preserve"> </w:t>
      </w:r>
      <w:r w:rsidRPr="001C4A6B">
        <w:rPr>
          <w:bCs/>
          <w:sz w:val="22"/>
          <w:szCs w:val="22"/>
        </w:rPr>
        <w:t>tuna</w:t>
      </w:r>
      <w:r w:rsidRPr="001C4A6B">
        <w:rPr>
          <w:bCs/>
          <w:spacing w:val="-6"/>
          <w:sz w:val="22"/>
          <w:szCs w:val="22"/>
        </w:rPr>
        <w:t xml:space="preserve"> </w:t>
      </w:r>
      <w:r w:rsidRPr="001C4A6B">
        <w:rPr>
          <w:bCs/>
          <w:sz w:val="22"/>
          <w:szCs w:val="22"/>
        </w:rPr>
        <w:t>spawning</w:t>
      </w:r>
      <w:r w:rsidRPr="001C4A6B">
        <w:rPr>
          <w:bCs/>
          <w:spacing w:val="-4"/>
          <w:sz w:val="22"/>
          <w:szCs w:val="22"/>
        </w:rPr>
        <w:t xml:space="preserve"> </w:t>
      </w:r>
      <w:r w:rsidRPr="001C4A6B">
        <w:rPr>
          <w:bCs/>
          <w:sz w:val="22"/>
          <w:szCs w:val="22"/>
        </w:rPr>
        <w:t>biomass</w:t>
      </w:r>
      <w:r w:rsidRPr="001C4A6B">
        <w:rPr>
          <w:bCs/>
          <w:spacing w:val="-5"/>
          <w:sz w:val="22"/>
          <w:szCs w:val="22"/>
        </w:rPr>
        <w:t xml:space="preserve"> </w:t>
      </w:r>
      <w:r w:rsidRPr="001C4A6B">
        <w:rPr>
          <w:bCs/>
          <w:sz w:val="22"/>
          <w:szCs w:val="22"/>
        </w:rPr>
        <w:t xml:space="preserve">is </w:t>
      </w:r>
      <w:r w:rsidRPr="001C4A6B">
        <w:rPr>
          <w:bCs/>
          <w:position w:val="2"/>
          <w:sz w:val="22"/>
          <w:szCs w:val="22"/>
        </w:rPr>
        <w:t>above the biomass LRP and recent F is very likely below F</w:t>
      </w:r>
      <w:r w:rsidRPr="001C4A6B">
        <w:rPr>
          <w:bCs/>
          <w:sz w:val="22"/>
          <w:szCs w:val="22"/>
          <w:vertAlign w:val="subscript"/>
        </w:rPr>
        <w:t>MSY</w:t>
      </w:r>
      <w:r w:rsidRPr="001C4A6B">
        <w:rPr>
          <w:bCs/>
          <w:position w:val="2"/>
          <w:sz w:val="22"/>
          <w:szCs w:val="22"/>
        </w:rPr>
        <w:t xml:space="preserve">. </w:t>
      </w:r>
      <w:r w:rsidRPr="001C4A6B">
        <w:rPr>
          <w:bCs/>
          <w:sz w:val="22"/>
          <w:szCs w:val="22"/>
        </w:rPr>
        <w:t>The</w:t>
      </w:r>
      <w:r w:rsidRPr="001C4A6B">
        <w:rPr>
          <w:bCs/>
          <w:spacing w:val="-10"/>
          <w:sz w:val="22"/>
          <w:szCs w:val="22"/>
        </w:rPr>
        <w:t xml:space="preserve"> </w:t>
      </w:r>
      <w:r w:rsidRPr="001C4A6B">
        <w:rPr>
          <w:bCs/>
          <w:sz w:val="22"/>
          <w:szCs w:val="22"/>
        </w:rPr>
        <w:t>stock</w:t>
      </w:r>
      <w:r w:rsidRPr="001C4A6B">
        <w:rPr>
          <w:bCs/>
          <w:spacing w:val="-8"/>
          <w:sz w:val="22"/>
          <w:szCs w:val="22"/>
        </w:rPr>
        <w:t xml:space="preserve"> </w:t>
      </w:r>
      <w:r w:rsidRPr="001C4A6B">
        <w:rPr>
          <w:bCs/>
          <w:sz w:val="22"/>
          <w:szCs w:val="22"/>
        </w:rPr>
        <w:t>is</w:t>
      </w:r>
      <w:r w:rsidRPr="001C4A6B">
        <w:rPr>
          <w:bCs/>
          <w:spacing w:val="-8"/>
          <w:sz w:val="22"/>
          <w:szCs w:val="22"/>
        </w:rPr>
        <w:t xml:space="preserve"> </w:t>
      </w:r>
      <w:r w:rsidRPr="001C4A6B">
        <w:rPr>
          <w:bCs/>
          <w:sz w:val="22"/>
          <w:szCs w:val="22"/>
        </w:rPr>
        <w:t>not</w:t>
      </w:r>
      <w:r w:rsidRPr="001C4A6B">
        <w:rPr>
          <w:bCs/>
          <w:spacing w:val="-10"/>
          <w:sz w:val="22"/>
          <w:szCs w:val="22"/>
        </w:rPr>
        <w:t xml:space="preserve"> </w:t>
      </w:r>
      <w:r w:rsidRPr="001C4A6B">
        <w:rPr>
          <w:bCs/>
          <w:sz w:val="22"/>
          <w:szCs w:val="22"/>
        </w:rPr>
        <w:t>experiencing</w:t>
      </w:r>
      <w:r w:rsidRPr="001C4A6B">
        <w:rPr>
          <w:bCs/>
          <w:spacing w:val="-11"/>
          <w:sz w:val="22"/>
          <w:szCs w:val="22"/>
        </w:rPr>
        <w:t xml:space="preserve"> </w:t>
      </w:r>
      <w:r w:rsidRPr="001C4A6B">
        <w:rPr>
          <w:bCs/>
          <w:sz w:val="22"/>
          <w:szCs w:val="22"/>
        </w:rPr>
        <w:t>overfishing</w:t>
      </w:r>
      <w:r w:rsidRPr="001C4A6B">
        <w:rPr>
          <w:bCs/>
          <w:spacing w:val="-11"/>
          <w:sz w:val="22"/>
          <w:szCs w:val="22"/>
        </w:rPr>
        <w:t xml:space="preserve"> </w:t>
      </w:r>
      <w:r w:rsidRPr="001C4A6B">
        <w:rPr>
          <w:bCs/>
          <w:sz w:val="22"/>
          <w:szCs w:val="22"/>
        </w:rPr>
        <w:t>(94% probability F&lt;F</w:t>
      </w:r>
      <w:r w:rsidRPr="001C4A6B">
        <w:rPr>
          <w:bCs/>
          <w:sz w:val="22"/>
          <w:szCs w:val="22"/>
          <w:vertAlign w:val="subscript"/>
        </w:rPr>
        <w:t>MSY</w:t>
      </w:r>
      <w:r w:rsidRPr="001C4A6B">
        <w:rPr>
          <w:bCs/>
          <w:sz w:val="22"/>
          <w:szCs w:val="22"/>
        </w:rPr>
        <w:t>) and it is not in an overfished condition (0%</w:t>
      </w:r>
      <w:r w:rsidRPr="001C4A6B">
        <w:rPr>
          <w:bCs/>
          <w:spacing w:val="-26"/>
          <w:sz w:val="22"/>
          <w:szCs w:val="22"/>
        </w:rPr>
        <w:t xml:space="preserve"> </w:t>
      </w:r>
      <w:r w:rsidRPr="001C4A6B">
        <w:rPr>
          <w:bCs/>
          <w:sz w:val="22"/>
          <w:szCs w:val="22"/>
        </w:rPr>
        <w:t>probability SB/SB</w:t>
      </w:r>
      <w:r w:rsidRPr="001C4A6B">
        <w:rPr>
          <w:bCs/>
          <w:sz w:val="22"/>
          <w:szCs w:val="22"/>
          <w:vertAlign w:val="subscript"/>
        </w:rPr>
        <w:t>F=0</w:t>
      </w:r>
      <w:r w:rsidRPr="001C4A6B">
        <w:rPr>
          <w:bCs/>
          <w:sz w:val="22"/>
          <w:szCs w:val="22"/>
        </w:rPr>
        <w:t xml:space="preserve">&lt;LRP). </w:t>
      </w:r>
    </w:p>
    <w:p w14:paraId="24A4A96E" w14:textId="77777777" w:rsidR="003D217E" w:rsidRPr="001C4A6B" w:rsidRDefault="003D217E" w:rsidP="003D217E">
      <w:pPr>
        <w:autoSpaceDE w:val="0"/>
        <w:autoSpaceDN w:val="0"/>
        <w:adjustRightInd w:val="0"/>
        <w:snapToGrid w:val="0"/>
        <w:jc w:val="both"/>
        <w:rPr>
          <w:bCs/>
          <w:sz w:val="22"/>
          <w:szCs w:val="22"/>
        </w:rPr>
      </w:pPr>
    </w:p>
    <w:p w14:paraId="5C04A67E"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Although SC14 considers that the updated assessment is consistent with the</w:t>
      </w:r>
      <w:r w:rsidRPr="001C4A6B">
        <w:rPr>
          <w:bCs/>
          <w:spacing w:val="-4"/>
          <w:sz w:val="22"/>
          <w:szCs w:val="22"/>
        </w:rPr>
        <w:t xml:space="preserve"> </w:t>
      </w:r>
      <w:r w:rsidRPr="001C4A6B">
        <w:rPr>
          <w:bCs/>
          <w:sz w:val="22"/>
          <w:szCs w:val="22"/>
        </w:rPr>
        <w:t>previous</w:t>
      </w:r>
      <w:r w:rsidRPr="001C4A6B">
        <w:rPr>
          <w:bCs/>
          <w:spacing w:val="-4"/>
          <w:sz w:val="22"/>
          <w:szCs w:val="22"/>
        </w:rPr>
        <w:t xml:space="preserve"> </w:t>
      </w:r>
      <w:r w:rsidRPr="001C4A6B">
        <w:rPr>
          <w:bCs/>
          <w:sz w:val="22"/>
          <w:szCs w:val="22"/>
        </w:rPr>
        <w:t>assessment,</w:t>
      </w:r>
      <w:r w:rsidRPr="001C4A6B">
        <w:rPr>
          <w:bCs/>
          <w:spacing w:val="-5"/>
          <w:sz w:val="22"/>
          <w:szCs w:val="22"/>
        </w:rPr>
        <w:t xml:space="preserve"> </w:t>
      </w:r>
      <w:r w:rsidRPr="001C4A6B">
        <w:rPr>
          <w:bCs/>
          <w:sz w:val="22"/>
          <w:szCs w:val="22"/>
        </w:rPr>
        <w:t>SC14 also</w:t>
      </w:r>
      <w:r w:rsidRPr="001C4A6B">
        <w:rPr>
          <w:bCs/>
          <w:spacing w:val="-7"/>
          <w:sz w:val="22"/>
          <w:szCs w:val="22"/>
        </w:rPr>
        <w:t xml:space="preserve"> </w:t>
      </w:r>
      <w:r w:rsidRPr="001C4A6B">
        <w:rPr>
          <w:bCs/>
          <w:sz w:val="22"/>
          <w:szCs w:val="22"/>
        </w:rPr>
        <w:t>advises</w:t>
      </w:r>
      <w:r w:rsidRPr="001C4A6B">
        <w:rPr>
          <w:bCs/>
          <w:spacing w:val="-4"/>
          <w:sz w:val="22"/>
          <w:szCs w:val="22"/>
        </w:rPr>
        <w:t xml:space="preserve"> </w:t>
      </w:r>
      <w:r w:rsidRPr="001C4A6B">
        <w:rPr>
          <w:bCs/>
          <w:sz w:val="22"/>
          <w:szCs w:val="22"/>
        </w:rPr>
        <w:t>that</w:t>
      </w:r>
      <w:r w:rsidRPr="001C4A6B">
        <w:rPr>
          <w:bCs/>
          <w:spacing w:val="-6"/>
          <w:sz w:val="22"/>
          <w:szCs w:val="22"/>
        </w:rPr>
        <w:t xml:space="preserve"> </w:t>
      </w:r>
      <w:r w:rsidRPr="001C4A6B">
        <w:rPr>
          <w:bCs/>
          <w:sz w:val="22"/>
          <w:szCs w:val="22"/>
        </w:rPr>
        <w:t>the</w:t>
      </w:r>
      <w:r w:rsidRPr="001C4A6B">
        <w:rPr>
          <w:bCs/>
          <w:spacing w:val="-6"/>
          <w:sz w:val="22"/>
          <w:szCs w:val="22"/>
        </w:rPr>
        <w:t xml:space="preserve"> </w:t>
      </w:r>
      <w:r w:rsidRPr="001C4A6B">
        <w:rPr>
          <w:bCs/>
          <w:sz w:val="22"/>
          <w:szCs w:val="22"/>
        </w:rPr>
        <w:t>amount</w:t>
      </w:r>
      <w:r w:rsidRPr="001C4A6B">
        <w:rPr>
          <w:bCs/>
          <w:spacing w:val="-6"/>
          <w:sz w:val="22"/>
          <w:szCs w:val="22"/>
        </w:rPr>
        <w:t xml:space="preserve"> </w:t>
      </w:r>
      <w:r w:rsidRPr="001C4A6B">
        <w:rPr>
          <w:bCs/>
          <w:sz w:val="22"/>
          <w:szCs w:val="22"/>
        </w:rPr>
        <w:t>of</w:t>
      </w:r>
      <w:r w:rsidRPr="001C4A6B">
        <w:rPr>
          <w:bCs/>
          <w:spacing w:val="-1"/>
          <w:sz w:val="22"/>
          <w:szCs w:val="22"/>
        </w:rPr>
        <w:t xml:space="preserve"> </w:t>
      </w:r>
      <w:r w:rsidRPr="001C4A6B">
        <w:rPr>
          <w:bCs/>
          <w:sz w:val="22"/>
          <w:szCs w:val="22"/>
        </w:rPr>
        <w:t>uncertainty</w:t>
      </w:r>
      <w:r w:rsidRPr="001C4A6B">
        <w:rPr>
          <w:bCs/>
          <w:spacing w:val="-7"/>
          <w:sz w:val="22"/>
          <w:szCs w:val="22"/>
        </w:rPr>
        <w:t xml:space="preserve"> </w:t>
      </w:r>
      <w:r w:rsidRPr="001C4A6B">
        <w:rPr>
          <w:bCs/>
          <w:sz w:val="22"/>
          <w:szCs w:val="22"/>
        </w:rPr>
        <w:t>in</w:t>
      </w:r>
      <w:r w:rsidRPr="001C4A6B">
        <w:rPr>
          <w:bCs/>
          <w:spacing w:val="-5"/>
          <w:sz w:val="22"/>
          <w:szCs w:val="22"/>
        </w:rPr>
        <w:t xml:space="preserve"> </w:t>
      </w:r>
      <w:r w:rsidRPr="001C4A6B">
        <w:rPr>
          <w:bCs/>
          <w:sz w:val="22"/>
          <w:szCs w:val="22"/>
        </w:rPr>
        <w:t>the</w:t>
      </w:r>
      <w:r w:rsidRPr="001C4A6B">
        <w:rPr>
          <w:bCs/>
          <w:spacing w:val="-4"/>
          <w:sz w:val="22"/>
          <w:szCs w:val="22"/>
        </w:rPr>
        <w:t xml:space="preserve"> </w:t>
      </w:r>
      <w:r w:rsidRPr="001C4A6B">
        <w:rPr>
          <w:bCs/>
          <w:sz w:val="22"/>
          <w:szCs w:val="22"/>
        </w:rPr>
        <w:t>stock</w:t>
      </w:r>
      <w:r w:rsidRPr="001C4A6B">
        <w:rPr>
          <w:bCs/>
          <w:spacing w:val="-7"/>
          <w:sz w:val="22"/>
          <w:szCs w:val="22"/>
        </w:rPr>
        <w:t xml:space="preserve"> </w:t>
      </w:r>
      <w:r w:rsidRPr="001C4A6B">
        <w:rPr>
          <w:bCs/>
          <w:sz w:val="22"/>
          <w:szCs w:val="22"/>
        </w:rPr>
        <w:t>status</w:t>
      </w:r>
      <w:r w:rsidRPr="001C4A6B">
        <w:rPr>
          <w:bCs/>
          <w:spacing w:val="-4"/>
          <w:sz w:val="22"/>
          <w:szCs w:val="22"/>
        </w:rPr>
        <w:t xml:space="preserve"> </w:t>
      </w:r>
      <w:r w:rsidRPr="001C4A6B">
        <w:rPr>
          <w:bCs/>
          <w:sz w:val="22"/>
          <w:szCs w:val="22"/>
        </w:rPr>
        <w:t>results</w:t>
      </w:r>
      <w:r w:rsidRPr="001C4A6B">
        <w:rPr>
          <w:bCs/>
          <w:spacing w:val="-9"/>
          <w:sz w:val="22"/>
          <w:szCs w:val="22"/>
        </w:rPr>
        <w:t xml:space="preserve"> </w:t>
      </w:r>
      <w:r w:rsidRPr="001C4A6B">
        <w:rPr>
          <w:bCs/>
          <w:sz w:val="22"/>
          <w:szCs w:val="22"/>
        </w:rPr>
        <w:t>for</w:t>
      </w:r>
      <w:r w:rsidRPr="001C4A6B">
        <w:rPr>
          <w:bCs/>
          <w:spacing w:val="-7"/>
          <w:sz w:val="22"/>
          <w:szCs w:val="22"/>
        </w:rPr>
        <w:t xml:space="preserve"> </w:t>
      </w:r>
      <w:r w:rsidRPr="001C4A6B">
        <w:rPr>
          <w:bCs/>
          <w:sz w:val="22"/>
          <w:szCs w:val="22"/>
        </w:rPr>
        <w:t>the</w:t>
      </w:r>
      <w:r w:rsidRPr="001C4A6B">
        <w:rPr>
          <w:bCs/>
          <w:spacing w:val="-4"/>
          <w:sz w:val="22"/>
          <w:szCs w:val="22"/>
        </w:rPr>
        <w:t xml:space="preserve"> </w:t>
      </w:r>
      <w:r w:rsidRPr="001C4A6B">
        <w:rPr>
          <w:bCs/>
          <w:sz w:val="22"/>
          <w:szCs w:val="22"/>
        </w:rPr>
        <w:t>2018 assessment update is lower than for the previous assessment due to the exclusion of old information on bigeye tuna growth.</w:t>
      </w:r>
    </w:p>
    <w:p w14:paraId="39741F31" w14:textId="77777777" w:rsidR="003D217E" w:rsidRPr="001C4A6B" w:rsidRDefault="003D217E" w:rsidP="003D217E">
      <w:pPr>
        <w:autoSpaceDE w:val="0"/>
        <w:autoSpaceDN w:val="0"/>
        <w:adjustRightInd w:val="0"/>
        <w:snapToGrid w:val="0"/>
        <w:jc w:val="both"/>
        <w:rPr>
          <w:bCs/>
          <w:sz w:val="22"/>
          <w:szCs w:val="22"/>
        </w:rPr>
      </w:pPr>
      <w:r w:rsidRPr="001C4A6B">
        <w:rPr>
          <w:bCs/>
          <w:sz w:val="22"/>
          <w:szCs w:val="22"/>
        </w:rPr>
        <w:t xml:space="preserve"> </w:t>
      </w:r>
    </w:p>
    <w:p w14:paraId="36DD7876"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SC14</w:t>
      </w:r>
      <w:r w:rsidRPr="001C4A6B">
        <w:rPr>
          <w:bCs/>
          <w:spacing w:val="-8"/>
          <w:sz w:val="22"/>
          <w:szCs w:val="22"/>
        </w:rPr>
        <w:t xml:space="preserve"> </w:t>
      </w:r>
      <w:r w:rsidRPr="001C4A6B">
        <w:rPr>
          <w:bCs/>
          <w:sz w:val="22"/>
          <w:szCs w:val="22"/>
        </w:rPr>
        <w:t>noted</w:t>
      </w:r>
      <w:r w:rsidRPr="001C4A6B">
        <w:rPr>
          <w:bCs/>
          <w:spacing w:val="-8"/>
          <w:sz w:val="22"/>
          <w:szCs w:val="22"/>
        </w:rPr>
        <w:t xml:space="preserve"> </w:t>
      </w:r>
      <w:r w:rsidRPr="001C4A6B">
        <w:rPr>
          <w:bCs/>
          <w:sz w:val="22"/>
          <w:szCs w:val="22"/>
        </w:rPr>
        <w:t>that</w:t>
      </w:r>
      <w:r w:rsidRPr="001C4A6B">
        <w:rPr>
          <w:bCs/>
          <w:spacing w:val="-10"/>
          <w:sz w:val="22"/>
          <w:szCs w:val="22"/>
        </w:rPr>
        <w:t xml:space="preserve"> </w:t>
      </w:r>
      <w:r w:rsidRPr="001C4A6B">
        <w:rPr>
          <w:bCs/>
          <w:sz w:val="22"/>
          <w:szCs w:val="22"/>
        </w:rPr>
        <w:t>levels</w:t>
      </w:r>
      <w:r w:rsidRPr="001C4A6B">
        <w:rPr>
          <w:bCs/>
          <w:spacing w:val="-8"/>
          <w:sz w:val="22"/>
          <w:szCs w:val="22"/>
        </w:rPr>
        <w:t xml:space="preserve"> </w:t>
      </w:r>
      <w:r w:rsidRPr="001C4A6B">
        <w:rPr>
          <w:bCs/>
          <w:sz w:val="22"/>
          <w:szCs w:val="22"/>
        </w:rPr>
        <w:t>of</w:t>
      </w:r>
      <w:r w:rsidRPr="001C4A6B">
        <w:rPr>
          <w:bCs/>
          <w:spacing w:val="-8"/>
          <w:sz w:val="22"/>
          <w:szCs w:val="22"/>
        </w:rPr>
        <w:t xml:space="preserve"> </w:t>
      </w:r>
      <w:r w:rsidRPr="001C4A6B">
        <w:rPr>
          <w:bCs/>
          <w:sz w:val="22"/>
          <w:szCs w:val="22"/>
        </w:rPr>
        <w:t>fishing</w:t>
      </w:r>
      <w:r w:rsidRPr="001C4A6B">
        <w:rPr>
          <w:bCs/>
          <w:spacing w:val="-10"/>
          <w:sz w:val="22"/>
          <w:szCs w:val="22"/>
        </w:rPr>
        <w:t xml:space="preserve"> </w:t>
      </w:r>
      <w:r w:rsidRPr="001C4A6B">
        <w:rPr>
          <w:bCs/>
          <w:sz w:val="22"/>
          <w:szCs w:val="22"/>
        </w:rPr>
        <w:t>mortality</w:t>
      </w:r>
      <w:r w:rsidRPr="001C4A6B">
        <w:rPr>
          <w:bCs/>
          <w:spacing w:val="-8"/>
          <w:sz w:val="22"/>
          <w:szCs w:val="22"/>
        </w:rPr>
        <w:t xml:space="preserve"> </w:t>
      </w:r>
      <w:r w:rsidRPr="001C4A6B">
        <w:rPr>
          <w:bCs/>
          <w:sz w:val="22"/>
          <w:szCs w:val="22"/>
        </w:rPr>
        <w:t>and</w:t>
      </w:r>
      <w:r w:rsidRPr="001C4A6B">
        <w:rPr>
          <w:bCs/>
          <w:spacing w:val="-13"/>
          <w:sz w:val="22"/>
          <w:szCs w:val="22"/>
        </w:rPr>
        <w:t xml:space="preserve"> </w:t>
      </w:r>
      <w:r w:rsidRPr="001C4A6B">
        <w:rPr>
          <w:bCs/>
          <w:sz w:val="22"/>
          <w:szCs w:val="22"/>
        </w:rPr>
        <w:t>depletion</w:t>
      </w:r>
      <w:r w:rsidRPr="001C4A6B">
        <w:rPr>
          <w:bCs/>
          <w:spacing w:val="-11"/>
          <w:sz w:val="22"/>
          <w:szCs w:val="22"/>
        </w:rPr>
        <w:t xml:space="preserve"> </w:t>
      </w:r>
      <w:r w:rsidRPr="001C4A6B">
        <w:rPr>
          <w:bCs/>
          <w:sz w:val="22"/>
          <w:szCs w:val="22"/>
        </w:rPr>
        <w:t>differ</w:t>
      </w:r>
      <w:r w:rsidRPr="001C4A6B">
        <w:rPr>
          <w:bCs/>
          <w:spacing w:val="-8"/>
          <w:sz w:val="22"/>
          <w:szCs w:val="22"/>
        </w:rPr>
        <w:t xml:space="preserve"> </w:t>
      </w:r>
      <w:r w:rsidRPr="001C4A6B">
        <w:rPr>
          <w:bCs/>
          <w:sz w:val="22"/>
          <w:szCs w:val="22"/>
        </w:rPr>
        <w:t>among</w:t>
      </w:r>
      <w:r w:rsidRPr="001C4A6B">
        <w:rPr>
          <w:bCs/>
          <w:spacing w:val="-11"/>
          <w:sz w:val="22"/>
          <w:szCs w:val="22"/>
        </w:rPr>
        <w:t xml:space="preserve"> </w:t>
      </w:r>
      <w:r w:rsidRPr="001C4A6B">
        <w:rPr>
          <w:bCs/>
          <w:sz w:val="22"/>
          <w:szCs w:val="22"/>
        </w:rPr>
        <w:t>regions,</w:t>
      </w:r>
      <w:r w:rsidRPr="001C4A6B">
        <w:rPr>
          <w:bCs/>
          <w:spacing w:val="-8"/>
          <w:sz w:val="22"/>
          <w:szCs w:val="22"/>
        </w:rPr>
        <w:t xml:space="preserve"> </w:t>
      </w:r>
      <w:r w:rsidRPr="001C4A6B">
        <w:rPr>
          <w:bCs/>
          <w:sz w:val="22"/>
          <w:szCs w:val="22"/>
        </w:rPr>
        <w:t>and</w:t>
      </w:r>
      <w:r w:rsidRPr="001C4A6B">
        <w:rPr>
          <w:bCs/>
          <w:spacing w:val="-11"/>
          <w:sz w:val="22"/>
          <w:szCs w:val="22"/>
        </w:rPr>
        <w:t xml:space="preserve"> </w:t>
      </w:r>
      <w:r w:rsidRPr="001C4A6B">
        <w:rPr>
          <w:bCs/>
          <w:sz w:val="22"/>
          <w:szCs w:val="22"/>
        </w:rPr>
        <w:t>that fishery</w:t>
      </w:r>
      <w:r w:rsidRPr="001C4A6B">
        <w:rPr>
          <w:bCs/>
          <w:spacing w:val="-8"/>
          <w:sz w:val="22"/>
          <w:szCs w:val="22"/>
        </w:rPr>
        <w:t xml:space="preserve"> </w:t>
      </w:r>
      <w:r w:rsidRPr="001C4A6B">
        <w:rPr>
          <w:bCs/>
          <w:sz w:val="22"/>
          <w:szCs w:val="22"/>
        </w:rPr>
        <w:t>impact</w:t>
      </w:r>
      <w:r w:rsidRPr="001C4A6B">
        <w:rPr>
          <w:bCs/>
          <w:spacing w:val="-10"/>
          <w:sz w:val="22"/>
          <w:szCs w:val="22"/>
        </w:rPr>
        <w:t xml:space="preserve"> </w:t>
      </w:r>
      <w:r w:rsidRPr="001C4A6B">
        <w:rPr>
          <w:bCs/>
          <w:sz w:val="22"/>
          <w:szCs w:val="22"/>
        </w:rPr>
        <w:t>was</w:t>
      </w:r>
      <w:r w:rsidRPr="001C4A6B">
        <w:rPr>
          <w:bCs/>
          <w:spacing w:val="-8"/>
          <w:sz w:val="22"/>
          <w:szCs w:val="22"/>
        </w:rPr>
        <w:t xml:space="preserve"> </w:t>
      </w:r>
      <w:r w:rsidRPr="001C4A6B">
        <w:rPr>
          <w:bCs/>
          <w:sz w:val="22"/>
          <w:szCs w:val="22"/>
        </w:rPr>
        <w:t>higher</w:t>
      </w:r>
      <w:r w:rsidRPr="001C4A6B">
        <w:rPr>
          <w:bCs/>
          <w:spacing w:val="-10"/>
          <w:sz w:val="22"/>
          <w:szCs w:val="22"/>
        </w:rPr>
        <w:t xml:space="preserve"> </w:t>
      </w:r>
      <w:r w:rsidRPr="001C4A6B">
        <w:rPr>
          <w:bCs/>
          <w:sz w:val="22"/>
          <w:szCs w:val="22"/>
        </w:rPr>
        <w:t>in</w:t>
      </w:r>
      <w:r w:rsidRPr="001C4A6B">
        <w:rPr>
          <w:bCs/>
          <w:spacing w:val="-8"/>
          <w:sz w:val="22"/>
          <w:szCs w:val="22"/>
        </w:rPr>
        <w:t xml:space="preserve"> </w:t>
      </w:r>
      <w:r w:rsidRPr="001C4A6B">
        <w:rPr>
          <w:bCs/>
          <w:sz w:val="22"/>
          <w:szCs w:val="22"/>
        </w:rPr>
        <w:t>the</w:t>
      </w:r>
      <w:r w:rsidRPr="001C4A6B">
        <w:rPr>
          <w:bCs/>
          <w:spacing w:val="-8"/>
          <w:sz w:val="22"/>
          <w:szCs w:val="22"/>
        </w:rPr>
        <w:t xml:space="preserve"> </w:t>
      </w:r>
      <w:r w:rsidRPr="001C4A6B">
        <w:rPr>
          <w:bCs/>
          <w:sz w:val="22"/>
          <w:szCs w:val="22"/>
        </w:rPr>
        <w:t>tropical</w:t>
      </w:r>
      <w:r w:rsidRPr="001C4A6B">
        <w:rPr>
          <w:bCs/>
          <w:spacing w:val="-10"/>
          <w:sz w:val="22"/>
          <w:szCs w:val="22"/>
        </w:rPr>
        <w:t xml:space="preserve"> </w:t>
      </w:r>
      <w:r w:rsidRPr="001C4A6B">
        <w:rPr>
          <w:bCs/>
          <w:sz w:val="22"/>
          <w:szCs w:val="22"/>
        </w:rPr>
        <w:t>region</w:t>
      </w:r>
      <w:r w:rsidRPr="001C4A6B">
        <w:rPr>
          <w:bCs/>
          <w:spacing w:val="-8"/>
          <w:sz w:val="22"/>
          <w:szCs w:val="22"/>
        </w:rPr>
        <w:t xml:space="preserve"> </w:t>
      </w:r>
      <w:r w:rsidRPr="001C4A6B">
        <w:rPr>
          <w:bCs/>
          <w:sz w:val="22"/>
          <w:szCs w:val="22"/>
        </w:rPr>
        <w:t>(Regions</w:t>
      </w:r>
      <w:r w:rsidRPr="001C4A6B">
        <w:rPr>
          <w:bCs/>
          <w:spacing w:val="-8"/>
          <w:sz w:val="22"/>
          <w:szCs w:val="22"/>
        </w:rPr>
        <w:t xml:space="preserve"> </w:t>
      </w:r>
      <w:r w:rsidRPr="001C4A6B">
        <w:rPr>
          <w:bCs/>
          <w:sz w:val="22"/>
          <w:szCs w:val="22"/>
        </w:rPr>
        <w:t>3,</w:t>
      </w:r>
      <w:r w:rsidRPr="001C4A6B">
        <w:rPr>
          <w:bCs/>
          <w:spacing w:val="-8"/>
          <w:sz w:val="22"/>
          <w:szCs w:val="22"/>
        </w:rPr>
        <w:t xml:space="preserve"> </w:t>
      </w:r>
      <w:r w:rsidRPr="001C4A6B">
        <w:rPr>
          <w:bCs/>
          <w:sz w:val="22"/>
          <w:szCs w:val="22"/>
        </w:rPr>
        <w:t>4,</w:t>
      </w:r>
      <w:r w:rsidRPr="001C4A6B">
        <w:rPr>
          <w:bCs/>
          <w:spacing w:val="-8"/>
          <w:sz w:val="22"/>
          <w:szCs w:val="22"/>
        </w:rPr>
        <w:t xml:space="preserve"> </w:t>
      </w:r>
      <w:r w:rsidRPr="001C4A6B">
        <w:rPr>
          <w:bCs/>
          <w:sz w:val="22"/>
          <w:szCs w:val="22"/>
        </w:rPr>
        <w:t>7</w:t>
      </w:r>
      <w:r w:rsidRPr="001C4A6B">
        <w:rPr>
          <w:bCs/>
          <w:spacing w:val="-8"/>
          <w:sz w:val="22"/>
          <w:szCs w:val="22"/>
        </w:rPr>
        <w:t xml:space="preserve"> </w:t>
      </w:r>
      <w:r w:rsidRPr="001C4A6B">
        <w:rPr>
          <w:bCs/>
          <w:sz w:val="22"/>
          <w:szCs w:val="22"/>
        </w:rPr>
        <w:t>and</w:t>
      </w:r>
      <w:r w:rsidRPr="001C4A6B">
        <w:rPr>
          <w:bCs/>
          <w:spacing w:val="-8"/>
          <w:sz w:val="22"/>
          <w:szCs w:val="22"/>
        </w:rPr>
        <w:t xml:space="preserve"> </w:t>
      </w:r>
      <w:r w:rsidRPr="001C4A6B">
        <w:rPr>
          <w:bCs/>
          <w:sz w:val="22"/>
          <w:szCs w:val="22"/>
        </w:rPr>
        <w:t>8</w:t>
      </w:r>
      <w:r w:rsidRPr="001C4A6B">
        <w:rPr>
          <w:bCs/>
          <w:spacing w:val="-8"/>
          <w:sz w:val="22"/>
          <w:szCs w:val="22"/>
        </w:rPr>
        <w:t xml:space="preserve"> </w:t>
      </w:r>
      <w:r w:rsidRPr="001C4A6B">
        <w:rPr>
          <w:bCs/>
          <w:sz w:val="22"/>
          <w:szCs w:val="22"/>
        </w:rPr>
        <w:t>in</w:t>
      </w:r>
      <w:r w:rsidRPr="001C4A6B">
        <w:rPr>
          <w:bCs/>
          <w:spacing w:val="-11"/>
          <w:sz w:val="22"/>
          <w:szCs w:val="22"/>
        </w:rPr>
        <w:t xml:space="preserve"> </w:t>
      </w:r>
      <w:r w:rsidRPr="001C4A6B">
        <w:rPr>
          <w:bCs/>
          <w:sz w:val="22"/>
          <w:szCs w:val="22"/>
        </w:rPr>
        <w:t>the</w:t>
      </w:r>
      <w:r w:rsidRPr="001C4A6B">
        <w:rPr>
          <w:bCs/>
          <w:spacing w:val="-8"/>
          <w:sz w:val="22"/>
          <w:szCs w:val="22"/>
        </w:rPr>
        <w:t xml:space="preserve"> </w:t>
      </w:r>
      <w:r w:rsidRPr="001C4A6B">
        <w:rPr>
          <w:bCs/>
          <w:sz w:val="22"/>
          <w:szCs w:val="22"/>
        </w:rPr>
        <w:t>stock</w:t>
      </w:r>
      <w:r w:rsidRPr="001C4A6B">
        <w:rPr>
          <w:bCs/>
          <w:spacing w:val="-8"/>
          <w:sz w:val="22"/>
          <w:szCs w:val="22"/>
        </w:rPr>
        <w:t xml:space="preserve"> </w:t>
      </w:r>
      <w:r w:rsidRPr="001C4A6B">
        <w:rPr>
          <w:bCs/>
          <w:sz w:val="22"/>
          <w:szCs w:val="22"/>
        </w:rPr>
        <w:t>assessment</w:t>
      </w:r>
      <w:r w:rsidRPr="001C4A6B">
        <w:rPr>
          <w:bCs/>
          <w:spacing w:val="-10"/>
          <w:sz w:val="22"/>
          <w:szCs w:val="22"/>
        </w:rPr>
        <w:t xml:space="preserve"> </w:t>
      </w:r>
      <w:r w:rsidRPr="001C4A6B">
        <w:rPr>
          <w:bCs/>
          <w:sz w:val="22"/>
          <w:szCs w:val="22"/>
        </w:rPr>
        <w:t>model), with particularly high fishing mortality on juvenile bigeye tuna in these regions. SC14 therefore recommends that WCPFC15 could continue to consider measures to reduce fishing mortality from fisheries that take juveniles, with the goal to increase bigeye fishery yields and reduce any further impacts on the spawning biomass for this stock in the tropical</w:t>
      </w:r>
      <w:r w:rsidRPr="001C4A6B">
        <w:rPr>
          <w:bCs/>
          <w:spacing w:val="-19"/>
          <w:sz w:val="22"/>
          <w:szCs w:val="22"/>
        </w:rPr>
        <w:t xml:space="preserve"> </w:t>
      </w:r>
      <w:r w:rsidRPr="001C4A6B">
        <w:rPr>
          <w:bCs/>
          <w:sz w:val="22"/>
          <w:szCs w:val="22"/>
        </w:rPr>
        <w:t xml:space="preserve">regions. </w:t>
      </w:r>
    </w:p>
    <w:p w14:paraId="696322A7" w14:textId="77777777" w:rsidR="003D217E" w:rsidRPr="001C4A6B" w:rsidRDefault="003D217E" w:rsidP="003D217E">
      <w:pPr>
        <w:autoSpaceDE w:val="0"/>
        <w:autoSpaceDN w:val="0"/>
        <w:adjustRightInd w:val="0"/>
        <w:snapToGrid w:val="0"/>
        <w:jc w:val="both"/>
        <w:rPr>
          <w:bCs/>
          <w:sz w:val="22"/>
          <w:szCs w:val="22"/>
        </w:rPr>
      </w:pPr>
    </w:p>
    <w:p w14:paraId="1B354E11"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SC14 noted that according to CMM 2017-01 bigeye tuna SB/SB</w:t>
      </w:r>
      <w:r w:rsidRPr="001C4A6B">
        <w:rPr>
          <w:bCs/>
          <w:sz w:val="22"/>
          <w:szCs w:val="22"/>
          <w:vertAlign w:val="subscript"/>
        </w:rPr>
        <w:t>F=0</w:t>
      </w:r>
      <w:r w:rsidRPr="001C4A6B">
        <w:rPr>
          <w:bCs/>
          <w:sz w:val="22"/>
          <w:szCs w:val="22"/>
        </w:rPr>
        <w:t xml:space="preserve"> is to be maintained above the 2012-2015 level (SB</w:t>
      </w:r>
      <w:r w:rsidRPr="001C4A6B">
        <w:rPr>
          <w:bCs/>
          <w:sz w:val="22"/>
          <w:szCs w:val="22"/>
          <w:vertAlign w:val="subscript"/>
        </w:rPr>
        <w:t>recent</w:t>
      </w:r>
      <w:r w:rsidRPr="001C4A6B">
        <w:rPr>
          <w:bCs/>
          <w:sz w:val="22"/>
          <w:szCs w:val="22"/>
        </w:rPr>
        <w:t>/SB</w:t>
      </w:r>
      <w:r w:rsidRPr="001C4A6B">
        <w:rPr>
          <w:bCs/>
          <w:sz w:val="22"/>
          <w:szCs w:val="22"/>
          <w:vertAlign w:val="subscript"/>
        </w:rPr>
        <w:t>F=0</w:t>
      </w:r>
      <w:r w:rsidRPr="001C4A6B">
        <w:rPr>
          <w:bCs/>
          <w:sz w:val="22"/>
          <w:szCs w:val="22"/>
        </w:rPr>
        <w:t xml:space="preserve"> = 0.36; Table BET-3) pending the agreement on a TRP. SC14 also noted that the projection results based on scenarios estimating CMM 2017-01 indicated a high level of uncertainty on the levels of spawning stock biomass relative to the LRP and the objective of CMM 2017-01 in 2045. Under the scenario assuming long-term average recruitment continues into the future there was a high risk (18-32%) of breaching the LRPs and a zero probability of achieving the objective of CMM 2017-01, while under the scenario which assumes higher more recent recruitments continues into the future there was a low risk (0-5%) of breaching the LRPs and a 100% probability of achieving the objective of CMM 2017-01. </w:t>
      </w:r>
    </w:p>
    <w:p w14:paraId="67009D24" w14:textId="77777777" w:rsidR="003D217E" w:rsidRPr="001C4A6B" w:rsidRDefault="003D217E" w:rsidP="003D217E">
      <w:pPr>
        <w:autoSpaceDE w:val="0"/>
        <w:autoSpaceDN w:val="0"/>
        <w:adjustRightInd w:val="0"/>
        <w:snapToGrid w:val="0"/>
        <w:jc w:val="both"/>
        <w:rPr>
          <w:bCs/>
          <w:sz w:val="22"/>
          <w:szCs w:val="22"/>
        </w:rPr>
      </w:pPr>
    </w:p>
    <w:p w14:paraId="1D996C69"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 xml:space="preserve">However, SC14 also noted that the projections assume that longline catches would be maintained regardless of the decrease in biomass. This may result in unlikely high levels of effort. Therefore, the catch estimates under the long term recruitment scenario, especially in the longer term projections, are more uncertain. </w:t>
      </w:r>
    </w:p>
    <w:p w14:paraId="21E0B510" w14:textId="77777777" w:rsidR="003D217E" w:rsidRPr="001C4A6B" w:rsidRDefault="003D217E" w:rsidP="003D217E">
      <w:pPr>
        <w:autoSpaceDE w:val="0"/>
        <w:autoSpaceDN w:val="0"/>
        <w:adjustRightInd w:val="0"/>
        <w:snapToGrid w:val="0"/>
        <w:jc w:val="both"/>
        <w:rPr>
          <w:bCs/>
          <w:sz w:val="22"/>
          <w:szCs w:val="22"/>
        </w:rPr>
      </w:pPr>
    </w:p>
    <w:p w14:paraId="448EF423"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Based on these results, SC14 recommends</w:t>
      </w:r>
      <w:r w:rsidRPr="001C4A6B">
        <w:rPr>
          <w:bCs/>
          <w:spacing w:val="-13"/>
          <w:sz w:val="22"/>
          <w:szCs w:val="22"/>
        </w:rPr>
        <w:t xml:space="preserve"> that WCPFC15 takes note of the results of the projections in relation </w:t>
      </w:r>
      <w:r w:rsidRPr="001C4A6B">
        <w:rPr>
          <w:rFonts w:eastAsiaTheme="minorEastAsia" w:hint="eastAsia"/>
          <w:bCs/>
          <w:spacing w:val="-13"/>
          <w:sz w:val="22"/>
          <w:szCs w:val="22"/>
          <w:lang w:eastAsia="ko-KR"/>
        </w:rPr>
        <w:t xml:space="preserve">to </w:t>
      </w:r>
      <w:r w:rsidRPr="001C4A6B">
        <w:rPr>
          <w:bCs/>
          <w:spacing w:val="-13"/>
          <w:sz w:val="22"/>
          <w:szCs w:val="22"/>
        </w:rPr>
        <w:t>achieving CMM</w:t>
      </w:r>
      <w:r w:rsidRPr="001C4A6B">
        <w:rPr>
          <w:rFonts w:eastAsiaTheme="minorEastAsia" w:hint="eastAsia"/>
          <w:bCs/>
          <w:spacing w:val="-13"/>
          <w:sz w:val="22"/>
          <w:szCs w:val="22"/>
          <w:lang w:eastAsia="ko-KR"/>
        </w:rPr>
        <w:t xml:space="preserve"> </w:t>
      </w:r>
      <w:r w:rsidRPr="001C4A6B">
        <w:rPr>
          <w:bCs/>
          <w:spacing w:val="-13"/>
          <w:sz w:val="22"/>
          <w:szCs w:val="22"/>
        </w:rPr>
        <w:t xml:space="preserve">2017-01 and </w:t>
      </w:r>
      <w:r w:rsidRPr="001C4A6B">
        <w:rPr>
          <w:bCs/>
          <w:sz w:val="22"/>
          <w:szCs w:val="22"/>
        </w:rPr>
        <w:t>as a precautionary approach that the fishing mortality on bigeye tuna stock should not be increased from the recent average (2011-2014) level to maintain spawning biomass at or above the 2012-2015 average,</w:t>
      </w:r>
      <w:r w:rsidRPr="001C4A6B">
        <w:rPr>
          <w:bCs/>
          <w:spacing w:val="-13"/>
          <w:sz w:val="22"/>
          <w:szCs w:val="22"/>
        </w:rPr>
        <w:t xml:space="preserve"> </w:t>
      </w:r>
      <w:r w:rsidRPr="001C4A6B">
        <w:rPr>
          <w:bCs/>
          <w:sz w:val="22"/>
          <w:szCs w:val="22"/>
        </w:rPr>
        <w:t>until</w:t>
      </w:r>
      <w:r w:rsidRPr="001C4A6B">
        <w:rPr>
          <w:bCs/>
          <w:spacing w:val="-14"/>
          <w:sz w:val="22"/>
          <w:szCs w:val="22"/>
        </w:rPr>
        <w:t xml:space="preserve"> </w:t>
      </w:r>
      <w:r w:rsidRPr="001C4A6B">
        <w:rPr>
          <w:bCs/>
          <w:sz w:val="22"/>
          <w:szCs w:val="22"/>
        </w:rPr>
        <w:t>the</w:t>
      </w:r>
      <w:r w:rsidRPr="001C4A6B">
        <w:rPr>
          <w:bCs/>
          <w:spacing w:val="-13"/>
          <w:sz w:val="22"/>
          <w:szCs w:val="22"/>
        </w:rPr>
        <w:t xml:space="preserve"> </w:t>
      </w:r>
      <w:r w:rsidRPr="001C4A6B">
        <w:rPr>
          <w:bCs/>
          <w:sz w:val="22"/>
          <w:szCs w:val="22"/>
        </w:rPr>
        <w:t>Commission</w:t>
      </w:r>
      <w:r w:rsidRPr="001C4A6B">
        <w:rPr>
          <w:bCs/>
          <w:spacing w:val="-15"/>
          <w:sz w:val="22"/>
          <w:szCs w:val="22"/>
        </w:rPr>
        <w:t xml:space="preserve"> </w:t>
      </w:r>
      <w:r w:rsidRPr="001C4A6B">
        <w:rPr>
          <w:bCs/>
          <w:sz w:val="22"/>
          <w:szCs w:val="22"/>
        </w:rPr>
        <w:t>can</w:t>
      </w:r>
      <w:r w:rsidRPr="001C4A6B">
        <w:rPr>
          <w:bCs/>
          <w:spacing w:val="-13"/>
          <w:sz w:val="22"/>
          <w:szCs w:val="22"/>
        </w:rPr>
        <w:t xml:space="preserve"> articulate the management objectives and </w:t>
      </w:r>
      <w:r w:rsidRPr="001C4A6B">
        <w:rPr>
          <w:bCs/>
          <w:sz w:val="22"/>
          <w:szCs w:val="22"/>
        </w:rPr>
        <w:t>agree</w:t>
      </w:r>
      <w:r w:rsidRPr="001C4A6B">
        <w:rPr>
          <w:bCs/>
          <w:spacing w:val="-15"/>
          <w:sz w:val="22"/>
          <w:szCs w:val="22"/>
        </w:rPr>
        <w:t xml:space="preserve"> </w:t>
      </w:r>
      <w:r w:rsidRPr="001C4A6B">
        <w:rPr>
          <w:bCs/>
          <w:sz w:val="22"/>
          <w:szCs w:val="22"/>
        </w:rPr>
        <w:t>on</w:t>
      </w:r>
      <w:r w:rsidRPr="001C4A6B">
        <w:rPr>
          <w:bCs/>
          <w:spacing w:val="-13"/>
          <w:sz w:val="22"/>
          <w:szCs w:val="22"/>
        </w:rPr>
        <w:t xml:space="preserve"> </w:t>
      </w:r>
      <w:r w:rsidRPr="001C4A6B">
        <w:rPr>
          <w:bCs/>
          <w:sz w:val="22"/>
          <w:szCs w:val="22"/>
        </w:rPr>
        <w:t>an</w:t>
      </w:r>
      <w:r w:rsidRPr="001C4A6B">
        <w:rPr>
          <w:bCs/>
          <w:spacing w:val="-13"/>
          <w:sz w:val="22"/>
          <w:szCs w:val="22"/>
        </w:rPr>
        <w:t xml:space="preserve"> </w:t>
      </w:r>
      <w:r w:rsidRPr="001C4A6B">
        <w:rPr>
          <w:bCs/>
          <w:sz w:val="22"/>
          <w:szCs w:val="22"/>
        </w:rPr>
        <w:t>appropriate</w:t>
      </w:r>
      <w:r w:rsidRPr="001C4A6B">
        <w:rPr>
          <w:bCs/>
          <w:spacing w:val="-13"/>
          <w:sz w:val="22"/>
          <w:szCs w:val="22"/>
        </w:rPr>
        <w:t xml:space="preserve"> </w:t>
      </w:r>
      <w:r w:rsidRPr="001C4A6B">
        <w:rPr>
          <w:bCs/>
          <w:sz w:val="22"/>
          <w:szCs w:val="22"/>
        </w:rPr>
        <w:t xml:space="preserve">TRP for bigeye, although one CCM considers that SC14 could provide more options for the Commission to consider. </w:t>
      </w:r>
    </w:p>
    <w:p w14:paraId="3B38CDF0" w14:textId="77777777" w:rsidR="003D217E" w:rsidRPr="004635E5" w:rsidRDefault="003D217E" w:rsidP="003D217E">
      <w:pPr>
        <w:adjustRightInd w:val="0"/>
        <w:snapToGrid w:val="0"/>
        <w:jc w:val="both"/>
        <w:rPr>
          <w:rFonts w:eastAsia="MS PMincho"/>
          <w:sz w:val="22"/>
          <w:szCs w:val="22"/>
        </w:rPr>
        <w:sectPr w:rsidR="003D217E" w:rsidRPr="004635E5" w:rsidSect="0094159E">
          <w:type w:val="continuous"/>
          <w:pgSz w:w="12240" w:h="15840" w:code="1"/>
          <w:pgMar w:top="1440" w:right="1440" w:bottom="1440" w:left="1440" w:header="720" w:footer="720" w:gutter="0"/>
          <w:pgNumType w:fmt="lowerRoman"/>
          <w:cols w:space="720"/>
        </w:sectPr>
      </w:pPr>
    </w:p>
    <w:p w14:paraId="0D414742" w14:textId="77777777" w:rsidR="003D217E" w:rsidRPr="004635E5" w:rsidRDefault="003D217E" w:rsidP="003D217E">
      <w:pPr>
        <w:pStyle w:val="SCa"/>
        <w:spacing w:after="0"/>
      </w:pPr>
    </w:p>
    <w:p w14:paraId="1C576501" w14:textId="77777777" w:rsidR="003D217E" w:rsidRPr="004635E5" w:rsidRDefault="003D217E" w:rsidP="002F64C2">
      <w:pPr>
        <w:pStyle w:val="SCa"/>
        <w:tabs>
          <w:tab w:val="clear" w:pos="1080"/>
        </w:tabs>
        <w:spacing w:after="0"/>
        <w:ind w:left="0"/>
      </w:pPr>
      <w:r w:rsidRPr="004635E5">
        <w:t>c.</w:t>
      </w:r>
      <w:r w:rsidRPr="004635E5">
        <w:tab/>
        <w:t>Research Recommendations</w:t>
      </w:r>
    </w:p>
    <w:p w14:paraId="5FCA896A" w14:textId="77777777" w:rsidR="003D217E" w:rsidRPr="004635E5" w:rsidRDefault="003D217E" w:rsidP="003D217E">
      <w:pPr>
        <w:pStyle w:val="SCa"/>
        <w:spacing w:after="0"/>
      </w:pPr>
    </w:p>
    <w:p w14:paraId="78068E3B"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 xml:space="preserve">SC14 noted that the acceptance of the </w:t>
      </w:r>
      <w:r w:rsidRPr="001C4A6B">
        <w:rPr>
          <w:rFonts w:eastAsiaTheme="minorEastAsia" w:hint="eastAsia"/>
          <w:bCs/>
          <w:sz w:val="22"/>
          <w:szCs w:val="22"/>
          <w:lang w:eastAsia="ko-KR"/>
        </w:rPr>
        <w:t xml:space="preserve">updated </w:t>
      </w:r>
      <w:r w:rsidRPr="001C4A6B">
        <w:rPr>
          <w:bCs/>
          <w:sz w:val="22"/>
          <w:szCs w:val="22"/>
        </w:rPr>
        <w:t>new growth model for BET raises a number of issues in relation to patterns of growth and stock structure of BET across the Pacific Ocean and recommended that the following research issues need to be addressed:</w:t>
      </w:r>
    </w:p>
    <w:p w14:paraId="2E8B6EC3" w14:textId="77777777" w:rsidR="003D217E" w:rsidRPr="001C4A6B" w:rsidRDefault="003D217E" w:rsidP="003D217E">
      <w:pPr>
        <w:autoSpaceDE w:val="0"/>
        <w:autoSpaceDN w:val="0"/>
        <w:adjustRightInd w:val="0"/>
        <w:snapToGrid w:val="0"/>
        <w:jc w:val="both"/>
        <w:rPr>
          <w:bCs/>
          <w:sz w:val="22"/>
          <w:szCs w:val="22"/>
        </w:rPr>
      </w:pPr>
    </w:p>
    <w:p w14:paraId="3624F619" w14:textId="77777777" w:rsidR="003D217E" w:rsidRPr="001C4A6B" w:rsidRDefault="003D217E" w:rsidP="00580EA4">
      <w:pPr>
        <w:widowControl w:val="0"/>
        <w:numPr>
          <w:ilvl w:val="0"/>
          <w:numId w:val="46"/>
        </w:numPr>
        <w:tabs>
          <w:tab w:val="left" w:pos="840"/>
        </w:tabs>
        <w:autoSpaceDE w:val="0"/>
        <w:autoSpaceDN w:val="0"/>
        <w:adjustRightInd w:val="0"/>
        <w:snapToGrid w:val="0"/>
        <w:ind w:right="115"/>
        <w:jc w:val="both"/>
        <w:rPr>
          <w:bCs/>
          <w:sz w:val="22"/>
          <w:szCs w:val="22"/>
        </w:rPr>
      </w:pPr>
      <w:r w:rsidRPr="001C4A6B">
        <w:rPr>
          <w:bCs/>
          <w:sz w:val="22"/>
          <w:szCs w:val="22"/>
        </w:rPr>
        <w:t xml:space="preserve">Two different growth models separated at 150˚W effectively means that Pacific BET should be assessed as a two-stock resource between the WCPO and EPO. However, catch information indicates that the fishing grounds near 150˚W are a core area of BET catch, thus influencing the assessments of both the WCPFC and IATTC. Also, tagging information suggests movement of BET between the WCPO and EPO. Therefore, the appropriateness off delineating the two stocks </w:t>
      </w:r>
      <w:r w:rsidRPr="001C4A6B">
        <w:rPr>
          <w:bCs/>
          <w:sz w:val="22"/>
          <w:szCs w:val="22"/>
        </w:rPr>
        <w:lastRenderedPageBreak/>
        <w:t xml:space="preserve">at 150˚W needs to be investigated. </w:t>
      </w:r>
    </w:p>
    <w:p w14:paraId="4301ECF5" w14:textId="77777777" w:rsidR="003D217E" w:rsidRPr="001C4A6B" w:rsidRDefault="003D217E" w:rsidP="00580EA4">
      <w:pPr>
        <w:widowControl w:val="0"/>
        <w:numPr>
          <w:ilvl w:val="0"/>
          <w:numId w:val="46"/>
        </w:numPr>
        <w:tabs>
          <w:tab w:val="left" w:pos="840"/>
        </w:tabs>
        <w:autoSpaceDE w:val="0"/>
        <w:autoSpaceDN w:val="0"/>
        <w:adjustRightInd w:val="0"/>
        <w:snapToGrid w:val="0"/>
        <w:ind w:right="115"/>
        <w:jc w:val="both"/>
        <w:rPr>
          <w:bCs/>
          <w:sz w:val="22"/>
          <w:szCs w:val="22"/>
        </w:rPr>
      </w:pPr>
      <w:r w:rsidRPr="001C4A6B">
        <w:rPr>
          <w:bCs/>
          <w:sz w:val="22"/>
          <w:szCs w:val="22"/>
        </w:rPr>
        <w:t xml:space="preserve">The </w:t>
      </w:r>
      <w:r w:rsidRPr="001C4A6B">
        <w:rPr>
          <w:rFonts w:eastAsiaTheme="minorEastAsia" w:hint="eastAsia"/>
          <w:bCs/>
          <w:sz w:val="22"/>
          <w:szCs w:val="22"/>
          <w:lang w:eastAsia="ko-KR"/>
        </w:rPr>
        <w:t xml:space="preserve">updated </w:t>
      </w:r>
      <w:r w:rsidRPr="001C4A6B">
        <w:rPr>
          <w:bCs/>
          <w:sz w:val="22"/>
          <w:szCs w:val="22"/>
        </w:rPr>
        <w:t xml:space="preserve">new growth analysis suggests area variant growth across the Pacific. While the level of variation is seen to be relatively small within the WCPO (and possibly within the margins of observation error), there is a suggestion of substantial change in growth around the boundary between the WCPO and the EPO (c.f. Figure 14 in SC14-SA-WP-01). The reasons for this suggested change in growth remains unknown, but SC14 noted the utility of collecting more information from the regions either side of this boundary to inform a greater understanding of possible changes in growth around this area. While the incorporation of area-variant growth within the assessment model would also help explore this issue, SC14 noted the difficulty of this task. </w:t>
      </w:r>
    </w:p>
    <w:p w14:paraId="3BEC3E9B" w14:textId="77777777" w:rsidR="003D217E" w:rsidRPr="001C4A6B" w:rsidRDefault="003D217E" w:rsidP="00580EA4">
      <w:pPr>
        <w:widowControl w:val="0"/>
        <w:numPr>
          <w:ilvl w:val="0"/>
          <w:numId w:val="46"/>
        </w:numPr>
        <w:tabs>
          <w:tab w:val="left" w:pos="840"/>
        </w:tabs>
        <w:autoSpaceDE w:val="0"/>
        <w:autoSpaceDN w:val="0"/>
        <w:adjustRightInd w:val="0"/>
        <w:snapToGrid w:val="0"/>
        <w:ind w:right="115"/>
        <w:jc w:val="both"/>
        <w:rPr>
          <w:bCs/>
          <w:sz w:val="22"/>
          <w:szCs w:val="22"/>
        </w:rPr>
      </w:pPr>
      <w:r w:rsidRPr="001C4A6B">
        <w:rPr>
          <w:bCs/>
          <w:sz w:val="22"/>
          <w:szCs w:val="22"/>
        </w:rPr>
        <w:t xml:space="preserve">SC11 concluded that the stock status of WCPO BET from the Pan-Pacific assessment and the WCPO-only assessment were similar when the growth models were similar in the EPO and WCPO. This conclusion needs to be revisited in light of the different growth between EPO and WCPO by adopting the new growth. </w:t>
      </w:r>
    </w:p>
    <w:p w14:paraId="712AA4B6" w14:textId="77777777" w:rsidR="003D217E" w:rsidRPr="001C4A6B" w:rsidRDefault="003D217E" w:rsidP="003D217E">
      <w:pPr>
        <w:widowControl w:val="0"/>
        <w:tabs>
          <w:tab w:val="left" w:pos="840"/>
        </w:tabs>
        <w:autoSpaceDE w:val="0"/>
        <w:autoSpaceDN w:val="0"/>
        <w:adjustRightInd w:val="0"/>
        <w:snapToGrid w:val="0"/>
        <w:ind w:left="840" w:right="115"/>
        <w:jc w:val="both"/>
        <w:rPr>
          <w:bCs/>
          <w:sz w:val="22"/>
          <w:szCs w:val="22"/>
        </w:rPr>
      </w:pPr>
    </w:p>
    <w:p w14:paraId="0BFDC33F" w14:textId="77777777" w:rsidR="003D217E" w:rsidRPr="001C4A6B" w:rsidRDefault="003D217E" w:rsidP="00580EA4">
      <w:pPr>
        <w:numPr>
          <w:ilvl w:val="0"/>
          <w:numId w:val="18"/>
        </w:numPr>
        <w:autoSpaceDE w:val="0"/>
        <w:autoSpaceDN w:val="0"/>
        <w:adjustRightInd w:val="0"/>
        <w:snapToGrid w:val="0"/>
        <w:ind w:left="0" w:firstLine="0"/>
        <w:jc w:val="both"/>
        <w:rPr>
          <w:rFonts w:eastAsia="MS PMincho"/>
          <w:bCs/>
          <w:sz w:val="22"/>
          <w:szCs w:val="22"/>
        </w:rPr>
      </w:pPr>
      <w:r w:rsidRPr="001C4A6B">
        <w:rPr>
          <w:rFonts w:eastAsia="MS PMincho"/>
          <w:bCs/>
          <w:sz w:val="22"/>
          <w:szCs w:val="22"/>
        </w:rPr>
        <w:t>The following additional research activities were also recommended by SC14 in order to improve the understanding of the age and growth of BET across the Pacific:</w:t>
      </w:r>
    </w:p>
    <w:p w14:paraId="2137F55F" w14:textId="77777777" w:rsidR="003D217E" w:rsidRPr="001C4A6B" w:rsidRDefault="003D217E" w:rsidP="003D217E">
      <w:pPr>
        <w:autoSpaceDE w:val="0"/>
        <w:autoSpaceDN w:val="0"/>
        <w:adjustRightInd w:val="0"/>
        <w:snapToGrid w:val="0"/>
        <w:jc w:val="both"/>
        <w:rPr>
          <w:rFonts w:eastAsia="MS PMincho"/>
          <w:bCs/>
          <w:sz w:val="22"/>
          <w:szCs w:val="22"/>
        </w:rPr>
      </w:pPr>
    </w:p>
    <w:p w14:paraId="7ACCFACD" w14:textId="77777777" w:rsidR="003D217E" w:rsidRPr="001C4A6B" w:rsidRDefault="003D217E" w:rsidP="00580EA4">
      <w:pPr>
        <w:numPr>
          <w:ilvl w:val="0"/>
          <w:numId w:val="60"/>
        </w:numPr>
        <w:autoSpaceDE w:val="0"/>
        <w:autoSpaceDN w:val="0"/>
        <w:adjustRightInd w:val="0"/>
        <w:snapToGrid w:val="0"/>
        <w:jc w:val="both"/>
        <w:rPr>
          <w:rFonts w:eastAsia="MS PMincho"/>
          <w:bCs/>
          <w:sz w:val="22"/>
          <w:szCs w:val="22"/>
        </w:rPr>
      </w:pPr>
      <w:r w:rsidRPr="001C4A6B">
        <w:rPr>
          <w:bCs/>
          <w:sz w:val="22"/>
          <w:szCs w:val="22"/>
        </w:rPr>
        <w:t>A WCPO growth model based on size composition and tagging data, as well as the use of additional modeling approaches (e.g., length-conditional), should also be evaluated.</w:t>
      </w:r>
    </w:p>
    <w:p w14:paraId="24BE7AA4" w14:textId="77777777" w:rsidR="003D217E" w:rsidRPr="001C4A6B" w:rsidRDefault="003D217E" w:rsidP="00580EA4">
      <w:pPr>
        <w:numPr>
          <w:ilvl w:val="0"/>
          <w:numId w:val="60"/>
        </w:numPr>
        <w:autoSpaceDE w:val="0"/>
        <w:autoSpaceDN w:val="0"/>
        <w:adjustRightInd w:val="0"/>
        <w:snapToGrid w:val="0"/>
        <w:jc w:val="both"/>
        <w:rPr>
          <w:rFonts w:eastAsia="MS PMincho"/>
          <w:bCs/>
          <w:sz w:val="22"/>
          <w:szCs w:val="22"/>
        </w:rPr>
      </w:pPr>
      <w:r w:rsidRPr="001C4A6B">
        <w:rPr>
          <w:rFonts w:eastAsia="MS PMincho"/>
          <w:bCs/>
          <w:sz w:val="22"/>
          <w:szCs w:val="22"/>
        </w:rPr>
        <w:t>Collaboration with the IATTC to analyze bigeye growth from otolith and tagging data collected across the entire Pacific, to better characterize the apparent regional difference in growth between the WCPO and EPO, and possible environmental determinants of such differences.</w:t>
      </w:r>
    </w:p>
    <w:p w14:paraId="3A73BC45" w14:textId="77777777" w:rsidR="003D217E" w:rsidRPr="001C4A6B" w:rsidRDefault="003D217E" w:rsidP="00580EA4">
      <w:pPr>
        <w:numPr>
          <w:ilvl w:val="0"/>
          <w:numId w:val="60"/>
        </w:numPr>
        <w:autoSpaceDE w:val="0"/>
        <w:autoSpaceDN w:val="0"/>
        <w:adjustRightInd w:val="0"/>
        <w:snapToGrid w:val="0"/>
        <w:jc w:val="both"/>
        <w:rPr>
          <w:rFonts w:eastAsia="MS PMincho"/>
          <w:bCs/>
          <w:sz w:val="22"/>
          <w:szCs w:val="22"/>
        </w:rPr>
      </w:pPr>
      <w:r w:rsidRPr="001C4A6B">
        <w:rPr>
          <w:rFonts w:eastAsia="MS PMincho"/>
          <w:bCs/>
          <w:sz w:val="22"/>
          <w:szCs w:val="22"/>
        </w:rPr>
        <w:t>Analyzing the same otoliths by different laboratories, to build confidence in ageing estimates and to estimate ageing error.</w:t>
      </w:r>
    </w:p>
    <w:p w14:paraId="050A82FB" w14:textId="77777777" w:rsidR="003D217E" w:rsidRPr="001C4A6B" w:rsidRDefault="003D217E" w:rsidP="00580EA4">
      <w:pPr>
        <w:numPr>
          <w:ilvl w:val="0"/>
          <w:numId w:val="60"/>
        </w:numPr>
        <w:autoSpaceDE w:val="0"/>
        <w:autoSpaceDN w:val="0"/>
        <w:adjustRightInd w:val="0"/>
        <w:snapToGrid w:val="0"/>
        <w:jc w:val="both"/>
        <w:rPr>
          <w:rFonts w:eastAsia="MS PMincho"/>
          <w:bCs/>
          <w:sz w:val="22"/>
          <w:szCs w:val="22"/>
        </w:rPr>
      </w:pPr>
      <w:r w:rsidRPr="001C4A6B">
        <w:rPr>
          <w:rFonts w:eastAsia="MS PMincho"/>
          <w:bCs/>
          <w:sz w:val="22"/>
          <w:szCs w:val="22"/>
        </w:rPr>
        <w:t>Continued development of a high-confidence tagging dataset for growth analysis, with particular focus on larger bigeye tuna and events with reliable measurements at release. Such data would assist with the validation of the age estimates of large bigeye in the WCPO, and could potentially be incorporated directly into the assessment model as an additional data set. However, a reliable measurement of both length at release and recapture are necessary to accurately estimate incremental growth.</w:t>
      </w:r>
    </w:p>
    <w:p w14:paraId="7F4F7779" w14:textId="77777777" w:rsidR="003D217E" w:rsidRPr="00970771" w:rsidRDefault="003D217E" w:rsidP="00580EA4">
      <w:pPr>
        <w:numPr>
          <w:ilvl w:val="0"/>
          <w:numId w:val="60"/>
        </w:numPr>
        <w:autoSpaceDE w:val="0"/>
        <w:autoSpaceDN w:val="0"/>
        <w:adjustRightInd w:val="0"/>
        <w:snapToGrid w:val="0"/>
        <w:jc w:val="both"/>
        <w:rPr>
          <w:rFonts w:eastAsia="MS PMincho"/>
          <w:bCs/>
          <w:sz w:val="22"/>
          <w:szCs w:val="22"/>
        </w:rPr>
      </w:pPr>
      <w:r w:rsidRPr="001C4A6B">
        <w:rPr>
          <w:rFonts w:eastAsia="MS PMincho"/>
          <w:bCs/>
          <w:sz w:val="22"/>
          <w:szCs w:val="22"/>
        </w:rPr>
        <w:t>Collect otoliths of very small bigeye that are captured by the Indonesian, Vietnamese, and Philippines domestic fisheries in region 7 and estimate age through daily ring counts to aid in the estimation of the size at age-1 qtr</w:t>
      </w:r>
      <w:r w:rsidRPr="001C4A6B">
        <w:rPr>
          <w:rFonts w:eastAsia="MS PMincho"/>
          <w:bCs/>
          <w:sz w:val="22"/>
          <w:szCs w:val="22"/>
          <w:vertAlign w:val="superscript"/>
        </w:rPr>
        <w:t>-1</w:t>
      </w:r>
      <w:r w:rsidRPr="001C4A6B">
        <w:rPr>
          <w:rFonts w:eastAsia="MS PMincho"/>
          <w:bCs/>
          <w:sz w:val="22"/>
          <w:szCs w:val="22"/>
        </w:rPr>
        <w:t xml:space="preserve"> parameter (L1) within the assessment model. </w:t>
      </w:r>
    </w:p>
    <w:p w14:paraId="26A7682D" w14:textId="77777777" w:rsidR="003D217E" w:rsidRPr="001C4A6B" w:rsidRDefault="003D217E" w:rsidP="003D217E">
      <w:pPr>
        <w:autoSpaceDE w:val="0"/>
        <w:autoSpaceDN w:val="0"/>
        <w:adjustRightInd w:val="0"/>
        <w:snapToGrid w:val="0"/>
        <w:ind w:left="720"/>
        <w:jc w:val="both"/>
        <w:rPr>
          <w:rFonts w:eastAsia="MS PMincho"/>
          <w:bCs/>
          <w:sz w:val="22"/>
          <w:szCs w:val="22"/>
        </w:rPr>
      </w:pPr>
    </w:p>
    <w:p w14:paraId="7F544CB4" w14:textId="77777777" w:rsidR="003D217E" w:rsidRPr="001C4A6B" w:rsidRDefault="003D217E" w:rsidP="003D217E">
      <w:pPr>
        <w:pStyle w:val="SC3"/>
        <w:spacing w:after="0"/>
        <w:rPr>
          <w:rFonts w:eastAsia="Batang"/>
          <w:sz w:val="24"/>
          <w:szCs w:val="24"/>
        </w:rPr>
      </w:pPr>
      <w:r w:rsidRPr="001C4A6B">
        <w:rPr>
          <w:rFonts w:eastAsia="Batang"/>
          <w:sz w:val="24"/>
          <w:szCs w:val="24"/>
        </w:rPr>
        <w:t>WCPO yellowfin tuna (</w:t>
      </w:r>
      <w:r w:rsidRPr="001C4A6B">
        <w:rPr>
          <w:rFonts w:eastAsia="Batang"/>
          <w:i/>
          <w:sz w:val="24"/>
          <w:szCs w:val="24"/>
        </w:rPr>
        <w:t>Thunnus albacares</w:t>
      </w:r>
      <w:r w:rsidRPr="001C4A6B">
        <w:rPr>
          <w:rFonts w:eastAsia="Batang"/>
          <w:sz w:val="24"/>
          <w:szCs w:val="24"/>
        </w:rPr>
        <w:t>)</w:t>
      </w:r>
    </w:p>
    <w:p w14:paraId="600F84BC" w14:textId="77777777" w:rsidR="003D217E" w:rsidRPr="004635E5" w:rsidRDefault="003D217E" w:rsidP="003D217E">
      <w:pPr>
        <w:pStyle w:val="SC3"/>
        <w:numPr>
          <w:ilvl w:val="0"/>
          <w:numId w:val="0"/>
        </w:numPr>
        <w:spacing w:after="0"/>
        <w:ind w:left="1440"/>
        <w:rPr>
          <w:rFonts w:eastAsia="Batang"/>
        </w:rPr>
      </w:pPr>
    </w:p>
    <w:p w14:paraId="4E63F723" w14:textId="77777777" w:rsidR="003D217E" w:rsidRPr="004635E5" w:rsidRDefault="003D217E" w:rsidP="002F64C2">
      <w:pPr>
        <w:pStyle w:val="SCa"/>
        <w:tabs>
          <w:tab w:val="clear" w:pos="1080"/>
        </w:tabs>
        <w:spacing w:after="0"/>
        <w:ind w:left="0"/>
      </w:pPr>
      <w:r w:rsidRPr="004635E5">
        <w:t>a.</w:t>
      </w:r>
      <w:r w:rsidRPr="004635E5">
        <w:tab/>
        <w:t>Stock status and trends</w:t>
      </w:r>
    </w:p>
    <w:p w14:paraId="6C0CE78F" w14:textId="77777777" w:rsidR="003D217E" w:rsidRPr="004635E5" w:rsidRDefault="003D217E" w:rsidP="003D217E">
      <w:pPr>
        <w:pStyle w:val="SCa"/>
        <w:spacing w:after="0"/>
      </w:pPr>
    </w:p>
    <w:p w14:paraId="461C3DBA" w14:textId="77777777" w:rsidR="003D217E" w:rsidRPr="001C4A6B" w:rsidRDefault="003D217E" w:rsidP="003D217E">
      <w:pPr>
        <w:pStyle w:val="WCPFC"/>
        <w:adjustRightInd w:val="0"/>
        <w:spacing w:after="0"/>
        <w:ind w:left="0" w:firstLine="0"/>
        <w:rPr>
          <w:rFonts w:cs="Times New Roman"/>
          <w:bCs/>
        </w:rPr>
      </w:pPr>
      <w:r w:rsidRPr="001C4A6B">
        <w:rPr>
          <w:rFonts w:cs="Times New Roman"/>
          <w:bCs/>
        </w:rPr>
        <w:t xml:space="preserve">SC14 noted that no stock assessment was conducted for WCPO yellowfin tuna in 2018. Therefore, the stock status description from SC13 is still current. For further information on the stock status and trends from SC13, please see </w:t>
      </w:r>
      <w:hyperlink r:id="rId23" w:history="1">
        <w:r w:rsidRPr="001C4A6B">
          <w:rPr>
            <w:rStyle w:val="Hyperlink"/>
            <w:rFonts w:cs="Times New Roman"/>
            <w:bCs/>
          </w:rPr>
          <w:t>https://www.wcpfc.int/node/29904</w:t>
        </w:r>
      </w:hyperlink>
      <w:r w:rsidRPr="001C4A6B">
        <w:rPr>
          <w:rFonts w:cs="Times New Roman"/>
          <w:bCs/>
          <w:lang w:eastAsia="ko-KR"/>
        </w:rPr>
        <w:t xml:space="preserve"> </w:t>
      </w:r>
    </w:p>
    <w:p w14:paraId="4478EE40" w14:textId="77777777" w:rsidR="003D217E" w:rsidRPr="001C4A6B" w:rsidRDefault="003D217E" w:rsidP="003D217E">
      <w:pPr>
        <w:pStyle w:val="WCPFC"/>
        <w:numPr>
          <w:ilvl w:val="0"/>
          <w:numId w:val="0"/>
        </w:numPr>
        <w:adjustRightInd w:val="0"/>
        <w:spacing w:after="0"/>
        <w:rPr>
          <w:rFonts w:cs="Times New Roman"/>
          <w:bCs/>
        </w:rPr>
      </w:pPr>
    </w:p>
    <w:p w14:paraId="6E58D361" w14:textId="77777777" w:rsidR="003D217E" w:rsidRPr="001C4A6B" w:rsidRDefault="003D217E" w:rsidP="003D217E">
      <w:pPr>
        <w:pStyle w:val="WCPFC"/>
        <w:adjustRightInd w:val="0"/>
        <w:spacing w:after="0"/>
        <w:ind w:left="0" w:firstLine="0"/>
        <w:rPr>
          <w:rFonts w:cs="Times New Roman"/>
          <w:bCs/>
        </w:rPr>
      </w:pPr>
      <w:r w:rsidRPr="001C4A6B">
        <w:rPr>
          <w:rFonts w:cs="Times New Roman"/>
          <w:bCs/>
        </w:rPr>
        <w:t>SC14 noted that the total yellowfin catch in 2017 was a record 670,890 mt, a 4% increase from 2016 and a</w:t>
      </w:r>
      <w:r w:rsidRPr="001C4A6B">
        <w:rPr>
          <w:rFonts w:cs="Times New Roman"/>
          <w:bCs/>
          <w:lang w:eastAsia="ja-JP"/>
        </w:rPr>
        <w:t xml:space="preserve"> </w:t>
      </w:r>
      <w:r w:rsidRPr="001C4A6B">
        <w:rPr>
          <w:rFonts w:cs="Times New Roman"/>
          <w:bCs/>
        </w:rPr>
        <w:t xml:space="preserve">12% increase from the average 2012-2016. </w:t>
      </w:r>
    </w:p>
    <w:p w14:paraId="60B2310A" w14:textId="77777777" w:rsidR="003D217E" w:rsidRPr="001C4A6B" w:rsidRDefault="003D217E" w:rsidP="003D217E">
      <w:pPr>
        <w:pStyle w:val="WCPFC"/>
        <w:numPr>
          <w:ilvl w:val="0"/>
          <w:numId w:val="0"/>
        </w:numPr>
        <w:adjustRightInd w:val="0"/>
        <w:spacing w:after="0"/>
        <w:rPr>
          <w:rFonts w:cs="Times New Roman"/>
          <w:bCs/>
        </w:rPr>
      </w:pPr>
    </w:p>
    <w:p w14:paraId="2F102FC4" w14:textId="77777777" w:rsidR="003D217E" w:rsidRPr="001C4A6B" w:rsidRDefault="003D217E" w:rsidP="003D217E">
      <w:pPr>
        <w:pStyle w:val="WCPFC"/>
        <w:adjustRightInd w:val="0"/>
        <w:spacing w:after="0"/>
        <w:ind w:left="0" w:firstLine="0"/>
        <w:rPr>
          <w:rFonts w:cs="Times New Roman"/>
          <w:bCs/>
        </w:rPr>
      </w:pPr>
      <w:r w:rsidRPr="001C4A6B">
        <w:rPr>
          <w:rFonts w:cs="Times New Roman"/>
          <w:bCs/>
        </w:rPr>
        <w:t>Purse seine catch in 2017 (472,279 mt) was a 22% increase from 2016 and a 33% increase</w:t>
      </w:r>
      <w:r w:rsidRPr="001C4A6B">
        <w:rPr>
          <w:rFonts w:cs="Times New Roman"/>
          <w:bCs/>
          <w:lang w:eastAsia="ja-JP"/>
        </w:rPr>
        <w:t xml:space="preserve"> </w:t>
      </w:r>
      <w:r w:rsidRPr="001C4A6B">
        <w:rPr>
          <w:rFonts w:cs="Times New Roman"/>
          <w:bCs/>
        </w:rPr>
        <w:t>from the 2012-2016 average. Longline catch in 2017 (83,399 mt)</w:t>
      </w:r>
      <w:r w:rsidRPr="001C4A6B">
        <w:rPr>
          <w:rFonts w:cs="Times New Roman"/>
          <w:bCs/>
          <w:lang w:eastAsia="ja-JP"/>
        </w:rPr>
        <w:t xml:space="preserve"> </w:t>
      </w:r>
      <w:r w:rsidRPr="001C4A6B">
        <w:rPr>
          <w:rFonts w:cs="Times New Roman"/>
          <w:bCs/>
        </w:rPr>
        <w:t>was a 6% decrease from 2016 and a 9% decrease from the 2012-2016 average. Pole and line catch (12,219 mt) was a 48% decrease</w:t>
      </w:r>
      <w:r w:rsidRPr="001C4A6B">
        <w:rPr>
          <w:rFonts w:cs="Times New Roman"/>
          <w:bCs/>
          <w:lang w:eastAsia="ja-JP"/>
        </w:rPr>
        <w:t xml:space="preserve"> </w:t>
      </w:r>
      <w:r w:rsidRPr="001C4A6B">
        <w:rPr>
          <w:rFonts w:cs="Times New Roman"/>
          <w:bCs/>
        </w:rPr>
        <w:t>from 2016 and a 56% decrease from the average 2012-2016 catch.</w:t>
      </w:r>
      <w:r w:rsidRPr="001C4A6B">
        <w:rPr>
          <w:rFonts w:cs="Times New Roman"/>
          <w:bCs/>
          <w:lang w:eastAsia="ja-JP"/>
        </w:rPr>
        <w:t xml:space="preserve"> </w:t>
      </w:r>
      <w:r w:rsidRPr="001C4A6B">
        <w:rPr>
          <w:rFonts w:cs="Times New Roman"/>
          <w:bCs/>
        </w:rPr>
        <w:t>Catch by other gear (102,993 mt) was a 28% decrease from 2016</w:t>
      </w:r>
      <w:r w:rsidRPr="001C4A6B">
        <w:rPr>
          <w:rFonts w:cs="Times New Roman"/>
          <w:bCs/>
          <w:lang w:eastAsia="ja-JP"/>
        </w:rPr>
        <w:t xml:space="preserve"> </w:t>
      </w:r>
      <w:r w:rsidRPr="001C4A6B">
        <w:rPr>
          <w:rFonts w:cs="Times New Roman"/>
          <w:bCs/>
        </w:rPr>
        <w:t xml:space="preserve">and 17% decrease from the average catch in 2012-2016. </w:t>
      </w:r>
    </w:p>
    <w:p w14:paraId="1B053198" w14:textId="77777777" w:rsidR="003D217E" w:rsidRPr="001C4A6B" w:rsidRDefault="003D217E" w:rsidP="003D217E">
      <w:pPr>
        <w:pStyle w:val="WCPFC"/>
        <w:numPr>
          <w:ilvl w:val="0"/>
          <w:numId w:val="0"/>
        </w:numPr>
        <w:adjustRightInd w:val="0"/>
        <w:spacing w:after="0"/>
        <w:rPr>
          <w:rFonts w:cs="Times New Roman"/>
          <w:bCs/>
        </w:rPr>
      </w:pPr>
    </w:p>
    <w:p w14:paraId="314C6152" w14:textId="77777777" w:rsidR="003D217E" w:rsidRPr="001C4A6B" w:rsidRDefault="003D217E" w:rsidP="003D217E">
      <w:pPr>
        <w:pStyle w:val="WCPFC"/>
        <w:adjustRightInd w:val="0"/>
        <w:spacing w:after="0"/>
        <w:ind w:left="0" w:firstLine="0"/>
        <w:rPr>
          <w:rFonts w:cs="Times New Roman"/>
          <w:bCs/>
        </w:rPr>
      </w:pPr>
      <w:r w:rsidRPr="001C4A6B">
        <w:rPr>
          <w:rFonts w:cs="Times New Roman"/>
          <w:bCs/>
        </w:rPr>
        <w:t>SC14 noted that under recent fishery conditions, the yellowfin stock was initially</w:t>
      </w:r>
      <w:r w:rsidRPr="001C4A6B">
        <w:rPr>
          <w:rFonts w:cs="Times New Roman"/>
          <w:bCs/>
          <w:lang w:eastAsia="ja-JP"/>
        </w:rPr>
        <w:t xml:space="preserve"> </w:t>
      </w:r>
      <w:r w:rsidRPr="001C4A6B">
        <w:rPr>
          <w:rFonts w:cs="Times New Roman"/>
          <w:bCs/>
        </w:rPr>
        <w:t>projected to increase as recent estimated relatively high recruitments support adult stock biomass, and then decline slightly. Median</w:t>
      </w:r>
      <w:r w:rsidRPr="001C4A6B">
        <w:rPr>
          <w:rFonts w:cs="Times New Roman"/>
          <w:bCs/>
          <w:lang w:eastAsia="ja-JP"/>
        </w:rPr>
        <w:t xml:space="preserve"> </w:t>
      </w:r>
      <w:r w:rsidRPr="001C4A6B">
        <w:rPr>
          <w:rFonts w:cs="Times New Roman"/>
          <w:bCs/>
        </w:rPr>
        <w:t>F</w:t>
      </w:r>
      <w:r w:rsidRPr="001C4A6B">
        <w:rPr>
          <w:rFonts w:cs="Times New Roman"/>
          <w:bCs/>
          <w:vertAlign w:val="subscript"/>
        </w:rPr>
        <w:t>2019</w:t>
      </w:r>
      <w:r w:rsidRPr="001C4A6B">
        <w:rPr>
          <w:rFonts w:cs="Times New Roman"/>
          <w:bCs/>
        </w:rPr>
        <w:t>/F</w:t>
      </w:r>
      <w:r w:rsidRPr="001C4A6B">
        <w:rPr>
          <w:rFonts w:cs="Times New Roman"/>
          <w:bCs/>
          <w:vertAlign w:val="subscript"/>
        </w:rPr>
        <w:t>MSY</w:t>
      </w:r>
      <w:r w:rsidRPr="001C4A6B">
        <w:rPr>
          <w:rFonts w:cs="Times New Roman"/>
          <w:bCs/>
        </w:rPr>
        <w:t xml:space="preserve"> = 0.63; median SB</w:t>
      </w:r>
      <w:r w:rsidRPr="001C4A6B">
        <w:rPr>
          <w:rFonts w:cs="Times New Roman"/>
          <w:bCs/>
          <w:vertAlign w:val="subscript"/>
        </w:rPr>
        <w:t>2019</w:t>
      </w:r>
      <w:r w:rsidRPr="001C4A6B">
        <w:rPr>
          <w:rFonts w:cs="Times New Roman"/>
          <w:bCs/>
        </w:rPr>
        <w:t>/SB</w:t>
      </w:r>
      <w:r w:rsidRPr="001C4A6B">
        <w:rPr>
          <w:rFonts w:cs="Times New Roman"/>
          <w:bCs/>
          <w:vertAlign w:val="subscript"/>
        </w:rPr>
        <w:t>F=0</w:t>
      </w:r>
      <w:r w:rsidRPr="001C4A6B">
        <w:rPr>
          <w:rFonts w:cs="Times New Roman"/>
          <w:bCs/>
        </w:rPr>
        <w:t xml:space="preserve"> = 0.37; median</w:t>
      </w:r>
      <w:r w:rsidRPr="001C4A6B">
        <w:rPr>
          <w:rFonts w:cs="Times New Roman"/>
          <w:bCs/>
          <w:lang w:eastAsia="ja-JP"/>
        </w:rPr>
        <w:t xml:space="preserve"> </w:t>
      </w:r>
      <w:r w:rsidRPr="001C4A6B">
        <w:rPr>
          <w:rFonts w:cs="Times New Roman"/>
          <w:bCs/>
        </w:rPr>
        <w:t>SB</w:t>
      </w:r>
      <w:r w:rsidRPr="001C4A6B">
        <w:rPr>
          <w:rFonts w:cs="Times New Roman"/>
          <w:bCs/>
          <w:vertAlign w:val="subscript"/>
        </w:rPr>
        <w:t>2019</w:t>
      </w:r>
      <w:r w:rsidRPr="001C4A6B">
        <w:rPr>
          <w:rFonts w:cs="Times New Roman"/>
          <w:bCs/>
        </w:rPr>
        <w:t>/SB</w:t>
      </w:r>
      <w:r w:rsidRPr="001C4A6B">
        <w:rPr>
          <w:rFonts w:cs="Times New Roman"/>
          <w:bCs/>
          <w:vertAlign w:val="subscript"/>
        </w:rPr>
        <w:t>MSY</w:t>
      </w:r>
      <w:r w:rsidRPr="001C4A6B">
        <w:rPr>
          <w:rFonts w:cs="Times New Roman"/>
          <w:bCs/>
        </w:rPr>
        <w:t xml:space="preserve"> = 1.51. Risk that SB</w:t>
      </w:r>
      <w:r w:rsidRPr="001C4A6B">
        <w:rPr>
          <w:rFonts w:cs="Times New Roman"/>
          <w:bCs/>
          <w:vertAlign w:val="subscript"/>
        </w:rPr>
        <w:t>2019</w:t>
      </w:r>
      <w:r w:rsidRPr="001C4A6B">
        <w:rPr>
          <w:rFonts w:cs="Times New Roman"/>
          <w:bCs/>
        </w:rPr>
        <w:t xml:space="preserve"> &lt; LRP = 6%. </w:t>
      </w:r>
    </w:p>
    <w:p w14:paraId="5A3E5D1B" w14:textId="77777777" w:rsidR="003D217E" w:rsidRPr="004635E5" w:rsidRDefault="003D217E" w:rsidP="003D217E">
      <w:pPr>
        <w:pStyle w:val="SCa"/>
        <w:spacing w:after="0"/>
      </w:pPr>
    </w:p>
    <w:p w14:paraId="2586B83E" w14:textId="77777777" w:rsidR="003D217E" w:rsidRPr="004635E5" w:rsidRDefault="003D217E" w:rsidP="002F64C2">
      <w:pPr>
        <w:pStyle w:val="SCa"/>
        <w:tabs>
          <w:tab w:val="clear" w:pos="1080"/>
        </w:tabs>
        <w:spacing w:after="0"/>
        <w:ind w:left="0"/>
      </w:pPr>
      <w:r w:rsidRPr="004635E5">
        <w:t>b.</w:t>
      </w:r>
      <w:r w:rsidRPr="004635E5">
        <w:tab/>
        <w:t>Management advice and implications</w:t>
      </w:r>
    </w:p>
    <w:p w14:paraId="3C56D76C" w14:textId="77777777" w:rsidR="003D217E" w:rsidRPr="004635E5" w:rsidRDefault="003D217E" w:rsidP="003D217E">
      <w:pPr>
        <w:pStyle w:val="SCa"/>
        <w:spacing w:after="0"/>
      </w:pPr>
    </w:p>
    <w:p w14:paraId="6A932D36" w14:textId="77777777" w:rsidR="003D217E" w:rsidRPr="001C4A6B" w:rsidRDefault="003D217E" w:rsidP="003D217E">
      <w:pPr>
        <w:pStyle w:val="WCPFC"/>
        <w:adjustRightInd w:val="0"/>
        <w:spacing w:after="0"/>
        <w:ind w:left="0" w:firstLine="0"/>
        <w:rPr>
          <w:rStyle w:val="Hyperlink"/>
          <w:rFonts w:cs="Times New Roman"/>
          <w:color w:val="auto"/>
        </w:rPr>
      </w:pPr>
      <w:r w:rsidRPr="001C4A6B">
        <w:rPr>
          <w:rFonts w:cs="Times New Roman"/>
          <w:lang w:val="en-AU"/>
        </w:rPr>
        <w:t>SC14 noted that no stock assessment has been conducted since SC13. Therefore, the advice from SC13 should be maintained to achieve the objectives set in CMM 2017-01, pending a new assessment or other new information. For further information on the management advice and implications from SC13, please see</w:t>
      </w:r>
      <w:r w:rsidRPr="001C4A6B">
        <w:rPr>
          <w:rFonts w:cs="Times New Roman"/>
          <w:lang w:val="en-AU" w:eastAsia="ko-KR"/>
        </w:rPr>
        <w:t xml:space="preserve"> </w:t>
      </w:r>
      <w:hyperlink r:id="rId24" w:history="1">
        <w:r w:rsidRPr="001C4A6B">
          <w:rPr>
            <w:rStyle w:val="Hyperlink"/>
            <w:rFonts w:cs="Times New Roman"/>
          </w:rPr>
          <w:t>https://www.wcpfc.int/node/29904</w:t>
        </w:r>
      </w:hyperlink>
      <w:r w:rsidRPr="001C4A6B">
        <w:rPr>
          <w:rStyle w:val="Hyperlink"/>
          <w:rFonts w:cs="Times New Roman"/>
          <w:lang w:val="en-AU" w:eastAsia="ko-KR"/>
        </w:rPr>
        <w:t xml:space="preserve"> </w:t>
      </w:r>
    </w:p>
    <w:p w14:paraId="2B3A6ECC" w14:textId="77777777" w:rsidR="003D217E" w:rsidRDefault="003D217E" w:rsidP="003D217E">
      <w:pPr>
        <w:pStyle w:val="SCa"/>
        <w:spacing w:after="0"/>
      </w:pPr>
    </w:p>
    <w:p w14:paraId="7BB95D73" w14:textId="77777777" w:rsidR="003D217E" w:rsidRPr="004635E5" w:rsidRDefault="003D217E" w:rsidP="002F64C2">
      <w:pPr>
        <w:pStyle w:val="SCa"/>
        <w:tabs>
          <w:tab w:val="clear" w:pos="1080"/>
        </w:tabs>
        <w:spacing w:after="0"/>
        <w:ind w:left="0"/>
      </w:pPr>
      <w:r w:rsidRPr="004635E5">
        <w:t>c.</w:t>
      </w:r>
      <w:r w:rsidRPr="004635E5">
        <w:tab/>
        <w:t>Research recommendations</w:t>
      </w:r>
    </w:p>
    <w:p w14:paraId="114300B6" w14:textId="77777777" w:rsidR="003D217E" w:rsidRPr="004635E5" w:rsidRDefault="003D217E" w:rsidP="003D217E">
      <w:pPr>
        <w:pStyle w:val="SCa"/>
        <w:spacing w:after="0"/>
      </w:pPr>
    </w:p>
    <w:p w14:paraId="527F0A60" w14:textId="77777777" w:rsidR="003D217E" w:rsidRPr="001C4A6B" w:rsidRDefault="003D217E" w:rsidP="003D217E">
      <w:pPr>
        <w:pStyle w:val="WCPFC"/>
        <w:adjustRightInd w:val="0"/>
        <w:spacing w:after="0"/>
        <w:ind w:left="0" w:firstLine="0"/>
        <w:rPr>
          <w:rFonts w:cs="Times New Roman"/>
          <w:lang w:val="en-AU"/>
        </w:rPr>
      </w:pPr>
      <w:r w:rsidRPr="001C4A6B">
        <w:rPr>
          <w:rFonts w:cs="Times New Roman"/>
          <w:lang w:val="en-AU"/>
        </w:rPr>
        <w:t xml:space="preserve">SC14 reviewed the work on age and growth of yellowfin tuna presented in SC14-SA-WP-13 and noted that the final results of this projected will be presented to SC15. SC14 encouraged analysis of the same otoliths by different laboratories, to build confidence in ageing estimates through inter laboratory daily-annual age workshop. </w:t>
      </w:r>
    </w:p>
    <w:p w14:paraId="6EBDF0EB" w14:textId="77777777" w:rsidR="003D217E" w:rsidRPr="004635E5" w:rsidRDefault="003D217E" w:rsidP="003D217E">
      <w:pPr>
        <w:pStyle w:val="WCPFC"/>
        <w:numPr>
          <w:ilvl w:val="0"/>
          <w:numId w:val="0"/>
        </w:numPr>
        <w:adjustRightInd w:val="0"/>
        <w:spacing w:after="0"/>
        <w:rPr>
          <w:rFonts w:cs="Times New Roman"/>
          <w:b/>
          <w:bCs/>
          <w:lang w:val="en-AU"/>
        </w:rPr>
      </w:pPr>
    </w:p>
    <w:p w14:paraId="07D064BB" w14:textId="77777777" w:rsidR="003D217E" w:rsidRPr="001C4A6B" w:rsidRDefault="003D217E" w:rsidP="003D217E">
      <w:pPr>
        <w:pStyle w:val="SC3"/>
        <w:spacing w:after="0"/>
        <w:rPr>
          <w:rFonts w:eastAsia="Batang"/>
          <w:sz w:val="24"/>
          <w:szCs w:val="24"/>
          <w:lang w:eastAsia="ko-KR"/>
        </w:rPr>
      </w:pPr>
      <w:r w:rsidRPr="001C4A6B">
        <w:rPr>
          <w:rFonts w:eastAsia="Batang"/>
          <w:sz w:val="24"/>
          <w:szCs w:val="24"/>
          <w:lang w:eastAsia="ko-KR"/>
        </w:rPr>
        <w:t>WCPO skipjack tuna (</w:t>
      </w:r>
      <w:r w:rsidRPr="001C4A6B">
        <w:rPr>
          <w:rFonts w:eastAsia="Batang"/>
          <w:i/>
          <w:sz w:val="24"/>
          <w:szCs w:val="24"/>
          <w:lang w:eastAsia="ko-KR"/>
        </w:rPr>
        <w:t>Katsuwonus pelamis</w:t>
      </w:r>
      <w:r w:rsidRPr="001C4A6B">
        <w:rPr>
          <w:rFonts w:eastAsia="Batang"/>
          <w:sz w:val="24"/>
          <w:szCs w:val="24"/>
          <w:lang w:eastAsia="ko-KR"/>
        </w:rPr>
        <w:t>)</w:t>
      </w:r>
    </w:p>
    <w:p w14:paraId="60B50910" w14:textId="77777777" w:rsidR="003D217E" w:rsidRPr="004635E5" w:rsidRDefault="003D217E" w:rsidP="003D217E">
      <w:pPr>
        <w:pStyle w:val="SC3"/>
        <w:numPr>
          <w:ilvl w:val="0"/>
          <w:numId w:val="0"/>
        </w:numPr>
        <w:spacing w:after="0"/>
        <w:ind w:left="1440"/>
        <w:rPr>
          <w:rFonts w:eastAsia="Batang"/>
          <w:lang w:eastAsia="ko-KR"/>
        </w:rPr>
      </w:pPr>
    </w:p>
    <w:p w14:paraId="1C298E52" w14:textId="77777777" w:rsidR="003D217E" w:rsidRPr="004635E5" w:rsidRDefault="003D217E" w:rsidP="002F64C2">
      <w:pPr>
        <w:pStyle w:val="SCa"/>
        <w:tabs>
          <w:tab w:val="clear" w:pos="1080"/>
        </w:tabs>
        <w:spacing w:after="0"/>
        <w:ind w:left="0"/>
      </w:pPr>
      <w:r w:rsidRPr="004635E5">
        <w:t>a.</w:t>
      </w:r>
      <w:r w:rsidRPr="004635E5">
        <w:tab/>
        <w:t>Stock status and trends</w:t>
      </w:r>
    </w:p>
    <w:p w14:paraId="01459BA9" w14:textId="77777777" w:rsidR="003D217E" w:rsidRPr="004635E5" w:rsidRDefault="003D217E" w:rsidP="003D217E">
      <w:pPr>
        <w:pStyle w:val="SCa"/>
        <w:spacing w:after="0"/>
      </w:pPr>
    </w:p>
    <w:p w14:paraId="66715AE3"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 xml:space="preserve">SC14 noted that the </w:t>
      </w:r>
      <w:r w:rsidRPr="001C4A6B">
        <w:rPr>
          <w:bCs/>
          <w:sz w:val="22"/>
          <w:szCs w:val="22"/>
          <w:lang w:val="en-AU"/>
        </w:rPr>
        <w:t>total catch in 2017 was 1,624,162 mt, a 9% decrease from 2016</w:t>
      </w:r>
      <w:r w:rsidRPr="001C4A6B">
        <w:rPr>
          <w:bCs/>
          <w:sz w:val="22"/>
          <w:szCs w:val="22"/>
          <w:lang w:val="en-AU" w:eastAsia="ja-JP"/>
        </w:rPr>
        <w:t xml:space="preserve"> </w:t>
      </w:r>
      <w:r w:rsidRPr="001C4A6B">
        <w:rPr>
          <w:bCs/>
          <w:sz w:val="22"/>
          <w:szCs w:val="22"/>
          <w:lang w:val="en-AU"/>
        </w:rPr>
        <w:t xml:space="preserve">and comparable to the average from 2012-2016. </w:t>
      </w:r>
    </w:p>
    <w:p w14:paraId="25B8B506" w14:textId="77777777" w:rsidR="003D217E" w:rsidRPr="001C4A6B" w:rsidRDefault="003D217E" w:rsidP="003D217E">
      <w:pPr>
        <w:autoSpaceDE w:val="0"/>
        <w:autoSpaceDN w:val="0"/>
        <w:adjustRightInd w:val="0"/>
        <w:snapToGrid w:val="0"/>
        <w:jc w:val="both"/>
        <w:rPr>
          <w:bCs/>
          <w:sz w:val="22"/>
          <w:szCs w:val="22"/>
        </w:rPr>
      </w:pPr>
    </w:p>
    <w:p w14:paraId="3A055E1A"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lang w:val="en-AU"/>
        </w:rPr>
        <w:t>Purse seine</w:t>
      </w:r>
      <w:r w:rsidRPr="001C4A6B">
        <w:rPr>
          <w:bCs/>
          <w:sz w:val="22"/>
          <w:szCs w:val="22"/>
          <w:lang w:val="en-AU" w:eastAsia="ja-JP"/>
        </w:rPr>
        <w:t xml:space="preserve"> </w:t>
      </w:r>
      <w:r w:rsidRPr="001C4A6B">
        <w:rPr>
          <w:bCs/>
          <w:sz w:val="22"/>
          <w:szCs w:val="22"/>
          <w:lang w:val="en-AU"/>
        </w:rPr>
        <w:t>catch in 2017 (1,280,311 mt) was a 7% decrease from 2016 and a</w:t>
      </w:r>
      <w:r w:rsidRPr="001C4A6B">
        <w:rPr>
          <w:bCs/>
          <w:sz w:val="22"/>
          <w:szCs w:val="22"/>
          <w:lang w:val="en-AU" w:eastAsia="ja-JP"/>
        </w:rPr>
        <w:t xml:space="preserve"> </w:t>
      </w:r>
      <w:r w:rsidRPr="001C4A6B">
        <w:rPr>
          <w:bCs/>
          <w:sz w:val="22"/>
          <w:szCs w:val="22"/>
          <w:lang w:val="en-AU"/>
        </w:rPr>
        <w:t>12% decrease from the 2012-2016 average. Pole and line catch</w:t>
      </w:r>
      <w:r w:rsidRPr="001C4A6B">
        <w:rPr>
          <w:bCs/>
          <w:sz w:val="22"/>
          <w:szCs w:val="22"/>
          <w:lang w:val="en-AU" w:eastAsia="ja-JP"/>
        </w:rPr>
        <w:t xml:space="preserve"> </w:t>
      </w:r>
      <w:r w:rsidRPr="001C4A6B">
        <w:rPr>
          <w:bCs/>
          <w:sz w:val="22"/>
          <w:szCs w:val="22"/>
          <w:lang w:val="en-AU"/>
        </w:rPr>
        <w:t>(123,132 mt) was a 21% decrease from 2016 and a 23% decrease</w:t>
      </w:r>
      <w:r w:rsidRPr="001C4A6B">
        <w:rPr>
          <w:bCs/>
          <w:sz w:val="22"/>
          <w:szCs w:val="22"/>
          <w:lang w:val="en-AU" w:eastAsia="ja-JP"/>
        </w:rPr>
        <w:t xml:space="preserve"> </w:t>
      </w:r>
      <w:r w:rsidRPr="001C4A6B">
        <w:rPr>
          <w:bCs/>
          <w:sz w:val="22"/>
          <w:szCs w:val="22"/>
          <w:lang w:val="en-AU"/>
        </w:rPr>
        <w:t>from the average 2012-2016 catch. Catch by other gear (218,175 mt)</w:t>
      </w:r>
      <w:r w:rsidRPr="001C4A6B">
        <w:rPr>
          <w:bCs/>
          <w:sz w:val="22"/>
          <w:szCs w:val="22"/>
          <w:lang w:val="en-AU" w:eastAsia="ja-JP"/>
        </w:rPr>
        <w:t xml:space="preserve"> </w:t>
      </w:r>
      <w:r w:rsidRPr="001C4A6B">
        <w:rPr>
          <w:bCs/>
          <w:sz w:val="22"/>
          <w:szCs w:val="22"/>
          <w:lang w:val="en-AU"/>
        </w:rPr>
        <w:t>was a 13% decrease from 2016 and 1% decrease from the average</w:t>
      </w:r>
      <w:r w:rsidRPr="001C4A6B">
        <w:rPr>
          <w:bCs/>
          <w:sz w:val="22"/>
          <w:szCs w:val="22"/>
          <w:lang w:val="en-AU" w:eastAsia="ja-JP"/>
        </w:rPr>
        <w:t xml:space="preserve"> </w:t>
      </w:r>
      <w:r w:rsidRPr="001C4A6B">
        <w:rPr>
          <w:bCs/>
          <w:sz w:val="22"/>
          <w:szCs w:val="22"/>
          <w:lang w:val="en-AU"/>
        </w:rPr>
        <w:t xml:space="preserve">catch in 2012-2016. </w:t>
      </w:r>
    </w:p>
    <w:p w14:paraId="7AF7EAC0" w14:textId="77777777" w:rsidR="003D217E" w:rsidRPr="001C4A6B" w:rsidRDefault="003D217E" w:rsidP="003D217E">
      <w:pPr>
        <w:autoSpaceDE w:val="0"/>
        <w:autoSpaceDN w:val="0"/>
        <w:adjustRightInd w:val="0"/>
        <w:snapToGrid w:val="0"/>
        <w:jc w:val="both"/>
        <w:rPr>
          <w:bCs/>
          <w:sz w:val="22"/>
          <w:szCs w:val="22"/>
        </w:rPr>
      </w:pPr>
    </w:p>
    <w:p w14:paraId="13F5C9C1"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lang w:val="en-AU"/>
        </w:rPr>
        <w:t xml:space="preserve">SC14 noted that under recent fishery conditions (2017 catch level for </w:t>
      </w:r>
      <w:r w:rsidRPr="001C4A6B">
        <w:rPr>
          <w:rFonts w:eastAsiaTheme="minorEastAsia" w:hint="eastAsia"/>
          <w:bCs/>
          <w:sz w:val="22"/>
          <w:szCs w:val="22"/>
          <w:lang w:val="en-AU" w:eastAsia="ko-KR"/>
        </w:rPr>
        <w:t>longline</w:t>
      </w:r>
      <w:r w:rsidRPr="001C4A6B">
        <w:rPr>
          <w:bCs/>
          <w:sz w:val="22"/>
          <w:szCs w:val="22"/>
          <w:lang w:val="en-AU"/>
        </w:rPr>
        <w:t xml:space="preserve"> and other fisheries and effort level for </w:t>
      </w:r>
      <w:r w:rsidRPr="001C4A6B">
        <w:rPr>
          <w:bCs/>
          <w:sz w:val="22"/>
          <w:szCs w:val="22"/>
          <w:lang w:val="en-AU" w:eastAsia="ko-KR"/>
        </w:rPr>
        <w:t>purse seine</w:t>
      </w:r>
      <w:r w:rsidRPr="001C4A6B">
        <w:rPr>
          <w:bCs/>
          <w:sz w:val="22"/>
          <w:szCs w:val="22"/>
          <w:lang w:val="en-AU"/>
        </w:rPr>
        <w:t>), the skipjack stock was initially projected to decrease for a short period as recent relatively high recruitments move out of the stock. Median F</w:t>
      </w:r>
      <w:r w:rsidRPr="001C4A6B">
        <w:rPr>
          <w:bCs/>
          <w:sz w:val="22"/>
          <w:szCs w:val="22"/>
          <w:vertAlign w:val="subscript"/>
          <w:lang w:val="en-AU"/>
        </w:rPr>
        <w:t>2019</w:t>
      </w:r>
      <w:r w:rsidRPr="001C4A6B">
        <w:rPr>
          <w:bCs/>
          <w:sz w:val="22"/>
          <w:szCs w:val="22"/>
          <w:lang w:val="en-AU"/>
        </w:rPr>
        <w:t>/F</w:t>
      </w:r>
      <w:r w:rsidRPr="001C4A6B">
        <w:rPr>
          <w:bCs/>
          <w:sz w:val="22"/>
          <w:szCs w:val="22"/>
          <w:vertAlign w:val="subscript"/>
          <w:lang w:val="en-AU"/>
        </w:rPr>
        <w:t>MSY</w:t>
      </w:r>
      <w:r w:rsidRPr="001C4A6B">
        <w:rPr>
          <w:bCs/>
          <w:sz w:val="22"/>
          <w:szCs w:val="22"/>
          <w:lang w:val="en-AU"/>
        </w:rPr>
        <w:t xml:space="preserve"> = 0.47; median</w:t>
      </w:r>
      <w:r w:rsidRPr="001C4A6B">
        <w:rPr>
          <w:bCs/>
          <w:sz w:val="22"/>
          <w:szCs w:val="22"/>
          <w:lang w:val="en-AU" w:eastAsia="ja-JP"/>
        </w:rPr>
        <w:t xml:space="preserve"> </w:t>
      </w:r>
      <w:r w:rsidRPr="001C4A6B">
        <w:rPr>
          <w:bCs/>
          <w:sz w:val="22"/>
          <w:szCs w:val="22"/>
          <w:lang w:val="en-AU"/>
        </w:rPr>
        <w:t>SB</w:t>
      </w:r>
      <w:r w:rsidRPr="001C4A6B">
        <w:rPr>
          <w:bCs/>
          <w:sz w:val="22"/>
          <w:szCs w:val="22"/>
          <w:vertAlign w:val="subscript"/>
          <w:lang w:val="en-AU"/>
        </w:rPr>
        <w:t>2019</w:t>
      </w:r>
      <w:r w:rsidRPr="001C4A6B">
        <w:rPr>
          <w:bCs/>
          <w:sz w:val="22"/>
          <w:szCs w:val="22"/>
          <w:lang w:val="en-AU"/>
        </w:rPr>
        <w:t>/SB</w:t>
      </w:r>
      <w:r w:rsidRPr="001C4A6B">
        <w:rPr>
          <w:bCs/>
          <w:sz w:val="22"/>
          <w:szCs w:val="22"/>
          <w:vertAlign w:val="subscript"/>
          <w:lang w:val="en-AU"/>
        </w:rPr>
        <w:t>F=0</w:t>
      </w:r>
      <w:r w:rsidRPr="001C4A6B">
        <w:rPr>
          <w:bCs/>
          <w:sz w:val="22"/>
          <w:szCs w:val="22"/>
          <w:lang w:val="en-AU"/>
        </w:rPr>
        <w:t xml:space="preserve"> = 0.45; median SB</w:t>
      </w:r>
      <w:r w:rsidRPr="001C4A6B">
        <w:rPr>
          <w:bCs/>
          <w:sz w:val="22"/>
          <w:szCs w:val="22"/>
          <w:vertAlign w:val="subscript"/>
          <w:lang w:val="en-AU"/>
        </w:rPr>
        <w:t>2019</w:t>
      </w:r>
      <w:r w:rsidRPr="001C4A6B">
        <w:rPr>
          <w:bCs/>
          <w:sz w:val="22"/>
          <w:szCs w:val="22"/>
          <w:lang w:val="en-AU"/>
        </w:rPr>
        <w:t>/SB</w:t>
      </w:r>
      <w:r w:rsidRPr="001C4A6B">
        <w:rPr>
          <w:bCs/>
          <w:sz w:val="22"/>
          <w:szCs w:val="22"/>
          <w:vertAlign w:val="subscript"/>
          <w:lang w:val="en-AU"/>
        </w:rPr>
        <w:t>MSY</w:t>
      </w:r>
      <w:r w:rsidRPr="001C4A6B">
        <w:rPr>
          <w:bCs/>
          <w:sz w:val="22"/>
          <w:szCs w:val="22"/>
          <w:lang w:val="en-AU"/>
        </w:rPr>
        <w:t xml:space="preserve"> = 1.67. In the longer term, assuming long term average recruitment, modest increases in the stock were projected. </w:t>
      </w:r>
    </w:p>
    <w:p w14:paraId="5749AA48" w14:textId="77777777" w:rsidR="003D217E" w:rsidRPr="004635E5" w:rsidRDefault="003D217E" w:rsidP="003D217E">
      <w:pPr>
        <w:autoSpaceDE w:val="0"/>
        <w:autoSpaceDN w:val="0"/>
        <w:adjustRightInd w:val="0"/>
        <w:snapToGrid w:val="0"/>
        <w:jc w:val="both"/>
        <w:rPr>
          <w:b/>
          <w:sz w:val="22"/>
          <w:szCs w:val="22"/>
        </w:rPr>
      </w:pPr>
    </w:p>
    <w:p w14:paraId="40167CB3" w14:textId="77777777" w:rsidR="003D217E" w:rsidRPr="004635E5" w:rsidRDefault="003D217E" w:rsidP="002F64C2">
      <w:pPr>
        <w:pStyle w:val="SCa"/>
        <w:tabs>
          <w:tab w:val="clear" w:pos="1080"/>
        </w:tabs>
        <w:spacing w:after="0"/>
        <w:ind w:left="0"/>
      </w:pPr>
      <w:r w:rsidRPr="004635E5">
        <w:t>b.</w:t>
      </w:r>
      <w:r w:rsidRPr="004635E5">
        <w:tab/>
        <w:t>Management advice and implications</w:t>
      </w:r>
    </w:p>
    <w:p w14:paraId="39BAB220" w14:textId="77777777" w:rsidR="003D217E" w:rsidRPr="004635E5" w:rsidRDefault="003D217E" w:rsidP="003D217E">
      <w:pPr>
        <w:pStyle w:val="SCa"/>
        <w:spacing w:after="0"/>
      </w:pPr>
    </w:p>
    <w:p w14:paraId="4A5039F6"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lang w:val="en-AU"/>
        </w:rPr>
      </w:pPr>
      <w:r w:rsidRPr="001C4A6B">
        <w:rPr>
          <w:bCs/>
          <w:sz w:val="22"/>
          <w:szCs w:val="22"/>
          <w:lang w:val="en-AU"/>
        </w:rPr>
        <w:t>SC14 noted that no stock assessment has been conducted since SC12. Therefore, the advice from SC12 should be maintained to achieve the objectives set in CMM</w:t>
      </w:r>
      <w:r w:rsidRPr="001C4A6B">
        <w:rPr>
          <w:rFonts w:eastAsiaTheme="minorEastAsia" w:hint="eastAsia"/>
          <w:bCs/>
          <w:sz w:val="22"/>
          <w:szCs w:val="22"/>
          <w:lang w:val="en-AU" w:eastAsia="ko-KR"/>
        </w:rPr>
        <w:t xml:space="preserve"> </w:t>
      </w:r>
      <w:r w:rsidRPr="001C4A6B">
        <w:rPr>
          <w:bCs/>
          <w:sz w:val="22"/>
          <w:szCs w:val="22"/>
          <w:lang w:val="en-AU"/>
        </w:rPr>
        <w:t>2017-01, pending a new assessment or other new information. For further information on the management advice and implications from SC12, please see</w:t>
      </w:r>
      <w:r w:rsidRPr="001C4A6B">
        <w:rPr>
          <w:bCs/>
          <w:sz w:val="22"/>
          <w:szCs w:val="22"/>
          <w:lang w:val="en-AU" w:eastAsia="ko-KR"/>
        </w:rPr>
        <w:t xml:space="preserve"> </w:t>
      </w:r>
      <w:hyperlink r:id="rId25" w:history="1">
        <w:r w:rsidRPr="001C4A6B">
          <w:rPr>
            <w:rStyle w:val="Hyperlink"/>
            <w:bCs/>
            <w:sz w:val="22"/>
            <w:szCs w:val="22"/>
            <w:lang w:val="en-AU" w:eastAsia="ko-KR"/>
          </w:rPr>
          <w:t>https://www.wcpfc.int/node/27769</w:t>
        </w:r>
      </w:hyperlink>
      <w:r w:rsidRPr="001C4A6B">
        <w:rPr>
          <w:rStyle w:val="Hyperlink"/>
          <w:bCs/>
          <w:sz w:val="22"/>
          <w:szCs w:val="22"/>
          <w:lang w:val="en-AU" w:eastAsia="ko-KR"/>
        </w:rPr>
        <w:t xml:space="preserve"> </w:t>
      </w:r>
    </w:p>
    <w:p w14:paraId="02CC5F06" w14:textId="77777777" w:rsidR="003D217E" w:rsidRPr="004635E5" w:rsidRDefault="003D217E" w:rsidP="003D217E">
      <w:pPr>
        <w:tabs>
          <w:tab w:val="left" w:pos="840"/>
        </w:tabs>
        <w:adjustRightInd w:val="0"/>
        <w:snapToGrid w:val="0"/>
        <w:ind w:right="114"/>
        <w:rPr>
          <w:b/>
          <w:sz w:val="22"/>
          <w:szCs w:val="22"/>
          <w:lang w:val="en-AU"/>
        </w:rPr>
      </w:pPr>
    </w:p>
    <w:p w14:paraId="756615AF" w14:textId="77777777" w:rsidR="003D217E" w:rsidRPr="004635E5" w:rsidRDefault="003D217E" w:rsidP="002F64C2">
      <w:pPr>
        <w:pStyle w:val="SCa"/>
        <w:tabs>
          <w:tab w:val="clear" w:pos="1080"/>
        </w:tabs>
        <w:spacing w:after="0"/>
        <w:ind w:left="0"/>
      </w:pPr>
      <w:r w:rsidRPr="004635E5">
        <w:t>c.</w:t>
      </w:r>
      <w:r w:rsidRPr="004635E5">
        <w:tab/>
        <w:t>Research Recommendations</w:t>
      </w:r>
    </w:p>
    <w:p w14:paraId="685AD6BB" w14:textId="77777777" w:rsidR="003D217E" w:rsidRPr="004635E5" w:rsidRDefault="003D217E" w:rsidP="003D217E">
      <w:pPr>
        <w:pStyle w:val="SCa"/>
        <w:spacing w:after="0"/>
      </w:pPr>
    </w:p>
    <w:p w14:paraId="7FECB3F3"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 xml:space="preserve">SC14 discussed a proposal for an alternative regional structure to be considered in the next skipjack stock assessment (SC14-SA-WP-04) and recommended that the pre-assessment workshop consider how this proposal might be included in the next assessment. </w:t>
      </w:r>
    </w:p>
    <w:p w14:paraId="36C06052" w14:textId="77777777" w:rsidR="003D217E" w:rsidRPr="001C4A6B" w:rsidRDefault="003D217E" w:rsidP="003D217E">
      <w:pPr>
        <w:autoSpaceDE w:val="0"/>
        <w:autoSpaceDN w:val="0"/>
        <w:adjustRightInd w:val="0"/>
        <w:snapToGrid w:val="0"/>
        <w:jc w:val="both"/>
        <w:rPr>
          <w:bCs/>
          <w:sz w:val="22"/>
          <w:szCs w:val="22"/>
        </w:rPr>
      </w:pPr>
    </w:p>
    <w:p w14:paraId="0D3C0B20"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lastRenderedPageBreak/>
        <w:t>SC14 supports an ongoing tagging program for skipjack tuna to ensure a reliable indicator of skipjack tuna abundance in the stock assessment</w:t>
      </w:r>
      <w:r w:rsidRPr="001C4A6B">
        <w:rPr>
          <w:bCs/>
          <w:sz w:val="22"/>
          <w:szCs w:val="22"/>
          <w:lang w:eastAsia="ja-JP"/>
        </w:rPr>
        <w:t xml:space="preserve">. </w:t>
      </w:r>
    </w:p>
    <w:p w14:paraId="53837C3A" w14:textId="77777777" w:rsidR="003D217E" w:rsidRPr="001C4A6B" w:rsidRDefault="003D217E" w:rsidP="003D217E">
      <w:pPr>
        <w:autoSpaceDE w:val="0"/>
        <w:autoSpaceDN w:val="0"/>
        <w:adjustRightInd w:val="0"/>
        <w:snapToGrid w:val="0"/>
        <w:jc w:val="both"/>
        <w:rPr>
          <w:bCs/>
          <w:sz w:val="22"/>
          <w:szCs w:val="22"/>
        </w:rPr>
      </w:pPr>
    </w:p>
    <w:p w14:paraId="7641A059"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lang w:eastAsia="ja-JP"/>
        </w:rPr>
        <w:t xml:space="preserve">SC14 recommended that the Scientific Services Provider continue research on standardizing purse seine CPUE for use in the assessment. </w:t>
      </w:r>
    </w:p>
    <w:p w14:paraId="4EB16A05" w14:textId="77777777" w:rsidR="003D217E" w:rsidRPr="004635E5" w:rsidRDefault="003D217E" w:rsidP="003D217E">
      <w:pPr>
        <w:autoSpaceDE w:val="0"/>
        <w:autoSpaceDN w:val="0"/>
        <w:adjustRightInd w:val="0"/>
        <w:snapToGrid w:val="0"/>
        <w:jc w:val="both"/>
        <w:rPr>
          <w:b/>
          <w:sz w:val="22"/>
          <w:szCs w:val="22"/>
        </w:rPr>
      </w:pPr>
    </w:p>
    <w:p w14:paraId="073D2D0B" w14:textId="77777777" w:rsidR="003D217E" w:rsidRPr="001C4A6B" w:rsidRDefault="003D217E" w:rsidP="003D217E">
      <w:pPr>
        <w:pStyle w:val="SC3"/>
        <w:spacing w:after="0"/>
        <w:rPr>
          <w:rFonts w:eastAsia="Batang"/>
          <w:sz w:val="24"/>
          <w:szCs w:val="24"/>
          <w:lang w:eastAsia="ko-KR"/>
        </w:rPr>
      </w:pPr>
      <w:r w:rsidRPr="001C4A6B">
        <w:rPr>
          <w:rFonts w:eastAsia="Batang"/>
          <w:sz w:val="24"/>
          <w:szCs w:val="24"/>
          <w:lang w:eastAsia="ko-KR"/>
        </w:rPr>
        <w:t>South Pacific albacore tuna (</w:t>
      </w:r>
      <w:r w:rsidRPr="001C4A6B">
        <w:rPr>
          <w:rFonts w:eastAsia="Batang"/>
          <w:i/>
          <w:sz w:val="24"/>
          <w:szCs w:val="24"/>
          <w:lang w:eastAsia="ko-KR"/>
        </w:rPr>
        <w:t>Thunnus alalunga</w:t>
      </w:r>
      <w:r w:rsidRPr="001C4A6B">
        <w:rPr>
          <w:rFonts w:eastAsia="Batang"/>
          <w:sz w:val="24"/>
          <w:szCs w:val="24"/>
          <w:lang w:eastAsia="ko-KR"/>
        </w:rPr>
        <w:t>)</w:t>
      </w:r>
    </w:p>
    <w:p w14:paraId="50F5AFB3" w14:textId="77777777" w:rsidR="003D217E" w:rsidRPr="004635E5" w:rsidRDefault="003D217E" w:rsidP="003D217E">
      <w:pPr>
        <w:pStyle w:val="SC3"/>
        <w:numPr>
          <w:ilvl w:val="0"/>
          <w:numId w:val="0"/>
        </w:numPr>
        <w:spacing w:after="0"/>
        <w:ind w:left="1080"/>
        <w:rPr>
          <w:rFonts w:eastAsia="Batang"/>
          <w:lang w:eastAsia="ko-KR"/>
        </w:rPr>
      </w:pPr>
    </w:p>
    <w:p w14:paraId="7C624269" w14:textId="77777777" w:rsidR="003D217E" w:rsidRPr="001C4A6B" w:rsidRDefault="003D217E" w:rsidP="00580EA4">
      <w:pPr>
        <w:numPr>
          <w:ilvl w:val="0"/>
          <w:numId w:val="18"/>
        </w:numPr>
        <w:autoSpaceDE w:val="0"/>
        <w:autoSpaceDN w:val="0"/>
        <w:adjustRightInd w:val="0"/>
        <w:snapToGrid w:val="0"/>
        <w:ind w:left="0" w:firstLine="0"/>
        <w:jc w:val="both"/>
        <w:rPr>
          <w:rFonts w:eastAsia="Batang"/>
          <w:bCs/>
          <w:sz w:val="22"/>
          <w:szCs w:val="22"/>
          <w:lang w:val="en-NZ" w:eastAsia="ko-KR"/>
        </w:rPr>
      </w:pPr>
      <w:r w:rsidRPr="001C4A6B">
        <w:rPr>
          <w:rFonts w:eastAsiaTheme="minorEastAsia"/>
          <w:bCs/>
          <w:sz w:val="22"/>
          <w:szCs w:val="22"/>
          <w:lang w:eastAsia="ko-KR"/>
        </w:rPr>
        <w:t xml:space="preserve">SC14 accepted as </w:t>
      </w:r>
      <w:r w:rsidRPr="001C4A6B">
        <w:rPr>
          <w:rFonts w:eastAsiaTheme="minorEastAsia"/>
          <w:bCs/>
          <w:sz w:val="22"/>
          <w:szCs w:val="22"/>
          <w:lang w:val="en-NZ" w:eastAsia="ko-KR"/>
        </w:rPr>
        <w:t xml:space="preserve">SC14-SA-WP-05 as providing the best available scientific information </w:t>
      </w:r>
      <w:r w:rsidRPr="001C4A6B">
        <w:rPr>
          <w:rFonts w:eastAsiaTheme="minorEastAsia"/>
          <w:bCs/>
          <w:sz w:val="22"/>
          <w:szCs w:val="22"/>
          <w:lang w:eastAsia="ko-KR"/>
        </w:rPr>
        <w:t xml:space="preserve">for the purpose of stock assessment determination. </w:t>
      </w:r>
    </w:p>
    <w:p w14:paraId="609AB4EC" w14:textId="77777777" w:rsidR="003D217E" w:rsidRPr="004635E5" w:rsidRDefault="003D217E" w:rsidP="003D217E">
      <w:pPr>
        <w:autoSpaceDE w:val="0"/>
        <w:autoSpaceDN w:val="0"/>
        <w:adjustRightInd w:val="0"/>
        <w:snapToGrid w:val="0"/>
        <w:jc w:val="both"/>
        <w:rPr>
          <w:rFonts w:eastAsia="Batang"/>
          <w:b/>
          <w:sz w:val="22"/>
          <w:szCs w:val="22"/>
          <w:lang w:val="en-NZ" w:eastAsia="ko-KR"/>
        </w:rPr>
      </w:pPr>
    </w:p>
    <w:p w14:paraId="2A1BA876" w14:textId="77777777" w:rsidR="003D217E" w:rsidRPr="004635E5" w:rsidRDefault="003D217E" w:rsidP="002F64C2">
      <w:pPr>
        <w:pStyle w:val="ListParagraph"/>
        <w:numPr>
          <w:ilvl w:val="5"/>
          <w:numId w:val="18"/>
        </w:numPr>
        <w:adjustRightInd w:val="0"/>
        <w:snapToGrid w:val="0"/>
        <w:ind w:left="0" w:firstLine="0"/>
        <w:jc w:val="both"/>
        <w:rPr>
          <w:rFonts w:eastAsia="Batang"/>
          <w:b/>
          <w:sz w:val="22"/>
          <w:szCs w:val="22"/>
          <w:lang w:val="en-NZ" w:eastAsia="ko-KR"/>
        </w:rPr>
      </w:pPr>
      <w:r w:rsidRPr="004635E5">
        <w:rPr>
          <w:rFonts w:eastAsia="Batang"/>
          <w:b/>
          <w:sz w:val="22"/>
          <w:szCs w:val="22"/>
          <w:lang w:val="en-NZ" w:eastAsia="ko-KR"/>
        </w:rPr>
        <w:t>Stock status and trends</w:t>
      </w:r>
    </w:p>
    <w:p w14:paraId="021A91D6" w14:textId="77777777" w:rsidR="003D217E" w:rsidRPr="004635E5" w:rsidRDefault="003D217E" w:rsidP="003D217E">
      <w:pPr>
        <w:pStyle w:val="ListParagraph"/>
        <w:adjustRightInd w:val="0"/>
        <w:snapToGrid w:val="0"/>
        <w:jc w:val="both"/>
        <w:rPr>
          <w:rFonts w:eastAsia="Batang"/>
          <w:b/>
          <w:sz w:val="22"/>
          <w:szCs w:val="22"/>
          <w:lang w:val="en-NZ" w:eastAsia="ko-KR"/>
        </w:rPr>
      </w:pPr>
    </w:p>
    <w:p w14:paraId="50595F7C" w14:textId="77777777" w:rsidR="003D217E" w:rsidRPr="001C4A6B" w:rsidRDefault="003D217E" w:rsidP="00580EA4">
      <w:pPr>
        <w:numPr>
          <w:ilvl w:val="0"/>
          <w:numId w:val="18"/>
        </w:numPr>
        <w:autoSpaceDE w:val="0"/>
        <w:autoSpaceDN w:val="0"/>
        <w:adjustRightInd w:val="0"/>
        <w:snapToGrid w:val="0"/>
        <w:ind w:left="0" w:firstLine="0"/>
        <w:jc w:val="both"/>
        <w:rPr>
          <w:rFonts w:eastAsia="Batang"/>
          <w:bCs/>
          <w:sz w:val="22"/>
          <w:szCs w:val="22"/>
          <w:lang w:eastAsia="ko-KR"/>
        </w:rPr>
      </w:pPr>
      <w:r w:rsidRPr="001C4A6B">
        <w:rPr>
          <w:rFonts w:eastAsiaTheme="minorEastAsia"/>
          <w:bCs/>
          <w:sz w:val="22"/>
          <w:szCs w:val="22"/>
          <w:lang w:eastAsia="ko-KR"/>
        </w:rPr>
        <w:t>The</w:t>
      </w:r>
      <w:r w:rsidRPr="001C4A6B">
        <w:rPr>
          <w:rFonts w:eastAsia="Batang"/>
          <w:bCs/>
          <w:sz w:val="22"/>
          <w:szCs w:val="22"/>
          <w:lang w:eastAsia="ko-KR"/>
        </w:rPr>
        <w:t xml:space="preserve"> median, 10 percentile and 90 percentile values of recent (2013-2016) spawning biomass ratio (SB</w:t>
      </w:r>
      <w:r w:rsidRPr="001C4A6B">
        <w:rPr>
          <w:rFonts w:eastAsia="Batang"/>
          <w:bCs/>
          <w:sz w:val="22"/>
          <w:szCs w:val="22"/>
          <w:vertAlign w:val="subscript"/>
          <w:lang w:eastAsia="ko-KR"/>
        </w:rPr>
        <w:t>recent</w:t>
      </w:r>
      <w:r w:rsidRPr="001C4A6B">
        <w:rPr>
          <w:rFonts w:eastAsia="Batang"/>
          <w:bCs/>
          <w:sz w:val="22"/>
          <w:szCs w:val="22"/>
          <w:lang w:eastAsia="ko-KR"/>
        </w:rPr>
        <w:t>/ SB</w:t>
      </w:r>
      <w:r w:rsidRPr="001C4A6B">
        <w:rPr>
          <w:rFonts w:eastAsia="Batang"/>
          <w:bCs/>
          <w:sz w:val="22"/>
          <w:szCs w:val="22"/>
          <w:vertAlign w:val="subscript"/>
          <w:lang w:eastAsia="ko-KR"/>
        </w:rPr>
        <w:t>F=0</w:t>
      </w:r>
      <w:r w:rsidRPr="001C4A6B">
        <w:rPr>
          <w:rFonts w:eastAsia="Batang"/>
          <w:bCs/>
          <w:sz w:val="22"/>
          <w:szCs w:val="22"/>
          <w:lang w:eastAsia="ko-KR"/>
        </w:rPr>
        <w:t>) and recent fishing mortality in relation to F</w:t>
      </w:r>
      <w:r w:rsidRPr="001C4A6B">
        <w:rPr>
          <w:rFonts w:eastAsia="Batang"/>
          <w:bCs/>
          <w:sz w:val="22"/>
          <w:szCs w:val="22"/>
          <w:vertAlign w:val="subscript"/>
          <w:lang w:eastAsia="ko-KR"/>
        </w:rPr>
        <w:t>MSY</w:t>
      </w:r>
      <w:r w:rsidRPr="001C4A6B">
        <w:rPr>
          <w:rFonts w:eastAsia="Batang"/>
          <w:bCs/>
          <w:sz w:val="22"/>
          <w:szCs w:val="22"/>
          <w:lang w:eastAsia="ko-KR"/>
        </w:rPr>
        <w:t xml:space="preserve"> (F</w:t>
      </w:r>
      <w:r w:rsidRPr="001C4A6B">
        <w:rPr>
          <w:rFonts w:eastAsia="Batang"/>
          <w:bCs/>
          <w:sz w:val="22"/>
          <w:szCs w:val="22"/>
          <w:vertAlign w:val="subscript"/>
          <w:lang w:eastAsia="ko-KR"/>
        </w:rPr>
        <w:t>recent</w:t>
      </w:r>
      <w:r w:rsidRPr="001C4A6B">
        <w:rPr>
          <w:rFonts w:eastAsia="Batang"/>
          <w:bCs/>
          <w:sz w:val="22"/>
          <w:szCs w:val="22"/>
          <w:lang w:eastAsia="ko-KR"/>
        </w:rPr>
        <w:t>/F</w:t>
      </w:r>
      <w:r w:rsidRPr="001C4A6B">
        <w:rPr>
          <w:rFonts w:eastAsia="Batang"/>
          <w:bCs/>
          <w:sz w:val="22"/>
          <w:szCs w:val="22"/>
          <w:vertAlign w:val="subscript"/>
          <w:lang w:eastAsia="ko-KR"/>
        </w:rPr>
        <w:t>MSY</w:t>
      </w:r>
      <w:r w:rsidRPr="001C4A6B">
        <w:rPr>
          <w:rFonts w:eastAsia="Batang"/>
          <w:bCs/>
          <w:sz w:val="22"/>
          <w:szCs w:val="22"/>
          <w:lang w:eastAsia="ko-KR"/>
        </w:rPr>
        <w:t>) over the structural uncertainty grid were used to characterize uncertainty and describe the stock status.</w:t>
      </w:r>
    </w:p>
    <w:p w14:paraId="0FB1005A" w14:textId="77777777" w:rsidR="003D217E" w:rsidRPr="001C4A6B" w:rsidRDefault="003D217E" w:rsidP="003D217E">
      <w:pPr>
        <w:autoSpaceDE w:val="0"/>
        <w:autoSpaceDN w:val="0"/>
        <w:adjustRightInd w:val="0"/>
        <w:snapToGrid w:val="0"/>
        <w:jc w:val="both"/>
        <w:rPr>
          <w:rFonts w:eastAsia="Batang"/>
          <w:bCs/>
          <w:sz w:val="22"/>
          <w:szCs w:val="22"/>
          <w:lang w:eastAsia="ko-KR"/>
        </w:rPr>
      </w:pPr>
    </w:p>
    <w:p w14:paraId="1467412F" w14:textId="77777777" w:rsidR="003D217E" w:rsidRPr="001C4A6B" w:rsidRDefault="003D217E" w:rsidP="00580EA4">
      <w:pPr>
        <w:numPr>
          <w:ilvl w:val="0"/>
          <w:numId w:val="18"/>
        </w:numPr>
        <w:autoSpaceDE w:val="0"/>
        <w:autoSpaceDN w:val="0"/>
        <w:adjustRightInd w:val="0"/>
        <w:snapToGrid w:val="0"/>
        <w:ind w:left="0" w:firstLine="0"/>
        <w:jc w:val="both"/>
        <w:rPr>
          <w:rFonts w:eastAsia="Batang"/>
          <w:bCs/>
          <w:sz w:val="22"/>
          <w:szCs w:val="22"/>
          <w:lang w:eastAsia="ko-KR"/>
        </w:rPr>
      </w:pPr>
      <w:r w:rsidRPr="001C4A6B">
        <w:rPr>
          <w:rFonts w:eastAsia="Batang"/>
          <w:bCs/>
          <w:sz w:val="22"/>
          <w:szCs w:val="22"/>
          <w:lang w:eastAsia="ko-KR"/>
        </w:rPr>
        <w:t>A description of the structural sensitivity grid used to characterize uncertainty in the assessment is set out in Table SPA-1. The regional structure used within the assessment is presented in Figure SPA-1, and the time series of total annual catch by fishing gear for the diagnostic case model over the full assessment period is shown in Figure SPA-2 for the total assessment region, and Figure SPA-3 by model region. Estimated annual average recruitment, spawning potential, juvenile and adult fishing mortality and fishing depletion for the diagnostic case model are shown in Figures SPA-4 – SPA-7. Figure SPA-8 displays Majuro plots summarising the results for each of the models in the structural uncertainty grid, while Figure SPA-9 shows equivalent Kobe plots for SB</w:t>
      </w:r>
      <w:r w:rsidRPr="001C4A6B">
        <w:rPr>
          <w:rFonts w:eastAsia="Batang"/>
          <w:bCs/>
          <w:sz w:val="22"/>
          <w:szCs w:val="22"/>
          <w:vertAlign w:val="subscript"/>
          <w:lang w:eastAsia="ko-KR"/>
        </w:rPr>
        <w:t>recent</w:t>
      </w:r>
      <w:r w:rsidRPr="001C4A6B">
        <w:rPr>
          <w:rFonts w:eastAsia="Batang"/>
          <w:bCs/>
          <w:sz w:val="22"/>
          <w:szCs w:val="22"/>
          <w:lang w:eastAsia="ko-KR"/>
        </w:rPr>
        <w:t xml:space="preserve"> and SB</w:t>
      </w:r>
      <w:r w:rsidRPr="001C4A6B">
        <w:rPr>
          <w:rFonts w:eastAsia="Batang"/>
          <w:bCs/>
          <w:sz w:val="22"/>
          <w:szCs w:val="22"/>
          <w:vertAlign w:val="subscript"/>
          <w:lang w:eastAsia="ko-KR"/>
        </w:rPr>
        <w:t>latest</w:t>
      </w:r>
      <w:r w:rsidRPr="001C4A6B">
        <w:rPr>
          <w:rFonts w:eastAsia="Batang"/>
          <w:bCs/>
          <w:sz w:val="22"/>
          <w:szCs w:val="22"/>
          <w:lang w:eastAsia="ko-KR"/>
        </w:rPr>
        <w:t xml:space="preserve"> across the structural uncertainty grid. Figure SPA-10 provides estimates of reduction in spawning potential due to fishing by region, and over all regions attributed to various fishery groups (gear-types) for the diagnostic case model. Table SPA-2 provides a summary of reference points over the 72 models in the structural uncertainty grid. Figure SPA-11 presents the history of the annual estimates of MSY for the diagnostic case model, compared with annual catch by the main gear types. Finally, Figure SPA-12 presents the estimated time-series (or ‘dynamic’) Kobe plots for four example models from the assessment (one from each of the combinations of growth types, and natural mortality M set to 0.3 or 0.4)</w:t>
      </w:r>
    </w:p>
    <w:p w14:paraId="583C5C4C" w14:textId="77777777" w:rsidR="003D217E" w:rsidRPr="004E1B05" w:rsidRDefault="003D217E" w:rsidP="003D217E">
      <w:pPr>
        <w:autoSpaceDE w:val="0"/>
        <w:autoSpaceDN w:val="0"/>
        <w:adjustRightInd w:val="0"/>
        <w:snapToGrid w:val="0"/>
        <w:jc w:val="both"/>
        <w:rPr>
          <w:rFonts w:eastAsia="Batang"/>
          <w:b/>
          <w:sz w:val="22"/>
          <w:szCs w:val="22"/>
          <w:lang w:eastAsia="ko-KR"/>
        </w:rPr>
      </w:pPr>
    </w:p>
    <w:p w14:paraId="1EADC09B" w14:textId="77777777" w:rsidR="003D217E" w:rsidRPr="001C4A6B" w:rsidRDefault="003D217E" w:rsidP="00580EA4">
      <w:pPr>
        <w:numPr>
          <w:ilvl w:val="0"/>
          <w:numId w:val="18"/>
        </w:numPr>
        <w:autoSpaceDE w:val="0"/>
        <w:autoSpaceDN w:val="0"/>
        <w:adjustRightInd w:val="0"/>
        <w:snapToGrid w:val="0"/>
        <w:ind w:left="0" w:firstLine="0"/>
        <w:jc w:val="both"/>
        <w:rPr>
          <w:rFonts w:eastAsia="Batang"/>
          <w:bCs/>
          <w:sz w:val="22"/>
          <w:szCs w:val="22"/>
          <w:lang w:eastAsia="ko-KR"/>
        </w:rPr>
      </w:pPr>
      <w:r w:rsidRPr="001C4A6B">
        <w:rPr>
          <w:rFonts w:eastAsia="Batang"/>
          <w:bCs/>
          <w:sz w:val="22"/>
          <w:szCs w:val="22"/>
          <w:lang w:eastAsia="ko-KR"/>
        </w:rPr>
        <w:t>SC14 noted that the median level of spawning biomass depletion from the uncertainty grid was SB</w:t>
      </w:r>
      <w:r w:rsidRPr="001C4A6B">
        <w:rPr>
          <w:rFonts w:eastAsia="Batang"/>
          <w:bCs/>
          <w:sz w:val="22"/>
          <w:szCs w:val="22"/>
          <w:vertAlign w:val="subscript"/>
          <w:lang w:eastAsia="ko-KR"/>
        </w:rPr>
        <w:t>recent</w:t>
      </w:r>
      <w:r w:rsidRPr="001C4A6B">
        <w:rPr>
          <w:rFonts w:eastAsia="Batang"/>
          <w:bCs/>
          <w:sz w:val="22"/>
          <w:szCs w:val="22"/>
          <w:lang w:eastAsia="ko-KR"/>
        </w:rPr>
        <w:t>/SB</w:t>
      </w:r>
      <w:r w:rsidRPr="001C4A6B">
        <w:rPr>
          <w:rFonts w:eastAsia="Batang"/>
          <w:bCs/>
          <w:sz w:val="22"/>
          <w:szCs w:val="22"/>
          <w:vertAlign w:val="subscript"/>
          <w:lang w:eastAsia="ko-KR"/>
        </w:rPr>
        <w:t>F=0</w:t>
      </w:r>
      <w:r w:rsidRPr="001C4A6B">
        <w:rPr>
          <w:rFonts w:eastAsia="Batang"/>
          <w:bCs/>
          <w:sz w:val="22"/>
          <w:szCs w:val="22"/>
          <w:lang w:eastAsia="ko-KR"/>
        </w:rPr>
        <w:t xml:space="preserve"> = 0.52 with a probable range of 0.37 to 0.63 (80% probability interval). There were no individual models where (SB</w:t>
      </w:r>
      <w:r w:rsidRPr="001C4A6B">
        <w:rPr>
          <w:rFonts w:eastAsia="Batang"/>
          <w:bCs/>
          <w:sz w:val="22"/>
          <w:szCs w:val="22"/>
          <w:vertAlign w:val="subscript"/>
          <w:lang w:eastAsia="ko-KR"/>
        </w:rPr>
        <w:t>recent</w:t>
      </w:r>
      <w:r w:rsidRPr="001C4A6B">
        <w:rPr>
          <w:rFonts w:eastAsia="Batang"/>
          <w:bCs/>
          <w:sz w:val="22"/>
          <w:szCs w:val="22"/>
          <w:lang w:eastAsia="ko-KR"/>
        </w:rPr>
        <w:t>/SB</w:t>
      </w:r>
      <w:r w:rsidRPr="001C4A6B">
        <w:rPr>
          <w:rFonts w:eastAsia="Batang"/>
          <w:bCs/>
          <w:sz w:val="22"/>
          <w:szCs w:val="22"/>
          <w:vertAlign w:val="subscript"/>
          <w:lang w:eastAsia="ko-KR"/>
        </w:rPr>
        <w:t>F=0</w:t>
      </w:r>
      <w:r w:rsidRPr="001C4A6B">
        <w:rPr>
          <w:rFonts w:eastAsia="Batang"/>
          <w:bCs/>
          <w:sz w:val="22"/>
          <w:szCs w:val="22"/>
          <w:lang w:eastAsia="ko-KR"/>
        </w:rPr>
        <w:t>) &lt; 0.2 which indicated that the probability that recent spawning biomass was below the LRP was zero.</w:t>
      </w:r>
      <w:r w:rsidRPr="001C4A6B">
        <w:rPr>
          <w:rFonts w:eastAsia="Batang" w:hint="eastAsia"/>
          <w:bCs/>
          <w:sz w:val="22"/>
          <w:szCs w:val="22"/>
          <w:lang w:eastAsia="ko-KR"/>
        </w:rPr>
        <w:t xml:space="preserve"> </w:t>
      </w:r>
      <w:r w:rsidRPr="001C4A6B">
        <w:rPr>
          <w:rFonts w:eastAsia="Batang"/>
          <w:bCs/>
          <w:sz w:val="22"/>
          <w:szCs w:val="22"/>
          <w:lang w:eastAsia="ko-KR"/>
        </w:rPr>
        <w:t>SC14 noted that the grid median F</w:t>
      </w:r>
      <w:r w:rsidRPr="001C4A6B">
        <w:rPr>
          <w:rFonts w:eastAsia="Batang"/>
          <w:bCs/>
          <w:sz w:val="22"/>
          <w:szCs w:val="22"/>
          <w:vertAlign w:val="subscript"/>
          <w:lang w:eastAsia="ko-KR"/>
        </w:rPr>
        <w:t>recent</w:t>
      </w:r>
      <w:r w:rsidRPr="001C4A6B">
        <w:rPr>
          <w:rFonts w:eastAsia="Batang"/>
          <w:bCs/>
          <w:sz w:val="22"/>
          <w:szCs w:val="22"/>
          <w:lang w:eastAsia="ko-KR"/>
        </w:rPr>
        <w:t>/F</w:t>
      </w:r>
      <w:r w:rsidRPr="001C4A6B">
        <w:rPr>
          <w:rFonts w:eastAsia="Batang"/>
          <w:bCs/>
          <w:sz w:val="22"/>
          <w:szCs w:val="22"/>
          <w:vertAlign w:val="subscript"/>
          <w:lang w:eastAsia="ko-KR"/>
        </w:rPr>
        <w:t>MSY</w:t>
      </w:r>
      <w:r w:rsidRPr="001C4A6B">
        <w:rPr>
          <w:rFonts w:eastAsia="Batang"/>
          <w:bCs/>
          <w:sz w:val="22"/>
          <w:szCs w:val="22"/>
          <w:lang w:eastAsia="ko-KR"/>
        </w:rPr>
        <w:t xml:space="preserve"> was 0.20, with a range of 0.08 to 0.41 (80% probability interval) and that no values of F</w:t>
      </w:r>
      <w:r w:rsidRPr="001C4A6B">
        <w:rPr>
          <w:rFonts w:eastAsia="Batang"/>
          <w:bCs/>
          <w:sz w:val="22"/>
          <w:szCs w:val="22"/>
          <w:vertAlign w:val="subscript"/>
          <w:lang w:eastAsia="ko-KR"/>
        </w:rPr>
        <w:t>recent</w:t>
      </w:r>
      <w:r w:rsidRPr="001C4A6B">
        <w:rPr>
          <w:rFonts w:eastAsia="Batang"/>
          <w:bCs/>
          <w:sz w:val="22"/>
          <w:szCs w:val="22"/>
          <w:lang w:eastAsia="ko-KR"/>
        </w:rPr>
        <w:t>/F</w:t>
      </w:r>
      <w:r w:rsidRPr="001C4A6B">
        <w:rPr>
          <w:rFonts w:eastAsia="Batang"/>
          <w:bCs/>
          <w:sz w:val="22"/>
          <w:szCs w:val="22"/>
          <w:vertAlign w:val="subscript"/>
          <w:lang w:eastAsia="ko-KR"/>
        </w:rPr>
        <w:t>MSY</w:t>
      </w:r>
      <w:r w:rsidRPr="001C4A6B">
        <w:rPr>
          <w:rFonts w:eastAsia="Batang"/>
          <w:bCs/>
          <w:sz w:val="22"/>
          <w:szCs w:val="22"/>
          <w:lang w:eastAsia="ko-KR"/>
        </w:rPr>
        <w:t xml:space="preserve"> in the grid exceeded 1. </w:t>
      </w:r>
    </w:p>
    <w:p w14:paraId="0AC2AA7E" w14:textId="77777777" w:rsidR="003D217E" w:rsidRPr="001C4A6B" w:rsidRDefault="003D217E" w:rsidP="003D217E">
      <w:pPr>
        <w:autoSpaceDE w:val="0"/>
        <w:autoSpaceDN w:val="0"/>
        <w:adjustRightInd w:val="0"/>
        <w:snapToGrid w:val="0"/>
        <w:jc w:val="both"/>
        <w:rPr>
          <w:rFonts w:eastAsia="Batang"/>
          <w:bCs/>
          <w:sz w:val="22"/>
          <w:szCs w:val="22"/>
          <w:lang w:eastAsia="ko-KR"/>
        </w:rPr>
      </w:pPr>
    </w:p>
    <w:p w14:paraId="69134F61" w14:textId="77777777" w:rsidR="003D217E" w:rsidRPr="001C4A6B" w:rsidRDefault="003D217E" w:rsidP="00580EA4">
      <w:pPr>
        <w:numPr>
          <w:ilvl w:val="0"/>
          <w:numId w:val="18"/>
        </w:numPr>
        <w:autoSpaceDE w:val="0"/>
        <w:autoSpaceDN w:val="0"/>
        <w:adjustRightInd w:val="0"/>
        <w:snapToGrid w:val="0"/>
        <w:ind w:left="0" w:firstLine="0"/>
        <w:jc w:val="both"/>
        <w:rPr>
          <w:rFonts w:eastAsia="Batang"/>
          <w:bCs/>
          <w:sz w:val="22"/>
          <w:szCs w:val="22"/>
          <w:lang w:eastAsia="ko-KR"/>
        </w:rPr>
      </w:pPr>
      <w:r w:rsidRPr="001C4A6B">
        <w:rPr>
          <w:rFonts w:eastAsia="Batang"/>
          <w:bCs/>
          <w:sz w:val="22"/>
          <w:szCs w:val="22"/>
          <w:lang w:eastAsia="ko-KR"/>
        </w:rPr>
        <w:t>SC14 also noted that there was a 0% probability (0 out of 72 models) that the recent fishing mortality had exceeded F</w:t>
      </w:r>
      <w:r w:rsidRPr="001C4A6B">
        <w:rPr>
          <w:rFonts w:eastAsia="Batang"/>
          <w:bCs/>
          <w:sz w:val="22"/>
          <w:szCs w:val="22"/>
          <w:vertAlign w:val="subscript"/>
          <w:lang w:eastAsia="ko-KR"/>
        </w:rPr>
        <w:t>MSY</w:t>
      </w:r>
      <w:r w:rsidRPr="001C4A6B">
        <w:rPr>
          <w:rFonts w:eastAsia="Batang"/>
          <w:bCs/>
          <w:sz w:val="22"/>
          <w:szCs w:val="22"/>
          <w:lang w:eastAsia="ko-KR"/>
        </w:rPr>
        <w:t xml:space="preserve">. </w:t>
      </w:r>
    </w:p>
    <w:p w14:paraId="24D93181" w14:textId="77777777" w:rsidR="003D217E" w:rsidRPr="001C4A6B" w:rsidRDefault="003D217E" w:rsidP="003D217E">
      <w:pPr>
        <w:autoSpaceDE w:val="0"/>
        <w:autoSpaceDN w:val="0"/>
        <w:adjustRightInd w:val="0"/>
        <w:snapToGrid w:val="0"/>
        <w:jc w:val="both"/>
        <w:rPr>
          <w:rFonts w:eastAsia="Batang"/>
          <w:bCs/>
          <w:sz w:val="22"/>
          <w:szCs w:val="22"/>
          <w:lang w:eastAsia="ko-KR"/>
        </w:rPr>
      </w:pPr>
    </w:p>
    <w:p w14:paraId="3B4CDF9B" w14:textId="77777777" w:rsidR="003D217E" w:rsidRPr="001C4A6B" w:rsidRDefault="003D217E" w:rsidP="00580EA4">
      <w:pPr>
        <w:numPr>
          <w:ilvl w:val="0"/>
          <w:numId w:val="18"/>
        </w:numPr>
        <w:autoSpaceDE w:val="0"/>
        <w:autoSpaceDN w:val="0"/>
        <w:adjustRightInd w:val="0"/>
        <w:snapToGrid w:val="0"/>
        <w:ind w:left="0" w:firstLine="0"/>
        <w:jc w:val="both"/>
        <w:rPr>
          <w:rFonts w:eastAsia="Batang"/>
          <w:bCs/>
          <w:sz w:val="22"/>
          <w:szCs w:val="22"/>
          <w:lang w:eastAsia="ko-KR"/>
        </w:rPr>
      </w:pPr>
      <w:r w:rsidRPr="001C4A6B">
        <w:rPr>
          <w:rFonts w:eastAsia="Batang"/>
          <w:bCs/>
          <w:sz w:val="22"/>
          <w:szCs w:val="22"/>
          <w:lang w:eastAsia="ko-KR"/>
        </w:rPr>
        <w:t>SC14 noted that the structural uncertainty grid for the south Pacific albacore had changed since the 2015 assessment, with the 2018 assessment examining additional axes of uncertainty including assumptions on growth and CPUE standardization approach. As a consequence, the uncertainty identified is higher than in previous assessments.</w:t>
      </w:r>
    </w:p>
    <w:p w14:paraId="0F2B0A90" w14:textId="77777777" w:rsidR="003D217E" w:rsidRPr="001C4A6B" w:rsidRDefault="003D217E" w:rsidP="003D217E">
      <w:pPr>
        <w:autoSpaceDE w:val="0"/>
        <w:autoSpaceDN w:val="0"/>
        <w:adjustRightInd w:val="0"/>
        <w:snapToGrid w:val="0"/>
        <w:jc w:val="both"/>
        <w:rPr>
          <w:rFonts w:eastAsia="Batang"/>
          <w:bCs/>
          <w:sz w:val="22"/>
          <w:szCs w:val="22"/>
          <w:lang w:eastAsia="ko-KR"/>
        </w:rPr>
      </w:pPr>
    </w:p>
    <w:p w14:paraId="0140F435" w14:textId="77777777" w:rsidR="003D217E" w:rsidRPr="001C4A6B" w:rsidRDefault="003D217E" w:rsidP="00580EA4">
      <w:pPr>
        <w:numPr>
          <w:ilvl w:val="0"/>
          <w:numId w:val="18"/>
        </w:numPr>
        <w:autoSpaceDE w:val="0"/>
        <w:autoSpaceDN w:val="0"/>
        <w:adjustRightInd w:val="0"/>
        <w:snapToGrid w:val="0"/>
        <w:ind w:left="0" w:firstLine="0"/>
        <w:jc w:val="both"/>
        <w:rPr>
          <w:rFonts w:eastAsia="Batang"/>
          <w:bCs/>
          <w:sz w:val="22"/>
          <w:szCs w:val="22"/>
          <w:lang w:eastAsia="ko-KR"/>
        </w:rPr>
      </w:pPr>
      <w:r w:rsidRPr="001C4A6B">
        <w:rPr>
          <w:rFonts w:eastAsia="Batang"/>
          <w:bCs/>
          <w:sz w:val="22"/>
          <w:szCs w:val="22"/>
          <w:lang w:eastAsia="ko-KR"/>
        </w:rPr>
        <w:t>SC14 also noted that the assessment results show that while the stock depletion (SB/SB</w:t>
      </w:r>
      <w:r w:rsidRPr="001C4A6B">
        <w:rPr>
          <w:rFonts w:eastAsia="Batang"/>
          <w:bCs/>
          <w:sz w:val="22"/>
          <w:szCs w:val="22"/>
          <w:vertAlign w:val="subscript"/>
          <w:lang w:eastAsia="ko-KR"/>
        </w:rPr>
        <w:t>F=0</w:t>
      </w:r>
      <w:r w:rsidRPr="001C4A6B">
        <w:rPr>
          <w:rFonts w:eastAsia="Batang"/>
          <w:bCs/>
          <w:sz w:val="22"/>
          <w:szCs w:val="22"/>
          <w:lang w:eastAsia="ko-KR"/>
        </w:rPr>
        <w:t xml:space="preserve">) has exhibited a long-term decline (Figure SPA-7) the stock is not in an overfished state and overfishing is not taking place. </w:t>
      </w:r>
    </w:p>
    <w:p w14:paraId="33E54A14" w14:textId="77777777" w:rsidR="003D217E" w:rsidRPr="004635E5" w:rsidRDefault="003D217E" w:rsidP="003D217E">
      <w:pPr>
        <w:autoSpaceDE w:val="0"/>
        <w:autoSpaceDN w:val="0"/>
        <w:adjustRightInd w:val="0"/>
        <w:snapToGrid w:val="0"/>
        <w:jc w:val="both"/>
        <w:rPr>
          <w:rFonts w:eastAsia="Batang"/>
          <w:sz w:val="22"/>
          <w:szCs w:val="22"/>
          <w:lang w:eastAsia="ko-KR"/>
        </w:rPr>
      </w:pPr>
    </w:p>
    <w:p w14:paraId="7E57BD46" w14:textId="77777777" w:rsidR="003D217E" w:rsidRPr="004635E5" w:rsidRDefault="003D217E" w:rsidP="002F64C2">
      <w:pPr>
        <w:pStyle w:val="SCa"/>
        <w:tabs>
          <w:tab w:val="clear" w:pos="1080"/>
        </w:tabs>
        <w:spacing w:after="0"/>
        <w:ind w:left="0"/>
      </w:pPr>
      <w:r w:rsidRPr="004635E5">
        <w:lastRenderedPageBreak/>
        <w:t>b.</w:t>
      </w:r>
      <w:r w:rsidRPr="004635E5">
        <w:tab/>
        <w:t>Management Advice and implications</w:t>
      </w:r>
    </w:p>
    <w:p w14:paraId="0705343C" w14:textId="77777777" w:rsidR="003D217E" w:rsidRPr="004635E5" w:rsidRDefault="003D217E" w:rsidP="003D217E">
      <w:pPr>
        <w:pStyle w:val="SCa"/>
        <w:spacing w:after="0"/>
      </w:pPr>
    </w:p>
    <w:p w14:paraId="6DB19F29"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SC14</w:t>
      </w:r>
      <w:r w:rsidRPr="001C4A6B">
        <w:rPr>
          <w:bCs/>
          <w:spacing w:val="-2"/>
          <w:sz w:val="22"/>
          <w:szCs w:val="22"/>
        </w:rPr>
        <w:t xml:space="preserve"> </w:t>
      </w:r>
      <w:r w:rsidRPr="001C4A6B">
        <w:rPr>
          <w:bCs/>
          <w:sz w:val="22"/>
          <w:szCs w:val="22"/>
        </w:rPr>
        <w:t>noted</w:t>
      </w:r>
      <w:r w:rsidRPr="001C4A6B">
        <w:rPr>
          <w:bCs/>
          <w:spacing w:val="-4"/>
          <w:sz w:val="22"/>
          <w:szCs w:val="22"/>
        </w:rPr>
        <w:t xml:space="preserve"> </w:t>
      </w:r>
      <w:r w:rsidRPr="001C4A6B">
        <w:rPr>
          <w:bCs/>
          <w:sz w:val="22"/>
          <w:szCs w:val="22"/>
        </w:rPr>
        <w:t>that</w:t>
      </w:r>
      <w:r w:rsidRPr="001C4A6B">
        <w:rPr>
          <w:bCs/>
          <w:spacing w:val="-5"/>
          <w:sz w:val="22"/>
          <w:szCs w:val="22"/>
        </w:rPr>
        <w:t xml:space="preserve"> </w:t>
      </w:r>
      <w:r w:rsidRPr="001C4A6B">
        <w:rPr>
          <w:bCs/>
          <w:sz w:val="22"/>
          <w:szCs w:val="22"/>
        </w:rPr>
        <w:t>the</w:t>
      </w:r>
      <w:r w:rsidRPr="001C4A6B">
        <w:rPr>
          <w:bCs/>
          <w:spacing w:val="-3"/>
          <w:sz w:val="22"/>
          <w:szCs w:val="22"/>
        </w:rPr>
        <w:t xml:space="preserve"> </w:t>
      </w:r>
      <w:r w:rsidRPr="001C4A6B">
        <w:rPr>
          <w:bCs/>
          <w:sz w:val="22"/>
          <w:szCs w:val="22"/>
        </w:rPr>
        <w:t>preliminary</w:t>
      </w:r>
      <w:r w:rsidRPr="001C4A6B">
        <w:rPr>
          <w:bCs/>
          <w:spacing w:val="-4"/>
          <w:sz w:val="22"/>
          <w:szCs w:val="22"/>
        </w:rPr>
        <w:t xml:space="preserve"> </w:t>
      </w:r>
      <w:r w:rsidRPr="001C4A6B">
        <w:rPr>
          <w:bCs/>
          <w:sz w:val="22"/>
          <w:szCs w:val="22"/>
        </w:rPr>
        <w:t>estimate</w:t>
      </w:r>
      <w:r w:rsidRPr="001C4A6B">
        <w:rPr>
          <w:bCs/>
          <w:spacing w:val="-3"/>
          <w:sz w:val="22"/>
          <w:szCs w:val="22"/>
        </w:rPr>
        <w:t xml:space="preserve"> </w:t>
      </w:r>
      <w:r w:rsidRPr="001C4A6B">
        <w:rPr>
          <w:bCs/>
          <w:sz w:val="22"/>
          <w:szCs w:val="22"/>
        </w:rPr>
        <w:t>of</w:t>
      </w:r>
      <w:r w:rsidRPr="001C4A6B">
        <w:rPr>
          <w:bCs/>
          <w:spacing w:val="-3"/>
          <w:sz w:val="22"/>
          <w:szCs w:val="22"/>
        </w:rPr>
        <w:t xml:space="preserve"> </w:t>
      </w:r>
      <w:r w:rsidRPr="001C4A6B">
        <w:rPr>
          <w:bCs/>
          <w:sz w:val="22"/>
          <w:szCs w:val="22"/>
        </w:rPr>
        <w:t>total</w:t>
      </w:r>
      <w:r w:rsidRPr="001C4A6B">
        <w:rPr>
          <w:bCs/>
          <w:spacing w:val="-4"/>
          <w:sz w:val="22"/>
          <w:szCs w:val="22"/>
        </w:rPr>
        <w:t xml:space="preserve"> </w:t>
      </w:r>
      <w:r w:rsidRPr="001C4A6B">
        <w:rPr>
          <w:bCs/>
          <w:sz w:val="22"/>
          <w:szCs w:val="22"/>
        </w:rPr>
        <w:t>catch</w:t>
      </w:r>
      <w:r w:rsidRPr="001C4A6B">
        <w:rPr>
          <w:bCs/>
          <w:spacing w:val="-4"/>
          <w:sz w:val="22"/>
          <w:szCs w:val="22"/>
        </w:rPr>
        <w:t xml:space="preserve"> </w:t>
      </w:r>
      <w:r w:rsidRPr="001C4A6B">
        <w:rPr>
          <w:bCs/>
          <w:sz w:val="22"/>
          <w:szCs w:val="22"/>
        </w:rPr>
        <w:t>of</w:t>
      </w:r>
      <w:r w:rsidRPr="001C4A6B">
        <w:rPr>
          <w:bCs/>
          <w:spacing w:val="-3"/>
          <w:sz w:val="22"/>
          <w:szCs w:val="22"/>
        </w:rPr>
        <w:t xml:space="preserve"> </w:t>
      </w:r>
      <w:r w:rsidRPr="001C4A6B">
        <w:rPr>
          <w:bCs/>
          <w:sz w:val="22"/>
          <w:szCs w:val="22"/>
        </w:rPr>
        <w:t>south</w:t>
      </w:r>
      <w:r w:rsidRPr="001C4A6B">
        <w:rPr>
          <w:bCs/>
          <w:spacing w:val="-4"/>
          <w:sz w:val="22"/>
          <w:szCs w:val="22"/>
        </w:rPr>
        <w:t xml:space="preserve"> </w:t>
      </w:r>
      <w:r w:rsidRPr="001C4A6B">
        <w:rPr>
          <w:bCs/>
          <w:sz w:val="22"/>
          <w:szCs w:val="22"/>
        </w:rPr>
        <w:t>Pacific</w:t>
      </w:r>
      <w:r w:rsidRPr="001C4A6B">
        <w:rPr>
          <w:bCs/>
          <w:spacing w:val="-2"/>
          <w:sz w:val="22"/>
          <w:szCs w:val="22"/>
        </w:rPr>
        <w:t xml:space="preserve"> </w:t>
      </w:r>
      <w:r w:rsidRPr="001C4A6B">
        <w:rPr>
          <w:bCs/>
          <w:sz w:val="22"/>
          <w:szCs w:val="22"/>
        </w:rPr>
        <w:t>albacore</w:t>
      </w:r>
      <w:r w:rsidRPr="001C4A6B">
        <w:rPr>
          <w:bCs/>
          <w:spacing w:val="-3"/>
          <w:sz w:val="22"/>
          <w:szCs w:val="22"/>
        </w:rPr>
        <w:t xml:space="preserve"> </w:t>
      </w:r>
      <w:r w:rsidRPr="001C4A6B">
        <w:rPr>
          <w:bCs/>
          <w:sz w:val="22"/>
          <w:szCs w:val="22"/>
        </w:rPr>
        <w:t>(within</w:t>
      </w:r>
      <w:r w:rsidRPr="001C4A6B">
        <w:rPr>
          <w:bCs/>
          <w:spacing w:val="-6"/>
          <w:sz w:val="22"/>
          <w:szCs w:val="22"/>
        </w:rPr>
        <w:t xml:space="preserve"> </w:t>
      </w:r>
      <w:r w:rsidRPr="001C4A6B">
        <w:rPr>
          <w:bCs/>
          <w:sz w:val="22"/>
          <w:szCs w:val="22"/>
        </w:rPr>
        <w:t>the WCPFC Convention Area south of the equator) for 2017 was 75,707mt, which was a 33% increase from 2016 and a 13% increase over 2012-2016. (see</w:t>
      </w:r>
      <w:r w:rsidRPr="001C4A6B">
        <w:rPr>
          <w:bCs/>
          <w:spacing w:val="-29"/>
          <w:sz w:val="22"/>
          <w:szCs w:val="22"/>
        </w:rPr>
        <w:t xml:space="preserve"> </w:t>
      </w:r>
      <w:r w:rsidRPr="001C4A6B">
        <w:rPr>
          <w:bCs/>
          <w:sz w:val="22"/>
          <w:szCs w:val="22"/>
        </w:rPr>
        <w:t xml:space="preserve">SC14-SA-WP-02). </w:t>
      </w:r>
    </w:p>
    <w:p w14:paraId="5233DF08" w14:textId="77777777" w:rsidR="003D217E" w:rsidRPr="001C4A6B" w:rsidRDefault="003D217E" w:rsidP="003D217E">
      <w:pPr>
        <w:autoSpaceDE w:val="0"/>
        <w:autoSpaceDN w:val="0"/>
        <w:adjustRightInd w:val="0"/>
        <w:snapToGrid w:val="0"/>
        <w:jc w:val="both"/>
        <w:rPr>
          <w:bCs/>
          <w:sz w:val="22"/>
          <w:szCs w:val="22"/>
        </w:rPr>
      </w:pPr>
    </w:p>
    <w:p w14:paraId="2B00088E"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 xml:space="preserve">Preliminary catch for longliners in 2017 (72,785mt) was 34% higher compared with 2016 and a 14% increase over 2012-2016. Preliminary other gear (primarily troll) catch in 2017 (2,896t) was 17% higher compared with 2016 but a 1% decrease over 2012-2016. (see SC14-SA-WP-02). </w:t>
      </w:r>
    </w:p>
    <w:p w14:paraId="3B54F079" w14:textId="77777777" w:rsidR="003D217E" w:rsidRPr="001C4A6B" w:rsidRDefault="003D217E" w:rsidP="003D217E">
      <w:pPr>
        <w:autoSpaceDE w:val="0"/>
        <w:autoSpaceDN w:val="0"/>
        <w:adjustRightInd w:val="0"/>
        <w:snapToGrid w:val="0"/>
        <w:jc w:val="both"/>
        <w:rPr>
          <w:bCs/>
          <w:sz w:val="22"/>
          <w:szCs w:val="22"/>
        </w:rPr>
      </w:pPr>
    </w:p>
    <w:p w14:paraId="449A3756"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Based</w:t>
      </w:r>
      <w:r w:rsidRPr="001C4A6B">
        <w:rPr>
          <w:bCs/>
          <w:spacing w:val="-4"/>
          <w:sz w:val="22"/>
          <w:szCs w:val="22"/>
        </w:rPr>
        <w:t xml:space="preserve"> </w:t>
      </w:r>
      <w:r w:rsidRPr="001C4A6B">
        <w:rPr>
          <w:bCs/>
          <w:sz w:val="22"/>
          <w:szCs w:val="22"/>
        </w:rPr>
        <w:t>on</w:t>
      </w:r>
      <w:r w:rsidRPr="001C4A6B">
        <w:rPr>
          <w:bCs/>
          <w:spacing w:val="-6"/>
          <w:sz w:val="22"/>
          <w:szCs w:val="22"/>
        </w:rPr>
        <w:t xml:space="preserve"> </w:t>
      </w:r>
      <w:r w:rsidRPr="001C4A6B">
        <w:rPr>
          <w:bCs/>
          <w:sz w:val="22"/>
          <w:szCs w:val="22"/>
        </w:rPr>
        <w:t>the</w:t>
      </w:r>
      <w:r w:rsidRPr="001C4A6B">
        <w:rPr>
          <w:bCs/>
          <w:spacing w:val="-5"/>
          <w:sz w:val="22"/>
          <w:szCs w:val="22"/>
        </w:rPr>
        <w:t xml:space="preserve"> </w:t>
      </w:r>
      <w:r w:rsidRPr="001C4A6B">
        <w:rPr>
          <w:bCs/>
          <w:sz w:val="22"/>
          <w:szCs w:val="22"/>
        </w:rPr>
        <w:t>uncertainty</w:t>
      </w:r>
      <w:r w:rsidRPr="001C4A6B">
        <w:rPr>
          <w:bCs/>
          <w:spacing w:val="-6"/>
          <w:sz w:val="22"/>
          <w:szCs w:val="22"/>
        </w:rPr>
        <w:t xml:space="preserve"> </w:t>
      </w:r>
      <w:r w:rsidRPr="001C4A6B">
        <w:rPr>
          <w:bCs/>
          <w:sz w:val="22"/>
          <w:szCs w:val="22"/>
        </w:rPr>
        <w:t>grid</w:t>
      </w:r>
      <w:r w:rsidRPr="001C4A6B">
        <w:rPr>
          <w:bCs/>
          <w:spacing w:val="-6"/>
          <w:sz w:val="22"/>
          <w:szCs w:val="22"/>
        </w:rPr>
        <w:t xml:space="preserve"> </w:t>
      </w:r>
      <w:r w:rsidRPr="001C4A6B">
        <w:rPr>
          <w:bCs/>
          <w:sz w:val="22"/>
          <w:szCs w:val="22"/>
        </w:rPr>
        <w:t>adopted</w:t>
      </w:r>
      <w:r w:rsidRPr="001C4A6B">
        <w:rPr>
          <w:bCs/>
          <w:spacing w:val="-4"/>
          <w:sz w:val="22"/>
          <w:szCs w:val="22"/>
        </w:rPr>
        <w:t xml:space="preserve"> </w:t>
      </w:r>
      <w:r w:rsidRPr="001C4A6B">
        <w:rPr>
          <w:bCs/>
          <w:sz w:val="22"/>
          <w:szCs w:val="22"/>
        </w:rPr>
        <w:t>by</w:t>
      </w:r>
      <w:r w:rsidRPr="001C4A6B">
        <w:rPr>
          <w:bCs/>
          <w:spacing w:val="-6"/>
          <w:sz w:val="22"/>
          <w:szCs w:val="22"/>
        </w:rPr>
        <w:t xml:space="preserve"> </w:t>
      </w:r>
      <w:r w:rsidRPr="001C4A6B">
        <w:rPr>
          <w:bCs/>
          <w:sz w:val="22"/>
          <w:szCs w:val="22"/>
        </w:rPr>
        <w:t>SC14,</w:t>
      </w:r>
      <w:r w:rsidRPr="001C4A6B">
        <w:rPr>
          <w:bCs/>
          <w:spacing w:val="-6"/>
          <w:sz w:val="22"/>
          <w:szCs w:val="22"/>
        </w:rPr>
        <w:t xml:space="preserve"> </w:t>
      </w:r>
      <w:r w:rsidRPr="001C4A6B">
        <w:rPr>
          <w:bCs/>
          <w:sz w:val="22"/>
          <w:szCs w:val="22"/>
        </w:rPr>
        <w:t>the</w:t>
      </w:r>
      <w:r w:rsidRPr="001C4A6B">
        <w:rPr>
          <w:bCs/>
          <w:spacing w:val="-5"/>
          <w:sz w:val="22"/>
          <w:szCs w:val="22"/>
        </w:rPr>
        <w:t xml:space="preserve"> </w:t>
      </w:r>
      <w:r w:rsidRPr="001C4A6B">
        <w:rPr>
          <w:rFonts w:eastAsiaTheme="minorEastAsia" w:hint="eastAsia"/>
          <w:bCs/>
          <w:sz w:val="22"/>
          <w:szCs w:val="22"/>
          <w:lang w:eastAsia="ko-KR"/>
        </w:rPr>
        <w:t>South Pacific</w:t>
      </w:r>
      <w:r w:rsidRPr="001C4A6B">
        <w:rPr>
          <w:bCs/>
          <w:spacing w:val="-4"/>
          <w:sz w:val="22"/>
          <w:szCs w:val="22"/>
        </w:rPr>
        <w:t xml:space="preserve"> </w:t>
      </w:r>
      <w:r w:rsidRPr="001C4A6B">
        <w:rPr>
          <w:bCs/>
          <w:sz w:val="22"/>
          <w:szCs w:val="22"/>
        </w:rPr>
        <w:t>albacore</w:t>
      </w:r>
      <w:r w:rsidRPr="001C4A6B">
        <w:rPr>
          <w:bCs/>
          <w:spacing w:val="-5"/>
          <w:sz w:val="22"/>
          <w:szCs w:val="22"/>
        </w:rPr>
        <w:t xml:space="preserve"> </w:t>
      </w:r>
      <w:r w:rsidRPr="001C4A6B">
        <w:rPr>
          <w:bCs/>
          <w:sz w:val="22"/>
          <w:szCs w:val="22"/>
        </w:rPr>
        <w:t>tuna</w:t>
      </w:r>
      <w:r w:rsidRPr="001C4A6B">
        <w:rPr>
          <w:bCs/>
          <w:spacing w:val="-6"/>
          <w:sz w:val="22"/>
          <w:szCs w:val="22"/>
        </w:rPr>
        <w:t xml:space="preserve"> </w:t>
      </w:r>
      <w:r w:rsidRPr="001C4A6B">
        <w:rPr>
          <w:bCs/>
          <w:sz w:val="22"/>
          <w:szCs w:val="22"/>
        </w:rPr>
        <w:t>spawning</w:t>
      </w:r>
      <w:r w:rsidRPr="001C4A6B">
        <w:rPr>
          <w:bCs/>
          <w:spacing w:val="-4"/>
          <w:sz w:val="22"/>
          <w:szCs w:val="22"/>
        </w:rPr>
        <w:t xml:space="preserve"> </w:t>
      </w:r>
      <w:r w:rsidRPr="001C4A6B">
        <w:rPr>
          <w:bCs/>
          <w:sz w:val="22"/>
          <w:szCs w:val="22"/>
        </w:rPr>
        <w:t>biomass</w:t>
      </w:r>
      <w:r w:rsidRPr="001C4A6B">
        <w:rPr>
          <w:bCs/>
          <w:spacing w:val="-5"/>
          <w:sz w:val="22"/>
          <w:szCs w:val="22"/>
        </w:rPr>
        <w:t xml:space="preserve"> </w:t>
      </w:r>
      <w:r w:rsidRPr="001C4A6B">
        <w:rPr>
          <w:bCs/>
          <w:sz w:val="22"/>
          <w:szCs w:val="22"/>
        </w:rPr>
        <w:t xml:space="preserve">is very </w:t>
      </w:r>
      <w:r w:rsidRPr="001C4A6B">
        <w:rPr>
          <w:bCs/>
          <w:position w:val="2"/>
          <w:sz w:val="22"/>
          <w:szCs w:val="22"/>
        </w:rPr>
        <w:t>likely to be above the biomass LRP and recent F is very likely below F</w:t>
      </w:r>
      <w:r w:rsidRPr="001C4A6B">
        <w:rPr>
          <w:bCs/>
          <w:sz w:val="22"/>
          <w:szCs w:val="22"/>
          <w:vertAlign w:val="subscript"/>
        </w:rPr>
        <w:t>MSY</w:t>
      </w:r>
      <w:r w:rsidRPr="001C4A6B">
        <w:rPr>
          <w:bCs/>
          <w:position w:val="2"/>
          <w:sz w:val="22"/>
          <w:szCs w:val="22"/>
        </w:rPr>
        <w:t xml:space="preserve">, and therefore </w:t>
      </w:r>
      <w:r w:rsidRPr="001C4A6B">
        <w:rPr>
          <w:bCs/>
          <w:sz w:val="22"/>
          <w:szCs w:val="22"/>
        </w:rPr>
        <w:t>the</w:t>
      </w:r>
      <w:r w:rsidRPr="001C4A6B">
        <w:rPr>
          <w:bCs/>
          <w:spacing w:val="-10"/>
          <w:sz w:val="22"/>
          <w:szCs w:val="22"/>
        </w:rPr>
        <w:t xml:space="preserve"> </w:t>
      </w:r>
      <w:r w:rsidRPr="001C4A6B">
        <w:rPr>
          <w:bCs/>
          <w:sz w:val="22"/>
          <w:szCs w:val="22"/>
        </w:rPr>
        <w:t>stock</w:t>
      </w:r>
      <w:r w:rsidRPr="001C4A6B">
        <w:rPr>
          <w:bCs/>
          <w:spacing w:val="-8"/>
          <w:sz w:val="22"/>
          <w:szCs w:val="22"/>
        </w:rPr>
        <w:t xml:space="preserve"> </w:t>
      </w:r>
      <w:r w:rsidRPr="001C4A6B">
        <w:rPr>
          <w:bCs/>
          <w:sz w:val="22"/>
          <w:szCs w:val="22"/>
        </w:rPr>
        <w:t>is</w:t>
      </w:r>
      <w:r w:rsidRPr="001C4A6B">
        <w:rPr>
          <w:bCs/>
          <w:spacing w:val="-8"/>
          <w:sz w:val="22"/>
          <w:szCs w:val="22"/>
        </w:rPr>
        <w:t xml:space="preserve"> </w:t>
      </w:r>
      <w:r w:rsidRPr="001C4A6B">
        <w:rPr>
          <w:bCs/>
          <w:sz w:val="22"/>
          <w:szCs w:val="22"/>
        </w:rPr>
        <w:t>not</w:t>
      </w:r>
      <w:r w:rsidRPr="001C4A6B">
        <w:rPr>
          <w:bCs/>
          <w:spacing w:val="-10"/>
          <w:sz w:val="22"/>
          <w:szCs w:val="22"/>
        </w:rPr>
        <w:t xml:space="preserve"> </w:t>
      </w:r>
      <w:r w:rsidRPr="001C4A6B">
        <w:rPr>
          <w:bCs/>
          <w:sz w:val="22"/>
          <w:szCs w:val="22"/>
        </w:rPr>
        <w:t>experiencing</w:t>
      </w:r>
      <w:r w:rsidRPr="001C4A6B">
        <w:rPr>
          <w:bCs/>
          <w:spacing w:val="-11"/>
          <w:sz w:val="22"/>
          <w:szCs w:val="22"/>
        </w:rPr>
        <w:t xml:space="preserve"> </w:t>
      </w:r>
      <w:r w:rsidRPr="001C4A6B">
        <w:rPr>
          <w:bCs/>
          <w:sz w:val="22"/>
          <w:szCs w:val="22"/>
        </w:rPr>
        <w:t>overfishing</w:t>
      </w:r>
      <w:r w:rsidRPr="001C4A6B">
        <w:rPr>
          <w:bCs/>
          <w:spacing w:val="-11"/>
          <w:sz w:val="22"/>
          <w:szCs w:val="22"/>
        </w:rPr>
        <w:t xml:space="preserve"> </w:t>
      </w:r>
      <w:r w:rsidRPr="001C4A6B">
        <w:rPr>
          <w:bCs/>
          <w:sz w:val="22"/>
          <w:szCs w:val="22"/>
        </w:rPr>
        <w:t>(100%</w:t>
      </w:r>
      <w:r w:rsidRPr="001C4A6B">
        <w:rPr>
          <w:bCs/>
          <w:spacing w:val="-26"/>
          <w:sz w:val="22"/>
          <w:szCs w:val="22"/>
        </w:rPr>
        <w:t xml:space="preserve"> </w:t>
      </w:r>
      <w:r w:rsidRPr="001C4A6B">
        <w:rPr>
          <w:bCs/>
          <w:sz w:val="22"/>
          <w:szCs w:val="22"/>
        </w:rPr>
        <w:t>probability F &lt; F</w:t>
      </w:r>
      <w:r w:rsidRPr="001C4A6B">
        <w:rPr>
          <w:bCs/>
          <w:sz w:val="22"/>
          <w:szCs w:val="22"/>
          <w:vertAlign w:val="subscript"/>
        </w:rPr>
        <w:t>MSY</w:t>
      </w:r>
      <w:r w:rsidRPr="001C4A6B">
        <w:rPr>
          <w:bCs/>
          <w:sz w:val="22"/>
          <w:szCs w:val="22"/>
        </w:rPr>
        <w:t>) and is not in an overfished condition (100% probability SB</w:t>
      </w:r>
      <w:r w:rsidRPr="001C4A6B">
        <w:rPr>
          <w:bCs/>
          <w:sz w:val="22"/>
          <w:szCs w:val="22"/>
          <w:vertAlign w:val="subscript"/>
        </w:rPr>
        <w:t>recent</w:t>
      </w:r>
      <w:r w:rsidRPr="001C4A6B">
        <w:rPr>
          <w:bCs/>
          <w:sz w:val="22"/>
          <w:szCs w:val="22"/>
        </w:rPr>
        <w:t xml:space="preserve"> &gt; LRP). </w:t>
      </w:r>
    </w:p>
    <w:p w14:paraId="6B49AEDD" w14:textId="77777777" w:rsidR="003D217E" w:rsidRPr="001C4A6B" w:rsidRDefault="003D217E" w:rsidP="003D217E">
      <w:pPr>
        <w:autoSpaceDE w:val="0"/>
        <w:autoSpaceDN w:val="0"/>
        <w:adjustRightInd w:val="0"/>
        <w:snapToGrid w:val="0"/>
        <w:jc w:val="both"/>
        <w:rPr>
          <w:bCs/>
          <w:sz w:val="22"/>
          <w:szCs w:val="22"/>
        </w:rPr>
      </w:pPr>
    </w:p>
    <w:p w14:paraId="04C63F36" w14:textId="77777777" w:rsidR="003D217E" w:rsidRPr="001C4A6B" w:rsidRDefault="003D217E" w:rsidP="00580EA4">
      <w:pPr>
        <w:numPr>
          <w:ilvl w:val="0"/>
          <w:numId w:val="18"/>
        </w:numPr>
        <w:autoSpaceDE w:val="0"/>
        <w:autoSpaceDN w:val="0"/>
        <w:adjustRightInd w:val="0"/>
        <w:snapToGrid w:val="0"/>
        <w:ind w:left="0" w:firstLine="0"/>
        <w:jc w:val="both"/>
        <w:rPr>
          <w:bCs/>
          <w:sz w:val="22"/>
          <w:szCs w:val="22"/>
        </w:rPr>
      </w:pPr>
      <w:r w:rsidRPr="001C4A6B">
        <w:rPr>
          <w:bCs/>
          <w:sz w:val="22"/>
          <w:szCs w:val="22"/>
        </w:rPr>
        <w:t>SC14 recalled its previous advice from SC11, SC12, and SC13 that longline fishing mortality and longline catch be reduced to avoid decline in the vulnerable biomass so that economically viable catch rates can be maintained, especially for longline catch of adult</w:t>
      </w:r>
      <w:r w:rsidRPr="001C4A6B">
        <w:rPr>
          <w:bCs/>
          <w:spacing w:val="-3"/>
          <w:sz w:val="22"/>
          <w:szCs w:val="22"/>
        </w:rPr>
        <w:t xml:space="preserve"> </w:t>
      </w:r>
      <w:r w:rsidRPr="001C4A6B">
        <w:rPr>
          <w:bCs/>
          <w:sz w:val="22"/>
          <w:szCs w:val="22"/>
        </w:rPr>
        <w:t>albacore.</w:t>
      </w:r>
      <w:r w:rsidRPr="001C4A6B">
        <w:rPr>
          <w:bCs/>
          <w:spacing w:val="-4"/>
          <w:sz w:val="22"/>
          <w:szCs w:val="22"/>
        </w:rPr>
        <w:t xml:space="preserve"> </w:t>
      </w:r>
      <w:r w:rsidRPr="001C4A6B">
        <w:rPr>
          <w:bCs/>
          <w:sz w:val="22"/>
          <w:szCs w:val="22"/>
        </w:rPr>
        <w:t>SC14</w:t>
      </w:r>
      <w:r w:rsidRPr="001C4A6B">
        <w:rPr>
          <w:bCs/>
          <w:spacing w:val="-2"/>
          <w:sz w:val="22"/>
          <w:szCs w:val="22"/>
        </w:rPr>
        <w:t xml:space="preserve"> </w:t>
      </w:r>
      <w:r w:rsidRPr="001C4A6B">
        <w:rPr>
          <w:bCs/>
          <w:sz w:val="22"/>
          <w:szCs w:val="22"/>
        </w:rPr>
        <w:t>recommends</w:t>
      </w:r>
      <w:r w:rsidRPr="001C4A6B">
        <w:rPr>
          <w:bCs/>
          <w:spacing w:val="-2"/>
          <w:sz w:val="22"/>
          <w:szCs w:val="22"/>
        </w:rPr>
        <w:t xml:space="preserve"> </w:t>
      </w:r>
      <w:r w:rsidRPr="001C4A6B">
        <w:rPr>
          <w:bCs/>
          <w:sz w:val="22"/>
          <w:szCs w:val="22"/>
        </w:rPr>
        <w:t>that</w:t>
      </w:r>
      <w:r w:rsidRPr="001C4A6B">
        <w:rPr>
          <w:bCs/>
          <w:spacing w:val="-3"/>
          <w:sz w:val="22"/>
          <w:szCs w:val="22"/>
        </w:rPr>
        <w:t xml:space="preserve"> </w:t>
      </w:r>
      <w:r w:rsidRPr="001C4A6B">
        <w:rPr>
          <w:bCs/>
          <w:sz w:val="22"/>
          <w:szCs w:val="22"/>
        </w:rPr>
        <w:t>this</w:t>
      </w:r>
      <w:r w:rsidRPr="001C4A6B">
        <w:rPr>
          <w:bCs/>
          <w:spacing w:val="-2"/>
          <w:sz w:val="22"/>
          <w:szCs w:val="22"/>
        </w:rPr>
        <w:t xml:space="preserve"> </w:t>
      </w:r>
      <w:r w:rsidRPr="001C4A6B">
        <w:rPr>
          <w:bCs/>
          <w:sz w:val="22"/>
          <w:szCs w:val="22"/>
        </w:rPr>
        <w:t>advice</w:t>
      </w:r>
      <w:r w:rsidRPr="001C4A6B">
        <w:rPr>
          <w:bCs/>
          <w:spacing w:val="-3"/>
          <w:sz w:val="22"/>
          <w:szCs w:val="22"/>
        </w:rPr>
        <w:t xml:space="preserve"> </w:t>
      </w:r>
      <w:r w:rsidRPr="001C4A6B">
        <w:rPr>
          <w:bCs/>
          <w:sz w:val="22"/>
          <w:szCs w:val="22"/>
        </w:rPr>
        <w:t>be</w:t>
      </w:r>
      <w:r w:rsidRPr="001C4A6B">
        <w:rPr>
          <w:bCs/>
          <w:spacing w:val="-3"/>
          <w:sz w:val="22"/>
          <w:szCs w:val="22"/>
        </w:rPr>
        <w:t xml:space="preserve"> </w:t>
      </w:r>
      <w:r w:rsidRPr="001C4A6B">
        <w:rPr>
          <w:bCs/>
          <w:sz w:val="22"/>
          <w:szCs w:val="22"/>
        </w:rPr>
        <w:t>taken</w:t>
      </w:r>
      <w:r w:rsidRPr="001C4A6B">
        <w:rPr>
          <w:bCs/>
          <w:spacing w:val="-4"/>
          <w:sz w:val="22"/>
          <w:szCs w:val="22"/>
        </w:rPr>
        <w:t xml:space="preserve"> </w:t>
      </w:r>
      <w:r w:rsidRPr="001C4A6B">
        <w:rPr>
          <w:bCs/>
          <w:sz w:val="22"/>
          <w:szCs w:val="22"/>
        </w:rPr>
        <w:t>into</w:t>
      </w:r>
      <w:r w:rsidRPr="001C4A6B">
        <w:rPr>
          <w:bCs/>
          <w:spacing w:val="-4"/>
          <w:sz w:val="22"/>
          <w:szCs w:val="22"/>
        </w:rPr>
        <w:t xml:space="preserve"> </w:t>
      </w:r>
      <w:r w:rsidRPr="001C4A6B">
        <w:rPr>
          <w:bCs/>
          <w:sz w:val="22"/>
          <w:szCs w:val="22"/>
        </w:rPr>
        <w:t>consideration</w:t>
      </w:r>
      <w:r w:rsidRPr="001C4A6B">
        <w:rPr>
          <w:bCs/>
          <w:spacing w:val="-6"/>
          <w:sz w:val="22"/>
          <w:szCs w:val="22"/>
        </w:rPr>
        <w:t xml:space="preserve"> </w:t>
      </w:r>
      <w:r w:rsidRPr="001C4A6B">
        <w:rPr>
          <w:bCs/>
          <w:sz w:val="22"/>
          <w:szCs w:val="22"/>
        </w:rPr>
        <w:t>when</w:t>
      </w:r>
      <w:r w:rsidRPr="001C4A6B">
        <w:rPr>
          <w:bCs/>
          <w:spacing w:val="-4"/>
          <w:sz w:val="22"/>
          <w:szCs w:val="22"/>
        </w:rPr>
        <w:t xml:space="preserve"> </w:t>
      </w:r>
      <w:r w:rsidRPr="001C4A6B">
        <w:rPr>
          <w:bCs/>
          <w:sz w:val="22"/>
          <w:szCs w:val="22"/>
        </w:rPr>
        <w:t>the</w:t>
      </w:r>
      <w:r w:rsidRPr="001C4A6B">
        <w:rPr>
          <w:bCs/>
          <w:spacing w:val="-3"/>
          <w:sz w:val="22"/>
          <w:szCs w:val="22"/>
        </w:rPr>
        <w:t xml:space="preserve"> </w:t>
      </w:r>
      <w:r w:rsidRPr="001C4A6B">
        <w:rPr>
          <w:bCs/>
          <w:sz w:val="22"/>
          <w:szCs w:val="22"/>
        </w:rPr>
        <w:t>TRP</w:t>
      </w:r>
      <w:r w:rsidRPr="001C4A6B">
        <w:rPr>
          <w:bCs/>
          <w:spacing w:val="-3"/>
          <w:sz w:val="22"/>
          <w:szCs w:val="22"/>
        </w:rPr>
        <w:t xml:space="preserve"> </w:t>
      </w:r>
      <w:r w:rsidRPr="001C4A6B">
        <w:rPr>
          <w:bCs/>
          <w:sz w:val="22"/>
          <w:szCs w:val="22"/>
        </w:rPr>
        <w:t>for</w:t>
      </w:r>
      <w:r w:rsidRPr="001C4A6B">
        <w:rPr>
          <w:bCs/>
          <w:spacing w:val="-2"/>
          <w:sz w:val="22"/>
          <w:szCs w:val="22"/>
        </w:rPr>
        <w:t xml:space="preserve"> </w:t>
      </w:r>
      <w:r w:rsidRPr="001C4A6B">
        <w:rPr>
          <w:bCs/>
          <w:sz w:val="22"/>
          <w:szCs w:val="22"/>
        </w:rPr>
        <w:t>South Pacific albacore is discussed at</w:t>
      </w:r>
      <w:r w:rsidRPr="001C4A6B">
        <w:rPr>
          <w:bCs/>
          <w:spacing w:val="-24"/>
          <w:sz w:val="22"/>
          <w:szCs w:val="22"/>
        </w:rPr>
        <w:t xml:space="preserve"> </w:t>
      </w:r>
      <w:r w:rsidRPr="001C4A6B">
        <w:rPr>
          <w:bCs/>
          <w:sz w:val="22"/>
          <w:szCs w:val="22"/>
        </w:rPr>
        <w:t xml:space="preserve">WCPFC15. </w:t>
      </w:r>
    </w:p>
    <w:p w14:paraId="4473B5E3" w14:textId="77777777" w:rsidR="003D217E" w:rsidRPr="004635E5" w:rsidRDefault="003D217E" w:rsidP="003D217E">
      <w:pPr>
        <w:pStyle w:val="WCPFC"/>
        <w:numPr>
          <w:ilvl w:val="0"/>
          <w:numId w:val="0"/>
        </w:numPr>
        <w:adjustRightInd w:val="0"/>
        <w:spacing w:after="0"/>
        <w:ind w:left="360"/>
        <w:rPr>
          <w:rFonts w:cs="Times New Roman"/>
          <w:lang w:eastAsia="ko-KR"/>
        </w:rPr>
      </w:pPr>
    </w:p>
    <w:p w14:paraId="261592F1" w14:textId="77777777" w:rsidR="003D217E" w:rsidRPr="004635E5" w:rsidRDefault="003D217E" w:rsidP="003D217E">
      <w:pPr>
        <w:pStyle w:val="WCPFC"/>
        <w:numPr>
          <w:ilvl w:val="0"/>
          <w:numId w:val="0"/>
        </w:numPr>
        <w:adjustRightInd w:val="0"/>
        <w:spacing w:after="0"/>
        <w:rPr>
          <w:rFonts w:cs="Times New Roman"/>
        </w:rPr>
      </w:pPr>
      <w:r w:rsidRPr="004635E5">
        <w:rPr>
          <w:rFonts w:cs="Times New Roman"/>
          <w:b/>
        </w:rPr>
        <w:t>Table SPA-1.</w:t>
      </w:r>
      <w:r w:rsidRPr="004635E5">
        <w:rPr>
          <w:rFonts w:cs="Times New Roman"/>
        </w:rPr>
        <w:t xml:space="preserve"> Description of the structural sensitivity grid used to characterize uncertainty in the 2018 south Pacific albacore assessment. Levels used within the diagnostic case are starred.</w:t>
      </w:r>
      <w:r w:rsidRPr="004635E5" w:rsidDel="00F64A7D">
        <w:rPr>
          <w:rFonts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560"/>
        <w:gridCol w:w="4955"/>
      </w:tblGrid>
      <w:tr w:rsidR="003D217E" w:rsidRPr="004635E5" w14:paraId="0628EF80" w14:textId="77777777" w:rsidTr="001740C5">
        <w:tc>
          <w:tcPr>
            <w:tcW w:w="2835" w:type="dxa"/>
            <w:tcBorders>
              <w:top w:val="single" w:sz="4" w:space="0" w:color="auto"/>
              <w:bottom w:val="single" w:sz="4" w:space="0" w:color="auto"/>
            </w:tcBorders>
          </w:tcPr>
          <w:p w14:paraId="24B2FA59" w14:textId="77777777" w:rsidR="003D217E" w:rsidRPr="003763AA" w:rsidRDefault="003D217E" w:rsidP="001740C5">
            <w:pPr>
              <w:adjustRightInd w:val="0"/>
              <w:snapToGrid w:val="0"/>
              <w:spacing w:after="0"/>
              <w:rPr>
                <w:bCs/>
                <w:sz w:val="22"/>
                <w:szCs w:val="22"/>
              </w:rPr>
            </w:pPr>
            <w:r w:rsidRPr="003763AA">
              <w:rPr>
                <w:bCs/>
                <w:sz w:val="22"/>
                <w:szCs w:val="22"/>
              </w:rPr>
              <w:t>Axis</w:t>
            </w:r>
          </w:p>
        </w:tc>
        <w:tc>
          <w:tcPr>
            <w:tcW w:w="1560" w:type="dxa"/>
            <w:tcBorders>
              <w:top w:val="single" w:sz="4" w:space="0" w:color="auto"/>
              <w:bottom w:val="single" w:sz="4" w:space="0" w:color="auto"/>
            </w:tcBorders>
          </w:tcPr>
          <w:p w14:paraId="013AF729" w14:textId="77777777" w:rsidR="003D217E" w:rsidRPr="003763AA" w:rsidRDefault="003D217E" w:rsidP="001740C5">
            <w:pPr>
              <w:adjustRightInd w:val="0"/>
              <w:snapToGrid w:val="0"/>
              <w:spacing w:after="0"/>
              <w:jc w:val="center"/>
              <w:rPr>
                <w:bCs/>
                <w:sz w:val="22"/>
                <w:szCs w:val="22"/>
              </w:rPr>
            </w:pPr>
            <w:r w:rsidRPr="003763AA">
              <w:rPr>
                <w:bCs/>
                <w:sz w:val="22"/>
                <w:szCs w:val="22"/>
              </w:rPr>
              <w:t>Levels</w:t>
            </w:r>
          </w:p>
        </w:tc>
        <w:tc>
          <w:tcPr>
            <w:tcW w:w="4955" w:type="dxa"/>
            <w:tcBorders>
              <w:top w:val="single" w:sz="4" w:space="0" w:color="auto"/>
              <w:bottom w:val="single" w:sz="4" w:space="0" w:color="auto"/>
            </w:tcBorders>
          </w:tcPr>
          <w:p w14:paraId="4E2896AB" w14:textId="77777777" w:rsidR="003D217E" w:rsidRPr="003763AA" w:rsidRDefault="003D217E" w:rsidP="001740C5">
            <w:pPr>
              <w:adjustRightInd w:val="0"/>
              <w:snapToGrid w:val="0"/>
              <w:spacing w:after="0"/>
              <w:rPr>
                <w:bCs/>
                <w:sz w:val="22"/>
                <w:szCs w:val="22"/>
              </w:rPr>
            </w:pPr>
            <w:r w:rsidRPr="003763AA">
              <w:rPr>
                <w:bCs/>
                <w:sz w:val="22"/>
                <w:szCs w:val="22"/>
              </w:rPr>
              <w:t>Option</w:t>
            </w:r>
          </w:p>
        </w:tc>
      </w:tr>
      <w:tr w:rsidR="003D217E" w:rsidRPr="004635E5" w14:paraId="38EA76BB" w14:textId="77777777" w:rsidTr="001740C5">
        <w:tc>
          <w:tcPr>
            <w:tcW w:w="2835" w:type="dxa"/>
            <w:tcBorders>
              <w:top w:val="single" w:sz="4" w:space="0" w:color="auto"/>
            </w:tcBorders>
          </w:tcPr>
          <w:p w14:paraId="6B78A41D" w14:textId="77777777" w:rsidR="003D217E" w:rsidRPr="004635E5" w:rsidRDefault="003D217E" w:rsidP="001740C5">
            <w:pPr>
              <w:adjustRightInd w:val="0"/>
              <w:snapToGrid w:val="0"/>
              <w:spacing w:after="0"/>
              <w:rPr>
                <w:sz w:val="22"/>
                <w:szCs w:val="22"/>
              </w:rPr>
            </w:pPr>
            <w:r w:rsidRPr="004635E5">
              <w:rPr>
                <w:sz w:val="22"/>
                <w:szCs w:val="22"/>
              </w:rPr>
              <w:t>Steepness</w:t>
            </w:r>
          </w:p>
        </w:tc>
        <w:tc>
          <w:tcPr>
            <w:tcW w:w="1560" w:type="dxa"/>
            <w:tcBorders>
              <w:top w:val="single" w:sz="4" w:space="0" w:color="auto"/>
            </w:tcBorders>
          </w:tcPr>
          <w:p w14:paraId="0E3CE998" w14:textId="77777777" w:rsidR="003D217E" w:rsidRPr="004635E5" w:rsidRDefault="003D217E" w:rsidP="001740C5">
            <w:pPr>
              <w:adjustRightInd w:val="0"/>
              <w:snapToGrid w:val="0"/>
              <w:spacing w:after="0"/>
              <w:jc w:val="center"/>
              <w:rPr>
                <w:sz w:val="22"/>
                <w:szCs w:val="22"/>
              </w:rPr>
            </w:pPr>
            <w:r w:rsidRPr="004635E5">
              <w:rPr>
                <w:sz w:val="22"/>
                <w:szCs w:val="22"/>
              </w:rPr>
              <w:t>3</w:t>
            </w:r>
          </w:p>
        </w:tc>
        <w:tc>
          <w:tcPr>
            <w:tcW w:w="4955" w:type="dxa"/>
            <w:tcBorders>
              <w:top w:val="single" w:sz="4" w:space="0" w:color="auto"/>
            </w:tcBorders>
          </w:tcPr>
          <w:p w14:paraId="51DA25D6" w14:textId="77777777" w:rsidR="003D217E" w:rsidRPr="004635E5" w:rsidRDefault="003D217E" w:rsidP="001740C5">
            <w:pPr>
              <w:adjustRightInd w:val="0"/>
              <w:snapToGrid w:val="0"/>
              <w:spacing w:after="0"/>
              <w:rPr>
                <w:sz w:val="22"/>
                <w:szCs w:val="22"/>
              </w:rPr>
            </w:pPr>
            <w:r w:rsidRPr="004635E5">
              <w:rPr>
                <w:sz w:val="22"/>
                <w:szCs w:val="22"/>
              </w:rPr>
              <w:t>0.65, 0.80*, 0.95</w:t>
            </w:r>
          </w:p>
        </w:tc>
      </w:tr>
      <w:tr w:rsidR="003D217E" w:rsidRPr="004635E5" w14:paraId="414F731F" w14:textId="77777777" w:rsidTr="001740C5">
        <w:tc>
          <w:tcPr>
            <w:tcW w:w="2835" w:type="dxa"/>
          </w:tcPr>
          <w:p w14:paraId="15D9C4AB" w14:textId="77777777" w:rsidR="003D217E" w:rsidRPr="004635E5" w:rsidRDefault="003D217E" w:rsidP="001740C5">
            <w:pPr>
              <w:adjustRightInd w:val="0"/>
              <w:snapToGrid w:val="0"/>
              <w:spacing w:after="0"/>
              <w:rPr>
                <w:sz w:val="22"/>
                <w:szCs w:val="22"/>
              </w:rPr>
            </w:pPr>
            <w:r w:rsidRPr="004635E5">
              <w:rPr>
                <w:sz w:val="22"/>
                <w:szCs w:val="22"/>
              </w:rPr>
              <w:t>Natural mortality</w:t>
            </w:r>
          </w:p>
        </w:tc>
        <w:tc>
          <w:tcPr>
            <w:tcW w:w="1560" w:type="dxa"/>
          </w:tcPr>
          <w:p w14:paraId="5E5A9AB4" w14:textId="77777777" w:rsidR="003D217E" w:rsidRPr="004635E5" w:rsidRDefault="003D217E" w:rsidP="001740C5">
            <w:pPr>
              <w:adjustRightInd w:val="0"/>
              <w:snapToGrid w:val="0"/>
              <w:spacing w:after="0"/>
              <w:jc w:val="center"/>
              <w:rPr>
                <w:sz w:val="22"/>
                <w:szCs w:val="22"/>
              </w:rPr>
            </w:pPr>
            <w:r w:rsidRPr="004635E5">
              <w:rPr>
                <w:sz w:val="22"/>
                <w:szCs w:val="22"/>
              </w:rPr>
              <w:t>2</w:t>
            </w:r>
          </w:p>
        </w:tc>
        <w:tc>
          <w:tcPr>
            <w:tcW w:w="4955" w:type="dxa"/>
          </w:tcPr>
          <w:p w14:paraId="54EDC946" w14:textId="77777777" w:rsidR="003D217E" w:rsidRPr="004635E5" w:rsidRDefault="003D217E" w:rsidP="001740C5">
            <w:pPr>
              <w:adjustRightInd w:val="0"/>
              <w:snapToGrid w:val="0"/>
              <w:spacing w:after="0"/>
              <w:rPr>
                <w:sz w:val="22"/>
                <w:szCs w:val="22"/>
              </w:rPr>
            </w:pPr>
            <w:r w:rsidRPr="004635E5">
              <w:rPr>
                <w:sz w:val="22"/>
                <w:szCs w:val="22"/>
              </w:rPr>
              <w:t>0.3*, 0.4</w:t>
            </w:r>
          </w:p>
        </w:tc>
      </w:tr>
      <w:tr w:rsidR="003D217E" w:rsidRPr="004635E5" w14:paraId="68FEFD92" w14:textId="77777777" w:rsidTr="001740C5">
        <w:tc>
          <w:tcPr>
            <w:tcW w:w="2835" w:type="dxa"/>
          </w:tcPr>
          <w:p w14:paraId="20004D4C" w14:textId="77777777" w:rsidR="003D217E" w:rsidRPr="004635E5" w:rsidRDefault="003D217E" w:rsidP="001740C5">
            <w:pPr>
              <w:adjustRightInd w:val="0"/>
              <w:snapToGrid w:val="0"/>
              <w:spacing w:after="0"/>
              <w:rPr>
                <w:sz w:val="22"/>
                <w:szCs w:val="22"/>
              </w:rPr>
            </w:pPr>
            <w:r w:rsidRPr="004635E5">
              <w:rPr>
                <w:sz w:val="22"/>
                <w:szCs w:val="22"/>
              </w:rPr>
              <w:t>Growth</w:t>
            </w:r>
          </w:p>
        </w:tc>
        <w:tc>
          <w:tcPr>
            <w:tcW w:w="1560" w:type="dxa"/>
          </w:tcPr>
          <w:p w14:paraId="46A218B4" w14:textId="77777777" w:rsidR="003D217E" w:rsidRPr="004635E5" w:rsidRDefault="003D217E" w:rsidP="001740C5">
            <w:pPr>
              <w:adjustRightInd w:val="0"/>
              <w:snapToGrid w:val="0"/>
              <w:spacing w:after="0"/>
              <w:jc w:val="center"/>
              <w:rPr>
                <w:sz w:val="22"/>
                <w:szCs w:val="22"/>
              </w:rPr>
            </w:pPr>
            <w:r w:rsidRPr="004635E5">
              <w:rPr>
                <w:sz w:val="22"/>
                <w:szCs w:val="22"/>
              </w:rPr>
              <w:t>2</w:t>
            </w:r>
          </w:p>
        </w:tc>
        <w:tc>
          <w:tcPr>
            <w:tcW w:w="4955" w:type="dxa"/>
          </w:tcPr>
          <w:p w14:paraId="539A7ECA" w14:textId="77777777" w:rsidR="003D217E" w:rsidRPr="004635E5" w:rsidRDefault="003D217E" w:rsidP="001740C5">
            <w:pPr>
              <w:adjustRightInd w:val="0"/>
              <w:snapToGrid w:val="0"/>
              <w:spacing w:after="0"/>
              <w:rPr>
                <w:sz w:val="22"/>
                <w:szCs w:val="22"/>
              </w:rPr>
            </w:pPr>
            <w:r w:rsidRPr="004635E5">
              <w:rPr>
                <w:sz w:val="22"/>
                <w:szCs w:val="22"/>
              </w:rPr>
              <w:t>Estimated* (K, L</w:t>
            </w:r>
            <w:r w:rsidRPr="004635E5">
              <w:rPr>
                <w:sz w:val="22"/>
                <w:szCs w:val="22"/>
                <w:vertAlign w:val="subscript"/>
              </w:rPr>
              <w:t>∞</w:t>
            </w:r>
            <w:r w:rsidRPr="004635E5">
              <w:rPr>
                <w:sz w:val="22"/>
                <w:szCs w:val="22"/>
              </w:rPr>
              <w:t>) or fixed (Chen-Wells)</w:t>
            </w:r>
          </w:p>
        </w:tc>
      </w:tr>
      <w:tr w:rsidR="003D217E" w:rsidRPr="004635E5" w14:paraId="6C78CC27" w14:textId="77777777" w:rsidTr="001740C5">
        <w:tc>
          <w:tcPr>
            <w:tcW w:w="2835" w:type="dxa"/>
          </w:tcPr>
          <w:p w14:paraId="1952C35A" w14:textId="77777777" w:rsidR="003D217E" w:rsidRPr="004635E5" w:rsidRDefault="003D217E" w:rsidP="001740C5">
            <w:pPr>
              <w:adjustRightInd w:val="0"/>
              <w:snapToGrid w:val="0"/>
              <w:spacing w:after="0"/>
              <w:rPr>
                <w:sz w:val="22"/>
                <w:szCs w:val="22"/>
              </w:rPr>
            </w:pPr>
            <w:r w:rsidRPr="004635E5">
              <w:rPr>
                <w:sz w:val="22"/>
                <w:szCs w:val="22"/>
              </w:rPr>
              <w:t>Size frequency weighting</w:t>
            </w:r>
          </w:p>
        </w:tc>
        <w:tc>
          <w:tcPr>
            <w:tcW w:w="1560" w:type="dxa"/>
          </w:tcPr>
          <w:p w14:paraId="171D0A19" w14:textId="77777777" w:rsidR="003D217E" w:rsidRPr="004635E5" w:rsidRDefault="003D217E" w:rsidP="001740C5">
            <w:pPr>
              <w:adjustRightInd w:val="0"/>
              <w:snapToGrid w:val="0"/>
              <w:spacing w:after="0"/>
              <w:jc w:val="center"/>
              <w:rPr>
                <w:sz w:val="22"/>
                <w:szCs w:val="22"/>
              </w:rPr>
            </w:pPr>
            <w:r w:rsidRPr="004635E5">
              <w:rPr>
                <w:sz w:val="22"/>
                <w:szCs w:val="22"/>
              </w:rPr>
              <w:t>3</w:t>
            </w:r>
          </w:p>
        </w:tc>
        <w:tc>
          <w:tcPr>
            <w:tcW w:w="4955" w:type="dxa"/>
          </w:tcPr>
          <w:p w14:paraId="50190F9D" w14:textId="77777777" w:rsidR="003D217E" w:rsidRPr="004635E5" w:rsidRDefault="003D217E" w:rsidP="001740C5">
            <w:pPr>
              <w:adjustRightInd w:val="0"/>
              <w:snapToGrid w:val="0"/>
              <w:spacing w:after="0"/>
              <w:rPr>
                <w:sz w:val="22"/>
                <w:szCs w:val="22"/>
              </w:rPr>
            </w:pPr>
            <w:r w:rsidRPr="004635E5">
              <w:rPr>
                <w:sz w:val="22"/>
                <w:szCs w:val="22"/>
              </w:rPr>
              <w:t>Sample sizes divided by 20, 50* or 80</w:t>
            </w:r>
          </w:p>
        </w:tc>
      </w:tr>
      <w:tr w:rsidR="003D217E" w:rsidRPr="004635E5" w14:paraId="7BCB0B53" w14:textId="77777777" w:rsidTr="001740C5">
        <w:tc>
          <w:tcPr>
            <w:tcW w:w="2835" w:type="dxa"/>
            <w:tcBorders>
              <w:bottom w:val="single" w:sz="4" w:space="0" w:color="auto"/>
            </w:tcBorders>
          </w:tcPr>
          <w:p w14:paraId="713CF75D" w14:textId="77777777" w:rsidR="003D217E" w:rsidRPr="004635E5" w:rsidRDefault="003D217E" w:rsidP="001740C5">
            <w:pPr>
              <w:adjustRightInd w:val="0"/>
              <w:snapToGrid w:val="0"/>
              <w:spacing w:after="0"/>
              <w:rPr>
                <w:sz w:val="22"/>
                <w:szCs w:val="22"/>
              </w:rPr>
            </w:pPr>
            <w:r w:rsidRPr="004635E5">
              <w:rPr>
                <w:sz w:val="22"/>
                <w:szCs w:val="22"/>
              </w:rPr>
              <w:t>CPUE</w:t>
            </w:r>
          </w:p>
        </w:tc>
        <w:tc>
          <w:tcPr>
            <w:tcW w:w="1560" w:type="dxa"/>
            <w:tcBorders>
              <w:bottom w:val="single" w:sz="4" w:space="0" w:color="auto"/>
            </w:tcBorders>
          </w:tcPr>
          <w:p w14:paraId="4AEAAD16" w14:textId="77777777" w:rsidR="003D217E" w:rsidRPr="004635E5" w:rsidRDefault="003D217E" w:rsidP="001740C5">
            <w:pPr>
              <w:adjustRightInd w:val="0"/>
              <w:snapToGrid w:val="0"/>
              <w:spacing w:after="0"/>
              <w:jc w:val="center"/>
              <w:rPr>
                <w:sz w:val="22"/>
                <w:szCs w:val="22"/>
              </w:rPr>
            </w:pPr>
            <w:r w:rsidRPr="004635E5">
              <w:rPr>
                <w:sz w:val="22"/>
                <w:szCs w:val="22"/>
              </w:rPr>
              <w:t>2</w:t>
            </w:r>
          </w:p>
        </w:tc>
        <w:tc>
          <w:tcPr>
            <w:tcW w:w="4955" w:type="dxa"/>
            <w:tcBorders>
              <w:bottom w:val="single" w:sz="4" w:space="0" w:color="auto"/>
            </w:tcBorders>
          </w:tcPr>
          <w:p w14:paraId="27FEFA0A" w14:textId="77777777" w:rsidR="003D217E" w:rsidRPr="004635E5" w:rsidRDefault="003D217E" w:rsidP="001740C5">
            <w:pPr>
              <w:adjustRightInd w:val="0"/>
              <w:snapToGrid w:val="0"/>
              <w:spacing w:after="0"/>
              <w:rPr>
                <w:sz w:val="22"/>
                <w:szCs w:val="22"/>
              </w:rPr>
            </w:pPr>
            <w:r w:rsidRPr="004635E5">
              <w:rPr>
                <w:sz w:val="22"/>
                <w:szCs w:val="22"/>
              </w:rPr>
              <w:t>Geostatistical*, Traditional</w:t>
            </w:r>
          </w:p>
        </w:tc>
      </w:tr>
    </w:tbl>
    <w:p w14:paraId="377E6A1C" w14:textId="77777777" w:rsidR="003D217E" w:rsidRDefault="003D217E" w:rsidP="003D217E">
      <w:pPr>
        <w:adjustRightInd w:val="0"/>
        <w:snapToGrid w:val="0"/>
        <w:rPr>
          <w:rFonts w:eastAsiaTheme="minorEastAsia"/>
          <w:b/>
          <w:color w:val="000000"/>
          <w:sz w:val="22"/>
          <w:szCs w:val="22"/>
          <w:lang w:val="en-NZ" w:eastAsia="en-NZ"/>
        </w:rPr>
      </w:pPr>
    </w:p>
    <w:p w14:paraId="07B990DD" w14:textId="77777777" w:rsidR="003D217E" w:rsidRPr="004635E5" w:rsidRDefault="003D217E" w:rsidP="003D217E">
      <w:pPr>
        <w:pStyle w:val="WCPFC"/>
        <w:numPr>
          <w:ilvl w:val="0"/>
          <w:numId w:val="0"/>
        </w:numPr>
        <w:adjustRightInd w:val="0"/>
        <w:spacing w:after="0"/>
        <w:rPr>
          <w:rFonts w:cs="Times New Roman"/>
        </w:rPr>
      </w:pPr>
      <w:r w:rsidRPr="004635E5">
        <w:rPr>
          <w:rFonts w:cs="Times New Roman"/>
          <w:b/>
        </w:rPr>
        <w:t>Table SPA-2.</w:t>
      </w:r>
      <w:r w:rsidRPr="004635E5">
        <w:rPr>
          <w:rFonts w:cs="Times New Roman"/>
        </w:rPr>
        <w:t xml:space="preserve"> Summary of reference points over all the 72 individual models in the structural uncertainty grid.</w:t>
      </w:r>
    </w:p>
    <w:tbl>
      <w:tblPr>
        <w:tblW w:w="9072" w:type="dxa"/>
        <w:tblLayout w:type="fixed"/>
        <w:tblLook w:val="04A0" w:firstRow="1" w:lastRow="0" w:firstColumn="1" w:lastColumn="0" w:noHBand="0" w:noVBand="1"/>
      </w:tblPr>
      <w:tblGrid>
        <w:gridCol w:w="1701"/>
        <w:gridCol w:w="1134"/>
        <w:gridCol w:w="1053"/>
        <w:gridCol w:w="1296"/>
        <w:gridCol w:w="1296"/>
        <w:gridCol w:w="1296"/>
        <w:gridCol w:w="1296"/>
      </w:tblGrid>
      <w:tr w:rsidR="003D217E" w:rsidRPr="00970771" w14:paraId="7BCAFB88" w14:textId="77777777" w:rsidTr="001740C5">
        <w:tc>
          <w:tcPr>
            <w:tcW w:w="1701" w:type="dxa"/>
            <w:tcBorders>
              <w:top w:val="single" w:sz="4" w:space="0" w:color="auto"/>
              <w:left w:val="nil"/>
              <w:bottom w:val="single" w:sz="4" w:space="0" w:color="auto"/>
              <w:right w:val="nil"/>
            </w:tcBorders>
            <w:shd w:val="clear" w:color="auto" w:fill="auto"/>
            <w:noWrap/>
            <w:vAlign w:val="bottom"/>
            <w:hideMark/>
          </w:tcPr>
          <w:p w14:paraId="74F715D8" w14:textId="77777777" w:rsidR="003D217E" w:rsidRPr="003763AA" w:rsidRDefault="003D217E" w:rsidP="001740C5">
            <w:pPr>
              <w:adjustRightInd w:val="0"/>
              <w:snapToGrid w:val="0"/>
              <w:rPr>
                <w:bCs/>
                <w:sz w:val="22"/>
                <w:szCs w:val="22"/>
                <w:lang w:val="en-AU" w:eastAsia="en-AU"/>
              </w:rPr>
            </w:pPr>
          </w:p>
        </w:tc>
        <w:tc>
          <w:tcPr>
            <w:tcW w:w="1134" w:type="dxa"/>
            <w:tcBorders>
              <w:top w:val="single" w:sz="4" w:space="0" w:color="auto"/>
              <w:left w:val="nil"/>
              <w:bottom w:val="single" w:sz="4" w:space="0" w:color="auto"/>
              <w:right w:val="nil"/>
            </w:tcBorders>
            <w:shd w:val="clear" w:color="auto" w:fill="auto"/>
            <w:noWrap/>
            <w:vAlign w:val="bottom"/>
            <w:hideMark/>
          </w:tcPr>
          <w:p w14:paraId="460DFC13" w14:textId="77777777" w:rsidR="003D217E" w:rsidRPr="003763AA" w:rsidRDefault="003D217E" w:rsidP="001740C5">
            <w:pPr>
              <w:adjustRightInd w:val="0"/>
              <w:snapToGrid w:val="0"/>
              <w:jc w:val="center"/>
              <w:rPr>
                <w:bCs/>
                <w:color w:val="000000"/>
                <w:sz w:val="22"/>
                <w:szCs w:val="22"/>
                <w:lang w:val="en-AU" w:eastAsia="en-AU"/>
              </w:rPr>
            </w:pPr>
            <w:r w:rsidRPr="003763AA">
              <w:rPr>
                <w:bCs/>
                <w:color w:val="000000"/>
                <w:sz w:val="22"/>
                <w:szCs w:val="22"/>
                <w:lang w:val="en-AU" w:eastAsia="en-AU"/>
              </w:rPr>
              <w:t>Mean</w:t>
            </w:r>
          </w:p>
        </w:tc>
        <w:tc>
          <w:tcPr>
            <w:tcW w:w="1053" w:type="dxa"/>
            <w:tcBorders>
              <w:top w:val="single" w:sz="4" w:space="0" w:color="auto"/>
              <w:left w:val="nil"/>
              <w:bottom w:val="single" w:sz="4" w:space="0" w:color="auto"/>
              <w:right w:val="nil"/>
            </w:tcBorders>
            <w:shd w:val="clear" w:color="auto" w:fill="auto"/>
            <w:noWrap/>
            <w:vAlign w:val="bottom"/>
            <w:hideMark/>
          </w:tcPr>
          <w:p w14:paraId="218C4171" w14:textId="77777777" w:rsidR="003D217E" w:rsidRPr="003763AA" w:rsidRDefault="003D217E" w:rsidP="001740C5">
            <w:pPr>
              <w:adjustRightInd w:val="0"/>
              <w:snapToGrid w:val="0"/>
              <w:jc w:val="center"/>
              <w:rPr>
                <w:bCs/>
                <w:color w:val="000000"/>
                <w:sz w:val="22"/>
                <w:szCs w:val="22"/>
                <w:lang w:val="en-AU" w:eastAsia="en-AU"/>
              </w:rPr>
            </w:pPr>
            <w:r w:rsidRPr="003763AA">
              <w:rPr>
                <w:bCs/>
                <w:color w:val="000000"/>
                <w:sz w:val="22"/>
                <w:szCs w:val="22"/>
                <w:lang w:val="en-AU" w:eastAsia="en-AU"/>
              </w:rPr>
              <w:t>Median</w:t>
            </w:r>
          </w:p>
        </w:tc>
        <w:tc>
          <w:tcPr>
            <w:tcW w:w="1296" w:type="dxa"/>
            <w:tcBorders>
              <w:top w:val="single" w:sz="4" w:space="0" w:color="auto"/>
              <w:left w:val="nil"/>
              <w:bottom w:val="single" w:sz="4" w:space="0" w:color="auto"/>
              <w:right w:val="nil"/>
            </w:tcBorders>
            <w:shd w:val="clear" w:color="auto" w:fill="auto"/>
            <w:noWrap/>
            <w:vAlign w:val="bottom"/>
            <w:hideMark/>
          </w:tcPr>
          <w:p w14:paraId="1CB74C0B" w14:textId="77777777" w:rsidR="003D217E" w:rsidRPr="003763AA" w:rsidRDefault="003D217E" w:rsidP="001740C5">
            <w:pPr>
              <w:adjustRightInd w:val="0"/>
              <w:snapToGrid w:val="0"/>
              <w:jc w:val="center"/>
              <w:rPr>
                <w:bCs/>
                <w:color w:val="000000"/>
                <w:sz w:val="22"/>
                <w:szCs w:val="22"/>
                <w:lang w:val="en-AU" w:eastAsia="en-AU"/>
              </w:rPr>
            </w:pPr>
            <w:r w:rsidRPr="003763AA">
              <w:rPr>
                <w:bCs/>
                <w:color w:val="000000"/>
                <w:sz w:val="22"/>
                <w:szCs w:val="22"/>
                <w:lang w:val="en-AU" w:eastAsia="en-AU"/>
              </w:rPr>
              <w:t>Min</w:t>
            </w:r>
          </w:p>
        </w:tc>
        <w:tc>
          <w:tcPr>
            <w:tcW w:w="1296" w:type="dxa"/>
            <w:tcBorders>
              <w:top w:val="single" w:sz="4" w:space="0" w:color="auto"/>
              <w:left w:val="nil"/>
              <w:bottom w:val="single" w:sz="4" w:space="0" w:color="auto"/>
              <w:right w:val="nil"/>
            </w:tcBorders>
            <w:shd w:val="clear" w:color="auto" w:fill="auto"/>
            <w:noWrap/>
            <w:vAlign w:val="bottom"/>
            <w:hideMark/>
          </w:tcPr>
          <w:p w14:paraId="3EECFA1E" w14:textId="77777777" w:rsidR="003D217E" w:rsidRPr="003763AA" w:rsidRDefault="003D217E" w:rsidP="001740C5">
            <w:pPr>
              <w:adjustRightInd w:val="0"/>
              <w:snapToGrid w:val="0"/>
              <w:jc w:val="center"/>
              <w:rPr>
                <w:bCs/>
                <w:color w:val="000000"/>
                <w:sz w:val="22"/>
                <w:szCs w:val="22"/>
                <w:lang w:val="en-AU" w:eastAsia="en-AU"/>
              </w:rPr>
            </w:pPr>
            <w:r w:rsidRPr="003763AA">
              <w:rPr>
                <w:bCs/>
                <w:color w:val="000000"/>
                <w:sz w:val="22"/>
                <w:szCs w:val="22"/>
                <w:lang w:val="en-AU" w:eastAsia="en-AU"/>
              </w:rPr>
              <w:t>10%</w:t>
            </w:r>
          </w:p>
        </w:tc>
        <w:tc>
          <w:tcPr>
            <w:tcW w:w="1296" w:type="dxa"/>
            <w:tcBorders>
              <w:top w:val="single" w:sz="4" w:space="0" w:color="auto"/>
              <w:left w:val="nil"/>
              <w:bottom w:val="single" w:sz="4" w:space="0" w:color="auto"/>
              <w:right w:val="nil"/>
            </w:tcBorders>
            <w:shd w:val="clear" w:color="auto" w:fill="auto"/>
            <w:noWrap/>
            <w:vAlign w:val="bottom"/>
            <w:hideMark/>
          </w:tcPr>
          <w:p w14:paraId="24442C9D" w14:textId="77777777" w:rsidR="003D217E" w:rsidRPr="003763AA" w:rsidRDefault="003D217E" w:rsidP="001740C5">
            <w:pPr>
              <w:adjustRightInd w:val="0"/>
              <w:snapToGrid w:val="0"/>
              <w:jc w:val="center"/>
              <w:rPr>
                <w:bCs/>
                <w:color w:val="000000"/>
                <w:sz w:val="22"/>
                <w:szCs w:val="22"/>
                <w:lang w:val="en-AU" w:eastAsia="en-AU"/>
              </w:rPr>
            </w:pPr>
            <w:r w:rsidRPr="003763AA">
              <w:rPr>
                <w:bCs/>
                <w:color w:val="000000"/>
                <w:sz w:val="22"/>
                <w:szCs w:val="22"/>
                <w:lang w:val="en-AU" w:eastAsia="en-AU"/>
              </w:rPr>
              <w:t>90%</w:t>
            </w:r>
          </w:p>
        </w:tc>
        <w:tc>
          <w:tcPr>
            <w:tcW w:w="1296" w:type="dxa"/>
            <w:tcBorders>
              <w:top w:val="single" w:sz="4" w:space="0" w:color="auto"/>
              <w:left w:val="nil"/>
              <w:bottom w:val="single" w:sz="4" w:space="0" w:color="auto"/>
              <w:right w:val="nil"/>
            </w:tcBorders>
            <w:shd w:val="clear" w:color="auto" w:fill="auto"/>
            <w:noWrap/>
            <w:vAlign w:val="bottom"/>
            <w:hideMark/>
          </w:tcPr>
          <w:p w14:paraId="66704319" w14:textId="77777777" w:rsidR="003D217E" w:rsidRPr="003763AA" w:rsidRDefault="003D217E" w:rsidP="001740C5">
            <w:pPr>
              <w:adjustRightInd w:val="0"/>
              <w:snapToGrid w:val="0"/>
              <w:jc w:val="center"/>
              <w:rPr>
                <w:bCs/>
                <w:color w:val="000000"/>
                <w:sz w:val="22"/>
                <w:szCs w:val="22"/>
                <w:lang w:val="en-AU" w:eastAsia="en-AU"/>
              </w:rPr>
            </w:pPr>
            <w:r w:rsidRPr="003763AA">
              <w:rPr>
                <w:bCs/>
                <w:color w:val="000000"/>
                <w:sz w:val="22"/>
                <w:szCs w:val="22"/>
                <w:lang w:val="en-AU" w:eastAsia="en-AU"/>
              </w:rPr>
              <w:t>Max</w:t>
            </w:r>
          </w:p>
        </w:tc>
      </w:tr>
      <w:tr w:rsidR="003D217E" w:rsidRPr="00970771" w14:paraId="3B7AAAAA" w14:textId="77777777" w:rsidTr="001740C5">
        <w:tc>
          <w:tcPr>
            <w:tcW w:w="1701" w:type="dxa"/>
            <w:tcBorders>
              <w:top w:val="single" w:sz="4" w:space="0" w:color="auto"/>
              <w:left w:val="nil"/>
              <w:bottom w:val="nil"/>
              <w:right w:val="nil"/>
            </w:tcBorders>
            <w:shd w:val="clear" w:color="auto" w:fill="auto"/>
            <w:noWrap/>
            <w:vAlign w:val="bottom"/>
            <w:hideMark/>
          </w:tcPr>
          <w:p w14:paraId="35208E5D" w14:textId="77777777" w:rsidR="003D217E" w:rsidRPr="00970771" w:rsidRDefault="003D217E" w:rsidP="001740C5">
            <w:pPr>
              <w:adjustRightInd w:val="0"/>
              <w:snapToGrid w:val="0"/>
              <w:rPr>
                <w:color w:val="000000"/>
                <w:sz w:val="22"/>
                <w:szCs w:val="22"/>
                <w:lang w:val="en-AU" w:eastAsia="en-AU"/>
              </w:rPr>
            </w:pPr>
            <w:r w:rsidRPr="00970771">
              <w:rPr>
                <w:color w:val="000000"/>
                <w:sz w:val="22"/>
                <w:szCs w:val="22"/>
                <w:lang w:val="en-AU" w:eastAsia="en-AU"/>
              </w:rPr>
              <w:t>C</w:t>
            </w:r>
            <w:r w:rsidRPr="00970771">
              <w:rPr>
                <w:color w:val="000000"/>
                <w:sz w:val="22"/>
                <w:szCs w:val="22"/>
                <w:vertAlign w:val="subscript"/>
                <w:lang w:val="en-AU" w:eastAsia="en-AU"/>
              </w:rPr>
              <w:t>latest</w:t>
            </w:r>
          </w:p>
        </w:tc>
        <w:tc>
          <w:tcPr>
            <w:tcW w:w="1134" w:type="dxa"/>
            <w:tcBorders>
              <w:top w:val="single" w:sz="4" w:space="0" w:color="auto"/>
              <w:left w:val="nil"/>
              <w:bottom w:val="nil"/>
              <w:right w:val="nil"/>
            </w:tcBorders>
            <w:shd w:val="clear" w:color="auto" w:fill="auto"/>
            <w:noWrap/>
            <w:vAlign w:val="bottom"/>
            <w:hideMark/>
          </w:tcPr>
          <w:p w14:paraId="3D02464D"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61719</w:t>
            </w:r>
          </w:p>
        </w:tc>
        <w:tc>
          <w:tcPr>
            <w:tcW w:w="1053" w:type="dxa"/>
            <w:tcBorders>
              <w:top w:val="single" w:sz="4" w:space="0" w:color="auto"/>
              <w:left w:val="nil"/>
              <w:bottom w:val="nil"/>
              <w:right w:val="nil"/>
            </w:tcBorders>
            <w:shd w:val="clear" w:color="auto" w:fill="auto"/>
            <w:noWrap/>
            <w:vAlign w:val="bottom"/>
            <w:hideMark/>
          </w:tcPr>
          <w:p w14:paraId="1B4FBA83"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61635</w:t>
            </w:r>
          </w:p>
        </w:tc>
        <w:tc>
          <w:tcPr>
            <w:tcW w:w="1296" w:type="dxa"/>
            <w:tcBorders>
              <w:top w:val="single" w:sz="4" w:space="0" w:color="auto"/>
              <w:left w:val="nil"/>
              <w:bottom w:val="nil"/>
              <w:right w:val="nil"/>
            </w:tcBorders>
            <w:shd w:val="clear" w:color="auto" w:fill="auto"/>
            <w:noWrap/>
            <w:vAlign w:val="bottom"/>
            <w:hideMark/>
          </w:tcPr>
          <w:p w14:paraId="5CB2F274"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60669</w:t>
            </w:r>
          </w:p>
        </w:tc>
        <w:tc>
          <w:tcPr>
            <w:tcW w:w="1296" w:type="dxa"/>
            <w:tcBorders>
              <w:top w:val="single" w:sz="4" w:space="0" w:color="auto"/>
              <w:left w:val="nil"/>
              <w:bottom w:val="nil"/>
              <w:right w:val="nil"/>
            </w:tcBorders>
            <w:shd w:val="clear" w:color="auto" w:fill="auto"/>
            <w:noWrap/>
            <w:vAlign w:val="bottom"/>
            <w:hideMark/>
          </w:tcPr>
          <w:p w14:paraId="580C3530"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60833</w:t>
            </w:r>
          </w:p>
        </w:tc>
        <w:tc>
          <w:tcPr>
            <w:tcW w:w="1296" w:type="dxa"/>
            <w:tcBorders>
              <w:top w:val="single" w:sz="4" w:space="0" w:color="auto"/>
              <w:left w:val="nil"/>
              <w:bottom w:val="nil"/>
              <w:right w:val="nil"/>
            </w:tcBorders>
            <w:shd w:val="clear" w:color="auto" w:fill="auto"/>
            <w:noWrap/>
            <w:vAlign w:val="bottom"/>
            <w:hideMark/>
          </w:tcPr>
          <w:p w14:paraId="6761659A"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62704</w:t>
            </w:r>
          </w:p>
        </w:tc>
        <w:tc>
          <w:tcPr>
            <w:tcW w:w="1296" w:type="dxa"/>
            <w:tcBorders>
              <w:top w:val="single" w:sz="4" w:space="0" w:color="auto"/>
              <w:left w:val="nil"/>
              <w:bottom w:val="nil"/>
              <w:right w:val="nil"/>
            </w:tcBorders>
            <w:shd w:val="clear" w:color="auto" w:fill="auto"/>
            <w:noWrap/>
            <w:vAlign w:val="bottom"/>
            <w:hideMark/>
          </w:tcPr>
          <w:p w14:paraId="1E83A5C1"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63180</w:t>
            </w:r>
          </w:p>
        </w:tc>
      </w:tr>
      <w:tr w:rsidR="003D217E" w:rsidRPr="00970771" w14:paraId="344CBFF1" w14:textId="77777777" w:rsidTr="001740C5">
        <w:tc>
          <w:tcPr>
            <w:tcW w:w="1701" w:type="dxa"/>
            <w:tcBorders>
              <w:top w:val="nil"/>
              <w:left w:val="nil"/>
              <w:bottom w:val="nil"/>
              <w:right w:val="nil"/>
            </w:tcBorders>
            <w:shd w:val="clear" w:color="auto" w:fill="auto"/>
            <w:noWrap/>
            <w:vAlign w:val="bottom"/>
            <w:hideMark/>
          </w:tcPr>
          <w:p w14:paraId="6BF21585" w14:textId="77777777" w:rsidR="003D217E" w:rsidRPr="00970771" w:rsidRDefault="003D217E" w:rsidP="001740C5">
            <w:pPr>
              <w:adjustRightInd w:val="0"/>
              <w:snapToGrid w:val="0"/>
              <w:rPr>
                <w:color w:val="000000"/>
                <w:sz w:val="22"/>
                <w:szCs w:val="22"/>
                <w:lang w:val="en-AU" w:eastAsia="en-AU"/>
              </w:rPr>
            </w:pPr>
            <w:r w:rsidRPr="00970771">
              <w:rPr>
                <w:color w:val="000000"/>
                <w:sz w:val="22"/>
                <w:szCs w:val="22"/>
                <w:lang w:val="en-AU" w:eastAsia="en-AU"/>
              </w:rPr>
              <w:t>MSY</w:t>
            </w:r>
          </w:p>
        </w:tc>
        <w:tc>
          <w:tcPr>
            <w:tcW w:w="1134" w:type="dxa"/>
            <w:tcBorders>
              <w:top w:val="nil"/>
              <w:left w:val="nil"/>
              <w:bottom w:val="nil"/>
              <w:right w:val="nil"/>
            </w:tcBorders>
            <w:shd w:val="clear" w:color="auto" w:fill="auto"/>
            <w:noWrap/>
            <w:vAlign w:val="bottom"/>
            <w:hideMark/>
          </w:tcPr>
          <w:p w14:paraId="41308062"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100074</w:t>
            </w:r>
          </w:p>
        </w:tc>
        <w:tc>
          <w:tcPr>
            <w:tcW w:w="1053" w:type="dxa"/>
            <w:tcBorders>
              <w:top w:val="nil"/>
              <w:left w:val="nil"/>
              <w:bottom w:val="nil"/>
              <w:right w:val="nil"/>
            </w:tcBorders>
            <w:shd w:val="clear" w:color="auto" w:fill="auto"/>
            <w:noWrap/>
            <w:vAlign w:val="bottom"/>
            <w:hideMark/>
          </w:tcPr>
          <w:p w14:paraId="7CBA0D2F"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98080</w:t>
            </w:r>
          </w:p>
        </w:tc>
        <w:tc>
          <w:tcPr>
            <w:tcW w:w="1296" w:type="dxa"/>
            <w:tcBorders>
              <w:top w:val="nil"/>
              <w:left w:val="nil"/>
              <w:bottom w:val="nil"/>
              <w:right w:val="nil"/>
            </w:tcBorders>
            <w:shd w:val="clear" w:color="auto" w:fill="auto"/>
            <w:noWrap/>
            <w:vAlign w:val="bottom"/>
            <w:hideMark/>
          </w:tcPr>
          <w:p w14:paraId="0898BF43"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65040</w:t>
            </w:r>
          </w:p>
        </w:tc>
        <w:tc>
          <w:tcPr>
            <w:tcW w:w="1296" w:type="dxa"/>
            <w:tcBorders>
              <w:top w:val="nil"/>
              <w:left w:val="nil"/>
              <w:bottom w:val="nil"/>
              <w:right w:val="nil"/>
            </w:tcBorders>
            <w:shd w:val="clear" w:color="auto" w:fill="auto"/>
            <w:noWrap/>
            <w:vAlign w:val="bottom"/>
            <w:hideMark/>
          </w:tcPr>
          <w:p w14:paraId="66EE1221"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70856</w:t>
            </w:r>
          </w:p>
        </w:tc>
        <w:tc>
          <w:tcPr>
            <w:tcW w:w="1296" w:type="dxa"/>
            <w:tcBorders>
              <w:top w:val="nil"/>
              <w:left w:val="nil"/>
              <w:bottom w:val="nil"/>
              <w:right w:val="nil"/>
            </w:tcBorders>
            <w:shd w:val="clear" w:color="auto" w:fill="auto"/>
            <w:noWrap/>
            <w:vAlign w:val="bottom"/>
            <w:hideMark/>
          </w:tcPr>
          <w:p w14:paraId="563A5CF2"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130220</w:t>
            </w:r>
          </w:p>
        </w:tc>
        <w:tc>
          <w:tcPr>
            <w:tcW w:w="1296" w:type="dxa"/>
            <w:tcBorders>
              <w:top w:val="nil"/>
              <w:left w:val="nil"/>
              <w:bottom w:val="nil"/>
              <w:right w:val="nil"/>
            </w:tcBorders>
            <w:shd w:val="clear" w:color="auto" w:fill="auto"/>
            <w:noWrap/>
            <w:vAlign w:val="bottom"/>
            <w:hideMark/>
          </w:tcPr>
          <w:p w14:paraId="180C8B67"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162000</w:t>
            </w:r>
          </w:p>
        </w:tc>
      </w:tr>
      <w:tr w:rsidR="003D217E" w:rsidRPr="00970771" w14:paraId="3F64368F" w14:textId="77777777" w:rsidTr="001740C5">
        <w:tc>
          <w:tcPr>
            <w:tcW w:w="1701" w:type="dxa"/>
            <w:tcBorders>
              <w:top w:val="nil"/>
              <w:left w:val="nil"/>
              <w:bottom w:val="nil"/>
              <w:right w:val="nil"/>
            </w:tcBorders>
            <w:shd w:val="clear" w:color="auto" w:fill="auto"/>
            <w:noWrap/>
            <w:vAlign w:val="bottom"/>
            <w:hideMark/>
          </w:tcPr>
          <w:p w14:paraId="7F6C4C00" w14:textId="77777777" w:rsidR="003D217E" w:rsidRPr="00970771" w:rsidRDefault="003D217E" w:rsidP="001740C5">
            <w:pPr>
              <w:adjustRightInd w:val="0"/>
              <w:snapToGrid w:val="0"/>
              <w:rPr>
                <w:color w:val="000000"/>
                <w:sz w:val="22"/>
                <w:szCs w:val="22"/>
                <w:lang w:val="en-AU" w:eastAsia="en-AU"/>
              </w:rPr>
            </w:pPr>
            <w:r w:rsidRPr="00970771">
              <w:rPr>
                <w:color w:val="000000"/>
                <w:sz w:val="22"/>
                <w:szCs w:val="22"/>
                <w:lang w:val="en-AU" w:eastAsia="en-AU"/>
              </w:rPr>
              <w:t>YF</w:t>
            </w:r>
            <w:r w:rsidRPr="00970771">
              <w:rPr>
                <w:color w:val="000000"/>
                <w:sz w:val="22"/>
                <w:szCs w:val="22"/>
                <w:vertAlign w:val="subscript"/>
                <w:lang w:val="en-AU" w:eastAsia="en-AU"/>
              </w:rPr>
              <w:t>recentt</w:t>
            </w:r>
          </w:p>
        </w:tc>
        <w:tc>
          <w:tcPr>
            <w:tcW w:w="1134" w:type="dxa"/>
            <w:tcBorders>
              <w:top w:val="nil"/>
              <w:left w:val="nil"/>
              <w:bottom w:val="nil"/>
              <w:right w:val="nil"/>
            </w:tcBorders>
            <w:shd w:val="clear" w:color="auto" w:fill="auto"/>
            <w:noWrap/>
            <w:vAlign w:val="bottom"/>
            <w:hideMark/>
          </w:tcPr>
          <w:p w14:paraId="78AC98D4"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71579</w:t>
            </w:r>
          </w:p>
        </w:tc>
        <w:tc>
          <w:tcPr>
            <w:tcW w:w="1053" w:type="dxa"/>
            <w:tcBorders>
              <w:top w:val="nil"/>
              <w:left w:val="nil"/>
              <w:bottom w:val="nil"/>
              <w:right w:val="nil"/>
            </w:tcBorders>
            <w:shd w:val="clear" w:color="auto" w:fill="auto"/>
            <w:noWrap/>
            <w:vAlign w:val="bottom"/>
            <w:hideMark/>
          </w:tcPr>
          <w:p w14:paraId="106FEE89"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71780</w:t>
            </w:r>
          </w:p>
        </w:tc>
        <w:tc>
          <w:tcPr>
            <w:tcW w:w="1296" w:type="dxa"/>
            <w:tcBorders>
              <w:top w:val="nil"/>
              <w:left w:val="nil"/>
              <w:bottom w:val="nil"/>
              <w:right w:val="nil"/>
            </w:tcBorders>
            <w:shd w:val="clear" w:color="auto" w:fill="auto"/>
            <w:noWrap/>
            <w:vAlign w:val="bottom"/>
            <w:hideMark/>
          </w:tcPr>
          <w:p w14:paraId="311EB871"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56680</w:t>
            </w:r>
          </w:p>
        </w:tc>
        <w:tc>
          <w:tcPr>
            <w:tcW w:w="1296" w:type="dxa"/>
            <w:tcBorders>
              <w:top w:val="nil"/>
              <w:left w:val="nil"/>
              <w:bottom w:val="nil"/>
              <w:right w:val="nil"/>
            </w:tcBorders>
            <w:shd w:val="clear" w:color="auto" w:fill="auto"/>
            <w:noWrap/>
            <w:vAlign w:val="bottom"/>
            <w:hideMark/>
          </w:tcPr>
          <w:p w14:paraId="02968326"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62480</w:t>
            </w:r>
          </w:p>
        </w:tc>
        <w:tc>
          <w:tcPr>
            <w:tcW w:w="1296" w:type="dxa"/>
            <w:tcBorders>
              <w:top w:val="nil"/>
              <w:left w:val="nil"/>
              <w:bottom w:val="nil"/>
              <w:right w:val="nil"/>
            </w:tcBorders>
            <w:shd w:val="clear" w:color="auto" w:fill="auto"/>
            <w:noWrap/>
            <w:vAlign w:val="bottom"/>
            <w:hideMark/>
          </w:tcPr>
          <w:p w14:paraId="6331EFD7"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80432</w:t>
            </w:r>
          </w:p>
        </w:tc>
        <w:tc>
          <w:tcPr>
            <w:tcW w:w="1296" w:type="dxa"/>
            <w:tcBorders>
              <w:top w:val="nil"/>
              <w:left w:val="nil"/>
              <w:bottom w:val="nil"/>
              <w:right w:val="nil"/>
            </w:tcBorders>
            <w:shd w:val="clear" w:color="auto" w:fill="auto"/>
            <w:noWrap/>
            <w:vAlign w:val="bottom"/>
            <w:hideMark/>
          </w:tcPr>
          <w:p w14:paraId="0DCAFD4D"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89000</w:t>
            </w:r>
          </w:p>
        </w:tc>
      </w:tr>
      <w:tr w:rsidR="003D217E" w:rsidRPr="00970771" w14:paraId="005A3FB8" w14:textId="77777777" w:rsidTr="001740C5">
        <w:tc>
          <w:tcPr>
            <w:tcW w:w="1701" w:type="dxa"/>
            <w:tcBorders>
              <w:top w:val="nil"/>
              <w:left w:val="nil"/>
              <w:bottom w:val="nil"/>
              <w:right w:val="nil"/>
            </w:tcBorders>
            <w:shd w:val="clear" w:color="auto" w:fill="auto"/>
            <w:noWrap/>
            <w:vAlign w:val="bottom"/>
            <w:hideMark/>
          </w:tcPr>
          <w:p w14:paraId="028DDFA6" w14:textId="77777777" w:rsidR="003D217E" w:rsidRPr="00970771" w:rsidRDefault="003D217E" w:rsidP="001740C5">
            <w:pPr>
              <w:adjustRightInd w:val="0"/>
              <w:snapToGrid w:val="0"/>
              <w:rPr>
                <w:i/>
                <w:color w:val="000000"/>
                <w:sz w:val="22"/>
                <w:szCs w:val="22"/>
                <w:lang w:val="en-AU" w:eastAsia="en-AU"/>
              </w:rPr>
            </w:pPr>
            <w:r w:rsidRPr="00970771">
              <w:rPr>
                <w:i/>
                <w:color w:val="000000"/>
                <w:sz w:val="22"/>
                <w:szCs w:val="22"/>
                <w:lang w:val="en-AU" w:eastAsia="en-AU"/>
              </w:rPr>
              <w:t>fmult</w:t>
            </w:r>
          </w:p>
        </w:tc>
        <w:tc>
          <w:tcPr>
            <w:tcW w:w="1134" w:type="dxa"/>
            <w:tcBorders>
              <w:top w:val="nil"/>
              <w:left w:val="nil"/>
              <w:bottom w:val="nil"/>
              <w:right w:val="nil"/>
            </w:tcBorders>
            <w:shd w:val="clear" w:color="auto" w:fill="auto"/>
            <w:noWrap/>
            <w:vAlign w:val="bottom"/>
            <w:hideMark/>
          </w:tcPr>
          <w:p w14:paraId="17C992AA"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6.2</w:t>
            </w:r>
          </w:p>
        </w:tc>
        <w:tc>
          <w:tcPr>
            <w:tcW w:w="1053" w:type="dxa"/>
            <w:tcBorders>
              <w:top w:val="nil"/>
              <w:left w:val="nil"/>
              <w:bottom w:val="nil"/>
              <w:right w:val="nil"/>
            </w:tcBorders>
            <w:shd w:val="clear" w:color="auto" w:fill="auto"/>
            <w:noWrap/>
            <w:vAlign w:val="bottom"/>
            <w:hideMark/>
          </w:tcPr>
          <w:p w14:paraId="2B0C2F72"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4.96</w:t>
            </w:r>
          </w:p>
        </w:tc>
        <w:tc>
          <w:tcPr>
            <w:tcW w:w="1296" w:type="dxa"/>
            <w:tcBorders>
              <w:top w:val="nil"/>
              <w:left w:val="nil"/>
              <w:bottom w:val="nil"/>
              <w:right w:val="nil"/>
            </w:tcBorders>
            <w:shd w:val="clear" w:color="auto" w:fill="auto"/>
            <w:noWrap/>
            <w:vAlign w:val="bottom"/>
            <w:hideMark/>
          </w:tcPr>
          <w:p w14:paraId="0D84EEED"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1.89</w:t>
            </w:r>
          </w:p>
        </w:tc>
        <w:tc>
          <w:tcPr>
            <w:tcW w:w="1296" w:type="dxa"/>
            <w:tcBorders>
              <w:top w:val="nil"/>
              <w:left w:val="nil"/>
              <w:bottom w:val="nil"/>
              <w:right w:val="nil"/>
            </w:tcBorders>
            <w:shd w:val="clear" w:color="auto" w:fill="auto"/>
            <w:noWrap/>
            <w:vAlign w:val="bottom"/>
            <w:hideMark/>
          </w:tcPr>
          <w:p w14:paraId="3FCEAAA7"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2.44</w:t>
            </w:r>
          </w:p>
        </w:tc>
        <w:tc>
          <w:tcPr>
            <w:tcW w:w="1296" w:type="dxa"/>
            <w:tcBorders>
              <w:top w:val="nil"/>
              <w:left w:val="nil"/>
              <w:bottom w:val="nil"/>
              <w:right w:val="nil"/>
            </w:tcBorders>
            <w:shd w:val="clear" w:color="auto" w:fill="auto"/>
            <w:noWrap/>
            <w:vAlign w:val="bottom"/>
            <w:hideMark/>
          </w:tcPr>
          <w:p w14:paraId="7675971D"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12.05</w:t>
            </w:r>
          </w:p>
        </w:tc>
        <w:tc>
          <w:tcPr>
            <w:tcW w:w="1296" w:type="dxa"/>
            <w:tcBorders>
              <w:top w:val="nil"/>
              <w:left w:val="nil"/>
              <w:bottom w:val="nil"/>
              <w:right w:val="nil"/>
            </w:tcBorders>
            <w:shd w:val="clear" w:color="auto" w:fill="auto"/>
            <w:noWrap/>
            <w:vAlign w:val="bottom"/>
            <w:hideMark/>
          </w:tcPr>
          <w:p w14:paraId="18333A8F"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17.18</w:t>
            </w:r>
          </w:p>
        </w:tc>
      </w:tr>
      <w:tr w:rsidR="003D217E" w:rsidRPr="00970771" w14:paraId="418FC90F" w14:textId="77777777" w:rsidTr="001740C5">
        <w:tc>
          <w:tcPr>
            <w:tcW w:w="1701" w:type="dxa"/>
            <w:tcBorders>
              <w:top w:val="nil"/>
              <w:left w:val="nil"/>
              <w:bottom w:val="nil"/>
              <w:right w:val="nil"/>
            </w:tcBorders>
            <w:shd w:val="clear" w:color="auto" w:fill="auto"/>
            <w:noWrap/>
            <w:vAlign w:val="bottom"/>
            <w:hideMark/>
          </w:tcPr>
          <w:p w14:paraId="214B1910" w14:textId="77777777" w:rsidR="003D217E" w:rsidRPr="00970771" w:rsidRDefault="003D217E" w:rsidP="001740C5">
            <w:pPr>
              <w:adjustRightInd w:val="0"/>
              <w:snapToGrid w:val="0"/>
              <w:rPr>
                <w:color w:val="000000"/>
                <w:sz w:val="22"/>
                <w:szCs w:val="22"/>
                <w:lang w:val="en-AU" w:eastAsia="en-AU"/>
              </w:rPr>
            </w:pPr>
            <w:r w:rsidRPr="00970771">
              <w:rPr>
                <w:color w:val="000000"/>
                <w:sz w:val="22"/>
                <w:szCs w:val="22"/>
                <w:lang w:val="en-AU" w:eastAsia="en-AU"/>
              </w:rPr>
              <w:t>F</w:t>
            </w:r>
            <w:r w:rsidRPr="00970771">
              <w:rPr>
                <w:color w:val="000000"/>
                <w:sz w:val="22"/>
                <w:szCs w:val="22"/>
                <w:vertAlign w:val="subscript"/>
                <w:lang w:val="en-AU" w:eastAsia="en-AU"/>
              </w:rPr>
              <w:t>MSY</w:t>
            </w:r>
          </w:p>
        </w:tc>
        <w:tc>
          <w:tcPr>
            <w:tcW w:w="1134" w:type="dxa"/>
            <w:tcBorders>
              <w:top w:val="nil"/>
              <w:left w:val="nil"/>
              <w:bottom w:val="nil"/>
              <w:right w:val="nil"/>
            </w:tcBorders>
            <w:shd w:val="clear" w:color="auto" w:fill="auto"/>
            <w:noWrap/>
            <w:vAlign w:val="bottom"/>
            <w:hideMark/>
          </w:tcPr>
          <w:p w14:paraId="590D3C86"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0.07</w:t>
            </w:r>
          </w:p>
        </w:tc>
        <w:tc>
          <w:tcPr>
            <w:tcW w:w="1053" w:type="dxa"/>
            <w:tcBorders>
              <w:top w:val="nil"/>
              <w:left w:val="nil"/>
              <w:bottom w:val="nil"/>
              <w:right w:val="nil"/>
            </w:tcBorders>
            <w:shd w:val="clear" w:color="auto" w:fill="auto"/>
            <w:noWrap/>
            <w:vAlign w:val="bottom"/>
            <w:hideMark/>
          </w:tcPr>
          <w:p w14:paraId="6BD7D45E"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0.07</w:t>
            </w:r>
          </w:p>
        </w:tc>
        <w:tc>
          <w:tcPr>
            <w:tcW w:w="1296" w:type="dxa"/>
            <w:tcBorders>
              <w:top w:val="nil"/>
              <w:left w:val="nil"/>
              <w:bottom w:val="nil"/>
              <w:right w:val="nil"/>
            </w:tcBorders>
            <w:shd w:val="clear" w:color="auto" w:fill="auto"/>
            <w:noWrap/>
            <w:vAlign w:val="bottom"/>
            <w:hideMark/>
          </w:tcPr>
          <w:p w14:paraId="51FB055F"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0.05</w:t>
            </w:r>
          </w:p>
        </w:tc>
        <w:tc>
          <w:tcPr>
            <w:tcW w:w="1296" w:type="dxa"/>
            <w:tcBorders>
              <w:top w:val="nil"/>
              <w:left w:val="nil"/>
              <w:bottom w:val="nil"/>
              <w:right w:val="nil"/>
            </w:tcBorders>
            <w:shd w:val="clear" w:color="auto" w:fill="auto"/>
            <w:noWrap/>
            <w:vAlign w:val="bottom"/>
            <w:hideMark/>
          </w:tcPr>
          <w:p w14:paraId="2609E4A8"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0.05</w:t>
            </w:r>
          </w:p>
        </w:tc>
        <w:tc>
          <w:tcPr>
            <w:tcW w:w="1296" w:type="dxa"/>
            <w:tcBorders>
              <w:top w:val="nil"/>
              <w:left w:val="nil"/>
              <w:bottom w:val="nil"/>
              <w:right w:val="nil"/>
            </w:tcBorders>
            <w:shd w:val="clear" w:color="auto" w:fill="auto"/>
            <w:noWrap/>
            <w:vAlign w:val="bottom"/>
            <w:hideMark/>
          </w:tcPr>
          <w:p w14:paraId="6495BE05"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0.09</w:t>
            </w:r>
          </w:p>
        </w:tc>
        <w:tc>
          <w:tcPr>
            <w:tcW w:w="1296" w:type="dxa"/>
            <w:tcBorders>
              <w:top w:val="nil"/>
              <w:left w:val="nil"/>
              <w:bottom w:val="nil"/>
              <w:right w:val="nil"/>
            </w:tcBorders>
            <w:shd w:val="clear" w:color="auto" w:fill="auto"/>
            <w:noWrap/>
            <w:vAlign w:val="bottom"/>
            <w:hideMark/>
          </w:tcPr>
          <w:p w14:paraId="5FA7C079"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0.1</w:t>
            </w:r>
          </w:p>
        </w:tc>
      </w:tr>
      <w:tr w:rsidR="003D217E" w:rsidRPr="00970771" w14:paraId="460AE1F0" w14:textId="77777777" w:rsidTr="001740C5">
        <w:tc>
          <w:tcPr>
            <w:tcW w:w="1701" w:type="dxa"/>
            <w:tcBorders>
              <w:top w:val="nil"/>
              <w:left w:val="nil"/>
              <w:bottom w:val="nil"/>
              <w:right w:val="nil"/>
            </w:tcBorders>
            <w:shd w:val="clear" w:color="auto" w:fill="auto"/>
            <w:noWrap/>
            <w:vAlign w:val="bottom"/>
            <w:hideMark/>
          </w:tcPr>
          <w:p w14:paraId="44211BE4" w14:textId="77777777" w:rsidR="003D217E" w:rsidRPr="00970771" w:rsidRDefault="003D217E" w:rsidP="001740C5">
            <w:pPr>
              <w:adjustRightInd w:val="0"/>
              <w:snapToGrid w:val="0"/>
              <w:rPr>
                <w:color w:val="000000"/>
                <w:sz w:val="22"/>
                <w:szCs w:val="22"/>
                <w:lang w:val="en-AU" w:eastAsia="en-AU"/>
              </w:rPr>
            </w:pPr>
            <w:r w:rsidRPr="00970771">
              <w:rPr>
                <w:color w:val="000000"/>
                <w:sz w:val="22"/>
                <w:szCs w:val="22"/>
                <w:lang w:val="en-AU" w:eastAsia="en-AU"/>
              </w:rPr>
              <w:t>F</w:t>
            </w:r>
            <w:r w:rsidRPr="00970771">
              <w:rPr>
                <w:color w:val="000000"/>
                <w:sz w:val="22"/>
                <w:szCs w:val="22"/>
                <w:vertAlign w:val="subscript"/>
                <w:lang w:val="en-AU" w:eastAsia="en-AU"/>
              </w:rPr>
              <w:t>recent</w:t>
            </w:r>
            <w:r w:rsidRPr="00970771">
              <w:rPr>
                <w:color w:val="000000"/>
                <w:sz w:val="22"/>
                <w:szCs w:val="22"/>
                <w:lang w:val="en-AU" w:eastAsia="en-AU"/>
              </w:rPr>
              <w:t>/F</w:t>
            </w:r>
            <w:r w:rsidRPr="00970771">
              <w:rPr>
                <w:color w:val="000000"/>
                <w:sz w:val="22"/>
                <w:szCs w:val="22"/>
                <w:vertAlign w:val="subscript"/>
                <w:lang w:val="en-AU" w:eastAsia="en-AU"/>
              </w:rPr>
              <w:t>MSY</w:t>
            </w:r>
          </w:p>
        </w:tc>
        <w:tc>
          <w:tcPr>
            <w:tcW w:w="1134" w:type="dxa"/>
            <w:tcBorders>
              <w:top w:val="nil"/>
              <w:left w:val="nil"/>
              <w:bottom w:val="nil"/>
              <w:right w:val="nil"/>
            </w:tcBorders>
            <w:shd w:val="clear" w:color="auto" w:fill="auto"/>
            <w:noWrap/>
            <w:vAlign w:val="bottom"/>
            <w:hideMark/>
          </w:tcPr>
          <w:p w14:paraId="4537D2B1"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0.23</w:t>
            </w:r>
          </w:p>
        </w:tc>
        <w:tc>
          <w:tcPr>
            <w:tcW w:w="1053" w:type="dxa"/>
            <w:tcBorders>
              <w:top w:val="nil"/>
              <w:left w:val="nil"/>
              <w:bottom w:val="nil"/>
              <w:right w:val="nil"/>
            </w:tcBorders>
            <w:shd w:val="clear" w:color="auto" w:fill="auto"/>
            <w:noWrap/>
            <w:vAlign w:val="bottom"/>
            <w:hideMark/>
          </w:tcPr>
          <w:p w14:paraId="099ABA7A"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0.2</w:t>
            </w:r>
          </w:p>
        </w:tc>
        <w:tc>
          <w:tcPr>
            <w:tcW w:w="1296" w:type="dxa"/>
            <w:tcBorders>
              <w:top w:val="nil"/>
              <w:left w:val="nil"/>
              <w:bottom w:val="nil"/>
              <w:right w:val="nil"/>
            </w:tcBorders>
            <w:shd w:val="clear" w:color="auto" w:fill="auto"/>
            <w:noWrap/>
            <w:vAlign w:val="bottom"/>
            <w:hideMark/>
          </w:tcPr>
          <w:p w14:paraId="0FF09C8F"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0.06</w:t>
            </w:r>
          </w:p>
        </w:tc>
        <w:tc>
          <w:tcPr>
            <w:tcW w:w="1296" w:type="dxa"/>
            <w:tcBorders>
              <w:top w:val="nil"/>
              <w:left w:val="nil"/>
              <w:bottom w:val="nil"/>
              <w:right w:val="nil"/>
            </w:tcBorders>
            <w:shd w:val="clear" w:color="auto" w:fill="auto"/>
            <w:noWrap/>
            <w:vAlign w:val="bottom"/>
            <w:hideMark/>
          </w:tcPr>
          <w:p w14:paraId="1CB2E34E"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0.08</w:t>
            </w:r>
          </w:p>
        </w:tc>
        <w:tc>
          <w:tcPr>
            <w:tcW w:w="1296" w:type="dxa"/>
            <w:tcBorders>
              <w:top w:val="nil"/>
              <w:left w:val="nil"/>
              <w:bottom w:val="nil"/>
              <w:right w:val="nil"/>
            </w:tcBorders>
            <w:shd w:val="clear" w:color="auto" w:fill="auto"/>
            <w:noWrap/>
            <w:vAlign w:val="bottom"/>
            <w:hideMark/>
          </w:tcPr>
          <w:p w14:paraId="15C6FA82"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0.41</w:t>
            </w:r>
          </w:p>
        </w:tc>
        <w:tc>
          <w:tcPr>
            <w:tcW w:w="1296" w:type="dxa"/>
            <w:tcBorders>
              <w:top w:val="nil"/>
              <w:left w:val="nil"/>
              <w:bottom w:val="nil"/>
              <w:right w:val="nil"/>
            </w:tcBorders>
            <w:shd w:val="clear" w:color="auto" w:fill="auto"/>
            <w:noWrap/>
            <w:vAlign w:val="bottom"/>
            <w:hideMark/>
          </w:tcPr>
          <w:p w14:paraId="0D851888"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0.53</w:t>
            </w:r>
          </w:p>
        </w:tc>
      </w:tr>
      <w:tr w:rsidR="003D217E" w:rsidRPr="00970771" w14:paraId="6E3E8BD2" w14:textId="77777777" w:rsidTr="001740C5">
        <w:tc>
          <w:tcPr>
            <w:tcW w:w="1701" w:type="dxa"/>
            <w:tcBorders>
              <w:top w:val="nil"/>
              <w:left w:val="nil"/>
              <w:bottom w:val="nil"/>
              <w:right w:val="nil"/>
            </w:tcBorders>
            <w:shd w:val="clear" w:color="auto" w:fill="auto"/>
            <w:noWrap/>
            <w:vAlign w:val="bottom"/>
            <w:hideMark/>
          </w:tcPr>
          <w:p w14:paraId="2A8A876F" w14:textId="77777777" w:rsidR="003D217E" w:rsidRPr="00970771" w:rsidRDefault="003D217E" w:rsidP="001740C5">
            <w:pPr>
              <w:adjustRightInd w:val="0"/>
              <w:snapToGrid w:val="0"/>
              <w:rPr>
                <w:color w:val="000000"/>
                <w:sz w:val="22"/>
                <w:szCs w:val="22"/>
                <w:lang w:val="en-AU" w:eastAsia="en-AU"/>
              </w:rPr>
            </w:pPr>
            <w:r w:rsidRPr="00970771">
              <w:rPr>
                <w:color w:val="000000"/>
                <w:sz w:val="22"/>
                <w:szCs w:val="22"/>
                <w:lang w:val="en-AU" w:eastAsia="en-AU"/>
              </w:rPr>
              <w:t>SB</w:t>
            </w:r>
            <w:r w:rsidRPr="00970771">
              <w:rPr>
                <w:color w:val="000000"/>
                <w:sz w:val="22"/>
                <w:szCs w:val="22"/>
                <w:vertAlign w:val="subscript"/>
                <w:lang w:val="en-AU" w:eastAsia="en-AU"/>
              </w:rPr>
              <w:t>MSY</w:t>
            </w:r>
          </w:p>
        </w:tc>
        <w:tc>
          <w:tcPr>
            <w:tcW w:w="1134" w:type="dxa"/>
            <w:tcBorders>
              <w:top w:val="nil"/>
              <w:left w:val="nil"/>
              <w:bottom w:val="nil"/>
              <w:right w:val="nil"/>
            </w:tcBorders>
            <w:shd w:val="clear" w:color="auto" w:fill="auto"/>
            <w:noWrap/>
            <w:vAlign w:val="bottom"/>
            <w:hideMark/>
          </w:tcPr>
          <w:p w14:paraId="1F7A7F99"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71407</w:t>
            </w:r>
          </w:p>
        </w:tc>
        <w:tc>
          <w:tcPr>
            <w:tcW w:w="1053" w:type="dxa"/>
            <w:tcBorders>
              <w:top w:val="nil"/>
              <w:left w:val="nil"/>
              <w:bottom w:val="nil"/>
              <w:right w:val="nil"/>
            </w:tcBorders>
            <w:shd w:val="clear" w:color="auto" w:fill="auto"/>
            <w:noWrap/>
            <w:vAlign w:val="bottom"/>
            <w:hideMark/>
          </w:tcPr>
          <w:p w14:paraId="397DD4FE"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68650</w:t>
            </w:r>
          </w:p>
        </w:tc>
        <w:tc>
          <w:tcPr>
            <w:tcW w:w="1296" w:type="dxa"/>
            <w:tcBorders>
              <w:top w:val="nil"/>
              <w:left w:val="nil"/>
              <w:bottom w:val="nil"/>
              <w:right w:val="nil"/>
            </w:tcBorders>
            <w:shd w:val="clear" w:color="auto" w:fill="auto"/>
            <w:noWrap/>
            <w:vAlign w:val="bottom"/>
            <w:hideMark/>
          </w:tcPr>
          <w:p w14:paraId="2B60E7E5"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26760</w:t>
            </w:r>
          </w:p>
        </w:tc>
        <w:tc>
          <w:tcPr>
            <w:tcW w:w="1296" w:type="dxa"/>
            <w:tcBorders>
              <w:top w:val="nil"/>
              <w:left w:val="nil"/>
              <w:bottom w:val="nil"/>
              <w:right w:val="nil"/>
            </w:tcBorders>
            <w:shd w:val="clear" w:color="auto" w:fill="auto"/>
            <w:noWrap/>
            <w:vAlign w:val="bottom"/>
            <w:hideMark/>
          </w:tcPr>
          <w:p w14:paraId="3FAD0AF1"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39872</w:t>
            </w:r>
          </w:p>
        </w:tc>
        <w:tc>
          <w:tcPr>
            <w:tcW w:w="1296" w:type="dxa"/>
            <w:tcBorders>
              <w:top w:val="nil"/>
              <w:left w:val="nil"/>
              <w:bottom w:val="nil"/>
              <w:right w:val="nil"/>
            </w:tcBorders>
            <w:shd w:val="clear" w:color="auto" w:fill="auto"/>
            <w:noWrap/>
            <w:vAlign w:val="bottom"/>
            <w:hideMark/>
          </w:tcPr>
          <w:p w14:paraId="6C8995B7"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100773</w:t>
            </w:r>
          </w:p>
        </w:tc>
        <w:tc>
          <w:tcPr>
            <w:tcW w:w="1296" w:type="dxa"/>
            <w:tcBorders>
              <w:top w:val="nil"/>
              <w:left w:val="nil"/>
              <w:bottom w:val="nil"/>
              <w:right w:val="nil"/>
            </w:tcBorders>
            <w:shd w:val="clear" w:color="auto" w:fill="auto"/>
            <w:noWrap/>
            <w:vAlign w:val="bottom"/>
            <w:hideMark/>
          </w:tcPr>
          <w:p w14:paraId="75418956"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134000</w:t>
            </w:r>
          </w:p>
        </w:tc>
      </w:tr>
      <w:tr w:rsidR="003D217E" w:rsidRPr="00970771" w14:paraId="2485F968" w14:textId="77777777" w:rsidTr="001740C5">
        <w:tc>
          <w:tcPr>
            <w:tcW w:w="1701" w:type="dxa"/>
            <w:tcBorders>
              <w:top w:val="nil"/>
              <w:left w:val="nil"/>
              <w:bottom w:val="nil"/>
              <w:right w:val="nil"/>
            </w:tcBorders>
            <w:shd w:val="clear" w:color="auto" w:fill="auto"/>
            <w:noWrap/>
            <w:vAlign w:val="bottom"/>
            <w:hideMark/>
          </w:tcPr>
          <w:p w14:paraId="7086E090" w14:textId="77777777" w:rsidR="003D217E" w:rsidRPr="00970771" w:rsidRDefault="003D217E" w:rsidP="001740C5">
            <w:pPr>
              <w:adjustRightInd w:val="0"/>
              <w:snapToGrid w:val="0"/>
              <w:rPr>
                <w:color w:val="000000"/>
                <w:sz w:val="22"/>
                <w:szCs w:val="22"/>
                <w:lang w:val="en-AU" w:eastAsia="en-AU"/>
              </w:rPr>
            </w:pPr>
            <w:r w:rsidRPr="00970771">
              <w:rPr>
                <w:color w:val="000000"/>
                <w:sz w:val="22"/>
                <w:szCs w:val="22"/>
                <w:lang w:val="en-AU" w:eastAsia="en-AU"/>
              </w:rPr>
              <w:t>SB</w:t>
            </w:r>
            <w:r w:rsidRPr="00970771">
              <w:rPr>
                <w:color w:val="000000"/>
                <w:sz w:val="22"/>
                <w:szCs w:val="22"/>
                <w:vertAlign w:val="subscript"/>
                <w:lang w:val="en-AU" w:eastAsia="en-AU"/>
              </w:rPr>
              <w:t>0</w:t>
            </w:r>
          </w:p>
        </w:tc>
        <w:tc>
          <w:tcPr>
            <w:tcW w:w="1134" w:type="dxa"/>
            <w:tcBorders>
              <w:top w:val="nil"/>
              <w:left w:val="nil"/>
              <w:bottom w:val="nil"/>
              <w:right w:val="nil"/>
            </w:tcBorders>
            <w:shd w:val="clear" w:color="auto" w:fill="auto"/>
            <w:noWrap/>
            <w:vAlign w:val="bottom"/>
            <w:hideMark/>
          </w:tcPr>
          <w:p w14:paraId="0161D619"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443794</w:t>
            </w:r>
          </w:p>
        </w:tc>
        <w:tc>
          <w:tcPr>
            <w:tcW w:w="1053" w:type="dxa"/>
            <w:tcBorders>
              <w:top w:val="nil"/>
              <w:left w:val="nil"/>
              <w:bottom w:val="nil"/>
              <w:right w:val="nil"/>
            </w:tcBorders>
            <w:shd w:val="clear" w:color="auto" w:fill="auto"/>
            <w:noWrap/>
            <w:vAlign w:val="bottom"/>
            <w:hideMark/>
          </w:tcPr>
          <w:p w14:paraId="215F3235"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439800</w:t>
            </w:r>
          </w:p>
        </w:tc>
        <w:tc>
          <w:tcPr>
            <w:tcW w:w="1296" w:type="dxa"/>
            <w:tcBorders>
              <w:top w:val="nil"/>
              <w:left w:val="nil"/>
              <w:bottom w:val="nil"/>
              <w:right w:val="nil"/>
            </w:tcBorders>
            <w:shd w:val="clear" w:color="auto" w:fill="auto"/>
            <w:noWrap/>
            <w:vAlign w:val="bottom"/>
            <w:hideMark/>
          </w:tcPr>
          <w:p w14:paraId="5C15ECC7"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308800</w:t>
            </w:r>
          </w:p>
        </w:tc>
        <w:tc>
          <w:tcPr>
            <w:tcW w:w="1296" w:type="dxa"/>
            <w:tcBorders>
              <w:top w:val="nil"/>
              <w:left w:val="nil"/>
              <w:bottom w:val="nil"/>
              <w:right w:val="nil"/>
            </w:tcBorders>
            <w:shd w:val="clear" w:color="auto" w:fill="auto"/>
            <w:noWrap/>
            <w:vAlign w:val="bottom"/>
            <w:hideMark/>
          </w:tcPr>
          <w:p w14:paraId="5029653F"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353870</w:t>
            </w:r>
          </w:p>
        </w:tc>
        <w:tc>
          <w:tcPr>
            <w:tcW w:w="1296" w:type="dxa"/>
            <w:tcBorders>
              <w:top w:val="nil"/>
              <w:left w:val="nil"/>
              <w:bottom w:val="nil"/>
              <w:right w:val="nil"/>
            </w:tcBorders>
            <w:shd w:val="clear" w:color="auto" w:fill="auto"/>
            <w:noWrap/>
            <w:vAlign w:val="bottom"/>
            <w:hideMark/>
          </w:tcPr>
          <w:p w14:paraId="5F1E070A"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510530</w:t>
            </w:r>
          </w:p>
        </w:tc>
        <w:tc>
          <w:tcPr>
            <w:tcW w:w="1296" w:type="dxa"/>
            <w:tcBorders>
              <w:top w:val="nil"/>
              <w:left w:val="nil"/>
              <w:bottom w:val="nil"/>
              <w:right w:val="nil"/>
            </w:tcBorders>
            <w:shd w:val="clear" w:color="auto" w:fill="auto"/>
            <w:noWrap/>
            <w:vAlign w:val="bottom"/>
            <w:hideMark/>
          </w:tcPr>
          <w:p w14:paraId="1E00ECB7"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696200</w:t>
            </w:r>
          </w:p>
        </w:tc>
      </w:tr>
      <w:tr w:rsidR="003D217E" w:rsidRPr="00970771" w14:paraId="4FE10218" w14:textId="77777777" w:rsidTr="001740C5">
        <w:tc>
          <w:tcPr>
            <w:tcW w:w="1701" w:type="dxa"/>
            <w:tcBorders>
              <w:top w:val="nil"/>
              <w:left w:val="nil"/>
              <w:bottom w:val="nil"/>
              <w:right w:val="nil"/>
            </w:tcBorders>
            <w:shd w:val="clear" w:color="auto" w:fill="auto"/>
            <w:noWrap/>
            <w:vAlign w:val="bottom"/>
            <w:hideMark/>
          </w:tcPr>
          <w:p w14:paraId="42BDC4DA" w14:textId="77777777" w:rsidR="003D217E" w:rsidRPr="00970771" w:rsidRDefault="003D217E" w:rsidP="001740C5">
            <w:pPr>
              <w:adjustRightInd w:val="0"/>
              <w:snapToGrid w:val="0"/>
              <w:rPr>
                <w:color w:val="000000"/>
                <w:sz w:val="22"/>
                <w:szCs w:val="22"/>
                <w:lang w:val="en-AU" w:eastAsia="en-AU"/>
              </w:rPr>
            </w:pPr>
            <w:r w:rsidRPr="00970771">
              <w:rPr>
                <w:color w:val="000000"/>
                <w:sz w:val="22"/>
                <w:szCs w:val="22"/>
                <w:lang w:val="en-AU" w:eastAsia="en-AU"/>
              </w:rPr>
              <w:t>SB</w:t>
            </w:r>
            <w:r w:rsidRPr="00970771">
              <w:rPr>
                <w:color w:val="000000"/>
                <w:sz w:val="22"/>
                <w:szCs w:val="22"/>
                <w:vertAlign w:val="subscript"/>
                <w:lang w:val="en-AU" w:eastAsia="en-AU"/>
              </w:rPr>
              <w:t>MSY</w:t>
            </w:r>
            <w:r w:rsidRPr="00970771">
              <w:rPr>
                <w:color w:val="000000"/>
                <w:sz w:val="22"/>
                <w:szCs w:val="22"/>
                <w:lang w:val="en-AU" w:eastAsia="en-AU"/>
              </w:rPr>
              <w:t>/SB</w:t>
            </w:r>
            <w:r w:rsidRPr="00970771">
              <w:rPr>
                <w:color w:val="000000"/>
                <w:sz w:val="22"/>
                <w:szCs w:val="22"/>
                <w:vertAlign w:val="subscript"/>
                <w:lang w:val="en-AU" w:eastAsia="en-AU"/>
              </w:rPr>
              <w:t>0</w:t>
            </w:r>
          </w:p>
        </w:tc>
        <w:tc>
          <w:tcPr>
            <w:tcW w:w="1134" w:type="dxa"/>
            <w:tcBorders>
              <w:top w:val="nil"/>
              <w:left w:val="nil"/>
              <w:bottom w:val="nil"/>
              <w:right w:val="nil"/>
            </w:tcBorders>
            <w:shd w:val="clear" w:color="auto" w:fill="auto"/>
            <w:noWrap/>
            <w:vAlign w:val="bottom"/>
            <w:hideMark/>
          </w:tcPr>
          <w:p w14:paraId="0535B046"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0.16</w:t>
            </w:r>
          </w:p>
        </w:tc>
        <w:tc>
          <w:tcPr>
            <w:tcW w:w="1053" w:type="dxa"/>
            <w:tcBorders>
              <w:top w:val="nil"/>
              <w:left w:val="nil"/>
              <w:bottom w:val="nil"/>
              <w:right w:val="nil"/>
            </w:tcBorders>
            <w:shd w:val="clear" w:color="auto" w:fill="auto"/>
            <w:noWrap/>
            <w:vAlign w:val="bottom"/>
            <w:hideMark/>
          </w:tcPr>
          <w:p w14:paraId="77B80F12"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0.17</w:t>
            </w:r>
          </w:p>
        </w:tc>
        <w:tc>
          <w:tcPr>
            <w:tcW w:w="1296" w:type="dxa"/>
            <w:tcBorders>
              <w:top w:val="nil"/>
              <w:left w:val="nil"/>
              <w:bottom w:val="nil"/>
              <w:right w:val="nil"/>
            </w:tcBorders>
            <w:shd w:val="clear" w:color="auto" w:fill="auto"/>
            <w:noWrap/>
            <w:vAlign w:val="bottom"/>
            <w:hideMark/>
          </w:tcPr>
          <w:p w14:paraId="6B2714BB"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0.07</w:t>
            </w:r>
          </w:p>
        </w:tc>
        <w:tc>
          <w:tcPr>
            <w:tcW w:w="1296" w:type="dxa"/>
            <w:tcBorders>
              <w:top w:val="nil"/>
              <w:left w:val="nil"/>
              <w:bottom w:val="nil"/>
              <w:right w:val="nil"/>
            </w:tcBorders>
            <w:shd w:val="clear" w:color="auto" w:fill="auto"/>
            <w:noWrap/>
            <w:vAlign w:val="bottom"/>
            <w:hideMark/>
          </w:tcPr>
          <w:p w14:paraId="5553390D"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0.1</w:t>
            </w:r>
          </w:p>
        </w:tc>
        <w:tc>
          <w:tcPr>
            <w:tcW w:w="1296" w:type="dxa"/>
            <w:tcBorders>
              <w:top w:val="nil"/>
              <w:left w:val="nil"/>
              <w:bottom w:val="nil"/>
              <w:right w:val="nil"/>
            </w:tcBorders>
            <w:shd w:val="clear" w:color="auto" w:fill="auto"/>
            <w:noWrap/>
            <w:vAlign w:val="bottom"/>
            <w:hideMark/>
          </w:tcPr>
          <w:p w14:paraId="74C08FF2"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0.21</w:t>
            </w:r>
          </w:p>
        </w:tc>
        <w:tc>
          <w:tcPr>
            <w:tcW w:w="1296" w:type="dxa"/>
            <w:tcBorders>
              <w:top w:val="nil"/>
              <w:left w:val="nil"/>
              <w:bottom w:val="nil"/>
              <w:right w:val="nil"/>
            </w:tcBorders>
            <w:shd w:val="clear" w:color="auto" w:fill="auto"/>
            <w:noWrap/>
            <w:vAlign w:val="bottom"/>
            <w:hideMark/>
          </w:tcPr>
          <w:p w14:paraId="1A5F2A28"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0.23</w:t>
            </w:r>
          </w:p>
        </w:tc>
      </w:tr>
      <w:tr w:rsidR="003D217E" w:rsidRPr="00970771" w14:paraId="6F50ABAC" w14:textId="77777777" w:rsidTr="001740C5">
        <w:tc>
          <w:tcPr>
            <w:tcW w:w="1701" w:type="dxa"/>
            <w:tcBorders>
              <w:top w:val="nil"/>
              <w:left w:val="nil"/>
              <w:bottom w:val="nil"/>
              <w:right w:val="nil"/>
            </w:tcBorders>
            <w:shd w:val="clear" w:color="auto" w:fill="auto"/>
            <w:noWrap/>
            <w:vAlign w:val="bottom"/>
            <w:hideMark/>
          </w:tcPr>
          <w:p w14:paraId="061A2A17" w14:textId="77777777" w:rsidR="003D217E" w:rsidRPr="00970771" w:rsidRDefault="003D217E" w:rsidP="001740C5">
            <w:pPr>
              <w:adjustRightInd w:val="0"/>
              <w:snapToGrid w:val="0"/>
              <w:rPr>
                <w:color w:val="000000"/>
                <w:sz w:val="22"/>
                <w:szCs w:val="22"/>
                <w:lang w:val="en-AU" w:eastAsia="en-AU"/>
              </w:rPr>
            </w:pPr>
            <w:r w:rsidRPr="00970771">
              <w:rPr>
                <w:color w:val="000000"/>
                <w:sz w:val="22"/>
                <w:szCs w:val="22"/>
                <w:lang w:val="en-AU" w:eastAsia="en-AU"/>
              </w:rPr>
              <w:t>SB</w:t>
            </w:r>
            <w:r w:rsidRPr="00970771">
              <w:rPr>
                <w:color w:val="000000"/>
                <w:sz w:val="22"/>
                <w:szCs w:val="22"/>
                <w:vertAlign w:val="subscript"/>
                <w:lang w:val="en-AU" w:eastAsia="en-AU"/>
              </w:rPr>
              <w:t>F=0</w:t>
            </w:r>
          </w:p>
        </w:tc>
        <w:tc>
          <w:tcPr>
            <w:tcW w:w="1134" w:type="dxa"/>
            <w:tcBorders>
              <w:top w:val="nil"/>
              <w:left w:val="nil"/>
              <w:bottom w:val="nil"/>
              <w:right w:val="nil"/>
            </w:tcBorders>
            <w:shd w:val="clear" w:color="auto" w:fill="auto"/>
            <w:noWrap/>
            <w:vAlign w:val="bottom"/>
            <w:hideMark/>
          </w:tcPr>
          <w:p w14:paraId="34CD5FE4"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469004</w:t>
            </w:r>
          </w:p>
        </w:tc>
        <w:tc>
          <w:tcPr>
            <w:tcW w:w="1053" w:type="dxa"/>
            <w:tcBorders>
              <w:top w:val="nil"/>
              <w:left w:val="nil"/>
              <w:bottom w:val="nil"/>
              <w:right w:val="nil"/>
            </w:tcBorders>
            <w:shd w:val="clear" w:color="auto" w:fill="auto"/>
            <w:noWrap/>
            <w:vAlign w:val="bottom"/>
            <w:hideMark/>
          </w:tcPr>
          <w:p w14:paraId="45E475C2"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462633</w:t>
            </w:r>
          </w:p>
        </w:tc>
        <w:tc>
          <w:tcPr>
            <w:tcW w:w="1296" w:type="dxa"/>
            <w:tcBorders>
              <w:top w:val="nil"/>
              <w:left w:val="nil"/>
              <w:bottom w:val="nil"/>
              <w:right w:val="nil"/>
            </w:tcBorders>
            <w:shd w:val="clear" w:color="auto" w:fill="auto"/>
            <w:noWrap/>
            <w:vAlign w:val="bottom"/>
            <w:hideMark/>
          </w:tcPr>
          <w:p w14:paraId="68867BB3"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380092</w:t>
            </w:r>
          </w:p>
        </w:tc>
        <w:tc>
          <w:tcPr>
            <w:tcW w:w="1296" w:type="dxa"/>
            <w:tcBorders>
              <w:top w:val="nil"/>
              <w:left w:val="nil"/>
              <w:bottom w:val="nil"/>
              <w:right w:val="nil"/>
            </w:tcBorders>
            <w:shd w:val="clear" w:color="auto" w:fill="auto"/>
            <w:noWrap/>
            <w:vAlign w:val="bottom"/>
            <w:hideMark/>
          </w:tcPr>
          <w:p w14:paraId="0A447545"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407792</w:t>
            </w:r>
          </w:p>
        </w:tc>
        <w:tc>
          <w:tcPr>
            <w:tcW w:w="1296" w:type="dxa"/>
            <w:tcBorders>
              <w:top w:val="nil"/>
              <w:left w:val="nil"/>
              <w:bottom w:val="nil"/>
              <w:right w:val="nil"/>
            </w:tcBorders>
            <w:shd w:val="clear" w:color="auto" w:fill="auto"/>
            <w:noWrap/>
            <w:vAlign w:val="bottom"/>
            <w:hideMark/>
          </w:tcPr>
          <w:p w14:paraId="7F53997A"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534040</w:t>
            </w:r>
          </w:p>
        </w:tc>
        <w:tc>
          <w:tcPr>
            <w:tcW w:w="1296" w:type="dxa"/>
            <w:tcBorders>
              <w:top w:val="nil"/>
              <w:left w:val="nil"/>
              <w:bottom w:val="nil"/>
              <w:right w:val="nil"/>
            </w:tcBorders>
            <w:shd w:val="clear" w:color="auto" w:fill="auto"/>
            <w:noWrap/>
            <w:vAlign w:val="bottom"/>
            <w:hideMark/>
          </w:tcPr>
          <w:p w14:paraId="4533CD1D"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620000</w:t>
            </w:r>
          </w:p>
        </w:tc>
      </w:tr>
      <w:tr w:rsidR="003D217E" w:rsidRPr="00970771" w14:paraId="0C5CA34E" w14:textId="77777777" w:rsidTr="001740C5">
        <w:tc>
          <w:tcPr>
            <w:tcW w:w="1701" w:type="dxa"/>
            <w:tcBorders>
              <w:top w:val="nil"/>
              <w:left w:val="nil"/>
              <w:bottom w:val="nil"/>
              <w:right w:val="nil"/>
            </w:tcBorders>
            <w:shd w:val="clear" w:color="auto" w:fill="auto"/>
            <w:noWrap/>
            <w:vAlign w:val="bottom"/>
            <w:hideMark/>
          </w:tcPr>
          <w:p w14:paraId="04D6D309" w14:textId="77777777" w:rsidR="003D217E" w:rsidRPr="00970771" w:rsidRDefault="003D217E" w:rsidP="001740C5">
            <w:pPr>
              <w:adjustRightInd w:val="0"/>
              <w:snapToGrid w:val="0"/>
              <w:rPr>
                <w:color w:val="000000"/>
                <w:sz w:val="22"/>
                <w:szCs w:val="22"/>
                <w:lang w:val="en-AU" w:eastAsia="en-AU"/>
              </w:rPr>
            </w:pPr>
            <w:r w:rsidRPr="00970771">
              <w:rPr>
                <w:color w:val="000000"/>
                <w:sz w:val="22"/>
                <w:szCs w:val="22"/>
                <w:lang w:val="en-AU" w:eastAsia="en-AU"/>
              </w:rPr>
              <w:t>SB</w:t>
            </w:r>
            <w:r w:rsidRPr="00970771">
              <w:rPr>
                <w:color w:val="000000"/>
                <w:sz w:val="22"/>
                <w:szCs w:val="22"/>
                <w:vertAlign w:val="subscript"/>
                <w:lang w:val="en-AU" w:eastAsia="en-AU"/>
              </w:rPr>
              <w:t>MSY</w:t>
            </w:r>
            <w:r w:rsidRPr="00970771">
              <w:rPr>
                <w:color w:val="000000"/>
                <w:sz w:val="22"/>
                <w:szCs w:val="22"/>
                <w:lang w:val="en-AU" w:eastAsia="en-AU"/>
              </w:rPr>
              <w:t>/SB</w:t>
            </w:r>
            <w:r w:rsidRPr="00970771">
              <w:rPr>
                <w:color w:val="000000"/>
                <w:sz w:val="22"/>
                <w:szCs w:val="22"/>
                <w:vertAlign w:val="subscript"/>
                <w:lang w:val="en-AU" w:eastAsia="en-AU"/>
              </w:rPr>
              <w:t>F=0</w:t>
            </w:r>
          </w:p>
        </w:tc>
        <w:tc>
          <w:tcPr>
            <w:tcW w:w="1134" w:type="dxa"/>
            <w:tcBorders>
              <w:top w:val="nil"/>
              <w:left w:val="nil"/>
              <w:bottom w:val="nil"/>
              <w:right w:val="nil"/>
            </w:tcBorders>
            <w:shd w:val="clear" w:color="auto" w:fill="auto"/>
            <w:noWrap/>
            <w:vAlign w:val="bottom"/>
            <w:hideMark/>
          </w:tcPr>
          <w:p w14:paraId="406AA2F6"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0.15</w:t>
            </w:r>
          </w:p>
        </w:tc>
        <w:tc>
          <w:tcPr>
            <w:tcW w:w="1053" w:type="dxa"/>
            <w:tcBorders>
              <w:top w:val="nil"/>
              <w:left w:val="nil"/>
              <w:bottom w:val="nil"/>
              <w:right w:val="nil"/>
            </w:tcBorders>
            <w:shd w:val="clear" w:color="auto" w:fill="auto"/>
            <w:noWrap/>
            <w:vAlign w:val="bottom"/>
            <w:hideMark/>
          </w:tcPr>
          <w:p w14:paraId="55FA9507"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0.15</w:t>
            </w:r>
          </w:p>
        </w:tc>
        <w:tc>
          <w:tcPr>
            <w:tcW w:w="1296" w:type="dxa"/>
            <w:tcBorders>
              <w:top w:val="nil"/>
              <w:left w:val="nil"/>
              <w:bottom w:val="nil"/>
              <w:right w:val="nil"/>
            </w:tcBorders>
            <w:shd w:val="clear" w:color="auto" w:fill="auto"/>
            <w:noWrap/>
            <w:vAlign w:val="bottom"/>
            <w:hideMark/>
          </w:tcPr>
          <w:p w14:paraId="09340955"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0.06</w:t>
            </w:r>
          </w:p>
        </w:tc>
        <w:tc>
          <w:tcPr>
            <w:tcW w:w="1296" w:type="dxa"/>
            <w:tcBorders>
              <w:top w:val="nil"/>
              <w:left w:val="nil"/>
              <w:bottom w:val="nil"/>
              <w:right w:val="nil"/>
            </w:tcBorders>
            <w:shd w:val="clear" w:color="auto" w:fill="auto"/>
            <w:noWrap/>
            <w:vAlign w:val="bottom"/>
            <w:hideMark/>
          </w:tcPr>
          <w:p w14:paraId="2C56C8EA"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0.09</w:t>
            </w:r>
          </w:p>
        </w:tc>
        <w:tc>
          <w:tcPr>
            <w:tcW w:w="1296" w:type="dxa"/>
            <w:tcBorders>
              <w:top w:val="nil"/>
              <w:left w:val="nil"/>
              <w:bottom w:val="nil"/>
              <w:right w:val="nil"/>
            </w:tcBorders>
            <w:shd w:val="clear" w:color="auto" w:fill="auto"/>
            <w:noWrap/>
            <w:vAlign w:val="bottom"/>
            <w:hideMark/>
          </w:tcPr>
          <w:p w14:paraId="186673FB"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0.2</w:t>
            </w:r>
          </w:p>
        </w:tc>
        <w:tc>
          <w:tcPr>
            <w:tcW w:w="1296" w:type="dxa"/>
            <w:tcBorders>
              <w:top w:val="nil"/>
              <w:left w:val="nil"/>
              <w:bottom w:val="nil"/>
              <w:right w:val="nil"/>
            </w:tcBorders>
            <w:shd w:val="clear" w:color="auto" w:fill="auto"/>
            <w:noWrap/>
            <w:vAlign w:val="bottom"/>
            <w:hideMark/>
          </w:tcPr>
          <w:p w14:paraId="2D7C15CA"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0.22</w:t>
            </w:r>
          </w:p>
        </w:tc>
      </w:tr>
      <w:tr w:rsidR="003D217E" w:rsidRPr="00970771" w14:paraId="754E4275" w14:textId="77777777" w:rsidTr="001740C5">
        <w:tc>
          <w:tcPr>
            <w:tcW w:w="1701" w:type="dxa"/>
            <w:tcBorders>
              <w:top w:val="nil"/>
              <w:left w:val="nil"/>
              <w:bottom w:val="nil"/>
              <w:right w:val="nil"/>
            </w:tcBorders>
            <w:shd w:val="clear" w:color="auto" w:fill="auto"/>
            <w:noWrap/>
            <w:vAlign w:val="bottom"/>
            <w:hideMark/>
          </w:tcPr>
          <w:p w14:paraId="58F18E4C" w14:textId="77777777" w:rsidR="003D217E" w:rsidRPr="00970771" w:rsidRDefault="003D217E" w:rsidP="001740C5">
            <w:pPr>
              <w:adjustRightInd w:val="0"/>
              <w:snapToGrid w:val="0"/>
              <w:rPr>
                <w:color w:val="000000"/>
                <w:sz w:val="22"/>
                <w:szCs w:val="22"/>
                <w:lang w:val="en-AU" w:eastAsia="en-AU"/>
              </w:rPr>
            </w:pPr>
            <w:r w:rsidRPr="00970771">
              <w:rPr>
                <w:color w:val="000000"/>
                <w:sz w:val="22"/>
                <w:szCs w:val="22"/>
                <w:lang w:val="en-AU" w:eastAsia="en-AU"/>
              </w:rPr>
              <w:t>SB</w:t>
            </w:r>
            <w:r w:rsidRPr="00970771">
              <w:rPr>
                <w:color w:val="000000"/>
                <w:sz w:val="22"/>
                <w:szCs w:val="22"/>
                <w:vertAlign w:val="subscript"/>
                <w:lang w:val="en-AU" w:eastAsia="en-AU"/>
              </w:rPr>
              <w:t>latest</w:t>
            </w:r>
            <w:r w:rsidRPr="00970771">
              <w:rPr>
                <w:color w:val="000000"/>
                <w:sz w:val="22"/>
                <w:szCs w:val="22"/>
                <w:lang w:val="en-AU" w:eastAsia="en-AU"/>
              </w:rPr>
              <w:t>/SB</w:t>
            </w:r>
            <w:r w:rsidRPr="00970771">
              <w:rPr>
                <w:color w:val="000000"/>
                <w:sz w:val="22"/>
                <w:szCs w:val="22"/>
                <w:vertAlign w:val="subscript"/>
                <w:lang w:val="en-AU" w:eastAsia="en-AU"/>
              </w:rPr>
              <w:t>0</w:t>
            </w:r>
          </w:p>
        </w:tc>
        <w:tc>
          <w:tcPr>
            <w:tcW w:w="1134" w:type="dxa"/>
            <w:tcBorders>
              <w:top w:val="nil"/>
              <w:left w:val="nil"/>
              <w:bottom w:val="nil"/>
              <w:right w:val="nil"/>
            </w:tcBorders>
            <w:shd w:val="clear" w:color="auto" w:fill="auto"/>
            <w:noWrap/>
            <w:vAlign w:val="bottom"/>
            <w:hideMark/>
          </w:tcPr>
          <w:p w14:paraId="45ECE4D5"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0.55</w:t>
            </w:r>
          </w:p>
        </w:tc>
        <w:tc>
          <w:tcPr>
            <w:tcW w:w="1053" w:type="dxa"/>
            <w:tcBorders>
              <w:top w:val="nil"/>
              <w:left w:val="nil"/>
              <w:bottom w:val="nil"/>
              <w:right w:val="nil"/>
            </w:tcBorders>
            <w:shd w:val="clear" w:color="auto" w:fill="auto"/>
            <w:noWrap/>
            <w:vAlign w:val="bottom"/>
            <w:hideMark/>
          </w:tcPr>
          <w:p w14:paraId="2C139672"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0.56</w:t>
            </w:r>
          </w:p>
        </w:tc>
        <w:tc>
          <w:tcPr>
            <w:tcW w:w="1296" w:type="dxa"/>
            <w:tcBorders>
              <w:top w:val="nil"/>
              <w:left w:val="nil"/>
              <w:bottom w:val="nil"/>
              <w:right w:val="nil"/>
            </w:tcBorders>
            <w:shd w:val="clear" w:color="auto" w:fill="auto"/>
            <w:noWrap/>
            <w:vAlign w:val="bottom"/>
            <w:hideMark/>
          </w:tcPr>
          <w:p w14:paraId="067F6FCE"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0.33</w:t>
            </w:r>
          </w:p>
        </w:tc>
        <w:tc>
          <w:tcPr>
            <w:tcW w:w="1296" w:type="dxa"/>
            <w:tcBorders>
              <w:top w:val="nil"/>
              <w:left w:val="nil"/>
              <w:bottom w:val="nil"/>
              <w:right w:val="nil"/>
            </w:tcBorders>
            <w:shd w:val="clear" w:color="auto" w:fill="auto"/>
            <w:noWrap/>
            <w:vAlign w:val="bottom"/>
            <w:hideMark/>
          </w:tcPr>
          <w:p w14:paraId="61F0E3E3"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0.42</w:t>
            </w:r>
          </w:p>
        </w:tc>
        <w:tc>
          <w:tcPr>
            <w:tcW w:w="1296" w:type="dxa"/>
            <w:tcBorders>
              <w:top w:val="nil"/>
              <w:left w:val="nil"/>
              <w:bottom w:val="nil"/>
              <w:right w:val="nil"/>
            </w:tcBorders>
            <w:shd w:val="clear" w:color="auto" w:fill="auto"/>
            <w:noWrap/>
            <w:vAlign w:val="bottom"/>
            <w:hideMark/>
          </w:tcPr>
          <w:p w14:paraId="71636230"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0.69</w:t>
            </w:r>
          </w:p>
        </w:tc>
        <w:tc>
          <w:tcPr>
            <w:tcW w:w="1296" w:type="dxa"/>
            <w:tcBorders>
              <w:top w:val="nil"/>
              <w:left w:val="nil"/>
              <w:bottom w:val="nil"/>
              <w:right w:val="nil"/>
            </w:tcBorders>
            <w:shd w:val="clear" w:color="auto" w:fill="auto"/>
            <w:noWrap/>
            <w:vAlign w:val="bottom"/>
            <w:hideMark/>
          </w:tcPr>
          <w:p w14:paraId="0CBACCC4"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0.74</w:t>
            </w:r>
          </w:p>
        </w:tc>
      </w:tr>
      <w:tr w:rsidR="003D217E" w:rsidRPr="00970771" w14:paraId="0E104AAA" w14:textId="77777777" w:rsidTr="001740C5">
        <w:tc>
          <w:tcPr>
            <w:tcW w:w="1701" w:type="dxa"/>
            <w:tcBorders>
              <w:top w:val="nil"/>
              <w:left w:val="nil"/>
              <w:bottom w:val="nil"/>
              <w:right w:val="nil"/>
            </w:tcBorders>
            <w:shd w:val="clear" w:color="auto" w:fill="auto"/>
            <w:noWrap/>
            <w:vAlign w:val="bottom"/>
            <w:hideMark/>
          </w:tcPr>
          <w:p w14:paraId="565878BD" w14:textId="77777777" w:rsidR="003D217E" w:rsidRPr="00970771" w:rsidRDefault="003D217E" w:rsidP="001740C5">
            <w:pPr>
              <w:adjustRightInd w:val="0"/>
              <w:snapToGrid w:val="0"/>
              <w:rPr>
                <w:color w:val="000000"/>
                <w:sz w:val="22"/>
                <w:szCs w:val="22"/>
                <w:lang w:val="en-AU" w:eastAsia="en-AU"/>
              </w:rPr>
            </w:pPr>
            <w:r w:rsidRPr="00970771">
              <w:rPr>
                <w:color w:val="000000"/>
                <w:sz w:val="22"/>
                <w:szCs w:val="22"/>
                <w:lang w:val="en-AU" w:eastAsia="en-AU"/>
              </w:rPr>
              <w:t>SB</w:t>
            </w:r>
            <w:r w:rsidRPr="00970771">
              <w:rPr>
                <w:color w:val="000000"/>
                <w:sz w:val="22"/>
                <w:szCs w:val="22"/>
                <w:vertAlign w:val="subscript"/>
                <w:lang w:val="en-AU" w:eastAsia="en-AU"/>
              </w:rPr>
              <w:t>latest</w:t>
            </w:r>
            <w:r w:rsidRPr="00970771">
              <w:rPr>
                <w:color w:val="000000"/>
                <w:sz w:val="22"/>
                <w:szCs w:val="22"/>
                <w:lang w:val="en-AU" w:eastAsia="en-AU"/>
              </w:rPr>
              <w:t>/SB</w:t>
            </w:r>
            <w:r w:rsidRPr="00970771">
              <w:rPr>
                <w:color w:val="000000"/>
                <w:sz w:val="22"/>
                <w:szCs w:val="22"/>
                <w:vertAlign w:val="subscript"/>
                <w:lang w:val="en-AU" w:eastAsia="en-AU"/>
              </w:rPr>
              <w:t>F=0</w:t>
            </w:r>
          </w:p>
        </w:tc>
        <w:tc>
          <w:tcPr>
            <w:tcW w:w="1134" w:type="dxa"/>
            <w:tcBorders>
              <w:top w:val="nil"/>
              <w:left w:val="nil"/>
              <w:bottom w:val="nil"/>
              <w:right w:val="nil"/>
            </w:tcBorders>
            <w:shd w:val="clear" w:color="auto" w:fill="auto"/>
            <w:noWrap/>
            <w:vAlign w:val="bottom"/>
            <w:hideMark/>
          </w:tcPr>
          <w:p w14:paraId="1B1CDCC7"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0.53</w:t>
            </w:r>
          </w:p>
        </w:tc>
        <w:tc>
          <w:tcPr>
            <w:tcW w:w="1053" w:type="dxa"/>
            <w:tcBorders>
              <w:top w:val="nil"/>
              <w:left w:val="nil"/>
              <w:bottom w:val="nil"/>
              <w:right w:val="nil"/>
            </w:tcBorders>
            <w:shd w:val="clear" w:color="auto" w:fill="auto"/>
            <w:noWrap/>
            <w:vAlign w:val="bottom"/>
            <w:hideMark/>
          </w:tcPr>
          <w:p w14:paraId="3D4E8A45"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0.52</w:t>
            </w:r>
          </w:p>
        </w:tc>
        <w:tc>
          <w:tcPr>
            <w:tcW w:w="1296" w:type="dxa"/>
            <w:tcBorders>
              <w:top w:val="nil"/>
              <w:left w:val="nil"/>
              <w:bottom w:val="nil"/>
              <w:right w:val="nil"/>
            </w:tcBorders>
            <w:shd w:val="clear" w:color="auto" w:fill="auto"/>
            <w:noWrap/>
            <w:vAlign w:val="bottom"/>
            <w:hideMark/>
          </w:tcPr>
          <w:p w14:paraId="091B59F4"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0.3</w:t>
            </w:r>
          </w:p>
        </w:tc>
        <w:tc>
          <w:tcPr>
            <w:tcW w:w="1296" w:type="dxa"/>
            <w:tcBorders>
              <w:top w:val="nil"/>
              <w:left w:val="nil"/>
              <w:bottom w:val="nil"/>
              <w:right w:val="nil"/>
            </w:tcBorders>
            <w:shd w:val="clear" w:color="auto" w:fill="auto"/>
            <w:noWrap/>
            <w:vAlign w:val="bottom"/>
            <w:hideMark/>
          </w:tcPr>
          <w:p w14:paraId="795693CB"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0.37</w:t>
            </w:r>
          </w:p>
        </w:tc>
        <w:tc>
          <w:tcPr>
            <w:tcW w:w="1296" w:type="dxa"/>
            <w:tcBorders>
              <w:top w:val="nil"/>
              <w:left w:val="nil"/>
              <w:bottom w:val="nil"/>
              <w:right w:val="nil"/>
            </w:tcBorders>
            <w:shd w:val="clear" w:color="auto" w:fill="auto"/>
            <w:noWrap/>
            <w:vAlign w:val="bottom"/>
            <w:hideMark/>
          </w:tcPr>
          <w:p w14:paraId="0970CEC2"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0.69</w:t>
            </w:r>
          </w:p>
        </w:tc>
        <w:tc>
          <w:tcPr>
            <w:tcW w:w="1296" w:type="dxa"/>
            <w:tcBorders>
              <w:top w:val="nil"/>
              <w:left w:val="nil"/>
              <w:bottom w:val="nil"/>
              <w:right w:val="nil"/>
            </w:tcBorders>
            <w:shd w:val="clear" w:color="auto" w:fill="auto"/>
            <w:noWrap/>
            <w:vAlign w:val="bottom"/>
            <w:hideMark/>
          </w:tcPr>
          <w:p w14:paraId="47B88D44"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0.77</w:t>
            </w:r>
          </w:p>
        </w:tc>
      </w:tr>
      <w:tr w:rsidR="003D217E" w:rsidRPr="00970771" w14:paraId="5A0ECDA2" w14:textId="77777777" w:rsidTr="001740C5">
        <w:tc>
          <w:tcPr>
            <w:tcW w:w="1701" w:type="dxa"/>
            <w:tcBorders>
              <w:top w:val="nil"/>
              <w:left w:val="nil"/>
              <w:bottom w:val="nil"/>
              <w:right w:val="nil"/>
            </w:tcBorders>
            <w:shd w:val="clear" w:color="auto" w:fill="auto"/>
            <w:noWrap/>
            <w:vAlign w:val="bottom"/>
            <w:hideMark/>
          </w:tcPr>
          <w:p w14:paraId="220D10E2" w14:textId="77777777" w:rsidR="003D217E" w:rsidRPr="00970771" w:rsidRDefault="003D217E" w:rsidP="001740C5">
            <w:pPr>
              <w:adjustRightInd w:val="0"/>
              <w:snapToGrid w:val="0"/>
              <w:rPr>
                <w:color w:val="000000"/>
                <w:sz w:val="22"/>
                <w:szCs w:val="22"/>
                <w:lang w:val="en-AU" w:eastAsia="en-AU"/>
              </w:rPr>
            </w:pPr>
            <w:r w:rsidRPr="00970771">
              <w:rPr>
                <w:color w:val="000000"/>
                <w:sz w:val="22"/>
                <w:szCs w:val="22"/>
                <w:lang w:val="en-AU" w:eastAsia="en-AU"/>
              </w:rPr>
              <w:t>SB</w:t>
            </w:r>
            <w:r w:rsidRPr="00970771">
              <w:rPr>
                <w:color w:val="000000"/>
                <w:sz w:val="22"/>
                <w:szCs w:val="22"/>
                <w:vertAlign w:val="subscript"/>
                <w:lang w:val="en-AU" w:eastAsia="en-AU"/>
              </w:rPr>
              <w:t>latest</w:t>
            </w:r>
            <w:r w:rsidRPr="00970771">
              <w:rPr>
                <w:color w:val="000000"/>
                <w:sz w:val="22"/>
                <w:szCs w:val="22"/>
                <w:lang w:val="en-AU" w:eastAsia="en-AU"/>
              </w:rPr>
              <w:t>/SB</w:t>
            </w:r>
            <w:r w:rsidRPr="00970771">
              <w:rPr>
                <w:color w:val="000000"/>
                <w:sz w:val="22"/>
                <w:szCs w:val="22"/>
                <w:vertAlign w:val="subscript"/>
                <w:lang w:val="en-AU" w:eastAsia="en-AU"/>
              </w:rPr>
              <w:t>MSY</w:t>
            </w:r>
          </w:p>
        </w:tc>
        <w:tc>
          <w:tcPr>
            <w:tcW w:w="1134" w:type="dxa"/>
            <w:tcBorders>
              <w:top w:val="nil"/>
              <w:left w:val="nil"/>
              <w:bottom w:val="nil"/>
              <w:right w:val="nil"/>
            </w:tcBorders>
            <w:shd w:val="clear" w:color="auto" w:fill="auto"/>
            <w:noWrap/>
            <w:vAlign w:val="bottom"/>
            <w:hideMark/>
          </w:tcPr>
          <w:p w14:paraId="6A4D7F9F"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4</w:t>
            </w:r>
          </w:p>
        </w:tc>
        <w:tc>
          <w:tcPr>
            <w:tcW w:w="1053" w:type="dxa"/>
            <w:tcBorders>
              <w:top w:val="nil"/>
              <w:left w:val="nil"/>
              <w:bottom w:val="nil"/>
              <w:right w:val="nil"/>
            </w:tcBorders>
            <w:shd w:val="clear" w:color="auto" w:fill="auto"/>
            <w:noWrap/>
            <w:vAlign w:val="bottom"/>
            <w:hideMark/>
          </w:tcPr>
          <w:p w14:paraId="3A25E894"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3.42</w:t>
            </w:r>
          </w:p>
        </w:tc>
        <w:tc>
          <w:tcPr>
            <w:tcW w:w="1296" w:type="dxa"/>
            <w:tcBorders>
              <w:top w:val="nil"/>
              <w:left w:val="nil"/>
              <w:bottom w:val="nil"/>
              <w:right w:val="nil"/>
            </w:tcBorders>
            <w:shd w:val="clear" w:color="auto" w:fill="auto"/>
            <w:noWrap/>
            <w:vAlign w:val="bottom"/>
            <w:hideMark/>
          </w:tcPr>
          <w:p w14:paraId="5B584C3B"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1.45</w:t>
            </w:r>
          </w:p>
        </w:tc>
        <w:tc>
          <w:tcPr>
            <w:tcW w:w="1296" w:type="dxa"/>
            <w:tcBorders>
              <w:top w:val="nil"/>
              <w:left w:val="nil"/>
              <w:bottom w:val="nil"/>
              <w:right w:val="nil"/>
            </w:tcBorders>
            <w:shd w:val="clear" w:color="auto" w:fill="auto"/>
            <w:noWrap/>
            <w:vAlign w:val="bottom"/>
            <w:hideMark/>
          </w:tcPr>
          <w:p w14:paraId="657164CC"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1.96</w:t>
            </w:r>
          </w:p>
        </w:tc>
        <w:tc>
          <w:tcPr>
            <w:tcW w:w="1296" w:type="dxa"/>
            <w:tcBorders>
              <w:top w:val="nil"/>
              <w:left w:val="nil"/>
              <w:bottom w:val="nil"/>
              <w:right w:val="nil"/>
            </w:tcBorders>
            <w:shd w:val="clear" w:color="auto" w:fill="auto"/>
            <w:noWrap/>
            <w:vAlign w:val="bottom"/>
            <w:hideMark/>
          </w:tcPr>
          <w:p w14:paraId="4A34DF7E"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7.07</w:t>
            </w:r>
          </w:p>
        </w:tc>
        <w:tc>
          <w:tcPr>
            <w:tcW w:w="1296" w:type="dxa"/>
            <w:tcBorders>
              <w:top w:val="nil"/>
              <w:left w:val="nil"/>
              <w:bottom w:val="nil"/>
              <w:right w:val="nil"/>
            </w:tcBorders>
            <w:shd w:val="clear" w:color="auto" w:fill="auto"/>
            <w:noWrap/>
            <w:vAlign w:val="bottom"/>
            <w:hideMark/>
          </w:tcPr>
          <w:p w14:paraId="696EC880"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10.74</w:t>
            </w:r>
          </w:p>
        </w:tc>
      </w:tr>
      <w:tr w:rsidR="003D217E" w:rsidRPr="00970771" w14:paraId="03330E18" w14:textId="77777777" w:rsidTr="001740C5">
        <w:tc>
          <w:tcPr>
            <w:tcW w:w="1701" w:type="dxa"/>
            <w:tcBorders>
              <w:top w:val="nil"/>
              <w:left w:val="nil"/>
              <w:right w:val="nil"/>
            </w:tcBorders>
            <w:shd w:val="clear" w:color="auto" w:fill="auto"/>
            <w:noWrap/>
            <w:vAlign w:val="bottom"/>
            <w:hideMark/>
          </w:tcPr>
          <w:p w14:paraId="04F3B8B7" w14:textId="77777777" w:rsidR="003D217E" w:rsidRPr="00970771" w:rsidRDefault="003D217E" w:rsidP="001740C5">
            <w:pPr>
              <w:adjustRightInd w:val="0"/>
              <w:snapToGrid w:val="0"/>
              <w:rPr>
                <w:color w:val="000000"/>
                <w:sz w:val="22"/>
                <w:szCs w:val="22"/>
                <w:lang w:val="en-AU" w:eastAsia="en-AU"/>
              </w:rPr>
            </w:pPr>
            <w:r w:rsidRPr="00970771">
              <w:rPr>
                <w:color w:val="000000"/>
                <w:sz w:val="22"/>
                <w:szCs w:val="22"/>
                <w:lang w:val="en-AU" w:eastAsia="en-AU"/>
              </w:rPr>
              <w:t>SB</w:t>
            </w:r>
            <w:r w:rsidRPr="00970771">
              <w:rPr>
                <w:color w:val="000000"/>
                <w:sz w:val="22"/>
                <w:szCs w:val="22"/>
                <w:vertAlign w:val="subscript"/>
                <w:lang w:val="en-AU" w:eastAsia="en-AU"/>
              </w:rPr>
              <w:t>recent</w:t>
            </w:r>
            <w:r w:rsidRPr="00970771">
              <w:rPr>
                <w:color w:val="000000"/>
                <w:sz w:val="22"/>
                <w:szCs w:val="22"/>
                <w:lang w:val="en-AU" w:eastAsia="en-AU"/>
              </w:rPr>
              <w:t>/SB</w:t>
            </w:r>
            <w:r w:rsidRPr="00970771">
              <w:rPr>
                <w:color w:val="000000"/>
                <w:sz w:val="22"/>
                <w:szCs w:val="22"/>
                <w:vertAlign w:val="subscript"/>
                <w:lang w:val="en-AU" w:eastAsia="en-AU"/>
              </w:rPr>
              <w:t>F=0</w:t>
            </w:r>
          </w:p>
        </w:tc>
        <w:tc>
          <w:tcPr>
            <w:tcW w:w="1134" w:type="dxa"/>
            <w:tcBorders>
              <w:top w:val="nil"/>
              <w:left w:val="nil"/>
              <w:right w:val="nil"/>
            </w:tcBorders>
            <w:shd w:val="clear" w:color="auto" w:fill="auto"/>
            <w:noWrap/>
            <w:vAlign w:val="bottom"/>
            <w:hideMark/>
          </w:tcPr>
          <w:p w14:paraId="1501F76F"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0.51</w:t>
            </w:r>
          </w:p>
        </w:tc>
        <w:tc>
          <w:tcPr>
            <w:tcW w:w="1053" w:type="dxa"/>
            <w:tcBorders>
              <w:top w:val="nil"/>
              <w:left w:val="nil"/>
              <w:right w:val="nil"/>
            </w:tcBorders>
            <w:shd w:val="clear" w:color="auto" w:fill="auto"/>
            <w:noWrap/>
            <w:vAlign w:val="bottom"/>
            <w:hideMark/>
          </w:tcPr>
          <w:p w14:paraId="077E2496"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0.52</w:t>
            </w:r>
          </w:p>
        </w:tc>
        <w:tc>
          <w:tcPr>
            <w:tcW w:w="1296" w:type="dxa"/>
            <w:tcBorders>
              <w:top w:val="nil"/>
              <w:left w:val="nil"/>
              <w:right w:val="nil"/>
            </w:tcBorders>
            <w:shd w:val="clear" w:color="auto" w:fill="auto"/>
            <w:noWrap/>
            <w:vAlign w:val="bottom"/>
            <w:hideMark/>
          </w:tcPr>
          <w:p w14:paraId="0D4E3802"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0.32</w:t>
            </w:r>
          </w:p>
        </w:tc>
        <w:tc>
          <w:tcPr>
            <w:tcW w:w="1296" w:type="dxa"/>
            <w:tcBorders>
              <w:top w:val="nil"/>
              <w:left w:val="nil"/>
              <w:right w:val="nil"/>
            </w:tcBorders>
            <w:shd w:val="clear" w:color="auto" w:fill="auto"/>
            <w:noWrap/>
            <w:vAlign w:val="bottom"/>
            <w:hideMark/>
          </w:tcPr>
          <w:p w14:paraId="0CC749F8"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0.37</w:t>
            </w:r>
          </w:p>
        </w:tc>
        <w:tc>
          <w:tcPr>
            <w:tcW w:w="1296" w:type="dxa"/>
            <w:tcBorders>
              <w:top w:val="nil"/>
              <w:left w:val="nil"/>
              <w:right w:val="nil"/>
            </w:tcBorders>
            <w:shd w:val="clear" w:color="auto" w:fill="auto"/>
            <w:noWrap/>
            <w:vAlign w:val="bottom"/>
            <w:hideMark/>
          </w:tcPr>
          <w:p w14:paraId="546D6D22"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0.63</w:t>
            </w:r>
          </w:p>
        </w:tc>
        <w:tc>
          <w:tcPr>
            <w:tcW w:w="1296" w:type="dxa"/>
            <w:tcBorders>
              <w:top w:val="nil"/>
              <w:left w:val="nil"/>
              <w:right w:val="nil"/>
            </w:tcBorders>
            <w:shd w:val="clear" w:color="auto" w:fill="auto"/>
            <w:noWrap/>
            <w:vAlign w:val="bottom"/>
            <w:hideMark/>
          </w:tcPr>
          <w:p w14:paraId="05009A7B"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0.72</w:t>
            </w:r>
          </w:p>
        </w:tc>
      </w:tr>
      <w:tr w:rsidR="003D217E" w:rsidRPr="00970771" w14:paraId="152FBF1D" w14:textId="77777777" w:rsidTr="001740C5">
        <w:tc>
          <w:tcPr>
            <w:tcW w:w="1701" w:type="dxa"/>
            <w:tcBorders>
              <w:top w:val="nil"/>
              <w:left w:val="nil"/>
              <w:bottom w:val="single" w:sz="4" w:space="0" w:color="auto"/>
              <w:right w:val="nil"/>
            </w:tcBorders>
            <w:shd w:val="clear" w:color="auto" w:fill="auto"/>
            <w:noWrap/>
            <w:vAlign w:val="bottom"/>
            <w:hideMark/>
          </w:tcPr>
          <w:p w14:paraId="58B0650A" w14:textId="77777777" w:rsidR="003D217E" w:rsidRPr="00970771" w:rsidRDefault="003D217E" w:rsidP="001740C5">
            <w:pPr>
              <w:adjustRightInd w:val="0"/>
              <w:snapToGrid w:val="0"/>
              <w:rPr>
                <w:color w:val="000000"/>
                <w:sz w:val="22"/>
                <w:szCs w:val="22"/>
                <w:lang w:val="en-AU" w:eastAsia="en-AU"/>
              </w:rPr>
            </w:pPr>
            <w:r w:rsidRPr="00970771">
              <w:rPr>
                <w:color w:val="000000"/>
                <w:sz w:val="22"/>
                <w:szCs w:val="22"/>
                <w:lang w:val="en-AU" w:eastAsia="en-AU"/>
              </w:rPr>
              <w:t>SB</w:t>
            </w:r>
            <w:r w:rsidRPr="00970771">
              <w:rPr>
                <w:color w:val="000000"/>
                <w:sz w:val="22"/>
                <w:szCs w:val="22"/>
                <w:vertAlign w:val="subscript"/>
                <w:lang w:val="en-AU" w:eastAsia="en-AU"/>
              </w:rPr>
              <w:t>recent</w:t>
            </w:r>
            <w:r w:rsidRPr="00970771">
              <w:rPr>
                <w:color w:val="000000"/>
                <w:sz w:val="22"/>
                <w:szCs w:val="22"/>
                <w:lang w:val="en-AU" w:eastAsia="en-AU"/>
              </w:rPr>
              <w:t>/SB</w:t>
            </w:r>
            <w:r w:rsidRPr="00970771">
              <w:rPr>
                <w:color w:val="000000"/>
                <w:sz w:val="22"/>
                <w:szCs w:val="22"/>
                <w:vertAlign w:val="subscript"/>
                <w:lang w:val="en-AU" w:eastAsia="en-AU"/>
              </w:rPr>
              <w:t>MSY</w:t>
            </w:r>
          </w:p>
        </w:tc>
        <w:tc>
          <w:tcPr>
            <w:tcW w:w="1134" w:type="dxa"/>
            <w:tcBorders>
              <w:top w:val="nil"/>
              <w:left w:val="nil"/>
              <w:bottom w:val="single" w:sz="4" w:space="0" w:color="auto"/>
              <w:right w:val="nil"/>
            </w:tcBorders>
            <w:shd w:val="clear" w:color="auto" w:fill="auto"/>
            <w:noWrap/>
            <w:vAlign w:val="bottom"/>
            <w:hideMark/>
          </w:tcPr>
          <w:p w14:paraId="022124EE"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3.88</w:t>
            </w:r>
          </w:p>
        </w:tc>
        <w:tc>
          <w:tcPr>
            <w:tcW w:w="1053" w:type="dxa"/>
            <w:tcBorders>
              <w:top w:val="nil"/>
              <w:left w:val="nil"/>
              <w:bottom w:val="single" w:sz="4" w:space="0" w:color="auto"/>
              <w:right w:val="nil"/>
            </w:tcBorders>
            <w:shd w:val="clear" w:color="auto" w:fill="auto"/>
            <w:noWrap/>
            <w:vAlign w:val="bottom"/>
            <w:hideMark/>
          </w:tcPr>
          <w:p w14:paraId="4C925EFB"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3.3</w:t>
            </w:r>
          </w:p>
        </w:tc>
        <w:tc>
          <w:tcPr>
            <w:tcW w:w="1296" w:type="dxa"/>
            <w:tcBorders>
              <w:top w:val="nil"/>
              <w:left w:val="nil"/>
              <w:bottom w:val="single" w:sz="4" w:space="0" w:color="auto"/>
              <w:right w:val="nil"/>
            </w:tcBorders>
            <w:shd w:val="clear" w:color="auto" w:fill="auto"/>
            <w:noWrap/>
            <w:vAlign w:val="bottom"/>
            <w:hideMark/>
          </w:tcPr>
          <w:p w14:paraId="26529695"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1.58</w:t>
            </w:r>
          </w:p>
        </w:tc>
        <w:tc>
          <w:tcPr>
            <w:tcW w:w="1296" w:type="dxa"/>
            <w:tcBorders>
              <w:top w:val="nil"/>
              <w:left w:val="nil"/>
              <w:bottom w:val="single" w:sz="4" w:space="0" w:color="auto"/>
              <w:right w:val="nil"/>
            </w:tcBorders>
            <w:shd w:val="clear" w:color="auto" w:fill="auto"/>
            <w:noWrap/>
            <w:vAlign w:val="bottom"/>
            <w:hideMark/>
          </w:tcPr>
          <w:p w14:paraId="4967A2FA"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1.96</w:t>
            </w:r>
          </w:p>
        </w:tc>
        <w:tc>
          <w:tcPr>
            <w:tcW w:w="1296" w:type="dxa"/>
            <w:tcBorders>
              <w:top w:val="nil"/>
              <w:left w:val="nil"/>
              <w:bottom w:val="single" w:sz="4" w:space="0" w:color="auto"/>
              <w:right w:val="nil"/>
            </w:tcBorders>
            <w:shd w:val="clear" w:color="auto" w:fill="auto"/>
            <w:noWrap/>
            <w:vAlign w:val="bottom"/>
            <w:hideMark/>
          </w:tcPr>
          <w:p w14:paraId="27E42A49"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6.56</w:t>
            </w:r>
          </w:p>
        </w:tc>
        <w:tc>
          <w:tcPr>
            <w:tcW w:w="1296" w:type="dxa"/>
            <w:tcBorders>
              <w:top w:val="nil"/>
              <w:left w:val="nil"/>
              <w:bottom w:val="single" w:sz="4" w:space="0" w:color="auto"/>
              <w:right w:val="nil"/>
            </w:tcBorders>
            <w:shd w:val="clear" w:color="auto" w:fill="auto"/>
            <w:noWrap/>
            <w:vAlign w:val="bottom"/>
            <w:hideMark/>
          </w:tcPr>
          <w:p w14:paraId="773707B6" w14:textId="77777777" w:rsidR="003D217E" w:rsidRPr="00970771" w:rsidRDefault="003D217E" w:rsidP="001740C5">
            <w:pPr>
              <w:adjustRightInd w:val="0"/>
              <w:snapToGrid w:val="0"/>
              <w:jc w:val="center"/>
              <w:rPr>
                <w:color w:val="000000"/>
                <w:sz w:val="22"/>
                <w:szCs w:val="22"/>
                <w:lang w:val="en-AU" w:eastAsia="en-AU"/>
              </w:rPr>
            </w:pPr>
            <w:r w:rsidRPr="00970771">
              <w:rPr>
                <w:color w:val="000000"/>
                <w:sz w:val="22"/>
                <w:szCs w:val="22"/>
                <w:lang w:val="en-AU" w:eastAsia="en-AU"/>
              </w:rPr>
              <w:t>9.67</w:t>
            </w:r>
          </w:p>
        </w:tc>
      </w:tr>
    </w:tbl>
    <w:p w14:paraId="63C387E3" w14:textId="77777777" w:rsidR="003D217E" w:rsidRDefault="003D217E" w:rsidP="003D217E">
      <w:pPr>
        <w:pStyle w:val="WCPFC"/>
        <w:numPr>
          <w:ilvl w:val="0"/>
          <w:numId w:val="0"/>
        </w:numPr>
        <w:adjustRightInd w:val="0"/>
        <w:spacing w:after="0"/>
        <w:ind w:left="360"/>
        <w:rPr>
          <w:rFonts w:cs="Times New Roman"/>
          <w:b/>
          <w:lang w:eastAsia="ko-KR"/>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631"/>
      </w:tblGrid>
      <w:tr w:rsidR="003D217E" w14:paraId="6229C1FA" w14:textId="77777777" w:rsidTr="001740C5">
        <w:tc>
          <w:tcPr>
            <w:tcW w:w="4788" w:type="dxa"/>
          </w:tcPr>
          <w:p w14:paraId="5F40ECD3" w14:textId="77777777" w:rsidR="003D217E" w:rsidRDefault="003D217E" w:rsidP="001740C5">
            <w:pPr>
              <w:pStyle w:val="WCPFC"/>
              <w:numPr>
                <w:ilvl w:val="0"/>
                <w:numId w:val="0"/>
              </w:numPr>
              <w:adjustRightInd w:val="0"/>
              <w:spacing w:after="0"/>
              <w:rPr>
                <w:rFonts w:cs="Times New Roman"/>
                <w:b/>
                <w:lang w:eastAsia="ko-KR"/>
              </w:rPr>
            </w:pPr>
            <w:r w:rsidRPr="004635E5">
              <w:rPr>
                <w:rFonts w:cs="Times New Roman"/>
                <w:noProof/>
                <w:lang w:val="en-US" w:eastAsia="zh-CN" w:bidi="mn-Mong-CN"/>
              </w:rPr>
              <w:lastRenderedPageBreak/>
              <w:drawing>
                <wp:inline distT="0" distB="0" distL="0" distR="0" wp14:anchorId="3477F65E" wp14:editId="79333E79">
                  <wp:extent cx="2746251" cy="1981200"/>
                  <wp:effectExtent l="0" t="0" r="0" b="0"/>
                  <wp:docPr id="286" name="Picture 1" descr="ALB-region-map-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region-map-20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53122" cy="1986157"/>
                          </a:xfrm>
                          <a:prstGeom prst="rect">
                            <a:avLst/>
                          </a:prstGeom>
                          <a:noFill/>
                          <a:ln>
                            <a:noFill/>
                          </a:ln>
                        </pic:spPr>
                      </pic:pic>
                    </a:graphicData>
                  </a:graphic>
                </wp:inline>
              </w:drawing>
            </w:r>
          </w:p>
        </w:tc>
        <w:tc>
          <w:tcPr>
            <w:tcW w:w="4788" w:type="dxa"/>
          </w:tcPr>
          <w:p w14:paraId="58CA40EE" w14:textId="77777777" w:rsidR="003D217E" w:rsidRDefault="003D217E" w:rsidP="001740C5">
            <w:pPr>
              <w:pStyle w:val="WCPFC"/>
              <w:numPr>
                <w:ilvl w:val="0"/>
                <w:numId w:val="0"/>
              </w:numPr>
              <w:adjustRightInd w:val="0"/>
              <w:spacing w:after="0"/>
              <w:rPr>
                <w:rFonts w:cs="Times New Roman"/>
                <w:b/>
                <w:lang w:eastAsia="ko-KR"/>
              </w:rPr>
            </w:pPr>
            <w:r w:rsidRPr="004635E5">
              <w:rPr>
                <w:rFonts w:cs="Times New Roman"/>
                <w:noProof/>
                <w:lang w:val="en-US" w:eastAsia="zh-CN" w:bidi="mn-Mong-CN"/>
              </w:rPr>
              <w:drawing>
                <wp:inline distT="0" distB="0" distL="0" distR="0" wp14:anchorId="3DF0AF5A" wp14:editId="5583F23A">
                  <wp:extent cx="2781701" cy="2047875"/>
                  <wp:effectExtent l="0" t="0" r="0" b="0"/>
                  <wp:docPr id="287" name="Picture 2" descr="plot_timeseries_catch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ot_timeseries_catch_FUL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82436" cy="2048416"/>
                          </a:xfrm>
                          <a:prstGeom prst="rect">
                            <a:avLst/>
                          </a:prstGeom>
                          <a:noFill/>
                          <a:ln>
                            <a:noFill/>
                          </a:ln>
                        </pic:spPr>
                      </pic:pic>
                    </a:graphicData>
                  </a:graphic>
                </wp:inline>
              </w:drawing>
            </w:r>
          </w:p>
        </w:tc>
      </w:tr>
      <w:tr w:rsidR="003D217E" w14:paraId="639382F7" w14:textId="77777777" w:rsidTr="001740C5">
        <w:tc>
          <w:tcPr>
            <w:tcW w:w="4788" w:type="dxa"/>
          </w:tcPr>
          <w:p w14:paraId="770373A7" w14:textId="4E7F5142" w:rsidR="003D217E" w:rsidRDefault="003D217E" w:rsidP="001740C5">
            <w:pPr>
              <w:pStyle w:val="WCPFC"/>
              <w:numPr>
                <w:ilvl w:val="0"/>
                <w:numId w:val="0"/>
              </w:numPr>
              <w:adjustRightInd w:val="0"/>
              <w:spacing w:after="0"/>
              <w:rPr>
                <w:rFonts w:cs="Times New Roman"/>
                <w:b/>
                <w:lang w:eastAsia="ko-KR"/>
              </w:rPr>
            </w:pPr>
            <w:r w:rsidRPr="004635E5">
              <w:rPr>
                <w:rFonts w:cs="Times New Roman"/>
                <w:b/>
              </w:rPr>
              <w:t xml:space="preserve">Figure SPA- </w:t>
            </w:r>
            <w:r w:rsidRPr="004635E5">
              <w:rPr>
                <w:rFonts w:cs="Times New Roman"/>
                <w:b/>
                <w:noProof/>
              </w:rPr>
              <w:fldChar w:fldCharType="begin"/>
            </w:r>
            <w:r w:rsidRPr="004635E5">
              <w:rPr>
                <w:rFonts w:cs="Times New Roman"/>
                <w:b/>
                <w:noProof/>
              </w:rPr>
              <w:instrText xml:space="preserve"> SEQ Figure \* ARABIC </w:instrText>
            </w:r>
            <w:r w:rsidRPr="004635E5">
              <w:rPr>
                <w:rFonts w:cs="Times New Roman"/>
                <w:b/>
                <w:noProof/>
              </w:rPr>
              <w:fldChar w:fldCharType="separate"/>
            </w:r>
            <w:r w:rsidR="00117A6F">
              <w:rPr>
                <w:rFonts w:cs="Times New Roman"/>
                <w:b/>
                <w:noProof/>
              </w:rPr>
              <w:t>1</w:t>
            </w:r>
            <w:r w:rsidRPr="004635E5">
              <w:rPr>
                <w:rFonts w:cs="Times New Roman"/>
                <w:b/>
                <w:noProof/>
              </w:rPr>
              <w:fldChar w:fldCharType="end"/>
            </w:r>
            <w:r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 xml:space="preserve">The geographical area covered by the stock assessment and the boundaries for the 5 regions under the </w:t>
            </w:r>
            <w:r>
              <w:rPr>
                <w:rStyle w:val="fontstyle01"/>
                <w:rFonts w:ascii="Times New Roman" w:hAnsi="Times New Roman" w:cs="Times New Roman"/>
                <w:color w:val="auto"/>
                <w:lang w:eastAsia="ko-KR"/>
              </w:rPr>
              <w:t>“</w:t>
            </w:r>
            <w:r w:rsidRPr="004635E5">
              <w:rPr>
                <w:rStyle w:val="fontstyle01"/>
                <w:rFonts w:ascii="Times New Roman" w:hAnsi="Times New Roman" w:cs="Times New Roman"/>
                <w:color w:val="auto"/>
              </w:rPr>
              <w:t>updated 2018 regional structure".</w:t>
            </w:r>
          </w:p>
        </w:tc>
        <w:tc>
          <w:tcPr>
            <w:tcW w:w="4788" w:type="dxa"/>
          </w:tcPr>
          <w:p w14:paraId="5A78B3B8" w14:textId="1A84ADF6" w:rsidR="003D217E" w:rsidRPr="00E70D84" w:rsidRDefault="003D217E" w:rsidP="001740C5">
            <w:pPr>
              <w:pStyle w:val="WCPFC"/>
              <w:numPr>
                <w:ilvl w:val="0"/>
                <w:numId w:val="0"/>
              </w:numPr>
              <w:adjustRightInd w:val="0"/>
              <w:spacing w:after="0"/>
              <w:ind w:left="5"/>
              <w:rPr>
                <w:rFonts w:cs="Times New Roman"/>
                <w:lang w:eastAsia="ko-KR"/>
              </w:rPr>
            </w:pPr>
            <w:r w:rsidRPr="004635E5">
              <w:rPr>
                <w:rFonts w:cs="Times New Roman"/>
                <w:b/>
              </w:rPr>
              <w:t xml:space="preserve">Figure SPA- </w:t>
            </w:r>
            <w:r w:rsidRPr="004635E5">
              <w:rPr>
                <w:rFonts w:cs="Times New Roman"/>
                <w:b/>
                <w:noProof/>
              </w:rPr>
              <w:fldChar w:fldCharType="begin"/>
            </w:r>
            <w:r w:rsidRPr="004635E5">
              <w:rPr>
                <w:rFonts w:cs="Times New Roman"/>
                <w:b/>
                <w:noProof/>
              </w:rPr>
              <w:instrText xml:space="preserve"> SEQ Figure \* ARABIC </w:instrText>
            </w:r>
            <w:r w:rsidRPr="004635E5">
              <w:rPr>
                <w:rFonts w:cs="Times New Roman"/>
                <w:b/>
                <w:noProof/>
              </w:rPr>
              <w:fldChar w:fldCharType="separate"/>
            </w:r>
            <w:r w:rsidR="00117A6F">
              <w:rPr>
                <w:rFonts w:cs="Times New Roman"/>
                <w:b/>
                <w:noProof/>
              </w:rPr>
              <w:t>2</w:t>
            </w:r>
            <w:r w:rsidRPr="004635E5">
              <w:rPr>
                <w:rFonts w:cs="Times New Roman"/>
                <w:b/>
                <w:noProof/>
              </w:rPr>
              <w:fldChar w:fldCharType="end"/>
            </w:r>
            <w:r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Time series of total annual catch (1000’s mt) by fishing gear for the diagnostic case model over the full assessment period. The different colours refer to longline (green), troll (yellow) and driftnet (turquoise). Note that the catch by longline gear has been converted into catch-in-weight from catch-in-numbers.</w:t>
            </w:r>
          </w:p>
        </w:tc>
      </w:tr>
    </w:tbl>
    <w:p w14:paraId="2D1437DD" w14:textId="77777777" w:rsidR="003D217E" w:rsidRDefault="003D217E" w:rsidP="003D217E">
      <w:pPr>
        <w:pStyle w:val="WCPFC"/>
        <w:numPr>
          <w:ilvl w:val="0"/>
          <w:numId w:val="0"/>
        </w:numPr>
        <w:adjustRightInd w:val="0"/>
        <w:spacing w:after="0"/>
        <w:ind w:left="360"/>
        <w:rPr>
          <w:rFonts w:cs="Times New Roman"/>
          <w:b/>
          <w:lang w:eastAsia="ko-KR"/>
        </w:rPr>
      </w:pPr>
    </w:p>
    <w:p w14:paraId="7BAFF5F8" w14:textId="77777777" w:rsidR="003D217E" w:rsidRDefault="003D217E" w:rsidP="003D217E">
      <w:pPr>
        <w:pStyle w:val="WCPFC"/>
        <w:numPr>
          <w:ilvl w:val="0"/>
          <w:numId w:val="0"/>
        </w:numPr>
        <w:adjustRightInd w:val="0"/>
        <w:spacing w:after="0"/>
        <w:ind w:left="360"/>
        <w:rPr>
          <w:rFonts w:cs="Times New Roman"/>
          <w:b/>
        </w:rPr>
      </w:pPr>
    </w:p>
    <w:p w14:paraId="287C1F62" w14:textId="77777777" w:rsidR="003D217E" w:rsidRDefault="003D217E" w:rsidP="003D217E">
      <w:pPr>
        <w:pStyle w:val="WCPFC"/>
        <w:numPr>
          <w:ilvl w:val="0"/>
          <w:numId w:val="0"/>
        </w:numPr>
        <w:adjustRightInd w:val="0"/>
        <w:spacing w:after="0"/>
        <w:ind w:left="360"/>
        <w:rPr>
          <w:rFonts w:cs="Times New Roman"/>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552"/>
      </w:tblGrid>
      <w:tr w:rsidR="003D217E" w14:paraId="55ABA3D8" w14:textId="77777777" w:rsidTr="001740C5">
        <w:tc>
          <w:tcPr>
            <w:tcW w:w="4788" w:type="dxa"/>
            <w:vAlign w:val="center"/>
          </w:tcPr>
          <w:p w14:paraId="3CCCC8D8" w14:textId="77777777" w:rsidR="003D217E" w:rsidRDefault="003D217E" w:rsidP="001740C5">
            <w:pPr>
              <w:pStyle w:val="WCPFC"/>
              <w:numPr>
                <w:ilvl w:val="0"/>
                <w:numId w:val="0"/>
              </w:numPr>
              <w:adjustRightInd w:val="0"/>
              <w:spacing w:after="0"/>
              <w:jc w:val="center"/>
              <w:rPr>
                <w:rFonts w:cs="Times New Roman"/>
              </w:rPr>
            </w:pPr>
            <w:r w:rsidRPr="004635E5">
              <w:rPr>
                <w:rFonts w:cs="Times New Roman"/>
                <w:noProof/>
                <w:lang w:val="en-US" w:eastAsia="zh-CN" w:bidi="mn-Mong-CN"/>
              </w:rPr>
              <w:drawing>
                <wp:inline distT="0" distB="0" distL="0" distR="0" wp14:anchorId="41F06F71" wp14:editId="3FF009C2">
                  <wp:extent cx="2810908" cy="2171700"/>
                  <wp:effectExtent l="0" t="0" r="8890" b="0"/>
                  <wp:docPr id="384" name="Picture 1" descr="C:\Projects\penguin-alb-2018\Write-up\stock-assessment\Figures\DiagnosticCase\plot_timeseries_catch_REGIO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jects\penguin-alb-2018\Write-up\stock-assessment\Figures\DiagnosticCase\plot_timeseries_catch_REGIONAL.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16478" cy="2176003"/>
                          </a:xfrm>
                          <a:prstGeom prst="rect">
                            <a:avLst/>
                          </a:prstGeom>
                          <a:noFill/>
                          <a:ln>
                            <a:noFill/>
                          </a:ln>
                        </pic:spPr>
                      </pic:pic>
                    </a:graphicData>
                  </a:graphic>
                </wp:inline>
              </w:drawing>
            </w:r>
          </w:p>
        </w:tc>
        <w:tc>
          <w:tcPr>
            <w:tcW w:w="4788" w:type="dxa"/>
          </w:tcPr>
          <w:p w14:paraId="1741E2EF" w14:textId="77777777" w:rsidR="003D217E" w:rsidRDefault="003D217E" w:rsidP="001740C5">
            <w:pPr>
              <w:pStyle w:val="WCPFC"/>
              <w:numPr>
                <w:ilvl w:val="0"/>
                <w:numId w:val="0"/>
              </w:numPr>
              <w:adjustRightInd w:val="0"/>
              <w:spacing w:after="0"/>
              <w:rPr>
                <w:rFonts w:cs="Times New Roman"/>
              </w:rPr>
            </w:pPr>
            <w:r w:rsidRPr="004635E5">
              <w:rPr>
                <w:rFonts w:cs="Times New Roman"/>
                <w:noProof/>
                <w:lang w:val="en-US" w:eastAsia="zh-CN" w:bidi="mn-Mong-CN"/>
              </w:rPr>
              <w:drawing>
                <wp:inline distT="0" distB="0" distL="0" distR="0" wp14:anchorId="76B32ACB" wp14:editId="527DAD59">
                  <wp:extent cx="2738118" cy="2790825"/>
                  <wp:effectExtent l="0" t="0" r="5715" b="0"/>
                  <wp:docPr id="385" name="Picture 3" descr="stacked-biomass-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cked-biomass-pane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9876" cy="2792617"/>
                          </a:xfrm>
                          <a:prstGeom prst="rect">
                            <a:avLst/>
                          </a:prstGeom>
                          <a:noFill/>
                          <a:ln>
                            <a:noFill/>
                          </a:ln>
                        </pic:spPr>
                      </pic:pic>
                    </a:graphicData>
                  </a:graphic>
                </wp:inline>
              </w:drawing>
            </w:r>
          </w:p>
        </w:tc>
      </w:tr>
      <w:tr w:rsidR="003D217E" w14:paraId="30BFC7DE" w14:textId="77777777" w:rsidTr="001740C5">
        <w:tc>
          <w:tcPr>
            <w:tcW w:w="4788" w:type="dxa"/>
          </w:tcPr>
          <w:p w14:paraId="34B97813" w14:textId="3E707B9A" w:rsidR="003D217E" w:rsidRPr="00E70D84" w:rsidRDefault="003D217E" w:rsidP="001740C5">
            <w:pPr>
              <w:pStyle w:val="WCPFC"/>
              <w:numPr>
                <w:ilvl w:val="0"/>
                <w:numId w:val="0"/>
              </w:numPr>
              <w:adjustRightInd w:val="0"/>
              <w:spacing w:after="0"/>
              <w:rPr>
                <w:rFonts w:cs="Times New Roman"/>
                <w:color w:val="008A73"/>
                <w:lang w:eastAsia="ko-KR"/>
              </w:rPr>
            </w:pPr>
            <w:r w:rsidRPr="004635E5">
              <w:rPr>
                <w:rFonts w:cs="Times New Roman"/>
                <w:b/>
              </w:rPr>
              <w:t>Figure SPA-</w:t>
            </w:r>
            <w:r w:rsidRPr="004635E5">
              <w:rPr>
                <w:rFonts w:cs="Times New Roman"/>
                <w:b/>
                <w:noProof/>
              </w:rPr>
              <w:fldChar w:fldCharType="begin"/>
            </w:r>
            <w:r w:rsidRPr="004635E5">
              <w:rPr>
                <w:rFonts w:cs="Times New Roman"/>
                <w:b/>
                <w:noProof/>
              </w:rPr>
              <w:instrText xml:space="preserve"> SEQ Figure \* ARABIC </w:instrText>
            </w:r>
            <w:r w:rsidRPr="004635E5">
              <w:rPr>
                <w:rFonts w:cs="Times New Roman"/>
                <w:b/>
                <w:noProof/>
              </w:rPr>
              <w:fldChar w:fldCharType="separate"/>
            </w:r>
            <w:r w:rsidR="00117A6F">
              <w:rPr>
                <w:rFonts w:cs="Times New Roman"/>
                <w:b/>
                <w:noProof/>
              </w:rPr>
              <w:t>3</w:t>
            </w:r>
            <w:r w:rsidRPr="004635E5">
              <w:rPr>
                <w:rFonts w:cs="Times New Roman"/>
                <w:b/>
                <w:noProof/>
              </w:rPr>
              <w:fldChar w:fldCharType="end"/>
            </w:r>
            <w:r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Time series of total annual catch (1000’s mt) by fishing gear and assessment region from the diagnostic case model over the full assessment period. The different colours denote longline (green), driftnet (turquoise) and troll (yellow).</w:t>
            </w:r>
          </w:p>
        </w:tc>
        <w:tc>
          <w:tcPr>
            <w:tcW w:w="4788" w:type="dxa"/>
          </w:tcPr>
          <w:p w14:paraId="4A404C3D" w14:textId="401DC019" w:rsidR="003D217E" w:rsidRPr="004635E5" w:rsidRDefault="003D217E" w:rsidP="001740C5">
            <w:pPr>
              <w:pStyle w:val="WCPFC"/>
              <w:numPr>
                <w:ilvl w:val="0"/>
                <w:numId w:val="0"/>
              </w:numPr>
              <w:adjustRightInd w:val="0"/>
              <w:spacing w:after="0"/>
              <w:rPr>
                <w:rStyle w:val="fontstyle01"/>
                <w:rFonts w:ascii="Times New Roman" w:hAnsi="Times New Roman" w:cs="Times New Roman"/>
                <w:color w:val="auto"/>
              </w:rPr>
            </w:pPr>
            <w:r w:rsidRPr="004635E5">
              <w:rPr>
                <w:rFonts w:cs="Times New Roman"/>
                <w:b/>
              </w:rPr>
              <w:t>Figure SPA-</w:t>
            </w:r>
            <w:r w:rsidRPr="004635E5">
              <w:rPr>
                <w:rFonts w:cs="Times New Roman"/>
                <w:b/>
                <w:noProof/>
              </w:rPr>
              <w:fldChar w:fldCharType="begin"/>
            </w:r>
            <w:r w:rsidRPr="004635E5">
              <w:rPr>
                <w:rFonts w:cs="Times New Roman"/>
                <w:b/>
                <w:noProof/>
              </w:rPr>
              <w:instrText xml:space="preserve"> SEQ Figure \* ARABIC </w:instrText>
            </w:r>
            <w:r w:rsidRPr="004635E5">
              <w:rPr>
                <w:rFonts w:cs="Times New Roman"/>
                <w:b/>
                <w:noProof/>
              </w:rPr>
              <w:fldChar w:fldCharType="separate"/>
            </w:r>
            <w:r w:rsidR="00117A6F">
              <w:rPr>
                <w:rFonts w:cs="Times New Roman"/>
                <w:b/>
                <w:noProof/>
              </w:rPr>
              <w:t>4</w:t>
            </w:r>
            <w:r w:rsidRPr="004635E5">
              <w:rPr>
                <w:rFonts w:cs="Times New Roman"/>
                <w:b/>
                <w:noProof/>
              </w:rPr>
              <w:fldChar w:fldCharType="end"/>
            </w:r>
            <w:r w:rsidRPr="004635E5">
              <w:rPr>
                <w:rFonts w:cs="Times New Roman"/>
                <w:b/>
                <w:noProof/>
              </w:rPr>
              <w:t>.</w:t>
            </w:r>
            <w:r w:rsidRPr="004635E5">
              <w:rPr>
                <w:rFonts w:cs="Times New Roman"/>
                <w:color w:val="auto"/>
              </w:rPr>
              <w:t xml:space="preserve"> </w:t>
            </w:r>
            <w:r w:rsidRPr="004635E5">
              <w:rPr>
                <w:rStyle w:val="fontstyle01"/>
                <w:rFonts w:ascii="Times New Roman" w:hAnsi="Times New Roman" w:cs="Times New Roman"/>
                <w:color w:val="auto"/>
              </w:rPr>
              <w:t>Estimated annual average recruitment, spawning potential and total biomass by model region for the diagnostic case model, showing the relative sizes among regions.</w:t>
            </w:r>
          </w:p>
          <w:p w14:paraId="1FB9AA1C" w14:textId="77777777" w:rsidR="003D217E" w:rsidRDefault="003D217E" w:rsidP="001740C5">
            <w:pPr>
              <w:pStyle w:val="WCPFC"/>
              <w:numPr>
                <w:ilvl w:val="0"/>
                <w:numId w:val="0"/>
              </w:numPr>
              <w:adjustRightInd w:val="0"/>
              <w:spacing w:after="0"/>
              <w:rPr>
                <w:rFonts w:cs="Times New Roman"/>
              </w:rPr>
            </w:pPr>
          </w:p>
        </w:tc>
      </w:tr>
    </w:tbl>
    <w:p w14:paraId="4863655E" w14:textId="77777777" w:rsidR="003D217E" w:rsidRPr="004635E5" w:rsidRDefault="003D217E" w:rsidP="003D217E">
      <w:pPr>
        <w:pStyle w:val="WCPFC"/>
        <w:numPr>
          <w:ilvl w:val="0"/>
          <w:numId w:val="0"/>
        </w:numPr>
        <w:adjustRightInd w:val="0"/>
        <w:spacing w:after="0"/>
        <w:ind w:left="360"/>
        <w:rPr>
          <w:rFonts w:cs="Times New Roman"/>
        </w:rPr>
      </w:pPr>
    </w:p>
    <w:p w14:paraId="28349932" w14:textId="77777777" w:rsidR="003D217E" w:rsidRPr="004635E5" w:rsidRDefault="003D217E" w:rsidP="003D217E">
      <w:pPr>
        <w:pStyle w:val="WCPFC"/>
        <w:numPr>
          <w:ilvl w:val="0"/>
          <w:numId w:val="0"/>
        </w:numPr>
        <w:adjustRightInd w:val="0"/>
        <w:spacing w:after="0"/>
        <w:ind w:left="360"/>
        <w:rPr>
          <w:rFonts w:cs="Times New Roman"/>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544"/>
      </w:tblGrid>
      <w:tr w:rsidR="003D217E" w14:paraId="72807373" w14:textId="77777777" w:rsidTr="001740C5">
        <w:tc>
          <w:tcPr>
            <w:tcW w:w="4788" w:type="dxa"/>
          </w:tcPr>
          <w:p w14:paraId="04E5E909" w14:textId="77777777" w:rsidR="003D217E" w:rsidRDefault="003D217E" w:rsidP="001740C5">
            <w:pPr>
              <w:pStyle w:val="WCPFC"/>
              <w:numPr>
                <w:ilvl w:val="0"/>
                <w:numId w:val="0"/>
              </w:numPr>
              <w:adjustRightInd w:val="0"/>
              <w:spacing w:after="0"/>
              <w:rPr>
                <w:rFonts w:cs="Times New Roman"/>
              </w:rPr>
            </w:pPr>
            <w:r w:rsidRPr="004635E5">
              <w:rPr>
                <w:rFonts w:cs="Times New Roman"/>
                <w:noProof/>
                <w:lang w:val="en-US" w:eastAsia="zh-CN" w:bidi="mn-Mong-CN"/>
              </w:rPr>
              <w:lastRenderedPageBreak/>
              <w:drawing>
                <wp:inline distT="0" distB="0" distL="0" distR="0" wp14:anchorId="3A70160F" wp14:editId="790B1869">
                  <wp:extent cx="2813407" cy="2419350"/>
                  <wp:effectExtent l="0" t="0" r="6350" b="0"/>
                  <wp:docPr id="386" name="Picture 4" descr="plot_temporal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ot_temporal_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3407" cy="2419350"/>
                          </a:xfrm>
                          <a:prstGeom prst="rect">
                            <a:avLst/>
                          </a:prstGeom>
                          <a:noFill/>
                          <a:ln>
                            <a:noFill/>
                          </a:ln>
                        </pic:spPr>
                      </pic:pic>
                    </a:graphicData>
                  </a:graphic>
                </wp:inline>
              </w:drawing>
            </w:r>
          </w:p>
        </w:tc>
        <w:tc>
          <w:tcPr>
            <w:tcW w:w="4788" w:type="dxa"/>
          </w:tcPr>
          <w:p w14:paraId="0329B7E5" w14:textId="77777777" w:rsidR="003D217E" w:rsidRDefault="003D217E" w:rsidP="001740C5">
            <w:pPr>
              <w:pStyle w:val="WCPFC"/>
              <w:numPr>
                <w:ilvl w:val="0"/>
                <w:numId w:val="0"/>
              </w:numPr>
              <w:adjustRightInd w:val="0"/>
              <w:spacing w:after="0"/>
              <w:rPr>
                <w:rFonts w:cs="Times New Roman"/>
              </w:rPr>
            </w:pPr>
            <w:r w:rsidRPr="004635E5">
              <w:rPr>
                <w:rFonts w:cs="Times New Roman"/>
                <w:noProof/>
                <w:lang w:val="en-US" w:eastAsia="zh-CN" w:bidi="mn-Mong-CN"/>
              </w:rPr>
              <w:drawing>
                <wp:inline distT="0" distB="0" distL="0" distR="0" wp14:anchorId="39B4619E" wp14:editId="5811AC69">
                  <wp:extent cx="2726732" cy="2647950"/>
                  <wp:effectExtent l="0" t="0" r="0" b="0"/>
                  <wp:docPr id="387" name="Picture 2" descr="C:\Users\lauratb\AppData\Local\Microsoft\Windows\INetCache\Content.Word\quantile-grid-depletion-figure_f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auratb\AppData\Local\Microsoft\Windows\INetCache\Content.Word\quantile-grid-depletion-figure_full.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26732" cy="2647950"/>
                          </a:xfrm>
                          <a:prstGeom prst="rect">
                            <a:avLst/>
                          </a:prstGeom>
                          <a:noFill/>
                          <a:ln>
                            <a:noFill/>
                          </a:ln>
                        </pic:spPr>
                      </pic:pic>
                    </a:graphicData>
                  </a:graphic>
                </wp:inline>
              </w:drawing>
            </w:r>
          </w:p>
        </w:tc>
      </w:tr>
      <w:tr w:rsidR="003D217E" w14:paraId="27823198" w14:textId="77777777" w:rsidTr="001740C5">
        <w:tc>
          <w:tcPr>
            <w:tcW w:w="4788" w:type="dxa"/>
          </w:tcPr>
          <w:p w14:paraId="44DA09E0" w14:textId="5D14F233" w:rsidR="003D217E" w:rsidRPr="004635E5" w:rsidRDefault="003D217E" w:rsidP="001740C5">
            <w:pPr>
              <w:pStyle w:val="WCPFC"/>
              <w:numPr>
                <w:ilvl w:val="0"/>
                <w:numId w:val="0"/>
              </w:numPr>
              <w:adjustRightInd w:val="0"/>
              <w:spacing w:after="0"/>
              <w:rPr>
                <w:rStyle w:val="fontstyle01"/>
                <w:rFonts w:ascii="Times New Roman" w:hAnsi="Times New Roman" w:cs="Times New Roman"/>
                <w:color w:val="auto"/>
              </w:rPr>
            </w:pPr>
            <w:r w:rsidRPr="004635E5">
              <w:rPr>
                <w:rFonts w:cs="Times New Roman"/>
                <w:b/>
              </w:rPr>
              <w:t>Figure SPA-</w:t>
            </w:r>
            <w:r w:rsidRPr="004635E5">
              <w:rPr>
                <w:rFonts w:cs="Times New Roman"/>
                <w:b/>
                <w:noProof/>
              </w:rPr>
              <w:fldChar w:fldCharType="begin"/>
            </w:r>
            <w:r w:rsidRPr="004635E5">
              <w:rPr>
                <w:rFonts w:cs="Times New Roman"/>
                <w:b/>
                <w:noProof/>
              </w:rPr>
              <w:instrText xml:space="preserve"> SEQ Figure \* ARABIC </w:instrText>
            </w:r>
            <w:r w:rsidRPr="004635E5">
              <w:rPr>
                <w:rFonts w:cs="Times New Roman"/>
                <w:b/>
                <w:noProof/>
              </w:rPr>
              <w:fldChar w:fldCharType="separate"/>
            </w:r>
            <w:r w:rsidR="00117A6F">
              <w:rPr>
                <w:rFonts w:cs="Times New Roman"/>
                <w:b/>
                <w:noProof/>
              </w:rPr>
              <w:t>5</w:t>
            </w:r>
            <w:r w:rsidRPr="004635E5">
              <w:rPr>
                <w:rFonts w:cs="Times New Roman"/>
                <w:b/>
                <w:noProof/>
              </w:rPr>
              <w:fldChar w:fldCharType="end"/>
            </w:r>
            <w:r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Estimated annual average juvenile and adult fishing mortality for the diagnostic case model.</w:t>
            </w:r>
          </w:p>
          <w:p w14:paraId="7BB9B3F5" w14:textId="77777777" w:rsidR="003D217E" w:rsidRDefault="003D217E" w:rsidP="001740C5">
            <w:pPr>
              <w:pStyle w:val="WCPFC"/>
              <w:numPr>
                <w:ilvl w:val="0"/>
                <w:numId w:val="0"/>
              </w:numPr>
              <w:adjustRightInd w:val="0"/>
              <w:spacing w:after="0"/>
              <w:rPr>
                <w:rFonts w:cs="Times New Roman"/>
              </w:rPr>
            </w:pPr>
          </w:p>
        </w:tc>
        <w:tc>
          <w:tcPr>
            <w:tcW w:w="4788" w:type="dxa"/>
          </w:tcPr>
          <w:p w14:paraId="1E39B930" w14:textId="5AFDE071" w:rsidR="003D217E" w:rsidRDefault="003D217E" w:rsidP="001740C5">
            <w:pPr>
              <w:pStyle w:val="WCPFC"/>
              <w:numPr>
                <w:ilvl w:val="0"/>
                <w:numId w:val="0"/>
              </w:numPr>
              <w:adjustRightInd w:val="0"/>
              <w:spacing w:after="0"/>
              <w:ind w:left="8"/>
              <w:rPr>
                <w:rFonts w:cs="Times New Roman"/>
                <w:lang w:eastAsia="ko-KR"/>
              </w:rPr>
            </w:pPr>
            <w:r w:rsidRPr="004635E5">
              <w:rPr>
                <w:rFonts w:cs="Times New Roman"/>
                <w:b/>
              </w:rPr>
              <w:t>Figure SPA-</w:t>
            </w:r>
            <w:r w:rsidRPr="004635E5">
              <w:rPr>
                <w:rFonts w:cs="Times New Roman"/>
                <w:b/>
                <w:noProof/>
              </w:rPr>
              <w:fldChar w:fldCharType="begin"/>
            </w:r>
            <w:r w:rsidRPr="004635E5">
              <w:rPr>
                <w:rFonts w:cs="Times New Roman"/>
                <w:b/>
                <w:noProof/>
              </w:rPr>
              <w:instrText xml:space="preserve"> SEQ Figure \* ARABIC </w:instrText>
            </w:r>
            <w:r w:rsidRPr="004635E5">
              <w:rPr>
                <w:rFonts w:cs="Times New Roman"/>
                <w:b/>
                <w:noProof/>
              </w:rPr>
              <w:fldChar w:fldCharType="separate"/>
            </w:r>
            <w:r w:rsidR="00117A6F">
              <w:rPr>
                <w:rFonts w:cs="Times New Roman"/>
                <w:b/>
                <w:noProof/>
              </w:rPr>
              <w:t>6</w:t>
            </w:r>
            <w:r w:rsidRPr="004635E5">
              <w:rPr>
                <w:rFonts w:cs="Times New Roman"/>
                <w:b/>
                <w:noProof/>
              </w:rPr>
              <w:fldChar w:fldCharType="end"/>
            </w:r>
            <w:r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Distribution of time series depletion estimates across the structural uncertainty grid. Black line represents the grid median trajectory, dark grey region represents the 50%ile range, light grey the 90%ile range.</w:t>
            </w:r>
          </w:p>
        </w:tc>
      </w:tr>
    </w:tbl>
    <w:p w14:paraId="48B54ED0" w14:textId="77777777" w:rsidR="003D217E" w:rsidRPr="004635E5" w:rsidRDefault="003D217E" w:rsidP="003D217E">
      <w:pPr>
        <w:pStyle w:val="WCPFC"/>
        <w:numPr>
          <w:ilvl w:val="0"/>
          <w:numId w:val="0"/>
        </w:numPr>
        <w:adjustRightInd w:val="0"/>
        <w:spacing w:after="0"/>
        <w:ind w:left="360"/>
        <w:rPr>
          <w:rFonts w:cs="Times New Roman"/>
          <w:lang w:eastAsia="ko-KR"/>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3"/>
        <w:gridCol w:w="4563"/>
      </w:tblGrid>
      <w:tr w:rsidR="003D217E" w14:paraId="0AC27558" w14:textId="77777777" w:rsidTr="001740C5">
        <w:tc>
          <w:tcPr>
            <w:tcW w:w="4657" w:type="dxa"/>
            <w:vAlign w:val="center"/>
          </w:tcPr>
          <w:p w14:paraId="6E9D5D0C" w14:textId="77777777" w:rsidR="003D217E" w:rsidRDefault="003D217E" w:rsidP="001740C5">
            <w:pPr>
              <w:pStyle w:val="WCPFC"/>
              <w:numPr>
                <w:ilvl w:val="0"/>
                <w:numId w:val="0"/>
              </w:numPr>
              <w:adjustRightInd w:val="0"/>
              <w:spacing w:after="0"/>
              <w:jc w:val="center"/>
              <w:rPr>
                <w:rFonts w:cs="Times New Roman"/>
              </w:rPr>
            </w:pPr>
            <w:r w:rsidRPr="004635E5">
              <w:rPr>
                <w:rFonts w:cs="Times New Roman"/>
                <w:noProof/>
                <w:lang w:val="en-US" w:eastAsia="zh-CN" w:bidi="mn-Mong-CN"/>
              </w:rPr>
              <w:drawing>
                <wp:inline distT="0" distB="0" distL="0" distR="0" wp14:anchorId="391012F5" wp14:editId="38B4208A">
                  <wp:extent cx="2840736" cy="3279648"/>
                  <wp:effectExtent l="0" t="0" r="0" b="0"/>
                  <wp:docPr id="388" name="Picture 5" descr="Grid_ALB_depletion_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id_ALB_depletion_pane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51144" cy="3291664"/>
                          </a:xfrm>
                          <a:prstGeom prst="rect">
                            <a:avLst/>
                          </a:prstGeom>
                          <a:noFill/>
                          <a:ln>
                            <a:noFill/>
                          </a:ln>
                        </pic:spPr>
                      </pic:pic>
                    </a:graphicData>
                  </a:graphic>
                </wp:inline>
              </w:drawing>
            </w:r>
          </w:p>
        </w:tc>
        <w:tc>
          <w:tcPr>
            <w:tcW w:w="4559" w:type="dxa"/>
            <w:vAlign w:val="center"/>
          </w:tcPr>
          <w:p w14:paraId="26078D3F" w14:textId="77777777" w:rsidR="003D217E" w:rsidRDefault="003D217E" w:rsidP="001740C5">
            <w:pPr>
              <w:pStyle w:val="WCPFC"/>
              <w:numPr>
                <w:ilvl w:val="0"/>
                <w:numId w:val="0"/>
              </w:numPr>
              <w:adjustRightInd w:val="0"/>
              <w:spacing w:after="0"/>
              <w:jc w:val="center"/>
              <w:rPr>
                <w:rFonts w:cs="Times New Roman"/>
              </w:rPr>
            </w:pPr>
            <w:r w:rsidRPr="004635E5">
              <w:rPr>
                <w:rFonts w:cs="Times New Roman"/>
                <w:noProof/>
                <w:lang w:val="en-US" w:eastAsia="zh-CN" w:bidi="mn-Mong-CN"/>
              </w:rPr>
              <w:drawing>
                <wp:inline distT="0" distB="0" distL="0" distR="0" wp14:anchorId="7151184F" wp14:editId="4F1E8828">
                  <wp:extent cx="2783202" cy="1447800"/>
                  <wp:effectExtent l="0" t="0" r="0" b="0"/>
                  <wp:docPr id="389" name="Picture 6" descr="majuro-grid_panel-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juro-grid_panel-plo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80520" cy="1446405"/>
                          </a:xfrm>
                          <a:prstGeom prst="rect">
                            <a:avLst/>
                          </a:prstGeom>
                          <a:noFill/>
                          <a:ln>
                            <a:noFill/>
                          </a:ln>
                        </pic:spPr>
                      </pic:pic>
                    </a:graphicData>
                  </a:graphic>
                </wp:inline>
              </w:drawing>
            </w:r>
          </w:p>
        </w:tc>
      </w:tr>
      <w:tr w:rsidR="003D217E" w14:paraId="77C028B3" w14:textId="77777777" w:rsidTr="001740C5">
        <w:tc>
          <w:tcPr>
            <w:tcW w:w="4657" w:type="dxa"/>
          </w:tcPr>
          <w:p w14:paraId="611C6112" w14:textId="4DCB4FBD" w:rsidR="003D217E" w:rsidRDefault="003D217E" w:rsidP="001740C5">
            <w:pPr>
              <w:pStyle w:val="WCPFC"/>
              <w:numPr>
                <w:ilvl w:val="0"/>
                <w:numId w:val="0"/>
              </w:numPr>
              <w:adjustRightInd w:val="0"/>
              <w:spacing w:after="0"/>
              <w:rPr>
                <w:rFonts w:cs="Times New Roman"/>
              </w:rPr>
            </w:pPr>
            <w:r w:rsidRPr="004635E5">
              <w:rPr>
                <w:rFonts w:cs="Times New Roman"/>
                <w:b/>
              </w:rPr>
              <w:t>Figure SPA-</w:t>
            </w:r>
            <w:r w:rsidRPr="004635E5">
              <w:rPr>
                <w:rFonts w:cs="Times New Roman"/>
                <w:b/>
                <w:noProof/>
              </w:rPr>
              <w:fldChar w:fldCharType="begin"/>
            </w:r>
            <w:r w:rsidRPr="004635E5">
              <w:rPr>
                <w:rFonts w:cs="Times New Roman"/>
                <w:b/>
                <w:noProof/>
              </w:rPr>
              <w:instrText xml:space="preserve"> SEQ Figure \* ARABIC </w:instrText>
            </w:r>
            <w:r w:rsidRPr="004635E5">
              <w:rPr>
                <w:rFonts w:cs="Times New Roman"/>
                <w:b/>
                <w:noProof/>
              </w:rPr>
              <w:fldChar w:fldCharType="separate"/>
            </w:r>
            <w:r w:rsidR="00117A6F">
              <w:rPr>
                <w:rFonts w:cs="Times New Roman"/>
                <w:b/>
                <w:noProof/>
              </w:rPr>
              <w:t>7</w:t>
            </w:r>
            <w:r w:rsidRPr="004635E5">
              <w:rPr>
                <w:rFonts w:cs="Times New Roman"/>
                <w:b/>
                <w:noProof/>
              </w:rPr>
              <w:fldChar w:fldCharType="end"/>
            </w:r>
            <w:r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Plots showing the trajectories of fishing depletion (of spawning potential) for the model runs included in the structural uncertainty grid. The five panels show the models separated on the basis of the five axes used in the grid, with the colour denoting the level within the axes for each model.</w:t>
            </w:r>
          </w:p>
        </w:tc>
        <w:tc>
          <w:tcPr>
            <w:tcW w:w="4559" w:type="dxa"/>
          </w:tcPr>
          <w:p w14:paraId="18C4E0E9" w14:textId="03873244" w:rsidR="003D217E" w:rsidRPr="004635E5" w:rsidRDefault="003D217E" w:rsidP="001740C5">
            <w:pPr>
              <w:pStyle w:val="WCPFC"/>
              <w:numPr>
                <w:ilvl w:val="0"/>
                <w:numId w:val="0"/>
              </w:numPr>
              <w:adjustRightInd w:val="0"/>
              <w:spacing w:after="0"/>
              <w:rPr>
                <w:rStyle w:val="fontstyle01"/>
                <w:rFonts w:ascii="Times New Roman" w:hAnsi="Times New Roman" w:cs="Times New Roman"/>
              </w:rPr>
            </w:pPr>
            <w:r w:rsidRPr="004635E5">
              <w:rPr>
                <w:rFonts w:cs="Times New Roman"/>
                <w:b/>
              </w:rPr>
              <w:t>Figure SPA-</w:t>
            </w:r>
            <w:r w:rsidRPr="004635E5">
              <w:rPr>
                <w:rFonts w:cs="Times New Roman"/>
                <w:b/>
                <w:noProof/>
              </w:rPr>
              <w:fldChar w:fldCharType="begin"/>
            </w:r>
            <w:r w:rsidRPr="004635E5">
              <w:rPr>
                <w:rFonts w:cs="Times New Roman"/>
                <w:b/>
                <w:noProof/>
              </w:rPr>
              <w:instrText xml:space="preserve"> SEQ Figure \* ARABIC </w:instrText>
            </w:r>
            <w:r w:rsidRPr="004635E5">
              <w:rPr>
                <w:rFonts w:cs="Times New Roman"/>
                <w:b/>
                <w:noProof/>
              </w:rPr>
              <w:fldChar w:fldCharType="separate"/>
            </w:r>
            <w:r w:rsidR="00117A6F">
              <w:rPr>
                <w:rFonts w:cs="Times New Roman"/>
                <w:b/>
                <w:noProof/>
              </w:rPr>
              <w:t>8</w:t>
            </w:r>
            <w:r w:rsidRPr="004635E5">
              <w:rPr>
                <w:rFonts w:cs="Times New Roman"/>
                <w:b/>
                <w:noProof/>
              </w:rPr>
              <w:fldChar w:fldCharType="end"/>
            </w:r>
            <w:r w:rsidRPr="004635E5">
              <w:rPr>
                <w:rFonts w:cs="Times New Roman"/>
                <w:b/>
                <w:noProof/>
              </w:rPr>
              <w:t>.</w:t>
            </w:r>
            <w:r w:rsidRPr="004635E5">
              <w:rPr>
                <w:rFonts w:cs="Times New Roman"/>
                <w:noProof/>
              </w:rPr>
              <w:t xml:space="preserve"> </w:t>
            </w:r>
            <w:r w:rsidRPr="004635E5">
              <w:rPr>
                <w:rStyle w:val="fontstyle01"/>
                <w:rFonts w:ascii="Times New Roman" w:hAnsi="Times New Roman" w:cs="Times New Roman"/>
                <w:color w:val="auto"/>
              </w:rPr>
              <w:t xml:space="preserve">Majuro plots summarising the results for each of the models in the structural uncertainty grid under the </w:t>
            </w:r>
            <w:r w:rsidRPr="004635E5">
              <w:rPr>
                <w:rStyle w:val="fontstyle21"/>
                <w:rFonts w:ascii="Times New Roman" w:hAnsi="Times New Roman" w:cs="Times New Roman"/>
                <w:color w:val="auto"/>
              </w:rPr>
              <w:t>SB</w:t>
            </w:r>
            <w:r w:rsidRPr="002C2D6F">
              <w:rPr>
                <w:rStyle w:val="fontstyle31"/>
                <w:rFonts w:ascii="Times New Roman" w:hAnsi="Times New Roman" w:cs="Times New Roman"/>
                <w:color w:val="auto"/>
                <w:sz w:val="22"/>
                <w:szCs w:val="22"/>
                <w:vertAlign w:val="subscript"/>
              </w:rPr>
              <w:t>latest</w:t>
            </w:r>
            <w:r>
              <w:rPr>
                <w:rStyle w:val="fontstyle41"/>
                <w:rFonts w:ascii="Times New Roman" w:hAnsi="Times New Roman" w:cs="Times New Roman"/>
                <w:color w:val="auto"/>
              </w:rPr>
              <w:t>/</w:t>
            </w:r>
            <w:r w:rsidRPr="004635E5">
              <w:rPr>
                <w:rStyle w:val="fontstyle21"/>
                <w:rFonts w:ascii="Times New Roman" w:hAnsi="Times New Roman" w:cs="Times New Roman"/>
                <w:color w:val="auto"/>
              </w:rPr>
              <w:t>SB</w:t>
            </w:r>
            <w:r w:rsidRPr="002C2D6F">
              <w:rPr>
                <w:rStyle w:val="fontstyle31"/>
                <w:rFonts w:ascii="Times New Roman" w:hAnsi="Times New Roman" w:cs="Times New Roman"/>
                <w:color w:val="auto"/>
                <w:sz w:val="22"/>
                <w:szCs w:val="22"/>
                <w:vertAlign w:val="subscript"/>
              </w:rPr>
              <w:t>F</w:t>
            </w:r>
            <w:r w:rsidRPr="002C2D6F">
              <w:rPr>
                <w:rStyle w:val="fontstyle51"/>
                <w:rFonts w:ascii="Times New Roman" w:hAnsi="Times New Roman" w:cs="Times New Roman"/>
                <w:color w:val="auto"/>
                <w:sz w:val="22"/>
                <w:szCs w:val="22"/>
                <w:vertAlign w:val="subscript"/>
              </w:rPr>
              <w:t>=0</w:t>
            </w:r>
            <w:r w:rsidRPr="004635E5">
              <w:rPr>
                <w:rStyle w:val="fontstyle51"/>
                <w:rFonts w:ascii="Times New Roman" w:hAnsi="Times New Roman" w:cs="Times New Roman"/>
                <w:color w:val="auto"/>
                <w:sz w:val="22"/>
                <w:szCs w:val="22"/>
              </w:rPr>
              <w:t xml:space="preserve"> </w:t>
            </w:r>
            <w:r w:rsidRPr="004635E5">
              <w:rPr>
                <w:rStyle w:val="fontstyle01"/>
                <w:rFonts w:ascii="Times New Roman" w:hAnsi="Times New Roman" w:cs="Times New Roman"/>
                <w:color w:val="auto"/>
              </w:rPr>
              <w:t xml:space="preserve">and the </w:t>
            </w:r>
            <w:r w:rsidRPr="004635E5">
              <w:rPr>
                <w:rStyle w:val="fontstyle21"/>
                <w:rFonts w:ascii="Times New Roman" w:hAnsi="Times New Roman" w:cs="Times New Roman"/>
                <w:color w:val="auto"/>
              </w:rPr>
              <w:t>SB</w:t>
            </w:r>
            <w:r w:rsidRPr="002C2D6F">
              <w:rPr>
                <w:rStyle w:val="fontstyle31"/>
                <w:rFonts w:ascii="Times New Roman" w:hAnsi="Times New Roman" w:cs="Times New Roman"/>
                <w:color w:val="auto"/>
                <w:sz w:val="22"/>
                <w:szCs w:val="22"/>
                <w:vertAlign w:val="subscript"/>
              </w:rPr>
              <w:t>recent</w:t>
            </w:r>
            <w:r>
              <w:rPr>
                <w:rStyle w:val="fontstyle41"/>
                <w:rFonts w:ascii="Times New Roman" w:hAnsi="Times New Roman" w:cs="Times New Roman"/>
                <w:color w:val="auto"/>
              </w:rPr>
              <w:t>/</w:t>
            </w:r>
            <w:r w:rsidRPr="004635E5">
              <w:rPr>
                <w:rStyle w:val="fontstyle21"/>
                <w:rFonts w:ascii="Times New Roman" w:hAnsi="Times New Roman" w:cs="Times New Roman"/>
                <w:color w:val="auto"/>
              </w:rPr>
              <w:t>SB</w:t>
            </w:r>
            <w:r w:rsidRPr="002C2D6F">
              <w:rPr>
                <w:rStyle w:val="fontstyle31"/>
                <w:rFonts w:ascii="Times New Roman" w:hAnsi="Times New Roman" w:cs="Times New Roman"/>
                <w:color w:val="auto"/>
                <w:sz w:val="22"/>
                <w:szCs w:val="22"/>
                <w:vertAlign w:val="subscript"/>
              </w:rPr>
              <w:t>F</w:t>
            </w:r>
            <w:r w:rsidRPr="002C2D6F">
              <w:rPr>
                <w:rStyle w:val="fontstyle51"/>
                <w:rFonts w:ascii="Times New Roman" w:hAnsi="Times New Roman" w:cs="Times New Roman"/>
                <w:color w:val="auto"/>
                <w:sz w:val="22"/>
                <w:szCs w:val="22"/>
                <w:vertAlign w:val="subscript"/>
              </w:rPr>
              <w:t>=0</w:t>
            </w:r>
            <w:r w:rsidRPr="004635E5">
              <w:rPr>
                <w:rStyle w:val="fontstyle51"/>
                <w:rFonts w:ascii="Times New Roman" w:hAnsi="Times New Roman" w:cs="Times New Roman"/>
                <w:color w:val="auto"/>
                <w:sz w:val="22"/>
                <w:szCs w:val="22"/>
              </w:rPr>
              <w:t xml:space="preserve"> </w:t>
            </w:r>
            <w:r w:rsidRPr="004635E5">
              <w:rPr>
                <w:rStyle w:val="fontstyle01"/>
                <w:rFonts w:ascii="Times New Roman" w:hAnsi="Times New Roman" w:cs="Times New Roman"/>
                <w:color w:val="auto"/>
              </w:rPr>
              <w:t>reference points (top left) and each axis of uncertain</w:t>
            </w:r>
            <w:r>
              <w:rPr>
                <w:rStyle w:val="fontstyle01"/>
                <w:rFonts w:ascii="Times New Roman" w:hAnsi="Times New Roman" w:cs="Times New Roman" w:hint="eastAsia"/>
                <w:color w:val="auto"/>
                <w:lang w:eastAsia="ko-KR"/>
              </w:rPr>
              <w:t>t</w:t>
            </w:r>
            <w:r w:rsidRPr="004635E5">
              <w:rPr>
                <w:rStyle w:val="fontstyle01"/>
                <w:rFonts w:ascii="Times New Roman" w:hAnsi="Times New Roman" w:cs="Times New Roman"/>
                <w:color w:val="auto"/>
              </w:rPr>
              <w:t>y.</w:t>
            </w:r>
          </w:p>
          <w:p w14:paraId="53F4F74D" w14:textId="77777777" w:rsidR="003D217E" w:rsidRDefault="003D217E" w:rsidP="001740C5">
            <w:pPr>
              <w:pStyle w:val="WCPFC"/>
              <w:numPr>
                <w:ilvl w:val="0"/>
                <w:numId w:val="0"/>
              </w:numPr>
              <w:adjustRightInd w:val="0"/>
              <w:spacing w:after="0"/>
              <w:rPr>
                <w:rFonts w:cs="Times New Roman"/>
              </w:rPr>
            </w:pPr>
          </w:p>
        </w:tc>
      </w:tr>
    </w:tbl>
    <w:p w14:paraId="21E6522A" w14:textId="77777777" w:rsidR="003D217E" w:rsidRDefault="003D217E" w:rsidP="003D217E">
      <w:pPr>
        <w:rPr>
          <w:rFonts w:eastAsiaTheme="minorEastAsia"/>
          <w:lang w:eastAsia="ko-KR"/>
        </w:rPr>
      </w:pPr>
    </w:p>
    <w:p w14:paraId="1BEAE7E8" w14:textId="77777777" w:rsidR="003D217E" w:rsidRPr="00D57DBE" w:rsidRDefault="003D217E" w:rsidP="003D217E">
      <w:pPr>
        <w:rPr>
          <w:rFonts w:eastAsiaTheme="minorEastAsia"/>
          <w:lang w:eastAsia="ko-KR"/>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574"/>
      </w:tblGrid>
      <w:tr w:rsidR="003D217E" w14:paraId="6D8C5B9F" w14:textId="77777777" w:rsidTr="001740C5">
        <w:tc>
          <w:tcPr>
            <w:tcW w:w="4657" w:type="dxa"/>
            <w:vAlign w:val="center"/>
          </w:tcPr>
          <w:p w14:paraId="1DCF702C" w14:textId="77777777" w:rsidR="003D217E" w:rsidRDefault="003D217E" w:rsidP="001740C5">
            <w:pPr>
              <w:pStyle w:val="WCPFC"/>
              <w:numPr>
                <w:ilvl w:val="0"/>
                <w:numId w:val="0"/>
              </w:numPr>
              <w:adjustRightInd w:val="0"/>
              <w:spacing w:after="0"/>
              <w:jc w:val="center"/>
              <w:rPr>
                <w:rFonts w:cs="Times New Roman"/>
              </w:rPr>
            </w:pPr>
            <w:r w:rsidRPr="004635E5">
              <w:rPr>
                <w:rFonts w:cs="Times New Roman"/>
                <w:noProof/>
                <w:lang w:val="en-US" w:eastAsia="zh-CN" w:bidi="mn-Mong-CN"/>
              </w:rPr>
              <w:drawing>
                <wp:inline distT="0" distB="0" distL="0" distR="0" wp14:anchorId="615A514D" wp14:editId="60EDF0F4">
                  <wp:extent cx="2797432" cy="1600200"/>
                  <wp:effectExtent l="0" t="0" r="3175" b="0"/>
                  <wp:docPr id="390" name="Picture 7" descr="kobe-grid_panel-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be-grid_panel-plo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06984" cy="1605664"/>
                          </a:xfrm>
                          <a:prstGeom prst="rect">
                            <a:avLst/>
                          </a:prstGeom>
                          <a:noFill/>
                          <a:ln>
                            <a:noFill/>
                          </a:ln>
                        </pic:spPr>
                      </pic:pic>
                    </a:graphicData>
                  </a:graphic>
                </wp:inline>
              </w:drawing>
            </w:r>
          </w:p>
        </w:tc>
        <w:tc>
          <w:tcPr>
            <w:tcW w:w="4559" w:type="dxa"/>
          </w:tcPr>
          <w:p w14:paraId="3A0F0700" w14:textId="77777777" w:rsidR="003D217E" w:rsidRDefault="003D217E" w:rsidP="001740C5">
            <w:pPr>
              <w:pStyle w:val="WCPFC"/>
              <w:numPr>
                <w:ilvl w:val="0"/>
                <w:numId w:val="0"/>
              </w:numPr>
              <w:adjustRightInd w:val="0"/>
              <w:spacing w:after="0"/>
              <w:rPr>
                <w:rFonts w:cs="Times New Roman"/>
              </w:rPr>
            </w:pPr>
            <w:r w:rsidRPr="004635E5">
              <w:rPr>
                <w:rFonts w:cs="Times New Roman"/>
                <w:noProof/>
                <w:lang w:val="en-US" w:eastAsia="zh-CN" w:bidi="mn-Mong-CN"/>
              </w:rPr>
              <w:drawing>
                <wp:inline distT="0" distB="0" distL="0" distR="0" wp14:anchorId="2341B5C1" wp14:editId="2AE68348">
                  <wp:extent cx="2767584" cy="2596896"/>
                  <wp:effectExtent l="0" t="0" r="0" b="0"/>
                  <wp:docPr id="391" name="Picture 8" descr="plot_fishery_impact_ALB-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ot_fishery_impact_ALB-SSB"/>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71775" cy="2600829"/>
                          </a:xfrm>
                          <a:prstGeom prst="rect">
                            <a:avLst/>
                          </a:prstGeom>
                          <a:noFill/>
                          <a:ln>
                            <a:noFill/>
                          </a:ln>
                        </pic:spPr>
                      </pic:pic>
                    </a:graphicData>
                  </a:graphic>
                </wp:inline>
              </w:drawing>
            </w:r>
          </w:p>
        </w:tc>
      </w:tr>
      <w:tr w:rsidR="003D217E" w14:paraId="79E412E0" w14:textId="77777777" w:rsidTr="001740C5">
        <w:tc>
          <w:tcPr>
            <w:tcW w:w="4657" w:type="dxa"/>
          </w:tcPr>
          <w:p w14:paraId="3CA3CDAF" w14:textId="7D02022A" w:rsidR="003D217E" w:rsidRPr="004635E5" w:rsidRDefault="003D217E" w:rsidP="001740C5">
            <w:pPr>
              <w:pStyle w:val="WCPFC"/>
              <w:numPr>
                <w:ilvl w:val="0"/>
                <w:numId w:val="0"/>
              </w:numPr>
              <w:adjustRightInd w:val="0"/>
              <w:spacing w:after="0"/>
              <w:rPr>
                <w:rStyle w:val="fontstyle01"/>
                <w:rFonts w:ascii="Times New Roman" w:hAnsi="Times New Roman" w:cs="Times New Roman"/>
              </w:rPr>
            </w:pPr>
            <w:r w:rsidRPr="004635E5">
              <w:rPr>
                <w:rFonts w:cs="Times New Roman"/>
                <w:b/>
              </w:rPr>
              <w:t>Figure SPA-</w:t>
            </w:r>
            <w:r w:rsidRPr="004635E5">
              <w:rPr>
                <w:rFonts w:cs="Times New Roman"/>
                <w:b/>
                <w:noProof/>
              </w:rPr>
              <w:fldChar w:fldCharType="begin"/>
            </w:r>
            <w:r w:rsidRPr="004635E5">
              <w:rPr>
                <w:rFonts w:cs="Times New Roman"/>
                <w:b/>
                <w:noProof/>
              </w:rPr>
              <w:instrText xml:space="preserve"> SEQ Figure \* ARABIC </w:instrText>
            </w:r>
            <w:r w:rsidRPr="004635E5">
              <w:rPr>
                <w:rFonts w:cs="Times New Roman"/>
                <w:b/>
                <w:noProof/>
              </w:rPr>
              <w:fldChar w:fldCharType="separate"/>
            </w:r>
            <w:r w:rsidR="00117A6F">
              <w:rPr>
                <w:rFonts w:cs="Times New Roman"/>
                <w:b/>
                <w:noProof/>
              </w:rPr>
              <w:t>9</w:t>
            </w:r>
            <w:r w:rsidRPr="004635E5">
              <w:rPr>
                <w:rFonts w:cs="Times New Roman"/>
                <w:b/>
                <w:noProof/>
              </w:rPr>
              <w:fldChar w:fldCharType="end"/>
            </w:r>
            <w:r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 xml:space="preserve">Kobe plots summarising the results for each of the models in the structural uncertainty grid under the </w:t>
            </w:r>
            <w:r w:rsidRPr="004635E5">
              <w:rPr>
                <w:rStyle w:val="fontstyle21"/>
                <w:rFonts w:ascii="Times New Roman" w:hAnsi="Times New Roman" w:cs="Times New Roman"/>
                <w:color w:val="auto"/>
              </w:rPr>
              <w:t>SB</w:t>
            </w:r>
            <w:r w:rsidRPr="002C2D6F">
              <w:rPr>
                <w:rStyle w:val="fontstyle31"/>
                <w:rFonts w:ascii="Times New Roman" w:hAnsi="Times New Roman" w:cs="Times New Roman"/>
                <w:color w:val="auto"/>
                <w:sz w:val="22"/>
                <w:szCs w:val="22"/>
                <w:vertAlign w:val="subscript"/>
              </w:rPr>
              <w:t>latest</w:t>
            </w:r>
            <w:r>
              <w:rPr>
                <w:rStyle w:val="fontstyle41"/>
                <w:rFonts w:ascii="Times New Roman" w:hAnsi="Times New Roman" w:cs="Times New Roman"/>
                <w:color w:val="auto"/>
              </w:rPr>
              <w:t>/</w:t>
            </w:r>
            <w:r w:rsidRPr="004635E5">
              <w:rPr>
                <w:rStyle w:val="fontstyle21"/>
                <w:rFonts w:ascii="Times New Roman" w:hAnsi="Times New Roman" w:cs="Times New Roman"/>
                <w:color w:val="auto"/>
              </w:rPr>
              <w:t>SB</w:t>
            </w:r>
            <w:r w:rsidRPr="002C2D6F">
              <w:rPr>
                <w:rStyle w:val="fontstyle31"/>
                <w:rFonts w:ascii="Times New Roman" w:hAnsi="Times New Roman" w:cs="Times New Roman"/>
                <w:color w:val="auto"/>
                <w:sz w:val="22"/>
                <w:szCs w:val="22"/>
                <w:vertAlign w:val="subscript"/>
              </w:rPr>
              <w:t>F</w:t>
            </w:r>
            <w:r w:rsidRPr="002C2D6F">
              <w:rPr>
                <w:rStyle w:val="fontstyle51"/>
                <w:rFonts w:ascii="Times New Roman" w:hAnsi="Times New Roman" w:cs="Times New Roman"/>
                <w:color w:val="auto"/>
                <w:sz w:val="22"/>
                <w:szCs w:val="22"/>
                <w:vertAlign w:val="subscript"/>
              </w:rPr>
              <w:t>=0</w:t>
            </w:r>
            <w:r w:rsidRPr="004635E5">
              <w:rPr>
                <w:rStyle w:val="fontstyle51"/>
                <w:rFonts w:ascii="Times New Roman" w:hAnsi="Times New Roman" w:cs="Times New Roman"/>
                <w:color w:val="auto"/>
                <w:sz w:val="22"/>
                <w:szCs w:val="22"/>
              </w:rPr>
              <w:t xml:space="preserve"> </w:t>
            </w:r>
            <w:r w:rsidRPr="004635E5">
              <w:rPr>
                <w:rStyle w:val="fontstyle01"/>
                <w:rFonts w:ascii="Times New Roman" w:hAnsi="Times New Roman" w:cs="Times New Roman"/>
                <w:color w:val="auto"/>
              </w:rPr>
              <w:t xml:space="preserve">and the </w:t>
            </w:r>
            <w:r w:rsidRPr="004635E5">
              <w:rPr>
                <w:rStyle w:val="fontstyle21"/>
                <w:rFonts w:ascii="Times New Roman" w:hAnsi="Times New Roman" w:cs="Times New Roman"/>
                <w:color w:val="auto"/>
              </w:rPr>
              <w:t>SB</w:t>
            </w:r>
            <w:r w:rsidRPr="002C2D6F">
              <w:rPr>
                <w:rStyle w:val="fontstyle31"/>
                <w:rFonts w:ascii="Times New Roman" w:hAnsi="Times New Roman" w:cs="Times New Roman"/>
                <w:color w:val="auto"/>
                <w:sz w:val="22"/>
                <w:szCs w:val="22"/>
                <w:vertAlign w:val="subscript"/>
              </w:rPr>
              <w:t>recent</w:t>
            </w:r>
            <w:r>
              <w:rPr>
                <w:rStyle w:val="fontstyle41"/>
                <w:rFonts w:ascii="Times New Roman" w:hAnsi="Times New Roman" w:cs="Times New Roman"/>
                <w:color w:val="auto"/>
              </w:rPr>
              <w:t>/</w:t>
            </w:r>
            <w:r w:rsidRPr="004635E5">
              <w:rPr>
                <w:rStyle w:val="fontstyle21"/>
                <w:rFonts w:ascii="Times New Roman" w:hAnsi="Times New Roman" w:cs="Times New Roman"/>
                <w:color w:val="auto"/>
              </w:rPr>
              <w:t>SB</w:t>
            </w:r>
            <w:r w:rsidRPr="002C2D6F">
              <w:rPr>
                <w:rStyle w:val="fontstyle31"/>
                <w:rFonts w:ascii="Times New Roman" w:hAnsi="Times New Roman" w:cs="Times New Roman"/>
                <w:color w:val="auto"/>
                <w:sz w:val="22"/>
                <w:szCs w:val="22"/>
                <w:vertAlign w:val="subscript"/>
              </w:rPr>
              <w:t>F</w:t>
            </w:r>
            <w:r w:rsidRPr="002C2D6F">
              <w:rPr>
                <w:rStyle w:val="fontstyle51"/>
                <w:rFonts w:ascii="Times New Roman" w:hAnsi="Times New Roman" w:cs="Times New Roman"/>
                <w:color w:val="auto"/>
                <w:sz w:val="22"/>
                <w:szCs w:val="22"/>
                <w:vertAlign w:val="subscript"/>
              </w:rPr>
              <w:t>=0</w:t>
            </w:r>
            <w:r w:rsidRPr="004635E5">
              <w:rPr>
                <w:rStyle w:val="fontstyle51"/>
                <w:rFonts w:ascii="Times New Roman" w:hAnsi="Times New Roman" w:cs="Times New Roman"/>
                <w:color w:val="auto"/>
                <w:sz w:val="22"/>
                <w:szCs w:val="22"/>
              </w:rPr>
              <w:t xml:space="preserve"> </w:t>
            </w:r>
            <w:r w:rsidRPr="004635E5">
              <w:rPr>
                <w:rStyle w:val="fontstyle01"/>
                <w:rFonts w:ascii="Times New Roman" w:hAnsi="Times New Roman" w:cs="Times New Roman"/>
                <w:color w:val="auto"/>
              </w:rPr>
              <w:t>reference points.</w:t>
            </w:r>
          </w:p>
          <w:p w14:paraId="73169434" w14:textId="77777777" w:rsidR="003D217E" w:rsidRDefault="003D217E" w:rsidP="001740C5">
            <w:pPr>
              <w:pStyle w:val="WCPFC"/>
              <w:numPr>
                <w:ilvl w:val="0"/>
                <w:numId w:val="0"/>
              </w:numPr>
              <w:adjustRightInd w:val="0"/>
              <w:spacing w:after="0"/>
              <w:rPr>
                <w:rFonts w:cs="Times New Roman"/>
              </w:rPr>
            </w:pPr>
          </w:p>
        </w:tc>
        <w:tc>
          <w:tcPr>
            <w:tcW w:w="4559" w:type="dxa"/>
          </w:tcPr>
          <w:p w14:paraId="444082BB" w14:textId="300E8934" w:rsidR="003D217E" w:rsidRPr="00D57DBE" w:rsidRDefault="003D217E" w:rsidP="001740C5">
            <w:pPr>
              <w:pStyle w:val="WCPFC"/>
              <w:numPr>
                <w:ilvl w:val="0"/>
                <w:numId w:val="0"/>
              </w:numPr>
              <w:adjustRightInd w:val="0"/>
              <w:spacing w:after="0"/>
              <w:ind w:left="23"/>
              <w:rPr>
                <w:rFonts w:cs="Times New Roman"/>
                <w:color w:val="auto"/>
                <w:lang w:eastAsia="ko-KR"/>
              </w:rPr>
            </w:pPr>
            <w:r w:rsidRPr="004635E5">
              <w:rPr>
                <w:rFonts w:cs="Times New Roman"/>
                <w:b/>
              </w:rPr>
              <w:t>Figure SPA-</w:t>
            </w:r>
            <w:r w:rsidRPr="004635E5">
              <w:rPr>
                <w:rFonts w:cs="Times New Roman"/>
                <w:b/>
                <w:noProof/>
              </w:rPr>
              <w:fldChar w:fldCharType="begin"/>
            </w:r>
            <w:r w:rsidRPr="004635E5">
              <w:rPr>
                <w:rFonts w:cs="Times New Roman"/>
                <w:b/>
                <w:noProof/>
              </w:rPr>
              <w:instrText xml:space="preserve"> SEQ Figure \* ARABIC </w:instrText>
            </w:r>
            <w:r w:rsidRPr="004635E5">
              <w:rPr>
                <w:rFonts w:cs="Times New Roman"/>
                <w:b/>
                <w:noProof/>
              </w:rPr>
              <w:fldChar w:fldCharType="separate"/>
            </w:r>
            <w:r w:rsidR="00117A6F">
              <w:rPr>
                <w:rFonts w:cs="Times New Roman"/>
                <w:b/>
                <w:noProof/>
              </w:rPr>
              <w:t>10</w:t>
            </w:r>
            <w:r w:rsidRPr="004635E5">
              <w:rPr>
                <w:rFonts w:cs="Times New Roman"/>
                <w:b/>
                <w:noProof/>
              </w:rPr>
              <w:fldChar w:fldCharType="end"/>
            </w:r>
            <w:r w:rsidRPr="004635E5">
              <w:rPr>
                <w:rFonts w:cs="Times New Roman"/>
                <w:b/>
                <w:noProof/>
              </w:rPr>
              <w:t>.</w:t>
            </w:r>
            <w:r w:rsidRPr="004635E5">
              <w:rPr>
                <w:rFonts w:cs="Times New Roman"/>
                <w:color w:val="auto"/>
              </w:rPr>
              <w:t xml:space="preserve"> </w:t>
            </w:r>
            <w:r w:rsidRPr="004635E5">
              <w:rPr>
                <w:rStyle w:val="fontstyle01"/>
                <w:rFonts w:ascii="Times New Roman" w:hAnsi="Times New Roman" w:cs="Times New Roman"/>
                <w:color w:val="auto"/>
              </w:rPr>
              <w:t>Estimates of reduction in spawning potential due to fishing (fishery impact = 1</w:t>
            </w:r>
            <w:r w:rsidRPr="004635E5">
              <w:rPr>
                <w:rStyle w:val="fontstyle21"/>
                <w:rFonts w:ascii="Times New Roman" w:hAnsi="Times New Roman" w:cs="Times New Roman"/>
                <w:color w:val="auto"/>
              </w:rPr>
              <w:t>-SB</w:t>
            </w:r>
            <w:r w:rsidRPr="004635E5">
              <w:rPr>
                <w:rStyle w:val="fontstyle31"/>
                <w:rFonts w:ascii="Times New Roman" w:hAnsi="Times New Roman" w:cs="Times New Roman"/>
                <w:color w:val="auto"/>
                <w:sz w:val="22"/>
                <w:szCs w:val="22"/>
              </w:rPr>
              <w:t xml:space="preserve"> </w:t>
            </w:r>
            <w:r w:rsidRPr="004635E5">
              <w:rPr>
                <w:rStyle w:val="fontstyle41"/>
                <w:rFonts w:ascii="Times New Roman" w:hAnsi="Times New Roman" w:cs="Times New Roman"/>
                <w:color w:val="auto"/>
                <w:vertAlign w:val="subscript"/>
              </w:rPr>
              <w:t>latest</w:t>
            </w:r>
            <w:r w:rsidRPr="004635E5">
              <w:rPr>
                <w:rStyle w:val="fontstyle51"/>
                <w:rFonts w:ascii="Times New Roman" w:hAnsi="Times New Roman" w:cs="Times New Roman"/>
                <w:color w:val="auto"/>
                <w:sz w:val="22"/>
                <w:szCs w:val="22"/>
              </w:rPr>
              <w:t>/SB</w:t>
            </w:r>
            <w:r w:rsidRPr="004635E5">
              <w:rPr>
                <w:rStyle w:val="fontstyle31"/>
                <w:rFonts w:ascii="Times New Roman" w:hAnsi="Times New Roman" w:cs="Times New Roman"/>
                <w:color w:val="auto"/>
                <w:sz w:val="22"/>
                <w:szCs w:val="22"/>
              </w:rPr>
              <w:t xml:space="preserve"> </w:t>
            </w:r>
            <w:r w:rsidRPr="004635E5">
              <w:rPr>
                <w:rStyle w:val="fontstyle41"/>
                <w:rFonts w:ascii="Times New Roman" w:hAnsi="Times New Roman" w:cs="Times New Roman"/>
                <w:color w:val="auto"/>
                <w:vertAlign w:val="subscript"/>
              </w:rPr>
              <w:t>F</w:t>
            </w:r>
            <w:r w:rsidRPr="004635E5">
              <w:rPr>
                <w:rStyle w:val="fontstyle61"/>
                <w:rFonts w:ascii="Times New Roman" w:hAnsi="Times New Roman" w:cs="Times New Roman"/>
                <w:color w:val="auto"/>
                <w:sz w:val="22"/>
                <w:szCs w:val="22"/>
                <w:vertAlign w:val="subscript"/>
              </w:rPr>
              <w:t>=0</w:t>
            </w:r>
            <w:r w:rsidRPr="004635E5">
              <w:rPr>
                <w:rStyle w:val="fontstyle01"/>
                <w:rFonts w:ascii="Times New Roman" w:hAnsi="Times New Roman" w:cs="Times New Roman"/>
                <w:color w:val="auto"/>
              </w:rPr>
              <w:t>)</w:t>
            </w:r>
            <w:r w:rsidRPr="004635E5">
              <w:rPr>
                <w:rFonts w:cs="Times New Roman"/>
                <w:color w:val="auto"/>
              </w:rPr>
              <w:t xml:space="preserve"> </w:t>
            </w:r>
            <w:r w:rsidRPr="004635E5">
              <w:rPr>
                <w:rStyle w:val="fontstyle01"/>
                <w:rFonts w:ascii="Times New Roman" w:hAnsi="Times New Roman" w:cs="Times New Roman"/>
                <w:color w:val="auto"/>
              </w:rPr>
              <w:t>by region, and over all regions (lower right panel), attributed to various fishery groups for the diagnostic case model.</w:t>
            </w:r>
          </w:p>
        </w:tc>
      </w:tr>
    </w:tbl>
    <w:p w14:paraId="3DB51E80" w14:textId="77777777" w:rsidR="003D217E" w:rsidRPr="004635E5" w:rsidRDefault="003D217E" w:rsidP="003D217E">
      <w:pPr>
        <w:pStyle w:val="WCPFC"/>
        <w:numPr>
          <w:ilvl w:val="0"/>
          <w:numId w:val="0"/>
        </w:numPr>
        <w:adjustRightInd w:val="0"/>
        <w:spacing w:after="0"/>
        <w:ind w:left="360"/>
        <w:rPr>
          <w:rFonts w:cs="Times New Roman"/>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4608"/>
      </w:tblGrid>
      <w:tr w:rsidR="003D217E" w14:paraId="106B712F" w14:textId="77777777" w:rsidTr="001740C5">
        <w:tc>
          <w:tcPr>
            <w:tcW w:w="4608" w:type="dxa"/>
          </w:tcPr>
          <w:p w14:paraId="685FE98B" w14:textId="77777777" w:rsidR="003D217E" w:rsidRDefault="003D217E" w:rsidP="001740C5">
            <w:pPr>
              <w:pStyle w:val="WCPFC"/>
              <w:numPr>
                <w:ilvl w:val="0"/>
                <w:numId w:val="0"/>
              </w:numPr>
              <w:adjustRightInd w:val="0"/>
              <w:spacing w:after="0"/>
              <w:rPr>
                <w:rStyle w:val="fontstyle01"/>
                <w:rFonts w:ascii="Times New Roman" w:hAnsi="Times New Roman" w:cs="Times New Roman"/>
                <w:lang w:eastAsia="ko-KR"/>
              </w:rPr>
            </w:pPr>
            <w:r w:rsidRPr="004635E5">
              <w:rPr>
                <w:rFonts w:cs="Times New Roman"/>
                <w:noProof/>
                <w:lang w:val="en-US" w:eastAsia="zh-CN" w:bidi="mn-Mong-CN"/>
              </w:rPr>
              <w:drawing>
                <wp:inline distT="0" distB="0" distL="0" distR="0" wp14:anchorId="684736A6" wp14:editId="0F0861D0">
                  <wp:extent cx="2852185" cy="2438400"/>
                  <wp:effectExtent l="0" t="0" r="5715" b="0"/>
                  <wp:docPr id="392" name="Picture 9" descr="plot_temporal_M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ot_temporal_MSY"/>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59335" cy="2444513"/>
                          </a:xfrm>
                          <a:prstGeom prst="rect">
                            <a:avLst/>
                          </a:prstGeom>
                          <a:noFill/>
                          <a:ln>
                            <a:noFill/>
                          </a:ln>
                        </pic:spPr>
                      </pic:pic>
                    </a:graphicData>
                  </a:graphic>
                </wp:inline>
              </w:drawing>
            </w:r>
          </w:p>
        </w:tc>
        <w:tc>
          <w:tcPr>
            <w:tcW w:w="4608" w:type="dxa"/>
          </w:tcPr>
          <w:p w14:paraId="428F598E" w14:textId="77777777" w:rsidR="003D217E" w:rsidRDefault="003D217E" w:rsidP="001740C5">
            <w:pPr>
              <w:pStyle w:val="WCPFC"/>
              <w:numPr>
                <w:ilvl w:val="0"/>
                <w:numId w:val="0"/>
              </w:numPr>
              <w:adjustRightInd w:val="0"/>
              <w:spacing w:after="0"/>
              <w:rPr>
                <w:rStyle w:val="fontstyle01"/>
                <w:rFonts w:ascii="Times New Roman" w:hAnsi="Times New Roman" w:cs="Times New Roman"/>
                <w:lang w:eastAsia="ko-KR"/>
              </w:rPr>
            </w:pPr>
            <w:r w:rsidRPr="004635E5">
              <w:rPr>
                <w:rFonts w:cs="Times New Roman"/>
                <w:noProof/>
                <w:lang w:val="en-US" w:eastAsia="zh-CN" w:bidi="mn-Mong-CN"/>
              </w:rPr>
              <w:drawing>
                <wp:inline distT="0" distB="0" distL="0" distR="0" wp14:anchorId="4F9D246E" wp14:editId="5A8B6ED2">
                  <wp:extent cx="2852928" cy="2438400"/>
                  <wp:effectExtent l="0" t="0" r="5080" b="0"/>
                  <wp:docPr id="393" name="Picture 10" descr="plot_Kobe_Temporal_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ot_Kobe_Temporal_Panel"/>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61498" cy="2445725"/>
                          </a:xfrm>
                          <a:prstGeom prst="rect">
                            <a:avLst/>
                          </a:prstGeom>
                          <a:noFill/>
                          <a:ln>
                            <a:noFill/>
                          </a:ln>
                        </pic:spPr>
                      </pic:pic>
                    </a:graphicData>
                  </a:graphic>
                </wp:inline>
              </w:drawing>
            </w:r>
          </w:p>
        </w:tc>
      </w:tr>
      <w:tr w:rsidR="003D217E" w14:paraId="30DAF4DC" w14:textId="77777777" w:rsidTr="001740C5">
        <w:tc>
          <w:tcPr>
            <w:tcW w:w="4608" w:type="dxa"/>
          </w:tcPr>
          <w:p w14:paraId="04E1CE54" w14:textId="3A18140D" w:rsidR="003D217E" w:rsidRPr="004635E5" w:rsidRDefault="003D217E" w:rsidP="001740C5">
            <w:pPr>
              <w:pStyle w:val="WCPFC"/>
              <w:numPr>
                <w:ilvl w:val="0"/>
                <w:numId w:val="0"/>
              </w:numPr>
              <w:adjustRightInd w:val="0"/>
              <w:spacing w:after="0"/>
              <w:rPr>
                <w:rStyle w:val="fontstyle01"/>
                <w:rFonts w:ascii="Times New Roman" w:hAnsi="Times New Roman" w:cs="Times New Roman"/>
                <w:color w:val="000000"/>
              </w:rPr>
            </w:pPr>
            <w:r w:rsidRPr="004635E5">
              <w:rPr>
                <w:rFonts w:cs="Times New Roman"/>
                <w:b/>
              </w:rPr>
              <w:t>Figure SPA-</w:t>
            </w:r>
            <w:r w:rsidRPr="004635E5">
              <w:rPr>
                <w:rFonts w:cs="Times New Roman"/>
                <w:b/>
                <w:noProof/>
              </w:rPr>
              <w:fldChar w:fldCharType="begin"/>
            </w:r>
            <w:r w:rsidRPr="004635E5">
              <w:rPr>
                <w:rFonts w:cs="Times New Roman"/>
                <w:b/>
                <w:noProof/>
              </w:rPr>
              <w:instrText xml:space="preserve"> SEQ Figure \* ARABIC </w:instrText>
            </w:r>
            <w:r w:rsidRPr="004635E5">
              <w:rPr>
                <w:rFonts w:cs="Times New Roman"/>
                <w:b/>
                <w:noProof/>
              </w:rPr>
              <w:fldChar w:fldCharType="separate"/>
            </w:r>
            <w:r w:rsidR="00117A6F">
              <w:rPr>
                <w:rFonts w:cs="Times New Roman"/>
                <w:b/>
                <w:noProof/>
              </w:rPr>
              <w:t>11</w:t>
            </w:r>
            <w:r w:rsidRPr="004635E5">
              <w:rPr>
                <w:rFonts w:cs="Times New Roman"/>
                <w:b/>
                <w:noProof/>
              </w:rPr>
              <w:fldChar w:fldCharType="end"/>
            </w:r>
            <w:r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History of the annual estimates of MSY (red line) for the diagnostic case model compared with annual catch by the main gear types.</w:t>
            </w:r>
          </w:p>
          <w:p w14:paraId="65B50D1C" w14:textId="77777777" w:rsidR="003D217E" w:rsidRDefault="003D217E" w:rsidP="001740C5">
            <w:pPr>
              <w:pStyle w:val="WCPFC"/>
              <w:numPr>
                <w:ilvl w:val="0"/>
                <w:numId w:val="0"/>
              </w:numPr>
              <w:adjustRightInd w:val="0"/>
              <w:spacing w:after="0"/>
              <w:rPr>
                <w:rStyle w:val="fontstyle01"/>
                <w:rFonts w:ascii="Times New Roman" w:hAnsi="Times New Roman" w:cs="Times New Roman"/>
                <w:lang w:eastAsia="ko-KR"/>
              </w:rPr>
            </w:pPr>
          </w:p>
        </w:tc>
        <w:tc>
          <w:tcPr>
            <w:tcW w:w="4608" w:type="dxa"/>
          </w:tcPr>
          <w:p w14:paraId="6DC4C588" w14:textId="14A3E1D3" w:rsidR="003D217E" w:rsidRPr="00970771" w:rsidRDefault="003D217E" w:rsidP="001740C5">
            <w:pPr>
              <w:pStyle w:val="WCPFC"/>
              <w:numPr>
                <w:ilvl w:val="0"/>
                <w:numId w:val="0"/>
              </w:numPr>
              <w:adjustRightInd w:val="0"/>
              <w:spacing w:after="0"/>
              <w:ind w:left="31"/>
              <w:rPr>
                <w:rStyle w:val="fontstyle01"/>
                <w:rFonts w:ascii="Times New Roman" w:hAnsi="Times New Roman" w:cs="Times New Roman"/>
                <w:color w:val="auto"/>
                <w:lang w:eastAsia="ko-KR"/>
              </w:rPr>
            </w:pPr>
            <w:r w:rsidRPr="004635E5">
              <w:rPr>
                <w:rFonts w:cs="Times New Roman"/>
                <w:b/>
              </w:rPr>
              <w:t>Figure SPA-</w:t>
            </w:r>
            <w:r w:rsidRPr="004635E5">
              <w:rPr>
                <w:rFonts w:cs="Times New Roman"/>
                <w:b/>
                <w:noProof/>
              </w:rPr>
              <w:fldChar w:fldCharType="begin"/>
            </w:r>
            <w:r w:rsidRPr="004635E5">
              <w:rPr>
                <w:rFonts w:cs="Times New Roman"/>
                <w:b/>
                <w:noProof/>
              </w:rPr>
              <w:instrText xml:space="preserve"> SEQ Figure \* ARABIC </w:instrText>
            </w:r>
            <w:r w:rsidRPr="004635E5">
              <w:rPr>
                <w:rFonts w:cs="Times New Roman"/>
                <w:b/>
                <w:noProof/>
              </w:rPr>
              <w:fldChar w:fldCharType="separate"/>
            </w:r>
            <w:r w:rsidR="00117A6F">
              <w:rPr>
                <w:rFonts w:cs="Times New Roman"/>
                <w:b/>
                <w:noProof/>
              </w:rPr>
              <w:t>12</w:t>
            </w:r>
            <w:r w:rsidRPr="004635E5">
              <w:rPr>
                <w:rFonts w:cs="Times New Roman"/>
                <w:b/>
                <w:noProof/>
              </w:rPr>
              <w:fldChar w:fldCharType="end"/>
            </w:r>
            <w:r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 xml:space="preserve">Estimated time-series (or ‘dynamic’) Kobe plots for four example models from the assessment (one from each of the combinations of growth types, and natural mortality </w:t>
            </w:r>
            <w:r w:rsidRPr="004635E5">
              <w:rPr>
                <w:rStyle w:val="fontstyle21"/>
                <w:rFonts w:ascii="Times New Roman" w:hAnsi="Times New Roman" w:cs="Times New Roman"/>
                <w:color w:val="auto"/>
              </w:rPr>
              <w:t xml:space="preserve">M </w:t>
            </w:r>
            <w:r w:rsidRPr="004635E5">
              <w:rPr>
                <w:rStyle w:val="fontstyle01"/>
                <w:rFonts w:ascii="Times New Roman" w:hAnsi="Times New Roman" w:cs="Times New Roman"/>
                <w:color w:val="auto"/>
              </w:rPr>
              <w:t>set to 0.3 or 0.4).</w:t>
            </w:r>
          </w:p>
        </w:tc>
      </w:tr>
    </w:tbl>
    <w:p w14:paraId="5AF0588A" w14:textId="77777777" w:rsidR="003D217E" w:rsidRDefault="003D217E" w:rsidP="003D217E">
      <w:pPr>
        <w:pStyle w:val="SC2"/>
        <w:numPr>
          <w:ilvl w:val="0"/>
          <w:numId w:val="0"/>
        </w:numPr>
        <w:spacing w:after="0"/>
        <w:ind w:left="720"/>
        <w:rPr>
          <w:rFonts w:eastAsia="Batang"/>
          <w:sz w:val="24"/>
          <w:szCs w:val="24"/>
          <w:lang w:eastAsia="ko-KR"/>
        </w:rPr>
      </w:pPr>
    </w:p>
    <w:p w14:paraId="51817DF3" w14:textId="77777777" w:rsidR="003D217E" w:rsidRPr="00D57DBE" w:rsidRDefault="003D217E" w:rsidP="003D217E">
      <w:pPr>
        <w:pStyle w:val="SC2"/>
        <w:spacing w:after="0"/>
        <w:rPr>
          <w:rFonts w:eastAsia="Batang"/>
          <w:sz w:val="24"/>
          <w:szCs w:val="24"/>
          <w:lang w:eastAsia="ko-KR"/>
        </w:rPr>
      </w:pPr>
      <w:r w:rsidRPr="00D57DBE">
        <w:rPr>
          <w:rFonts w:eastAsia="Batang"/>
          <w:sz w:val="24"/>
          <w:szCs w:val="24"/>
          <w:lang w:eastAsia="ko-KR"/>
        </w:rPr>
        <w:t xml:space="preserve">Northern stocks </w:t>
      </w:r>
    </w:p>
    <w:p w14:paraId="6FC9A89E" w14:textId="77777777" w:rsidR="003D217E" w:rsidRPr="004635E5" w:rsidRDefault="003D217E" w:rsidP="003D217E">
      <w:pPr>
        <w:pStyle w:val="SC2"/>
        <w:numPr>
          <w:ilvl w:val="0"/>
          <w:numId w:val="0"/>
        </w:numPr>
        <w:spacing w:after="0"/>
        <w:ind w:left="720"/>
        <w:rPr>
          <w:rFonts w:eastAsia="Batang"/>
          <w:lang w:eastAsia="ko-KR"/>
        </w:rPr>
      </w:pPr>
    </w:p>
    <w:p w14:paraId="2656B155" w14:textId="77777777" w:rsidR="003D217E" w:rsidRPr="00D57DBE" w:rsidRDefault="003D217E" w:rsidP="003D217E">
      <w:pPr>
        <w:pStyle w:val="SC3"/>
        <w:spacing w:after="0"/>
        <w:rPr>
          <w:rFonts w:eastAsia="Batang"/>
          <w:sz w:val="24"/>
          <w:szCs w:val="24"/>
          <w:lang w:eastAsia="ko-KR"/>
        </w:rPr>
      </w:pPr>
      <w:r w:rsidRPr="00D57DBE">
        <w:rPr>
          <w:rFonts w:eastAsia="Batang"/>
          <w:sz w:val="24"/>
          <w:szCs w:val="24"/>
          <w:lang w:eastAsia="ko-KR"/>
        </w:rPr>
        <w:t>North Pacific albacore (</w:t>
      </w:r>
      <w:r w:rsidRPr="00D57DBE">
        <w:rPr>
          <w:rFonts w:eastAsia="Batang"/>
          <w:i/>
          <w:sz w:val="24"/>
          <w:szCs w:val="24"/>
          <w:lang w:eastAsia="ko-KR"/>
        </w:rPr>
        <w:t>Thunnus alalunga</w:t>
      </w:r>
      <w:r w:rsidRPr="00D57DBE">
        <w:rPr>
          <w:rFonts w:eastAsia="Batang"/>
          <w:sz w:val="24"/>
          <w:szCs w:val="24"/>
          <w:lang w:eastAsia="ko-KR"/>
        </w:rPr>
        <w:t xml:space="preserve">) </w:t>
      </w:r>
    </w:p>
    <w:p w14:paraId="66DDCE23" w14:textId="77777777" w:rsidR="003D217E" w:rsidRPr="004635E5" w:rsidRDefault="003D217E" w:rsidP="003D217E">
      <w:pPr>
        <w:pStyle w:val="SC3"/>
        <w:numPr>
          <w:ilvl w:val="0"/>
          <w:numId w:val="0"/>
        </w:numPr>
        <w:spacing w:after="0"/>
        <w:ind w:left="1440"/>
        <w:rPr>
          <w:rFonts w:eastAsia="Batang"/>
          <w:lang w:eastAsia="ko-KR"/>
        </w:rPr>
      </w:pPr>
    </w:p>
    <w:p w14:paraId="663A00C2" w14:textId="77777777" w:rsidR="003D217E" w:rsidRPr="004635E5" w:rsidRDefault="003D217E" w:rsidP="002F64C2">
      <w:pPr>
        <w:pStyle w:val="SCa"/>
        <w:tabs>
          <w:tab w:val="clear" w:pos="1080"/>
        </w:tabs>
        <w:spacing w:after="0"/>
        <w:ind w:left="0"/>
      </w:pPr>
      <w:r w:rsidRPr="004635E5">
        <w:t>a.</w:t>
      </w:r>
      <w:r w:rsidRPr="004635E5">
        <w:tab/>
        <w:t>Status and trends</w:t>
      </w:r>
    </w:p>
    <w:p w14:paraId="5A3C0FD5" w14:textId="77777777" w:rsidR="003D217E" w:rsidRPr="004635E5" w:rsidRDefault="003D217E" w:rsidP="003D217E">
      <w:pPr>
        <w:pStyle w:val="SCa"/>
        <w:spacing w:after="0"/>
      </w:pPr>
    </w:p>
    <w:p w14:paraId="4D3833CC" w14:textId="77777777" w:rsidR="003D217E" w:rsidRPr="00D57DBE" w:rsidRDefault="003D217E" w:rsidP="003D217E">
      <w:pPr>
        <w:pStyle w:val="WCPFC"/>
        <w:ind w:left="0" w:firstLine="0"/>
      </w:pPr>
      <w:r w:rsidRPr="00D57DBE">
        <w:lastRenderedPageBreak/>
        <w:t>SC14 noted that no stock assessments were conducted for North Pacific albacore in 2018. Therefore, the stock status descriptions from SC13 are still current for North Pacific albacore. Updated information on catches was not compiled for and reviewed by</w:t>
      </w:r>
      <w:r w:rsidRPr="00D57DBE">
        <w:rPr>
          <w:spacing w:val="-19"/>
        </w:rPr>
        <w:t xml:space="preserve"> </w:t>
      </w:r>
      <w:r w:rsidRPr="00D57DBE">
        <w:t xml:space="preserve">SC14. </w:t>
      </w:r>
    </w:p>
    <w:p w14:paraId="0027F5A6" w14:textId="77777777" w:rsidR="003D217E" w:rsidRPr="004635E5" w:rsidRDefault="003D217E" w:rsidP="003D217E">
      <w:pPr>
        <w:autoSpaceDE w:val="0"/>
        <w:autoSpaceDN w:val="0"/>
        <w:adjustRightInd w:val="0"/>
        <w:snapToGrid w:val="0"/>
        <w:jc w:val="both"/>
        <w:rPr>
          <w:b/>
          <w:sz w:val="22"/>
          <w:szCs w:val="22"/>
        </w:rPr>
      </w:pPr>
    </w:p>
    <w:p w14:paraId="1807A14C" w14:textId="77777777" w:rsidR="003D217E" w:rsidRPr="004635E5" w:rsidRDefault="003D217E" w:rsidP="002F64C2">
      <w:pPr>
        <w:pStyle w:val="SCa"/>
        <w:tabs>
          <w:tab w:val="clear" w:pos="1080"/>
        </w:tabs>
        <w:spacing w:after="0"/>
        <w:ind w:left="0"/>
      </w:pPr>
      <w:r w:rsidRPr="004635E5">
        <w:t>b.</w:t>
      </w:r>
      <w:r w:rsidRPr="004635E5">
        <w:tab/>
        <w:t>Management advice and implications</w:t>
      </w:r>
    </w:p>
    <w:p w14:paraId="77C398BB" w14:textId="77777777" w:rsidR="003D217E" w:rsidRPr="004635E5" w:rsidRDefault="003D217E" w:rsidP="003D217E">
      <w:pPr>
        <w:pStyle w:val="SCa"/>
        <w:spacing w:after="0"/>
      </w:pPr>
    </w:p>
    <w:p w14:paraId="25C72804" w14:textId="77777777" w:rsidR="003D217E" w:rsidRPr="00D57DBE" w:rsidRDefault="003D217E" w:rsidP="00580EA4">
      <w:pPr>
        <w:numPr>
          <w:ilvl w:val="0"/>
          <w:numId w:val="18"/>
        </w:numPr>
        <w:autoSpaceDE w:val="0"/>
        <w:autoSpaceDN w:val="0"/>
        <w:adjustRightInd w:val="0"/>
        <w:snapToGrid w:val="0"/>
        <w:ind w:left="0" w:firstLine="0"/>
        <w:jc w:val="both"/>
        <w:rPr>
          <w:rStyle w:val="Hyperlink"/>
          <w:bCs/>
          <w:color w:val="auto"/>
          <w:sz w:val="22"/>
          <w:szCs w:val="22"/>
          <w:u w:val="none"/>
        </w:rPr>
      </w:pPr>
      <w:r w:rsidRPr="00D57DBE">
        <w:rPr>
          <w:bCs/>
          <w:sz w:val="22"/>
          <w:szCs w:val="22"/>
        </w:rPr>
        <w:t xml:space="preserve">SC14 noted that no management advice has been provided since SC13 for North Pacific albacore. Therefore, the advice from SC13 should be maintained, pending a new assessment or other new information. For further information on the management advice and implications from SC13, please see </w:t>
      </w:r>
      <w:hyperlink r:id="rId38" w:history="1">
        <w:r w:rsidRPr="00D57DBE">
          <w:rPr>
            <w:rStyle w:val="Hyperlink"/>
            <w:bCs/>
            <w:sz w:val="22"/>
            <w:szCs w:val="22"/>
          </w:rPr>
          <w:t>https://www.wcpfc.int/node/29904</w:t>
        </w:r>
      </w:hyperlink>
      <w:r w:rsidRPr="00D57DBE">
        <w:rPr>
          <w:rStyle w:val="Hyperlink"/>
          <w:bCs/>
          <w:sz w:val="22"/>
          <w:szCs w:val="22"/>
        </w:rPr>
        <w:t xml:space="preserve"> </w:t>
      </w:r>
    </w:p>
    <w:p w14:paraId="6456E4A9" w14:textId="77777777" w:rsidR="003D217E" w:rsidRPr="004635E5" w:rsidRDefault="003D217E" w:rsidP="003D217E">
      <w:pPr>
        <w:autoSpaceDE w:val="0"/>
        <w:autoSpaceDN w:val="0"/>
        <w:adjustRightInd w:val="0"/>
        <w:snapToGrid w:val="0"/>
        <w:jc w:val="both"/>
        <w:rPr>
          <w:sz w:val="22"/>
          <w:szCs w:val="22"/>
        </w:rPr>
      </w:pPr>
    </w:p>
    <w:p w14:paraId="748F24F9" w14:textId="77777777" w:rsidR="003D217E" w:rsidRPr="00D57DBE" w:rsidRDefault="003D217E" w:rsidP="003D217E">
      <w:pPr>
        <w:pStyle w:val="SC3"/>
        <w:spacing w:after="0"/>
        <w:rPr>
          <w:rFonts w:eastAsia="Batang"/>
          <w:sz w:val="24"/>
          <w:szCs w:val="24"/>
          <w:lang w:eastAsia="ko-KR"/>
        </w:rPr>
      </w:pPr>
      <w:r w:rsidRPr="00D57DBE">
        <w:rPr>
          <w:rFonts w:eastAsia="Batang"/>
          <w:sz w:val="24"/>
          <w:szCs w:val="24"/>
          <w:lang w:eastAsia="ko-KR"/>
        </w:rPr>
        <w:t>Pacific bluefin tuna (</w:t>
      </w:r>
      <w:r w:rsidRPr="00D57DBE">
        <w:rPr>
          <w:rFonts w:eastAsia="Batang"/>
          <w:i/>
          <w:sz w:val="24"/>
          <w:szCs w:val="24"/>
          <w:lang w:eastAsia="ko-KR"/>
        </w:rPr>
        <w:t>Thunnus orientalis</w:t>
      </w:r>
      <w:r w:rsidRPr="00D57DBE">
        <w:rPr>
          <w:rFonts w:eastAsia="Batang"/>
          <w:sz w:val="24"/>
          <w:szCs w:val="24"/>
          <w:lang w:eastAsia="ko-KR"/>
        </w:rPr>
        <w:t xml:space="preserve">) </w:t>
      </w:r>
    </w:p>
    <w:p w14:paraId="328A4EC8" w14:textId="77777777" w:rsidR="003D217E" w:rsidRPr="004635E5" w:rsidRDefault="003D217E" w:rsidP="003D217E">
      <w:pPr>
        <w:pStyle w:val="SC3"/>
        <w:numPr>
          <w:ilvl w:val="0"/>
          <w:numId w:val="0"/>
        </w:numPr>
        <w:spacing w:after="0"/>
        <w:ind w:left="1440"/>
        <w:rPr>
          <w:rFonts w:eastAsia="Batang"/>
          <w:lang w:eastAsia="ko-KR"/>
        </w:rPr>
      </w:pPr>
    </w:p>
    <w:p w14:paraId="7EFD1EE7" w14:textId="77777777" w:rsidR="003D217E" w:rsidRPr="00AC15B7" w:rsidRDefault="003D217E" w:rsidP="002F64C2">
      <w:pPr>
        <w:pStyle w:val="SCa"/>
        <w:tabs>
          <w:tab w:val="clear" w:pos="1080"/>
        </w:tabs>
        <w:spacing w:after="0"/>
        <w:ind w:left="0"/>
        <w:rPr>
          <w:lang w:val="en-NZ"/>
        </w:rPr>
      </w:pPr>
      <w:r w:rsidRPr="00AC15B7">
        <w:rPr>
          <w:lang w:val="en-NZ"/>
        </w:rPr>
        <w:t>a.</w:t>
      </w:r>
      <w:r w:rsidRPr="00AC15B7">
        <w:rPr>
          <w:lang w:val="en-NZ"/>
        </w:rPr>
        <w:tab/>
        <w:t>Stock status and trends</w:t>
      </w:r>
    </w:p>
    <w:p w14:paraId="4F97725D" w14:textId="77777777" w:rsidR="003D217E" w:rsidRPr="00AC15B7" w:rsidRDefault="003D217E" w:rsidP="003D217E">
      <w:pPr>
        <w:pStyle w:val="SCa"/>
        <w:spacing w:after="0"/>
        <w:rPr>
          <w:lang w:val="en-NZ"/>
        </w:rPr>
      </w:pPr>
    </w:p>
    <w:p w14:paraId="000B29BD" w14:textId="77777777" w:rsidR="003D217E" w:rsidRPr="00D57DBE" w:rsidRDefault="003D217E" w:rsidP="00580EA4">
      <w:pPr>
        <w:numPr>
          <w:ilvl w:val="0"/>
          <w:numId w:val="18"/>
        </w:numPr>
        <w:autoSpaceDE w:val="0"/>
        <w:autoSpaceDN w:val="0"/>
        <w:adjustRightInd w:val="0"/>
        <w:snapToGrid w:val="0"/>
        <w:ind w:left="0" w:firstLine="0"/>
        <w:jc w:val="both"/>
        <w:rPr>
          <w:rFonts w:eastAsia="MS Mincho"/>
          <w:bCs/>
          <w:sz w:val="22"/>
          <w:szCs w:val="22"/>
          <w:lang w:val="en-NZ" w:eastAsia="en-NZ"/>
        </w:rPr>
      </w:pPr>
      <w:r w:rsidRPr="00D57DBE">
        <w:rPr>
          <w:rFonts w:eastAsia="MS Mincho"/>
          <w:bCs/>
          <w:sz w:val="22"/>
          <w:szCs w:val="22"/>
          <w:lang w:eastAsia="ja-JP"/>
        </w:rPr>
        <w:t>SC14</w:t>
      </w:r>
      <w:r w:rsidRPr="00D57DBE">
        <w:rPr>
          <w:rFonts w:eastAsia="MS Mincho"/>
          <w:bCs/>
          <w:sz w:val="22"/>
          <w:szCs w:val="22"/>
          <w:lang w:val="en-NZ" w:eastAsia="en-NZ"/>
        </w:rPr>
        <w:t xml:space="preserve"> noted that ISC provided the following conclusions on the stock status of Pacific bluefin tuna.</w:t>
      </w:r>
    </w:p>
    <w:p w14:paraId="474CE3DE" w14:textId="77777777" w:rsidR="003D217E" w:rsidRPr="00AC15B7" w:rsidRDefault="003D217E" w:rsidP="003D217E">
      <w:pPr>
        <w:autoSpaceDE w:val="0"/>
        <w:autoSpaceDN w:val="0"/>
        <w:adjustRightInd w:val="0"/>
        <w:snapToGrid w:val="0"/>
        <w:jc w:val="both"/>
        <w:rPr>
          <w:rFonts w:eastAsia="MS Mincho"/>
          <w:sz w:val="22"/>
          <w:szCs w:val="22"/>
          <w:lang w:val="en-NZ" w:eastAsia="en-NZ"/>
        </w:rPr>
      </w:pPr>
    </w:p>
    <w:p w14:paraId="6BCE9BEE" w14:textId="4989D59E" w:rsidR="003D217E" w:rsidRPr="00D57DBE" w:rsidRDefault="003D217E" w:rsidP="003D217E">
      <w:pPr>
        <w:autoSpaceDE w:val="0"/>
        <w:autoSpaceDN w:val="0"/>
        <w:adjustRightInd w:val="0"/>
        <w:snapToGrid w:val="0"/>
        <w:ind w:left="720"/>
        <w:jc w:val="both"/>
        <w:rPr>
          <w:rFonts w:eastAsia="MS Mincho"/>
          <w:sz w:val="22"/>
          <w:szCs w:val="22"/>
          <w:lang w:eastAsia="en-NZ"/>
        </w:rPr>
      </w:pPr>
      <w:r w:rsidRPr="00D57DBE">
        <w:rPr>
          <w:rFonts w:eastAsia="MS Mincho"/>
          <w:sz w:val="22"/>
          <w:szCs w:val="22"/>
          <w:lang w:eastAsia="en-NZ"/>
        </w:rPr>
        <w:t>The base-case model results show that: (1) SSB fluctuated throughout the assessment period, (2) SSB steadily declined from 1996 to 2010; and (3) the slow increase of the stock continues since 2011 including the most recent two years (2015-2016). Based on the model diagnostics, the estimated biomass trend for the last 30 years is considered robust although SSB prior to the 1980s is uncertain due to data limitations. Using the base-case model, the 2016 SSB (terminal year) was estimated to be around 21,000 t in the 2018 assessment, which is an increase from 19,000 t in 2014 (</w:t>
      </w:r>
      <w:r w:rsidRPr="00D57DBE">
        <w:rPr>
          <w:rFonts w:eastAsia="MS Mincho"/>
          <w:sz w:val="22"/>
          <w:szCs w:val="22"/>
          <w:lang w:eastAsia="en-NZ"/>
        </w:rPr>
        <w:fldChar w:fldCharType="begin"/>
      </w:r>
      <w:r w:rsidRPr="00D57DBE">
        <w:rPr>
          <w:rFonts w:eastAsia="MS Mincho"/>
          <w:sz w:val="22"/>
          <w:szCs w:val="22"/>
          <w:lang w:eastAsia="en-NZ"/>
        </w:rPr>
        <w:instrText xml:space="preserve"> REF _Ref519184275 \h  \* MERGEFORMAT </w:instrText>
      </w:r>
      <w:r w:rsidRPr="00D57DBE">
        <w:rPr>
          <w:rFonts w:eastAsia="MS Mincho"/>
          <w:sz w:val="22"/>
          <w:szCs w:val="22"/>
          <w:lang w:eastAsia="en-NZ"/>
        </w:rPr>
      </w:r>
      <w:r w:rsidRPr="00D57DBE">
        <w:rPr>
          <w:rFonts w:eastAsia="MS Mincho"/>
          <w:sz w:val="22"/>
          <w:szCs w:val="22"/>
          <w:lang w:eastAsia="en-NZ"/>
        </w:rPr>
        <w:fldChar w:fldCharType="separate"/>
      </w:r>
      <w:bookmarkStart w:id="22" w:name="_GoBack"/>
      <w:r w:rsidR="00117A6F" w:rsidRPr="00041D2E">
        <w:rPr>
          <w:rFonts w:eastAsia="MS Mincho"/>
          <w:sz w:val="22"/>
          <w:szCs w:val="22"/>
          <w:lang w:eastAsia="en-NZ"/>
        </w:rPr>
        <w:t>Table PBF</w:t>
      </w:r>
      <w:r w:rsidR="00117A6F" w:rsidRPr="00041D2E">
        <w:rPr>
          <w:rFonts w:eastAsia="MS Mincho"/>
          <w:sz w:val="22"/>
          <w:szCs w:val="22"/>
          <w:lang w:eastAsia="en-NZ"/>
        </w:rPr>
        <w:noBreakHyphen/>
        <w:t>1</w:t>
      </w:r>
      <w:bookmarkEnd w:id="22"/>
      <w:r w:rsidRPr="00D57DBE">
        <w:rPr>
          <w:rFonts w:eastAsia="MS Mincho"/>
          <w:sz w:val="22"/>
          <w:szCs w:val="22"/>
          <w:lang w:val="en-NZ" w:eastAsia="en-NZ"/>
        </w:rPr>
        <w:fldChar w:fldCharType="end"/>
      </w:r>
      <w:r w:rsidRPr="00D57DBE">
        <w:rPr>
          <w:rFonts w:eastAsia="MS Mincho"/>
          <w:sz w:val="22"/>
          <w:szCs w:val="22"/>
          <w:lang w:eastAsia="en-NZ"/>
        </w:rPr>
        <w:t xml:space="preserve"> and </w:t>
      </w:r>
      <w:r w:rsidRPr="00D57DBE">
        <w:rPr>
          <w:rFonts w:eastAsia="MS Mincho"/>
          <w:sz w:val="22"/>
          <w:szCs w:val="22"/>
          <w:lang w:eastAsia="en-NZ"/>
        </w:rPr>
        <w:fldChar w:fldCharType="begin"/>
      </w:r>
      <w:r w:rsidRPr="00D57DBE">
        <w:rPr>
          <w:rFonts w:eastAsia="MS Mincho"/>
          <w:sz w:val="22"/>
          <w:szCs w:val="22"/>
          <w:lang w:eastAsia="en-NZ"/>
        </w:rPr>
        <w:instrText xml:space="preserve"> REF _Ref519184300 \h  \* MERGEFORMAT </w:instrText>
      </w:r>
      <w:r w:rsidRPr="00D57DBE">
        <w:rPr>
          <w:rFonts w:eastAsia="MS Mincho"/>
          <w:sz w:val="22"/>
          <w:szCs w:val="22"/>
          <w:lang w:eastAsia="en-NZ"/>
        </w:rPr>
      </w:r>
      <w:r w:rsidRPr="00D57DBE">
        <w:rPr>
          <w:rFonts w:eastAsia="MS Mincho"/>
          <w:sz w:val="22"/>
          <w:szCs w:val="22"/>
          <w:lang w:eastAsia="en-NZ"/>
        </w:rPr>
        <w:fldChar w:fldCharType="separate"/>
      </w:r>
      <w:r w:rsidR="00117A6F" w:rsidRPr="00041D2E">
        <w:rPr>
          <w:rFonts w:eastAsia="MS Mincho"/>
          <w:sz w:val="22"/>
          <w:szCs w:val="22"/>
          <w:lang w:eastAsia="en-NZ"/>
        </w:rPr>
        <w:t>Figure PBF-1</w:t>
      </w:r>
      <w:r w:rsidRPr="00D57DBE">
        <w:rPr>
          <w:rFonts w:eastAsia="MS Mincho"/>
          <w:sz w:val="22"/>
          <w:szCs w:val="22"/>
          <w:lang w:val="en-NZ" w:eastAsia="en-NZ"/>
        </w:rPr>
        <w:fldChar w:fldCharType="end"/>
      </w:r>
      <w:r w:rsidRPr="00D57DBE">
        <w:rPr>
          <w:rFonts w:eastAsia="MS Mincho"/>
          <w:sz w:val="22"/>
          <w:szCs w:val="22"/>
          <w:lang w:val="en-NZ" w:eastAsia="en-NZ"/>
        </w:rPr>
        <w:t>1</w:t>
      </w:r>
      <w:r w:rsidRPr="00D57DBE">
        <w:rPr>
          <w:rFonts w:eastAsia="MS Mincho"/>
          <w:sz w:val="22"/>
          <w:szCs w:val="22"/>
          <w:lang w:eastAsia="en-NZ"/>
        </w:rPr>
        <w:t xml:space="preserve">). </w:t>
      </w:r>
    </w:p>
    <w:p w14:paraId="7040F098" w14:textId="77777777" w:rsidR="003D217E" w:rsidRPr="00D57DBE" w:rsidRDefault="003D217E" w:rsidP="003D217E">
      <w:pPr>
        <w:autoSpaceDE w:val="0"/>
        <w:autoSpaceDN w:val="0"/>
        <w:adjustRightInd w:val="0"/>
        <w:snapToGrid w:val="0"/>
        <w:ind w:left="720"/>
        <w:jc w:val="both"/>
        <w:rPr>
          <w:rFonts w:eastAsia="MS Mincho"/>
          <w:sz w:val="22"/>
          <w:szCs w:val="22"/>
          <w:lang w:eastAsia="en-NZ"/>
        </w:rPr>
      </w:pPr>
    </w:p>
    <w:p w14:paraId="065AF03B" w14:textId="4BCD55A1" w:rsidR="003D217E" w:rsidRPr="00D57DBE" w:rsidRDefault="003D217E" w:rsidP="003D217E">
      <w:pPr>
        <w:autoSpaceDE w:val="0"/>
        <w:autoSpaceDN w:val="0"/>
        <w:adjustRightInd w:val="0"/>
        <w:snapToGrid w:val="0"/>
        <w:ind w:left="720"/>
        <w:jc w:val="both"/>
        <w:rPr>
          <w:rFonts w:eastAsia="MS Mincho"/>
          <w:sz w:val="22"/>
          <w:szCs w:val="22"/>
          <w:lang w:eastAsia="en-NZ"/>
        </w:rPr>
      </w:pPr>
      <w:r w:rsidRPr="00D57DBE">
        <w:rPr>
          <w:rFonts w:eastAsia="MS Mincho"/>
          <w:sz w:val="22"/>
          <w:szCs w:val="22"/>
          <w:lang w:eastAsia="en-NZ"/>
        </w:rPr>
        <w:t>Historical recruitment estimates have fluctuated since 1952 without an apparent trend. The low recruitment levels estimated in 2010-2014 were a concern in the 2016 assessment. The 2015 recruitment estimate is lower than the historical average while the 2016 recruitment estimate (15.988 million fish) is higher than the historical average (13.402 million fish) (</w:t>
      </w:r>
      <w:r w:rsidRPr="00D57DBE">
        <w:rPr>
          <w:rFonts w:eastAsia="MS Mincho"/>
          <w:sz w:val="22"/>
          <w:szCs w:val="22"/>
          <w:lang w:eastAsia="en-NZ"/>
        </w:rPr>
        <w:fldChar w:fldCharType="begin"/>
      </w:r>
      <w:r w:rsidRPr="00D57DBE">
        <w:rPr>
          <w:rFonts w:eastAsia="MS Mincho"/>
          <w:sz w:val="22"/>
          <w:szCs w:val="22"/>
          <w:lang w:eastAsia="en-NZ"/>
        </w:rPr>
        <w:instrText xml:space="preserve"> REF _Ref519184437 \h  \* MERGEFORMAT </w:instrText>
      </w:r>
      <w:r w:rsidRPr="00D57DBE">
        <w:rPr>
          <w:rFonts w:eastAsia="MS Mincho"/>
          <w:sz w:val="22"/>
          <w:szCs w:val="22"/>
          <w:lang w:eastAsia="en-NZ"/>
        </w:rPr>
      </w:r>
      <w:r w:rsidRPr="00D57DBE">
        <w:rPr>
          <w:rFonts w:eastAsia="MS Mincho"/>
          <w:sz w:val="22"/>
          <w:szCs w:val="22"/>
          <w:lang w:eastAsia="en-NZ"/>
        </w:rPr>
        <w:fldChar w:fldCharType="separate"/>
      </w:r>
      <w:r w:rsidR="00117A6F" w:rsidRPr="004635E5">
        <w:rPr>
          <w:rFonts w:eastAsia="MS Mincho"/>
          <w:b/>
          <w:bCs/>
          <w:sz w:val="22"/>
          <w:szCs w:val="22"/>
          <w:lang w:eastAsia="en-NZ"/>
        </w:rPr>
        <w:t>Figure PBF-4</w:t>
      </w:r>
      <w:r w:rsidRPr="00D57DBE">
        <w:rPr>
          <w:rFonts w:eastAsia="MS Mincho"/>
          <w:sz w:val="22"/>
          <w:szCs w:val="22"/>
          <w:lang w:val="en-NZ" w:eastAsia="en-NZ"/>
        </w:rPr>
        <w:fldChar w:fldCharType="end"/>
      </w:r>
      <w:r w:rsidRPr="00D57DBE">
        <w:rPr>
          <w:rFonts w:eastAsia="MS Mincho"/>
          <w:sz w:val="22"/>
          <w:szCs w:val="22"/>
          <w:lang w:eastAsia="en-NZ"/>
        </w:rPr>
        <w:t xml:space="preserve">, </w:t>
      </w:r>
      <w:r w:rsidRPr="00D57DBE">
        <w:rPr>
          <w:rFonts w:eastAsia="MS Mincho"/>
          <w:sz w:val="22"/>
          <w:szCs w:val="22"/>
          <w:lang w:eastAsia="en-NZ"/>
        </w:rPr>
        <w:fldChar w:fldCharType="begin"/>
      </w:r>
      <w:r w:rsidRPr="00D57DBE">
        <w:rPr>
          <w:rFonts w:eastAsia="MS Mincho"/>
          <w:sz w:val="22"/>
          <w:szCs w:val="22"/>
          <w:lang w:eastAsia="en-NZ"/>
        </w:rPr>
        <w:instrText xml:space="preserve"> REF _Ref519184275 \h  \* MERGEFORMAT </w:instrText>
      </w:r>
      <w:r w:rsidRPr="00D57DBE">
        <w:rPr>
          <w:rFonts w:eastAsia="MS Mincho"/>
          <w:sz w:val="22"/>
          <w:szCs w:val="22"/>
          <w:lang w:eastAsia="en-NZ"/>
        </w:rPr>
      </w:r>
      <w:r w:rsidRPr="00D57DBE">
        <w:rPr>
          <w:rFonts w:eastAsia="MS Mincho"/>
          <w:sz w:val="22"/>
          <w:szCs w:val="22"/>
          <w:lang w:eastAsia="en-NZ"/>
        </w:rPr>
        <w:fldChar w:fldCharType="separate"/>
      </w:r>
      <w:r w:rsidR="00117A6F" w:rsidRPr="00041D2E">
        <w:rPr>
          <w:rFonts w:eastAsia="MS Mincho"/>
          <w:sz w:val="22"/>
          <w:szCs w:val="22"/>
          <w:lang w:eastAsia="en-NZ"/>
        </w:rPr>
        <w:t>Table PBF</w:t>
      </w:r>
      <w:r w:rsidR="00117A6F" w:rsidRPr="00041D2E">
        <w:rPr>
          <w:rFonts w:eastAsia="MS Mincho"/>
          <w:sz w:val="22"/>
          <w:szCs w:val="22"/>
          <w:lang w:eastAsia="en-NZ"/>
        </w:rPr>
        <w:noBreakHyphen/>
        <w:t>1</w:t>
      </w:r>
      <w:r w:rsidRPr="00D57DBE">
        <w:rPr>
          <w:rFonts w:eastAsia="MS Mincho"/>
          <w:sz w:val="22"/>
          <w:szCs w:val="22"/>
          <w:lang w:val="en-NZ" w:eastAsia="en-NZ"/>
        </w:rPr>
        <w:fldChar w:fldCharType="end"/>
      </w:r>
      <w:r w:rsidRPr="00D57DBE">
        <w:rPr>
          <w:rFonts w:eastAsia="MS Mincho"/>
          <w:sz w:val="22"/>
          <w:szCs w:val="22"/>
          <w:lang w:eastAsia="en-NZ"/>
        </w:rPr>
        <w:t>). The uncertainty of the 2016 recruitment estimate is higher than in previous years because it occurs in the terminal year of the assessment and is mainly informed by one observation from the troll age-0 CPUE index. The troll CPUE series has been shown to be a good predictor of recruitment, with no apparent retrospective error in the recruitment estimates of the terminal year given the current model construction. As the 2016 recruits grow and are observed by other fleets, the magnitude of this year class will be more precisely estimated in the next stock assessment. The above average recruitment estimated in 2016 had a positive impact on the projection results. </w:t>
      </w:r>
    </w:p>
    <w:p w14:paraId="69BEC865" w14:textId="77777777" w:rsidR="003D217E" w:rsidRPr="00D57DBE" w:rsidRDefault="003D217E" w:rsidP="003D217E">
      <w:pPr>
        <w:autoSpaceDE w:val="0"/>
        <w:autoSpaceDN w:val="0"/>
        <w:adjustRightInd w:val="0"/>
        <w:snapToGrid w:val="0"/>
        <w:ind w:left="720"/>
        <w:jc w:val="both"/>
        <w:rPr>
          <w:rFonts w:eastAsia="MS Mincho"/>
          <w:sz w:val="22"/>
          <w:szCs w:val="22"/>
          <w:lang w:eastAsia="en-NZ"/>
        </w:rPr>
      </w:pPr>
    </w:p>
    <w:p w14:paraId="571AB709" w14:textId="1F5AD1E3" w:rsidR="003D217E" w:rsidRPr="00D57DBE" w:rsidRDefault="003D217E" w:rsidP="003D217E">
      <w:pPr>
        <w:autoSpaceDE w:val="0"/>
        <w:autoSpaceDN w:val="0"/>
        <w:adjustRightInd w:val="0"/>
        <w:snapToGrid w:val="0"/>
        <w:ind w:left="720"/>
        <w:jc w:val="both"/>
        <w:rPr>
          <w:rFonts w:eastAsia="MS Mincho"/>
          <w:sz w:val="22"/>
          <w:szCs w:val="22"/>
          <w:lang w:eastAsia="en-NZ"/>
        </w:rPr>
      </w:pPr>
      <w:r w:rsidRPr="00D57DBE">
        <w:rPr>
          <w:rFonts w:eastAsia="MS Mincho"/>
          <w:sz w:val="22"/>
          <w:szCs w:val="22"/>
          <w:lang w:eastAsia="en-NZ"/>
        </w:rPr>
        <w:t>Estimated age-specific fishing mortalities (F) on the stock during the periods 2012-2014 and 2015</w:t>
      </w:r>
      <w:r w:rsidRPr="00D57DBE">
        <w:rPr>
          <w:rFonts w:eastAsia="MS Mincho"/>
          <w:sz w:val="22"/>
          <w:szCs w:val="22"/>
          <w:lang w:eastAsia="en-NZ"/>
        </w:rPr>
        <w:noBreakHyphen/>
        <w:t xml:space="preserve">2016 compared with 2002-2004 estimates (the base period for the WCPFC Conservation and Management Measure) are presented in </w:t>
      </w:r>
      <w:r w:rsidRPr="00D57DBE">
        <w:rPr>
          <w:rFonts w:eastAsia="MS Mincho"/>
          <w:sz w:val="22"/>
          <w:szCs w:val="22"/>
          <w:lang w:eastAsia="en-NZ"/>
        </w:rPr>
        <w:fldChar w:fldCharType="begin"/>
      </w:r>
      <w:r w:rsidRPr="00D57DBE">
        <w:rPr>
          <w:rFonts w:eastAsia="MS Mincho"/>
          <w:sz w:val="22"/>
          <w:szCs w:val="22"/>
          <w:lang w:eastAsia="en-NZ"/>
        </w:rPr>
        <w:instrText xml:space="preserve"> REF _Ref519184399 \h  \* MERGEFORMAT </w:instrText>
      </w:r>
      <w:r w:rsidRPr="00D57DBE">
        <w:rPr>
          <w:rFonts w:eastAsia="MS Mincho"/>
          <w:sz w:val="22"/>
          <w:szCs w:val="22"/>
          <w:lang w:eastAsia="en-NZ"/>
        </w:rPr>
      </w:r>
      <w:r w:rsidRPr="00D57DBE">
        <w:rPr>
          <w:rFonts w:eastAsia="MS Mincho"/>
          <w:sz w:val="22"/>
          <w:szCs w:val="22"/>
          <w:lang w:eastAsia="en-NZ"/>
        </w:rPr>
        <w:fldChar w:fldCharType="separate"/>
      </w:r>
      <w:r w:rsidR="00117A6F" w:rsidRPr="00041D2E">
        <w:rPr>
          <w:rFonts w:eastAsia="MS Mincho"/>
          <w:sz w:val="22"/>
          <w:szCs w:val="22"/>
          <w:lang w:eastAsia="en-NZ"/>
        </w:rPr>
        <w:t>Figure PBF-2</w:t>
      </w:r>
      <w:r w:rsidRPr="00D57DBE">
        <w:rPr>
          <w:rFonts w:eastAsia="MS Mincho"/>
          <w:sz w:val="22"/>
          <w:szCs w:val="22"/>
          <w:lang w:val="en-NZ" w:eastAsia="en-NZ"/>
        </w:rPr>
        <w:fldChar w:fldCharType="end"/>
      </w:r>
      <w:r w:rsidRPr="00D57DBE">
        <w:rPr>
          <w:rFonts w:eastAsia="MS Mincho"/>
          <w:sz w:val="22"/>
          <w:szCs w:val="22"/>
          <w:lang w:eastAsia="en-NZ"/>
        </w:rPr>
        <w:t>. A substantial decrease in estimated F is observed in ages 0-2 in 2015-2016 from the previous years. Note that stricter management measures in the WCPFC and IATTC have been in place since 2015.</w:t>
      </w:r>
    </w:p>
    <w:p w14:paraId="36ECC723" w14:textId="77777777" w:rsidR="003D217E" w:rsidRPr="00D57DBE" w:rsidRDefault="003D217E" w:rsidP="003D217E">
      <w:pPr>
        <w:pStyle w:val="ListParagraph"/>
        <w:adjustRightInd w:val="0"/>
        <w:snapToGrid w:val="0"/>
        <w:ind w:left="1440"/>
        <w:rPr>
          <w:rFonts w:eastAsia="MS Mincho"/>
          <w:sz w:val="22"/>
          <w:szCs w:val="22"/>
          <w:lang w:eastAsia="en-NZ"/>
        </w:rPr>
      </w:pPr>
    </w:p>
    <w:p w14:paraId="5CC82278" w14:textId="4FDF2C7E" w:rsidR="00117A6F" w:rsidRPr="00041D2E" w:rsidRDefault="003D217E" w:rsidP="00041D2E">
      <w:pPr>
        <w:autoSpaceDE w:val="0"/>
        <w:autoSpaceDN w:val="0"/>
        <w:adjustRightInd w:val="0"/>
        <w:snapToGrid w:val="0"/>
        <w:ind w:left="720"/>
        <w:jc w:val="both"/>
        <w:rPr>
          <w:rFonts w:eastAsia="MS Mincho"/>
          <w:sz w:val="22"/>
          <w:szCs w:val="22"/>
          <w:lang w:eastAsia="en-NZ"/>
        </w:rPr>
      </w:pPr>
      <w:r w:rsidRPr="00D57DBE">
        <w:rPr>
          <w:rFonts w:eastAsia="MS Mincho"/>
          <w:sz w:val="22"/>
          <w:szCs w:val="22"/>
          <w:lang w:eastAsia="en-NZ"/>
        </w:rPr>
        <w:t>The WCPFC adopted an initial rebuilding biomass target (the median SSB estimated for the period 1952 through 2014) and a second rebuilding biomass target (20%SSB</w:t>
      </w:r>
      <w:r w:rsidRPr="00D57DBE">
        <w:rPr>
          <w:rFonts w:eastAsia="MS Mincho"/>
          <w:sz w:val="22"/>
          <w:szCs w:val="22"/>
          <w:vertAlign w:val="subscript"/>
          <w:lang w:eastAsia="en-NZ"/>
        </w:rPr>
        <w:t>F=0</w:t>
      </w:r>
      <w:r w:rsidRPr="00D57DBE">
        <w:rPr>
          <w:rFonts w:eastAsia="MS Mincho"/>
          <w:sz w:val="22"/>
          <w:szCs w:val="22"/>
          <w:lang w:eastAsia="en-NZ"/>
        </w:rPr>
        <w:t xml:space="preserve"> under average recruitment), without specifying a fishing mortality reference level.</w:t>
      </w:r>
      <w:r w:rsidRPr="00D57DBE">
        <w:rPr>
          <w:rFonts w:eastAsia="MS Mincho"/>
          <w:sz w:val="22"/>
          <w:szCs w:val="22"/>
          <w:vertAlign w:val="superscript"/>
          <w:lang w:eastAsia="en-NZ"/>
        </w:rPr>
        <w:footnoteReference w:id="1"/>
      </w:r>
      <w:r w:rsidRPr="00D57DBE">
        <w:rPr>
          <w:rFonts w:eastAsia="MS Mincho"/>
          <w:sz w:val="22"/>
          <w:szCs w:val="22"/>
          <w:lang w:eastAsia="en-NZ"/>
        </w:rPr>
        <w:t xml:space="preserve"> The 2018 assessment </w:t>
      </w:r>
      <w:r w:rsidRPr="00D57DBE">
        <w:rPr>
          <w:rFonts w:eastAsia="MS Mincho"/>
          <w:sz w:val="22"/>
          <w:szCs w:val="22"/>
          <w:lang w:eastAsia="en-NZ"/>
        </w:rPr>
        <w:lastRenderedPageBreak/>
        <w:t>estimated the initial rebuilding biomass target to be 6.7%SSB</w:t>
      </w:r>
      <w:r w:rsidRPr="00D57DBE">
        <w:rPr>
          <w:rFonts w:eastAsia="MS Mincho"/>
          <w:sz w:val="22"/>
          <w:szCs w:val="22"/>
          <w:vertAlign w:val="subscript"/>
          <w:lang w:eastAsia="en-NZ"/>
        </w:rPr>
        <w:t>F=0</w:t>
      </w:r>
      <w:r w:rsidRPr="00D57DBE">
        <w:rPr>
          <w:rFonts w:eastAsia="MS Mincho"/>
          <w:sz w:val="22"/>
          <w:szCs w:val="22"/>
          <w:lang w:eastAsia="en-NZ"/>
        </w:rPr>
        <w:t xml:space="preserve"> and the corresponding fishing mortality expressed as SPR of F</w:t>
      </w:r>
      <w:r w:rsidRPr="00D57DBE">
        <w:rPr>
          <w:rFonts w:eastAsia="MS Mincho"/>
          <w:sz w:val="22"/>
          <w:szCs w:val="22"/>
          <w:vertAlign w:val="subscript"/>
          <w:lang w:eastAsia="en-NZ"/>
        </w:rPr>
        <w:t xml:space="preserve">6.7%SPR </w:t>
      </w:r>
      <w:r w:rsidRPr="00D57DBE">
        <w:rPr>
          <w:rFonts w:eastAsia="MS Mincho"/>
          <w:sz w:val="22"/>
          <w:szCs w:val="22"/>
          <w:lang w:eastAsia="en-NZ"/>
        </w:rPr>
        <w:t>(</w:t>
      </w:r>
      <w:r w:rsidRPr="00D57DBE">
        <w:rPr>
          <w:rFonts w:eastAsia="MS Mincho"/>
          <w:sz w:val="22"/>
          <w:szCs w:val="22"/>
          <w:lang w:eastAsia="en-NZ"/>
        </w:rPr>
        <w:fldChar w:fldCharType="begin"/>
      </w:r>
      <w:r w:rsidRPr="00D57DBE">
        <w:rPr>
          <w:rFonts w:eastAsia="MS Mincho"/>
          <w:sz w:val="22"/>
          <w:szCs w:val="22"/>
          <w:lang w:eastAsia="en-NZ"/>
        </w:rPr>
        <w:instrText xml:space="preserve"> REF _Ref519184699 \h  \* MERGEFORMAT </w:instrText>
      </w:r>
      <w:r w:rsidRPr="00D57DBE">
        <w:rPr>
          <w:rFonts w:eastAsia="MS Mincho"/>
          <w:sz w:val="22"/>
          <w:szCs w:val="22"/>
          <w:lang w:eastAsia="en-NZ"/>
        </w:rPr>
      </w:r>
      <w:r w:rsidRPr="00D57DBE">
        <w:rPr>
          <w:rFonts w:eastAsia="MS Mincho"/>
          <w:sz w:val="22"/>
          <w:szCs w:val="22"/>
          <w:lang w:eastAsia="en-NZ"/>
        </w:rPr>
        <w:fldChar w:fldCharType="separate"/>
      </w:r>
      <w:r w:rsidR="00117A6F" w:rsidRPr="00041D2E">
        <w:rPr>
          <w:rFonts w:eastAsia="MS Mincho"/>
          <w:sz w:val="22"/>
          <w:szCs w:val="22"/>
          <w:lang w:eastAsia="en-NZ"/>
        </w:rPr>
        <w:t>Table PBF-2</w:t>
      </w:r>
      <w:r w:rsidRPr="00D57DBE">
        <w:rPr>
          <w:rFonts w:eastAsia="MS Mincho"/>
          <w:sz w:val="22"/>
          <w:szCs w:val="22"/>
          <w:lang w:val="en-NZ" w:eastAsia="en-NZ"/>
        </w:rPr>
        <w:fldChar w:fldCharType="end"/>
      </w:r>
      <w:r w:rsidRPr="00D57DBE">
        <w:rPr>
          <w:rFonts w:eastAsia="MS Mincho"/>
          <w:sz w:val="22"/>
          <w:szCs w:val="22"/>
          <w:lang w:eastAsia="en-NZ"/>
        </w:rPr>
        <w:t>). SPR is the ratio of the cumulative spawning biomass that an average recruit is expected to produce over its lifetime when the stock is fished at the current intensity to the cumulative spawning biomass that could be produced by an average recruit over its lifetime if the stock was unfished. Because the projections include catch limits, fishing mortality is expected to decline, i.e., F</w:t>
      </w:r>
      <w:r w:rsidRPr="00D57DBE">
        <w:rPr>
          <w:rFonts w:eastAsia="MS Mincho"/>
          <w:sz w:val="22"/>
          <w:szCs w:val="22"/>
          <w:vertAlign w:val="subscript"/>
          <w:lang w:eastAsia="en-NZ"/>
        </w:rPr>
        <w:t>x%SPR</w:t>
      </w:r>
      <w:r w:rsidRPr="00D57DBE">
        <w:rPr>
          <w:rFonts w:eastAsia="MS Mincho"/>
          <w:sz w:val="22"/>
          <w:szCs w:val="22"/>
          <w:lang w:eastAsia="en-NZ"/>
        </w:rPr>
        <w:t xml:space="preserve"> will increase, as biomass increases. The Kobe plot shows that the point estimate of the SSB</w:t>
      </w:r>
      <w:r w:rsidRPr="00D57DBE">
        <w:rPr>
          <w:rFonts w:eastAsia="MS Mincho"/>
          <w:sz w:val="22"/>
          <w:szCs w:val="22"/>
          <w:vertAlign w:val="subscript"/>
          <w:lang w:eastAsia="en-NZ"/>
        </w:rPr>
        <w:t>2016</w:t>
      </w:r>
      <w:r w:rsidRPr="00D57DBE">
        <w:rPr>
          <w:rFonts w:eastAsia="MS Mincho"/>
          <w:sz w:val="22"/>
          <w:szCs w:val="22"/>
          <w:lang w:eastAsia="en-NZ"/>
        </w:rPr>
        <w:t xml:space="preserve"> was 3.3%SSB</w:t>
      </w:r>
      <w:r w:rsidRPr="00D57DBE">
        <w:rPr>
          <w:rFonts w:eastAsia="MS Mincho"/>
          <w:sz w:val="22"/>
          <w:szCs w:val="22"/>
          <w:vertAlign w:val="subscript"/>
          <w:lang w:eastAsia="en-NZ"/>
        </w:rPr>
        <w:t>F=0</w:t>
      </w:r>
      <w:r w:rsidRPr="00D57DBE">
        <w:rPr>
          <w:rFonts w:eastAsia="MS Mincho"/>
          <w:sz w:val="22"/>
          <w:szCs w:val="22"/>
          <w:lang w:eastAsia="en-NZ"/>
        </w:rPr>
        <w:t xml:space="preserve"> and the 2016 fishing mortality corresponds to F</w:t>
      </w:r>
      <w:r w:rsidRPr="00D57DBE">
        <w:rPr>
          <w:rFonts w:eastAsia="MS Mincho"/>
          <w:sz w:val="22"/>
          <w:szCs w:val="22"/>
          <w:vertAlign w:val="subscript"/>
          <w:lang w:eastAsia="en-NZ"/>
        </w:rPr>
        <w:t>6.7%SPR</w:t>
      </w:r>
      <w:r w:rsidRPr="00D57DBE">
        <w:rPr>
          <w:rFonts w:eastAsia="MS Mincho"/>
          <w:sz w:val="22"/>
          <w:szCs w:val="22"/>
          <w:lang w:eastAsia="en-NZ"/>
        </w:rPr>
        <w:t xml:space="preserve"> (</w:t>
      </w:r>
      <w:r w:rsidRPr="00D57DBE">
        <w:rPr>
          <w:rFonts w:eastAsia="MS Mincho"/>
          <w:sz w:val="22"/>
          <w:szCs w:val="22"/>
          <w:lang w:eastAsia="en-NZ"/>
        </w:rPr>
        <w:fldChar w:fldCharType="begin"/>
      </w:r>
      <w:r w:rsidRPr="00D57DBE">
        <w:rPr>
          <w:rFonts w:eastAsia="MS Mincho"/>
          <w:sz w:val="22"/>
          <w:szCs w:val="22"/>
          <w:lang w:eastAsia="en-NZ"/>
        </w:rPr>
        <w:instrText xml:space="preserve"> REF _Ref519184637 \h  \* MERGEFORMAT </w:instrText>
      </w:r>
      <w:r w:rsidRPr="00D57DBE">
        <w:rPr>
          <w:rFonts w:eastAsia="MS Mincho"/>
          <w:sz w:val="22"/>
          <w:szCs w:val="22"/>
          <w:lang w:eastAsia="en-NZ"/>
        </w:rPr>
      </w:r>
      <w:r w:rsidRPr="00D57DBE">
        <w:rPr>
          <w:rFonts w:eastAsia="MS Mincho"/>
          <w:sz w:val="22"/>
          <w:szCs w:val="22"/>
          <w:lang w:eastAsia="en-NZ"/>
        </w:rPr>
        <w:fldChar w:fldCharType="separate"/>
      </w:r>
      <w:r w:rsidR="00117A6F" w:rsidRPr="00041D2E">
        <w:rPr>
          <w:rFonts w:eastAsia="MS Mincho"/>
          <w:sz w:val="22"/>
          <w:szCs w:val="22"/>
          <w:lang w:eastAsia="en-NZ"/>
        </w:rPr>
        <w:t>Figure PBF-3</w:t>
      </w:r>
      <w:r w:rsidRPr="00D57DBE">
        <w:rPr>
          <w:rFonts w:eastAsia="MS Mincho"/>
          <w:sz w:val="22"/>
          <w:szCs w:val="22"/>
          <w:lang w:val="en-NZ" w:eastAsia="en-NZ"/>
        </w:rPr>
        <w:fldChar w:fldCharType="end"/>
      </w:r>
      <w:r w:rsidRPr="00D57DBE">
        <w:rPr>
          <w:rFonts w:eastAsia="MS Mincho"/>
          <w:sz w:val="22"/>
          <w:szCs w:val="22"/>
          <w:lang w:eastAsia="en-NZ"/>
        </w:rPr>
        <w:t xml:space="preserve">). </w:t>
      </w:r>
      <w:r w:rsidRPr="00D57DBE">
        <w:rPr>
          <w:rFonts w:eastAsia="MS Mincho"/>
          <w:sz w:val="22"/>
          <w:szCs w:val="22"/>
          <w:lang w:eastAsia="en-NZ"/>
        </w:rPr>
        <w:fldChar w:fldCharType="begin"/>
      </w:r>
      <w:r w:rsidRPr="00D57DBE">
        <w:rPr>
          <w:rFonts w:eastAsia="MS Mincho"/>
          <w:sz w:val="22"/>
          <w:szCs w:val="22"/>
          <w:lang w:eastAsia="en-NZ"/>
        </w:rPr>
        <w:instrText xml:space="preserve"> REF _Ref519447180 \h  \* MERGEFORMAT </w:instrText>
      </w:r>
      <w:r w:rsidRPr="00D57DBE">
        <w:rPr>
          <w:rFonts w:eastAsia="MS Mincho"/>
          <w:sz w:val="22"/>
          <w:szCs w:val="22"/>
          <w:lang w:eastAsia="en-NZ"/>
        </w:rPr>
      </w:r>
      <w:r w:rsidRPr="00D57DBE">
        <w:rPr>
          <w:rFonts w:eastAsia="MS Mincho"/>
          <w:sz w:val="22"/>
          <w:szCs w:val="22"/>
          <w:lang w:eastAsia="en-NZ"/>
        </w:rPr>
        <w:fldChar w:fldCharType="separate"/>
      </w:r>
    </w:p>
    <w:p w14:paraId="04DF319C" w14:textId="77777777" w:rsidR="00117A6F" w:rsidRPr="00041D2E" w:rsidRDefault="00117A6F" w:rsidP="00041D2E">
      <w:pPr>
        <w:autoSpaceDE w:val="0"/>
        <w:autoSpaceDN w:val="0"/>
        <w:adjustRightInd w:val="0"/>
        <w:snapToGrid w:val="0"/>
        <w:ind w:left="720"/>
        <w:jc w:val="both"/>
        <w:rPr>
          <w:rFonts w:eastAsia="MS Mincho"/>
          <w:sz w:val="22"/>
          <w:szCs w:val="22"/>
          <w:lang w:eastAsia="en-NZ"/>
        </w:rPr>
      </w:pPr>
    </w:p>
    <w:p w14:paraId="6F7725DE" w14:textId="3A92297C" w:rsidR="003D217E" w:rsidRPr="00D57DBE" w:rsidRDefault="00117A6F" w:rsidP="003D217E">
      <w:pPr>
        <w:autoSpaceDE w:val="0"/>
        <w:autoSpaceDN w:val="0"/>
        <w:adjustRightInd w:val="0"/>
        <w:snapToGrid w:val="0"/>
        <w:ind w:left="720"/>
        <w:jc w:val="both"/>
        <w:rPr>
          <w:rFonts w:eastAsia="MS Mincho"/>
          <w:sz w:val="22"/>
          <w:szCs w:val="22"/>
          <w:lang w:eastAsia="en-NZ"/>
        </w:rPr>
      </w:pPr>
      <w:r w:rsidRPr="004635E5">
        <w:rPr>
          <w:rFonts w:eastAsia="MS Mincho"/>
          <w:b/>
          <w:bCs/>
          <w:sz w:val="22"/>
          <w:szCs w:val="22"/>
          <w:lang w:eastAsia="en-NZ"/>
        </w:rPr>
        <w:t>Table PBF-3</w:t>
      </w:r>
      <w:r w:rsidR="003D217E" w:rsidRPr="00D57DBE">
        <w:rPr>
          <w:rFonts w:eastAsia="MS Mincho"/>
          <w:sz w:val="22"/>
          <w:szCs w:val="22"/>
          <w:lang w:val="en-NZ" w:eastAsia="en-NZ"/>
        </w:rPr>
        <w:fldChar w:fldCharType="end"/>
      </w:r>
      <w:r w:rsidR="003D217E" w:rsidRPr="00D57DBE">
        <w:rPr>
          <w:rFonts w:eastAsia="MS Mincho"/>
          <w:sz w:val="22"/>
          <w:szCs w:val="22"/>
          <w:lang w:eastAsia="en-NZ"/>
        </w:rPr>
        <w:t xml:space="preserve"> provides an evaluation of stock status against some common reference points. It shows that the PBF stock is overfished relative to biomass-based limit reference points adopted for other species in WCPFC (20%SSB</w:t>
      </w:r>
      <w:r w:rsidR="003D217E" w:rsidRPr="00D57DBE">
        <w:rPr>
          <w:rFonts w:eastAsia="MS Mincho"/>
          <w:sz w:val="22"/>
          <w:szCs w:val="22"/>
          <w:vertAlign w:val="subscript"/>
          <w:lang w:eastAsia="en-NZ"/>
        </w:rPr>
        <w:t>F=0</w:t>
      </w:r>
      <w:r w:rsidR="003D217E" w:rsidRPr="00D57DBE">
        <w:rPr>
          <w:rFonts w:eastAsia="MS Mincho"/>
          <w:sz w:val="22"/>
          <w:szCs w:val="22"/>
          <w:lang w:eastAsia="en-NZ"/>
        </w:rPr>
        <w:t xml:space="preserve">) and is subject to overfishing relative to most of the common fishing intensity-based reference points. </w:t>
      </w:r>
    </w:p>
    <w:p w14:paraId="48F4B4CD" w14:textId="77777777" w:rsidR="003D217E" w:rsidRPr="00D57DBE" w:rsidRDefault="003D217E" w:rsidP="003D217E">
      <w:pPr>
        <w:autoSpaceDE w:val="0"/>
        <w:autoSpaceDN w:val="0"/>
        <w:adjustRightInd w:val="0"/>
        <w:snapToGrid w:val="0"/>
        <w:ind w:left="720"/>
        <w:jc w:val="both"/>
        <w:rPr>
          <w:rFonts w:eastAsia="MS Mincho"/>
          <w:sz w:val="22"/>
          <w:szCs w:val="22"/>
          <w:lang w:eastAsia="en-NZ"/>
        </w:rPr>
      </w:pPr>
    </w:p>
    <w:p w14:paraId="6EC8FFC0" w14:textId="68958315" w:rsidR="003D217E" w:rsidRPr="004635E5" w:rsidRDefault="003D217E" w:rsidP="003D217E">
      <w:pPr>
        <w:autoSpaceDE w:val="0"/>
        <w:autoSpaceDN w:val="0"/>
        <w:adjustRightInd w:val="0"/>
        <w:snapToGrid w:val="0"/>
        <w:ind w:left="720"/>
        <w:jc w:val="both"/>
        <w:rPr>
          <w:rFonts w:eastAsia="MS Mincho"/>
          <w:sz w:val="22"/>
          <w:szCs w:val="22"/>
          <w:lang w:eastAsia="en-NZ"/>
        </w:rPr>
      </w:pPr>
      <w:r w:rsidRPr="00D57DBE">
        <w:rPr>
          <w:rFonts w:eastAsia="MS Mincho"/>
          <w:sz w:val="22"/>
          <w:szCs w:val="22"/>
          <w:lang w:eastAsia="en-NZ"/>
        </w:rPr>
        <w:fldChar w:fldCharType="begin"/>
      </w:r>
      <w:r w:rsidRPr="00D57DBE">
        <w:rPr>
          <w:rFonts w:eastAsia="MS Mincho"/>
          <w:sz w:val="22"/>
          <w:szCs w:val="22"/>
          <w:lang w:eastAsia="en-NZ"/>
        </w:rPr>
        <w:instrText xml:space="preserve"> REF _Ref519184437 \h  \* MERGEFORMAT </w:instrText>
      </w:r>
      <w:r w:rsidRPr="00D57DBE">
        <w:rPr>
          <w:rFonts w:eastAsia="MS Mincho"/>
          <w:sz w:val="22"/>
          <w:szCs w:val="22"/>
          <w:lang w:eastAsia="en-NZ"/>
        </w:rPr>
      </w:r>
      <w:r w:rsidRPr="00D57DBE">
        <w:rPr>
          <w:rFonts w:eastAsia="MS Mincho"/>
          <w:sz w:val="22"/>
          <w:szCs w:val="22"/>
          <w:lang w:eastAsia="en-NZ"/>
        </w:rPr>
        <w:fldChar w:fldCharType="separate"/>
      </w:r>
      <w:r w:rsidR="00117A6F" w:rsidRPr="004635E5">
        <w:rPr>
          <w:rFonts w:eastAsia="MS Mincho"/>
          <w:b/>
          <w:bCs/>
          <w:sz w:val="22"/>
          <w:szCs w:val="22"/>
          <w:lang w:eastAsia="en-NZ"/>
        </w:rPr>
        <w:t>Figure PBF-4</w:t>
      </w:r>
      <w:r w:rsidRPr="00D57DBE">
        <w:rPr>
          <w:rFonts w:eastAsia="MS Mincho"/>
          <w:sz w:val="22"/>
          <w:szCs w:val="22"/>
          <w:lang w:val="en-NZ" w:eastAsia="en-NZ"/>
        </w:rPr>
        <w:fldChar w:fldCharType="end"/>
      </w:r>
      <w:r w:rsidRPr="00D57DBE">
        <w:rPr>
          <w:rFonts w:eastAsia="MS Mincho"/>
          <w:sz w:val="22"/>
          <w:szCs w:val="22"/>
          <w:lang w:eastAsia="en-NZ"/>
        </w:rPr>
        <w:t xml:space="preserve"> depicts the historical impacts of the fleets on the PBF stock, showing the estimated biomass when fishing mortality from respective fleets</w:t>
      </w:r>
      <w:r w:rsidRPr="004635E5">
        <w:rPr>
          <w:rFonts w:eastAsia="MS Mincho"/>
          <w:sz w:val="22"/>
          <w:szCs w:val="22"/>
          <w:lang w:eastAsia="en-NZ"/>
        </w:rPr>
        <w:t xml:space="preserve"> is zero. Historically, the WPO coastal fisheries group has had the greatest impact on the PBF stock, but since about the early 1990s the WPO purse seine fleets, in particular those targeting small fish (ages 0-1), have had a greater impact, and the effect of these fleets in 2016 was greater than any of the other fishery groups. The impact of the EPO fishery was large before the mid-1980s, decreasing significantly thereafter. The WPO longline fleet has had a limited effect on the stock throughout the analysis period, because the impact of a fishery on a stock depends on both the number and size of the fish caught by each fleet; i.e., catching a high number of smaller juvenile fish can have a greater impact on future spawning stock biomass than catching the same weight of larger mature fish.</w:t>
      </w:r>
    </w:p>
    <w:p w14:paraId="30085C71" w14:textId="77777777" w:rsidR="003D217E" w:rsidRPr="004635E5" w:rsidRDefault="003D217E" w:rsidP="003D217E">
      <w:pPr>
        <w:autoSpaceDE w:val="0"/>
        <w:autoSpaceDN w:val="0"/>
        <w:adjustRightInd w:val="0"/>
        <w:snapToGrid w:val="0"/>
        <w:jc w:val="both"/>
        <w:rPr>
          <w:rFonts w:eastAsia="MS Mincho"/>
          <w:sz w:val="22"/>
          <w:szCs w:val="22"/>
          <w:lang w:eastAsia="en-NZ"/>
        </w:rPr>
      </w:pPr>
    </w:p>
    <w:p w14:paraId="4BCF1FE9" w14:textId="77777777" w:rsidR="003D217E" w:rsidRPr="00D57DBE" w:rsidRDefault="003D217E" w:rsidP="00580EA4">
      <w:pPr>
        <w:numPr>
          <w:ilvl w:val="0"/>
          <w:numId w:val="18"/>
        </w:numPr>
        <w:autoSpaceDE w:val="0"/>
        <w:autoSpaceDN w:val="0"/>
        <w:adjustRightInd w:val="0"/>
        <w:snapToGrid w:val="0"/>
        <w:ind w:left="0" w:firstLine="0"/>
        <w:jc w:val="both"/>
        <w:rPr>
          <w:rFonts w:eastAsia="MS Mincho"/>
          <w:bCs/>
          <w:sz w:val="22"/>
          <w:szCs w:val="22"/>
          <w:lang w:eastAsia="en-NZ"/>
        </w:rPr>
      </w:pPr>
      <w:r w:rsidRPr="00D57DBE">
        <w:rPr>
          <w:rFonts w:eastAsia="MS Mincho"/>
          <w:bCs/>
          <w:sz w:val="22"/>
          <w:szCs w:val="22"/>
          <w:lang w:eastAsia="en-NZ"/>
        </w:rPr>
        <w:t>SC14 noted the following stock status from ISC:</w:t>
      </w:r>
    </w:p>
    <w:p w14:paraId="640804B6" w14:textId="77777777" w:rsidR="003D217E" w:rsidRPr="004635E5" w:rsidRDefault="003D217E" w:rsidP="003D217E">
      <w:pPr>
        <w:autoSpaceDE w:val="0"/>
        <w:autoSpaceDN w:val="0"/>
        <w:adjustRightInd w:val="0"/>
        <w:snapToGrid w:val="0"/>
        <w:jc w:val="both"/>
        <w:rPr>
          <w:rFonts w:eastAsia="MS Mincho"/>
          <w:sz w:val="22"/>
          <w:szCs w:val="22"/>
          <w:lang w:eastAsia="en-NZ"/>
        </w:rPr>
      </w:pPr>
    </w:p>
    <w:p w14:paraId="22A99682" w14:textId="77777777" w:rsidR="003D217E" w:rsidRPr="004635E5" w:rsidRDefault="003D217E" w:rsidP="003D217E">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Based on these findings, the following information on the status of the Pacific bluefin tuna stock is provided:</w:t>
      </w:r>
    </w:p>
    <w:p w14:paraId="5EFFAB47" w14:textId="144E4102" w:rsidR="003D217E" w:rsidRPr="00D57DBE" w:rsidRDefault="003D217E" w:rsidP="00580EA4">
      <w:pPr>
        <w:numPr>
          <w:ilvl w:val="0"/>
          <w:numId w:val="141"/>
        </w:numPr>
        <w:autoSpaceDE w:val="0"/>
        <w:autoSpaceDN w:val="0"/>
        <w:adjustRightInd w:val="0"/>
        <w:snapToGrid w:val="0"/>
        <w:ind w:left="1080"/>
        <w:jc w:val="both"/>
        <w:rPr>
          <w:rFonts w:eastAsia="MS Mincho"/>
          <w:bCs/>
          <w:sz w:val="22"/>
          <w:szCs w:val="22"/>
          <w:lang w:eastAsia="en-NZ"/>
        </w:rPr>
      </w:pPr>
      <w:r w:rsidRPr="00D57DBE">
        <w:rPr>
          <w:rFonts w:eastAsia="MS Mincho"/>
          <w:bCs/>
          <w:sz w:val="22"/>
          <w:szCs w:val="22"/>
          <w:lang w:eastAsia="en-NZ"/>
        </w:rPr>
        <w:t>No biomass-based limit or target reference points have been adopted to evaluate the overfished status for PBF. However, the PBF stock is overfished relative to the potential biomass-based reference points evaluated (SSB</w:t>
      </w:r>
      <w:r w:rsidRPr="00D57DBE">
        <w:rPr>
          <w:rFonts w:eastAsia="MS Mincho"/>
          <w:bCs/>
          <w:sz w:val="22"/>
          <w:szCs w:val="22"/>
          <w:vertAlign w:val="subscript"/>
          <w:lang w:eastAsia="en-NZ"/>
        </w:rPr>
        <w:t>MED</w:t>
      </w:r>
      <w:r w:rsidRPr="00D57DBE">
        <w:rPr>
          <w:rFonts w:eastAsia="MS Mincho"/>
          <w:bCs/>
          <w:sz w:val="22"/>
          <w:szCs w:val="22"/>
          <w:lang w:eastAsia="en-NZ"/>
        </w:rPr>
        <w:t xml:space="preserve"> and 20%SSB</w:t>
      </w:r>
      <w:r w:rsidRPr="00D57DBE">
        <w:rPr>
          <w:rFonts w:eastAsia="MS Mincho"/>
          <w:bCs/>
          <w:sz w:val="22"/>
          <w:szCs w:val="22"/>
          <w:vertAlign w:val="subscript"/>
          <w:lang w:eastAsia="en-NZ"/>
        </w:rPr>
        <w:t>F=0</w:t>
      </w:r>
      <w:r w:rsidRPr="00D57DBE">
        <w:rPr>
          <w:rFonts w:eastAsia="MS Mincho"/>
          <w:bCs/>
          <w:sz w:val="22"/>
          <w:szCs w:val="22"/>
          <w:lang w:eastAsia="en-NZ"/>
        </w:rPr>
        <w:t xml:space="preserve">, Table PBF-3 and </w:t>
      </w:r>
      <w:r w:rsidRPr="00D57DBE">
        <w:rPr>
          <w:bCs/>
          <w:sz w:val="22"/>
          <w:szCs w:val="22"/>
        </w:rPr>
        <w:fldChar w:fldCharType="begin"/>
      </w:r>
      <w:r w:rsidRPr="00D57DBE">
        <w:rPr>
          <w:bCs/>
          <w:sz w:val="22"/>
          <w:szCs w:val="22"/>
        </w:rPr>
        <w:instrText xml:space="preserve"> REF _Ref519184637 \h  \* MERGEFORMAT </w:instrText>
      </w:r>
      <w:r w:rsidRPr="00D57DBE">
        <w:rPr>
          <w:bCs/>
          <w:sz w:val="22"/>
          <w:szCs w:val="22"/>
        </w:rPr>
      </w:r>
      <w:r w:rsidRPr="00D57DBE">
        <w:rPr>
          <w:bCs/>
          <w:sz w:val="22"/>
          <w:szCs w:val="22"/>
        </w:rPr>
        <w:fldChar w:fldCharType="separate"/>
      </w:r>
      <w:r w:rsidR="00117A6F" w:rsidRPr="00041D2E">
        <w:rPr>
          <w:rFonts w:eastAsia="MS Mincho"/>
          <w:bCs/>
          <w:sz w:val="22"/>
          <w:szCs w:val="22"/>
          <w:lang w:eastAsia="en-NZ"/>
        </w:rPr>
        <w:t>Figure PBF-3</w:t>
      </w:r>
      <w:r w:rsidRPr="00D57DBE">
        <w:rPr>
          <w:bCs/>
          <w:sz w:val="22"/>
          <w:szCs w:val="22"/>
        </w:rPr>
        <w:fldChar w:fldCharType="end"/>
      </w:r>
      <w:r w:rsidRPr="00D57DBE">
        <w:rPr>
          <w:rFonts w:eastAsia="MS Mincho"/>
          <w:bCs/>
          <w:sz w:val="22"/>
          <w:szCs w:val="22"/>
          <w:lang w:eastAsia="en-NZ"/>
        </w:rPr>
        <w:t>).</w:t>
      </w:r>
    </w:p>
    <w:p w14:paraId="115AA986" w14:textId="19209DBB" w:rsidR="003D217E" w:rsidRPr="00D57DBE" w:rsidRDefault="003D217E" w:rsidP="00580EA4">
      <w:pPr>
        <w:numPr>
          <w:ilvl w:val="0"/>
          <w:numId w:val="141"/>
        </w:numPr>
        <w:autoSpaceDE w:val="0"/>
        <w:autoSpaceDN w:val="0"/>
        <w:adjustRightInd w:val="0"/>
        <w:snapToGrid w:val="0"/>
        <w:ind w:left="1080"/>
        <w:jc w:val="both"/>
        <w:rPr>
          <w:rFonts w:eastAsia="MS Mincho"/>
          <w:bCs/>
          <w:sz w:val="22"/>
          <w:szCs w:val="22"/>
          <w:lang w:eastAsia="en-NZ"/>
        </w:rPr>
      </w:pPr>
      <w:r w:rsidRPr="00D57DBE">
        <w:rPr>
          <w:rFonts w:eastAsia="MS Mincho"/>
          <w:bCs/>
          <w:sz w:val="22"/>
          <w:szCs w:val="22"/>
          <w:lang w:eastAsia="en-NZ"/>
        </w:rPr>
        <w:t xml:space="preserve">No fishing intensity-based limit or target reference points have been adopted to evaluate overfishing for PBF. However, the PBF stock is subject to overfishing relative to most of potential fishing intensity-based reference points evaluated (Table PBF-3 and </w:t>
      </w:r>
      <w:r w:rsidRPr="00D57DBE">
        <w:rPr>
          <w:bCs/>
          <w:sz w:val="22"/>
          <w:szCs w:val="22"/>
        </w:rPr>
        <w:fldChar w:fldCharType="begin"/>
      </w:r>
      <w:r w:rsidRPr="00D57DBE">
        <w:rPr>
          <w:bCs/>
          <w:sz w:val="22"/>
          <w:szCs w:val="22"/>
        </w:rPr>
        <w:instrText xml:space="preserve"> REF _Ref519184637 \h  \* MERGEFORMAT </w:instrText>
      </w:r>
      <w:r w:rsidRPr="00D57DBE">
        <w:rPr>
          <w:bCs/>
          <w:sz w:val="22"/>
          <w:szCs w:val="22"/>
        </w:rPr>
      </w:r>
      <w:r w:rsidRPr="00D57DBE">
        <w:rPr>
          <w:bCs/>
          <w:sz w:val="22"/>
          <w:szCs w:val="22"/>
        </w:rPr>
        <w:fldChar w:fldCharType="separate"/>
      </w:r>
      <w:r w:rsidR="00117A6F" w:rsidRPr="00041D2E">
        <w:rPr>
          <w:rFonts w:eastAsia="MS Mincho"/>
          <w:bCs/>
          <w:sz w:val="22"/>
          <w:szCs w:val="22"/>
          <w:lang w:eastAsia="en-NZ"/>
        </w:rPr>
        <w:t>Figure PBF-3</w:t>
      </w:r>
      <w:r w:rsidRPr="00D57DBE">
        <w:rPr>
          <w:bCs/>
          <w:sz w:val="22"/>
          <w:szCs w:val="22"/>
        </w:rPr>
        <w:fldChar w:fldCharType="end"/>
      </w:r>
      <w:r w:rsidRPr="00D57DBE">
        <w:rPr>
          <w:rFonts w:eastAsia="MS Mincho"/>
          <w:bCs/>
          <w:sz w:val="22"/>
          <w:szCs w:val="22"/>
          <w:lang w:eastAsia="en-NZ"/>
        </w:rPr>
        <w:t>).</w:t>
      </w:r>
    </w:p>
    <w:p w14:paraId="5E262E47" w14:textId="77777777" w:rsidR="003D217E" w:rsidRPr="00D57DBE" w:rsidRDefault="003D217E" w:rsidP="003D217E">
      <w:pPr>
        <w:autoSpaceDE w:val="0"/>
        <w:autoSpaceDN w:val="0"/>
        <w:adjustRightInd w:val="0"/>
        <w:snapToGrid w:val="0"/>
        <w:jc w:val="both"/>
        <w:rPr>
          <w:rFonts w:eastAsia="MS Mincho"/>
          <w:bCs/>
          <w:sz w:val="22"/>
          <w:szCs w:val="22"/>
          <w:lang w:val="en-NZ" w:eastAsia="en-NZ"/>
        </w:rPr>
      </w:pPr>
    </w:p>
    <w:p w14:paraId="79CA4743" w14:textId="77777777" w:rsidR="003D217E" w:rsidRPr="00D57DBE" w:rsidRDefault="003D217E" w:rsidP="00580EA4">
      <w:pPr>
        <w:numPr>
          <w:ilvl w:val="0"/>
          <w:numId w:val="18"/>
        </w:numPr>
        <w:autoSpaceDE w:val="0"/>
        <w:autoSpaceDN w:val="0"/>
        <w:adjustRightInd w:val="0"/>
        <w:snapToGrid w:val="0"/>
        <w:ind w:left="0" w:firstLine="0"/>
        <w:jc w:val="both"/>
        <w:rPr>
          <w:rFonts w:eastAsia="MS Mincho"/>
          <w:bCs/>
          <w:sz w:val="22"/>
          <w:szCs w:val="22"/>
          <w:lang w:val="en-AU" w:eastAsia="en-NZ"/>
        </w:rPr>
      </w:pPr>
      <w:r w:rsidRPr="00D57DBE">
        <w:rPr>
          <w:rFonts w:eastAsia="MS Mincho"/>
          <w:bCs/>
          <w:sz w:val="22"/>
          <w:szCs w:val="22"/>
          <w:lang w:val="en-NZ" w:eastAsia="en-NZ"/>
        </w:rPr>
        <w:t xml:space="preserve">SC14 noted that the </w:t>
      </w:r>
      <w:r w:rsidRPr="00D57DBE">
        <w:rPr>
          <w:rFonts w:eastAsia="MS Mincho"/>
          <w:bCs/>
          <w:sz w:val="22"/>
          <w:szCs w:val="22"/>
          <w:lang w:val="en-AU" w:eastAsia="en-NZ"/>
        </w:rPr>
        <w:t xml:space="preserve">total PBF catch in 2017 was 14,707 mt, 11% increase from 2016 and 9% increase from the average 2012-2016. PBF is caught by various fishing gears including purse seine, longline, set net, troll, pole-and-line, handline and recreational fisheries. The detailed catch information by fishery is available in ISC 2018 stock assessment (SC14-SA-WP-06). </w:t>
      </w:r>
    </w:p>
    <w:p w14:paraId="601CBDA3" w14:textId="77777777" w:rsidR="003D217E" w:rsidRPr="004635E5" w:rsidRDefault="003D217E" w:rsidP="003D217E">
      <w:pPr>
        <w:autoSpaceDE w:val="0"/>
        <w:autoSpaceDN w:val="0"/>
        <w:adjustRightInd w:val="0"/>
        <w:snapToGrid w:val="0"/>
        <w:jc w:val="both"/>
        <w:rPr>
          <w:rFonts w:eastAsia="MS Mincho"/>
          <w:sz w:val="22"/>
          <w:szCs w:val="22"/>
          <w:lang w:eastAsia="en-NZ"/>
        </w:rPr>
      </w:pPr>
    </w:p>
    <w:p w14:paraId="49A4106C" w14:textId="77777777" w:rsidR="003D217E" w:rsidRPr="004635E5" w:rsidRDefault="003D217E" w:rsidP="002F64C2">
      <w:pPr>
        <w:pStyle w:val="SCa"/>
        <w:tabs>
          <w:tab w:val="clear" w:pos="1080"/>
        </w:tabs>
        <w:spacing w:after="0"/>
        <w:ind w:left="0"/>
        <w:rPr>
          <w:lang w:val="en-NZ"/>
        </w:rPr>
      </w:pPr>
      <w:r w:rsidRPr="004635E5">
        <w:rPr>
          <w:lang w:val="en-NZ"/>
        </w:rPr>
        <w:t>b.</w:t>
      </w:r>
      <w:r w:rsidRPr="004635E5">
        <w:rPr>
          <w:lang w:val="en-NZ"/>
        </w:rPr>
        <w:tab/>
        <w:t>Management advice and implications</w:t>
      </w:r>
    </w:p>
    <w:p w14:paraId="3616E2E4" w14:textId="77777777" w:rsidR="003D217E" w:rsidRPr="004635E5" w:rsidRDefault="003D217E" w:rsidP="003D217E">
      <w:pPr>
        <w:pStyle w:val="SCa"/>
        <w:spacing w:after="0"/>
        <w:rPr>
          <w:lang w:val="en-NZ"/>
        </w:rPr>
      </w:pPr>
    </w:p>
    <w:p w14:paraId="270B0EA2" w14:textId="77777777" w:rsidR="003D217E" w:rsidRPr="00D57DBE" w:rsidRDefault="003D217E" w:rsidP="00580EA4">
      <w:pPr>
        <w:numPr>
          <w:ilvl w:val="0"/>
          <w:numId w:val="18"/>
        </w:numPr>
        <w:autoSpaceDE w:val="0"/>
        <w:autoSpaceDN w:val="0"/>
        <w:adjustRightInd w:val="0"/>
        <w:snapToGrid w:val="0"/>
        <w:ind w:left="0" w:firstLine="0"/>
        <w:jc w:val="both"/>
        <w:rPr>
          <w:rFonts w:eastAsia="MS Mincho"/>
          <w:bCs/>
          <w:sz w:val="22"/>
          <w:szCs w:val="22"/>
          <w:lang w:eastAsia="en-NZ"/>
        </w:rPr>
      </w:pPr>
      <w:r w:rsidRPr="00D57DBE">
        <w:rPr>
          <w:rFonts w:eastAsia="MS Mincho"/>
          <w:bCs/>
          <w:sz w:val="22"/>
          <w:szCs w:val="22"/>
          <w:lang w:eastAsia="en-NZ"/>
        </w:rPr>
        <w:t>SC14 advises the Commission to note the current very low level of spawning biomass (3.3% B</w:t>
      </w:r>
      <w:r w:rsidRPr="00D57DBE">
        <w:rPr>
          <w:rFonts w:eastAsia="MS Mincho"/>
          <w:bCs/>
          <w:sz w:val="22"/>
          <w:szCs w:val="22"/>
          <w:vertAlign w:val="subscript"/>
          <w:lang w:eastAsia="en-NZ"/>
        </w:rPr>
        <w:t>0</w:t>
      </w:r>
      <w:r w:rsidRPr="00D57DBE">
        <w:rPr>
          <w:rFonts w:eastAsia="MS Mincho"/>
          <w:bCs/>
          <w:sz w:val="22"/>
          <w:szCs w:val="22"/>
          <w:lang w:eastAsia="en-NZ"/>
        </w:rPr>
        <w:t xml:space="preserve">), the current level of overfishing, and that the projections are strongly influenced by the inclusion of a relatively high but uncertain recruitment in 2016. The majority of CCMs recommended a precautionary approach to the management of Pacific Bluefin tuna, especially in relation to the timing of increasing catch levels, until the rebuilding of the stock to higher biomass levels is achieved. </w:t>
      </w:r>
    </w:p>
    <w:p w14:paraId="6E3D3377" w14:textId="77777777" w:rsidR="003D217E" w:rsidRPr="004635E5" w:rsidRDefault="003D217E" w:rsidP="003D217E">
      <w:pPr>
        <w:autoSpaceDE w:val="0"/>
        <w:autoSpaceDN w:val="0"/>
        <w:adjustRightInd w:val="0"/>
        <w:snapToGrid w:val="0"/>
        <w:jc w:val="both"/>
        <w:rPr>
          <w:rFonts w:eastAsia="MS Mincho"/>
          <w:b/>
          <w:sz w:val="22"/>
          <w:szCs w:val="22"/>
          <w:lang w:eastAsia="en-NZ"/>
        </w:rPr>
      </w:pPr>
    </w:p>
    <w:p w14:paraId="3CEC5B89" w14:textId="77777777" w:rsidR="003D217E" w:rsidRPr="00D57DBE" w:rsidRDefault="003D217E" w:rsidP="00580EA4">
      <w:pPr>
        <w:numPr>
          <w:ilvl w:val="0"/>
          <w:numId w:val="18"/>
        </w:numPr>
        <w:autoSpaceDE w:val="0"/>
        <w:autoSpaceDN w:val="0"/>
        <w:adjustRightInd w:val="0"/>
        <w:snapToGrid w:val="0"/>
        <w:ind w:left="0" w:firstLine="0"/>
        <w:jc w:val="both"/>
        <w:rPr>
          <w:rFonts w:eastAsia="MS Mincho"/>
          <w:bCs/>
          <w:sz w:val="22"/>
          <w:szCs w:val="22"/>
          <w:lang w:val="en-NZ" w:eastAsia="en-NZ"/>
        </w:rPr>
      </w:pPr>
      <w:r w:rsidRPr="00D57DBE">
        <w:rPr>
          <w:rFonts w:eastAsia="MS Mincho"/>
          <w:bCs/>
          <w:sz w:val="22"/>
          <w:szCs w:val="22"/>
          <w:lang w:val="en-NZ" w:eastAsia="en-NZ"/>
        </w:rPr>
        <w:t>SC14 noted the following conservation advice from ISC:</w:t>
      </w:r>
    </w:p>
    <w:p w14:paraId="5280619F" w14:textId="77777777" w:rsidR="003D217E" w:rsidRPr="004635E5" w:rsidRDefault="003D217E" w:rsidP="003D217E">
      <w:pPr>
        <w:autoSpaceDE w:val="0"/>
        <w:autoSpaceDN w:val="0"/>
        <w:adjustRightInd w:val="0"/>
        <w:snapToGrid w:val="0"/>
        <w:jc w:val="both"/>
        <w:rPr>
          <w:rFonts w:eastAsia="MS Mincho"/>
          <w:b/>
          <w:sz w:val="22"/>
          <w:szCs w:val="22"/>
          <w:lang w:val="en-NZ" w:eastAsia="en-NZ"/>
        </w:rPr>
      </w:pPr>
    </w:p>
    <w:p w14:paraId="222DFC36" w14:textId="77777777" w:rsidR="003D217E" w:rsidRPr="004635E5" w:rsidRDefault="003D217E" w:rsidP="003D217E">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After the steady decline in SSB from 1995 to the historical low level in 2010, the PBF stock appears to have started recovering slowly. The 2016 stock biomass is below the two biomass rebuilding targets adopted by the WCPFC while the 2015-2016 fishing intensity (spawning potential ratio) is at a level corresponding to the initial rebuilding target.</w:t>
      </w:r>
    </w:p>
    <w:p w14:paraId="59316939" w14:textId="77777777" w:rsidR="003D217E" w:rsidRPr="004635E5" w:rsidRDefault="003D217E" w:rsidP="003D217E">
      <w:pPr>
        <w:autoSpaceDE w:val="0"/>
        <w:autoSpaceDN w:val="0"/>
        <w:adjustRightInd w:val="0"/>
        <w:snapToGrid w:val="0"/>
        <w:ind w:left="720"/>
        <w:jc w:val="both"/>
        <w:rPr>
          <w:rFonts w:eastAsia="MS Mincho"/>
          <w:sz w:val="22"/>
          <w:szCs w:val="22"/>
          <w:lang w:eastAsia="en-NZ"/>
        </w:rPr>
      </w:pPr>
    </w:p>
    <w:p w14:paraId="579EA618" w14:textId="77777777" w:rsidR="003D217E" w:rsidRPr="004635E5" w:rsidRDefault="003D217E" w:rsidP="003D217E">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 xml:space="preserve">The 2018 base case assessment results are consistent with the 2016 model results. However, the 2018 projection results are more optimistic than the 2016 projections, mainly due to the inclusion of the relatively good recruitment in 2016, which is above the historical average level (119%) and twice as high as the median of the low recruitment scenario (which occurred 1980-1989). </w:t>
      </w:r>
    </w:p>
    <w:p w14:paraId="7C56C041" w14:textId="77777777" w:rsidR="003D217E" w:rsidRPr="004635E5" w:rsidRDefault="003D217E" w:rsidP="003D217E">
      <w:pPr>
        <w:autoSpaceDE w:val="0"/>
        <w:autoSpaceDN w:val="0"/>
        <w:adjustRightInd w:val="0"/>
        <w:snapToGrid w:val="0"/>
        <w:ind w:left="720"/>
        <w:jc w:val="both"/>
        <w:rPr>
          <w:rFonts w:eastAsia="MS Mincho"/>
          <w:sz w:val="22"/>
          <w:szCs w:val="22"/>
          <w:lang w:eastAsia="en-NZ"/>
        </w:rPr>
      </w:pPr>
    </w:p>
    <w:p w14:paraId="271A8024" w14:textId="77777777" w:rsidR="003D217E" w:rsidRPr="004635E5" w:rsidRDefault="003D217E" w:rsidP="003D217E">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Based on these results, the following conservation information is provided:</w:t>
      </w:r>
    </w:p>
    <w:p w14:paraId="3EB2A8BD" w14:textId="77777777" w:rsidR="003D217E" w:rsidRPr="00970771" w:rsidRDefault="003D217E" w:rsidP="00580EA4">
      <w:pPr>
        <w:pStyle w:val="ListParagraph"/>
        <w:numPr>
          <w:ilvl w:val="5"/>
          <w:numId w:val="60"/>
        </w:numPr>
        <w:autoSpaceDE w:val="0"/>
        <w:autoSpaceDN w:val="0"/>
        <w:adjustRightInd w:val="0"/>
        <w:snapToGrid w:val="0"/>
        <w:ind w:left="1080"/>
        <w:jc w:val="both"/>
        <w:rPr>
          <w:rFonts w:eastAsia="MS Mincho"/>
          <w:bCs/>
          <w:sz w:val="22"/>
          <w:szCs w:val="22"/>
          <w:lang w:eastAsia="en-NZ"/>
        </w:rPr>
      </w:pPr>
      <w:r w:rsidRPr="00970771">
        <w:rPr>
          <w:rFonts w:eastAsia="MS Mincho"/>
          <w:bCs/>
          <w:sz w:val="22"/>
          <w:szCs w:val="22"/>
          <w:lang w:eastAsia="en-NZ"/>
        </w:rPr>
        <w:t xml:space="preserve">The projection based on the base-case model mimicking the current management measures by the WCPFC (CMM 2017-08) and IATTC (C-16-08) under the low recruitment scenario resulted in an estimated 98% probability of achieving the initial biomass rebuilding target (6.7%SSBF=0) by 2024. This estimated probability is above the threshold (75% or above in 2024) prescribed by the WCPFC Harvest Strategy (Harvest Strategy 2017-02) (scenario 0 of Table PBF-4; see also Figure PBF-5 and Figure PBF-6). The low recruitment scenario is more precautionary than the recent 10 years recruitment scenario. </w:t>
      </w:r>
    </w:p>
    <w:p w14:paraId="67003552" w14:textId="77777777" w:rsidR="003D217E" w:rsidRPr="00970771" w:rsidRDefault="003D217E" w:rsidP="00580EA4">
      <w:pPr>
        <w:pStyle w:val="ListParagraph"/>
        <w:numPr>
          <w:ilvl w:val="5"/>
          <w:numId w:val="60"/>
        </w:numPr>
        <w:autoSpaceDE w:val="0"/>
        <w:autoSpaceDN w:val="0"/>
        <w:adjustRightInd w:val="0"/>
        <w:snapToGrid w:val="0"/>
        <w:ind w:left="1080"/>
        <w:jc w:val="both"/>
        <w:rPr>
          <w:rFonts w:eastAsia="MS Mincho"/>
          <w:bCs/>
          <w:sz w:val="22"/>
          <w:szCs w:val="22"/>
          <w:lang w:eastAsia="en-NZ"/>
        </w:rPr>
      </w:pPr>
      <w:r w:rsidRPr="00970771">
        <w:rPr>
          <w:rFonts w:eastAsia="MS Mincho"/>
          <w:bCs/>
          <w:sz w:val="22"/>
          <w:szCs w:val="22"/>
          <w:lang w:eastAsia="en-NZ"/>
        </w:rPr>
        <w:t>The Harvest Strategy specifies that recruitment switches from the low recruitment scenario to the average recruitment scenario beginning in the year after achieving the initial rebuilding target. The estimated probability of achieving the second biomass rebuilding target (20%SSBF=0) 10 years after the achievement of the initial rebuilding target or by 2034, whichever is earlier, is 96% (scenario 1 of Table PBF-3, Table PBF-4, and Table PBF-5; Figure PBF-5 and Figure PBF-6). This estimate is above the threshold (60% or above in 2034) prescribed by the WCPFC Harvest Strategy. However, it should be recognized that these projection results are strongly influenced by the inclusion of the relatively high, but uncertain recruitment estimate for 2016.</w:t>
      </w:r>
    </w:p>
    <w:p w14:paraId="0E0A82C1" w14:textId="77777777" w:rsidR="003D217E" w:rsidRPr="004635E5" w:rsidRDefault="003D217E" w:rsidP="003D217E">
      <w:pPr>
        <w:autoSpaceDE w:val="0"/>
        <w:autoSpaceDN w:val="0"/>
        <w:adjustRightInd w:val="0"/>
        <w:snapToGrid w:val="0"/>
        <w:ind w:left="720"/>
        <w:jc w:val="both"/>
        <w:rPr>
          <w:rFonts w:eastAsia="MS Mincho"/>
          <w:sz w:val="22"/>
          <w:szCs w:val="22"/>
          <w:lang w:eastAsia="en-NZ"/>
        </w:rPr>
      </w:pPr>
    </w:p>
    <w:p w14:paraId="4446D22C" w14:textId="77777777" w:rsidR="003D217E" w:rsidRPr="00D57DBE" w:rsidRDefault="003D217E" w:rsidP="003D217E">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 xml:space="preserve">The Harvest Strategy adopted by WCPFC (Harvest Strategy 2017-02) guided projections conducted by ISC to provide catch reduction options if the projection results indicate that the initial rebuilding target will not be achieved or to provide relevant information for potential increase in catch if the probability of achieving the initial rebuilding target exceeds 75%. The projection results showed that the probability of achieving the initial rebuilding target was above </w:t>
      </w:r>
      <w:r w:rsidRPr="00D57DBE">
        <w:rPr>
          <w:rFonts w:eastAsia="MS Mincho"/>
          <w:sz w:val="22"/>
          <w:szCs w:val="22"/>
          <w:lang w:eastAsia="en-NZ"/>
        </w:rPr>
        <w:t>the level (75% or above in 2024) prescribed in the WCPFC Harvest Strategy. Accordingly, the ISC examined some optional scenarios with higher catch limits, which can be found in Appendix 1 of the PBF 2018 stock assessment report (SC14-SA-WP-06).</w:t>
      </w:r>
    </w:p>
    <w:p w14:paraId="6BF9B454" w14:textId="77777777" w:rsidR="003D217E" w:rsidRPr="004635E5" w:rsidRDefault="003D217E" w:rsidP="003D217E">
      <w:pPr>
        <w:autoSpaceDE w:val="0"/>
        <w:autoSpaceDN w:val="0"/>
        <w:adjustRightInd w:val="0"/>
        <w:snapToGrid w:val="0"/>
        <w:ind w:left="720"/>
        <w:jc w:val="both"/>
        <w:rPr>
          <w:rFonts w:eastAsiaTheme="minorEastAsia"/>
          <w:sz w:val="22"/>
          <w:szCs w:val="22"/>
          <w:lang w:eastAsia="ko-KR"/>
        </w:rPr>
      </w:pPr>
    </w:p>
    <w:p w14:paraId="6587EC41" w14:textId="77777777" w:rsidR="003D217E" w:rsidRPr="004635E5" w:rsidRDefault="003D217E" w:rsidP="003D217E">
      <w:pPr>
        <w:pStyle w:val="SCa"/>
        <w:spacing w:after="0"/>
        <w:ind w:left="1800"/>
      </w:pPr>
      <w:r w:rsidRPr="004635E5">
        <w:t>Research needs</w:t>
      </w:r>
    </w:p>
    <w:p w14:paraId="2A7F6FA1" w14:textId="77777777" w:rsidR="003D217E" w:rsidRPr="004635E5" w:rsidRDefault="003D217E" w:rsidP="003D217E">
      <w:pPr>
        <w:pStyle w:val="SCa"/>
        <w:spacing w:after="0"/>
        <w:ind w:left="1800"/>
      </w:pPr>
    </w:p>
    <w:p w14:paraId="75EA2A2F" w14:textId="77777777" w:rsidR="003D217E" w:rsidRPr="004635E5" w:rsidRDefault="003D217E" w:rsidP="003D217E">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 xml:space="preserve">Given the low SSB, the uncertainty in future recruitment, and the influence of recruitment on stock biomass, monitoring of recruitment and SSB should be strengthened so that the recruitment trends can be understood in a timely manner. </w:t>
      </w:r>
    </w:p>
    <w:p w14:paraId="33613DD8" w14:textId="77777777" w:rsidR="003D217E" w:rsidRPr="004635E5" w:rsidRDefault="003D217E" w:rsidP="003D217E">
      <w:pPr>
        <w:autoSpaceDE w:val="0"/>
        <w:autoSpaceDN w:val="0"/>
        <w:adjustRightInd w:val="0"/>
        <w:snapToGrid w:val="0"/>
        <w:jc w:val="both"/>
        <w:rPr>
          <w:rFonts w:eastAsia="MS Mincho"/>
          <w:sz w:val="22"/>
          <w:szCs w:val="22"/>
          <w:lang w:eastAsia="en-NZ"/>
        </w:rPr>
        <w:sectPr w:rsidR="003D217E" w:rsidRPr="004635E5" w:rsidSect="0094159E">
          <w:type w:val="continuous"/>
          <w:pgSz w:w="12240" w:h="15840" w:code="1"/>
          <w:pgMar w:top="1440" w:right="1440" w:bottom="1440" w:left="1440" w:header="720" w:footer="720" w:gutter="0"/>
          <w:pgNumType w:fmt="lowerRoman"/>
          <w:cols w:space="720"/>
          <w:docGrid w:linePitch="360"/>
        </w:sectPr>
      </w:pPr>
    </w:p>
    <w:p w14:paraId="348E492F" w14:textId="77777777" w:rsidR="003D217E" w:rsidRPr="004635E5" w:rsidRDefault="003D217E" w:rsidP="003D217E">
      <w:pPr>
        <w:autoSpaceDE w:val="0"/>
        <w:autoSpaceDN w:val="0"/>
        <w:adjustRightInd w:val="0"/>
        <w:snapToGrid w:val="0"/>
        <w:jc w:val="both"/>
        <w:rPr>
          <w:rFonts w:eastAsia="MS Mincho"/>
          <w:bCs/>
          <w:sz w:val="22"/>
          <w:szCs w:val="22"/>
          <w:lang w:eastAsia="en-NZ"/>
        </w:rPr>
      </w:pPr>
      <w:r w:rsidRPr="004635E5">
        <w:rPr>
          <w:rFonts w:eastAsia="MS Mincho"/>
          <w:b/>
          <w:bCs/>
          <w:sz w:val="22"/>
          <w:szCs w:val="22"/>
          <w:lang w:eastAsia="en-NZ"/>
        </w:rPr>
        <w:t>Table PBF</w:t>
      </w:r>
      <w:r w:rsidRPr="004635E5">
        <w:rPr>
          <w:rFonts w:eastAsia="MS Mincho"/>
          <w:b/>
          <w:bCs/>
          <w:sz w:val="22"/>
          <w:szCs w:val="22"/>
          <w:lang w:eastAsia="en-NZ"/>
        </w:rPr>
        <w:noBreakHyphen/>
        <w:t>1</w:t>
      </w:r>
      <w:r w:rsidRPr="004635E5">
        <w:rPr>
          <w:rFonts w:eastAsia="MS Mincho"/>
          <w:bCs/>
          <w:sz w:val="22"/>
          <w:szCs w:val="22"/>
          <w:lang w:eastAsia="en-NZ"/>
        </w:rPr>
        <w:t>. Total biomass, spawning stock biomass and recruitment of Pacific bluefin tuna (</w:t>
      </w:r>
      <w:r w:rsidRPr="004635E5">
        <w:rPr>
          <w:rFonts w:eastAsia="MS Mincho"/>
          <w:bCs/>
          <w:i/>
          <w:sz w:val="22"/>
          <w:szCs w:val="22"/>
          <w:lang w:eastAsia="en-NZ"/>
        </w:rPr>
        <w:t>Thunnus orientalis</w:t>
      </w:r>
      <w:r w:rsidRPr="004635E5">
        <w:rPr>
          <w:rFonts w:eastAsia="MS Mincho"/>
          <w:bCs/>
          <w:sz w:val="22"/>
          <w:szCs w:val="22"/>
          <w:lang w:eastAsia="en-NZ"/>
        </w:rPr>
        <w:t xml:space="preserve">) estimated by the base-case model, where coefficient of variation (CV) measures relative variability defined as the ratio of the standard deviation to the mean. </w:t>
      </w:r>
    </w:p>
    <w:p w14:paraId="519A4F03" w14:textId="77777777" w:rsidR="003D217E" w:rsidRPr="004635E5" w:rsidRDefault="003D217E" w:rsidP="003D217E">
      <w:pPr>
        <w:autoSpaceDE w:val="0"/>
        <w:autoSpaceDN w:val="0"/>
        <w:adjustRightInd w:val="0"/>
        <w:snapToGrid w:val="0"/>
        <w:jc w:val="both"/>
        <w:rPr>
          <w:rFonts w:eastAsia="MS Mincho"/>
          <w:sz w:val="22"/>
          <w:szCs w:val="22"/>
          <w:lang w:eastAsia="en-NZ"/>
        </w:rPr>
      </w:pPr>
      <w:r w:rsidRPr="004635E5">
        <w:rPr>
          <w:rFonts w:eastAsia="MS Mincho"/>
          <w:noProof/>
          <w:sz w:val="22"/>
          <w:szCs w:val="22"/>
          <w:lang w:eastAsia="zh-CN" w:bidi="mn-Mong-CN"/>
        </w:rPr>
        <w:lastRenderedPageBreak/>
        <w:drawing>
          <wp:inline distT="0" distB="0" distL="0" distR="0" wp14:anchorId="3227467B" wp14:editId="27C7AE82">
            <wp:extent cx="4428308" cy="7674716"/>
            <wp:effectExtent l="0" t="0" r="0" b="2540"/>
            <wp:docPr id="39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28308" cy="7674716"/>
                    </a:xfrm>
                    <a:prstGeom prst="rect">
                      <a:avLst/>
                    </a:prstGeom>
                    <a:noFill/>
                    <a:ln>
                      <a:noFill/>
                    </a:ln>
                  </pic:spPr>
                </pic:pic>
              </a:graphicData>
            </a:graphic>
          </wp:inline>
        </w:drawing>
      </w:r>
    </w:p>
    <w:p w14:paraId="27D6161C" w14:textId="77777777" w:rsidR="003D217E" w:rsidRPr="004635E5" w:rsidRDefault="003D217E" w:rsidP="003D217E">
      <w:pPr>
        <w:autoSpaceDE w:val="0"/>
        <w:autoSpaceDN w:val="0"/>
        <w:adjustRightInd w:val="0"/>
        <w:snapToGrid w:val="0"/>
        <w:jc w:val="both"/>
        <w:rPr>
          <w:rFonts w:eastAsia="MS Mincho"/>
          <w:bCs/>
          <w:sz w:val="22"/>
          <w:szCs w:val="22"/>
          <w:lang w:eastAsia="en-NZ"/>
        </w:rPr>
      </w:pPr>
      <w:r w:rsidRPr="004635E5">
        <w:rPr>
          <w:rFonts w:eastAsia="MS Mincho"/>
          <w:b/>
          <w:bCs/>
          <w:sz w:val="22"/>
          <w:szCs w:val="22"/>
          <w:lang w:eastAsia="en-NZ"/>
        </w:rPr>
        <w:t>Table PBF-2.</w:t>
      </w:r>
      <w:r w:rsidRPr="004635E5">
        <w:rPr>
          <w:rFonts w:eastAsia="MS Mincho"/>
          <w:bCs/>
          <w:sz w:val="22"/>
          <w:szCs w:val="22"/>
          <w:lang w:eastAsia="en-NZ"/>
        </w:rPr>
        <w:t xml:space="preserve"> Spawning stock biomass and fishing intensity of Pacific bluefin tuna (</w:t>
      </w:r>
      <w:r w:rsidRPr="004635E5">
        <w:rPr>
          <w:rFonts w:eastAsia="MS Mincho"/>
          <w:bCs/>
          <w:i/>
          <w:sz w:val="22"/>
          <w:szCs w:val="22"/>
          <w:lang w:eastAsia="en-NZ"/>
        </w:rPr>
        <w:t>Thunnus orientalis</w:t>
      </w:r>
      <w:r w:rsidRPr="004635E5">
        <w:rPr>
          <w:rFonts w:eastAsia="MS Mincho"/>
          <w:bCs/>
          <w:sz w:val="22"/>
          <w:szCs w:val="22"/>
          <w:lang w:eastAsia="en-NZ"/>
        </w:rPr>
        <w:t xml:space="preserve">) in 1995 (recent high biomass), 2002-2004 (WCPFC reference year biomass), 2011 (biomass 5 years ago), </w:t>
      </w:r>
      <w:r w:rsidRPr="004635E5">
        <w:rPr>
          <w:rFonts w:eastAsia="MS Mincho"/>
          <w:bCs/>
          <w:sz w:val="22"/>
          <w:szCs w:val="22"/>
          <w:lang w:eastAsia="en-NZ"/>
        </w:rPr>
        <w:lastRenderedPageBreak/>
        <w:t>and 2016 (latest) to those of the adopted WCPFC biomass rebuilding targets. SPR is used as a measure of fishing intensity; the lower the number the higher the fishing intensity that year.</w:t>
      </w:r>
    </w:p>
    <w:tbl>
      <w:tblPr>
        <w:tblStyle w:val="TableGrid"/>
        <w:tblW w:w="0" w:type="auto"/>
        <w:tblLook w:val="04A0" w:firstRow="1" w:lastRow="0" w:firstColumn="1" w:lastColumn="0" w:noHBand="0" w:noVBand="1"/>
      </w:tblPr>
      <w:tblGrid>
        <w:gridCol w:w="1577"/>
        <w:gridCol w:w="1565"/>
        <w:gridCol w:w="1511"/>
        <w:gridCol w:w="1142"/>
        <w:gridCol w:w="1406"/>
        <w:gridCol w:w="1090"/>
        <w:gridCol w:w="1285"/>
      </w:tblGrid>
      <w:tr w:rsidR="003D217E" w:rsidRPr="00060FA0" w14:paraId="02BC1D23" w14:textId="77777777" w:rsidTr="001740C5">
        <w:tc>
          <w:tcPr>
            <w:tcW w:w="1885" w:type="dxa"/>
          </w:tcPr>
          <w:p w14:paraId="5B1AF8DA" w14:textId="77777777" w:rsidR="003D217E" w:rsidRPr="00060FA0" w:rsidRDefault="003D217E" w:rsidP="001740C5">
            <w:pPr>
              <w:autoSpaceDE w:val="0"/>
              <w:autoSpaceDN w:val="0"/>
              <w:adjustRightInd w:val="0"/>
              <w:snapToGrid w:val="0"/>
              <w:spacing w:after="0"/>
              <w:jc w:val="both"/>
              <w:rPr>
                <w:rFonts w:eastAsia="MS Mincho"/>
                <w:b/>
                <w:sz w:val="20"/>
                <w:szCs w:val="20"/>
                <w:lang w:eastAsia="en-NZ"/>
              </w:rPr>
            </w:pPr>
          </w:p>
        </w:tc>
        <w:tc>
          <w:tcPr>
            <w:tcW w:w="1800" w:type="dxa"/>
          </w:tcPr>
          <w:p w14:paraId="34C9A461" w14:textId="77777777" w:rsidR="003D217E" w:rsidRPr="00060FA0" w:rsidRDefault="003D217E" w:rsidP="001740C5">
            <w:pPr>
              <w:autoSpaceDE w:val="0"/>
              <w:autoSpaceDN w:val="0"/>
              <w:adjustRightInd w:val="0"/>
              <w:snapToGrid w:val="0"/>
              <w:spacing w:after="0"/>
              <w:jc w:val="both"/>
              <w:rPr>
                <w:rFonts w:eastAsia="MS Mincho"/>
                <w:bCs/>
                <w:sz w:val="20"/>
                <w:szCs w:val="20"/>
                <w:lang w:eastAsia="en-NZ"/>
              </w:rPr>
            </w:pPr>
            <w:r w:rsidRPr="00060FA0">
              <w:rPr>
                <w:rFonts w:eastAsia="MS Mincho"/>
                <w:bCs/>
                <w:sz w:val="20"/>
                <w:szCs w:val="20"/>
                <w:lang w:eastAsia="en-NZ"/>
              </w:rPr>
              <w:t>Initial rebuilding target</w:t>
            </w:r>
          </w:p>
        </w:tc>
        <w:tc>
          <w:tcPr>
            <w:tcW w:w="1890" w:type="dxa"/>
          </w:tcPr>
          <w:p w14:paraId="36B3E745" w14:textId="77777777" w:rsidR="003D217E" w:rsidRPr="00060FA0" w:rsidRDefault="003D217E" w:rsidP="001740C5">
            <w:pPr>
              <w:autoSpaceDE w:val="0"/>
              <w:autoSpaceDN w:val="0"/>
              <w:adjustRightInd w:val="0"/>
              <w:snapToGrid w:val="0"/>
              <w:spacing w:after="0"/>
              <w:jc w:val="both"/>
              <w:rPr>
                <w:rFonts w:eastAsia="MS Mincho"/>
                <w:bCs/>
                <w:sz w:val="20"/>
                <w:szCs w:val="20"/>
                <w:lang w:eastAsia="en-NZ"/>
              </w:rPr>
            </w:pPr>
            <w:r w:rsidRPr="00060FA0">
              <w:rPr>
                <w:rFonts w:eastAsia="MS Mincho"/>
                <w:bCs/>
                <w:sz w:val="20"/>
                <w:szCs w:val="20"/>
                <w:lang w:eastAsia="en-NZ"/>
              </w:rPr>
              <w:t>Second rebuilding target</w:t>
            </w:r>
          </w:p>
        </w:tc>
        <w:tc>
          <w:tcPr>
            <w:tcW w:w="1440" w:type="dxa"/>
          </w:tcPr>
          <w:p w14:paraId="2EBC073A" w14:textId="77777777" w:rsidR="003D217E" w:rsidRPr="00060FA0" w:rsidRDefault="003D217E" w:rsidP="001740C5">
            <w:pPr>
              <w:autoSpaceDE w:val="0"/>
              <w:autoSpaceDN w:val="0"/>
              <w:adjustRightInd w:val="0"/>
              <w:snapToGrid w:val="0"/>
              <w:spacing w:after="0"/>
              <w:jc w:val="both"/>
              <w:rPr>
                <w:rFonts w:eastAsia="MS Mincho"/>
                <w:bCs/>
                <w:sz w:val="20"/>
                <w:szCs w:val="20"/>
                <w:lang w:eastAsia="en-NZ"/>
              </w:rPr>
            </w:pPr>
            <w:r w:rsidRPr="00060FA0">
              <w:rPr>
                <w:rFonts w:eastAsia="MS Mincho"/>
                <w:bCs/>
                <w:sz w:val="20"/>
                <w:szCs w:val="20"/>
                <w:lang w:eastAsia="en-NZ"/>
              </w:rPr>
              <w:t xml:space="preserve">1995 </w:t>
            </w:r>
            <w:r w:rsidRPr="00060FA0">
              <w:rPr>
                <w:rFonts w:eastAsia="MS Mincho"/>
                <w:bCs/>
                <w:sz w:val="20"/>
                <w:szCs w:val="20"/>
                <w:lang w:eastAsia="en-NZ"/>
              </w:rPr>
              <w:br/>
              <w:t>(recent high)</w:t>
            </w:r>
          </w:p>
        </w:tc>
        <w:tc>
          <w:tcPr>
            <w:tcW w:w="1710" w:type="dxa"/>
          </w:tcPr>
          <w:p w14:paraId="7E6E08A5" w14:textId="77777777" w:rsidR="003D217E" w:rsidRPr="00060FA0" w:rsidRDefault="003D217E" w:rsidP="001740C5">
            <w:pPr>
              <w:autoSpaceDE w:val="0"/>
              <w:autoSpaceDN w:val="0"/>
              <w:adjustRightInd w:val="0"/>
              <w:snapToGrid w:val="0"/>
              <w:spacing w:after="0"/>
              <w:jc w:val="both"/>
              <w:rPr>
                <w:rFonts w:eastAsia="MS Mincho"/>
                <w:bCs/>
                <w:sz w:val="20"/>
                <w:szCs w:val="20"/>
                <w:lang w:eastAsia="en-NZ"/>
              </w:rPr>
            </w:pPr>
            <w:r w:rsidRPr="00060FA0">
              <w:rPr>
                <w:rFonts w:eastAsia="MS Mincho"/>
                <w:bCs/>
                <w:sz w:val="20"/>
                <w:szCs w:val="20"/>
                <w:lang w:eastAsia="en-NZ"/>
              </w:rPr>
              <w:t>2002-2004 (reference year)</w:t>
            </w:r>
          </w:p>
        </w:tc>
        <w:tc>
          <w:tcPr>
            <w:tcW w:w="1453" w:type="dxa"/>
          </w:tcPr>
          <w:p w14:paraId="5E4E9435" w14:textId="77777777" w:rsidR="003D217E" w:rsidRPr="00060FA0" w:rsidRDefault="003D217E" w:rsidP="001740C5">
            <w:pPr>
              <w:autoSpaceDE w:val="0"/>
              <w:autoSpaceDN w:val="0"/>
              <w:adjustRightInd w:val="0"/>
              <w:snapToGrid w:val="0"/>
              <w:spacing w:after="0"/>
              <w:jc w:val="both"/>
              <w:rPr>
                <w:rFonts w:eastAsia="MS Mincho"/>
                <w:bCs/>
                <w:sz w:val="20"/>
                <w:szCs w:val="20"/>
                <w:lang w:eastAsia="en-NZ"/>
              </w:rPr>
            </w:pPr>
            <w:r w:rsidRPr="00060FA0">
              <w:rPr>
                <w:rFonts w:eastAsia="MS Mincho"/>
                <w:bCs/>
                <w:sz w:val="20"/>
                <w:szCs w:val="20"/>
                <w:lang w:eastAsia="en-NZ"/>
              </w:rPr>
              <w:t xml:space="preserve">2011 </w:t>
            </w:r>
            <w:r w:rsidRPr="00060FA0">
              <w:rPr>
                <w:rFonts w:eastAsia="MS Mincho"/>
                <w:bCs/>
                <w:sz w:val="20"/>
                <w:szCs w:val="20"/>
                <w:lang w:eastAsia="en-NZ"/>
              </w:rPr>
              <w:br/>
              <w:t>(5 years ago)</w:t>
            </w:r>
          </w:p>
        </w:tc>
        <w:tc>
          <w:tcPr>
            <w:tcW w:w="1697" w:type="dxa"/>
          </w:tcPr>
          <w:p w14:paraId="07988F3F" w14:textId="77777777" w:rsidR="003D217E" w:rsidRPr="00060FA0" w:rsidRDefault="003D217E" w:rsidP="001740C5">
            <w:pPr>
              <w:autoSpaceDE w:val="0"/>
              <w:autoSpaceDN w:val="0"/>
              <w:adjustRightInd w:val="0"/>
              <w:snapToGrid w:val="0"/>
              <w:spacing w:after="0"/>
              <w:jc w:val="both"/>
              <w:rPr>
                <w:rFonts w:eastAsia="MS Mincho"/>
                <w:bCs/>
                <w:sz w:val="20"/>
                <w:szCs w:val="20"/>
                <w:lang w:eastAsia="en-NZ"/>
              </w:rPr>
            </w:pPr>
            <w:r w:rsidRPr="00060FA0">
              <w:rPr>
                <w:rFonts w:eastAsia="MS Mincho"/>
                <w:bCs/>
                <w:sz w:val="20"/>
                <w:szCs w:val="20"/>
                <w:lang w:eastAsia="en-NZ"/>
              </w:rPr>
              <w:t xml:space="preserve">2016 </w:t>
            </w:r>
            <w:r w:rsidRPr="00060FA0">
              <w:rPr>
                <w:rFonts w:eastAsia="MS Mincho"/>
                <w:bCs/>
                <w:sz w:val="20"/>
                <w:szCs w:val="20"/>
                <w:lang w:eastAsia="en-NZ"/>
              </w:rPr>
              <w:br/>
              <w:t>(latest)</w:t>
            </w:r>
          </w:p>
        </w:tc>
      </w:tr>
      <w:tr w:rsidR="003D217E" w:rsidRPr="00060FA0" w14:paraId="1ABD3F72" w14:textId="77777777" w:rsidTr="001740C5">
        <w:trPr>
          <w:trHeight w:val="512"/>
        </w:trPr>
        <w:tc>
          <w:tcPr>
            <w:tcW w:w="1885" w:type="dxa"/>
            <w:vAlign w:val="center"/>
          </w:tcPr>
          <w:p w14:paraId="05B67281" w14:textId="77777777" w:rsidR="003D217E" w:rsidRPr="00060FA0" w:rsidRDefault="003D217E" w:rsidP="001740C5">
            <w:pPr>
              <w:autoSpaceDE w:val="0"/>
              <w:autoSpaceDN w:val="0"/>
              <w:adjustRightInd w:val="0"/>
              <w:snapToGrid w:val="0"/>
              <w:spacing w:after="0"/>
              <w:jc w:val="both"/>
              <w:rPr>
                <w:rFonts w:eastAsia="MS Mincho"/>
                <w:sz w:val="20"/>
                <w:szCs w:val="20"/>
                <w:lang w:eastAsia="en-NZ"/>
              </w:rPr>
            </w:pPr>
            <w:r w:rsidRPr="00060FA0">
              <w:rPr>
                <w:rFonts w:eastAsia="MS Mincho"/>
                <w:sz w:val="20"/>
                <w:szCs w:val="20"/>
                <w:lang w:eastAsia="en-NZ"/>
              </w:rPr>
              <w:t>Biomass (%SSBF=0)</w:t>
            </w:r>
          </w:p>
        </w:tc>
        <w:tc>
          <w:tcPr>
            <w:tcW w:w="1800" w:type="dxa"/>
            <w:vAlign w:val="center"/>
          </w:tcPr>
          <w:p w14:paraId="4353677A" w14:textId="77777777" w:rsidR="003D217E" w:rsidRPr="00060FA0" w:rsidRDefault="003D217E" w:rsidP="001740C5">
            <w:pPr>
              <w:autoSpaceDE w:val="0"/>
              <w:autoSpaceDN w:val="0"/>
              <w:adjustRightInd w:val="0"/>
              <w:snapToGrid w:val="0"/>
              <w:spacing w:after="0"/>
              <w:jc w:val="both"/>
              <w:rPr>
                <w:rFonts w:eastAsia="MS Mincho"/>
                <w:sz w:val="20"/>
                <w:szCs w:val="20"/>
                <w:lang w:eastAsia="en-NZ"/>
              </w:rPr>
            </w:pPr>
            <w:r w:rsidRPr="00060FA0">
              <w:rPr>
                <w:rFonts w:eastAsia="MS Mincho"/>
                <w:sz w:val="20"/>
                <w:szCs w:val="20"/>
                <w:lang w:eastAsia="en-NZ"/>
              </w:rPr>
              <w:t>SSB median1952-2014 = 6.7%</w:t>
            </w:r>
          </w:p>
        </w:tc>
        <w:tc>
          <w:tcPr>
            <w:tcW w:w="1890" w:type="dxa"/>
            <w:vAlign w:val="center"/>
          </w:tcPr>
          <w:p w14:paraId="71B58F05" w14:textId="77777777" w:rsidR="003D217E" w:rsidRPr="00060FA0" w:rsidRDefault="003D217E" w:rsidP="001740C5">
            <w:pPr>
              <w:autoSpaceDE w:val="0"/>
              <w:autoSpaceDN w:val="0"/>
              <w:adjustRightInd w:val="0"/>
              <w:snapToGrid w:val="0"/>
              <w:spacing w:after="0"/>
              <w:jc w:val="both"/>
              <w:rPr>
                <w:rFonts w:eastAsia="MS Mincho"/>
                <w:sz w:val="20"/>
                <w:szCs w:val="20"/>
                <w:lang w:eastAsia="en-NZ"/>
              </w:rPr>
            </w:pPr>
            <w:r w:rsidRPr="00060FA0">
              <w:rPr>
                <w:rFonts w:eastAsia="MS Mincho"/>
                <w:sz w:val="20"/>
                <w:szCs w:val="20"/>
                <w:lang w:eastAsia="en-NZ"/>
              </w:rPr>
              <w:t>20%</w:t>
            </w:r>
          </w:p>
        </w:tc>
        <w:tc>
          <w:tcPr>
            <w:tcW w:w="1440" w:type="dxa"/>
            <w:vAlign w:val="center"/>
          </w:tcPr>
          <w:p w14:paraId="5D3CB052" w14:textId="77777777" w:rsidR="003D217E" w:rsidRPr="00060FA0" w:rsidRDefault="003D217E" w:rsidP="001740C5">
            <w:pPr>
              <w:autoSpaceDE w:val="0"/>
              <w:autoSpaceDN w:val="0"/>
              <w:adjustRightInd w:val="0"/>
              <w:snapToGrid w:val="0"/>
              <w:spacing w:after="0"/>
              <w:jc w:val="both"/>
              <w:rPr>
                <w:rFonts w:eastAsia="MS Mincho"/>
                <w:sz w:val="20"/>
                <w:szCs w:val="20"/>
                <w:lang w:eastAsia="en-NZ"/>
              </w:rPr>
            </w:pPr>
            <w:r w:rsidRPr="00060FA0">
              <w:rPr>
                <w:rFonts w:eastAsia="MS Mincho"/>
                <w:sz w:val="20"/>
                <w:szCs w:val="20"/>
                <w:lang w:eastAsia="en-NZ"/>
              </w:rPr>
              <w:t>10.4%</w:t>
            </w:r>
          </w:p>
        </w:tc>
        <w:tc>
          <w:tcPr>
            <w:tcW w:w="1710" w:type="dxa"/>
            <w:vAlign w:val="center"/>
          </w:tcPr>
          <w:p w14:paraId="7C451D37" w14:textId="77777777" w:rsidR="003D217E" w:rsidRPr="00060FA0" w:rsidRDefault="003D217E" w:rsidP="001740C5">
            <w:pPr>
              <w:autoSpaceDE w:val="0"/>
              <w:autoSpaceDN w:val="0"/>
              <w:adjustRightInd w:val="0"/>
              <w:snapToGrid w:val="0"/>
              <w:spacing w:after="0"/>
              <w:jc w:val="both"/>
              <w:rPr>
                <w:rFonts w:eastAsia="MS Mincho"/>
                <w:sz w:val="20"/>
                <w:szCs w:val="20"/>
                <w:lang w:eastAsia="en-NZ"/>
              </w:rPr>
            </w:pPr>
            <w:r w:rsidRPr="00060FA0">
              <w:rPr>
                <w:rFonts w:eastAsia="MS Mincho"/>
                <w:sz w:val="20"/>
                <w:szCs w:val="20"/>
                <w:lang w:eastAsia="en-NZ"/>
              </w:rPr>
              <w:t>7.1%</w:t>
            </w:r>
          </w:p>
        </w:tc>
        <w:tc>
          <w:tcPr>
            <w:tcW w:w="1453" w:type="dxa"/>
            <w:vAlign w:val="center"/>
          </w:tcPr>
          <w:p w14:paraId="027EC89C" w14:textId="77777777" w:rsidR="003D217E" w:rsidRPr="00060FA0" w:rsidRDefault="003D217E" w:rsidP="001740C5">
            <w:pPr>
              <w:autoSpaceDE w:val="0"/>
              <w:autoSpaceDN w:val="0"/>
              <w:adjustRightInd w:val="0"/>
              <w:snapToGrid w:val="0"/>
              <w:spacing w:after="0"/>
              <w:jc w:val="both"/>
              <w:rPr>
                <w:rFonts w:eastAsia="MS Mincho"/>
                <w:sz w:val="20"/>
                <w:szCs w:val="20"/>
                <w:lang w:eastAsia="en-NZ"/>
              </w:rPr>
            </w:pPr>
            <w:r w:rsidRPr="00060FA0">
              <w:rPr>
                <w:rFonts w:eastAsia="MS Mincho"/>
                <w:sz w:val="20"/>
                <w:szCs w:val="20"/>
                <w:lang w:eastAsia="en-NZ"/>
              </w:rPr>
              <w:t>2.1%</w:t>
            </w:r>
          </w:p>
        </w:tc>
        <w:tc>
          <w:tcPr>
            <w:tcW w:w="1697" w:type="dxa"/>
            <w:vAlign w:val="center"/>
          </w:tcPr>
          <w:p w14:paraId="54E2C570" w14:textId="77777777" w:rsidR="003D217E" w:rsidRPr="00060FA0" w:rsidRDefault="003D217E" w:rsidP="001740C5">
            <w:pPr>
              <w:autoSpaceDE w:val="0"/>
              <w:autoSpaceDN w:val="0"/>
              <w:adjustRightInd w:val="0"/>
              <w:snapToGrid w:val="0"/>
              <w:spacing w:after="0"/>
              <w:jc w:val="both"/>
              <w:rPr>
                <w:rFonts w:eastAsia="MS Mincho"/>
                <w:sz w:val="20"/>
                <w:szCs w:val="20"/>
                <w:lang w:eastAsia="en-NZ"/>
              </w:rPr>
            </w:pPr>
            <w:r w:rsidRPr="00060FA0">
              <w:rPr>
                <w:rFonts w:eastAsia="MS Mincho"/>
                <w:sz w:val="20"/>
                <w:szCs w:val="20"/>
                <w:lang w:eastAsia="en-NZ"/>
              </w:rPr>
              <w:t>3.3%</w:t>
            </w:r>
          </w:p>
        </w:tc>
      </w:tr>
      <w:tr w:rsidR="003D217E" w:rsidRPr="00060FA0" w14:paraId="4E62A5DF" w14:textId="77777777" w:rsidTr="001740C5">
        <w:tc>
          <w:tcPr>
            <w:tcW w:w="1885" w:type="dxa"/>
            <w:vAlign w:val="center"/>
          </w:tcPr>
          <w:p w14:paraId="6937B627" w14:textId="77777777" w:rsidR="003D217E" w:rsidRPr="00060FA0" w:rsidRDefault="003D217E" w:rsidP="001740C5">
            <w:pPr>
              <w:autoSpaceDE w:val="0"/>
              <w:autoSpaceDN w:val="0"/>
              <w:adjustRightInd w:val="0"/>
              <w:snapToGrid w:val="0"/>
              <w:spacing w:after="0"/>
              <w:jc w:val="both"/>
              <w:rPr>
                <w:rFonts w:eastAsia="MS Mincho"/>
                <w:sz w:val="20"/>
                <w:szCs w:val="20"/>
                <w:lang w:eastAsia="en-NZ"/>
              </w:rPr>
            </w:pPr>
            <w:r w:rsidRPr="00060FA0">
              <w:rPr>
                <w:rFonts w:eastAsia="MS Mincho"/>
                <w:sz w:val="20"/>
                <w:szCs w:val="20"/>
                <w:lang w:eastAsia="en-NZ"/>
              </w:rPr>
              <w:t>SPR</w:t>
            </w:r>
          </w:p>
        </w:tc>
        <w:tc>
          <w:tcPr>
            <w:tcW w:w="1800" w:type="dxa"/>
            <w:vAlign w:val="center"/>
          </w:tcPr>
          <w:p w14:paraId="1953E9C9" w14:textId="77777777" w:rsidR="003D217E" w:rsidRPr="00060FA0" w:rsidRDefault="003D217E" w:rsidP="001740C5">
            <w:pPr>
              <w:autoSpaceDE w:val="0"/>
              <w:autoSpaceDN w:val="0"/>
              <w:adjustRightInd w:val="0"/>
              <w:snapToGrid w:val="0"/>
              <w:spacing w:after="0"/>
              <w:jc w:val="both"/>
              <w:rPr>
                <w:rFonts w:eastAsia="MS Mincho"/>
                <w:sz w:val="20"/>
                <w:szCs w:val="20"/>
                <w:lang w:eastAsia="en-NZ"/>
              </w:rPr>
            </w:pPr>
            <w:r w:rsidRPr="00060FA0">
              <w:rPr>
                <w:rFonts w:eastAsia="MS Mincho"/>
                <w:sz w:val="20"/>
                <w:szCs w:val="20"/>
                <w:lang w:eastAsia="en-NZ"/>
              </w:rPr>
              <w:t>6.7%</w:t>
            </w:r>
          </w:p>
        </w:tc>
        <w:tc>
          <w:tcPr>
            <w:tcW w:w="1890" w:type="dxa"/>
            <w:vAlign w:val="center"/>
          </w:tcPr>
          <w:p w14:paraId="433C81E9" w14:textId="77777777" w:rsidR="003D217E" w:rsidRPr="00060FA0" w:rsidRDefault="003D217E" w:rsidP="001740C5">
            <w:pPr>
              <w:autoSpaceDE w:val="0"/>
              <w:autoSpaceDN w:val="0"/>
              <w:adjustRightInd w:val="0"/>
              <w:snapToGrid w:val="0"/>
              <w:spacing w:after="0"/>
              <w:jc w:val="both"/>
              <w:rPr>
                <w:rFonts w:eastAsia="MS Mincho"/>
                <w:sz w:val="20"/>
                <w:szCs w:val="20"/>
                <w:lang w:eastAsia="en-NZ"/>
              </w:rPr>
            </w:pPr>
            <w:r w:rsidRPr="00060FA0">
              <w:rPr>
                <w:rFonts w:eastAsia="MS Mincho"/>
                <w:sz w:val="20"/>
                <w:szCs w:val="20"/>
                <w:lang w:eastAsia="en-NZ"/>
              </w:rPr>
              <w:t>20%</w:t>
            </w:r>
          </w:p>
        </w:tc>
        <w:tc>
          <w:tcPr>
            <w:tcW w:w="1440" w:type="dxa"/>
            <w:vAlign w:val="center"/>
          </w:tcPr>
          <w:p w14:paraId="0350A2D6" w14:textId="77777777" w:rsidR="003D217E" w:rsidRPr="00060FA0" w:rsidRDefault="003D217E" w:rsidP="001740C5">
            <w:pPr>
              <w:autoSpaceDE w:val="0"/>
              <w:autoSpaceDN w:val="0"/>
              <w:adjustRightInd w:val="0"/>
              <w:snapToGrid w:val="0"/>
              <w:spacing w:after="0"/>
              <w:jc w:val="both"/>
              <w:rPr>
                <w:rFonts w:eastAsia="MS Mincho"/>
                <w:sz w:val="20"/>
                <w:szCs w:val="20"/>
                <w:lang w:eastAsia="en-NZ"/>
              </w:rPr>
            </w:pPr>
            <w:r w:rsidRPr="00060FA0">
              <w:rPr>
                <w:rFonts w:eastAsia="MS Mincho"/>
                <w:sz w:val="20"/>
                <w:szCs w:val="20"/>
                <w:lang w:eastAsia="en-NZ"/>
              </w:rPr>
              <w:t>5.1%</w:t>
            </w:r>
          </w:p>
        </w:tc>
        <w:tc>
          <w:tcPr>
            <w:tcW w:w="1710" w:type="dxa"/>
            <w:vAlign w:val="center"/>
          </w:tcPr>
          <w:p w14:paraId="4783A164" w14:textId="77777777" w:rsidR="003D217E" w:rsidRPr="00060FA0" w:rsidRDefault="003D217E" w:rsidP="001740C5">
            <w:pPr>
              <w:autoSpaceDE w:val="0"/>
              <w:autoSpaceDN w:val="0"/>
              <w:adjustRightInd w:val="0"/>
              <w:snapToGrid w:val="0"/>
              <w:spacing w:after="0"/>
              <w:jc w:val="both"/>
              <w:rPr>
                <w:rFonts w:eastAsia="MS Mincho"/>
                <w:sz w:val="20"/>
                <w:szCs w:val="20"/>
                <w:lang w:eastAsia="en-NZ"/>
              </w:rPr>
            </w:pPr>
            <w:r w:rsidRPr="00060FA0">
              <w:rPr>
                <w:rFonts w:eastAsia="MS Mincho"/>
                <w:sz w:val="20"/>
                <w:szCs w:val="20"/>
                <w:lang w:eastAsia="en-NZ"/>
              </w:rPr>
              <w:t>3.4%</w:t>
            </w:r>
          </w:p>
        </w:tc>
        <w:tc>
          <w:tcPr>
            <w:tcW w:w="1453" w:type="dxa"/>
            <w:vAlign w:val="center"/>
          </w:tcPr>
          <w:p w14:paraId="1FD35545" w14:textId="77777777" w:rsidR="003D217E" w:rsidRPr="00060FA0" w:rsidRDefault="003D217E" w:rsidP="001740C5">
            <w:pPr>
              <w:autoSpaceDE w:val="0"/>
              <w:autoSpaceDN w:val="0"/>
              <w:adjustRightInd w:val="0"/>
              <w:snapToGrid w:val="0"/>
              <w:spacing w:after="0"/>
              <w:jc w:val="both"/>
              <w:rPr>
                <w:rFonts w:eastAsia="MS Mincho"/>
                <w:sz w:val="20"/>
                <w:szCs w:val="20"/>
                <w:lang w:eastAsia="en-NZ"/>
              </w:rPr>
            </w:pPr>
            <w:r w:rsidRPr="00060FA0">
              <w:rPr>
                <w:rFonts w:eastAsia="MS Mincho"/>
                <w:sz w:val="20"/>
                <w:szCs w:val="20"/>
                <w:lang w:eastAsia="en-NZ"/>
              </w:rPr>
              <w:t>4.9%</w:t>
            </w:r>
          </w:p>
        </w:tc>
        <w:tc>
          <w:tcPr>
            <w:tcW w:w="1697" w:type="dxa"/>
            <w:vAlign w:val="center"/>
          </w:tcPr>
          <w:p w14:paraId="097AFDAE" w14:textId="77777777" w:rsidR="003D217E" w:rsidRPr="00060FA0" w:rsidRDefault="003D217E" w:rsidP="001740C5">
            <w:pPr>
              <w:autoSpaceDE w:val="0"/>
              <w:autoSpaceDN w:val="0"/>
              <w:adjustRightInd w:val="0"/>
              <w:snapToGrid w:val="0"/>
              <w:spacing w:after="0"/>
              <w:jc w:val="both"/>
              <w:rPr>
                <w:rFonts w:eastAsia="MS Mincho"/>
                <w:sz w:val="20"/>
                <w:szCs w:val="20"/>
                <w:lang w:eastAsia="en-NZ"/>
              </w:rPr>
            </w:pPr>
            <w:r w:rsidRPr="00060FA0">
              <w:rPr>
                <w:rFonts w:eastAsia="MS Mincho"/>
                <w:sz w:val="20"/>
                <w:szCs w:val="20"/>
                <w:lang w:eastAsia="en-NZ"/>
              </w:rPr>
              <w:t>6.7%</w:t>
            </w:r>
          </w:p>
        </w:tc>
      </w:tr>
    </w:tbl>
    <w:p w14:paraId="3982358D" w14:textId="77777777" w:rsidR="003D217E" w:rsidRPr="00060FA0" w:rsidRDefault="003D217E" w:rsidP="003D217E">
      <w:pPr>
        <w:autoSpaceDE w:val="0"/>
        <w:autoSpaceDN w:val="0"/>
        <w:adjustRightInd w:val="0"/>
        <w:snapToGrid w:val="0"/>
        <w:jc w:val="both"/>
        <w:rPr>
          <w:rFonts w:eastAsiaTheme="minorEastAsia"/>
          <w:b/>
          <w:bCs/>
          <w:sz w:val="22"/>
          <w:szCs w:val="22"/>
          <w:lang w:eastAsia="ko-KR"/>
        </w:rPr>
      </w:pPr>
    </w:p>
    <w:p w14:paraId="534D3E62" w14:textId="77777777" w:rsidR="003D217E" w:rsidRPr="004635E5" w:rsidRDefault="003D217E" w:rsidP="003D217E">
      <w:pPr>
        <w:autoSpaceDE w:val="0"/>
        <w:autoSpaceDN w:val="0"/>
        <w:adjustRightInd w:val="0"/>
        <w:snapToGrid w:val="0"/>
        <w:jc w:val="both"/>
        <w:rPr>
          <w:rFonts w:eastAsia="MS Mincho"/>
          <w:bCs/>
          <w:sz w:val="22"/>
          <w:szCs w:val="22"/>
          <w:lang w:eastAsia="en-NZ"/>
        </w:rPr>
      </w:pPr>
      <w:r w:rsidRPr="004635E5">
        <w:rPr>
          <w:rFonts w:eastAsia="MS Mincho"/>
          <w:b/>
          <w:bCs/>
          <w:sz w:val="22"/>
          <w:szCs w:val="22"/>
          <w:lang w:eastAsia="en-NZ"/>
        </w:rPr>
        <w:t>Table PBF-3.</w:t>
      </w:r>
      <w:r w:rsidRPr="004635E5">
        <w:rPr>
          <w:rFonts w:eastAsia="MS Mincho"/>
          <w:bCs/>
          <w:sz w:val="22"/>
          <w:szCs w:val="22"/>
          <w:lang w:eastAsia="en-NZ"/>
        </w:rPr>
        <w:t xml:space="preserve"> Ratios of the estimated fishing intensities mortalities (Fs and 1-SPRs for 2002-04, 2012-14, 2015-16) relative to potential fishing intensity-based reference points, and terminal year SSB (t) for each reference period, and depletion ratios for the terminal year of the reference period for Pacific bluefin tuna (</w:t>
      </w:r>
      <w:r w:rsidRPr="004635E5">
        <w:rPr>
          <w:rFonts w:eastAsia="MS Mincho"/>
          <w:bCs/>
          <w:i/>
          <w:sz w:val="22"/>
          <w:szCs w:val="22"/>
          <w:lang w:eastAsia="en-NZ"/>
        </w:rPr>
        <w:t>Thunnus orientalis</w:t>
      </w:r>
      <w:r w:rsidRPr="004635E5">
        <w:rPr>
          <w:rFonts w:eastAsia="MS Mincho"/>
          <w:bCs/>
          <w:sz w:val="22"/>
          <w:szCs w:val="22"/>
          <w:lang w:eastAsia="en-NZ"/>
        </w:rPr>
        <w:t>).</w:t>
      </w:r>
    </w:p>
    <w:p w14:paraId="555F1F79" w14:textId="77777777" w:rsidR="003D217E" w:rsidRPr="004635E5" w:rsidRDefault="003D217E" w:rsidP="003D217E">
      <w:pPr>
        <w:autoSpaceDE w:val="0"/>
        <w:autoSpaceDN w:val="0"/>
        <w:adjustRightInd w:val="0"/>
        <w:snapToGrid w:val="0"/>
        <w:jc w:val="both"/>
        <w:rPr>
          <w:rFonts w:eastAsia="MS Mincho"/>
          <w:sz w:val="22"/>
          <w:szCs w:val="22"/>
          <w:lang w:eastAsia="en-NZ"/>
        </w:rPr>
      </w:pPr>
      <w:r w:rsidRPr="004635E5">
        <w:rPr>
          <w:rFonts w:eastAsia="MS Mincho"/>
          <w:b/>
          <w:noProof/>
          <w:sz w:val="22"/>
          <w:szCs w:val="22"/>
          <w:lang w:eastAsia="zh-CN" w:bidi="mn-Mong-CN"/>
        </w:rPr>
        <w:drawing>
          <wp:inline distT="0" distB="0" distL="0" distR="0" wp14:anchorId="327E7231" wp14:editId="37EF87C9">
            <wp:extent cx="5943600" cy="1198880"/>
            <wp:effectExtent l="0" t="0" r="0" b="0"/>
            <wp:docPr id="39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1198880"/>
                    </a:xfrm>
                    <a:prstGeom prst="rect">
                      <a:avLst/>
                    </a:prstGeom>
                    <a:noFill/>
                    <a:ln>
                      <a:noFill/>
                    </a:ln>
                  </pic:spPr>
                </pic:pic>
              </a:graphicData>
            </a:graphic>
          </wp:inline>
        </w:drawing>
      </w:r>
    </w:p>
    <w:p w14:paraId="3D47580C" w14:textId="77777777" w:rsidR="003D217E" w:rsidRDefault="003D217E" w:rsidP="003D217E">
      <w:pPr>
        <w:autoSpaceDE w:val="0"/>
        <w:autoSpaceDN w:val="0"/>
        <w:adjustRightInd w:val="0"/>
        <w:snapToGrid w:val="0"/>
        <w:jc w:val="both"/>
        <w:rPr>
          <w:rFonts w:eastAsiaTheme="minorEastAsia"/>
          <w:sz w:val="22"/>
          <w:szCs w:val="22"/>
          <w:lang w:eastAsia="ko-KR"/>
        </w:rPr>
      </w:pPr>
    </w:p>
    <w:p w14:paraId="75099E32" w14:textId="77777777" w:rsidR="003D217E" w:rsidRPr="004635E5" w:rsidRDefault="003D217E" w:rsidP="003D217E">
      <w:pPr>
        <w:autoSpaceDE w:val="0"/>
        <w:autoSpaceDN w:val="0"/>
        <w:adjustRightInd w:val="0"/>
        <w:snapToGrid w:val="0"/>
        <w:jc w:val="both"/>
        <w:rPr>
          <w:rFonts w:eastAsia="MS Mincho"/>
          <w:bCs/>
          <w:sz w:val="22"/>
          <w:szCs w:val="22"/>
          <w:lang w:eastAsia="en-NZ"/>
        </w:rPr>
      </w:pPr>
      <w:r w:rsidRPr="004635E5">
        <w:rPr>
          <w:rFonts w:eastAsia="MS Mincho"/>
          <w:b/>
          <w:bCs/>
          <w:sz w:val="22"/>
          <w:szCs w:val="22"/>
          <w:lang w:eastAsia="en-NZ"/>
        </w:rPr>
        <w:t>Table PBF-4.</w:t>
      </w:r>
      <w:r w:rsidRPr="004635E5">
        <w:rPr>
          <w:rFonts w:eastAsia="MS Mincho"/>
          <w:bCs/>
          <w:sz w:val="22"/>
          <w:szCs w:val="22"/>
          <w:lang w:eastAsia="en-NZ"/>
        </w:rPr>
        <w:t xml:space="preserve"> Future projection scenarios for Pacific bluefin tuna (</w:t>
      </w:r>
      <w:r w:rsidRPr="004635E5">
        <w:rPr>
          <w:rFonts w:eastAsia="MS Mincho"/>
          <w:bCs/>
          <w:i/>
          <w:sz w:val="22"/>
          <w:szCs w:val="22"/>
          <w:lang w:eastAsia="en-NZ"/>
        </w:rPr>
        <w:t>Thunnus orientalis</w:t>
      </w:r>
      <w:r w:rsidRPr="004635E5">
        <w:rPr>
          <w:rFonts w:eastAsia="MS Mincho"/>
          <w:bCs/>
          <w:sz w:val="22"/>
          <w:szCs w:val="22"/>
          <w:lang w:eastAsia="en-NZ"/>
        </w:rPr>
        <w:t>).</w:t>
      </w:r>
    </w:p>
    <w:p w14:paraId="0D06DC34" w14:textId="77777777" w:rsidR="003D217E" w:rsidRPr="004635E5" w:rsidRDefault="003D217E" w:rsidP="003D217E">
      <w:pPr>
        <w:autoSpaceDE w:val="0"/>
        <w:autoSpaceDN w:val="0"/>
        <w:adjustRightInd w:val="0"/>
        <w:snapToGrid w:val="0"/>
        <w:jc w:val="both"/>
        <w:rPr>
          <w:rFonts w:eastAsia="MS Mincho"/>
          <w:sz w:val="22"/>
          <w:szCs w:val="22"/>
          <w:lang w:eastAsia="en-NZ"/>
        </w:rPr>
      </w:pPr>
      <w:r w:rsidRPr="004635E5">
        <w:rPr>
          <w:rFonts w:eastAsia="MS Mincho"/>
          <w:b/>
          <w:noProof/>
          <w:sz w:val="22"/>
          <w:szCs w:val="22"/>
          <w:lang w:eastAsia="zh-CN" w:bidi="mn-Mong-CN"/>
        </w:rPr>
        <w:drawing>
          <wp:inline distT="0" distB="0" distL="0" distR="0" wp14:anchorId="7B38F685" wp14:editId="5356379D">
            <wp:extent cx="5915914" cy="1076325"/>
            <wp:effectExtent l="0" t="0" r="8890" b="0"/>
            <wp:docPr id="40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892" cy="1080869"/>
                    </a:xfrm>
                    <a:prstGeom prst="rect">
                      <a:avLst/>
                    </a:prstGeom>
                    <a:noFill/>
                    <a:ln>
                      <a:noFill/>
                    </a:ln>
                  </pic:spPr>
                </pic:pic>
              </a:graphicData>
            </a:graphic>
          </wp:inline>
        </w:drawing>
      </w:r>
    </w:p>
    <w:p w14:paraId="5B3A6A11" w14:textId="77777777" w:rsidR="003D217E" w:rsidRPr="00B67B90" w:rsidRDefault="003D217E" w:rsidP="003D217E">
      <w:pPr>
        <w:autoSpaceDE w:val="0"/>
        <w:autoSpaceDN w:val="0"/>
        <w:adjustRightInd w:val="0"/>
        <w:snapToGrid w:val="0"/>
        <w:jc w:val="both"/>
        <w:rPr>
          <w:rFonts w:eastAsia="MS Mincho"/>
          <w:sz w:val="18"/>
          <w:szCs w:val="18"/>
          <w:lang w:eastAsia="en-NZ"/>
        </w:rPr>
      </w:pPr>
      <w:r w:rsidRPr="00B67B90">
        <w:rPr>
          <w:rFonts w:eastAsia="MS Mincho"/>
          <w:sz w:val="18"/>
          <w:szCs w:val="18"/>
          <w:lang w:eastAsia="en-NZ"/>
        </w:rPr>
        <w:t xml:space="preserve">*1 </w:t>
      </w:r>
      <w:r w:rsidRPr="00B67B90">
        <w:rPr>
          <w:rFonts w:eastAsia="MS Mincho"/>
          <w:sz w:val="18"/>
          <w:szCs w:val="18"/>
          <w:lang w:eastAsia="en-NZ"/>
        </w:rPr>
        <w:tab/>
        <w:t>F indicates the geometric mean values of quarterly age-specific fishing mortality during 2002-2004.</w:t>
      </w:r>
    </w:p>
    <w:p w14:paraId="6B03EA56" w14:textId="77777777" w:rsidR="003D217E" w:rsidRPr="00B67B90" w:rsidRDefault="003D217E" w:rsidP="003D217E">
      <w:pPr>
        <w:autoSpaceDE w:val="0"/>
        <w:autoSpaceDN w:val="0"/>
        <w:adjustRightInd w:val="0"/>
        <w:snapToGrid w:val="0"/>
        <w:jc w:val="both"/>
        <w:rPr>
          <w:rFonts w:eastAsia="MS Mincho"/>
          <w:sz w:val="18"/>
          <w:szCs w:val="18"/>
          <w:lang w:eastAsia="en-NZ"/>
        </w:rPr>
      </w:pPr>
      <w:r w:rsidRPr="00B67B90">
        <w:rPr>
          <w:rFonts w:eastAsia="MS Mincho"/>
          <w:sz w:val="18"/>
          <w:szCs w:val="18"/>
          <w:lang w:eastAsia="en-NZ"/>
        </w:rPr>
        <w:t xml:space="preserve">*2 </w:t>
      </w:r>
      <w:r w:rsidRPr="00B67B90">
        <w:rPr>
          <w:rFonts w:eastAsia="MS Mincho"/>
          <w:sz w:val="18"/>
          <w:szCs w:val="18"/>
          <w:lang w:eastAsia="en-NZ"/>
        </w:rPr>
        <w:tab/>
        <w:t>The Japanese unilateral measure (transferring 250 mt of catch upper limit from that for small PBF to that for large PBF during 2017-2020) would be reflected.</w:t>
      </w:r>
    </w:p>
    <w:p w14:paraId="1041CF1E" w14:textId="77777777" w:rsidR="003D217E" w:rsidRPr="00B67B90" w:rsidRDefault="003D217E" w:rsidP="003D217E">
      <w:pPr>
        <w:autoSpaceDE w:val="0"/>
        <w:autoSpaceDN w:val="0"/>
        <w:adjustRightInd w:val="0"/>
        <w:snapToGrid w:val="0"/>
        <w:jc w:val="both"/>
        <w:rPr>
          <w:rFonts w:eastAsia="MS Mincho"/>
          <w:sz w:val="18"/>
          <w:szCs w:val="18"/>
          <w:lang w:eastAsia="en-NZ"/>
        </w:rPr>
      </w:pPr>
      <w:r w:rsidRPr="00B67B90">
        <w:rPr>
          <w:rFonts w:eastAsia="MS Mincho"/>
          <w:sz w:val="18"/>
          <w:szCs w:val="18"/>
          <w:lang w:eastAsia="en-NZ"/>
        </w:rPr>
        <w:t xml:space="preserve">*3 </w:t>
      </w:r>
      <w:r w:rsidRPr="00B67B90">
        <w:rPr>
          <w:rFonts w:eastAsia="MS Mincho"/>
          <w:sz w:val="18"/>
          <w:szCs w:val="18"/>
          <w:lang w:eastAsia="en-NZ"/>
        </w:rPr>
        <w:tab/>
        <w:t>Fishing mortality for the EPO commercial fishery was assumed to be high enough to fulfill its catch upper limit (F multiplied by two). The fishing mortality for the EPO recreational fishery was assumed to be the F2009-11 average level.</w:t>
      </w:r>
    </w:p>
    <w:p w14:paraId="47B37EB3" w14:textId="77777777" w:rsidR="003D217E" w:rsidRPr="00B67B90" w:rsidRDefault="003D217E" w:rsidP="003D217E">
      <w:pPr>
        <w:autoSpaceDE w:val="0"/>
        <w:autoSpaceDN w:val="0"/>
        <w:adjustRightInd w:val="0"/>
        <w:snapToGrid w:val="0"/>
        <w:jc w:val="both"/>
        <w:rPr>
          <w:rFonts w:eastAsia="MS Mincho"/>
          <w:sz w:val="18"/>
          <w:szCs w:val="18"/>
          <w:lang w:eastAsia="en-NZ"/>
        </w:rPr>
      </w:pPr>
      <w:r w:rsidRPr="00B67B90">
        <w:rPr>
          <w:rFonts w:eastAsia="MS Mincho"/>
          <w:sz w:val="18"/>
          <w:szCs w:val="18"/>
          <w:lang w:eastAsia="en-NZ"/>
        </w:rPr>
        <w:t xml:space="preserve">*4 </w:t>
      </w:r>
      <w:r w:rsidRPr="00B67B90">
        <w:rPr>
          <w:rFonts w:eastAsia="MS Mincho"/>
          <w:sz w:val="18"/>
          <w:szCs w:val="18"/>
          <w:lang w:eastAsia="en-NZ"/>
        </w:rPr>
        <w:tab/>
        <w:t>In scenario 0, the future recruitment</w:t>
      </w:r>
      <w:r w:rsidRPr="00B67B90">
        <w:rPr>
          <w:rFonts w:eastAsiaTheme="minorEastAsia" w:hint="eastAsia"/>
          <w:sz w:val="18"/>
          <w:szCs w:val="18"/>
          <w:lang w:eastAsia="ko-KR"/>
        </w:rPr>
        <w:t>s</w:t>
      </w:r>
      <w:r w:rsidRPr="00B67B90">
        <w:rPr>
          <w:rFonts w:eastAsia="MS Mincho"/>
          <w:sz w:val="18"/>
          <w:szCs w:val="18"/>
          <w:lang w:eastAsia="en-NZ"/>
        </w:rPr>
        <w:t xml:space="preserve"> were assumed to be the low recruitment (1980-1989) level forever. In other scenarios, recruitment was switched from low recruitment to average recruitment from the next year of achieving the initial rebuilding target. </w:t>
      </w:r>
    </w:p>
    <w:p w14:paraId="4C1079D6" w14:textId="77777777" w:rsidR="003D217E" w:rsidRPr="004635E5" w:rsidRDefault="003D217E" w:rsidP="003D217E">
      <w:pPr>
        <w:autoSpaceDE w:val="0"/>
        <w:autoSpaceDN w:val="0"/>
        <w:adjustRightInd w:val="0"/>
        <w:snapToGrid w:val="0"/>
        <w:jc w:val="both"/>
        <w:rPr>
          <w:rFonts w:eastAsia="MS Mincho"/>
          <w:sz w:val="22"/>
          <w:szCs w:val="22"/>
          <w:lang w:eastAsia="en-NZ"/>
        </w:rPr>
      </w:pPr>
    </w:p>
    <w:p w14:paraId="2F1ED44B" w14:textId="77777777" w:rsidR="003D217E" w:rsidRPr="004635E5" w:rsidRDefault="003D217E" w:rsidP="003D217E">
      <w:pPr>
        <w:autoSpaceDE w:val="0"/>
        <w:autoSpaceDN w:val="0"/>
        <w:adjustRightInd w:val="0"/>
        <w:snapToGrid w:val="0"/>
        <w:jc w:val="both"/>
        <w:rPr>
          <w:rFonts w:eastAsia="MS Mincho"/>
          <w:bCs/>
          <w:sz w:val="22"/>
          <w:szCs w:val="22"/>
          <w:lang w:eastAsia="en-NZ"/>
        </w:rPr>
      </w:pPr>
      <w:r w:rsidRPr="004635E5">
        <w:rPr>
          <w:rFonts w:eastAsia="MS Mincho"/>
          <w:b/>
          <w:bCs/>
          <w:sz w:val="22"/>
          <w:szCs w:val="22"/>
          <w:lang w:eastAsia="en-NZ"/>
        </w:rPr>
        <w:t>Table PBF-5</w:t>
      </w:r>
      <w:r w:rsidRPr="004635E5">
        <w:rPr>
          <w:rFonts w:eastAsia="MS Mincho"/>
          <w:bCs/>
          <w:sz w:val="22"/>
          <w:szCs w:val="22"/>
          <w:lang w:eastAsia="en-NZ"/>
        </w:rPr>
        <w:t>. Future projection scenarios for Pacific bluefin tuna (</w:t>
      </w:r>
      <w:r w:rsidRPr="004635E5">
        <w:rPr>
          <w:rFonts w:eastAsia="MS Mincho"/>
          <w:bCs/>
          <w:i/>
          <w:sz w:val="22"/>
          <w:szCs w:val="22"/>
          <w:lang w:eastAsia="en-NZ"/>
        </w:rPr>
        <w:t>Thunnus orientalis</w:t>
      </w:r>
      <w:r w:rsidRPr="004635E5">
        <w:rPr>
          <w:rFonts w:eastAsia="MS Mincho"/>
          <w:bCs/>
          <w:sz w:val="22"/>
          <w:szCs w:val="22"/>
          <w:lang w:eastAsia="en-NZ"/>
        </w:rPr>
        <w:t>) and their probability of achieving various target levels by various time schedules based on the base-case model.</w:t>
      </w:r>
    </w:p>
    <w:p w14:paraId="4CC31B02" w14:textId="77777777" w:rsidR="003D217E" w:rsidRPr="004635E5" w:rsidRDefault="003D217E" w:rsidP="003D217E">
      <w:pPr>
        <w:autoSpaceDE w:val="0"/>
        <w:autoSpaceDN w:val="0"/>
        <w:adjustRightInd w:val="0"/>
        <w:snapToGrid w:val="0"/>
        <w:jc w:val="both"/>
        <w:rPr>
          <w:rFonts w:eastAsia="MS Mincho"/>
          <w:sz w:val="22"/>
          <w:szCs w:val="22"/>
          <w:lang w:eastAsia="en-NZ"/>
        </w:rPr>
      </w:pPr>
      <w:r w:rsidRPr="004635E5">
        <w:rPr>
          <w:rFonts w:eastAsia="MS Mincho"/>
          <w:b/>
          <w:noProof/>
          <w:sz w:val="22"/>
          <w:szCs w:val="22"/>
          <w:lang w:eastAsia="zh-CN" w:bidi="mn-Mong-CN"/>
        </w:rPr>
        <w:drawing>
          <wp:inline distT="0" distB="0" distL="0" distR="0" wp14:anchorId="2DA06012" wp14:editId="7C926ACD">
            <wp:extent cx="5924550" cy="896454"/>
            <wp:effectExtent l="0" t="0" r="0" b="0"/>
            <wp:docPr id="410"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53150" cy="900782"/>
                    </a:xfrm>
                    <a:prstGeom prst="rect">
                      <a:avLst/>
                    </a:prstGeom>
                    <a:noFill/>
                    <a:ln>
                      <a:noFill/>
                    </a:ln>
                  </pic:spPr>
                </pic:pic>
              </a:graphicData>
            </a:graphic>
          </wp:inline>
        </w:drawing>
      </w:r>
    </w:p>
    <w:p w14:paraId="73F00CCA" w14:textId="77777777" w:rsidR="003D217E" w:rsidRPr="00B67B90" w:rsidRDefault="003D217E" w:rsidP="003D217E">
      <w:pPr>
        <w:autoSpaceDE w:val="0"/>
        <w:autoSpaceDN w:val="0"/>
        <w:adjustRightInd w:val="0"/>
        <w:snapToGrid w:val="0"/>
        <w:jc w:val="both"/>
        <w:rPr>
          <w:rFonts w:eastAsia="MS Mincho"/>
          <w:sz w:val="18"/>
          <w:szCs w:val="18"/>
          <w:lang w:eastAsia="en-NZ"/>
        </w:rPr>
      </w:pPr>
      <w:r w:rsidRPr="00B67B90">
        <w:rPr>
          <w:rFonts w:eastAsia="MS Mincho"/>
          <w:sz w:val="18"/>
          <w:szCs w:val="18"/>
          <w:lang w:eastAsia="en-NZ"/>
        </w:rPr>
        <w:t xml:space="preserve">*1 </w:t>
      </w:r>
      <w:r w:rsidRPr="00B67B90">
        <w:rPr>
          <w:rFonts w:eastAsia="MS Mincho"/>
          <w:sz w:val="18"/>
          <w:szCs w:val="18"/>
          <w:lang w:eastAsia="en-NZ"/>
        </w:rPr>
        <w:tab/>
        <w:t>In scenario 0, the future recruitment</w:t>
      </w:r>
      <w:r w:rsidRPr="00B67B90">
        <w:rPr>
          <w:rFonts w:eastAsiaTheme="minorEastAsia" w:hint="eastAsia"/>
          <w:sz w:val="18"/>
          <w:szCs w:val="18"/>
          <w:lang w:eastAsia="ko-KR"/>
        </w:rPr>
        <w:t>s</w:t>
      </w:r>
      <w:r w:rsidRPr="00B67B90">
        <w:rPr>
          <w:rFonts w:eastAsia="MS Mincho"/>
          <w:sz w:val="18"/>
          <w:szCs w:val="18"/>
          <w:lang w:eastAsia="en-NZ"/>
        </w:rPr>
        <w:t xml:space="preserve"> were assumed to be the low recruitment (1980-1989) level forever. In other scenarios, recruitment was switched from low recruitment to average recruitment from the next year of achieving the initial rebuilding target. </w:t>
      </w:r>
    </w:p>
    <w:p w14:paraId="5B27A541" w14:textId="77777777" w:rsidR="003D217E" w:rsidRPr="004635E5" w:rsidRDefault="003D217E" w:rsidP="003D217E">
      <w:pPr>
        <w:autoSpaceDE w:val="0"/>
        <w:autoSpaceDN w:val="0"/>
        <w:adjustRightInd w:val="0"/>
        <w:snapToGrid w:val="0"/>
        <w:jc w:val="both"/>
        <w:rPr>
          <w:rFonts w:eastAsia="MS Mincho"/>
          <w:bCs/>
          <w:sz w:val="22"/>
          <w:szCs w:val="22"/>
          <w:lang w:eastAsia="en-NZ"/>
        </w:rPr>
      </w:pPr>
      <w:r w:rsidRPr="004635E5">
        <w:rPr>
          <w:rFonts w:eastAsia="MS Mincho"/>
          <w:b/>
          <w:bCs/>
          <w:sz w:val="22"/>
          <w:szCs w:val="22"/>
          <w:lang w:eastAsia="en-NZ"/>
        </w:rPr>
        <w:t>Table PBF-6.</w:t>
      </w:r>
      <w:r w:rsidRPr="004635E5">
        <w:rPr>
          <w:rFonts w:eastAsia="MS Mincho"/>
          <w:bCs/>
          <w:sz w:val="22"/>
          <w:szCs w:val="22"/>
          <w:lang w:eastAsia="en-NZ"/>
        </w:rPr>
        <w:t xml:space="preserve"> Expected yield for Pacific bluefin tuna (</w:t>
      </w:r>
      <w:r w:rsidRPr="004635E5">
        <w:rPr>
          <w:rFonts w:eastAsia="MS Mincho"/>
          <w:bCs/>
          <w:i/>
          <w:sz w:val="22"/>
          <w:szCs w:val="22"/>
          <w:lang w:eastAsia="en-NZ"/>
        </w:rPr>
        <w:t>Thunnus orientalis</w:t>
      </w:r>
      <w:r w:rsidRPr="004635E5">
        <w:rPr>
          <w:rFonts w:eastAsia="MS Mincho"/>
          <w:bCs/>
          <w:sz w:val="22"/>
          <w:szCs w:val="22"/>
          <w:lang w:eastAsia="en-NZ"/>
        </w:rPr>
        <w:t>) under various harvesting scenarios based on the base-case model.</w:t>
      </w:r>
    </w:p>
    <w:p w14:paraId="1AFBA2D4" w14:textId="77777777" w:rsidR="003D217E" w:rsidRPr="004635E5" w:rsidRDefault="003D217E" w:rsidP="003D217E">
      <w:pPr>
        <w:autoSpaceDE w:val="0"/>
        <w:autoSpaceDN w:val="0"/>
        <w:adjustRightInd w:val="0"/>
        <w:snapToGrid w:val="0"/>
        <w:jc w:val="both"/>
        <w:rPr>
          <w:rFonts w:eastAsia="MS Mincho"/>
          <w:sz w:val="22"/>
          <w:szCs w:val="22"/>
          <w:lang w:eastAsia="en-NZ"/>
        </w:rPr>
      </w:pPr>
      <w:r w:rsidRPr="004635E5">
        <w:rPr>
          <w:rFonts w:eastAsia="MS Mincho"/>
          <w:noProof/>
          <w:sz w:val="22"/>
          <w:szCs w:val="22"/>
          <w:lang w:eastAsia="zh-CN" w:bidi="mn-Mong-CN"/>
        </w:rPr>
        <w:lastRenderedPageBreak/>
        <w:drawing>
          <wp:inline distT="0" distB="0" distL="0" distR="0" wp14:anchorId="181839A1" wp14:editId="74679267">
            <wp:extent cx="5972175" cy="843754"/>
            <wp:effectExtent l="0" t="0" r="0" b="0"/>
            <wp:docPr id="41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75438" cy="844215"/>
                    </a:xfrm>
                    <a:prstGeom prst="rect">
                      <a:avLst/>
                    </a:prstGeom>
                    <a:noFill/>
                    <a:ln>
                      <a:noFill/>
                    </a:ln>
                  </pic:spPr>
                </pic:pic>
              </a:graphicData>
            </a:graphic>
          </wp:inline>
        </w:drawing>
      </w:r>
    </w:p>
    <w:p w14:paraId="42A26E4A" w14:textId="77777777" w:rsidR="003D217E" w:rsidRDefault="003D217E" w:rsidP="003D217E">
      <w:pPr>
        <w:autoSpaceDE w:val="0"/>
        <w:autoSpaceDN w:val="0"/>
        <w:adjustRightInd w:val="0"/>
        <w:snapToGrid w:val="0"/>
        <w:jc w:val="both"/>
        <w:rPr>
          <w:rFonts w:eastAsiaTheme="minorEastAsia"/>
          <w:sz w:val="22"/>
          <w:szCs w:val="22"/>
          <w:lang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3"/>
        <w:gridCol w:w="4843"/>
      </w:tblGrid>
      <w:tr w:rsidR="003D217E" w14:paraId="213D834A" w14:textId="77777777" w:rsidTr="001740C5">
        <w:tc>
          <w:tcPr>
            <w:tcW w:w="4788" w:type="dxa"/>
            <w:vAlign w:val="center"/>
          </w:tcPr>
          <w:p w14:paraId="6C6DED77" w14:textId="77777777" w:rsidR="003D217E" w:rsidRDefault="003D217E" w:rsidP="001740C5">
            <w:pPr>
              <w:autoSpaceDE w:val="0"/>
              <w:autoSpaceDN w:val="0"/>
              <w:adjustRightInd w:val="0"/>
              <w:snapToGrid w:val="0"/>
              <w:jc w:val="center"/>
              <w:rPr>
                <w:rFonts w:eastAsiaTheme="minorEastAsia"/>
                <w:sz w:val="22"/>
                <w:szCs w:val="22"/>
                <w:lang w:eastAsia="ko-KR"/>
              </w:rPr>
            </w:pPr>
            <w:r>
              <w:rPr>
                <w:rFonts w:eastAsia="MS Mincho"/>
                <w:noProof/>
                <w:sz w:val="22"/>
                <w:szCs w:val="22"/>
                <w:lang w:eastAsia="zh-CN" w:bidi="mn-Mong-CN"/>
              </w:rPr>
              <mc:AlternateContent>
                <mc:Choice Requires="wpg">
                  <w:drawing>
                    <wp:inline distT="0" distB="0" distL="0" distR="0" wp14:anchorId="44686D1B" wp14:editId="752E9007">
                      <wp:extent cx="2523744" cy="1487424"/>
                      <wp:effectExtent l="0" t="0" r="0" b="0"/>
                      <wp:docPr id="62"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3744" cy="1487424"/>
                                <a:chOff x="0" y="0"/>
                                <a:chExt cx="60432" cy="75069"/>
                              </a:xfrm>
                            </wpg:grpSpPr>
                            <pic:pic xmlns:pic="http://schemas.openxmlformats.org/drawingml/2006/picture">
                              <pic:nvPicPr>
                                <pic:cNvPr id="63" name="図 21" descr="Totalstock_qt1_rev"/>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0432" cy="237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 name="図 17" descr="SSB_rev"/>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24384"/>
                                  <a:ext cx="60432" cy="250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 name="図 22" descr="recruitment_rev"/>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50577"/>
                                  <a:ext cx="60426" cy="244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25B451E" id="グループ化 18" o:spid="_x0000_s1026" style="width:198.7pt;height:117.1pt;mso-position-horizontal-relative:char;mso-position-vertical-relative:line" coordsize="60432,750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alt="Totalstock_qt1_rev" style="position:absolute;width:60432;height:23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">
                        <v:imagedata r:id="rId47" o:title="Totalstock_qt1_rev"/>
                      </v:shape>
                      <v:shape id="図 17" o:spid="_x0000_s1028" type="#_x0000_t75" alt="SSB_rev" style="position:absolute;top:24384;width:60432;height:25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">
                        <v:imagedata r:id="rId48" o:title="SSB_rev"/>
                      </v:shape>
                      <v:shape id="図 22" o:spid="_x0000_s1029" type="#_x0000_t75" alt="recruitment_rev" style="position:absolute;top:50577;width:60426;height:24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">
                        <v:imagedata r:id="rId49" o:title="recruitment_rev"/>
                      </v:shape>
                      <w10:anchorlock/>
                    </v:group>
                  </w:pict>
                </mc:Fallback>
              </mc:AlternateContent>
            </w:r>
          </w:p>
        </w:tc>
        <w:tc>
          <w:tcPr>
            <w:tcW w:w="4788" w:type="dxa"/>
          </w:tcPr>
          <w:p w14:paraId="503BCD3D" w14:textId="77777777" w:rsidR="003D217E" w:rsidRDefault="003D217E" w:rsidP="001740C5">
            <w:pPr>
              <w:autoSpaceDE w:val="0"/>
              <w:autoSpaceDN w:val="0"/>
              <w:adjustRightInd w:val="0"/>
              <w:snapToGrid w:val="0"/>
              <w:jc w:val="both"/>
              <w:rPr>
                <w:rFonts w:eastAsiaTheme="minorEastAsia"/>
                <w:sz w:val="22"/>
                <w:szCs w:val="22"/>
                <w:lang w:eastAsia="ko-KR"/>
              </w:rPr>
            </w:pPr>
            <w:r w:rsidRPr="004635E5">
              <w:rPr>
                <w:rFonts w:eastAsia="MS Mincho"/>
                <w:noProof/>
                <w:sz w:val="22"/>
                <w:szCs w:val="22"/>
                <w:lang w:eastAsia="zh-CN" w:bidi="mn-Mong-CN"/>
              </w:rPr>
              <w:drawing>
                <wp:inline distT="0" distB="0" distL="0" distR="0" wp14:anchorId="165859FA" wp14:editId="568081FE">
                  <wp:extent cx="2938272" cy="1621282"/>
                  <wp:effectExtent l="0" t="0" r="0" b="0"/>
                  <wp:docPr id="412" name="図 30" descr="C:\Users\Shuya Nakatsuka\AppData\Local\Microsoft\Windows\INetCache\Content.Word\FAA_new_2018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huya Nakatsuka\AppData\Local\Microsoft\Windows\INetCache\Content.Word\FAA_new_2018 (3).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60710" cy="1633663"/>
                          </a:xfrm>
                          <a:prstGeom prst="rect">
                            <a:avLst/>
                          </a:prstGeom>
                          <a:noFill/>
                          <a:ln>
                            <a:noFill/>
                          </a:ln>
                        </pic:spPr>
                      </pic:pic>
                    </a:graphicData>
                  </a:graphic>
                </wp:inline>
              </w:drawing>
            </w:r>
          </w:p>
        </w:tc>
      </w:tr>
      <w:tr w:rsidR="003D217E" w14:paraId="333BEFDB" w14:textId="77777777" w:rsidTr="001740C5">
        <w:tc>
          <w:tcPr>
            <w:tcW w:w="4788" w:type="dxa"/>
          </w:tcPr>
          <w:p w14:paraId="4FE27776" w14:textId="77777777" w:rsidR="003D217E" w:rsidRPr="00B67B90" w:rsidRDefault="003D217E" w:rsidP="001740C5">
            <w:pPr>
              <w:autoSpaceDE w:val="0"/>
              <w:autoSpaceDN w:val="0"/>
              <w:adjustRightInd w:val="0"/>
              <w:snapToGrid w:val="0"/>
              <w:spacing w:after="0"/>
              <w:jc w:val="both"/>
              <w:rPr>
                <w:rFonts w:eastAsiaTheme="minorEastAsia"/>
                <w:sz w:val="20"/>
                <w:szCs w:val="20"/>
                <w:lang w:eastAsia="ko-KR"/>
              </w:rPr>
            </w:pPr>
            <w:r w:rsidRPr="00B67B90">
              <w:rPr>
                <w:rFonts w:eastAsia="MS Mincho"/>
                <w:b/>
                <w:bCs/>
                <w:sz w:val="20"/>
                <w:szCs w:val="20"/>
                <w:lang w:eastAsia="en-NZ"/>
              </w:rPr>
              <w:t>Figure PBF-1.</w:t>
            </w:r>
            <w:r w:rsidRPr="00B67B90">
              <w:rPr>
                <w:rFonts w:eastAsia="MS Mincho"/>
                <w:bCs/>
                <w:sz w:val="20"/>
                <w:szCs w:val="20"/>
                <w:lang w:eastAsia="en-NZ"/>
              </w:rPr>
              <w:t xml:space="preserve"> Total stock biomass (top), spawning stock biomass (middle) and recruitment (bottom) of</w:t>
            </w:r>
            <w:r w:rsidRPr="00B67B90">
              <w:rPr>
                <w:rFonts w:eastAsia="MS Mincho"/>
                <w:bCs/>
                <w:i/>
                <w:sz w:val="20"/>
                <w:szCs w:val="20"/>
                <w:lang w:eastAsia="en-NZ"/>
              </w:rPr>
              <w:t xml:space="preserve"> </w:t>
            </w:r>
            <w:r w:rsidRPr="00B67B90">
              <w:rPr>
                <w:rFonts w:eastAsia="MS Mincho"/>
                <w:bCs/>
                <w:sz w:val="20"/>
                <w:szCs w:val="20"/>
                <w:lang w:eastAsia="en-NZ"/>
              </w:rPr>
              <w:t>Pacific bluefin tuna (</w:t>
            </w:r>
            <w:r w:rsidRPr="00B67B90">
              <w:rPr>
                <w:rFonts w:eastAsia="MS Mincho"/>
                <w:bCs/>
                <w:i/>
                <w:sz w:val="20"/>
                <w:szCs w:val="20"/>
                <w:lang w:eastAsia="en-NZ"/>
              </w:rPr>
              <w:t>Thunnus orientalis</w:t>
            </w:r>
            <w:r w:rsidRPr="00B67B90">
              <w:rPr>
                <w:rFonts w:eastAsia="MS Mincho"/>
                <w:bCs/>
                <w:sz w:val="20"/>
                <w:szCs w:val="20"/>
                <w:lang w:eastAsia="en-NZ"/>
              </w:rPr>
              <w:t>) from the base-case model. The solid lines indicate point estimates and the dashed lines indicate the 90% confidence intervals.</w:t>
            </w:r>
          </w:p>
        </w:tc>
        <w:tc>
          <w:tcPr>
            <w:tcW w:w="4788" w:type="dxa"/>
          </w:tcPr>
          <w:p w14:paraId="3E0DD1F1" w14:textId="77777777" w:rsidR="003D217E" w:rsidRPr="00B67B90" w:rsidRDefault="003D217E" w:rsidP="001740C5">
            <w:pPr>
              <w:autoSpaceDE w:val="0"/>
              <w:autoSpaceDN w:val="0"/>
              <w:adjustRightInd w:val="0"/>
              <w:snapToGrid w:val="0"/>
              <w:spacing w:after="0"/>
              <w:jc w:val="both"/>
              <w:rPr>
                <w:rFonts w:eastAsiaTheme="minorEastAsia"/>
                <w:bCs/>
                <w:sz w:val="20"/>
                <w:szCs w:val="20"/>
                <w:lang w:eastAsia="ko-KR"/>
              </w:rPr>
            </w:pPr>
            <w:r w:rsidRPr="00B67B90">
              <w:rPr>
                <w:rFonts w:eastAsia="MS Mincho"/>
                <w:b/>
                <w:bCs/>
                <w:sz w:val="20"/>
                <w:szCs w:val="20"/>
                <w:lang w:eastAsia="en-NZ"/>
              </w:rPr>
              <w:t>Figure PBF-2.</w:t>
            </w:r>
            <w:r w:rsidRPr="00B67B90">
              <w:rPr>
                <w:rFonts w:eastAsia="MS Mincho"/>
                <w:bCs/>
                <w:sz w:val="20"/>
                <w:szCs w:val="20"/>
                <w:lang w:eastAsia="en-NZ"/>
              </w:rPr>
              <w:t xml:space="preserve"> Geometric means of annual age-specific</w:t>
            </w:r>
            <w:r w:rsidRPr="00B67B90">
              <w:rPr>
                <w:rFonts w:eastAsia="MS Mincho"/>
                <w:bCs/>
                <w:i/>
                <w:sz w:val="20"/>
                <w:szCs w:val="20"/>
                <w:lang w:eastAsia="en-NZ"/>
              </w:rPr>
              <w:t xml:space="preserve"> </w:t>
            </w:r>
            <w:r w:rsidRPr="00B67B90">
              <w:rPr>
                <w:rFonts w:eastAsia="MS Mincho"/>
                <w:bCs/>
                <w:sz w:val="20"/>
                <w:szCs w:val="20"/>
                <w:lang w:eastAsia="en-NZ"/>
              </w:rPr>
              <w:t>fishing mortalities of Pacific bluefin tuna (</w:t>
            </w:r>
            <w:r w:rsidRPr="00B67B90">
              <w:rPr>
                <w:rFonts w:eastAsia="MS Mincho"/>
                <w:bCs/>
                <w:i/>
                <w:sz w:val="20"/>
                <w:szCs w:val="20"/>
                <w:lang w:eastAsia="en-NZ"/>
              </w:rPr>
              <w:t>Thunnus orientalis</w:t>
            </w:r>
            <w:r w:rsidRPr="00B67B90">
              <w:rPr>
                <w:rFonts w:eastAsia="MS Mincho"/>
                <w:bCs/>
                <w:sz w:val="20"/>
                <w:szCs w:val="20"/>
                <w:lang w:eastAsia="en-NZ"/>
              </w:rPr>
              <w:t>) in 2002-2004 (dotted line), 2012-2014 (dashed line), and 2015-2016 (solid line).</w:t>
            </w:r>
          </w:p>
        </w:tc>
      </w:tr>
    </w:tbl>
    <w:p w14:paraId="1D6D6E37" w14:textId="77777777" w:rsidR="003D217E" w:rsidRDefault="003D217E" w:rsidP="003D217E">
      <w:pPr>
        <w:autoSpaceDE w:val="0"/>
        <w:autoSpaceDN w:val="0"/>
        <w:adjustRightInd w:val="0"/>
        <w:snapToGrid w:val="0"/>
        <w:jc w:val="both"/>
        <w:rPr>
          <w:rFonts w:eastAsiaTheme="minorEastAsia"/>
          <w:sz w:val="22"/>
          <w:szCs w:val="22"/>
          <w:lang w:eastAsia="ko-KR"/>
        </w:rPr>
      </w:pPr>
    </w:p>
    <w:p w14:paraId="0A29FCAA" w14:textId="77777777" w:rsidR="003D217E" w:rsidRDefault="003D217E" w:rsidP="003D217E">
      <w:pPr>
        <w:autoSpaceDE w:val="0"/>
        <w:autoSpaceDN w:val="0"/>
        <w:adjustRightInd w:val="0"/>
        <w:snapToGrid w:val="0"/>
        <w:jc w:val="both"/>
        <w:rPr>
          <w:rFonts w:eastAsiaTheme="minorEastAsia"/>
          <w:sz w:val="22"/>
          <w:szCs w:val="22"/>
          <w:lang w:eastAsia="ko-KR"/>
        </w:rPr>
      </w:pPr>
    </w:p>
    <w:tbl>
      <w:tblPr>
        <w:tblStyle w:val="TableGrid"/>
        <w:tblW w:w="9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956"/>
      </w:tblGrid>
      <w:tr w:rsidR="003D217E" w14:paraId="3D986DA5" w14:textId="77777777" w:rsidTr="001740C5">
        <w:trPr>
          <w:trHeight w:val="2528"/>
        </w:trPr>
        <w:tc>
          <w:tcPr>
            <w:tcW w:w="4806" w:type="dxa"/>
            <w:vMerge w:val="restart"/>
          </w:tcPr>
          <w:p w14:paraId="07CEC095" w14:textId="77777777" w:rsidR="003D217E" w:rsidRPr="00B67B90" w:rsidRDefault="003D217E" w:rsidP="001740C5">
            <w:pPr>
              <w:autoSpaceDE w:val="0"/>
              <w:autoSpaceDN w:val="0"/>
              <w:adjustRightInd w:val="0"/>
              <w:snapToGrid w:val="0"/>
              <w:spacing w:after="0"/>
              <w:jc w:val="both"/>
              <w:rPr>
                <w:rFonts w:eastAsiaTheme="minorEastAsia"/>
                <w:bCs/>
                <w:sz w:val="20"/>
                <w:szCs w:val="20"/>
                <w:lang w:eastAsia="ko-KR"/>
              </w:rPr>
            </w:pPr>
            <w:r w:rsidRPr="00B67B90">
              <w:rPr>
                <w:noProof/>
                <w:sz w:val="20"/>
                <w:szCs w:val="20"/>
                <w:lang w:eastAsia="zh-CN" w:bidi="mn-Mong-CN"/>
              </w:rPr>
              <w:drawing>
                <wp:inline distT="0" distB="0" distL="0" distR="0" wp14:anchorId="1B07D3A1" wp14:editId="164E7F9D">
                  <wp:extent cx="2913888" cy="1426464"/>
                  <wp:effectExtent l="0" t="0" r="1270" b="254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2941275" cy="1439871"/>
                          </a:xfrm>
                          <a:prstGeom prst="rect">
                            <a:avLst/>
                          </a:prstGeom>
                        </pic:spPr>
                      </pic:pic>
                    </a:graphicData>
                  </a:graphic>
                </wp:inline>
              </w:drawing>
            </w:r>
          </w:p>
          <w:p w14:paraId="21BEB7CC" w14:textId="77777777" w:rsidR="003D217E" w:rsidRPr="00B67B90" w:rsidRDefault="003D217E" w:rsidP="001740C5">
            <w:pPr>
              <w:autoSpaceDE w:val="0"/>
              <w:autoSpaceDN w:val="0"/>
              <w:adjustRightInd w:val="0"/>
              <w:snapToGrid w:val="0"/>
              <w:spacing w:after="0"/>
              <w:jc w:val="both"/>
              <w:rPr>
                <w:rFonts w:eastAsiaTheme="minorEastAsia"/>
                <w:bCs/>
                <w:sz w:val="20"/>
                <w:szCs w:val="20"/>
                <w:lang w:eastAsia="ko-KR"/>
              </w:rPr>
            </w:pPr>
            <w:r w:rsidRPr="00B67B90">
              <w:rPr>
                <w:rFonts w:eastAsia="MS Mincho"/>
                <w:b/>
                <w:bCs/>
                <w:sz w:val="20"/>
                <w:szCs w:val="20"/>
                <w:lang w:eastAsia="en-NZ"/>
              </w:rPr>
              <w:t>Figure PBF-3.</w:t>
            </w:r>
            <w:r w:rsidRPr="00B67B90">
              <w:rPr>
                <w:rFonts w:eastAsia="MS Mincho"/>
                <w:bCs/>
                <w:sz w:val="20"/>
                <w:szCs w:val="20"/>
                <w:lang w:eastAsia="en-NZ"/>
              </w:rPr>
              <w:t xml:space="preserve"> Kobe plots for Pacific bluefin tuna (</w:t>
            </w:r>
            <w:r w:rsidRPr="00B67B90">
              <w:rPr>
                <w:rFonts w:eastAsia="MS Mincho"/>
                <w:bCs/>
                <w:i/>
                <w:sz w:val="20"/>
                <w:szCs w:val="20"/>
                <w:lang w:eastAsia="en-NZ"/>
              </w:rPr>
              <w:t>Thunnus orientalis</w:t>
            </w:r>
            <w:r w:rsidRPr="00B67B90">
              <w:rPr>
                <w:rFonts w:eastAsia="MS Mincho"/>
                <w:bCs/>
                <w:sz w:val="20"/>
                <w:szCs w:val="20"/>
                <w:lang w:eastAsia="en-NZ"/>
              </w:rPr>
              <w:t>). X axis shows the annual SSB relative to 20%SSB</w:t>
            </w:r>
            <w:r w:rsidRPr="00B67B90">
              <w:rPr>
                <w:rFonts w:eastAsia="MS Mincho"/>
                <w:bCs/>
                <w:sz w:val="20"/>
                <w:szCs w:val="20"/>
                <w:vertAlign w:val="subscript"/>
                <w:lang w:eastAsia="en-NZ"/>
              </w:rPr>
              <w:t>F=0</w:t>
            </w:r>
            <w:r w:rsidRPr="00B67B90">
              <w:rPr>
                <w:rFonts w:eastAsia="MS Mincho"/>
                <w:bCs/>
                <w:sz w:val="20"/>
                <w:szCs w:val="20"/>
                <w:lang w:eastAsia="en-NZ"/>
              </w:rPr>
              <w:t xml:space="preserve"> and the Y axis shows the spawning potential ratio as a measure of fishing intensity. Solid vertical and horizontal lines in the left figure show 20%SSB</w:t>
            </w:r>
            <w:r w:rsidRPr="00B67B90">
              <w:rPr>
                <w:rFonts w:eastAsia="MS Mincho"/>
                <w:bCs/>
                <w:sz w:val="20"/>
                <w:szCs w:val="20"/>
                <w:vertAlign w:val="subscript"/>
                <w:lang w:eastAsia="en-NZ"/>
              </w:rPr>
              <w:t>F=0</w:t>
            </w:r>
            <w:r w:rsidRPr="00B67B90">
              <w:rPr>
                <w:rFonts w:eastAsia="MS Mincho"/>
                <w:bCs/>
                <w:sz w:val="20"/>
                <w:szCs w:val="20"/>
                <w:lang w:eastAsia="en-NZ"/>
              </w:rPr>
              <w:t xml:space="preserve"> (which corresponds to the second biomass rebuilding target) and the corresponding fishing intensity, respectively. Dashed vertical and horizontal lines in both figures show the initial biomass rebuilding target (SSB</w:t>
            </w:r>
            <w:r w:rsidRPr="00B67B90">
              <w:rPr>
                <w:rFonts w:eastAsia="MS Mincho"/>
                <w:bCs/>
                <w:sz w:val="20"/>
                <w:szCs w:val="20"/>
                <w:vertAlign w:val="subscript"/>
                <w:lang w:eastAsia="en-NZ"/>
              </w:rPr>
              <w:t>MED</w:t>
            </w:r>
            <w:r w:rsidRPr="00B67B90">
              <w:rPr>
                <w:rFonts w:eastAsia="MS Mincho"/>
                <w:bCs/>
                <w:sz w:val="20"/>
                <w:szCs w:val="20"/>
                <w:lang w:eastAsia="en-NZ"/>
              </w:rPr>
              <w:t xml:space="preserve"> = 6.7%SSB</w:t>
            </w:r>
            <w:r w:rsidRPr="00B67B90">
              <w:rPr>
                <w:rFonts w:eastAsia="MS Mincho"/>
                <w:bCs/>
                <w:sz w:val="20"/>
                <w:szCs w:val="20"/>
                <w:vertAlign w:val="subscript"/>
                <w:lang w:eastAsia="en-NZ"/>
              </w:rPr>
              <w:t>F=0</w:t>
            </w:r>
            <w:r w:rsidRPr="00B67B90">
              <w:rPr>
                <w:rFonts w:eastAsia="MS Mincho"/>
                <w:bCs/>
                <w:sz w:val="20"/>
                <w:szCs w:val="20"/>
                <w:lang w:eastAsia="en-NZ"/>
              </w:rPr>
              <w:t>) and the corresponding fishing intensity, respectively. SSB</w:t>
            </w:r>
            <w:r w:rsidRPr="00B67B90">
              <w:rPr>
                <w:rFonts w:eastAsia="MS Mincho"/>
                <w:bCs/>
                <w:sz w:val="20"/>
                <w:szCs w:val="20"/>
                <w:vertAlign w:val="subscript"/>
                <w:lang w:eastAsia="en-NZ"/>
              </w:rPr>
              <w:t>MED</w:t>
            </w:r>
            <w:r w:rsidRPr="00B67B90">
              <w:rPr>
                <w:rFonts w:eastAsia="MS Mincho"/>
                <w:bCs/>
                <w:sz w:val="20"/>
                <w:szCs w:val="20"/>
                <w:lang w:eastAsia="en-NZ"/>
              </w:rPr>
              <w:t xml:space="preserve"> is calculated as the median of estimated SSB over 1952-2014. The left figure shows the historical trajectory, where the open circle indicates the first year of the assessment (1952) while solid circles indicate the last five years of the assessment (2012-2016). The right figure shows the trajectory of the last 30 years, where grey dots indicate the uncertainty of the terminal year.</w:t>
            </w:r>
          </w:p>
        </w:tc>
        <w:tc>
          <w:tcPr>
            <w:tcW w:w="4956" w:type="dxa"/>
            <w:vAlign w:val="center"/>
          </w:tcPr>
          <w:p w14:paraId="2C9DD245" w14:textId="77777777" w:rsidR="003D217E" w:rsidRPr="00B67B90" w:rsidRDefault="003D217E" w:rsidP="001740C5">
            <w:pPr>
              <w:autoSpaceDE w:val="0"/>
              <w:autoSpaceDN w:val="0"/>
              <w:adjustRightInd w:val="0"/>
              <w:snapToGrid w:val="0"/>
              <w:spacing w:after="0"/>
              <w:jc w:val="center"/>
              <w:rPr>
                <w:rFonts w:eastAsiaTheme="minorEastAsia"/>
                <w:bCs/>
                <w:sz w:val="20"/>
                <w:szCs w:val="20"/>
                <w:lang w:eastAsia="ko-KR"/>
              </w:rPr>
            </w:pPr>
            <w:r w:rsidRPr="00B67B90">
              <w:rPr>
                <w:rFonts w:eastAsia="MS Mincho"/>
                <w:noProof/>
                <w:sz w:val="20"/>
                <w:szCs w:val="20"/>
                <w:lang w:eastAsia="zh-CN" w:bidi="mn-Mong-CN"/>
              </w:rPr>
              <w:drawing>
                <wp:inline distT="0" distB="0" distL="0" distR="0" wp14:anchorId="5C825F62" wp14:editId="10921908">
                  <wp:extent cx="3009020" cy="2428875"/>
                  <wp:effectExtent l="0" t="0" r="1270" b="0"/>
                  <wp:docPr id="22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a:stretch/>
                        </pic:blipFill>
                        <pic:spPr bwMode="auto">
                          <a:xfrm>
                            <a:off x="0" y="0"/>
                            <a:ext cx="3023536" cy="24405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D217E" w14:paraId="34C2AD90" w14:textId="77777777" w:rsidTr="001740C5">
        <w:tc>
          <w:tcPr>
            <w:tcW w:w="4806" w:type="dxa"/>
            <w:vMerge/>
          </w:tcPr>
          <w:p w14:paraId="1BB31ED9" w14:textId="77777777" w:rsidR="003D217E" w:rsidRPr="00B67B90" w:rsidRDefault="003D217E" w:rsidP="001740C5">
            <w:pPr>
              <w:autoSpaceDE w:val="0"/>
              <w:autoSpaceDN w:val="0"/>
              <w:adjustRightInd w:val="0"/>
              <w:snapToGrid w:val="0"/>
              <w:spacing w:after="0"/>
              <w:jc w:val="both"/>
              <w:rPr>
                <w:rFonts w:eastAsiaTheme="minorEastAsia"/>
                <w:bCs/>
                <w:sz w:val="20"/>
                <w:szCs w:val="20"/>
                <w:lang w:eastAsia="ko-KR"/>
              </w:rPr>
            </w:pPr>
          </w:p>
        </w:tc>
        <w:tc>
          <w:tcPr>
            <w:tcW w:w="4956" w:type="dxa"/>
          </w:tcPr>
          <w:p w14:paraId="41B31E62" w14:textId="77777777" w:rsidR="003D217E" w:rsidRDefault="003D217E" w:rsidP="001740C5">
            <w:pPr>
              <w:autoSpaceDE w:val="0"/>
              <w:autoSpaceDN w:val="0"/>
              <w:adjustRightInd w:val="0"/>
              <w:snapToGrid w:val="0"/>
              <w:spacing w:after="0"/>
              <w:jc w:val="both"/>
              <w:rPr>
                <w:rFonts w:eastAsiaTheme="minorEastAsia"/>
                <w:b/>
                <w:bCs/>
                <w:sz w:val="20"/>
                <w:szCs w:val="20"/>
                <w:lang w:eastAsia="ko-KR"/>
              </w:rPr>
            </w:pPr>
          </w:p>
          <w:p w14:paraId="0FA16E3F" w14:textId="77777777" w:rsidR="003D217E" w:rsidRDefault="003D217E" w:rsidP="001740C5">
            <w:pPr>
              <w:autoSpaceDE w:val="0"/>
              <w:autoSpaceDN w:val="0"/>
              <w:adjustRightInd w:val="0"/>
              <w:snapToGrid w:val="0"/>
              <w:spacing w:after="0"/>
              <w:jc w:val="both"/>
              <w:rPr>
                <w:rFonts w:eastAsiaTheme="minorEastAsia"/>
                <w:b/>
                <w:bCs/>
                <w:sz w:val="20"/>
                <w:szCs w:val="20"/>
                <w:lang w:eastAsia="ko-KR"/>
              </w:rPr>
            </w:pPr>
          </w:p>
          <w:p w14:paraId="3F0F15CB" w14:textId="77777777" w:rsidR="003D217E" w:rsidRPr="00B67B90" w:rsidRDefault="003D217E" w:rsidP="001740C5">
            <w:pPr>
              <w:autoSpaceDE w:val="0"/>
              <w:autoSpaceDN w:val="0"/>
              <w:adjustRightInd w:val="0"/>
              <w:snapToGrid w:val="0"/>
              <w:spacing w:after="0"/>
              <w:jc w:val="both"/>
              <w:rPr>
                <w:rFonts w:eastAsia="MS Mincho"/>
                <w:bCs/>
                <w:sz w:val="20"/>
                <w:szCs w:val="20"/>
                <w:lang w:eastAsia="en-NZ"/>
              </w:rPr>
            </w:pPr>
            <w:r w:rsidRPr="00B67B90">
              <w:rPr>
                <w:rFonts w:eastAsia="MS Mincho"/>
                <w:b/>
                <w:bCs/>
                <w:sz w:val="20"/>
                <w:szCs w:val="20"/>
                <w:lang w:eastAsia="en-NZ"/>
              </w:rPr>
              <w:t>Figure PBF-4.</w:t>
            </w:r>
            <w:r w:rsidRPr="00B67B90">
              <w:rPr>
                <w:rFonts w:eastAsia="MS Mincho"/>
                <w:bCs/>
                <w:sz w:val="20"/>
                <w:szCs w:val="20"/>
                <w:lang w:eastAsia="en-NZ"/>
              </w:rPr>
              <w:t xml:space="preserve"> Trajectory of the spawning stock biomass of a simulated population of Pacific bluefin tuna (</w:t>
            </w:r>
            <w:r w:rsidRPr="00B67B90">
              <w:rPr>
                <w:rFonts w:eastAsia="MS Mincho"/>
                <w:bCs/>
                <w:i/>
                <w:sz w:val="20"/>
                <w:szCs w:val="20"/>
                <w:lang w:eastAsia="en-NZ"/>
              </w:rPr>
              <w:t>Thunnus orientalis</w:t>
            </w:r>
            <w:r w:rsidRPr="00B67B90">
              <w:rPr>
                <w:rFonts w:eastAsia="MS Mincho"/>
                <w:bCs/>
                <w:sz w:val="20"/>
                <w:szCs w:val="20"/>
                <w:lang w:eastAsia="en-NZ"/>
              </w:rPr>
              <w:t>) when zero fishing mortality is assumed, estimated by the base-case model (top: absolute impact, bottom: relative impact). Fleet definition; WPO longline: F1, F12, F17. WPO purse seine for small fish: F2, F3, F18. WPO purse seine: F4, F5. WPO coastal fisheries: F6-11, F16, F19. EPO fisheries: F13, F14, F15.</w:t>
            </w:r>
          </w:p>
          <w:p w14:paraId="40C3DB59" w14:textId="77777777" w:rsidR="003D217E" w:rsidRPr="00B67B90" w:rsidRDefault="003D217E" w:rsidP="001740C5">
            <w:pPr>
              <w:autoSpaceDE w:val="0"/>
              <w:autoSpaceDN w:val="0"/>
              <w:adjustRightInd w:val="0"/>
              <w:snapToGrid w:val="0"/>
              <w:spacing w:after="0"/>
              <w:jc w:val="both"/>
              <w:rPr>
                <w:rFonts w:eastAsiaTheme="minorEastAsia"/>
                <w:bCs/>
                <w:sz w:val="20"/>
                <w:szCs w:val="20"/>
                <w:lang w:eastAsia="ko-KR"/>
              </w:rPr>
            </w:pPr>
          </w:p>
        </w:tc>
      </w:tr>
    </w:tbl>
    <w:p w14:paraId="2B894B0D" w14:textId="77777777" w:rsidR="003D217E" w:rsidRDefault="003D217E" w:rsidP="003D217E">
      <w:pPr>
        <w:autoSpaceDE w:val="0"/>
        <w:autoSpaceDN w:val="0"/>
        <w:adjustRightInd w:val="0"/>
        <w:snapToGrid w:val="0"/>
        <w:jc w:val="both"/>
        <w:rPr>
          <w:rFonts w:eastAsiaTheme="minorEastAsia"/>
          <w:bCs/>
          <w:sz w:val="22"/>
          <w:szCs w:val="22"/>
          <w:lang w:eastAsia="ko-KR"/>
        </w:rPr>
      </w:pPr>
    </w:p>
    <w:tbl>
      <w:tblPr>
        <w:tblStyle w:val="TableGrid"/>
        <w:tblW w:w="9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758"/>
      </w:tblGrid>
      <w:tr w:rsidR="003D217E" w14:paraId="141761E9" w14:textId="77777777" w:rsidTr="001740C5">
        <w:tc>
          <w:tcPr>
            <w:tcW w:w="4836" w:type="dxa"/>
            <w:vAlign w:val="center"/>
          </w:tcPr>
          <w:p w14:paraId="4D10EE1D" w14:textId="77777777" w:rsidR="003D217E" w:rsidRDefault="003D217E" w:rsidP="001740C5">
            <w:pPr>
              <w:autoSpaceDE w:val="0"/>
              <w:autoSpaceDN w:val="0"/>
              <w:adjustRightInd w:val="0"/>
              <w:snapToGrid w:val="0"/>
              <w:spacing w:after="0"/>
              <w:jc w:val="center"/>
              <w:rPr>
                <w:rFonts w:eastAsiaTheme="minorEastAsia"/>
                <w:bCs/>
                <w:sz w:val="22"/>
                <w:szCs w:val="22"/>
                <w:lang w:eastAsia="ko-KR"/>
              </w:rPr>
            </w:pPr>
            <w:r w:rsidRPr="004635E5">
              <w:rPr>
                <w:rFonts w:eastAsia="MS Mincho"/>
                <w:noProof/>
                <w:sz w:val="22"/>
                <w:szCs w:val="22"/>
                <w:lang w:eastAsia="zh-CN" w:bidi="mn-Mong-CN"/>
              </w:rPr>
              <w:lastRenderedPageBreak/>
              <w:drawing>
                <wp:inline distT="0" distB="0" distL="0" distR="0" wp14:anchorId="4FD706FF" wp14:editId="07343C3B">
                  <wp:extent cx="2928498" cy="2095500"/>
                  <wp:effectExtent l="0" t="0" r="5715" b="0"/>
                  <wp:docPr id="228" name="図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43915" cy="2106532"/>
                          </a:xfrm>
                          <a:prstGeom prst="rect">
                            <a:avLst/>
                          </a:prstGeom>
                          <a:noFill/>
                          <a:ln>
                            <a:noFill/>
                          </a:ln>
                        </pic:spPr>
                      </pic:pic>
                    </a:graphicData>
                  </a:graphic>
                </wp:inline>
              </w:drawing>
            </w:r>
          </w:p>
        </w:tc>
        <w:tc>
          <w:tcPr>
            <w:tcW w:w="4644" w:type="dxa"/>
            <w:vAlign w:val="center"/>
          </w:tcPr>
          <w:p w14:paraId="1D8BB7D0" w14:textId="77777777" w:rsidR="003D217E" w:rsidRDefault="003D217E" w:rsidP="001740C5">
            <w:pPr>
              <w:autoSpaceDE w:val="0"/>
              <w:autoSpaceDN w:val="0"/>
              <w:adjustRightInd w:val="0"/>
              <w:snapToGrid w:val="0"/>
              <w:spacing w:after="0"/>
              <w:jc w:val="center"/>
              <w:rPr>
                <w:rFonts w:eastAsiaTheme="minorEastAsia"/>
                <w:bCs/>
                <w:sz w:val="22"/>
                <w:szCs w:val="22"/>
                <w:lang w:eastAsia="ko-KR"/>
              </w:rPr>
            </w:pPr>
            <w:r w:rsidRPr="004635E5">
              <w:rPr>
                <w:rFonts w:eastAsia="MS Mincho"/>
                <w:b/>
                <w:noProof/>
                <w:sz w:val="22"/>
                <w:szCs w:val="22"/>
                <w:lang w:eastAsia="zh-CN" w:bidi="mn-Mong-CN"/>
              </w:rPr>
              <w:drawing>
                <wp:inline distT="0" distB="0" distL="0" distR="0" wp14:anchorId="79F763DE" wp14:editId="22BF43F2">
                  <wp:extent cx="2889504" cy="2255520"/>
                  <wp:effectExtent l="0" t="0" r="6350" b="0"/>
                  <wp:docPr id="413" name="図 11" descr="C:\Users\Shuya Nakatsuka\AppData\Local\Microsoft\Windows\INetCache\Content.Word\scenario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uya Nakatsuka\AppData\Local\Microsoft\Windows\INetCache\Content.Word\scenario1 (2).pn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0344" t="15244" r="15723" b="19643"/>
                          <a:stretch/>
                        </pic:blipFill>
                        <pic:spPr bwMode="auto">
                          <a:xfrm>
                            <a:off x="0" y="0"/>
                            <a:ext cx="2896843" cy="22612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D217E" w14:paraId="5AD72CAE" w14:textId="77777777" w:rsidTr="001740C5">
        <w:tc>
          <w:tcPr>
            <w:tcW w:w="4836" w:type="dxa"/>
          </w:tcPr>
          <w:p w14:paraId="6013D5B9" w14:textId="77777777" w:rsidR="003D217E" w:rsidRPr="00B67B90" w:rsidRDefault="003D217E" w:rsidP="001740C5">
            <w:pPr>
              <w:autoSpaceDE w:val="0"/>
              <w:autoSpaceDN w:val="0"/>
              <w:adjustRightInd w:val="0"/>
              <w:snapToGrid w:val="0"/>
              <w:spacing w:after="0"/>
              <w:jc w:val="both"/>
              <w:rPr>
                <w:rFonts w:eastAsia="MS Mincho"/>
                <w:bCs/>
                <w:sz w:val="20"/>
                <w:szCs w:val="20"/>
                <w:lang w:eastAsia="en-NZ"/>
              </w:rPr>
            </w:pPr>
            <w:r w:rsidRPr="00B67B90">
              <w:rPr>
                <w:rFonts w:eastAsia="MS Mincho"/>
                <w:b/>
                <w:bCs/>
                <w:sz w:val="20"/>
                <w:szCs w:val="20"/>
                <w:lang w:eastAsia="en-NZ"/>
              </w:rPr>
              <w:t>Figure PBF-5.</w:t>
            </w:r>
            <w:r w:rsidRPr="00B67B90">
              <w:rPr>
                <w:rFonts w:eastAsia="MS Mincho"/>
                <w:bCs/>
                <w:sz w:val="20"/>
                <w:szCs w:val="20"/>
                <w:lang w:eastAsia="en-NZ"/>
              </w:rPr>
              <w:t xml:space="preserve"> Comparison of future SSB of Pacific bluefin tuna (</w:t>
            </w:r>
            <w:r w:rsidRPr="00B67B90">
              <w:rPr>
                <w:rFonts w:eastAsia="MS Mincho"/>
                <w:bCs/>
                <w:i/>
                <w:sz w:val="20"/>
                <w:szCs w:val="20"/>
                <w:lang w:eastAsia="en-NZ"/>
              </w:rPr>
              <w:t>Thunnus orientalis</w:t>
            </w:r>
            <w:r w:rsidRPr="00B67B90">
              <w:rPr>
                <w:rFonts w:eastAsia="MS Mincho"/>
                <w:bCs/>
                <w:sz w:val="20"/>
                <w:szCs w:val="20"/>
                <w:lang w:eastAsia="en-NZ"/>
              </w:rPr>
              <w:t>) under the current management measures assuming low recruitment using the 2016 assessment (scenario 2016 lowR), assuming low recruitment using the 2018 assessment (scenario 0), and assuming a shift of the recruitment scenario from low to average after achieving the initial rebuilding target using the 2018 assessment (scenario 1).</w:t>
            </w:r>
          </w:p>
          <w:p w14:paraId="73FB0F3E" w14:textId="77777777" w:rsidR="003D217E" w:rsidRPr="00B67B90" w:rsidRDefault="003D217E" w:rsidP="001740C5">
            <w:pPr>
              <w:autoSpaceDE w:val="0"/>
              <w:autoSpaceDN w:val="0"/>
              <w:adjustRightInd w:val="0"/>
              <w:snapToGrid w:val="0"/>
              <w:spacing w:after="0"/>
              <w:jc w:val="both"/>
              <w:rPr>
                <w:rFonts w:eastAsiaTheme="minorEastAsia"/>
                <w:bCs/>
                <w:sz w:val="20"/>
                <w:szCs w:val="20"/>
                <w:lang w:eastAsia="ko-KR"/>
              </w:rPr>
            </w:pPr>
          </w:p>
        </w:tc>
        <w:tc>
          <w:tcPr>
            <w:tcW w:w="4644" w:type="dxa"/>
          </w:tcPr>
          <w:p w14:paraId="0184B317" w14:textId="77777777" w:rsidR="003D217E" w:rsidRPr="00B67B90" w:rsidRDefault="003D217E" w:rsidP="001740C5">
            <w:pPr>
              <w:autoSpaceDE w:val="0"/>
              <w:autoSpaceDN w:val="0"/>
              <w:adjustRightInd w:val="0"/>
              <w:snapToGrid w:val="0"/>
              <w:spacing w:after="0"/>
              <w:jc w:val="both"/>
              <w:rPr>
                <w:rFonts w:eastAsiaTheme="minorEastAsia"/>
                <w:bCs/>
                <w:sz w:val="20"/>
                <w:szCs w:val="20"/>
                <w:lang w:eastAsia="ko-KR"/>
              </w:rPr>
            </w:pPr>
            <w:r w:rsidRPr="00B67B90">
              <w:rPr>
                <w:rFonts w:eastAsia="MS Mincho"/>
                <w:b/>
                <w:bCs/>
                <w:sz w:val="20"/>
                <w:szCs w:val="20"/>
                <w:lang w:eastAsia="en-NZ"/>
              </w:rPr>
              <w:t>Figure PBF-6</w:t>
            </w:r>
            <w:r w:rsidRPr="00B67B90">
              <w:rPr>
                <w:rFonts w:eastAsia="MS Mincho"/>
                <w:bCs/>
                <w:sz w:val="20"/>
                <w:szCs w:val="20"/>
                <w:lang w:eastAsia="en-NZ"/>
              </w:rPr>
              <w:t>. A projection result (scenario 1 from Table PBF-4) for Pacific bluefin tuna (</w:t>
            </w:r>
            <w:r w:rsidRPr="00B67B90">
              <w:rPr>
                <w:rFonts w:eastAsia="MS Mincho"/>
                <w:bCs/>
                <w:i/>
                <w:sz w:val="20"/>
                <w:szCs w:val="20"/>
                <w:lang w:eastAsia="en-NZ"/>
              </w:rPr>
              <w:t>Thunnus orientalis</w:t>
            </w:r>
            <w:r w:rsidRPr="00B67B90">
              <w:rPr>
                <w:rFonts w:eastAsia="MS Mincho"/>
                <w:bCs/>
                <w:sz w:val="20"/>
                <w:szCs w:val="20"/>
                <w:lang w:eastAsia="en-NZ"/>
              </w:rPr>
              <w:t>) in a form of Kobe plot. The X axis shows the SSB value relative to 20%SSB</w:t>
            </w:r>
            <w:r w:rsidRPr="00B67B90">
              <w:rPr>
                <w:rFonts w:eastAsia="MS Mincho"/>
                <w:bCs/>
                <w:sz w:val="20"/>
                <w:szCs w:val="20"/>
                <w:vertAlign w:val="subscript"/>
                <w:lang w:eastAsia="en-NZ"/>
              </w:rPr>
              <w:t>F=0</w:t>
            </w:r>
            <w:r w:rsidRPr="00B67B90">
              <w:rPr>
                <w:rFonts w:eastAsia="MS Mincho"/>
                <w:bCs/>
                <w:sz w:val="20"/>
                <w:szCs w:val="20"/>
                <w:lang w:eastAsia="en-NZ"/>
              </w:rPr>
              <w:t xml:space="preserve"> (second rebuilding target) and the Y axis shows the spawning potential ratio as a measure of fishing intensity. Vertical and horizontal solid lines indicate the second rebuilding target (20%SSB</w:t>
            </w:r>
            <w:r w:rsidRPr="00B67B90">
              <w:rPr>
                <w:rFonts w:eastAsia="MS Mincho"/>
                <w:bCs/>
                <w:sz w:val="20"/>
                <w:szCs w:val="20"/>
                <w:vertAlign w:val="subscript"/>
                <w:lang w:eastAsia="en-NZ"/>
              </w:rPr>
              <w:t>F=0</w:t>
            </w:r>
            <w:r w:rsidRPr="00B67B90">
              <w:rPr>
                <w:rFonts w:eastAsia="MS Mincho"/>
                <w:bCs/>
                <w:sz w:val="20"/>
                <w:szCs w:val="20"/>
                <w:lang w:eastAsia="en-NZ"/>
              </w:rPr>
              <w:t>) and the corresponding fishing intensity, respectively, while vertical and horizontal dashed lines indicate the initial rebuilding target (SSB</w:t>
            </w:r>
            <w:r w:rsidRPr="00B67B90">
              <w:rPr>
                <w:rFonts w:eastAsia="MS Mincho"/>
                <w:bCs/>
                <w:sz w:val="20"/>
                <w:szCs w:val="20"/>
                <w:vertAlign w:val="subscript"/>
                <w:lang w:eastAsia="en-NZ"/>
              </w:rPr>
              <w:t>MED</w:t>
            </w:r>
            <w:r w:rsidRPr="00B67B90">
              <w:rPr>
                <w:rFonts w:eastAsia="MS Mincho"/>
                <w:bCs/>
                <w:sz w:val="20"/>
                <w:szCs w:val="20"/>
                <w:lang w:eastAsia="en-NZ"/>
              </w:rPr>
              <w:t xml:space="preserve"> = 6.7%SSB</w:t>
            </w:r>
            <w:r w:rsidRPr="00B67B90">
              <w:rPr>
                <w:rFonts w:eastAsia="MS Mincho"/>
                <w:bCs/>
                <w:sz w:val="20"/>
                <w:szCs w:val="20"/>
                <w:vertAlign w:val="subscript"/>
                <w:lang w:eastAsia="en-NZ"/>
              </w:rPr>
              <w:t>F=0</w:t>
            </w:r>
            <w:r w:rsidRPr="00B67B90">
              <w:rPr>
                <w:rFonts w:eastAsia="MS Mincho"/>
                <w:bCs/>
                <w:sz w:val="20"/>
                <w:szCs w:val="20"/>
                <w:lang w:eastAsia="en-NZ"/>
              </w:rPr>
              <w:t>) and the corresponding fishing intensity, respectively.</w:t>
            </w:r>
          </w:p>
        </w:tc>
      </w:tr>
    </w:tbl>
    <w:p w14:paraId="0BD9F950" w14:textId="77777777" w:rsidR="003D217E" w:rsidRPr="004635E5" w:rsidRDefault="003D217E" w:rsidP="003D217E">
      <w:pPr>
        <w:autoSpaceDE w:val="0"/>
        <w:autoSpaceDN w:val="0"/>
        <w:adjustRightInd w:val="0"/>
        <w:snapToGrid w:val="0"/>
        <w:jc w:val="both"/>
        <w:rPr>
          <w:rFonts w:eastAsia="MS Mincho"/>
          <w:sz w:val="22"/>
          <w:szCs w:val="22"/>
          <w:lang w:eastAsia="en-NZ"/>
        </w:rPr>
      </w:pPr>
    </w:p>
    <w:p w14:paraId="443E38CB" w14:textId="77777777" w:rsidR="003D217E" w:rsidRPr="00D57DBE" w:rsidRDefault="003D217E" w:rsidP="003D217E">
      <w:pPr>
        <w:pStyle w:val="SC3"/>
        <w:spacing w:after="0"/>
        <w:rPr>
          <w:rFonts w:eastAsia="Batang"/>
          <w:sz w:val="24"/>
          <w:szCs w:val="24"/>
          <w:lang w:eastAsia="ko-KR"/>
        </w:rPr>
      </w:pPr>
      <w:r w:rsidRPr="00D57DBE">
        <w:rPr>
          <w:rFonts w:eastAsia="Batang"/>
          <w:sz w:val="24"/>
          <w:szCs w:val="24"/>
          <w:lang w:eastAsia="ko-KR"/>
        </w:rPr>
        <w:t>North Pacific swordfish (</w:t>
      </w:r>
      <w:r w:rsidRPr="00D57DBE">
        <w:rPr>
          <w:rFonts w:eastAsia="Batang"/>
          <w:i/>
          <w:sz w:val="24"/>
          <w:szCs w:val="24"/>
          <w:lang w:eastAsia="ko-KR"/>
        </w:rPr>
        <w:t>Xiphias gladius</w:t>
      </w:r>
      <w:r w:rsidRPr="00D57DBE">
        <w:rPr>
          <w:rFonts w:eastAsia="Batang"/>
          <w:sz w:val="24"/>
          <w:szCs w:val="24"/>
          <w:lang w:eastAsia="ko-KR"/>
        </w:rPr>
        <w:t>)</w:t>
      </w:r>
    </w:p>
    <w:p w14:paraId="2215AF92" w14:textId="77777777" w:rsidR="003D217E" w:rsidRPr="004635E5" w:rsidRDefault="003D217E" w:rsidP="003D217E">
      <w:pPr>
        <w:pStyle w:val="SC3"/>
        <w:numPr>
          <w:ilvl w:val="0"/>
          <w:numId w:val="0"/>
        </w:numPr>
        <w:spacing w:after="0"/>
        <w:ind w:left="1440"/>
        <w:rPr>
          <w:rFonts w:eastAsia="Batang"/>
          <w:lang w:eastAsia="ko-KR"/>
        </w:rPr>
      </w:pPr>
    </w:p>
    <w:p w14:paraId="34FD3620" w14:textId="77777777" w:rsidR="003D217E" w:rsidRPr="004635E5" w:rsidRDefault="003D217E" w:rsidP="002F64C2">
      <w:pPr>
        <w:pStyle w:val="SCa"/>
        <w:tabs>
          <w:tab w:val="clear" w:pos="1080"/>
        </w:tabs>
        <w:spacing w:after="0"/>
        <w:ind w:left="0"/>
        <w:rPr>
          <w:lang w:val="en-NZ"/>
        </w:rPr>
      </w:pPr>
      <w:r w:rsidRPr="004635E5">
        <w:rPr>
          <w:lang w:val="en-NZ"/>
        </w:rPr>
        <w:t>a.</w:t>
      </w:r>
      <w:r w:rsidRPr="004635E5">
        <w:rPr>
          <w:lang w:val="en-NZ"/>
        </w:rPr>
        <w:tab/>
        <w:t xml:space="preserve">Status and trends </w:t>
      </w:r>
    </w:p>
    <w:p w14:paraId="71124B67" w14:textId="77777777" w:rsidR="003D217E" w:rsidRPr="004635E5" w:rsidRDefault="003D217E" w:rsidP="003D217E">
      <w:pPr>
        <w:pStyle w:val="SCa"/>
        <w:spacing w:after="0"/>
        <w:rPr>
          <w:lang w:val="en-NZ"/>
        </w:rPr>
      </w:pPr>
    </w:p>
    <w:p w14:paraId="65E3B031" w14:textId="77777777" w:rsidR="003D217E" w:rsidRPr="00D57DBE" w:rsidRDefault="003D217E" w:rsidP="00580EA4">
      <w:pPr>
        <w:numPr>
          <w:ilvl w:val="0"/>
          <w:numId w:val="18"/>
        </w:numPr>
        <w:autoSpaceDE w:val="0"/>
        <w:autoSpaceDN w:val="0"/>
        <w:adjustRightInd w:val="0"/>
        <w:snapToGrid w:val="0"/>
        <w:ind w:left="0" w:firstLine="0"/>
        <w:jc w:val="both"/>
        <w:rPr>
          <w:rFonts w:eastAsia="Batang"/>
          <w:sz w:val="22"/>
          <w:szCs w:val="22"/>
          <w:lang w:eastAsia="ko-KR"/>
        </w:rPr>
      </w:pPr>
      <w:r w:rsidRPr="00D57DBE">
        <w:rPr>
          <w:rFonts w:eastAsia="Batang"/>
          <w:sz w:val="22"/>
          <w:szCs w:val="22"/>
          <w:lang w:eastAsia="ko-KR"/>
        </w:rPr>
        <w:t>SC14 noted that ISC provided the following conclusions on the stock status of Western and Central North Pacific Swordfish in the Pacific Ocean in 2017 presented in SC14-SA-WP-07 (Stock Assessment for Swordfish (</w:t>
      </w:r>
      <w:r w:rsidRPr="00D57DBE">
        <w:rPr>
          <w:rFonts w:eastAsia="Batang"/>
          <w:i/>
          <w:sz w:val="22"/>
          <w:szCs w:val="22"/>
          <w:lang w:eastAsia="ko-KR"/>
        </w:rPr>
        <w:t>Xiphias gladius</w:t>
      </w:r>
      <w:r w:rsidRPr="00D57DBE">
        <w:rPr>
          <w:rFonts w:eastAsia="Batang"/>
          <w:sz w:val="22"/>
          <w:szCs w:val="22"/>
          <w:lang w:eastAsia="ko-KR"/>
        </w:rPr>
        <w:t xml:space="preserve">) in the Western and Central North Pacific Ocean through 2016). </w:t>
      </w:r>
    </w:p>
    <w:p w14:paraId="6AEB38B7" w14:textId="77777777" w:rsidR="003D217E" w:rsidRPr="004635E5" w:rsidRDefault="003D217E" w:rsidP="003D217E">
      <w:pPr>
        <w:autoSpaceDE w:val="0"/>
        <w:autoSpaceDN w:val="0"/>
        <w:adjustRightInd w:val="0"/>
        <w:snapToGrid w:val="0"/>
        <w:jc w:val="both"/>
        <w:rPr>
          <w:rFonts w:eastAsia="Batang"/>
          <w:bCs/>
          <w:sz w:val="22"/>
          <w:szCs w:val="22"/>
          <w:lang w:eastAsia="ko-KR"/>
        </w:rPr>
      </w:pPr>
    </w:p>
    <w:p w14:paraId="5CEBBA6B" w14:textId="77777777" w:rsidR="003D217E" w:rsidRPr="004635E5" w:rsidRDefault="003D217E" w:rsidP="003D217E">
      <w:pPr>
        <w:autoSpaceDE w:val="0"/>
        <w:autoSpaceDN w:val="0"/>
        <w:adjustRightInd w:val="0"/>
        <w:snapToGrid w:val="0"/>
        <w:ind w:left="720"/>
        <w:jc w:val="both"/>
        <w:rPr>
          <w:rFonts w:eastAsia="Batang"/>
          <w:bCs/>
          <w:sz w:val="22"/>
          <w:szCs w:val="22"/>
          <w:lang w:eastAsia="ko-KR"/>
        </w:rPr>
      </w:pPr>
      <w:r w:rsidRPr="004635E5">
        <w:rPr>
          <w:rFonts w:eastAsia="Batang"/>
          <w:sz w:val="22"/>
          <w:szCs w:val="22"/>
          <w:lang w:eastAsia="ko-KR"/>
        </w:rPr>
        <w:t>Estimates of total stock biomass show a relatively stable population, with a slight decline until the mid-1990s followed by a slight increase since 2000. Population biomass (age-1 and older) averaged roughly 97,919 t in 1974-1978, the first 5 years of the assessment time frame, and has declined by only 20% to 71,979 t in 2016 (Figure NPS-3). Female spawning stock biomass was estimated to be 29,403 t in 2016, or about 90% above SSB</w:t>
      </w:r>
      <w:r w:rsidRPr="004635E5">
        <w:rPr>
          <w:rFonts w:eastAsia="Batang"/>
          <w:sz w:val="22"/>
          <w:szCs w:val="22"/>
          <w:vertAlign w:val="subscript"/>
          <w:lang w:eastAsia="ko-KR"/>
        </w:rPr>
        <w:t>MSY</w:t>
      </w:r>
      <w:r w:rsidRPr="004635E5">
        <w:rPr>
          <w:rFonts w:eastAsia="Batang"/>
          <w:sz w:val="22"/>
          <w:szCs w:val="22"/>
          <w:lang w:eastAsia="ko-KR"/>
        </w:rPr>
        <w:t xml:space="preserve"> (Table NPS-1 and Table NPS-2). Fishing mortality on the stock (average F, ages 1 – 10) averaged roughly F = 0.08 yr</w:t>
      </w:r>
      <w:r w:rsidRPr="00D10883">
        <w:rPr>
          <w:rFonts w:eastAsia="Batang"/>
          <w:sz w:val="22"/>
          <w:szCs w:val="22"/>
          <w:vertAlign w:val="superscript"/>
          <w:lang w:eastAsia="ko-KR"/>
        </w:rPr>
        <w:t>-1</w:t>
      </w:r>
      <w:r w:rsidRPr="004635E5">
        <w:rPr>
          <w:rFonts w:eastAsia="Batang"/>
          <w:sz w:val="22"/>
          <w:szCs w:val="22"/>
          <w:lang w:eastAsia="ko-KR"/>
        </w:rPr>
        <w:t xml:space="preserve"> during 2013-2015, or about 45% below F</w:t>
      </w:r>
      <w:r w:rsidRPr="004635E5">
        <w:rPr>
          <w:rFonts w:eastAsia="Batang"/>
          <w:sz w:val="22"/>
          <w:szCs w:val="22"/>
          <w:vertAlign w:val="subscript"/>
          <w:lang w:eastAsia="ko-KR"/>
        </w:rPr>
        <w:t>MSY</w:t>
      </w:r>
      <w:r w:rsidRPr="004635E5">
        <w:rPr>
          <w:rFonts w:eastAsia="Batang"/>
          <w:sz w:val="22"/>
          <w:szCs w:val="22"/>
          <w:lang w:eastAsia="ko-KR"/>
        </w:rPr>
        <w:t>. The estimated SPR (the predicted spawning output at the current F as a fraction of unfished spawning output) is currently SPR</w:t>
      </w:r>
      <w:r w:rsidRPr="00D10883">
        <w:rPr>
          <w:rFonts w:eastAsia="Batang"/>
          <w:sz w:val="22"/>
          <w:szCs w:val="22"/>
          <w:vertAlign w:val="subscript"/>
          <w:lang w:eastAsia="ko-KR"/>
        </w:rPr>
        <w:t>2016</w:t>
      </w:r>
      <w:r w:rsidRPr="004635E5">
        <w:rPr>
          <w:rFonts w:eastAsia="Batang"/>
          <w:sz w:val="22"/>
          <w:szCs w:val="22"/>
          <w:lang w:eastAsia="ko-KR"/>
        </w:rPr>
        <w:t xml:space="preserve"> = 45%. Annual recruitment averaged about 717,000 recruits during 2012-2016, and no long-term trend in recruitment was apparent. Overall, the time series of spawning stock biomass and recruitment estimates indicate a stable spawning stock biomass and suggest a fluctuating pattern without trend for recruitment (Figure NPS-3). The Kobe plot depicts the stock status relative to MSY-based reference points for the base case model (Figure NPS-4) and shows that spawning stock biomass declined to almost the MSY level in the mid-1990s, but SSB has remained above SSB</w:t>
      </w:r>
      <w:r w:rsidRPr="004635E5">
        <w:rPr>
          <w:rFonts w:eastAsia="Batang"/>
          <w:sz w:val="22"/>
          <w:szCs w:val="22"/>
          <w:vertAlign w:val="subscript"/>
          <w:lang w:eastAsia="ko-KR"/>
        </w:rPr>
        <w:t>MSY</w:t>
      </w:r>
      <w:r w:rsidRPr="004635E5">
        <w:rPr>
          <w:rFonts w:eastAsia="Batang"/>
          <w:sz w:val="22"/>
          <w:szCs w:val="22"/>
          <w:lang w:eastAsia="ko-KR"/>
        </w:rPr>
        <w:t xml:space="preserve"> throughout the time series (Figure NPS-3B).</w:t>
      </w:r>
    </w:p>
    <w:p w14:paraId="5A5B711D" w14:textId="77777777" w:rsidR="003D217E" w:rsidRPr="004635E5" w:rsidRDefault="003D217E" w:rsidP="003D217E">
      <w:pPr>
        <w:autoSpaceDE w:val="0"/>
        <w:autoSpaceDN w:val="0"/>
        <w:adjustRightInd w:val="0"/>
        <w:snapToGrid w:val="0"/>
        <w:ind w:left="720"/>
        <w:jc w:val="both"/>
        <w:rPr>
          <w:rFonts w:eastAsia="Batang"/>
          <w:bCs/>
          <w:sz w:val="22"/>
          <w:szCs w:val="22"/>
          <w:lang w:eastAsia="ko-KR"/>
        </w:rPr>
      </w:pPr>
    </w:p>
    <w:p w14:paraId="010F4200" w14:textId="77777777" w:rsidR="003D217E" w:rsidRPr="004635E5" w:rsidRDefault="003D217E" w:rsidP="003D217E">
      <w:pPr>
        <w:autoSpaceDE w:val="0"/>
        <w:autoSpaceDN w:val="0"/>
        <w:adjustRightInd w:val="0"/>
        <w:snapToGrid w:val="0"/>
        <w:ind w:left="720"/>
        <w:jc w:val="both"/>
        <w:rPr>
          <w:rFonts w:eastAsia="Batang"/>
          <w:bCs/>
          <w:sz w:val="22"/>
          <w:szCs w:val="22"/>
          <w:lang w:eastAsia="ko-KR"/>
        </w:rPr>
      </w:pPr>
      <w:r w:rsidRPr="004635E5">
        <w:rPr>
          <w:rFonts w:eastAsia="Batang"/>
          <w:sz w:val="22"/>
          <w:szCs w:val="22"/>
          <w:lang w:eastAsia="ko-KR"/>
        </w:rPr>
        <w:lastRenderedPageBreak/>
        <w:t>For this 2018 benchmark assessment, note that biomass status is based on female spawning stock biomass, whereas for the 2014 update assessment, biomass status was based on exploitable biomass (effectively age-2+ biomass). It is also important to note that there are no currently agreed upon reference points for the WCNPO swordfish stock and that retrospective analyses show that the assessment model appears to underestimate spawning stock biomass in recent years.</w:t>
      </w:r>
    </w:p>
    <w:p w14:paraId="4163B305" w14:textId="77777777" w:rsidR="003D217E" w:rsidRPr="004635E5" w:rsidRDefault="003D217E" w:rsidP="003D217E">
      <w:pPr>
        <w:autoSpaceDE w:val="0"/>
        <w:autoSpaceDN w:val="0"/>
        <w:adjustRightInd w:val="0"/>
        <w:snapToGrid w:val="0"/>
        <w:ind w:left="720"/>
        <w:jc w:val="both"/>
        <w:rPr>
          <w:rFonts w:eastAsia="Batang"/>
          <w:bCs/>
          <w:sz w:val="22"/>
          <w:szCs w:val="22"/>
          <w:lang w:eastAsia="ko-KR"/>
        </w:rPr>
      </w:pPr>
    </w:p>
    <w:p w14:paraId="28D7A96D" w14:textId="77777777" w:rsidR="003D217E" w:rsidRPr="004635E5" w:rsidRDefault="003D217E" w:rsidP="003D217E">
      <w:pPr>
        <w:autoSpaceDE w:val="0"/>
        <w:autoSpaceDN w:val="0"/>
        <w:adjustRightInd w:val="0"/>
        <w:snapToGrid w:val="0"/>
        <w:ind w:left="720"/>
        <w:jc w:val="both"/>
        <w:rPr>
          <w:rFonts w:eastAsia="Batang"/>
          <w:sz w:val="22"/>
          <w:szCs w:val="22"/>
          <w:lang w:eastAsia="ko-KR"/>
        </w:rPr>
      </w:pPr>
      <w:r w:rsidRPr="004635E5">
        <w:rPr>
          <w:rFonts w:eastAsia="Batang"/>
          <w:sz w:val="22"/>
          <w:szCs w:val="22"/>
          <w:lang w:eastAsia="ko-KR"/>
        </w:rPr>
        <w:t>Based on these findings, the following information on the status of the WCNPO SWO stock is provided:</w:t>
      </w:r>
    </w:p>
    <w:p w14:paraId="748B7B08" w14:textId="77777777" w:rsidR="003D217E" w:rsidRPr="00D57DBE" w:rsidRDefault="003D217E" w:rsidP="00580EA4">
      <w:pPr>
        <w:pStyle w:val="ListParagraph"/>
        <w:numPr>
          <w:ilvl w:val="1"/>
          <w:numId w:val="39"/>
        </w:numPr>
        <w:adjustRightInd w:val="0"/>
        <w:snapToGrid w:val="0"/>
        <w:ind w:left="1540"/>
        <w:jc w:val="both"/>
        <w:rPr>
          <w:rFonts w:eastAsia="Batang"/>
          <w:bCs/>
          <w:sz w:val="22"/>
          <w:szCs w:val="22"/>
          <w:lang w:eastAsia="ko-KR"/>
        </w:rPr>
      </w:pPr>
      <w:r w:rsidRPr="00D57DBE">
        <w:rPr>
          <w:rFonts w:eastAsia="Batang"/>
          <w:bCs/>
          <w:sz w:val="22"/>
          <w:szCs w:val="22"/>
          <w:lang w:eastAsia="ko-KR"/>
        </w:rPr>
        <w:t>The WCNPO swordfish stock has produced annual yields of around 10,200 t per year since 2012, or about 2/3 of the MSY catch amount.</w:t>
      </w:r>
    </w:p>
    <w:p w14:paraId="25FBEA34" w14:textId="77777777" w:rsidR="003D217E" w:rsidRPr="00D57DBE" w:rsidRDefault="003D217E" w:rsidP="00580EA4">
      <w:pPr>
        <w:pStyle w:val="ListParagraph"/>
        <w:numPr>
          <w:ilvl w:val="1"/>
          <w:numId w:val="39"/>
        </w:numPr>
        <w:adjustRightInd w:val="0"/>
        <w:snapToGrid w:val="0"/>
        <w:ind w:left="1540"/>
        <w:jc w:val="both"/>
        <w:rPr>
          <w:rFonts w:eastAsia="Batang"/>
          <w:bCs/>
          <w:sz w:val="22"/>
          <w:szCs w:val="22"/>
          <w:lang w:eastAsia="ko-KR"/>
        </w:rPr>
      </w:pPr>
      <w:r w:rsidRPr="00D57DBE">
        <w:rPr>
          <w:rFonts w:eastAsia="Batang"/>
          <w:bCs/>
          <w:sz w:val="22"/>
          <w:szCs w:val="22"/>
          <w:lang w:eastAsia="ko-KR"/>
        </w:rPr>
        <w:t>There is no evidence of excess fishing mortality above F</w:t>
      </w:r>
      <w:r w:rsidRPr="00D57DBE">
        <w:rPr>
          <w:rFonts w:eastAsia="Batang"/>
          <w:bCs/>
          <w:sz w:val="22"/>
          <w:szCs w:val="22"/>
          <w:vertAlign w:val="subscript"/>
          <w:lang w:eastAsia="ko-KR"/>
        </w:rPr>
        <w:t>MSY</w:t>
      </w:r>
      <w:r w:rsidRPr="00D57DBE">
        <w:rPr>
          <w:rFonts w:eastAsia="Batang"/>
          <w:bCs/>
          <w:sz w:val="22"/>
          <w:szCs w:val="22"/>
          <w:lang w:eastAsia="ko-KR"/>
        </w:rPr>
        <w:t xml:space="preserve"> (F</w:t>
      </w:r>
      <w:r w:rsidRPr="00D57DBE">
        <w:rPr>
          <w:rFonts w:eastAsia="Batang"/>
          <w:bCs/>
          <w:sz w:val="22"/>
          <w:szCs w:val="22"/>
          <w:vertAlign w:val="subscript"/>
          <w:lang w:eastAsia="ko-KR"/>
        </w:rPr>
        <w:t>2013-2015</w:t>
      </w:r>
      <w:r w:rsidRPr="00D57DBE">
        <w:rPr>
          <w:rFonts w:eastAsia="Batang"/>
          <w:bCs/>
          <w:sz w:val="22"/>
          <w:szCs w:val="22"/>
          <w:lang w:eastAsia="ko-KR"/>
        </w:rPr>
        <w:t xml:space="preserve"> is 45% of F</w:t>
      </w:r>
      <w:r w:rsidRPr="00D57DBE">
        <w:rPr>
          <w:rFonts w:eastAsia="Batang"/>
          <w:bCs/>
          <w:sz w:val="22"/>
          <w:szCs w:val="22"/>
          <w:vertAlign w:val="subscript"/>
          <w:lang w:eastAsia="ko-KR"/>
        </w:rPr>
        <w:t>MSY</w:t>
      </w:r>
      <w:r w:rsidRPr="00D57DBE">
        <w:rPr>
          <w:rFonts w:eastAsia="Batang"/>
          <w:bCs/>
          <w:sz w:val="22"/>
          <w:szCs w:val="22"/>
          <w:lang w:eastAsia="ko-KR"/>
        </w:rPr>
        <w:t>) or substantial depletion of spawning potential (SSB</w:t>
      </w:r>
      <w:r w:rsidRPr="00D57DBE">
        <w:rPr>
          <w:rFonts w:eastAsia="Batang"/>
          <w:bCs/>
          <w:sz w:val="22"/>
          <w:szCs w:val="22"/>
          <w:vertAlign w:val="subscript"/>
          <w:lang w:eastAsia="ko-KR"/>
        </w:rPr>
        <w:t>2016</w:t>
      </w:r>
      <w:r w:rsidRPr="00D57DBE">
        <w:rPr>
          <w:rFonts w:eastAsia="Batang"/>
          <w:bCs/>
          <w:sz w:val="22"/>
          <w:szCs w:val="22"/>
          <w:lang w:eastAsia="ko-KR"/>
        </w:rPr>
        <w:t xml:space="preserve"> is 87% above SSB</w:t>
      </w:r>
      <w:r w:rsidRPr="00D57DBE">
        <w:rPr>
          <w:rFonts w:eastAsia="Batang"/>
          <w:bCs/>
          <w:sz w:val="22"/>
          <w:szCs w:val="22"/>
          <w:vertAlign w:val="subscript"/>
          <w:lang w:eastAsia="ko-KR"/>
        </w:rPr>
        <w:t>MSY</w:t>
      </w:r>
      <w:r w:rsidRPr="00D57DBE">
        <w:rPr>
          <w:rFonts w:eastAsia="Batang"/>
          <w:bCs/>
          <w:sz w:val="22"/>
          <w:szCs w:val="22"/>
          <w:lang w:eastAsia="ko-KR"/>
        </w:rPr>
        <w:t>).</w:t>
      </w:r>
    </w:p>
    <w:p w14:paraId="4C548FF3" w14:textId="77777777" w:rsidR="003D217E" w:rsidRPr="00D57DBE" w:rsidRDefault="003D217E" w:rsidP="00580EA4">
      <w:pPr>
        <w:pStyle w:val="ListParagraph"/>
        <w:numPr>
          <w:ilvl w:val="1"/>
          <w:numId w:val="39"/>
        </w:numPr>
        <w:adjustRightInd w:val="0"/>
        <w:snapToGrid w:val="0"/>
        <w:ind w:left="1540"/>
        <w:jc w:val="both"/>
        <w:rPr>
          <w:rFonts w:eastAsia="Batang"/>
          <w:bCs/>
          <w:sz w:val="22"/>
          <w:szCs w:val="22"/>
          <w:lang w:eastAsia="ko-KR"/>
        </w:rPr>
      </w:pPr>
      <w:r w:rsidRPr="00D57DBE">
        <w:rPr>
          <w:rFonts w:eastAsia="Batang"/>
          <w:bCs/>
          <w:sz w:val="22"/>
          <w:szCs w:val="22"/>
          <w:lang w:eastAsia="ko-KR"/>
        </w:rPr>
        <w:t>Overall, the WCNPO swordfish stock is not likely overfished and is not likely experiencing overfishing relative to MSY-based or 20% of unfished spawning biomass-based reference points.</w:t>
      </w:r>
    </w:p>
    <w:p w14:paraId="63234CEB" w14:textId="77777777" w:rsidR="003D217E" w:rsidRPr="00D57DBE" w:rsidRDefault="003D217E" w:rsidP="003D217E">
      <w:pPr>
        <w:pStyle w:val="SCa"/>
        <w:spacing w:after="0"/>
        <w:rPr>
          <w:b w:val="0"/>
          <w:bCs/>
          <w:lang w:val="en-NZ"/>
        </w:rPr>
      </w:pPr>
    </w:p>
    <w:p w14:paraId="5C4AC5EF" w14:textId="77777777" w:rsidR="003D217E" w:rsidRPr="004635E5" w:rsidRDefault="003D217E" w:rsidP="002F64C2">
      <w:pPr>
        <w:pStyle w:val="SCa"/>
        <w:tabs>
          <w:tab w:val="clear" w:pos="1080"/>
        </w:tabs>
        <w:spacing w:after="0"/>
        <w:ind w:left="0"/>
        <w:rPr>
          <w:lang w:val="en-NZ"/>
        </w:rPr>
      </w:pPr>
      <w:r w:rsidRPr="004635E5">
        <w:rPr>
          <w:lang w:val="en-NZ"/>
        </w:rPr>
        <w:t>b.</w:t>
      </w:r>
      <w:r w:rsidRPr="004635E5">
        <w:rPr>
          <w:lang w:val="en-NZ"/>
        </w:rPr>
        <w:tab/>
        <w:t xml:space="preserve">Management advice and implications </w:t>
      </w:r>
    </w:p>
    <w:p w14:paraId="3B98579D" w14:textId="77777777" w:rsidR="003D217E" w:rsidRPr="004635E5" w:rsidRDefault="003D217E" w:rsidP="003D217E">
      <w:pPr>
        <w:pStyle w:val="SCa"/>
        <w:spacing w:after="0"/>
        <w:rPr>
          <w:lang w:val="en-NZ"/>
        </w:rPr>
      </w:pPr>
    </w:p>
    <w:p w14:paraId="5E65EA31" w14:textId="77777777" w:rsidR="003D217E" w:rsidRPr="00D57DBE" w:rsidRDefault="003D217E" w:rsidP="00580EA4">
      <w:pPr>
        <w:numPr>
          <w:ilvl w:val="0"/>
          <w:numId w:val="18"/>
        </w:numPr>
        <w:autoSpaceDE w:val="0"/>
        <w:autoSpaceDN w:val="0"/>
        <w:adjustRightInd w:val="0"/>
        <w:snapToGrid w:val="0"/>
        <w:ind w:left="0" w:firstLine="0"/>
        <w:jc w:val="both"/>
        <w:rPr>
          <w:rFonts w:eastAsia="Batang"/>
          <w:sz w:val="22"/>
          <w:szCs w:val="22"/>
          <w:lang w:eastAsia="ko-KR"/>
        </w:rPr>
      </w:pPr>
      <w:r w:rsidRPr="00D57DBE">
        <w:rPr>
          <w:rFonts w:eastAsia="Batang"/>
          <w:sz w:val="22"/>
          <w:szCs w:val="22"/>
          <w:lang w:eastAsia="ko-KR"/>
        </w:rPr>
        <w:t xml:space="preserve">SC14 noted the following conservation advice from ISC: </w:t>
      </w:r>
    </w:p>
    <w:p w14:paraId="06D63092" w14:textId="77777777" w:rsidR="003D217E" w:rsidRPr="004635E5" w:rsidRDefault="003D217E" w:rsidP="003D217E">
      <w:pPr>
        <w:autoSpaceDE w:val="0"/>
        <w:autoSpaceDN w:val="0"/>
        <w:adjustRightInd w:val="0"/>
        <w:snapToGrid w:val="0"/>
        <w:ind w:left="720"/>
        <w:jc w:val="both"/>
        <w:rPr>
          <w:rFonts w:eastAsia="Batang"/>
          <w:bCs/>
          <w:sz w:val="22"/>
          <w:szCs w:val="22"/>
          <w:lang w:eastAsia="ko-KR"/>
        </w:rPr>
      </w:pPr>
      <w:r w:rsidRPr="004635E5">
        <w:rPr>
          <w:rFonts w:eastAsia="Batang"/>
          <w:bCs/>
          <w:sz w:val="22"/>
          <w:szCs w:val="22"/>
          <w:lang w:eastAsia="ko-KR"/>
        </w:rPr>
        <w:t>S</w:t>
      </w:r>
      <w:r w:rsidRPr="004635E5">
        <w:rPr>
          <w:rFonts w:eastAsia="Batang"/>
          <w:sz w:val="22"/>
          <w:szCs w:val="22"/>
          <w:lang w:eastAsia="ko-KR"/>
        </w:rPr>
        <w:t>tock projections were conducted using a two-gender projection model. The five stock projection scenarios were: (1) F status quo, (2) F</w:t>
      </w:r>
      <w:r w:rsidRPr="004E1B05">
        <w:rPr>
          <w:rFonts w:eastAsia="Batang"/>
          <w:sz w:val="22"/>
          <w:szCs w:val="22"/>
          <w:vertAlign w:val="subscript"/>
          <w:lang w:eastAsia="ko-KR"/>
        </w:rPr>
        <w:t>MSY</w:t>
      </w:r>
      <w:r w:rsidRPr="004635E5">
        <w:rPr>
          <w:rFonts w:eastAsia="Batang"/>
          <w:sz w:val="22"/>
          <w:szCs w:val="22"/>
          <w:lang w:eastAsia="ko-KR"/>
        </w:rPr>
        <w:t>, (3) F at 0.2*SSB</w:t>
      </w:r>
      <w:r w:rsidRPr="004E1B05">
        <w:rPr>
          <w:rFonts w:eastAsia="Batang"/>
          <w:sz w:val="22"/>
          <w:szCs w:val="22"/>
          <w:vertAlign w:val="subscript"/>
          <w:lang w:eastAsia="ko-KR"/>
        </w:rPr>
        <w:t>F=0</w:t>
      </w:r>
      <w:r w:rsidRPr="004635E5">
        <w:rPr>
          <w:rFonts w:eastAsia="Batang"/>
          <w:sz w:val="22"/>
          <w:szCs w:val="22"/>
          <w:lang w:eastAsia="ko-KR"/>
        </w:rPr>
        <w:t>, (4) F</w:t>
      </w:r>
      <w:r w:rsidRPr="004E1B05">
        <w:rPr>
          <w:rFonts w:eastAsia="Batang"/>
          <w:sz w:val="22"/>
          <w:szCs w:val="22"/>
          <w:vertAlign w:val="subscript"/>
          <w:lang w:eastAsia="ko-KR"/>
        </w:rPr>
        <w:t>20%</w:t>
      </w:r>
      <w:r w:rsidRPr="004635E5">
        <w:rPr>
          <w:rFonts w:eastAsia="Batang"/>
          <w:sz w:val="22"/>
          <w:szCs w:val="22"/>
          <w:lang w:eastAsia="ko-KR"/>
        </w:rPr>
        <w:t>, and (5) F</w:t>
      </w:r>
      <w:r w:rsidRPr="004E1B05">
        <w:rPr>
          <w:rFonts w:eastAsia="Batang"/>
          <w:sz w:val="22"/>
          <w:szCs w:val="22"/>
          <w:vertAlign w:val="subscript"/>
          <w:lang w:eastAsia="ko-KR"/>
        </w:rPr>
        <w:t>50%</w:t>
      </w:r>
      <w:r w:rsidRPr="004635E5">
        <w:rPr>
          <w:rFonts w:eastAsia="Batang"/>
          <w:sz w:val="22"/>
          <w:szCs w:val="22"/>
          <w:lang w:eastAsia="ko-KR"/>
        </w:rPr>
        <w:t xml:space="preserve"> (Figure NPS-5). These projection scenarios were applied to the base case model results to evaluate the impact of alternative levels of fishing intensity on future spawning biomass and yield for swordfish in the Western and Central North Pacific Ocean. The projected recruitment pattern was generated by stochastically sampling the estimated stock-recruitment model from the base case model. The projection calculations employed model estimates for the multi-fleet, multi- season, size- and age-selectivity, and structural complexity in the assessment model to produce consistent results.</w:t>
      </w:r>
    </w:p>
    <w:p w14:paraId="6212118D" w14:textId="77777777" w:rsidR="003D217E" w:rsidRPr="004635E5" w:rsidRDefault="003D217E" w:rsidP="003D217E">
      <w:pPr>
        <w:autoSpaceDE w:val="0"/>
        <w:autoSpaceDN w:val="0"/>
        <w:adjustRightInd w:val="0"/>
        <w:snapToGrid w:val="0"/>
        <w:ind w:left="720"/>
        <w:jc w:val="both"/>
        <w:rPr>
          <w:rFonts w:eastAsia="Batang"/>
          <w:bCs/>
          <w:sz w:val="22"/>
          <w:szCs w:val="22"/>
          <w:lang w:eastAsia="ko-KR"/>
        </w:rPr>
      </w:pPr>
    </w:p>
    <w:p w14:paraId="6A38371F" w14:textId="77777777" w:rsidR="003D217E" w:rsidRPr="00D57DBE" w:rsidRDefault="003D217E" w:rsidP="003D217E">
      <w:pPr>
        <w:autoSpaceDE w:val="0"/>
        <w:autoSpaceDN w:val="0"/>
        <w:adjustRightInd w:val="0"/>
        <w:snapToGrid w:val="0"/>
        <w:ind w:left="720"/>
        <w:jc w:val="both"/>
        <w:rPr>
          <w:rFonts w:eastAsia="Batang"/>
          <w:bCs/>
          <w:sz w:val="22"/>
          <w:szCs w:val="22"/>
          <w:lang w:eastAsia="ko-KR"/>
        </w:rPr>
      </w:pPr>
      <w:r w:rsidRPr="00D57DBE">
        <w:rPr>
          <w:rFonts w:eastAsia="Batang"/>
          <w:bCs/>
          <w:sz w:val="22"/>
          <w:szCs w:val="22"/>
          <w:lang w:eastAsia="ko-KR"/>
        </w:rPr>
        <w:t>Based on these findings, the following conservation information is provided:</w:t>
      </w:r>
    </w:p>
    <w:p w14:paraId="09A7857E" w14:textId="77777777" w:rsidR="003D217E" w:rsidRPr="00D57DBE" w:rsidRDefault="003D217E" w:rsidP="00580EA4">
      <w:pPr>
        <w:pStyle w:val="ListParagraph"/>
        <w:numPr>
          <w:ilvl w:val="0"/>
          <w:numId w:val="40"/>
        </w:numPr>
        <w:adjustRightInd w:val="0"/>
        <w:snapToGrid w:val="0"/>
        <w:ind w:left="1080"/>
        <w:jc w:val="both"/>
        <w:rPr>
          <w:rFonts w:eastAsia="Batang"/>
          <w:bCs/>
          <w:sz w:val="22"/>
          <w:szCs w:val="22"/>
          <w:lang w:eastAsia="ko-KR"/>
        </w:rPr>
      </w:pPr>
      <w:r w:rsidRPr="00D57DBE">
        <w:rPr>
          <w:rFonts w:eastAsia="Batang"/>
          <w:bCs/>
          <w:sz w:val="22"/>
          <w:szCs w:val="22"/>
          <w:lang w:eastAsia="ko-KR"/>
        </w:rPr>
        <w:t>The results show that projected female spawning biomass is expected to remain above SSB</w:t>
      </w:r>
      <w:r w:rsidRPr="00D57DBE">
        <w:rPr>
          <w:rFonts w:eastAsia="Batang"/>
          <w:bCs/>
          <w:sz w:val="22"/>
          <w:szCs w:val="22"/>
          <w:vertAlign w:val="subscript"/>
          <w:lang w:eastAsia="ko-KR"/>
        </w:rPr>
        <w:t>MSY</w:t>
      </w:r>
      <w:r w:rsidRPr="00D57DBE">
        <w:rPr>
          <w:rFonts w:eastAsia="Batang"/>
          <w:bCs/>
          <w:sz w:val="22"/>
          <w:szCs w:val="22"/>
          <w:lang w:eastAsia="ko-KR"/>
        </w:rPr>
        <w:t xml:space="preserve"> under all of the harvest scenarios (Table NPS-3 and Figure NPS-5), with increases in spawning biomass expected under lower fishing mortality rates.</w:t>
      </w:r>
    </w:p>
    <w:p w14:paraId="7AB8F575" w14:textId="77777777" w:rsidR="003D217E" w:rsidRPr="00D57DBE" w:rsidRDefault="003D217E" w:rsidP="00580EA4">
      <w:pPr>
        <w:pStyle w:val="ListParagraph"/>
        <w:numPr>
          <w:ilvl w:val="0"/>
          <w:numId w:val="40"/>
        </w:numPr>
        <w:adjustRightInd w:val="0"/>
        <w:snapToGrid w:val="0"/>
        <w:ind w:left="1080"/>
        <w:jc w:val="both"/>
        <w:rPr>
          <w:rFonts w:eastAsia="Batang"/>
          <w:bCs/>
          <w:sz w:val="22"/>
          <w:szCs w:val="22"/>
          <w:lang w:eastAsia="ko-KR"/>
        </w:rPr>
      </w:pPr>
      <w:r w:rsidRPr="00D57DBE">
        <w:rPr>
          <w:rFonts w:eastAsia="Batang"/>
          <w:bCs/>
          <w:sz w:val="22"/>
          <w:szCs w:val="22"/>
          <w:lang w:eastAsia="ko-KR"/>
        </w:rPr>
        <w:t>Similarly, projected catch is expected to increase under each of the five harvest scenarios, with greater increases expected under higher fishing mortality rates (Table NPS-3 and Figure NPS-5).</w:t>
      </w:r>
    </w:p>
    <w:p w14:paraId="24AD7CAC" w14:textId="77777777" w:rsidR="003D217E" w:rsidRPr="004635E5" w:rsidRDefault="003D217E" w:rsidP="003D217E">
      <w:pPr>
        <w:pStyle w:val="ListParagraph"/>
        <w:adjustRightInd w:val="0"/>
        <w:snapToGrid w:val="0"/>
        <w:ind w:left="1540"/>
        <w:jc w:val="both"/>
        <w:rPr>
          <w:rFonts w:eastAsia="Batang"/>
          <w:b/>
          <w:sz w:val="22"/>
          <w:szCs w:val="22"/>
          <w:lang w:eastAsia="ko-KR"/>
        </w:rPr>
      </w:pPr>
    </w:p>
    <w:p w14:paraId="2E948D01" w14:textId="77777777" w:rsidR="003D217E" w:rsidRPr="004635E5" w:rsidRDefault="003D217E" w:rsidP="003D217E">
      <w:pPr>
        <w:pStyle w:val="SCa"/>
        <w:spacing w:after="0"/>
        <w:ind w:left="720"/>
      </w:pPr>
      <w:r w:rsidRPr="004635E5">
        <w:t>Research needs</w:t>
      </w:r>
    </w:p>
    <w:p w14:paraId="13F233E3" w14:textId="77777777" w:rsidR="003D217E" w:rsidRDefault="003D217E" w:rsidP="003D217E">
      <w:pPr>
        <w:autoSpaceDE w:val="0"/>
        <w:autoSpaceDN w:val="0"/>
        <w:adjustRightInd w:val="0"/>
        <w:snapToGrid w:val="0"/>
        <w:ind w:left="720"/>
        <w:jc w:val="both"/>
        <w:rPr>
          <w:rFonts w:eastAsiaTheme="minorEastAsia"/>
          <w:sz w:val="22"/>
          <w:szCs w:val="22"/>
          <w:lang w:eastAsia="ko-KR"/>
        </w:rPr>
      </w:pPr>
    </w:p>
    <w:p w14:paraId="4DBD3ABE" w14:textId="77777777" w:rsidR="003D217E" w:rsidRPr="004635E5" w:rsidRDefault="003D217E" w:rsidP="003D217E">
      <w:pPr>
        <w:autoSpaceDE w:val="0"/>
        <w:autoSpaceDN w:val="0"/>
        <w:adjustRightInd w:val="0"/>
        <w:snapToGrid w:val="0"/>
        <w:ind w:left="720"/>
        <w:jc w:val="both"/>
        <w:rPr>
          <w:rFonts w:eastAsia="Batang"/>
          <w:sz w:val="22"/>
          <w:szCs w:val="22"/>
          <w:lang w:val="en-NZ" w:eastAsia="ko-KR"/>
        </w:rPr>
      </w:pPr>
      <w:r w:rsidRPr="004635E5">
        <w:rPr>
          <w:sz w:val="22"/>
          <w:szCs w:val="22"/>
        </w:rPr>
        <w:t>The lack of sex-specific size composition data and the simplified treatment of the spatial structure of swordfish population dynamics remained as two important sources of uncertainty for this benchmark assessment</w:t>
      </w:r>
    </w:p>
    <w:p w14:paraId="6F837C76" w14:textId="77777777" w:rsidR="003D217E" w:rsidRPr="004635E5" w:rsidRDefault="003D217E" w:rsidP="003D217E">
      <w:pPr>
        <w:pStyle w:val="ListParagraph"/>
        <w:adjustRightInd w:val="0"/>
        <w:snapToGrid w:val="0"/>
        <w:ind w:left="820"/>
        <w:jc w:val="both"/>
        <w:rPr>
          <w:rFonts w:eastAsia="Batang"/>
          <w:b/>
          <w:sz w:val="22"/>
          <w:szCs w:val="22"/>
          <w:lang w:eastAsia="ko-KR"/>
        </w:rPr>
      </w:pPr>
    </w:p>
    <w:p w14:paraId="224ABB39" w14:textId="77777777" w:rsidR="003D217E" w:rsidRDefault="003D217E" w:rsidP="003D217E">
      <w:pPr>
        <w:rPr>
          <w:rFonts w:eastAsiaTheme="minorEastAsia"/>
          <w:b/>
          <w:color w:val="000000"/>
          <w:sz w:val="22"/>
          <w:szCs w:val="22"/>
          <w:lang w:val="en-NZ" w:eastAsia="en-NZ"/>
        </w:rPr>
      </w:pPr>
      <w:r>
        <w:rPr>
          <w:b/>
        </w:rPr>
        <w:br w:type="page"/>
      </w:r>
    </w:p>
    <w:p w14:paraId="27FD3307" w14:textId="77777777" w:rsidR="003D217E" w:rsidRDefault="003D217E" w:rsidP="003D217E">
      <w:pPr>
        <w:pStyle w:val="WCPFC"/>
        <w:numPr>
          <w:ilvl w:val="0"/>
          <w:numId w:val="0"/>
        </w:numPr>
        <w:adjustRightInd w:val="0"/>
        <w:spacing w:after="0"/>
        <w:rPr>
          <w:rFonts w:cs="Times New Roman"/>
          <w:lang w:eastAsia="ko-KR"/>
        </w:rPr>
      </w:pPr>
      <w:r w:rsidRPr="004635E5">
        <w:rPr>
          <w:rFonts w:cs="Times New Roman"/>
          <w:b/>
        </w:rPr>
        <w:lastRenderedPageBreak/>
        <w:t>Table NPS-1</w:t>
      </w:r>
      <w:r w:rsidRPr="004635E5">
        <w:rPr>
          <w:rFonts w:cs="Times New Roman"/>
        </w:rPr>
        <w:t>. Reported catch (</w:t>
      </w:r>
      <w:r>
        <w:rPr>
          <w:rFonts w:cs="Times New Roman" w:hint="eastAsia"/>
          <w:lang w:eastAsia="ko-KR"/>
        </w:rPr>
        <w:t>m</w:t>
      </w:r>
      <w:r w:rsidRPr="004635E5">
        <w:rPr>
          <w:rFonts w:cs="Times New Roman"/>
        </w:rPr>
        <w:t>t) used in the stock assessment along with annual estimates of population biomass (age-1 and older, mt), female spawning biomass (mt), relative female spawning biomass (</w:t>
      </w:r>
      <w:r w:rsidRPr="004635E5">
        <w:rPr>
          <w:rFonts w:cs="Times New Roman"/>
          <w:i/>
        </w:rPr>
        <w:t>SSB/SSB</w:t>
      </w:r>
      <w:r w:rsidRPr="001245DB">
        <w:rPr>
          <w:rFonts w:cs="Times New Roman"/>
          <w:i/>
          <w:position w:val="-2"/>
          <w:vertAlign w:val="subscript"/>
        </w:rPr>
        <w:t>MSY</w:t>
      </w:r>
      <w:r w:rsidRPr="004635E5">
        <w:rPr>
          <w:rFonts w:cs="Times New Roman"/>
        </w:rPr>
        <w:t>), recruitment (thousands of age-0 fish), fishing mortality (average F, ages 1 to 10), relative fishing mortality (</w:t>
      </w:r>
      <w:r w:rsidRPr="004635E5">
        <w:rPr>
          <w:rFonts w:cs="Times New Roman"/>
          <w:i/>
        </w:rPr>
        <w:t>F/F</w:t>
      </w:r>
      <w:r w:rsidRPr="001245DB">
        <w:rPr>
          <w:rFonts w:cs="Times New Roman"/>
          <w:i/>
          <w:position w:val="-2"/>
          <w:vertAlign w:val="subscript"/>
        </w:rPr>
        <w:t>MSY</w:t>
      </w:r>
      <w:r w:rsidRPr="004635E5">
        <w:rPr>
          <w:rFonts w:cs="Times New Roman"/>
        </w:rPr>
        <w:t xml:space="preserve">), and spawning potential ratio of </w:t>
      </w:r>
      <w:r w:rsidRPr="00CA435B">
        <w:t xml:space="preserve">Western and Central North Pacific Ocean </w:t>
      </w:r>
      <w:r w:rsidRPr="004635E5">
        <w:rPr>
          <w:rFonts w:cs="Times New Roman"/>
        </w:rPr>
        <w:t>swordfish.</w:t>
      </w:r>
    </w:p>
    <w:tbl>
      <w:tblPr>
        <w:tblStyle w:val="PlainTable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766"/>
        <w:gridCol w:w="766"/>
        <w:gridCol w:w="766"/>
        <w:gridCol w:w="766"/>
        <w:gridCol w:w="766"/>
        <w:gridCol w:w="766"/>
        <w:gridCol w:w="766"/>
        <w:gridCol w:w="770"/>
        <w:gridCol w:w="766"/>
        <w:gridCol w:w="766"/>
      </w:tblGrid>
      <w:tr w:rsidR="003D217E" w:rsidRPr="00B67B90" w14:paraId="1D75BA5F" w14:textId="77777777" w:rsidTr="001740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379B6BA9" w14:textId="77777777" w:rsidR="003D217E" w:rsidRPr="00B67B90" w:rsidRDefault="003D217E" w:rsidP="001740C5">
            <w:pPr>
              <w:adjustRightInd w:val="0"/>
              <w:snapToGrid w:val="0"/>
              <w:jc w:val="both"/>
              <w:rPr>
                <w:rFonts w:ascii="Times New Roman" w:hAnsi="Times New Roman" w:cs="Times New Roman"/>
                <w:b w:val="0"/>
                <w:sz w:val="20"/>
                <w:szCs w:val="20"/>
              </w:rPr>
            </w:pPr>
            <w:r w:rsidRPr="00B67B90">
              <w:rPr>
                <w:rFonts w:ascii="Times New Roman" w:hAnsi="Times New Roman" w:cs="Times New Roman"/>
                <w:sz w:val="20"/>
                <w:szCs w:val="20"/>
              </w:rPr>
              <w:t>Year</w:t>
            </w:r>
          </w:p>
        </w:tc>
        <w:tc>
          <w:tcPr>
            <w:tcW w:w="391" w:type="pct"/>
            <w:shd w:val="clear" w:color="auto" w:fill="auto"/>
            <w:hideMark/>
          </w:tcPr>
          <w:p w14:paraId="607DFD3F" w14:textId="77777777" w:rsidR="003D217E" w:rsidRPr="00B67B90" w:rsidRDefault="003D217E" w:rsidP="001740C5">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2010</w:t>
            </w:r>
          </w:p>
        </w:tc>
        <w:tc>
          <w:tcPr>
            <w:tcW w:w="391" w:type="pct"/>
            <w:shd w:val="clear" w:color="auto" w:fill="auto"/>
            <w:hideMark/>
          </w:tcPr>
          <w:p w14:paraId="5C694555" w14:textId="77777777" w:rsidR="003D217E" w:rsidRPr="00B67B90" w:rsidRDefault="003D217E" w:rsidP="001740C5">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2011</w:t>
            </w:r>
          </w:p>
        </w:tc>
        <w:tc>
          <w:tcPr>
            <w:tcW w:w="391" w:type="pct"/>
            <w:shd w:val="clear" w:color="auto" w:fill="auto"/>
            <w:hideMark/>
          </w:tcPr>
          <w:p w14:paraId="4D95B9DA" w14:textId="77777777" w:rsidR="003D217E" w:rsidRPr="00B67B90" w:rsidRDefault="003D217E" w:rsidP="001740C5">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2012</w:t>
            </w:r>
          </w:p>
        </w:tc>
        <w:tc>
          <w:tcPr>
            <w:tcW w:w="391" w:type="pct"/>
            <w:shd w:val="clear" w:color="auto" w:fill="auto"/>
            <w:hideMark/>
          </w:tcPr>
          <w:p w14:paraId="0407B039" w14:textId="77777777" w:rsidR="003D217E" w:rsidRPr="00B67B90" w:rsidRDefault="003D217E" w:rsidP="001740C5">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2013</w:t>
            </w:r>
          </w:p>
        </w:tc>
        <w:tc>
          <w:tcPr>
            <w:tcW w:w="391" w:type="pct"/>
            <w:shd w:val="clear" w:color="auto" w:fill="auto"/>
            <w:hideMark/>
          </w:tcPr>
          <w:p w14:paraId="36002DE2" w14:textId="77777777" w:rsidR="003D217E" w:rsidRPr="00B67B90" w:rsidRDefault="003D217E" w:rsidP="001740C5">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2014</w:t>
            </w:r>
          </w:p>
        </w:tc>
        <w:tc>
          <w:tcPr>
            <w:tcW w:w="391" w:type="pct"/>
            <w:shd w:val="clear" w:color="auto" w:fill="auto"/>
            <w:hideMark/>
          </w:tcPr>
          <w:p w14:paraId="3FED1344" w14:textId="77777777" w:rsidR="003D217E" w:rsidRPr="00B67B90" w:rsidRDefault="003D217E" w:rsidP="001740C5">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2015</w:t>
            </w:r>
          </w:p>
        </w:tc>
        <w:tc>
          <w:tcPr>
            <w:tcW w:w="391" w:type="pct"/>
            <w:shd w:val="clear" w:color="auto" w:fill="auto"/>
            <w:hideMark/>
          </w:tcPr>
          <w:p w14:paraId="0508DB38" w14:textId="77777777" w:rsidR="003D217E" w:rsidRPr="00B67B90" w:rsidRDefault="003D217E" w:rsidP="001740C5">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2016</w:t>
            </w:r>
          </w:p>
        </w:tc>
        <w:tc>
          <w:tcPr>
            <w:tcW w:w="391" w:type="pct"/>
            <w:shd w:val="clear" w:color="auto" w:fill="auto"/>
            <w:hideMark/>
          </w:tcPr>
          <w:p w14:paraId="3FCE99B5" w14:textId="77777777" w:rsidR="003D217E" w:rsidRPr="00B67B90" w:rsidRDefault="003D217E" w:rsidP="001740C5">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Mean</w:t>
            </w:r>
            <w:r w:rsidRPr="00B67B90">
              <w:rPr>
                <w:rFonts w:ascii="Times New Roman" w:hAnsi="Times New Roman" w:cs="Times New Roman"/>
                <w:sz w:val="20"/>
                <w:szCs w:val="20"/>
                <w:vertAlign w:val="superscript"/>
              </w:rPr>
              <w:t>1</w:t>
            </w:r>
          </w:p>
        </w:tc>
        <w:tc>
          <w:tcPr>
            <w:tcW w:w="391" w:type="pct"/>
            <w:shd w:val="clear" w:color="auto" w:fill="auto"/>
            <w:hideMark/>
          </w:tcPr>
          <w:p w14:paraId="73EB8E97" w14:textId="77777777" w:rsidR="003D217E" w:rsidRPr="00B67B90" w:rsidRDefault="003D217E" w:rsidP="001740C5">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Min</w:t>
            </w:r>
            <w:r w:rsidRPr="00B67B90">
              <w:rPr>
                <w:rFonts w:ascii="Times New Roman" w:hAnsi="Times New Roman" w:cs="Times New Roman"/>
                <w:sz w:val="20"/>
                <w:szCs w:val="20"/>
                <w:vertAlign w:val="superscript"/>
              </w:rPr>
              <w:t>1</w:t>
            </w:r>
          </w:p>
        </w:tc>
        <w:tc>
          <w:tcPr>
            <w:tcW w:w="390" w:type="pct"/>
            <w:shd w:val="clear" w:color="auto" w:fill="auto"/>
            <w:hideMark/>
          </w:tcPr>
          <w:p w14:paraId="2ECA2EE4" w14:textId="77777777" w:rsidR="003D217E" w:rsidRPr="00B67B90" w:rsidRDefault="003D217E" w:rsidP="001740C5">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Max</w:t>
            </w:r>
            <w:r w:rsidRPr="00B67B90">
              <w:rPr>
                <w:rFonts w:ascii="Times New Roman" w:hAnsi="Times New Roman" w:cs="Times New Roman"/>
                <w:sz w:val="20"/>
                <w:szCs w:val="20"/>
                <w:vertAlign w:val="superscript"/>
              </w:rPr>
              <w:t>1</w:t>
            </w:r>
          </w:p>
        </w:tc>
      </w:tr>
      <w:tr w:rsidR="003D217E" w:rsidRPr="00B67B90" w14:paraId="5A993841" w14:textId="77777777" w:rsidTr="001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487B844F" w14:textId="77777777" w:rsidR="003D217E" w:rsidRPr="00B67B90" w:rsidRDefault="003D217E" w:rsidP="001740C5">
            <w:pPr>
              <w:adjustRightInd w:val="0"/>
              <w:snapToGrid w:val="0"/>
              <w:jc w:val="both"/>
              <w:rPr>
                <w:rFonts w:ascii="Times New Roman" w:hAnsi="Times New Roman" w:cs="Times New Roman"/>
                <w:b w:val="0"/>
                <w:sz w:val="20"/>
                <w:szCs w:val="20"/>
              </w:rPr>
            </w:pPr>
            <w:r w:rsidRPr="00B67B90">
              <w:rPr>
                <w:rFonts w:ascii="Times New Roman" w:hAnsi="Times New Roman" w:cs="Times New Roman"/>
                <w:b w:val="0"/>
                <w:sz w:val="20"/>
                <w:szCs w:val="20"/>
              </w:rPr>
              <w:t>Reported Catch</w:t>
            </w:r>
          </w:p>
        </w:tc>
        <w:tc>
          <w:tcPr>
            <w:tcW w:w="391" w:type="pct"/>
            <w:shd w:val="clear" w:color="auto" w:fill="auto"/>
            <w:hideMark/>
          </w:tcPr>
          <w:p w14:paraId="458FB493"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12,716</w:t>
            </w:r>
          </w:p>
        </w:tc>
        <w:tc>
          <w:tcPr>
            <w:tcW w:w="391" w:type="pct"/>
            <w:shd w:val="clear" w:color="auto" w:fill="auto"/>
            <w:hideMark/>
          </w:tcPr>
          <w:p w14:paraId="350F3821"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9,971</w:t>
            </w:r>
          </w:p>
        </w:tc>
        <w:tc>
          <w:tcPr>
            <w:tcW w:w="391" w:type="pct"/>
            <w:shd w:val="clear" w:color="auto" w:fill="auto"/>
            <w:hideMark/>
          </w:tcPr>
          <w:p w14:paraId="23E923D4"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10,608</w:t>
            </w:r>
          </w:p>
        </w:tc>
        <w:tc>
          <w:tcPr>
            <w:tcW w:w="391" w:type="pct"/>
            <w:shd w:val="clear" w:color="auto" w:fill="auto"/>
            <w:hideMark/>
          </w:tcPr>
          <w:p w14:paraId="42104DB0"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9,241</w:t>
            </w:r>
          </w:p>
        </w:tc>
        <w:tc>
          <w:tcPr>
            <w:tcW w:w="391" w:type="pct"/>
            <w:shd w:val="clear" w:color="auto" w:fill="auto"/>
            <w:hideMark/>
          </w:tcPr>
          <w:p w14:paraId="06813255"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9,211</w:t>
            </w:r>
          </w:p>
        </w:tc>
        <w:tc>
          <w:tcPr>
            <w:tcW w:w="391" w:type="pct"/>
            <w:shd w:val="clear" w:color="auto" w:fill="auto"/>
            <w:hideMark/>
          </w:tcPr>
          <w:p w14:paraId="25748EBE"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11,672</w:t>
            </w:r>
          </w:p>
        </w:tc>
        <w:tc>
          <w:tcPr>
            <w:tcW w:w="391" w:type="pct"/>
            <w:shd w:val="clear" w:color="auto" w:fill="auto"/>
            <w:hideMark/>
          </w:tcPr>
          <w:p w14:paraId="0394DAC8"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10,068</w:t>
            </w:r>
          </w:p>
        </w:tc>
        <w:tc>
          <w:tcPr>
            <w:tcW w:w="391" w:type="pct"/>
            <w:shd w:val="clear" w:color="auto" w:fill="auto"/>
            <w:hideMark/>
          </w:tcPr>
          <w:p w14:paraId="0099D046"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12,863</w:t>
            </w:r>
          </w:p>
        </w:tc>
        <w:tc>
          <w:tcPr>
            <w:tcW w:w="391" w:type="pct"/>
            <w:shd w:val="clear" w:color="auto" w:fill="auto"/>
            <w:hideMark/>
          </w:tcPr>
          <w:p w14:paraId="27D7C7F3"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9,211</w:t>
            </w:r>
          </w:p>
        </w:tc>
        <w:tc>
          <w:tcPr>
            <w:tcW w:w="390" w:type="pct"/>
            <w:shd w:val="clear" w:color="auto" w:fill="auto"/>
            <w:hideMark/>
          </w:tcPr>
          <w:p w14:paraId="1C1E89CD"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17,793</w:t>
            </w:r>
          </w:p>
        </w:tc>
      </w:tr>
      <w:tr w:rsidR="003D217E" w:rsidRPr="00B67B90" w14:paraId="3EF99C02" w14:textId="77777777" w:rsidTr="001740C5">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430FEF57" w14:textId="77777777" w:rsidR="003D217E" w:rsidRPr="00B67B90" w:rsidRDefault="003D217E" w:rsidP="001740C5">
            <w:pPr>
              <w:adjustRightInd w:val="0"/>
              <w:snapToGrid w:val="0"/>
              <w:jc w:val="both"/>
              <w:rPr>
                <w:rFonts w:ascii="Times New Roman" w:hAnsi="Times New Roman" w:cs="Times New Roman"/>
                <w:b w:val="0"/>
                <w:sz w:val="20"/>
                <w:szCs w:val="20"/>
              </w:rPr>
            </w:pPr>
            <w:r w:rsidRPr="00B67B90">
              <w:rPr>
                <w:rFonts w:ascii="Times New Roman" w:hAnsi="Times New Roman" w:cs="Times New Roman"/>
                <w:b w:val="0"/>
                <w:sz w:val="20"/>
                <w:szCs w:val="20"/>
              </w:rPr>
              <w:t>Population Biomass</w:t>
            </w:r>
          </w:p>
        </w:tc>
        <w:tc>
          <w:tcPr>
            <w:tcW w:w="391" w:type="pct"/>
            <w:shd w:val="clear" w:color="auto" w:fill="auto"/>
          </w:tcPr>
          <w:p w14:paraId="555DB6F8"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66,417</w:t>
            </w:r>
          </w:p>
        </w:tc>
        <w:tc>
          <w:tcPr>
            <w:tcW w:w="391" w:type="pct"/>
            <w:shd w:val="clear" w:color="auto" w:fill="auto"/>
          </w:tcPr>
          <w:p w14:paraId="0741242F"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sz w:val="20"/>
                <w:szCs w:val="20"/>
              </w:rPr>
              <w:t>66,087</w:t>
            </w:r>
          </w:p>
        </w:tc>
        <w:tc>
          <w:tcPr>
            <w:tcW w:w="391" w:type="pct"/>
            <w:shd w:val="clear" w:color="auto" w:fill="auto"/>
          </w:tcPr>
          <w:p w14:paraId="6915DB9D"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sz w:val="20"/>
                <w:szCs w:val="20"/>
              </w:rPr>
              <w:t>68,117</w:t>
            </w:r>
          </w:p>
        </w:tc>
        <w:tc>
          <w:tcPr>
            <w:tcW w:w="391" w:type="pct"/>
            <w:shd w:val="clear" w:color="auto" w:fill="auto"/>
          </w:tcPr>
          <w:p w14:paraId="06970D40"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sz w:val="20"/>
                <w:szCs w:val="20"/>
              </w:rPr>
              <w:t>67,885</w:t>
            </w:r>
          </w:p>
        </w:tc>
        <w:tc>
          <w:tcPr>
            <w:tcW w:w="391" w:type="pct"/>
            <w:shd w:val="clear" w:color="auto" w:fill="auto"/>
          </w:tcPr>
          <w:p w14:paraId="6BE40359"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sz w:val="20"/>
                <w:szCs w:val="20"/>
              </w:rPr>
              <w:t>69,560</w:t>
            </w:r>
          </w:p>
        </w:tc>
        <w:tc>
          <w:tcPr>
            <w:tcW w:w="391" w:type="pct"/>
            <w:shd w:val="clear" w:color="auto" w:fill="auto"/>
          </w:tcPr>
          <w:p w14:paraId="256168E4"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sz w:val="20"/>
                <w:szCs w:val="20"/>
              </w:rPr>
              <w:t>71,951</w:t>
            </w:r>
          </w:p>
        </w:tc>
        <w:tc>
          <w:tcPr>
            <w:tcW w:w="391" w:type="pct"/>
            <w:shd w:val="clear" w:color="auto" w:fill="auto"/>
          </w:tcPr>
          <w:p w14:paraId="2501BA89"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sz w:val="20"/>
                <w:szCs w:val="20"/>
              </w:rPr>
              <w:t>71,979</w:t>
            </w:r>
          </w:p>
        </w:tc>
        <w:tc>
          <w:tcPr>
            <w:tcW w:w="391" w:type="pct"/>
            <w:shd w:val="clear" w:color="auto" w:fill="auto"/>
          </w:tcPr>
          <w:p w14:paraId="4E5DED17"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67,487</w:t>
            </w:r>
          </w:p>
        </w:tc>
        <w:tc>
          <w:tcPr>
            <w:tcW w:w="391" w:type="pct"/>
            <w:shd w:val="clear" w:color="auto" w:fill="auto"/>
          </w:tcPr>
          <w:p w14:paraId="045D6499"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sz w:val="20"/>
                <w:szCs w:val="20"/>
              </w:rPr>
              <w:t>51,856</w:t>
            </w:r>
          </w:p>
        </w:tc>
        <w:tc>
          <w:tcPr>
            <w:tcW w:w="390" w:type="pct"/>
            <w:shd w:val="clear" w:color="auto" w:fill="auto"/>
          </w:tcPr>
          <w:p w14:paraId="0DE901E0"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97,919</w:t>
            </w:r>
          </w:p>
        </w:tc>
      </w:tr>
      <w:tr w:rsidR="003D217E" w:rsidRPr="00B67B90" w14:paraId="700DE3D1" w14:textId="77777777" w:rsidTr="001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08E2C3F5" w14:textId="77777777" w:rsidR="003D217E" w:rsidRPr="00B67B90" w:rsidRDefault="003D217E" w:rsidP="001740C5">
            <w:pPr>
              <w:adjustRightInd w:val="0"/>
              <w:snapToGrid w:val="0"/>
              <w:jc w:val="both"/>
              <w:rPr>
                <w:rFonts w:ascii="Times New Roman" w:hAnsi="Times New Roman" w:cs="Times New Roman"/>
                <w:b w:val="0"/>
                <w:sz w:val="20"/>
                <w:szCs w:val="20"/>
              </w:rPr>
            </w:pPr>
            <w:r w:rsidRPr="00B67B90">
              <w:rPr>
                <w:rFonts w:ascii="Times New Roman" w:hAnsi="Times New Roman" w:cs="Times New Roman"/>
                <w:b w:val="0"/>
                <w:sz w:val="20"/>
                <w:szCs w:val="20"/>
              </w:rPr>
              <w:t>Spawning Biomass</w:t>
            </w:r>
          </w:p>
        </w:tc>
        <w:tc>
          <w:tcPr>
            <w:tcW w:w="391" w:type="pct"/>
            <w:shd w:val="clear" w:color="auto" w:fill="auto"/>
            <w:hideMark/>
          </w:tcPr>
          <w:p w14:paraId="7E844F90"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26,136</w:t>
            </w:r>
          </w:p>
        </w:tc>
        <w:tc>
          <w:tcPr>
            <w:tcW w:w="391" w:type="pct"/>
            <w:shd w:val="clear" w:color="auto" w:fill="auto"/>
            <w:hideMark/>
          </w:tcPr>
          <w:p w14:paraId="34ED450B"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26,448</w:t>
            </w:r>
          </w:p>
        </w:tc>
        <w:tc>
          <w:tcPr>
            <w:tcW w:w="391" w:type="pct"/>
            <w:shd w:val="clear" w:color="auto" w:fill="auto"/>
            <w:hideMark/>
          </w:tcPr>
          <w:p w14:paraId="0D7E890C"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26,569</w:t>
            </w:r>
          </w:p>
        </w:tc>
        <w:tc>
          <w:tcPr>
            <w:tcW w:w="391" w:type="pct"/>
            <w:shd w:val="clear" w:color="auto" w:fill="auto"/>
            <w:hideMark/>
          </w:tcPr>
          <w:p w14:paraId="4A5C40DD"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27,546</w:t>
            </w:r>
          </w:p>
        </w:tc>
        <w:tc>
          <w:tcPr>
            <w:tcW w:w="391" w:type="pct"/>
            <w:shd w:val="clear" w:color="auto" w:fill="auto"/>
            <w:hideMark/>
          </w:tcPr>
          <w:p w14:paraId="50313E45"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28,580</w:t>
            </w:r>
          </w:p>
        </w:tc>
        <w:tc>
          <w:tcPr>
            <w:tcW w:w="391" w:type="pct"/>
            <w:shd w:val="clear" w:color="auto" w:fill="auto"/>
            <w:hideMark/>
          </w:tcPr>
          <w:p w14:paraId="0C2EAAB2"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28,865</w:t>
            </w:r>
          </w:p>
        </w:tc>
        <w:tc>
          <w:tcPr>
            <w:tcW w:w="391" w:type="pct"/>
            <w:shd w:val="clear" w:color="auto" w:fill="auto"/>
            <w:hideMark/>
          </w:tcPr>
          <w:p w14:paraId="75572908"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29,404</w:t>
            </w:r>
          </w:p>
        </w:tc>
        <w:tc>
          <w:tcPr>
            <w:tcW w:w="391" w:type="pct"/>
            <w:shd w:val="clear" w:color="auto" w:fill="auto"/>
            <w:hideMark/>
          </w:tcPr>
          <w:p w14:paraId="2BCE04DB"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24,442</w:t>
            </w:r>
          </w:p>
        </w:tc>
        <w:tc>
          <w:tcPr>
            <w:tcW w:w="391" w:type="pct"/>
            <w:shd w:val="clear" w:color="auto" w:fill="auto"/>
            <w:hideMark/>
          </w:tcPr>
          <w:p w14:paraId="199CFD3C"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17,191</w:t>
            </w:r>
          </w:p>
        </w:tc>
        <w:tc>
          <w:tcPr>
            <w:tcW w:w="390" w:type="pct"/>
            <w:shd w:val="clear" w:color="auto" w:fill="auto"/>
            <w:hideMark/>
          </w:tcPr>
          <w:p w14:paraId="36AB98B3"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44,100</w:t>
            </w:r>
          </w:p>
        </w:tc>
      </w:tr>
      <w:tr w:rsidR="003D217E" w:rsidRPr="00B67B90" w14:paraId="42E14913" w14:textId="77777777" w:rsidTr="001740C5">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5FE9AC21" w14:textId="77777777" w:rsidR="003D217E" w:rsidRPr="003543FC" w:rsidRDefault="003D217E" w:rsidP="001740C5">
            <w:pPr>
              <w:adjustRightInd w:val="0"/>
              <w:snapToGrid w:val="0"/>
              <w:jc w:val="both"/>
              <w:rPr>
                <w:rFonts w:ascii="Times New Roman" w:eastAsiaTheme="minorEastAsia" w:hAnsi="Times New Roman" w:cs="Times New Roman"/>
                <w:b w:val="0"/>
                <w:sz w:val="20"/>
                <w:szCs w:val="20"/>
                <w:lang w:eastAsia="ko-KR"/>
              </w:rPr>
            </w:pPr>
            <w:r w:rsidRPr="00B67B90">
              <w:rPr>
                <w:rFonts w:ascii="Times New Roman" w:hAnsi="Times New Roman" w:cs="Times New Roman"/>
                <w:b w:val="0"/>
                <w:sz w:val="20"/>
                <w:szCs w:val="20"/>
              </w:rPr>
              <w:t xml:space="preserve">Relative </w:t>
            </w:r>
            <w:r>
              <w:rPr>
                <w:rFonts w:ascii="Times New Roman" w:eastAsiaTheme="minorEastAsia" w:hAnsi="Times New Roman" w:cs="Times New Roman" w:hint="eastAsia"/>
                <w:b w:val="0"/>
                <w:sz w:val="20"/>
                <w:szCs w:val="20"/>
                <w:lang w:eastAsia="ko-KR"/>
              </w:rPr>
              <w:t>SB</w:t>
            </w:r>
          </w:p>
        </w:tc>
        <w:tc>
          <w:tcPr>
            <w:tcW w:w="391" w:type="pct"/>
            <w:shd w:val="clear" w:color="auto" w:fill="auto"/>
            <w:hideMark/>
          </w:tcPr>
          <w:p w14:paraId="227D5AB6"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1.66</w:t>
            </w:r>
          </w:p>
        </w:tc>
        <w:tc>
          <w:tcPr>
            <w:tcW w:w="391" w:type="pct"/>
            <w:shd w:val="clear" w:color="auto" w:fill="auto"/>
            <w:hideMark/>
          </w:tcPr>
          <w:p w14:paraId="3E0DC119"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1.68</w:t>
            </w:r>
          </w:p>
        </w:tc>
        <w:tc>
          <w:tcPr>
            <w:tcW w:w="391" w:type="pct"/>
            <w:shd w:val="clear" w:color="auto" w:fill="auto"/>
            <w:hideMark/>
          </w:tcPr>
          <w:p w14:paraId="30B5B2C6"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1.69</w:t>
            </w:r>
          </w:p>
        </w:tc>
        <w:tc>
          <w:tcPr>
            <w:tcW w:w="391" w:type="pct"/>
            <w:shd w:val="clear" w:color="auto" w:fill="auto"/>
            <w:hideMark/>
          </w:tcPr>
          <w:p w14:paraId="459835D6"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1.75</w:t>
            </w:r>
          </w:p>
        </w:tc>
        <w:tc>
          <w:tcPr>
            <w:tcW w:w="391" w:type="pct"/>
            <w:shd w:val="clear" w:color="auto" w:fill="auto"/>
            <w:hideMark/>
          </w:tcPr>
          <w:p w14:paraId="7B563FC2"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1.82</w:t>
            </w:r>
          </w:p>
        </w:tc>
        <w:tc>
          <w:tcPr>
            <w:tcW w:w="391" w:type="pct"/>
            <w:shd w:val="clear" w:color="auto" w:fill="auto"/>
            <w:hideMark/>
          </w:tcPr>
          <w:p w14:paraId="36D900B2"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1.84</w:t>
            </w:r>
          </w:p>
        </w:tc>
        <w:tc>
          <w:tcPr>
            <w:tcW w:w="391" w:type="pct"/>
            <w:shd w:val="clear" w:color="auto" w:fill="auto"/>
            <w:hideMark/>
          </w:tcPr>
          <w:p w14:paraId="3DFC7306"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1.87</w:t>
            </w:r>
          </w:p>
        </w:tc>
        <w:tc>
          <w:tcPr>
            <w:tcW w:w="391" w:type="pct"/>
            <w:shd w:val="clear" w:color="auto" w:fill="auto"/>
            <w:hideMark/>
          </w:tcPr>
          <w:p w14:paraId="18D5762A"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1.56</w:t>
            </w:r>
          </w:p>
        </w:tc>
        <w:tc>
          <w:tcPr>
            <w:tcW w:w="391" w:type="pct"/>
            <w:shd w:val="clear" w:color="auto" w:fill="auto"/>
            <w:hideMark/>
          </w:tcPr>
          <w:p w14:paraId="5022D996"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1.09</w:t>
            </w:r>
          </w:p>
        </w:tc>
        <w:tc>
          <w:tcPr>
            <w:tcW w:w="390" w:type="pct"/>
            <w:shd w:val="clear" w:color="auto" w:fill="auto"/>
            <w:hideMark/>
          </w:tcPr>
          <w:p w14:paraId="64022F66"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2.81</w:t>
            </w:r>
          </w:p>
        </w:tc>
      </w:tr>
      <w:tr w:rsidR="003D217E" w:rsidRPr="00B67B90" w14:paraId="2ED18D74" w14:textId="77777777" w:rsidTr="001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57BD42C1" w14:textId="77777777" w:rsidR="003D217E" w:rsidRPr="00B67B90" w:rsidRDefault="003D217E" w:rsidP="001740C5">
            <w:pPr>
              <w:adjustRightInd w:val="0"/>
              <w:snapToGrid w:val="0"/>
              <w:jc w:val="both"/>
              <w:rPr>
                <w:rFonts w:ascii="Times New Roman" w:hAnsi="Times New Roman" w:cs="Times New Roman"/>
                <w:b w:val="0"/>
                <w:sz w:val="20"/>
                <w:szCs w:val="20"/>
              </w:rPr>
            </w:pPr>
            <w:r w:rsidRPr="00B67B90">
              <w:rPr>
                <w:rFonts w:ascii="Times New Roman" w:hAnsi="Times New Roman" w:cs="Times New Roman"/>
                <w:b w:val="0"/>
                <w:sz w:val="20"/>
                <w:szCs w:val="20"/>
              </w:rPr>
              <w:t>Recruitment (age 0)</w:t>
            </w:r>
          </w:p>
        </w:tc>
        <w:tc>
          <w:tcPr>
            <w:tcW w:w="391" w:type="pct"/>
            <w:shd w:val="clear" w:color="auto" w:fill="auto"/>
            <w:hideMark/>
          </w:tcPr>
          <w:p w14:paraId="12B6D2B0"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789</w:t>
            </w:r>
          </w:p>
        </w:tc>
        <w:tc>
          <w:tcPr>
            <w:tcW w:w="391" w:type="pct"/>
            <w:shd w:val="clear" w:color="auto" w:fill="auto"/>
            <w:hideMark/>
          </w:tcPr>
          <w:p w14:paraId="0ABD64FC"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565</w:t>
            </w:r>
          </w:p>
        </w:tc>
        <w:tc>
          <w:tcPr>
            <w:tcW w:w="391" w:type="pct"/>
            <w:shd w:val="clear" w:color="auto" w:fill="auto"/>
            <w:hideMark/>
          </w:tcPr>
          <w:p w14:paraId="1ED7D01F"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671</w:t>
            </w:r>
          </w:p>
        </w:tc>
        <w:tc>
          <w:tcPr>
            <w:tcW w:w="391" w:type="pct"/>
            <w:shd w:val="clear" w:color="auto" w:fill="auto"/>
            <w:hideMark/>
          </w:tcPr>
          <w:p w14:paraId="5857EE0E"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710</w:t>
            </w:r>
          </w:p>
        </w:tc>
        <w:tc>
          <w:tcPr>
            <w:tcW w:w="391" w:type="pct"/>
            <w:shd w:val="clear" w:color="auto" w:fill="auto"/>
            <w:hideMark/>
          </w:tcPr>
          <w:p w14:paraId="40548326"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683</w:t>
            </w:r>
          </w:p>
        </w:tc>
        <w:tc>
          <w:tcPr>
            <w:tcW w:w="391" w:type="pct"/>
            <w:shd w:val="clear" w:color="auto" w:fill="auto"/>
            <w:hideMark/>
          </w:tcPr>
          <w:p w14:paraId="05383082"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742</w:t>
            </w:r>
          </w:p>
        </w:tc>
        <w:tc>
          <w:tcPr>
            <w:tcW w:w="391" w:type="pct"/>
            <w:shd w:val="clear" w:color="auto" w:fill="auto"/>
            <w:hideMark/>
          </w:tcPr>
          <w:p w14:paraId="57A9ADB0"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781</w:t>
            </w:r>
          </w:p>
        </w:tc>
        <w:tc>
          <w:tcPr>
            <w:tcW w:w="391" w:type="pct"/>
            <w:shd w:val="clear" w:color="auto" w:fill="auto"/>
            <w:hideMark/>
          </w:tcPr>
          <w:p w14:paraId="23791733"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761</w:t>
            </w:r>
          </w:p>
        </w:tc>
        <w:tc>
          <w:tcPr>
            <w:tcW w:w="391" w:type="pct"/>
            <w:shd w:val="clear" w:color="auto" w:fill="auto"/>
            <w:hideMark/>
          </w:tcPr>
          <w:p w14:paraId="777BC655"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401</w:t>
            </w:r>
          </w:p>
        </w:tc>
        <w:tc>
          <w:tcPr>
            <w:tcW w:w="390" w:type="pct"/>
            <w:shd w:val="clear" w:color="auto" w:fill="auto"/>
            <w:hideMark/>
          </w:tcPr>
          <w:p w14:paraId="62749DAB"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1241</w:t>
            </w:r>
          </w:p>
        </w:tc>
      </w:tr>
      <w:tr w:rsidR="003D217E" w:rsidRPr="00B67B90" w14:paraId="04BC0C68" w14:textId="77777777" w:rsidTr="001740C5">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382C56EF" w14:textId="77777777" w:rsidR="003D217E" w:rsidRPr="003543FC" w:rsidRDefault="003D217E" w:rsidP="001740C5">
            <w:pPr>
              <w:adjustRightInd w:val="0"/>
              <w:snapToGrid w:val="0"/>
              <w:jc w:val="both"/>
              <w:rPr>
                <w:rFonts w:ascii="Times New Roman" w:eastAsiaTheme="minorEastAsia" w:hAnsi="Times New Roman" w:cs="Times New Roman"/>
                <w:b w:val="0"/>
                <w:sz w:val="20"/>
                <w:szCs w:val="20"/>
                <w:lang w:eastAsia="ko-KR"/>
              </w:rPr>
            </w:pPr>
            <w:r w:rsidRPr="00B67B90">
              <w:rPr>
                <w:rFonts w:ascii="Times New Roman" w:hAnsi="Times New Roman" w:cs="Times New Roman"/>
                <w:b w:val="0"/>
                <w:sz w:val="20"/>
                <w:szCs w:val="20"/>
              </w:rPr>
              <w:t xml:space="preserve">Fishing </w:t>
            </w:r>
            <w:r>
              <w:rPr>
                <w:rFonts w:ascii="Times New Roman" w:eastAsiaTheme="minorEastAsia" w:hAnsi="Times New Roman" w:cs="Times New Roman" w:hint="eastAsia"/>
                <w:b w:val="0"/>
                <w:sz w:val="20"/>
                <w:szCs w:val="20"/>
                <w:lang w:eastAsia="ko-KR"/>
              </w:rPr>
              <w:t>m</w:t>
            </w:r>
            <w:r w:rsidRPr="00B67B90">
              <w:rPr>
                <w:rFonts w:ascii="Times New Roman" w:hAnsi="Times New Roman" w:cs="Times New Roman"/>
                <w:b w:val="0"/>
                <w:sz w:val="20"/>
                <w:szCs w:val="20"/>
              </w:rPr>
              <w:t>ortality</w:t>
            </w:r>
          </w:p>
        </w:tc>
        <w:tc>
          <w:tcPr>
            <w:tcW w:w="391" w:type="pct"/>
            <w:shd w:val="clear" w:color="auto" w:fill="auto"/>
            <w:noWrap/>
            <w:hideMark/>
          </w:tcPr>
          <w:p w14:paraId="180FE6B8"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0.10</w:t>
            </w:r>
          </w:p>
        </w:tc>
        <w:tc>
          <w:tcPr>
            <w:tcW w:w="391" w:type="pct"/>
            <w:shd w:val="clear" w:color="auto" w:fill="auto"/>
            <w:noWrap/>
            <w:hideMark/>
          </w:tcPr>
          <w:p w14:paraId="3512D6CB"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0.08</w:t>
            </w:r>
          </w:p>
        </w:tc>
        <w:tc>
          <w:tcPr>
            <w:tcW w:w="391" w:type="pct"/>
            <w:shd w:val="clear" w:color="auto" w:fill="auto"/>
            <w:noWrap/>
            <w:hideMark/>
          </w:tcPr>
          <w:p w14:paraId="2EC6FB32"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0.09</w:t>
            </w:r>
          </w:p>
        </w:tc>
        <w:tc>
          <w:tcPr>
            <w:tcW w:w="391" w:type="pct"/>
            <w:shd w:val="clear" w:color="auto" w:fill="auto"/>
            <w:noWrap/>
            <w:hideMark/>
          </w:tcPr>
          <w:p w14:paraId="229F71A7"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0.07</w:t>
            </w:r>
          </w:p>
        </w:tc>
        <w:tc>
          <w:tcPr>
            <w:tcW w:w="391" w:type="pct"/>
            <w:shd w:val="clear" w:color="auto" w:fill="auto"/>
            <w:noWrap/>
            <w:hideMark/>
          </w:tcPr>
          <w:p w14:paraId="59D7C7E4"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0.07</w:t>
            </w:r>
          </w:p>
        </w:tc>
        <w:tc>
          <w:tcPr>
            <w:tcW w:w="391" w:type="pct"/>
            <w:shd w:val="clear" w:color="auto" w:fill="auto"/>
            <w:noWrap/>
            <w:hideMark/>
          </w:tcPr>
          <w:p w14:paraId="461C66D2"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0.09</w:t>
            </w:r>
          </w:p>
        </w:tc>
        <w:tc>
          <w:tcPr>
            <w:tcW w:w="391" w:type="pct"/>
            <w:shd w:val="clear" w:color="auto" w:fill="auto"/>
            <w:noWrap/>
            <w:hideMark/>
          </w:tcPr>
          <w:p w14:paraId="4AA15CD5"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0.07</w:t>
            </w:r>
          </w:p>
        </w:tc>
        <w:tc>
          <w:tcPr>
            <w:tcW w:w="391" w:type="pct"/>
            <w:shd w:val="clear" w:color="auto" w:fill="auto"/>
            <w:hideMark/>
          </w:tcPr>
          <w:p w14:paraId="2B73295A"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0.12</w:t>
            </w:r>
          </w:p>
        </w:tc>
        <w:tc>
          <w:tcPr>
            <w:tcW w:w="391" w:type="pct"/>
            <w:shd w:val="clear" w:color="auto" w:fill="auto"/>
            <w:hideMark/>
          </w:tcPr>
          <w:p w14:paraId="7C063097"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0.07</w:t>
            </w:r>
          </w:p>
        </w:tc>
        <w:tc>
          <w:tcPr>
            <w:tcW w:w="390" w:type="pct"/>
            <w:shd w:val="clear" w:color="auto" w:fill="auto"/>
            <w:hideMark/>
          </w:tcPr>
          <w:p w14:paraId="14831B53"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0.18</w:t>
            </w:r>
          </w:p>
        </w:tc>
      </w:tr>
      <w:tr w:rsidR="003D217E" w:rsidRPr="00B67B90" w14:paraId="163862FE" w14:textId="77777777" w:rsidTr="001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3D34AFAC" w14:textId="77777777" w:rsidR="003D217E" w:rsidRPr="003543FC" w:rsidRDefault="003D217E" w:rsidP="001740C5">
            <w:pPr>
              <w:adjustRightInd w:val="0"/>
              <w:snapToGrid w:val="0"/>
              <w:jc w:val="both"/>
              <w:rPr>
                <w:rFonts w:ascii="Times New Roman" w:eastAsiaTheme="minorEastAsia" w:hAnsi="Times New Roman" w:cs="Times New Roman"/>
                <w:b w:val="0"/>
                <w:sz w:val="20"/>
                <w:szCs w:val="20"/>
                <w:lang w:eastAsia="ko-KR"/>
              </w:rPr>
            </w:pPr>
            <w:r w:rsidRPr="00B67B90">
              <w:rPr>
                <w:rFonts w:ascii="Times New Roman" w:hAnsi="Times New Roman" w:cs="Times New Roman"/>
                <w:b w:val="0"/>
                <w:sz w:val="20"/>
                <w:szCs w:val="20"/>
              </w:rPr>
              <w:t xml:space="preserve">Relative </w:t>
            </w:r>
            <w:r>
              <w:rPr>
                <w:rFonts w:ascii="Times New Roman" w:eastAsiaTheme="minorEastAsia" w:hAnsi="Times New Roman" w:cs="Times New Roman" w:hint="eastAsia"/>
                <w:b w:val="0"/>
                <w:sz w:val="20"/>
                <w:szCs w:val="20"/>
                <w:lang w:eastAsia="ko-KR"/>
              </w:rPr>
              <w:t>F</w:t>
            </w:r>
          </w:p>
        </w:tc>
        <w:tc>
          <w:tcPr>
            <w:tcW w:w="391" w:type="pct"/>
            <w:shd w:val="clear" w:color="auto" w:fill="auto"/>
            <w:noWrap/>
            <w:hideMark/>
          </w:tcPr>
          <w:p w14:paraId="294434AC"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0.57</w:t>
            </w:r>
          </w:p>
        </w:tc>
        <w:tc>
          <w:tcPr>
            <w:tcW w:w="391" w:type="pct"/>
            <w:shd w:val="clear" w:color="auto" w:fill="auto"/>
            <w:noWrap/>
            <w:hideMark/>
          </w:tcPr>
          <w:p w14:paraId="38A5867F"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0.46</w:t>
            </w:r>
          </w:p>
        </w:tc>
        <w:tc>
          <w:tcPr>
            <w:tcW w:w="391" w:type="pct"/>
            <w:shd w:val="clear" w:color="auto" w:fill="auto"/>
            <w:noWrap/>
            <w:hideMark/>
          </w:tcPr>
          <w:p w14:paraId="41259213"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0.51</w:t>
            </w:r>
          </w:p>
        </w:tc>
        <w:tc>
          <w:tcPr>
            <w:tcW w:w="391" w:type="pct"/>
            <w:shd w:val="clear" w:color="auto" w:fill="auto"/>
            <w:noWrap/>
            <w:hideMark/>
          </w:tcPr>
          <w:p w14:paraId="5961B7DF"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0.44</w:t>
            </w:r>
          </w:p>
        </w:tc>
        <w:tc>
          <w:tcPr>
            <w:tcW w:w="391" w:type="pct"/>
            <w:shd w:val="clear" w:color="auto" w:fill="auto"/>
            <w:noWrap/>
            <w:hideMark/>
          </w:tcPr>
          <w:p w14:paraId="14D7BF1B"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0.40</w:t>
            </w:r>
          </w:p>
        </w:tc>
        <w:tc>
          <w:tcPr>
            <w:tcW w:w="391" w:type="pct"/>
            <w:shd w:val="clear" w:color="auto" w:fill="auto"/>
            <w:noWrap/>
            <w:hideMark/>
          </w:tcPr>
          <w:p w14:paraId="33CB2129"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0.51</w:t>
            </w:r>
          </w:p>
        </w:tc>
        <w:tc>
          <w:tcPr>
            <w:tcW w:w="391" w:type="pct"/>
            <w:shd w:val="clear" w:color="auto" w:fill="auto"/>
            <w:noWrap/>
            <w:hideMark/>
          </w:tcPr>
          <w:p w14:paraId="12C3FE22"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0.44</w:t>
            </w:r>
          </w:p>
        </w:tc>
        <w:tc>
          <w:tcPr>
            <w:tcW w:w="391" w:type="pct"/>
            <w:shd w:val="clear" w:color="auto" w:fill="auto"/>
            <w:hideMark/>
          </w:tcPr>
          <w:p w14:paraId="03F928D6"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0.72</w:t>
            </w:r>
          </w:p>
        </w:tc>
        <w:tc>
          <w:tcPr>
            <w:tcW w:w="391" w:type="pct"/>
            <w:shd w:val="clear" w:color="auto" w:fill="auto"/>
            <w:hideMark/>
          </w:tcPr>
          <w:p w14:paraId="08A03BFD"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0.40</w:t>
            </w:r>
          </w:p>
        </w:tc>
        <w:tc>
          <w:tcPr>
            <w:tcW w:w="390" w:type="pct"/>
            <w:shd w:val="clear" w:color="auto" w:fill="auto"/>
            <w:hideMark/>
          </w:tcPr>
          <w:p w14:paraId="062A0CC4" w14:textId="77777777" w:rsidR="003D217E" w:rsidRPr="00B67B90" w:rsidRDefault="003D217E" w:rsidP="001740C5">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1.05</w:t>
            </w:r>
          </w:p>
        </w:tc>
      </w:tr>
      <w:tr w:rsidR="003D217E" w:rsidRPr="00B67B90" w14:paraId="649B40B2" w14:textId="77777777" w:rsidTr="001740C5">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0C3A6F10" w14:textId="77777777" w:rsidR="003D217E" w:rsidRPr="00B67B90" w:rsidRDefault="003D217E" w:rsidP="001740C5">
            <w:pPr>
              <w:adjustRightInd w:val="0"/>
              <w:snapToGrid w:val="0"/>
              <w:jc w:val="both"/>
              <w:rPr>
                <w:rFonts w:ascii="Times New Roman" w:hAnsi="Times New Roman" w:cs="Times New Roman"/>
                <w:b w:val="0"/>
                <w:sz w:val="20"/>
                <w:szCs w:val="20"/>
              </w:rPr>
            </w:pPr>
            <w:r w:rsidRPr="00B67B90">
              <w:rPr>
                <w:rFonts w:ascii="Times New Roman" w:hAnsi="Times New Roman" w:cs="Times New Roman"/>
                <w:b w:val="0"/>
                <w:sz w:val="20"/>
                <w:szCs w:val="20"/>
              </w:rPr>
              <w:t>Spawning Potential Ratio</w:t>
            </w:r>
          </w:p>
        </w:tc>
        <w:tc>
          <w:tcPr>
            <w:tcW w:w="391" w:type="pct"/>
            <w:shd w:val="clear" w:color="auto" w:fill="auto"/>
            <w:noWrap/>
            <w:hideMark/>
          </w:tcPr>
          <w:p w14:paraId="38C3628C"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38%</w:t>
            </w:r>
          </w:p>
        </w:tc>
        <w:tc>
          <w:tcPr>
            <w:tcW w:w="391" w:type="pct"/>
            <w:shd w:val="clear" w:color="auto" w:fill="auto"/>
            <w:noWrap/>
            <w:hideMark/>
          </w:tcPr>
          <w:p w14:paraId="3AA8755E"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41%</w:t>
            </w:r>
          </w:p>
        </w:tc>
        <w:tc>
          <w:tcPr>
            <w:tcW w:w="391" w:type="pct"/>
            <w:shd w:val="clear" w:color="auto" w:fill="auto"/>
            <w:noWrap/>
            <w:hideMark/>
          </w:tcPr>
          <w:p w14:paraId="6BAB6F30"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39%</w:t>
            </w:r>
          </w:p>
        </w:tc>
        <w:tc>
          <w:tcPr>
            <w:tcW w:w="391" w:type="pct"/>
            <w:shd w:val="clear" w:color="auto" w:fill="auto"/>
            <w:noWrap/>
            <w:hideMark/>
          </w:tcPr>
          <w:p w14:paraId="2AD56EB0"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45%</w:t>
            </w:r>
          </w:p>
        </w:tc>
        <w:tc>
          <w:tcPr>
            <w:tcW w:w="391" w:type="pct"/>
            <w:shd w:val="clear" w:color="auto" w:fill="auto"/>
            <w:noWrap/>
            <w:hideMark/>
          </w:tcPr>
          <w:p w14:paraId="59041F4B"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47%</w:t>
            </w:r>
          </w:p>
        </w:tc>
        <w:tc>
          <w:tcPr>
            <w:tcW w:w="391" w:type="pct"/>
            <w:shd w:val="clear" w:color="auto" w:fill="auto"/>
            <w:noWrap/>
            <w:hideMark/>
          </w:tcPr>
          <w:p w14:paraId="0E31536B"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39%</w:t>
            </w:r>
          </w:p>
        </w:tc>
        <w:tc>
          <w:tcPr>
            <w:tcW w:w="391" w:type="pct"/>
            <w:shd w:val="clear" w:color="auto" w:fill="auto"/>
            <w:noWrap/>
            <w:hideMark/>
          </w:tcPr>
          <w:p w14:paraId="1559FB2D"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7B90">
              <w:rPr>
                <w:rFonts w:ascii="Times New Roman" w:hAnsi="Times New Roman" w:cs="Times New Roman"/>
                <w:sz w:val="20"/>
                <w:szCs w:val="20"/>
              </w:rPr>
              <w:t>45%</w:t>
            </w:r>
          </w:p>
        </w:tc>
        <w:tc>
          <w:tcPr>
            <w:tcW w:w="391" w:type="pct"/>
            <w:shd w:val="clear" w:color="auto" w:fill="auto"/>
            <w:hideMark/>
          </w:tcPr>
          <w:p w14:paraId="3805B5E1"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29%</w:t>
            </w:r>
          </w:p>
        </w:tc>
        <w:tc>
          <w:tcPr>
            <w:tcW w:w="391" w:type="pct"/>
            <w:shd w:val="clear" w:color="auto" w:fill="auto"/>
            <w:hideMark/>
          </w:tcPr>
          <w:p w14:paraId="4E1F4BFC"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17%</w:t>
            </w:r>
          </w:p>
        </w:tc>
        <w:tc>
          <w:tcPr>
            <w:tcW w:w="390" w:type="pct"/>
            <w:shd w:val="clear" w:color="auto" w:fill="auto"/>
            <w:hideMark/>
          </w:tcPr>
          <w:p w14:paraId="21B2D4D2" w14:textId="77777777" w:rsidR="003D217E" w:rsidRPr="00B67B90" w:rsidRDefault="003D217E" w:rsidP="001740C5">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67B90">
              <w:rPr>
                <w:rFonts w:ascii="Times New Roman" w:hAnsi="Times New Roman" w:cs="Times New Roman"/>
                <w:color w:val="auto"/>
                <w:sz w:val="20"/>
                <w:szCs w:val="20"/>
              </w:rPr>
              <w:t>47%</w:t>
            </w:r>
          </w:p>
        </w:tc>
      </w:tr>
    </w:tbl>
    <w:p w14:paraId="330DE6A6" w14:textId="77777777" w:rsidR="003D217E" w:rsidRPr="00CA435B" w:rsidRDefault="003D217E" w:rsidP="003D217E">
      <w:pPr>
        <w:adjustRightInd w:val="0"/>
        <w:snapToGrid w:val="0"/>
        <w:rPr>
          <w:b/>
        </w:rPr>
      </w:pPr>
      <w:r w:rsidRPr="00CA435B">
        <w:rPr>
          <w:sz w:val="16"/>
          <w:szCs w:val="16"/>
          <w:vertAlign w:val="superscript"/>
        </w:rPr>
        <w:t xml:space="preserve">1 </w:t>
      </w:r>
      <w:r w:rsidRPr="00CA435B">
        <w:rPr>
          <w:sz w:val="16"/>
          <w:szCs w:val="16"/>
        </w:rPr>
        <w:t>During 1975-2016</w:t>
      </w:r>
    </w:p>
    <w:p w14:paraId="37563D0E" w14:textId="77777777" w:rsidR="003D217E" w:rsidRPr="004635E5" w:rsidRDefault="003D217E" w:rsidP="003D217E">
      <w:pPr>
        <w:adjustRightInd w:val="0"/>
        <w:snapToGrid w:val="0"/>
        <w:rPr>
          <w:rFonts w:eastAsiaTheme="minorEastAsia"/>
          <w:color w:val="000000"/>
          <w:sz w:val="22"/>
          <w:szCs w:val="22"/>
          <w:lang w:val="en-NZ" w:eastAsia="en-NZ"/>
        </w:rPr>
      </w:pPr>
    </w:p>
    <w:p w14:paraId="02711842" w14:textId="77777777" w:rsidR="003D217E" w:rsidRPr="004635E5" w:rsidRDefault="003D217E" w:rsidP="003D217E">
      <w:pPr>
        <w:pStyle w:val="WCPFC"/>
        <w:numPr>
          <w:ilvl w:val="0"/>
          <w:numId w:val="0"/>
        </w:numPr>
        <w:adjustRightInd w:val="0"/>
        <w:spacing w:after="0"/>
        <w:rPr>
          <w:rFonts w:cs="Times New Roman"/>
        </w:rPr>
      </w:pPr>
      <w:r w:rsidRPr="004635E5">
        <w:rPr>
          <w:rFonts w:cs="Times New Roman"/>
          <w:b/>
        </w:rPr>
        <w:t>Table NPS-2</w:t>
      </w:r>
      <w:r w:rsidRPr="004635E5">
        <w:rPr>
          <w:rFonts w:cs="Times New Roman"/>
        </w:rPr>
        <w:t>. Estimates of biological reference points along with estimates of fishing mortality (F), spawning stock biomass (SSB), recent average yield (C), and SPR of WCNPO swordfish, derived from the base case model assessment model, where “MSY” indicates reference points based on maximum sustainable yield.</w:t>
      </w:r>
    </w:p>
    <w:tbl>
      <w:tblPr>
        <w:tblW w:w="0" w:type="auto"/>
        <w:tblInd w:w="36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050"/>
        <w:gridCol w:w="2430"/>
      </w:tblGrid>
      <w:tr w:rsidR="003D217E" w:rsidRPr="004635E5" w14:paraId="3EEFAC4C" w14:textId="77777777" w:rsidTr="001740C5">
        <w:tc>
          <w:tcPr>
            <w:tcW w:w="4050" w:type="dxa"/>
            <w:tcBorders>
              <w:top w:val="single" w:sz="8" w:space="0" w:color="000000"/>
              <w:bottom w:val="single" w:sz="4" w:space="0" w:color="000000"/>
            </w:tcBorders>
            <w:vAlign w:val="center"/>
          </w:tcPr>
          <w:p w14:paraId="47BC4B1B" w14:textId="77777777" w:rsidR="003D217E" w:rsidRPr="00B67B90" w:rsidRDefault="003D217E" w:rsidP="001740C5">
            <w:pPr>
              <w:pStyle w:val="TableParagraph"/>
              <w:adjustRightInd w:val="0"/>
              <w:snapToGrid w:val="0"/>
              <w:spacing w:line="240" w:lineRule="auto"/>
              <w:ind w:left="821" w:right="644"/>
              <w:jc w:val="center"/>
              <w:rPr>
                <w:b/>
                <w:sz w:val="20"/>
                <w:szCs w:val="20"/>
              </w:rPr>
            </w:pPr>
            <w:r w:rsidRPr="00B67B90">
              <w:rPr>
                <w:b/>
                <w:sz w:val="20"/>
                <w:szCs w:val="20"/>
              </w:rPr>
              <w:t>Reference Point</w:t>
            </w:r>
          </w:p>
        </w:tc>
        <w:tc>
          <w:tcPr>
            <w:tcW w:w="2430" w:type="dxa"/>
            <w:tcBorders>
              <w:top w:val="single" w:sz="8" w:space="0" w:color="000000"/>
              <w:bottom w:val="single" w:sz="4" w:space="0" w:color="000000"/>
            </w:tcBorders>
            <w:vAlign w:val="center"/>
          </w:tcPr>
          <w:p w14:paraId="1D9A2E51" w14:textId="77777777" w:rsidR="003D217E" w:rsidRPr="00B67B90" w:rsidRDefault="003D217E" w:rsidP="001740C5">
            <w:pPr>
              <w:pStyle w:val="TableParagraph"/>
              <w:adjustRightInd w:val="0"/>
              <w:snapToGrid w:val="0"/>
              <w:spacing w:line="240" w:lineRule="auto"/>
              <w:ind w:right="542"/>
              <w:jc w:val="center"/>
              <w:rPr>
                <w:b/>
                <w:sz w:val="20"/>
                <w:szCs w:val="20"/>
              </w:rPr>
            </w:pPr>
            <w:r w:rsidRPr="00B67B90">
              <w:rPr>
                <w:b/>
                <w:sz w:val="20"/>
                <w:szCs w:val="20"/>
              </w:rPr>
              <w:t>Estimate</w:t>
            </w:r>
          </w:p>
        </w:tc>
      </w:tr>
      <w:tr w:rsidR="003D217E" w:rsidRPr="004635E5" w14:paraId="133BB913" w14:textId="77777777" w:rsidTr="001740C5">
        <w:tc>
          <w:tcPr>
            <w:tcW w:w="4050" w:type="dxa"/>
            <w:tcBorders>
              <w:top w:val="single" w:sz="4" w:space="0" w:color="000000"/>
            </w:tcBorders>
            <w:vAlign w:val="center"/>
          </w:tcPr>
          <w:p w14:paraId="0BB1B568" w14:textId="77777777" w:rsidR="003D217E" w:rsidRPr="00B67B90" w:rsidRDefault="003D217E" w:rsidP="001740C5">
            <w:pPr>
              <w:pStyle w:val="TableParagraph"/>
              <w:adjustRightInd w:val="0"/>
              <w:snapToGrid w:val="0"/>
              <w:spacing w:line="240" w:lineRule="auto"/>
              <w:ind w:left="818" w:right="644"/>
              <w:jc w:val="center"/>
              <w:rPr>
                <w:sz w:val="20"/>
                <w:szCs w:val="20"/>
              </w:rPr>
            </w:pPr>
            <w:r w:rsidRPr="00B67B90">
              <w:rPr>
                <w:position w:val="3"/>
                <w:sz w:val="20"/>
                <w:szCs w:val="20"/>
              </w:rPr>
              <w:t>F</w:t>
            </w:r>
            <w:r w:rsidRPr="00B67B90">
              <w:rPr>
                <w:sz w:val="20"/>
                <w:szCs w:val="20"/>
              </w:rPr>
              <w:t>MSY</w:t>
            </w:r>
          </w:p>
        </w:tc>
        <w:tc>
          <w:tcPr>
            <w:tcW w:w="2430" w:type="dxa"/>
            <w:tcBorders>
              <w:top w:val="single" w:sz="4" w:space="0" w:color="000000"/>
            </w:tcBorders>
            <w:vAlign w:val="center"/>
          </w:tcPr>
          <w:p w14:paraId="3B89096F" w14:textId="77777777" w:rsidR="003D217E" w:rsidRPr="00B67B90" w:rsidRDefault="003D217E" w:rsidP="001740C5">
            <w:pPr>
              <w:pStyle w:val="TableParagraph"/>
              <w:adjustRightInd w:val="0"/>
              <w:snapToGrid w:val="0"/>
              <w:spacing w:line="240" w:lineRule="auto"/>
              <w:ind w:right="578"/>
              <w:jc w:val="center"/>
              <w:rPr>
                <w:sz w:val="20"/>
                <w:szCs w:val="20"/>
              </w:rPr>
            </w:pPr>
            <w:r w:rsidRPr="00B67B90">
              <w:rPr>
                <w:sz w:val="20"/>
                <w:szCs w:val="20"/>
              </w:rPr>
              <w:t>0.17 yr</w:t>
            </w:r>
            <w:r w:rsidRPr="00B67B90">
              <w:rPr>
                <w:position w:val="10"/>
                <w:sz w:val="20"/>
                <w:szCs w:val="20"/>
              </w:rPr>
              <w:t>-1</w:t>
            </w:r>
          </w:p>
        </w:tc>
      </w:tr>
      <w:tr w:rsidR="003D217E" w:rsidRPr="004635E5" w14:paraId="2EACFB99" w14:textId="77777777" w:rsidTr="001740C5">
        <w:tc>
          <w:tcPr>
            <w:tcW w:w="4050" w:type="dxa"/>
            <w:vAlign w:val="center"/>
          </w:tcPr>
          <w:p w14:paraId="7537C7E5" w14:textId="77777777" w:rsidR="003D217E" w:rsidRPr="00B67B90" w:rsidRDefault="003D217E" w:rsidP="001740C5">
            <w:pPr>
              <w:pStyle w:val="TableParagraph"/>
              <w:adjustRightInd w:val="0"/>
              <w:snapToGrid w:val="0"/>
              <w:spacing w:line="240" w:lineRule="auto"/>
              <w:ind w:left="815" w:right="644"/>
              <w:jc w:val="center"/>
              <w:rPr>
                <w:sz w:val="20"/>
                <w:szCs w:val="20"/>
              </w:rPr>
            </w:pPr>
            <w:r w:rsidRPr="00B67B90">
              <w:rPr>
                <w:position w:val="3"/>
                <w:sz w:val="20"/>
                <w:szCs w:val="20"/>
              </w:rPr>
              <w:t>F</w:t>
            </w:r>
            <w:r w:rsidRPr="00B67B90">
              <w:rPr>
                <w:sz w:val="20"/>
                <w:szCs w:val="20"/>
              </w:rPr>
              <w:t>0.2*SSB(F=0)</w:t>
            </w:r>
          </w:p>
        </w:tc>
        <w:tc>
          <w:tcPr>
            <w:tcW w:w="2430" w:type="dxa"/>
            <w:vAlign w:val="center"/>
          </w:tcPr>
          <w:p w14:paraId="77FC8CA8" w14:textId="77777777" w:rsidR="003D217E" w:rsidRPr="00B67B90" w:rsidRDefault="003D217E" w:rsidP="001740C5">
            <w:pPr>
              <w:pStyle w:val="TableParagraph"/>
              <w:adjustRightInd w:val="0"/>
              <w:snapToGrid w:val="0"/>
              <w:spacing w:line="240" w:lineRule="auto"/>
              <w:ind w:right="578"/>
              <w:jc w:val="center"/>
              <w:rPr>
                <w:sz w:val="20"/>
                <w:szCs w:val="20"/>
              </w:rPr>
            </w:pPr>
            <w:r w:rsidRPr="00B67B90">
              <w:rPr>
                <w:sz w:val="20"/>
                <w:szCs w:val="20"/>
              </w:rPr>
              <w:t>0.16 yr</w:t>
            </w:r>
            <w:r w:rsidRPr="00B67B90">
              <w:rPr>
                <w:position w:val="10"/>
                <w:sz w:val="20"/>
                <w:szCs w:val="20"/>
              </w:rPr>
              <w:t>-1</w:t>
            </w:r>
          </w:p>
        </w:tc>
      </w:tr>
      <w:tr w:rsidR="003D217E" w:rsidRPr="004635E5" w14:paraId="713EAEC2" w14:textId="77777777" w:rsidTr="001740C5">
        <w:tc>
          <w:tcPr>
            <w:tcW w:w="4050" w:type="dxa"/>
            <w:vAlign w:val="center"/>
          </w:tcPr>
          <w:p w14:paraId="3D3CEC15" w14:textId="77777777" w:rsidR="003D217E" w:rsidRPr="00B67B90" w:rsidRDefault="003D217E" w:rsidP="001740C5">
            <w:pPr>
              <w:pStyle w:val="TableParagraph"/>
              <w:adjustRightInd w:val="0"/>
              <w:snapToGrid w:val="0"/>
              <w:spacing w:line="240" w:lineRule="auto"/>
              <w:ind w:left="815" w:right="644"/>
              <w:jc w:val="center"/>
              <w:rPr>
                <w:sz w:val="20"/>
                <w:szCs w:val="20"/>
              </w:rPr>
            </w:pPr>
            <w:r w:rsidRPr="00B67B90">
              <w:rPr>
                <w:position w:val="3"/>
                <w:sz w:val="20"/>
                <w:szCs w:val="20"/>
              </w:rPr>
              <w:t>F</w:t>
            </w:r>
            <w:r w:rsidRPr="00B67B90">
              <w:rPr>
                <w:sz w:val="20"/>
                <w:szCs w:val="20"/>
              </w:rPr>
              <w:t>2013-2015</w:t>
            </w:r>
          </w:p>
        </w:tc>
        <w:tc>
          <w:tcPr>
            <w:tcW w:w="2430" w:type="dxa"/>
            <w:vAlign w:val="center"/>
          </w:tcPr>
          <w:p w14:paraId="6539B0C0" w14:textId="77777777" w:rsidR="003D217E" w:rsidRPr="00B67B90" w:rsidRDefault="003D217E" w:rsidP="001740C5">
            <w:pPr>
              <w:pStyle w:val="TableParagraph"/>
              <w:adjustRightInd w:val="0"/>
              <w:snapToGrid w:val="0"/>
              <w:spacing w:line="240" w:lineRule="auto"/>
              <w:ind w:right="578"/>
              <w:jc w:val="center"/>
              <w:rPr>
                <w:sz w:val="20"/>
                <w:szCs w:val="20"/>
              </w:rPr>
            </w:pPr>
            <w:r w:rsidRPr="00B67B90">
              <w:rPr>
                <w:sz w:val="20"/>
                <w:szCs w:val="20"/>
              </w:rPr>
              <w:t>0.08 yr</w:t>
            </w:r>
            <w:r w:rsidRPr="00B67B90">
              <w:rPr>
                <w:position w:val="10"/>
                <w:sz w:val="20"/>
                <w:szCs w:val="20"/>
              </w:rPr>
              <w:t>-1</w:t>
            </w:r>
          </w:p>
        </w:tc>
      </w:tr>
      <w:tr w:rsidR="003D217E" w:rsidRPr="004635E5" w14:paraId="361115A4" w14:textId="77777777" w:rsidTr="001740C5">
        <w:tc>
          <w:tcPr>
            <w:tcW w:w="4050" w:type="dxa"/>
            <w:vAlign w:val="center"/>
          </w:tcPr>
          <w:p w14:paraId="0CC32FBB" w14:textId="77777777" w:rsidR="003D217E" w:rsidRPr="00B67B90" w:rsidRDefault="003D217E" w:rsidP="001740C5">
            <w:pPr>
              <w:pStyle w:val="TableParagraph"/>
              <w:adjustRightInd w:val="0"/>
              <w:snapToGrid w:val="0"/>
              <w:spacing w:line="240" w:lineRule="auto"/>
              <w:ind w:left="818" w:right="644"/>
              <w:jc w:val="center"/>
              <w:rPr>
                <w:sz w:val="20"/>
                <w:szCs w:val="20"/>
              </w:rPr>
            </w:pPr>
            <w:r w:rsidRPr="00B67B90">
              <w:rPr>
                <w:sz w:val="20"/>
                <w:szCs w:val="20"/>
              </w:rPr>
              <w:t>SSB</w:t>
            </w:r>
            <w:r w:rsidRPr="00B67B90">
              <w:rPr>
                <w:position w:val="-2"/>
                <w:sz w:val="20"/>
                <w:szCs w:val="20"/>
              </w:rPr>
              <w:t>MSY</w:t>
            </w:r>
          </w:p>
        </w:tc>
        <w:tc>
          <w:tcPr>
            <w:tcW w:w="2430" w:type="dxa"/>
            <w:vAlign w:val="center"/>
          </w:tcPr>
          <w:p w14:paraId="370AD819" w14:textId="77777777" w:rsidR="003D217E" w:rsidRPr="00B67B90" w:rsidRDefault="003D217E" w:rsidP="001740C5">
            <w:pPr>
              <w:pStyle w:val="TableParagraph"/>
              <w:adjustRightInd w:val="0"/>
              <w:snapToGrid w:val="0"/>
              <w:spacing w:line="240" w:lineRule="auto"/>
              <w:ind w:right="489"/>
              <w:jc w:val="center"/>
              <w:rPr>
                <w:sz w:val="20"/>
                <w:szCs w:val="20"/>
              </w:rPr>
            </w:pPr>
            <w:r w:rsidRPr="00B67B90">
              <w:rPr>
                <w:sz w:val="20"/>
                <w:szCs w:val="20"/>
              </w:rPr>
              <w:t>15,702 mt</w:t>
            </w:r>
          </w:p>
        </w:tc>
      </w:tr>
      <w:tr w:rsidR="003D217E" w:rsidRPr="004635E5" w14:paraId="0C06ACFD" w14:textId="77777777" w:rsidTr="001740C5">
        <w:tc>
          <w:tcPr>
            <w:tcW w:w="4050" w:type="dxa"/>
            <w:vAlign w:val="center"/>
          </w:tcPr>
          <w:p w14:paraId="48781742" w14:textId="77777777" w:rsidR="003D217E" w:rsidRPr="00B67B90" w:rsidRDefault="003D217E" w:rsidP="001740C5">
            <w:pPr>
              <w:pStyle w:val="TableParagraph"/>
              <w:adjustRightInd w:val="0"/>
              <w:snapToGrid w:val="0"/>
              <w:spacing w:line="240" w:lineRule="auto"/>
              <w:ind w:left="817" w:right="644"/>
              <w:jc w:val="center"/>
              <w:rPr>
                <w:sz w:val="20"/>
                <w:szCs w:val="20"/>
              </w:rPr>
            </w:pPr>
            <w:r w:rsidRPr="00B67B90">
              <w:rPr>
                <w:position w:val="3"/>
                <w:sz w:val="20"/>
                <w:szCs w:val="20"/>
              </w:rPr>
              <w:t>SSB</w:t>
            </w:r>
            <w:r w:rsidRPr="00B67B90">
              <w:rPr>
                <w:sz w:val="20"/>
                <w:szCs w:val="20"/>
              </w:rPr>
              <w:t>2016</w:t>
            </w:r>
          </w:p>
        </w:tc>
        <w:tc>
          <w:tcPr>
            <w:tcW w:w="2430" w:type="dxa"/>
            <w:vAlign w:val="center"/>
          </w:tcPr>
          <w:p w14:paraId="42212148" w14:textId="77777777" w:rsidR="003D217E" w:rsidRPr="00B67B90" w:rsidRDefault="003D217E" w:rsidP="001740C5">
            <w:pPr>
              <w:pStyle w:val="TableParagraph"/>
              <w:adjustRightInd w:val="0"/>
              <w:snapToGrid w:val="0"/>
              <w:spacing w:line="240" w:lineRule="auto"/>
              <w:ind w:right="489"/>
              <w:jc w:val="center"/>
              <w:rPr>
                <w:sz w:val="20"/>
                <w:szCs w:val="20"/>
              </w:rPr>
            </w:pPr>
            <w:r w:rsidRPr="00B67B90">
              <w:rPr>
                <w:sz w:val="20"/>
                <w:szCs w:val="20"/>
              </w:rPr>
              <w:t>29,403 mt</w:t>
            </w:r>
          </w:p>
        </w:tc>
      </w:tr>
      <w:tr w:rsidR="003D217E" w:rsidRPr="004635E5" w14:paraId="75F4B918" w14:textId="77777777" w:rsidTr="001740C5">
        <w:tc>
          <w:tcPr>
            <w:tcW w:w="4050" w:type="dxa"/>
            <w:vAlign w:val="center"/>
          </w:tcPr>
          <w:p w14:paraId="7727139D" w14:textId="77777777" w:rsidR="003D217E" w:rsidRPr="00B67B90" w:rsidRDefault="003D217E" w:rsidP="001740C5">
            <w:pPr>
              <w:pStyle w:val="TableParagraph"/>
              <w:adjustRightInd w:val="0"/>
              <w:snapToGrid w:val="0"/>
              <w:spacing w:line="240" w:lineRule="auto"/>
              <w:ind w:left="817" w:right="644"/>
              <w:jc w:val="center"/>
              <w:rPr>
                <w:sz w:val="20"/>
                <w:szCs w:val="20"/>
              </w:rPr>
            </w:pPr>
            <w:r w:rsidRPr="00B67B90">
              <w:rPr>
                <w:sz w:val="20"/>
                <w:szCs w:val="20"/>
              </w:rPr>
              <w:t>SSB</w:t>
            </w:r>
            <w:r w:rsidRPr="00B67B90">
              <w:rPr>
                <w:position w:val="-2"/>
                <w:sz w:val="20"/>
                <w:szCs w:val="20"/>
              </w:rPr>
              <w:t>F=0</w:t>
            </w:r>
          </w:p>
        </w:tc>
        <w:tc>
          <w:tcPr>
            <w:tcW w:w="2430" w:type="dxa"/>
            <w:vAlign w:val="center"/>
          </w:tcPr>
          <w:p w14:paraId="31286699" w14:textId="77777777" w:rsidR="003D217E" w:rsidRPr="00B67B90" w:rsidRDefault="003D217E" w:rsidP="001740C5">
            <w:pPr>
              <w:pStyle w:val="TableParagraph"/>
              <w:adjustRightInd w:val="0"/>
              <w:snapToGrid w:val="0"/>
              <w:spacing w:line="240" w:lineRule="auto"/>
              <w:ind w:right="489"/>
              <w:jc w:val="center"/>
              <w:rPr>
                <w:sz w:val="20"/>
                <w:szCs w:val="20"/>
              </w:rPr>
            </w:pPr>
            <w:r w:rsidRPr="00B67B90">
              <w:rPr>
                <w:sz w:val="20"/>
                <w:szCs w:val="20"/>
              </w:rPr>
              <w:t>97,286 mt</w:t>
            </w:r>
          </w:p>
        </w:tc>
      </w:tr>
      <w:tr w:rsidR="003D217E" w:rsidRPr="004635E5" w14:paraId="04075A11" w14:textId="77777777" w:rsidTr="001740C5">
        <w:tc>
          <w:tcPr>
            <w:tcW w:w="4050" w:type="dxa"/>
            <w:vAlign w:val="center"/>
          </w:tcPr>
          <w:p w14:paraId="486DD2CB" w14:textId="77777777" w:rsidR="003D217E" w:rsidRPr="00B67B90" w:rsidRDefault="003D217E" w:rsidP="001740C5">
            <w:pPr>
              <w:pStyle w:val="TableParagraph"/>
              <w:adjustRightInd w:val="0"/>
              <w:snapToGrid w:val="0"/>
              <w:spacing w:line="240" w:lineRule="auto"/>
              <w:ind w:left="819" w:right="644"/>
              <w:jc w:val="center"/>
              <w:rPr>
                <w:sz w:val="20"/>
                <w:szCs w:val="20"/>
              </w:rPr>
            </w:pPr>
            <w:r w:rsidRPr="00B67B90">
              <w:rPr>
                <w:sz w:val="20"/>
                <w:szCs w:val="20"/>
              </w:rPr>
              <w:t>MSY</w:t>
            </w:r>
          </w:p>
        </w:tc>
        <w:tc>
          <w:tcPr>
            <w:tcW w:w="2430" w:type="dxa"/>
            <w:vAlign w:val="center"/>
          </w:tcPr>
          <w:p w14:paraId="383C8000" w14:textId="77777777" w:rsidR="003D217E" w:rsidRPr="00B67B90" w:rsidRDefault="003D217E" w:rsidP="001740C5">
            <w:pPr>
              <w:pStyle w:val="TableParagraph"/>
              <w:adjustRightInd w:val="0"/>
              <w:snapToGrid w:val="0"/>
              <w:spacing w:line="240" w:lineRule="auto"/>
              <w:ind w:right="489"/>
              <w:jc w:val="center"/>
              <w:rPr>
                <w:sz w:val="20"/>
                <w:szCs w:val="20"/>
              </w:rPr>
            </w:pPr>
            <w:r w:rsidRPr="00B67B90">
              <w:rPr>
                <w:sz w:val="20"/>
                <w:szCs w:val="20"/>
              </w:rPr>
              <w:t>14,941 mt</w:t>
            </w:r>
          </w:p>
        </w:tc>
      </w:tr>
      <w:tr w:rsidR="003D217E" w:rsidRPr="004635E5" w14:paraId="529BE568" w14:textId="77777777" w:rsidTr="001740C5">
        <w:tc>
          <w:tcPr>
            <w:tcW w:w="4050" w:type="dxa"/>
            <w:vAlign w:val="center"/>
          </w:tcPr>
          <w:p w14:paraId="2916FE64" w14:textId="77777777" w:rsidR="003D217E" w:rsidRPr="00B67B90" w:rsidRDefault="003D217E" w:rsidP="001740C5">
            <w:pPr>
              <w:pStyle w:val="TableParagraph"/>
              <w:adjustRightInd w:val="0"/>
              <w:snapToGrid w:val="0"/>
              <w:spacing w:line="240" w:lineRule="auto"/>
              <w:ind w:left="815" w:right="644"/>
              <w:jc w:val="center"/>
              <w:rPr>
                <w:sz w:val="20"/>
                <w:szCs w:val="20"/>
              </w:rPr>
            </w:pPr>
            <w:r w:rsidRPr="00B67B90">
              <w:rPr>
                <w:position w:val="3"/>
                <w:sz w:val="20"/>
                <w:szCs w:val="20"/>
              </w:rPr>
              <w:t>C</w:t>
            </w:r>
            <w:r w:rsidRPr="00B67B90">
              <w:rPr>
                <w:sz w:val="20"/>
                <w:szCs w:val="20"/>
              </w:rPr>
              <w:t>2012-2016</w:t>
            </w:r>
          </w:p>
        </w:tc>
        <w:tc>
          <w:tcPr>
            <w:tcW w:w="2430" w:type="dxa"/>
            <w:vAlign w:val="center"/>
          </w:tcPr>
          <w:p w14:paraId="722A0F5A" w14:textId="77777777" w:rsidR="003D217E" w:rsidRPr="00B67B90" w:rsidRDefault="003D217E" w:rsidP="001740C5">
            <w:pPr>
              <w:pStyle w:val="TableParagraph"/>
              <w:adjustRightInd w:val="0"/>
              <w:snapToGrid w:val="0"/>
              <w:spacing w:line="240" w:lineRule="auto"/>
              <w:ind w:right="489"/>
              <w:jc w:val="center"/>
              <w:rPr>
                <w:sz w:val="20"/>
                <w:szCs w:val="20"/>
              </w:rPr>
            </w:pPr>
            <w:r w:rsidRPr="00B67B90">
              <w:rPr>
                <w:sz w:val="20"/>
                <w:szCs w:val="20"/>
              </w:rPr>
              <w:t>10,160 mt</w:t>
            </w:r>
          </w:p>
        </w:tc>
      </w:tr>
      <w:tr w:rsidR="003D217E" w:rsidRPr="004635E5" w14:paraId="69C12898" w14:textId="77777777" w:rsidTr="001740C5">
        <w:tc>
          <w:tcPr>
            <w:tcW w:w="4050" w:type="dxa"/>
            <w:vAlign w:val="center"/>
          </w:tcPr>
          <w:p w14:paraId="41BCAE68" w14:textId="77777777" w:rsidR="003D217E" w:rsidRPr="00B67B90" w:rsidRDefault="003D217E" w:rsidP="001740C5">
            <w:pPr>
              <w:pStyle w:val="TableParagraph"/>
              <w:adjustRightInd w:val="0"/>
              <w:snapToGrid w:val="0"/>
              <w:spacing w:line="240" w:lineRule="auto"/>
              <w:ind w:left="821" w:right="642"/>
              <w:jc w:val="center"/>
              <w:rPr>
                <w:sz w:val="20"/>
                <w:szCs w:val="20"/>
              </w:rPr>
            </w:pPr>
            <w:r w:rsidRPr="00B67B90">
              <w:rPr>
                <w:sz w:val="20"/>
                <w:szCs w:val="20"/>
              </w:rPr>
              <w:t>SPR</w:t>
            </w:r>
            <w:r w:rsidRPr="00B67B90">
              <w:rPr>
                <w:position w:val="-2"/>
                <w:sz w:val="20"/>
                <w:szCs w:val="20"/>
              </w:rPr>
              <w:t>MSY</w:t>
            </w:r>
          </w:p>
        </w:tc>
        <w:tc>
          <w:tcPr>
            <w:tcW w:w="2430" w:type="dxa"/>
            <w:vAlign w:val="center"/>
          </w:tcPr>
          <w:p w14:paraId="7E7BADA2" w14:textId="77777777" w:rsidR="003D217E" w:rsidRPr="00B67B90" w:rsidRDefault="003D217E" w:rsidP="001740C5">
            <w:pPr>
              <w:pStyle w:val="TableParagraph"/>
              <w:adjustRightInd w:val="0"/>
              <w:snapToGrid w:val="0"/>
              <w:spacing w:line="240" w:lineRule="auto"/>
              <w:ind w:left="909" w:right="738"/>
              <w:jc w:val="center"/>
              <w:rPr>
                <w:sz w:val="20"/>
                <w:szCs w:val="20"/>
              </w:rPr>
            </w:pPr>
            <w:r w:rsidRPr="00B67B90">
              <w:rPr>
                <w:sz w:val="20"/>
                <w:szCs w:val="20"/>
              </w:rPr>
              <w:t>18%</w:t>
            </w:r>
          </w:p>
        </w:tc>
      </w:tr>
      <w:tr w:rsidR="003D217E" w:rsidRPr="004635E5" w14:paraId="41C9ECE1" w14:textId="77777777" w:rsidTr="001740C5">
        <w:tc>
          <w:tcPr>
            <w:tcW w:w="4050" w:type="dxa"/>
            <w:tcBorders>
              <w:bottom w:val="single" w:sz="8" w:space="0" w:color="000000"/>
            </w:tcBorders>
            <w:vAlign w:val="center"/>
          </w:tcPr>
          <w:p w14:paraId="323F3C17" w14:textId="77777777" w:rsidR="003D217E" w:rsidRPr="00B67B90" w:rsidRDefault="003D217E" w:rsidP="001740C5">
            <w:pPr>
              <w:pStyle w:val="TableParagraph"/>
              <w:adjustRightInd w:val="0"/>
              <w:snapToGrid w:val="0"/>
              <w:spacing w:line="240" w:lineRule="auto"/>
              <w:ind w:left="817" w:right="644"/>
              <w:jc w:val="center"/>
              <w:rPr>
                <w:sz w:val="20"/>
                <w:szCs w:val="20"/>
              </w:rPr>
            </w:pPr>
            <w:r w:rsidRPr="00B67B90">
              <w:rPr>
                <w:position w:val="3"/>
                <w:sz w:val="20"/>
                <w:szCs w:val="20"/>
              </w:rPr>
              <w:t>SPR</w:t>
            </w:r>
            <w:r w:rsidRPr="00B67B90">
              <w:rPr>
                <w:sz w:val="20"/>
                <w:szCs w:val="20"/>
              </w:rPr>
              <w:t>2016</w:t>
            </w:r>
          </w:p>
        </w:tc>
        <w:tc>
          <w:tcPr>
            <w:tcW w:w="2430" w:type="dxa"/>
            <w:tcBorders>
              <w:bottom w:val="single" w:sz="8" w:space="0" w:color="000000"/>
            </w:tcBorders>
            <w:vAlign w:val="center"/>
          </w:tcPr>
          <w:p w14:paraId="3EF11546" w14:textId="77777777" w:rsidR="003D217E" w:rsidRPr="00B67B90" w:rsidRDefault="003D217E" w:rsidP="001740C5">
            <w:pPr>
              <w:pStyle w:val="TableParagraph"/>
              <w:adjustRightInd w:val="0"/>
              <w:snapToGrid w:val="0"/>
              <w:spacing w:line="240" w:lineRule="auto"/>
              <w:ind w:left="909" w:right="738"/>
              <w:jc w:val="center"/>
              <w:rPr>
                <w:sz w:val="20"/>
                <w:szCs w:val="20"/>
              </w:rPr>
            </w:pPr>
            <w:r w:rsidRPr="00B67B90">
              <w:rPr>
                <w:sz w:val="20"/>
                <w:szCs w:val="20"/>
              </w:rPr>
              <w:t>45%</w:t>
            </w:r>
          </w:p>
        </w:tc>
      </w:tr>
    </w:tbl>
    <w:p w14:paraId="7A915464" w14:textId="77777777" w:rsidR="003D217E" w:rsidRDefault="003D217E" w:rsidP="003D217E">
      <w:pPr>
        <w:pStyle w:val="WCPFC"/>
        <w:numPr>
          <w:ilvl w:val="0"/>
          <w:numId w:val="0"/>
        </w:numPr>
        <w:adjustRightInd w:val="0"/>
        <w:spacing w:after="0"/>
        <w:ind w:left="360"/>
        <w:rPr>
          <w:rFonts w:cs="Times New Roman"/>
        </w:rPr>
      </w:pPr>
    </w:p>
    <w:p w14:paraId="345F8CAB" w14:textId="77777777" w:rsidR="003D217E" w:rsidRPr="004635E5" w:rsidRDefault="003D217E" w:rsidP="003D217E">
      <w:pPr>
        <w:pStyle w:val="WCPFC"/>
        <w:numPr>
          <w:ilvl w:val="0"/>
          <w:numId w:val="0"/>
        </w:numPr>
        <w:adjustRightInd w:val="0"/>
        <w:spacing w:after="0"/>
        <w:rPr>
          <w:rFonts w:cs="Times New Roman"/>
        </w:rPr>
      </w:pPr>
      <w:r w:rsidRPr="004635E5">
        <w:rPr>
          <w:rFonts w:cs="Times New Roman"/>
          <w:b/>
        </w:rPr>
        <w:t>Table NPS-3</w:t>
      </w:r>
      <w:r w:rsidRPr="004635E5">
        <w:rPr>
          <w:rFonts w:cs="Times New Roman"/>
        </w:rPr>
        <w:t>. Projected values of WCNPO swordfish spawning stock biomass (SSB, mt) and catch (mt)</w:t>
      </w:r>
      <w:r>
        <w:rPr>
          <w:rFonts w:cs="Times New Roman" w:hint="eastAsia"/>
          <w:lang w:eastAsia="ko-KR"/>
        </w:rPr>
        <w:t xml:space="preserve"> </w:t>
      </w:r>
      <w:r w:rsidRPr="004635E5">
        <w:rPr>
          <w:rFonts w:cs="Times New Roman"/>
        </w:rPr>
        <w:t>under five constant fishing mortality rate (F, yr</w:t>
      </w:r>
      <w:r w:rsidRPr="003543FC">
        <w:rPr>
          <w:rFonts w:cs="Times New Roman" w:hint="eastAsia"/>
          <w:vertAlign w:val="superscript"/>
          <w:lang w:eastAsia="ko-KR"/>
        </w:rPr>
        <w:t>-1</w:t>
      </w:r>
      <w:r w:rsidRPr="004635E5">
        <w:rPr>
          <w:rFonts w:cs="Times New Roman"/>
        </w:rPr>
        <w:t>) scenarios during 2017-2026.</w:t>
      </w:r>
    </w:p>
    <w:tbl>
      <w:tblPr>
        <w:tblpPr w:leftFromText="180" w:rightFromText="180" w:vertAnchor="text" w:horzAnchor="margin" w:tblpY="166"/>
        <w:tblW w:w="959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94"/>
        <w:gridCol w:w="932"/>
        <w:gridCol w:w="876"/>
        <w:gridCol w:w="878"/>
        <w:gridCol w:w="877"/>
        <w:gridCol w:w="877"/>
        <w:gridCol w:w="877"/>
        <w:gridCol w:w="876"/>
        <w:gridCol w:w="878"/>
        <w:gridCol w:w="877"/>
        <w:gridCol w:w="850"/>
      </w:tblGrid>
      <w:tr w:rsidR="003D217E" w:rsidRPr="003543FC" w14:paraId="447D92E1" w14:textId="77777777" w:rsidTr="001740C5">
        <w:trPr>
          <w:trHeight w:val="20"/>
        </w:trPr>
        <w:tc>
          <w:tcPr>
            <w:tcW w:w="794" w:type="dxa"/>
            <w:tcBorders>
              <w:top w:val="single" w:sz="8" w:space="0" w:color="000000"/>
              <w:bottom w:val="single" w:sz="8" w:space="0" w:color="000000"/>
            </w:tcBorders>
          </w:tcPr>
          <w:p w14:paraId="50A45E34" w14:textId="77777777" w:rsidR="003D217E" w:rsidRPr="003543FC" w:rsidRDefault="003D217E" w:rsidP="001740C5">
            <w:pPr>
              <w:pStyle w:val="TableParagraph"/>
              <w:adjustRightInd w:val="0"/>
              <w:snapToGrid w:val="0"/>
              <w:spacing w:line="240" w:lineRule="auto"/>
              <w:ind w:left="0"/>
              <w:rPr>
                <w:b/>
                <w:sz w:val="18"/>
                <w:szCs w:val="18"/>
              </w:rPr>
            </w:pPr>
            <w:r w:rsidRPr="003543FC">
              <w:rPr>
                <w:b/>
                <w:sz w:val="18"/>
                <w:szCs w:val="18"/>
              </w:rPr>
              <w:t>Year</w:t>
            </w:r>
          </w:p>
        </w:tc>
        <w:tc>
          <w:tcPr>
            <w:tcW w:w="932" w:type="dxa"/>
            <w:tcBorders>
              <w:top w:val="single" w:sz="8" w:space="0" w:color="000000"/>
              <w:bottom w:val="single" w:sz="8" w:space="0" w:color="000000"/>
            </w:tcBorders>
          </w:tcPr>
          <w:p w14:paraId="4CBEC1D0" w14:textId="77777777" w:rsidR="003D217E" w:rsidRPr="003543FC" w:rsidRDefault="003D217E" w:rsidP="001740C5">
            <w:pPr>
              <w:pStyle w:val="TableParagraph"/>
              <w:adjustRightInd w:val="0"/>
              <w:snapToGrid w:val="0"/>
              <w:spacing w:line="240" w:lineRule="auto"/>
              <w:ind w:left="106"/>
              <w:jc w:val="right"/>
              <w:rPr>
                <w:b/>
                <w:sz w:val="18"/>
                <w:szCs w:val="18"/>
              </w:rPr>
            </w:pPr>
            <w:r w:rsidRPr="003543FC">
              <w:rPr>
                <w:b/>
                <w:sz w:val="18"/>
                <w:szCs w:val="18"/>
              </w:rPr>
              <w:t>2017</w:t>
            </w:r>
          </w:p>
        </w:tc>
        <w:tc>
          <w:tcPr>
            <w:tcW w:w="876" w:type="dxa"/>
            <w:tcBorders>
              <w:top w:val="single" w:sz="8" w:space="0" w:color="000000"/>
              <w:bottom w:val="single" w:sz="8" w:space="0" w:color="000000"/>
            </w:tcBorders>
          </w:tcPr>
          <w:p w14:paraId="4D1E28FF" w14:textId="77777777" w:rsidR="003D217E" w:rsidRPr="003543FC" w:rsidRDefault="003D217E" w:rsidP="001740C5">
            <w:pPr>
              <w:pStyle w:val="TableParagraph"/>
              <w:adjustRightInd w:val="0"/>
              <w:snapToGrid w:val="0"/>
              <w:spacing w:line="240" w:lineRule="auto"/>
              <w:ind w:left="0"/>
              <w:jc w:val="right"/>
              <w:rPr>
                <w:b/>
                <w:sz w:val="18"/>
                <w:szCs w:val="18"/>
              </w:rPr>
            </w:pPr>
            <w:r w:rsidRPr="003543FC">
              <w:rPr>
                <w:b/>
                <w:sz w:val="18"/>
                <w:szCs w:val="18"/>
              </w:rPr>
              <w:t>2018</w:t>
            </w:r>
          </w:p>
        </w:tc>
        <w:tc>
          <w:tcPr>
            <w:tcW w:w="878" w:type="dxa"/>
            <w:tcBorders>
              <w:top w:val="single" w:sz="8" w:space="0" w:color="000000"/>
              <w:bottom w:val="single" w:sz="8" w:space="0" w:color="000000"/>
            </w:tcBorders>
          </w:tcPr>
          <w:p w14:paraId="19178FB6" w14:textId="77777777" w:rsidR="003D217E" w:rsidRPr="003543FC" w:rsidRDefault="003D217E" w:rsidP="001740C5">
            <w:pPr>
              <w:pStyle w:val="TableParagraph"/>
              <w:adjustRightInd w:val="0"/>
              <w:snapToGrid w:val="0"/>
              <w:spacing w:line="240" w:lineRule="auto"/>
              <w:ind w:left="0"/>
              <w:jc w:val="right"/>
              <w:rPr>
                <w:b/>
                <w:sz w:val="18"/>
                <w:szCs w:val="18"/>
              </w:rPr>
            </w:pPr>
            <w:r w:rsidRPr="003543FC">
              <w:rPr>
                <w:b/>
                <w:sz w:val="18"/>
                <w:szCs w:val="18"/>
              </w:rPr>
              <w:t>2019</w:t>
            </w:r>
          </w:p>
        </w:tc>
        <w:tc>
          <w:tcPr>
            <w:tcW w:w="877" w:type="dxa"/>
            <w:tcBorders>
              <w:top w:val="single" w:sz="8" w:space="0" w:color="000000"/>
              <w:bottom w:val="single" w:sz="8" w:space="0" w:color="000000"/>
            </w:tcBorders>
          </w:tcPr>
          <w:p w14:paraId="37F10120" w14:textId="77777777" w:rsidR="003D217E" w:rsidRPr="003543FC" w:rsidRDefault="003D217E" w:rsidP="001740C5">
            <w:pPr>
              <w:pStyle w:val="TableParagraph"/>
              <w:adjustRightInd w:val="0"/>
              <w:snapToGrid w:val="0"/>
              <w:spacing w:line="240" w:lineRule="auto"/>
              <w:ind w:left="30"/>
              <w:jc w:val="right"/>
              <w:rPr>
                <w:b/>
                <w:sz w:val="18"/>
                <w:szCs w:val="18"/>
              </w:rPr>
            </w:pPr>
            <w:r w:rsidRPr="003543FC">
              <w:rPr>
                <w:b/>
                <w:sz w:val="18"/>
                <w:szCs w:val="18"/>
              </w:rPr>
              <w:t>2020</w:t>
            </w:r>
          </w:p>
        </w:tc>
        <w:tc>
          <w:tcPr>
            <w:tcW w:w="877" w:type="dxa"/>
            <w:tcBorders>
              <w:top w:val="single" w:sz="8" w:space="0" w:color="000000"/>
              <w:bottom w:val="single" w:sz="8" w:space="0" w:color="000000"/>
            </w:tcBorders>
          </w:tcPr>
          <w:p w14:paraId="33C4F175" w14:textId="77777777" w:rsidR="003D217E" w:rsidRPr="003543FC" w:rsidRDefault="003D217E" w:rsidP="001740C5">
            <w:pPr>
              <w:pStyle w:val="TableParagraph"/>
              <w:adjustRightInd w:val="0"/>
              <w:snapToGrid w:val="0"/>
              <w:spacing w:line="240" w:lineRule="auto"/>
              <w:ind w:left="0"/>
              <w:jc w:val="right"/>
              <w:rPr>
                <w:b/>
                <w:sz w:val="18"/>
                <w:szCs w:val="18"/>
              </w:rPr>
            </w:pPr>
            <w:r w:rsidRPr="003543FC">
              <w:rPr>
                <w:b/>
                <w:sz w:val="18"/>
                <w:szCs w:val="18"/>
              </w:rPr>
              <w:t>2021</w:t>
            </w:r>
          </w:p>
        </w:tc>
        <w:tc>
          <w:tcPr>
            <w:tcW w:w="877" w:type="dxa"/>
            <w:tcBorders>
              <w:top w:val="single" w:sz="8" w:space="0" w:color="000000"/>
              <w:bottom w:val="single" w:sz="8" w:space="0" w:color="000000"/>
            </w:tcBorders>
          </w:tcPr>
          <w:p w14:paraId="256FDE43" w14:textId="77777777" w:rsidR="003D217E" w:rsidRPr="003543FC" w:rsidRDefault="003D217E" w:rsidP="001740C5">
            <w:pPr>
              <w:pStyle w:val="TableParagraph"/>
              <w:adjustRightInd w:val="0"/>
              <w:snapToGrid w:val="0"/>
              <w:spacing w:line="240" w:lineRule="auto"/>
              <w:ind w:left="0"/>
              <w:jc w:val="right"/>
              <w:rPr>
                <w:b/>
                <w:sz w:val="18"/>
                <w:szCs w:val="18"/>
              </w:rPr>
            </w:pPr>
            <w:r w:rsidRPr="003543FC">
              <w:rPr>
                <w:b/>
                <w:sz w:val="18"/>
                <w:szCs w:val="18"/>
              </w:rPr>
              <w:t>2022</w:t>
            </w:r>
          </w:p>
        </w:tc>
        <w:tc>
          <w:tcPr>
            <w:tcW w:w="876" w:type="dxa"/>
            <w:tcBorders>
              <w:top w:val="single" w:sz="8" w:space="0" w:color="000000"/>
              <w:bottom w:val="single" w:sz="8" w:space="0" w:color="000000"/>
            </w:tcBorders>
          </w:tcPr>
          <w:p w14:paraId="4FAE7220" w14:textId="77777777" w:rsidR="003D217E" w:rsidRPr="003543FC" w:rsidRDefault="003D217E" w:rsidP="001740C5">
            <w:pPr>
              <w:pStyle w:val="TableParagraph"/>
              <w:adjustRightInd w:val="0"/>
              <w:snapToGrid w:val="0"/>
              <w:spacing w:line="240" w:lineRule="auto"/>
              <w:ind w:left="0"/>
              <w:jc w:val="right"/>
              <w:rPr>
                <w:b/>
                <w:sz w:val="18"/>
                <w:szCs w:val="18"/>
              </w:rPr>
            </w:pPr>
            <w:r w:rsidRPr="003543FC">
              <w:rPr>
                <w:b/>
                <w:sz w:val="18"/>
                <w:szCs w:val="18"/>
              </w:rPr>
              <w:t>2023</w:t>
            </w:r>
          </w:p>
        </w:tc>
        <w:tc>
          <w:tcPr>
            <w:tcW w:w="878" w:type="dxa"/>
            <w:tcBorders>
              <w:top w:val="single" w:sz="8" w:space="0" w:color="000000"/>
              <w:bottom w:val="single" w:sz="8" w:space="0" w:color="000000"/>
            </w:tcBorders>
          </w:tcPr>
          <w:p w14:paraId="725D21E5" w14:textId="77777777" w:rsidR="003D217E" w:rsidRPr="003543FC" w:rsidRDefault="003D217E" w:rsidP="001740C5">
            <w:pPr>
              <w:pStyle w:val="TableParagraph"/>
              <w:adjustRightInd w:val="0"/>
              <w:snapToGrid w:val="0"/>
              <w:spacing w:line="240" w:lineRule="auto"/>
              <w:ind w:left="0"/>
              <w:jc w:val="right"/>
              <w:rPr>
                <w:b/>
                <w:sz w:val="18"/>
                <w:szCs w:val="18"/>
              </w:rPr>
            </w:pPr>
            <w:r w:rsidRPr="003543FC">
              <w:rPr>
                <w:b/>
                <w:sz w:val="18"/>
                <w:szCs w:val="18"/>
              </w:rPr>
              <w:t>2024</w:t>
            </w:r>
          </w:p>
        </w:tc>
        <w:tc>
          <w:tcPr>
            <w:tcW w:w="877" w:type="dxa"/>
            <w:tcBorders>
              <w:top w:val="single" w:sz="8" w:space="0" w:color="000000"/>
              <w:bottom w:val="single" w:sz="8" w:space="0" w:color="000000"/>
            </w:tcBorders>
          </w:tcPr>
          <w:p w14:paraId="79EA3A16" w14:textId="77777777" w:rsidR="003D217E" w:rsidRPr="003543FC" w:rsidRDefault="003D217E" w:rsidP="001740C5">
            <w:pPr>
              <w:pStyle w:val="TableParagraph"/>
              <w:adjustRightInd w:val="0"/>
              <w:snapToGrid w:val="0"/>
              <w:spacing w:line="240" w:lineRule="auto"/>
              <w:ind w:left="0"/>
              <w:jc w:val="right"/>
              <w:rPr>
                <w:b/>
                <w:sz w:val="18"/>
                <w:szCs w:val="18"/>
              </w:rPr>
            </w:pPr>
            <w:r w:rsidRPr="003543FC">
              <w:rPr>
                <w:b/>
                <w:sz w:val="18"/>
                <w:szCs w:val="18"/>
              </w:rPr>
              <w:t>2025</w:t>
            </w:r>
          </w:p>
        </w:tc>
        <w:tc>
          <w:tcPr>
            <w:tcW w:w="850" w:type="dxa"/>
            <w:tcBorders>
              <w:top w:val="single" w:sz="8" w:space="0" w:color="000000"/>
              <w:bottom w:val="single" w:sz="8" w:space="0" w:color="000000"/>
            </w:tcBorders>
          </w:tcPr>
          <w:p w14:paraId="29C34D6A" w14:textId="77777777" w:rsidR="003D217E" w:rsidRPr="003543FC" w:rsidRDefault="003D217E" w:rsidP="001740C5">
            <w:pPr>
              <w:pStyle w:val="TableParagraph"/>
              <w:adjustRightInd w:val="0"/>
              <w:snapToGrid w:val="0"/>
              <w:spacing w:line="240" w:lineRule="auto"/>
              <w:ind w:left="-12"/>
              <w:jc w:val="right"/>
              <w:rPr>
                <w:b/>
                <w:sz w:val="18"/>
                <w:szCs w:val="18"/>
              </w:rPr>
            </w:pPr>
            <w:r w:rsidRPr="003543FC">
              <w:rPr>
                <w:b/>
                <w:sz w:val="18"/>
                <w:szCs w:val="18"/>
              </w:rPr>
              <w:t>2026</w:t>
            </w:r>
          </w:p>
        </w:tc>
      </w:tr>
      <w:tr w:rsidR="003D217E" w:rsidRPr="003543FC" w14:paraId="4F4B5F0C" w14:textId="77777777" w:rsidTr="001740C5">
        <w:trPr>
          <w:trHeight w:val="20"/>
        </w:trPr>
        <w:tc>
          <w:tcPr>
            <w:tcW w:w="9592" w:type="dxa"/>
            <w:gridSpan w:val="11"/>
            <w:tcBorders>
              <w:top w:val="single" w:sz="8" w:space="0" w:color="000000"/>
            </w:tcBorders>
          </w:tcPr>
          <w:p w14:paraId="2078A47F" w14:textId="77777777" w:rsidR="003D217E" w:rsidRPr="003543FC" w:rsidRDefault="003D217E" w:rsidP="001740C5">
            <w:pPr>
              <w:pStyle w:val="TableParagraph"/>
              <w:adjustRightInd w:val="0"/>
              <w:snapToGrid w:val="0"/>
              <w:spacing w:line="240" w:lineRule="auto"/>
              <w:ind w:left="-12"/>
              <w:rPr>
                <w:b/>
                <w:sz w:val="18"/>
                <w:szCs w:val="18"/>
              </w:rPr>
            </w:pPr>
            <w:r w:rsidRPr="003543FC">
              <w:rPr>
                <w:b/>
                <w:sz w:val="18"/>
                <w:szCs w:val="18"/>
                <w:u w:val="single"/>
              </w:rPr>
              <w:t>Scenario 1: F = F</w:t>
            </w:r>
            <w:r w:rsidRPr="003543FC">
              <w:rPr>
                <w:b/>
                <w:position w:val="-2"/>
                <w:sz w:val="18"/>
                <w:szCs w:val="18"/>
                <w:u w:val="single"/>
              </w:rPr>
              <w:t>2013-2015</w:t>
            </w:r>
          </w:p>
        </w:tc>
      </w:tr>
      <w:tr w:rsidR="003D217E" w:rsidRPr="003543FC" w14:paraId="60914B3C" w14:textId="77777777" w:rsidTr="001740C5">
        <w:trPr>
          <w:trHeight w:val="20"/>
        </w:trPr>
        <w:tc>
          <w:tcPr>
            <w:tcW w:w="794" w:type="dxa"/>
          </w:tcPr>
          <w:p w14:paraId="198A3112" w14:textId="77777777" w:rsidR="003D217E" w:rsidRPr="003543FC" w:rsidRDefault="003D217E" w:rsidP="001740C5">
            <w:pPr>
              <w:pStyle w:val="TableParagraph"/>
              <w:adjustRightInd w:val="0"/>
              <w:snapToGrid w:val="0"/>
              <w:spacing w:line="240" w:lineRule="auto"/>
              <w:ind w:left="0"/>
              <w:rPr>
                <w:sz w:val="18"/>
                <w:szCs w:val="18"/>
              </w:rPr>
            </w:pPr>
            <w:r w:rsidRPr="003543FC">
              <w:rPr>
                <w:sz w:val="18"/>
                <w:szCs w:val="18"/>
              </w:rPr>
              <w:t>SSB</w:t>
            </w:r>
          </w:p>
        </w:tc>
        <w:tc>
          <w:tcPr>
            <w:tcW w:w="932" w:type="dxa"/>
          </w:tcPr>
          <w:p w14:paraId="65892D9E"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w w:val="95"/>
                <w:sz w:val="18"/>
                <w:szCs w:val="18"/>
              </w:rPr>
              <w:t>32,118</w:t>
            </w:r>
          </w:p>
        </w:tc>
        <w:tc>
          <w:tcPr>
            <w:tcW w:w="876" w:type="dxa"/>
          </w:tcPr>
          <w:p w14:paraId="5AA7FB6F"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33,207</w:t>
            </w:r>
          </w:p>
        </w:tc>
        <w:tc>
          <w:tcPr>
            <w:tcW w:w="878" w:type="dxa"/>
          </w:tcPr>
          <w:p w14:paraId="7965C6E2"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34,599</w:t>
            </w:r>
          </w:p>
        </w:tc>
        <w:tc>
          <w:tcPr>
            <w:tcW w:w="877" w:type="dxa"/>
          </w:tcPr>
          <w:p w14:paraId="508BCC14"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35,476</w:t>
            </w:r>
          </w:p>
        </w:tc>
        <w:tc>
          <w:tcPr>
            <w:tcW w:w="877" w:type="dxa"/>
          </w:tcPr>
          <w:p w14:paraId="1E20FE66"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36,270</w:t>
            </w:r>
          </w:p>
        </w:tc>
        <w:tc>
          <w:tcPr>
            <w:tcW w:w="877" w:type="dxa"/>
          </w:tcPr>
          <w:p w14:paraId="72CC4E71"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37,082</w:t>
            </w:r>
          </w:p>
        </w:tc>
        <w:tc>
          <w:tcPr>
            <w:tcW w:w="876" w:type="dxa"/>
          </w:tcPr>
          <w:p w14:paraId="22EA3884"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37,951</w:t>
            </w:r>
          </w:p>
        </w:tc>
        <w:tc>
          <w:tcPr>
            <w:tcW w:w="878" w:type="dxa"/>
          </w:tcPr>
          <w:p w14:paraId="0E86F659"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38,967</w:t>
            </w:r>
          </w:p>
        </w:tc>
        <w:tc>
          <w:tcPr>
            <w:tcW w:w="877" w:type="dxa"/>
          </w:tcPr>
          <w:p w14:paraId="6AA5785D"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40,083</w:t>
            </w:r>
          </w:p>
        </w:tc>
        <w:tc>
          <w:tcPr>
            <w:tcW w:w="850" w:type="dxa"/>
          </w:tcPr>
          <w:p w14:paraId="6907854A"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w w:val="95"/>
                <w:sz w:val="18"/>
                <w:szCs w:val="18"/>
              </w:rPr>
              <w:t>41,087</w:t>
            </w:r>
          </w:p>
        </w:tc>
      </w:tr>
      <w:tr w:rsidR="003D217E" w:rsidRPr="003543FC" w14:paraId="772EA2DF" w14:textId="77777777" w:rsidTr="001740C5">
        <w:trPr>
          <w:trHeight w:val="20"/>
        </w:trPr>
        <w:tc>
          <w:tcPr>
            <w:tcW w:w="794" w:type="dxa"/>
          </w:tcPr>
          <w:p w14:paraId="41003774" w14:textId="77777777" w:rsidR="003D217E" w:rsidRPr="003543FC" w:rsidRDefault="003D217E" w:rsidP="001740C5">
            <w:pPr>
              <w:pStyle w:val="TableParagraph"/>
              <w:adjustRightInd w:val="0"/>
              <w:snapToGrid w:val="0"/>
              <w:spacing w:line="240" w:lineRule="auto"/>
              <w:ind w:left="0"/>
              <w:rPr>
                <w:sz w:val="18"/>
                <w:szCs w:val="18"/>
              </w:rPr>
            </w:pPr>
            <w:r w:rsidRPr="003543FC">
              <w:rPr>
                <w:sz w:val="18"/>
                <w:szCs w:val="18"/>
              </w:rPr>
              <w:t>Catch</w:t>
            </w:r>
          </w:p>
        </w:tc>
        <w:tc>
          <w:tcPr>
            <w:tcW w:w="932" w:type="dxa"/>
          </w:tcPr>
          <w:p w14:paraId="405C443E"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8,851</w:t>
            </w:r>
          </w:p>
        </w:tc>
        <w:tc>
          <w:tcPr>
            <w:tcW w:w="876" w:type="dxa"/>
          </w:tcPr>
          <w:p w14:paraId="2EB2D5F7"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9,135</w:t>
            </w:r>
          </w:p>
        </w:tc>
        <w:tc>
          <w:tcPr>
            <w:tcW w:w="878" w:type="dxa"/>
          </w:tcPr>
          <w:p w14:paraId="1DC73D99"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9,407</w:t>
            </w:r>
          </w:p>
        </w:tc>
        <w:tc>
          <w:tcPr>
            <w:tcW w:w="877" w:type="dxa"/>
          </w:tcPr>
          <w:p w14:paraId="7F92DA63"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9,599</w:t>
            </w:r>
          </w:p>
        </w:tc>
        <w:tc>
          <w:tcPr>
            <w:tcW w:w="877" w:type="dxa"/>
          </w:tcPr>
          <w:p w14:paraId="3FD116EE"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9,794</w:t>
            </w:r>
          </w:p>
        </w:tc>
        <w:tc>
          <w:tcPr>
            <w:tcW w:w="877" w:type="dxa"/>
          </w:tcPr>
          <w:p w14:paraId="536971D1"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10,022</w:t>
            </w:r>
          </w:p>
        </w:tc>
        <w:tc>
          <w:tcPr>
            <w:tcW w:w="876" w:type="dxa"/>
          </w:tcPr>
          <w:p w14:paraId="0F403219"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10,275</w:t>
            </w:r>
          </w:p>
        </w:tc>
        <w:tc>
          <w:tcPr>
            <w:tcW w:w="878" w:type="dxa"/>
          </w:tcPr>
          <w:p w14:paraId="2CCEB463"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10,595</w:t>
            </w:r>
          </w:p>
        </w:tc>
        <w:tc>
          <w:tcPr>
            <w:tcW w:w="877" w:type="dxa"/>
          </w:tcPr>
          <w:p w14:paraId="10EB0280"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sz w:val="18"/>
                <w:szCs w:val="18"/>
              </w:rPr>
              <w:t>11,053</w:t>
            </w:r>
          </w:p>
        </w:tc>
        <w:tc>
          <w:tcPr>
            <w:tcW w:w="850" w:type="dxa"/>
          </w:tcPr>
          <w:p w14:paraId="22CB9562" w14:textId="77777777" w:rsidR="003D217E" w:rsidRPr="003543FC" w:rsidRDefault="003D217E" w:rsidP="001740C5">
            <w:pPr>
              <w:pStyle w:val="TableParagraph"/>
              <w:adjustRightInd w:val="0"/>
              <w:snapToGrid w:val="0"/>
              <w:spacing w:line="240" w:lineRule="auto"/>
              <w:ind w:left="0" w:right="16"/>
              <w:jc w:val="right"/>
              <w:rPr>
                <w:sz w:val="18"/>
                <w:szCs w:val="18"/>
              </w:rPr>
            </w:pPr>
            <w:r w:rsidRPr="003543FC">
              <w:rPr>
                <w:w w:val="95"/>
                <w:sz w:val="18"/>
                <w:szCs w:val="18"/>
              </w:rPr>
              <w:t>11,142</w:t>
            </w:r>
          </w:p>
        </w:tc>
      </w:tr>
      <w:tr w:rsidR="003D217E" w:rsidRPr="003543FC" w14:paraId="3AD505B7" w14:textId="77777777" w:rsidTr="001740C5">
        <w:trPr>
          <w:trHeight w:val="20"/>
        </w:trPr>
        <w:tc>
          <w:tcPr>
            <w:tcW w:w="9592" w:type="dxa"/>
            <w:gridSpan w:val="11"/>
          </w:tcPr>
          <w:p w14:paraId="532B2FC9" w14:textId="77777777" w:rsidR="003D217E" w:rsidRPr="003543FC" w:rsidRDefault="003D217E" w:rsidP="001740C5">
            <w:pPr>
              <w:pStyle w:val="TableParagraph"/>
              <w:adjustRightInd w:val="0"/>
              <w:snapToGrid w:val="0"/>
              <w:spacing w:line="240" w:lineRule="auto"/>
              <w:ind w:left="-12"/>
              <w:rPr>
                <w:b/>
                <w:sz w:val="18"/>
                <w:szCs w:val="18"/>
              </w:rPr>
            </w:pPr>
            <w:r w:rsidRPr="003543FC">
              <w:rPr>
                <w:b/>
                <w:sz w:val="18"/>
                <w:szCs w:val="18"/>
                <w:u w:val="single"/>
              </w:rPr>
              <w:t>Scenario 2: F = F</w:t>
            </w:r>
            <w:r w:rsidRPr="003543FC">
              <w:rPr>
                <w:b/>
                <w:position w:val="-2"/>
                <w:sz w:val="18"/>
                <w:szCs w:val="18"/>
                <w:u w:val="single"/>
              </w:rPr>
              <w:t>MSY</w:t>
            </w:r>
          </w:p>
        </w:tc>
      </w:tr>
      <w:tr w:rsidR="003D217E" w:rsidRPr="003543FC" w14:paraId="43633D15" w14:textId="77777777" w:rsidTr="001740C5">
        <w:trPr>
          <w:trHeight w:val="20"/>
        </w:trPr>
        <w:tc>
          <w:tcPr>
            <w:tcW w:w="794" w:type="dxa"/>
          </w:tcPr>
          <w:p w14:paraId="19491333" w14:textId="77777777" w:rsidR="003D217E" w:rsidRPr="003543FC" w:rsidRDefault="003D217E" w:rsidP="001740C5">
            <w:pPr>
              <w:pStyle w:val="TableParagraph"/>
              <w:adjustRightInd w:val="0"/>
              <w:snapToGrid w:val="0"/>
              <w:spacing w:line="240" w:lineRule="auto"/>
              <w:ind w:left="0"/>
              <w:rPr>
                <w:sz w:val="18"/>
                <w:szCs w:val="18"/>
              </w:rPr>
            </w:pPr>
            <w:r w:rsidRPr="003543FC">
              <w:rPr>
                <w:sz w:val="18"/>
                <w:szCs w:val="18"/>
              </w:rPr>
              <w:t>SSB</w:t>
            </w:r>
          </w:p>
        </w:tc>
        <w:tc>
          <w:tcPr>
            <w:tcW w:w="932" w:type="dxa"/>
          </w:tcPr>
          <w:p w14:paraId="23725D93"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28,267</w:t>
            </w:r>
          </w:p>
        </w:tc>
        <w:tc>
          <w:tcPr>
            <w:tcW w:w="876" w:type="dxa"/>
          </w:tcPr>
          <w:p w14:paraId="757CA644"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23,963</w:t>
            </w:r>
          </w:p>
        </w:tc>
        <w:tc>
          <w:tcPr>
            <w:tcW w:w="878" w:type="dxa"/>
          </w:tcPr>
          <w:p w14:paraId="4A03850D"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21,443</w:t>
            </w:r>
          </w:p>
        </w:tc>
        <w:tc>
          <w:tcPr>
            <w:tcW w:w="877" w:type="dxa"/>
          </w:tcPr>
          <w:p w14:paraId="0414116D"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19,458</w:t>
            </w:r>
          </w:p>
        </w:tc>
        <w:tc>
          <w:tcPr>
            <w:tcW w:w="877" w:type="dxa"/>
          </w:tcPr>
          <w:p w14:paraId="10ED43F0"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18,303</w:t>
            </w:r>
          </w:p>
        </w:tc>
        <w:tc>
          <w:tcPr>
            <w:tcW w:w="877" w:type="dxa"/>
          </w:tcPr>
          <w:p w14:paraId="795410A5"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17,618</w:t>
            </w:r>
          </w:p>
        </w:tc>
        <w:tc>
          <w:tcPr>
            <w:tcW w:w="876" w:type="dxa"/>
          </w:tcPr>
          <w:p w14:paraId="290F8E91"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17,293</w:t>
            </w:r>
          </w:p>
        </w:tc>
        <w:tc>
          <w:tcPr>
            <w:tcW w:w="878" w:type="dxa"/>
          </w:tcPr>
          <w:p w14:paraId="54DD17A2"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17,197</w:t>
            </w:r>
          </w:p>
        </w:tc>
        <w:tc>
          <w:tcPr>
            <w:tcW w:w="877" w:type="dxa"/>
          </w:tcPr>
          <w:p w14:paraId="40E07C37"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17,253</w:t>
            </w:r>
          </w:p>
        </w:tc>
        <w:tc>
          <w:tcPr>
            <w:tcW w:w="850" w:type="dxa"/>
          </w:tcPr>
          <w:p w14:paraId="7F0A2610"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17,263</w:t>
            </w:r>
          </w:p>
        </w:tc>
      </w:tr>
      <w:tr w:rsidR="003D217E" w:rsidRPr="003543FC" w14:paraId="4021DC92" w14:textId="77777777" w:rsidTr="001740C5">
        <w:trPr>
          <w:trHeight w:val="20"/>
        </w:trPr>
        <w:tc>
          <w:tcPr>
            <w:tcW w:w="794" w:type="dxa"/>
          </w:tcPr>
          <w:p w14:paraId="512B1F7A" w14:textId="77777777" w:rsidR="003D217E" w:rsidRPr="003543FC" w:rsidRDefault="003D217E" w:rsidP="001740C5">
            <w:pPr>
              <w:pStyle w:val="TableParagraph"/>
              <w:adjustRightInd w:val="0"/>
              <w:snapToGrid w:val="0"/>
              <w:spacing w:line="240" w:lineRule="auto"/>
              <w:ind w:left="0"/>
              <w:rPr>
                <w:sz w:val="18"/>
                <w:szCs w:val="18"/>
              </w:rPr>
            </w:pPr>
            <w:r w:rsidRPr="003543FC">
              <w:rPr>
                <w:sz w:val="18"/>
                <w:szCs w:val="18"/>
              </w:rPr>
              <w:t>Catch</w:t>
            </w:r>
          </w:p>
        </w:tc>
        <w:tc>
          <w:tcPr>
            <w:tcW w:w="932" w:type="dxa"/>
          </w:tcPr>
          <w:p w14:paraId="7E6364C8"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20,885</w:t>
            </w:r>
          </w:p>
        </w:tc>
        <w:tc>
          <w:tcPr>
            <w:tcW w:w="876" w:type="dxa"/>
          </w:tcPr>
          <w:p w14:paraId="461E4837"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18,323</w:t>
            </w:r>
          </w:p>
        </w:tc>
        <w:tc>
          <w:tcPr>
            <w:tcW w:w="878" w:type="dxa"/>
          </w:tcPr>
          <w:p w14:paraId="12C52DB1"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16,509</w:t>
            </w:r>
          </w:p>
        </w:tc>
        <w:tc>
          <w:tcPr>
            <w:tcW w:w="877" w:type="dxa"/>
          </w:tcPr>
          <w:p w14:paraId="31768C42"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15,294</w:t>
            </w:r>
          </w:p>
        </w:tc>
        <w:tc>
          <w:tcPr>
            <w:tcW w:w="877" w:type="dxa"/>
          </w:tcPr>
          <w:p w14:paraId="2BEF9938"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14,666</w:t>
            </w:r>
          </w:p>
        </w:tc>
        <w:tc>
          <w:tcPr>
            <w:tcW w:w="877" w:type="dxa"/>
          </w:tcPr>
          <w:p w14:paraId="21D5B9A2"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14,353</w:t>
            </w:r>
          </w:p>
        </w:tc>
        <w:tc>
          <w:tcPr>
            <w:tcW w:w="876" w:type="dxa"/>
          </w:tcPr>
          <w:p w14:paraId="1F3F4FD9"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14,308</w:t>
            </w:r>
          </w:p>
        </w:tc>
        <w:tc>
          <w:tcPr>
            <w:tcW w:w="878" w:type="dxa"/>
          </w:tcPr>
          <w:p w14:paraId="5AE7030F"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14,520</w:t>
            </w:r>
          </w:p>
        </w:tc>
        <w:tc>
          <w:tcPr>
            <w:tcW w:w="877" w:type="dxa"/>
          </w:tcPr>
          <w:p w14:paraId="6B6D3E5F"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14,650</w:t>
            </w:r>
          </w:p>
        </w:tc>
        <w:tc>
          <w:tcPr>
            <w:tcW w:w="850" w:type="dxa"/>
          </w:tcPr>
          <w:p w14:paraId="58FEC03D"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14,348</w:t>
            </w:r>
          </w:p>
        </w:tc>
      </w:tr>
      <w:tr w:rsidR="003D217E" w:rsidRPr="003543FC" w14:paraId="1BD17E44" w14:textId="77777777" w:rsidTr="001740C5">
        <w:trPr>
          <w:trHeight w:val="20"/>
        </w:trPr>
        <w:tc>
          <w:tcPr>
            <w:tcW w:w="9592" w:type="dxa"/>
            <w:gridSpan w:val="11"/>
          </w:tcPr>
          <w:p w14:paraId="6E17A2E8" w14:textId="77777777" w:rsidR="003D217E" w:rsidRPr="003543FC" w:rsidRDefault="003D217E" w:rsidP="001740C5">
            <w:pPr>
              <w:pStyle w:val="TableParagraph"/>
              <w:adjustRightInd w:val="0"/>
              <w:snapToGrid w:val="0"/>
              <w:spacing w:line="240" w:lineRule="auto"/>
              <w:ind w:left="-12"/>
              <w:rPr>
                <w:b/>
                <w:sz w:val="18"/>
                <w:szCs w:val="18"/>
              </w:rPr>
            </w:pPr>
            <w:r w:rsidRPr="003543FC">
              <w:rPr>
                <w:b/>
                <w:sz w:val="18"/>
                <w:szCs w:val="18"/>
                <w:u w:val="single"/>
              </w:rPr>
              <w:t>Scenario 3: F = F20%SSB(F=0)</w:t>
            </w:r>
          </w:p>
        </w:tc>
      </w:tr>
      <w:tr w:rsidR="003D217E" w:rsidRPr="003543FC" w14:paraId="4CB8BCA1" w14:textId="77777777" w:rsidTr="001740C5">
        <w:trPr>
          <w:trHeight w:val="20"/>
        </w:trPr>
        <w:tc>
          <w:tcPr>
            <w:tcW w:w="794" w:type="dxa"/>
          </w:tcPr>
          <w:p w14:paraId="4EE5C467" w14:textId="77777777" w:rsidR="003D217E" w:rsidRPr="003543FC" w:rsidRDefault="003D217E" w:rsidP="001740C5">
            <w:pPr>
              <w:pStyle w:val="TableParagraph"/>
              <w:adjustRightInd w:val="0"/>
              <w:snapToGrid w:val="0"/>
              <w:spacing w:line="240" w:lineRule="auto"/>
              <w:ind w:left="0"/>
              <w:rPr>
                <w:sz w:val="18"/>
                <w:szCs w:val="18"/>
              </w:rPr>
            </w:pPr>
            <w:r w:rsidRPr="003543FC">
              <w:rPr>
                <w:sz w:val="18"/>
                <w:szCs w:val="18"/>
              </w:rPr>
              <w:t>SSB</w:t>
            </w:r>
          </w:p>
        </w:tc>
        <w:tc>
          <w:tcPr>
            <w:tcW w:w="932" w:type="dxa"/>
          </w:tcPr>
          <w:p w14:paraId="5FAC8B1E"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28,425</w:t>
            </w:r>
          </w:p>
        </w:tc>
        <w:tc>
          <w:tcPr>
            <w:tcW w:w="876" w:type="dxa"/>
          </w:tcPr>
          <w:p w14:paraId="7961E6B8"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24,384</w:t>
            </w:r>
          </w:p>
        </w:tc>
        <w:tc>
          <w:tcPr>
            <w:tcW w:w="878" w:type="dxa"/>
          </w:tcPr>
          <w:p w14:paraId="3BDD2578"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21,800</w:t>
            </w:r>
          </w:p>
        </w:tc>
        <w:tc>
          <w:tcPr>
            <w:tcW w:w="877" w:type="dxa"/>
          </w:tcPr>
          <w:p w14:paraId="2DF3338D"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19,735</w:t>
            </w:r>
          </w:p>
        </w:tc>
        <w:tc>
          <w:tcPr>
            <w:tcW w:w="877" w:type="dxa"/>
          </w:tcPr>
          <w:p w14:paraId="660D8296"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18,530</w:t>
            </w:r>
          </w:p>
        </w:tc>
        <w:tc>
          <w:tcPr>
            <w:tcW w:w="877" w:type="dxa"/>
          </w:tcPr>
          <w:p w14:paraId="2F579095"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17,874</w:t>
            </w:r>
          </w:p>
        </w:tc>
        <w:tc>
          <w:tcPr>
            <w:tcW w:w="876" w:type="dxa"/>
          </w:tcPr>
          <w:p w14:paraId="4D5260AC"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17,496</w:t>
            </w:r>
          </w:p>
        </w:tc>
        <w:tc>
          <w:tcPr>
            <w:tcW w:w="878" w:type="dxa"/>
          </w:tcPr>
          <w:p w14:paraId="6C537754"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17,586</w:t>
            </w:r>
          </w:p>
        </w:tc>
        <w:tc>
          <w:tcPr>
            <w:tcW w:w="877" w:type="dxa"/>
          </w:tcPr>
          <w:p w14:paraId="5915D158"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17,818</w:t>
            </w:r>
          </w:p>
        </w:tc>
        <w:tc>
          <w:tcPr>
            <w:tcW w:w="850" w:type="dxa"/>
          </w:tcPr>
          <w:p w14:paraId="350CF250"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17,779</w:t>
            </w:r>
          </w:p>
        </w:tc>
      </w:tr>
      <w:tr w:rsidR="003D217E" w:rsidRPr="003543FC" w14:paraId="25D0FDED" w14:textId="77777777" w:rsidTr="001740C5">
        <w:trPr>
          <w:trHeight w:val="20"/>
        </w:trPr>
        <w:tc>
          <w:tcPr>
            <w:tcW w:w="794" w:type="dxa"/>
          </w:tcPr>
          <w:p w14:paraId="662956F6" w14:textId="77777777" w:rsidR="003D217E" w:rsidRPr="003543FC" w:rsidRDefault="003D217E" w:rsidP="001740C5">
            <w:pPr>
              <w:pStyle w:val="TableParagraph"/>
              <w:adjustRightInd w:val="0"/>
              <w:snapToGrid w:val="0"/>
              <w:spacing w:line="240" w:lineRule="auto"/>
              <w:ind w:left="0"/>
              <w:rPr>
                <w:sz w:val="18"/>
                <w:szCs w:val="18"/>
              </w:rPr>
            </w:pPr>
            <w:r w:rsidRPr="003543FC">
              <w:rPr>
                <w:sz w:val="18"/>
                <w:szCs w:val="18"/>
              </w:rPr>
              <w:t>Catch</w:t>
            </w:r>
          </w:p>
        </w:tc>
        <w:tc>
          <w:tcPr>
            <w:tcW w:w="932" w:type="dxa"/>
          </w:tcPr>
          <w:p w14:paraId="5AF9F97A"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20,691</w:t>
            </w:r>
          </w:p>
        </w:tc>
        <w:tc>
          <w:tcPr>
            <w:tcW w:w="876" w:type="dxa"/>
          </w:tcPr>
          <w:p w14:paraId="42E49C8E"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18,122</w:t>
            </w:r>
          </w:p>
        </w:tc>
        <w:tc>
          <w:tcPr>
            <w:tcW w:w="878" w:type="dxa"/>
          </w:tcPr>
          <w:p w14:paraId="5756C841"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16,454</w:t>
            </w:r>
          </w:p>
        </w:tc>
        <w:tc>
          <w:tcPr>
            <w:tcW w:w="877" w:type="dxa"/>
          </w:tcPr>
          <w:p w14:paraId="374D4932"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15,261</w:t>
            </w:r>
          </w:p>
        </w:tc>
        <w:tc>
          <w:tcPr>
            <w:tcW w:w="877" w:type="dxa"/>
          </w:tcPr>
          <w:p w14:paraId="2AFDC600"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14,653</w:t>
            </w:r>
          </w:p>
        </w:tc>
        <w:tc>
          <w:tcPr>
            <w:tcW w:w="877" w:type="dxa"/>
          </w:tcPr>
          <w:p w14:paraId="64A1C8BC"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14,361</w:t>
            </w:r>
          </w:p>
        </w:tc>
        <w:tc>
          <w:tcPr>
            <w:tcW w:w="876" w:type="dxa"/>
          </w:tcPr>
          <w:p w14:paraId="2D9ED33A"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14,319</w:t>
            </w:r>
          </w:p>
        </w:tc>
        <w:tc>
          <w:tcPr>
            <w:tcW w:w="878" w:type="dxa"/>
          </w:tcPr>
          <w:p w14:paraId="411A265F"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14,554</w:t>
            </w:r>
          </w:p>
        </w:tc>
        <w:tc>
          <w:tcPr>
            <w:tcW w:w="877" w:type="dxa"/>
          </w:tcPr>
          <w:p w14:paraId="233EDD3C"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14,665</w:t>
            </w:r>
          </w:p>
        </w:tc>
        <w:tc>
          <w:tcPr>
            <w:tcW w:w="850" w:type="dxa"/>
          </w:tcPr>
          <w:p w14:paraId="3DBA0EA7"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14,384</w:t>
            </w:r>
          </w:p>
        </w:tc>
      </w:tr>
      <w:tr w:rsidR="003D217E" w:rsidRPr="003543FC" w14:paraId="671D061E" w14:textId="77777777" w:rsidTr="001740C5">
        <w:trPr>
          <w:trHeight w:val="20"/>
        </w:trPr>
        <w:tc>
          <w:tcPr>
            <w:tcW w:w="9592" w:type="dxa"/>
            <w:gridSpan w:val="11"/>
          </w:tcPr>
          <w:p w14:paraId="5DAA3E18" w14:textId="77777777" w:rsidR="003D217E" w:rsidRPr="003543FC" w:rsidRDefault="003D217E" w:rsidP="001740C5">
            <w:pPr>
              <w:pStyle w:val="TableParagraph"/>
              <w:adjustRightInd w:val="0"/>
              <w:snapToGrid w:val="0"/>
              <w:spacing w:line="240" w:lineRule="auto"/>
              <w:ind w:left="-12"/>
              <w:rPr>
                <w:b/>
                <w:sz w:val="18"/>
                <w:szCs w:val="18"/>
              </w:rPr>
            </w:pPr>
            <w:r w:rsidRPr="003543FC">
              <w:rPr>
                <w:b/>
                <w:sz w:val="18"/>
                <w:szCs w:val="18"/>
                <w:u w:val="single"/>
              </w:rPr>
              <w:t>Scenario 4: F = F</w:t>
            </w:r>
            <w:r w:rsidRPr="003543FC">
              <w:rPr>
                <w:b/>
                <w:position w:val="-2"/>
                <w:sz w:val="18"/>
                <w:szCs w:val="18"/>
                <w:u w:val="single"/>
              </w:rPr>
              <w:t>20%</w:t>
            </w:r>
          </w:p>
        </w:tc>
      </w:tr>
      <w:tr w:rsidR="003D217E" w:rsidRPr="003543FC" w14:paraId="418A01C1" w14:textId="77777777" w:rsidTr="001740C5">
        <w:trPr>
          <w:trHeight w:val="20"/>
        </w:trPr>
        <w:tc>
          <w:tcPr>
            <w:tcW w:w="794" w:type="dxa"/>
          </w:tcPr>
          <w:p w14:paraId="5F80A036" w14:textId="77777777" w:rsidR="003D217E" w:rsidRPr="003543FC" w:rsidRDefault="003D217E" w:rsidP="001740C5">
            <w:pPr>
              <w:pStyle w:val="TableParagraph"/>
              <w:adjustRightInd w:val="0"/>
              <w:snapToGrid w:val="0"/>
              <w:spacing w:line="240" w:lineRule="auto"/>
              <w:ind w:left="0"/>
              <w:rPr>
                <w:sz w:val="18"/>
                <w:szCs w:val="18"/>
              </w:rPr>
            </w:pPr>
            <w:r w:rsidRPr="003543FC">
              <w:rPr>
                <w:sz w:val="18"/>
                <w:szCs w:val="18"/>
              </w:rPr>
              <w:t>SSB</w:t>
            </w:r>
          </w:p>
        </w:tc>
        <w:tc>
          <w:tcPr>
            <w:tcW w:w="932" w:type="dxa"/>
          </w:tcPr>
          <w:p w14:paraId="648F265C"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29,007</w:t>
            </w:r>
          </w:p>
        </w:tc>
        <w:tc>
          <w:tcPr>
            <w:tcW w:w="876" w:type="dxa"/>
          </w:tcPr>
          <w:p w14:paraId="62BF8318"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25,431</w:t>
            </w:r>
          </w:p>
        </w:tc>
        <w:tc>
          <w:tcPr>
            <w:tcW w:w="878" w:type="dxa"/>
          </w:tcPr>
          <w:p w14:paraId="68150A3B"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23,527</w:t>
            </w:r>
          </w:p>
        </w:tc>
        <w:tc>
          <w:tcPr>
            <w:tcW w:w="877" w:type="dxa"/>
          </w:tcPr>
          <w:p w14:paraId="0A366376"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21,763</w:t>
            </w:r>
          </w:p>
        </w:tc>
        <w:tc>
          <w:tcPr>
            <w:tcW w:w="877" w:type="dxa"/>
          </w:tcPr>
          <w:p w14:paraId="63925A2A"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20,736</w:t>
            </w:r>
          </w:p>
        </w:tc>
        <w:tc>
          <w:tcPr>
            <w:tcW w:w="877" w:type="dxa"/>
          </w:tcPr>
          <w:p w14:paraId="0099F539"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20,131</w:t>
            </w:r>
          </w:p>
        </w:tc>
        <w:tc>
          <w:tcPr>
            <w:tcW w:w="876" w:type="dxa"/>
          </w:tcPr>
          <w:p w14:paraId="2D6137C4"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19,893</w:t>
            </w:r>
          </w:p>
        </w:tc>
        <w:tc>
          <w:tcPr>
            <w:tcW w:w="878" w:type="dxa"/>
          </w:tcPr>
          <w:p w14:paraId="05A52C8E"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19,883</w:t>
            </w:r>
          </w:p>
        </w:tc>
        <w:tc>
          <w:tcPr>
            <w:tcW w:w="877" w:type="dxa"/>
          </w:tcPr>
          <w:p w14:paraId="2CAAF41B"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19,981</w:t>
            </w:r>
          </w:p>
        </w:tc>
        <w:tc>
          <w:tcPr>
            <w:tcW w:w="850" w:type="dxa"/>
          </w:tcPr>
          <w:p w14:paraId="35636798"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20,066</w:t>
            </w:r>
          </w:p>
        </w:tc>
      </w:tr>
      <w:tr w:rsidR="003D217E" w:rsidRPr="003543FC" w14:paraId="5AFA0E01" w14:textId="77777777" w:rsidTr="001740C5">
        <w:trPr>
          <w:trHeight w:val="20"/>
        </w:trPr>
        <w:tc>
          <w:tcPr>
            <w:tcW w:w="794" w:type="dxa"/>
          </w:tcPr>
          <w:p w14:paraId="66722EDD" w14:textId="77777777" w:rsidR="003D217E" w:rsidRPr="003543FC" w:rsidRDefault="003D217E" w:rsidP="001740C5">
            <w:pPr>
              <w:pStyle w:val="TableParagraph"/>
              <w:adjustRightInd w:val="0"/>
              <w:snapToGrid w:val="0"/>
              <w:spacing w:line="240" w:lineRule="auto"/>
              <w:ind w:left="0"/>
              <w:rPr>
                <w:sz w:val="18"/>
                <w:szCs w:val="18"/>
              </w:rPr>
            </w:pPr>
            <w:r w:rsidRPr="003543FC">
              <w:rPr>
                <w:sz w:val="18"/>
                <w:szCs w:val="18"/>
              </w:rPr>
              <w:t>Catch</w:t>
            </w:r>
          </w:p>
        </w:tc>
        <w:tc>
          <w:tcPr>
            <w:tcW w:w="932" w:type="dxa"/>
          </w:tcPr>
          <w:p w14:paraId="457CC7C0"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18,680</w:t>
            </w:r>
          </w:p>
        </w:tc>
        <w:tc>
          <w:tcPr>
            <w:tcW w:w="876" w:type="dxa"/>
          </w:tcPr>
          <w:p w14:paraId="5F07E711"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16,933</w:t>
            </w:r>
          </w:p>
        </w:tc>
        <w:tc>
          <w:tcPr>
            <w:tcW w:w="878" w:type="dxa"/>
          </w:tcPr>
          <w:p w14:paraId="4D385A9B"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15,657</w:t>
            </w:r>
          </w:p>
        </w:tc>
        <w:tc>
          <w:tcPr>
            <w:tcW w:w="877" w:type="dxa"/>
          </w:tcPr>
          <w:p w14:paraId="05F8C793"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14,726</w:t>
            </w:r>
          </w:p>
        </w:tc>
        <w:tc>
          <w:tcPr>
            <w:tcW w:w="877" w:type="dxa"/>
          </w:tcPr>
          <w:p w14:paraId="340D0F05"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14,242</w:t>
            </w:r>
          </w:p>
        </w:tc>
        <w:tc>
          <w:tcPr>
            <w:tcW w:w="877" w:type="dxa"/>
          </w:tcPr>
          <w:p w14:paraId="74060AA1"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14,033</w:t>
            </w:r>
          </w:p>
        </w:tc>
        <w:tc>
          <w:tcPr>
            <w:tcW w:w="876" w:type="dxa"/>
          </w:tcPr>
          <w:p w14:paraId="26D2BE32"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14,050</w:t>
            </w:r>
          </w:p>
        </w:tc>
        <w:tc>
          <w:tcPr>
            <w:tcW w:w="878" w:type="dxa"/>
          </w:tcPr>
          <w:p w14:paraId="7DD759CE"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14,292</w:t>
            </w:r>
          </w:p>
        </w:tc>
        <w:tc>
          <w:tcPr>
            <w:tcW w:w="877" w:type="dxa"/>
          </w:tcPr>
          <w:p w14:paraId="499D2547"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14,496</w:t>
            </w:r>
          </w:p>
        </w:tc>
        <w:tc>
          <w:tcPr>
            <w:tcW w:w="850" w:type="dxa"/>
          </w:tcPr>
          <w:p w14:paraId="2CABEEEF"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14,253</w:t>
            </w:r>
          </w:p>
        </w:tc>
      </w:tr>
      <w:tr w:rsidR="003D217E" w:rsidRPr="003543FC" w14:paraId="5CAEB593" w14:textId="77777777" w:rsidTr="001740C5">
        <w:trPr>
          <w:trHeight w:val="20"/>
        </w:trPr>
        <w:tc>
          <w:tcPr>
            <w:tcW w:w="9592" w:type="dxa"/>
            <w:gridSpan w:val="11"/>
          </w:tcPr>
          <w:p w14:paraId="45F82BA2" w14:textId="77777777" w:rsidR="003D217E" w:rsidRPr="003543FC" w:rsidRDefault="003D217E" w:rsidP="001740C5">
            <w:pPr>
              <w:pStyle w:val="TableParagraph"/>
              <w:adjustRightInd w:val="0"/>
              <w:snapToGrid w:val="0"/>
              <w:spacing w:line="240" w:lineRule="auto"/>
              <w:ind w:left="-12"/>
              <w:rPr>
                <w:b/>
                <w:sz w:val="18"/>
                <w:szCs w:val="18"/>
              </w:rPr>
            </w:pPr>
            <w:r w:rsidRPr="003543FC">
              <w:rPr>
                <w:b/>
                <w:sz w:val="18"/>
                <w:szCs w:val="18"/>
                <w:u w:val="single"/>
              </w:rPr>
              <w:t>Scenario 5: F = F</w:t>
            </w:r>
            <w:r w:rsidRPr="003543FC">
              <w:rPr>
                <w:b/>
                <w:position w:val="-2"/>
                <w:sz w:val="18"/>
                <w:szCs w:val="18"/>
                <w:u w:val="single"/>
              </w:rPr>
              <w:t>50%</w:t>
            </w:r>
          </w:p>
        </w:tc>
      </w:tr>
      <w:tr w:rsidR="003D217E" w:rsidRPr="003543FC" w14:paraId="60BA5976" w14:textId="77777777" w:rsidTr="001740C5">
        <w:trPr>
          <w:trHeight w:val="20"/>
        </w:trPr>
        <w:tc>
          <w:tcPr>
            <w:tcW w:w="794" w:type="dxa"/>
          </w:tcPr>
          <w:p w14:paraId="3578AC6F" w14:textId="77777777" w:rsidR="003D217E" w:rsidRPr="003543FC" w:rsidRDefault="003D217E" w:rsidP="001740C5">
            <w:pPr>
              <w:pStyle w:val="TableParagraph"/>
              <w:adjustRightInd w:val="0"/>
              <w:snapToGrid w:val="0"/>
              <w:spacing w:line="240" w:lineRule="auto"/>
              <w:ind w:left="0"/>
              <w:rPr>
                <w:sz w:val="18"/>
                <w:szCs w:val="18"/>
              </w:rPr>
            </w:pPr>
            <w:r w:rsidRPr="003543FC">
              <w:rPr>
                <w:sz w:val="18"/>
                <w:szCs w:val="18"/>
              </w:rPr>
              <w:t>SSB</w:t>
            </w:r>
          </w:p>
        </w:tc>
        <w:tc>
          <w:tcPr>
            <w:tcW w:w="932" w:type="dxa"/>
          </w:tcPr>
          <w:p w14:paraId="717BE49B"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32,559</w:t>
            </w:r>
          </w:p>
        </w:tc>
        <w:tc>
          <w:tcPr>
            <w:tcW w:w="876" w:type="dxa"/>
          </w:tcPr>
          <w:p w14:paraId="38FDF6AF"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34,334</w:t>
            </w:r>
          </w:p>
        </w:tc>
        <w:tc>
          <w:tcPr>
            <w:tcW w:w="878" w:type="dxa"/>
          </w:tcPr>
          <w:p w14:paraId="01ED7277"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36,290</w:t>
            </w:r>
          </w:p>
        </w:tc>
        <w:tc>
          <w:tcPr>
            <w:tcW w:w="877" w:type="dxa"/>
          </w:tcPr>
          <w:p w14:paraId="0D4CFF5F"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37,666</w:t>
            </w:r>
          </w:p>
        </w:tc>
        <w:tc>
          <w:tcPr>
            <w:tcW w:w="877" w:type="dxa"/>
          </w:tcPr>
          <w:p w14:paraId="5DEDA592"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38,836</w:t>
            </w:r>
          </w:p>
        </w:tc>
        <w:tc>
          <w:tcPr>
            <w:tcW w:w="877" w:type="dxa"/>
          </w:tcPr>
          <w:p w14:paraId="00F5BC82"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39,984</w:t>
            </w:r>
          </w:p>
        </w:tc>
        <w:tc>
          <w:tcPr>
            <w:tcW w:w="876" w:type="dxa"/>
          </w:tcPr>
          <w:p w14:paraId="6E4D6FAF"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41,148</w:t>
            </w:r>
          </w:p>
        </w:tc>
        <w:tc>
          <w:tcPr>
            <w:tcW w:w="878" w:type="dxa"/>
          </w:tcPr>
          <w:p w14:paraId="2BC29013"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42,490</w:t>
            </w:r>
          </w:p>
        </w:tc>
        <w:tc>
          <w:tcPr>
            <w:tcW w:w="877" w:type="dxa"/>
          </w:tcPr>
          <w:p w14:paraId="621E05E3"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44,049</w:t>
            </w:r>
          </w:p>
        </w:tc>
        <w:tc>
          <w:tcPr>
            <w:tcW w:w="850" w:type="dxa"/>
          </w:tcPr>
          <w:p w14:paraId="34D4BF44"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45,625</w:t>
            </w:r>
          </w:p>
        </w:tc>
      </w:tr>
      <w:tr w:rsidR="003D217E" w:rsidRPr="003543FC" w14:paraId="331309BE" w14:textId="77777777" w:rsidTr="001740C5">
        <w:trPr>
          <w:trHeight w:val="20"/>
        </w:trPr>
        <w:tc>
          <w:tcPr>
            <w:tcW w:w="794" w:type="dxa"/>
            <w:tcBorders>
              <w:bottom w:val="single" w:sz="4" w:space="0" w:color="auto"/>
            </w:tcBorders>
          </w:tcPr>
          <w:p w14:paraId="6806E1D3" w14:textId="77777777" w:rsidR="003D217E" w:rsidRPr="003543FC" w:rsidRDefault="003D217E" w:rsidP="001740C5">
            <w:pPr>
              <w:pStyle w:val="TableParagraph"/>
              <w:adjustRightInd w:val="0"/>
              <w:snapToGrid w:val="0"/>
              <w:spacing w:line="240" w:lineRule="auto"/>
              <w:ind w:left="0"/>
              <w:rPr>
                <w:sz w:val="18"/>
                <w:szCs w:val="18"/>
              </w:rPr>
            </w:pPr>
            <w:r w:rsidRPr="003543FC">
              <w:rPr>
                <w:sz w:val="18"/>
                <w:szCs w:val="18"/>
              </w:rPr>
              <w:t>Catch</w:t>
            </w:r>
          </w:p>
        </w:tc>
        <w:tc>
          <w:tcPr>
            <w:tcW w:w="932" w:type="dxa"/>
            <w:tcBorders>
              <w:bottom w:val="single" w:sz="4" w:space="0" w:color="auto"/>
            </w:tcBorders>
          </w:tcPr>
          <w:p w14:paraId="6B12534F"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7,556</w:t>
            </w:r>
          </w:p>
        </w:tc>
        <w:tc>
          <w:tcPr>
            <w:tcW w:w="876" w:type="dxa"/>
            <w:tcBorders>
              <w:bottom w:val="single" w:sz="4" w:space="0" w:color="auto"/>
            </w:tcBorders>
          </w:tcPr>
          <w:p w14:paraId="391300F9"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7,973</w:t>
            </w:r>
          </w:p>
        </w:tc>
        <w:tc>
          <w:tcPr>
            <w:tcW w:w="878" w:type="dxa"/>
            <w:tcBorders>
              <w:bottom w:val="single" w:sz="4" w:space="0" w:color="auto"/>
            </w:tcBorders>
          </w:tcPr>
          <w:p w14:paraId="2919334A"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8,343</w:t>
            </w:r>
          </w:p>
        </w:tc>
        <w:tc>
          <w:tcPr>
            <w:tcW w:w="877" w:type="dxa"/>
            <w:tcBorders>
              <w:bottom w:val="single" w:sz="4" w:space="0" w:color="auto"/>
            </w:tcBorders>
          </w:tcPr>
          <w:p w14:paraId="46D167C3"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8,605</w:t>
            </w:r>
          </w:p>
        </w:tc>
        <w:tc>
          <w:tcPr>
            <w:tcW w:w="877" w:type="dxa"/>
            <w:tcBorders>
              <w:bottom w:val="single" w:sz="4" w:space="0" w:color="auto"/>
            </w:tcBorders>
          </w:tcPr>
          <w:p w14:paraId="6A86816C"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8,847</w:t>
            </w:r>
          </w:p>
        </w:tc>
        <w:tc>
          <w:tcPr>
            <w:tcW w:w="877" w:type="dxa"/>
            <w:tcBorders>
              <w:bottom w:val="single" w:sz="4" w:space="0" w:color="auto"/>
            </w:tcBorders>
          </w:tcPr>
          <w:p w14:paraId="4520076B"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9,101</w:t>
            </w:r>
          </w:p>
        </w:tc>
        <w:tc>
          <w:tcPr>
            <w:tcW w:w="876" w:type="dxa"/>
            <w:tcBorders>
              <w:bottom w:val="single" w:sz="4" w:space="0" w:color="auto"/>
            </w:tcBorders>
          </w:tcPr>
          <w:p w14:paraId="78C95F05"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9,366</w:t>
            </w:r>
          </w:p>
        </w:tc>
        <w:tc>
          <w:tcPr>
            <w:tcW w:w="878" w:type="dxa"/>
            <w:tcBorders>
              <w:bottom w:val="single" w:sz="4" w:space="0" w:color="auto"/>
            </w:tcBorders>
          </w:tcPr>
          <w:p w14:paraId="604F4A23"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sz w:val="18"/>
                <w:szCs w:val="18"/>
              </w:rPr>
              <w:t>9,692</w:t>
            </w:r>
          </w:p>
        </w:tc>
        <w:tc>
          <w:tcPr>
            <w:tcW w:w="877" w:type="dxa"/>
            <w:tcBorders>
              <w:bottom w:val="single" w:sz="4" w:space="0" w:color="auto"/>
            </w:tcBorders>
          </w:tcPr>
          <w:p w14:paraId="5CDBFC5A"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10,087</w:t>
            </w:r>
          </w:p>
        </w:tc>
        <w:tc>
          <w:tcPr>
            <w:tcW w:w="850" w:type="dxa"/>
            <w:tcBorders>
              <w:bottom w:val="single" w:sz="4" w:space="0" w:color="auto"/>
            </w:tcBorders>
          </w:tcPr>
          <w:p w14:paraId="7E6CE827" w14:textId="77777777" w:rsidR="003D217E" w:rsidRPr="003543FC" w:rsidRDefault="003D217E" w:rsidP="001740C5">
            <w:pPr>
              <w:pStyle w:val="TableParagraph"/>
              <w:adjustRightInd w:val="0"/>
              <w:snapToGrid w:val="0"/>
              <w:spacing w:line="240" w:lineRule="auto"/>
              <w:ind w:left="16" w:right="16"/>
              <w:jc w:val="right"/>
              <w:rPr>
                <w:sz w:val="18"/>
                <w:szCs w:val="18"/>
              </w:rPr>
            </w:pPr>
            <w:r w:rsidRPr="003543FC">
              <w:rPr>
                <w:w w:val="95"/>
                <w:sz w:val="18"/>
                <w:szCs w:val="18"/>
              </w:rPr>
              <w:t>10,223</w:t>
            </w:r>
          </w:p>
        </w:tc>
      </w:tr>
    </w:tbl>
    <w:p w14:paraId="7C699550" w14:textId="77777777" w:rsidR="003D217E" w:rsidRPr="004635E5" w:rsidRDefault="003D217E" w:rsidP="003D217E">
      <w:pPr>
        <w:pStyle w:val="WCPFC"/>
        <w:numPr>
          <w:ilvl w:val="0"/>
          <w:numId w:val="0"/>
        </w:numPr>
        <w:adjustRightInd w:val="0"/>
        <w:spacing w:after="0"/>
        <w:ind w:left="360"/>
        <w:rPr>
          <w:rFonts w:cs="Times New Roman"/>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956"/>
      </w:tblGrid>
      <w:tr w:rsidR="003D217E" w14:paraId="59E63419" w14:textId="77777777" w:rsidTr="001740C5">
        <w:tc>
          <w:tcPr>
            <w:tcW w:w="4779" w:type="dxa"/>
          </w:tcPr>
          <w:p w14:paraId="79920F5A" w14:textId="77777777" w:rsidR="003D217E" w:rsidRDefault="003D217E" w:rsidP="001740C5">
            <w:pPr>
              <w:pStyle w:val="WCPFC"/>
              <w:numPr>
                <w:ilvl w:val="0"/>
                <w:numId w:val="0"/>
              </w:numPr>
              <w:adjustRightInd w:val="0"/>
              <w:spacing w:after="0"/>
              <w:rPr>
                <w:rFonts w:cs="Times New Roman"/>
              </w:rPr>
            </w:pPr>
            <w:r w:rsidRPr="004635E5">
              <w:rPr>
                <w:rFonts w:cs="Times New Roman"/>
                <w:noProof/>
                <w:lang w:val="en-US" w:eastAsia="zh-CN" w:bidi="mn-Mong-CN"/>
              </w:rPr>
              <w:drawing>
                <wp:inline distT="0" distB="0" distL="0" distR="0" wp14:anchorId="1E9E5DFA" wp14:editId="3C88091A">
                  <wp:extent cx="2482850" cy="1871668"/>
                  <wp:effectExtent l="0" t="0" r="0" b="0"/>
                  <wp:docPr id="414"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55" cstate="print"/>
                          <a:stretch>
                            <a:fillRect/>
                          </a:stretch>
                        </pic:blipFill>
                        <pic:spPr>
                          <a:xfrm>
                            <a:off x="0" y="0"/>
                            <a:ext cx="2489943" cy="1877015"/>
                          </a:xfrm>
                          <a:prstGeom prst="rect">
                            <a:avLst/>
                          </a:prstGeom>
                        </pic:spPr>
                      </pic:pic>
                    </a:graphicData>
                  </a:graphic>
                </wp:inline>
              </w:drawing>
            </w:r>
          </w:p>
        </w:tc>
        <w:tc>
          <w:tcPr>
            <w:tcW w:w="4779" w:type="dxa"/>
            <w:vAlign w:val="center"/>
          </w:tcPr>
          <w:p w14:paraId="7363E21C" w14:textId="77777777" w:rsidR="003D217E" w:rsidRDefault="003D217E" w:rsidP="001740C5">
            <w:pPr>
              <w:pStyle w:val="WCPFC"/>
              <w:numPr>
                <w:ilvl w:val="0"/>
                <w:numId w:val="0"/>
              </w:numPr>
              <w:adjustRightInd w:val="0"/>
              <w:spacing w:after="0"/>
              <w:jc w:val="center"/>
              <w:rPr>
                <w:rFonts w:cs="Times New Roman"/>
              </w:rPr>
            </w:pPr>
            <w:r w:rsidRPr="004635E5">
              <w:rPr>
                <w:rFonts w:cs="Times New Roman"/>
                <w:b/>
                <w:noProof/>
                <w:lang w:val="en-US" w:eastAsia="zh-CN" w:bidi="mn-Mong-CN"/>
              </w:rPr>
              <w:drawing>
                <wp:anchor distT="0" distB="0" distL="0" distR="0" simplePos="0" relativeHeight="251664384" behindDoc="1" locked="0" layoutInCell="1" allowOverlap="1" wp14:anchorId="49D1F6A6" wp14:editId="16F00DBB">
                  <wp:simplePos x="0" y="0"/>
                  <wp:positionH relativeFrom="page">
                    <wp:posOffset>133985</wp:posOffset>
                  </wp:positionH>
                  <wp:positionV relativeFrom="paragraph">
                    <wp:posOffset>-1754505</wp:posOffset>
                  </wp:positionV>
                  <wp:extent cx="3003550" cy="1699260"/>
                  <wp:effectExtent l="0" t="0" r="6350" b="0"/>
                  <wp:wrapTight wrapText="bothSides">
                    <wp:wrapPolygon edited="0">
                      <wp:start x="0" y="0"/>
                      <wp:lineTo x="0" y="21309"/>
                      <wp:lineTo x="21509" y="21309"/>
                      <wp:lineTo x="21509" y="0"/>
                      <wp:lineTo x="0" y="0"/>
                    </wp:wrapPolygon>
                  </wp:wrapTight>
                  <wp:docPr id="4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56" cstate="print"/>
                          <a:stretch>
                            <a:fillRect/>
                          </a:stretch>
                        </pic:blipFill>
                        <pic:spPr>
                          <a:xfrm>
                            <a:off x="0" y="0"/>
                            <a:ext cx="3003550" cy="1699260"/>
                          </a:xfrm>
                          <a:prstGeom prst="rect">
                            <a:avLst/>
                          </a:prstGeom>
                        </pic:spPr>
                      </pic:pic>
                    </a:graphicData>
                  </a:graphic>
                  <wp14:sizeRelH relativeFrom="margin">
                    <wp14:pctWidth>0</wp14:pctWidth>
                  </wp14:sizeRelH>
                  <wp14:sizeRelV relativeFrom="margin">
                    <wp14:pctHeight>0</wp14:pctHeight>
                  </wp14:sizeRelV>
                </wp:anchor>
              </w:drawing>
            </w:r>
          </w:p>
        </w:tc>
      </w:tr>
      <w:tr w:rsidR="003D217E" w14:paraId="09D4C577" w14:textId="77777777" w:rsidTr="001740C5">
        <w:tc>
          <w:tcPr>
            <w:tcW w:w="4779" w:type="dxa"/>
          </w:tcPr>
          <w:p w14:paraId="6F697A85" w14:textId="77777777" w:rsidR="003D217E" w:rsidRPr="003543FC" w:rsidRDefault="003D217E" w:rsidP="001740C5">
            <w:pPr>
              <w:pStyle w:val="WCPFC"/>
              <w:numPr>
                <w:ilvl w:val="0"/>
                <w:numId w:val="0"/>
              </w:numPr>
              <w:adjustRightInd w:val="0"/>
              <w:spacing w:after="0"/>
              <w:rPr>
                <w:rFonts w:cs="Times New Roman"/>
                <w:lang w:val="en-US" w:eastAsia="ko-KR"/>
              </w:rPr>
            </w:pPr>
            <w:r w:rsidRPr="004635E5">
              <w:rPr>
                <w:rFonts w:cs="Times New Roman"/>
                <w:b/>
                <w:lang w:val="en-US"/>
              </w:rPr>
              <w:t>Figure NPS-1</w:t>
            </w:r>
            <w:r w:rsidRPr="004635E5">
              <w:rPr>
                <w:rFonts w:cs="Times New Roman"/>
                <w:lang w:val="en-US"/>
              </w:rPr>
              <w:t>. Stock boundaries used for this assessment of North Pacific Ocean swordfish: purple lines indicate stock area divisions; stock area 1 was assessed as the WCNPO stock, stock area 2 contains the Eastern Pacific Ocean stock, the green line indicates Western Central Pacific Fisheries Commission convention area, blue dashed line indicates IATTC convention area.</w:t>
            </w:r>
          </w:p>
        </w:tc>
        <w:tc>
          <w:tcPr>
            <w:tcW w:w="4779" w:type="dxa"/>
          </w:tcPr>
          <w:p w14:paraId="3C8E3F8C" w14:textId="77777777" w:rsidR="003D217E" w:rsidRPr="004635E5" w:rsidRDefault="003D217E" w:rsidP="001740C5">
            <w:pPr>
              <w:pStyle w:val="WCPFC"/>
              <w:numPr>
                <w:ilvl w:val="0"/>
                <w:numId w:val="0"/>
              </w:numPr>
              <w:adjustRightInd w:val="0"/>
              <w:spacing w:after="0"/>
              <w:ind w:left="-30"/>
              <w:rPr>
                <w:rFonts w:cs="Times New Roman"/>
              </w:rPr>
            </w:pPr>
            <w:r w:rsidRPr="004635E5">
              <w:rPr>
                <w:rFonts w:cs="Times New Roman"/>
                <w:b/>
              </w:rPr>
              <w:t>Figure NPS-2</w:t>
            </w:r>
            <w:r w:rsidRPr="004635E5">
              <w:rPr>
                <w:rFonts w:cs="Times New Roman"/>
              </w:rPr>
              <w:t>. Annual catch biomass (t) of WCNPO swordfish (</w:t>
            </w:r>
            <w:r w:rsidRPr="004635E5">
              <w:rPr>
                <w:rFonts w:cs="Times New Roman"/>
                <w:i/>
              </w:rPr>
              <w:t>Xiphias gladius</w:t>
            </w:r>
            <w:r w:rsidRPr="004635E5">
              <w:rPr>
                <w:rFonts w:cs="Times New Roman"/>
              </w:rPr>
              <w:t>) by country for</w:t>
            </w:r>
            <w:r>
              <w:rPr>
                <w:rFonts w:cs="Times New Roman"/>
              </w:rPr>
              <w:t xml:space="preserve"> </w:t>
            </w:r>
            <w:r w:rsidRPr="004635E5">
              <w:rPr>
                <w:rFonts w:cs="Times New Roman"/>
              </w:rPr>
              <w:t>Japan, Chinese Taipei, the U.S.A., and all other countries during 1975-2016.</w:t>
            </w:r>
          </w:p>
          <w:p w14:paraId="3828A1D2" w14:textId="77777777" w:rsidR="003D217E" w:rsidRDefault="003D217E" w:rsidP="001740C5">
            <w:pPr>
              <w:pStyle w:val="WCPFC"/>
              <w:numPr>
                <w:ilvl w:val="0"/>
                <w:numId w:val="0"/>
              </w:numPr>
              <w:adjustRightInd w:val="0"/>
              <w:spacing w:after="0"/>
              <w:rPr>
                <w:rFonts w:cs="Times New Roman"/>
              </w:rPr>
            </w:pPr>
          </w:p>
        </w:tc>
      </w:tr>
    </w:tbl>
    <w:p w14:paraId="42A82758" w14:textId="77777777" w:rsidR="003D217E" w:rsidRPr="004635E5" w:rsidRDefault="003D217E" w:rsidP="003D217E">
      <w:pPr>
        <w:pStyle w:val="WCPFC"/>
        <w:numPr>
          <w:ilvl w:val="0"/>
          <w:numId w:val="0"/>
        </w:numPr>
        <w:adjustRightInd w:val="0"/>
        <w:spacing w:after="0"/>
        <w:ind w:left="360"/>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770"/>
      </w:tblGrid>
      <w:tr w:rsidR="003D217E" w14:paraId="6D623B9F" w14:textId="77777777" w:rsidTr="001740C5">
        <w:tc>
          <w:tcPr>
            <w:tcW w:w="4806" w:type="dxa"/>
            <w:vAlign w:val="center"/>
          </w:tcPr>
          <w:p w14:paraId="47FA2EE3" w14:textId="77777777" w:rsidR="003D217E" w:rsidRDefault="003D217E" w:rsidP="001740C5">
            <w:pPr>
              <w:pStyle w:val="WCPFC"/>
              <w:numPr>
                <w:ilvl w:val="0"/>
                <w:numId w:val="0"/>
              </w:numPr>
              <w:adjustRightInd w:val="0"/>
              <w:spacing w:after="0"/>
              <w:jc w:val="center"/>
              <w:rPr>
                <w:rFonts w:cs="Times New Roman"/>
              </w:rPr>
            </w:pPr>
            <w:r w:rsidRPr="004635E5">
              <w:rPr>
                <w:rFonts w:cs="Times New Roman"/>
                <w:noProof/>
                <w:lang w:val="en-US" w:eastAsia="zh-CN" w:bidi="mn-Mong-CN"/>
              </w:rPr>
              <w:drawing>
                <wp:inline distT="0" distB="0" distL="0" distR="0" wp14:anchorId="124B8718" wp14:editId="768A541F">
                  <wp:extent cx="2907045" cy="1857375"/>
                  <wp:effectExtent l="0" t="0" r="7620" b="0"/>
                  <wp:docPr id="4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57" cstate="print"/>
                          <a:stretch>
                            <a:fillRect/>
                          </a:stretch>
                        </pic:blipFill>
                        <pic:spPr>
                          <a:xfrm>
                            <a:off x="0" y="0"/>
                            <a:ext cx="2915461" cy="1862752"/>
                          </a:xfrm>
                          <a:prstGeom prst="rect">
                            <a:avLst/>
                          </a:prstGeom>
                        </pic:spPr>
                      </pic:pic>
                    </a:graphicData>
                  </a:graphic>
                </wp:inline>
              </w:drawing>
            </w:r>
          </w:p>
          <w:p w14:paraId="63E5A516" w14:textId="77777777" w:rsidR="003D217E" w:rsidRPr="00060FA0" w:rsidRDefault="003D217E" w:rsidP="001740C5">
            <w:pPr>
              <w:tabs>
                <w:tab w:val="left" w:pos="3379"/>
              </w:tabs>
              <w:jc w:val="center"/>
              <w:rPr>
                <w:lang w:val="en-NZ" w:eastAsia="en-NZ"/>
              </w:rPr>
            </w:pPr>
          </w:p>
        </w:tc>
        <w:tc>
          <w:tcPr>
            <w:tcW w:w="4770" w:type="dxa"/>
          </w:tcPr>
          <w:p w14:paraId="7BFB2909" w14:textId="77777777" w:rsidR="003D217E" w:rsidRDefault="003D217E" w:rsidP="001740C5">
            <w:pPr>
              <w:pStyle w:val="WCPFC"/>
              <w:numPr>
                <w:ilvl w:val="0"/>
                <w:numId w:val="0"/>
              </w:numPr>
              <w:adjustRightInd w:val="0"/>
              <w:spacing w:after="0"/>
              <w:rPr>
                <w:rFonts w:cs="Times New Roman"/>
              </w:rPr>
            </w:pPr>
            <w:r w:rsidRPr="004635E5">
              <w:rPr>
                <w:rFonts w:cs="Times New Roman"/>
                <w:noProof/>
                <w:lang w:val="en-US" w:eastAsia="zh-CN" w:bidi="mn-Mong-CN"/>
              </w:rPr>
              <w:drawing>
                <wp:inline distT="0" distB="0" distL="0" distR="0" wp14:anchorId="33CA1024" wp14:editId="69D9F7B0">
                  <wp:extent cx="2209800" cy="2209800"/>
                  <wp:effectExtent l="0" t="0" r="0" b="0"/>
                  <wp:docPr id="4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58" cstate="print"/>
                          <a:stretch>
                            <a:fillRect/>
                          </a:stretch>
                        </pic:blipFill>
                        <pic:spPr>
                          <a:xfrm>
                            <a:off x="0" y="0"/>
                            <a:ext cx="2209800" cy="2209800"/>
                          </a:xfrm>
                          <a:prstGeom prst="rect">
                            <a:avLst/>
                          </a:prstGeom>
                        </pic:spPr>
                      </pic:pic>
                    </a:graphicData>
                  </a:graphic>
                </wp:inline>
              </w:drawing>
            </w:r>
          </w:p>
        </w:tc>
      </w:tr>
      <w:tr w:rsidR="003D217E" w14:paraId="4E01A06D" w14:textId="77777777" w:rsidTr="001740C5">
        <w:tc>
          <w:tcPr>
            <w:tcW w:w="4806" w:type="dxa"/>
          </w:tcPr>
          <w:p w14:paraId="6C963E9E" w14:textId="77777777" w:rsidR="003D217E" w:rsidRDefault="003D217E" w:rsidP="001740C5">
            <w:pPr>
              <w:pStyle w:val="WCPFC"/>
              <w:numPr>
                <w:ilvl w:val="0"/>
                <w:numId w:val="0"/>
              </w:numPr>
              <w:adjustRightInd w:val="0"/>
              <w:spacing w:after="0"/>
              <w:rPr>
                <w:rFonts w:cs="Times New Roman"/>
                <w:lang w:eastAsia="ko-KR"/>
              </w:rPr>
            </w:pPr>
            <w:r w:rsidRPr="004635E5">
              <w:rPr>
                <w:rFonts w:cs="Times New Roman"/>
                <w:b/>
              </w:rPr>
              <w:t>Figure NPS-3</w:t>
            </w:r>
            <w:r w:rsidRPr="004635E5">
              <w:rPr>
                <w:rFonts w:cs="Times New Roman"/>
              </w:rPr>
              <w:t>. Time series of estimates of (a) population biomass (age 1+) (first point in time series represents unfished biomass), (b) spawning biomass, (c) recruitment (age-0 fish), and (d) instantaneous fishing mortality (average for ages 1 to 10, yr</w:t>
            </w:r>
            <w:r w:rsidRPr="003543FC">
              <w:rPr>
                <w:rFonts w:cs="Times New Roman" w:hint="eastAsia"/>
                <w:vertAlign w:val="superscript"/>
                <w:lang w:eastAsia="ko-KR"/>
              </w:rPr>
              <w:t>-1</w:t>
            </w:r>
            <w:r w:rsidRPr="004635E5">
              <w:rPr>
                <w:rFonts w:cs="Times New Roman"/>
              </w:rPr>
              <w:t>) for WCNPO swordfish (</w:t>
            </w:r>
            <w:r w:rsidRPr="004635E5">
              <w:rPr>
                <w:rFonts w:cs="Times New Roman"/>
                <w:i/>
              </w:rPr>
              <w:t>Xiphias gladius</w:t>
            </w:r>
            <w:r w:rsidRPr="004635E5">
              <w:rPr>
                <w:rFonts w:cs="Times New Roman"/>
              </w:rPr>
              <w:t>) derived from the 2018 stock assessment. The solid circles are the maximum likelihood estimates by year for each quantity and the error bars represent the uncertainty of the estimates (80% confidence intervals), green dashed lines indicate B</w:t>
            </w:r>
            <w:r w:rsidRPr="004635E5">
              <w:rPr>
                <w:rFonts w:cs="Times New Roman"/>
                <w:position w:val="-2"/>
              </w:rPr>
              <w:t>MSY</w:t>
            </w:r>
            <w:r w:rsidRPr="004635E5">
              <w:rPr>
                <w:rFonts w:cs="Times New Roman"/>
              </w:rPr>
              <w:t>, equilibrium recruitment, and F</w:t>
            </w:r>
            <w:r w:rsidRPr="004E1B05">
              <w:rPr>
                <w:rFonts w:cs="Times New Roman"/>
                <w:position w:val="-2"/>
                <w:vertAlign w:val="subscript"/>
              </w:rPr>
              <w:t>MSY</w:t>
            </w:r>
            <w:r w:rsidRPr="004635E5">
              <w:rPr>
                <w:rFonts w:cs="Times New Roman"/>
                <w:position w:val="-2"/>
              </w:rPr>
              <w:t xml:space="preserve"> </w:t>
            </w:r>
            <w:r w:rsidRPr="004635E5">
              <w:rPr>
                <w:rFonts w:cs="Times New Roman"/>
              </w:rPr>
              <w:t>except for the population biomass time series.</w:t>
            </w:r>
          </w:p>
        </w:tc>
        <w:tc>
          <w:tcPr>
            <w:tcW w:w="4770" w:type="dxa"/>
          </w:tcPr>
          <w:p w14:paraId="5AED16FA" w14:textId="77777777" w:rsidR="003D217E" w:rsidRPr="004635E5" w:rsidRDefault="003D217E" w:rsidP="001740C5">
            <w:pPr>
              <w:pStyle w:val="WCPFC"/>
              <w:numPr>
                <w:ilvl w:val="0"/>
                <w:numId w:val="0"/>
              </w:numPr>
              <w:adjustRightInd w:val="0"/>
              <w:spacing w:after="0"/>
              <w:rPr>
                <w:rFonts w:cs="Times New Roman"/>
              </w:rPr>
            </w:pPr>
            <w:r w:rsidRPr="004635E5">
              <w:rPr>
                <w:rFonts w:cs="Times New Roman"/>
                <w:b/>
              </w:rPr>
              <w:t>Figure NPS-4</w:t>
            </w:r>
            <w:r w:rsidRPr="004635E5">
              <w:rPr>
                <w:rFonts w:cs="Times New Roman"/>
              </w:rPr>
              <w:t>. Kobe plot of the time series of estimates of relative fishing mortality (average of ages 1-10) and relative spawning stock biomass of WCNPO swordfish (</w:t>
            </w:r>
            <w:r w:rsidRPr="004635E5">
              <w:rPr>
                <w:rFonts w:cs="Times New Roman"/>
                <w:i/>
              </w:rPr>
              <w:t>Xiphias gladius</w:t>
            </w:r>
            <w:r w:rsidRPr="004635E5">
              <w:rPr>
                <w:rFonts w:cs="Times New Roman"/>
              </w:rPr>
              <w:t>) during 1975-2016. The white circle denotes the first year (1975) and the yellow circle denotes the last year (2016) of the assessment time horizon. The dashed lines represent the 95% confidence intervals around the 2016 estimate.</w:t>
            </w:r>
          </w:p>
          <w:p w14:paraId="54975E18" w14:textId="77777777" w:rsidR="003D217E" w:rsidRDefault="003D217E" w:rsidP="001740C5">
            <w:pPr>
              <w:pStyle w:val="WCPFC"/>
              <w:numPr>
                <w:ilvl w:val="0"/>
                <w:numId w:val="0"/>
              </w:numPr>
              <w:adjustRightInd w:val="0"/>
              <w:spacing w:after="0"/>
              <w:rPr>
                <w:rFonts w:cs="Times New Roman"/>
              </w:rPr>
            </w:pPr>
          </w:p>
        </w:tc>
      </w:tr>
    </w:tbl>
    <w:p w14:paraId="2F744A0B" w14:textId="77777777" w:rsidR="003D217E" w:rsidRPr="004635E5" w:rsidRDefault="003D217E" w:rsidP="003D217E">
      <w:pPr>
        <w:pStyle w:val="WCPFC"/>
        <w:numPr>
          <w:ilvl w:val="0"/>
          <w:numId w:val="0"/>
        </w:numPr>
        <w:adjustRightInd w:val="0"/>
        <w:spacing w:after="0"/>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1"/>
        <w:gridCol w:w="4785"/>
      </w:tblGrid>
      <w:tr w:rsidR="003D217E" w14:paraId="7302A691" w14:textId="77777777" w:rsidTr="001740C5">
        <w:tc>
          <w:tcPr>
            <w:tcW w:w="4788" w:type="dxa"/>
          </w:tcPr>
          <w:p w14:paraId="1B4956AC" w14:textId="77777777" w:rsidR="003D217E" w:rsidRDefault="003D217E" w:rsidP="001740C5">
            <w:pPr>
              <w:pStyle w:val="WCPFC"/>
              <w:numPr>
                <w:ilvl w:val="0"/>
                <w:numId w:val="0"/>
              </w:numPr>
              <w:adjustRightInd w:val="0"/>
              <w:spacing w:after="0"/>
              <w:rPr>
                <w:rFonts w:cs="Times New Roman"/>
                <w:lang w:val="en-US"/>
              </w:rPr>
            </w:pPr>
            <w:r w:rsidRPr="004635E5">
              <w:rPr>
                <w:rFonts w:cs="Times New Roman"/>
                <w:noProof/>
                <w:lang w:val="en-US" w:eastAsia="zh-CN" w:bidi="mn-Mong-CN"/>
              </w:rPr>
              <w:drawing>
                <wp:inline distT="0" distB="0" distL="0" distR="0" wp14:anchorId="6A000722" wp14:editId="1E1E8848">
                  <wp:extent cx="2905125" cy="2410649"/>
                  <wp:effectExtent l="0" t="0" r="0" b="8890"/>
                  <wp:docPr id="418"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59" cstate="print"/>
                          <a:stretch>
                            <a:fillRect/>
                          </a:stretch>
                        </pic:blipFill>
                        <pic:spPr>
                          <a:xfrm>
                            <a:off x="0" y="0"/>
                            <a:ext cx="2905262" cy="2410762"/>
                          </a:xfrm>
                          <a:prstGeom prst="rect">
                            <a:avLst/>
                          </a:prstGeom>
                        </pic:spPr>
                      </pic:pic>
                    </a:graphicData>
                  </a:graphic>
                </wp:inline>
              </w:drawing>
            </w:r>
          </w:p>
        </w:tc>
        <w:tc>
          <w:tcPr>
            <w:tcW w:w="4788" w:type="dxa"/>
          </w:tcPr>
          <w:p w14:paraId="678ED3AE" w14:textId="77777777" w:rsidR="003D217E" w:rsidRPr="004635E5" w:rsidRDefault="003D217E" w:rsidP="001740C5">
            <w:pPr>
              <w:pStyle w:val="WCPFC"/>
              <w:numPr>
                <w:ilvl w:val="0"/>
                <w:numId w:val="0"/>
              </w:numPr>
              <w:adjustRightInd w:val="0"/>
              <w:spacing w:after="0"/>
              <w:rPr>
                <w:rFonts w:cs="Times New Roman"/>
              </w:rPr>
            </w:pPr>
            <w:r w:rsidRPr="004635E5">
              <w:rPr>
                <w:rFonts w:cs="Times New Roman"/>
                <w:b/>
              </w:rPr>
              <w:t>Figure NPS-5</w:t>
            </w:r>
            <w:r w:rsidRPr="004635E5">
              <w:rPr>
                <w:rFonts w:cs="Times New Roman"/>
              </w:rPr>
              <w:t>. Historical and projected trajectories of (a) spawning stock biomass and (b) total catch from the WCNPO swordfish base case model. Stock projection results are shown for S1 = the status quo or average fishing intensity during 2013-2015 (</w:t>
            </w:r>
            <w:r w:rsidRPr="004635E5">
              <w:rPr>
                <w:rFonts w:ascii="Cambria Math" w:eastAsia="Cambria Math" w:hAnsi="Cambria Math" w:cs="Cambria Math"/>
              </w:rPr>
              <w:t>𝐹</w:t>
            </w:r>
            <w:r w:rsidRPr="004E1B05">
              <w:rPr>
                <w:rFonts w:cs="Times New Roman"/>
                <w:position w:val="-2"/>
                <w:vertAlign w:val="subscript"/>
              </w:rPr>
              <w:t>2013−2015</w:t>
            </w:r>
            <w:r w:rsidRPr="004635E5">
              <w:rPr>
                <w:rFonts w:cs="Times New Roman"/>
              </w:rPr>
              <w:t xml:space="preserve">= </w:t>
            </w:r>
            <w:r w:rsidRPr="004635E5">
              <w:rPr>
                <w:rFonts w:ascii="Cambria Math" w:eastAsia="Cambria Math" w:hAnsi="Cambria Math" w:cs="Cambria Math"/>
              </w:rPr>
              <w:t>𝐹</w:t>
            </w:r>
            <w:r w:rsidRPr="004E1B05">
              <w:rPr>
                <w:rFonts w:cs="Times New Roman"/>
                <w:position w:val="-2"/>
                <w:vertAlign w:val="subscript"/>
              </w:rPr>
              <w:t>43%</w:t>
            </w:r>
            <w:r w:rsidRPr="004635E5">
              <w:rPr>
                <w:rFonts w:cs="Times New Roman"/>
              </w:rPr>
              <w:t>); S2 = F</w:t>
            </w:r>
            <w:r w:rsidRPr="004E1B05">
              <w:rPr>
                <w:rFonts w:cs="Times New Roman"/>
                <w:position w:val="-2"/>
                <w:vertAlign w:val="subscript"/>
              </w:rPr>
              <w:t>MSY</w:t>
            </w:r>
            <w:r w:rsidRPr="004635E5">
              <w:rPr>
                <w:rFonts w:cs="Times New Roman"/>
                <w:position w:val="-2"/>
              </w:rPr>
              <w:t xml:space="preserve"> </w:t>
            </w:r>
            <w:r w:rsidRPr="004635E5">
              <w:rPr>
                <w:rFonts w:cs="Times New Roman"/>
              </w:rPr>
              <w:t>(</w:t>
            </w:r>
            <w:r w:rsidRPr="004635E5">
              <w:rPr>
                <w:rFonts w:ascii="Cambria Math" w:eastAsia="Cambria Math" w:hAnsi="Cambria Math" w:cs="Cambria Math"/>
              </w:rPr>
              <w:t>𝐹</w:t>
            </w:r>
            <w:r w:rsidRPr="004E1B05">
              <w:rPr>
                <w:rFonts w:cs="Times New Roman"/>
                <w:position w:val="-2"/>
                <w:vertAlign w:val="subscript"/>
              </w:rPr>
              <w:t>18%</w:t>
            </w:r>
            <w:r w:rsidRPr="004635E5">
              <w:rPr>
                <w:rFonts w:cs="Times New Roman"/>
              </w:rPr>
              <w:t>); S3 = F to produce 20% of unfished spawning stock biomass or F</w:t>
            </w:r>
            <w:r w:rsidRPr="004E1B05">
              <w:rPr>
                <w:rFonts w:cs="Times New Roman"/>
                <w:position w:val="-2"/>
                <w:vertAlign w:val="subscript"/>
              </w:rPr>
              <w:t>0.2</w:t>
            </w:r>
            <w:r w:rsidRPr="004635E5">
              <w:rPr>
                <w:rFonts w:cs="Times New Roman"/>
                <w:position w:val="-2"/>
              </w:rPr>
              <w:t>*SSB</w:t>
            </w:r>
            <w:r w:rsidRPr="004E1B05">
              <w:rPr>
                <w:rFonts w:cs="Times New Roman"/>
                <w:position w:val="-2"/>
                <w:vertAlign w:val="subscript"/>
              </w:rPr>
              <w:t>F=0</w:t>
            </w:r>
            <w:r w:rsidRPr="004635E5">
              <w:rPr>
                <w:rFonts w:cs="Times New Roman"/>
                <w:position w:val="-2"/>
              </w:rPr>
              <w:t xml:space="preserve"> </w:t>
            </w:r>
            <w:r w:rsidRPr="004635E5">
              <w:rPr>
                <w:rFonts w:cs="Times New Roman"/>
              </w:rPr>
              <w:t>(</w:t>
            </w:r>
            <w:r w:rsidRPr="004635E5">
              <w:rPr>
                <w:rFonts w:ascii="Cambria Math" w:eastAsia="Cambria Math" w:hAnsi="Cambria Math" w:cs="Cambria Math"/>
              </w:rPr>
              <w:t>𝐹</w:t>
            </w:r>
            <w:r w:rsidRPr="004E1B05">
              <w:rPr>
                <w:rFonts w:cs="Times New Roman"/>
                <w:position w:val="-2"/>
                <w:vertAlign w:val="subscript"/>
              </w:rPr>
              <w:t>22%</w:t>
            </w:r>
            <w:r w:rsidRPr="004635E5">
              <w:rPr>
                <w:rFonts w:cs="Times New Roman"/>
              </w:rPr>
              <w:t>); S4 = the highest 3-year average F during 1975-2016 or High F (F</w:t>
            </w:r>
            <w:r w:rsidRPr="004E1B05">
              <w:rPr>
                <w:rFonts w:cs="Times New Roman"/>
                <w:position w:val="-2"/>
                <w:vertAlign w:val="subscript"/>
              </w:rPr>
              <w:t>20%</w:t>
            </w:r>
            <w:r w:rsidRPr="004635E5">
              <w:rPr>
                <w:rFonts w:cs="Times New Roman"/>
              </w:rPr>
              <w:t>); S5 = Low F (F</w:t>
            </w:r>
            <w:r w:rsidRPr="004E1B05">
              <w:rPr>
                <w:rFonts w:cs="Times New Roman"/>
                <w:position w:val="-2"/>
                <w:vertAlign w:val="subscript"/>
              </w:rPr>
              <w:t>50%</w:t>
            </w:r>
            <w:r w:rsidRPr="004635E5">
              <w:rPr>
                <w:rFonts w:cs="Times New Roman"/>
              </w:rPr>
              <w:t>).</w:t>
            </w:r>
          </w:p>
          <w:p w14:paraId="6D5BBA30" w14:textId="77777777" w:rsidR="003D217E" w:rsidRDefault="003D217E" w:rsidP="001740C5">
            <w:pPr>
              <w:pStyle w:val="WCPFC"/>
              <w:numPr>
                <w:ilvl w:val="0"/>
                <w:numId w:val="0"/>
              </w:numPr>
              <w:adjustRightInd w:val="0"/>
              <w:spacing w:after="0"/>
              <w:rPr>
                <w:rFonts w:cs="Times New Roman"/>
                <w:lang w:val="en-US"/>
              </w:rPr>
            </w:pPr>
          </w:p>
        </w:tc>
      </w:tr>
    </w:tbl>
    <w:p w14:paraId="47BCEE81" w14:textId="77777777" w:rsidR="003D217E" w:rsidRPr="004635E5" w:rsidRDefault="003D217E" w:rsidP="003D217E">
      <w:pPr>
        <w:pStyle w:val="WCPFC"/>
        <w:numPr>
          <w:ilvl w:val="0"/>
          <w:numId w:val="0"/>
        </w:numPr>
        <w:adjustRightInd w:val="0"/>
        <w:spacing w:after="0"/>
        <w:ind w:left="360"/>
        <w:rPr>
          <w:rFonts w:cs="Times New Roman"/>
        </w:rPr>
      </w:pPr>
    </w:p>
    <w:p w14:paraId="36169F02" w14:textId="77777777" w:rsidR="003D217E" w:rsidRPr="00EE3592" w:rsidRDefault="003D217E" w:rsidP="003D217E">
      <w:pPr>
        <w:pStyle w:val="SC2"/>
        <w:spacing w:after="0"/>
        <w:rPr>
          <w:rFonts w:eastAsia="Batang"/>
          <w:bCs/>
          <w:sz w:val="24"/>
          <w:szCs w:val="24"/>
          <w:lang w:eastAsia="ko-KR"/>
        </w:rPr>
      </w:pPr>
      <w:r w:rsidRPr="00EE3592">
        <w:rPr>
          <w:sz w:val="24"/>
          <w:szCs w:val="24"/>
        </w:rPr>
        <w:t>WCPO sharks</w:t>
      </w:r>
    </w:p>
    <w:p w14:paraId="1CDEE8E5" w14:textId="77777777" w:rsidR="003D217E" w:rsidRPr="004635E5" w:rsidRDefault="003D217E" w:rsidP="003D217E">
      <w:pPr>
        <w:pStyle w:val="SC2"/>
        <w:numPr>
          <w:ilvl w:val="0"/>
          <w:numId w:val="0"/>
        </w:numPr>
        <w:spacing w:after="0"/>
        <w:ind w:left="720"/>
        <w:rPr>
          <w:rFonts w:eastAsia="Batang"/>
          <w:bCs/>
          <w:lang w:eastAsia="ko-KR"/>
        </w:rPr>
      </w:pPr>
    </w:p>
    <w:p w14:paraId="2E995283" w14:textId="77777777" w:rsidR="003D217E" w:rsidRPr="00EE3592" w:rsidRDefault="003D217E" w:rsidP="003D217E">
      <w:pPr>
        <w:pStyle w:val="ListParagraph"/>
        <w:adjustRightInd w:val="0"/>
        <w:snapToGrid w:val="0"/>
        <w:jc w:val="both"/>
        <w:rPr>
          <w:b/>
          <w:vanish/>
          <w:lang w:val="en-NZ"/>
        </w:rPr>
      </w:pPr>
    </w:p>
    <w:p w14:paraId="4AFF43B5" w14:textId="77777777" w:rsidR="003D217E" w:rsidRPr="00EE3592" w:rsidRDefault="003D217E" w:rsidP="003D217E">
      <w:pPr>
        <w:pStyle w:val="SC3"/>
        <w:spacing w:after="0"/>
        <w:rPr>
          <w:sz w:val="24"/>
          <w:szCs w:val="24"/>
        </w:rPr>
      </w:pPr>
      <w:r w:rsidRPr="00EE3592">
        <w:rPr>
          <w:sz w:val="24"/>
          <w:szCs w:val="24"/>
        </w:rPr>
        <w:t>Oceanic whitetip shark</w:t>
      </w:r>
      <w:r w:rsidRPr="00EE3592">
        <w:rPr>
          <w:rFonts w:eastAsiaTheme="minorEastAsia"/>
          <w:sz w:val="24"/>
          <w:szCs w:val="24"/>
          <w:lang w:eastAsia="ko-KR"/>
        </w:rPr>
        <w:t xml:space="preserve"> </w:t>
      </w:r>
      <w:r w:rsidRPr="00EE3592">
        <w:rPr>
          <w:sz w:val="24"/>
          <w:szCs w:val="24"/>
        </w:rPr>
        <w:t>(</w:t>
      </w:r>
      <w:r w:rsidRPr="00EE3592">
        <w:rPr>
          <w:i/>
          <w:sz w:val="24"/>
          <w:szCs w:val="24"/>
        </w:rPr>
        <w:t>Carcharhinus longimanus</w:t>
      </w:r>
      <w:r>
        <w:rPr>
          <w:rFonts w:eastAsiaTheme="minorEastAsia" w:hint="eastAsia"/>
          <w:iCs/>
          <w:sz w:val="24"/>
          <w:szCs w:val="24"/>
          <w:lang w:eastAsia="ko-KR"/>
        </w:rPr>
        <w:t>)</w:t>
      </w:r>
    </w:p>
    <w:p w14:paraId="3DD5419C" w14:textId="77777777" w:rsidR="003D217E" w:rsidRPr="004635E5" w:rsidRDefault="003D217E" w:rsidP="003D217E">
      <w:pPr>
        <w:pStyle w:val="SC3"/>
        <w:numPr>
          <w:ilvl w:val="0"/>
          <w:numId w:val="0"/>
        </w:numPr>
        <w:spacing w:after="0"/>
        <w:ind w:left="1440"/>
      </w:pPr>
    </w:p>
    <w:p w14:paraId="3942C2C2" w14:textId="77777777" w:rsidR="003D217E" w:rsidRPr="004635E5" w:rsidRDefault="003D217E" w:rsidP="002F64C2">
      <w:pPr>
        <w:pStyle w:val="SCa"/>
        <w:tabs>
          <w:tab w:val="clear" w:pos="1080"/>
        </w:tabs>
        <w:spacing w:after="0"/>
        <w:ind w:left="0"/>
      </w:pPr>
      <w:r w:rsidRPr="004635E5">
        <w:t>a.</w:t>
      </w:r>
      <w:r w:rsidRPr="004635E5">
        <w:tab/>
        <w:t xml:space="preserve">Status and trends </w:t>
      </w:r>
    </w:p>
    <w:p w14:paraId="51365216" w14:textId="77777777" w:rsidR="003D217E" w:rsidRPr="004635E5" w:rsidRDefault="003D217E" w:rsidP="003D217E">
      <w:pPr>
        <w:pStyle w:val="SCa"/>
        <w:spacing w:after="0"/>
      </w:pPr>
    </w:p>
    <w:p w14:paraId="2BF7E604" w14:textId="77777777" w:rsidR="003D217E" w:rsidRPr="00EE3592" w:rsidRDefault="003D217E" w:rsidP="00580EA4">
      <w:pPr>
        <w:numPr>
          <w:ilvl w:val="0"/>
          <w:numId w:val="18"/>
        </w:numPr>
        <w:autoSpaceDE w:val="0"/>
        <w:autoSpaceDN w:val="0"/>
        <w:adjustRightInd w:val="0"/>
        <w:snapToGrid w:val="0"/>
        <w:ind w:left="0" w:firstLine="0"/>
        <w:jc w:val="both"/>
        <w:rPr>
          <w:bCs/>
          <w:sz w:val="22"/>
          <w:szCs w:val="22"/>
        </w:rPr>
      </w:pPr>
      <w:r w:rsidRPr="00EE3592">
        <w:rPr>
          <w:bCs/>
          <w:sz w:val="22"/>
          <w:szCs w:val="22"/>
        </w:rPr>
        <w:t>SC14 noted that no stock assessments were conducted for oceanic whitetip shark in 2018. Therefore, the stock status descriptions from SC8 are still current for oceanic whitetip shark. Updated information on catches was not compiled for and reviewed by</w:t>
      </w:r>
      <w:r w:rsidRPr="00EE3592">
        <w:rPr>
          <w:bCs/>
          <w:spacing w:val="-19"/>
          <w:sz w:val="22"/>
          <w:szCs w:val="22"/>
        </w:rPr>
        <w:t xml:space="preserve"> </w:t>
      </w:r>
      <w:r w:rsidRPr="00EE3592">
        <w:rPr>
          <w:bCs/>
          <w:sz w:val="22"/>
          <w:szCs w:val="22"/>
        </w:rPr>
        <w:t xml:space="preserve">SC14. </w:t>
      </w:r>
    </w:p>
    <w:p w14:paraId="604000FE" w14:textId="77777777" w:rsidR="003D217E" w:rsidRPr="004635E5" w:rsidRDefault="003D217E" w:rsidP="003D217E">
      <w:pPr>
        <w:autoSpaceDE w:val="0"/>
        <w:autoSpaceDN w:val="0"/>
        <w:adjustRightInd w:val="0"/>
        <w:snapToGrid w:val="0"/>
        <w:jc w:val="both"/>
        <w:rPr>
          <w:b/>
          <w:sz w:val="22"/>
          <w:szCs w:val="22"/>
        </w:rPr>
      </w:pPr>
    </w:p>
    <w:p w14:paraId="1272EC70" w14:textId="77777777" w:rsidR="003D217E" w:rsidRPr="004635E5" w:rsidRDefault="003D217E" w:rsidP="002F64C2">
      <w:pPr>
        <w:pStyle w:val="SCa"/>
        <w:tabs>
          <w:tab w:val="clear" w:pos="1080"/>
        </w:tabs>
        <w:spacing w:after="0"/>
        <w:ind w:left="0"/>
      </w:pPr>
      <w:r w:rsidRPr="004635E5">
        <w:t>b.</w:t>
      </w:r>
      <w:r w:rsidRPr="004635E5">
        <w:tab/>
        <w:t>Management advice and implications</w:t>
      </w:r>
    </w:p>
    <w:p w14:paraId="5DE54832" w14:textId="77777777" w:rsidR="003D217E" w:rsidRPr="004635E5" w:rsidRDefault="003D217E" w:rsidP="003D217E">
      <w:pPr>
        <w:pStyle w:val="SCa"/>
        <w:spacing w:after="0"/>
      </w:pPr>
    </w:p>
    <w:p w14:paraId="400F9941" w14:textId="77777777" w:rsidR="003D217E" w:rsidRPr="00EE3592" w:rsidRDefault="003D217E" w:rsidP="00580EA4">
      <w:pPr>
        <w:numPr>
          <w:ilvl w:val="0"/>
          <w:numId w:val="18"/>
        </w:numPr>
        <w:autoSpaceDE w:val="0"/>
        <w:autoSpaceDN w:val="0"/>
        <w:adjustRightInd w:val="0"/>
        <w:snapToGrid w:val="0"/>
        <w:ind w:left="0" w:firstLine="0"/>
        <w:jc w:val="both"/>
        <w:rPr>
          <w:rStyle w:val="Hyperlink"/>
          <w:bCs/>
          <w:color w:val="auto"/>
          <w:sz w:val="22"/>
          <w:szCs w:val="22"/>
          <w:u w:val="none"/>
        </w:rPr>
      </w:pPr>
      <w:r w:rsidRPr="00EE3592">
        <w:rPr>
          <w:bCs/>
          <w:sz w:val="22"/>
          <w:szCs w:val="22"/>
        </w:rPr>
        <w:t xml:space="preserve">SC14 noted that no management advice has been provided since SC8 for oceanic whitetip shark. Therefore, previous advice should be maintained, pending a new assessment or other new information. </w:t>
      </w:r>
      <w:r w:rsidRPr="00EE3592">
        <w:rPr>
          <w:bCs/>
          <w:sz w:val="22"/>
          <w:szCs w:val="22"/>
          <w:lang w:val="en-AU"/>
        </w:rPr>
        <w:t>For further information on the management advice and implications from SC8, please see</w:t>
      </w:r>
      <w:r w:rsidRPr="00EE3592">
        <w:rPr>
          <w:bCs/>
          <w:sz w:val="22"/>
          <w:szCs w:val="22"/>
          <w:lang w:val="en-AU" w:eastAsia="ko-KR"/>
        </w:rPr>
        <w:t xml:space="preserve"> </w:t>
      </w:r>
      <w:hyperlink r:id="rId60" w:history="1">
        <w:r w:rsidRPr="00EE3592">
          <w:rPr>
            <w:rStyle w:val="Hyperlink"/>
            <w:bCs/>
            <w:sz w:val="22"/>
            <w:szCs w:val="22"/>
          </w:rPr>
          <w:t>https://www.wcpfc.int/node/3396</w:t>
        </w:r>
      </w:hyperlink>
      <w:r w:rsidRPr="00EE3592">
        <w:rPr>
          <w:rStyle w:val="Hyperlink"/>
          <w:bCs/>
          <w:sz w:val="22"/>
          <w:szCs w:val="22"/>
          <w:lang w:val="en-AU" w:eastAsia="ko-KR"/>
        </w:rPr>
        <w:t xml:space="preserve"> </w:t>
      </w:r>
    </w:p>
    <w:p w14:paraId="31772C74" w14:textId="77777777" w:rsidR="003D217E" w:rsidRPr="004635E5" w:rsidRDefault="003D217E" w:rsidP="003D217E">
      <w:pPr>
        <w:autoSpaceDE w:val="0"/>
        <w:autoSpaceDN w:val="0"/>
        <w:adjustRightInd w:val="0"/>
        <w:snapToGrid w:val="0"/>
        <w:jc w:val="both"/>
        <w:rPr>
          <w:b/>
          <w:sz w:val="22"/>
          <w:szCs w:val="22"/>
        </w:rPr>
      </w:pPr>
    </w:p>
    <w:p w14:paraId="43F12FD0" w14:textId="77777777" w:rsidR="003D217E" w:rsidRPr="00EE3592" w:rsidRDefault="003D217E" w:rsidP="003D217E">
      <w:pPr>
        <w:pStyle w:val="SC3"/>
        <w:spacing w:after="0"/>
        <w:rPr>
          <w:rFonts w:eastAsia="Batang"/>
          <w:sz w:val="24"/>
          <w:szCs w:val="24"/>
        </w:rPr>
      </w:pPr>
      <w:r w:rsidRPr="00EE3592">
        <w:rPr>
          <w:rFonts w:eastAsia="Batang"/>
          <w:sz w:val="24"/>
          <w:szCs w:val="24"/>
        </w:rPr>
        <w:t>Silky shark (</w:t>
      </w:r>
      <w:r w:rsidRPr="00EE3592">
        <w:rPr>
          <w:rFonts w:eastAsia="Batang"/>
          <w:i/>
          <w:sz w:val="24"/>
          <w:szCs w:val="24"/>
        </w:rPr>
        <w:t>Carcharhinus falciformis</w:t>
      </w:r>
      <w:r w:rsidRPr="00EE3592">
        <w:rPr>
          <w:rFonts w:eastAsia="Batang"/>
          <w:sz w:val="24"/>
          <w:szCs w:val="24"/>
        </w:rPr>
        <w:t>)</w:t>
      </w:r>
    </w:p>
    <w:p w14:paraId="16C417F4" w14:textId="77777777" w:rsidR="003D217E" w:rsidRPr="004635E5" w:rsidRDefault="003D217E" w:rsidP="003D217E">
      <w:pPr>
        <w:pStyle w:val="SC3"/>
        <w:numPr>
          <w:ilvl w:val="0"/>
          <w:numId w:val="0"/>
        </w:numPr>
        <w:spacing w:after="0"/>
        <w:ind w:left="1440"/>
        <w:rPr>
          <w:rFonts w:eastAsia="Batang"/>
        </w:rPr>
      </w:pPr>
    </w:p>
    <w:p w14:paraId="7BD7B9DD" w14:textId="77777777" w:rsidR="003D217E" w:rsidRPr="00EE3592" w:rsidRDefault="003D217E" w:rsidP="00580EA4">
      <w:pPr>
        <w:numPr>
          <w:ilvl w:val="0"/>
          <w:numId w:val="18"/>
        </w:numPr>
        <w:autoSpaceDE w:val="0"/>
        <w:autoSpaceDN w:val="0"/>
        <w:adjustRightInd w:val="0"/>
        <w:snapToGrid w:val="0"/>
        <w:ind w:left="0" w:firstLine="0"/>
        <w:jc w:val="both"/>
        <w:rPr>
          <w:bCs/>
          <w:sz w:val="22"/>
          <w:szCs w:val="22"/>
          <w:lang w:val="en-NZ"/>
        </w:rPr>
      </w:pPr>
      <w:r w:rsidRPr="00EE3592">
        <w:rPr>
          <w:bCs/>
          <w:sz w:val="22"/>
          <w:szCs w:val="22"/>
          <w:lang w:val="en-NZ"/>
        </w:rPr>
        <w:t xml:space="preserve">The SC accepts the WCPO silky shark stock assessment as best available science for this </w:t>
      </w:r>
      <w:r w:rsidRPr="00EE3592">
        <w:rPr>
          <w:rFonts w:eastAsiaTheme="minorEastAsia" w:hint="eastAsia"/>
          <w:bCs/>
          <w:sz w:val="22"/>
          <w:szCs w:val="22"/>
          <w:lang w:val="en-NZ" w:eastAsia="ko-KR"/>
        </w:rPr>
        <w:t>stock</w:t>
      </w:r>
      <w:r w:rsidRPr="00EE3592">
        <w:rPr>
          <w:bCs/>
          <w:sz w:val="22"/>
          <w:szCs w:val="22"/>
          <w:lang w:val="en-NZ"/>
        </w:rPr>
        <w:t xml:space="preserve">. </w:t>
      </w:r>
    </w:p>
    <w:p w14:paraId="1E024567" w14:textId="77777777" w:rsidR="003D217E" w:rsidRPr="004635E5" w:rsidRDefault="003D217E" w:rsidP="003D217E">
      <w:pPr>
        <w:autoSpaceDE w:val="0"/>
        <w:autoSpaceDN w:val="0"/>
        <w:adjustRightInd w:val="0"/>
        <w:snapToGrid w:val="0"/>
        <w:jc w:val="both"/>
        <w:rPr>
          <w:sz w:val="22"/>
          <w:szCs w:val="22"/>
          <w:lang w:val="en-NZ"/>
        </w:rPr>
      </w:pPr>
    </w:p>
    <w:p w14:paraId="582D4C78" w14:textId="77777777" w:rsidR="003D217E" w:rsidRPr="004635E5" w:rsidRDefault="003D217E" w:rsidP="002F64C2">
      <w:pPr>
        <w:pStyle w:val="SCa"/>
        <w:tabs>
          <w:tab w:val="clear" w:pos="1080"/>
        </w:tabs>
        <w:spacing w:after="0"/>
        <w:ind w:left="0"/>
      </w:pPr>
      <w:r w:rsidRPr="004635E5">
        <w:t>a.</w:t>
      </w:r>
      <w:r w:rsidRPr="004635E5">
        <w:tab/>
        <w:t>Stock status and trends</w:t>
      </w:r>
    </w:p>
    <w:p w14:paraId="5CDB7F71" w14:textId="77777777" w:rsidR="003D217E" w:rsidRPr="004635E5" w:rsidRDefault="003D217E" w:rsidP="003D217E">
      <w:pPr>
        <w:pStyle w:val="SCa"/>
        <w:spacing w:after="0"/>
      </w:pPr>
    </w:p>
    <w:p w14:paraId="6BB508CF" w14:textId="77777777" w:rsidR="003D217E" w:rsidRPr="00EE3592" w:rsidRDefault="003D217E" w:rsidP="00580EA4">
      <w:pPr>
        <w:numPr>
          <w:ilvl w:val="0"/>
          <w:numId w:val="18"/>
        </w:numPr>
        <w:autoSpaceDE w:val="0"/>
        <w:autoSpaceDN w:val="0"/>
        <w:adjustRightInd w:val="0"/>
        <w:snapToGrid w:val="0"/>
        <w:ind w:left="0" w:firstLine="0"/>
        <w:jc w:val="both"/>
        <w:rPr>
          <w:bCs/>
          <w:sz w:val="22"/>
          <w:szCs w:val="22"/>
          <w:lang w:val="en-AU"/>
        </w:rPr>
      </w:pPr>
      <w:r w:rsidRPr="00EE3592">
        <w:rPr>
          <w:bCs/>
          <w:sz w:val="22"/>
          <w:szCs w:val="22"/>
          <w:lang w:val="en-AU"/>
        </w:rPr>
        <w:t xml:space="preserve">SC14 noted given the inherent uncertainty in the current assessment the current estimates of stock status should be considered indicative only. Although these estimates are not considered a reliable basis for management decision-making they represent progress since the 2013 assessment and the best available science concerning the status of silky sharks in the WCPO. Therefore, as part of its ongoing review of the established conservation and management measure for silky sharks (CMM 2013-08), the Commission may wish to consider these indicative results until such time as better estimates become available. </w:t>
      </w:r>
    </w:p>
    <w:p w14:paraId="1B1FE995" w14:textId="77777777" w:rsidR="003D217E" w:rsidRPr="00EE3592" w:rsidRDefault="003D217E" w:rsidP="003D217E">
      <w:pPr>
        <w:autoSpaceDE w:val="0"/>
        <w:autoSpaceDN w:val="0"/>
        <w:adjustRightInd w:val="0"/>
        <w:snapToGrid w:val="0"/>
        <w:jc w:val="both"/>
        <w:rPr>
          <w:bCs/>
          <w:sz w:val="22"/>
          <w:szCs w:val="22"/>
          <w:lang w:val="en-AU"/>
        </w:rPr>
      </w:pPr>
    </w:p>
    <w:p w14:paraId="3250C0B0" w14:textId="77777777" w:rsidR="003D217E" w:rsidRPr="00EE3592" w:rsidRDefault="003D217E" w:rsidP="00580EA4">
      <w:pPr>
        <w:numPr>
          <w:ilvl w:val="0"/>
          <w:numId w:val="18"/>
        </w:numPr>
        <w:autoSpaceDE w:val="0"/>
        <w:autoSpaceDN w:val="0"/>
        <w:adjustRightInd w:val="0"/>
        <w:snapToGrid w:val="0"/>
        <w:ind w:left="0" w:firstLine="0"/>
        <w:jc w:val="both"/>
        <w:rPr>
          <w:bCs/>
          <w:sz w:val="22"/>
          <w:szCs w:val="22"/>
          <w:lang w:val="en-AU"/>
        </w:rPr>
      </w:pPr>
      <w:r w:rsidRPr="00EE3592">
        <w:rPr>
          <w:bCs/>
          <w:sz w:val="22"/>
          <w:szCs w:val="22"/>
          <w:lang w:val="en-AU"/>
        </w:rPr>
        <w:t>SC14 noted that indications from the 2018 WCPO model show that the stock declined steadily over the model period (1995-2016) (Figure FAL-1). The assessment model estimates spawning biomass in 2016 to have been at 47% of the unexploited level (SB</w:t>
      </w:r>
      <w:r w:rsidRPr="00EE3592">
        <w:rPr>
          <w:bCs/>
          <w:sz w:val="22"/>
          <w:szCs w:val="22"/>
          <w:vertAlign w:val="subscript"/>
          <w:lang w:val="en-AU"/>
        </w:rPr>
        <w:t>2016</w:t>
      </w:r>
      <w:r w:rsidRPr="00EE3592">
        <w:rPr>
          <w:bCs/>
          <w:sz w:val="22"/>
          <w:szCs w:val="22"/>
          <w:lang w:val="en-AU"/>
        </w:rPr>
        <w:t>/SB</w:t>
      </w:r>
      <w:r w:rsidRPr="00EE3592">
        <w:rPr>
          <w:bCs/>
          <w:sz w:val="22"/>
          <w:szCs w:val="22"/>
          <w:vertAlign w:val="subscript"/>
          <w:lang w:val="en-AU"/>
        </w:rPr>
        <w:t>0</w:t>
      </w:r>
      <w:r w:rsidRPr="00EE3592">
        <w:rPr>
          <w:bCs/>
          <w:sz w:val="22"/>
          <w:szCs w:val="22"/>
          <w:lang w:val="en-AU"/>
        </w:rPr>
        <w:t xml:space="preserve"> = 0.469). Current biomass is estimated to be above the MSY reference biomass level; however, there is considerable uncertainty associated with the estimate of stock status (SB</w:t>
      </w:r>
      <w:r w:rsidRPr="00EE3592">
        <w:rPr>
          <w:bCs/>
          <w:sz w:val="22"/>
          <w:szCs w:val="22"/>
          <w:vertAlign w:val="subscript"/>
          <w:lang w:val="en-AU"/>
        </w:rPr>
        <w:t>2016</w:t>
      </w:r>
      <w:r w:rsidRPr="00EE3592">
        <w:rPr>
          <w:bCs/>
          <w:sz w:val="22"/>
          <w:szCs w:val="22"/>
          <w:lang w:val="en-AU"/>
        </w:rPr>
        <w:t>/SB</w:t>
      </w:r>
      <w:r w:rsidRPr="00EE3592">
        <w:rPr>
          <w:bCs/>
          <w:sz w:val="22"/>
          <w:szCs w:val="22"/>
          <w:vertAlign w:val="subscript"/>
          <w:lang w:val="en-AU"/>
        </w:rPr>
        <w:t>MSY</w:t>
      </w:r>
      <w:r w:rsidRPr="00EE3592">
        <w:rPr>
          <w:bCs/>
          <w:sz w:val="22"/>
          <w:szCs w:val="22"/>
          <w:lang w:val="en-AU"/>
        </w:rPr>
        <w:t xml:space="preserve"> = 1.178 95% CI </w:t>
      </w:r>
      <w:r w:rsidRPr="00EE3592">
        <w:rPr>
          <w:rFonts w:eastAsia="Yu Mincho"/>
          <w:bCs/>
          <w:sz w:val="22"/>
          <w:szCs w:val="22"/>
          <w:lang w:val="en-GB" w:eastAsia="ja-JP"/>
        </w:rPr>
        <w:t>0.590-1.770</w:t>
      </w:r>
      <w:r w:rsidRPr="00EE3592">
        <w:rPr>
          <w:bCs/>
          <w:sz w:val="22"/>
          <w:szCs w:val="22"/>
          <w:lang w:val="en-AU"/>
        </w:rPr>
        <w:t>) (Table FAL-1). On balance, the stock is not considered to be overfished, i.e. there is a 78% probability that SB</w:t>
      </w:r>
      <w:r w:rsidRPr="00EE3592">
        <w:rPr>
          <w:bCs/>
          <w:sz w:val="22"/>
          <w:szCs w:val="22"/>
          <w:vertAlign w:val="subscript"/>
          <w:lang w:val="en-AU"/>
        </w:rPr>
        <w:t>2016</w:t>
      </w:r>
      <w:r w:rsidRPr="00EE3592">
        <w:rPr>
          <w:bCs/>
          <w:sz w:val="22"/>
          <w:szCs w:val="22"/>
          <w:lang w:val="en-AU"/>
        </w:rPr>
        <w:t xml:space="preserve"> is greater than SB</w:t>
      </w:r>
      <w:r w:rsidRPr="00EE3592">
        <w:rPr>
          <w:bCs/>
          <w:sz w:val="22"/>
          <w:szCs w:val="22"/>
          <w:vertAlign w:val="subscript"/>
          <w:lang w:val="en-AU"/>
        </w:rPr>
        <w:t>MSY</w:t>
      </w:r>
      <w:r w:rsidRPr="00EE3592">
        <w:rPr>
          <w:bCs/>
          <w:sz w:val="22"/>
          <w:szCs w:val="22"/>
          <w:lang w:val="en-AU"/>
        </w:rPr>
        <w:t xml:space="preserve"> (Table FAL-1). </w:t>
      </w:r>
    </w:p>
    <w:p w14:paraId="5EFCE552" w14:textId="77777777" w:rsidR="003D217E" w:rsidRDefault="003D217E" w:rsidP="003D217E">
      <w:pPr>
        <w:adjustRightInd w:val="0"/>
        <w:snapToGrid w:val="0"/>
        <w:jc w:val="both"/>
        <w:rPr>
          <w:rFonts w:eastAsiaTheme="minorEastAsia"/>
          <w:b/>
          <w:sz w:val="22"/>
          <w:szCs w:val="22"/>
          <w:lang w:val="en-AU"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D217E" w14:paraId="28359F6E" w14:textId="77777777" w:rsidTr="001740C5">
        <w:tc>
          <w:tcPr>
            <w:tcW w:w="4788" w:type="dxa"/>
          </w:tcPr>
          <w:p w14:paraId="26F65C46" w14:textId="77777777" w:rsidR="003D217E" w:rsidRDefault="003D217E" w:rsidP="001740C5">
            <w:pPr>
              <w:adjustRightInd w:val="0"/>
              <w:snapToGrid w:val="0"/>
              <w:jc w:val="both"/>
              <w:rPr>
                <w:rFonts w:eastAsiaTheme="minorEastAsia"/>
                <w:b/>
                <w:sz w:val="22"/>
                <w:szCs w:val="22"/>
                <w:lang w:val="en-AU" w:eastAsia="ko-KR"/>
              </w:rPr>
            </w:pPr>
            <w:r w:rsidRPr="004635E5">
              <w:rPr>
                <w:rFonts w:eastAsia="Yu Mincho"/>
                <w:noProof/>
                <w:color w:val="00000A"/>
                <w:sz w:val="22"/>
                <w:szCs w:val="22"/>
                <w:lang w:eastAsia="zh-CN" w:bidi="mn-Mong-CN"/>
              </w:rPr>
              <w:drawing>
                <wp:inline distT="0" distB="0" distL="0" distR="0" wp14:anchorId="145EFF56" wp14:editId="1B763D2B">
                  <wp:extent cx="2743200" cy="175260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Bbase.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42793" cy="1752340"/>
                          </a:xfrm>
                          <a:prstGeom prst="rect">
                            <a:avLst/>
                          </a:prstGeom>
                        </pic:spPr>
                      </pic:pic>
                    </a:graphicData>
                  </a:graphic>
                </wp:inline>
              </w:drawing>
            </w:r>
          </w:p>
        </w:tc>
        <w:tc>
          <w:tcPr>
            <w:tcW w:w="4788" w:type="dxa"/>
          </w:tcPr>
          <w:p w14:paraId="543EA8F8" w14:textId="77777777" w:rsidR="003D217E" w:rsidRPr="004635E5" w:rsidRDefault="003D217E" w:rsidP="001740C5">
            <w:pPr>
              <w:adjustRightInd w:val="0"/>
              <w:snapToGrid w:val="0"/>
              <w:jc w:val="both"/>
              <w:rPr>
                <w:rFonts w:eastAsia="Yu Mincho"/>
                <w:b/>
                <w:color w:val="00000A"/>
                <w:sz w:val="22"/>
                <w:szCs w:val="22"/>
                <w:lang w:val="en-GB"/>
              </w:rPr>
            </w:pPr>
            <w:r w:rsidRPr="004635E5">
              <w:rPr>
                <w:rFonts w:eastAsia="Yu Mincho"/>
                <w:b/>
                <w:color w:val="00000A"/>
                <w:sz w:val="22"/>
                <w:szCs w:val="22"/>
                <w:lang w:val="en-GB"/>
              </w:rPr>
              <w:t xml:space="preserve">Figure FAL-1: </w:t>
            </w:r>
            <w:r w:rsidRPr="004635E5">
              <w:rPr>
                <w:rFonts w:eastAsia="Yu Mincho"/>
                <w:color w:val="00000A"/>
                <w:sz w:val="22"/>
                <w:szCs w:val="22"/>
                <w:lang w:val="en-GB"/>
              </w:rPr>
              <w:t>Estimated spawning biomass relative to unexploited biomass (SB</w:t>
            </w:r>
            <w:r w:rsidRPr="004635E5">
              <w:rPr>
                <w:rFonts w:eastAsia="Yu Mincho"/>
                <w:color w:val="00000A"/>
                <w:sz w:val="22"/>
                <w:szCs w:val="22"/>
                <w:vertAlign w:val="subscript"/>
                <w:lang w:val="en-GB"/>
              </w:rPr>
              <w:t>0</w:t>
            </w:r>
            <w:r w:rsidRPr="004635E5">
              <w:rPr>
                <w:rFonts w:eastAsia="Yu Mincho"/>
                <w:color w:val="00000A"/>
                <w:sz w:val="22"/>
                <w:szCs w:val="22"/>
                <w:lang w:val="en-GB"/>
              </w:rPr>
              <w:t>) for the WCPO assessment model (CPUEqdev).</w:t>
            </w:r>
          </w:p>
          <w:p w14:paraId="02E50D23" w14:textId="77777777" w:rsidR="003D217E" w:rsidRDefault="003D217E" w:rsidP="001740C5">
            <w:pPr>
              <w:adjustRightInd w:val="0"/>
              <w:snapToGrid w:val="0"/>
              <w:jc w:val="both"/>
              <w:rPr>
                <w:rFonts w:eastAsiaTheme="minorEastAsia"/>
                <w:b/>
                <w:sz w:val="22"/>
                <w:szCs w:val="22"/>
                <w:lang w:val="en-AU" w:eastAsia="ko-KR"/>
              </w:rPr>
            </w:pPr>
          </w:p>
        </w:tc>
      </w:tr>
    </w:tbl>
    <w:p w14:paraId="2C31FCC8" w14:textId="77777777" w:rsidR="003D217E" w:rsidRPr="00EE3592" w:rsidRDefault="003D217E" w:rsidP="003D217E">
      <w:pPr>
        <w:adjustRightInd w:val="0"/>
        <w:snapToGrid w:val="0"/>
        <w:jc w:val="both"/>
        <w:rPr>
          <w:rFonts w:eastAsiaTheme="minorEastAsia"/>
          <w:b/>
          <w:sz w:val="22"/>
          <w:szCs w:val="22"/>
          <w:lang w:val="en-AU" w:eastAsia="ko-KR"/>
        </w:rPr>
      </w:pPr>
    </w:p>
    <w:p w14:paraId="14BB4985" w14:textId="77777777" w:rsidR="003D217E" w:rsidRPr="004635E5" w:rsidRDefault="003D217E" w:rsidP="003D217E">
      <w:pPr>
        <w:adjustRightInd w:val="0"/>
        <w:snapToGrid w:val="0"/>
        <w:rPr>
          <w:rFonts w:eastAsia="Yu Mincho"/>
          <w:sz w:val="22"/>
          <w:szCs w:val="22"/>
          <w:lang w:eastAsia="ja-JP"/>
        </w:rPr>
      </w:pPr>
      <w:r w:rsidRPr="004635E5">
        <w:rPr>
          <w:rFonts w:eastAsia="Yu Mincho"/>
          <w:b/>
          <w:sz w:val="22"/>
          <w:szCs w:val="22"/>
          <w:lang w:val="en-GB" w:eastAsia="ja-JP"/>
        </w:rPr>
        <w:t xml:space="preserve">Table FAL-1: </w:t>
      </w:r>
      <w:r w:rsidRPr="004635E5">
        <w:rPr>
          <w:rFonts w:eastAsia="Yu Mincho"/>
          <w:bCs/>
          <w:sz w:val="22"/>
          <w:szCs w:val="22"/>
          <w:lang w:val="en-GB" w:eastAsia="ja-JP"/>
        </w:rPr>
        <w:t>Management quantities (and 95% confidence intervals) for the WCPO assessment model (</w:t>
      </w:r>
      <w:r w:rsidRPr="004635E5">
        <w:rPr>
          <w:rFonts w:eastAsia="Yu Mincho"/>
          <w:bCs/>
          <w:i/>
          <w:sz w:val="22"/>
          <w:szCs w:val="22"/>
          <w:lang w:val="en-GB" w:eastAsia="ja-JP"/>
        </w:rPr>
        <w:t>CPUEqdev</w:t>
      </w:r>
      <w:r w:rsidRPr="004635E5">
        <w:rPr>
          <w:rFonts w:eastAsia="Yu Mincho"/>
          <w:bCs/>
          <w:sz w:val="22"/>
          <w:szCs w:val="22"/>
          <w:lang w:val="en-GB" w:eastAsia="ja-JP"/>
        </w:rPr>
        <w:t>).</w:t>
      </w:r>
    </w:p>
    <w:tbl>
      <w:tblPr>
        <w:tblStyle w:val="TableGrid2"/>
        <w:tblW w:w="5000" w:type="pct"/>
        <w:tblLook w:val="04A0" w:firstRow="1" w:lastRow="0" w:firstColumn="1" w:lastColumn="0" w:noHBand="0" w:noVBand="1"/>
      </w:tblPr>
      <w:tblGrid>
        <w:gridCol w:w="3570"/>
        <w:gridCol w:w="2921"/>
        <w:gridCol w:w="3085"/>
      </w:tblGrid>
      <w:tr w:rsidR="003D217E" w:rsidRPr="003543FC" w14:paraId="27C8DDEF" w14:textId="77777777" w:rsidTr="001740C5">
        <w:tc>
          <w:tcPr>
            <w:tcW w:w="1864" w:type="pct"/>
          </w:tcPr>
          <w:p w14:paraId="70002404" w14:textId="77777777" w:rsidR="003D217E" w:rsidRPr="003543FC" w:rsidRDefault="003D217E" w:rsidP="001740C5">
            <w:pPr>
              <w:adjustRightInd w:val="0"/>
              <w:snapToGrid w:val="0"/>
              <w:rPr>
                <w:rFonts w:ascii="Times New Roman" w:eastAsia="Yu Mincho" w:hAnsi="Times New Roman" w:cs="Times New Roman"/>
                <w:sz w:val="20"/>
                <w:szCs w:val="20"/>
                <w:lang w:eastAsia="ja-JP"/>
              </w:rPr>
            </w:pPr>
            <w:r w:rsidRPr="003543FC">
              <w:rPr>
                <w:rFonts w:ascii="Times New Roman" w:eastAsia="Yu Mincho" w:hAnsi="Times New Roman" w:cs="Times New Roman"/>
                <w:sz w:val="20"/>
                <w:szCs w:val="20"/>
                <w:lang w:eastAsia="ja-JP"/>
              </w:rPr>
              <w:t>Management quantity</w:t>
            </w:r>
          </w:p>
        </w:tc>
        <w:tc>
          <w:tcPr>
            <w:tcW w:w="1525" w:type="pct"/>
          </w:tcPr>
          <w:p w14:paraId="5072B034" w14:textId="77777777" w:rsidR="003D217E" w:rsidRPr="003543FC" w:rsidRDefault="003D217E" w:rsidP="001740C5">
            <w:pPr>
              <w:adjustRightInd w:val="0"/>
              <w:snapToGrid w:val="0"/>
              <w:jc w:val="center"/>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Value</w:t>
            </w:r>
          </w:p>
        </w:tc>
        <w:tc>
          <w:tcPr>
            <w:tcW w:w="1611" w:type="pct"/>
          </w:tcPr>
          <w:p w14:paraId="5ADE9361" w14:textId="77777777" w:rsidR="003D217E" w:rsidRPr="003543FC" w:rsidRDefault="003D217E" w:rsidP="001740C5">
            <w:pPr>
              <w:adjustRightInd w:val="0"/>
              <w:snapToGrid w:val="0"/>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Confidence interval (95%)</w:t>
            </w:r>
          </w:p>
        </w:tc>
      </w:tr>
      <w:tr w:rsidR="003D217E" w:rsidRPr="003543FC" w14:paraId="6D8E45CF" w14:textId="77777777" w:rsidTr="001740C5">
        <w:tc>
          <w:tcPr>
            <w:tcW w:w="1864" w:type="pct"/>
          </w:tcPr>
          <w:p w14:paraId="5FF6F0AA" w14:textId="77777777" w:rsidR="003D217E" w:rsidRPr="003543FC" w:rsidRDefault="003D217E" w:rsidP="001740C5">
            <w:pPr>
              <w:adjustRightInd w:val="0"/>
              <w:snapToGrid w:val="0"/>
              <w:rPr>
                <w:rFonts w:ascii="Times New Roman" w:eastAsia="Yu Mincho" w:hAnsi="Times New Roman" w:cs="Times New Roman"/>
                <w:i/>
                <w:sz w:val="20"/>
                <w:szCs w:val="20"/>
                <w:lang w:eastAsia="ja-JP"/>
              </w:rPr>
            </w:pPr>
            <w:r w:rsidRPr="003543FC">
              <w:rPr>
                <w:rFonts w:ascii="Times New Roman" w:eastAsia="Yu Mincho" w:hAnsi="Times New Roman" w:cs="Times New Roman"/>
                <w:i/>
                <w:sz w:val="20"/>
                <w:szCs w:val="20"/>
                <w:lang w:eastAsia="ja-JP"/>
              </w:rPr>
              <w:t>SB</w:t>
            </w:r>
            <w:r w:rsidRPr="003543FC">
              <w:rPr>
                <w:rFonts w:ascii="Times New Roman" w:eastAsia="Yu Mincho" w:hAnsi="Times New Roman" w:cs="Times New Roman"/>
                <w:i/>
                <w:sz w:val="20"/>
                <w:szCs w:val="20"/>
                <w:vertAlign w:val="subscript"/>
                <w:lang w:eastAsia="ja-JP"/>
              </w:rPr>
              <w:t>0</w:t>
            </w:r>
          </w:p>
        </w:tc>
        <w:tc>
          <w:tcPr>
            <w:tcW w:w="1525" w:type="pct"/>
          </w:tcPr>
          <w:p w14:paraId="1F7B979B" w14:textId="77777777" w:rsidR="003D217E" w:rsidRPr="003543FC" w:rsidRDefault="003D217E" w:rsidP="001740C5">
            <w:pPr>
              <w:adjustRightInd w:val="0"/>
              <w:snapToGrid w:val="0"/>
              <w:ind w:right="745"/>
              <w:jc w:val="right"/>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11,865</w:t>
            </w:r>
          </w:p>
        </w:tc>
        <w:tc>
          <w:tcPr>
            <w:tcW w:w="1611" w:type="pct"/>
          </w:tcPr>
          <w:p w14:paraId="6373D3B9" w14:textId="77777777" w:rsidR="003D217E" w:rsidRPr="003543FC" w:rsidRDefault="003D217E" w:rsidP="001740C5">
            <w:pPr>
              <w:adjustRightInd w:val="0"/>
              <w:snapToGrid w:val="0"/>
              <w:jc w:val="center"/>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6,412-17,318</w:t>
            </w:r>
          </w:p>
        </w:tc>
      </w:tr>
      <w:tr w:rsidR="003D217E" w:rsidRPr="003543FC" w14:paraId="31370552" w14:textId="77777777" w:rsidTr="001740C5">
        <w:tc>
          <w:tcPr>
            <w:tcW w:w="1864" w:type="pct"/>
          </w:tcPr>
          <w:p w14:paraId="0618FBBB" w14:textId="77777777" w:rsidR="003D217E" w:rsidRPr="003543FC" w:rsidRDefault="003D217E" w:rsidP="001740C5">
            <w:pPr>
              <w:adjustRightInd w:val="0"/>
              <w:snapToGrid w:val="0"/>
              <w:rPr>
                <w:rFonts w:ascii="Times New Roman" w:eastAsia="Yu Mincho" w:hAnsi="Times New Roman" w:cs="Times New Roman"/>
                <w:i/>
                <w:sz w:val="20"/>
                <w:szCs w:val="20"/>
                <w:lang w:eastAsia="ja-JP"/>
              </w:rPr>
            </w:pPr>
            <w:r w:rsidRPr="003543FC">
              <w:rPr>
                <w:rFonts w:ascii="Times New Roman" w:eastAsia="Yu Mincho" w:hAnsi="Times New Roman" w:cs="Times New Roman"/>
                <w:i/>
                <w:sz w:val="20"/>
                <w:szCs w:val="20"/>
                <w:lang w:eastAsia="ja-JP"/>
              </w:rPr>
              <w:t>SB</w:t>
            </w:r>
            <w:r w:rsidRPr="003543FC">
              <w:rPr>
                <w:rFonts w:ascii="Times New Roman" w:eastAsia="Yu Mincho" w:hAnsi="Times New Roman" w:cs="Times New Roman"/>
                <w:i/>
                <w:sz w:val="20"/>
                <w:szCs w:val="20"/>
                <w:vertAlign w:val="subscript"/>
                <w:lang w:eastAsia="ja-JP"/>
              </w:rPr>
              <w:t>1995</w:t>
            </w:r>
          </w:p>
        </w:tc>
        <w:tc>
          <w:tcPr>
            <w:tcW w:w="1525" w:type="pct"/>
          </w:tcPr>
          <w:p w14:paraId="077DED35" w14:textId="77777777" w:rsidR="003D217E" w:rsidRPr="003543FC" w:rsidRDefault="003D217E" w:rsidP="001740C5">
            <w:pPr>
              <w:adjustRightInd w:val="0"/>
              <w:snapToGrid w:val="0"/>
              <w:ind w:right="745"/>
              <w:jc w:val="right"/>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8,552</w:t>
            </w:r>
          </w:p>
        </w:tc>
        <w:tc>
          <w:tcPr>
            <w:tcW w:w="1611" w:type="pct"/>
          </w:tcPr>
          <w:p w14:paraId="0501CD8B" w14:textId="77777777" w:rsidR="003D217E" w:rsidRPr="003543FC" w:rsidRDefault="003D217E" w:rsidP="001740C5">
            <w:pPr>
              <w:adjustRightInd w:val="0"/>
              <w:snapToGrid w:val="0"/>
              <w:jc w:val="center"/>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2,590-14,513</w:t>
            </w:r>
          </w:p>
        </w:tc>
      </w:tr>
      <w:tr w:rsidR="003D217E" w:rsidRPr="003543FC" w14:paraId="63B11462" w14:textId="77777777" w:rsidTr="001740C5">
        <w:tc>
          <w:tcPr>
            <w:tcW w:w="1864" w:type="pct"/>
          </w:tcPr>
          <w:p w14:paraId="26D3DAA1" w14:textId="77777777" w:rsidR="003D217E" w:rsidRPr="003543FC" w:rsidRDefault="003D217E" w:rsidP="001740C5">
            <w:pPr>
              <w:adjustRightInd w:val="0"/>
              <w:snapToGrid w:val="0"/>
              <w:rPr>
                <w:rFonts w:ascii="Times New Roman" w:eastAsia="Yu Mincho" w:hAnsi="Times New Roman" w:cs="Times New Roman"/>
                <w:i/>
                <w:sz w:val="20"/>
                <w:szCs w:val="20"/>
                <w:lang w:eastAsia="ja-JP"/>
              </w:rPr>
            </w:pPr>
            <w:r w:rsidRPr="003543FC">
              <w:rPr>
                <w:rFonts w:ascii="Times New Roman" w:eastAsia="Yu Mincho" w:hAnsi="Times New Roman" w:cs="Times New Roman"/>
                <w:i/>
                <w:sz w:val="20"/>
                <w:szCs w:val="20"/>
                <w:lang w:eastAsia="ja-JP"/>
              </w:rPr>
              <w:t>SB</w:t>
            </w:r>
            <w:r w:rsidRPr="003543FC">
              <w:rPr>
                <w:rFonts w:ascii="Times New Roman" w:eastAsia="Yu Mincho" w:hAnsi="Times New Roman" w:cs="Times New Roman"/>
                <w:i/>
                <w:sz w:val="20"/>
                <w:szCs w:val="20"/>
                <w:vertAlign w:val="subscript"/>
                <w:lang w:eastAsia="ja-JP"/>
              </w:rPr>
              <w:t>MSY</w:t>
            </w:r>
          </w:p>
        </w:tc>
        <w:tc>
          <w:tcPr>
            <w:tcW w:w="1525" w:type="pct"/>
          </w:tcPr>
          <w:p w14:paraId="2877230A" w14:textId="77777777" w:rsidR="003D217E" w:rsidRPr="003543FC" w:rsidRDefault="003D217E" w:rsidP="001740C5">
            <w:pPr>
              <w:adjustRightInd w:val="0"/>
              <w:snapToGrid w:val="0"/>
              <w:ind w:right="745"/>
              <w:jc w:val="right"/>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4,721</w:t>
            </w:r>
          </w:p>
        </w:tc>
        <w:tc>
          <w:tcPr>
            <w:tcW w:w="1611" w:type="pct"/>
          </w:tcPr>
          <w:p w14:paraId="7D87F438" w14:textId="77777777" w:rsidR="003D217E" w:rsidRPr="003543FC" w:rsidRDefault="003D217E" w:rsidP="001740C5">
            <w:pPr>
              <w:adjustRightInd w:val="0"/>
              <w:snapToGrid w:val="0"/>
              <w:jc w:val="center"/>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2,560-6,882</w:t>
            </w:r>
          </w:p>
        </w:tc>
      </w:tr>
      <w:tr w:rsidR="003D217E" w:rsidRPr="003543FC" w14:paraId="505DD993" w14:textId="77777777" w:rsidTr="001740C5">
        <w:tc>
          <w:tcPr>
            <w:tcW w:w="1864" w:type="pct"/>
          </w:tcPr>
          <w:p w14:paraId="1B67E02D" w14:textId="77777777" w:rsidR="003D217E" w:rsidRPr="003543FC" w:rsidRDefault="003D217E" w:rsidP="001740C5">
            <w:pPr>
              <w:adjustRightInd w:val="0"/>
              <w:snapToGrid w:val="0"/>
              <w:rPr>
                <w:rFonts w:ascii="Times New Roman" w:eastAsia="Yu Mincho" w:hAnsi="Times New Roman" w:cs="Times New Roman"/>
                <w:i/>
                <w:sz w:val="20"/>
                <w:szCs w:val="20"/>
                <w:lang w:eastAsia="ja-JP"/>
              </w:rPr>
            </w:pPr>
            <w:r w:rsidRPr="003543FC">
              <w:rPr>
                <w:rFonts w:ascii="Times New Roman" w:eastAsia="Yu Mincho" w:hAnsi="Times New Roman" w:cs="Times New Roman"/>
                <w:i/>
                <w:sz w:val="20"/>
                <w:szCs w:val="20"/>
                <w:lang w:eastAsia="ja-JP"/>
              </w:rPr>
              <w:t>SB</w:t>
            </w:r>
            <w:r w:rsidRPr="003543FC">
              <w:rPr>
                <w:rFonts w:ascii="Times New Roman" w:eastAsia="Yu Mincho" w:hAnsi="Times New Roman" w:cs="Times New Roman"/>
                <w:i/>
                <w:sz w:val="20"/>
                <w:szCs w:val="20"/>
                <w:vertAlign w:val="subscript"/>
                <w:lang w:eastAsia="ja-JP"/>
              </w:rPr>
              <w:t>MSY</w:t>
            </w:r>
            <w:r w:rsidRPr="003543FC">
              <w:rPr>
                <w:rFonts w:ascii="Times New Roman" w:eastAsia="Yu Mincho" w:hAnsi="Times New Roman" w:cs="Times New Roman"/>
                <w:i/>
                <w:sz w:val="20"/>
                <w:szCs w:val="20"/>
                <w:lang w:eastAsia="ja-JP"/>
              </w:rPr>
              <w:t>/SB</w:t>
            </w:r>
            <w:r w:rsidRPr="003543FC">
              <w:rPr>
                <w:rFonts w:ascii="Times New Roman" w:eastAsia="Yu Mincho" w:hAnsi="Times New Roman" w:cs="Times New Roman"/>
                <w:i/>
                <w:sz w:val="20"/>
                <w:szCs w:val="20"/>
                <w:vertAlign w:val="subscript"/>
                <w:lang w:eastAsia="ja-JP"/>
              </w:rPr>
              <w:t>0</w:t>
            </w:r>
          </w:p>
        </w:tc>
        <w:tc>
          <w:tcPr>
            <w:tcW w:w="1525" w:type="pct"/>
          </w:tcPr>
          <w:p w14:paraId="7B0FD963" w14:textId="77777777" w:rsidR="003D217E" w:rsidRPr="003543FC" w:rsidRDefault="003D217E" w:rsidP="001740C5">
            <w:pPr>
              <w:adjustRightInd w:val="0"/>
              <w:snapToGrid w:val="0"/>
              <w:ind w:right="745"/>
              <w:jc w:val="right"/>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0.398</w:t>
            </w:r>
          </w:p>
        </w:tc>
        <w:tc>
          <w:tcPr>
            <w:tcW w:w="1611" w:type="pct"/>
          </w:tcPr>
          <w:p w14:paraId="2A13B044" w14:textId="77777777" w:rsidR="003D217E" w:rsidRPr="003543FC" w:rsidRDefault="003D217E" w:rsidP="001740C5">
            <w:pPr>
              <w:adjustRightInd w:val="0"/>
              <w:snapToGrid w:val="0"/>
              <w:jc w:val="center"/>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0.397-0.399</w:t>
            </w:r>
          </w:p>
        </w:tc>
      </w:tr>
      <w:tr w:rsidR="003D217E" w:rsidRPr="003543FC" w14:paraId="47499CD2" w14:textId="77777777" w:rsidTr="001740C5">
        <w:tc>
          <w:tcPr>
            <w:tcW w:w="1864" w:type="pct"/>
          </w:tcPr>
          <w:p w14:paraId="3B70B112" w14:textId="77777777" w:rsidR="003D217E" w:rsidRPr="003543FC" w:rsidRDefault="003D217E" w:rsidP="001740C5">
            <w:pPr>
              <w:adjustRightInd w:val="0"/>
              <w:snapToGrid w:val="0"/>
              <w:rPr>
                <w:rFonts w:ascii="Times New Roman" w:eastAsia="Yu Mincho" w:hAnsi="Times New Roman" w:cs="Times New Roman"/>
                <w:i/>
                <w:sz w:val="20"/>
                <w:szCs w:val="20"/>
                <w:lang w:eastAsia="ja-JP"/>
              </w:rPr>
            </w:pPr>
            <w:r w:rsidRPr="003543FC">
              <w:rPr>
                <w:rFonts w:ascii="Times New Roman" w:eastAsia="Yu Mincho" w:hAnsi="Times New Roman" w:cs="Times New Roman"/>
                <w:i/>
                <w:sz w:val="20"/>
                <w:szCs w:val="20"/>
                <w:lang w:eastAsia="ja-JP"/>
              </w:rPr>
              <w:t>SB</w:t>
            </w:r>
            <w:r w:rsidRPr="003543FC">
              <w:rPr>
                <w:rFonts w:ascii="Times New Roman" w:eastAsia="Yu Mincho" w:hAnsi="Times New Roman" w:cs="Times New Roman"/>
                <w:i/>
                <w:sz w:val="20"/>
                <w:szCs w:val="20"/>
                <w:vertAlign w:val="subscript"/>
                <w:lang w:eastAsia="ja-JP"/>
              </w:rPr>
              <w:t>2016</w:t>
            </w:r>
          </w:p>
        </w:tc>
        <w:tc>
          <w:tcPr>
            <w:tcW w:w="1525" w:type="pct"/>
          </w:tcPr>
          <w:p w14:paraId="6D45E31E" w14:textId="77777777" w:rsidR="003D217E" w:rsidRPr="003543FC" w:rsidRDefault="003D217E" w:rsidP="001740C5">
            <w:pPr>
              <w:adjustRightInd w:val="0"/>
              <w:snapToGrid w:val="0"/>
              <w:ind w:right="745"/>
              <w:jc w:val="right"/>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5,560</w:t>
            </w:r>
          </w:p>
        </w:tc>
        <w:tc>
          <w:tcPr>
            <w:tcW w:w="1611" w:type="pct"/>
          </w:tcPr>
          <w:p w14:paraId="2D26DF19" w14:textId="77777777" w:rsidR="003D217E" w:rsidRPr="003543FC" w:rsidRDefault="003D217E" w:rsidP="001740C5">
            <w:pPr>
              <w:adjustRightInd w:val="0"/>
              <w:snapToGrid w:val="0"/>
              <w:jc w:val="center"/>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301-10,819</w:t>
            </w:r>
          </w:p>
        </w:tc>
      </w:tr>
      <w:tr w:rsidR="003D217E" w:rsidRPr="003543FC" w14:paraId="543586AB" w14:textId="77777777" w:rsidTr="001740C5">
        <w:tc>
          <w:tcPr>
            <w:tcW w:w="1864" w:type="pct"/>
          </w:tcPr>
          <w:p w14:paraId="6E11FCDA" w14:textId="77777777" w:rsidR="003D217E" w:rsidRPr="003543FC" w:rsidRDefault="003D217E" w:rsidP="001740C5">
            <w:pPr>
              <w:adjustRightInd w:val="0"/>
              <w:snapToGrid w:val="0"/>
              <w:rPr>
                <w:rFonts w:ascii="Times New Roman" w:eastAsia="Yu Mincho" w:hAnsi="Times New Roman" w:cs="Times New Roman"/>
                <w:i/>
                <w:sz w:val="20"/>
                <w:szCs w:val="20"/>
                <w:lang w:eastAsia="ja-JP"/>
              </w:rPr>
            </w:pPr>
            <w:r w:rsidRPr="003543FC">
              <w:rPr>
                <w:rFonts w:ascii="Times New Roman" w:eastAsia="Yu Mincho" w:hAnsi="Times New Roman" w:cs="Times New Roman"/>
                <w:i/>
                <w:sz w:val="20"/>
                <w:szCs w:val="20"/>
                <w:lang w:eastAsia="ja-JP"/>
              </w:rPr>
              <w:t>SB</w:t>
            </w:r>
            <w:r w:rsidRPr="003543FC">
              <w:rPr>
                <w:rFonts w:ascii="Times New Roman" w:eastAsia="Yu Mincho" w:hAnsi="Times New Roman" w:cs="Times New Roman"/>
                <w:i/>
                <w:sz w:val="20"/>
                <w:szCs w:val="20"/>
                <w:vertAlign w:val="subscript"/>
                <w:lang w:eastAsia="ja-JP"/>
              </w:rPr>
              <w:t>2016</w:t>
            </w:r>
            <w:r w:rsidRPr="003543FC">
              <w:rPr>
                <w:rFonts w:ascii="Times New Roman" w:eastAsia="Yu Mincho" w:hAnsi="Times New Roman" w:cs="Times New Roman"/>
                <w:i/>
                <w:sz w:val="20"/>
                <w:szCs w:val="20"/>
                <w:lang w:eastAsia="ja-JP"/>
              </w:rPr>
              <w:t>/SB</w:t>
            </w:r>
            <w:r w:rsidRPr="003543FC">
              <w:rPr>
                <w:rFonts w:ascii="Times New Roman" w:eastAsia="Yu Mincho" w:hAnsi="Times New Roman" w:cs="Times New Roman"/>
                <w:i/>
                <w:sz w:val="20"/>
                <w:szCs w:val="20"/>
                <w:vertAlign w:val="subscript"/>
                <w:lang w:eastAsia="ja-JP"/>
              </w:rPr>
              <w:t>0</w:t>
            </w:r>
          </w:p>
        </w:tc>
        <w:tc>
          <w:tcPr>
            <w:tcW w:w="1525" w:type="pct"/>
          </w:tcPr>
          <w:p w14:paraId="431E2BDC" w14:textId="77777777" w:rsidR="003D217E" w:rsidRPr="003543FC" w:rsidRDefault="003D217E" w:rsidP="001740C5">
            <w:pPr>
              <w:adjustRightInd w:val="0"/>
              <w:snapToGrid w:val="0"/>
              <w:ind w:right="745"/>
              <w:jc w:val="right"/>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0.469</w:t>
            </w:r>
          </w:p>
        </w:tc>
        <w:tc>
          <w:tcPr>
            <w:tcW w:w="1611" w:type="pct"/>
          </w:tcPr>
          <w:p w14:paraId="778569B7" w14:textId="77777777" w:rsidR="003D217E" w:rsidRPr="003543FC" w:rsidRDefault="003D217E" w:rsidP="001740C5">
            <w:pPr>
              <w:adjustRightInd w:val="0"/>
              <w:snapToGrid w:val="0"/>
              <w:jc w:val="center"/>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0.229-0.729</w:t>
            </w:r>
          </w:p>
        </w:tc>
      </w:tr>
      <w:tr w:rsidR="003D217E" w:rsidRPr="003543FC" w14:paraId="14B1FC54" w14:textId="77777777" w:rsidTr="001740C5">
        <w:tc>
          <w:tcPr>
            <w:tcW w:w="1864" w:type="pct"/>
          </w:tcPr>
          <w:p w14:paraId="247C2B42" w14:textId="77777777" w:rsidR="003D217E" w:rsidRPr="003543FC" w:rsidRDefault="003D217E" w:rsidP="001740C5">
            <w:pPr>
              <w:adjustRightInd w:val="0"/>
              <w:snapToGrid w:val="0"/>
              <w:rPr>
                <w:rFonts w:ascii="Times New Roman" w:eastAsia="Yu Mincho" w:hAnsi="Times New Roman" w:cs="Times New Roman"/>
                <w:i/>
                <w:sz w:val="20"/>
                <w:szCs w:val="20"/>
                <w:lang w:eastAsia="ja-JP"/>
              </w:rPr>
            </w:pPr>
            <w:r w:rsidRPr="003543FC">
              <w:rPr>
                <w:rFonts w:ascii="Times New Roman" w:eastAsia="Yu Mincho" w:hAnsi="Times New Roman" w:cs="Times New Roman"/>
                <w:i/>
                <w:sz w:val="20"/>
                <w:szCs w:val="20"/>
                <w:lang w:eastAsia="ja-JP"/>
              </w:rPr>
              <w:t>SB</w:t>
            </w:r>
            <w:r w:rsidRPr="003543FC">
              <w:rPr>
                <w:rFonts w:ascii="Times New Roman" w:eastAsia="Yu Mincho" w:hAnsi="Times New Roman" w:cs="Times New Roman"/>
                <w:i/>
                <w:sz w:val="20"/>
                <w:szCs w:val="20"/>
                <w:vertAlign w:val="subscript"/>
                <w:lang w:eastAsia="ja-JP"/>
              </w:rPr>
              <w:t>2016</w:t>
            </w:r>
            <w:r w:rsidRPr="003543FC">
              <w:rPr>
                <w:rFonts w:ascii="Times New Roman" w:eastAsia="Yu Mincho" w:hAnsi="Times New Roman" w:cs="Times New Roman"/>
                <w:i/>
                <w:sz w:val="20"/>
                <w:szCs w:val="20"/>
                <w:lang w:eastAsia="ja-JP"/>
              </w:rPr>
              <w:t>/SB</w:t>
            </w:r>
            <w:r w:rsidRPr="003543FC">
              <w:rPr>
                <w:rFonts w:ascii="Times New Roman" w:eastAsia="Yu Mincho" w:hAnsi="Times New Roman" w:cs="Times New Roman"/>
                <w:i/>
                <w:sz w:val="20"/>
                <w:szCs w:val="20"/>
                <w:vertAlign w:val="subscript"/>
                <w:lang w:eastAsia="ja-JP"/>
              </w:rPr>
              <w:t>MSY</w:t>
            </w:r>
          </w:p>
        </w:tc>
        <w:tc>
          <w:tcPr>
            <w:tcW w:w="1525" w:type="pct"/>
          </w:tcPr>
          <w:p w14:paraId="4A945459" w14:textId="77777777" w:rsidR="003D217E" w:rsidRPr="003543FC" w:rsidRDefault="003D217E" w:rsidP="001740C5">
            <w:pPr>
              <w:adjustRightInd w:val="0"/>
              <w:snapToGrid w:val="0"/>
              <w:ind w:right="745"/>
              <w:jc w:val="right"/>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 xml:space="preserve">1.178 </w:t>
            </w:r>
          </w:p>
        </w:tc>
        <w:tc>
          <w:tcPr>
            <w:tcW w:w="1611" w:type="pct"/>
          </w:tcPr>
          <w:p w14:paraId="3774BE36" w14:textId="77777777" w:rsidR="003D217E" w:rsidRPr="003543FC" w:rsidRDefault="003D217E" w:rsidP="001740C5">
            <w:pPr>
              <w:adjustRightInd w:val="0"/>
              <w:snapToGrid w:val="0"/>
              <w:jc w:val="center"/>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0.590-1.77</w:t>
            </w:r>
          </w:p>
        </w:tc>
      </w:tr>
      <w:tr w:rsidR="003D217E" w:rsidRPr="003543FC" w14:paraId="70261733" w14:textId="77777777" w:rsidTr="001740C5">
        <w:tc>
          <w:tcPr>
            <w:tcW w:w="1864" w:type="pct"/>
          </w:tcPr>
          <w:p w14:paraId="0B29ECC6" w14:textId="77777777" w:rsidR="003D217E" w:rsidRPr="003543FC" w:rsidRDefault="003D217E" w:rsidP="001740C5">
            <w:pPr>
              <w:adjustRightInd w:val="0"/>
              <w:snapToGrid w:val="0"/>
              <w:rPr>
                <w:rFonts w:ascii="Times New Roman" w:eastAsia="Yu Mincho" w:hAnsi="Times New Roman" w:cs="Times New Roman"/>
                <w:i/>
                <w:sz w:val="20"/>
                <w:szCs w:val="20"/>
                <w:lang w:eastAsia="ja-JP"/>
              </w:rPr>
            </w:pPr>
            <w:r w:rsidRPr="003543FC">
              <w:rPr>
                <w:rFonts w:ascii="Times New Roman" w:eastAsia="Yu Mincho" w:hAnsi="Times New Roman" w:cs="Times New Roman"/>
                <w:sz w:val="20"/>
                <w:szCs w:val="20"/>
                <w:lang w:eastAsia="ja-JP"/>
              </w:rPr>
              <w:t>Pr(</w:t>
            </w:r>
            <w:r w:rsidRPr="003543FC">
              <w:rPr>
                <w:rFonts w:ascii="Times New Roman" w:eastAsia="Yu Mincho" w:hAnsi="Times New Roman" w:cs="Times New Roman"/>
                <w:i/>
                <w:sz w:val="20"/>
                <w:szCs w:val="20"/>
                <w:lang w:eastAsia="ja-JP"/>
              </w:rPr>
              <w:t>SB</w:t>
            </w:r>
            <w:r w:rsidRPr="003543FC">
              <w:rPr>
                <w:rFonts w:ascii="Times New Roman" w:eastAsia="Yu Mincho" w:hAnsi="Times New Roman" w:cs="Times New Roman"/>
                <w:i/>
                <w:sz w:val="20"/>
                <w:szCs w:val="20"/>
                <w:vertAlign w:val="subscript"/>
                <w:lang w:eastAsia="ja-JP"/>
              </w:rPr>
              <w:t>2016</w:t>
            </w:r>
            <w:r w:rsidRPr="003543FC">
              <w:rPr>
                <w:rFonts w:ascii="Times New Roman" w:eastAsia="Yu Mincho" w:hAnsi="Times New Roman" w:cs="Times New Roman"/>
                <w:i/>
                <w:sz w:val="20"/>
                <w:szCs w:val="20"/>
                <w:lang w:eastAsia="ja-JP"/>
              </w:rPr>
              <w:t xml:space="preserve"> &gt; SB</w:t>
            </w:r>
            <w:r w:rsidRPr="003543FC">
              <w:rPr>
                <w:rFonts w:ascii="Times New Roman" w:eastAsia="Yu Mincho" w:hAnsi="Times New Roman" w:cs="Times New Roman"/>
                <w:i/>
                <w:sz w:val="20"/>
                <w:szCs w:val="20"/>
                <w:vertAlign w:val="subscript"/>
                <w:lang w:eastAsia="ja-JP"/>
              </w:rPr>
              <w:t>MSY</w:t>
            </w:r>
            <w:r w:rsidRPr="003543FC">
              <w:rPr>
                <w:rFonts w:ascii="Times New Roman" w:eastAsia="Yu Mincho" w:hAnsi="Times New Roman" w:cs="Times New Roman"/>
                <w:sz w:val="20"/>
                <w:szCs w:val="20"/>
                <w:lang w:eastAsia="ja-JP"/>
              </w:rPr>
              <w:t>)</w:t>
            </w:r>
          </w:p>
        </w:tc>
        <w:tc>
          <w:tcPr>
            <w:tcW w:w="1525" w:type="pct"/>
          </w:tcPr>
          <w:p w14:paraId="626D1BA1" w14:textId="77777777" w:rsidR="003D217E" w:rsidRPr="003543FC" w:rsidRDefault="003D217E" w:rsidP="001740C5">
            <w:pPr>
              <w:adjustRightInd w:val="0"/>
              <w:snapToGrid w:val="0"/>
              <w:ind w:right="745"/>
              <w:jc w:val="right"/>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0.78</w:t>
            </w:r>
          </w:p>
        </w:tc>
        <w:tc>
          <w:tcPr>
            <w:tcW w:w="1611" w:type="pct"/>
          </w:tcPr>
          <w:p w14:paraId="0EC9D612" w14:textId="77777777" w:rsidR="003D217E" w:rsidRPr="003543FC" w:rsidRDefault="003D217E" w:rsidP="001740C5">
            <w:pPr>
              <w:adjustRightInd w:val="0"/>
              <w:snapToGrid w:val="0"/>
              <w:jc w:val="center"/>
              <w:rPr>
                <w:rFonts w:ascii="Times New Roman" w:eastAsia="Yu Mincho" w:hAnsi="Times New Roman" w:cs="Times New Roman"/>
                <w:bCs/>
                <w:sz w:val="20"/>
                <w:szCs w:val="20"/>
                <w:lang w:val="en-GB" w:eastAsia="ja-JP"/>
              </w:rPr>
            </w:pPr>
          </w:p>
        </w:tc>
      </w:tr>
      <w:tr w:rsidR="003D217E" w:rsidRPr="003543FC" w14:paraId="6B4BEE24" w14:textId="77777777" w:rsidTr="001740C5">
        <w:tc>
          <w:tcPr>
            <w:tcW w:w="1864" w:type="pct"/>
          </w:tcPr>
          <w:p w14:paraId="0054F53E" w14:textId="77777777" w:rsidR="003D217E" w:rsidRPr="003543FC" w:rsidRDefault="003D217E" w:rsidP="001740C5">
            <w:pPr>
              <w:adjustRightInd w:val="0"/>
              <w:snapToGrid w:val="0"/>
              <w:rPr>
                <w:rFonts w:ascii="Times New Roman" w:eastAsia="Yu Mincho" w:hAnsi="Times New Roman" w:cs="Times New Roman"/>
                <w:i/>
                <w:sz w:val="20"/>
                <w:szCs w:val="20"/>
                <w:lang w:eastAsia="ja-JP"/>
              </w:rPr>
            </w:pPr>
            <w:r w:rsidRPr="003543FC">
              <w:rPr>
                <w:rFonts w:ascii="Times New Roman" w:eastAsia="Yu Mincho" w:hAnsi="Times New Roman" w:cs="Times New Roman"/>
                <w:i/>
                <w:sz w:val="20"/>
                <w:szCs w:val="20"/>
                <w:lang w:eastAsia="ja-JP"/>
              </w:rPr>
              <w:t>F</w:t>
            </w:r>
            <w:r w:rsidRPr="003543FC">
              <w:rPr>
                <w:rFonts w:ascii="Times New Roman" w:eastAsia="Yu Mincho" w:hAnsi="Times New Roman" w:cs="Times New Roman"/>
                <w:i/>
                <w:sz w:val="20"/>
                <w:szCs w:val="20"/>
                <w:vertAlign w:val="subscript"/>
                <w:lang w:eastAsia="ja-JP"/>
              </w:rPr>
              <w:t>2016</w:t>
            </w:r>
            <w:r w:rsidRPr="003543FC">
              <w:rPr>
                <w:rFonts w:ascii="Times New Roman" w:eastAsia="Yu Mincho" w:hAnsi="Times New Roman" w:cs="Times New Roman"/>
                <w:i/>
                <w:sz w:val="20"/>
                <w:szCs w:val="20"/>
                <w:lang w:eastAsia="ja-JP"/>
              </w:rPr>
              <w:t>/F</w:t>
            </w:r>
            <w:r w:rsidRPr="003543FC">
              <w:rPr>
                <w:rFonts w:ascii="Times New Roman" w:eastAsia="Yu Mincho" w:hAnsi="Times New Roman" w:cs="Times New Roman"/>
                <w:i/>
                <w:sz w:val="20"/>
                <w:szCs w:val="20"/>
                <w:vertAlign w:val="subscript"/>
                <w:lang w:eastAsia="ja-JP"/>
              </w:rPr>
              <w:t>MSY</w:t>
            </w:r>
          </w:p>
        </w:tc>
        <w:tc>
          <w:tcPr>
            <w:tcW w:w="1525" w:type="pct"/>
          </w:tcPr>
          <w:p w14:paraId="56510CC9" w14:textId="77777777" w:rsidR="003D217E" w:rsidRPr="003543FC" w:rsidRDefault="003D217E" w:rsidP="001740C5">
            <w:pPr>
              <w:adjustRightInd w:val="0"/>
              <w:snapToGrid w:val="0"/>
              <w:ind w:right="745"/>
              <w:jc w:val="right"/>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1.607</w:t>
            </w:r>
          </w:p>
        </w:tc>
        <w:tc>
          <w:tcPr>
            <w:tcW w:w="1611" w:type="pct"/>
          </w:tcPr>
          <w:p w14:paraId="7E645CE0" w14:textId="77777777" w:rsidR="003D217E" w:rsidRPr="003543FC" w:rsidRDefault="003D217E" w:rsidP="001740C5">
            <w:pPr>
              <w:adjustRightInd w:val="0"/>
              <w:snapToGrid w:val="0"/>
              <w:jc w:val="center"/>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0.316-2.810</w:t>
            </w:r>
          </w:p>
        </w:tc>
      </w:tr>
      <w:tr w:rsidR="003D217E" w:rsidRPr="003543FC" w14:paraId="450A4C9B" w14:textId="77777777" w:rsidTr="001740C5">
        <w:tc>
          <w:tcPr>
            <w:tcW w:w="1864" w:type="pct"/>
          </w:tcPr>
          <w:p w14:paraId="5AFBC327" w14:textId="77777777" w:rsidR="003D217E" w:rsidRPr="003543FC" w:rsidRDefault="003D217E" w:rsidP="001740C5">
            <w:pPr>
              <w:adjustRightInd w:val="0"/>
              <w:snapToGrid w:val="0"/>
              <w:rPr>
                <w:rFonts w:ascii="Times New Roman" w:eastAsia="Yu Mincho" w:hAnsi="Times New Roman" w:cs="Times New Roman"/>
                <w:i/>
                <w:sz w:val="20"/>
                <w:szCs w:val="20"/>
                <w:lang w:eastAsia="ja-JP"/>
              </w:rPr>
            </w:pPr>
            <w:r w:rsidRPr="003543FC">
              <w:rPr>
                <w:rFonts w:ascii="Times New Roman" w:eastAsia="Yu Mincho" w:hAnsi="Times New Roman" w:cs="Times New Roman"/>
                <w:sz w:val="20"/>
                <w:szCs w:val="20"/>
                <w:lang w:eastAsia="ja-JP"/>
              </w:rPr>
              <w:t>Pr(</w:t>
            </w:r>
            <w:r w:rsidRPr="003543FC">
              <w:rPr>
                <w:rFonts w:ascii="Times New Roman" w:eastAsia="Yu Mincho" w:hAnsi="Times New Roman" w:cs="Times New Roman"/>
                <w:i/>
                <w:sz w:val="20"/>
                <w:szCs w:val="20"/>
                <w:lang w:eastAsia="ja-JP"/>
              </w:rPr>
              <w:t>F</w:t>
            </w:r>
            <w:r w:rsidRPr="003543FC">
              <w:rPr>
                <w:rFonts w:ascii="Times New Roman" w:eastAsia="Yu Mincho" w:hAnsi="Times New Roman" w:cs="Times New Roman"/>
                <w:i/>
                <w:sz w:val="20"/>
                <w:szCs w:val="20"/>
                <w:vertAlign w:val="subscript"/>
                <w:lang w:eastAsia="ja-JP"/>
              </w:rPr>
              <w:t>2016</w:t>
            </w:r>
            <w:r w:rsidRPr="003543FC">
              <w:rPr>
                <w:rFonts w:ascii="Times New Roman" w:eastAsia="Yu Mincho" w:hAnsi="Times New Roman" w:cs="Times New Roman"/>
                <w:i/>
                <w:sz w:val="20"/>
                <w:szCs w:val="20"/>
                <w:lang w:eastAsia="ja-JP"/>
              </w:rPr>
              <w:t xml:space="preserve"> &gt; F</w:t>
            </w:r>
            <w:r w:rsidRPr="003543FC">
              <w:rPr>
                <w:rFonts w:ascii="Times New Roman" w:eastAsia="Yu Mincho" w:hAnsi="Times New Roman" w:cs="Times New Roman"/>
                <w:i/>
                <w:sz w:val="20"/>
                <w:szCs w:val="20"/>
                <w:vertAlign w:val="subscript"/>
                <w:lang w:eastAsia="ja-JP"/>
              </w:rPr>
              <w:t>MSY</w:t>
            </w:r>
            <w:r w:rsidRPr="003543FC">
              <w:rPr>
                <w:rFonts w:ascii="Times New Roman" w:eastAsia="Yu Mincho" w:hAnsi="Times New Roman" w:cs="Times New Roman"/>
                <w:i/>
                <w:sz w:val="20"/>
                <w:szCs w:val="20"/>
                <w:lang w:eastAsia="ja-JP"/>
              </w:rPr>
              <w:t>)</w:t>
            </w:r>
          </w:p>
        </w:tc>
        <w:tc>
          <w:tcPr>
            <w:tcW w:w="1525" w:type="pct"/>
          </w:tcPr>
          <w:p w14:paraId="077A948D" w14:textId="77777777" w:rsidR="003D217E" w:rsidRPr="003543FC" w:rsidRDefault="003D217E" w:rsidP="001740C5">
            <w:pPr>
              <w:adjustRightInd w:val="0"/>
              <w:snapToGrid w:val="0"/>
              <w:ind w:right="745"/>
              <w:jc w:val="right"/>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0.84</w:t>
            </w:r>
          </w:p>
        </w:tc>
        <w:tc>
          <w:tcPr>
            <w:tcW w:w="1611" w:type="pct"/>
          </w:tcPr>
          <w:p w14:paraId="04A18F7C" w14:textId="77777777" w:rsidR="003D217E" w:rsidRPr="003543FC" w:rsidRDefault="003D217E" w:rsidP="001740C5">
            <w:pPr>
              <w:adjustRightInd w:val="0"/>
              <w:snapToGrid w:val="0"/>
              <w:jc w:val="center"/>
              <w:rPr>
                <w:rFonts w:ascii="Times New Roman" w:eastAsia="Yu Mincho" w:hAnsi="Times New Roman" w:cs="Times New Roman"/>
                <w:bCs/>
                <w:sz w:val="20"/>
                <w:szCs w:val="20"/>
                <w:lang w:val="en-GB" w:eastAsia="ja-JP"/>
              </w:rPr>
            </w:pPr>
          </w:p>
        </w:tc>
      </w:tr>
      <w:tr w:rsidR="003D217E" w:rsidRPr="003543FC" w14:paraId="46A1A13A" w14:textId="77777777" w:rsidTr="001740C5">
        <w:tc>
          <w:tcPr>
            <w:tcW w:w="1864" w:type="pct"/>
          </w:tcPr>
          <w:p w14:paraId="3729B7DE" w14:textId="77777777" w:rsidR="003D217E" w:rsidRPr="003543FC" w:rsidRDefault="003D217E" w:rsidP="001740C5">
            <w:pPr>
              <w:adjustRightInd w:val="0"/>
              <w:snapToGrid w:val="0"/>
              <w:rPr>
                <w:rFonts w:ascii="Times New Roman" w:eastAsia="Yu Mincho" w:hAnsi="Times New Roman" w:cs="Times New Roman"/>
                <w:i/>
                <w:sz w:val="20"/>
                <w:szCs w:val="20"/>
                <w:lang w:eastAsia="ja-JP"/>
              </w:rPr>
            </w:pPr>
            <w:r w:rsidRPr="003543FC">
              <w:rPr>
                <w:rFonts w:ascii="Times New Roman" w:eastAsia="Yu Mincho" w:hAnsi="Times New Roman" w:cs="Times New Roman"/>
                <w:i/>
                <w:sz w:val="20"/>
                <w:szCs w:val="20"/>
                <w:lang w:eastAsia="ja-JP"/>
              </w:rPr>
              <w:t>F</w:t>
            </w:r>
            <w:r w:rsidRPr="003543FC">
              <w:rPr>
                <w:rFonts w:ascii="Times New Roman" w:eastAsia="Yu Mincho" w:hAnsi="Times New Roman" w:cs="Times New Roman"/>
                <w:i/>
                <w:sz w:val="20"/>
                <w:szCs w:val="20"/>
                <w:vertAlign w:val="subscript"/>
                <w:lang w:eastAsia="ja-JP"/>
              </w:rPr>
              <w:t>2016</w:t>
            </w:r>
          </w:p>
        </w:tc>
        <w:tc>
          <w:tcPr>
            <w:tcW w:w="1525" w:type="pct"/>
          </w:tcPr>
          <w:p w14:paraId="567F8628" w14:textId="77777777" w:rsidR="003D217E" w:rsidRPr="003543FC" w:rsidRDefault="003D217E" w:rsidP="001740C5">
            <w:pPr>
              <w:adjustRightInd w:val="0"/>
              <w:snapToGrid w:val="0"/>
              <w:ind w:right="745"/>
              <w:jc w:val="right"/>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0.313</w:t>
            </w:r>
          </w:p>
        </w:tc>
        <w:tc>
          <w:tcPr>
            <w:tcW w:w="1611" w:type="pct"/>
          </w:tcPr>
          <w:p w14:paraId="754A8372" w14:textId="77777777" w:rsidR="003D217E" w:rsidRPr="003543FC" w:rsidRDefault="003D217E" w:rsidP="001740C5">
            <w:pPr>
              <w:adjustRightInd w:val="0"/>
              <w:snapToGrid w:val="0"/>
              <w:jc w:val="center"/>
              <w:rPr>
                <w:rFonts w:ascii="Times New Roman" w:eastAsia="Yu Mincho" w:hAnsi="Times New Roman" w:cs="Times New Roman"/>
                <w:bCs/>
                <w:sz w:val="20"/>
                <w:szCs w:val="20"/>
                <w:lang w:val="en-GB" w:eastAsia="ja-JP"/>
              </w:rPr>
            </w:pPr>
          </w:p>
        </w:tc>
      </w:tr>
      <w:tr w:rsidR="003D217E" w:rsidRPr="003543FC" w14:paraId="1D523DCF" w14:textId="77777777" w:rsidTr="001740C5">
        <w:tc>
          <w:tcPr>
            <w:tcW w:w="1864" w:type="pct"/>
          </w:tcPr>
          <w:p w14:paraId="41B30ECE" w14:textId="77777777" w:rsidR="003D217E" w:rsidRPr="003543FC" w:rsidRDefault="003D217E" w:rsidP="001740C5">
            <w:pPr>
              <w:adjustRightInd w:val="0"/>
              <w:snapToGrid w:val="0"/>
              <w:rPr>
                <w:rFonts w:ascii="Times New Roman" w:eastAsia="Yu Mincho" w:hAnsi="Times New Roman" w:cs="Times New Roman"/>
                <w:i/>
                <w:sz w:val="20"/>
                <w:szCs w:val="20"/>
                <w:lang w:eastAsia="ja-JP"/>
              </w:rPr>
            </w:pPr>
            <w:r w:rsidRPr="003543FC">
              <w:rPr>
                <w:rFonts w:ascii="Times New Roman" w:eastAsia="Yu Mincho" w:hAnsi="Times New Roman" w:cs="Times New Roman"/>
                <w:i/>
                <w:sz w:val="20"/>
                <w:szCs w:val="20"/>
                <w:lang w:eastAsia="ja-JP"/>
              </w:rPr>
              <w:t>MSY</w:t>
            </w:r>
          </w:p>
        </w:tc>
        <w:tc>
          <w:tcPr>
            <w:tcW w:w="1525" w:type="pct"/>
          </w:tcPr>
          <w:p w14:paraId="0D4BBB6C" w14:textId="77777777" w:rsidR="003D217E" w:rsidRPr="003543FC" w:rsidRDefault="003D217E" w:rsidP="001740C5">
            <w:pPr>
              <w:adjustRightInd w:val="0"/>
              <w:snapToGrid w:val="0"/>
              <w:ind w:right="745"/>
              <w:jc w:val="right"/>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12,162</w:t>
            </w:r>
          </w:p>
        </w:tc>
        <w:tc>
          <w:tcPr>
            <w:tcW w:w="1611" w:type="pct"/>
          </w:tcPr>
          <w:p w14:paraId="2D61D5C2" w14:textId="77777777" w:rsidR="003D217E" w:rsidRPr="003543FC" w:rsidRDefault="003D217E" w:rsidP="001740C5">
            <w:pPr>
              <w:adjustRightInd w:val="0"/>
              <w:snapToGrid w:val="0"/>
              <w:jc w:val="center"/>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6,711-17,615</w:t>
            </w:r>
          </w:p>
        </w:tc>
      </w:tr>
      <w:tr w:rsidR="003D217E" w:rsidRPr="003543FC" w14:paraId="3C389F30" w14:textId="77777777" w:rsidTr="001740C5">
        <w:tc>
          <w:tcPr>
            <w:tcW w:w="1864" w:type="pct"/>
          </w:tcPr>
          <w:p w14:paraId="7719E8DD" w14:textId="77777777" w:rsidR="003D217E" w:rsidRPr="003543FC" w:rsidRDefault="003D217E" w:rsidP="001740C5">
            <w:pPr>
              <w:adjustRightInd w:val="0"/>
              <w:snapToGrid w:val="0"/>
              <w:rPr>
                <w:rFonts w:ascii="Times New Roman" w:eastAsia="Yu Mincho" w:hAnsi="Times New Roman" w:cs="Times New Roman"/>
                <w:sz w:val="20"/>
                <w:szCs w:val="20"/>
                <w:lang w:eastAsia="ja-JP"/>
              </w:rPr>
            </w:pPr>
            <w:r w:rsidRPr="003543FC">
              <w:rPr>
                <w:rFonts w:ascii="Times New Roman" w:eastAsia="Yu Mincho" w:hAnsi="Times New Roman" w:cs="Times New Roman"/>
                <w:sz w:val="20"/>
                <w:szCs w:val="20"/>
                <w:lang w:eastAsia="ja-JP"/>
              </w:rPr>
              <w:t>Catch 2016 (mt)</w:t>
            </w:r>
          </w:p>
        </w:tc>
        <w:tc>
          <w:tcPr>
            <w:tcW w:w="1525" w:type="pct"/>
          </w:tcPr>
          <w:p w14:paraId="38076F1B" w14:textId="77777777" w:rsidR="003D217E" w:rsidRPr="003543FC" w:rsidRDefault="003D217E" w:rsidP="001740C5">
            <w:pPr>
              <w:adjustRightInd w:val="0"/>
              <w:snapToGrid w:val="0"/>
              <w:ind w:right="745"/>
              <w:jc w:val="right"/>
              <w:rPr>
                <w:rFonts w:ascii="Times New Roman" w:eastAsia="Yu Mincho" w:hAnsi="Times New Roman" w:cs="Times New Roman"/>
                <w:bCs/>
                <w:sz w:val="20"/>
                <w:szCs w:val="20"/>
                <w:lang w:val="en-GB" w:eastAsia="ja-JP"/>
              </w:rPr>
            </w:pPr>
            <w:r w:rsidRPr="003543FC">
              <w:rPr>
                <w:rFonts w:ascii="Times New Roman" w:eastAsia="Yu Mincho" w:hAnsi="Times New Roman" w:cs="Times New Roman"/>
                <w:bCs/>
                <w:sz w:val="20"/>
                <w:szCs w:val="20"/>
                <w:lang w:val="en-GB" w:eastAsia="ja-JP"/>
              </w:rPr>
              <w:t>22,503</w:t>
            </w:r>
          </w:p>
        </w:tc>
        <w:tc>
          <w:tcPr>
            <w:tcW w:w="1611" w:type="pct"/>
          </w:tcPr>
          <w:p w14:paraId="103E2C5D" w14:textId="77777777" w:rsidR="003D217E" w:rsidRPr="003543FC" w:rsidRDefault="003D217E" w:rsidP="001740C5">
            <w:pPr>
              <w:adjustRightInd w:val="0"/>
              <w:snapToGrid w:val="0"/>
              <w:jc w:val="center"/>
              <w:rPr>
                <w:rFonts w:ascii="Times New Roman" w:eastAsia="Yu Mincho" w:hAnsi="Times New Roman" w:cs="Times New Roman"/>
                <w:bCs/>
                <w:sz w:val="20"/>
                <w:szCs w:val="20"/>
                <w:lang w:val="en-GB" w:eastAsia="ja-JP"/>
              </w:rPr>
            </w:pPr>
          </w:p>
        </w:tc>
      </w:tr>
    </w:tbl>
    <w:p w14:paraId="633FBF24" w14:textId="77777777" w:rsidR="003D217E" w:rsidRPr="004635E5" w:rsidRDefault="003D217E" w:rsidP="003D217E">
      <w:pPr>
        <w:adjustRightInd w:val="0"/>
        <w:snapToGrid w:val="0"/>
        <w:rPr>
          <w:rFonts w:eastAsia="Yu Mincho"/>
          <w:sz w:val="22"/>
          <w:szCs w:val="22"/>
          <w:lang w:eastAsia="ja-JP"/>
        </w:rPr>
      </w:pPr>
    </w:p>
    <w:p w14:paraId="1F94A597" w14:textId="77777777" w:rsidR="003D217E" w:rsidRPr="00EE3592" w:rsidRDefault="003D217E" w:rsidP="00580EA4">
      <w:pPr>
        <w:numPr>
          <w:ilvl w:val="0"/>
          <w:numId w:val="18"/>
        </w:numPr>
        <w:autoSpaceDE w:val="0"/>
        <w:autoSpaceDN w:val="0"/>
        <w:adjustRightInd w:val="0"/>
        <w:snapToGrid w:val="0"/>
        <w:ind w:left="0" w:firstLine="0"/>
        <w:jc w:val="both"/>
        <w:rPr>
          <w:bCs/>
          <w:sz w:val="22"/>
          <w:szCs w:val="22"/>
          <w:lang w:val="en-AU"/>
        </w:rPr>
      </w:pPr>
      <w:r w:rsidRPr="00EE3592">
        <w:rPr>
          <w:bCs/>
          <w:sz w:val="22"/>
          <w:szCs w:val="22"/>
          <w:lang w:val="en-AU"/>
        </w:rPr>
        <w:t>Fishing mortality is estimated to be above F</w:t>
      </w:r>
      <w:r w:rsidRPr="00EE3592">
        <w:rPr>
          <w:bCs/>
          <w:sz w:val="22"/>
          <w:szCs w:val="22"/>
          <w:vertAlign w:val="subscript"/>
          <w:lang w:val="en-AU"/>
        </w:rPr>
        <w:t>MSY</w:t>
      </w:r>
      <w:r w:rsidRPr="00EE3592">
        <w:rPr>
          <w:bCs/>
          <w:sz w:val="22"/>
          <w:szCs w:val="22"/>
          <w:lang w:val="en-AU"/>
        </w:rPr>
        <w:t xml:space="preserve"> (F</w:t>
      </w:r>
      <w:r w:rsidRPr="00EE3592">
        <w:rPr>
          <w:bCs/>
          <w:sz w:val="22"/>
          <w:szCs w:val="22"/>
          <w:vertAlign w:val="subscript"/>
          <w:lang w:val="en-AU"/>
        </w:rPr>
        <w:t>2016</w:t>
      </w:r>
      <w:r w:rsidRPr="00EE3592">
        <w:rPr>
          <w:bCs/>
          <w:sz w:val="22"/>
          <w:szCs w:val="22"/>
          <w:lang w:val="en-AU"/>
        </w:rPr>
        <w:t>/F</w:t>
      </w:r>
      <w:r w:rsidRPr="00EE3592">
        <w:rPr>
          <w:bCs/>
          <w:sz w:val="22"/>
          <w:szCs w:val="22"/>
          <w:vertAlign w:val="subscript"/>
          <w:lang w:val="en-AU"/>
        </w:rPr>
        <w:t>MSY</w:t>
      </w:r>
      <w:r w:rsidRPr="00EE3592">
        <w:rPr>
          <w:bCs/>
          <w:sz w:val="22"/>
          <w:szCs w:val="22"/>
          <w:lang w:val="en-AU"/>
        </w:rPr>
        <w:t xml:space="preserve"> = 1.607, Pr(F</w:t>
      </w:r>
      <w:r w:rsidRPr="00EE3592">
        <w:rPr>
          <w:bCs/>
          <w:sz w:val="22"/>
          <w:szCs w:val="22"/>
          <w:vertAlign w:val="subscript"/>
          <w:lang w:val="en-AU"/>
        </w:rPr>
        <w:t>2016</w:t>
      </w:r>
      <w:r w:rsidRPr="00EE3592">
        <w:rPr>
          <w:bCs/>
          <w:sz w:val="22"/>
          <w:szCs w:val="22"/>
          <w:lang w:val="en-AU"/>
        </w:rPr>
        <w:t xml:space="preserve"> &gt; F</w:t>
      </w:r>
      <w:r w:rsidRPr="00EE3592">
        <w:rPr>
          <w:bCs/>
          <w:sz w:val="22"/>
          <w:szCs w:val="22"/>
          <w:vertAlign w:val="subscript"/>
          <w:lang w:val="en-AU"/>
        </w:rPr>
        <w:t>MSY</w:t>
      </w:r>
      <w:r w:rsidRPr="00EE3592">
        <w:rPr>
          <w:bCs/>
          <w:sz w:val="22"/>
          <w:szCs w:val="22"/>
          <w:lang w:val="en-AU"/>
        </w:rPr>
        <w:t>) = 84%). The current level of catch is substantially higher than the MSY. If catches remain at the current level there is a high probability that the biomass will decline to below the SB</w:t>
      </w:r>
      <w:r w:rsidRPr="00EE3592">
        <w:rPr>
          <w:bCs/>
          <w:sz w:val="22"/>
          <w:szCs w:val="22"/>
          <w:vertAlign w:val="subscript"/>
          <w:lang w:val="en-AU"/>
        </w:rPr>
        <w:t>MSY</w:t>
      </w:r>
      <w:r w:rsidRPr="00EE3592">
        <w:rPr>
          <w:bCs/>
          <w:sz w:val="22"/>
          <w:szCs w:val="22"/>
          <w:lang w:val="en-AU"/>
        </w:rPr>
        <w:t xml:space="preserve"> level in the foreseeable future (~ 5 years). </w:t>
      </w:r>
    </w:p>
    <w:p w14:paraId="24A15FB5" w14:textId="77777777" w:rsidR="003D217E" w:rsidRDefault="003D217E" w:rsidP="003D217E">
      <w:pPr>
        <w:autoSpaceDE w:val="0"/>
        <w:autoSpaceDN w:val="0"/>
        <w:adjustRightInd w:val="0"/>
        <w:snapToGrid w:val="0"/>
        <w:jc w:val="both"/>
        <w:rPr>
          <w:rFonts w:eastAsiaTheme="minorEastAsia"/>
          <w:bCs/>
          <w:sz w:val="22"/>
          <w:szCs w:val="22"/>
          <w:lang w:val="en-AU"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D217E" w14:paraId="552B3DFA" w14:textId="77777777" w:rsidTr="001740C5">
        <w:tc>
          <w:tcPr>
            <w:tcW w:w="4788" w:type="dxa"/>
            <w:vAlign w:val="center"/>
          </w:tcPr>
          <w:p w14:paraId="5DE17207" w14:textId="77777777" w:rsidR="003D217E" w:rsidRDefault="003D217E" w:rsidP="001740C5">
            <w:pPr>
              <w:autoSpaceDE w:val="0"/>
              <w:autoSpaceDN w:val="0"/>
              <w:adjustRightInd w:val="0"/>
              <w:snapToGrid w:val="0"/>
              <w:jc w:val="center"/>
              <w:rPr>
                <w:bCs/>
                <w:sz w:val="22"/>
                <w:szCs w:val="22"/>
                <w:lang w:val="en-AU"/>
              </w:rPr>
            </w:pPr>
            <w:r w:rsidRPr="004635E5">
              <w:rPr>
                <w:rFonts w:eastAsia="Yu Mincho"/>
                <w:noProof/>
                <w:color w:val="00000A"/>
                <w:sz w:val="22"/>
                <w:szCs w:val="22"/>
                <w:lang w:eastAsia="zh-CN" w:bidi="mn-Mong-CN"/>
              </w:rPr>
              <w:drawing>
                <wp:inline distT="0" distB="0" distL="0" distR="0" wp14:anchorId="22155392" wp14:editId="2733BD51">
                  <wp:extent cx="1685925" cy="1685925"/>
                  <wp:effectExtent l="0" t="0" r="9525" b="9525"/>
                  <wp:docPr id="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bePlot.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85925" cy="1685925"/>
                          </a:xfrm>
                          <a:prstGeom prst="rect">
                            <a:avLst/>
                          </a:prstGeom>
                        </pic:spPr>
                      </pic:pic>
                    </a:graphicData>
                  </a:graphic>
                </wp:inline>
              </w:drawing>
            </w:r>
          </w:p>
        </w:tc>
        <w:tc>
          <w:tcPr>
            <w:tcW w:w="4788" w:type="dxa"/>
          </w:tcPr>
          <w:p w14:paraId="2CE05721" w14:textId="77777777" w:rsidR="003D217E" w:rsidRPr="004635E5" w:rsidRDefault="003D217E" w:rsidP="001740C5">
            <w:pPr>
              <w:adjustRightInd w:val="0"/>
              <w:snapToGrid w:val="0"/>
              <w:jc w:val="both"/>
              <w:rPr>
                <w:rFonts w:eastAsia="Yu Mincho"/>
                <w:bCs/>
                <w:color w:val="00000A"/>
                <w:sz w:val="22"/>
                <w:szCs w:val="22"/>
                <w:lang w:val="en-GB"/>
              </w:rPr>
            </w:pPr>
            <w:r w:rsidRPr="004635E5">
              <w:rPr>
                <w:rFonts w:eastAsia="Yu Mincho"/>
                <w:b/>
                <w:color w:val="00000A"/>
                <w:sz w:val="22"/>
                <w:szCs w:val="22"/>
                <w:lang w:val="en-GB"/>
              </w:rPr>
              <w:t xml:space="preserve">Figure FAL-2: </w:t>
            </w:r>
            <w:r w:rsidRPr="004635E5">
              <w:rPr>
                <w:rFonts w:eastAsia="Yu Mincho"/>
                <w:bCs/>
                <w:color w:val="00000A"/>
                <w:sz w:val="22"/>
                <w:szCs w:val="22"/>
                <w:lang w:val="en-GB"/>
              </w:rPr>
              <w:t>Kobe plot for the WCPO assessment model (</w:t>
            </w:r>
            <w:r w:rsidRPr="004635E5">
              <w:rPr>
                <w:rFonts w:eastAsia="Yu Mincho"/>
                <w:bCs/>
                <w:i/>
                <w:color w:val="00000A"/>
                <w:sz w:val="22"/>
                <w:szCs w:val="22"/>
                <w:lang w:val="en-GB"/>
              </w:rPr>
              <w:t>CPUEqdev</w:t>
            </w:r>
            <w:r w:rsidRPr="004635E5">
              <w:rPr>
                <w:rFonts w:eastAsia="Yu Mincho"/>
                <w:bCs/>
                <w:color w:val="00000A"/>
                <w:sz w:val="22"/>
                <w:szCs w:val="22"/>
                <w:lang w:val="en-GB"/>
              </w:rPr>
              <w:t>).</w:t>
            </w:r>
          </w:p>
          <w:p w14:paraId="357B45A3" w14:textId="77777777" w:rsidR="003D217E" w:rsidRDefault="003D217E" w:rsidP="001740C5">
            <w:pPr>
              <w:autoSpaceDE w:val="0"/>
              <w:autoSpaceDN w:val="0"/>
              <w:adjustRightInd w:val="0"/>
              <w:snapToGrid w:val="0"/>
              <w:jc w:val="both"/>
              <w:rPr>
                <w:bCs/>
                <w:sz w:val="22"/>
                <w:szCs w:val="22"/>
                <w:lang w:val="en-AU"/>
              </w:rPr>
            </w:pPr>
          </w:p>
        </w:tc>
      </w:tr>
    </w:tbl>
    <w:p w14:paraId="76F58FC3" w14:textId="77777777" w:rsidR="003D217E" w:rsidRPr="004635E5" w:rsidRDefault="003D217E" w:rsidP="003D217E">
      <w:pPr>
        <w:adjustRightInd w:val="0"/>
        <w:snapToGrid w:val="0"/>
        <w:rPr>
          <w:rFonts w:eastAsia="Yu Mincho"/>
          <w:sz w:val="22"/>
          <w:szCs w:val="22"/>
          <w:lang w:val="en-GB" w:eastAsia="en-NZ"/>
        </w:rPr>
      </w:pPr>
    </w:p>
    <w:p w14:paraId="459913EA" w14:textId="77777777" w:rsidR="003D217E" w:rsidRPr="004635E5" w:rsidRDefault="003D217E" w:rsidP="002F64C2">
      <w:pPr>
        <w:pStyle w:val="SCa"/>
        <w:tabs>
          <w:tab w:val="clear" w:pos="1080"/>
        </w:tabs>
        <w:spacing w:after="0"/>
        <w:ind w:left="0"/>
        <w:rPr>
          <w:lang w:val="en-NZ"/>
        </w:rPr>
      </w:pPr>
      <w:r w:rsidRPr="004635E5">
        <w:rPr>
          <w:lang w:val="en-NZ"/>
        </w:rPr>
        <w:t>b.</w:t>
      </w:r>
      <w:r w:rsidRPr="004635E5">
        <w:rPr>
          <w:lang w:val="en-NZ"/>
        </w:rPr>
        <w:tab/>
        <w:t>Management advice and implications</w:t>
      </w:r>
    </w:p>
    <w:p w14:paraId="1C9DDD63" w14:textId="77777777" w:rsidR="003D217E" w:rsidRPr="004635E5" w:rsidRDefault="003D217E" w:rsidP="003D217E">
      <w:pPr>
        <w:pStyle w:val="SCa"/>
        <w:spacing w:after="0"/>
        <w:rPr>
          <w:lang w:val="en-NZ"/>
        </w:rPr>
      </w:pPr>
    </w:p>
    <w:p w14:paraId="6F42EF96" w14:textId="77777777" w:rsidR="003D217E" w:rsidRPr="00EE3592" w:rsidRDefault="003D217E" w:rsidP="00580EA4">
      <w:pPr>
        <w:numPr>
          <w:ilvl w:val="0"/>
          <w:numId w:val="18"/>
        </w:numPr>
        <w:autoSpaceDE w:val="0"/>
        <w:autoSpaceDN w:val="0"/>
        <w:adjustRightInd w:val="0"/>
        <w:snapToGrid w:val="0"/>
        <w:ind w:left="0" w:firstLine="0"/>
        <w:jc w:val="both"/>
        <w:rPr>
          <w:bCs/>
          <w:sz w:val="22"/>
          <w:szCs w:val="22"/>
          <w:lang w:val="en-AU"/>
        </w:rPr>
      </w:pPr>
      <w:r w:rsidRPr="00EE3592">
        <w:rPr>
          <w:bCs/>
          <w:sz w:val="22"/>
          <w:szCs w:val="22"/>
          <w:lang w:val="en-AU"/>
        </w:rPr>
        <w:t>SC14 concludes that on the basis of the best available science, and pending the availability of less uncertain stock status indicators, the stock is not overfished, but is subject to overfishing</w:t>
      </w:r>
      <w:r w:rsidRPr="00EE3592">
        <w:rPr>
          <w:bCs/>
          <w:sz w:val="22"/>
          <w:szCs w:val="22"/>
          <w:u w:val="single"/>
          <w:lang w:val="en-AU"/>
        </w:rPr>
        <w:t xml:space="preserve"> </w:t>
      </w:r>
      <w:r w:rsidRPr="00EE3592">
        <w:rPr>
          <w:bCs/>
          <w:sz w:val="22"/>
          <w:szCs w:val="22"/>
          <w:lang w:val="en-AU"/>
        </w:rPr>
        <w:t xml:space="preserve">(Figure FAL-2). </w:t>
      </w:r>
    </w:p>
    <w:p w14:paraId="75EE3869" w14:textId="77777777" w:rsidR="003D217E" w:rsidRPr="00EE3592" w:rsidRDefault="003D217E" w:rsidP="003D217E">
      <w:pPr>
        <w:autoSpaceDE w:val="0"/>
        <w:autoSpaceDN w:val="0"/>
        <w:adjustRightInd w:val="0"/>
        <w:snapToGrid w:val="0"/>
        <w:jc w:val="both"/>
        <w:rPr>
          <w:bCs/>
          <w:sz w:val="22"/>
          <w:szCs w:val="22"/>
          <w:lang w:val="en-AU"/>
        </w:rPr>
      </w:pPr>
    </w:p>
    <w:p w14:paraId="4EF71C24" w14:textId="77777777" w:rsidR="003D217E" w:rsidRPr="00EE3592" w:rsidRDefault="003D217E" w:rsidP="00580EA4">
      <w:pPr>
        <w:numPr>
          <w:ilvl w:val="0"/>
          <w:numId w:val="18"/>
        </w:numPr>
        <w:autoSpaceDE w:val="0"/>
        <w:autoSpaceDN w:val="0"/>
        <w:adjustRightInd w:val="0"/>
        <w:snapToGrid w:val="0"/>
        <w:ind w:left="0" w:firstLine="0"/>
        <w:jc w:val="both"/>
        <w:rPr>
          <w:bCs/>
          <w:sz w:val="22"/>
          <w:szCs w:val="22"/>
          <w:lang w:val="en-AU"/>
        </w:rPr>
      </w:pPr>
      <w:r w:rsidRPr="00EE3592">
        <w:rPr>
          <w:bCs/>
          <w:sz w:val="22"/>
          <w:szCs w:val="22"/>
          <w:lang w:val="en-AU"/>
        </w:rPr>
        <w:t xml:space="preserve">SC14 recommends, given that the WCPO silky shark stock continues to be subject to overfishing, that CMM 2013-08 be maintained as a precautionary measure. </w:t>
      </w:r>
    </w:p>
    <w:p w14:paraId="78FF5EA0" w14:textId="77777777" w:rsidR="003D217E" w:rsidRPr="004635E5" w:rsidRDefault="003D217E" w:rsidP="003D217E">
      <w:pPr>
        <w:autoSpaceDE w:val="0"/>
        <w:autoSpaceDN w:val="0"/>
        <w:adjustRightInd w:val="0"/>
        <w:snapToGrid w:val="0"/>
        <w:jc w:val="both"/>
        <w:rPr>
          <w:b/>
          <w:sz w:val="22"/>
          <w:szCs w:val="22"/>
          <w:lang w:val="en-AU"/>
        </w:rPr>
      </w:pPr>
    </w:p>
    <w:p w14:paraId="77DE2040" w14:textId="77777777" w:rsidR="003D217E" w:rsidRPr="00EE3592" w:rsidRDefault="003D217E" w:rsidP="003D217E">
      <w:pPr>
        <w:pStyle w:val="SC3"/>
        <w:spacing w:after="0"/>
        <w:rPr>
          <w:rFonts w:eastAsia="Batang"/>
          <w:sz w:val="24"/>
          <w:szCs w:val="24"/>
          <w:lang w:eastAsia="ko-KR"/>
        </w:rPr>
      </w:pPr>
      <w:r w:rsidRPr="00EE3592">
        <w:rPr>
          <w:rFonts w:eastAsia="Batang"/>
          <w:sz w:val="24"/>
          <w:szCs w:val="24"/>
          <w:lang w:eastAsia="ko-KR"/>
        </w:rPr>
        <w:t>South Pacific blue shark (</w:t>
      </w:r>
      <w:r w:rsidRPr="00EE3592">
        <w:rPr>
          <w:rFonts w:eastAsia="Batang"/>
          <w:i/>
          <w:sz w:val="24"/>
          <w:szCs w:val="24"/>
          <w:lang w:eastAsia="ko-KR"/>
        </w:rPr>
        <w:t>Prionace glauca</w:t>
      </w:r>
      <w:r w:rsidRPr="00EE3592">
        <w:rPr>
          <w:rFonts w:eastAsia="Batang"/>
          <w:sz w:val="24"/>
          <w:szCs w:val="24"/>
          <w:lang w:eastAsia="ko-KR"/>
        </w:rPr>
        <w:t>)</w:t>
      </w:r>
    </w:p>
    <w:p w14:paraId="1F882878" w14:textId="77777777" w:rsidR="003D217E" w:rsidRPr="004635E5" w:rsidRDefault="003D217E" w:rsidP="003D217E">
      <w:pPr>
        <w:pStyle w:val="SC3"/>
        <w:numPr>
          <w:ilvl w:val="0"/>
          <w:numId w:val="0"/>
        </w:numPr>
        <w:spacing w:after="0"/>
        <w:ind w:left="1440"/>
        <w:rPr>
          <w:rFonts w:eastAsia="Batang"/>
          <w:lang w:eastAsia="ko-KR"/>
        </w:rPr>
      </w:pPr>
    </w:p>
    <w:p w14:paraId="458548C1" w14:textId="77777777" w:rsidR="003D217E" w:rsidRPr="004635E5" w:rsidRDefault="003D217E" w:rsidP="002F64C2">
      <w:pPr>
        <w:pStyle w:val="SCa"/>
        <w:tabs>
          <w:tab w:val="clear" w:pos="1080"/>
        </w:tabs>
        <w:spacing w:after="0"/>
        <w:ind w:left="0"/>
        <w:rPr>
          <w:lang w:val="en-NZ"/>
        </w:rPr>
      </w:pPr>
      <w:r w:rsidRPr="004635E5">
        <w:rPr>
          <w:lang w:val="en-NZ"/>
        </w:rPr>
        <w:t>a.</w:t>
      </w:r>
      <w:r w:rsidRPr="004635E5">
        <w:rPr>
          <w:lang w:val="en-NZ"/>
        </w:rPr>
        <w:tab/>
        <w:t xml:space="preserve">Status and trends </w:t>
      </w:r>
    </w:p>
    <w:p w14:paraId="2544E0B1" w14:textId="77777777" w:rsidR="003D217E" w:rsidRPr="004635E5" w:rsidRDefault="003D217E" w:rsidP="003D217E">
      <w:pPr>
        <w:pStyle w:val="SCa"/>
        <w:spacing w:after="0"/>
        <w:rPr>
          <w:lang w:val="en-NZ"/>
        </w:rPr>
      </w:pPr>
    </w:p>
    <w:p w14:paraId="5E6CB234" w14:textId="77777777" w:rsidR="003D217E" w:rsidRPr="003543FC" w:rsidRDefault="003D217E" w:rsidP="00580EA4">
      <w:pPr>
        <w:numPr>
          <w:ilvl w:val="0"/>
          <w:numId w:val="18"/>
        </w:numPr>
        <w:autoSpaceDE w:val="0"/>
        <w:autoSpaceDN w:val="0"/>
        <w:adjustRightInd w:val="0"/>
        <w:snapToGrid w:val="0"/>
        <w:ind w:left="0" w:firstLine="0"/>
        <w:jc w:val="both"/>
        <w:rPr>
          <w:bCs/>
          <w:sz w:val="22"/>
          <w:szCs w:val="22"/>
          <w:lang w:val="en-AU"/>
        </w:rPr>
      </w:pPr>
      <w:r w:rsidRPr="003543FC">
        <w:rPr>
          <w:bCs/>
          <w:sz w:val="22"/>
          <w:szCs w:val="22"/>
          <w:lang w:val="en-AU"/>
        </w:rPr>
        <w:t xml:space="preserve">SC14 noted that no stock assessments were conducted for South Pacific blue shark in 2018. Therefore, the stock status descriptions from SC13 are still current for South Pacific blue shark. Updated information on catches was not compiled for and reviewed by SC14. </w:t>
      </w:r>
    </w:p>
    <w:p w14:paraId="0AFD4ECF" w14:textId="77777777" w:rsidR="003D217E" w:rsidRPr="004635E5" w:rsidRDefault="003D217E" w:rsidP="003D217E">
      <w:pPr>
        <w:autoSpaceDE w:val="0"/>
        <w:autoSpaceDN w:val="0"/>
        <w:adjustRightInd w:val="0"/>
        <w:snapToGrid w:val="0"/>
        <w:jc w:val="both"/>
        <w:rPr>
          <w:b/>
          <w:sz w:val="22"/>
          <w:szCs w:val="22"/>
          <w:lang w:val="en-AU"/>
        </w:rPr>
      </w:pPr>
    </w:p>
    <w:p w14:paraId="32C50D7A" w14:textId="77777777" w:rsidR="003D217E" w:rsidRPr="004635E5" w:rsidRDefault="003D217E" w:rsidP="002F64C2">
      <w:pPr>
        <w:pStyle w:val="SCa"/>
        <w:tabs>
          <w:tab w:val="clear" w:pos="1080"/>
        </w:tabs>
        <w:spacing w:after="0"/>
        <w:ind w:left="0"/>
      </w:pPr>
      <w:r w:rsidRPr="004635E5">
        <w:rPr>
          <w:lang w:val="en-AU"/>
        </w:rPr>
        <w:t>b.</w:t>
      </w:r>
      <w:r w:rsidRPr="004635E5">
        <w:rPr>
          <w:lang w:val="en-AU"/>
        </w:rPr>
        <w:tab/>
      </w:r>
      <w:r w:rsidRPr="004635E5">
        <w:t>Management advice and implications</w:t>
      </w:r>
    </w:p>
    <w:p w14:paraId="4CA2D697" w14:textId="77777777" w:rsidR="003D217E" w:rsidRPr="004635E5" w:rsidRDefault="003D217E" w:rsidP="003D217E">
      <w:pPr>
        <w:pStyle w:val="SCa"/>
        <w:spacing w:after="0"/>
      </w:pPr>
    </w:p>
    <w:p w14:paraId="1E0F2D75" w14:textId="77777777" w:rsidR="003D217E" w:rsidRPr="003543FC" w:rsidRDefault="003D217E" w:rsidP="00580EA4">
      <w:pPr>
        <w:numPr>
          <w:ilvl w:val="0"/>
          <w:numId w:val="18"/>
        </w:numPr>
        <w:autoSpaceDE w:val="0"/>
        <w:autoSpaceDN w:val="0"/>
        <w:adjustRightInd w:val="0"/>
        <w:snapToGrid w:val="0"/>
        <w:ind w:left="0" w:firstLine="0"/>
        <w:jc w:val="both"/>
        <w:rPr>
          <w:bCs/>
          <w:sz w:val="22"/>
          <w:szCs w:val="22"/>
          <w:lang w:val="en-AU"/>
        </w:rPr>
      </w:pPr>
      <w:r w:rsidRPr="003543FC">
        <w:rPr>
          <w:bCs/>
          <w:sz w:val="22"/>
          <w:szCs w:val="22"/>
          <w:lang w:val="en-AU"/>
        </w:rPr>
        <w:t xml:space="preserve">SC14 noted that no management advice has been provided for South Pacific blue shark. </w:t>
      </w:r>
    </w:p>
    <w:p w14:paraId="474FA9BC" w14:textId="77777777" w:rsidR="003D217E" w:rsidRPr="004635E5" w:rsidRDefault="003D217E" w:rsidP="003D217E">
      <w:pPr>
        <w:autoSpaceDE w:val="0"/>
        <w:autoSpaceDN w:val="0"/>
        <w:adjustRightInd w:val="0"/>
        <w:snapToGrid w:val="0"/>
        <w:jc w:val="both"/>
        <w:rPr>
          <w:b/>
          <w:sz w:val="22"/>
          <w:szCs w:val="22"/>
          <w:lang w:val="en-AU"/>
        </w:rPr>
      </w:pPr>
    </w:p>
    <w:p w14:paraId="562F6F08" w14:textId="77777777" w:rsidR="003D217E" w:rsidRPr="00EE3592" w:rsidRDefault="003D217E" w:rsidP="003D217E">
      <w:pPr>
        <w:pStyle w:val="SC3"/>
        <w:spacing w:after="0"/>
        <w:rPr>
          <w:rFonts w:eastAsia="Batang"/>
          <w:sz w:val="24"/>
          <w:szCs w:val="24"/>
          <w:lang w:eastAsia="ko-KR"/>
        </w:rPr>
      </w:pPr>
      <w:r w:rsidRPr="00EE3592">
        <w:rPr>
          <w:rFonts w:eastAsia="Batang"/>
          <w:sz w:val="24"/>
          <w:szCs w:val="24"/>
          <w:lang w:eastAsia="ko-KR"/>
        </w:rPr>
        <w:t>North Pacific blue shark (</w:t>
      </w:r>
      <w:r w:rsidRPr="00EE3592">
        <w:rPr>
          <w:rFonts w:eastAsia="Batang"/>
          <w:i/>
          <w:sz w:val="24"/>
          <w:szCs w:val="24"/>
          <w:lang w:eastAsia="ko-KR"/>
        </w:rPr>
        <w:t>Prionace glauca</w:t>
      </w:r>
      <w:r w:rsidRPr="00EE3592">
        <w:rPr>
          <w:rFonts w:eastAsia="Batang"/>
          <w:sz w:val="24"/>
          <w:szCs w:val="24"/>
          <w:lang w:eastAsia="ko-KR"/>
        </w:rPr>
        <w:t>)</w:t>
      </w:r>
    </w:p>
    <w:p w14:paraId="74C368A9" w14:textId="77777777" w:rsidR="003D217E" w:rsidRPr="004635E5" w:rsidRDefault="003D217E" w:rsidP="003D217E">
      <w:pPr>
        <w:pStyle w:val="SC3"/>
        <w:numPr>
          <w:ilvl w:val="0"/>
          <w:numId w:val="0"/>
        </w:numPr>
        <w:spacing w:after="0"/>
        <w:ind w:left="1440"/>
        <w:rPr>
          <w:rFonts w:eastAsia="Batang"/>
          <w:lang w:eastAsia="ko-KR"/>
        </w:rPr>
      </w:pPr>
    </w:p>
    <w:p w14:paraId="079304AC" w14:textId="77777777" w:rsidR="003D217E" w:rsidRPr="004635E5" w:rsidRDefault="003D217E" w:rsidP="002F64C2">
      <w:pPr>
        <w:pStyle w:val="SCa"/>
        <w:tabs>
          <w:tab w:val="clear" w:pos="1080"/>
        </w:tabs>
        <w:spacing w:after="0"/>
        <w:ind w:left="0"/>
        <w:rPr>
          <w:lang w:val="en-NZ"/>
        </w:rPr>
      </w:pPr>
      <w:r w:rsidRPr="004635E5">
        <w:rPr>
          <w:lang w:val="en-NZ"/>
        </w:rPr>
        <w:t>a.</w:t>
      </w:r>
      <w:r w:rsidRPr="004635E5">
        <w:rPr>
          <w:lang w:val="en-NZ"/>
        </w:rPr>
        <w:tab/>
        <w:t xml:space="preserve">Status and trends </w:t>
      </w:r>
    </w:p>
    <w:p w14:paraId="2E26F5E7" w14:textId="77777777" w:rsidR="003D217E" w:rsidRPr="004635E5" w:rsidRDefault="003D217E" w:rsidP="003D217E">
      <w:pPr>
        <w:pStyle w:val="SCa"/>
        <w:spacing w:after="0"/>
        <w:rPr>
          <w:lang w:val="en-NZ"/>
        </w:rPr>
      </w:pPr>
    </w:p>
    <w:p w14:paraId="27B47A55" w14:textId="77777777" w:rsidR="003D217E" w:rsidRPr="003543FC" w:rsidRDefault="003D217E" w:rsidP="00580EA4">
      <w:pPr>
        <w:numPr>
          <w:ilvl w:val="0"/>
          <w:numId w:val="18"/>
        </w:numPr>
        <w:autoSpaceDE w:val="0"/>
        <w:autoSpaceDN w:val="0"/>
        <w:adjustRightInd w:val="0"/>
        <w:snapToGrid w:val="0"/>
        <w:ind w:left="0" w:firstLine="0"/>
        <w:jc w:val="both"/>
        <w:rPr>
          <w:bCs/>
          <w:sz w:val="22"/>
          <w:szCs w:val="22"/>
        </w:rPr>
      </w:pPr>
      <w:r w:rsidRPr="003543FC">
        <w:rPr>
          <w:bCs/>
          <w:sz w:val="22"/>
          <w:szCs w:val="22"/>
        </w:rPr>
        <w:t>SC14 noted that no stock assessments were conducted for north Pacific blue shark in 2018. Therefore, the stock status descriptions from SC13 are still current for north Pacific blue shark. Updated information on catches was not compiled for and reviewed by</w:t>
      </w:r>
      <w:r w:rsidRPr="003543FC">
        <w:rPr>
          <w:bCs/>
          <w:spacing w:val="-19"/>
          <w:sz w:val="22"/>
          <w:szCs w:val="22"/>
        </w:rPr>
        <w:t xml:space="preserve"> </w:t>
      </w:r>
      <w:r w:rsidRPr="003543FC">
        <w:rPr>
          <w:bCs/>
          <w:sz w:val="22"/>
          <w:szCs w:val="22"/>
        </w:rPr>
        <w:t xml:space="preserve">SC14. </w:t>
      </w:r>
    </w:p>
    <w:p w14:paraId="51C5D96F" w14:textId="77777777" w:rsidR="003D217E" w:rsidRPr="003543FC" w:rsidRDefault="003D217E" w:rsidP="003D217E">
      <w:pPr>
        <w:autoSpaceDE w:val="0"/>
        <w:autoSpaceDN w:val="0"/>
        <w:adjustRightInd w:val="0"/>
        <w:snapToGrid w:val="0"/>
        <w:jc w:val="both"/>
        <w:rPr>
          <w:bCs/>
          <w:sz w:val="22"/>
          <w:szCs w:val="22"/>
        </w:rPr>
      </w:pPr>
    </w:p>
    <w:p w14:paraId="2E3346E6" w14:textId="77777777" w:rsidR="003D217E" w:rsidRPr="004635E5" w:rsidRDefault="003D217E" w:rsidP="002F64C2">
      <w:pPr>
        <w:pStyle w:val="SCa"/>
        <w:tabs>
          <w:tab w:val="clear" w:pos="1080"/>
        </w:tabs>
        <w:spacing w:after="0"/>
        <w:ind w:left="0"/>
        <w:rPr>
          <w:lang w:val="en-NZ"/>
        </w:rPr>
      </w:pPr>
      <w:r w:rsidRPr="004635E5">
        <w:rPr>
          <w:lang w:val="en-NZ"/>
        </w:rPr>
        <w:t>b.</w:t>
      </w:r>
      <w:r w:rsidRPr="004635E5">
        <w:rPr>
          <w:lang w:val="en-NZ"/>
        </w:rPr>
        <w:tab/>
        <w:t xml:space="preserve">Management advice and implications </w:t>
      </w:r>
    </w:p>
    <w:p w14:paraId="0033BBA7" w14:textId="77777777" w:rsidR="003D217E" w:rsidRPr="004635E5" w:rsidRDefault="003D217E" w:rsidP="003D217E">
      <w:pPr>
        <w:pStyle w:val="SCa"/>
        <w:spacing w:after="0"/>
        <w:rPr>
          <w:lang w:val="en-NZ"/>
        </w:rPr>
      </w:pPr>
    </w:p>
    <w:p w14:paraId="5BB29DD4" w14:textId="77777777" w:rsidR="003D217E" w:rsidRPr="003543FC" w:rsidRDefault="003D217E" w:rsidP="00580EA4">
      <w:pPr>
        <w:numPr>
          <w:ilvl w:val="0"/>
          <w:numId w:val="18"/>
        </w:numPr>
        <w:autoSpaceDE w:val="0"/>
        <w:autoSpaceDN w:val="0"/>
        <w:adjustRightInd w:val="0"/>
        <w:snapToGrid w:val="0"/>
        <w:ind w:left="0" w:firstLine="0"/>
        <w:jc w:val="both"/>
        <w:rPr>
          <w:rStyle w:val="Hyperlink"/>
          <w:bCs/>
          <w:color w:val="auto"/>
          <w:sz w:val="22"/>
          <w:szCs w:val="22"/>
          <w:u w:val="none"/>
        </w:rPr>
      </w:pPr>
      <w:r w:rsidRPr="003543FC">
        <w:rPr>
          <w:bCs/>
          <w:sz w:val="22"/>
          <w:szCs w:val="22"/>
        </w:rPr>
        <w:t xml:space="preserve">SC14 noted that no management advice has been provided since SC13 for north Pacific blue shark. Therefore, previous advice should be maintained, pending a new assessment or other new information. </w:t>
      </w:r>
      <w:r w:rsidRPr="003543FC">
        <w:rPr>
          <w:bCs/>
          <w:sz w:val="22"/>
          <w:szCs w:val="22"/>
          <w:lang w:val="en-AU"/>
        </w:rPr>
        <w:t>For further information on the management advice and implications from SC13, please see</w:t>
      </w:r>
      <w:r w:rsidRPr="003543FC">
        <w:rPr>
          <w:bCs/>
          <w:sz w:val="22"/>
          <w:szCs w:val="22"/>
          <w:lang w:val="en-AU" w:eastAsia="ko-KR"/>
        </w:rPr>
        <w:t xml:space="preserve"> </w:t>
      </w:r>
      <w:hyperlink r:id="rId63" w:history="1">
        <w:r w:rsidRPr="003543FC">
          <w:rPr>
            <w:rStyle w:val="Hyperlink"/>
            <w:bCs/>
            <w:sz w:val="22"/>
            <w:szCs w:val="22"/>
          </w:rPr>
          <w:t>https://www.wcpfc.int/node/29904</w:t>
        </w:r>
      </w:hyperlink>
      <w:r w:rsidRPr="003543FC">
        <w:rPr>
          <w:rStyle w:val="Hyperlink"/>
          <w:bCs/>
          <w:sz w:val="22"/>
          <w:szCs w:val="22"/>
          <w:highlight w:val="yellow"/>
          <w:lang w:val="en-AU" w:eastAsia="ko-KR"/>
        </w:rPr>
        <w:t xml:space="preserve"> </w:t>
      </w:r>
    </w:p>
    <w:p w14:paraId="6E5DB5A4" w14:textId="77777777" w:rsidR="003D217E" w:rsidRPr="004635E5" w:rsidRDefault="003D217E" w:rsidP="003D217E">
      <w:pPr>
        <w:autoSpaceDE w:val="0"/>
        <w:autoSpaceDN w:val="0"/>
        <w:adjustRightInd w:val="0"/>
        <w:snapToGrid w:val="0"/>
        <w:jc w:val="both"/>
        <w:rPr>
          <w:b/>
          <w:sz w:val="22"/>
          <w:szCs w:val="22"/>
        </w:rPr>
      </w:pPr>
    </w:p>
    <w:p w14:paraId="1C0E44D3" w14:textId="77777777" w:rsidR="003D217E" w:rsidRPr="004635E5" w:rsidRDefault="003D217E" w:rsidP="002F64C2">
      <w:pPr>
        <w:pStyle w:val="SCa"/>
        <w:tabs>
          <w:tab w:val="clear" w:pos="1080"/>
        </w:tabs>
        <w:spacing w:after="0"/>
        <w:ind w:left="0"/>
      </w:pPr>
      <w:r w:rsidRPr="004635E5">
        <w:t>c.</w:t>
      </w:r>
      <w:r w:rsidRPr="004635E5">
        <w:tab/>
        <w:t xml:space="preserve">Recommendations on </w:t>
      </w:r>
      <w:r w:rsidRPr="004635E5">
        <w:rPr>
          <w:rFonts w:eastAsia="MS PMincho"/>
        </w:rPr>
        <w:t>the designation of North Pacific blue shark as a Northern Stock</w:t>
      </w:r>
    </w:p>
    <w:p w14:paraId="6A730A06" w14:textId="77777777" w:rsidR="003D217E" w:rsidRPr="004635E5" w:rsidRDefault="003D217E" w:rsidP="003D217E">
      <w:pPr>
        <w:pStyle w:val="SCa"/>
        <w:spacing w:after="0"/>
      </w:pPr>
    </w:p>
    <w:p w14:paraId="5A546AEF" w14:textId="77777777" w:rsidR="003D217E" w:rsidRPr="003543FC" w:rsidRDefault="003D217E" w:rsidP="00580EA4">
      <w:pPr>
        <w:numPr>
          <w:ilvl w:val="0"/>
          <w:numId w:val="18"/>
        </w:numPr>
        <w:autoSpaceDE w:val="0"/>
        <w:autoSpaceDN w:val="0"/>
        <w:adjustRightInd w:val="0"/>
        <w:snapToGrid w:val="0"/>
        <w:ind w:left="0" w:firstLine="0"/>
        <w:jc w:val="both"/>
        <w:rPr>
          <w:rFonts w:eastAsia="MS PMincho"/>
          <w:bCs/>
          <w:sz w:val="22"/>
          <w:szCs w:val="22"/>
        </w:rPr>
      </w:pPr>
      <w:r w:rsidRPr="003543FC">
        <w:rPr>
          <w:rFonts w:eastAsia="MS PMincho"/>
          <w:bCs/>
          <w:sz w:val="22"/>
          <w:szCs w:val="22"/>
        </w:rPr>
        <w:t>Regarding the issue of the designation of North Pacific blue shark as a Northern Stock (</w:t>
      </w:r>
      <w:r w:rsidRPr="003543FC">
        <w:rPr>
          <w:rFonts w:eastAsia="MS PMincho"/>
          <w:bCs/>
          <w:sz w:val="22"/>
          <w:szCs w:val="22"/>
          <w:lang w:eastAsia="ko-KR"/>
        </w:rPr>
        <w:t>WCPFC14 Report, Para 378</w:t>
      </w:r>
      <w:r w:rsidRPr="003543FC">
        <w:rPr>
          <w:rFonts w:eastAsia="MS PMincho"/>
          <w:bCs/>
          <w:sz w:val="22"/>
          <w:szCs w:val="22"/>
        </w:rPr>
        <w:t>), SC14 provides the following recommendations:</w:t>
      </w:r>
    </w:p>
    <w:p w14:paraId="73973C18" w14:textId="77777777" w:rsidR="003D217E" w:rsidRPr="003543FC" w:rsidRDefault="003D217E" w:rsidP="003D217E">
      <w:pPr>
        <w:autoSpaceDE w:val="0"/>
        <w:autoSpaceDN w:val="0"/>
        <w:adjustRightInd w:val="0"/>
        <w:snapToGrid w:val="0"/>
        <w:jc w:val="both"/>
        <w:rPr>
          <w:rFonts w:eastAsia="MS PMincho"/>
          <w:bCs/>
          <w:sz w:val="22"/>
          <w:szCs w:val="22"/>
        </w:rPr>
      </w:pPr>
    </w:p>
    <w:p w14:paraId="0BE96CCB" w14:textId="77777777" w:rsidR="003D217E" w:rsidRPr="003543FC" w:rsidRDefault="003D217E" w:rsidP="00580EA4">
      <w:pPr>
        <w:widowControl w:val="0"/>
        <w:numPr>
          <w:ilvl w:val="0"/>
          <w:numId w:val="41"/>
        </w:numPr>
        <w:autoSpaceDE w:val="0"/>
        <w:autoSpaceDN w:val="0"/>
        <w:adjustRightInd w:val="0"/>
        <w:snapToGrid w:val="0"/>
        <w:jc w:val="both"/>
        <w:rPr>
          <w:bCs/>
          <w:sz w:val="22"/>
          <w:szCs w:val="22"/>
        </w:rPr>
      </w:pPr>
      <w:r w:rsidRPr="003543FC">
        <w:rPr>
          <w:bCs/>
          <w:sz w:val="22"/>
          <w:szCs w:val="22"/>
        </w:rPr>
        <w:t>SC14 recommends that the Commission clarify and quantify what is meant by “</w:t>
      </w:r>
      <w:r w:rsidRPr="003543FC">
        <w:rPr>
          <w:bCs/>
          <w:i/>
          <w:sz w:val="22"/>
          <w:szCs w:val="22"/>
        </w:rPr>
        <w:t>mostly north of 20 degrees N</w:t>
      </w:r>
      <w:r w:rsidRPr="003543FC">
        <w:rPr>
          <w:bCs/>
          <w:sz w:val="22"/>
          <w:szCs w:val="22"/>
        </w:rPr>
        <w:t xml:space="preserve">”. </w:t>
      </w:r>
    </w:p>
    <w:p w14:paraId="14FF55D4" w14:textId="77777777" w:rsidR="003D217E" w:rsidRPr="003543FC" w:rsidRDefault="003D217E" w:rsidP="00580EA4">
      <w:pPr>
        <w:widowControl w:val="0"/>
        <w:numPr>
          <w:ilvl w:val="0"/>
          <w:numId w:val="41"/>
        </w:numPr>
        <w:autoSpaceDE w:val="0"/>
        <w:autoSpaceDN w:val="0"/>
        <w:adjustRightInd w:val="0"/>
        <w:snapToGrid w:val="0"/>
        <w:jc w:val="both"/>
        <w:rPr>
          <w:bCs/>
          <w:sz w:val="22"/>
          <w:szCs w:val="22"/>
        </w:rPr>
      </w:pPr>
      <w:r w:rsidRPr="003543FC">
        <w:rPr>
          <w:bCs/>
          <w:sz w:val="22"/>
          <w:szCs w:val="22"/>
        </w:rPr>
        <w:t xml:space="preserve">In relation to paragraph 1, SC14 recommends that a check-list of benchmark scientific information for North Pacific blue shark be developed to support the Commission’s deliberations in determining the designation of a northern stock. As such, the following draft checklist is forwarded for the Commission’s consideration. </w:t>
      </w:r>
    </w:p>
    <w:p w14:paraId="228C74B1" w14:textId="77777777" w:rsidR="003D217E" w:rsidRDefault="003D217E" w:rsidP="003D217E">
      <w:pPr>
        <w:widowControl w:val="0"/>
        <w:autoSpaceDE w:val="0"/>
        <w:autoSpaceDN w:val="0"/>
        <w:adjustRightInd w:val="0"/>
        <w:snapToGrid w:val="0"/>
        <w:ind w:left="720"/>
        <w:jc w:val="both"/>
        <w:rPr>
          <w:rFonts w:eastAsiaTheme="minorEastAsia"/>
          <w:sz w:val="22"/>
          <w:szCs w:val="22"/>
          <w:lang w:eastAsia="ko-KR"/>
        </w:rPr>
      </w:pPr>
    </w:p>
    <w:p w14:paraId="01657981" w14:textId="77777777" w:rsidR="003D217E" w:rsidRDefault="003D217E" w:rsidP="003D217E">
      <w:r>
        <w:br w:type="page"/>
      </w:r>
    </w:p>
    <w:tbl>
      <w:tblPr>
        <w:tblStyle w:val="TableGrid4"/>
        <w:tblW w:w="5000" w:type="pct"/>
        <w:tblLook w:val="04A0" w:firstRow="1" w:lastRow="0" w:firstColumn="1" w:lastColumn="0" w:noHBand="0" w:noVBand="1"/>
      </w:tblPr>
      <w:tblGrid>
        <w:gridCol w:w="522"/>
        <w:gridCol w:w="3264"/>
        <w:gridCol w:w="2176"/>
        <w:gridCol w:w="3614"/>
      </w:tblGrid>
      <w:tr w:rsidR="003D217E" w:rsidRPr="00060FA0" w14:paraId="20592757" w14:textId="77777777" w:rsidTr="001740C5">
        <w:trPr>
          <w:trHeight w:val="106"/>
        </w:trPr>
        <w:tc>
          <w:tcPr>
            <w:tcW w:w="273" w:type="pct"/>
            <w:shd w:val="clear" w:color="auto" w:fill="D9D9D9" w:themeFill="background1" w:themeFillShade="D9"/>
            <w:hideMark/>
          </w:tcPr>
          <w:p w14:paraId="2CF2FD1E" w14:textId="77777777" w:rsidR="003D217E" w:rsidRPr="00060FA0" w:rsidRDefault="003D217E" w:rsidP="001740C5">
            <w:pPr>
              <w:adjustRightInd w:val="0"/>
              <w:snapToGrid w:val="0"/>
              <w:jc w:val="center"/>
              <w:rPr>
                <w:rFonts w:eastAsia="MS PMincho"/>
                <w:b/>
                <w:bCs/>
                <w:sz w:val="20"/>
                <w:szCs w:val="20"/>
                <w:lang w:eastAsia="ja-JP"/>
              </w:rPr>
            </w:pPr>
            <w:r w:rsidRPr="00060FA0">
              <w:rPr>
                <w:rFonts w:eastAsia="MS PMincho"/>
                <w:b/>
                <w:bCs/>
                <w:sz w:val="20"/>
                <w:szCs w:val="20"/>
                <w:lang w:eastAsia="ja-JP"/>
              </w:rPr>
              <w:t>No</w:t>
            </w:r>
          </w:p>
        </w:tc>
        <w:tc>
          <w:tcPr>
            <w:tcW w:w="1704" w:type="pct"/>
            <w:shd w:val="clear" w:color="auto" w:fill="D9D9D9" w:themeFill="background1" w:themeFillShade="D9"/>
            <w:hideMark/>
          </w:tcPr>
          <w:p w14:paraId="00E524AC" w14:textId="77777777" w:rsidR="003D217E" w:rsidRPr="00060FA0" w:rsidRDefault="003D217E" w:rsidP="001740C5">
            <w:pPr>
              <w:adjustRightInd w:val="0"/>
              <w:snapToGrid w:val="0"/>
              <w:jc w:val="center"/>
              <w:rPr>
                <w:rFonts w:eastAsia="MS PMincho"/>
                <w:b/>
                <w:bCs/>
                <w:sz w:val="20"/>
                <w:szCs w:val="20"/>
                <w:lang w:eastAsia="ja-JP"/>
              </w:rPr>
            </w:pPr>
            <w:r w:rsidRPr="00060FA0">
              <w:rPr>
                <w:rFonts w:eastAsia="MS PMincho"/>
                <w:b/>
                <w:bCs/>
                <w:sz w:val="20"/>
                <w:szCs w:val="20"/>
                <w:lang w:eastAsia="ja-JP"/>
              </w:rPr>
              <w:t>Criteria</w:t>
            </w:r>
          </w:p>
        </w:tc>
        <w:tc>
          <w:tcPr>
            <w:tcW w:w="1136" w:type="pct"/>
            <w:shd w:val="clear" w:color="auto" w:fill="D9D9D9" w:themeFill="background1" w:themeFillShade="D9"/>
            <w:hideMark/>
          </w:tcPr>
          <w:p w14:paraId="71BC7F02" w14:textId="77777777" w:rsidR="003D217E" w:rsidRPr="00060FA0" w:rsidRDefault="003D217E" w:rsidP="001740C5">
            <w:pPr>
              <w:adjustRightInd w:val="0"/>
              <w:snapToGrid w:val="0"/>
              <w:jc w:val="center"/>
              <w:rPr>
                <w:rFonts w:eastAsia="MS PMincho"/>
                <w:b/>
                <w:bCs/>
                <w:sz w:val="20"/>
                <w:szCs w:val="20"/>
                <w:lang w:eastAsia="ja-JP"/>
              </w:rPr>
            </w:pPr>
            <w:r w:rsidRPr="00060FA0">
              <w:rPr>
                <w:rFonts w:eastAsia="MS PMincho"/>
                <w:b/>
                <w:bCs/>
                <w:sz w:val="20"/>
                <w:szCs w:val="20"/>
                <w:lang w:eastAsia="ja-JP"/>
              </w:rPr>
              <w:t>Response</w:t>
            </w:r>
          </w:p>
        </w:tc>
        <w:tc>
          <w:tcPr>
            <w:tcW w:w="1887" w:type="pct"/>
            <w:shd w:val="clear" w:color="auto" w:fill="D9D9D9" w:themeFill="background1" w:themeFillShade="D9"/>
            <w:hideMark/>
          </w:tcPr>
          <w:p w14:paraId="676171D7" w14:textId="77777777" w:rsidR="003D217E" w:rsidRPr="00060FA0" w:rsidRDefault="003D217E" w:rsidP="001740C5">
            <w:pPr>
              <w:adjustRightInd w:val="0"/>
              <w:snapToGrid w:val="0"/>
              <w:jc w:val="center"/>
              <w:rPr>
                <w:rFonts w:eastAsia="MS PMincho"/>
                <w:b/>
                <w:bCs/>
                <w:sz w:val="20"/>
                <w:szCs w:val="20"/>
                <w:lang w:eastAsia="ja-JP"/>
              </w:rPr>
            </w:pPr>
            <w:r w:rsidRPr="00060FA0">
              <w:rPr>
                <w:rFonts w:eastAsia="MS PMincho"/>
                <w:b/>
                <w:bCs/>
                <w:sz w:val="20"/>
                <w:szCs w:val="20"/>
                <w:lang w:eastAsia="ja-JP"/>
              </w:rPr>
              <w:t>Comments</w:t>
            </w:r>
          </w:p>
        </w:tc>
      </w:tr>
      <w:tr w:rsidR="003D217E" w:rsidRPr="00060FA0" w14:paraId="69D09890" w14:textId="77777777" w:rsidTr="001740C5">
        <w:trPr>
          <w:trHeight w:val="960"/>
        </w:trPr>
        <w:tc>
          <w:tcPr>
            <w:tcW w:w="273" w:type="pct"/>
            <w:hideMark/>
          </w:tcPr>
          <w:p w14:paraId="1746ED1B" w14:textId="77777777" w:rsidR="003D217E" w:rsidRPr="00060FA0" w:rsidRDefault="003D217E" w:rsidP="001740C5">
            <w:pPr>
              <w:adjustRightInd w:val="0"/>
              <w:snapToGrid w:val="0"/>
              <w:rPr>
                <w:rFonts w:eastAsia="MS PMincho"/>
                <w:b/>
                <w:bCs/>
                <w:sz w:val="20"/>
                <w:szCs w:val="20"/>
                <w:lang w:eastAsia="ja-JP"/>
              </w:rPr>
            </w:pPr>
            <w:r w:rsidRPr="00060FA0">
              <w:rPr>
                <w:rFonts w:eastAsia="MS PMincho"/>
                <w:b/>
                <w:bCs/>
                <w:sz w:val="20"/>
                <w:szCs w:val="20"/>
                <w:lang w:eastAsia="ja-JP"/>
              </w:rPr>
              <w:t>1</w:t>
            </w:r>
          </w:p>
        </w:tc>
        <w:tc>
          <w:tcPr>
            <w:tcW w:w="1704" w:type="pct"/>
            <w:hideMark/>
          </w:tcPr>
          <w:p w14:paraId="1702D6A4"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What proportion of the total estimated stock biomass occurs on average north of 20</w:t>
            </w:r>
            <w:r w:rsidRPr="00060FA0">
              <w:rPr>
                <w:rFonts w:eastAsia="MS PMincho"/>
                <w:sz w:val="20"/>
                <w:szCs w:val="20"/>
                <w:vertAlign w:val="superscript"/>
                <w:lang w:eastAsia="ja-JP"/>
              </w:rPr>
              <w:t>o</w:t>
            </w:r>
            <w:r w:rsidRPr="00060FA0">
              <w:rPr>
                <w:rFonts w:eastAsia="MS PMincho"/>
                <w:sz w:val="20"/>
                <w:szCs w:val="20"/>
                <w:lang w:eastAsia="ja-JP"/>
              </w:rPr>
              <w:t>N?</w:t>
            </w:r>
          </w:p>
        </w:tc>
        <w:tc>
          <w:tcPr>
            <w:tcW w:w="1136" w:type="pct"/>
            <w:hideMark/>
          </w:tcPr>
          <w:p w14:paraId="62F0FD09"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Unknown</w:t>
            </w:r>
          </w:p>
        </w:tc>
        <w:tc>
          <w:tcPr>
            <w:tcW w:w="1887" w:type="pct"/>
            <w:hideMark/>
          </w:tcPr>
          <w:p w14:paraId="52282998"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Current assessment model does not include population spatial structure. Nominal CPUE may be biased and could be overestimated in the north unless the effects of fishing time, depth and depth distribution of blue sharks are accounted for.</w:t>
            </w:r>
          </w:p>
        </w:tc>
      </w:tr>
      <w:tr w:rsidR="003D217E" w:rsidRPr="00060FA0" w14:paraId="412A1B14" w14:textId="77777777" w:rsidTr="001740C5">
        <w:trPr>
          <w:trHeight w:val="630"/>
        </w:trPr>
        <w:tc>
          <w:tcPr>
            <w:tcW w:w="273" w:type="pct"/>
            <w:hideMark/>
          </w:tcPr>
          <w:p w14:paraId="0279BF2F" w14:textId="77777777" w:rsidR="003D217E" w:rsidRPr="00060FA0" w:rsidRDefault="003D217E" w:rsidP="001740C5">
            <w:pPr>
              <w:adjustRightInd w:val="0"/>
              <w:snapToGrid w:val="0"/>
              <w:rPr>
                <w:rFonts w:eastAsia="MS PMincho"/>
                <w:b/>
                <w:bCs/>
                <w:sz w:val="20"/>
                <w:szCs w:val="20"/>
                <w:lang w:eastAsia="ja-JP"/>
              </w:rPr>
            </w:pPr>
            <w:r w:rsidRPr="00060FA0">
              <w:rPr>
                <w:rFonts w:eastAsia="MS PMincho"/>
                <w:b/>
                <w:bCs/>
                <w:sz w:val="20"/>
                <w:szCs w:val="20"/>
                <w:lang w:eastAsia="ja-JP"/>
              </w:rPr>
              <w:t>2</w:t>
            </w:r>
          </w:p>
        </w:tc>
        <w:tc>
          <w:tcPr>
            <w:tcW w:w="1704" w:type="pct"/>
            <w:hideMark/>
          </w:tcPr>
          <w:p w14:paraId="13A80CA6"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Does all of the breeding/spawning area(s) occur north of 20</w:t>
            </w:r>
            <w:r w:rsidRPr="00060FA0">
              <w:rPr>
                <w:rFonts w:eastAsia="MS PMincho"/>
                <w:sz w:val="20"/>
                <w:szCs w:val="20"/>
                <w:vertAlign w:val="superscript"/>
                <w:lang w:eastAsia="ja-JP"/>
              </w:rPr>
              <w:t xml:space="preserve"> o</w:t>
            </w:r>
            <w:r w:rsidRPr="00060FA0">
              <w:rPr>
                <w:rFonts w:eastAsia="MS PMincho"/>
                <w:sz w:val="20"/>
                <w:szCs w:val="20"/>
                <w:lang w:eastAsia="ja-JP"/>
              </w:rPr>
              <w:t>N?</w:t>
            </w:r>
          </w:p>
        </w:tc>
        <w:tc>
          <w:tcPr>
            <w:tcW w:w="1136" w:type="pct"/>
            <w:hideMark/>
          </w:tcPr>
          <w:p w14:paraId="30F9F3FB"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No</w:t>
            </w:r>
          </w:p>
        </w:tc>
        <w:tc>
          <w:tcPr>
            <w:tcW w:w="1887" w:type="pct"/>
            <w:hideMark/>
          </w:tcPr>
          <w:p w14:paraId="0011AD18"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Breeding area is mainly north of 20</w:t>
            </w:r>
            <w:r w:rsidRPr="00060FA0">
              <w:rPr>
                <w:rFonts w:eastAsia="MS PMincho"/>
                <w:sz w:val="20"/>
                <w:szCs w:val="20"/>
                <w:vertAlign w:val="superscript"/>
                <w:lang w:eastAsia="ja-JP"/>
              </w:rPr>
              <w:t xml:space="preserve"> o</w:t>
            </w:r>
            <w:r w:rsidRPr="00060FA0">
              <w:rPr>
                <w:rFonts w:eastAsia="MS PMincho"/>
                <w:sz w:val="20"/>
                <w:szCs w:val="20"/>
                <w:lang w:eastAsia="ja-JP"/>
              </w:rPr>
              <w:t>N but may overlap areas south of 20</w:t>
            </w:r>
            <w:r w:rsidRPr="00060FA0">
              <w:rPr>
                <w:rFonts w:eastAsia="MS PMincho"/>
                <w:sz w:val="20"/>
                <w:szCs w:val="20"/>
                <w:vertAlign w:val="superscript"/>
                <w:lang w:eastAsia="ja-JP"/>
              </w:rPr>
              <w:t xml:space="preserve"> o</w:t>
            </w:r>
            <w:r w:rsidRPr="00060FA0">
              <w:rPr>
                <w:rFonts w:eastAsia="MS PMincho"/>
                <w:sz w:val="20"/>
                <w:szCs w:val="20"/>
                <w:lang w:eastAsia="ja-JP"/>
              </w:rPr>
              <w:t>N</w:t>
            </w:r>
          </w:p>
        </w:tc>
      </w:tr>
      <w:tr w:rsidR="003D217E" w:rsidRPr="00060FA0" w14:paraId="4900D8D4" w14:textId="77777777" w:rsidTr="001740C5">
        <w:trPr>
          <w:trHeight w:val="570"/>
        </w:trPr>
        <w:tc>
          <w:tcPr>
            <w:tcW w:w="273" w:type="pct"/>
            <w:hideMark/>
          </w:tcPr>
          <w:p w14:paraId="075DB24D" w14:textId="77777777" w:rsidR="003D217E" w:rsidRPr="00060FA0" w:rsidRDefault="003D217E" w:rsidP="001740C5">
            <w:pPr>
              <w:adjustRightInd w:val="0"/>
              <w:snapToGrid w:val="0"/>
              <w:rPr>
                <w:rFonts w:eastAsia="MS PMincho"/>
                <w:b/>
                <w:bCs/>
                <w:sz w:val="20"/>
                <w:szCs w:val="20"/>
                <w:lang w:eastAsia="ja-JP"/>
              </w:rPr>
            </w:pPr>
            <w:r w:rsidRPr="00060FA0">
              <w:rPr>
                <w:rFonts w:eastAsia="MS PMincho"/>
                <w:b/>
                <w:bCs/>
                <w:sz w:val="20"/>
                <w:szCs w:val="20"/>
                <w:lang w:eastAsia="ja-JP"/>
              </w:rPr>
              <w:t>3</w:t>
            </w:r>
          </w:p>
        </w:tc>
        <w:tc>
          <w:tcPr>
            <w:tcW w:w="1704" w:type="pct"/>
            <w:hideMark/>
          </w:tcPr>
          <w:p w14:paraId="308DE188"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Does all of the nursery area(s) occur north of 20</w:t>
            </w:r>
            <w:r w:rsidRPr="00060FA0">
              <w:rPr>
                <w:rFonts w:eastAsia="MS PMincho"/>
                <w:sz w:val="20"/>
                <w:szCs w:val="20"/>
                <w:vertAlign w:val="superscript"/>
                <w:lang w:eastAsia="ja-JP"/>
              </w:rPr>
              <w:t xml:space="preserve"> o</w:t>
            </w:r>
            <w:r w:rsidRPr="00060FA0">
              <w:rPr>
                <w:rFonts w:eastAsia="MS PMincho"/>
                <w:sz w:val="20"/>
                <w:szCs w:val="20"/>
                <w:lang w:eastAsia="ja-JP"/>
              </w:rPr>
              <w:t>N</w:t>
            </w:r>
          </w:p>
        </w:tc>
        <w:tc>
          <w:tcPr>
            <w:tcW w:w="1136" w:type="pct"/>
            <w:hideMark/>
          </w:tcPr>
          <w:p w14:paraId="4E11E2AA"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Yes</w:t>
            </w:r>
          </w:p>
        </w:tc>
        <w:tc>
          <w:tcPr>
            <w:tcW w:w="1887" w:type="pct"/>
            <w:hideMark/>
          </w:tcPr>
          <w:p w14:paraId="1F317FCF"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Mostly in the area 30-40</w:t>
            </w:r>
            <w:r w:rsidRPr="00060FA0">
              <w:rPr>
                <w:rFonts w:eastAsia="MS PMincho"/>
                <w:sz w:val="20"/>
                <w:szCs w:val="20"/>
                <w:vertAlign w:val="superscript"/>
                <w:lang w:eastAsia="ja-JP"/>
              </w:rPr>
              <w:t xml:space="preserve"> o</w:t>
            </w:r>
            <w:r w:rsidRPr="00060FA0">
              <w:rPr>
                <w:rFonts w:eastAsia="MS PMincho"/>
                <w:sz w:val="20"/>
                <w:szCs w:val="20"/>
                <w:lang w:eastAsia="ja-JP"/>
              </w:rPr>
              <w:t>N</w:t>
            </w:r>
          </w:p>
        </w:tc>
      </w:tr>
      <w:tr w:rsidR="003D217E" w:rsidRPr="00060FA0" w14:paraId="11E271B9" w14:textId="77777777" w:rsidTr="001740C5">
        <w:trPr>
          <w:trHeight w:val="660"/>
        </w:trPr>
        <w:tc>
          <w:tcPr>
            <w:tcW w:w="273" w:type="pct"/>
            <w:hideMark/>
          </w:tcPr>
          <w:p w14:paraId="408B126F" w14:textId="77777777" w:rsidR="003D217E" w:rsidRPr="00060FA0" w:rsidRDefault="003D217E" w:rsidP="001740C5">
            <w:pPr>
              <w:adjustRightInd w:val="0"/>
              <w:snapToGrid w:val="0"/>
              <w:rPr>
                <w:rFonts w:eastAsia="MS PMincho"/>
                <w:b/>
                <w:bCs/>
                <w:sz w:val="20"/>
                <w:szCs w:val="20"/>
                <w:lang w:eastAsia="ja-JP"/>
              </w:rPr>
            </w:pPr>
            <w:r w:rsidRPr="00060FA0">
              <w:rPr>
                <w:rFonts w:eastAsia="MS PMincho"/>
                <w:b/>
                <w:bCs/>
                <w:sz w:val="20"/>
                <w:szCs w:val="20"/>
                <w:lang w:eastAsia="ja-JP"/>
              </w:rPr>
              <w:t>4</w:t>
            </w:r>
          </w:p>
        </w:tc>
        <w:tc>
          <w:tcPr>
            <w:tcW w:w="1704" w:type="pct"/>
            <w:hideMark/>
          </w:tcPr>
          <w:p w14:paraId="324F08DD"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Do any other important life history stages occur south of 20</w:t>
            </w:r>
            <w:r w:rsidRPr="00060FA0">
              <w:rPr>
                <w:rFonts w:eastAsia="MS PMincho"/>
                <w:sz w:val="20"/>
                <w:szCs w:val="20"/>
                <w:vertAlign w:val="superscript"/>
                <w:lang w:eastAsia="ja-JP"/>
              </w:rPr>
              <w:t xml:space="preserve"> o</w:t>
            </w:r>
            <w:r w:rsidRPr="00060FA0">
              <w:rPr>
                <w:rFonts w:eastAsia="MS PMincho"/>
                <w:sz w:val="20"/>
                <w:szCs w:val="20"/>
                <w:lang w:eastAsia="ja-JP"/>
              </w:rPr>
              <w:t>N?</w:t>
            </w:r>
          </w:p>
        </w:tc>
        <w:tc>
          <w:tcPr>
            <w:tcW w:w="1136" w:type="pct"/>
            <w:hideMark/>
          </w:tcPr>
          <w:p w14:paraId="1D13C647"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Yes</w:t>
            </w:r>
          </w:p>
        </w:tc>
        <w:tc>
          <w:tcPr>
            <w:tcW w:w="1887" w:type="pct"/>
            <w:hideMark/>
          </w:tcPr>
          <w:p w14:paraId="1AAA49EB"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Pregnant females are commonly found south of 20</w:t>
            </w:r>
            <w:r w:rsidRPr="00060FA0">
              <w:rPr>
                <w:rFonts w:eastAsia="MS PMincho"/>
                <w:sz w:val="20"/>
                <w:szCs w:val="20"/>
                <w:vertAlign w:val="superscript"/>
                <w:lang w:eastAsia="ja-JP"/>
              </w:rPr>
              <w:t xml:space="preserve"> o</w:t>
            </w:r>
            <w:r w:rsidRPr="00060FA0">
              <w:rPr>
                <w:rFonts w:eastAsia="MS PMincho"/>
                <w:sz w:val="20"/>
                <w:szCs w:val="20"/>
                <w:lang w:eastAsia="ja-JP"/>
              </w:rPr>
              <w:t>N</w:t>
            </w:r>
          </w:p>
        </w:tc>
      </w:tr>
      <w:tr w:rsidR="003D217E" w:rsidRPr="00060FA0" w14:paraId="669B7C90" w14:textId="77777777" w:rsidTr="001740C5">
        <w:trPr>
          <w:trHeight w:val="660"/>
        </w:trPr>
        <w:tc>
          <w:tcPr>
            <w:tcW w:w="273" w:type="pct"/>
            <w:hideMark/>
          </w:tcPr>
          <w:p w14:paraId="37318646" w14:textId="77777777" w:rsidR="003D217E" w:rsidRPr="00060FA0" w:rsidRDefault="003D217E" w:rsidP="001740C5">
            <w:pPr>
              <w:adjustRightInd w:val="0"/>
              <w:snapToGrid w:val="0"/>
              <w:rPr>
                <w:rFonts w:eastAsia="MS PMincho"/>
                <w:b/>
                <w:bCs/>
                <w:sz w:val="20"/>
                <w:szCs w:val="20"/>
                <w:lang w:eastAsia="ja-JP"/>
              </w:rPr>
            </w:pPr>
            <w:r w:rsidRPr="00060FA0">
              <w:rPr>
                <w:rFonts w:eastAsia="MS PMincho"/>
                <w:b/>
                <w:bCs/>
                <w:sz w:val="20"/>
                <w:szCs w:val="20"/>
                <w:lang w:eastAsia="ja-JP"/>
              </w:rPr>
              <w:t>5</w:t>
            </w:r>
          </w:p>
        </w:tc>
        <w:tc>
          <w:tcPr>
            <w:tcW w:w="1704" w:type="pct"/>
            <w:hideMark/>
          </w:tcPr>
          <w:p w14:paraId="01F8EA86"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What proportion of the total annual estimated catch occurs north of 20</w:t>
            </w:r>
            <w:r w:rsidRPr="00060FA0">
              <w:rPr>
                <w:rFonts w:eastAsia="MS PMincho"/>
                <w:sz w:val="20"/>
                <w:szCs w:val="20"/>
                <w:vertAlign w:val="superscript"/>
                <w:lang w:eastAsia="ja-JP"/>
              </w:rPr>
              <w:t xml:space="preserve"> o</w:t>
            </w:r>
            <w:r w:rsidRPr="00060FA0">
              <w:rPr>
                <w:rFonts w:eastAsia="MS PMincho"/>
                <w:sz w:val="20"/>
                <w:szCs w:val="20"/>
                <w:lang w:eastAsia="ja-JP"/>
              </w:rPr>
              <w:t>N?</w:t>
            </w:r>
          </w:p>
        </w:tc>
        <w:tc>
          <w:tcPr>
            <w:tcW w:w="1136" w:type="pct"/>
            <w:hideMark/>
          </w:tcPr>
          <w:p w14:paraId="4549C7E8"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0.88 on average</w:t>
            </w:r>
          </w:p>
        </w:tc>
        <w:tc>
          <w:tcPr>
            <w:tcW w:w="1887" w:type="pct"/>
            <w:hideMark/>
          </w:tcPr>
          <w:p w14:paraId="3A86F616"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Based on raised, aggregated (5x5 degree) longline data 2014-2017 submitted to WCPFC (Operational data would provide better resolution than aggregated data)</w:t>
            </w:r>
          </w:p>
        </w:tc>
      </w:tr>
      <w:tr w:rsidR="003D217E" w:rsidRPr="00060FA0" w14:paraId="113292F5" w14:textId="77777777" w:rsidTr="001740C5">
        <w:trPr>
          <w:trHeight w:val="1185"/>
        </w:trPr>
        <w:tc>
          <w:tcPr>
            <w:tcW w:w="273" w:type="pct"/>
            <w:vMerge w:val="restart"/>
            <w:hideMark/>
          </w:tcPr>
          <w:p w14:paraId="76068098" w14:textId="77777777" w:rsidR="003D217E" w:rsidRPr="00060FA0" w:rsidRDefault="003D217E" w:rsidP="001740C5">
            <w:pPr>
              <w:adjustRightInd w:val="0"/>
              <w:snapToGrid w:val="0"/>
              <w:rPr>
                <w:rFonts w:eastAsia="MS PMincho"/>
                <w:b/>
                <w:bCs/>
                <w:sz w:val="20"/>
                <w:szCs w:val="20"/>
                <w:lang w:eastAsia="ja-JP"/>
              </w:rPr>
            </w:pPr>
            <w:r w:rsidRPr="00060FA0">
              <w:rPr>
                <w:rFonts w:eastAsia="MS PMincho"/>
                <w:b/>
                <w:bCs/>
                <w:sz w:val="20"/>
                <w:szCs w:val="20"/>
                <w:lang w:eastAsia="ja-JP"/>
              </w:rPr>
              <w:t>6</w:t>
            </w:r>
          </w:p>
        </w:tc>
        <w:tc>
          <w:tcPr>
            <w:tcW w:w="1704" w:type="pct"/>
            <w:vMerge w:val="restart"/>
            <w:hideMark/>
          </w:tcPr>
          <w:p w14:paraId="728030B7"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Is fishery catch-per-unit-effort demonstrably higher north of 20</w:t>
            </w:r>
            <w:r w:rsidRPr="00060FA0">
              <w:rPr>
                <w:rFonts w:eastAsia="MS PMincho"/>
                <w:sz w:val="20"/>
                <w:szCs w:val="20"/>
                <w:vertAlign w:val="superscript"/>
                <w:lang w:eastAsia="ja-JP"/>
              </w:rPr>
              <w:t xml:space="preserve"> o</w:t>
            </w:r>
            <w:r w:rsidRPr="00060FA0">
              <w:rPr>
                <w:rFonts w:eastAsia="MS PMincho"/>
                <w:sz w:val="20"/>
                <w:szCs w:val="20"/>
                <w:lang w:eastAsia="ja-JP"/>
              </w:rPr>
              <w:t>N for comparable fisheries?</w:t>
            </w:r>
          </w:p>
        </w:tc>
        <w:tc>
          <w:tcPr>
            <w:tcW w:w="1136" w:type="pct"/>
            <w:vMerge w:val="restart"/>
            <w:hideMark/>
          </w:tcPr>
          <w:p w14:paraId="3AD9D318"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(i) Similar CPUE observed north and south of 20</w:t>
            </w:r>
            <w:r w:rsidRPr="00060FA0">
              <w:rPr>
                <w:rFonts w:eastAsia="MS PMincho"/>
                <w:sz w:val="20"/>
                <w:szCs w:val="20"/>
                <w:vertAlign w:val="superscript"/>
                <w:lang w:eastAsia="ja-JP"/>
              </w:rPr>
              <w:t xml:space="preserve"> o</w:t>
            </w:r>
            <w:r w:rsidRPr="00060FA0">
              <w:rPr>
                <w:rFonts w:eastAsia="MS PMincho"/>
                <w:sz w:val="20"/>
                <w:szCs w:val="20"/>
                <w:lang w:eastAsia="ja-JP"/>
              </w:rPr>
              <w:t xml:space="preserve">N in Chinese Taipei LSTLL fishery and Hawaii deep-set LL fishery    </w:t>
            </w:r>
          </w:p>
          <w:p w14:paraId="518407E0"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(ii) CPUE higher north of 20</w:t>
            </w:r>
            <w:r w:rsidRPr="00060FA0">
              <w:rPr>
                <w:rFonts w:eastAsia="MS PMincho"/>
                <w:sz w:val="20"/>
                <w:szCs w:val="20"/>
                <w:vertAlign w:val="superscript"/>
                <w:lang w:eastAsia="ja-JP"/>
              </w:rPr>
              <w:t xml:space="preserve"> o</w:t>
            </w:r>
            <w:r w:rsidRPr="00060FA0">
              <w:rPr>
                <w:rFonts w:eastAsia="MS PMincho"/>
                <w:sz w:val="20"/>
                <w:szCs w:val="20"/>
                <w:lang w:eastAsia="ja-JP"/>
              </w:rPr>
              <w:t>N in Japan shallow set research survey</w:t>
            </w:r>
          </w:p>
        </w:tc>
        <w:tc>
          <w:tcPr>
            <w:tcW w:w="1887" w:type="pct"/>
            <w:vMerge w:val="restart"/>
            <w:hideMark/>
          </w:tcPr>
          <w:p w14:paraId="512EF324"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CPUE comparisons may be biased by different depth distribution of blue shark north and south of 20</w:t>
            </w:r>
            <w:r w:rsidRPr="00060FA0">
              <w:rPr>
                <w:rFonts w:eastAsia="MS PMincho"/>
                <w:sz w:val="20"/>
                <w:szCs w:val="20"/>
                <w:vertAlign w:val="superscript"/>
                <w:lang w:eastAsia="ja-JP"/>
              </w:rPr>
              <w:t xml:space="preserve"> o</w:t>
            </w:r>
            <w:r w:rsidRPr="00060FA0">
              <w:rPr>
                <w:rFonts w:eastAsia="MS PMincho"/>
                <w:sz w:val="20"/>
                <w:szCs w:val="20"/>
                <w:lang w:eastAsia="ja-JP"/>
              </w:rPr>
              <w:t>N.</w:t>
            </w:r>
          </w:p>
        </w:tc>
      </w:tr>
      <w:tr w:rsidR="003D217E" w:rsidRPr="00060FA0" w14:paraId="49B5FD49" w14:textId="77777777" w:rsidTr="001740C5">
        <w:trPr>
          <w:trHeight w:val="915"/>
        </w:trPr>
        <w:tc>
          <w:tcPr>
            <w:tcW w:w="273" w:type="pct"/>
            <w:vMerge/>
            <w:hideMark/>
          </w:tcPr>
          <w:p w14:paraId="5C3C838A" w14:textId="77777777" w:rsidR="003D217E" w:rsidRPr="00060FA0" w:rsidRDefault="003D217E" w:rsidP="001740C5">
            <w:pPr>
              <w:adjustRightInd w:val="0"/>
              <w:snapToGrid w:val="0"/>
              <w:rPr>
                <w:rFonts w:eastAsia="MS PMincho"/>
                <w:b/>
                <w:bCs/>
                <w:sz w:val="20"/>
                <w:szCs w:val="20"/>
                <w:lang w:eastAsia="ja-JP"/>
              </w:rPr>
            </w:pPr>
          </w:p>
        </w:tc>
        <w:tc>
          <w:tcPr>
            <w:tcW w:w="1704" w:type="pct"/>
            <w:vMerge/>
            <w:hideMark/>
          </w:tcPr>
          <w:p w14:paraId="188F2A5D" w14:textId="77777777" w:rsidR="003D217E" w:rsidRPr="00060FA0" w:rsidRDefault="003D217E" w:rsidP="001740C5">
            <w:pPr>
              <w:adjustRightInd w:val="0"/>
              <w:snapToGrid w:val="0"/>
              <w:rPr>
                <w:rFonts w:eastAsia="MS PMincho"/>
                <w:sz w:val="20"/>
                <w:szCs w:val="20"/>
                <w:lang w:eastAsia="ja-JP"/>
              </w:rPr>
            </w:pPr>
          </w:p>
        </w:tc>
        <w:tc>
          <w:tcPr>
            <w:tcW w:w="1136" w:type="pct"/>
            <w:vMerge/>
            <w:hideMark/>
          </w:tcPr>
          <w:p w14:paraId="4758F479" w14:textId="77777777" w:rsidR="003D217E" w:rsidRPr="00060FA0" w:rsidRDefault="003D217E" w:rsidP="001740C5">
            <w:pPr>
              <w:adjustRightInd w:val="0"/>
              <w:snapToGrid w:val="0"/>
              <w:rPr>
                <w:rFonts w:eastAsia="MS PMincho"/>
                <w:sz w:val="20"/>
                <w:szCs w:val="20"/>
                <w:lang w:eastAsia="ja-JP"/>
              </w:rPr>
            </w:pPr>
          </w:p>
        </w:tc>
        <w:tc>
          <w:tcPr>
            <w:tcW w:w="1887" w:type="pct"/>
            <w:vMerge/>
            <w:hideMark/>
          </w:tcPr>
          <w:p w14:paraId="3AA792C2" w14:textId="77777777" w:rsidR="003D217E" w:rsidRPr="00060FA0" w:rsidRDefault="003D217E" w:rsidP="001740C5">
            <w:pPr>
              <w:adjustRightInd w:val="0"/>
              <w:snapToGrid w:val="0"/>
              <w:rPr>
                <w:rFonts w:eastAsia="MS PMincho"/>
                <w:sz w:val="20"/>
                <w:szCs w:val="20"/>
                <w:lang w:eastAsia="ja-JP"/>
              </w:rPr>
            </w:pPr>
          </w:p>
        </w:tc>
      </w:tr>
      <w:tr w:rsidR="003D217E" w:rsidRPr="00060FA0" w14:paraId="04EBA83E" w14:textId="77777777" w:rsidTr="001740C5">
        <w:trPr>
          <w:trHeight w:val="915"/>
        </w:trPr>
        <w:tc>
          <w:tcPr>
            <w:tcW w:w="273" w:type="pct"/>
          </w:tcPr>
          <w:p w14:paraId="65C2A711" w14:textId="77777777" w:rsidR="003D217E" w:rsidRPr="00060FA0" w:rsidRDefault="003D217E" w:rsidP="001740C5">
            <w:pPr>
              <w:adjustRightInd w:val="0"/>
              <w:snapToGrid w:val="0"/>
              <w:rPr>
                <w:rFonts w:eastAsia="MS PMincho"/>
                <w:b/>
                <w:bCs/>
                <w:sz w:val="20"/>
                <w:szCs w:val="20"/>
                <w:lang w:eastAsia="ja-JP"/>
              </w:rPr>
            </w:pPr>
            <w:r w:rsidRPr="00060FA0">
              <w:rPr>
                <w:rFonts w:eastAsia="MS PMincho"/>
                <w:b/>
                <w:bCs/>
                <w:sz w:val="20"/>
                <w:szCs w:val="20"/>
                <w:lang w:eastAsia="ja-JP"/>
              </w:rPr>
              <w:t>7</w:t>
            </w:r>
          </w:p>
        </w:tc>
        <w:tc>
          <w:tcPr>
            <w:tcW w:w="1704" w:type="pct"/>
          </w:tcPr>
          <w:p w14:paraId="7790374D"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Is there sufficient information about fish movement between the areas north and south of 20</w:t>
            </w:r>
            <w:r w:rsidRPr="00060FA0">
              <w:rPr>
                <w:rFonts w:eastAsia="MS PMincho"/>
                <w:sz w:val="20"/>
                <w:szCs w:val="20"/>
                <w:vertAlign w:val="superscript"/>
                <w:lang w:eastAsia="ja-JP"/>
              </w:rPr>
              <w:t xml:space="preserve"> o</w:t>
            </w:r>
            <w:r w:rsidRPr="00060FA0">
              <w:rPr>
                <w:rFonts w:eastAsia="MS PMincho"/>
                <w:sz w:val="20"/>
                <w:szCs w:val="20"/>
                <w:lang w:eastAsia="ja-JP"/>
              </w:rPr>
              <w:t>N?</w:t>
            </w:r>
          </w:p>
        </w:tc>
        <w:tc>
          <w:tcPr>
            <w:tcW w:w="1136" w:type="pct"/>
          </w:tcPr>
          <w:p w14:paraId="72A67609"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Yes</w:t>
            </w:r>
          </w:p>
        </w:tc>
        <w:tc>
          <w:tcPr>
            <w:tcW w:w="1887" w:type="pct"/>
          </w:tcPr>
          <w:p w14:paraId="770B3B37" w14:textId="77777777" w:rsidR="003D217E" w:rsidRPr="00060FA0" w:rsidRDefault="003D217E" w:rsidP="001740C5">
            <w:pPr>
              <w:adjustRightInd w:val="0"/>
              <w:snapToGrid w:val="0"/>
              <w:rPr>
                <w:rFonts w:eastAsia="MS PMincho"/>
                <w:sz w:val="20"/>
                <w:szCs w:val="20"/>
                <w:lang w:eastAsia="ja-JP"/>
              </w:rPr>
            </w:pPr>
            <w:r w:rsidRPr="00060FA0">
              <w:rPr>
                <w:rFonts w:eastAsia="MS PMincho"/>
                <w:sz w:val="20"/>
                <w:szCs w:val="20"/>
                <w:lang w:eastAsia="ja-JP"/>
              </w:rPr>
              <w:t>Conventional tagging data shows that the maximum range of movements suggests at least northern and southern sub-populations of blue shark, as demarked by the equator.</w:t>
            </w:r>
          </w:p>
        </w:tc>
      </w:tr>
    </w:tbl>
    <w:p w14:paraId="5FA1FE5B" w14:textId="77777777" w:rsidR="003D217E" w:rsidRPr="004635E5" w:rsidRDefault="003D217E" w:rsidP="003D217E">
      <w:pPr>
        <w:pStyle w:val="ListParagraph"/>
        <w:adjustRightInd w:val="0"/>
        <w:snapToGrid w:val="0"/>
        <w:ind w:left="0"/>
        <w:jc w:val="both"/>
        <w:rPr>
          <w:rFonts w:eastAsia="Batang"/>
          <w:sz w:val="22"/>
          <w:szCs w:val="22"/>
          <w:lang w:val="en-NZ" w:eastAsia="ko-KR"/>
        </w:rPr>
      </w:pPr>
    </w:p>
    <w:p w14:paraId="64A7CCDC" w14:textId="77777777" w:rsidR="003D217E" w:rsidRPr="00EE3592" w:rsidRDefault="003D217E" w:rsidP="003D217E">
      <w:pPr>
        <w:pStyle w:val="SC3"/>
        <w:spacing w:after="0"/>
        <w:rPr>
          <w:rFonts w:eastAsia="Batang"/>
          <w:sz w:val="24"/>
          <w:szCs w:val="24"/>
          <w:lang w:eastAsia="ko-KR"/>
        </w:rPr>
      </w:pPr>
      <w:r w:rsidRPr="00EE3592">
        <w:rPr>
          <w:rFonts w:eastAsia="Batang"/>
          <w:sz w:val="24"/>
          <w:szCs w:val="24"/>
          <w:lang w:eastAsia="ko-KR"/>
        </w:rPr>
        <w:t>North Pacific shortfin mako shark</w:t>
      </w:r>
      <w:r w:rsidRPr="00EE3592">
        <w:rPr>
          <w:rFonts w:eastAsiaTheme="minorEastAsia"/>
          <w:sz w:val="24"/>
          <w:szCs w:val="24"/>
          <w:lang w:eastAsia="ko-KR"/>
        </w:rPr>
        <w:t xml:space="preserve"> </w:t>
      </w:r>
      <w:r w:rsidRPr="00EE3592">
        <w:rPr>
          <w:rFonts w:eastAsia="MS Mincho"/>
          <w:sz w:val="24"/>
          <w:szCs w:val="24"/>
          <w:lang w:eastAsia="ja-JP"/>
        </w:rPr>
        <w:t>(</w:t>
      </w:r>
      <w:r w:rsidRPr="00EE3592">
        <w:rPr>
          <w:rFonts w:eastAsia="MS Mincho"/>
          <w:i/>
          <w:sz w:val="24"/>
          <w:szCs w:val="24"/>
          <w:lang w:eastAsia="ja-JP"/>
        </w:rPr>
        <w:t>Isurus oxyrinchus</w:t>
      </w:r>
      <w:r w:rsidRPr="00EE3592">
        <w:rPr>
          <w:rFonts w:eastAsia="MS Mincho"/>
          <w:sz w:val="24"/>
          <w:szCs w:val="24"/>
          <w:lang w:eastAsia="ja-JP"/>
        </w:rPr>
        <w:t>)</w:t>
      </w:r>
    </w:p>
    <w:p w14:paraId="146B1207" w14:textId="77777777" w:rsidR="003D217E" w:rsidRPr="004635E5" w:rsidRDefault="003D217E" w:rsidP="003D217E">
      <w:pPr>
        <w:pStyle w:val="SC3"/>
        <w:numPr>
          <w:ilvl w:val="0"/>
          <w:numId w:val="0"/>
        </w:numPr>
        <w:spacing w:after="0"/>
        <w:ind w:left="1440"/>
        <w:rPr>
          <w:rFonts w:eastAsia="Batang"/>
          <w:lang w:eastAsia="ko-KR"/>
        </w:rPr>
      </w:pPr>
    </w:p>
    <w:p w14:paraId="6A9F64EA" w14:textId="77777777" w:rsidR="003D217E" w:rsidRPr="004635E5" w:rsidRDefault="003D217E" w:rsidP="002F64C2">
      <w:pPr>
        <w:pStyle w:val="SCa"/>
        <w:tabs>
          <w:tab w:val="clear" w:pos="1080"/>
        </w:tabs>
        <w:spacing w:after="0"/>
        <w:ind w:left="0"/>
      </w:pPr>
      <w:r w:rsidRPr="004635E5">
        <w:t>a.</w:t>
      </w:r>
      <w:r w:rsidRPr="004635E5">
        <w:tab/>
        <w:t xml:space="preserve"> Stock status and trends</w:t>
      </w:r>
    </w:p>
    <w:p w14:paraId="7FEF650F" w14:textId="77777777" w:rsidR="003D217E" w:rsidRPr="004635E5" w:rsidRDefault="003D217E" w:rsidP="003D217E">
      <w:pPr>
        <w:pStyle w:val="SCa"/>
        <w:spacing w:after="0"/>
      </w:pPr>
    </w:p>
    <w:p w14:paraId="1E04DA8D" w14:textId="77777777" w:rsidR="003D217E" w:rsidRPr="003543FC" w:rsidRDefault="003D217E" w:rsidP="00580EA4">
      <w:pPr>
        <w:numPr>
          <w:ilvl w:val="0"/>
          <w:numId w:val="18"/>
        </w:numPr>
        <w:autoSpaceDE w:val="0"/>
        <w:autoSpaceDN w:val="0"/>
        <w:adjustRightInd w:val="0"/>
        <w:snapToGrid w:val="0"/>
        <w:ind w:left="0" w:firstLine="0"/>
        <w:jc w:val="both"/>
        <w:rPr>
          <w:rFonts w:eastAsia="Calibri"/>
          <w:bCs/>
          <w:sz w:val="22"/>
          <w:szCs w:val="22"/>
        </w:rPr>
      </w:pPr>
      <w:r w:rsidRPr="003543FC">
        <w:rPr>
          <w:rFonts w:eastAsia="Calibri"/>
          <w:bCs/>
          <w:sz w:val="22"/>
          <w:szCs w:val="22"/>
        </w:rPr>
        <w:t>SC14 noted that ISC provided the following conclusions on the stock status of North Pacific Shortfin Mako Shark in the Pacific Ocean in 2017, as presented in SC14-SA-WP-11 (Stock Assessment of Shortfin Mako Shark in the North Pacific Ocean Through 2016).</w:t>
      </w:r>
    </w:p>
    <w:p w14:paraId="3B410E7E" w14:textId="77777777" w:rsidR="003D217E" w:rsidRPr="003543FC" w:rsidRDefault="003D217E" w:rsidP="003D217E">
      <w:pPr>
        <w:autoSpaceDE w:val="0"/>
        <w:autoSpaceDN w:val="0"/>
        <w:adjustRightInd w:val="0"/>
        <w:snapToGrid w:val="0"/>
        <w:jc w:val="both"/>
        <w:rPr>
          <w:rFonts w:eastAsia="Calibri"/>
          <w:bCs/>
          <w:sz w:val="22"/>
          <w:szCs w:val="22"/>
        </w:rPr>
      </w:pPr>
    </w:p>
    <w:p w14:paraId="49D5C540" w14:textId="77777777" w:rsidR="003D217E" w:rsidRPr="003543FC" w:rsidRDefault="003D217E" w:rsidP="003D217E">
      <w:pPr>
        <w:autoSpaceDE w:val="0"/>
        <w:autoSpaceDN w:val="0"/>
        <w:adjustRightInd w:val="0"/>
        <w:snapToGrid w:val="0"/>
        <w:ind w:left="720"/>
        <w:jc w:val="both"/>
        <w:rPr>
          <w:rFonts w:eastAsia="Calibri"/>
          <w:bCs/>
          <w:sz w:val="22"/>
          <w:szCs w:val="22"/>
        </w:rPr>
      </w:pPr>
      <w:r w:rsidRPr="003543FC">
        <w:rPr>
          <w:rFonts w:eastAsia="Calibri"/>
          <w:bCs/>
          <w:sz w:val="22"/>
          <w:szCs w:val="22"/>
        </w:rPr>
        <w:t>Based on these findings, the following information on the status of the SFM stock is provided:</w:t>
      </w:r>
    </w:p>
    <w:p w14:paraId="28FCFB0C" w14:textId="77777777" w:rsidR="003D217E" w:rsidRPr="003543FC" w:rsidRDefault="003D217E" w:rsidP="00580EA4">
      <w:pPr>
        <w:numPr>
          <w:ilvl w:val="0"/>
          <w:numId w:val="43"/>
        </w:numPr>
        <w:adjustRightInd w:val="0"/>
        <w:snapToGrid w:val="0"/>
        <w:ind w:left="1440"/>
        <w:jc w:val="both"/>
        <w:rPr>
          <w:rFonts w:eastAsia="Calibri"/>
          <w:bCs/>
          <w:sz w:val="22"/>
          <w:szCs w:val="22"/>
        </w:rPr>
      </w:pPr>
      <w:r w:rsidRPr="003543FC">
        <w:rPr>
          <w:rFonts w:eastAsia="Calibri"/>
          <w:bCs/>
          <w:sz w:val="22"/>
          <w:szCs w:val="22"/>
        </w:rPr>
        <w:t>Target and limit reference points have not been established for pelagic sharks in the Pacific Ocean. Stock status is reported in relation to MSY.</w:t>
      </w:r>
    </w:p>
    <w:p w14:paraId="0C37CA30" w14:textId="77777777" w:rsidR="003D217E" w:rsidRPr="003543FC" w:rsidRDefault="003D217E" w:rsidP="00580EA4">
      <w:pPr>
        <w:numPr>
          <w:ilvl w:val="0"/>
          <w:numId w:val="43"/>
        </w:numPr>
        <w:adjustRightInd w:val="0"/>
        <w:snapToGrid w:val="0"/>
        <w:ind w:left="1440"/>
        <w:jc w:val="both"/>
        <w:rPr>
          <w:rFonts w:eastAsia="Calibri"/>
          <w:bCs/>
          <w:sz w:val="22"/>
          <w:szCs w:val="22"/>
        </w:rPr>
      </w:pPr>
      <w:r w:rsidRPr="003543FC">
        <w:rPr>
          <w:rFonts w:eastAsia="Calibri"/>
          <w:bCs/>
          <w:sz w:val="22"/>
          <w:szCs w:val="22"/>
        </w:rPr>
        <w:t>The results from the base case model show that, relative to MSY, the North Pacific shortfin mako stock is likely (&gt;50%) not in an overfished condition and</w:t>
      </w:r>
      <w:r w:rsidRPr="003543FC">
        <w:rPr>
          <w:rFonts w:eastAsia="Calibri"/>
          <w:bCs/>
          <w:spacing w:val="-20"/>
          <w:sz w:val="22"/>
          <w:szCs w:val="22"/>
        </w:rPr>
        <w:t xml:space="preserve"> </w:t>
      </w:r>
      <w:r w:rsidRPr="003543FC">
        <w:rPr>
          <w:rFonts w:eastAsia="Calibri"/>
          <w:bCs/>
          <w:sz w:val="22"/>
          <w:szCs w:val="22"/>
        </w:rPr>
        <w:t>overfishing is likely (&gt;50%) not occurring relative to MSY-based abundance and fishing intensity reference points (Table SFM-4; Figure SFM-9A).</w:t>
      </w:r>
    </w:p>
    <w:p w14:paraId="53544A36" w14:textId="77777777" w:rsidR="003D217E" w:rsidRPr="003543FC" w:rsidRDefault="003D217E" w:rsidP="003D217E">
      <w:pPr>
        <w:adjustRightInd w:val="0"/>
        <w:snapToGrid w:val="0"/>
        <w:ind w:left="1440"/>
        <w:jc w:val="both"/>
        <w:rPr>
          <w:rFonts w:eastAsia="Calibri"/>
          <w:bCs/>
          <w:sz w:val="22"/>
          <w:szCs w:val="22"/>
        </w:rPr>
      </w:pPr>
    </w:p>
    <w:p w14:paraId="63AFCAFD" w14:textId="77777777" w:rsidR="003D217E" w:rsidRPr="003543FC" w:rsidRDefault="003D217E" w:rsidP="003D217E">
      <w:pPr>
        <w:autoSpaceDE w:val="0"/>
        <w:autoSpaceDN w:val="0"/>
        <w:adjustRightInd w:val="0"/>
        <w:snapToGrid w:val="0"/>
        <w:ind w:left="720"/>
        <w:jc w:val="both"/>
        <w:rPr>
          <w:rFonts w:eastAsia="Calibri"/>
          <w:bCs/>
          <w:sz w:val="22"/>
          <w:szCs w:val="22"/>
        </w:rPr>
      </w:pPr>
      <w:r w:rsidRPr="003543FC">
        <w:rPr>
          <w:rFonts w:eastAsia="Calibri"/>
          <w:bCs/>
          <w:sz w:val="22"/>
          <w:szCs w:val="22"/>
        </w:rPr>
        <w:t>Stock status was also examined under six alternative states of nature that represented the most important sources of uncertainty in the assessment. Results of these models with alternative states of nature were consistent with the base case model and showed that, relative to MSY, the North Pacific shortfin mako shark stock is likely (&gt;50%) not in an overfished condition and overfishing is likely (&gt;50%) not occurring (Figure SFM-9B).</w:t>
      </w:r>
    </w:p>
    <w:p w14:paraId="6A0B2FCA" w14:textId="77777777" w:rsidR="003D217E" w:rsidRPr="004635E5" w:rsidRDefault="003D217E" w:rsidP="003D217E">
      <w:pPr>
        <w:autoSpaceDE w:val="0"/>
        <w:autoSpaceDN w:val="0"/>
        <w:adjustRightInd w:val="0"/>
        <w:snapToGrid w:val="0"/>
        <w:jc w:val="both"/>
        <w:rPr>
          <w:rFonts w:eastAsia="Calibri"/>
          <w:b/>
          <w:sz w:val="22"/>
          <w:szCs w:val="22"/>
        </w:rPr>
      </w:pPr>
    </w:p>
    <w:p w14:paraId="4A353718" w14:textId="77777777" w:rsidR="003D217E" w:rsidRPr="004635E5" w:rsidRDefault="003D217E" w:rsidP="002F64C2">
      <w:pPr>
        <w:pStyle w:val="SCa"/>
        <w:tabs>
          <w:tab w:val="clear" w:pos="1080"/>
        </w:tabs>
        <w:spacing w:after="0"/>
        <w:ind w:left="0"/>
      </w:pPr>
      <w:r w:rsidRPr="004635E5">
        <w:t>b.</w:t>
      </w:r>
      <w:r w:rsidRPr="004635E5">
        <w:tab/>
        <w:t>Management Advice and implications</w:t>
      </w:r>
    </w:p>
    <w:p w14:paraId="768F5DF8" w14:textId="77777777" w:rsidR="003D217E" w:rsidRPr="004635E5" w:rsidRDefault="003D217E" w:rsidP="003D217E">
      <w:pPr>
        <w:pStyle w:val="SCa"/>
        <w:spacing w:after="0"/>
      </w:pPr>
    </w:p>
    <w:p w14:paraId="7514F385" w14:textId="77777777" w:rsidR="003D217E" w:rsidRPr="003543FC" w:rsidRDefault="003D217E" w:rsidP="00580EA4">
      <w:pPr>
        <w:numPr>
          <w:ilvl w:val="0"/>
          <w:numId w:val="18"/>
        </w:numPr>
        <w:autoSpaceDE w:val="0"/>
        <w:autoSpaceDN w:val="0"/>
        <w:adjustRightInd w:val="0"/>
        <w:snapToGrid w:val="0"/>
        <w:ind w:left="0" w:firstLine="0"/>
        <w:jc w:val="both"/>
        <w:rPr>
          <w:rFonts w:eastAsia="Calibri"/>
          <w:bCs/>
          <w:sz w:val="22"/>
          <w:szCs w:val="22"/>
        </w:rPr>
      </w:pPr>
      <w:r w:rsidRPr="003543FC">
        <w:rPr>
          <w:rFonts w:eastAsia="Calibri"/>
          <w:bCs/>
          <w:sz w:val="22"/>
          <w:szCs w:val="22"/>
        </w:rPr>
        <w:t>SC14 noted the following conservation advice from ISC:</w:t>
      </w:r>
    </w:p>
    <w:p w14:paraId="3FCF1C0B" w14:textId="77777777" w:rsidR="003D217E" w:rsidRPr="003543FC" w:rsidRDefault="003D217E" w:rsidP="003D217E">
      <w:pPr>
        <w:autoSpaceDE w:val="0"/>
        <w:autoSpaceDN w:val="0"/>
        <w:adjustRightInd w:val="0"/>
        <w:snapToGrid w:val="0"/>
        <w:jc w:val="both"/>
        <w:rPr>
          <w:rFonts w:eastAsia="Calibri"/>
          <w:bCs/>
          <w:sz w:val="22"/>
          <w:szCs w:val="22"/>
        </w:rPr>
      </w:pPr>
    </w:p>
    <w:p w14:paraId="0773AD0A" w14:textId="77777777" w:rsidR="003D217E" w:rsidRPr="003543FC" w:rsidRDefault="003D217E" w:rsidP="003D217E">
      <w:pPr>
        <w:autoSpaceDE w:val="0"/>
        <w:autoSpaceDN w:val="0"/>
        <w:adjustRightInd w:val="0"/>
        <w:snapToGrid w:val="0"/>
        <w:ind w:left="720"/>
        <w:jc w:val="both"/>
        <w:rPr>
          <w:rFonts w:eastAsia="Calibri"/>
          <w:bCs/>
          <w:sz w:val="22"/>
          <w:szCs w:val="22"/>
        </w:rPr>
      </w:pPr>
      <w:r w:rsidRPr="003543FC">
        <w:rPr>
          <w:rFonts w:eastAsia="Calibri"/>
          <w:bCs/>
          <w:sz w:val="22"/>
          <w:szCs w:val="22"/>
        </w:rPr>
        <w:t>Stock projections of biomass and catch of North Pacific shortfin mako from 2017 to 2026 were performed assuming three alternative constant fishing mortality scenarios: 1) status quo, average of 2013-2015 (F</w:t>
      </w:r>
      <w:r w:rsidRPr="003543FC">
        <w:rPr>
          <w:rFonts w:eastAsia="Calibri"/>
          <w:bCs/>
          <w:sz w:val="22"/>
          <w:szCs w:val="22"/>
          <w:vertAlign w:val="subscript"/>
        </w:rPr>
        <w:t>2013</w:t>
      </w:r>
      <w:r w:rsidRPr="003543FC">
        <w:rPr>
          <w:rFonts w:eastAsia="Calibri"/>
          <w:bCs/>
          <w:sz w:val="22"/>
          <w:szCs w:val="22"/>
        </w:rPr>
        <w:t>-</w:t>
      </w:r>
      <w:r w:rsidRPr="003543FC">
        <w:rPr>
          <w:rFonts w:eastAsia="Calibri"/>
          <w:bCs/>
          <w:sz w:val="22"/>
          <w:szCs w:val="22"/>
          <w:vertAlign w:val="subscript"/>
        </w:rPr>
        <w:t>2015</w:t>
      </w:r>
      <w:r w:rsidRPr="003543FC">
        <w:rPr>
          <w:rFonts w:eastAsia="Calibri"/>
          <w:bCs/>
          <w:sz w:val="22"/>
          <w:szCs w:val="22"/>
        </w:rPr>
        <w:t>); 2) F</w:t>
      </w:r>
      <w:r w:rsidRPr="003543FC">
        <w:rPr>
          <w:rFonts w:eastAsia="Calibri"/>
          <w:bCs/>
          <w:sz w:val="22"/>
          <w:szCs w:val="22"/>
          <w:vertAlign w:val="subscript"/>
        </w:rPr>
        <w:t xml:space="preserve">2013-2015 </w:t>
      </w:r>
      <w:r w:rsidRPr="003543FC">
        <w:rPr>
          <w:rFonts w:eastAsia="Calibri"/>
          <w:bCs/>
          <w:sz w:val="22"/>
          <w:szCs w:val="22"/>
        </w:rPr>
        <w:t>+ 20%; and 3) F</w:t>
      </w:r>
      <w:r w:rsidRPr="003543FC">
        <w:rPr>
          <w:rFonts w:eastAsia="Calibri"/>
          <w:bCs/>
          <w:sz w:val="22"/>
          <w:szCs w:val="22"/>
          <w:vertAlign w:val="subscript"/>
        </w:rPr>
        <w:t xml:space="preserve">2013-2015 </w:t>
      </w:r>
      <w:r w:rsidRPr="003543FC">
        <w:rPr>
          <w:rFonts w:eastAsia="Calibri"/>
          <w:bCs/>
          <w:sz w:val="22"/>
          <w:szCs w:val="22"/>
        </w:rPr>
        <w:t>- 20% (Figure SFM-10).</w:t>
      </w:r>
    </w:p>
    <w:p w14:paraId="7BC20057" w14:textId="77777777" w:rsidR="003D217E" w:rsidRPr="003543FC" w:rsidRDefault="003D217E" w:rsidP="003D217E">
      <w:pPr>
        <w:autoSpaceDE w:val="0"/>
        <w:autoSpaceDN w:val="0"/>
        <w:adjustRightInd w:val="0"/>
        <w:snapToGrid w:val="0"/>
        <w:ind w:left="720"/>
        <w:jc w:val="both"/>
        <w:rPr>
          <w:rFonts w:eastAsia="Calibri"/>
          <w:bCs/>
          <w:sz w:val="22"/>
          <w:szCs w:val="22"/>
        </w:rPr>
      </w:pPr>
    </w:p>
    <w:p w14:paraId="5C941425" w14:textId="77777777" w:rsidR="003D217E" w:rsidRPr="003543FC" w:rsidRDefault="003D217E" w:rsidP="003D217E">
      <w:pPr>
        <w:tabs>
          <w:tab w:val="left" w:pos="821"/>
        </w:tabs>
        <w:adjustRightInd w:val="0"/>
        <w:snapToGrid w:val="0"/>
        <w:ind w:left="720" w:right="337"/>
        <w:jc w:val="both"/>
        <w:rPr>
          <w:rFonts w:eastAsia="Calibri"/>
          <w:bCs/>
          <w:sz w:val="22"/>
          <w:szCs w:val="22"/>
        </w:rPr>
      </w:pPr>
      <w:r w:rsidRPr="003543FC">
        <w:rPr>
          <w:rFonts w:eastAsia="Calibri"/>
          <w:bCs/>
          <w:sz w:val="22"/>
          <w:szCs w:val="22"/>
        </w:rPr>
        <w:t>Based on these future projections, the following conservation information is provided:</w:t>
      </w:r>
    </w:p>
    <w:p w14:paraId="37D5CA1A" w14:textId="77777777" w:rsidR="003D217E" w:rsidRPr="003543FC" w:rsidRDefault="003D217E" w:rsidP="00580EA4">
      <w:pPr>
        <w:numPr>
          <w:ilvl w:val="0"/>
          <w:numId w:val="44"/>
        </w:numPr>
        <w:tabs>
          <w:tab w:val="left" w:pos="821"/>
        </w:tabs>
        <w:adjustRightInd w:val="0"/>
        <w:snapToGrid w:val="0"/>
        <w:ind w:left="1440" w:right="337"/>
        <w:jc w:val="both"/>
        <w:rPr>
          <w:rFonts w:eastAsia="Calibri"/>
          <w:bCs/>
          <w:sz w:val="22"/>
          <w:szCs w:val="22"/>
        </w:rPr>
      </w:pPr>
      <w:r w:rsidRPr="003543FC">
        <w:rPr>
          <w:rFonts w:eastAsia="Calibri"/>
          <w:bCs/>
          <w:sz w:val="22"/>
          <w:szCs w:val="22"/>
        </w:rPr>
        <w:t>If fishing mortality remains constant at F2013-15 or is decreased 20%, then the Stock Abundance is expected to increase gradually;</w:t>
      </w:r>
    </w:p>
    <w:p w14:paraId="1FB70830" w14:textId="77777777" w:rsidR="003D217E" w:rsidRPr="003543FC" w:rsidRDefault="003D217E" w:rsidP="00580EA4">
      <w:pPr>
        <w:numPr>
          <w:ilvl w:val="0"/>
          <w:numId w:val="44"/>
        </w:numPr>
        <w:tabs>
          <w:tab w:val="left" w:pos="821"/>
        </w:tabs>
        <w:adjustRightInd w:val="0"/>
        <w:snapToGrid w:val="0"/>
        <w:ind w:left="1440" w:right="337"/>
        <w:jc w:val="both"/>
        <w:rPr>
          <w:rFonts w:eastAsia="Calibri"/>
          <w:bCs/>
          <w:sz w:val="22"/>
          <w:szCs w:val="22"/>
        </w:rPr>
      </w:pPr>
      <w:r w:rsidRPr="003543FC">
        <w:rPr>
          <w:rFonts w:eastAsia="Calibri"/>
          <w:bCs/>
          <w:sz w:val="22"/>
          <w:szCs w:val="22"/>
        </w:rPr>
        <w:t>If fishing mortality is increased 20% relative to F2013-2015, then the Stock Abundance is expected to decrease in the final years of the projection.</w:t>
      </w:r>
    </w:p>
    <w:p w14:paraId="4BC1CA84" w14:textId="77777777" w:rsidR="003D217E" w:rsidRPr="003543FC" w:rsidRDefault="003D217E" w:rsidP="00580EA4">
      <w:pPr>
        <w:numPr>
          <w:ilvl w:val="0"/>
          <w:numId w:val="44"/>
        </w:numPr>
        <w:tabs>
          <w:tab w:val="left" w:pos="821"/>
        </w:tabs>
        <w:adjustRightInd w:val="0"/>
        <w:snapToGrid w:val="0"/>
        <w:ind w:left="1440" w:right="337"/>
        <w:jc w:val="both"/>
        <w:rPr>
          <w:rFonts w:eastAsia="Calibri"/>
          <w:bCs/>
          <w:sz w:val="22"/>
          <w:szCs w:val="22"/>
        </w:rPr>
      </w:pPr>
      <w:r w:rsidRPr="003543FC">
        <w:rPr>
          <w:rFonts w:eastAsia="Calibri"/>
          <w:bCs/>
          <w:sz w:val="22"/>
          <w:szCs w:val="22"/>
        </w:rPr>
        <w:t>It should be noted that, given the uncertainty in fishery data and key biological processes within the model, especially the stock recruitment relationship, the models’ ability to project into the future is highly uncertain.</w:t>
      </w:r>
    </w:p>
    <w:p w14:paraId="648302D1" w14:textId="77777777" w:rsidR="003D217E" w:rsidRPr="004635E5" w:rsidRDefault="003D217E" w:rsidP="003D217E">
      <w:pPr>
        <w:adjustRightInd w:val="0"/>
        <w:snapToGrid w:val="0"/>
        <w:ind w:right="337"/>
        <w:jc w:val="both"/>
        <w:rPr>
          <w:rFonts w:eastAsiaTheme="minorEastAsia"/>
          <w:b/>
          <w:sz w:val="22"/>
          <w:szCs w:val="22"/>
          <w:lang w:eastAsia="ko-KR"/>
        </w:rPr>
      </w:pPr>
    </w:p>
    <w:p w14:paraId="110FF61A" w14:textId="77777777" w:rsidR="003D217E" w:rsidRPr="004635E5" w:rsidRDefault="003D217E" w:rsidP="003D217E">
      <w:pPr>
        <w:pStyle w:val="SCa"/>
        <w:spacing w:after="0"/>
        <w:ind w:left="720"/>
      </w:pPr>
      <w:r w:rsidRPr="004635E5">
        <w:t>Research Needs</w:t>
      </w:r>
    </w:p>
    <w:p w14:paraId="2C6105AF" w14:textId="77777777" w:rsidR="003D217E" w:rsidRPr="004635E5" w:rsidRDefault="003D217E" w:rsidP="003D217E">
      <w:pPr>
        <w:pStyle w:val="SCa"/>
        <w:spacing w:after="0"/>
        <w:ind w:left="1800"/>
      </w:pPr>
    </w:p>
    <w:p w14:paraId="2123D3EE" w14:textId="77777777" w:rsidR="003D217E" w:rsidRPr="004635E5" w:rsidRDefault="003D217E" w:rsidP="003D217E">
      <w:pPr>
        <w:autoSpaceDE w:val="0"/>
        <w:autoSpaceDN w:val="0"/>
        <w:adjustRightInd w:val="0"/>
        <w:snapToGrid w:val="0"/>
        <w:ind w:left="720"/>
        <w:jc w:val="both"/>
        <w:rPr>
          <w:rFonts w:eastAsia="Calibri"/>
          <w:sz w:val="22"/>
          <w:szCs w:val="22"/>
        </w:rPr>
      </w:pPr>
      <w:r w:rsidRPr="004635E5">
        <w:rPr>
          <w:rFonts w:eastAsia="Calibri"/>
          <w:sz w:val="22"/>
          <w:szCs w:val="22"/>
        </w:rPr>
        <w:t xml:space="preserve">There is uncertainty in the estimated historical catches of North Pacific shortfin mako shark. Substantial time and effort was spent on estimating historical catch and more work remains to be conducted. In particular, the SHARKWG identified two future improvements that are critical: 1) identify all fisheries that catch shortfin mako shark in the NPO, including fisheries that were not previously identified by the SHARKWG; and 2) methods to estimate shortfin mako shark catches should be improved, especially for the early period from 1975 to 1993. </w:t>
      </w:r>
    </w:p>
    <w:p w14:paraId="768624A1" w14:textId="77777777" w:rsidR="003D217E" w:rsidRPr="004635E5" w:rsidRDefault="003D217E" w:rsidP="003D217E">
      <w:pPr>
        <w:tabs>
          <w:tab w:val="left" w:pos="821"/>
        </w:tabs>
        <w:adjustRightInd w:val="0"/>
        <w:snapToGrid w:val="0"/>
        <w:ind w:left="720" w:right="337"/>
        <w:jc w:val="both"/>
        <w:rPr>
          <w:rFonts w:eastAsiaTheme="minorEastAsia"/>
          <w:b/>
          <w:sz w:val="22"/>
          <w:szCs w:val="22"/>
          <w:lang w:eastAsia="ko-KR"/>
        </w:rPr>
      </w:pPr>
    </w:p>
    <w:tbl>
      <w:tblPr>
        <w:tblW w:w="9411" w:type="dxa"/>
        <w:tblInd w:w="1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356"/>
        <w:gridCol w:w="2268"/>
        <w:gridCol w:w="1985"/>
        <w:gridCol w:w="1802"/>
      </w:tblGrid>
      <w:tr w:rsidR="003D217E" w:rsidRPr="00697896" w14:paraId="6C1C9522" w14:textId="77777777" w:rsidTr="001740C5">
        <w:trPr>
          <w:trHeight w:val="20"/>
        </w:trPr>
        <w:tc>
          <w:tcPr>
            <w:tcW w:w="9411" w:type="dxa"/>
            <w:gridSpan w:val="4"/>
            <w:tcBorders>
              <w:bottom w:val="single" w:sz="4" w:space="0" w:color="000000"/>
            </w:tcBorders>
          </w:tcPr>
          <w:p w14:paraId="13382628" w14:textId="77777777" w:rsidR="003D217E" w:rsidRPr="00697896" w:rsidRDefault="003D217E" w:rsidP="001740C5">
            <w:pPr>
              <w:widowControl w:val="0"/>
              <w:autoSpaceDE w:val="0"/>
              <w:autoSpaceDN w:val="0"/>
              <w:adjustRightInd w:val="0"/>
              <w:snapToGrid w:val="0"/>
              <w:ind w:left="122"/>
              <w:rPr>
                <w:b/>
                <w:sz w:val="22"/>
                <w:szCs w:val="22"/>
              </w:rPr>
            </w:pPr>
            <w:r w:rsidRPr="00697896">
              <w:rPr>
                <w:b/>
                <w:sz w:val="22"/>
                <w:szCs w:val="22"/>
              </w:rPr>
              <w:t xml:space="preserve">Table SFM-4. </w:t>
            </w:r>
            <w:r w:rsidRPr="00697896">
              <w:rPr>
                <w:sz w:val="22"/>
                <w:szCs w:val="22"/>
              </w:rPr>
              <w:t>Summary of reference points and management quantities for the shortfin mako shark (</w:t>
            </w:r>
            <w:r w:rsidRPr="00697896">
              <w:rPr>
                <w:i/>
                <w:sz w:val="22"/>
                <w:szCs w:val="22"/>
              </w:rPr>
              <w:t>Isurus oxyrinchus</w:t>
            </w:r>
            <w:r w:rsidRPr="00697896">
              <w:rPr>
                <w:sz w:val="22"/>
                <w:szCs w:val="22"/>
              </w:rPr>
              <w:t>) base case model. The percentages in brackets are the CV of the estimated quantity in the base case model.</w:t>
            </w:r>
          </w:p>
        </w:tc>
      </w:tr>
      <w:tr w:rsidR="003D217E" w:rsidRPr="00697896" w14:paraId="25C1A28D" w14:textId="77777777" w:rsidTr="001740C5">
        <w:trPr>
          <w:trHeight w:val="20"/>
        </w:trPr>
        <w:tc>
          <w:tcPr>
            <w:tcW w:w="3356" w:type="dxa"/>
            <w:tcBorders>
              <w:top w:val="single" w:sz="4" w:space="0" w:color="000000"/>
              <w:bottom w:val="single" w:sz="4" w:space="0" w:color="000000"/>
            </w:tcBorders>
          </w:tcPr>
          <w:p w14:paraId="1F9239EE" w14:textId="77777777" w:rsidR="003D217E" w:rsidRPr="00697896" w:rsidRDefault="003D217E" w:rsidP="001740C5">
            <w:pPr>
              <w:widowControl w:val="0"/>
              <w:autoSpaceDE w:val="0"/>
              <w:autoSpaceDN w:val="0"/>
              <w:adjustRightInd w:val="0"/>
              <w:snapToGrid w:val="0"/>
              <w:ind w:left="122"/>
              <w:rPr>
                <w:bCs/>
                <w:sz w:val="20"/>
                <w:szCs w:val="20"/>
              </w:rPr>
            </w:pPr>
            <w:r w:rsidRPr="00697896">
              <w:rPr>
                <w:bCs/>
                <w:sz w:val="20"/>
                <w:szCs w:val="20"/>
              </w:rPr>
              <w:t>Management Quantity</w:t>
            </w:r>
          </w:p>
        </w:tc>
        <w:tc>
          <w:tcPr>
            <w:tcW w:w="2268" w:type="dxa"/>
            <w:tcBorders>
              <w:top w:val="single" w:sz="4" w:space="0" w:color="000000"/>
              <w:bottom w:val="single" w:sz="4" w:space="0" w:color="000000"/>
            </w:tcBorders>
          </w:tcPr>
          <w:p w14:paraId="47C52D9C" w14:textId="77777777" w:rsidR="003D217E" w:rsidRPr="00697896" w:rsidRDefault="003D217E" w:rsidP="001740C5">
            <w:pPr>
              <w:widowControl w:val="0"/>
              <w:autoSpaceDE w:val="0"/>
              <w:autoSpaceDN w:val="0"/>
              <w:adjustRightInd w:val="0"/>
              <w:snapToGrid w:val="0"/>
              <w:ind w:left="362" w:right="353"/>
              <w:jc w:val="center"/>
              <w:rPr>
                <w:bCs/>
                <w:sz w:val="20"/>
                <w:szCs w:val="20"/>
              </w:rPr>
            </w:pPr>
            <w:r w:rsidRPr="00697896">
              <w:rPr>
                <w:bCs/>
                <w:sz w:val="20"/>
                <w:szCs w:val="20"/>
              </w:rPr>
              <w:t>Symbol</w:t>
            </w:r>
          </w:p>
        </w:tc>
        <w:tc>
          <w:tcPr>
            <w:tcW w:w="1985" w:type="dxa"/>
            <w:tcBorders>
              <w:top w:val="single" w:sz="4" w:space="0" w:color="000000"/>
              <w:bottom w:val="single" w:sz="4" w:space="0" w:color="000000"/>
            </w:tcBorders>
          </w:tcPr>
          <w:p w14:paraId="7273A4D1" w14:textId="77777777" w:rsidR="003D217E" w:rsidRPr="00697896" w:rsidRDefault="003D217E" w:rsidP="001740C5">
            <w:pPr>
              <w:widowControl w:val="0"/>
              <w:autoSpaceDE w:val="0"/>
              <w:autoSpaceDN w:val="0"/>
              <w:adjustRightInd w:val="0"/>
              <w:snapToGrid w:val="0"/>
              <w:ind w:left="271" w:right="125"/>
              <w:jc w:val="center"/>
              <w:rPr>
                <w:bCs/>
                <w:sz w:val="20"/>
                <w:szCs w:val="20"/>
              </w:rPr>
            </w:pPr>
            <w:r w:rsidRPr="00697896">
              <w:rPr>
                <w:bCs/>
                <w:sz w:val="20"/>
                <w:szCs w:val="20"/>
              </w:rPr>
              <w:t>Units</w:t>
            </w:r>
          </w:p>
        </w:tc>
        <w:tc>
          <w:tcPr>
            <w:tcW w:w="1802" w:type="dxa"/>
            <w:tcBorders>
              <w:top w:val="single" w:sz="4" w:space="0" w:color="000000"/>
              <w:bottom w:val="single" w:sz="4" w:space="0" w:color="000000"/>
            </w:tcBorders>
          </w:tcPr>
          <w:p w14:paraId="5986DC63" w14:textId="77777777" w:rsidR="003D217E" w:rsidRPr="00697896" w:rsidRDefault="003D217E" w:rsidP="001740C5">
            <w:pPr>
              <w:widowControl w:val="0"/>
              <w:autoSpaceDE w:val="0"/>
              <w:autoSpaceDN w:val="0"/>
              <w:adjustRightInd w:val="0"/>
              <w:snapToGrid w:val="0"/>
              <w:ind w:left="128" w:right="129"/>
              <w:jc w:val="center"/>
              <w:rPr>
                <w:bCs/>
                <w:sz w:val="20"/>
                <w:szCs w:val="20"/>
              </w:rPr>
            </w:pPr>
            <w:r w:rsidRPr="00697896">
              <w:rPr>
                <w:bCs/>
                <w:sz w:val="20"/>
                <w:szCs w:val="20"/>
              </w:rPr>
              <w:t>Base</w:t>
            </w:r>
            <w:r w:rsidRPr="00697896">
              <w:rPr>
                <w:rFonts w:eastAsiaTheme="minorEastAsia"/>
                <w:bCs/>
                <w:sz w:val="20"/>
                <w:szCs w:val="20"/>
                <w:lang w:eastAsia="ko-KR"/>
              </w:rPr>
              <w:t xml:space="preserve"> </w:t>
            </w:r>
            <w:r w:rsidRPr="00697896">
              <w:rPr>
                <w:bCs/>
                <w:sz w:val="20"/>
                <w:szCs w:val="20"/>
              </w:rPr>
              <w:t>case</w:t>
            </w:r>
          </w:p>
        </w:tc>
      </w:tr>
      <w:tr w:rsidR="003D217E" w:rsidRPr="00697896" w14:paraId="0101F2CB" w14:textId="77777777" w:rsidTr="001740C5">
        <w:trPr>
          <w:trHeight w:val="20"/>
        </w:trPr>
        <w:tc>
          <w:tcPr>
            <w:tcW w:w="3356" w:type="dxa"/>
            <w:tcBorders>
              <w:top w:val="single" w:sz="4" w:space="0" w:color="000000"/>
            </w:tcBorders>
          </w:tcPr>
          <w:p w14:paraId="1085B3DF" w14:textId="77777777" w:rsidR="003D217E" w:rsidRPr="00697896" w:rsidRDefault="003D217E" w:rsidP="001740C5">
            <w:pPr>
              <w:widowControl w:val="0"/>
              <w:autoSpaceDE w:val="0"/>
              <w:autoSpaceDN w:val="0"/>
              <w:adjustRightInd w:val="0"/>
              <w:snapToGrid w:val="0"/>
              <w:ind w:left="122" w:right="295"/>
              <w:rPr>
                <w:sz w:val="20"/>
                <w:szCs w:val="20"/>
              </w:rPr>
            </w:pPr>
            <w:r w:rsidRPr="00697896">
              <w:rPr>
                <w:sz w:val="20"/>
                <w:szCs w:val="20"/>
              </w:rPr>
              <w:t>Spawning abundance (number of mature female sharks</w:t>
            </w:r>
          </w:p>
        </w:tc>
        <w:tc>
          <w:tcPr>
            <w:tcW w:w="2268" w:type="dxa"/>
            <w:tcBorders>
              <w:top w:val="single" w:sz="4" w:space="0" w:color="000000"/>
            </w:tcBorders>
          </w:tcPr>
          <w:p w14:paraId="745231C6" w14:textId="77777777" w:rsidR="003D217E" w:rsidRPr="00697896" w:rsidRDefault="003D217E" w:rsidP="001740C5">
            <w:pPr>
              <w:widowControl w:val="0"/>
              <w:autoSpaceDE w:val="0"/>
              <w:autoSpaceDN w:val="0"/>
              <w:adjustRightInd w:val="0"/>
              <w:snapToGrid w:val="0"/>
              <w:ind w:left="362" w:right="353"/>
              <w:jc w:val="center"/>
              <w:rPr>
                <w:sz w:val="20"/>
                <w:szCs w:val="20"/>
              </w:rPr>
            </w:pPr>
            <w:r w:rsidRPr="00697896">
              <w:rPr>
                <w:sz w:val="20"/>
                <w:szCs w:val="20"/>
              </w:rPr>
              <w:t>SA</w:t>
            </w:r>
            <w:r w:rsidRPr="00697896">
              <w:rPr>
                <w:position w:val="-2"/>
                <w:sz w:val="20"/>
                <w:szCs w:val="20"/>
              </w:rPr>
              <w:t>0</w:t>
            </w:r>
          </w:p>
        </w:tc>
        <w:tc>
          <w:tcPr>
            <w:tcW w:w="1985" w:type="dxa"/>
            <w:tcBorders>
              <w:top w:val="single" w:sz="4" w:space="0" w:color="000000"/>
            </w:tcBorders>
          </w:tcPr>
          <w:p w14:paraId="104C68E0" w14:textId="77777777" w:rsidR="003D217E" w:rsidRPr="00697896" w:rsidRDefault="003D217E" w:rsidP="001740C5">
            <w:pPr>
              <w:widowControl w:val="0"/>
              <w:autoSpaceDE w:val="0"/>
              <w:autoSpaceDN w:val="0"/>
              <w:adjustRightInd w:val="0"/>
              <w:snapToGrid w:val="0"/>
              <w:rPr>
                <w:sz w:val="20"/>
                <w:szCs w:val="20"/>
              </w:rPr>
            </w:pPr>
          </w:p>
          <w:p w14:paraId="5E601B3C" w14:textId="77777777" w:rsidR="003D217E" w:rsidRPr="00697896" w:rsidRDefault="003D217E" w:rsidP="001740C5">
            <w:pPr>
              <w:widowControl w:val="0"/>
              <w:autoSpaceDE w:val="0"/>
              <w:autoSpaceDN w:val="0"/>
              <w:adjustRightInd w:val="0"/>
              <w:snapToGrid w:val="0"/>
              <w:ind w:left="271" w:right="127"/>
              <w:jc w:val="center"/>
              <w:rPr>
                <w:sz w:val="20"/>
                <w:szCs w:val="20"/>
              </w:rPr>
            </w:pPr>
            <w:r w:rsidRPr="00697896">
              <w:rPr>
                <w:sz w:val="20"/>
                <w:szCs w:val="20"/>
              </w:rPr>
              <w:t>1000s of sharks</w:t>
            </w:r>
          </w:p>
        </w:tc>
        <w:tc>
          <w:tcPr>
            <w:tcW w:w="1802" w:type="dxa"/>
            <w:tcBorders>
              <w:top w:val="single" w:sz="4" w:space="0" w:color="000000"/>
            </w:tcBorders>
          </w:tcPr>
          <w:p w14:paraId="2801C00A" w14:textId="77777777" w:rsidR="003D217E" w:rsidRPr="00697896" w:rsidRDefault="003D217E" w:rsidP="001740C5">
            <w:pPr>
              <w:widowControl w:val="0"/>
              <w:autoSpaceDE w:val="0"/>
              <w:autoSpaceDN w:val="0"/>
              <w:adjustRightInd w:val="0"/>
              <w:snapToGrid w:val="0"/>
              <w:rPr>
                <w:sz w:val="20"/>
                <w:szCs w:val="20"/>
              </w:rPr>
            </w:pPr>
          </w:p>
          <w:p w14:paraId="6631010B" w14:textId="77777777" w:rsidR="003D217E" w:rsidRPr="00697896" w:rsidRDefault="003D217E" w:rsidP="001740C5">
            <w:pPr>
              <w:widowControl w:val="0"/>
              <w:autoSpaceDE w:val="0"/>
              <w:autoSpaceDN w:val="0"/>
              <w:adjustRightInd w:val="0"/>
              <w:snapToGrid w:val="0"/>
              <w:ind w:left="128" w:right="129"/>
              <w:jc w:val="center"/>
              <w:rPr>
                <w:sz w:val="20"/>
                <w:szCs w:val="20"/>
              </w:rPr>
            </w:pPr>
            <w:r w:rsidRPr="00697896">
              <w:rPr>
                <w:sz w:val="20"/>
                <w:szCs w:val="20"/>
              </w:rPr>
              <w:t>1465.8 (23%)</w:t>
            </w:r>
          </w:p>
        </w:tc>
      </w:tr>
      <w:tr w:rsidR="003D217E" w:rsidRPr="00697896" w14:paraId="124EF6E4" w14:textId="77777777" w:rsidTr="001740C5">
        <w:trPr>
          <w:trHeight w:val="20"/>
        </w:trPr>
        <w:tc>
          <w:tcPr>
            <w:tcW w:w="3356" w:type="dxa"/>
          </w:tcPr>
          <w:p w14:paraId="42CC0986" w14:textId="77777777" w:rsidR="003D217E" w:rsidRPr="00697896" w:rsidRDefault="003D217E" w:rsidP="001740C5">
            <w:pPr>
              <w:widowControl w:val="0"/>
              <w:autoSpaceDE w:val="0"/>
              <w:autoSpaceDN w:val="0"/>
              <w:adjustRightInd w:val="0"/>
              <w:snapToGrid w:val="0"/>
              <w:ind w:left="122" w:right="454"/>
              <w:rPr>
                <w:sz w:val="20"/>
                <w:szCs w:val="20"/>
              </w:rPr>
            </w:pPr>
            <w:r w:rsidRPr="00697896">
              <w:rPr>
                <w:sz w:val="20"/>
                <w:szCs w:val="20"/>
              </w:rPr>
              <w:t>Maximum Sustainable Yield (MSY)</w:t>
            </w:r>
          </w:p>
        </w:tc>
        <w:tc>
          <w:tcPr>
            <w:tcW w:w="2268" w:type="dxa"/>
          </w:tcPr>
          <w:p w14:paraId="289620DD" w14:textId="77777777" w:rsidR="003D217E" w:rsidRPr="00697896" w:rsidRDefault="003D217E" w:rsidP="001740C5">
            <w:pPr>
              <w:widowControl w:val="0"/>
              <w:autoSpaceDE w:val="0"/>
              <w:autoSpaceDN w:val="0"/>
              <w:adjustRightInd w:val="0"/>
              <w:snapToGrid w:val="0"/>
              <w:rPr>
                <w:sz w:val="20"/>
                <w:szCs w:val="20"/>
              </w:rPr>
            </w:pPr>
          </w:p>
          <w:p w14:paraId="227792A8" w14:textId="77777777" w:rsidR="003D217E" w:rsidRPr="00697896" w:rsidRDefault="003D217E" w:rsidP="001740C5">
            <w:pPr>
              <w:widowControl w:val="0"/>
              <w:autoSpaceDE w:val="0"/>
              <w:autoSpaceDN w:val="0"/>
              <w:adjustRightInd w:val="0"/>
              <w:snapToGrid w:val="0"/>
              <w:ind w:left="364" w:right="353"/>
              <w:jc w:val="center"/>
              <w:rPr>
                <w:sz w:val="20"/>
                <w:szCs w:val="20"/>
              </w:rPr>
            </w:pPr>
            <w:r w:rsidRPr="00697896">
              <w:rPr>
                <w:position w:val="3"/>
                <w:sz w:val="20"/>
                <w:szCs w:val="20"/>
              </w:rPr>
              <w:t>C</w:t>
            </w:r>
            <w:r w:rsidRPr="00697896">
              <w:rPr>
                <w:sz w:val="20"/>
                <w:szCs w:val="20"/>
              </w:rPr>
              <w:t>MSY</w:t>
            </w:r>
          </w:p>
        </w:tc>
        <w:tc>
          <w:tcPr>
            <w:tcW w:w="1985" w:type="dxa"/>
          </w:tcPr>
          <w:p w14:paraId="6041FEBC" w14:textId="77777777" w:rsidR="003D217E" w:rsidRPr="00697896" w:rsidRDefault="003D217E" w:rsidP="001740C5">
            <w:pPr>
              <w:widowControl w:val="0"/>
              <w:autoSpaceDE w:val="0"/>
              <w:autoSpaceDN w:val="0"/>
              <w:adjustRightInd w:val="0"/>
              <w:snapToGrid w:val="0"/>
              <w:ind w:left="933" w:right="216" w:hanging="550"/>
              <w:rPr>
                <w:sz w:val="20"/>
                <w:szCs w:val="20"/>
              </w:rPr>
            </w:pPr>
            <w:r w:rsidRPr="00697896">
              <w:rPr>
                <w:sz w:val="20"/>
                <w:szCs w:val="20"/>
              </w:rPr>
              <w:t>Metric tons (t)</w:t>
            </w:r>
          </w:p>
        </w:tc>
        <w:tc>
          <w:tcPr>
            <w:tcW w:w="1802" w:type="dxa"/>
          </w:tcPr>
          <w:p w14:paraId="5ED66BFB" w14:textId="77777777" w:rsidR="003D217E" w:rsidRPr="00697896" w:rsidRDefault="003D217E" w:rsidP="001740C5">
            <w:pPr>
              <w:widowControl w:val="0"/>
              <w:autoSpaceDE w:val="0"/>
              <w:autoSpaceDN w:val="0"/>
              <w:adjustRightInd w:val="0"/>
              <w:snapToGrid w:val="0"/>
              <w:rPr>
                <w:sz w:val="20"/>
                <w:szCs w:val="20"/>
              </w:rPr>
            </w:pPr>
          </w:p>
          <w:p w14:paraId="62F9556C" w14:textId="77777777" w:rsidR="003D217E" w:rsidRPr="00697896" w:rsidRDefault="003D217E" w:rsidP="001740C5">
            <w:pPr>
              <w:widowControl w:val="0"/>
              <w:autoSpaceDE w:val="0"/>
              <w:autoSpaceDN w:val="0"/>
              <w:adjustRightInd w:val="0"/>
              <w:snapToGrid w:val="0"/>
              <w:ind w:left="128" w:right="129"/>
              <w:jc w:val="center"/>
              <w:rPr>
                <w:sz w:val="20"/>
                <w:szCs w:val="20"/>
              </w:rPr>
            </w:pPr>
            <w:r w:rsidRPr="00697896">
              <w:rPr>
                <w:sz w:val="20"/>
                <w:szCs w:val="20"/>
              </w:rPr>
              <w:t>3127.1 (22%)</w:t>
            </w:r>
          </w:p>
        </w:tc>
      </w:tr>
      <w:tr w:rsidR="003D217E" w:rsidRPr="00697896" w14:paraId="0C894D99" w14:textId="77777777" w:rsidTr="001740C5">
        <w:trPr>
          <w:trHeight w:val="20"/>
        </w:trPr>
        <w:tc>
          <w:tcPr>
            <w:tcW w:w="3356" w:type="dxa"/>
          </w:tcPr>
          <w:p w14:paraId="7A623675" w14:textId="77777777" w:rsidR="003D217E" w:rsidRPr="00697896" w:rsidRDefault="003D217E" w:rsidP="001740C5">
            <w:pPr>
              <w:widowControl w:val="0"/>
              <w:autoSpaceDE w:val="0"/>
              <w:autoSpaceDN w:val="0"/>
              <w:adjustRightInd w:val="0"/>
              <w:snapToGrid w:val="0"/>
              <w:ind w:left="122"/>
              <w:rPr>
                <w:sz w:val="20"/>
                <w:szCs w:val="20"/>
              </w:rPr>
            </w:pPr>
            <w:r w:rsidRPr="00697896">
              <w:rPr>
                <w:sz w:val="20"/>
                <w:szCs w:val="20"/>
              </w:rPr>
              <w:t>Spawning Abundance at MSY</w:t>
            </w:r>
          </w:p>
        </w:tc>
        <w:tc>
          <w:tcPr>
            <w:tcW w:w="2268" w:type="dxa"/>
          </w:tcPr>
          <w:p w14:paraId="24D01819" w14:textId="77777777" w:rsidR="003D217E" w:rsidRPr="00697896" w:rsidRDefault="003D217E" w:rsidP="001740C5">
            <w:pPr>
              <w:widowControl w:val="0"/>
              <w:autoSpaceDE w:val="0"/>
              <w:autoSpaceDN w:val="0"/>
              <w:adjustRightInd w:val="0"/>
              <w:snapToGrid w:val="0"/>
              <w:ind w:left="367" w:right="353"/>
              <w:jc w:val="center"/>
              <w:rPr>
                <w:sz w:val="20"/>
                <w:szCs w:val="20"/>
              </w:rPr>
            </w:pPr>
            <w:r w:rsidRPr="00697896">
              <w:rPr>
                <w:position w:val="3"/>
                <w:sz w:val="20"/>
                <w:szCs w:val="20"/>
              </w:rPr>
              <w:t>SA</w:t>
            </w:r>
            <w:r w:rsidRPr="00697896">
              <w:rPr>
                <w:sz w:val="20"/>
                <w:szCs w:val="20"/>
              </w:rPr>
              <w:t>MSY</w:t>
            </w:r>
          </w:p>
        </w:tc>
        <w:tc>
          <w:tcPr>
            <w:tcW w:w="1985" w:type="dxa"/>
          </w:tcPr>
          <w:p w14:paraId="5E3938A5" w14:textId="77777777" w:rsidR="003D217E" w:rsidRPr="00697896" w:rsidRDefault="003D217E" w:rsidP="001740C5">
            <w:pPr>
              <w:widowControl w:val="0"/>
              <w:autoSpaceDE w:val="0"/>
              <w:autoSpaceDN w:val="0"/>
              <w:adjustRightInd w:val="0"/>
              <w:snapToGrid w:val="0"/>
              <w:ind w:left="271" w:right="127"/>
              <w:jc w:val="center"/>
              <w:rPr>
                <w:sz w:val="20"/>
                <w:szCs w:val="20"/>
              </w:rPr>
            </w:pPr>
            <w:r w:rsidRPr="00697896">
              <w:rPr>
                <w:sz w:val="20"/>
                <w:szCs w:val="20"/>
              </w:rPr>
              <w:t>1000s of sharks</w:t>
            </w:r>
          </w:p>
        </w:tc>
        <w:tc>
          <w:tcPr>
            <w:tcW w:w="1802" w:type="dxa"/>
          </w:tcPr>
          <w:p w14:paraId="543EE94F" w14:textId="77777777" w:rsidR="003D217E" w:rsidRPr="00697896" w:rsidRDefault="003D217E" w:rsidP="001740C5">
            <w:pPr>
              <w:widowControl w:val="0"/>
              <w:autoSpaceDE w:val="0"/>
              <w:autoSpaceDN w:val="0"/>
              <w:adjustRightInd w:val="0"/>
              <w:snapToGrid w:val="0"/>
              <w:ind w:left="128" w:right="129"/>
              <w:jc w:val="center"/>
              <w:rPr>
                <w:sz w:val="20"/>
                <w:szCs w:val="20"/>
              </w:rPr>
            </w:pPr>
            <w:r w:rsidRPr="00697896">
              <w:rPr>
                <w:sz w:val="20"/>
                <w:szCs w:val="20"/>
              </w:rPr>
              <w:t>633.7 (23%)</w:t>
            </w:r>
          </w:p>
        </w:tc>
      </w:tr>
      <w:tr w:rsidR="003D217E" w:rsidRPr="00697896" w14:paraId="06CB8980" w14:textId="77777777" w:rsidTr="001740C5">
        <w:trPr>
          <w:trHeight w:val="20"/>
        </w:trPr>
        <w:tc>
          <w:tcPr>
            <w:tcW w:w="3356" w:type="dxa"/>
          </w:tcPr>
          <w:p w14:paraId="0A72AE84" w14:textId="77777777" w:rsidR="003D217E" w:rsidRPr="00697896" w:rsidRDefault="003D217E" w:rsidP="001740C5">
            <w:pPr>
              <w:widowControl w:val="0"/>
              <w:autoSpaceDE w:val="0"/>
              <w:autoSpaceDN w:val="0"/>
              <w:adjustRightInd w:val="0"/>
              <w:snapToGrid w:val="0"/>
              <w:ind w:left="122"/>
              <w:rPr>
                <w:sz w:val="20"/>
                <w:szCs w:val="20"/>
              </w:rPr>
            </w:pPr>
            <w:r w:rsidRPr="00697896">
              <w:rPr>
                <w:sz w:val="20"/>
                <w:szCs w:val="20"/>
              </w:rPr>
              <w:t>Fishing Intensity at MSY</w:t>
            </w:r>
          </w:p>
        </w:tc>
        <w:tc>
          <w:tcPr>
            <w:tcW w:w="2268" w:type="dxa"/>
          </w:tcPr>
          <w:p w14:paraId="6C9DBFD0" w14:textId="77777777" w:rsidR="003D217E" w:rsidRPr="00697896" w:rsidRDefault="003D217E" w:rsidP="001740C5">
            <w:pPr>
              <w:widowControl w:val="0"/>
              <w:autoSpaceDE w:val="0"/>
              <w:autoSpaceDN w:val="0"/>
              <w:adjustRightInd w:val="0"/>
              <w:snapToGrid w:val="0"/>
              <w:ind w:left="367" w:right="353"/>
              <w:jc w:val="center"/>
              <w:rPr>
                <w:sz w:val="20"/>
                <w:szCs w:val="20"/>
              </w:rPr>
            </w:pPr>
            <w:r w:rsidRPr="00697896">
              <w:rPr>
                <w:sz w:val="20"/>
                <w:szCs w:val="20"/>
              </w:rPr>
              <w:t>1-SPR</w:t>
            </w:r>
            <w:r w:rsidRPr="00697896">
              <w:rPr>
                <w:position w:val="-2"/>
                <w:sz w:val="20"/>
                <w:szCs w:val="20"/>
              </w:rPr>
              <w:t>MSY</w:t>
            </w:r>
          </w:p>
        </w:tc>
        <w:tc>
          <w:tcPr>
            <w:tcW w:w="1985" w:type="dxa"/>
          </w:tcPr>
          <w:p w14:paraId="7AD481CD" w14:textId="77777777" w:rsidR="003D217E" w:rsidRPr="00697896" w:rsidRDefault="003D217E" w:rsidP="001740C5">
            <w:pPr>
              <w:widowControl w:val="0"/>
              <w:autoSpaceDE w:val="0"/>
              <w:autoSpaceDN w:val="0"/>
              <w:adjustRightInd w:val="0"/>
              <w:snapToGrid w:val="0"/>
              <w:ind w:left="271" w:right="125"/>
              <w:jc w:val="center"/>
              <w:rPr>
                <w:sz w:val="20"/>
                <w:szCs w:val="20"/>
              </w:rPr>
            </w:pPr>
            <w:r w:rsidRPr="00697896">
              <w:rPr>
                <w:sz w:val="20"/>
                <w:szCs w:val="20"/>
              </w:rPr>
              <w:t>NA</w:t>
            </w:r>
          </w:p>
        </w:tc>
        <w:tc>
          <w:tcPr>
            <w:tcW w:w="1802" w:type="dxa"/>
          </w:tcPr>
          <w:p w14:paraId="45847D66" w14:textId="77777777" w:rsidR="003D217E" w:rsidRPr="00697896" w:rsidRDefault="003D217E" w:rsidP="001740C5">
            <w:pPr>
              <w:widowControl w:val="0"/>
              <w:autoSpaceDE w:val="0"/>
              <w:autoSpaceDN w:val="0"/>
              <w:adjustRightInd w:val="0"/>
              <w:snapToGrid w:val="0"/>
              <w:ind w:left="128" w:right="129"/>
              <w:jc w:val="center"/>
              <w:rPr>
                <w:sz w:val="20"/>
                <w:szCs w:val="20"/>
              </w:rPr>
            </w:pPr>
            <w:r w:rsidRPr="00697896">
              <w:rPr>
                <w:sz w:val="20"/>
                <w:szCs w:val="20"/>
              </w:rPr>
              <w:t>0.26</w:t>
            </w:r>
          </w:p>
        </w:tc>
      </w:tr>
      <w:tr w:rsidR="003D217E" w:rsidRPr="00697896" w14:paraId="34C9B116" w14:textId="77777777" w:rsidTr="001740C5">
        <w:trPr>
          <w:trHeight w:val="20"/>
        </w:trPr>
        <w:tc>
          <w:tcPr>
            <w:tcW w:w="3356" w:type="dxa"/>
          </w:tcPr>
          <w:p w14:paraId="4966A600" w14:textId="77777777" w:rsidR="003D217E" w:rsidRPr="00697896" w:rsidRDefault="003D217E" w:rsidP="001740C5">
            <w:pPr>
              <w:widowControl w:val="0"/>
              <w:autoSpaceDE w:val="0"/>
              <w:autoSpaceDN w:val="0"/>
              <w:adjustRightInd w:val="0"/>
              <w:snapToGrid w:val="0"/>
              <w:ind w:left="122" w:right="415"/>
              <w:rPr>
                <w:sz w:val="20"/>
                <w:szCs w:val="20"/>
              </w:rPr>
            </w:pPr>
            <w:r w:rsidRPr="00697896">
              <w:rPr>
                <w:sz w:val="20"/>
                <w:szCs w:val="20"/>
              </w:rPr>
              <w:t>Current spawning abundance relative to MSY</w:t>
            </w:r>
          </w:p>
        </w:tc>
        <w:tc>
          <w:tcPr>
            <w:tcW w:w="2268" w:type="dxa"/>
          </w:tcPr>
          <w:p w14:paraId="01FB382D" w14:textId="77777777" w:rsidR="003D217E" w:rsidRPr="00697896" w:rsidRDefault="003D217E" w:rsidP="001740C5">
            <w:pPr>
              <w:widowControl w:val="0"/>
              <w:autoSpaceDE w:val="0"/>
              <w:autoSpaceDN w:val="0"/>
              <w:adjustRightInd w:val="0"/>
              <w:snapToGrid w:val="0"/>
              <w:ind w:left="367" w:right="353"/>
              <w:jc w:val="center"/>
              <w:rPr>
                <w:sz w:val="20"/>
                <w:szCs w:val="20"/>
              </w:rPr>
            </w:pPr>
            <w:r w:rsidRPr="00697896">
              <w:rPr>
                <w:sz w:val="20"/>
                <w:szCs w:val="20"/>
              </w:rPr>
              <w:t>SA2016/SA</w:t>
            </w:r>
            <w:r w:rsidRPr="00697896">
              <w:rPr>
                <w:position w:val="-2"/>
                <w:sz w:val="20"/>
                <w:szCs w:val="20"/>
              </w:rPr>
              <w:t>MSY</w:t>
            </w:r>
          </w:p>
        </w:tc>
        <w:tc>
          <w:tcPr>
            <w:tcW w:w="1985" w:type="dxa"/>
          </w:tcPr>
          <w:p w14:paraId="1DA6D896" w14:textId="77777777" w:rsidR="003D217E" w:rsidRPr="00697896" w:rsidRDefault="003D217E" w:rsidP="001740C5">
            <w:pPr>
              <w:widowControl w:val="0"/>
              <w:autoSpaceDE w:val="0"/>
              <w:autoSpaceDN w:val="0"/>
              <w:adjustRightInd w:val="0"/>
              <w:snapToGrid w:val="0"/>
              <w:rPr>
                <w:sz w:val="20"/>
                <w:szCs w:val="20"/>
              </w:rPr>
            </w:pPr>
          </w:p>
          <w:p w14:paraId="24CFBBDA" w14:textId="77777777" w:rsidR="003D217E" w:rsidRPr="00697896" w:rsidRDefault="003D217E" w:rsidP="001740C5">
            <w:pPr>
              <w:widowControl w:val="0"/>
              <w:autoSpaceDE w:val="0"/>
              <w:autoSpaceDN w:val="0"/>
              <w:adjustRightInd w:val="0"/>
              <w:snapToGrid w:val="0"/>
              <w:ind w:left="271" w:right="125"/>
              <w:jc w:val="center"/>
              <w:rPr>
                <w:sz w:val="20"/>
                <w:szCs w:val="20"/>
              </w:rPr>
            </w:pPr>
            <w:r w:rsidRPr="00697896">
              <w:rPr>
                <w:sz w:val="20"/>
                <w:szCs w:val="20"/>
              </w:rPr>
              <w:t>NA</w:t>
            </w:r>
          </w:p>
        </w:tc>
        <w:tc>
          <w:tcPr>
            <w:tcW w:w="1802" w:type="dxa"/>
          </w:tcPr>
          <w:p w14:paraId="50665E01" w14:textId="77777777" w:rsidR="003D217E" w:rsidRPr="00697896" w:rsidRDefault="003D217E" w:rsidP="001740C5">
            <w:pPr>
              <w:widowControl w:val="0"/>
              <w:autoSpaceDE w:val="0"/>
              <w:autoSpaceDN w:val="0"/>
              <w:adjustRightInd w:val="0"/>
              <w:snapToGrid w:val="0"/>
              <w:rPr>
                <w:sz w:val="20"/>
                <w:szCs w:val="20"/>
              </w:rPr>
            </w:pPr>
          </w:p>
          <w:p w14:paraId="023134F8" w14:textId="77777777" w:rsidR="003D217E" w:rsidRPr="00697896" w:rsidRDefault="003D217E" w:rsidP="001740C5">
            <w:pPr>
              <w:widowControl w:val="0"/>
              <w:autoSpaceDE w:val="0"/>
              <w:autoSpaceDN w:val="0"/>
              <w:adjustRightInd w:val="0"/>
              <w:snapToGrid w:val="0"/>
              <w:ind w:left="128" w:right="129"/>
              <w:jc w:val="center"/>
              <w:rPr>
                <w:sz w:val="20"/>
                <w:szCs w:val="20"/>
              </w:rPr>
            </w:pPr>
            <w:r w:rsidRPr="00697896">
              <w:rPr>
                <w:sz w:val="20"/>
                <w:szCs w:val="20"/>
              </w:rPr>
              <w:t>1.36</w:t>
            </w:r>
          </w:p>
        </w:tc>
      </w:tr>
      <w:tr w:rsidR="003D217E" w:rsidRPr="00697896" w14:paraId="6D62BD93" w14:textId="77777777" w:rsidTr="001740C5">
        <w:trPr>
          <w:trHeight w:val="20"/>
        </w:trPr>
        <w:tc>
          <w:tcPr>
            <w:tcW w:w="3356" w:type="dxa"/>
          </w:tcPr>
          <w:p w14:paraId="389B6C2A" w14:textId="77777777" w:rsidR="003D217E" w:rsidRPr="00697896" w:rsidRDefault="003D217E" w:rsidP="001740C5">
            <w:pPr>
              <w:widowControl w:val="0"/>
              <w:autoSpaceDE w:val="0"/>
              <w:autoSpaceDN w:val="0"/>
              <w:adjustRightInd w:val="0"/>
              <w:snapToGrid w:val="0"/>
              <w:ind w:left="122" w:right="415"/>
              <w:rPr>
                <w:sz w:val="20"/>
                <w:szCs w:val="20"/>
              </w:rPr>
            </w:pPr>
            <w:r w:rsidRPr="00697896">
              <w:rPr>
                <w:sz w:val="20"/>
                <w:szCs w:val="20"/>
              </w:rPr>
              <w:t>Current spawning abundance relative to unfished level</w:t>
            </w:r>
          </w:p>
        </w:tc>
        <w:tc>
          <w:tcPr>
            <w:tcW w:w="2268" w:type="dxa"/>
          </w:tcPr>
          <w:p w14:paraId="3D916990" w14:textId="77777777" w:rsidR="003D217E" w:rsidRPr="00697896" w:rsidRDefault="003D217E" w:rsidP="001740C5">
            <w:pPr>
              <w:widowControl w:val="0"/>
              <w:autoSpaceDE w:val="0"/>
              <w:autoSpaceDN w:val="0"/>
              <w:adjustRightInd w:val="0"/>
              <w:snapToGrid w:val="0"/>
              <w:ind w:left="365" w:right="353"/>
              <w:jc w:val="center"/>
              <w:rPr>
                <w:sz w:val="20"/>
                <w:szCs w:val="20"/>
              </w:rPr>
            </w:pPr>
            <w:r w:rsidRPr="00697896">
              <w:rPr>
                <w:sz w:val="20"/>
                <w:szCs w:val="20"/>
              </w:rPr>
              <w:t>SA</w:t>
            </w:r>
            <w:r w:rsidRPr="00697896">
              <w:rPr>
                <w:position w:val="-2"/>
                <w:sz w:val="20"/>
                <w:szCs w:val="20"/>
              </w:rPr>
              <w:t>2016</w:t>
            </w:r>
            <w:r w:rsidRPr="00697896">
              <w:rPr>
                <w:sz w:val="20"/>
                <w:szCs w:val="20"/>
              </w:rPr>
              <w:t>/SA</w:t>
            </w:r>
            <w:r w:rsidRPr="00697896">
              <w:rPr>
                <w:position w:val="-2"/>
                <w:sz w:val="20"/>
                <w:szCs w:val="20"/>
              </w:rPr>
              <w:t>0</w:t>
            </w:r>
          </w:p>
        </w:tc>
        <w:tc>
          <w:tcPr>
            <w:tcW w:w="1985" w:type="dxa"/>
          </w:tcPr>
          <w:p w14:paraId="0E8B9F25" w14:textId="77777777" w:rsidR="003D217E" w:rsidRPr="00697896" w:rsidRDefault="003D217E" w:rsidP="001740C5">
            <w:pPr>
              <w:widowControl w:val="0"/>
              <w:autoSpaceDE w:val="0"/>
              <w:autoSpaceDN w:val="0"/>
              <w:adjustRightInd w:val="0"/>
              <w:snapToGrid w:val="0"/>
              <w:rPr>
                <w:sz w:val="20"/>
                <w:szCs w:val="20"/>
              </w:rPr>
            </w:pPr>
          </w:p>
          <w:p w14:paraId="1D64FC26" w14:textId="77777777" w:rsidR="003D217E" w:rsidRPr="00697896" w:rsidRDefault="003D217E" w:rsidP="001740C5">
            <w:pPr>
              <w:widowControl w:val="0"/>
              <w:autoSpaceDE w:val="0"/>
              <w:autoSpaceDN w:val="0"/>
              <w:adjustRightInd w:val="0"/>
              <w:snapToGrid w:val="0"/>
              <w:ind w:left="271" w:right="125"/>
              <w:jc w:val="center"/>
              <w:rPr>
                <w:sz w:val="20"/>
                <w:szCs w:val="20"/>
              </w:rPr>
            </w:pPr>
            <w:r w:rsidRPr="00697896">
              <w:rPr>
                <w:sz w:val="20"/>
                <w:szCs w:val="20"/>
              </w:rPr>
              <w:t>NA</w:t>
            </w:r>
          </w:p>
        </w:tc>
        <w:tc>
          <w:tcPr>
            <w:tcW w:w="1802" w:type="dxa"/>
          </w:tcPr>
          <w:p w14:paraId="462A1000" w14:textId="77777777" w:rsidR="003D217E" w:rsidRPr="00697896" w:rsidRDefault="003D217E" w:rsidP="001740C5">
            <w:pPr>
              <w:widowControl w:val="0"/>
              <w:autoSpaceDE w:val="0"/>
              <w:autoSpaceDN w:val="0"/>
              <w:adjustRightInd w:val="0"/>
              <w:snapToGrid w:val="0"/>
              <w:rPr>
                <w:sz w:val="20"/>
                <w:szCs w:val="20"/>
              </w:rPr>
            </w:pPr>
          </w:p>
          <w:p w14:paraId="56B4B3CE" w14:textId="77777777" w:rsidR="003D217E" w:rsidRPr="00697896" w:rsidRDefault="003D217E" w:rsidP="001740C5">
            <w:pPr>
              <w:widowControl w:val="0"/>
              <w:autoSpaceDE w:val="0"/>
              <w:autoSpaceDN w:val="0"/>
              <w:adjustRightInd w:val="0"/>
              <w:snapToGrid w:val="0"/>
              <w:ind w:left="128" w:right="129"/>
              <w:jc w:val="center"/>
              <w:rPr>
                <w:sz w:val="20"/>
                <w:szCs w:val="20"/>
              </w:rPr>
            </w:pPr>
            <w:r w:rsidRPr="00697896">
              <w:rPr>
                <w:sz w:val="20"/>
                <w:szCs w:val="20"/>
              </w:rPr>
              <w:t>0.58</w:t>
            </w:r>
          </w:p>
        </w:tc>
      </w:tr>
      <w:tr w:rsidR="003D217E" w:rsidRPr="00697896" w14:paraId="119F8AF3" w14:textId="77777777" w:rsidTr="001740C5">
        <w:trPr>
          <w:trHeight w:val="20"/>
        </w:trPr>
        <w:tc>
          <w:tcPr>
            <w:tcW w:w="3356" w:type="dxa"/>
            <w:tcBorders>
              <w:bottom w:val="single" w:sz="4" w:space="0" w:color="000000"/>
            </w:tcBorders>
          </w:tcPr>
          <w:p w14:paraId="000FA525" w14:textId="77777777" w:rsidR="003D217E" w:rsidRPr="00697896" w:rsidRDefault="003D217E" w:rsidP="001740C5">
            <w:pPr>
              <w:widowControl w:val="0"/>
              <w:autoSpaceDE w:val="0"/>
              <w:autoSpaceDN w:val="0"/>
              <w:adjustRightInd w:val="0"/>
              <w:snapToGrid w:val="0"/>
              <w:ind w:left="122" w:right="921"/>
              <w:rPr>
                <w:sz w:val="20"/>
                <w:szCs w:val="20"/>
              </w:rPr>
            </w:pPr>
            <w:r w:rsidRPr="00697896">
              <w:rPr>
                <w:sz w:val="20"/>
                <w:szCs w:val="20"/>
              </w:rPr>
              <w:t>Recent fishing Intensity relative to MSY</w:t>
            </w:r>
          </w:p>
        </w:tc>
        <w:tc>
          <w:tcPr>
            <w:tcW w:w="2268" w:type="dxa"/>
            <w:tcBorders>
              <w:bottom w:val="single" w:sz="4" w:space="0" w:color="000000"/>
            </w:tcBorders>
          </w:tcPr>
          <w:p w14:paraId="733F2FEA" w14:textId="77777777" w:rsidR="003D217E" w:rsidRPr="00697896" w:rsidRDefault="003D217E" w:rsidP="001740C5">
            <w:pPr>
              <w:widowControl w:val="0"/>
              <w:autoSpaceDE w:val="0"/>
              <w:autoSpaceDN w:val="0"/>
              <w:adjustRightInd w:val="0"/>
              <w:snapToGrid w:val="0"/>
              <w:ind w:left="712" w:right="275" w:hanging="406"/>
              <w:rPr>
                <w:sz w:val="20"/>
                <w:szCs w:val="20"/>
              </w:rPr>
            </w:pPr>
            <w:r w:rsidRPr="00697896">
              <w:rPr>
                <w:sz w:val="20"/>
                <w:szCs w:val="20"/>
              </w:rPr>
              <w:t>(1-SPR</w:t>
            </w:r>
            <w:r w:rsidRPr="00697896">
              <w:rPr>
                <w:position w:val="-2"/>
                <w:sz w:val="20"/>
                <w:szCs w:val="20"/>
              </w:rPr>
              <w:t>2013-15</w:t>
            </w:r>
            <w:r w:rsidRPr="00697896">
              <w:rPr>
                <w:sz w:val="20"/>
                <w:szCs w:val="20"/>
              </w:rPr>
              <w:t>)/(1- SPR</w:t>
            </w:r>
            <w:r w:rsidRPr="00697896">
              <w:rPr>
                <w:position w:val="-2"/>
                <w:sz w:val="20"/>
                <w:szCs w:val="20"/>
              </w:rPr>
              <w:t>MSY</w:t>
            </w:r>
            <w:r w:rsidRPr="00697896">
              <w:rPr>
                <w:sz w:val="20"/>
                <w:szCs w:val="20"/>
              </w:rPr>
              <w:t>)</w:t>
            </w:r>
          </w:p>
        </w:tc>
        <w:tc>
          <w:tcPr>
            <w:tcW w:w="1985" w:type="dxa"/>
            <w:tcBorders>
              <w:bottom w:val="single" w:sz="4" w:space="0" w:color="000000"/>
            </w:tcBorders>
          </w:tcPr>
          <w:p w14:paraId="5A1E1C0B" w14:textId="77777777" w:rsidR="003D217E" w:rsidRPr="00697896" w:rsidRDefault="003D217E" w:rsidP="001740C5">
            <w:pPr>
              <w:widowControl w:val="0"/>
              <w:autoSpaceDE w:val="0"/>
              <w:autoSpaceDN w:val="0"/>
              <w:adjustRightInd w:val="0"/>
              <w:snapToGrid w:val="0"/>
              <w:rPr>
                <w:sz w:val="20"/>
                <w:szCs w:val="20"/>
              </w:rPr>
            </w:pPr>
          </w:p>
          <w:p w14:paraId="5026B92C" w14:textId="77777777" w:rsidR="003D217E" w:rsidRPr="00697896" w:rsidRDefault="003D217E" w:rsidP="001740C5">
            <w:pPr>
              <w:widowControl w:val="0"/>
              <w:autoSpaceDE w:val="0"/>
              <w:autoSpaceDN w:val="0"/>
              <w:adjustRightInd w:val="0"/>
              <w:snapToGrid w:val="0"/>
              <w:ind w:left="271" w:right="127"/>
              <w:jc w:val="center"/>
              <w:rPr>
                <w:sz w:val="20"/>
                <w:szCs w:val="20"/>
              </w:rPr>
            </w:pPr>
            <w:r w:rsidRPr="00697896">
              <w:rPr>
                <w:sz w:val="20"/>
                <w:szCs w:val="20"/>
              </w:rPr>
              <w:t>MSY</w:t>
            </w:r>
          </w:p>
        </w:tc>
        <w:tc>
          <w:tcPr>
            <w:tcW w:w="1802" w:type="dxa"/>
            <w:tcBorders>
              <w:bottom w:val="single" w:sz="4" w:space="0" w:color="000000"/>
            </w:tcBorders>
          </w:tcPr>
          <w:p w14:paraId="789AAB64" w14:textId="77777777" w:rsidR="003D217E" w:rsidRPr="00697896" w:rsidRDefault="003D217E" w:rsidP="001740C5">
            <w:pPr>
              <w:widowControl w:val="0"/>
              <w:autoSpaceDE w:val="0"/>
              <w:autoSpaceDN w:val="0"/>
              <w:adjustRightInd w:val="0"/>
              <w:snapToGrid w:val="0"/>
              <w:rPr>
                <w:sz w:val="20"/>
                <w:szCs w:val="20"/>
              </w:rPr>
            </w:pPr>
          </w:p>
          <w:p w14:paraId="60AE166F" w14:textId="77777777" w:rsidR="003D217E" w:rsidRPr="00697896" w:rsidRDefault="003D217E" w:rsidP="001740C5">
            <w:pPr>
              <w:widowControl w:val="0"/>
              <w:autoSpaceDE w:val="0"/>
              <w:autoSpaceDN w:val="0"/>
              <w:adjustRightInd w:val="0"/>
              <w:snapToGrid w:val="0"/>
              <w:ind w:left="128" w:right="129"/>
              <w:jc w:val="center"/>
              <w:rPr>
                <w:sz w:val="20"/>
                <w:szCs w:val="20"/>
              </w:rPr>
            </w:pPr>
            <w:r w:rsidRPr="00697896">
              <w:rPr>
                <w:sz w:val="20"/>
                <w:szCs w:val="20"/>
              </w:rPr>
              <w:t>0.62</w:t>
            </w:r>
          </w:p>
        </w:tc>
      </w:tr>
    </w:tbl>
    <w:p w14:paraId="30A251F6" w14:textId="77777777" w:rsidR="003D217E" w:rsidRDefault="003D217E" w:rsidP="003D217E">
      <w:pPr>
        <w:tabs>
          <w:tab w:val="left" w:pos="821"/>
        </w:tabs>
        <w:adjustRightInd w:val="0"/>
        <w:snapToGrid w:val="0"/>
        <w:ind w:right="337"/>
        <w:jc w:val="both"/>
        <w:rPr>
          <w:rFonts w:eastAsia="Calibri"/>
          <w:b/>
          <w:sz w:val="22"/>
          <w:szCs w:val="22"/>
        </w:rPr>
      </w:pPr>
    </w:p>
    <w:p w14:paraId="5E2F215B" w14:textId="77777777" w:rsidR="003D217E" w:rsidRDefault="003D217E" w:rsidP="003D217E">
      <w:pPr>
        <w:tabs>
          <w:tab w:val="left" w:pos="821"/>
        </w:tabs>
        <w:adjustRightInd w:val="0"/>
        <w:snapToGrid w:val="0"/>
        <w:ind w:right="337"/>
        <w:jc w:val="both"/>
        <w:rPr>
          <w:rFonts w:eastAsia="Calibri"/>
          <w:b/>
          <w:sz w:val="22"/>
          <w:szCs w:val="22"/>
        </w:rPr>
      </w:pPr>
    </w:p>
    <w:p w14:paraId="511F9BD7" w14:textId="77777777" w:rsidR="003D217E" w:rsidRDefault="003D217E" w:rsidP="003D217E">
      <w:pPr>
        <w:tabs>
          <w:tab w:val="left" w:pos="821"/>
        </w:tabs>
        <w:adjustRightInd w:val="0"/>
        <w:snapToGrid w:val="0"/>
        <w:ind w:right="337"/>
        <w:jc w:val="both"/>
        <w:rPr>
          <w:rFonts w:eastAsia="Calibri"/>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D217E" w14:paraId="57BD70EE" w14:textId="77777777" w:rsidTr="001740C5">
        <w:trPr>
          <w:trHeight w:val="3005"/>
        </w:trPr>
        <w:tc>
          <w:tcPr>
            <w:tcW w:w="9576" w:type="dxa"/>
          </w:tcPr>
          <w:p w14:paraId="44AA63A4" w14:textId="77777777" w:rsidR="003D217E" w:rsidRDefault="003D217E" w:rsidP="001740C5">
            <w:pPr>
              <w:tabs>
                <w:tab w:val="left" w:pos="821"/>
              </w:tabs>
              <w:adjustRightInd w:val="0"/>
              <w:snapToGrid w:val="0"/>
              <w:spacing w:after="0"/>
              <w:ind w:right="337"/>
              <w:jc w:val="both"/>
              <w:rPr>
                <w:rFonts w:eastAsia="Calibri"/>
                <w:b/>
                <w:sz w:val="22"/>
                <w:szCs w:val="22"/>
              </w:rPr>
            </w:pPr>
            <w:r>
              <w:rPr>
                <w:rFonts w:eastAsia="Calibri"/>
                <w:b/>
                <w:noProof/>
                <w:sz w:val="22"/>
                <w:szCs w:val="22"/>
                <w:lang w:eastAsia="zh-CN" w:bidi="mn-Mong-CN"/>
              </w:rPr>
              <mc:AlternateContent>
                <mc:Choice Requires="wpg">
                  <w:drawing>
                    <wp:anchor distT="0" distB="0" distL="114300" distR="114300" simplePos="0" relativeHeight="251672576" behindDoc="0" locked="0" layoutInCell="1" allowOverlap="1" wp14:anchorId="06F28586" wp14:editId="20F928E5">
                      <wp:simplePos x="0" y="0"/>
                      <wp:positionH relativeFrom="column">
                        <wp:posOffset>549910</wp:posOffset>
                      </wp:positionH>
                      <wp:positionV relativeFrom="paragraph">
                        <wp:posOffset>55880</wp:posOffset>
                      </wp:positionV>
                      <wp:extent cx="4820920" cy="1732915"/>
                      <wp:effectExtent l="0" t="0" r="0" b="635"/>
                      <wp:wrapSquare wrapText="bothSides"/>
                      <wp:docPr id="25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0920" cy="1732915"/>
                                <a:chOff x="0" y="0"/>
                                <a:chExt cx="62306" cy="29044"/>
                              </a:xfrm>
                            </wpg:grpSpPr>
                            <wpg:grpSp>
                              <wpg:cNvPr id="259" name="Group 259"/>
                              <wpg:cNvGrpSpPr>
                                <a:grpSpLocks/>
                              </wpg:cNvGrpSpPr>
                              <wpg:grpSpPr bwMode="auto">
                                <a:xfrm>
                                  <a:off x="0" y="0"/>
                                  <a:ext cx="29527" cy="29044"/>
                                  <a:chOff x="0" y="0"/>
                                  <a:chExt cx="29527" cy="29044"/>
                                </a:xfrm>
                              </wpg:grpSpPr>
                              <pic:pic xmlns:pic="http://schemas.openxmlformats.org/drawingml/2006/picture">
                                <pic:nvPicPr>
                                  <pic:cNvPr id="260" name="Picture 56"/>
                                  <pic:cNvPicPr>
                                    <a:picLocks noChangeAspect="1" noChangeArrowheads="1"/>
                                  </pic:cNvPicPr>
                                </pic:nvPicPr>
                                <pic:blipFill>
                                  <a:blip r:embed="rId64" cstate="print">
                                    <a:extLst>
                                      <a:ext uri="{28A0092B-C50C-407E-A947-70E740481C1C}">
                                        <a14:useLocalDpi xmlns:a14="http://schemas.microsoft.com/office/drawing/2010/main" val="0"/>
                                      </a:ext>
                                    </a:extLst>
                                  </a:blip>
                                  <a:srcRect t="9962"/>
                                  <a:stretch>
                                    <a:fillRect/>
                                  </a:stretch>
                                </pic:blipFill>
                                <pic:spPr bwMode="auto">
                                  <a:xfrm>
                                    <a:off x="0" y="3238"/>
                                    <a:ext cx="29527" cy="25806"/>
                                  </a:xfrm>
                                  <a:prstGeom prst="rect">
                                    <a:avLst/>
                                  </a:prstGeom>
                                  <a:noFill/>
                                  <a:extLst>
                                    <a:ext uri="{909E8E84-426E-40DD-AFC4-6F175D3DCCD1}">
                                      <a14:hiddenFill xmlns:a14="http://schemas.microsoft.com/office/drawing/2010/main">
                                        <a:solidFill>
                                          <a:srgbClr val="FFFFFF"/>
                                        </a:solidFill>
                                      </a14:hiddenFill>
                                    </a:ext>
                                  </a:extLst>
                                </pic:spPr>
                              </pic:pic>
                              <wps:wsp>
                                <wps:cNvPr id="261" name="Text Box 2"/>
                                <wps:cNvSpPr txBox="1">
                                  <a:spLocks noChangeArrowheads="1"/>
                                </wps:cNvSpPr>
                                <wps:spPr bwMode="auto">
                                  <a:xfrm>
                                    <a:off x="2667" y="0"/>
                                    <a:ext cx="2857" cy="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94EAF" w14:textId="77777777" w:rsidR="009F30CE" w:rsidRPr="00570DA5" w:rsidRDefault="009F30CE" w:rsidP="003D217E">
                                      <w:pPr>
                                        <w:rPr>
                                          <w:sz w:val="32"/>
                                          <w:szCs w:val="32"/>
                                        </w:rPr>
                                      </w:pPr>
                                      <w:r w:rsidRPr="00570DA5">
                                        <w:rPr>
                                          <w:sz w:val="32"/>
                                          <w:szCs w:val="32"/>
                                        </w:rPr>
                                        <w:t>A</w:t>
                                      </w:r>
                                    </w:p>
                                  </w:txbxContent>
                                </wps:txbx>
                                <wps:bodyPr rot="0" vert="horz" wrap="square" lIns="91440" tIns="45720" rIns="91440" bIns="45720" anchor="t" anchorCtr="0" upright="1">
                                  <a:noAutofit/>
                                </wps:bodyPr>
                              </wps:wsp>
                            </wpg:grpSp>
                            <wpg:grpSp>
                              <wpg:cNvPr id="262" name="Group 3"/>
                              <wpg:cNvGrpSpPr>
                                <a:grpSpLocks/>
                              </wpg:cNvGrpSpPr>
                              <wpg:grpSpPr bwMode="auto">
                                <a:xfrm>
                                  <a:off x="28384" y="476"/>
                                  <a:ext cx="33922" cy="25241"/>
                                  <a:chOff x="0" y="0"/>
                                  <a:chExt cx="33921" cy="25241"/>
                                </a:xfrm>
                              </wpg:grpSpPr>
                              <pic:pic xmlns:pic="http://schemas.openxmlformats.org/drawingml/2006/picture">
                                <pic:nvPicPr>
                                  <pic:cNvPr id="263" name="Picture 58"/>
                                  <pic:cNvPicPr>
                                    <a:picLocks noChangeAspect="1" noChangeArrowheads="1"/>
                                  </pic:cNvPicPr>
                                </pic:nvPicPr>
                                <pic:blipFill>
                                  <a:blip r:embed="rId65" cstate="print">
                                    <a:extLst>
                                      <a:ext uri="{28A0092B-C50C-407E-A947-70E740481C1C}">
                                        <a14:useLocalDpi xmlns:a14="http://schemas.microsoft.com/office/drawing/2010/main" val="0"/>
                                      </a:ext>
                                    </a:extLst>
                                  </a:blip>
                                  <a:srcRect t="12389"/>
                                  <a:stretch>
                                    <a:fillRect/>
                                  </a:stretch>
                                </pic:blipFill>
                                <pic:spPr bwMode="auto">
                                  <a:xfrm>
                                    <a:off x="0" y="2952"/>
                                    <a:ext cx="33921" cy="22289"/>
                                  </a:xfrm>
                                  <a:prstGeom prst="rect">
                                    <a:avLst/>
                                  </a:prstGeom>
                                  <a:noFill/>
                                  <a:extLst>
                                    <a:ext uri="{909E8E84-426E-40DD-AFC4-6F175D3DCCD1}">
                                      <a14:hiddenFill xmlns:a14="http://schemas.microsoft.com/office/drawing/2010/main">
                                        <a:solidFill>
                                          <a:srgbClr val="FFFFFF"/>
                                        </a:solidFill>
                                      </a14:hiddenFill>
                                    </a:ext>
                                  </a:extLst>
                                </pic:spPr>
                              </pic:pic>
                              <wps:wsp>
                                <wps:cNvPr id="264" name="Text Box 2"/>
                                <wps:cNvSpPr txBox="1">
                                  <a:spLocks noChangeArrowheads="1"/>
                                </wps:cNvSpPr>
                                <wps:spPr bwMode="auto">
                                  <a:xfrm>
                                    <a:off x="2476" y="0"/>
                                    <a:ext cx="2858" cy="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8FE6E" w14:textId="77777777" w:rsidR="009F30CE" w:rsidRPr="00570DA5" w:rsidRDefault="009F30CE" w:rsidP="003D217E">
                                      <w:pPr>
                                        <w:rPr>
                                          <w:sz w:val="32"/>
                                          <w:szCs w:val="32"/>
                                        </w:rPr>
                                      </w:pPr>
                                      <w:r>
                                        <w:rPr>
                                          <w:sz w:val="32"/>
                                          <w:szCs w:val="32"/>
                                        </w:rPr>
                                        <w:t>B</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F28586" id="Group 5" o:spid="_x0000_s1026" style="position:absolute;left:0;text-align:left;margin-left:43.3pt;margin-top:4.4pt;width:379.6pt;height:136.45pt;z-index:251672576" coordsize="62306,29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">
                      <v:group id="Group 259" o:spid="_x0000_s1027" style="position:absolute;width:29527;height:29044" coordsize="29527,2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Picture 56" o:spid="_x0000_s1028" type="#_x0000_t75" style="position:absolute;top:3238;width:29527;height:25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">
                          <v:imagedata r:id="rId66" o:title="" croptop="6529f"/>
                        </v:shape>
                        <v:shapetype id="_x0000_t202" coordsize="21600,21600" o:spt="202" path="m,l,21600r21600,l21600,xe">
                          <v:stroke joinstyle="miter"/>
                          <v:path gradientshapeok="t" o:connecttype="rect"/>
                        </v:shapetype>
                        <v:shape id="Text Box 2" o:spid="_x0000_s1029" type="#_x0000_t202" style="position:absolute;left:2667;width:285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" filled="f" stroked="f">
                          <v:textbox>
                            <w:txbxContent>
                              <w:p w14:paraId="36C94EAF" w14:textId="77777777" w:rsidR="009F30CE" w:rsidRPr="00570DA5" w:rsidRDefault="009F30CE" w:rsidP="003D217E">
                                <w:pPr>
                                  <w:rPr>
                                    <w:sz w:val="32"/>
                                    <w:szCs w:val="32"/>
                                  </w:rPr>
                                </w:pPr>
                                <w:r w:rsidRPr="00570DA5">
                                  <w:rPr>
                                    <w:sz w:val="32"/>
                                    <w:szCs w:val="32"/>
                                  </w:rPr>
                                  <w:t>A</w:t>
                                </w:r>
                              </w:p>
                            </w:txbxContent>
                          </v:textbox>
                        </v:shape>
                      </v:group>
                      <v:group id="Group 3" o:spid="_x0000_s1030" style="position:absolute;left:28384;top:476;width:33922;height:25241" coordsize="33921,2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Picture 58" o:spid="_x0000_s1031" type="#_x0000_t75" style="position:absolute;top:2952;width:33921;height:22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">
                          <v:imagedata r:id="rId67" o:title="" croptop="8119f"/>
                        </v:shape>
                        <v:shape id="Text Box 2" o:spid="_x0000_s1032" type="#_x0000_t202" style="position:absolute;left:2476;width:285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" filled="f" stroked="f">
                          <v:textbox>
                            <w:txbxContent>
                              <w:p w14:paraId="1688FE6E" w14:textId="77777777" w:rsidR="009F30CE" w:rsidRPr="00570DA5" w:rsidRDefault="009F30CE" w:rsidP="003D217E">
                                <w:pPr>
                                  <w:rPr>
                                    <w:sz w:val="32"/>
                                    <w:szCs w:val="32"/>
                                  </w:rPr>
                                </w:pPr>
                                <w:r>
                                  <w:rPr>
                                    <w:sz w:val="32"/>
                                    <w:szCs w:val="32"/>
                                  </w:rPr>
                                  <w:t>B</w:t>
                                </w:r>
                              </w:p>
                            </w:txbxContent>
                          </v:textbox>
                        </v:shape>
                      </v:group>
                      <w10:wrap type="square"/>
                    </v:group>
                  </w:pict>
                </mc:Fallback>
              </mc:AlternateContent>
            </w:r>
          </w:p>
        </w:tc>
      </w:tr>
      <w:tr w:rsidR="003D217E" w14:paraId="7F6F779F" w14:textId="77777777" w:rsidTr="001740C5">
        <w:tc>
          <w:tcPr>
            <w:tcW w:w="9576" w:type="dxa"/>
          </w:tcPr>
          <w:p w14:paraId="19A238F3" w14:textId="77777777" w:rsidR="003D217E" w:rsidRDefault="003D217E" w:rsidP="001740C5">
            <w:pPr>
              <w:tabs>
                <w:tab w:val="left" w:pos="821"/>
              </w:tabs>
              <w:adjustRightInd w:val="0"/>
              <w:snapToGrid w:val="0"/>
              <w:spacing w:after="0"/>
              <w:ind w:right="337"/>
              <w:jc w:val="both"/>
              <w:rPr>
                <w:rFonts w:eastAsia="Calibri"/>
                <w:b/>
                <w:sz w:val="22"/>
                <w:szCs w:val="22"/>
              </w:rPr>
            </w:pPr>
            <w:r>
              <w:rPr>
                <w:rFonts w:eastAsia="Calibri"/>
                <w:b/>
                <w:sz w:val="22"/>
                <w:szCs w:val="22"/>
              </w:rPr>
              <w:t>Figure SFM-9</w:t>
            </w:r>
            <w:r w:rsidRPr="004635E5">
              <w:rPr>
                <w:rFonts w:eastAsia="Calibri"/>
                <w:b/>
                <w:sz w:val="22"/>
                <w:szCs w:val="22"/>
              </w:rPr>
              <w:t xml:space="preserve">. </w:t>
            </w:r>
            <w:r w:rsidRPr="004635E5">
              <w:rPr>
                <w:rFonts w:eastAsia="Calibri"/>
                <w:sz w:val="22"/>
                <w:szCs w:val="22"/>
              </w:rPr>
              <w:t>Kobe plots of shortfin mako shark in the North Pacific Ocean showing. A) The time series of the ratio of SA to SA at MSY (SA</w:t>
            </w:r>
            <w:r w:rsidRPr="004635E5">
              <w:rPr>
                <w:rFonts w:eastAsia="Calibri"/>
                <w:position w:val="-2"/>
                <w:sz w:val="22"/>
                <w:szCs w:val="22"/>
                <w:vertAlign w:val="subscript"/>
              </w:rPr>
              <w:t>MSY</w:t>
            </w:r>
            <w:r w:rsidRPr="004635E5">
              <w:rPr>
                <w:rFonts w:eastAsia="Calibri"/>
                <w:sz w:val="22"/>
                <w:szCs w:val="22"/>
              </w:rPr>
              <w:t>) and fishing intensity to fishing intensity at MSY (1-SPR</w:t>
            </w:r>
            <w:r w:rsidRPr="004635E5">
              <w:rPr>
                <w:rFonts w:eastAsia="Calibri"/>
                <w:position w:val="-2"/>
                <w:sz w:val="22"/>
                <w:szCs w:val="22"/>
                <w:vertAlign w:val="subscript"/>
              </w:rPr>
              <w:t>MSY</w:t>
            </w:r>
            <w:r w:rsidRPr="004635E5">
              <w:rPr>
                <w:rFonts w:eastAsia="Calibri"/>
                <w:sz w:val="22"/>
                <w:szCs w:val="22"/>
              </w:rPr>
              <w:t>), and B) the same ratios for the terminal year (2016) for six alternative states of nature. SA is spawning abundance measured as the number of mature females. Fishing intensity is estimated as 1-SPR. Values for the start (1975) and end (2016) years in the time series (A) are indicated by the blue triangle and black circle, respectively. Gray numbers indicate selected years. Alternative states of nature in B) include: Alternative_1) higher catch, Alternative_2) lower catch; Alternative_3) higher uncertainty on Japan shallow-set CPUE index (1975-1993) (CV=0.3); Alternative_4) fit to Japan offshore distant water longline shallow-set fleet (JPN_SS_I; 1975-2016) and Hawaii longline shallow-set fleet (US_SS; 2005-2016), and no fit</w:t>
            </w:r>
            <w:r w:rsidRPr="004635E5">
              <w:rPr>
                <w:rFonts w:eastAsia="Calibri"/>
                <w:spacing w:val="-2"/>
                <w:sz w:val="22"/>
                <w:szCs w:val="22"/>
              </w:rPr>
              <w:t xml:space="preserve"> </w:t>
            </w:r>
            <w:r w:rsidRPr="004635E5">
              <w:rPr>
                <w:rFonts w:eastAsia="Calibri"/>
                <w:sz w:val="22"/>
                <w:szCs w:val="22"/>
              </w:rPr>
              <w:t>to</w:t>
            </w:r>
            <w:r w:rsidRPr="004635E5">
              <w:rPr>
                <w:rFonts w:eastAsia="Calibri"/>
                <w:spacing w:val="-1"/>
                <w:sz w:val="22"/>
                <w:szCs w:val="22"/>
              </w:rPr>
              <w:t xml:space="preserve"> </w:t>
            </w:r>
            <w:r w:rsidRPr="004635E5">
              <w:rPr>
                <w:rFonts w:eastAsia="Calibri"/>
                <w:sz w:val="22"/>
                <w:szCs w:val="22"/>
              </w:rPr>
              <w:t>initial</w:t>
            </w:r>
            <w:r w:rsidRPr="004635E5">
              <w:rPr>
                <w:rFonts w:eastAsia="Calibri"/>
                <w:spacing w:val="-3"/>
                <w:sz w:val="22"/>
                <w:szCs w:val="22"/>
              </w:rPr>
              <w:t xml:space="preserve"> </w:t>
            </w:r>
            <w:r w:rsidRPr="004635E5">
              <w:rPr>
                <w:rFonts w:eastAsia="Calibri"/>
                <w:sz w:val="22"/>
                <w:szCs w:val="22"/>
              </w:rPr>
              <w:t>equilibrium</w:t>
            </w:r>
            <w:r w:rsidRPr="004635E5">
              <w:rPr>
                <w:rFonts w:eastAsia="Calibri"/>
                <w:spacing w:val="-5"/>
                <w:sz w:val="22"/>
                <w:szCs w:val="22"/>
              </w:rPr>
              <w:t xml:space="preserve"> </w:t>
            </w:r>
            <w:r w:rsidRPr="004635E5">
              <w:rPr>
                <w:rFonts w:eastAsia="Calibri"/>
                <w:sz w:val="22"/>
                <w:szCs w:val="22"/>
              </w:rPr>
              <w:t>catch;</w:t>
            </w:r>
            <w:r w:rsidRPr="004635E5">
              <w:rPr>
                <w:rFonts w:eastAsia="Calibri"/>
                <w:spacing w:val="-2"/>
                <w:sz w:val="22"/>
                <w:szCs w:val="22"/>
              </w:rPr>
              <w:t xml:space="preserve"> </w:t>
            </w:r>
            <w:r w:rsidRPr="004635E5">
              <w:rPr>
                <w:rFonts w:eastAsia="Calibri"/>
                <w:sz w:val="22"/>
                <w:szCs w:val="22"/>
              </w:rPr>
              <w:t>Alternative_5)</w:t>
            </w:r>
            <w:r w:rsidRPr="004635E5">
              <w:rPr>
                <w:rFonts w:eastAsia="Calibri"/>
                <w:spacing w:val="-2"/>
                <w:sz w:val="22"/>
                <w:szCs w:val="22"/>
              </w:rPr>
              <w:t xml:space="preserve"> </w:t>
            </w:r>
            <w:r w:rsidRPr="004635E5">
              <w:rPr>
                <w:rFonts w:eastAsia="Calibri"/>
                <w:sz w:val="22"/>
                <w:szCs w:val="22"/>
              </w:rPr>
              <w:t>low</w:t>
            </w:r>
            <w:r w:rsidRPr="004635E5">
              <w:rPr>
                <w:rFonts w:eastAsia="Calibri"/>
                <w:spacing w:val="-2"/>
                <w:sz w:val="22"/>
                <w:szCs w:val="22"/>
              </w:rPr>
              <w:t xml:space="preserve"> </w:t>
            </w:r>
            <w:r w:rsidRPr="004635E5">
              <w:rPr>
                <w:rFonts w:eastAsia="Calibri"/>
                <w:sz w:val="22"/>
                <w:szCs w:val="22"/>
              </w:rPr>
              <w:t>steepness,</w:t>
            </w:r>
            <w:r w:rsidRPr="004635E5">
              <w:rPr>
                <w:rFonts w:eastAsia="Calibri"/>
                <w:spacing w:val="-2"/>
                <w:sz w:val="22"/>
                <w:szCs w:val="22"/>
              </w:rPr>
              <w:t xml:space="preserve"> </w:t>
            </w:r>
            <w:r w:rsidRPr="004635E5">
              <w:rPr>
                <w:rFonts w:eastAsia="Calibri"/>
                <w:sz w:val="22"/>
                <w:szCs w:val="22"/>
              </w:rPr>
              <w:t>h=0.26;</w:t>
            </w:r>
            <w:r w:rsidRPr="004635E5">
              <w:rPr>
                <w:rFonts w:eastAsia="Calibri"/>
                <w:spacing w:val="-2"/>
                <w:sz w:val="22"/>
                <w:szCs w:val="22"/>
              </w:rPr>
              <w:t xml:space="preserve"> </w:t>
            </w:r>
            <w:r w:rsidRPr="004635E5">
              <w:rPr>
                <w:rFonts w:eastAsia="Calibri"/>
                <w:sz w:val="22"/>
                <w:szCs w:val="22"/>
              </w:rPr>
              <w:t>and</w:t>
            </w:r>
            <w:r w:rsidRPr="004635E5">
              <w:rPr>
                <w:rFonts w:eastAsia="Calibri"/>
                <w:spacing w:val="-3"/>
                <w:sz w:val="22"/>
                <w:szCs w:val="22"/>
              </w:rPr>
              <w:t xml:space="preserve"> </w:t>
            </w:r>
            <w:r w:rsidRPr="004635E5">
              <w:rPr>
                <w:rFonts w:eastAsia="Calibri"/>
                <w:sz w:val="22"/>
                <w:szCs w:val="22"/>
              </w:rPr>
              <w:t>Alternative_6)</w:t>
            </w:r>
            <w:r w:rsidRPr="004635E5">
              <w:rPr>
                <w:rFonts w:eastAsia="Calibri"/>
                <w:spacing w:val="-2"/>
                <w:sz w:val="22"/>
                <w:szCs w:val="22"/>
              </w:rPr>
              <w:t xml:space="preserve"> </w:t>
            </w:r>
            <w:r w:rsidRPr="004635E5">
              <w:rPr>
                <w:rFonts w:eastAsia="Calibri"/>
                <w:sz w:val="22"/>
                <w:szCs w:val="22"/>
              </w:rPr>
              <w:t>high</w:t>
            </w:r>
            <w:r w:rsidRPr="004635E5">
              <w:rPr>
                <w:rFonts w:eastAsia="Calibri"/>
                <w:spacing w:val="-3"/>
                <w:sz w:val="22"/>
                <w:szCs w:val="22"/>
              </w:rPr>
              <w:t xml:space="preserve"> </w:t>
            </w:r>
            <w:r w:rsidRPr="004635E5">
              <w:rPr>
                <w:rFonts w:eastAsia="Calibri"/>
                <w:sz w:val="22"/>
                <w:szCs w:val="22"/>
              </w:rPr>
              <w:t>steepness,</w:t>
            </w:r>
            <w:r w:rsidRPr="004635E5">
              <w:rPr>
                <w:rFonts w:eastAsia="Calibri"/>
                <w:spacing w:val="-2"/>
                <w:sz w:val="22"/>
                <w:szCs w:val="22"/>
              </w:rPr>
              <w:t xml:space="preserve"> </w:t>
            </w:r>
            <w:r w:rsidRPr="004635E5">
              <w:rPr>
                <w:rFonts w:eastAsia="Calibri"/>
                <w:sz w:val="22"/>
                <w:szCs w:val="22"/>
              </w:rPr>
              <w:t>h=0.37.</w:t>
            </w:r>
            <w:r w:rsidRPr="004635E5">
              <w:rPr>
                <w:rFonts w:eastAsia="Calibri"/>
                <w:spacing w:val="-4"/>
                <w:sz w:val="22"/>
                <w:szCs w:val="22"/>
              </w:rPr>
              <w:t xml:space="preserve"> </w:t>
            </w:r>
            <w:r w:rsidRPr="004635E5">
              <w:rPr>
                <w:rFonts w:eastAsia="Calibri"/>
                <w:sz w:val="22"/>
                <w:szCs w:val="22"/>
              </w:rPr>
              <w:t>Solid</w:t>
            </w:r>
            <w:r w:rsidRPr="004635E5">
              <w:rPr>
                <w:rFonts w:eastAsia="Calibri"/>
                <w:spacing w:val="-3"/>
                <w:sz w:val="22"/>
                <w:szCs w:val="22"/>
              </w:rPr>
              <w:t xml:space="preserve"> </w:t>
            </w:r>
            <w:r w:rsidRPr="004635E5">
              <w:rPr>
                <w:rFonts w:eastAsia="Calibri"/>
                <w:spacing w:val="2"/>
                <w:sz w:val="22"/>
                <w:szCs w:val="22"/>
              </w:rPr>
              <w:t>lines</w:t>
            </w:r>
            <w:r w:rsidRPr="004635E5">
              <w:rPr>
                <w:rFonts w:eastAsia="Calibri"/>
                <w:spacing w:val="-3"/>
                <w:sz w:val="22"/>
                <w:szCs w:val="22"/>
              </w:rPr>
              <w:t xml:space="preserve"> </w:t>
            </w:r>
            <w:r w:rsidRPr="004635E5">
              <w:rPr>
                <w:rFonts w:eastAsia="Calibri"/>
                <w:sz w:val="22"/>
                <w:szCs w:val="22"/>
              </w:rPr>
              <w:t>indicate</w:t>
            </w:r>
            <w:r w:rsidRPr="004635E5">
              <w:rPr>
                <w:rFonts w:eastAsia="Calibri"/>
                <w:spacing w:val="-2"/>
                <w:sz w:val="22"/>
                <w:szCs w:val="22"/>
              </w:rPr>
              <w:t xml:space="preserve"> </w:t>
            </w:r>
            <w:r w:rsidRPr="004635E5">
              <w:rPr>
                <w:rFonts w:eastAsia="Calibri"/>
                <w:sz w:val="22"/>
                <w:szCs w:val="22"/>
              </w:rPr>
              <w:t>95%</w:t>
            </w:r>
            <w:r w:rsidRPr="004635E5">
              <w:rPr>
                <w:rFonts w:eastAsia="Calibri"/>
                <w:spacing w:val="-2"/>
                <w:sz w:val="22"/>
                <w:szCs w:val="22"/>
              </w:rPr>
              <w:t xml:space="preserve"> </w:t>
            </w:r>
            <w:r w:rsidRPr="004635E5">
              <w:rPr>
                <w:rFonts w:eastAsia="Calibri"/>
                <w:sz w:val="22"/>
                <w:szCs w:val="22"/>
              </w:rPr>
              <w:t>confidence</w:t>
            </w:r>
            <w:r w:rsidRPr="004635E5">
              <w:rPr>
                <w:rFonts w:eastAsia="Calibri"/>
                <w:spacing w:val="-2"/>
                <w:sz w:val="22"/>
                <w:szCs w:val="22"/>
              </w:rPr>
              <w:t xml:space="preserve"> </w:t>
            </w:r>
            <w:r w:rsidRPr="004635E5">
              <w:rPr>
                <w:rFonts w:eastAsia="Calibri"/>
                <w:sz w:val="22"/>
                <w:szCs w:val="22"/>
              </w:rPr>
              <w:t>intervals.</w:t>
            </w:r>
          </w:p>
        </w:tc>
      </w:tr>
    </w:tbl>
    <w:p w14:paraId="724D1B8D" w14:textId="77777777" w:rsidR="003D217E" w:rsidRPr="004635E5" w:rsidRDefault="003D217E" w:rsidP="003D217E">
      <w:pPr>
        <w:tabs>
          <w:tab w:val="left" w:pos="821"/>
        </w:tabs>
        <w:adjustRightInd w:val="0"/>
        <w:snapToGrid w:val="0"/>
        <w:ind w:right="337"/>
        <w:jc w:val="both"/>
        <w:rPr>
          <w:rFonts w:eastAsia="Calibri"/>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D217E" w14:paraId="53E30562" w14:textId="77777777" w:rsidTr="001740C5">
        <w:tc>
          <w:tcPr>
            <w:tcW w:w="9576" w:type="dxa"/>
          </w:tcPr>
          <w:p w14:paraId="1326D5C1" w14:textId="77777777" w:rsidR="003D217E" w:rsidRDefault="003D217E" w:rsidP="001740C5">
            <w:pPr>
              <w:tabs>
                <w:tab w:val="left" w:pos="821"/>
              </w:tabs>
              <w:adjustRightInd w:val="0"/>
              <w:snapToGrid w:val="0"/>
              <w:spacing w:after="0"/>
              <w:ind w:right="337"/>
              <w:jc w:val="center"/>
              <w:rPr>
                <w:rFonts w:eastAsia="Calibri"/>
                <w:b/>
                <w:sz w:val="22"/>
                <w:szCs w:val="22"/>
              </w:rPr>
            </w:pPr>
            <w:r w:rsidRPr="004635E5">
              <w:rPr>
                <w:noProof/>
                <w:sz w:val="22"/>
                <w:szCs w:val="22"/>
                <w:lang w:eastAsia="zh-CN" w:bidi="mn-Mong-CN"/>
              </w:rPr>
              <w:drawing>
                <wp:inline distT="0" distB="0" distL="0" distR="0" wp14:anchorId="11A28A0C" wp14:editId="2396B252">
                  <wp:extent cx="4248150" cy="2618622"/>
                  <wp:effectExtent l="0" t="0" r="0" b="0"/>
                  <wp:docPr id="42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68" cstate="print"/>
                          <a:stretch>
                            <a:fillRect/>
                          </a:stretch>
                        </pic:blipFill>
                        <pic:spPr>
                          <a:xfrm>
                            <a:off x="0" y="0"/>
                            <a:ext cx="4249927" cy="2619717"/>
                          </a:xfrm>
                          <a:prstGeom prst="rect">
                            <a:avLst/>
                          </a:prstGeom>
                        </pic:spPr>
                      </pic:pic>
                    </a:graphicData>
                  </a:graphic>
                </wp:inline>
              </w:drawing>
            </w:r>
          </w:p>
        </w:tc>
      </w:tr>
      <w:tr w:rsidR="003D217E" w14:paraId="3FC2F76F" w14:textId="77777777" w:rsidTr="001740C5">
        <w:tc>
          <w:tcPr>
            <w:tcW w:w="9576" w:type="dxa"/>
          </w:tcPr>
          <w:p w14:paraId="47526A40" w14:textId="77777777" w:rsidR="003D217E" w:rsidRPr="00697896" w:rsidRDefault="003D217E" w:rsidP="001740C5">
            <w:pPr>
              <w:adjustRightInd w:val="0"/>
              <w:snapToGrid w:val="0"/>
              <w:spacing w:after="0"/>
              <w:ind w:right="427"/>
              <w:jc w:val="both"/>
              <w:rPr>
                <w:rFonts w:eastAsiaTheme="minorEastAsia"/>
                <w:sz w:val="22"/>
                <w:szCs w:val="22"/>
                <w:lang w:eastAsia="ko-KR"/>
              </w:rPr>
            </w:pPr>
            <w:r>
              <w:rPr>
                <w:rFonts w:eastAsia="Calibri"/>
                <w:b/>
                <w:sz w:val="22"/>
                <w:szCs w:val="22"/>
              </w:rPr>
              <w:t>Figure SFM-10</w:t>
            </w:r>
            <w:r w:rsidRPr="004635E5">
              <w:rPr>
                <w:rFonts w:eastAsia="Calibri"/>
                <w:b/>
                <w:sz w:val="22"/>
                <w:szCs w:val="22"/>
              </w:rPr>
              <w:t xml:space="preserve">. </w:t>
            </w:r>
            <w:r w:rsidRPr="004635E5">
              <w:rPr>
                <w:rFonts w:eastAsia="Calibri"/>
                <w:sz w:val="22"/>
                <w:szCs w:val="22"/>
              </w:rPr>
              <w:t>Comparison of future projected North Pacific shortfin mako (</w:t>
            </w:r>
            <w:r w:rsidRPr="004635E5">
              <w:rPr>
                <w:rFonts w:eastAsia="Calibri"/>
                <w:i/>
                <w:sz w:val="22"/>
                <w:szCs w:val="22"/>
              </w:rPr>
              <w:t>Isurus oxyrinchus</w:t>
            </w:r>
            <w:r w:rsidRPr="004635E5">
              <w:rPr>
                <w:rFonts w:eastAsia="Calibri"/>
                <w:sz w:val="22"/>
                <w:szCs w:val="22"/>
              </w:rPr>
              <w:t xml:space="preserve">) spawning abundance under different F harvest policies (Constant F </w:t>
            </w:r>
            <w:r w:rsidRPr="004635E5">
              <w:rPr>
                <w:rFonts w:eastAsia="Calibri"/>
                <w:position w:val="-2"/>
                <w:sz w:val="22"/>
                <w:szCs w:val="22"/>
              </w:rPr>
              <w:t>2013-2015</w:t>
            </w:r>
            <w:r w:rsidRPr="004635E5">
              <w:rPr>
                <w:rFonts w:eastAsia="Calibri"/>
                <w:sz w:val="22"/>
                <w:szCs w:val="22"/>
              </w:rPr>
              <w:t>, +20%, -20%) using the base case model. Constant F was based on the average from 2013-2015.</w:t>
            </w:r>
          </w:p>
        </w:tc>
      </w:tr>
    </w:tbl>
    <w:p w14:paraId="359B4387" w14:textId="77777777" w:rsidR="003D217E" w:rsidRDefault="003D217E" w:rsidP="003D217E">
      <w:pPr>
        <w:tabs>
          <w:tab w:val="left" w:pos="821"/>
        </w:tabs>
        <w:adjustRightInd w:val="0"/>
        <w:snapToGrid w:val="0"/>
        <w:ind w:right="337"/>
        <w:jc w:val="both"/>
        <w:rPr>
          <w:rFonts w:eastAsiaTheme="minorEastAsia"/>
          <w:b/>
          <w:sz w:val="22"/>
          <w:szCs w:val="22"/>
          <w:lang w:eastAsia="ko-KR"/>
        </w:rPr>
      </w:pPr>
    </w:p>
    <w:p w14:paraId="207A6298" w14:textId="77777777" w:rsidR="003D217E" w:rsidRPr="00EE3592" w:rsidRDefault="003D217E" w:rsidP="003D217E">
      <w:pPr>
        <w:pStyle w:val="SC3"/>
        <w:spacing w:after="0"/>
        <w:rPr>
          <w:rFonts w:eastAsia="Batang"/>
          <w:bCs/>
          <w:sz w:val="24"/>
          <w:szCs w:val="24"/>
          <w:lang w:eastAsia="ko-KR"/>
        </w:rPr>
      </w:pPr>
      <w:r w:rsidRPr="00EE3592">
        <w:rPr>
          <w:rFonts w:eastAsiaTheme="minorEastAsia"/>
          <w:sz w:val="24"/>
          <w:szCs w:val="24"/>
          <w:lang w:eastAsia="ko-KR"/>
        </w:rPr>
        <w:t xml:space="preserve">Pacific </w:t>
      </w:r>
      <w:r w:rsidRPr="00EE3592">
        <w:rPr>
          <w:sz w:val="24"/>
          <w:szCs w:val="24"/>
        </w:rPr>
        <w:t>bigeye thresher shark</w:t>
      </w:r>
      <w:r w:rsidRPr="00EE3592">
        <w:rPr>
          <w:rFonts w:eastAsiaTheme="minorEastAsia"/>
          <w:sz w:val="24"/>
          <w:szCs w:val="24"/>
          <w:lang w:eastAsia="ko-KR"/>
        </w:rPr>
        <w:t xml:space="preserve"> (</w:t>
      </w:r>
      <w:r w:rsidRPr="00EE3592">
        <w:rPr>
          <w:i/>
          <w:iCs/>
          <w:sz w:val="24"/>
          <w:szCs w:val="24"/>
        </w:rPr>
        <w:t>Alopias superciliosus</w:t>
      </w:r>
      <w:r w:rsidRPr="00EE3592">
        <w:rPr>
          <w:rFonts w:eastAsiaTheme="minorEastAsia"/>
          <w:iCs/>
          <w:sz w:val="24"/>
          <w:szCs w:val="24"/>
          <w:lang w:eastAsia="ko-KR"/>
        </w:rPr>
        <w:t>)</w:t>
      </w:r>
    </w:p>
    <w:p w14:paraId="12251ED0" w14:textId="77777777" w:rsidR="003D217E" w:rsidRPr="004635E5" w:rsidRDefault="003D217E" w:rsidP="003D217E">
      <w:pPr>
        <w:pStyle w:val="SC3"/>
        <w:numPr>
          <w:ilvl w:val="0"/>
          <w:numId w:val="0"/>
        </w:numPr>
        <w:spacing w:after="0"/>
        <w:ind w:left="1440"/>
        <w:rPr>
          <w:rFonts w:eastAsia="Batang"/>
          <w:bCs/>
          <w:lang w:eastAsia="ko-KR"/>
        </w:rPr>
      </w:pPr>
    </w:p>
    <w:p w14:paraId="351BD0E1" w14:textId="77777777" w:rsidR="003D217E" w:rsidRPr="004635E5" w:rsidRDefault="003D217E" w:rsidP="002F64C2">
      <w:pPr>
        <w:pStyle w:val="SCa"/>
        <w:tabs>
          <w:tab w:val="clear" w:pos="1080"/>
        </w:tabs>
        <w:spacing w:after="0"/>
        <w:ind w:left="0"/>
        <w:rPr>
          <w:lang w:val="en-NZ"/>
        </w:rPr>
      </w:pPr>
      <w:r w:rsidRPr="004635E5">
        <w:rPr>
          <w:lang w:val="en-NZ"/>
        </w:rPr>
        <w:t>a.</w:t>
      </w:r>
      <w:r w:rsidRPr="004635E5">
        <w:rPr>
          <w:lang w:val="en-NZ"/>
        </w:rPr>
        <w:tab/>
        <w:t xml:space="preserve">Status and trends </w:t>
      </w:r>
    </w:p>
    <w:p w14:paraId="07290DE0" w14:textId="77777777" w:rsidR="003D217E" w:rsidRPr="004635E5" w:rsidRDefault="003D217E" w:rsidP="003D217E">
      <w:pPr>
        <w:pStyle w:val="SCa"/>
        <w:spacing w:after="0"/>
        <w:rPr>
          <w:lang w:val="en-NZ"/>
        </w:rPr>
      </w:pPr>
    </w:p>
    <w:p w14:paraId="4D05FE73" w14:textId="77777777" w:rsidR="003D217E" w:rsidRDefault="003D217E" w:rsidP="00580EA4">
      <w:pPr>
        <w:numPr>
          <w:ilvl w:val="0"/>
          <w:numId w:val="18"/>
        </w:numPr>
        <w:autoSpaceDE w:val="0"/>
        <w:autoSpaceDN w:val="0"/>
        <w:adjustRightInd w:val="0"/>
        <w:snapToGrid w:val="0"/>
        <w:ind w:left="0" w:firstLine="0"/>
        <w:jc w:val="both"/>
        <w:rPr>
          <w:rFonts w:eastAsia="Batang"/>
          <w:bCs/>
          <w:sz w:val="22"/>
          <w:szCs w:val="22"/>
          <w:lang w:val="en-NZ" w:eastAsia="ko-KR"/>
        </w:rPr>
      </w:pPr>
      <w:r w:rsidRPr="00EE3592">
        <w:rPr>
          <w:rFonts w:eastAsia="Batang"/>
          <w:bCs/>
          <w:sz w:val="22"/>
          <w:szCs w:val="22"/>
          <w:lang w:val="en-NZ" w:eastAsia="ko-KR"/>
        </w:rPr>
        <w:t xml:space="preserve">SC14 noted that no stock assessments were conducted for Pacific bigeye thresher shark in 2018. Therefore, the stock status descriptions from SC13 are still current for Pacific bigeye thresher shark respectively. Updated information on catches was not compiled for and reviewed by SC14. </w:t>
      </w:r>
    </w:p>
    <w:p w14:paraId="79FF64D4" w14:textId="77777777" w:rsidR="003D217E" w:rsidRPr="00EE3592" w:rsidRDefault="003D217E" w:rsidP="003D217E">
      <w:pPr>
        <w:autoSpaceDE w:val="0"/>
        <w:autoSpaceDN w:val="0"/>
        <w:adjustRightInd w:val="0"/>
        <w:snapToGrid w:val="0"/>
        <w:jc w:val="both"/>
        <w:rPr>
          <w:rFonts w:eastAsia="Batang"/>
          <w:bCs/>
          <w:sz w:val="22"/>
          <w:szCs w:val="22"/>
          <w:lang w:val="en-NZ" w:eastAsia="ko-KR"/>
        </w:rPr>
      </w:pPr>
    </w:p>
    <w:p w14:paraId="55CC1E2A" w14:textId="77777777" w:rsidR="003D217E" w:rsidRPr="004635E5" w:rsidRDefault="003D217E" w:rsidP="002F64C2">
      <w:pPr>
        <w:pStyle w:val="SCa"/>
        <w:tabs>
          <w:tab w:val="clear" w:pos="1080"/>
        </w:tabs>
        <w:spacing w:after="0"/>
        <w:ind w:left="0"/>
        <w:rPr>
          <w:lang w:val="en-NZ"/>
        </w:rPr>
      </w:pPr>
      <w:r w:rsidRPr="004635E5">
        <w:rPr>
          <w:lang w:val="en-NZ"/>
        </w:rPr>
        <w:t>b.</w:t>
      </w:r>
      <w:r w:rsidRPr="004635E5">
        <w:rPr>
          <w:lang w:val="en-NZ"/>
        </w:rPr>
        <w:tab/>
        <w:t xml:space="preserve">Management advice and implications </w:t>
      </w:r>
    </w:p>
    <w:p w14:paraId="12AE028F" w14:textId="77777777" w:rsidR="003D217E" w:rsidRPr="004635E5" w:rsidRDefault="003D217E" w:rsidP="003D217E">
      <w:pPr>
        <w:pStyle w:val="SCa"/>
        <w:spacing w:after="0"/>
        <w:rPr>
          <w:lang w:val="en-NZ"/>
        </w:rPr>
      </w:pPr>
    </w:p>
    <w:p w14:paraId="38A4DE7F" w14:textId="77777777" w:rsidR="003D217E" w:rsidRPr="00EE3592" w:rsidRDefault="003D217E" w:rsidP="00580EA4">
      <w:pPr>
        <w:numPr>
          <w:ilvl w:val="0"/>
          <w:numId w:val="18"/>
        </w:numPr>
        <w:autoSpaceDE w:val="0"/>
        <w:autoSpaceDN w:val="0"/>
        <w:adjustRightInd w:val="0"/>
        <w:snapToGrid w:val="0"/>
        <w:ind w:left="0" w:firstLine="0"/>
        <w:jc w:val="both"/>
        <w:rPr>
          <w:rStyle w:val="Hyperlink"/>
          <w:color w:val="auto"/>
          <w:sz w:val="22"/>
          <w:szCs w:val="22"/>
          <w:u w:val="none"/>
          <w:lang w:val="en-AU"/>
        </w:rPr>
      </w:pPr>
      <w:r w:rsidRPr="00EE3592">
        <w:rPr>
          <w:sz w:val="22"/>
          <w:szCs w:val="22"/>
          <w:lang w:val="en-AU"/>
        </w:rPr>
        <w:t xml:space="preserve">SC14 noted that no management advice has been provided since SC13 for Pacific bigeye thresher shark. Therefore, previous advice should be maintained, pending a new assessment or other new information. </w:t>
      </w:r>
      <w:r w:rsidRPr="00EE3592">
        <w:rPr>
          <w:sz w:val="22"/>
          <w:szCs w:val="22"/>
        </w:rPr>
        <w:t xml:space="preserve">For further information on the management advice and implications from SC13, please see </w:t>
      </w:r>
      <w:hyperlink r:id="rId69" w:history="1">
        <w:r w:rsidRPr="00EE3592">
          <w:rPr>
            <w:rStyle w:val="Hyperlink"/>
            <w:sz w:val="22"/>
            <w:szCs w:val="22"/>
          </w:rPr>
          <w:t>https://www.wcpfc.int/node/29904</w:t>
        </w:r>
      </w:hyperlink>
      <w:r w:rsidRPr="00EE3592">
        <w:rPr>
          <w:rStyle w:val="Hyperlink"/>
          <w:sz w:val="22"/>
          <w:szCs w:val="22"/>
        </w:rPr>
        <w:t xml:space="preserve"> </w:t>
      </w:r>
    </w:p>
    <w:p w14:paraId="27F890F8" w14:textId="77777777" w:rsidR="003D217E" w:rsidRPr="004635E5" w:rsidRDefault="003D217E" w:rsidP="003D217E">
      <w:pPr>
        <w:autoSpaceDE w:val="0"/>
        <w:autoSpaceDN w:val="0"/>
        <w:adjustRightInd w:val="0"/>
        <w:snapToGrid w:val="0"/>
        <w:jc w:val="both"/>
        <w:rPr>
          <w:b/>
          <w:bCs/>
          <w:sz w:val="22"/>
          <w:szCs w:val="22"/>
          <w:lang w:val="en-AU"/>
        </w:rPr>
      </w:pPr>
    </w:p>
    <w:p w14:paraId="05DE43FA" w14:textId="77777777" w:rsidR="003D217E" w:rsidRPr="00EE3592" w:rsidRDefault="003D217E" w:rsidP="003D217E">
      <w:pPr>
        <w:pStyle w:val="SC3"/>
        <w:spacing w:after="0"/>
        <w:rPr>
          <w:rFonts w:eastAsia="Batang"/>
          <w:bCs/>
          <w:sz w:val="24"/>
          <w:szCs w:val="24"/>
          <w:lang w:eastAsia="ko-KR"/>
        </w:rPr>
      </w:pPr>
      <w:r w:rsidRPr="00EE3592">
        <w:rPr>
          <w:rFonts w:eastAsiaTheme="minorEastAsia"/>
          <w:sz w:val="24"/>
          <w:szCs w:val="24"/>
          <w:lang w:eastAsia="ko-KR"/>
        </w:rPr>
        <w:t>P</w:t>
      </w:r>
      <w:r w:rsidRPr="00EE3592">
        <w:rPr>
          <w:sz w:val="24"/>
          <w:szCs w:val="24"/>
        </w:rPr>
        <w:t>orbeagle shark</w:t>
      </w:r>
      <w:r w:rsidRPr="00EE3592">
        <w:rPr>
          <w:rFonts w:eastAsiaTheme="minorEastAsia"/>
          <w:sz w:val="24"/>
          <w:szCs w:val="24"/>
          <w:lang w:eastAsia="ko-KR"/>
        </w:rPr>
        <w:t xml:space="preserve"> (</w:t>
      </w:r>
      <w:r w:rsidRPr="00EE3592">
        <w:rPr>
          <w:i/>
          <w:iCs/>
          <w:color w:val="222222"/>
          <w:sz w:val="24"/>
          <w:szCs w:val="24"/>
          <w:shd w:val="clear" w:color="auto" w:fill="FFFFFF"/>
        </w:rPr>
        <w:t>Lamna nasus</w:t>
      </w:r>
      <w:r w:rsidRPr="00EE3592">
        <w:rPr>
          <w:rFonts w:eastAsiaTheme="minorEastAsia"/>
          <w:iCs/>
          <w:sz w:val="24"/>
          <w:szCs w:val="24"/>
          <w:lang w:eastAsia="ko-KR"/>
        </w:rPr>
        <w:t>)</w:t>
      </w:r>
    </w:p>
    <w:p w14:paraId="3AE2850B" w14:textId="77777777" w:rsidR="003D217E" w:rsidRPr="004635E5" w:rsidRDefault="003D217E" w:rsidP="003D217E">
      <w:pPr>
        <w:pStyle w:val="SC3"/>
        <w:numPr>
          <w:ilvl w:val="0"/>
          <w:numId w:val="0"/>
        </w:numPr>
        <w:spacing w:after="0"/>
        <w:ind w:left="1800"/>
        <w:rPr>
          <w:rFonts w:eastAsiaTheme="minorEastAsia"/>
          <w:bCs/>
          <w:lang w:eastAsia="ko-KR"/>
        </w:rPr>
      </w:pPr>
    </w:p>
    <w:p w14:paraId="1F16CBD1" w14:textId="77777777" w:rsidR="003D217E" w:rsidRPr="004635E5" w:rsidRDefault="003D217E" w:rsidP="002F64C2">
      <w:pPr>
        <w:pStyle w:val="SCa"/>
        <w:tabs>
          <w:tab w:val="clear" w:pos="1080"/>
        </w:tabs>
        <w:spacing w:after="0"/>
        <w:ind w:left="0"/>
        <w:rPr>
          <w:lang w:val="en-NZ"/>
        </w:rPr>
      </w:pPr>
      <w:r w:rsidRPr="004635E5">
        <w:rPr>
          <w:lang w:val="en-NZ"/>
        </w:rPr>
        <w:t>a.</w:t>
      </w:r>
      <w:r w:rsidRPr="004635E5">
        <w:rPr>
          <w:lang w:val="en-NZ"/>
        </w:rPr>
        <w:tab/>
        <w:t xml:space="preserve">Status and trends </w:t>
      </w:r>
    </w:p>
    <w:p w14:paraId="4895DC14" w14:textId="77777777" w:rsidR="003D217E" w:rsidRPr="004635E5" w:rsidRDefault="003D217E" w:rsidP="003D217E">
      <w:pPr>
        <w:pStyle w:val="SCa"/>
        <w:spacing w:after="0"/>
        <w:rPr>
          <w:lang w:val="en-NZ"/>
        </w:rPr>
      </w:pPr>
    </w:p>
    <w:p w14:paraId="3828CC39" w14:textId="77777777" w:rsidR="003D217E" w:rsidRPr="00EE3592" w:rsidRDefault="003D217E" w:rsidP="00580EA4">
      <w:pPr>
        <w:numPr>
          <w:ilvl w:val="0"/>
          <w:numId w:val="18"/>
        </w:numPr>
        <w:autoSpaceDE w:val="0"/>
        <w:autoSpaceDN w:val="0"/>
        <w:adjustRightInd w:val="0"/>
        <w:snapToGrid w:val="0"/>
        <w:ind w:left="0" w:firstLine="0"/>
        <w:jc w:val="both"/>
        <w:rPr>
          <w:bCs/>
          <w:sz w:val="22"/>
          <w:szCs w:val="22"/>
        </w:rPr>
      </w:pPr>
      <w:r w:rsidRPr="00EE3592">
        <w:rPr>
          <w:bCs/>
          <w:sz w:val="22"/>
          <w:szCs w:val="22"/>
        </w:rPr>
        <w:t>SC14 noted that no stock assessments were conducted for southern porbeagle shark in 2018. Therefore, the stock status descriptions from SC13 are still current for southern porbeagle shark. Updated information on catches was not compiled for and reviewed by</w:t>
      </w:r>
      <w:r w:rsidRPr="00EE3592">
        <w:rPr>
          <w:bCs/>
          <w:spacing w:val="-19"/>
          <w:sz w:val="22"/>
          <w:szCs w:val="22"/>
        </w:rPr>
        <w:t xml:space="preserve"> </w:t>
      </w:r>
      <w:r w:rsidRPr="00EE3592">
        <w:rPr>
          <w:bCs/>
          <w:sz w:val="22"/>
          <w:szCs w:val="22"/>
        </w:rPr>
        <w:t xml:space="preserve">SC14. </w:t>
      </w:r>
    </w:p>
    <w:p w14:paraId="102F8233" w14:textId="77777777" w:rsidR="003D217E" w:rsidRPr="004635E5" w:rsidRDefault="003D217E" w:rsidP="003D217E">
      <w:pPr>
        <w:autoSpaceDE w:val="0"/>
        <w:autoSpaceDN w:val="0"/>
        <w:adjustRightInd w:val="0"/>
        <w:snapToGrid w:val="0"/>
        <w:jc w:val="both"/>
        <w:rPr>
          <w:b/>
          <w:sz w:val="22"/>
          <w:szCs w:val="22"/>
        </w:rPr>
      </w:pPr>
    </w:p>
    <w:p w14:paraId="09A289B1" w14:textId="77777777" w:rsidR="003D217E" w:rsidRPr="004635E5" w:rsidRDefault="003D217E" w:rsidP="002F64C2">
      <w:pPr>
        <w:pStyle w:val="SCa"/>
        <w:tabs>
          <w:tab w:val="clear" w:pos="1080"/>
        </w:tabs>
        <w:spacing w:after="0"/>
        <w:ind w:left="0"/>
        <w:rPr>
          <w:lang w:val="en-NZ"/>
        </w:rPr>
      </w:pPr>
      <w:r w:rsidRPr="004635E5">
        <w:rPr>
          <w:lang w:val="en-NZ"/>
        </w:rPr>
        <w:t>b.</w:t>
      </w:r>
      <w:r w:rsidRPr="004635E5">
        <w:rPr>
          <w:lang w:val="en-NZ"/>
        </w:rPr>
        <w:tab/>
        <w:t xml:space="preserve">Management advice and implications </w:t>
      </w:r>
    </w:p>
    <w:p w14:paraId="3B88F064" w14:textId="77777777" w:rsidR="003D217E" w:rsidRPr="004635E5" w:rsidRDefault="003D217E" w:rsidP="003D217E">
      <w:pPr>
        <w:pStyle w:val="SCa"/>
        <w:spacing w:after="0"/>
        <w:rPr>
          <w:lang w:val="en-NZ"/>
        </w:rPr>
      </w:pPr>
    </w:p>
    <w:p w14:paraId="0F7B02CC" w14:textId="77777777" w:rsidR="003D217E" w:rsidRPr="00EE3592" w:rsidRDefault="003D217E" w:rsidP="00580EA4">
      <w:pPr>
        <w:numPr>
          <w:ilvl w:val="0"/>
          <w:numId w:val="18"/>
        </w:numPr>
        <w:autoSpaceDE w:val="0"/>
        <w:autoSpaceDN w:val="0"/>
        <w:adjustRightInd w:val="0"/>
        <w:snapToGrid w:val="0"/>
        <w:ind w:left="0" w:firstLine="0"/>
        <w:jc w:val="both"/>
        <w:rPr>
          <w:rStyle w:val="Hyperlink"/>
          <w:bCs/>
          <w:color w:val="auto"/>
          <w:sz w:val="22"/>
          <w:szCs w:val="22"/>
          <w:u w:val="none"/>
        </w:rPr>
      </w:pPr>
      <w:r w:rsidRPr="00EE3592">
        <w:rPr>
          <w:bCs/>
          <w:sz w:val="22"/>
          <w:szCs w:val="22"/>
        </w:rPr>
        <w:t xml:space="preserve">SC14 noted that no management advice has been provided since SC13 for southern porbeagle shark. Therefore, previous advice should be maintained, pending a new assessment or other new information. </w:t>
      </w:r>
      <w:r w:rsidRPr="00EE3592">
        <w:rPr>
          <w:bCs/>
          <w:sz w:val="22"/>
          <w:szCs w:val="22"/>
          <w:lang w:val="en-AU"/>
        </w:rPr>
        <w:t>For further information on the management advice and implications from SC13, please see</w:t>
      </w:r>
      <w:r w:rsidRPr="00EE3592">
        <w:rPr>
          <w:bCs/>
          <w:sz w:val="22"/>
          <w:szCs w:val="22"/>
          <w:lang w:val="en-AU" w:eastAsia="ko-KR"/>
        </w:rPr>
        <w:t xml:space="preserve"> </w:t>
      </w:r>
      <w:hyperlink r:id="rId70" w:history="1">
        <w:r w:rsidRPr="00EE3592">
          <w:rPr>
            <w:rStyle w:val="Hyperlink"/>
            <w:bCs/>
            <w:sz w:val="22"/>
            <w:szCs w:val="22"/>
          </w:rPr>
          <w:t>https://www.wcpfc.int/node/29904</w:t>
        </w:r>
      </w:hyperlink>
      <w:r w:rsidRPr="00EE3592">
        <w:rPr>
          <w:rStyle w:val="Hyperlink"/>
          <w:bCs/>
          <w:sz w:val="22"/>
          <w:szCs w:val="22"/>
          <w:highlight w:val="yellow"/>
          <w:lang w:val="en-AU" w:eastAsia="ko-KR"/>
        </w:rPr>
        <w:t xml:space="preserve"> </w:t>
      </w:r>
    </w:p>
    <w:p w14:paraId="7D27171C" w14:textId="77777777" w:rsidR="003D217E" w:rsidRPr="004635E5" w:rsidRDefault="003D217E" w:rsidP="003D217E">
      <w:pPr>
        <w:autoSpaceDE w:val="0"/>
        <w:autoSpaceDN w:val="0"/>
        <w:adjustRightInd w:val="0"/>
        <w:snapToGrid w:val="0"/>
        <w:jc w:val="both"/>
        <w:rPr>
          <w:b/>
          <w:sz w:val="22"/>
          <w:szCs w:val="22"/>
        </w:rPr>
      </w:pPr>
    </w:p>
    <w:p w14:paraId="5FAE868E" w14:textId="77777777" w:rsidR="003D217E" w:rsidRPr="00EE3592" w:rsidRDefault="003D217E" w:rsidP="003D217E">
      <w:pPr>
        <w:pStyle w:val="SC3"/>
        <w:spacing w:after="0"/>
        <w:rPr>
          <w:rFonts w:eastAsiaTheme="minorEastAsia"/>
          <w:sz w:val="24"/>
          <w:szCs w:val="24"/>
          <w:lang w:eastAsia="ko-KR"/>
        </w:rPr>
      </w:pPr>
      <w:r w:rsidRPr="00EE3592">
        <w:rPr>
          <w:rFonts w:eastAsiaTheme="minorEastAsia"/>
          <w:sz w:val="24"/>
          <w:szCs w:val="24"/>
          <w:lang w:eastAsia="ko-KR"/>
        </w:rPr>
        <w:t>Whale shark (</w:t>
      </w:r>
      <w:r w:rsidRPr="00EE3592">
        <w:rPr>
          <w:rStyle w:val="w8qarf"/>
          <w:bCs/>
          <w:color w:val="222222"/>
          <w:sz w:val="24"/>
          <w:szCs w:val="24"/>
          <w:shd w:val="clear" w:color="auto" w:fill="FFFFFF"/>
        </w:rPr>
        <w:t> </w:t>
      </w:r>
      <w:r w:rsidRPr="00EE3592">
        <w:rPr>
          <w:rStyle w:val="lrzxr"/>
          <w:i/>
          <w:color w:val="222222"/>
          <w:sz w:val="24"/>
          <w:szCs w:val="24"/>
          <w:shd w:val="clear" w:color="auto" w:fill="FFFFFF"/>
        </w:rPr>
        <w:t>Rhincodon typus</w:t>
      </w:r>
      <w:r w:rsidRPr="00EE3592">
        <w:rPr>
          <w:rFonts w:eastAsiaTheme="minorEastAsia"/>
          <w:sz w:val="24"/>
          <w:szCs w:val="24"/>
          <w:lang w:eastAsia="ko-KR"/>
        </w:rPr>
        <w:t>)</w:t>
      </w:r>
    </w:p>
    <w:p w14:paraId="456CD951" w14:textId="77777777" w:rsidR="003D217E" w:rsidRPr="004635E5" w:rsidRDefault="003D217E" w:rsidP="003D217E">
      <w:pPr>
        <w:pStyle w:val="SC3"/>
        <w:numPr>
          <w:ilvl w:val="0"/>
          <w:numId w:val="0"/>
        </w:numPr>
        <w:spacing w:after="0"/>
        <w:ind w:left="1440"/>
        <w:rPr>
          <w:rFonts w:eastAsiaTheme="minorEastAsia"/>
          <w:lang w:eastAsia="ko-KR"/>
        </w:rPr>
      </w:pPr>
    </w:p>
    <w:p w14:paraId="7BD9C932" w14:textId="77777777" w:rsidR="003D217E" w:rsidRPr="004635E5" w:rsidRDefault="003D217E" w:rsidP="002F64C2">
      <w:pPr>
        <w:pStyle w:val="SCa"/>
        <w:tabs>
          <w:tab w:val="clear" w:pos="1080"/>
        </w:tabs>
        <w:spacing w:after="0"/>
        <w:ind w:left="0"/>
        <w:rPr>
          <w:lang w:val="en-NZ"/>
        </w:rPr>
      </w:pPr>
      <w:r w:rsidRPr="004635E5">
        <w:rPr>
          <w:lang w:val="en-NZ"/>
        </w:rPr>
        <w:t>a.</w:t>
      </w:r>
      <w:r w:rsidRPr="004635E5">
        <w:rPr>
          <w:lang w:val="en-NZ"/>
        </w:rPr>
        <w:tab/>
        <w:t>Stock status and trends</w:t>
      </w:r>
    </w:p>
    <w:p w14:paraId="6D087C05" w14:textId="77777777" w:rsidR="003D217E" w:rsidRPr="004635E5" w:rsidRDefault="003D217E" w:rsidP="003D217E">
      <w:pPr>
        <w:pStyle w:val="SCa"/>
        <w:spacing w:after="0"/>
        <w:rPr>
          <w:lang w:val="en-NZ"/>
        </w:rPr>
      </w:pPr>
    </w:p>
    <w:p w14:paraId="798ACB91" w14:textId="77777777" w:rsidR="003D217E" w:rsidRPr="00EE3592" w:rsidRDefault="003D217E" w:rsidP="00580EA4">
      <w:pPr>
        <w:numPr>
          <w:ilvl w:val="0"/>
          <w:numId w:val="18"/>
        </w:numPr>
        <w:autoSpaceDE w:val="0"/>
        <w:autoSpaceDN w:val="0"/>
        <w:adjustRightInd w:val="0"/>
        <w:snapToGrid w:val="0"/>
        <w:ind w:left="0" w:firstLine="0"/>
        <w:jc w:val="both"/>
        <w:rPr>
          <w:rFonts w:eastAsia="Batang"/>
          <w:bCs/>
          <w:sz w:val="22"/>
          <w:szCs w:val="22"/>
          <w:lang w:val="en-AU" w:eastAsia="ko-KR"/>
        </w:rPr>
      </w:pPr>
      <w:r w:rsidRPr="00EE3592">
        <w:rPr>
          <w:rFonts w:eastAsia="Batang"/>
          <w:bCs/>
          <w:sz w:val="22"/>
          <w:szCs w:val="22"/>
          <w:lang w:val="en-AU" w:eastAsia="ko-KR"/>
        </w:rPr>
        <w:t>A nominal trend of high interactions in 2006-2008, followed by lower rates thereafter was not altered by standardization (Figure RHN-1), and is consistent with trends found in the Eastern Pacific Ocean by Román et al. 2018. These decreasing annual trends in interactions do not appear to result from management measures as prohibitions on intentional setting of purse seines on whale sharks were adopted by the PNA in 2010, by the WCPFC in 2012 and by the IATTC in 2015. Furthermore, the trends may have been influenced by low WCPO purse seine observer coverage rates prior to 2010.</w:t>
      </w:r>
    </w:p>
    <w:p w14:paraId="5CB06E56" w14:textId="77777777" w:rsidR="003D217E" w:rsidRDefault="003D217E" w:rsidP="003D217E">
      <w:pPr>
        <w:autoSpaceDE w:val="0"/>
        <w:autoSpaceDN w:val="0"/>
        <w:adjustRightInd w:val="0"/>
        <w:snapToGrid w:val="0"/>
        <w:jc w:val="both"/>
        <w:rPr>
          <w:rFonts w:eastAsia="Batang"/>
          <w:b/>
          <w:sz w:val="22"/>
          <w:szCs w:val="22"/>
          <w:lang w:val="en-AU"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D217E" w14:paraId="77A88FA8" w14:textId="77777777" w:rsidTr="001740C5">
        <w:tc>
          <w:tcPr>
            <w:tcW w:w="4788" w:type="dxa"/>
          </w:tcPr>
          <w:p w14:paraId="7785D266" w14:textId="77777777" w:rsidR="003D217E" w:rsidRDefault="003D217E" w:rsidP="001740C5">
            <w:pPr>
              <w:autoSpaceDE w:val="0"/>
              <w:autoSpaceDN w:val="0"/>
              <w:adjustRightInd w:val="0"/>
              <w:snapToGrid w:val="0"/>
              <w:jc w:val="both"/>
              <w:rPr>
                <w:rFonts w:eastAsia="Batang"/>
                <w:b/>
                <w:sz w:val="22"/>
                <w:szCs w:val="22"/>
                <w:lang w:val="en-AU" w:eastAsia="ko-KR"/>
              </w:rPr>
            </w:pPr>
            <w:r w:rsidRPr="004635E5">
              <w:rPr>
                <w:rFonts w:eastAsia="Batang"/>
                <w:noProof/>
                <w:sz w:val="22"/>
                <w:szCs w:val="22"/>
                <w:lang w:eastAsia="zh-CN" w:bidi="mn-Mong-CN"/>
              </w:rPr>
              <w:drawing>
                <wp:inline distT="0" distB="0" distL="0" distR="0" wp14:anchorId="6743C3F6" wp14:editId="2DC19BD8">
                  <wp:extent cx="2718816" cy="1487424"/>
                  <wp:effectExtent l="0" t="0" r="5715" b="0"/>
                  <wp:docPr id="42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71" cstate="print"/>
                          <a:stretch>
                            <a:fillRect/>
                          </a:stretch>
                        </pic:blipFill>
                        <pic:spPr bwMode="auto">
                          <a:xfrm>
                            <a:off x="0" y="0"/>
                            <a:ext cx="2727203" cy="1492012"/>
                          </a:xfrm>
                          <a:prstGeom prst="rect">
                            <a:avLst/>
                          </a:prstGeom>
                        </pic:spPr>
                      </pic:pic>
                    </a:graphicData>
                  </a:graphic>
                </wp:inline>
              </w:drawing>
            </w:r>
          </w:p>
        </w:tc>
        <w:tc>
          <w:tcPr>
            <w:tcW w:w="4788" w:type="dxa"/>
          </w:tcPr>
          <w:p w14:paraId="63E5883E" w14:textId="77777777" w:rsidR="003D217E" w:rsidRPr="00697896" w:rsidRDefault="003D217E" w:rsidP="001740C5">
            <w:pPr>
              <w:adjustRightInd w:val="0"/>
              <w:snapToGrid w:val="0"/>
              <w:jc w:val="both"/>
              <w:rPr>
                <w:rFonts w:eastAsia="Batang"/>
                <w:sz w:val="22"/>
                <w:szCs w:val="22"/>
                <w:lang w:val="en-NZ" w:eastAsia="ko-KR"/>
              </w:rPr>
            </w:pPr>
            <w:r w:rsidRPr="004635E5">
              <w:rPr>
                <w:rFonts w:eastAsia="Batang"/>
                <w:b/>
                <w:sz w:val="22"/>
                <w:szCs w:val="22"/>
                <w:lang w:val="en-AU" w:eastAsia="ko-KR"/>
              </w:rPr>
              <w:t>Figure RHN-1.</w:t>
            </w:r>
            <w:r w:rsidRPr="004635E5">
              <w:rPr>
                <w:rFonts w:eastAsia="Batang"/>
                <w:sz w:val="22"/>
                <w:szCs w:val="22"/>
                <w:lang w:val="en-AU" w:eastAsia="ko-KR"/>
              </w:rPr>
              <w:tab/>
              <w:t>Estimated temporal index of interactions based on a) the full observer dataset, b) the full dataset without whale- and whale shark associated sets, and c) free-school sets only. The rationale behind the different effort subsets is given in section 2.2.2 of SC14-SA-WP-12. The index is centred to have a geometric mean of one and is therefore unit-less.</w:t>
            </w:r>
          </w:p>
        </w:tc>
      </w:tr>
    </w:tbl>
    <w:p w14:paraId="189C17C5" w14:textId="77777777" w:rsidR="003D217E" w:rsidRPr="004635E5" w:rsidRDefault="003D217E" w:rsidP="003D217E">
      <w:pPr>
        <w:pStyle w:val="ListParagraph"/>
        <w:adjustRightInd w:val="0"/>
        <w:snapToGrid w:val="0"/>
        <w:jc w:val="both"/>
        <w:rPr>
          <w:rFonts w:eastAsia="Batang"/>
          <w:sz w:val="22"/>
          <w:szCs w:val="22"/>
          <w:lang w:val="en-AU" w:eastAsia="ko-KR"/>
        </w:rPr>
      </w:pPr>
    </w:p>
    <w:p w14:paraId="37489E3C" w14:textId="77777777" w:rsidR="003D217E" w:rsidRPr="00EE3592" w:rsidRDefault="003D217E" w:rsidP="00580EA4">
      <w:pPr>
        <w:numPr>
          <w:ilvl w:val="0"/>
          <w:numId w:val="18"/>
        </w:numPr>
        <w:autoSpaceDE w:val="0"/>
        <w:autoSpaceDN w:val="0"/>
        <w:adjustRightInd w:val="0"/>
        <w:snapToGrid w:val="0"/>
        <w:ind w:left="0" w:firstLine="0"/>
        <w:jc w:val="both"/>
        <w:rPr>
          <w:rFonts w:eastAsia="Batang"/>
          <w:bCs/>
          <w:sz w:val="22"/>
          <w:szCs w:val="22"/>
          <w:lang w:val="en-NZ" w:eastAsia="ko-KR"/>
        </w:rPr>
      </w:pPr>
      <w:r w:rsidRPr="00EE3592">
        <w:rPr>
          <w:rFonts w:eastAsia="Batang"/>
          <w:bCs/>
          <w:sz w:val="22"/>
          <w:szCs w:val="22"/>
          <w:lang w:val="en-AU" w:eastAsia="ko-KR"/>
        </w:rPr>
        <w:t xml:space="preserve">SC14 noted that over a range of notional reference points, and in accordance with expert-elicited post-mortality rates of ~10%, median sustainability risk from Pacific Ocean fisheries alone for the 2006-2016 period ranged between (Figure RHN-2):  </w:t>
      </w:r>
    </w:p>
    <w:p w14:paraId="77EB2A14" w14:textId="77777777" w:rsidR="003D217E" w:rsidRPr="00EE3592" w:rsidRDefault="003D217E" w:rsidP="00580EA4">
      <w:pPr>
        <w:pStyle w:val="ListParagraph"/>
        <w:numPr>
          <w:ilvl w:val="1"/>
          <w:numId w:val="36"/>
        </w:numPr>
        <w:adjustRightInd w:val="0"/>
        <w:snapToGrid w:val="0"/>
        <w:rPr>
          <w:rFonts w:eastAsia="Batang"/>
          <w:bCs/>
          <w:sz w:val="22"/>
          <w:szCs w:val="22"/>
          <w:lang w:val="en-NZ" w:eastAsia="ko-KR"/>
        </w:rPr>
      </w:pPr>
      <w:r w:rsidRPr="00EE3592">
        <w:rPr>
          <w:rFonts w:eastAsia="Batang"/>
          <w:bCs/>
          <w:sz w:val="22"/>
          <w:szCs w:val="22"/>
          <w:lang w:val="en-AU" w:eastAsia="ko-KR"/>
        </w:rPr>
        <w:t>3-12% of the limit risk level based on 0.5</w:t>
      </w:r>
      <w:r w:rsidRPr="00EE3592">
        <w:rPr>
          <w:rFonts w:eastAsia="Batang"/>
          <w:bCs/>
          <w:i/>
          <w:iCs/>
          <w:sz w:val="22"/>
          <w:szCs w:val="22"/>
          <w:lang w:val="en-AU" w:eastAsia="ko-KR"/>
        </w:rPr>
        <w:t>r</w:t>
      </w:r>
      <w:r w:rsidRPr="00EE3592">
        <w:rPr>
          <w:rFonts w:eastAsia="Batang"/>
          <w:bCs/>
          <w:i/>
          <w:iCs/>
          <w:sz w:val="22"/>
          <w:szCs w:val="22"/>
          <w:vertAlign w:val="subscript"/>
          <w:lang w:val="en-AU" w:eastAsia="ko-KR"/>
        </w:rPr>
        <w:t>max</w:t>
      </w:r>
      <w:r w:rsidRPr="00EE3592">
        <w:rPr>
          <w:rFonts w:eastAsia="Batang"/>
          <w:bCs/>
          <w:iCs/>
          <w:sz w:val="22"/>
          <w:szCs w:val="22"/>
          <w:lang w:val="en-AU" w:eastAsia="ko-KR"/>
        </w:rPr>
        <w:t xml:space="preserve"> (F</w:t>
      </w:r>
      <w:r w:rsidRPr="00EE3592">
        <w:rPr>
          <w:rFonts w:eastAsia="Batang"/>
          <w:bCs/>
          <w:iCs/>
          <w:sz w:val="22"/>
          <w:szCs w:val="22"/>
          <w:vertAlign w:val="subscript"/>
          <w:lang w:val="en-AU" w:eastAsia="ko-KR"/>
        </w:rPr>
        <w:t>msm</w:t>
      </w:r>
      <w:r w:rsidRPr="00EE3592">
        <w:rPr>
          <w:rFonts w:eastAsia="Batang"/>
          <w:bCs/>
          <w:iCs/>
          <w:sz w:val="22"/>
          <w:szCs w:val="22"/>
          <w:lang w:val="en-AU" w:eastAsia="ko-KR"/>
        </w:rPr>
        <w:t>)</w:t>
      </w:r>
      <w:r w:rsidRPr="00EE3592">
        <w:rPr>
          <w:rFonts w:eastAsia="Batang"/>
          <w:bCs/>
          <w:sz w:val="22"/>
          <w:szCs w:val="22"/>
          <w:lang w:val="en-AU" w:eastAsia="ko-KR"/>
        </w:rPr>
        <w:t xml:space="preserve">, </w:t>
      </w:r>
    </w:p>
    <w:p w14:paraId="13BA29A5" w14:textId="77777777" w:rsidR="003D217E" w:rsidRPr="00EE3592" w:rsidRDefault="003D217E" w:rsidP="00580EA4">
      <w:pPr>
        <w:pStyle w:val="ListParagraph"/>
        <w:numPr>
          <w:ilvl w:val="1"/>
          <w:numId w:val="36"/>
        </w:numPr>
        <w:adjustRightInd w:val="0"/>
        <w:snapToGrid w:val="0"/>
        <w:rPr>
          <w:rFonts w:eastAsia="Batang"/>
          <w:bCs/>
          <w:sz w:val="22"/>
          <w:szCs w:val="22"/>
          <w:lang w:val="en-NZ" w:eastAsia="ko-KR"/>
        </w:rPr>
      </w:pPr>
      <w:r w:rsidRPr="00EE3592">
        <w:rPr>
          <w:rFonts w:eastAsia="Batang"/>
          <w:bCs/>
          <w:sz w:val="22"/>
          <w:szCs w:val="22"/>
          <w:lang w:val="en-AU" w:eastAsia="ko-KR"/>
        </w:rPr>
        <w:t>2-8% of the limit risk level based on 0.75</w:t>
      </w:r>
      <w:r w:rsidRPr="00EE3592">
        <w:rPr>
          <w:rFonts w:eastAsia="Batang"/>
          <w:bCs/>
          <w:i/>
          <w:iCs/>
          <w:sz w:val="22"/>
          <w:szCs w:val="22"/>
          <w:lang w:val="en-AU" w:eastAsia="ko-KR"/>
        </w:rPr>
        <w:t>r</w:t>
      </w:r>
      <w:r w:rsidRPr="00EE3592">
        <w:rPr>
          <w:rFonts w:eastAsia="Batang"/>
          <w:bCs/>
          <w:i/>
          <w:iCs/>
          <w:sz w:val="22"/>
          <w:szCs w:val="22"/>
          <w:vertAlign w:val="subscript"/>
          <w:lang w:val="en-AU" w:eastAsia="ko-KR"/>
        </w:rPr>
        <w:t>max</w:t>
      </w:r>
      <w:r w:rsidRPr="00EE3592">
        <w:rPr>
          <w:rFonts w:eastAsia="Batang"/>
          <w:bCs/>
          <w:i/>
          <w:iCs/>
          <w:sz w:val="22"/>
          <w:szCs w:val="22"/>
          <w:lang w:val="en-AU" w:eastAsia="ko-KR"/>
        </w:rPr>
        <w:t xml:space="preserve"> </w:t>
      </w:r>
      <w:r w:rsidRPr="00EE3592">
        <w:rPr>
          <w:rFonts w:eastAsia="Batang"/>
          <w:bCs/>
          <w:iCs/>
          <w:sz w:val="22"/>
          <w:szCs w:val="22"/>
          <w:lang w:val="en-AU" w:eastAsia="ko-KR"/>
        </w:rPr>
        <w:t>(F</w:t>
      </w:r>
      <w:r w:rsidRPr="00EE3592">
        <w:rPr>
          <w:rFonts w:eastAsia="Batang"/>
          <w:bCs/>
          <w:iCs/>
          <w:sz w:val="22"/>
          <w:szCs w:val="22"/>
          <w:vertAlign w:val="subscript"/>
          <w:lang w:val="en-AU" w:eastAsia="ko-KR"/>
        </w:rPr>
        <w:t>lim</w:t>
      </w:r>
      <w:r w:rsidRPr="00EE3592">
        <w:rPr>
          <w:rFonts w:eastAsia="Batang"/>
          <w:bCs/>
          <w:iCs/>
          <w:sz w:val="22"/>
          <w:szCs w:val="22"/>
          <w:lang w:val="en-AU" w:eastAsia="ko-KR"/>
        </w:rPr>
        <w:t>)</w:t>
      </w:r>
      <w:r w:rsidRPr="00EE3592">
        <w:rPr>
          <w:rFonts w:eastAsia="Batang"/>
          <w:bCs/>
          <w:sz w:val="22"/>
          <w:szCs w:val="22"/>
          <w:lang w:val="en-AU" w:eastAsia="ko-KR"/>
        </w:rPr>
        <w:t xml:space="preserve">, and </w:t>
      </w:r>
    </w:p>
    <w:p w14:paraId="67DC5377" w14:textId="77777777" w:rsidR="003D217E" w:rsidRPr="00EE3592" w:rsidRDefault="003D217E" w:rsidP="00580EA4">
      <w:pPr>
        <w:pStyle w:val="ListParagraph"/>
        <w:numPr>
          <w:ilvl w:val="1"/>
          <w:numId w:val="36"/>
        </w:numPr>
        <w:adjustRightInd w:val="0"/>
        <w:snapToGrid w:val="0"/>
        <w:rPr>
          <w:rFonts w:eastAsia="Batang"/>
          <w:bCs/>
          <w:sz w:val="22"/>
          <w:szCs w:val="22"/>
          <w:lang w:val="en-NZ" w:eastAsia="ko-KR"/>
        </w:rPr>
      </w:pPr>
      <w:r w:rsidRPr="00EE3592">
        <w:rPr>
          <w:rFonts w:eastAsia="Batang"/>
          <w:bCs/>
          <w:sz w:val="22"/>
          <w:szCs w:val="22"/>
          <w:lang w:val="en-AU" w:eastAsia="ko-KR"/>
        </w:rPr>
        <w:t xml:space="preserve">2-6% of the limit risk level based on </w:t>
      </w:r>
      <w:r w:rsidRPr="00EE3592">
        <w:rPr>
          <w:rFonts w:eastAsia="Batang"/>
          <w:bCs/>
          <w:i/>
          <w:iCs/>
          <w:sz w:val="22"/>
          <w:szCs w:val="22"/>
          <w:lang w:val="en-AU" w:eastAsia="ko-KR"/>
        </w:rPr>
        <w:t>r</w:t>
      </w:r>
      <w:r w:rsidRPr="00EE3592">
        <w:rPr>
          <w:rFonts w:eastAsia="Batang"/>
          <w:bCs/>
          <w:i/>
          <w:iCs/>
          <w:sz w:val="22"/>
          <w:szCs w:val="22"/>
          <w:vertAlign w:val="subscript"/>
          <w:lang w:val="en-AU" w:eastAsia="ko-KR"/>
        </w:rPr>
        <w:t>max</w:t>
      </w:r>
      <w:r w:rsidRPr="00EE3592">
        <w:rPr>
          <w:rFonts w:eastAsia="Batang"/>
          <w:bCs/>
          <w:i/>
          <w:iCs/>
          <w:sz w:val="22"/>
          <w:szCs w:val="22"/>
          <w:lang w:val="en-AU" w:eastAsia="ko-KR"/>
        </w:rPr>
        <w:t xml:space="preserve"> </w:t>
      </w:r>
      <w:r w:rsidRPr="00EE3592">
        <w:rPr>
          <w:rFonts w:eastAsia="Batang"/>
          <w:bCs/>
          <w:iCs/>
          <w:sz w:val="22"/>
          <w:szCs w:val="22"/>
          <w:lang w:val="en-AU" w:eastAsia="ko-KR"/>
        </w:rPr>
        <w:t>(F</w:t>
      </w:r>
      <w:r w:rsidRPr="00EE3592">
        <w:rPr>
          <w:rFonts w:eastAsia="Batang"/>
          <w:bCs/>
          <w:iCs/>
          <w:sz w:val="22"/>
          <w:szCs w:val="22"/>
          <w:vertAlign w:val="subscript"/>
          <w:lang w:val="en-AU" w:eastAsia="ko-KR"/>
        </w:rPr>
        <w:t>crash</w:t>
      </w:r>
      <w:r w:rsidRPr="00EE3592">
        <w:rPr>
          <w:rFonts w:eastAsia="Batang"/>
          <w:bCs/>
          <w:iCs/>
          <w:sz w:val="22"/>
          <w:szCs w:val="22"/>
          <w:lang w:val="en-AU" w:eastAsia="ko-KR"/>
        </w:rPr>
        <w:t>)</w:t>
      </w:r>
      <w:r w:rsidRPr="00EE3592">
        <w:rPr>
          <w:rFonts w:eastAsia="Batang"/>
          <w:bCs/>
          <w:i/>
          <w:iCs/>
          <w:sz w:val="22"/>
          <w:szCs w:val="22"/>
          <w:lang w:val="en-AU" w:eastAsia="ko-KR"/>
        </w:rPr>
        <w:t xml:space="preserve">, </w:t>
      </w:r>
      <w:r w:rsidRPr="00EE3592">
        <w:rPr>
          <w:rFonts w:eastAsia="Batang"/>
          <w:bCs/>
          <w:sz w:val="22"/>
          <w:szCs w:val="22"/>
          <w:lang w:val="en-AU" w:eastAsia="ko-KR"/>
        </w:rPr>
        <w:t>where</w:t>
      </w:r>
      <w:r w:rsidRPr="00EE3592">
        <w:rPr>
          <w:rFonts w:eastAsia="Batang"/>
          <w:bCs/>
          <w:i/>
          <w:iCs/>
          <w:sz w:val="22"/>
          <w:szCs w:val="22"/>
          <w:lang w:val="en-AU" w:eastAsia="ko-KR"/>
        </w:rPr>
        <w:t xml:space="preserve"> r</w:t>
      </w:r>
      <w:r w:rsidRPr="00EE3592">
        <w:rPr>
          <w:rFonts w:eastAsia="Batang"/>
          <w:bCs/>
          <w:i/>
          <w:iCs/>
          <w:sz w:val="22"/>
          <w:szCs w:val="22"/>
          <w:vertAlign w:val="subscript"/>
          <w:lang w:val="en-AU" w:eastAsia="ko-KR"/>
        </w:rPr>
        <w:t>max</w:t>
      </w:r>
      <w:r w:rsidRPr="00EE3592">
        <w:rPr>
          <w:rFonts w:eastAsia="Batang"/>
          <w:bCs/>
          <w:i/>
          <w:iCs/>
          <w:sz w:val="22"/>
          <w:szCs w:val="22"/>
          <w:lang w:val="en-AU" w:eastAsia="ko-KR"/>
        </w:rPr>
        <w:t xml:space="preserve"> </w:t>
      </w:r>
      <w:r w:rsidRPr="00EE3592">
        <w:rPr>
          <w:rFonts w:eastAsia="Batang"/>
          <w:bCs/>
          <w:sz w:val="22"/>
          <w:szCs w:val="22"/>
          <w:lang w:val="en-AU" w:eastAsia="ko-KR"/>
        </w:rPr>
        <w:t xml:space="preserve">is the maximum population growth rate. </w:t>
      </w:r>
    </w:p>
    <w:p w14:paraId="0A7AE2BC" w14:textId="77777777" w:rsidR="003D217E" w:rsidRDefault="003D217E" w:rsidP="003D217E">
      <w:pPr>
        <w:adjustRightInd w:val="0"/>
        <w:snapToGrid w:val="0"/>
        <w:rPr>
          <w:rFonts w:eastAsia="Batang"/>
          <w:sz w:val="22"/>
          <w:szCs w:val="22"/>
          <w:lang w:val="en-NZ"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D217E" w14:paraId="762C7EC0" w14:textId="77777777" w:rsidTr="001740C5">
        <w:tc>
          <w:tcPr>
            <w:tcW w:w="4788" w:type="dxa"/>
          </w:tcPr>
          <w:p w14:paraId="27590C5B" w14:textId="77777777" w:rsidR="003D217E" w:rsidRDefault="003D217E" w:rsidP="001740C5">
            <w:pPr>
              <w:adjustRightInd w:val="0"/>
              <w:snapToGrid w:val="0"/>
              <w:rPr>
                <w:rFonts w:eastAsia="Batang"/>
                <w:sz w:val="22"/>
                <w:szCs w:val="22"/>
                <w:lang w:val="en-NZ" w:eastAsia="ko-KR"/>
              </w:rPr>
            </w:pPr>
            <w:r w:rsidRPr="004635E5">
              <w:rPr>
                <w:rFonts w:eastAsia="Batang"/>
                <w:noProof/>
                <w:sz w:val="22"/>
                <w:szCs w:val="22"/>
                <w:lang w:eastAsia="zh-CN" w:bidi="mn-Mong-CN"/>
              </w:rPr>
              <w:drawing>
                <wp:inline distT="0" distB="5080" distL="0" distR="0" wp14:anchorId="77848163" wp14:editId="31649D97">
                  <wp:extent cx="2876550" cy="1160128"/>
                  <wp:effectExtent l="0" t="0" r="0" b="2540"/>
                  <wp:docPr id="42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72" cstate="print"/>
                          <a:srcRect t="65939"/>
                          <a:stretch>
                            <a:fillRect/>
                          </a:stretch>
                        </pic:blipFill>
                        <pic:spPr bwMode="auto">
                          <a:xfrm>
                            <a:off x="0" y="0"/>
                            <a:ext cx="2884126" cy="1163184"/>
                          </a:xfrm>
                          <a:prstGeom prst="rect">
                            <a:avLst/>
                          </a:prstGeom>
                        </pic:spPr>
                      </pic:pic>
                    </a:graphicData>
                  </a:graphic>
                </wp:inline>
              </w:drawing>
            </w:r>
          </w:p>
        </w:tc>
        <w:tc>
          <w:tcPr>
            <w:tcW w:w="4788" w:type="dxa"/>
          </w:tcPr>
          <w:p w14:paraId="1E3BD288" w14:textId="77777777" w:rsidR="003D217E" w:rsidRPr="004635E5" w:rsidRDefault="003D217E" w:rsidP="001740C5">
            <w:pPr>
              <w:adjustRightInd w:val="0"/>
              <w:snapToGrid w:val="0"/>
              <w:rPr>
                <w:rFonts w:eastAsia="Batang"/>
                <w:sz w:val="22"/>
                <w:szCs w:val="22"/>
                <w:lang w:val="en-NZ" w:eastAsia="ko-KR"/>
              </w:rPr>
            </w:pPr>
            <w:r w:rsidRPr="004635E5">
              <w:rPr>
                <w:rFonts w:eastAsia="Batang"/>
                <w:b/>
                <w:sz w:val="22"/>
                <w:szCs w:val="22"/>
                <w:lang w:val="en-AU" w:eastAsia="ko-KR"/>
              </w:rPr>
              <w:t xml:space="preserve">Figure RHN-2. </w:t>
            </w:r>
            <w:r w:rsidRPr="004635E5">
              <w:rPr>
                <w:rFonts w:eastAsia="Batang"/>
                <w:sz w:val="22"/>
                <w:szCs w:val="22"/>
                <w:lang w:val="en-AU" w:eastAsia="ko-KR"/>
              </w:rPr>
              <w:t>Risk that mortality exceeds either of three limit reference points (RR_crash (F</w:t>
            </w:r>
            <w:r w:rsidRPr="004635E5">
              <w:rPr>
                <w:rFonts w:eastAsia="Batang"/>
                <w:sz w:val="22"/>
                <w:szCs w:val="22"/>
                <w:vertAlign w:val="subscript"/>
                <w:lang w:val="en-AU" w:eastAsia="ko-KR"/>
              </w:rPr>
              <w:t>MSM</w:t>
            </w:r>
            <w:r w:rsidRPr="004635E5">
              <w:rPr>
                <w:rFonts w:eastAsia="Batang"/>
                <w:sz w:val="22"/>
                <w:szCs w:val="22"/>
                <w:lang w:val="en-AU" w:eastAsia="ko-KR"/>
              </w:rPr>
              <w:t>:</w:t>
            </w:r>
            <w:r>
              <w:rPr>
                <w:rFonts w:eastAsia="Batang"/>
                <w:sz w:val="22"/>
                <w:szCs w:val="22"/>
                <w:lang w:val="en-AU" w:eastAsia="ko-KR"/>
              </w:rPr>
              <w:t xml:space="preserve"> </w:t>
            </w:r>
            <w:r w:rsidRPr="004635E5">
              <w:rPr>
                <w:rFonts w:eastAsia="Batang"/>
                <w:sz w:val="22"/>
                <w:szCs w:val="22"/>
                <w:lang w:val="en-AU" w:eastAsia="ko-KR"/>
              </w:rPr>
              <w:t>0.5</w:t>
            </w:r>
            <w:r w:rsidRPr="004635E5">
              <w:rPr>
                <w:rFonts w:eastAsia="Batang"/>
                <w:i/>
                <w:iCs/>
                <w:sz w:val="22"/>
                <w:szCs w:val="22"/>
                <w:lang w:val="en-AU" w:eastAsia="ko-KR"/>
              </w:rPr>
              <w:t>r</w:t>
            </w:r>
            <w:r w:rsidRPr="004635E5">
              <w:rPr>
                <w:rFonts w:eastAsia="Batang"/>
                <w:sz w:val="22"/>
                <w:szCs w:val="22"/>
                <w:vertAlign w:val="subscript"/>
                <w:lang w:val="en-AU" w:eastAsia="ko-KR"/>
              </w:rPr>
              <w:t>max</w:t>
            </w:r>
            <w:r w:rsidRPr="004635E5">
              <w:rPr>
                <w:rFonts w:eastAsia="Batang"/>
                <w:sz w:val="22"/>
                <w:szCs w:val="22"/>
                <w:lang w:val="en-AU" w:eastAsia="ko-KR"/>
              </w:rPr>
              <w:t>), RR_lim (F</w:t>
            </w:r>
            <w:r w:rsidRPr="004635E5">
              <w:rPr>
                <w:rFonts w:eastAsia="Batang"/>
                <w:sz w:val="22"/>
                <w:szCs w:val="22"/>
                <w:vertAlign w:val="subscript"/>
                <w:lang w:val="en-AU" w:eastAsia="ko-KR"/>
              </w:rPr>
              <w:t>Lim</w:t>
            </w:r>
            <w:r w:rsidRPr="004635E5">
              <w:rPr>
                <w:rFonts w:eastAsia="Batang"/>
                <w:sz w:val="22"/>
                <w:szCs w:val="22"/>
                <w:lang w:val="en-AU" w:eastAsia="ko-KR"/>
              </w:rPr>
              <w:t>:</w:t>
            </w:r>
            <w:r>
              <w:rPr>
                <w:rFonts w:eastAsia="Batang"/>
                <w:sz w:val="22"/>
                <w:szCs w:val="22"/>
                <w:lang w:val="en-AU" w:eastAsia="ko-KR"/>
              </w:rPr>
              <w:t xml:space="preserve"> </w:t>
            </w:r>
            <w:r w:rsidRPr="004635E5">
              <w:rPr>
                <w:rFonts w:eastAsia="Batang"/>
                <w:sz w:val="22"/>
                <w:szCs w:val="22"/>
                <w:lang w:val="en-AU" w:eastAsia="ko-KR"/>
              </w:rPr>
              <w:t>0.75</w:t>
            </w:r>
            <w:r w:rsidRPr="004635E5">
              <w:rPr>
                <w:rFonts w:eastAsia="Batang"/>
                <w:i/>
                <w:iCs/>
                <w:sz w:val="22"/>
                <w:szCs w:val="22"/>
                <w:lang w:val="en-AU" w:eastAsia="ko-KR"/>
              </w:rPr>
              <w:t>r</w:t>
            </w:r>
            <w:r w:rsidRPr="004635E5">
              <w:rPr>
                <w:rFonts w:eastAsia="Batang"/>
                <w:sz w:val="22"/>
                <w:szCs w:val="22"/>
                <w:vertAlign w:val="subscript"/>
                <w:lang w:val="en-AU" w:eastAsia="ko-KR"/>
              </w:rPr>
              <w:t>max</w:t>
            </w:r>
            <w:r w:rsidRPr="004635E5">
              <w:rPr>
                <w:rFonts w:eastAsia="Batang"/>
                <w:sz w:val="22"/>
                <w:szCs w:val="22"/>
                <w:lang w:val="en-AU" w:eastAsia="ko-KR"/>
              </w:rPr>
              <w:t>)</w:t>
            </w:r>
            <w:r w:rsidRPr="004635E5">
              <w:rPr>
                <w:rFonts w:eastAsia="Batang"/>
                <w:sz w:val="22"/>
                <w:szCs w:val="22"/>
                <w:vertAlign w:val="subscript"/>
                <w:lang w:val="en-AU" w:eastAsia="ko-KR"/>
              </w:rPr>
              <w:t>,</w:t>
            </w:r>
            <w:r w:rsidRPr="004635E5">
              <w:rPr>
                <w:rFonts w:eastAsia="Batang"/>
                <w:sz w:val="22"/>
                <w:szCs w:val="22"/>
                <w:lang w:val="en-AU" w:eastAsia="ko-KR"/>
              </w:rPr>
              <w:t xml:space="preserve"> RR_crash (F</w:t>
            </w:r>
            <w:r w:rsidRPr="004635E5">
              <w:rPr>
                <w:rFonts w:eastAsia="Batang"/>
                <w:sz w:val="22"/>
                <w:szCs w:val="22"/>
                <w:vertAlign w:val="subscript"/>
                <w:lang w:val="en-AU" w:eastAsia="ko-KR"/>
              </w:rPr>
              <w:t>crash</w:t>
            </w:r>
            <w:r w:rsidRPr="004635E5">
              <w:rPr>
                <w:rFonts w:eastAsia="Batang"/>
                <w:sz w:val="22"/>
                <w:szCs w:val="22"/>
                <w:lang w:val="en-AU" w:eastAsia="ko-KR"/>
              </w:rPr>
              <w:t>:</w:t>
            </w:r>
            <w:r>
              <w:rPr>
                <w:rFonts w:eastAsia="Batang"/>
                <w:sz w:val="22"/>
                <w:szCs w:val="22"/>
                <w:lang w:val="en-AU" w:eastAsia="ko-KR"/>
              </w:rPr>
              <w:t xml:space="preserve"> </w:t>
            </w:r>
            <w:r w:rsidRPr="004635E5">
              <w:rPr>
                <w:rFonts w:eastAsia="Batang"/>
                <w:i/>
                <w:iCs/>
                <w:sz w:val="22"/>
                <w:szCs w:val="22"/>
                <w:lang w:val="en-AU" w:eastAsia="ko-KR"/>
              </w:rPr>
              <w:t>r</w:t>
            </w:r>
            <w:r w:rsidRPr="004635E5">
              <w:rPr>
                <w:rFonts w:eastAsia="Batang"/>
                <w:sz w:val="22"/>
                <w:szCs w:val="22"/>
                <w:vertAlign w:val="subscript"/>
                <w:lang w:val="en-AU" w:eastAsia="ko-KR"/>
              </w:rPr>
              <w:t>max</w:t>
            </w:r>
            <w:r w:rsidRPr="004635E5">
              <w:rPr>
                <w:rFonts w:eastAsia="Batang"/>
                <w:sz w:val="22"/>
                <w:szCs w:val="22"/>
                <w:lang w:val="en-AU" w:eastAsia="ko-KR"/>
              </w:rPr>
              <w:t xml:space="preserve">)). </w:t>
            </w:r>
          </w:p>
          <w:p w14:paraId="78086C37" w14:textId="77777777" w:rsidR="003D217E" w:rsidRDefault="003D217E" w:rsidP="001740C5">
            <w:pPr>
              <w:adjustRightInd w:val="0"/>
              <w:snapToGrid w:val="0"/>
              <w:rPr>
                <w:rFonts w:eastAsia="Batang"/>
                <w:sz w:val="22"/>
                <w:szCs w:val="22"/>
                <w:lang w:val="en-NZ" w:eastAsia="ko-KR"/>
              </w:rPr>
            </w:pPr>
          </w:p>
        </w:tc>
      </w:tr>
    </w:tbl>
    <w:p w14:paraId="240786DC" w14:textId="77777777" w:rsidR="003D217E" w:rsidRPr="004635E5" w:rsidRDefault="003D217E" w:rsidP="003D217E">
      <w:pPr>
        <w:pStyle w:val="ListParagraph"/>
        <w:adjustRightInd w:val="0"/>
        <w:snapToGrid w:val="0"/>
        <w:rPr>
          <w:rFonts w:eastAsia="Batang"/>
          <w:sz w:val="22"/>
          <w:szCs w:val="22"/>
          <w:lang w:val="en-AU" w:eastAsia="ko-KR"/>
        </w:rPr>
      </w:pPr>
    </w:p>
    <w:p w14:paraId="4FCD6A2E" w14:textId="77777777" w:rsidR="003D217E" w:rsidRPr="00EE3592" w:rsidRDefault="003D217E" w:rsidP="00580EA4">
      <w:pPr>
        <w:numPr>
          <w:ilvl w:val="0"/>
          <w:numId w:val="18"/>
        </w:numPr>
        <w:autoSpaceDE w:val="0"/>
        <w:autoSpaceDN w:val="0"/>
        <w:adjustRightInd w:val="0"/>
        <w:snapToGrid w:val="0"/>
        <w:ind w:left="0" w:firstLine="0"/>
        <w:jc w:val="both"/>
        <w:rPr>
          <w:rFonts w:eastAsia="Batang"/>
          <w:bCs/>
          <w:sz w:val="22"/>
          <w:szCs w:val="22"/>
          <w:lang w:val="en-AU" w:eastAsia="ko-KR"/>
        </w:rPr>
      </w:pPr>
      <w:r w:rsidRPr="00EE3592">
        <w:rPr>
          <w:rFonts w:eastAsia="Batang"/>
          <w:bCs/>
          <w:sz w:val="22"/>
          <w:szCs w:val="22"/>
          <w:lang w:val="en-NZ" w:eastAsia="ko-KR"/>
        </w:rPr>
        <w:t xml:space="preserve">SC14 noted the report’s findings that understanding and reducing post-release mortality is recommended as one of most effective approaches to maintaining acceptable risk levels. </w:t>
      </w:r>
    </w:p>
    <w:p w14:paraId="166F52C3" w14:textId="77777777" w:rsidR="003D217E" w:rsidRPr="004635E5" w:rsidRDefault="003D217E" w:rsidP="003D217E">
      <w:pPr>
        <w:autoSpaceDE w:val="0"/>
        <w:autoSpaceDN w:val="0"/>
        <w:adjustRightInd w:val="0"/>
        <w:snapToGrid w:val="0"/>
        <w:jc w:val="both"/>
        <w:rPr>
          <w:rFonts w:eastAsia="Batang"/>
          <w:b/>
          <w:sz w:val="22"/>
          <w:szCs w:val="22"/>
          <w:lang w:val="en-AU" w:eastAsia="ko-KR"/>
        </w:rPr>
      </w:pPr>
    </w:p>
    <w:p w14:paraId="47C6B378" w14:textId="77777777" w:rsidR="003D217E" w:rsidRPr="00EE3592" w:rsidRDefault="003D217E" w:rsidP="00580EA4">
      <w:pPr>
        <w:numPr>
          <w:ilvl w:val="0"/>
          <w:numId w:val="18"/>
        </w:numPr>
        <w:autoSpaceDE w:val="0"/>
        <w:autoSpaceDN w:val="0"/>
        <w:adjustRightInd w:val="0"/>
        <w:snapToGrid w:val="0"/>
        <w:ind w:left="0" w:firstLine="0"/>
        <w:jc w:val="both"/>
        <w:rPr>
          <w:rFonts w:eastAsia="Batang"/>
          <w:bCs/>
          <w:sz w:val="22"/>
          <w:szCs w:val="22"/>
          <w:lang w:val="en-AU" w:eastAsia="ko-KR"/>
        </w:rPr>
      </w:pPr>
      <w:r w:rsidRPr="00EE3592">
        <w:rPr>
          <w:rFonts w:eastAsia="Batang"/>
          <w:bCs/>
          <w:sz w:val="22"/>
          <w:szCs w:val="22"/>
          <w:lang w:val="en-AU" w:eastAsia="ko-KR"/>
        </w:rPr>
        <w:t xml:space="preserve">SC14 also noted the report’s findings that the </w:t>
      </w:r>
      <w:r w:rsidRPr="00EE3592">
        <w:rPr>
          <w:rFonts w:eastAsia="Batang"/>
          <w:bCs/>
          <w:sz w:val="22"/>
          <w:szCs w:val="22"/>
          <w:lang w:val="en-NZ" w:eastAsia="ko-KR"/>
        </w:rPr>
        <w:t xml:space="preserve">total risk to the </w:t>
      </w:r>
      <w:r w:rsidRPr="00EE3592">
        <w:rPr>
          <w:rFonts w:eastAsia="Batang"/>
          <w:bCs/>
          <w:sz w:val="22"/>
          <w:szCs w:val="22"/>
          <w:lang w:val="en-AU" w:eastAsia="ko-KR"/>
        </w:rPr>
        <w:t xml:space="preserve">Indo-Pacific whale shark population may be higher if there are differential impacts to more vulnerable population segments within the Pacific and/or higher fishing mortalities outside of the region (e.g. the Indian Ocean). </w:t>
      </w:r>
    </w:p>
    <w:p w14:paraId="2CDFD803" w14:textId="77777777" w:rsidR="003D217E" w:rsidRPr="00EE3592" w:rsidRDefault="003D217E" w:rsidP="003D217E">
      <w:pPr>
        <w:autoSpaceDE w:val="0"/>
        <w:autoSpaceDN w:val="0"/>
        <w:adjustRightInd w:val="0"/>
        <w:snapToGrid w:val="0"/>
        <w:jc w:val="both"/>
        <w:rPr>
          <w:rFonts w:eastAsia="Batang"/>
          <w:bCs/>
          <w:sz w:val="22"/>
          <w:szCs w:val="22"/>
          <w:lang w:val="en-AU" w:eastAsia="ko-KR"/>
        </w:rPr>
      </w:pPr>
    </w:p>
    <w:p w14:paraId="226EC7A1" w14:textId="77777777" w:rsidR="003D217E" w:rsidRPr="00EE3592" w:rsidRDefault="003D217E" w:rsidP="00580EA4">
      <w:pPr>
        <w:numPr>
          <w:ilvl w:val="0"/>
          <w:numId w:val="18"/>
        </w:numPr>
        <w:autoSpaceDE w:val="0"/>
        <w:autoSpaceDN w:val="0"/>
        <w:adjustRightInd w:val="0"/>
        <w:snapToGrid w:val="0"/>
        <w:ind w:left="0" w:firstLine="0"/>
        <w:jc w:val="both"/>
        <w:rPr>
          <w:rFonts w:eastAsia="Batang"/>
          <w:bCs/>
          <w:sz w:val="22"/>
          <w:szCs w:val="22"/>
          <w:lang w:val="en-AU" w:eastAsia="ko-KR"/>
        </w:rPr>
      </w:pPr>
      <w:r w:rsidRPr="00EE3592">
        <w:rPr>
          <w:rFonts w:eastAsia="Batang"/>
          <w:bCs/>
          <w:sz w:val="22"/>
          <w:szCs w:val="22"/>
          <w:lang w:val="en-NZ" w:eastAsia="ko-KR"/>
        </w:rPr>
        <w:t xml:space="preserve">SC14 considered the use of precautionary risk assessment model inputs. It was noted that input parameters to the risk assessment were drawn from the best available data, but in some cases where the data were uninformative about the probability distributions of the parameters of interest the methodology put more weight on precautionary values. </w:t>
      </w:r>
    </w:p>
    <w:p w14:paraId="0EED2B7B" w14:textId="77777777" w:rsidR="003D217E" w:rsidRPr="004635E5" w:rsidRDefault="003D217E" w:rsidP="003D217E">
      <w:pPr>
        <w:autoSpaceDE w:val="0"/>
        <w:autoSpaceDN w:val="0"/>
        <w:adjustRightInd w:val="0"/>
        <w:snapToGrid w:val="0"/>
        <w:jc w:val="both"/>
        <w:rPr>
          <w:rFonts w:eastAsia="Batang"/>
          <w:sz w:val="22"/>
          <w:szCs w:val="22"/>
          <w:lang w:val="en-AU" w:eastAsia="ko-KR"/>
        </w:rPr>
      </w:pPr>
    </w:p>
    <w:p w14:paraId="3BA9C5CE" w14:textId="77777777" w:rsidR="003D217E" w:rsidRPr="004635E5" w:rsidRDefault="003D217E" w:rsidP="002F64C2">
      <w:pPr>
        <w:pStyle w:val="SCa"/>
        <w:tabs>
          <w:tab w:val="clear" w:pos="1080"/>
        </w:tabs>
        <w:spacing w:after="0"/>
        <w:ind w:left="0"/>
        <w:rPr>
          <w:lang w:val="en-NZ"/>
        </w:rPr>
      </w:pPr>
      <w:r w:rsidRPr="004635E5">
        <w:rPr>
          <w:lang w:val="en-NZ"/>
        </w:rPr>
        <w:t>b.</w:t>
      </w:r>
      <w:r w:rsidRPr="004635E5">
        <w:rPr>
          <w:lang w:val="en-NZ"/>
        </w:rPr>
        <w:tab/>
        <w:t>Management advice and implications</w:t>
      </w:r>
    </w:p>
    <w:p w14:paraId="7B164B8B" w14:textId="77777777" w:rsidR="003D217E" w:rsidRPr="004635E5" w:rsidRDefault="003D217E" w:rsidP="003D217E">
      <w:pPr>
        <w:pStyle w:val="SCa"/>
        <w:spacing w:after="0"/>
        <w:rPr>
          <w:lang w:val="en-NZ"/>
        </w:rPr>
      </w:pPr>
    </w:p>
    <w:p w14:paraId="215D204A" w14:textId="77777777" w:rsidR="003D217E" w:rsidRPr="00EE3592" w:rsidRDefault="003D217E" w:rsidP="00580EA4">
      <w:pPr>
        <w:numPr>
          <w:ilvl w:val="0"/>
          <w:numId w:val="18"/>
        </w:numPr>
        <w:autoSpaceDE w:val="0"/>
        <w:autoSpaceDN w:val="0"/>
        <w:adjustRightInd w:val="0"/>
        <w:snapToGrid w:val="0"/>
        <w:ind w:left="0" w:firstLine="0"/>
        <w:jc w:val="both"/>
        <w:rPr>
          <w:rFonts w:eastAsia="Batang"/>
          <w:bCs/>
          <w:sz w:val="22"/>
          <w:szCs w:val="22"/>
          <w:lang w:val="en-AU" w:eastAsia="ko-KR"/>
        </w:rPr>
      </w:pPr>
      <w:r w:rsidRPr="00EE3592">
        <w:rPr>
          <w:rFonts w:eastAsia="Batang"/>
          <w:bCs/>
          <w:sz w:val="22"/>
          <w:szCs w:val="22"/>
          <w:lang w:val="en-AU" w:eastAsia="ko-KR"/>
        </w:rPr>
        <w:t xml:space="preserve">SC14 considers </w:t>
      </w:r>
      <w:r w:rsidRPr="00EE3592">
        <w:rPr>
          <w:rFonts w:eastAsia="Batang"/>
          <w:bCs/>
          <w:iCs/>
          <w:sz w:val="22"/>
          <w:szCs w:val="22"/>
          <w:lang w:val="en-NZ" w:eastAsia="ko-KR"/>
        </w:rPr>
        <w:t>there is a low probability that the Indo-Pacific whale shark is at risk from Pacific purse seine fisheries (median probability of less than 8% that current risk levels exceed life history-based notional reference points F</w:t>
      </w:r>
      <w:r w:rsidRPr="00EE3592">
        <w:rPr>
          <w:rFonts w:eastAsia="Batang"/>
          <w:bCs/>
          <w:iCs/>
          <w:sz w:val="22"/>
          <w:szCs w:val="22"/>
          <w:vertAlign w:val="subscript"/>
          <w:lang w:val="en-NZ" w:eastAsia="ko-KR"/>
        </w:rPr>
        <w:t>Lim</w:t>
      </w:r>
      <w:r w:rsidRPr="00EE3592">
        <w:rPr>
          <w:rFonts w:eastAsia="Batang"/>
          <w:bCs/>
          <w:iCs/>
          <w:sz w:val="22"/>
          <w:szCs w:val="22"/>
          <w:lang w:val="en-NZ" w:eastAsia="ko-KR"/>
        </w:rPr>
        <w:t xml:space="preserve"> and F</w:t>
      </w:r>
      <w:r w:rsidRPr="00EE3592">
        <w:rPr>
          <w:rFonts w:eastAsia="Batang"/>
          <w:bCs/>
          <w:iCs/>
          <w:sz w:val="22"/>
          <w:szCs w:val="22"/>
          <w:vertAlign w:val="subscript"/>
          <w:lang w:val="en-NZ" w:eastAsia="ko-KR"/>
        </w:rPr>
        <w:t>crash</w:t>
      </w:r>
      <w:r w:rsidRPr="00EE3592">
        <w:rPr>
          <w:rFonts w:eastAsia="Batang"/>
          <w:bCs/>
          <w:iCs/>
          <w:sz w:val="22"/>
          <w:szCs w:val="22"/>
          <w:lang w:val="en-NZ" w:eastAsia="ko-KR"/>
        </w:rPr>
        <w:t xml:space="preserve">). </w:t>
      </w:r>
    </w:p>
    <w:p w14:paraId="0CAC760D" w14:textId="77777777" w:rsidR="003D217E" w:rsidRPr="00EE3592" w:rsidRDefault="003D217E" w:rsidP="003D217E">
      <w:pPr>
        <w:autoSpaceDE w:val="0"/>
        <w:autoSpaceDN w:val="0"/>
        <w:adjustRightInd w:val="0"/>
        <w:snapToGrid w:val="0"/>
        <w:jc w:val="both"/>
        <w:rPr>
          <w:rFonts w:eastAsia="Batang"/>
          <w:bCs/>
          <w:sz w:val="22"/>
          <w:szCs w:val="22"/>
          <w:lang w:val="en-AU" w:eastAsia="ko-KR"/>
        </w:rPr>
      </w:pPr>
    </w:p>
    <w:p w14:paraId="4F3988EB" w14:textId="77777777" w:rsidR="003D217E" w:rsidRPr="00EE3592" w:rsidRDefault="003D217E" w:rsidP="00580EA4">
      <w:pPr>
        <w:numPr>
          <w:ilvl w:val="0"/>
          <w:numId w:val="18"/>
        </w:numPr>
        <w:autoSpaceDE w:val="0"/>
        <w:autoSpaceDN w:val="0"/>
        <w:adjustRightInd w:val="0"/>
        <w:snapToGrid w:val="0"/>
        <w:ind w:left="0" w:firstLine="0"/>
        <w:jc w:val="both"/>
        <w:rPr>
          <w:rFonts w:eastAsia="Batang"/>
          <w:bCs/>
          <w:sz w:val="22"/>
          <w:szCs w:val="22"/>
          <w:lang w:val="en-AU" w:eastAsia="ko-KR"/>
        </w:rPr>
      </w:pPr>
      <w:r w:rsidRPr="00EE3592">
        <w:rPr>
          <w:rFonts w:eastAsia="Batang"/>
          <w:bCs/>
          <w:sz w:val="22"/>
          <w:szCs w:val="22"/>
          <w:lang w:val="en-AU" w:eastAsia="ko-KR"/>
        </w:rPr>
        <w:t xml:space="preserve">SC14 recommends that the WCPFC initiate concerted efforts to identify and promote best practice safe release methods for whale sharks. </w:t>
      </w:r>
    </w:p>
    <w:p w14:paraId="6D46820D" w14:textId="77777777" w:rsidR="003D217E" w:rsidRPr="00EE3592" w:rsidRDefault="003D217E" w:rsidP="003D217E">
      <w:pPr>
        <w:autoSpaceDE w:val="0"/>
        <w:autoSpaceDN w:val="0"/>
        <w:adjustRightInd w:val="0"/>
        <w:snapToGrid w:val="0"/>
        <w:jc w:val="both"/>
        <w:rPr>
          <w:rFonts w:eastAsia="Batang"/>
          <w:bCs/>
          <w:sz w:val="22"/>
          <w:szCs w:val="22"/>
          <w:lang w:val="en-AU" w:eastAsia="ko-KR"/>
        </w:rPr>
      </w:pPr>
    </w:p>
    <w:p w14:paraId="44F80F07" w14:textId="77777777" w:rsidR="003D217E" w:rsidRPr="00EE3592" w:rsidRDefault="003D217E" w:rsidP="00580EA4">
      <w:pPr>
        <w:numPr>
          <w:ilvl w:val="0"/>
          <w:numId w:val="18"/>
        </w:numPr>
        <w:autoSpaceDE w:val="0"/>
        <w:autoSpaceDN w:val="0"/>
        <w:adjustRightInd w:val="0"/>
        <w:snapToGrid w:val="0"/>
        <w:ind w:left="0" w:firstLine="0"/>
        <w:jc w:val="both"/>
        <w:rPr>
          <w:rFonts w:eastAsia="Batang"/>
          <w:bCs/>
          <w:sz w:val="22"/>
          <w:szCs w:val="22"/>
          <w:lang w:val="en-AU" w:eastAsia="ko-KR"/>
        </w:rPr>
      </w:pPr>
      <w:r w:rsidRPr="00EE3592">
        <w:rPr>
          <w:rFonts w:eastAsia="Batang"/>
          <w:bCs/>
          <w:sz w:val="22"/>
          <w:szCs w:val="22"/>
          <w:lang w:val="en-AU" w:eastAsia="ko-KR"/>
        </w:rPr>
        <w:t xml:space="preserve">SC14 recommends that research be undertaken to quantify post-release mortality rates under a variety of release scenarios. </w:t>
      </w:r>
    </w:p>
    <w:p w14:paraId="7B65655E" w14:textId="77777777" w:rsidR="003D217E" w:rsidRPr="004635E5" w:rsidRDefault="003D217E" w:rsidP="003D217E">
      <w:pPr>
        <w:autoSpaceDE w:val="0"/>
        <w:autoSpaceDN w:val="0"/>
        <w:adjustRightInd w:val="0"/>
        <w:snapToGrid w:val="0"/>
        <w:jc w:val="both"/>
        <w:rPr>
          <w:rFonts w:eastAsia="Batang"/>
          <w:b/>
          <w:sz w:val="22"/>
          <w:szCs w:val="22"/>
          <w:lang w:val="en-AU" w:eastAsia="ko-KR"/>
        </w:rPr>
      </w:pPr>
    </w:p>
    <w:p w14:paraId="7BEEC194" w14:textId="77777777" w:rsidR="003D217E" w:rsidRPr="002F64C2" w:rsidRDefault="003D217E" w:rsidP="002F64C2">
      <w:pPr>
        <w:pStyle w:val="ListParagraph"/>
        <w:numPr>
          <w:ilvl w:val="1"/>
          <w:numId w:val="163"/>
        </w:numPr>
        <w:adjustRightInd w:val="0"/>
        <w:snapToGrid w:val="0"/>
        <w:ind w:left="0" w:firstLine="0"/>
        <w:jc w:val="both"/>
        <w:rPr>
          <w:rFonts w:eastAsia="Batang"/>
          <w:b/>
          <w:bCs/>
          <w:lang w:val="en-NZ" w:eastAsia="ko-KR"/>
        </w:rPr>
      </w:pPr>
      <w:r w:rsidRPr="002F64C2">
        <w:rPr>
          <w:rFonts w:eastAsia="Batang"/>
          <w:b/>
          <w:bCs/>
          <w:lang w:val="en-NZ" w:eastAsia="ko-KR"/>
        </w:rPr>
        <w:t>WCPO billfishes</w:t>
      </w:r>
    </w:p>
    <w:p w14:paraId="1185437A" w14:textId="77777777" w:rsidR="003D217E" w:rsidRPr="004635E5" w:rsidRDefault="003D217E" w:rsidP="003D217E">
      <w:pPr>
        <w:pStyle w:val="ListParagraph"/>
        <w:adjustRightInd w:val="0"/>
        <w:snapToGrid w:val="0"/>
        <w:jc w:val="both"/>
        <w:rPr>
          <w:rFonts w:eastAsia="Batang"/>
          <w:b/>
          <w:bCs/>
          <w:sz w:val="22"/>
          <w:szCs w:val="22"/>
          <w:lang w:val="en-NZ" w:eastAsia="ko-KR"/>
        </w:rPr>
      </w:pPr>
    </w:p>
    <w:p w14:paraId="407A6AC6" w14:textId="77777777" w:rsidR="003D217E" w:rsidRPr="00304C79" w:rsidRDefault="003D217E" w:rsidP="00580EA4">
      <w:pPr>
        <w:pStyle w:val="ListParagraph"/>
        <w:keepNext/>
        <w:numPr>
          <w:ilvl w:val="1"/>
          <w:numId w:val="56"/>
        </w:numPr>
        <w:suppressLineNumbers/>
        <w:adjustRightInd w:val="0"/>
        <w:snapToGrid w:val="0"/>
        <w:jc w:val="both"/>
        <w:rPr>
          <w:rFonts w:eastAsiaTheme="minorEastAsia"/>
          <w:b/>
          <w:vanish/>
          <w:sz w:val="22"/>
          <w:szCs w:val="22"/>
          <w:lang w:val="en-NZ" w:eastAsia="ko-KR"/>
        </w:rPr>
      </w:pPr>
    </w:p>
    <w:p w14:paraId="335F0466" w14:textId="77777777" w:rsidR="003D217E" w:rsidRPr="00EE3592" w:rsidRDefault="003D217E" w:rsidP="003D217E">
      <w:pPr>
        <w:pStyle w:val="SC3"/>
        <w:spacing w:after="0"/>
        <w:rPr>
          <w:rFonts w:eastAsiaTheme="minorEastAsia"/>
          <w:sz w:val="24"/>
          <w:szCs w:val="24"/>
          <w:lang w:eastAsia="ko-KR"/>
        </w:rPr>
      </w:pPr>
      <w:r w:rsidRPr="00EE3592">
        <w:rPr>
          <w:rFonts w:eastAsiaTheme="minorEastAsia"/>
          <w:sz w:val="24"/>
          <w:szCs w:val="24"/>
          <w:lang w:eastAsia="ko-KR"/>
        </w:rPr>
        <w:t>South Pacific swordfish (</w:t>
      </w:r>
      <w:r w:rsidRPr="00EE3592">
        <w:rPr>
          <w:rFonts w:eastAsiaTheme="minorEastAsia"/>
          <w:i/>
          <w:sz w:val="24"/>
          <w:szCs w:val="24"/>
          <w:lang w:eastAsia="ko-KR"/>
        </w:rPr>
        <w:t>Xiphias gladius</w:t>
      </w:r>
      <w:r w:rsidRPr="00EE3592">
        <w:rPr>
          <w:rFonts w:eastAsiaTheme="minorEastAsia"/>
          <w:sz w:val="24"/>
          <w:szCs w:val="24"/>
          <w:lang w:eastAsia="ko-KR"/>
        </w:rPr>
        <w:t>)</w:t>
      </w:r>
    </w:p>
    <w:p w14:paraId="5F38880E" w14:textId="77777777" w:rsidR="003D217E" w:rsidRPr="004635E5" w:rsidRDefault="003D217E" w:rsidP="003D217E">
      <w:pPr>
        <w:pStyle w:val="ListParagraph"/>
        <w:adjustRightInd w:val="0"/>
        <w:snapToGrid w:val="0"/>
        <w:jc w:val="both"/>
        <w:rPr>
          <w:rFonts w:eastAsia="Batang"/>
          <w:b/>
          <w:bCs/>
          <w:sz w:val="22"/>
          <w:szCs w:val="22"/>
          <w:lang w:val="en-NZ" w:eastAsia="ko-KR"/>
        </w:rPr>
      </w:pPr>
    </w:p>
    <w:p w14:paraId="16C87A79" w14:textId="77777777" w:rsidR="003D217E" w:rsidRPr="004635E5" w:rsidRDefault="003D217E" w:rsidP="00580EA4">
      <w:pPr>
        <w:pStyle w:val="ListParagraph"/>
        <w:numPr>
          <w:ilvl w:val="0"/>
          <w:numId w:val="56"/>
        </w:numPr>
        <w:adjustRightInd w:val="0"/>
        <w:snapToGrid w:val="0"/>
        <w:jc w:val="both"/>
        <w:rPr>
          <w:rFonts w:eastAsia="Batang"/>
          <w:b/>
          <w:vanish/>
          <w:sz w:val="22"/>
          <w:szCs w:val="22"/>
          <w:lang w:val="en-NZ" w:eastAsia="ko-KR"/>
        </w:rPr>
      </w:pPr>
    </w:p>
    <w:p w14:paraId="240F3153" w14:textId="77777777" w:rsidR="003D217E" w:rsidRPr="004635E5" w:rsidRDefault="003D217E" w:rsidP="002F64C2">
      <w:pPr>
        <w:pStyle w:val="SCa"/>
        <w:tabs>
          <w:tab w:val="clear" w:pos="1080"/>
        </w:tabs>
        <w:spacing w:after="0"/>
        <w:ind w:left="0"/>
      </w:pPr>
      <w:r w:rsidRPr="004635E5">
        <w:t>a.</w:t>
      </w:r>
      <w:r w:rsidRPr="004635E5">
        <w:tab/>
        <w:t xml:space="preserve"> Stock status and trends</w:t>
      </w:r>
    </w:p>
    <w:p w14:paraId="75E40DEC" w14:textId="77777777" w:rsidR="003D217E" w:rsidRPr="004635E5" w:rsidRDefault="003D217E" w:rsidP="003D217E">
      <w:pPr>
        <w:pStyle w:val="SCa"/>
        <w:spacing w:after="0"/>
      </w:pPr>
    </w:p>
    <w:p w14:paraId="48F70F98" w14:textId="77777777" w:rsidR="003D217E" w:rsidRPr="00EE3592" w:rsidRDefault="003D217E" w:rsidP="00580EA4">
      <w:pPr>
        <w:numPr>
          <w:ilvl w:val="0"/>
          <w:numId w:val="18"/>
        </w:numPr>
        <w:autoSpaceDE w:val="0"/>
        <w:autoSpaceDN w:val="0"/>
        <w:adjustRightInd w:val="0"/>
        <w:snapToGrid w:val="0"/>
        <w:ind w:left="0" w:firstLine="0"/>
        <w:jc w:val="both"/>
        <w:rPr>
          <w:sz w:val="22"/>
          <w:szCs w:val="22"/>
        </w:rPr>
      </w:pPr>
      <w:r w:rsidRPr="00EE3592">
        <w:rPr>
          <w:sz w:val="22"/>
          <w:szCs w:val="22"/>
        </w:rPr>
        <w:t>SC14 noted that no stock assessments were conducted for south Pacific swordfish in 2018. Therefore, the stock status descriptions from SC13 are still current for south Pacific swordfish. Updated information on catches was compiled but not reviewed by</w:t>
      </w:r>
      <w:r w:rsidRPr="00EE3592">
        <w:rPr>
          <w:spacing w:val="-19"/>
          <w:sz w:val="22"/>
          <w:szCs w:val="22"/>
        </w:rPr>
        <w:t xml:space="preserve"> </w:t>
      </w:r>
      <w:r w:rsidRPr="00EE3592">
        <w:rPr>
          <w:sz w:val="22"/>
          <w:szCs w:val="22"/>
        </w:rPr>
        <w:t xml:space="preserve">SC14. </w:t>
      </w:r>
    </w:p>
    <w:p w14:paraId="491E139C" w14:textId="77777777" w:rsidR="003D217E" w:rsidRPr="004635E5" w:rsidRDefault="003D217E" w:rsidP="003D217E">
      <w:pPr>
        <w:autoSpaceDE w:val="0"/>
        <w:autoSpaceDN w:val="0"/>
        <w:adjustRightInd w:val="0"/>
        <w:snapToGrid w:val="0"/>
        <w:jc w:val="both"/>
        <w:rPr>
          <w:b/>
          <w:sz w:val="22"/>
          <w:szCs w:val="22"/>
        </w:rPr>
      </w:pPr>
    </w:p>
    <w:p w14:paraId="21E315E6" w14:textId="77777777" w:rsidR="003D217E" w:rsidRPr="004635E5" w:rsidRDefault="003D217E" w:rsidP="002F64C2">
      <w:pPr>
        <w:pStyle w:val="SCa"/>
        <w:tabs>
          <w:tab w:val="clear" w:pos="1080"/>
        </w:tabs>
        <w:spacing w:after="0"/>
        <w:ind w:left="0"/>
      </w:pPr>
      <w:r w:rsidRPr="004635E5">
        <w:t>b.</w:t>
      </w:r>
      <w:r w:rsidRPr="004635E5">
        <w:tab/>
        <w:t>Management advice and implications</w:t>
      </w:r>
    </w:p>
    <w:p w14:paraId="1FCBE44F" w14:textId="77777777" w:rsidR="003D217E" w:rsidRPr="004635E5" w:rsidRDefault="003D217E" w:rsidP="003D217E">
      <w:pPr>
        <w:pStyle w:val="SCa"/>
        <w:spacing w:after="0"/>
      </w:pPr>
    </w:p>
    <w:p w14:paraId="6C0276AD" w14:textId="77777777" w:rsidR="003D217E" w:rsidRPr="00EE3592" w:rsidRDefault="003D217E" w:rsidP="00580EA4">
      <w:pPr>
        <w:numPr>
          <w:ilvl w:val="0"/>
          <w:numId w:val="18"/>
        </w:numPr>
        <w:autoSpaceDE w:val="0"/>
        <w:autoSpaceDN w:val="0"/>
        <w:adjustRightInd w:val="0"/>
        <w:snapToGrid w:val="0"/>
        <w:ind w:left="0" w:firstLine="0"/>
        <w:jc w:val="both"/>
        <w:rPr>
          <w:rFonts w:eastAsia="Batang"/>
          <w:sz w:val="22"/>
          <w:szCs w:val="22"/>
          <w:lang w:eastAsia="ko-KR"/>
        </w:rPr>
      </w:pPr>
      <w:r w:rsidRPr="00EE3592">
        <w:rPr>
          <w:rFonts w:eastAsia="Batang"/>
          <w:sz w:val="22"/>
          <w:szCs w:val="22"/>
          <w:lang w:val="en-NZ" w:eastAsia="ko-KR"/>
        </w:rPr>
        <w:tab/>
      </w:r>
      <w:r w:rsidRPr="00EE3592">
        <w:rPr>
          <w:rFonts w:eastAsia="Batang"/>
          <w:sz w:val="22"/>
          <w:szCs w:val="22"/>
          <w:lang w:eastAsia="ko-KR"/>
        </w:rPr>
        <w:t xml:space="preserve">SC14 noted that no management advice has been provided since SC13 for south Pacific swordfish. Therefore, previous advice should be maintained, pending a new assessment or other new information. </w:t>
      </w:r>
      <w:r w:rsidRPr="00EE3592">
        <w:rPr>
          <w:rFonts w:eastAsia="Batang"/>
          <w:sz w:val="22"/>
          <w:szCs w:val="22"/>
          <w:lang w:val="en-AU" w:eastAsia="ko-KR"/>
        </w:rPr>
        <w:t xml:space="preserve">For further information on the management advice and implications from SC13, please see </w:t>
      </w:r>
      <w:hyperlink r:id="rId73" w:history="1">
        <w:r w:rsidRPr="00EE3592">
          <w:rPr>
            <w:rStyle w:val="Hyperlink"/>
            <w:sz w:val="22"/>
            <w:szCs w:val="22"/>
          </w:rPr>
          <w:t>https://www.wcpfc.int/node/29904</w:t>
        </w:r>
      </w:hyperlink>
      <w:r w:rsidRPr="00EE3592">
        <w:rPr>
          <w:rStyle w:val="Hyperlink"/>
          <w:rFonts w:eastAsiaTheme="minorEastAsia"/>
          <w:sz w:val="22"/>
          <w:szCs w:val="22"/>
          <w:lang w:eastAsia="ko-KR"/>
        </w:rPr>
        <w:t xml:space="preserve"> </w:t>
      </w:r>
      <w:r w:rsidRPr="00EE3592">
        <w:rPr>
          <w:rFonts w:eastAsia="Batang"/>
          <w:sz w:val="22"/>
          <w:szCs w:val="22"/>
          <w:u w:val="single"/>
          <w:lang w:val="en-AU" w:eastAsia="ko-KR"/>
        </w:rPr>
        <w:t xml:space="preserve"> </w:t>
      </w:r>
    </w:p>
    <w:p w14:paraId="358FABBB" w14:textId="77777777" w:rsidR="003D217E" w:rsidRPr="004635E5" w:rsidRDefault="003D217E" w:rsidP="003D217E">
      <w:pPr>
        <w:autoSpaceDE w:val="0"/>
        <w:autoSpaceDN w:val="0"/>
        <w:adjustRightInd w:val="0"/>
        <w:snapToGrid w:val="0"/>
        <w:jc w:val="both"/>
        <w:rPr>
          <w:rFonts w:eastAsia="Batang"/>
          <w:b/>
          <w:sz w:val="22"/>
          <w:szCs w:val="22"/>
          <w:lang w:eastAsia="ko-KR"/>
        </w:rPr>
      </w:pPr>
    </w:p>
    <w:p w14:paraId="63BBF987" w14:textId="77777777" w:rsidR="003D217E" w:rsidRPr="00970771" w:rsidRDefault="003D217E" w:rsidP="00580EA4">
      <w:pPr>
        <w:pStyle w:val="SC3"/>
        <w:numPr>
          <w:ilvl w:val="2"/>
          <w:numId w:val="159"/>
        </w:numPr>
        <w:spacing w:after="0"/>
        <w:rPr>
          <w:rFonts w:eastAsia="Batang"/>
          <w:sz w:val="24"/>
          <w:szCs w:val="24"/>
        </w:rPr>
      </w:pPr>
      <w:r w:rsidRPr="00970771">
        <w:rPr>
          <w:rFonts w:eastAsia="Batang"/>
          <w:sz w:val="24"/>
          <w:szCs w:val="24"/>
        </w:rPr>
        <w:t>Southwest Pacific striped marlin (</w:t>
      </w:r>
      <w:r w:rsidRPr="00970771">
        <w:rPr>
          <w:rFonts w:eastAsia="Batang"/>
          <w:i/>
          <w:sz w:val="24"/>
          <w:szCs w:val="24"/>
        </w:rPr>
        <w:t>Kajikia audax</w:t>
      </w:r>
      <w:r w:rsidRPr="00970771">
        <w:rPr>
          <w:rFonts w:eastAsia="Batang"/>
          <w:sz w:val="24"/>
          <w:szCs w:val="24"/>
        </w:rPr>
        <w:t>)</w:t>
      </w:r>
    </w:p>
    <w:p w14:paraId="3D608CA8" w14:textId="77777777" w:rsidR="003D217E" w:rsidRPr="004635E5" w:rsidRDefault="003D217E" w:rsidP="003D217E">
      <w:pPr>
        <w:pStyle w:val="SC3"/>
        <w:numPr>
          <w:ilvl w:val="0"/>
          <w:numId w:val="0"/>
        </w:numPr>
        <w:spacing w:after="0"/>
        <w:ind w:left="1800"/>
        <w:rPr>
          <w:rFonts w:eastAsia="Batang"/>
          <w:lang w:eastAsia="ko-KR"/>
        </w:rPr>
      </w:pPr>
    </w:p>
    <w:p w14:paraId="3C00CFFD" w14:textId="77777777" w:rsidR="003D217E" w:rsidRPr="004635E5" w:rsidRDefault="003D217E" w:rsidP="002F64C2">
      <w:pPr>
        <w:pStyle w:val="SCa"/>
        <w:tabs>
          <w:tab w:val="clear" w:pos="1080"/>
        </w:tabs>
        <w:spacing w:after="0"/>
        <w:ind w:left="0"/>
      </w:pPr>
      <w:r w:rsidRPr="004635E5">
        <w:t>a.</w:t>
      </w:r>
      <w:r w:rsidRPr="004635E5">
        <w:tab/>
        <w:t>Stock status and trends</w:t>
      </w:r>
    </w:p>
    <w:p w14:paraId="0637F747" w14:textId="77777777" w:rsidR="003D217E" w:rsidRPr="004635E5" w:rsidRDefault="003D217E" w:rsidP="003D217E">
      <w:pPr>
        <w:pStyle w:val="SCa"/>
        <w:spacing w:after="0"/>
      </w:pPr>
    </w:p>
    <w:p w14:paraId="2C161485" w14:textId="77777777" w:rsidR="003D217E" w:rsidRPr="00EE3592" w:rsidRDefault="003D217E" w:rsidP="00580EA4">
      <w:pPr>
        <w:numPr>
          <w:ilvl w:val="0"/>
          <w:numId w:val="18"/>
        </w:numPr>
        <w:autoSpaceDE w:val="0"/>
        <w:autoSpaceDN w:val="0"/>
        <w:adjustRightInd w:val="0"/>
        <w:snapToGrid w:val="0"/>
        <w:ind w:left="0" w:firstLine="0"/>
        <w:jc w:val="both"/>
        <w:rPr>
          <w:rFonts w:eastAsia="Batang"/>
          <w:bCs/>
          <w:sz w:val="22"/>
          <w:szCs w:val="22"/>
          <w:lang w:eastAsia="ko-KR"/>
        </w:rPr>
      </w:pPr>
      <w:r w:rsidRPr="00EE3592">
        <w:rPr>
          <w:rFonts w:eastAsia="Batang"/>
          <w:bCs/>
          <w:sz w:val="22"/>
          <w:szCs w:val="22"/>
          <w:lang w:val="en-NZ" w:eastAsia="ko-KR"/>
        </w:rPr>
        <w:t>SC14</w:t>
      </w:r>
      <w:r w:rsidRPr="00EE3592">
        <w:rPr>
          <w:rFonts w:eastAsia="Batang"/>
          <w:bCs/>
          <w:sz w:val="22"/>
          <w:szCs w:val="22"/>
          <w:lang w:eastAsia="ko-KR"/>
        </w:rPr>
        <w:t xml:space="preserve"> noted that no stock assessments were conducted for southwest Pacific striped marlin in 2018. Therefore, the stock status descriptions from SC8 are still current for southwest Pacific striped marlin. Updated information on catches was compiled but not reviewed by SC14. </w:t>
      </w:r>
    </w:p>
    <w:p w14:paraId="661DEEDB" w14:textId="77777777" w:rsidR="003D217E" w:rsidRPr="004635E5" w:rsidRDefault="003D217E" w:rsidP="003D217E">
      <w:pPr>
        <w:autoSpaceDE w:val="0"/>
        <w:autoSpaceDN w:val="0"/>
        <w:adjustRightInd w:val="0"/>
        <w:snapToGrid w:val="0"/>
        <w:jc w:val="both"/>
        <w:rPr>
          <w:rFonts w:eastAsia="Batang"/>
          <w:b/>
          <w:sz w:val="22"/>
          <w:szCs w:val="22"/>
          <w:lang w:eastAsia="ko-KR"/>
        </w:rPr>
      </w:pPr>
    </w:p>
    <w:p w14:paraId="25613EC5" w14:textId="77777777" w:rsidR="003D217E" w:rsidRPr="004635E5" w:rsidRDefault="003D217E" w:rsidP="002F64C2">
      <w:pPr>
        <w:pStyle w:val="SCa"/>
        <w:tabs>
          <w:tab w:val="clear" w:pos="1080"/>
        </w:tabs>
        <w:spacing w:after="0"/>
        <w:ind w:left="0"/>
      </w:pPr>
      <w:r w:rsidRPr="004635E5">
        <w:t>b.</w:t>
      </w:r>
      <w:r w:rsidRPr="004635E5">
        <w:tab/>
        <w:t>Management Advice and implications</w:t>
      </w:r>
    </w:p>
    <w:p w14:paraId="1EB1E508" w14:textId="77777777" w:rsidR="003D217E" w:rsidRPr="004635E5" w:rsidRDefault="003D217E" w:rsidP="003D217E">
      <w:pPr>
        <w:pStyle w:val="SCa"/>
        <w:spacing w:after="0"/>
      </w:pPr>
    </w:p>
    <w:p w14:paraId="29AC391A" w14:textId="77777777" w:rsidR="003D217E" w:rsidRPr="00EE3592" w:rsidRDefault="003D217E" w:rsidP="00580EA4">
      <w:pPr>
        <w:numPr>
          <w:ilvl w:val="0"/>
          <w:numId w:val="18"/>
        </w:numPr>
        <w:autoSpaceDE w:val="0"/>
        <w:autoSpaceDN w:val="0"/>
        <w:adjustRightInd w:val="0"/>
        <w:snapToGrid w:val="0"/>
        <w:ind w:left="0" w:firstLine="0"/>
        <w:jc w:val="both"/>
        <w:rPr>
          <w:rFonts w:eastAsia="Batang"/>
          <w:bCs/>
          <w:sz w:val="22"/>
          <w:szCs w:val="22"/>
          <w:lang w:eastAsia="ko-KR"/>
        </w:rPr>
      </w:pPr>
      <w:r w:rsidRPr="00EE3592">
        <w:rPr>
          <w:rFonts w:eastAsia="Batang"/>
          <w:bCs/>
          <w:sz w:val="22"/>
          <w:szCs w:val="22"/>
          <w:lang w:eastAsia="ko-KR"/>
        </w:rPr>
        <w:t xml:space="preserve">SC14 noted that no management advice has been provided since SC8 for southwest Pacific striped marlin. Therefore, previous advice should be maintained, pending a new assessment or other new information. </w:t>
      </w:r>
      <w:r w:rsidRPr="00EE3592">
        <w:rPr>
          <w:rFonts w:eastAsia="Batang"/>
          <w:bCs/>
          <w:sz w:val="22"/>
          <w:szCs w:val="22"/>
          <w:lang w:val="en-AU" w:eastAsia="ko-KR"/>
        </w:rPr>
        <w:t xml:space="preserve">For further information on the management advice and implications from SC8, please see </w:t>
      </w:r>
      <w:hyperlink r:id="rId74" w:history="1">
        <w:r w:rsidRPr="00EE3592">
          <w:rPr>
            <w:rStyle w:val="Hyperlink"/>
            <w:bCs/>
            <w:sz w:val="22"/>
            <w:szCs w:val="22"/>
          </w:rPr>
          <w:t>https://www.wcpfc.int/node/3396</w:t>
        </w:r>
      </w:hyperlink>
      <w:r w:rsidRPr="00EE3592">
        <w:rPr>
          <w:rFonts w:eastAsia="Batang"/>
          <w:bCs/>
          <w:sz w:val="22"/>
          <w:szCs w:val="22"/>
          <w:u w:val="single"/>
          <w:lang w:val="en-AU" w:eastAsia="ko-KR"/>
        </w:rPr>
        <w:t xml:space="preserve"> </w:t>
      </w:r>
    </w:p>
    <w:p w14:paraId="4F176213" w14:textId="77777777" w:rsidR="003D217E" w:rsidRPr="004635E5" w:rsidRDefault="003D217E" w:rsidP="003D217E">
      <w:pPr>
        <w:autoSpaceDE w:val="0"/>
        <w:autoSpaceDN w:val="0"/>
        <w:adjustRightInd w:val="0"/>
        <w:snapToGrid w:val="0"/>
        <w:jc w:val="both"/>
        <w:rPr>
          <w:rFonts w:eastAsia="Batang"/>
          <w:b/>
          <w:sz w:val="22"/>
          <w:szCs w:val="22"/>
          <w:lang w:eastAsia="ko-KR"/>
        </w:rPr>
      </w:pPr>
    </w:p>
    <w:p w14:paraId="4F1A659E" w14:textId="77777777" w:rsidR="003D217E" w:rsidRPr="00970771" w:rsidRDefault="003D217E" w:rsidP="00580EA4">
      <w:pPr>
        <w:pStyle w:val="SC3"/>
        <w:numPr>
          <w:ilvl w:val="2"/>
          <w:numId w:val="159"/>
        </w:numPr>
        <w:spacing w:after="0"/>
        <w:rPr>
          <w:rFonts w:eastAsia="Batang"/>
          <w:sz w:val="24"/>
          <w:szCs w:val="24"/>
        </w:rPr>
      </w:pPr>
      <w:r w:rsidRPr="00970771">
        <w:rPr>
          <w:rFonts w:eastAsia="Batang"/>
          <w:sz w:val="24"/>
          <w:szCs w:val="24"/>
        </w:rPr>
        <w:t>North Pacific striped marlin (</w:t>
      </w:r>
      <w:r w:rsidRPr="00970771">
        <w:rPr>
          <w:rFonts w:eastAsia="Batang"/>
          <w:i/>
          <w:sz w:val="24"/>
          <w:szCs w:val="24"/>
        </w:rPr>
        <w:t>Kajikia audax</w:t>
      </w:r>
      <w:r w:rsidRPr="00970771">
        <w:rPr>
          <w:rFonts w:eastAsia="Batang"/>
          <w:sz w:val="24"/>
          <w:szCs w:val="24"/>
        </w:rPr>
        <w:t>)</w:t>
      </w:r>
    </w:p>
    <w:p w14:paraId="42B93BC2" w14:textId="77777777" w:rsidR="003D217E" w:rsidRPr="004635E5" w:rsidRDefault="003D217E" w:rsidP="003D217E">
      <w:pPr>
        <w:pStyle w:val="SC3"/>
        <w:numPr>
          <w:ilvl w:val="0"/>
          <w:numId w:val="0"/>
        </w:numPr>
        <w:spacing w:after="0"/>
        <w:ind w:left="1440"/>
        <w:rPr>
          <w:rFonts w:eastAsia="Batang"/>
        </w:rPr>
      </w:pPr>
    </w:p>
    <w:p w14:paraId="573667C1" w14:textId="77777777" w:rsidR="003D217E" w:rsidRPr="004635E5" w:rsidRDefault="003D217E" w:rsidP="002F64C2">
      <w:pPr>
        <w:pStyle w:val="SCa"/>
        <w:tabs>
          <w:tab w:val="clear" w:pos="1080"/>
        </w:tabs>
        <w:spacing w:after="0"/>
        <w:ind w:left="0"/>
        <w:rPr>
          <w:lang w:val="en-NZ"/>
        </w:rPr>
      </w:pPr>
      <w:r w:rsidRPr="004635E5">
        <w:rPr>
          <w:lang w:val="en-NZ"/>
        </w:rPr>
        <w:t>a.</w:t>
      </w:r>
      <w:r w:rsidRPr="004635E5">
        <w:rPr>
          <w:lang w:val="en-NZ"/>
        </w:rPr>
        <w:tab/>
        <w:t xml:space="preserve">Status and trends </w:t>
      </w:r>
    </w:p>
    <w:p w14:paraId="5D372EA1" w14:textId="77777777" w:rsidR="003D217E" w:rsidRPr="004635E5" w:rsidRDefault="003D217E" w:rsidP="003D217E">
      <w:pPr>
        <w:pStyle w:val="SCa"/>
        <w:spacing w:after="0"/>
        <w:rPr>
          <w:lang w:val="en-NZ"/>
        </w:rPr>
      </w:pPr>
    </w:p>
    <w:p w14:paraId="2904B653" w14:textId="77777777" w:rsidR="003D217E" w:rsidRPr="00EE3592" w:rsidRDefault="003D217E" w:rsidP="00580EA4">
      <w:pPr>
        <w:numPr>
          <w:ilvl w:val="0"/>
          <w:numId w:val="18"/>
        </w:numPr>
        <w:autoSpaceDE w:val="0"/>
        <w:autoSpaceDN w:val="0"/>
        <w:adjustRightInd w:val="0"/>
        <w:snapToGrid w:val="0"/>
        <w:ind w:left="0" w:firstLine="0"/>
        <w:jc w:val="both"/>
        <w:rPr>
          <w:rFonts w:eastAsia="Batang"/>
          <w:bCs/>
          <w:sz w:val="22"/>
          <w:szCs w:val="22"/>
          <w:lang w:val="en-NZ" w:eastAsia="ko-KR"/>
        </w:rPr>
      </w:pPr>
      <w:r w:rsidRPr="00EE3592">
        <w:rPr>
          <w:rFonts w:eastAsia="Batang"/>
          <w:bCs/>
          <w:sz w:val="22"/>
          <w:szCs w:val="22"/>
          <w:lang w:val="en-NZ" w:eastAsia="ko-KR"/>
        </w:rPr>
        <w:t>SC14 noted that no stock assessments were conducted for North Pacific striped marlin in 2018. Therefore, the stock status descriptions from SC11 are still current for North Pacific striped marlin. Updated information on catches was not compiled for and reviewed by SC14.</w:t>
      </w:r>
    </w:p>
    <w:p w14:paraId="34D34DD8" w14:textId="77777777" w:rsidR="003D217E" w:rsidRPr="00EE3592" w:rsidRDefault="003D217E" w:rsidP="003D217E">
      <w:pPr>
        <w:autoSpaceDE w:val="0"/>
        <w:autoSpaceDN w:val="0"/>
        <w:adjustRightInd w:val="0"/>
        <w:snapToGrid w:val="0"/>
        <w:jc w:val="both"/>
        <w:rPr>
          <w:rFonts w:eastAsia="Batang"/>
          <w:bCs/>
          <w:sz w:val="22"/>
          <w:szCs w:val="22"/>
          <w:lang w:val="en-NZ" w:eastAsia="ko-KR"/>
        </w:rPr>
      </w:pPr>
    </w:p>
    <w:p w14:paraId="295E1A15" w14:textId="77777777" w:rsidR="003D217E" w:rsidRPr="00EE3592" w:rsidRDefault="003D217E" w:rsidP="00580EA4">
      <w:pPr>
        <w:numPr>
          <w:ilvl w:val="0"/>
          <w:numId w:val="18"/>
        </w:numPr>
        <w:autoSpaceDE w:val="0"/>
        <w:autoSpaceDN w:val="0"/>
        <w:adjustRightInd w:val="0"/>
        <w:snapToGrid w:val="0"/>
        <w:ind w:left="0" w:firstLine="0"/>
        <w:jc w:val="both"/>
        <w:rPr>
          <w:rFonts w:eastAsia="Batang"/>
          <w:bCs/>
          <w:sz w:val="22"/>
          <w:szCs w:val="22"/>
          <w:lang w:val="en-NZ" w:eastAsia="ko-KR"/>
        </w:rPr>
      </w:pPr>
      <w:r w:rsidRPr="00EE3592">
        <w:rPr>
          <w:rFonts w:eastAsia="Batang"/>
          <w:bCs/>
          <w:sz w:val="22"/>
          <w:szCs w:val="22"/>
          <w:lang w:val="en-NZ" w:eastAsia="ko-KR"/>
        </w:rPr>
        <w:t>To emphasize the importance of developing a stock rebuilding plan for North Pacific striped marlin, SC14 reiterated the ISC15 stock status information, excerpted from SC11:</w:t>
      </w:r>
    </w:p>
    <w:p w14:paraId="1A1B5D77" w14:textId="77777777" w:rsidR="003D217E" w:rsidRPr="004635E5" w:rsidRDefault="003D217E" w:rsidP="003D217E">
      <w:pPr>
        <w:pStyle w:val="Heading3"/>
        <w:keepNext w:val="0"/>
        <w:keepLines w:val="0"/>
        <w:widowControl w:val="0"/>
        <w:kinsoku w:val="0"/>
        <w:overflowPunct w:val="0"/>
        <w:autoSpaceDE w:val="0"/>
        <w:autoSpaceDN w:val="0"/>
        <w:adjustRightInd w:val="0"/>
        <w:snapToGrid w:val="0"/>
        <w:spacing w:before="0"/>
        <w:ind w:left="720"/>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“Estimates of population biomass of the Western and Central North Pacific (WCNPO) striped marlin stock (Kajikia audax) exhibit a long-term decline (Table S1). Population biomass (age-1 and older) averaged roughly 20,513 mt, or 46% of unfished biomass during 1975-1979, the first 5 years of the assessment time frame, and declined to 6,819 mt, or 15% of unfished biomass in 2013. Spawning stock biomass is estimated to be 1,094 mt in 2013 (39% of SSB</w:t>
      </w:r>
      <w:r w:rsidRPr="004635E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the spawning stock biomass to produce MSY). Fishing mortality on the stock (average F on ages 3 and older) is currently high and averaged roughly F =0.94 during 2010-2012, or 49% above F</w:t>
      </w:r>
      <w:r w:rsidRPr="004635E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The predicted value of the spawning potential ratio (SPR, the predicted spawning output at current F as a fraction of unfished spawning output) is currently SPR</w:t>
      </w:r>
      <w:r w:rsidRPr="004635E5">
        <w:rPr>
          <w:rFonts w:ascii="Times New Roman" w:hAnsi="Times New Roman" w:cs="Times New Roman"/>
          <w:b w:val="0"/>
          <w:color w:val="auto"/>
          <w:sz w:val="22"/>
          <w:szCs w:val="22"/>
          <w:vertAlign w:val="subscript"/>
        </w:rPr>
        <w:t>2010-2012</w:t>
      </w:r>
      <w:r w:rsidRPr="004635E5">
        <w:rPr>
          <w:rFonts w:ascii="Times New Roman" w:hAnsi="Times New Roman" w:cs="Times New Roman"/>
          <w:b w:val="0"/>
          <w:color w:val="auto"/>
          <w:sz w:val="22"/>
          <w:szCs w:val="22"/>
        </w:rPr>
        <w:t xml:space="preserve"> = 12% which is 33% below the level of SPR required to produce MSY. Recruitment averaged about 308 thousand recruits during 1994-2011, which was 25% below the 1975-2013 average. No target or limit reference points have been established for the WCNPO striped marlin stock under the auspices of the WCPFC. </w:t>
      </w:r>
    </w:p>
    <w:p w14:paraId="26DD5CCC" w14:textId="77777777" w:rsidR="003D217E" w:rsidRPr="004635E5" w:rsidRDefault="003D217E" w:rsidP="003D217E">
      <w:pPr>
        <w:pStyle w:val="BodyText"/>
        <w:widowControl w:val="0"/>
        <w:kinsoku w:val="0"/>
        <w:overflowPunct w:val="0"/>
        <w:autoSpaceDE w:val="0"/>
        <w:autoSpaceDN w:val="0"/>
        <w:adjustRightInd w:val="0"/>
        <w:snapToGrid w:val="0"/>
        <w:ind w:left="720"/>
        <w:rPr>
          <w:b/>
          <w:i/>
          <w:sz w:val="22"/>
          <w:szCs w:val="22"/>
        </w:rPr>
      </w:pPr>
    </w:p>
    <w:p w14:paraId="153DCB4A" w14:textId="77777777" w:rsidR="003D217E" w:rsidRPr="004635E5" w:rsidRDefault="003D217E" w:rsidP="003D217E">
      <w:pPr>
        <w:pStyle w:val="Heading3"/>
        <w:keepNext w:val="0"/>
        <w:keepLines w:val="0"/>
        <w:widowControl w:val="0"/>
        <w:kinsoku w:val="0"/>
        <w:overflowPunct w:val="0"/>
        <w:autoSpaceDE w:val="0"/>
        <w:autoSpaceDN w:val="0"/>
        <w:adjustRightInd w:val="0"/>
        <w:snapToGrid w:val="0"/>
        <w:spacing w:before="0"/>
        <w:ind w:left="720" w:right="221"/>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The WCNPO striped marlin stock is expected to be highly productive due to its rapid growth and high resilience to reductions in spawning potential. The status of the stock is highly dependent on the magnitude of recruitment, which has been below its long-term average since 2007, with the exception of 2010 (Table S1). Changes in recent size composition data in comparison to the previous assessment resulted in changes in fishery selectivity estimates and also affected recruitment estimates. This, in turn, affected the scaling of biomass and fishing mortality to reference levels.</w:t>
      </w:r>
    </w:p>
    <w:p w14:paraId="7EAC8CCD" w14:textId="77777777" w:rsidR="003D217E" w:rsidRPr="004635E5" w:rsidRDefault="003D217E" w:rsidP="003D217E">
      <w:pPr>
        <w:adjustRightInd w:val="0"/>
        <w:snapToGrid w:val="0"/>
        <w:rPr>
          <w:sz w:val="22"/>
          <w:szCs w:val="22"/>
        </w:rPr>
      </w:pPr>
    </w:p>
    <w:p w14:paraId="3CA29A25" w14:textId="77777777" w:rsidR="003D217E" w:rsidRPr="004635E5" w:rsidRDefault="003D217E" w:rsidP="003D217E">
      <w:pPr>
        <w:pStyle w:val="BodyText"/>
        <w:adjustRightInd w:val="0"/>
        <w:snapToGrid w:val="0"/>
        <w:ind w:left="540" w:right="117"/>
        <w:jc w:val="both"/>
        <w:rPr>
          <w:sz w:val="22"/>
          <w:szCs w:val="22"/>
        </w:rPr>
      </w:pPr>
      <w:r w:rsidRPr="00EE3592">
        <w:rPr>
          <w:b/>
          <w:bCs/>
          <w:sz w:val="22"/>
          <w:szCs w:val="22"/>
        </w:rPr>
        <w:t>Table S1</w:t>
      </w:r>
      <w:r w:rsidRPr="004635E5">
        <w:rPr>
          <w:sz w:val="22"/>
          <w:szCs w:val="22"/>
        </w:rPr>
        <w:t xml:space="preserve">: Reported annual values of catch (mt), population biomass (mt), spawning stock biomass (mt), </w:t>
      </w:r>
      <w:r w:rsidRPr="004635E5">
        <w:rPr>
          <w:position w:val="2"/>
          <w:sz w:val="22"/>
          <w:szCs w:val="22"/>
        </w:rPr>
        <w:t>relative</w:t>
      </w:r>
      <w:r w:rsidRPr="004635E5">
        <w:rPr>
          <w:spacing w:val="-3"/>
          <w:position w:val="2"/>
          <w:sz w:val="22"/>
          <w:szCs w:val="22"/>
        </w:rPr>
        <w:t xml:space="preserve"> spawning stock </w:t>
      </w:r>
      <w:r w:rsidRPr="004635E5">
        <w:rPr>
          <w:position w:val="2"/>
          <w:sz w:val="22"/>
          <w:szCs w:val="22"/>
        </w:rPr>
        <w:t>biomass</w:t>
      </w:r>
      <w:r w:rsidRPr="004635E5">
        <w:rPr>
          <w:spacing w:val="-3"/>
          <w:position w:val="2"/>
          <w:sz w:val="22"/>
          <w:szCs w:val="22"/>
        </w:rPr>
        <w:t xml:space="preserve"> </w:t>
      </w:r>
      <w:r w:rsidRPr="004635E5">
        <w:rPr>
          <w:i/>
          <w:position w:val="2"/>
          <w:sz w:val="22"/>
          <w:szCs w:val="22"/>
        </w:rPr>
        <w:t>SSB/SSB</w:t>
      </w:r>
      <w:r w:rsidRPr="004635E5">
        <w:rPr>
          <w:i/>
          <w:sz w:val="22"/>
          <w:szCs w:val="22"/>
        </w:rPr>
        <w:t>MSY</w:t>
      </w:r>
      <w:r w:rsidRPr="004635E5">
        <w:rPr>
          <w:position w:val="2"/>
          <w:sz w:val="22"/>
          <w:szCs w:val="22"/>
        </w:rPr>
        <w:t>),</w:t>
      </w:r>
      <w:r w:rsidRPr="004635E5">
        <w:rPr>
          <w:spacing w:val="-3"/>
          <w:position w:val="2"/>
          <w:sz w:val="22"/>
          <w:szCs w:val="22"/>
        </w:rPr>
        <w:t xml:space="preserve"> recruitment (000s), </w:t>
      </w:r>
      <w:r w:rsidRPr="004635E5">
        <w:rPr>
          <w:position w:val="2"/>
          <w:sz w:val="22"/>
          <w:szCs w:val="22"/>
        </w:rPr>
        <w:t>fishing mortality,</w:t>
      </w:r>
      <w:r w:rsidRPr="004635E5">
        <w:rPr>
          <w:spacing w:val="-6"/>
          <w:position w:val="2"/>
          <w:sz w:val="22"/>
          <w:szCs w:val="22"/>
        </w:rPr>
        <w:t xml:space="preserve"> </w:t>
      </w:r>
      <w:r w:rsidRPr="004635E5">
        <w:rPr>
          <w:position w:val="2"/>
          <w:sz w:val="22"/>
          <w:szCs w:val="22"/>
        </w:rPr>
        <w:t>relative</w:t>
      </w:r>
      <w:r w:rsidRPr="004635E5">
        <w:rPr>
          <w:spacing w:val="-5"/>
          <w:position w:val="2"/>
          <w:sz w:val="22"/>
          <w:szCs w:val="22"/>
        </w:rPr>
        <w:t xml:space="preserve"> </w:t>
      </w:r>
      <w:r w:rsidRPr="004635E5">
        <w:rPr>
          <w:position w:val="2"/>
          <w:sz w:val="22"/>
          <w:szCs w:val="22"/>
        </w:rPr>
        <w:t>fishing mortality</w:t>
      </w:r>
      <w:r w:rsidRPr="004635E5">
        <w:rPr>
          <w:spacing w:val="-5"/>
          <w:position w:val="2"/>
          <w:sz w:val="22"/>
          <w:szCs w:val="22"/>
        </w:rPr>
        <w:t xml:space="preserve"> </w:t>
      </w:r>
      <w:r w:rsidRPr="004635E5">
        <w:rPr>
          <w:position w:val="2"/>
          <w:sz w:val="22"/>
          <w:szCs w:val="22"/>
        </w:rPr>
        <w:t>(</w:t>
      </w:r>
      <w:r w:rsidRPr="004635E5">
        <w:rPr>
          <w:i/>
          <w:position w:val="2"/>
          <w:sz w:val="22"/>
          <w:szCs w:val="22"/>
        </w:rPr>
        <w:t>F/F</w:t>
      </w:r>
      <w:r w:rsidRPr="004E1B05">
        <w:rPr>
          <w:i/>
          <w:sz w:val="22"/>
          <w:szCs w:val="22"/>
          <w:vertAlign w:val="subscript"/>
        </w:rPr>
        <w:t>MSY</w:t>
      </w:r>
      <w:r w:rsidRPr="004635E5">
        <w:rPr>
          <w:position w:val="2"/>
          <w:sz w:val="22"/>
          <w:szCs w:val="22"/>
        </w:rPr>
        <w:t>),</w:t>
      </w:r>
      <w:r w:rsidRPr="004635E5">
        <w:rPr>
          <w:spacing w:val="-3"/>
          <w:position w:val="2"/>
          <w:sz w:val="22"/>
          <w:szCs w:val="22"/>
        </w:rPr>
        <w:t xml:space="preserve"> exploitation rate, </w:t>
      </w:r>
      <w:r w:rsidRPr="004635E5">
        <w:rPr>
          <w:position w:val="2"/>
          <w:sz w:val="22"/>
          <w:szCs w:val="22"/>
        </w:rPr>
        <w:t>and spawning potential ration for the WCNPO striped marlin stock.</w:t>
      </w:r>
    </w:p>
    <w:tbl>
      <w:tblPr>
        <w:tblW w:w="8933" w:type="dxa"/>
        <w:tblInd w:w="54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881"/>
        <w:gridCol w:w="735"/>
        <w:gridCol w:w="704"/>
        <w:gridCol w:w="706"/>
        <w:gridCol w:w="706"/>
        <w:gridCol w:w="703"/>
        <w:gridCol w:w="703"/>
        <w:gridCol w:w="673"/>
        <w:gridCol w:w="743"/>
        <w:gridCol w:w="697"/>
        <w:gridCol w:w="682"/>
      </w:tblGrid>
      <w:tr w:rsidR="003D217E" w:rsidRPr="00697896" w14:paraId="0E68A81E" w14:textId="77777777" w:rsidTr="001740C5">
        <w:trPr>
          <w:trHeight w:hRule="exact" w:val="214"/>
        </w:trPr>
        <w:tc>
          <w:tcPr>
            <w:tcW w:w="1881" w:type="dxa"/>
            <w:tcBorders>
              <w:top w:val="single" w:sz="3" w:space="0" w:color="000000"/>
              <w:bottom w:val="single" w:sz="3" w:space="0" w:color="000000"/>
            </w:tcBorders>
            <w:shd w:val="clear" w:color="auto" w:fill="D8D8D8"/>
          </w:tcPr>
          <w:p w14:paraId="45005914" w14:textId="77777777" w:rsidR="003D217E" w:rsidRPr="00697896" w:rsidRDefault="003D217E" w:rsidP="001740C5">
            <w:pPr>
              <w:pStyle w:val="TableParagraph"/>
              <w:adjustRightInd w:val="0"/>
              <w:snapToGrid w:val="0"/>
              <w:spacing w:line="240" w:lineRule="auto"/>
              <w:ind w:left="942" w:right="942"/>
              <w:jc w:val="center"/>
              <w:rPr>
                <w:b/>
                <w:sz w:val="20"/>
                <w:szCs w:val="20"/>
              </w:rPr>
            </w:pPr>
            <w:r w:rsidRPr="00697896">
              <w:rPr>
                <w:b/>
                <w:sz w:val="20"/>
                <w:szCs w:val="20"/>
              </w:rPr>
              <w:t>Year</w:t>
            </w:r>
          </w:p>
        </w:tc>
        <w:tc>
          <w:tcPr>
            <w:tcW w:w="735" w:type="dxa"/>
            <w:tcBorders>
              <w:top w:val="single" w:sz="3" w:space="0" w:color="000000"/>
              <w:bottom w:val="single" w:sz="3" w:space="0" w:color="000000"/>
            </w:tcBorders>
            <w:shd w:val="clear" w:color="auto" w:fill="D8D8D8"/>
          </w:tcPr>
          <w:p w14:paraId="396633BA" w14:textId="77777777" w:rsidR="003D217E" w:rsidRPr="00697896" w:rsidRDefault="003D217E" w:rsidP="001740C5">
            <w:pPr>
              <w:pStyle w:val="TableParagraph"/>
              <w:adjustRightInd w:val="0"/>
              <w:snapToGrid w:val="0"/>
              <w:spacing w:line="240" w:lineRule="auto"/>
              <w:ind w:left="169"/>
              <w:rPr>
                <w:b/>
                <w:sz w:val="20"/>
                <w:szCs w:val="20"/>
              </w:rPr>
            </w:pPr>
            <w:r w:rsidRPr="00697896">
              <w:rPr>
                <w:b/>
                <w:sz w:val="20"/>
                <w:szCs w:val="20"/>
              </w:rPr>
              <w:t>2007</w:t>
            </w:r>
          </w:p>
        </w:tc>
        <w:tc>
          <w:tcPr>
            <w:tcW w:w="704" w:type="dxa"/>
            <w:tcBorders>
              <w:top w:val="single" w:sz="3" w:space="0" w:color="000000"/>
              <w:bottom w:val="single" w:sz="3" w:space="0" w:color="000000"/>
            </w:tcBorders>
            <w:shd w:val="clear" w:color="auto" w:fill="D8D8D8"/>
          </w:tcPr>
          <w:p w14:paraId="20DB29C9" w14:textId="77777777" w:rsidR="003D217E" w:rsidRPr="00697896" w:rsidRDefault="003D217E" w:rsidP="001740C5">
            <w:pPr>
              <w:pStyle w:val="TableParagraph"/>
              <w:adjustRightInd w:val="0"/>
              <w:snapToGrid w:val="0"/>
              <w:spacing w:line="240" w:lineRule="auto"/>
              <w:ind w:left="137"/>
              <w:rPr>
                <w:b/>
                <w:sz w:val="20"/>
                <w:szCs w:val="20"/>
              </w:rPr>
            </w:pPr>
            <w:r w:rsidRPr="00697896">
              <w:rPr>
                <w:b/>
                <w:sz w:val="20"/>
                <w:szCs w:val="20"/>
              </w:rPr>
              <w:t>2008</w:t>
            </w:r>
          </w:p>
        </w:tc>
        <w:tc>
          <w:tcPr>
            <w:tcW w:w="706" w:type="dxa"/>
            <w:tcBorders>
              <w:top w:val="single" w:sz="3" w:space="0" w:color="000000"/>
              <w:bottom w:val="single" w:sz="3" w:space="0" w:color="000000"/>
            </w:tcBorders>
            <w:shd w:val="clear" w:color="auto" w:fill="D8D8D8"/>
          </w:tcPr>
          <w:p w14:paraId="12DEB4E0" w14:textId="77777777" w:rsidR="003D217E" w:rsidRPr="00697896" w:rsidRDefault="003D217E" w:rsidP="001740C5">
            <w:pPr>
              <w:pStyle w:val="TableParagraph"/>
              <w:adjustRightInd w:val="0"/>
              <w:snapToGrid w:val="0"/>
              <w:spacing w:line="240" w:lineRule="auto"/>
              <w:ind w:right="203"/>
              <w:rPr>
                <w:b/>
                <w:sz w:val="20"/>
                <w:szCs w:val="20"/>
              </w:rPr>
            </w:pPr>
            <w:r w:rsidRPr="00697896">
              <w:rPr>
                <w:b/>
                <w:sz w:val="20"/>
                <w:szCs w:val="20"/>
              </w:rPr>
              <w:t>2009</w:t>
            </w:r>
          </w:p>
        </w:tc>
        <w:tc>
          <w:tcPr>
            <w:tcW w:w="706" w:type="dxa"/>
            <w:tcBorders>
              <w:top w:val="single" w:sz="3" w:space="0" w:color="000000"/>
              <w:bottom w:val="single" w:sz="3" w:space="0" w:color="000000"/>
            </w:tcBorders>
            <w:shd w:val="clear" w:color="auto" w:fill="D8D8D8"/>
          </w:tcPr>
          <w:p w14:paraId="04CDB957" w14:textId="77777777" w:rsidR="003D217E" w:rsidRPr="00697896" w:rsidRDefault="003D217E" w:rsidP="001740C5">
            <w:pPr>
              <w:pStyle w:val="TableParagraph"/>
              <w:adjustRightInd w:val="0"/>
              <w:snapToGrid w:val="0"/>
              <w:spacing w:line="240" w:lineRule="auto"/>
              <w:ind w:left="55" w:right="119"/>
              <w:jc w:val="center"/>
              <w:rPr>
                <w:b/>
                <w:sz w:val="20"/>
                <w:szCs w:val="20"/>
              </w:rPr>
            </w:pPr>
            <w:r w:rsidRPr="00697896">
              <w:rPr>
                <w:b/>
                <w:sz w:val="20"/>
                <w:szCs w:val="20"/>
              </w:rPr>
              <w:t>2010</w:t>
            </w:r>
          </w:p>
        </w:tc>
        <w:tc>
          <w:tcPr>
            <w:tcW w:w="703" w:type="dxa"/>
            <w:tcBorders>
              <w:top w:val="single" w:sz="3" w:space="0" w:color="000000"/>
              <w:bottom w:val="single" w:sz="3" w:space="0" w:color="000000"/>
            </w:tcBorders>
            <w:shd w:val="clear" w:color="auto" w:fill="D8D8D8"/>
          </w:tcPr>
          <w:p w14:paraId="634BE86A" w14:textId="77777777" w:rsidR="003D217E" w:rsidRPr="00697896" w:rsidRDefault="003D217E" w:rsidP="001740C5">
            <w:pPr>
              <w:pStyle w:val="TableParagraph"/>
              <w:adjustRightInd w:val="0"/>
              <w:snapToGrid w:val="0"/>
              <w:spacing w:line="240" w:lineRule="auto"/>
              <w:ind w:left="138"/>
              <w:rPr>
                <w:b/>
                <w:sz w:val="20"/>
                <w:szCs w:val="20"/>
              </w:rPr>
            </w:pPr>
            <w:r w:rsidRPr="00697896">
              <w:rPr>
                <w:b/>
                <w:sz w:val="20"/>
                <w:szCs w:val="20"/>
              </w:rPr>
              <w:t>2011</w:t>
            </w:r>
          </w:p>
        </w:tc>
        <w:tc>
          <w:tcPr>
            <w:tcW w:w="703" w:type="dxa"/>
            <w:tcBorders>
              <w:top w:val="single" w:sz="3" w:space="0" w:color="000000"/>
              <w:bottom w:val="single" w:sz="3" w:space="0" w:color="000000"/>
            </w:tcBorders>
            <w:shd w:val="clear" w:color="auto" w:fill="D8D8D8"/>
          </w:tcPr>
          <w:p w14:paraId="722011FB" w14:textId="77777777" w:rsidR="003D217E" w:rsidRPr="00697896" w:rsidRDefault="003D217E" w:rsidP="001740C5">
            <w:pPr>
              <w:pStyle w:val="TableParagraph"/>
              <w:adjustRightInd w:val="0"/>
              <w:snapToGrid w:val="0"/>
              <w:spacing w:line="240" w:lineRule="auto"/>
              <w:ind w:left="136"/>
              <w:rPr>
                <w:b/>
                <w:sz w:val="20"/>
                <w:szCs w:val="20"/>
              </w:rPr>
            </w:pPr>
            <w:r w:rsidRPr="00697896">
              <w:rPr>
                <w:b/>
                <w:sz w:val="20"/>
                <w:szCs w:val="20"/>
              </w:rPr>
              <w:t>2012</w:t>
            </w:r>
          </w:p>
        </w:tc>
        <w:tc>
          <w:tcPr>
            <w:tcW w:w="673" w:type="dxa"/>
            <w:tcBorders>
              <w:top w:val="single" w:sz="3" w:space="0" w:color="000000"/>
              <w:bottom w:val="single" w:sz="3" w:space="0" w:color="000000"/>
            </w:tcBorders>
            <w:shd w:val="clear" w:color="auto" w:fill="D8D8D8"/>
          </w:tcPr>
          <w:p w14:paraId="535EC477" w14:textId="77777777" w:rsidR="003D217E" w:rsidRPr="00697896" w:rsidRDefault="003D217E" w:rsidP="001740C5">
            <w:pPr>
              <w:pStyle w:val="TableParagraph"/>
              <w:adjustRightInd w:val="0"/>
              <w:snapToGrid w:val="0"/>
              <w:spacing w:line="240" w:lineRule="auto"/>
              <w:ind w:left="138"/>
              <w:rPr>
                <w:b/>
                <w:sz w:val="20"/>
                <w:szCs w:val="20"/>
              </w:rPr>
            </w:pPr>
            <w:r w:rsidRPr="00697896">
              <w:rPr>
                <w:b/>
                <w:sz w:val="20"/>
                <w:szCs w:val="20"/>
              </w:rPr>
              <w:t>2013</w:t>
            </w:r>
          </w:p>
        </w:tc>
        <w:tc>
          <w:tcPr>
            <w:tcW w:w="743" w:type="dxa"/>
            <w:tcBorders>
              <w:top w:val="single" w:sz="3" w:space="0" w:color="000000"/>
              <w:bottom w:val="single" w:sz="3" w:space="0" w:color="000000"/>
            </w:tcBorders>
            <w:shd w:val="clear" w:color="auto" w:fill="D8D8D8"/>
          </w:tcPr>
          <w:p w14:paraId="75A3F3DA" w14:textId="77777777" w:rsidR="003D217E" w:rsidRPr="00697896" w:rsidRDefault="003D217E" w:rsidP="001740C5">
            <w:pPr>
              <w:pStyle w:val="TableParagraph"/>
              <w:adjustRightInd w:val="0"/>
              <w:snapToGrid w:val="0"/>
              <w:spacing w:line="240" w:lineRule="auto"/>
              <w:ind w:right="135"/>
              <w:rPr>
                <w:b/>
                <w:sz w:val="20"/>
                <w:szCs w:val="20"/>
              </w:rPr>
            </w:pPr>
            <w:r w:rsidRPr="00697896">
              <w:rPr>
                <w:b/>
                <w:sz w:val="20"/>
                <w:szCs w:val="20"/>
              </w:rPr>
              <w:t>Mean</w:t>
            </w:r>
            <w:r w:rsidRPr="00697896">
              <w:rPr>
                <w:b/>
                <w:position w:val="6"/>
                <w:sz w:val="20"/>
                <w:szCs w:val="20"/>
              </w:rPr>
              <w:t>1</w:t>
            </w:r>
          </w:p>
        </w:tc>
        <w:tc>
          <w:tcPr>
            <w:tcW w:w="697" w:type="dxa"/>
            <w:tcBorders>
              <w:top w:val="single" w:sz="3" w:space="0" w:color="000000"/>
              <w:bottom w:val="single" w:sz="3" w:space="0" w:color="000000"/>
            </w:tcBorders>
            <w:shd w:val="clear" w:color="auto" w:fill="D8D8D8"/>
          </w:tcPr>
          <w:p w14:paraId="2DCEDE3E" w14:textId="77777777" w:rsidR="003D217E" w:rsidRPr="00697896" w:rsidRDefault="003D217E" w:rsidP="001740C5">
            <w:pPr>
              <w:pStyle w:val="TableParagraph"/>
              <w:adjustRightInd w:val="0"/>
              <w:snapToGrid w:val="0"/>
              <w:spacing w:line="240" w:lineRule="auto"/>
              <w:ind w:right="179"/>
              <w:rPr>
                <w:b/>
                <w:sz w:val="20"/>
                <w:szCs w:val="20"/>
              </w:rPr>
            </w:pPr>
            <w:r w:rsidRPr="00697896">
              <w:rPr>
                <w:b/>
                <w:sz w:val="20"/>
                <w:szCs w:val="20"/>
              </w:rPr>
              <w:t>Min</w:t>
            </w:r>
            <w:r w:rsidRPr="00697896">
              <w:rPr>
                <w:b/>
                <w:position w:val="6"/>
                <w:sz w:val="20"/>
                <w:szCs w:val="20"/>
              </w:rPr>
              <w:t>1</w:t>
            </w:r>
          </w:p>
        </w:tc>
        <w:tc>
          <w:tcPr>
            <w:tcW w:w="682" w:type="dxa"/>
            <w:tcBorders>
              <w:top w:val="single" w:sz="3" w:space="0" w:color="000000"/>
              <w:bottom w:val="single" w:sz="3" w:space="0" w:color="000000"/>
            </w:tcBorders>
            <w:shd w:val="clear" w:color="auto" w:fill="D8D8D8"/>
          </w:tcPr>
          <w:p w14:paraId="7430C7AA" w14:textId="77777777" w:rsidR="003D217E" w:rsidRPr="00697896" w:rsidRDefault="003D217E" w:rsidP="001740C5">
            <w:pPr>
              <w:pStyle w:val="TableParagraph"/>
              <w:adjustRightInd w:val="0"/>
              <w:snapToGrid w:val="0"/>
              <w:spacing w:line="240" w:lineRule="auto"/>
              <w:ind w:left="67" w:right="83"/>
              <w:jc w:val="center"/>
              <w:rPr>
                <w:b/>
                <w:sz w:val="20"/>
                <w:szCs w:val="20"/>
              </w:rPr>
            </w:pPr>
            <w:r w:rsidRPr="00697896">
              <w:rPr>
                <w:b/>
                <w:sz w:val="20"/>
                <w:szCs w:val="20"/>
              </w:rPr>
              <w:t>Max</w:t>
            </w:r>
            <w:r w:rsidRPr="00697896">
              <w:rPr>
                <w:b/>
                <w:position w:val="6"/>
                <w:sz w:val="20"/>
                <w:szCs w:val="20"/>
              </w:rPr>
              <w:t>1</w:t>
            </w:r>
          </w:p>
        </w:tc>
      </w:tr>
      <w:tr w:rsidR="003D217E" w:rsidRPr="00697896" w14:paraId="2B7F8462" w14:textId="77777777" w:rsidTr="001740C5">
        <w:trPr>
          <w:trHeight w:hRule="exact" w:val="219"/>
        </w:trPr>
        <w:tc>
          <w:tcPr>
            <w:tcW w:w="1881" w:type="dxa"/>
            <w:tcBorders>
              <w:top w:val="single" w:sz="3" w:space="0" w:color="000000"/>
            </w:tcBorders>
          </w:tcPr>
          <w:p w14:paraId="600634FA" w14:textId="77777777" w:rsidR="003D217E" w:rsidRPr="00697896" w:rsidRDefault="003D217E" w:rsidP="001740C5">
            <w:pPr>
              <w:pStyle w:val="TableParagraph"/>
              <w:adjustRightInd w:val="0"/>
              <w:snapToGrid w:val="0"/>
              <w:spacing w:line="240" w:lineRule="auto"/>
              <w:ind w:left="107"/>
              <w:rPr>
                <w:sz w:val="20"/>
                <w:szCs w:val="20"/>
              </w:rPr>
            </w:pPr>
            <w:r w:rsidRPr="00697896">
              <w:rPr>
                <w:sz w:val="20"/>
                <w:szCs w:val="20"/>
              </w:rPr>
              <w:t>Reported Catch</w:t>
            </w:r>
          </w:p>
        </w:tc>
        <w:tc>
          <w:tcPr>
            <w:tcW w:w="735" w:type="dxa"/>
            <w:tcBorders>
              <w:top w:val="single" w:sz="3" w:space="0" w:color="000000"/>
            </w:tcBorders>
          </w:tcPr>
          <w:p w14:paraId="692B4FDB" w14:textId="77777777" w:rsidR="003D217E" w:rsidRPr="00697896" w:rsidRDefault="003D217E" w:rsidP="001740C5">
            <w:pPr>
              <w:pStyle w:val="TableParagraph"/>
              <w:adjustRightInd w:val="0"/>
              <w:snapToGrid w:val="0"/>
              <w:spacing w:line="240" w:lineRule="auto"/>
              <w:ind w:right="137"/>
              <w:rPr>
                <w:sz w:val="20"/>
                <w:szCs w:val="20"/>
              </w:rPr>
            </w:pPr>
            <w:r w:rsidRPr="00697896">
              <w:rPr>
                <w:sz w:val="20"/>
                <w:szCs w:val="20"/>
              </w:rPr>
              <w:t>3084</w:t>
            </w:r>
          </w:p>
        </w:tc>
        <w:tc>
          <w:tcPr>
            <w:tcW w:w="704" w:type="dxa"/>
            <w:tcBorders>
              <w:top w:val="single" w:sz="3" w:space="0" w:color="000000"/>
            </w:tcBorders>
          </w:tcPr>
          <w:p w14:paraId="3DA37A1F" w14:textId="77777777" w:rsidR="003D217E" w:rsidRPr="00697896" w:rsidRDefault="003D217E" w:rsidP="001740C5">
            <w:pPr>
              <w:pStyle w:val="TableParagraph"/>
              <w:adjustRightInd w:val="0"/>
              <w:snapToGrid w:val="0"/>
              <w:spacing w:line="240" w:lineRule="auto"/>
              <w:ind w:right="140"/>
              <w:rPr>
                <w:sz w:val="20"/>
                <w:szCs w:val="20"/>
              </w:rPr>
            </w:pPr>
            <w:r w:rsidRPr="00697896">
              <w:rPr>
                <w:sz w:val="20"/>
                <w:szCs w:val="20"/>
              </w:rPr>
              <w:t>3503</w:t>
            </w:r>
          </w:p>
        </w:tc>
        <w:tc>
          <w:tcPr>
            <w:tcW w:w="706" w:type="dxa"/>
            <w:tcBorders>
              <w:top w:val="single" w:sz="3" w:space="0" w:color="000000"/>
            </w:tcBorders>
          </w:tcPr>
          <w:p w14:paraId="4390D0E0" w14:textId="77777777" w:rsidR="003D217E" w:rsidRPr="00697896" w:rsidRDefault="003D217E" w:rsidP="001740C5">
            <w:pPr>
              <w:pStyle w:val="TableParagraph"/>
              <w:adjustRightInd w:val="0"/>
              <w:snapToGrid w:val="0"/>
              <w:spacing w:line="240" w:lineRule="auto"/>
              <w:ind w:right="140"/>
              <w:rPr>
                <w:sz w:val="20"/>
                <w:szCs w:val="20"/>
              </w:rPr>
            </w:pPr>
            <w:r w:rsidRPr="00697896">
              <w:rPr>
                <w:sz w:val="20"/>
                <w:szCs w:val="20"/>
              </w:rPr>
              <w:t>2468</w:t>
            </w:r>
          </w:p>
        </w:tc>
        <w:tc>
          <w:tcPr>
            <w:tcW w:w="706" w:type="dxa"/>
            <w:tcBorders>
              <w:top w:val="single" w:sz="3" w:space="0" w:color="000000"/>
            </w:tcBorders>
          </w:tcPr>
          <w:p w14:paraId="25AA0482" w14:textId="77777777" w:rsidR="003D217E" w:rsidRPr="00697896" w:rsidRDefault="003D217E" w:rsidP="001740C5">
            <w:pPr>
              <w:pStyle w:val="TableParagraph"/>
              <w:adjustRightInd w:val="0"/>
              <w:snapToGrid w:val="0"/>
              <w:spacing w:line="240" w:lineRule="auto"/>
              <w:ind w:left="120" w:right="58"/>
              <w:jc w:val="center"/>
              <w:rPr>
                <w:sz w:val="20"/>
                <w:szCs w:val="20"/>
              </w:rPr>
            </w:pPr>
            <w:r w:rsidRPr="00697896">
              <w:rPr>
                <w:sz w:val="20"/>
                <w:szCs w:val="20"/>
              </w:rPr>
              <w:t>2852</w:t>
            </w:r>
          </w:p>
        </w:tc>
        <w:tc>
          <w:tcPr>
            <w:tcW w:w="703" w:type="dxa"/>
            <w:tcBorders>
              <w:top w:val="single" w:sz="3" w:space="0" w:color="000000"/>
            </w:tcBorders>
          </w:tcPr>
          <w:p w14:paraId="067BAE9F" w14:textId="77777777" w:rsidR="003D217E" w:rsidRPr="00697896" w:rsidRDefault="003D217E" w:rsidP="001740C5">
            <w:pPr>
              <w:pStyle w:val="TableParagraph"/>
              <w:adjustRightInd w:val="0"/>
              <w:snapToGrid w:val="0"/>
              <w:spacing w:line="240" w:lineRule="auto"/>
              <w:ind w:right="136"/>
              <w:rPr>
                <w:sz w:val="20"/>
                <w:szCs w:val="20"/>
              </w:rPr>
            </w:pPr>
            <w:r w:rsidRPr="00697896">
              <w:rPr>
                <w:sz w:val="20"/>
                <w:szCs w:val="20"/>
              </w:rPr>
              <w:t>3125</w:t>
            </w:r>
          </w:p>
        </w:tc>
        <w:tc>
          <w:tcPr>
            <w:tcW w:w="703" w:type="dxa"/>
            <w:tcBorders>
              <w:top w:val="single" w:sz="3" w:space="0" w:color="000000"/>
            </w:tcBorders>
          </w:tcPr>
          <w:p w14:paraId="51E6B080" w14:textId="77777777" w:rsidR="003D217E" w:rsidRPr="00697896" w:rsidRDefault="003D217E" w:rsidP="001740C5">
            <w:pPr>
              <w:pStyle w:val="TableParagraph"/>
              <w:adjustRightInd w:val="0"/>
              <w:snapToGrid w:val="0"/>
              <w:spacing w:line="240" w:lineRule="auto"/>
              <w:ind w:right="140"/>
              <w:rPr>
                <w:sz w:val="20"/>
                <w:szCs w:val="20"/>
              </w:rPr>
            </w:pPr>
            <w:r w:rsidRPr="00697896">
              <w:rPr>
                <w:sz w:val="20"/>
                <w:szCs w:val="20"/>
              </w:rPr>
              <w:t>3521</w:t>
            </w:r>
          </w:p>
        </w:tc>
        <w:tc>
          <w:tcPr>
            <w:tcW w:w="673" w:type="dxa"/>
            <w:tcBorders>
              <w:top w:val="single" w:sz="3" w:space="0" w:color="000000"/>
            </w:tcBorders>
          </w:tcPr>
          <w:p w14:paraId="1A0DF4D2" w14:textId="77777777" w:rsidR="003D217E" w:rsidRPr="00697896" w:rsidRDefault="003D217E" w:rsidP="001740C5">
            <w:pPr>
              <w:pStyle w:val="TableParagraph"/>
              <w:adjustRightInd w:val="0"/>
              <w:snapToGrid w:val="0"/>
              <w:spacing w:line="240" w:lineRule="auto"/>
              <w:ind w:right="106"/>
              <w:rPr>
                <w:sz w:val="20"/>
                <w:szCs w:val="20"/>
              </w:rPr>
            </w:pPr>
            <w:r w:rsidRPr="00697896">
              <w:rPr>
                <w:sz w:val="20"/>
                <w:szCs w:val="20"/>
              </w:rPr>
              <w:t>2984</w:t>
            </w:r>
          </w:p>
        </w:tc>
        <w:tc>
          <w:tcPr>
            <w:tcW w:w="743" w:type="dxa"/>
            <w:tcBorders>
              <w:top w:val="single" w:sz="3" w:space="0" w:color="000000"/>
            </w:tcBorders>
          </w:tcPr>
          <w:p w14:paraId="2475D95C" w14:textId="77777777" w:rsidR="003D217E" w:rsidRPr="00697896" w:rsidRDefault="003D217E" w:rsidP="001740C5">
            <w:pPr>
              <w:pStyle w:val="TableParagraph"/>
              <w:adjustRightInd w:val="0"/>
              <w:snapToGrid w:val="0"/>
              <w:spacing w:line="240" w:lineRule="auto"/>
              <w:ind w:right="134"/>
              <w:rPr>
                <w:sz w:val="20"/>
                <w:szCs w:val="20"/>
              </w:rPr>
            </w:pPr>
            <w:r w:rsidRPr="00697896">
              <w:rPr>
                <w:sz w:val="20"/>
                <w:szCs w:val="20"/>
              </w:rPr>
              <w:t>5822</w:t>
            </w:r>
          </w:p>
        </w:tc>
        <w:tc>
          <w:tcPr>
            <w:tcW w:w="697" w:type="dxa"/>
            <w:tcBorders>
              <w:top w:val="single" w:sz="3" w:space="0" w:color="000000"/>
            </w:tcBorders>
          </w:tcPr>
          <w:p w14:paraId="58205352" w14:textId="77777777" w:rsidR="003D217E" w:rsidRPr="00697896" w:rsidRDefault="003D217E" w:rsidP="001740C5">
            <w:pPr>
              <w:pStyle w:val="TableParagraph"/>
              <w:adjustRightInd w:val="0"/>
              <w:snapToGrid w:val="0"/>
              <w:spacing w:line="240" w:lineRule="auto"/>
              <w:ind w:right="125"/>
              <w:rPr>
                <w:sz w:val="20"/>
                <w:szCs w:val="20"/>
              </w:rPr>
            </w:pPr>
            <w:r w:rsidRPr="00697896">
              <w:rPr>
                <w:sz w:val="20"/>
                <w:szCs w:val="20"/>
              </w:rPr>
              <w:t>2468</w:t>
            </w:r>
          </w:p>
        </w:tc>
        <w:tc>
          <w:tcPr>
            <w:tcW w:w="682" w:type="dxa"/>
            <w:tcBorders>
              <w:top w:val="single" w:sz="3" w:space="0" w:color="000000"/>
            </w:tcBorders>
          </w:tcPr>
          <w:p w14:paraId="6B2953C4" w14:textId="77777777" w:rsidR="003D217E" w:rsidRPr="00697896" w:rsidRDefault="003D217E" w:rsidP="001740C5">
            <w:pPr>
              <w:pStyle w:val="TableParagraph"/>
              <w:adjustRightInd w:val="0"/>
              <w:snapToGrid w:val="0"/>
              <w:spacing w:line="240" w:lineRule="auto"/>
              <w:ind w:left="103" w:right="83"/>
              <w:jc w:val="center"/>
              <w:rPr>
                <w:sz w:val="20"/>
                <w:szCs w:val="20"/>
              </w:rPr>
            </w:pPr>
            <w:r w:rsidRPr="00697896">
              <w:rPr>
                <w:sz w:val="20"/>
                <w:szCs w:val="20"/>
              </w:rPr>
              <w:t>10594</w:t>
            </w:r>
          </w:p>
        </w:tc>
      </w:tr>
      <w:tr w:rsidR="003D217E" w:rsidRPr="00697896" w14:paraId="41A81534" w14:textId="77777777" w:rsidTr="001740C5">
        <w:trPr>
          <w:trHeight w:hRule="exact" w:val="208"/>
        </w:trPr>
        <w:tc>
          <w:tcPr>
            <w:tcW w:w="1881" w:type="dxa"/>
          </w:tcPr>
          <w:p w14:paraId="560678F2" w14:textId="77777777" w:rsidR="003D217E" w:rsidRPr="00697896" w:rsidRDefault="003D217E" w:rsidP="001740C5">
            <w:pPr>
              <w:pStyle w:val="TableParagraph"/>
              <w:adjustRightInd w:val="0"/>
              <w:snapToGrid w:val="0"/>
              <w:spacing w:line="240" w:lineRule="auto"/>
              <w:ind w:left="107"/>
              <w:rPr>
                <w:sz w:val="20"/>
                <w:szCs w:val="20"/>
              </w:rPr>
            </w:pPr>
            <w:r w:rsidRPr="00697896">
              <w:rPr>
                <w:sz w:val="20"/>
                <w:szCs w:val="20"/>
              </w:rPr>
              <w:t>Population Biomass</w:t>
            </w:r>
          </w:p>
        </w:tc>
        <w:tc>
          <w:tcPr>
            <w:tcW w:w="735" w:type="dxa"/>
          </w:tcPr>
          <w:p w14:paraId="515AB17B" w14:textId="77777777" w:rsidR="003D217E" w:rsidRPr="00697896" w:rsidRDefault="003D217E" w:rsidP="001740C5">
            <w:pPr>
              <w:pStyle w:val="TableParagraph"/>
              <w:adjustRightInd w:val="0"/>
              <w:snapToGrid w:val="0"/>
              <w:spacing w:line="240" w:lineRule="auto"/>
              <w:ind w:right="137"/>
              <w:rPr>
                <w:sz w:val="20"/>
                <w:szCs w:val="20"/>
              </w:rPr>
            </w:pPr>
            <w:r w:rsidRPr="00697896">
              <w:rPr>
                <w:sz w:val="20"/>
                <w:szCs w:val="20"/>
              </w:rPr>
              <w:t>6915</w:t>
            </w:r>
          </w:p>
        </w:tc>
        <w:tc>
          <w:tcPr>
            <w:tcW w:w="704" w:type="dxa"/>
          </w:tcPr>
          <w:p w14:paraId="1F57A629" w14:textId="77777777" w:rsidR="003D217E" w:rsidRPr="00697896" w:rsidRDefault="003D217E" w:rsidP="001740C5">
            <w:pPr>
              <w:pStyle w:val="TableParagraph"/>
              <w:adjustRightInd w:val="0"/>
              <w:snapToGrid w:val="0"/>
              <w:spacing w:line="240" w:lineRule="auto"/>
              <w:ind w:right="140"/>
              <w:rPr>
                <w:sz w:val="20"/>
                <w:szCs w:val="20"/>
              </w:rPr>
            </w:pPr>
            <w:r w:rsidRPr="00697896">
              <w:rPr>
                <w:sz w:val="20"/>
                <w:szCs w:val="20"/>
              </w:rPr>
              <w:t>6773</w:t>
            </w:r>
          </w:p>
        </w:tc>
        <w:tc>
          <w:tcPr>
            <w:tcW w:w="706" w:type="dxa"/>
          </w:tcPr>
          <w:p w14:paraId="008E2AA5" w14:textId="77777777" w:rsidR="003D217E" w:rsidRPr="00697896" w:rsidRDefault="003D217E" w:rsidP="001740C5">
            <w:pPr>
              <w:pStyle w:val="TableParagraph"/>
              <w:adjustRightInd w:val="0"/>
              <w:snapToGrid w:val="0"/>
              <w:spacing w:line="240" w:lineRule="auto"/>
              <w:ind w:right="140"/>
              <w:rPr>
                <w:sz w:val="20"/>
                <w:szCs w:val="20"/>
              </w:rPr>
            </w:pPr>
            <w:r w:rsidRPr="00697896">
              <w:rPr>
                <w:sz w:val="20"/>
                <w:szCs w:val="20"/>
              </w:rPr>
              <w:t>6409</w:t>
            </w:r>
          </w:p>
        </w:tc>
        <w:tc>
          <w:tcPr>
            <w:tcW w:w="706" w:type="dxa"/>
          </w:tcPr>
          <w:p w14:paraId="6906B4CF" w14:textId="77777777" w:rsidR="003D217E" w:rsidRPr="00697896" w:rsidRDefault="003D217E" w:rsidP="001740C5">
            <w:pPr>
              <w:pStyle w:val="TableParagraph"/>
              <w:adjustRightInd w:val="0"/>
              <w:snapToGrid w:val="0"/>
              <w:spacing w:line="240" w:lineRule="auto"/>
              <w:ind w:left="120" w:right="58"/>
              <w:jc w:val="center"/>
              <w:rPr>
                <w:sz w:val="20"/>
                <w:szCs w:val="20"/>
              </w:rPr>
            </w:pPr>
            <w:r w:rsidRPr="00697896">
              <w:rPr>
                <w:sz w:val="20"/>
                <w:szCs w:val="20"/>
              </w:rPr>
              <w:t>5156</w:t>
            </w:r>
          </w:p>
        </w:tc>
        <w:tc>
          <w:tcPr>
            <w:tcW w:w="703" w:type="dxa"/>
          </w:tcPr>
          <w:p w14:paraId="4153643C" w14:textId="77777777" w:rsidR="003D217E" w:rsidRPr="00697896" w:rsidRDefault="003D217E" w:rsidP="001740C5">
            <w:pPr>
              <w:pStyle w:val="TableParagraph"/>
              <w:adjustRightInd w:val="0"/>
              <w:snapToGrid w:val="0"/>
              <w:spacing w:line="240" w:lineRule="auto"/>
              <w:ind w:right="136"/>
              <w:rPr>
                <w:sz w:val="20"/>
                <w:szCs w:val="20"/>
              </w:rPr>
            </w:pPr>
            <w:r w:rsidRPr="00697896">
              <w:rPr>
                <w:sz w:val="20"/>
                <w:szCs w:val="20"/>
              </w:rPr>
              <w:t>7823</w:t>
            </w:r>
          </w:p>
        </w:tc>
        <w:tc>
          <w:tcPr>
            <w:tcW w:w="703" w:type="dxa"/>
          </w:tcPr>
          <w:p w14:paraId="37391A7A" w14:textId="77777777" w:rsidR="003D217E" w:rsidRPr="00697896" w:rsidRDefault="003D217E" w:rsidP="001740C5">
            <w:pPr>
              <w:pStyle w:val="TableParagraph"/>
              <w:adjustRightInd w:val="0"/>
              <w:snapToGrid w:val="0"/>
              <w:spacing w:line="240" w:lineRule="auto"/>
              <w:ind w:right="140"/>
              <w:rPr>
                <w:sz w:val="20"/>
                <w:szCs w:val="20"/>
              </w:rPr>
            </w:pPr>
            <w:r w:rsidRPr="00697896">
              <w:rPr>
                <w:sz w:val="20"/>
                <w:szCs w:val="20"/>
              </w:rPr>
              <w:t>7349</w:t>
            </w:r>
          </w:p>
        </w:tc>
        <w:tc>
          <w:tcPr>
            <w:tcW w:w="673" w:type="dxa"/>
          </w:tcPr>
          <w:p w14:paraId="24B99B81" w14:textId="77777777" w:rsidR="003D217E" w:rsidRPr="00697896" w:rsidRDefault="003D217E" w:rsidP="001740C5">
            <w:pPr>
              <w:pStyle w:val="TableParagraph"/>
              <w:adjustRightInd w:val="0"/>
              <w:snapToGrid w:val="0"/>
              <w:spacing w:line="240" w:lineRule="auto"/>
              <w:ind w:right="106"/>
              <w:rPr>
                <w:sz w:val="20"/>
                <w:szCs w:val="20"/>
              </w:rPr>
            </w:pPr>
            <w:r w:rsidRPr="00697896">
              <w:rPr>
                <w:sz w:val="20"/>
                <w:szCs w:val="20"/>
              </w:rPr>
              <w:t>6819</w:t>
            </w:r>
          </w:p>
        </w:tc>
        <w:tc>
          <w:tcPr>
            <w:tcW w:w="743" w:type="dxa"/>
          </w:tcPr>
          <w:p w14:paraId="7F8F6DE4" w14:textId="77777777" w:rsidR="003D217E" w:rsidRPr="00697896" w:rsidRDefault="003D217E" w:rsidP="001740C5">
            <w:pPr>
              <w:pStyle w:val="TableParagraph"/>
              <w:adjustRightInd w:val="0"/>
              <w:snapToGrid w:val="0"/>
              <w:spacing w:line="240" w:lineRule="auto"/>
              <w:ind w:right="134"/>
              <w:rPr>
                <w:sz w:val="20"/>
                <w:szCs w:val="20"/>
              </w:rPr>
            </w:pPr>
            <w:r w:rsidRPr="00697896">
              <w:rPr>
                <w:sz w:val="20"/>
                <w:szCs w:val="20"/>
              </w:rPr>
              <w:t>12758</w:t>
            </w:r>
          </w:p>
        </w:tc>
        <w:tc>
          <w:tcPr>
            <w:tcW w:w="697" w:type="dxa"/>
          </w:tcPr>
          <w:p w14:paraId="3C77AF5A" w14:textId="77777777" w:rsidR="003D217E" w:rsidRPr="00697896" w:rsidRDefault="003D217E" w:rsidP="001740C5">
            <w:pPr>
              <w:pStyle w:val="TableParagraph"/>
              <w:adjustRightInd w:val="0"/>
              <w:snapToGrid w:val="0"/>
              <w:spacing w:line="240" w:lineRule="auto"/>
              <w:ind w:right="125"/>
              <w:rPr>
                <w:sz w:val="20"/>
                <w:szCs w:val="20"/>
              </w:rPr>
            </w:pPr>
            <w:r w:rsidRPr="00697896">
              <w:rPr>
                <w:sz w:val="20"/>
                <w:szCs w:val="20"/>
              </w:rPr>
              <w:t>5156</w:t>
            </w:r>
          </w:p>
        </w:tc>
        <w:tc>
          <w:tcPr>
            <w:tcW w:w="682" w:type="dxa"/>
          </w:tcPr>
          <w:p w14:paraId="568EDC59" w14:textId="77777777" w:rsidR="003D217E" w:rsidRPr="00697896" w:rsidRDefault="003D217E" w:rsidP="001740C5">
            <w:pPr>
              <w:pStyle w:val="TableParagraph"/>
              <w:adjustRightInd w:val="0"/>
              <w:snapToGrid w:val="0"/>
              <w:spacing w:line="240" w:lineRule="auto"/>
              <w:ind w:left="103" w:right="83"/>
              <w:jc w:val="center"/>
              <w:rPr>
                <w:sz w:val="20"/>
                <w:szCs w:val="20"/>
              </w:rPr>
            </w:pPr>
            <w:r w:rsidRPr="00697896">
              <w:rPr>
                <w:sz w:val="20"/>
                <w:szCs w:val="20"/>
              </w:rPr>
              <w:t>28440</w:t>
            </w:r>
          </w:p>
        </w:tc>
      </w:tr>
      <w:tr w:rsidR="003D217E" w:rsidRPr="00697896" w14:paraId="45C211A7" w14:textId="77777777" w:rsidTr="001740C5">
        <w:trPr>
          <w:trHeight w:hRule="exact" w:val="206"/>
        </w:trPr>
        <w:tc>
          <w:tcPr>
            <w:tcW w:w="1881" w:type="dxa"/>
          </w:tcPr>
          <w:p w14:paraId="684241AE" w14:textId="77777777" w:rsidR="003D217E" w:rsidRPr="00697896" w:rsidRDefault="003D217E" w:rsidP="001740C5">
            <w:pPr>
              <w:pStyle w:val="TableParagraph"/>
              <w:adjustRightInd w:val="0"/>
              <w:snapToGrid w:val="0"/>
              <w:spacing w:line="240" w:lineRule="auto"/>
              <w:ind w:left="107"/>
              <w:rPr>
                <w:sz w:val="20"/>
                <w:szCs w:val="20"/>
              </w:rPr>
            </w:pPr>
            <w:r w:rsidRPr="00697896">
              <w:rPr>
                <w:sz w:val="20"/>
                <w:szCs w:val="20"/>
              </w:rPr>
              <w:t>Spawning Stock Biomass</w:t>
            </w:r>
          </w:p>
        </w:tc>
        <w:tc>
          <w:tcPr>
            <w:tcW w:w="735" w:type="dxa"/>
          </w:tcPr>
          <w:p w14:paraId="50DEAF97" w14:textId="77777777" w:rsidR="003D217E" w:rsidRPr="00697896" w:rsidRDefault="003D217E" w:rsidP="001740C5">
            <w:pPr>
              <w:pStyle w:val="TableParagraph"/>
              <w:adjustRightInd w:val="0"/>
              <w:snapToGrid w:val="0"/>
              <w:spacing w:line="240" w:lineRule="auto"/>
              <w:ind w:right="137"/>
              <w:rPr>
                <w:sz w:val="20"/>
                <w:szCs w:val="20"/>
              </w:rPr>
            </w:pPr>
            <w:r w:rsidRPr="00697896">
              <w:rPr>
                <w:sz w:val="20"/>
                <w:szCs w:val="20"/>
              </w:rPr>
              <w:t>1192</w:t>
            </w:r>
          </w:p>
        </w:tc>
        <w:tc>
          <w:tcPr>
            <w:tcW w:w="704" w:type="dxa"/>
          </w:tcPr>
          <w:p w14:paraId="0A03059B" w14:textId="77777777" w:rsidR="003D217E" w:rsidRPr="00697896" w:rsidRDefault="003D217E" w:rsidP="001740C5">
            <w:pPr>
              <w:pStyle w:val="TableParagraph"/>
              <w:adjustRightInd w:val="0"/>
              <w:snapToGrid w:val="0"/>
              <w:spacing w:line="240" w:lineRule="auto"/>
              <w:ind w:right="140"/>
              <w:rPr>
                <w:sz w:val="20"/>
                <w:szCs w:val="20"/>
              </w:rPr>
            </w:pPr>
            <w:r w:rsidRPr="00697896">
              <w:rPr>
                <w:sz w:val="20"/>
                <w:szCs w:val="20"/>
              </w:rPr>
              <w:t>1171</w:t>
            </w:r>
          </w:p>
        </w:tc>
        <w:tc>
          <w:tcPr>
            <w:tcW w:w="706" w:type="dxa"/>
          </w:tcPr>
          <w:p w14:paraId="30FAC54E" w14:textId="77777777" w:rsidR="003D217E" w:rsidRPr="00697896" w:rsidRDefault="003D217E" w:rsidP="001740C5">
            <w:pPr>
              <w:pStyle w:val="TableParagraph"/>
              <w:adjustRightInd w:val="0"/>
              <w:snapToGrid w:val="0"/>
              <w:spacing w:line="240" w:lineRule="auto"/>
              <w:ind w:right="138"/>
              <w:rPr>
                <w:sz w:val="20"/>
                <w:szCs w:val="20"/>
              </w:rPr>
            </w:pPr>
            <w:r w:rsidRPr="00697896">
              <w:rPr>
                <w:w w:val="95"/>
                <w:sz w:val="20"/>
                <w:szCs w:val="20"/>
              </w:rPr>
              <w:t>970</w:t>
            </w:r>
          </w:p>
        </w:tc>
        <w:tc>
          <w:tcPr>
            <w:tcW w:w="706" w:type="dxa"/>
          </w:tcPr>
          <w:p w14:paraId="1F700B71" w14:textId="77777777" w:rsidR="003D217E" w:rsidRPr="00697896" w:rsidRDefault="003D217E" w:rsidP="001740C5">
            <w:pPr>
              <w:pStyle w:val="TableParagraph"/>
              <w:adjustRightInd w:val="0"/>
              <w:snapToGrid w:val="0"/>
              <w:spacing w:line="240" w:lineRule="auto"/>
              <w:ind w:left="273" w:right="119"/>
              <w:jc w:val="center"/>
              <w:rPr>
                <w:sz w:val="20"/>
                <w:szCs w:val="20"/>
              </w:rPr>
            </w:pPr>
            <w:r w:rsidRPr="00697896">
              <w:rPr>
                <w:sz w:val="20"/>
                <w:szCs w:val="20"/>
              </w:rPr>
              <w:t>984</w:t>
            </w:r>
          </w:p>
        </w:tc>
        <w:tc>
          <w:tcPr>
            <w:tcW w:w="703" w:type="dxa"/>
          </w:tcPr>
          <w:p w14:paraId="2873BA2E" w14:textId="77777777" w:rsidR="003D217E" w:rsidRPr="00697896" w:rsidRDefault="003D217E" w:rsidP="001740C5">
            <w:pPr>
              <w:pStyle w:val="TableParagraph"/>
              <w:adjustRightInd w:val="0"/>
              <w:snapToGrid w:val="0"/>
              <w:spacing w:line="240" w:lineRule="auto"/>
              <w:ind w:right="136"/>
              <w:rPr>
                <w:sz w:val="20"/>
                <w:szCs w:val="20"/>
              </w:rPr>
            </w:pPr>
            <w:r w:rsidRPr="00697896">
              <w:rPr>
                <w:w w:val="95"/>
                <w:sz w:val="20"/>
                <w:szCs w:val="20"/>
              </w:rPr>
              <w:t>873</w:t>
            </w:r>
          </w:p>
        </w:tc>
        <w:tc>
          <w:tcPr>
            <w:tcW w:w="703" w:type="dxa"/>
          </w:tcPr>
          <w:p w14:paraId="7ABA3F2A" w14:textId="77777777" w:rsidR="003D217E" w:rsidRPr="00697896" w:rsidRDefault="003D217E" w:rsidP="001740C5">
            <w:pPr>
              <w:pStyle w:val="TableParagraph"/>
              <w:adjustRightInd w:val="0"/>
              <w:snapToGrid w:val="0"/>
              <w:spacing w:line="240" w:lineRule="auto"/>
              <w:ind w:right="140"/>
              <w:rPr>
                <w:sz w:val="20"/>
                <w:szCs w:val="20"/>
              </w:rPr>
            </w:pPr>
            <w:r w:rsidRPr="00697896">
              <w:rPr>
                <w:sz w:val="20"/>
                <w:szCs w:val="20"/>
              </w:rPr>
              <w:t>1013</w:t>
            </w:r>
          </w:p>
        </w:tc>
        <w:tc>
          <w:tcPr>
            <w:tcW w:w="673" w:type="dxa"/>
          </w:tcPr>
          <w:p w14:paraId="561620E6" w14:textId="77777777" w:rsidR="003D217E" w:rsidRPr="00697896" w:rsidRDefault="003D217E" w:rsidP="001740C5">
            <w:pPr>
              <w:pStyle w:val="TableParagraph"/>
              <w:adjustRightInd w:val="0"/>
              <w:snapToGrid w:val="0"/>
              <w:spacing w:line="240" w:lineRule="auto"/>
              <w:ind w:right="106"/>
              <w:rPr>
                <w:sz w:val="20"/>
                <w:szCs w:val="20"/>
              </w:rPr>
            </w:pPr>
            <w:r w:rsidRPr="00697896">
              <w:rPr>
                <w:sz w:val="20"/>
                <w:szCs w:val="20"/>
              </w:rPr>
              <w:t>1094</w:t>
            </w:r>
          </w:p>
        </w:tc>
        <w:tc>
          <w:tcPr>
            <w:tcW w:w="743" w:type="dxa"/>
          </w:tcPr>
          <w:p w14:paraId="29F8EE19" w14:textId="77777777" w:rsidR="003D217E" w:rsidRPr="00697896" w:rsidRDefault="003D217E" w:rsidP="001740C5">
            <w:pPr>
              <w:pStyle w:val="TableParagraph"/>
              <w:adjustRightInd w:val="0"/>
              <w:snapToGrid w:val="0"/>
              <w:spacing w:line="240" w:lineRule="auto"/>
              <w:ind w:right="134"/>
              <w:rPr>
                <w:sz w:val="20"/>
                <w:szCs w:val="20"/>
              </w:rPr>
            </w:pPr>
            <w:r w:rsidRPr="00697896">
              <w:rPr>
                <w:sz w:val="20"/>
                <w:szCs w:val="20"/>
              </w:rPr>
              <w:t>2025</w:t>
            </w:r>
          </w:p>
        </w:tc>
        <w:tc>
          <w:tcPr>
            <w:tcW w:w="697" w:type="dxa"/>
          </w:tcPr>
          <w:p w14:paraId="4DD3070E" w14:textId="77777777" w:rsidR="003D217E" w:rsidRPr="00697896" w:rsidRDefault="003D217E" w:rsidP="001740C5">
            <w:pPr>
              <w:pStyle w:val="TableParagraph"/>
              <w:adjustRightInd w:val="0"/>
              <w:snapToGrid w:val="0"/>
              <w:spacing w:line="240" w:lineRule="auto"/>
              <w:ind w:right="125"/>
              <w:rPr>
                <w:sz w:val="20"/>
                <w:szCs w:val="20"/>
              </w:rPr>
            </w:pPr>
            <w:r w:rsidRPr="00697896">
              <w:rPr>
                <w:w w:val="95"/>
                <w:sz w:val="20"/>
                <w:szCs w:val="20"/>
              </w:rPr>
              <w:t>815</w:t>
            </w:r>
          </w:p>
        </w:tc>
        <w:tc>
          <w:tcPr>
            <w:tcW w:w="682" w:type="dxa"/>
          </w:tcPr>
          <w:p w14:paraId="33C272FD" w14:textId="77777777" w:rsidR="003D217E" w:rsidRPr="00697896" w:rsidRDefault="003D217E" w:rsidP="001740C5">
            <w:pPr>
              <w:pStyle w:val="TableParagraph"/>
              <w:adjustRightInd w:val="0"/>
              <w:snapToGrid w:val="0"/>
              <w:spacing w:line="240" w:lineRule="auto"/>
              <w:ind w:left="195" w:right="83"/>
              <w:jc w:val="center"/>
              <w:rPr>
                <w:sz w:val="20"/>
                <w:szCs w:val="20"/>
              </w:rPr>
            </w:pPr>
            <w:r w:rsidRPr="00697896">
              <w:rPr>
                <w:sz w:val="20"/>
                <w:szCs w:val="20"/>
              </w:rPr>
              <w:t>6946</w:t>
            </w:r>
          </w:p>
        </w:tc>
      </w:tr>
      <w:tr w:rsidR="003D217E" w:rsidRPr="00697896" w14:paraId="2DFDEFD7" w14:textId="77777777" w:rsidTr="001740C5">
        <w:trPr>
          <w:trHeight w:hRule="exact" w:val="206"/>
        </w:trPr>
        <w:tc>
          <w:tcPr>
            <w:tcW w:w="1881" w:type="dxa"/>
          </w:tcPr>
          <w:p w14:paraId="412C00EB" w14:textId="77777777" w:rsidR="003D217E" w:rsidRPr="00697896" w:rsidRDefault="003D217E" w:rsidP="001740C5">
            <w:pPr>
              <w:pStyle w:val="TableParagraph"/>
              <w:adjustRightInd w:val="0"/>
              <w:snapToGrid w:val="0"/>
              <w:spacing w:line="240" w:lineRule="auto"/>
              <w:ind w:left="107"/>
              <w:rPr>
                <w:sz w:val="20"/>
                <w:szCs w:val="20"/>
              </w:rPr>
            </w:pPr>
            <w:r w:rsidRPr="00697896">
              <w:rPr>
                <w:sz w:val="20"/>
                <w:szCs w:val="20"/>
              </w:rPr>
              <w:t>Relative Spawning Biomass</w:t>
            </w:r>
          </w:p>
        </w:tc>
        <w:tc>
          <w:tcPr>
            <w:tcW w:w="735" w:type="dxa"/>
          </w:tcPr>
          <w:p w14:paraId="502C1BA0" w14:textId="77777777" w:rsidR="003D217E" w:rsidRPr="00697896" w:rsidRDefault="003D217E" w:rsidP="001740C5">
            <w:pPr>
              <w:pStyle w:val="TableParagraph"/>
              <w:adjustRightInd w:val="0"/>
              <w:snapToGrid w:val="0"/>
              <w:spacing w:line="240" w:lineRule="auto"/>
              <w:ind w:right="137"/>
              <w:rPr>
                <w:sz w:val="20"/>
                <w:szCs w:val="20"/>
              </w:rPr>
            </w:pPr>
            <w:r w:rsidRPr="00697896">
              <w:rPr>
                <w:w w:val="95"/>
                <w:sz w:val="20"/>
                <w:szCs w:val="20"/>
              </w:rPr>
              <w:t>0.42</w:t>
            </w:r>
          </w:p>
        </w:tc>
        <w:tc>
          <w:tcPr>
            <w:tcW w:w="704" w:type="dxa"/>
          </w:tcPr>
          <w:p w14:paraId="472CA450" w14:textId="77777777" w:rsidR="003D217E" w:rsidRPr="00697896" w:rsidRDefault="003D217E" w:rsidP="001740C5">
            <w:pPr>
              <w:pStyle w:val="TableParagraph"/>
              <w:adjustRightInd w:val="0"/>
              <w:snapToGrid w:val="0"/>
              <w:spacing w:line="240" w:lineRule="auto"/>
              <w:ind w:right="139"/>
              <w:rPr>
                <w:sz w:val="20"/>
                <w:szCs w:val="20"/>
              </w:rPr>
            </w:pPr>
            <w:r w:rsidRPr="00697896">
              <w:rPr>
                <w:w w:val="95"/>
                <w:sz w:val="20"/>
                <w:szCs w:val="20"/>
              </w:rPr>
              <w:t>0.42</w:t>
            </w:r>
          </w:p>
        </w:tc>
        <w:tc>
          <w:tcPr>
            <w:tcW w:w="706" w:type="dxa"/>
          </w:tcPr>
          <w:p w14:paraId="16A86D14" w14:textId="77777777" w:rsidR="003D217E" w:rsidRPr="00697896" w:rsidRDefault="003D217E" w:rsidP="001740C5">
            <w:pPr>
              <w:pStyle w:val="TableParagraph"/>
              <w:adjustRightInd w:val="0"/>
              <w:snapToGrid w:val="0"/>
              <w:spacing w:line="240" w:lineRule="auto"/>
              <w:ind w:right="139"/>
              <w:rPr>
                <w:sz w:val="20"/>
                <w:szCs w:val="20"/>
              </w:rPr>
            </w:pPr>
            <w:r w:rsidRPr="00697896">
              <w:rPr>
                <w:w w:val="95"/>
                <w:sz w:val="20"/>
                <w:szCs w:val="20"/>
              </w:rPr>
              <w:t>0.34</w:t>
            </w:r>
          </w:p>
        </w:tc>
        <w:tc>
          <w:tcPr>
            <w:tcW w:w="706" w:type="dxa"/>
          </w:tcPr>
          <w:p w14:paraId="566D4DD7" w14:textId="77777777" w:rsidR="003D217E" w:rsidRPr="00697896" w:rsidRDefault="003D217E" w:rsidP="001740C5">
            <w:pPr>
              <w:pStyle w:val="TableParagraph"/>
              <w:adjustRightInd w:val="0"/>
              <w:snapToGrid w:val="0"/>
              <w:spacing w:line="240" w:lineRule="auto"/>
              <w:ind w:left="120" w:right="12"/>
              <w:jc w:val="center"/>
              <w:rPr>
                <w:sz w:val="20"/>
                <w:szCs w:val="20"/>
              </w:rPr>
            </w:pPr>
            <w:r w:rsidRPr="00697896">
              <w:rPr>
                <w:sz w:val="20"/>
                <w:szCs w:val="20"/>
              </w:rPr>
              <w:t>0.35</w:t>
            </w:r>
          </w:p>
        </w:tc>
        <w:tc>
          <w:tcPr>
            <w:tcW w:w="703" w:type="dxa"/>
          </w:tcPr>
          <w:p w14:paraId="3A500613" w14:textId="77777777" w:rsidR="003D217E" w:rsidRPr="00697896" w:rsidRDefault="003D217E" w:rsidP="001740C5">
            <w:pPr>
              <w:pStyle w:val="TableParagraph"/>
              <w:adjustRightInd w:val="0"/>
              <w:snapToGrid w:val="0"/>
              <w:spacing w:line="240" w:lineRule="auto"/>
              <w:ind w:right="136"/>
              <w:rPr>
                <w:sz w:val="20"/>
                <w:szCs w:val="20"/>
              </w:rPr>
            </w:pPr>
            <w:r w:rsidRPr="00697896">
              <w:rPr>
                <w:w w:val="95"/>
                <w:sz w:val="20"/>
                <w:szCs w:val="20"/>
              </w:rPr>
              <w:t>0.31</w:t>
            </w:r>
          </w:p>
        </w:tc>
        <w:tc>
          <w:tcPr>
            <w:tcW w:w="703" w:type="dxa"/>
          </w:tcPr>
          <w:p w14:paraId="2B05DFFE" w14:textId="77777777" w:rsidR="003D217E" w:rsidRPr="00697896" w:rsidRDefault="003D217E" w:rsidP="001740C5">
            <w:pPr>
              <w:pStyle w:val="TableParagraph"/>
              <w:adjustRightInd w:val="0"/>
              <w:snapToGrid w:val="0"/>
              <w:spacing w:line="240" w:lineRule="auto"/>
              <w:ind w:right="139"/>
              <w:rPr>
                <w:sz w:val="20"/>
                <w:szCs w:val="20"/>
              </w:rPr>
            </w:pPr>
            <w:r w:rsidRPr="00697896">
              <w:rPr>
                <w:w w:val="95"/>
                <w:sz w:val="20"/>
                <w:szCs w:val="20"/>
              </w:rPr>
              <w:t>0.36</w:t>
            </w:r>
          </w:p>
        </w:tc>
        <w:tc>
          <w:tcPr>
            <w:tcW w:w="673" w:type="dxa"/>
          </w:tcPr>
          <w:p w14:paraId="1B6EEBFE" w14:textId="77777777" w:rsidR="003D217E" w:rsidRPr="00697896" w:rsidRDefault="003D217E" w:rsidP="001740C5">
            <w:pPr>
              <w:pStyle w:val="TableParagraph"/>
              <w:adjustRightInd w:val="0"/>
              <w:snapToGrid w:val="0"/>
              <w:spacing w:line="240" w:lineRule="auto"/>
              <w:ind w:right="106"/>
              <w:rPr>
                <w:sz w:val="20"/>
                <w:szCs w:val="20"/>
              </w:rPr>
            </w:pPr>
            <w:r w:rsidRPr="00697896">
              <w:rPr>
                <w:w w:val="95"/>
                <w:sz w:val="20"/>
                <w:szCs w:val="20"/>
              </w:rPr>
              <w:t>0.39</w:t>
            </w:r>
          </w:p>
        </w:tc>
        <w:tc>
          <w:tcPr>
            <w:tcW w:w="743" w:type="dxa"/>
          </w:tcPr>
          <w:p w14:paraId="09602527" w14:textId="77777777" w:rsidR="003D217E" w:rsidRPr="00697896" w:rsidRDefault="003D217E" w:rsidP="001740C5">
            <w:pPr>
              <w:pStyle w:val="TableParagraph"/>
              <w:adjustRightInd w:val="0"/>
              <w:snapToGrid w:val="0"/>
              <w:spacing w:line="240" w:lineRule="auto"/>
              <w:ind w:right="134"/>
              <w:rPr>
                <w:sz w:val="20"/>
                <w:szCs w:val="20"/>
              </w:rPr>
            </w:pPr>
            <w:r w:rsidRPr="00697896">
              <w:rPr>
                <w:w w:val="95"/>
                <w:sz w:val="20"/>
                <w:szCs w:val="20"/>
              </w:rPr>
              <w:t>0.75</w:t>
            </w:r>
          </w:p>
        </w:tc>
        <w:tc>
          <w:tcPr>
            <w:tcW w:w="697" w:type="dxa"/>
          </w:tcPr>
          <w:p w14:paraId="487DED49" w14:textId="77777777" w:rsidR="003D217E" w:rsidRPr="00697896" w:rsidRDefault="003D217E" w:rsidP="001740C5">
            <w:pPr>
              <w:pStyle w:val="TableParagraph"/>
              <w:adjustRightInd w:val="0"/>
              <w:snapToGrid w:val="0"/>
              <w:spacing w:line="240" w:lineRule="auto"/>
              <w:ind w:right="125"/>
              <w:rPr>
                <w:sz w:val="20"/>
                <w:szCs w:val="20"/>
              </w:rPr>
            </w:pPr>
            <w:r w:rsidRPr="00697896">
              <w:rPr>
                <w:w w:val="95"/>
                <w:sz w:val="20"/>
                <w:szCs w:val="20"/>
              </w:rPr>
              <w:t>0.29</w:t>
            </w:r>
          </w:p>
        </w:tc>
        <w:tc>
          <w:tcPr>
            <w:tcW w:w="682" w:type="dxa"/>
          </w:tcPr>
          <w:p w14:paraId="2204D221" w14:textId="77777777" w:rsidR="003D217E" w:rsidRPr="00697896" w:rsidRDefault="003D217E" w:rsidP="001740C5">
            <w:pPr>
              <w:pStyle w:val="TableParagraph"/>
              <w:adjustRightInd w:val="0"/>
              <w:snapToGrid w:val="0"/>
              <w:spacing w:line="240" w:lineRule="auto"/>
              <w:ind w:left="197" w:right="40"/>
              <w:jc w:val="center"/>
              <w:rPr>
                <w:sz w:val="20"/>
                <w:szCs w:val="20"/>
              </w:rPr>
            </w:pPr>
            <w:r w:rsidRPr="00697896">
              <w:rPr>
                <w:sz w:val="20"/>
                <w:szCs w:val="20"/>
              </w:rPr>
              <w:t>2.46</w:t>
            </w:r>
          </w:p>
        </w:tc>
      </w:tr>
      <w:tr w:rsidR="003D217E" w:rsidRPr="00697896" w14:paraId="372FC6C5" w14:textId="77777777" w:rsidTr="001740C5">
        <w:trPr>
          <w:trHeight w:hRule="exact" w:val="208"/>
        </w:trPr>
        <w:tc>
          <w:tcPr>
            <w:tcW w:w="1881" w:type="dxa"/>
          </w:tcPr>
          <w:p w14:paraId="01E6D943" w14:textId="77777777" w:rsidR="003D217E" w:rsidRPr="00697896" w:rsidRDefault="003D217E" w:rsidP="001740C5">
            <w:pPr>
              <w:pStyle w:val="TableParagraph"/>
              <w:adjustRightInd w:val="0"/>
              <w:snapToGrid w:val="0"/>
              <w:spacing w:line="240" w:lineRule="auto"/>
              <w:ind w:left="107"/>
              <w:rPr>
                <w:sz w:val="20"/>
                <w:szCs w:val="20"/>
              </w:rPr>
            </w:pPr>
            <w:r w:rsidRPr="00697896">
              <w:rPr>
                <w:sz w:val="20"/>
                <w:szCs w:val="20"/>
              </w:rPr>
              <w:t>Recruitment (age 0)</w:t>
            </w:r>
          </w:p>
        </w:tc>
        <w:tc>
          <w:tcPr>
            <w:tcW w:w="735" w:type="dxa"/>
          </w:tcPr>
          <w:p w14:paraId="10297DC4" w14:textId="77777777" w:rsidR="003D217E" w:rsidRPr="00697896" w:rsidRDefault="003D217E" w:rsidP="001740C5">
            <w:pPr>
              <w:pStyle w:val="TableParagraph"/>
              <w:adjustRightInd w:val="0"/>
              <w:snapToGrid w:val="0"/>
              <w:spacing w:line="240" w:lineRule="auto"/>
              <w:ind w:right="137"/>
              <w:rPr>
                <w:sz w:val="20"/>
                <w:szCs w:val="20"/>
              </w:rPr>
            </w:pPr>
            <w:r w:rsidRPr="00697896">
              <w:rPr>
                <w:w w:val="95"/>
                <w:sz w:val="20"/>
                <w:szCs w:val="20"/>
              </w:rPr>
              <w:t>240</w:t>
            </w:r>
          </w:p>
        </w:tc>
        <w:tc>
          <w:tcPr>
            <w:tcW w:w="704" w:type="dxa"/>
          </w:tcPr>
          <w:p w14:paraId="22CA71F1" w14:textId="77777777" w:rsidR="003D217E" w:rsidRPr="00697896" w:rsidRDefault="003D217E" w:rsidP="001740C5">
            <w:pPr>
              <w:pStyle w:val="TableParagraph"/>
              <w:adjustRightInd w:val="0"/>
              <w:snapToGrid w:val="0"/>
              <w:spacing w:line="240" w:lineRule="auto"/>
              <w:ind w:right="138"/>
              <w:rPr>
                <w:sz w:val="20"/>
                <w:szCs w:val="20"/>
              </w:rPr>
            </w:pPr>
            <w:r w:rsidRPr="00697896">
              <w:rPr>
                <w:w w:val="95"/>
                <w:sz w:val="20"/>
                <w:szCs w:val="20"/>
              </w:rPr>
              <w:t>242</w:t>
            </w:r>
          </w:p>
        </w:tc>
        <w:tc>
          <w:tcPr>
            <w:tcW w:w="706" w:type="dxa"/>
          </w:tcPr>
          <w:p w14:paraId="4B81FBB3" w14:textId="77777777" w:rsidR="003D217E" w:rsidRPr="00697896" w:rsidRDefault="003D217E" w:rsidP="001740C5">
            <w:pPr>
              <w:pStyle w:val="TableParagraph"/>
              <w:adjustRightInd w:val="0"/>
              <w:snapToGrid w:val="0"/>
              <w:spacing w:line="240" w:lineRule="auto"/>
              <w:ind w:right="138"/>
              <w:rPr>
                <w:sz w:val="20"/>
                <w:szCs w:val="20"/>
              </w:rPr>
            </w:pPr>
            <w:r w:rsidRPr="00697896">
              <w:rPr>
                <w:sz w:val="20"/>
                <w:szCs w:val="20"/>
              </w:rPr>
              <w:t>63</w:t>
            </w:r>
          </w:p>
        </w:tc>
        <w:tc>
          <w:tcPr>
            <w:tcW w:w="706" w:type="dxa"/>
          </w:tcPr>
          <w:p w14:paraId="54A1D100" w14:textId="77777777" w:rsidR="003D217E" w:rsidRPr="00697896" w:rsidRDefault="003D217E" w:rsidP="001740C5">
            <w:pPr>
              <w:pStyle w:val="TableParagraph"/>
              <w:adjustRightInd w:val="0"/>
              <w:snapToGrid w:val="0"/>
              <w:spacing w:line="240" w:lineRule="auto"/>
              <w:ind w:left="273" w:right="119"/>
              <w:jc w:val="center"/>
              <w:rPr>
                <w:sz w:val="20"/>
                <w:szCs w:val="20"/>
              </w:rPr>
            </w:pPr>
            <w:r w:rsidRPr="00697896">
              <w:rPr>
                <w:sz w:val="20"/>
                <w:szCs w:val="20"/>
              </w:rPr>
              <w:t>496</w:t>
            </w:r>
          </w:p>
        </w:tc>
        <w:tc>
          <w:tcPr>
            <w:tcW w:w="703" w:type="dxa"/>
          </w:tcPr>
          <w:p w14:paraId="5EDBD812" w14:textId="77777777" w:rsidR="003D217E" w:rsidRPr="00697896" w:rsidRDefault="003D217E" w:rsidP="001740C5">
            <w:pPr>
              <w:pStyle w:val="TableParagraph"/>
              <w:adjustRightInd w:val="0"/>
              <w:snapToGrid w:val="0"/>
              <w:spacing w:line="240" w:lineRule="auto"/>
              <w:ind w:right="136"/>
              <w:rPr>
                <w:sz w:val="20"/>
                <w:szCs w:val="20"/>
              </w:rPr>
            </w:pPr>
            <w:r w:rsidRPr="00697896">
              <w:rPr>
                <w:w w:val="95"/>
                <w:sz w:val="20"/>
                <w:szCs w:val="20"/>
              </w:rPr>
              <w:t>155</w:t>
            </w:r>
          </w:p>
        </w:tc>
        <w:tc>
          <w:tcPr>
            <w:tcW w:w="703" w:type="dxa"/>
          </w:tcPr>
          <w:p w14:paraId="32FD1A09" w14:textId="77777777" w:rsidR="003D217E" w:rsidRPr="00697896" w:rsidRDefault="003D217E" w:rsidP="001740C5">
            <w:pPr>
              <w:pStyle w:val="TableParagraph"/>
              <w:adjustRightInd w:val="0"/>
              <w:snapToGrid w:val="0"/>
              <w:spacing w:line="240" w:lineRule="auto"/>
              <w:ind w:right="138"/>
              <w:rPr>
                <w:sz w:val="20"/>
                <w:szCs w:val="20"/>
              </w:rPr>
            </w:pPr>
            <w:r w:rsidRPr="00697896">
              <w:rPr>
                <w:w w:val="95"/>
                <w:sz w:val="20"/>
                <w:szCs w:val="20"/>
              </w:rPr>
              <w:t>224</w:t>
            </w:r>
          </w:p>
        </w:tc>
        <w:tc>
          <w:tcPr>
            <w:tcW w:w="673" w:type="dxa"/>
          </w:tcPr>
          <w:p w14:paraId="32DC8989" w14:textId="77777777" w:rsidR="003D217E" w:rsidRPr="00697896" w:rsidRDefault="003D217E" w:rsidP="001740C5">
            <w:pPr>
              <w:pStyle w:val="TableParagraph"/>
              <w:adjustRightInd w:val="0"/>
              <w:snapToGrid w:val="0"/>
              <w:spacing w:line="240" w:lineRule="auto"/>
              <w:ind w:right="106"/>
              <w:rPr>
                <w:sz w:val="20"/>
                <w:szCs w:val="20"/>
              </w:rPr>
            </w:pPr>
            <w:r w:rsidRPr="00697896">
              <w:rPr>
                <w:w w:val="95"/>
                <w:sz w:val="20"/>
                <w:szCs w:val="20"/>
              </w:rPr>
              <w:t>352</w:t>
            </w:r>
          </w:p>
        </w:tc>
        <w:tc>
          <w:tcPr>
            <w:tcW w:w="743" w:type="dxa"/>
          </w:tcPr>
          <w:p w14:paraId="5195246F" w14:textId="77777777" w:rsidR="003D217E" w:rsidRPr="00697896" w:rsidRDefault="003D217E" w:rsidP="001740C5">
            <w:pPr>
              <w:pStyle w:val="TableParagraph"/>
              <w:adjustRightInd w:val="0"/>
              <w:snapToGrid w:val="0"/>
              <w:spacing w:line="240" w:lineRule="auto"/>
              <w:ind w:right="134"/>
              <w:rPr>
                <w:sz w:val="20"/>
                <w:szCs w:val="20"/>
              </w:rPr>
            </w:pPr>
            <w:r w:rsidRPr="00697896">
              <w:rPr>
                <w:w w:val="95"/>
                <w:sz w:val="20"/>
                <w:szCs w:val="20"/>
              </w:rPr>
              <w:t>410</w:t>
            </w:r>
          </w:p>
        </w:tc>
        <w:tc>
          <w:tcPr>
            <w:tcW w:w="697" w:type="dxa"/>
          </w:tcPr>
          <w:p w14:paraId="61A3A418" w14:textId="77777777" w:rsidR="003D217E" w:rsidRPr="00697896" w:rsidRDefault="003D217E" w:rsidP="001740C5">
            <w:pPr>
              <w:pStyle w:val="TableParagraph"/>
              <w:adjustRightInd w:val="0"/>
              <w:snapToGrid w:val="0"/>
              <w:spacing w:line="240" w:lineRule="auto"/>
              <w:ind w:right="125"/>
              <w:rPr>
                <w:sz w:val="20"/>
                <w:szCs w:val="20"/>
              </w:rPr>
            </w:pPr>
            <w:r w:rsidRPr="00697896">
              <w:rPr>
                <w:sz w:val="20"/>
                <w:szCs w:val="20"/>
              </w:rPr>
              <w:t>63</w:t>
            </w:r>
          </w:p>
        </w:tc>
        <w:tc>
          <w:tcPr>
            <w:tcW w:w="682" w:type="dxa"/>
          </w:tcPr>
          <w:p w14:paraId="5DDB0A87" w14:textId="77777777" w:rsidR="003D217E" w:rsidRPr="00697896" w:rsidRDefault="003D217E" w:rsidP="001740C5">
            <w:pPr>
              <w:pStyle w:val="TableParagraph"/>
              <w:adjustRightInd w:val="0"/>
              <w:snapToGrid w:val="0"/>
              <w:spacing w:line="240" w:lineRule="auto"/>
              <w:ind w:left="195" w:right="83"/>
              <w:jc w:val="center"/>
              <w:rPr>
                <w:sz w:val="20"/>
                <w:szCs w:val="20"/>
              </w:rPr>
            </w:pPr>
            <w:r w:rsidRPr="00697896">
              <w:rPr>
                <w:sz w:val="20"/>
                <w:szCs w:val="20"/>
              </w:rPr>
              <w:t>1369</w:t>
            </w:r>
          </w:p>
        </w:tc>
      </w:tr>
      <w:tr w:rsidR="003D217E" w:rsidRPr="00697896" w14:paraId="20FC2FB9" w14:textId="77777777" w:rsidTr="001740C5">
        <w:trPr>
          <w:trHeight w:hRule="exact" w:val="208"/>
        </w:trPr>
        <w:tc>
          <w:tcPr>
            <w:tcW w:w="1881" w:type="dxa"/>
          </w:tcPr>
          <w:p w14:paraId="3EE9325B" w14:textId="77777777" w:rsidR="003D217E" w:rsidRPr="00697896" w:rsidRDefault="003D217E" w:rsidP="001740C5">
            <w:pPr>
              <w:pStyle w:val="TableParagraph"/>
              <w:adjustRightInd w:val="0"/>
              <w:snapToGrid w:val="0"/>
              <w:spacing w:line="240" w:lineRule="auto"/>
              <w:ind w:left="107"/>
              <w:rPr>
                <w:sz w:val="20"/>
                <w:szCs w:val="20"/>
              </w:rPr>
            </w:pPr>
            <w:r w:rsidRPr="00697896">
              <w:rPr>
                <w:sz w:val="20"/>
                <w:szCs w:val="20"/>
              </w:rPr>
              <w:t>Fishing Mortality</w:t>
            </w:r>
          </w:p>
        </w:tc>
        <w:tc>
          <w:tcPr>
            <w:tcW w:w="735" w:type="dxa"/>
          </w:tcPr>
          <w:p w14:paraId="133DAF25" w14:textId="77777777" w:rsidR="003D217E" w:rsidRPr="00697896" w:rsidRDefault="003D217E" w:rsidP="001740C5">
            <w:pPr>
              <w:pStyle w:val="TableParagraph"/>
              <w:adjustRightInd w:val="0"/>
              <w:snapToGrid w:val="0"/>
              <w:spacing w:line="240" w:lineRule="auto"/>
              <w:ind w:right="137"/>
              <w:rPr>
                <w:sz w:val="20"/>
                <w:szCs w:val="20"/>
              </w:rPr>
            </w:pPr>
            <w:r w:rsidRPr="00697896">
              <w:rPr>
                <w:w w:val="95"/>
                <w:sz w:val="20"/>
                <w:szCs w:val="20"/>
              </w:rPr>
              <w:t>0.82</w:t>
            </w:r>
          </w:p>
        </w:tc>
        <w:tc>
          <w:tcPr>
            <w:tcW w:w="704" w:type="dxa"/>
          </w:tcPr>
          <w:p w14:paraId="4074C900" w14:textId="77777777" w:rsidR="003D217E" w:rsidRPr="00697896" w:rsidRDefault="003D217E" w:rsidP="001740C5">
            <w:pPr>
              <w:pStyle w:val="TableParagraph"/>
              <w:adjustRightInd w:val="0"/>
              <w:snapToGrid w:val="0"/>
              <w:spacing w:line="240" w:lineRule="auto"/>
              <w:ind w:right="139"/>
              <w:rPr>
                <w:sz w:val="20"/>
                <w:szCs w:val="20"/>
              </w:rPr>
            </w:pPr>
            <w:r w:rsidRPr="00697896">
              <w:rPr>
                <w:w w:val="95"/>
                <w:sz w:val="20"/>
                <w:szCs w:val="20"/>
              </w:rPr>
              <w:t>0.99</w:t>
            </w:r>
          </w:p>
        </w:tc>
        <w:tc>
          <w:tcPr>
            <w:tcW w:w="706" w:type="dxa"/>
          </w:tcPr>
          <w:p w14:paraId="5B4FE56E" w14:textId="77777777" w:rsidR="003D217E" w:rsidRPr="00697896" w:rsidRDefault="003D217E" w:rsidP="001740C5">
            <w:pPr>
              <w:pStyle w:val="TableParagraph"/>
              <w:adjustRightInd w:val="0"/>
              <w:snapToGrid w:val="0"/>
              <w:spacing w:line="240" w:lineRule="auto"/>
              <w:ind w:right="139"/>
              <w:rPr>
                <w:sz w:val="20"/>
                <w:szCs w:val="20"/>
              </w:rPr>
            </w:pPr>
            <w:r w:rsidRPr="00697896">
              <w:rPr>
                <w:w w:val="95"/>
                <w:sz w:val="20"/>
                <w:szCs w:val="20"/>
              </w:rPr>
              <w:t>0.80</w:t>
            </w:r>
          </w:p>
        </w:tc>
        <w:tc>
          <w:tcPr>
            <w:tcW w:w="706" w:type="dxa"/>
          </w:tcPr>
          <w:p w14:paraId="2321A466" w14:textId="77777777" w:rsidR="003D217E" w:rsidRPr="00697896" w:rsidRDefault="003D217E" w:rsidP="001740C5">
            <w:pPr>
              <w:pStyle w:val="TableParagraph"/>
              <w:adjustRightInd w:val="0"/>
              <w:snapToGrid w:val="0"/>
              <w:spacing w:line="240" w:lineRule="auto"/>
              <w:ind w:left="120" w:right="12"/>
              <w:jc w:val="center"/>
              <w:rPr>
                <w:sz w:val="20"/>
                <w:szCs w:val="20"/>
              </w:rPr>
            </w:pPr>
            <w:r w:rsidRPr="00697896">
              <w:rPr>
                <w:sz w:val="20"/>
                <w:szCs w:val="20"/>
              </w:rPr>
              <w:t>0.96</w:t>
            </w:r>
          </w:p>
        </w:tc>
        <w:tc>
          <w:tcPr>
            <w:tcW w:w="703" w:type="dxa"/>
          </w:tcPr>
          <w:p w14:paraId="5CACA50F" w14:textId="77777777" w:rsidR="003D217E" w:rsidRPr="00697896" w:rsidRDefault="003D217E" w:rsidP="001740C5">
            <w:pPr>
              <w:pStyle w:val="TableParagraph"/>
              <w:adjustRightInd w:val="0"/>
              <w:snapToGrid w:val="0"/>
              <w:spacing w:line="240" w:lineRule="auto"/>
              <w:ind w:right="136"/>
              <w:rPr>
                <w:sz w:val="20"/>
                <w:szCs w:val="20"/>
              </w:rPr>
            </w:pPr>
            <w:r w:rsidRPr="00697896">
              <w:rPr>
                <w:w w:val="95"/>
                <w:sz w:val="20"/>
                <w:szCs w:val="20"/>
              </w:rPr>
              <w:t>0.89</w:t>
            </w:r>
          </w:p>
        </w:tc>
        <w:tc>
          <w:tcPr>
            <w:tcW w:w="703" w:type="dxa"/>
          </w:tcPr>
          <w:p w14:paraId="66451FA4" w14:textId="77777777" w:rsidR="003D217E" w:rsidRPr="00697896" w:rsidRDefault="003D217E" w:rsidP="001740C5">
            <w:pPr>
              <w:pStyle w:val="TableParagraph"/>
              <w:adjustRightInd w:val="0"/>
              <w:snapToGrid w:val="0"/>
              <w:spacing w:line="240" w:lineRule="auto"/>
              <w:ind w:right="139"/>
              <w:rPr>
                <w:sz w:val="20"/>
                <w:szCs w:val="20"/>
              </w:rPr>
            </w:pPr>
            <w:r w:rsidRPr="00697896">
              <w:rPr>
                <w:w w:val="95"/>
                <w:sz w:val="20"/>
                <w:szCs w:val="20"/>
              </w:rPr>
              <w:t>0.97</w:t>
            </w:r>
          </w:p>
        </w:tc>
        <w:tc>
          <w:tcPr>
            <w:tcW w:w="673" w:type="dxa"/>
          </w:tcPr>
          <w:p w14:paraId="04DBC5B3" w14:textId="77777777" w:rsidR="003D217E" w:rsidRPr="00697896" w:rsidRDefault="003D217E" w:rsidP="001740C5">
            <w:pPr>
              <w:pStyle w:val="TableParagraph"/>
              <w:adjustRightInd w:val="0"/>
              <w:snapToGrid w:val="0"/>
              <w:spacing w:line="240" w:lineRule="auto"/>
              <w:ind w:right="106"/>
              <w:rPr>
                <w:sz w:val="20"/>
                <w:szCs w:val="20"/>
              </w:rPr>
            </w:pPr>
            <w:r w:rsidRPr="00697896">
              <w:rPr>
                <w:w w:val="95"/>
                <w:sz w:val="20"/>
                <w:szCs w:val="20"/>
              </w:rPr>
              <w:t>0.76</w:t>
            </w:r>
          </w:p>
        </w:tc>
        <w:tc>
          <w:tcPr>
            <w:tcW w:w="743" w:type="dxa"/>
          </w:tcPr>
          <w:p w14:paraId="7E3C25D0" w14:textId="77777777" w:rsidR="003D217E" w:rsidRPr="00697896" w:rsidRDefault="003D217E" w:rsidP="001740C5">
            <w:pPr>
              <w:pStyle w:val="TableParagraph"/>
              <w:adjustRightInd w:val="0"/>
              <w:snapToGrid w:val="0"/>
              <w:spacing w:line="240" w:lineRule="auto"/>
              <w:ind w:right="134"/>
              <w:rPr>
                <w:sz w:val="20"/>
                <w:szCs w:val="20"/>
              </w:rPr>
            </w:pPr>
            <w:r w:rsidRPr="00697896">
              <w:rPr>
                <w:w w:val="95"/>
                <w:sz w:val="20"/>
                <w:szCs w:val="20"/>
              </w:rPr>
              <w:t>0.95</w:t>
            </w:r>
          </w:p>
        </w:tc>
        <w:tc>
          <w:tcPr>
            <w:tcW w:w="697" w:type="dxa"/>
          </w:tcPr>
          <w:p w14:paraId="648388D5" w14:textId="77777777" w:rsidR="003D217E" w:rsidRPr="00697896" w:rsidRDefault="003D217E" w:rsidP="001740C5">
            <w:pPr>
              <w:pStyle w:val="TableParagraph"/>
              <w:adjustRightInd w:val="0"/>
              <w:snapToGrid w:val="0"/>
              <w:spacing w:line="240" w:lineRule="auto"/>
              <w:ind w:right="125"/>
              <w:rPr>
                <w:sz w:val="20"/>
                <w:szCs w:val="20"/>
              </w:rPr>
            </w:pPr>
            <w:r w:rsidRPr="00697896">
              <w:rPr>
                <w:w w:val="95"/>
                <w:sz w:val="20"/>
                <w:szCs w:val="20"/>
              </w:rPr>
              <w:t>0.47</w:t>
            </w:r>
          </w:p>
        </w:tc>
        <w:tc>
          <w:tcPr>
            <w:tcW w:w="682" w:type="dxa"/>
          </w:tcPr>
          <w:p w14:paraId="25253F5A" w14:textId="77777777" w:rsidR="003D217E" w:rsidRPr="00697896" w:rsidRDefault="003D217E" w:rsidP="001740C5">
            <w:pPr>
              <w:pStyle w:val="TableParagraph"/>
              <w:adjustRightInd w:val="0"/>
              <w:snapToGrid w:val="0"/>
              <w:spacing w:line="240" w:lineRule="auto"/>
              <w:ind w:left="197" w:right="40"/>
              <w:jc w:val="center"/>
              <w:rPr>
                <w:sz w:val="20"/>
                <w:szCs w:val="20"/>
              </w:rPr>
            </w:pPr>
            <w:r w:rsidRPr="00697896">
              <w:rPr>
                <w:sz w:val="20"/>
                <w:szCs w:val="20"/>
              </w:rPr>
              <w:t>1.54</w:t>
            </w:r>
          </w:p>
        </w:tc>
      </w:tr>
      <w:tr w:rsidR="003D217E" w:rsidRPr="00697896" w14:paraId="645A126F" w14:textId="77777777" w:rsidTr="001740C5">
        <w:trPr>
          <w:trHeight w:hRule="exact" w:val="206"/>
        </w:trPr>
        <w:tc>
          <w:tcPr>
            <w:tcW w:w="1881" w:type="dxa"/>
          </w:tcPr>
          <w:p w14:paraId="05BF7F63" w14:textId="77777777" w:rsidR="003D217E" w:rsidRPr="00697896" w:rsidRDefault="003D217E" w:rsidP="001740C5">
            <w:pPr>
              <w:pStyle w:val="TableParagraph"/>
              <w:adjustRightInd w:val="0"/>
              <w:snapToGrid w:val="0"/>
              <w:spacing w:line="240" w:lineRule="auto"/>
              <w:ind w:left="107"/>
              <w:rPr>
                <w:sz w:val="20"/>
                <w:szCs w:val="20"/>
              </w:rPr>
            </w:pPr>
            <w:r w:rsidRPr="00697896">
              <w:rPr>
                <w:sz w:val="20"/>
                <w:szCs w:val="20"/>
              </w:rPr>
              <w:t>Relative Fishing Mortality</w:t>
            </w:r>
          </w:p>
        </w:tc>
        <w:tc>
          <w:tcPr>
            <w:tcW w:w="735" w:type="dxa"/>
          </w:tcPr>
          <w:p w14:paraId="1E86AEC4" w14:textId="77777777" w:rsidR="003D217E" w:rsidRPr="00697896" w:rsidRDefault="003D217E" w:rsidP="001740C5">
            <w:pPr>
              <w:pStyle w:val="TableParagraph"/>
              <w:adjustRightInd w:val="0"/>
              <w:snapToGrid w:val="0"/>
              <w:spacing w:line="240" w:lineRule="auto"/>
              <w:ind w:right="137"/>
              <w:rPr>
                <w:sz w:val="20"/>
                <w:szCs w:val="20"/>
              </w:rPr>
            </w:pPr>
            <w:r w:rsidRPr="00697896">
              <w:rPr>
                <w:w w:val="95"/>
                <w:sz w:val="20"/>
                <w:szCs w:val="20"/>
              </w:rPr>
              <w:t>1.29</w:t>
            </w:r>
          </w:p>
        </w:tc>
        <w:tc>
          <w:tcPr>
            <w:tcW w:w="704" w:type="dxa"/>
          </w:tcPr>
          <w:p w14:paraId="2FEB58B7" w14:textId="77777777" w:rsidR="003D217E" w:rsidRPr="00697896" w:rsidRDefault="003D217E" w:rsidP="001740C5">
            <w:pPr>
              <w:pStyle w:val="TableParagraph"/>
              <w:adjustRightInd w:val="0"/>
              <w:snapToGrid w:val="0"/>
              <w:spacing w:line="240" w:lineRule="auto"/>
              <w:ind w:right="139"/>
              <w:rPr>
                <w:sz w:val="20"/>
                <w:szCs w:val="20"/>
              </w:rPr>
            </w:pPr>
            <w:r w:rsidRPr="00697896">
              <w:rPr>
                <w:w w:val="95"/>
                <w:sz w:val="20"/>
                <w:szCs w:val="20"/>
              </w:rPr>
              <w:t>1.57</w:t>
            </w:r>
          </w:p>
        </w:tc>
        <w:tc>
          <w:tcPr>
            <w:tcW w:w="706" w:type="dxa"/>
          </w:tcPr>
          <w:p w14:paraId="72B73134" w14:textId="77777777" w:rsidR="003D217E" w:rsidRPr="00697896" w:rsidRDefault="003D217E" w:rsidP="001740C5">
            <w:pPr>
              <w:pStyle w:val="TableParagraph"/>
              <w:adjustRightInd w:val="0"/>
              <w:snapToGrid w:val="0"/>
              <w:spacing w:line="240" w:lineRule="auto"/>
              <w:ind w:right="139"/>
              <w:rPr>
                <w:sz w:val="20"/>
                <w:szCs w:val="20"/>
              </w:rPr>
            </w:pPr>
            <w:r w:rsidRPr="00697896">
              <w:rPr>
                <w:w w:val="95"/>
                <w:sz w:val="20"/>
                <w:szCs w:val="20"/>
              </w:rPr>
              <w:t>1.27</w:t>
            </w:r>
          </w:p>
        </w:tc>
        <w:tc>
          <w:tcPr>
            <w:tcW w:w="706" w:type="dxa"/>
          </w:tcPr>
          <w:p w14:paraId="78E79817" w14:textId="77777777" w:rsidR="003D217E" w:rsidRPr="00697896" w:rsidRDefault="003D217E" w:rsidP="001740C5">
            <w:pPr>
              <w:pStyle w:val="TableParagraph"/>
              <w:adjustRightInd w:val="0"/>
              <w:snapToGrid w:val="0"/>
              <w:spacing w:line="240" w:lineRule="auto"/>
              <w:ind w:left="120" w:right="12"/>
              <w:jc w:val="center"/>
              <w:rPr>
                <w:sz w:val="20"/>
                <w:szCs w:val="20"/>
              </w:rPr>
            </w:pPr>
            <w:r w:rsidRPr="00697896">
              <w:rPr>
                <w:sz w:val="20"/>
                <w:szCs w:val="20"/>
              </w:rPr>
              <w:t>1.51</w:t>
            </w:r>
          </w:p>
        </w:tc>
        <w:tc>
          <w:tcPr>
            <w:tcW w:w="703" w:type="dxa"/>
          </w:tcPr>
          <w:p w14:paraId="67C2A277" w14:textId="77777777" w:rsidR="003D217E" w:rsidRPr="00697896" w:rsidRDefault="003D217E" w:rsidP="001740C5">
            <w:pPr>
              <w:pStyle w:val="TableParagraph"/>
              <w:adjustRightInd w:val="0"/>
              <w:snapToGrid w:val="0"/>
              <w:spacing w:line="240" w:lineRule="auto"/>
              <w:ind w:right="136"/>
              <w:rPr>
                <w:sz w:val="20"/>
                <w:szCs w:val="20"/>
              </w:rPr>
            </w:pPr>
            <w:r w:rsidRPr="00697896">
              <w:rPr>
                <w:w w:val="95"/>
                <w:sz w:val="20"/>
                <w:szCs w:val="20"/>
              </w:rPr>
              <w:t>1.41</w:t>
            </w:r>
          </w:p>
        </w:tc>
        <w:tc>
          <w:tcPr>
            <w:tcW w:w="703" w:type="dxa"/>
          </w:tcPr>
          <w:p w14:paraId="30DF8FAA" w14:textId="77777777" w:rsidR="003D217E" w:rsidRPr="00697896" w:rsidRDefault="003D217E" w:rsidP="001740C5">
            <w:pPr>
              <w:pStyle w:val="TableParagraph"/>
              <w:adjustRightInd w:val="0"/>
              <w:snapToGrid w:val="0"/>
              <w:spacing w:line="240" w:lineRule="auto"/>
              <w:ind w:right="139"/>
              <w:rPr>
                <w:sz w:val="20"/>
                <w:szCs w:val="20"/>
              </w:rPr>
            </w:pPr>
            <w:r w:rsidRPr="00697896">
              <w:rPr>
                <w:w w:val="95"/>
                <w:sz w:val="20"/>
                <w:szCs w:val="20"/>
              </w:rPr>
              <w:t>1.53</w:t>
            </w:r>
          </w:p>
        </w:tc>
        <w:tc>
          <w:tcPr>
            <w:tcW w:w="673" w:type="dxa"/>
          </w:tcPr>
          <w:p w14:paraId="0B973DD5" w14:textId="77777777" w:rsidR="003D217E" w:rsidRPr="00697896" w:rsidRDefault="003D217E" w:rsidP="001740C5">
            <w:pPr>
              <w:pStyle w:val="TableParagraph"/>
              <w:adjustRightInd w:val="0"/>
              <w:snapToGrid w:val="0"/>
              <w:spacing w:line="240" w:lineRule="auto"/>
              <w:ind w:right="106"/>
              <w:rPr>
                <w:sz w:val="20"/>
                <w:szCs w:val="20"/>
              </w:rPr>
            </w:pPr>
            <w:r w:rsidRPr="00697896">
              <w:rPr>
                <w:w w:val="95"/>
                <w:sz w:val="20"/>
                <w:szCs w:val="20"/>
              </w:rPr>
              <w:t>1.20</w:t>
            </w:r>
          </w:p>
        </w:tc>
        <w:tc>
          <w:tcPr>
            <w:tcW w:w="743" w:type="dxa"/>
          </w:tcPr>
          <w:p w14:paraId="442BDC63" w14:textId="77777777" w:rsidR="003D217E" w:rsidRPr="00697896" w:rsidRDefault="003D217E" w:rsidP="001740C5">
            <w:pPr>
              <w:pStyle w:val="TableParagraph"/>
              <w:adjustRightInd w:val="0"/>
              <w:snapToGrid w:val="0"/>
              <w:spacing w:line="240" w:lineRule="auto"/>
              <w:ind w:right="134"/>
              <w:rPr>
                <w:sz w:val="20"/>
                <w:szCs w:val="20"/>
              </w:rPr>
            </w:pPr>
            <w:r w:rsidRPr="00697896">
              <w:rPr>
                <w:w w:val="95"/>
                <w:sz w:val="20"/>
                <w:szCs w:val="20"/>
              </w:rPr>
              <w:t>1.50</w:t>
            </w:r>
          </w:p>
        </w:tc>
        <w:tc>
          <w:tcPr>
            <w:tcW w:w="697" w:type="dxa"/>
          </w:tcPr>
          <w:p w14:paraId="61B28ACB" w14:textId="77777777" w:rsidR="003D217E" w:rsidRPr="00697896" w:rsidRDefault="003D217E" w:rsidP="001740C5">
            <w:pPr>
              <w:pStyle w:val="TableParagraph"/>
              <w:adjustRightInd w:val="0"/>
              <w:snapToGrid w:val="0"/>
              <w:spacing w:line="240" w:lineRule="auto"/>
              <w:ind w:right="125"/>
              <w:rPr>
                <w:sz w:val="20"/>
                <w:szCs w:val="20"/>
              </w:rPr>
            </w:pPr>
            <w:r w:rsidRPr="00697896">
              <w:rPr>
                <w:w w:val="95"/>
                <w:sz w:val="20"/>
                <w:szCs w:val="20"/>
              </w:rPr>
              <w:t>0.74</w:t>
            </w:r>
          </w:p>
        </w:tc>
        <w:tc>
          <w:tcPr>
            <w:tcW w:w="682" w:type="dxa"/>
          </w:tcPr>
          <w:p w14:paraId="19837CDE" w14:textId="77777777" w:rsidR="003D217E" w:rsidRPr="00697896" w:rsidRDefault="003D217E" w:rsidP="001740C5">
            <w:pPr>
              <w:pStyle w:val="TableParagraph"/>
              <w:adjustRightInd w:val="0"/>
              <w:snapToGrid w:val="0"/>
              <w:spacing w:line="240" w:lineRule="auto"/>
              <w:ind w:left="197" w:right="40"/>
              <w:jc w:val="center"/>
              <w:rPr>
                <w:sz w:val="20"/>
                <w:szCs w:val="20"/>
              </w:rPr>
            </w:pPr>
            <w:r w:rsidRPr="00697896">
              <w:rPr>
                <w:sz w:val="20"/>
                <w:szCs w:val="20"/>
              </w:rPr>
              <w:t>2.44</w:t>
            </w:r>
          </w:p>
        </w:tc>
      </w:tr>
      <w:tr w:rsidR="003D217E" w:rsidRPr="00697896" w14:paraId="584CFF87" w14:textId="77777777" w:rsidTr="001740C5">
        <w:trPr>
          <w:trHeight w:hRule="exact" w:val="206"/>
        </w:trPr>
        <w:tc>
          <w:tcPr>
            <w:tcW w:w="1881" w:type="dxa"/>
          </w:tcPr>
          <w:p w14:paraId="6E821898" w14:textId="77777777" w:rsidR="003D217E" w:rsidRPr="00697896" w:rsidRDefault="003D217E" w:rsidP="001740C5">
            <w:pPr>
              <w:pStyle w:val="TableParagraph"/>
              <w:adjustRightInd w:val="0"/>
              <w:snapToGrid w:val="0"/>
              <w:spacing w:line="240" w:lineRule="auto"/>
              <w:ind w:left="107"/>
              <w:rPr>
                <w:sz w:val="20"/>
                <w:szCs w:val="20"/>
              </w:rPr>
            </w:pPr>
            <w:r w:rsidRPr="00697896">
              <w:rPr>
                <w:sz w:val="20"/>
                <w:szCs w:val="20"/>
              </w:rPr>
              <w:t>Exploitation Rate</w:t>
            </w:r>
          </w:p>
        </w:tc>
        <w:tc>
          <w:tcPr>
            <w:tcW w:w="735" w:type="dxa"/>
          </w:tcPr>
          <w:p w14:paraId="0FF66B1E" w14:textId="77777777" w:rsidR="003D217E" w:rsidRPr="00697896" w:rsidRDefault="003D217E" w:rsidP="001740C5">
            <w:pPr>
              <w:pStyle w:val="TableParagraph"/>
              <w:adjustRightInd w:val="0"/>
              <w:snapToGrid w:val="0"/>
              <w:spacing w:line="240" w:lineRule="auto"/>
              <w:ind w:right="135"/>
              <w:rPr>
                <w:sz w:val="20"/>
                <w:szCs w:val="20"/>
              </w:rPr>
            </w:pPr>
            <w:r w:rsidRPr="00697896">
              <w:rPr>
                <w:sz w:val="20"/>
                <w:szCs w:val="20"/>
              </w:rPr>
              <w:t>45%</w:t>
            </w:r>
          </w:p>
        </w:tc>
        <w:tc>
          <w:tcPr>
            <w:tcW w:w="704" w:type="dxa"/>
          </w:tcPr>
          <w:p w14:paraId="7B7826F3" w14:textId="77777777" w:rsidR="003D217E" w:rsidRPr="00697896" w:rsidRDefault="003D217E" w:rsidP="001740C5">
            <w:pPr>
              <w:pStyle w:val="TableParagraph"/>
              <w:adjustRightInd w:val="0"/>
              <w:snapToGrid w:val="0"/>
              <w:spacing w:line="240" w:lineRule="auto"/>
              <w:ind w:right="136"/>
              <w:rPr>
                <w:sz w:val="20"/>
                <w:szCs w:val="20"/>
              </w:rPr>
            </w:pPr>
            <w:r w:rsidRPr="00697896">
              <w:rPr>
                <w:sz w:val="20"/>
                <w:szCs w:val="20"/>
              </w:rPr>
              <w:t>52%</w:t>
            </w:r>
          </w:p>
        </w:tc>
        <w:tc>
          <w:tcPr>
            <w:tcW w:w="706" w:type="dxa"/>
          </w:tcPr>
          <w:p w14:paraId="4B7B3C4D" w14:textId="77777777" w:rsidR="003D217E" w:rsidRPr="00697896" w:rsidRDefault="003D217E" w:rsidP="001740C5">
            <w:pPr>
              <w:pStyle w:val="TableParagraph"/>
              <w:adjustRightInd w:val="0"/>
              <w:snapToGrid w:val="0"/>
              <w:spacing w:line="240" w:lineRule="auto"/>
              <w:ind w:right="136"/>
              <w:rPr>
                <w:sz w:val="20"/>
                <w:szCs w:val="20"/>
              </w:rPr>
            </w:pPr>
            <w:r w:rsidRPr="00697896">
              <w:rPr>
                <w:sz w:val="20"/>
                <w:szCs w:val="20"/>
              </w:rPr>
              <w:t>39%</w:t>
            </w:r>
          </w:p>
        </w:tc>
        <w:tc>
          <w:tcPr>
            <w:tcW w:w="706" w:type="dxa"/>
          </w:tcPr>
          <w:p w14:paraId="51C531E9" w14:textId="77777777" w:rsidR="003D217E" w:rsidRPr="00697896" w:rsidRDefault="003D217E" w:rsidP="001740C5">
            <w:pPr>
              <w:pStyle w:val="TableParagraph"/>
              <w:adjustRightInd w:val="0"/>
              <w:snapToGrid w:val="0"/>
              <w:spacing w:line="240" w:lineRule="auto"/>
              <w:ind w:left="120" w:right="24"/>
              <w:jc w:val="center"/>
              <w:rPr>
                <w:sz w:val="20"/>
                <w:szCs w:val="20"/>
              </w:rPr>
            </w:pPr>
            <w:r w:rsidRPr="00697896">
              <w:rPr>
                <w:sz w:val="20"/>
                <w:szCs w:val="20"/>
              </w:rPr>
              <w:t>55%</w:t>
            </w:r>
          </w:p>
        </w:tc>
        <w:tc>
          <w:tcPr>
            <w:tcW w:w="703" w:type="dxa"/>
          </w:tcPr>
          <w:p w14:paraId="15188C9E" w14:textId="77777777" w:rsidR="003D217E" w:rsidRPr="00697896" w:rsidRDefault="003D217E" w:rsidP="001740C5">
            <w:pPr>
              <w:pStyle w:val="TableParagraph"/>
              <w:adjustRightInd w:val="0"/>
              <w:snapToGrid w:val="0"/>
              <w:spacing w:line="240" w:lineRule="auto"/>
              <w:ind w:right="134"/>
              <w:rPr>
                <w:sz w:val="20"/>
                <w:szCs w:val="20"/>
              </w:rPr>
            </w:pPr>
            <w:r w:rsidRPr="00697896">
              <w:rPr>
                <w:sz w:val="20"/>
                <w:szCs w:val="20"/>
              </w:rPr>
              <w:t>40%</w:t>
            </w:r>
          </w:p>
        </w:tc>
        <w:tc>
          <w:tcPr>
            <w:tcW w:w="703" w:type="dxa"/>
          </w:tcPr>
          <w:p w14:paraId="69D73C1F" w14:textId="77777777" w:rsidR="003D217E" w:rsidRPr="00697896" w:rsidRDefault="003D217E" w:rsidP="001740C5">
            <w:pPr>
              <w:pStyle w:val="TableParagraph"/>
              <w:adjustRightInd w:val="0"/>
              <w:snapToGrid w:val="0"/>
              <w:spacing w:line="240" w:lineRule="auto"/>
              <w:ind w:right="136"/>
              <w:rPr>
                <w:sz w:val="20"/>
                <w:szCs w:val="20"/>
              </w:rPr>
            </w:pPr>
            <w:r w:rsidRPr="00697896">
              <w:rPr>
                <w:sz w:val="20"/>
                <w:szCs w:val="20"/>
              </w:rPr>
              <w:t>48%</w:t>
            </w:r>
          </w:p>
        </w:tc>
        <w:tc>
          <w:tcPr>
            <w:tcW w:w="673" w:type="dxa"/>
          </w:tcPr>
          <w:p w14:paraId="012A7058" w14:textId="77777777" w:rsidR="003D217E" w:rsidRPr="00697896" w:rsidRDefault="003D217E" w:rsidP="001740C5">
            <w:pPr>
              <w:pStyle w:val="TableParagraph"/>
              <w:adjustRightInd w:val="0"/>
              <w:snapToGrid w:val="0"/>
              <w:spacing w:line="240" w:lineRule="auto"/>
              <w:ind w:right="104"/>
              <w:rPr>
                <w:sz w:val="20"/>
                <w:szCs w:val="20"/>
              </w:rPr>
            </w:pPr>
            <w:r w:rsidRPr="00697896">
              <w:rPr>
                <w:sz w:val="20"/>
                <w:szCs w:val="20"/>
              </w:rPr>
              <w:t>44%</w:t>
            </w:r>
          </w:p>
        </w:tc>
        <w:tc>
          <w:tcPr>
            <w:tcW w:w="743" w:type="dxa"/>
          </w:tcPr>
          <w:p w14:paraId="542495D7" w14:textId="77777777" w:rsidR="003D217E" w:rsidRPr="00697896" w:rsidRDefault="003D217E" w:rsidP="001740C5">
            <w:pPr>
              <w:pStyle w:val="TableParagraph"/>
              <w:adjustRightInd w:val="0"/>
              <w:snapToGrid w:val="0"/>
              <w:spacing w:line="240" w:lineRule="auto"/>
              <w:ind w:right="132"/>
              <w:rPr>
                <w:sz w:val="20"/>
                <w:szCs w:val="20"/>
              </w:rPr>
            </w:pPr>
            <w:r w:rsidRPr="00697896">
              <w:rPr>
                <w:sz w:val="20"/>
                <w:szCs w:val="20"/>
              </w:rPr>
              <w:t>48%</w:t>
            </w:r>
          </w:p>
        </w:tc>
        <w:tc>
          <w:tcPr>
            <w:tcW w:w="697" w:type="dxa"/>
          </w:tcPr>
          <w:p w14:paraId="1A9549F4" w14:textId="77777777" w:rsidR="003D217E" w:rsidRPr="00697896" w:rsidRDefault="003D217E" w:rsidP="001740C5">
            <w:pPr>
              <w:pStyle w:val="TableParagraph"/>
              <w:adjustRightInd w:val="0"/>
              <w:snapToGrid w:val="0"/>
              <w:spacing w:line="240" w:lineRule="auto"/>
              <w:ind w:right="123"/>
              <w:rPr>
                <w:sz w:val="20"/>
                <w:szCs w:val="20"/>
              </w:rPr>
            </w:pPr>
            <w:r w:rsidRPr="00697896">
              <w:rPr>
                <w:sz w:val="20"/>
                <w:szCs w:val="20"/>
              </w:rPr>
              <w:t>32%</w:t>
            </w:r>
          </w:p>
        </w:tc>
        <w:tc>
          <w:tcPr>
            <w:tcW w:w="682" w:type="dxa"/>
          </w:tcPr>
          <w:p w14:paraId="6C42C358" w14:textId="77777777" w:rsidR="003D217E" w:rsidRPr="00697896" w:rsidRDefault="003D217E" w:rsidP="001740C5">
            <w:pPr>
              <w:pStyle w:val="TableParagraph"/>
              <w:adjustRightInd w:val="0"/>
              <w:snapToGrid w:val="0"/>
              <w:spacing w:line="240" w:lineRule="auto"/>
              <w:ind w:left="197" w:right="52"/>
              <w:jc w:val="center"/>
              <w:rPr>
                <w:sz w:val="20"/>
                <w:szCs w:val="20"/>
              </w:rPr>
            </w:pPr>
            <w:r w:rsidRPr="00697896">
              <w:rPr>
                <w:sz w:val="20"/>
                <w:szCs w:val="20"/>
              </w:rPr>
              <w:t>65%</w:t>
            </w:r>
          </w:p>
        </w:tc>
      </w:tr>
      <w:tr w:rsidR="003D217E" w:rsidRPr="00697896" w14:paraId="0CFA1D9B" w14:textId="77777777" w:rsidTr="001740C5">
        <w:trPr>
          <w:trHeight w:hRule="exact" w:val="208"/>
        </w:trPr>
        <w:tc>
          <w:tcPr>
            <w:tcW w:w="1881" w:type="dxa"/>
            <w:tcBorders>
              <w:bottom w:val="single" w:sz="3" w:space="0" w:color="000000"/>
            </w:tcBorders>
          </w:tcPr>
          <w:p w14:paraId="1CF3C1ED" w14:textId="77777777" w:rsidR="003D217E" w:rsidRPr="00697896" w:rsidRDefault="003D217E" w:rsidP="001740C5">
            <w:pPr>
              <w:pStyle w:val="TableParagraph"/>
              <w:adjustRightInd w:val="0"/>
              <w:snapToGrid w:val="0"/>
              <w:spacing w:line="240" w:lineRule="auto"/>
              <w:ind w:left="107"/>
              <w:rPr>
                <w:sz w:val="20"/>
                <w:szCs w:val="20"/>
              </w:rPr>
            </w:pPr>
            <w:r w:rsidRPr="00697896">
              <w:rPr>
                <w:sz w:val="20"/>
                <w:szCs w:val="20"/>
              </w:rPr>
              <w:t>Spawning Potential Ratio</w:t>
            </w:r>
          </w:p>
        </w:tc>
        <w:tc>
          <w:tcPr>
            <w:tcW w:w="735" w:type="dxa"/>
            <w:tcBorders>
              <w:bottom w:val="single" w:sz="3" w:space="0" w:color="000000"/>
            </w:tcBorders>
          </w:tcPr>
          <w:p w14:paraId="4E635971" w14:textId="77777777" w:rsidR="003D217E" w:rsidRPr="00697896" w:rsidRDefault="003D217E" w:rsidP="001740C5">
            <w:pPr>
              <w:pStyle w:val="TableParagraph"/>
              <w:adjustRightInd w:val="0"/>
              <w:snapToGrid w:val="0"/>
              <w:spacing w:line="240" w:lineRule="auto"/>
              <w:ind w:right="135"/>
              <w:rPr>
                <w:sz w:val="20"/>
                <w:szCs w:val="20"/>
              </w:rPr>
            </w:pPr>
            <w:r w:rsidRPr="00697896">
              <w:rPr>
                <w:sz w:val="20"/>
                <w:szCs w:val="20"/>
              </w:rPr>
              <w:t>15%</w:t>
            </w:r>
          </w:p>
        </w:tc>
        <w:tc>
          <w:tcPr>
            <w:tcW w:w="704" w:type="dxa"/>
            <w:tcBorders>
              <w:bottom w:val="single" w:sz="3" w:space="0" w:color="000000"/>
            </w:tcBorders>
          </w:tcPr>
          <w:p w14:paraId="546B34AB" w14:textId="77777777" w:rsidR="003D217E" w:rsidRPr="00697896" w:rsidRDefault="003D217E" w:rsidP="001740C5">
            <w:pPr>
              <w:pStyle w:val="TableParagraph"/>
              <w:adjustRightInd w:val="0"/>
              <w:snapToGrid w:val="0"/>
              <w:spacing w:line="240" w:lineRule="auto"/>
              <w:ind w:right="136"/>
              <w:rPr>
                <w:sz w:val="20"/>
                <w:szCs w:val="20"/>
              </w:rPr>
            </w:pPr>
            <w:r w:rsidRPr="00697896">
              <w:rPr>
                <w:sz w:val="20"/>
                <w:szCs w:val="20"/>
              </w:rPr>
              <w:t>12%</w:t>
            </w:r>
          </w:p>
        </w:tc>
        <w:tc>
          <w:tcPr>
            <w:tcW w:w="706" w:type="dxa"/>
            <w:tcBorders>
              <w:bottom w:val="single" w:sz="3" w:space="0" w:color="000000"/>
            </w:tcBorders>
          </w:tcPr>
          <w:p w14:paraId="2FD05E30" w14:textId="77777777" w:rsidR="003D217E" w:rsidRPr="00697896" w:rsidRDefault="003D217E" w:rsidP="001740C5">
            <w:pPr>
              <w:pStyle w:val="TableParagraph"/>
              <w:adjustRightInd w:val="0"/>
              <w:snapToGrid w:val="0"/>
              <w:spacing w:line="240" w:lineRule="auto"/>
              <w:ind w:right="136"/>
              <w:rPr>
                <w:sz w:val="20"/>
                <w:szCs w:val="20"/>
              </w:rPr>
            </w:pPr>
            <w:r w:rsidRPr="00697896">
              <w:rPr>
                <w:sz w:val="20"/>
                <w:szCs w:val="20"/>
              </w:rPr>
              <w:t>16%</w:t>
            </w:r>
          </w:p>
        </w:tc>
        <w:tc>
          <w:tcPr>
            <w:tcW w:w="706" w:type="dxa"/>
            <w:tcBorders>
              <w:bottom w:val="single" w:sz="3" w:space="0" w:color="000000"/>
            </w:tcBorders>
          </w:tcPr>
          <w:p w14:paraId="67BA17A6" w14:textId="77777777" w:rsidR="003D217E" w:rsidRPr="00697896" w:rsidRDefault="003D217E" w:rsidP="001740C5">
            <w:pPr>
              <w:pStyle w:val="TableParagraph"/>
              <w:adjustRightInd w:val="0"/>
              <w:snapToGrid w:val="0"/>
              <w:spacing w:line="240" w:lineRule="auto"/>
              <w:ind w:left="120" w:right="24"/>
              <w:jc w:val="center"/>
              <w:rPr>
                <w:sz w:val="20"/>
                <w:szCs w:val="20"/>
              </w:rPr>
            </w:pPr>
            <w:r w:rsidRPr="00697896">
              <w:rPr>
                <w:sz w:val="20"/>
                <w:szCs w:val="20"/>
              </w:rPr>
              <w:t>13%</w:t>
            </w:r>
          </w:p>
        </w:tc>
        <w:tc>
          <w:tcPr>
            <w:tcW w:w="703" w:type="dxa"/>
            <w:tcBorders>
              <w:bottom w:val="single" w:sz="3" w:space="0" w:color="000000"/>
            </w:tcBorders>
          </w:tcPr>
          <w:p w14:paraId="692A2EB1" w14:textId="77777777" w:rsidR="003D217E" w:rsidRPr="00697896" w:rsidRDefault="003D217E" w:rsidP="001740C5">
            <w:pPr>
              <w:pStyle w:val="TableParagraph"/>
              <w:adjustRightInd w:val="0"/>
              <w:snapToGrid w:val="0"/>
              <w:spacing w:line="240" w:lineRule="auto"/>
              <w:ind w:right="134"/>
              <w:rPr>
                <w:sz w:val="20"/>
                <w:szCs w:val="20"/>
              </w:rPr>
            </w:pPr>
            <w:r w:rsidRPr="00697896">
              <w:rPr>
                <w:sz w:val="20"/>
                <w:szCs w:val="20"/>
              </w:rPr>
              <w:t>12%</w:t>
            </w:r>
          </w:p>
        </w:tc>
        <w:tc>
          <w:tcPr>
            <w:tcW w:w="703" w:type="dxa"/>
            <w:tcBorders>
              <w:bottom w:val="single" w:sz="3" w:space="0" w:color="000000"/>
            </w:tcBorders>
          </w:tcPr>
          <w:p w14:paraId="124E3204" w14:textId="77777777" w:rsidR="003D217E" w:rsidRPr="00697896" w:rsidRDefault="003D217E" w:rsidP="001740C5">
            <w:pPr>
              <w:pStyle w:val="TableParagraph"/>
              <w:adjustRightInd w:val="0"/>
              <w:snapToGrid w:val="0"/>
              <w:spacing w:line="240" w:lineRule="auto"/>
              <w:ind w:right="136"/>
              <w:rPr>
                <w:sz w:val="20"/>
                <w:szCs w:val="20"/>
              </w:rPr>
            </w:pPr>
            <w:r w:rsidRPr="00697896">
              <w:rPr>
                <w:sz w:val="20"/>
                <w:szCs w:val="20"/>
              </w:rPr>
              <w:t>12%</w:t>
            </w:r>
          </w:p>
        </w:tc>
        <w:tc>
          <w:tcPr>
            <w:tcW w:w="673" w:type="dxa"/>
            <w:tcBorders>
              <w:bottom w:val="single" w:sz="3" w:space="0" w:color="000000"/>
            </w:tcBorders>
          </w:tcPr>
          <w:p w14:paraId="5CE184A4" w14:textId="77777777" w:rsidR="003D217E" w:rsidRPr="00697896" w:rsidRDefault="003D217E" w:rsidP="001740C5">
            <w:pPr>
              <w:pStyle w:val="TableParagraph"/>
              <w:adjustRightInd w:val="0"/>
              <w:snapToGrid w:val="0"/>
              <w:spacing w:line="240" w:lineRule="auto"/>
              <w:ind w:right="104"/>
              <w:rPr>
                <w:sz w:val="20"/>
                <w:szCs w:val="20"/>
              </w:rPr>
            </w:pPr>
            <w:r w:rsidRPr="00697896">
              <w:rPr>
                <w:sz w:val="20"/>
                <w:szCs w:val="20"/>
              </w:rPr>
              <w:t>14%</w:t>
            </w:r>
          </w:p>
        </w:tc>
        <w:tc>
          <w:tcPr>
            <w:tcW w:w="743" w:type="dxa"/>
            <w:tcBorders>
              <w:bottom w:val="single" w:sz="3" w:space="0" w:color="000000"/>
            </w:tcBorders>
          </w:tcPr>
          <w:p w14:paraId="52AA6277" w14:textId="77777777" w:rsidR="003D217E" w:rsidRPr="00697896" w:rsidRDefault="003D217E" w:rsidP="001740C5">
            <w:pPr>
              <w:pStyle w:val="TableParagraph"/>
              <w:adjustRightInd w:val="0"/>
              <w:snapToGrid w:val="0"/>
              <w:spacing w:line="240" w:lineRule="auto"/>
              <w:ind w:right="132"/>
              <w:rPr>
                <w:sz w:val="20"/>
                <w:szCs w:val="20"/>
              </w:rPr>
            </w:pPr>
            <w:r w:rsidRPr="00697896">
              <w:rPr>
                <w:sz w:val="20"/>
                <w:szCs w:val="20"/>
              </w:rPr>
              <w:t>13%</w:t>
            </w:r>
          </w:p>
        </w:tc>
        <w:tc>
          <w:tcPr>
            <w:tcW w:w="697" w:type="dxa"/>
            <w:tcBorders>
              <w:bottom w:val="single" w:sz="3" w:space="0" w:color="000000"/>
            </w:tcBorders>
          </w:tcPr>
          <w:p w14:paraId="6D9055BB" w14:textId="77777777" w:rsidR="003D217E" w:rsidRPr="00697896" w:rsidRDefault="003D217E" w:rsidP="001740C5">
            <w:pPr>
              <w:pStyle w:val="TableParagraph"/>
              <w:adjustRightInd w:val="0"/>
              <w:snapToGrid w:val="0"/>
              <w:spacing w:line="240" w:lineRule="auto"/>
              <w:ind w:right="123"/>
              <w:rPr>
                <w:sz w:val="20"/>
                <w:szCs w:val="20"/>
              </w:rPr>
            </w:pPr>
            <w:r w:rsidRPr="00697896">
              <w:rPr>
                <w:sz w:val="20"/>
                <w:szCs w:val="20"/>
              </w:rPr>
              <w:t>7%</w:t>
            </w:r>
          </w:p>
        </w:tc>
        <w:tc>
          <w:tcPr>
            <w:tcW w:w="682" w:type="dxa"/>
            <w:tcBorders>
              <w:bottom w:val="single" w:sz="3" w:space="0" w:color="000000"/>
            </w:tcBorders>
          </w:tcPr>
          <w:p w14:paraId="5535D35B" w14:textId="77777777" w:rsidR="003D217E" w:rsidRPr="00697896" w:rsidRDefault="003D217E" w:rsidP="001740C5">
            <w:pPr>
              <w:pStyle w:val="TableParagraph"/>
              <w:adjustRightInd w:val="0"/>
              <w:snapToGrid w:val="0"/>
              <w:spacing w:line="240" w:lineRule="auto"/>
              <w:ind w:left="197" w:right="52"/>
              <w:jc w:val="center"/>
              <w:rPr>
                <w:sz w:val="20"/>
                <w:szCs w:val="20"/>
              </w:rPr>
            </w:pPr>
            <w:r w:rsidRPr="00697896">
              <w:rPr>
                <w:sz w:val="20"/>
                <w:szCs w:val="20"/>
              </w:rPr>
              <w:t>24%</w:t>
            </w:r>
          </w:p>
        </w:tc>
      </w:tr>
    </w:tbl>
    <w:p w14:paraId="724E8B16" w14:textId="77777777" w:rsidR="003D217E" w:rsidRPr="004635E5" w:rsidRDefault="003D217E" w:rsidP="003D217E">
      <w:pPr>
        <w:adjustRightInd w:val="0"/>
        <w:snapToGrid w:val="0"/>
        <w:ind w:left="120" w:firstLine="600"/>
        <w:jc w:val="both"/>
        <w:rPr>
          <w:sz w:val="22"/>
          <w:szCs w:val="22"/>
        </w:rPr>
      </w:pPr>
      <w:r w:rsidRPr="004635E5">
        <w:rPr>
          <w:position w:val="6"/>
          <w:sz w:val="22"/>
          <w:szCs w:val="22"/>
        </w:rPr>
        <w:t xml:space="preserve">1 </w:t>
      </w:r>
      <w:r w:rsidRPr="004635E5">
        <w:rPr>
          <w:sz w:val="22"/>
          <w:szCs w:val="22"/>
        </w:rPr>
        <w:t>During 1975-2013</w:t>
      </w:r>
    </w:p>
    <w:p w14:paraId="4A3ACBA5" w14:textId="77777777" w:rsidR="003D217E" w:rsidRPr="004635E5" w:rsidRDefault="003D217E" w:rsidP="003D217E">
      <w:pPr>
        <w:pStyle w:val="BodyText"/>
        <w:adjustRightInd w:val="0"/>
        <w:snapToGrid w:val="0"/>
        <w:rPr>
          <w:b/>
          <w:i/>
          <w:sz w:val="22"/>
          <w:szCs w:val="22"/>
        </w:rPr>
      </w:pPr>
    </w:p>
    <w:p w14:paraId="4CA34E22" w14:textId="77777777" w:rsidR="003D217E" w:rsidRPr="004635E5" w:rsidRDefault="003D217E" w:rsidP="003D217E">
      <w:pPr>
        <w:pStyle w:val="Heading3"/>
        <w:adjustRightInd w:val="0"/>
        <w:snapToGrid w:val="0"/>
        <w:spacing w:before="0"/>
        <w:ind w:left="720" w:right="154"/>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When the status of striped marlin is evaluated relative to MSY-based reference points, the 2013 spawning stock biomass is 61% below SSB</w:t>
      </w:r>
      <w:r w:rsidRPr="004635E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xml:space="preserve"> (2819 t) and the 2010-2012 fishing mortality exceeds F</w:t>
      </w:r>
      <w:r w:rsidRPr="004635E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xml:space="preserve"> by 49%. Therefore, overfishing is occurring relative to MSY-based reference points and the WCNPO striped marlin stock is overfished.”</w:t>
      </w:r>
    </w:p>
    <w:p w14:paraId="2FF95C59" w14:textId="77777777" w:rsidR="003D217E" w:rsidRPr="004635E5" w:rsidRDefault="003D217E" w:rsidP="003D217E">
      <w:pPr>
        <w:pStyle w:val="BodyText"/>
        <w:adjustRightInd w:val="0"/>
        <w:snapToGrid w:val="0"/>
        <w:rPr>
          <w:sz w:val="22"/>
          <w:szCs w:val="22"/>
        </w:rPr>
      </w:pPr>
    </w:p>
    <w:p w14:paraId="0C588EB0" w14:textId="77777777" w:rsidR="003D217E" w:rsidRPr="004635E5" w:rsidRDefault="003D217E" w:rsidP="002F64C2">
      <w:pPr>
        <w:pStyle w:val="SCa"/>
        <w:tabs>
          <w:tab w:val="clear" w:pos="1080"/>
        </w:tabs>
        <w:spacing w:after="0"/>
        <w:ind w:left="0"/>
      </w:pPr>
      <w:r w:rsidRPr="004635E5">
        <w:t>b.</w:t>
      </w:r>
      <w:r w:rsidRPr="004635E5">
        <w:tab/>
        <w:t>Management advice and implications</w:t>
      </w:r>
    </w:p>
    <w:p w14:paraId="3C66ACEF" w14:textId="77777777" w:rsidR="003D217E" w:rsidRPr="004635E5" w:rsidRDefault="003D217E" w:rsidP="003D217E">
      <w:pPr>
        <w:pStyle w:val="SCa"/>
        <w:spacing w:after="0"/>
      </w:pPr>
    </w:p>
    <w:p w14:paraId="4A05331A" w14:textId="77777777" w:rsidR="003D217E" w:rsidRPr="00EE3592" w:rsidRDefault="003D217E" w:rsidP="00580EA4">
      <w:pPr>
        <w:numPr>
          <w:ilvl w:val="0"/>
          <w:numId w:val="18"/>
        </w:numPr>
        <w:autoSpaceDE w:val="0"/>
        <w:autoSpaceDN w:val="0"/>
        <w:adjustRightInd w:val="0"/>
        <w:snapToGrid w:val="0"/>
        <w:ind w:left="0" w:firstLine="0"/>
        <w:jc w:val="both"/>
        <w:rPr>
          <w:rStyle w:val="Hyperlink"/>
          <w:bCs/>
          <w:sz w:val="22"/>
          <w:szCs w:val="22"/>
          <w:lang w:val="en-AU" w:eastAsia="ko-KR"/>
        </w:rPr>
      </w:pPr>
      <w:r w:rsidRPr="00EE3592">
        <w:rPr>
          <w:bCs/>
          <w:sz w:val="22"/>
          <w:szCs w:val="22"/>
        </w:rPr>
        <w:t xml:space="preserve">SC14 noted that no management advice has been provided since SC11 for North Pacific striped marlin. Therefore, previous advice should be maintained, pending a new assessment or other new information. </w:t>
      </w:r>
      <w:r w:rsidRPr="00EE3592">
        <w:rPr>
          <w:bCs/>
          <w:sz w:val="22"/>
          <w:szCs w:val="22"/>
          <w:lang w:val="en-AU"/>
        </w:rPr>
        <w:t>For further information on the management advice and implications from SC11, please see</w:t>
      </w:r>
      <w:r w:rsidRPr="00EE3592">
        <w:rPr>
          <w:bCs/>
          <w:sz w:val="22"/>
          <w:szCs w:val="22"/>
          <w:lang w:val="en-AU" w:eastAsia="ko-KR"/>
        </w:rPr>
        <w:t xml:space="preserve"> </w:t>
      </w:r>
      <w:hyperlink r:id="rId75" w:history="1">
        <w:r w:rsidRPr="00EE3592">
          <w:rPr>
            <w:rStyle w:val="Hyperlink"/>
            <w:bCs/>
            <w:sz w:val="22"/>
            <w:szCs w:val="22"/>
          </w:rPr>
          <w:t>https://www.wcpfc.int/node/26922</w:t>
        </w:r>
      </w:hyperlink>
    </w:p>
    <w:p w14:paraId="448643F6" w14:textId="77777777" w:rsidR="003D217E" w:rsidRPr="00EE3592" w:rsidRDefault="003D217E" w:rsidP="003D217E">
      <w:pPr>
        <w:pStyle w:val="ListParagraph"/>
        <w:tabs>
          <w:tab w:val="left" w:pos="820"/>
        </w:tabs>
        <w:adjustRightInd w:val="0"/>
        <w:snapToGrid w:val="0"/>
        <w:ind w:right="117"/>
        <w:rPr>
          <w:bCs/>
          <w:sz w:val="22"/>
          <w:szCs w:val="22"/>
        </w:rPr>
      </w:pPr>
    </w:p>
    <w:p w14:paraId="6DEA1433" w14:textId="77777777" w:rsidR="003D217E" w:rsidRPr="00EE3592" w:rsidRDefault="003D217E" w:rsidP="00580EA4">
      <w:pPr>
        <w:numPr>
          <w:ilvl w:val="0"/>
          <w:numId w:val="18"/>
        </w:numPr>
        <w:autoSpaceDE w:val="0"/>
        <w:autoSpaceDN w:val="0"/>
        <w:adjustRightInd w:val="0"/>
        <w:snapToGrid w:val="0"/>
        <w:ind w:left="0" w:firstLine="0"/>
        <w:jc w:val="both"/>
        <w:rPr>
          <w:bCs/>
          <w:sz w:val="22"/>
          <w:szCs w:val="22"/>
        </w:rPr>
      </w:pPr>
      <w:r w:rsidRPr="00EE3592">
        <w:rPr>
          <w:bCs/>
          <w:sz w:val="22"/>
          <w:szCs w:val="22"/>
        </w:rPr>
        <w:t>To emphasize the importance of developing a stock rebuilding plan for North Pacific striped marlin, SC14 reiterated the following management advice and information, excerpted from SC11.</w:t>
      </w:r>
    </w:p>
    <w:p w14:paraId="4815CE94" w14:textId="77777777" w:rsidR="003D217E" w:rsidRPr="004635E5" w:rsidRDefault="003D217E" w:rsidP="003D217E">
      <w:pPr>
        <w:pStyle w:val="ListParagraph"/>
        <w:tabs>
          <w:tab w:val="left" w:pos="820"/>
        </w:tabs>
        <w:adjustRightInd w:val="0"/>
        <w:snapToGrid w:val="0"/>
        <w:ind w:right="116"/>
        <w:rPr>
          <w:b/>
          <w:sz w:val="22"/>
          <w:szCs w:val="22"/>
        </w:rPr>
      </w:pPr>
    </w:p>
    <w:p w14:paraId="07A2ECE5" w14:textId="77777777" w:rsidR="003D217E" w:rsidRPr="00EE3592" w:rsidRDefault="003D217E" w:rsidP="003D217E">
      <w:pPr>
        <w:pStyle w:val="ListParagraph"/>
        <w:adjustRightInd w:val="0"/>
        <w:snapToGrid w:val="0"/>
        <w:ind w:right="116"/>
        <w:jc w:val="both"/>
        <w:rPr>
          <w:rFonts w:eastAsiaTheme="minorEastAsia"/>
          <w:sz w:val="22"/>
          <w:szCs w:val="22"/>
          <w:lang w:eastAsia="ko-KR"/>
        </w:rPr>
      </w:pPr>
      <w:r w:rsidRPr="00EE3592">
        <w:rPr>
          <w:sz w:val="22"/>
          <w:szCs w:val="22"/>
        </w:rPr>
        <w:t>“SC11 noted the followi</w:t>
      </w:r>
      <w:r>
        <w:rPr>
          <w:sz w:val="22"/>
          <w:szCs w:val="22"/>
        </w:rPr>
        <w:t>ng conservation advice from ISC</w:t>
      </w:r>
      <w:r>
        <w:rPr>
          <w:rFonts w:eastAsiaTheme="minorEastAsia" w:hint="eastAsia"/>
          <w:sz w:val="22"/>
          <w:szCs w:val="22"/>
          <w:lang w:eastAsia="ko-KR"/>
        </w:rPr>
        <w:t>:</w:t>
      </w:r>
    </w:p>
    <w:p w14:paraId="1066BA9A" w14:textId="77777777" w:rsidR="003D217E" w:rsidRPr="004635E5" w:rsidRDefault="003D217E" w:rsidP="003D217E">
      <w:pPr>
        <w:pStyle w:val="Heading3"/>
        <w:adjustRightInd w:val="0"/>
        <w:snapToGrid w:val="0"/>
        <w:spacing w:before="0"/>
        <w:ind w:left="1440" w:right="221"/>
        <w:jc w:val="both"/>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The stock has been in an overfished condition since 1977, with the exception of 1982 and 1983, and fishing appears to be impeding rebuilding especially if recent low recruitment levels persist.</w:t>
      </w:r>
    </w:p>
    <w:p w14:paraId="50115C45" w14:textId="77777777" w:rsidR="003D217E" w:rsidRPr="004635E5" w:rsidRDefault="003D217E" w:rsidP="003D217E">
      <w:pPr>
        <w:pStyle w:val="Heading3"/>
        <w:adjustRightInd w:val="0"/>
        <w:snapToGrid w:val="0"/>
        <w:spacing w:before="0"/>
        <w:ind w:left="1440" w:right="221"/>
        <w:jc w:val="both"/>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Projection results show that fishing at F</w:t>
      </w:r>
      <w:r w:rsidRPr="004E1B0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xml:space="preserve"> could lead to median spawning biomass increases of 25%, 55%, and 95% from 2015 to 2020 under the recent recruitment, medium- term recruitment, and stock recruitment-curve scenarios.</w:t>
      </w:r>
    </w:p>
    <w:p w14:paraId="450D90FE" w14:textId="77777777" w:rsidR="003D217E" w:rsidRPr="004635E5" w:rsidRDefault="003D217E" w:rsidP="003D217E">
      <w:pPr>
        <w:pStyle w:val="Heading3"/>
        <w:adjustRightInd w:val="0"/>
        <w:snapToGrid w:val="0"/>
        <w:spacing w:before="0"/>
        <w:ind w:left="1470" w:right="214"/>
        <w:jc w:val="both"/>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Fishing at a constant catch of 2,850 t could lead to potential increases in spawning biomass of 19% to over 191% by 2020, depending upon the recruitment scenario.</w:t>
      </w:r>
    </w:p>
    <w:p w14:paraId="34803684" w14:textId="77777777" w:rsidR="003D217E" w:rsidRPr="004635E5" w:rsidRDefault="003D217E" w:rsidP="003D217E">
      <w:pPr>
        <w:pStyle w:val="Heading3"/>
        <w:adjustRightInd w:val="0"/>
        <w:snapToGrid w:val="0"/>
        <w:spacing w:before="0"/>
        <w:ind w:left="1470" w:right="136"/>
        <w:jc w:val="both"/>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In comparison, fishing at the 2010-2012 fishing mortality rate, which is 49% above F</w:t>
      </w:r>
      <w:r w:rsidRPr="004E1B0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could lead to changes in spawning stock biomass of -18% to +18% by 2020, while fishing at the average 2001-2003 fishing mortality rate (F2001-2003=1.15), which is 82% above F</w:t>
      </w:r>
      <w:r w:rsidRPr="004E1B0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could lead to spawning stock biomass decreases of -32% to -9% by 2020, depending upon the recruitment</w:t>
      </w:r>
      <w:r w:rsidRPr="004635E5">
        <w:rPr>
          <w:rFonts w:ascii="Times New Roman" w:hAnsi="Times New Roman" w:cs="Times New Roman"/>
          <w:b w:val="0"/>
          <w:color w:val="auto"/>
          <w:spacing w:val="-7"/>
          <w:sz w:val="22"/>
          <w:szCs w:val="22"/>
        </w:rPr>
        <w:t xml:space="preserve"> </w:t>
      </w:r>
      <w:r w:rsidRPr="004635E5">
        <w:rPr>
          <w:rFonts w:ascii="Times New Roman" w:hAnsi="Times New Roman" w:cs="Times New Roman"/>
          <w:b w:val="0"/>
          <w:color w:val="auto"/>
          <w:sz w:val="22"/>
          <w:szCs w:val="22"/>
        </w:rPr>
        <w:t>scenario.</w:t>
      </w:r>
    </w:p>
    <w:p w14:paraId="35B8426A" w14:textId="77777777" w:rsidR="003D217E" w:rsidRPr="004635E5" w:rsidRDefault="003D217E" w:rsidP="003D217E">
      <w:pPr>
        <w:pStyle w:val="ListParagraph"/>
        <w:tabs>
          <w:tab w:val="left" w:pos="820"/>
        </w:tabs>
        <w:adjustRightInd w:val="0"/>
        <w:snapToGrid w:val="0"/>
        <w:ind w:left="1470" w:right="117"/>
        <w:jc w:val="both"/>
        <w:rPr>
          <w:b/>
          <w:sz w:val="22"/>
          <w:szCs w:val="22"/>
        </w:rPr>
      </w:pPr>
    </w:p>
    <w:p w14:paraId="78D8BBE3" w14:textId="77777777" w:rsidR="003D217E" w:rsidRPr="00EE3592" w:rsidRDefault="003D217E" w:rsidP="003D217E">
      <w:pPr>
        <w:adjustRightInd w:val="0"/>
        <w:snapToGrid w:val="0"/>
        <w:ind w:left="1470"/>
        <w:jc w:val="both"/>
        <w:rPr>
          <w:sz w:val="22"/>
          <w:szCs w:val="22"/>
        </w:rPr>
      </w:pPr>
      <w:r w:rsidRPr="00EE3592">
        <w:rPr>
          <w:sz w:val="22"/>
          <w:szCs w:val="22"/>
        </w:rPr>
        <w:t>SC11 expressed concerns about the updated stock status of WCNPO striped marlin, noting that the stock was overfished (SSB</w:t>
      </w:r>
      <w:r w:rsidRPr="00EE3592">
        <w:rPr>
          <w:sz w:val="22"/>
          <w:szCs w:val="22"/>
          <w:vertAlign w:val="subscript"/>
        </w:rPr>
        <w:t>2013</w:t>
      </w:r>
      <w:r w:rsidRPr="00EE3592">
        <w:rPr>
          <w:sz w:val="22"/>
          <w:szCs w:val="22"/>
        </w:rPr>
        <w:t xml:space="preserve"> at 61% below SSB</w:t>
      </w:r>
      <w:r w:rsidRPr="00EE3592">
        <w:rPr>
          <w:sz w:val="22"/>
          <w:szCs w:val="22"/>
          <w:vertAlign w:val="subscript"/>
        </w:rPr>
        <w:t>MSY</w:t>
      </w:r>
      <w:r w:rsidRPr="00EE3592">
        <w:rPr>
          <w:sz w:val="22"/>
          <w:szCs w:val="22"/>
        </w:rPr>
        <w:t>) and that overfishing was occurring (F</w:t>
      </w:r>
      <w:r w:rsidRPr="00EE3592">
        <w:rPr>
          <w:sz w:val="22"/>
          <w:szCs w:val="22"/>
          <w:vertAlign w:val="subscript"/>
        </w:rPr>
        <w:t>2010-2012</w:t>
      </w:r>
      <w:r w:rsidRPr="00EE3592">
        <w:rPr>
          <w:sz w:val="22"/>
          <w:szCs w:val="22"/>
        </w:rPr>
        <w:t xml:space="preserve"> exceeds F</w:t>
      </w:r>
      <w:r w:rsidRPr="00EE3592">
        <w:rPr>
          <w:sz w:val="22"/>
          <w:szCs w:val="22"/>
          <w:vertAlign w:val="subscript"/>
        </w:rPr>
        <w:t>MSY</w:t>
      </w:r>
      <w:r w:rsidRPr="00EE3592">
        <w:rPr>
          <w:sz w:val="22"/>
          <w:szCs w:val="22"/>
        </w:rPr>
        <w:t xml:space="preserve"> by 49%). Although a LRP for billfish species has not been adopted by the WCPFC, SC11 noted that SSB</w:t>
      </w:r>
      <w:r w:rsidRPr="00EE3592">
        <w:rPr>
          <w:sz w:val="22"/>
          <w:szCs w:val="22"/>
          <w:vertAlign w:val="subscript"/>
        </w:rPr>
        <w:t>current</w:t>
      </w:r>
      <w:r w:rsidRPr="00EE3592">
        <w:rPr>
          <w:sz w:val="22"/>
          <w:szCs w:val="22"/>
        </w:rPr>
        <w:t>/SSB</w:t>
      </w:r>
      <w:r w:rsidRPr="00EE3592">
        <w:rPr>
          <w:sz w:val="22"/>
          <w:szCs w:val="22"/>
          <w:vertAlign w:val="subscript"/>
        </w:rPr>
        <w:t>current,F=0</w:t>
      </w:r>
      <w:r w:rsidRPr="00EE3592">
        <w:rPr>
          <w:sz w:val="22"/>
          <w:szCs w:val="22"/>
        </w:rPr>
        <w:t>=0.12 and is below the LRP adopted for tunas. SC11 also noted that projections indicate that Prob(SSB</w:t>
      </w:r>
      <w:r w:rsidRPr="00EE3592">
        <w:rPr>
          <w:sz w:val="22"/>
          <w:szCs w:val="22"/>
          <w:vertAlign w:val="subscript"/>
        </w:rPr>
        <w:t>2020</w:t>
      </w:r>
      <w:r w:rsidRPr="00EE3592">
        <w:rPr>
          <w:sz w:val="22"/>
          <w:szCs w:val="22"/>
        </w:rPr>
        <w:t>&gt;SSB</w:t>
      </w:r>
      <w:r w:rsidRPr="00EE3592">
        <w:rPr>
          <w:sz w:val="22"/>
          <w:szCs w:val="22"/>
          <w:vertAlign w:val="subscript"/>
        </w:rPr>
        <w:t>2015</w:t>
      </w:r>
      <w:r w:rsidRPr="00EE3592">
        <w:rPr>
          <w:sz w:val="22"/>
          <w:szCs w:val="22"/>
        </w:rPr>
        <w:t>)&lt;50% for all constant catch scenarios over 2,850 mt (under the three recruitment hypotheses modelled), which means that in order to allow the spawning biomass to rebuild then catches need to be reduced to less than 2,850mt. SC11 recommends that the Commission develop a rebuilding plan for North Pacific striped marlin with subsequent revision of CMM 2010-01 in order to improve stock status.”</w:t>
      </w:r>
    </w:p>
    <w:p w14:paraId="2DACFC6F" w14:textId="77777777" w:rsidR="003D217E" w:rsidRPr="004635E5" w:rsidRDefault="003D217E" w:rsidP="003D217E">
      <w:pPr>
        <w:adjustRightInd w:val="0"/>
        <w:snapToGrid w:val="0"/>
        <w:ind w:left="100"/>
        <w:rPr>
          <w:b/>
          <w:bCs/>
          <w:sz w:val="22"/>
          <w:szCs w:val="22"/>
        </w:rPr>
      </w:pPr>
    </w:p>
    <w:p w14:paraId="605D09A9" w14:textId="77777777" w:rsidR="003D217E" w:rsidRPr="004635E5" w:rsidRDefault="002F64C2" w:rsidP="002F64C2">
      <w:pPr>
        <w:adjustRightInd w:val="0"/>
        <w:snapToGrid w:val="0"/>
        <w:rPr>
          <w:b/>
          <w:sz w:val="22"/>
          <w:szCs w:val="22"/>
        </w:rPr>
      </w:pPr>
      <w:r>
        <w:rPr>
          <w:rFonts w:eastAsiaTheme="minorEastAsia" w:hint="eastAsia"/>
          <w:b/>
          <w:sz w:val="22"/>
          <w:szCs w:val="22"/>
          <w:lang w:eastAsia="ko-KR"/>
        </w:rPr>
        <w:t>c.</w:t>
      </w:r>
      <w:r>
        <w:rPr>
          <w:rFonts w:eastAsiaTheme="minorEastAsia" w:hint="eastAsia"/>
          <w:b/>
          <w:sz w:val="22"/>
          <w:szCs w:val="22"/>
          <w:lang w:eastAsia="ko-KR"/>
        </w:rPr>
        <w:tab/>
      </w:r>
      <w:r w:rsidR="003D217E" w:rsidRPr="004635E5">
        <w:rPr>
          <w:b/>
          <w:sz w:val="22"/>
          <w:szCs w:val="22"/>
        </w:rPr>
        <w:t xml:space="preserve">Recommendations on </w:t>
      </w:r>
      <w:r w:rsidR="003D217E" w:rsidRPr="004635E5">
        <w:rPr>
          <w:rFonts w:eastAsia="MS PMincho"/>
          <w:b/>
          <w:sz w:val="22"/>
          <w:szCs w:val="22"/>
        </w:rPr>
        <w:t xml:space="preserve">the designation of </w:t>
      </w:r>
      <w:r w:rsidR="003D217E" w:rsidRPr="004635E5">
        <w:rPr>
          <w:rFonts w:eastAsia="Batang"/>
          <w:b/>
          <w:sz w:val="22"/>
          <w:szCs w:val="22"/>
          <w:lang w:val="en-NZ" w:eastAsia="ko-KR"/>
        </w:rPr>
        <w:t>North Pacific striped marlin</w:t>
      </w:r>
      <w:r w:rsidR="003D217E" w:rsidRPr="004635E5">
        <w:rPr>
          <w:rFonts w:eastAsia="MS PMincho"/>
          <w:b/>
          <w:sz w:val="22"/>
          <w:szCs w:val="22"/>
        </w:rPr>
        <w:t xml:space="preserve"> as a Northern Stock</w:t>
      </w:r>
    </w:p>
    <w:p w14:paraId="6C488257" w14:textId="77777777" w:rsidR="003D217E" w:rsidRPr="004635E5" w:rsidRDefault="003D217E" w:rsidP="003D217E">
      <w:pPr>
        <w:tabs>
          <w:tab w:val="left" w:pos="820"/>
        </w:tabs>
        <w:adjustRightInd w:val="0"/>
        <w:snapToGrid w:val="0"/>
        <w:rPr>
          <w:b/>
          <w:sz w:val="22"/>
          <w:szCs w:val="22"/>
        </w:rPr>
      </w:pPr>
    </w:p>
    <w:p w14:paraId="34BD3DAA" w14:textId="77777777" w:rsidR="003D217E" w:rsidRPr="00EE3592" w:rsidRDefault="003D217E" w:rsidP="00580EA4">
      <w:pPr>
        <w:numPr>
          <w:ilvl w:val="0"/>
          <w:numId w:val="18"/>
        </w:numPr>
        <w:autoSpaceDE w:val="0"/>
        <w:autoSpaceDN w:val="0"/>
        <w:adjustRightInd w:val="0"/>
        <w:snapToGrid w:val="0"/>
        <w:ind w:left="0" w:firstLine="0"/>
        <w:jc w:val="both"/>
        <w:rPr>
          <w:bCs/>
          <w:sz w:val="22"/>
          <w:szCs w:val="22"/>
        </w:rPr>
      </w:pPr>
      <w:r w:rsidRPr="00EE3592">
        <w:rPr>
          <w:bCs/>
          <w:sz w:val="22"/>
          <w:szCs w:val="22"/>
        </w:rPr>
        <w:t>Regarding the issue of the designation of North Pacific striped marlin as a Northern Stock (</w:t>
      </w:r>
      <w:r w:rsidRPr="00EE3592">
        <w:rPr>
          <w:bCs/>
          <w:sz w:val="22"/>
          <w:szCs w:val="22"/>
          <w:lang w:eastAsia="ko-KR"/>
        </w:rPr>
        <w:t>WCPFC14 Report, Para 378</w:t>
      </w:r>
      <w:r w:rsidRPr="00EE3592">
        <w:rPr>
          <w:bCs/>
          <w:sz w:val="22"/>
          <w:szCs w:val="22"/>
        </w:rPr>
        <w:t>), SC14 provides the following recommendations:</w:t>
      </w:r>
    </w:p>
    <w:p w14:paraId="5AF3788D" w14:textId="77777777" w:rsidR="003D217E" w:rsidRPr="00EE3592" w:rsidRDefault="003D217E" w:rsidP="003D217E">
      <w:pPr>
        <w:autoSpaceDE w:val="0"/>
        <w:autoSpaceDN w:val="0"/>
        <w:adjustRightInd w:val="0"/>
        <w:snapToGrid w:val="0"/>
        <w:jc w:val="both"/>
        <w:rPr>
          <w:bCs/>
          <w:sz w:val="22"/>
          <w:szCs w:val="22"/>
        </w:rPr>
      </w:pPr>
    </w:p>
    <w:p w14:paraId="4964923D" w14:textId="77777777" w:rsidR="003D217E" w:rsidRPr="00EE3592" w:rsidRDefault="003D217E" w:rsidP="00580EA4">
      <w:pPr>
        <w:pStyle w:val="ListParagraph"/>
        <w:widowControl w:val="0"/>
        <w:numPr>
          <w:ilvl w:val="0"/>
          <w:numId w:val="61"/>
        </w:numPr>
        <w:autoSpaceDE w:val="0"/>
        <w:autoSpaceDN w:val="0"/>
        <w:adjustRightInd w:val="0"/>
        <w:snapToGrid w:val="0"/>
        <w:jc w:val="both"/>
        <w:rPr>
          <w:bCs/>
          <w:sz w:val="22"/>
          <w:szCs w:val="22"/>
        </w:rPr>
      </w:pPr>
      <w:r w:rsidRPr="00EE3592">
        <w:rPr>
          <w:bCs/>
          <w:sz w:val="22"/>
          <w:szCs w:val="22"/>
        </w:rPr>
        <w:t>SC14 recommends that the Commission clarify and quantify what is meant by “</w:t>
      </w:r>
      <w:r w:rsidRPr="00EE3592">
        <w:rPr>
          <w:bCs/>
          <w:i/>
          <w:sz w:val="22"/>
          <w:szCs w:val="22"/>
        </w:rPr>
        <w:t>mostly north of 20 degrees N</w:t>
      </w:r>
      <w:r w:rsidRPr="00EE3592">
        <w:rPr>
          <w:bCs/>
          <w:sz w:val="22"/>
          <w:szCs w:val="22"/>
        </w:rPr>
        <w:t>”.</w:t>
      </w:r>
    </w:p>
    <w:p w14:paraId="324AFFE8" w14:textId="77777777" w:rsidR="003D217E" w:rsidRPr="00EE3592" w:rsidRDefault="003D217E" w:rsidP="00580EA4">
      <w:pPr>
        <w:pStyle w:val="ListParagraph"/>
        <w:widowControl w:val="0"/>
        <w:numPr>
          <w:ilvl w:val="0"/>
          <w:numId w:val="61"/>
        </w:numPr>
        <w:autoSpaceDE w:val="0"/>
        <w:autoSpaceDN w:val="0"/>
        <w:adjustRightInd w:val="0"/>
        <w:snapToGrid w:val="0"/>
        <w:jc w:val="both"/>
        <w:rPr>
          <w:bCs/>
          <w:sz w:val="22"/>
          <w:szCs w:val="22"/>
        </w:rPr>
      </w:pPr>
      <w:r w:rsidRPr="00EE3592">
        <w:rPr>
          <w:bCs/>
          <w:sz w:val="22"/>
          <w:szCs w:val="22"/>
        </w:rPr>
        <w:t>In relation to paragraph 1, SC14 recommends that a check-list of benchmark scientific information for North Pacific striped marlin be developed to support the Commission’s deliberations in determining the designation of a northern stock. As such, the following table is forwarded for the Commission’s consideration.</w:t>
      </w:r>
    </w:p>
    <w:p w14:paraId="024847A5" w14:textId="77777777" w:rsidR="003D217E" w:rsidRPr="004635E5" w:rsidRDefault="003D217E" w:rsidP="003D217E">
      <w:pPr>
        <w:pStyle w:val="ListParagraph"/>
        <w:adjustRightInd w:val="0"/>
        <w:snapToGrid w:val="0"/>
        <w:rPr>
          <w:sz w:val="22"/>
          <w:szCs w:val="22"/>
        </w:rPr>
      </w:pPr>
    </w:p>
    <w:tbl>
      <w:tblPr>
        <w:tblStyle w:val="TableGrid"/>
        <w:tblW w:w="4752" w:type="pct"/>
        <w:tblInd w:w="475" w:type="dxa"/>
        <w:tblLook w:val="04A0" w:firstRow="1" w:lastRow="0" w:firstColumn="1" w:lastColumn="0" w:noHBand="0" w:noVBand="1"/>
      </w:tblPr>
      <w:tblGrid>
        <w:gridCol w:w="477"/>
        <w:gridCol w:w="2879"/>
        <w:gridCol w:w="2878"/>
        <w:gridCol w:w="2880"/>
      </w:tblGrid>
      <w:tr w:rsidR="003D217E" w:rsidRPr="00EE3592" w14:paraId="0556BC00" w14:textId="77777777" w:rsidTr="001740C5">
        <w:trPr>
          <w:trHeight w:val="300"/>
        </w:trPr>
        <w:tc>
          <w:tcPr>
            <w:tcW w:w="261" w:type="pct"/>
            <w:noWrap/>
            <w:tcMar>
              <w:left w:w="115" w:type="dxa"/>
              <w:right w:w="115" w:type="dxa"/>
            </w:tcMar>
            <w:hideMark/>
          </w:tcPr>
          <w:p w14:paraId="29F128AF" w14:textId="77777777" w:rsidR="003D217E" w:rsidRPr="00EE3592" w:rsidRDefault="003D217E" w:rsidP="001740C5">
            <w:pPr>
              <w:adjustRightInd w:val="0"/>
              <w:snapToGrid w:val="0"/>
              <w:spacing w:after="0"/>
              <w:rPr>
                <w:sz w:val="20"/>
                <w:szCs w:val="20"/>
              </w:rPr>
            </w:pPr>
            <w:r w:rsidRPr="00EE3592">
              <w:rPr>
                <w:sz w:val="20"/>
                <w:szCs w:val="20"/>
              </w:rPr>
              <w:t>No</w:t>
            </w:r>
          </w:p>
        </w:tc>
        <w:tc>
          <w:tcPr>
            <w:tcW w:w="1579" w:type="pct"/>
            <w:noWrap/>
            <w:tcMar>
              <w:left w:w="115" w:type="dxa"/>
              <w:right w:w="115" w:type="dxa"/>
            </w:tcMar>
            <w:hideMark/>
          </w:tcPr>
          <w:p w14:paraId="23B28DB5" w14:textId="77777777" w:rsidR="003D217E" w:rsidRPr="00EE3592" w:rsidRDefault="003D217E" w:rsidP="001740C5">
            <w:pPr>
              <w:adjustRightInd w:val="0"/>
              <w:snapToGrid w:val="0"/>
              <w:spacing w:after="0"/>
              <w:rPr>
                <w:sz w:val="20"/>
                <w:szCs w:val="20"/>
              </w:rPr>
            </w:pPr>
            <w:r w:rsidRPr="00EE3592">
              <w:rPr>
                <w:sz w:val="20"/>
                <w:szCs w:val="20"/>
              </w:rPr>
              <w:t>Criteria</w:t>
            </w:r>
          </w:p>
        </w:tc>
        <w:tc>
          <w:tcPr>
            <w:tcW w:w="1579" w:type="pct"/>
            <w:noWrap/>
            <w:tcMar>
              <w:left w:w="115" w:type="dxa"/>
              <w:right w:w="115" w:type="dxa"/>
            </w:tcMar>
            <w:hideMark/>
          </w:tcPr>
          <w:p w14:paraId="13F311DA" w14:textId="77777777" w:rsidR="003D217E" w:rsidRPr="00EE3592" w:rsidRDefault="003D217E" w:rsidP="001740C5">
            <w:pPr>
              <w:adjustRightInd w:val="0"/>
              <w:snapToGrid w:val="0"/>
              <w:spacing w:after="0"/>
              <w:rPr>
                <w:sz w:val="20"/>
                <w:szCs w:val="20"/>
              </w:rPr>
            </w:pPr>
            <w:r w:rsidRPr="00EE3592">
              <w:rPr>
                <w:sz w:val="20"/>
                <w:szCs w:val="20"/>
              </w:rPr>
              <w:t>Response</w:t>
            </w:r>
          </w:p>
        </w:tc>
        <w:tc>
          <w:tcPr>
            <w:tcW w:w="1580" w:type="pct"/>
            <w:noWrap/>
            <w:tcMar>
              <w:left w:w="115" w:type="dxa"/>
              <w:right w:w="115" w:type="dxa"/>
            </w:tcMar>
            <w:hideMark/>
          </w:tcPr>
          <w:p w14:paraId="6F009B67" w14:textId="77777777" w:rsidR="003D217E" w:rsidRPr="00EE3592" w:rsidRDefault="003D217E" w:rsidP="001740C5">
            <w:pPr>
              <w:adjustRightInd w:val="0"/>
              <w:snapToGrid w:val="0"/>
              <w:spacing w:after="0"/>
              <w:rPr>
                <w:sz w:val="20"/>
                <w:szCs w:val="20"/>
              </w:rPr>
            </w:pPr>
            <w:r w:rsidRPr="00EE3592">
              <w:rPr>
                <w:sz w:val="20"/>
                <w:szCs w:val="20"/>
              </w:rPr>
              <w:t>Comments</w:t>
            </w:r>
          </w:p>
        </w:tc>
      </w:tr>
      <w:tr w:rsidR="003D217E" w:rsidRPr="00EE3592" w14:paraId="684AE042" w14:textId="77777777" w:rsidTr="001740C5">
        <w:trPr>
          <w:trHeight w:val="674"/>
        </w:trPr>
        <w:tc>
          <w:tcPr>
            <w:tcW w:w="261" w:type="pct"/>
            <w:noWrap/>
            <w:tcMar>
              <w:left w:w="115" w:type="dxa"/>
              <w:right w:w="115" w:type="dxa"/>
            </w:tcMar>
            <w:hideMark/>
          </w:tcPr>
          <w:p w14:paraId="6B770FF5" w14:textId="77777777" w:rsidR="003D217E" w:rsidRPr="00EE3592" w:rsidRDefault="003D217E" w:rsidP="001740C5">
            <w:pPr>
              <w:adjustRightInd w:val="0"/>
              <w:snapToGrid w:val="0"/>
              <w:spacing w:after="0"/>
              <w:rPr>
                <w:sz w:val="20"/>
                <w:szCs w:val="20"/>
              </w:rPr>
            </w:pPr>
            <w:r w:rsidRPr="00EE3592">
              <w:rPr>
                <w:sz w:val="20"/>
                <w:szCs w:val="20"/>
              </w:rPr>
              <w:t>1</w:t>
            </w:r>
          </w:p>
        </w:tc>
        <w:tc>
          <w:tcPr>
            <w:tcW w:w="1579" w:type="pct"/>
            <w:tcMar>
              <w:left w:w="115" w:type="dxa"/>
              <w:right w:w="115" w:type="dxa"/>
            </w:tcMar>
            <w:hideMark/>
          </w:tcPr>
          <w:p w14:paraId="51AC208A" w14:textId="77777777" w:rsidR="003D217E" w:rsidRPr="00EE3592" w:rsidRDefault="003D217E" w:rsidP="001740C5">
            <w:pPr>
              <w:adjustRightInd w:val="0"/>
              <w:snapToGrid w:val="0"/>
              <w:spacing w:after="0"/>
              <w:rPr>
                <w:sz w:val="20"/>
                <w:szCs w:val="20"/>
              </w:rPr>
            </w:pPr>
            <w:r w:rsidRPr="00EE3592">
              <w:rPr>
                <w:sz w:val="20"/>
                <w:szCs w:val="20"/>
              </w:rPr>
              <w:t>What proportion of the total estimated stock biomass occurs on average north of 20N?</w:t>
            </w:r>
          </w:p>
        </w:tc>
        <w:tc>
          <w:tcPr>
            <w:tcW w:w="1579" w:type="pct"/>
            <w:tcMar>
              <w:left w:w="115" w:type="dxa"/>
              <w:right w:w="115" w:type="dxa"/>
            </w:tcMar>
            <w:hideMark/>
          </w:tcPr>
          <w:p w14:paraId="536935C2" w14:textId="77777777" w:rsidR="003D217E" w:rsidRPr="00EE3592" w:rsidRDefault="003D217E" w:rsidP="001740C5">
            <w:pPr>
              <w:adjustRightInd w:val="0"/>
              <w:snapToGrid w:val="0"/>
              <w:spacing w:after="0"/>
              <w:rPr>
                <w:sz w:val="20"/>
                <w:szCs w:val="20"/>
              </w:rPr>
            </w:pPr>
            <w:r w:rsidRPr="00EE3592">
              <w:rPr>
                <w:sz w:val="20"/>
                <w:szCs w:val="20"/>
              </w:rPr>
              <w:t>*Proportion of biomass above 20</w:t>
            </w:r>
            <w:r w:rsidRPr="00EE3592">
              <w:rPr>
                <w:sz w:val="20"/>
                <w:szCs w:val="20"/>
                <w:vertAlign w:val="superscript"/>
              </w:rPr>
              <w:t xml:space="preserve"> o</w:t>
            </w:r>
            <w:r w:rsidRPr="00EE3592">
              <w:rPr>
                <w:sz w:val="20"/>
                <w:szCs w:val="20"/>
              </w:rPr>
              <w:t>N is 2-4 times larger than the proportion of biomass south of   20</w:t>
            </w:r>
            <w:r w:rsidRPr="00EE3592">
              <w:rPr>
                <w:sz w:val="20"/>
                <w:szCs w:val="20"/>
                <w:vertAlign w:val="superscript"/>
              </w:rPr>
              <w:t xml:space="preserve"> o</w:t>
            </w:r>
            <w:r w:rsidRPr="00EE3592">
              <w:rPr>
                <w:sz w:val="20"/>
                <w:szCs w:val="20"/>
              </w:rPr>
              <w:t>N in the North Pacific</w:t>
            </w:r>
          </w:p>
        </w:tc>
        <w:tc>
          <w:tcPr>
            <w:tcW w:w="1580" w:type="pct"/>
            <w:tcMar>
              <w:left w:w="115" w:type="dxa"/>
              <w:right w:w="115" w:type="dxa"/>
            </w:tcMar>
            <w:hideMark/>
          </w:tcPr>
          <w:p w14:paraId="06403556" w14:textId="77777777" w:rsidR="003D217E" w:rsidRPr="00EE3592" w:rsidRDefault="003D217E" w:rsidP="001740C5">
            <w:pPr>
              <w:adjustRightInd w:val="0"/>
              <w:snapToGrid w:val="0"/>
              <w:spacing w:after="0"/>
              <w:rPr>
                <w:sz w:val="20"/>
                <w:szCs w:val="20"/>
              </w:rPr>
            </w:pPr>
            <w:r w:rsidRPr="00EE3592">
              <w:rPr>
                <w:sz w:val="20"/>
                <w:szCs w:val="20"/>
              </w:rPr>
              <w:t xml:space="preserve">SC14-SA-IP-011 This value was estimated by stock assessment result in 2007. </w:t>
            </w:r>
          </w:p>
        </w:tc>
      </w:tr>
      <w:tr w:rsidR="003D217E" w:rsidRPr="00EE3592" w14:paraId="75AA95AE" w14:textId="77777777" w:rsidTr="001740C5">
        <w:trPr>
          <w:trHeight w:val="585"/>
        </w:trPr>
        <w:tc>
          <w:tcPr>
            <w:tcW w:w="261" w:type="pct"/>
            <w:noWrap/>
            <w:tcMar>
              <w:left w:w="115" w:type="dxa"/>
              <w:right w:w="115" w:type="dxa"/>
            </w:tcMar>
            <w:hideMark/>
          </w:tcPr>
          <w:p w14:paraId="1B8A30C6" w14:textId="77777777" w:rsidR="003D217E" w:rsidRPr="00EE3592" w:rsidRDefault="003D217E" w:rsidP="001740C5">
            <w:pPr>
              <w:adjustRightInd w:val="0"/>
              <w:snapToGrid w:val="0"/>
              <w:spacing w:after="0"/>
              <w:rPr>
                <w:sz w:val="20"/>
                <w:szCs w:val="20"/>
              </w:rPr>
            </w:pPr>
            <w:r w:rsidRPr="00EE3592">
              <w:rPr>
                <w:sz w:val="20"/>
                <w:szCs w:val="20"/>
              </w:rPr>
              <w:t>2</w:t>
            </w:r>
          </w:p>
        </w:tc>
        <w:tc>
          <w:tcPr>
            <w:tcW w:w="1579" w:type="pct"/>
            <w:tcMar>
              <w:left w:w="115" w:type="dxa"/>
              <w:right w:w="115" w:type="dxa"/>
            </w:tcMar>
            <w:hideMark/>
          </w:tcPr>
          <w:p w14:paraId="1F7DEBE1" w14:textId="77777777" w:rsidR="003D217E" w:rsidRPr="00EE3592" w:rsidRDefault="003D217E" w:rsidP="001740C5">
            <w:pPr>
              <w:adjustRightInd w:val="0"/>
              <w:snapToGrid w:val="0"/>
              <w:spacing w:after="0"/>
              <w:rPr>
                <w:sz w:val="20"/>
                <w:szCs w:val="20"/>
              </w:rPr>
            </w:pPr>
            <w:r w:rsidRPr="00EE3592">
              <w:rPr>
                <w:sz w:val="20"/>
                <w:szCs w:val="20"/>
              </w:rPr>
              <w:t>Does all of the breeding/spawning area(s) occur north of 20</w:t>
            </w:r>
            <w:r w:rsidRPr="00EE3592">
              <w:rPr>
                <w:sz w:val="20"/>
                <w:szCs w:val="20"/>
                <w:vertAlign w:val="superscript"/>
              </w:rPr>
              <w:t xml:space="preserve"> o</w:t>
            </w:r>
            <w:r w:rsidRPr="00EE3592">
              <w:rPr>
                <w:sz w:val="20"/>
                <w:szCs w:val="20"/>
              </w:rPr>
              <w:t>N?</w:t>
            </w:r>
          </w:p>
        </w:tc>
        <w:tc>
          <w:tcPr>
            <w:tcW w:w="1579" w:type="pct"/>
            <w:tcMar>
              <w:left w:w="115" w:type="dxa"/>
              <w:right w:w="115" w:type="dxa"/>
            </w:tcMar>
            <w:hideMark/>
          </w:tcPr>
          <w:p w14:paraId="3CCEE94F" w14:textId="77777777" w:rsidR="003D217E" w:rsidRPr="00EE3592" w:rsidRDefault="003D217E" w:rsidP="001740C5">
            <w:pPr>
              <w:adjustRightInd w:val="0"/>
              <w:snapToGrid w:val="0"/>
              <w:spacing w:after="0"/>
              <w:rPr>
                <w:sz w:val="20"/>
                <w:szCs w:val="20"/>
              </w:rPr>
            </w:pPr>
            <w:r w:rsidRPr="00EE3592">
              <w:rPr>
                <w:sz w:val="20"/>
                <w:szCs w:val="20"/>
              </w:rPr>
              <w:t>Unknown</w:t>
            </w:r>
          </w:p>
        </w:tc>
        <w:tc>
          <w:tcPr>
            <w:tcW w:w="1580" w:type="pct"/>
            <w:tcMar>
              <w:left w:w="115" w:type="dxa"/>
              <w:right w:w="115" w:type="dxa"/>
            </w:tcMar>
            <w:hideMark/>
          </w:tcPr>
          <w:p w14:paraId="68D95BFB" w14:textId="77777777" w:rsidR="003D217E" w:rsidRPr="00EE3592" w:rsidRDefault="003D217E" w:rsidP="001740C5">
            <w:pPr>
              <w:adjustRightInd w:val="0"/>
              <w:snapToGrid w:val="0"/>
              <w:spacing w:after="0"/>
              <w:rPr>
                <w:sz w:val="20"/>
                <w:szCs w:val="20"/>
              </w:rPr>
            </w:pPr>
            <w:r w:rsidRPr="00EE3592">
              <w:rPr>
                <w:rFonts w:ascii="Batang" w:eastAsia="Batang" w:hAnsi="Batang" w:cs="Batang" w:hint="eastAsia"/>
                <w:sz w:val="20"/>
                <w:szCs w:val="20"/>
              </w:rPr>
              <w:t xml:space="preserve">　</w:t>
            </w:r>
          </w:p>
        </w:tc>
      </w:tr>
      <w:tr w:rsidR="003D217E" w:rsidRPr="00EE3592" w14:paraId="43836035" w14:textId="77777777" w:rsidTr="001740C5">
        <w:trPr>
          <w:trHeight w:val="585"/>
        </w:trPr>
        <w:tc>
          <w:tcPr>
            <w:tcW w:w="261" w:type="pct"/>
            <w:noWrap/>
            <w:tcMar>
              <w:left w:w="115" w:type="dxa"/>
              <w:right w:w="115" w:type="dxa"/>
            </w:tcMar>
            <w:hideMark/>
          </w:tcPr>
          <w:p w14:paraId="2C3D2AD3" w14:textId="77777777" w:rsidR="003D217E" w:rsidRPr="00EE3592" w:rsidRDefault="003D217E" w:rsidP="001740C5">
            <w:pPr>
              <w:adjustRightInd w:val="0"/>
              <w:snapToGrid w:val="0"/>
              <w:spacing w:after="0"/>
              <w:rPr>
                <w:sz w:val="20"/>
                <w:szCs w:val="20"/>
              </w:rPr>
            </w:pPr>
            <w:r w:rsidRPr="00EE3592">
              <w:rPr>
                <w:sz w:val="20"/>
                <w:szCs w:val="20"/>
              </w:rPr>
              <w:t>3</w:t>
            </w:r>
          </w:p>
        </w:tc>
        <w:tc>
          <w:tcPr>
            <w:tcW w:w="1579" w:type="pct"/>
            <w:tcMar>
              <w:left w:w="115" w:type="dxa"/>
              <w:right w:w="115" w:type="dxa"/>
            </w:tcMar>
            <w:hideMark/>
          </w:tcPr>
          <w:p w14:paraId="41A0A8CF" w14:textId="77777777" w:rsidR="003D217E" w:rsidRPr="00EE3592" w:rsidRDefault="003D217E" w:rsidP="001740C5">
            <w:pPr>
              <w:adjustRightInd w:val="0"/>
              <w:snapToGrid w:val="0"/>
              <w:spacing w:after="0"/>
              <w:rPr>
                <w:sz w:val="20"/>
                <w:szCs w:val="20"/>
              </w:rPr>
            </w:pPr>
            <w:r w:rsidRPr="00EE3592">
              <w:rPr>
                <w:sz w:val="20"/>
                <w:szCs w:val="20"/>
              </w:rPr>
              <w:t>Does all of the nursery area(s) occur north of 20</w:t>
            </w:r>
            <w:r w:rsidRPr="00EE3592">
              <w:rPr>
                <w:sz w:val="20"/>
                <w:szCs w:val="20"/>
                <w:vertAlign w:val="superscript"/>
              </w:rPr>
              <w:t xml:space="preserve"> o</w:t>
            </w:r>
            <w:r w:rsidRPr="00EE3592">
              <w:rPr>
                <w:sz w:val="20"/>
                <w:szCs w:val="20"/>
              </w:rPr>
              <w:t>N</w:t>
            </w:r>
          </w:p>
        </w:tc>
        <w:tc>
          <w:tcPr>
            <w:tcW w:w="1579" w:type="pct"/>
            <w:tcMar>
              <w:left w:w="115" w:type="dxa"/>
              <w:right w:w="115" w:type="dxa"/>
            </w:tcMar>
            <w:hideMark/>
          </w:tcPr>
          <w:p w14:paraId="4B78E3F7" w14:textId="77777777" w:rsidR="003D217E" w:rsidRPr="00EE3592" w:rsidRDefault="003D217E" w:rsidP="001740C5">
            <w:pPr>
              <w:adjustRightInd w:val="0"/>
              <w:snapToGrid w:val="0"/>
              <w:spacing w:after="0"/>
              <w:rPr>
                <w:sz w:val="20"/>
                <w:szCs w:val="20"/>
              </w:rPr>
            </w:pPr>
            <w:r w:rsidRPr="00EE3592">
              <w:rPr>
                <w:sz w:val="20"/>
                <w:szCs w:val="20"/>
              </w:rPr>
              <w:t>Unknown</w:t>
            </w:r>
          </w:p>
        </w:tc>
        <w:tc>
          <w:tcPr>
            <w:tcW w:w="1580" w:type="pct"/>
            <w:tcMar>
              <w:left w:w="115" w:type="dxa"/>
              <w:right w:w="115" w:type="dxa"/>
            </w:tcMar>
            <w:hideMark/>
          </w:tcPr>
          <w:p w14:paraId="77CE619B" w14:textId="77777777" w:rsidR="003D217E" w:rsidRPr="00EE3592" w:rsidRDefault="003D217E" w:rsidP="001740C5">
            <w:pPr>
              <w:adjustRightInd w:val="0"/>
              <w:snapToGrid w:val="0"/>
              <w:spacing w:after="0"/>
              <w:rPr>
                <w:sz w:val="20"/>
                <w:szCs w:val="20"/>
              </w:rPr>
            </w:pPr>
            <w:r w:rsidRPr="00EE3592">
              <w:rPr>
                <w:rFonts w:ascii="Batang" w:eastAsia="Batang" w:hAnsi="Batang" w:cs="Batang" w:hint="eastAsia"/>
                <w:sz w:val="20"/>
                <w:szCs w:val="20"/>
              </w:rPr>
              <w:t xml:space="preserve">　</w:t>
            </w:r>
          </w:p>
        </w:tc>
      </w:tr>
      <w:tr w:rsidR="003D217E" w:rsidRPr="00EE3592" w14:paraId="73A48561" w14:textId="77777777" w:rsidTr="001740C5">
        <w:trPr>
          <w:trHeight w:val="585"/>
        </w:trPr>
        <w:tc>
          <w:tcPr>
            <w:tcW w:w="261" w:type="pct"/>
            <w:noWrap/>
            <w:tcMar>
              <w:left w:w="115" w:type="dxa"/>
              <w:right w:w="115" w:type="dxa"/>
            </w:tcMar>
            <w:hideMark/>
          </w:tcPr>
          <w:p w14:paraId="220EB67C" w14:textId="77777777" w:rsidR="003D217E" w:rsidRPr="00EE3592" w:rsidRDefault="003D217E" w:rsidP="001740C5">
            <w:pPr>
              <w:adjustRightInd w:val="0"/>
              <w:snapToGrid w:val="0"/>
              <w:spacing w:after="0"/>
              <w:rPr>
                <w:sz w:val="20"/>
                <w:szCs w:val="20"/>
              </w:rPr>
            </w:pPr>
            <w:r w:rsidRPr="00EE3592">
              <w:rPr>
                <w:sz w:val="20"/>
                <w:szCs w:val="20"/>
              </w:rPr>
              <w:t>4</w:t>
            </w:r>
          </w:p>
        </w:tc>
        <w:tc>
          <w:tcPr>
            <w:tcW w:w="1579" w:type="pct"/>
            <w:tcMar>
              <w:left w:w="115" w:type="dxa"/>
              <w:right w:w="115" w:type="dxa"/>
            </w:tcMar>
            <w:hideMark/>
          </w:tcPr>
          <w:p w14:paraId="297B75BC" w14:textId="77777777" w:rsidR="003D217E" w:rsidRPr="00EE3592" w:rsidRDefault="003D217E" w:rsidP="001740C5">
            <w:pPr>
              <w:adjustRightInd w:val="0"/>
              <w:snapToGrid w:val="0"/>
              <w:spacing w:after="0"/>
              <w:rPr>
                <w:sz w:val="20"/>
                <w:szCs w:val="20"/>
              </w:rPr>
            </w:pPr>
            <w:r w:rsidRPr="00EE3592">
              <w:rPr>
                <w:sz w:val="20"/>
                <w:szCs w:val="20"/>
              </w:rPr>
              <w:t>Do any other important life history stages occur south of 20N?</w:t>
            </w:r>
          </w:p>
        </w:tc>
        <w:tc>
          <w:tcPr>
            <w:tcW w:w="1579" w:type="pct"/>
            <w:tcMar>
              <w:left w:w="115" w:type="dxa"/>
              <w:right w:w="115" w:type="dxa"/>
            </w:tcMar>
            <w:hideMark/>
          </w:tcPr>
          <w:p w14:paraId="00607A1A" w14:textId="77777777" w:rsidR="003D217E" w:rsidRPr="00EE3592" w:rsidRDefault="003D217E" w:rsidP="001740C5">
            <w:pPr>
              <w:adjustRightInd w:val="0"/>
              <w:snapToGrid w:val="0"/>
              <w:spacing w:after="0"/>
              <w:rPr>
                <w:sz w:val="20"/>
                <w:szCs w:val="20"/>
              </w:rPr>
            </w:pPr>
            <w:r w:rsidRPr="00EE3592">
              <w:rPr>
                <w:sz w:val="20"/>
                <w:szCs w:val="20"/>
              </w:rPr>
              <w:t>Unknown</w:t>
            </w:r>
          </w:p>
        </w:tc>
        <w:tc>
          <w:tcPr>
            <w:tcW w:w="1580" w:type="pct"/>
            <w:tcMar>
              <w:left w:w="115" w:type="dxa"/>
              <w:right w:w="115" w:type="dxa"/>
            </w:tcMar>
            <w:hideMark/>
          </w:tcPr>
          <w:p w14:paraId="1038F1E5" w14:textId="77777777" w:rsidR="003D217E" w:rsidRPr="00EE3592" w:rsidRDefault="003D217E" w:rsidP="001740C5">
            <w:pPr>
              <w:adjustRightInd w:val="0"/>
              <w:snapToGrid w:val="0"/>
              <w:spacing w:after="0"/>
              <w:rPr>
                <w:sz w:val="20"/>
                <w:szCs w:val="20"/>
              </w:rPr>
            </w:pPr>
            <w:r w:rsidRPr="00EE3592">
              <w:rPr>
                <w:rFonts w:ascii="Batang" w:eastAsia="Batang" w:hAnsi="Batang" w:cs="Batang" w:hint="eastAsia"/>
                <w:sz w:val="20"/>
                <w:szCs w:val="20"/>
              </w:rPr>
              <w:t xml:space="preserve">　</w:t>
            </w:r>
          </w:p>
        </w:tc>
      </w:tr>
      <w:tr w:rsidR="003D217E" w:rsidRPr="00EE3592" w14:paraId="2E803CEB" w14:textId="77777777" w:rsidTr="001740C5">
        <w:trPr>
          <w:trHeight w:val="872"/>
        </w:trPr>
        <w:tc>
          <w:tcPr>
            <w:tcW w:w="261" w:type="pct"/>
            <w:noWrap/>
            <w:tcMar>
              <w:left w:w="115" w:type="dxa"/>
              <w:right w:w="115" w:type="dxa"/>
            </w:tcMar>
            <w:hideMark/>
          </w:tcPr>
          <w:p w14:paraId="099DC260" w14:textId="77777777" w:rsidR="003D217E" w:rsidRPr="00EE3592" w:rsidRDefault="003D217E" w:rsidP="001740C5">
            <w:pPr>
              <w:adjustRightInd w:val="0"/>
              <w:snapToGrid w:val="0"/>
              <w:spacing w:after="0"/>
              <w:rPr>
                <w:sz w:val="20"/>
                <w:szCs w:val="20"/>
              </w:rPr>
            </w:pPr>
            <w:r w:rsidRPr="00EE3592">
              <w:rPr>
                <w:sz w:val="20"/>
                <w:szCs w:val="20"/>
              </w:rPr>
              <w:t>5</w:t>
            </w:r>
          </w:p>
        </w:tc>
        <w:tc>
          <w:tcPr>
            <w:tcW w:w="1579" w:type="pct"/>
            <w:tcMar>
              <w:left w:w="115" w:type="dxa"/>
              <w:right w:w="115" w:type="dxa"/>
            </w:tcMar>
            <w:hideMark/>
          </w:tcPr>
          <w:p w14:paraId="0436845E" w14:textId="77777777" w:rsidR="003D217E" w:rsidRPr="00EE3592" w:rsidRDefault="003D217E" w:rsidP="001740C5">
            <w:pPr>
              <w:adjustRightInd w:val="0"/>
              <w:snapToGrid w:val="0"/>
              <w:spacing w:after="0"/>
              <w:rPr>
                <w:sz w:val="20"/>
                <w:szCs w:val="20"/>
              </w:rPr>
            </w:pPr>
            <w:r w:rsidRPr="00EE3592">
              <w:rPr>
                <w:sz w:val="20"/>
                <w:szCs w:val="20"/>
              </w:rPr>
              <w:t>What proportion of the total estimated catch occurs north of 20</w:t>
            </w:r>
            <w:r w:rsidRPr="00EE3592">
              <w:rPr>
                <w:sz w:val="20"/>
                <w:szCs w:val="20"/>
                <w:vertAlign w:val="superscript"/>
              </w:rPr>
              <w:t xml:space="preserve"> o</w:t>
            </w:r>
            <w:r w:rsidRPr="00EE3592">
              <w:rPr>
                <w:sz w:val="20"/>
                <w:szCs w:val="20"/>
              </w:rPr>
              <w:t>N?</w:t>
            </w:r>
          </w:p>
        </w:tc>
        <w:tc>
          <w:tcPr>
            <w:tcW w:w="1579" w:type="pct"/>
            <w:tcMar>
              <w:left w:w="115" w:type="dxa"/>
              <w:right w:w="115" w:type="dxa"/>
            </w:tcMar>
            <w:hideMark/>
          </w:tcPr>
          <w:p w14:paraId="3A80B30F" w14:textId="77777777" w:rsidR="003D217E" w:rsidRPr="00EE3592" w:rsidRDefault="003D217E" w:rsidP="001740C5">
            <w:pPr>
              <w:adjustRightInd w:val="0"/>
              <w:snapToGrid w:val="0"/>
              <w:spacing w:after="0"/>
              <w:rPr>
                <w:sz w:val="20"/>
                <w:szCs w:val="20"/>
              </w:rPr>
            </w:pPr>
            <w:r w:rsidRPr="00EE3592">
              <w:rPr>
                <w:sz w:val="20"/>
                <w:szCs w:val="20"/>
              </w:rPr>
              <w:t>**Range of annual percentages of 66%-96% above 20</w:t>
            </w:r>
            <w:r w:rsidRPr="00EE3592">
              <w:rPr>
                <w:sz w:val="20"/>
                <w:szCs w:val="20"/>
                <w:vertAlign w:val="superscript"/>
              </w:rPr>
              <w:t xml:space="preserve"> o</w:t>
            </w:r>
            <w:r w:rsidRPr="00EE3592">
              <w:rPr>
                <w:sz w:val="20"/>
                <w:szCs w:val="20"/>
              </w:rPr>
              <w:t>N. During the 2000s the average percentage was 73% above 20</w:t>
            </w:r>
            <w:r w:rsidRPr="00EE3592">
              <w:rPr>
                <w:sz w:val="20"/>
                <w:szCs w:val="20"/>
                <w:vertAlign w:val="superscript"/>
              </w:rPr>
              <w:t xml:space="preserve"> o</w:t>
            </w:r>
            <w:r w:rsidRPr="00EE3592">
              <w:rPr>
                <w:sz w:val="20"/>
                <w:szCs w:val="20"/>
              </w:rPr>
              <w:t>N</w:t>
            </w:r>
          </w:p>
        </w:tc>
        <w:tc>
          <w:tcPr>
            <w:tcW w:w="1580" w:type="pct"/>
            <w:tcMar>
              <w:left w:w="115" w:type="dxa"/>
              <w:right w:w="115" w:type="dxa"/>
            </w:tcMar>
            <w:hideMark/>
          </w:tcPr>
          <w:p w14:paraId="76622707" w14:textId="77777777" w:rsidR="003D217E" w:rsidRPr="00EE3592" w:rsidRDefault="003D217E" w:rsidP="001740C5">
            <w:pPr>
              <w:adjustRightInd w:val="0"/>
              <w:snapToGrid w:val="0"/>
              <w:spacing w:after="0"/>
              <w:rPr>
                <w:sz w:val="20"/>
                <w:szCs w:val="20"/>
              </w:rPr>
            </w:pPr>
            <w:r w:rsidRPr="00EE3592">
              <w:rPr>
                <w:sz w:val="20"/>
                <w:szCs w:val="20"/>
              </w:rPr>
              <w:t xml:space="preserve">SC14-SA-IP-11 These values were estimated from stock assessment results in 2007, but were not endorsed by SC3. </w:t>
            </w:r>
          </w:p>
        </w:tc>
      </w:tr>
      <w:tr w:rsidR="003D217E" w:rsidRPr="00EE3592" w14:paraId="7961DD5F" w14:textId="77777777" w:rsidTr="001740C5">
        <w:trPr>
          <w:trHeight w:val="870"/>
        </w:trPr>
        <w:tc>
          <w:tcPr>
            <w:tcW w:w="261" w:type="pct"/>
            <w:noWrap/>
            <w:tcMar>
              <w:left w:w="115" w:type="dxa"/>
              <w:right w:w="115" w:type="dxa"/>
            </w:tcMar>
            <w:hideMark/>
          </w:tcPr>
          <w:p w14:paraId="08ADC324" w14:textId="77777777" w:rsidR="003D217E" w:rsidRPr="00EE3592" w:rsidRDefault="003D217E" w:rsidP="001740C5">
            <w:pPr>
              <w:adjustRightInd w:val="0"/>
              <w:snapToGrid w:val="0"/>
              <w:spacing w:after="0"/>
              <w:rPr>
                <w:sz w:val="20"/>
                <w:szCs w:val="20"/>
              </w:rPr>
            </w:pPr>
            <w:r w:rsidRPr="00EE3592">
              <w:rPr>
                <w:sz w:val="20"/>
                <w:szCs w:val="20"/>
              </w:rPr>
              <w:t>6</w:t>
            </w:r>
          </w:p>
        </w:tc>
        <w:tc>
          <w:tcPr>
            <w:tcW w:w="1579" w:type="pct"/>
            <w:tcMar>
              <w:left w:w="115" w:type="dxa"/>
              <w:right w:w="115" w:type="dxa"/>
            </w:tcMar>
            <w:hideMark/>
          </w:tcPr>
          <w:p w14:paraId="0D23DF4C" w14:textId="77777777" w:rsidR="003D217E" w:rsidRPr="00EE3592" w:rsidRDefault="003D217E" w:rsidP="001740C5">
            <w:pPr>
              <w:adjustRightInd w:val="0"/>
              <w:snapToGrid w:val="0"/>
              <w:spacing w:after="0"/>
              <w:rPr>
                <w:sz w:val="20"/>
                <w:szCs w:val="20"/>
              </w:rPr>
            </w:pPr>
            <w:r w:rsidRPr="00EE3592">
              <w:rPr>
                <w:sz w:val="20"/>
                <w:szCs w:val="20"/>
              </w:rPr>
              <w:t>Is fishery catch-per-unit-effort demonstrably higher north of 20</w:t>
            </w:r>
            <w:r w:rsidRPr="00EE3592">
              <w:rPr>
                <w:sz w:val="20"/>
                <w:szCs w:val="20"/>
                <w:vertAlign w:val="superscript"/>
              </w:rPr>
              <w:t xml:space="preserve"> o</w:t>
            </w:r>
            <w:r w:rsidRPr="00EE3592">
              <w:rPr>
                <w:sz w:val="20"/>
                <w:szCs w:val="20"/>
              </w:rPr>
              <w:t>N for comparable fisheries?</w:t>
            </w:r>
          </w:p>
        </w:tc>
        <w:tc>
          <w:tcPr>
            <w:tcW w:w="1579" w:type="pct"/>
            <w:tcMar>
              <w:left w:w="115" w:type="dxa"/>
              <w:right w:w="115" w:type="dxa"/>
            </w:tcMar>
            <w:hideMark/>
          </w:tcPr>
          <w:p w14:paraId="343A2853" w14:textId="77777777" w:rsidR="003D217E" w:rsidRPr="00EE3592" w:rsidRDefault="003D217E" w:rsidP="001740C5">
            <w:pPr>
              <w:adjustRightInd w:val="0"/>
              <w:snapToGrid w:val="0"/>
              <w:spacing w:after="0"/>
              <w:rPr>
                <w:sz w:val="20"/>
                <w:szCs w:val="20"/>
              </w:rPr>
            </w:pPr>
            <w:r w:rsidRPr="00EE3592">
              <w:rPr>
                <w:sz w:val="20"/>
                <w:szCs w:val="20"/>
              </w:rPr>
              <w:t>Unknown</w:t>
            </w:r>
          </w:p>
        </w:tc>
        <w:tc>
          <w:tcPr>
            <w:tcW w:w="1580" w:type="pct"/>
            <w:noWrap/>
            <w:tcMar>
              <w:left w:w="115" w:type="dxa"/>
              <w:right w:w="115" w:type="dxa"/>
            </w:tcMar>
            <w:hideMark/>
          </w:tcPr>
          <w:p w14:paraId="3629B718" w14:textId="77777777" w:rsidR="003D217E" w:rsidRPr="00EE3592" w:rsidRDefault="003D217E" w:rsidP="001740C5">
            <w:pPr>
              <w:adjustRightInd w:val="0"/>
              <w:snapToGrid w:val="0"/>
              <w:spacing w:after="0"/>
              <w:rPr>
                <w:sz w:val="20"/>
                <w:szCs w:val="20"/>
              </w:rPr>
            </w:pPr>
            <w:r w:rsidRPr="00EE3592">
              <w:rPr>
                <w:rFonts w:ascii="Batang" w:eastAsia="Batang" w:hAnsi="Batang" w:cs="Batang" w:hint="eastAsia"/>
                <w:sz w:val="20"/>
                <w:szCs w:val="20"/>
              </w:rPr>
              <w:t xml:space="preserve">　</w:t>
            </w:r>
          </w:p>
        </w:tc>
      </w:tr>
      <w:tr w:rsidR="003D217E" w:rsidRPr="00EE3592" w14:paraId="5E01D2D2" w14:textId="77777777" w:rsidTr="001740C5">
        <w:trPr>
          <w:trHeight w:val="870"/>
        </w:trPr>
        <w:tc>
          <w:tcPr>
            <w:tcW w:w="261" w:type="pct"/>
            <w:noWrap/>
            <w:tcMar>
              <w:left w:w="115" w:type="dxa"/>
              <w:right w:w="115" w:type="dxa"/>
            </w:tcMar>
          </w:tcPr>
          <w:p w14:paraId="3A76748E" w14:textId="77777777" w:rsidR="003D217E" w:rsidRPr="00EE3592" w:rsidRDefault="003D217E" w:rsidP="001740C5">
            <w:pPr>
              <w:adjustRightInd w:val="0"/>
              <w:snapToGrid w:val="0"/>
              <w:spacing w:after="0"/>
              <w:rPr>
                <w:sz w:val="20"/>
                <w:szCs w:val="20"/>
              </w:rPr>
            </w:pPr>
            <w:r w:rsidRPr="00EE3592">
              <w:rPr>
                <w:sz w:val="20"/>
                <w:szCs w:val="20"/>
              </w:rPr>
              <w:t>7</w:t>
            </w:r>
          </w:p>
        </w:tc>
        <w:tc>
          <w:tcPr>
            <w:tcW w:w="1579" w:type="pct"/>
            <w:tcMar>
              <w:left w:w="115" w:type="dxa"/>
              <w:right w:w="115" w:type="dxa"/>
            </w:tcMar>
          </w:tcPr>
          <w:p w14:paraId="6D624CEA" w14:textId="77777777" w:rsidR="003D217E" w:rsidRPr="00EE3592" w:rsidRDefault="003D217E" w:rsidP="001740C5">
            <w:pPr>
              <w:adjustRightInd w:val="0"/>
              <w:snapToGrid w:val="0"/>
              <w:spacing w:after="0"/>
              <w:rPr>
                <w:sz w:val="20"/>
                <w:szCs w:val="20"/>
              </w:rPr>
            </w:pPr>
            <w:r w:rsidRPr="00EE3592">
              <w:rPr>
                <w:sz w:val="20"/>
                <w:szCs w:val="20"/>
              </w:rPr>
              <w:t>Is there sufficient information about fish movement between north and south of 20</w:t>
            </w:r>
            <w:r w:rsidRPr="00EE3592">
              <w:rPr>
                <w:sz w:val="20"/>
                <w:szCs w:val="20"/>
                <w:vertAlign w:val="superscript"/>
              </w:rPr>
              <w:t xml:space="preserve"> o</w:t>
            </w:r>
            <w:r w:rsidRPr="00EE3592">
              <w:rPr>
                <w:sz w:val="20"/>
                <w:szCs w:val="20"/>
              </w:rPr>
              <w:t>N?</w:t>
            </w:r>
          </w:p>
        </w:tc>
        <w:tc>
          <w:tcPr>
            <w:tcW w:w="1579" w:type="pct"/>
            <w:tcMar>
              <w:left w:w="115" w:type="dxa"/>
              <w:right w:w="115" w:type="dxa"/>
            </w:tcMar>
          </w:tcPr>
          <w:p w14:paraId="6F2DAB56" w14:textId="77777777" w:rsidR="003D217E" w:rsidRPr="00EE3592" w:rsidRDefault="003D217E" w:rsidP="001740C5">
            <w:pPr>
              <w:adjustRightInd w:val="0"/>
              <w:snapToGrid w:val="0"/>
              <w:spacing w:after="0"/>
              <w:rPr>
                <w:sz w:val="20"/>
                <w:szCs w:val="20"/>
              </w:rPr>
            </w:pPr>
            <w:r w:rsidRPr="00EE3592">
              <w:rPr>
                <w:sz w:val="20"/>
                <w:szCs w:val="20"/>
              </w:rPr>
              <w:t>No</w:t>
            </w:r>
          </w:p>
        </w:tc>
        <w:tc>
          <w:tcPr>
            <w:tcW w:w="1580" w:type="pct"/>
            <w:noWrap/>
            <w:tcMar>
              <w:left w:w="115" w:type="dxa"/>
              <w:right w:w="115" w:type="dxa"/>
            </w:tcMar>
          </w:tcPr>
          <w:p w14:paraId="4612E5AC" w14:textId="77777777" w:rsidR="003D217E" w:rsidRPr="00EE3592" w:rsidRDefault="003D217E" w:rsidP="001740C5">
            <w:pPr>
              <w:adjustRightInd w:val="0"/>
              <w:snapToGrid w:val="0"/>
              <w:spacing w:after="0"/>
              <w:rPr>
                <w:sz w:val="20"/>
                <w:szCs w:val="20"/>
              </w:rPr>
            </w:pPr>
          </w:p>
        </w:tc>
      </w:tr>
    </w:tbl>
    <w:p w14:paraId="0701AC3E" w14:textId="77777777" w:rsidR="003D217E" w:rsidRPr="00697896" w:rsidRDefault="003D217E" w:rsidP="003D217E">
      <w:pPr>
        <w:adjustRightInd w:val="0"/>
        <w:snapToGrid w:val="0"/>
        <w:ind w:left="360"/>
        <w:rPr>
          <w:rFonts w:eastAsia="MS PGothic"/>
          <w:color w:val="000000"/>
          <w:sz w:val="18"/>
          <w:szCs w:val="18"/>
        </w:rPr>
      </w:pPr>
      <w:r w:rsidRPr="00697896">
        <w:rPr>
          <w:rFonts w:eastAsia="MS PGothic"/>
          <w:color w:val="000000"/>
          <w:sz w:val="18"/>
          <w:szCs w:val="18"/>
        </w:rPr>
        <w:t>*Proportion of biomass was calculated in 1964 and 1969 that is near the initial condition.</w:t>
      </w:r>
    </w:p>
    <w:p w14:paraId="663973DA" w14:textId="77777777" w:rsidR="003D217E" w:rsidRPr="00697896" w:rsidRDefault="003D217E" w:rsidP="003D217E">
      <w:pPr>
        <w:adjustRightInd w:val="0"/>
        <w:snapToGrid w:val="0"/>
        <w:rPr>
          <w:rFonts w:eastAsia="MS PGothic"/>
          <w:color w:val="000000"/>
          <w:sz w:val="18"/>
          <w:szCs w:val="18"/>
        </w:rPr>
      </w:pPr>
      <w:r w:rsidRPr="00697896">
        <w:rPr>
          <w:rFonts w:eastAsiaTheme="minorEastAsia" w:hint="eastAsia"/>
          <w:color w:val="000000"/>
          <w:sz w:val="18"/>
          <w:szCs w:val="18"/>
          <w:lang w:eastAsia="ko-KR"/>
        </w:rPr>
        <w:t xml:space="preserve">    </w:t>
      </w:r>
      <w:r>
        <w:rPr>
          <w:rFonts w:eastAsiaTheme="minorEastAsia" w:hint="eastAsia"/>
          <w:color w:val="000000"/>
          <w:sz w:val="18"/>
          <w:szCs w:val="18"/>
          <w:lang w:eastAsia="ko-KR"/>
        </w:rPr>
        <w:t xml:space="preserve">   </w:t>
      </w:r>
      <w:r w:rsidRPr="00697896">
        <w:rPr>
          <w:rFonts w:eastAsiaTheme="minorEastAsia" w:hint="eastAsia"/>
          <w:color w:val="000000"/>
          <w:sz w:val="18"/>
          <w:szCs w:val="18"/>
          <w:lang w:eastAsia="ko-KR"/>
        </w:rPr>
        <w:t xml:space="preserve"> </w:t>
      </w:r>
      <w:r w:rsidRPr="00697896">
        <w:rPr>
          <w:rFonts w:eastAsia="MS PGothic"/>
          <w:color w:val="000000"/>
          <w:sz w:val="18"/>
          <w:szCs w:val="18"/>
        </w:rPr>
        <w:t>**The average proportion of the total catch in numbers were calculated by decade (1950's-2000's).</w:t>
      </w:r>
    </w:p>
    <w:p w14:paraId="451E6E47" w14:textId="77777777" w:rsidR="003D217E" w:rsidRPr="004635E5" w:rsidRDefault="003D217E" w:rsidP="003D217E">
      <w:pPr>
        <w:adjustRightInd w:val="0"/>
        <w:snapToGrid w:val="0"/>
        <w:ind w:firstLineChars="50" w:firstLine="110"/>
        <w:rPr>
          <w:sz w:val="22"/>
          <w:szCs w:val="22"/>
        </w:rPr>
      </w:pPr>
    </w:p>
    <w:p w14:paraId="3B796BD7" w14:textId="77777777" w:rsidR="003D217E" w:rsidRPr="00970771" w:rsidRDefault="003D217E" w:rsidP="00580EA4">
      <w:pPr>
        <w:pStyle w:val="SC3"/>
        <w:numPr>
          <w:ilvl w:val="2"/>
          <w:numId w:val="159"/>
        </w:numPr>
        <w:spacing w:after="0"/>
        <w:rPr>
          <w:rFonts w:eastAsia="Batang"/>
          <w:sz w:val="24"/>
          <w:szCs w:val="24"/>
          <w:lang w:eastAsia="ko-KR"/>
        </w:rPr>
      </w:pPr>
      <w:r w:rsidRPr="00970771">
        <w:rPr>
          <w:rFonts w:eastAsia="Batang"/>
          <w:sz w:val="24"/>
          <w:szCs w:val="24"/>
          <w:lang w:val="en-AU" w:eastAsia="ko-KR"/>
        </w:rPr>
        <w:t>Pacific blue marlin</w:t>
      </w:r>
      <w:r w:rsidRPr="00970771">
        <w:rPr>
          <w:rFonts w:eastAsia="Batang"/>
          <w:sz w:val="24"/>
          <w:szCs w:val="24"/>
          <w:lang w:eastAsia="ko-KR"/>
        </w:rPr>
        <w:t xml:space="preserve"> (</w:t>
      </w:r>
      <w:r w:rsidRPr="00970771">
        <w:rPr>
          <w:rFonts w:eastAsia="Batang"/>
          <w:i/>
          <w:sz w:val="24"/>
          <w:szCs w:val="24"/>
          <w:lang w:eastAsia="ko-KR"/>
        </w:rPr>
        <w:t>Makaira nigricans</w:t>
      </w:r>
      <w:r w:rsidRPr="00970771">
        <w:rPr>
          <w:rFonts w:eastAsia="Batang"/>
          <w:sz w:val="24"/>
          <w:szCs w:val="24"/>
          <w:lang w:eastAsia="ko-KR"/>
        </w:rPr>
        <w:t xml:space="preserve">) </w:t>
      </w:r>
    </w:p>
    <w:p w14:paraId="3C2AECF9" w14:textId="77777777" w:rsidR="003D217E" w:rsidRPr="004635E5" w:rsidRDefault="003D217E" w:rsidP="003D217E">
      <w:pPr>
        <w:pStyle w:val="SC3"/>
        <w:numPr>
          <w:ilvl w:val="0"/>
          <w:numId w:val="0"/>
        </w:numPr>
        <w:spacing w:after="0"/>
        <w:ind w:left="1440"/>
        <w:rPr>
          <w:rFonts w:eastAsia="Batang"/>
          <w:lang w:eastAsia="ko-KR"/>
        </w:rPr>
      </w:pPr>
    </w:p>
    <w:p w14:paraId="55D1EC70" w14:textId="77777777" w:rsidR="003D217E" w:rsidRPr="004635E5" w:rsidRDefault="003D217E" w:rsidP="002F64C2">
      <w:pPr>
        <w:pStyle w:val="SCa"/>
        <w:tabs>
          <w:tab w:val="clear" w:pos="1080"/>
        </w:tabs>
        <w:spacing w:after="0"/>
        <w:ind w:left="0"/>
        <w:rPr>
          <w:lang w:val="en-NZ"/>
        </w:rPr>
      </w:pPr>
      <w:r w:rsidRPr="004635E5">
        <w:rPr>
          <w:lang w:val="en-NZ"/>
        </w:rPr>
        <w:t>a.</w:t>
      </w:r>
      <w:r w:rsidRPr="004635E5">
        <w:rPr>
          <w:lang w:val="en-NZ"/>
        </w:rPr>
        <w:tab/>
        <w:t xml:space="preserve">Status and trends </w:t>
      </w:r>
    </w:p>
    <w:p w14:paraId="716878AC" w14:textId="77777777" w:rsidR="003D217E" w:rsidRPr="00EE3592" w:rsidRDefault="003D217E" w:rsidP="003D217E">
      <w:pPr>
        <w:pStyle w:val="SCa"/>
        <w:spacing w:after="0"/>
        <w:rPr>
          <w:b w:val="0"/>
          <w:bCs/>
          <w:lang w:val="en-NZ"/>
        </w:rPr>
      </w:pPr>
    </w:p>
    <w:p w14:paraId="4FEA6594" w14:textId="77777777" w:rsidR="003D217E" w:rsidRPr="00EE3592" w:rsidRDefault="003D217E" w:rsidP="00580EA4">
      <w:pPr>
        <w:numPr>
          <w:ilvl w:val="0"/>
          <w:numId w:val="18"/>
        </w:numPr>
        <w:autoSpaceDE w:val="0"/>
        <w:autoSpaceDN w:val="0"/>
        <w:adjustRightInd w:val="0"/>
        <w:snapToGrid w:val="0"/>
        <w:ind w:left="0" w:firstLine="0"/>
        <w:jc w:val="both"/>
        <w:rPr>
          <w:rFonts w:eastAsia="Batang"/>
          <w:bCs/>
          <w:sz w:val="22"/>
          <w:szCs w:val="22"/>
          <w:lang w:eastAsia="ko-KR"/>
        </w:rPr>
      </w:pPr>
      <w:r w:rsidRPr="00EE3592">
        <w:rPr>
          <w:rFonts w:eastAsia="Batang"/>
          <w:bCs/>
          <w:sz w:val="22"/>
          <w:szCs w:val="22"/>
          <w:lang w:eastAsia="ko-KR"/>
        </w:rPr>
        <w:t xml:space="preserve">SC14 noted that no stock assessments were conducted for Pacific blue marlin in 2018. Therefore, the stock status descriptions from SC12 are still current for Pacific blue marlin. Updated information on catches was compiled but not reviewed by SC14. </w:t>
      </w:r>
    </w:p>
    <w:p w14:paraId="6E47CBC9" w14:textId="77777777" w:rsidR="003D217E" w:rsidRPr="00EE3592" w:rsidRDefault="003D217E" w:rsidP="003D217E">
      <w:pPr>
        <w:autoSpaceDE w:val="0"/>
        <w:autoSpaceDN w:val="0"/>
        <w:adjustRightInd w:val="0"/>
        <w:snapToGrid w:val="0"/>
        <w:jc w:val="both"/>
        <w:rPr>
          <w:rFonts w:eastAsia="Batang"/>
          <w:bCs/>
          <w:sz w:val="22"/>
          <w:szCs w:val="22"/>
          <w:lang w:eastAsia="ko-KR"/>
        </w:rPr>
      </w:pPr>
    </w:p>
    <w:p w14:paraId="5361C2DF" w14:textId="77777777" w:rsidR="003D217E" w:rsidRPr="004635E5" w:rsidRDefault="003D217E" w:rsidP="002F64C2">
      <w:pPr>
        <w:pStyle w:val="SCa"/>
        <w:tabs>
          <w:tab w:val="clear" w:pos="1080"/>
        </w:tabs>
        <w:spacing w:after="0"/>
        <w:ind w:left="0"/>
      </w:pPr>
      <w:r w:rsidRPr="004635E5">
        <w:t>b.</w:t>
      </w:r>
      <w:r w:rsidRPr="004635E5">
        <w:tab/>
        <w:t>Management advice and implications</w:t>
      </w:r>
    </w:p>
    <w:p w14:paraId="687DD1BB" w14:textId="77777777" w:rsidR="003D217E" w:rsidRPr="004635E5" w:rsidRDefault="003D217E" w:rsidP="003D217E">
      <w:pPr>
        <w:pStyle w:val="SCa"/>
        <w:spacing w:after="0"/>
      </w:pPr>
    </w:p>
    <w:p w14:paraId="3DE3E247" w14:textId="77777777" w:rsidR="003D217E" w:rsidRPr="00EE3592" w:rsidRDefault="003D217E" w:rsidP="00580EA4">
      <w:pPr>
        <w:numPr>
          <w:ilvl w:val="0"/>
          <w:numId w:val="18"/>
        </w:numPr>
        <w:autoSpaceDE w:val="0"/>
        <w:autoSpaceDN w:val="0"/>
        <w:adjustRightInd w:val="0"/>
        <w:snapToGrid w:val="0"/>
        <w:ind w:left="0" w:firstLine="0"/>
        <w:jc w:val="both"/>
        <w:rPr>
          <w:rFonts w:eastAsia="Batang"/>
          <w:bCs/>
          <w:sz w:val="22"/>
          <w:szCs w:val="22"/>
          <w:lang w:eastAsia="ko-KR"/>
        </w:rPr>
      </w:pPr>
      <w:r w:rsidRPr="00EE3592">
        <w:rPr>
          <w:rFonts w:eastAsia="Batang"/>
          <w:bCs/>
          <w:sz w:val="22"/>
          <w:szCs w:val="22"/>
          <w:lang w:eastAsia="ko-KR"/>
        </w:rPr>
        <w:t xml:space="preserve">SC14 noted that no management advice has been provided since SC12 for Pacific blue marlin. Therefore, previous advice should be maintained, pending a new assessment or other new information. </w:t>
      </w:r>
      <w:r w:rsidRPr="00EE3592">
        <w:rPr>
          <w:rFonts w:eastAsia="Batang"/>
          <w:bCs/>
          <w:sz w:val="22"/>
          <w:szCs w:val="22"/>
          <w:lang w:val="en-AU" w:eastAsia="ko-KR"/>
        </w:rPr>
        <w:t xml:space="preserve">For further information on the management advice and implications from SC12, please see </w:t>
      </w:r>
      <w:hyperlink r:id="rId76" w:history="1">
        <w:r w:rsidRPr="00EE3592">
          <w:rPr>
            <w:rStyle w:val="Hyperlink"/>
            <w:bCs/>
            <w:sz w:val="22"/>
            <w:szCs w:val="22"/>
          </w:rPr>
          <w:t>https://www.wcpfc.int/node/27769</w:t>
        </w:r>
      </w:hyperlink>
      <w:r w:rsidRPr="00EE3592">
        <w:rPr>
          <w:rFonts w:eastAsia="Batang"/>
          <w:bCs/>
          <w:sz w:val="22"/>
          <w:szCs w:val="22"/>
          <w:u w:val="single"/>
          <w:lang w:val="en-AU" w:eastAsia="ko-KR"/>
        </w:rPr>
        <w:t xml:space="preserve"> </w:t>
      </w:r>
    </w:p>
    <w:p w14:paraId="6A6C947C" w14:textId="77777777" w:rsidR="003D217E" w:rsidRPr="004635E5" w:rsidRDefault="003D217E" w:rsidP="003D217E">
      <w:pPr>
        <w:pStyle w:val="Heading1"/>
        <w:numPr>
          <w:ilvl w:val="0"/>
          <w:numId w:val="0"/>
        </w:numPr>
        <w:adjustRightInd w:val="0"/>
        <w:snapToGrid w:val="0"/>
        <w:spacing w:after="0"/>
        <w:ind w:left="720"/>
        <w:rPr>
          <w:lang w:eastAsia="ko-KR"/>
        </w:rPr>
      </w:pPr>
    </w:p>
    <w:p w14:paraId="628938F4" w14:textId="77777777" w:rsidR="003D217E" w:rsidRDefault="003D217E" w:rsidP="003D217E">
      <w:pPr>
        <w:adjustRightInd w:val="0"/>
        <w:snapToGrid w:val="0"/>
        <w:rPr>
          <w:rFonts w:eastAsiaTheme="majorEastAsia"/>
          <w:b/>
          <w:bCs/>
          <w:sz w:val="22"/>
          <w:szCs w:val="22"/>
          <w:lang w:val="en-NZ"/>
        </w:rPr>
      </w:pPr>
    </w:p>
    <w:p w14:paraId="455AD5A9" w14:textId="77777777" w:rsidR="003D217E" w:rsidRPr="00166EEA" w:rsidRDefault="003D217E" w:rsidP="003D217E">
      <w:pPr>
        <w:pStyle w:val="Heading1"/>
        <w:numPr>
          <w:ilvl w:val="0"/>
          <w:numId w:val="0"/>
        </w:numPr>
        <w:adjustRightInd w:val="0"/>
        <w:snapToGrid w:val="0"/>
        <w:spacing w:after="0"/>
        <w:ind w:left="720"/>
        <w:rPr>
          <w:sz w:val="28"/>
          <w:szCs w:val="28"/>
        </w:rPr>
      </w:pPr>
      <w:r w:rsidRPr="00166EEA">
        <w:rPr>
          <w:sz w:val="28"/>
          <w:szCs w:val="28"/>
        </w:rPr>
        <w:t>AGENDA ITEM 5 — MANAGEMENT ISSUES THEME</w:t>
      </w:r>
      <w:r w:rsidRPr="00166EEA">
        <w:rPr>
          <w:sz w:val="28"/>
          <w:szCs w:val="28"/>
        </w:rPr>
        <w:fldChar w:fldCharType="begin"/>
      </w:r>
      <w:r w:rsidRPr="00166EEA">
        <w:rPr>
          <w:sz w:val="28"/>
          <w:szCs w:val="28"/>
        </w:rPr>
        <w:instrText xml:space="preserve"> TC "</w:instrText>
      </w:r>
      <w:bookmarkStart w:id="23" w:name="_Toc10607006"/>
      <w:bookmarkStart w:id="24" w:name="_Toc10607267"/>
      <w:bookmarkStart w:id="25" w:name="_Toc10607356"/>
      <w:bookmarkStart w:id="26" w:name="_Toc10607541"/>
      <w:bookmarkStart w:id="27" w:name="_Toc16418004"/>
      <w:r w:rsidRPr="00166EEA">
        <w:rPr>
          <w:sz w:val="28"/>
          <w:szCs w:val="28"/>
        </w:rPr>
        <w:instrText>AGENDA ITEM 5 — MANAGEMENT ISSUES THEME</w:instrText>
      </w:r>
      <w:bookmarkEnd w:id="23"/>
      <w:bookmarkEnd w:id="24"/>
      <w:bookmarkEnd w:id="25"/>
      <w:bookmarkEnd w:id="26"/>
      <w:bookmarkEnd w:id="27"/>
      <w:r w:rsidRPr="00166EEA">
        <w:rPr>
          <w:sz w:val="28"/>
          <w:szCs w:val="28"/>
        </w:rPr>
        <w:instrText xml:space="preserve">" \f C \l "1" </w:instrText>
      </w:r>
      <w:r w:rsidRPr="00166EEA">
        <w:rPr>
          <w:sz w:val="28"/>
          <w:szCs w:val="28"/>
        </w:rPr>
        <w:fldChar w:fldCharType="end"/>
      </w:r>
    </w:p>
    <w:p w14:paraId="48C3993F" w14:textId="77777777" w:rsidR="003D217E" w:rsidRDefault="003D217E" w:rsidP="003D217E">
      <w:pPr>
        <w:adjustRightInd w:val="0"/>
        <w:snapToGrid w:val="0"/>
        <w:rPr>
          <w:rFonts w:eastAsiaTheme="minorEastAsia"/>
          <w:sz w:val="22"/>
          <w:szCs w:val="22"/>
          <w:lang w:val="en-NZ" w:eastAsia="ko-KR"/>
        </w:rPr>
      </w:pPr>
    </w:p>
    <w:p w14:paraId="12DAF276" w14:textId="77777777" w:rsidR="003D217E" w:rsidRPr="00697896" w:rsidRDefault="003D217E" w:rsidP="003D217E">
      <w:pPr>
        <w:adjustRightInd w:val="0"/>
        <w:snapToGrid w:val="0"/>
        <w:rPr>
          <w:rFonts w:eastAsiaTheme="minorEastAsia"/>
          <w:sz w:val="22"/>
          <w:szCs w:val="22"/>
          <w:lang w:val="en-NZ" w:eastAsia="ko-KR"/>
        </w:rPr>
      </w:pPr>
    </w:p>
    <w:p w14:paraId="749453E8" w14:textId="77777777" w:rsidR="003D217E" w:rsidRPr="004635E5" w:rsidRDefault="003D217E" w:rsidP="00580EA4">
      <w:pPr>
        <w:pStyle w:val="ListParagraph"/>
        <w:numPr>
          <w:ilvl w:val="0"/>
          <w:numId w:val="56"/>
        </w:numPr>
        <w:adjustRightInd w:val="0"/>
        <w:snapToGrid w:val="0"/>
        <w:jc w:val="both"/>
        <w:rPr>
          <w:rFonts w:eastAsiaTheme="minorEastAsia"/>
          <w:b/>
          <w:vanish/>
          <w:sz w:val="22"/>
          <w:szCs w:val="22"/>
          <w:lang w:val="en-NZ" w:eastAsia="ko-KR"/>
        </w:rPr>
      </w:pPr>
    </w:p>
    <w:p w14:paraId="7963F093" w14:textId="77777777" w:rsidR="003D217E" w:rsidRPr="009117AA" w:rsidRDefault="003D217E" w:rsidP="00580EA4">
      <w:pPr>
        <w:pStyle w:val="SC2"/>
        <w:numPr>
          <w:ilvl w:val="1"/>
          <w:numId w:val="158"/>
        </w:numPr>
        <w:spacing w:after="0"/>
        <w:ind w:left="0" w:firstLine="0"/>
        <w:rPr>
          <w:sz w:val="24"/>
          <w:szCs w:val="24"/>
        </w:rPr>
      </w:pPr>
      <w:r w:rsidRPr="009117AA">
        <w:rPr>
          <w:rFonts w:eastAsiaTheme="minorEastAsia"/>
          <w:sz w:val="24"/>
          <w:szCs w:val="24"/>
          <w:lang w:eastAsia="ko-KR"/>
        </w:rPr>
        <w:t>Development of harvest strategy framework</w:t>
      </w:r>
    </w:p>
    <w:p w14:paraId="0A113D01" w14:textId="77777777" w:rsidR="003D217E" w:rsidRPr="004635E5" w:rsidRDefault="003D217E" w:rsidP="003D217E">
      <w:pPr>
        <w:pStyle w:val="SC2"/>
        <w:numPr>
          <w:ilvl w:val="0"/>
          <w:numId w:val="0"/>
        </w:numPr>
        <w:spacing w:after="0"/>
        <w:ind w:left="720"/>
      </w:pPr>
    </w:p>
    <w:p w14:paraId="525DFDBE" w14:textId="77777777" w:rsidR="003D217E" w:rsidRPr="009117AA" w:rsidRDefault="003D217E" w:rsidP="00580EA4">
      <w:pPr>
        <w:pStyle w:val="SC3"/>
        <w:numPr>
          <w:ilvl w:val="2"/>
          <w:numId w:val="158"/>
        </w:numPr>
        <w:spacing w:after="0"/>
        <w:rPr>
          <w:sz w:val="24"/>
          <w:szCs w:val="24"/>
        </w:rPr>
      </w:pPr>
      <w:r w:rsidRPr="009117AA">
        <w:rPr>
          <w:rFonts w:eastAsiaTheme="minorEastAsia"/>
          <w:sz w:val="24"/>
          <w:szCs w:val="24"/>
          <w:lang w:eastAsia="ko-KR"/>
        </w:rPr>
        <w:t>Progress of the harvest strategy workplan</w:t>
      </w:r>
    </w:p>
    <w:p w14:paraId="7ADC4C91" w14:textId="77777777" w:rsidR="003D217E" w:rsidRDefault="003D217E" w:rsidP="003D217E">
      <w:pPr>
        <w:pStyle w:val="SC3"/>
        <w:numPr>
          <w:ilvl w:val="0"/>
          <w:numId w:val="0"/>
        </w:numPr>
        <w:spacing w:after="0"/>
        <w:ind w:left="1080" w:hanging="1080"/>
        <w:rPr>
          <w:rFonts w:eastAsiaTheme="minorEastAsia"/>
          <w:lang w:eastAsia="ko-KR"/>
        </w:rPr>
      </w:pPr>
    </w:p>
    <w:p w14:paraId="7072621D" w14:textId="77777777" w:rsidR="003D217E" w:rsidRPr="009117AA" w:rsidRDefault="003D217E" w:rsidP="003D217E">
      <w:pPr>
        <w:pStyle w:val="WCPFC"/>
      </w:pPr>
      <w:r>
        <w:rPr>
          <w:rFonts w:hint="eastAsia"/>
          <w:lang w:eastAsia="ko-KR"/>
        </w:rPr>
        <w:t>No recommendations were made.</w:t>
      </w:r>
    </w:p>
    <w:p w14:paraId="6F2AF415" w14:textId="77777777" w:rsidR="003D217E" w:rsidRPr="009117AA" w:rsidRDefault="003D217E" w:rsidP="00580EA4">
      <w:pPr>
        <w:pStyle w:val="SC3"/>
        <w:numPr>
          <w:ilvl w:val="2"/>
          <w:numId w:val="158"/>
        </w:numPr>
        <w:spacing w:after="0"/>
        <w:rPr>
          <w:rFonts w:eastAsiaTheme="minorEastAsia"/>
          <w:bCs/>
          <w:sz w:val="24"/>
          <w:szCs w:val="24"/>
          <w:lang w:eastAsia="ko-KR"/>
        </w:rPr>
      </w:pPr>
      <w:r w:rsidRPr="009117AA">
        <w:rPr>
          <w:rFonts w:eastAsiaTheme="minorEastAsia"/>
          <w:bCs/>
          <w:sz w:val="24"/>
          <w:szCs w:val="24"/>
          <w:lang w:eastAsia="ko-KR"/>
        </w:rPr>
        <w:t>Target reference points</w:t>
      </w:r>
    </w:p>
    <w:p w14:paraId="5DE2CC14" w14:textId="77777777" w:rsidR="003D217E" w:rsidRPr="004635E5" w:rsidRDefault="003D217E" w:rsidP="003D217E">
      <w:pPr>
        <w:pStyle w:val="SC3"/>
        <w:numPr>
          <w:ilvl w:val="0"/>
          <w:numId w:val="0"/>
        </w:numPr>
        <w:spacing w:after="0"/>
        <w:ind w:left="1440"/>
        <w:rPr>
          <w:rFonts w:eastAsiaTheme="minorEastAsia"/>
          <w:bCs/>
          <w:lang w:eastAsia="ko-KR"/>
        </w:rPr>
      </w:pPr>
    </w:p>
    <w:p w14:paraId="60BBFE3F" w14:textId="77777777" w:rsidR="003D217E" w:rsidRPr="004635E5" w:rsidRDefault="003D217E" w:rsidP="002F64C2">
      <w:pPr>
        <w:pStyle w:val="SCa"/>
        <w:tabs>
          <w:tab w:val="clear" w:pos="1080"/>
        </w:tabs>
        <w:spacing w:after="0"/>
        <w:ind w:left="0"/>
        <w:rPr>
          <w:lang w:val="en-NZ"/>
        </w:rPr>
      </w:pPr>
      <w:r w:rsidRPr="004635E5">
        <w:rPr>
          <w:lang w:val="en-NZ"/>
        </w:rPr>
        <w:t>a.</w:t>
      </w:r>
      <w:r w:rsidRPr="004635E5">
        <w:rPr>
          <w:lang w:val="en-NZ"/>
        </w:rPr>
        <w:tab/>
        <w:t xml:space="preserve">Yellowfin and </w:t>
      </w:r>
      <w:r>
        <w:rPr>
          <w:lang w:val="en-NZ"/>
        </w:rPr>
        <w:t>b</w:t>
      </w:r>
      <w:r w:rsidRPr="004635E5">
        <w:rPr>
          <w:lang w:val="en-NZ"/>
        </w:rPr>
        <w:t xml:space="preserve">igeye </w:t>
      </w:r>
      <w:r>
        <w:rPr>
          <w:lang w:val="en-NZ"/>
        </w:rPr>
        <w:t>t</w:t>
      </w:r>
      <w:r w:rsidRPr="004635E5">
        <w:rPr>
          <w:lang w:val="en-NZ"/>
        </w:rPr>
        <w:t>una</w:t>
      </w:r>
    </w:p>
    <w:p w14:paraId="27158EB4" w14:textId="77777777" w:rsidR="003D217E" w:rsidRPr="004635E5" w:rsidRDefault="003D217E" w:rsidP="003D217E">
      <w:pPr>
        <w:pStyle w:val="SCa"/>
        <w:spacing w:after="0"/>
        <w:rPr>
          <w:lang w:val="en-NZ"/>
        </w:rPr>
      </w:pPr>
    </w:p>
    <w:p w14:paraId="011064BD"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HAnsi"/>
          <w:bCs/>
          <w:sz w:val="22"/>
          <w:szCs w:val="22"/>
        </w:rPr>
      </w:pPr>
      <w:r w:rsidRPr="009117AA">
        <w:rPr>
          <w:bCs/>
          <w:color w:val="000000" w:themeColor="text1"/>
          <w:sz w:val="22"/>
          <w:szCs w:val="22"/>
        </w:rPr>
        <w:t xml:space="preserve">SC14 reviewed information on </w:t>
      </w:r>
      <w:r w:rsidRPr="009117AA">
        <w:rPr>
          <w:rFonts w:eastAsiaTheme="minorHAnsi"/>
          <w:bCs/>
          <w:sz w:val="22"/>
          <w:szCs w:val="22"/>
        </w:rPr>
        <w:t xml:space="preserve">what would be the minimum setting for a candidate spawning-biomass-depletion-based TRP (or maximum fishing-mortality-based TRP) for yellowfin tuna that avoids breaching the LRP with a specified level of probability </w:t>
      </w:r>
      <w:r w:rsidRPr="009117AA">
        <w:rPr>
          <w:bCs/>
          <w:color w:val="000000" w:themeColor="text1"/>
          <w:sz w:val="22"/>
          <w:szCs w:val="22"/>
        </w:rPr>
        <w:t>under the current uncertainty framework</w:t>
      </w:r>
      <w:r w:rsidRPr="009117AA">
        <w:rPr>
          <w:rFonts w:eastAsiaTheme="minorHAnsi"/>
          <w:bCs/>
          <w:sz w:val="22"/>
          <w:szCs w:val="22"/>
        </w:rPr>
        <w:t xml:space="preserve"> </w:t>
      </w:r>
      <w:r w:rsidRPr="009117AA">
        <w:rPr>
          <w:bCs/>
          <w:color w:val="000000" w:themeColor="text1"/>
          <w:sz w:val="22"/>
          <w:szCs w:val="22"/>
        </w:rPr>
        <w:t>(</w:t>
      </w:r>
      <w:r w:rsidRPr="009117AA">
        <w:rPr>
          <w:bCs/>
          <w:color w:val="000000" w:themeColor="text1"/>
          <w:sz w:val="22"/>
          <w:szCs w:val="22"/>
          <w:lang w:eastAsia="ko-KR"/>
        </w:rPr>
        <w:t>SC14-</w:t>
      </w:r>
      <w:r w:rsidRPr="009117AA">
        <w:rPr>
          <w:bCs/>
          <w:color w:val="000000" w:themeColor="text1"/>
          <w:sz w:val="22"/>
          <w:szCs w:val="22"/>
        </w:rPr>
        <w:t>MI-WP-01)</w:t>
      </w:r>
      <w:r w:rsidRPr="009117AA">
        <w:rPr>
          <w:rFonts w:eastAsiaTheme="minorHAnsi"/>
          <w:bCs/>
          <w:sz w:val="22"/>
          <w:szCs w:val="22"/>
        </w:rPr>
        <w:t xml:space="preserve">. While SC14 noted that the main biological consideration for a TRP is that it should be sufficiently above the LRP, SC14 also noted that the choice of a TRP can be based on a combination of biological, ecological and socioeconomic considerations. In this regard </w:t>
      </w:r>
      <w:r w:rsidRPr="009117AA">
        <w:rPr>
          <w:bCs/>
          <w:sz w:val="22"/>
          <w:szCs w:val="22"/>
        </w:rPr>
        <w:t xml:space="preserve">consideration in future of other economic and social objectives for yellowfin tuna in the selection of </w:t>
      </w:r>
      <w:r w:rsidRPr="009117AA">
        <w:rPr>
          <w:rFonts w:eastAsiaTheme="minorHAnsi"/>
          <w:bCs/>
          <w:sz w:val="22"/>
          <w:szCs w:val="22"/>
        </w:rPr>
        <w:t>candidate</w:t>
      </w:r>
      <w:r w:rsidRPr="009117AA">
        <w:rPr>
          <w:bCs/>
          <w:sz w:val="22"/>
          <w:szCs w:val="22"/>
        </w:rPr>
        <w:t xml:space="preserve"> TRPs would be welcome. Several CCMs also viewed </w:t>
      </w:r>
      <w:r w:rsidRPr="009117AA">
        <w:rPr>
          <w:bCs/>
          <w:sz w:val="22"/>
          <w:szCs w:val="22"/>
          <w:lang w:eastAsia="ko-KR"/>
        </w:rPr>
        <w:t>management objectives and TRPs as economic decisions, and that in the context of a multi-species and multi-gear fishery they cannot be taken on a species by species basis in isolation.</w:t>
      </w:r>
      <w:r w:rsidRPr="009117AA">
        <w:rPr>
          <w:bCs/>
          <w:sz w:val="22"/>
          <w:szCs w:val="22"/>
        </w:rPr>
        <w:t xml:space="preserve"> </w:t>
      </w:r>
      <w:r w:rsidRPr="009117AA">
        <w:rPr>
          <w:rFonts w:eastAsiaTheme="minorHAnsi"/>
          <w:bCs/>
          <w:sz w:val="22"/>
          <w:szCs w:val="22"/>
        </w:rPr>
        <w:t xml:space="preserve">SC14 recommended that the analyses be repeated for bigeye tuna taking account of the updated 2018 bigeye stock assessment, and </w:t>
      </w:r>
      <w:r w:rsidRPr="009117AA">
        <w:rPr>
          <w:bCs/>
          <w:sz w:val="22"/>
          <w:szCs w:val="22"/>
        </w:rPr>
        <w:t>with both ‘recent’ and ‘long term’ recruitment assumptions</w:t>
      </w:r>
      <w:r w:rsidRPr="009117AA">
        <w:rPr>
          <w:rFonts w:eastAsiaTheme="minorHAnsi"/>
          <w:bCs/>
          <w:sz w:val="22"/>
          <w:szCs w:val="22"/>
        </w:rPr>
        <w:t xml:space="preserve">. </w:t>
      </w:r>
      <w:r w:rsidRPr="009117AA">
        <w:rPr>
          <w:bCs/>
          <w:sz w:val="22"/>
          <w:szCs w:val="22"/>
        </w:rPr>
        <w:t xml:space="preserve">SC14 recommends that WCPFC15 take note of these results in consideration of management objectives upon which any </w:t>
      </w:r>
      <w:r w:rsidRPr="009117AA">
        <w:rPr>
          <w:rFonts w:eastAsiaTheme="minorHAnsi"/>
          <w:bCs/>
          <w:sz w:val="22"/>
          <w:szCs w:val="22"/>
        </w:rPr>
        <w:t xml:space="preserve">candidate TRPs for yellowfin tuna and bigeye tuna should be based, and in so doing clarify the </w:t>
      </w:r>
      <w:r w:rsidRPr="009117AA">
        <w:rPr>
          <w:bCs/>
          <w:sz w:val="22"/>
          <w:szCs w:val="22"/>
        </w:rPr>
        <w:t xml:space="preserve">management objectives for these species (including the selection of risk levels) so that the additional work identified above can be undertaken. </w:t>
      </w:r>
    </w:p>
    <w:p w14:paraId="6CF555DD" w14:textId="77777777" w:rsidR="003D217E" w:rsidRPr="004635E5" w:rsidRDefault="003D217E" w:rsidP="003D217E">
      <w:pPr>
        <w:autoSpaceDE w:val="0"/>
        <w:autoSpaceDN w:val="0"/>
        <w:adjustRightInd w:val="0"/>
        <w:snapToGrid w:val="0"/>
        <w:jc w:val="both"/>
        <w:rPr>
          <w:rFonts w:eastAsiaTheme="minorHAnsi"/>
          <w:b/>
          <w:sz w:val="22"/>
          <w:szCs w:val="22"/>
        </w:rPr>
      </w:pPr>
    </w:p>
    <w:p w14:paraId="1AEBE9C3" w14:textId="77777777" w:rsidR="003D217E" w:rsidRPr="004635E5" w:rsidRDefault="00B327CC" w:rsidP="002F64C2">
      <w:pPr>
        <w:pStyle w:val="SCa"/>
        <w:tabs>
          <w:tab w:val="clear" w:pos="1080"/>
        </w:tabs>
        <w:spacing w:after="0"/>
        <w:ind w:left="0"/>
        <w:rPr>
          <w:lang w:bidi="mn-Mong-CN"/>
        </w:rPr>
      </w:pPr>
      <w:r>
        <w:rPr>
          <w:rFonts w:hint="eastAsia"/>
          <w:lang w:bidi="mn-Mong-CN"/>
        </w:rPr>
        <w:t>b.</w:t>
      </w:r>
      <w:r>
        <w:rPr>
          <w:rFonts w:hint="eastAsia"/>
          <w:lang w:bidi="mn-Mong-CN"/>
        </w:rPr>
        <w:tab/>
      </w:r>
      <w:r w:rsidR="003D217E" w:rsidRPr="004635E5">
        <w:rPr>
          <w:lang w:bidi="mn-Mong-CN"/>
        </w:rPr>
        <w:t xml:space="preserve">South Pacific </w:t>
      </w:r>
      <w:r w:rsidR="003D217E">
        <w:rPr>
          <w:lang w:bidi="mn-Mong-CN"/>
        </w:rPr>
        <w:t>a</w:t>
      </w:r>
      <w:r w:rsidR="003D217E" w:rsidRPr="004635E5">
        <w:rPr>
          <w:lang w:bidi="mn-Mong-CN"/>
        </w:rPr>
        <w:t xml:space="preserve">lbacore </w:t>
      </w:r>
      <w:r w:rsidR="003D217E">
        <w:rPr>
          <w:lang w:bidi="mn-Mong-CN"/>
        </w:rPr>
        <w:t>t</w:t>
      </w:r>
      <w:r w:rsidR="003D217E" w:rsidRPr="004635E5">
        <w:rPr>
          <w:lang w:bidi="mn-Mong-CN"/>
        </w:rPr>
        <w:t>una</w:t>
      </w:r>
    </w:p>
    <w:p w14:paraId="6773A133" w14:textId="77777777" w:rsidR="003D217E" w:rsidRPr="004635E5" w:rsidRDefault="003D217E" w:rsidP="003D217E">
      <w:pPr>
        <w:pStyle w:val="SCa"/>
        <w:spacing w:after="0"/>
        <w:rPr>
          <w:lang w:bidi="mn-Mong-CN"/>
        </w:rPr>
      </w:pPr>
    </w:p>
    <w:p w14:paraId="59FC06AE"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EastAsia"/>
          <w:b/>
          <w:i/>
          <w:iCs/>
          <w:sz w:val="22"/>
          <w:szCs w:val="22"/>
          <w:lang w:eastAsia="ko-KR"/>
        </w:rPr>
      </w:pPr>
      <w:r w:rsidRPr="009117AA">
        <w:rPr>
          <w:rFonts w:eastAsiaTheme="minorEastAsia"/>
          <w:b/>
          <w:i/>
          <w:iCs/>
          <w:sz w:val="22"/>
          <w:szCs w:val="22"/>
          <w:lang w:eastAsia="ko-KR"/>
        </w:rPr>
        <w:t xml:space="preserve">SC14 noted that WCPFC14 deferred the possible adoption of an interim TRP for the South Pacific albacore stock, which had originally been agreed to take place in 2015 under the Harvest Strategy Work Plan, until December 2018 at the latest. Recalling that it had previously reviewed a number of working papers and provided advice to the WCPFC over the past three years on this issue, SC14 reaffirms the previous recommendations made by SC13. In particular, SC14: </w:t>
      </w:r>
    </w:p>
    <w:p w14:paraId="3499234B" w14:textId="77777777" w:rsidR="003D217E" w:rsidRPr="009117AA" w:rsidRDefault="003D217E" w:rsidP="00580EA4">
      <w:pPr>
        <w:numPr>
          <w:ilvl w:val="0"/>
          <w:numId w:val="48"/>
        </w:numPr>
        <w:autoSpaceDE w:val="0"/>
        <w:autoSpaceDN w:val="0"/>
        <w:adjustRightInd w:val="0"/>
        <w:snapToGrid w:val="0"/>
        <w:jc w:val="both"/>
        <w:rPr>
          <w:rFonts w:eastAsiaTheme="minorEastAsia"/>
          <w:b/>
          <w:i/>
          <w:iCs/>
          <w:sz w:val="22"/>
          <w:szCs w:val="22"/>
          <w:lang w:eastAsia="ko-KR"/>
        </w:rPr>
      </w:pPr>
      <w:r w:rsidRPr="009117AA">
        <w:rPr>
          <w:rFonts w:eastAsiaTheme="minorEastAsia"/>
          <w:b/>
          <w:i/>
          <w:iCs/>
          <w:sz w:val="22"/>
          <w:szCs w:val="22"/>
          <w:lang w:eastAsia="ko-KR"/>
        </w:rPr>
        <w:t xml:space="preserve">notes that FFA CCMs have communicated their objectives for the south Pacific albacore stock as taken by the southern longline fishery at various times, and have proposed (in WCPFC14-DP13) a TRP that would maintain or restore average longline albacore CPUE to 10% above its 2013 value by 2028, and to 17% above its 2013 level by 2038. </w:t>
      </w:r>
    </w:p>
    <w:p w14:paraId="71EBC52A" w14:textId="77777777" w:rsidR="003D217E" w:rsidRPr="009117AA" w:rsidRDefault="003D217E" w:rsidP="00580EA4">
      <w:pPr>
        <w:numPr>
          <w:ilvl w:val="0"/>
          <w:numId w:val="48"/>
        </w:numPr>
        <w:autoSpaceDE w:val="0"/>
        <w:autoSpaceDN w:val="0"/>
        <w:adjustRightInd w:val="0"/>
        <w:snapToGrid w:val="0"/>
        <w:jc w:val="both"/>
        <w:rPr>
          <w:rFonts w:eastAsiaTheme="minorEastAsia"/>
          <w:b/>
          <w:i/>
          <w:iCs/>
          <w:sz w:val="22"/>
          <w:szCs w:val="22"/>
          <w:lang w:eastAsia="ko-KR"/>
        </w:rPr>
      </w:pPr>
      <w:r w:rsidRPr="009117AA">
        <w:rPr>
          <w:rFonts w:eastAsiaTheme="minorEastAsia"/>
          <w:b/>
          <w:i/>
          <w:iCs/>
          <w:sz w:val="22"/>
          <w:szCs w:val="22"/>
          <w:lang w:eastAsia="ko-KR"/>
        </w:rPr>
        <w:t xml:space="preserve">encourages other CCMs to describe their objectives for the fishery as specified in the </w:t>
      </w:r>
      <w:r w:rsidRPr="009117AA">
        <w:rPr>
          <w:rFonts w:eastAsiaTheme="minorEastAsia"/>
          <w:b/>
          <w:i/>
          <w:iCs/>
          <w:sz w:val="22"/>
          <w:szCs w:val="22"/>
          <w:lang w:val="en-AU" w:eastAsia="ko-KR"/>
        </w:rPr>
        <w:t>Roadmap to implement the elements needed for the effective conservation and management for South Pacific albacore adopted by WCPFC14</w:t>
      </w:r>
      <w:r w:rsidRPr="009117AA">
        <w:rPr>
          <w:rFonts w:eastAsiaTheme="minorEastAsia"/>
          <w:b/>
          <w:i/>
          <w:iCs/>
          <w:sz w:val="22"/>
          <w:szCs w:val="22"/>
          <w:lang w:eastAsia="ko-KR"/>
        </w:rPr>
        <w:t xml:space="preserve">; </w:t>
      </w:r>
    </w:p>
    <w:p w14:paraId="7CF7E30D" w14:textId="77777777" w:rsidR="003D217E" w:rsidRPr="009117AA" w:rsidRDefault="003D217E" w:rsidP="00580EA4">
      <w:pPr>
        <w:numPr>
          <w:ilvl w:val="0"/>
          <w:numId w:val="48"/>
        </w:numPr>
        <w:autoSpaceDE w:val="0"/>
        <w:autoSpaceDN w:val="0"/>
        <w:adjustRightInd w:val="0"/>
        <w:snapToGrid w:val="0"/>
        <w:jc w:val="both"/>
        <w:rPr>
          <w:rFonts w:eastAsiaTheme="minorEastAsia"/>
          <w:b/>
          <w:i/>
          <w:iCs/>
          <w:sz w:val="22"/>
          <w:szCs w:val="22"/>
          <w:lang w:eastAsia="ko-KR"/>
        </w:rPr>
      </w:pPr>
      <w:r w:rsidRPr="009117AA">
        <w:rPr>
          <w:rFonts w:eastAsiaTheme="minorEastAsia"/>
          <w:b/>
          <w:i/>
          <w:iCs/>
          <w:sz w:val="22"/>
          <w:szCs w:val="22"/>
          <w:lang w:eastAsia="ko-KR"/>
        </w:rPr>
        <w:t xml:space="preserve">draws the attention of WCPFC15 to the Limit Reference Point already adopted by the Commission for </w:t>
      </w:r>
      <w:r w:rsidRPr="009117AA">
        <w:rPr>
          <w:rFonts w:eastAsiaTheme="minorEastAsia"/>
          <w:b/>
          <w:bCs/>
          <w:i/>
          <w:iCs/>
          <w:sz w:val="22"/>
          <w:szCs w:val="22"/>
          <w:lang w:eastAsia="ko-KR"/>
        </w:rPr>
        <w:t xml:space="preserve">south Pacific </w:t>
      </w:r>
      <w:r w:rsidRPr="009117AA">
        <w:rPr>
          <w:rFonts w:eastAsiaTheme="minorEastAsia"/>
          <w:b/>
          <w:i/>
          <w:iCs/>
          <w:sz w:val="22"/>
          <w:szCs w:val="22"/>
          <w:lang w:eastAsia="ko-KR"/>
        </w:rPr>
        <w:t xml:space="preserve">albacore and the need to maintain the stock well above that limit; and, </w:t>
      </w:r>
    </w:p>
    <w:p w14:paraId="4CCE613C" w14:textId="77777777" w:rsidR="003D217E" w:rsidRPr="009117AA" w:rsidRDefault="003D217E" w:rsidP="00580EA4">
      <w:pPr>
        <w:numPr>
          <w:ilvl w:val="0"/>
          <w:numId w:val="48"/>
        </w:numPr>
        <w:autoSpaceDE w:val="0"/>
        <w:autoSpaceDN w:val="0"/>
        <w:adjustRightInd w:val="0"/>
        <w:snapToGrid w:val="0"/>
        <w:jc w:val="both"/>
        <w:rPr>
          <w:rFonts w:eastAsiaTheme="minorEastAsia"/>
          <w:b/>
          <w:i/>
          <w:iCs/>
          <w:sz w:val="22"/>
          <w:szCs w:val="22"/>
          <w:lang w:eastAsia="ko-KR"/>
        </w:rPr>
      </w:pPr>
      <w:r w:rsidRPr="009117AA">
        <w:rPr>
          <w:rFonts w:eastAsiaTheme="minorEastAsia"/>
          <w:b/>
          <w:i/>
          <w:iCs/>
          <w:sz w:val="22"/>
          <w:szCs w:val="22"/>
          <w:lang w:eastAsia="ko-KR"/>
        </w:rPr>
        <w:t xml:space="preserve">draws attention to the need to identify a TRP at a level which best achieves the fisheries management objectives of CCMs with a real interest in this stock. </w:t>
      </w:r>
    </w:p>
    <w:p w14:paraId="247509D9" w14:textId="77777777" w:rsidR="003D217E" w:rsidRPr="009117AA" w:rsidRDefault="003D217E" w:rsidP="003D217E">
      <w:pPr>
        <w:autoSpaceDE w:val="0"/>
        <w:autoSpaceDN w:val="0"/>
        <w:adjustRightInd w:val="0"/>
        <w:snapToGrid w:val="0"/>
        <w:jc w:val="both"/>
        <w:rPr>
          <w:rFonts w:eastAsiaTheme="minorEastAsia"/>
          <w:b/>
          <w:i/>
          <w:iCs/>
          <w:sz w:val="22"/>
          <w:szCs w:val="22"/>
          <w:lang w:eastAsia="ko-KR"/>
        </w:rPr>
      </w:pPr>
    </w:p>
    <w:p w14:paraId="39079583"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EastAsia"/>
          <w:b/>
          <w:bCs/>
          <w:i/>
          <w:iCs/>
          <w:sz w:val="22"/>
          <w:szCs w:val="22"/>
          <w:lang w:val="en-AU" w:eastAsia="ko-KR"/>
        </w:rPr>
      </w:pPr>
      <w:r w:rsidRPr="009117AA">
        <w:rPr>
          <w:rFonts w:eastAsiaTheme="minorEastAsia"/>
          <w:b/>
          <w:i/>
          <w:iCs/>
          <w:sz w:val="22"/>
          <w:szCs w:val="22"/>
          <w:lang w:val="en-AU" w:eastAsia="ko-KR"/>
        </w:rPr>
        <w:t>SC14 also draws the attention of WCPFC15 to the updated assessment for south Pacific albacore reviewed by SC14 (described in SC14-SA-WP-05) which indicates that the current status of this stock is well above the LRP (with the median value of SB</w:t>
      </w:r>
      <w:r w:rsidRPr="009117AA">
        <w:rPr>
          <w:rFonts w:eastAsiaTheme="minorEastAsia"/>
          <w:b/>
          <w:i/>
          <w:iCs/>
          <w:sz w:val="22"/>
          <w:szCs w:val="22"/>
          <w:vertAlign w:val="subscript"/>
          <w:lang w:val="en-AU" w:eastAsia="ko-KR"/>
        </w:rPr>
        <w:t>latest</w:t>
      </w:r>
      <w:r w:rsidRPr="009117AA">
        <w:rPr>
          <w:rFonts w:eastAsiaTheme="minorEastAsia"/>
          <w:b/>
          <w:i/>
          <w:iCs/>
          <w:sz w:val="22"/>
          <w:szCs w:val="22"/>
          <w:lang w:val="en-AU" w:eastAsia="ko-KR"/>
        </w:rPr>
        <w:t>/SB</w:t>
      </w:r>
      <w:r w:rsidRPr="009117AA">
        <w:rPr>
          <w:rFonts w:eastAsiaTheme="minorEastAsia"/>
          <w:b/>
          <w:i/>
          <w:iCs/>
          <w:sz w:val="22"/>
          <w:szCs w:val="22"/>
          <w:vertAlign w:val="subscript"/>
          <w:lang w:val="en-AU" w:eastAsia="ko-KR"/>
        </w:rPr>
        <w:t>F=0</w:t>
      </w:r>
      <w:r w:rsidRPr="009117AA">
        <w:rPr>
          <w:rFonts w:eastAsiaTheme="minorEastAsia"/>
          <w:b/>
          <w:i/>
          <w:iCs/>
          <w:sz w:val="22"/>
          <w:szCs w:val="22"/>
          <w:lang w:val="en-AU" w:eastAsia="ko-KR"/>
        </w:rPr>
        <w:t xml:space="preserve">=0.52). To assist CCMs in the identification and evaluation of an appropriate TRP for south Pacific albacore SC14 also recommends that the Scientific Services Provider provides to CCMs an updated analysis using an approach similar to working paper </w:t>
      </w:r>
      <w:r w:rsidRPr="009117AA">
        <w:rPr>
          <w:rFonts w:eastAsiaTheme="minorEastAsia"/>
          <w:b/>
          <w:bCs/>
          <w:i/>
          <w:iCs/>
          <w:sz w:val="22"/>
          <w:szCs w:val="22"/>
          <w:lang w:val="en-AU" w:eastAsia="ko-KR"/>
        </w:rPr>
        <w:t xml:space="preserve">HSW-WP-05 as presented to the WCPFC Harvest Strategy Workshop held in late November 2015. </w:t>
      </w:r>
    </w:p>
    <w:p w14:paraId="72FF8799" w14:textId="77777777" w:rsidR="003D217E" w:rsidRPr="009117AA" w:rsidRDefault="003D217E" w:rsidP="003D217E">
      <w:pPr>
        <w:autoSpaceDE w:val="0"/>
        <w:autoSpaceDN w:val="0"/>
        <w:adjustRightInd w:val="0"/>
        <w:snapToGrid w:val="0"/>
        <w:jc w:val="both"/>
        <w:rPr>
          <w:rFonts w:eastAsiaTheme="minorEastAsia"/>
          <w:b/>
          <w:bCs/>
          <w:i/>
          <w:iCs/>
          <w:sz w:val="22"/>
          <w:szCs w:val="22"/>
          <w:lang w:val="en-AU" w:eastAsia="ko-KR"/>
        </w:rPr>
      </w:pPr>
    </w:p>
    <w:p w14:paraId="5001DD96"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EastAsia"/>
          <w:b/>
          <w:bCs/>
          <w:i/>
          <w:iCs/>
          <w:sz w:val="22"/>
          <w:szCs w:val="22"/>
          <w:lang w:val="en-AU" w:eastAsia="ko-KR"/>
        </w:rPr>
      </w:pPr>
      <w:r w:rsidRPr="009117AA">
        <w:rPr>
          <w:rFonts w:eastAsiaTheme="minorEastAsia"/>
          <w:b/>
          <w:i/>
          <w:iCs/>
          <w:sz w:val="22"/>
          <w:szCs w:val="22"/>
          <w:lang w:val="en-AU" w:eastAsia="ko-KR"/>
        </w:rPr>
        <w:t xml:space="preserve">In view of the decision by WCPFC14 that “CCMs will work together in advance of WCPFC15 to develop TRP proposals” this analysis may need to be provided and discussed at a meeting of the WCPFC South Pacific Albacore Roadmap Working Group in the margins of TCC14 or in conjunction with WCPFC15. </w:t>
      </w:r>
    </w:p>
    <w:p w14:paraId="729E97A2" w14:textId="77777777" w:rsidR="003D217E" w:rsidRPr="004635E5" w:rsidRDefault="003D217E" w:rsidP="003D217E">
      <w:pPr>
        <w:autoSpaceDE w:val="0"/>
        <w:autoSpaceDN w:val="0"/>
        <w:adjustRightInd w:val="0"/>
        <w:snapToGrid w:val="0"/>
        <w:jc w:val="both"/>
        <w:rPr>
          <w:rFonts w:eastAsiaTheme="minorEastAsia"/>
          <w:b/>
          <w:bCs/>
          <w:sz w:val="22"/>
          <w:szCs w:val="22"/>
          <w:lang w:val="en-AU" w:eastAsia="ko-KR"/>
        </w:rPr>
      </w:pPr>
    </w:p>
    <w:p w14:paraId="492C2161" w14:textId="77777777" w:rsidR="003D217E" w:rsidRPr="009117AA" w:rsidRDefault="003D217E" w:rsidP="00580EA4">
      <w:pPr>
        <w:pStyle w:val="SC3"/>
        <w:numPr>
          <w:ilvl w:val="2"/>
          <w:numId w:val="158"/>
        </w:numPr>
        <w:spacing w:after="0"/>
        <w:rPr>
          <w:rFonts w:eastAsiaTheme="minorEastAsia"/>
          <w:sz w:val="24"/>
          <w:szCs w:val="24"/>
          <w:lang w:eastAsia="ko-KR"/>
        </w:rPr>
      </w:pPr>
      <w:r w:rsidRPr="009117AA">
        <w:rPr>
          <w:rFonts w:eastAsiaTheme="minorEastAsia"/>
          <w:sz w:val="24"/>
          <w:szCs w:val="24"/>
          <w:lang w:eastAsia="ko-KR"/>
        </w:rPr>
        <w:t>Performance indicators, monitoring strategies and harvest control rules</w:t>
      </w:r>
    </w:p>
    <w:p w14:paraId="3D096612" w14:textId="77777777" w:rsidR="003D217E" w:rsidRPr="004635E5" w:rsidRDefault="003D217E" w:rsidP="003D217E">
      <w:pPr>
        <w:pStyle w:val="SC3"/>
        <w:numPr>
          <w:ilvl w:val="0"/>
          <w:numId w:val="0"/>
        </w:numPr>
        <w:spacing w:after="0"/>
        <w:ind w:left="1440"/>
        <w:rPr>
          <w:rFonts w:eastAsiaTheme="minorEastAsia"/>
          <w:lang w:eastAsia="ko-KR"/>
        </w:rPr>
      </w:pPr>
    </w:p>
    <w:p w14:paraId="2C9DA698"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9117AA">
        <w:rPr>
          <w:rFonts w:eastAsiaTheme="minorEastAsia"/>
          <w:bCs/>
          <w:sz w:val="22"/>
          <w:szCs w:val="22"/>
          <w:lang w:eastAsia="ko-KR"/>
        </w:rPr>
        <w:t xml:space="preserve">In support of the development of a Roadmap for the management of south Pacific albacore tuna, SC14 reviewed potential elements of the harvest strategy for this species, primarily reference points, the estimation method, and harvest control rules </w:t>
      </w:r>
      <w:r w:rsidRPr="009117AA">
        <w:rPr>
          <w:rFonts w:eastAsiaTheme="minorEastAsia"/>
          <w:bCs/>
          <w:sz w:val="22"/>
          <w:szCs w:val="22"/>
          <w:lang w:val="en-NZ" w:eastAsia="ko-KR"/>
        </w:rPr>
        <w:t>(</w:t>
      </w:r>
      <w:r w:rsidRPr="009117AA">
        <w:rPr>
          <w:rFonts w:eastAsiaTheme="minorEastAsia"/>
          <w:bCs/>
          <w:sz w:val="22"/>
          <w:szCs w:val="22"/>
          <w:lang w:eastAsia="ko-KR"/>
        </w:rPr>
        <w:t xml:space="preserve">SC14-MI-WP-02). SC14 endorsed an initial focus on empirical-based estimation methods, using CPUE as the biomass signal, with a secondary focus on model-based approaches. It also endorsed the use of longline CPUE as the primary information source for the estimation method, noting that empirical measures such as CPUE may better align with economic objectives, and they may be easier for some stakeholders to understand. SC14 also reviewed the required criteria for selecting appropriate candidate ‘reference’ longline fleets that may provide the required CPUE series, and provided feedback to the </w:t>
      </w:r>
      <w:r w:rsidRPr="009117AA">
        <w:rPr>
          <w:rFonts w:eastAsiaTheme="minorEastAsia"/>
          <w:bCs/>
          <w:sz w:val="22"/>
          <w:szCs w:val="22"/>
          <w:lang w:val="en-AU" w:eastAsia="ko-KR"/>
        </w:rPr>
        <w:t xml:space="preserve">Scientific Services </w:t>
      </w:r>
      <w:r w:rsidRPr="009117AA">
        <w:rPr>
          <w:rFonts w:eastAsiaTheme="minorEastAsia"/>
          <w:bCs/>
          <w:sz w:val="22"/>
          <w:szCs w:val="22"/>
          <w:lang w:eastAsia="ko-KR"/>
        </w:rPr>
        <w:t xml:space="preserve">Provider on additional issues which should be considered in progressing this work. SC14 recommends that WCPFC15 use this working paper to inform development of the Roadmap for improving south Pacific albacore management and requests guidance from WCPFC15 on 1) the south Pacific albacore fisheries to be included in the MSE (e.g. longline and troll) and 2) the potential management control method for the fisheries (e.g. through catch, fishing effort, etc.). SC14 also recommends that WCPFC15 note the need for ongoing review of monitoring strategy requirements as the harvest strategy develops, ongoing efforts to gather key economic data on the southern longline fishery, and endorse the proposed work plan for development of scientific aspects of a south Pacific albacore harvest strategy. </w:t>
      </w:r>
    </w:p>
    <w:p w14:paraId="370CD7D5" w14:textId="77777777" w:rsidR="003D217E" w:rsidRPr="009117AA" w:rsidRDefault="003D217E" w:rsidP="003D217E">
      <w:pPr>
        <w:autoSpaceDE w:val="0"/>
        <w:autoSpaceDN w:val="0"/>
        <w:adjustRightInd w:val="0"/>
        <w:snapToGrid w:val="0"/>
        <w:jc w:val="both"/>
        <w:rPr>
          <w:rFonts w:eastAsiaTheme="minorEastAsia"/>
          <w:bCs/>
          <w:sz w:val="22"/>
          <w:szCs w:val="22"/>
          <w:lang w:eastAsia="ko-KR"/>
        </w:rPr>
      </w:pPr>
    </w:p>
    <w:p w14:paraId="02C0CC37" w14:textId="77777777" w:rsidR="003D217E" w:rsidRPr="009117AA" w:rsidRDefault="003D217E" w:rsidP="00580EA4">
      <w:pPr>
        <w:pStyle w:val="SC3"/>
        <w:numPr>
          <w:ilvl w:val="2"/>
          <w:numId w:val="158"/>
        </w:numPr>
        <w:spacing w:after="0"/>
        <w:rPr>
          <w:rFonts w:eastAsiaTheme="minorEastAsia"/>
          <w:sz w:val="24"/>
          <w:szCs w:val="24"/>
        </w:rPr>
      </w:pPr>
      <w:r w:rsidRPr="009117AA">
        <w:rPr>
          <w:rFonts w:eastAsiaTheme="minorEastAsia"/>
          <w:sz w:val="24"/>
          <w:szCs w:val="24"/>
        </w:rPr>
        <w:t>Management Strategy Evaluation (MSE)</w:t>
      </w:r>
    </w:p>
    <w:p w14:paraId="3967188C" w14:textId="77777777" w:rsidR="003D217E" w:rsidRPr="004635E5" w:rsidRDefault="003D217E" w:rsidP="003D217E">
      <w:pPr>
        <w:pStyle w:val="SC3"/>
        <w:numPr>
          <w:ilvl w:val="0"/>
          <w:numId w:val="0"/>
        </w:numPr>
        <w:spacing w:after="0"/>
        <w:ind w:left="1440"/>
        <w:rPr>
          <w:rFonts w:eastAsiaTheme="minorEastAsia"/>
        </w:rPr>
      </w:pPr>
    </w:p>
    <w:p w14:paraId="4325800A"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9117AA">
        <w:rPr>
          <w:rFonts w:eastAsiaTheme="minorEastAsia"/>
          <w:bCs/>
          <w:sz w:val="22"/>
          <w:szCs w:val="22"/>
          <w:lang w:eastAsia="ko-KR"/>
        </w:rPr>
        <w:t xml:space="preserve">SC14 reviewed several papers related to ongoing work which is being undertaken by the </w:t>
      </w:r>
      <w:r w:rsidRPr="009117AA">
        <w:rPr>
          <w:rFonts w:eastAsiaTheme="minorEastAsia"/>
          <w:bCs/>
          <w:sz w:val="22"/>
          <w:szCs w:val="22"/>
          <w:lang w:val="en-AU" w:eastAsia="ko-KR"/>
        </w:rPr>
        <w:t xml:space="preserve">Scientific Services </w:t>
      </w:r>
      <w:r w:rsidRPr="009117AA">
        <w:rPr>
          <w:rFonts w:eastAsiaTheme="minorEastAsia"/>
          <w:bCs/>
          <w:sz w:val="22"/>
          <w:szCs w:val="22"/>
          <w:lang w:eastAsia="ko-KR"/>
        </w:rPr>
        <w:t>Provider as specified in the Harvest Strategy Work Plan as updated by WCPFC14 (</w:t>
      </w:r>
      <w:r w:rsidRPr="009117AA">
        <w:rPr>
          <w:rFonts w:eastAsiaTheme="minorEastAsia"/>
          <w:bCs/>
          <w:sz w:val="22"/>
          <w:szCs w:val="22"/>
          <w:lang w:val="en-NZ" w:eastAsia="ko-KR"/>
        </w:rPr>
        <w:t>Attachment L in the WCPFC14 Summary Report)</w:t>
      </w:r>
      <w:r w:rsidRPr="009117AA">
        <w:rPr>
          <w:rFonts w:eastAsiaTheme="minorEastAsia"/>
          <w:bCs/>
          <w:sz w:val="22"/>
          <w:szCs w:val="22"/>
          <w:lang w:eastAsia="ko-KR"/>
        </w:rPr>
        <w:t xml:space="preserve">. It noted that the MSE evaluation framework is constructed from two main components, an operating model (OM) and a management procedure (MP). </w:t>
      </w:r>
    </w:p>
    <w:p w14:paraId="10ADCD90" w14:textId="77777777" w:rsidR="003D217E" w:rsidRPr="009117AA" w:rsidRDefault="003D217E" w:rsidP="003D217E">
      <w:pPr>
        <w:autoSpaceDE w:val="0"/>
        <w:autoSpaceDN w:val="0"/>
        <w:adjustRightInd w:val="0"/>
        <w:snapToGrid w:val="0"/>
        <w:jc w:val="both"/>
        <w:rPr>
          <w:rFonts w:eastAsiaTheme="minorEastAsia"/>
          <w:bCs/>
          <w:sz w:val="22"/>
          <w:szCs w:val="22"/>
          <w:lang w:eastAsia="ko-KR"/>
        </w:rPr>
      </w:pPr>
    </w:p>
    <w:p w14:paraId="76B3BD30"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9117AA">
        <w:rPr>
          <w:rFonts w:eastAsiaTheme="minorEastAsia"/>
          <w:bCs/>
          <w:sz w:val="22"/>
          <w:szCs w:val="22"/>
          <w:lang w:eastAsia="ko-KR"/>
        </w:rPr>
        <w:t xml:space="preserve">First, SC14 reviewed information on the process of developing and parameterising an OM for the dynamics of the skipjack stock in the WCPO and the fishing fleets that exploit them (SC14-MI-WP-03). In particular, it reviewed and provided feedback on the sources of uncertainty (such as implementation error) that should be included to ensure that the OM covers all important sources of uncertainty, against which the performance of a MP should be evaluated. Several CCMs also expressed a view that the OMs being developed should allow the impacts on other species to be considered. SC14 noted that in the past the </w:t>
      </w:r>
      <w:r w:rsidRPr="009117AA">
        <w:rPr>
          <w:rFonts w:eastAsiaTheme="minorEastAsia" w:hint="eastAsia"/>
          <w:bCs/>
          <w:sz w:val="22"/>
          <w:szCs w:val="22"/>
          <w:lang w:eastAsia="ko-KR"/>
        </w:rPr>
        <w:t>Scientific</w:t>
      </w:r>
      <w:r w:rsidRPr="009117AA">
        <w:rPr>
          <w:rFonts w:eastAsiaTheme="minorEastAsia"/>
          <w:bCs/>
          <w:sz w:val="22"/>
          <w:szCs w:val="22"/>
          <w:lang w:eastAsia="ko-KR"/>
        </w:rPr>
        <w:t xml:space="preserve"> Service</w:t>
      </w:r>
      <w:r w:rsidRPr="009117AA">
        <w:rPr>
          <w:rFonts w:eastAsiaTheme="minorEastAsia" w:hint="eastAsia"/>
          <w:bCs/>
          <w:sz w:val="22"/>
          <w:szCs w:val="22"/>
          <w:lang w:eastAsia="ko-KR"/>
        </w:rPr>
        <w:t>s</w:t>
      </w:r>
      <w:r w:rsidRPr="009117AA">
        <w:rPr>
          <w:rFonts w:eastAsiaTheme="minorEastAsia"/>
          <w:bCs/>
          <w:sz w:val="22"/>
          <w:szCs w:val="22"/>
          <w:lang w:eastAsia="ko-KR"/>
        </w:rPr>
        <w:t xml:space="preserve"> Provider have used some models to look at the impacts of CMMs on more than one species and such an approach, effectively running species-specific but similarly structured OMs in parallel, may be applicable in this case as part of future developments. SC14 also noted that the selection and refinement of OMs and other components of the MSE process will involve an extended iterative and consultative process and requested that the Scientific Services Provider incorporate the specific feedback of CCMs into future iterations. </w:t>
      </w:r>
    </w:p>
    <w:p w14:paraId="686DDD43" w14:textId="77777777" w:rsidR="003D217E" w:rsidRPr="009117AA" w:rsidRDefault="003D217E" w:rsidP="003D217E">
      <w:pPr>
        <w:autoSpaceDE w:val="0"/>
        <w:autoSpaceDN w:val="0"/>
        <w:adjustRightInd w:val="0"/>
        <w:snapToGrid w:val="0"/>
        <w:jc w:val="both"/>
        <w:rPr>
          <w:rFonts w:eastAsiaTheme="minorEastAsia"/>
          <w:bCs/>
          <w:sz w:val="22"/>
          <w:szCs w:val="22"/>
          <w:lang w:eastAsia="ko-KR"/>
        </w:rPr>
      </w:pPr>
    </w:p>
    <w:p w14:paraId="59CE32DF"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9117AA">
        <w:rPr>
          <w:rFonts w:eastAsiaTheme="minorEastAsia"/>
          <w:bCs/>
          <w:sz w:val="22"/>
          <w:szCs w:val="22"/>
          <w:lang w:eastAsia="ko-KR"/>
        </w:rPr>
        <w:t>Second, SC14 reviewed information and provided clarification and feedback on the development and use of a range of performance indicators for evaluating the relative performance of a set of demonstration management procedures (SC14-MI-WP-04), in particular the list of 11 indicators identified for inclusion for the Tropical Purse Seine Fisheries from Attachment M</w:t>
      </w:r>
      <w:r w:rsidRPr="009117AA">
        <w:rPr>
          <w:rFonts w:eastAsiaTheme="minorEastAsia" w:hint="eastAsia"/>
          <w:bCs/>
          <w:sz w:val="22"/>
          <w:szCs w:val="22"/>
          <w:lang w:eastAsia="ko-KR"/>
        </w:rPr>
        <w:t xml:space="preserve"> in</w:t>
      </w:r>
      <w:r w:rsidRPr="009117AA">
        <w:rPr>
          <w:rFonts w:eastAsiaTheme="minorEastAsia"/>
          <w:bCs/>
          <w:sz w:val="22"/>
          <w:szCs w:val="22"/>
          <w:lang w:eastAsia="ko-KR"/>
        </w:rPr>
        <w:t xml:space="preserve"> WCPFC</w:t>
      </w:r>
      <w:r w:rsidRPr="009117AA">
        <w:rPr>
          <w:rFonts w:eastAsiaTheme="minorEastAsia" w:hint="eastAsia"/>
          <w:bCs/>
          <w:sz w:val="22"/>
          <w:szCs w:val="22"/>
          <w:lang w:eastAsia="ko-KR"/>
        </w:rPr>
        <w:t>13 Summary Report</w:t>
      </w:r>
      <w:r w:rsidRPr="009117AA">
        <w:rPr>
          <w:rFonts w:eastAsiaTheme="minorEastAsia"/>
          <w:bCs/>
          <w:sz w:val="22"/>
          <w:szCs w:val="22"/>
          <w:lang w:eastAsia="ko-KR"/>
        </w:rPr>
        <w:t>. Methods for comparing and synthesizing the relative performance of management procedures using the performance indicators (PI) were also reviewed. SC14 noted that several performance indicators that cannot be quantified in the OM can be moved to the monitoring strategy, though it expressed support for the retention of performance indicator PI-5 (to maximize SIDS revenue from resource rents) and recommended that further work be undertaken to identify options to better evaluate this objective. For PI-10 (avoid adverse impacts on small scale fisheries) several CCMs advocated that the estimation of MSY for the tropical tunas can be used as a proxy to assess downstream effects from the purse seine fishery and recommended that further work be undertaken. Some CCMs also supported the retention of PI-11 because of the multi-species nature of this fishery. SC14 also noted that the use of a smaller number of performance indicators will aid in comparing the relative performance of candidate management procedures. SC14 also agreed that, i) the distribution of the indicator values, not just a measure of the central tendency, should be considered, ii) that the time periods over which the indicators are calculated should be based on an appropriate number of management cycles, based on the life history of the stock, and iii) that the further development of potential indicators and how they are presented is an ongoing process and will benefit from the engagement with other stakeholder groups.</w:t>
      </w:r>
    </w:p>
    <w:p w14:paraId="5682858E" w14:textId="77777777" w:rsidR="003D217E" w:rsidRPr="009117AA" w:rsidRDefault="003D217E" w:rsidP="003D217E">
      <w:pPr>
        <w:autoSpaceDE w:val="0"/>
        <w:autoSpaceDN w:val="0"/>
        <w:adjustRightInd w:val="0"/>
        <w:snapToGrid w:val="0"/>
        <w:jc w:val="both"/>
        <w:rPr>
          <w:rFonts w:eastAsiaTheme="minorEastAsia"/>
          <w:bCs/>
          <w:sz w:val="22"/>
          <w:szCs w:val="22"/>
          <w:lang w:eastAsia="ko-KR"/>
        </w:rPr>
      </w:pPr>
    </w:p>
    <w:p w14:paraId="684A6BAE"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9117AA">
        <w:rPr>
          <w:rFonts w:eastAsiaTheme="minorEastAsia"/>
          <w:bCs/>
          <w:sz w:val="22"/>
          <w:szCs w:val="22"/>
          <w:lang w:eastAsia="ko-KR"/>
        </w:rPr>
        <w:t>Third, SC14 reviewed information on the key decisions that i) regional fishery managers and stakeholders, and ii) scientists (through the Scientific Committee) will need to consider under the work plan for adoption of harvest strategies for tuna stocks and fisheries in the WCPO (SC14-MI-WP-05). In noting the useful summary provided by this paper of the roles that each group plays in moving the harvest strategy workplan forward, SC14 also noted that discussion and negotiations would be required on a number of issues and that certain issues would need to be undertaken by both managers and scientists together.</w:t>
      </w:r>
    </w:p>
    <w:p w14:paraId="0A11DCEA" w14:textId="77777777" w:rsidR="003D217E" w:rsidRPr="009117AA" w:rsidRDefault="003D217E" w:rsidP="003D217E">
      <w:pPr>
        <w:autoSpaceDE w:val="0"/>
        <w:autoSpaceDN w:val="0"/>
        <w:adjustRightInd w:val="0"/>
        <w:snapToGrid w:val="0"/>
        <w:jc w:val="both"/>
        <w:rPr>
          <w:rFonts w:eastAsiaTheme="minorEastAsia"/>
          <w:bCs/>
          <w:sz w:val="22"/>
          <w:szCs w:val="22"/>
          <w:lang w:eastAsia="ko-KR"/>
        </w:rPr>
      </w:pPr>
    </w:p>
    <w:p w14:paraId="6A54A34B"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9117AA">
        <w:rPr>
          <w:rFonts w:eastAsiaTheme="minorEastAsia"/>
          <w:bCs/>
          <w:sz w:val="22"/>
          <w:szCs w:val="22"/>
          <w:lang w:eastAsia="ko-KR"/>
        </w:rPr>
        <w:t xml:space="preserve">SC14 requested that revised versions of the above working papers be forwarded to WCPFC15 taking into account the suggestions to clarify, revise and update as appropriate, aspects of these papers. SC14 recommends that WCPFC15 note the progress on the development of the MSE being undertaken under the Harvest Strategy Work Plan and provide the necessary elements being requested from the Commission to further progress this work against the scheduled time-lines noted in this work-plan. </w:t>
      </w:r>
    </w:p>
    <w:p w14:paraId="4C096D7B" w14:textId="77777777" w:rsidR="003D217E" w:rsidRPr="004635E5" w:rsidRDefault="003D217E" w:rsidP="003D217E">
      <w:pPr>
        <w:autoSpaceDE w:val="0"/>
        <w:autoSpaceDN w:val="0"/>
        <w:adjustRightInd w:val="0"/>
        <w:snapToGrid w:val="0"/>
        <w:jc w:val="both"/>
        <w:rPr>
          <w:rFonts w:eastAsiaTheme="minorEastAsia"/>
          <w:b/>
          <w:sz w:val="22"/>
          <w:szCs w:val="22"/>
          <w:lang w:eastAsia="ko-KR"/>
        </w:rPr>
      </w:pPr>
    </w:p>
    <w:p w14:paraId="20B9DD7B" w14:textId="77777777" w:rsidR="003D217E" w:rsidRPr="009117AA" w:rsidRDefault="003D217E" w:rsidP="00580EA4">
      <w:pPr>
        <w:pStyle w:val="SC3"/>
        <w:numPr>
          <w:ilvl w:val="2"/>
          <w:numId w:val="158"/>
        </w:numPr>
        <w:spacing w:after="0"/>
        <w:rPr>
          <w:rFonts w:eastAsiaTheme="minorEastAsia"/>
          <w:sz w:val="24"/>
          <w:szCs w:val="24"/>
          <w:lang w:eastAsia="ko-KR"/>
        </w:rPr>
      </w:pPr>
      <w:r w:rsidRPr="009117AA">
        <w:rPr>
          <w:rFonts w:eastAsiaTheme="minorEastAsia"/>
          <w:sz w:val="24"/>
          <w:szCs w:val="24"/>
          <w:lang w:eastAsia="ko-KR"/>
        </w:rPr>
        <w:t>Other matters</w:t>
      </w:r>
      <w:r>
        <w:rPr>
          <w:rFonts w:eastAsiaTheme="minorEastAsia" w:hint="eastAsia"/>
          <w:sz w:val="24"/>
          <w:szCs w:val="24"/>
          <w:lang w:eastAsia="ko-KR"/>
        </w:rPr>
        <w:t xml:space="preserve"> </w:t>
      </w:r>
      <w:r>
        <w:rPr>
          <w:rFonts w:eastAsiaTheme="minorEastAsia"/>
          <w:sz w:val="24"/>
          <w:szCs w:val="24"/>
          <w:lang w:eastAsia="ko-KR"/>
        </w:rPr>
        <w:t>–</w:t>
      </w:r>
      <w:r>
        <w:rPr>
          <w:rFonts w:eastAsiaTheme="minorEastAsia" w:hint="eastAsia"/>
          <w:sz w:val="24"/>
          <w:szCs w:val="24"/>
          <w:lang w:eastAsia="ko-KR"/>
        </w:rPr>
        <w:t xml:space="preserve"> Science and Management Dialogue</w:t>
      </w:r>
    </w:p>
    <w:p w14:paraId="15726A57" w14:textId="77777777" w:rsidR="003D217E" w:rsidRPr="004635E5" w:rsidRDefault="003D217E" w:rsidP="003D217E">
      <w:pPr>
        <w:pStyle w:val="SC3"/>
        <w:numPr>
          <w:ilvl w:val="0"/>
          <w:numId w:val="0"/>
        </w:numPr>
        <w:spacing w:after="0"/>
        <w:ind w:left="1440"/>
        <w:rPr>
          <w:rFonts w:eastAsiaTheme="minorEastAsia"/>
          <w:lang w:eastAsia="ko-KR"/>
        </w:rPr>
      </w:pPr>
    </w:p>
    <w:p w14:paraId="616636FD"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9117AA">
        <w:rPr>
          <w:rFonts w:eastAsiaTheme="minorEastAsia"/>
          <w:bCs/>
          <w:sz w:val="22"/>
          <w:szCs w:val="22"/>
          <w:lang w:eastAsia="ko-KR"/>
        </w:rPr>
        <w:t>Noting Paragraph 215 of the WCPFC14 Summary Report on the need for a Science-Management Dialogue</w:t>
      </w:r>
      <w:r w:rsidRPr="009117AA">
        <w:rPr>
          <w:rFonts w:eastAsiaTheme="minorEastAsia"/>
          <w:bCs/>
          <w:sz w:val="22"/>
          <w:szCs w:val="22"/>
          <w:lang w:val="en-AU" w:eastAsia="ko-KR"/>
        </w:rPr>
        <w:t xml:space="preserve">, </w:t>
      </w:r>
      <w:r w:rsidRPr="009117AA">
        <w:rPr>
          <w:rFonts w:eastAsiaTheme="minorEastAsia"/>
          <w:bCs/>
          <w:sz w:val="22"/>
          <w:szCs w:val="22"/>
          <w:lang w:eastAsia="ko-KR"/>
        </w:rPr>
        <w:t xml:space="preserve">SC14 discussed the elements to consider when formulating such a dialogue and the consultative draft </w:t>
      </w:r>
      <w:r w:rsidRPr="009117AA">
        <w:rPr>
          <w:rFonts w:eastAsiaTheme="minorEastAsia"/>
          <w:bCs/>
          <w:sz w:val="22"/>
          <w:szCs w:val="22"/>
          <w:lang w:val="en-AU" w:eastAsia="ko-KR"/>
        </w:rPr>
        <w:t xml:space="preserve">terms of reference </w:t>
      </w:r>
      <w:r w:rsidRPr="009117AA">
        <w:rPr>
          <w:rFonts w:eastAsiaTheme="minorEastAsia"/>
          <w:bCs/>
          <w:sz w:val="22"/>
          <w:szCs w:val="22"/>
          <w:lang w:val="en-NZ" w:eastAsia="ko-KR"/>
        </w:rPr>
        <w:t>(</w:t>
      </w:r>
      <w:r w:rsidRPr="009117AA">
        <w:rPr>
          <w:rFonts w:eastAsiaTheme="minorEastAsia"/>
          <w:bCs/>
          <w:sz w:val="22"/>
          <w:szCs w:val="22"/>
          <w:lang w:eastAsia="ko-KR"/>
        </w:rPr>
        <w:t xml:space="preserve">SC14-MI-WP-06). </w:t>
      </w:r>
      <w:r w:rsidRPr="009117AA">
        <w:rPr>
          <w:rFonts w:eastAsiaTheme="minorEastAsia"/>
          <w:bCs/>
          <w:sz w:val="22"/>
          <w:szCs w:val="22"/>
          <w:lang w:val="en-NZ" w:eastAsia="ko-KR"/>
        </w:rPr>
        <w:t xml:space="preserve">SC14 expressed strong support for such </w:t>
      </w:r>
      <w:r w:rsidRPr="009117AA">
        <w:rPr>
          <w:rFonts w:eastAsiaTheme="minorEastAsia"/>
          <w:bCs/>
          <w:sz w:val="22"/>
          <w:szCs w:val="22"/>
          <w:lang w:eastAsia="ko-KR"/>
        </w:rPr>
        <w:t xml:space="preserve">a Science-Management </w:t>
      </w:r>
      <w:r w:rsidRPr="009117AA">
        <w:rPr>
          <w:rFonts w:eastAsiaTheme="minorEastAsia"/>
          <w:bCs/>
          <w:sz w:val="22"/>
          <w:szCs w:val="22"/>
          <w:lang w:val="en-NZ" w:eastAsia="ko-KR"/>
        </w:rPr>
        <w:t xml:space="preserve">Dialogue to begin in 2019 in order to make expedited progress consistent with the agreed </w:t>
      </w:r>
      <w:r w:rsidRPr="009117AA">
        <w:rPr>
          <w:rFonts w:eastAsiaTheme="minorEastAsia"/>
          <w:bCs/>
          <w:sz w:val="22"/>
          <w:szCs w:val="22"/>
          <w:lang w:eastAsia="ko-KR"/>
        </w:rPr>
        <w:t xml:space="preserve">Harvest Strategy Work Plan and taking full advantage of the WCPFC14 recommendation to give sufficient time during SC to the work on harvest strategies. </w:t>
      </w:r>
    </w:p>
    <w:p w14:paraId="29586845" w14:textId="77777777" w:rsidR="003D217E" w:rsidRPr="009117AA" w:rsidRDefault="003D217E" w:rsidP="003D217E">
      <w:pPr>
        <w:autoSpaceDE w:val="0"/>
        <w:autoSpaceDN w:val="0"/>
        <w:adjustRightInd w:val="0"/>
        <w:snapToGrid w:val="0"/>
        <w:jc w:val="both"/>
        <w:rPr>
          <w:rFonts w:eastAsiaTheme="minorEastAsia"/>
          <w:bCs/>
          <w:sz w:val="22"/>
          <w:szCs w:val="22"/>
          <w:lang w:eastAsia="ko-KR"/>
        </w:rPr>
      </w:pPr>
    </w:p>
    <w:p w14:paraId="3FA4E92C"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9117AA">
        <w:rPr>
          <w:rFonts w:eastAsiaTheme="minorEastAsia"/>
          <w:bCs/>
          <w:sz w:val="22"/>
          <w:szCs w:val="22"/>
          <w:lang w:val="en-NZ" w:eastAsia="ko-KR"/>
        </w:rPr>
        <w:t xml:space="preserve">SC14 therefore recommends that WCPFC15 take the necessary steps to establish such a Dialogue in 2019 and consider the draft Terms of Reference provided in Attachment F. </w:t>
      </w:r>
    </w:p>
    <w:p w14:paraId="3492091D" w14:textId="77777777" w:rsidR="003D217E" w:rsidRPr="009117AA" w:rsidRDefault="003D217E" w:rsidP="003D217E">
      <w:pPr>
        <w:autoSpaceDE w:val="0"/>
        <w:autoSpaceDN w:val="0"/>
        <w:adjustRightInd w:val="0"/>
        <w:snapToGrid w:val="0"/>
        <w:jc w:val="both"/>
        <w:rPr>
          <w:rFonts w:eastAsiaTheme="minorEastAsia"/>
          <w:bCs/>
          <w:sz w:val="22"/>
          <w:szCs w:val="22"/>
          <w:lang w:eastAsia="ko-KR"/>
        </w:rPr>
      </w:pPr>
    </w:p>
    <w:p w14:paraId="617465FD"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9117AA">
        <w:rPr>
          <w:rFonts w:eastAsiaTheme="minorEastAsia"/>
          <w:bCs/>
          <w:sz w:val="22"/>
          <w:szCs w:val="22"/>
          <w:lang w:val="en-NZ" w:eastAsia="ko-KR"/>
        </w:rPr>
        <w:t xml:space="preserve">SC14 noted that it is important for this group to possess authority to enable them to make the appropriate recommendations to the Commission. SC14 therefore recommends the Commission define the appropriate format for this group. </w:t>
      </w:r>
    </w:p>
    <w:p w14:paraId="49798D8D" w14:textId="77777777" w:rsidR="003D217E" w:rsidRPr="009117AA" w:rsidRDefault="003D217E" w:rsidP="003D217E">
      <w:pPr>
        <w:pStyle w:val="ListParagraph"/>
        <w:adjustRightInd w:val="0"/>
        <w:snapToGrid w:val="0"/>
        <w:rPr>
          <w:rFonts w:eastAsiaTheme="minorEastAsia"/>
          <w:bCs/>
          <w:sz w:val="22"/>
          <w:szCs w:val="22"/>
          <w:lang w:eastAsia="ko-KR"/>
        </w:rPr>
      </w:pPr>
    </w:p>
    <w:p w14:paraId="5738309D"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9117AA">
        <w:rPr>
          <w:rFonts w:eastAsiaTheme="minorEastAsia"/>
          <w:bCs/>
          <w:sz w:val="22"/>
          <w:szCs w:val="22"/>
          <w:lang w:val="en-NZ" w:eastAsia="ko-KR"/>
        </w:rPr>
        <w:t xml:space="preserve">SC14 also discussed the timing of the meeting and various options were expressed. SC14 recognised that this is a decision for WCPFC15. </w:t>
      </w:r>
    </w:p>
    <w:p w14:paraId="21ADE16F" w14:textId="77777777" w:rsidR="003D217E" w:rsidRPr="009117AA" w:rsidRDefault="003D217E" w:rsidP="003D217E">
      <w:pPr>
        <w:autoSpaceDE w:val="0"/>
        <w:autoSpaceDN w:val="0"/>
        <w:adjustRightInd w:val="0"/>
        <w:snapToGrid w:val="0"/>
        <w:jc w:val="both"/>
        <w:rPr>
          <w:rFonts w:eastAsiaTheme="minorEastAsia"/>
          <w:bCs/>
          <w:sz w:val="22"/>
          <w:szCs w:val="22"/>
          <w:lang w:eastAsia="ko-KR"/>
        </w:rPr>
      </w:pPr>
    </w:p>
    <w:p w14:paraId="26AE3678"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9117AA">
        <w:rPr>
          <w:rFonts w:eastAsiaTheme="minorEastAsia"/>
          <w:bCs/>
          <w:sz w:val="22"/>
          <w:szCs w:val="22"/>
          <w:lang w:val="en-AU" w:eastAsia="ko-KR"/>
        </w:rPr>
        <w:t xml:space="preserve">SC14 </w:t>
      </w:r>
      <w:r w:rsidRPr="009117AA">
        <w:rPr>
          <w:rFonts w:eastAsiaTheme="minorEastAsia"/>
          <w:bCs/>
          <w:sz w:val="22"/>
          <w:szCs w:val="22"/>
          <w:lang w:eastAsia="ko-KR"/>
        </w:rPr>
        <w:t>recommends</w:t>
      </w:r>
      <w:r w:rsidRPr="009117AA">
        <w:rPr>
          <w:rFonts w:eastAsiaTheme="minorEastAsia"/>
          <w:bCs/>
          <w:sz w:val="22"/>
          <w:szCs w:val="22"/>
          <w:lang w:val="en-AU" w:eastAsia="ko-KR"/>
        </w:rPr>
        <w:t xml:space="preserve"> that WCPFC15 take the following elements into consideration when establishing this group:</w:t>
      </w:r>
    </w:p>
    <w:p w14:paraId="046C5697" w14:textId="77777777" w:rsidR="003D217E" w:rsidRPr="009117AA" w:rsidRDefault="003D217E" w:rsidP="00580EA4">
      <w:pPr>
        <w:numPr>
          <w:ilvl w:val="0"/>
          <w:numId w:val="147"/>
        </w:numPr>
        <w:autoSpaceDE w:val="0"/>
        <w:autoSpaceDN w:val="0"/>
        <w:adjustRightInd w:val="0"/>
        <w:snapToGrid w:val="0"/>
        <w:jc w:val="both"/>
        <w:rPr>
          <w:rFonts w:eastAsiaTheme="minorEastAsia"/>
          <w:bCs/>
          <w:sz w:val="22"/>
          <w:szCs w:val="22"/>
          <w:lang w:eastAsia="ko-KR"/>
        </w:rPr>
      </w:pPr>
      <w:r w:rsidRPr="009117AA">
        <w:rPr>
          <w:rFonts w:eastAsiaTheme="minorEastAsia"/>
          <w:bCs/>
          <w:sz w:val="22"/>
          <w:szCs w:val="22"/>
          <w:lang w:val="en-AU" w:eastAsia="ko-KR"/>
        </w:rPr>
        <w:t xml:space="preserve">While the size of the meeting should remain manageable, at least 1 senior fishery manager per CCM and 1 scientist per CCM should be encouraged to attend. Additional scientific advisors to these managers may also attend. Also, the participation of stakeholders is important and encouraged. </w:t>
      </w:r>
    </w:p>
    <w:p w14:paraId="4B428CC9" w14:textId="77777777" w:rsidR="003D217E" w:rsidRPr="009117AA" w:rsidRDefault="003D217E" w:rsidP="00580EA4">
      <w:pPr>
        <w:numPr>
          <w:ilvl w:val="0"/>
          <w:numId w:val="147"/>
        </w:numPr>
        <w:autoSpaceDE w:val="0"/>
        <w:autoSpaceDN w:val="0"/>
        <w:adjustRightInd w:val="0"/>
        <w:snapToGrid w:val="0"/>
        <w:jc w:val="both"/>
        <w:rPr>
          <w:rFonts w:eastAsiaTheme="minorEastAsia"/>
          <w:bCs/>
          <w:sz w:val="22"/>
          <w:szCs w:val="22"/>
          <w:lang w:val="en-AU" w:eastAsia="ko-KR"/>
        </w:rPr>
      </w:pPr>
      <w:r w:rsidRPr="009117AA">
        <w:rPr>
          <w:rFonts w:eastAsiaTheme="minorEastAsia"/>
          <w:bCs/>
          <w:sz w:val="22"/>
          <w:szCs w:val="22"/>
          <w:lang w:val="en-AU" w:eastAsia="ko-KR"/>
        </w:rPr>
        <w:t xml:space="preserve">Given the need to have informal (capacity building) and formal (decision-making) elements to the meeting, particularly in the initial stages, a 2 day meeting was the minimum meeting length believed appropriate. However, the duration of the meeting would need to be flexible based upon the agenda, which should be linked closely to the harvest strategy workplan. </w:t>
      </w:r>
    </w:p>
    <w:p w14:paraId="531FE21F" w14:textId="77777777" w:rsidR="003D217E" w:rsidRPr="009117AA" w:rsidRDefault="003D217E" w:rsidP="00580EA4">
      <w:pPr>
        <w:numPr>
          <w:ilvl w:val="0"/>
          <w:numId w:val="147"/>
        </w:numPr>
        <w:autoSpaceDE w:val="0"/>
        <w:autoSpaceDN w:val="0"/>
        <w:adjustRightInd w:val="0"/>
        <w:snapToGrid w:val="0"/>
        <w:jc w:val="both"/>
        <w:rPr>
          <w:rFonts w:eastAsiaTheme="minorEastAsia"/>
          <w:bCs/>
          <w:sz w:val="22"/>
          <w:szCs w:val="22"/>
          <w:lang w:val="en-AU" w:eastAsia="ko-KR"/>
        </w:rPr>
      </w:pPr>
      <w:r w:rsidRPr="009117AA">
        <w:rPr>
          <w:rFonts w:eastAsiaTheme="minorEastAsia"/>
          <w:bCs/>
          <w:sz w:val="22"/>
          <w:szCs w:val="22"/>
          <w:lang w:val="en-AU" w:eastAsia="ko-KR"/>
        </w:rPr>
        <w:t xml:space="preserve">Capacity building elements of the meeting should focus on a ‘learning by doing’ approach, whereby key tuna stock and fishery results are used within the process. </w:t>
      </w:r>
    </w:p>
    <w:p w14:paraId="093296B5" w14:textId="77777777" w:rsidR="003D217E" w:rsidRPr="009117AA" w:rsidRDefault="003D217E" w:rsidP="00580EA4">
      <w:pPr>
        <w:numPr>
          <w:ilvl w:val="0"/>
          <w:numId w:val="147"/>
        </w:numPr>
        <w:autoSpaceDE w:val="0"/>
        <w:autoSpaceDN w:val="0"/>
        <w:adjustRightInd w:val="0"/>
        <w:snapToGrid w:val="0"/>
        <w:jc w:val="both"/>
        <w:rPr>
          <w:rFonts w:eastAsiaTheme="minorEastAsia"/>
          <w:bCs/>
          <w:sz w:val="22"/>
          <w:szCs w:val="22"/>
          <w:lang w:val="en-AU" w:eastAsia="ko-KR"/>
        </w:rPr>
      </w:pPr>
      <w:r w:rsidRPr="009117AA">
        <w:rPr>
          <w:rFonts w:eastAsiaTheme="minorEastAsia"/>
          <w:bCs/>
          <w:sz w:val="22"/>
          <w:szCs w:val="22"/>
          <w:lang w:val="en-AU" w:eastAsia="ko-KR"/>
        </w:rPr>
        <w:t xml:space="preserve">The potential for input and facilitation by external experts was noted, and the cost implications of this should be considered. </w:t>
      </w:r>
    </w:p>
    <w:p w14:paraId="74CC5041" w14:textId="77777777" w:rsidR="003D217E" w:rsidRPr="009117AA" w:rsidRDefault="003D217E" w:rsidP="00580EA4">
      <w:pPr>
        <w:numPr>
          <w:ilvl w:val="0"/>
          <w:numId w:val="147"/>
        </w:numPr>
        <w:autoSpaceDE w:val="0"/>
        <w:autoSpaceDN w:val="0"/>
        <w:adjustRightInd w:val="0"/>
        <w:snapToGrid w:val="0"/>
        <w:jc w:val="both"/>
        <w:rPr>
          <w:rFonts w:eastAsiaTheme="minorEastAsia"/>
          <w:bCs/>
          <w:sz w:val="22"/>
          <w:szCs w:val="22"/>
          <w:lang w:val="en-AU" w:eastAsia="ko-KR"/>
        </w:rPr>
      </w:pPr>
      <w:r w:rsidRPr="009117AA">
        <w:rPr>
          <w:rFonts w:eastAsiaTheme="minorEastAsia"/>
          <w:bCs/>
          <w:sz w:val="22"/>
          <w:szCs w:val="22"/>
          <w:lang w:val="en-AU" w:eastAsia="ko-KR"/>
        </w:rPr>
        <w:t xml:space="preserve">This group should specifically rely on information derived from SC or through SC requests, and should not change the scientific advice but may add to it from a management perspective. </w:t>
      </w:r>
    </w:p>
    <w:p w14:paraId="5D2FB7C9" w14:textId="77777777" w:rsidR="003D217E" w:rsidRPr="009117AA" w:rsidRDefault="003D217E" w:rsidP="003D217E">
      <w:pPr>
        <w:autoSpaceDE w:val="0"/>
        <w:autoSpaceDN w:val="0"/>
        <w:adjustRightInd w:val="0"/>
        <w:snapToGrid w:val="0"/>
        <w:ind w:left="360"/>
        <w:jc w:val="both"/>
        <w:rPr>
          <w:rFonts w:eastAsiaTheme="minorEastAsia"/>
          <w:bCs/>
          <w:sz w:val="22"/>
          <w:szCs w:val="22"/>
          <w:lang w:val="en-AU" w:eastAsia="ko-KR"/>
        </w:rPr>
      </w:pPr>
    </w:p>
    <w:p w14:paraId="0AAA82B3" w14:textId="77777777" w:rsidR="003D217E" w:rsidRPr="009117AA" w:rsidRDefault="003D217E"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9117AA">
        <w:rPr>
          <w:rFonts w:eastAsiaTheme="minorEastAsia"/>
          <w:bCs/>
          <w:sz w:val="22"/>
          <w:szCs w:val="22"/>
          <w:lang w:eastAsia="ko-KR"/>
        </w:rPr>
        <w:t xml:space="preserve">SC14 also recommends that WCPFC15 adopt an appropriate name for this dialogue, such as the Harvest Strategy Development Working Group. </w:t>
      </w:r>
    </w:p>
    <w:p w14:paraId="4A64B6FD" w14:textId="77777777" w:rsidR="003D217E" w:rsidRPr="004635E5" w:rsidRDefault="003D217E" w:rsidP="003D217E">
      <w:pPr>
        <w:autoSpaceDE w:val="0"/>
        <w:autoSpaceDN w:val="0"/>
        <w:adjustRightInd w:val="0"/>
        <w:snapToGrid w:val="0"/>
        <w:jc w:val="both"/>
        <w:rPr>
          <w:rFonts w:eastAsiaTheme="minorEastAsia"/>
          <w:b/>
          <w:sz w:val="22"/>
          <w:szCs w:val="22"/>
          <w:lang w:eastAsia="ko-KR"/>
        </w:rPr>
      </w:pPr>
    </w:p>
    <w:p w14:paraId="14CCD6F6" w14:textId="77777777" w:rsidR="003D217E" w:rsidRPr="009117AA" w:rsidRDefault="003D217E" w:rsidP="00580EA4">
      <w:pPr>
        <w:pStyle w:val="SC2"/>
        <w:numPr>
          <w:ilvl w:val="1"/>
          <w:numId w:val="158"/>
        </w:numPr>
        <w:spacing w:after="0"/>
        <w:rPr>
          <w:sz w:val="24"/>
          <w:szCs w:val="24"/>
        </w:rPr>
      </w:pPr>
      <w:r w:rsidRPr="009117AA">
        <w:rPr>
          <w:sz w:val="24"/>
          <w:szCs w:val="24"/>
        </w:rPr>
        <w:t>Limit reference points for WCPFC</w:t>
      </w:r>
      <w:r w:rsidRPr="009117AA">
        <w:rPr>
          <w:rFonts w:eastAsiaTheme="minorEastAsia"/>
          <w:sz w:val="24"/>
          <w:szCs w:val="24"/>
          <w:lang w:eastAsia="ko-KR"/>
        </w:rPr>
        <w:t xml:space="preserve"> sharks </w:t>
      </w:r>
    </w:p>
    <w:p w14:paraId="115F670C" w14:textId="77777777" w:rsidR="003D217E" w:rsidRPr="004635E5" w:rsidRDefault="003D217E" w:rsidP="003D217E">
      <w:pPr>
        <w:pStyle w:val="SC2"/>
        <w:numPr>
          <w:ilvl w:val="0"/>
          <w:numId w:val="0"/>
        </w:numPr>
        <w:spacing w:after="0"/>
        <w:ind w:left="720"/>
      </w:pPr>
    </w:p>
    <w:p w14:paraId="1400FC5F" w14:textId="77777777" w:rsidR="003D217E" w:rsidRPr="009117AA" w:rsidRDefault="003D217E" w:rsidP="00580EA4">
      <w:pPr>
        <w:pStyle w:val="SC3"/>
        <w:numPr>
          <w:ilvl w:val="2"/>
          <w:numId w:val="158"/>
        </w:numPr>
        <w:spacing w:after="0"/>
        <w:rPr>
          <w:sz w:val="24"/>
          <w:szCs w:val="24"/>
        </w:rPr>
      </w:pPr>
      <w:r w:rsidRPr="009117AA">
        <w:rPr>
          <w:sz w:val="24"/>
          <w:szCs w:val="24"/>
        </w:rPr>
        <w:t>Identifying</w:t>
      </w:r>
      <w:r w:rsidRPr="009117AA">
        <w:rPr>
          <w:sz w:val="24"/>
          <w:szCs w:val="24"/>
          <w:lang w:eastAsia="ko-KR"/>
        </w:rPr>
        <w:t xml:space="preserve"> appropriate </w:t>
      </w:r>
      <w:r w:rsidRPr="009117AA">
        <w:rPr>
          <w:rFonts w:eastAsiaTheme="minorEastAsia"/>
          <w:sz w:val="24"/>
          <w:szCs w:val="24"/>
          <w:lang w:eastAsia="ko-KR"/>
        </w:rPr>
        <w:t>limit reference points</w:t>
      </w:r>
      <w:r w:rsidRPr="009117AA">
        <w:rPr>
          <w:sz w:val="24"/>
          <w:szCs w:val="24"/>
          <w:lang w:eastAsia="ko-KR"/>
        </w:rPr>
        <w:t xml:space="preserve"> for elasmobranchs </w:t>
      </w:r>
      <w:r w:rsidRPr="009117AA">
        <w:rPr>
          <w:rFonts w:eastAsiaTheme="minorEastAsia"/>
          <w:sz w:val="24"/>
          <w:szCs w:val="24"/>
          <w:lang w:eastAsia="ko-KR"/>
        </w:rPr>
        <w:t>for</w:t>
      </w:r>
      <w:r w:rsidRPr="009117AA">
        <w:rPr>
          <w:sz w:val="24"/>
          <w:szCs w:val="24"/>
          <w:lang w:eastAsia="ko-KR"/>
        </w:rPr>
        <w:t xml:space="preserve"> the WCPFC</w:t>
      </w:r>
      <w:r w:rsidRPr="009117AA">
        <w:rPr>
          <w:rFonts w:eastAsiaTheme="minorEastAsia"/>
          <w:sz w:val="24"/>
          <w:szCs w:val="24"/>
          <w:lang w:eastAsia="ko-KR"/>
        </w:rPr>
        <w:t xml:space="preserve"> </w:t>
      </w:r>
    </w:p>
    <w:p w14:paraId="04DE8728" w14:textId="77777777" w:rsidR="003D217E" w:rsidRPr="004635E5" w:rsidRDefault="003D217E" w:rsidP="003D217E">
      <w:pPr>
        <w:pStyle w:val="SC3"/>
        <w:numPr>
          <w:ilvl w:val="0"/>
          <w:numId w:val="0"/>
        </w:numPr>
        <w:spacing w:after="0"/>
        <w:ind w:left="1440"/>
      </w:pPr>
    </w:p>
    <w:p w14:paraId="67F3B74F" w14:textId="77777777" w:rsidR="003D217E" w:rsidRPr="009117AA" w:rsidRDefault="003D217E" w:rsidP="00580EA4">
      <w:pPr>
        <w:widowControl w:val="0"/>
        <w:numPr>
          <w:ilvl w:val="0"/>
          <w:numId w:val="18"/>
        </w:numPr>
        <w:autoSpaceDE w:val="0"/>
        <w:autoSpaceDN w:val="0"/>
        <w:adjustRightInd w:val="0"/>
        <w:snapToGrid w:val="0"/>
        <w:ind w:left="0" w:firstLine="0"/>
        <w:jc w:val="both"/>
        <w:rPr>
          <w:rFonts w:eastAsia="Malgun Gothic"/>
          <w:sz w:val="22"/>
          <w:szCs w:val="22"/>
        </w:rPr>
      </w:pPr>
      <w:r w:rsidRPr="009117AA">
        <w:rPr>
          <w:rFonts w:eastAsia="Malgun Gothic"/>
          <w:sz w:val="22"/>
          <w:szCs w:val="22"/>
        </w:rPr>
        <w:t>SC14 reviewed the progress report of the project “</w:t>
      </w:r>
      <w:r w:rsidRPr="009117AA">
        <w:rPr>
          <w:rFonts w:eastAsia="Malgun Gothic"/>
          <w:sz w:val="22"/>
          <w:szCs w:val="22"/>
          <w:lang w:val="en-NZ"/>
        </w:rPr>
        <w:t xml:space="preserve">Identifying appropriate reference points for elasmobranchs within the WCPFC” </w:t>
      </w:r>
      <w:r w:rsidRPr="009117AA">
        <w:rPr>
          <w:rFonts w:eastAsia="Malgun Gothic"/>
          <w:color w:val="000000"/>
          <w:sz w:val="22"/>
          <w:szCs w:val="22"/>
          <w:lang w:val="en-NZ"/>
        </w:rPr>
        <w:t>(</w:t>
      </w:r>
      <w:r w:rsidRPr="009117AA">
        <w:rPr>
          <w:rFonts w:eastAsia="Malgun Gothic"/>
          <w:color w:val="000000"/>
          <w:sz w:val="22"/>
          <w:szCs w:val="22"/>
          <w:lang w:eastAsia="ko-KR"/>
        </w:rPr>
        <w:t>SC14-</w:t>
      </w:r>
      <w:r w:rsidRPr="009117AA">
        <w:rPr>
          <w:color w:val="000000"/>
          <w:sz w:val="22"/>
          <w:szCs w:val="22"/>
        </w:rPr>
        <w:t>MI-WP-07) noting that this project had only recently commenced and that further work will be undertaken before the project is completed later this year</w:t>
      </w:r>
      <w:r w:rsidRPr="009117AA">
        <w:rPr>
          <w:rFonts w:eastAsia="Calibri"/>
          <w:sz w:val="22"/>
          <w:szCs w:val="22"/>
        </w:rPr>
        <w:t xml:space="preserve">. SC14 </w:t>
      </w:r>
      <w:r w:rsidRPr="009117AA">
        <w:rPr>
          <w:rFonts w:eastAsia="Malgun Gothic"/>
          <w:sz w:val="22"/>
          <w:szCs w:val="22"/>
          <w:lang w:val="en-NZ"/>
        </w:rPr>
        <w:t xml:space="preserve">provided comments and feedback as requested on the initial work completed and the future work program. SC14 supported the general approaches being developed as a way of avoiding the weaknesses of conventional stock assessment on data poor species and the general hierarchical approach to LRP setting, also noting that the risk-based approach which is different from traditional stock assessment approach may take time to be understood. However, several CCMs expressed some concern that some of the suggested LRPs may be too conservative, noting that the </w:t>
      </w:r>
      <w:r w:rsidRPr="009117AA">
        <w:rPr>
          <w:rFonts w:eastAsia="Malgun Gothic"/>
          <w:sz w:val="22"/>
          <w:szCs w:val="22"/>
        </w:rPr>
        <w:t xml:space="preserve">WCPFC convention prescribes </w:t>
      </w:r>
      <w:r w:rsidRPr="009117AA">
        <w:rPr>
          <w:rFonts w:eastAsia="Malgun Gothic"/>
          <w:sz w:val="22"/>
          <w:szCs w:val="22"/>
          <w:lang w:val="en-NZ"/>
        </w:rPr>
        <w:t xml:space="preserve">different level of treatment for target stocks and non-target species with respect to the setting of reference points. SC14 therefore </w:t>
      </w:r>
      <w:r w:rsidRPr="009117AA">
        <w:rPr>
          <w:rFonts w:eastAsia="Malgun Gothic"/>
          <w:sz w:val="22"/>
          <w:szCs w:val="22"/>
        </w:rPr>
        <w:t xml:space="preserve">recommends that WCPFC note that the objective of the WCPFC convention for the management of non-target species is to maintain or restore populations of such species above levels at which their reproduction may become seriously threatened, and recommends that this be explicitly considered in the ongoing work. </w:t>
      </w:r>
    </w:p>
    <w:p w14:paraId="0BCC513B" w14:textId="77777777" w:rsidR="003D217E" w:rsidRPr="004635E5" w:rsidRDefault="003D217E" w:rsidP="003D217E">
      <w:pPr>
        <w:widowControl w:val="0"/>
        <w:autoSpaceDE w:val="0"/>
        <w:autoSpaceDN w:val="0"/>
        <w:adjustRightInd w:val="0"/>
        <w:snapToGrid w:val="0"/>
        <w:jc w:val="both"/>
        <w:rPr>
          <w:rFonts w:eastAsia="Malgun Gothic"/>
          <w:b/>
          <w:sz w:val="22"/>
          <w:szCs w:val="22"/>
        </w:rPr>
      </w:pPr>
    </w:p>
    <w:p w14:paraId="3854FDC1" w14:textId="77777777" w:rsidR="003D217E" w:rsidRPr="009117AA" w:rsidRDefault="003D217E" w:rsidP="00580EA4">
      <w:pPr>
        <w:pStyle w:val="SC2"/>
        <w:keepNext w:val="0"/>
        <w:widowControl w:val="0"/>
        <w:numPr>
          <w:ilvl w:val="1"/>
          <w:numId w:val="158"/>
        </w:numPr>
        <w:suppressLineNumbers w:val="0"/>
        <w:spacing w:after="0"/>
        <w:rPr>
          <w:sz w:val="24"/>
          <w:szCs w:val="24"/>
        </w:rPr>
      </w:pPr>
      <w:r w:rsidRPr="009117AA">
        <w:rPr>
          <w:sz w:val="24"/>
          <w:szCs w:val="24"/>
        </w:rPr>
        <w:t>Implementation of CMM 201</w:t>
      </w:r>
      <w:r w:rsidRPr="009117AA">
        <w:rPr>
          <w:rFonts w:eastAsiaTheme="minorEastAsia"/>
          <w:sz w:val="24"/>
          <w:szCs w:val="24"/>
          <w:lang w:eastAsia="ko-KR"/>
        </w:rPr>
        <w:t>7</w:t>
      </w:r>
      <w:r w:rsidRPr="009117AA">
        <w:rPr>
          <w:sz w:val="24"/>
          <w:szCs w:val="24"/>
        </w:rPr>
        <w:t>-01</w:t>
      </w:r>
    </w:p>
    <w:p w14:paraId="2F97AD3B" w14:textId="77777777" w:rsidR="003D217E" w:rsidRPr="004635E5" w:rsidRDefault="003D217E" w:rsidP="003D217E">
      <w:pPr>
        <w:pStyle w:val="SC2"/>
        <w:keepNext w:val="0"/>
        <w:widowControl w:val="0"/>
        <w:numPr>
          <w:ilvl w:val="0"/>
          <w:numId w:val="0"/>
        </w:numPr>
        <w:suppressLineNumbers w:val="0"/>
        <w:spacing w:after="0"/>
        <w:ind w:left="720"/>
      </w:pPr>
    </w:p>
    <w:p w14:paraId="68DD7B49" w14:textId="77777777" w:rsidR="003D217E" w:rsidRPr="009117AA" w:rsidRDefault="003D217E" w:rsidP="00580EA4">
      <w:pPr>
        <w:pStyle w:val="SC3"/>
        <w:keepNext w:val="0"/>
        <w:widowControl w:val="0"/>
        <w:numPr>
          <w:ilvl w:val="2"/>
          <w:numId w:val="158"/>
        </w:numPr>
        <w:suppressLineNumbers w:val="0"/>
        <w:spacing w:after="0"/>
        <w:rPr>
          <w:sz w:val="24"/>
          <w:szCs w:val="24"/>
        </w:rPr>
      </w:pPr>
      <w:r w:rsidRPr="009117AA">
        <w:rPr>
          <w:sz w:val="24"/>
          <w:szCs w:val="24"/>
        </w:rPr>
        <w:t>Effectiveness of CMM 2017-01</w:t>
      </w:r>
    </w:p>
    <w:p w14:paraId="13CF8AF8" w14:textId="77777777" w:rsidR="003D217E" w:rsidRPr="004635E5" w:rsidRDefault="003D217E" w:rsidP="003D217E">
      <w:pPr>
        <w:pStyle w:val="SC3"/>
        <w:keepNext w:val="0"/>
        <w:widowControl w:val="0"/>
        <w:numPr>
          <w:ilvl w:val="0"/>
          <w:numId w:val="0"/>
        </w:numPr>
        <w:suppressLineNumbers w:val="0"/>
        <w:spacing w:after="0"/>
        <w:ind w:left="1440"/>
      </w:pPr>
    </w:p>
    <w:p w14:paraId="1C1311B4" w14:textId="77777777" w:rsidR="003D217E" w:rsidRPr="009117AA" w:rsidRDefault="003D217E" w:rsidP="003D217E">
      <w:pPr>
        <w:pStyle w:val="WCPFC"/>
        <w:adjustRightInd w:val="0"/>
        <w:spacing w:after="0"/>
        <w:ind w:left="0" w:firstLine="0"/>
        <w:rPr>
          <w:rFonts w:eastAsiaTheme="minorHAnsi" w:cs="Times New Roman"/>
          <w:strike/>
        </w:rPr>
      </w:pPr>
      <w:r w:rsidRPr="009117AA">
        <w:rPr>
          <w:rFonts w:eastAsiaTheme="minorHAnsi" w:cs="Times New Roman"/>
        </w:rPr>
        <w:t xml:space="preserve">As requested in the Harvest Strategy Work Plan, as updated by WCPFC14, SC14 reviewed information on the likely outcomes of the revised tropical tuna measure (CMM 2017-01) in relation to </w:t>
      </w:r>
      <w:r w:rsidRPr="009117AA">
        <w:rPr>
          <w:rFonts w:eastAsiaTheme="minorHAnsi" w:cs="Times New Roman"/>
          <w:color w:val="auto"/>
        </w:rPr>
        <w:t xml:space="preserve">bigeye tuna </w:t>
      </w:r>
      <w:r w:rsidRPr="009117AA">
        <w:rPr>
          <w:rFonts w:cs="Times New Roman"/>
          <w:color w:val="auto"/>
        </w:rPr>
        <w:t>(</w:t>
      </w:r>
      <w:r w:rsidRPr="009117AA">
        <w:rPr>
          <w:rFonts w:cs="Times New Roman"/>
          <w:color w:val="auto"/>
          <w:lang w:eastAsia="ko-KR"/>
        </w:rPr>
        <w:t>SC14-</w:t>
      </w:r>
      <w:r w:rsidRPr="009117AA">
        <w:rPr>
          <w:rFonts w:eastAsia="Times New Roman" w:cs="Times New Roman"/>
          <w:color w:val="auto"/>
        </w:rPr>
        <w:t xml:space="preserve">MI-WP-08a; detailed analysis of the projections of BET is provided in Section </w:t>
      </w:r>
      <w:r w:rsidRPr="009117AA">
        <w:rPr>
          <w:rFonts w:cs="Times New Roman"/>
          <w:color w:val="auto"/>
          <w:lang w:eastAsia="ko-KR"/>
        </w:rPr>
        <w:t>4.1.1.2</w:t>
      </w:r>
      <w:r w:rsidRPr="009117AA">
        <w:rPr>
          <w:rFonts w:cs="Times New Roman" w:hint="eastAsia"/>
          <w:color w:val="auto"/>
          <w:lang w:eastAsia="ko-KR"/>
        </w:rPr>
        <w:t xml:space="preserve"> </w:t>
      </w:r>
      <w:r w:rsidRPr="009117AA">
        <w:rPr>
          <w:rFonts w:eastAsia="Times New Roman" w:cs="Times New Roman"/>
          <w:color w:val="auto"/>
        </w:rPr>
        <w:t>of this report)</w:t>
      </w:r>
      <w:r w:rsidRPr="009117AA">
        <w:rPr>
          <w:rFonts w:eastAsiaTheme="minorHAnsi" w:cs="Times New Roman"/>
          <w:color w:val="auto"/>
        </w:rPr>
        <w:t>. SC14 noted that outcomes are strongly influenced by the assumed future recruitment levels and the time period of the projections</w:t>
      </w:r>
      <w:r w:rsidRPr="009117AA">
        <w:rPr>
          <w:rFonts w:cs="Times New Roman" w:hint="eastAsia"/>
          <w:color w:val="auto"/>
          <w:lang w:eastAsia="ko-KR"/>
        </w:rPr>
        <w:t>.</w:t>
      </w:r>
      <w:r w:rsidRPr="009117AA">
        <w:rPr>
          <w:rFonts w:eastAsiaTheme="minorHAnsi" w:cs="Times New Roman"/>
          <w:color w:val="auto"/>
        </w:rPr>
        <w:t xml:space="preserve"> SC14 recommended that </w:t>
      </w:r>
      <w:r w:rsidRPr="009117AA">
        <w:rPr>
          <w:rFonts w:cs="Times New Roman"/>
          <w:color w:val="auto"/>
        </w:rPr>
        <w:t>the working paper be forwarded to WCPFC15</w:t>
      </w:r>
      <w:r w:rsidRPr="009117AA">
        <w:rPr>
          <w:rFonts w:eastAsiaTheme="minorHAnsi" w:cs="Times New Roman"/>
        </w:rPr>
        <w:t xml:space="preserve">. SC14 noted that projection analyses such as those detailed in the working paper should be presented in conjunction with the stock assessment results in future SC meetings. </w:t>
      </w:r>
    </w:p>
    <w:p w14:paraId="229AF66B" w14:textId="77777777" w:rsidR="003D217E" w:rsidRPr="004635E5" w:rsidRDefault="003D217E" w:rsidP="003D217E">
      <w:pPr>
        <w:pStyle w:val="WCPFC"/>
        <w:numPr>
          <w:ilvl w:val="0"/>
          <w:numId w:val="0"/>
        </w:numPr>
        <w:adjustRightInd w:val="0"/>
        <w:spacing w:after="0"/>
        <w:rPr>
          <w:rFonts w:eastAsiaTheme="minorHAnsi" w:cs="Times New Roman"/>
          <w:strike/>
        </w:rPr>
      </w:pPr>
    </w:p>
    <w:p w14:paraId="2DEC1A0C" w14:textId="77777777" w:rsidR="003D217E" w:rsidRPr="009117AA" w:rsidRDefault="003D217E" w:rsidP="00580EA4">
      <w:pPr>
        <w:pStyle w:val="SC3"/>
        <w:numPr>
          <w:ilvl w:val="2"/>
          <w:numId w:val="158"/>
        </w:numPr>
        <w:spacing w:after="0"/>
        <w:rPr>
          <w:rFonts w:eastAsiaTheme="minorEastAsia"/>
          <w:sz w:val="24"/>
          <w:szCs w:val="24"/>
          <w:lang w:eastAsia="ko-KR"/>
        </w:rPr>
      </w:pPr>
      <w:r w:rsidRPr="009117AA">
        <w:rPr>
          <w:rFonts w:eastAsiaTheme="minorEastAsia"/>
          <w:sz w:val="24"/>
          <w:szCs w:val="24"/>
          <w:lang w:eastAsia="ko-KR"/>
        </w:rPr>
        <w:t>Management issues related to FADs</w:t>
      </w:r>
    </w:p>
    <w:p w14:paraId="55B01A85" w14:textId="77777777" w:rsidR="003D217E" w:rsidRPr="004635E5" w:rsidRDefault="003D217E" w:rsidP="003D217E">
      <w:pPr>
        <w:pStyle w:val="SC3"/>
        <w:numPr>
          <w:ilvl w:val="0"/>
          <w:numId w:val="0"/>
        </w:numPr>
        <w:spacing w:after="0"/>
        <w:ind w:left="1440"/>
        <w:rPr>
          <w:rFonts w:eastAsiaTheme="minorEastAsia"/>
          <w:lang w:eastAsia="ko-KR"/>
        </w:rPr>
      </w:pPr>
    </w:p>
    <w:p w14:paraId="5FF64A30" w14:textId="77777777" w:rsidR="003D217E" w:rsidRPr="004635E5" w:rsidRDefault="003D217E" w:rsidP="002F6B26">
      <w:pPr>
        <w:pStyle w:val="SCa"/>
        <w:tabs>
          <w:tab w:val="clear" w:pos="1080"/>
        </w:tabs>
        <w:spacing w:after="0"/>
        <w:ind w:left="0"/>
      </w:pPr>
      <w:r w:rsidRPr="004635E5">
        <w:t>a.</w:t>
      </w:r>
      <w:r w:rsidRPr="004635E5">
        <w:tab/>
        <w:t>FAD tracking</w:t>
      </w:r>
    </w:p>
    <w:p w14:paraId="06890688" w14:textId="77777777" w:rsidR="003D217E" w:rsidRPr="00112951" w:rsidRDefault="003D217E" w:rsidP="003D217E">
      <w:pPr>
        <w:pStyle w:val="WCPFC"/>
        <w:numPr>
          <w:ilvl w:val="0"/>
          <w:numId w:val="0"/>
        </w:numPr>
        <w:adjustRightInd w:val="0"/>
        <w:spacing w:after="0"/>
        <w:rPr>
          <w:rFonts w:cs="Times New Roman"/>
          <w:bCs/>
          <w:lang w:eastAsia="ko-KR"/>
        </w:rPr>
      </w:pPr>
    </w:p>
    <w:p w14:paraId="51CC42E2" w14:textId="77777777" w:rsidR="003D217E" w:rsidRPr="009117AA" w:rsidRDefault="003D217E" w:rsidP="003D217E">
      <w:pPr>
        <w:pStyle w:val="WCPFC"/>
        <w:adjustRightInd w:val="0"/>
        <w:spacing w:after="0"/>
        <w:ind w:left="0" w:firstLine="0"/>
        <w:rPr>
          <w:rFonts w:eastAsiaTheme="minorHAnsi" w:cs="Times New Roman"/>
        </w:rPr>
      </w:pPr>
      <w:r w:rsidRPr="009117AA">
        <w:rPr>
          <w:rFonts w:cs="Times New Roman"/>
          <w:color w:val="000000" w:themeColor="text1"/>
        </w:rPr>
        <w:t xml:space="preserve">SC14 reviewed information on </w:t>
      </w:r>
      <w:r w:rsidRPr="009117AA">
        <w:rPr>
          <w:rFonts w:cs="Times New Roman"/>
        </w:rPr>
        <w:t xml:space="preserve">analyses of the PNA’s fish aggregating device (FAD) tracking program </w:t>
      </w:r>
      <w:r w:rsidRPr="009117AA">
        <w:rPr>
          <w:rFonts w:cs="Times New Roman"/>
          <w:color w:val="000000" w:themeColor="text1"/>
        </w:rPr>
        <w:t>(</w:t>
      </w:r>
      <w:r w:rsidRPr="009117AA">
        <w:rPr>
          <w:rFonts w:cs="Times New Roman"/>
          <w:color w:val="000000" w:themeColor="text1"/>
          <w:lang w:eastAsia="ko-KR"/>
        </w:rPr>
        <w:t>SC14-</w:t>
      </w:r>
      <w:r w:rsidRPr="009117AA">
        <w:rPr>
          <w:rFonts w:eastAsia="Times New Roman" w:cs="Times New Roman"/>
          <w:color w:val="000000" w:themeColor="text1"/>
        </w:rPr>
        <w:t>MI-WP-09)</w:t>
      </w:r>
      <w:r w:rsidRPr="009117AA">
        <w:rPr>
          <w:rFonts w:eastAsiaTheme="minorHAnsi" w:cs="Times New Roman"/>
        </w:rPr>
        <w:t xml:space="preserve">. SC14 expressed strong support for this type of research and its continuation, </w:t>
      </w:r>
      <w:r w:rsidRPr="009117AA">
        <w:rPr>
          <w:rFonts w:cs="Times New Roman"/>
        </w:rPr>
        <w:t>noting that the PNA FAD tracking program is providing information and insight that is adding substantial value to the scientific understanding of WCPO fisheries</w:t>
      </w:r>
      <w:r w:rsidRPr="009117AA">
        <w:rPr>
          <w:rFonts w:eastAsiaTheme="minorHAnsi" w:cs="Times New Roman"/>
        </w:rPr>
        <w:t xml:space="preserve">. However, SC14 noted </w:t>
      </w:r>
      <w:r w:rsidRPr="009117AA">
        <w:rPr>
          <w:rFonts w:cs="Times New Roman"/>
        </w:rPr>
        <w:t>the ongoing practice of fleets not providing full data (estimates indicate that 60–70% of buoy transmissions are not forwarded to the PNA via practices such as geo-fencing) which substantially undermines the scientific value of the information and prevents the SC from being able to provide comprehensive advice to the Commission on FAD dynamics, economics and management.</w:t>
      </w:r>
      <w:r w:rsidRPr="009117AA">
        <w:rPr>
          <w:rFonts w:eastAsiaTheme="minorHAnsi" w:cs="Times New Roman"/>
        </w:rPr>
        <w:t xml:space="preserve"> SC14 also expressed concern </w:t>
      </w:r>
      <w:r w:rsidRPr="009117AA">
        <w:rPr>
          <w:rFonts w:cs="Times New Roman"/>
        </w:rPr>
        <w:t xml:space="preserve">about the estimated high rate (5%) of beaching events in tracked FADs, with the vast majority of these being in PNA countries, together with the estimated high rate of ‘lost’ FADs (up to 27%). </w:t>
      </w:r>
    </w:p>
    <w:p w14:paraId="242EA9C7" w14:textId="77777777" w:rsidR="003D217E" w:rsidRPr="009117AA" w:rsidRDefault="003D217E" w:rsidP="003D217E">
      <w:pPr>
        <w:pStyle w:val="WCPFC"/>
        <w:numPr>
          <w:ilvl w:val="0"/>
          <w:numId w:val="0"/>
        </w:numPr>
        <w:adjustRightInd w:val="0"/>
        <w:spacing w:after="0"/>
        <w:rPr>
          <w:rFonts w:eastAsiaTheme="minorHAnsi" w:cs="Times New Roman"/>
        </w:rPr>
      </w:pPr>
    </w:p>
    <w:p w14:paraId="2D33EA52" w14:textId="77777777" w:rsidR="003D217E" w:rsidRPr="009117AA" w:rsidRDefault="003D217E" w:rsidP="003D217E">
      <w:pPr>
        <w:pStyle w:val="WCPFC"/>
        <w:adjustRightInd w:val="0"/>
        <w:spacing w:after="0"/>
        <w:ind w:left="0" w:firstLine="0"/>
        <w:rPr>
          <w:rFonts w:eastAsiaTheme="minorHAnsi" w:cs="Times New Roman"/>
        </w:rPr>
      </w:pPr>
      <w:r w:rsidRPr="009117AA">
        <w:rPr>
          <w:rFonts w:cs="Times New Roman"/>
        </w:rPr>
        <w:t>SC14 recommends that WCPFC15 note the importance of FAD marking and monitoring programs to better identify and follow individual FADs. To address the marine pollution issue, reduce the risk to coastal communities, reefs, and fish stocks SC14 recommends the use of biodegradable FADs, non-entangling, non-entrapping, and environmentally-friendly FAD designs, better measures for FAD control and retrieval, and fewer FAD deployments. SC14 also recommends that the Secretariat ensure this working paper is made available to inform the deliberations of the FAD Management IWG meeting to be held in October 2018 and that WCPFC15 take note of the concerns expressed above and support appropriate measures.</w:t>
      </w:r>
    </w:p>
    <w:p w14:paraId="3BB11A04" w14:textId="77777777" w:rsidR="003D217E" w:rsidRPr="004635E5" w:rsidRDefault="003D217E" w:rsidP="003D217E">
      <w:pPr>
        <w:pStyle w:val="WCPFC"/>
        <w:numPr>
          <w:ilvl w:val="0"/>
          <w:numId w:val="0"/>
        </w:numPr>
        <w:adjustRightInd w:val="0"/>
        <w:spacing w:after="0"/>
        <w:rPr>
          <w:rFonts w:eastAsiaTheme="minorHAnsi" w:cs="Times New Roman"/>
          <w:b/>
        </w:rPr>
      </w:pPr>
    </w:p>
    <w:p w14:paraId="143FD735" w14:textId="77777777" w:rsidR="003D217E" w:rsidRPr="004635E5" w:rsidRDefault="003D217E" w:rsidP="002F6B26">
      <w:pPr>
        <w:pStyle w:val="SCa"/>
        <w:tabs>
          <w:tab w:val="clear" w:pos="1080"/>
        </w:tabs>
        <w:spacing w:after="0"/>
        <w:ind w:left="0"/>
        <w:rPr>
          <w:lang w:val="en-NZ"/>
        </w:rPr>
      </w:pPr>
      <w:r w:rsidRPr="004635E5">
        <w:rPr>
          <w:lang w:val="en-NZ"/>
        </w:rPr>
        <w:t>b.</w:t>
      </w:r>
      <w:r w:rsidRPr="004635E5">
        <w:rPr>
          <w:lang w:val="en-NZ"/>
        </w:rPr>
        <w:tab/>
        <w:t>FAD management (FAD-limit per vessel)</w:t>
      </w:r>
    </w:p>
    <w:p w14:paraId="702FD83B" w14:textId="77777777" w:rsidR="003D217E" w:rsidRPr="004635E5" w:rsidRDefault="003D217E" w:rsidP="003D217E">
      <w:pPr>
        <w:pStyle w:val="SCa"/>
        <w:spacing w:after="0"/>
      </w:pPr>
    </w:p>
    <w:p w14:paraId="76873050" w14:textId="77777777" w:rsidR="003D217E" w:rsidRPr="009117AA" w:rsidRDefault="003D217E" w:rsidP="003D217E">
      <w:pPr>
        <w:pStyle w:val="WCPFC"/>
        <w:adjustRightInd w:val="0"/>
        <w:spacing w:after="0"/>
        <w:ind w:left="0" w:firstLine="0"/>
        <w:rPr>
          <w:rFonts w:cs="Times New Roman"/>
          <w:lang w:eastAsia="ko-KR"/>
        </w:rPr>
      </w:pPr>
      <w:r w:rsidRPr="009117AA">
        <w:rPr>
          <w:rFonts w:cs="Times New Roman"/>
          <w:lang w:eastAsia="ko-KR"/>
        </w:rPr>
        <w:t xml:space="preserve">SC14 reviewed information on the estimation of the number of drifting Fish Aggregating Device (FAD) deployments and active FADs per vessel over the period 2011-2018 (SC14-MI-WP-10), noting that purse seine fishing on drifting FADs accounts for about 40% of the purse seine tuna catch in the WCPO. SC14 noted the limitations of the different sources of data used in the analysis but expressed strong support for and the utility of this research. Preliminary estimates of FAD deployments ranged between 30,700–56,900 in 2016 and 44,700–64,900 in 2017 (using combined fishery and PNA FAD tracking data). SC14 also noted that based upon the information provided in the paper, the present per vessel limit of 350 active FADs (at any one time) in the WCPO likely does not constrain or reduce the number of FADs in the water, given that the average vessel at the moment is estimated to have around 117 FADs in the water at any time (assuming the average life of an active FAD is 6 months). However, pointing to the uncertainty of the number of FADs deployed in the WCPO, the identified deficiencies in FAD tracking data, and the differences of the number of active FADs between estimates and the actual operations, some CCMs suggested that the SC continues to provide the further analysis on active FAD number with the additional available data such as improving the FAD data fields to be reported by observers and/or vessel operators. </w:t>
      </w:r>
    </w:p>
    <w:p w14:paraId="3B556805" w14:textId="77777777" w:rsidR="003D217E" w:rsidRPr="009117AA" w:rsidRDefault="003D217E" w:rsidP="003D217E">
      <w:pPr>
        <w:pStyle w:val="WCPFC"/>
        <w:numPr>
          <w:ilvl w:val="0"/>
          <w:numId w:val="0"/>
        </w:numPr>
        <w:adjustRightInd w:val="0"/>
        <w:spacing w:after="0"/>
        <w:rPr>
          <w:rFonts w:cs="Times New Roman"/>
          <w:lang w:eastAsia="ko-KR"/>
        </w:rPr>
      </w:pPr>
    </w:p>
    <w:p w14:paraId="56846480" w14:textId="77777777" w:rsidR="003D217E" w:rsidRPr="009117AA" w:rsidRDefault="003D217E" w:rsidP="003D217E">
      <w:pPr>
        <w:pStyle w:val="WCPFC"/>
        <w:adjustRightInd w:val="0"/>
        <w:spacing w:after="0"/>
        <w:ind w:left="0" w:firstLine="0"/>
        <w:rPr>
          <w:rFonts w:cs="Times New Roman"/>
          <w:lang w:eastAsia="ko-KR"/>
        </w:rPr>
      </w:pPr>
      <w:r w:rsidRPr="009117AA">
        <w:rPr>
          <w:rFonts w:cs="Times New Roman"/>
          <w:lang w:eastAsia="ko-KR"/>
        </w:rPr>
        <w:t xml:space="preserve">SC14 recommends that the Secretariat ensure this working paper is made available to inform the deliberations of the FAD Management IWG meeting to be held in October 2018. SC14 also recommends that the FAD Management IWG and WCPFC15 take into consideration the concerns expressed above and determine a more appropriate limit that (i) helps reduce the amount of marine debris, synthetic pollution and beaching events generated by FAD deployment, and (ii) helps to avoid any economic impacts on the purse seine fishery through reduced CPUE. SC14 also recommends that additional work on these issues be supported, </w:t>
      </w:r>
      <w:r w:rsidRPr="009117AA">
        <w:rPr>
          <w:rFonts w:cs="Times New Roman"/>
          <w:lang w:val="en-GB" w:eastAsia="ko-KR"/>
        </w:rPr>
        <w:t>noting that improved data collection in both the observer and logbook records would also assist this research</w:t>
      </w:r>
      <w:r w:rsidRPr="009117AA">
        <w:rPr>
          <w:rFonts w:cs="Times New Roman"/>
          <w:lang w:eastAsia="ko-KR"/>
        </w:rPr>
        <w:t xml:space="preserve">. </w:t>
      </w:r>
    </w:p>
    <w:p w14:paraId="301076CA" w14:textId="77777777" w:rsidR="003D217E" w:rsidRPr="004635E5" w:rsidRDefault="003D217E" w:rsidP="003D217E">
      <w:pPr>
        <w:adjustRightInd w:val="0"/>
        <w:snapToGrid w:val="0"/>
        <w:rPr>
          <w:rFonts w:eastAsiaTheme="minorEastAsia"/>
          <w:bCs/>
          <w:sz w:val="22"/>
          <w:szCs w:val="22"/>
          <w:lang w:eastAsia="ko-KR"/>
        </w:rPr>
      </w:pPr>
    </w:p>
    <w:p w14:paraId="02A9F9A1" w14:textId="77777777" w:rsidR="003D217E" w:rsidRPr="004635E5" w:rsidRDefault="003D217E" w:rsidP="003D217E">
      <w:pPr>
        <w:adjustRightInd w:val="0"/>
        <w:snapToGrid w:val="0"/>
        <w:rPr>
          <w:rFonts w:eastAsiaTheme="minorEastAsia"/>
          <w:bCs/>
          <w:sz w:val="22"/>
          <w:szCs w:val="22"/>
          <w:lang w:eastAsia="ko-KR"/>
        </w:rPr>
      </w:pPr>
    </w:p>
    <w:p w14:paraId="4DDA4B96" w14:textId="77777777" w:rsidR="003D217E" w:rsidRPr="00166EEA" w:rsidRDefault="003D217E" w:rsidP="003D217E">
      <w:pPr>
        <w:pStyle w:val="Heading1"/>
        <w:numPr>
          <w:ilvl w:val="0"/>
          <w:numId w:val="0"/>
        </w:numPr>
        <w:adjustRightInd w:val="0"/>
        <w:snapToGrid w:val="0"/>
        <w:spacing w:after="0"/>
        <w:rPr>
          <w:rFonts w:eastAsiaTheme="minorEastAsia"/>
          <w:sz w:val="28"/>
          <w:szCs w:val="28"/>
          <w:lang w:eastAsia="ko-KR"/>
        </w:rPr>
      </w:pPr>
      <w:r w:rsidRPr="00166EEA">
        <w:rPr>
          <w:rFonts w:eastAsiaTheme="minorEastAsia"/>
          <w:sz w:val="28"/>
          <w:szCs w:val="28"/>
          <w:lang w:eastAsia="ko-KR"/>
        </w:rPr>
        <w:t>AGENDA ITEM 6 — ECOSYSTEM AND BYCATCH MITIGATION THEME</w:t>
      </w:r>
      <w:r w:rsidRPr="00166EEA">
        <w:rPr>
          <w:rFonts w:eastAsiaTheme="minorEastAsia"/>
          <w:sz w:val="28"/>
          <w:szCs w:val="28"/>
          <w:lang w:eastAsia="ko-KR"/>
        </w:rPr>
        <w:fldChar w:fldCharType="begin"/>
      </w:r>
      <w:r w:rsidRPr="00166EEA">
        <w:rPr>
          <w:sz w:val="28"/>
          <w:szCs w:val="28"/>
        </w:rPr>
        <w:instrText xml:space="preserve"> TC "</w:instrText>
      </w:r>
      <w:bookmarkStart w:id="28" w:name="_Toc10607007"/>
      <w:bookmarkStart w:id="29" w:name="_Toc10607268"/>
      <w:bookmarkStart w:id="30" w:name="_Toc10607357"/>
      <w:bookmarkStart w:id="31" w:name="_Toc10607542"/>
      <w:bookmarkStart w:id="32" w:name="_Toc16418005"/>
      <w:r w:rsidRPr="00166EEA">
        <w:rPr>
          <w:rFonts w:eastAsiaTheme="minorEastAsia"/>
          <w:sz w:val="28"/>
          <w:szCs w:val="28"/>
          <w:lang w:eastAsia="ko-KR"/>
        </w:rPr>
        <w:instrText>AGENDA ITEM 6 — ECOSYSTEM AND BYCATCH MITIGATION THEME</w:instrText>
      </w:r>
      <w:bookmarkEnd w:id="28"/>
      <w:bookmarkEnd w:id="29"/>
      <w:bookmarkEnd w:id="30"/>
      <w:bookmarkEnd w:id="31"/>
      <w:bookmarkEnd w:id="32"/>
      <w:r w:rsidRPr="00166EEA">
        <w:rPr>
          <w:sz w:val="28"/>
          <w:szCs w:val="28"/>
        </w:rPr>
        <w:instrText xml:space="preserve">" \f C \l "1" </w:instrText>
      </w:r>
      <w:r w:rsidRPr="00166EEA">
        <w:rPr>
          <w:rFonts w:eastAsiaTheme="minorEastAsia"/>
          <w:sz w:val="28"/>
          <w:szCs w:val="28"/>
          <w:lang w:eastAsia="ko-KR"/>
        </w:rPr>
        <w:fldChar w:fldCharType="end"/>
      </w:r>
    </w:p>
    <w:p w14:paraId="4A9298E1" w14:textId="77777777" w:rsidR="003D217E" w:rsidRPr="004635E5" w:rsidRDefault="003D217E" w:rsidP="00580EA4">
      <w:pPr>
        <w:pStyle w:val="ListParagraph"/>
        <w:numPr>
          <w:ilvl w:val="0"/>
          <w:numId w:val="56"/>
        </w:numPr>
        <w:adjustRightInd w:val="0"/>
        <w:snapToGrid w:val="0"/>
        <w:jc w:val="both"/>
        <w:rPr>
          <w:rFonts w:eastAsiaTheme="minorEastAsia"/>
          <w:b/>
          <w:vanish/>
          <w:sz w:val="22"/>
          <w:szCs w:val="22"/>
          <w:lang w:val="en-NZ" w:eastAsia="ko-KR"/>
        </w:rPr>
      </w:pPr>
    </w:p>
    <w:p w14:paraId="74FFC2FB" w14:textId="77777777" w:rsidR="003D217E" w:rsidRDefault="003D217E" w:rsidP="003D217E">
      <w:pPr>
        <w:pStyle w:val="SC2"/>
        <w:numPr>
          <w:ilvl w:val="0"/>
          <w:numId w:val="0"/>
        </w:numPr>
        <w:spacing w:after="0"/>
        <w:ind w:left="720"/>
        <w:rPr>
          <w:rFonts w:eastAsiaTheme="minorEastAsia"/>
          <w:lang w:eastAsia="ko-KR"/>
        </w:rPr>
      </w:pPr>
    </w:p>
    <w:p w14:paraId="12E80FD2" w14:textId="77777777" w:rsidR="003D217E" w:rsidRDefault="003D217E" w:rsidP="003D217E">
      <w:pPr>
        <w:pStyle w:val="SC2"/>
        <w:numPr>
          <w:ilvl w:val="0"/>
          <w:numId w:val="0"/>
        </w:numPr>
        <w:spacing w:after="0"/>
        <w:ind w:left="720"/>
        <w:rPr>
          <w:rFonts w:eastAsiaTheme="minorEastAsia"/>
          <w:lang w:eastAsia="ko-KR"/>
        </w:rPr>
      </w:pPr>
    </w:p>
    <w:p w14:paraId="6BB3AFD9" w14:textId="77777777" w:rsidR="003D217E" w:rsidRPr="009117AA" w:rsidRDefault="003D217E" w:rsidP="00580EA4">
      <w:pPr>
        <w:pStyle w:val="SC2"/>
        <w:keepNext w:val="0"/>
        <w:widowControl w:val="0"/>
        <w:numPr>
          <w:ilvl w:val="1"/>
          <w:numId w:val="160"/>
        </w:numPr>
        <w:suppressLineNumbers w:val="0"/>
        <w:kinsoku w:val="0"/>
        <w:overflowPunct w:val="0"/>
        <w:autoSpaceDE w:val="0"/>
        <w:autoSpaceDN w:val="0"/>
        <w:spacing w:after="0"/>
        <w:ind w:left="0" w:firstLine="0"/>
        <w:rPr>
          <w:rFonts w:eastAsiaTheme="minorEastAsia"/>
          <w:sz w:val="24"/>
          <w:szCs w:val="24"/>
          <w:lang w:eastAsia="ko-KR"/>
        </w:rPr>
      </w:pPr>
      <w:r w:rsidRPr="009117AA">
        <w:rPr>
          <w:rFonts w:eastAsiaTheme="minorEastAsia"/>
          <w:sz w:val="24"/>
          <w:szCs w:val="24"/>
          <w:lang w:eastAsia="ko-KR"/>
        </w:rPr>
        <w:t>Ecosystem effects of fishing</w:t>
      </w:r>
    </w:p>
    <w:p w14:paraId="676DF963" w14:textId="77777777" w:rsidR="003D217E" w:rsidRPr="004635E5" w:rsidRDefault="003D217E" w:rsidP="003D217E">
      <w:pPr>
        <w:pStyle w:val="SC2"/>
        <w:keepNext w:val="0"/>
        <w:widowControl w:val="0"/>
        <w:numPr>
          <w:ilvl w:val="0"/>
          <w:numId w:val="0"/>
        </w:numPr>
        <w:suppressLineNumbers w:val="0"/>
        <w:kinsoku w:val="0"/>
        <w:overflowPunct w:val="0"/>
        <w:autoSpaceDE w:val="0"/>
        <w:autoSpaceDN w:val="0"/>
        <w:spacing w:after="0"/>
        <w:ind w:left="720"/>
        <w:rPr>
          <w:rFonts w:eastAsiaTheme="minorEastAsia"/>
          <w:lang w:eastAsia="ko-KR"/>
        </w:rPr>
      </w:pPr>
    </w:p>
    <w:p w14:paraId="010537FD" w14:textId="77777777" w:rsidR="003D217E" w:rsidRDefault="003D217E" w:rsidP="003D217E">
      <w:pPr>
        <w:pStyle w:val="WCPFC"/>
        <w:widowControl w:val="0"/>
        <w:kinsoku w:val="0"/>
        <w:overflowPunct w:val="0"/>
        <w:autoSpaceDE w:val="0"/>
        <w:autoSpaceDN w:val="0"/>
        <w:adjustRightInd w:val="0"/>
        <w:spacing w:after="0"/>
      </w:pPr>
      <w:r>
        <w:rPr>
          <w:rFonts w:hint="eastAsia"/>
          <w:lang w:eastAsia="ko-KR"/>
        </w:rPr>
        <w:t>No recommendations were made.</w:t>
      </w:r>
    </w:p>
    <w:p w14:paraId="4041A367" w14:textId="77777777" w:rsidR="003D217E" w:rsidRDefault="003D217E" w:rsidP="003D217E">
      <w:pPr>
        <w:pStyle w:val="WCPFC"/>
        <w:widowControl w:val="0"/>
        <w:numPr>
          <w:ilvl w:val="0"/>
          <w:numId w:val="0"/>
        </w:numPr>
        <w:kinsoku w:val="0"/>
        <w:overflowPunct w:val="0"/>
        <w:autoSpaceDE w:val="0"/>
        <w:autoSpaceDN w:val="0"/>
        <w:adjustRightInd w:val="0"/>
        <w:spacing w:after="0"/>
        <w:ind w:left="360"/>
        <w:rPr>
          <w:lang w:eastAsia="ko-KR"/>
        </w:rPr>
      </w:pPr>
    </w:p>
    <w:p w14:paraId="31266CA1" w14:textId="77777777" w:rsidR="003D217E" w:rsidRPr="009117AA" w:rsidRDefault="003D217E" w:rsidP="00580EA4">
      <w:pPr>
        <w:pStyle w:val="SC2"/>
        <w:keepNext w:val="0"/>
        <w:widowControl w:val="0"/>
        <w:numPr>
          <w:ilvl w:val="1"/>
          <w:numId w:val="160"/>
        </w:numPr>
        <w:suppressLineNumbers w:val="0"/>
        <w:kinsoku w:val="0"/>
        <w:overflowPunct w:val="0"/>
        <w:autoSpaceDE w:val="0"/>
        <w:autoSpaceDN w:val="0"/>
        <w:spacing w:after="0"/>
        <w:ind w:left="0" w:firstLine="0"/>
        <w:rPr>
          <w:sz w:val="24"/>
          <w:szCs w:val="24"/>
        </w:rPr>
      </w:pPr>
      <w:r w:rsidRPr="009117AA">
        <w:rPr>
          <w:sz w:val="24"/>
          <w:szCs w:val="24"/>
        </w:rPr>
        <w:t xml:space="preserve">Sharks  </w:t>
      </w:r>
    </w:p>
    <w:p w14:paraId="2A2222FF" w14:textId="77777777" w:rsidR="003D217E" w:rsidRPr="004635E5" w:rsidRDefault="003D217E" w:rsidP="003D217E">
      <w:pPr>
        <w:pStyle w:val="SC2"/>
        <w:keepNext w:val="0"/>
        <w:widowControl w:val="0"/>
        <w:numPr>
          <w:ilvl w:val="0"/>
          <w:numId w:val="0"/>
        </w:numPr>
        <w:suppressLineNumbers w:val="0"/>
        <w:kinsoku w:val="0"/>
        <w:overflowPunct w:val="0"/>
        <w:autoSpaceDE w:val="0"/>
        <w:autoSpaceDN w:val="0"/>
        <w:spacing w:after="0"/>
        <w:ind w:left="720"/>
      </w:pPr>
    </w:p>
    <w:p w14:paraId="7AA5678D" w14:textId="77777777" w:rsidR="003D217E" w:rsidRPr="009117AA" w:rsidRDefault="003D217E" w:rsidP="00580EA4">
      <w:pPr>
        <w:pStyle w:val="SC3"/>
        <w:keepNext w:val="0"/>
        <w:widowControl w:val="0"/>
        <w:numPr>
          <w:ilvl w:val="2"/>
          <w:numId w:val="160"/>
        </w:numPr>
        <w:suppressLineNumbers w:val="0"/>
        <w:kinsoku w:val="0"/>
        <w:overflowPunct w:val="0"/>
        <w:autoSpaceDE w:val="0"/>
        <w:autoSpaceDN w:val="0"/>
        <w:spacing w:after="0"/>
        <w:rPr>
          <w:sz w:val="24"/>
          <w:szCs w:val="24"/>
        </w:rPr>
      </w:pPr>
      <w:r w:rsidRPr="009117AA">
        <w:rPr>
          <w:rFonts w:eastAsiaTheme="minorEastAsia"/>
          <w:sz w:val="24"/>
          <w:szCs w:val="24"/>
          <w:lang w:eastAsia="ko-KR"/>
        </w:rPr>
        <w:t xml:space="preserve">Development of a </w:t>
      </w:r>
      <w:r w:rsidRPr="009117AA">
        <w:rPr>
          <w:rFonts w:eastAsia="Batang"/>
          <w:sz w:val="24"/>
          <w:szCs w:val="24"/>
          <w:lang w:eastAsia="ko-KR" w:bidi="mn-Mong-CN"/>
        </w:rPr>
        <w:t>Comprehensive Shark and Ray CMM</w:t>
      </w:r>
    </w:p>
    <w:p w14:paraId="36828109" w14:textId="77777777" w:rsidR="003D217E" w:rsidRPr="004635E5" w:rsidRDefault="003D217E" w:rsidP="003D217E">
      <w:pPr>
        <w:pStyle w:val="SC3"/>
        <w:keepNext w:val="0"/>
        <w:widowControl w:val="0"/>
        <w:numPr>
          <w:ilvl w:val="0"/>
          <w:numId w:val="0"/>
        </w:numPr>
        <w:suppressLineNumbers w:val="0"/>
        <w:kinsoku w:val="0"/>
        <w:overflowPunct w:val="0"/>
        <w:autoSpaceDE w:val="0"/>
        <w:autoSpaceDN w:val="0"/>
        <w:spacing w:after="0"/>
        <w:ind w:left="1440"/>
      </w:pPr>
    </w:p>
    <w:p w14:paraId="479D1700" w14:textId="77777777" w:rsidR="003D217E" w:rsidRPr="003763AA" w:rsidRDefault="003D217E" w:rsidP="003D217E">
      <w:pPr>
        <w:pStyle w:val="WCPFC"/>
        <w:widowControl w:val="0"/>
        <w:kinsoku w:val="0"/>
        <w:overflowPunct w:val="0"/>
        <w:autoSpaceDE w:val="0"/>
        <w:autoSpaceDN w:val="0"/>
        <w:adjustRightInd w:val="0"/>
        <w:spacing w:after="0"/>
        <w:ind w:left="0" w:firstLine="0"/>
        <w:rPr>
          <w:rFonts w:cs="Times New Roman"/>
          <w:bCs/>
          <w:lang w:eastAsia="ko-KR"/>
        </w:rPr>
      </w:pPr>
      <w:r w:rsidRPr="003763AA">
        <w:rPr>
          <w:rFonts w:cs="Times New Roman"/>
          <w:bCs/>
          <w:lang w:eastAsia="ko-KR"/>
        </w:rPr>
        <w:t xml:space="preserve">SC endorsed that the outcomes of ISG-05 </w:t>
      </w:r>
      <w:r w:rsidRPr="003763AA">
        <w:rPr>
          <w:rFonts w:cs="Times New Roman"/>
          <w:bCs/>
          <w:lang w:val="en-US" w:eastAsia="ko-KR"/>
        </w:rPr>
        <w:t xml:space="preserve">(SC14-EB-WP-05a) </w:t>
      </w:r>
      <w:r w:rsidRPr="003763AA">
        <w:rPr>
          <w:rFonts w:cs="Times New Roman"/>
          <w:bCs/>
          <w:lang w:eastAsia="ko-KR"/>
        </w:rPr>
        <w:t xml:space="preserve">be forwarded to the </w:t>
      </w:r>
      <w:r w:rsidRPr="003763AA">
        <w:rPr>
          <w:rFonts w:cs="Times New Roman"/>
          <w:bCs/>
          <w:lang w:val="en-US" w:eastAsia="ko-KR"/>
        </w:rPr>
        <w:t xml:space="preserve">IWG-SHARKs for their consideration. </w:t>
      </w:r>
    </w:p>
    <w:p w14:paraId="708847F1" w14:textId="77777777" w:rsidR="003D217E" w:rsidRPr="004635E5" w:rsidRDefault="003D217E" w:rsidP="003D217E">
      <w:pPr>
        <w:pStyle w:val="WCPFC"/>
        <w:numPr>
          <w:ilvl w:val="0"/>
          <w:numId w:val="0"/>
        </w:numPr>
        <w:adjustRightInd w:val="0"/>
        <w:spacing w:after="0"/>
        <w:rPr>
          <w:rFonts w:cs="Times New Roman"/>
          <w:b/>
          <w:lang w:eastAsia="ko-KR"/>
        </w:rPr>
      </w:pPr>
    </w:p>
    <w:p w14:paraId="373CECCD" w14:textId="77777777" w:rsidR="003D217E" w:rsidRPr="009117AA" w:rsidRDefault="003D217E" w:rsidP="00580EA4">
      <w:pPr>
        <w:pStyle w:val="SC3"/>
        <w:numPr>
          <w:ilvl w:val="2"/>
          <w:numId w:val="160"/>
        </w:numPr>
        <w:spacing w:after="0"/>
        <w:rPr>
          <w:rFonts w:eastAsiaTheme="minorEastAsia"/>
          <w:sz w:val="24"/>
          <w:szCs w:val="24"/>
          <w:lang w:eastAsia="ko-KR"/>
        </w:rPr>
      </w:pPr>
      <w:r w:rsidRPr="009117AA">
        <w:rPr>
          <w:rFonts w:eastAsiaTheme="minorEastAsia"/>
          <w:sz w:val="24"/>
          <w:szCs w:val="24"/>
          <w:lang w:eastAsia="ko-KR"/>
        </w:rPr>
        <w:t>Review of conservation and management measures for sharks</w:t>
      </w:r>
    </w:p>
    <w:p w14:paraId="37553EE1" w14:textId="77777777" w:rsidR="003D217E" w:rsidRPr="004635E5" w:rsidRDefault="003D217E" w:rsidP="003D217E">
      <w:pPr>
        <w:pStyle w:val="SC3"/>
        <w:numPr>
          <w:ilvl w:val="0"/>
          <w:numId w:val="0"/>
        </w:numPr>
        <w:spacing w:after="0"/>
        <w:ind w:left="1440"/>
        <w:rPr>
          <w:rFonts w:eastAsiaTheme="minorEastAsia"/>
          <w:lang w:eastAsia="ko-KR"/>
        </w:rPr>
      </w:pPr>
    </w:p>
    <w:p w14:paraId="5C59FF60" w14:textId="77777777" w:rsidR="003D217E" w:rsidRPr="004635E5" w:rsidRDefault="003D217E" w:rsidP="002F6B26">
      <w:pPr>
        <w:pStyle w:val="SC3"/>
        <w:numPr>
          <w:ilvl w:val="3"/>
          <w:numId w:val="160"/>
        </w:numPr>
        <w:spacing w:after="0"/>
        <w:rPr>
          <w:rFonts w:eastAsiaTheme="minorEastAsia"/>
          <w:lang w:eastAsia="ko-KR"/>
        </w:rPr>
      </w:pPr>
      <w:r w:rsidRPr="004635E5">
        <w:t>CMM 2010-07 (CMM for Sharks)</w:t>
      </w:r>
    </w:p>
    <w:p w14:paraId="03A6E437" w14:textId="77777777" w:rsidR="003D217E" w:rsidRPr="004635E5" w:rsidRDefault="003D217E" w:rsidP="003D217E">
      <w:pPr>
        <w:pStyle w:val="SC3"/>
        <w:numPr>
          <w:ilvl w:val="0"/>
          <w:numId w:val="0"/>
        </w:numPr>
        <w:spacing w:after="0"/>
        <w:ind w:left="1800"/>
        <w:rPr>
          <w:rFonts w:eastAsiaTheme="minorEastAsia"/>
          <w:lang w:eastAsia="ko-KR"/>
        </w:rPr>
      </w:pPr>
    </w:p>
    <w:p w14:paraId="348DB965" w14:textId="77777777" w:rsidR="003D217E" w:rsidRPr="003763AA" w:rsidRDefault="003D217E" w:rsidP="003D217E">
      <w:pPr>
        <w:pStyle w:val="WCPFC"/>
        <w:adjustRightInd w:val="0"/>
        <w:spacing w:after="0"/>
        <w:ind w:left="0" w:firstLine="0"/>
        <w:rPr>
          <w:rFonts w:cs="Times New Roman"/>
          <w:bCs/>
          <w:lang w:eastAsia="ko-KR"/>
        </w:rPr>
      </w:pPr>
      <w:r w:rsidRPr="003763AA">
        <w:rPr>
          <w:rFonts w:cs="Times New Roman"/>
          <w:bCs/>
          <w:lang w:eastAsia="ko-KR"/>
        </w:rPr>
        <w:t>SC14 recommends that:</w:t>
      </w:r>
    </w:p>
    <w:p w14:paraId="3C0E1FFF" w14:textId="77777777" w:rsidR="003D217E" w:rsidRPr="003763AA" w:rsidRDefault="003D217E" w:rsidP="00580EA4">
      <w:pPr>
        <w:pStyle w:val="WCPFC"/>
        <w:numPr>
          <w:ilvl w:val="0"/>
          <w:numId w:val="49"/>
        </w:numPr>
        <w:adjustRightInd w:val="0"/>
        <w:spacing w:after="0"/>
        <w:rPr>
          <w:rFonts w:cs="Times New Roman"/>
          <w:bCs/>
          <w:iCs/>
          <w:lang w:eastAsia="ko-KR"/>
        </w:rPr>
      </w:pPr>
      <w:r w:rsidRPr="003763AA">
        <w:rPr>
          <w:rFonts w:cs="Times New Roman"/>
          <w:bCs/>
          <w:iCs/>
          <w:lang w:eastAsia="ko-KR"/>
        </w:rPr>
        <w:t xml:space="preserve">TCC14 and WCPFC15 note that </w:t>
      </w:r>
      <w:r w:rsidRPr="003763AA">
        <w:rPr>
          <w:rFonts w:cs="Times New Roman"/>
          <w:bCs/>
          <w:iCs/>
          <w:lang w:val="en-AU" w:eastAsia="ko-KR"/>
        </w:rPr>
        <w:t>since the adoption of the CMM 2010-07, SC has been unable to confirm the validity of using a 5% fin to carcass ratio and that an evaluation of the 5% ratio is not currently possible due to insufficient or inconclusive information.</w:t>
      </w:r>
    </w:p>
    <w:p w14:paraId="04EE5E58" w14:textId="77777777" w:rsidR="003D217E" w:rsidRPr="003763AA" w:rsidRDefault="003D217E" w:rsidP="00580EA4">
      <w:pPr>
        <w:pStyle w:val="WCPFC"/>
        <w:numPr>
          <w:ilvl w:val="0"/>
          <w:numId w:val="49"/>
        </w:numPr>
        <w:adjustRightInd w:val="0"/>
        <w:spacing w:after="0"/>
        <w:rPr>
          <w:rFonts w:cs="Times New Roman"/>
          <w:bCs/>
          <w:iCs/>
          <w:lang w:eastAsia="ko-KR"/>
        </w:rPr>
      </w:pPr>
      <w:r w:rsidRPr="003763AA">
        <w:rPr>
          <w:rFonts w:cs="Times New Roman"/>
          <w:bCs/>
          <w:iCs/>
          <w:lang w:val="en-US" w:eastAsia="ko-KR"/>
        </w:rPr>
        <w:t>TCC14 and WCPFC15 elaborate a mechanism for generating the data necessary to review the fins to carcass ratio if such a ratio is to be used as a tool for promoting the full utilization of sharks in the WCPFC</w:t>
      </w:r>
    </w:p>
    <w:p w14:paraId="47A60E3D" w14:textId="77777777" w:rsidR="003D217E" w:rsidRPr="004635E5" w:rsidRDefault="003D217E" w:rsidP="003D217E">
      <w:pPr>
        <w:pStyle w:val="WCPFC"/>
        <w:numPr>
          <w:ilvl w:val="0"/>
          <w:numId w:val="0"/>
        </w:numPr>
        <w:adjustRightInd w:val="0"/>
        <w:spacing w:after="0"/>
        <w:rPr>
          <w:rFonts w:cs="Times New Roman"/>
          <w:lang w:eastAsia="ko-KR"/>
        </w:rPr>
      </w:pPr>
    </w:p>
    <w:p w14:paraId="487D23CF" w14:textId="77777777" w:rsidR="003D217E" w:rsidRPr="004635E5" w:rsidRDefault="003D217E" w:rsidP="002F6B26">
      <w:pPr>
        <w:pStyle w:val="SC3"/>
        <w:keepNext w:val="0"/>
        <w:widowControl w:val="0"/>
        <w:numPr>
          <w:ilvl w:val="3"/>
          <w:numId w:val="160"/>
        </w:numPr>
        <w:suppressLineNumbers w:val="0"/>
        <w:spacing w:after="0"/>
      </w:pPr>
      <w:r w:rsidRPr="004635E5">
        <w:t>CMM 2013-08 (CMM for silky sharks)</w:t>
      </w:r>
    </w:p>
    <w:p w14:paraId="03D39A63" w14:textId="77777777" w:rsidR="003D217E" w:rsidRPr="004635E5" w:rsidRDefault="003D217E" w:rsidP="003D217E">
      <w:pPr>
        <w:pStyle w:val="SC3"/>
        <w:keepNext w:val="0"/>
        <w:widowControl w:val="0"/>
        <w:numPr>
          <w:ilvl w:val="0"/>
          <w:numId w:val="0"/>
        </w:numPr>
        <w:suppressLineNumbers w:val="0"/>
        <w:spacing w:after="0"/>
        <w:ind w:left="1800"/>
      </w:pPr>
    </w:p>
    <w:p w14:paraId="67D687CD" w14:textId="77777777" w:rsidR="003D217E" w:rsidRPr="003763AA" w:rsidRDefault="003D217E" w:rsidP="003D217E">
      <w:pPr>
        <w:pStyle w:val="WCPFC"/>
        <w:widowControl w:val="0"/>
        <w:adjustRightInd w:val="0"/>
        <w:spacing w:after="0"/>
        <w:ind w:left="0" w:firstLine="0"/>
        <w:rPr>
          <w:rFonts w:cs="Times New Roman"/>
          <w:bCs/>
        </w:rPr>
      </w:pPr>
      <w:r w:rsidRPr="003763AA">
        <w:rPr>
          <w:rFonts w:cs="Times New Roman"/>
          <w:bCs/>
        </w:rPr>
        <w:t xml:space="preserve">SC14 recommends to WCPFC15 that: </w:t>
      </w:r>
    </w:p>
    <w:p w14:paraId="2C24BA63" w14:textId="77777777" w:rsidR="003D217E" w:rsidRPr="003763AA" w:rsidRDefault="003D217E" w:rsidP="00580EA4">
      <w:pPr>
        <w:pStyle w:val="WCPFC"/>
        <w:widowControl w:val="0"/>
        <w:numPr>
          <w:ilvl w:val="1"/>
          <w:numId w:val="149"/>
        </w:numPr>
        <w:adjustRightInd w:val="0"/>
        <w:spacing w:after="0"/>
        <w:ind w:left="1080"/>
        <w:rPr>
          <w:rFonts w:cs="Times New Roman"/>
          <w:bCs/>
          <w:lang w:eastAsia="ko-KR"/>
        </w:rPr>
      </w:pPr>
      <w:r w:rsidRPr="003763AA">
        <w:rPr>
          <w:rFonts w:cs="Times New Roman"/>
          <w:bCs/>
        </w:rPr>
        <w:t xml:space="preserve">The Scientific Services Provider be tasked with reviewing how observers record sharks that are cut free, and what data quality improvements might be achieved through improved observer training and/or protocols. </w:t>
      </w:r>
    </w:p>
    <w:p w14:paraId="180F258F" w14:textId="77777777" w:rsidR="003D217E" w:rsidRPr="003763AA" w:rsidRDefault="003D217E" w:rsidP="00580EA4">
      <w:pPr>
        <w:pStyle w:val="WCPFC"/>
        <w:widowControl w:val="0"/>
        <w:numPr>
          <w:ilvl w:val="1"/>
          <w:numId w:val="149"/>
        </w:numPr>
        <w:adjustRightInd w:val="0"/>
        <w:spacing w:after="0"/>
        <w:ind w:left="1080"/>
        <w:rPr>
          <w:rFonts w:cs="Times New Roman"/>
          <w:bCs/>
          <w:lang w:eastAsia="ko-KR"/>
        </w:rPr>
      </w:pPr>
      <w:r w:rsidRPr="003763AA">
        <w:rPr>
          <w:rFonts w:cs="Times New Roman"/>
          <w:bCs/>
        </w:rPr>
        <w:t>SC14 also recommends TCC14 and WCPFC15 to consider, through the comprehensive shark CMM, a requirement that non-retention and/or unwanted sharks be hauled alongside the vessel before being cut free in order to facilitate species identification.  This requirement shall only apply when an observer or electronic monitoring camera is present, and should only be implemented taking into consideration the safety of the crew and observer. When adopted by the Commission, the guidelines for safe release of sharks and rays may be a useful guide for this activity.</w:t>
      </w:r>
    </w:p>
    <w:p w14:paraId="18209E44" w14:textId="77777777" w:rsidR="003D217E" w:rsidRPr="003763AA" w:rsidRDefault="003D217E" w:rsidP="003D217E">
      <w:pPr>
        <w:pStyle w:val="WCPFC"/>
        <w:widowControl w:val="0"/>
        <w:numPr>
          <w:ilvl w:val="0"/>
          <w:numId w:val="0"/>
        </w:numPr>
        <w:adjustRightInd w:val="0"/>
        <w:spacing w:after="0"/>
        <w:rPr>
          <w:rFonts w:cs="Times New Roman"/>
          <w:bCs/>
          <w:lang w:eastAsia="ko-KR"/>
        </w:rPr>
      </w:pPr>
    </w:p>
    <w:p w14:paraId="36645CD6" w14:textId="77777777" w:rsidR="003D217E" w:rsidRPr="003763AA" w:rsidRDefault="003D217E" w:rsidP="00580EA4">
      <w:pPr>
        <w:pStyle w:val="SC3"/>
        <w:keepNext w:val="0"/>
        <w:widowControl w:val="0"/>
        <w:numPr>
          <w:ilvl w:val="2"/>
          <w:numId w:val="160"/>
        </w:numPr>
        <w:suppressLineNumbers w:val="0"/>
        <w:spacing w:after="0"/>
        <w:rPr>
          <w:sz w:val="24"/>
          <w:szCs w:val="24"/>
        </w:rPr>
      </w:pPr>
      <w:r w:rsidRPr="003763AA">
        <w:rPr>
          <w:rFonts w:eastAsiaTheme="minorEastAsia"/>
          <w:sz w:val="24"/>
          <w:szCs w:val="24"/>
          <w:lang w:eastAsia="ko-KR"/>
        </w:rPr>
        <w:t>Safe release g</w:t>
      </w:r>
      <w:r w:rsidRPr="003763AA">
        <w:rPr>
          <w:sz w:val="24"/>
          <w:szCs w:val="24"/>
        </w:rPr>
        <w:t xml:space="preserve">uidelines </w:t>
      </w:r>
    </w:p>
    <w:p w14:paraId="434A582E" w14:textId="77777777" w:rsidR="003D217E" w:rsidRPr="004635E5" w:rsidRDefault="003D217E" w:rsidP="003D217E">
      <w:pPr>
        <w:pStyle w:val="SC3"/>
        <w:keepNext w:val="0"/>
        <w:widowControl w:val="0"/>
        <w:numPr>
          <w:ilvl w:val="0"/>
          <w:numId w:val="0"/>
        </w:numPr>
        <w:suppressLineNumbers w:val="0"/>
        <w:spacing w:after="0"/>
        <w:ind w:left="1440"/>
      </w:pPr>
    </w:p>
    <w:p w14:paraId="1625BFC5" w14:textId="77777777" w:rsidR="003D217E" w:rsidRPr="003763AA" w:rsidRDefault="003D217E" w:rsidP="00580EA4">
      <w:pPr>
        <w:numPr>
          <w:ilvl w:val="0"/>
          <w:numId w:val="18"/>
        </w:numPr>
        <w:autoSpaceDE w:val="0"/>
        <w:autoSpaceDN w:val="0"/>
        <w:adjustRightInd w:val="0"/>
        <w:snapToGrid w:val="0"/>
        <w:ind w:left="0" w:firstLine="0"/>
        <w:jc w:val="both"/>
        <w:rPr>
          <w:bCs/>
          <w:sz w:val="22"/>
          <w:szCs w:val="22"/>
        </w:rPr>
      </w:pPr>
      <w:r w:rsidRPr="003763AA">
        <w:rPr>
          <w:bCs/>
          <w:sz w:val="22"/>
          <w:szCs w:val="22"/>
        </w:rPr>
        <w:t>SC 14 adopted the outcomes of ISG-06 regarding draft safe release guidelines for sharks and rays (Attachment G)</w:t>
      </w:r>
    </w:p>
    <w:p w14:paraId="413AA0FD" w14:textId="77777777" w:rsidR="003D217E" w:rsidRPr="004635E5" w:rsidRDefault="003D217E" w:rsidP="003D217E">
      <w:pPr>
        <w:autoSpaceDE w:val="0"/>
        <w:autoSpaceDN w:val="0"/>
        <w:adjustRightInd w:val="0"/>
        <w:snapToGrid w:val="0"/>
        <w:jc w:val="both"/>
        <w:rPr>
          <w:b/>
          <w:sz w:val="22"/>
          <w:szCs w:val="22"/>
        </w:rPr>
      </w:pPr>
    </w:p>
    <w:p w14:paraId="013EDB23" w14:textId="77777777" w:rsidR="003D217E" w:rsidRPr="003763AA" w:rsidRDefault="003D217E" w:rsidP="00580EA4">
      <w:pPr>
        <w:pStyle w:val="SC3"/>
        <w:numPr>
          <w:ilvl w:val="2"/>
          <w:numId w:val="160"/>
        </w:numPr>
        <w:spacing w:after="0"/>
        <w:rPr>
          <w:rFonts w:eastAsiaTheme="minorEastAsia"/>
          <w:sz w:val="24"/>
          <w:szCs w:val="24"/>
          <w:lang w:eastAsia="ko-KR"/>
        </w:rPr>
      </w:pPr>
      <w:r w:rsidRPr="003763AA">
        <w:rPr>
          <w:rFonts w:eastAsiaTheme="minorEastAsia"/>
          <w:sz w:val="24"/>
          <w:szCs w:val="24"/>
          <w:lang w:eastAsia="ko-KR"/>
        </w:rPr>
        <w:t>Progress of Shark Research Plan</w:t>
      </w:r>
    </w:p>
    <w:p w14:paraId="63697D4B" w14:textId="77777777" w:rsidR="003D217E" w:rsidRPr="004635E5" w:rsidRDefault="003D217E" w:rsidP="003D217E">
      <w:pPr>
        <w:pStyle w:val="SC3"/>
        <w:numPr>
          <w:ilvl w:val="0"/>
          <w:numId w:val="0"/>
        </w:numPr>
        <w:spacing w:after="0"/>
        <w:ind w:left="1440"/>
        <w:rPr>
          <w:rFonts w:eastAsiaTheme="minorEastAsia"/>
          <w:lang w:eastAsia="ko-KR"/>
        </w:rPr>
      </w:pPr>
    </w:p>
    <w:p w14:paraId="60F88D32" w14:textId="77777777" w:rsidR="003D217E" w:rsidRPr="003763AA" w:rsidRDefault="003D217E" w:rsidP="00580EA4">
      <w:pPr>
        <w:numPr>
          <w:ilvl w:val="0"/>
          <w:numId w:val="18"/>
        </w:numPr>
        <w:autoSpaceDE w:val="0"/>
        <w:autoSpaceDN w:val="0"/>
        <w:adjustRightInd w:val="0"/>
        <w:snapToGrid w:val="0"/>
        <w:ind w:left="0" w:firstLine="0"/>
        <w:jc w:val="both"/>
        <w:rPr>
          <w:bCs/>
          <w:sz w:val="22"/>
          <w:szCs w:val="22"/>
        </w:rPr>
      </w:pPr>
      <w:r w:rsidRPr="003763AA">
        <w:rPr>
          <w:bCs/>
          <w:sz w:val="22"/>
          <w:szCs w:val="22"/>
        </w:rPr>
        <w:t xml:space="preserve">SC14 adopted the outputs of ISG-07 on the shark research plan, including provision of one research proposal Project 92 for the 2019 SC work program and budget (Attachment H). </w:t>
      </w:r>
    </w:p>
    <w:p w14:paraId="3A4DB27F" w14:textId="77777777" w:rsidR="003D217E" w:rsidRPr="004635E5" w:rsidRDefault="003D217E" w:rsidP="003D217E">
      <w:pPr>
        <w:autoSpaceDE w:val="0"/>
        <w:autoSpaceDN w:val="0"/>
        <w:adjustRightInd w:val="0"/>
        <w:snapToGrid w:val="0"/>
        <w:jc w:val="both"/>
        <w:rPr>
          <w:b/>
          <w:sz w:val="22"/>
          <w:szCs w:val="22"/>
        </w:rPr>
      </w:pPr>
    </w:p>
    <w:p w14:paraId="51C58B3A" w14:textId="77777777" w:rsidR="003D217E" w:rsidRPr="003763AA" w:rsidRDefault="003D217E" w:rsidP="00580EA4">
      <w:pPr>
        <w:pStyle w:val="SC2"/>
        <w:numPr>
          <w:ilvl w:val="1"/>
          <w:numId w:val="160"/>
        </w:numPr>
        <w:spacing w:after="0"/>
        <w:rPr>
          <w:sz w:val="24"/>
          <w:szCs w:val="24"/>
        </w:rPr>
      </w:pPr>
      <w:r w:rsidRPr="003763AA">
        <w:rPr>
          <w:sz w:val="24"/>
          <w:szCs w:val="24"/>
        </w:rPr>
        <w:t xml:space="preserve">Seabirds </w:t>
      </w:r>
    </w:p>
    <w:p w14:paraId="227B08CA" w14:textId="77777777" w:rsidR="003D217E" w:rsidRPr="004635E5" w:rsidRDefault="003D217E" w:rsidP="003D217E">
      <w:pPr>
        <w:pStyle w:val="SC2"/>
        <w:numPr>
          <w:ilvl w:val="0"/>
          <w:numId w:val="0"/>
        </w:numPr>
        <w:spacing w:after="0"/>
        <w:ind w:left="720"/>
      </w:pPr>
    </w:p>
    <w:p w14:paraId="650CE341" w14:textId="77777777" w:rsidR="003D217E" w:rsidRPr="003763AA" w:rsidRDefault="003D217E" w:rsidP="00580EA4">
      <w:pPr>
        <w:numPr>
          <w:ilvl w:val="0"/>
          <w:numId w:val="18"/>
        </w:numPr>
        <w:tabs>
          <w:tab w:val="num" w:pos="927"/>
        </w:tabs>
        <w:autoSpaceDE w:val="0"/>
        <w:autoSpaceDN w:val="0"/>
        <w:adjustRightInd w:val="0"/>
        <w:snapToGrid w:val="0"/>
        <w:ind w:left="0" w:firstLine="0"/>
        <w:jc w:val="both"/>
        <w:rPr>
          <w:bCs/>
          <w:sz w:val="22"/>
          <w:szCs w:val="22"/>
          <w:lang w:val="en-GB"/>
        </w:rPr>
      </w:pPr>
      <w:r w:rsidRPr="003763AA">
        <w:rPr>
          <w:bCs/>
          <w:sz w:val="22"/>
          <w:szCs w:val="22"/>
          <w:lang w:val="en-GB"/>
        </w:rPr>
        <w:t>SC14 noted that hook-shielding devices are a novel seabird bycatch mitigation measure which encase</w:t>
      </w:r>
      <w:r w:rsidRPr="003763AA">
        <w:rPr>
          <w:rFonts w:eastAsiaTheme="minorEastAsia" w:hint="eastAsia"/>
          <w:bCs/>
          <w:sz w:val="22"/>
          <w:szCs w:val="22"/>
          <w:lang w:val="en-GB" w:eastAsia="ko-KR"/>
        </w:rPr>
        <w:t>s</w:t>
      </w:r>
      <w:r w:rsidRPr="003763AA">
        <w:rPr>
          <w:bCs/>
          <w:sz w:val="22"/>
          <w:szCs w:val="22"/>
          <w:lang w:val="en-GB"/>
        </w:rPr>
        <w:t xml:space="preserve"> the point and barb of baited hooks to prevent seabird attacks during line setting. </w:t>
      </w:r>
    </w:p>
    <w:p w14:paraId="3A772575" w14:textId="77777777" w:rsidR="003D217E" w:rsidRPr="003763AA" w:rsidRDefault="003D217E" w:rsidP="003D217E">
      <w:pPr>
        <w:autoSpaceDE w:val="0"/>
        <w:autoSpaceDN w:val="0"/>
        <w:adjustRightInd w:val="0"/>
        <w:snapToGrid w:val="0"/>
        <w:jc w:val="both"/>
        <w:rPr>
          <w:bCs/>
          <w:sz w:val="22"/>
          <w:szCs w:val="22"/>
          <w:lang w:val="en-GB"/>
        </w:rPr>
      </w:pPr>
    </w:p>
    <w:p w14:paraId="07E4C21D" w14:textId="77777777" w:rsidR="003D217E" w:rsidRPr="003763AA" w:rsidRDefault="003D217E" w:rsidP="00580EA4">
      <w:pPr>
        <w:numPr>
          <w:ilvl w:val="0"/>
          <w:numId w:val="18"/>
        </w:numPr>
        <w:tabs>
          <w:tab w:val="num" w:pos="927"/>
        </w:tabs>
        <w:autoSpaceDE w:val="0"/>
        <w:autoSpaceDN w:val="0"/>
        <w:adjustRightInd w:val="0"/>
        <w:snapToGrid w:val="0"/>
        <w:ind w:left="0" w:firstLine="0"/>
        <w:jc w:val="both"/>
        <w:rPr>
          <w:bCs/>
          <w:sz w:val="22"/>
          <w:szCs w:val="22"/>
          <w:lang w:val="en-GB"/>
        </w:rPr>
      </w:pPr>
      <w:r w:rsidRPr="003763AA">
        <w:rPr>
          <w:bCs/>
          <w:sz w:val="22"/>
          <w:szCs w:val="22"/>
          <w:lang w:val="en-NZ"/>
        </w:rPr>
        <w:t>SC14 noted that the evidence presented on hook-shielding device effectiveness was for Hookpods, one hook-shielding device which met the following performance characteristics:</w:t>
      </w:r>
    </w:p>
    <w:p w14:paraId="6DF78662" w14:textId="77777777" w:rsidR="003D217E" w:rsidRPr="003763AA" w:rsidRDefault="003D217E" w:rsidP="00580EA4">
      <w:pPr>
        <w:numPr>
          <w:ilvl w:val="1"/>
          <w:numId w:val="62"/>
        </w:numPr>
        <w:tabs>
          <w:tab w:val="clear" w:pos="1800"/>
        </w:tabs>
        <w:autoSpaceDE w:val="0"/>
        <w:autoSpaceDN w:val="0"/>
        <w:adjustRightInd w:val="0"/>
        <w:snapToGrid w:val="0"/>
        <w:ind w:left="1080"/>
        <w:jc w:val="both"/>
        <w:rPr>
          <w:bCs/>
          <w:sz w:val="22"/>
          <w:szCs w:val="22"/>
          <w:lang w:val="en-NZ"/>
        </w:rPr>
      </w:pPr>
      <w:r w:rsidRPr="003763AA">
        <w:rPr>
          <w:bCs/>
          <w:sz w:val="22"/>
          <w:szCs w:val="22"/>
          <w:lang w:val="en-NZ"/>
        </w:rPr>
        <w:t>the device encases the point and barb of the hook until it reaches a depth of at least 10 m or has been immersed for at least 10 minutes;</w:t>
      </w:r>
    </w:p>
    <w:p w14:paraId="4BEB521D" w14:textId="77777777" w:rsidR="003D217E" w:rsidRPr="003763AA" w:rsidRDefault="003D217E" w:rsidP="00580EA4">
      <w:pPr>
        <w:numPr>
          <w:ilvl w:val="1"/>
          <w:numId w:val="62"/>
        </w:numPr>
        <w:tabs>
          <w:tab w:val="clear" w:pos="1800"/>
        </w:tabs>
        <w:autoSpaceDE w:val="0"/>
        <w:autoSpaceDN w:val="0"/>
        <w:adjustRightInd w:val="0"/>
        <w:snapToGrid w:val="0"/>
        <w:ind w:left="1080"/>
        <w:jc w:val="both"/>
        <w:rPr>
          <w:bCs/>
          <w:sz w:val="22"/>
          <w:szCs w:val="22"/>
          <w:lang w:val="en-GB"/>
        </w:rPr>
      </w:pPr>
      <w:r w:rsidRPr="003763AA">
        <w:rPr>
          <w:bCs/>
          <w:sz w:val="22"/>
          <w:szCs w:val="22"/>
          <w:lang w:val="en-NZ"/>
        </w:rPr>
        <w:t>the device meets current minimum standards for branch line weighting as specified in the seabird bycatch CMM; and</w:t>
      </w:r>
    </w:p>
    <w:p w14:paraId="1DBA0DC3" w14:textId="77777777" w:rsidR="003D217E" w:rsidRPr="003763AA" w:rsidRDefault="003D217E" w:rsidP="00580EA4">
      <w:pPr>
        <w:numPr>
          <w:ilvl w:val="1"/>
          <w:numId w:val="62"/>
        </w:numPr>
        <w:tabs>
          <w:tab w:val="clear" w:pos="1800"/>
        </w:tabs>
        <w:autoSpaceDE w:val="0"/>
        <w:autoSpaceDN w:val="0"/>
        <w:adjustRightInd w:val="0"/>
        <w:snapToGrid w:val="0"/>
        <w:ind w:left="1080"/>
        <w:jc w:val="both"/>
        <w:rPr>
          <w:bCs/>
          <w:sz w:val="22"/>
          <w:szCs w:val="22"/>
          <w:lang w:val="en-GB"/>
        </w:rPr>
      </w:pPr>
      <w:r w:rsidRPr="003763AA">
        <w:rPr>
          <w:bCs/>
          <w:sz w:val="22"/>
          <w:szCs w:val="22"/>
          <w:lang w:val="en-NZ"/>
        </w:rPr>
        <w:t>the device is designed to be retained on the fishing gear rather than being lost.</w:t>
      </w:r>
    </w:p>
    <w:p w14:paraId="05AEA28C" w14:textId="77777777" w:rsidR="003D217E" w:rsidRPr="003763AA" w:rsidRDefault="003D217E" w:rsidP="003D217E">
      <w:pPr>
        <w:autoSpaceDE w:val="0"/>
        <w:autoSpaceDN w:val="0"/>
        <w:adjustRightInd w:val="0"/>
        <w:snapToGrid w:val="0"/>
        <w:ind w:left="1440"/>
        <w:jc w:val="both"/>
        <w:rPr>
          <w:bCs/>
          <w:sz w:val="22"/>
          <w:szCs w:val="22"/>
          <w:lang w:val="en-GB"/>
        </w:rPr>
      </w:pPr>
    </w:p>
    <w:p w14:paraId="179E8AE3" w14:textId="77777777" w:rsidR="003D217E" w:rsidRPr="003763AA" w:rsidRDefault="003D217E" w:rsidP="00580EA4">
      <w:pPr>
        <w:numPr>
          <w:ilvl w:val="0"/>
          <w:numId w:val="18"/>
        </w:numPr>
        <w:tabs>
          <w:tab w:val="num" w:pos="927"/>
        </w:tabs>
        <w:autoSpaceDE w:val="0"/>
        <w:autoSpaceDN w:val="0"/>
        <w:adjustRightInd w:val="0"/>
        <w:snapToGrid w:val="0"/>
        <w:ind w:left="0" w:firstLine="0"/>
        <w:jc w:val="both"/>
        <w:rPr>
          <w:bCs/>
          <w:sz w:val="22"/>
          <w:szCs w:val="22"/>
          <w:lang w:val="en-GB"/>
        </w:rPr>
      </w:pPr>
      <w:r w:rsidRPr="003763AA">
        <w:rPr>
          <w:bCs/>
          <w:sz w:val="22"/>
          <w:szCs w:val="22"/>
          <w:lang w:val="en-GB"/>
        </w:rPr>
        <w:t>Some CCMs raised operational and cost-related concerns regarding the application of these devices to their fisheries.</w:t>
      </w:r>
    </w:p>
    <w:p w14:paraId="3842D885" w14:textId="77777777" w:rsidR="003D217E" w:rsidRPr="003763AA" w:rsidRDefault="003D217E" w:rsidP="003D217E">
      <w:pPr>
        <w:autoSpaceDE w:val="0"/>
        <w:autoSpaceDN w:val="0"/>
        <w:adjustRightInd w:val="0"/>
        <w:snapToGrid w:val="0"/>
        <w:ind w:left="720"/>
        <w:jc w:val="both"/>
        <w:rPr>
          <w:bCs/>
          <w:sz w:val="22"/>
          <w:szCs w:val="22"/>
          <w:lang w:val="en-GB"/>
        </w:rPr>
      </w:pPr>
    </w:p>
    <w:p w14:paraId="777926AD" w14:textId="77777777" w:rsidR="003D217E" w:rsidRPr="003763AA" w:rsidRDefault="003D217E" w:rsidP="003D217E">
      <w:pPr>
        <w:pStyle w:val="WCPFC"/>
        <w:adjustRightInd w:val="0"/>
        <w:spacing w:after="0"/>
        <w:rPr>
          <w:rFonts w:cs="Times New Roman"/>
          <w:bCs/>
        </w:rPr>
      </w:pPr>
      <w:r w:rsidRPr="003763AA">
        <w:rPr>
          <w:rFonts w:cs="Times New Roman"/>
          <w:bCs/>
        </w:rPr>
        <w:t>SC14 recommends:</w:t>
      </w:r>
    </w:p>
    <w:p w14:paraId="7DCDBC2C" w14:textId="77777777" w:rsidR="003D217E" w:rsidRPr="003763AA" w:rsidRDefault="003D217E" w:rsidP="00580EA4">
      <w:pPr>
        <w:numPr>
          <w:ilvl w:val="0"/>
          <w:numId w:val="151"/>
        </w:numPr>
        <w:tabs>
          <w:tab w:val="clear" w:pos="927"/>
        </w:tabs>
        <w:autoSpaceDE w:val="0"/>
        <w:autoSpaceDN w:val="0"/>
        <w:adjustRightInd w:val="0"/>
        <w:snapToGrid w:val="0"/>
        <w:ind w:left="1080"/>
        <w:jc w:val="both"/>
        <w:rPr>
          <w:bCs/>
          <w:sz w:val="22"/>
          <w:szCs w:val="22"/>
          <w:lang w:val="en-GB"/>
        </w:rPr>
      </w:pPr>
      <w:r w:rsidRPr="003763AA">
        <w:rPr>
          <w:bCs/>
          <w:sz w:val="22"/>
          <w:szCs w:val="22"/>
          <w:lang w:val="en-GB"/>
        </w:rPr>
        <w:t xml:space="preserve">that TCC14 and WCPFC15 note that evidence is available to support the inclusion of hook-shielding devices, specifically Hookpods, on the list of seabird bycatch mitigation options, in addition to already existing mitigation options. </w:t>
      </w:r>
    </w:p>
    <w:p w14:paraId="58B8D19A" w14:textId="77777777" w:rsidR="003D217E" w:rsidRPr="003763AA" w:rsidRDefault="003D217E" w:rsidP="00580EA4">
      <w:pPr>
        <w:numPr>
          <w:ilvl w:val="0"/>
          <w:numId w:val="151"/>
        </w:numPr>
        <w:tabs>
          <w:tab w:val="clear" w:pos="927"/>
        </w:tabs>
        <w:autoSpaceDE w:val="0"/>
        <w:autoSpaceDN w:val="0"/>
        <w:adjustRightInd w:val="0"/>
        <w:snapToGrid w:val="0"/>
        <w:ind w:left="1080"/>
        <w:jc w:val="both"/>
        <w:rPr>
          <w:bCs/>
          <w:sz w:val="22"/>
          <w:szCs w:val="22"/>
          <w:lang w:val="en-GB"/>
        </w:rPr>
      </w:pPr>
      <w:r w:rsidRPr="003763AA">
        <w:rPr>
          <w:bCs/>
          <w:sz w:val="22"/>
          <w:szCs w:val="22"/>
          <w:lang w:val="en-GB"/>
        </w:rPr>
        <w:t xml:space="preserve">the revision of CMM 2017-06 to add the use of hook-shielding devices, specifically Hookpods, as an optional stand-alone seabird bycatch mitigation measure in order to provide more choices and greater flexibility to the fishing industry to mitigate seabird bycatch in their fishing operations. </w:t>
      </w:r>
    </w:p>
    <w:p w14:paraId="454DF742" w14:textId="77777777" w:rsidR="003D217E" w:rsidRPr="003763AA" w:rsidRDefault="003D217E" w:rsidP="00580EA4">
      <w:pPr>
        <w:numPr>
          <w:ilvl w:val="0"/>
          <w:numId w:val="151"/>
        </w:numPr>
        <w:tabs>
          <w:tab w:val="clear" w:pos="927"/>
        </w:tabs>
        <w:autoSpaceDE w:val="0"/>
        <w:autoSpaceDN w:val="0"/>
        <w:adjustRightInd w:val="0"/>
        <w:snapToGrid w:val="0"/>
        <w:ind w:left="1080"/>
        <w:jc w:val="both"/>
        <w:rPr>
          <w:bCs/>
          <w:sz w:val="22"/>
          <w:szCs w:val="22"/>
          <w:lang w:val="en-GB"/>
        </w:rPr>
      </w:pPr>
      <w:r w:rsidRPr="003763AA">
        <w:rPr>
          <w:bCs/>
          <w:sz w:val="22"/>
          <w:szCs w:val="22"/>
          <w:lang w:val="en-GB"/>
        </w:rPr>
        <w:t>that if hook-shielding options other than Hookpods, or any other innovative options, are proposed for use in WCPFC in the future, SC and TCC should review the evidence on effectiveness, efficiency, and practicality of the technology in mitigating seabird bycatch.</w:t>
      </w:r>
    </w:p>
    <w:p w14:paraId="5B13718C" w14:textId="77777777" w:rsidR="003D217E" w:rsidRPr="003763AA" w:rsidRDefault="003D217E" w:rsidP="00580EA4">
      <w:pPr>
        <w:numPr>
          <w:ilvl w:val="0"/>
          <w:numId w:val="151"/>
        </w:numPr>
        <w:tabs>
          <w:tab w:val="clear" w:pos="927"/>
        </w:tabs>
        <w:autoSpaceDE w:val="0"/>
        <w:autoSpaceDN w:val="0"/>
        <w:adjustRightInd w:val="0"/>
        <w:snapToGrid w:val="0"/>
        <w:ind w:left="1080"/>
        <w:jc w:val="both"/>
        <w:rPr>
          <w:bCs/>
          <w:sz w:val="22"/>
          <w:szCs w:val="22"/>
          <w:lang w:val="en-GB"/>
        </w:rPr>
      </w:pPr>
      <w:r w:rsidRPr="003763AA">
        <w:rPr>
          <w:bCs/>
          <w:sz w:val="22"/>
          <w:szCs w:val="22"/>
          <w:lang w:val="en-GB"/>
        </w:rPr>
        <w:t>that if the revision of CMM 2017-06 to include hook-shielding devices is accepted, SC should be tasked with reviewing information on the use of Hookpods in commercial fishing operations no later than 3 years from the implementation date.</w:t>
      </w:r>
    </w:p>
    <w:p w14:paraId="13F7E825" w14:textId="77777777" w:rsidR="003D217E" w:rsidRPr="003763AA" w:rsidRDefault="003D217E" w:rsidP="00580EA4">
      <w:pPr>
        <w:numPr>
          <w:ilvl w:val="0"/>
          <w:numId w:val="151"/>
        </w:numPr>
        <w:tabs>
          <w:tab w:val="clear" w:pos="927"/>
        </w:tabs>
        <w:autoSpaceDE w:val="0"/>
        <w:autoSpaceDN w:val="0"/>
        <w:adjustRightInd w:val="0"/>
        <w:snapToGrid w:val="0"/>
        <w:ind w:left="1080"/>
        <w:jc w:val="both"/>
        <w:rPr>
          <w:bCs/>
          <w:sz w:val="22"/>
          <w:szCs w:val="22"/>
          <w:lang w:val="en-GB"/>
        </w:rPr>
      </w:pPr>
      <w:r w:rsidRPr="003763AA">
        <w:rPr>
          <w:bCs/>
          <w:sz w:val="22"/>
          <w:szCs w:val="22"/>
          <w:lang w:val="en-GB"/>
        </w:rPr>
        <w:t xml:space="preserve">that while there was no proposal that hook-shielding devices be made mandatory, if this was proposed in future thorough review by SC and TCC would be required. </w:t>
      </w:r>
    </w:p>
    <w:p w14:paraId="28919694" w14:textId="77777777" w:rsidR="003D217E" w:rsidRPr="003763AA" w:rsidRDefault="003D217E" w:rsidP="003D217E">
      <w:pPr>
        <w:autoSpaceDE w:val="0"/>
        <w:autoSpaceDN w:val="0"/>
        <w:adjustRightInd w:val="0"/>
        <w:snapToGrid w:val="0"/>
        <w:jc w:val="both"/>
        <w:rPr>
          <w:bCs/>
          <w:sz w:val="22"/>
          <w:szCs w:val="22"/>
          <w:lang w:val="en-NZ"/>
        </w:rPr>
      </w:pPr>
    </w:p>
    <w:p w14:paraId="744A7C03" w14:textId="77777777" w:rsidR="003D217E" w:rsidRPr="003763AA" w:rsidRDefault="003D217E" w:rsidP="00580EA4">
      <w:pPr>
        <w:numPr>
          <w:ilvl w:val="0"/>
          <w:numId w:val="18"/>
        </w:numPr>
        <w:autoSpaceDE w:val="0"/>
        <w:autoSpaceDN w:val="0"/>
        <w:adjustRightInd w:val="0"/>
        <w:snapToGrid w:val="0"/>
        <w:ind w:left="0" w:firstLine="0"/>
        <w:jc w:val="both"/>
        <w:rPr>
          <w:rFonts w:eastAsia="Calibri"/>
          <w:bCs/>
          <w:sz w:val="22"/>
          <w:szCs w:val="22"/>
          <w:lang w:val="en-GB"/>
        </w:rPr>
      </w:pPr>
      <w:r w:rsidRPr="003763AA">
        <w:rPr>
          <w:rFonts w:eastAsia="Calibri"/>
          <w:bCs/>
          <w:sz w:val="22"/>
          <w:szCs w:val="22"/>
          <w:lang w:val="en-GB"/>
        </w:rPr>
        <w:t>SC 14 noted that:</w:t>
      </w:r>
    </w:p>
    <w:p w14:paraId="68846D88" w14:textId="77777777" w:rsidR="003D217E" w:rsidRPr="003763AA" w:rsidRDefault="003D217E" w:rsidP="00580EA4">
      <w:pPr>
        <w:numPr>
          <w:ilvl w:val="0"/>
          <w:numId w:val="150"/>
        </w:numPr>
        <w:adjustRightInd w:val="0"/>
        <w:snapToGrid w:val="0"/>
        <w:rPr>
          <w:rFonts w:eastAsia="Calibri"/>
          <w:bCs/>
          <w:sz w:val="22"/>
          <w:szCs w:val="22"/>
          <w:lang w:val="en-GB"/>
        </w:rPr>
      </w:pPr>
      <w:r w:rsidRPr="003763AA">
        <w:rPr>
          <w:rFonts w:eastAsia="Calibri"/>
          <w:bCs/>
          <w:sz w:val="22"/>
          <w:szCs w:val="22"/>
          <w:lang w:val="en-GB"/>
        </w:rPr>
        <w:t xml:space="preserve">the most recent geolocation data on Antipodean wandering albatross, a priority population of conservation concern, indicates the extent of foraging up to and north of 25° S. </w:t>
      </w:r>
    </w:p>
    <w:p w14:paraId="3B6AF0B8" w14:textId="77777777" w:rsidR="003D217E" w:rsidRPr="003763AA" w:rsidRDefault="003D217E" w:rsidP="00580EA4">
      <w:pPr>
        <w:numPr>
          <w:ilvl w:val="0"/>
          <w:numId w:val="150"/>
        </w:numPr>
        <w:adjustRightInd w:val="0"/>
        <w:snapToGrid w:val="0"/>
        <w:rPr>
          <w:rFonts w:eastAsia="Calibri"/>
          <w:bCs/>
          <w:sz w:val="22"/>
          <w:szCs w:val="22"/>
          <w:lang w:val="en-GB"/>
        </w:rPr>
      </w:pPr>
      <w:r w:rsidRPr="003763AA">
        <w:rPr>
          <w:rFonts w:eastAsia="Calibri"/>
          <w:bCs/>
          <w:sz w:val="22"/>
          <w:szCs w:val="22"/>
          <w:lang w:val="en-GB"/>
        </w:rPr>
        <w:t xml:space="preserve">substantial fishing effort occurs in waters of the WCPFC area between 30°S and 25°S which is within the Antipodean wandering albatross foraging range. </w:t>
      </w:r>
    </w:p>
    <w:p w14:paraId="10A1956B" w14:textId="77777777" w:rsidR="003D217E" w:rsidRPr="003763AA" w:rsidRDefault="003D217E" w:rsidP="00580EA4">
      <w:pPr>
        <w:numPr>
          <w:ilvl w:val="0"/>
          <w:numId w:val="150"/>
        </w:numPr>
        <w:adjustRightInd w:val="0"/>
        <w:snapToGrid w:val="0"/>
        <w:rPr>
          <w:rFonts w:eastAsia="Calibri"/>
          <w:bCs/>
          <w:sz w:val="22"/>
          <w:szCs w:val="22"/>
          <w:lang w:val="en-GB"/>
        </w:rPr>
      </w:pPr>
      <w:r w:rsidRPr="003763AA">
        <w:rPr>
          <w:rFonts w:eastAsia="Calibri"/>
          <w:bCs/>
          <w:sz w:val="22"/>
          <w:szCs w:val="22"/>
          <w:lang w:val="en-GB"/>
        </w:rPr>
        <w:t>as CMM</w:t>
      </w:r>
      <w:r w:rsidRPr="003763AA">
        <w:rPr>
          <w:rFonts w:eastAsiaTheme="minorEastAsia" w:hint="eastAsia"/>
          <w:bCs/>
          <w:sz w:val="22"/>
          <w:szCs w:val="22"/>
          <w:lang w:val="en-GB" w:eastAsia="ko-KR"/>
        </w:rPr>
        <w:t xml:space="preserve"> </w:t>
      </w:r>
      <w:r w:rsidRPr="003763AA">
        <w:rPr>
          <w:rFonts w:eastAsia="Calibri"/>
          <w:bCs/>
          <w:sz w:val="22"/>
          <w:szCs w:val="22"/>
          <w:lang w:val="en-GB"/>
        </w:rPr>
        <w:t xml:space="preserve">2017-06 does not require the use of seabird mitigation in the WCPFC area between 30°S and 25°S, this fishing effort poses a bycatch risk to Antipodean wandering albatross and other species foraging in the area. </w:t>
      </w:r>
    </w:p>
    <w:p w14:paraId="21EDE3CB" w14:textId="77777777" w:rsidR="003D217E" w:rsidRPr="003763AA" w:rsidRDefault="003D217E" w:rsidP="00580EA4">
      <w:pPr>
        <w:numPr>
          <w:ilvl w:val="0"/>
          <w:numId w:val="150"/>
        </w:numPr>
        <w:adjustRightInd w:val="0"/>
        <w:snapToGrid w:val="0"/>
        <w:rPr>
          <w:rFonts w:eastAsia="Calibri"/>
          <w:bCs/>
          <w:sz w:val="22"/>
          <w:szCs w:val="22"/>
          <w:lang w:val="en-GB"/>
        </w:rPr>
      </w:pPr>
      <w:r w:rsidRPr="003763AA">
        <w:rPr>
          <w:rFonts w:eastAsia="Calibri"/>
          <w:bCs/>
          <w:sz w:val="22"/>
          <w:szCs w:val="22"/>
          <w:lang w:val="en-GB"/>
        </w:rPr>
        <w:t>revision of CMM</w:t>
      </w:r>
      <w:r w:rsidRPr="003763AA">
        <w:rPr>
          <w:rFonts w:eastAsiaTheme="minorEastAsia" w:hint="eastAsia"/>
          <w:bCs/>
          <w:sz w:val="22"/>
          <w:szCs w:val="22"/>
          <w:lang w:val="en-GB" w:eastAsia="ko-KR"/>
        </w:rPr>
        <w:t xml:space="preserve"> </w:t>
      </w:r>
      <w:r w:rsidRPr="003763AA">
        <w:rPr>
          <w:rFonts w:eastAsia="Calibri"/>
          <w:bCs/>
          <w:sz w:val="22"/>
          <w:szCs w:val="22"/>
          <w:lang w:val="en-GB"/>
        </w:rPr>
        <w:t xml:space="preserve">2017-06 to extend the area of application up to 25°S will reduce the bycatch risks faced by Antipodean wandering albatross and other seabirds. </w:t>
      </w:r>
    </w:p>
    <w:p w14:paraId="3E48A5E2" w14:textId="77777777" w:rsidR="003D217E" w:rsidRPr="003763AA" w:rsidRDefault="003D217E" w:rsidP="003D217E">
      <w:pPr>
        <w:adjustRightInd w:val="0"/>
        <w:snapToGrid w:val="0"/>
        <w:ind w:left="720"/>
        <w:rPr>
          <w:rFonts w:eastAsia="Calibri"/>
          <w:bCs/>
          <w:sz w:val="22"/>
          <w:szCs w:val="22"/>
          <w:lang w:val="en-GB"/>
        </w:rPr>
      </w:pPr>
    </w:p>
    <w:p w14:paraId="04109F5B" w14:textId="77777777" w:rsidR="003D217E" w:rsidRPr="003763AA" w:rsidRDefault="003D217E" w:rsidP="00580EA4">
      <w:pPr>
        <w:numPr>
          <w:ilvl w:val="0"/>
          <w:numId w:val="18"/>
        </w:numPr>
        <w:autoSpaceDE w:val="0"/>
        <w:autoSpaceDN w:val="0"/>
        <w:adjustRightInd w:val="0"/>
        <w:snapToGrid w:val="0"/>
        <w:ind w:left="0" w:firstLine="0"/>
        <w:jc w:val="both"/>
        <w:rPr>
          <w:rFonts w:eastAsia="Calibri"/>
          <w:bCs/>
          <w:sz w:val="22"/>
          <w:szCs w:val="22"/>
          <w:lang w:val="en-GB"/>
        </w:rPr>
      </w:pPr>
      <w:r w:rsidRPr="003763AA">
        <w:rPr>
          <w:rFonts w:eastAsia="Calibri"/>
          <w:bCs/>
          <w:sz w:val="22"/>
          <w:szCs w:val="22"/>
          <w:lang w:val="en-GB"/>
        </w:rPr>
        <w:t>SC 14 recommended that</w:t>
      </w:r>
      <w:r w:rsidRPr="003763AA">
        <w:rPr>
          <w:rFonts w:eastAsiaTheme="minorEastAsia"/>
          <w:bCs/>
          <w:sz w:val="22"/>
          <w:szCs w:val="22"/>
          <w:lang w:val="en-GB" w:eastAsia="ko-KR"/>
        </w:rPr>
        <w:t xml:space="preserve"> </w:t>
      </w:r>
      <w:r w:rsidRPr="003763AA">
        <w:rPr>
          <w:rFonts w:eastAsia="Calibri"/>
          <w:bCs/>
          <w:sz w:val="22"/>
          <w:szCs w:val="22"/>
          <w:lang w:val="en-GB"/>
        </w:rPr>
        <w:t>TCC14 and WCPFC15 consider a revision to the southern area of application of CMM</w:t>
      </w:r>
      <w:r w:rsidRPr="003763AA">
        <w:rPr>
          <w:rFonts w:eastAsiaTheme="minorEastAsia" w:hint="eastAsia"/>
          <w:bCs/>
          <w:sz w:val="22"/>
          <w:szCs w:val="22"/>
          <w:lang w:val="en-GB" w:eastAsia="ko-KR"/>
        </w:rPr>
        <w:t xml:space="preserve"> </w:t>
      </w:r>
      <w:r w:rsidRPr="003763AA">
        <w:rPr>
          <w:rFonts w:eastAsia="Calibri"/>
          <w:bCs/>
          <w:sz w:val="22"/>
          <w:szCs w:val="22"/>
          <w:lang w:val="en-GB"/>
        </w:rPr>
        <w:t>2017-06, including implementation considerations of SIDS and Territories.</w:t>
      </w:r>
      <w:r w:rsidRPr="003763AA">
        <w:rPr>
          <w:rFonts w:eastAsiaTheme="minorEastAsia"/>
          <w:bCs/>
          <w:sz w:val="22"/>
          <w:szCs w:val="22"/>
          <w:lang w:val="en-GB" w:eastAsia="ko-KR"/>
        </w:rPr>
        <w:t xml:space="preserve"> </w:t>
      </w:r>
    </w:p>
    <w:p w14:paraId="0CBE07C8" w14:textId="77777777" w:rsidR="003D217E" w:rsidRPr="000E114B" w:rsidRDefault="003D217E" w:rsidP="003D217E">
      <w:pPr>
        <w:autoSpaceDE w:val="0"/>
        <w:autoSpaceDN w:val="0"/>
        <w:adjustRightInd w:val="0"/>
        <w:snapToGrid w:val="0"/>
        <w:jc w:val="both"/>
        <w:rPr>
          <w:rFonts w:eastAsiaTheme="minorEastAsia"/>
          <w:sz w:val="22"/>
          <w:szCs w:val="22"/>
          <w:lang w:eastAsia="ko-KR"/>
        </w:rPr>
      </w:pPr>
    </w:p>
    <w:p w14:paraId="713D2D17" w14:textId="77777777" w:rsidR="003D217E" w:rsidRPr="003763AA" w:rsidRDefault="003D217E" w:rsidP="00580EA4">
      <w:pPr>
        <w:pStyle w:val="SC2"/>
        <w:numPr>
          <w:ilvl w:val="1"/>
          <w:numId w:val="160"/>
        </w:numPr>
        <w:spacing w:after="0"/>
        <w:rPr>
          <w:sz w:val="24"/>
          <w:szCs w:val="24"/>
        </w:rPr>
      </w:pPr>
      <w:r w:rsidRPr="003763AA">
        <w:rPr>
          <w:sz w:val="24"/>
          <w:szCs w:val="24"/>
        </w:rPr>
        <w:t xml:space="preserve">Sea turtles </w:t>
      </w:r>
      <w:r w:rsidRPr="003763AA">
        <w:rPr>
          <w:sz w:val="24"/>
          <w:szCs w:val="24"/>
        </w:rPr>
        <w:tab/>
      </w:r>
    </w:p>
    <w:p w14:paraId="52F7B65A" w14:textId="77777777" w:rsidR="003D217E" w:rsidRPr="004635E5" w:rsidRDefault="003D217E" w:rsidP="003D217E">
      <w:pPr>
        <w:pStyle w:val="SC2"/>
        <w:numPr>
          <w:ilvl w:val="0"/>
          <w:numId w:val="0"/>
        </w:numPr>
        <w:spacing w:after="0"/>
        <w:ind w:left="720"/>
      </w:pPr>
    </w:p>
    <w:p w14:paraId="041B8339" w14:textId="77777777" w:rsidR="003D217E" w:rsidRPr="003763AA" w:rsidRDefault="003D217E"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3763AA">
        <w:rPr>
          <w:rFonts w:eastAsiaTheme="minorEastAsia"/>
          <w:sz w:val="22"/>
          <w:szCs w:val="22"/>
          <w:lang w:eastAsia="ko-KR"/>
        </w:rPr>
        <w:t>SC14 noted that only limited information exists on direct comparison of catch rates of target and non-target species among J hook, Japanese tuna hook, and large circle hook, in particular for deep longline sets</w:t>
      </w:r>
      <w:r w:rsidRPr="003763AA">
        <w:rPr>
          <w:rFonts w:eastAsiaTheme="minorEastAsia" w:hint="eastAsia"/>
          <w:sz w:val="22"/>
          <w:szCs w:val="22"/>
          <w:lang w:eastAsia="ko-KR"/>
        </w:rPr>
        <w:t>.</w:t>
      </w:r>
    </w:p>
    <w:p w14:paraId="2E85E418" w14:textId="77777777" w:rsidR="003D217E" w:rsidRPr="003763AA" w:rsidRDefault="003D217E" w:rsidP="003D217E">
      <w:pPr>
        <w:pStyle w:val="ListParagraph"/>
        <w:adjustRightInd w:val="0"/>
        <w:snapToGrid w:val="0"/>
        <w:rPr>
          <w:rFonts w:eastAsiaTheme="minorEastAsia"/>
          <w:sz w:val="22"/>
          <w:szCs w:val="22"/>
          <w:lang w:eastAsia="ko-KR"/>
        </w:rPr>
      </w:pPr>
    </w:p>
    <w:p w14:paraId="618C4402" w14:textId="77777777" w:rsidR="003D217E" w:rsidRPr="003763AA" w:rsidRDefault="003D217E"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3763AA">
        <w:rPr>
          <w:rFonts w:eastAsiaTheme="minorEastAsia"/>
          <w:sz w:val="22"/>
          <w:szCs w:val="22"/>
          <w:lang w:eastAsia="ko-KR"/>
        </w:rPr>
        <w:t>SC14 encouraged CCMs to collect further information on catch rates of target and non-target species separated by hook types and hook sizes and to report them to the WCPFC.</w:t>
      </w:r>
      <w:r w:rsidRPr="003763AA">
        <w:rPr>
          <w:rFonts w:eastAsiaTheme="minorEastAsia" w:hint="eastAsia"/>
          <w:sz w:val="22"/>
          <w:szCs w:val="22"/>
          <w:lang w:eastAsia="ko-KR"/>
        </w:rPr>
        <w:t xml:space="preserve"> </w:t>
      </w:r>
    </w:p>
    <w:p w14:paraId="5D19F204" w14:textId="77777777" w:rsidR="003D217E" w:rsidRPr="003763AA" w:rsidRDefault="003D217E" w:rsidP="003D217E">
      <w:pPr>
        <w:autoSpaceDE w:val="0"/>
        <w:autoSpaceDN w:val="0"/>
        <w:adjustRightInd w:val="0"/>
        <w:snapToGrid w:val="0"/>
        <w:jc w:val="both"/>
        <w:rPr>
          <w:rFonts w:eastAsiaTheme="minorEastAsia"/>
          <w:sz w:val="22"/>
          <w:szCs w:val="22"/>
          <w:lang w:eastAsia="ko-KR"/>
        </w:rPr>
      </w:pPr>
    </w:p>
    <w:p w14:paraId="476675DE" w14:textId="77777777" w:rsidR="003D217E" w:rsidRPr="003763AA" w:rsidRDefault="003D217E"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3763AA">
        <w:rPr>
          <w:rFonts w:eastAsiaTheme="minorEastAsia"/>
          <w:sz w:val="22"/>
          <w:szCs w:val="22"/>
          <w:lang w:val="en-NZ" w:eastAsia="ko-KR"/>
        </w:rPr>
        <w:t>SC14 recommended that the Commission note that:</w:t>
      </w:r>
    </w:p>
    <w:p w14:paraId="40C4AD80" w14:textId="77777777" w:rsidR="003D217E" w:rsidRPr="003763AA" w:rsidRDefault="003D217E" w:rsidP="00580EA4">
      <w:pPr>
        <w:numPr>
          <w:ilvl w:val="0"/>
          <w:numId w:val="63"/>
        </w:numPr>
        <w:autoSpaceDE w:val="0"/>
        <w:autoSpaceDN w:val="0"/>
        <w:adjustRightInd w:val="0"/>
        <w:snapToGrid w:val="0"/>
        <w:ind w:left="1080"/>
        <w:jc w:val="both"/>
        <w:rPr>
          <w:rFonts w:eastAsiaTheme="minorEastAsia"/>
          <w:sz w:val="22"/>
          <w:szCs w:val="22"/>
          <w:lang w:val="en-NZ" w:eastAsia="ko-KR"/>
        </w:rPr>
      </w:pPr>
      <w:r w:rsidRPr="003763AA">
        <w:rPr>
          <w:rFonts w:eastAsiaTheme="minorEastAsia"/>
          <w:sz w:val="22"/>
          <w:szCs w:val="22"/>
          <w:lang w:val="en-NZ" w:eastAsia="ko-KR"/>
        </w:rPr>
        <w:t>less than 1% of Western and Central Pacific Ocean (WCPO) longline effort is subject to mitigation under CMM 2008-03, even though approximately 20% of the WCPO longline effort consists of shallow sets. This results because CMM 2008-03 only applies to longline vessels that fish for swordfish in a shallow-set manner.</w:t>
      </w:r>
    </w:p>
    <w:p w14:paraId="5440D7E6" w14:textId="77777777" w:rsidR="003D217E" w:rsidRPr="003763AA" w:rsidRDefault="003D217E" w:rsidP="00580EA4">
      <w:pPr>
        <w:numPr>
          <w:ilvl w:val="0"/>
          <w:numId w:val="63"/>
        </w:numPr>
        <w:autoSpaceDE w:val="0"/>
        <w:autoSpaceDN w:val="0"/>
        <w:adjustRightInd w:val="0"/>
        <w:snapToGrid w:val="0"/>
        <w:ind w:left="1080"/>
        <w:jc w:val="both"/>
        <w:rPr>
          <w:rFonts w:eastAsiaTheme="minorEastAsia"/>
          <w:sz w:val="22"/>
          <w:szCs w:val="22"/>
          <w:lang w:val="en-NZ" w:eastAsia="ko-KR"/>
        </w:rPr>
      </w:pPr>
      <w:r w:rsidRPr="003763AA">
        <w:rPr>
          <w:rFonts w:eastAsiaTheme="minorEastAsia"/>
          <w:sz w:val="22"/>
          <w:szCs w:val="22"/>
          <w:lang w:val="en-NZ" w:eastAsia="ko-KR"/>
        </w:rPr>
        <w:t xml:space="preserve">Noting that SC13 recommended that:  </w:t>
      </w:r>
    </w:p>
    <w:p w14:paraId="56A76892" w14:textId="77777777" w:rsidR="003D217E" w:rsidRPr="003763AA" w:rsidRDefault="003D217E" w:rsidP="003D217E">
      <w:pPr>
        <w:autoSpaceDE w:val="0"/>
        <w:autoSpaceDN w:val="0"/>
        <w:adjustRightInd w:val="0"/>
        <w:snapToGrid w:val="0"/>
        <w:ind w:left="1080"/>
        <w:jc w:val="both"/>
        <w:rPr>
          <w:rFonts w:eastAsiaTheme="minorEastAsia"/>
          <w:sz w:val="22"/>
          <w:szCs w:val="22"/>
          <w:lang w:val="en-AU" w:eastAsia="ko-KR"/>
        </w:rPr>
      </w:pPr>
      <w:r w:rsidRPr="003763AA">
        <w:rPr>
          <w:rFonts w:eastAsiaTheme="minorEastAsia"/>
          <w:sz w:val="22"/>
          <w:szCs w:val="22"/>
          <w:lang w:val="en-AU" w:eastAsia="ko-KR"/>
        </w:rPr>
        <w:t xml:space="preserve">TCC and the Commission note the following findings of the Joint Analysis of Sea Turtle Mitigation Effectiveness Workshop when discussing sea turtle mitigation in the WCPF Convention Area:  </w:t>
      </w:r>
    </w:p>
    <w:p w14:paraId="6F6396F5" w14:textId="77777777" w:rsidR="003D217E" w:rsidRPr="003763AA" w:rsidRDefault="003D217E" w:rsidP="00580EA4">
      <w:pPr>
        <w:numPr>
          <w:ilvl w:val="0"/>
          <w:numId w:val="64"/>
        </w:numPr>
        <w:autoSpaceDE w:val="0"/>
        <w:autoSpaceDN w:val="0"/>
        <w:adjustRightInd w:val="0"/>
        <w:snapToGrid w:val="0"/>
        <w:ind w:left="1440"/>
        <w:jc w:val="both"/>
        <w:rPr>
          <w:rFonts w:eastAsiaTheme="minorEastAsia"/>
          <w:sz w:val="22"/>
          <w:szCs w:val="22"/>
          <w:lang w:eastAsia="ko-KR"/>
        </w:rPr>
      </w:pPr>
      <w:r w:rsidRPr="003763AA">
        <w:rPr>
          <w:rFonts w:eastAsiaTheme="minorEastAsia"/>
          <w:sz w:val="22"/>
          <w:szCs w:val="22"/>
          <w:lang w:eastAsia="ko-KR"/>
        </w:rPr>
        <w:t>The WCPFC does not hold sufficient information to quantify the severity of the threat posed by longline fisheries to sea turtle populations;</w:t>
      </w:r>
    </w:p>
    <w:p w14:paraId="5AA320C0" w14:textId="77777777" w:rsidR="003D217E" w:rsidRPr="003763AA" w:rsidRDefault="003D217E" w:rsidP="00580EA4">
      <w:pPr>
        <w:numPr>
          <w:ilvl w:val="0"/>
          <w:numId w:val="64"/>
        </w:numPr>
        <w:autoSpaceDE w:val="0"/>
        <w:autoSpaceDN w:val="0"/>
        <w:adjustRightInd w:val="0"/>
        <w:snapToGrid w:val="0"/>
        <w:ind w:left="1440"/>
        <w:jc w:val="both"/>
        <w:rPr>
          <w:rFonts w:eastAsiaTheme="minorEastAsia"/>
          <w:sz w:val="22"/>
          <w:szCs w:val="22"/>
          <w:lang w:eastAsia="ko-KR"/>
        </w:rPr>
      </w:pPr>
      <w:r w:rsidRPr="003763AA">
        <w:rPr>
          <w:rFonts w:eastAsiaTheme="minorEastAsia"/>
          <w:sz w:val="22"/>
          <w:szCs w:val="22"/>
          <w:lang w:eastAsia="ko-KR"/>
        </w:rPr>
        <w:t>The effect of large circle hooks (size 16/0 or larger) in reducing interactions is generally greater than the effect of fish bait;</w:t>
      </w:r>
    </w:p>
    <w:p w14:paraId="3F2C4762" w14:textId="77777777" w:rsidR="003D217E" w:rsidRPr="003763AA" w:rsidRDefault="003D217E" w:rsidP="00580EA4">
      <w:pPr>
        <w:numPr>
          <w:ilvl w:val="0"/>
          <w:numId w:val="64"/>
        </w:numPr>
        <w:autoSpaceDE w:val="0"/>
        <w:autoSpaceDN w:val="0"/>
        <w:adjustRightInd w:val="0"/>
        <w:snapToGrid w:val="0"/>
        <w:ind w:left="1440"/>
        <w:jc w:val="both"/>
        <w:rPr>
          <w:rFonts w:eastAsiaTheme="minorEastAsia"/>
          <w:sz w:val="22"/>
          <w:szCs w:val="22"/>
          <w:lang w:eastAsia="ko-KR"/>
        </w:rPr>
      </w:pPr>
      <w:r w:rsidRPr="003763AA">
        <w:rPr>
          <w:rFonts w:eastAsiaTheme="minorEastAsia"/>
          <w:sz w:val="22"/>
          <w:szCs w:val="22"/>
          <w:lang w:eastAsia="ko-KR"/>
        </w:rPr>
        <w:t xml:space="preserve">The effect of fish bait in reducing both interactions and mortality is generally similar to that of removal of the first hook position closest to each float; </w:t>
      </w:r>
    </w:p>
    <w:p w14:paraId="20BB4814" w14:textId="77777777" w:rsidR="003D217E" w:rsidRPr="003763AA" w:rsidRDefault="003D217E" w:rsidP="00580EA4">
      <w:pPr>
        <w:numPr>
          <w:ilvl w:val="0"/>
          <w:numId w:val="64"/>
        </w:numPr>
        <w:autoSpaceDE w:val="0"/>
        <w:autoSpaceDN w:val="0"/>
        <w:adjustRightInd w:val="0"/>
        <w:snapToGrid w:val="0"/>
        <w:ind w:left="1440"/>
        <w:jc w:val="both"/>
        <w:rPr>
          <w:rFonts w:eastAsiaTheme="minorEastAsia"/>
          <w:sz w:val="22"/>
          <w:szCs w:val="22"/>
          <w:lang w:eastAsia="ko-KR"/>
        </w:rPr>
      </w:pPr>
      <w:r w:rsidRPr="003763AA">
        <w:rPr>
          <w:rFonts w:eastAsiaTheme="minorEastAsia"/>
          <w:sz w:val="22"/>
          <w:szCs w:val="22"/>
          <w:lang w:eastAsia="ko-KR"/>
        </w:rPr>
        <w:t xml:space="preserve">The effect of large circle hooks (size 16/0 or larger) in reducing both interactions and mortality is generally similar to that of removal of the first two hook positions closest to each float; </w:t>
      </w:r>
    </w:p>
    <w:p w14:paraId="4BC8FA10" w14:textId="77777777" w:rsidR="003D217E" w:rsidRPr="003763AA" w:rsidRDefault="003D217E" w:rsidP="00580EA4">
      <w:pPr>
        <w:numPr>
          <w:ilvl w:val="0"/>
          <w:numId w:val="64"/>
        </w:numPr>
        <w:autoSpaceDE w:val="0"/>
        <w:autoSpaceDN w:val="0"/>
        <w:adjustRightInd w:val="0"/>
        <w:snapToGrid w:val="0"/>
        <w:ind w:left="1440"/>
        <w:jc w:val="both"/>
        <w:rPr>
          <w:rFonts w:eastAsiaTheme="minorEastAsia"/>
          <w:sz w:val="22"/>
          <w:szCs w:val="22"/>
          <w:lang w:eastAsia="ko-KR"/>
        </w:rPr>
      </w:pPr>
      <w:r w:rsidRPr="003763AA">
        <w:rPr>
          <w:rFonts w:eastAsiaTheme="minorEastAsia"/>
          <w:sz w:val="22"/>
          <w:szCs w:val="22"/>
          <w:lang w:eastAsia="ko-KR"/>
        </w:rPr>
        <w:t xml:space="preserve">While approximately 20% of the WCPO longline effort is in shallow sets, analysis suggests that &lt;1% of WCPO longline effort is currently subject to mitigation;  </w:t>
      </w:r>
    </w:p>
    <w:p w14:paraId="782E06A2" w14:textId="77777777" w:rsidR="003D217E" w:rsidRPr="003763AA" w:rsidRDefault="003D217E" w:rsidP="00580EA4">
      <w:pPr>
        <w:numPr>
          <w:ilvl w:val="0"/>
          <w:numId w:val="64"/>
        </w:numPr>
        <w:autoSpaceDE w:val="0"/>
        <w:autoSpaceDN w:val="0"/>
        <w:adjustRightInd w:val="0"/>
        <w:snapToGrid w:val="0"/>
        <w:ind w:left="1440"/>
        <w:jc w:val="both"/>
        <w:rPr>
          <w:rFonts w:eastAsiaTheme="minorEastAsia"/>
          <w:sz w:val="22"/>
          <w:szCs w:val="22"/>
          <w:lang w:eastAsia="ko-KR"/>
        </w:rPr>
      </w:pPr>
      <w:r w:rsidRPr="003763AA">
        <w:rPr>
          <w:rFonts w:eastAsiaTheme="minorEastAsia"/>
          <w:sz w:val="22"/>
          <w:szCs w:val="22"/>
          <w:lang w:eastAsia="ko-KR"/>
        </w:rPr>
        <w:t>Noting that the workshop separated shallow and deep sets at 10 hooks per basket, it found that although interaction rates are higher in shallow-set longlines, introducing mitigation to deep-set longlines would deliver greater reductions in total interactions as compared to shallow-set longlines due to the four-times greater effort in deep-set longline fisheries;</w:t>
      </w:r>
    </w:p>
    <w:p w14:paraId="18C1785A" w14:textId="77777777" w:rsidR="003D217E" w:rsidRPr="003763AA" w:rsidRDefault="003D217E" w:rsidP="00580EA4">
      <w:pPr>
        <w:numPr>
          <w:ilvl w:val="0"/>
          <w:numId w:val="64"/>
        </w:numPr>
        <w:autoSpaceDE w:val="0"/>
        <w:autoSpaceDN w:val="0"/>
        <w:adjustRightInd w:val="0"/>
        <w:snapToGrid w:val="0"/>
        <w:ind w:left="1440"/>
        <w:jc w:val="both"/>
        <w:rPr>
          <w:rFonts w:eastAsiaTheme="minorEastAsia"/>
          <w:sz w:val="22"/>
          <w:szCs w:val="22"/>
          <w:lang w:eastAsia="ko-KR"/>
        </w:rPr>
      </w:pPr>
      <w:r w:rsidRPr="003763AA">
        <w:rPr>
          <w:rFonts w:eastAsiaTheme="minorEastAsia"/>
          <w:sz w:val="22"/>
          <w:szCs w:val="22"/>
          <w:lang w:eastAsia="ko-KR"/>
        </w:rPr>
        <w:t xml:space="preserve">Similarly, introducing mitigation to deep-set longlines would deliver greater reductions in at-vessel mortality as compared to shallow-set mitigation because sea turtles have a higher probability of asphyxiation in deep sets; </w:t>
      </w:r>
    </w:p>
    <w:p w14:paraId="5132E624" w14:textId="77777777" w:rsidR="003D217E" w:rsidRPr="003763AA" w:rsidRDefault="003D217E" w:rsidP="00580EA4">
      <w:pPr>
        <w:numPr>
          <w:ilvl w:val="0"/>
          <w:numId w:val="64"/>
        </w:numPr>
        <w:autoSpaceDE w:val="0"/>
        <w:autoSpaceDN w:val="0"/>
        <w:adjustRightInd w:val="0"/>
        <w:snapToGrid w:val="0"/>
        <w:ind w:left="1440"/>
        <w:jc w:val="both"/>
        <w:rPr>
          <w:rFonts w:eastAsiaTheme="minorEastAsia"/>
          <w:sz w:val="22"/>
          <w:szCs w:val="22"/>
          <w:lang w:eastAsia="ko-KR"/>
        </w:rPr>
      </w:pPr>
      <w:r w:rsidRPr="003763AA">
        <w:rPr>
          <w:rFonts w:eastAsiaTheme="minorEastAsia"/>
          <w:sz w:val="22"/>
          <w:szCs w:val="22"/>
          <w:lang w:eastAsia="ko-KR"/>
        </w:rPr>
        <w:t xml:space="preserve">The effects of these and other combinations of mitigation measures are quantified and discussed in the final workshop report “Joint Analysis of Sea Turtle Mitigation Effectiveness” which can serve as a reference for the Commission’s further consideration of CMM 2008-03. </w:t>
      </w:r>
    </w:p>
    <w:p w14:paraId="28B3DDED" w14:textId="77777777" w:rsidR="003D217E" w:rsidRPr="003763AA" w:rsidRDefault="003D217E" w:rsidP="00580EA4">
      <w:pPr>
        <w:numPr>
          <w:ilvl w:val="0"/>
          <w:numId w:val="64"/>
        </w:numPr>
        <w:autoSpaceDE w:val="0"/>
        <w:autoSpaceDN w:val="0"/>
        <w:adjustRightInd w:val="0"/>
        <w:snapToGrid w:val="0"/>
        <w:ind w:left="1440"/>
        <w:jc w:val="both"/>
        <w:rPr>
          <w:rFonts w:eastAsiaTheme="minorEastAsia"/>
          <w:sz w:val="22"/>
          <w:szCs w:val="22"/>
          <w:lang w:eastAsia="ko-KR"/>
        </w:rPr>
      </w:pPr>
      <w:r w:rsidRPr="003763AA">
        <w:rPr>
          <w:rFonts w:eastAsiaTheme="minorEastAsia"/>
          <w:sz w:val="22"/>
          <w:szCs w:val="22"/>
          <w:lang w:eastAsia="ko-KR"/>
        </w:rPr>
        <w:t xml:space="preserve">It be determined if sufficient data exist to conduct further analyses to evaluate the impacts of various mitigation measures on fisheries operations in WCPO and on populations of sea turtle species. </w:t>
      </w:r>
    </w:p>
    <w:p w14:paraId="1755A7B0" w14:textId="77777777" w:rsidR="003D217E" w:rsidRPr="003763AA" w:rsidRDefault="003D217E" w:rsidP="003D217E">
      <w:pPr>
        <w:autoSpaceDE w:val="0"/>
        <w:autoSpaceDN w:val="0"/>
        <w:adjustRightInd w:val="0"/>
        <w:snapToGrid w:val="0"/>
        <w:jc w:val="both"/>
        <w:rPr>
          <w:rFonts w:eastAsiaTheme="minorEastAsia"/>
          <w:sz w:val="22"/>
          <w:szCs w:val="22"/>
          <w:lang w:val="en-NZ" w:eastAsia="ko-KR"/>
        </w:rPr>
      </w:pPr>
    </w:p>
    <w:p w14:paraId="4C0ED591" w14:textId="77777777" w:rsidR="003D217E" w:rsidRPr="003763AA" w:rsidRDefault="003D217E" w:rsidP="003D217E">
      <w:pPr>
        <w:pStyle w:val="WCPFC"/>
        <w:adjustRightInd w:val="0"/>
        <w:spacing w:after="0"/>
        <w:ind w:left="0" w:firstLine="0"/>
      </w:pPr>
      <w:r w:rsidRPr="003763AA">
        <w:t>In responding to the Commission’s request in WCPFC14 Summary Report, para 362, SC14 discussed two papers (WCPFC-2018-SC14/EB-WP-06 and SC14-EB-WP-08) examining the effects of circle hooks on target and other bycatch species, but did not reach consensus on the effectiveness of circle hooks compared to other hook types on catch rates of target and other bycatch species.</w:t>
      </w:r>
    </w:p>
    <w:p w14:paraId="7023F237" w14:textId="77777777" w:rsidR="003D217E" w:rsidRPr="004635E5" w:rsidRDefault="003D217E" w:rsidP="003D217E">
      <w:pPr>
        <w:autoSpaceDE w:val="0"/>
        <w:autoSpaceDN w:val="0"/>
        <w:adjustRightInd w:val="0"/>
        <w:snapToGrid w:val="0"/>
        <w:jc w:val="both"/>
        <w:rPr>
          <w:rFonts w:eastAsiaTheme="minorEastAsia"/>
          <w:sz w:val="22"/>
          <w:szCs w:val="22"/>
          <w:lang w:val="en-NZ" w:eastAsia="ko-KR"/>
        </w:rPr>
      </w:pPr>
    </w:p>
    <w:p w14:paraId="2E102051" w14:textId="77777777" w:rsidR="003D217E" w:rsidRPr="004635E5" w:rsidRDefault="003D217E" w:rsidP="003D217E">
      <w:pPr>
        <w:pStyle w:val="Heading1"/>
        <w:numPr>
          <w:ilvl w:val="0"/>
          <w:numId w:val="0"/>
        </w:numPr>
        <w:adjustRightInd w:val="0"/>
        <w:snapToGrid w:val="0"/>
        <w:spacing w:after="0"/>
        <w:ind w:left="360"/>
        <w:rPr>
          <w:lang w:eastAsia="ko-KR"/>
        </w:rPr>
      </w:pPr>
    </w:p>
    <w:p w14:paraId="091FCA28" w14:textId="28135846" w:rsidR="006958E8" w:rsidRPr="00166EEA" w:rsidRDefault="003D217E" w:rsidP="006958E8">
      <w:pPr>
        <w:pStyle w:val="Heading1"/>
        <w:numPr>
          <w:ilvl w:val="0"/>
          <w:numId w:val="0"/>
        </w:numPr>
        <w:adjustRightInd w:val="0"/>
        <w:snapToGrid w:val="0"/>
        <w:spacing w:after="0"/>
        <w:ind w:left="720"/>
        <w:rPr>
          <w:sz w:val="28"/>
          <w:szCs w:val="28"/>
        </w:rPr>
      </w:pPr>
      <w:r w:rsidRPr="00166EEA">
        <w:rPr>
          <w:sz w:val="28"/>
          <w:szCs w:val="28"/>
        </w:rPr>
        <w:t>AGENDA ITEM 7 — OTHER RESEARCH PROJECTS</w:t>
      </w:r>
      <w:r w:rsidR="006958E8" w:rsidRPr="00166EEA">
        <w:rPr>
          <w:sz w:val="28"/>
          <w:szCs w:val="28"/>
        </w:rPr>
        <w:fldChar w:fldCharType="begin"/>
      </w:r>
      <w:r w:rsidR="006958E8">
        <w:rPr>
          <w:sz w:val="28"/>
          <w:szCs w:val="28"/>
        </w:rPr>
        <w:instrText xml:space="preserve"> TC "</w:instrText>
      </w:r>
      <w:bookmarkStart w:id="33" w:name="_Toc16418006"/>
      <w:r w:rsidR="006958E8">
        <w:rPr>
          <w:sz w:val="28"/>
          <w:szCs w:val="28"/>
        </w:rPr>
        <w:instrText>AGENDA ITEM 7</w:instrText>
      </w:r>
      <w:r w:rsidR="006958E8" w:rsidRPr="00166EEA">
        <w:rPr>
          <w:sz w:val="28"/>
          <w:szCs w:val="28"/>
        </w:rPr>
        <w:instrText xml:space="preserve"> — </w:instrText>
      </w:r>
      <w:r w:rsidR="006958E8">
        <w:rPr>
          <w:sz w:val="28"/>
          <w:szCs w:val="28"/>
        </w:rPr>
        <w:instrText>OTHER RESEARCH PROJECTS</w:instrText>
      </w:r>
      <w:bookmarkEnd w:id="33"/>
      <w:r w:rsidR="006958E8" w:rsidRPr="00166EEA">
        <w:rPr>
          <w:sz w:val="28"/>
          <w:szCs w:val="28"/>
        </w:rPr>
        <w:instrText xml:space="preserve">" \f C \l "1" </w:instrText>
      </w:r>
      <w:r w:rsidR="006958E8" w:rsidRPr="00166EEA">
        <w:rPr>
          <w:sz w:val="28"/>
          <w:szCs w:val="28"/>
        </w:rPr>
        <w:fldChar w:fldCharType="end"/>
      </w:r>
    </w:p>
    <w:p w14:paraId="3BB4927A" w14:textId="1B54391D" w:rsidR="003D217E" w:rsidRPr="00166EEA" w:rsidRDefault="003D217E" w:rsidP="003D217E">
      <w:pPr>
        <w:pStyle w:val="Heading1"/>
        <w:numPr>
          <w:ilvl w:val="0"/>
          <w:numId w:val="0"/>
        </w:numPr>
        <w:adjustRightInd w:val="0"/>
        <w:snapToGrid w:val="0"/>
        <w:spacing w:after="0"/>
        <w:rPr>
          <w:sz w:val="28"/>
          <w:szCs w:val="28"/>
        </w:rPr>
      </w:pPr>
    </w:p>
    <w:p w14:paraId="19641E00" w14:textId="77777777" w:rsidR="003D217E" w:rsidRPr="004635E5" w:rsidRDefault="003D217E" w:rsidP="00580EA4">
      <w:pPr>
        <w:pStyle w:val="ListParagraph"/>
        <w:numPr>
          <w:ilvl w:val="0"/>
          <w:numId w:val="160"/>
        </w:numPr>
        <w:adjustRightInd w:val="0"/>
        <w:snapToGrid w:val="0"/>
        <w:jc w:val="both"/>
        <w:rPr>
          <w:b/>
          <w:vanish/>
          <w:sz w:val="22"/>
          <w:szCs w:val="22"/>
          <w:lang w:val="en-NZ"/>
        </w:rPr>
      </w:pPr>
    </w:p>
    <w:p w14:paraId="30DFAB03" w14:textId="77777777" w:rsidR="003D217E" w:rsidRDefault="003D217E" w:rsidP="003D217E">
      <w:pPr>
        <w:pStyle w:val="SC2"/>
        <w:numPr>
          <w:ilvl w:val="0"/>
          <w:numId w:val="0"/>
        </w:numPr>
        <w:spacing w:after="0"/>
        <w:ind w:left="720"/>
        <w:rPr>
          <w:rFonts w:eastAsiaTheme="minorEastAsia"/>
          <w:lang w:eastAsia="ko-KR"/>
        </w:rPr>
      </w:pPr>
    </w:p>
    <w:p w14:paraId="0FB050BC" w14:textId="77777777" w:rsidR="003D217E" w:rsidRPr="00156305" w:rsidRDefault="003D217E" w:rsidP="003D217E">
      <w:pPr>
        <w:pStyle w:val="SC2"/>
        <w:numPr>
          <w:ilvl w:val="0"/>
          <w:numId w:val="0"/>
        </w:numPr>
        <w:spacing w:after="0"/>
        <w:ind w:left="720"/>
        <w:rPr>
          <w:rFonts w:eastAsiaTheme="minorEastAsia"/>
          <w:lang w:eastAsia="ko-KR"/>
        </w:rPr>
      </w:pPr>
    </w:p>
    <w:p w14:paraId="7A15EA13" w14:textId="77777777" w:rsidR="003D217E" w:rsidRPr="003763AA" w:rsidRDefault="003D217E" w:rsidP="002F6B26">
      <w:pPr>
        <w:pStyle w:val="SC2"/>
        <w:numPr>
          <w:ilvl w:val="1"/>
          <w:numId w:val="160"/>
        </w:numPr>
        <w:spacing w:after="0"/>
        <w:ind w:left="0" w:firstLine="0"/>
        <w:rPr>
          <w:sz w:val="24"/>
          <w:szCs w:val="24"/>
        </w:rPr>
      </w:pPr>
      <w:r w:rsidRPr="003763AA">
        <w:rPr>
          <w:sz w:val="24"/>
          <w:szCs w:val="24"/>
        </w:rPr>
        <w:t xml:space="preserve">Pacific Tuna Tagging Project  </w:t>
      </w:r>
    </w:p>
    <w:p w14:paraId="35C1DA6E" w14:textId="77777777" w:rsidR="003D217E" w:rsidRPr="004635E5" w:rsidRDefault="003D217E" w:rsidP="003D217E">
      <w:pPr>
        <w:pStyle w:val="SC2"/>
        <w:numPr>
          <w:ilvl w:val="0"/>
          <w:numId w:val="0"/>
        </w:numPr>
        <w:spacing w:after="0"/>
        <w:ind w:left="720"/>
      </w:pPr>
    </w:p>
    <w:p w14:paraId="68E58DCB" w14:textId="77777777" w:rsidR="003D217E" w:rsidRPr="003763AA" w:rsidRDefault="003D217E" w:rsidP="00580EA4">
      <w:pPr>
        <w:numPr>
          <w:ilvl w:val="0"/>
          <w:numId w:val="18"/>
        </w:numPr>
        <w:autoSpaceDE w:val="0"/>
        <w:autoSpaceDN w:val="0"/>
        <w:adjustRightInd w:val="0"/>
        <w:snapToGrid w:val="0"/>
        <w:ind w:left="0" w:firstLine="0"/>
        <w:jc w:val="both"/>
        <w:rPr>
          <w:sz w:val="22"/>
          <w:szCs w:val="22"/>
          <w:lang w:val="en-NZ"/>
        </w:rPr>
      </w:pPr>
      <w:r w:rsidRPr="003763AA">
        <w:rPr>
          <w:sz w:val="22"/>
          <w:szCs w:val="22"/>
          <w:lang w:val="en-NZ"/>
        </w:rPr>
        <w:t>essential because of its importance in providing critical information for the assessments of tropical tuna stocks.</w:t>
      </w:r>
    </w:p>
    <w:p w14:paraId="497D8ACC" w14:textId="77777777" w:rsidR="003D217E" w:rsidRPr="003763AA" w:rsidRDefault="003D217E" w:rsidP="003D217E">
      <w:pPr>
        <w:autoSpaceDE w:val="0"/>
        <w:autoSpaceDN w:val="0"/>
        <w:adjustRightInd w:val="0"/>
        <w:snapToGrid w:val="0"/>
        <w:jc w:val="both"/>
        <w:rPr>
          <w:sz w:val="22"/>
          <w:szCs w:val="22"/>
          <w:lang w:val="en-NZ"/>
        </w:rPr>
      </w:pPr>
    </w:p>
    <w:p w14:paraId="70429D15" w14:textId="77777777" w:rsidR="003D217E" w:rsidRPr="003763AA" w:rsidRDefault="003D217E" w:rsidP="00580EA4">
      <w:pPr>
        <w:numPr>
          <w:ilvl w:val="0"/>
          <w:numId w:val="18"/>
        </w:numPr>
        <w:autoSpaceDE w:val="0"/>
        <w:autoSpaceDN w:val="0"/>
        <w:adjustRightInd w:val="0"/>
        <w:snapToGrid w:val="0"/>
        <w:ind w:left="0" w:firstLine="0"/>
        <w:jc w:val="both"/>
        <w:rPr>
          <w:sz w:val="22"/>
          <w:szCs w:val="22"/>
          <w:lang w:val="en-NZ"/>
        </w:rPr>
      </w:pPr>
      <w:r w:rsidRPr="003763AA">
        <w:rPr>
          <w:sz w:val="22"/>
          <w:szCs w:val="22"/>
          <w:lang w:val="en-NZ"/>
        </w:rPr>
        <w:t>SC14 acknowledged the voluntary contributions from the Republic of Korea, European Union, Papua New Guinea, Australia, New Zealand and ISSF. SC14 encouraged other CCMs and observer organisations to consider contributing to this important work. Further SC14 acknowledged the support of national fisheries administrations, observer programmes and the tuna fishing industry in assisting with the project, in particular in the recovery of recaptured tags.</w:t>
      </w:r>
    </w:p>
    <w:p w14:paraId="46911AD3" w14:textId="77777777" w:rsidR="003D217E" w:rsidRPr="003763AA" w:rsidRDefault="003D217E" w:rsidP="003D217E">
      <w:pPr>
        <w:autoSpaceDE w:val="0"/>
        <w:autoSpaceDN w:val="0"/>
        <w:adjustRightInd w:val="0"/>
        <w:snapToGrid w:val="0"/>
        <w:jc w:val="both"/>
        <w:rPr>
          <w:sz w:val="22"/>
          <w:szCs w:val="22"/>
          <w:lang w:val="en-NZ"/>
        </w:rPr>
      </w:pPr>
    </w:p>
    <w:p w14:paraId="47BEF595" w14:textId="77777777" w:rsidR="003D217E" w:rsidRPr="003763AA" w:rsidRDefault="003D217E" w:rsidP="00580EA4">
      <w:pPr>
        <w:numPr>
          <w:ilvl w:val="0"/>
          <w:numId w:val="18"/>
        </w:numPr>
        <w:autoSpaceDE w:val="0"/>
        <w:autoSpaceDN w:val="0"/>
        <w:adjustRightInd w:val="0"/>
        <w:snapToGrid w:val="0"/>
        <w:ind w:left="0" w:firstLine="0"/>
        <w:jc w:val="both"/>
        <w:rPr>
          <w:sz w:val="22"/>
          <w:szCs w:val="22"/>
          <w:lang w:val="en-NZ"/>
        </w:rPr>
      </w:pPr>
      <w:r w:rsidRPr="003763AA">
        <w:rPr>
          <w:sz w:val="22"/>
          <w:szCs w:val="22"/>
          <w:lang w:val="en-NZ"/>
        </w:rPr>
        <w:t>SC14 recommended that the Commission support the PTTP work plan and associated budget for 2019 and the work plan and associated indicative budget for 2020-2021, noting that it includes consideration of the recent voluntary contribution from the Republic of Korea.</w:t>
      </w:r>
    </w:p>
    <w:p w14:paraId="03E0224F" w14:textId="77777777" w:rsidR="003D217E" w:rsidRPr="003763AA" w:rsidRDefault="003D217E" w:rsidP="003D217E">
      <w:pPr>
        <w:autoSpaceDE w:val="0"/>
        <w:autoSpaceDN w:val="0"/>
        <w:adjustRightInd w:val="0"/>
        <w:snapToGrid w:val="0"/>
        <w:jc w:val="both"/>
        <w:rPr>
          <w:sz w:val="22"/>
          <w:szCs w:val="22"/>
          <w:lang w:val="en-NZ"/>
        </w:rPr>
      </w:pPr>
    </w:p>
    <w:p w14:paraId="4890E79F" w14:textId="77777777" w:rsidR="003D217E" w:rsidRPr="003763AA" w:rsidRDefault="003D217E" w:rsidP="00580EA4">
      <w:pPr>
        <w:numPr>
          <w:ilvl w:val="0"/>
          <w:numId w:val="18"/>
        </w:numPr>
        <w:autoSpaceDE w:val="0"/>
        <w:autoSpaceDN w:val="0"/>
        <w:adjustRightInd w:val="0"/>
        <w:snapToGrid w:val="0"/>
        <w:ind w:left="0" w:firstLine="0"/>
        <w:jc w:val="both"/>
        <w:rPr>
          <w:sz w:val="22"/>
          <w:szCs w:val="22"/>
          <w:lang w:val="en-NZ"/>
        </w:rPr>
      </w:pPr>
      <w:r w:rsidRPr="003763AA">
        <w:rPr>
          <w:sz w:val="22"/>
          <w:szCs w:val="22"/>
          <w:lang w:val="en-NZ"/>
        </w:rPr>
        <w:t>SC14 noted the advice of the Scientific Services Provider and the PTTP Steering Committee (SC14-RP-PTTP-01) that the availability and cost of suitable tuna fishing vessels to undertake tagging charters is subject to considerable uncertainty. SC14 recommended that should available budget be insufficient or if a suitable pole-and-line vessel makes it impossible to conduct WP5 in 2019 as scheduled in the work plan, the Executive Director may authorize an amendment to the schedule such that CP14 be conducted in 2019 and WP5 be conducted in 2020.</w:t>
      </w:r>
    </w:p>
    <w:p w14:paraId="7A129E11" w14:textId="77777777" w:rsidR="003D217E" w:rsidRPr="003763AA" w:rsidRDefault="003D217E" w:rsidP="003D217E">
      <w:pPr>
        <w:autoSpaceDE w:val="0"/>
        <w:autoSpaceDN w:val="0"/>
        <w:adjustRightInd w:val="0"/>
        <w:snapToGrid w:val="0"/>
        <w:jc w:val="both"/>
        <w:rPr>
          <w:sz w:val="22"/>
          <w:szCs w:val="22"/>
          <w:lang w:val="en-NZ"/>
        </w:rPr>
      </w:pPr>
    </w:p>
    <w:p w14:paraId="3746F42D" w14:textId="77777777" w:rsidR="003D217E" w:rsidRPr="003763AA" w:rsidRDefault="003D217E" w:rsidP="00580EA4">
      <w:pPr>
        <w:numPr>
          <w:ilvl w:val="0"/>
          <w:numId w:val="18"/>
        </w:numPr>
        <w:autoSpaceDE w:val="0"/>
        <w:autoSpaceDN w:val="0"/>
        <w:adjustRightInd w:val="0"/>
        <w:snapToGrid w:val="0"/>
        <w:ind w:left="0" w:firstLine="0"/>
        <w:jc w:val="both"/>
        <w:rPr>
          <w:sz w:val="22"/>
          <w:szCs w:val="22"/>
          <w:lang w:val="en-NZ"/>
        </w:rPr>
      </w:pPr>
      <w:r w:rsidRPr="003763AA">
        <w:rPr>
          <w:sz w:val="22"/>
          <w:szCs w:val="22"/>
          <w:lang w:val="en-NZ"/>
        </w:rPr>
        <w:t>SC14 also noted the advice of the Scientific Services Provider and the PTTP Steering Committee (SC14-RP-PTTP-01) that there is considerable uncertainty in the long-term sustainability of the tagging programme due to the escalating costs of vessel charter and limited availability of suitable vessels. SC14 therefore recommended that the Finance and Administration Committee and the Commission consider the proposed Project 83, in which it is proposed to assess the business case for the acquisition and operation of a dedicated research vessel for this purpose, with a view to realising cost-savings for the Commission over the long term. However one CCM did not consider that Project 83 was a scientific project and it should be possibly funded under another more appropriate budget line.</w:t>
      </w:r>
    </w:p>
    <w:p w14:paraId="381241E2" w14:textId="77777777" w:rsidR="003D217E" w:rsidRPr="004635E5" w:rsidRDefault="003D217E" w:rsidP="003D217E">
      <w:pPr>
        <w:autoSpaceDE w:val="0"/>
        <w:autoSpaceDN w:val="0"/>
        <w:adjustRightInd w:val="0"/>
        <w:snapToGrid w:val="0"/>
        <w:jc w:val="both"/>
        <w:rPr>
          <w:b/>
          <w:bCs/>
          <w:sz w:val="22"/>
          <w:szCs w:val="22"/>
          <w:lang w:val="en-NZ"/>
        </w:rPr>
      </w:pPr>
    </w:p>
    <w:p w14:paraId="2F764548" w14:textId="77777777" w:rsidR="003D217E" w:rsidRPr="003763AA" w:rsidRDefault="003D217E" w:rsidP="002F6B26">
      <w:pPr>
        <w:pStyle w:val="SC2"/>
        <w:numPr>
          <w:ilvl w:val="1"/>
          <w:numId w:val="160"/>
        </w:numPr>
        <w:spacing w:after="0"/>
        <w:ind w:left="0" w:firstLine="0"/>
        <w:rPr>
          <w:sz w:val="24"/>
          <w:szCs w:val="24"/>
        </w:rPr>
      </w:pPr>
      <w:r w:rsidRPr="003763AA">
        <w:rPr>
          <w:sz w:val="24"/>
          <w:szCs w:val="24"/>
        </w:rPr>
        <w:t>WCPFC Tissue Bank (Project 35b)</w:t>
      </w:r>
    </w:p>
    <w:p w14:paraId="674CAE40" w14:textId="77777777" w:rsidR="003D217E" w:rsidRPr="004635E5" w:rsidRDefault="003D217E" w:rsidP="003D217E">
      <w:pPr>
        <w:pStyle w:val="SC2"/>
        <w:numPr>
          <w:ilvl w:val="0"/>
          <w:numId w:val="0"/>
        </w:numPr>
        <w:spacing w:after="0"/>
        <w:ind w:left="720"/>
      </w:pPr>
    </w:p>
    <w:p w14:paraId="03C5B7F4" w14:textId="77777777" w:rsidR="003D217E" w:rsidRPr="003763AA" w:rsidRDefault="003D217E"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3763AA">
        <w:rPr>
          <w:rFonts w:eastAsiaTheme="minorEastAsia"/>
          <w:sz w:val="22"/>
          <w:szCs w:val="22"/>
          <w:lang w:val="en-NZ" w:eastAsia="ko-KR"/>
        </w:rPr>
        <w:t>The Scientific Committee reconfirmed that maintaining and enhancing the WCPFC Tuna Tissue Bank (P35b) is an essential project and recommended </w:t>
      </w:r>
      <w:r w:rsidRPr="003763AA">
        <w:rPr>
          <w:rFonts w:eastAsiaTheme="minorEastAsia"/>
          <w:sz w:val="22"/>
          <w:szCs w:val="22"/>
          <w:lang w:val="en-AU" w:eastAsia="ko-KR"/>
        </w:rPr>
        <w:t xml:space="preserve">the </w:t>
      </w:r>
      <w:r w:rsidRPr="003763AA">
        <w:rPr>
          <w:rFonts w:eastAsiaTheme="minorEastAsia"/>
          <w:sz w:val="22"/>
          <w:szCs w:val="22"/>
          <w:lang w:val="en-NZ" w:eastAsia="ko-KR"/>
        </w:rPr>
        <w:t>Commission</w:t>
      </w:r>
      <w:r w:rsidRPr="003763AA">
        <w:rPr>
          <w:rFonts w:eastAsiaTheme="minorEastAsia"/>
          <w:sz w:val="22"/>
          <w:szCs w:val="22"/>
          <w:lang w:val="en-AU" w:eastAsia="ko-KR"/>
        </w:rPr>
        <w:t xml:space="preserve"> support the work plan and associated budget for 2019, and the work plan and associated indicative budget for 2020-2021</w:t>
      </w:r>
      <w:r w:rsidRPr="003763AA">
        <w:rPr>
          <w:rFonts w:eastAsiaTheme="minorEastAsia"/>
          <w:sz w:val="22"/>
          <w:szCs w:val="22"/>
          <w:lang w:val="en-NZ" w:eastAsia="ko-KR"/>
        </w:rPr>
        <w:t>.</w:t>
      </w:r>
    </w:p>
    <w:p w14:paraId="532EB1EE" w14:textId="77777777" w:rsidR="003D217E" w:rsidRPr="003763AA" w:rsidRDefault="003D217E" w:rsidP="00580EA4">
      <w:pPr>
        <w:numPr>
          <w:ilvl w:val="0"/>
          <w:numId w:val="37"/>
        </w:numPr>
        <w:tabs>
          <w:tab w:val="clear" w:pos="720"/>
        </w:tabs>
        <w:adjustRightInd w:val="0"/>
        <w:snapToGrid w:val="0"/>
        <w:ind w:left="1080"/>
        <w:jc w:val="both"/>
        <w:rPr>
          <w:rFonts w:eastAsiaTheme="minorEastAsia"/>
          <w:sz w:val="22"/>
          <w:szCs w:val="22"/>
          <w:lang w:eastAsia="ko-KR"/>
        </w:rPr>
      </w:pPr>
      <w:r w:rsidRPr="003763AA">
        <w:rPr>
          <w:rFonts w:eastAsiaTheme="minorEastAsia"/>
          <w:sz w:val="22"/>
          <w:szCs w:val="22"/>
          <w:lang w:val="en-AU" w:eastAsia="ko-KR"/>
        </w:rPr>
        <w:t>The Scientific Committee agreed to run the process of WCPFC Tuna Tissue Bank (P35b) reporting in a similar manner to the PTTP (P42) at SC15.</w:t>
      </w:r>
    </w:p>
    <w:p w14:paraId="416CCA55" w14:textId="77777777" w:rsidR="003D217E" w:rsidRPr="003763AA" w:rsidRDefault="003D217E" w:rsidP="00580EA4">
      <w:pPr>
        <w:numPr>
          <w:ilvl w:val="0"/>
          <w:numId w:val="37"/>
        </w:numPr>
        <w:tabs>
          <w:tab w:val="clear" w:pos="720"/>
        </w:tabs>
        <w:adjustRightInd w:val="0"/>
        <w:snapToGrid w:val="0"/>
        <w:ind w:left="1080"/>
        <w:jc w:val="both"/>
        <w:rPr>
          <w:rFonts w:eastAsiaTheme="minorEastAsia"/>
          <w:sz w:val="22"/>
          <w:szCs w:val="22"/>
          <w:lang w:eastAsia="ko-KR"/>
        </w:rPr>
      </w:pPr>
      <w:r w:rsidRPr="003763AA">
        <w:rPr>
          <w:rFonts w:eastAsiaTheme="minorEastAsia"/>
          <w:sz w:val="22"/>
          <w:szCs w:val="22"/>
          <w:lang w:val="en-NZ" w:eastAsia="ko-KR"/>
        </w:rPr>
        <w:t>The Scientific Committee agreed that that the Secretariat and the Scientific Services Provider should work together to investigate any issues arising from the Nagoya Protocol for the Tuna Tissue Bank and provide advice on this matter to the Commission as appropriate.</w:t>
      </w:r>
    </w:p>
    <w:p w14:paraId="059AF4AD" w14:textId="77777777" w:rsidR="003D217E" w:rsidRPr="003763AA" w:rsidRDefault="003D217E" w:rsidP="003D217E">
      <w:pPr>
        <w:adjustRightInd w:val="0"/>
        <w:snapToGrid w:val="0"/>
        <w:ind w:left="720"/>
        <w:jc w:val="both"/>
        <w:rPr>
          <w:rFonts w:eastAsiaTheme="minorEastAsia"/>
          <w:sz w:val="22"/>
          <w:szCs w:val="22"/>
          <w:lang w:eastAsia="ko-KR"/>
        </w:rPr>
      </w:pPr>
    </w:p>
    <w:p w14:paraId="24A94380" w14:textId="77777777" w:rsidR="003D217E" w:rsidRPr="004635E5" w:rsidRDefault="003D217E" w:rsidP="003D217E">
      <w:pPr>
        <w:adjustRightInd w:val="0"/>
        <w:snapToGrid w:val="0"/>
        <w:rPr>
          <w:rFonts w:eastAsiaTheme="minorEastAsia"/>
          <w:sz w:val="22"/>
          <w:szCs w:val="22"/>
          <w:lang w:val="en-NZ" w:eastAsia="ko-KR"/>
        </w:rPr>
      </w:pPr>
    </w:p>
    <w:p w14:paraId="0C8F5740" w14:textId="77777777" w:rsidR="003D217E" w:rsidRPr="00166EEA" w:rsidRDefault="003D217E" w:rsidP="003D217E">
      <w:pPr>
        <w:pStyle w:val="Heading1"/>
        <w:numPr>
          <w:ilvl w:val="0"/>
          <w:numId w:val="0"/>
        </w:numPr>
        <w:adjustRightInd w:val="0"/>
        <w:snapToGrid w:val="0"/>
        <w:spacing w:after="0"/>
        <w:rPr>
          <w:sz w:val="28"/>
          <w:szCs w:val="28"/>
        </w:rPr>
      </w:pPr>
      <w:r w:rsidRPr="00166EEA">
        <w:rPr>
          <w:sz w:val="28"/>
          <w:szCs w:val="28"/>
        </w:rPr>
        <w:t>AGENDA ITEM 8 — COOPERATION WITH OTHER ORGANISATIONS</w:t>
      </w:r>
      <w:r w:rsidRPr="00166EEA">
        <w:rPr>
          <w:sz w:val="28"/>
          <w:szCs w:val="28"/>
        </w:rPr>
        <w:fldChar w:fldCharType="begin"/>
      </w:r>
      <w:r w:rsidRPr="00166EEA">
        <w:rPr>
          <w:sz w:val="28"/>
          <w:szCs w:val="28"/>
        </w:rPr>
        <w:instrText xml:space="preserve"> TC "</w:instrText>
      </w:r>
      <w:bookmarkStart w:id="34" w:name="_Toc10607008"/>
      <w:bookmarkStart w:id="35" w:name="_Toc10607269"/>
      <w:bookmarkStart w:id="36" w:name="_Toc10607358"/>
      <w:bookmarkStart w:id="37" w:name="_Toc10607543"/>
      <w:bookmarkStart w:id="38" w:name="_Toc16418007"/>
      <w:r w:rsidRPr="00166EEA">
        <w:rPr>
          <w:sz w:val="28"/>
          <w:szCs w:val="28"/>
        </w:rPr>
        <w:instrText>AGENDA ITEM 8 — COOPERATION WITH OTHER ORGANISATIONS</w:instrText>
      </w:r>
      <w:bookmarkEnd w:id="34"/>
      <w:bookmarkEnd w:id="35"/>
      <w:bookmarkEnd w:id="36"/>
      <w:bookmarkEnd w:id="37"/>
      <w:bookmarkEnd w:id="38"/>
      <w:r w:rsidRPr="00166EEA">
        <w:rPr>
          <w:sz w:val="28"/>
          <w:szCs w:val="28"/>
        </w:rPr>
        <w:instrText xml:space="preserve">" \f C \l "1" </w:instrText>
      </w:r>
      <w:r w:rsidRPr="00166EEA">
        <w:rPr>
          <w:sz w:val="28"/>
          <w:szCs w:val="28"/>
        </w:rPr>
        <w:fldChar w:fldCharType="end"/>
      </w:r>
    </w:p>
    <w:p w14:paraId="7212EC3E" w14:textId="77777777" w:rsidR="003D217E" w:rsidRPr="004635E5" w:rsidRDefault="003D217E" w:rsidP="003D217E">
      <w:pPr>
        <w:adjustRightInd w:val="0"/>
        <w:snapToGrid w:val="0"/>
        <w:rPr>
          <w:sz w:val="22"/>
          <w:szCs w:val="22"/>
          <w:lang w:val="en-NZ"/>
        </w:rPr>
      </w:pPr>
    </w:p>
    <w:p w14:paraId="5AFDF6FD" w14:textId="77777777" w:rsidR="003D217E" w:rsidRDefault="003D217E" w:rsidP="003D217E">
      <w:pPr>
        <w:autoSpaceDE w:val="0"/>
        <w:autoSpaceDN w:val="0"/>
        <w:adjustRightInd w:val="0"/>
        <w:snapToGrid w:val="0"/>
        <w:jc w:val="both"/>
        <w:rPr>
          <w:rFonts w:eastAsiaTheme="minorEastAsia"/>
          <w:sz w:val="22"/>
          <w:szCs w:val="22"/>
          <w:lang w:val="en-NZ" w:eastAsia="ko-KR"/>
        </w:rPr>
      </w:pPr>
    </w:p>
    <w:p w14:paraId="5BF93A79" w14:textId="77777777" w:rsidR="003D217E" w:rsidRDefault="003D217E" w:rsidP="003D217E">
      <w:pPr>
        <w:pStyle w:val="WCPFC"/>
        <w:adjustRightInd w:val="0"/>
        <w:spacing w:after="0"/>
      </w:pPr>
      <w:r>
        <w:rPr>
          <w:rFonts w:hint="eastAsia"/>
          <w:lang w:eastAsia="ko-KR"/>
        </w:rPr>
        <w:t>No recommendations were made.</w:t>
      </w:r>
    </w:p>
    <w:p w14:paraId="034529C0" w14:textId="77777777" w:rsidR="003D217E" w:rsidRDefault="003D217E" w:rsidP="003D217E">
      <w:pPr>
        <w:autoSpaceDE w:val="0"/>
        <w:autoSpaceDN w:val="0"/>
        <w:adjustRightInd w:val="0"/>
        <w:snapToGrid w:val="0"/>
        <w:jc w:val="both"/>
        <w:rPr>
          <w:rFonts w:eastAsiaTheme="minorEastAsia"/>
          <w:sz w:val="22"/>
          <w:szCs w:val="22"/>
          <w:lang w:val="en-NZ" w:eastAsia="ko-KR"/>
        </w:rPr>
      </w:pPr>
    </w:p>
    <w:p w14:paraId="0F5F4C8C" w14:textId="77777777" w:rsidR="003D217E" w:rsidRPr="000000CA" w:rsidRDefault="003D217E" w:rsidP="003D217E">
      <w:pPr>
        <w:autoSpaceDE w:val="0"/>
        <w:autoSpaceDN w:val="0"/>
        <w:adjustRightInd w:val="0"/>
        <w:snapToGrid w:val="0"/>
        <w:jc w:val="both"/>
        <w:rPr>
          <w:rFonts w:eastAsiaTheme="minorEastAsia"/>
          <w:b/>
          <w:sz w:val="22"/>
          <w:szCs w:val="22"/>
          <w:lang w:val="en-NZ" w:eastAsia="ko-KR"/>
        </w:rPr>
      </w:pPr>
      <w:r w:rsidRPr="000000CA">
        <w:rPr>
          <w:vanish/>
          <w:sz w:val="22"/>
          <w:szCs w:val="22"/>
          <w:lang w:val="en-NZ"/>
        </w:rPr>
        <w:t xml:space="preserve">The Secretariat tabled </w:t>
      </w:r>
    </w:p>
    <w:p w14:paraId="56084744" w14:textId="01A17513" w:rsidR="003D217E" w:rsidRPr="00166EEA" w:rsidRDefault="003D217E" w:rsidP="003D217E">
      <w:pPr>
        <w:pStyle w:val="Heading1"/>
        <w:numPr>
          <w:ilvl w:val="0"/>
          <w:numId w:val="0"/>
        </w:numPr>
        <w:adjustRightInd w:val="0"/>
        <w:snapToGrid w:val="0"/>
        <w:spacing w:after="0"/>
        <w:rPr>
          <w:sz w:val="28"/>
          <w:szCs w:val="28"/>
        </w:rPr>
      </w:pPr>
      <w:r w:rsidRPr="00166EEA">
        <w:rPr>
          <w:sz w:val="28"/>
          <w:szCs w:val="28"/>
        </w:rPr>
        <w:t>AGENDA ITEM 9 — SPECIAL REQUIREMENTS OF DEVELOPING STATES</w:t>
      </w:r>
      <w:r>
        <w:rPr>
          <w:rFonts w:hint="eastAsia"/>
          <w:sz w:val="28"/>
          <w:szCs w:val="28"/>
          <w:lang w:eastAsia="ko-KR"/>
        </w:rPr>
        <w:t xml:space="preserve"> </w:t>
      </w:r>
      <w:r w:rsidRPr="00166EEA">
        <w:rPr>
          <w:sz w:val="28"/>
          <w:szCs w:val="28"/>
        </w:rPr>
        <w:t>AND PARTICIPATING TERRITORIES</w:t>
      </w:r>
      <w:r w:rsidR="006958E8" w:rsidRPr="00166EEA">
        <w:rPr>
          <w:sz w:val="28"/>
          <w:szCs w:val="28"/>
        </w:rPr>
        <w:fldChar w:fldCharType="begin"/>
      </w:r>
      <w:r w:rsidR="006958E8" w:rsidRPr="00166EEA">
        <w:rPr>
          <w:sz w:val="28"/>
          <w:szCs w:val="28"/>
        </w:rPr>
        <w:instrText xml:space="preserve"> TC "</w:instrText>
      </w:r>
      <w:bookmarkStart w:id="39" w:name="_Toc16418008"/>
      <w:r w:rsidR="006958E8" w:rsidRPr="00166EEA">
        <w:rPr>
          <w:sz w:val="28"/>
          <w:szCs w:val="28"/>
        </w:rPr>
        <w:instrText>AGENDA ITEM 9 — SPECIAL REQUIREMENTS OF DEVELOPING STATES</w:instrText>
      </w:r>
      <w:r w:rsidR="006958E8">
        <w:rPr>
          <w:rFonts w:hint="eastAsia"/>
          <w:sz w:val="28"/>
          <w:szCs w:val="28"/>
          <w:lang w:eastAsia="ko-KR"/>
        </w:rPr>
        <w:instrText xml:space="preserve"> </w:instrText>
      </w:r>
      <w:r w:rsidR="006958E8" w:rsidRPr="00166EEA">
        <w:rPr>
          <w:sz w:val="28"/>
          <w:szCs w:val="28"/>
        </w:rPr>
        <w:instrText>AND PARTICIPATING TERRITORIES</w:instrText>
      </w:r>
      <w:bookmarkEnd w:id="39"/>
      <w:r w:rsidR="006958E8" w:rsidRPr="00166EEA">
        <w:rPr>
          <w:sz w:val="28"/>
          <w:szCs w:val="28"/>
        </w:rPr>
        <w:instrText xml:space="preserve"> " \f C \l "1" </w:instrText>
      </w:r>
      <w:r w:rsidR="006958E8" w:rsidRPr="00166EEA">
        <w:rPr>
          <w:sz w:val="28"/>
          <w:szCs w:val="28"/>
        </w:rPr>
        <w:fldChar w:fldCharType="end"/>
      </w:r>
    </w:p>
    <w:p w14:paraId="16A2D339" w14:textId="77777777" w:rsidR="003D217E" w:rsidRDefault="003D217E" w:rsidP="003D217E">
      <w:pPr>
        <w:adjustRightInd w:val="0"/>
        <w:snapToGrid w:val="0"/>
        <w:rPr>
          <w:rFonts w:eastAsiaTheme="minorEastAsia"/>
          <w:sz w:val="22"/>
          <w:szCs w:val="22"/>
          <w:lang w:val="en-NZ" w:eastAsia="ko-KR"/>
        </w:rPr>
      </w:pPr>
    </w:p>
    <w:p w14:paraId="7F8DEB2C" w14:textId="77777777" w:rsidR="003D217E" w:rsidRDefault="003D217E" w:rsidP="003D217E">
      <w:pPr>
        <w:adjustRightInd w:val="0"/>
        <w:snapToGrid w:val="0"/>
        <w:rPr>
          <w:rFonts w:eastAsiaTheme="minorEastAsia"/>
          <w:sz w:val="22"/>
          <w:szCs w:val="22"/>
          <w:lang w:val="en-NZ" w:eastAsia="ko-KR"/>
        </w:rPr>
      </w:pPr>
    </w:p>
    <w:p w14:paraId="02840367" w14:textId="77777777" w:rsidR="003D217E" w:rsidRDefault="003D217E" w:rsidP="003D217E">
      <w:pPr>
        <w:pStyle w:val="WCPFC"/>
        <w:adjustRightInd w:val="0"/>
        <w:spacing w:after="0"/>
      </w:pPr>
      <w:r>
        <w:rPr>
          <w:lang w:eastAsia="ko-KR"/>
        </w:rPr>
        <w:t>N</w:t>
      </w:r>
      <w:r>
        <w:rPr>
          <w:rFonts w:hint="eastAsia"/>
          <w:lang w:eastAsia="ko-KR"/>
        </w:rPr>
        <w:t>o recommendations were made.</w:t>
      </w:r>
    </w:p>
    <w:p w14:paraId="1D83492E" w14:textId="77777777" w:rsidR="003D217E" w:rsidRPr="00156305" w:rsidRDefault="003D217E" w:rsidP="003D217E">
      <w:pPr>
        <w:adjustRightInd w:val="0"/>
        <w:snapToGrid w:val="0"/>
        <w:rPr>
          <w:rFonts w:eastAsiaTheme="minorEastAsia"/>
          <w:sz w:val="22"/>
          <w:szCs w:val="22"/>
          <w:lang w:val="en-NZ" w:eastAsia="ko-KR"/>
        </w:rPr>
      </w:pPr>
    </w:p>
    <w:p w14:paraId="509B3D7C" w14:textId="77777777" w:rsidR="003D217E" w:rsidRPr="004635E5" w:rsidRDefault="003D217E" w:rsidP="003D217E">
      <w:pPr>
        <w:pStyle w:val="Heading1"/>
        <w:numPr>
          <w:ilvl w:val="0"/>
          <w:numId w:val="0"/>
        </w:numPr>
        <w:adjustRightInd w:val="0"/>
        <w:snapToGrid w:val="0"/>
        <w:spacing w:after="0"/>
        <w:rPr>
          <w:lang w:eastAsia="ko-KR"/>
        </w:rPr>
      </w:pPr>
    </w:p>
    <w:p w14:paraId="6E928B5F" w14:textId="77777777" w:rsidR="003D217E" w:rsidRPr="00166EEA" w:rsidRDefault="003D217E" w:rsidP="003D217E">
      <w:pPr>
        <w:pStyle w:val="Heading1"/>
        <w:numPr>
          <w:ilvl w:val="0"/>
          <w:numId w:val="0"/>
        </w:numPr>
        <w:adjustRightInd w:val="0"/>
        <w:snapToGrid w:val="0"/>
        <w:spacing w:after="0"/>
        <w:rPr>
          <w:sz w:val="28"/>
          <w:szCs w:val="28"/>
        </w:rPr>
      </w:pPr>
      <w:r w:rsidRPr="00166EEA">
        <w:rPr>
          <w:sz w:val="28"/>
          <w:szCs w:val="28"/>
        </w:rPr>
        <w:t xml:space="preserve"> AGENDA ITEM 10 — FUTURE WORK PROGRAM AND BUDGET</w:t>
      </w:r>
    </w:p>
    <w:p w14:paraId="06F9A6BD" w14:textId="77777777" w:rsidR="003D217E" w:rsidRPr="004635E5" w:rsidRDefault="003D217E" w:rsidP="003D217E">
      <w:pPr>
        <w:pStyle w:val="Heading1"/>
        <w:numPr>
          <w:ilvl w:val="0"/>
          <w:numId w:val="0"/>
        </w:numPr>
        <w:adjustRightInd w:val="0"/>
        <w:snapToGrid w:val="0"/>
        <w:spacing w:after="0"/>
      </w:pPr>
      <w:r w:rsidRPr="004635E5">
        <w:fldChar w:fldCharType="begin"/>
      </w:r>
      <w:r w:rsidRPr="004635E5">
        <w:instrText xml:space="preserve"> TC "</w:instrText>
      </w:r>
      <w:bookmarkStart w:id="40" w:name="_Toc10607009"/>
      <w:bookmarkStart w:id="41" w:name="_Toc10607270"/>
      <w:bookmarkStart w:id="42" w:name="_Toc10607359"/>
      <w:bookmarkStart w:id="43" w:name="_Toc10607544"/>
      <w:bookmarkStart w:id="44" w:name="_Toc16418009"/>
      <w:r w:rsidRPr="004635E5">
        <w:instrText>AGENDA ITEM 10 — FUTURE WORK PROGRAM AND BUDGET</w:instrText>
      </w:r>
      <w:bookmarkEnd w:id="40"/>
      <w:bookmarkEnd w:id="41"/>
      <w:bookmarkEnd w:id="42"/>
      <w:bookmarkEnd w:id="43"/>
      <w:bookmarkEnd w:id="44"/>
      <w:r w:rsidRPr="004635E5">
        <w:instrText xml:space="preserve">" \f C \l "1" </w:instrText>
      </w:r>
      <w:r w:rsidRPr="004635E5">
        <w:fldChar w:fldCharType="end"/>
      </w:r>
    </w:p>
    <w:p w14:paraId="327E5171" w14:textId="77777777" w:rsidR="003D217E" w:rsidRPr="004635E5" w:rsidRDefault="003D217E" w:rsidP="00580EA4">
      <w:pPr>
        <w:pStyle w:val="ListParagraph"/>
        <w:numPr>
          <w:ilvl w:val="0"/>
          <w:numId w:val="160"/>
        </w:numPr>
        <w:adjustRightInd w:val="0"/>
        <w:snapToGrid w:val="0"/>
        <w:jc w:val="both"/>
        <w:rPr>
          <w:b/>
          <w:vanish/>
          <w:sz w:val="22"/>
          <w:szCs w:val="22"/>
          <w:lang w:val="en-NZ"/>
        </w:rPr>
      </w:pPr>
    </w:p>
    <w:p w14:paraId="3307190B" w14:textId="77777777" w:rsidR="003D217E" w:rsidRPr="004635E5" w:rsidRDefault="003D217E" w:rsidP="00580EA4">
      <w:pPr>
        <w:pStyle w:val="ListParagraph"/>
        <w:numPr>
          <w:ilvl w:val="0"/>
          <w:numId w:val="160"/>
        </w:numPr>
        <w:adjustRightInd w:val="0"/>
        <w:snapToGrid w:val="0"/>
        <w:jc w:val="both"/>
        <w:rPr>
          <w:b/>
          <w:vanish/>
          <w:sz w:val="22"/>
          <w:szCs w:val="22"/>
          <w:lang w:val="en-NZ"/>
        </w:rPr>
      </w:pPr>
    </w:p>
    <w:p w14:paraId="32588F4B" w14:textId="77777777" w:rsidR="003D217E" w:rsidRPr="004635E5" w:rsidRDefault="003D217E" w:rsidP="00580EA4">
      <w:pPr>
        <w:pStyle w:val="ListParagraph"/>
        <w:numPr>
          <w:ilvl w:val="0"/>
          <w:numId w:val="160"/>
        </w:numPr>
        <w:adjustRightInd w:val="0"/>
        <w:snapToGrid w:val="0"/>
        <w:jc w:val="both"/>
        <w:rPr>
          <w:b/>
          <w:vanish/>
          <w:sz w:val="22"/>
          <w:szCs w:val="22"/>
          <w:lang w:val="en-NZ"/>
        </w:rPr>
      </w:pPr>
    </w:p>
    <w:p w14:paraId="0A7DF0FD" w14:textId="77777777" w:rsidR="003D217E" w:rsidRPr="004635E5" w:rsidRDefault="003D217E" w:rsidP="003D217E">
      <w:pPr>
        <w:pStyle w:val="SC2"/>
        <w:numPr>
          <w:ilvl w:val="0"/>
          <w:numId w:val="0"/>
        </w:numPr>
        <w:spacing w:after="0"/>
        <w:ind w:left="720"/>
      </w:pPr>
    </w:p>
    <w:p w14:paraId="1C92CAFE" w14:textId="77777777" w:rsidR="003D217E" w:rsidRPr="003763AA" w:rsidRDefault="003D217E" w:rsidP="00580EA4">
      <w:pPr>
        <w:numPr>
          <w:ilvl w:val="0"/>
          <w:numId w:val="18"/>
        </w:numPr>
        <w:autoSpaceDE w:val="0"/>
        <w:autoSpaceDN w:val="0"/>
        <w:adjustRightInd w:val="0"/>
        <w:snapToGrid w:val="0"/>
        <w:ind w:left="0" w:firstLine="0"/>
        <w:jc w:val="both"/>
        <w:rPr>
          <w:rFonts w:eastAsiaTheme="minorEastAsia"/>
          <w:bCs/>
          <w:sz w:val="22"/>
          <w:szCs w:val="22"/>
          <w:lang w:val="en-NZ" w:eastAsia="ko-KR"/>
        </w:rPr>
      </w:pPr>
      <w:r w:rsidRPr="003763AA">
        <w:rPr>
          <w:rFonts w:eastAsiaTheme="minorEastAsia"/>
          <w:bCs/>
          <w:sz w:val="22"/>
          <w:szCs w:val="22"/>
          <w:lang w:val="en-NZ" w:eastAsia="ko-KR"/>
        </w:rPr>
        <w:t xml:space="preserve">SC14 adopted the proposed budget (Table B-1) and forwarded it to the WCPFC15 FAC meeting. </w:t>
      </w:r>
    </w:p>
    <w:p w14:paraId="468224C6" w14:textId="77777777" w:rsidR="003D217E" w:rsidRPr="004635E5" w:rsidRDefault="003D217E" w:rsidP="003D217E">
      <w:pPr>
        <w:autoSpaceDE w:val="0"/>
        <w:autoSpaceDN w:val="0"/>
        <w:adjustRightInd w:val="0"/>
        <w:snapToGrid w:val="0"/>
        <w:jc w:val="both"/>
        <w:rPr>
          <w:rFonts w:eastAsiaTheme="minorEastAsia"/>
          <w:b/>
          <w:sz w:val="22"/>
          <w:szCs w:val="22"/>
          <w:lang w:val="en-NZ" w:eastAsia="ko-KR"/>
        </w:rPr>
      </w:pPr>
    </w:p>
    <w:p w14:paraId="09C9AA1B" w14:textId="77777777" w:rsidR="003D217E" w:rsidRDefault="003D217E" w:rsidP="003D217E">
      <w:pPr>
        <w:rPr>
          <w:rFonts w:eastAsiaTheme="minorEastAsia"/>
          <w:b/>
          <w:bCs/>
          <w:sz w:val="22"/>
          <w:szCs w:val="22"/>
          <w:lang w:val="en-NZ" w:eastAsia="ko-KR"/>
        </w:rPr>
      </w:pPr>
      <w:r>
        <w:rPr>
          <w:rFonts w:eastAsiaTheme="minorEastAsia"/>
          <w:b/>
          <w:bCs/>
          <w:sz w:val="22"/>
          <w:szCs w:val="22"/>
          <w:lang w:val="en-NZ" w:eastAsia="ko-KR"/>
        </w:rPr>
        <w:br w:type="page"/>
      </w:r>
    </w:p>
    <w:p w14:paraId="188F900C" w14:textId="77777777" w:rsidR="003D217E" w:rsidRPr="003763AA" w:rsidRDefault="003D217E" w:rsidP="003D217E">
      <w:pPr>
        <w:autoSpaceDE w:val="0"/>
        <w:autoSpaceDN w:val="0"/>
        <w:adjustRightInd w:val="0"/>
        <w:snapToGrid w:val="0"/>
        <w:jc w:val="both"/>
        <w:rPr>
          <w:rFonts w:eastAsiaTheme="minorEastAsia"/>
          <w:bCs/>
          <w:sz w:val="22"/>
          <w:szCs w:val="22"/>
          <w:lang w:val="en-NZ" w:eastAsia="ko-KR"/>
        </w:rPr>
      </w:pPr>
      <w:r w:rsidRPr="004635E5">
        <w:rPr>
          <w:rFonts w:eastAsiaTheme="minorEastAsia"/>
          <w:b/>
          <w:bCs/>
          <w:sz w:val="22"/>
          <w:szCs w:val="22"/>
          <w:lang w:val="en-NZ" w:eastAsia="ko-KR"/>
        </w:rPr>
        <w:t xml:space="preserve">Table B-1. </w:t>
      </w:r>
      <w:r w:rsidRPr="003763AA">
        <w:rPr>
          <w:rFonts w:eastAsiaTheme="minorEastAsia"/>
          <w:bCs/>
          <w:sz w:val="22"/>
          <w:szCs w:val="22"/>
          <w:lang w:val="en-NZ" w:eastAsia="ko-KR"/>
        </w:rPr>
        <w:t>Summary of SC work programme titles and budget for 2019, and indicative budget for 2020–2021, which requires funding from the Commission’s core budget (USD).</w:t>
      </w:r>
    </w:p>
    <w:tbl>
      <w:tblPr>
        <w:tblW w:w="5000" w:type="pct"/>
        <w:tblLayout w:type="fixed"/>
        <w:tblLook w:val="04A0" w:firstRow="1" w:lastRow="0" w:firstColumn="1" w:lastColumn="0" w:noHBand="0" w:noVBand="1"/>
      </w:tblPr>
      <w:tblGrid>
        <w:gridCol w:w="3898"/>
        <w:gridCol w:w="900"/>
        <w:gridCol w:w="990"/>
        <w:gridCol w:w="801"/>
        <w:gridCol w:w="990"/>
        <w:gridCol w:w="990"/>
        <w:gridCol w:w="1007"/>
      </w:tblGrid>
      <w:tr w:rsidR="003D217E" w:rsidRPr="003763AA" w14:paraId="7E3E8181" w14:textId="77777777" w:rsidTr="001740C5">
        <w:trPr>
          <w:trHeight w:val="20"/>
          <w:tblHeader/>
        </w:trPr>
        <w:tc>
          <w:tcPr>
            <w:tcW w:w="2035" w:type="pct"/>
            <w:tcBorders>
              <w:top w:val="single" w:sz="4" w:space="0" w:color="auto"/>
              <w:left w:val="single" w:sz="4" w:space="0" w:color="auto"/>
              <w:right w:val="single" w:sz="4" w:space="0" w:color="auto"/>
            </w:tcBorders>
            <w:shd w:val="clear" w:color="auto" w:fill="D9D9D9"/>
            <w:vAlign w:val="center"/>
            <w:hideMark/>
          </w:tcPr>
          <w:p w14:paraId="5695E5B7"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color w:val="000000"/>
                <w:sz w:val="18"/>
                <w:szCs w:val="18"/>
                <w:lang w:eastAsia="zh-CN"/>
              </w:rPr>
              <w:t>Project</w:t>
            </w:r>
            <w:r w:rsidRPr="003763AA">
              <w:rPr>
                <w:rFonts w:eastAsia="Malgun Gothic"/>
                <w:color w:val="000000"/>
                <w:sz w:val="18"/>
                <w:szCs w:val="18"/>
                <w:lang w:eastAsia="ko-KR"/>
              </w:rPr>
              <w:t xml:space="preserve"> title</w:t>
            </w:r>
          </w:p>
        </w:tc>
        <w:tc>
          <w:tcPr>
            <w:tcW w:w="470" w:type="pct"/>
            <w:tcBorders>
              <w:top w:val="single" w:sz="4" w:space="0" w:color="auto"/>
              <w:left w:val="single" w:sz="4" w:space="0" w:color="auto"/>
              <w:right w:val="single" w:sz="4" w:space="0" w:color="auto"/>
            </w:tcBorders>
            <w:shd w:val="clear" w:color="auto" w:fill="D9D9D9"/>
            <w:vAlign w:val="center"/>
          </w:tcPr>
          <w:p w14:paraId="4F9A70A6"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TORs</w:t>
            </w:r>
          </w:p>
        </w:tc>
        <w:tc>
          <w:tcPr>
            <w:tcW w:w="517" w:type="pct"/>
            <w:tcBorders>
              <w:top w:val="single" w:sz="4" w:space="0" w:color="auto"/>
              <w:left w:val="single" w:sz="4" w:space="0" w:color="auto"/>
              <w:right w:val="single" w:sz="4" w:space="0" w:color="auto"/>
            </w:tcBorders>
            <w:shd w:val="clear" w:color="auto" w:fill="D9D9D9"/>
            <w:vAlign w:val="center"/>
            <w:hideMark/>
          </w:tcPr>
          <w:p w14:paraId="72E081F8"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Essential</w:t>
            </w:r>
          </w:p>
        </w:tc>
        <w:tc>
          <w:tcPr>
            <w:tcW w:w="418" w:type="pct"/>
            <w:tcBorders>
              <w:top w:val="single" w:sz="4" w:space="0" w:color="auto"/>
              <w:left w:val="single" w:sz="4" w:space="0" w:color="auto"/>
              <w:right w:val="single" w:sz="4" w:space="0" w:color="auto"/>
            </w:tcBorders>
            <w:shd w:val="clear" w:color="auto" w:fill="D9D9D9" w:themeFill="background1" w:themeFillShade="D9"/>
            <w:vAlign w:val="center"/>
            <w:hideMark/>
          </w:tcPr>
          <w:p w14:paraId="29E6F5FD" w14:textId="77777777" w:rsidR="003D217E" w:rsidRPr="003763AA" w:rsidRDefault="003D217E" w:rsidP="001740C5">
            <w:pPr>
              <w:adjustRightInd w:val="0"/>
              <w:snapToGrid w:val="0"/>
              <w:jc w:val="center"/>
              <w:rPr>
                <w:color w:val="000000"/>
                <w:sz w:val="18"/>
                <w:szCs w:val="18"/>
                <w:lang w:eastAsia="zh-CN"/>
              </w:rPr>
            </w:pPr>
            <w:r w:rsidRPr="003763AA">
              <w:rPr>
                <w:color w:val="000000"/>
                <w:sz w:val="18"/>
                <w:szCs w:val="18"/>
                <w:lang w:eastAsia="zh-CN"/>
              </w:rPr>
              <w:t>P</w:t>
            </w:r>
            <w:r w:rsidRPr="003763AA">
              <w:rPr>
                <w:rFonts w:eastAsia="Malgun Gothic"/>
                <w:color w:val="000000"/>
                <w:sz w:val="18"/>
                <w:szCs w:val="18"/>
                <w:lang w:eastAsia="ko-KR"/>
              </w:rPr>
              <w:t xml:space="preserve">riority rank </w:t>
            </w:r>
          </w:p>
        </w:tc>
        <w:tc>
          <w:tcPr>
            <w:tcW w:w="517" w:type="pct"/>
            <w:tcBorders>
              <w:top w:val="single" w:sz="4" w:space="0" w:color="auto"/>
              <w:left w:val="single" w:sz="4" w:space="0" w:color="auto"/>
              <w:right w:val="single" w:sz="4" w:space="0" w:color="auto"/>
            </w:tcBorders>
            <w:shd w:val="clear" w:color="auto" w:fill="D9D9D9" w:themeFill="background1" w:themeFillShade="D9"/>
            <w:noWrap/>
            <w:vAlign w:val="center"/>
          </w:tcPr>
          <w:p w14:paraId="1C77BE28"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color w:val="000000"/>
                <w:sz w:val="18"/>
                <w:szCs w:val="18"/>
                <w:lang w:eastAsia="zh-CN"/>
              </w:rPr>
              <w:t>201</w:t>
            </w:r>
            <w:r w:rsidRPr="003763AA">
              <w:rPr>
                <w:rFonts w:eastAsia="Malgun Gothic"/>
                <w:color w:val="000000"/>
                <w:sz w:val="18"/>
                <w:szCs w:val="18"/>
                <w:lang w:eastAsia="ko-KR"/>
              </w:rPr>
              <w:t>9</w:t>
            </w:r>
          </w:p>
        </w:tc>
        <w:tc>
          <w:tcPr>
            <w:tcW w:w="517" w:type="pct"/>
            <w:tcBorders>
              <w:top w:val="single" w:sz="4" w:space="0" w:color="auto"/>
              <w:left w:val="single" w:sz="4" w:space="0" w:color="auto"/>
              <w:right w:val="single" w:sz="4" w:space="0" w:color="auto"/>
            </w:tcBorders>
            <w:shd w:val="clear" w:color="auto" w:fill="D9D9D9" w:themeFill="background1" w:themeFillShade="D9"/>
            <w:vAlign w:val="center"/>
          </w:tcPr>
          <w:p w14:paraId="38C6D6CE"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2020</w:t>
            </w:r>
          </w:p>
        </w:tc>
        <w:tc>
          <w:tcPr>
            <w:tcW w:w="526" w:type="pct"/>
            <w:tcBorders>
              <w:top w:val="single" w:sz="4" w:space="0" w:color="auto"/>
              <w:left w:val="single" w:sz="4" w:space="0" w:color="auto"/>
              <w:right w:val="single" w:sz="4" w:space="0" w:color="auto"/>
            </w:tcBorders>
            <w:shd w:val="clear" w:color="auto" w:fill="D9D9D9" w:themeFill="background1" w:themeFillShade="D9"/>
            <w:vAlign w:val="center"/>
          </w:tcPr>
          <w:p w14:paraId="3F2B613F"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2021</w:t>
            </w:r>
          </w:p>
        </w:tc>
      </w:tr>
      <w:tr w:rsidR="003D217E" w:rsidRPr="003763AA" w14:paraId="60834F55"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FB26FA" w14:textId="77777777" w:rsidR="003D217E" w:rsidRPr="003763AA" w:rsidRDefault="003D217E" w:rsidP="001740C5">
            <w:pPr>
              <w:adjustRightInd w:val="0"/>
              <w:snapToGrid w:val="0"/>
              <w:rPr>
                <w:rFonts w:eastAsia="Malgun Gothic"/>
                <w:color w:val="000000"/>
                <w:sz w:val="18"/>
                <w:szCs w:val="18"/>
                <w:lang w:eastAsia="ko-KR"/>
              </w:rPr>
            </w:pPr>
            <w:r w:rsidRPr="003763AA">
              <w:rPr>
                <w:color w:val="000000"/>
                <w:sz w:val="18"/>
                <w:szCs w:val="18"/>
                <w:lang w:eastAsia="zh-CN"/>
              </w:rPr>
              <w:t>SPC Oceanic Fisheries Programme Budget</w:t>
            </w:r>
          </w:p>
        </w:tc>
        <w:tc>
          <w:tcPr>
            <w:tcW w:w="470" w:type="pct"/>
            <w:tcBorders>
              <w:top w:val="single" w:sz="4" w:space="0" w:color="auto"/>
              <w:left w:val="single" w:sz="4" w:space="0" w:color="auto"/>
              <w:bottom w:val="single" w:sz="4" w:space="0" w:color="auto"/>
              <w:right w:val="single" w:sz="4" w:space="0" w:color="auto"/>
            </w:tcBorders>
            <w:vAlign w:val="center"/>
          </w:tcPr>
          <w:p w14:paraId="44131B10"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MOU</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021147" w14:textId="77777777" w:rsidR="003D217E" w:rsidRPr="003763AA" w:rsidRDefault="003D217E" w:rsidP="001740C5">
            <w:pPr>
              <w:adjustRightInd w:val="0"/>
              <w:snapToGrid w:val="0"/>
              <w:jc w:val="center"/>
              <w:rPr>
                <w:color w:val="000000"/>
                <w:sz w:val="18"/>
                <w:szCs w:val="18"/>
                <w:lang w:eastAsia="zh-CN"/>
              </w:rPr>
            </w:pPr>
            <w:r w:rsidRPr="003763AA">
              <w:rPr>
                <w:color w:val="000000"/>
                <w:sz w:val="18"/>
                <w:szCs w:val="18"/>
                <w:lang w:eastAsia="zh-CN"/>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5D89D0"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High 1</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D7CD32B"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906,396</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8BDF3F6"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924,524</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1A44E7F5"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943,015</w:t>
            </w:r>
          </w:p>
        </w:tc>
      </w:tr>
      <w:tr w:rsidR="003D217E" w:rsidRPr="003763AA" w14:paraId="5052B24C"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28876BF6" w14:textId="77777777" w:rsidR="003D217E" w:rsidRPr="003763AA" w:rsidRDefault="003D217E" w:rsidP="001740C5">
            <w:pPr>
              <w:adjustRightInd w:val="0"/>
              <w:snapToGrid w:val="0"/>
              <w:rPr>
                <w:rFonts w:eastAsia="Batang"/>
                <w:color w:val="000000"/>
                <w:sz w:val="18"/>
                <w:szCs w:val="18"/>
                <w:lang w:eastAsia="ko-KR"/>
              </w:rPr>
            </w:pPr>
            <w:r w:rsidRPr="003763AA">
              <w:rPr>
                <w:rFonts w:eastAsia="Malgun Gothic"/>
                <w:color w:val="000000"/>
                <w:sz w:val="18"/>
                <w:szCs w:val="18"/>
                <w:lang w:eastAsia="ko-KR"/>
              </w:rPr>
              <w:t xml:space="preserve">SPC – </w:t>
            </w:r>
            <w:r w:rsidRPr="003763AA">
              <w:rPr>
                <w:rFonts w:eastAsia="Batang"/>
                <w:color w:val="000000"/>
                <w:sz w:val="18"/>
                <w:szCs w:val="18"/>
                <w:lang w:eastAsia="zh-CN"/>
              </w:rPr>
              <w:t xml:space="preserve">Additional </w:t>
            </w:r>
            <w:r w:rsidRPr="003763AA">
              <w:rPr>
                <w:rFonts w:eastAsia="Malgun Gothic"/>
                <w:color w:val="000000"/>
                <w:sz w:val="18"/>
                <w:szCs w:val="18"/>
                <w:lang w:eastAsia="ko-KR"/>
              </w:rPr>
              <w:t>r</w:t>
            </w:r>
            <w:r w:rsidRPr="003763AA">
              <w:rPr>
                <w:rFonts w:eastAsia="Batang"/>
                <w:color w:val="000000"/>
                <w:sz w:val="18"/>
                <w:szCs w:val="18"/>
                <w:lang w:eastAsia="zh-CN"/>
              </w:rPr>
              <w:t>esourcing for harvest strategy evaluation, including stock assessments</w:t>
            </w:r>
            <w:r w:rsidRPr="003763AA">
              <w:rPr>
                <w:rFonts w:eastAsia="Batang"/>
                <w:color w:val="000000"/>
                <w:sz w:val="18"/>
                <w:szCs w:val="18"/>
                <w:vertAlign w:val="superscript"/>
                <w:lang w:eastAsia="zh-CN"/>
              </w:rPr>
              <w:footnoteReference w:id="2"/>
            </w:r>
            <w:r w:rsidRPr="003763AA">
              <w:rPr>
                <w:rFonts w:eastAsia="Batang"/>
                <w:color w:val="000000"/>
                <w:sz w:val="18"/>
                <w:szCs w:val="18"/>
                <w:lang w:eastAsia="ko-KR"/>
              </w:rPr>
              <w:t xml:space="preserve"> (Rob Scott)</w:t>
            </w:r>
          </w:p>
        </w:tc>
        <w:tc>
          <w:tcPr>
            <w:tcW w:w="470" w:type="pct"/>
            <w:tcBorders>
              <w:top w:val="single" w:sz="4" w:space="0" w:color="auto"/>
              <w:left w:val="single" w:sz="4" w:space="0" w:color="auto"/>
              <w:bottom w:val="single" w:sz="4" w:space="0" w:color="auto"/>
              <w:right w:val="single" w:sz="4" w:space="0" w:color="auto"/>
            </w:tcBorders>
            <w:vAlign w:val="center"/>
          </w:tcPr>
          <w:p w14:paraId="6E458E69"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MOU</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D754E5F" w14:textId="77777777" w:rsidR="003D217E" w:rsidRPr="003763AA" w:rsidRDefault="003D217E" w:rsidP="001740C5">
            <w:pPr>
              <w:adjustRightInd w:val="0"/>
              <w:snapToGrid w:val="0"/>
              <w:jc w:val="center"/>
              <w:rPr>
                <w:color w:val="000000"/>
                <w:sz w:val="18"/>
                <w:szCs w:val="18"/>
                <w:lang w:eastAsia="zh-CN"/>
              </w:rPr>
            </w:pPr>
            <w:r w:rsidRPr="003763AA">
              <w:rPr>
                <w:color w:val="000000"/>
                <w:sz w:val="18"/>
                <w:szCs w:val="18"/>
                <w:lang w:eastAsia="zh-CN"/>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184C9903"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High 1</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D96BD5D"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164,832</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AEB783F"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166,480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2670CC19"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168,145</w:t>
            </w:r>
          </w:p>
        </w:tc>
      </w:tr>
      <w:tr w:rsidR="003D217E" w:rsidRPr="003763AA" w14:paraId="66B1F929"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0F8EF7F0" w14:textId="77777777" w:rsidR="003D217E" w:rsidRPr="003763AA" w:rsidRDefault="003D217E" w:rsidP="001740C5">
            <w:pPr>
              <w:adjustRightInd w:val="0"/>
              <w:snapToGrid w:val="0"/>
              <w:rPr>
                <w:color w:val="000000"/>
                <w:sz w:val="18"/>
                <w:szCs w:val="18"/>
                <w:lang w:eastAsia="zh-CN"/>
              </w:rPr>
            </w:pPr>
            <w:r w:rsidRPr="003763AA">
              <w:rPr>
                <w:color w:val="000000"/>
                <w:sz w:val="18"/>
                <w:szCs w:val="18"/>
                <w:lang w:eastAsia="zh-CN"/>
              </w:rPr>
              <w:t>Project 35b. Maintenance and enhancement of the WCPFC Tissue Bank</w:t>
            </w:r>
          </w:p>
        </w:tc>
        <w:tc>
          <w:tcPr>
            <w:tcW w:w="470" w:type="pct"/>
            <w:tcBorders>
              <w:top w:val="single" w:sz="4" w:space="0" w:color="auto"/>
              <w:left w:val="single" w:sz="4" w:space="0" w:color="auto"/>
              <w:bottom w:val="single" w:sz="4" w:space="0" w:color="auto"/>
              <w:right w:val="single" w:sz="4" w:space="0" w:color="auto"/>
            </w:tcBorders>
            <w:vAlign w:val="center"/>
          </w:tcPr>
          <w:p w14:paraId="7ACA5BFF"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0382D1D" w14:textId="77777777" w:rsidR="003D217E" w:rsidRPr="003763AA" w:rsidRDefault="003D217E" w:rsidP="001740C5">
            <w:pPr>
              <w:adjustRightInd w:val="0"/>
              <w:snapToGrid w:val="0"/>
              <w:jc w:val="center"/>
              <w:rPr>
                <w:color w:val="000000"/>
                <w:sz w:val="18"/>
                <w:szCs w:val="18"/>
                <w:lang w:eastAsia="zh-CN"/>
              </w:rPr>
            </w:pPr>
            <w:r w:rsidRPr="003763AA">
              <w:rPr>
                <w:color w:val="000000"/>
                <w:sz w:val="18"/>
                <w:szCs w:val="18"/>
                <w:lang w:eastAsia="zh-CN"/>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46278588"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color w:val="000000"/>
                <w:sz w:val="18"/>
                <w:szCs w:val="18"/>
                <w:lang w:eastAsia="zh-CN"/>
              </w:rPr>
              <w:t>High</w:t>
            </w:r>
            <w:r w:rsidRPr="003763AA">
              <w:rPr>
                <w:rFonts w:eastAsia="Malgun Gothic"/>
                <w:color w:val="000000"/>
                <w:sz w:val="18"/>
                <w:szCs w:val="18"/>
                <w:lang w:eastAsia="ko-KR"/>
              </w:rPr>
              <w:t xml:space="preserve"> 1</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3A7DA2" w14:textId="77777777" w:rsidR="003D217E" w:rsidRPr="003763AA" w:rsidRDefault="003D217E" w:rsidP="001740C5">
            <w:pPr>
              <w:adjustRightInd w:val="0"/>
              <w:snapToGrid w:val="0"/>
              <w:jc w:val="right"/>
              <w:rPr>
                <w:color w:val="000000"/>
                <w:sz w:val="18"/>
                <w:szCs w:val="18"/>
                <w:lang w:eastAsia="zh-CN"/>
              </w:rPr>
            </w:pPr>
            <w:r w:rsidRPr="003763AA">
              <w:rPr>
                <w:rFonts w:eastAsia="Malgun Gothic"/>
                <w:color w:val="000000"/>
                <w:sz w:val="18"/>
                <w:szCs w:val="18"/>
                <w:lang w:eastAsia="ko-KR"/>
              </w:rPr>
              <w:t>97,200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FF297C7" w14:textId="77777777" w:rsidR="003D217E" w:rsidRPr="003763AA" w:rsidRDefault="003D217E" w:rsidP="001740C5">
            <w:pPr>
              <w:adjustRightInd w:val="0"/>
              <w:snapToGrid w:val="0"/>
              <w:jc w:val="right"/>
              <w:rPr>
                <w:color w:val="000000"/>
                <w:sz w:val="18"/>
                <w:szCs w:val="18"/>
                <w:lang w:eastAsia="zh-CN"/>
              </w:rPr>
            </w:pPr>
            <w:r w:rsidRPr="003763AA">
              <w:rPr>
                <w:rFonts w:eastAsia="Malgun Gothic"/>
                <w:color w:val="000000"/>
                <w:sz w:val="18"/>
                <w:szCs w:val="18"/>
                <w:lang w:eastAsia="ko-KR"/>
              </w:rPr>
              <w:t>99,195</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78B584BB"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101,180</w:t>
            </w:r>
          </w:p>
        </w:tc>
      </w:tr>
      <w:tr w:rsidR="003D217E" w:rsidRPr="003763AA" w14:paraId="3B994AFC"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54B08438" w14:textId="77777777" w:rsidR="003D217E" w:rsidRPr="003763AA" w:rsidRDefault="003D217E" w:rsidP="001740C5">
            <w:pPr>
              <w:adjustRightInd w:val="0"/>
              <w:snapToGrid w:val="0"/>
              <w:rPr>
                <w:rFonts w:eastAsia="Malgun Gothic"/>
                <w:color w:val="000000"/>
                <w:sz w:val="18"/>
                <w:szCs w:val="18"/>
                <w:lang w:eastAsia="ko-KR"/>
              </w:rPr>
            </w:pPr>
            <w:r w:rsidRPr="003763AA">
              <w:rPr>
                <w:rFonts w:eastAsia="Batang"/>
                <w:color w:val="000000"/>
                <w:sz w:val="18"/>
                <w:szCs w:val="18"/>
                <w:lang w:eastAsia="ko-KR"/>
              </w:rPr>
              <w:t xml:space="preserve">Project 42 Pacific Tuna Tagging Program (PTTP)  </w:t>
            </w:r>
            <w:r w:rsidRPr="003763AA">
              <w:rPr>
                <w:rFonts w:eastAsia="Malgun Gothic"/>
                <w:color w:val="000000"/>
                <w:sz w:val="18"/>
                <w:szCs w:val="18"/>
                <w:lang w:eastAsia="ko-KR"/>
              </w:rPr>
              <w:t>Other: Approx. $170,000 from Korea</w:t>
            </w:r>
          </w:p>
        </w:tc>
        <w:tc>
          <w:tcPr>
            <w:tcW w:w="470" w:type="pct"/>
            <w:tcBorders>
              <w:top w:val="single" w:sz="4" w:space="0" w:color="auto"/>
              <w:left w:val="single" w:sz="4" w:space="0" w:color="auto"/>
              <w:bottom w:val="single" w:sz="4" w:space="0" w:color="auto"/>
              <w:right w:val="single" w:sz="4" w:space="0" w:color="auto"/>
            </w:tcBorders>
            <w:vAlign w:val="center"/>
          </w:tcPr>
          <w:p w14:paraId="12CD2885"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398376D" w14:textId="77777777" w:rsidR="003D217E" w:rsidRPr="003763AA" w:rsidRDefault="003D217E" w:rsidP="001740C5">
            <w:pPr>
              <w:adjustRightInd w:val="0"/>
              <w:snapToGrid w:val="0"/>
              <w:jc w:val="center"/>
              <w:rPr>
                <w:color w:val="000000"/>
                <w:sz w:val="18"/>
                <w:szCs w:val="18"/>
                <w:lang w:eastAsia="zh-CN"/>
              </w:rPr>
            </w:pPr>
            <w:r w:rsidRPr="003763AA">
              <w:rPr>
                <w:color w:val="000000"/>
                <w:sz w:val="18"/>
                <w:szCs w:val="18"/>
                <w:lang w:eastAsia="zh-CN"/>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61934AE1"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color w:val="000000"/>
                <w:sz w:val="18"/>
                <w:szCs w:val="18"/>
                <w:lang w:eastAsia="zh-CN"/>
              </w:rPr>
              <w:t>High</w:t>
            </w:r>
            <w:r w:rsidRPr="003763AA">
              <w:rPr>
                <w:rFonts w:eastAsia="Malgun Gothic"/>
                <w:color w:val="000000"/>
                <w:sz w:val="18"/>
                <w:szCs w:val="18"/>
                <w:lang w:eastAsia="ko-KR"/>
              </w:rPr>
              <w:t xml:space="preserve"> 1</w:t>
            </w:r>
          </w:p>
        </w:tc>
        <w:tc>
          <w:tcPr>
            <w:tcW w:w="517" w:type="pct"/>
            <w:tcBorders>
              <w:top w:val="single" w:sz="4" w:space="0" w:color="auto"/>
              <w:left w:val="single" w:sz="4" w:space="0" w:color="auto"/>
              <w:right w:val="single" w:sz="4" w:space="0" w:color="auto"/>
            </w:tcBorders>
            <w:shd w:val="clear" w:color="auto" w:fill="auto"/>
            <w:noWrap/>
            <w:vAlign w:val="center"/>
          </w:tcPr>
          <w:p w14:paraId="6AAC845C" w14:textId="77777777" w:rsidR="003D217E" w:rsidRPr="003763AA" w:rsidRDefault="003D217E" w:rsidP="001740C5">
            <w:pPr>
              <w:adjustRightInd w:val="0"/>
              <w:snapToGrid w:val="0"/>
              <w:jc w:val="right"/>
              <w:rPr>
                <w:rFonts w:eastAsia="Batang"/>
                <w:color w:val="000000"/>
                <w:sz w:val="18"/>
                <w:szCs w:val="18"/>
                <w:lang w:eastAsia="ko-KR"/>
              </w:rPr>
            </w:pPr>
            <w:r w:rsidRPr="003763AA">
              <w:rPr>
                <w:rFonts w:eastAsia="Batang"/>
                <w:color w:val="000000"/>
                <w:sz w:val="18"/>
                <w:szCs w:val="18"/>
                <w:lang w:eastAsia="ko-KR"/>
              </w:rPr>
              <w:t>645,000</w:t>
            </w:r>
          </w:p>
        </w:tc>
        <w:tc>
          <w:tcPr>
            <w:tcW w:w="517" w:type="pct"/>
            <w:tcBorders>
              <w:top w:val="single" w:sz="4" w:space="0" w:color="auto"/>
              <w:left w:val="single" w:sz="4" w:space="0" w:color="auto"/>
              <w:right w:val="single" w:sz="4" w:space="0" w:color="auto"/>
            </w:tcBorders>
            <w:shd w:val="clear" w:color="auto" w:fill="auto"/>
            <w:vAlign w:val="center"/>
          </w:tcPr>
          <w:p w14:paraId="775EA977" w14:textId="77777777" w:rsidR="003D217E" w:rsidRPr="003763AA" w:rsidRDefault="003D217E" w:rsidP="001740C5">
            <w:pPr>
              <w:adjustRightInd w:val="0"/>
              <w:snapToGrid w:val="0"/>
              <w:jc w:val="right"/>
              <w:rPr>
                <w:rFonts w:eastAsia="Batang"/>
                <w:color w:val="000000"/>
                <w:sz w:val="18"/>
                <w:szCs w:val="18"/>
                <w:lang w:eastAsia="ko-KR"/>
              </w:rPr>
            </w:pPr>
            <w:r w:rsidRPr="003763AA">
              <w:rPr>
                <w:rFonts w:eastAsia="Batang"/>
                <w:color w:val="000000"/>
                <w:sz w:val="18"/>
                <w:szCs w:val="18"/>
                <w:lang w:eastAsia="ko-KR"/>
              </w:rPr>
              <w:t>645,000</w:t>
            </w:r>
          </w:p>
        </w:tc>
        <w:tc>
          <w:tcPr>
            <w:tcW w:w="526" w:type="pct"/>
            <w:tcBorders>
              <w:top w:val="single" w:sz="4" w:space="0" w:color="auto"/>
              <w:left w:val="single" w:sz="4" w:space="0" w:color="auto"/>
              <w:right w:val="single" w:sz="4" w:space="0" w:color="auto"/>
            </w:tcBorders>
            <w:shd w:val="clear" w:color="auto" w:fill="auto"/>
            <w:vAlign w:val="center"/>
          </w:tcPr>
          <w:p w14:paraId="05983797" w14:textId="77777777" w:rsidR="003D217E" w:rsidRPr="003763AA" w:rsidRDefault="003D217E" w:rsidP="001740C5">
            <w:pPr>
              <w:adjustRightInd w:val="0"/>
              <w:snapToGrid w:val="0"/>
              <w:jc w:val="right"/>
              <w:rPr>
                <w:rFonts w:eastAsia="Batang"/>
                <w:color w:val="000000"/>
                <w:sz w:val="18"/>
                <w:szCs w:val="18"/>
                <w:lang w:eastAsia="ko-KR"/>
              </w:rPr>
            </w:pPr>
            <w:r w:rsidRPr="003763AA">
              <w:rPr>
                <w:rFonts w:eastAsia="Batang"/>
                <w:color w:val="000000"/>
                <w:sz w:val="18"/>
                <w:szCs w:val="18"/>
                <w:lang w:eastAsia="ko-KR"/>
              </w:rPr>
              <w:t>730,000</w:t>
            </w:r>
          </w:p>
        </w:tc>
      </w:tr>
      <w:tr w:rsidR="003D217E" w:rsidRPr="003763AA" w14:paraId="11C896E4"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02DE890E" w14:textId="77777777" w:rsidR="003D217E" w:rsidRPr="003763AA" w:rsidRDefault="003D217E" w:rsidP="001740C5">
            <w:pPr>
              <w:adjustRightInd w:val="0"/>
              <w:snapToGrid w:val="0"/>
              <w:rPr>
                <w:rFonts w:eastAsia="Batang"/>
                <w:color w:val="000000"/>
                <w:sz w:val="18"/>
                <w:szCs w:val="18"/>
                <w:lang w:val="en-NZ" w:eastAsia="ko-KR"/>
              </w:rPr>
            </w:pPr>
            <w:r w:rsidRPr="003763AA">
              <w:rPr>
                <w:rFonts w:eastAsia="Batang"/>
                <w:color w:val="000000"/>
                <w:sz w:val="18"/>
                <w:szCs w:val="18"/>
                <w:lang w:eastAsia="ja-JP"/>
              </w:rPr>
              <w:t xml:space="preserve">Project 57. </w:t>
            </w:r>
            <w:r w:rsidRPr="003763AA">
              <w:rPr>
                <w:rFonts w:eastAsia="Batang"/>
                <w:color w:val="000000"/>
                <w:sz w:val="18"/>
                <w:szCs w:val="18"/>
                <w:lang w:val="en-NZ" w:eastAsia="zh-CN"/>
              </w:rPr>
              <w:t>Limit Reference Points (LRPs) for elasmobranchs within the WCPFC</w:t>
            </w:r>
          </w:p>
        </w:tc>
        <w:tc>
          <w:tcPr>
            <w:tcW w:w="470" w:type="pct"/>
            <w:tcBorders>
              <w:top w:val="single" w:sz="4" w:space="0" w:color="auto"/>
              <w:left w:val="single" w:sz="4" w:space="0" w:color="auto"/>
              <w:bottom w:val="single" w:sz="4" w:space="0" w:color="auto"/>
              <w:right w:val="single" w:sz="4" w:space="0" w:color="auto"/>
            </w:tcBorders>
            <w:vAlign w:val="center"/>
          </w:tcPr>
          <w:p w14:paraId="2E3C99F4"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5EB0480" w14:textId="77777777" w:rsidR="003D217E" w:rsidRPr="003763AA" w:rsidRDefault="003D217E" w:rsidP="001740C5">
            <w:pPr>
              <w:adjustRightInd w:val="0"/>
              <w:snapToGrid w:val="0"/>
              <w:jc w:val="center"/>
              <w:rPr>
                <w:color w:val="000000"/>
                <w:sz w:val="18"/>
                <w:szCs w:val="18"/>
                <w:lang w:eastAsia="zh-CN"/>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041891B3" w14:textId="77777777" w:rsidR="003D217E" w:rsidRPr="003763AA" w:rsidRDefault="003D217E" w:rsidP="001740C5">
            <w:pPr>
              <w:adjustRightInd w:val="0"/>
              <w:snapToGrid w:val="0"/>
              <w:jc w:val="center"/>
              <w:rPr>
                <w:rFonts w:eastAsia="Malgun Gothic"/>
                <w:color w:val="000000"/>
                <w:sz w:val="18"/>
                <w:szCs w:val="18"/>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9A226B" w14:textId="77777777" w:rsidR="003D217E" w:rsidRPr="003763AA" w:rsidRDefault="003D217E" w:rsidP="001740C5">
            <w:pPr>
              <w:adjustRightInd w:val="0"/>
              <w:snapToGrid w:val="0"/>
              <w:jc w:val="right"/>
              <w:rPr>
                <w:rFonts w:eastAsia="Malgun Gothic"/>
                <w:color w:val="000000"/>
                <w:sz w:val="18"/>
                <w:szCs w:val="18"/>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D274B05" w14:textId="77777777" w:rsidR="003D217E" w:rsidRPr="003763AA" w:rsidRDefault="003D217E" w:rsidP="001740C5">
            <w:pPr>
              <w:adjustRightInd w:val="0"/>
              <w:snapToGrid w:val="0"/>
              <w:jc w:val="right"/>
              <w:rPr>
                <w:rFonts w:eastAsia="Malgun Gothic"/>
                <w:color w:val="000000"/>
                <w:sz w:val="18"/>
                <w:szCs w:val="18"/>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4775EB16" w14:textId="77777777" w:rsidR="003D217E" w:rsidRPr="003763AA" w:rsidRDefault="003D217E" w:rsidP="001740C5">
            <w:pPr>
              <w:adjustRightInd w:val="0"/>
              <w:snapToGrid w:val="0"/>
              <w:jc w:val="right"/>
              <w:rPr>
                <w:rFonts w:eastAsia="Malgun Gothic"/>
                <w:color w:val="000000"/>
                <w:sz w:val="18"/>
                <w:szCs w:val="18"/>
                <w:lang w:eastAsia="ko-KR"/>
              </w:rPr>
            </w:pPr>
          </w:p>
        </w:tc>
      </w:tr>
      <w:tr w:rsidR="003D217E" w:rsidRPr="003763AA" w14:paraId="6FBB071F"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575171E2" w14:textId="77777777" w:rsidR="003D217E" w:rsidRPr="003763AA" w:rsidRDefault="003D217E" w:rsidP="001740C5">
            <w:pPr>
              <w:adjustRightInd w:val="0"/>
              <w:snapToGrid w:val="0"/>
              <w:rPr>
                <w:rFonts w:eastAsia="Malgun Gothic"/>
                <w:color w:val="000000"/>
                <w:sz w:val="18"/>
                <w:szCs w:val="18"/>
                <w:lang w:eastAsia="ko-KR"/>
              </w:rPr>
            </w:pPr>
            <w:r w:rsidRPr="003763AA">
              <w:rPr>
                <w:color w:val="000000"/>
                <w:sz w:val="18"/>
                <w:szCs w:val="18"/>
                <w:lang w:eastAsia="zh-CN"/>
              </w:rPr>
              <w:t>Project 60: Improving purse seine species composition</w:t>
            </w:r>
          </w:p>
          <w:p w14:paraId="6A8AC8C2" w14:textId="77777777" w:rsidR="003D217E" w:rsidRPr="003763AA" w:rsidRDefault="003D217E" w:rsidP="001740C5">
            <w:pPr>
              <w:adjustRightInd w:val="0"/>
              <w:snapToGrid w:val="0"/>
              <w:rPr>
                <w:rFonts w:eastAsia="Malgun Gothic"/>
                <w:color w:val="000000"/>
                <w:sz w:val="18"/>
                <w:szCs w:val="18"/>
                <w:lang w:eastAsia="ko-KR"/>
              </w:rPr>
            </w:pPr>
            <w:r w:rsidRPr="003763AA">
              <w:rPr>
                <w:rFonts w:eastAsia="Malgun Gothic"/>
                <w:color w:val="000000"/>
                <w:sz w:val="18"/>
                <w:szCs w:val="18"/>
                <w:lang w:eastAsia="ko-KR"/>
              </w:rPr>
              <w:t xml:space="preserve">* </w:t>
            </w:r>
            <w:r w:rsidRPr="003763AA">
              <w:rPr>
                <w:rFonts w:eastAsia="Batang"/>
                <w:color w:val="000000"/>
                <w:sz w:val="18"/>
                <w:szCs w:val="18"/>
                <w:lang w:eastAsia="zh-CN"/>
              </w:rPr>
              <w:t>SPC will utilise funding from other sources in 2019</w:t>
            </w:r>
          </w:p>
        </w:tc>
        <w:tc>
          <w:tcPr>
            <w:tcW w:w="470" w:type="pct"/>
            <w:tcBorders>
              <w:top w:val="single" w:sz="4" w:space="0" w:color="auto"/>
              <w:left w:val="single" w:sz="4" w:space="0" w:color="auto"/>
              <w:bottom w:val="single" w:sz="4" w:space="0" w:color="auto"/>
              <w:right w:val="single" w:sz="4" w:space="0" w:color="auto"/>
            </w:tcBorders>
            <w:vAlign w:val="center"/>
          </w:tcPr>
          <w:p w14:paraId="6944BCA0"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D053386" w14:textId="77777777" w:rsidR="003D217E" w:rsidRPr="003763AA" w:rsidRDefault="003D217E" w:rsidP="001740C5">
            <w:pPr>
              <w:adjustRightInd w:val="0"/>
              <w:snapToGrid w:val="0"/>
              <w:jc w:val="center"/>
              <w:rPr>
                <w:rFonts w:eastAsia="Malgun Gothic"/>
                <w:color w:val="000000"/>
                <w:sz w:val="18"/>
                <w:szCs w:val="18"/>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1B9656A7" w14:textId="77777777" w:rsidR="003D217E" w:rsidRPr="003763AA" w:rsidRDefault="003D217E" w:rsidP="001740C5">
            <w:pPr>
              <w:adjustRightInd w:val="0"/>
              <w:snapToGrid w:val="0"/>
              <w:jc w:val="center"/>
              <w:rPr>
                <w:rFonts w:eastAsia="Malgun Gothic"/>
                <w:color w:val="000000"/>
                <w:sz w:val="18"/>
                <w:szCs w:val="18"/>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86F645"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1A29858"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40,000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35BB5BBC"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40,000</w:t>
            </w:r>
          </w:p>
        </w:tc>
      </w:tr>
      <w:tr w:rsidR="003D217E" w:rsidRPr="003763AA" w14:paraId="1A52C9CF"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750D2991" w14:textId="77777777" w:rsidR="003D217E" w:rsidRPr="003763AA" w:rsidRDefault="003D217E" w:rsidP="001740C5">
            <w:pPr>
              <w:adjustRightInd w:val="0"/>
              <w:snapToGrid w:val="0"/>
              <w:rPr>
                <w:rFonts w:eastAsia="Malgun Gothic"/>
                <w:color w:val="000000"/>
                <w:sz w:val="18"/>
                <w:szCs w:val="18"/>
                <w:lang w:eastAsia="ko-KR"/>
              </w:rPr>
            </w:pPr>
            <w:r w:rsidRPr="003763AA">
              <w:rPr>
                <w:rFonts w:eastAsia="Malgun Gothic"/>
                <w:color w:val="000000"/>
                <w:sz w:val="18"/>
                <w:szCs w:val="18"/>
                <w:lang w:eastAsia="ko-KR"/>
              </w:rPr>
              <w:t xml:space="preserve">Project 68. Estimation of </w:t>
            </w:r>
            <w:r w:rsidRPr="003763AA">
              <w:rPr>
                <w:rFonts w:eastAsia="Batang"/>
                <w:color w:val="000000"/>
                <w:sz w:val="18"/>
                <w:szCs w:val="18"/>
                <w:lang w:eastAsia="zh-CN"/>
              </w:rPr>
              <w:t>seabird mortality across the WCPO Convention area</w:t>
            </w:r>
            <w:r w:rsidRPr="003763AA">
              <w:rPr>
                <w:rFonts w:eastAsia="Malgun Gothic"/>
                <w:color w:val="000000"/>
                <w:sz w:val="18"/>
                <w:szCs w:val="18"/>
                <w:lang w:eastAsia="ko-KR"/>
              </w:rPr>
              <w:t xml:space="preserve"> </w:t>
            </w:r>
          </w:p>
        </w:tc>
        <w:tc>
          <w:tcPr>
            <w:tcW w:w="470" w:type="pct"/>
            <w:tcBorders>
              <w:top w:val="single" w:sz="4" w:space="0" w:color="auto"/>
              <w:left w:val="single" w:sz="4" w:space="0" w:color="auto"/>
              <w:bottom w:val="single" w:sz="4" w:space="0" w:color="auto"/>
              <w:right w:val="single" w:sz="4" w:space="0" w:color="auto"/>
            </w:tcBorders>
            <w:vAlign w:val="center"/>
          </w:tcPr>
          <w:p w14:paraId="1500A2E1"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4754750"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No</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323D9D08"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High 2</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BE1500"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17,500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1738535B" w14:textId="77777777" w:rsidR="003D217E" w:rsidRPr="003763AA" w:rsidRDefault="003D217E" w:rsidP="001740C5">
            <w:pPr>
              <w:adjustRightInd w:val="0"/>
              <w:snapToGrid w:val="0"/>
              <w:jc w:val="right"/>
              <w:rPr>
                <w:rFonts w:eastAsia="Malgun Gothic"/>
                <w:color w:val="000000"/>
                <w:sz w:val="18"/>
                <w:szCs w:val="18"/>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66E27FEE" w14:textId="77777777" w:rsidR="003D217E" w:rsidRPr="003763AA" w:rsidRDefault="003D217E" w:rsidP="001740C5">
            <w:pPr>
              <w:adjustRightInd w:val="0"/>
              <w:snapToGrid w:val="0"/>
              <w:jc w:val="right"/>
              <w:rPr>
                <w:rFonts w:eastAsia="Batang"/>
                <w:color w:val="000000"/>
                <w:sz w:val="18"/>
                <w:szCs w:val="18"/>
                <w:lang w:eastAsia="ko-KR"/>
              </w:rPr>
            </w:pPr>
          </w:p>
        </w:tc>
      </w:tr>
      <w:tr w:rsidR="003D217E" w:rsidRPr="003763AA" w14:paraId="6BEDBE45"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7514BB0D" w14:textId="77777777" w:rsidR="003D217E" w:rsidRPr="003763AA" w:rsidRDefault="003D217E" w:rsidP="001740C5">
            <w:pPr>
              <w:adjustRightInd w:val="0"/>
              <w:snapToGrid w:val="0"/>
              <w:rPr>
                <w:color w:val="000000"/>
                <w:sz w:val="18"/>
                <w:szCs w:val="18"/>
                <w:lang w:eastAsia="ko-KR"/>
              </w:rPr>
            </w:pPr>
            <w:r w:rsidRPr="003763AA">
              <w:rPr>
                <w:rFonts w:eastAsia="Malgun Gothic"/>
                <w:color w:val="000000"/>
                <w:sz w:val="18"/>
                <w:szCs w:val="18"/>
                <w:lang w:eastAsia="ko-KR"/>
              </w:rPr>
              <w:t xml:space="preserve">Project 81. </w:t>
            </w:r>
            <w:r w:rsidRPr="003763AA">
              <w:rPr>
                <w:rFonts w:eastAsia="Batang"/>
                <w:color w:val="000000"/>
                <w:sz w:val="18"/>
                <w:szCs w:val="18"/>
                <w:lang w:eastAsia="zh-CN"/>
              </w:rPr>
              <w:t>Further work on bigeye tuna age and growth</w:t>
            </w:r>
            <w:r w:rsidRPr="003763AA">
              <w:rPr>
                <w:rFonts w:eastAsia="Batang"/>
                <w:color w:val="000000"/>
                <w:sz w:val="18"/>
                <w:szCs w:val="18"/>
                <w:lang w:eastAsia="ko-KR"/>
              </w:rPr>
              <w:t xml:space="preserve"> </w:t>
            </w:r>
          </w:p>
        </w:tc>
        <w:tc>
          <w:tcPr>
            <w:tcW w:w="470" w:type="pct"/>
            <w:tcBorders>
              <w:top w:val="single" w:sz="4" w:space="0" w:color="auto"/>
              <w:left w:val="single" w:sz="4" w:space="0" w:color="auto"/>
              <w:bottom w:val="single" w:sz="4" w:space="0" w:color="auto"/>
              <w:right w:val="single" w:sz="4" w:space="0" w:color="auto"/>
            </w:tcBorders>
            <w:vAlign w:val="center"/>
          </w:tcPr>
          <w:p w14:paraId="3758CC0C"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498B89B" w14:textId="77777777" w:rsidR="003D217E" w:rsidRPr="003763AA" w:rsidRDefault="003D217E" w:rsidP="001740C5">
            <w:pPr>
              <w:adjustRightInd w:val="0"/>
              <w:snapToGrid w:val="0"/>
              <w:jc w:val="center"/>
              <w:rPr>
                <w:rFonts w:eastAsia="Malgun Gothic"/>
                <w:color w:val="000000"/>
                <w:sz w:val="18"/>
                <w:szCs w:val="18"/>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51EF00C1" w14:textId="77777777" w:rsidR="003D217E" w:rsidRPr="003763AA" w:rsidRDefault="003D217E" w:rsidP="001740C5">
            <w:pPr>
              <w:adjustRightInd w:val="0"/>
              <w:snapToGrid w:val="0"/>
              <w:jc w:val="center"/>
              <w:rPr>
                <w:rFonts w:eastAsia="Malgun Gothic"/>
                <w:color w:val="000000"/>
                <w:sz w:val="18"/>
                <w:szCs w:val="18"/>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FCBBE9" w14:textId="77777777" w:rsidR="003D217E" w:rsidRPr="003763AA" w:rsidRDefault="003D217E" w:rsidP="001740C5">
            <w:pPr>
              <w:adjustRightInd w:val="0"/>
              <w:snapToGrid w:val="0"/>
              <w:jc w:val="right"/>
              <w:rPr>
                <w:color w:val="000000"/>
                <w:sz w:val="18"/>
                <w:szCs w:val="18"/>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2C1C4A4" w14:textId="77777777" w:rsidR="003D217E" w:rsidRPr="003763AA" w:rsidRDefault="003D217E" w:rsidP="001740C5">
            <w:pPr>
              <w:adjustRightInd w:val="0"/>
              <w:snapToGrid w:val="0"/>
              <w:jc w:val="right"/>
              <w:rPr>
                <w:color w:val="000000"/>
                <w:sz w:val="18"/>
                <w:szCs w:val="18"/>
                <w:lang w:eastAsia="zh-CN"/>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0EA1B01B" w14:textId="77777777" w:rsidR="003D217E" w:rsidRPr="003763AA" w:rsidRDefault="003D217E" w:rsidP="001740C5">
            <w:pPr>
              <w:adjustRightInd w:val="0"/>
              <w:snapToGrid w:val="0"/>
              <w:jc w:val="right"/>
              <w:rPr>
                <w:color w:val="000000"/>
                <w:sz w:val="18"/>
                <w:szCs w:val="18"/>
                <w:lang w:eastAsia="zh-CN"/>
              </w:rPr>
            </w:pPr>
          </w:p>
        </w:tc>
      </w:tr>
      <w:tr w:rsidR="003D217E" w:rsidRPr="003763AA" w14:paraId="2089A136"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AA93B54" w14:textId="77777777" w:rsidR="003D217E" w:rsidRPr="003763AA" w:rsidRDefault="003D217E" w:rsidP="001740C5">
            <w:pPr>
              <w:adjustRightInd w:val="0"/>
              <w:snapToGrid w:val="0"/>
              <w:rPr>
                <w:rFonts w:eastAsia="Malgun Gothic"/>
                <w:color w:val="000000"/>
                <w:sz w:val="18"/>
                <w:szCs w:val="18"/>
                <w:lang w:eastAsia="ko-KR"/>
              </w:rPr>
            </w:pPr>
            <w:r w:rsidRPr="003763AA">
              <w:rPr>
                <w:rFonts w:eastAsia="Malgun Gothic"/>
                <w:color w:val="000000"/>
                <w:sz w:val="18"/>
                <w:szCs w:val="18"/>
                <w:lang w:eastAsia="ko-KR"/>
              </w:rPr>
              <w:t xml:space="preserve">Project 82. </w:t>
            </w:r>
            <w:r w:rsidRPr="003763AA">
              <w:rPr>
                <w:rFonts w:eastAsia="Batang"/>
                <w:color w:val="000000"/>
                <w:sz w:val="18"/>
                <w:szCs w:val="18"/>
                <w:lang w:eastAsia="zh-CN"/>
              </w:rPr>
              <w:t>Yellowfin tuna age and growth</w:t>
            </w:r>
          </w:p>
        </w:tc>
        <w:tc>
          <w:tcPr>
            <w:tcW w:w="470" w:type="pct"/>
            <w:tcBorders>
              <w:top w:val="single" w:sz="4" w:space="0" w:color="auto"/>
              <w:left w:val="single" w:sz="4" w:space="0" w:color="auto"/>
              <w:bottom w:val="single" w:sz="4" w:space="0" w:color="auto"/>
              <w:right w:val="single" w:sz="4" w:space="0" w:color="auto"/>
            </w:tcBorders>
            <w:vAlign w:val="center"/>
          </w:tcPr>
          <w:p w14:paraId="6955CC78"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1B921853"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4EBBDDE0"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High 1</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3BBD48"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85,000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6D94401" w14:textId="77777777" w:rsidR="003D217E" w:rsidRPr="003763AA" w:rsidRDefault="003D217E" w:rsidP="001740C5">
            <w:pPr>
              <w:adjustRightInd w:val="0"/>
              <w:snapToGrid w:val="0"/>
              <w:jc w:val="right"/>
              <w:rPr>
                <w:rFonts w:eastAsia="Malgun Gothic"/>
                <w:color w:val="000000"/>
                <w:sz w:val="18"/>
                <w:szCs w:val="18"/>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1812B3D5" w14:textId="77777777" w:rsidR="003D217E" w:rsidRPr="003763AA" w:rsidRDefault="003D217E" w:rsidP="001740C5">
            <w:pPr>
              <w:adjustRightInd w:val="0"/>
              <w:snapToGrid w:val="0"/>
              <w:jc w:val="right"/>
              <w:rPr>
                <w:color w:val="000000"/>
                <w:sz w:val="18"/>
                <w:szCs w:val="18"/>
                <w:lang w:eastAsia="zh-CN"/>
              </w:rPr>
            </w:pPr>
          </w:p>
        </w:tc>
      </w:tr>
      <w:tr w:rsidR="003D217E" w:rsidRPr="003763AA" w14:paraId="503033B0"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5AFA5C3F" w14:textId="77777777" w:rsidR="003D217E" w:rsidRPr="003763AA" w:rsidRDefault="003D217E" w:rsidP="001740C5">
            <w:pPr>
              <w:adjustRightInd w:val="0"/>
              <w:snapToGrid w:val="0"/>
              <w:rPr>
                <w:rFonts w:eastAsia="Batang"/>
                <w:color w:val="000000"/>
                <w:sz w:val="18"/>
                <w:szCs w:val="18"/>
                <w:lang w:eastAsia="ja-JP"/>
              </w:rPr>
            </w:pPr>
            <w:r w:rsidRPr="003763AA">
              <w:rPr>
                <w:rFonts w:eastAsia="Malgun Gothic"/>
                <w:color w:val="000000"/>
                <w:sz w:val="18"/>
                <w:szCs w:val="18"/>
                <w:lang w:eastAsia="ko-KR"/>
              </w:rPr>
              <w:t>Project 83. Investigating the potential for a WCPFC tag vessel (Co-funded to be sought)</w:t>
            </w:r>
          </w:p>
        </w:tc>
        <w:tc>
          <w:tcPr>
            <w:tcW w:w="470" w:type="pct"/>
            <w:tcBorders>
              <w:top w:val="single" w:sz="4" w:space="0" w:color="auto"/>
              <w:left w:val="single" w:sz="4" w:space="0" w:color="auto"/>
              <w:bottom w:val="single" w:sz="4" w:space="0" w:color="auto"/>
              <w:right w:val="single" w:sz="4" w:space="0" w:color="auto"/>
            </w:tcBorders>
            <w:vAlign w:val="center"/>
          </w:tcPr>
          <w:p w14:paraId="51B1CF9A"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D76244F"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No</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285BAA9D"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High 2</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AD208D"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95,000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FC6A10F" w14:textId="77777777" w:rsidR="003D217E" w:rsidRPr="003763AA" w:rsidRDefault="003D217E" w:rsidP="001740C5">
            <w:pPr>
              <w:adjustRightInd w:val="0"/>
              <w:snapToGrid w:val="0"/>
              <w:jc w:val="right"/>
              <w:rPr>
                <w:rFonts w:eastAsia="Malgun Gothic"/>
                <w:color w:val="000000"/>
                <w:sz w:val="18"/>
                <w:szCs w:val="18"/>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521D7C23" w14:textId="77777777" w:rsidR="003D217E" w:rsidRPr="003763AA" w:rsidRDefault="003D217E" w:rsidP="001740C5">
            <w:pPr>
              <w:adjustRightInd w:val="0"/>
              <w:snapToGrid w:val="0"/>
              <w:jc w:val="right"/>
              <w:rPr>
                <w:rFonts w:eastAsia="Malgun Gothic"/>
                <w:color w:val="000000"/>
                <w:sz w:val="18"/>
                <w:szCs w:val="18"/>
                <w:lang w:eastAsia="ko-KR"/>
              </w:rPr>
            </w:pPr>
          </w:p>
        </w:tc>
      </w:tr>
      <w:tr w:rsidR="003D217E" w:rsidRPr="003763AA" w14:paraId="1BD7C4C3"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643BD322" w14:textId="77777777" w:rsidR="003D217E" w:rsidRPr="003763AA" w:rsidRDefault="003D217E" w:rsidP="001740C5">
            <w:pPr>
              <w:adjustRightInd w:val="0"/>
              <w:snapToGrid w:val="0"/>
              <w:rPr>
                <w:color w:val="000000"/>
                <w:sz w:val="18"/>
                <w:szCs w:val="18"/>
                <w:lang w:eastAsia="zh-CN"/>
              </w:rPr>
            </w:pPr>
            <w:r w:rsidRPr="003763AA">
              <w:rPr>
                <w:rFonts w:eastAsia="Batang"/>
                <w:color w:val="000000"/>
                <w:sz w:val="18"/>
                <w:szCs w:val="18"/>
                <w:lang w:eastAsia="zh-CN"/>
              </w:rPr>
              <w:t xml:space="preserve">Project 88. </w:t>
            </w:r>
            <w:r w:rsidRPr="003763AA">
              <w:rPr>
                <w:color w:val="000000"/>
                <w:sz w:val="18"/>
                <w:szCs w:val="18"/>
                <w:lang w:eastAsia="zh-CN"/>
              </w:rPr>
              <w:t>Acoustic FAD analyses</w:t>
            </w:r>
          </w:p>
        </w:tc>
        <w:tc>
          <w:tcPr>
            <w:tcW w:w="470" w:type="pct"/>
            <w:tcBorders>
              <w:top w:val="single" w:sz="4" w:space="0" w:color="auto"/>
              <w:left w:val="single" w:sz="4" w:space="0" w:color="auto"/>
              <w:bottom w:val="single" w:sz="4" w:space="0" w:color="auto"/>
              <w:right w:val="single" w:sz="4" w:space="0" w:color="auto"/>
            </w:tcBorders>
            <w:vAlign w:val="center"/>
          </w:tcPr>
          <w:p w14:paraId="661FA447"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6EE2B55" w14:textId="77777777" w:rsidR="003D217E" w:rsidRPr="003763AA" w:rsidRDefault="003D217E" w:rsidP="001740C5">
            <w:pPr>
              <w:adjustRightInd w:val="0"/>
              <w:snapToGrid w:val="0"/>
              <w:jc w:val="center"/>
              <w:rPr>
                <w:color w:val="000000"/>
                <w:sz w:val="18"/>
                <w:szCs w:val="18"/>
                <w:lang w:eastAsia="zh-CN"/>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5A01392A" w14:textId="77777777" w:rsidR="003D217E" w:rsidRPr="003763AA" w:rsidRDefault="003D217E" w:rsidP="001740C5">
            <w:pPr>
              <w:adjustRightInd w:val="0"/>
              <w:snapToGrid w:val="0"/>
              <w:jc w:val="center"/>
              <w:rPr>
                <w:color w:val="000000"/>
                <w:sz w:val="18"/>
                <w:szCs w:val="18"/>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FADF90" w14:textId="77777777" w:rsidR="003D217E" w:rsidRPr="003763AA" w:rsidRDefault="003D217E" w:rsidP="001740C5">
            <w:pPr>
              <w:adjustRightInd w:val="0"/>
              <w:snapToGrid w:val="0"/>
              <w:jc w:val="right"/>
              <w:rPr>
                <w:rFonts w:eastAsia="Malgun Gothic"/>
                <w:color w:val="000000"/>
                <w:sz w:val="18"/>
                <w:szCs w:val="18"/>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25F9950"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120,000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0889719A"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72,000</w:t>
            </w:r>
          </w:p>
        </w:tc>
      </w:tr>
      <w:tr w:rsidR="003D217E" w:rsidRPr="003763AA" w14:paraId="1C4F8102"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3FA43FF0" w14:textId="77777777" w:rsidR="003D217E" w:rsidRPr="003763AA" w:rsidRDefault="003D217E" w:rsidP="001740C5">
            <w:pPr>
              <w:adjustRightInd w:val="0"/>
              <w:snapToGrid w:val="0"/>
              <w:rPr>
                <w:rFonts w:eastAsia="Malgun Gothic"/>
                <w:color w:val="000000"/>
                <w:sz w:val="18"/>
                <w:szCs w:val="18"/>
                <w:lang w:eastAsia="ko-KR"/>
              </w:rPr>
            </w:pPr>
            <w:r w:rsidRPr="003763AA">
              <w:rPr>
                <w:rFonts w:eastAsia="Malgun Gothic"/>
                <w:color w:val="000000"/>
                <w:sz w:val="18"/>
                <w:szCs w:val="18"/>
                <w:lang w:eastAsia="ko-KR"/>
              </w:rPr>
              <w:t>Project 90. Better data on fish weights and lengths for scientific analyses</w:t>
            </w:r>
          </w:p>
        </w:tc>
        <w:tc>
          <w:tcPr>
            <w:tcW w:w="470" w:type="pct"/>
            <w:tcBorders>
              <w:top w:val="single" w:sz="4" w:space="0" w:color="auto"/>
              <w:left w:val="single" w:sz="4" w:space="0" w:color="auto"/>
              <w:bottom w:val="single" w:sz="4" w:space="0" w:color="auto"/>
              <w:right w:val="single" w:sz="4" w:space="0" w:color="auto"/>
            </w:tcBorders>
            <w:vAlign w:val="center"/>
          </w:tcPr>
          <w:p w14:paraId="1B359E86"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30F4754"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No</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2C305AC0"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High 2</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164DB1" w14:textId="77777777" w:rsidR="003D217E" w:rsidRPr="003763AA" w:rsidRDefault="003D217E" w:rsidP="001740C5">
            <w:pPr>
              <w:adjustRightInd w:val="0"/>
              <w:snapToGrid w:val="0"/>
              <w:ind w:right="120"/>
              <w:jc w:val="right"/>
              <w:rPr>
                <w:rFonts w:eastAsia="Malgun Gothic"/>
                <w:color w:val="000000"/>
                <w:sz w:val="18"/>
                <w:szCs w:val="18"/>
                <w:lang w:eastAsia="ko-KR"/>
              </w:rPr>
            </w:pPr>
            <w:r w:rsidRPr="003763AA">
              <w:rPr>
                <w:rFonts w:eastAsia="Malgun Gothic"/>
                <w:color w:val="000000"/>
                <w:sz w:val="18"/>
                <w:szCs w:val="18"/>
                <w:lang w:eastAsia="ko-KR"/>
              </w:rPr>
              <w:t>60,000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0AF6641"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30,000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53F2951E"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20,000</w:t>
            </w:r>
          </w:p>
        </w:tc>
      </w:tr>
      <w:tr w:rsidR="003D217E" w:rsidRPr="003763AA" w14:paraId="655C838A"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3114ECCA" w14:textId="77777777" w:rsidR="003D217E" w:rsidRPr="003763AA" w:rsidRDefault="003D217E" w:rsidP="001740C5">
            <w:pPr>
              <w:adjustRightInd w:val="0"/>
              <w:snapToGrid w:val="0"/>
              <w:rPr>
                <w:rFonts w:eastAsia="Batang"/>
                <w:color w:val="000000"/>
                <w:sz w:val="18"/>
                <w:szCs w:val="18"/>
                <w:lang w:eastAsia="ko-KR"/>
              </w:rPr>
            </w:pPr>
            <w:r w:rsidRPr="003763AA">
              <w:rPr>
                <w:rFonts w:eastAsia="Malgun Gothic"/>
                <w:color w:val="000000"/>
                <w:sz w:val="18"/>
                <w:szCs w:val="18"/>
                <w:lang w:eastAsia="ko-KR"/>
              </w:rPr>
              <w:t xml:space="preserve">Project 91. </w:t>
            </w:r>
            <w:r w:rsidRPr="003763AA">
              <w:rPr>
                <w:rFonts w:eastAsia="Batang"/>
                <w:color w:val="000000"/>
                <w:sz w:val="18"/>
                <w:szCs w:val="18"/>
                <w:lang w:eastAsia="zh-CN"/>
              </w:rPr>
              <w:t>Operational planning for shark biological data improvement</w:t>
            </w:r>
          </w:p>
          <w:p w14:paraId="0ACCCAAB" w14:textId="77777777" w:rsidR="003D217E" w:rsidRPr="003763AA" w:rsidRDefault="003D217E" w:rsidP="001740C5">
            <w:pPr>
              <w:adjustRightInd w:val="0"/>
              <w:snapToGrid w:val="0"/>
              <w:rPr>
                <w:rFonts w:eastAsia="Malgun Gothic"/>
                <w:color w:val="000000"/>
                <w:sz w:val="18"/>
                <w:szCs w:val="18"/>
                <w:lang w:eastAsia="ko-KR"/>
              </w:rPr>
            </w:pPr>
            <w:r w:rsidRPr="003763AA">
              <w:rPr>
                <w:rFonts w:eastAsia="Batang"/>
                <w:color w:val="000000"/>
                <w:sz w:val="18"/>
                <w:szCs w:val="18"/>
                <w:lang w:eastAsia="ko-KR"/>
              </w:rPr>
              <w:t>*ABNJ-funded project ($30,000) – need to re-advertise</w:t>
            </w:r>
          </w:p>
        </w:tc>
        <w:tc>
          <w:tcPr>
            <w:tcW w:w="470" w:type="pct"/>
            <w:tcBorders>
              <w:top w:val="single" w:sz="4" w:space="0" w:color="auto"/>
              <w:left w:val="single" w:sz="4" w:space="0" w:color="auto"/>
              <w:bottom w:val="single" w:sz="4" w:space="0" w:color="auto"/>
              <w:right w:val="single" w:sz="4" w:space="0" w:color="auto"/>
            </w:tcBorders>
          </w:tcPr>
          <w:p w14:paraId="6D87A7F5" w14:textId="77777777" w:rsidR="003D217E" w:rsidRPr="003763AA" w:rsidRDefault="003D217E" w:rsidP="001740C5">
            <w:pPr>
              <w:adjustRightInd w:val="0"/>
              <w:snapToGrid w:val="0"/>
              <w:rPr>
                <w:color w:val="000000"/>
                <w:sz w:val="18"/>
                <w:szCs w:val="18"/>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84357CB" w14:textId="77777777" w:rsidR="003D217E" w:rsidRPr="003763AA" w:rsidRDefault="003D217E" w:rsidP="001740C5">
            <w:pPr>
              <w:adjustRightInd w:val="0"/>
              <w:snapToGrid w:val="0"/>
              <w:jc w:val="center"/>
              <w:rPr>
                <w:color w:val="000000"/>
                <w:sz w:val="18"/>
                <w:szCs w:val="18"/>
                <w:lang w:eastAsia="zh-CN"/>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1A8BCEE8" w14:textId="77777777" w:rsidR="003D217E" w:rsidRPr="003763AA" w:rsidRDefault="003D217E" w:rsidP="001740C5">
            <w:pPr>
              <w:adjustRightInd w:val="0"/>
              <w:snapToGrid w:val="0"/>
              <w:jc w:val="center"/>
              <w:rPr>
                <w:color w:val="000000"/>
                <w:sz w:val="18"/>
                <w:szCs w:val="18"/>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8D4AB0" w14:textId="77777777" w:rsidR="003D217E" w:rsidRPr="003763AA" w:rsidRDefault="003D217E" w:rsidP="001740C5">
            <w:pPr>
              <w:adjustRightInd w:val="0"/>
              <w:snapToGrid w:val="0"/>
              <w:jc w:val="right"/>
              <w:rPr>
                <w:color w:val="000000"/>
                <w:sz w:val="18"/>
                <w:szCs w:val="18"/>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7770273" w14:textId="77777777" w:rsidR="003D217E" w:rsidRPr="003763AA" w:rsidRDefault="003D217E" w:rsidP="001740C5">
            <w:pPr>
              <w:adjustRightInd w:val="0"/>
              <w:snapToGrid w:val="0"/>
              <w:jc w:val="right"/>
              <w:rPr>
                <w:rFonts w:eastAsia="Malgun Gothic"/>
                <w:color w:val="000000"/>
                <w:sz w:val="18"/>
                <w:szCs w:val="18"/>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3BA5DEAE" w14:textId="77777777" w:rsidR="003D217E" w:rsidRPr="003763AA" w:rsidRDefault="003D217E" w:rsidP="001740C5">
            <w:pPr>
              <w:adjustRightInd w:val="0"/>
              <w:snapToGrid w:val="0"/>
              <w:jc w:val="right"/>
              <w:rPr>
                <w:rFonts w:eastAsia="Malgun Gothic"/>
                <w:color w:val="000000"/>
                <w:sz w:val="18"/>
                <w:szCs w:val="18"/>
                <w:lang w:eastAsia="ko-KR"/>
              </w:rPr>
            </w:pPr>
          </w:p>
        </w:tc>
      </w:tr>
      <w:tr w:rsidR="003D217E" w:rsidRPr="003763AA" w14:paraId="48BD6773"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292F262B" w14:textId="77777777" w:rsidR="003D217E" w:rsidRPr="003763AA" w:rsidRDefault="003D217E" w:rsidP="001740C5">
            <w:pPr>
              <w:adjustRightInd w:val="0"/>
              <w:snapToGrid w:val="0"/>
              <w:rPr>
                <w:rFonts w:eastAsia="Malgun Gothic"/>
                <w:color w:val="000000"/>
                <w:sz w:val="18"/>
                <w:szCs w:val="18"/>
                <w:lang w:eastAsia="ko-KR"/>
              </w:rPr>
            </w:pPr>
            <w:r w:rsidRPr="003763AA">
              <w:rPr>
                <w:rFonts w:eastAsia="Malgun Gothic"/>
                <w:color w:val="000000"/>
                <w:sz w:val="18"/>
                <w:szCs w:val="18"/>
                <w:lang w:eastAsia="ko-KR"/>
              </w:rPr>
              <w:t xml:space="preserve">Project 92. </w:t>
            </w:r>
            <w:r w:rsidRPr="003763AA">
              <w:rPr>
                <w:rFonts w:eastAsia="Batang"/>
                <w:color w:val="000000"/>
                <w:sz w:val="18"/>
                <w:szCs w:val="18"/>
                <w:lang w:val="en-NZ" w:eastAsia="zh-CN"/>
              </w:rPr>
              <w:t xml:space="preserve">Testing the performance of alternative stock assessments approaches for oceanic whitetip shark. </w:t>
            </w:r>
          </w:p>
        </w:tc>
        <w:tc>
          <w:tcPr>
            <w:tcW w:w="470" w:type="pct"/>
            <w:tcBorders>
              <w:top w:val="single" w:sz="4" w:space="0" w:color="auto"/>
              <w:left w:val="single" w:sz="4" w:space="0" w:color="auto"/>
              <w:bottom w:val="single" w:sz="4" w:space="0" w:color="auto"/>
              <w:right w:val="single" w:sz="4" w:space="0" w:color="auto"/>
            </w:tcBorders>
            <w:vAlign w:val="center"/>
          </w:tcPr>
          <w:p w14:paraId="10D7FBB7"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8E068E2"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No</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642471ED"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High 2</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338A68"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75,000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551948C" w14:textId="77777777" w:rsidR="003D217E" w:rsidRPr="003763AA" w:rsidRDefault="003D217E" w:rsidP="001740C5">
            <w:pPr>
              <w:adjustRightInd w:val="0"/>
              <w:snapToGrid w:val="0"/>
              <w:jc w:val="right"/>
              <w:rPr>
                <w:rFonts w:eastAsia="Malgun Gothic"/>
                <w:color w:val="000000"/>
                <w:sz w:val="18"/>
                <w:szCs w:val="18"/>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25BC6D64" w14:textId="77777777" w:rsidR="003D217E" w:rsidRPr="003763AA" w:rsidRDefault="003D217E" w:rsidP="001740C5">
            <w:pPr>
              <w:adjustRightInd w:val="0"/>
              <w:snapToGrid w:val="0"/>
              <w:jc w:val="right"/>
              <w:rPr>
                <w:rFonts w:eastAsia="Malgun Gothic"/>
                <w:color w:val="000000"/>
                <w:sz w:val="18"/>
                <w:szCs w:val="18"/>
                <w:lang w:eastAsia="ko-KR"/>
              </w:rPr>
            </w:pPr>
          </w:p>
        </w:tc>
      </w:tr>
      <w:tr w:rsidR="003D217E" w:rsidRPr="003763AA" w14:paraId="108C814B"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2536839E" w14:textId="77777777" w:rsidR="003D217E" w:rsidRPr="003763AA" w:rsidRDefault="003D217E" w:rsidP="001740C5">
            <w:pPr>
              <w:adjustRightInd w:val="0"/>
              <w:snapToGrid w:val="0"/>
              <w:rPr>
                <w:rFonts w:eastAsia="Malgun Gothic"/>
                <w:color w:val="000000"/>
                <w:sz w:val="18"/>
                <w:szCs w:val="18"/>
                <w:lang w:eastAsia="ko-KR"/>
              </w:rPr>
            </w:pPr>
            <w:r w:rsidRPr="003763AA">
              <w:rPr>
                <w:rFonts w:eastAsia="Malgun Gothic"/>
                <w:color w:val="000000"/>
                <w:sz w:val="18"/>
                <w:szCs w:val="18"/>
                <w:lang w:eastAsia="ko-KR"/>
              </w:rPr>
              <w:t xml:space="preserve">Project 93. </w:t>
            </w:r>
            <w:r w:rsidRPr="003763AA">
              <w:rPr>
                <w:rFonts w:eastAsia="Batang"/>
                <w:color w:val="000000"/>
                <w:sz w:val="18"/>
                <w:szCs w:val="18"/>
                <w:lang w:eastAsia="zh-CN"/>
              </w:rPr>
              <w:t>Review of the Commission’s data needs and collection programs</w:t>
            </w:r>
          </w:p>
        </w:tc>
        <w:tc>
          <w:tcPr>
            <w:tcW w:w="470" w:type="pct"/>
            <w:tcBorders>
              <w:top w:val="single" w:sz="4" w:space="0" w:color="auto"/>
              <w:left w:val="single" w:sz="4" w:space="0" w:color="auto"/>
              <w:bottom w:val="single" w:sz="4" w:space="0" w:color="auto"/>
              <w:right w:val="single" w:sz="4" w:space="0" w:color="auto"/>
            </w:tcBorders>
            <w:vAlign w:val="center"/>
          </w:tcPr>
          <w:p w14:paraId="3763F9E6" w14:textId="77777777" w:rsidR="003D217E" w:rsidRPr="003763AA" w:rsidRDefault="003D217E" w:rsidP="001740C5">
            <w:pPr>
              <w:adjustRightInd w:val="0"/>
              <w:snapToGrid w:val="0"/>
              <w:rPr>
                <w:color w:val="000000"/>
                <w:sz w:val="18"/>
                <w:szCs w:val="18"/>
                <w:lang w:eastAsia="zh-CN"/>
              </w:rPr>
            </w:pPr>
            <w:r w:rsidRPr="003763AA">
              <w:rPr>
                <w:rFonts w:eastAsia="Malgun Gothic"/>
                <w:color w:val="000000"/>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1176BA8F" w14:textId="77777777" w:rsidR="003D217E" w:rsidRPr="003763AA" w:rsidRDefault="003D217E" w:rsidP="001740C5">
            <w:pPr>
              <w:adjustRightInd w:val="0"/>
              <w:snapToGrid w:val="0"/>
              <w:jc w:val="center"/>
              <w:rPr>
                <w:color w:val="000000"/>
                <w:sz w:val="18"/>
                <w:szCs w:val="18"/>
                <w:lang w:eastAsia="zh-CN"/>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12DFB6CD" w14:textId="77777777" w:rsidR="003D217E" w:rsidRPr="003763AA" w:rsidRDefault="003D217E" w:rsidP="001740C5">
            <w:pPr>
              <w:adjustRightInd w:val="0"/>
              <w:snapToGrid w:val="0"/>
              <w:jc w:val="center"/>
              <w:rPr>
                <w:color w:val="000000"/>
                <w:sz w:val="18"/>
                <w:szCs w:val="18"/>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748874" w14:textId="77777777" w:rsidR="003D217E" w:rsidRPr="003763AA" w:rsidRDefault="003D217E" w:rsidP="001740C5">
            <w:pPr>
              <w:adjustRightInd w:val="0"/>
              <w:snapToGrid w:val="0"/>
              <w:jc w:val="right"/>
              <w:rPr>
                <w:rFonts w:eastAsia="Malgun Gothic"/>
                <w:color w:val="000000"/>
                <w:sz w:val="18"/>
                <w:szCs w:val="18"/>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0A38389" w14:textId="77777777" w:rsidR="003D217E" w:rsidRPr="003763AA" w:rsidRDefault="003D217E" w:rsidP="001740C5">
            <w:pPr>
              <w:adjustRightInd w:val="0"/>
              <w:snapToGrid w:val="0"/>
              <w:jc w:val="right"/>
              <w:rPr>
                <w:rFonts w:eastAsia="Malgun Gothic"/>
                <w:color w:val="000000"/>
                <w:sz w:val="18"/>
                <w:szCs w:val="18"/>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0BF9FDDB" w14:textId="77777777" w:rsidR="003D217E" w:rsidRPr="003763AA" w:rsidRDefault="003D217E" w:rsidP="001740C5">
            <w:pPr>
              <w:adjustRightInd w:val="0"/>
              <w:snapToGrid w:val="0"/>
              <w:jc w:val="right"/>
              <w:rPr>
                <w:rFonts w:eastAsia="Malgun Gothic"/>
                <w:color w:val="000000"/>
                <w:sz w:val="18"/>
                <w:szCs w:val="18"/>
                <w:lang w:eastAsia="ko-KR"/>
              </w:rPr>
            </w:pPr>
          </w:p>
        </w:tc>
      </w:tr>
      <w:tr w:rsidR="003D217E" w:rsidRPr="003763AA" w14:paraId="38077F2E"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7948DFB4" w14:textId="77777777" w:rsidR="003D217E" w:rsidRPr="003763AA" w:rsidRDefault="003D217E" w:rsidP="001740C5">
            <w:pPr>
              <w:adjustRightInd w:val="0"/>
              <w:snapToGrid w:val="0"/>
              <w:rPr>
                <w:rFonts w:eastAsia="Malgun Gothic"/>
                <w:color w:val="000000"/>
                <w:sz w:val="18"/>
                <w:szCs w:val="18"/>
                <w:lang w:eastAsia="ko-KR"/>
              </w:rPr>
            </w:pPr>
            <w:r w:rsidRPr="003763AA">
              <w:rPr>
                <w:rFonts w:eastAsia="Malgun Gothic"/>
                <w:color w:val="000000"/>
                <w:sz w:val="18"/>
                <w:szCs w:val="18"/>
                <w:lang w:eastAsia="ko-KR"/>
              </w:rPr>
              <w:t xml:space="preserve">Project 94. </w:t>
            </w:r>
            <w:r w:rsidRPr="003763AA">
              <w:rPr>
                <w:rFonts w:eastAsia="Batang"/>
                <w:color w:val="000000"/>
                <w:sz w:val="18"/>
                <w:szCs w:val="18"/>
                <w:lang w:eastAsia="zh-CN"/>
              </w:rPr>
              <w:t>Workshop on yellowfin and bigeye tuna age and growth</w:t>
            </w:r>
          </w:p>
        </w:tc>
        <w:tc>
          <w:tcPr>
            <w:tcW w:w="470" w:type="pct"/>
            <w:tcBorders>
              <w:top w:val="single" w:sz="4" w:space="0" w:color="auto"/>
              <w:left w:val="single" w:sz="4" w:space="0" w:color="auto"/>
              <w:bottom w:val="single" w:sz="4" w:space="0" w:color="auto"/>
              <w:right w:val="single" w:sz="4" w:space="0" w:color="auto"/>
            </w:tcBorders>
            <w:vAlign w:val="center"/>
          </w:tcPr>
          <w:p w14:paraId="7BBAE4D6" w14:textId="77777777" w:rsidR="003D217E" w:rsidRPr="003763AA" w:rsidRDefault="003D217E" w:rsidP="001740C5">
            <w:pPr>
              <w:adjustRightInd w:val="0"/>
              <w:snapToGrid w:val="0"/>
              <w:rPr>
                <w:color w:val="000000"/>
                <w:sz w:val="18"/>
                <w:szCs w:val="18"/>
                <w:lang w:eastAsia="zh-CN"/>
              </w:rPr>
            </w:pPr>
            <w:r w:rsidRPr="003763AA">
              <w:rPr>
                <w:rFonts w:eastAsia="Malgun Gothic"/>
                <w:color w:val="000000"/>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BE9EE09"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685DB8B1" w14:textId="77777777" w:rsidR="003D217E" w:rsidRPr="003763AA" w:rsidRDefault="003D217E" w:rsidP="001740C5">
            <w:pPr>
              <w:adjustRightInd w:val="0"/>
              <w:snapToGrid w:val="0"/>
              <w:jc w:val="center"/>
              <w:rPr>
                <w:rFonts w:eastAsia="Malgun Gothic"/>
                <w:color w:val="000000"/>
                <w:sz w:val="18"/>
                <w:szCs w:val="18"/>
                <w:lang w:eastAsia="ko-KR"/>
              </w:rPr>
            </w:pPr>
            <w:r w:rsidRPr="003763AA">
              <w:rPr>
                <w:rFonts w:eastAsia="Malgun Gothic"/>
                <w:color w:val="000000"/>
                <w:sz w:val="18"/>
                <w:szCs w:val="18"/>
                <w:lang w:eastAsia="ko-KR"/>
              </w:rPr>
              <w:t>High 1</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34DF1" w14:textId="77777777" w:rsidR="003D217E" w:rsidRPr="003763AA" w:rsidRDefault="003D217E" w:rsidP="001740C5">
            <w:pPr>
              <w:adjustRightInd w:val="0"/>
              <w:snapToGrid w:val="0"/>
              <w:jc w:val="right"/>
              <w:rPr>
                <w:color w:val="000000"/>
                <w:sz w:val="18"/>
                <w:szCs w:val="18"/>
                <w:lang w:eastAsia="zh-CN"/>
              </w:rPr>
            </w:pPr>
            <w:r w:rsidRPr="003763AA">
              <w:rPr>
                <w:rFonts w:eastAsia="Malgun Gothic"/>
                <w:color w:val="000000"/>
                <w:sz w:val="18"/>
                <w:szCs w:val="18"/>
                <w:lang w:eastAsia="ko-KR"/>
              </w:rPr>
              <w:t>15,000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E52091E" w14:textId="77777777" w:rsidR="003D217E" w:rsidRPr="003763AA" w:rsidRDefault="003D217E" w:rsidP="001740C5">
            <w:pPr>
              <w:adjustRightInd w:val="0"/>
              <w:snapToGrid w:val="0"/>
              <w:jc w:val="right"/>
              <w:rPr>
                <w:rFonts w:eastAsia="Malgun Gothic"/>
                <w:color w:val="000000"/>
                <w:sz w:val="18"/>
                <w:szCs w:val="18"/>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6C349365" w14:textId="77777777" w:rsidR="003D217E" w:rsidRPr="003763AA" w:rsidRDefault="003D217E" w:rsidP="001740C5">
            <w:pPr>
              <w:adjustRightInd w:val="0"/>
              <w:snapToGrid w:val="0"/>
              <w:jc w:val="right"/>
              <w:rPr>
                <w:rFonts w:eastAsia="Malgun Gothic"/>
                <w:color w:val="000000"/>
                <w:sz w:val="18"/>
                <w:szCs w:val="18"/>
                <w:lang w:eastAsia="ko-KR"/>
              </w:rPr>
            </w:pPr>
          </w:p>
        </w:tc>
      </w:tr>
      <w:tr w:rsidR="003D217E" w:rsidRPr="003763AA" w14:paraId="517C6982"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2A6DA5C" w14:textId="77777777" w:rsidR="003D217E" w:rsidRPr="003763AA" w:rsidRDefault="003D217E" w:rsidP="001740C5">
            <w:pPr>
              <w:adjustRightInd w:val="0"/>
              <w:snapToGrid w:val="0"/>
              <w:rPr>
                <w:rFonts w:eastAsia="Malgun Gothic"/>
                <w:color w:val="000000"/>
                <w:sz w:val="18"/>
                <w:szCs w:val="18"/>
                <w:lang w:eastAsia="ko-KR"/>
              </w:rPr>
            </w:pPr>
            <w:r w:rsidRPr="003763AA">
              <w:rPr>
                <w:color w:val="000000"/>
                <w:sz w:val="18"/>
                <w:szCs w:val="18"/>
                <w:lang w:eastAsia="zh-CN"/>
              </w:rPr>
              <w:t>Unobligated</w:t>
            </w:r>
            <w:r w:rsidRPr="003763AA">
              <w:rPr>
                <w:rFonts w:eastAsia="Batang"/>
                <w:color w:val="000000"/>
                <w:sz w:val="18"/>
                <w:szCs w:val="18"/>
                <w:lang w:eastAsia="zh-CN"/>
              </w:rPr>
              <w:t xml:space="preserve"> (Contingency)</w:t>
            </w:r>
            <w:r w:rsidRPr="003763AA">
              <w:rPr>
                <w:color w:val="000000"/>
                <w:sz w:val="18"/>
                <w:szCs w:val="18"/>
                <w:lang w:eastAsia="zh-CN"/>
              </w:rPr>
              <w:t xml:space="preserve"> Budget </w:t>
            </w:r>
          </w:p>
          <w:p w14:paraId="2613BC50" w14:textId="77777777" w:rsidR="003D217E" w:rsidRPr="003763AA" w:rsidRDefault="003D217E" w:rsidP="001740C5">
            <w:pPr>
              <w:adjustRightInd w:val="0"/>
              <w:snapToGrid w:val="0"/>
              <w:rPr>
                <w:rFonts w:eastAsia="Malgun Gothic"/>
                <w:color w:val="000000"/>
                <w:sz w:val="18"/>
                <w:szCs w:val="18"/>
                <w:lang w:eastAsia="ko-KR"/>
              </w:rPr>
            </w:pPr>
            <w:r w:rsidRPr="003763AA">
              <w:rPr>
                <w:rFonts w:eastAsia="Malgun Gothic"/>
                <w:color w:val="000000"/>
                <w:sz w:val="18"/>
                <w:szCs w:val="18"/>
                <w:u w:val="single"/>
                <w:lang w:eastAsia="ko-KR"/>
              </w:rPr>
              <w:t>Note</w:t>
            </w:r>
            <w:r w:rsidRPr="003763AA">
              <w:rPr>
                <w:rFonts w:eastAsia="Malgun Gothic"/>
                <w:color w:val="000000"/>
                <w:sz w:val="18"/>
                <w:szCs w:val="18"/>
                <w:lang w:eastAsia="ko-KR"/>
              </w:rPr>
              <w:t>: A</w:t>
            </w:r>
            <w:r w:rsidRPr="003763AA">
              <w:rPr>
                <w:rFonts w:eastAsia="Batang"/>
                <w:color w:val="000000"/>
                <w:sz w:val="18"/>
                <w:szCs w:val="18"/>
                <w:lang w:eastAsia="zh-CN"/>
              </w:rPr>
              <w:t>ny science-related projects requested by the Commission with no budget allocation</w:t>
            </w:r>
          </w:p>
        </w:tc>
        <w:tc>
          <w:tcPr>
            <w:tcW w:w="470" w:type="pct"/>
            <w:tcBorders>
              <w:top w:val="single" w:sz="4" w:space="0" w:color="auto"/>
              <w:left w:val="single" w:sz="4" w:space="0" w:color="auto"/>
              <w:bottom w:val="single" w:sz="4" w:space="0" w:color="auto"/>
              <w:right w:val="single" w:sz="4" w:space="0" w:color="auto"/>
            </w:tcBorders>
          </w:tcPr>
          <w:p w14:paraId="5E2C0813" w14:textId="77777777" w:rsidR="003D217E" w:rsidRPr="003763AA" w:rsidRDefault="003D217E" w:rsidP="001740C5">
            <w:pPr>
              <w:adjustRightInd w:val="0"/>
              <w:snapToGrid w:val="0"/>
              <w:rPr>
                <w:color w:val="000000"/>
                <w:sz w:val="18"/>
                <w:szCs w:val="18"/>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A3EB7E3" w14:textId="77777777" w:rsidR="003D217E" w:rsidRPr="003763AA" w:rsidRDefault="003D217E" w:rsidP="001740C5">
            <w:pPr>
              <w:adjustRightInd w:val="0"/>
              <w:snapToGrid w:val="0"/>
              <w:jc w:val="center"/>
              <w:rPr>
                <w:color w:val="000000"/>
                <w:sz w:val="18"/>
                <w:szCs w:val="18"/>
                <w:lang w:eastAsia="zh-CN"/>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33216A63" w14:textId="77777777" w:rsidR="003D217E" w:rsidRPr="003763AA" w:rsidRDefault="003D217E" w:rsidP="001740C5">
            <w:pPr>
              <w:adjustRightInd w:val="0"/>
              <w:snapToGrid w:val="0"/>
              <w:jc w:val="center"/>
              <w:rPr>
                <w:color w:val="000000"/>
                <w:sz w:val="18"/>
                <w:szCs w:val="18"/>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FB3986" w14:textId="77777777" w:rsidR="003D217E" w:rsidRPr="003763AA" w:rsidRDefault="003D217E" w:rsidP="001740C5">
            <w:pPr>
              <w:adjustRightInd w:val="0"/>
              <w:snapToGrid w:val="0"/>
              <w:jc w:val="right"/>
              <w:rPr>
                <w:rFonts w:eastAsia="Malgun Gothic"/>
                <w:color w:val="000000"/>
                <w:sz w:val="18"/>
                <w:szCs w:val="18"/>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7DA902F"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83,000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16DA585B" w14:textId="77777777" w:rsidR="003D217E" w:rsidRPr="003763AA" w:rsidRDefault="003D217E" w:rsidP="001740C5">
            <w:pPr>
              <w:adjustRightInd w:val="0"/>
              <w:snapToGrid w:val="0"/>
              <w:jc w:val="right"/>
              <w:rPr>
                <w:rFonts w:eastAsia="Malgun Gothic"/>
                <w:color w:val="000000"/>
                <w:sz w:val="18"/>
                <w:szCs w:val="18"/>
                <w:lang w:eastAsia="ko-KR"/>
              </w:rPr>
            </w:pPr>
            <w:r w:rsidRPr="003763AA">
              <w:rPr>
                <w:rFonts w:eastAsia="Malgun Gothic"/>
                <w:color w:val="000000"/>
                <w:sz w:val="18"/>
                <w:szCs w:val="18"/>
                <w:lang w:eastAsia="ko-KR"/>
              </w:rPr>
              <w:t>83,000</w:t>
            </w:r>
          </w:p>
        </w:tc>
      </w:tr>
      <w:tr w:rsidR="003D217E" w:rsidRPr="003763AA" w14:paraId="2F213B3B" w14:textId="77777777" w:rsidTr="001740C5">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CE880E3" w14:textId="77777777" w:rsidR="003D217E" w:rsidRPr="003763AA" w:rsidRDefault="003D217E" w:rsidP="001740C5">
            <w:pPr>
              <w:adjustRightInd w:val="0"/>
              <w:snapToGrid w:val="0"/>
              <w:jc w:val="center"/>
              <w:rPr>
                <w:b/>
                <w:bCs/>
                <w:color w:val="000000"/>
                <w:sz w:val="18"/>
                <w:szCs w:val="18"/>
                <w:lang w:eastAsia="zh-CN"/>
              </w:rPr>
            </w:pPr>
            <w:r w:rsidRPr="003763AA">
              <w:rPr>
                <w:b/>
                <w:bCs/>
                <w:color w:val="000000"/>
                <w:sz w:val="18"/>
                <w:szCs w:val="18"/>
                <w:lang w:eastAsia="zh-CN"/>
              </w:rPr>
              <w:t>SC1</w:t>
            </w:r>
            <w:r w:rsidRPr="003763AA">
              <w:rPr>
                <w:rFonts w:eastAsia="Malgun Gothic"/>
                <w:b/>
                <w:bCs/>
                <w:color w:val="000000"/>
                <w:sz w:val="18"/>
                <w:szCs w:val="18"/>
                <w:lang w:eastAsia="ko-KR"/>
              </w:rPr>
              <w:t>4</w:t>
            </w:r>
            <w:r w:rsidRPr="003763AA">
              <w:rPr>
                <w:b/>
                <w:bCs/>
                <w:color w:val="000000"/>
                <w:sz w:val="18"/>
                <w:szCs w:val="18"/>
                <w:lang w:eastAsia="zh-CN"/>
              </w:rPr>
              <w:t xml:space="preserve"> TOTAL BUDGET</w:t>
            </w:r>
          </w:p>
        </w:tc>
        <w:tc>
          <w:tcPr>
            <w:tcW w:w="1405"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6EA54414" w14:textId="77777777" w:rsidR="003D217E" w:rsidRPr="003763AA" w:rsidRDefault="003D217E" w:rsidP="001740C5">
            <w:pPr>
              <w:adjustRightInd w:val="0"/>
              <w:snapToGrid w:val="0"/>
              <w:jc w:val="center"/>
              <w:rPr>
                <w:b/>
                <w:bCs/>
                <w:color w:val="000000"/>
                <w:sz w:val="18"/>
                <w:szCs w:val="18"/>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319545" w14:textId="77777777" w:rsidR="003D217E" w:rsidRPr="003763AA" w:rsidRDefault="003D217E" w:rsidP="001740C5">
            <w:pPr>
              <w:adjustRightInd w:val="0"/>
              <w:snapToGrid w:val="0"/>
              <w:jc w:val="right"/>
              <w:rPr>
                <w:rFonts w:eastAsia="Malgun Gothic"/>
                <w:b/>
                <w:sz w:val="18"/>
                <w:szCs w:val="18"/>
                <w:lang w:eastAsia="ko-KR"/>
              </w:rPr>
            </w:pPr>
            <w:r w:rsidRPr="003763AA">
              <w:rPr>
                <w:rFonts w:eastAsia="Malgun Gothic"/>
                <w:b/>
                <w:color w:val="000000"/>
                <w:sz w:val="18"/>
                <w:szCs w:val="18"/>
                <w:lang w:eastAsia="ko-KR"/>
              </w:rPr>
              <w:t>2,160,928</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A386862" w14:textId="77777777" w:rsidR="003D217E" w:rsidRPr="003763AA" w:rsidRDefault="003D217E" w:rsidP="001740C5">
            <w:pPr>
              <w:adjustRightInd w:val="0"/>
              <w:snapToGrid w:val="0"/>
              <w:jc w:val="right"/>
              <w:rPr>
                <w:rFonts w:eastAsia="Malgun Gothic"/>
                <w:b/>
                <w:sz w:val="18"/>
                <w:szCs w:val="18"/>
                <w:lang w:eastAsia="ko-KR"/>
              </w:rPr>
            </w:pPr>
            <w:r w:rsidRPr="003763AA">
              <w:rPr>
                <w:rFonts w:eastAsia="Malgun Gothic" w:hint="eastAsia"/>
                <w:b/>
                <w:sz w:val="18"/>
                <w:szCs w:val="18"/>
                <w:lang w:eastAsia="ko-KR"/>
              </w:rPr>
              <w:t>2,108,199</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11095C29" w14:textId="77777777" w:rsidR="003D217E" w:rsidRPr="003763AA" w:rsidRDefault="003D217E" w:rsidP="001740C5">
            <w:pPr>
              <w:adjustRightInd w:val="0"/>
              <w:snapToGrid w:val="0"/>
              <w:jc w:val="right"/>
              <w:rPr>
                <w:rFonts w:eastAsia="Malgun Gothic"/>
                <w:b/>
                <w:sz w:val="18"/>
                <w:szCs w:val="18"/>
                <w:lang w:eastAsia="ko-KR"/>
              </w:rPr>
            </w:pPr>
            <w:r w:rsidRPr="003763AA">
              <w:rPr>
                <w:rFonts w:eastAsia="Malgun Gothic" w:hint="eastAsia"/>
                <w:b/>
                <w:sz w:val="18"/>
                <w:szCs w:val="18"/>
                <w:lang w:eastAsia="ko-KR"/>
              </w:rPr>
              <w:t>2,157,340</w:t>
            </w:r>
          </w:p>
        </w:tc>
      </w:tr>
    </w:tbl>
    <w:p w14:paraId="28EA11F7" w14:textId="77777777" w:rsidR="003D217E" w:rsidRPr="004635E5" w:rsidRDefault="003D217E" w:rsidP="003D217E">
      <w:pPr>
        <w:pStyle w:val="WCPFC"/>
        <w:numPr>
          <w:ilvl w:val="0"/>
          <w:numId w:val="0"/>
        </w:numPr>
        <w:adjustRightInd w:val="0"/>
        <w:spacing w:after="0"/>
        <w:rPr>
          <w:rFonts w:cs="Times New Roman"/>
        </w:rPr>
      </w:pPr>
    </w:p>
    <w:p w14:paraId="36BFE7CE" w14:textId="77777777" w:rsidR="003D217E" w:rsidRPr="003763AA" w:rsidRDefault="003D217E" w:rsidP="003D217E">
      <w:pPr>
        <w:pStyle w:val="WCPFC"/>
        <w:adjustRightInd w:val="0"/>
        <w:spacing w:after="0"/>
        <w:ind w:left="0" w:firstLine="0"/>
        <w:rPr>
          <w:rFonts w:cs="Times New Roman"/>
        </w:rPr>
      </w:pPr>
      <w:r w:rsidRPr="004635E5">
        <w:rPr>
          <w:rFonts w:cs="Times New Roman"/>
        </w:rPr>
        <w:t xml:space="preserve">Detailed descriptions of the SC14 work programme, budget and terms of reference for each </w:t>
      </w:r>
      <w:r w:rsidRPr="003763AA">
        <w:rPr>
          <w:rFonts w:cs="Times New Roman"/>
        </w:rPr>
        <w:t xml:space="preserve">project are in Attachment </w:t>
      </w:r>
      <w:r w:rsidRPr="003763AA">
        <w:rPr>
          <w:rFonts w:cs="Times New Roman" w:hint="eastAsia"/>
          <w:lang w:eastAsia="ko-KR"/>
        </w:rPr>
        <w:t>I</w:t>
      </w:r>
      <w:r w:rsidRPr="003763AA">
        <w:rPr>
          <w:rFonts w:cs="Times New Roman"/>
        </w:rPr>
        <w:t>.</w:t>
      </w:r>
    </w:p>
    <w:p w14:paraId="7B2C90B7" w14:textId="77777777" w:rsidR="003D217E" w:rsidRPr="004635E5" w:rsidRDefault="003D217E" w:rsidP="003D217E">
      <w:pPr>
        <w:pStyle w:val="WCPFC"/>
        <w:numPr>
          <w:ilvl w:val="0"/>
          <w:numId w:val="0"/>
        </w:numPr>
        <w:adjustRightInd w:val="0"/>
        <w:spacing w:after="0"/>
        <w:rPr>
          <w:rFonts w:cs="Times New Roman"/>
        </w:rPr>
      </w:pPr>
    </w:p>
    <w:p w14:paraId="77B8B63C" w14:textId="77777777" w:rsidR="003D217E" w:rsidRPr="003763AA" w:rsidRDefault="003D217E" w:rsidP="003D217E">
      <w:pPr>
        <w:pStyle w:val="WCPFC"/>
        <w:adjustRightInd w:val="0"/>
        <w:spacing w:after="0"/>
        <w:ind w:left="0" w:firstLine="0"/>
        <w:rPr>
          <w:rFonts w:cs="Times New Roman"/>
          <w:lang w:eastAsia="ko-KR"/>
        </w:rPr>
      </w:pPr>
      <w:r w:rsidRPr="003763AA">
        <w:rPr>
          <w:rFonts w:cs="Times New Roman"/>
          <w:lang w:eastAsia="ko-KR"/>
        </w:rPr>
        <w:t>SC14 agreed that SPC will conduct stock assessments for skipjack tuna and South Pacific striped marlin in 2019 (Table SA-1).</w:t>
      </w:r>
    </w:p>
    <w:p w14:paraId="04342272" w14:textId="77777777" w:rsidR="003D217E" w:rsidRPr="004635E5" w:rsidRDefault="003D217E" w:rsidP="003D217E">
      <w:pPr>
        <w:pStyle w:val="WCPFC"/>
        <w:numPr>
          <w:ilvl w:val="0"/>
          <w:numId w:val="0"/>
        </w:numPr>
        <w:adjustRightInd w:val="0"/>
        <w:spacing w:after="0"/>
        <w:rPr>
          <w:rFonts w:cs="Times New Roman"/>
          <w:lang w:eastAsia="ko-KR"/>
        </w:rPr>
      </w:pPr>
    </w:p>
    <w:p w14:paraId="5F1A32A0" w14:textId="77777777" w:rsidR="003D217E" w:rsidRPr="004635E5" w:rsidRDefault="003D217E" w:rsidP="003D217E">
      <w:pPr>
        <w:adjustRightInd w:val="0"/>
        <w:snapToGrid w:val="0"/>
        <w:rPr>
          <w:rFonts w:eastAsiaTheme="minorEastAsia"/>
          <w:sz w:val="22"/>
          <w:szCs w:val="22"/>
          <w:lang w:val="en-NZ" w:eastAsia="ko-KR"/>
        </w:rPr>
      </w:pPr>
      <w:r w:rsidRPr="006E7655">
        <w:rPr>
          <w:rFonts w:eastAsiaTheme="minorEastAsia"/>
          <w:b/>
          <w:bCs/>
          <w:sz w:val="22"/>
          <w:szCs w:val="22"/>
          <w:lang w:val="en-NZ" w:eastAsia="ko-KR"/>
        </w:rPr>
        <w:t>Table SA-1</w:t>
      </w:r>
      <w:r w:rsidRPr="004635E5">
        <w:rPr>
          <w:rFonts w:eastAsiaTheme="minorEastAsia"/>
          <w:sz w:val="22"/>
          <w:szCs w:val="22"/>
          <w:lang w:val="en-NZ" w:eastAsia="ko-KR"/>
        </w:rPr>
        <w:t>: Stock Assessment Schedule</w:t>
      </w:r>
    </w:p>
    <w:tbl>
      <w:tblPr>
        <w:tblW w:w="5000" w:type="pct"/>
        <w:tblLook w:val="04A0" w:firstRow="1" w:lastRow="0" w:firstColumn="1" w:lastColumn="0" w:noHBand="0" w:noVBand="1"/>
      </w:tblPr>
      <w:tblGrid>
        <w:gridCol w:w="1342"/>
        <w:gridCol w:w="1124"/>
        <w:gridCol w:w="1195"/>
        <w:gridCol w:w="1078"/>
        <w:gridCol w:w="994"/>
        <w:gridCol w:w="850"/>
        <w:gridCol w:w="923"/>
        <w:gridCol w:w="896"/>
        <w:gridCol w:w="1174"/>
      </w:tblGrid>
      <w:tr w:rsidR="003D217E" w:rsidRPr="003763AA" w14:paraId="6585DD6C" w14:textId="77777777" w:rsidTr="001740C5">
        <w:trPr>
          <w:trHeight w:val="20"/>
        </w:trPr>
        <w:tc>
          <w:tcPr>
            <w:tcW w:w="700"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0B14FB58" w14:textId="77777777" w:rsidR="003D217E" w:rsidRPr="003763AA" w:rsidRDefault="003D217E" w:rsidP="001740C5">
            <w:pPr>
              <w:adjustRightInd w:val="0"/>
              <w:snapToGrid w:val="0"/>
              <w:jc w:val="center"/>
              <w:rPr>
                <w:color w:val="000000"/>
                <w:sz w:val="18"/>
                <w:szCs w:val="18"/>
              </w:rPr>
            </w:pPr>
            <w:r w:rsidRPr="003763AA">
              <w:rPr>
                <w:color w:val="000000"/>
                <w:sz w:val="18"/>
                <w:szCs w:val="18"/>
              </w:rPr>
              <w:t>Species</w:t>
            </w:r>
          </w:p>
        </w:tc>
        <w:tc>
          <w:tcPr>
            <w:tcW w:w="587" w:type="pct"/>
            <w:tcBorders>
              <w:top w:val="single" w:sz="4" w:space="0" w:color="auto"/>
              <w:left w:val="nil"/>
              <w:bottom w:val="single" w:sz="4" w:space="0" w:color="auto"/>
              <w:right w:val="single" w:sz="4" w:space="0" w:color="auto"/>
            </w:tcBorders>
            <w:shd w:val="clear" w:color="000000" w:fill="BFBFBF"/>
            <w:vAlign w:val="center"/>
            <w:hideMark/>
          </w:tcPr>
          <w:p w14:paraId="3EFB22EE" w14:textId="77777777" w:rsidR="003D217E" w:rsidRPr="003763AA" w:rsidRDefault="003D217E" w:rsidP="001740C5">
            <w:pPr>
              <w:adjustRightInd w:val="0"/>
              <w:snapToGrid w:val="0"/>
              <w:jc w:val="center"/>
              <w:rPr>
                <w:color w:val="000000"/>
                <w:sz w:val="18"/>
                <w:szCs w:val="18"/>
              </w:rPr>
            </w:pPr>
            <w:r w:rsidRPr="003763AA">
              <w:rPr>
                <w:color w:val="000000"/>
                <w:sz w:val="18"/>
                <w:szCs w:val="18"/>
              </w:rPr>
              <w:t>Region</w:t>
            </w:r>
          </w:p>
        </w:tc>
        <w:tc>
          <w:tcPr>
            <w:tcW w:w="624" w:type="pct"/>
            <w:tcBorders>
              <w:top w:val="single" w:sz="4" w:space="0" w:color="auto"/>
              <w:left w:val="nil"/>
              <w:bottom w:val="single" w:sz="4" w:space="0" w:color="auto"/>
              <w:right w:val="single" w:sz="4" w:space="0" w:color="auto"/>
            </w:tcBorders>
            <w:shd w:val="clear" w:color="000000" w:fill="BFBFBF"/>
            <w:vAlign w:val="center"/>
            <w:hideMark/>
          </w:tcPr>
          <w:p w14:paraId="4377D4A2" w14:textId="77777777" w:rsidR="003D217E" w:rsidRPr="003763AA" w:rsidRDefault="003D217E" w:rsidP="001740C5">
            <w:pPr>
              <w:adjustRightInd w:val="0"/>
              <w:snapToGrid w:val="0"/>
              <w:jc w:val="center"/>
              <w:rPr>
                <w:color w:val="000000"/>
                <w:sz w:val="18"/>
                <w:szCs w:val="18"/>
              </w:rPr>
            </w:pPr>
            <w:r w:rsidRPr="003763AA">
              <w:rPr>
                <w:color w:val="000000"/>
                <w:sz w:val="18"/>
                <w:szCs w:val="18"/>
              </w:rPr>
              <w:t>Last assessment</w:t>
            </w:r>
          </w:p>
        </w:tc>
        <w:tc>
          <w:tcPr>
            <w:tcW w:w="563" w:type="pct"/>
            <w:tcBorders>
              <w:top w:val="single" w:sz="4" w:space="0" w:color="auto"/>
              <w:left w:val="nil"/>
              <w:bottom w:val="single" w:sz="4" w:space="0" w:color="auto"/>
              <w:right w:val="single" w:sz="4" w:space="0" w:color="auto"/>
            </w:tcBorders>
            <w:shd w:val="clear" w:color="000000" w:fill="BFBFBF"/>
            <w:vAlign w:val="center"/>
            <w:hideMark/>
          </w:tcPr>
          <w:p w14:paraId="67253253" w14:textId="77777777" w:rsidR="003D217E" w:rsidRPr="003763AA" w:rsidRDefault="003D217E" w:rsidP="001740C5">
            <w:pPr>
              <w:adjustRightInd w:val="0"/>
              <w:snapToGrid w:val="0"/>
              <w:jc w:val="center"/>
              <w:rPr>
                <w:color w:val="000000"/>
                <w:sz w:val="18"/>
                <w:szCs w:val="18"/>
              </w:rPr>
            </w:pPr>
            <w:r w:rsidRPr="003763AA">
              <w:rPr>
                <w:color w:val="000000"/>
                <w:sz w:val="18"/>
                <w:szCs w:val="18"/>
              </w:rPr>
              <w:t>2018</w:t>
            </w:r>
          </w:p>
        </w:tc>
        <w:tc>
          <w:tcPr>
            <w:tcW w:w="519" w:type="pct"/>
            <w:tcBorders>
              <w:top w:val="single" w:sz="4" w:space="0" w:color="auto"/>
              <w:left w:val="nil"/>
              <w:bottom w:val="single" w:sz="4" w:space="0" w:color="auto"/>
              <w:right w:val="single" w:sz="4" w:space="0" w:color="auto"/>
            </w:tcBorders>
            <w:shd w:val="clear" w:color="000000" w:fill="BFBFBF"/>
            <w:vAlign w:val="center"/>
            <w:hideMark/>
          </w:tcPr>
          <w:p w14:paraId="19089470" w14:textId="77777777" w:rsidR="003D217E" w:rsidRPr="003763AA" w:rsidRDefault="003D217E" w:rsidP="001740C5">
            <w:pPr>
              <w:adjustRightInd w:val="0"/>
              <w:snapToGrid w:val="0"/>
              <w:jc w:val="center"/>
              <w:rPr>
                <w:color w:val="000000"/>
                <w:sz w:val="18"/>
                <w:szCs w:val="18"/>
              </w:rPr>
            </w:pPr>
            <w:r w:rsidRPr="003763AA">
              <w:rPr>
                <w:color w:val="000000"/>
                <w:sz w:val="18"/>
                <w:szCs w:val="18"/>
              </w:rPr>
              <w:t>2019</w:t>
            </w:r>
          </w:p>
        </w:tc>
        <w:tc>
          <w:tcPr>
            <w:tcW w:w="444" w:type="pct"/>
            <w:tcBorders>
              <w:top w:val="single" w:sz="4" w:space="0" w:color="auto"/>
              <w:left w:val="nil"/>
              <w:bottom w:val="single" w:sz="4" w:space="0" w:color="auto"/>
              <w:right w:val="single" w:sz="4" w:space="0" w:color="auto"/>
            </w:tcBorders>
            <w:shd w:val="clear" w:color="000000" w:fill="BFBFBF"/>
            <w:vAlign w:val="center"/>
            <w:hideMark/>
          </w:tcPr>
          <w:p w14:paraId="793350F2" w14:textId="77777777" w:rsidR="003D217E" w:rsidRPr="003763AA" w:rsidRDefault="003D217E" w:rsidP="001740C5">
            <w:pPr>
              <w:adjustRightInd w:val="0"/>
              <w:snapToGrid w:val="0"/>
              <w:jc w:val="center"/>
              <w:rPr>
                <w:color w:val="000000"/>
                <w:sz w:val="18"/>
                <w:szCs w:val="18"/>
              </w:rPr>
            </w:pPr>
            <w:r w:rsidRPr="003763AA">
              <w:rPr>
                <w:color w:val="000000"/>
                <w:sz w:val="18"/>
                <w:szCs w:val="18"/>
              </w:rPr>
              <w:t>2020</w:t>
            </w:r>
          </w:p>
        </w:tc>
        <w:tc>
          <w:tcPr>
            <w:tcW w:w="482" w:type="pct"/>
            <w:tcBorders>
              <w:top w:val="single" w:sz="4" w:space="0" w:color="auto"/>
              <w:left w:val="nil"/>
              <w:bottom w:val="single" w:sz="4" w:space="0" w:color="auto"/>
              <w:right w:val="single" w:sz="4" w:space="0" w:color="auto"/>
            </w:tcBorders>
            <w:shd w:val="clear" w:color="000000" w:fill="BFBFBF"/>
            <w:vAlign w:val="center"/>
            <w:hideMark/>
          </w:tcPr>
          <w:p w14:paraId="40B53FF6" w14:textId="77777777" w:rsidR="003D217E" w:rsidRPr="003763AA" w:rsidRDefault="003D217E" w:rsidP="001740C5">
            <w:pPr>
              <w:adjustRightInd w:val="0"/>
              <w:snapToGrid w:val="0"/>
              <w:jc w:val="center"/>
              <w:rPr>
                <w:color w:val="000000"/>
                <w:sz w:val="18"/>
                <w:szCs w:val="18"/>
              </w:rPr>
            </w:pPr>
            <w:r w:rsidRPr="003763AA">
              <w:rPr>
                <w:color w:val="000000"/>
                <w:sz w:val="18"/>
                <w:szCs w:val="18"/>
              </w:rPr>
              <w:t>2021</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04639783" w14:textId="77777777" w:rsidR="003D217E" w:rsidRPr="003763AA" w:rsidRDefault="003D217E" w:rsidP="001740C5">
            <w:pPr>
              <w:adjustRightInd w:val="0"/>
              <w:snapToGrid w:val="0"/>
              <w:jc w:val="center"/>
              <w:rPr>
                <w:color w:val="000000"/>
                <w:sz w:val="18"/>
                <w:szCs w:val="18"/>
              </w:rPr>
            </w:pPr>
            <w:r w:rsidRPr="003763AA">
              <w:rPr>
                <w:color w:val="000000"/>
                <w:sz w:val="18"/>
                <w:szCs w:val="18"/>
              </w:rPr>
              <w:t>2022</w:t>
            </w:r>
          </w:p>
        </w:tc>
        <w:tc>
          <w:tcPr>
            <w:tcW w:w="613" w:type="pct"/>
            <w:tcBorders>
              <w:top w:val="single" w:sz="4" w:space="0" w:color="auto"/>
              <w:left w:val="nil"/>
              <w:bottom w:val="single" w:sz="4" w:space="0" w:color="auto"/>
              <w:right w:val="single" w:sz="4" w:space="0" w:color="auto"/>
            </w:tcBorders>
            <w:shd w:val="clear" w:color="000000" w:fill="BFBFBF"/>
            <w:vAlign w:val="center"/>
            <w:hideMark/>
          </w:tcPr>
          <w:p w14:paraId="7BB83994" w14:textId="77777777" w:rsidR="003D217E" w:rsidRPr="003763AA" w:rsidRDefault="003D217E" w:rsidP="001740C5">
            <w:pPr>
              <w:adjustRightInd w:val="0"/>
              <w:snapToGrid w:val="0"/>
              <w:jc w:val="center"/>
              <w:rPr>
                <w:color w:val="000000"/>
                <w:sz w:val="18"/>
                <w:szCs w:val="18"/>
              </w:rPr>
            </w:pPr>
            <w:r w:rsidRPr="003763AA">
              <w:rPr>
                <w:color w:val="000000"/>
                <w:sz w:val="18"/>
                <w:szCs w:val="18"/>
              </w:rPr>
              <w:t>Notes</w:t>
            </w:r>
          </w:p>
        </w:tc>
      </w:tr>
      <w:tr w:rsidR="003D217E" w:rsidRPr="003763AA" w14:paraId="17BBA555" w14:textId="77777777" w:rsidTr="001740C5">
        <w:trPr>
          <w:trHeight w:val="20"/>
        </w:trPr>
        <w:tc>
          <w:tcPr>
            <w:tcW w:w="4387" w:type="pct"/>
            <w:gridSpan w:val="8"/>
            <w:tcBorders>
              <w:top w:val="single" w:sz="4" w:space="0" w:color="auto"/>
              <w:left w:val="single" w:sz="4" w:space="0" w:color="auto"/>
              <w:bottom w:val="single" w:sz="4" w:space="0" w:color="auto"/>
              <w:right w:val="single" w:sz="4" w:space="0" w:color="auto"/>
            </w:tcBorders>
            <w:shd w:val="clear" w:color="000000" w:fill="C6D9F1"/>
            <w:vAlign w:val="center"/>
            <w:hideMark/>
          </w:tcPr>
          <w:p w14:paraId="5B8C5F69" w14:textId="77777777" w:rsidR="003D217E" w:rsidRPr="003763AA" w:rsidRDefault="003D217E" w:rsidP="001740C5">
            <w:pPr>
              <w:adjustRightInd w:val="0"/>
              <w:snapToGrid w:val="0"/>
              <w:jc w:val="center"/>
              <w:rPr>
                <w:color w:val="000000"/>
                <w:sz w:val="18"/>
                <w:szCs w:val="18"/>
              </w:rPr>
            </w:pPr>
            <w:r w:rsidRPr="003763AA">
              <w:rPr>
                <w:color w:val="000000"/>
                <w:sz w:val="18"/>
                <w:szCs w:val="18"/>
              </w:rPr>
              <w:t>TUNA and BILLFISH</w:t>
            </w:r>
          </w:p>
        </w:tc>
        <w:tc>
          <w:tcPr>
            <w:tcW w:w="613" w:type="pct"/>
            <w:tcBorders>
              <w:top w:val="nil"/>
              <w:left w:val="nil"/>
              <w:bottom w:val="single" w:sz="4" w:space="0" w:color="auto"/>
              <w:right w:val="single" w:sz="4" w:space="0" w:color="auto"/>
            </w:tcBorders>
            <w:shd w:val="clear" w:color="auto" w:fill="auto"/>
            <w:noWrap/>
            <w:vAlign w:val="bottom"/>
            <w:hideMark/>
          </w:tcPr>
          <w:p w14:paraId="33351D8E" w14:textId="77777777" w:rsidR="003D217E" w:rsidRPr="003763AA" w:rsidRDefault="003D217E" w:rsidP="001740C5">
            <w:pPr>
              <w:adjustRightInd w:val="0"/>
              <w:snapToGrid w:val="0"/>
              <w:rPr>
                <w:color w:val="000000"/>
                <w:sz w:val="18"/>
                <w:szCs w:val="18"/>
              </w:rPr>
            </w:pPr>
            <w:r w:rsidRPr="003763AA">
              <w:rPr>
                <w:color w:val="000000"/>
                <w:sz w:val="18"/>
                <w:szCs w:val="18"/>
              </w:rPr>
              <w:t> </w:t>
            </w:r>
          </w:p>
        </w:tc>
      </w:tr>
      <w:tr w:rsidR="003D217E" w:rsidRPr="003763AA" w14:paraId="4A0567FA" w14:textId="77777777" w:rsidTr="001740C5">
        <w:trPr>
          <w:trHeight w:val="20"/>
        </w:trPr>
        <w:tc>
          <w:tcPr>
            <w:tcW w:w="700" w:type="pct"/>
            <w:tcBorders>
              <w:top w:val="nil"/>
              <w:left w:val="single" w:sz="4" w:space="0" w:color="auto"/>
              <w:bottom w:val="single" w:sz="4" w:space="0" w:color="auto"/>
              <w:right w:val="single" w:sz="4" w:space="0" w:color="auto"/>
            </w:tcBorders>
            <w:shd w:val="clear" w:color="000000" w:fill="D9D9D9"/>
            <w:vAlign w:val="center"/>
            <w:hideMark/>
          </w:tcPr>
          <w:p w14:paraId="14C27211" w14:textId="77777777" w:rsidR="003D217E" w:rsidRPr="003763AA" w:rsidRDefault="003D217E" w:rsidP="001740C5">
            <w:pPr>
              <w:adjustRightInd w:val="0"/>
              <w:snapToGrid w:val="0"/>
              <w:rPr>
                <w:color w:val="000000"/>
                <w:sz w:val="18"/>
                <w:szCs w:val="18"/>
              </w:rPr>
            </w:pPr>
            <w:r w:rsidRPr="003763AA">
              <w:rPr>
                <w:color w:val="000000"/>
                <w:sz w:val="18"/>
                <w:szCs w:val="18"/>
              </w:rPr>
              <w:t>Bigeye tuna</w:t>
            </w:r>
          </w:p>
        </w:tc>
        <w:tc>
          <w:tcPr>
            <w:tcW w:w="587" w:type="pct"/>
            <w:tcBorders>
              <w:top w:val="nil"/>
              <w:left w:val="nil"/>
              <w:bottom w:val="single" w:sz="4" w:space="0" w:color="auto"/>
              <w:right w:val="single" w:sz="4" w:space="0" w:color="auto"/>
            </w:tcBorders>
            <w:shd w:val="clear" w:color="000000" w:fill="D9D9D9"/>
            <w:vAlign w:val="center"/>
            <w:hideMark/>
          </w:tcPr>
          <w:p w14:paraId="029EB4E5" w14:textId="77777777" w:rsidR="003D217E" w:rsidRPr="003763AA" w:rsidRDefault="003D217E" w:rsidP="001740C5">
            <w:pPr>
              <w:adjustRightInd w:val="0"/>
              <w:snapToGrid w:val="0"/>
              <w:jc w:val="center"/>
              <w:rPr>
                <w:color w:val="000000"/>
                <w:sz w:val="18"/>
                <w:szCs w:val="18"/>
              </w:rPr>
            </w:pPr>
            <w:r w:rsidRPr="003763AA">
              <w:rPr>
                <w:color w:val="000000"/>
                <w:sz w:val="18"/>
                <w:szCs w:val="18"/>
              </w:rPr>
              <w:t>WCPO</w:t>
            </w:r>
          </w:p>
        </w:tc>
        <w:tc>
          <w:tcPr>
            <w:tcW w:w="624" w:type="pct"/>
            <w:tcBorders>
              <w:top w:val="nil"/>
              <w:left w:val="nil"/>
              <w:bottom w:val="single" w:sz="4" w:space="0" w:color="auto"/>
              <w:right w:val="single" w:sz="4" w:space="0" w:color="auto"/>
            </w:tcBorders>
            <w:shd w:val="clear" w:color="000000" w:fill="D9D9D9"/>
            <w:vAlign w:val="center"/>
            <w:hideMark/>
          </w:tcPr>
          <w:p w14:paraId="1D8E69F1" w14:textId="77777777" w:rsidR="003D217E" w:rsidRPr="003763AA" w:rsidRDefault="003D217E" w:rsidP="001740C5">
            <w:pPr>
              <w:adjustRightInd w:val="0"/>
              <w:snapToGrid w:val="0"/>
              <w:jc w:val="center"/>
              <w:rPr>
                <w:color w:val="000000"/>
                <w:sz w:val="18"/>
                <w:szCs w:val="18"/>
              </w:rPr>
            </w:pPr>
            <w:r w:rsidRPr="003763AA">
              <w:rPr>
                <w:color w:val="000000"/>
                <w:sz w:val="18"/>
                <w:szCs w:val="18"/>
              </w:rPr>
              <w:t>2017</w:t>
            </w:r>
          </w:p>
        </w:tc>
        <w:tc>
          <w:tcPr>
            <w:tcW w:w="563" w:type="pct"/>
            <w:tcBorders>
              <w:top w:val="nil"/>
              <w:left w:val="nil"/>
              <w:bottom w:val="single" w:sz="4" w:space="0" w:color="auto"/>
              <w:right w:val="single" w:sz="4" w:space="0" w:color="auto"/>
            </w:tcBorders>
            <w:shd w:val="clear" w:color="000000" w:fill="D9D9D9"/>
            <w:vAlign w:val="center"/>
            <w:hideMark/>
          </w:tcPr>
          <w:p w14:paraId="7B831798" w14:textId="77777777" w:rsidR="003D217E" w:rsidRPr="003763AA" w:rsidRDefault="003D217E" w:rsidP="001740C5">
            <w:pPr>
              <w:adjustRightInd w:val="0"/>
              <w:snapToGrid w:val="0"/>
              <w:jc w:val="center"/>
              <w:rPr>
                <w:color w:val="000000"/>
                <w:sz w:val="18"/>
                <w:szCs w:val="18"/>
              </w:rPr>
            </w:pPr>
            <w:r w:rsidRPr="003763AA">
              <w:rPr>
                <w:color w:val="000000"/>
                <w:sz w:val="18"/>
                <w:szCs w:val="18"/>
              </w:rPr>
              <w:t>SPC Update</w:t>
            </w:r>
            <w:r w:rsidRPr="003763AA">
              <w:rPr>
                <w:color w:val="000000"/>
                <w:sz w:val="18"/>
                <w:szCs w:val="18"/>
              </w:rPr>
              <w:br/>
              <w:t xml:space="preserve">(SC14-SA-WP-03) </w:t>
            </w:r>
          </w:p>
        </w:tc>
        <w:tc>
          <w:tcPr>
            <w:tcW w:w="519" w:type="pct"/>
            <w:tcBorders>
              <w:top w:val="nil"/>
              <w:left w:val="nil"/>
              <w:bottom w:val="single" w:sz="4" w:space="0" w:color="auto"/>
              <w:right w:val="single" w:sz="4" w:space="0" w:color="auto"/>
            </w:tcBorders>
            <w:shd w:val="clear" w:color="000000" w:fill="D9D9D9"/>
            <w:vAlign w:val="center"/>
            <w:hideMark/>
          </w:tcPr>
          <w:p w14:paraId="6F2D1947" w14:textId="77777777" w:rsidR="003D217E" w:rsidRPr="003763AA" w:rsidRDefault="003D217E" w:rsidP="001740C5">
            <w:pPr>
              <w:adjustRightInd w:val="0"/>
              <w:snapToGrid w:val="0"/>
              <w:jc w:val="center"/>
              <w:rPr>
                <w:color w:val="000000"/>
                <w:sz w:val="18"/>
                <w:szCs w:val="18"/>
              </w:rPr>
            </w:pPr>
            <w:r w:rsidRPr="003763AA">
              <w:rPr>
                <w:color w:val="000000"/>
                <w:sz w:val="18"/>
                <w:szCs w:val="18"/>
              </w:rPr>
              <w:t> </w:t>
            </w:r>
          </w:p>
        </w:tc>
        <w:tc>
          <w:tcPr>
            <w:tcW w:w="444" w:type="pct"/>
            <w:tcBorders>
              <w:top w:val="nil"/>
              <w:left w:val="nil"/>
              <w:bottom w:val="single" w:sz="4" w:space="0" w:color="auto"/>
              <w:right w:val="single" w:sz="4" w:space="0" w:color="auto"/>
            </w:tcBorders>
            <w:shd w:val="clear" w:color="000000" w:fill="D9D9D9"/>
            <w:vAlign w:val="center"/>
            <w:hideMark/>
          </w:tcPr>
          <w:p w14:paraId="302FAAC3" w14:textId="77777777" w:rsidR="003D217E" w:rsidRPr="003763AA" w:rsidRDefault="003D217E" w:rsidP="001740C5">
            <w:pPr>
              <w:adjustRightInd w:val="0"/>
              <w:snapToGrid w:val="0"/>
              <w:jc w:val="center"/>
              <w:rPr>
                <w:color w:val="000000"/>
                <w:sz w:val="18"/>
                <w:szCs w:val="18"/>
              </w:rPr>
            </w:pPr>
            <w:r w:rsidRPr="003763AA">
              <w:rPr>
                <w:color w:val="000000"/>
                <w:sz w:val="18"/>
                <w:szCs w:val="18"/>
              </w:rPr>
              <w:t>SPC</w:t>
            </w:r>
          </w:p>
        </w:tc>
        <w:tc>
          <w:tcPr>
            <w:tcW w:w="482" w:type="pct"/>
            <w:tcBorders>
              <w:top w:val="nil"/>
              <w:left w:val="nil"/>
              <w:bottom w:val="single" w:sz="4" w:space="0" w:color="auto"/>
              <w:right w:val="single" w:sz="4" w:space="0" w:color="auto"/>
            </w:tcBorders>
            <w:shd w:val="clear" w:color="000000" w:fill="D9D9D9"/>
            <w:vAlign w:val="center"/>
            <w:hideMark/>
          </w:tcPr>
          <w:p w14:paraId="2FB6B8F5" w14:textId="77777777" w:rsidR="003D217E" w:rsidRPr="003763AA" w:rsidRDefault="003D217E" w:rsidP="001740C5">
            <w:pPr>
              <w:adjustRightInd w:val="0"/>
              <w:snapToGrid w:val="0"/>
              <w:jc w:val="center"/>
              <w:rPr>
                <w:color w:val="000000"/>
                <w:sz w:val="18"/>
                <w:szCs w:val="18"/>
              </w:rPr>
            </w:pPr>
            <w:r w:rsidRPr="003763AA">
              <w:rPr>
                <w:color w:val="000000"/>
                <w:sz w:val="18"/>
                <w:szCs w:val="18"/>
              </w:rPr>
              <w:t> </w:t>
            </w:r>
          </w:p>
        </w:tc>
        <w:tc>
          <w:tcPr>
            <w:tcW w:w="467" w:type="pct"/>
            <w:tcBorders>
              <w:top w:val="nil"/>
              <w:left w:val="nil"/>
              <w:bottom w:val="single" w:sz="4" w:space="0" w:color="auto"/>
              <w:right w:val="single" w:sz="4" w:space="0" w:color="auto"/>
            </w:tcBorders>
            <w:shd w:val="clear" w:color="000000" w:fill="D9D9D9"/>
            <w:vAlign w:val="center"/>
            <w:hideMark/>
          </w:tcPr>
          <w:p w14:paraId="0FE258BD" w14:textId="77777777" w:rsidR="003D217E" w:rsidRPr="003763AA" w:rsidRDefault="003D217E" w:rsidP="001740C5">
            <w:pPr>
              <w:adjustRightInd w:val="0"/>
              <w:snapToGrid w:val="0"/>
              <w:jc w:val="center"/>
              <w:rPr>
                <w:color w:val="000000"/>
                <w:sz w:val="18"/>
                <w:szCs w:val="18"/>
              </w:rPr>
            </w:pPr>
            <w:r w:rsidRPr="003763AA">
              <w:rPr>
                <w:color w:val="000000"/>
                <w:sz w:val="18"/>
                <w:szCs w:val="18"/>
              </w:rPr>
              <w:t> </w:t>
            </w:r>
          </w:p>
        </w:tc>
        <w:tc>
          <w:tcPr>
            <w:tcW w:w="613" w:type="pct"/>
            <w:tcBorders>
              <w:top w:val="nil"/>
              <w:left w:val="nil"/>
              <w:bottom w:val="single" w:sz="4" w:space="0" w:color="auto"/>
              <w:right w:val="single" w:sz="4" w:space="0" w:color="auto"/>
            </w:tcBorders>
            <w:shd w:val="clear" w:color="000000" w:fill="D9D9D9"/>
            <w:vAlign w:val="center"/>
            <w:hideMark/>
          </w:tcPr>
          <w:p w14:paraId="7972F3F1" w14:textId="77777777" w:rsidR="003D217E" w:rsidRPr="003763AA" w:rsidRDefault="003D217E" w:rsidP="001740C5">
            <w:pPr>
              <w:adjustRightInd w:val="0"/>
              <w:snapToGrid w:val="0"/>
              <w:rPr>
                <w:color w:val="000000"/>
                <w:sz w:val="18"/>
                <w:szCs w:val="18"/>
              </w:rPr>
            </w:pPr>
            <w:r w:rsidRPr="003763AA">
              <w:rPr>
                <w:color w:val="000000"/>
                <w:sz w:val="18"/>
                <w:szCs w:val="18"/>
              </w:rPr>
              <w:t>3 year cycle</w:t>
            </w:r>
          </w:p>
        </w:tc>
      </w:tr>
      <w:tr w:rsidR="003D217E" w:rsidRPr="003763AA" w14:paraId="01D1A348" w14:textId="77777777" w:rsidTr="001740C5">
        <w:trPr>
          <w:trHeight w:val="20"/>
        </w:trPr>
        <w:tc>
          <w:tcPr>
            <w:tcW w:w="700" w:type="pct"/>
            <w:tcBorders>
              <w:top w:val="nil"/>
              <w:left w:val="single" w:sz="4" w:space="0" w:color="auto"/>
              <w:bottom w:val="single" w:sz="4" w:space="0" w:color="auto"/>
              <w:right w:val="single" w:sz="4" w:space="0" w:color="auto"/>
            </w:tcBorders>
            <w:shd w:val="clear" w:color="auto" w:fill="auto"/>
            <w:vAlign w:val="center"/>
            <w:hideMark/>
          </w:tcPr>
          <w:p w14:paraId="4C72AC60" w14:textId="77777777" w:rsidR="003D217E" w:rsidRPr="003763AA" w:rsidRDefault="003D217E" w:rsidP="001740C5">
            <w:pPr>
              <w:adjustRightInd w:val="0"/>
              <w:snapToGrid w:val="0"/>
              <w:rPr>
                <w:color w:val="000000"/>
                <w:sz w:val="18"/>
                <w:szCs w:val="18"/>
              </w:rPr>
            </w:pPr>
            <w:r w:rsidRPr="003763AA">
              <w:rPr>
                <w:color w:val="000000"/>
                <w:sz w:val="18"/>
                <w:szCs w:val="18"/>
              </w:rPr>
              <w:t>Skipjack tuna</w:t>
            </w:r>
          </w:p>
        </w:tc>
        <w:tc>
          <w:tcPr>
            <w:tcW w:w="587" w:type="pct"/>
            <w:tcBorders>
              <w:top w:val="nil"/>
              <w:left w:val="nil"/>
              <w:bottom w:val="single" w:sz="4" w:space="0" w:color="auto"/>
              <w:right w:val="single" w:sz="4" w:space="0" w:color="auto"/>
            </w:tcBorders>
            <w:shd w:val="clear" w:color="auto" w:fill="auto"/>
            <w:vAlign w:val="center"/>
            <w:hideMark/>
          </w:tcPr>
          <w:p w14:paraId="664BAE72" w14:textId="77777777" w:rsidR="003D217E" w:rsidRPr="003763AA" w:rsidRDefault="003D217E" w:rsidP="001740C5">
            <w:pPr>
              <w:adjustRightInd w:val="0"/>
              <w:snapToGrid w:val="0"/>
              <w:jc w:val="center"/>
              <w:rPr>
                <w:color w:val="000000"/>
                <w:sz w:val="18"/>
                <w:szCs w:val="18"/>
              </w:rPr>
            </w:pPr>
            <w:r w:rsidRPr="003763AA">
              <w:rPr>
                <w:color w:val="000000"/>
                <w:sz w:val="18"/>
                <w:szCs w:val="18"/>
              </w:rPr>
              <w:t>WCPO</w:t>
            </w:r>
          </w:p>
        </w:tc>
        <w:tc>
          <w:tcPr>
            <w:tcW w:w="624" w:type="pct"/>
            <w:tcBorders>
              <w:top w:val="nil"/>
              <w:left w:val="nil"/>
              <w:bottom w:val="single" w:sz="4" w:space="0" w:color="auto"/>
              <w:right w:val="single" w:sz="4" w:space="0" w:color="auto"/>
            </w:tcBorders>
            <w:shd w:val="clear" w:color="auto" w:fill="auto"/>
            <w:vAlign w:val="center"/>
            <w:hideMark/>
          </w:tcPr>
          <w:p w14:paraId="007047E0" w14:textId="77777777" w:rsidR="003D217E" w:rsidRPr="003763AA" w:rsidRDefault="003D217E" w:rsidP="001740C5">
            <w:pPr>
              <w:adjustRightInd w:val="0"/>
              <w:snapToGrid w:val="0"/>
              <w:jc w:val="center"/>
              <w:rPr>
                <w:color w:val="000000"/>
                <w:sz w:val="18"/>
                <w:szCs w:val="18"/>
              </w:rPr>
            </w:pPr>
            <w:r w:rsidRPr="003763AA">
              <w:rPr>
                <w:color w:val="000000"/>
                <w:sz w:val="18"/>
                <w:szCs w:val="18"/>
              </w:rPr>
              <w:t>2016</w:t>
            </w:r>
          </w:p>
        </w:tc>
        <w:tc>
          <w:tcPr>
            <w:tcW w:w="563" w:type="pct"/>
            <w:tcBorders>
              <w:top w:val="nil"/>
              <w:left w:val="nil"/>
              <w:bottom w:val="single" w:sz="4" w:space="0" w:color="auto"/>
              <w:right w:val="single" w:sz="4" w:space="0" w:color="auto"/>
            </w:tcBorders>
            <w:shd w:val="clear" w:color="auto" w:fill="auto"/>
            <w:vAlign w:val="center"/>
            <w:hideMark/>
          </w:tcPr>
          <w:p w14:paraId="6E820489" w14:textId="77777777" w:rsidR="003D217E" w:rsidRPr="003763AA" w:rsidRDefault="003D217E" w:rsidP="001740C5">
            <w:pPr>
              <w:adjustRightInd w:val="0"/>
              <w:snapToGrid w:val="0"/>
              <w:jc w:val="center"/>
              <w:rPr>
                <w:color w:val="000000"/>
                <w:sz w:val="18"/>
                <w:szCs w:val="18"/>
              </w:rPr>
            </w:pPr>
            <w:r w:rsidRPr="003763AA">
              <w:rPr>
                <w:color w:val="000000"/>
                <w:sz w:val="18"/>
                <w:szCs w:val="18"/>
              </w:rPr>
              <w:t> </w:t>
            </w:r>
          </w:p>
        </w:tc>
        <w:tc>
          <w:tcPr>
            <w:tcW w:w="519" w:type="pct"/>
            <w:tcBorders>
              <w:top w:val="nil"/>
              <w:left w:val="nil"/>
              <w:bottom w:val="single" w:sz="4" w:space="0" w:color="auto"/>
              <w:right w:val="single" w:sz="4" w:space="0" w:color="auto"/>
            </w:tcBorders>
            <w:shd w:val="clear" w:color="auto" w:fill="auto"/>
            <w:vAlign w:val="center"/>
            <w:hideMark/>
          </w:tcPr>
          <w:p w14:paraId="0CF4E366" w14:textId="77777777" w:rsidR="003D217E" w:rsidRPr="003763AA" w:rsidRDefault="003D217E" w:rsidP="001740C5">
            <w:pPr>
              <w:adjustRightInd w:val="0"/>
              <w:snapToGrid w:val="0"/>
              <w:jc w:val="center"/>
              <w:rPr>
                <w:color w:val="000000"/>
                <w:sz w:val="18"/>
                <w:szCs w:val="18"/>
              </w:rPr>
            </w:pPr>
            <w:r w:rsidRPr="003763AA">
              <w:rPr>
                <w:color w:val="000000"/>
                <w:sz w:val="18"/>
                <w:szCs w:val="18"/>
              </w:rPr>
              <w:t>SPC</w:t>
            </w:r>
          </w:p>
        </w:tc>
        <w:tc>
          <w:tcPr>
            <w:tcW w:w="444" w:type="pct"/>
            <w:tcBorders>
              <w:top w:val="nil"/>
              <w:left w:val="nil"/>
              <w:bottom w:val="single" w:sz="4" w:space="0" w:color="auto"/>
              <w:right w:val="single" w:sz="4" w:space="0" w:color="auto"/>
            </w:tcBorders>
            <w:shd w:val="clear" w:color="auto" w:fill="auto"/>
            <w:vAlign w:val="center"/>
            <w:hideMark/>
          </w:tcPr>
          <w:p w14:paraId="29C4872A" w14:textId="77777777" w:rsidR="003D217E" w:rsidRPr="003763AA" w:rsidRDefault="003D217E" w:rsidP="001740C5">
            <w:pPr>
              <w:adjustRightInd w:val="0"/>
              <w:snapToGrid w:val="0"/>
              <w:jc w:val="center"/>
              <w:rPr>
                <w:color w:val="000000"/>
                <w:sz w:val="18"/>
                <w:szCs w:val="18"/>
              </w:rPr>
            </w:pPr>
            <w:r w:rsidRPr="003763AA">
              <w:rPr>
                <w:color w:val="000000"/>
                <w:sz w:val="18"/>
                <w:szCs w:val="18"/>
              </w:rPr>
              <w:t> </w:t>
            </w:r>
          </w:p>
        </w:tc>
        <w:tc>
          <w:tcPr>
            <w:tcW w:w="482" w:type="pct"/>
            <w:tcBorders>
              <w:top w:val="nil"/>
              <w:left w:val="nil"/>
              <w:bottom w:val="single" w:sz="4" w:space="0" w:color="auto"/>
              <w:right w:val="single" w:sz="4" w:space="0" w:color="auto"/>
            </w:tcBorders>
            <w:shd w:val="clear" w:color="auto" w:fill="auto"/>
            <w:vAlign w:val="center"/>
            <w:hideMark/>
          </w:tcPr>
          <w:p w14:paraId="73821831" w14:textId="77777777" w:rsidR="003D217E" w:rsidRPr="003763AA" w:rsidRDefault="003D217E" w:rsidP="001740C5">
            <w:pPr>
              <w:adjustRightInd w:val="0"/>
              <w:snapToGrid w:val="0"/>
              <w:jc w:val="center"/>
              <w:rPr>
                <w:color w:val="000000"/>
                <w:sz w:val="18"/>
                <w:szCs w:val="18"/>
              </w:rPr>
            </w:pPr>
            <w:r w:rsidRPr="003763AA">
              <w:rPr>
                <w:color w:val="000000"/>
                <w:sz w:val="18"/>
                <w:szCs w:val="18"/>
              </w:rPr>
              <w:t> </w:t>
            </w:r>
          </w:p>
        </w:tc>
        <w:tc>
          <w:tcPr>
            <w:tcW w:w="467" w:type="pct"/>
            <w:tcBorders>
              <w:top w:val="nil"/>
              <w:left w:val="nil"/>
              <w:bottom w:val="single" w:sz="4" w:space="0" w:color="auto"/>
              <w:right w:val="single" w:sz="4" w:space="0" w:color="auto"/>
            </w:tcBorders>
            <w:shd w:val="clear" w:color="auto" w:fill="auto"/>
            <w:vAlign w:val="center"/>
            <w:hideMark/>
          </w:tcPr>
          <w:p w14:paraId="60E70A02" w14:textId="77777777" w:rsidR="003D217E" w:rsidRPr="003763AA" w:rsidRDefault="003D217E" w:rsidP="001740C5">
            <w:pPr>
              <w:adjustRightInd w:val="0"/>
              <w:snapToGrid w:val="0"/>
              <w:jc w:val="center"/>
              <w:rPr>
                <w:color w:val="000000"/>
                <w:sz w:val="18"/>
                <w:szCs w:val="18"/>
              </w:rPr>
            </w:pPr>
            <w:r w:rsidRPr="003763AA">
              <w:rPr>
                <w:color w:val="000000"/>
                <w:sz w:val="18"/>
                <w:szCs w:val="18"/>
              </w:rPr>
              <w:t>SPC</w:t>
            </w:r>
          </w:p>
        </w:tc>
        <w:tc>
          <w:tcPr>
            <w:tcW w:w="613" w:type="pct"/>
            <w:tcBorders>
              <w:top w:val="nil"/>
              <w:left w:val="nil"/>
              <w:bottom w:val="single" w:sz="4" w:space="0" w:color="auto"/>
              <w:right w:val="single" w:sz="4" w:space="0" w:color="auto"/>
            </w:tcBorders>
            <w:shd w:val="clear" w:color="auto" w:fill="auto"/>
            <w:vAlign w:val="center"/>
            <w:hideMark/>
          </w:tcPr>
          <w:p w14:paraId="1A77D275" w14:textId="77777777" w:rsidR="003D217E" w:rsidRPr="003763AA" w:rsidRDefault="003D217E" w:rsidP="001740C5">
            <w:pPr>
              <w:adjustRightInd w:val="0"/>
              <w:snapToGrid w:val="0"/>
              <w:rPr>
                <w:color w:val="000000"/>
                <w:sz w:val="18"/>
                <w:szCs w:val="18"/>
              </w:rPr>
            </w:pPr>
            <w:r w:rsidRPr="003763AA">
              <w:rPr>
                <w:color w:val="000000"/>
                <w:sz w:val="18"/>
                <w:szCs w:val="18"/>
              </w:rPr>
              <w:t>3 year cycle</w:t>
            </w:r>
          </w:p>
        </w:tc>
      </w:tr>
      <w:tr w:rsidR="003D217E" w:rsidRPr="003763AA" w14:paraId="5B04B073" w14:textId="77777777" w:rsidTr="001740C5">
        <w:trPr>
          <w:trHeight w:val="20"/>
        </w:trPr>
        <w:tc>
          <w:tcPr>
            <w:tcW w:w="700" w:type="pct"/>
            <w:tcBorders>
              <w:top w:val="nil"/>
              <w:left w:val="single" w:sz="4" w:space="0" w:color="auto"/>
              <w:bottom w:val="single" w:sz="4" w:space="0" w:color="auto"/>
              <w:right w:val="single" w:sz="4" w:space="0" w:color="auto"/>
            </w:tcBorders>
            <w:shd w:val="clear" w:color="000000" w:fill="D9D9D9"/>
            <w:vAlign w:val="center"/>
            <w:hideMark/>
          </w:tcPr>
          <w:p w14:paraId="6271AD4A" w14:textId="77777777" w:rsidR="003D217E" w:rsidRPr="003763AA" w:rsidRDefault="003D217E" w:rsidP="001740C5">
            <w:pPr>
              <w:adjustRightInd w:val="0"/>
              <w:snapToGrid w:val="0"/>
              <w:rPr>
                <w:color w:val="000000"/>
                <w:sz w:val="18"/>
                <w:szCs w:val="18"/>
              </w:rPr>
            </w:pPr>
            <w:r w:rsidRPr="003763AA">
              <w:rPr>
                <w:color w:val="000000"/>
                <w:sz w:val="18"/>
                <w:szCs w:val="18"/>
              </w:rPr>
              <w:t>Yellowfin tuna</w:t>
            </w:r>
          </w:p>
        </w:tc>
        <w:tc>
          <w:tcPr>
            <w:tcW w:w="587" w:type="pct"/>
            <w:tcBorders>
              <w:top w:val="nil"/>
              <w:left w:val="nil"/>
              <w:bottom w:val="single" w:sz="4" w:space="0" w:color="auto"/>
              <w:right w:val="single" w:sz="4" w:space="0" w:color="auto"/>
            </w:tcBorders>
            <w:shd w:val="clear" w:color="000000" w:fill="D9D9D9"/>
            <w:vAlign w:val="center"/>
            <w:hideMark/>
          </w:tcPr>
          <w:p w14:paraId="3E11C933" w14:textId="77777777" w:rsidR="003D217E" w:rsidRPr="003763AA" w:rsidRDefault="003D217E" w:rsidP="001740C5">
            <w:pPr>
              <w:adjustRightInd w:val="0"/>
              <w:snapToGrid w:val="0"/>
              <w:jc w:val="center"/>
              <w:rPr>
                <w:color w:val="000000"/>
                <w:sz w:val="18"/>
                <w:szCs w:val="18"/>
              </w:rPr>
            </w:pPr>
            <w:r w:rsidRPr="003763AA">
              <w:rPr>
                <w:color w:val="000000"/>
                <w:sz w:val="18"/>
                <w:szCs w:val="18"/>
              </w:rPr>
              <w:t>WCPO</w:t>
            </w:r>
          </w:p>
        </w:tc>
        <w:tc>
          <w:tcPr>
            <w:tcW w:w="624" w:type="pct"/>
            <w:tcBorders>
              <w:top w:val="nil"/>
              <w:left w:val="nil"/>
              <w:bottom w:val="single" w:sz="4" w:space="0" w:color="auto"/>
              <w:right w:val="single" w:sz="4" w:space="0" w:color="auto"/>
            </w:tcBorders>
            <w:shd w:val="clear" w:color="000000" w:fill="D9D9D9"/>
            <w:vAlign w:val="center"/>
            <w:hideMark/>
          </w:tcPr>
          <w:p w14:paraId="4B6087C9" w14:textId="77777777" w:rsidR="003D217E" w:rsidRPr="003763AA" w:rsidRDefault="003D217E" w:rsidP="001740C5">
            <w:pPr>
              <w:adjustRightInd w:val="0"/>
              <w:snapToGrid w:val="0"/>
              <w:jc w:val="center"/>
              <w:rPr>
                <w:color w:val="000000"/>
                <w:sz w:val="18"/>
                <w:szCs w:val="18"/>
              </w:rPr>
            </w:pPr>
            <w:r w:rsidRPr="003763AA">
              <w:rPr>
                <w:color w:val="000000"/>
                <w:sz w:val="18"/>
                <w:szCs w:val="18"/>
              </w:rPr>
              <w:t>2017</w:t>
            </w:r>
          </w:p>
        </w:tc>
        <w:tc>
          <w:tcPr>
            <w:tcW w:w="563" w:type="pct"/>
            <w:tcBorders>
              <w:top w:val="nil"/>
              <w:left w:val="nil"/>
              <w:bottom w:val="single" w:sz="4" w:space="0" w:color="auto"/>
              <w:right w:val="single" w:sz="4" w:space="0" w:color="auto"/>
            </w:tcBorders>
            <w:shd w:val="clear" w:color="000000" w:fill="D9D9D9"/>
            <w:vAlign w:val="center"/>
            <w:hideMark/>
          </w:tcPr>
          <w:p w14:paraId="51461730" w14:textId="77777777" w:rsidR="003D217E" w:rsidRPr="003763AA" w:rsidRDefault="003D217E" w:rsidP="001740C5">
            <w:pPr>
              <w:adjustRightInd w:val="0"/>
              <w:snapToGrid w:val="0"/>
              <w:jc w:val="center"/>
              <w:rPr>
                <w:color w:val="000000"/>
                <w:sz w:val="18"/>
                <w:szCs w:val="18"/>
              </w:rPr>
            </w:pPr>
            <w:r w:rsidRPr="003763AA">
              <w:rPr>
                <w:color w:val="000000"/>
                <w:sz w:val="18"/>
                <w:szCs w:val="18"/>
              </w:rPr>
              <w:t> </w:t>
            </w:r>
          </w:p>
        </w:tc>
        <w:tc>
          <w:tcPr>
            <w:tcW w:w="519" w:type="pct"/>
            <w:tcBorders>
              <w:top w:val="nil"/>
              <w:left w:val="nil"/>
              <w:bottom w:val="single" w:sz="4" w:space="0" w:color="auto"/>
              <w:right w:val="single" w:sz="4" w:space="0" w:color="auto"/>
            </w:tcBorders>
            <w:shd w:val="clear" w:color="000000" w:fill="D9D9D9"/>
            <w:vAlign w:val="center"/>
            <w:hideMark/>
          </w:tcPr>
          <w:p w14:paraId="08F47F3B" w14:textId="77777777" w:rsidR="003D217E" w:rsidRPr="003763AA" w:rsidRDefault="003D217E" w:rsidP="001740C5">
            <w:pPr>
              <w:adjustRightInd w:val="0"/>
              <w:snapToGrid w:val="0"/>
              <w:jc w:val="center"/>
              <w:rPr>
                <w:color w:val="000000"/>
                <w:sz w:val="18"/>
                <w:szCs w:val="18"/>
              </w:rPr>
            </w:pPr>
            <w:r w:rsidRPr="003763AA">
              <w:rPr>
                <w:color w:val="000000"/>
                <w:sz w:val="18"/>
                <w:szCs w:val="18"/>
              </w:rPr>
              <w:t> </w:t>
            </w:r>
          </w:p>
        </w:tc>
        <w:tc>
          <w:tcPr>
            <w:tcW w:w="444" w:type="pct"/>
            <w:tcBorders>
              <w:top w:val="nil"/>
              <w:left w:val="nil"/>
              <w:bottom w:val="single" w:sz="4" w:space="0" w:color="auto"/>
              <w:right w:val="single" w:sz="4" w:space="0" w:color="auto"/>
            </w:tcBorders>
            <w:shd w:val="clear" w:color="000000" w:fill="D9D9D9"/>
            <w:vAlign w:val="center"/>
            <w:hideMark/>
          </w:tcPr>
          <w:p w14:paraId="26C1B867" w14:textId="77777777" w:rsidR="003D217E" w:rsidRPr="003763AA" w:rsidRDefault="003D217E" w:rsidP="001740C5">
            <w:pPr>
              <w:adjustRightInd w:val="0"/>
              <w:snapToGrid w:val="0"/>
              <w:jc w:val="center"/>
              <w:rPr>
                <w:color w:val="000000"/>
                <w:sz w:val="18"/>
                <w:szCs w:val="18"/>
              </w:rPr>
            </w:pPr>
            <w:r w:rsidRPr="003763AA">
              <w:rPr>
                <w:color w:val="000000"/>
                <w:sz w:val="18"/>
                <w:szCs w:val="18"/>
              </w:rPr>
              <w:t>SPC</w:t>
            </w:r>
          </w:p>
        </w:tc>
        <w:tc>
          <w:tcPr>
            <w:tcW w:w="482" w:type="pct"/>
            <w:tcBorders>
              <w:top w:val="nil"/>
              <w:left w:val="nil"/>
              <w:bottom w:val="single" w:sz="4" w:space="0" w:color="auto"/>
              <w:right w:val="single" w:sz="4" w:space="0" w:color="auto"/>
            </w:tcBorders>
            <w:shd w:val="clear" w:color="000000" w:fill="D9D9D9"/>
            <w:vAlign w:val="center"/>
            <w:hideMark/>
          </w:tcPr>
          <w:p w14:paraId="70CC0335" w14:textId="77777777" w:rsidR="003D217E" w:rsidRPr="003763AA" w:rsidRDefault="003D217E" w:rsidP="001740C5">
            <w:pPr>
              <w:adjustRightInd w:val="0"/>
              <w:snapToGrid w:val="0"/>
              <w:jc w:val="center"/>
              <w:rPr>
                <w:color w:val="000000"/>
                <w:sz w:val="18"/>
                <w:szCs w:val="18"/>
              </w:rPr>
            </w:pPr>
            <w:r w:rsidRPr="003763AA">
              <w:rPr>
                <w:color w:val="000000"/>
                <w:sz w:val="18"/>
                <w:szCs w:val="18"/>
              </w:rPr>
              <w:t> </w:t>
            </w:r>
          </w:p>
        </w:tc>
        <w:tc>
          <w:tcPr>
            <w:tcW w:w="467" w:type="pct"/>
            <w:tcBorders>
              <w:top w:val="nil"/>
              <w:left w:val="nil"/>
              <w:bottom w:val="single" w:sz="4" w:space="0" w:color="auto"/>
              <w:right w:val="single" w:sz="4" w:space="0" w:color="auto"/>
            </w:tcBorders>
            <w:shd w:val="clear" w:color="000000" w:fill="D9D9D9"/>
            <w:vAlign w:val="center"/>
            <w:hideMark/>
          </w:tcPr>
          <w:p w14:paraId="5DA40682" w14:textId="77777777" w:rsidR="003D217E" w:rsidRPr="003763AA" w:rsidRDefault="003D217E" w:rsidP="001740C5">
            <w:pPr>
              <w:adjustRightInd w:val="0"/>
              <w:snapToGrid w:val="0"/>
              <w:jc w:val="center"/>
              <w:rPr>
                <w:color w:val="000000"/>
                <w:sz w:val="18"/>
                <w:szCs w:val="18"/>
              </w:rPr>
            </w:pPr>
            <w:r w:rsidRPr="003763AA">
              <w:rPr>
                <w:color w:val="000000"/>
                <w:sz w:val="18"/>
                <w:szCs w:val="18"/>
              </w:rPr>
              <w:t> </w:t>
            </w:r>
          </w:p>
        </w:tc>
        <w:tc>
          <w:tcPr>
            <w:tcW w:w="613" w:type="pct"/>
            <w:tcBorders>
              <w:top w:val="nil"/>
              <w:left w:val="nil"/>
              <w:bottom w:val="single" w:sz="4" w:space="0" w:color="auto"/>
              <w:right w:val="single" w:sz="4" w:space="0" w:color="auto"/>
            </w:tcBorders>
            <w:shd w:val="clear" w:color="000000" w:fill="D9D9D9"/>
            <w:vAlign w:val="center"/>
            <w:hideMark/>
          </w:tcPr>
          <w:p w14:paraId="789A859C" w14:textId="77777777" w:rsidR="003D217E" w:rsidRPr="003763AA" w:rsidRDefault="003D217E" w:rsidP="001740C5">
            <w:pPr>
              <w:adjustRightInd w:val="0"/>
              <w:snapToGrid w:val="0"/>
              <w:rPr>
                <w:color w:val="000000"/>
                <w:sz w:val="18"/>
                <w:szCs w:val="18"/>
              </w:rPr>
            </w:pPr>
            <w:r w:rsidRPr="003763AA">
              <w:rPr>
                <w:color w:val="000000"/>
                <w:sz w:val="18"/>
                <w:szCs w:val="18"/>
              </w:rPr>
              <w:t>3 year cycle</w:t>
            </w:r>
          </w:p>
        </w:tc>
      </w:tr>
      <w:tr w:rsidR="003D217E" w:rsidRPr="003763AA" w14:paraId="76809AD2" w14:textId="77777777" w:rsidTr="001740C5">
        <w:trPr>
          <w:trHeight w:val="20"/>
        </w:trPr>
        <w:tc>
          <w:tcPr>
            <w:tcW w:w="700" w:type="pct"/>
            <w:tcBorders>
              <w:top w:val="nil"/>
              <w:left w:val="single" w:sz="4" w:space="0" w:color="auto"/>
              <w:bottom w:val="single" w:sz="4" w:space="0" w:color="auto"/>
              <w:right w:val="single" w:sz="4" w:space="0" w:color="auto"/>
            </w:tcBorders>
            <w:shd w:val="clear" w:color="auto" w:fill="auto"/>
            <w:vAlign w:val="center"/>
            <w:hideMark/>
          </w:tcPr>
          <w:p w14:paraId="5DF21281" w14:textId="77777777" w:rsidR="003D217E" w:rsidRPr="003763AA" w:rsidRDefault="003D217E" w:rsidP="001740C5">
            <w:pPr>
              <w:adjustRightInd w:val="0"/>
              <w:snapToGrid w:val="0"/>
              <w:rPr>
                <w:color w:val="000000"/>
                <w:sz w:val="18"/>
                <w:szCs w:val="18"/>
              </w:rPr>
            </w:pPr>
            <w:r w:rsidRPr="003763AA">
              <w:rPr>
                <w:color w:val="000000"/>
                <w:sz w:val="18"/>
                <w:szCs w:val="18"/>
              </w:rPr>
              <w:t>Albacore</w:t>
            </w:r>
          </w:p>
        </w:tc>
        <w:tc>
          <w:tcPr>
            <w:tcW w:w="587" w:type="pct"/>
            <w:tcBorders>
              <w:top w:val="nil"/>
              <w:left w:val="nil"/>
              <w:bottom w:val="single" w:sz="4" w:space="0" w:color="auto"/>
              <w:right w:val="single" w:sz="4" w:space="0" w:color="auto"/>
            </w:tcBorders>
            <w:shd w:val="clear" w:color="auto" w:fill="auto"/>
            <w:vAlign w:val="center"/>
            <w:hideMark/>
          </w:tcPr>
          <w:p w14:paraId="2ABCB9D4" w14:textId="77777777" w:rsidR="003D217E" w:rsidRPr="003763AA" w:rsidRDefault="003D217E" w:rsidP="001740C5">
            <w:pPr>
              <w:adjustRightInd w:val="0"/>
              <w:snapToGrid w:val="0"/>
              <w:jc w:val="center"/>
              <w:rPr>
                <w:color w:val="000000"/>
                <w:sz w:val="18"/>
                <w:szCs w:val="18"/>
              </w:rPr>
            </w:pPr>
            <w:r w:rsidRPr="003763AA">
              <w:rPr>
                <w:color w:val="000000"/>
                <w:sz w:val="18"/>
                <w:szCs w:val="18"/>
              </w:rPr>
              <w:t>South Pacific</w:t>
            </w:r>
          </w:p>
        </w:tc>
        <w:tc>
          <w:tcPr>
            <w:tcW w:w="624" w:type="pct"/>
            <w:tcBorders>
              <w:top w:val="nil"/>
              <w:left w:val="nil"/>
              <w:bottom w:val="single" w:sz="4" w:space="0" w:color="auto"/>
              <w:right w:val="single" w:sz="4" w:space="0" w:color="auto"/>
            </w:tcBorders>
            <w:shd w:val="clear" w:color="auto" w:fill="auto"/>
            <w:vAlign w:val="center"/>
            <w:hideMark/>
          </w:tcPr>
          <w:p w14:paraId="2531C120" w14:textId="77777777" w:rsidR="003D217E" w:rsidRPr="003763AA" w:rsidRDefault="003D217E" w:rsidP="001740C5">
            <w:pPr>
              <w:adjustRightInd w:val="0"/>
              <w:snapToGrid w:val="0"/>
              <w:jc w:val="center"/>
              <w:rPr>
                <w:color w:val="000000"/>
                <w:sz w:val="18"/>
                <w:szCs w:val="18"/>
              </w:rPr>
            </w:pPr>
            <w:r w:rsidRPr="003763AA">
              <w:rPr>
                <w:color w:val="000000"/>
                <w:sz w:val="18"/>
                <w:szCs w:val="18"/>
              </w:rPr>
              <w:t>2015</w:t>
            </w:r>
          </w:p>
        </w:tc>
        <w:tc>
          <w:tcPr>
            <w:tcW w:w="563" w:type="pct"/>
            <w:tcBorders>
              <w:top w:val="nil"/>
              <w:left w:val="nil"/>
              <w:bottom w:val="single" w:sz="4" w:space="0" w:color="auto"/>
              <w:right w:val="single" w:sz="4" w:space="0" w:color="auto"/>
            </w:tcBorders>
            <w:shd w:val="clear" w:color="auto" w:fill="auto"/>
            <w:vAlign w:val="center"/>
            <w:hideMark/>
          </w:tcPr>
          <w:p w14:paraId="00CAAA91" w14:textId="77777777" w:rsidR="003D217E" w:rsidRPr="003763AA" w:rsidRDefault="003D217E" w:rsidP="001740C5">
            <w:pPr>
              <w:adjustRightInd w:val="0"/>
              <w:snapToGrid w:val="0"/>
              <w:jc w:val="center"/>
              <w:rPr>
                <w:color w:val="000000"/>
                <w:sz w:val="18"/>
                <w:szCs w:val="18"/>
              </w:rPr>
            </w:pPr>
            <w:r w:rsidRPr="003763AA">
              <w:rPr>
                <w:color w:val="000000"/>
                <w:sz w:val="18"/>
                <w:szCs w:val="18"/>
              </w:rPr>
              <w:t xml:space="preserve">SPC </w:t>
            </w:r>
            <w:r w:rsidRPr="003763AA">
              <w:rPr>
                <w:color w:val="000000"/>
                <w:sz w:val="18"/>
                <w:szCs w:val="18"/>
              </w:rPr>
              <w:br/>
              <w:t xml:space="preserve"> (SC14-SA-WP-05) </w:t>
            </w:r>
          </w:p>
        </w:tc>
        <w:tc>
          <w:tcPr>
            <w:tcW w:w="519" w:type="pct"/>
            <w:tcBorders>
              <w:top w:val="nil"/>
              <w:left w:val="nil"/>
              <w:bottom w:val="single" w:sz="4" w:space="0" w:color="auto"/>
              <w:right w:val="single" w:sz="4" w:space="0" w:color="auto"/>
            </w:tcBorders>
            <w:shd w:val="clear" w:color="auto" w:fill="auto"/>
            <w:vAlign w:val="center"/>
            <w:hideMark/>
          </w:tcPr>
          <w:p w14:paraId="79FE2A27" w14:textId="77777777" w:rsidR="003D217E" w:rsidRPr="003763AA" w:rsidRDefault="003D217E" w:rsidP="001740C5">
            <w:pPr>
              <w:adjustRightInd w:val="0"/>
              <w:snapToGrid w:val="0"/>
              <w:jc w:val="center"/>
              <w:rPr>
                <w:color w:val="000000"/>
                <w:sz w:val="18"/>
                <w:szCs w:val="18"/>
              </w:rPr>
            </w:pPr>
            <w:r w:rsidRPr="003763AA">
              <w:rPr>
                <w:color w:val="000000"/>
                <w:sz w:val="18"/>
                <w:szCs w:val="18"/>
              </w:rPr>
              <w:t> </w:t>
            </w:r>
          </w:p>
        </w:tc>
        <w:tc>
          <w:tcPr>
            <w:tcW w:w="444" w:type="pct"/>
            <w:tcBorders>
              <w:top w:val="nil"/>
              <w:left w:val="nil"/>
              <w:bottom w:val="single" w:sz="4" w:space="0" w:color="auto"/>
              <w:right w:val="single" w:sz="4" w:space="0" w:color="auto"/>
            </w:tcBorders>
            <w:shd w:val="clear" w:color="auto" w:fill="auto"/>
            <w:vAlign w:val="center"/>
            <w:hideMark/>
          </w:tcPr>
          <w:p w14:paraId="26A42430" w14:textId="77777777" w:rsidR="003D217E" w:rsidRPr="003763AA" w:rsidRDefault="003D217E" w:rsidP="001740C5">
            <w:pPr>
              <w:adjustRightInd w:val="0"/>
              <w:snapToGrid w:val="0"/>
              <w:jc w:val="center"/>
              <w:rPr>
                <w:color w:val="000000"/>
                <w:sz w:val="18"/>
                <w:szCs w:val="18"/>
              </w:rPr>
            </w:pPr>
            <w:r w:rsidRPr="003763AA">
              <w:rPr>
                <w:color w:val="000000"/>
                <w:sz w:val="18"/>
                <w:szCs w:val="18"/>
              </w:rPr>
              <w:t> </w:t>
            </w:r>
          </w:p>
        </w:tc>
        <w:tc>
          <w:tcPr>
            <w:tcW w:w="482" w:type="pct"/>
            <w:tcBorders>
              <w:top w:val="nil"/>
              <w:left w:val="nil"/>
              <w:bottom w:val="single" w:sz="4" w:space="0" w:color="auto"/>
              <w:right w:val="single" w:sz="4" w:space="0" w:color="auto"/>
            </w:tcBorders>
            <w:shd w:val="clear" w:color="auto" w:fill="auto"/>
            <w:vAlign w:val="center"/>
            <w:hideMark/>
          </w:tcPr>
          <w:p w14:paraId="020D1AC9" w14:textId="77777777" w:rsidR="003D217E" w:rsidRPr="003763AA" w:rsidRDefault="003D217E" w:rsidP="001740C5">
            <w:pPr>
              <w:adjustRightInd w:val="0"/>
              <w:snapToGrid w:val="0"/>
              <w:jc w:val="center"/>
              <w:rPr>
                <w:color w:val="000000"/>
                <w:sz w:val="18"/>
                <w:szCs w:val="18"/>
              </w:rPr>
            </w:pPr>
            <w:r w:rsidRPr="003763AA">
              <w:rPr>
                <w:color w:val="000000"/>
                <w:sz w:val="18"/>
                <w:szCs w:val="18"/>
              </w:rPr>
              <w:t>SPC</w:t>
            </w:r>
          </w:p>
        </w:tc>
        <w:tc>
          <w:tcPr>
            <w:tcW w:w="467" w:type="pct"/>
            <w:tcBorders>
              <w:top w:val="nil"/>
              <w:left w:val="nil"/>
              <w:bottom w:val="single" w:sz="4" w:space="0" w:color="auto"/>
              <w:right w:val="single" w:sz="4" w:space="0" w:color="auto"/>
            </w:tcBorders>
            <w:shd w:val="clear" w:color="auto" w:fill="auto"/>
            <w:vAlign w:val="center"/>
            <w:hideMark/>
          </w:tcPr>
          <w:p w14:paraId="4BC94039" w14:textId="77777777" w:rsidR="003D217E" w:rsidRPr="003763AA" w:rsidRDefault="003D217E" w:rsidP="001740C5">
            <w:pPr>
              <w:adjustRightInd w:val="0"/>
              <w:snapToGrid w:val="0"/>
              <w:jc w:val="center"/>
              <w:rPr>
                <w:color w:val="000000"/>
                <w:sz w:val="18"/>
                <w:szCs w:val="18"/>
              </w:rPr>
            </w:pPr>
            <w:r w:rsidRPr="003763AA">
              <w:rPr>
                <w:color w:val="000000"/>
                <w:sz w:val="18"/>
                <w:szCs w:val="18"/>
              </w:rPr>
              <w:t> </w:t>
            </w:r>
          </w:p>
        </w:tc>
        <w:tc>
          <w:tcPr>
            <w:tcW w:w="613" w:type="pct"/>
            <w:tcBorders>
              <w:top w:val="nil"/>
              <w:left w:val="nil"/>
              <w:bottom w:val="single" w:sz="4" w:space="0" w:color="auto"/>
              <w:right w:val="single" w:sz="4" w:space="0" w:color="auto"/>
            </w:tcBorders>
            <w:shd w:val="clear" w:color="auto" w:fill="auto"/>
            <w:vAlign w:val="center"/>
            <w:hideMark/>
          </w:tcPr>
          <w:p w14:paraId="02B1B530" w14:textId="77777777" w:rsidR="003D217E" w:rsidRPr="003763AA" w:rsidRDefault="003D217E" w:rsidP="001740C5">
            <w:pPr>
              <w:adjustRightInd w:val="0"/>
              <w:snapToGrid w:val="0"/>
              <w:rPr>
                <w:color w:val="000000"/>
                <w:sz w:val="18"/>
                <w:szCs w:val="18"/>
              </w:rPr>
            </w:pPr>
            <w:r w:rsidRPr="003763AA">
              <w:rPr>
                <w:color w:val="000000"/>
                <w:sz w:val="18"/>
                <w:szCs w:val="18"/>
              </w:rPr>
              <w:t>3 year cycle</w:t>
            </w:r>
          </w:p>
        </w:tc>
      </w:tr>
      <w:tr w:rsidR="003D217E" w:rsidRPr="003763AA" w14:paraId="4C4FBD8B" w14:textId="77777777" w:rsidTr="001740C5">
        <w:trPr>
          <w:trHeight w:val="20"/>
        </w:trPr>
        <w:tc>
          <w:tcPr>
            <w:tcW w:w="700" w:type="pct"/>
            <w:tcBorders>
              <w:top w:val="nil"/>
              <w:left w:val="single" w:sz="4" w:space="0" w:color="auto"/>
              <w:bottom w:val="single" w:sz="4" w:space="0" w:color="auto"/>
              <w:right w:val="single" w:sz="4" w:space="0" w:color="auto"/>
            </w:tcBorders>
            <w:shd w:val="clear" w:color="000000" w:fill="D9D9D9"/>
            <w:vAlign w:val="center"/>
            <w:hideMark/>
          </w:tcPr>
          <w:p w14:paraId="3EC066D3" w14:textId="77777777" w:rsidR="003D217E" w:rsidRPr="003763AA" w:rsidRDefault="003D217E" w:rsidP="001740C5">
            <w:pPr>
              <w:adjustRightInd w:val="0"/>
              <w:snapToGrid w:val="0"/>
              <w:rPr>
                <w:color w:val="000000"/>
                <w:sz w:val="18"/>
                <w:szCs w:val="18"/>
              </w:rPr>
            </w:pPr>
            <w:r w:rsidRPr="003763AA">
              <w:rPr>
                <w:color w:val="000000"/>
                <w:sz w:val="18"/>
                <w:szCs w:val="18"/>
              </w:rPr>
              <w:t>Pacific bluefin</w:t>
            </w:r>
          </w:p>
        </w:tc>
        <w:tc>
          <w:tcPr>
            <w:tcW w:w="587" w:type="pct"/>
            <w:tcBorders>
              <w:top w:val="nil"/>
              <w:left w:val="nil"/>
              <w:bottom w:val="single" w:sz="4" w:space="0" w:color="auto"/>
              <w:right w:val="single" w:sz="4" w:space="0" w:color="auto"/>
            </w:tcBorders>
            <w:shd w:val="clear" w:color="000000" w:fill="D9D9D9"/>
            <w:vAlign w:val="center"/>
            <w:hideMark/>
          </w:tcPr>
          <w:p w14:paraId="763572DB" w14:textId="77777777" w:rsidR="003D217E" w:rsidRPr="003763AA" w:rsidRDefault="003D217E" w:rsidP="001740C5">
            <w:pPr>
              <w:adjustRightInd w:val="0"/>
              <w:snapToGrid w:val="0"/>
              <w:jc w:val="center"/>
              <w:rPr>
                <w:color w:val="000000"/>
                <w:sz w:val="18"/>
                <w:szCs w:val="18"/>
              </w:rPr>
            </w:pPr>
            <w:r w:rsidRPr="003763AA">
              <w:rPr>
                <w:color w:val="000000"/>
                <w:sz w:val="18"/>
                <w:szCs w:val="18"/>
              </w:rPr>
              <w:t>North Pacific</w:t>
            </w:r>
          </w:p>
        </w:tc>
        <w:tc>
          <w:tcPr>
            <w:tcW w:w="624" w:type="pct"/>
            <w:tcBorders>
              <w:top w:val="nil"/>
              <w:left w:val="nil"/>
              <w:bottom w:val="single" w:sz="4" w:space="0" w:color="auto"/>
              <w:right w:val="single" w:sz="4" w:space="0" w:color="auto"/>
            </w:tcBorders>
            <w:shd w:val="clear" w:color="000000" w:fill="D9D9D9"/>
            <w:vAlign w:val="center"/>
            <w:hideMark/>
          </w:tcPr>
          <w:p w14:paraId="7B844353" w14:textId="77777777" w:rsidR="003D217E" w:rsidRPr="003763AA" w:rsidRDefault="003D217E" w:rsidP="001740C5">
            <w:pPr>
              <w:adjustRightInd w:val="0"/>
              <w:snapToGrid w:val="0"/>
              <w:jc w:val="center"/>
              <w:rPr>
                <w:color w:val="000000"/>
                <w:sz w:val="18"/>
                <w:szCs w:val="18"/>
              </w:rPr>
            </w:pPr>
            <w:r w:rsidRPr="003763AA">
              <w:rPr>
                <w:color w:val="000000"/>
                <w:sz w:val="18"/>
                <w:szCs w:val="18"/>
              </w:rPr>
              <w:t>2016</w:t>
            </w:r>
          </w:p>
        </w:tc>
        <w:tc>
          <w:tcPr>
            <w:tcW w:w="563" w:type="pct"/>
            <w:tcBorders>
              <w:top w:val="nil"/>
              <w:left w:val="nil"/>
              <w:bottom w:val="single" w:sz="4" w:space="0" w:color="auto"/>
              <w:right w:val="single" w:sz="4" w:space="0" w:color="auto"/>
            </w:tcBorders>
            <w:shd w:val="clear" w:color="000000" w:fill="D9D9D9"/>
            <w:vAlign w:val="center"/>
            <w:hideMark/>
          </w:tcPr>
          <w:p w14:paraId="1C17CC74" w14:textId="77777777" w:rsidR="003D217E" w:rsidRPr="003763AA" w:rsidRDefault="003D217E" w:rsidP="001740C5">
            <w:pPr>
              <w:adjustRightInd w:val="0"/>
              <w:snapToGrid w:val="0"/>
              <w:jc w:val="center"/>
              <w:rPr>
                <w:sz w:val="18"/>
                <w:szCs w:val="18"/>
              </w:rPr>
            </w:pPr>
            <w:r w:rsidRPr="003763AA">
              <w:rPr>
                <w:sz w:val="18"/>
                <w:szCs w:val="18"/>
              </w:rPr>
              <w:t>ISC</w:t>
            </w:r>
            <w:r w:rsidRPr="003763AA">
              <w:rPr>
                <w:sz w:val="18"/>
                <w:szCs w:val="18"/>
              </w:rPr>
              <w:br/>
              <w:t xml:space="preserve"> (SC14-SA-WP-06) ISC</w:t>
            </w:r>
          </w:p>
        </w:tc>
        <w:tc>
          <w:tcPr>
            <w:tcW w:w="519" w:type="pct"/>
            <w:tcBorders>
              <w:top w:val="nil"/>
              <w:left w:val="nil"/>
              <w:bottom w:val="single" w:sz="4" w:space="0" w:color="auto"/>
              <w:right w:val="single" w:sz="4" w:space="0" w:color="auto"/>
            </w:tcBorders>
            <w:shd w:val="clear" w:color="000000" w:fill="D9D9D9"/>
            <w:vAlign w:val="center"/>
            <w:hideMark/>
          </w:tcPr>
          <w:p w14:paraId="580B3703" w14:textId="77777777" w:rsidR="003D217E" w:rsidRPr="003763AA" w:rsidRDefault="003D217E" w:rsidP="001740C5">
            <w:pPr>
              <w:adjustRightInd w:val="0"/>
              <w:snapToGrid w:val="0"/>
              <w:jc w:val="center"/>
              <w:rPr>
                <w:sz w:val="18"/>
                <w:szCs w:val="18"/>
              </w:rPr>
            </w:pPr>
            <w:r w:rsidRPr="003763AA">
              <w:rPr>
                <w:sz w:val="18"/>
                <w:szCs w:val="18"/>
              </w:rPr>
              <w:t> </w:t>
            </w:r>
          </w:p>
        </w:tc>
        <w:tc>
          <w:tcPr>
            <w:tcW w:w="444" w:type="pct"/>
            <w:tcBorders>
              <w:top w:val="nil"/>
              <w:left w:val="nil"/>
              <w:bottom w:val="single" w:sz="4" w:space="0" w:color="auto"/>
              <w:right w:val="single" w:sz="4" w:space="0" w:color="auto"/>
            </w:tcBorders>
            <w:shd w:val="clear" w:color="000000" w:fill="D9D9D9"/>
            <w:vAlign w:val="center"/>
            <w:hideMark/>
          </w:tcPr>
          <w:p w14:paraId="414A42C2" w14:textId="77777777" w:rsidR="003D217E" w:rsidRPr="003763AA" w:rsidRDefault="003D217E" w:rsidP="001740C5">
            <w:pPr>
              <w:adjustRightInd w:val="0"/>
              <w:snapToGrid w:val="0"/>
              <w:jc w:val="center"/>
              <w:rPr>
                <w:sz w:val="18"/>
                <w:szCs w:val="18"/>
              </w:rPr>
            </w:pPr>
            <w:r w:rsidRPr="003763AA">
              <w:rPr>
                <w:sz w:val="18"/>
                <w:szCs w:val="18"/>
              </w:rPr>
              <w:t> </w:t>
            </w:r>
          </w:p>
        </w:tc>
        <w:tc>
          <w:tcPr>
            <w:tcW w:w="482" w:type="pct"/>
            <w:tcBorders>
              <w:top w:val="nil"/>
              <w:left w:val="nil"/>
              <w:bottom w:val="single" w:sz="4" w:space="0" w:color="auto"/>
              <w:right w:val="single" w:sz="4" w:space="0" w:color="auto"/>
            </w:tcBorders>
            <w:shd w:val="clear" w:color="000000" w:fill="D9D9D9"/>
            <w:vAlign w:val="center"/>
            <w:hideMark/>
          </w:tcPr>
          <w:p w14:paraId="58EFF00E" w14:textId="77777777" w:rsidR="003D217E" w:rsidRPr="003763AA" w:rsidRDefault="003D217E" w:rsidP="001740C5">
            <w:pPr>
              <w:adjustRightInd w:val="0"/>
              <w:snapToGrid w:val="0"/>
              <w:jc w:val="center"/>
              <w:rPr>
                <w:sz w:val="18"/>
                <w:szCs w:val="18"/>
              </w:rPr>
            </w:pPr>
            <w:r w:rsidRPr="003763AA">
              <w:rPr>
                <w:sz w:val="18"/>
                <w:szCs w:val="18"/>
              </w:rPr>
              <w:t>ISC</w:t>
            </w:r>
          </w:p>
        </w:tc>
        <w:tc>
          <w:tcPr>
            <w:tcW w:w="467" w:type="pct"/>
            <w:tcBorders>
              <w:top w:val="nil"/>
              <w:left w:val="nil"/>
              <w:bottom w:val="single" w:sz="4" w:space="0" w:color="auto"/>
              <w:right w:val="single" w:sz="4" w:space="0" w:color="auto"/>
            </w:tcBorders>
            <w:shd w:val="clear" w:color="000000" w:fill="D9D9D9"/>
            <w:vAlign w:val="center"/>
            <w:hideMark/>
          </w:tcPr>
          <w:p w14:paraId="07D9324A" w14:textId="77777777" w:rsidR="003D217E" w:rsidRPr="003763AA" w:rsidRDefault="003D217E" w:rsidP="001740C5">
            <w:pPr>
              <w:adjustRightInd w:val="0"/>
              <w:snapToGrid w:val="0"/>
              <w:jc w:val="center"/>
              <w:rPr>
                <w:sz w:val="18"/>
                <w:szCs w:val="18"/>
              </w:rPr>
            </w:pPr>
            <w:r w:rsidRPr="003763AA">
              <w:rPr>
                <w:sz w:val="18"/>
                <w:szCs w:val="18"/>
              </w:rPr>
              <w:t> </w:t>
            </w:r>
          </w:p>
        </w:tc>
        <w:tc>
          <w:tcPr>
            <w:tcW w:w="613" w:type="pct"/>
            <w:tcBorders>
              <w:top w:val="nil"/>
              <w:left w:val="nil"/>
              <w:bottom w:val="single" w:sz="4" w:space="0" w:color="auto"/>
              <w:right w:val="single" w:sz="4" w:space="0" w:color="auto"/>
            </w:tcBorders>
            <w:shd w:val="clear" w:color="000000" w:fill="D9D9D9"/>
            <w:vAlign w:val="center"/>
            <w:hideMark/>
          </w:tcPr>
          <w:p w14:paraId="326AF542" w14:textId="77777777" w:rsidR="003D217E" w:rsidRPr="003763AA" w:rsidRDefault="003D217E" w:rsidP="001740C5">
            <w:pPr>
              <w:adjustRightInd w:val="0"/>
              <w:snapToGrid w:val="0"/>
              <w:rPr>
                <w:sz w:val="18"/>
                <w:szCs w:val="18"/>
              </w:rPr>
            </w:pPr>
            <w:r w:rsidRPr="003763AA">
              <w:rPr>
                <w:sz w:val="18"/>
                <w:szCs w:val="18"/>
              </w:rPr>
              <w:t>To be confirmed by ISC</w:t>
            </w:r>
          </w:p>
        </w:tc>
      </w:tr>
      <w:tr w:rsidR="003D217E" w:rsidRPr="003763AA" w14:paraId="68251949" w14:textId="77777777" w:rsidTr="001740C5">
        <w:trPr>
          <w:trHeight w:val="20"/>
        </w:trPr>
        <w:tc>
          <w:tcPr>
            <w:tcW w:w="700" w:type="pct"/>
            <w:vMerge w:val="restart"/>
            <w:tcBorders>
              <w:top w:val="nil"/>
              <w:left w:val="single" w:sz="4" w:space="0" w:color="auto"/>
              <w:bottom w:val="single" w:sz="4" w:space="0" w:color="auto"/>
              <w:right w:val="single" w:sz="4" w:space="0" w:color="auto"/>
            </w:tcBorders>
            <w:shd w:val="clear" w:color="auto" w:fill="auto"/>
            <w:vAlign w:val="center"/>
            <w:hideMark/>
          </w:tcPr>
          <w:p w14:paraId="2A274BCC" w14:textId="77777777" w:rsidR="003D217E" w:rsidRPr="003763AA" w:rsidRDefault="003D217E" w:rsidP="001740C5">
            <w:pPr>
              <w:adjustRightInd w:val="0"/>
              <w:snapToGrid w:val="0"/>
              <w:rPr>
                <w:color w:val="000000"/>
                <w:sz w:val="18"/>
                <w:szCs w:val="18"/>
              </w:rPr>
            </w:pPr>
            <w:r w:rsidRPr="003763AA">
              <w:rPr>
                <w:color w:val="000000"/>
                <w:sz w:val="18"/>
                <w:szCs w:val="18"/>
              </w:rPr>
              <w:t>Striped marlin</w:t>
            </w:r>
          </w:p>
        </w:tc>
        <w:tc>
          <w:tcPr>
            <w:tcW w:w="587" w:type="pct"/>
            <w:tcBorders>
              <w:top w:val="nil"/>
              <w:left w:val="nil"/>
              <w:bottom w:val="single" w:sz="4" w:space="0" w:color="auto"/>
              <w:right w:val="single" w:sz="4" w:space="0" w:color="auto"/>
            </w:tcBorders>
            <w:shd w:val="clear" w:color="auto" w:fill="auto"/>
            <w:vAlign w:val="center"/>
            <w:hideMark/>
          </w:tcPr>
          <w:p w14:paraId="4093A3D5" w14:textId="77777777" w:rsidR="003D217E" w:rsidRPr="003763AA" w:rsidRDefault="003D217E" w:rsidP="001740C5">
            <w:pPr>
              <w:adjustRightInd w:val="0"/>
              <w:snapToGrid w:val="0"/>
              <w:jc w:val="center"/>
              <w:rPr>
                <w:color w:val="000000"/>
                <w:sz w:val="18"/>
                <w:szCs w:val="18"/>
              </w:rPr>
            </w:pPr>
            <w:r w:rsidRPr="003763AA">
              <w:rPr>
                <w:color w:val="000000"/>
                <w:sz w:val="18"/>
                <w:szCs w:val="18"/>
              </w:rPr>
              <w:t>Southwest Pacific</w:t>
            </w:r>
          </w:p>
        </w:tc>
        <w:tc>
          <w:tcPr>
            <w:tcW w:w="624" w:type="pct"/>
            <w:tcBorders>
              <w:top w:val="nil"/>
              <w:left w:val="nil"/>
              <w:bottom w:val="single" w:sz="4" w:space="0" w:color="auto"/>
              <w:right w:val="single" w:sz="4" w:space="0" w:color="auto"/>
            </w:tcBorders>
            <w:shd w:val="clear" w:color="auto" w:fill="auto"/>
            <w:vAlign w:val="center"/>
            <w:hideMark/>
          </w:tcPr>
          <w:p w14:paraId="7B00EA3B" w14:textId="77777777" w:rsidR="003D217E" w:rsidRPr="003763AA" w:rsidRDefault="003D217E" w:rsidP="001740C5">
            <w:pPr>
              <w:adjustRightInd w:val="0"/>
              <w:snapToGrid w:val="0"/>
              <w:jc w:val="center"/>
              <w:rPr>
                <w:color w:val="000000"/>
                <w:sz w:val="18"/>
                <w:szCs w:val="18"/>
              </w:rPr>
            </w:pPr>
            <w:r w:rsidRPr="003763AA">
              <w:rPr>
                <w:color w:val="000000"/>
                <w:sz w:val="18"/>
                <w:szCs w:val="18"/>
              </w:rPr>
              <w:t>2012</w:t>
            </w:r>
          </w:p>
        </w:tc>
        <w:tc>
          <w:tcPr>
            <w:tcW w:w="563" w:type="pct"/>
            <w:tcBorders>
              <w:top w:val="nil"/>
              <w:left w:val="nil"/>
              <w:bottom w:val="single" w:sz="4" w:space="0" w:color="auto"/>
              <w:right w:val="single" w:sz="4" w:space="0" w:color="auto"/>
            </w:tcBorders>
            <w:shd w:val="clear" w:color="auto" w:fill="auto"/>
            <w:vAlign w:val="center"/>
            <w:hideMark/>
          </w:tcPr>
          <w:p w14:paraId="6D26E10D" w14:textId="77777777" w:rsidR="003D217E" w:rsidRPr="003763AA" w:rsidRDefault="003D217E" w:rsidP="001740C5">
            <w:pPr>
              <w:adjustRightInd w:val="0"/>
              <w:snapToGrid w:val="0"/>
              <w:jc w:val="center"/>
              <w:rPr>
                <w:sz w:val="18"/>
                <w:szCs w:val="18"/>
              </w:rPr>
            </w:pPr>
            <w:r w:rsidRPr="003763AA">
              <w:rPr>
                <w:sz w:val="18"/>
                <w:szCs w:val="18"/>
              </w:rPr>
              <w:t> </w:t>
            </w:r>
          </w:p>
        </w:tc>
        <w:tc>
          <w:tcPr>
            <w:tcW w:w="519" w:type="pct"/>
            <w:tcBorders>
              <w:top w:val="nil"/>
              <w:left w:val="nil"/>
              <w:bottom w:val="single" w:sz="4" w:space="0" w:color="auto"/>
              <w:right w:val="single" w:sz="4" w:space="0" w:color="auto"/>
            </w:tcBorders>
            <w:shd w:val="clear" w:color="auto" w:fill="auto"/>
            <w:vAlign w:val="center"/>
            <w:hideMark/>
          </w:tcPr>
          <w:p w14:paraId="0794A73D" w14:textId="77777777" w:rsidR="003D217E" w:rsidRPr="003763AA" w:rsidRDefault="003D217E" w:rsidP="001740C5">
            <w:pPr>
              <w:adjustRightInd w:val="0"/>
              <w:snapToGrid w:val="0"/>
              <w:jc w:val="center"/>
              <w:rPr>
                <w:sz w:val="18"/>
                <w:szCs w:val="18"/>
              </w:rPr>
            </w:pPr>
            <w:r w:rsidRPr="003763AA">
              <w:rPr>
                <w:sz w:val="18"/>
                <w:szCs w:val="18"/>
              </w:rPr>
              <w:t>SPC</w:t>
            </w:r>
            <w:r w:rsidRPr="003763AA">
              <w:rPr>
                <w:sz w:val="18"/>
                <w:szCs w:val="18"/>
              </w:rPr>
              <w:br/>
              <w:t>(deferred from 2018)</w:t>
            </w:r>
          </w:p>
        </w:tc>
        <w:tc>
          <w:tcPr>
            <w:tcW w:w="444" w:type="pct"/>
            <w:tcBorders>
              <w:top w:val="nil"/>
              <w:left w:val="nil"/>
              <w:bottom w:val="single" w:sz="4" w:space="0" w:color="auto"/>
              <w:right w:val="single" w:sz="4" w:space="0" w:color="auto"/>
            </w:tcBorders>
            <w:shd w:val="clear" w:color="auto" w:fill="auto"/>
            <w:vAlign w:val="center"/>
            <w:hideMark/>
          </w:tcPr>
          <w:p w14:paraId="6CE077D8" w14:textId="77777777" w:rsidR="003D217E" w:rsidRPr="003763AA" w:rsidRDefault="003D217E" w:rsidP="001740C5">
            <w:pPr>
              <w:adjustRightInd w:val="0"/>
              <w:snapToGrid w:val="0"/>
              <w:jc w:val="center"/>
              <w:rPr>
                <w:sz w:val="18"/>
                <w:szCs w:val="18"/>
              </w:rPr>
            </w:pPr>
            <w:r w:rsidRPr="003763AA">
              <w:rPr>
                <w:sz w:val="18"/>
                <w:szCs w:val="18"/>
              </w:rPr>
              <w:t> </w:t>
            </w:r>
          </w:p>
        </w:tc>
        <w:tc>
          <w:tcPr>
            <w:tcW w:w="482" w:type="pct"/>
            <w:tcBorders>
              <w:top w:val="nil"/>
              <w:left w:val="nil"/>
              <w:bottom w:val="single" w:sz="4" w:space="0" w:color="auto"/>
              <w:right w:val="single" w:sz="4" w:space="0" w:color="auto"/>
            </w:tcBorders>
            <w:shd w:val="clear" w:color="auto" w:fill="auto"/>
            <w:vAlign w:val="center"/>
            <w:hideMark/>
          </w:tcPr>
          <w:p w14:paraId="7A628B82" w14:textId="77777777" w:rsidR="003D217E" w:rsidRPr="003763AA" w:rsidRDefault="003D217E" w:rsidP="001740C5">
            <w:pPr>
              <w:adjustRightInd w:val="0"/>
              <w:snapToGrid w:val="0"/>
              <w:jc w:val="center"/>
              <w:rPr>
                <w:sz w:val="18"/>
                <w:szCs w:val="18"/>
              </w:rPr>
            </w:pPr>
            <w:r w:rsidRPr="003763AA">
              <w:rPr>
                <w:sz w:val="18"/>
                <w:szCs w:val="18"/>
              </w:rPr>
              <w:t> </w:t>
            </w:r>
          </w:p>
        </w:tc>
        <w:tc>
          <w:tcPr>
            <w:tcW w:w="467" w:type="pct"/>
            <w:tcBorders>
              <w:top w:val="nil"/>
              <w:left w:val="nil"/>
              <w:bottom w:val="single" w:sz="4" w:space="0" w:color="auto"/>
              <w:right w:val="single" w:sz="4" w:space="0" w:color="auto"/>
            </w:tcBorders>
            <w:shd w:val="clear" w:color="auto" w:fill="auto"/>
            <w:vAlign w:val="center"/>
            <w:hideMark/>
          </w:tcPr>
          <w:p w14:paraId="318EE5C0" w14:textId="77777777" w:rsidR="003D217E" w:rsidRPr="003763AA" w:rsidRDefault="003D217E" w:rsidP="001740C5">
            <w:pPr>
              <w:adjustRightInd w:val="0"/>
              <w:snapToGrid w:val="0"/>
              <w:jc w:val="center"/>
              <w:rPr>
                <w:sz w:val="18"/>
                <w:szCs w:val="18"/>
              </w:rPr>
            </w:pPr>
            <w:r w:rsidRPr="003763AA">
              <w:rPr>
                <w:sz w:val="18"/>
                <w:szCs w:val="18"/>
              </w:rPr>
              <w:t> </w:t>
            </w:r>
          </w:p>
        </w:tc>
        <w:tc>
          <w:tcPr>
            <w:tcW w:w="613" w:type="pct"/>
            <w:tcBorders>
              <w:top w:val="nil"/>
              <w:left w:val="nil"/>
              <w:bottom w:val="single" w:sz="4" w:space="0" w:color="auto"/>
              <w:right w:val="single" w:sz="4" w:space="0" w:color="auto"/>
            </w:tcBorders>
            <w:shd w:val="clear" w:color="auto" w:fill="auto"/>
            <w:vAlign w:val="center"/>
            <w:hideMark/>
          </w:tcPr>
          <w:p w14:paraId="5210C367" w14:textId="77777777" w:rsidR="003D217E" w:rsidRPr="003763AA" w:rsidRDefault="003D217E" w:rsidP="001740C5">
            <w:pPr>
              <w:adjustRightInd w:val="0"/>
              <w:snapToGrid w:val="0"/>
              <w:rPr>
                <w:sz w:val="18"/>
                <w:szCs w:val="18"/>
              </w:rPr>
            </w:pPr>
            <w:r w:rsidRPr="003763AA">
              <w:rPr>
                <w:sz w:val="18"/>
                <w:szCs w:val="18"/>
              </w:rPr>
              <w:t>5 year cycle</w:t>
            </w:r>
          </w:p>
        </w:tc>
      </w:tr>
      <w:tr w:rsidR="003D217E" w:rsidRPr="003763AA" w14:paraId="6904D655" w14:textId="77777777" w:rsidTr="001740C5">
        <w:trPr>
          <w:trHeight w:val="20"/>
        </w:trPr>
        <w:tc>
          <w:tcPr>
            <w:tcW w:w="700" w:type="pct"/>
            <w:vMerge/>
            <w:tcBorders>
              <w:top w:val="nil"/>
              <w:left w:val="single" w:sz="4" w:space="0" w:color="auto"/>
              <w:bottom w:val="single" w:sz="4" w:space="0" w:color="auto"/>
              <w:right w:val="single" w:sz="4" w:space="0" w:color="auto"/>
            </w:tcBorders>
            <w:vAlign w:val="center"/>
            <w:hideMark/>
          </w:tcPr>
          <w:p w14:paraId="724801AC" w14:textId="77777777" w:rsidR="003D217E" w:rsidRPr="003763AA" w:rsidRDefault="003D217E" w:rsidP="001740C5">
            <w:pPr>
              <w:adjustRightInd w:val="0"/>
              <w:snapToGrid w:val="0"/>
              <w:rPr>
                <w:color w:val="000000"/>
                <w:sz w:val="18"/>
                <w:szCs w:val="18"/>
              </w:rPr>
            </w:pPr>
          </w:p>
        </w:tc>
        <w:tc>
          <w:tcPr>
            <w:tcW w:w="587" w:type="pct"/>
            <w:tcBorders>
              <w:top w:val="nil"/>
              <w:left w:val="nil"/>
              <w:bottom w:val="single" w:sz="4" w:space="0" w:color="auto"/>
              <w:right w:val="single" w:sz="4" w:space="0" w:color="auto"/>
            </w:tcBorders>
            <w:shd w:val="clear" w:color="auto" w:fill="auto"/>
            <w:vAlign w:val="center"/>
            <w:hideMark/>
          </w:tcPr>
          <w:p w14:paraId="4F7522DD" w14:textId="77777777" w:rsidR="003D217E" w:rsidRPr="003763AA" w:rsidRDefault="003D217E" w:rsidP="001740C5">
            <w:pPr>
              <w:adjustRightInd w:val="0"/>
              <w:snapToGrid w:val="0"/>
              <w:jc w:val="center"/>
              <w:rPr>
                <w:color w:val="000000"/>
                <w:sz w:val="18"/>
                <w:szCs w:val="18"/>
              </w:rPr>
            </w:pPr>
            <w:r w:rsidRPr="003763AA">
              <w:rPr>
                <w:color w:val="000000"/>
                <w:sz w:val="18"/>
                <w:szCs w:val="18"/>
              </w:rPr>
              <w:t>Northwest Pacific</w:t>
            </w:r>
          </w:p>
        </w:tc>
        <w:tc>
          <w:tcPr>
            <w:tcW w:w="624" w:type="pct"/>
            <w:tcBorders>
              <w:top w:val="nil"/>
              <w:left w:val="nil"/>
              <w:bottom w:val="single" w:sz="4" w:space="0" w:color="auto"/>
              <w:right w:val="single" w:sz="4" w:space="0" w:color="auto"/>
            </w:tcBorders>
            <w:shd w:val="clear" w:color="auto" w:fill="auto"/>
            <w:vAlign w:val="center"/>
            <w:hideMark/>
          </w:tcPr>
          <w:p w14:paraId="5BC74A08" w14:textId="77777777" w:rsidR="003D217E" w:rsidRPr="003763AA" w:rsidRDefault="003D217E" w:rsidP="001740C5">
            <w:pPr>
              <w:adjustRightInd w:val="0"/>
              <w:snapToGrid w:val="0"/>
              <w:jc w:val="center"/>
              <w:rPr>
                <w:color w:val="000000"/>
                <w:sz w:val="18"/>
                <w:szCs w:val="18"/>
              </w:rPr>
            </w:pPr>
            <w:r w:rsidRPr="003763AA">
              <w:rPr>
                <w:color w:val="000000"/>
                <w:sz w:val="18"/>
                <w:szCs w:val="18"/>
              </w:rPr>
              <w:t>2012</w:t>
            </w:r>
          </w:p>
        </w:tc>
        <w:tc>
          <w:tcPr>
            <w:tcW w:w="563" w:type="pct"/>
            <w:tcBorders>
              <w:top w:val="nil"/>
              <w:left w:val="nil"/>
              <w:bottom w:val="single" w:sz="4" w:space="0" w:color="auto"/>
              <w:right w:val="single" w:sz="4" w:space="0" w:color="auto"/>
            </w:tcBorders>
            <w:shd w:val="clear" w:color="auto" w:fill="auto"/>
            <w:vAlign w:val="center"/>
            <w:hideMark/>
          </w:tcPr>
          <w:p w14:paraId="076FF545" w14:textId="77777777" w:rsidR="003D217E" w:rsidRPr="003763AA" w:rsidRDefault="003D217E" w:rsidP="001740C5">
            <w:pPr>
              <w:adjustRightInd w:val="0"/>
              <w:snapToGrid w:val="0"/>
              <w:jc w:val="center"/>
              <w:rPr>
                <w:sz w:val="18"/>
                <w:szCs w:val="18"/>
              </w:rPr>
            </w:pPr>
            <w:r w:rsidRPr="003763AA">
              <w:rPr>
                <w:sz w:val="18"/>
                <w:szCs w:val="18"/>
              </w:rPr>
              <w:t> </w:t>
            </w:r>
          </w:p>
        </w:tc>
        <w:tc>
          <w:tcPr>
            <w:tcW w:w="519" w:type="pct"/>
            <w:tcBorders>
              <w:top w:val="nil"/>
              <w:left w:val="nil"/>
              <w:bottom w:val="single" w:sz="4" w:space="0" w:color="auto"/>
              <w:right w:val="single" w:sz="4" w:space="0" w:color="auto"/>
            </w:tcBorders>
            <w:shd w:val="clear" w:color="auto" w:fill="auto"/>
            <w:vAlign w:val="center"/>
            <w:hideMark/>
          </w:tcPr>
          <w:p w14:paraId="6D20FBCE" w14:textId="77777777" w:rsidR="003D217E" w:rsidRPr="003763AA" w:rsidRDefault="003D217E" w:rsidP="001740C5">
            <w:pPr>
              <w:adjustRightInd w:val="0"/>
              <w:snapToGrid w:val="0"/>
              <w:jc w:val="center"/>
              <w:rPr>
                <w:sz w:val="18"/>
                <w:szCs w:val="18"/>
              </w:rPr>
            </w:pPr>
            <w:r w:rsidRPr="003763AA">
              <w:rPr>
                <w:sz w:val="18"/>
                <w:szCs w:val="18"/>
              </w:rPr>
              <w:t>ISC</w:t>
            </w:r>
          </w:p>
        </w:tc>
        <w:tc>
          <w:tcPr>
            <w:tcW w:w="444" w:type="pct"/>
            <w:tcBorders>
              <w:top w:val="nil"/>
              <w:left w:val="nil"/>
              <w:bottom w:val="single" w:sz="4" w:space="0" w:color="auto"/>
              <w:right w:val="single" w:sz="4" w:space="0" w:color="auto"/>
            </w:tcBorders>
            <w:shd w:val="clear" w:color="auto" w:fill="auto"/>
            <w:vAlign w:val="center"/>
            <w:hideMark/>
          </w:tcPr>
          <w:p w14:paraId="25690054" w14:textId="77777777" w:rsidR="003D217E" w:rsidRPr="003763AA" w:rsidRDefault="003D217E" w:rsidP="001740C5">
            <w:pPr>
              <w:adjustRightInd w:val="0"/>
              <w:snapToGrid w:val="0"/>
              <w:jc w:val="center"/>
              <w:rPr>
                <w:sz w:val="18"/>
                <w:szCs w:val="18"/>
              </w:rPr>
            </w:pPr>
            <w:r w:rsidRPr="003763AA">
              <w:rPr>
                <w:sz w:val="18"/>
                <w:szCs w:val="18"/>
              </w:rPr>
              <w:t> </w:t>
            </w:r>
          </w:p>
        </w:tc>
        <w:tc>
          <w:tcPr>
            <w:tcW w:w="482" w:type="pct"/>
            <w:tcBorders>
              <w:top w:val="nil"/>
              <w:left w:val="nil"/>
              <w:bottom w:val="single" w:sz="4" w:space="0" w:color="auto"/>
              <w:right w:val="single" w:sz="4" w:space="0" w:color="auto"/>
            </w:tcBorders>
            <w:shd w:val="clear" w:color="auto" w:fill="auto"/>
            <w:vAlign w:val="center"/>
            <w:hideMark/>
          </w:tcPr>
          <w:p w14:paraId="483E5EF9" w14:textId="77777777" w:rsidR="003D217E" w:rsidRPr="003763AA" w:rsidRDefault="003D217E" w:rsidP="001740C5">
            <w:pPr>
              <w:adjustRightInd w:val="0"/>
              <w:snapToGrid w:val="0"/>
              <w:jc w:val="center"/>
              <w:rPr>
                <w:sz w:val="18"/>
                <w:szCs w:val="18"/>
              </w:rPr>
            </w:pPr>
            <w:r w:rsidRPr="003763AA">
              <w:rPr>
                <w:sz w:val="18"/>
                <w:szCs w:val="18"/>
              </w:rPr>
              <w:t> </w:t>
            </w:r>
          </w:p>
        </w:tc>
        <w:tc>
          <w:tcPr>
            <w:tcW w:w="467" w:type="pct"/>
            <w:tcBorders>
              <w:top w:val="nil"/>
              <w:left w:val="nil"/>
              <w:bottom w:val="single" w:sz="4" w:space="0" w:color="auto"/>
              <w:right w:val="single" w:sz="4" w:space="0" w:color="auto"/>
            </w:tcBorders>
            <w:shd w:val="clear" w:color="auto" w:fill="auto"/>
            <w:vAlign w:val="center"/>
            <w:hideMark/>
          </w:tcPr>
          <w:p w14:paraId="1BCE42BD" w14:textId="77777777" w:rsidR="003D217E" w:rsidRPr="003763AA" w:rsidRDefault="003D217E" w:rsidP="001740C5">
            <w:pPr>
              <w:adjustRightInd w:val="0"/>
              <w:snapToGrid w:val="0"/>
              <w:jc w:val="center"/>
              <w:rPr>
                <w:sz w:val="18"/>
                <w:szCs w:val="18"/>
              </w:rPr>
            </w:pPr>
            <w:r w:rsidRPr="003763AA">
              <w:rPr>
                <w:sz w:val="18"/>
                <w:szCs w:val="18"/>
              </w:rPr>
              <w:t> </w:t>
            </w:r>
          </w:p>
        </w:tc>
        <w:tc>
          <w:tcPr>
            <w:tcW w:w="613" w:type="pct"/>
            <w:tcBorders>
              <w:top w:val="nil"/>
              <w:left w:val="nil"/>
              <w:bottom w:val="single" w:sz="4" w:space="0" w:color="auto"/>
              <w:right w:val="single" w:sz="4" w:space="0" w:color="auto"/>
            </w:tcBorders>
            <w:shd w:val="clear" w:color="auto" w:fill="auto"/>
            <w:vAlign w:val="center"/>
            <w:hideMark/>
          </w:tcPr>
          <w:p w14:paraId="52E2FCB0" w14:textId="77777777" w:rsidR="003D217E" w:rsidRPr="003763AA" w:rsidRDefault="003D217E" w:rsidP="001740C5">
            <w:pPr>
              <w:adjustRightInd w:val="0"/>
              <w:snapToGrid w:val="0"/>
              <w:rPr>
                <w:sz w:val="18"/>
                <w:szCs w:val="18"/>
              </w:rPr>
            </w:pPr>
            <w:r w:rsidRPr="003763AA">
              <w:rPr>
                <w:sz w:val="18"/>
                <w:szCs w:val="18"/>
              </w:rPr>
              <w:t>To be confirmed by ISC</w:t>
            </w:r>
          </w:p>
        </w:tc>
      </w:tr>
      <w:tr w:rsidR="003D217E" w:rsidRPr="003763AA" w14:paraId="0F043EF8" w14:textId="77777777" w:rsidTr="001740C5">
        <w:trPr>
          <w:trHeight w:val="20"/>
        </w:trPr>
        <w:tc>
          <w:tcPr>
            <w:tcW w:w="700" w:type="pct"/>
            <w:vMerge w:val="restart"/>
            <w:tcBorders>
              <w:top w:val="nil"/>
              <w:left w:val="single" w:sz="4" w:space="0" w:color="auto"/>
              <w:bottom w:val="single" w:sz="4" w:space="0" w:color="auto"/>
              <w:right w:val="single" w:sz="4" w:space="0" w:color="auto"/>
            </w:tcBorders>
            <w:shd w:val="clear" w:color="000000" w:fill="D9D9D9"/>
            <w:vAlign w:val="center"/>
            <w:hideMark/>
          </w:tcPr>
          <w:p w14:paraId="799F7861" w14:textId="77777777" w:rsidR="003D217E" w:rsidRPr="003763AA" w:rsidRDefault="003D217E" w:rsidP="001740C5">
            <w:pPr>
              <w:adjustRightInd w:val="0"/>
              <w:snapToGrid w:val="0"/>
              <w:rPr>
                <w:color w:val="000000"/>
                <w:sz w:val="18"/>
                <w:szCs w:val="18"/>
              </w:rPr>
            </w:pPr>
            <w:r w:rsidRPr="003763AA">
              <w:rPr>
                <w:color w:val="000000"/>
                <w:sz w:val="18"/>
                <w:szCs w:val="18"/>
              </w:rPr>
              <w:t>Swordfish</w:t>
            </w:r>
          </w:p>
        </w:tc>
        <w:tc>
          <w:tcPr>
            <w:tcW w:w="587" w:type="pct"/>
            <w:tcBorders>
              <w:top w:val="nil"/>
              <w:left w:val="nil"/>
              <w:bottom w:val="single" w:sz="4" w:space="0" w:color="auto"/>
              <w:right w:val="single" w:sz="4" w:space="0" w:color="auto"/>
            </w:tcBorders>
            <w:shd w:val="clear" w:color="000000" w:fill="D9D9D9"/>
            <w:vAlign w:val="center"/>
            <w:hideMark/>
          </w:tcPr>
          <w:p w14:paraId="75DA2AF4" w14:textId="77777777" w:rsidR="003D217E" w:rsidRPr="003763AA" w:rsidRDefault="003D217E" w:rsidP="001740C5">
            <w:pPr>
              <w:adjustRightInd w:val="0"/>
              <w:snapToGrid w:val="0"/>
              <w:jc w:val="center"/>
              <w:rPr>
                <w:color w:val="000000"/>
                <w:sz w:val="18"/>
                <w:szCs w:val="18"/>
              </w:rPr>
            </w:pPr>
            <w:r w:rsidRPr="003763AA">
              <w:rPr>
                <w:color w:val="000000"/>
                <w:sz w:val="18"/>
                <w:szCs w:val="18"/>
              </w:rPr>
              <w:t>Southwest Pacific</w:t>
            </w:r>
          </w:p>
        </w:tc>
        <w:tc>
          <w:tcPr>
            <w:tcW w:w="624" w:type="pct"/>
            <w:tcBorders>
              <w:top w:val="nil"/>
              <w:left w:val="nil"/>
              <w:bottom w:val="single" w:sz="4" w:space="0" w:color="auto"/>
              <w:right w:val="single" w:sz="4" w:space="0" w:color="auto"/>
            </w:tcBorders>
            <w:shd w:val="clear" w:color="000000" w:fill="D9D9D9"/>
            <w:vAlign w:val="center"/>
            <w:hideMark/>
          </w:tcPr>
          <w:p w14:paraId="4DAECD73" w14:textId="77777777" w:rsidR="003D217E" w:rsidRPr="003763AA" w:rsidRDefault="003D217E" w:rsidP="001740C5">
            <w:pPr>
              <w:adjustRightInd w:val="0"/>
              <w:snapToGrid w:val="0"/>
              <w:jc w:val="center"/>
              <w:rPr>
                <w:color w:val="000000"/>
                <w:sz w:val="18"/>
                <w:szCs w:val="18"/>
              </w:rPr>
            </w:pPr>
            <w:r w:rsidRPr="003763AA">
              <w:rPr>
                <w:color w:val="000000"/>
                <w:sz w:val="18"/>
                <w:szCs w:val="18"/>
              </w:rPr>
              <w:t>2017</w:t>
            </w:r>
          </w:p>
        </w:tc>
        <w:tc>
          <w:tcPr>
            <w:tcW w:w="563" w:type="pct"/>
            <w:tcBorders>
              <w:top w:val="nil"/>
              <w:left w:val="nil"/>
              <w:bottom w:val="single" w:sz="4" w:space="0" w:color="auto"/>
              <w:right w:val="single" w:sz="4" w:space="0" w:color="auto"/>
            </w:tcBorders>
            <w:shd w:val="clear" w:color="000000" w:fill="D9D9D9"/>
            <w:vAlign w:val="center"/>
            <w:hideMark/>
          </w:tcPr>
          <w:p w14:paraId="460C8387" w14:textId="77777777" w:rsidR="003D217E" w:rsidRPr="003763AA" w:rsidRDefault="003D217E" w:rsidP="001740C5">
            <w:pPr>
              <w:adjustRightInd w:val="0"/>
              <w:snapToGrid w:val="0"/>
              <w:jc w:val="center"/>
              <w:rPr>
                <w:sz w:val="18"/>
                <w:szCs w:val="18"/>
              </w:rPr>
            </w:pPr>
            <w:r w:rsidRPr="003763AA">
              <w:rPr>
                <w:sz w:val="18"/>
                <w:szCs w:val="18"/>
              </w:rPr>
              <w:t> </w:t>
            </w:r>
          </w:p>
        </w:tc>
        <w:tc>
          <w:tcPr>
            <w:tcW w:w="519" w:type="pct"/>
            <w:tcBorders>
              <w:top w:val="nil"/>
              <w:left w:val="nil"/>
              <w:bottom w:val="single" w:sz="4" w:space="0" w:color="auto"/>
              <w:right w:val="single" w:sz="4" w:space="0" w:color="auto"/>
            </w:tcBorders>
            <w:shd w:val="clear" w:color="000000" w:fill="D9D9D9"/>
            <w:vAlign w:val="center"/>
            <w:hideMark/>
          </w:tcPr>
          <w:p w14:paraId="691EA835" w14:textId="77777777" w:rsidR="003D217E" w:rsidRPr="003763AA" w:rsidRDefault="003D217E" w:rsidP="001740C5">
            <w:pPr>
              <w:adjustRightInd w:val="0"/>
              <w:snapToGrid w:val="0"/>
              <w:jc w:val="center"/>
              <w:rPr>
                <w:sz w:val="18"/>
                <w:szCs w:val="18"/>
              </w:rPr>
            </w:pPr>
            <w:r w:rsidRPr="003763AA">
              <w:rPr>
                <w:sz w:val="18"/>
                <w:szCs w:val="18"/>
              </w:rPr>
              <w:t> </w:t>
            </w:r>
          </w:p>
        </w:tc>
        <w:tc>
          <w:tcPr>
            <w:tcW w:w="444" w:type="pct"/>
            <w:tcBorders>
              <w:top w:val="nil"/>
              <w:left w:val="nil"/>
              <w:bottom w:val="single" w:sz="4" w:space="0" w:color="auto"/>
              <w:right w:val="single" w:sz="4" w:space="0" w:color="auto"/>
            </w:tcBorders>
            <w:shd w:val="clear" w:color="000000" w:fill="D9D9D9"/>
            <w:vAlign w:val="center"/>
            <w:hideMark/>
          </w:tcPr>
          <w:p w14:paraId="5827F51C" w14:textId="77777777" w:rsidR="003D217E" w:rsidRPr="003763AA" w:rsidRDefault="003D217E" w:rsidP="001740C5">
            <w:pPr>
              <w:adjustRightInd w:val="0"/>
              <w:snapToGrid w:val="0"/>
              <w:jc w:val="center"/>
              <w:rPr>
                <w:sz w:val="18"/>
                <w:szCs w:val="18"/>
              </w:rPr>
            </w:pPr>
            <w:r w:rsidRPr="003763AA">
              <w:rPr>
                <w:sz w:val="18"/>
                <w:szCs w:val="18"/>
              </w:rPr>
              <w:t> </w:t>
            </w:r>
          </w:p>
        </w:tc>
        <w:tc>
          <w:tcPr>
            <w:tcW w:w="482" w:type="pct"/>
            <w:tcBorders>
              <w:top w:val="nil"/>
              <w:left w:val="nil"/>
              <w:bottom w:val="single" w:sz="4" w:space="0" w:color="auto"/>
              <w:right w:val="single" w:sz="4" w:space="0" w:color="auto"/>
            </w:tcBorders>
            <w:shd w:val="clear" w:color="000000" w:fill="D9D9D9"/>
            <w:vAlign w:val="center"/>
            <w:hideMark/>
          </w:tcPr>
          <w:p w14:paraId="0FF316AE" w14:textId="77777777" w:rsidR="003D217E" w:rsidRPr="003763AA" w:rsidRDefault="003D217E" w:rsidP="001740C5">
            <w:pPr>
              <w:adjustRightInd w:val="0"/>
              <w:snapToGrid w:val="0"/>
              <w:jc w:val="center"/>
              <w:rPr>
                <w:sz w:val="18"/>
                <w:szCs w:val="18"/>
              </w:rPr>
            </w:pPr>
            <w:r w:rsidRPr="003763AA">
              <w:rPr>
                <w:sz w:val="18"/>
                <w:szCs w:val="18"/>
              </w:rPr>
              <w:t> </w:t>
            </w:r>
          </w:p>
        </w:tc>
        <w:tc>
          <w:tcPr>
            <w:tcW w:w="467" w:type="pct"/>
            <w:tcBorders>
              <w:top w:val="nil"/>
              <w:left w:val="nil"/>
              <w:bottom w:val="single" w:sz="4" w:space="0" w:color="auto"/>
              <w:right w:val="single" w:sz="4" w:space="0" w:color="auto"/>
            </w:tcBorders>
            <w:shd w:val="clear" w:color="000000" w:fill="D9D9D9"/>
            <w:vAlign w:val="center"/>
            <w:hideMark/>
          </w:tcPr>
          <w:p w14:paraId="7BB9CD13" w14:textId="77777777" w:rsidR="003D217E" w:rsidRPr="003763AA" w:rsidRDefault="003D217E" w:rsidP="001740C5">
            <w:pPr>
              <w:adjustRightInd w:val="0"/>
              <w:snapToGrid w:val="0"/>
              <w:jc w:val="center"/>
              <w:rPr>
                <w:sz w:val="18"/>
                <w:szCs w:val="18"/>
              </w:rPr>
            </w:pPr>
            <w:r w:rsidRPr="003763AA">
              <w:rPr>
                <w:sz w:val="18"/>
                <w:szCs w:val="18"/>
              </w:rPr>
              <w:t>ISC</w:t>
            </w:r>
          </w:p>
        </w:tc>
        <w:tc>
          <w:tcPr>
            <w:tcW w:w="613" w:type="pct"/>
            <w:tcBorders>
              <w:top w:val="nil"/>
              <w:left w:val="nil"/>
              <w:bottom w:val="single" w:sz="4" w:space="0" w:color="auto"/>
              <w:right w:val="single" w:sz="4" w:space="0" w:color="auto"/>
            </w:tcBorders>
            <w:shd w:val="clear" w:color="000000" w:fill="D9D9D9"/>
            <w:vAlign w:val="center"/>
            <w:hideMark/>
          </w:tcPr>
          <w:p w14:paraId="21FD5721" w14:textId="77777777" w:rsidR="003D217E" w:rsidRPr="003763AA" w:rsidRDefault="003D217E" w:rsidP="001740C5">
            <w:pPr>
              <w:adjustRightInd w:val="0"/>
              <w:snapToGrid w:val="0"/>
              <w:rPr>
                <w:sz w:val="18"/>
                <w:szCs w:val="18"/>
              </w:rPr>
            </w:pPr>
            <w:r w:rsidRPr="003763AA">
              <w:rPr>
                <w:sz w:val="18"/>
                <w:szCs w:val="18"/>
              </w:rPr>
              <w:t>5 year cycle</w:t>
            </w:r>
          </w:p>
        </w:tc>
      </w:tr>
      <w:tr w:rsidR="003D217E" w:rsidRPr="003763AA" w14:paraId="5637BC85" w14:textId="77777777" w:rsidTr="001740C5">
        <w:trPr>
          <w:trHeight w:val="20"/>
        </w:trPr>
        <w:tc>
          <w:tcPr>
            <w:tcW w:w="700" w:type="pct"/>
            <w:vMerge/>
            <w:tcBorders>
              <w:top w:val="nil"/>
              <w:left w:val="single" w:sz="4" w:space="0" w:color="auto"/>
              <w:bottom w:val="single" w:sz="4" w:space="0" w:color="auto"/>
              <w:right w:val="single" w:sz="4" w:space="0" w:color="auto"/>
            </w:tcBorders>
            <w:vAlign w:val="center"/>
            <w:hideMark/>
          </w:tcPr>
          <w:p w14:paraId="30F0697D" w14:textId="77777777" w:rsidR="003D217E" w:rsidRPr="003763AA" w:rsidRDefault="003D217E" w:rsidP="001740C5">
            <w:pPr>
              <w:adjustRightInd w:val="0"/>
              <w:snapToGrid w:val="0"/>
              <w:rPr>
                <w:color w:val="000000"/>
                <w:sz w:val="18"/>
                <w:szCs w:val="18"/>
              </w:rPr>
            </w:pPr>
          </w:p>
        </w:tc>
        <w:tc>
          <w:tcPr>
            <w:tcW w:w="587" w:type="pct"/>
            <w:tcBorders>
              <w:top w:val="nil"/>
              <w:left w:val="nil"/>
              <w:bottom w:val="single" w:sz="4" w:space="0" w:color="auto"/>
              <w:right w:val="single" w:sz="4" w:space="0" w:color="auto"/>
            </w:tcBorders>
            <w:shd w:val="clear" w:color="000000" w:fill="D9D9D9"/>
            <w:vAlign w:val="center"/>
            <w:hideMark/>
          </w:tcPr>
          <w:p w14:paraId="120BBF7F" w14:textId="77777777" w:rsidR="003D217E" w:rsidRPr="003763AA" w:rsidRDefault="003D217E" w:rsidP="001740C5">
            <w:pPr>
              <w:adjustRightInd w:val="0"/>
              <w:snapToGrid w:val="0"/>
              <w:jc w:val="center"/>
              <w:rPr>
                <w:color w:val="000000"/>
                <w:sz w:val="18"/>
                <w:szCs w:val="18"/>
              </w:rPr>
            </w:pPr>
            <w:r w:rsidRPr="003763AA">
              <w:rPr>
                <w:color w:val="000000"/>
                <w:sz w:val="18"/>
                <w:szCs w:val="18"/>
              </w:rPr>
              <w:t>North Pacific</w:t>
            </w:r>
          </w:p>
        </w:tc>
        <w:tc>
          <w:tcPr>
            <w:tcW w:w="624" w:type="pct"/>
            <w:tcBorders>
              <w:top w:val="nil"/>
              <w:left w:val="nil"/>
              <w:bottom w:val="single" w:sz="4" w:space="0" w:color="auto"/>
              <w:right w:val="single" w:sz="4" w:space="0" w:color="auto"/>
            </w:tcBorders>
            <w:shd w:val="clear" w:color="000000" w:fill="D9D9D9"/>
            <w:vAlign w:val="center"/>
            <w:hideMark/>
          </w:tcPr>
          <w:p w14:paraId="67BE31DE" w14:textId="77777777" w:rsidR="003D217E" w:rsidRPr="003763AA" w:rsidRDefault="003D217E" w:rsidP="001740C5">
            <w:pPr>
              <w:adjustRightInd w:val="0"/>
              <w:snapToGrid w:val="0"/>
              <w:jc w:val="center"/>
              <w:rPr>
                <w:color w:val="000000"/>
                <w:sz w:val="18"/>
                <w:szCs w:val="18"/>
              </w:rPr>
            </w:pPr>
            <w:r w:rsidRPr="003763AA">
              <w:rPr>
                <w:color w:val="000000"/>
                <w:sz w:val="18"/>
                <w:szCs w:val="18"/>
              </w:rPr>
              <w:t>2014</w:t>
            </w:r>
          </w:p>
        </w:tc>
        <w:tc>
          <w:tcPr>
            <w:tcW w:w="563" w:type="pct"/>
            <w:tcBorders>
              <w:top w:val="nil"/>
              <w:left w:val="nil"/>
              <w:bottom w:val="single" w:sz="4" w:space="0" w:color="auto"/>
              <w:right w:val="single" w:sz="4" w:space="0" w:color="auto"/>
            </w:tcBorders>
            <w:shd w:val="clear" w:color="000000" w:fill="D9D9D9"/>
            <w:vAlign w:val="center"/>
            <w:hideMark/>
          </w:tcPr>
          <w:p w14:paraId="068BFD79" w14:textId="77777777" w:rsidR="003D217E" w:rsidRPr="003763AA" w:rsidRDefault="003D217E" w:rsidP="001740C5">
            <w:pPr>
              <w:adjustRightInd w:val="0"/>
              <w:snapToGrid w:val="0"/>
              <w:jc w:val="center"/>
              <w:rPr>
                <w:sz w:val="18"/>
                <w:szCs w:val="18"/>
              </w:rPr>
            </w:pPr>
            <w:r w:rsidRPr="003763AA">
              <w:rPr>
                <w:sz w:val="18"/>
                <w:szCs w:val="18"/>
              </w:rPr>
              <w:t>ISC</w:t>
            </w:r>
            <w:r w:rsidRPr="003763AA">
              <w:rPr>
                <w:sz w:val="18"/>
                <w:szCs w:val="18"/>
              </w:rPr>
              <w:br/>
              <w:t xml:space="preserve">(SC14-SA-WP-07) </w:t>
            </w:r>
          </w:p>
        </w:tc>
        <w:tc>
          <w:tcPr>
            <w:tcW w:w="519" w:type="pct"/>
            <w:tcBorders>
              <w:top w:val="nil"/>
              <w:left w:val="nil"/>
              <w:bottom w:val="single" w:sz="4" w:space="0" w:color="auto"/>
              <w:right w:val="single" w:sz="4" w:space="0" w:color="auto"/>
            </w:tcBorders>
            <w:shd w:val="clear" w:color="000000" w:fill="D9D9D9"/>
            <w:vAlign w:val="center"/>
            <w:hideMark/>
          </w:tcPr>
          <w:p w14:paraId="4387CD0B" w14:textId="77777777" w:rsidR="003D217E" w:rsidRPr="003763AA" w:rsidRDefault="003D217E" w:rsidP="001740C5">
            <w:pPr>
              <w:adjustRightInd w:val="0"/>
              <w:snapToGrid w:val="0"/>
              <w:jc w:val="center"/>
              <w:rPr>
                <w:sz w:val="18"/>
                <w:szCs w:val="18"/>
              </w:rPr>
            </w:pPr>
            <w:r w:rsidRPr="003763AA">
              <w:rPr>
                <w:sz w:val="18"/>
                <w:szCs w:val="18"/>
              </w:rPr>
              <w:t> </w:t>
            </w:r>
          </w:p>
        </w:tc>
        <w:tc>
          <w:tcPr>
            <w:tcW w:w="444" w:type="pct"/>
            <w:tcBorders>
              <w:top w:val="nil"/>
              <w:left w:val="nil"/>
              <w:bottom w:val="single" w:sz="4" w:space="0" w:color="auto"/>
              <w:right w:val="single" w:sz="4" w:space="0" w:color="auto"/>
            </w:tcBorders>
            <w:shd w:val="clear" w:color="000000" w:fill="D9D9D9"/>
            <w:vAlign w:val="center"/>
            <w:hideMark/>
          </w:tcPr>
          <w:p w14:paraId="4BD200C7" w14:textId="77777777" w:rsidR="003D217E" w:rsidRPr="003763AA" w:rsidRDefault="003D217E" w:rsidP="001740C5">
            <w:pPr>
              <w:adjustRightInd w:val="0"/>
              <w:snapToGrid w:val="0"/>
              <w:jc w:val="center"/>
              <w:rPr>
                <w:sz w:val="18"/>
                <w:szCs w:val="18"/>
              </w:rPr>
            </w:pPr>
            <w:r w:rsidRPr="003763AA">
              <w:rPr>
                <w:sz w:val="18"/>
                <w:szCs w:val="18"/>
              </w:rPr>
              <w:t> </w:t>
            </w:r>
          </w:p>
        </w:tc>
        <w:tc>
          <w:tcPr>
            <w:tcW w:w="482" w:type="pct"/>
            <w:tcBorders>
              <w:top w:val="nil"/>
              <w:left w:val="nil"/>
              <w:bottom w:val="single" w:sz="4" w:space="0" w:color="auto"/>
              <w:right w:val="single" w:sz="4" w:space="0" w:color="auto"/>
            </w:tcBorders>
            <w:shd w:val="clear" w:color="000000" w:fill="D9D9D9"/>
            <w:vAlign w:val="center"/>
            <w:hideMark/>
          </w:tcPr>
          <w:p w14:paraId="5274ADB4" w14:textId="77777777" w:rsidR="003D217E" w:rsidRPr="003763AA" w:rsidRDefault="003D217E" w:rsidP="001740C5">
            <w:pPr>
              <w:adjustRightInd w:val="0"/>
              <w:snapToGrid w:val="0"/>
              <w:jc w:val="center"/>
              <w:rPr>
                <w:sz w:val="18"/>
                <w:szCs w:val="18"/>
              </w:rPr>
            </w:pPr>
            <w:r w:rsidRPr="003763AA">
              <w:rPr>
                <w:sz w:val="18"/>
                <w:szCs w:val="18"/>
              </w:rPr>
              <w:t> </w:t>
            </w:r>
          </w:p>
        </w:tc>
        <w:tc>
          <w:tcPr>
            <w:tcW w:w="467" w:type="pct"/>
            <w:tcBorders>
              <w:top w:val="nil"/>
              <w:left w:val="nil"/>
              <w:bottom w:val="single" w:sz="4" w:space="0" w:color="auto"/>
              <w:right w:val="single" w:sz="4" w:space="0" w:color="auto"/>
            </w:tcBorders>
            <w:shd w:val="clear" w:color="000000" w:fill="D9D9D9"/>
            <w:vAlign w:val="center"/>
            <w:hideMark/>
          </w:tcPr>
          <w:p w14:paraId="6138C34E" w14:textId="77777777" w:rsidR="003D217E" w:rsidRPr="003763AA" w:rsidRDefault="003D217E" w:rsidP="001740C5">
            <w:pPr>
              <w:adjustRightInd w:val="0"/>
              <w:snapToGrid w:val="0"/>
              <w:jc w:val="center"/>
              <w:rPr>
                <w:sz w:val="18"/>
                <w:szCs w:val="18"/>
              </w:rPr>
            </w:pPr>
            <w:r w:rsidRPr="003763AA">
              <w:rPr>
                <w:sz w:val="18"/>
                <w:szCs w:val="18"/>
              </w:rPr>
              <w:t> </w:t>
            </w:r>
          </w:p>
        </w:tc>
        <w:tc>
          <w:tcPr>
            <w:tcW w:w="613" w:type="pct"/>
            <w:tcBorders>
              <w:top w:val="nil"/>
              <w:left w:val="nil"/>
              <w:bottom w:val="single" w:sz="4" w:space="0" w:color="auto"/>
              <w:right w:val="single" w:sz="4" w:space="0" w:color="auto"/>
            </w:tcBorders>
            <w:shd w:val="clear" w:color="000000" w:fill="D9D9D9"/>
            <w:vAlign w:val="center"/>
            <w:hideMark/>
          </w:tcPr>
          <w:p w14:paraId="59A97D46" w14:textId="77777777" w:rsidR="003D217E" w:rsidRPr="003763AA" w:rsidRDefault="003D217E" w:rsidP="001740C5">
            <w:pPr>
              <w:adjustRightInd w:val="0"/>
              <w:snapToGrid w:val="0"/>
              <w:rPr>
                <w:sz w:val="18"/>
                <w:szCs w:val="18"/>
              </w:rPr>
            </w:pPr>
            <w:r w:rsidRPr="003763AA">
              <w:rPr>
                <w:sz w:val="18"/>
                <w:szCs w:val="18"/>
              </w:rPr>
              <w:t>To be confirmed by ISC</w:t>
            </w:r>
          </w:p>
        </w:tc>
      </w:tr>
    </w:tbl>
    <w:p w14:paraId="33482F35" w14:textId="77777777" w:rsidR="003D217E" w:rsidRPr="004635E5" w:rsidRDefault="003D217E" w:rsidP="003D217E">
      <w:pPr>
        <w:adjustRightInd w:val="0"/>
        <w:snapToGrid w:val="0"/>
        <w:rPr>
          <w:rFonts w:eastAsiaTheme="minorEastAsia"/>
          <w:sz w:val="22"/>
          <w:szCs w:val="22"/>
          <w:highlight w:val="yellow"/>
          <w:lang w:val="en-NZ" w:eastAsia="ko-KR"/>
        </w:rPr>
      </w:pPr>
    </w:p>
    <w:p w14:paraId="7347C583" w14:textId="77777777" w:rsidR="003D217E" w:rsidRPr="004635E5" w:rsidRDefault="003D217E" w:rsidP="003D217E">
      <w:pPr>
        <w:pStyle w:val="Heading1"/>
        <w:numPr>
          <w:ilvl w:val="0"/>
          <w:numId w:val="0"/>
        </w:numPr>
        <w:adjustRightInd w:val="0"/>
        <w:snapToGrid w:val="0"/>
        <w:spacing w:after="0"/>
        <w:ind w:left="360"/>
        <w:rPr>
          <w:lang w:eastAsia="ko-KR"/>
        </w:rPr>
      </w:pPr>
    </w:p>
    <w:p w14:paraId="23713AD0" w14:textId="77777777" w:rsidR="003D217E" w:rsidRPr="00166EEA" w:rsidRDefault="003D217E" w:rsidP="003D217E">
      <w:pPr>
        <w:pStyle w:val="Heading1"/>
        <w:numPr>
          <w:ilvl w:val="0"/>
          <w:numId w:val="0"/>
        </w:numPr>
        <w:adjustRightInd w:val="0"/>
        <w:snapToGrid w:val="0"/>
        <w:spacing w:after="0"/>
        <w:rPr>
          <w:sz w:val="28"/>
          <w:szCs w:val="28"/>
        </w:rPr>
      </w:pPr>
      <w:r w:rsidRPr="00166EEA">
        <w:rPr>
          <w:sz w:val="28"/>
          <w:szCs w:val="28"/>
        </w:rPr>
        <w:t>AGENDA ITEM 11 — ADMINISTRATIVE MATTERS</w:t>
      </w:r>
    </w:p>
    <w:p w14:paraId="49E9F9BB" w14:textId="77777777" w:rsidR="003D217E" w:rsidRDefault="003D217E" w:rsidP="003D217E">
      <w:pPr>
        <w:pStyle w:val="Heading1"/>
        <w:numPr>
          <w:ilvl w:val="0"/>
          <w:numId w:val="0"/>
        </w:numPr>
        <w:adjustRightInd w:val="0"/>
        <w:snapToGrid w:val="0"/>
        <w:spacing w:after="0"/>
        <w:ind w:left="360"/>
        <w:rPr>
          <w:lang w:eastAsia="ko-KR"/>
        </w:rPr>
      </w:pPr>
    </w:p>
    <w:p w14:paraId="301E4F4E" w14:textId="0AA48D30" w:rsidR="003D217E" w:rsidRPr="004635E5" w:rsidRDefault="003D217E" w:rsidP="003D217E">
      <w:pPr>
        <w:pStyle w:val="Heading1"/>
        <w:numPr>
          <w:ilvl w:val="0"/>
          <w:numId w:val="0"/>
        </w:numPr>
        <w:adjustRightInd w:val="0"/>
        <w:snapToGrid w:val="0"/>
        <w:spacing w:after="0"/>
        <w:ind w:left="360"/>
      </w:pPr>
      <w:r w:rsidRPr="004635E5">
        <w:fldChar w:fldCharType="begin"/>
      </w:r>
      <w:r w:rsidRPr="004635E5">
        <w:instrText xml:space="preserve"> TC "</w:instrText>
      </w:r>
      <w:bookmarkStart w:id="45" w:name="_Toc10607010"/>
      <w:bookmarkStart w:id="46" w:name="_Toc10607271"/>
      <w:bookmarkStart w:id="47" w:name="_Toc10607360"/>
      <w:bookmarkStart w:id="48" w:name="_Toc10607545"/>
      <w:bookmarkStart w:id="49" w:name="_Toc16418010"/>
      <w:r w:rsidRPr="004635E5">
        <w:instrText>AGENDA ITEM 11 — ADMINISTRATIVE MATTERS</w:instrText>
      </w:r>
      <w:bookmarkEnd w:id="45"/>
      <w:bookmarkEnd w:id="46"/>
      <w:bookmarkEnd w:id="47"/>
      <w:bookmarkEnd w:id="48"/>
      <w:bookmarkEnd w:id="49"/>
      <w:r w:rsidRPr="004635E5">
        <w:instrText xml:space="preserve">" \f C \l "1" </w:instrText>
      </w:r>
      <w:r w:rsidRPr="004635E5">
        <w:fldChar w:fldCharType="end"/>
      </w:r>
      <w:r w:rsidRPr="004635E5">
        <w:fldChar w:fldCharType="begin"/>
      </w:r>
      <w:r w:rsidRPr="004635E5">
        <w:instrText xml:space="preserve"> C "</w:instrText>
      </w:r>
      <w:bookmarkStart w:id="50" w:name="_Toc10607011"/>
      <w:bookmarkStart w:id="51" w:name="_Toc10607272"/>
      <w:bookmarkStart w:id="52" w:name="_Toc10607361"/>
      <w:bookmarkStart w:id="53" w:name="_Toc10607546"/>
      <w:r w:rsidRPr="004635E5">
        <w:instrText>AGENDA ITEM 11 — ADMINISTRATIVE MATTERS</w:instrText>
      </w:r>
      <w:bookmarkEnd w:id="50"/>
      <w:bookmarkEnd w:id="51"/>
      <w:bookmarkEnd w:id="52"/>
      <w:bookmarkEnd w:id="53"/>
      <w:r w:rsidRPr="004635E5">
        <w:instrText>" \f C \l "1"</w:instrText>
      </w:r>
      <w:r w:rsidRPr="004635E5">
        <w:fldChar w:fldCharType="separate"/>
      </w:r>
      <w:r w:rsidR="00A47ECC">
        <w:rPr>
          <w:b w:val="0"/>
          <w:bCs w:val="0"/>
          <w:lang w:val="en-US"/>
        </w:rPr>
        <w:t>Error! Bookmark not defined.</w:t>
      </w:r>
      <w:r w:rsidRPr="004635E5">
        <w:fldChar w:fldCharType="end"/>
      </w:r>
    </w:p>
    <w:p w14:paraId="15D52B0C" w14:textId="77777777" w:rsidR="003D217E" w:rsidRPr="004635E5" w:rsidRDefault="003D217E" w:rsidP="00580EA4">
      <w:pPr>
        <w:pStyle w:val="ListParagraph"/>
        <w:numPr>
          <w:ilvl w:val="0"/>
          <w:numId w:val="160"/>
        </w:numPr>
        <w:adjustRightInd w:val="0"/>
        <w:snapToGrid w:val="0"/>
        <w:jc w:val="both"/>
        <w:rPr>
          <w:b/>
          <w:vanish/>
          <w:sz w:val="22"/>
          <w:szCs w:val="22"/>
          <w:lang w:val="en-NZ"/>
        </w:rPr>
      </w:pPr>
    </w:p>
    <w:p w14:paraId="2DE11851" w14:textId="77777777" w:rsidR="003D217E" w:rsidRPr="003763AA" w:rsidRDefault="003D217E" w:rsidP="00580EA4">
      <w:pPr>
        <w:pStyle w:val="SC2"/>
        <w:numPr>
          <w:ilvl w:val="1"/>
          <w:numId w:val="160"/>
        </w:numPr>
        <w:spacing w:after="0"/>
        <w:rPr>
          <w:rFonts w:eastAsiaTheme="minorEastAsia"/>
          <w:sz w:val="24"/>
          <w:szCs w:val="24"/>
          <w:lang w:eastAsia="ko-KR"/>
        </w:rPr>
      </w:pPr>
      <w:r w:rsidRPr="003763AA">
        <w:rPr>
          <w:sz w:val="24"/>
          <w:szCs w:val="24"/>
        </w:rPr>
        <w:t xml:space="preserve">Election of Officers of the Scientific Committee </w:t>
      </w:r>
    </w:p>
    <w:p w14:paraId="2F6EB4AB" w14:textId="77777777" w:rsidR="003D217E" w:rsidRDefault="003D217E" w:rsidP="003D217E">
      <w:pPr>
        <w:pStyle w:val="SC2"/>
        <w:numPr>
          <w:ilvl w:val="0"/>
          <w:numId w:val="0"/>
        </w:numPr>
        <w:spacing w:after="0"/>
        <w:rPr>
          <w:rFonts w:eastAsiaTheme="minorEastAsia"/>
          <w:lang w:eastAsia="ko-KR"/>
        </w:rPr>
      </w:pPr>
    </w:p>
    <w:p w14:paraId="4515C469" w14:textId="77777777" w:rsidR="003D217E" w:rsidRDefault="003D217E" w:rsidP="003D217E">
      <w:pPr>
        <w:pStyle w:val="SC2"/>
        <w:numPr>
          <w:ilvl w:val="0"/>
          <w:numId w:val="0"/>
        </w:numPr>
        <w:spacing w:after="0"/>
        <w:rPr>
          <w:rFonts w:eastAsiaTheme="minorEastAsia"/>
          <w:lang w:eastAsia="ko-KR"/>
        </w:rPr>
      </w:pPr>
    </w:p>
    <w:p w14:paraId="6F1CC423" w14:textId="77777777" w:rsidR="003D217E" w:rsidRPr="003763AA" w:rsidRDefault="003D217E" w:rsidP="003D217E">
      <w:pPr>
        <w:pStyle w:val="WCPFC"/>
        <w:adjustRightInd w:val="0"/>
        <w:spacing w:after="0"/>
        <w:ind w:left="0" w:firstLine="0"/>
      </w:pPr>
      <w:r w:rsidRPr="004635E5">
        <w:rPr>
          <w:lang w:val="en-AU"/>
        </w:rPr>
        <w:t>The SC Chair requested nominations for SC Vice-Chair and a stock assessment theme co-convener. No nominations were made. Members were asked to further consider potential nominations in the intersessional period, with a view to naming a co-convener well before SC15.</w:t>
      </w:r>
    </w:p>
    <w:p w14:paraId="3D9D644E" w14:textId="77777777" w:rsidR="003D217E" w:rsidRPr="004635E5" w:rsidRDefault="003D217E" w:rsidP="003D217E">
      <w:pPr>
        <w:pStyle w:val="WCPFC"/>
        <w:numPr>
          <w:ilvl w:val="0"/>
          <w:numId w:val="0"/>
        </w:numPr>
        <w:adjustRightInd w:val="0"/>
        <w:spacing w:after="0"/>
      </w:pPr>
    </w:p>
    <w:p w14:paraId="5A1DEC43" w14:textId="77777777" w:rsidR="003D217E" w:rsidRPr="003763AA" w:rsidRDefault="003D217E" w:rsidP="00580EA4">
      <w:pPr>
        <w:pStyle w:val="SC2"/>
        <w:numPr>
          <w:ilvl w:val="1"/>
          <w:numId w:val="160"/>
        </w:numPr>
        <w:spacing w:after="0"/>
        <w:rPr>
          <w:sz w:val="24"/>
          <w:szCs w:val="24"/>
        </w:rPr>
      </w:pPr>
      <w:r w:rsidRPr="003763AA">
        <w:rPr>
          <w:sz w:val="24"/>
          <w:szCs w:val="24"/>
        </w:rPr>
        <w:t xml:space="preserve">Next meeting  </w:t>
      </w:r>
    </w:p>
    <w:p w14:paraId="48FD9DB5" w14:textId="77777777" w:rsidR="003D217E" w:rsidRPr="004635E5" w:rsidRDefault="003D217E" w:rsidP="003D217E">
      <w:pPr>
        <w:pStyle w:val="SC2"/>
        <w:numPr>
          <w:ilvl w:val="0"/>
          <w:numId w:val="0"/>
        </w:numPr>
        <w:spacing w:after="0"/>
        <w:ind w:left="720"/>
      </w:pPr>
    </w:p>
    <w:p w14:paraId="4497FAA7" w14:textId="77777777" w:rsidR="003D217E" w:rsidRPr="004635E5" w:rsidRDefault="003D217E"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SC14 confirmed that SC15 would be held in Pohnpei, Federated States of Micronesia during 7-15 August 2019. Samoa offered to host for 2020. </w:t>
      </w:r>
    </w:p>
    <w:p w14:paraId="1577A09A" w14:textId="77777777" w:rsidR="003D217E" w:rsidRPr="004635E5" w:rsidRDefault="003D217E" w:rsidP="003D217E">
      <w:pPr>
        <w:autoSpaceDE w:val="0"/>
        <w:autoSpaceDN w:val="0"/>
        <w:adjustRightInd w:val="0"/>
        <w:snapToGrid w:val="0"/>
        <w:jc w:val="both"/>
        <w:rPr>
          <w:rFonts w:eastAsiaTheme="minorEastAsia"/>
          <w:sz w:val="22"/>
          <w:szCs w:val="22"/>
          <w:lang w:val="en-AU" w:eastAsia="ko-KR"/>
        </w:rPr>
      </w:pPr>
    </w:p>
    <w:p w14:paraId="2958F5CF" w14:textId="77777777" w:rsidR="003D217E" w:rsidRPr="004635E5" w:rsidRDefault="003D217E" w:rsidP="003D217E">
      <w:pPr>
        <w:autoSpaceDE w:val="0"/>
        <w:autoSpaceDN w:val="0"/>
        <w:adjustRightInd w:val="0"/>
        <w:snapToGrid w:val="0"/>
        <w:jc w:val="both"/>
        <w:rPr>
          <w:rFonts w:eastAsiaTheme="minorEastAsia"/>
          <w:sz w:val="22"/>
          <w:szCs w:val="22"/>
          <w:lang w:val="en-AU" w:eastAsia="ko-KR"/>
        </w:rPr>
      </w:pPr>
    </w:p>
    <w:p w14:paraId="54DAD313" w14:textId="77777777" w:rsidR="003D217E" w:rsidRPr="00166EEA" w:rsidRDefault="003D217E" w:rsidP="003D217E">
      <w:pPr>
        <w:pStyle w:val="Heading1"/>
        <w:numPr>
          <w:ilvl w:val="0"/>
          <w:numId w:val="0"/>
        </w:numPr>
        <w:adjustRightInd w:val="0"/>
        <w:snapToGrid w:val="0"/>
        <w:spacing w:after="0"/>
        <w:rPr>
          <w:sz w:val="28"/>
          <w:szCs w:val="28"/>
        </w:rPr>
      </w:pPr>
      <w:r w:rsidRPr="00166EEA">
        <w:rPr>
          <w:sz w:val="28"/>
          <w:szCs w:val="28"/>
        </w:rPr>
        <w:t>AGENDA ITEM 12 — OTHER MATTERS</w:t>
      </w:r>
    </w:p>
    <w:p w14:paraId="69E067AD" w14:textId="77777777" w:rsidR="003D217E" w:rsidRDefault="003D217E" w:rsidP="003D217E">
      <w:pPr>
        <w:pStyle w:val="Heading1"/>
        <w:numPr>
          <w:ilvl w:val="0"/>
          <w:numId w:val="0"/>
        </w:numPr>
        <w:adjustRightInd w:val="0"/>
        <w:snapToGrid w:val="0"/>
        <w:spacing w:after="0"/>
        <w:ind w:left="720"/>
        <w:rPr>
          <w:lang w:eastAsia="ko-KR"/>
        </w:rPr>
      </w:pPr>
    </w:p>
    <w:p w14:paraId="60F647A4" w14:textId="77777777" w:rsidR="003D217E" w:rsidRPr="004635E5" w:rsidRDefault="003D217E" w:rsidP="003D217E">
      <w:pPr>
        <w:pStyle w:val="Heading1"/>
        <w:numPr>
          <w:ilvl w:val="0"/>
          <w:numId w:val="0"/>
        </w:numPr>
        <w:adjustRightInd w:val="0"/>
        <w:snapToGrid w:val="0"/>
        <w:spacing w:after="0"/>
        <w:ind w:left="720"/>
      </w:pPr>
      <w:r w:rsidRPr="004635E5">
        <w:fldChar w:fldCharType="begin"/>
      </w:r>
      <w:r w:rsidRPr="004635E5">
        <w:instrText xml:space="preserve"> TC "</w:instrText>
      </w:r>
      <w:bookmarkStart w:id="54" w:name="_Toc10607012"/>
      <w:bookmarkStart w:id="55" w:name="_Toc10607273"/>
      <w:bookmarkStart w:id="56" w:name="_Toc10607362"/>
      <w:bookmarkStart w:id="57" w:name="_Toc10607547"/>
      <w:bookmarkStart w:id="58" w:name="_Toc16418011"/>
      <w:r w:rsidRPr="004635E5">
        <w:instrText>AGENDA ITEM 12 — OTHER MATTERS</w:instrText>
      </w:r>
      <w:bookmarkEnd w:id="54"/>
      <w:bookmarkEnd w:id="55"/>
      <w:bookmarkEnd w:id="56"/>
      <w:bookmarkEnd w:id="57"/>
      <w:bookmarkEnd w:id="58"/>
      <w:r w:rsidRPr="004635E5">
        <w:instrText xml:space="preserve">" \f C \l "1" </w:instrText>
      </w:r>
      <w:r w:rsidRPr="004635E5">
        <w:fldChar w:fldCharType="end"/>
      </w:r>
    </w:p>
    <w:p w14:paraId="632738B7" w14:textId="77777777" w:rsidR="003D217E" w:rsidRDefault="003D217E" w:rsidP="003D217E">
      <w:pPr>
        <w:pStyle w:val="WCPFC"/>
        <w:adjustRightInd w:val="0"/>
        <w:spacing w:after="0"/>
      </w:pPr>
      <w:r>
        <w:rPr>
          <w:lang w:eastAsia="ko-KR"/>
        </w:rPr>
        <w:t>N</w:t>
      </w:r>
      <w:r>
        <w:rPr>
          <w:rFonts w:hint="eastAsia"/>
          <w:lang w:eastAsia="ko-KR"/>
        </w:rPr>
        <w:t>o recommendations were made.</w:t>
      </w:r>
    </w:p>
    <w:p w14:paraId="72B7B206" w14:textId="77777777" w:rsidR="003D217E" w:rsidRDefault="003D217E" w:rsidP="003D217E">
      <w:pPr>
        <w:pStyle w:val="WCPFC"/>
        <w:numPr>
          <w:ilvl w:val="0"/>
          <w:numId w:val="0"/>
        </w:numPr>
        <w:adjustRightInd w:val="0"/>
        <w:spacing w:after="0"/>
        <w:ind w:left="360"/>
        <w:rPr>
          <w:lang w:eastAsia="ko-KR"/>
        </w:rPr>
      </w:pPr>
    </w:p>
    <w:p w14:paraId="0C357F74" w14:textId="77777777" w:rsidR="003D217E" w:rsidRPr="004635E5" w:rsidRDefault="003D217E" w:rsidP="003D217E">
      <w:pPr>
        <w:pStyle w:val="WCPFC"/>
        <w:numPr>
          <w:ilvl w:val="0"/>
          <w:numId w:val="0"/>
        </w:numPr>
        <w:adjustRightInd w:val="0"/>
        <w:spacing w:after="0"/>
        <w:ind w:left="360"/>
      </w:pPr>
    </w:p>
    <w:p w14:paraId="7B672E93" w14:textId="77777777" w:rsidR="003D217E" w:rsidRPr="00166EEA" w:rsidRDefault="003D217E" w:rsidP="003D217E">
      <w:pPr>
        <w:pStyle w:val="Heading1"/>
        <w:numPr>
          <w:ilvl w:val="0"/>
          <w:numId w:val="0"/>
        </w:numPr>
        <w:adjustRightInd w:val="0"/>
        <w:snapToGrid w:val="0"/>
        <w:spacing w:after="0"/>
        <w:rPr>
          <w:sz w:val="28"/>
          <w:szCs w:val="28"/>
        </w:rPr>
      </w:pPr>
      <w:r w:rsidRPr="00166EEA">
        <w:rPr>
          <w:sz w:val="28"/>
          <w:szCs w:val="28"/>
        </w:rPr>
        <w:t>AGENDA ITEM 13 — ADOPTION OF THE SUMMARY RE</w:t>
      </w:r>
      <w:r w:rsidRPr="00166EEA">
        <w:rPr>
          <w:rFonts w:eastAsia="Batang"/>
          <w:sz w:val="28"/>
          <w:szCs w:val="28"/>
          <w:lang w:eastAsia="ko-KR"/>
        </w:rPr>
        <w:t>P</w:t>
      </w:r>
      <w:r w:rsidRPr="00166EEA">
        <w:rPr>
          <w:sz w:val="28"/>
          <w:szCs w:val="28"/>
        </w:rPr>
        <w:t xml:space="preserve">ORT </w:t>
      </w:r>
    </w:p>
    <w:p w14:paraId="4072A866" w14:textId="77777777" w:rsidR="003D217E" w:rsidRDefault="003D217E" w:rsidP="003D217E">
      <w:pPr>
        <w:pStyle w:val="Heading1"/>
        <w:numPr>
          <w:ilvl w:val="0"/>
          <w:numId w:val="0"/>
        </w:numPr>
        <w:tabs>
          <w:tab w:val="left" w:pos="4365"/>
          <w:tab w:val="center" w:pos="5040"/>
        </w:tabs>
        <w:adjustRightInd w:val="0"/>
        <w:snapToGrid w:val="0"/>
        <w:spacing w:after="0"/>
        <w:ind w:left="720"/>
        <w:jc w:val="left"/>
        <w:rPr>
          <w:lang w:eastAsia="ko-KR"/>
        </w:rPr>
      </w:pPr>
      <w:r>
        <w:tab/>
      </w:r>
    </w:p>
    <w:p w14:paraId="09B33995" w14:textId="77777777" w:rsidR="003D217E" w:rsidRPr="004635E5" w:rsidRDefault="003D217E" w:rsidP="003D217E">
      <w:pPr>
        <w:pStyle w:val="Heading1"/>
        <w:numPr>
          <w:ilvl w:val="0"/>
          <w:numId w:val="0"/>
        </w:numPr>
        <w:tabs>
          <w:tab w:val="left" w:pos="4365"/>
          <w:tab w:val="center" w:pos="5040"/>
        </w:tabs>
        <w:adjustRightInd w:val="0"/>
        <w:snapToGrid w:val="0"/>
        <w:spacing w:after="0"/>
        <w:ind w:left="720"/>
        <w:jc w:val="left"/>
      </w:pPr>
      <w:r>
        <w:tab/>
      </w:r>
      <w:r w:rsidRPr="004635E5">
        <w:fldChar w:fldCharType="begin"/>
      </w:r>
      <w:r w:rsidRPr="004635E5">
        <w:instrText xml:space="preserve"> TC "</w:instrText>
      </w:r>
      <w:bookmarkStart w:id="59" w:name="_Toc10607013"/>
      <w:bookmarkStart w:id="60" w:name="_Toc10607274"/>
      <w:bookmarkStart w:id="61" w:name="_Toc10607363"/>
      <w:bookmarkStart w:id="62" w:name="_Toc10607548"/>
      <w:bookmarkStart w:id="63" w:name="_Toc16418012"/>
      <w:r w:rsidRPr="004635E5">
        <w:instrText>AGENDA ITEM 13 — ADOPTION OF THE SC14 REPORT</w:instrText>
      </w:r>
      <w:bookmarkEnd w:id="59"/>
      <w:bookmarkEnd w:id="60"/>
      <w:bookmarkEnd w:id="61"/>
      <w:bookmarkEnd w:id="62"/>
      <w:bookmarkEnd w:id="63"/>
      <w:r w:rsidRPr="004635E5">
        <w:instrText xml:space="preserve">" \f C \l "1" </w:instrText>
      </w:r>
      <w:r w:rsidRPr="004635E5">
        <w:fldChar w:fldCharType="end"/>
      </w:r>
    </w:p>
    <w:p w14:paraId="3BB4CB84" w14:textId="77777777" w:rsidR="003D217E" w:rsidRPr="004635E5" w:rsidRDefault="003D217E" w:rsidP="00580EA4">
      <w:pPr>
        <w:numPr>
          <w:ilvl w:val="0"/>
          <w:numId w:val="18"/>
        </w:numPr>
        <w:autoSpaceDE w:val="0"/>
        <w:autoSpaceDN w:val="0"/>
        <w:adjustRightInd w:val="0"/>
        <w:snapToGrid w:val="0"/>
        <w:ind w:left="0" w:firstLine="0"/>
        <w:jc w:val="both"/>
        <w:rPr>
          <w:rFonts w:eastAsia="Batang"/>
          <w:sz w:val="22"/>
          <w:szCs w:val="22"/>
          <w:lang w:eastAsia="ko-KR"/>
        </w:rPr>
      </w:pPr>
      <w:r w:rsidRPr="004635E5">
        <w:rPr>
          <w:rFonts w:eastAsia="Batang"/>
          <w:sz w:val="22"/>
          <w:szCs w:val="22"/>
          <w:lang w:eastAsia="ko-KR"/>
        </w:rPr>
        <w:t>SC14 adopted the recommendations of the Fourteenth Regular Session of the Scientific Committee. The SC14 Summary Report will be adopted intersessionally according to the following schedule:</w:t>
      </w:r>
    </w:p>
    <w:p w14:paraId="21F05E3F" w14:textId="77777777" w:rsidR="003D217E" w:rsidRDefault="003D217E" w:rsidP="003D217E">
      <w:pPr>
        <w:adjustRightInd w:val="0"/>
        <w:snapToGrid w:val="0"/>
        <w:rPr>
          <w:rFonts w:eastAsia="Batang"/>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8000"/>
      </w:tblGrid>
      <w:tr w:rsidR="003D217E" w:rsidRPr="00DA3B20" w14:paraId="26AC10AC" w14:textId="77777777" w:rsidTr="001740C5">
        <w:trPr>
          <w:trHeight w:val="404"/>
        </w:trPr>
        <w:tc>
          <w:tcPr>
            <w:tcW w:w="823" w:type="pct"/>
            <w:shd w:val="clear" w:color="auto" w:fill="D9D9D9" w:themeFill="background1" w:themeFillShade="D9"/>
            <w:vAlign w:val="center"/>
          </w:tcPr>
          <w:p w14:paraId="1D5C61D1" w14:textId="77777777" w:rsidR="003D217E" w:rsidRPr="00DA3B20" w:rsidRDefault="003D217E" w:rsidP="001740C5">
            <w:pPr>
              <w:tabs>
                <w:tab w:val="left" w:pos="2977"/>
              </w:tabs>
              <w:autoSpaceDE w:val="0"/>
              <w:autoSpaceDN w:val="0"/>
              <w:adjustRightInd w:val="0"/>
              <w:snapToGrid w:val="0"/>
              <w:jc w:val="center"/>
              <w:rPr>
                <w:rFonts w:eastAsia="Malgun Gothic"/>
                <w:b/>
                <w:sz w:val="20"/>
                <w:szCs w:val="20"/>
                <w:lang w:val="en-NZ" w:eastAsia="ko-KR"/>
              </w:rPr>
            </w:pPr>
            <w:r w:rsidRPr="00DA3B20">
              <w:rPr>
                <w:rFonts w:eastAsia="Malgun Gothic"/>
                <w:b/>
                <w:sz w:val="20"/>
                <w:szCs w:val="20"/>
                <w:lang w:val="en-NZ" w:eastAsia="ko-KR"/>
              </w:rPr>
              <w:t>Due by</w:t>
            </w:r>
          </w:p>
        </w:tc>
        <w:tc>
          <w:tcPr>
            <w:tcW w:w="4177" w:type="pct"/>
            <w:shd w:val="clear" w:color="auto" w:fill="D9D9D9" w:themeFill="background1" w:themeFillShade="D9"/>
            <w:vAlign w:val="center"/>
          </w:tcPr>
          <w:p w14:paraId="7C215AFA" w14:textId="77777777" w:rsidR="003D217E" w:rsidRPr="00DA3B20" w:rsidRDefault="003D217E" w:rsidP="001740C5">
            <w:pPr>
              <w:tabs>
                <w:tab w:val="left" w:pos="2977"/>
              </w:tabs>
              <w:autoSpaceDE w:val="0"/>
              <w:autoSpaceDN w:val="0"/>
              <w:adjustRightInd w:val="0"/>
              <w:snapToGrid w:val="0"/>
              <w:jc w:val="center"/>
              <w:rPr>
                <w:rFonts w:eastAsiaTheme="minorEastAsia"/>
                <w:b/>
                <w:sz w:val="20"/>
                <w:szCs w:val="20"/>
                <w:lang w:val="en-NZ" w:eastAsia="ko-KR"/>
              </w:rPr>
            </w:pPr>
            <w:r w:rsidRPr="00DA3B20">
              <w:rPr>
                <w:rFonts w:eastAsiaTheme="minorEastAsia"/>
                <w:b/>
                <w:sz w:val="20"/>
                <w:szCs w:val="20"/>
                <w:lang w:val="en-NZ" w:eastAsia="ko-KR"/>
              </w:rPr>
              <w:t>Actions to be taken</w:t>
            </w:r>
          </w:p>
        </w:tc>
      </w:tr>
      <w:tr w:rsidR="003D217E" w:rsidRPr="00DA3B20" w14:paraId="478A6C14" w14:textId="77777777" w:rsidTr="001740C5">
        <w:tc>
          <w:tcPr>
            <w:tcW w:w="823" w:type="pct"/>
          </w:tcPr>
          <w:p w14:paraId="32086709" w14:textId="77777777" w:rsidR="003D217E" w:rsidRPr="00DA3B20" w:rsidRDefault="003D217E" w:rsidP="001740C5">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16 August</w:t>
            </w:r>
          </w:p>
        </w:tc>
        <w:tc>
          <w:tcPr>
            <w:tcW w:w="4177" w:type="pct"/>
          </w:tcPr>
          <w:p w14:paraId="076581DD" w14:textId="77777777" w:rsidR="003D217E" w:rsidRPr="00DA3B20" w:rsidRDefault="003D217E" w:rsidP="001740C5">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 xml:space="preserve">Close of SC14 </w:t>
            </w:r>
          </w:p>
          <w:p w14:paraId="5C33BA99" w14:textId="77777777" w:rsidR="003D217E" w:rsidRPr="00DA3B20" w:rsidRDefault="003D217E" w:rsidP="001740C5">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By 27 August, SC14 decisions will be distributed to all CCMs and observers (within 7 working days, Rules of Procedure).</w:t>
            </w:r>
          </w:p>
        </w:tc>
      </w:tr>
      <w:tr w:rsidR="003D217E" w:rsidRPr="00DA3B20" w14:paraId="4AFB5D33" w14:textId="77777777" w:rsidTr="001740C5">
        <w:tc>
          <w:tcPr>
            <w:tcW w:w="823" w:type="pct"/>
          </w:tcPr>
          <w:p w14:paraId="246115B5" w14:textId="77777777" w:rsidR="003D217E" w:rsidRPr="00DA3B20" w:rsidRDefault="003D217E" w:rsidP="001740C5">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23 August</w:t>
            </w:r>
          </w:p>
        </w:tc>
        <w:tc>
          <w:tcPr>
            <w:tcW w:w="4177" w:type="pct"/>
          </w:tcPr>
          <w:p w14:paraId="3B8A7D72" w14:textId="77777777" w:rsidR="003D217E" w:rsidRPr="00DA3B20" w:rsidRDefault="003D217E" w:rsidP="001740C5">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Secretariat will receive Draft Summary Report from the rapporteur.</w:t>
            </w:r>
          </w:p>
        </w:tc>
      </w:tr>
      <w:tr w:rsidR="003D217E" w:rsidRPr="00DA3B20" w14:paraId="4D486A40" w14:textId="77777777" w:rsidTr="001740C5">
        <w:tc>
          <w:tcPr>
            <w:tcW w:w="823" w:type="pct"/>
          </w:tcPr>
          <w:p w14:paraId="28333EC0" w14:textId="77777777" w:rsidR="003D217E" w:rsidRPr="00DA3B20" w:rsidRDefault="003D217E" w:rsidP="001740C5">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7</w:t>
            </w:r>
            <w:r w:rsidRPr="00DA3B20">
              <w:rPr>
                <w:rFonts w:eastAsia="MS Mincho"/>
                <w:sz w:val="20"/>
                <w:szCs w:val="20"/>
                <w:lang w:val="en-NZ" w:eastAsia="en-NZ"/>
              </w:rPr>
              <w:t xml:space="preserve"> </w:t>
            </w:r>
            <w:r w:rsidRPr="00DA3B20">
              <w:rPr>
                <w:rFonts w:eastAsiaTheme="minorEastAsia"/>
                <w:sz w:val="20"/>
                <w:szCs w:val="20"/>
                <w:lang w:val="en-NZ" w:eastAsia="ko-KR"/>
              </w:rPr>
              <w:t>September</w:t>
            </w:r>
          </w:p>
        </w:tc>
        <w:tc>
          <w:tcPr>
            <w:tcW w:w="4177" w:type="pct"/>
            <w:hideMark/>
          </w:tcPr>
          <w:p w14:paraId="50FB21B1" w14:textId="77777777" w:rsidR="003D217E" w:rsidRPr="00DA3B20" w:rsidRDefault="003D217E" w:rsidP="001740C5">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 xml:space="preserve">Secretariat will clear the Draft report, and distribute the cleaned report to all </w:t>
            </w:r>
            <w:r w:rsidRPr="00DA3B20">
              <w:rPr>
                <w:rFonts w:eastAsia="MS Mincho"/>
                <w:sz w:val="20"/>
                <w:szCs w:val="20"/>
                <w:lang w:val="en-NZ" w:eastAsia="en-NZ"/>
              </w:rPr>
              <w:t xml:space="preserve">Theme </w:t>
            </w:r>
            <w:r w:rsidRPr="00DA3B20">
              <w:rPr>
                <w:rFonts w:eastAsiaTheme="minorEastAsia"/>
                <w:sz w:val="20"/>
                <w:szCs w:val="20"/>
                <w:lang w:val="en-NZ" w:eastAsia="ko-KR"/>
              </w:rPr>
              <w:t>C</w:t>
            </w:r>
            <w:r w:rsidRPr="00DA3B20">
              <w:rPr>
                <w:rFonts w:eastAsia="MS Mincho"/>
                <w:sz w:val="20"/>
                <w:szCs w:val="20"/>
                <w:lang w:val="en-NZ" w:eastAsia="en-NZ"/>
              </w:rPr>
              <w:t>onvenors</w:t>
            </w:r>
            <w:r w:rsidRPr="00DA3B20">
              <w:rPr>
                <w:rFonts w:eastAsiaTheme="minorEastAsia"/>
                <w:sz w:val="20"/>
                <w:szCs w:val="20"/>
                <w:lang w:val="en-NZ" w:eastAsia="ko-KR"/>
              </w:rPr>
              <w:t xml:space="preserve"> for review.</w:t>
            </w:r>
          </w:p>
        </w:tc>
      </w:tr>
      <w:tr w:rsidR="003D217E" w:rsidRPr="00DA3B20" w14:paraId="173200CA" w14:textId="77777777" w:rsidTr="001740C5">
        <w:tc>
          <w:tcPr>
            <w:tcW w:w="823" w:type="pct"/>
          </w:tcPr>
          <w:p w14:paraId="6E21091E" w14:textId="77777777" w:rsidR="003D217E" w:rsidRPr="00DA3B20" w:rsidRDefault="003D217E" w:rsidP="001740C5">
            <w:pPr>
              <w:tabs>
                <w:tab w:val="left" w:pos="2977"/>
              </w:tabs>
              <w:autoSpaceDE w:val="0"/>
              <w:autoSpaceDN w:val="0"/>
              <w:adjustRightInd w:val="0"/>
              <w:snapToGrid w:val="0"/>
              <w:rPr>
                <w:rFonts w:eastAsiaTheme="minorEastAsia"/>
                <w:sz w:val="20"/>
                <w:szCs w:val="20"/>
                <w:lang w:val="en-NZ" w:eastAsia="en-NZ"/>
              </w:rPr>
            </w:pPr>
            <w:r w:rsidRPr="00DA3B20">
              <w:rPr>
                <w:rFonts w:eastAsiaTheme="minorEastAsia"/>
                <w:sz w:val="20"/>
                <w:szCs w:val="20"/>
                <w:lang w:val="en-NZ" w:eastAsia="ko-KR"/>
              </w:rPr>
              <w:t>14 September</w:t>
            </w:r>
          </w:p>
        </w:tc>
        <w:tc>
          <w:tcPr>
            <w:tcW w:w="4177" w:type="pct"/>
            <w:hideMark/>
          </w:tcPr>
          <w:p w14:paraId="0467A502" w14:textId="77777777" w:rsidR="003D217E" w:rsidRPr="00DA3B20" w:rsidRDefault="003D217E" w:rsidP="001740C5">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Theme conveners will</w:t>
            </w:r>
            <w:r w:rsidRPr="00DA3B20">
              <w:rPr>
                <w:rFonts w:eastAsia="MS Mincho"/>
                <w:sz w:val="20"/>
                <w:szCs w:val="20"/>
                <w:lang w:val="en-NZ" w:eastAsia="en-NZ"/>
              </w:rPr>
              <w:t xml:space="preserve"> </w:t>
            </w:r>
            <w:r w:rsidRPr="00DA3B20">
              <w:rPr>
                <w:rFonts w:eastAsia="Malgun Gothic"/>
                <w:sz w:val="20"/>
                <w:szCs w:val="20"/>
                <w:lang w:val="en-NZ" w:eastAsia="ko-KR"/>
              </w:rPr>
              <w:t xml:space="preserve">review the report and </w:t>
            </w:r>
            <w:r w:rsidRPr="00DA3B20">
              <w:rPr>
                <w:rFonts w:eastAsiaTheme="minorEastAsia"/>
                <w:sz w:val="20"/>
                <w:szCs w:val="20"/>
                <w:lang w:val="en-NZ" w:eastAsia="ko-KR"/>
              </w:rPr>
              <w:t>return it back</w:t>
            </w:r>
            <w:r w:rsidRPr="00DA3B20">
              <w:rPr>
                <w:rFonts w:eastAsia="MS Mincho"/>
                <w:sz w:val="20"/>
                <w:szCs w:val="20"/>
                <w:lang w:val="en-NZ" w:eastAsia="en-NZ"/>
              </w:rPr>
              <w:t xml:space="preserve"> </w:t>
            </w:r>
            <w:r w:rsidRPr="00DA3B20">
              <w:rPr>
                <w:rFonts w:eastAsiaTheme="minorEastAsia"/>
                <w:sz w:val="20"/>
                <w:szCs w:val="20"/>
                <w:lang w:val="en-NZ" w:eastAsia="ko-KR"/>
              </w:rPr>
              <w:t>to the Secretariat</w:t>
            </w:r>
          </w:p>
        </w:tc>
      </w:tr>
      <w:tr w:rsidR="003D217E" w:rsidRPr="00DA3B20" w14:paraId="3A74BBDE" w14:textId="77777777" w:rsidTr="001740C5">
        <w:tc>
          <w:tcPr>
            <w:tcW w:w="823" w:type="pct"/>
          </w:tcPr>
          <w:p w14:paraId="74550EA9" w14:textId="77777777" w:rsidR="003D217E" w:rsidRPr="00DA3B20" w:rsidRDefault="003D217E" w:rsidP="001740C5">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17 September</w:t>
            </w:r>
          </w:p>
        </w:tc>
        <w:tc>
          <w:tcPr>
            <w:tcW w:w="4177" w:type="pct"/>
            <w:hideMark/>
          </w:tcPr>
          <w:p w14:paraId="7E205BF5" w14:textId="77777777" w:rsidR="003D217E" w:rsidRPr="00DA3B20" w:rsidRDefault="003D217E" w:rsidP="001740C5">
            <w:pPr>
              <w:tabs>
                <w:tab w:val="left" w:pos="2977"/>
              </w:tabs>
              <w:autoSpaceDE w:val="0"/>
              <w:autoSpaceDN w:val="0"/>
              <w:adjustRightInd w:val="0"/>
              <w:snapToGrid w:val="0"/>
              <w:rPr>
                <w:rFonts w:eastAsiaTheme="minorEastAsia"/>
                <w:sz w:val="20"/>
                <w:szCs w:val="20"/>
                <w:lang w:val="en-NZ" w:eastAsia="ko-KR"/>
              </w:rPr>
            </w:pPr>
            <w:r w:rsidRPr="00DA3B20">
              <w:rPr>
                <w:rFonts w:eastAsia="Malgun Gothic"/>
                <w:sz w:val="20"/>
                <w:szCs w:val="20"/>
                <w:lang w:val="en-NZ" w:eastAsia="ko-KR"/>
              </w:rPr>
              <w:t xml:space="preserve">The </w:t>
            </w:r>
            <w:r w:rsidRPr="00DA3B20">
              <w:rPr>
                <w:rFonts w:eastAsia="MS Mincho"/>
                <w:sz w:val="20"/>
                <w:szCs w:val="20"/>
                <w:lang w:val="en-NZ" w:eastAsia="en-NZ"/>
              </w:rPr>
              <w:t xml:space="preserve">Secretariat </w:t>
            </w:r>
            <w:r w:rsidRPr="00DA3B20">
              <w:rPr>
                <w:rFonts w:eastAsiaTheme="minorEastAsia"/>
                <w:sz w:val="20"/>
                <w:szCs w:val="20"/>
                <w:lang w:val="en-NZ" w:eastAsia="ko-KR"/>
              </w:rPr>
              <w:t xml:space="preserve">will </w:t>
            </w:r>
            <w:r w:rsidRPr="00DA3B20">
              <w:rPr>
                <w:rFonts w:eastAsia="Malgun Gothic"/>
                <w:sz w:val="20"/>
                <w:szCs w:val="20"/>
                <w:lang w:val="en-NZ" w:eastAsia="ko-KR"/>
              </w:rPr>
              <w:t>distribute</w:t>
            </w:r>
            <w:r w:rsidRPr="00DA3B20">
              <w:rPr>
                <w:rFonts w:eastAsiaTheme="minorEastAsia"/>
                <w:sz w:val="20"/>
                <w:szCs w:val="20"/>
                <w:lang w:val="en-NZ" w:eastAsia="ko-KR"/>
              </w:rPr>
              <w:t xml:space="preserve">/post </w:t>
            </w:r>
            <w:r w:rsidRPr="00DA3B20">
              <w:rPr>
                <w:rFonts w:eastAsia="MS Mincho"/>
                <w:sz w:val="20"/>
                <w:szCs w:val="20"/>
                <w:lang w:val="en-NZ" w:eastAsia="en-NZ"/>
              </w:rPr>
              <w:t xml:space="preserve">the </w:t>
            </w:r>
            <w:r w:rsidRPr="00DA3B20">
              <w:rPr>
                <w:rFonts w:eastAsia="Malgun Gothic"/>
                <w:sz w:val="20"/>
                <w:szCs w:val="20"/>
                <w:lang w:val="en-NZ" w:eastAsia="ko-KR"/>
              </w:rPr>
              <w:t>draft Summary</w:t>
            </w:r>
            <w:r w:rsidRPr="00DA3B20">
              <w:rPr>
                <w:rFonts w:eastAsia="MS Mincho"/>
                <w:sz w:val="20"/>
                <w:szCs w:val="20"/>
                <w:lang w:val="en-NZ" w:eastAsia="en-NZ"/>
              </w:rPr>
              <w:t xml:space="preserve"> Report </w:t>
            </w:r>
            <w:r w:rsidRPr="00DA3B20">
              <w:rPr>
                <w:rFonts w:eastAsia="Malgun Gothic"/>
                <w:sz w:val="20"/>
                <w:szCs w:val="20"/>
                <w:lang w:val="en-NZ" w:eastAsia="ko-KR"/>
              </w:rPr>
              <w:t>for all CCMs’ and Observers</w:t>
            </w:r>
            <w:r w:rsidRPr="00DA3B20">
              <w:rPr>
                <w:rFonts w:eastAsiaTheme="minorEastAsia"/>
                <w:sz w:val="20"/>
                <w:szCs w:val="20"/>
                <w:lang w:val="en-NZ" w:eastAsia="ko-KR"/>
              </w:rPr>
              <w:t>’ review</w:t>
            </w:r>
          </w:p>
        </w:tc>
      </w:tr>
      <w:tr w:rsidR="003D217E" w:rsidRPr="00DA3B20" w14:paraId="3620B08C" w14:textId="77777777" w:rsidTr="001740C5">
        <w:tc>
          <w:tcPr>
            <w:tcW w:w="823" w:type="pct"/>
          </w:tcPr>
          <w:p w14:paraId="2B5802D9" w14:textId="77777777" w:rsidR="003D217E" w:rsidRPr="00DA3B20" w:rsidRDefault="003D217E" w:rsidP="001740C5">
            <w:pPr>
              <w:tabs>
                <w:tab w:val="left" w:pos="2977"/>
              </w:tabs>
              <w:autoSpaceDE w:val="0"/>
              <w:autoSpaceDN w:val="0"/>
              <w:adjustRightInd w:val="0"/>
              <w:snapToGrid w:val="0"/>
              <w:rPr>
                <w:rFonts w:eastAsiaTheme="minorEastAsia"/>
                <w:sz w:val="20"/>
                <w:szCs w:val="20"/>
                <w:lang w:val="en-NZ" w:eastAsia="en-NZ"/>
              </w:rPr>
            </w:pPr>
            <w:r w:rsidRPr="00DA3B20">
              <w:rPr>
                <w:rFonts w:eastAsiaTheme="minorEastAsia"/>
                <w:sz w:val="20"/>
                <w:szCs w:val="20"/>
                <w:lang w:val="en-NZ" w:eastAsia="ko-KR"/>
              </w:rPr>
              <w:t xml:space="preserve">29 October </w:t>
            </w:r>
          </w:p>
        </w:tc>
        <w:tc>
          <w:tcPr>
            <w:tcW w:w="4177" w:type="pct"/>
            <w:hideMark/>
          </w:tcPr>
          <w:p w14:paraId="6A721872" w14:textId="77777777" w:rsidR="003D217E" w:rsidRPr="00DA3B20" w:rsidRDefault="003D217E" w:rsidP="001740C5">
            <w:pPr>
              <w:tabs>
                <w:tab w:val="left" w:pos="2977"/>
              </w:tabs>
              <w:autoSpaceDE w:val="0"/>
              <w:autoSpaceDN w:val="0"/>
              <w:adjustRightInd w:val="0"/>
              <w:snapToGrid w:val="0"/>
              <w:rPr>
                <w:rFonts w:eastAsia="MS Mincho"/>
                <w:sz w:val="20"/>
                <w:szCs w:val="20"/>
                <w:lang w:val="en-NZ" w:eastAsia="en-NZ"/>
              </w:rPr>
            </w:pPr>
            <w:r w:rsidRPr="00DA3B20">
              <w:rPr>
                <w:rFonts w:eastAsia="Malgun Gothic"/>
                <w:sz w:val="20"/>
                <w:szCs w:val="20"/>
                <w:lang w:val="en-NZ" w:eastAsia="ko-KR"/>
              </w:rPr>
              <w:t>Deadline for the submission of comments from CCMs and Observers</w:t>
            </w:r>
          </w:p>
        </w:tc>
      </w:tr>
    </w:tbl>
    <w:p w14:paraId="1F21AA40" w14:textId="77777777" w:rsidR="003D217E" w:rsidRPr="004635E5" w:rsidRDefault="003D217E" w:rsidP="003D217E">
      <w:pPr>
        <w:adjustRightInd w:val="0"/>
        <w:snapToGrid w:val="0"/>
        <w:ind w:left="720"/>
        <w:jc w:val="both"/>
        <w:rPr>
          <w:rFonts w:eastAsiaTheme="minorEastAsia"/>
          <w:sz w:val="22"/>
          <w:szCs w:val="22"/>
          <w:lang w:val="en-NZ" w:eastAsia="ko-KR"/>
        </w:rPr>
      </w:pPr>
    </w:p>
    <w:p w14:paraId="698D2659" w14:textId="77777777" w:rsidR="003D217E" w:rsidRPr="004635E5" w:rsidRDefault="003D217E" w:rsidP="003D217E">
      <w:pPr>
        <w:adjustRightInd w:val="0"/>
        <w:snapToGrid w:val="0"/>
        <w:ind w:left="720"/>
        <w:jc w:val="both"/>
        <w:rPr>
          <w:rFonts w:eastAsiaTheme="minorEastAsia"/>
          <w:sz w:val="22"/>
          <w:szCs w:val="22"/>
          <w:lang w:val="en-NZ" w:eastAsia="ko-KR"/>
        </w:rPr>
      </w:pPr>
    </w:p>
    <w:p w14:paraId="67052103" w14:textId="77777777" w:rsidR="003D217E" w:rsidRPr="00166EEA" w:rsidRDefault="003D217E" w:rsidP="003D217E">
      <w:pPr>
        <w:pStyle w:val="Heading1"/>
        <w:numPr>
          <w:ilvl w:val="0"/>
          <w:numId w:val="0"/>
        </w:numPr>
        <w:adjustRightInd w:val="0"/>
        <w:snapToGrid w:val="0"/>
        <w:spacing w:after="0"/>
        <w:rPr>
          <w:sz w:val="28"/>
          <w:szCs w:val="28"/>
        </w:rPr>
      </w:pPr>
      <w:r w:rsidRPr="00166EEA">
        <w:rPr>
          <w:sz w:val="28"/>
          <w:szCs w:val="28"/>
        </w:rPr>
        <w:t>AGENDA ITEM 14 — CLOSE OF MEETING</w:t>
      </w:r>
    </w:p>
    <w:p w14:paraId="4AD05385" w14:textId="77777777" w:rsidR="003D217E" w:rsidRDefault="003D217E" w:rsidP="003D217E">
      <w:pPr>
        <w:pStyle w:val="Heading1"/>
        <w:numPr>
          <w:ilvl w:val="0"/>
          <w:numId w:val="0"/>
        </w:numPr>
        <w:adjustRightInd w:val="0"/>
        <w:snapToGrid w:val="0"/>
        <w:spacing w:after="0"/>
        <w:ind w:left="720"/>
        <w:rPr>
          <w:lang w:eastAsia="ko-KR"/>
        </w:rPr>
      </w:pPr>
    </w:p>
    <w:p w14:paraId="3520F094" w14:textId="77777777" w:rsidR="003D217E" w:rsidRPr="004635E5" w:rsidRDefault="003D217E" w:rsidP="003D217E">
      <w:pPr>
        <w:pStyle w:val="Heading1"/>
        <w:numPr>
          <w:ilvl w:val="0"/>
          <w:numId w:val="0"/>
        </w:numPr>
        <w:adjustRightInd w:val="0"/>
        <w:snapToGrid w:val="0"/>
        <w:spacing w:after="0"/>
        <w:ind w:left="720"/>
      </w:pPr>
      <w:r w:rsidRPr="004635E5">
        <w:fldChar w:fldCharType="begin"/>
      </w:r>
      <w:r w:rsidRPr="004635E5">
        <w:instrText xml:space="preserve"> TC "</w:instrText>
      </w:r>
      <w:bookmarkStart w:id="64" w:name="_Toc10607014"/>
      <w:bookmarkStart w:id="65" w:name="_Toc10607275"/>
      <w:bookmarkStart w:id="66" w:name="_Toc10607364"/>
      <w:bookmarkStart w:id="67" w:name="_Toc10607549"/>
      <w:bookmarkStart w:id="68" w:name="_Toc16418013"/>
      <w:r w:rsidRPr="004635E5">
        <w:instrText>AGENDA ITEM 14 — CLOSE OF MEETING</w:instrText>
      </w:r>
      <w:bookmarkEnd w:id="64"/>
      <w:bookmarkEnd w:id="65"/>
      <w:bookmarkEnd w:id="66"/>
      <w:bookmarkEnd w:id="67"/>
      <w:bookmarkEnd w:id="68"/>
      <w:r w:rsidRPr="004635E5">
        <w:instrText xml:space="preserve">" \f C \l "1" </w:instrText>
      </w:r>
      <w:r w:rsidRPr="004635E5">
        <w:fldChar w:fldCharType="end"/>
      </w:r>
    </w:p>
    <w:p w14:paraId="4BBA40BF" w14:textId="77777777" w:rsidR="003D217E" w:rsidRDefault="003D217E" w:rsidP="00580EA4">
      <w:pPr>
        <w:numPr>
          <w:ilvl w:val="0"/>
          <w:numId w:val="18"/>
        </w:numPr>
        <w:autoSpaceDE w:val="0"/>
        <w:autoSpaceDN w:val="0"/>
        <w:adjustRightInd w:val="0"/>
        <w:snapToGrid w:val="0"/>
        <w:ind w:left="0" w:firstLine="0"/>
        <w:jc w:val="both"/>
        <w:rPr>
          <w:b/>
          <w:bCs/>
          <w:sz w:val="22"/>
          <w:szCs w:val="22"/>
          <w:lang w:val="en-AU" w:eastAsia="en-NZ"/>
        </w:rPr>
      </w:pPr>
      <w:r w:rsidRPr="003D217E">
        <w:rPr>
          <w:rFonts w:eastAsia="Batang"/>
          <w:sz w:val="22"/>
          <w:szCs w:val="22"/>
          <w:lang w:eastAsia="ko-KR"/>
        </w:rPr>
        <w:t>The meeting closed at 4:40 on 16 August 2018.</w:t>
      </w:r>
      <w:r>
        <w:rPr>
          <w:b/>
          <w:bCs/>
          <w:sz w:val="22"/>
          <w:szCs w:val="22"/>
          <w:lang w:val="en-AU" w:eastAsia="en-NZ"/>
        </w:rPr>
        <w:t xml:space="preserve"> </w:t>
      </w:r>
      <w:r>
        <w:rPr>
          <w:b/>
          <w:bCs/>
          <w:sz w:val="22"/>
          <w:szCs w:val="22"/>
          <w:lang w:val="en-AU" w:eastAsia="en-NZ"/>
        </w:rPr>
        <w:br w:type="page"/>
      </w:r>
    </w:p>
    <w:p w14:paraId="4352B734" w14:textId="77777777" w:rsidR="00E37274" w:rsidRPr="004635E5" w:rsidRDefault="00E37274" w:rsidP="0063725B">
      <w:pPr>
        <w:rPr>
          <w:b/>
          <w:bCs/>
          <w:sz w:val="22"/>
          <w:szCs w:val="22"/>
          <w:lang w:val="en-AU" w:eastAsia="en-NZ"/>
        </w:rPr>
        <w:sectPr w:rsidR="00E37274" w:rsidRPr="004635E5" w:rsidSect="001740C5">
          <w:footerReference w:type="default" r:id="rId77"/>
          <w:type w:val="continuous"/>
          <w:pgSz w:w="12240" w:h="15840" w:code="1"/>
          <w:pgMar w:top="1440" w:right="1440" w:bottom="1440" w:left="1440" w:header="720" w:footer="432" w:gutter="0"/>
          <w:pgNumType w:fmt="lowerRoman"/>
          <w:cols w:space="720"/>
          <w:titlePg/>
          <w:docGrid w:linePitch="326"/>
        </w:sectPr>
      </w:pPr>
    </w:p>
    <w:p w14:paraId="574B1B3C" w14:textId="77777777" w:rsidR="00E3299F" w:rsidRPr="004635E5" w:rsidRDefault="00E3299F" w:rsidP="0063725B">
      <w:pPr>
        <w:jc w:val="center"/>
        <w:rPr>
          <w:sz w:val="22"/>
          <w:szCs w:val="22"/>
          <w:lang w:val="en-NZ"/>
        </w:rPr>
      </w:pPr>
      <w:r w:rsidRPr="004635E5">
        <w:rPr>
          <w:b/>
          <w:bCs/>
          <w:sz w:val="22"/>
          <w:szCs w:val="22"/>
          <w:lang w:val="en-AU" w:eastAsia="en-NZ"/>
        </w:rPr>
        <w:t xml:space="preserve">The Commission for the Conservation and Management of </w:t>
      </w:r>
      <w:r w:rsidRPr="004635E5">
        <w:rPr>
          <w:b/>
          <w:bCs/>
          <w:sz w:val="22"/>
          <w:szCs w:val="22"/>
          <w:lang w:val="en-AU" w:eastAsia="en-NZ"/>
        </w:rPr>
        <w:br/>
        <w:t>Highly Migratory Fish Stocks in the Western and Central Pacific Ocean</w:t>
      </w:r>
    </w:p>
    <w:p w14:paraId="7760A25D" w14:textId="77777777" w:rsidR="00E3299F" w:rsidRPr="004635E5" w:rsidRDefault="00E3299F" w:rsidP="0063725B">
      <w:pPr>
        <w:autoSpaceDE w:val="0"/>
        <w:autoSpaceDN w:val="0"/>
        <w:adjustRightInd w:val="0"/>
        <w:snapToGrid w:val="0"/>
        <w:jc w:val="center"/>
        <w:rPr>
          <w:b/>
          <w:bCs/>
          <w:sz w:val="22"/>
          <w:szCs w:val="22"/>
          <w:lang w:val="en-AU" w:eastAsia="en-NZ"/>
        </w:rPr>
      </w:pPr>
    </w:p>
    <w:p w14:paraId="5141B442" w14:textId="77777777" w:rsidR="00E3299F" w:rsidRPr="004635E5" w:rsidRDefault="00E3299F" w:rsidP="0063725B">
      <w:pPr>
        <w:autoSpaceDE w:val="0"/>
        <w:autoSpaceDN w:val="0"/>
        <w:adjustRightInd w:val="0"/>
        <w:snapToGrid w:val="0"/>
        <w:jc w:val="center"/>
        <w:rPr>
          <w:b/>
          <w:bCs/>
          <w:sz w:val="22"/>
          <w:szCs w:val="22"/>
          <w:lang w:val="en-AU" w:eastAsia="ko-KR"/>
        </w:rPr>
      </w:pPr>
      <w:r w:rsidRPr="004635E5">
        <w:rPr>
          <w:b/>
          <w:bCs/>
          <w:sz w:val="22"/>
          <w:szCs w:val="22"/>
          <w:lang w:val="en-AU" w:eastAsia="en-NZ"/>
        </w:rPr>
        <w:t xml:space="preserve">Scientific Committee </w:t>
      </w:r>
    </w:p>
    <w:p w14:paraId="60AD2629" w14:textId="77777777" w:rsidR="00E3299F" w:rsidRPr="004635E5" w:rsidRDefault="00E3299F" w:rsidP="0063725B">
      <w:pPr>
        <w:autoSpaceDE w:val="0"/>
        <w:autoSpaceDN w:val="0"/>
        <w:adjustRightInd w:val="0"/>
        <w:snapToGrid w:val="0"/>
        <w:jc w:val="center"/>
        <w:rPr>
          <w:b/>
          <w:bCs/>
          <w:sz w:val="22"/>
          <w:szCs w:val="22"/>
          <w:lang w:val="en-AU" w:eastAsia="ko-KR"/>
        </w:rPr>
      </w:pPr>
      <w:r w:rsidRPr="004635E5">
        <w:rPr>
          <w:b/>
          <w:bCs/>
          <w:sz w:val="22"/>
          <w:szCs w:val="22"/>
          <w:lang w:val="en-AU" w:eastAsia="en-NZ"/>
        </w:rPr>
        <w:t>Fourteenth Regular Session</w:t>
      </w:r>
    </w:p>
    <w:p w14:paraId="6D9DD918" w14:textId="77777777" w:rsidR="00E3299F" w:rsidRPr="004635E5" w:rsidRDefault="00E3299F" w:rsidP="0063725B">
      <w:pPr>
        <w:adjustRightInd w:val="0"/>
        <w:snapToGrid w:val="0"/>
        <w:jc w:val="center"/>
        <w:rPr>
          <w:b/>
          <w:sz w:val="22"/>
          <w:szCs w:val="22"/>
          <w:lang w:val="en-NZ"/>
        </w:rPr>
      </w:pPr>
    </w:p>
    <w:p w14:paraId="5B9E64A1" w14:textId="77777777" w:rsidR="009B4CC3" w:rsidRPr="004635E5" w:rsidRDefault="00210206" w:rsidP="0063725B">
      <w:pPr>
        <w:adjustRightInd w:val="0"/>
        <w:snapToGrid w:val="0"/>
        <w:jc w:val="center"/>
        <w:rPr>
          <w:bCs/>
          <w:sz w:val="22"/>
          <w:szCs w:val="22"/>
        </w:rPr>
      </w:pPr>
      <w:r w:rsidRPr="004635E5">
        <w:rPr>
          <w:rFonts w:eastAsiaTheme="minorEastAsia"/>
          <w:bCs/>
          <w:sz w:val="22"/>
          <w:szCs w:val="22"/>
          <w:lang w:eastAsia="ko-KR"/>
        </w:rPr>
        <w:t>Busan, Republic of Korea</w:t>
      </w:r>
    </w:p>
    <w:p w14:paraId="66875884" w14:textId="77777777" w:rsidR="009B4CC3" w:rsidRPr="004635E5" w:rsidRDefault="00210206" w:rsidP="0063725B">
      <w:pPr>
        <w:adjustRightInd w:val="0"/>
        <w:snapToGrid w:val="0"/>
        <w:jc w:val="center"/>
        <w:rPr>
          <w:rFonts w:eastAsiaTheme="minorEastAsia"/>
          <w:bCs/>
          <w:sz w:val="22"/>
          <w:szCs w:val="22"/>
          <w:lang w:eastAsia="ko-KR"/>
        </w:rPr>
      </w:pPr>
      <w:r w:rsidRPr="004635E5">
        <w:rPr>
          <w:rFonts w:eastAsiaTheme="minorEastAsia"/>
          <w:bCs/>
          <w:sz w:val="22"/>
          <w:szCs w:val="22"/>
          <w:lang w:eastAsia="ko-KR"/>
        </w:rPr>
        <w:t>8</w:t>
      </w:r>
      <w:r w:rsidR="00D666AC" w:rsidRPr="004635E5">
        <w:rPr>
          <w:rFonts w:eastAsiaTheme="minorEastAsia"/>
          <w:bCs/>
          <w:sz w:val="22"/>
          <w:szCs w:val="22"/>
          <w:lang w:eastAsia="ko-KR"/>
        </w:rPr>
        <w:t>–</w:t>
      </w:r>
      <w:r w:rsidRPr="004635E5">
        <w:rPr>
          <w:rFonts w:eastAsiaTheme="minorEastAsia"/>
          <w:bCs/>
          <w:sz w:val="22"/>
          <w:szCs w:val="22"/>
          <w:lang w:eastAsia="ko-KR"/>
        </w:rPr>
        <w:t>16</w:t>
      </w:r>
      <w:r w:rsidR="009B4CC3" w:rsidRPr="004635E5">
        <w:rPr>
          <w:bCs/>
          <w:sz w:val="22"/>
          <w:szCs w:val="22"/>
        </w:rPr>
        <w:t xml:space="preserve"> August 201</w:t>
      </w:r>
      <w:r w:rsidRPr="004635E5">
        <w:rPr>
          <w:rFonts w:eastAsiaTheme="minorEastAsia"/>
          <w:bCs/>
          <w:sz w:val="22"/>
          <w:szCs w:val="22"/>
          <w:lang w:eastAsia="ko-KR"/>
        </w:rPr>
        <w:t>8</w:t>
      </w:r>
    </w:p>
    <w:p w14:paraId="715BAC99" w14:textId="77777777" w:rsidR="00E37274" w:rsidRPr="004635E5" w:rsidRDefault="00E37274" w:rsidP="0063725B">
      <w:pPr>
        <w:adjustRightInd w:val="0"/>
        <w:snapToGrid w:val="0"/>
        <w:jc w:val="center"/>
        <w:rPr>
          <w:rFonts w:eastAsiaTheme="minorEastAsia"/>
          <w:bCs/>
          <w:sz w:val="22"/>
          <w:szCs w:val="22"/>
          <w:lang w:eastAsia="ko-KR"/>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E37274" w:rsidRPr="004635E5" w14:paraId="4BC9FEE4" w14:textId="77777777" w:rsidTr="005E7A19">
        <w:tc>
          <w:tcPr>
            <w:tcW w:w="9576" w:type="dxa"/>
            <w:tcBorders>
              <w:top w:val="single" w:sz="12" w:space="0" w:color="auto"/>
              <w:left w:val="nil"/>
              <w:bottom w:val="single" w:sz="12" w:space="0" w:color="auto"/>
              <w:right w:val="nil"/>
            </w:tcBorders>
            <w:hideMark/>
          </w:tcPr>
          <w:p w14:paraId="64F951F5" w14:textId="77777777" w:rsidR="00E37274" w:rsidRPr="004635E5" w:rsidRDefault="00E37274" w:rsidP="0063725B">
            <w:pPr>
              <w:adjustRightInd w:val="0"/>
              <w:snapToGrid w:val="0"/>
              <w:jc w:val="center"/>
              <w:rPr>
                <w:rFonts w:eastAsiaTheme="minorEastAsia"/>
                <w:b/>
                <w:bCs/>
                <w:sz w:val="22"/>
                <w:szCs w:val="22"/>
                <w:lang w:val="en-AU" w:eastAsia="ko-KR"/>
              </w:rPr>
            </w:pPr>
            <w:r w:rsidRPr="004635E5">
              <w:rPr>
                <w:rFonts w:eastAsiaTheme="minorEastAsia"/>
                <w:b/>
                <w:bCs/>
                <w:sz w:val="22"/>
                <w:szCs w:val="22"/>
                <w:lang w:val="en-AU" w:eastAsia="ko-KR"/>
              </w:rPr>
              <w:t>SUMMARY REPORT</w:t>
            </w:r>
            <w:r w:rsidR="00472973" w:rsidRPr="004635E5">
              <w:rPr>
                <w:rFonts w:eastAsiaTheme="minorEastAsia"/>
                <w:b/>
                <w:bCs/>
                <w:sz w:val="22"/>
                <w:szCs w:val="22"/>
                <w:lang w:val="en-AU" w:eastAsia="ko-KR"/>
              </w:rPr>
              <w:fldChar w:fldCharType="begin"/>
            </w:r>
            <w:r w:rsidRPr="004635E5">
              <w:rPr>
                <w:sz w:val="22"/>
                <w:szCs w:val="22"/>
              </w:rPr>
              <w:instrText xml:space="preserve"> TC "</w:instrText>
            </w:r>
            <w:bookmarkStart w:id="69" w:name="_Toc522810361"/>
            <w:bookmarkStart w:id="70" w:name="_Toc16418014"/>
            <w:r w:rsidRPr="004635E5">
              <w:rPr>
                <w:rFonts w:eastAsiaTheme="minorEastAsia"/>
                <w:b/>
                <w:bCs/>
                <w:sz w:val="22"/>
                <w:szCs w:val="22"/>
                <w:lang w:val="en-AU" w:eastAsia="ko-KR"/>
              </w:rPr>
              <w:instrText>SUMMARY REPORT</w:instrText>
            </w:r>
            <w:bookmarkEnd w:id="69"/>
            <w:bookmarkEnd w:id="70"/>
            <w:r w:rsidRPr="004635E5">
              <w:rPr>
                <w:sz w:val="22"/>
                <w:szCs w:val="22"/>
              </w:rPr>
              <w:instrText xml:space="preserve">" \f C \l "1" </w:instrText>
            </w:r>
            <w:r w:rsidR="00472973" w:rsidRPr="004635E5">
              <w:rPr>
                <w:rFonts w:eastAsiaTheme="minorEastAsia"/>
                <w:b/>
                <w:bCs/>
                <w:sz w:val="22"/>
                <w:szCs w:val="22"/>
                <w:lang w:val="en-AU" w:eastAsia="ko-KR"/>
              </w:rPr>
              <w:fldChar w:fldCharType="end"/>
            </w:r>
          </w:p>
        </w:tc>
      </w:tr>
    </w:tbl>
    <w:p w14:paraId="1F445755" w14:textId="77777777" w:rsidR="00E37274" w:rsidRDefault="00E37274" w:rsidP="00E41116">
      <w:pPr>
        <w:adjustRightInd w:val="0"/>
        <w:snapToGrid w:val="0"/>
        <w:jc w:val="center"/>
        <w:rPr>
          <w:rFonts w:eastAsiaTheme="minorEastAsia"/>
          <w:bCs/>
          <w:sz w:val="22"/>
          <w:szCs w:val="22"/>
          <w:lang w:eastAsia="ko-KR"/>
        </w:rPr>
      </w:pPr>
    </w:p>
    <w:p w14:paraId="1BD71DF0" w14:textId="77777777" w:rsidR="004635E5" w:rsidRPr="004635E5" w:rsidRDefault="004635E5" w:rsidP="00E41116">
      <w:pPr>
        <w:adjustRightInd w:val="0"/>
        <w:snapToGrid w:val="0"/>
        <w:jc w:val="center"/>
        <w:rPr>
          <w:rFonts w:eastAsiaTheme="minorEastAsia"/>
          <w:bCs/>
          <w:sz w:val="22"/>
          <w:szCs w:val="22"/>
          <w:lang w:eastAsia="ko-KR"/>
        </w:rPr>
      </w:pPr>
    </w:p>
    <w:p w14:paraId="26A453A9" w14:textId="77777777" w:rsidR="0063725B" w:rsidRPr="004635E5" w:rsidRDefault="00BA3E50" w:rsidP="006633A8">
      <w:pPr>
        <w:pStyle w:val="Heading1"/>
        <w:numPr>
          <w:ilvl w:val="0"/>
          <w:numId w:val="0"/>
        </w:numPr>
        <w:adjustRightInd w:val="0"/>
        <w:snapToGrid w:val="0"/>
        <w:spacing w:after="0"/>
        <w:ind w:left="360"/>
      </w:pPr>
      <w:r w:rsidRPr="004635E5">
        <w:t xml:space="preserve">AGENDA ITEM 1 </w:t>
      </w:r>
      <w:r w:rsidR="00235F75" w:rsidRPr="004635E5">
        <w:t xml:space="preserve">— </w:t>
      </w:r>
      <w:r w:rsidR="00A83306" w:rsidRPr="004635E5">
        <w:t>OPENING OF THE MEETING</w:t>
      </w:r>
    </w:p>
    <w:p w14:paraId="092A3B36" w14:textId="77777777" w:rsidR="00E41116" w:rsidRDefault="00E41116" w:rsidP="006633A8">
      <w:pPr>
        <w:pStyle w:val="Heading1"/>
        <w:numPr>
          <w:ilvl w:val="0"/>
          <w:numId w:val="0"/>
        </w:numPr>
        <w:adjustRightInd w:val="0"/>
        <w:snapToGrid w:val="0"/>
        <w:spacing w:after="0"/>
        <w:ind w:left="360"/>
        <w:rPr>
          <w:lang w:eastAsia="ko-KR"/>
        </w:rPr>
      </w:pPr>
    </w:p>
    <w:p w14:paraId="342E3EAA" w14:textId="77777777" w:rsidR="00A83306" w:rsidRPr="004635E5" w:rsidRDefault="00472973" w:rsidP="006633A8">
      <w:pPr>
        <w:pStyle w:val="Heading1"/>
        <w:numPr>
          <w:ilvl w:val="0"/>
          <w:numId w:val="0"/>
        </w:numPr>
        <w:adjustRightInd w:val="0"/>
        <w:snapToGrid w:val="0"/>
        <w:spacing w:after="0"/>
        <w:ind w:left="360"/>
      </w:pPr>
      <w:r w:rsidRPr="004635E5">
        <w:fldChar w:fldCharType="begin"/>
      </w:r>
      <w:r w:rsidR="00BA3E50" w:rsidRPr="004635E5">
        <w:instrText xml:space="preserve"> TC "</w:instrText>
      </w:r>
      <w:bookmarkStart w:id="71" w:name="_Toc522810362"/>
      <w:bookmarkStart w:id="72" w:name="_Toc16418015"/>
      <w:r w:rsidR="00BA3E50" w:rsidRPr="004635E5">
        <w:instrText>AGENDA ITEM 1 — OPENING OF THE MEETING</w:instrText>
      </w:r>
      <w:bookmarkEnd w:id="71"/>
      <w:bookmarkEnd w:id="72"/>
      <w:r w:rsidR="00BA3E50" w:rsidRPr="004635E5">
        <w:instrText xml:space="preserve">" \f C \l "1" </w:instrText>
      </w:r>
      <w:r w:rsidRPr="004635E5">
        <w:fldChar w:fldCharType="end"/>
      </w:r>
    </w:p>
    <w:p w14:paraId="6D26D480" w14:textId="77777777" w:rsidR="00483C2D" w:rsidRPr="004635E5" w:rsidRDefault="00483C2D" w:rsidP="00580EA4">
      <w:pPr>
        <w:numPr>
          <w:ilvl w:val="0"/>
          <w:numId w:val="23"/>
        </w:numPr>
        <w:autoSpaceDE w:val="0"/>
        <w:autoSpaceDN w:val="0"/>
        <w:adjustRightInd w:val="0"/>
        <w:snapToGrid w:val="0"/>
        <w:ind w:left="0" w:firstLine="0"/>
        <w:jc w:val="both"/>
        <w:rPr>
          <w:sz w:val="22"/>
          <w:szCs w:val="22"/>
          <w:lang w:val="en-AU" w:eastAsia="en-NZ"/>
        </w:rPr>
      </w:pPr>
      <w:r w:rsidRPr="004635E5">
        <w:rPr>
          <w:sz w:val="22"/>
          <w:szCs w:val="22"/>
          <w:lang w:val="en-AU" w:eastAsia="en-NZ"/>
        </w:rPr>
        <w:t xml:space="preserve">The </w:t>
      </w:r>
      <w:r w:rsidR="00AF5C8D">
        <w:rPr>
          <w:rFonts w:eastAsiaTheme="minorEastAsia" w:hint="eastAsia"/>
          <w:sz w:val="22"/>
          <w:szCs w:val="22"/>
          <w:lang w:val="en-AU" w:eastAsia="ko-KR"/>
        </w:rPr>
        <w:t>F</w:t>
      </w:r>
      <w:r w:rsidR="00D666AC" w:rsidRPr="004635E5">
        <w:rPr>
          <w:sz w:val="22"/>
          <w:szCs w:val="22"/>
          <w:lang w:val="en-AU" w:eastAsia="en-NZ"/>
        </w:rPr>
        <w:t xml:space="preserve">ourteenth </w:t>
      </w:r>
      <w:r w:rsidRPr="004635E5">
        <w:rPr>
          <w:sz w:val="22"/>
          <w:szCs w:val="22"/>
          <w:lang w:val="en-AU" w:eastAsia="en-NZ"/>
        </w:rPr>
        <w:t xml:space="preserve">Regular Session of the Scientific Committee of the Commission for the Conservation and Management of Highly Migratory Fish Stocks in the Western and Central Pacific Ocean took place from </w:t>
      </w:r>
      <w:r w:rsidR="00D666AC" w:rsidRPr="004635E5">
        <w:rPr>
          <w:sz w:val="22"/>
          <w:szCs w:val="22"/>
          <w:lang w:val="en-AU" w:eastAsia="en-NZ"/>
        </w:rPr>
        <w:t>8–16 August 2018</w:t>
      </w:r>
      <w:r w:rsidRPr="004635E5">
        <w:rPr>
          <w:sz w:val="22"/>
          <w:szCs w:val="22"/>
          <w:lang w:val="en-AU" w:eastAsia="en-NZ"/>
        </w:rPr>
        <w:t xml:space="preserve"> at the</w:t>
      </w:r>
      <w:r w:rsidR="00D666AC" w:rsidRPr="004635E5">
        <w:rPr>
          <w:sz w:val="22"/>
          <w:szCs w:val="22"/>
          <w:lang w:val="en-AU" w:eastAsia="en-NZ"/>
        </w:rPr>
        <w:t xml:space="preserve"> </w:t>
      </w:r>
      <w:r w:rsidR="00B72025" w:rsidRPr="004635E5">
        <w:rPr>
          <w:sz w:val="22"/>
          <w:szCs w:val="22"/>
          <w:lang w:val="en-AU" w:eastAsia="en-NZ"/>
        </w:rPr>
        <w:t>Lotte Hotel</w:t>
      </w:r>
      <w:r w:rsidR="006E4F87" w:rsidRPr="004635E5">
        <w:rPr>
          <w:sz w:val="22"/>
          <w:szCs w:val="22"/>
          <w:lang w:val="en-AU" w:eastAsia="en-NZ"/>
        </w:rPr>
        <w:t>,</w:t>
      </w:r>
      <w:r w:rsidR="001F3FF4">
        <w:rPr>
          <w:sz w:val="22"/>
          <w:szCs w:val="22"/>
          <w:lang w:val="en-AU" w:eastAsia="en-NZ"/>
        </w:rPr>
        <w:t xml:space="preserve"> </w:t>
      </w:r>
      <w:r w:rsidR="00D666AC" w:rsidRPr="004635E5">
        <w:rPr>
          <w:bCs/>
          <w:sz w:val="22"/>
          <w:szCs w:val="22"/>
          <w:lang w:eastAsia="en-NZ"/>
        </w:rPr>
        <w:t>Busan, Republic of Korea</w:t>
      </w:r>
      <w:r w:rsidRPr="004635E5">
        <w:rPr>
          <w:sz w:val="22"/>
          <w:szCs w:val="22"/>
          <w:lang w:val="en-AU" w:eastAsia="en-NZ"/>
        </w:rPr>
        <w:t xml:space="preserve">. </w:t>
      </w:r>
    </w:p>
    <w:p w14:paraId="05B31D0D" w14:textId="77777777" w:rsidR="00483C2D" w:rsidRPr="004635E5" w:rsidRDefault="00483C2D" w:rsidP="006633A8">
      <w:pPr>
        <w:autoSpaceDE w:val="0"/>
        <w:autoSpaceDN w:val="0"/>
        <w:adjustRightInd w:val="0"/>
        <w:snapToGrid w:val="0"/>
        <w:jc w:val="both"/>
        <w:rPr>
          <w:sz w:val="22"/>
          <w:szCs w:val="22"/>
          <w:lang w:val="en-AU"/>
        </w:rPr>
      </w:pPr>
    </w:p>
    <w:p w14:paraId="436E3A96" w14:textId="77777777" w:rsidR="00483C2D" w:rsidRPr="004635E5" w:rsidRDefault="00483C2D"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The following WCPFC Members, Cooperating Non-members and Participating </w:t>
      </w:r>
      <w:r w:rsidR="004B102F" w:rsidRPr="004635E5">
        <w:rPr>
          <w:sz w:val="22"/>
          <w:szCs w:val="22"/>
          <w:lang w:val="en-AU"/>
        </w:rPr>
        <w:t>Territories (CCMs) attended SC14</w:t>
      </w:r>
      <w:r w:rsidRPr="004635E5">
        <w:rPr>
          <w:sz w:val="22"/>
          <w:szCs w:val="22"/>
          <w:lang w:val="en-AU"/>
        </w:rPr>
        <w:t>: Australia, China, Cook Islands, European Union (EU), Federated States of Micronesia (</w:t>
      </w:r>
      <w:r w:rsidR="00BA3E50" w:rsidRPr="004635E5">
        <w:rPr>
          <w:sz w:val="22"/>
          <w:szCs w:val="22"/>
          <w:lang w:val="en-AU"/>
        </w:rPr>
        <w:t>FSM</w:t>
      </w:r>
      <w:r w:rsidRPr="004635E5">
        <w:rPr>
          <w:sz w:val="22"/>
          <w:szCs w:val="22"/>
          <w:lang w:val="en-AU"/>
        </w:rPr>
        <w:t xml:space="preserve">), Fiji, French Polynesia, Indonesia, Japan, Kiribati, Republic of Korea, </w:t>
      </w:r>
      <w:r w:rsidRPr="004635E5">
        <w:rPr>
          <w:sz w:val="22"/>
          <w:szCs w:val="22"/>
          <w:lang w:val="en-AU" w:eastAsia="ko-KR"/>
        </w:rPr>
        <w:t xml:space="preserve">Republic of </w:t>
      </w:r>
      <w:r w:rsidRPr="004635E5">
        <w:rPr>
          <w:sz w:val="22"/>
          <w:szCs w:val="22"/>
          <w:lang w:val="en-AU"/>
        </w:rPr>
        <w:t>Marshall Islands</w:t>
      </w:r>
      <w:r w:rsidRPr="004635E5">
        <w:rPr>
          <w:sz w:val="22"/>
          <w:szCs w:val="22"/>
          <w:lang w:val="en-AU" w:eastAsia="ko-KR"/>
        </w:rPr>
        <w:t xml:space="preserve"> (RMI)</w:t>
      </w:r>
      <w:r w:rsidRPr="004635E5">
        <w:rPr>
          <w:sz w:val="22"/>
          <w:szCs w:val="22"/>
          <w:lang w:val="en-AU"/>
        </w:rPr>
        <w:t>, Nauru, New Caledonia, New Zealand, Palau, Philippines, Papua New Guinea</w:t>
      </w:r>
      <w:r w:rsidRPr="004635E5">
        <w:rPr>
          <w:sz w:val="22"/>
          <w:szCs w:val="22"/>
          <w:lang w:val="en-AU" w:eastAsia="ko-KR"/>
        </w:rPr>
        <w:t xml:space="preserve"> (PNG)</w:t>
      </w:r>
      <w:r w:rsidRPr="004635E5">
        <w:rPr>
          <w:sz w:val="22"/>
          <w:szCs w:val="22"/>
          <w:lang w:val="en-AU"/>
        </w:rPr>
        <w:t>, Samoa, Solomon Islands, Chinese Taipei, Tokelau, Tonga, Tuvalu, United States of America (USA), Vanuatu and Vietnam.</w:t>
      </w:r>
    </w:p>
    <w:p w14:paraId="76CA758A" w14:textId="77777777" w:rsidR="00483C2D" w:rsidRPr="004635E5" w:rsidRDefault="00483C2D" w:rsidP="006633A8">
      <w:pPr>
        <w:adjustRightInd w:val="0"/>
        <w:snapToGrid w:val="0"/>
        <w:ind w:left="720" w:hanging="720"/>
        <w:jc w:val="both"/>
        <w:rPr>
          <w:sz w:val="22"/>
          <w:szCs w:val="22"/>
          <w:lang w:val="en-AU"/>
        </w:rPr>
      </w:pPr>
    </w:p>
    <w:p w14:paraId="500C224C" w14:textId="77777777" w:rsidR="00483C2D" w:rsidRPr="004635E5" w:rsidRDefault="00483C2D"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Observers from the following inter-governmental organizations attended SC1</w:t>
      </w:r>
      <w:r w:rsidR="004B102F" w:rsidRPr="004635E5">
        <w:rPr>
          <w:sz w:val="22"/>
          <w:szCs w:val="22"/>
          <w:lang w:val="en-AU"/>
        </w:rPr>
        <w:t>4</w:t>
      </w:r>
      <w:r w:rsidRPr="004635E5">
        <w:rPr>
          <w:sz w:val="22"/>
          <w:szCs w:val="22"/>
          <w:lang w:val="en-AU"/>
        </w:rPr>
        <w:t>: Pacific Islands Forum Fisheries Agency (FFA), Inter-American Tropical Tuna Commission (IATTC), Parties to the Nauru Agreement (PNA), the Pacific Community (SPC) and the Food and Agriculture Organization of the United Nations (FAO).</w:t>
      </w:r>
    </w:p>
    <w:p w14:paraId="7C8C9E7D" w14:textId="77777777" w:rsidR="00483C2D" w:rsidRPr="004635E5" w:rsidRDefault="00483C2D" w:rsidP="006633A8">
      <w:pPr>
        <w:adjustRightInd w:val="0"/>
        <w:snapToGrid w:val="0"/>
        <w:ind w:left="720" w:hanging="720"/>
        <w:jc w:val="both"/>
        <w:rPr>
          <w:sz w:val="22"/>
          <w:szCs w:val="22"/>
          <w:lang w:val="en-AU"/>
        </w:rPr>
      </w:pPr>
    </w:p>
    <w:p w14:paraId="39A91C4B" w14:textId="77777777" w:rsidR="00483C2D" w:rsidRPr="004635E5" w:rsidRDefault="00483C2D"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Observers from the following non-governmental organizations attended </w:t>
      </w:r>
      <w:r w:rsidR="008C161A" w:rsidRPr="004635E5">
        <w:rPr>
          <w:sz w:val="22"/>
          <w:szCs w:val="22"/>
          <w:lang w:val="en-AU"/>
        </w:rPr>
        <w:t>SC14</w:t>
      </w:r>
      <w:r w:rsidRPr="004635E5">
        <w:rPr>
          <w:sz w:val="22"/>
          <w:szCs w:val="22"/>
          <w:lang w:val="en-AU"/>
        </w:rPr>
        <w:t xml:space="preserve">: Birdlife International, </w:t>
      </w:r>
      <w:r w:rsidR="00C436A2" w:rsidRPr="004635E5">
        <w:rPr>
          <w:sz w:val="22"/>
          <w:szCs w:val="22"/>
          <w:lang w:val="en-AU"/>
        </w:rPr>
        <w:t xml:space="preserve">Environmental Defense Fund, </w:t>
      </w:r>
      <w:r w:rsidRPr="004635E5">
        <w:rPr>
          <w:sz w:val="22"/>
          <w:szCs w:val="22"/>
          <w:lang w:val="en-AU"/>
        </w:rPr>
        <w:t>International Seafood Sustainability Foundation</w:t>
      </w:r>
      <w:r w:rsidR="00CD6C20" w:rsidRPr="004635E5">
        <w:rPr>
          <w:sz w:val="22"/>
          <w:szCs w:val="22"/>
          <w:lang w:val="en-AU"/>
        </w:rPr>
        <w:t xml:space="preserve"> (ISSF)</w:t>
      </w:r>
      <w:r w:rsidRPr="004635E5">
        <w:rPr>
          <w:sz w:val="22"/>
          <w:szCs w:val="22"/>
          <w:lang w:val="en-AU"/>
        </w:rPr>
        <w:t xml:space="preserve">, Marine Stewardship Council, The Nature Conservancy, </w:t>
      </w:r>
      <w:r w:rsidR="00C436A2" w:rsidRPr="004635E5">
        <w:rPr>
          <w:sz w:val="22"/>
          <w:szCs w:val="22"/>
          <w:lang w:val="en-AU"/>
        </w:rPr>
        <w:t xml:space="preserve">Pacific Islands Tuna Industry Association, </w:t>
      </w:r>
      <w:r w:rsidRPr="004635E5">
        <w:rPr>
          <w:sz w:val="22"/>
          <w:szCs w:val="22"/>
          <w:lang w:val="en-AU"/>
        </w:rPr>
        <w:t xml:space="preserve">The Pew Charitable Trusts (Pew), and </w:t>
      </w:r>
      <w:r w:rsidR="00BA3E50" w:rsidRPr="004635E5">
        <w:rPr>
          <w:sz w:val="22"/>
          <w:szCs w:val="22"/>
          <w:lang w:val="en-AU"/>
        </w:rPr>
        <w:t xml:space="preserve">the </w:t>
      </w:r>
      <w:r w:rsidRPr="004635E5">
        <w:rPr>
          <w:sz w:val="22"/>
          <w:szCs w:val="22"/>
          <w:lang w:val="en-AU"/>
        </w:rPr>
        <w:t>Worldwide Fund for Nature (WWF).</w:t>
      </w:r>
    </w:p>
    <w:p w14:paraId="27AF3EE4" w14:textId="77777777" w:rsidR="006E4F87" w:rsidRPr="004635E5" w:rsidRDefault="006E4F87" w:rsidP="006633A8">
      <w:pPr>
        <w:autoSpaceDE w:val="0"/>
        <w:autoSpaceDN w:val="0"/>
        <w:adjustRightInd w:val="0"/>
        <w:snapToGrid w:val="0"/>
        <w:jc w:val="both"/>
        <w:rPr>
          <w:sz w:val="22"/>
          <w:szCs w:val="22"/>
          <w:lang w:val="en-AU"/>
        </w:rPr>
      </w:pPr>
    </w:p>
    <w:p w14:paraId="090C7BE9" w14:textId="77777777" w:rsidR="0005316E" w:rsidRPr="00146B98" w:rsidRDefault="0005316E" w:rsidP="00580EA4">
      <w:pPr>
        <w:numPr>
          <w:ilvl w:val="0"/>
          <w:numId w:val="18"/>
        </w:numPr>
        <w:autoSpaceDE w:val="0"/>
        <w:autoSpaceDN w:val="0"/>
        <w:adjustRightInd w:val="0"/>
        <w:snapToGrid w:val="0"/>
        <w:ind w:left="0" w:firstLine="0"/>
        <w:jc w:val="both"/>
        <w:rPr>
          <w:bCs/>
          <w:sz w:val="22"/>
          <w:szCs w:val="22"/>
          <w:lang w:val="en-AU"/>
        </w:rPr>
      </w:pPr>
      <w:r w:rsidRPr="004635E5">
        <w:rPr>
          <w:sz w:val="22"/>
          <w:szCs w:val="22"/>
          <w:lang w:val="en-AU"/>
        </w:rPr>
        <w:t xml:space="preserve">The full list of participants can be found at </w:t>
      </w:r>
      <w:r w:rsidRPr="00146B98">
        <w:rPr>
          <w:bCs/>
          <w:sz w:val="22"/>
          <w:szCs w:val="22"/>
          <w:lang w:val="en-AU"/>
        </w:rPr>
        <w:t>Attachment A.</w:t>
      </w:r>
    </w:p>
    <w:p w14:paraId="3EFA4D45" w14:textId="77777777" w:rsidR="00DD72A8" w:rsidRPr="00146B98" w:rsidRDefault="00DD72A8" w:rsidP="006633A8">
      <w:pPr>
        <w:autoSpaceDE w:val="0"/>
        <w:autoSpaceDN w:val="0"/>
        <w:adjustRightInd w:val="0"/>
        <w:snapToGrid w:val="0"/>
        <w:jc w:val="both"/>
        <w:rPr>
          <w:bCs/>
          <w:sz w:val="22"/>
          <w:szCs w:val="22"/>
          <w:lang w:val="en-AU"/>
        </w:rPr>
      </w:pPr>
    </w:p>
    <w:p w14:paraId="23732FAD" w14:textId="77777777" w:rsidR="00A83306" w:rsidRPr="004635E5" w:rsidRDefault="00A83306" w:rsidP="00580EA4">
      <w:pPr>
        <w:pStyle w:val="SC2"/>
        <w:numPr>
          <w:ilvl w:val="1"/>
          <w:numId w:val="161"/>
        </w:numPr>
        <w:spacing w:after="0"/>
        <w:ind w:left="0" w:firstLine="0"/>
      </w:pPr>
      <w:r w:rsidRPr="004635E5">
        <w:t>Welcome address</w:t>
      </w:r>
    </w:p>
    <w:p w14:paraId="14F8D0FF" w14:textId="77777777" w:rsidR="0063725B" w:rsidRPr="004635E5" w:rsidRDefault="0063725B" w:rsidP="006633A8">
      <w:pPr>
        <w:pStyle w:val="SC2"/>
        <w:numPr>
          <w:ilvl w:val="0"/>
          <w:numId w:val="0"/>
        </w:numPr>
        <w:spacing w:after="0"/>
        <w:ind w:left="720"/>
      </w:pPr>
    </w:p>
    <w:p w14:paraId="2876959D" w14:textId="77777777" w:rsidR="00AA32EF" w:rsidRPr="004635E5" w:rsidRDefault="007F6B71" w:rsidP="00580EA4">
      <w:pPr>
        <w:numPr>
          <w:ilvl w:val="0"/>
          <w:numId w:val="18"/>
        </w:numPr>
        <w:autoSpaceDE w:val="0"/>
        <w:autoSpaceDN w:val="0"/>
        <w:adjustRightInd w:val="0"/>
        <w:snapToGrid w:val="0"/>
        <w:ind w:left="0" w:firstLine="0"/>
        <w:jc w:val="both"/>
        <w:rPr>
          <w:sz w:val="22"/>
          <w:szCs w:val="22"/>
        </w:rPr>
      </w:pPr>
      <w:r w:rsidRPr="004635E5">
        <w:rPr>
          <w:sz w:val="22"/>
          <w:szCs w:val="22"/>
          <w:lang w:val="en-AU"/>
        </w:rPr>
        <w:t xml:space="preserve">Yang </w:t>
      </w:r>
      <w:r w:rsidR="00B72025" w:rsidRPr="004635E5">
        <w:rPr>
          <w:sz w:val="22"/>
          <w:szCs w:val="22"/>
          <w:lang w:val="en-AU"/>
        </w:rPr>
        <w:t>Dong-yeob</w:t>
      </w:r>
      <w:r w:rsidR="008F006F" w:rsidRPr="004635E5">
        <w:rPr>
          <w:sz w:val="22"/>
          <w:szCs w:val="22"/>
          <w:lang w:val="en-AU"/>
        </w:rPr>
        <w:t xml:space="preserve">, Korea’s </w:t>
      </w:r>
      <w:r w:rsidR="00B72025" w:rsidRPr="004635E5">
        <w:rPr>
          <w:sz w:val="22"/>
          <w:szCs w:val="22"/>
          <w:lang w:val="en-AU"/>
        </w:rPr>
        <w:t>Director General for Distant Water Fisheries and International Policy Bureau</w:t>
      </w:r>
      <w:r w:rsidR="008F006F" w:rsidRPr="004635E5">
        <w:rPr>
          <w:sz w:val="22"/>
          <w:szCs w:val="22"/>
        </w:rPr>
        <w:t xml:space="preserve"> </w:t>
      </w:r>
      <w:r w:rsidR="00B72025" w:rsidRPr="004635E5">
        <w:rPr>
          <w:sz w:val="22"/>
          <w:szCs w:val="22"/>
        </w:rPr>
        <w:t>warm</w:t>
      </w:r>
      <w:r w:rsidR="008F006F" w:rsidRPr="004635E5">
        <w:rPr>
          <w:sz w:val="22"/>
          <w:szCs w:val="22"/>
        </w:rPr>
        <w:t>ly</w:t>
      </w:r>
      <w:r w:rsidR="00B72025" w:rsidRPr="004635E5">
        <w:rPr>
          <w:sz w:val="22"/>
          <w:szCs w:val="22"/>
        </w:rPr>
        <w:t xml:space="preserve"> welcome</w:t>
      </w:r>
      <w:r w:rsidR="008F006F" w:rsidRPr="004635E5">
        <w:rPr>
          <w:sz w:val="22"/>
          <w:szCs w:val="22"/>
        </w:rPr>
        <w:t>d</w:t>
      </w:r>
      <w:r w:rsidR="00B72025" w:rsidRPr="004635E5">
        <w:rPr>
          <w:sz w:val="22"/>
          <w:szCs w:val="22"/>
        </w:rPr>
        <w:t xml:space="preserve"> </w:t>
      </w:r>
      <w:r w:rsidR="008F006F" w:rsidRPr="004635E5">
        <w:rPr>
          <w:sz w:val="22"/>
          <w:szCs w:val="22"/>
        </w:rPr>
        <w:t xml:space="preserve">participants </w:t>
      </w:r>
      <w:r w:rsidR="00B72025" w:rsidRPr="004635E5">
        <w:rPr>
          <w:sz w:val="22"/>
          <w:szCs w:val="22"/>
        </w:rPr>
        <w:t>to the 14</w:t>
      </w:r>
      <w:r w:rsidR="00B72025" w:rsidRPr="004635E5">
        <w:rPr>
          <w:sz w:val="22"/>
          <w:szCs w:val="22"/>
          <w:vertAlign w:val="superscript"/>
        </w:rPr>
        <w:t>th</w:t>
      </w:r>
      <w:r w:rsidR="00B72025" w:rsidRPr="004635E5">
        <w:rPr>
          <w:sz w:val="22"/>
          <w:szCs w:val="22"/>
        </w:rPr>
        <w:t xml:space="preserve"> session of the Scientific Committee </w:t>
      </w:r>
      <w:r w:rsidR="00BA3E50" w:rsidRPr="004635E5">
        <w:rPr>
          <w:sz w:val="22"/>
          <w:szCs w:val="22"/>
        </w:rPr>
        <w:t xml:space="preserve">(SC) </w:t>
      </w:r>
      <w:r w:rsidR="00B72025" w:rsidRPr="004635E5">
        <w:rPr>
          <w:sz w:val="22"/>
          <w:szCs w:val="22"/>
        </w:rPr>
        <w:t xml:space="preserve">of the </w:t>
      </w:r>
      <w:r w:rsidR="00C73B87" w:rsidRPr="004635E5">
        <w:rPr>
          <w:sz w:val="22"/>
          <w:szCs w:val="22"/>
          <w:lang w:val="en-AU"/>
        </w:rPr>
        <w:t>Western and Central Pacific Fisheries Commission (</w:t>
      </w:r>
      <w:r w:rsidR="00B72025" w:rsidRPr="004635E5">
        <w:rPr>
          <w:sz w:val="22"/>
          <w:szCs w:val="22"/>
        </w:rPr>
        <w:t>WCPFC</w:t>
      </w:r>
      <w:r w:rsidR="00C73B87" w:rsidRPr="004635E5">
        <w:rPr>
          <w:sz w:val="22"/>
          <w:szCs w:val="22"/>
        </w:rPr>
        <w:t>)</w:t>
      </w:r>
      <w:r w:rsidR="00B72025" w:rsidRPr="004635E5">
        <w:rPr>
          <w:sz w:val="22"/>
          <w:szCs w:val="22"/>
        </w:rPr>
        <w:t xml:space="preserve"> in Busan.</w:t>
      </w:r>
      <w:r w:rsidR="008F006F" w:rsidRPr="004635E5">
        <w:rPr>
          <w:sz w:val="22"/>
          <w:szCs w:val="22"/>
        </w:rPr>
        <w:t xml:space="preserve"> He </w:t>
      </w:r>
      <w:r w:rsidR="00B72025" w:rsidRPr="004635E5">
        <w:rPr>
          <w:sz w:val="22"/>
          <w:szCs w:val="22"/>
        </w:rPr>
        <w:t>thank</w:t>
      </w:r>
      <w:r w:rsidR="008F006F" w:rsidRPr="004635E5">
        <w:rPr>
          <w:sz w:val="22"/>
          <w:szCs w:val="22"/>
        </w:rPr>
        <w:t>ed</w:t>
      </w:r>
      <w:r w:rsidR="00B72025" w:rsidRPr="004635E5">
        <w:rPr>
          <w:sz w:val="22"/>
          <w:szCs w:val="22"/>
        </w:rPr>
        <w:t xml:space="preserve"> the conveners, science providers and Secretariat for </w:t>
      </w:r>
      <w:r w:rsidR="008F006F" w:rsidRPr="004635E5">
        <w:rPr>
          <w:sz w:val="22"/>
          <w:szCs w:val="22"/>
        </w:rPr>
        <w:t xml:space="preserve">their </w:t>
      </w:r>
      <w:r w:rsidR="00B72025" w:rsidRPr="004635E5">
        <w:rPr>
          <w:sz w:val="22"/>
          <w:szCs w:val="22"/>
        </w:rPr>
        <w:t xml:space="preserve">efforts </w:t>
      </w:r>
      <w:r w:rsidR="008F006F" w:rsidRPr="004635E5">
        <w:rPr>
          <w:sz w:val="22"/>
          <w:szCs w:val="22"/>
        </w:rPr>
        <w:t xml:space="preserve">in preparing for the </w:t>
      </w:r>
      <w:r w:rsidR="00B72025" w:rsidRPr="004635E5">
        <w:rPr>
          <w:sz w:val="22"/>
          <w:szCs w:val="22"/>
        </w:rPr>
        <w:t>meeting</w:t>
      </w:r>
      <w:r w:rsidR="00A16680" w:rsidRPr="004635E5">
        <w:rPr>
          <w:sz w:val="22"/>
          <w:szCs w:val="22"/>
        </w:rPr>
        <w:t xml:space="preserve">. </w:t>
      </w:r>
      <w:r w:rsidR="00CE3645" w:rsidRPr="004635E5">
        <w:rPr>
          <w:sz w:val="22"/>
          <w:szCs w:val="22"/>
        </w:rPr>
        <w:t xml:space="preserve">He recalled his participation </w:t>
      </w:r>
      <w:r w:rsidR="00B72025" w:rsidRPr="004635E5">
        <w:rPr>
          <w:sz w:val="22"/>
          <w:szCs w:val="22"/>
        </w:rPr>
        <w:t xml:space="preserve">in the Multilateral High-Level Conference that </w:t>
      </w:r>
      <w:r w:rsidR="00FE336C" w:rsidRPr="004635E5">
        <w:rPr>
          <w:sz w:val="22"/>
          <w:szCs w:val="22"/>
        </w:rPr>
        <w:t>prec</w:t>
      </w:r>
      <w:r w:rsidR="00CE3645" w:rsidRPr="004635E5">
        <w:rPr>
          <w:sz w:val="22"/>
          <w:szCs w:val="22"/>
        </w:rPr>
        <w:t xml:space="preserve">eded </w:t>
      </w:r>
      <w:r w:rsidR="00FE336C" w:rsidRPr="004635E5">
        <w:rPr>
          <w:sz w:val="22"/>
          <w:szCs w:val="22"/>
        </w:rPr>
        <w:t xml:space="preserve">formation of </w:t>
      </w:r>
      <w:r w:rsidR="00B72025" w:rsidRPr="004635E5">
        <w:rPr>
          <w:sz w:val="22"/>
          <w:szCs w:val="22"/>
        </w:rPr>
        <w:t>the Commission</w:t>
      </w:r>
      <w:r w:rsidR="00CE3645" w:rsidRPr="004635E5">
        <w:rPr>
          <w:sz w:val="22"/>
          <w:szCs w:val="22"/>
        </w:rPr>
        <w:t xml:space="preserve">, when he and </w:t>
      </w:r>
      <w:r w:rsidR="00B72025" w:rsidRPr="004635E5">
        <w:rPr>
          <w:sz w:val="22"/>
          <w:szCs w:val="22"/>
        </w:rPr>
        <w:t>Dr. Soh</w:t>
      </w:r>
      <w:r w:rsidR="00CE3645" w:rsidRPr="004635E5">
        <w:rPr>
          <w:sz w:val="22"/>
          <w:szCs w:val="22"/>
        </w:rPr>
        <w:t xml:space="preserve"> (</w:t>
      </w:r>
      <w:r w:rsidR="00B72025" w:rsidRPr="004635E5">
        <w:rPr>
          <w:sz w:val="22"/>
          <w:szCs w:val="22"/>
        </w:rPr>
        <w:t xml:space="preserve">the </w:t>
      </w:r>
      <w:r w:rsidR="00CE3645" w:rsidRPr="004635E5">
        <w:rPr>
          <w:sz w:val="22"/>
          <w:szCs w:val="22"/>
        </w:rPr>
        <w:t xml:space="preserve">Commission’s </w:t>
      </w:r>
      <w:r w:rsidR="00B72025" w:rsidRPr="004635E5">
        <w:rPr>
          <w:sz w:val="22"/>
          <w:szCs w:val="22"/>
        </w:rPr>
        <w:t>Science Manager</w:t>
      </w:r>
      <w:r w:rsidR="00CE3645" w:rsidRPr="004635E5">
        <w:rPr>
          <w:sz w:val="22"/>
          <w:szCs w:val="22"/>
        </w:rPr>
        <w:t>)</w:t>
      </w:r>
      <w:r w:rsidR="00B72025" w:rsidRPr="004635E5">
        <w:rPr>
          <w:sz w:val="22"/>
          <w:szCs w:val="22"/>
        </w:rPr>
        <w:t xml:space="preserve"> led the Korean delegation and joined the </w:t>
      </w:r>
      <w:r w:rsidR="00CE3645" w:rsidRPr="004635E5">
        <w:rPr>
          <w:sz w:val="22"/>
          <w:szCs w:val="22"/>
        </w:rPr>
        <w:t>m</w:t>
      </w:r>
      <w:r w:rsidR="00B72025" w:rsidRPr="004635E5">
        <w:rPr>
          <w:sz w:val="22"/>
          <w:szCs w:val="22"/>
        </w:rPr>
        <w:t>embers</w:t>
      </w:r>
      <w:r w:rsidR="00CE3645" w:rsidRPr="004635E5">
        <w:rPr>
          <w:sz w:val="22"/>
          <w:szCs w:val="22"/>
        </w:rPr>
        <w:t>-to-be</w:t>
      </w:r>
      <w:r w:rsidR="00B72025" w:rsidRPr="004635E5">
        <w:rPr>
          <w:sz w:val="22"/>
          <w:szCs w:val="22"/>
        </w:rPr>
        <w:t xml:space="preserve"> in laying the foundation.</w:t>
      </w:r>
      <w:r w:rsidR="006A2168" w:rsidRPr="004635E5">
        <w:rPr>
          <w:sz w:val="22"/>
          <w:szCs w:val="22"/>
        </w:rPr>
        <w:t xml:space="preserve"> </w:t>
      </w:r>
      <w:r w:rsidR="00CE3645" w:rsidRPr="004635E5">
        <w:rPr>
          <w:sz w:val="22"/>
          <w:szCs w:val="22"/>
        </w:rPr>
        <w:t xml:space="preserve">He noted that </w:t>
      </w:r>
      <w:r w:rsidR="00DA3FFF" w:rsidRPr="004635E5">
        <w:rPr>
          <w:sz w:val="22"/>
          <w:szCs w:val="22"/>
        </w:rPr>
        <w:t xml:space="preserve">the </w:t>
      </w:r>
      <w:r w:rsidR="00B72025" w:rsidRPr="004635E5">
        <w:rPr>
          <w:sz w:val="22"/>
          <w:szCs w:val="22"/>
        </w:rPr>
        <w:t>WCPFC has established itself as one of the most important tuna RFMOs in the world</w:t>
      </w:r>
      <w:r w:rsidR="00BA3E50" w:rsidRPr="004635E5">
        <w:rPr>
          <w:sz w:val="22"/>
          <w:szCs w:val="22"/>
        </w:rPr>
        <w:t xml:space="preserve">, and </w:t>
      </w:r>
      <w:r w:rsidR="00CE3645" w:rsidRPr="004635E5">
        <w:rPr>
          <w:sz w:val="22"/>
          <w:szCs w:val="22"/>
        </w:rPr>
        <w:t xml:space="preserve">his conviction </w:t>
      </w:r>
      <w:r w:rsidR="00B72025" w:rsidRPr="004635E5">
        <w:rPr>
          <w:sz w:val="22"/>
          <w:szCs w:val="22"/>
        </w:rPr>
        <w:t xml:space="preserve">that </w:t>
      </w:r>
      <w:r w:rsidR="00CE3645" w:rsidRPr="004635E5">
        <w:rPr>
          <w:sz w:val="22"/>
          <w:szCs w:val="22"/>
        </w:rPr>
        <w:t xml:space="preserve">the </w:t>
      </w:r>
      <w:r w:rsidR="00B72025" w:rsidRPr="004635E5">
        <w:rPr>
          <w:sz w:val="22"/>
          <w:szCs w:val="22"/>
        </w:rPr>
        <w:t xml:space="preserve">growth of the Commission </w:t>
      </w:r>
      <w:r w:rsidR="00CE3645" w:rsidRPr="004635E5">
        <w:rPr>
          <w:sz w:val="22"/>
          <w:szCs w:val="22"/>
        </w:rPr>
        <w:t xml:space="preserve">was made possible by </w:t>
      </w:r>
      <w:r w:rsidR="00B72025" w:rsidRPr="004635E5">
        <w:rPr>
          <w:sz w:val="22"/>
          <w:szCs w:val="22"/>
        </w:rPr>
        <w:t xml:space="preserve">the robust support and best available scientific advice </w:t>
      </w:r>
      <w:r w:rsidR="00CE3645" w:rsidRPr="004635E5">
        <w:rPr>
          <w:sz w:val="22"/>
          <w:szCs w:val="22"/>
        </w:rPr>
        <w:t xml:space="preserve">provided by </w:t>
      </w:r>
      <w:r w:rsidR="00B72025" w:rsidRPr="004635E5">
        <w:rPr>
          <w:sz w:val="22"/>
          <w:szCs w:val="22"/>
        </w:rPr>
        <w:t xml:space="preserve">the </w:t>
      </w:r>
      <w:r w:rsidR="00BA3E50" w:rsidRPr="004635E5">
        <w:rPr>
          <w:sz w:val="22"/>
          <w:szCs w:val="22"/>
        </w:rPr>
        <w:t>SC</w:t>
      </w:r>
      <w:r w:rsidR="00CE3645" w:rsidRPr="004635E5">
        <w:rPr>
          <w:sz w:val="22"/>
          <w:szCs w:val="22"/>
        </w:rPr>
        <w:t>, which</w:t>
      </w:r>
      <w:r w:rsidR="00B72025" w:rsidRPr="004635E5">
        <w:rPr>
          <w:sz w:val="22"/>
          <w:szCs w:val="22"/>
        </w:rPr>
        <w:t xml:space="preserve"> enabled the Commission to translate the precautionary approach and ecosystem management into actions.</w:t>
      </w:r>
      <w:r w:rsidR="003E67AB" w:rsidRPr="004635E5">
        <w:rPr>
          <w:sz w:val="22"/>
          <w:szCs w:val="22"/>
        </w:rPr>
        <w:t xml:space="preserve"> He noted the </w:t>
      </w:r>
      <w:r w:rsidR="00BA3E50" w:rsidRPr="004635E5">
        <w:rPr>
          <w:sz w:val="22"/>
          <w:szCs w:val="22"/>
        </w:rPr>
        <w:t>SC</w:t>
      </w:r>
      <w:r w:rsidR="003E67AB" w:rsidRPr="004635E5">
        <w:rPr>
          <w:sz w:val="22"/>
          <w:szCs w:val="22"/>
        </w:rPr>
        <w:t>’s</w:t>
      </w:r>
      <w:r w:rsidR="00B72025" w:rsidRPr="004635E5">
        <w:rPr>
          <w:sz w:val="22"/>
          <w:szCs w:val="22"/>
        </w:rPr>
        <w:t xml:space="preserve"> </w:t>
      </w:r>
      <w:r w:rsidR="003E67AB" w:rsidRPr="004635E5">
        <w:rPr>
          <w:sz w:val="22"/>
          <w:szCs w:val="22"/>
        </w:rPr>
        <w:t>contribution</w:t>
      </w:r>
      <w:r w:rsidR="00B72025" w:rsidRPr="004635E5">
        <w:rPr>
          <w:sz w:val="22"/>
          <w:szCs w:val="22"/>
        </w:rPr>
        <w:t xml:space="preserve"> to the recovery process for bigeye tuna that </w:t>
      </w:r>
      <w:r w:rsidR="003E67AB" w:rsidRPr="004635E5">
        <w:rPr>
          <w:sz w:val="22"/>
          <w:szCs w:val="22"/>
        </w:rPr>
        <w:t xml:space="preserve">began </w:t>
      </w:r>
      <w:r w:rsidR="00B72025" w:rsidRPr="004635E5">
        <w:rPr>
          <w:sz w:val="22"/>
          <w:szCs w:val="22"/>
        </w:rPr>
        <w:t>in 2008</w:t>
      </w:r>
      <w:r w:rsidR="003E67AB" w:rsidRPr="004635E5">
        <w:rPr>
          <w:sz w:val="22"/>
          <w:szCs w:val="22"/>
        </w:rPr>
        <w:t xml:space="preserve">. He also mentioned that </w:t>
      </w:r>
      <w:r w:rsidR="003A50F2" w:rsidRPr="004635E5">
        <w:rPr>
          <w:sz w:val="22"/>
          <w:szCs w:val="22"/>
        </w:rPr>
        <w:t xml:space="preserve">the </w:t>
      </w:r>
      <w:r w:rsidR="00B72025" w:rsidRPr="004635E5">
        <w:rPr>
          <w:sz w:val="22"/>
          <w:szCs w:val="22"/>
        </w:rPr>
        <w:t xml:space="preserve">SC plays important roles in </w:t>
      </w:r>
      <w:r w:rsidR="003E67AB" w:rsidRPr="004635E5">
        <w:rPr>
          <w:sz w:val="22"/>
          <w:szCs w:val="22"/>
        </w:rPr>
        <w:t xml:space="preserve">developing </w:t>
      </w:r>
      <w:r w:rsidR="00B72025" w:rsidRPr="004635E5">
        <w:rPr>
          <w:sz w:val="22"/>
          <w:szCs w:val="22"/>
        </w:rPr>
        <w:t>Harvest Control Rules</w:t>
      </w:r>
      <w:r w:rsidR="00BA3E50" w:rsidRPr="004635E5">
        <w:rPr>
          <w:sz w:val="22"/>
          <w:szCs w:val="22"/>
        </w:rPr>
        <w:t xml:space="preserve"> (HCRs)</w:t>
      </w:r>
      <w:r w:rsidR="00B72025" w:rsidRPr="004635E5">
        <w:rPr>
          <w:sz w:val="22"/>
          <w:szCs w:val="22"/>
        </w:rPr>
        <w:t xml:space="preserve">, </w:t>
      </w:r>
      <w:r w:rsidR="003E67AB" w:rsidRPr="004635E5">
        <w:rPr>
          <w:sz w:val="22"/>
          <w:szCs w:val="22"/>
        </w:rPr>
        <w:t xml:space="preserve">and </w:t>
      </w:r>
      <w:r w:rsidR="00B72025" w:rsidRPr="004635E5">
        <w:rPr>
          <w:sz w:val="22"/>
          <w:szCs w:val="22"/>
        </w:rPr>
        <w:t xml:space="preserve">providing advice on the limit reference points </w:t>
      </w:r>
      <w:r w:rsidR="00BA3E50" w:rsidRPr="004635E5">
        <w:rPr>
          <w:sz w:val="22"/>
          <w:szCs w:val="22"/>
        </w:rPr>
        <w:t xml:space="preserve">(LRPs) </w:t>
      </w:r>
      <w:r w:rsidR="00B72025" w:rsidRPr="004635E5">
        <w:rPr>
          <w:sz w:val="22"/>
          <w:szCs w:val="22"/>
        </w:rPr>
        <w:t xml:space="preserve">for the three major tuna species and the interim target reference point </w:t>
      </w:r>
      <w:r w:rsidR="00BA3E50" w:rsidRPr="004635E5">
        <w:rPr>
          <w:sz w:val="22"/>
          <w:szCs w:val="22"/>
        </w:rPr>
        <w:t xml:space="preserve">(TRP) </w:t>
      </w:r>
      <w:r w:rsidR="00B72025" w:rsidRPr="004635E5">
        <w:rPr>
          <w:sz w:val="22"/>
          <w:szCs w:val="22"/>
        </w:rPr>
        <w:t>for skipjack</w:t>
      </w:r>
      <w:r w:rsidR="003E67AB" w:rsidRPr="004635E5">
        <w:rPr>
          <w:sz w:val="22"/>
          <w:szCs w:val="22"/>
        </w:rPr>
        <w:t>, demonstrating</w:t>
      </w:r>
      <w:r w:rsidR="00B72025" w:rsidRPr="004635E5">
        <w:rPr>
          <w:sz w:val="22"/>
          <w:szCs w:val="22"/>
        </w:rPr>
        <w:t xml:space="preserve"> </w:t>
      </w:r>
      <w:r w:rsidR="00720DE5" w:rsidRPr="004635E5">
        <w:rPr>
          <w:sz w:val="22"/>
          <w:szCs w:val="22"/>
        </w:rPr>
        <w:t xml:space="preserve">the </w:t>
      </w:r>
      <w:r w:rsidR="003E67AB" w:rsidRPr="004635E5">
        <w:rPr>
          <w:sz w:val="22"/>
          <w:szCs w:val="22"/>
        </w:rPr>
        <w:t xml:space="preserve">reliance of </w:t>
      </w:r>
      <w:r w:rsidR="00B72025" w:rsidRPr="004635E5">
        <w:rPr>
          <w:sz w:val="22"/>
          <w:szCs w:val="22"/>
        </w:rPr>
        <w:t xml:space="preserve">the </w:t>
      </w:r>
      <w:r w:rsidR="00C73B87" w:rsidRPr="004635E5">
        <w:rPr>
          <w:sz w:val="22"/>
          <w:szCs w:val="22"/>
        </w:rPr>
        <w:t xml:space="preserve">WCPFC </w:t>
      </w:r>
      <w:r w:rsidR="00B72025" w:rsidRPr="004635E5">
        <w:rPr>
          <w:sz w:val="22"/>
          <w:szCs w:val="22"/>
        </w:rPr>
        <w:t xml:space="preserve">on </w:t>
      </w:r>
      <w:r w:rsidR="00720DE5" w:rsidRPr="004635E5">
        <w:rPr>
          <w:sz w:val="22"/>
          <w:szCs w:val="22"/>
        </w:rPr>
        <w:t>s</w:t>
      </w:r>
      <w:r w:rsidR="00B72025" w:rsidRPr="004635E5">
        <w:rPr>
          <w:sz w:val="22"/>
          <w:szCs w:val="22"/>
        </w:rPr>
        <w:t>cience.</w:t>
      </w:r>
      <w:r w:rsidR="00720DE5" w:rsidRPr="004635E5">
        <w:rPr>
          <w:sz w:val="22"/>
          <w:szCs w:val="22"/>
        </w:rPr>
        <w:t xml:space="preserve"> </w:t>
      </w:r>
      <w:r w:rsidR="00FE336C" w:rsidRPr="004635E5">
        <w:rPr>
          <w:sz w:val="22"/>
          <w:szCs w:val="22"/>
        </w:rPr>
        <w:t>He observed that s</w:t>
      </w:r>
      <w:r w:rsidR="00B72025" w:rsidRPr="004635E5">
        <w:rPr>
          <w:sz w:val="22"/>
          <w:szCs w:val="22"/>
        </w:rPr>
        <w:t xml:space="preserve">ustainability has become </w:t>
      </w:r>
      <w:r w:rsidR="00FE336C" w:rsidRPr="004635E5">
        <w:rPr>
          <w:sz w:val="22"/>
          <w:szCs w:val="22"/>
        </w:rPr>
        <w:t xml:space="preserve">a defining word of </w:t>
      </w:r>
      <w:r w:rsidR="00B72025" w:rsidRPr="004635E5">
        <w:rPr>
          <w:sz w:val="22"/>
          <w:szCs w:val="22"/>
        </w:rPr>
        <w:t>the 21</w:t>
      </w:r>
      <w:r w:rsidR="00B72025" w:rsidRPr="004635E5">
        <w:rPr>
          <w:sz w:val="22"/>
          <w:szCs w:val="22"/>
          <w:vertAlign w:val="superscript"/>
        </w:rPr>
        <w:t>st</w:t>
      </w:r>
      <w:r w:rsidR="00B72025" w:rsidRPr="004635E5">
        <w:rPr>
          <w:sz w:val="22"/>
          <w:szCs w:val="22"/>
        </w:rPr>
        <w:t xml:space="preserve"> century</w:t>
      </w:r>
      <w:r w:rsidR="00BA3E50" w:rsidRPr="004635E5">
        <w:rPr>
          <w:sz w:val="22"/>
          <w:szCs w:val="22"/>
        </w:rPr>
        <w:t xml:space="preserve"> and that </w:t>
      </w:r>
      <w:r w:rsidR="00B72025" w:rsidRPr="004635E5">
        <w:rPr>
          <w:sz w:val="22"/>
          <w:szCs w:val="22"/>
        </w:rPr>
        <w:t xml:space="preserve">WCPFC is </w:t>
      </w:r>
      <w:r w:rsidR="00FE336C" w:rsidRPr="004635E5">
        <w:rPr>
          <w:sz w:val="22"/>
          <w:szCs w:val="22"/>
        </w:rPr>
        <w:t>a leader</w:t>
      </w:r>
      <w:r w:rsidR="00B72025" w:rsidRPr="004635E5">
        <w:rPr>
          <w:sz w:val="22"/>
          <w:szCs w:val="22"/>
        </w:rPr>
        <w:t xml:space="preserve"> </w:t>
      </w:r>
      <w:r w:rsidR="00FE336C" w:rsidRPr="004635E5">
        <w:rPr>
          <w:sz w:val="22"/>
          <w:szCs w:val="22"/>
        </w:rPr>
        <w:t xml:space="preserve">in </w:t>
      </w:r>
      <w:r w:rsidR="00B72025" w:rsidRPr="004635E5">
        <w:rPr>
          <w:sz w:val="22"/>
          <w:szCs w:val="22"/>
        </w:rPr>
        <w:t>sustainable fishery management, thanks to the contribution</w:t>
      </w:r>
      <w:r w:rsidR="00BA3E50" w:rsidRPr="004635E5">
        <w:rPr>
          <w:sz w:val="22"/>
          <w:szCs w:val="22"/>
        </w:rPr>
        <w:t>s</w:t>
      </w:r>
      <w:r w:rsidR="00B72025" w:rsidRPr="004635E5">
        <w:rPr>
          <w:sz w:val="22"/>
          <w:szCs w:val="22"/>
        </w:rPr>
        <w:t xml:space="preserve"> of the </w:t>
      </w:r>
      <w:r w:rsidR="00FE336C" w:rsidRPr="004635E5">
        <w:rPr>
          <w:sz w:val="22"/>
          <w:szCs w:val="22"/>
        </w:rPr>
        <w:t>m</w:t>
      </w:r>
      <w:r w:rsidR="00B72025" w:rsidRPr="004635E5">
        <w:rPr>
          <w:sz w:val="22"/>
          <w:szCs w:val="22"/>
        </w:rPr>
        <w:t>ember scientists and science providers to the robust foundation of science-based conservation and management of the fishery resources and the related ecosystem in the Western and Central Pacific Ocean</w:t>
      </w:r>
      <w:r w:rsidR="00C73B87" w:rsidRPr="004635E5">
        <w:rPr>
          <w:sz w:val="22"/>
          <w:szCs w:val="22"/>
        </w:rPr>
        <w:t xml:space="preserve"> (WCPO)</w:t>
      </w:r>
      <w:r w:rsidR="00B72025" w:rsidRPr="004635E5">
        <w:rPr>
          <w:sz w:val="22"/>
          <w:szCs w:val="22"/>
        </w:rPr>
        <w:t>.</w:t>
      </w:r>
      <w:r w:rsidR="00FE336C" w:rsidRPr="004635E5">
        <w:rPr>
          <w:sz w:val="22"/>
          <w:szCs w:val="22"/>
        </w:rPr>
        <w:t xml:space="preserve"> He expressed his </w:t>
      </w:r>
      <w:r w:rsidR="00B72025" w:rsidRPr="004635E5">
        <w:rPr>
          <w:sz w:val="22"/>
          <w:szCs w:val="22"/>
        </w:rPr>
        <w:t xml:space="preserve">hope that </w:t>
      </w:r>
      <w:r w:rsidR="00FE336C" w:rsidRPr="004635E5">
        <w:rPr>
          <w:sz w:val="22"/>
          <w:szCs w:val="22"/>
        </w:rPr>
        <w:t xml:space="preserve">participants would share their </w:t>
      </w:r>
      <w:r w:rsidR="00B72025" w:rsidRPr="004635E5">
        <w:rPr>
          <w:sz w:val="22"/>
          <w:szCs w:val="22"/>
        </w:rPr>
        <w:t xml:space="preserve">ideas, insight, experience and knowledge to inform and advise the </w:t>
      </w:r>
      <w:r w:rsidR="00C73B87" w:rsidRPr="004635E5">
        <w:rPr>
          <w:sz w:val="22"/>
          <w:szCs w:val="22"/>
        </w:rPr>
        <w:t xml:space="preserve">WCPFC </w:t>
      </w:r>
      <w:r w:rsidR="00FE336C" w:rsidRPr="004635E5">
        <w:rPr>
          <w:sz w:val="22"/>
          <w:szCs w:val="22"/>
        </w:rPr>
        <w:t xml:space="preserve">and </w:t>
      </w:r>
      <w:r w:rsidR="00B72025" w:rsidRPr="004635E5">
        <w:rPr>
          <w:sz w:val="22"/>
          <w:szCs w:val="22"/>
        </w:rPr>
        <w:t xml:space="preserve">ensure </w:t>
      </w:r>
      <w:r w:rsidR="00FE336C" w:rsidRPr="004635E5">
        <w:rPr>
          <w:sz w:val="22"/>
          <w:szCs w:val="22"/>
        </w:rPr>
        <w:t xml:space="preserve">it is </w:t>
      </w:r>
      <w:r w:rsidR="00B72025" w:rsidRPr="004635E5">
        <w:rPr>
          <w:sz w:val="22"/>
          <w:szCs w:val="22"/>
        </w:rPr>
        <w:t>on the right path.</w:t>
      </w:r>
      <w:r w:rsidR="00AA32EF" w:rsidRPr="004635E5">
        <w:rPr>
          <w:sz w:val="22"/>
          <w:szCs w:val="22"/>
        </w:rPr>
        <w:t xml:space="preserve"> His full remarks are appended as </w:t>
      </w:r>
      <w:r w:rsidR="00AA32EF" w:rsidRPr="00146B98">
        <w:rPr>
          <w:sz w:val="22"/>
          <w:szCs w:val="22"/>
        </w:rPr>
        <w:t>Attachment B</w:t>
      </w:r>
      <w:r w:rsidR="00AA32EF" w:rsidRPr="004635E5">
        <w:rPr>
          <w:sz w:val="22"/>
          <w:szCs w:val="22"/>
        </w:rPr>
        <w:t>.</w:t>
      </w:r>
    </w:p>
    <w:p w14:paraId="68566CBE" w14:textId="77777777" w:rsidR="006E4F87" w:rsidRPr="004635E5" w:rsidRDefault="006E4F87" w:rsidP="006633A8">
      <w:pPr>
        <w:autoSpaceDE w:val="0"/>
        <w:autoSpaceDN w:val="0"/>
        <w:adjustRightInd w:val="0"/>
        <w:snapToGrid w:val="0"/>
        <w:jc w:val="both"/>
        <w:rPr>
          <w:sz w:val="22"/>
          <w:szCs w:val="22"/>
        </w:rPr>
      </w:pPr>
    </w:p>
    <w:p w14:paraId="5696A484" w14:textId="77777777" w:rsidR="005E6919" w:rsidRPr="004635E5" w:rsidRDefault="0005316E" w:rsidP="00580EA4">
      <w:pPr>
        <w:numPr>
          <w:ilvl w:val="0"/>
          <w:numId w:val="18"/>
        </w:numPr>
        <w:autoSpaceDE w:val="0"/>
        <w:autoSpaceDN w:val="0"/>
        <w:adjustRightInd w:val="0"/>
        <w:snapToGrid w:val="0"/>
        <w:ind w:left="0" w:firstLine="0"/>
        <w:jc w:val="both"/>
        <w:rPr>
          <w:sz w:val="22"/>
          <w:szCs w:val="22"/>
        </w:rPr>
      </w:pPr>
      <w:r w:rsidRPr="004635E5">
        <w:rPr>
          <w:sz w:val="22"/>
          <w:szCs w:val="22"/>
        </w:rPr>
        <w:t>Rhea Moss-Christian, Chair of the WCPFC</w:t>
      </w:r>
      <w:r w:rsidR="00AA32EF" w:rsidRPr="004635E5">
        <w:rPr>
          <w:sz w:val="22"/>
          <w:szCs w:val="22"/>
        </w:rPr>
        <w:t>,</w:t>
      </w:r>
      <w:r w:rsidR="00B53CC8" w:rsidRPr="004635E5">
        <w:rPr>
          <w:sz w:val="22"/>
          <w:szCs w:val="22"/>
        </w:rPr>
        <w:t xml:space="preserve"> </w:t>
      </w:r>
      <w:r w:rsidR="00AA32EF" w:rsidRPr="004635E5">
        <w:rPr>
          <w:sz w:val="22"/>
          <w:szCs w:val="22"/>
        </w:rPr>
        <w:t xml:space="preserve">thanked </w:t>
      </w:r>
      <w:r w:rsidR="005E6919" w:rsidRPr="004635E5">
        <w:rPr>
          <w:sz w:val="22"/>
          <w:szCs w:val="22"/>
        </w:rPr>
        <w:t xml:space="preserve">Director General Yang for </w:t>
      </w:r>
      <w:r w:rsidR="00AA32EF" w:rsidRPr="004635E5">
        <w:rPr>
          <w:sz w:val="22"/>
          <w:szCs w:val="22"/>
        </w:rPr>
        <w:t xml:space="preserve">his </w:t>
      </w:r>
      <w:r w:rsidR="005E6919" w:rsidRPr="004635E5">
        <w:rPr>
          <w:sz w:val="22"/>
          <w:szCs w:val="22"/>
        </w:rPr>
        <w:t>opening remarks</w:t>
      </w:r>
      <w:r w:rsidR="00AA32EF" w:rsidRPr="004635E5">
        <w:rPr>
          <w:sz w:val="22"/>
          <w:szCs w:val="22"/>
        </w:rPr>
        <w:t>, and o</w:t>
      </w:r>
      <w:r w:rsidR="005E6919" w:rsidRPr="004635E5">
        <w:rPr>
          <w:sz w:val="22"/>
          <w:szCs w:val="22"/>
        </w:rPr>
        <w:t>n behalf of the Commission, thank</w:t>
      </w:r>
      <w:r w:rsidR="00AA32EF" w:rsidRPr="004635E5">
        <w:rPr>
          <w:sz w:val="22"/>
          <w:szCs w:val="22"/>
        </w:rPr>
        <w:t>ed</w:t>
      </w:r>
      <w:r w:rsidR="005E6919" w:rsidRPr="004635E5">
        <w:rPr>
          <w:sz w:val="22"/>
          <w:szCs w:val="22"/>
        </w:rPr>
        <w:t xml:space="preserve"> </w:t>
      </w:r>
      <w:r w:rsidR="00AA32EF" w:rsidRPr="004635E5">
        <w:rPr>
          <w:sz w:val="22"/>
          <w:szCs w:val="22"/>
        </w:rPr>
        <w:t xml:space="preserve">him and the Korean </w:t>
      </w:r>
      <w:r w:rsidR="005E6919" w:rsidRPr="004635E5">
        <w:rPr>
          <w:sz w:val="22"/>
          <w:szCs w:val="22"/>
        </w:rPr>
        <w:t>government for hosting SC14</w:t>
      </w:r>
      <w:r w:rsidR="00AA32EF" w:rsidRPr="004635E5">
        <w:rPr>
          <w:sz w:val="22"/>
          <w:szCs w:val="22"/>
        </w:rPr>
        <w:t xml:space="preserve"> </w:t>
      </w:r>
      <w:r w:rsidR="005E6919" w:rsidRPr="004635E5">
        <w:rPr>
          <w:sz w:val="22"/>
          <w:szCs w:val="22"/>
        </w:rPr>
        <w:t xml:space="preserve">and providing the </w:t>
      </w:r>
      <w:r w:rsidR="00C73B87" w:rsidRPr="004635E5">
        <w:rPr>
          <w:sz w:val="22"/>
          <w:szCs w:val="22"/>
        </w:rPr>
        <w:t xml:space="preserve">WCPFC </w:t>
      </w:r>
      <w:r w:rsidR="005E6919" w:rsidRPr="004635E5">
        <w:rPr>
          <w:sz w:val="22"/>
          <w:szCs w:val="22"/>
        </w:rPr>
        <w:t>with excellent support</w:t>
      </w:r>
      <w:r w:rsidR="00AA32EF" w:rsidRPr="004635E5">
        <w:rPr>
          <w:sz w:val="22"/>
          <w:szCs w:val="22"/>
        </w:rPr>
        <w:t>,</w:t>
      </w:r>
      <w:r w:rsidR="005E6919" w:rsidRPr="004635E5">
        <w:rPr>
          <w:sz w:val="22"/>
          <w:szCs w:val="22"/>
        </w:rPr>
        <w:t xml:space="preserve"> beginning with the </w:t>
      </w:r>
      <w:r w:rsidR="00BA3E50" w:rsidRPr="004635E5">
        <w:rPr>
          <w:sz w:val="22"/>
          <w:szCs w:val="22"/>
        </w:rPr>
        <w:t xml:space="preserve">electronic </w:t>
      </w:r>
      <w:r w:rsidR="00C40607">
        <w:rPr>
          <w:sz w:val="22"/>
          <w:szCs w:val="22"/>
        </w:rPr>
        <w:t>reporting</w:t>
      </w:r>
      <w:r w:rsidR="00C40607" w:rsidRPr="004635E5">
        <w:rPr>
          <w:sz w:val="22"/>
          <w:szCs w:val="22"/>
        </w:rPr>
        <w:t xml:space="preserve"> </w:t>
      </w:r>
      <w:r w:rsidR="00BA3E50" w:rsidRPr="004635E5">
        <w:rPr>
          <w:sz w:val="22"/>
          <w:szCs w:val="22"/>
        </w:rPr>
        <w:t xml:space="preserve">and electronic </w:t>
      </w:r>
      <w:r w:rsidR="00C40607">
        <w:rPr>
          <w:sz w:val="22"/>
          <w:szCs w:val="22"/>
        </w:rPr>
        <w:t>monitoring</w:t>
      </w:r>
      <w:r w:rsidR="00C40607" w:rsidRPr="004635E5">
        <w:rPr>
          <w:sz w:val="22"/>
          <w:szCs w:val="22"/>
        </w:rPr>
        <w:t xml:space="preserve"> </w:t>
      </w:r>
      <w:r w:rsidR="00BA3E50" w:rsidRPr="004635E5">
        <w:rPr>
          <w:sz w:val="22"/>
          <w:szCs w:val="22"/>
        </w:rPr>
        <w:t>(</w:t>
      </w:r>
      <w:r w:rsidR="005E6919" w:rsidRPr="004635E5">
        <w:rPr>
          <w:sz w:val="22"/>
          <w:szCs w:val="22"/>
        </w:rPr>
        <w:t>E</w:t>
      </w:r>
      <w:r w:rsidR="00C40607">
        <w:rPr>
          <w:sz w:val="22"/>
          <w:szCs w:val="22"/>
        </w:rPr>
        <w:t>R</w:t>
      </w:r>
      <w:r w:rsidR="0006402D">
        <w:rPr>
          <w:sz w:val="22"/>
          <w:szCs w:val="22"/>
        </w:rPr>
        <w:t>and</w:t>
      </w:r>
      <w:r w:rsidR="005E6919" w:rsidRPr="004635E5">
        <w:rPr>
          <w:sz w:val="22"/>
          <w:szCs w:val="22"/>
        </w:rPr>
        <w:t>E</w:t>
      </w:r>
      <w:r w:rsidR="00C40607">
        <w:rPr>
          <w:sz w:val="22"/>
          <w:szCs w:val="22"/>
        </w:rPr>
        <w:t>M</w:t>
      </w:r>
      <w:r w:rsidR="00BA3E50" w:rsidRPr="004635E5">
        <w:rPr>
          <w:sz w:val="22"/>
          <w:szCs w:val="22"/>
        </w:rPr>
        <w:t>)</w:t>
      </w:r>
      <w:r w:rsidR="005E6919" w:rsidRPr="004635E5">
        <w:rPr>
          <w:sz w:val="22"/>
          <w:szCs w:val="22"/>
        </w:rPr>
        <w:t xml:space="preserve"> Working Group that met </w:t>
      </w:r>
      <w:r w:rsidR="00AA32EF" w:rsidRPr="004635E5">
        <w:rPr>
          <w:sz w:val="22"/>
          <w:szCs w:val="22"/>
        </w:rPr>
        <w:t xml:space="preserve">prior to SC14. She </w:t>
      </w:r>
      <w:r w:rsidR="005E6919" w:rsidRPr="004635E5">
        <w:rPr>
          <w:sz w:val="22"/>
          <w:szCs w:val="22"/>
        </w:rPr>
        <w:t>recognize</w:t>
      </w:r>
      <w:r w:rsidR="00AA32EF" w:rsidRPr="004635E5">
        <w:rPr>
          <w:sz w:val="22"/>
          <w:szCs w:val="22"/>
        </w:rPr>
        <w:t>d</w:t>
      </w:r>
      <w:r w:rsidR="005E6919" w:rsidRPr="004635E5">
        <w:rPr>
          <w:sz w:val="22"/>
          <w:szCs w:val="22"/>
        </w:rPr>
        <w:t xml:space="preserve"> </w:t>
      </w:r>
      <w:r w:rsidR="00C73B87" w:rsidRPr="004635E5">
        <w:rPr>
          <w:sz w:val="22"/>
          <w:szCs w:val="22"/>
        </w:rPr>
        <w:t xml:space="preserve">the </w:t>
      </w:r>
      <w:r w:rsidR="005E6919" w:rsidRPr="004635E5">
        <w:rPr>
          <w:sz w:val="22"/>
          <w:szCs w:val="22"/>
        </w:rPr>
        <w:t xml:space="preserve">delegates </w:t>
      </w:r>
      <w:r w:rsidR="00C73B87" w:rsidRPr="004635E5">
        <w:rPr>
          <w:sz w:val="22"/>
          <w:szCs w:val="22"/>
        </w:rPr>
        <w:t xml:space="preserve">to SC14 </w:t>
      </w:r>
      <w:r w:rsidR="005E6919" w:rsidRPr="004635E5">
        <w:rPr>
          <w:sz w:val="22"/>
          <w:szCs w:val="22"/>
        </w:rPr>
        <w:t xml:space="preserve">for </w:t>
      </w:r>
      <w:r w:rsidR="00C73B87" w:rsidRPr="004635E5">
        <w:rPr>
          <w:sz w:val="22"/>
          <w:szCs w:val="22"/>
        </w:rPr>
        <w:t xml:space="preserve">their </w:t>
      </w:r>
      <w:r w:rsidR="005E6919" w:rsidRPr="004635E5">
        <w:rPr>
          <w:sz w:val="22"/>
          <w:szCs w:val="22"/>
        </w:rPr>
        <w:t xml:space="preserve">important contributions to the Commission’s foundation, which is the knowledge that science gives us in order to make decisions that support our core objective. </w:t>
      </w:r>
      <w:r w:rsidR="00C73B87" w:rsidRPr="004635E5">
        <w:rPr>
          <w:sz w:val="22"/>
          <w:szCs w:val="22"/>
        </w:rPr>
        <w:t xml:space="preserve">She </w:t>
      </w:r>
      <w:r w:rsidR="00BA3E50" w:rsidRPr="004635E5">
        <w:rPr>
          <w:sz w:val="22"/>
          <w:szCs w:val="22"/>
        </w:rPr>
        <w:t xml:space="preserve">noted the </w:t>
      </w:r>
      <w:r w:rsidR="005E6919" w:rsidRPr="004635E5">
        <w:rPr>
          <w:sz w:val="22"/>
          <w:szCs w:val="22"/>
        </w:rPr>
        <w:t xml:space="preserve">considerable intersessional work </w:t>
      </w:r>
      <w:r w:rsidR="00BA3E50" w:rsidRPr="004635E5">
        <w:rPr>
          <w:sz w:val="22"/>
          <w:szCs w:val="22"/>
        </w:rPr>
        <w:t xml:space="preserve">undertaken in </w:t>
      </w:r>
      <w:r w:rsidR="005E6919" w:rsidRPr="004635E5">
        <w:rPr>
          <w:sz w:val="22"/>
          <w:szCs w:val="22"/>
        </w:rPr>
        <w:t>2018</w:t>
      </w:r>
      <w:r w:rsidR="00BA3E50" w:rsidRPr="004635E5">
        <w:rPr>
          <w:sz w:val="22"/>
          <w:szCs w:val="22"/>
        </w:rPr>
        <w:t>,</w:t>
      </w:r>
      <w:r w:rsidR="005E6919" w:rsidRPr="004635E5">
        <w:rPr>
          <w:sz w:val="22"/>
          <w:szCs w:val="22"/>
        </w:rPr>
        <w:t xml:space="preserve"> </w:t>
      </w:r>
      <w:r w:rsidR="00C73B87" w:rsidRPr="004635E5">
        <w:rPr>
          <w:sz w:val="22"/>
          <w:szCs w:val="22"/>
        </w:rPr>
        <w:t>observed that f</w:t>
      </w:r>
      <w:r w:rsidR="005E6919" w:rsidRPr="004635E5">
        <w:rPr>
          <w:sz w:val="22"/>
          <w:szCs w:val="22"/>
        </w:rPr>
        <w:t xml:space="preserve">ive of the six key tuna stocks managed by the </w:t>
      </w:r>
      <w:r w:rsidR="00C73B87" w:rsidRPr="004635E5">
        <w:rPr>
          <w:sz w:val="22"/>
          <w:szCs w:val="22"/>
        </w:rPr>
        <w:t xml:space="preserve">WCPFC </w:t>
      </w:r>
      <w:r w:rsidR="005E6919" w:rsidRPr="004635E5">
        <w:rPr>
          <w:sz w:val="22"/>
          <w:szCs w:val="22"/>
        </w:rPr>
        <w:t>are in biologically stable condition</w:t>
      </w:r>
      <w:r w:rsidR="00C73B87" w:rsidRPr="004635E5">
        <w:rPr>
          <w:sz w:val="22"/>
          <w:szCs w:val="22"/>
        </w:rPr>
        <w:t xml:space="preserve">, </w:t>
      </w:r>
      <w:r w:rsidR="00BA3E50" w:rsidRPr="004635E5">
        <w:rPr>
          <w:sz w:val="22"/>
          <w:szCs w:val="22"/>
        </w:rPr>
        <w:t xml:space="preserve">and the need to </w:t>
      </w:r>
      <w:r w:rsidR="005E6919" w:rsidRPr="004635E5">
        <w:rPr>
          <w:sz w:val="22"/>
          <w:szCs w:val="22"/>
        </w:rPr>
        <w:t xml:space="preserve">adopt a </w:t>
      </w:r>
      <w:r w:rsidR="00C73B87" w:rsidRPr="004635E5">
        <w:rPr>
          <w:sz w:val="22"/>
          <w:szCs w:val="22"/>
        </w:rPr>
        <w:t xml:space="preserve">target reference point </w:t>
      </w:r>
      <w:r w:rsidR="005E6919" w:rsidRPr="004635E5">
        <w:rPr>
          <w:sz w:val="22"/>
          <w:szCs w:val="22"/>
        </w:rPr>
        <w:t xml:space="preserve">for South Pacific Albacore. </w:t>
      </w:r>
      <w:r w:rsidR="00C73B87" w:rsidRPr="004635E5">
        <w:rPr>
          <w:sz w:val="22"/>
          <w:szCs w:val="22"/>
        </w:rPr>
        <w:t>She also noted the need</w:t>
      </w:r>
      <w:r w:rsidR="005E6919" w:rsidRPr="004635E5">
        <w:rPr>
          <w:sz w:val="22"/>
          <w:szCs w:val="22"/>
        </w:rPr>
        <w:t xml:space="preserve"> to progress </w:t>
      </w:r>
      <w:r w:rsidR="00C73B87" w:rsidRPr="004635E5">
        <w:rPr>
          <w:sz w:val="22"/>
          <w:szCs w:val="22"/>
        </w:rPr>
        <w:t xml:space="preserve">the WCPFC’s </w:t>
      </w:r>
      <w:r w:rsidR="005E6919" w:rsidRPr="004635E5">
        <w:rPr>
          <w:sz w:val="22"/>
          <w:szCs w:val="22"/>
        </w:rPr>
        <w:t xml:space="preserve">harvest strategy. </w:t>
      </w:r>
      <w:r w:rsidR="00C73B87" w:rsidRPr="004635E5">
        <w:rPr>
          <w:sz w:val="22"/>
          <w:szCs w:val="22"/>
        </w:rPr>
        <w:t xml:space="preserve">She </w:t>
      </w:r>
      <w:r w:rsidR="005E6919" w:rsidRPr="004635E5">
        <w:rPr>
          <w:sz w:val="22"/>
          <w:szCs w:val="22"/>
        </w:rPr>
        <w:t>acknowledge</w:t>
      </w:r>
      <w:r w:rsidR="00C73B87" w:rsidRPr="004635E5">
        <w:rPr>
          <w:sz w:val="22"/>
          <w:szCs w:val="22"/>
        </w:rPr>
        <w:t>d</w:t>
      </w:r>
      <w:r w:rsidR="005E6919" w:rsidRPr="004635E5">
        <w:rPr>
          <w:sz w:val="22"/>
          <w:szCs w:val="22"/>
        </w:rPr>
        <w:t xml:space="preserve"> the work of SPC in </w:t>
      </w:r>
      <w:r w:rsidR="00C73B87" w:rsidRPr="004635E5">
        <w:rPr>
          <w:sz w:val="22"/>
          <w:szCs w:val="22"/>
        </w:rPr>
        <w:t xml:space="preserve">that </w:t>
      </w:r>
      <w:r w:rsidR="005E6919" w:rsidRPr="004635E5">
        <w:rPr>
          <w:sz w:val="22"/>
          <w:szCs w:val="22"/>
        </w:rPr>
        <w:t xml:space="preserve">regard, and </w:t>
      </w:r>
      <w:r w:rsidR="00C73B87" w:rsidRPr="004635E5">
        <w:rPr>
          <w:sz w:val="22"/>
          <w:szCs w:val="22"/>
        </w:rPr>
        <w:t xml:space="preserve">that </w:t>
      </w:r>
      <w:r w:rsidR="005E6919" w:rsidRPr="004635E5">
        <w:rPr>
          <w:sz w:val="22"/>
          <w:szCs w:val="22"/>
        </w:rPr>
        <w:t xml:space="preserve">work </w:t>
      </w:r>
      <w:r w:rsidR="00C73B87" w:rsidRPr="004635E5">
        <w:rPr>
          <w:sz w:val="22"/>
          <w:szCs w:val="22"/>
        </w:rPr>
        <w:t xml:space="preserve">underway </w:t>
      </w:r>
      <w:r w:rsidR="005E6919" w:rsidRPr="004635E5">
        <w:rPr>
          <w:sz w:val="22"/>
          <w:szCs w:val="22"/>
        </w:rPr>
        <w:t xml:space="preserve">on harvest strategies </w:t>
      </w:r>
      <w:r w:rsidR="00C73B87" w:rsidRPr="004635E5">
        <w:rPr>
          <w:sz w:val="22"/>
          <w:szCs w:val="22"/>
        </w:rPr>
        <w:t xml:space="preserve">would enable </w:t>
      </w:r>
      <w:r w:rsidR="005E6919" w:rsidRPr="004635E5">
        <w:rPr>
          <w:sz w:val="22"/>
          <w:szCs w:val="22"/>
        </w:rPr>
        <w:t>SC to consider key elements of the harvest strategy</w:t>
      </w:r>
      <w:r w:rsidR="00C73B87" w:rsidRPr="004635E5">
        <w:rPr>
          <w:sz w:val="22"/>
          <w:szCs w:val="22"/>
        </w:rPr>
        <w:t xml:space="preserve">, and </w:t>
      </w:r>
      <w:r w:rsidR="005E6919" w:rsidRPr="004635E5">
        <w:rPr>
          <w:sz w:val="22"/>
          <w:szCs w:val="22"/>
        </w:rPr>
        <w:t xml:space="preserve">support the </w:t>
      </w:r>
      <w:r w:rsidR="00C73B87" w:rsidRPr="004635E5">
        <w:rPr>
          <w:sz w:val="22"/>
          <w:szCs w:val="22"/>
        </w:rPr>
        <w:t xml:space="preserve">progress by the </w:t>
      </w:r>
      <w:r w:rsidR="005E6919" w:rsidRPr="004635E5">
        <w:rPr>
          <w:sz w:val="22"/>
          <w:szCs w:val="22"/>
        </w:rPr>
        <w:t>Commission on its harvest strategy in December.</w:t>
      </w:r>
      <w:r w:rsidR="00C73B87" w:rsidRPr="004635E5">
        <w:rPr>
          <w:sz w:val="22"/>
          <w:szCs w:val="22"/>
        </w:rPr>
        <w:t xml:space="preserve"> She </w:t>
      </w:r>
      <w:r w:rsidR="005E6919" w:rsidRPr="004635E5">
        <w:rPr>
          <w:sz w:val="22"/>
          <w:szCs w:val="22"/>
        </w:rPr>
        <w:t>thank</w:t>
      </w:r>
      <w:r w:rsidR="00C73B87" w:rsidRPr="004635E5">
        <w:rPr>
          <w:sz w:val="22"/>
          <w:szCs w:val="22"/>
        </w:rPr>
        <w:t>ed</w:t>
      </w:r>
      <w:r w:rsidR="005E6919" w:rsidRPr="004635E5">
        <w:rPr>
          <w:sz w:val="22"/>
          <w:szCs w:val="22"/>
        </w:rPr>
        <w:t xml:space="preserve"> </w:t>
      </w:r>
      <w:r w:rsidR="00C73B87" w:rsidRPr="004635E5">
        <w:rPr>
          <w:sz w:val="22"/>
          <w:szCs w:val="22"/>
        </w:rPr>
        <w:t>the Secretariat</w:t>
      </w:r>
      <w:r w:rsidR="005E6919" w:rsidRPr="004635E5">
        <w:rPr>
          <w:sz w:val="22"/>
          <w:szCs w:val="22"/>
        </w:rPr>
        <w:t xml:space="preserve"> </w:t>
      </w:r>
      <w:r w:rsidR="00BA3E50" w:rsidRPr="004635E5">
        <w:rPr>
          <w:sz w:val="22"/>
          <w:szCs w:val="22"/>
        </w:rPr>
        <w:t xml:space="preserve">and SPC </w:t>
      </w:r>
      <w:r w:rsidR="005E6919" w:rsidRPr="004635E5">
        <w:rPr>
          <w:sz w:val="22"/>
          <w:szCs w:val="22"/>
        </w:rPr>
        <w:t>for the</w:t>
      </w:r>
      <w:r w:rsidR="00BA3E50" w:rsidRPr="004635E5">
        <w:rPr>
          <w:sz w:val="22"/>
          <w:szCs w:val="22"/>
        </w:rPr>
        <w:t>ir</w:t>
      </w:r>
      <w:r w:rsidR="005E6919" w:rsidRPr="004635E5">
        <w:rPr>
          <w:sz w:val="22"/>
          <w:szCs w:val="22"/>
        </w:rPr>
        <w:t xml:space="preserve"> preparations </w:t>
      </w:r>
      <w:r w:rsidR="00BA3E50" w:rsidRPr="004635E5">
        <w:rPr>
          <w:sz w:val="22"/>
          <w:szCs w:val="22"/>
        </w:rPr>
        <w:t xml:space="preserve">and contributions, and thanked </w:t>
      </w:r>
      <w:r w:rsidR="005E6919" w:rsidRPr="004635E5">
        <w:rPr>
          <w:sz w:val="22"/>
          <w:szCs w:val="22"/>
        </w:rPr>
        <w:t>the SC Chair</w:t>
      </w:r>
      <w:r w:rsidR="00BA3E50" w:rsidRPr="004635E5">
        <w:rPr>
          <w:sz w:val="22"/>
          <w:szCs w:val="22"/>
        </w:rPr>
        <w:t xml:space="preserve"> and </w:t>
      </w:r>
      <w:r w:rsidR="005E6919" w:rsidRPr="004635E5">
        <w:rPr>
          <w:sz w:val="22"/>
          <w:szCs w:val="22"/>
        </w:rPr>
        <w:t xml:space="preserve">Theme Convenors </w:t>
      </w:r>
      <w:r w:rsidR="00BA3E50" w:rsidRPr="004635E5">
        <w:rPr>
          <w:sz w:val="22"/>
          <w:szCs w:val="22"/>
        </w:rPr>
        <w:t xml:space="preserve">for their </w:t>
      </w:r>
      <w:r w:rsidR="005E6919" w:rsidRPr="004635E5">
        <w:rPr>
          <w:sz w:val="22"/>
          <w:szCs w:val="22"/>
        </w:rPr>
        <w:t xml:space="preserve">facilitation of </w:t>
      </w:r>
      <w:r w:rsidR="00BA3E50" w:rsidRPr="004635E5">
        <w:rPr>
          <w:sz w:val="22"/>
          <w:szCs w:val="22"/>
        </w:rPr>
        <w:t xml:space="preserve">the </w:t>
      </w:r>
      <w:r w:rsidR="005E6919" w:rsidRPr="004635E5">
        <w:rPr>
          <w:sz w:val="22"/>
          <w:szCs w:val="22"/>
        </w:rPr>
        <w:t xml:space="preserve">SC’s discussions. </w:t>
      </w:r>
      <w:r w:rsidR="00BA3E50" w:rsidRPr="004635E5">
        <w:rPr>
          <w:sz w:val="22"/>
          <w:szCs w:val="22"/>
        </w:rPr>
        <w:t>Her fu</w:t>
      </w:r>
      <w:r w:rsidR="002D5D17" w:rsidRPr="004635E5">
        <w:rPr>
          <w:sz w:val="22"/>
          <w:szCs w:val="22"/>
        </w:rPr>
        <w:t>l</w:t>
      </w:r>
      <w:r w:rsidR="00BA3E50" w:rsidRPr="004635E5">
        <w:rPr>
          <w:sz w:val="22"/>
          <w:szCs w:val="22"/>
        </w:rPr>
        <w:t xml:space="preserve">l remarks are appended as </w:t>
      </w:r>
      <w:r w:rsidR="00111F32" w:rsidRPr="004635E5">
        <w:rPr>
          <w:sz w:val="22"/>
          <w:szCs w:val="22"/>
        </w:rPr>
        <w:t>Attachment C</w:t>
      </w:r>
      <w:r w:rsidR="00BA3E50" w:rsidRPr="004635E5">
        <w:rPr>
          <w:sz w:val="22"/>
          <w:szCs w:val="22"/>
        </w:rPr>
        <w:t>.</w:t>
      </w:r>
      <w:r w:rsidR="00111F32" w:rsidRPr="004635E5">
        <w:rPr>
          <w:sz w:val="22"/>
          <w:szCs w:val="22"/>
        </w:rPr>
        <w:t xml:space="preserve"> </w:t>
      </w:r>
    </w:p>
    <w:p w14:paraId="6C324094" w14:textId="77777777" w:rsidR="00AA32EF" w:rsidRPr="004635E5" w:rsidRDefault="00AA32EF" w:rsidP="006633A8">
      <w:pPr>
        <w:autoSpaceDE w:val="0"/>
        <w:autoSpaceDN w:val="0"/>
        <w:adjustRightInd w:val="0"/>
        <w:snapToGrid w:val="0"/>
        <w:jc w:val="both"/>
        <w:rPr>
          <w:sz w:val="22"/>
          <w:szCs w:val="22"/>
        </w:rPr>
      </w:pPr>
    </w:p>
    <w:p w14:paraId="5EE46BCB" w14:textId="77777777" w:rsidR="000A5769" w:rsidRPr="004635E5" w:rsidRDefault="0005316E" w:rsidP="00580EA4">
      <w:pPr>
        <w:numPr>
          <w:ilvl w:val="0"/>
          <w:numId w:val="18"/>
        </w:numPr>
        <w:autoSpaceDE w:val="0"/>
        <w:autoSpaceDN w:val="0"/>
        <w:adjustRightInd w:val="0"/>
        <w:snapToGrid w:val="0"/>
        <w:ind w:left="0" w:firstLine="0"/>
        <w:jc w:val="both"/>
        <w:rPr>
          <w:sz w:val="22"/>
          <w:szCs w:val="22"/>
          <w:lang w:val="en-PH"/>
        </w:rPr>
      </w:pPr>
      <w:r w:rsidRPr="004635E5">
        <w:rPr>
          <w:sz w:val="22"/>
          <w:szCs w:val="22"/>
          <w:lang w:val="en-AU"/>
        </w:rPr>
        <w:t xml:space="preserve">Executive Director Feleti </w:t>
      </w:r>
      <w:r w:rsidR="005C5376" w:rsidRPr="004635E5">
        <w:rPr>
          <w:sz w:val="22"/>
          <w:szCs w:val="22"/>
          <w:lang w:val="en-AU"/>
        </w:rPr>
        <w:t>Teo</w:t>
      </w:r>
      <w:r w:rsidR="00C51E08" w:rsidRPr="004635E5">
        <w:rPr>
          <w:sz w:val="22"/>
          <w:szCs w:val="22"/>
          <w:lang w:val="en-AU"/>
        </w:rPr>
        <w:t xml:space="preserve"> thanked</w:t>
      </w:r>
      <w:r w:rsidR="000A5769" w:rsidRPr="004635E5">
        <w:rPr>
          <w:sz w:val="22"/>
          <w:szCs w:val="22"/>
          <w:lang w:val="en-PH"/>
        </w:rPr>
        <w:t xml:space="preserve"> Director General </w:t>
      </w:r>
      <w:r w:rsidR="002D5D17" w:rsidRPr="004635E5">
        <w:rPr>
          <w:sz w:val="22"/>
          <w:szCs w:val="22"/>
          <w:lang w:val="en-PH"/>
        </w:rPr>
        <w:t>Yang Dong-yeob</w:t>
      </w:r>
      <w:r w:rsidR="000A5769" w:rsidRPr="004635E5">
        <w:rPr>
          <w:sz w:val="22"/>
          <w:szCs w:val="22"/>
          <w:lang w:val="en-PH"/>
        </w:rPr>
        <w:t xml:space="preserve">, </w:t>
      </w:r>
      <w:r w:rsidR="00C51E08" w:rsidRPr="004635E5">
        <w:rPr>
          <w:sz w:val="22"/>
          <w:szCs w:val="22"/>
          <w:lang w:val="en-PH"/>
        </w:rPr>
        <w:t xml:space="preserve">and </w:t>
      </w:r>
      <w:r w:rsidR="000A5769" w:rsidRPr="004635E5">
        <w:rPr>
          <w:sz w:val="22"/>
          <w:szCs w:val="22"/>
          <w:lang w:val="en-PH"/>
        </w:rPr>
        <w:t>convey</w:t>
      </w:r>
      <w:r w:rsidR="00C51E08" w:rsidRPr="004635E5">
        <w:rPr>
          <w:sz w:val="22"/>
          <w:szCs w:val="22"/>
          <w:lang w:val="en-PH"/>
        </w:rPr>
        <w:t>ed</w:t>
      </w:r>
      <w:r w:rsidR="000A5769" w:rsidRPr="004635E5">
        <w:rPr>
          <w:sz w:val="22"/>
          <w:szCs w:val="22"/>
          <w:lang w:val="en-PH"/>
        </w:rPr>
        <w:t xml:space="preserve"> the meeting’s collective appreciation and gratitude to </w:t>
      </w:r>
      <w:r w:rsidR="00C51E08" w:rsidRPr="004635E5">
        <w:rPr>
          <w:sz w:val="22"/>
          <w:szCs w:val="22"/>
          <w:lang w:val="en-PH"/>
        </w:rPr>
        <w:t xml:space="preserve">his </w:t>
      </w:r>
      <w:r w:rsidR="000A5769" w:rsidRPr="004635E5">
        <w:rPr>
          <w:sz w:val="22"/>
          <w:szCs w:val="22"/>
          <w:lang w:val="en-PH"/>
        </w:rPr>
        <w:t>government and staff for their generous hospitality and meeting arrangements.</w:t>
      </w:r>
      <w:r w:rsidR="00C51E08" w:rsidRPr="004635E5">
        <w:rPr>
          <w:sz w:val="22"/>
          <w:szCs w:val="22"/>
          <w:lang w:val="en-PH"/>
        </w:rPr>
        <w:t xml:space="preserve"> He </w:t>
      </w:r>
      <w:r w:rsidR="000A5769" w:rsidRPr="004635E5">
        <w:rPr>
          <w:sz w:val="22"/>
          <w:szCs w:val="22"/>
          <w:lang w:val="en-PH"/>
        </w:rPr>
        <w:t>acknowledge</w:t>
      </w:r>
      <w:r w:rsidR="00C51E08" w:rsidRPr="004635E5">
        <w:rPr>
          <w:sz w:val="22"/>
          <w:szCs w:val="22"/>
          <w:lang w:val="en-PH"/>
        </w:rPr>
        <w:t>d</w:t>
      </w:r>
      <w:r w:rsidR="000A5769" w:rsidRPr="004635E5">
        <w:rPr>
          <w:sz w:val="22"/>
          <w:szCs w:val="22"/>
          <w:lang w:val="en-PH"/>
        </w:rPr>
        <w:t xml:space="preserve"> the presence and attendance of the Commission Chair</w:t>
      </w:r>
      <w:r w:rsidR="002D5D17" w:rsidRPr="004635E5">
        <w:rPr>
          <w:sz w:val="22"/>
          <w:szCs w:val="22"/>
          <w:lang w:val="en-PH"/>
        </w:rPr>
        <w:t xml:space="preserve">, the </w:t>
      </w:r>
      <w:r w:rsidR="000A5769" w:rsidRPr="004635E5">
        <w:rPr>
          <w:sz w:val="22"/>
          <w:szCs w:val="22"/>
          <w:lang w:val="en-PH"/>
        </w:rPr>
        <w:t xml:space="preserve">member </w:t>
      </w:r>
      <w:r w:rsidR="002D5D17" w:rsidRPr="004635E5">
        <w:rPr>
          <w:sz w:val="22"/>
          <w:szCs w:val="22"/>
          <w:lang w:val="en-PH"/>
        </w:rPr>
        <w:t xml:space="preserve">and </w:t>
      </w:r>
      <w:r w:rsidR="000A5769" w:rsidRPr="004635E5">
        <w:rPr>
          <w:sz w:val="22"/>
          <w:szCs w:val="22"/>
          <w:lang w:val="en-PH"/>
        </w:rPr>
        <w:t>observer delegates</w:t>
      </w:r>
      <w:r w:rsidR="002D5D17" w:rsidRPr="004635E5">
        <w:rPr>
          <w:sz w:val="22"/>
          <w:szCs w:val="22"/>
          <w:lang w:val="en-PH"/>
        </w:rPr>
        <w:t>,</w:t>
      </w:r>
      <w:r w:rsidR="000A5769" w:rsidRPr="004635E5">
        <w:rPr>
          <w:sz w:val="22"/>
          <w:szCs w:val="22"/>
          <w:lang w:val="en-PH"/>
        </w:rPr>
        <w:t xml:space="preserve"> and representative</w:t>
      </w:r>
      <w:r w:rsidR="00C51E08" w:rsidRPr="004635E5">
        <w:rPr>
          <w:sz w:val="22"/>
          <w:szCs w:val="22"/>
          <w:lang w:val="en-PH"/>
        </w:rPr>
        <w:t>s</w:t>
      </w:r>
      <w:r w:rsidR="000A5769" w:rsidRPr="004635E5">
        <w:rPr>
          <w:sz w:val="22"/>
          <w:szCs w:val="22"/>
          <w:lang w:val="en-PH"/>
        </w:rPr>
        <w:t xml:space="preserve"> of international and regional organizations.</w:t>
      </w:r>
      <w:r w:rsidR="00C51E08" w:rsidRPr="004635E5">
        <w:rPr>
          <w:sz w:val="22"/>
          <w:szCs w:val="22"/>
          <w:lang w:val="en-PH"/>
        </w:rPr>
        <w:t xml:space="preserve"> He noted the </w:t>
      </w:r>
      <w:r w:rsidR="002F7711">
        <w:rPr>
          <w:sz w:val="22"/>
          <w:szCs w:val="22"/>
          <w:lang w:val="en-PH"/>
        </w:rPr>
        <w:t>C</w:t>
      </w:r>
      <w:r w:rsidR="000A5769" w:rsidRPr="004635E5">
        <w:rPr>
          <w:sz w:val="22"/>
          <w:szCs w:val="22"/>
          <w:lang w:val="en-PH"/>
        </w:rPr>
        <w:t>ommission, as required by its Convention, must base its work and decisions on the best available scientific information and advice</w:t>
      </w:r>
      <w:r w:rsidR="00C51E08" w:rsidRPr="004635E5">
        <w:rPr>
          <w:sz w:val="22"/>
          <w:szCs w:val="22"/>
          <w:lang w:val="en-PH"/>
        </w:rPr>
        <w:t xml:space="preserve">, meaning the SC’s work </w:t>
      </w:r>
      <w:r w:rsidR="000A5769" w:rsidRPr="004635E5">
        <w:rPr>
          <w:sz w:val="22"/>
          <w:szCs w:val="22"/>
          <w:lang w:val="en-PH"/>
        </w:rPr>
        <w:t>is at the core of the work of the Commission.</w:t>
      </w:r>
      <w:r w:rsidR="00C51E08" w:rsidRPr="004635E5">
        <w:rPr>
          <w:sz w:val="22"/>
          <w:szCs w:val="22"/>
          <w:lang w:val="en-PH"/>
        </w:rPr>
        <w:t xml:space="preserve"> He stated that SC’s tasks, as determined by the Commission, </w:t>
      </w:r>
      <w:r w:rsidR="000A5769" w:rsidRPr="004635E5">
        <w:rPr>
          <w:sz w:val="22"/>
          <w:szCs w:val="22"/>
          <w:lang w:val="en-PH"/>
        </w:rPr>
        <w:t>cover</w:t>
      </w:r>
      <w:r w:rsidR="00C51E08" w:rsidRPr="004635E5">
        <w:rPr>
          <w:sz w:val="22"/>
          <w:szCs w:val="22"/>
          <w:lang w:val="en-PH"/>
        </w:rPr>
        <w:t>ed</w:t>
      </w:r>
      <w:r w:rsidR="000A5769" w:rsidRPr="004635E5">
        <w:rPr>
          <w:sz w:val="22"/>
          <w:szCs w:val="22"/>
          <w:lang w:val="en-PH"/>
        </w:rPr>
        <w:t xml:space="preserve"> a broad range of issues </w:t>
      </w:r>
      <w:r w:rsidR="00C51E08" w:rsidRPr="004635E5">
        <w:rPr>
          <w:sz w:val="22"/>
          <w:szCs w:val="22"/>
          <w:lang w:val="en-PH"/>
        </w:rPr>
        <w:t>on which the Commission awaited</w:t>
      </w:r>
      <w:r w:rsidR="000A5769" w:rsidRPr="004635E5">
        <w:rPr>
          <w:sz w:val="22"/>
          <w:szCs w:val="22"/>
          <w:lang w:val="en-PH"/>
        </w:rPr>
        <w:t xml:space="preserve"> targeted advice and information</w:t>
      </w:r>
      <w:r w:rsidR="00C51E08" w:rsidRPr="004635E5">
        <w:rPr>
          <w:sz w:val="22"/>
          <w:szCs w:val="22"/>
          <w:lang w:val="en-PH"/>
        </w:rPr>
        <w:t>.</w:t>
      </w:r>
      <w:r w:rsidR="000A5769" w:rsidRPr="004635E5">
        <w:rPr>
          <w:sz w:val="22"/>
          <w:szCs w:val="22"/>
          <w:lang w:val="en-PH"/>
        </w:rPr>
        <w:t xml:space="preserve"> </w:t>
      </w:r>
      <w:r w:rsidR="00C51E08" w:rsidRPr="004635E5">
        <w:rPr>
          <w:sz w:val="22"/>
          <w:szCs w:val="22"/>
          <w:lang w:val="en-PH"/>
        </w:rPr>
        <w:t xml:space="preserve">He </w:t>
      </w:r>
      <w:r w:rsidR="000A5769" w:rsidRPr="004635E5">
        <w:rPr>
          <w:sz w:val="22"/>
          <w:szCs w:val="22"/>
          <w:lang w:val="en-PH"/>
        </w:rPr>
        <w:t>acknowledge</w:t>
      </w:r>
      <w:r w:rsidR="00C51E08" w:rsidRPr="004635E5">
        <w:rPr>
          <w:sz w:val="22"/>
          <w:szCs w:val="22"/>
          <w:lang w:val="en-PH"/>
        </w:rPr>
        <w:t>d</w:t>
      </w:r>
      <w:r w:rsidR="000A5769" w:rsidRPr="004635E5">
        <w:rPr>
          <w:sz w:val="22"/>
          <w:szCs w:val="22"/>
          <w:lang w:val="en-PH"/>
        </w:rPr>
        <w:t xml:space="preserve"> the Commission’s gratitude and appreciation to SPC-OFP for the quality scientific services rendered to the work of </w:t>
      </w:r>
      <w:r w:rsidR="002D5D17" w:rsidRPr="004635E5">
        <w:rPr>
          <w:sz w:val="22"/>
          <w:szCs w:val="22"/>
          <w:lang w:val="en-PH"/>
        </w:rPr>
        <w:t>the WCPFC</w:t>
      </w:r>
      <w:r w:rsidR="00C51E08" w:rsidRPr="004635E5">
        <w:rPr>
          <w:sz w:val="22"/>
          <w:szCs w:val="22"/>
          <w:lang w:val="en-PH"/>
        </w:rPr>
        <w:t xml:space="preserve">, and </w:t>
      </w:r>
      <w:r w:rsidR="000A5769" w:rsidRPr="004635E5">
        <w:rPr>
          <w:sz w:val="22"/>
          <w:szCs w:val="22"/>
          <w:lang w:val="en-PH"/>
        </w:rPr>
        <w:t>the contribution</w:t>
      </w:r>
      <w:r w:rsidR="002D5D17" w:rsidRPr="004635E5">
        <w:rPr>
          <w:sz w:val="22"/>
          <w:szCs w:val="22"/>
          <w:lang w:val="en-PH"/>
        </w:rPr>
        <w:t>s</w:t>
      </w:r>
      <w:r w:rsidR="000A5769" w:rsidRPr="004635E5">
        <w:rPr>
          <w:sz w:val="22"/>
          <w:szCs w:val="22"/>
          <w:lang w:val="en-PH"/>
        </w:rPr>
        <w:t xml:space="preserve"> of member countries</w:t>
      </w:r>
      <w:r w:rsidR="002D5D17" w:rsidRPr="004635E5">
        <w:rPr>
          <w:sz w:val="22"/>
          <w:szCs w:val="22"/>
          <w:lang w:val="en-PH"/>
        </w:rPr>
        <w:t xml:space="preserve"> and </w:t>
      </w:r>
      <w:r w:rsidR="000A5769" w:rsidRPr="004635E5">
        <w:rPr>
          <w:sz w:val="22"/>
          <w:szCs w:val="22"/>
          <w:lang w:val="en-PH"/>
        </w:rPr>
        <w:t xml:space="preserve">organizations. </w:t>
      </w:r>
      <w:r w:rsidR="00D969DF" w:rsidRPr="004635E5">
        <w:rPr>
          <w:sz w:val="22"/>
          <w:szCs w:val="22"/>
          <w:lang w:val="en-PH"/>
        </w:rPr>
        <w:t xml:space="preserve">He noted the works of the SC’s </w:t>
      </w:r>
      <w:r w:rsidR="002615AE" w:rsidRPr="004635E5">
        <w:rPr>
          <w:sz w:val="22"/>
          <w:szCs w:val="22"/>
          <w:lang w:val="en-PH"/>
        </w:rPr>
        <w:t xml:space="preserve">theme conveners </w:t>
      </w:r>
      <w:r w:rsidR="000A5769" w:rsidRPr="004635E5">
        <w:rPr>
          <w:sz w:val="22"/>
          <w:szCs w:val="22"/>
          <w:lang w:val="en-PH"/>
        </w:rPr>
        <w:t>who facilitate the main technical discussions</w:t>
      </w:r>
      <w:r w:rsidR="00D969DF" w:rsidRPr="004635E5">
        <w:rPr>
          <w:sz w:val="22"/>
          <w:szCs w:val="22"/>
          <w:lang w:val="en-PH"/>
        </w:rPr>
        <w:t xml:space="preserve">, and observed that </w:t>
      </w:r>
      <w:r w:rsidR="000A5769" w:rsidRPr="004635E5">
        <w:rPr>
          <w:sz w:val="22"/>
          <w:szCs w:val="22"/>
          <w:lang w:val="en-PH"/>
        </w:rPr>
        <w:t xml:space="preserve">progress </w:t>
      </w:r>
      <w:r w:rsidR="00D969DF" w:rsidRPr="004635E5">
        <w:rPr>
          <w:sz w:val="22"/>
          <w:szCs w:val="22"/>
          <w:lang w:val="en-PH"/>
        </w:rPr>
        <w:t xml:space="preserve">in </w:t>
      </w:r>
      <w:r w:rsidR="000A5769" w:rsidRPr="004635E5">
        <w:rPr>
          <w:sz w:val="22"/>
          <w:szCs w:val="22"/>
          <w:lang w:val="en-PH"/>
        </w:rPr>
        <w:t xml:space="preserve">a number of </w:t>
      </w:r>
      <w:r w:rsidR="00D969DF" w:rsidRPr="004635E5">
        <w:rPr>
          <w:sz w:val="22"/>
          <w:szCs w:val="22"/>
          <w:lang w:val="en-PH"/>
        </w:rPr>
        <w:t xml:space="preserve">the </w:t>
      </w:r>
      <w:r w:rsidR="000A5769" w:rsidRPr="004635E5">
        <w:rPr>
          <w:sz w:val="22"/>
          <w:szCs w:val="22"/>
          <w:lang w:val="en-PH"/>
        </w:rPr>
        <w:t xml:space="preserve">key work areas of the Commission </w:t>
      </w:r>
      <w:r w:rsidR="00D969DF" w:rsidRPr="004635E5">
        <w:rPr>
          <w:sz w:val="22"/>
          <w:szCs w:val="22"/>
          <w:lang w:val="en-PH"/>
        </w:rPr>
        <w:t xml:space="preserve">were </w:t>
      </w:r>
      <w:r w:rsidR="000A5769" w:rsidRPr="004635E5">
        <w:rPr>
          <w:sz w:val="22"/>
          <w:szCs w:val="22"/>
          <w:lang w:val="en-PH"/>
        </w:rPr>
        <w:t xml:space="preserve">contingent on the outcomes of </w:t>
      </w:r>
      <w:r w:rsidR="00D969DF" w:rsidRPr="004635E5">
        <w:rPr>
          <w:sz w:val="22"/>
          <w:szCs w:val="22"/>
          <w:lang w:val="en-PH"/>
        </w:rPr>
        <w:t xml:space="preserve">the SC14’s </w:t>
      </w:r>
      <w:r w:rsidR="000A5769" w:rsidRPr="004635E5">
        <w:rPr>
          <w:sz w:val="22"/>
          <w:szCs w:val="22"/>
          <w:lang w:val="en-PH"/>
        </w:rPr>
        <w:t xml:space="preserve">work. </w:t>
      </w:r>
      <w:r w:rsidR="00D969DF" w:rsidRPr="004635E5">
        <w:rPr>
          <w:sz w:val="22"/>
          <w:szCs w:val="22"/>
          <w:lang w:val="en-PH"/>
        </w:rPr>
        <w:t xml:space="preserve">He closed by wishing SC </w:t>
      </w:r>
      <w:r w:rsidR="000A5769" w:rsidRPr="004635E5">
        <w:rPr>
          <w:sz w:val="22"/>
          <w:szCs w:val="22"/>
          <w:lang w:val="en-PH"/>
        </w:rPr>
        <w:t>good and productive deliberations.</w:t>
      </w:r>
      <w:r w:rsidR="00111F32" w:rsidRPr="004635E5">
        <w:rPr>
          <w:sz w:val="22"/>
          <w:szCs w:val="22"/>
          <w:lang w:val="en-PH"/>
        </w:rPr>
        <w:t xml:space="preserve"> </w:t>
      </w:r>
      <w:r w:rsidR="002D5D17" w:rsidRPr="004635E5">
        <w:rPr>
          <w:sz w:val="22"/>
          <w:szCs w:val="22"/>
          <w:lang w:val="en-PH"/>
        </w:rPr>
        <w:t xml:space="preserve">His </w:t>
      </w:r>
      <w:r w:rsidR="002D5D17" w:rsidRPr="004635E5">
        <w:rPr>
          <w:sz w:val="22"/>
          <w:szCs w:val="22"/>
        </w:rPr>
        <w:t xml:space="preserve">full remarks are appended as </w:t>
      </w:r>
      <w:r w:rsidR="00111F32" w:rsidRPr="004635E5">
        <w:rPr>
          <w:sz w:val="22"/>
          <w:szCs w:val="22"/>
          <w:lang w:val="en-PH"/>
        </w:rPr>
        <w:t>Attachment D</w:t>
      </w:r>
      <w:r w:rsidR="002D5D17" w:rsidRPr="004635E5">
        <w:rPr>
          <w:sz w:val="22"/>
          <w:szCs w:val="22"/>
          <w:lang w:val="en-PH"/>
        </w:rPr>
        <w:t>.</w:t>
      </w:r>
    </w:p>
    <w:p w14:paraId="7C0838AA" w14:textId="77777777" w:rsidR="00D969DF" w:rsidRPr="004635E5" w:rsidRDefault="00D969DF" w:rsidP="006633A8">
      <w:pPr>
        <w:autoSpaceDE w:val="0"/>
        <w:autoSpaceDN w:val="0"/>
        <w:adjustRightInd w:val="0"/>
        <w:snapToGrid w:val="0"/>
        <w:jc w:val="both"/>
        <w:rPr>
          <w:sz w:val="22"/>
          <w:szCs w:val="22"/>
          <w:highlight w:val="cyan"/>
          <w:lang w:val="en-PH"/>
        </w:rPr>
      </w:pPr>
    </w:p>
    <w:p w14:paraId="6272BD81" w14:textId="77777777" w:rsidR="007C74FA" w:rsidRPr="004635E5" w:rsidRDefault="00C73B87" w:rsidP="00580EA4">
      <w:pPr>
        <w:numPr>
          <w:ilvl w:val="0"/>
          <w:numId w:val="18"/>
        </w:numPr>
        <w:autoSpaceDE w:val="0"/>
        <w:autoSpaceDN w:val="0"/>
        <w:adjustRightInd w:val="0"/>
        <w:snapToGrid w:val="0"/>
        <w:ind w:left="0" w:firstLine="0"/>
        <w:jc w:val="both"/>
        <w:rPr>
          <w:rFonts w:eastAsia="Batang"/>
          <w:sz w:val="22"/>
          <w:szCs w:val="22"/>
          <w:lang w:eastAsia="ko-KR"/>
        </w:rPr>
      </w:pPr>
      <w:r w:rsidRPr="004635E5">
        <w:rPr>
          <w:rFonts w:eastAsia="Batang"/>
          <w:sz w:val="22"/>
          <w:szCs w:val="22"/>
          <w:lang w:eastAsia="ko-KR"/>
        </w:rPr>
        <w:t xml:space="preserve">Delegates were welcomed by </w:t>
      </w:r>
      <w:r w:rsidR="002D5D17" w:rsidRPr="004635E5">
        <w:rPr>
          <w:rFonts w:eastAsia="Batang"/>
          <w:sz w:val="22"/>
          <w:szCs w:val="22"/>
          <w:lang w:eastAsia="ko-KR"/>
        </w:rPr>
        <w:t xml:space="preserve">the </w:t>
      </w:r>
      <w:r w:rsidRPr="004635E5">
        <w:rPr>
          <w:rFonts w:eastAsia="Batang"/>
          <w:sz w:val="22"/>
          <w:szCs w:val="22"/>
          <w:lang w:eastAsia="ko-KR"/>
        </w:rPr>
        <w:t xml:space="preserve">SC Chair </w:t>
      </w:r>
      <w:r w:rsidRPr="004635E5">
        <w:rPr>
          <w:rFonts w:eastAsia="Batang"/>
          <w:sz w:val="22"/>
          <w:szCs w:val="22"/>
          <w:lang w:val="fr-FR" w:eastAsia="ko-KR"/>
        </w:rPr>
        <w:t xml:space="preserve">Ueta Jr. Faasili </w:t>
      </w:r>
      <w:r w:rsidRPr="004635E5">
        <w:rPr>
          <w:rFonts w:eastAsia="Batang"/>
          <w:sz w:val="22"/>
          <w:szCs w:val="22"/>
          <w:lang w:eastAsia="ko-KR"/>
        </w:rPr>
        <w:t xml:space="preserve">(Samoa). He thanked the government of Korea its help in hosting the meeting and supporting the work of the SC. He also thanked the Executive Director and the Secretariat, the theme conveners, </w:t>
      </w:r>
      <w:r w:rsidR="002D5D17" w:rsidRPr="004635E5">
        <w:rPr>
          <w:rFonts w:eastAsia="Batang"/>
          <w:sz w:val="22"/>
          <w:szCs w:val="22"/>
          <w:lang w:eastAsia="ko-KR"/>
        </w:rPr>
        <w:t>SPC-</w:t>
      </w:r>
      <w:r w:rsidRPr="004635E5">
        <w:rPr>
          <w:rFonts w:eastAsia="Batang"/>
          <w:sz w:val="22"/>
          <w:szCs w:val="22"/>
          <w:lang w:eastAsia="ko-KR"/>
        </w:rPr>
        <w:t xml:space="preserve">OFP, and all those involved in preparing the papers to be discussed at the meeting. He also thanked all the WCPFC members for their work in progressing the work of the Commission through the SC. He </w:t>
      </w:r>
      <w:r w:rsidRPr="004635E5">
        <w:rPr>
          <w:sz w:val="22"/>
          <w:szCs w:val="22"/>
          <w:lang w:val="en-AU"/>
        </w:rPr>
        <w:t>stated that in Samoa, if you want to fi</w:t>
      </w:r>
      <w:r w:rsidR="00D74A8A" w:rsidRPr="004635E5">
        <w:rPr>
          <w:sz w:val="22"/>
          <w:szCs w:val="22"/>
          <w:lang w:val="en-AU"/>
        </w:rPr>
        <w:t xml:space="preserve">nd shells, </w:t>
      </w:r>
      <w:r w:rsidRPr="004635E5">
        <w:rPr>
          <w:sz w:val="22"/>
          <w:szCs w:val="22"/>
          <w:lang w:val="en-AU"/>
        </w:rPr>
        <w:t xml:space="preserve">you </w:t>
      </w:r>
      <w:r w:rsidR="00D74A8A" w:rsidRPr="004635E5">
        <w:rPr>
          <w:sz w:val="22"/>
          <w:szCs w:val="22"/>
          <w:lang w:val="en-AU"/>
        </w:rPr>
        <w:t xml:space="preserve">walk </w:t>
      </w:r>
      <w:r w:rsidRPr="004635E5">
        <w:rPr>
          <w:sz w:val="22"/>
          <w:szCs w:val="22"/>
          <w:lang w:val="en-AU"/>
        </w:rPr>
        <w:t xml:space="preserve">on the </w:t>
      </w:r>
      <w:r w:rsidR="00D74A8A" w:rsidRPr="004635E5">
        <w:rPr>
          <w:sz w:val="22"/>
          <w:szCs w:val="22"/>
          <w:lang w:val="en-AU"/>
        </w:rPr>
        <w:t>beach</w:t>
      </w:r>
      <w:r w:rsidR="00F47D4E" w:rsidRPr="004635E5">
        <w:rPr>
          <w:sz w:val="22"/>
          <w:szCs w:val="22"/>
          <w:lang w:val="en-AU"/>
        </w:rPr>
        <w:t xml:space="preserve">, while if </w:t>
      </w:r>
      <w:r w:rsidRPr="004635E5">
        <w:rPr>
          <w:sz w:val="22"/>
          <w:szCs w:val="22"/>
          <w:lang w:val="en-AU"/>
        </w:rPr>
        <w:t xml:space="preserve">you seek a </w:t>
      </w:r>
      <w:r w:rsidR="00D74A8A" w:rsidRPr="004635E5">
        <w:rPr>
          <w:sz w:val="22"/>
          <w:szCs w:val="22"/>
          <w:lang w:val="en-AU"/>
        </w:rPr>
        <w:t xml:space="preserve">beautiful pearl, </w:t>
      </w:r>
      <w:r w:rsidRPr="004635E5">
        <w:rPr>
          <w:sz w:val="22"/>
          <w:szCs w:val="22"/>
          <w:lang w:val="en-AU"/>
        </w:rPr>
        <w:t xml:space="preserve">you </w:t>
      </w:r>
      <w:r w:rsidR="00D74A8A" w:rsidRPr="004635E5">
        <w:rPr>
          <w:sz w:val="22"/>
          <w:szCs w:val="22"/>
          <w:lang w:val="en-AU"/>
        </w:rPr>
        <w:t xml:space="preserve">dive </w:t>
      </w:r>
      <w:r w:rsidRPr="004635E5">
        <w:rPr>
          <w:sz w:val="22"/>
          <w:szCs w:val="22"/>
          <w:lang w:val="en-AU"/>
        </w:rPr>
        <w:t xml:space="preserve">in the </w:t>
      </w:r>
      <w:r w:rsidR="00D74A8A" w:rsidRPr="004635E5">
        <w:rPr>
          <w:sz w:val="22"/>
          <w:szCs w:val="22"/>
          <w:lang w:val="en-AU"/>
        </w:rPr>
        <w:t>deep blue sea</w:t>
      </w:r>
      <w:r w:rsidRPr="004635E5">
        <w:rPr>
          <w:sz w:val="22"/>
          <w:szCs w:val="22"/>
          <w:lang w:val="en-AU"/>
        </w:rPr>
        <w:t xml:space="preserve">. He encouraged participants to </w:t>
      </w:r>
      <w:r w:rsidR="00D74A8A" w:rsidRPr="004635E5">
        <w:rPr>
          <w:sz w:val="22"/>
          <w:szCs w:val="22"/>
          <w:lang w:val="en-AU"/>
        </w:rPr>
        <w:t xml:space="preserve">dive deep </w:t>
      </w:r>
      <w:r w:rsidRPr="004635E5">
        <w:rPr>
          <w:sz w:val="22"/>
          <w:szCs w:val="22"/>
          <w:lang w:val="en-AU"/>
        </w:rPr>
        <w:t>and produce the recommendations that SC14 needs</w:t>
      </w:r>
      <w:r w:rsidR="00F47D4E" w:rsidRPr="004635E5">
        <w:rPr>
          <w:sz w:val="22"/>
          <w:szCs w:val="22"/>
          <w:lang w:val="en-AU"/>
        </w:rPr>
        <w:t xml:space="preserve">, and </w:t>
      </w:r>
      <w:r w:rsidRPr="004635E5">
        <w:rPr>
          <w:sz w:val="22"/>
          <w:szCs w:val="22"/>
          <w:lang w:val="en-AU"/>
        </w:rPr>
        <w:t>d</w:t>
      </w:r>
      <w:r w:rsidR="00D74A8A" w:rsidRPr="004635E5">
        <w:rPr>
          <w:sz w:val="22"/>
          <w:szCs w:val="22"/>
          <w:lang w:val="en-AU"/>
        </w:rPr>
        <w:t>eclare</w:t>
      </w:r>
      <w:r w:rsidRPr="004635E5">
        <w:rPr>
          <w:sz w:val="22"/>
          <w:szCs w:val="22"/>
          <w:lang w:val="en-AU"/>
        </w:rPr>
        <w:t>d</w:t>
      </w:r>
      <w:r w:rsidR="00D74A8A" w:rsidRPr="004635E5">
        <w:rPr>
          <w:sz w:val="22"/>
          <w:szCs w:val="22"/>
          <w:lang w:val="en-AU"/>
        </w:rPr>
        <w:t xml:space="preserve"> </w:t>
      </w:r>
      <w:r w:rsidRPr="004635E5">
        <w:rPr>
          <w:sz w:val="22"/>
          <w:szCs w:val="22"/>
          <w:lang w:val="en-AU"/>
        </w:rPr>
        <w:t xml:space="preserve">the </w:t>
      </w:r>
      <w:r w:rsidR="00D74A8A" w:rsidRPr="004635E5">
        <w:rPr>
          <w:sz w:val="22"/>
          <w:szCs w:val="22"/>
          <w:lang w:val="en-AU"/>
        </w:rPr>
        <w:t>meeting open</w:t>
      </w:r>
      <w:r w:rsidR="00A16680" w:rsidRPr="004635E5">
        <w:rPr>
          <w:sz w:val="22"/>
          <w:szCs w:val="22"/>
          <w:lang w:val="en-AU"/>
        </w:rPr>
        <w:t xml:space="preserve">. </w:t>
      </w:r>
    </w:p>
    <w:p w14:paraId="66DCDF7E" w14:textId="77777777" w:rsidR="00111F32" w:rsidRPr="004635E5" w:rsidRDefault="00111F32" w:rsidP="006633A8">
      <w:pPr>
        <w:autoSpaceDE w:val="0"/>
        <w:autoSpaceDN w:val="0"/>
        <w:adjustRightInd w:val="0"/>
        <w:snapToGrid w:val="0"/>
        <w:jc w:val="both"/>
        <w:rPr>
          <w:rFonts w:eastAsia="Batang"/>
          <w:sz w:val="22"/>
          <w:szCs w:val="22"/>
          <w:lang w:eastAsia="ko-KR"/>
        </w:rPr>
      </w:pPr>
    </w:p>
    <w:p w14:paraId="4276D89D" w14:textId="77777777" w:rsidR="00A2122B" w:rsidRPr="004635E5" w:rsidRDefault="00A2122B" w:rsidP="00580EA4">
      <w:pPr>
        <w:pStyle w:val="SC2"/>
        <w:numPr>
          <w:ilvl w:val="1"/>
          <w:numId w:val="161"/>
        </w:numPr>
        <w:spacing w:after="0"/>
        <w:ind w:left="0" w:firstLine="0"/>
      </w:pPr>
      <w:r w:rsidRPr="004635E5">
        <w:t xml:space="preserve">Meeting arrangements </w:t>
      </w:r>
    </w:p>
    <w:p w14:paraId="6460D1D4" w14:textId="77777777" w:rsidR="0063725B" w:rsidRPr="004635E5" w:rsidRDefault="0063725B" w:rsidP="006633A8">
      <w:pPr>
        <w:pStyle w:val="SC2"/>
        <w:numPr>
          <w:ilvl w:val="0"/>
          <w:numId w:val="0"/>
        </w:numPr>
        <w:spacing w:after="0"/>
        <w:ind w:left="720"/>
      </w:pPr>
    </w:p>
    <w:p w14:paraId="715EA733" w14:textId="77777777" w:rsidR="00A2122B" w:rsidRPr="004635E5" w:rsidRDefault="00A2122B" w:rsidP="00580EA4">
      <w:pPr>
        <w:numPr>
          <w:ilvl w:val="0"/>
          <w:numId w:val="18"/>
        </w:numPr>
        <w:autoSpaceDE w:val="0"/>
        <w:autoSpaceDN w:val="0"/>
        <w:adjustRightInd w:val="0"/>
        <w:snapToGrid w:val="0"/>
        <w:ind w:left="0" w:firstLine="0"/>
        <w:jc w:val="both"/>
        <w:rPr>
          <w:rFonts w:eastAsia="Batang"/>
          <w:sz w:val="22"/>
          <w:szCs w:val="22"/>
          <w:lang w:eastAsia="ko-KR"/>
        </w:rPr>
      </w:pPr>
      <w:r w:rsidRPr="004635E5">
        <w:rPr>
          <w:sz w:val="22"/>
          <w:szCs w:val="22"/>
          <w:lang w:val="en-NZ"/>
        </w:rPr>
        <w:t>The Chair outline</w:t>
      </w:r>
      <w:r w:rsidR="00A31678" w:rsidRPr="004635E5">
        <w:rPr>
          <w:sz w:val="22"/>
          <w:szCs w:val="22"/>
          <w:lang w:val="en-NZ"/>
        </w:rPr>
        <w:t>d</w:t>
      </w:r>
      <w:r w:rsidRPr="004635E5">
        <w:rPr>
          <w:sz w:val="22"/>
          <w:szCs w:val="22"/>
          <w:lang w:val="en-NZ"/>
        </w:rPr>
        <w:t xml:space="preserve"> procedural matters</w:t>
      </w:r>
      <w:r w:rsidR="00A31678" w:rsidRPr="004635E5">
        <w:rPr>
          <w:sz w:val="22"/>
          <w:szCs w:val="22"/>
          <w:lang w:val="en-NZ"/>
        </w:rPr>
        <w:t>,</w:t>
      </w:r>
      <w:r w:rsidRPr="004635E5">
        <w:rPr>
          <w:sz w:val="22"/>
          <w:szCs w:val="22"/>
          <w:lang w:val="en-NZ"/>
        </w:rPr>
        <w:t xml:space="preserve"> including the </w:t>
      </w:r>
      <w:r w:rsidR="00014F82" w:rsidRPr="004635E5">
        <w:rPr>
          <w:sz w:val="22"/>
          <w:szCs w:val="22"/>
          <w:lang w:val="en-NZ"/>
        </w:rPr>
        <w:t xml:space="preserve">meeting </w:t>
      </w:r>
      <w:r w:rsidRPr="004635E5">
        <w:rPr>
          <w:sz w:val="22"/>
          <w:szCs w:val="22"/>
          <w:lang w:val="en-NZ"/>
        </w:rPr>
        <w:t xml:space="preserve">schedule, administrative arrangements, and </w:t>
      </w:r>
      <w:r w:rsidR="001F13C6" w:rsidRPr="004635E5">
        <w:rPr>
          <w:sz w:val="22"/>
          <w:szCs w:val="22"/>
          <w:lang w:val="en-NZ"/>
        </w:rPr>
        <w:t>the</w:t>
      </w:r>
      <w:r w:rsidRPr="004635E5">
        <w:rPr>
          <w:rFonts w:eastAsia="Batang"/>
          <w:sz w:val="22"/>
          <w:szCs w:val="22"/>
          <w:lang w:eastAsia="ko-KR"/>
        </w:rPr>
        <w:t xml:space="preserve"> list of theme conveners</w:t>
      </w:r>
      <w:r w:rsidR="00A31678" w:rsidRPr="004635E5">
        <w:rPr>
          <w:rFonts w:eastAsia="Batang"/>
          <w:sz w:val="22"/>
          <w:szCs w:val="22"/>
          <w:lang w:eastAsia="ko-KR"/>
        </w:rPr>
        <w:t xml:space="preserve">. The theme conveners and their assigned </w:t>
      </w:r>
      <w:r w:rsidR="00F0331E" w:rsidRPr="004635E5">
        <w:rPr>
          <w:rFonts w:eastAsia="Batang"/>
          <w:sz w:val="22"/>
          <w:szCs w:val="22"/>
          <w:lang w:eastAsia="ko-KR"/>
        </w:rPr>
        <w:t xml:space="preserve">items </w:t>
      </w:r>
      <w:r w:rsidR="00A31678" w:rsidRPr="004635E5">
        <w:rPr>
          <w:rFonts w:eastAsia="Batang"/>
          <w:sz w:val="22"/>
          <w:szCs w:val="22"/>
          <w:lang w:eastAsia="ko-KR"/>
        </w:rPr>
        <w:t>were</w:t>
      </w:r>
      <w:r w:rsidR="002D5D17" w:rsidRPr="004635E5">
        <w:rPr>
          <w:rFonts w:eastAsia="Batang"/>
          <w:sz w:val="22"/>
          <w:szCs w:val="22"/>
          <w:lang w:eastAsia="ko-KR"/>
        </w:rPr>
        <w:t>:</w:t>
      </w:r>
      <w:r w:rsidR="00A31678" w:rsidRPr="004635E5">
        <w:rPr>
          <w:rFonts w:eastAsia="Batang"/>
          <w:sz w:val="22"/>
          <w:szCs w:val="22"/>
          <w:lang w:eastAsia="ko-KR"/>
        </w:rPr>
        <w:t xml:space="preserve"> </w:t>
      </w:r>
    </w:p>
    <w:p w14:paraId="57415307" w14:textId="77777777" w:rsidR="00A2122B" w:rsidRPr="004635E5" w:rsidRDefault="00A2122B" w:rsidP="006633A8">
      <w:pPr>
        <w:adjustRightInd w:val="0"/>
        <w:snapToGrid w:val="0"/>
        <w:ind w:left="720"/>
        <w:jc w:val="both"/>
        <w:rPr>
          <w:rFonts w:eastAsia="Batang"/>
          <w:sz w:val="22"/>
          <w:szCs w:val="22"/>
          <w:lang w:eastAsia="ko-KR"/>
        </w:rPr>
      </w:pPr>
    </w:p>
    <w:tbl>
      <w:tblPr>
        <w:tblW w:w="4793"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230"/>
        <w:gridCol w:w="4950"/>
      </w:tblGrid>
      <w:tr w:rsidR="00DC5D85" w:rsidRPr="004635E5" w14:paraId="0B431512" w14:textId="77777777" w:rsidTr="002D5D17">
        <w:tc>
          <w:tcPr>
            <w:tcW w:w="2304" w:type="pct"/>
            <w:vAlign w:val="center"/>
          </w:tcPr>
          <w:p w14:paraId="001B04FF" w14:textId="77777777" w:rsidR="00295DEA" w:rsidRPr="004635E5" w:rsidRDefault="00A31678" w:rsidP="006633A8">
            <w:pPr>
              <w:adjustRightInd w:val="0"/>
              <w:snapToGrid w:val="0"/>
              <w:ind w:left="162"/>
              <w:jc w:val="both"/>
              <w:rPr>
                <w:rFonts w:eastAsiaTheme="minorEastAsia"/>
                <w:sz w:val="22"/>
                <w:szCs w:val="22"/>
                <w:lang w:eastAsia="ko-KR"/>
              </w:rPr>
            </w:pPr>
            <w:r w:rsidRPr="004635E5">
              <w:rPr>
                <w:rFonts w:eastAsiaTheme="minorEastAsia"/>
                <w:sz w:val="22"/>
                <w:szCs w:val="22"/>
                <w:lang w:eastAsia="ko-KR"/>
              </w:rPr>
              <w:t xml:space="preserve">Data and Statistics </w:t>
            </w:r>
          </w:p>
        </w:tc>
        <w:tc>
          <w:tcPr>
            <w:tcW w:w="2696" w:type="pct"/>
            <w:shd w:val="clear" w:color="auto" w:fill="auto"/>
          </w:tcPr>
          <w:p w14:paraId="279B48C2" w14:textId="77777777" w:rsidR="00295DEA" w:rsidRPr="004635E5" w:rsidRDefault="003C0F3B" w:rsidP="006633A8">
            <w:pPr>
              <w:adjustRightInd w:val="0"/>
              <w:snapToGrid w:val="0"/>
              <w:jc w:val="both"/>
              <w:rPr>
                <w:rFonts w:eastAsiaTheme="minorEastAsia"/>
                <w:sz w:val="22"/>
                <w:szCs w:val="22"/>
                <w:lang w:val="fr-FR" w:eastAsia="ko-KR"/>
              </w:rPr>
            </w:pPr>
            <w:r w:rsidRPr="004635E5">
              <w:rPr>
                <w:rFonts w:eastAsiaTheme="minorEastAsia"/>
                <w:sz w:val="22"/>
                <w:szCs w:val="22"/>
                <w:lang w:val="fr-FR" w:eastAsia="ko-KR"/>
              </w:rPr>
              <w:t>V</w:t>
            </w:r>
            <w:r w:rsidR="002D5D17" w:rsidRPr="004635E5">
              <w:rPr>
                <w:rFonts w:eastAsiaTheme="minorEastAsia"/>
                <w:sz w:val="22"/>
                <w:szCs w:val="22"/>
                <w:lang w:val="fr-FR" w:eastAsia="ko-KR"/>
              </w:rPr>
              <w:t xml:space="preserve">. </w:t>
            </w:r>
            <w:r w:rsidR="003C7748" w:rsidRPr="004635E5">
              <w:rPr>
                <w:rFonts w:eastAsiaTheme="minorEastAsia"/>
                <w:sz w:val="22"/>
                <w:szCs w:val="22"/>
                <w:lang w:val="fr-FR" w:eastAsia="ko-KR"/>
              </w:rPr>
              <w:t>Post</w:t>
            </w:r>
            <w:r w:rsidR="00434D4E" w:rsidRPr="004635E5">
              <w:rPr>
                <w:rFonts w:eastAsiaTheme="minorEastAsia"/>
                <w:sz w:val="22"/>
                <w:szCs w:val="22"/>
                <w:lang w:val="fr-FR" w:eastAsia="ko-KR"/>
              </w:rPr>
              <w:t xml:space="preserve"> </w:t>
            </w:r>
            <w:r w:rsidR="002D5D17" w:rsidRPr="004635E5">
              <w:rPr>
                <w:rFonts w:eastAsiaTheme="minorEastAsia"/>
                <w:sz w:val="22"/>
                <w:szCs w:val="22"/>
                <w:lang w:val="fr-FR" w:eastAsia="ko-KR"/>
              </w:rPr>
              <w:t>(USA)</w:t>
            </w:r>
          </w:p>
        </w:tc>
      </w:tr>
      <w:tr w:rsidR="00DC5D85" w:rsidRPr="004635E5" w14:paraId="56E97637" w14:textId="77777777" w:rsidTr="002D5D17">
        <w:tc>
          <w:tcPr>
            <w:tcW w:w="2304" w:type="pct"/>
            <w:vAlign w:val="center"/>
          </w:tcPr>
          <w:p w14:paraId="278C0631" w14:textId="77777777" w:rsidR="00295DEA" w:rsidRPr="004635E5" w:rsidRDefault="00A31678" w:rsidP="006633A8">
            <w:pPr>
              <w:adjustRightInd w:val="0"/>
              <w:snapToGrid w:val="0"/>
              <w:ind w:left="162"/>
              <w:jc w:val="both"/>
              <w:rPr>
                <w:rFonts w:eastAsiaTheme="minorEastAsia"/>
                <w:sz w:val="22"/>
                <w:szCs w:val="22"/>
                <w:lang w:eastAsia="ko-KR"/>
              </w:rPr>
            </w:pPr>
            <w:r w:rsidRPr="004635E5">
              <w:rPr>
                <w:rFonts w:eastAsiaTheme="minorEastAsia"/>
                <w:sz w:val="22"/>
                <w:szCs w:val="22"/>
                <w:lang w:eastAsia="ko-KR"/>
              </w:rPr>
              <w:t xml:space="preserve">Stock </w:t>
            </w:r>
            <w:r w:rsidR="002D5D17" w:rsidRPr="004635E5">
              <w:rPr>
                <w:rFonts w:eastAsiaTheme="minorEastAsia"/>
                <w:sz w:val="22"/>
                <w:szCs w:val="22"/>
                <w:lang w:eastAsia="ko-KR"/>
              </w:rPr>
              <w:t>A</w:t>
            </w:r>
            <w:r w:rsidRPr="004635E5">
              <w:rPr>
                <w:rFonts w:eastAsiaTheme="minorEastAsia"/>
                <w:sz w:val="22"/>
                <w:szCs w:val="22"/>
                <w:lang w:eastAsia="ko-KR"/>
              </w:rPr>
              <w:t xml:space="preserve">ssessment </w:t>
            </w:r>
          </w:p>
        </w:tc>
        <w:tc>
          <w:tcPr>
            <w:tcW w:w="2696" w:type="pct"/>
            <w:shd w:val="clear" w:color="auto" w:fill="auto"/>
          </w:tcPr>
          <w:p w14:paraId="41D6578C" w14:textId="77777777" w:rsidR="00295DEA" w:rsidRPr="004635E5" w:rsidRDefault="00295DEA" w:rsidP="006633A8">
            <w:pPr>
              <w:adjustRightInd w:val="0"/>
              <w:snapToGrid w:val="0"/>
              <w:jc w:val="both"/>
              <w:rPr>
                <w:rFonts w:eastAsiaTheme="minorEastAsia"/>
                <w:sz w:val="22"/>
                <w:szCs w:val="22"/>
                <w:lang w:eastAsia="ko-KR"/>
              </w:rPr>
            </w:pPr>
            <w:r w:rsidRPr="004635E5">
              <w:rPr>
                <w:sz w:val="22"/>
                <w:szCs w:val="22"/>
              </w:rPr>
              <w:t>J</w:t>
            </w:r>
            <w:r w:rsidR="002D5D17" w:rsidRPr="004635E5">
              <w:rPr>
                <w:sz w:val="22"/>
                <w:szCs w:val="22"/>
              </w:rPr>
              <w:t>.</w:t>
            </w:r>
            <w:r w:rsidRPr="004635E5">
              <w:rPr>
                <w:sz w:val="22"/>
                <w:szCs w:val="22"/>
              </w:rPr>
              <w:t xml:space="preserve"> Brodziak</w:t>
            </w:r>
            <w:r w:rsidRPr="004635E5">
              <w:rPr>
                <w:rFonts w:eastAsiaTheme="minorEastAsia"/>
                <w:sz w:val="22"/>
                <w:szCs w:val="22"/>
                <w:lang w:eastAsia="ko-KR"/>
              </w:rPr>
              <w:t xml:space="preserve"> </w:t>
            </w:r>
            <w:r w:rsidR="002D5D17" w:rsidRPr="004635E5">
              <w:rPr>
                <w:rFonts w:eastAsiaTheme="minorEastAsia"/>
                <w:sz w:val="22"/>
                <w:szCs w:val="22"/>
                <w:lang w:eastAsia="ko-KR"/>
              </w:rPr>
              <w:t xml:space="preserve">(USA) and </w:t>
            </w:r>
            <w:r w:rsidR="0048600E" w:rsidRPr="004635E5">
              <w:rPr>
                <w:sz w:val="22"/>
                <w:szCs w:val="22"/>
              </w:rPr>
              <w:t>H</w:t>
            </w:r>
            <w:r w:rsidR="002D5D17" w:rsidRPr="004635E5">
              <w:rPr>
                <w:sz w:val="22"/>
                <w:szCs w:val="22"/>
              </w:rPr>
              <w:t>.</w:t>
            </w:r>
            <w:r w:rsidR="0048600E" w:rsidRPr="004635E5">
              <w:rPr>
                <w:sz w:val="22"/>
                <w:szCs w:val="22"/>
              </w:rPr>
              <w:t xml:space="preserve"> Minami</w:t>
            </w:r>
            <w:r w:rsidR="002D5D17" w:rsidRPr="004635E5">
              <w:rPr>
                <w:sz w:val="22"/>
                <w:szCs w:val="22"/>
              </w:rPr>
              <w:t xml:space="preserve"> (Japan)</w:t>
            </w:r>
          </w:p>
        </w:tc>
      </w:tr>
      <w:tr w:rsidR="00DC5D85" w:rsidRPr="004635E5" w14:paraId="7B7883BC" w14:textId="77777777" w:rsidTr="002D5D17">
        <w:tc>
          <w:tcPr>
            <w:tcW w:w="2304" w:type="pct"/>
            <w:vAlign w:val="center"/>
          </w:tcPr>
          <w:p w14:paraId="55690C72" w14:textId="77777777" w:rsidR="00295DEA" w:rsidRPr="004635E5" w:rsidRDefault="00A31678" w:rsidP="006633A8">
            <w:pPr>
              <w:adjustRightInd w:val="0"/>
              <w:snapToGrid w:val="0"/>
              <w:ind w:left="162"/>
              <w:jc w:val="both"/>
              <w:rPr>
                <w:rFonts w:eastAsiaTheme="minorEastAsia"/>
                <w:sz w:val="22"/>
                <w:szCs w:val="22"/>
                <w:lang w:eastAsia="ko-KR"/>
              </w:rPr>
            </w:pPr>
            <w:r w:rsidRPr="004635E5">
              <w:rPr>
                <w:rFonts w:eastAsiaTheme="minorEastAsia"/>
                <w:sz w:val="22"/>
                <w:szCs w:val="22"/>
                <w:lang w:eastAsia="ko-KR"/>
              </w:rPr>
              <w:t xml:space="preserve">Management Issues </w:t>
            </w:r>
          </w:p>
        </w:tc>
        <w:tc>
          <w:tcPr>
            <w:tcW w:w="2696" w:type="pct"/>
            <w:shd w:val="clear" w:color="auto" w:fill="auto"/>
          </w:tcPr>
          <w:p w14:paraId="3A0F63E8" w14:textId="77777777" w:rsidR="00295DEA" w:rsidRPr="004635E5" w:rsidRDefault="002D5D17" w:rsidP="006633A8">
            <w:pPr>
              <w:adjustRightInd w:val="0"/>
              <w:snapToGrid w:val="0"/>
              <w:jc w:val="both"/>
              <w:rPr>
                <w:rFonts w:eastAsiaTheme="minorEastAsia"/>
                <w:sz w:val="22"/>
                <w:szCs w:val="22"/>
                <w:lang w:eastAsia="ko-KR"/>
              </w:rPr>
            </w:pPr>
            <w:r w:rsidRPr="004635E5">
              <w:rPr>
                <w:sz w:val="22"/>
                <w:szCs w:val="22"/>
              </w:rPr>
              <w:t>R.</w:t>
            </w:r>
            <w:r w:rsidR="00295DEA" w:rsidRPr="004635E5">
              <w:rPr>
                <w:sz w:val="22"/>
                <w:szCs w:val="22"/>
              </w:rPr>
              <w:t xml:space="preserve"> Campbell</w:t>
            </w:r>
            <w:r w:rsidR="00295DEA" w:rsidRPr="004635E5">
              <w:rPr>
                <w:rFonts w:eastAsiaTheme="minorEastAsia"/>
                <w:sz w:val="22"/>
                <w:szCs w:val="22"/>
                <w:lang w:eastAsia="ko-KR"/>
              </w:rPr>
              <w:t xml:space="preserve"> </w:t>
            </w:r>
            <w:r w:rsidRPr="004635E5">
              <w:rPr>
                <w:rFonts w:eastAsiaTheme="minorEastAsia"/>
                <w:sz w:val="22"/>
                <w:szCs w:val="22"/>
                <w:lang w:eastAsia="ko-KR"/>
              </w:rPr>
              <w:t>(Australia)</w:t>
            </w:r>
          </w:p>
        </w:tc>
      </w:tr>
      <w:tr w:rsidR="00434D4E" w:rsidRPr="004635E5" w14:paraId="53726DE7" w14:textId="77777777" w:rsidTr="002D5D17">
        <w:tc>
          <w:tcPr>
            <w:tcW w:w="2304" w:type="pct"/>
            <w:vAlign w:val="center"/>
          </w:tcPr>
          <w:p w14:paraId="5962B5F0" w14:textId="77777777" w:rsidR="00434D4E" w:rsidRPr="004635E5" w:rsidRDefault="00A31678" w:rsidP="006633A8">
            <w:pPr>
              <w:adjustRightInd w:val="0"/>
              <w:snapToGrid w:val="0"/>
              <w:ind w:left="162"/>
              <w:jc w:val="both"/>
              <w:rPr>
                <w:rFonts w:eastAsiaTheme="minorEastAsia"/>
                <w:sz w:val="22"/>
                <w:szCs w:val="22"/>
                <w:lang w:eastAsia="ko-KR"/>
              </w:rPr>
            </w:pPr>
            <w:r w:rsidRPr="004635E5">
              <w:rPr>
                <w:rFonts w:eastAsiaTheme="minorEastAsia"/>
                <w:sz w:val="22"/>
                <w:szCs w:val="22"/>
                <w:lang w:eastAsia="ko-KR"/>
              </w:rPr>
              <w:t xml:space="preserve">Ecosystem and Bycatch Mitigation </w:t>
            </w:r>
          </w:p>
        </w:tc>
        <w:tc>
          <w:tcPr>
            <w:tcW w:w="2696" w:type="pct"/>
            <w:shd w:val="clear" w:color="auto" w:fill="auto"/>
          </w:tcPr>
          <w:p w14:paraId="3AEA8EBB" w14:textId="77777777" w:rsidR="00075D66" w:rsidRPr="004635E5" w:rsidRDefault="00434D4E" w:rsidP="006633A8">
            <w:pPr>
              <w:adjustRightInd w:val="0"/>
              <w:snapToGrid w:val="0"/>
              <w:jc w:val="both"/>
              <w:rPr>
                <w:rFonts w:eastAsiaTheme="minorEastAsia"/>
                <w:sz w:val="22"/>
                <w:szCs w:val="22"/>
                <w:lang w:eastAsia="ko-KR"/>
              </w:rPr>
            </w:pPr>
            <w:r w:rsidRPr="004635E5">
              <w:rPr>
                <w:sz w:val="22"/>
                <w:szCs w:val="22"/>
              </w:rPr>
              <w:t>J</w:t>
            </w:r>
            <w:r w:rsidR="002D5D17" w:rsidRPr="004635E5">
              <w:rPr>
                <w:sz w:val="22"/>
                <w:szCs w:val="22"/>
              </w:rPr>
              <w:t>.</w:t>
            </w:r>
            <w:r w:rsidRPr="004635E5">
              <w:rPr>
                <w:sz w:val="22"/>
                <w:szCs w:val="22"/>
              </w:rPr>
              <w:t xml:space="preserve"> Annala </w:t>
            </w:r>
            <w:r w:rsidR="002D5D17" w:rsidRPr="004635E5">
              <w:rPr>
                <w:sz w:val="22"/>
                <w:szCs w:val="22"/>
              </w:rPr>
              <w:t>(</w:t>
            </w:r>
            <w:r w:rsidR="002E39E9" w:rsidRPr="004635E5">
              <w:rPr>
                <w:sz w:val="22"/>
                <w:szCs w:val="22"/>
              </w:rPr>
              <w:t>New Zealand</w:t>
            </w:r>
            <w:r w:rsidR="002D5D17" w:rsidRPr="004635E5">
              <w:rPr>
                <w:sz w:val="22"/>
                <w:szCs w:val="22"/>
              </w:rPr>
              <w:t xml:space="preserve">) and </w:t>
            </w:r>
            <w:r w:rsidR="00075D66" w:rsidRPr="004635E5">
              <w:rPr>
                <w:sz w:val="22"/>
                <w:szCs w:val="22"/>
              </w:rPr>
              <w:t>Y</w:t>
            </w:r>
            <w:r w:rsidR="002D5D17" w:rsidRPr="004635E5">
              <w:rPr>
                <w:sz w:val="22"/>
                <w:szCs w:val="22"/>
              </w:rPr>
              <w:t>.</w:t>
            </w:r>
            <w:r w:rsidR="00075D66" w:rsidRPr="004635E5">
              <w:rPr>
                <w:sz w:val="22"/>
                <w:szCs w:val="22"/>
              </w:rPr>
              <w:t xml:space="preserve"> Swimmer</w:t>
            </w:r>
            <w:r w:rsidR="002D5D17" w:rsidRPr="004635E5">
              <w:rPr>
                <w:sz w:val="22"/>
                <w:szCs w:val="22"/>
              </w:rPr>
              <w:t xml:space="preserve"> (USA)</w:t>
            </w:r>
          </w:p>
        </w:tc>
      </w:tr>
    </w:tbl>
    <w:p w14:paraId="67EF2C2E" w14:textId="77777777" w:rsidR="00CF0742" w:rsidRPr="004635E5" w:rsidRDefault="00CF0742" w:rsidP="006633A8">
      <w:pPr>
        <w:autoSpaceDE w:val="0"/>
        <w:autoSpaceDN w:val="0"/>
        <w:adjustRightInd w:val="0"/>
        <w:snapToGrid w:val="0"/>
        <w:jc w:val="both"/>
        <w:rPr>
          <w:rFonts w:eastAsia="Batang"/>
          <w:sz w:val="22"/>
          <w:szCs w:val="22"/>
          <w:lang w:eastAsia="ko-KR"/>
        </w:rPr>
      </w:pPr>
    </w:p>
    <w:p w14:paraId="5D7EC4D0" w14:textId="77777777" w:rsidR="00A31678" w:rsidRPr="004635E5" w:rsidRDefault="007853CE" w:rsidP="00580EA4">
      <w:pPr>
        <w:numPr>
          <w:ilvl w:val="0"/>
          <w:numId w:val="18"/>
        </w:numPr>
        <w:autoSpaceDE w:val="0"/>
        <w:autoSpaceDN w:val="0"/>
        <w:adjustRightInd w:val="0"/>
        <w:snapToGrid w:val="0"/>
        <w:ind w:left="0" w:firstLine="0"/>
        <w:jc w:val="both"/>
        <w:rPr>
          <w:rFonts w:eastAsia="Batang"/>
          <w:sz w:val="22"/>
          <w:szCs w:val="22"/>
          <w:lang w:eastAsia="ko-KR"/>
        </w:rPr>
      </w:pPr>
      <w:r w:rsidRPr="004635E5">
        <w:rPr>
          <w:sz w:val="22"/>
          <w:szCs w:val="22"/>
          <w:lang w:val="en-NZ"/>
        </w:rPr>
        <w:t>The</w:t>
      </w:r>
      <w:r w:rsidRPr="004635E5">
        <w:rPr>
          <w:rFonts w:eastAsia="Batang"/>
          <w:sz w:val="22"/>
          <w:szCs w:val="22"/>
          <w:lang w:eastAsia="ko-KR"/>
        </w:rPr>
        <w:t xml:space="preserve"> informal small working groups were:</w:t>
      </w:r>
    </w:p>
    <w:p w14:paraId="6351532D" w14:textId="77777777" w:rsidR="00E4672E" w:rsidRPr="004635E5" w:rsidRDefault="00E4672E" w:rsidP="006633A8">
      <w:pPr>
        <w:autoSpaceDE w:val="0"/>
        <w:autoSpaceDN w:val="0"/>
        <w:adjustRightInd w:val="0"/>
        <w:snapToGrid w:val="0"/>
        <w:jc w:val="both"/>
        <w:rPr>
          <w:rFonts w:eastAsia="Batang"/>
          <w:sz w:val="22"/>
          <w:szCs w:val="22"/>
          <w:lang w:eastAsia="ko-KR"/>
        </w:rPr>
      </w:pPr>
    </w:p>
    <w:tbl>
      <w:tblPr>
        <w:tblStyle w:val="TableGrid"/>
        <w:tblW w:w="4349" w:type="pct"/>
        <w:tblInd w:w="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9" w:type="dxa"/>
          <w:right w:w="29" w:type="dxa"/>
        </w:tblCellMar>
        <w:tblLook w:val="04A0" w:firstRow="1" w:lastRow="0" w:firstColumn="1" w:lastColumn="0" w:noHBand="0" w:noVBand="1"/>
      </w:tblPr>
      <w:tblGrid>
        <w:gridCol w:w="809"/>
        <w:gridCol w:w="5761"/>
        <w:gridCol w:w="1622"/>
      </w:tblGrid>
      <w:tr w:rsidR="007138BF" w:rsidRPr="004635E5" w14:paraId="543E03B9" w14:textId="77777777" w:rsidTr="00B23F9D">
        <w:tc>
          <w:tcPr>
            <w:tcW w:w="494" w:type="pct"/>
            <w:shd w:val="clear" w:color="auto" w:fill="D9D9D9" w:themeFill="background1" w:themeFillShade="D9"/>
          </w:tcPr>
          <w:p w14:paraId="41F0C99A" w14:textId="77777777" w:rsidR="007138BF" w:rsidRPr="004635E5" w:rsidRDefault="007138BF" w:rsidP="006633A8">
            <w:pPr>
              <w:pStyle w:val="Best2"/>
              <w:numPr>
                <w:ilvl w:val="0"/>
                <w:numId w:val="0"/>
              </w:numPr>
              <w:adjustRightInd w:val="0"/>
              <w:snapToGrid w:val="0"/>
              <w:spacing w:after="0" w:line="240" w:lineRule="auto"/>
              <w:jc w:val="center"/>
              <w:rPr>
                <w:rFonts w:eastAsia="Malgun Gothic" w:cs="Times New Roman"/>
                <w:b/>
                <w:lang w:eastAsia="ko-KR"/>
              </w:rPr>
            </w:pPr>
            <w:r w:rsidRPr="004635E5">
              <w:rPr>
                <w:rFonts w:eastAsia="Malgun Gothic" w:cs="Times New Roman"/>
                <w:b/>
                <w:lang w:eastAsia="ko-KR"/>
              </w:rPr>
              <w:t>ISG ID.</w:t>
            </w:r>
          </w:p>
        </w:tc>
        <w:tc>
          <w:tcPr>
            <w:tcW w:w="3516" w:type="pct"/>
            <w:shd w:val="clear" w:color="auto" w:fill="D9D9D9" w:themeFill="background1" w:themeFillShade="D9"/>
          </w:tcPr>
          <w:p w14:paraId="4D72F422" w14:textId="77777777" w:rsidR="007138BF" w:rsidRPr="004635E5" w:rsidRDefault="007138BF" w:rsidP="006633A8">
            <w:pPr>
              <w:adjustRightInd w:val="0"/>
              <w:snapToGrid w:val="0"/>
              <w:spacing w:after="0"/>
              <w:jc w:val="center"/>
              <w:rPr>
                <w:rFonts w:eastAsia="Malgun Gothic"/>
                <w:b/>
                <w:sz w:val="22"/>
                <w:szCs w:val="22"/>
                <w:lang w:eastAsia="ko-KR"/>
              </w:rPr>
            </w:pPr>
            <w:r w:rsidRPr="004635E5">
              <w:rPr>
                <w:rFonts w:eastAsia="Malgun Gothic"/>
                <w:b/>
                <w:sz w:val="22"/>
                <w:szCs w:val="22"/>
                <w:lang w:eastAsia="ko-KR"/>
              </w:rPr>
              <w:t>Title</w:t>
            </w:r>
          </w:p>
        </w:tc>
        <w:tc>
          <w:tcPr>
            <w:tcW w:w="990" w:type="pct"/>
            <w:shd w:val="clear" w:color="auto" w:fill="D9D9D9" w:themeFill="background1" w:themeFillShade="D9"/>
          </w:tcPr>
          <w:p w14:paraId="4E0C985D" w14:textId="77777777" w:rsidR="007138BF" w:rsidRPr="004635E5" w:rsidRDefault="007138BF" w:rsidP="006633A8">
            <w:pPr>
              <w:pStyle w:val="Best2"/>
              <w:numPr>
                <w:ilvl w:val="0"/>
                <w:numId w:val="0"/>
              </w:numPr>
              <w:adjustRightInd w:val="0"/>
              <w:snapToGrid w:val="0"/>
              <w:spacing w:after="0" w:line="240" w:lineRule="auto"/>
              <w:jc w:val="center"/>
              <w:rPr>
                <w:rFonts w:eastAsia="Malgun Gothic" w:cs="Times New Roman"/>
                <w:b/>
                <w:lang w:val="en-US" w:eastAsia="ko-KR"/>
              </w:rPr>
            </w:pPr>
            <w:r w:rsidRPr="004635E5">
              <w:rPr>
                <w:rFonts w:eastAsia="Malgun Gothic" w:cs="Times New Roman"/>
                <w:b/>
                <w:lang w:val="en-US" w:eastAsia="ko-KR"/>
              </w:rPr>
              <w:t>Facilitator</w:t>
            </w:r>
          </w:p>
        </w:tc>
      </w:tr>
      <w:tr w:rsidR="007138BF" w:rsidRPr="004635E5" w14:paraId="173290A8" w14:textId="77777777" w:rsidTr="002232D1">
        <w:tc>
          <w:tcPr>
            <w:tcW w:w="494" w:type="pct"/>
            <w:shd w:val="clear" w:color="auto" w:fill="auto"/>
            <w:vAlign w:val="center"/>
          </w:tcPr>
          <w:p w14:paraId="6A21A52C" w14:textId="77777777" w:rsidR="007138BF" w:rsidRPr="004635E5" w:rsidRDefault="007138BF" w:rsidP="002232D1">
            <w:pPr>
              <w:adjustRightInd w:val="0"/>
              <w:snapToGrid w:val="0"/>
              <w:spacing w:after="0"/>
              <w:jc w:val="center"/>
              <w:rPr>
                <w:rFonts w:eastAsia="Batang"/>
                <w:sz w:val="22"/>
                <w:szCs w:val="22"/>
                <w:lang w:val="en-NZ" w:eastAsia="ko-KR"/>
              </w:rPr>
            </w:pPr>
            <w:r w:rsidRPr="004635E5">
              <w:rPr>
                <w:rFonts w:eastAsia="Batang"/>
                <w:sz w:val="22"/>
                <w:szCs w:val="22"/>
                <w:lang w:val="en-NZ" w:eastAsia="ko-KR"/>
              </w:rPr>
              <w:t>ISG-01</w:t>
            </w:r>
          </w:p>
        </w:tc>
        <w:tc>
          <w:tcPr>
            <w:tcW w:w="3516" w:type="pct"/>
            <w:shd w:val="clear" w:color="auto" w:fill="auto"/>
          </w:tcPr>
          <w:p w14:paraId="27CA8870" w14:textId="77777777" w:rsidR="007138BF" w:rsidRPr="004635E5" w:rsidRDefault="007138BF" w:rsidP="006633A8">
            <w:pPr>
              <w:adjustRightInd w:val="0"/>
              <w:snapToGrid w:val="0"/>
              <w:spacing w:after="0"/>
              <w:rPr>
                <w:rFonts w:eastAsia="Batang"/>
                <w:sz w:val="22"/>
                <w:szCs w:val="22"/>
                <w:lang w:val="en-NZ" w:eastAsia="ko-KR"/>
              </w:rPr>
            </w:pPr>
            <w:r w:rsidRPr="004635E5">
              <w:rPr>
                <w:rFonts w:eastAsia="Batang"/>
                <w:sz w:val="22"/>
                <w:szCs w:val="22"/>
                <w:lang w:val="en-NZ" w:eastAsia="ko-KR"/>
              </w:rPr>
              <w:t>North Pacific striped marlin and North Pacific blue shark – designation as northern stocks/ management advice</w:t>
            </w:r>
          </w:p>
        </w:tc>
        <w:tc>
          <w:tcPr>
            <w:tcW w:w="990" w:type="pct"/>
            <w:shd w:val="clear" w:color="auto" w:fill="auto"/>
            <w:vAlign w:val="center"/>
          </w:tcPr>
          <w:p w14:paraId="1FE10968" w14:textId="77777777" w:rsidR="007138BF" w:rsidRPr="004149FB" w:rsidRDefault="007138BF" w:rsidP="002232D1">
            <w:pPr>
              <w:pStyle w:val="Best2"/>
              <w:numPr>
                <w:ilvl w:val="0"/>
                <w:numId w:val="0"/>
              </w:numPr>
              <w:adjustRightInd w:val="0"/>
              <w:snapToGrid w:val="0"/>
              <w:spacing w:after="0" w:line="240" w:lineRule="auto"/>
              <w:jc w:val="left"/>
              <w:rPr>
                <w:rFonts w:cs="Times New Roman"/>
                <w:lang w:eastAsia="ko-KR"/>
              </w:rPr>
            </w:pPr>
            <w:r w:rsidRPr="004635E5">
              <w:rPr>
                <w:rFonts w:cs="Times New Roman"/>
              </w:rPr>
              <w:t>M</w:t>
            </w:r>
            <w:r w:rsidRPr="004635E5">
              <w:rPr>
                <w:rFonts w:cs="Times New Roman"/>
                <w:lang w:eastAsia="ko-KR"/>
              </w:rPr>
              <w:t>.</w:t>
            </w:r>
            <w:r w:rsidRPr="004635E5">
              <w:rPr>
                <w:rFonts w:cs="Times New Roman"/>
              </w:rPr>
              <w:t xml:space="preserve"> Kai</w:t>
            </w:r>
          </w:p>
        </w:tc>
      </w:tr>
      <w:tr w:rsidR="007138BF" w:rsidRPr="004635E5" w14:paraId="5531EC63" w14:textId="77777777" w:rsidTr="002232D1">
        <w:tc>
          <w:tcPr>
            <w:tcW w:w="494" w:type="pct"/>
            <w:shd w:val="clear" w:color="auto" w:fill="auto"/>
            <w:vAlign w:val="center"/>
          </w:tcPr>
          <w:p w14:paraId="09E44783" w14:textId="77777777" w:rsidR="007138BF" w:rsidRPr="004635E5" w:rsidRDefault="007138BF" w:rsidP="002232D1">
            <w:pPr>
              <w:adjustRightInd w:val="0"/>
              <w:snapToGrid w:val="0"/>
              <w:spacing w:after="0"/>
              <w:jc w:val="center"/>
              <w:rPr>
                <w:rFonts w:eastAsia="Batang"/>
                <w:sz w:val="22"/>
                <w:szCs w:val="22"/>
                <w:lang w:val="en-NZ" w:eastAsia="ko-KR"/>
              </w:rPr>
            </w:pPr>
            <w:r w:rsidRPr="004635E5">
              <w:rPr>
                <w:rFonts w:eastAsia="Batang"/>
                <w:sz w:val="22"/>
                <w:szCs w:val="22"/>
                <w:lang w:val="en-NZ" w:eastAsia="ko-KR"/>
              </w:rPr>
              <w:t>ISG-02</w:t>
            </w:r>
          </w:p>
        </w:tc>
        <w:tc>
          <w:tcPr>
            <w:tcW w:w="3516" w:type="pct"/>
            <w:shd w:val="clear" w:color="auto" w:fill="auto"/>
          </w:tcPr>
          <w:p w14:paraId="15983533" w14:textId="77777777" w:rsidR="007138BF" w:rsidRPr="004635E5" w:rsidRDefault="007138BF" w:rsidP="006633A8">
            <w:pPr>
              <w:adjustRightInd w:val="0"/>
              <w:snapToGrid w:val="0"/>
              <w:spacing w:after="0"/>
              <w:rPr>
                <w:rFonts w:eastAsia="Batang"/>
                <w:sz w:val="22"/>
                <w:szCs w:val="22"/>
                <w:lang w:eastAsia="ko-KR"/>
              </w:rPr>
            </w:pPr>
            <w:r w:rsidRPr="004635E5">
              <w:rPr>
                <w:rFonts w:eastAsia="Batang"/>
                <w:sz w:val="22"/>
                <w:szCs w:val="22"/>
                <w:lang w:val="en-NZ" w:eastAsia="ko-KR"/>
              </w:rPr>
              <w:t>Target reference point for South Pacific albacore tuna</w:t>
            </w:r>
          </w:p>
        </w:tc>
        <w:tc>
          <w:tcPr>
            <w:tcW w:w="990" w:type="pct"/>
            <w:shd w:val="clear" w:color="auto" w:fill="auto"/>
            <w:vAlign w:val="center"/>
          </w:tcPr>
          <w:p w14:paraId="0B3D9962" w14:textId="77777777" w:rsidR="007138BF" w:rsidRPr="004635E5" w:rsidRDefault="009C22C8" w:rsidP="002232D1">
            <w:pPr>
              <w:adjustRightInd w:val="0"/>
              <w:snapToGrid w:val="0"/>
              <w:spacing w:after="0"/>
              <w:rPr>
                <w:rFonts w:eastAsia="Batang"/>
                <w:sz w:val="22"/>
                <w:szCs w:val="22"/>
                <w:lang w:val="en-NZ" w:eastAsia="ko-KR"/>
              </w:rPr>
            </w:pPr>
            <w:r>
              <w:rPr>
                <w:rFonts w:eastAsia="Batang"/>
                <w:sz w:val="22"/>
                <w:szCs w:val="22"/>
                <w:lang w:val="en-NZ" w:eastAsia="ko-KR"/>
              </w:rPr>
              <w:t>Withdrawn</w:t>
            </w:r>
          </w:p>
        </w:tc>
      </w:tr>
      <w:tr w:rsidR="007138BF" w:rsidRPr="004635E5" w14:paraId="2B6F8556" w14:textId="77777777" w:rsidTr="002232D1">
        <w:tc>
          <w:tcPr>
            <w:tcW w:w="494" w:type="pct"/>
            <w:shd w:val="clear" w:color="auto" w:fill="auto"/>
            <w:vAlign w:val="center"/>
          </w:tcPr>
          <w:p w14:paraId="77467D1C" w14:textId="77777777" w:rsidR="007138BF" w:rsidRPr="004635E5" w:rsidRDefault="007138BF" w:rsidP="002232D1">
            <w:pPr>
              <w:adjustRightInd w:val="0"/>
              <w:snapToGrid w:val="0"/>
              <w:spacing w:after="0"/>
              <w:jc w:val="center"/>
              <w:rPr>
                <w:rFonts w:eastAsia="Batang"/>
                <w:sz w:val="22"/>
                <w:szCs w:val="22"/>
                <w:lang w:val="en-NZ" w:eastAsia="ko-KR"/>
              </w:rPr>
            </w:pPr>
            <w:r w:rsidRPr="004635E5">
              <w:rPr>
                <w:rFonts w:eastAsia="Batang"/>
                <w:sz w:val="22"/>
                <w:szCs w:val="22"/>
                <w:lang w:val="en-NZ" w:eastAsia="ko-KR"/>
              </w:rPr>
              <w:t>ISG-03</w:t>
            </w:r>
          </w:p>
        </w:tc>
        <w:tc>
          <w:tcPr>
            <w:tcW w:w="3516" w:type="pct"/>
            <w:shd w:val="clear" w:color="auto" w:fill="auto"/>
          </w:tcPr>
          <w:p w14:paraId="663A91A2" w14:textId="77777777" w:rsidR="007138BF" w:rsidRPr="004635E5" w:rsidRDefault="007138BF" w:rsidP="006633A8">
            <w:pPr>
              <w:adjustRightInd w:val="0"/>
              <w:snapToGrid w:val="0"/>
              <w:spacing w:after="0"/>
              <w:rPr>
                <w:rFonts w:eastAsia="Batang"/>
                <w:sz w:val="22"/>
                <w:szCs w:val="22"/>
                <w:lang w:val="en-NZ" w:eastAsia="ko-KR"/>
              </w:rPr>
            </w:pPr>
            <w:r w:rsidRPr="004635E5">
              <w:rPr>
                <w:rFonts w:eastAsia="Batang"/>
                <w:sz w:val="22"/>
                <w:szCs w:val="22"/>
                <w:lang w:val="en-NZ" w:eastAsia="ko-KR"/>
              </w:rPr>
              <w:t>Roadmap for South Pacific albacore</w:t>
            </w:r>
          </w:p>
        </w:tc>
        <w:tc>
          <w:tcPr>
            <w:tcW w:w="990" w:type="pct"/>
            <w:shd w:val="clear" w:color="auto" w:fill="auto"/>
            <w:vAlign w:val="center"/>
          </w:tcPr>
          <w:p w14:paraId="6FF1D46E" w14:textId="77777777" w:rsidR="007138BF" w:rsidRPr="004635E5" w:rsidRDefault="007138BF" w:rsidP="002232D1">
            <w:pPr>
              <w:adjustRightInd w:val="0"/>
              <w:snapToGrid w:val="0"/>
              <w:spacing w:after="0"/>
              <w:rPr>
                <w:rFonts w:eastAsia="Batang"/>
                <w:sz w:val="22"/>
                <w:szCs w:val="22"/>
                <w:lang w:val="en-NZ" w:eastAsia="ko-KR"/>
              </w:rPr>
            </w:pPr>
            <w:r w:rsidRPr="004635E5">
              <w:rPr>
                <w:rFonts w:eastAsia="Batang"/>
                <w:sz w:val="22"/>
                <w:szCs w:val="22"/>
                <w:lang w:val="en-NZ" w:eastAsia="ko-KR"/>
              </w:rPr>
              <w:t>S. Williams</w:t>
            </w:r>
          </w:p>
        </w:tc>
      </w:tr>
      <w:tr w:rsidR="007138BF" w:rsidRPr="004635E5" w14:paraId="468CA344" w14:textId="77777777" w:rsidTr="002232D1">
        <w:tc>
          <w:tcPr>
            <w:tcW w:w="494" w:type="pct"/>
            <w:shd w:val="clear" w:color="auto" w:fill="auto"/>
            <w:vAlign w:val="center"/>
          </w:tcPr>
          <w:p w14:paraId="705AF401" w14:textId="77777777" w:rsidR="007138BF" w:rsidRPr="004635E5" w:rsidRDefault="007138BF" w:rsidP="002232D1">
            <w:pPr>
              <w:adjustRightInd w:val="0"/>
              <w:snapToGrid w:val="0"/>
              <w:spacing w:after="0"/>
              <w:jc w:val="center"/>
              <w:rPr>
                <w:rFonts w:eastAsia="Batang"/>
                <w:sz w:val="22"/>
                <w:szCs w:val="22"/>
                <w:lang w:val="en-NZ" w:eastAsia="ko-KR"/>
              </w:rPr>
            </w:pPr>
            <w:r w:rsidRPr="004635E5">
              <w:rPr>
                <w:rFonts w:eastAsia="Batang"/>
                <w:sz w:val="22"/>
                <w:szCs w:val="22"/>
                <w:lang w:val="en-NZ" w:eastAsia="ko-KR"/>
              </w:rPr>
              <w:t>ISG-04</w:t>
            </w:r>
          </w:p>
        </w:tc>
        <w:tc>
          <w:tcPr>
            <w:tcW w:w="3516" w:type="pct"/>
            <w:shd w:val="clear" w:color="auto" w:fill="auto"/>
          </w:tcPr>
          <w:p w14:paraId="6C4FBA4E" w14:textId="77777777" w:rsidR="007138BF" w:rsidRPr="004635E5" w:rsidRDefault="007138BF" w:rsidP="006633A8">
            <w:pPr>
              <w:adjustRightInd w:val="0"/>
              <w:snapToGrid w:val="0"/>
              <w:spacing w:after="0"/>
              <w:rPr>
                <w:rFonts w:eastAsia="Batang"/>
                <w:sz w:val="22"/>
                <w:szCs w:val="22"/>
                <w:lang w:val="en-NZ" w:eastAsia="ko-KR"/>
              </w:rPr>
            </w:pPr>
            <w:r w:rsidRPr="004635E5">
              <w:rPr>
                <w:rFonts w:eastAsia="Batang"/>
                <w:sz w:val="22"/>
                <w:szCs w:val="22"/>
                <w:lang w:val="en-NZ" w:eastAsia="ko-KR"/>
              </w:rPr>
              <w:t>Science/Management Dialogue</w:t>
            </w:r>
          </w:p>
        </w:tc>
        <w:tc>
          <w:tcPr>
            <w:tcW w:w="990" w:type="pct"/>
            <w:shd w:val="clear" w:color="auto" w:fill="auto"/>
            <w:vAlign w:val="center"/>
          </w:tcPr>
          <w:p w14:paraId="49AB2A90" w14:textId="77777777" w:rsidR="007138BF" w:rsidRPr="004635E5" w:rsidRDefault="007138BF" w:rsidP="002232D1">
            <w:pPr>
              <w:adjustRightInd w:val="0"/>
              <w:snapToGrid w:val="0"/>
              <w:spacing w:after="0"/>
              <w:rPr>
                <w:rFonts w:eastAsia="Batang"/>
                <w:sz w:val="22"/>
                <w:szCs w:val="22"/>
                <w:lang w:val="en-NZ" w:eastAsia="ko-KR"/>
              </w:rPr>
            </w:pPr>
            <w:r w:rsidRPr="004635E5">
              <w:rPr>
                <w:rFonts w:eastAsia="Batang"/>
                <w:sz w:val="22"/>
                <w:szCs w:val="22"/>
                <w:lang w:val="en-NZ" w:eastAsia="ko-KR"/>
              </w:rPr>
              <w:t>R. Campbell</w:t>
            </w:r>
          </w:p>
        </w:tc>
      </w:tr>
      <w:tr w:rsidR="007138BF" w:rsidRPr="004635E5" w14:paraId="205F1C13" w14:textId="77777777" w:rsidTr="002232D1">
        <w:tc>
          <w:tcPr>
            <w:tcW w:w="494" w:type="pct"/>
            <w:shd w:val="clear" w:color="auto" w:fill="auto"/>
            <w:vAlign w:val="center"/>
          </w:tcPr>
          <w:p w14:paraId="1C603016" w14:textId="77777777" w:rsidR="007138BF" w:rsidRPr="004635E5" w:rsidRDefault="007138BF" w:rsidP="002232D1">
            <w:pPr>
              <w:adjustRightInd w:val="0"/>
              <w:snapToGrid w:val="0"/>
              <w:spacing w:after="0"/>
              <w:jc w:val="center"/>
              <w:rPr>
                <w:rFonts w:eastAsia="Batang"/>
                <w:sz w:val="22"/>
                <w:szCs w:val="22"/>
                <w:lang w:val="en-NZ" w:eastAsia="ko-KR"/>
              </w:rPr>
            </w:pPr>
            <w:r w:rsidRPr="004635E5">
              <w:rPr>
                <w:rFonts w:eastAsia="Batang"/>
                <w:sz w:val="22"/>
                <w:szCs w:val="22"/>
                <w:lang w:val="en-NZ" w:eastAsia="ko-KR"/>
              </w:rPr>
              <w:t>ISG-05</w:t>
            </w:r>
          </w:p>
        </w:tc>
        <w:tc>
          <w:tcPr>
            <w:tcW w:w="3516" w:type="pct"/>
            <w:shd w:val="clear" w:color="auto" w:fill="auto"/>
          </w:tcPr>
          <w:p w14:paraId="3121814D" w14:textId="77777777" w:rsidR="007138BF" w:rsidRPr="004635E5" w:rsidRDefault="007138BF" w:rsidP="006633A8">
            <w:pPr>
              <w:adjustRightInd w:val="0"/>
              <w:snapToGrid w:val="0"/>
              <w:spacing w:after="0"/>
              <w:rPr>
                <w:rFonts w:eastAsia="Batang"/>
                <w:sz w:val="22"/>
                <w:szCs w:val="22"/>
                <w:lang w:val="en-NZ" w:eastAsia="ko-KR"/>
              </w:rPr>
            </w:pPr>
            <w:r w:rsidRPr="004635E5">
              <w:rPr>
                <w:rFonts w:eastAsia="Batang"/>
                <w:sz w:val="22"/>
                <w:szCs w:val="22"/>
                <w:lang w:val="en-NZ" w:eastAsia="ko-KR"/>
              </w:rPr>
              <w:t>Comprehensive shark and ray measure</w:t>
            </w:r>
          </w:p>
        </w:tc>
        <w:tc>
          <w:tcPr>
            <w:tcW w:w="990" w:type="pct"/>
            <w:shd w:val="clear" w:color="auto" w:fill="auto"/>
            <w:vAlign w:val="center"/>
          </w:tcPr>
          <w:p w14:paraId="6D6A417C" w14:textId="77777777" w:rsidR="007138BF" w:rsidRPr="004635E5" w:rsidRDefault="007138BF" w:rsidP="002232D1">
            <w:pPr>
              <w:adjustRightInd w:val="0"/>
              <w:snapToGrid w:val="0"/>
              <w:spacing w:after="0"/>
              <w:rPr>
                <w:rFonts w:eastAsia="Batang"/>
                <w:sz w:val="22"/>
                <w:szCs w:val="22"/>
                <w:lang w:val="en-NZ" w:eastAsia="ko-KR"/>
              </w:rPr>
            </w:pPr>
            <w:r w:rsidRPr="004635E5">
              <w:rPr>
                <w:rFonts w:eastAsia="Batang"/>
                <w:sz w:val="22"/>
                <w:szCs w:val="22"/>
                <w:lang w:val="en-NZ" w:eastAsia="ko-KR"/>
              </w:rPr>
              <w:t>J. Annala</w:t>
            </w:r>
          </w:p>
        </w:tc>
      </w:tr>
      <w:tr w:rsidR="007138BF" w:rsidRPr="004635E5" w14:paraId="1C9D1FAC" w14:textId="77777777" w:rsidTr="002232D1">
        <w:tc>
          <w:tcPr>
            <w:tcW w:w="494" w:type="pct"/>
            <w:shd w:val="clear" w:color="auto" w:fill="auto"/>
            <w:vAlign w:val="center"/>
          </w:tcPr>
          <w:p w14:paraId="7BC4B946" w14:textId="77777777" w:rsidR="007138BF" w:rsidRPr="004635E5" w:rsidRDefault="007138BF" w:rsidP="002232D1">
            <w:pPr>
              <w:adjustRightInd w:val="0"/>
              <w:snapToGrid w:val="0"/>
              <w:spacing w:after="0"/>
              <w:jc w:val="center"/>
              <w:rPr>
                <w:rFonts w:eastAsia="Batang"/>
                <w:sz w:val="22"/>
                <w:szCs w:val="22"/>
                <w:lang w:val="en-NZ" w:eastAsia="ko-KR"/>
              </w:rPr>
            </w:pPr>
            <w:r w:rsidRPr="004635E5">
              <w:rPr>
                <w:rFonts w:eastAsia="Batang"/>
                <w:sz w:val="22"/>
                <w:szCs w:val="22"/>
                <w:lang w:val="en-NZ" w:eastAsia="ko-KR"/>
              </w:rPr>
              <w:t>ISG-06</w:t>
            </w:r>
          </w:p>
        </w:tc>
        <w:tc>
          <w:tcPr>
            <w:tcW w:w="3516" w:type="pct"/>
            <w:shd w:val="clear" w:color="auto" w:fill="auto"/>
          </w:tcPr>
          <w:p w14:paraId="4504B15C" w14:textId="77777777" w:rsidR="007138BF" w:rsidRPr="004635E5" w:rsidRDefault="007138BF" w:rsidP="006633A8">
            <w:pPr>
              <w:adjustRightInd w:val="0"/>
              <w:snapToGrid w:val="0"/>
              <w:spacing w:after="0"/>
              <w:rPr>
                <w:rFonts w:eastAsia="Batang"/>
                <w:sz w:val="22"/>
                <w:szCs w:val="22"/>
                <w:lang w:val="en-NZ" w:eastAsia="ko-KR"/>
              </w:rPr>
            </w:pPr>
            <w:r w:rsidRPr="004635E5">
              <w:rPr>
                <w:rFonts w:eastAsia="Batang"/>
                <w:sz w:val="22"/>
                <w:szCs w:val="22"/>
                <w:lang w:val="en-NZ" w:eastAsia="ko-KR"/>
              </w:rPr>
              <w:t>Safe release guidelines for sharks and rays</w:t>
            </w:r>
          </w:p>
        </w:tc>
        <w:tc>
          <w:tcPr>
            <w:tcW w:w="990" w:type="pct"/>
            <w:shd w:val="clear" w:color="auto" w:fill="auto"/>
            <w:vAlign w:val="center"/>
          </w:tcPr>
          <w:p w14:paraId="6014E4DF" w14:textId="77777777" w:rsidR="007138BF" w:rsidRPr="004635E5" w:rsidRDefault="009C22C8" w:rsidP="002232D1">
            <w:pPr>
              <w:adjustRightInd w:val="0"/>
              <w:snapToGrid w:val="0"/>
              <w:spacing w:after="0"/>
              <w:rPr>
                <w:rFonts w:eastAsia="Batang"/>
                <w:sz w:val="22"/>
                <w:szCs w:val="22"/>
                <w:lang w:val="en-NZ" w:eastAsia="ko-KR"/>
              </w:rPr>
            </w:pPr>
            <w:r>
              <w:rPr>
                <w:rFonts w:eastAsia="Batang"/>
                <w:sz w:val="22"/>
                <w:szCs w:val="22"/>
                <w:lang w:val="en-NZ" w:eastAsia="ko-KR"/>
              </w:rPr>
              <w:t>Yonat Swimmer</w:t>
            </w:r>
          </w:p>
        </w:tc>
      </w:tr>
      <w:tr w:rsidR="007138BF" w:rsidRPr="004635E5" w14:paraId="0501DD42" w14:textId="77777777" w:rsidTr="002232D1">
        <w:tc>
          <w:tcPr>
            <w:tcW w:w="494" w:type="pct"/>
            <w:shd w:val="clear" w:color="auto" w:fill="auto"/>
            <w:vAlign w:val="center"/>
          </w:tcPr>
          <w:p w14:paraId="52D4C919" w14:textId="77777777" w:rsidR="007138BF" w:rsidRPr="004635E5" w:rsidRDefault="007138BF" w:rsidP="002232D1">
            <w:pPr>
              <w:adjustRightInd w:val="0"/>
              <w:snapToGrid w:val="0"/>
              <w:spacing w:after="0"/>
              <w:jc w:val="center"/>
              <w:rPr>
                <w:rFonts w:eastAsia="Batang"/>
                <w:sz w:val="22"/>
                <w:szCs w:val="22"/>
                <w:lang w:val="en-NZ" w:eastAsia="ko-KR"/>
              </w:rPr>
            </w:pPr>
            <w:r w:rsidRPr="004635E5">
              <w:rPr>
                <w:rFonts w:eastAsia="Batang"/>
                <w:sz w:val="22"/>
                <w:szCs w:val="22"/>
                <w:lang w:val="en-NZ" w:eastAsia="ko-KR"/>
              </w:rPr>
              <w:t>ISG-07</w:t>
            </w:r>
          </w:p>
        </w:tc>
        <w:tc>
          <w:tcPr>
            <w:tcW w:w="3516" w:type="pct"/>
            <w:shd w:val="clear" w:color="auto" w:fill="auto"/>
          </w:tcPr>
          <w:p w14:paraId="4833A617" w14:textId="77777777" w:rsidR="007138BF" w:rsidRPr="004635E5" w:rsidRDefault="007138BF" w:rsidP="006633A8">
            <w:pPr>
              <w:adjustRightInd w:val="0"/>
              <w:snapToGrid w:val="0"/>
              <w:spacing w:after="0"/>
              <w:rPr>
                <w:rFonts w:eastAsia="Batang"/>
                <w:sz w:val="22"/>
                <w:szCs w:val="22"/>
                <w:lang w:val="en-NZ" w:eastAsia="ko-KR"/>
              </w:rPr>
            </w:pPr>
            <w:r w:rsidRPr="004635E5">
              <w:rPr>
                <w:rFonts w:eastAsia="Batang"/>
                <w:sz w:val="22"/>
                <w:szCs w:val="22"/>
                <w:lang w:val="en-NZ" w:eastAsia="ko-KR"/>
              </w:rPr>
              <w:t>Shark Research Plan and future work plan</w:t>
            </w:r>
          </w:p>
        </w:tc>
        <w:tc>
          <w:tcPr>
            <w:tcW w:w="990" w:type="pct"/>
            <w:shd w:val="clear" w:color="auto" w:fill="auto"/>
            <w:vAlign w:val="center"/>
          </w:tcPr>
          <w:p w14:paraId="00778A50" w14:textId="77777777" w:rsidR="007138BF" w:rsidRPr="004635E5" w:rsidRDefault="007138BF" w:rsidP="002232D1">
            <w:pPr>
              <w:adjustRightInd w:val="0"/>
              <w:snapToGrid w:val="0"/>
              <w:spacing w:after="0"/>
              <w:rPr>
                <w:rFonts w:eastAsia="Batang"/>
                <w:sz w:val="22"/>
                <w:szCs w:val="22"/>
                <w:lang w:val="en-NZ" w:eastAsia="ko-KR"/>
              </w:rPr>
            </w:pPr>
            <w:r w:rsidRPr="004635E5">
              <w:rPr>
                <w:rFonts w:eastAsia="Batang"/>
                <w:sz w:val="22"/>
                <w:szCs w:val="22"/>
                <w:lang w:val="en-NZ" w:eastAsia="ko-KR"/>
              </w:rPr>
              <w:t>J. Larcombe</w:t>
            </w:r>
          </w:p>
        </w:tc>
      </w:tr>
      <w:tr w:rsidR="007138BF" w:rsidRPr="004635E5" w14:paraId="44F292DD" w14:textId="77777777" w:rsidTr="002232D1">
        <w:tc>
          <w:tcPr>
            <w:tcW w:w="494" w:type="pct"/>
            <w:shd w:val="clear" w:color="auto" w:fill="auto"/>
            <w:vAlign w:val="center"/>
          </w:tcPr>
          <w:p w14:paraId="3391D750" w14:textId="77777777" w:rsidR="007138BF" w:rsidRPr="004635E5" w:rsidRDefault="007138BF" w:rsidP="002232D1">
            <w:pPr>
              <w:adjustRightInd w:val="0"/>
              <w:snapToGrid w:val="0"/>
              <w:spacing w:after="0"/>
              <w:jc w:val="center"/>
              <w:rPr>
                <w:rFonts w:eastAsia="Batang"/>
                <w:sz w:val="22"/>
                <w:szCs w:val="22"/>
                <w:lang w:val="en-NZ" w:eastAsia="ko-KR"/>
              </w:rPr>
            </w:pPr>
            <w:r w:rsidRPr="004635E5">
              <w:rPr>
                <w:rFonts w:eastAsia="Batang"/>
                <w:sz w:val="22"/>
                <w:szCs w:val="22"/>
                <w:lang w:val="en-NZ" w:eastAsia="ko-KR"/>
              </w:rPr>
              <w:t>ISG-08</w:t>
            </w:r>
          </w:p>
        </w:tc>
        <w:tc>
          <w:tcPr>
            <w:tcW w:w="3516" w:type="pct"/>
            <w:shd w:val="clear" w:color="auto" w:fill="auto"/>
          </w:tcPr>
          <w:p w14:paraId="7CFDEF15" w14:textId="77777777" w:rsidR="007138BF" w:rsidRPr="004635E5" w:rsidRDefault="007138BF" w:rsidP="006633A8">
            <w:pPr>
              <w:adjustRightInd w:val="0"/>
              <w:snapToGrid w:val="0"/>
              <w:spacing w:after="0"/>
              <w:rPr>
                <w:rFonts w:eastAsia="Batang"/>
                <w:sz w:val="22"/>
                <w:szCs w:val="22"/>
                <w:lang w:eastAsia="ko-KR"/>
              </w:rPr>
            </w:pPr>
            <w:r w:rsidRPr="004635E5">
              <w:rPr>
                <w:rFonts w:eastAsia="Batang"/>
                <w:sz w:val="22"/>
                <w:szCs w:val="22"/>
                <w:lang w:val="en-NZ" w:eastAsia="ko-KR"/>
              </w:rPr>
              <w:t>SC Budget for 2019– 2021</w:t>
            </w:r>
          </w:p>
        </w:tc>
        <w:tc>
          <w:tcPr>
            <w:tcW w:w="990" w:type="pct"/>
            <w:shd w:val="clear" w:color="auto" w:fill="auto"/>
            <w:vAlign w:val="center"/>
          </w:tcPr>
          <w:p w14:paraId="34CA036F" w14:textId="77777777" w:rsidR="007138BF" w:rsidRPr="004635E5" w:rsidRDefault="007138BF" w:rsidP="002232D1">
            <w:pPr>
              <w:adjustRightInd w:val="0"/>
              <w:snapToGrid w:val="0"/>
              <w:spacing w:after="0"/>
              <w:rPr>
                <w:rFonts w:eastAsia="Batang"/>
                <w:sz w:val="22"/>
                <w:szCs w:val="22"/>
                <w:lang w:val="en-NZ" w:eastAsia="ko-KR"/>
              </w:rPr>
            </w:pPr>
            <w:r w:rsidRPr="004635E5">
              <w:rPr>
                <w:rFonts w:eastAsia="Batang"/>
                <w:sz w:val="22"/>
                <w:szCs w:val="22"/>
                <w:lang w:val="en-NZ" w:eastAsia="ko-KR"/>
              </w:rPr>
              <w:t>U. Faasili</w:t>
            </w:r>
          </w:p>
        </w:tc>
      </w:tr>
      <w:tr w:rsidR="007138BF" w:rsidRPr="004635E5" w14:paraId="5350FC83" w14:textId="77777777" w:rsidTr="002232D1">
        <w:tc>
          <w:tcPr>
            <w:tcW w:w="494" w:type="pct"/>
            <w:vAlign w:val="center"/>
          </w:tcPr>
          <w:p w14:paraId="28F90473" w14:textId="77777777" w:rsidR="007138BF" w:rsidRPr="004635E5" w:rsidRDefault="007138BF" w:rsidP="002232D1">
            <w:pPr>
              <w:adjustRightInd w:val="0"/>
              <w:snapToGrid w:val="0"/>
              <w:spacing w:after="0"/>
              <w:jc w:val="center"/>
              <w:rPr>
                <w:rFonts w:eastAsia="Batang"/>
                <w:sz w:val="22"/>
                <w:szCs w:val="22"/>
                <w:lang w:val="en-NZ" w:eastAsia="ko-KR"/>
              </w:rPr>
            </w:pPr>
            <w:r w:rsidRPr="004635E5">
              <w:rPr>
                <w:rFonts w:eastAsia="Batang"/>
                <w:sz w:val="22"/>
                <w:szCs w:val="22"/>
                <w:lang w:val="en-NZ" w:eastAsia="ko-KR"/>
              </w:rPr>
              <w:t>ISG-09</w:t>
            </w:r>
          </w:p>
        </w:tc>
        <w:tc>
          <w:tcPr>
            <w:tcW w:w="3516" w:type="pct"/>
          </w:tcPr>
          <w:p w14:paraId="742C7349" w14:textId="77777777" w:rsidR="007138BF" w:rsidRPr="004635E5" w:rsidRDefault="007138BF" w:rsidP="006633A8">
            <w:pPr>
              <w:adjustRightInd w:val="0"/>
              <w:snapToGrid w:val="0"/>
              <w:spacing w:after="0"/>
              <w:rPr>
                <w:rFonts w:eastAsia="Batang"/>
                <w:sz w:val="22"/>
                <w:szCs w:val="22"/>
                <w:lang w:val="en-NZ" w:eastAsia="ko-KR"/>
              </w:rPr>
            </w:pPr>
            <w:r w:rsidRPr="004635E5">
              <w:rPr>
                <w:rFonts w:eastAsia="Batang"/>
                <w:sz w:val="22"/>
                <w:szCs w:val="22"/>
                <w:lang w:val="en-NZ" w:eastAsia="ko-KR"/>
              </w:rPr>
              <w:t>Seabird Mitigation Measures</w:t>
            </w:r>
          </w:p>
        </w:tc>
        <w:tc>
          <w:tcPr>
            <w:tcW w:w="990" w:type="pct"/>
            <w:vAlign w:val="center"/>
          </w:tcPr>
          <w:p w14:paraId="684FAA9B" w14:textId="77777777" w:rsidR="007138BF" w:rsidRPr="004635E5" w:rsidRDefault="009C22C8" w:rsidP="002232D1">
            <w:pPr>
              <w:adjustRightInd w:val="0"/>
              <w:snapToGrid w:val="0"/>
              <w:spacing w:after="0"/>
              <w:rPr>
                <w:rFonts w:eastAsia="Batang"/>
                <w:sz w:val="22"/>
                <w:szCs w:val="22"/>
                <w:lang w:val="en-NZ" w:eastAsia="ko-KR"/>
              </w:rPr>
            </w:pPr>
            <w:r>
              <w:rPr>
                <w:rFonts w:eastAsia="Batang"/>
                <w:sz w:val="22"/>
                <w:szCs w:val="22"/>
                <w:lang w:val="en-NZ" w:eastAsia="ko-KR"/>
              </w:rPr>
              <w:t>Withdrawn</w:t>
            </w:r>
          </w:p>
        </w:tc>
      </w:tr>
      <w:tr w:rsidR="007138BF" w:rsidRPr="004635E5" w14:paraId="54EB2AA5" w14:textId="77777777" w:rsidTr="002232D1">
        <w:tc>
          <w:tcPr>
            <w:tcW w:w="494" w:type="pct"/>
            <w:vAlign w:val="center"/>
          </w:tcPr>
          <w:p w14:paraId="64F3FF42" w14:textId="77777777" w:rsidR="007138BF" w:rsidRPr="004635E5" w:rsidRDefault="007138BF" w:rsidP="002232D1">
            <w:pPr>
              <w:adjustRightInd w:val="0"/>
              <w:snapToGrid w:val="0"/>
              <w:spacing w:after="0"/>
              <w:jc w:val="center"/>
              <w:rPr>
                <w:rFonts w:eastAsia="Batang"/>
                <w:sz w:val="22"/>
                <w:szCs w:val="22"/>
                <w:lang w:val="en-NZ" w:eastAsia="ko-KR"/>
              </w:rPr>
            </w:pPr>
            <w:r w:rsidRPr="004635E5">
              <w:rPr>
                <w:rFonts w:eastAsia="Batang"/>
                <w:sz w:val="22"/>
                <w:szCs w:val="22"/>
                <w:lang w:val="en-NZ" w:eastAsia="ko-KR"/>
              </w:rPr>
              <w:t>ISG-10</w:t>
            </w:r>
          </w:p>
        </w:tc>
        <w:tc>
          <w:tcPr>
            <w:tcW w:w="3516" w:type="pct"/>
          </w:tcPr>
          <w:p w14:paraId="7F9486BA" w14:textId="77777777" w:rsidR="007138BF" w:rsidRPr="004635E5" w:rsidRDefault="007138BF" w:rsidP="006633A8">
            <w:pPr>
              <w:adjustRightInd w:val="0"/>
              <w:snapToGrid w:val="0"/>
              <w:spacing w:after="0"/>
              <w:rPr>
                <w:rFonts w:eastAsia="Batang"/>
                <w:sz w:val="22"/>
                <w:szCs w:val="22"/>
                <w:lang w:val="en-NZ" w:eastAsia="ko-KR"/>
              </w:rPr>
            </w:pPr>
            <w:r w:rsidRPr="004635E5">
              <w:rPr>
                <w:rFonts w:eastAsia="Batang"/>
                <w:sz w:val="22"/>
                <w:szCs w:val="22"/>
                <w:lang w:val="en-NZ" w:eastAsia="ko-KR"/>
              </w:rPr>
              <w:t>ROP minimum standard data fields species of special interest</w:t>
            </w:r>
          </w:p>
        </w:tc>
        <w:tc>
          <w:tcPr>
            <w:tcW w:w="990" w:type="pct"/>
            <w:vAlign w:val="center"/>
          </w:tcPr>
          <w:p w14:paraId="0001822A" w14:textId="77777777" w:rsidR="007138BF" w:rsidRPr="004635E5" w:rsidRDefault="009C22C8" w:rsidP="002232D1">
            <w:pPr>
              <w:adjustRightInd w:val="0"/>
              <w:snapToGrid w:val="0"/>
              <w:spacing w:after="0"/>
              <w:rPr>
                <w:rFonts w:eastAsia="Batang"/>
                <w:sz w:val="22"/>
                <w:szCs w:val="22"/>
                <w:lang w:val="en-NZ" w:eastAsia="ko-KR"/>
              </w:rPr>
            </w:pPr>
            <w:r>
              <w:rPr>
                <w:rFonts w:eastAsia="Batang"/>
                <w:sz w:val="22"/>
                <w:szCs w:val="22"/>
                <w:lang w:val="en-NZ" w:eastAsia="ko-KR"/>
              </w:rPr>
              <w:t xml:space="preserve">Withdrawn </w:t>
            </w:r>
          </w:p>
        </w:tc>
      </w:tr>
      <w:tr w:rsidR="007138BF" w:rsidRPr="004635E5" w14:paraId="0075A097" w14:textId="77777777" w:rsidTr="002232D1">
        <w:tc>
          <w:tcPr>
            <w:tcW w:w="494" w:type="pct"/>
            <w:vAlign w:val="center"/>
          </w:tcPr>
          <w:p w14:paraId="5CCFEE48" w14:textId="77777777" w:rsidR="007138BF" w:rsidRPr="004635E5" w:rsidRDefault="007138BF" w:rsidP="002232D1">
            <w:pPr>
              <w:adjustRightInd w:val="0"/>
              <w:snapToGrid w:val="0"/>
              <w:spacing w:after="0"/>
              <w:jc w:val="center"/>
              <w:rPr>
                <w:rFonts w:eastAsia="Batang"/>
                <w:sz w:val="22"/>
                <w:szCs w:val="22"/>
                <w:lang w:val="en-NZ" w:eastAsia="ko-KR"/>
              </w:rPr>
            </w:pPr>
            <w:r w:rsidRPr="004635E5">
              <w:rPr>
                <w:rFonts w:eastAsia="Batang"/>
                <w:sz w:val="22"/>
                <w:szCs w:val="22"/>
                <w:lang w:val="en-NZ" w:eastAsia="ko-KR"/>
              </w:rPr>
              <w:t>ISG-11</w:t>
            </w:r>
          </w:p>
        </w:tc>
        <w:tc>
          <w:tcPr>
            <w:tcW w:w="3516" w:type="pct"/>
          </w:tcPr>
          <w:p w14:paraId="2FF52EE7" w14:textId="77777777" w:rsidR="007138BF" w:rsidRPr="004635E5" w:rsidRDefault="007138BF" w:rsidP="006633A8">
            <w:pPr>
              <w:adjustRightInd w:val="0"/>
              <w:snapToGrid w:val="0"/>
              <w:spacing w:after="0"/>
              <w:rPr>
                <w:rFonts w:eastAsia="Batang"/>
                <w:sz w:val="22"/>
                <w:szCs w:val="22"/>
                <w:lang w:val="en-NZ" w:eastAsia="ko-KR"/>
              </w:rPr>
            </w:pPr>
            <w:r w:rsidRPr="004635E5">
              <w:rPr>
                <w:rFonts w:eastAsia="Batang"/>
                <w:sz w:val="22"/>
                <w:szCs w:val="22"/>
                <w:lang w:val="en-NZ" w:eastAsia="ko-KR"/>
              </w:rPr>
              <w:t>Conversion factor</w:t>
            </w:r>
          </w:p>
        </w:tc>
        <w:tc>
          <w:tcPr>
            <w:tcW w:w="990" w:type="pct"/>
            <w:vAlign w:val="center"/>
          </w:tcPr>
          <w:p w14:paraId="6C151939" w14:textId="77777777" w:rsidR="007138BF" w:rsidRPr="004635E5" w:rsidRDefault="007138BF" w:rsidP="002232D1">
            <w:pPr>
              <w:adjustRightInd w:val="0"/>
              <w:snapToGrid w:val="0"/>
              <w:spacing w:after="0"/>
              <w:rPr>
                <w:rFonts w:eastAsia="Batang"/>
                <w:sz w:val="22"/>
                <w:szCs w:val="22"/>
                <w:lang w:val="en-NZ" w:eastAsia="ko-KR"/>
              </w:rPr>
            </w:pPr>
            <w:r w:rsidRPr="004635E5">
              <w:rPr>
                <w:sz w:val="22"/>
                <w:szCs w:val="22"/>
              </w:rPr>
              <w:t>F</w:t>
            </w:r>
            <w:r w:rsidRPr="004635E5">
              <w:rPr>
                <w:rFonts w:eastAsiaTheme="minorEastAsia"/>
                <w:sz w:val="22"/>
                <w:szCs w:val="22"/>
                <w:lang w:eastAsia="ko-KR"/>
              </w:rPr>
              <w:t>.</w:t>
            </w:r>
            <w:r w:rsidRPr="004635E5">
              <w:rPr>
                <w:sz w:val="22"/>
                <w:szCs w:val="22"/>
              </w:rPr>
              <w:t xml:space="preserve"> Abascal</w:t>
            </w:r>
          </w:p>
        </w:tc>
      </w:tr>
      <w:tr w:rsidR="009C22C8" w:rsidRPr="004635E5" w14:paraId="5AB1F974" w14:textId="77777777" w:rsidTr="002232D1">
        <w:tc>
          <w:tcPr>
            <w:tcW w:w="494" w:type="pct"/>
            <w:vAlign w:val="center"/>
          </w:tcPr>
          <w:p w14:paraId="3B9E5E27" w14:textId="77777777" w:rsidR="009C22C8" w:rsidRPr="004635E5" w:rsidRDefault="009C22C8" w:rsidP="002232D1">
            <w:pPr>
              <w:adjustRightInd w:val="0"/>
              <w:snapToGrid w:val="0"/>
              <w:spacing w:after="0"/>
              <w:jc w:val="center"/>
              <w:rPr>
                <w:rFonts w:eastAsia="Batang"/>
                <w:sz w:val="22"/>
                <w:szCs w:val="22"/>
                <w:lang w:val="en-NZ" w:eastAsia="ko-KR"/>
              </w:rPr>
            </w:pPr>
            <w:r w:rsidRPr="004635E5">
              <w:rPr>
                <w:rFonts w:eastAsia="Batang"/>
                <w:sz w:val="22"/>
                <w:szCs w:val="22"/>
                <w:lang w:val="en-NZ" w:eastAsia="ko-KR"/>
              </w:rPr>
              <w:t>ISG-12</w:t>
            </w:r>
          </w:p>
        </w:tc>
        <w:tc>
          <w:tcPr>
            <w:tcW w:w="3516" w:type="pct"/>
          </w:tcPr>
          <w:p w14:paraId="458ED8D5" w14:textId="77777777" w:rsidR="009C22C8" w:rsidRPr="004635E5" w:rsidRDefault="009C22C8" w:rsidP="006633A8">
            <w:pPr>
              <w:adjustRightInd w:val="0"/>
              <w:snapToGrid w:val="0"/>
              <w:spacing w:after="0"/>
              <w:rPr>
                <w:rFonts w:eastAsia="Batang"/>
                <w:sz w:val="22"/>
                <w:szCs w:val="22"/>
                <w:lang w:val="en-NZ" w:eastAsia="ko-KR"/>
              </w:rPr>
            </w:pPr>
            <w:r w:rsidRPr="004635E5">
              <w:rPr>
                <w:rFonts w:eastAsia="Batang"/>
                <w:sz w:val="22"/>
                <w:szCs w:val="22"/>
                <w:lang w:val="en-NZ" w:eastAsia="ko-KR"/>
              </w:rPr>
              <w:t>Process for developing guidelines for the voluntary provision of economic data</w:t>
            </w:r>
          </w:p>
        </w:tc>
        <w:tc>
          <w:tcPr>
            <w:tcW w:w="990" w:type="pct"/>
            <w:vAlign w:val="center"/>
          </w:tcPr>
          <w:p w14:paraId="14214071" w14:textId="77777777" w:rsidR="009C22C8" w:rsidRPr="004635E5" w:rsidRDefault="009C22C8" w:rsidP="002232D1">
            <w:pPr>
              <w:adjustRightInd w:val="0"/>
              <w:snapToGrid w:val="0"/>
              <w:spacing w:after="0"/>
              <w:rPr>
                <w:rFonts w:eastAsia="Batang"/>
                <w:sz w:val="22"/>
                <w:szCs w:val="22"/>
                <w:lang w:val="en-NZ" w:eastAsia="ko-KR"/>
              </w:rPr>
            </w:pPr>
            <w:r>
              <w:rPr>
                <w:rFonts w:eastAsia="Batang"/>
                <w:sz w:val="22"/>
                <w:szCs w:val="22"/>
                <w:lang w:val="en-NZ" w:eastAsia="ko-KR"/>
              </w:rPr>
              <w:t xml:space="preserve">Withdrawn </w:t>
            </w:r>
          </w:p>
        </w:tc>
      </w:tr>
    </w:tbl>
    <w:p w14:paraId="78BBBF23" w14:textId="77777777" w:rsidR="007853CE" w:rsidRPr="004635E5" w:rsidRDefault="007853CE" w:rsidP="006633A8">
      <w:pPr>
        <w:adjustRightInd w:val="0"/>
        <w:snapToGrid w:val="0"/>
        <w:ind w:left="720"/>
        <w:jc w:val="both"/>
        <w:rPr>
          <w:rFonts w:eastAsia="Batang"/>
          <w:sz w:val="22"/>
          <w:szCs w:val="22"/>
          <w:lang w:eastAsia="ko-KR"/>
        </w:rPr>
      </w:pPr>
    </w:p>
    <w:p w14:paraId="55A0A669" w14:textId="77777777" w:rsidR="00A2122B" w:rsidRPr="004635E5" w:rsidRDefault="00A2122B" w:rsidP="00580EA4">
      <w:pPr>
        <w:pStyle w:val="SC2"/>
        <w:numPr>
          <w:ilvl w:val="1"/>
          <w:numId w:val="161"/>
        </w:numPr>
        <w:spacing w:after="0"/>
        <w:ind w:left="0" w:firstLine="0"/>
      </w:pPr>
      <w:r w:rsidRPr="004635E5">
        <w:t>Issues arising from the Commission</w:t>
      </w:r>
    </w:p>
    <w:p w14:paraId="0F1CFE5D" w14:textId="77777777" w:rsidR="0063725B" w:rsidRPr="004635E5" w:rsidRDefault="0063725B" w:rsidP="006633A8">
      <w:pPr>
        <w:pStyle w:val="SC2"/>
        <w:numPr>
          <w:ilvl w:val="0"/>
          <w:numId w:val="0"/>
        </w:numPr>
        <w:spacing w:after="0"/>
        <w:ind w:left="720"/>
      </w:pPr>
    </w:p>
    <w:p w14:paraId="6656DEB2" w14:textId="77777777" w:rsidR="00F53296" w:rsidRPr="004635E5" w:rsidRDefault="007853CE"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AU" w:eastAsia="ko-KR"/>
        </w:rPr>
        <w:t xml:space="preserve">The </w:t>
      </w:r>
      <w:r w:rsidR="002D5D17" w:rsidRPr="004635E5">
        <w:rPr>
          <w:sz w:val="22"/>
          <w:szCs w:val="22"/>
          <w:lang w:val="en-AU" w:eastAsia="ko-KR"/>
        </w:rPr>
        <w:t>Science Manager (</w:t>
      </w:r>
      <w:r w:rsidRPr="004635E5">
        <w:rPr>
          <w:sz w:val="22"/>
          <w:szCs w:val="22"/>
          <w:lang w:val="en-AU"/>
        </w:rPr>
        <w:t>S</w:t>
      </w:r>
      <w:r w:rsidRPr="004635E5">
        <w:rPr>
          <w:sz w:val="22"/>
          <w:szCs w:val="22"/>
          <w:lang w:val="en-AU" w:eastAsia="ko-KR"/>
        </w:rPr>
        <w:t>.</w:t>
      </w:r>
      <w:r w:rsidRPr="004635E5">
        <w:rPr>
          <w:sz w:val="22"/>
          <w:szCs w:val="22"/>
          <w:lang w:val="en-AU"/>
        </w:rPr>
        <w:t xml:space="preserve"> So</w:t>
      </w:r>
      <w:r w:rsidRPr="004635E5">
        <w:rPr>
          <w:sz w:val="22"/>
          <w:szCs w:val="22"/>
          <w:lang w:val="en-AU" w:eastAsia="ko-KR"/>
        </w:rPr>
        <w:t>h</w:t>
      </w:r>
      <w:r w:rsidR="002D5D17" w:rsidRPr="004635E5">
        <w:rPr>
          <w:sz w:val="22"/>
          <w:szCs w:val="22"/>
          <w:lang w:val="en-AU" w:eastAsia="ko-KR"/>
        </w:rPr>
        <w:t>)</w:t>
      </w:r>
      <w:r w:rsidRPr="004635E5">
        <w:rPr>
          <w:sz w:val="22"/>
          <w:szCs w:val="22"/>
          <w:lang w:val="en-AU"/>
        </w:rPr>
        <w:t xml:space="preserve"> introduced </w:t>
      </w:r>
      <w:r w:rsidRPr="004635E5">
        <w:rPr>
          <w:bCs/>
          <w:sz w:val="22"/>
          <w:szCs w:val="22"/>
          <w:lang w:val="en-AU"/>
        </w:rPr>
        <w:t>SC14-GN-WP-03</w:t>
      </w:r>
      <w:r w:rsidRPr="004635E5">
        <w:rPr>
          <w:sz w:val="22"/>
          <w:szCs w:val="22"/>
          <w:lang w:val="en-AU"/>
        </w:rPr>
        <w:t xml:space="preserve"> </w:t>
      </w:r>
      <w:r w:rsidRPr="004635E5">
        <w:rPr>
          <w:i/>
          <w:sz w:val="22"/>
          <w:szCs w:val="22"/>
          <w:lang w:val="en-AU"/>
        </w:rPr>
        <w:t>Issues arising from the Commission,</w:t>
      </w:r>
      <w:r w:rsidRPr="004635E5">
        <w:rPr>
          <w:sz w:val="22"/>
          <w:szCs w:val="22"/>
          <w:lang w:val="en-AU"/>
        </w:rPr>
        <w:t xml:space="preserve"> </w:t>
      </w:r>
      <w:r w:rsidR="008C5C94" w:rsidRPr="004635E5">
        <w:rPr>
          <w:sz w:val="22"/>
          <w:szCs w:val="22"/>
          <w:lang w:val="en-AU"/>
        </w:rPr>
        <w:t xml:space="preserve">noting that </w:t>
      </w:r>
      <w:r w:rsidR="002D5D17" w:rsidRPr="004635E5">
        <w:rPr>
          <w:sz w:val="22"/>
          <w:szCs w:val="22"/>
          <w:lang w:val="en-AU"/>
        </w:rPr>
        <w:t xml:space="preserve">it </w:t>
      </w:r>
      <w:r w:rsidR="008C5C94" w:rsidRPr="004635E5">
        <w:rPr>
          <w:sz w:val="22"/>
          <w:szCs w:val="22"/>
          <w:lang w:val="en-AU"/>
        </w:rPr>
        <w:t xml:space="preserve">compiled </w:t>
      </w:r>
      <w:r w:rsidR="00C7580A" w:rsidRPr="004635E5">
        <w:rPr>
          <w:sz w:val="22"/>
          <w:szCs w:val="22"/>
          <w:lang w:val="en-AU"/>
        </w:rPr>
        <w:t xml:space="preserve">most of </w:t>
      </w:r>
      <w:r w:rsidR="008C5C94" w:rsidRPr="004635E5">
        <w:rPr>
          <w:sz w:val="22"/>
          <w:szCs w:val="22"/>
          <w:lang w:val="en-AU"/>
        </w:rPr>
        <w:t xml:space="preserve">the </w:t>
      </w:r>
      <w:r w:rsidR="00C7580A" w:rsidRPr="004635E5">
        <w:rPr>
          <w:sz w:val="22"/>
          <w:szCs w:val="22"/>
          <w:lang w:val="en-AU"/>
        </w:rPr>
        <w:t xml:space="preserve">key </w:t>
      </w:r>
      <w:r w:rsidRPr="004635E5">
        <w:rPr>
          <w:sz w:val="22"/>
          <w:szCs w:val="22"/>
          <w:lang w:val="en-AU"/>
        </w:rPr>
        <w:t>recommendations from SC13 and SC-related information and requests from WCPFC14</w:t>
      </w:r>
      <w:r w:rsidR="008C5C94" w:rsidRPr="004635E5">
        <w:rPr>
          <w:sz w:val="22"/>
          <w:szCs w:val="22"/>
          <w:lang w:val="en-AU"/>
        </w:rPr>
        <w:t>, and that m</w:t>
      </w:r>
      <w:r w:rsidR="00C7580A" w:rsidRPr="004635E5">
        <w:rPr>
          <w:sz w:val="22"/>
          <w:szCs w:val="22"/>
          <w:lang w:val="en-AU"/>
        </w:rPr>
        <w:t xml:space="preserve">ost </w:t>
      </w:r>
      <w:r w:rsidRPr="004635E5">
        <w:rPr>
          <w:sz w:val="22"/>
          <w:szCs w:val="22"/>
          <w:lang w:val="en-AU"/>
        </w:rPr>
        <w:t xml:space="preserve">of </w:t>
      </w:r>
      <w:r w:rsidR="008C5C94" w:rsidRPr="004635E5">
        <w:rPr>
          <w:sz w:val="22"/>
          <w:szCs w:val="22"/>
          <w:lang w:val="en-AU"/>
        </w:rPr>
        <w:t xml:space="preserve">the </w:t>
      </w:r>
      <w:r w:rsidRPr="004635E5">
        <w:rPr>
          <w:sz w:val="22"/>
          <w:szCs w:val="22"/>
          <w:lang w:val="en-AU"/>
        </w:rPr>
        <w:t xml:space="preserve">issues </w:t>
      </w:r>
      <w:r w:rsidR="008C5C94" w:rsidRPr="004635E5">
        <w:rPr>
          <w:sz w:val="22"/>
          <w:szCs w:val="22"/>
          <w:lang w:val="en-AU"/>
        </w:rPr>
        <w:t xml:space="preserve">were </w:t>
      </w:r>
      <w:r w:rsidRPr="004635E5">
        <w:rPr>
          <w:sz w:val="22"/>
          <w:szCs w:val="22"/>
          <w:lang w:val="en-AU"/>
        </w:rPr>
        <w:t>reflected in the SC14 agenda and meeting papers</w:t>
      </w:r>
      <w:r w:rsidR="00A16680" w:rsidRPr="004635E5">
        <w:rPr>
          <w:sz w:val="22"/>
          <w:szCs w:val="22"/>
          <w:lang w:val="en-AU"/>
        </w:rPr>
        <w:t xml:space="preserve">. </w:t>
      </w:r>
      <w:r w:rsidR="008C5C94" w:rsidRPr="004635E5">
        <w:rPr>
          <w:sz w:val="22"/>
          <w:szCs w:val="22"/>
          <w:lang w:val="en-AU"/>
        </w:rPr>
        <w:t xml:space="preserve">He noted acknowledged the contribution of G. </w:t>
      </w:r>
      <w:r w:rsidR="00C7580A" w:rsidRPr="004635E5">
        <w:rPr>
          <w:sz w:val="22"/>
          <w:szCs w:val="22"/>
          <w:lang w:val="en-AU"/>
        </w:rPr>
        <w:t>Pill</w:t>
      </w:r>
      <w:r w:rsidR="004D799D" w:rsidRPr="004635E5">
        <w:rPr>
          <w:sz w:val="22"/>
          <w:szCs w:val="22"/>
          <w:lang w:val="en-AU"/>
        </w:rPr>
        <w:t>i</w:t>
      </w:r>
      <w:r w:rsidR="00C7580A" w:rsidRPr="004635E5">
        <w:rPr>
          <w:sz w:val="22"/>
          <w:szCs w:val="22"/>
          <w:lang w:val="en-AU"/>
        </w:rPr>
        <w:t>ng</w:t>
      </w:r>
      <w:r w:rsidR="004D799D" w:rsidRPr="004635E5">
        <w:rPr>
          <w:sz w:val="22"/>
          <w:szCs w:val="22"/>
          <w:lang w:val="en-AU"/>
        </w:rPr>
        <w:t>,</w:t>
      </w:r>
      <w:r w:rsidR="00C7580A" w:rsidRPr="004635E5">
        <w:rPr>
          <w:sz w:val="22"/>
          <w:szCs w:val="22"/>
          <w:lang w:val="en-AU"/>
        </w:rPr>
        <w:t xml:space="preserve"> who reviewed </w:t>
      </w:r>
      <w:r w:rsidR="00B718A0" w:rsidRPr="004635E5">
        <w:rPr>
          <w:sz w:val="22"/>
          <w:szCs w:val="22"/>
          <w:lang w:val="en-AU"/>
        </w:rPr>
        <w:t xml:space="preserve">the </w:t>
      </w:r>
      <w:r w:rsidR="00C7580A" w:rsidRPr="004635E5">
        <w:rPr>
          <w:sz w:val="22"/>
          <w:szCs w:val="22"/>
          <w:lang w:val="en-AU"/>
        </w:rPr>
        <w:t xml:space="preserve">paper. </w:t>
      </w:r>
    </w:p>
    <w:p w14:paraId="2DAA3340" w14:textId="77777777" w:rsidR="00B718A0" w:rsidRPr="004635E5" w:rsidRDefault="00B718A0" w:rsidP="006633A8">
      <w:pPr>
        <w:autoSpaceDE w:val="0"/>
        <w:autoSpaceDN w:val="0"/>
        <w:adjustRightInd w:val="0"/>
        <w:snapToGrid w:val="0"/>
        <w:jc w:val="both"/>
        <w:rPr>
          <w:sz w:val="22"/>
          <w:szCs w:val="22"/>
          <w:lang w:val="en-NZ"/>
        </w:rPr>
      </w:pPr>
    </w:p>
    <w:p w14:paraId="757CD6E5" w14:textId="77777777" w:rsidR="00C7580A" w:rsidRPr="004635E5" w:rsidRDefault="004D799D"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The </w:t>
      </w:r>
      <w:r w:rsidR="00C7580A" w:rsidRPr="004635E5">
        <w:rPr>
          <w:sz w:val="22"/>
          <w:szCs w:val="22"/>
          <w:lang w:val="en-NZ"/>
        </w:rPr>
        <w:t>EU</w:t>
      </w:r>
      <w:r w:rsidRPr="004635E5">
        <w:rPr>
          <w:sz w:val="22"/>
          <w:szCs w:val="22"/>
          <w:lang w:val="en-NZ"/>
        </w:rPr>
        <w:t xml:space="preserve"> n</w:t>
      </w:r>
      <w:r w:rsidR="00C7580A" w:rsidRPr="004635E5">
        <w:rPr>
          <w:sz w:val="22"/>
          <w:szCs w:val="22"/>
          <w:lang w:val="en-NZ"/>
        </w:rPr>
        <w:t>ote</w:t>
      </w:r>
      <w:r w:rsidRPr="004635E5">
        <w:rPr>
          <w:sz w:val="22"/>
          <w:szCs w:val="22"/>
          <w:lang w:val="en-NZ"/>
        </w:rPr>
        <w:t>d</w:t>
      </w:r>
      <w:r w:rsidR="00C7580A" w:rsidRPr="004635E5">
        <w:rPr>
          <w:sz w:val="22"/>
          <w:szCs w:val="22"/>
          <w:lang w:val="en-NZ"/>
        </w:rPr>
        <w:t xml:space="preserve"> </w:t>
      </w:r>
      <w:r w:rsidRPr="004635E5">
        <w:rPr>
          <w:sz w:val="22"/>
          <w:szCs w:val="22"/>
          <w:lang w:val="en-NZ"/>
        </w:rPr>
        <w:t>that the document was very helpful, and ac</w:t>
      </w:r>
      <w:r w:rsidR="00C7580A" w:rsidRPr="004635E5">
        <w:rPr>
          <w:sz w:val="22"/>
          <w:szCs w:val="22"/>
          <w:lang w:val="en-NZ"/>
        </w:rPr>
        <w:t>knowledge</w:t>
      </w:r>
      <w:r w:rsidRPr="004635E5">
        <w:rPr>
          <w:sz w:val="22"/>
          <w:szCs w:val="22"/>
          <w:lang w:val="en-NZ"/>
        </w:rPr>
        <w:t>d</w:t>
      </w:r>
      <w:r w:rsidR="00C7580A" w:rsidRPr="004635E5">
        <w:rPr>
          <w:sz w:val="22"/>
          <w:szCs w:val="22"/>
          <w:lang w:val="en-NZ"/>
        </w:rPr>
        <w:t xml:space="preserve"> </w:t>
      </w:r>
      <w:r w:rsidRPr="004635E5">
        <w:rPr>
          <w:sz w:val="22"/>
          <w:szCs w:val="22"/>
          <w:lang w:val="en-NZ"/>
        </w:rPr>
        <w:t>the work of SPC</w:t>
      </w:r>
      <w:r w:rsidR="00C7580A" w:rsidRPr="004635E5">
        <w:rPr>
          <w:sz w:val="22"/>
          <w:szCs w:val="22"/>
          <w:lang w:val="en-NZ"/>
        </w:rPr>
        <w:t xml:space="preserve"> </w:t>
      </w:r>
      <w:r w:rsidRPr="004635E5">
        <w:rPr>
          <w:sz w:val="22"/>
          <w:szCs w:val="22"/>
          <w:lang w:val="en-NZ"/>
        </w:rPr>
        <w:t xml:space="preserve">in following up on previous recommendations. </w:t>
      </w:r>
      <w:r w:rsidR="00B718A0" w:rsidRPr="004635E5">
        <w:rPr>
          <w:sz w:val="22"/>
          <w:szCs w:val="22"/>
          <w:lang w:val="en-NZ"/>
        </w:rPr>
        <w:t xml:space="preserve">In response to the EU’s comment </w:t>
      </w:r>
      <w:r w:rsidRPr="004635E5">
        <w:rPr>
          <w:sz w:val="22"/>
          <w:szCs w:val="22"/>
          <w:lang w:val="en-NZ"/>
        </w:rPr>
        <w:t xml:space="preserve">that the </w:t>
      </w:r>
      <w:r w:rsidR="00C7580A" w:rsidRPr="004635E5">
        <w:rPr>
          <w:sz w:val="22"/>
          <w:szCs w:val="22"/>
          <w:lang w:val="en-NZ"/>
        </w:rPr>
        <w:t>follow</w:t>
      </w:r>
      <w:r w:rsidRPr="004635E5">
        <w:rPr>
          <w:sz w:val="22"/>
          <w:szCs w:val="22"/>
          <w:lang w:val="en-NZ"/>
        </w:rPr>
        <w:t>-</w:t>
      </w:r>
      <w:r w:rsidR="00C7580A" w:rsidRPr="004635E5">
        <w:rPr>
          <w:sz w:val="22"/>
          <w:szCs w:val="22"/>
          <w:lang w:val="en-NZ"/>
        </w:rPr>
        <w:t xml:space="preserve">up </w:t>
      </w:r>
      <w:r w:rsidRPr="004635E5">
        <w:rPr>
          <w:sz w:val="22"/>
          <w:szCs w:val="22"/>
          <w:lang w:val="en-NZ"/>
        </w:rPr>
        <w:t xml:space="preserve">plan or process </w:t>
      </w:r>
      <w:r w:rsidR="00B718A0" w:rsidRPr="004635E5">
        <w:rPr>
          <w:sz w:val="22"/>
          <w:szCs w:val="22"/>
          <w:lang w:val="en-NZ"/>
        </w:rPr>
        <w:t xml:space="preserve">was not entirely clear with respect to all recommendations, the </w:t>
      </w:r>
      <w:r w:rsidRPr="004635E5">
        <w:rPr>
          <w:sz w:val="22"/>
          <w:szCs w:val="22"/>
          <w:lang w:val="en-NZ"/>
        </w:rPr>
        <w:t xml:space="preserve">SC Chair noted this </w:t>
      </w:r>
      <w:r w:rsidR="00CC2B36" w:rsidRPr="004635E5">
        <w:rPr>
          <w:sz w:val="22"/>
          <w:szCs w:val="22"/>
          <w:lang w:val="en-NZ"/>
        </w:rPr>
        <w:t>w</w:t>
      </w:r>
      <w:r w:rsidRPr="004635E5">
        <w:rPr>
          <w:sz w:val="22"/>
          <w:szCs w:val="22"/>
          <w:lang w:val="en-NZ"/>
        </w:rPr>
        <w:t xml:space="preserve">ould be </w:t>
      </w:r>
      <w:r w:rsidR="00B718A0" w:rsidRPr="004635E5">
        <w:rPr>
          <w:sz w:val="22"/>
          <w:szCs w:val="22"/>
          <w:lang w:val="en-NZ"/>
        </w:rPr>
        <w:t xml:space="preserve">addressed </w:t>
      </w:r>
      <w:r w:rsidRPr="004635E5">
        <w:rPr>
          <w:sz w:val="22"/>
          <w:szCs w:val="22"/>
          <w:lang w:val="en-NZ"/>
        </w:rPr>
        <w:t xml:space="preserve">during </w:t>
      </w:r>
      <w:r w:rsidR="00CC2B36" w:rsidRPr="004635E5">
        <w:rPr>
          <w:sz w:val="22"/>
          <w:szCs w:val="22"/>
          <w:lang w:val="en-NZ"/>
        </w:rPr>
        <w:t>the meeting as specific issues were raised</w:t>
      </w:r>
      <w:r w:rsidR="00C7580A" w:rsidRPr="004635E5">
        <w:rPr>
          <w:sz w:val="22"/>
          <w:szCs w:val="22"/>
          <w:lang w:val="en-NZ"/>
        </w:rPr>
        <w:t>.</w:t>
      </w:r>
    </w:p>
    <w:p w14:paraId="514CF551" w14:textId="77777777" w:rsidR="00C7580A" w:rsidRPr="004635E5" w:rsidRDefault="00C7580A" w:rsidP="006633A8">
      <w:pPr>
        <w:adjustRightInd w:val="0"/>
        <w:snapToGrid w:val="0"/>
        <w:jc w:val="both"/>
        <w:rPr>
          <w:sz w:val="22"/>
          <w:szCs w:val="22"/>
          <w:lang w:val="en-NZ"/>
        </w:rPr>
      </w:pPr>
    </w:p>
    <w:p w14:paraId="106C1472" w14:textId="77777777" w:rsidR="00A83306" w:rsidRPr="004635E5" w:rsidRDefault="00A83306" w:rsidP="00580EA4">
      <w:pPr>
        <w:pStyle w:val="SC2"/>
        <w:numPr>
          <w:ilvl w:val="1"/>
          <w:numId w:val="161"/>
        </w:numPr>
        <w:spacing w:after="0"/>
        <w:ind w:left="0" w:firstLine="0"/>
      </w:pPr>
      <w:r w:rsidRPr="004635E5">
        <w:t>Adoption of agenda</w:t>
      </w:r>
    </w:p>
    <w:p w14:paraId="1D592219" w14:textId="77777777" w:rsidR="0063725B" w:rsidRPr="004635E5" w:rsidRDefault="0063725B" w:rsidP="006633A8">
      <w:pPr>
        <w:pStyle w:val="SC2"/>
        <w:numPr>
          <w:ilvl w:val="0"/>
          <w:numId w:val="0"/>
        </w:numPr>
        <w:spacing w:after="0"/>
        <w:ind w:left="720"/>
      </w:pPr>
    </w:p>
    <w:p w14:paraId="7F7DD3E6" w14:textId="77777777" w:rsidR="007853CE" w:rsidRPr="004635E5" w:rsidRDefault="007853CE"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The SC13 provisional agenda was adopted </w:t>
      </w:r>
      <w:r w:rsidRPr="00146B98">
        <w:rPr>
          <w:bCs/>
          <w:sz w:val="22"/>
          <w:szCs w:val="22"/>
          <w:lang w:val="en-AU"/>
        </w:rPr>
        <w:t xml:space="preserve">(Attachment </w:t>
      </w:r>
      <w:r w:rsidR="00111F32" w:rsidRPr="00146B98">
        <w:rPr>
          <w:bCs/>
          <w:sz w:val="22"/>
          <w:szCs w:val="22"/>
          <w:lang w:val="en-AU"/>
        </w:rPr>
        <w:t>E</w:t>
      </w:r>
      <w:r w:rsidRPr="00146B98">
        <w:rPr>
          <w:bCs/>
          <w:sz w:val="22"/>
          <w:szCs w:val="22"/>
          <w:lang w:val="en-AU"/>
        </w:rPr>
        <w:t>).</w:t>
      </w:r>
    </w:p>
    <w:p w14:paraId="19370EF3" w14:textId="77777777" w:rsidR="001E2BDE" w:rsidRPr="004635E5" w:rsidRDefault="001E2BDE" w:rsidP="006633A8">
      <w:pPr>
        <w:adjustRightInd w:val="0"/>
        <w:snapToGrid w:val="0"/>
        <w:ind w:left="360"/>
        <w:jc w:val="both"/>
        <w:rPr>
          <w:sz w:val="22"/>
          <w:szCs w:val="22"/>
        </w:rPr>
      </w:pPr>
    </w:p>
    <w:p w14:paraId="7045456F" w14:textId="77777777" w:rsidR="00A83306" w:rsidRPr="004635E5" w:rsidRDefault="00A83306" w:rsidP="00580EA4">
      <w:pPr>
        <w:pStyle w:val="SC2"/>
        <w:numPr>
          <w:ilvl w:val="1"/>
          <w:numId w:val="161"/>
        </w:numPr>
        <w:spacing w:after="0"/>
        <w:ind w:left="0" w:firstLine="0"/>
      </w:pPr>
      <w:r w:rsidRPr="004635E5">
        <w:t>Reporting arrangements</w:t>
      </w:r>
      <w:r w:rsidR="00E93DF0" w:rsidRPr="004635E5">
        <w:t xml:space="preserve"> </w:t>
      </w:r>
    </w:p>
    <w:p w14:paraId="2C85A644" w14:textId="77777777" w:rsidR="0063725B" w:rsidRPr="004635E5" w:rsidRDefault="0063725B" w:rsidP="006633A8">
      <w:pPr>
        <w:pStyle w:val="SC2"/>
        <w:numPr>
          <w:ilvl w:val="0"/>
          <w:numId w:val="0"/>
        </w:numPr>
        <w:spacing w:after="0"/>
        <w:ind w:left="720"/>
      </w:pPr>
    </w:p>
    <w:p w14:paraId="1E484AC2" w14:textId="77777777" w:rsidR="007853CE" w:rsidRPr="004635E5" w:rsidRDefault="007853CE"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The SC Chair noted that SC14 would adopt its recommendations at the meeting, and develop a Summary Report with an Executive Summary that would be adopted intersessionally. The Executive Summary would include a synopsis of stock status and management advice and implications, research plans, findings or conclusions on the stock status, reports and recommendations, as directed by the Commission or at the initiative of the SC (Paragraph 2, Article 12 of the Convention). The recommendations </w:t>
      </w:r>
      <w:r w:rsidR="00B718A0" w:rsidRPr="004635E5">
        <w:rPr>
          <w:sz w:val="22"/>
          <w:szCs w:val="22"/>
          <w:lang w:val="en-AU"/>
        </w:rPr>
        <w:t xml:space="preserve">would </w:t>
      </w:r>
      <w:r w:rsidRPr="004635E5">
        <w:rPr>
          <w:sz w:val="22"/>
          <w:szCs w:val="22"/>
          <w:lang w:val="en-AU"/>
        </w:rPr>
        <w:t xml:space="preserve">be adopted at the meeting and the Summary Report </w:t>
      </w:r>
      <w:r w:rsidR="00B718A0" w:rsidRPr="004635E5">
        <w:rPr>
          <w:sz w:val="22"/>
          <w:szCs w:val="22"/>
          <w:lang w:val="en-AU"/>
        </w:rPr>
        <w:t xml:space="preserve">would be adopted </w:t>
      </w:r>
      <w:r w:rsidRPr="004635E5">
        <w:rPr>
          <w:sz w:val="22"/>
          <w:szCs w:val="22"/>
          <w:lang w:val="en-AU"/>
        </w:rPr>
        <w:t xml:space="preserve">intersessionally. </w:t>
      </w:r>
    </w:p>
    <w:p w14:paraId="5668B5F6" w14:textId="77777777" w:rsidR="00075D66" w:rsidRPr="004635E5" w:rsidRDefault="00075D66" w:rsidP="006633A8">
      <w:pPr>
        <w:autoSpaceDE w:val="0"/>
        <w:autoSpaceDN w:val="0"/>
        <w:adjustRightInd w:val="0"/>
        <w:snapToGrid w:val="0"/>
        <w:jc w:val="both"/>
        <w:rPr>
          <w:sz w:val="22"/>
          <w:szCs w:val="22"/>
          <w:lang w:val="en-AU"/>
        </w:rPr>
      </w:pPr>
    </w:p>
    <w:p w14:paraId="0A199522" w14:textId="77777777" w:rsidR="007853CE" w:rsidRPr="004635E5" w:rsidRDefault="007853CE"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The SC Chair </w:t>
      </w:r>
      <w:r w:rsidRPr="004635E5">
        <w:rPr>
          <w:sz w:val="22"/>
          <w:szCs w:val="22"/>
          <w:lang w:val="en-AU" w:eastAsia="ko-KR"/>
        </w:rPr>
        <w:t>introduced</w:t>
      </w:r>
      <w:r w:rsidRPr="004635E5">
        <w:rPr>
          <w:sz w:val="22"/>
          <w:szCs w:val="22"/>
          <w:lang w:val="en-AU"/>
        </w:rPr>
        <w:t xml:space="preserve"> the rapporteur, Mark Smaalders, who would compile the Summary Report.</w:t>
      </w:r>
    </w:p>
    <w:p w14:paraId="127AE902" w14:textId="77777777" w:rsidR="007254DD" w:rsidRPr="004635E5" w:rsidRDefault="007254DD" w:rsidP="006633A8">
      <w:pPr>
        <w:adjustRightInd w:val="0"/>
        <w:snapToGrid w:val="0"/>
        <w:ind w:left="720"/>
        <w:jc w:val="both"/>
        <w:rPr>
          <w:sz w:val="22"/>
          <w:szCs w:val="22"/>
          <w:lang w:val="en-NZ"/>
        </w:rPr>
      </w:pPr>
    </w:p>
    <w:p w14:paraId="1049B949" w14:textId="77777777" w:rsidR="00A83306" w:rsidRPr="004635E5" w:rsidRDefault="00F5139A" w:rsidP="00580EA4">
      <w:pPr>
        <w:pStyle w:val="SC2"/>
        <w:numPr>
          <w:ilvl w:val="1"/>
          <w:numId w:val="161"/>
        </w:numPr>
        <w:spacing w:after="0"/>
        <w:ind w:left="0" w:firstLine="0"/>
      </w:pPr>
      <w:r w:rsidRPr="004635E5">
        <w:t>Intercessional</w:t>
      </w:r>
      <w:r w:rsidR="00A83306" w:rsidRPr="004635E5">
        <w:t xml:space="preserve"> activities of the Scientific Committee</w:t>
      </w:r>
      <w:r w:rsidR="00993582" w:rsidRPr="004635E5">
        <w:t xml:space="preserve"> </w:t>
      </w:r>
    </w:p>
    <w:p w14:paraId="7755EAE6" w14:textId="77777777" w:rsidR="00C91D50" w:rsidRPr="004635E5" w:rsidRDefault="00C91D50" w:rsidP="006633A8">
      <w:pPr>
        <w:pStyle w:val="SC2"/>
        <w:numPr>
          <w:ilvl w:val="0"/>
          <w:numId w:val="0"/>
        </w:numPr>
        <w:spacing w:after="0"/>
        <w:ind w:left="720"/>
      </w:pPr>
    </w:p>
    <w:p w14:paraId="36218167" w14:textId="77777777" w:rsidR="002D3B71" w:rsidRPr="004635E5" w:rsidRDefault="007853CE"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The Science Manager provided a brief introduction to </w:t>
      </w:r>
      <w:r w:rsidRPr="004635E5">
        <w:rPr>
          <w:bCs/>
          <w:sz w:val="22"/>
          <w:szCs w:val="22"/>
          <w:lang w:val="en-AU"/>
        </w:rPr>
        <w:t>SC1</w:t>
      </w:r>
      <w:r w:rsidR="00072FEB" w:rsidRPr="004635E5">
        <w:rPr>
          <w:bCs/>
          <w:sz w:val="22"/>
          <w:szCs w:val="22"/>
          <w:lang w:val="en-AU"/>
        </w:rPr>
        <w:t>4</w:t>
      </w:r>
      <w:r w:rsidRPr="004635E5">
        <w:rPr>
          <w:bCs/>
          <w:sz w:val="22"/>
          <w:szCs w:val="22"/>
          <w:lang w:val="en-AU"/>
        </w:rPr>
        <w:t>-GN-WP-04</w:t>
      </w:r>
      <w:r w:rsidRPr="004635E5">
        <w:rPr>
          <w:sz w:val="22"/>
          <w:szCs w:val="22"/>
          <w:lang w:val="en-AU"/>
        </w:rPr>
        <w:t xml:space="preserve"> </w:t>
      </w:r>
      <w:r w:rsidRPr="004635E5">
        <w:rPr>
          <w:i/>
          <w:sz w:val="22"/>
          <w:szCs w:val="22"/>
          <w:lang w:val="en-AU"/>
        </w:rPr>
        <w:t>Intersessional activities of the Scientific Committee</w:t>
      </w:r>
      <w:r w:rsidRPr="004635E5">
        <w:rPr>
          <w:sz w:val="22"/>
          <w:szCs w:val="22"/>
          <w:lang w:val="en-AU"/>
        </w:rPr>
        <w:t xml:space="preserve">. The paper </w:t>
      </w:r>
      <w:r w:rsidR="002D3B71" w:rsidRPr="004635E5">
        <w:rPr>
          <w:sz w:val="22"/>
          <w:szCs w:val="22"/>
          <w:lang w:val="en-AU"/>
        </w:rPr>
        <w:t>summarizes</w:t>
      </w:r>
      <w:r w:rsidRPr="004635E5">
        <w:rPr>
          <w:sz w:val="22"/>
          <w:szCs w:val="22"/>
          <w:lang w:val="en-AU"/>
        </w:rPr>
        <w:t xml:space="preserve"> scientific services </w:t>
      </w:r>
      <w:r w:rsidR="002D3B71" w:rsidRPr="004635E5">
        <w:rPr>
          <w:sz w:val="22"/>
          <w:szCs w:val="22"/>
          <w:lang w:val="en-AU"/>
        </w:rPr>
        <w:t xml:space="preserve">provided by </w:t>
      </w:r>
      <w:r w:rsidRPr="004635E5">
        <w:rPr>
          <w:sz w:val="22"/>
          <w:szCs w:val="22"/>
          <w:lang w:val="en-AU"/>
        </w:rPr>
        <w:t xml:space="preserve">SPC, progress and status of </w:t>
      </w:r>
      <w:r w:rsidR="002D3B71" w:rsidRPr="004635E5">
        <w:rPr>
          <w:sz w:val="22"/>
          <w:szCs w:val="22"/>
          <w:lang w:val="en-AU"/>
        </w:rPr>
        <w:t xml:space="preserve">ten </w:t>
      </w:r>
      <w:r w:rsidRPr="004635E5">
        <w:rPr>
          <w:sz w:val="22"/>
          <w:szCs w:val="22"/>
          <w:lang w:val="en-AU"/>
        </w:rPr>
        <w:t>SC work programmes</w:t>
      </w:r>
      <w:r w:rsidR="00104A6E" w:rsidRPr="004635E5">
        <w:rPr>
          <w:sz w:val="22"/>
          <w:szCs w:val="22"/>
          <w:lang w:val="en-AU"/>
        </w:rPr>
        <w:t xml:space="preserve"> (under agenda item 11)</w:t>
      </w:r>
      <w:r w:rsidRPr="004635E5">
        <w:rPr>
          <w:sz w:val="22"/>
          <w:szCs w:val="22"/>
          <w:lang w:val="en-AU"/>
        </w:rPr>
        <w:t>, cooperation with other organizations where the Secretariat attended their meetings, and a summary of four research projects</w:t>
      </w:r>
      <w:r w:rsidR="002D5D17" w:rsidRPr="004635E5">
        <w:rPr>
          <w:sz w:val="22"/>
          <w:szCs w:val="22"/>
          <w:lang w:val="en-AU"/>
        </w:rPr>
        <w:t xml:space="preserve">: </w:t>
      </w:r>
      <w:r w:rsidRPr="004635E5">
        <w:rPr>
          <w:sz w:val="22"/>
          <w:szCs w:val="22"/>
          <w:lang w:val="en-AU"/>
        </w:rPr>
        <w:t xml:space="preserve">ABNJ (Common Oceans) </w:t>
      </w:r>
      <w:r w:rsidRPr="004635E5">
        <w:rPr>
          <w:sz w:val="22"/>
          <w:szCs w:val="22"/>
          <w:lang w:val="en-AU" w:eastAsia="ko-KR"/>
        </w:rPr>
        <w:t>T</w:t>
      </w:r>
      <w:r w:rsidRPr="004635E5">
        <w:rPr>
          <w:sz w:val="22"/>
          <w:szCs w:val="22"/>
          <w:lang w:val="en-AU"/>
        </w:rPr>
        <w:t xml:space="preserve">una </w:t>
      </w:r>
      <w:r w:rsidRPr="004635E5">
        <w:rPr>
          <w:sz w:val="22"/>
          <w:szCs w:val="22"/>
          <w:lang w:val="en-AU" w:eastAsia="ko-KR"/>
        </w:rPr>
        <w:t>P</w:t>
      </w:r>
      <w:r w:rsidRPr="004635E5">
        <w:rPr>
          <w:sz w:val="22"/>
          <w:szCs w:val="22"/>
          <w:lang w:val="en-AU"/>
        </w:rPr>
        <w:t xml:space="preserve">roject, the Japan Trust Fund (JTF) project, the WCPFC Tissue Bank project and the West Pacific East Asia project. </w:t>
      </w:r>
      <w:r w:rsidR="00104A6E" w:rsidRPr="004635E5">
        <w:rPr>
          <w:sz w:val="22"/>
          <w:szCs w:val="22"/>
          <w:lang w:val="en-AU"/>
        </w:rPr>
        <w:t xml:space="preserve">Some details </w:t>
      </w:r>
      <w:r w:rsidR="002D3B71" w:rsidRPr="004635E5">
        <w:rPr>
          <w:sz w:val="22"/>
          <w:szCs w:val="22"/>
          <w:lang w:val="en-AU"/>
        </w:rPr>
        <w:t xml:space="preserve">are </w:t>
      </w:r>
      <w:r w:rsidR="00104A6E" w:rsidRPr="004635E5">
        <w:rPr>
          <w:sz w:val="22"/>
          <w:szCs w:val="22"/>
          <w:lang w:val="en-AU"/>
        </w:rPr>
        <w:t xml:space="preserve">presented under Agenda item 7. </w:t>
      </w:r>
      <w:r w:rsidR="002D3B71" w:rsidRPr="004635E5">
        <w:rPr>
          <w:sz w:val="22"/>
          <w:szCs w:val="22"/>
          <w:lang w:val="en-AU"/>
        </w:rPr>
        <w:t>The p</w:t>
      </w:r>
      <w:r w:rsidR="00104A6E" w:rsidRPr="004635E5">
        <w:rPr>
          <w:sz w:val="22"/>
          <w:szCs w:val="22"/>
          <w:lang w:val="en-AU"/>
        </w:rPr>
        <w:t xml:space="preserve">aper also </w:t>
      </w:r>
      <w:r w:rsidR="002D3B71" w:rsidRPr="004635E5">
        <w:rPr>
          <w:sz w:val="22"/>
          <w:szCs w:val="22"/>
          <w:lang w:val="en-AU"/>
        </w:rPr>
        <w:t xml:space="preserve">details </w:t>
      </w:r>
      <w:r w:rsidR="00104A6E" w:rsidRPr="004635E5">
        <w:rPr>
          <w:sz w:val="22"/>
          <w:szCs w:val="22"/>
          <w:lang w:val="en-AU"/>
        </w:rPr>
        <w:t>voluntary contributions from members and observers.</w:t>
      </w:r>
    </w:p>
    <w:p w14:paraId="3E6E0C08" w14:textId="77777777" w:rsidR="00B23F9D" w:rsidRPr="004635E5" w:rsidRDefault="00B23F9D" w:rsidP="006633A8">
      <w:pPr>
        <w:autoSpaceDE w:val="0"/>
        <w:autoSpaceDN w:val="0"/>
        <w:adjustRightInd w:val="0"/>
        <w:snapToGrid w:val="0"/>
        <w:jc w:val="both"/>
        <w:rPr>
          <w:rFonts w:eastAsiaTheme="minorEastAsia"/>
          <w:sz w:val="22"/>
          <w:szCs w:val="22"/>
          <w:lang w:val="en-AU" w:eastAsia="ko-KR"/>
        </w:rPr>
      </w:pPr>
    </w:p>
    <w:p w14:paraId="1ED070EA" w14:textId="77777777" w:rsidR="00B23F9D" w:rsidRPr="004635E5" w:rsidRDefault="00B23F9D" w:rsidP="006633A8">
      <w:pPr>
        <w:autoSpaceDE w:val="0"/>
        <w:autoSpaceDN w:val="0"/>
        <w:adjustRightInd w:val="0"/>
        <w:snapToGrid w:val="0"/>
        <w:jc w:val="both"/>
        <w:rPr>
          <w:rFonts w:eastAsiaTheme="minorEastAsia"/>
          <w:sz w:val="22"/>
          <w:szCs w:val="22"/>
          <w:lang w:val="en-AU" w:eastAsia="ko-KR"/>
        </w:rPr>
      </w:pPr>
    </w:p>
    <w:p w14:paraId="3D888AF6" w14:textId="77777777" w:rsidR="00C91D50" w:rsidRPr="004635E5" w:rsidRDefault="002D5D17" w:rsidP="006633A8">
      <w:pPr>
        <w:pStyle w:val="Heading1"/>
        <w:numPr>
          <w:ilvl w:val="0"/>
          <w:numId w:val="0"/>
        </w:numPr>
        <w:adjustRightInd w:val="0"/>
        <w:snapToGrid w:val="0"/>
        <w:spacing w:after="0"/>
        <w:ind w:left="360"/>
      </w:pPr>
      <w:r w:rsidRPr="004635E5">
        <w:t xml:space="preserve">AGENDA ITEM 2 </w:t>
      </w:r>
      <w:r w:rsidR="004878EB" w:rsidRPr="004635E5">
        <w:t xml:space="preserve">— </w:t>
      </w:r>
      <w:r w:rsidR="00A83306" w:rsidRPr="004635E5">
        <w:t>REVIEW OF FISHERIES</w:t>
      </w:r>
    </w:p>
    <w:p w14:paraId="3A47E3EC" w14:textId="77777777" w:rsidR="004878EB" w:rsidRPr="004635E5" w:rsidRDefault="00472973" w:rsidP="006633A8">
      <w:pPr>
        <w:pStyle w:val="Heading1"/>
        <w:numPr>
          <w:ilvl w:val="0"/>
          <w:numId w:val="0"/>
        </w:numPr>
        <w:adjustRightInd w:val="0"/>
        <w:snapToGrid w:val="0"/>
        <w:spacing w:after="0"/>
        <w:ind w:left="360"/>
      </w:pPr>
      <w:r w:rsidRPr="004635E5">
        <w:fldChar w:fldCharType="begin"/>
      </w:r>
      <w:r w:rsidR="002D5D17" w:rsidRPr="004635E5">
        <w:instrText xml:space="preserve"> TC "</w:instrText>
      </w:r>
      <w:bookmarkStart w:id="73" w:name="_Toc522810363"/>
      <w:bookmarkStart w:id="74" w:name="_Toc16418016"/>
      <w:r w:rsidR="002D5D17" w:rsidRPr="004635E5">
        <w:instrText>AGENDA ITEM 2 — REVIEW OF FISHERIES</w:instrText>
      </w:r>
      <w:bookmarkEnd w:id="73"/>
      <w:bookmarkEnd w:id="74"/>
      <w:r w:rsidR="002D5D17" w:rsidRPr="004635E5">
        <w:instrText xml:space="preserve">" \f C \l "1" </w:instrText>
      </w:r>
      <w:r w:rsidRPr="004635E5">
        <w:fldChar w:fldCharType="end"/>
      </w:r>
    </w:p>
    <w:p w14:paraId="72FFA56E" w14:textId="77777777" w:rsidR="00DD72A8" w:rsidRPr="004635E5" w:rsidRDefault="00DD72A8" w:rsidP="00580EA4">
      <w:pPr>
        <w:pStyle w:val="ListParagraph"/>
        <w:numPr>
          <w:ilvl w:val="0"/>
          <w:numId w:val="161"/>
        </w:numPr>
        <w:adjustRightInd w:val="0"/>
        <w:snapToGrid w:val="0"/>
        <w:jc w:val="both"/>
        <w:rPr>
          <w:b/>
          <w:vanish/>
          <w:sz w:val="22"/>
          <w:szCs w:val="22"/>
          <w:lang w:val="en-NZ"/>
        </w:rPr>
      </w:pPr>
    </w:p>
    <w:p w14:paraId="547A5EDA" w14:textId="77777777" w:rsidR="00C91D50" w:rsidRPr="004635E5" w:rsidRDefault="00A83306" w:rsidP="00580EA4">
      <w:pPr>
        <w:pStyle w:val="SC2"/>
        <w:numPr>
          <w:ilvl w:val="1"/>
          <w:numId w:val="161"/>
        </w:numPr>
        <w:spacing w:after="0"/>
        <w:ind w:left="0" w:firstLine="0"/>
      </w:pPr>
      <w:r w:rsidRPr="004635E5">
        <w:t xml:space="preserve">Overview of Western and Central Pacific Ocean </w:t>
      </w:r>
      <w:r w:rsidR="002D5D17" w:rsidRPr="004635E5">
        <w:t>f</w:t>
      </w:r>
      <w:r w:rsidRPr="004635E5">
        <w:t>isheries</w:t>
      </w:r>
      <w:r w:rsidR="00EC2690" w:rsidRPr="004635E5">
        <w:t xml:space="preserve"> </w:t>
      </w:r>
    </w:p>
    <w:p w14:paraId="7595AEA1" w14:textId="77777777" w:rsidR="00C91D50" w:rsidRPr="004635E5" w:rsidRDefault="00C91D50" w:rsidP="006633A8">
      <w:pPr>
        <w:pStyle w:val="SC2"/>
        <w:numPr>
          <w:ilvl w:val="0"/>
          <w:numId w:val="0"/>
        </w:numPr>
        <w:spacing w:after="0"/>
        <w:ind w:left="720"/>
      </w:pPr>
    </w:p>
    <w:p w14:paraId="0A5943BD" w14:textId="77777777" w:rsidR="00B14695" w:rsidRPr="004635E5" w:rsidRDefault="00B14695" w:rsidP="006633A8">
      <w:pPr>
        <w:pStyle w:val="WCPFC"/>
        <w:adjustRightInd w:val="0"/>
        <w:spacing w:after="0"/>
        <w:ind w:left="0" w:firstLine="0"/>
        <w:rPr>
          <w:rFonts w:cs="Times New Roman"/>
        </w:rPr>
      </w:pPr>
      <w:r w:rsidRPr="004635E5">
        <w:rPr>
          <w:rFonts w:cs="Times New Roman"/>
        </w:rPr>
        <w:t xml:space="preserve">P. Williams (SPC-OFP) and C. Reid (FFA) introduced SC14-GN-WP-01 </w:t>
      </w:r>
      <w:r w:rsidRPr="004635E5">
        <w:rPr>
          <w:rFonts w:cs="Times New Roman"/>
          <w:i/>
        </w:rPr>
        <w:t>Overview of tuna fisheries in the western and central Pacific Ocean, including economic conditions – 2017</w:t>
      </w:r>
      <w:r w:rsidRPr="004635E5">
        <w:rPr>
          <w:rFonts w:cs="Times New Roman"/>
        </w:rPr>
        <w:t>, which provided an overview of the WCPO key fisheries, including billfish and trends in purse-seine fishery capacity. They noted that SC14-ST-IP-01 Estimates of annual catches in the WCPFC Statistical Area, and Annual Reports- Part 1 provided additional detail.</w:t>
      </w:r>
    </w:p>
    <w:p w14:paraId="1D8856D8" w14:textId="77777777" w:rsidR="002D5D17" w:rsidRPr="004635E5" w:rsidRDefault="002D5D17" w:rsidP="006633A8">
      <w:pPr>
        <w:pStyle w:val="WCPFC"/>
        <w:numPr>
          <w:ilvl w:val="0"/>
          <w:numId w:val="0"/>
        </w:numPr>
        <w:adjustRightInd w:val="0"/>
        <w:spacing w:after="0"/>
        <w:rPr>
          <w:rFonts w:cs="Times New Roman"/>
        </w:rPr>
      </w:pPr>
    </w:p>
    <w:p w14:paraId="12786441" w14:textId="77777777" w:rsidR="00B14695" w:rsidRPr="004635E5" w:rsidRDefault="00B14695" w:rsidP="006633A8">
      <w:pPr>
        <w:pStyle w:val="WCPFC"/>
        <w:adjustRightInd w:val="0"/>
        <w:spacing w:after="0"/>
        <w:ind w:left="0" w:firstLine="0"/>
        <w:rPr>
          <w:rFonts w:cs="Times New Roman"/>
        </w:rPr>
      </w:pPr>
      <w:r w:rsidRPr="004635E5">
        <w:rPr>
          <w:rFonts w:cs="Times New Roman"/>
        </w:rPr>
        <w:t xml:space="preserve">The provisional total WCP–CA tuna catch for 2017 was estimated at 2,539,950 </w:t>
      </w:r>
      <w:r w:rsidR="002D5D17" w:rsidRPr="004635E5">
        <w:rPr>
          <w:rFonts w:cs="Times New Roman"/>
        </w:rPr>
        <w:t>metric tons (</w:t>
      </w:r>
      <w:r w:rsidRPr="004635E5">
        <w:rPr>
          <w:rFonts w:cs="Times New Roman"/>
        </w:rPr>
        <w:t>mt</w:t>
      </w:r>
      <w:r w:rsidR="002D5D17" w:rsidRPr="004635E5">
        <w:rPr>
          <w:rFonts w:cs="Times New Roman"/>
        </w:rPr>
        <w:t>)</w:t>
      </w:r>
      <w:r w:rsidRPr="004635E5">
        <w:rPr>
          <w:rFonts w:cs="Times New Roman"/>
        </w:rPr>
        <w:t>, the lowest catch for six years, and around 340,000 mt below the record catch in 2014 (2,883,204 mt). The WCP–CA tuna catch (2,539,950</w:t>
      </w:r>
      <w:r w:rsidR="001F3FF4">
        <w:rPr>
          <w:rFonts w:cs="Times New Roman"/>
        </w:rPr>
        <w:t xml:space="preserve"> </w:t>
      </w:r>
      <w:r w:rsidRPr="004635E5">
        <w:rPr>
          <w:rFonts w:cs="Times New Roman"/>
        </w:rPr>
        <w:t>mt) for 2017 represented 78% of the total Pacific Ocean catch of 3,239,704 mt, and 54% of the global tuna catch (the provisional estimate for 2017 is 4,715,836 mt, at this stage, the fourth highest on record).</w:t>
      </w:r>
    </w:p>
    <w:p w14:paraId="2FAAC58A" w14:textId="77777777" w:rsidR="002D5D17" w:rsidRPr="004635E5" w:rsidRDefault="002D5D17" w:rsidP="006633A8">
      <w:pPr>
        <w:pStyle w:val="WCPFC"/>
        <w:numPr>
          <w:ilvl w:val="0"/>
          <w:numId w:val="0"/>
        </w:numPr>
        <w:adjustRightInd w:val="0"/>
        <w:spacing w:after="0"/>
        <w:rPr>
          <w:rFonts w:cs="Times New Roman"/>
        </w:rPr>
      </w:pPr>
    </w:p>
    <w:p w14:paraId="45691440" w14:textId="77777777" w:rsidR="00B14695" w:rsidRPr="004635E5" w:rsidRDefault="00B14695" w:rsidP="006633A8">
      <w:pPr>
        <w:pStyle w:val="WCPFC"/>
        <w:adjustRightInd w:val="0"/>
        <w:spacing w:after="0"/>
        <w:ind w:left="0" w:firstLine="0"/>
        <w:rPr>
          <w:rFonts w:cs="Times New Roman"/>
        </w:rPr>
      </w:pPr>
      <w:r w:rsidRPr="004635E5">
        <w:rPr>
          <w:rFonts w:cs="Times New Roman"/>
        </w:rPr>
        <w:t>The 2017 WCP–CA catch of skipjack (1,624,162 mt – 64% of the total catch) was the lowest since 2011, at nearly 375,000 mt less than the record in 2014 (2,000,608 mt). The WCP–CA yellowfin catch for 2017 (670,890 mt – 26%) was the highest recorded (more than 35,000 mt higher than the previous record catch of 2016), mainly due to increased catches in the purse seine fishery. The WCP–CA bigeye catch for 2017 (126,929 mt – 5%) was the lowest since 2016 and mainly due to continued low longline catches. The 2017 WCP–CA albacore</w:t>
      </w:r>
      <w:r w:rsidR="001F3FF4">
        <w:rPr>
          <w:rStyle w:val="FootnoteReference"/>
          <w:rFonts w:cs="Times New Roman"/>
        </w:rPr>
        <w:t xml:space="preserve"> </w:t>
      </w:r>
      <w:r w:rsidRPr="004635E5">
        <w:rPr>
          <w:rFonts w:cs="Times New Roman"/>
        </w:rPr>
        <w:t>catch (117,969 mt – 5%) was slightly lower than the average over the past decade and around 50,000 mt lower than the record catch in 2002 at 147,793 mt</w:t>
      </w:r>
      <w:r w:rsidR="002D5D17" w:rsidRPr="004635E5">
        <w:rPr>
          <w:rFonts w:cs="Times New Roman"/>
        </w:rPr>
        <w:t>.</w:t>
      </w:r>
      <w:r w:rsidR="00A16680" w:rsidRPr="004635E5">
        <w:rPr>
          <w:rFonts w:cs="Times New Roman"/>
        </w:rPr>
        <w:t xml:space="preserve"> </w:t>
      </w:r>
      <w:r w:rsidRPr="004635E5">
        <w:rPr>
          <w:rFonts w:cs="Times New Roman"/>
        </w:rPr>
        <w:t>The south Pacific albacore catch in 2017 (92,291 mt) was a record catch, primarily due to a record in the longline fishery (89,388 mt); the 2017 catch was around 4,000-5,000 mt more than the previous record catch in 2010 of 88,147 mt</w:t>
      </w:r>
      <w:r w:rsidR="00A16680" w:rsidRPr="004635E5">
        <w:rPr>
          <w:rFonts w:cs="Times New Roman"/>
        </w:rPr>
        <w:t xml:space="preserve">. </w:t>
      </w:r>
    </w:p>
    <w:p w14:paraId="6B3AC246" w14:textId="77777777" w:rsidR="002D5D17" w:rsidRPr="004635E5" w:rsidRDefault="002D5D17" w:rsidP="006633A8">
      <w:pPr>
        <w:pStyle w:val="WCPFC"/>
        <w:numPr>
          <w:ilvl w:val="0"/>
          <w:numId w:val="0"/>
        </w:numPr>
        <w:adjustRightInd w:val="0"/>
        <w:spacing w:after="0"/>
        <w:rPr>
          <w:rFonts w:cs="Times New Roman"/>
        </w:rPr>
      </w:pPr>
    </w:p>
    <w:p w14:paraId="483BEE44" w14:textId="77777777" w:rsidR="00B14695" w:rsidRPr="004635E5" w:rsidRDefault="00B14695" w:rsidP="006633A8">
      <w:pPr>
        <w:pStyle w:val="WCPFC"/>
        <w:adjustRightInd w:val="0"/>
        <w:spacing w:after="0"/>
        <w:ind w:left="0" w:firstLine="0"/>
        <w:rPr>
          <w:rFonts w:cs="Times New Roman"/>
        </w:rPr>
      </w:pPr>
      <w:r w:rsidRPr="004635E5">
        <w:rPr>
          <w:rFonts w:cs="Times New Roman"/>
        </w:rPr>
        <w:t>The provisional 2017 purse-seine catch of 1,812,474 mt was slightly less than the most recent five-year average, and nearly 250,000 less than the record in 2014 (2,059,008 mt). While the total purse seine catch in 2017 was similar to the 2016 catch level, the species composition was clearly different. The 2017 purse-seine skipjack catch (1,280,311 mt; 71% of total catch) was the lowest since 2011 and nearly 350,000 mt lower than the record in 2014. In contrast, the 2017 purse-seine catch estimate for yellowfin tuna (472,279 mt; 26%) was the highest on record at nearly 50,000 mt higher than the previous record (423,788 mt in 2008); this record was mainly due to good catches of large yellowfin from unassociated-school set types in the west and central tropical WCP-CA areas (see Figure 3.4.8–right). The provisional catch estimate for bigeye tuna for 2017 (56,194 mt) was a decrease on the catch in 2016 and lower than the most recent five-year average.</w:t>
      </w:r>
    </w:p>
    <w:p w14:paraId="3E3083D7" w14:textId="77777777" w:rsidR="002D5D17" w:rsidRPr="004635E5" w:rsidRDefault="002D5D17" w:rsidP="006633A8">
      <w:pPr>
        <w:pStyle w:val="WCPFC"/>
        <w:numPr>
          <w:ilvl w:val="0"/>
          <w:numId w:val="0"/>
        </w:numPr>
        <w:adjustRightInd w:val="0"/>
        <w:spacing w:after="0"/>
        <w:rPr>
          <w:rFonts w:cs="Times New Roman"/>
        </w:rPr>
      </w:pPr>
    </w:p>
    <w:p w14:paraId="663EA07A" w14:textId="77777777" w:rsidR="00B14695" w:rsidRPr="004635E5" w:rsidRDefault="00B14695" w:rsidP="006633A8">
      <w:pPr>
        <w:pStyle w:val="WCPFC"/>
        <w:adjustRightInd w:val="0"/>
        <w:spacing w:after="0"/>
        <w:ind w:left="0" w:firstLine="0"/>
        <w:rPr>
          <w:rFonts w:cs="Times New Roman"/>
        </w:rPr>
      </w:pPr>
      <w:r w:rsidRPr="004635E5">
        <w:rPr>
          <w:rFonts w:cs="Times New Roman"/>
        </w:rPr>
        <w:t xml:space="preserve">The provisional 2017 pole-and-line catch (151,232 mt) was the lowest annual catch since the mid-1960s, with reduced catches in both the Japanese and the Indonesian fisheries. </w:t>
      </w:r>
    </w:p>
    <w:p w14:paraId="0B9F4C34" w14:textId="77777777" w:rsidR="002D5D17" w:rsidRPr="004635E5" w:rsidRDefault="002D5D17" w:rsidP="006633A8">
      <w:pPr>
        <w:pStyle w:val="WCPFC"/>
        <w:numPr>
          <w:ilvl w:val="0"/>
          <w:numId w:val="0"/>
        </w:numPr>
        <w:adjustRightInd w:val="0"/>
        <w:spacing w:after="0"/>
        <w:rPr>
          <w:rFonts w:cs="Times New Roman"/>
        </w:rPr>
      </w:pPr>
    </w:p>
    <w:p w14:paraId="793B1F3C" w14:textId="77777777" w:rsidR="00B14695" w:rsidRPr="004635E5" w:rsidRDefault="00B14695" w:rsidP="006633A8">
      <w:pPr>
        <w:pStyle w:val="WCPFC"/>
        <w:adjustRightInd w:val="0"/>
        <w:spacing w:after="0"/>
        <w:ind w:left="0" w:firstLine="0"/>
        <w:rPr>
          <w:rFonts w:cs="Times New Roman"/>
        </w:rPr>
      </w:pPr>
      <w:r w:rsidRPr="004635E5">
        <w:rPr>
          <w:rFonts w:cs="Times New Roman"/>
        </w:rPr>
        <w:t xml:space="preserve">The provisional WCP–CA longline catch (240,387 mt) for 2017 was lower than the average for the past five years. The WCP–CA albacore longline catch (96,280 mt – 40%) for 2017 was higher than the average catch over the past decade, and only 5,000 mt lower than the record of 101,816 mt attained in 2010. The provisional bigeye catch (58,164 mt – 25%) for 2017 was the lowest since 1996, presumably mainly due to continued reduction in effort in the main bigeye tuna fishery. The yellowfin catch for 2017 (83,399 mt – 35%) was lower than the average for the past decade and more than 20,000 mt less that the record for this fishery. </w:t>
      </w:r>
    </w:p>
    <w:p w14:paraId="6C2A3169" w14:textId="77777777" w:rsidR="002D5D17" w:rsidRPr="004635E5" w:rsidRDefault="002D5D17" w:rsidP="006633A8">
      <w:pPr>
        <w:pStyle w:val="WCPFC"/>
        <w:numPr>
          <w:ilvl w:val="0"/>
          <w:numId w:val="0"/>
        </w:numPr>
        <w:adjustRightInd w:val="0"/>
        <w:spacing w:after="0"/>
        <w:rPr>
          <w:rFonts w:cs="Times New Roman"/>
        </w:rPr>
      </w:pPr>
    </w:p>
    <w:p w14:paraId="29B689A6" w14:textId="77777777" w:rsidR="00B14695" w:rsidRPr="004635E5" w:rsidRDefault="00B14695" w:rsidP="006633A8">
      <w:pPr>
        <w:pStyle w:val="WCPFC"/>
        <w:adjustRightInd w:val="0"/>
        <w:spacing w:after="0"/>
        <w:ind w:left="0" w:firstLine="0"/>
        <w:rPr>
          <w:rFonts w:cs="Times New Roman"/>
          <w:color w:val="0000FF"/>
        </w:rPr>
      </w:pPr>
      <w:r w:rsidRPr="004635E5">
        <w:rPr>
          <w:rFonts w:cs="Times New Roman"/>
        </w:rPr>
        <w:t>The 2017 South Pacific troll albacore catch (2,508 mt) was similar to catch levels experienced over the past four years. The New Zealand troll fleet (111 vessels catching 1,952 mt in 2017) and the United States troll fleet (13 vessels catching 556 mt in 2017) accounted for all of the 2017 albacore troll catch.</w:t>
      </w:r>
    </w:p>
    <w:p w14:paraId="5ACB6C8F" w14:textId="77777777" w:rsidR="002D5D17" w:rsidRPr="004635E5" w:rsidRDefault="002D5D17" w:rsidP="006633A8">
      <w:pPr>
        <w:pStyle w:val="WCPFC"/>
        <w:numPr>
          <w:ilvl w:val="0"/>
          <w:numId w:val="0"/>
        </w:numPr>
        <w:adjustRightInd w:val="0"/>
        <w:spacing w:after="0"/>
        <w:rPr>
          <w:rFonts w:cs="Times New Roman"/>
          <w:color w:val="0000FF"/>
        </w:rPr>
      </w:pPr>
    </w:p>
    <w:p w14:paraId="4910A030" w14:textId="77777777" w:rsidR="00B14695" w:rsidRPr="004635E5" w:rsidRDefault="00B14695" w:rsidP="006633A8">
      <w:pPr>
        <w:pStyle w:val="WCPFC"/>
        <w:adjustRightInd w:val="0"/>
        <w:spacing w:after="0"/>
        <w:ind w:left="0" w:firstLine="0"/>
        <w:rPr>
          <w:rFonts w:cs="Times New Roman"/>
        </w:rPr>
      </w:pPr>
      <w:r w:rsidRPr="004635E5">
        <w:rPr>
          <w:rFonts w:cs="Times New Roman"/>
        </w:rPr>
        <w:t xml:space="preserve">Market prices in 2017 generally improved with significant increases in prices for purse seine caught skipjack and yellowfin, pole and line caught skipjack and longline caught yellowfin, swordfish and striped marlin while longline caught albacore prices remained steady and longline caught bigeye prices were either steady or declined. </w:t>
      </w:r>
    </w:p>
    <w:p w14:paraId="1DDE1D0B" w14:textId="77777777" w:rsidR="002D5D17" w:rsidRPr="004635E5" w:rsidRDefault="002D5D17" w:rsidP="006633A8">
      <w:pPr>
        <w:pStyle w:val="WCPFC"/>
        <w:numPr>
          <w:ilvl w:val="0"/>
          <w:numId w:val="0"/>
        </w:numPr>
        <w:adjustRightInd w:val="0"/>
        <w:spacing w:after="0"/>
        <w:rPr>
          <w:rFonts w:cs="Times New Roman"/>
        </w:rPr>
      </w:pPr>
    </w:p>
    <w:p w14:paraId="6D0CED09" w14:textId="77777777" w:rsidR="00B14695" w:rsidRPr="004635E5" w:rsidRDefault="00B14695" w:rsidP="006633A8">
      <w:pPr>
        <w:pStyle w:val="WCPFC"/>
        <w:adjustRightInd w:val="0"/>
        <w:spacing w:after="0"/>
        <w:ind w:left="0" w:firstLine="0"/>
        <w:rPr>
          <w:rFonts w:cs="Times New Roman"/>
          <w:lang w:val="en-US"/>
        </w:rPr>
      </w:pPr>
      <w:r w:rsidRPr="004635E5">
        <w:rPr>
          <w:rFonts w:cs="Times New Roman"/>
        </w:rPr>
        <w:t>The total estimated delivered value of catch in the WCP-CA increased by 12% to US$5.84 billion during 2017. The value of the purse seine catch (US$3.40 billion) accounted for 58% of the value of the catch, the fishery’s 2</w:t>
      </w:r>
      <w:r w:rsidRPr="004635E5">
        <w:rPr>
          <w:rFonts w:cs="Times New Roman"/>
          <w:vertAlign w:val="superscript"/>
        </w:rPr>
        <w:t>nd</w:t>
      </w:r>
      <w:r w:rsidRPr="004635E5">
        <w:rPr>
          <w:rFonts w:cs="Times New Roman"/>
        </w:rPr>
        <w:t xml:space="preserve"> highest contribution to total catch value. The value of the longline fishery in 2017 (US$1.46 billion) was the lowest since 2007 and accounted for 25% of the value of the catch, its 2</w:t>
      </w:r>
      <w:r w:rsidRPr="004635E5">
        <w:rPr>
          <w:rFonts w:cs="Times New Roman"/>
          <w:vertAlign w:val="superscript"/>
        </w:rPr>
        <w:t>nd</w:t>
      </w:r>
      <w:r w:rsidRPr="004635E5">
        <w:rPr>
          <w:rFonts w:cs="Times New Roman"/>
        </w:rPr>
        <w:t xml:space="preserve"> lowest contribution to total catch value. The 2017 values of the pole and line, and other catch were US$348 and US$631 million respectively</w:t>
      </w:r>
      <w:r w:rsidR="00A16680" w:rsidRPr="004635E5">
        <w:rPr>
          <w:rFonts w:cs="Times New Roman"/>
        </w:rPr>
        <w:t xml:space="preserve">. </w:t>
      </w:r>
      <w:r w:rsidRPr="004635E5">
        <w:rPr>
          <w:rFonts w:cs="Times New Roman"/>
        </w:rPr>
        <w:t>The value of the 2017 WCP–CA skipjack catch (US$2.98 billion) was the equal to the third highest recorded and 13% higher than 2016. The 2017 value of the WCP–CA yellowfin catch (US$1.9 billion) was the second highest recorded and 17% higher than 2016. The value of the WCP–CA bigeye catch in 2017 (US$0.65 billion) was at its lowest level since 2005</w:t>
      </w:r>
      <w:r w:rsidR="00A16680" w:rsidRPr="004635E5">
        <w:rPr>
          <w:rFonts w:cs="Times New Roman"/>
        </w:rPr>
        <w:t xml:space="preserve">. </w:t>
      </w:r>
      <w:r w:rsidRPr="004635E5">
        <w:rPr>
          <w:rFonts w:cs="Times New Roman"/>
        </w:rPr>
        <w:t>The 2017 value of the WCP–CA albacore</w:t>
      </w:r>
      <w:r w:rsidRPr="004635E5">
        <w:rPr>
          <w:rStyle w:val="FootnoteReference"/>
          <w:rFonts w:cs="Times New Roman"/>
        </w:rPr>
        <w:t xml:space="preserve"> </w:t>
      </w:r>
      <w:r w:rsidRPr="004635E5">
        <w:rPr>
          <w:rFonts w:cs="Times New Roman"/>
        </w:rPr>
        <w:t>catch (US$0.34 billion) was around that averaged over the past 10 years.</w:t>
      </w:r>
    </w:p>
    <w:p w14:paraId="23EE5B65" w14:textId="77777777" w:rsidR="002D5D17" w:rsidRPr="004635E5" w:rsidRDefault="002D5D17" w:rsidP="006633A8">
      <w:pPr>
        <w:pStyle w:val="WCPFC"/>
        <w:numPr>
          <w:ilvl w:val="0"/>
          <w:numId w:val="0"/>
        </w:numPr>
        <w:adjustRightInd w:val="0"/>
        <w:spacing w:after="0"/>
        <w:rPr>
          <w:rFonts w:cs="Times New Roman"/>
          <w:lang w:val="en-US"/>
        </w:rPr>
      </w:pPr>
    </w:p>
    <w:p w14:paraId="0A35058A" w14:textId="77777777" w:rsidR="00B14695" w:rsidRPr="004635E5" w:rsidRDefault="00B14695" w:rsidP="006633A8">
      <w:pPr>
        <w:pStyle w:val="WCPFC"/>
        <w:adjustRightInd w:val="0"/>
        <w:spacing w:after="0"/>
        <w:ind w:left="0" w:firstLine="0"/>
        <w:rPr>
          <w:rFonts w:cs="Times New Roman"/>
          <w:b/>
        </w:rPr>
      </w:pPr>
      <w:r w:rsidRPr="004635E5">
        <w:rPr>
          <w:rFonts w:cs="Times New Roman"/>
        </w:rPr>
        <w:t>Economic conditions in the purse seine, tropical longline and southern longline fisheries of the WCP-CA showed mixed results. The southern longline fishery saw a further improvement in catch rates which drove the FFA economic conditions index to its highest level since 2009. Conversely, the tropical longline fishery index, which moved above its long term average in 2016 for the first time since 2010, fell back to below the long term average</w:t>
      </w:r>
      <w:r w:rsidR="00A16680" w:rsidRPr="004635E5">
        <w:rPr>
          <w:rFonts w:cs="Times New Roman"/>
        </w:rPr>
        <w:t xml:space="preserve">. </w:t>
      </w:r>
      <w:r w:rsidRPr="004635E5">
        <w:rPr>
          <w:rFonts w:cs="Times New Roman"/>
        </w:rPr>
        <w:t xml:space="preserve">In the purse seine fishery, despite significant falls in purse seine catch rates, higher prices resulted in the continuation of the good economic conditions in 2017, with the FFA purse seine fishery economic conditions index increasing marginally from 2016 to be at its third highest level since 1999. </w:t>
      </w:r>
    </w:p>
    <w:p w14:paraId="2F223C6D" w14:textId="77777777" w:rsidR="00B14695" w:rsidRPr="004635E5" w:rsidRDefault="00B14695" w:rsidP="006633A8">
      <w:pPr>
        <w:pStyle w:val="WCPFC"/>
        <w:numPr>
          <w:ilvl w:val="0"/>
          <w:numId w:val="0"/>
        </w:numPr>
        <w:adjustRightInd w:val="0"/>
        <w:spacing w:after="0"/>
        <w:jc w:val="center"/>
        <w:rPr>
          <w:rFonts w:cs="Times New Roman"/>
        </w:rPr>
      </w:pPr>
      <w:bookmarkStart w:id="75" w:name="_Ref78102318"/>
      <w:bookmarkStart w:id="76" w:name="_Ref141331354"/>
      <w:r w:rsidRPr="004635E5">
        <w:rPr>
          <w:rFonts w:cs="Times New Roman"/>
          <w:noProof/>
          <w:lang w:val="en-US" w:eastAsia="zh-CN" w:bidi="mn-Mong-CN"/>
        </w:rPr>
        <w:drawing>
          <wp:inline distT="0" distB="0" distL="0" distR="0" wp14:anchorId="7BFE6F9C" wp14:editId="6B0CB7FE">
            <wp:extent cx="4413600" cy="1958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cstate="email">
                      <a:extLst>
                        <a:ext uri="{28A0092B-C50C-407E-A947-70E740481C1C}">
                          <a14:useLocalDpi xmlns:a14="http://schemas.microsoft.com/office/drawing/2010/main" val="0"/>
                        </a:ext>
                      </a:extLst>
                    </a:blip>
                    <a:srcRect/>
                    <a:stretch>
                      <a:fillRect/>
                    </a:stretch>
                  </pic:blipFill>
                  <pic:spPr bwMode="auto">
                    <a:xfrm>
                      <a:off x="0" y="0"/>
                      <a:ext cx="4413600" cy="1958400"/>
                    </a:xfrm>
                    <a:prstGeom prst="rect">
                      <a:avLst/>
                    </a:prstGeom>
                    <a:noFill/>
                    <a:ln>
                      <a:noFill/>
                    </a:ln>
                  </pic:spPr>
                </pic:pic>
              </a:graphicData>
            </a:graphic>
          </wp:inline>
        </w:drawing>
      </w:r>
    </w:p>
    <w:p w14:paraId="4F74EB67" w14:textId="77777777" w:rsidR="00B14695" w:rsidRPr="004635E5" w:rsidRDefault="00B14695" w:rsidP="006633A8">
      <w:pPr>
        <w:pStyle w:val="WCPFC"/>
        <w:numPr>
          <w:ilvl w:val="0"/>
          <w:numId w:val="0"/>
        </w:numPr>
        <w:adjustRightInd w:val="0"/>
        <w:spacing w:after="0"/>
        <w:ind w:left="1260" w:right="1260"/>
        <w:rPr>
          <w:rFonts w:cs="Times New Roman"/>
        </w:rPr>
      </w:pPr>
      <w:r w:rsidRPr="004635E5">
        <w:rPr>
          <w:rFonts w:cs="Times New Roman"/>
          <w:b/>
        </w:rPr>
        <w:t xml:space="preserve">Figure </w:t>
      </w:r>
      <w:bookmarkEnd w:id="75"/>
      <w:bookmarkEnd w:id="76"/>
      <w:r w:rsidR="00075D66" w:rsidRPr="004635E5">
        <w:rPr>
          <w:rFonts w:cs="Times New Roman"/>
          <w:b/>
        </w:rPr>
        <w:t>1.</w:t>
      </w:r>
      <w:r w:rsidRPr="004635E5">
        <w:rPr>
          <w:rFonts w:cs="Times New Roman"/>
        </w:rPr>
        <w:t xml:space="preserve"> Catch (mt) of albacore, bigeye, skipjack and yellowfin in the WCP–CA, by longline, pole-and-line, purse seine and other gear types</w:t>
      </w:r>
    </w:p>
    <w:p w14:paraId="5377A509" w14:textId="77777777" w:rsidR="00B14695" w:rsidRPr="004635E5" w:rsidRDefault="00B14695" w:rsidP="006633A8">
      <w:pPr>
        <w:pStyle w:val="WCPFC"/>
        <w:numPr>
          <w:ilvl w:val="0"/>
          <w:numId w:val="0"/>
        </w:numPr>
        <w:adjustRightInd w:val="0"/>
        <w:spacing w:after="0"/>
        <w:jc w:val="center"/>
        <w:rPr>
          <w:rFonts w:cs="Times New Roman"/>
        </w:rPr>
      </w:pPr>
      <w:r w:rsidRPr="004635E5">
        <w:rPr>
          <w:rFonts w:cs="Times New Roman"/>
          <w:noProof/>
          <w:lang w:val="en-US" w:eastAsia="zh-CN" w:bidi="mn-Mong-CN"/>
        </w:rPr>
        <w:drawing>
          <wp:inline distT="0" distB="0" distL="0" distR="0" wp14:anchorId="61FB8315" wp14:editId="08E0A78E">
            <wp:extent cx="4413600" cy="1954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 cstate="email">
                      <a:extLst>
                        <a:ext uri="{28A0092B-C50C-407E-A947-70E740481C1C}">
                          <a14:useLocalDpi xmlns:a14="http://schemas.microsoft.com/office/drawing/2010/main" val="0"/>
                        </a:ext>
                      </a:extLst>
                    </a:blip>
                    <a:srcRect/>
                    <a:stretch>
                      <a:fillRect/>
                    </a:stretch>
                  </pic:blipFill>
                  <pic:spPr bwMode="auto">
                    <a:xfrm>
                      <a:off x="0" y="0"/>
                      <a:ext cx="4413600" cy="1954800"/>
                    </a:xfrm>
                    <a:prstGeom prst="rect">
                      <a:avLst/>
                    </a:prstGeom>
                    <a:noFill/>
                    <a:ln>
                      <a:noFill/>
                    </a:ln>
                  </pic:spPr>
                </pic:pic>
              </a:graphicData>
            </a:graphic>
          </wp:inline>
        </w:drawing>
      </w:r>
    </w:p>
    <w:p w14:paraId="30032336" w14:textId="77777777" w:rsidR="00B14695" w:rsidRPr="004635E5" w:rsidRDefault="00B14695" w:rsidP="006633A8">
      <w:pPr>
        <w:pStyle w:val="WCPFC"/>
        <w:numPr>
          <w:ilvl w:val="0"/>
          <w:numId w:val="0"/>
        </w:numPr>
        <w:adjustRightInd w:val="0"/>
        <w:spacing w:after="0"/>
        <w:ind w:left="1260"/>
        <w:rPr>
          <w:rFonts w:cs="Times New Roman"/>
          <w:lang w:val="en-US"/>
        </w:rPr>
      </w:pPr>
      <w:bookmarkStart w:id="77" w:name="_Ref78102327"/>
      <w:bookmarkStart w:id="78" w:name="_Ref141331362"/>
      <w:r w:rsidRPr="004635E5">
        <w:rPr>
          <w:rFonts w:cs="Times New Roman"/>
          <w:b/>
        </w:rPr>
        <w:t xml:space="preserve">Figure </w:t>
      </w:r>
      <w:bookmarkEnd w:id="77"/>
      <w:bookmarkEnd w:id="78"/>
      <w:r w:rsidR="00075D66" w:rsidRPr="004635E5">
        <w:rPr>
          <w:rFonts w:cs="Times New Roman"/>
          <w:b/>
        </w:rPr>
        <w:t>2.</w:t>
      </w:r>
      <w:r w:rsidRPr="004635E5">
        <w:rPr>
          <w:rFonts w:cs="Times New Roman"/>
        </w:rPr>
        <w:t xml:space="preserve"> Catch (mt) of albacore, bigeye, skipjack and yellowfin in the WCP–CA.</w:t>
      </w:r>
    </w:p>
    <w:p w14:paraId="036A9966" w14:textId="77777777" w:rsidR="00B14695" w:rsidRPr="004635E5" w:rsidRDefault="00B14695" w:rsidP="006633A8">
      <w:pPr>
        <w:pStyle w:val="WCPFC"/>
        <w:numPr>
          <w:ilvl w:val="0"/>
          <w:numId w:val="0"/>
        </w:numPr>
        <w:adjustRightInd w:val="0"/>
        <w:spacing w:after="0"/>
        <w:rPr>
          <w:rFonts w:cs="Times New Roman"/>
        </w:rPr>
      </w:pPr>
    </w:p>
    <w:p w14:paraId="2B8B9C2C" w14:textId="77777777" w:rsidR="00B14695" w:rsidRPr="004635E5" w:rsidRDefault="00B14695" w:rsidP="006633A8">
      <w:pPr>
        <w:pStyle w:val="WCPFC"/>
        <w:numPr>
          <w:ilvl w:val="0"/>
          <w:numId w:val="0"/>
        </w:numPr>
        <w:adjustRightInd w:val="0"/>
        <w:spacing w:after="0"/>
        <w:jc w:val="center"/>
        <w:rPr>
          <w:rFonts w:cs="Times New Roman"/>
        </w:rPr>
      </w:pPr>
      <w:r w:rsidRPr="004635E5">
        <w:rPr>
          <w:rFonts w:cs="Times New Roman"/>
          <w:noProof/>
          <w:lang w:val="en-US" w:eastAsia="zh-CN" w:bidi="mn-Mong-CN"/>
        </w:rPr>
        <w:drawing>
          <wp:inline distT="0" distB="0" distL="0" distR="0" wp14:anchorId="2D88ADC8" wp14:editId="6F7F9829">
            <wp:extent cx="4213201" cy="20878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8" cstate="email">
                      <a:extLst>
                        <a:ext uri="{28A0092B-C50C-407E-A947-70E740481C1C}">
                          <a14:useLocalDpi xmlns:a14="http://schemas.microsoft.com/office/drawing/2010/main" val="0"/>
                        </a:ext>
                      </a:extLst>
                    </a:blip>
                    <a:srcRect/>
                    <a:stretch>
                      <a:fillRect/>
                    </a:stretch>
                  </pic:blipFill>
                  <pic:spPr bwMode="auto">
                    <a:xfrm>
                      <a:off x="0" y="0"/>
                      <a:ext cx="4232306" cy="2097347"/>
                    </a:xfrm>
                    <a:prstGeom prst="rect">
                      <a:avLst/>
                    </a:prstGeom>
                    <a:noFill/>
                  </pic:spPr>
                </pic:pic>
              </a:graphicData>
            </a:graphic>
          </wp:inline>
        </w:drawing>
      </w:r>
    </w:p>
    <w:p w14:paraId="25F30DB7" w14:textId="77777777" w:rsidR="00B14695" w:rsidRPr="004635E5" w:rsidRDefault="00B14695" w:rsidP="006633A8">
      <w:pPr>
        <w:pStyle w:val="WCPFC"/>
        <w:numPr>
          <w:ilvl w:val="0"/>
          <w:numId w:val="0"/>
        </w:numPr>
        <w:adjustRightInd w:val="0"/>
        <w:spacing w:after="0"/>
        <w:ind w:left="1260" w:right="1350"/>
        <w:rPr>
          <w:rFonts w:cs="Times New Roman"/>
        </w:rPr>
      </w:pPr>
      <w:r w:rsidRPr="004635E5">
        <w:rPr>
          <w:rFonts w:cs="Times New Roman"/>
          <w:b/>
        </w:rPr>
        <w:t xml:space="preserve">Figure </w:t>
      </w:r>
      <w:r w:rsidR="00075D66" w:rsidRPr="004635E5">
        <w:rPr>
          <w:rFonts w:cs="Times New Roman"/>
          <w:b/>
        </w:rPr>
        <w:t>3.</w:t>
      </w:r>
      <w:r w:rsidRPr="004635E5">
        <w:rPr>
          <w:rFonts w:cs="Times New Roman"/>
        </w:rPr>
        <w:t xml:space="preserve"> Catch value of albacore, bigeye, skipjack and yellowfin in the WCP–CA, by longline, pole-and-line, purse seine and other gear types.</w:t>
      </w:r>
    </w:p>
    <w:p w14:paraId="7861F520" w14:textId="77777777" w:rsidR="00B14695" w:rsidRPr="004635E5" w:rsidRDefault="00B14695" w:rsidP="006633A8">
      <w:pPr>
        <w:pStyle w:val="WCPFC"/>
        <w:numPr>
          <w:ilvl w:val="0"/>
          <w:numId w:val="0"/>
        </w:numPr>
        <w:adjustRightInd w:val="0"/>
        <w:spacing w:after="0"/>
        <w:rPr>
          <w:rFonts w:cs="Times New Roman"/>
        </w:rPr>
      </w:pPr>
    </w:p>
    <w:p w14:paraId="6105D00C" w14:textId="77777777" w:rsidR="00B14695" w:rsidRPr="004635E5" w:rsidRDefault="00B14695" w:rsidP="006633A8">
      <w:pPr>
        <w:pStyle w:val="WCPFC"/>
        <w:numPr>
          <w:ilvl w:val="0"/>
          <w:numId w:val="0"/>
        </w:numPr>
        <w:adjustRightInd w:val="0"/>
        <w:spacing w:after="0"/>
        <w:jc w:val="center"/>
        <w:rPr>
          <w:rFonts w:cs="Times New Roman"/>
        </w:rPr>
      </w:pPr>
      <w:r w:rsidRPr="004635E5">
        <w:rPr>
          <w:rFonts w:cs="Times New Roman"/>
          <w:noProof/>
          <w:lang w:val="en-US" w:eastAsia="zh-CN" w:bidi="mn-Mong-CN"/>
        </w:rPr>
        <w:drawing>
          <wp:inline distT="0" distB="0" distL="0" distR="0" wp14:anchorId="0CFD5A2E" wp14:editId="6E793ECC">
            <wp:extent cx="4196628" cy="2087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cstate="email">
                      <a:extLst>
                        <a:ext uri="{28A0092B-C50C-407E-A947-70E740481C1C}">
                          <a14:useLocalDpi xmlns:a14="http://schemas.microsoft.com/office/drawing/2010/main" val="0"/>
                        </a:ext>
                      </a:extLst>
                    </a:blip>
                    <a:srcRect/>
                    <a:stretch>
                      <a:fillRect/>
                    </a:stretch>
                  </pic:blipFill>
                  <pic:spPr bwMode="auto">
                    <a:xfrm>
                      <a:off x="0" y="0"/>
                      <a:ext cx="4204585" cy="2091839"/>
                    </a:xfrm>
                    <a:prstGeom prst="rect">
                      <a:avLst/>
                    </a:prstGeom>
                    <a:noFill/>
                  </pic:spPr>
                </pic:pic>
              </a:graphicData>
            </a:graphic>
          </wp:inline>
        </w:drawing>
      </w:r>
    </w:p>
    <w:p w14:paraId="370B4D47" w14:textId="77777777" w:rsidR="00B14695" w:rsidRPr="004635E5" w:rsidRDefault="00B14695" w:rsidP="006633A8">
      <w:pPr>
        <w:pStyle w:val="WCPFC"/>
        <w:numPr>
          <w:ilvl w:val="0"/>
          <w:numId w:val="0"/>
        </w:numPr>
        <w:adjustRightInd w:val="0"/>
        <w:spacing w:after="0"/>
        <w:jc w:val="center"/>
        <w:rPr>
          <w:rFonts w:cs="Times New Roman"/>
          <w:lang w:val="en-US"/>
        </w:rPr>
      </w:pPr>
      <w:r w:rsidRPr="004635E5">
        <w:rPr>
          <w:rFonts w:cs="Times New Roman"/>
          <w:b/>
        </w:rPr>
        <w:t xml:space="preserve">Figure </w:t>
      </w:r>
      <w:r w:rsidR="00075D66" w:rsidRPr="004635E5">
        <w:rPr>
          <w:rFonts w:cs="Times New Roman"/>
          <w:b/>
        </w:rPr>
        <w:t>4.</w:t>
      </w:r>
      <w:r w:rsidRPr="004635E5">
        <w:rPr>
          <w:rFonts w:cs="Times New Roman"/>
        </w:rPr>
        <w:t xml:space="preserve"> Catch value of albacore, bigeye, skipjack and yellowfin in the WCP–CA.</w:t>
      </w:r>
    </w:p>
    <w:p w14:paraId="47A06C5E" w14:textId="77777777" w:rsidR="00C91D50" w:rsidRPr="004635E5" w:rsidRDefault="00C91D50" w:rsidP="006633A8">
      <w:pPr>
        <w:autoSpaceDE w:val="0"/>
        <w:autoSpaceDN w:val="0"/>
        <w:adjustRightInd w:val="0"/>
        <w:snapToGrid w:val="0"/>
        <w:jc w:val="both"/>
        <w:rPr>
          <w:b/>
          <w:sz w:val="22"/>
          <w:szCs w:val="22"/>
          <w:lang w:val="en-AU"/>
        </w:rPr>
      </w:pPr>
    </w:p>
    <w:p w14:paraId="706A283D" w14:textId="77777777" w:rsidR="00A514FD" w:rsidRPr="004635E5" w:rsidRDefault="00A514FD" w:rsidP="006633A8">
      <w:pPr>
        <w:autoSpaceDE w:val="0"/>
        <w:autoSpaceDN w:val="0"/>
        <w:adjustRightInd w:val="0"/>
        <w:snapToGrid w:val="0"/>
        <w:jc w:val="both"/>
        <w:rPr>
          <w:b/>
          <w:sz w:val="22"/>
          <w:szCs w:val="22"/>
          <w:lang w:val="en-AU"/>
        </w:rPr>
      </w:pPr>
      <w:r w:rsidRPr="004635E5">
        <w:rPr>
          <w:b/>
          <w:sz w:val="22"/>
          <w:szCs w:val="22"/>
          <w:lang w:val="en-AU"/>
        </w:rPr>
        <w:t>Discussion</w:t>
      </w:r>
    </w:p>
    <w:p w14:paraId="3396A10D" w14:textId="77777777" w:rsidR="00A6507F" w:rsidRPr="004635E5" w:rsidRDefault="00A6507F" w:rsidP="006633A8">
      <w:pPr>
        <w:autoSpaceDE w:val="0"/>
        <w:autoSpaceDN w:val="0"/>
        <w:adjustRightInd w:val="0"/>
        <w:snapToGrid w:val="0"/>
        <w:jc w:val="both"/>
        <w:rPr>
          <w:b/>
          <w:sz w:val="22"/>
          <w:szCs w:val="22"/>
          <w:lang w:val="en-AU"/>
        </w:rPr>
      </w:pPr>
    </w:p>
    <w:p w14:paraId="34AD30FC" w14:textId="77777777" w:rsidR="00D969DF" w:rsidRPr="004635E5" w:rsidRDefault="00307209"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Samoa</w:t>
      </w:r>
      <w:r w:rsidR="005F6F0E" w:rsidRPr="004635E5">
        <w:rPr>
          <w:sz w:val="22"/>
          <w:szCs w:val="22"/>
          <w:lang w:val="en-AU"/>
        </w:rPr>
        <w:t>, o</w:t>
      </w:r>
      <w:r w:rsidRPr="004635E5">
        <w:rPr>
          <w:sz w:val="22"/>
          <w:szCs w:val="22"/>
          <w:lang w:val="en-AU"/>
        </w:rPr>
        <w:t xml:space="preserve">n behalf of FFA members, </w:t>
      </w:r>
      <w:r w:rsidR="005F6F0E" w:rsidRPr="004635E5">
        <w:rPr>
          <w:sz w:val="22"/>
          <w:szCs w:val="22"/>
          <w:lang w:val="en-AU"/>
        </w:rPr>
        <w:t xml:space="preserve">stated the </w:t>
      </w:r>
      <w:r w:rsidR="00D32396" w:rsidRPr="004635E5">
        <w:rPr>
          <w:sz w:val="22"/>
          <w:szCs w:val="22"/>
          <w:lang w:val="en-AU"/>
        </w:rPr>
        <w:t xml:space="preserve">paper </w:t>
      </w:r>
      <w:r w:rsidR="005F6F0E" w:rsidRPr="004635E5">
        <w:rPr>
          <w:sz w:val="22"/>
          <w:szCs w:val="22"/>
          <w:lang w:val="en-AU"/>
        </w:rPr>
        <w:t>provided</w:t>
      </w:r>
      <w:r w:rsidRPr="004635E5">
        <w:rPr>
          <w:sz w:val="22"/>
          <w:szCs w:val="22"/>
          <w:lang w:val="en-AU"/>
        </w:rPr>
        <w:t xml:space="preserve"> </w:t>
      </w:r>
      <w:r w:rsidR="00D32396" w:rsidRPr="004635E5">
        <w:rPr>
          <w:sz w:val="22"/>
          <w:szCs w:val="22"/>
          <w:lang w:val="en-AU"/>
        </w:rPr>
        <w:t>a usefu</w:t>
      </w:r>
      <w:r w:rsidRPr="004635E5">
        <w:rPr>
          <w:sz w:val="22"/>
          <w:szCs w:val="22"/>
          <w:lang w:val="en-AU"/>
        </w:rPr>
        <w:t xml:space="preserve">l and informative background to </w:t>
      </w:r>
      <w:r w:rsidR="00D32396" w:rsidRPr="004635E5">
        <w:rPr>
          <w:sz w:val="22"/>
          <w:szCs w:val="22"/>
          <w:lang w:val="en-AU"/>
        </w:rPr>
        <w:t xml:space="preserve">SC14’s </w:t>
      </w:r>
      <w:r w:rsidRPr="004635E5">
        <w:rPr>
          <w:sz w:val="22"/>
          <w:szCs w:val="22"/>
          <w:lang w:val="en-AU"/>
        </w:rPr>
        <w:t>discussions</w:t>
      </w:r>
      <w:r w:rsidR="002D3B71" w:rsidRPr="004635E5">
        <w:rPr>
          <w:sz w:val="22"/>
          <w:szCs w:val="22"/>
          <w:lang w:val="en-AU"/>
        </w:rPr>
        <w:t xml:space="preserve">, and </w:t>
      </w:r>
      <w:r w:rsidRPr="004635E5">
        <w:rPr>
          <w:sz w:val="22"/>
          <w:szCs w:val="22"/>
          <w:lang w:val="en-AU"/>
        </w:rPr>
        <w:t xml:space="preserve">that </w:t>
      </w:r>
      <w:r w:rsidR="002D5D17" w:rsidRPr="004635E5">
        <w:rPr>
          <w:sz w:val="22"/>
          <w:szCs w:val="22"/>
          <w:lang w:val="en-AU"/>
        </w:rPr>
        <w:t>South Pacific</w:t>
      </w:r>
      <w:r w:rsidR="00E43EDB" w:rsidRPr="004635E5">
        <w:rPr>
          <w:sz w:val="22"/>
          <w:szCs w:val="22"/>
          <w:lang w:val="en-AU"/>
        </w:rPr>
        <w:t xml:space="preserve"> </w:t>
      </w:r>
      <w:r w:rsidR="002D5D17" w:rsidRPr="004635E5">
        <w:rPr>
          <w:sz w:val="22"/>
          <w:szCs w:val="22"/>
          <w:lang w:val="en-AU"/>
        </w:rPr>
        <w:t>Albacore</w:t>
      </w:r>
      <w:r w:rsidR="00E43EDB" w:rsidRPr="004635E5">
        <w:rPr>
          <w:sz w:val="22"/>
          <w:szCs w:val="22"/>
          <w:lang w:val="en-AU"/>
        </w:rPr>
        <w:t xml:space="preserve"> </w:t>
      </w:r>
      <w:r w:rsidRPr="004635E5">
        <w:rPr>
          <w:sz w:val="22"/>
          <w:szCs w:val="22"/>
          <w:lang w:val="en-AU"/>
        </w:rPr>
        <w:t xml:space="preserve">catches </w:t>
      </w:r>
      <w:r w:rsidR="00E43EDB" w:rsidRPr="004635E5">
        <w:rPr>
          <w:sz w:val="22"/>
          <w:szCs w:val="22"/>
          <w:lang w:val="en-AU"/>
        </w:rPr>
        <w:t>were the highest on reco</w:t>
      </w:r>
      <w:r w:rsidRPr="004635E5">
        <w:rPr>
          <w:sz w:val="22"/>
          <w:szCs w:val="22"/>
          <w:lang w:val="en-AU"/>
        </w:rPr>
        <w:t>rd</w:t>
      </w:r>
      <w:r w:rsidR="00E43EDB" w:rsidRPr="004635E5">
        <w:rPr>
          <w:sz w:val="22"/>
          <w:szCs w:val="22"/>
          <w:lang w:val="en-AU"/>
        </w:rPr>
        <w:t>,</w:t>
      </w:r>
      <w:r w:rsidRPr="004635E5">
        <w:rPr>
          <w:sz w:val="22"/>
          <w:szCs w:val="22"/>
          <w:lang w:val="en-AU"/>
        </w:rPr>
        <w:t xml:space="preserve"> driven by </w:t>
      </w:r>
      <w:r w:rsidR="00E43EDB" w:rsidRPr="004635E5">
        <w:rPr>
          <w:sz w:val="22"/>
          <w:szCs w:val="22"/>
          <w:lang w:val="en-AU"/>
        </w:rPr>
        <w:t>the longline catch</w:t>
      </w:r>
      <w:r w:rsidRPr="004635E5">
        <w:rPr>
          <w:sz w:val="22"/>
          <w:szCs w:val="22"/>
          <w:lang w:val="en-AU"/>
        </w:rPr>
        <w:t xml:space="preserve">. </w:t>
      </w:r>
      <w:r w:rsidR="002D3B71" w:rsidRPr="004635E5">
        <w:rPr>
          <w:sz w:val="22"/>
          <w:szCs w:val="22"/>
          <w:lang w:val="en-AU"/>
        </w:rPr>
        <w:t xml:space="preserve">Noting </w:t>
      </w:r>
      <w:r w:rsidR="00E43EDB" w:rsidRPr="004635E5">
        <w:rPr>
          <w:sz w:val="22"/>
          <w:szCs w:val="22"/>
          <w:lang w:val="en-AU"/>
        </w:rPr>
        <w:t xml:space="preserve">the </w:t>
      </w:r>
      <w:r w:rsidRPr="004635E5">
        <w:rPr>
          <w:sz w:val="22"/>
          <w:szCs w:val="22"/>
          <w:lang w:val="en-AU"/>
        </w:rPr>
        <w:t>share</w:t>
      </w:r>
      <w:r w:rsidR="00E43EDB" w:rsidRPr="004635E5">
        <w:rPr>
          <w:sz w:val="22"/>
          <w:szCs w:val="22"/>
          <w:lang w:val="en-AU"/>
        </w:rPr>
        <w:t xml:space="preserve"> attributed to China, </w:t>
      </w:r>
      <w:r w:rsidR="002D3B71" w:rsidRPr="004635E5">
        <w:rPr>
          <w:sz w:val="22"/>
          <w:szCs w:val="22"/>
          <w:lang w:val="en-AU"/>
        </w:rPr>
        <w:t xml:space="preserve">Samoa </w:t>
      </w:r>
      <w:r w:rsidR="00E43EDB" w:rsidRPr="004635E5">
        <w:rPr>
          <w:sz w:val="22"/>
          <w:szCs w:val="22"/>
          <w:lang w:val="en-AU"/>
        </w:rPr>
        <w:t xml:space="preserve">inquired which CCMs were responsible for the increase, </w:t>
      </w:r>
      <w:r w:rsidRPr="004635E5">
        <w:rPr>
          <w:sz w:val="22"/>
          <w:szCs w:val="22"/>
          <w:lang w:val="en-AU"/>
        </w:rPr>
        <w:t xml:space="preserve">and </w:t>
      </w:r>
      <w:r w:rsidR="00E43EDB" w:rsidRPr="004635E5">
        <w:rPr>
          <w:sz w:val="22"/>
          <w:szCs w:val="22"/>
          <w:lang w:val="en-AU"/>
        </w:rPr>
        <w:t xml:space="preserve">what percentage </w:t>
      </w:r>
      <w:r w:rsidR="002D3B71" w:rsidRPr="004635E5">
        <w:rPr>
          <w:sz w:val="22"/>
          <w:szCs w:val="22"/>
          <w:lang w:val="en-AU"/>
        </w:rPr>
        <w:t xml:space="preserve">was </w:t>
      </w:r>
      <w:r w:rsidR="00E43EDB" w:rsidRPr="004635E5">
        <w:rPr>
          <w:sz w:val="22"/>
          <w:szCs w:val="22"/>
          <w:lang w:val="en-AU"/>
        </w:rPr>
        <w:t xml:space="preserve">in </w:t>
      </w:r>
      <w:r w:rsidRPr="004635E5">
        <w:rPr>
          <w:sz w:val="22"/>
          <w:szCs w:val="22"/>
          <w:lang w:val="en-AU"/>
        </w:rPr>
        <w:t>EEZs vs</w:t>
      </w:r>
      <w:r w:rsidR="00E43EDB" w:rsidRPr="004635E5">
        <w:rPr>
          <w:sz w:val="22"/>
          <w:szCs w:val="22"/>
          <w:lang w:val="en-AU"/>
        </w:rPr>
        <w:t>.</w:t>
      </w:r>
      <w:r w:rsidRPr="004635E5">
        <w:rPr>
          <w:sz w:val="22"/>
          <w:szCs w:val="22"/>
          <w:lang w:val="en-AU"/>
        </w:rPr>
        <w:t xml:space="preserve"> </w:t>
      </w:r>
      <w:r w:rsidR="00E43EDB" w:rsidRPr="004635E5">
        <w:rPr>
          <w:sz w:val="22"/>
          <w:szCs w:val="22"/>
          <w:lang w:val="en-AU"/>
        </w:rPr>
        <w:t>h</w:t>
      </w:r>
      <w:r w:rsidR="002D3B71" w:rsidRPr="004635E5">
        <w:rPr>
          <w:sz w:val="22"/>
          <w:szCs w:val="22"/>
          <w:lang w:val="en-AU"/>
        </w:rPr>
        <w:t>igh-</w:t>
      </w:r>
      <w:r w:rsidR="00E43EDB" w:rsidRPr="004635E5">
        <w:rPr>
          <w:sz w:val="22"/>
          <w:szCs w:val="22"/>
          <w:lang w:val="en-AU"/>
        </w:rPr>
        <w:t>s</w:t>
      </w:r>
      <w:r w:rsidRPr="004635E5">
        <w:rPr>
          <w:sz w:val="22"/>
          <w:szCs w:val="22"/>
          <w:lang w:val="en-AU"/>
        </w:rPr>
        <w:t>eas</w:t>
      </w:r>
      <w:r w:rsidR="00E43EDB" w:rsidRPr="004635E5">
        <w:rPr>
          <w:sz w:val="22"/>
          <w:szCs w:val="22"/>
          <w:lang w:val="en-AU"/>
        </w:rPr>
        <w:t xml:space="preserve"> areas</w:t>
      </w:r>
      <w:r w:rsidRPr="004635E5">
        <w:rPr>
          <w:sz w:val="22"/>
          <w:szCs w:val="22"/>
          <w:lang w:val="en-AU"/>
        </w:rPr>
        <w:t xml:space="preserve">. </w:t>
      </w:r>
      <w:r w:rsidR="00B76A97" w:rsidRPr="004635E5">
        <w:rPr>
          <w:sz w:val="22"/>
          <w:szCs w:val="22"/>
          <w:lang w:val="en-AU"/>
        </w:rPr>
        <w:t xml:space="preserve">P. Williams </w:t>
      </w:r>
      <w:r w:rsidR="002D3B71" w:rsidRPr="004635E5">
        <w:rPr>
          <w:sz w:val="22"/>
          <w:szCs w:val="22"/>
          <w:lang w:val="en-AU"/>
        </w:rPr>
        <w:t xml:space="preserve">(SPC) </w:t>
      </w:r>
      <w:r w:rsidR="00E43EDB" w:rsidRPr="004635E5">
        <w:rPr>
          <w:sz w:val="22"/>
          <w:szCs w:val="22"/>
          <w:lang w:val="en-AU"/>
        </w:rPr>
        <w:t xml:space="preserve">affirmed that </w:t>
      </w:r>
      <w:r w:rsidRPr="004635E5">
        <w:rPr>
          <w:sz w:val="22"/>
          <w:szCs w:val="22"/>
          <w:lang w:val="en-AU"/>
        </w:rPr>
        <w:t xml:space="preserve">China </w:t>
      </w:r>
      <w:r w:rsidR="00E43EDB" w:rsidRPr="004635E5">
        <w:rPr>
          <w:sz w:val="22"/>
          <w:szCs w:val="22"/>
          <w:lang w:val="en-AU"/>
        </w:rPr>
        <w:t xml:space="preserve">was the </w:t>
      </w:r>
      <w:r w:rsidRPr="004635E5">
        <w:rPr>
          <w:sz w:val="22"/>
          <w:szCs w:val="22"/>
          <w:lang w:val="en-AU"/>
        </w:rPr>
        <w:t>highest contributor</w:t>
      </w:r>
      <w:r w:rsidR="00B76A97" w:rsidRPr="004635E5">
        <w:rPr>
          <w:sz w:val="22"/>
          <w:szCs w:val="22"/>
          <w:lang w:val="en-AU"/>
        </w:rPr>
        <w:t xml:space="preserve"> in 2017</w:t>
      </w:r>
      <w:r w:rsidRPr="004635E5">
        <w:rPr>
          <w:sz w:val="22"/>
          <w:szCs w:val="22"/>
          <w:lang w:val="en-AU"/>
        </w:rPr>
        <w:t xml:space="preserve">, </w:t>
      </w:r>
      <w:r w:rsidR="00B76A97" w:rsidRPr="004635E5">
        <w:rPr>
          <w:sz w:val="22"/>
          <w:szCs w:val="22"/>
          <w:lang w:val="en-AU"/>
        </w:rPr>
        <w:t xml:space="preserve">but that in </w:t>
      </w:r>
      <w:r w:rsidRPr="004635E5">
        <w:rPr>
          <w:sz w:val="22"/>
          <w:szCs w:val="22"/>
          <w:lang w:val="en-AU"/>
        </w:rPr>
        <w:t xml:space="preserve">general catch rates </w:t>
      </w:r>
      <w:r w:rsidR="00B76A97" w:rsidRPr="004635E5">
        <w:rPr>
          <w:sz w:val="22"/>
          <w:szCs w:val="22"/>
          <w:lang w:val="en-AU"/>
        </w:rPr>
        <w:t xml:space="preserve">were </w:t>
      </w:r>
      <w:r w:rsidRPr="004635E5">
        <w:rPr>
          <w:sz w:val="22"/>
          <w:szCs w:val="22"/>
          <w:lang w:val="en-AU"/>
        </w:rPr>
        <w:t xml:space="preserve">up for most fleets. </w:t>
      </w:r>
      <w:r w:rsidR="00B76A97" w:rsidRPr="004635E5">
        <w:rPr>
          <w:sz w:val="22"/>
          <w:szCs w:val="22"/>
          <w:lang w:val="en-AU"/>
        </w:rPr>
        <w:t xml:space="preserve">He indicated that SPC could </w:t>
      </w:r>
      <w:r w:rsidRPr="004635E5">
        <w:rPr>
          <w:sz w:val="22"/>
          <w:szCs w:val="22"/>
          <w:lang w:val="en-AU"/>
        </w:rPr>
        <w:t>provide more details</w:t>
      </w:r>
      <w:r w:rsidR="00B76A97" w:rsidRPr="004635E5">
        <w:rPr>
          <w:sz w:val="22"/>
          <w:szCs w:val="22"/>
          <w:lang w:val="en-AU"/>
        </w:rPr>
        <w:t xml:space="preserve"> after </w:t>
      </w:r>
      <w:r w:rsidR="002D3B71" w:rsidRPr="004635E5">
        <w:rPr>
          <w:sz w:val="22"/>
          <w:szCs w:val="22"/>
          <w:lang w:val="en-AU"/>
        </w:rPr>
        <w:t xml:space="preserve">reviewing </w:t>
      </w:r>
      <w:r w:rsidR="00B76A97" w:rsidRPr="004635E5">
        <w:rPr>
          <w:sz w:val="22"/>
          <w:szCs w:val="22"/>
          <w:lang w:val="en-AU"/>
        </w:rPr>
        <w:t>the data</w:t>
      </w:r>
      <w:r w:rsidR="002D3B71" w:rsidRPr="004635E5">
        <w:rPr>
          <w:sz w:val="22"/>
          <w:szCs w:val="22"/>
          <w:lang w:val="en-AU"/>
        </w:rPr>
        <w:t xml:space="preserve">, and </w:t>
      </w:r>
      <w:r w:rsidR="00B76A97" w:rsidRPr="004635E5">
        <w:rPr>
          <w:sz w:val="22"/>
          <w:szCs w:val="22"/>
          <w:lang w:val="en-AU"/>
        </w:rPr>
        <w:t>referred to the m</w:t>
      </w:r>
      <w:r w:rsidRPr="004635E5">
        <w:rPr>
          <w:sz w:val="22"/>
          <w:szCs w:val="22"/>
          <w:lang w:val="en-AU"/>
        </w:rPr>
        <w:t xml:space="preserve">ap in </w:t>
      </w:r>
      <w:r w:rsidR="00B76A97" w:rsidRPr="004635E5">
        <w:rPr>
          <w:sz w:val="22"/>
          <w:szCs w:val="22"/>
          <w:lang w:val="en-AU"/>
        </w:rPr>
        <w:t xml:space="preserve">the </w:t>
      </w:r>
      <w:r w:rsidRPr="004635E5">
        <w:rPr>
          <w:sz w:val="22"/>
          <w:szCs w:val="22"/>
          <w:lang w:val="en-AU"/>
        </w:rPr>
        <w:t>pre</w:t>
      </w:r>
      <w:r w:rsidR="00B76A97" w:rsidRPr="004635E5">
        <w:rPr>
          <w:sz w:val="22"/>
          <w:szCs w:val="22"/>
          <w:lang w:val="en-AU"/>
        </w:rPr>
        <w:t>se</w:t>
      </w:r>
      <w:r w:rsidRPr="004635E5">
        <w:rPr>
          <w:sz w:val="22"/>
          <w:szCs w:val="22"/>
          <w:lang w:val="en-AU"/>
        </w:rPr>
        <w:t xml:space="preserve">ntation </w:t>
      </w:r>
      <w:r w:rsidR="00B76A97" w:rsidRPr="004635E5">
        <w:rPr>
          <w:sz w:val="22"/>
          <w:szCs w:val="22"/>
          <w:lang w:val="en-AU"/>
        </w:rPr>
        <w:t xml:space="preserve">that </w:t>
      </w:r>
      <w:r w:rsidRPr="004635E5">
        <w:rPr>
          <w:sz w:val="22"/>
          <w:szCs w:val="22"/>
          <w:lang w:val="en-AU"/>
        </w:rPr>
        <w:t xml:space="preserve">showed </w:t>
      </w:r>
      <w:r w:rsidR="00B76A97" w:rsidRPr="004635E5">
        <w:rPr>
          <w:sz w:val="22"/>
          <w:szCs w:val="22"/>
          <w:lang w:val="en-AU"/>
        </w:rPr>
        <w:t xml:space="preserve">distribution </w:t>
      </w:r>
      <w:r w:rsidRPr="004635E5">
        <w:rPr>
          <w:sz w:val="22"/>
          <w:szCs w:val="22"/>
          <w:lang w:val="en-AU"/>
        </w:rPr>
        <w:t>of c</w:t>
      </w:r>
      <w:r w:rsidR="00B76A97" w:rsidRPr="004635E5">
        <w:rPr>
          <w:sz w:val="22"/>
          <w:szCs w:val="22"/>
          <w:lang w:val="en-AU"/>
        </w:rPr>
        <w:t xml:space="preserve">atch </w:t>
      </w:r>
      <w:r w:rsidRPr="004635E5">
        <w:rPr>
          <w:sz w:val="22"/>
          <w:szCs w:val="22"/>
          <w:lang w:val="en-AU"/>
        </w:rPr>
        <w:t>by species</w:t>
      </w:r>
      <w:r w:rsidR="00B76A97" w:rsidRPr="004635E5">
        <w:rPr>
          <w:sz w:val="22"/>
          <w:szCs w:val="22"/>
          <w:lang w:val="en-AU"/>
        </w:rPr>
        <w:t>, with h</w:t>
      </w:r>
      <w:r w:rsidRPr="004635E5">
        <w:rPr>
          <w:sz w:val="22"/>
          <w:szCs w:val="22"/>
          <w:lang w:val="en-AU"/>
        </w:rPr>
        <w:t xml:space="preserve">igh catch </w:t>
      </w:r>
      <w:r w:rsidR="00B76A97" w:rsidRPr="004635E5">
        <w:rPr>
          <w:sz w:val="22"/>
          <w:szCs w:val="22"/>
          <w:lang w:val="en-AU"/>
        </w:rPr>
        <w:t xml:space="preserve">levels </w:t>
      </w:r>
      <w:r w:rsidRPr="004635E5">
        <w:rPr>
          <w:sz w:val="22"/>
          <w:szCs w:val="22"/>
          <w:lang w:val="en-AU"/>
        </w:rPr>
        <w:t xml:space="preserve">in </w:t>
      </w:r>
      <w:r w:rsidR="00B76A97" w:rsidRPr="004635E5">
        <w:rPr>
          <w:sz w:val="22"/>
          <w:szCs w:val="22"/>
          <w:lang w:val="en-AU"/>
        </w:rPr>
        <w:t xml:space="preserve">the </w:t>
      </w:r>
      <w:r w:rsidRPr="004635E5">
        <w:rPr>
          <w:sz w:val="22"/>
          <w:szCs w:val="22"/>
          <w:lang w:val="en-AU"/>
        </w:rPr>
        <w:t>east and west</w:t>
      </w:r>
      <w:r w:rsidR="00B76A97" w:rsidRPr="004635E5">
        <w:rPr>
          <w:sz w:val="22"/>
          <w:szCs w:val="22"/>
          <w:lang w:val="en-AU"/>
        </w:rPr>
        <w:t xml:space="preserve">, and stated that additional </w:t>
      </w:r>
      <w:r w:rsidRPr="004635E5">
        <w:rPr>
          <w:sz w:val="22"/>
          <w:szCs w:val="22"/>
          <w:lang w:val="en-AU"/>
        </w:rPr>
        <w:t xml:space="preserve">maps in </w:t>
      </w:r>
      <w:r w:rsidR="00B76A97" w:rsidRPr="004635E5">
        <w:rPr>
          <w:sz w:val="22"/>
          <w:szCs w:val="22"/>
          <w:lang w:val="en-AU"/>
        </w:rPr>
        <w:t xml:space="preserve">the </w:t>
      </w:r>
      <w:r w:rsidRPr="004635E5">
        <w:rPr>
          <w:sz w:val="22"/>
          <w:szCs w:val="22"/>
          <w:lang w:val="en-AU"/>
        </w:rPr>
        <w:t xml:space="preserve">paper </w:t>
      </w:r>
      <w:r w:rsidR="00B76A97" w:rsidRPr="004635E5">
        <w:rPr>
          <w:sz w:val="22"/>
          <w:szCs w:val="22"/>
          <w:lang w:val="en-AU"/>
        </w:rPr>
        <w:t xml:space="preserve">provide some </w:t>
      </w:r>
      <w:r w:rsidRPr="004635E5">
        <w:rPr>
          <w:sz w:val="22"/>
          <w:szCs w:val="22"/>
          <w:lang w:val="en-AU"/>
        </w:rPr>
        <w:t>indication</w:t>
      </w:r>
      <w:r w:rsidR="00B76A97" w:rsidRPr="004635E5">
        <w:rPr>
          <w:sz w:val="22"/>
          <w:szCs w:val="22"/>
          <w:lang w:val="en-AU"/>
        </w:rPr>
        <w:t xml:space="preserve"> of </w:t>
      </w:r>
      <w:r w:rsidR="00123BC0" w:rsidRPr="004635E5">
        <w:rPr>
          <w:sz w:val="22"/>
          <w:szCs w:val="22"/>
          <w:lang w:val="en-AU"/>
        </w:rPr>
        <w:t>catch distribution</w:t>
      </w:r>
      <w:r w:rsidR="00AF5C8D">
        <w:rPr>
          <w:rFonts w:eastAsiaTheme="minorEastAsia" w:hint="eastAsia"/>
          <w:sz w:val="22"/>
          <w:szCs w:val="22"/>
          <w:lang w:val="en-AU" w:eastAsia="ko-KR"/>
        </w:rPr>
        <w:t xml:space="preserve"> and some trends by EEZ</w:t>
      </w:r>
      <w:r w:rsidR="00123BC0" w:rsidRPr="004635E5">
        <w:rPr>
          <w:sz w:val="22"/>
          <w:szCs w:val="22"/>
          <w:lang w:val="en-AU"/>
        </w:rPr>
        <w:t xml:space="preserve"> </w:t>
      </w:r>
      <w:r w:rsidR="00AF5C8D">
        <w:rPr>
          <w:rFonts w:eastAsiaTheme="minorEastAsia" w:hint="eastAsia"/>
          <w:sz w:val="22"/>
          <w:szCs w:val="22"/>
          <w:lang w:val="en-AU" w:eastAsia="ko-KR"/>
        </w:rPr>
        <w:t>(</w:t>
      </w:r>
      <w:r w:rsidR="00123BC0" w:rsidRPr="004635E5">
        <w:rPr>
          <w:sz w:val="22"/>
          <w:szCs w:val="22"/>
          <w:lang w:val="en-AU"/>
        </w:rPr>
        <w:t>SC14</w:t>
      </w:r>
      <w:r w:rsidR="00CE5DA1" w:rsidRPr="004635E5">
        <w:rPr>
          <w:sz w:val="22"/>
          <w:szCs w:val="22"/>
          <w:lang w:val="en-AU"/>
        </w:rPr>
        <w:t>-SA-IP-08</w:t>
      </w:r>
      <w:r w:rsidR="00AF5C8D">
        <w:rPr>
          <w:rFonts w:eastAsiaTheme="minorEastAsia" w:hint="eastAsia"/>
          <w:sz w:val="22"/>
          <w:szCs w:val="22"/>
          <w:lang w:eastAsia="ko-KR"/>
        </w:rPr>
        <w:t xml:space="preserve">, </w:t>
      </w:r>
      <w:r w:rsidR="00CE5DA1" w:rsidRPr="004635E5">
        <w:rPr>
          <w:i/>
          <w:sz w:val="22"/>
          <w:szCs w:val="22"/>
        </w:rPr>
        <w:t>Trends in the South Pacific Albacore Longline and Troll Fisheries</w:t>
      </w:r>
      <w:r w:rsidR="00AF5C8D">
        <w:rPr>
          <w:rFonts w:eastAsiaTheme="minorEastAsia" w:hint="eastAsia"/>
          <w:sz w:val="22"/>
          <w:szCs w:val="22"/>
          <w:lang w:val="en-AU" w:eastAsia="ko-KR"/>
        </w:rPr>
        <w:t>)</w:t>
      </w:r>
      <w:r w:rsidRPr="004635E5">
        <w:rPr>
          <w:sz w:val="22"/>
          <w:szCs w:val="22"/>
          <w:lang w:val="en-AU"/>
        </w:rPr>
        <w:t xml:space="preserve">. </w:t>
      </w:r>
    </w:p>
    <w:p w14:paraId="733D1567" w14:textId="77777777" w:rsidR="009B7C89" w:rsidRPr="004635E5" w:rsidRDefault="009B7C89" w:rsidP="006633A8">
      <w:pPr>
        <w:autoSpaceDE w:val="0"/>
        <w:autoSpaceDN w:val="0"/>
        <w:adjustRightInd w:val="0"/>
        <w:snapToGrid w:val="0"/>
        <w:jc w:val="both"/>
        <w:rPr>
          <w:sz w:val="22"/>
          <w:szCs w:val="22"/>
          <w:lang w:val="en-AU"/>
        </w:rPr>
      </w:pPr>
    </w:p>
    <w:p w14:paraId="096AF2CD" w14:textId="77777777" w:rsidR="00D969DF" w:rsidRPr="004635E5" w:rsidRDefault="00123BC0"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Australia thanked</w:t>
      </w:r>
      <w:r w:rsidR="00307209" w:rsidRPr="004635E5">
        <w:rPr>
          <w:sz w:val="22"/>
          <w:szCs w:val="22"/>
          <w:lang w:val="en-AU"/>
        </w:rPr>
        <w:t xml:space="preserve"> </w:t>
      </w:r>
      <w:r w:rsidRPr="004635E5">
        <w:rPr>
          <w:sz w:val="22"/>
          <w:szCs w:val="22"/>
          <w:lang w:val="en-AU"/>
        </w:rPr>
        <w:t>the presenters</w:t>
      </w:r>
      <w:r w:rsidR="002D3B71" w:rsidRPr="004635E5">
        <w:rPr>
          <w:sz w:val="22"/>
          <w:szCs w:val="22"/>
          <w:lang w:val="en-AU"/>
        </w:rPr>
        <w:t xml:space="preserve">, and </w:t>
      </w:r>
      <w:r w:rsidR="00CE7F26" w:rsidRPr="004635E5">
        <w:rPr>
          <w:sz w:val="22"/>
          <w:szCs w:val="22"/>
          <w:lang w:val="en-AU"/>
        </w:rPr>
        <w:t xml:space="preserve">inquired if the purse seine catch was </w:t>
      </w:r>
      <w:r w:rsidR="00307209" w:rsidRPr="004635E5">
        <w:rPr>
          <w:sz w:val="22"/>
          <w:szCs w:val="22"/>
          <w:lang w:val="en-AU"/>
        </w:rPr>
        <w:t>driven by market</w:t>
      </w:r>
      <w:r w:rsidR="00CE7F26" w:rsidRPr="004635E5">
        <w:rPr>
          <w:sz w:val="22"/>
          <w:szCs w:val="22"/>
          <w:lang w:val="en-AU"/>
        </w:rPr>
        <w:t xml:space="preserve"> conditions, and whether </w:t>
      </w:r>
      <w:r w:rsidR="00307209" w:rsidRPr="004635E5">
        <w:rPr>
          <w:sz w:val="22"/>
          <w:szCs w:val="22"/>
          <w:lang w:val="en-AU"/>
        </w:rPr>
        <w:t xml:space="preserve">the </w:t>
      </w:r>
      <w:r w:rsidR="00E11730" w:rsidRPr="004635E5">
        <w:rPr>
          <w:sz w:val="22"/>
          <w:szCs w:val="22"/>
          <w:lang w:val="en-AU"/>
        </w:rPr>
        <w:t>l</w:t>
      </w:r>
      <w:r w:rsidR="00307209" w:rsidRPr="004635E5">
        <w:rPr>
          <w:sz w:val="22"/>
          <w:szCs w:val="22"/>
          <w:lang w:val="en-AU"/>
        </w:rPr>
        <w:t xml:space="preserve">imit of </w:t>
      </w:r>
      <w:r w:rsidR="00E11730" w:rsidRPr="004635E5">
        <w:rPr>
          <w:sz w:val="22"/>
          <w:szCs w:val="22"/>
          <w:lang w:val="en-AU"/>
        </w:rPr>
        <w:t xml:space="preserve">purse seine catches had been reached </w:t>
      </w:r>
      <w:r w:rsidR="00903992" w:rsidRPr="004635E5">
        <w:rPr>
          <w:sz w:val="22"/>
          <w:szCs w:val="22"/>
          <w:lang w:val="en-AU"/>
        </w:rPr>
        <w:t xml:space="preserve">— whether </w:t>
      </w:r>
      <w:r w:rsidR="00E11730" w:rsidRPr="004635E5">
        <w:rPr>
          <w:sz w:val="22"/>
          <w:szCs w:val="22"/>
          <w:lang w:val="en-AU"/>
        </w:rPr>
        <w:t xml:space="preserve">the driver </w:t>
      </w:r>
      <w:r w:rsidR="00903992" w:rsidRPr="004635E5">
        <w:rPr>
          <w:sz w:val="22"/>
          <w:szCs w:val="22"/>
          <w:lang w:val="en-AU"/>
        </w:rPr>
        <w:t xml:space="preserve">was </w:t>
      </w:r>
      <w:r w:rsidR="00307209" w:rsidRPr="004635E5">
        <w:rPr>
          <w:sz w:val="22"/>
          <w:szCs w:val="22"/>
          <w:lang w:val="en-AU"/>
        </w:rPr>
        <w:t>market deman</w:t>
      </w:r>
      <w:r w:rsidR="00E11730" w:rsidRPr="004635E5">
        <w:rPr>
          <w:sz w:val="22"/>
          <w:szCs w:val="22"/>
          <w:lang w:val="en-AU"/>
        </w:rPr>
        <w:t>d</w:t>
      </w:r>
      <w:r w:rsidR="00307209" w:rsidRPr="004635E5">
        <w:rPr>
          <w:sz w:val="22"/>
          <w:szCs w:val="22"/>
          <w:lang w:val="en-AU"/>
        </w:rPr>
        <w:t xml:space="preserve">, or </w:t>
      </w:r>
      <w:r w:rsidR="00E11730" w:rsidRPr="004635E5">
        <w:rPr>
          <w:sz w:val="22"/>
          <w:szCs w:val="22"/>
          <w:lang w:val="en-AU"/>
        </w:rPr>
        <w:t xml:space="preserve">the availability of </w:t>
      </w:r>
      <w:r w:rsidR="00307209" w:rsidRPr="004635E5">
        <w:rPr>
          <w:sz w:val="22"/>
          <w:szCs w:val="22"/>
          <w:lang w:val="en-AU"/>
        </w:rPr>
        <w:t>sp</w:t>
      </w:r>
      <w:r w:rsidR="00E11730" w:rsidRPr="004635E5">
        <w:rPr>
          <w:sz w:val="22"/>
          <w:szCs w:val="22"/>
          <w:lang w:val="en-AU"/>
        </w:rPr>
        <w:t>e</w:t>
      </w:r>
      <w:r w:rsidR="00307209" w:rsidRPr="004635E5">
        <w:rPr>
          <w:sz w:val="22"/>
          <w:szCs w:val="22"/>
          <w:lang w:val="en-AU"/>
        </w:rPr>
        <w:t xml:space="preserve">cies in the </w:t>
      </w:r>
      <w:r w:rsidR="00E11730" w:rsidRPr="004635E5">
        <w:rPr>
          <w:sz w:val="22"/>
          <w:szCs w:val="22"/>
          <w:lang w:val="en-AU"/>
        </w:rPr>
        <w:t xml:space="preserve">area being fished. </w:t>
      </w:r>
      <w:r w:rsidR="00307209" w:rsidRPr="004635E5">
        <w:rPr>
          <w:sz w:val="22"/>
          <w:szCs w:val="22"/>
          <w:lang w:val="en-AU"/>
        </w:rPr>
        <w:t>C</w:t>
      </w:r>
      <w:r w:rsidR="007C04A5" w:rsidRPr="004635E5">
        <w:rPr>
          <w:sz w:val="22"/>
          <w:szCs w:val="22"/>
          <w:lang w:val="en-AU"/>
        </w:rPr>
        <w:t xml:space="preserve">. Reid </w:t>
      </w:r>
      <w:r w:rsidR="00E11730" w:rsidRPr="004635E5">
        <w:rPr>
          <w:sz w:val="22"/>
          <w:szCs w:val="22"/>
          <w:lang w:val="en-AU"/>
        </w:rPr>
        <w:t xml:space="preserve">(FFA) stated that the market was not saturated, but </w:t>
      </w:r>
      <w:r w:rsidR="00982053" w:rsidRPr="004635E5">
        <w:rPr>
          <w:sz w:val="22"/>
          <w:szCs w:val="22"/>
          <w:lang w:val="en-AU"/>
        </w:rPr>
        <w:t xml:space="preserve">that </w:t>
      </w:r>
      <w:r w:rsidR="00307209" w:rsidRPr="004635E5">
        <w:rPr>
          <w:sz w:val="22"/>
          <w:szCs w:val="22"/>
          <w:lang w:val="en-AU"/>
        </w:rPr>
        <w:t>limits</w:t>
      </w:r>
      <w:r w:rsidR="00982053" w:rsidRPr="004635E5">
        <w:rPr>
          <w:sz w:val="22"/>
          <w:szCs w:val="22"/>
          <w:lang w:val="en-AU"/>
        </w:rPr>
        <w:t>, as</w:t>
      </w:r>
      <w:r w:rsidR="00307209" w:rsidRPr="004635E5">
        <w:rPr>
          <w:sz w:val="22"/>
          <w:szCs w:val="22"/>
          <w:lang w:val="en-AU"/>
        </w:rPr>
        <w:t xml:space="preserve"> </w:t>
      </w:r>
      <w:r w:rsidR="00982053" w:rsidRPr="004635E5">
        <w:rPr>
          <w:sz w:val="22"/>
          <w:szCs w:val="22"/>
          <w:lang w:val="en-AU"/>
        </w:rPr>
        <w:t xml:space="preserve">imposed by the </w:t>
      </w:r>
      <w:r w:rsidR="00307209" w:rsidRPr="004635E5">
        <w:rPr>
          <w:sz w:val="22"/>
          <w:szCs w:val="22"/>
          <w:lang w:val="en-AU"/>
        </w:rPr>
        <w:t>PNA</w:t>
      </w:r>
      <w:r w:rsidR="00982053" w:rsidRPr="004635E5">
        <w:rPr>
          <w:sz w:val="22"/>
          <w:szCs w:val="22"/>
          <w:lang w:val="en-AU"/>
        </w:rPr>
        <w:t>’s</w:t>
      </w:r>
      <w:r w:rsidR="00307209" w:rsidRPr="004635E5">
        <w:rPr>
          <w:sz w:val="22"/>
          <w:szCs w:val="22"/>
          <w:lang w:val="en-AU"/>
        </w:rPr>
        <w:t xml:space="preserve"> VDS</w:t>
      </w:r>
      <w:r w:rsidR="00982053" w:rsidRPr="004635E5">
        <w:rPr>
          <w:sz w:val="22"/>
          <w:szCs w:val="22"/>
          <w:lang w:val="en-AU"/>
        </w:rPr>
        <w:t xml:space="preserve">, have increased the </w:t>
      </w:r>
      <w:r w:rsidR="00307209" w:rsidRPr="004635E5">
        <w:rPr>
          <w:sz w:val="22"/>
          <w:szCs w:val="22"/>
          <w:lang w:val="en-AU"/>
        </w:rPr>
        <w:t>price of a fishing day</w:t>
      </w:r>
      <w:r w:rsidR="00CE5DA1" w:rsidRPr="004635E5">
        <w:rPr>
          <w:sz w:val="22"/>
          <w:szCs w:val="22"/>
          <w:lang w:val="en-AU"/>
        </w:rPr>
        <w:t xml:space="preserve">, which </w:t>
      </w:r>
      <w:r w:rsidR="00307209" w:rsidRPr="004635E5">
        <w:rPr>
          <w:sz w:val="22"/>
          <w:szCs w:val="22"/>
          <w:lang w:val="en-AU"/>
        </w:rPr>
        <w:t xml:space="preserve">is </w:t>
      </w:r>
      <w:r w:rsidR="00982053" w:rsidRPr="004635E5">
        <w:rPr>
          <w:sz w:val="22"/>
          <w:szCs w:val="22"/>
          <w:lang w:val="en-AU"/>
        </w:rPr>
        <w:t>serving to const</w:t>
      </w:r>
      <w:r w:rsidR="00307209" w:rsidRPr="004635E5">
        <w:rPr>
          <w:sz w:val="22"/>
          <w:szCs w:val="22"/>
          <w:lang w:val="en-AU"/>
        </w:rPr>
        <w:t>r</w:t>
      </w:r>
      <w:r w:rsidR="00982053" w:rsidRPr="004635E5">
        <w:rPr>
          <w:sz w:val="22"/>
          <w:szCs w:val="22"/>
          <w:lang w:val="en-AU"/>
        </w:rPr>
        <w:t>a</w:t>
      </w:r>
      <w:r w:rsidR="00307209" w:rsidRPr="004635E5">
        <w:rPr>
          <w:sz w:val="22"/>
          <w:szCs w:val="22"/>
          <w:lang w:val="en-AU"/>
        </w:rPr>
        <w:t>in</w:t>
      </w:r>
      <w:r w:rsidR="00982053" w:rsidRPr="004635E5">
        <w:rPr>
          <w:sz w:val="22"/>
          <w:szCs w:val="22"/>
          <w:lang w:val="en-AU"/>
        </w:rPr>
        <w:t xml:space="preserve"> </w:t>
      </w:r>
      <w:r w:rsidR="00307209" w:rsidRPr="004635E5">
        <w:rPr>
          <w:sz w:val="22"/>
          <w:szCs w:val="22"/>
          <w:lang w:val="en-AU"/>
        </w:rPr>
        <w:t xml:space="preserve">effort. </w:t>
      </w:r>
      <w:r w:rsidR="007C04A5" w:rsidRPr="004635E5">
        <w:rPr>
          <w:sz w:val="22"/>
          <w:szCs w:val="22"/>
          <w:lang w:val="en-AU"/>
        </w:rPr>
        <w:t xml:space="preserve">P. Williams (SPC) indicated that </w:t>
      </w:r>
      <w:r w:rsidR="003C79E9" w:rsidRPr="004635E5">
        <w:rPr>
          <w:sz w:val="22"/>
          <w:szCs w:val="22"/>
          <w:lang w:val="en-AU"/>
        </w:rPr>
        <w:t xml:space="preserve">a </w:t>
      </w:r>
      <w:r w:rsidR="00307209" w:rsidRPr="004635E5">
        <w:rPr>
          <w:sz w:val="22"/>
          <w:szCs w:val="22"/>
          <w:lang w:val="en-AU"/>
        </w:rPr>
        <w:t>str</w:t>
      </w:r>
      <w:r w:rsidR="00CE5DA1" w:rsidRPr="004635E5">
        <w:rPr>
          <w:sz w:val="22"/>
          <w:szCs w:val="22"/>
          <w:lang w:val="en-AU"/>
        </w:rPr>
        <w:t>o</w:t>
      </w:r>
      <w:r w:rsidR="00307209" w:rsidRPr="004635E5">
        <w:rPr>
          <w:sz w:val="22"/>
          <w:szCs w:val="22"/>
          <w:lang w:val="en-AU"/>
        </w:rPr>
        <w:t xml:space="preserve">ng </w:t>
      </w:r>
      <w:r w:rsidR="00CE5DA1" w:rsidRPr="004635E5">
        <w:rPr>
          <w:sz w:val="22"/>
          <w:szCs w:val="22"/>
          <w:lang w:val="en-AU"/>
        </w:rPr>
        <w:t>El</w:t>
      </w:r>
      <w:r w:rsidR="00307209" w:rsidRPr="004635E5">
        <w:rPr>
          <w:sz w:val="22"/>
          <w:szCs w:val="22"/>
          <w:lang w:val="en-AU"/>
        </w:rPr>
        <w:t xml:space="preserve"> </w:t>
      </w:r>
      <w:r w:rsidR="00CE5DA1" w:rsidRPr="004635E5">
        <w:rPr>
          <w:sz w:val="22"/>
          <w:szCs w:val="22"/>
          <w:lang w:val="en-AU"/>
        </w:rPr>
        <w:t xml:space="preserve">Nino </w:t>
      </w:r>
      <w:r w:rsidR="003C79E9" w:rsidRPr="004635E5">
        <w:rPr>
          <w:sz w:val="22"/>
          <w:szCs w:val="22"/>
          <w:lang w:val="en-AU"/>
        </w:rPr>
        <w:t xml:space="preserve">period produced </w:t>
      </w:r>
      <w:r w:rsidR="00CE5DA1" w:rsidRPr="004635E5">
        <w:rPr>
          <w:sz w:val="22"/>
          <w:szCs w:val="22"/>
          <w:lang w:val="en-AU"/>
        </w:rPr>
        <w:t>reco</w:t>
      </w:r>
      <w:r w:rsidR="00307209" w:rsidRPr="004635E5">
        <w:rPr>
          <w:sz w:val="22"/>
          <w:szCs w:val="22"/>
          <w:lang w:val="en-AU"/>
        </w:rPr>
        <w:t xml:space="preserve">rd </w:t>
      </w:r>
      <w:r w:rsidR="00656FD8" w:rsidRPr="004635E5">
        <w:rPr>
          <w:sz w:val="22"/>
          <w:szCs w:val="22"/>
          <w:lang w:val="en-AU"/>
        </w:rPr>
        <w:t>skipjack</w:t>
      </w:r>
      <w:r w:rsidR="00307209" w:rsidRPr="004635E5">
        <w:rPr>
          <w:sz w:val="22"/>
          <w:szCs w:val="22"/>
          <w:lang w:val="en-AU"/>
        </w:rPr>
        <w:t xml:space="preserve"> catches</w:t>
      </w:r>
      <w:r w:rsidR="003C79E9" w:rsidRPr="004635E5">
        <w:rPr>
          <w:sz w:val="22"/>
          <w:szCs w:val="22"/>
          <w:lang w:val="en-AU"/>
        </w:rPr>
        <w:t>;</w:t>
      </w:r>
      <w:r w:rsidR="00307209" w:rsidRPr="004635E5">
        <w:rPr>
          <w:sz w:val="22"/>
          <w:szCs w:val="22"/>
          <w:lang w:val="en-AU"/>
        </w:rPr>
        <w:t xml:space="preserve"> </w:t>
      </w:r>
      <w:r w:rsidR="003C79E9" w:rsidRPr="004635E5">
        <w:rPr>
          <w:sz w:val="22"/>
          <w:szCs w:val="22"/>
          <w:lang w:val="en-AU"/>
        </w:rPr>
        <w:t xml:space="preserve">that has </w:t>
      </w:r>
      <w:r w:rsidR="00307209" w:rsidRPr="004635E5">
        <w:rPr>
          <w:sz w:val="22"/>
          <w:szCs w:val="22"/>
          <w:lang w:val="en-AU"/>
        </w:rPr>
        <w:t xml:space="preserve">now </w:t>
      </w:r>
      <w:r w:rsidR="003C79E9" w:rsidRPr="004635E5">
        <w:rPr>
          <w:sz w:val="22"/>
          <w:szCs w:val="22"/>
          <w:lang w:val="en-AU"/>
        </w:rPr>
        <w:t>changed</w:t>
      </w:r>
      <w:r w:rsidR="00307209" w:rsidRPr="004635E5">
        <w:rPr>
          <w:sz w:val="22"/>
          <w:szCs w:val="22"/>
          <w:lang w:val="en-AU"/>
        </w:rPr>
        <w:t xml:space="preserve">, </w:t>
      </w:r>
      <w:r w:rsidR="003C79E9" w:rsidRPr="004635E5">
        <w:rPr>
          <w:sz w:val="22"/>
          <w:szCs w:val="22"/>
          <w:lang w:val="en-AU"/>
        </w:rPr>
        <w:t xml:space="preserve">and </w:t>
      </w:r>
      <w:r w:rsidR="00535BB4" w:rsidRPr="004635E5">
        <w:rPr>
          <w:sz w:val="22"/>
          <w:szCs w:val="22"/>
          <w:lang w:val="en-AU"/>
        </w:rPr>
        <w:t>w</w:t>
      </w:r>
      <w:r w:rsidR="00307209" w:rsidRPr="004635E5">
        <w:rPr>
          <w:sz w:val="22"/>
          <w:szCs w:val="22"/>
          <w:lang w:val="en-AU"/>
        </w:rPr>
        <w:t>hile effort may be stead</w:t>
      </w:r>
      <w:r w:rsidR="003C79E9" w:rsidRPr="004635E5">
        <w:rPr>
          <w:sz w:val="22"/>
          <w:szCs w:val="22"/>
          <w:lang w:val="en-AU"/>
        </w:rPr>
        <w:t>y</w:t>
      </w:r>
      <w:r w:rsidR="00307209" w:rsidRPr="004635E5">
        <w:rPr>
          <w:sz w:val="22"/>
          <w:szCs w:val="22"/>
          <w:lang w:val="en-AU"/>
        </w:rPr>
        <w:t xml:space="preserve">, </w:t>
      </w:r>
      <w:r w:rsidR="003C79E9" w:rsidRPr="004635E5">
        <w:rPr>
          <w:sz w:val="22"/>
          <w:szCs w:val="22"/>
          <w:lang w:val="en-AU"/>
        </w:rPr>
        <w:t xml:space="preserve">catches are back at </w:t>
      </w:r>
      <w:r w:rsidR="00307209" w:rsidRPr="004635E5">
        <w:rPr>
          <w:sz w:val="22"/>
          <w:szCs w:val="22"/>
          <w:lang w:val="en-AU"/>
        </w:rPr>
        <w:t>2011 level</w:t>
      </w:r>
      <w:r w:rsidR="003C79E9" w:rsidRPr="004635E5">
        <w:rPr>
          <w:sz w:val="22"/>
          <w:szCs w:val="22"/>
          <w:lang w:val="en-AU"/>
        </w:rPr>
        <w:t>s</w:t>
      </w:r>
      <w:r w:rsidR="00307209" w:rsidRPr="004635E5">
        <w:rPr>
          <w:sz w:val="22"/>
          <w:szCs w:val="22"/>
          <w:lang w:val="en-AU"/>
        </w:rPr>
        <w:t>.</w:t>
      </w:r>
    </w:p>
    <w:p w14:paraId="66F168FA" w14:textId="77777777" w:rsidR="009B7C89" w:rsidRPr="004635E5" w:rsidRDefault="009B7C89" w:rsidP="006633A8">
      <w:pPr>
        <w:autoSpaceDE w:val="0"/>
        <w:autoSpaceDN w:val="0"/>
        <w:adjustRightInd w:val="0"/>
        <w:snapToGrid w:val="0"/>
        <w:jc w:val="both"/>
        <w:rPr>
          <w:sz w:val="22"/>
          <w:szCs w:val="22"/>
          <w:lang w:val="en-AU"/>
        </w:rPr>
      </w:pPr>
    </w:p>
    <w:p w14:paraId="56553C19" w14:textId="77777777" w:rsidR="00D969DF" w:rsidRPr="004635E5" w:rsidRDefault="00307209"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A</w:t>
      </w:r>
      <w:r w:rsidR="007C04A5" w:rsidRPr="004635E5">
        <w:rPr>
          <w:sz w:val="22"/>
          <w:szCs w:val="22"/>
          <w:lang w:val="en-AU"/>
        </w:rPr>
        <w:t xml:space="preserve">ustralia referred to </w:t>
      </w:r>
      <w:r w:rsidR="003C79E9" w:rsidRPr="004635E5">
        <w:rPr>
          <w:sz w:val="22"/>
          <w:szCs w:val="22"/>
          <w:lang w:val="en-AU"/>
        </w:rPr>
        <w:t>SC14-ST-</w:t>
      </w:r>
      <w:r w:rsidR="00C47049" w:rsidRPr="004635E5">
        <w:rPr>
          <w:sz w:val="22"/>
          <w:szCs w:val="22"/>
          <w:lang w:val="en-AU"/>
        </w:rPr>
        <w:t>IP</w:t>
      </w:r>
      <w:r w:rsidR="003C79E9" w:rsidRPr="004635E5">
        <w:rPr>
          <w:sz w:val="22"/>
          <w:szCs w:val="22"/>
          <w:lang w:val="en-AU"/>
        </w:rPr>
        <w:t>-</w:t>
      </w:r>
      <w:r w:rsidR="00C47049" w:rsidRPr="004635E5">
        <w:rPr>
          <w:sz w:val="22"/>
          <w:szCs w:val="22"/>
          <w:lang w:val="en-AU"/>
        </w:rPr>
        <w:t>01</w:t>
      </w:r>
      <w:r w:rsidR="003C79E9" w:rsidRPr="004635E5">
        <w:rPr>
          <w:sz w:val="22"/>
          <w:szCs w:val="22"/>
          <w:lang w:val="en-AU"/>
        </w:rPr>
        <w:t xml:space="preserve"> SPC-OFP </w:t>
      </w:r>
      <w:r w:rsidR="003C79E9" w:rsidRPr="004635E5">
        <w:rPr>
          <w:bCs/>
          <w:i/>
          <w:sz w:val="22"/>
          <w:szCs w:val="22"/>
        </w:rPr>
        <w:t>Estimates of Annual Catches in the WCPFC Statistical Area</w:t>
      </w:r>
      <w:r w:rsidR="00C47049" w:rsidRPr="004635E5">
        <w:rPr>
          <w:sz w:val="22"/>
          <w:szCs w:val="22"/>
          <w:lang w:val="en-AU"/>
        </w:rPr>
        <w:t xml:space="preserve">, </w:t>
      </w:r>
      <w:r w:rsidR="003C79E9" w:rsidRPr="004635E5">
        <w:rPr>
          <w:sz w:val="22"/>
          <w:szCs w:val="22"/>
          <w:lang w:val="en-AU"/>
        </w:rPr>
        <w:t>T</w:t>
      </w:r>
      <w:r w:rsidR="00C47049" w:rsidRPr="004635E5">
        <w:rPr>
          <w:sz w:val="22"/>
          <w:szCs w:val="22"/>
          <w:lang w:val="en-AU"/>
        </w:rPr>
        <w:t xml:space="preserve">able 2 </w:t>
      </w:r>
      <w:r w:rsidR="003C79E9" w:rsidRPr="004635E5">
        <w:rPr>
          <w:sz w:val="22"/>
          <w:szCs w:val="22"/>
          <w:lang w:val="en-AU"/>
        </w:rPr>
        <w:t>(</w:t>
      </w:r>
      <w:r w:rsidR="003C79E9" w:rsidRPr="004635E5">
        <w:rPr>
          <w:bCs/>
          <w:sz w:val="22"/>
          <w:szCs w:val="22"/>
        </w:rPr>
        <w:t xml:space="preserve">Catches of target tunas in the WCPFC Statistical Area, by gear type), </w:t>
      </w:r>
      <w:r w:rsidR="007C04A5" w:rsidRPr="004635E5">
        <w:rPr>
          <w:bCs/>
          <w:sz w:val="22"/>
          <w:szCs w:val="22"/>
        </w:rPr>
        <w:t xml:space="preserve">noting that </w:t>
      </w:r>
      <w:r w:rsidR="00C47049" w:rsidRPr="004635E5">
        <w:rPr>
          <w:sz w:val="22"/>
          <w:szCs w:val="22"/>
          <w:lang w:val="en-AU"/>
        </w:rPr>
        <w:t>troll cat</w:t>
      </w:r>
      <w:r w:rsidR="003C79E9" w:rsidRPr="004635E5">
        <w:rPr>
          <w:sz w:val="22"/>
          <w:szCs w:val="22"/>
          <w:lang w:val="en-AU"/>
        </w:rPr>
        <w:t>c</w:t>
      </w:r>
      <w:r w:rsidR="00C47049" w:rsidRPr="004635E5">
        <w:rPr>
          <w:sz w:val="22"/>
          <w:szCs w:val="22"/>
          <w:lang w:val="en-AU"/>
        </w:rPr>
        <w:t>hes for many years</w:t>
      </w:r>
      <w:r w:rsidR="003C79E9" w:rsidRPr="004635E5">
        <w:rPr>
          <w:sz w:val="22"/>
          <w:szCs w:val="22"/>
          <w:lang w:val="en-AU"/>
        </w:rPr>
        <w:t xml:space="preserve"> trended in the range of</w:t>
      </w:r>
      <w:r w:rsidR="00C47049" w:rsidRPr="004635E5">
        <w:rPr>
          <w:sz w:val="22"/>
          <w:szCs w:val="22"/>
          <w:lang w:val="en-AU"/>
        </w:rPr>
        <w:t xml:space="preserve"> 10</w:t>
      </w:r>
      <w:r w:rsidR="003C79E9" w:rsidRPr="004635E5">
        <w:rPr>
          <w:sz w:val="22"/>
          <w:szCs w:val="22"/>
          <w:lang w:val="en-AU"/>
        </w:rPr>
        <w:t>,000</w:t>
      </w:r>
      <w:r w:rsidR="00C47049" w:rsidRPr="004635E5">
        <w:rPr>
          <w:sz w:val="22"/>
          <w:szCs w:val="22"/>
          <w:lang w:val="en-AU"/>
        </w:rPr>
        <w:t>-20</w:t>
      </w:r>
      <w:r w:rsidR="003C79E9" w:rsidRPr="004635E5">
        <w:rPr>
          <w:sz w:val="22"/>
          <w:szCs w:val="22"/>
          <w:lang w:val="en-AU"/>
        </w:rPr>
        <w:t>,000 mt</w:t>
      </w:r>
      <w:r w:rsidR="00C47049" w:rsidRPr="004635E5">
        <w:rPr>
          <w:sz w:val="22"/>
          <w:szCs w:val="22"/>
          <w:lang w:val="en-AU"/>
        </w:rPr>
        <w:t xml:space="preserve">, </w:t>
      </w:r>
      <w:r w:rsidR="003C79E9" w:rsidRPr="004635E5">
        <w:rPr>
          <w:sz w:val="22"/>
          <w:szCs w:val="22"/>
          <w:lang w:val="en-AU"/>
        </w:rPr>
        <w:t xml:space="preserve">increased </w:t>
      </w:r>
      <w:r w:rsidR="00C47049" w:rsidRPr="004635E5">
        <w:rPr>
          <w:sz w:val="22"/>
          <w:szCs w:val="22"/>
          <w:lang w:val="en-AU"/>
        </w:rPr>
        <w:t>sig</w:t>
      </w:r>
      <w:r w:rsidR="003C79E9" w:rsidRPr="004635E5">
        <w:rPr>
          <w:sz w:val="22"/>
          <w:szCs w:val="22"/>
          <w:lang w:val="en-AU"/>
        </w:rPr>
        <w:t>nificantly during 2013-2016</w:t>
      </w:r>
      <w:r w:rsidR="00C47049" w:rsidRPr="004635E5">
        <w:rPr>
          <w:sz w:val="22"/>
          <w:szCs w:val="22"/>
          <w:lang w:val="en-AU"/>
        </w:rPr>
        <w:t xml:space="preserve">, </w:t>
      </w:r>
      <w:r w:rsidR="003C79E9" w:rsidRPr="004635E5">
        <w:rPr>
          <w:sz w:val="22"/>
          <w:szCs w:val="22"/>
          <w:lang w:val="en-AU"/>
        </w:rPr>
        <w:t xml:space="preserve">and in 2017 </w:t>
      </w:r>
      <w:r w:rsidR="007C04A5" w:rsidRPr="004635E5">
        <w:rPr>
          <w:sz w:val="22"/>
          <w:szCs w:val="22"/>
          <w:lang w:val="en-AU"/>
        </w:rPr>
        <w:t xml:space="preserve">were </w:t>
      </w:r>
      <w:r w:rsidR="003C79E9" w:rsidRPr="004635E5">
        <w:rPr>
          <w:sz w:val="22"/>
          <w:szCs w:val="22"/>
          <w:lang w:val="en-AU"/>
        </w:rPr>
        <w:t xml:space="preserve">again </w:t>
      </w:r>
      <w:r w:rsidR="00C47049" w:rsidRPr="004635E5">
        <w:rPr>
          <w:sz w:val="22"/>
          <w:szCs w:val="22"/>
          <w:lang w:val="en-AU"/>
        </w:rPr>
        <w:t>less than 20</w:t>
      </w:r>
      <w:r w:rsidR="003C79E9" w:rsidRPr="004635E5">
        <w:rPr>
          <w:sz w:val="22"/>
          <w:szCs w:val="22"/>
          <w:lang w:val="en-AU"/>
        </w:rPr>
        <w:t>,000 (9,648 mt</w:t>
      </w:r>
      <w:r w:rsidR="004421B3" w:rsidRPr="004635E5">
        <w:rPr>
          <w:sz w:val="22"/>
          <w:szCs w:val="22"/>
          <w:lang w:val="en-AU"/>
        </w:rPr>
        <w:t xml:space="preserve"> in </w:t>
      </w:r>
      <w:r w:rsidR="007C04A5" w:rsidRPr="004635E5">
        <w:rPr>
          <w:sz w:val="22"/>
          <w:szCs w:val="22"/>
          <w:lang w:val="en-AU"/>
        </w:rPr>
        <w:t>2017</w:t>
      </w:r>
      <w:r w:rsidR="003C79E9" w:rsidRPr="004635E5">
        <w:rPr>
          <w:sz w:val="22"/>
          <w:szCs w:val="22"/>
          <w:lang w:val="en-AU"/>
        </w:rPr>
        <w:t>)</w:t>
      </w:r>
      <w:r w:rsidR="00C47049" w:rsidRPr="004635E5">
        <w:rPr>
          <w:sz w:val="22"/>
          <w:szCs w:val="22"/>
          <w:lang w:val="en-AU"/>
        </w:rPr>
        <w:t xml:space="preserve">. </w:t>
      </w:r>
      <w:r w:rsidR="00903992" w:rsidRPr="004635E5">
        <w:rPr>
          <w:sz w:val="22"/>
          <w:szCs w:val="22"/>
          <w:lang w:val="en-AU"/>
        </w:rPr>
        <w:t xml:space="preserve">They </w:t>
      </w:r>
      <w:r w:rsidR="003C79E9" w:rsidRPr="004635E5">
        <w:rPr>
          <w:sz w:val="22"/>
          <w:szCs w:val="22"/>
          <w:lang w:val="en-AU"/>
        </w:rPr>
        <w:t xml:space="preserve">asked what caused the </w:t>
      </w:r>
      <w:r w:rsidR="00C47049" w:rsidRPr="004635E5">
        <w:rPr>
          <w:sz w:val="22"/>
          <w:szCs w:val="22"/>
          <w:lang w:val="en-AU"/>
        </w:rPr>
        <w:t>increase</w:t>
      </w:r>
      <w:r w:rsidR="003C79E9" w:rsidRPr="004635E5">
        <w:rPr>
          <w:sz w:val="22"/>
          <w:szCs w:val="22"/>
          <w:lang w:val="en-AU"/>
        </w:rPr>
        <w:t>d</w:t>
      </w:r>
      <w:r w:rsidR="00C47049" w:rsidRPr="004635E5">
        <w:rPr>
          <w:sz w:val="22"/>
          <w:szCs w:val="22"/>
          <w:lang w:val="en-AU"/>
        </w:rPr>
        <w:t xml:space="preserve"> troll catch</w:t>
      </w:r>
      <w:r w:rsidR="003C79E9" w:rsidRPr="004635E5">
        <w:rPr>
          <w:sz w:val="22"/>
          <w:szCs w:val="22"/>
          <w:lang w:val="en-AU"/>
        </w:rPr>
        <w:t>.</w:t>
      </w:r>
      <w:r w:rsidR="00C47049" w:rsidRPr="004635E5">
        <w:rPr>
          <w:sz w:val="22"/>
          <w:szCs w:val="22"/>
          <w:lang w:val="en-AU"/>
        </w:rPr>
        <w:t xml:space="preserve"> </w:t>
      </w:r>
      <w:r w:rsidR="00903992" w:rsidRPr="004635E5">
        <w:rPr>
          <w:sz w:val="22"/>
          <w:szCs w:val="22"/>
          <w:lang w:val="en-AU"/>
        </w:rPr>
        <w:t xml:space="preserve">Australia </w:t>
      </w:r>
      <w:r w:rsidR="003C79E9" w:rsidRPr="004635E5">
        <w:rPr>
          <w:sz w:val="22"/>
          <w:szCs w:val="22"/>
          <w:lang w:val="en-AU"/>
        </w:rPr>
        <w:t xml:space="preserve">also noted that in looking at </w:t>
      </w:r>
      <w:r w:rsidR="002D5D17" w:rsidRPr="004635E5">
        <w:rPr>
          <w:sz w:val="22"/>
          <w:szCs w:val="22"/>
          <w:lang w:val="en-AU"/>
        </w:rPr>
        <w:t>bigeye tuna</w:t>
      </w:r>
      <w:r w:rsidR="003C79E9" w:rsidRPr="004635E5">
        <w:rPr>
          <w:sz w:val="22"/>
          <w:szCs w:val="22"/>
          <w:lang w:val="en-AU"/>
        </w:rPr>
        <w:t xml:space="preserve">, stock assessments have previously concluded that </w:t>
      </w:r>
      <w:r w:rsidR="002D5D17" w:rsidRPr="004635E5">
        <w:rPr>
          <w:sz w:val="22"/>
          <w:szCs w:val="22"/>
          <w:lang w:val="en-AU"/>
        </w:rPr>
        <w:t>bigeye tuna</w:t>
      </w:r>
      <w:r w:rsidR="003C79E9" w:rsidRPr="004635E5">
        <w:rPr>
          <w:sz w:val="22"/>
          <w:szCs w:val="22"/>
          <w:lang w:val="en-AU"/>
        </w:rPr>
        <w:t xml:space="preserve"> maybe overfished, but most recent estimate</w:t>
      </w:r>
      <w:r w:rsidR="00903992" w:rsidRPr="004635E5">
        <w:rPr>
          <w:sz w:val="22"/>
          <w:szCs w:val="22"/>
          <w:lang w:val="en-AU"/>
        </w:rPr>
        <w:t>s</w:t>
      </w:r>
      <w:r w:rsidR="003C79E9" w:rsidRPr="004635E5">
        <w:rPr>
          <w:sz w:val="22"/>
          <w:szCs w:val="22"/>
          <w:lang w:val="en-AU"/>
        </w:rPr>
        <w:t xml:space="preserve"> </w:t>
      </w:r>
      <w:r w:rsidR="00903992" w:rsidRPr="004635E5">
        <w:rPr>
          <w:sz w:val="22"/>
          <w:szCs w:val="22"/>
          <w:lang w:val="en-AU"/>
        </w:rPr>
        <w:t xml:space="preserve">suggest </w:t>
      </w:r>
      <w:r w:rsidR="003C79E9" w:rsidRPr="004635E5">
        <w:rPr>
          <w:sz w:val="22"/>
          <w:szCs w:val="22"/>
          <w:lang w:val="en-AU"/>
        </w:rPr>
        <w:t xml:space="preserve">stock condition is reasonable, while </w:t>
      </w:r>
      <w:r w:rsidR="00903992" w:rsidRPr="004635E5">
        <w:rPr>
          <w:sz w:val="22"/>
          <w:szCs w:val="22"/>
          <w:lang w:val="en-AU"/>
        </w:rPr>
        <w:t xml:space="preserve">several indicators are not positive, with </w:t>
      </w:r>
      <w:r w:rsidR="003C79E9" w:rsidRPr="004635E5">
        <w:rPr>
          <w:sz w:val="22"/>
          <w:szCs w:val="22"/>
          <w:lang w:val="en-AU"/>
        </w:rPr>
        <w:t xml:space="preserve">the catch at the lowest level since 1996, </w:t>
      </w:r>
      <w:r w:rsidR="00903992" w:rsidRPr="004635E5">
        <w:rPr>
          <w:sz w:val="22"/>
          <w:szCs w:val="22"/>
          <w:lang w:val="en-AU"/>
        </w:rPr>
        <w:t xml:space="preserve">and </w:t>
      </w:r>
      <w:r w:rsidR="003C79E9" w:rsidRPr="004635E5">
        <w:rPr>
          <w:sz w:val="22"/>
          <w:szCs w:val="22"/>
          <w:lang w:val="en-AU"/>
        </w:rPr>
        <w:t xml:space="preserve">the CPUE for the central and eastern </w:t>
      </w:r>
      <w:r w:rsidR="004421B3" w:rsidRPr="004635E5">
        <w:rPr>
          <w:sz w:val="22"/>
          <w:szCs w:val="22"/>
          <w:lang w:val="en-AU"/>
        </w:rPr>
        <w:t>longline</w:t>
      </w:r>
      <w:r w:rsidR="003C79E9" w:rsidRPr="004635E5">
        <w:rPr>
          <w:sz w:val="22"/>
          <w:szCs w:val="22"/>
          <w:lang w:val="en-AU"/>
        </w:rPr>
        <w:t xml:space="preserve"> fisheries the lowest </w:t>
      </w:r>
      <w:r w:rsidR="00903992" w:rsidRPr="004635E5">
        <w:rPr>
          <w:sz w:val="22"/>
          <w:szCs w:val="22"/>
          <w:lang w:val="en-AU"/>
        </w:rPr>
        <w:t>in a number of years</w:t>
      </w:r>
      <w:r w:rsidR="003C79E9" w:rsidRPr="004635E5">
        <w:rPr>
          <w:sz w:val="22"/>
          <w:szCs w:val="22"/>
          <w:lang w:val="en-AU"/>
        </w:rPr>
        <w:t xml:space="preserve">. P. Williams answered that the troll catch figures were </w:t>
      </w:r>
      <w:r w:rsidR="00C47049" w:rsidRPr="004635E5">
        <w:rPr>
          <w:sz w:val="22"/>
          <w:szCs w:val="22"/>
          <w:lang w:val="en-AU"/>
        </w:rPr>
        <w:t xml:space="preserve">driven by </w:t>
      </w:r>
      <w:r w:rsidR="003C79E9" w:rsidRPr="004635E5">
        <w:rPr>
          <w:sz w:val="22"/>
          <w:szCs w:val="22"/>
          <w:lang w:val="en-AU"/>
        </w:rPr>
        <w:t xml:space="preserve">the </w:t>
      </w:r>
      <w:r w:rsidR="00C47049" w:rsidRPr="004635E5">
        <w:rPr>
          <w:sz w:val="22"/>
          <w:szCs w:val="22"/>
          <w:lang w:val="en-AU"/>
        </w:rPr>
        <w:t>Indo</w:t>
      </w:r>
      <w:r w:rsidR="003C79E9" w:rsidRPr="004635E5">
        <w:rPr>
          <w:sz w:val="22"/>
          <w:szCs w:val="22"/>
          <w:lang w:val="en-AU"/>
        </w:rPr>
        <w:t>nesian</w:t>
      </w:r>
      <w:r w:rsidR="00C47049" w:rsidRPr="004635E5">
        <w:rPr>
          <w:sz w:val="22"/>
          <w:szCs w:val="22"/>
          <w:lang w:val="en-AU"/>
        </w:rPr>
        <w:t xml:space="preserve"> troll catch est</w:t>
      </w:r>
      <w:r w:rsidR="003C79E9" w:rsidRPr="004635E5">
        <w:rPr>
          <w:sz w:val="22"/>
          <w:szCs w:val="22"/>
          <w:lang w:val="en-AU"/>
        </w:rPr>
        <w:t>imate</w:t>
      </w:r>
      <w:r w:rsidR="00C47049" w:rsidRPr="004635E5">
        <w:rPr>
          <w:sz w:val="22"/>
          <w:szCs w:val="22"/>
          <w:lang w:val="en-AU"/>
        </w:rPr>
        <w:t xml:space="preserve">. </w:t>
      </w:r>
      <w:r w:rsidR="003C79E9" w:rsidRPr="004635E5">
        <w:rPr>
          <w:sz w:val="22"/>
          <w:szCs w:val="22"/>
          <w:lang w:val="en-AU"/>
        </w:rPr>
        <w:t xml:space="preserve">Work undertaken in annual catch data workshops resulted in reclassification of </w:t>
      </w:r>
      <w:r w:rsidR="00C47049" w:rsidRPr="004635E5">
        <w:rPr>
          <w:sz w:val="22"/>
          <w:szCs w:val="22"/>
          <w:lang w:val="en-AU"/>
        </w:rPr>
        <w:t>troll catch estimate</w:t>
      </w:r>
      <w:r w:rsidR="003C79E9" w:rsidRPr="004635E5">
        <w:rPr>
          <w:sz w:val="22"/>
          <w:szCs w:val="22"/>
          <w:lang w:val="en-AU"/>
        </w:rPr>
        <w:t>s, and thus the growth in the figures is driven by the changed data classification. The</w:t>
      </w:r>
      <w:r w:rsidR="001F3FF4">
        <w:rPr>
          <w:sz w:val="22"/>
          <w:szCs w:val="22"/>
          <w:lang w:val="en-AU"/>
        </w:rPr>
        <w:t xml:space="preserve"> </w:t>
      </w:r>
      <w:r w:rsidR="00C47049" w:rsidRPr="004635E5">
        <w:rPr>
          <w:sz w:val="22"/>
          <w:szCs w:val="22"/>
          <w:lang w:val="en-AU"/>
        </w:rPr>
        <w:t>2016 est</w:t>
      </w:r>
      <w:r w:rsidR="003C79E9" w:rsidRPr="004635E5">
        <w:rPr>
          <w:sz w:val="22"/>
          <w:szCs w:val="22"/>
          <w:lang w:val="en-AU"/>
        </w:rPr>
        <w:t>imate</w:t>
      </w:r>
      <w:r w:rsidR="00C47049" w:rsidRPr="004635E5">
        <w:rPr>
          <w:sz w:val="22"/>
          <w:szCs w:val="22"/>
          <w:lang w:val="en-AU"/>
        </w:rPr>
        <w:t xml:space="preserve"> was very high, </w:t>
      </w:r>
      <w:r w:rsidR="003C79E9" w:rsidRPr="004635E5">
        <w:rPr>
          <w:sz w:val="22"/>
          <w:szCs w:val="22"/>
          <w:lang w:val="en-AU"/>
        </w:rPr>
        <w:t xml:space="preserve">and the </w:t>
      </w:r>
      <w:r w:rsidR="00C47049" w:rsidRPr="004635E5">
        <w:rPr>
          <w:sz w:val="22"/>
          <w:szCs w:val="22"/>
          <w:lang w:val="en-AU"/>
        </w:rPr>
        <w:t>larg</w:t>
      </w:r>
      <w:r w:rsidR="003C79E9" w:rsidRPr="004635E5">
        <w:rPr>
          <w:sz w:val="22"/>
          <w:szCs w:val="22"/>
          <w:lang w:val="en-AU"/>
        </w:rPr>
        <w:t>e</w:t>
      </w:r>
      <w:r w:rsidR="00C47049" w:rsidRPr="004635E5">
        <w:rPr>
          <w:sz w:val="22"/>
          <w:szCs w:val="22"/>
          <w:lang w:val="en-AU"/>
        </w:rPr>
        <w:t xml:space="preserve"> </w:t>
      </w:r>
      <w:r w:rsidR="007C04A5" w:rsidRPr="004635E5">
        <w:rPr>
          <w:sz w:val="22"/>
          <w:szCs w:val="22"/>
          <w:lang w:val="en-AU"/>
        </w:rPr>
        <w:t>decrease for 2017 resulted</w:t>
      </w:r>
      <w:r w:rsidR="003C79E9" w:rsidRPr="004635E5">
        <w:rPr>
          <w:sz w:val="22"/>
          <w:szCs w:val="22"/>
          <w:lang w:val="en-AU"/>
        </w:rPr>
        <w:t xml:space="preserve"> from a </w:t>
      </w:r>
      <w:r w:rsidR="00C47049" w:rsidRPr="004635E5">
        <w:rPr>
          <w:sz w:val="22"/>
          <w:szCs w:val="22"/>
          <w:lang w:val="en-AU"/>
        </w:rPr>
        <w:t xml:space="preserve">change in </w:t>
      </w:r>
      <w:r w:rsidR="003C79E9" w:rsidRPr="004635E5">
        <w:rPr>
          <w:sz w:val="22"/>
          <w:szCs w:val="22"/>
          <w:lang w:val="en-AU"/>
        </w:rPr>
        <w:t>how the data is compiled and estimated</w:t>
      </w:r>
      <w:r w:rsidR="00C47049" w:rsidRPr="004635E5">
        <w:rPr>
          <w:sz w:val="22"/>
          <w:szCs w:val="22"/>
          <w:lang w:val="en-AU"/>
        </w:rPr>
        <w:t xml:space="preserve">. </w:t>
      </w:r>
      <w:r w:rsidR="003C79E9" w:rsidRPr="004635E5">
        <w:rPr>
          <w:sz w:val="22"/>
          <w:szCs w:val="22"/>
          <w:lang w:val="en-AU"/>
        </w:rPr>
        <w:t xml:space="preserve">2017 </w:t>
      </w:r>
      <w:r w:rsidR="007C04A5" w:rsidRPr="004635E5">
        <w:rPr>
          <w:sz w:val="22"/>
          <w:szCs w:val="22"/>
          <w:lang w:val="en-AU"/>
        </w:rPr>
        <w:t xml:space="preserve">was the </w:t>
      </w:r>
      <w:r w:rsidR="00C47049" w:rsidRPr="004635E5">
        <w:rPr>
          <w:sz w:val="22"/>
          <w:szCs w:val="22"/>
          <w:lang w:val="en-AU"/>
        </w:rPr>
        <w:t xml:space="preserve">first year </w:t>
      </w:r>
      <w:r w:rsidR="003C79E9" w:rsidRPr="004635E5">
        <w:rPr>
          <w:sz w:val="22"/>
          <w:szCs w:val="22"/>
          <w:lang w:val="en-AU"/>
        </w:rPr>
        <w:t xml:space="preserve">under the </w:t>
      </w:r>
      <w:r w:rsidR="00C47049" w:rsidRPr="004635E5">
        <w:rPr>
          <w:sz w:val="22"/>
          <w:szCs w:val="22"/>
          <w:lang w:val="en-AU"/>
        </w:rPr>
        <w:t>new system</w:t>
      </w:r>
      <w:r w:rsidR="007C04A5" w:rsidRPr="004635E5">
        <w:rPr>
          <w:sz w:val="22"/>
          <w:szCs w:val="22"/>
          <w:lang w:val="en-AU"/>
        </w:rPr>
        <w:t>.</w:t>
      </w:r>
      <w:r w:rsidR="003C79E9" w:rsidRPr="004635E5">
        <w:rPr>
          <w:sz w:val="22"/>
          <w:szCs w:val="22"/>
          <w:lang w:val="en-AU"/>
        </w:rPr>
        <w:t xml:space="preserve"> </w:t>
      </w:r>
    </w:p>
    <w:p w14:paraId="1EEF7FE6" w14:textId="77777777" w:rsidR="009B7C89" w:rsidRPr="004635E5" w:rsidRDefault="009B7C89" w:rsidP="006633A8">
      <w:pPr>
        <w:autoSpaceDE w:val="0"/>
        <w:autoSpaceDN w:val="0"/>
        <w:adjustRightInd w:val="0"/>
        <w:snapToGrid w:val="0"/>
        <w:jc w:val="both"/>
        <w:rPr>
          <w:sz w:val="22"/>
          <w:szCs w:val="22"/>
          <w:lang w:val="en-AU"/>
        </w:rPr>
      </w:pPr>
    </w:p>
    <w:p w14:paraId="650A54D9" w14:textId="77777777" w:rsidR="001873C4" w:rsidRPr="004635E5" w:rsidRDefault="00AF15F4"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The </w:t>
      </w:r>
      <w:r w:rsidR="00C47049" w:rsidRPr="004635E5">
        <w:rPr>
          <w:sz w:val="22"/>
          <w:szCs w:val="22"/>
          <w:lang w:val="en-AU"/>
        </w:rPr>
        <w:t>EU</w:t>
      </w:r>
      <w:r w:rsidRPr="004635E5">
        <w:rPr>
          <w:sz w:val="22"/>
          <w:szCs w:val="22"/>
          <w:lang w:val="en-AU"/>
        </w:rPr>
        <w:t xml:space="preserve"> asked for clarification regarding the</w:t>
      </w:r>
      <w:r w:rsidR="00C47049" w:rsidRPr="004635E5">
        <w:rPr>
          <w:sz w:val="22"/>
          <w:szCs w:val="22"/>
          <w:lang w:val="en-AU"/>
        </w:rPr>
        <w:t xml:space="preserve"> </w:t>
      </w:r>
      <w:r w:rsidRPr="004635E5">
        <w:rPr>
          <w:sz w:val="22"/>
          <w:szCs w:val="22"/>
          <w:lang w:val="en-AU"/>
        </w:rPr>
        <w:t xml:space="preserve">number </w:t>
      </w:r>
      <w:r w:rsidR="00C47049" w:rsidRPr="004635E5">
        <w:rPr>
          <w:sz w:val="22"/>
          <w:szCs w:val="22"/>
          <w:lang w:val="en-AU"/>
        </w:rPr>
        <w:t xml:space="preserve">of </w:t>
      </w:r>
      <w:r w:rsidR="00837078" w:rsidRPr="004635E5">
        <w:rPr>
          <w:sz w:val="22"/>
          <w:szCs w:val="22"/>
          <w:lang w:val="en-AU"/>
        </w:rPr>
        <w:t>purse seine</w:t>
      </w:r>
      <w:r w:rsidR="00C47049" w:rsidRPr="004635E5">
        <w:rPr>
          <w:sz w:val="22"/>
          <w:szCs w:val="22"/>
          <w:lang w:val="en-AU"/>
        </w:rPr>
        <w:t xml:space="preserve"> vessels in 2017</w:t>
      </w:r>
      <w:r w:rsidRPr="004635E5">
        <w:rPr>
          <w:sz w:val="22"/>
          <w:szCs w:val="22"/>
          <w:lang w:val="en-AU"/>
        </w:rPr>
        <w:t xml:space="preserve">, as it appeared that </w:t>
      </w:r>
      <w:r w:rsidR="00A67013" w:rsidRPr="004635E5">
        <w:rPr>
          <w:sz w:val="22"/>
          <w:szCs w:val="22"/>
          <w:lang w:val="en-AU"/>
        </w:rPr>
        <w:t>some vess</w:t>
      </w:r>
      <w:r w:rsidRPr="004635E5">
        <w:rPr>
          <w:sz w:val="22"/>
          <w:szCs w:val="22"/>
          <w:lang w:val="en-AU"/>
        </w:rPr>
        <w:t>e</w:t>
      </w:r>
      <w:r w:rsidR="00A67013" w:rsidRPr="004635E5">
        <w:rPr>
          <w:sz w:val="22"/>
          <w:szCs w:val="22"/>
          <w:lang w:val="en-AU"/>
        </w:rPr>
        <w:t xml:space="preserve">ls </w:t>
      </w:r>
      <w:r w:rsidRPr="004635E5">
        <w:rPr>
          <w:sz w:val="22"/>
          <w:szCs w:val="22"/>
          <w:lang w:val="en-AU"/>
        </w:rPr>
        <w:t xml:space="preserve">are </w:t>
      </w:r>
      <w:r w:rsidR="00A67013" w:rsidRPr="004635E5">
        <w:rPr>
          <w:sz w:val="22"/>
          <w:szCs w:val="22"/>
          <w:lang w:val="en-AU"/>
        </w:rPr>
        <w:t>not incl</w:t>
      </w:r>
      <w:r w:rsidRPr="004635E5">
        <w:rPr>
          <w:sz w:val="22"/>
          <w:szCs w:val="22"/>
          <w:lang w:val="en-AU"/>
        </w:rPr>
        <w:t>uded</w:t>
      </w:r>
      <w:r w:rsidR="00A67013" w:rsidRPr="004635E5">
        <w:rPr>
          <w:sz w:val="22"/>
          <w:szCs w:val="22"/>
          <w:lang w:val="en-AU"/>
        </w:rPr>
        <w:t xml:space="preserve"> in </w:t>
      </w:r>
      <w:r w:rsidRPr="004635E5">
        <w:rPr>
          <w:sz w:val="22"/>
          <w:szCs w:val="22"/>
          <w:lang w:val="en-AU"/>
        </w:rPr>
        <w:t xml:space="preserve">the </w:t>
      </w:r>
      <w:r w:rsidR="00A67013" w:rsidRPr="004635E5">
        <w:rPr>
          <w:sz w:val="22"/>
          <w:szCs w:val="22"/>
          <w:lang w:val="en-AU"/>
        </w:rPr>
        <w:t>calc</w:t>
      </w:r>
      <w:r w:rsidRPr="004635E5">
        <w:rPr>
          <w:sz w:val="22"/>
          <w:szCs w:val="22"/>
          <w:lang w:val="en-AU"/>
        </w:rPr>
        <w:t>ulations in the paper</w:t>
      </w:r>
      <w:r w:rsidR="00E1154B" w:rsidRPr="004635E5">
        <w:rPr>
          <w:sz w:val="22"/>
          <w:szCs w:val="22"/>
          <w:lang w:val="en-AU"/>
        </w:rPr>
        <w:t xml:space="preserve">, and </w:t>
      </w:r>
      <w:r w:rsidRPr="004635E5">
        <w:rPr>
          <w:sz w:val="22"/>
          <w:szCs w:val="22"/>
          <w:lang w:val="en-AU"/>
        </w:rPr>
        <w:t xml:space="preserve">regarding </w:t>
      </w:r>
      <w:r w:rsidR="00A67013" w:rsidRPr="004635E5">
        <w:rPr>
          <w:sz w:val="22"/>
          <w:szCs w:val="22"/>
          <w:lang w:val="en-AU"/>
        </w:rPr>
        <w:t xml:space="preserve">trends in effort, </w:t>
      </w:r>
      <w:r w:rsidRPr="004635E5">
        <w:rPr>
          <w:sz w:val="22"/>
          <w:szCs w:val="22"/>
          <w:lang w:val="en-AU"/>
        </w:rPr>
        <w:t xml:space="preserve">noting the </w:t>
      </w:r>
      <w:r w:rsidR="00A67013" w:rsidRPr="004635E5">
        <w:rPr>
          <w:sz w:val="22"/>
          <w:szCs w:val="22"/>
          <w:lang w:val="en-AU"/>
        </w:rPr>
        <w:t>10</w:t>
      </w:r>
      <w:r w:rsidRPr="004635E5">
        <w:rPr>
          <w:sz w:val="22"/>
          <w:szCs w:val="22"/>
          <w:lang w:val="en-AU"/>
        </w:rPr>
        <w:t>%</w:t>
      </w:r>
      <w:r w:rsidR="00A67013" w:rsidRPr="004635E5">
        <w:rPr>
          <w:sz w:val="22"/>
          <w:szCs w:val="22"/>
          <w:lang w:val="en-AU"/>
        </w:rPr>
        <w:t xml:space="preserve">-15% decrease in </w:t>
      </w:r>
      <w:r w:rsidRPr="004635E5">
        <w:rPr>
          <w:sz w:val="22"/>
          <w:szCs w:val="22"/>
          <w:lang w:val="en-AU"/>
        </w:rPr>
        <w:t xml:space="preserve">the number </w:t>
      </w:r>
      <w:r w:rsidR="00A67013" w:rsidRPr="004635E5">
        <w:rPr>
          <w:sz w:val="22"/>
          <w:szCs w:val="22"/>
          <w:lang w:val="en-AU"/>
        </w:rPr>
        <w:t xml:space="preserve">of </w:t>
      </w:r>
      <w:r w:rsidR="00837078" w:rsidRPr="004635E5">
        <w:rPr>
          <w:sz w:val="22"/>
          <w:szCs w:val="22"/>
          <w:lang w:val="en-AU"/>
        </w:rPr>
        <w:t>purse seine</w:t>
      </w:r>
      <w:r w:rsidR="00A67013" w:rsidRPr="004635E5">
        <w:rPr>
          <w:sz w:val="22"/>
          <w:szCs w:val="22"/>
          <w:lang w:val="en-AU"/>
        </w:rPr>
        <w:t xml:space="preserve"> vessels, but </w:t>
      </w:r>
      <w:r w:rsidRPr="004635E5">
        <w:rPr>
          <w:sz w:val="22"/>
          <w:szCs w:val="22"/>
          <w:lang w:val="en-AU"/>
        </w:rPr>
        <w:t xml:space="preserve">the </w:t>
      </w:r>
      <w:r w:rsidR="00A67013" w:rsidRPr="004635E5">
        <w:rPr>
          <w:sz w:val="22"/>
          <w:szCs w:val="22"/>
          <w:lang w:val="en-AU"/>
        </w:rPr>
        <w:t>sig</w:t>
      </w:r>
      <w:r w:rsidRPr="004635E5">
        <w:rPr>
          <w:sz w:val="22"/>
          <w:szCs w:val="22"/>
          <w:lang w:val="en-AU"/>
        </w:rPr>
        <w:t>nificant increase in tot</w:t>
      </w:r>
      <w:r w:rsidR="00A67013" w:rsidRPr="004635E5">
        <w:rPr>
          <w:sz w:val="22"/>
          <w:szCs w:val="22"/>
          <w:lang w:val="en-AU"/>
        </w:rPr>
        <w:t xml:space="preserve">al effort. </w:t>
      </w:r>
      <w:r w:rsidR="00E1154B" w:rsidRPr="004635E5">
        <w:rPr>
          <w:sz w:val="22"/>
          <w:szCs w:val="22"/>
          <w:lang w:val="en-AU"/>
        </w:rPr>
        <w:t xml:space="preserve">They </w:t>
      </w:r>
      <w:r w:rsidRPr="004635E5">
        <w:rPr>
          <w:sz w:val="22"/>
          <w:szCs w:val="22"/>
          <w:lang w:val="en-AU"/>
        </w:rPr>
        <w:t xml:space="preserve">observed that there was an </w:t>
      </w:r>
      <w:r w:rsidR="00A67013" w:rsidRPr="004635E5">
        <w:rPr>
          <w:sz w:val="22"/>
          <w:szCs w:val="22"/>
          <w:lang w:val="en-AU"/>
        </w:rPr>
        <w:t xml:space="preserve">increase of over 300 days of effort in 2016-2017, </w:t>
      </w:r>
      <w:r w:rsidRPr="004635E5">
        <w:rPr>
          <w:sz w:val="22"/>
          <w:szCs w:val="22"/>
          <w:lang w:val="en-AU"/>
        </w:rPr>
        <w:t xml:space="preserve">and asked, </w:t>
      </w:r>
      <w:r w:rsidR="00A67013" w:rsidRPr="004635E5">
        <w:rPr>
          <w:sz w:val="22"/>
          <w:szCs w:val="22"/>
          <w:lang w:val="en-AU"/>
        </w:rPr>
        <w:t xml:space="preserve">given </w:t>
      </w:r>
      <w:r w:rsidRPr="004635E5">
        <w:rPr>
          <w:sz w:val="22"/>
          <w:szCs w:val="22"/>
          <w:lang w:val="en-AU"/>
        </w:rPr>
        <w:t xml:space="preserve">that effort varies across </w:t>
      </w:r>
      <w:r w:rsidR="00A67013" w:rsidRPr="004635E5">
        <w:rPr>
          <w:sz w:val="22"/>
          <w:szCs w:val="22"/>
          <w:lang w:val="en-AU"/>
        </w:rPr>
        <w:t>fleets</w:t>
      </w:r>
      <w:r w:rsidRPr="004635E5">
        <w:rPr>
          <w:sz w:val="22"/>
          <w:szCs w:val="22"/>
          <w:lang w:val="en-AU"/>
        </w:rPr>
        <w:t>,</w:t>
      </w:r>
      <w:r w:rsidR="00A67013" w:rsidRPr="004635E5">
        <w:rPr>
          <w:sz w:val="22"/>
          <w:szCs w:val="22"/>
          <w:lang w:val="en-AU"/>
        </w:rPr>
        <w:t xml:space="preserve"> where </w:t>
      </w:r>
      <w:r w:rsidRPr="004635E5">
        <w:rPr>
          <w:sz w:val="22"/>
          <w:szCs w:val="22"/>
          <w:lang w:val="en-AU"/>
        </w:rPr>
        <w:t xml:space="preserve">the </w:t>
      </w:r>
      <w:r w:rsidR="00A67013" w:rsidRPr="004635E5">
        <w:rPr>
          <w:sz w:val="22"/>
          <w:szCs w:val="22"/>
          <w:lang w:val="en-AU"/>
        </w:rPr>
        <w:t>sig</w:t>
      </w:r>
      <w:r w:rsidRPr="004635E5">
        <w:rPr>
          <w:sz w:val="22"/>
          <w:szCs w:val="22"/>
          <w:lang w:val="en-AU"/>
        </w:rPr>
        <w:t>nificant</w:t>
      </w:r>
      <w:r w:rsidR="00A67013" w:rsidRPr="004635E5">
        <w:rPr>
          <w:sz w:val="22"/>
          <w:szCs w:val="22"/>
          <w:lang w:val="en-AU"/>
        </w:rPr>
        <w:t xml:space="preserve"> decrease in effort </w:t>
      </w:r>
      <w:r w:rsidRPr="004635E5">
        <w:rPr>
          <w:sz w:val="22"/>
          <w:szCs w:val="22"/>
          <w:lang w:val="en-AU"/>
        </w:rPr>
        <w:t xml:space="preserve">originated. P. Williams responded that </w:t>
      </w:r>
      <w:r w:rsidR="00A67013" w:rsidRPr="004635E5">
        <w:rPr>
          <w:sz w:val="22"/>
          <w:szCs w:val="22"/>
          <w:lang w:val="en-AU"/>
        </w:rPr>
        <w:t xml:space="preserve">vessel </w:t>
      </w:r>
      <w:r w:rsidRPr="004635E5">
        <w:rPr>
          <w:sz w:val="22"/>
          <w:szCs w:val="22"/>
          <w:lang w:val="en-AU"/>
        </w:rPr>
        <w:t>numbers</w:t>
      </w:r>
      <w:r w:rsidR="00A67013" w:rsidRPr="004635E5">
        <w:rPr>
          <w:sz w:val="22"/>
          <w:szCs w:val="22"/>
          <w:lang w:val="en-AU"/>
        </w:rPr>
        <w:t xml:space="preserve"> </w:t>
      </w:r>
      <w:r w:rsidRPr="004635E5">
        <w:rPr>
          <w:sz w:val="22"/>
          <w:szCs w:val="22"/>
          <w:lang w:val="en-AU"/>
        </w:rPr>
        <w:t>depend</w:t>
      </w:r>
      <w:r w:rsidR="00A67013" w:rsidRPr="004635E5">
        <w:rPr>
          <w:sz w:val="22"/>
          <w:szCs w:val="22"/>
          <w:lang w:val="en-AU"/>
        </w:rPr>
        <w:t xml:space="preserve"> on </w:t>
      </w:r>
      <w:r w:rsidRPr="004635E5">
        <w:rPr>
          <w:sz w:val="22"/>
          <w:szCs w:val="22"/>
          <w:lang w:val="en-AU"/>
        </w:rPr>
        <w:t xml:space="preserve">the </w:t>
      </w:r>
      <w:r w:rsidR="00A67013" w:rsidRPr="004635E5">
        <w:rPr>
          <w:sz w:val="22"/>
          <w:szCs w:val="22"/>
          <w:lang w:val="en-AU"/>
        </w:rPr>
        <w:t>source of data used. CCMs are req</w:t>
      </w:r>
      <w:r w:rsidRPr="004635E5">
        <w:rPr>
          <w:sz w:val="22"/>
          <w:szCs w:val="22"/>
          <w:lang w:val="en-AU"/>
        </w:rPr>
        <w:t xml:space="preserve">uired </w:t>
      </w:r>
      <w:r w:rsidR="00A67013" w:rsidRPr="004635E5">
        <w:rPr>
          <w:sz w:val="22"/>
          <w:szCs w:val="22"/>
          <w:lang w:val="en-AU"/>
        </w:rPr>
        <w:t xml:space="preserve">to report </w:t>
      </w:r>
      <w:r w:rsidRPr="004635E5">
        <w:rPr>
          <w:sz w:val="22"/>
          <w:szCs w:val="22"/>
          <w:lang w:val="en-AU"/>
        </w:rPr>
        <w:t>vessel numbers</w:t>
      </w:r>
      <w:r w:rsidR="00A67013" w:rsidRPr="004635E5">
        <w:rPr>
          <w:sz w:val="22"/>
          <w:szCs w:val="22"/>
          <w:lang w:val="en-AU"/>
        </w:rPr>
        <w:t xml:space="preserve">; </w:t>
      </w:r>
      <w:r w:rsidRPr="004635E5">
        <w:rPr>
          <w:sz w:val="22"/>
          <w:szCs w:val="22"/>
          <w:lang w:val="en-AU"/>
        </w:rPr>
        <w:t xml:space="preserve">SPC </w:t>
      </w:r>
      <w:r w:rsidR="00A67013" w:rsidRPr="004635E5">
        <w:rPr>
          <w:sz w:val="22"/>
          <w:szCs w:val="22"/>
          <w:lang w:val="en-AU"/>
        </w:rPr>
        <w:t>exclude</w:t>
      </w:r>
      <w:r w:rsidRPr="004635E5">
        <w:rPr>
          <w:sz w:val="22"/>
          <w:szCs w:val="22"/>
          <w:lang w:val="en-AU"/>
        </w:rPr>
        <w:t>s</w:t>
      </w:r>
      <w:r w:rsidR="00A67013" w:rsidRPr="004635E5">
        <w:rPr>
          <w:sz w:val="22"/>
          <w:szCs w:val="22"/>
          <w:lang w:val="en-AU"/>
        </w:rPr>
        <w:t xml:space="preserve"> </w:t>
      </w:r>
      <w:r w:rsidRPr="004635E5">
        <w:rPr>
          <w:sz w:val="22"/>
          <w:szCs w:val="22"/>
          <w:lang w:val="en-AU"/>
        </w:rPr>
        <w:t xml:space="preserve">both many small </w:t>
      </w:r>
      <w:r w:rsidR="00A67013" w:rsidRPr="004635E5">
        <w:rPr>
          <w:sz w:val="22"/>
          <w:szCs w:val="22"/>
          <w:lang w:val="en-AU"/>
        </w:rPr>
        <w:t>vess</w:t>
      </w:r>
      <w:r w:rsidRPr="004635E5">
        <w:rPr>
          <w:sz w:val="22"/>
          <w:szCs w:val="22"/>
          <w:lang w:val="en-AU"/>
        </w:rPr>
        <w:t>e</w:t>
      </w:r>
      <w:r w:rsidR="00A67013" w:rsidRPr="004635E5">
        <w:rPr>
          <w:sz w:val="22"/>
          <w:szCs w:val="22"/>
          <w:lang w:val="en-AU"/>
        </w:rPr>
        <w:t xml:space="preserve">ls </w:t>
      </w:r>
      <w:r w:rsidRPr="004635E5">
        <w:rPr>
          <w:sz w:val="22"/>
          <w:szCs w:val="22"/>
          <w:lang w:val="en-AU"/>
        </w:rPr>
        <w:t>in Indonesia and the Philippines (numbering in the hundreds or thousands)</w:t>
      </w:r>
      <w:r w:rsidR="009B7C89" w:rsidRPr="004635E5">
        <w:rPr>
          <w:sz w:val="22"/>
          <w:szCs w:val="22"/>
          <w:lang w:val="en-AU"/>
        </w:rPr>
        <w:t>,</w:t>
      </w:r>
      <w:r w:rsidRPr="004635E5">
        <w:rPr>
          <w:sz w:val="22"/>
          <w:szCs w:val="22"/>
          <w:lang w:val="en-AU"/>
        </w:rPr>
        <w:t xml:space="preserve"> as the </w:t>
      </w:r>
      <w:r w:rsidR="007C04A5" w:rsidRPr="004635E5">
        <w:rPr>
          <w:sz w:val="22"/>
          <w:szCs w:val="22"/>
          <w:lang w:val="en-AU"/>
        </w:rPr>
        <w:t xml:space="preserve">focus </w:t>
      </w:r>
      <w:r w:rsidRPr="004635E5">
        <w:rPr>
          <w:sz w:val="22"/>
          <w:szCs w:val="22"/>
          <w:lang w:val="en-AU"/>
        </w:rPr>
        <w:t xml:space="preserve">of interest is </w:t>
      </w:r>
      <w:r w:rsidR="00A67013" w:rsidRPr="004635E5">
        <w:rPr>
          <w:sz w:val="22"/>
          <w:szCs w:val="22"/>
          <w:lang w:val="en-AU"/>
        </w:rPr>
        <w:t>indust</w:t>
      </w:r>
      <w:r w:rsidRPr="004635E5">
        <w:rPr>
          <w:sz w:val="22"/>
          <w:szCs w:val="22"/>
          <w:lang w:val="en-AU"/>
        </w:rPr>
        <w:t>rial-</w:t>
      </w:r>
      <w:r w:rsidR="00A67013" w:rsidRPr="004635E5">
        <w:rPr>
          <w:sz w:val="22"/>
          <w:szCs w:val="22"/>
          <w:lang w:val="en-AU"/>
        </w:rPr>
        <w:t>size</w:t>
      </w:r>
      <w:r w:rsidRPr="004635E5">
        <w:rPr>
          <w:sz w:val="22"/>
          <w:szCs w:val="22"/>
          <w:lang w:val="en-AU"/>
        </w:rPr>
        <w:t>d</w:t>
      </w:r>
      <w:r w:rsidR="00A67013" w:rsidRPr="004635E5">
        <w:rPr>
          <w:sz w:val="22"/>
          <w:szCs w:val="22"/>
          <w:lang w:val="en-AU"/>
        </w:rPr>
        <w:t xml:space="preserve"> vessels. </w:t>
      </w:r>
      <w:r w:rsidRPr="004635E5">
        <w:rPr>
          <w:sz w:val="22"/>
          <w:szCs w:val="22"/>
          <w:lang w:val="en-AU"/>
        </w:rPr>
        <w:t>Small-</w:t>
      </w:r>
      <w:r w:rsidR="00A67013" w:rsidRPr="004635E5">
        <w:rPr>
          <w:sz w:val="22"/>
          <w:szCs w:val="22"/>
          <w:lang w:val="en-AU"/>
        </w:rPr>
        <w:t xml:space="preserve">scale </w:t>
      </w:r>
      <w:r w:rsidRPr="004635E5">
        <w:rPr>
          <w:sz w:val="22"/>
          <w:szCs w:val="22"/>
          <w:lang w:val="en-AU"/>
        </w:rPr>
        <w:t xml:space="preserve">vessels that </w:t>
      </w:r>
      <w:r w:rsidR="00241EC6">
        <w:rPr>
          <w:sz w:val="22"/>
          <w:szCs w:val="22"/>
          <w:lang w:val="en-AU"/>
        </w:rPr>
        <w:t>operate</w:t>
      </w:r>
      <w:r w:rsidR="00241EC6" w:rsidRPr="004635E5">
        <w:rPr>
          <w:sz w:val="22"/>
          <w:szCs w:val="22"/>
          <w:lang w:val="en-AU"/>
        </w:rPr>
        <w:t xml:space="preserve"> </w:t>
      </w:r>
      <w:r w:rsidRPr="004635E5">
        <w:rPr>
          <w:sz w:val="22"/>
          <w:szCs w:val="22"/>
          <w:lang w:val="en-AU"/>
        </w:rPr>
        <w:t>in Japanese</w:t>
      </w:r>
      <w:r w:rsidR="00A67013" w:rsidRPr="004635E5">
        <w:rPr>
          <w:sz w:val="22"/>
          <w:szCs w:val="22"/>
          <w:lang w:val="en-AU"/>
        </w:rPr>
        <w:t xml:space="preserve"> </w:t>
      </w:r>
      <w:r w:rsidRPr="004635E5">
        <w:rPr>
          <w:sz w:val="22"/>
          <w:szCs w:val="22"/>
          <w:lang w:val="en-AU"/>
        </w:rPr>
        <w:t>waters are also excluded, because the</w:t>
      </w:r>
      <w:r w:rsidR="007C04A5" w:rsidRPr="004635E5">
        <w:rPr>
          <w:sz w:val="22"/>
          <w:szCs w:val="22"/>
          <w:lang w:val="en-AU"/>
        </w:rPr>
        <w:t>y</w:t>
      </w:r>
      <w:r w:rsidR="00A67013" w:rsidRPr="004635E5">
        <w:rPr>
          <w:sz w:val="22"/>
          <w:szCs w:val="22"/>
          <w:lang w:val="en-AU"/>
        </w:rPr>
        <w:t xml:space="preserve"> </w:t>
      </w:r>
      <w:r w:rsidRPr="004635E5">
        <w:rPr>
          <w:sz w:val="22"/>
          <w:szCs w:val="22"/>
          <w:lang w:val="en-AU"/>
        </w:rPr>
        <w:t xml:space="preserve">fish </w:t>
      </w:r>
      <w:r w:rsidR="007C04A5" w:rsidRPr="004635E5">
        <w:rPr>
          <w:sz w:val="22"/>
          <w:szCs w:val="22"/>
          <w:lang w:val="en-AU"/>
        </w:rPr>
        <w:t xml:space="preserve">outside of </w:t>
      </w:r>
      <w:r w:rsidRPr="004635E5">
        <w:rPr>
          <w:sz w:val="22"/>
          <w:szCs w:val="22"/>
          <w:lang w:val="en-AU"/>
        </w:rPr>
        <w:t>tropical waters</w:t>
      </w:r>
      <w:r w:rsidR="00A67013" w:rsidRPr="004635E5">
        <w:rPr>
          <w:sz w:val="22"/>
          <w:szCs w:val="22"/>
          <w:lang w:val="en-AU"/>
        </w:rPr>
        <w:t xml:space="preserve">. </w:t>
      </w:r>
      <w:r w:rsidRPr="004635E5">
        <w:rPr>
          <w:sz w:val="22"/>
          <w:szCs w:val="22"/>
          <w:lang w:val="en-AU"/>
        </w:rPr>
        <w:t>Regarding the d</w:t>
      </w:r>
      <w:r w:rsidR="00A67013" w:rsidRPr="004635E5">
        <w:rPr>
          <w:sz w:val="22"/>
          <w:szCs w:val="22"/>
          <w:lang w:val="en-AU"/>
        </w:rPr>
        <w:t xml:space="preserve">rop in </w:t>
      </w:r>
      <w:r w:rsidRPr="004635E5">
        <w:rPr>
          <w:sz w:val="22"/>
          <w:szCs w:val="22"/>
          <w:lang w:val="en-AU"/>
        </w:rPr>
        <w:t xml:space="preserve">numbers and concurrent </w:t>
      </w:r>
      <w:r w:rsidR="00A67013" w:rsidRPr="004635E5">
        <w:rPr>
          <w:sz w:val="22"/>
          <w:szCs w:val="22"/>
          <w:lang w:val="en-AU"/>
        </w:rPr>
        <w:t>increase in effort</w:t>
      </w:r>
      <w:r w:rsidR="002072E1" w:rsidRPr="004635E5">
        <w:rPr>
          <w:sz w:val="22"/>
          <w:szCs w:val="22"/>
          <w:lang w:val="en-AU"/>
        </w:rPr>
        <w:t xml:space="preserve">, </w:t>
      </w:r>
      <w:r w:rsidR="00535BB4" w:rsidRPr="004635E5">
        <w:rPr>
          <w:sz w:val="22"/>
          <w:szCs w:val="22"/>
          <w:lang w:val="en-AU"/>
        </w:rPr>
        <w:t xml:space="preserve">P. Williams </w:t>
      </w:r>
      <w:r w:rsidR="002072E1" w:rsidRPr="004635E5">
        <w:rPr>
          <w:sz w:val="22"/>
          <w:szCs w:val="22"/>
          <w:lang w:val="en-AU"/>
        </w:rPr>
        <w:t>observed that the number of days per vessel had</w:t>
      </w:r>
      <w:r w:rsidR="00A67013" w:rsidRPr="004635E5">
        <w:rPr>
          <w:sz w:val="22"/>
          <w:szCs w:val="22"/>
          <w:lang w:val="en-AU"/>
        </w:rPr>
        <w:t xml:space="preserve"> increased. If </w:t>
      </w:r>
      <w:r w:rsidR="002072E1" w:rsidRPr="004635E5">
        <w:rPr>
          <w:sz w:val="22"/>
          <w:szCs w:val="22"/>
          <w:lang w:val="en-AU"/>
        </w:rPr>
        <w:t xml:space="preserve">a </w:t>
      </w:r>
      <w:r w:rsidR="007C04A5" w:rsidRPr="004635E5">
        <w:rPr>
          <w:sz w:val="22"/>
          <w:szCs w:val="22"/>
          <w:lang w:val="en-AU"/>
        </w:rPr>
        <w:t xml:space="preserve">vessel operated </w:t>
      </w:r>
      <w:r w:rsidR="00A67013" w:rsidRPr="004635E5">
        <w:rPr>
          <w:sz w:val="22"/>
          <w:szCs w:val="22"/>
          <w:lang w:val="en-AU"/>
        </w:rPr>
        <w:t>for just 1 month</w:t>
      </w:r>
      <w:r w:rsidR="007C04A5" w:rsidRPr="004635E5">
        <w:rPr>
          <w:sz w:val="22"/>
          <w:szCs w:val="22"/>
          <w:lang w:val="en-AU"/>
        </w:rPr>
        <w:t xml:space="preserve"> per year</w:t>
      </w:r>
      <w:r w:rsidR="00A67013" w:rsidRPr="004635E5">
        <w:rPr>
          <w:sz w:val="22"/>
          <w:szCs w:val="22"/>
          <w:lang w:val="en-AU"/>
        </w:rPr>
        <w:t xml:space="preserve">, </w:t>
      </w:r>
      <w:r w:rsidR="002072E1" w:rsidRPr="004635E5">
        <w:rPr>
          <w:sz w:val="22"/>
          <w:szCs w:val="22"/>
          <w:lang w:val="en-AU"/>
        </w:rPr>
        <w:t xml:space="preserve">it </w:t>
      </w:r>
      <w:r w:rsidR="007C04A5" w:rsidRPr="004635E5">
        <w:rPr>
          <w:sz w:val="22"/>
          <w:szCs w:val="22"/>
          <w:lang w:val="en-AU"/>
        </w:rPr>
        <w:t xml:space="preserve">would </w:t>
      </w:r>
      <w:r w:rsidR="00A67013" w:rsidRPr="004635E5">
        <w:rPr>
          <w:sz w:val="22"/>
          <w:szCs w:val="22"/>
          <w:lang w:val="en-AU"/>
        </w:rPr>
        <w:t xml:space="preserve">still </w:t>
      </w:r>
      <w:r w:rsidR="007C04A5" w:rsidRPr="004635E5">
        <w:rPr>
          <w:sz w:val="22"/>
          <w:szCs w:val="22"/>
          <w:lang w:val="en-AU"/>
        </w:rPr>
        <w:t xml:space="preserve">be </w:t>
      </w:r>
      <w:r w:rsidR="00A67013" w:rsidRPr="004635E5">
        <w:rPr>
          <w:sz w:val="22"/>
          <w:szCs w:val="22"/>
          <w:lang w:val="en-AU"/>
        </w:rPr>
        <w:t>counted as active</w:t>
      </w:r>
      <w:r w:rsidR="00535BB4" w:rsidRPr="004635E5">
        <w:rPr>
          <w:sz w:val="22"/>
          <w:szCs w:val="22"/>
          <w:lang w:val="en-AU"/>
        </w:rPr>
        <w:t>;</w:t>
      </w:r>
      <w:r w:rsidR="00A67013" w:rsidRPr="004635E5">
        <w:rPr>
          <w:sz w:val="22"/>
          <w:szCs w:val="22"/>
          <w:lang w:val="en-AU"/>
        </w:rPr>
        <w:t xml:space="preserve"> </w:t>
      </w:r>
      <w:r w:rsidR="002072E1" w:rsidRPr="004635E5">
        <w:rPr>
          <w:sz w:val="22"/>
          <w:szCs w:val="22"/>
          <w:lang w:val="en-AU"/>
        </w:rPr>
        <w:t xml:space="preserve">in </w:t>
      </w:r>
      <w:r w:rsidR="00A67013" w:rsidRPr="004635E5">
        <w:rPr>
          <w:sz w:val="22"/>
          <w:szCs w:val="22"/>
          <w:lang w:val="en-AU"/>
        </w:rPr>
        <w:t>2</w:t>
      </w:r>
      <w:r w:rsidR="002072E1" w:rsidRPr="004635E5">
        <w:rPr>
          <w:sz w:val="22"/>
          <w:szCs w:val="22"/>
          <w:lang w:val="en-AU"/>
        </w:rPr>
        <w:t xml:space="preserve">017 </w:t>
      </w:r>
      <w:r w:rsidR="00A67013" w:rsidRPr="004635E5">
        <w:rPr>
          <w:sz w:val="22"/>
          <w:szCs w:val="22"/>
          <w:lang w:val="en-AU"/>
        </w:rPr>
        <w:t xml:space="preserve">most vessels </w:t>
      </w:r>
      <w:r w:rsidR="002072E1" w:rsidRPr="004635E5">
        <w:rPr>
          <w:sz w:val="22"/>
          <w:szCs w:val="22"/>
          <w:lang w:val="en-AU"/>
        </w:rPr>
        <w:t>probably fished</w:t>
      </w:r>
      <w:r w:rsidR="00A67013" w:rsidRPr="004635E5">
        <w:rPr>
          <w:sz w:val="22"/>
          <w:szCs w:val="22"/>
          <w:lang w:val="en-AU"/>
        </w:rPr>
        <w:t xml:space="preserve"> for most month</w:t>
      </w:r>
      <w:r w:rsidR="002072E1" w:rsidRPr="004635E5">
        <w:rPr>
          <w:sz w:val="22"/>
          <w:szCs w:val="22"/>
          <w:lang w:val="en-AU"/>
        </w:rPr>
        <w:t>s</w:t>
      </w:r>
      <w:r w:rsidR="00A67013" w:rsidRPr="004635E5">
        <w:rPr>
          <w:sz w:val="22"/>
          <w:szCs w:val="22"/>
          <w:lang w:val="en-AU"/>
        </w:rPr>
        <w:t xml:space="preserve"> of year</w:t>
      </w:r>
      <w:r w:rsidR="002072E1" w:rsidRPr="004635E5">
        <w:rPr>
          <w:sz w:val="22"/>
          <w:szCs w:val="22"/>
          <w:lang w:val="en-AU"/>
        </w:rPr>
        <w:t>, and there was likely to be an increase in the a</w:t>
      </w:r>
      <w:r w:rsidR="00A67013" w:rsidRPr="004635E5">
        <w:rPr>
          <w:sz w:val="22"/>
          <w:szCs w:val="22"/>
          <w:lang w:val="en-AU"/>
        </w:rPr>
        <w:t>ve</w:t>
      </w:r>
      <w:r w:rsidR="002072E1" w:rsidRPr="004635E5">
        <w:rPr>
          <w:sz w:val="22"/>
          <w:szCs w:val="22"/>
          <w:lang w:val="en-AU"/>
        </w:rPr>
        <w:t>rage</w:t>
      </w:r>
      <w:r w:rsidR="00A67013" w:rsidRPr="004635E5">
        <w:rPr>
          <w:sz w:val="22"/>
          <w:szCs w:val="22"/>
          <w:lang w:val="en-AU"/>
        </w:rPr>
        <w:t xml:space="preserve"> of </w:t>
      </w:r>
      <w:r w:rsidR="007C04A5" w:rsidRPr="004635E5">
        <w:rPr>
          <w:sz w:val="22"/>
          <w:szCs w:val="22"/>
          <w:lang w:val="en-AU"/>
        </w:rPr>
        <w:t xml:space="preserve">number of </w:t>
      </w:r>
      <w:r w:rsidR="00A67013" w:rsidRPr="004635E5">
        <w:rPr>
          <w:sz w:val="22"/>
          <w:szCs w:val="22"/>
          <w:lang w:val="en-AU"/>
        </w:rPr>
        <w:t>days fi</w:t>
      </w:r>
      <w:r w:rsidR="00DE76B6" w:rsidRPr="004635E5">
        <w:rPr>
          <w:sz w:val="22"/>
          <w:szCs w:val="22"/>
          <w:lang w:val="en-AU"/>
        </w:rPr>
        <w:t>shed per vessel</w:t>
      </w:r>
      <w:r w:rsidR="00A67013" w:rsidRPr="004635E5">
        <w:rPr>
          <w:sz w:val="22"/>
          <w:szCs w:val="22"/>
          <w:lang w:val="en-AU"/>
        </w:rPr>
        <w:t>.</w:t>
      </w:r>
      <w:r w:rsidR="00535BB4" w:rsidRPr="004635E5">
        <w:rPr>
          <w:sz w:val="22"/>
          <w:szCs w:val="22"/>
          <w:lang w:val="en-AU"/>
        </w:rPr>
        <w:t xml:space="preserve"> This could be confirmed by examining the data. </w:t>
      </w:r>
    </w:p>
    <w:p w14:paraId="5865EECF" w14:textId="77777777" w:rsidR="009B7C89" w:rsidRPr="004635E5" w:rsidRDefault="009B7C89" w:rsidP="006633A8">
      <w:pPr>
        <w:autoSpaceDE w:val="0"/>
        <w:autoSpaceDN w:val="0"/>
        <w:adjustRightInd w:val="0"/>
        <w:snapToGrid w:val="0"/>
        <w:jc w:val="both"/>
        <w:rPr>
          <w:sz w:val="22"/>
          <w:szCs w:val="22"/>
          <w:lang w:val="en-AU"/>
        </w:rPr>
      </w:pPr>
    </w:p>
    <w:p w14:paraId="59875D34" w14:textId="77777777" w:rsidR="001873C4" w:rsidRPr="004635E5" w:rsidRDefault="00A67013"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China </w:t>
      </w:r>
      <w:r w:rsidR="00DE76B6" w:rsidRPr="004635E5">
        <w:rPr>
          <w:sz w:val="22"/>
          <w:szCs w:val="22"/>
          <w:lang w:val="en-AU"/>
        </w:rPr>
        <w:t xml:space="preserve">noted </w:t>
      </w:r>
      <w:r w:rsidR="00535BB4" w:rsidRPr="004635E5">
        <w:rPr>
          <w:sz w:val="22"/>
          <w:szCs w:val="22"/>
          <w:lang w:val="en-AU"/>
        </w:rPr>
        <w:t xml:space="preserve">their understanding </w:t>
      </w:r>
      <w:r w:rsidR="00DE76B6" w:rsidRPr="004635E5">
        <w:rPr>
          <w:sz w:val="22"/>
          <w:szCs w:val="22"/>
          <w:lang w:val="en-AU"/>
        </w:rPr>
        <w:t xml:space="preserve">that the </w:t>
      </w:r>
      <w:r w:rsidR="00202EA7">
        <w:rPr>
          <w:rFonts w:eastAsiaTheme="minorEastAsia" w:hint="eastAsia"/>
          <w:sz w:val="22"/>
          <w:szCs w:val="22"/>
          <w:lang w:val="en-AU" w:eastAsia="ko-KR"/>
        </w:rPr>
        <w:t>a</w:t>
      </w:r>
      <w:r w:rsidR="002D5D17" w:rsidRPr="004635E5">
        <w:rPr>
          <w:sz w:val="22"/>
          <w:szCs w:val="22"/>
          <w:lang w:val="en-AU"/>
        </w:rPr>
        <w:t>lbacore</w:t>
      </w:r>
      <w:r w:rsidRPr="004635E5">
        <w:rPr>
          <w:sz w:val="22"/>
          <w:szCs w:val="22"/>
          <w:lang w:val="en-AU"/>
        </w:rPr>
        <w:t xml:space="preserve"> </w:t>
      </w:r>
      <w:r w:rsidR="008C194B" w:rsidRPr="004635E5">
        <w:rPr>
          <w:sz w:val="22"/>
          <w:szCs w:val="22"/>
          <w:lang w:val="en-AU"/>
        </w:rPr>
        <w:t>ca</w:t>
      </w:r>
      <w:r w:rsidR="00DE76B6" w:rsidRPr="004635E5">
        <w:rPr>
          <w:sz w:val="22"/>
          <w:szCs w:val="22"/>
          <w:lang w:val="en-AU"/>
        </w:rPr>
        <w:t>t</w:t>
      </w:r>
      <w:r w:rsidR="008C194B" w:rsidRPr="004635E5">
        <w:rPr>
          <w:sz w:val="22"/>
          <w:szCs w:val="22"/>
          <w:lang w:val="en-AU"/>
        </w:rPr>
        <w:t xml:space="preserve">ch </w:t>
      </w:r>
      <w:r w:rsidR="00DE76B6" w:rsidRPr="004635E5">
        <w:rPr>
          <w:sz w:val="22"/>
          <w:szCs w:val="22"/>
          <w:lang w:val="en-AU"/>
        </w:rPr>
        <w:t>figures include</w:t>
      </w:r>
      <w:r w:rsidR="007C04A5" w:rsidRPr="004635E5">
        <w:rPr>
          <w:sz w:val="22"/>
          <w:szCs w:val="22"/>
          <w:lang w:val="en-AU"/>
        </w:rPr>
        <w:t>d</w:t>
      </w:r>
      <w:r w:rsidR="00DE76B6" w:rsidRPr="004635E5">
        <w:rPr>
          <w:sz w:val="22"/>
          <w:szCs w:val="22"/>
          <w:lang w:val="en-AU"/>
        </w:rPr>
        <w:t xml:space="preserve"> the </w:t>
      </w:r>
      <w:r w:rsidR="008C194B" w:rsidRPr="004635E5">
        <w:rPr>
          <w:sz w:val="22"/>
          <w:szCs w:val="22"/>
          <w:lang w:val="en-AU"/>
        </w:rPr>
        <w:t xml:space="preserve">total Pacific catch, not just </w:t>
      </w:r>
      <w:r w:rsidR="00DE76B6" w:rsidRPr="004635E5">
        <w:rPr>
          <w:sz w:val="22"/>
          <w:szCs w:val="22"/>
          <w:lang w:val="en-AU"/>
        </w:rPr>
        <w:t xml:space="preserve">the </w:t>
      </w:r>
      <w:r w:rsidR="008C194B" w:rsidRPr="004635E5">
        <w:rPr>
          <w:sz w:val="22"/>
          <w:szCs w:val="22"/>
          <w:lang w:val="en-AU"/>
        </w:rPr>
        <w:t>WCPFC</w:t>
      </w:r>
      <w:r w:rsidR="00DE76B6" w:rsidRPr="004635E5">
        <w:rPr>
          <w:sz w:val="22"/>
          <w:szCs w:val="22"/>
          <w:lang w:val="en-AU"/>
        </w:rPr>
        <w:t xml:space="preserve"> catch</w:t>
      </w:r>
      <w:r w:rsidR="00535BB4" w:rsidRPr="004635E5">
        <w:rPr>
          <w:sz w:val="22"/>
          <w:szCs w:val="22"/>
          <w:lang w:val="en-AU"/>
        </w:rPr>
        <w:t xml:space="preserve">, and </w:t>
      </w:r>
      <w:r w:rsidR="00DE76B6" w:rsidRPr="004635E5">
        <w:rPr>
          <w:sz w:val="22"/>
          <w:szCs w:val="22"/>
          <w:lang w:val="en-AU"/>
        </w:rPr>
        <w:t xml:space="preserve">explained that the catch attributed to China had appeared to increase in part </w:t>
      </w:r>
      <w:r w:rsidR="006F469C" w:rsidRPr="004635E5">
        <w:rPr>
          <w:sz w:val="22"/>
          <w:szCs w:val="22"/>
          <w:lang w:val="en-AU"/>
        </w:rPr>
        <w:t xml:space="preserve">because China previously chartered many </w:t>
      </w:r>
      <w:r w:rsidR="008C194B" w:rsidRPr="004635E5">
        <w:rPr>
          <w:sz w:val="22"/>
          <w:szCs w:val="22"/>
          <w:lang w:val="en-AU"/>
        </w:rPr>
        <w:t>vessels</w:t>
      </w:r>
      <w:r w:rsidR="00174CC2" w:rsidRPr="004635E5">
        <w:rPr>
          <w:sz w:val="22"/>
          <w:szCs w:val="22"/>
          <w:lang w:val="en-AU"/>
        </w:rPr>
        <w:t xml:space="preserve"> to PICs</w:t>
      </w:r>
      <w:r w:rsidR="008C194B" w:rsidRPr="004635E5">
        <w:rPr>
          <w:sz w:val="22"/>
          <w:szCs w:val="22"/>
          <w:lang w:val="en-AU"/>
        </w:rPr>
        <w:t xml:space="preserve">, </w:t>
      </w:r>
      <w:r w:rsidR="006F469C" w:rsidRPr="004635E5">
        <w:rPr>
          <w:sz w:val="22"/>
          <w:szCs w:val="22"/>
          <w:lang w:val="en-AU"/>
        </w:rPr>
        <w:t xml:space="preserve">and thus their catch </w:t>
      </w:r>
      <w:r w:rsidR="008C194B" w:rsidRPr="004635E5">
        <w:rPr>
          <w:sz w:val="22"/>
          <w:szCs w:val="22"/>
          <w:lang w:val="en-AU"/>
        </w:rPr>
        <w:t xml:space="preserve">was attributed to PICs, </w:t>
      </w:r>
      <w:r w:rsidR="006F469C" w:rsidRPr="004635E5">
        <w:rPr>
          <w:sz w:val="22"/>
          <w:szCs w:val="22"/>
          <w:lang w:val="en-AU"/>
        </w:rPr>
        <w:t xml:space="preserve">but </w:t>
      </w:r>
      <w:r w:rsidR="00174CC2" w:rsidRPr="004635E5">
        <w:rPr>
          <w:sz w:val="22"/>
          <w:szCs w:val="22"/>
          <w:lang w:val="en-AU"/>
        </w:rPr>
        <w:t xml:space="preserve">some charters had ceased and thus the catch was </w:t>
      </w:r>
      <w:r w:rsidR="008C194B" w:rsidRPr="004635E5">
        <w:rPr>
          <w:sz w:val="22"/>
          <w:szCs w:val="22"/>
          <w:lang w:val="en-AU"/>
        </w:rPr>
        <w:t>now attrib</w:t>
      </w:r>
      <w:r w:rsidR="006F469C" w:rsidRPr="004635E5">
        <w:rPr>
          <w:sz w:val="22"/>
          <w:szCs w:val="22"/>
          <w:lang w:val="en-AU"/>
        </w:rPr>
        <w:t xml:space="preserve">uted </w:t>
      </w:r>
      <w:r w:rsidR="008C194B" w:rsidRPr="004635E5">
        <w:rPr>
          <w:sz w:val="22"/>
          <w:szCs w:val="22"/>
          <w:lang w:val="en-AU"/>
        </w:rPr>
        <w:t xml:space="preserve">to China. </w:t>
      </w:r>
      <w:r w:rsidR="006F469C" w:rsidRPr="004635E5">
        <w:rPr>
          <w:sz w:val="22"/>
          <w:szCs w:val="22"/>
          <w:lang w:val="en-AU"/>
        </w:rPr>
        <w:t xml:space="preserve">In addition, he stated that </w:t>
      </w:r>
      <w:r w:rsidR="008C194B" w:rsidRPr="004635E5">
        <w:rPr>
          <w:sz w:val="22"/>
          <w:szCs w:val="22"/>
          <w:lang w:val="en-AU"/>
        </w:rPr>
        <w:t>China</w:t>
      </w:r>
      <w:r w:rsidR="006F469C" w:rsidRPr="004635E5">
        <w:rPr>
          <w:sz w:val="22"/>
          <w:szCs w:val="22"/>
          <w:lang w:val="en-AU"/>
        </w:rPr>
        <w:t>’s</w:t>
      </w:r>
      <w:r w:rsidR="008C194B" w:rsidRPr="004635E5">
        <w:rPr>
          <w:sz w:val="22"/>
          <w:szCs w:val="22"/>
          <w:lang w:val="en-AU"/>
        </w:rPr>
        <w:t xml:space="preserve"> catch per vessel </w:t>
      </w:r>
      <w:r w:rsidR="006F469C" w:rsidRPr="004635E5">
        <w:rPr>
          <w:sz w:val="22"/>
          <w:szCs w:val="22"/>
          <w:lang w:val="en-AU"/>
        </w:rPr>
        <w:t xml:space="preserve">was high, in part because much </w:t>
      </w:r>
      <w:r w:rsidR="008C194B" w:rsidRPr="004635E5">
        <w:rPr>
          <w:sz w:val="22"/>
          <w:szCs w:val="22"/>
          <w:lang w:val="en-AU"/>
        </w:rPr>
        <w:t xml:space="preserve">of </w:t>
      </w:r>
      <w:r w:rsidR="006F469C" w:rsidRPr="004635E5">
        <w:rPr>
          <w:sz w:val="22"/>
          <w:szCs w:val="22"/>
          <w:lang w:val="en-AU"/>
        </w:rPr>
        <w:t xml:space="preserve">the </w:t>
      </w:r>
      <w:r w:rsidR="008C194B" w:rsidRPr="004635E5">
        <w:rPr>
          <w:sz w:val="22"/>
          <w:szCs w:val="22"/>
          <w:lang w:val="en-AU"/>
        </w:rPr>
        <w:t>f</w:t>
      </w:r>
      <w:r w:rsidR="006F469C" w:rsidRPr="004635E5">
        <w:rPr>
          <w:sz w:val="22"/>
          <w:szCs w:val="22"/>
          <w:lang w:val="en-AU"/>
        </w:rPr>
        <w:t>l</w:t>
      </w:r>
      <w:r w:rsidR="008C194B" w:rsidRPr="004635E5">
        <w:rPr>
          <w:sz w:val="22"/>
          <w:szCs w:val="22"/>
          <w:lang w:val="en-AU"/>
        </w:rPr>
        <w:t xml:space="preserve">eet </w:t>
      </w:r>
      <w:r w:rsidR="00174CC2" w:rsidRPr="004635E5">
        <w:rPr>
          <w:sz w:val="22"/>
          <w:szCs w:val="22"/>
          <w:lang w:val="en-AU"/>
        </w:rPr>
        <w:t xml:space="preserve">was </w:t>
      </w:r>
      <w:r w:rsidR="008C194B" w:rsidRPr="004635E5">
        <w:rPr>
          <w:sz w:val="22"/>
          <w:szCs w:val="22"/>
          <w:lang w:val="en-AU"/>
        </w:rPr>
        <w:t>new since 2012-2013</w:t>
      </w:r>
      <w:r w:rsidR="00A16680" w:rsidRPr="004635E5">
        <w:rPr>
          <w:sz w:val="22"/>
          <w:szCs w:val="22"/>
          <w:lang w:val="en-AU"/>
        </w:rPr>
        <w:t xml:space="preserve">. </w:t>
      </w:r>
    </w:p>
    <w:p w14:paraId="390F8435" w14:textId="77777777" w:rsidR="009B7C89" w:rsidRPr="004635E5" w:rsidRDefault="009B7C89" w:rsidP="006633A8">
      <w:pPr>
        <w:autoSpaceDE w:val="0"/>
        <w:autoSpaceDN w:val="0"/>
        <w:adjustRightInd w:val="0"/>
        <w:snapToGrid w:val="0"/>
        <w:jc w:val="both"/>
        <w:rPr>
          <w:sz w:val="22"/>
          <w:szCs w:val="22"/>
          <w:lang w:val="en-AU"/>
        </w:rPr>
      </w:pPr>
    </w:p>
    <w:p w14:paraId="234FC9CF" w14:textId="77777777" w:rsidR="001873C4" w:rsidRPr="004635E5" w:rsidRDefault="008C194B"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Nauru</w:t>
      </w:r>
      <w:r w:rsidR="007C04A5" w:rsidRPr="004635E5">
        <w:rPr>
          <w:sz w:val="22"/>
          <w:szCs w:val="22"/>
          <w:lang w:val="en-AU"/>
        </w:rPr>
        <w:t xml:space="preserve">, on behalf of </w:t>
      </w:r>
      <w:r w:rsidR="005E6919" w:rsidRPr="004635E5">
        <w:rPr>
          <w:sz w:val="22"/>
          <w:szCs w:val="22"/>
        </w:rPr>
        <w:t>PNA members</w:t>
      </w:r>
      <w:r w:rsidR="007C04A5" w:rsidRPr="004635E5">
        <w:rPr>
          <w:sz w:val="22"/>
          <w:szCs w:val="22"/>
        </w:rPr>
        <w:t>,</w:t>
      </w:r>
      <w:r w:rsidR="005E6919" w:rsidRPr="004635E5">
        <w:rPr>
          <w:sz w:val="22"/>
          <w:szCs w:val="22"/>
        </w:rPr>
        <w:t xml:space="preserve"> </w:t>
      </w:r>
      <w:r w:rsidR="00C03773" w:rsidRPr="004635E5">
        <w:rPr>
          <w:sz w:val="22"/>
          <w:szCs w:val="22"/>
        </w:rPr>
        <w:t>noted</w:t>
      </w:r>
      <w:r w:rsidR="007C04A5" w:rsidRPr="004635E5">
        <w:rPr>
          <w:sz w:val="22"/>
          <w:szCs w:val="22"/>
        </w:rPr>
        <w:t xml:space="preserve"> </w:t>
      </w:r>
      <w:r w:rsidR="001873C4" w:rsidRPr="004635E5">
        <w:rPr>
          <w:sz w:val="22"/>
          <w:szCs w:val="22"/>
        </w:rPr>
        <w:t xml:space="preserve">the paper </w:t>
      </w:r>
      <w:r w:rsidR="007C04A5" w:rsidRPr="004635E5">
        <w:rPr>
          <w:sz w:val="22"/>
          <w:szCs w:val="22"/>
        </w:rPr>
        <w:t xml:space="preserve">illustrated </w:t>
      </w:r>
      <w:r w:rsidR="005E6919" w:rsidRPr="004635E5">
        <w:rPr>
          <w:sz w:val="22"/>
          <w:szCs w:val="22"/>
        </w:rPr>
        <w:t>a clear pattern of effective control of the purse seine fishery</w:t>
      </w:r>
      <w:r w:rsidR="007C04A5" w:rsidRPr="004635E5">
        <w:rPr>
          <w:sz w:val="22"/>
          <w:szCs w:val="22"/>
        </w:rPr>
        <w:t>,</w:t>
      </w:r>
      <w:r w:rsidR="005E6919" w:rsidRPr="004635E5">
        <w:rPr>
          <w:sz w:val="22"/>
          <w:szCs w:val="22"/>
        </w:rPr>
        <w:t xml:space="preserve"> with stable purse seine effort and catch with a reduction in the purse seine fleet size, and continuing control of use of FADs, with most of the purse seine catch continuing to be taken in free schools, and an increase in the value of the purse seine catch</w:t>
      </w:r>
      <w:r w:rsidR="00A16680" w:rsidRPr="004635E5">
        <w:rPr>
          <w:sz w:val="22"/>
          <w:szCs w:val="22"/>
        </w:rPr>
        <w:t xml:space="preserve">. </w:t>
      </w:r>
      <w:bookmarkStart w:id="79" w:name="m_541451349478048980__Hlk520431516"/>
      <w:bookmarkEnd w:id="79"/>
      <w:r w:rsidR="00174CC2" w:rsidRPr="004635E5">
        <w:rPr>
          <w:sz w:val="22"/>
          <w:szCs w:val="22"/>
        </w:rPr>
        <w:t xml:space="preserve">They </w:t>
      </w:r>
      <w:r w:rsidR="007C04A5" w:rsidRPr="004635E5">
        <w:rPr>
          <w:sz w:val="22"/>
          <w:szCs w:val="22"/>
        </w:rPr>
        <w:t>drew</w:t>
      </w:r>
      <w:r w:rsidR="005E6919" w:rsidRPr="004635E5">
        <w:rPr>
          <w:sz w:val="22"/>
          <w:szCs w:val="22"/>
        </w:rPr>
        <w:t xml:space="preserve"> attention to </w:t>
      </w:r>
      <w:r w:rsidR="007C04A5" w:rsidRPr="004635E5">
        <w:rPr>
          <w:sz w:val="22"/>
          <w:szCs w:val="22"/>
        </w:rPr>
        <w:t>SC14</w:t>
      </w:r>
      <w:r w:rsidR="009E31B9" w:rsidRPr="004635E5">
        <w:rPr>
          <w:sz w:val="22"/>
          <w:szCs w:val="22"/>
        </w:rPr>
        <w:t>-</w:t>
      </w:r>
      <w:r w:rsidR="007C04A5" w:rsidRPr="004635E5">
        <w:rPr>
          <w:sz w:val="22"/>
          <w:szCs w:val="22"/>
        </w:rPr>
        <w:t xml:space="preserve">ST-IP-07 </w:t>
      </w:r>
      <w:r w:rsidR="007C04A5" w:rsidRPr="004635E5">
        <w:rPr>
          <w:i/>
          <w:sz w:val="22"/>
          <w:szCs w:val="22"/>
        </w:rPr>
        <w:t>Purse seine fishing activity in PNA waters</w:t>
      </w:r>
      <w:r w:rsidR="009E31B9" w:rsidRPr="004635E5">
        <w:rPr>
          <w:sz w:val="22"/>
          <w:szCs w:val="22"/>
        </w:rPr>
        <w:t xml:space="preserve">, which </w:t>
      </w:r>
      <w:r w:rsidR="005E6919" w:rsidRPr="004635E5">
        <w:rPr>
          <w:sz w:val="22"/>
          <w:szCs w:val="22"/>
        </w:rPr>
        <w:t>shows that since 2010</w:t>
      </w:r>
      <w:r w:rsidR="009E31B9" w:rsidRPr="004635E5">
        <w:rPr>
          <w:sz w:val="22"/>
          <w:szCs w:val="22"/>
        </w:rPr>
        <w:t xml:space="preserve">, </w:t>
      </w:r>
      <w:r w:rsidR="005E6919" w:rsidRPr="004635E5">
        <w:rPr>
          <w:sz w:val="22"/>
          <w:szCs w:val="22"/>
        </w:rPr>
        <w:t>the number of vessels fishing in PNA waters has remained constant</w:t>
      </w:r>
      <w:r w:rsidR="009E31B9" w:rsidRPr="004635E5">
        <w:rPr>
          <w:sz w:val="22"/>
          <w:szCs w:val="22"/>
        </w:rPr>
        <w:t>,</w:t>
      </w:r>
      <w:r w:rsidR="005E6919" w:rsidRPr="004635E5">
        <w:rPr>
          <w:sz w:val="22"/>
          <w:szCs w:val="22"/>
        </w:rPr>
        <w:t xml:space="preserve"> despite </w:t>
      </w:r>
      <w:r w:rsidR="009E31B9" w:rsidRPr="004635E5">
        <w:rPr>
          <w:sz w:val="22"/>
          <w:szCs w:val="22"/>
        </w:rPr>
        <w:t xml:space="preserve">a lack of </w:t>
      </w:r>
      <w:r w:rsidR="005E6919" w:rsidRPr="004635E5">
        <w:rPr>
          <w:sz w:val="22"/>
          <w:szCs w:val="22"/>
        </w:rPr>
        <w:t>vessel number limits in the VDS or WCPFC</w:t>
      </w:r>
      <w:r w:rsidR="009E31B9" w:rsidRPr="004635E5">
        <w:rPr>
          <w:sz w:val="22"/>
          <w:szCs w:val="22"/>
        </w:rPr>
        <w:t>. T</w:t>
      </w:r>
      <w:r w:rsidR="005E6919" w:rsidRPr="004635E5">
        <w:rPr>
          <w:sz w:val="22"/>
          <w:szCs w:val="22"/>
        </w:rPr>
        <w:t xml:space="preserve">otal effort has remained constant, or declined </w:t>
      </w:r>
      <w:r w:rsidR="009E31B9" w:rsidRPr="004635E5">
        <w:rPr>
          <w:sz w:val="22"/>
          <w:szCs w:val="22"/>
        </w:rPr>
        <w:t xml:space="preserve">slightly, while </w:t>
      </w:r>
      <w:r w:rsidR="005E6919" w:rsidRPr="004635E5">
        <w:rPr>
          <w:sz w:val="22"/>
          <w:szCs w:val="22"/>
        </w:rPr>
        <w:t>CPUE has increased moderately; as a result</w:t>
      </w:r>
      <w:r w:rsidR="009E31B9" w:rsidRPr="004635E5">
        <w:rPr>
          <w:sz w:val="22"/>
          <w:szCs w:val="22"/>
        </w:rPr>
        <w:t xml:space="preserve">, </w:t>
      </w:r>
      <w:r w:rsidR="005E6919" w:rsidRPr="004635E5">
        <w:rPr>
          <w:sz w:val="22"/>
          <w:szCs w:val="22"/>
        </w:rPr>
        <w:t>total catch (and catch of bigeye) is very constant.</w:t>
      </w:r>
      <w:r w:rsidR="009E31B9" w:rsidRPr="004635E5">
        <w:rPr>
          <w:sz w:val="22"/>
          <w:szCs w:val="22"/>
        </w:rPr>
        <w:t xml:space="preserve"> </w:t>
      </w:r>
      <w:r w:rsidR="005E6919" w:rsidRPr="004635E5">
        <w:rPr>
          <w:sz w:val="22"/>
          <w:szCs w:val="22"/>
        </w:rPr>
        <w:t xml:space="preserve">In contrast, the paper shows that effort, total catch and </w:t>
      </w:r>
      <w:r w:rsidR="002D5D17" w:rsidRPr="004635E5">
        <w:rPr>
          <w:sz w:val="22"/>
          <w:szCs w:val="22"/>
        </w:rPr>
        <w:t>bigeye tuna</w:t>
      </w:r>
      <w:r w:rsidR="005E6919" w:rsidRPr="004635E5">
        <w:rPr>
          <w:sz w:val="22"/>
          <w:szCs w:val="22"/>
        </w:rPr>
        <w:t xml:space="preserve"> catch outside of PNA waters all increased significantly in the same reference period</w:t>
      </w:r>
      <w:r w:rsidR="00A16680" w:rsidRPr="004635E5">
        <w:rPr>
          <w:sz w:val="22"/>
          <w:szCs w:val="22"/>
        </w:rPr>
        <w:t xml:space="preserve">. </w:t>
      </w:r>
      <w:r w:rsidR="009E31B9" w:rsidRPr="004635E5">
        <w:rPr>
          <w:sz w:val="22"/>
          <w:szCs w:val="22"/>
        </w:rPr>
        <w:t xml:space="preserve">He noted that PNA members were </w:t>
      </w:r>
      <w:r w:rsidR="005E6919" w:rsidRPr="004635E5">
        <w:rPr>
          <w:sz w:val="22"/>
          <w:szCs w:val="22"/>
        </w:rPr>
        <w:t>highlighting the</w:t>
      </w:r>
      <w:r w:rsidR="009E31B9" w:rsidRPr="004635E5">
        <w:rPr>
          <w:sz w:val="22"/>
          <w:szCs w:val="22"/>
        </w:rPr>
        <w:t>se</w:t>
      </w:r>
      <w:r w:rsidR="005E6919" w:rsidRPr="004635E5">
        <w:rPr>
          <w:sz w:val="22"/>
          <w:szCs w:val="22"/>
        </w:rPr>
        <w:t xml:space="preserve"> findings as they directly inform many discussions </w:t>
      </w:r>
      <w:r w:rsidR="009E31B9" w:rsidRPr="004635E5">
        <w:rPr>
          <w:sz w:val="22"/>
          <w:szCs w:val="22"/>
        </w:rPr>
        <w:t xml:space="preserve">at </w:t>
      </w:r>
      <w:r w:rsidR="005E6919" w:rsidRPr="004635E5">
        <w:rPr>
          <w:sz w:val="22"/>
          <w:szCs w:val="22"/>
        </w:rPr>
        <w:t>SC</w:t>
      </w:r>
      <w:r w:rsidR="009E31B9" w:rsidRPr="004635E5">
        <w:rPr>
          <w:sz w:val="22"/>
          <w:szCs w:val="22"/>
        </w:rPr>
        <w:t>14</w:t>
      </w:r>
      <w:r w:rsidR="005E6919" w:rsidRPr="004635E5">
        <w:rPr>
          <w:sz w:val="22"/>
          <w:szCs w:val="22"/>
        </w:rPr>
        <w:t>, including in the stock assessment and management issues themes.</w:t>
      </w:r>
    </w:p>
    <w:p w14:paraId="46FDDAE6" w14:textId="77777777" w:rsidR="00C03773" w:rsidRPr="004635E5" w:rsidRDefault="00C03773" w:rsidP="006633A8">
      <w:pPr>
        <w:autoSpaceDE w:val="0"/>
        <w:autoSpaceDN w:val="0"/>
        <w:adjustRightInd w:val="0"/>
        <w:snapToGrid w:val="0"/>
        <w:jc w:val="both"/>
        <w:rPr>
          <w:sz w:val="22"/>
          <w:szCs w:val="22"/>
          <w:lang w:val="en-AU"/>
        </w:rPr>
      </w:pPr>
    </w:p>
    <w:p w14:paraId="13C37516" w14:textId="77777777" w:rsidR="001873C4" w:rsidRPr="004635E5" w:rsidRDefault="009E31B9"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The </w:t>
      </w:r>
      <w:r w:rsidR="008C194B" w:rsidRPr="004635E5">
        <w:rPr>
          <w:sz w:val="22"/>
          <w:szCs w:val="22"/>
          <w:lang w:val="en-AU"/>
        </w:rPr>
        <w:t>EU</w:t>
      </w:r>
      <w:r w:rsidRPr="004635E5">
        <w:rPr>
          <w:sz w:val="22"/>
          <w:szCs w:val="22"/>
          <w:lang w:val="en-AU"/>
        </w:rPr>
        <w:t xml:space="preserve"> inquired where the increased days of fishing effort </w:t>
      </w:r>
      <w:r w:rsidR="00174CC2" w:rsidRPr="004635E5">
        <w:rPr>
          <w:sz w:val="22"/>
          <w:szCs w:val="22"/>
          <w:lang w:val="en-AU"/>
        </w:rPr>
        <w:t xml:space="preserve">in 2017 </w:t>
      </w:r>
      <w:r w:rsidRPr="004635E5">
        <w:rPr>
          <w:sz w:val="22"/>
          <w:szCs w:val="22"/>
          <w:lang w:val="en-AU"/>
        </w:rPr>
        <w:t xml:space="preserve">took place, if </w:t>
      </w:r>
      <w:r w:rsidR="008C194B" w:rsidRPr="004635E5">
        <w:rPr>
          <w:sz w:val="22"/>
          <w:szCs w:val="22"/>
          <w:lang w:val="en-AU"/>
        </w:rPr>
        <w:t xml:space="preserve">effort in EEZs </w:t>
      </w:r>
      <w:r w:rsidRPr="004635E5">
        <w:rPr>
          <w:sz w:val="22"/>
          <w:szCs w:val="22"/>
          <w:lang w:val="en-AU"/>
        </w:rPr>
        <w:t xml:space="preserve">was </w:t>
      </w:r>
      <w:r w:rsidR="008C194B" w:rsidRPr="004635E5">
        <w:rPr>
          <w:sz w:val="22"/>
          <w:szCs w:val="22"/>
          <w:lang w:val="en-AU"/>
        </w:rPr>
        <w:t>cons</w:t>
      </w:r>
      <w:r w:rsidRPr="004635E5">
        <w:rPr>
          <w:sz w:val="22"/>
          <w:szCs w:val="22"/>
          <w:lang w:val="en-AU"/>
        </w:rPr>
        <w:t>t</w:t>
      </w:r>
      <w:r w:rsidR="008C194B" w:rsidRPr="004635E5">
        <w:rPr>
          <w:sz w:val="22"/>
          <w:szCs w:val="22"/>
          <w:lang w:val="en-AU"/>
        </w:rPr>
        <w:t>a</w:t>
      </w:r>
      <w:r w:rsidRPr="004635E5">
        <w:rPr>
          <w:sz w:val="22"/>
          <w:szCs w:val="22"/>
          <w:lang w:val="en-AU"/>
        </w:rPr>
        <w:t>n</w:t>
      </w:r>
      <w:r w:rsidR="008C194B" w:rsidRPr="004635E5">
        <w:rPr>
          <w:sz w:val="22"/>
          <w:szCs w:val="22"/>
          <w:lang w:val="en-AU"/>
        </w:rPr>
        <w:t xml:space="preserve">t, and effort limits </w:t>
      </w:r>
      <w:r w:rsidRPr="004635E5">
        <w:rPr>
          <w:sz w:val="22"/>
          <w:szCs w:val="22"/>
          <w:lang w:val="en-AU"/>
        </w:rPr>
        <w:t xml:space="preserve">were </w:t>
      </w:r>
      <w:r w:rsidR="008C194B" w:rsidRPr="004635E5">
        <w:rPr>
          <w:sz w:val="22"/>
          <w:szCs w:val="22"/>
          <w:lang w:val="en-AU"/>
        </w:rPr>
        <w:t>in place in high seas</w:t>
      </w:r>
      <w:r w:rsidRPr="004635E5">
        <w:rPr>
          <w:sz w:val="22"/>
          <w:szCs w:val="22"/>
          <w:lang w:val="en-AU"/>
        </w:rPr>
        <w:t xml:space="preserve"> areas</w:t>
      </w:r>
      <w:r w:rsidR="008C194B" w:rsidRPr="004635E5">
        <w:rPr>
          <w:sz w:val="22"/>
          <w:szCs w:val="22"/>
          <w:lang w:val="en-AU"/>
        </w:rPr>
        <w:t>.</w:t>
      </w:r>
      <w:r w:rsidRPr="004635E5">
        <w:rPr>
          <w:sz w:val="22"/>
          <w:szCs w:val="22"/>
          <w:lang w:val="en-AU"/>
        </w:rPr>
        <w:t xml:space="preserve"> P. Williams noted that some was on the </w:t>
      </w:r>
      <w:r w:rsidR="008C194B" w:rsidRPr="004635E5">
        <w:rPr>
          <w:sz w:val="22"/>
          <w:szCs w:val="22"/>
          <w:lang w:val="en-AU"/>
        </w:rPr>
        <w:t xml:space="preserve">high seas. </w:t>
      </w:r>
      <w:r w:rsidRPr="004635E5">
        <w:rPr>
          <w:sz w:val="22"/>
          <w:szCs w:val="22"/>
          <w:lang w:val="en-AU"/>
        </w:rPr>
        <w:t xml:space="preserve">He referred to </w:t>
      </w:r>
      <w:r w:rsidR="00174CC2" w:rsidRPr="004635E5">
        <w:rPr>
          <w:sz w:val="22"/>
          <w:szCs w:val="22"/>
          <w:lang w:val="en-AU"/>
        </w:rPr>
        <w:t xml:space="preserve">a </w:t>
      </w:r>
      <w:r w:rsidR="008C194B" w:rsidRPr="004635E5">
        <w:rPr>
          <w:sz w:val="22"/>
          <w:szCs w:val="22"/>
          <w:lang w:val="en-AU"/>
        </w:rPr>
        <w:t xml:space="preserve">paper under </w:t>
      </w:r>
      <w:r w:rsidRPr="004635E5">
        <w:rPr>
          <w:sz w:val="22"/>
          <w:szCs w:val="22"/>
          <w:lang w:val="en-AU"/>
        </w:rPr>
        <w:t xml:space="preserve">the management theme </w:t>
      </w:r>
      <w:r w:rsidR="004421B3" w:rsidRPr="004635E5">
        <w:rPr>
          <w:sz w:val="22"/>
          <w:szCs w:val="22"/>
          <w:lang w:val="en-AU"/>
        </w:rPr>
        <w:t>(</w:t>
      </w:r>
      <w:r w:rsidR="003D0209" w:rsidRPr="004635E5">
        <w:rPr>
          <w:sz w:val="22"/>
          <w:szCs w:val="22"/>
          <w:lang w:val="en-AU"/>
        </w:rPr>
        <w:t>SC14-</w:t>
      </w:r>
      <w:r w:rsidR="003D0209" w:rsidRPr="004635E5">
        <w:rPr>
          <w:rFonts w:eastAsia="Calibri"/>
          <w:sz w:val="22"/>
          <w:szCs w:val="22"/>
        </w:rPr>
        <w:t xml:space="preserve">MI-IP-04 </w:t>
      </w:r>
      <w:r w:rsidR="003D0209" w:rsidRPr="004635E5">
        <w:rPr>
          <w:rFonts w:eastAsia="Calibri"/>
          <w:i/>
          <w:sz w:val="22"/>
          <w:szCs w:val="22"/>
        </w:rPr>
        <w:t xml:space="preserve">SPC-OFP Catch and </w:t>
      </w:r>
      <w:r w:rsidR="00174CC2" w:rsidRPr="004635E5">
        <w:rPr>
          <w:rFonts w:eastAsia="Calibri"/>
          <w:i/>
          <w:sz w:val="22"/>
          <w:szCs w:val="22"/>
        </w:rPr>
        <w:t>e</w:t>
      </w:r>
      <w:r w:rsidR="003D0209" w:rsidRPr="004635E5">
        <w:rPr>
          <w:rFonts w:eastAsia="Calibri"/>
          <w:i/>
          <w:sz w:val="22"/>
          <w:szCs w:val="22"/>
        </w:rPr>
        <w:t>ffort tables on tropical tuna CMMs</w:t>
      </w:r>
      <w:r w:rsidR="004421B3" w:rsidRPr="004635E5">
        <w:rPr>
          <w:rFonts w:eastAsia="Calibri"/>
          <w:sz w:val="22"/>
          <w:szCs w:val="22"/>
        </w:rPr>
        <w:t>)</w:t>
      </w:r>
      <w:r w:rsidR="003D0209" w:rsidRPr="004635E5">
        <w:rPr>
          <w:rFonts w:eastAsia="Calibri"/>
          <w:sz w:val="22"/>
          <w:szCs w:val="22"/>
        </w:rPr>
        <w:t xml:space="preserve"> </w:t>
      </w:r>
      <w:r w:rsidRPr="004635E5">
        <w:rPr>
          <w:sz w:val="22"/>
          <w:szCs w:val="22"/>
          <w:lang w:val="en-AU"/>
        </w:rPr>
        <w:t>t</w:t>
      </w:r>
      <w:r w:rsidR="008C194B" w:rsidRPr="004635E5">
        <w:rPr>
          <w:sz w:val="22"/>
          <w:szCs w:val="22"/>
          <w:lang w:val="en-AU"/>
        </w:rPr>
        <w:t xml:space="preserve">hat </w:t>
      </w:r>
      <w:r w:rsidR="003D0209" w:rsidRPr="004635E5">
        <w:rPr>
          <w:sz w:val="22"/>
          <w:szCs w:val="22"/>
          <w:lang w:val="en-AU"/>
        </w:rPr>
        <w:t xml:space="preserve">provides </w:t>
      </w:r>
      <w:r w:rsidR="008C194B" w:rsidRPr="004635E5">
        <w:rPr>
          <w:sz w:val="22"/>
          <w:szCs w:val="22"/>
          <w:lang w:val="en-AU"/>
        </w:rPr>
        <w:t xml:space="preserve">data summaries prepared for </w:t>
      </w:r>
      <w:r w:rsidR="003D0209" w:rsidRPr="004635E5">
        <w:rPr>
          <w:sz w:val="22"/>
          <w:szCs w:val="22"/>
          <w:lang w:val="en-AU"/>
        </w:rPr>
        <w:t xml:space="preserve">the </w:t>
      </w:r>
      <w:r w:rsidR="008C194B" w:rsidRPr="004635E5">
        <w:rPr>
          <w:sz w:val="22"/>
          <w:szCs w:val="22"/>
          <w:lang w:val="en-AU"/>
        </w:rPr>
        <w:t>trop</w:t>
      </w:r>
      <w:r w:rsidR="003D0209" w:rsidRPr="004635E5">
        <w:rPr>
          <w:sz w:val="22"/>
          <w:szCs w:val="22"/>
          <w:lang w:val="en-AU"/>
        </w:rPr>
        <w:t>ical</w:t>
      </w:r>
      <w:r w:rsidR="008C194B" w:rsidRPr="004635E5">
        <w:rPr>
          <w:sz w:val="22"/>
          <w:szCs w:val="22"/>
          <w:lang w:val="en-AU"/>
        </w:rPr>
        <w:t xml:space="preserve"> tuna measure</w:t>
      </w:r>
      <w:r w:rsidR="003D0209" w:rsidRPr="004635E5">
        <w:rPr>
          <w:sz w:val="22"/>
          <w:szCs w:val="22"/>
          <w:lang w:val="en-AU"/>
        </w:rPr>
        <w:t>, and which</w:t>
      </w:r>
      <w:r w:rsidR="008C194B" w:rsidRPr="004635E5">
        <w:rPr>
          <w:sz w:val="22"/>
          <w:szCs w:val="22"/>
          <w:lang w:val="en-AU"/>
        </w:rPr>
        <w:t xml:space="preserve"> may provide breakdowns</w:t>
      </w:r>
      <w:r w:rsidR="00174CC2" w:rsidRPr="004635E5">
        <w:rPr>
          <w:sz w:val="22"/>
          <w:szCs w:val="22"/>
          <w:lang w:val="en-AU"/>
        </w:rPr>
        <w:t>, and that SPC could provide more detail</w:t>
      </w:r>
      <w:r w:rsidR="008C194B" w:rsidRPr="004635E5">
        <w:rPr>
          <w:sz w:val="22"/>
          <w:szCs w:val="22"/>
          <w:lang w:val="en-AU"/>
        </w:rPr>
        <w:t>.</w:t>
      </w:r>
      <w:r w:rsidR="003D0209" w:rsidRPr="004635E5">
        <w:rPr>
          <w:sz w:val="22"/>
          <w:szCs w:val="22"/>
          <w:lang w:val="en-AU"/>
        </w:rPr>
        <w:t xml:space="preserve"> </w:t>
      </w:r>
    </w:p>
    <w:p w14:paraId="4C6F8410" w14:textId="77777777" w:rsidR="00C03773" w:rsidRPr="004635E5" w:rsidRDefault="00C03773" w:rsidP="006633A8">
      <w:pPr>
        <w:autoSpaceDE w:val="0"/>
        <w:autoSpaceDN w:val="0"/>
        <w:adjustRightInd w:val="0"/>
        <w:snapToGrid w:val="0"/>
        <w:jc w:val="both"/>
        <w:rPr>
          <w:sz w:val="22"/>
          <w:szCs w:val="22"/>
          <w:lang w:val="en-AU"/>
        </w:rPr>
      </w:pPr>
    </w:p>
    <w:p w14:paraId="6D2A470E" w14:textId="77777777" w:rsidR="00A67013" w:rsidRPr="004635E5" w:rsidRDefault="003D0209"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Palau inquired how much </w:t>
      </w:r>
      <w:r w:rsidR="004421B3" w:rsidRPr="004635E5">
        <w:rPr>
          <w:sz w:val="22"/>
          <w:szCs w:val="22"/>
          <w:lang w:val="en-AU"/>
        </w:rPr>
        <w:t>longline</w:t>
      </w:r>
      <w:r w:rsidR="00D32396" w:rsidRPr="004635E5">
        <w:rPr>
          <w:sz w:val="22"/>
          <w:szCs w:val="22"/>
          <w:lang w:val="en-AU"/>
        </w:rPr>
        <w:t xml:space="preserve"> data </w:t>
      </w:r>
      <w:r w:rsidRPr="004635E5">
        <w:rPr>
          <w:sz w:val="22"/>
          <w:szCs w:val="22"/>
          <w:lang w:val="en-AU"/>
        </w:rPr>
        <w:t xml:space="preserve">was incomplete and </w:t>
      </w:r>
      <w:r w:rsidR="00D32396" w:rsidRPr="004635E5">
        <w:rPr>
          <w:sz w:val="22"/>
          <w:szCs w:val="22"/>
          <w:lang w:val="en-AU"/>
        </w:rPr>
        <w:t xml:space="preserve">provisional. </w:t>
      </w:r>
      <w:r w:rsidRPr="004635E5">
        <w:rPr>
          <w:sz w:val="22"/>
          <w:szCs w:val="22"/>
          <w:lang w:val="en-AU"/>
        </w:rPr>
        <w:t xml:space="preserve">P. Williams responded that SPC would </w:t>
      </w:r>
      <w:r w:rsidR="00D32396" w:rsidRPr="004635E5">
        <w:rPr>
          <w:sz w:val="22"/>
          <w:szCs w:val="22"/>
          <w:lang w:val="en-AU"/>
        </w:rPr>
        <w:t xml:space="preserve">talk to countries </w:t>
      </w:r>
      <w:r w:rsidRPr="004635E5">
        <w:rPr>
          <w:sz w:val="22"/>
          <w:szCs w:val="22"/>
          <w:lang w:val="en-AU"/>
        </w:rPr>
        <w:t xml:space="preserve">to determine if </w:t>
      </w:r>
      <w:r w:rsidR="00D32396" w:rsidRPr="004635E5">
        <w:rPr>
          <w:sz w:val="22"/>
          <w:szCs w:val="22"/>
          <w:lang w:val="en-AU"/>
        </w:rPr>
        <w:t xml:space="preserve">there </w:t>
      </w:r>
      <w:r w:rsidRPr="004635E5">
        <w:rPr>
          <w:sz w:val="22"/>
          <w:szCs w:val="22"/>
          <w:lang w:val="en-AU"/>
        </w:rPr>
        <w:t xml:space="preserve">were </w:t>
      </w:r>
      <w:r w:rsidR="00D32396" w:rsidRPr="004635E5">
        <w:rPr>
          <w:sz w:val="22"/>
          <w:szCs w:val="22"/>
          <w:lang w:val="en-AU"/>
        </w:rPr>
        <w:t>revisions to estimates</w:t>
      </w:r>
      <w:r w:rsidRPr="004635E5">
        <w:rPr>
          <w:sz w:val="22"/>
          <w:szCs w:val="22"/>
          <w:lang w:val="en-AU"/>
        </w:rPr>
        <w:t>, and provide the information</w:t>
      </w:r>
      <w:r w:rsidR="00D32396" w:rsidRPr="004635E5">
        <w:rPr>
          <w:sz w:val="22"/>
          <w:szCs w:val="22"/>
          <w:lang w:val="en-AU"/>
        </w:rPr>
        <w:t>.</w:t>
      </w:r>
    </w:p>
    <w:p w14:paraId="09F4DDD9" w14:textId="77777777" w:rsidR="00C03773" w:rsidRPr="004635E5" w:rsidRDefault="00C03773" w:rsidP="006633A8">
      <w:pPr>
        <w:autoSpaceDE w:val="0"/>
        <w:autoSpaceDN w:val="0"/>
        <w:adjustRightInd w:val="0"/>
        <w:snapToGrid w:val="0"/>
        <w:jc w:val="both"/>
        <w:rPr>
          <w:sz w:val="22"/>
          <w:szCs w:val="22"/>
          <w:lang w:val="en-AU"/>
        </w:rPr>
      </w:pPr>
    </w:p>
    <w:p w14:paraId="11EF87C1" w14:textId="77777777" w:rsidR="00A83306" w:rsidRPr="004635E5" w:rsidRDefault="00A83306" w:rsidP="00580EA4">
      <w:pPr>
        <w:pStyle w:val="SC2"/>
        <w:numPr>
          <w:ilvl w:val="1"/>
          <w:numId w:val="161"/>
        </w:numPr>
        <w:spacing w:after="0"/>
        <w:ind w:left="0" w:firstLine="0"/>
      </w:pPr>
      <w:r w:rsidRPr="004635E5">
        <w:t xml:space="preserve">Overview of Eastern Pacific Ocean fisheries </w:t>
      </w:r>
    </w:p>
    <w:p w14:paraId="2D37BA40" w14:textId="77777777" w:rsidR="00C91D50" w:rsidRPr="004635E5" w:rsidRDefault="00C91D50" w:rsidP="006633A8">
      <w:pPr>
        <w:pStyle w:val="SC2"/>
        <w:numPr>
          <w:ilvl w:val="0"/>
          <w:numId w:val="0"/>
        </w:numPr>
        <w:spacing w:after="0"/>
        <w:ind w:left="720"/>
      </w:pPr>
    </w:p>
    <w:p w14:paraId="4DF0F97F" w14:textId="77777777" w:rsidR="00347D2B" w:rsidRPr="004635E5" w:rsidRDefault="00EB3FD6"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K.</w:t>
      </w:r>
      <w:r w:rsidR="00D32396" w:rsidRPr="004635E5">
        <w:rPr>
          <w:sz w:val="22"/>
          <w:szCs w:val="22"/>
          <w:lang w:val="en-AU"/>
        </w:rPr>
        <w:t xml:space="preserve"> </w:t>
      </w:r>
      <w:r w:rsidRPr="004635E5">
        <w:rPr>
          <w:sz w:val="22"/>
          <w:szCs w:val="22"/>
          <w:lang w:val="en-NZ"/>
        </w:rPr>
        <w:t>Schaefer</w:t>
      </w:r>
      <w:r w:rsidR="00D32396" w:rsidRPr="004635E5">
        <w:rPr>
          <w:sz w:val="22"/>
          <w:szCs w:val="22"/>
          <w:lang w:val="en-AU"/>
        </w:rPr>
        <w:t xml:space="preserve"> </w:t>
      </w:r>
      <w:r w:rsidR="00A514FD" w:rsidRPr="004635E5">
        <w:rPr>
          <w:sz w:val="22"/>
          <w:szCs w:val="22"/>
          <w:lang w:val="en-AU"/>
        </w:rPr>
        <w:t xml:space="preserve">(IATTC) presented </w:t>
      </w:r>
      <w:r w:rsidR="00A514FD" w:rsidRPr="004635E5">
        <w:rPr>
          <w:bCs/>
          <w:sz w:val="22"/>
          <w:szCs w:val="22"/>
          <w:lang w:val="en-AU"/>
        </w:rPr>
        <w:t>SC14-GN-WP-02</w:t>
      </w:r>
      <w:r w:rsidR="00A514FD" w:rsidRPr="004635E5">
        <w:rPr>
          <w:sz w:val="22"/>
          <w:szCs w:val="22"/>
          <w:lang w:val="en-AU"/>
        </w:rPr>
        <w:t xml:space="preserve"> </w:t>
      </w:r>
      <w:r w:rsidR="00A514FD" w:rsidRPr="004635E5">
        <w:rPr>
          <w:i/>
          <w:sz w:val="22"/>
          <w:szCs w:val="22"/>
          <w:lang w:val="en-AU"/>
        </w:rPr>
        <w:t>Tunas, billfishes and other pelagic species in the eastern Pacific Ocean in 2016</w:t>
      </w:r>
      <w:r w:rsidR="00A514FD" w:rsidRPr="004635E5">
        <w:rPr>
          <w:sz w:val="22"/>
          <w:szCs w:val="22"/>
          <w:lang w:val="en-AU"/>
        </w:rPr>
        <w:t>, which addressed the fisheries, assessments and conservation measures for the major stocks of tropical tunas in the Eastern Pacific Ocean.</w:t>
      </w:r>
      <w:r w:rsidR="00E25B34" w:rsidRPr="004635E5">
        <w:rPr>
          <w:sz w:val="22"/>
          <w:szCs w:val="22"/>
          <w:lang w:val="en-AU"/>
        </w:rPr>
        <w:t xml:space="preserve"> </w:t>
      </w:r>
    </w:p>
    <w:p w14:paraId="30A06B95" w14:textId="77777777" w:rsidR="00C03773" w:rsidRPr="004635E5" w:rsidRDefault="00C03773" w:rsidP="006633A8">
      <w:pPr>
        <w:autoSpaceDE w:val="0"/>
        <w:autoSpaceDN w:val="0"/>
        <w:adjustRightInd w:val="0"/>
        <w:snapToGrid w:val="0"/>
        <w:jc w:val="both"/>
        <w:rPr>
          <w:sz w:val="22"/>
          <w:szCs w:val="22"/>
          <w:highlight w:val="yellow"/>
          <w:lang w:val="en-AU"/>
        </w:rPr>
      </w:pPr>
    </w:p>
    <w:p w14:paraId="154C02EE" w14:textId="77777777" w:rsidR="00347D2B" w:rsidRPr="004635E5" w:rsidRDefault="00347D2B" w:rsidP="006633A8">
      <w:pPr>
        <w:pStyle w:val="WCPFC"/>
        <w:adjustRightInd w:val="0"/>
        <w:spacing w:after="0"/>
        <w:ind w:left="0" w:firstLine="0"/>
        <w:rPr>
          <w:rFonts w:cs="Times New Roman"/>
        </w:rPr>
      </w:pPr>
      <w:r w:rsidRPr="004635E5">
        <w:rPr>
          <w:rFonts w:cs="Times New Roman"/>
        </w:rPr>
        <w:t xml:space="preserve">The fishing capacity of the purse-seine fleet fishing in the eastern Pacific Ocean (EPO) increased rapidly from 1995 to 2005, and was fairly stable during 2006-2013, but increased to 254 vessels and a total well volume of 263,000 cubic meters in 2017. The reported nominal annual longline effort fluctuated between about 300 and 100 million hooks over the past </w:t>
      </w:r>
      <w:r w:rsidR="00174CC2" w:rsidRPr="004635E5">
        <w:rPr>
          <w:rFonts w:cs="Times New Roman"/>
        </w:rPr>
        <w:t xml:space="preserve">30 </w:t>
      </w:r>
      <w:r w:rsidRPr="004635E5">
        <w:rPr>
          <w:rFonts w:cs="Times New Roman"/>
        </w:rPr>
        <w:t xml:space="preserve">years. The peak of about 300 million hooks in 2002-2003 was followed by a distinct decline to about 100 million hooks, but in recent years increased to about 200 million hooks. Total tuna catches increased starting in 1999, peaked in 2003, and in 2017 were similar to the average of the previous </w:t>
      </w:r>
      <w:r w:rsidR="00174CC2" w:rsidRPr="004635E5">
        <w:rPr>
          <w:rFonts w:cs="Times New Roman"/>
        </w:rPr>
        <w:t xml:space="preserve">10 </w:t>
      </w:r>
      <w:r w:rsidRPr="004635E5">
        <w:rPr>
          <w:rFonts w:cs="Times New Roman"/>
        </w:rPr>
        <w:t>years.</w:t>
      </w:r>
    </w:p>
    <w:p w14:paraId="20192919" w14:textId="77777777" w:rsidR="00C03773" w:rsidRPr="004635E5" w:rsidRDefault="00C03773" w:rsidP="006633A8">
      <w:pPr>
        <w:pStyle w:val="WCPFC"/>
        <w:numPr>
          <w:ilvl w:val="0"/>
          <w:numId w:val="0"/>
        </w:numPr>
        <w:adjustRightInd w:val="0"/>
        <w:spacing w:after="0"/>
        <w:rPr>
          <w:rFonts w:cs="Times New Roman"/>
        </w:rPr>
      </w:pPr>
    </w:p>
    <w:p w14:paraId="004A663F" w14:textId="77777777" w:rsidR="00347D2B" w:rsidRPr="004635E5" w:rsidRDefault="00347D2B" w:rsidP="006633A8">
      <w:pPr>
        <w:pStyle w:val="WCPFC"/>
        <w:adjustRightInd w:val="0"/>
        <w:spacing w:after="0"/>
        <w:ind w:left="0" w:firstLine="0"/>
        <w:rPr>
          <w:rFonts w:cs="Times New Roman"/>
        </w:rPr>
      </w:pPr>
      <w:r w:rsidRPr="004635E5">
        <w:rPr>
          <w:rFonts w:cs="Times New Roman"/>
        </w:rPr>
        <w:t xml:space="preserve">For yellowfin tuna, catches were fairly stable from 1986-1999 followed by a peak during 2001-2003, a substantial decline during 2006- 2008, and then a steady upward trend until 2016. The 2017 catch from dolphin- associated schools was substantially less than the previous </w:t>
      </w:r>
      <w:r w:rsidR="00174CC2" w:rsidRPr="004635E5">
        <w:rPr>
          <w:rFonts w:cs="Times New Roman"/>
        </w:rPr>
        <w:t>5-</w:t>
      </w:r>
      <w:r w:rsidRPr="004635E5">
        <w:rPr>
          <w:rFonts w:cs="Times New Roman"/>
        </w:rPr>
        <w:t xml:space="preserve">year average, for sets on floating objects there was a substantial increase, and for unassociated schools the catch was less than the previous </w:t>
      </w:r>
      <w:r w:rsidR="00174CC2" w:rsidRPr="004635E5">
        <w:rPr>
          <w:rFonts w:cs="Times New Roman"/>
        </w:rPr>
        <w:t xml:space="preserve">2 </w:t>
      </w:r>
      <w:r w:rsidRPr="004635E5">
        <w:rPr>
          <w:rFonts w:cs="Times New Roman"/>
        </w:rPr>
        <w:t xml:space="preserve">years. The </w:t>
      </w:r>
      <w:r w:rsidR="00174CC2" w:rsidRPr="004635E5">
        <w:rPr>
          <w:rFonts w:cs="Times New Roman"/>
        </w:rPr>
        <w:t xml:space="preserve">yellowfin </w:t>
      </w:r>
      <w:r w:rsidRPr="004635E5">
        <w:rPr>
          <w:rFonts w:cs="Times New Roman"/>
        </w:rPr>
        <w:t>assessment used Stock Synthesis 3. Recent estimates indicate that the yellowfin spawning biomass in the EPO is above the target reference point (</w:t>
      </w:r>
      <w:r w:rsidRPr="004635E5">
        <w:rPr>
          <w:rFonts w:cs="Times New Roman"/>
          <w:i/>
          <w:iCs/>
        </w:rPr>
        <w:t>S</w:t>
      </w:r>
      <w:r w:rsidRPr="004635E5">
        <w:rPr>
          <w:rFonts w:cs="Times New Roman"/>
        </w:rPr>
        <w:t>&gt;</w:t>
      </w:r>
      <w:r w:rsidRPr="004635E5">
        <w:rPr>
          <w:rFonts w:cs="Times New Roman"/>
          <w:i/>
          <w:iCs/>
        </w:rPr>
        <w:t>S</w:t>
      </w:r>
      <w:r w:rsidRPr="004635E5">
        <w:rPr>
          <w:rFonts w:cs="Times New Roman"/>
          <w:vertAlign w:val="subscript"/>
        </w:rPr>
        <w:t>MSY</w:t>
      </w:r>
      <w:r w:rsidRPr="004635E5">
        <w:rPr>
          <w:rFonts w:cs="Times New Roman"/>
        </w:rPr>
        <w:t xml:space="preserve">), </w:t>
      </w:r>
      <w:bookmarkStart w:id="80" w:name="_Hlk489634474"/>
      <w:r w:rsidRPr="004635E5">
        <w:rPr>
          <w:rFonts w:cs="Times New Roman"/>
        </w:rPr>
        <w:t>but that fishing mortality is slightly greater than the level corresponding to MSY (</w:t>
      </w:r>
      <w:r w:rsidRPr="004635E5">
        <w:rPr>
          <w:rFonts w:cs="Times New Roman"/>
          <w:i/>
          <w:iCs/>
        </w:rPr>
        <w:t>F</w:t>
      </w:r>
      <w:r w:rsidRPr="004635E5">
        <w:rPr>
          <w:rFonts w:cs="Times New Roman"/>
        </w:rPr>
        <w:t>&gt;</w:t>
      </w:r>
      <w:r w:rsidRPr="004635E5">
        <w:rPr>
          <w:rFonts w:cs="Times New Roman"/>
          <w:i/>
          <w:iCs/>
        </w:rPr>
        <w:t>F</w:t>
      </w:r>
      <w:r w:rsidRPr="004635E5">
        <w:rPr>
          <w:rFonts w:cs="Times New Roman"/>
          <w:vertAlign w:val="subscript"/>
        </w:rPr>
        <w:t>MSY</w:t>
      </w:r>
      <w:r w:rsidRPr="004635E5">
        <w:rPr>
          <w:rFonts w:cs="Times New Roman"/>
        </w:rPr>
        <w:t>).</w:t>
      </w:r>
      <w:bookmarkEnd w:id="80"/>
      <w:r w:rsidRPr="004635E5">
        <w:rPr>
          <w:rFonts w:cs="Times New Roman"/>
        </w:rPr>
        <w:t xml:space="preserve"> However, estimates of the current status of the stock are considerably more pessimistic if a stock-recruitment relationship is assumed, if a higher value is assumed for the average size of the older fish, or if lower rates of natural mortality are assumed for adults. </w:t>
      </w:r>
    </w:p>
    <w:p w14:paraId="41414146" w14:textId="77777777" w:rsidR="00C03773" w:rsidRPr="004635E5" w:rsidRDefault="00C03773" w:rsidP="006633A8">
      <w:pPr>
        <w:pStyle w:val="WCPFC"/>
        <w:numPr>
          <w:ilvl w:val="0"/>
          <w:numId w:val="0"/>
        </w:numPr>
        <w:adjustRightInd w:val="0"/>
        <w:spacing w:after="0"/>
        <w:rPr>
          <w:rFonts w:cs="Times New Roman"/>
        </w:rPr>
      </w:pPr>
    </w:p>
    <w:p w14:paraId="7F71F1B8" w14:textId="77777777" w:rsidR="00347D2B" w:rsidRPr="004635E5" w:rsidRDefault="00347D2B" w:rsidP="006633A8">
      <w:pPr>
        <w:pStyle w:val="WCPFC"/>
        <w:adjustRightInd w:val="0"/>
        <w:spacing w:after="0"/>
        <w:ind w:left="0" w:firstLine="0"/>
        <w:rPr>
          <w:rFonts w:cs="Times New Roman"/>
        </w:rPr>
      </w:pPr>
      <w:r w:rsidRPr="004635E5">
        <w:rPr>
          <w:rFonts w:cs="Times New Roman"/>
        </w:rPr>
        <w:t xml:space="preserve">The status of the skipjack stock </w:t>
      </w:r>
      <w:r w:rsidR="00174CC2" w:rsidRPr="004635E5">
        <w:rPr>
          <w:rFonts w:cs="Times New Roman"/>
        </w:rPr>
        <w:t xml:space="preserve">was </w:t>
      </w:r>
      <w:r w:rsidRPr="004635E5">
        <w:rPr>
          <w:rFonts w:cs="Times New Roman"/>
        </w:rPr>
        <w:t xml:space="preserve">evaluated using eight different data- and model-based indicators. The purse-seine catch </w:t>
      </w:r>
      <w:r w:rsidR="00174CC2" w:rsidRPr="004635E5">
        <w:rPr>
          <w:rFonts w:cs="Times New Roman"/>
        </w:rPr>
        <w:t>increased</w:t>
      </w:r>
      <w:r w:rsidRPr="004635E5">
        <w:rPr>
          <w:rFonts w:cs="Times New Roman"/>
        </w:rPr>
        <w:t xml:space="preserve"> significantly since 1995, and in 2017 was slightly below the 2016 catch, which was highest ever recorded, and substantially above the upper reference level. Following a large peak in 1999, the catch per day fished on floating objects generally fluctuated between an average level and the upper reference level, but in 2016 was well above the upper reference level and slightly below in 2017. The catch per day fished on unassociated schools fluctuated at high levels since 2005, but in 2017 was higher than previous </w:t>
      </w:r>
      <w:r w:rsidR="00174CC2" w:rsidRPr="004635E5">
        <w:rPr>
          <w:rFonts w:cs="Times New Roman"/>
        </w:rPr>
        <w:t xml:space="preserve">2 </w:t>
      </w:r>
      <w:r w:rsidRPr="004635E5">
        <w:rPr>
          <w:rFonts w:cs="Times New Roman"/>
        </w:rPr>
        <w:t xml:space="preserve">years and well above the upper reference level. The average weight has been steadily decreasing over the past </w:t>
      </w:r>
      <w:r w:rsidR="00174CC2" w:rsidRPr="004635E5">
        <w:rPr>
          <w:rFonts w:cs="Times New Roman"/>
        </w:rPr>
        <w:t xml:space="preserve">15 </w:t>
      </w:r>
      <w:r w:rsidRPr="004635E5">
        <w:rPr>
          <w:rFonts w:cs="Times New Roman"/>
        </w:rPr>
        <w:t>years, and in 2016 was the lowest in the past four decades, and below the lower reference level, but substantially increased in 2017. The relative biomass and recruitment have been fairly high since 2002, but in 2017 substantially increased to well above their upper reference levels. The exploitation rate has remained close to average during this period. There is considerable uncertainty about the status of skipjack tuna in the EPO, and there may be differences in the status of the stock among regions.</w:t>
      </w:r>
    </w:p>
    <w:p w14:paraId="51531F85" w14:textId="77777777" w:rsidR="00971477" w:rsidRPr="004635E5" w:rsidRDefault="00971477" w:rsidP="006633A8">
      <w:pPr>
        <w:pStyle w:val="WCPFC"/>
        <w:numPr>
          <w:ilvl w:val="0"/>
          <w:numId w:val="0"/>
        </w:numPr>
        <w:adjustRightInd w:val="0"/>
        <w:spacing w:after="0"/>
        <w:rPr>
          <w:rFonts w:cs="Times New Roman"/>
        </w:rPr>
      </w:pPr>
    </w:p>
    <w:p w14:paraId="7CED1EEF" w14:textId="77777777" w:rsidR="00347D2B" w:rsidRPr="004635E5" w:rsidRDefault="00347D2B" w:rsidP="006633A8">
      <w:pPr>
        <w:pStyle w:val="WCPFC"/>
        <w:adjustRightInd w:val="0"/>
        <w:spacing w:after="0"/>
        <w:ind w:left="0" w:firstLine="0"/>
        <w:rPr>
          <w:rFonts w:cs="Times New Roman"/>
        </w:rPr>
      </w:pPr>
      <w:r w:rsidRPr="004635E5">
        <w:rPr>
          <w:rFonts w:cs="Times New Roman"/>
        </w:rPr>
        <w:t>There have been substantial historical changes in the bigeye fishery in the EPO. Beginning in 1994, purse-seine catches increased substantially</w:t>
      </w:r>
      <w:r w:rsidR="00174CC2" w:rsidRPr="004635E5">
        <w:rPr>
          <w:rFonts w:cs="Times New Roman"/>
        </w:rPr>
        <w:t xml:space="preserve"> as a result of the </w:t>
      </w:r>
      <w:r w:rsidRPr="004635E5">
        <w:rPr>
          <w:rFonts w:cs="Times New Roman"/>
        </w:rPr>
        <w:t xml:space="preserve">expanded use of drifting fish-aggregating devices (FADs) in the equatorial EPO. The estimated total purse-seine catch of bigeye of 66,000 </w:t>
      </w:r>
      <w:r w:rsidR="00174CC2" w:rsidRPr="004635E5">
        <w:rPr>
          <w:rFonts w:cs="Times New Roman"/>
        </w:rPr>
        <w:t>mt</w:t>
      </w:r>
      <w:r w:rsidRPr="004635E5">
        <w:rPr>
          <w:rFonts w:cs="Times New Roman"/>
        </w:rPr>
        <w:t xml:space="preserve"> in 2017 is slightly </w:t>
      </w:r>
      <w:r w:rsidR="00174CC2" w:rsidRPr="004635E5">
        <w:rPr>
          <w:rFonts w:cs="Times New Roman"/>
        </w:rPr>
        <w:t xml:space="preserve">above </w:t>
      </w:r>
      <w:r w:rsidRPr="004635E5">
        <w:rPr>
          <w:rFonts w:cs="Times New Roman"/>
        </w:rPr>
        <w:t xml:space="preserve">the average of the previous </w:t>
      </w:r>
      <w:r w:rsidR="00174CC2" w:rsidRPr="004635E5">
        <w:rPr>
          <w:rFonts w:cs="Times New Roman"/>
        </w:rPr>
        <w:t xml:space="preserve">5 </w:t>
      </w:r>
      <w:r w:rsidRPr="004635E5">
        <w:rPr>
          <w:rFonts w:cs="Times New Roman"/>
        </w:rPr>
        <w:t>years</w:t>
      </w:r>
      <w:r w:rsidR="00A16680" w:rsidRPr="004635E5">
        <w:rPr>
          <w:rFonts w:cs="Times New Roman"/>
        </w:rPr>
        <w:t xml:space="preserve">. </w:t>
      </w:r>
      <w:r w:rsidRPr="004635E5">
        <w:rPr>
          <w:rFonts w:cs="Times New Roman"/>
        </w:rPr>
        <w:t xml:space="preserve">The estimated longline catch of bigeye of 31,000 </w:t>
      </w:r>
      <w:r w:rsidR="00174CC2" w:rsidRPr="004635E5">
        <w:rPr>
          <w:rFonts w:cs="Times New Roman"/>
        </w:rPr>
        <w:t>mt</w:t>
      </w:r>
      <w:r w:rsidR="001F3FF4">
        <w:rPr>
          <w:rFonts w:cs="Times New Roman"/>
        </w:rPr>
        <w:t xml:space="preserve"> </w:t>
      </w:r>
      <w:r w:rsidRPr="004635E5">
        <w:rPr>
          <w:rFonts w:cs="Times New Roman"/>
        </w:rPr>
        <w:t xml:space="preserve">in 2017 </w:t>
      </w:r>
      <w:r w:rsidR="00174CC2" w:rsidRPr="004635E5">
        <w:rPr>
          <w:rFonts w:cs="Times New Roman"/>
        </w:rPr>
        <w:t xml:space="preserve">was </w:t>
      </w:r>
      <w:r w:rsidRPr="004635E5">
        <w:rPr>
          <w:rFonts w:cs="Times New Roman"/>
        </w:rPr>
        <w:t xml:space="preserve">substantially less than the average of the previous </w:t>
      </w:r>
      <w:r w:rsidR="00174CC2" w:rsidRPr="004635E5">
        <w:rPr>
          <w:rFonts w:cs="Times New Roman"/>
        </w:rPr>
        <w:t xml:space="preserve">5 </w:t>
      </w:r>
      <w:r w:rsidRPr="004635E5">
        <w:rPr>
          <w:rFonts w:cs="Times New Roman"/>
        </w:rPr>
        <w:t>years. The results of the update</w:t>
      </w:r>
      <w:r w:rsidR="00C35783" w:rsidRPr="004635E5">
        <w:rPr>
          <w:rFonts w:cs="Times New Roman"/>
        </w:rPr>
        <w:t>d</w:t>
      </w:r>
      <w:r w:rsidRPr="004635E5">
        <w:rPr>
          <w:rFonts w:cs="Times New Roman"/>
        </w:rPr>
        <w:t xml:space="preserve"> </w:t>
      </w:r>
      <w:r w:rsidR="00174CC2" w:rsidRPr="004635E5">
        <w:rPr>
          <w:rFonts w:cs="Times New Roman"/>
        </w:rPr>
        <w:t xml:space="preserve">bigeye </w:t>
      </w:r>
      <w:r w:rsidRPr="004635E5">
        <w:rPr>
          <w:rFonts w:cs="Times New Roman"/>
        </w:rPr>
        <w:t>stock assessment conducted in 2018</w:t>
      </w:r>
      <w:r w:rsidR="00C35783" w:rsidRPr="004635E5">
        <w:rPr>
          <w:rFonts w:cs="Times New Roman"/>
        </w:rPr>
        <w:t>,</w:t>
      </w:r>
      <w:r w:rsidRPr="004635E5">
        <w:rPr>
          <w:rFonts w:cs="Times New Roman"/>
        </w:rPr>
        <w:t xml:space="preserve"> using the same methodology as in previous years, revealed several uncertainties </w:t>
      </w:r>
      <w:r w:rsidR="00C35783" w:rsidRPr="004635E5">
        <w:rPr>
          <w:rFonts w:cs="Times New Roman"/>
        </w:rPr>
        <w:t xml:space="preserve">that </w:t>
      </w:r>
      <w:r w:rsidRPr="004635E5">
        <w:rPr>
          <w:rFonts w:cs="Times New Roman"/>
        </w:rPr>
        <w:t>led the staff to question its use as a basis for management advice. The staff has therefore developed a suite of stock status indicators for bigeye as an alternative basis for management advice and for monitoring the stock and the fishery until the uncertainties in the stock assessment have been resolved. All the indicators, except catch, show strong trends over time, indicating increasing fishing mortality and reduced abundance, and are at, or above, their reference levels. The increasing number of sets and the decreasing mean weight of the fish in the catch suggest that the bigeye stock in the EPO is under increasing fishing pressure, and measures additional to the current seasonal closures, such as limits on the number of floating-object sets, are required.</w:t>
      </w:r>
    </w:p>
    <w:p w14:paraId="2FC8AD10" w14:textId="77777777" w:rsidR="00C03773" w:rsidRPr="004635E5" w:rsidRDefault="00C03773" w:rsidP="006633A8">
      <w:pPr>
        <w:pStyle w:val="WCPFC"/>
        <w:numPr>
          <w:ilvl w:val="0"/>
          <w:numId w:val="0"/>
        </w:numPr>
        <w:adjustRightInd w:val="0"/>
        <w:spacing w:after="0"/>
        <w:rPr>
          <w:rFonts w:cs="Times New Roman"/>
        </w:rPr>
      </w:pPr>
    </w:p>
    <w:p w14:paraId="40A40A91" w14:textId="77777777" w:rsidR="00347D2B" w:rsidRPr="004635E5" w:rsidRDefault="00347D2B" w:rsidP="006633A8">
      <w:pPr>
        <w:pStyle w:val="WCPFC"/>
        <w:adjustRightInd w:val="0"/>
        <w:spacing w:after="0"/>
        <w:ind w:left="0" w:firstLine="0"/>
        <w:rPr>
          <w:rFonts w:cs="Times New Roman"/>
        </w:rPr>
      </w:pPr>
      <w:r w:rsidRPr="004635E5">
        <w:rPr>
          <w:rFonts w:cs="Times New Roman"/>
        </w:rPr>
        <w:t xml:space="preserve">IATTC Resolution C-17-02 on the conservation measures for tropical tunas in the EPO during 2018-2020, includes an annual EPO-wide 72-day closure for purse-seine vessels of carrying capacity greater than 182 </w:t>
      </w:r>
      <w:r w:rsidR="00174CC2" w:rsidRPr="004635E5">
        <w:rPr>
          <w:rFonts w:cs="Times New Roman"/>
        </w:rPr>
        <w:t>m</w:t>
      </w:r>
      <w:r w:rsidRPr="004635E5">
        <w:rPr>
          <w:rFonts w:cs="Times New Roman"/>
        </w:rPr>
        <w:t xml:space="preserve">t, along with a 30-day closure of a core offshore FAD fishing area. For longline vessels greater than 24 m length overall, the resolution includes bigeye catch limits for China, Japan, Korea, Chinese Taipei, and the United States, and those countries can make a single transfer up to 30% of their catch limit to one another. Other members are limited to the greater of 500 </w:t>
      </w:r>
      <w:r w:rsidR="00174CC2" w:rsidRPr="004635E5">
        <w:rPr>
          <w:rFonts w:cs="Times New Roman"/>
        </w:rPr>
        <w:t>m</w:t>
      </w:r>
      <w:r w:rsidRPr="004635E5">
        <w:rPr>
          <w:rFonts w:cs="Times New Roman"/>
        </w:rPr>
        <w:t xml:space="preserve">t or their respective catches in 2001. Taking into account the continuing increase in fishing effort in the purse-seine fishery, in terms of the number of sets, the staff is recommending </w:t>
      </w:r>
      <w:r w:rsidR="00174CC2" w:rsidRPr="004635E5">
        <w:rPr>
          <w:rFonts w:cs="Times New Roman"/>
        </w:rPr>
        <w:t xml:space="preserve">that </w:t>
      </w:r>
      <w:r w:rsidRPr="004635E5">
        <w:rPr>
          <w:rFonts w:cs="Times New Roman"/>
        </w:rPr>
        <w:t xml:space="preserve">the purse-seine fishery limit the total annual number of floating-object and unassociated sets combined by Class-6 vessels in 2019 and 2020 to 15,723. Once the limit is reached, only dolphin-associated sets will be allowed during the rest of that year, and all vessels without a Dolphin Mortality Limit must return to port. </w:t>
      </w:r>
    </w:p>
    <w:p w14:paraId="703628A7" w14:textId="77777777" w:rsidR="00C03773" w:rsidRPr="004635E5" w:rsidRDefault="00C03773" w:rsidP="006633A8">
      <w:pPr>
        <w:adjustRightInd w:val="0"/>
        <w:snapToGrid w:val="0"/>
        <w:jc w:val="both"/>
        <w:rPr>
          <w:b/>
          <w:sz w:val="22"/>
          <w:szCs w:val="22"/>
          <w:highlight w:val="yellow"/>
          <w:lang w:val="en-AU"/>
        </w:rPr>
      </w:pPr>
    </w:p>
    <w:p w14:paraId="68C26F8C" w14:textId="77777777" w:rsidR="00A514FD" w:rsidRPr="004635E5" w:rsidRDefault="00A514FD" w:rsidP="006633A8">
      <w:pPr>
        <w:adjustRightInd w:val="0"/>
        <w:snapToGrid w:val="0"/>
        <w:jc w:val="both"/>
        <w:rPr>
          <w:b/>
          <w:sz w:val="22"/>
          <w:szCs w:val="22"/>
          <w:lang w:val="en-AU"/>
        </w:rPr>
      </w:pPr>
      <w:r w:rsidRPr="004635E5">
        <w:rPr>
          <w:b/>
          <w:sz w:val="22"/>
          <w:szCs w:val="22"/>
          <w:lang w:val="en-AU"/>
        </w:rPr>
        <w:t>Discussion</w:t>
      </w:r>
    </w:p>
    <w:p w14:paraId="063E48D2" w14:textId="77777777" w:rsidR="00C91D50" w:rsidRPr="004635E5" w:rsidRDefault="00C91D50" w:rsidP="006633A8">
      <w:pPr>
        <w:adjustRightInd w:val="0"/>
        <w:snapToGrid w:val="0"/>
        <w:jc w:val="both"/>
        <w:rPr>
          <w:b/>
          <w:sz w:val="22"/>
          <w:szCs w:val="22"/>
          <w:lang w:val="en-AU"/>
        </w:rPr>
      </w:pPr>
    </w:p>
    <w:p w14:paraId="1E7C568A" w14:textId="77777777" w:rsidR="00166D0D" w:rsidRPr="004635E5" w:rsidRDefault="00C35783" w:rsidP="006633A8">
      <w:pPr>
        <w:pStyle w:val="WCPFC"/>
        <w:adjustRightInd w:val="0"/>
        <w:spacing w:after="0"/>
        <w:ind w:left="0" w:firstLine="0"/>
        <w:rPr>
          <w:rFonts w:cs="Times New Roman"/>
          <w:lang w:val="en-AU"/>
        </w:rPr>
      </w:pPr>
      <w:r w:rsidRPr="004635E5">
        <w:rPr>
          <w:rFonts w:cs="Times New Roman"/>
        </w:rPr>
        <w:t xml:space="preserve">Tuvalu, on behalf of </w:t>
      </w:r>
      <w:r w:rsidR="005E6919" w:rsidRPr="004635E5">
        <w:rPr>
          <w:rFonts w:cs="Times New Roman"/>
        </w:rPr>
        <w:t>FFA members</w:t>
      </w:r>
      <w:r w:rsidRPr="004635E5">
        <w:rPr>
          <w:rFonts w:cs="Times New Roman"/>
        </w:rPr>
        <w:t>,</w:t>
      </w:r>
      <w:r w:rsidR="005E6919" w:rsidRPr="004635E5">
        <w:rPr>
          <w:rFonts w:cs="Times New Roman"/>
        </w:rPr>
        <w:t xml:space="preserve"> thank</w:t>
      </w:r>
      <w:r w:rsidRPr="004635E5">
        <w:rPr>
          <w:rFonts w:cs="Times New Roman"/>
        </w:rPr>
        <w:t>ed</w:t>
      </w:r>
      <w:r w:rsidR="005E6919" w:rsidRPr="004635E5">
        <w:rPr>
          <w:rFonts w:cs="Times New Roman"/>
        </w:rPr>
        <w:t xml:space="preserve"> the IATTC Secretariat for their report</w:t>
      </w:r>
      <w:r w:rsidRPr="004635E5">
        <w:rPr>
          <w:rFonts w:cs="Times New Roman"/>
        </w:rPr>
        <w:t xml:space="preserve"> </w:t>
      </w:r>
      <w:r w:rsidR="005E6919" w:rsidRPr="004635E5">
        <w:rPr>
          <w:rFonts w:cs="Times New Roman"/>
        </w:rPr>
        <w:t>and presentation</w:t>
      </w:r>
      <w:r w:rsidRPr="004635E5">
        <w:rPr>
          <w:rFonts w:cs="Times New Roman"/>
        </w:rPr>
        <w:t xml:space="preserve">, </w:t>
      </w:r>
      <w:r w:rsidR="002B731B" w:rsidRPr="004635E5">
        <w:rPr>
          <w:rFonts w:cs="Times New Roman"/>
        </w:rPr>
        <w:t xml:space="preserve">and </w:t>
      </w:r>
      <w:r w:rsidRPr="004635E5">
        <w:rPr>
          <w:rFonts w:cs="Times New Roman"/>
        </w:rPr>
        <w:t>not</w:t>
      </w:r>
      <w:r w:rsidR="002B731B" w:rsidRPr="004635E5">
        <w:rPr>
          <w:rFonts w:cs="Times New Roman"/>
        </w:rPr>
        <w:t>ed</w:t>
      </w:r>
      <w:r w:rsidR="005E6919" w:rsidRPr="004635E5">
        <w:rPr>
          <w:rFonts w:cs="Times New Roman"/>
        </w:rPr>
        <w:t xml:space="preserve"> </w:t>
      </w:r>
      <w:r w:rsidRPr="004635E5">
        <w:rPr>
          <w:rFonts w:cs="Times New Roman"/>
        </w:rPr>
        <w:t xml:space="preserve">the </w:t>
      </w:r>
      <w:r w:rsidR="005E6919" w:rsidRPr="004635E5">
        <w:rPr>
          <w:rFonts w:cs="Times New Roman"/>
        </w:rPr>
        <w:t xml:space="preserve">8% decrease in tuna catches in the </w:t>
      </w:r>
      <w:r w:rsidRPr="004635E5">
        <w:rPr>
          <w:rFonts w:cs="Times New Roman"/>
        </w:rPr>
        <w:t>EPO</w:t>
      </w:r>
      <w:r w:rsidR="002B731B" w:rsidRPr="004635E5">
        <w:rPr>
          <w:rFonts w:cs="Times New Roman"/>
        </w:rPr>
        <w:t xml:space="preserve">. With the </w:t>
      </w:r>
      <w:r w:rsidR="005E6919" w:rsidRPr="004635E5">
        <w:rPr>
          <w:rFonts w:cs="Times New Roman"/>
        </w:rPr>
        <w:t>understand</w:t>
      </w:r>
      <w:r w:rsidR="002B731B" w:rsidRPr="004635E5">
        <w:rPr>
          <w:rFonts w:cs="Times New Roman"/>
        </w:rPr>
        <w:t>ing</w:t>
      </w:r>
      <w:r w:rsidR="005E6919" w:rsidRPr="004635E5">
        <w:rPr>
          <w:rFonts w:cs="Times New Roman"/>
        </w:rPr>
        <w:t xml:space="preserve"> figures presented were preliminary</w:t>
      </w:r>
      <w:r w:rsidR="002B731B" w:rsidRPr="004635E5">
        <w:rPr>
          <w:rFonts w:cs="Times New Roman"/>
        </w:rPr>
        <w:t>,</w:t>
      </w:r>
      <w:r w:rsidR="005E6919" w:rsidRPr="004635E5">
        <w:rPr>
          <w:rFonts w:cs="Times New Roman"/>
        </w:rPr>
        <w:t xml:space="preserve"> and that additional catch information would become available through the year, </w:t>
      </w:r>
      <w:r w:rsidR="002B731B" w:rsidRPr="004635E5">
        <w:rPr>
          <w:rFonts w:cs="Times New Roman"/>
        </w:rPr>
        <w:t xml:space="preserve">FFA members sought </w:t>
      </w:r>
      <w:r w:rsidR="005E6919" w:rsidRPr="004635E5">
        <w:rPr>
          <w:rFonts w:cs="Times New Roman"/>
        </w:rPr>
        <w:t>clarification from the IATTC representative on possible contributing factors towards this decrease.</w:t>
      </w:r>
      <w:r w:rsidR="002B731B" w:rsidRPr="004635E5">
        <w:rPr>
          <w:rFonts w:cs="Times New Roman"/>
        </w:rPr>
        <w:t xml:space="preserve"> </w:t>
      </w:r>
      <w:r w:rsidR="005E6919" w:rsidRPr="004635E5">
        <w:rPr>
          <w:rFonts w:cs="Times New Roman"/>
        </w:rPr>
        <w:t>FFA members note</w:t>
      </w:r>
      <w:r w:rsidR="002B731B" w:rsidRPr="004635E5">
        <w:rPr>
          <w:rFonts w:cs="Times New Roman"/>
        </w:rPr>
        <w:t>d</w:t>
      </w:r>
      <w:r w:rsidR="005E6919" w:rsidRPr="004635E5">
        <w:rPr>
          <w:rFonts w:cs="Times New Roman"/>
        </w:rPr>
        <w:t xml:space="preserve"> the outcomes of the recent stock assessments for both yellowfin and bigeye </w:t>
      </w:r>
      <w:r w:rsidR="00AF5C8D">
        <w:rPr>
          <w:rFonts w:cs="Times New Roman" w:hint="eastAsia"/>
          <w:lang w:eastAsia="ko-KR"/>
        </w:rPr>
        <w:t xml:space="preserve">tuna </w:t>
      </w:r>
      <w:r w:rsidR="005E6919" w:rsidRPr="004635E5">
        <w:rPr>
          <w:rFonts w:cs="Times New Roman"/>
        </w:rPr>
        <w:t>in the EPO</w:t>
      </w:r>
      <w:r w:rsidR="002B731B" w:rsidRPr="004635E5">
        <w:rPr>
          <w:rFonts w:cs="Times New Roman"/>
        </w:rPr>
        <w:t xml:space="preserve">, and </w:t>
      </w:r>
      <w:r w:rsidR="005E6919" w:rsidRPr="004635E5">
        <w:rPr>
          <w:rFonts w:cs="Times New Roman"/>
        </w:rPr>
        <w:t xml:space="preserve">that for both species the sensitivity runs at a </w:t>
      </w:r>
      <w:r w:rsidR="00656FD8" w:rsidRPr="004635E5">
        <w:rPr>
          <w:rFonts w:cs="Times New Roman"/>
          <w:lang w:val="en-US"/>
        </w:rPr>
        <w:t>stock-recruitment relationship (</w:t>
      </w:r>
      <w:r w:rsidR="005E6919" w:rsidRPr="004635E5">
        <w:rPr>
          <w:rFonts w:cs="Times New Roman"/>
        </w:rPr>
        <w:t>SRR</w:t>
      </w:r>
      <w:r w:rsidR="00656FD8" w:rsidRPr="004635E5">
        <w:rPr>
          <w:rFonts w:cs="Times New Roman"/>
        </w:rPr>
        <w:t>)</w:t>
      </w:r>
      <w:r w:rsidR="005E6919" w:rsidRPr="004635E5">
        <w:rPr>
          <w:rFonts w:cs="Times New Roman"/>
        </w:rPr>
        <w:t xml:space="preserve"> steepness value of 0.75</w:t>
      </w:r>
      <w:r w:rsidR="002B731B" w:rsidRPr="004635E5">
        <w:rPr>
          <w:rFonts w:cs="Times New Roman"/>
        </w:rPr>
        <w:t>,</w:t>
      </w:r>
      <w:r w:rsidR="005E6919" w:rsidRPr="004635E5">
        <w:rPr>
          <w:rFonts w:cs="Times New Roman"/>
        </w:rPr>
        <w:t xml:space="preserve"> </w:t>
      </w:r>
      <w:r w:rsidR="00C03773" w:rsidRPr="004635E5">
        <w:rPr>
          <w:rFonts w:cs="Times New Roman"/>
        </w:rPr>
        <w:t xml:space="preserve">and </w:t>
      </w:r>
      <w:r w:rsidR="005E6919" w:rsidRPr="004635E5">
        <w:rPr>
          <w:rFonts w:cs="Times New Roman"/>
        </w:rPr>
        <w:t xml:space="preserve">estimate the spawning biomass ratio to be below MSY, and that projections to 2028 show a downward trend for both stocks. </w:t>
      </w:r>
      <w:r w:rsidR="002B731B" w:rsidRPr="004635E5">
        <w:rPr>
          <w:rFonts w:cs="Times New Roman"/>
        </w:rPr>
        <w:t xml:space="preserve">They sought </w:t>
      </w:r>
      <w:r w:rsidR="005E6919" w:rsidRPr="004635E5">
        <w:rPr>
          <w:rFonts w:cs="Times New Roman"/>
        </w:rPr>
        <w:t>clarification on the value of the SRR steepness used in both assessments</w:t>
      </w:r>
      <w:r w:rsidR="002B731B" w:rsidRPr="004635E5">
        <w:rPr>
          <w:rFonts w:cs="Times New Roman"/>
        </w:rPr>
        <w:t xml:space="preserve">, and </w:t>
      </w:r>
      <w:r w:rsidR="005E6919" w:rsidRPr="004635E5">
        <w:rPr>
          <w:rFonts w:cs="Times New Roman"/>
        </w:rPr>
        <w:t>note</w:t>
      </w:r>
      <w:r w:rsidR="002B731B" w:rsidRPr="004635E5">
        <w:rPr>
          <w:rFonts w:cs="Times New Roman"/>
        </w:rPr>
        <w:t>d</w:t>
      </w:r>
      <w:r w:rsidR="005E6919" w:rsidRPr="004635E5">
        <w:rPr>
          <w:rFonts w:cs="Times New Roman"/>
        </w:rPr>
        <w:t xml:space="preserve"> the novel approach used for ecological risk assessment and spatial segregation for yellowfin and bigeye.</w:t>
      </w:r>
      <w:r w:rsidR="00383822" w:rsidRPr="004635E5">
        <w:rPr>
          <w:rFonts w:cs="Times New Roman"/>
        </w:rPr>
        <w:t xml:space="preserve"> </w:t>
      </w:r>
      <w:r w:rsidR="002B731B" w:rsidRPr="004635E5">
        <w:rPr>
          <w:rFonts w:cs="Times New Roman"/>
          <w:lang w:val="en-AU"/>
        </w:rPr>
        <w:t xml:space="preserve">K. Schaeffer clarified that the </w:t>
      </w:r>
      <w:r w:rsidR="003330C3" w:rsidRPr="004635E5">
        <w:rPr>
          <w:rFonts w:cs="Times New Roman"/>
          <w:lang w:val="en-AU"/>
        </w:rPr>
        <w:t>decrease in to</w:t>
      </w:r>
      <w:r w:rsidR="002B731B" w:rsidRPr="004635E5">
        <w:rPr>
          <w:rFonts w:cs="Times New Roman"/>
          <w:lang w:val="en-AU"/>
        </w:rPr>
        <w:t>t</w:t>
      </w:r>
      <w:r w:rsidR="003330C3" w:rsidRPr="004635E5">
        <w:rPr>
          <w:rFonts w:cs="Times New Roman"/>
          <w:lang w:val="en-AU"/>
        </w:rPr>
        <w:t xml:space="preserve">al EPO </w:t>
      </w:r>
      <w:r w:rsidR="002B731B" w:rsidRPr="004635E5">
        <w:rPr>
          <w:rFonts w:cs="Times New Roman"/>
          <w:lang w:val="en-AU"/>
        </w:rPr>
        <w:t xml:space="preserve">catch </w:t>
      </w:r>
      <w:r w:rsidR="003330C3" w:rsidRPr="004635E5">
        <w:rPr>
          <w:rFonts w:cs="Times New Roman"/>
          <w:lang w:val="en-AU"/>
        </w:rPr>
        <w:t xml:space="preserve">in 2017 was due to lower </w:t>
      </w:r>
      <w:r w:rsidR="00656FD8" w:rsidRPr="004635E5">
        <w:rPr>
          <w:rFonts w:cs="Times New Roman"/>
          <w:lang w:val="en-AU"/>
        </w:rPr>
        <w:t>yellowfin</w:t>
      </w:r>
      <w:r w:rsidR="003330C3" w:rsidRPr="004635E5">
        <w:rPr>
          <w:rFonts w:cs="Times New Roman"/>
          <w:lang w:val="en-AU"/>
        </w:rPr>
        <w:t xml:space="preserve"> and </w:t>
      </w:r>
      <w:r w:rsidR="00656FD8" w:rsidRPr="004635E5">
        <w:rPr>
          <w:rFonts w:cs="Times New Roman"/>
          <w:lang w:val="en-AU"/>
        </w:rPr>
        <w:t>skipjack</w:t>
      </w:r>
      <w:r w:rsidR="002B731B" w:rsidRPr="004635E5">
        <w:rPr>
          <w:rFonts w:cs="Times New Roman"/>
          <w:lang w:val="en-AU"/>
        </w:rPr>
        <w:t xml:space="preserve"> catch</w:t>
      </w:r>
      <w:r w:rsidR="003330C3" w:rsidRPr="004635E5">
        <w:rPr>
          <w:rFonts w:cs="Times New Roman"/>
          <w:lang w:val="en-AU"/>
        </w:rPr>
        <w:t>, which result</w:t>
      </w:r>
      <w:r w:rsidR="002B731B" w:rsidRPr="004635E5">
        <w:rPr>
          <w:rFonts w:cs="Times New Roman"/>
          <w:lang w:val="en-AU"/>
        </w:rPr>
        <w:t>ed</w:t>
      </w:r>
      <w:r w:rsidR="003330C3" w:rsidRPr="004635E5">
        <w:rPr>
          <w:rFonts w:cs="Times New Roman"/>
          <w:lang w:val="en-AU"/>
        </w:rPr>
        <w:t xml:space="preserve"> </w:t>
      </w:r>
      <w:r w:rsidR="002B731B" w:rsidRPr="004635E5">
        <w:rPr>
          <w:rFonts w:cs="Times New Roman"/>
          <w:lang w:val="en-AU"/>
        </w:rPr>
        <w:t xml:space="preserve">from </w:t>
      </w:r>
      <w:r w:rsidR="003330C3" w:rsidRPr="004635E5">
        <w:rPr>
          <w:rFonts w:cs="Times New Roman"/>
          <w:lang w:val="en-AU"/>
        </w:rPr>
        <w:t xml:space="preserve">lower </w:t>
      </w:r>
      <w:r w:rsidR="002B731B" w:rsidRPr="004635E5">
        <w:rPr>
          <w:rFonts w:cs="Times New Roman"/>
          <w:lang w:val="en-AU"/>
        </w:rPr>
        <w:t xml:space="preserve">numbers of </w:t>
      </w:r>
      <w:r w:rsidR="00656FD8" w:rsidRPr="004635E5">
        <w:rPr>
          <w:rFonts w:cs="Times New Roman"/>
          <w:lang w:val="en-AU"/>
        </w:rPr>
        <w:t>skipjack</w:t>
      </w:r>
      <w:r w:rsidR="003330C3" w:rsidRPr="004635E5">
        <w:rPr>
          <w:rFonts w:cs="Times New Roman"/>
          <w:lang w:val="en-AU"/>
        </w:rPr>
        <w:t xml:space="preserve"> in agg</w:t>
      </w:r>
      <w:r w:rsidR="002B731B" w:rsidRPr="004635E5">
        <w:rPr>
          <w:rFonts w:cs="Times New Roman"/>
          <w:lang w:val="en-AU"/>
        </w:rPr>
        <w:t xml:space="preserve">regation </w:t>
      </w:r>
      <w:r w:rsidR="003330C3" w:rsidRPr="004635E5">
        <w:rPr>
          <w:rFonts w:cs="Times New Roman"/>
          <w:lang w:val="en-AU"/>
        </w:rPr>
        <w:t>with floating obj</w:t>
      </w:r>
      <w:r w:rsidR="002B731B" w:rsidRPr="004635E5">
        <w:rPr>
          <w:rFonts w:cs="Times New Roman"/>
          <w:lang w:val="en-AU"/>
        </w:rPr>
        <w:t>ect</w:t>
      </w:r>
      <w:r w:rsidR="003330C3" w:rsidRPr="004635E5">
        <w:rPr>
          <w:rFonts w:cs="Times New Roman"/>
          <w:lang w:val="en-AU"/>
        </w:rPr>
        <w:t xml:space="preserve">s, and catch </w:t>
      </w:r>
      <w:r w:rsidR="002B731B" w:rsidRPr="004635E5">
        <w:rPr>
          <w:rFonts w:cs="Times New Roman"/>
          <w:lang w:val="en-AU"/>
        </w:rPr>
        <w:t xml:space="preserve">of </w:t>
      </w:r>
      <w:r w:rsidR="00656FD8" w:rsidRPr="004635E5">
        <w:rPr>
          <w:rFonts w:cs="Times New Roman"/>
          <w:lang w:val="en-AU"/>
        </w:rPr>
        <w:t>yellowfin</w:t>
      </w:r>
      <w:r w:rsidR="002B731B" w:rsidRPr="004635E5">
        <w:rPr>
          <w:rFonts w:cs="Times New Roman"/>
          <w:lang w:val="en-AU"/>
        </w:rPr>
        <w:t xml:space="preserve"> </w:t>
      </w:r>
      <w:r w:rsidR="003330C3" w:rsidRPr="004635E5">
        <w:rPr>
          <w:rFonts w:cs="Times New Roman"/>
          <w:lang w:val="en-AU"/>
        </w:rPr>
        <w:t>in assoc</w:t>
      </w:r>
      <w:r w:rsidR="002B731B" w:rsidRPr="004635E5">
        <w:rPr>
          <w:rFonts w:cs="Times New Roman"/>
          <w:lang w:val="en-AU"/>
        </w:rPr>
        <w:t>iation with dol</w:t>
      </w:r>
      <w:r w:rsidR="003330C3" w:rsidRPr="004635E5">
        <w:rPr>
          <w:rFonts w:cs="Times New Roman"/>
          <w:lang w:val="en-AU"/>
        </w:rPr>
        <w:t>phins</w:t>
      </w:r>
      <w:r w:rsidR="002B731B" w:rsidRPr="004635E5">
        <w:rPr>
          <w:rFonts w:cs="Times New Roman"/>
          <w:lang w:val="en-AU"/>
        </w:rPr>
        <w:t>. He observed that</w:t>
      </w:r>
      <w:r w:rsidR="003330C3" w:rsidRPr="004635E5">
        <w:rPr>
          <w:rFonts w:cs="Times New Roman"/>
          <w:lang w:val="en-AU"/>
        </w:rPr>
        <w:t xml:space="preserve"> this </w:t>
      </w:r>
      <w:r w:rsidR="002B731B" w:rsidRPr="004635E5">
        <w:rPr>
          <w:rFonts w:cs="Times New Roman"/>
          <w:lang w:val="en-AU"/>
        </w:rPr>
        <w:t>probably reflected</w:t>
      </w:r>
      <w:r w:rsidR="003330C3" w:rsidRPr="004635E5">
        <w:rPr>
          <w:rFonts w:cs="Times New Roman"/>
          <w:lang w:val="en-AU"/>
        </w:rPr>
        <w:t xml:space="preserve"> </w:t>
      </w:r>
      <w:r w:rsidR="002B731B" w:rsidRPr="004635E5">
        <w:rPr>
          <w:rFonts w:cs="Times New Roman"/>
          <w:lang w:val="en-AU"/>
        </w:rPr>
        <w:t xml:space="preserve">a </w:t>
      </w:r>
      <w:r w:rsidR="003330C3" w:rsidRPr="004635E5">
        <w:rPr>
          <w:rFonts w:cs="Times New Roman"/>
          <w:lang w:val="en-AU"/>
        </w:rPr>
        <w:t xml:space="preserve">change in </w:t>
      </w:r>
      <w:r w:rsidR="002B731B" w:rsidRPr="004635E5">
        <w:rPr>
          <w:rFonts w:cs="Times New Roman"/>
          <w:lang w:val="en-AU"/>
        </w:rPr>
        <w:t xml:space="preserve">the </w:t>
      </w:r>
      <w:r w:rsidR="003330C3" w:rsidRPr="004635E5">
        <w:rPr>
          <w:rFonts w:cs="Times New Roman"/>
          <w:lang w:val="en-AU"/>
        </w:rPr>
        <w:t>size comp</w:t>
      </w:r>
      <w:r w:rsidR="002B731B" w:rsidRPr="004635E5">
        <w:rPr>
          <w:rFonts w:cs="Times New Roman"/>
          <w:lang w:val="en-AU"/>
        </w:rPr>
        <w:t xml:space="preserve">osition </w:t>
      </w:r>
      <w:r w:rsidR="003330C3" w:rsidRPr="004635E5">
        <w:rPr>
          <w:rFonts w:cs="Times New Roman"/>
          <w:lang w:val="en-AU"/>
        </w:rPr>
        <w:t xml:space="preserve">of </w:t>
      </w:r>
      <w:r w:rsidR="00656FD8" w:rsidRPr="004635E5">
        <w:rPr>
          <w:rFonts w:cs="Times New Roman"/>
          <w:lang w:val="en-AU"/>
        </w:rPr>
        <w:t>yellowfin</w:t>
      </w:r>
      <w:r w:rsidR="002B674D" w:rsidRPr="004635E5">
        <w:rPr>
          <w:rFonts w:cs="Times New Roman"/>
          <w:lang w:val="en-AU"/>
        </w:rPr>
        <w:t xml:space="preserve"> in the EPO</w:t>
      </w:r>
      <w:r w:rsidR="003330C3" w:rsidRPr="004635E5">
        <w:rPr>
          <w:rFonts w:cs="Times New Roman"/>
          <w:lang w:val="en-AU"/>
        </w:rPr>
        <w:t xml:space="preserve">, </w:t>
      </w:r>
      <w:r w:rsidR="002B731B" w:rsidRPr="004635E5">
        <w:rPr>
          <w:rFonts w:cs="Times New Roman"/>
          <w:lang w:val="en-AU"/>
        </w:rPr>
        <w:t xml:space="preserve">as </w:t>
      </w:r>
      <w:r w:rsidR="003330C3" w:rsidRPr="004635E5">
        <w:rPr>
          <w:rFonts w:cs="Times New Roman"/>
          <w:lang w:val="en-AU"/>
        </w:rPr>
        <w:t>not many assoc</w:t>
      </w:r>
      <w:r w:rsidR="002B731B" w:rsidRPr="004635E5">
        <w:rPr>
          <w:rFonts w:cs="Times New Roman"/>
          <w:lang w:val="en-AU"/>
        </w:rPr>
        <w:t>iate</w:t>
      </w:r>
      <w:r w:rsidR="003330C3" w:rsidRPr="004635E5">
        <w:rPr>
          <w:rFonts w:cs="Times New Roman"/>
          <w:lang w:val="en-AU"/>
        </w:rPr>
        <w:t xml:space="preserve"> with dolphins until </w:t>
      </w:r>
      <w:r w:rsidR="00597AF1" w:rsidRPr="004635E5">
        <w:rPr>
          <w:rFonts w:cs="Times New Roman"/>
          <w:lang w:val="en-AU"/>
        </w:rPr>
        <w:t xml:space="preserve">they are </w:t>
      </w:r>
      <w:r w:rsidR="003330C3" w:rsidRPr="004635E5">
        <w:rPr>
          <w:rFonts w:cs="Times New Roman"/>
          <w:lang w:val="en-AU"/>
        </w:rPr>
        <w:t xml:space="preserve">larger than </w:t>
      </w:r>
      <w:r w:rsidR="002B674D" w:rsidRPr="004635E5">
        <w:rPr>
          <w:rFonts w:cs="Times New Roman"/>
          <w:lang w:val="en-AU"/>
        </w:rPr>
        <w:t xml:space="preserve">about </w:t>
      </w:r>
      <w:r w:rsidR="003330C3" w:rsidRPr="004635E5">
        <w:rPr>
          <w:rFonts w:cs="Times New Roman"/>
          <w:lang w:val="en-AU"/>
        </w:rPr>
        <w:t xml:space="preserve">90-100 cm in length. </w:t>
      </w:r>
      <w:r w:rsidR="002B674D" w:rsidRPr="004635E5">
        <w:rPr>
          <w:rFonts w:cs="Times New Roman"/>
          <w:lang w:val="en-AU"/>
        </w:rPr>
        <w:t xml:space="preserve">Regarding the </w:t>
      </w:r>
      <w:r w:rsidR="003330C3" w:rsidRPr="004635E5">
        <w:rPr>
          <w:rFonts w:cs="Times New Roman"/>
          <w:lang w:val="en-AU"/>
        </w:rPr>
        <w:t xml:space="preserve">steepness parameter </w:t>
      </w:r>
      <w:r w:rsidR="002B674D" w:rsidRPr="004635E5">
        <w:rPr>
          <w:rFonts w:cs="Times New Roman"/>
          <w:lang w:val="en-AU"/>
        </w:rPr>
        <w:t xml:space="preserve">of 1 </w:t>
      </w:r>
      <w:r w:rsidR="003330C3" w:rsidRPr="004635E5">
        <w:rPr>
          <w:rFonts w:cs="Times New Roman"/>
          <w:lang w:val="en-AU"/>
        </w:rPr>
        <w:t xml:space="preserve">used for </w:t>
      </w:r>
      <w:r w:rsidR="00597AF1" w:rsidRPr="004635E5">
        <w:rPr>
          <w:rFonts w:cs="Times New Roman"/>
          <w:lang w:val="en-AU"/>
        </w:rPr>
        <w:t xml:space="preserve">the </w:t>
      </w:r>
      <w:r w:rsidR="003330C3" w:rsidRPr="004635E5">
        <w:rPr>
          <w:rFonts w:cs="Times New Roman"/>
          <w:lang w:val="en-AU"/>
        </w:rPr>
        <w:t>base case at IITTC</w:t>
      </w:r>
      <w:r w:rsidR="002B674D" w:rsidRPr="004635E5">
        <w:rPr>
          <w:rFonts w:cs="Times New Roman"/>
          <w:lang w:val="en-AU"/>
        </w:rPr>
        <w:t xml:space="preserve">, IATTC </w:t>
      </w:r>
      <w:r w:rsidR="003330C3" w:rsidRPr="004635E5">
        <w:rPr>
          <w:rFonts w:cs="Times New Roman"/>
          <w:lang w:val="en-AU"/>
        </w:rPr>
        <w:t>provides a sensitivity anal</w:t>
      </w:r>
      <w:r w:rsidR="002B674D" w:rsidRPr="004635E5">
        <w:rPr>
          <w:rFonts w:cs="Times New Roman"/>
          <w:lang w:val="en-AU"/>
        </w:rPr>
        <w:t>ysis</w:t>
      </w:r>
      <w:r w:rsidR="003330C3" w:rsidRPr="004635E5">
        <w:rPr>
          <w:rFonts w:cs="Times New Roman"/>
          <w:lang w:val="en-AU"/>
        </w:rPr>
        <w:t xml:space="preserve"> </w:t>
      </w:r>
      <w:r w:rsidR="002B674D" w:rsidRPr="004635E5">
        <w:rPr>
          <w:rFonts w:cs="Times New Roman"/>
          <w:lang w:val="en-AU"/>
        </w:rPr>
        <w:t xml:space="preserve">with regards to the assessments done in Stock Synthesis, </w:t>
      </w:r>
      <w:r w:rsidR="003330C3" w:rsidRPr="004635E5">
        <w:rPr>
          <w:rFonts w:cs="Times New Roman"/>
          <w:lang w:val="en-AU"/>
        </w:rPr>
        <w:t xml:space="preserve">but </w:t>
      </w:r>
      <w:r w:rsidR="002B674D" w:rsidRPr="004635E5">
        <w:rPr>
          <w:rFonts w:cs="Times New Roman"/>
          <w:lang w:val="en-AU"/>
        </w:rPr>
        <w:t>the base</w:t>
      </w:r>
      <w:r w:rsidR="003330C3" w:rsidRPr="004635E5">
        <w:rPr>
          <w:rFonts w:cs="Times New Roman"/>
          <w:lang w:val="en-AU"/>
        </w:rPr>
        <w:t xml:space="preserve"> case value of 1 is </w:t>
      </w:r>
      <w:r w:rsidR="002B674D" w:rsidRPr="004635E5">
        <w:rPr>
          <w:rFonts w:cs="Times New Roman"/>
          <w:lang w:val="en-AU"/>
        </w:rPr>
        <w:t xml:space="preserve">chosen </w:t>
      </w:r>
      <w:r w:rsidR="003330C3" w:rsidRPr="004635E5">
        <w:rPr>
          <w:rFonts w:cs="Times New Roman"/>
          <w:lang w:val="en-AU"/>
        </w:rPr>
        <w:t xml:space="preserve">in </w:t>
      </w:r>
      <w:r w:rsidR="002B674D" w:rsidRPr="004635E5">
        <w:rPr>
          <w:rFonts w:cs="Times New Roman"/>
          <w:lang w:val="en-AU"/>
        </w:rPr>
        <w:t xml:space="preserve">light of empirical data indicating there is a stock-recruitment relationship. </w:t>
      </w:r>
    </w:p>
    <w:p w14:paraId="2310B318" w14:textId="77777777" w:rsidR="002B674D" w:rsidRPr="004635E5" w:rsidRDefault="002B674D" w:rsidP="006633A8">
      <w:pPr>
        <w:pStyle w:val="WCPFC"/>
        <w:numPr>
          <w:ilvl w:val="0"/>
          <w:numId w:val="0"/>
        </w:numPr>
        <w:adjustRightInd w:val="0"/>
        <w:spacing w:after="0"/>
        <w:rPr>
          <w:rFonts w:cs="Times New Roman"/>
          <w:lang w:val="en-AU"/>
        </w:rPr>
      </w:pPr>
    </w:p>
    <w:p w14:paraId="52B353B8" w14:textId="77777777" w:rsidR="00166D0D" w:rsidRPr="004635E5" w:rsidRDefault="00597AF1" w:rsidP="006633A8">
      <w:pPr>
        <w:pStyle w:val="WCPFC"/>
        <w:adjustRightInd w:val="0"/>
        <w:spacing w:after="0"/>
        <w:ind w:left="0" w:firstLine="0"/>
        <w:rPr>
          <w:rFonts w:cs="Times New Roman"/>
          <w:lang w:val="en-AU"/>
        </w:rPr>
      </w:pPr>
      <w:r w:rsidRPr="004635E5">
        <w:rPr>
          <w:rFonts w:cs="Times New Roman"/>
          <w:lang w:val="en-AU"/>
        </w:rPr>
        <w:t xml:space="preserve">The </w:t>
      </w:r>
      <w:r w:rsidR="003330C3" w:rsidRPr="004635E5">
        <w:rPr>
          <w:rFonts w:cs="Times New Roman"/>
          <w:lang w:val="en-AU"/>
        </w:rPr>
        <w:t>EU</w:t>
      </w:r>
      <w:r w:rsidR="00BF65D2" w:rsidRPr="004635E5">
        <w:rPr>
          <w:rFonts w:cs="Times New Roman"/>
          <w:lang w:val="en-AU"/>
        </w:rPr>
        <w:t xml:space="preserve"> stated that, </w:t>
      </w:r>
      <w:r w:rsidR="003330C3" w:rsidRPr="004635E5">
        <w:rPr>
          <w:rFonts w:cs="Times New Roman"/>
          <w:lang w:val="en-AU"/>
        </w:rPr>
        <w:t xml:space="preserve">given </w:t>
      </w:r>
      <w:r w:rsidR="00BF65D2" w:rsidRPr="004635E5">
        <w:rPr>
          <w:rFonts w:cs="Times New Roman"/>
          <w:lang w:val="en-AU"/>
        </w:rPr>
        <w:t xml:space="preserve">the </w:t>
      </w:r>
      <w:r w:rsidR="003330C3" w:rsidRPr="004635E5">
        <w:rPr>
          <w:rFonts w:cs="Times New Roman"/>
          <w:lang w:val="en-AU"/>
        </w:rPr>
        <w:t xml:space="preserve">results of </w:t>
      </w:r>
      <w:r w:rsidR="00BF65D2" w:rsidRPr="004635E5">
        <w:rPr>
          <w:rFonts w:cs="Times New Roman"/>
          <w:lang w:val="en-AU"/>
        </w:rPr>
        <w:t xml:space="preserve">the </w:t>
      </w:r>
      <w:r w:rsidR="003330C3" w:rsidRPr="004635E5">
        <w:rPr>
          <w:rFonts w:cs="Times New Roman"/>
          <w:lang w:val="en-AU"/>
        </w:rPr>
        <w:t xml:space="preserve">last </w:t>
      </w:r>
      <w:r w:rsidR="002D5D17" w:rsidRPr="004635E5">
        <w:rPr>
          <w:rFonts w:cs="Times New Roman"/>
          <w:lang w:val="en-AU"/>
        </w:rPr>
        <w:t>bigeye tuna</w:t>
      </w:r>
      <w:r w:rsidR="003330C3" w:rsidRPr="004635E5">
        <w:rPr>
          <w:rFonts w:cs="Times New Roman"/>
          <w:lang w:val="en-AU"/>
        </w:rPr>
        <w:t xml:space="preserve"> assessment, </w:t>
      </w:r>
      <w:r w:rsidR="00BF65D2" w:rsidRPr="004635E5">
        <w:rPr>
          <w:rFonts w:cs="Times New Roman"/>
          <w:lang w:val="en-AU"/>
        </w:rPr>
        <w:t xml:space="preserve">a </w:t>
      </w:r>
      <w:r w:rsidR="003330C3" w:rsidRPr="004635E5">
        <w:rPr>
          <w:rFonts w:cs="Times New Roman"/>
          <w:lang w:val="en-AU"/>
        </w:rPr>
        <w:t xml:space="preserve">precautionary approach would </w:t>
      </w:r>
      <w:r w:rsidR="00BF65D2" w:rsidRPr="004635E5">
        <w:rPr>
          <w:rFonts w:cs="Times New Roman"/>
          <w:lang w:val="en-AU"/>
        </w:rPr>
        <w:t>involve decreasing</w:t>
      </w:r>
      <w:r w:rsidR="003330C3" w:rsidRPr="004635E5">
        <w:rPr>
          <w:rFonts w:cs="Times New Roman"/>
          <w:lang w:val="en-AU"/>
        </w:rPr>
        <w:t xml:space="preserve"> </w:t>
      </w:r>
      <w:r w:rsidR="00BF65D2" w:rsidRPr="004635E5">
        <w:rPr>
          <w:rFonts w:cs="Times New Roman"/>
          <w:lang w:val="en-AU"/>
        </w:rPr>
        <w:t xml:space="preserve">the number </w:t>
      </w:r>
      <w:r w:rsidR="003330C3" w:rsidRPr="004635E5">
        <w:rPr>
          <w:rFonts w:cs="Times New Roman"/>
          <w:lang w:val="en-AU"/>
        </w:rPr>
        <w:t xml:space="preserve">of sets. For many years </w:t>
      </w:r>
      <w:r w:rsidR="00BF65D2" w:rsidRPr="004635E5">
        <w:rPr>
          <w:rFonts w:cs="Times New Roman"/>
          <w:lang w:val="en-AU"/>
        </w:rPr>
        <w:t>the fish</w:t>
      </w:r>
      <w:r w:rsidR="003330C3" w:rsidRPr="004635E5">
        <w:rPr>
          <w:rFonts w:cs="Times New Roman"/>
          <w:lang w:val="en-AU"/>
        </w:rPr>
        <w:t xml:space="preserve">ery </w:t>
      </w:r>
      <w:r w:rsidR="00BF65D2" w:rsidRPr="004635E5">
        <w:rPr>
          <w:rFonts w:cs="Times New Roman"/>
          <w:lang w:val="en-AU"/>
        </w:rPr>
        <w:t xml:space="preserve">was </w:t>
      </w:r>
      <w:r w:rsidR="003330C3" w:rsidRPr="004635E5">
        <w:rPr>
          <w:rFonts w:cs="Times New Roman"/>
          <w:lang w:val="en-AU"/>
        </w:rPr>
        <w:t xml:space="preserve">managed on </w:t>
      </w:r>
      <w:r w:rsidR="00BF65D2" w:rsidRPr="004635E5">
        <w:rPr>
          <w:rFonts w:cs="Times New Roman"/>
          <w:lang w:val="en-AU"/>
        </w:rPr>
        <w:t xml:space="preserve">the basis of the number of </w:t>
      </w:r>
      <w:r w:rsidR="003330C3" w:rsidRPr="004635E5">
        <w:rPr>
          <w:rFonts w:cs="Times New Roman"/>
          <w:lang w:val="en-AU"/>
        </w:rPr>
        <w:t xml:space="preserve">days of closure, </w:t>
      </w:r>
      <w:r w:rsidR="00BF65D2" w:rsidRPr="004635E5">
        <w:rPr>
          <w:rFonts w:cs="Times New Roman"/>
          <w:lang w:val="en-AU"/>
        </w:rPr>
        <w:t xml:space="preserve">and </w:t>
      </w:r>
      <w:r w:rsidR="007B5AD5" w:rsidRPr="004635E5">
        <w:rPr>
          <w:rFonts w:cs="Times New Roman"/>
          <w:lang w:val="en-AU"/>
        </w:rPr>
        <w:t>look</w:t>
      </w:r>
      <w:r w:rsidR="00BF65D2" w:rsidRPr="004635E5">
        <w:rPr>
          <w:rFonts w:cs="Times New Roman"/>
          <w:lang w:val="en-AU"/>
        </w:rPr>
        <w:t>ing</w:t>
      </w:r>
      <w:r w:rsidR="007B5AD5" w:rsidRPr="004635E5">
        <w:rPr>
          <w:rFonts w:cs="Times New Roman"/>
          <w:lang w:val="en-AU"/>
        </w:rPr>
        <w:t xml:space="preserve"> at indicators, </w:t>
      </w:r>
      <w:r w:rsidR="00BF65D2" w:rsidRPr="004635E5">
        <w:rPr>
          <w:rFonts w:cs="Times New Roman"/>
          <w:lang w:val="en-AU"/>
        </w:rPr>
        <w:t xml:space="preserve">there </w:t>
      </w:r>
      <w:r w:rsidR="00C03773" w:rsidRPr="004635E5">
        <w:rPr>
          <w:rFonts w:cs="Times New Roman"/>
          <w:lang w:val="en-AU"/>
        </w:rPr>
        <w:t xml:space="preserve">was </w:t>
      </w:r>
      <w:r w:rsidR="00BF65D2" w:rsidRPr="004635E5">
        <w:rPr>
          <w:rFonts w:cs="Times New Roman"/>
          <w:lang w:val="en-AU"/>
        </w:rPr>
        <w:t xml:space="preserve">no real </w:t>
      </w:r>
      <w:r w:rsidR="007B5AD5" w:rsidRPr="004635E5">
        <w:rPr>
          <w:rFonts w:cs="Times New Roman"/>
          <w:lang w:val="en-AU"/>
        </w:rPr>
        <w:t xml:space="preserve">link in </w:t>
      </w:r>
      <w:r w:rsidR="00BF65D2" w:rsidRPr="004635E5">
        <w:rPr>
          <w:rFonts w:cs="Times New Roman"/>
          <w:lang w:val="en-AU"/>
        </w:rPr>
        <w:t xml:space="preserve">the number </w:t>
      </w:r>
      <w:r w:rsidR="007B5AD5" w:rsidRPr="004635E5">
        <w:rPr>
          <w:rFonts w:cs="Times New Roman"/>
          <w:lang w:val="en-AU"/>
        </w:rPr>
        <w:t>of sets and cat</w:t>
      </w:r>
      <w:r w:rsidR="00BF65D2" w:rsidRPr="004635E5">
        <w:rPr>
          <w:rFonts w:cs="Times New Roman"/>
          <w:lang w:val="en-AU"/>
        </w:rPr>
        <w:t>c</w:t>
      </w:r>
      <w:r w:rsidR="007B5AD5" w:rsidRPr="004635E5">
        <w:rPr>
          <w:rFonts w:cs="Times New Roman"/>
          <w:lang w:val="en-AU"/>
        </w:rPr>
        <w:t>h. If a precautionary approach</w:t>
      </w:r>
      <w:r w:rsidR="00BF65D2" w:rsidRPr="004635E5">
        <w:rPr>
          <w:rFonts w:cs="Times New Roman"/>
          <w:lang w:val="en-AU"/>
        </w:rPr>
        <w:t xml:space="preserve"> is desired</w:t>
      </w:r>
      <w:r w:rsidR="007B5AD5" w:rsidRPr="004635E5">
        <w:rPr>
          <w:rFonts w:cs="Times New Roman"/>
          <w:lang w:val="en-AU"/>
        </w:rPr>
        <w:t>, and conservation</w:t>
      </w:r>
      <w:r w:rsidR="00BF65D2" w:rsidRPr="004635E5">
        <w:rPr>
          <w:rFonts w:cs="Times New Roman"/>
          <w:lang w:val="en-AU"/>
        </w:rPr>
        <w:t xml:space="preserve"> needed</w:t>
      </w:r>
      <w:r w:rsidR="007B5AD5" w:rsidRPr="004635E5">
        <w:rPr>
          <w:rFonts w:cs="Times New Roman"/>
          <w:lang w:val="en-AU"/>
        </w:rPr>
        <w:t xml:space="preserve">, why use closure if </w:t>
      </w:r>
      <w:r w:rsidR="00BF65D2" w:rsidRPr="004635E5">
        <w:rPr>
          <w:rFonts w:cs="Times New Roman"/>
          <w:lang w:val="en-AU"/>
        </w:rPr>
        <w:t xml:space="preserve">a </w:t>
      </w:r>
      <w:r w:rsidR="007B5AD5" w:rsidRPr="004635E5">
        <w:rPr>
          <w:rFonts w:cs="Times New Roman"/>
          <w:lang w:val="en-AU"/>
        </w:rPr>
        <w:t xml:space="preserve">conservation benefit is not assured? </w:t>
      </w:r>
      <w:r w:rsidR="00BF65D2" w:rsidRPr="004635E5">
        <w:rPr>
          <w:rFonts w:cs="Times New Roman"/>
          <w:lang w:val="en-AU"/>
        </w:rPr>
        <w:t xml:space="preserve">K. Schaeffer responded that </w:t>
      </w:r>
      <w:r w:rsidR="007B5AD5" w:rsidRPr="004635E5">
        <w:rPr>
          <w:rFonts w:cs="Times New Roman"/>
          <w:lang w:val="en-AU"/>
        </w:rPr>
        <w:t>closure days have been ineffective i</w:t>
      </w:r>
      <w:r w:rsidR="00BF65D2" w:rsidRPr="004635E5">
        <w:rPr>
          <w:rFonts w:cs="Times New Roman"/>
          <w:lang w:val="en-AU"/>
        </w:rPr>
        <w:t xml:space="preserve">n </w:t>
      </w:r>
      <w:r w:rsidR="007B5AD5" w:rsidRPr="004635E5">
        <w:rPr>
          <w:rFonts w:cs="Times New Roman"/>
          <w:lang w:val="en-AU"/>
        </w:rPr>
        <w:t>limiting fishing eff</w:t>
      </w:r>
      <w:r w:rsidR="00BF65D2" w:rsidRPr="004635E5">
        <w:rPr>
          <w:rFonts w:cs="Times New Roman"/>
          <w:lang w:val="en-AU"/>
        </w:rPr>
        <w:t>ort</w:t>
      </w:r>
      <w:r w:rsidR="007B5AD5" w:rsidRPr="004635E5">
        <w:rPr>
          <w:rFonts w:cs="Times New Roman"/>
          <w:lang w:val="en-AU"/>
        </w:rPr>
        <w:t xml:space="preserve"> and mortality on </w:t>
      </w:r>
      <w:r w:rsidR="002D5D17" w:rsidRPr="004635E5">
        <w:rPr>
          <w:rFonts w:cs="Times New Roman"/>
          <w:lang w:val="en-AU"/>
        </w:rPr>
        <w:t>bigeye tuna</w:t>
      </w:r>
      <w:r w:rsidR="007B5AD5" w:rsidRPr="004635E5">
        <w:rPr>
          <w:rFonts w:cs="Times New Roman"/>
          <w:lang w:val="en-AU"/>
        </w:rPr>
        <w:t xml:space="preserve">, </w:t>
      </w:r>
      <w:r w:rsidR="00BF65D2" w:rsidRPr="004635E5">
        <w:rPr>
          <w:rFonts w:cs="Times New Roman"/>
          <w:lang w:val="en-AU"/>
        </w:rPr>
        <w:t xml:space="preserve">which </w:t>
      </w:r>
      <w:r w:rsidR="007B5AD5" w:rsidRPr="004635E5">
        <w:rPr>
          <w:rFonts w:cs="Times New Roman"/>
          <w:lang w:val="en-AU"/>
        </w:rPr>
        <w:t xml:space="preserve">is evident </w:t>
      </w:r>
      <w:r w:rsidR="00BF65D2" w:rsidRPr="004635E5">
        <w:rPr>
          <w:rFonts w:cs="Times New Roman"/>
          <w:lang w:val="en-AU"/>
        </w:rPr>
        <w:t xml:space="preserve">from the </w:t>
      </w:r>
      <w:r w:rsidR="007B5AD5" w:rsidRPr="004635E5">
        <w:rPr>
          <w:rFonts w:cs="Times New Roman"/>
          <w:lang w:val="en-AU"/>
        </w:rPr>
        <w:t xml:space="preserve">increase in </w:t>
      </w:r>
      <w:r w:rsidR="00BF65D2" w:rsidRPr="004635E5">
        <w:rPr>
          <w:rFonts w:cs="Times New Roman"/>
          <w:lang w:val="en-AU"/>
        </w:rPr>
        <w:t xml:space="preserve">the number of </w:t>
      </w:r>
      <w:r w:rsidR="007B5AD5" w:rsidRPr="004635E5">
        <w:rPr>
          <w:rFonts w:cs="Times New Roman"/>
          <w:lang w:val="en-AU"/>
        </w:rPr>
        <w:t xml:space="preserve">sets and lower catch per days fishing. </w:t>
      </w:r>
      <w:r w:rsidR="00152C96" w:rsidRPr="004635E5">
        <w:rPr>
          <w:rFonts w:cs="Times New Roman"/>
          <w:lang w:val="en-AU"/>
        </w:rPr>
        <w:t>A</w:t>
      </w:r>
      <w:r w:rsidR="007B5AD5" w:rsidRPr="004635E5">
        <w:rPr>
          <w:rFonts w:cs="Times New Roman"/>
          <w:lang w:val="en-AU"/>
        </w:rPr>
        <w:t xml:space="preserve">lthough </w:t>
      </w:r>
      <w:r w:rsidR="00152C96" w:rsidRPr="004635E5">
        <w:rPr>
          <w:rFonts w:cs="Times New Roman"/>
          <w:lang w:val="en-AU"/>
        </w:rPr>
        <w:t xml:space="preserve">there is </w:t>
      </w:r>
      <w:r w:rsidR="007B5AD5" w:rsidRPr="004635E5">
        <w:rPr>
          <w:rFonts w:cs="Times New Roman"/>
          <w:lang w:val="en-AU"/>
        </w:rPr>
        <w:t>uncertainty with model</w:t>
      </w:r>
      <w:r w:rsidR="00152C96" w:rsidRPr="004635E5">
        <w:rPr>
          <w:rFonts w:cs="Times New Roman"/>
          <w:lang w:val="en-AU"/>
        </w:rPr>
        <w:t xml:space="preserve"> results</w:t>
      </w:r>
      <w:r w:rsidR="007B5AD5" w:rsidRPr="004635E5">
        <w:rPr>
          <w:rFonts w:cs="Times New Roman"/>
          <w:lang w:val="en-AU"/>
        </w:rPr>
        <w:t xml:space="preserve">, </w:t>
      </w:r>
      <w:r w:rsidR="00556F84" w:rsidRPr="004635E5">
        <w:rPr>
          <w:rFonts w:cs="Times New Roman"/>
          <w:lang w:val="en-AU"/>
        </w:rPr>
        <w:t>these</w:t>
      </w:r>
      <w:r w:rsidR="00C03773" w:rsidRPr="004635E5">
        <w:rPr>
          <w:rFonts w:cs="Times New Roman"/>
          <w:lang w:val="en-AU"/>
        </w:rPr>
        <w:t xml:space="preserve"> </w:t>
      </w:r>
      <w:r w:rsidR="00152C96" w:rsidRPr="004635E5">
        <w:rPr>
          <w:rFonts w:cs="Times New Roman"/>
          <w:lang w:val="en-AU"/>
        </w:rPr>
        <w:t xml:space="preserve">indicate that the number </w:t>
      </w:r>
      <w:r w:rsidR="007B5AD5" w:rsidRPr="004635E5">
        <w:rPr>
          <w:rFonts w:cs="Times New Roman"/>
          <w:lang w:val="en-AU"/>
        </w:rPr>
        <w:t xml:space="preserve">of closure days </w:t>
      </w:r>
      <w:r w:rsidR="00152C96" w:rsidRPr="004635E5">
        <w:rPr>
          <w:rFonts w:cs="Times New Roman"/>
          <w:lang w:val="en-AU"/>
        </w:rPr>
        <w:t xml:space="preserve">required </w:t>
      </w:r>
      <w:r w:rsidR="007B5AD5" w:rsidRPr="004635E5">
        <w:rPr>
          <w:rFonts w:cs="Times New Roman"/>
          <w:lang w:val="en-AU"/>
        </w:rPr>
        <w:t>would have been well above 100</w:t>
      </w:r>
      <w:r w:rsidR="00152C96" w:rsidRPr="004635E5">
        <w:rPr>
          <w:rFonts w:cs="Times New Roman"/>
          <w:lang w:val="en-AU"/>
        </w:rPr>
        <w:t xml:space="preserve">, which </w:t>
      </w:r>
      <w:r w:rsidR="007B5AD5" w:rsidRPr="004635E5">
        <w:rPr>
          <w:rFonts w:cs="Times New Roman"/>
          <w:lang w:val="en-AU"/>
        </w:rPr>
        <w:t xml:space="preserve">would be unreasonable to propose. </w:t>
      </w:r>
      <w:r w:rsidR="00152C96" w:rsidRPr="004635E5">
        <w:rPr>
          <w:rFonts w:cs="Times New Roman"/>
          <w:lang w:val="en-AU"/>
        </w:rPr>
        <w:t>T</w:t>
      </w:r>
      <w:r w:rsidR="007B5AD5" w:rsidRPr="004635E5">
        <w:rPr>
          <w:rFonts w:cs="Times New Roman"/>
          <w:lang w:val="en-AU"/>
        </w:rPr>
        <w:t xml:space="preserve">o be precautionary, </w:t>
      </w:r>
      <w:r w:rsidR="00152C96" w:rsidRPr="004635E5">
        <w:rPr>
          <w:rFonts w:cs="Times New Roman"/>
          <w:lang w:val="en-AU"/>
        </w:rPr>
        <w:t xml:space="preserve">management measures (in addition to the </w:t>
      </w:r>
      <w:r w:rsidR="007B5AD5" w:rsidRPr="004635E5">
        <w:rPr>
          <w:rFonts w:cs="Times New Roman"/>
          <w:lang w:val="en-AU"/>
        </w:rPr>
        <w:t>72 days of closure</w:t>
      </w:r>
      <w:r w:rsidR="00152C96" w:rsidRPr="004635E5">
        <w:rPr>
          <w:rFonts w:cs="Times New Roman"/>
          <w:lang w:val="en-AU"/>
        </w:rPr>
        <w:t>)</w:t>
      </w:r>
      <w:r w:rsidR="007B5AD5" w:rsidRPr="004635E5">
        <w:rPr>
          <w:rFonts w:cs="Times New Roman"/>
          <w:lang w:val="en-AU"/>
        </w:rPr>
        <w:t xml:space="preserve"> </w:t>
      </w:r>
      <w:r w:rsidR="00152C96" w:rsidRPr="004635E5">
        <w:rPr>
          <w:rFonts w:cs="Times New Roman"/>
          <w:lang w:val="en-AU"/>
        </w:rPr>
        <w:t>are needed to</w:t>
      </w:r>
      <w:r w:rsidR="007B5AD5" w:rsidRPr="004635E5">
        <w:rPr>
          <w:rFonts w:cs="Times New Roman"/>
          <w:lang w:val="en-AU"/>
        </w:rPr>
        <w:t xml:space="preserve"> </w:t>
      </w:r>
      <w:r w:rsidR="00152C96" w:rsidRPr="004635E5">
        <w:rPr>
          <w:rFonts w:cs="Times New Roman"/>
          <w:lang w:val="en-AU"/>
        </w:rPr>
        <w:t xml:space="preserve">address the </w:t>
      </w:r>
      <w:r w:rsidR="007B5AD5" w:rsidRPr="004635E5">
        <w:rPr>
          <w:rFonts w:cs="Times New Roman"/>
          <w:lang w:val="en-AU"/>
        </w:rPr>
        <w:t xml:space="preserve">constant increase in </w:t>
      </w:r>
      <w:r w:rsidR="00152C96" w:rsidRPr="004635E5">
        <w:rPr>
          <w:rFonts w:cs="Times New Roman"/>
          <w:lang w:val="en-AU"/>
        </w:rPr>
        <w:t>the number of sets and mort</w:t>
      </w:r>
      <w:r w:rsidR="007B5AD5" w:rsidRPr="004635E5">
        <w:rPr>
          <w:rFonts w:cs="Times New Roman"/>
          <w:lang w:val="en-AU"/>
        </w:rPr>
        <w:t>ality.</w:t>
      </w:r>
      <w:r w:rsidR="00152C96" w:rsidRPr="004635E5">
        <w:rPr>
          <w:rFonts w:cs="Times New Roman"/>
          <w:lang w:val="en-AU"/>
        </w:rPr>
        <w:t xml:space="preserve"> Consequently, the IATTC </w:t>
      </w:r>
      <w:r w:rsidR="007B5AD5" w:rsidRPr="004635E5">
        <w:rPr>
          <w:rFonts w:cs="Times New Roman"/>
          <w:lang w:val="en-AU"/>
        </w:rPr>
        <w:t xml:space="preserve">calculated what </w:t>
      </w:r>
      <w:r w:rsidR="00152C96" w:rsidRPr="004635E5">
        <w:rPr>
          <w:rFonts w:cs="Times New Roman"/>
          <w:lang w:val="en-AU"/>
        </w:rPr>
        <w:t xml:space="preserve">the number </w:t>
      </w:r>
      <w:r w:rsidR="007B5AD5" w:rsidRPr="004635E5">
        <w:rPr>
          <w:rFonts w:cs="Times New Roman"/>
          <w:lang w:val="en-AU"/>
        </w:rPr>
        <w:t>of sets should be for 2019 and 2020</w:t>
      </w:r>
      <w:r w:rsidR="00A16680" w:rsidRPr="004635E5">
        <w:rPr>
          <w:rFonts w:cs="Times New Roman"/>
          <w:lang w:val="en-AU"/>
        </w:rPr>
        <w:t xml:space="preserve">. </w:t>
      </w:r>
    </w:p>
    <w:p w14:paraId="449F95EE" w14:textId="77777777" w:rsidR="00166D0D" w:rsidRPr="004635E5" w:rsidRDefault="00166D0D" w:rsidP="006633A8">
      <w:pPr>
        <w:pStyle w:val="WCPFC"/>
        <w:numPr>
          <w:ilvl w:val="0"/>
          <w:numId w:val="0"/>
        </w:numPr>
        <w:adjustRightInd w:val="0"/>
        <w:spacing w:after="0"/>
        <w:rPr>
          <w:rFonts w:cs="Times New Roman"/>
          <w:lang w:val="en-AU"/>
        </w:rPr>
      </w:pPr>
    </w:p>
    <w:p w14:paraId="3947AE5E" w14:textId="77777777" w:rsidR="00C9144F" w:rsidRPr="004635E5" w:rsidRDefault="007B5AD5" w:rsidP="006633A8">
      <w:pPr>
        <w:pStyle w:val="WCPFC"/>
        <w:adjustRightInd w:val="0"/>
        <w:spacing w:after="0"/>
        <w:ind w:left="0" w:firstLine="0"/>
        <w:rPr>
          <w:rFonts w:cs="Times New Roman"/>
          <w:lang w:val="en-AU"/>
        </w:rPr>
      </w:pPr>
      <w:r w:rsidRPr="004635E5">
        <w:rPr>
          <w:rFonts w:cs="Times New Roman"/>
          <w:lang w:val="en-AU"/>
        </w:rPr>
        <w:t>Aus</w:t>
      </w:r>
      <w:r w:rsidR="00152C96" w:rsidRPr="004635E5">
        <w:rPr>
          <w:rFonts w:cs="Times New Roman"/>
          <w:lang w:val="en-AU"/>
        </w:rPr>
        <w:t>tralia inquired regarding</w:t>
      </w:r>
      <w:r w:rsidRPr="004635E5">
        <w:rPr>
          <w:rFonts w:cs="Times New Roman"/>
          <w:lang w:val="en-AU"/>
        </w:rPr>
        <w:t xml:space="preserve"> </w:t>
      </w:r>
      <w:r w:rsidR="00152C96" w:rsidRPr="004635E5">
        <w:rPr>
          <w:rFonts w:cs="Times New Roman"/>
          <w:lang w:val="en-AU"/>
        </w:rPr>
        <w:t xml:space="preserve">three </w:t>
      </w:r>
      <w:r w:rsidR="00627D8E" w:rsidRPr="004635E5">
        <w:rPr>
          <w:rFonts w:cs="Times New Roman"/>
          <w:lang w:val="en-AU"/>
        </w:rPr>
        <w:t xml:space="preserve">productivity </w:t>
      </w:r>
      <w:r w:rsidRPr="004635E5">
        <w:rPr>
          <w:rFonts w:cs="Times New Roman"/>
          <w:lang w:val="en-AU"/>
        </w:rPr>
        <w:t>regime shifts</w:t>
      </w:r>
      <w:r w:rsidR="00152C96" w:rsidRPr="004635E5">
        <w:rPr>
          <w:rFonts w:cs="Times New Roman"/>
          <w:lang w:val="en-AU"/>
        </w:rPr>
        <w:t xml:space="preserve"> identified by IATTC with respect to </w:t>
      </w:r>
      <w:r w:rsidR="00656FD8" w:rsidRPr="004635E5">
        <w:rPr>
          <w:rFonts w:cs="Times New Roman"/>
          <w:lang w:val="en-AU"/>
        </w:rPr>
        <w:t>yellowfin</w:t>
      </w:r>
      <w:r w:rsidR="00152C96" w:rsidRPr="004635E5">
        <w:rPr>
          <w:rFonts w:cs="Times New Roman"/>
          <w:lang w:val="en-AU"/>
        </w:rPr>
        <w:t>, and whether this was i</w:t>
      </w:r>
      <w:r w:rsidRPr="004635E5">
        <w:rPr>
          <w:rFonts w:cs="Times New Roman"/>
          <w:lang w:val="en-AU"/>
        </w:rPr>
        <w:t>n relation to varying recruitment</w:t>
      </w:r>
      <w:r w:rsidR="00627D8E" w:rsidRPr="004635E5">
        <w:rPr>
          <w:rFonts w:cs="Times New Roman"/>
          <w:lang w:val="en-AU"/>
        </w:rPr>
        <w:t>, or linked to</w:t>
      </w:r>
      <w:r w:rsidRPr="004635E5">
        <w:rPr>
          <w:rFonts w:cs="Times New Roman"/>
          <w:lang w:val="en-AU"/>
        </w:rPr>
        <w:t xml:space="preserve"> changes in envir</w:t>
      </w:r>
      <w:r w:rsidR="00627D8E" w:rsidRPr="004635E5">
        <w:rPr>
          <w:rFonts w:cs="Times New Roman"/>
          <w:lang w:val="en-AU"/>
        </w:rPr>
        <w:t>onmental</w:t>
      </w:r>
      <w:r w:rsidRPr="004635E5">
        <w:rPr>
          <w:rFonts w:cs="Times New Roman"/>
          <w:lang w:val="en-AU"/>
        </w:rPr>
        <w:t xml:space="preserve"> conditions over time. </w:t>
      </w:r>
      <w:r w:rsidR="00627D8E" w:rsidRPr="004635E5">
        <w:rPr>
          <w:rFonts w:cs="Times New Roman"/>
          <w:lang w:val="en-AU"/>
        </w:rPr>
        <w:t>Regarding the</w:t>
      </w:r>
      <w:r w:rsidRPr="004635E5">
        <w:rPr>
          <w:rFonts w:cs="Times New Roman"/>
          <w:lang w:val="en-AU"/>
        </w:rPr>
        <w:t xml:space="preserve"> steepness </w:t>
      </w:r>
      <w:r w:rsidR="00627D8E" w:rsidRPr="004635E5">
        <w:rPr>
          <w:rFonts w:cs="Times New Roman"/>
          <w:lang w:val="en-AU"/>
        </w:rPr>
        <w:t xml:space="preserve">value </w:t>
      </w:r>
      <w:r w:rsidRPr="004635E5">
        <w:rPr>
          <w:rFonts w:cs="Times New Roman"/>
          <w:lang w:val="en-AU"/>
        </w:rPr>
        <w:t xml:space="preserve">of 1, </w:t>
      </w:r>
      <w:r w:rsidR="00556F84" w:rsidRPr="004635E5">
        <w:rPr>
          <w:rFonts w:cs="Times New Roman"/>
          <w:lang w:val="en-AU"/>
        </w:rPr>
        <w:t xml:space="preserve">they </w:t>
      </w:r>
      <w:r w:rsidR="00627D8E" w:rsidRPr="004635E5">
        <w:rPr>
          <w:rFonts w:cs="Times New Roman"/>
          <w:lang w:val="en-AU"/>
        </w:rPr>
        <w:t>noted that it appear</w:t>
      </w:r>
      <w:r w:rsidR="00556F84" w:rsidRPr="004635E5">
        <w:rPr>
          <w:rFonts w:cs="Times New Roman"/>
          <w:lang w:val="en-AU"/>
        </w:rPr>
        <w:t>ed</w:t>
      </w:r>
      <w:r w:rsidR="00627D8E" w:rsidRPr="004635E5">
        <w:rPr>
          <w:rFonts w:cs="Times New Roman"/>
          <w:lang w:val="en-AU"/>
        </w:rPr>
        <w:t xml:space="preserve"> </w:t>
      </w:r>
      <w:r w:rsidRPr="004635E5">
        <w:rPr>
          <w:rFonts w:cs="Times New Roman"/>
          <w:lang w:val="en-AU"/>
        </w:rPr>
        <w:t xml:space="preserve">to give </w:t>
      </w:r>
      <w:r w:rsidR="00627D8E" w:rsidRPr="004635E5">
        <w:rPr>
          <w:rFonts w:cs="Times New Roman"/>
          <w:lang w:val="en-AU"/>
        </w:rPr>
        <w:t>an optimistic</w:t>
      </w:r>
      <w:r w:rsidRPr="004635E5">
        <w:rPr>
          <w:rFonts w:cs="Times New Roman"/>
          <w:lang w:val="en-AU"/>
        </w:rPr>
        <w:t xml:space="preserve"> ass</w:t>
      </w:r>
      <w:r w:rsidR="00627D8E" w:rsidRPr="004635E5">
        <w:rPr>
          <w:rFonts w:cs="Times New Roman"/>
          <w:lang w:val="en-AU"/>
        </w:rPr>
        <w:t xml:space="preserve">essment, and inquired if that had </w:t>
      </w:r>
      <w:r w:rsidRPr="004635E5">
        <w:rPr>
          <w:rFonts w:cs="Times New Roman"/>
          <w:lang w:val="en-AU"/>
        </w:rPr>
        <w:t>allowed some overfishing to occur</w:t>
      </w:r>
      <w:r w:rsidR="00627D8E" w:rsidRPr="004635E5">
        <w:rPr>
          <w:rFonts w:cs="Times New Roman"/>
          <w:lang w:val="en-AU"/>
        </w:rPr>
        <w:t xml:space="preserve">, and whether </w:t>
      </w:r>
      <w:r w:rsidRPr="004635E5">
        <w:rPr>
          <w:rFonts w:cs="Times New Roman"/>
          <w:lang w:val="en-AU"/>
        </w:rPr>
        <w:t xml:space="preserve">a lower level </w:t>
      </w:r>
      <w:r w:rsidR="00627D8E" w:rsidRPr="004635E5">
        <w:rPr>
          <w:rFonts w:cs="Times New Roman"/>
          <w:lang w:val="en-AU"/>
        </w:rPr>
        <w:t xml:space="preserve">should </w:t>
      </w:r>
      <w:r w:rsidRPr="004635E5">
        <w:rPr>
          <w:rFonts w:cs="Times New Roman"/>
          <w:lang w:val="en-AU"/>
        </w:rPr>
        <w:t>be used</w:t>
      </w:r>
      <w:r w:rsidR="00627D8E" w:rsidRPr="004635E5">
        <w:rPr>
          <w:rFonts w:cs="Times New Roman"/>
          <w:lang w:val="en-AU"/>
        </w:rPr>
        <w:t>.</w:t>
      </w:r>
      <w:r w:rsidRPr="004635E5">
        <w:rPr>
          <w:rFonts w:cs="Times New Roman"/>
          <w:lang w:val="en-AU"/>
        </w:rPr>
        <w:t xml:space="preserve"> K</w:t>
      </w:r>
      <w:r w:rsidR="00627D8E" w:rsidRPr="004635E5">
        <w:rPr>
          <w:rFonts w:cs="Times New Roman"/>
          <w:lang w:val="en-AU"/>
        </w:rPr>
        <w:t xml:space="preserve">. Schaeffer stated that </w:t>
      </w:r>
      <w:r w:rsidR="008D1F6A" w:rsidRPr="004635E5">
        <w:rPr>
          <w:rFonts w:cs="Times New Roman"/>
          <w:lang w:val="en-AU"/>
        </w:rPr>
        <w:t xml:space="preserve">the regime shifts </w:t>
      </w:r>
      <w:r w:rsidR="00627D8E" w:rsidRPr="004635E5">
        <w:rPr>
          <w:rFonts w:cs="Times New Roman"/>
          <w:lang w:val="en-AU"/>
        </w:rPr>
        <w:t>were identified through</w:t>
      </w:r>
      <w:r w:rsidR="008D1F6A" w:rsidRPr="004635E5">
        <w:rPr>
          <w:rFonts w:cs="Times New Roman"/>
          <w:lang w:val="en-AU"/>
        </w:rPr>
        <w:t xml:space="preserve"> time series</w:t>
      </w:r>
      <w:r w:rsidR="00627D8E" w:rsidRPr="004635E5">
        <w:rPr>
          <w:rFonts w:cs="Times New Roman"/>
          <w:lang w:val="en-AU"/>
        </w:rPr>
        <w:t xml:space="preserve"> (</w:t>
      </w:r>
      <w:r w:rsidR="0096460F" w:rsidRPr="004635E5">
        <w:rPr>
          <w:rFonts w:cs="Times New Roman"/>
          <w:lang w:val="en-AU"/>
        </w:rPr>
        <w:t>pre-</w:t>
      </w:r>
      <w:r w:rsidR="008D1F6A" w:rsidRPr="004635E5">
        <w:rPr>
          <w:rFonts w:cs="Times New Roman"/>
          <w:lang w:val="en-AU"/>
        </w:rPr>
        <w:t>1985, 1985-2005</w:t>
      </w:r>
      <w:r w:rsidR="00627D8E" w:rsidRPr="004635E5">
        <w:rPr>
          <w:rFonts w:cs="Times New Roman"/>
          <w:lang w:val="en-AU"/>
        </w:rPr>
        <w:t>, and more recent)</w:t>
      </w:r>
      <w:r w:rsidR="0096460F" w:rsidRPr="004635E5">
        <w:rPr>
          <w:rFonts w:cs="Times New Roman"/>
          <w:lang w:val="en-AU"/>
        </w:rPr>
        <w:t>,</w:t>
      </w:r>
      <w:r w:rsidR="00627D8E" w:rsidRPr="004635E5">
        <w:rPr>
          <w:rFonts w:cs="Times New Roman"/>
          <w:lang w:val="en-AU"/>
        </w:rPr>
        <w:t xml:space="preserve"> and were </w:t>
      </w:r>
      <w:r w:rsidR="008D1F6A" w:rsidRPr="004635E5">
        <w:rPr>
          <w:rFonts w:cs="Times New Roman"/>
          <w:lang w:val="en-AU"/>
        </w:rPr>
        <w:t>proposed to ex</w:t>
      </w:r>
      <w:r w:rsidR="00627D8E" w:rsidRPr="004635E5">
        <w:rPr>
          <w:rFonts w:cs="Times New Roman"/>
          <w:lang w:val="en-AU"/>
        </w:rPr>
        <w:t>p</w:t>
      </w:r>
      <w:r w:rsidR="008D1F6A" w:rsidRPr="004635E5">
        <w:rPr>
          <w:rFonts w:cs="Times New Roman"/>
          <w:lang w:val="en-AU"/>
        </w:rPr>
        <w:t xml:space="preserve">lain </w:t>
      </w:r>
      <w:r w:rsidR="0096460F" w:rsidRPr="004635E5">
        <w:rPr>
          <w:rFonts w:cs="Times New Roman"/>
          <w:lang w:val="en-AU"/>
        </w:rPr>
        <w:t>changes in the spawning biomass ratio (</w:t>
      </w:r>
      <w:r w:rsidR="008D1F6A" w:rsidRPr="004635E5">
        <w:rPr>
          <w:rFonts w:cs="Times New Roman"/>
          <w:lang w:val="en-AU"/>
        </w:rPr>
        <w:t>SBR</w:t>
      </w:r>
      <w:r w:rsidR="0096460F" w:rsidRPr="004635E5">
        <w:rPr>
          <w:rFonts w:cs="Times New Roman"/>
          <w:lang w:val="en-AU"/>
        </w:rPr>
        <w:t>)</w:t>
      </w:r>
      <w:r w:rsidR="008D1F6A" w:rsidRPr="004635E5">
        <w:rPr>
          <w:rFonts w:cs="Times New Roman"/>
          <w:lang w:val="en-AU"/>
        </w:rPr>
        <w:t xml:space="preserve">. </w:t>
      </w:r>
      <w:r w:rsidR="0096460F" w:rsidRPr="004635E5">
        <w:rPr>
          <w:rFonts w:cs="Times New Roman"/>
          <w:lang w:val="en-AU"/>
        </w:rPr>
        <w:t xml:space="preserve">He stated that </w:t>
      </w:r>
      <w:r w:rsidR="008D1F6A" w:rsidRPr="004635E5">
        <w:rPr>
          <w:rFonts w:cs="Times New Roman"/>
          <w:lang w:val="en-AU"/>
        </w:rPr>
        <w:t xml:space="preserve">is </w:t>
      </w:r>
      <w:r w:rsidR="0096460F" w:rsidRPr="004635E5">
        <w:rPr>
          <w:rFonts w:cs="Times New Roman"/>
          <w:lang w:val="en-AU"/>
        </w:rPr>
        <w:t>was not directly linked to ENSO</w:t>
      </w:r>
      <w:r w:rsidR="008D1F6A" w:rsidRPr="004635E5">
        <w:rPr>
          <w:rFonts w:cs="Times New Roman"/>
          <w:lang w:val="en-AU"/>
        </w:rPr>
        <w:t xml:space="preserve"> events. </w:t>
      </w:r>
      <w:r w:rsidR="0096460F" w:rsidRPr="004635E5">
        <w:rPr>
          <w:rFonts w:cs="Times New Roman"/>
          <w:lang w:val="en-AU"/>
        </w:rPr>
        <w:t xml:space="preserve">He stated that there were </w:t>
      </w:r>
      <w:r w:rsidR="008D1F6A" w:rsidRPr="004635E5">
        <w:rPr>
          <w:rFonts w:cs="Times New Roman"/>
          <w:lang w:val="en-AU"/>
        </w:rPr>
        <w:t xml:space="preserve">changes in recruitment indices </w:t>
      </w:r>
      <w:r w:rsidR="0096460F" w:rsidRPr="004635E5">
        <w:rPr>
          <w:rFonts w:cs="Times New Roman"/>
          <w:lang w:val="en-AU"/>
        </w:rPr>
        <w:t xml:space="preserve">only </w:t>
      </w:r>
      <w:r w:rsidR="008D1F6A" w:rsidRPr="004635E5">
        <w:rPr>
          <w:rFonts w:cs="Times New Roman"/>
          <w:lang w:val="en-AU"/>
        </w:rPr>
        <w:t>w</w:t>
      </w:r>
      <w:r w:rsidR="0096460F" w:rsidRPr="004635E5">
        <w:rPr>
          <w:rFonts w:cs="Times New Roman"/>
          <w:lang w:val="en-AU"/>
        </w:rPr>
        <w:t>ith</w:t>
      </w:r>
      <w:r w:rsidR="008D1F6A" w:rsidRPr="004635E5">
        <w:rPr>
          <w:rFonts w:cs="Times New Roman"/>
          <w:lang w:val="en-AU"/>
        </w:rPr>
        <w:t xml:space="preserve"> </w:t>
      </w:r>
      <w:r w:rsidR="0096460F" w:rsidRPr="004635E5">
        <w:rPr>
          <w:rFonts w:cs="Times New Roman"/>
          <w:lang w:val="en-AU"/>
        </w:rPr>
        <w:t xml:space="preserve">major </w:t>
      </w:r>
      <w:r w:rsidR="008D1F6A" w:rsidRPr="004635E5">
        <w:rPr>
          <w:rFonts w:cs="Times New Roman"/>
          <w:lang w:val="en-AU"/>
        </w:rPr>
        <w:t>ENSO events</w:t>
      </w:r>
      <w:r w:rsidR="0096460F" w:rsidRPr="004635E5">
        <w:rPr>
          <w:rFonts w:cs="Times New Roman"/>
          <w:lang w:val="en-AU"/>
        </w:rPr>
        <w:t>, and that recruitment was n</w:t>
      </w:r>
      <w:r w:rsidR="008D1F6A" w:rsidRPr="004635E5">
        <w:rPr>
          <w:rFonts w:cs="Times New Roman"/>
          <w:lang w:val="en-AU"/>
        </w:rPr>
        <w:t xml:space="preserve">ot generally shown to </w:t>
      </w:r>
      <w:r w:rsidR="0096460F" w:rsidRPr="004635E5">
        <w:rPr>
          <w:rFonts w:cs="Times New Roman"/>
          <w:lang w:val="en-AU"/>
        </w:rPr>
        <w:t>be linked to either o</w:t>
      </w:r>
      <w:r w:rsidR="008D1F6A" w:rsidRPr="004635E5">
        <w:rPr>
          <w:rFonts w:cs="Times New Roman"/>
          <w:lang w:val="en-AU"/>
        </w:rPr>
        <w:t xml:space="preserve">ceanographic factors </w:t>
      </w:r>
      <w:r w:rsidR="0096460F" w:rsidRPr="004635E5">
        <w:rPr>
          <w:rFonts w:cs="Times New Roman"/>
          <w:lang w:val="en-AU"/>
        </w:rPr>
        <w:t>or ENSO even</w:t>
      </w:r>
      <w:r w:rsidR="008D1F6A" w:rsidRPr="004635E5">
        <w:rPr>
          <w:rFonts w:cs="Times New Roman"/>
          <w:lang w:val="en-AU"/>
        </w:rPr>
        <w:t xml:space="preserve">ts. </w:t>
      </w:r>
      <w:r w:rsidR="0096460F" w:rsidRPr="004635E5">
        <w:rPr>
          <w:rFonts w:cs="Times New Roman"/>
          <w:lang w:val="en-AU"/>
        </w:rPr>
        <w:t>He noted that assessments are very sensitive to the steepness level, with a</w:t>
      </w:r>
      <w:r w:rsidR="008D1F6A" w:rsidRPr="004635E5">
        <w:rPr>
          <w:rFonts w:cs="Times New Roman"/>
          <w:lang w:val="en-AU"/>
        </w:rPr>
        <w:t>ss</w:t>
      </w:r>
      <w:r w:rsidR="0096460F" w:rsidRPr="004635E5">
        <w:rPr>
          <w:rFonts w:cs="Times New Roman"/>
          <w:lang w:val="en-AU"/>
        </w:rPr>
        <w:t xml:space="preserve">essments that use </w:t>
      </w:r>
      <w:r w:rsidR="008D1F6A" w:rsidRPr="004635E5">
        <w:rPr>
          <w:rFonts w:cs="Times New Roman"/>
          <w:lang w:val="en-AU"/>
        </w:rPr>
        <w:t>a steepness of less than 1 more “pessimistic”</w:t>
      </w:r>
      <w:r w:rsidR="0096460F" w:rsidRPr="004635E5">
        <w:rPr>
          <w:rFonts w:cs="Times New Roman"/>
          <w:lang w:val="en-AU"/>
        </w:rPr>
        <w:t>.</w:t>
      </w:r>
      <w:r w:rsidR="008D1F6A" w:rsidRPr="004635E5">
        <w:rPr>
          <w:rFonts w:cs="Times New Roman"/>
          <w:lang w:val="en-AU"/>
        </w:rPr>
        <w:t xml:space="preserve"> </w:t>
      </w:r>
    </w:p>
    <w:p w14:paraId="0DF91D00" w14:textId="77777777" w:rsidR="00C9144F" w:rsidRPr="004635E5" w:rsidRDefault="00C9144F" w:rsidP="006633A8">
      <w:pPr>
        <w:pStyle w:val="WCPFC"/>
        <w:numPr>
          <w:ilvl w:val="0"/>
          <w:numId w:val="0"/>
        </w:numPr>
        <w:adjustRightInd w:val="0"/>
        <w:spacing w:after="0"/>
        <w:rPr>
          <w:rFonts w:cs="Times New Roman"/>
          <w:lang w:val="en-AU"/>
        </w:rPr>
      </w:pPr>
    </w:p>
    <w:p w14:paraId="28DA3C1A" w14:textId="77777777" w:rsidR="00C9144F" w:rsidRPr="004635E5" w:rsidRDefault="00C9144F" w:rsidP="006633A8">
      <w:pPr>
        <w:pStyle w:val="WCPFC"/>
        <w:adjustRightInd w:val="0"/>
        <w:spacing w:after="0"/>
        <w:ind w:left="0" w:firstLine="0"/>
        <w:rPr>
          <w:rFonts w:cs="Times New Roman"/>
          <w:lang w:val="en-AU"/>
        </w:rPr>
      </w:pPr>
      <w:r w:rsidRPr="004635E5">
        <w:rPr>
          <w:rFonts w:cs="Times New Roman"/>
          <w:lang w:val="en-AU"/>
        </w:rPr>
        <w:t xml:space="preserve">SPC inquired about IATTC’s approach regarding standardized CPUE for the purse seine fishery, which SPC has found hard to standardize, and which they usually exclude as a result. K. Schaeffer indicated that IATTC uses a simple method, in recognition of the difficulty in standardizing </w:t>
      </w:r>
      <w:r w:rsidR="00837078" w:rsidRPr="004635E5">
        <w:rPr>
          <w:rFonts w:cs="Times New Roman"/>
          <w:lang w:val="en-AU"/>
        </w:rPr>
        <w:t>purse seine</w:t>
      </w:r>
      <w:r w:rsidRPr="004635E5">
        <w:rPr>
          <w:rFonts w:cs="Times New Roman"/>
          <w:lang w:val="en-AU"/>
        </w:rPr>
        <w:t xml:space="preserve"> catch data or catch per days fishing. He noted that the methodology was very simple and likely inadequate to enable its use as a CPUE input for a stock assessment model</w:t>
      </w:r>
      <w:r w:rsidR="00A16680" w:rsidRPr="004635E5">
        <w:rPr>
          <w:rFonts w:cs="Times New Roman"/>
          <w:lang w:val="en-AU"/>
        </w:rPr>
        <w:t xml:space="preserve">. </w:t>
      </w:r>
    </w:p>
    <w:p w14:paraId="574086A3" w14:textId="77777777" w:rsidR="00061730" w:rsidRPr="004635E5" w:rsidRDefault="00061730" w:rsidP="006633A8">
      <w:pPr>
        <w:adjustRightInd w:val="0"/>
        <w:snapToGrid w:val="0"/>
        <w:ind w:left="720"/>
        <w:jc w:val="both"/>
        <w:rPr>
          <w:sz w:val="22"/>
          <w:szCs w:val="22"/>
          <w:lang w:val="en-AU"/>
        </w:rPr>
      </w:pPr>
    </w:p>
    <w:p w14:paraId="617A0935" w14:textId="77777777" w:rsidR="00A83306" w:rsidRPr="004635E5" w:rsidRDefault="00FA2D25" w:rsidP="00580EA4">
      <w:pPr>
        <w:pStyle w:val="SC2"/>
        <w:numPr>
          <w:ilvl w:val="1"/>
          <w:numId w:val="161"/>
        </w:numPr>
        <w:spacing w:after="0"/>
        <w:ind w:left="720" w:hanging="720"/>
      </w:pPr>
      <w:r w:rsidRPr="004635E5">
        <w:t>Annual Report</w:t>
      </w:r>
      <w:r w:rsidRPr="004635E5">
        <w:rPr>
          <w:rFonts w:eastAsiaTheme="minorEastAsia"/>
          <w:lang w:eastAsia="ko-KR"/>
        </w:rPr>
        <w:t xml:space="preserve"> –</w:t>
      </w:r>
      <w:r w:rsidRPr="004635E5">
        <w:t xml:space="preserve"> </w:t>
      </w:r>
      <w:r w:rsidR="001F33F2" w:rsidRPr="004635E5">
        <w:t>Part 1</w:t>
      </w:r>
      <w:r w:rsidR="00A83306" w:rsidRPr="004635E5">
        <w:t xml:space="preserve"> from Members, </w:t>
      </w:r>
      <w:r w:rsidR="00FD6B49" w:rsidRPr="004635E5">
        <w:t xml:space="preserve">Cooperating Non-Members, and </w:t>
      </w:r>
      <w:r w:rsidR="00A83306" w:rsidRPr="004635E5">
        <w:t xml:space="preserve">Participating Territories </w:t>
      </w:r>
    </w:p>
    <w:p w14:paraId="21C028F9" w14:textId="77777777" w:rsidR="0063725B" w:rsidRPr="004635E5" w:rsidRDefault="0063725B" w:rsidP="006633A8">
      <w:pPr>
        <w:pStyle w:val="SC2"/>
        <w:numPr>
          <w:ilvl w:val="0"/>
          <w:numId w:val="0"/>
        </w:numPr>
        <w:spacing w:after="0"/>
        <w:ind w:left="720"/>
      </w:pPr>
    </w:p>
    <w:p w14:paraId="63F08F74" w14:textId="77777777" w:rsidR="000A2875" w:rsidRPr="004635E5" w:rsidRDefault="00A514FD"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The SC Chair noted that members’ Annual Reports Part 1 had been posted on the Commission website for the past month, and invited those members who wished </w:t>
      </w:r>
      <w:r w:rsidR="006F4F33" w:rsidRPr="004635E5">
        <w:rPr>
          <w:sz w:val="22"/>
          <w:szCs w:val="22"/>
          <w:lang w:val="en-AU"/>
        </w:rPr>
        <w:t xml:space="preserve">for clarifications to inquire. </w:t>
      </w:r>
    </w:p>
    <w:p w14:paraId="1EBC3B6C" w14:textId="77777777" w:rsidR="00C03773" w:rsidRPr="004635E5" w:rsidRDefault="00C03773" w:rsidP="006633A8">
      <w:pPr>
        <w:autoSpaceDE w:val="0"/>
        <w:autoSpaceDN w:val="0"/>
        <w:adjustRightInd w:val="0"/>
        <w:snapToGrid w:val="0"/>
        <w:jc w:val="both"/>
        <w:rPr>
          <w:sz w:val="22"/>
          <w:szCs w:val="22"/>
          <w:lang w:val="en-AU"/>
        </w:rPr>
      </w:pPr>
    </w:p>
    <w:p w14:paraId="36404F63" w14:textId="77777777" w:rsidR="00C03773" w:rsidRPr="004635E5" w:rsidRDefault="00C03773" w:rsidP="006633A8">
      <w:pPr>
        <w:autoSpaceDE w:val="0"/>
        <w:autoSpaceDN w:val="0"/>
        <w:adjustRightInd w:val="0"/>
        <w:snapToGrid w:val="0"/>
        <w:jc w:val="both"/>
        <w:rPr>
          <w:b/>
          <w:sz w:val="22"/>
          <w:szCs w:val="22"/>
          <w:lang w:val="en-AU"/>
        </w:rPr>
      </w:pPr>
      <w:r w:rsidRPr="004635E5">
        <w:rPr>
          <w:b/>
          <w:sz w:val="22"/>
          <w:szCs w:val="22"/>
          <w:lang w:val="en-AU"/>
        </w:rPr>
        <w:t>Discussion</w:t>
      </w:r>
    </w:p>
    <w:p w14:paraId="5C3268CC" w14:textId="77777777" w:rsidR="00900746" w:rsidRPr="004635E5" w:rsidRDefault="00900746" w:rsidP="006633A8">
      <w:pPr>
        <w:autoSpaceDE w:val="0"/>
        <w:autoSpaceDN w:val="0"/>
        <w:adjustRightInd w:val="0"/>
        <w:snapToGrid w:val="0"/>
        <w:jc w:val="both"/>
        <w:rPr>
          <w:b/>
          <w:sz w:val="22"/>
          <w:szCs w:val="22"/>
          <w:lang w:val="en-AU"/>
        </w:rPr>
      </w:pPr>
    </w:p>
    <w:p w14:paraId="14EB402A" w14:textId="77777777" w:rsidR="000A2875" w:rsidRPr="004635E5" w:rsidRDefault="000A2875"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Birdlife International stated that they were </w:t>
      </w:r>
      <w:r w:rsidRPr="004635E5">
        <w:rPr>
          <w:sz w:val="22"/>
          <w:szCs w:val="22"/>
        </w:rPr>
        <w:t>very pleased to see many CCMs meeting the new requirement</w:t>
      </w:r>
      <w:r w:rsidR="00061730" w:rsidRPr="004635E5">
        <w:rPr>
          <w:sz w:val="22"/>
          <w:szCs w:val="22"/>
        </w:rPr>
        <w:t>,</w:t>
      </w:r>
      <w:r w:rsidRPr="004635E5">
        <w:rPr>
          <w:sz w:val="22"/>
          <w:szCs w:val="22"/>
        </w:rPr>
        <w:t xml:space="preserve"> in </w:t>
      </w:r>
      <w:r w:rsidR="00AF5C8D">
        <w:rPr>
          <w:rFonts w:eastAsiaTheme="minorEastAsia" w:hint="eastAsia"/>
          <w:sz w:val="22"/>
          <w:szCs w:val="22"/>
          <w:lang w:eastAsia="ko-KR"/>
        </w:rPr>
        <w:t>P</w:t>
      </w:r>
      <w:r w:rsidRPr="004635E5">
        <w:rPr>
          <w:sz w:val="22"/>
          <w:szCs w:val="22"/>
        </w:rPr>
        <w:t>ara</w:t>
      </w:r>
      <w:r w:rsidR="00AF5C8D">
        <w:rPr>
          <w:rFonts w:eastAsiaTheme="minorEastAsia" w:hint="eastAsia"/>
          <w:sz w:val="22"/>
          <w:szCs w:val="22"/>
          <w:lang w:eastAsia="ko-KR"/>
        </w:rPr>
        <w:t>graph</w:t>
      </w:r>
      <w:r w:rsidRPr="004635E5">
        <w:rPr>
          <w:sz w:val="22"/>
          <w:szCs w:val="22"/>
        </w:rPr>
        <w:t xml:space="preserve"> 9 </w:t>
      </w:r>
      <w:r w:rsidR="00061730" w:rsidRPr="004635E5">
        <w:rPr>
          <w:sz w:val="22"/>
          <w:szCs w:val="22"/>
        </w:rPr>
        <w:t xml:space="preserve">of </w:t>
      </w:r>
      <w:r w:rsidRPr="004635E5">
        <w:rPr>
          <w:sz w:val="22"/>
          <w:szCs w:val="22"/>
        </w:rPr>
        <w:t>CMM 2017-06</w:t>
      </w:r>
      <w:r w:rsidR="00061730" w:rsidRPr="004635E5">
        <w:rPr>
          <w:sz w:val="22"/>
          <w:szCs w:val="22"/>
        </w:rPr>
        <w:t xml:space="preserve">, that observers </w:t>
      </w:r>
      <w:r w:rsidRPr="004635E5">
        <w:rPr>
          <w:sz w:val="22"/>
          <w:szCs w:val="22"/>
        </w:rPr>
        <w:t>list mitigation being used as observed. One CCM has stratified the mitigation use by area and it would be more useful if everyone did this</w:t>
      </w:r>
      <w:r w:rsidR="00061730" w:rsidRPr="004635E5">
        <w:rPr>
          <w:sz w:val="22"/>
          <w:szCs w:val="22"/>
        </w:rPr>
        <w:t>,</w:t>
      </w:r>
      <w:r w:rsidRPr="004635E5">
        <w:rPr>
          <w:sz w:val="22"/>
          <w:szCs w:val="22"/>
        </w:rPr>
        <w:t xml:space="preserve"> as different mitigation measures are required in different areas, including none in low latitudes. This would provide a more comprehensive understanding of how mitigation measures are being applied and to understand where effort is needed to improve mitigation implementation</w:t>
      </w:r>
      <w:r w:rsidR="0052266F" w:rsidRPr="004635E5">
        <w:rPr>
          <w:sz w:val="22"/>
          <w:szCs w:val="22"/>
        </w:rPr>
        <w:t>,</w:t>
      </w:r>
      <w:r w:rsidRPr="004635E5">
        <w:rPr>
          <w:sz w:val="22"/>
          <w:szCs w:val="22"/>
        </w:rPr>
        <w:t xml:space="preserve"> or if additional mitigation options are required to reduce bycatch rates to acceptable levels. </w:t>
      </w:r>
      <w:r w:rsidR="00556F84" w:rsidRPr="004635E5">
        <w:rPr>
          <w:sz w:val="22"/>
          <w:szCs w:val="22"/>
        </w:rPr>
        <w:t xml:space="preserve">They </w:t>
      </w:r>
      <w:r w:rsidR="0052266F" w:rsidRPr="004635E5">
        <w:rPr>
          <w:sz w:val="22"/>
          <w:szCs w:val="22"/>
        </w:rPr>
        <w:t>noted b</w:t>
      </w:r>
      <w:r w:rsidRPr="004635E5">
        <w:rPr>
          <w:sz w:val="22"/>
          <w:szCs w:val="22"/>
        </w:rPr>
        <w:t>ycatch rates for some CCMs remain alarmingly high</w:t>
      </w:r>
      <w:r w:rsidR="0052266F" w:rsidRPr="004635E5">
        <w:rPr>
          <w:sz w:val="22"/>
          <w:szCs w:val="22"/>
        </w:rPr>
        <w:t xml:space="preserve">, and suggested </w:t>
      </w:r>
      <w:r w:rsidRPr="004635E5">
        <w:rPr>
          <w:sz w:val="22"/>
          <w:szCs w:val="22"/>
        </w:rPr>
        <w:t xml:space="preserve">a separate table </w:t>
      </w:r>
      <w:r w:rsidR="0052266F" w:rsidRPr="004635E5">
        <w:rPr>
          <w:sz w:val="22"/>
          <w:szCs w:val="22"/>
        </w:rPr>
        <w:t xml:space="preserve">be added to the annual reports </w:t>
      </w:r>
      <w:r w:rsidRPr="004635E5">
        <w:rPr>
          <w:sz w:val="22"/>
          <w:szCs w:val="22"/>
        </w:rPr>
        <w:t>recording mitigation used for each area</w:t>
      </w:r>
      <w:r w:rsidR="0052266F" w:rsidRPr="004635E5">
        <w:rPr>
          <w:sz w:val="22"/>
          <w:szCs w:val="22"/>
        </w:rPr>
        <w:t xml:space="preserve">, </w:t>
      </w:r>
      <w:r w:rsidRPr="004635E5">
        <w:rPr>
          <w:sz w:val="22"/>
          <w:szCs w:val="22"/>
        </w:rPr>
        <w:t xml:space="preserve">as is done </w:t>
      </w:r>
      <w:r w:rsidR="0052266F" w:rsidRPr="004635E5">
        <w:rPr>
          <w:sz w:val="22"/>
          <w:szCs w:val="22"/>
        </w:rPr>
        <w:t>to record</w:t>
      </w:r>
      <w:r w:rsidRPr="004635E5">
        <w:rPr>
          <w:sz w:val="22"/>
          <w:szCs w:val="22"/>
        </w:rPr>
        <w:t xml:space="preserve"> seabird bycatch.</w:t>
      </w:r>
    </w:p>
    <w:p w14:paraId="20094DDF" w14:textId="77777777" w:rsidR="00C03773" w:rsidRPr="004635E5" w:rsidRDefault="00C03773" w:rsidP="006633A8">
      <w:pPr>
        <w:autoSpaceDE w:val="0"/>
        <w:autoSpaceDN w:val="0"/>
        <w:adjustRightInd w:val="0"/>
        <w:snapToGrid w:val="0"/>
        <w:jc w:val="both"/>
        <w:rPr>
          <w:sz w:val="22"/>
          <w:szCs w:val="22"/>
          <w:lang w:val="en-AU"/>
        </w:rPr>
      </w:pPr>
    </w:p>
    <w:p w14:paraId="1FFD29D9" w14:textId="77777777" w:rsidR="00A83306" w:rsidRPr="004635E5" w:rsidRDefault="00A83306" w:rsidP="00580EA4">
      <w:pPr>
        <w:pStyle w:val="SC2"/>
        <w:numPr>
          <w:ilvl w:val="1"/>
          <w:numId w:val="161"/>
        </w:numPr>
        <w:spacing w:after="0"/>
        <w:ind w:left="0" w:firstLine="0"/>
      </w:pPr>
      <w:r w:rsidRPr="004635E5">
        <w:t>Reports from regional fisheries bodies and other organizations</w:t>
      </w:r>
    </w:p>
    <w:p w14:paraId="4E3B2866" w14:textId="77777777" w:rsidR="00C91D50" w:rsidRPr="004635E5" w:rsidRDefault="00C91D50" w:rsidP="006633A8">
      <w:pPr>
        <w:pStyle w:val="SC2"/>
        <w:numPr>
          <w:ilvl w:val="0"/>
          <w:numId w:val="0"/>
        </w:numPr>
        <w:spacing w:after="0"/>
        <w:ind w:left="720"/>
      </w:pPr>
    </w:p>
    <w:p w14:paraId="4E899E3B" w14:textId="77777777" w:rsidR="00373296" w:rsidRPr="004635E5" w:rsidRDefault="00AF15F4"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No reports from r</w:t>
      </w:r>
      <w:r w:rsidR="00373296" w:rsidRPr="004635E5">
        <w:rPr>
          <w:rFonts w:eastAsia="Batang"/>
          <w:sz w:val="22"/>
          <w:szCs w:val="22"/>
          <w:lang w:val="en-NZ" w:eastAsia="ko-KR"/>
        </w:rPr>
        <w:t xml:space="preserve">egional fisheries bodies </w:t>
      </w:r>
      <w:r w:rsidR="001A6137" w:rsidRPr="004635E5">
        <w:rPr>
          <w:rFonts w:eastAsia="Batang"/>
          <w:sz w:val="22"/>
          <w:szCs w:val="22"/>
          <w:lang w:val="en-NZ" w:eastAsia="ko-KR"/>
        </w:rPr>
        <w:t xml:space="preserve">and other intergovernmental or non-governmental organizations observing </w:t>
      </w:r>
      <w:r w:rsidR="008E6B2E" w:rsidRPr="004635E5">
        <w:rPr>
          <w:rFonts w:eastAsia="Batang"/>
          <w:sz w:val="22"/>
          <w:szCs w:val="22"/>
          <w:lang w:val="en-NZ" w:eastAsia="ko-KR"/>
        </w:rPr>
        <w:t>SC14</w:t>
      </w:r>
      <w:r w:rsidR="00620732" w:rsidRPr="004635E5">
        <w:rPr>
          <w:rFonts w:eastAsia="Batang"/>
          <w:sz w:val="22"/>
          <w:szCs w:val="22"/>
          <w:lang w:val="en-NZ" w:eastAsia="ko-KR"/>
        </w:rPr>
        <w:t xml:space="preserve"> </w:t>
      </w:r>
      <w:r w:rsidR="0052266F" w:rsidRPr="004635E5">
        <w:rPr>
          <w:rFonts w:eastAsia="Batang"/>
          <w:sz w:val="22"/>
          <w:szCs w:val="22"/>
          <w:lang w:val="en-NZ" w:eastAsia="ko-KR"/>
        </w:rPr>
        <w:t xml:space="preserve">were </w:t>
      </w:r>
      <w:r w:rsidRPr="004635E5">
        <w:rPr>
          <w:rFonts w:eastAsia="Batang"/>
          <w:sz w:val="22"/>
          <w:szCs w:val="22"/>
          <w:lang w:val="en-NZ" w:eastAsia="ko-KR"/>
        </w:rPr>
        <w:t xml:space="preserve">made. </w:t>
      </w:r>
    </w:p>
    <w:p w14:paraId="10881AB9" w14:textId="77777777" w:rsidR="00B23F9D" w:rsidRPr="004635E5" w:rsidRDefault="00B23F9D" w:rsidP="006633A8">
      <w:pPr>
        <w:adjustRightInd w:val="0"/>
        <w:snapToGrid w:val="0"/>
        <w:rPr>
          <w:rFonts w:eastAsiaTheme="minorEastAsia"/>
          <w:sz w:val="22"/>
          <w:szCs w:val="22"/>
          <w:lang w:val="en-NZ" w:eastAsia="ko-KR"/>
        </w:rPr>
      </w:pPr>
    </w:p>
    <w:p w14:paraId="5075E427" w14:textId="77777777" w:rsidR="00B23F9D" w:rsidRPr="004635E5" w:rsidRDefault="00B23F9D" w:rsidP="006633A8">
      <w:pPr>
        <w:adjustRightInd w:val="0"/>
        <w:snapToGrid w:val="0"/>
        <w:rPr>
          <w:rFonts w:eastAsiaTheme="minorEastAsia"/>
          <w:sz w:val="22"/>
          <w:szCs w:val="22"/>
          <w:lang w:val="en-NZ" w:eastAsia="ko-KR"/>
        </w:rPr>
      </w:pPr>
    </w:p>
    <w:p w14:paraId="55BE87CE" w14:textId="77777777" w:rsidR="0063725B" w:rsidRPr="004635E5" w:rsidRDefault="00656FD8" w:rsidP="006633A8">
      <w:pPr>
        <w:pStyle w:val="Heading1"/>
        <w:numPr>
          <w:ilvl w:val="0"/>
          <w:numId w:val="0"/>
        </w:numPr>
        <w:adjustRightInd w:val="0"/>
        <w:snapToGrid w:val="0"/>
        <w:spacing w:after="0"/>
        <w:ind w:left="360"/>
      </w:pPr>
      <w:r w:rsidRPr="004635E5">
        <w:t>AGENDA ITEM 3</w:t>
      </w:r>
      <w:r w:rsidR="00A6507F" w:rsidRPr="004635E5">
        <w:t xml:space="preserve"> — </w:t>
      </w:r>
      <w:r w:rsidR="00CA4083" w:rsidRPr="004635E5">
        <w:t>DATA AND STATISTICS THEME</w:t>
      </w:r>
    </w:p>
    <w:p w14:paraId="096CC94C" w14:textId="77777777" w:rsidR="00CA4083" w:rsidRPr="004635E5" w:rsidRDefault="00472973" w:rsidP="006633A8">
      <w:pPr>
        <w:pStyle w:val="Heading1"/>
        <w:numPr>
          <w:ilvl w:val="0"/>
          <w:numId w:val="0"/>
        </w:numPr>
        <w:adjustRightInd w:val="0"/>
        <w:snapToGrid w:val="0"/>
        <w:spacing w:after="0"/>
        <w:ind w:left="360"/>
      </w:pPr>
      <w:r w:rsidRPr="004635E5">
        <w:fldChar w:fldCharType="begin"/>
      </w:r>
      <w:r w:rsidR="00656FD8" w:rsidRPr="004635E5">
        <w:instrText xml:space="preserve"> TC "</w:instrText>
      </w:r>
      <w:bookmarkStart w:id="81" w:name="_Toc522810364"/>
      <w:bookmarkStart w:id="82" w:name="_Toc16418017"/>
      <w:r w:rsidR="00656FD8" w:rsidRPr="004635E5">
        <w:instrText>AGENDA ITEM 3 — DATA AND STATISTICS THEME</w:instrText>
      </w:r>
      <w:bookmarkEnd w:id="81"/>
      <w:bookmarkEnd w:id="82"/>
      <w:r w:rsidR="00656FD8" w:rsidRPr="004635E5">
        <w:instrText xml:space="preserve">" \f C \l "1" </w:instrText>
      </w:r>
      <w:r w:rsidRPr="004635E5">
        <w:fldChar w:fldCharType="end"/>
      </w:r>
    </w:p>
    <w:p w14:paraId="2D732BD2" w14:textId="77777777" w:rsidR="00A6507F" w:rsidRPr="004635E5" w:rsidRDefault="00A6507F" w:rsidP="00580EA4">
      <w:pPr>
        <w:pStyle w:val="ListParagraph"/>
        <w:numPr>
          <w:ilvl w:val="0"/>
          <w:numId w:val="161"/>
        </w:numPr>
        <w:adjustRightInd w:val="0"/>
        <w:snapToGrid w:val="0"/>
        <w:jc w:val="both"/>
        <w:rPr>
          <w:b/>
          <w:vanish/>
          <w:sz w:val="22"/>
          <w:szCs w:val="22"/>
          <w:lang w:val="en-NZ"/>
        </w:rPr>
      </w:pPr>
    </w:p>
    <w:p w14:paraId="3664EE82" w14:textId="77777777" w:rsidR="00C9144F" w:rsidRPr="004635E5" w:rsidRDefault="000D7CEF" w:rsidP="00580EA4">
      <w:pPr>
        <w:pStyle w:val="SC2"/>
        <w:numPr>
          <w:ilvl w:val="1"/>
          <w:numId w:val="161"/>
        </w:numPr>
        <w:spacing w:after="0"/>
        <w:ind w:left="0" w:firstLine="0"/>
      </w:pPr>
      <w:r w:rsidRPr="004635E5">
        <w:t>Data gaps</w:t>
      </w:r>
      <w:r w:rsidR="00C9144F" w:rsidRPr="004635E5">
        <w:t xml:space="preserve"> </w:t>
      </w:r>
    </w:p>
    <w:p w14:paraId="591EB52F" w14:textId="77777777" w:rsidR="0063725B" w:rsidRPr="004635E5" w:rsidRDefault="0063725B" w:rsidP="006633A8">
      <w:pPr>
        <w:pStyle w:val="SC2"/>
        <w:numPr>
          <w:ilvl w:val="0"/>
          <w:numId w:val="0"/>
        </w:numPr>
        <w:spacing w:after="0"/>
        <w:ind w:left="720"/>
      </w:pPr>
    </w:p>
    <w:p w14:paraId="0A19C29D" w14:textId="77777777" w:rsidR="00C9144F" w:rsidRPr="004635E5" w:rsidRDefault="0003209E" w:rsidP="00580EA4">
      <w:pPr>
        <w:pStyle w:val="SC3"/>
        <w:numPr>
          <w:ilvl w:val="2"/>
          <w:numId w:val="161"/>
        </w:numPr>
        <w:spacing w:after="0"/>
      </w:pPr>
      <w:r w:rsidRPr="004635E5">
        <w:t xml:space="preserve"> </w:t>
      </w:r>
      <w:r w:rsidR="00C9144F" w:rsidRPr="004635E5">
        <w:t>Data gaps of the Commission</w:t>
      </w:r>
    </w:p>
    <w:p w14:paraId="194BC227" w14:textId="77777777" w:rsidR="0063725B" w:rsidRPr="004635E5" w:rsidRDefault="0063725B" w:rsidP="006633A8">
      <w:pPr>
        <w:pStyle w:val="SC3"/>
        <w:numPr>
          <w:ilvl w:val="0"/>
          <w:numId w:val="0"/>
        </w:numPr>
        <w:spacing w:after="0"/>
        <w:ind w:left="1440"/>
      </w:pPr>
    </w:p>
    <w:p w14:paraId="0A63FFBA" w14:textId="77777777" w:rsidR="00383822" w:rsidRPr="004635E5" w:rsidRDefault="00B114EA" w:rsidP="00580EA4">
      <w:pPr>
        <w:numPr>
          <w:ilvl w:val="0"/>
          <w:numId w:val="18"/>
        </w:numPr>
        <w:autoSpaceDE w:val="0"/>
        <w:autoSpaceDN w:val="0"/>
        <w:adjustRightInd w:val="0"/>
        <w:snapToGrid w:val="0"/>
        <w:ind w:left="0" w:firstLine="0"/>
        <w:jc w:val="both"/>
        <w:rPr>
          <w:rFonts w:eastAsia="Calibri"/>
          <w:sz w:val="22"/>
          <w:szCs w:val="22"/>
          <w:lang w:val="en-AU"/>
        </w:rPr>
      </w:pPr>
      <w:r w:rsidRPr="004635E5">
        <w:rPr>
          <w:sz w:val="22"/>
          <w:szCs w:val="22"/>
          <w:lang w:val="en-AU"/>
        </w:rPr>
        <w:t>P</w:t>
      </w:r>
      <w:r w:rsidRPr="004635E5">
        <w:rPr>
          <w:sz w:val="22"/>
          <w:szCs w:val="22"/>
          <w:lang w:val="en-AU" w:eastAsia="ko-KR"/>
        </w:rPr>
        <w:t>.</w:t>
      </w:r>
      <w:r w:rsidRPr="004635E5">
        <w:rPr>
          <w:sz w:val="22"/>
          <w:szCs w:val="22"/>
          <w:lang w:val="en-AU"/>
        </w:rPr>
        <w:t xml:space="preserve"> Williams (SPC) presented </w:t>
      </w:r>
      <w:r w:rsidRPr="004635E5">
        <w:rPr>
          <w:bCs/>
          <w:sz w:val="22"/>
          <w:szCs w:val="22"/>
          <w:lang w:val="en-AU"/>
        </w:rPr>
        <w:t>SC14-ST-WP-01</w:t>
      </w:r>
      <w:r w:rsidRPr="004635E5">
        <w:rPr>
          <w:sz w:val="22"/>
          <w:szCs w:val="22"/>
          <w:lang w:val="en-AU"/>
        </w:rPr>
        <w:t xml:space="preserve"> </w:t>
      </w:r>
      <w:r w:rsidRPr="004635E5">
        <w:rPr>
          <w:i/>
          <w:sz w:val="22"/>
          <w:szCs w:val="22"/>
          <w:lang w:val="en-AU"/>
        </w:rPr>
        <w:t>Scientific data available to the Western and Central Pacific Fisheries Commission</w:t>
      </w:r>
      <w:r w:rsidR="006E476F" w:rsidRPr="004635E5">
        <w:rPr>
          <w:sz w:val="22"/>
          <w:szCs w:val="22"/>
          <w:lang w:val="en-AU"/>
        </w:rPr>
        <w:t>, and drew attention to SC14-ST-</w:t>
      </w:r>
      <w:r w:rsidR="00AF15F4" w:rsidRPr="004635E5">
        <w:rPr>
          <w:sz w:val="22"/>
          <w:szCs w:val="22"/>
          <w:lang w:val="en-AU"/>
        </w:rPr>
        <w:t>IP-02</w:t>
      </w:r>
      <w:r w:rsidR="006E476F" w:rsidRPr="004635E5">
        <w:rPr>
          <w:sz w:val="22"/>
          <w:szCs w:val="22"/>
          <w:lang w:val="en-AU"/>
        </w:rPr>
        <w:t xml:space="preserve"> </w:t>
      </w:r>
      <w:r w:rsidR="006E476F" w:rsidRPr="004635E5">
        <w:rPr>
          <w:i/>
          <w:sz w:val="22"/>
          <w:szCs w:val="22"/>
        </w:rPr>
        <w:t>Status of observer data management</w:t>
      </w:r>
      <w:r w:rsidR="006E476F" w:rsidRPr="004635E5">
        <w:rPr>
          <w:sz w:val="22"/>
          <w:szCs w:val="22"/>
        </w:rPr>
        <w:t>.</w:t>
      </w:r>
      <w:r w:rsidR="00AF15F4" w:rsidRPr="004635E5">
        <w:rPr>
          <w:sz w:val="22"/>
          <w:szCs w:val="22"/>
          <w:lang w:val="en-AU"/>
        </w:rPr>
        <w:t xml:space="preserve"> </w:t>
      </w:r>
      <w:r w:rsidR="00383822" w:rsidRPr="004635E5">
        <w:rPr>
          <w:rFonts w:eastAsia="Calibri"/>
          <w:sz w:val="22"/>
          <w:szCs w:val="22"/>
          <w:lang w:val="en-AU"/>
        </w:rPr>
        <w:t xml:space="preserve">All CCMs with fleets active in the WCPFC Convention Area </w:t>
      </w:r>
      <w:r w:rsidR="00C8100A" w:rsidRPr="004635E5">
        <w:rPr>
          <w:rFonts w:eastAsia="Calibri"/>
          <w:sz w:val="22"/>
          <w:szCs w:val="22"/>
          <w:lang w:val="en-AU"/>
        </w:rPr>
        <w:t>(</w:t>
      </w:r>
      <w:r w:rsidR="00C8100A" w:rsidRPr="004635E5">
        <w:rPr>
          <w:rFonts w:eastAsia="Calibri"/>
          <w:sz w:val="22"/>
          <w:szCs w:val="22"/>
          <w:lang w:val="en-GB"/>
        </w:rPr>
        <w:t xml:space="preserve">WCPFC-CA) </w:t>
      </w:r>
      <w:r w:rsidR="00383822" w:rsidRPr="004635E5">
        <w:rPr>
          <w:rFonts w:eastAsia="Calibri"/>
          <w:sz w:val="22"/>
          <w:szCs w:val="22"/>
          <w:lang w:val="en-AU"/>
        </w:rPr>
        <w:t>provided 2017 annual catch estimates by the deadline of the 30</w:t>
      </w:r>
      <w:r w:rsidR="00383822" w:rsidRPr="004635E5">
        <w:rPr>
          <w:rFonts w:eastAsia="Calibri"/>
          <w:sz w:val="22"/>
          <w:szCs w:val="22"/>
          <w:vertAlign w:val="superscript"/>
          <w:lang w:val="en-AU"/>
        </w:rPr>
        <w:t>th</w:t>
      </w:r>
      <w:r w:rsidR="00383822" w:rsidRPr="004635E5">
        <w:rPr>
          <w:rFonts w:eastAsia="Calibri"/>
          <w:sz w:val="22"/>
          <w:szCs w:val="22"/>
          <w:lang w:val="en-AU"/>
        </w:rPr>
        <w:t xml:space="preserve"> April 2018, and there were no major data gaps, a significant achievement. The issues previously reported in annual catch estimates </w:t>
      </w:r>
      <w:r w:rsidR="00556F84" w:rsidRPr="004635E5">
        <w:rPr>
          <w:rFonts w:eastAsia="Calibri"/>
          <w:sz w:val="22"/>
          <w:szCs w:val="22"/>
          <w:lang w:val="en-AU"/>
        </w:rPr>
        <w:t xml:space="preserve">were </w:t>
      </w:r>
      <w:r w:rsidR="00383822" w:rsidRPr="004635E5">
        <w:rPr>
          <w:rFonts w:eastAsia="Calibri"/>
          <w:sz w:val="22"/>
          <w:szCs w:val="22"/>
          <w:lang w:val="en-AU"/>
        </w:rPr>
        <w:t>further reduced and the lack of any estimat</w:t>
      </w:r>
      <w:r w:rsidR="00556F84" w:rsidRPr="004635E5">
        <w:rPr>
          <w:rFonts w:eastAsia="Calibri"/>
          <w:sz w:val="22"/>
          <w:szCs w:val="22"/>
          <w:lang w:val="en-AU"/>
        </w:rPr>
        <w:t>es for key shark species remained</w:t>
      </w:r>
      <w:r w:rsidR="00383822" w:rsidRPr="004635E5">
        <w:rPr>
          <w:rFonts w:eastAsia="Calibri"/>
          <w:sz w:val="22"/>
          <w:szCs w:val="22"/>
          <w:lang w:val="en-AU"/>
        </w:rPr>
        <w:t xml:space="preserve"> the main gap for some CCMs, particularly in years before 2017. </w:t>
      </w:r>
    </w:p>
    <w:p w14:paraId="395646D5" w14:textId="77777777" w:rsidR="00383822" w:rsidRPr="004635E5" w:rsidRDefault="00383822" w:rsidP="006633A8">
      <w:pPr>
        <w:adjustRightInd w:val="0"/>
        <w:snapToGrid w:val="0"/>
        <w:rPr>
          <w:rFonts w:eastAsia="Calibri"/>
          <w:sz w:val="22"/>
          <w:szCs w:val="22"/>
          <w:lang w:val="en-AU"/>
        </w:rPr>
      </w:pPr>
    </w:p>
    <w:p w14:paraId="3DE81F10" w14:textId="77777777" w:rsidR="00F5445A" w:rsidRPr="004635E5" w:rsidRDefault="00383822" w:rsidP="00580EA4">
      <w:pPr>
        <w:numPr>
          <w:ilvl w:val="0"/>
          <w:numId w:val="18"/>
        </w:numPr>
        <w:autoSpaceDE w:val="0"/>
        <w:autoSpaceDN w:val="0"/>
        <w:adjustRightInd w:val="0"/>
        <w:snapToGrid w:val="0"/>
        <w:ind w:left="0" w:firstLine="0"/>
        <w:jc w:val="both"/>
        <w:rPr>
          <w:rFonts w:eastAsia="Calibri"/>
          <w:sz w:val="22"/>
          <w:szCs w:val="22"/>
          <w:lang w:val="en-AU"/>
        </w:rPr>
      </w:pPr>
      <w:r w:rsidRPr="004635E5">
        <w:rPr>
          <w:rFonts w:eastAsia="Calibri"/>
          <w:sz w:val="22"/>
          <w:szCs w:val="22"/>
          <w:lang w:val="en-AU"/>
        </w:rPr>
        <w:t xml:space="preserve">Aggregate catch/effort data for 2017 were </w:t>
      </w:r>
      <w:r w:rsidR="00556F84" w:rsidRPr="004635E5">
        <w:rPr>
          <w:rFonts w:eastAsia="Calibri"/>
          <w:sz w:val="22"/>
          <w:szCs w:val="22"/>
          <w:lang w:val="en-AU"/>
        </w:rPr>
        <w:t>provided by the deadline of 30</w:t>
      </w:r>
      <w:r w:rsidRPr="004635E5">
        <w:rPr>
          <w:rFonts w:eastAsia="Calibri"/>
          <w:sz w:val="22"/>
          <w:szCs w:val="22"/>
          <w:lang w:val="en-AU"/>
        </w:rPr>
        <w:t xml:space="preserve"> April 2018 for all but one fleet, but this gap (2017 data for the US albacore troll fleet) was resolved in early August 2018 </w:t>
      </w:r>
      <w:r w:rsidR="00556F84" w:rsidRPr="004635E5">
        <w:rPr>
          <w:rFonts w:eastAsia="Calibri"/>
          <w:sz w:val="22"/>
          <w:szCs w:val="22"/>
          <w:lang w:val="en-AU"/>
        </w:rPr>
        <w:t xml:space="preserve">following </w:t>
      </w:r>
      <w:r w:rsidRPr="004635E5">
        <w:rPr>
          <w:rFonts w:eastAsia="Calibri"/>
          <w:sz w:val="22"/>
          <w:szCs w:val="22"/>
          <w:lang w:val="en-AU"/>
        </w:rPr>
        <w:t>submission</w:t>
      </w:r>
      <w:r w:rsidR="00556F84" w:rsidRPr="004635E5">
        <w:rPr>
          <w:rFonts w:eastAsia="Calibri"/>
          <w:sz w:val="22"/>
          <w:szCs w:val="22"/>
          <w:lang w:val="en-AU"/>
        </w:rPr>
        <w:t xml:space="preserve"> of the paper</w:t>
      </w:r>
      <w:r w:rsidRPr="004635E5">
        <w:rPr>
          <w:rFonts w:eastAsia="Calibri"/>
          <w:sz w:val="22"/>
          <w:szCs w:val="22"/>
          <w:lang w:val="en-AU"/>
        </w:rPr>
        <w:t xml:space="preserve">. The quality of aggregate data provided </w:t>
      </w:r>
      <w:r w:rsidR="00556F84" w:rsidRPr="004635E5">
        <w:rPr>
          <w:rFonts w:eastAsia="Calibri"/>
          <w:sz w:val="22"/>
          <w:szCs w:val="22"/>
          <w:lang w:val="en-AU"/>
        </w:rPr>
        <w:t>has continued</w:t>
      </w:r>
      <w:r w:rsidRPr="004635E5">
        <w:rPr>
          <w:rFonts w:eastAsia="Calibri"/>
          <w:sz w:val="22"/>
          <w:szCs w:val="22"/>
          <w:lang w:val="en-AU"/>
        </w:rPr>
        <w:t xml:space="preserve"> to improve with a reduction in the number of data-gap notes assigned to the aggregate data in recent years. </w:t>
      </w:r>
      <w:r w:rsidR="009130BC" w:rsidRPr="004635E5">
        <w:rPr>
          <w:rFonts w:eastAsia="Calibri"/>
          <w:sz w:val="22"/>
          <w:szCs w:val="22"/>
          <w:lang w:val="en-AU"/>
        </w:rPr>
        <w:t xml:space="preserve">The primary remaining </w:t>
      </w:r>
      <w:r w:rsidRPr="004635E5">
        <w:rPr>
          <w:rFonts w:eastAsia="Calibri"/>
          <w:sz w:val="22"/>
          <w:szCs w:val="22"/>
          <w:lang w:val="en-AU"/>
        </w:rPr>
        <w:t xml:space="preserve">issues include the reporting of key shark species catches for some CCMs. The main development in the resolution of operational data gaps over the past year </w:t>
      </w:r>
      <w:r w:rsidR="009130BC" w:rsidRPr="004635E5">
        <w:rPr>
          <w:rFonts w:eastAsia="Calibri"/>
          <w:sz w:val="22"/>
          <w:szCs w:val="22"/>
          <w:lang w:val="en-AU"/>
        </w:rPr>
        <w:t xml:space="preserve">was </w:t>
      </w:r>
      <w:r w:rsidRPr="004635E5">
        <w:rPr>
          <w:rFonts w:eastAsia="Calibri"/>
          <w:sz w:val="22"/>
          <w:szCs w:val="22"/>
          <w:lang w:val="en-AU"/>
        </w:rPr>
        <w:t>provision of full 2017 operational data for the Chinese Taipei longline and purse seine fleets. The continued provision of operational data for the Japanese, Chinese and Korean tuna fleets is also noteworthy. One gap in the provision of 2017 size data (EU-Spain longline fleet) was resolved prior to SC14, after the paper submission.</w:t>
      </w:r>
    </w:p>
    <w:p w14:paraId="0CFC7FCF" w14:textId="77777777" w:rsidR="00F5445A" w:rsidRPr="004635E5" w:rsidRDefault="00F5445A" w:rsidP="006633A8">
      <w:pPr>
        <w:autoSpaceDE w:val="0"/>
        <w:autoSpaceDN w:val="0"/>
        <w:adjustRightInd w:val="0"/>
        <w:snapToGrid w:val="0"/>
        <w:jc w:val="both"/>
        <w:rPr>
          <w:rFonts w:eastAsia="Calibri"/>
          <w:sz w:val="22"/>
          <w:szCs w:val="22"/>
          <w:lang w:val="en-AU"/>
        </w:rPr>
      </w:pPr>
    </w:p>
    <w:p w14:paraId="4DBFD741" w14:textId="77777777" w:rsidR="00383822" w:rsidRPr="004635E5" w:rsidRDefault="00383822" w:rsidP="00580EA4">
      <w:pPr>
        <w:numPr>
          <w:ilvl w:val="0"/>
          <w:numId w:val="18"/>
        </w:numPr>
        <w:autoSpaceDE w:val="0"/>
        <w:autoSpaceDN w:val="0"/>
        <w:adjustRightInd w:val="0"/>
        <w:snapToGrid w:val="0"/>
        <w:ind w:left="0" w:firstLine="0"/>
        <w:jc w:val="both"/>
        <w:rPr>
          <w:rFonts w:eastAsia="Calibri"/>
          <w:sz w:val="22"/>
          <w:szCs w:val="22"/>
          <w:lang w:val="en-AU"/>
        </w:rPr>
      </w:pPr>
      <w:r w:rsidRPr="004635E5">
        <w:rPr>
          <w:sz w:val="22"/>
          <w:szCs w:val="22"/>
        </w:rPr>
        <w:t>P. Williams briefly outlined a project to enhance conversion factor data for the work of the Commission, noting that it is a data gap, and referring to SC14</w:t>
      </w:r>
      <w:r w:rsidR="00347BA9">
        <w:rPr>
          <w:sz w:val="22"/>
          <w:szCs w:val="22"/>
        </w:rPr>
        <w:t>-</w:t>
      </w:r>
      <w:r w:rsidRPr="004635E5">
        <w:rPr>
          <w:sz w:val="22"/>
          <w:szCs w:val="22"/>
        </w:rPr>
        <w:t>ST</w:t>
      </w:r>
      <w:r w:rsidR="0069399C" w:rsidRPr="004635E5">
        <w:rPr>
          <w:sz w:val="22"/>
          <w:szCs w:val="22"/>
        </w:rPr>
        <w:t>-</w:t>
      </w:r>
      <w:r w:rsidRPr="004635E5">
        <w:rPr>
          <w:sz w:val="22"/>
          <w:szCs w:val="22"/>
        </w:rPr>
        <w:t>WP-05</w:t>
      </w:r>
      <w:r w:rsidR="009130BC" w:rsidRPr="004635E5">
        <w:rPr>
          <w:sz w:val="22"/>
          <w:szCs w:val="22"/>
        </w:rPr>
        <w:t xml:space="preserve"> </w:t>
      </w:r>
      <w:r w:rsidR="009130BC" w:rsidRPr="004635E5">
        <w:rPr>
          <w:i/>
          <w:sz w:val="22"/>
          <w:szCs w:val="22"/>
        </w:rPr>
        <w:t>Requirements for Enhancing Conversion Factor Information</w:t>
      </w:r>
      <w:r w:rsidR="009130BC" w:rsidRPr="004635E5">
        <w:rPr>
          <w:sz w:val="22"/>
          <w:szCs w:val="22"/>
        </w:rPr>
        <w:t>;</w:t>
      </w:r>
      <w:r w:rsidRPr="004635E5">
        <w:rPr>
          <w:sz w:val="22"/>
          <w:szCs w:val="22"/>
        </w:rPr>
        <w:t xml:space="preserve"> SC14 was invited to consider the draft Project 90 proposal </w:t>
      </w:r>
      <w:r w:rsidR="009130BC" w:rsidRPr="004635E5">
        <w:rPr>
          <w:sz w:val="22"/>
          <w:szCs w:val="22"/>
        </w:rPr>
        <w:t xml:space="preserve">(in </w:t>
      </w:r>
      <w:r w:rsidRPr="004635E5">
        <w:rPr>
          <w:sz w:val="22"/>
          <w:szCs w:val="22"/>
        </w:rPr>
        <w:t>Annex 3</w:t>
      </w:r>
      <w:r w:rsidR="009130BC" w:rsidRPr="004635E5">
        <w:rPr>
          <w:sz w:val="22"/>
          <w:szCs w:val="22"/>
        </w:rPr>
        <w:t>)</w:t>
      </w:r>
      <w:r w:rsidRPr="004635E5">
        <w:rPr>
          <w:sz w:val="22"/>
          <w:szCs w:val="22"/>
        </w:rPr>
        <w:t xml:space="preserve">, and review and prioritize the list of work items. In reference to SC14 ST IP-02 (Status of ROP data management), P. Williams noted the deterioration in the timeliness in the provision of purse seine observer data for 2017 activities compared to the previous year, and that this affected certain work for SC14 (e.g. the estimation of purse seine species composition). The SPC will be working with respective observer providers in the hope of resolving any issues that caused this delay in observer data provisions. Other matters raised in the presentation included a proposal for improving the coverage/quality of estimates of discards/releases in the longline fishery and an update of the potential uses of </w:t>
      </w:r>
      <w:r w:rsidR="0069399C" w:rsidRPr="004635E5">
        <w:rPr>
          <w:sz w:val="22"/>
          <w:szCs w:val="22"/>
        </w:rPr>
        <w:t>cannery data (referring to SC14-ST-</w:t>
      </w:r>
      <w:r w:rsidRPr="004635E5">
        <w:rPr>
          <w:sz w:val="22"/>
          <w:szCs w:val="22"/>
        </w:rPr>
        <w:t>IP-03</w:t>
      </w:r>
      <w:r w:rsidR="0069399C" w:rsidRPr="004635E5">
        <w:rPr>
          <w:sz w:val="22"/>
          <w:szCs w:val="22"/>
        </w:rPr>
        <w:t xml:space="preserve"> </w:t>
      </w:r>
      <w:r w:rsidR="0069399C" w:rsidRPr="004635E5">
        <w:rPr>
          <w:i/>
          <w:sz w:val="22"/>
          <w:szCs w:val="22"/>
          <w:lang w:val="en-AU"/>
        </w:rPr>
        <w:t>Update on the use of cannery receipt data for the scientific work of the WCPFC</w:t>
      </w:r>
      <w:r w:rsidRPr="004635E5">
        <w:rPr>
          <w:sz w:val="22"/>
          <w:szCs w:val="22"/>
        </w:rPr>
        <w:t xml:space="preserve">). </w:t>
      </w:r>
    </w:p>
    <w:p w14:paraId="53B1B526" w14:textId="77777777" w:rsidR="00F5445A" w:rsidRPr="004635E5" w:rsidRDefault="00F5445A" w:rsidP="006633A8">
      <w:pPr>
        <w:autoSpaceDE w:val="0"/>
        <w:autoSpaceDN w:val="0"/>
        <w:adjustRightInd w:val="0"/>
        <w:snapToGrid w:val="0"/>
        <w:jc w:val="both"/>
        <w:rPr>
          <w:b/>
          <w:sz w:val="22"/>
          <w:szCs w:val="22"/>
          <w:lang w:val="en-AU"/>
        </w:rPr>
      </w:pPr>
    </w:p>
    <w:p w14:paraId="637F5928" w14:textId="77777777" w:rsidR="00BD7B2A" w:rsidRPr="004635E5" w:rsidRDefault="00BD7B2A" w:rsidP="006633A8">
      <w:pPr>
        <w:autoSpaceDE w:val="0"/>
        <w:autoSpaceDN w:val="0"/>
        <w:adjustRightInd w:val="0"/>
        <w:snapToGrid w:val="0"/>
        <w:jc w:val="both"/>
        <w:rPr>
          <w:b/>
          <w:sz w:val="22"/>
          <w:szCs w:val="22"/>
          <w:lang w:val="en-AU"/>
        </w:rPr>
      </w:pPr>
      <w:r w:rsidRPr="004635E5">
        <w:rPr>
          <w:b/>
          <w:sz w:val="22"/>
          <w:szCs w:val="22"/>
          <w:lang w:val="en-AU"/>
        </w:rPr>
        <w:t>Discussion</w:t>
      </w:r>
    </w:p>
    <w:p w14:paraId="278C3205" w14:textId="77777777" w:rsidR="00F5445A" w:rsidRPr="004635E5" w:rsidRDefault="00F5445A" w:rsidP="006633A8">
      <w:pPr>
        <w:autoSpaceDE w:val="0"/>
        <w:autoSpaceDN w:val="0"/>
        <w:adjustRightInd w:val="0"/>
        <w:snapToGrid w:val="0"/>
        <w:jc w:val="both"/>
        <w:rPr>
          <w:sz w:val="22"/>
          <w:szCs w:val="22"/>
          <w:highlight w:val="cyan"/>
          <w:lang w:val="en-AU"/>
        </w:rPr>
      </w:pPr>
    </w:p>
    <w:p w14:paraId="48679F2A" w14:textId="77777777" w:rsidR="00E00722" w:rsidRPr="004635E5" w:rsidRDefault="002072E1"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Japan thank</w:t>
      </w:r>
      <w:r w:rsidR="009A1CA0" w:rsidRPr="004635E5">
        <w:rPr>
          <w:sz w:val="22"/>
          <w:szCs w:val="22"/>
          <w:lang w:val="en-AU"/>
        </w:rPr>
        <w:t xml:space="preserve">ed the presenters, and </w:t>
      </w:r>
      <w:r w:rsidR="009130BC" w:rsidRPr="004635E5">
        <w:rPr>
          <w:sz w:val="22"/>
          <w:szCs w:val="22"/>
          <w:lang w:val="en-AU"/>
        </w:rPr>
        <w:t xml:space="preserve">stated </w:t>
      </w:r>
      <w:r w:rsidR="009A1CA0" w:rsidRPr="004635E5">
        <w:rPr>
          <w:sz w:val="22"/>
          <w:szCs w:val="22"/>
          <w:lang w:val="en-AU"/>
        </w:rPr>
        <w:t xml:space="preserve">that the </w:t>
      </w:r>
      <w:r w:rsidRPr="004635E5">
        <w:rPr>
          <w:sz w:val="22"/>
          <w:szCs w:val="22"/>
          <w:lang w:val="en-AU"/>
        </w:rPr>
        <w:t>issue of estim</w:t>
      </w:r>
      <w:r w:rsidR="009A1CA0" w:rsidRPr="004635E5">
        <w:rPr>
          <w:sz w:val="22"/>
          <w:szCs w:val="22"/>
          <w:lang w:val="en-AU"/>
        </w:rPr>
        <w:t xml:space="preserve">ating </w:t>
      </w:r>
      <w:r w:rsidRPr="004635E5">
        <w:rPr>
          <w:sz w:val="22"/>
          <w:szCs w:val="22"/>
          <w:lang w:val="en-AU"/>
        </w:rPr>
        <w:t xml:space="preserve">discards involves many aspects, some technical </w:t>
      </w:r>
      <w:r w:rsidR="009A1CA0" w:rsidRPr="004635E5">
        <w:rPr>
          <w:sz w:val="22"/>
          <w:szCs w:val="22"/>
          <w:lang w:val="en-AU"/>
        </w:rPr>
        <w:t xml:space="preserve">in </w:t>
      </w:r>
      <w:r w:rsidRPr="004635E5">
        <w:rPr>
          <w:sz w:val="22"/>
          <w:szCs w:val="22"/>
          <w:lang w:val="en-AU"/>
        </w:rPr>
        <w:t xml:space="preserve">nature. </w:t>
      </w:r>
      <w:r w:rsidR="009130BC" w:rsidRPr="004635E5">
        <w:rPr>
          <w:sz w:val="22"/>
          <w:szCs w:val="22"/>
          <w:lang w:val="en-AU"/>
        </w:rPr>
        <w:t xml:space="preserve">Japan </w:t>
      </w:r>
      <w:r w:rsidR="009A1CA0" w:rsidRPr="004635E5">
        <w:rPr>
          <w:sz w:val="22"/>
          <w:szCs w:val="22"/>
          <w:lang w:val="en-AU"/>
        </w:rPr>
        <w:t xml:space="preserve">asked whether </w:t>
      </w:r>
      <w:r w:rsidRPr="004635E5">
        <w:rPr>
          <w:sz w:val="22"/>
          <w:szCs w:val="22"/>
          <w:lang w:val="en-AU"/>
        </w:rPr>
        <w:t xml:space="preserve">reported discards </w:t>
      </w:r>
      <w:r w:rsidR="009A1CA0" w:rsidRPr="004635E5">
        <w:rPr>
          <w:sz w:val="22"/>
          <w:szCs w:val="22"/>
          <w:lang w:val="en-AU"/>
        </w:rPr>
        <w:t xml:space="preserve">would be </w:t>
      </w:r>
      <w:r w:rsidRPr="004635E5">
        <w:rPr>
          <w:sz w:val="22"/>
          <w:szCs w:val="22"/>
          <w:lang w:val="en-AU"/>
        </w:rPr>
        <w:t xml:space="preserve">counted as dead </w:t>
      </w:r>
      <w:r w:rsidR="009A1CA0" w:rsidRPr="004635E5">
        <w:rPr>
          <w:sz w:val="22"/>
          <w:szCs w:val="22"/>
          <w:lang w:val="en-AU"/>
        </w:rPr>
        <w:t xml:space="preserve">if data </w:t>
      </w:r>
      <w:r w:rsidR="009130BC" w:rsidRPr="004635E5">
        <w:rPr>
          <w:sz w:val="22"/>
          <w:szCs w:val="22"/>
          <w:lang w:val="en-AU"/>
        </w:rPr>
        <w:t xml:space="preserve">are </w:t>
      </w:r>
      <w:r w:rsidR="009A1CA0" w:rsidRPr="004635E5">
        <w:rPr>
          <w:sz w:val="22"/>
          <w:szCs w:val="22"/>
          <w:lang w:val="en-AU"/>
        </w:rPr>
        <w:t>used in s</w:t>
      </w:r>
      <w:r w:rsidRPr="004635E5">
        <w:rPr>
          <w:sz w:val="22"/>
          <w:szCs w:val="22"/>
          <w:lang w:val="en-AU"/>
        </w:rPr>
        <w:t xml:space="preserve">tock </w:t>
      </w:r>
      <w:r w:rsidR="009A1CA0" w:rsidRPr="004635E5">
        <w:rPr>
          <w:sz w:val="22"/>
          <w:szCs w:val="22"/>
          <w:lang w:val="en-AU"/>
        </w:rPr>
        <w:t>a</w:t>
      </w:r>
      <w:r w:rsidRPr="004635E5">
        <w:rPr>
          <w:sz w:val="22"/>
          <w:szCs w:val="22"/>
          <w:lang w:val="en-AU"/>
        </w:rPr>
        <w:t>ss</w:t>
      </w:r>
      <w:r w:rsidR="009A1CA0" w:rsidRPr="004635E5">
        <w:rPr>
          <w:sz w:val="22"/>
          <w:szCs w:val="22"/>
          <w:lang w:val="en-AU"/>
        </w:rPr>
        <w:t>essments</w:t>
      </w:r>
      <w:r w:rsidR="009130BC" w:rsidRPr="004635E5">
        <w:rPr>
          <w:sz w:val="22"/>
          <w:szCs w:val="22"/>
          <w:lang w:val="en-AU"/>
        </w:rPr>
        <w:t xml:space="preserve">, and stated </w:t>
      </w:r>
      <w:r w:rsidR="009A1CA0" w:rsidRPr="004635E5">
        <w:rPr>
          <w:sz w:val="22"/>
          <w:szCs w:val="22"/>
          <w:lang w:val="en-AU"/>
        </w:rPr>
        <w:t xml:space="preserve">that </w:t>
      </w:r>
      <w:r w:rsidRPr="004635E5">
        <w:rPr>
          <w:sz w:val="22"/>
          <w:szCs w:val="22"/>
          <w:lang w:val="en-AU"/>
        </w:rPr>
        <w:t>distinguish</w:t>
      </w:r>
      <w:r w:rsidR="009A1CA0" w:rsidRPr="004635E5">
        <w:rPr>
          <w:sz w:val="22"/>
          <w:szCs w:val="22"/>
          <w:lang w:val="en-AU"/>
        </w:rPr>
        <w:t>ing</w:t>
      </w:r>
      <w:r w:rsidRPr="004635E5">
        <w:rPr>
          <w:sz w:val="22"/>
          <w:szCs w:val="22"/>
          <w:lang w:val="en-AU"/>
        </w:rPr>
        <w:t xml:space="preserve"> dead</w:t>
      </w:r>
      <w:r w:rsidR="009A1CA0" w:rsidRPr="004635E5">
        <w:rPr>
          <w:sz w:val="22"/>
          <w:szCs w:val="22"/>
          <w:lang w:val="en-AU"/>
        </w:rPr>
        <w:t xml:space="preserve"> and live discards via </w:t>
      </w:r>
      <w:r w:rsidRPr="004635E5">
        <w:rPr>
          <w:sz w:val="22"/>
          <w:szCs w:val="22"/>
          <w:lang w:val="en-AU"/>
        </w:rPr>
        <w:t>logbook</w:t>
      </w:r>
      <w:r w:rsidR="009A1CA0" w:rsidRPr="004635E5">
        <w:rPr>
          <w:sz w:val="22"/>
          <w:szCs w:val="22"/>
          <w:lang w:val="en-AU"/>
        </w:rPr>
        <w:t xml:space="preserve">s would constitute an </w:t>
      </w:r>
      <w:r w:rsidRPr="004635E5">
        <w:rPr>
          <w:sz w:val="22"/>
          <w:szCs w:val="22"/>
          <w:lang w:val="en-AU"/>
        </w:rPr>
        <w:t>additional burden</w:t>
      </w:r>
      <w:r w:rsidR="009A1CA0" w:rsidRPr="004635E5">
        <w:rPr>
          <w:sz w:val="22"/>
          <w:szCs w:val="22"/>
          <w:lang w:val="en-AU"/>
        </w:rPr>
        <w:t xml:space="preserve">, especially in view of </w:t>
      </w:r>
      <w:r w:rsidRPr="004635E5">
        <w:rPr>
          <w:sz w:val="22"/>
          <w:szCs w:val="22"/>
          <w:lang w:val="en-AU"/>
        </w:rPr>
        <w:t xml:space="preserve">recent </w:t>
      </w:r>
      <w:r w:rsidR="009A1CA0" w:rsidRPr="004635E5">
        <w:rPr>
          <w:sz w:val="22"/>
          <w:szCs w:val="22"/>
          <w:lang w:val="en-AU"/>
        </w:rPr>
        <w:t xml:space="preserve">medications made in </w:t>
      </w:r>
      <w:r w:rsidRPr="004635E5">
        <w:rPr>
          <w:sz w:val="22"/>
          <w:szCs w:val="22"/>
          <w:lang w:val="en-AU"/>
        </w:rPr>
        <w:t xml:space="preserve">logbook recording. </w:t>
      </w:r>
      <w:r w:rsidR="009130BC" w:rsidRPr="004635E5">
        <w:rPr>
          <w:sz w:val="22"/>
          <w:szCs w:val="22"/>
          <w:lang w:val="en-AU"/>
        </w:rPr>
        <w:t xml:space="preserve">They </w:t>
      </w:r>
      <w:r w:rsidR="009A1CA0" w:rsidRPr="004635E5">
        <w:rPr>
          <w:sz w:val="22"/>
          <w:szCs w:val="22"/>
          <w:lang w:val="en-AU"/>
        </w:rPr>
        <w:t xml:space="preserve">observed it is </w:t>
      </w:r>
      <w:r w:rsidRPr="004635E5">
        <w:rPr>
          <w:sz w:val="22"/>
          <w:szCs w:val="22"/>
          <w:lang w:val="en-AU"/>
        </w:rPr>
        <w:t>sometimes diff</w:t>
      </w:r>
      <w:r w:rsidR="009A1CA0" w:rsidRPr="004635E5">
        <w:rPr>
          <w:sz w:val="22"/>
          <w:szCs w:val="22"/>
          <w:lang w:val="en-AU"/>
        </w:rPr>
        <w:t>icult</w:t>
      </w:r>
      <w:r w:rsidRPr="004635E5">
        <w:rPr>
          <w:sz w:val="22"/>
          <w:szCs w:val="22"/>
          <w:lang w:val="en-AU"/>
        </w:rPr>
        <w:t xml:space="preserve"> to report </w:t>
      </w:r>
      <w:r w:rsidR="004421B3" w:rsidRPr="004635E5">
        <w:rPr>
          <w:sz w:val="22"/>
          <w:szCs w:val="22"/>
          <w:lang w:val="en-AU"/>
        </w:rPr>
        <w:t>longline</w:t>
      </w:r>
      <w:r w:rsidRPr="004635E5">
        <w:rPr>
          <w:sz w:val="22"/>
          <w:szCs w:val="22"/>
          <w:lang w:val="en-AU"/>
        </w:rPr>
        <w:t xml:space="preserve"> bycatch by weight, </w:t>
      </w:r>
      <w:r w:rsidR="00A00962" w:rsidRPr="004635E5">
        <w:rPr>
          <w:sz w:val="22"/>
          <w:szCs w:val="22"/>
          <w:lang w:val="en-AU"/>
        </w:rPr>
        <w:t>suggested that CCMs be allowed to report</w:t>
      </w:r>
      <w:r w:rsidR="009A1CA0" w:rsidRPr="004635E5">
        <w:rPr>
          <w:sz w:val="22"/>
          <w:szCs w:val="22"/>
          <w:lang w:val="en-AU"/>
        </w:rPr>
        <w:t xml:space="preserve"> by </w:t>
      </w:r>
      <w:r w:rsidRPr="004635E5">
        <w:rPr>
          <w:sz w:val="22"/>
          <w:szCs w:val="22"/>
          <w:lang w:val="en-AU"/>
        </w:rPr>
        <w:t>either weight or number</w:t>
      </w:r>
      <w:r w:rsidR="00F006DB" w:rsidRPr="004635E5">
        <w:rPr>
          <w:sz w:val="22"/>
          <w:szCs w:val="22"/>
          <w:lang w:val="en-AU"/>
        </w:rPr>
        <w:t xml:space="preserve">, and </w:t>
      </w:r>
      <w:r w:rsidR="009A1CA0" w:rsidRPr="004635E5">
        <w:rPr>
          <w:sz w:val="22"/>
          <w:szCs w:val="22"/>
          <w:lang w:val="en-AU"/>
        </w:rPr>
        <w:t>inquired what SPC meant by “suggestions” with regard to change</w:t>
      </w:r>
      <w:r w:rsidR="00F006DB" w:rsidRPr="004635E5">
        <w:rPr>
          <w:sz w:val="22"/>
          <w:szCs w:val="22"/>
          <w:lang w:val="en-AU"/>
        </w:rPr>
        <w:t>s</w:t>
      </w:r>
      <w:r w:rsidR="009A1CA0" w:rsidRPr="004635E5">
        <w:rPr>
          <w:sz w:val="22"/>
          <w:szCs w:val="22"/>
          <w:lang w:val="en-AU"/>
        </w:rPr>
        <w:t xml:space="preserve"> in reporting.</w:t>
      </w:r>
      <w:r w:rsidR="00A6789D" w:rsidRPr="004635E5">
        <w:rPr>
          <w:sz w:val="22"/>
          <w:szCs w:val="22"/>
          <w:lang w:val="en-AU"/>
        </w:rPr>
        <w:t xml:space="preserve"> </w:t>
      </w:r>
      <w:r w:rsidRPr="004635E5">
        <w:rPr>
          <w:sz w:val="22"/>
          <w:szCs w:val="22"/>
          <w:lang w:val="en-AU"/>
        </w:rPr>
        <w:t>P</w:t>
      </w:r>
      <w:r w:rsidR="006E476F" w:rsidRPr="004635E5">
        <w:rPr>
          <w:sz w:val="22"/>
          <w:szCs w:val="22"/>
          <w:lang w:val="en-AU"/>
        </w:rPr>
        <w:t xml:space="preserve">. Williams </w:t>
      </w:r>
      <w:r w:rsidR="009A1CA0" w:rsidRPr="004635E5">
        <w:rPr>
          <w:sz w:val="22"/>
          <w:szCs w:val="22"/>
          <w:lang w:val="en-AU"/>
        </w:rPr>
        <w:t>a</w:t>
      </w:r>
      <w:r w:rsidRPr="004635E5">
        <w:rPr>
          <w:sz w:val="22"/>
          <w:szCs w:val="22"/>
          <w:lang w:val="en-AU"/>
        </w:rPr>
        <w:t>cknowledge</w:t>
      </w:r>
      <w:r w:rsidR="009A1CA0" w:rsidRPr="004635E5">
        <w:rPr>
          <w:sz w:val="22"/>
          <w:szCs w:val="22"/>
          <w:lang w:val="en-AU"/>
        </w:rPr>
        <w:t>d</w:t>
      </w:r>
      <w:r w:rsidRPr="004635E5">
        <w:rPr>
          <w:sz w:val="22"/>
          <w:szCs w:val="22"/>
          <w:lang w:val="en-AU"/>
        </w:rPr>
        <w:t xml:space="preserve"> that </w:t>
      </w:r>
      <w:r w:rsidR="009A1CA0" w:rsidRPr="004635E5">
        <w:rPr>
          <w:sz w:val="22"/>
          <w:szCs w:val="22"/>
          <w:lang w:val="en-AU"/>
        </w:rPr>
        <w:t xml:space="preserve">the supply of data had just been </w:t>
      </w:r>
      <w:r w:rsidRPr="004635E5">
        <w:rPr>
          <w:sz w:val="22"/>
          <w:szCs w:val="22"/>
          <w:lang w:val="en-AU"/>
        </w:rPr>
        <w:t>reviewed</w:t>
      </w:r>
      <w:r w:rsidR="009A1CA0" w:rsidRPr="004635E5">
        <w:rPr>
          <w:sz w:val="22"/>
          <w:szCs w:val="22"/>
          <w:lang w:val="en-AU"/>
        </w:rPr>
        <w:t xml:space="preserve">, and that the suggestions in the paper sought to inform </w:t>
      </w:r>
      <w:r w:rsidRPr="004635E5">
        <w:rPr>
          <w:sz w:val="22"/>
          <w:szCs w:val="22"/>
          <w:lang w:val="en-AU"/>
        </w:rPr>
        <w:t xml:space="preserve">CCMs </w:t>
      </w:r>
      <w:r w:rsidR="009A1CA0" w:rsidRPr="004635E5">
        <w:rPr>
          <w:sz w:val="22"/>
          <w:szCs w:val="22"/>
          <w:lang w:val="en-AU"/>
        </w:rPr>
        <w:t xml:space="preserve">that if the potential existed for them to </w:t>
      </w:r>
      <w:r w:rsidRPr="004635E5">
        <w:rPr>
          <w:sz w:val="22"/>
          <w:szCs w:val="22"/>
          <w:lang w:val="en-AU"/>
        </w:rPr>
        <w:t>mod</w:t>
      </w:r>
      <w:r w:rsidR="009A1CA0" w:rsidRPr="004635E5">
        <w:rPr>
          <w:sz w:val="22"/>
          <w:szCs w:val="22"/>
          <w:lang w:val="en-AU"/>
        </w:rPr>
        <w:t>ify their</w:t>
      </w:r>
      <w:r w:rsidRPr="004635E5">
        <w:rPr>
          <w:sz w:val="22"/>
          <w:szCs w:val="22"/>
          <w:lang w:val="en-AU"/>
        </w:rPr>
        <w:t xml:space="preserve"> logbooks, that would be </w:t>
      </w:r>
      <w:r w:rsidR="009A1CA0" w:rsidRPr="004635E5">
        <w:rPr>
          <w:sz w:val="22"/>
          <w:szCs w:val="22"/>
          <w:lang w:val="en-AU"/>
        </w:rPr>
        <w:t>welcomed</w:t>
      </w:r>
      <w:r w:rsidRPr="004635E5">
        <w:rPr>
          <w:sz w:val="22"/>
          <w:szCs w:val="22"/>
          <w:lang w:val="en-AU"/>
        </w:rPr>
        <w:t xml:space="preserve">. </w:t>
      </w:r>
      <w:r w:rsidR="009A1CA0" w:rsidRPr="004635E5">
        <w:rPr>
          <w:sz w:val="22"/>
          <w:szCs w:val="22"/>
          <w:lang w:val="en-AU"/>
        </w:rPr>
        <w:t xml:space="preserve">He noted that they would </w:t>
      </w:r>
      <w:r w:rsidRPr="004635E5">
        <w:rPr>
          <w:sz w:val="22"/>
          <w:szCs w:val="22"/>
          <w:lang w:val="en-AU"/>
        </w:rPr>
        <w:t xml:space="preserve">return to </w:t>
      </w:r>
      <w:r w:rsidR="009A1CA0" w:rsidRPr="004635E5">
        <w:rPr>
          <w:sz w:val="22"/>
          <w:szCs w:val="22"/>
          <w:lang w:val="en-AU"/>
        </w:rPr>
        <w:t>the topic in the future, and that the p</w:t>
      </w:r>
      <w:r w:rsidRPr="004635E5">
        <w:rPr>
          <w:sz w:val="22"/>
          <w:szCs w:val="22"/>
          <w:lang w:val="en-AU"/>
        </w:rPr>
        <w:t>aper ackn</w:t>
      </w:r>
      <w:r w:rsidR="009A1CA0" w:rsidRPr="004635E5">
        <w:rPr>
          <w:sz w:val="22"/>
          <w:szCs w:val="22"/>
          <w:lang w:val="en-AU"/>
        </w:rPr>
        <w:t xml:space="preserve">owledges that there was no effort to make </w:t>
      </w:r>
      <w:r w:rsidR="00F006DB" w:rsidRPr="004635E5">
        <w:rPr>
          <w:sz w:val="22"/>
          <w:szCs w:val="22"/>
          <w:lang w:val="en-AU"/>
        </w:rPr>
        <w:t xml:space="preserve">obligatory </w:t>
      </w:r>
      <w:r w:rsidRPr="004635E5">
        <w:rPr>
          <w:sz w:val="22"/>
          <w:szCs w:val="22"/>
          <w:lang w:val="en-AU"/>
        </w:rPr>
        <w:t>change</w:t>
      </w:r>
      <w:r w:rsidR="009A1CA0" w:rsidRPr="004635E5">
        <w:rPr>
          <w:sz w:val="22"/>
          <w:szCs w:val="22"/>
          <w:lang w:val="en-AU"/>
        </w:rPr>
        <w:t>s</w:t>
      </w:r>
      <w:r w:rsidRPr="004635E5">
        <w:rPr>
          <w:sz w:val="22"/>
          <w:szCs w:val="22"/>
          <w:lang w:val="en-AU"/>
        </w:rPr>
        <w:t xml:space="preserve"> </w:t>
      </w:r>
      <w:r w:rsidR="009A1CA0" w:rsidRPr="004635E5">
        <w:rPr>
          <w:sz w:val="22"/>
          <w:szCs w:val="22"/>
          <w:lang w:val="en-AU"/>
        </w:rPr>
        <w:t>at present</w:t>
      </w:r>
      <w:r w:rsidRPr="004635E5">
        <w:rPr>
          <w:sz w:val="22"/>
          <w:szCs w:val="22"/>
          <w:lang w:val="en-AU"/>
        </w:rPr>
        <w:t>.</w:t>
      </w:r>
    </w:p>
    <w:p w14:paraId="4A51F4AF" w14:textId="77777777" w:rsidR="00E00722" w:rsidRPr="004635E5" w:rsidRDefault="00E00722" w:rsidP="006633A8">
      <w:pPr>
        <w:autoSpaceDE w:val="0"/>
        <w:autoSpaceDN w:val="0"/>
        <w:adjustRightInd w:val="0"/>
        <w:snapToGrid w:val="0"/>
        <w:jc w:val="both"/>
        <w:rPr>
          <w:sz w:val="22"/>
          <w:szCs w:val="22"/>
          <w:lang w:val="en-AU"/>
        </w:rPr>
      </w:pPr>
    </w:p>
    <w:p w14:paraId="4524C307" w14:textId="77777777" w:rsidR="00E00722" w:rsidRPr="004635E5" w:rsidRDefault="00A6789D"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Australia </w:t>
      </w:r>
      <w:r w:rsidR="009A1CA0" w:rsidRPr="004635E5">
        <w:rPr>
          <w:sz w:val="22"/>
          <w:szCs w:val="22"/>
          <w:lang w:val="en-AU"/>
        </w:rPr>
        <w:t xml:space="preserve">commented that condition </w:t>
      </w:r>
      <w:r w:rsidR="002072E1" w:rsidRPr="004635E5">
        <w:rPr>
          <w:sz w:val="22"/>
          <w:szCs w:val="22"/>
          <w:lang w:val="en-AU"/>
        </w:rPr>
        <w:t>info</w:t>
      </w:r>
      <w:r w:rsidR="009A1CA0" w:rsidRPr="004635E5">
        <w:rPr>
          <w:sz w:val="22"/>
          <w:szCs w:val="22"/>
          <w:lang w:val="en-AU"/>
        </w:rPr>
        <w:t>rmation</w:t>
      </w:r>
      <w:r w:rsidR="002072E1" w:rsidRPr="004635E5">
        <w:rPr>
          <w:sz w:val="22"/>
          <w:szCs w:val="22"/>
          <w:lang w:val="en-AU"/>
        </w:rPr>
        <w:t xml:space="preserve"> on bycatch releases</w:t>
      </w:r>
      <w:r w:rsidR="009A1CA0" w:rsidRPr="004635E5">
        <w:rPr>
          <w:sz w:val="22"/>
          <w:szCs w:val="22"/>
          <w:lang w:val="en-AU"/>
        </w:rPr>
        <w:t xml:space="preserve"> </w:t>
      </w:r>
      <w:r w:rsidR="00F006DB" w:rsidRPr="004635E5">
        <w:rPr>
          <w:sz w:val="22"/>
          <w:szCs w:val="22"/>
          <w:lang w:val="en-AU"/>
        </w:rPr>
        <w:t xml:space="preserve">was currently </w:t>
      </w:r>
      <w:r w:rsidR="009A1CA0" w:rsidRPr="004635E5">
        <w:rPr>
          <w:sz w:val="22"/>
          <w:szCs w:val="22"/>
          <w:lang w:val="en-AU"/>
        </w:rPr>
        <w:t xml:space="preserve">recorded by Australia with regard to some species (e.g., </w:t>
      </w:r>
      <w:r w:rsidR="002072E1" w:rsidRPr="004635E5">
        <w:rPr>
          <w:sz w:val="22"/>
          <w:szCs w:val="22"/>
          <w:lang w:val="en-AU"/>
        </w:rPr>
        <w:t>threatened</w:t>
      </w:r>
      <w:r w:rsidR="009A1CA0" w:rsidRPr="004635E5">
        <w:rPr>
          <w:sz w:val="22"/>
          <w:szCs w:val="22"/>
          <w:lang w:val="en-AU"/>
        </w:rPr>
        <w:t xml:space="preserve">, endangered </w:t>
      </w:r>
      <w:r w:rsidR="002072E1" w:rsidRPr="004635E5">
        <w:rPr>
          <w:sz w:val="22"/>
          <w:szCs w:val="22"/>
          <w:lang w:val="en-AU"/>
        </w:rPr>
        <w:t xml:space="preserve">and some </w:t>
      </w:r>
      <w:r w:rsidR="009A1CA0" w:rsidRPr="004635E5">
        <w:rPr>
          <w:sz w:val="22"/>
          <w:szCs w:val="22"/>
          <w:lang w:val="en-AU"/>
        </w:rPr>
        <w:t xml:space="preserve">other </w:t>
      </w:r>
      <w:r w:rsidR="002072E1" w:rsidRPr="004635E5">
        <w:rPr>
          <w:sz w:val="22"/>
          <w:szCs w:val="22"/>
          <w:lang w:val="en-AU"/>
        </w:rPr>
        <w:t>species</w:t>
      </w:r>
      <w:r w:rsidR="009A1CA0" w:rsidRPr="004635E5">
        <w:rPr>
          <w:sz w:val="22"/>
          <w:szCs w:val="22"/>
          <w:lang w:val="en-AU"/>
        </w:rPr>
        <w:t xml:space="preserve"> for which special information is desired)</w:t>
      </w:r>
      <w:r w:rsidR="002072E1" w:rsidRPr="004635E5">
        <w:rPr>
          <w:sz w:val="22"/>
          <w:szCs w:val="22"/>
          <w:lang w:val="en-AU"/>
        </w:rPr>
        <w:t xml:space="preserve">, but not for all discards. </w:t>
      </w:r>
      <w:r w:rsidR="00F006DB" w:rsidRPr="004635E5">
        <w:rPr>
          <w:sz w:val="22"/>
          <w:szCs w:val="22"/>
          <w:lang w:val="en-AU"/>
        </w:rPr>
        <w:t xml:space="preserve">They </w:t>
      </w:r>
      <w:r w:rsidR="009A1CA0" w:rsidRPr="004635E5">
        <w:rPr>
          <w:sz w:val="22"/>
          <w:szCs w:val="22"/>
          <w:lang w:val="en-AU"/>
        </w:rPr>
        <w:t xml:space="preserve">observed that recording this for </w:t>
      </w:r>
      <w:r w:rsidR="002072E1" w:rsidRPr="004635E5">
        <w:rPr>
          <w:sz w:val="22"/>
          <w:szCs w:val="22"/>
          <w:lang w:val="en-AU"/>
        </w:rPr>
        <w:t xml:space="preserve">all </w:t>
      </w:r>
      <w:r w:rsidR="009A1CA0" w:rsidRPr="004635E5">
        <w:rPr>
          <w:sz w:val="22"/>
          <w:szCs w:val="22"/>
          <w:lang w:val="en-AU"/>
        </w:rPr>
        <w:t xml:space="preserve">discarded species </w:t>
      </w:r>
      <w:r w:rsidR="002072E1" w:rsidRPr="004635E5">
        <w:rPr>
          <w:sz w:val="22"/>
          <w:szCs w:val="22"/>
          <w:lang w:val="en-AU"/>
        </w:rPr>
        <w:t xml:space="preserve">would </w:t>
      </w:r>
      <w:r w:rsidR="009A1CA0" w:rsidRPr="004635E5">
        <w:rPr>
          <w:sz w:val="22"/>
          <w:szCs w:val="22"/>
          <w:lang w:val="en-AU"/>
        </w:rPr>
        <w:t>require a fish-by-</w:t>
      </w:r>
      <w:r w:rsidR="002072E1" w:rsidRPr="004635E5">
        <w:rPr>
          <w:sz w:val="22"/>
          <w:szCs w:val="22"/>
          <w:lang w:val="en-AU"/>
        </w:rPr>
        <w:t xml:space="preserve">fish accounting </w:t>
      </w:r>
      <w:r w:rsidR="009A1CA0" w:rsidRPr="004635E5">
        <w:rPr>
          <w:sz w:val="22"/>
          <w:szCs w:val="22"/>
          <w:lang w:val="en-AU"/>
        </w:rPr>
        <w:t xml:space="preserve">of </w:t>
      </w:r>
      <w:r w:rsidR="002072E1" w:rsidRPr="004635E5">
        <w:rPr>
          <w:sz w:val="22"/>
          <w:szCs w:val="22"/>
          <w:lang w:val="en-AU"/>
        </w:rPr>
        <w:t>all discards</w:t>
      </w:r>
      <w:r w:rsidR="009A1CA0" w:rsidRPr="004635E5">
        <w:rPr>
          <w:sz w:val="22"/>
          <w:szCs w:val="22"/>
          <w:lang w:val="en-AU"/>
        </w:rPr>
        <w:t xml:space="preserve">, which was impractical, but doing so </w:t>
      </w:r>
      <w:r w:rsidR="002072E1" w:rsidRPr="004635E5">
        <w:rPr>
          <w:sz w:val="22"/>
          <w:szCs w:val="22"/>
          <w:lang w:val="en-AU"/>
        </w:rPr>
        <w:t xml:space="preserve">for selected species </w:t>
      </w:r>
      <w:r w:rsidR="009A1CA0" w:rsidRPr="004635E5">
        <w:rPr>
          <w:sz w:val="22"/>
          <w:szCs w:val="22"/>
          <w:lang w:val="en-AU"/>
        </w:rPr>
        <w:t xml:space="preserve">might </w:t>
      </w:r>
      <w:r w:rsidR="002072E1" w:rsidRPr="004635E5">
        <w:rPr>
          <w:sz w:val="22"/>
          <w:szCs w:val="22"/>
          <w:lang w:val="en-AU"/>
        </w:rPr>
        <w:t xml:space="preserve">be </w:t>
      </w:r>
      <w:r w:rsidR="009A1CA0" w:rsidRPr="004635E5">
        <w:rPr>
          <w:sz w:val="22"/>
          <w:szCs w:val="22"/>
          <w:lang w:val="en-AU"/>
        </w:rPr>
        <w:t>possible, which seemed</w:t>
      </w:r>
      <w:r w:rsidR="002072E1" w:rsidRPr="004635E5">
        <w:rPr>
          <w:sz w:val="22"/>
          <w:szCs w:val="22"/>
          <w:lang w:val="en-AU"/>
        </w:rPr>
        <w:t xml:space="preserve"> to be</w:t>
      </w:r>
      <w:r w:rsidR="00030C2C">
        <w:rPr>
          <w:rFonts w:eastAsiaTheme="minorEastAsia" w:hint="eastAsia"/>
          <w:sz w:val="22"/>
          <w:szCs w:val="22"/>
          <w:lang w:val="en-AU" w:eastAsia="ko-KR"/>
        </w:rPr>
        <w:t xml:space="preserve"> what</w:t>
      </w:r>
      <w:r w:rsidR="002072E1" w:rsidRPr="004635E5">
        <w:rPr>
          <w:sz w:val="22"/>
          <w:szCs w:val="22"/>
          <w:lang w:val="en-AU"/>
        </w:rPr>
        <w:t xml:space="preserve"> </w:t>
      </w:r>
      <w:r w:rsidR="009A1CA0" w:rsidRPr="004635E5">
        <w:rPr>
          <w:sz w:val="22"/>
          <w:szCs w:val="22"/>
          <w:lang w:val="en-AU"/>
        </w:rPr>
        <w:t xml:space="preserve">the paper </w:t>
      </w:r>
      <w:r w:rsidR="002072E1" w:rsidRPr="004635E5">
        <w:rPr>
          <w:sz w:val="22"/>
          <w:szCs w:val="22"/>
          <w:lang w:val="en-AU"/>
        </w:rPr>
        <w:t>suggest</w:t>
      </w:r>
      <w:r w:rsidR="009A1CA0" w:rsidRPr="004635E5">
        <w:rPr>
          <w:sz w:val="22"/>
          <w:szCs w:val="22"/>
          <w:lang w:val="en-AU"/>
        </w:rPr>
        <w:t>s</w:t>
      </w:r>
      <w:r w:rsidR="002072E1" w:rsidRPr="004635E5">
        <w:rPr>
          <w:sz w:val="22"/>
          <w:szCs w:val="22"/>
          <w:lang w:val="en-AU"/>
        </w:rPr>
        <w:t xml:space="preserve">. </w:t>
      </w:r>
      <w:r w:rsidRPr="004635E5">
        <w:rPr>
          <w:sz w:val="22"/>
          <w:szCs w:val="22"/>
          <w:lang w:val="en-AU"/>
        </w:rPr>
        <w:t>P. Williams</w:t>
      </w:r>
      <w:r w:rsidR="002072E1" w:rsidRPr="004635E5">
        <w:rPr>
          <w:sz w:val="22"/>
          <w:szCs w:val="22"/>
          <w:lang w:val="en-AU"/>
        </w:rPr>
        <w:t xml:space="preserve"> </w:t>
      </w:r>
      <w:r w:rsidR="009A1CA0" w:rsidRPr="004635E5">
        <w:rPr>
          <w:sz w:val="22"/>
          <w:szCs w:val="22"/>
          <w:lang w:val="en-AU"/>
        </w:rPr>
        <w:t xml:space="preserve">confirmed that, although </w:t>
      </w:r>
      <w:r w:rsidR="002072E1" w:rsidRPr="004635E5">
        <w:rPr>
          <w:sz w:val="22"/>
          <w:szCs w:val="22"/>
          <w:lang w:val="en-AU"/>
        </w:rPr>
        <w:t xml:space="preserve">not </w:t>
      </w:r>
      <w:r w:rsidR="009A1CA0" w:rsidRPr="004635E5">
        <w:rPr>
          <w:sz w:val="22"/>
          <w:szCs w:val="22"/>
          <w:lang w:val="en-AU"/>
        </w:rPr>
        <w:t xml:space="preserve">explicitly stated </w:t>
      </w:r>
      <w:r w:rsidR="002072E1" w:rsidRPr="004635E5">
        <w:rPr>
          <w:sz w:val="22"/>
          <w:szCs w:val="22"/>
          <w:lang w:val="en-AU"/>
        </w:rPr>
        <w:t xml:space="preserve">in </w:t>
      </w:r>
      <w:r w:rsidR="009A1CA0" w:rsidRPr="004635E5">
        <w:rPr>
          <w:sz w:val="22"/>
          <w:szCs w:val="22"/>
          <w:lang w:val="en-AU"/>
        </w:rPr>
        <w:t xml:space="preserve">the </w:t>
      </w:r>
      <w:r w:rsidR="002072E1" w:rsidRPr="004635E5">
        <w:rPr>
          <w:sz w:val="22"/>
          <w:szCs w:val="22"/>
          <w:lang w:val="en-AU"/>
        </w:rPr>
        <w:t xml:space="preserve">paper, </w:t>
      </w:r>
      <w:r w:rsidR="009A1CA0" w:rsidRPr="004635E5">
        <w:rPr>
          <w:sz w:val="22"/>
          <w:szCs w:val="22"/>
          <w:lang w:val="en-AU"/>
        </w:rPr>
        <w:t xml:space="preserve">reporting would </w:t>
      </w:r>
      <w:r w:rsidR="002072E1" w:rsidRPr="004635E5">
        <w:rPr>
          <w:sz w:val="22"/>
          <w:szCs w:val="22"/>
          <w:lang w:val="en-AU"/>
        </w:rPr>
        <w:t xml:space="preserve">be </w:t>
      </w:r>
      <w:r w:rsidR="009A1CA0" w:rsidRPr="004635E5">
        <w:rPr>
          <w:sz w:val="22"/>
          <w:szCs w:val="22"/>
          <w:lang w:val="en-AU"/>
        </w:rPr>
        <w:t xml:space="preserve">for </w:t>
      </w:r>
      <w:r w:rsidR="002072E1" w:rsidRPr="004635E5">
        <w:rPr>
          <w:sz w:val="22"/>
          <w:szCs w:val="22"/>
          <w:lang w:val="en-AU"/>
        </w:rPr>
        <w:t xml:space="preserve">some priority species, </w:t>
      </w:r>
      <w:r w:rsidR="009A1CA0" w:rsidRPr="004635E5">
        <w:rPr>
          <w:sz w:val="22"/>
          <w:szCs w:val="22"/>
          <w:lang w:val="en-AU"/>
        </w:rPr>
        <w:t xml:space="preserve">which could be </w:t>
      </w:r>
      <w:r w:rsidR="002072E1" w:rsidRPr="004635E5">
        <w:rPr>
          <w:sz w:val="22"/>
          <w:szCs w:val="22"/>
          <w:lang w:val="en-AU"/>
        </w:rPr>
        <w:t>note</w:t>
      </w:r>
      <w:r w:rsidR="009A1CA0" w:rsidRPr="004635E5">
        <w:rPr>
          <w:sz w:val="22"/>
          <w:szCs w:val="22"/>
          <w:lang w:val="en-AU"/>
        </w:rPr>
        <w:t>d</w:t>
      </w:r>
      <w:r w:rsidR="002072E1" w:rsidRPr="004635E5">
        <w:rPr>
          <w:sz w:val="22"/>
          <w:szCs w:val="22"/>
          <w:lang w:val="en-AU"/>
        </w:rPr>
        <w:t xml:space="preserve"> in </w:t>
      </w:r>
      <w:r w:rsidR="009A1CA0" w:rsidRPr="004635E5">
        <w:rPr>
          <w:sz w:val="22"/>
          <w:szCs w:val="22"/>
          <w:lang w:val="en-AU"/>
        </w:rPr>
        <w:t xml:space="preserve">a future </w:t>
      </w:r>
      <w:r w:rsidR="002072E1" w:rsidRPr="004635E5">
        <w:rPr>
          <w:sz w:val="22"/>
          <w:szCs w:val="22"/>
          <w:lang w:val="en-AU"/>
        </w:rPr>
        <w:t>paper.</w:t>
      </w:r>
    </w:p>
    <w:p w14:paraId="2E5ABB23" w14:textId="77777777" w:rsidR="00E00722" w:rsidRPr="004635E5" w:rsidRDefault="00E00722" w:rsidP="006633A8">
      <w:pPr>
        <w:autoSpaceDE w:val="0"/>
        <w:autoSpaceDN w:val="0"/>
        <w:adjustRightInd w:val="0"/>
        <w:snapToGrid w:val="0"/>
        <w:jc w:val="both"/>
        <w:rPr>
          <w:sz w:val="22"/>
          <w:szCs w:val="22"/>
          <w:lang w:val="en-AU"/>
        </w:rPr>
      </w:pPr>
    </w:p>
    <w:p w14:paraId="69C9EE27" w14:textId="77777777" w:rsidR="00E00722" w:rsidRPr="004635E5" w:rsidRDefault="00A6789D"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The </w:t>
      </w:r>
      <w:r w:rsidR="002072E1" w:rsidRPr="004635E5">
        <w:rPr>
          <w:sz w:val="22"/>
          <w:szCs w:val="22"/>
          <w:lang w:val="en-AU"/>
        </w:rPr>
        <w:t>EU confirm</w:t>
      </w:r>
      <w:r w:rsidR="009A1CA0" w:rsidRPr="004635E5">
        <w:rPr>
          <w:sz w:val="22"/>
          <w:szCs w:val="22"/>
          <w:lang w:val="en-AU"/>
        </w:rPr>
        <w:t>ed that</w:t>
      </w:r>
      <w:r w:rsidR="002072E1" w:rsidRPr="004635E5">
        <w:rPr>
          <w:sz w:val="22"/>
          <w:szCs w:val="22"/>
          <w:lang w:val="en-AU"/>
        </w:rPr>
        <w:t xml:space="preserve"> size data for </w:t>
      </w:r>
      <w:r w:rsidR="009A1CA0" w:rsidRPr="004635E5">
        <w:rPr>
          <w:sz w:val="22"/>
          <w:szCs w:val="22"/>
          <w:lang w:val="en-AU"/>
        </w:rPr>
        <w:t xml:space="preserve">the </w:t>
      </w:r>
      <w:r w:rsidR="002072E1" w:rsidRPr="004635E5">
        <w:rPr>
          <w:sz w:val="22"/>
          <w:szCs w:val="22"/>
          <w:lang w:val="en-AU"/>
        </w:rPr>
        <w:t xml:space="preserve">EU </w:t>
      </w:r>
      <w:r w:rsidR="004421B3" w:rsidRPr="004635E5">
        <w:rPr>
          <w:sz w:val="22"/>
          <w:szCs w:val="22"/>
          <w:lang w:val="en-AU"/>
        </w:rPr>
        <w:t>longline</w:t>
      </w:r>
      <w:r w:rsidR="002072E1" w:rsidRPr="004635E5">
        <w:rPr>
          <w:sz w:val="22"/>
          <w:szCs w:val="22"/>
          <w:lang w:val="en-AU"/>
        </w:rPr>
        <w:t xml:space="preserve"> fleet </w:t>
      </w:r>
      <w:r w:rsidR="009A1CA0" w:rsidRPr="004635E5">
        <w:rPr>
          <w:sz w:val="22"/>
          <w:szCs w:val="22"/>
          <w:lang w:val="en-AU"/>
        </w:rPr>
        <w:t xml:space="preserve">were </w:t>
      </w:r>
      <w:r w:rsidR="002072E1" w:rsidRPr="004635E5">
        <w:rPr>
          <w:sz w:val="22"/>
          <w:szCs w:val="22"/>
          <w:lang w:val="en-AU"/>
        </w:rPr>
        <w:t>submitted on 16 May</w:t>
      </w:r>
      <w:r w:rsidR="009A1CA0" w:rsidRPr="004635E5">
        <w:rPr>
          <w:sz w:val="22"/>
          <w:szCs w:val="22"/>
          <w:lang w:val="en-AU"/>
        </w:rPr>
        <w:t xml:space="preserve"> </w:t>
      </w:r>
      <w:r w:rsidR="00F006DB" w:rsidRPr="004635E5">
        <w:rPr>
          <w:sz w:val="22"/>
          <w:szCs w:val="22"/>
          <w:lang w:val="en-AU"/>
        </w:rPr>
        <w:t xml:space="preserve">and </w:t>
      </w:r>
      <w:r w:rsidR="009A1CA0" w:rsidRPr="004635E5">
        <w:rPr>
          <w:sz w:val="22"/>
          <w:szCs w:val="22"/>
          <w:lang w:val="en-AU"/>
        </w:rPr>
        <w:t xml:space="preserve">that </w:t>
      </w:r>
      <w:r w:rsidR="00F006DB" w:rsidRPr="004635E5">
        <w:rPr>
          <w:sz w:val="22"/>
          <w:szCs w:val="22"/>
          <w:lang w:val="en-AU"/>
        </w:rPr>
        <w:t xml:space="preserve">problems with the receipt of the data </w:t>
      </w:r>
      <w:r w:rsidR="009A1CA0" w:rsidRPr="004635E5">
        <w:rPr>
          <w:sz w:val="22"/>
          <w:szCs w:val="22"/>
          <w:lang w:val="en-AU"/>
        </w:rPr>
        <w:t xml:space="preserve">had been </w:t>
      </w:r>
      <w:r w:rsidR="002072E1" w:rsidRPr="004635E5">
        <w:rPr>
          <w:sz w:val="22"/>
          <w:szCs w:val="22"/>
          <w:lang w:val="en-AU"/>
        </w:rPr>
        <w:t>resolved</w:t>
      </w:r>
      <w:r w:rsidR="00A16680" w:rsidRPr="004635E5">
        <w:rPr>
          <w:sz w:val="22"/>
          <w:szCs w:val="22"/>
          <w:lang w:val="en-AU"/>
        </w:rPr>
        <w:t xml:space="preserve">. </w:t>
      </w:r>
      <w:r w:rsidR="00F006DB" w:rsidRPr="004635E5">
        <w:rPr>
          <w:sz w:val="22"/>
          <w:szCs w:val="22"/>
          <w:lang w:val="en-AU"/>
        </w:rPr>
        <w:t xml:space="preserve">They requested </w:t>
      </w:r>
      <w:r w:rsidR="009A1CA0" w:rsidRPr="004635E5">
        <w:rPr>
          <w:sz w:val="22"/>
          <w:szCs w:val="22"/>
          <w:lang w:val="en-AU"/>
        </w:rPr>
        <w:t xml:space="preserve">that references in </w:t>
      </w:r>
      <w:r w:rsidR="002072E1" w:rsidRPr="004635E5">
        <w:rPr>
          <w:sz w:val="22"/>
          <w:szCs w:val="22"/>
          <w:lang w:val="en-AU"/>
        </w:rPr>
        <w:t xml:space="preserve">a few </w:t>
      </w:r>
      <w:r w:rsidR="00F006DB" w:rsidRPr="004635E5">
        <w:rPr>
          <w:sz w:val="22"/>
          <w:szCs w:val="22"/>
          <w:lang w:val="en-AU"/>
        </w:rPr>
        <w:t xml:space="preserve">places </w:t>
      </w:r>
      <w:r w:rsidR="009A1CA0" w:rsidRPr="004635E5">
        <w:rPr>
          <w:sz w:val="22"/>
          <w:szCs w:val="22"/>
          <w:lang w:val="en-AU"/>
        </w:rPr>
        <w:t>in SC14</w:t>
      </w:r>
      <w:r w:rsidR="00347BA9">
        <w:rPr>
          <w:sz w:val="22"/>
          <w:szCs w:val="22"/>
          <w:lang w:val="en-AU"/>
        </w:rPr>
        <w:t>-</w:t>
      </w:r>
      <w:r w:rsidR="009A1CA0" w:rsidRPr="004635E5">
        <w:rPr>
          <w:sz w:val="22"/>
          <w:szCs w:val="22"/>
          <w:lang w:val="en-AU"/>
        </w:rPr>
        <w:t>ST-</w:t>
      </w:r>
      <w:r w:rsidR="002072E1" w:rsidRPr="004635E5">
        <w:rPr>
          <w:sz w:val="22"/>
          <w:szCs w:val="22"/>
          <w:lang w:val="en-AU"/>
        </w:rPr>
        <w:t>IP-02</w:t>
      </w:r>
      <w:r w:rsidRPr="004635E5">
        <w:rPr>
          <w:sz w:val="22"/>
          <w:szCs w:val="22"/>
          <w:lang w:val="en-AU"/>
        </w:rPr>
        <w:t xml:space="preserve"> </w:t>
      </w:r>
      <w:r w:rsidR="002072E1" w:rsidRPr="004635E5">
        <w:rPr>
          <w:sz w:val="22"/>
          <w:szCs w:val="22"/>
          <w:lang w:val="en-AU"/>
        </w:rPr>
        <w:t xml:space="preserve">to </w:t>
      </w:r>
      <w:r w:rsidR="009A1CA0" w:rsidRPr="004635E5">
        <w:rPr>
          <w:sz w:val="22"/>
          <w:szCs w:val="22"/>
          <w:lang w:val="en-AU"/>
        </w:rPr>
        <w:t>S</w:t>
      </w:r>
      <w:r w:rsidR="002072E1" w:rsidRPr="004635E5">
        <w:rPr>
          <w:sz w:val="22"/>
          <w:szCs w:val="22"/>
          <w:lang w:val="en-AU"/>
        </w:rPr>
        <w:t xml:space="preserve">pain as </w:t>
      </w:r>
      <w:r w:rsidR="009A1CA0" w:rsidRPr="004635E5">
        <w:rPr>
          <w:sz w:val="22"/>
          <w:szCs w:val="22"/>
          <w:lang w:val="en-AU"/>
        </w:rPr>
        <w:t xml:space="preserve">the </w:t>
      </w:r>
      <w:r w:rsidR="002072E1" w:rsidRPr="004635E5">
        <w:rPr>
          <w:sz w:val="22"/>
          <w:szCs w:val="22"/>
          <w:lang w:val="en-AU"/>
        </w:rPr>
        <w:t xml:space="preserve">CCM </w:t>
      </w:r>
      <w:r w:rsidR="009A1CA0" w:rsidRPr="004635E5">
        <w:rPr>
          <w:sz w:val="22"/>
          <w:szCs w:val="22"/>
          <w:lang w:val="en-AU"/>
        </w:rPr>
        <w:t xml:space="preserve">should refer </w:t>
      </w:r>
      <w:r w:rsidR="00295218" w:rsidRPr="004635E5">
        <w:rPr>
          <w:sz w:val="22"/>
          <w:szCs w:val="22"/>
          <w:lang w:val="en-AU"/>
        </w:rPr>
        <w:t xml:space="preserve">instead </w:t>
      </w:r>
      <w:r w:rsidR="009A1CA0" w:rsidRPr="004635E5">
        <w:rPr>
          <w:sz w:val="22"/>
          <w:szCs w:val="22"/>
          <w:lang w:val="en-AU"/>
        </w:rPr>
        <w:t xml:space="preserve">to the </w:t>
      </w:r>
      <w:r w:rsidR="002072E1" w:rsidRPr="004635E5">
        <w:rPr>
          <w:sz w:val="22"/>
          <w:szCs w:val="22"/>
          <w:lang w:val="en-AU"/>
        </w:rPr>
        <w:t>EU. P</w:t>
      </w:r>
      <w:r w:rsidRPr="004635E5">
        <w:rPr>
          <w:sz w:val="22"/>
          <w:szCs w:val="22"/>
          <w:lang w:val="en-AU"/>
        </w:rPr>
        <w:t xml:space="preserve">. Williams </w:t>
      </w:r>
      <w:r w:rsidR="009A1CA0" w:rsidRPr="004635E5">
        <w:rPr>
          <w:sz w:val="22"/>
          <w:szCs w:val="22"/>
          <w:lang w:val="en-AU"/>
        </w:rPr>
        <w:t>affirmed that SPC</w:t>
      </w:r>
      <w:r w:rsidR="002072E1" w:rsidRPr="004635E5">
        <w:rPr>
          <w:sz w:val="22"/>
          <w:szCs w:val="22"/>
          <w:lang w:val="en-AU"/>
        </w:rPr>
        <w:t xml:space="preserve">, on behalf of </w:t>
      </w:r>
      <w:r w:rsidR="009A1CA0" w:rsidRPr="004635E5">
        <w:rPr>
          <w:sz w:val="22"/>
          <w:szCs w:val="22"/>
          <w:lang w:val="en-AU"/>
        </w:rPr>
        <w:t>the WCPFC</w:t>
      </w:r>
      <w:r w:rsidR="002072E1" w:rsidRPr="004635E5">
        <w:rPr>
          <w:sz w:val="22"/>
          <w:szCs w:val="22"/>
          <w:lang w:val="en-AU"/>
        </w:rPr>
        <w:t xml:space="preserve">, </w:t>
      </w:r>
      <w:r w:rsidR="00F006DB" w:rsidRPr="004635E5">
        <w:rPr>
          <w:sz w:val="22"/>
          <w:szCs w:val="22"/>
          <w:lang w:val="en-AU"/>
        </w:rPr>
        <w:t>had</w:t>
      </w:r>
      <w:r w:rsidR="009A1CA0" w:rsidRPr="004635E5">
        <w:rPr>
          <w:sz w:val="22"/>
          <w:szCs w:val="22"/>
          <w:lang w:val="en-AU"/>
        </w:rPr>
        <w:t xml:space="preserve"> </w:t>
      </w:r>
      <w:r w:rsidR="00F006DB" w:rsidRPr="004635E5">
        <w:rPr>
          <w:sz w:val="22"/>
          <w:szCs w:val="22"/>
          <w:lang w:val="en-AU"/>
        </w:rPr>
        <w:t xml:space="preserve">received the </w:t>
      </w:r>
      <w:r w:rsidR="002072E1" w:rsidRPr="004635E5">
        <w:rPr>
          <w:sz w:val="22"/>
          <w:szCs w:val="22"/>
          <w:lang w:val="en-AU"/>
        </w:rPr>
        <w:t>size data</w:t>
      </w:r>
      <w:r w:rsidRPr="004635E5">
        <w:rPr>
          <w:sz w:val="22"/>
          <w:szCs w:val="22"/>
          <w:lang w:val="en-AU"/>
        </w:rPr>
        <w:t xml:space="preserve"> </w:t>
      </w:r>
      <w:r w:rsidR="009A1CA0" w:rsidRPr="004635E5">
        <w:rPr>
          <w:sz w:val="22"/>
          <w:szCs w:val="22"/>
          <w:lang w:val="en-AU"/>
        </w:rPr>
        <w:t xml:space="preserve">and would </w:t>
      </w:r>
      <w:r w:rsidR="00F006DB" w:rsidRPr="004635E5">
        <w:rPr>
          <w:sz w:val="22"/>
          <w:szCs w:val="22"/>
          <w:lang w:val="en-AU"/>
        </w:rPr>
        <w:t xml:space="preserve">determine </w:t>
      </w:r>
      <w:r w:rsidR="009A1CA0" w:rsidRPr="004635E5">
        <w:rPr>
          <w:sz w:val="22"/>
          <w:szCs w:val="22"/>
          <w:lang w:val="en-AU"/>
        </w:rPr>
        <w:t>why receipt of the data was delayed</w:t>
      </w:r>
      <w:r w:rsidR="00F006DB" w:rsidRPr="004635E5">
        <w:rPr>
          <w:sz w:val="22"/>
          <w:szCs w:val="22"/>
          <w:lang w:val="en-AU"/>
        </w:rPr>
        <w:t xml:space="preserve">, and </w:t>
      </w:r>
      <w:r w:rsidRPr="004635E5">
        <w:rPr>
          <w:sz w:val="22"/>
          <w:szCs w:val="22"/>
          <w:lang w:val="en-AU"/>
        </w:rPr>
        <w:t>acknowledged</w:t>
      </w:r>
      <w:r w:rsidR="009A1CA0" w:rsidRPr="004635E5">
        <w:rPr>
          <w:sz w:val="22"/>
          <w:szCs w:val="22"/>
          <w:lang w:val="en-AU"/>
        </w:rPr>
        <w:t xml:space="preserve"> the need to </w:t>
      </w:r>
      <w:r w:rsidR="007A62FC" w:rsidRPr="004635E5">
        <w:rPr>
          <w:sz w:val="22"/>
          <w:szCs w:val="22"/>
          <w:lang w:val="en-AU"/>
        </w:rPr>
        <w:t xml:space="preserve">confirm that </w:t>
      </w:r>
      <w:r w:rsidR="009A1CA0" w:rsidRPr="004635E5">
        <w:rPr>
          <w:sz w:val="22"/>
          <w:szCs w:val="22"/>
          <w:lang w:val="en-AU"/>
        </w:rPr>
        <w:t xml:space="preserve">references in the paper </w:t>
      </w:r>
      <w:r w:rsidR="007A62FC" w:rsidRPr="004635E5">
        <w:rPr>
          <w:sz w:val="22"/>
          <w:szCs w:val="22"/>
          <w:lang w:val="en-AU"/>
        </w:rPr>
        <w:t xml:space="preserve">were to </w:t>
      </w:r>
      <w:r w:rsidR="009A1CA0" w:rsidRPr="004635E5">
        <w:rPr>
          <w:sz w:val="22"/>
          <w:szCs w:val="22"/>
          <w:lang w:val="en-AU"/>
        </w:rPr>
        <w:t xml:space="preserve">the EU. </w:t>
      </w:r>
    </w:p>
    <w:p w14:paraId="02C2301A" w14:textId="77777777" w:rsidR="00E00722" w:rsidRPr="004635E5" w:rsidRDefault="00E00722" w:rsidP="006633A8">
      <w:pPr>
        <w:autoSpaceDE w:val="0"/>
        <w:autoSpaceDN w:val="0"/>
        <w:adjustRightInd w:val="0"/>
        <w:snapToGrid w:val="0"/>
        <w:jc w:val="both"/>
        <w:rPr>
          <w:sz w:val="22"/>
          <w:szCs w:val="22"/>
          <w:lang w:val="en-AU"/>
        </w:rPr>
      </w:pPr>
    </w:p>
    <w:p w14:paraId="6EBC186E" w14:textId="77777777" w:rsidR="00E00722" w:rsidRPr="004635E5" w:rsidRDefault="00A6789D"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The </w:t>
      </w:r>
      <w:r w:rsidR="002072E1" w:rsidRPr="004635E5">
        <w:rPr>
          <w:sz w:val="22"/>
          <w:szCs w:val="22"/>
          <w:lang w:val="en-AU"/>
        </w:rPr>
        <w:t xml:space="preserve">USA </w:t>
      </w:r>
      <w:r w:rsidR="007A62FC" w:rsidRPr="004635E5">
        <w:rPr>
          <w:sz w:val="22"/>
          <w:szCs w:val="22"/>
          <w:lang w:val="en-AU"/>
        </w:rPr>
        <w:t xml:space="preserve">noted that changes in logbook reporting to include </w:t>
      </w:r>
      <w:r w:rsidR="002072E1" w:rsidRPr="004635E5">
        <w:rPr>
          <w:sz w:val="22"/>
          <w:szCs w:val="22"/>
          <w:lang w:val="en-AU"/>
        </w:rPr>
        <w:t>condition</w:t>
      </w:r>
      <w:r w:rsidR="007A62FC" w:rsidRPr="004635E5">
        <w:rPr>
          <w:sz w:val="22"/>
          <w:szCs w:val="22"/>
          <w:lang w:val="en-AU"/>
        </w:rPr>
        <w:t xml:space="preserve"> </w:t>
      </w:r>
      <w:r w:rsidR="00F006DB" w:rsidRPr="004635E5">
        <w:rPr>
          <w:sz w:val="22"/>
          <w:szCs w:val="22"/>
          <w:lang w:val="en-AU"/>
        </w:rPr>
        <w:t xml:space="preserve">would involve </w:t>
      </w:r>
      <w:r w:rsidR="007A62FC" w:rsidRPr="004635E5">
        <w:rPr>
          <w:sz w:val="22"/>
          <w:szCs w:val="22"/>
          <w:lang w:val="en-AU"/>
        </w:rPr>
        <w:t>an a</w:t>
      </w:r>
      <w:r w:rsidR="002072E1" w:rsidRPr="004635E5">
        <w:rPr>
          <w:sz w:val="22"/>
          <w:szCs w:val="22"/>
          <w:lang w:val="en-AU"/>
        </w:rPr>
        <w:t>rduous</w:t>
      </w:r>
      <w:r w:rsidR="007A62FC" w:rsidRPr="004635E5">
        <w:rPr>
          <w:sz w:val="22"/>
          <w:szCs w:val="22"/>
          <w:lang w:val="en-AU"/>
        </w:rPr>
        <w:t xml:space="preserve"> approval process, and that changes in </w:t>
      </w:r>
      <w:r w:rsidR="002072E1" w:rsidRPr="004635E5">
        <w:rPr>
          <w:sz w:val="22"/>
          <w:szCs w:val="22"/>
          <w:lang w:val="en-AU"/>
        </w:rPr>
        <w:t xml:space="preserve">e-data </w:t>
      </w:r>
      <w:r w:rsidR="007A62FC" w:rsidRPr="004635E5">
        <w:rPr>
          <w:sz w:val="22"/>
          <w:szCs w:val="22"/>
          <w:lang w:val="en-AU"/>
        </w:rPr>
        <w:t xml:space="preserve">reporting were also </w:t>
      </w:r>
      <w:r w:rsidR="002072E1" w:rsidRPr="004635E5">
        <w:rPr>
          <w:sz w:val="22"/>
          <w:szCs w:val="22"/>
          <w:lang w:val="en-AU"/>
        </w:rPr>
        <w:t xml:space="preserve">complex. </w:t>
      </w:r>
      <w:r w:rsidR="007A62FC" w:rsidRPr="004635E5">
        <w:rPr>
          <w:sz w:val="22"/>
          <w:szCs w:val="22"/>
          <w:lang w:val="en-AU"/>
        </w:rPr>
        <w:t>He s</w:t>
      </w:r>
      <w:r w:rsidRPr="004635E5">
        <w:rPr>
          <w:sz w:val="22"/>
          <w:szCs w:val="22"/>
          <w:lang w:val="en-AU"/>
        </w:rPr>
        <w:t>tated the USA</w:t>
      </w:r>
      <w:r w:rsidR="007A62FC" w:rsidRPr="004635E5">
        <w:rPr>
          <w:sz w:val="22"/>
          <w:szCs w:val="22"/>
          <w:lang w:val="en-AU"/>
        </w:rPr>
        <w:t xml:space="preserve"> </w:t>
      </w:r>
      <w:r w:rsidR="002072E1" w:rsidRPr="004635E5">
        <w:rPr>
          <w:sz w:val="22"/>
          <w:szCs w:val="22"/>
          <w:lang w:val="en-AU"/>
        </w:rPr>
        <w:t>prefer</w:t>
      </w:r>
      <w:r w:rsidRPr="004635E5">
        <w:rPr>
          <w:sz w:val="22"/>
          <w:szCs w:val="22"/>
          <w:lang w:val="en-AU"/>
        </w:rPr>
        <w:t>red to give condit</w:t>
      </w:r>
      <w:r w:rsidR="002072E1" w:rsidRPr="004635E5">
        <w:rPr>
          <w:sz w:val="22"/>
          <w:szCs w:val="22"/>
          <w:lang w:val="en-AU"/>
        </w:rPr>
        <w:t xml:space="preserve">ion of fish in observer data, </w:t>
      </w:r>
      <w:r w:rsidRPr="004635E5">
        <w:rPr>
          <w:sz w:val="22"/>
          <w:szCs w:val="22"/>
          <w:lang w:val="en-AU"/>
        </w:rPr>
        <w:t xml:space="preserve">and </w:t>
      </w:r>
      <w:r w:rsidR="002072E1" w:rsidRPr="004635E5">
        <w:rPr>
          <w:sz w:val="22"/>
          <w:szCs w:val="22"/>
          <w:lang w:val="en-AU"/>
        </w:rPr>
        <w:t xml:space="preserve">have good observer coverage. </w:t>
      </w:r>
      <w:r w:rsidRPr="004635E5">
        <w:rPr>
          <w:sz w:val="22"/>
          <w:szCs w:val="22"/>
          <w:lang w:val="en-AU"/>
        </w:rPr>
        <w:t xml:space="preserve">P. Williams acknowledged that the </w:t>
      </w:r>
      <w:r w:rsidR="002072E1" w:rsidRPr="004635E5">
        <w:rPr>
          <w:sz w:val="22"/>
          <w:szCs w:val="22"/>
          <w:lang w:val="en-AU"/>
        </w:rPr>
        <w:t xml:space="preserve">USA </w:t>
      </w:r>
      <w:r w:rsidRPr="004635E5">
        <w:rPr>
          <w:sz w:val="22"/>
          <w:szCs w:val="22"/>
          <w:lang w:val="en-AU"/>
        </w:rPr>
        <w:t xml:space="preserve">had high levels of observer </w:t>
      </w:r>
      <w:r w:rsidR="002072E1" w:rsidRPr="004635E5">
        <w:rPr>
          <w:sz w:val="22"/>
          <w:szCs w:val="22"/>
          <w:lang w:val="en-AU"/>
        </w:rPr>
        <w:t xml:space="preserve">coverage, </w:t>
      </w:r>
      <w:r w:rsidRPr="004635E5">
        <w:rPr>
          <w:sz w:val="22"/>
          <w:szCs w:val="22"/>
          <w:lang w:val="en-AU"/>
        </w:rPr>
        <w:t xml:space="preserve">and indicated that the </w:t>
      </w:r>
      <w:r w:rsidR="002072E1" w:rsidRPr="004635E5">
        <w:rPr>
          <w:sz w:val="22"/>
          <w:szCs w:val="22"/>
          <w:lang w:val="en-AU"/>
        </w:rPr>
        <w:t xml:space="preserve">concern </w:t>
      </w:r>
      <w:r w:rsidRPr="004635E5">
        <w:rPr>
          <w:sz w:val="22"/>
          <w:szCs w:val="22"/>
          <w:lang w:val="en-AU"/>
        </w:rPr>
        <w:t xml:space="preserve">was with those </w:t>
      </w:r>
      <w:r w:rsidR="002072E1" w:rsidRPr="004635E5">
        <w:rPr>
          <w:sz w:val="22"/>
          <w:szCs w:val="22"/>
          <w:lang w:val="en-AU"/>
        </w:rPr>
        <w:t xml:space="preserve">fleets </w:t>
      </w:r>
      <w:r w:rsidRPr="004635E5">
        <w:rPr>
          <w:sz w:val="22"/>
          <w:szCs w:val="22"/>
          <w:lang w:val="en-AU"/>
        </w:rPr>
        <w:t xml:space="preserve">with </w:t>
      </w:r>
      <w:r w:rsidR="002072E1" w:rsidRPr="004635E5">
        <w:rPr>
          <w:sz w:val="22"/>
          <w:szCs w:val="22"/>
          <w:lang w:val="en-AU"/>
        </w:rPr>
        <w:t>low coverage.</w:t>
      </w:r>
    </w:p>
    <w:p w14:paraId="41021CA3" w14:textId="77777777" w:rsidR="0069399C" w:rsidRPr="004635E5" w:rsidRDefault="0069399C" w:rsidP="006633A8">
      <w:pPr>
        <w:autoSpaceDE w:val="0"/>
        <w:autoSpaceDN w:val="0"/>
        <w:adjustRightInd w:val="0"/>
        <w:snapToGrid w:val="0"/>
        <w:jc w:val="both"/>
        <w:rPr>
          <w:sz w:val="22"/>
          <w:szCs w:val="22"/>
          <w:lang w:val="en-AU"/>
        </w:rPr>
      </w:pPr>
    </w:p>
    <w:p w14:paraId="0911808B" w14:textId="77777777" w:rsidR="00E00722" w:rsidRPr="004635E5" w:rsidRDefault="002072E1"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Korea</w:t>
      </w:r>
      <w:r w:rsidR="00A6789D" w:rsidRPr="004635E5">
        <w:rPr>
          <w:sz w:val="22"/>
          <w:szCs w:val="22"/>
          <w:lang w:val="en-AU"/>
        </w:rPr>
        <w:t xml:space="preserve"> referred to SC14-ST-IP</w:t>
      </w:r>
      <w:r w:rsidRPr="004635E5">
        <w:rPr>
          <w:sz w:val="22"/>
          <w:szCs w:val="22"/>
          <w:lang w:val="en-AU"/>
        </w:rPr>
        <w:t>-02</w:t>
      </w:r>
      <w:r w:rsidR="00A6789D" w:rsidRPr="004635E5">
        <w:rPr>
          <w:sz w:val="22"/>
          <w:szCs w:val="22"/>
          <w:lang w:val="en-AU"/>
        </w:rPr>
        <w:t>, and questioned the use of the term “</w:t>
      </w:r>
      <w:r w:rsidR="00946A80" w:rsidRPr="004635E5">
        <w:rPr>
          <w:sz w:val="22"/>
          <w:szCs w:val="22"/>
          <w:lang w:val="en-AU"/>
        </w:rPr>
        <w:t>non-standard</w:t>
      </w:r>
      <w:r w:rsidR="00A6789D" w:rsidRPr="004635E5">
        <w:rPr>
          <w:sz w:val="22"/>
          <w:szCs w:val="22"/>
          <w:lang w:val="en-AU"/>
        </w:rPr>
        <w:t>”</w:t>
      </w:r>
      <w:r w:rsidR="00946A80" w:rsidRPr="004635E5">
        <w:rPr>
          <w:sz w:val="22"/>
          <w:szCs w:val="22"/>
          <w:lang w:val="en-AU"/>
        </w:rPr>
        <w:t xml:space="preserve"> data</w:t>
      </w:r>
      <w:r w:rsidR="00A6789D" w:rsidRPr="004635E5">
        <w:rPr>
          <w:sz w:val="22"/>
          <w:szCs w:val="22"/>
          <w:lang w:val="en-AU"/>
        </w:rPr>
        <w:t>.</w:t>
      </w:r>
      <w:r w:rsidR="00946A80" w:rsidRPr="004635E5">
        <w:rPr>
          <w:sz w:val="22"/>
          <w:szCs w:val="22"/>
          <w:lang w:val="en-AU"/>
        </w:rPr>
        <w:t xml:space="preserve"> </w:t>
      </w:r>
      <w:r w:rsidR="00A6789D" w:rsidRPr="004635E5">
        <w:rPr>
          <w:sz w:val="22"/>
          <w:szCs w:val="22"/>
          <w:lang w:val="en-AU"/>
        </w:rPr>
        <w:t xml:space="preserve">P. William indicated that term was used to refer to </w:t>
      </w:r>
      <w:r w:rsidR="00946A80" w:rsidRPr="004635E5">
        <w:rPr>
          <w:sz w:val="22"/>
          <w:szCs w:val="22"/>
          <w:lang w:val="en-AU"/>
        </w:rPr>
        <w:t>the format of the data</w:t>
      </w:r>
      <w:r w:rsidR="005A55C2" w:rsidRPr="004635E5">
        <w:rPr>
          <w:sz w:val="22"/>
          <w:szCs w:val="22"/>
          <w:lang w:val="en-AU"/>
        </w:rPr>
        <w:t>, and not whether a CCM was or was not meeting requirements</w:t>
      </w:r>
      <w:r w:rsidR="00946A80" w:rsidRPr="004635E5">
        <w:rPr>
          <w:sz w:val="22"/>
          <w:szCs w:val="22"/>
          <w:lang w:val="en-AU"/>
        </w:rPr>
        <w:t xml:space="preserve">. </w:t>
      </w:r>
      <w:r w:rsidR="005A55C2" w:rsidRPr="004635E5">
        <w:rPr>
          <w:sz w:val="22"/>
          <w:szCs w:val="22"/>
          <w:lang w:val="en-AU"/>
        </w:rPr>
        <w:t xml:space="preserve">“Non-standard” data referred to data that did not </w:t>
      </w:r>
      <w:r w:rsidR="00946A80" w:rsidRPr="004635E5">
        <w:rPr>
          <w:sz w:val="22"/>
          <w:szCs w:val="22"/>
          <w:lang w:val="en-AU"/>
        </w:rPr>
        <w:t>match ER data guidelines</w:t>
      </w:r>
      <w:r w:rsidR="005A55C2" w:rsidRPr="004635E5">
        <w:rPr>
          <w:sz w:val="22"/>
          <w:szCs w:val="22"/>
          <w:lang w:val="en-AU"/>
        </w:rPr>
        <w:t xml:space="preserve">, and are thus more difficult for SPC to load to its database. He noted that SPC could use a different term to better describe the data, and would welcome the opportunity to work with CCMs to </w:t>
      </w:r>
      <w:r w:rsidR="00946A80" w:rsidRPr="004635E5">
        <w:rPr>
          <w:sz w:val="22"/>
          <w:szCs w:val="22"/>
          <w:lang w:val="en-AU"/>
        </w:rPr>
        <w:t xml:space="preserve">make it easier for </w:t>
      </w:r>
      <w:r w:rsidR="005A55C2" w:rsidRPr="004635E5">
        <w:rPr>
          <w:sz w:val="22"/>
          <w:szCs w:val="22"/>
          <w:lang w:val="en-AU"/>
        </w:rPr>
        <w:t xml:space="preserve">them to </w:t>
      </w:r>
      <w:r w:rsidR="00946A80" w:rsidRPr="004635E5">
        <w:rPr>
          <w:sz w:val="22"/>
          <w:szCs w:val="22"/>
          <w:lang w:val="en-AU"/>
        </w:rPr>
        <w:t xml:space="preserve">supply data </w:t>
      </w:r>
      <w:r w:rsidR="005A55C2" w:rsidRPr="004635E5">
        <w:rPr>
          <w:sz w:val="22"/>
          <w:szCs w:val="22"/>
          <w:lang w:val="en-AU"/>
        </w:rPr>
        <w:t xml:space="preserve">meets the ER data guidelines. </w:t>
      </w:r>
    </w:p>
    <w:p w14:paraId="7F7D1A7A" w14:textId="77777777" w:rsidR="00E00722" w:rsidRPr="004635E5" w:rsidRDefault="00E00722" w:rsidP="006633A8">
      <w:pPr>
        <w:autoSpaceDE w:val="0"/>
        <w:autoSpaceDN w:val="0"/>
        <w:adjustRightInd w:val="0"/>
        <w:snapToGrid w:val="0"/>
        <w:jc w:val="both"/>
        <w:rPr>
          <w:sz w:val="22"/>
          <w:szCs w:val="22"/>
          <w:lang w:val="en-AU"/>
        </w:rPr>
      </w:pPr>
    </w:p>
    <w:p w14:paraId="7D6DAD2F" w14:textId="77777777" w:rsidR="00AE5364" w:rsidRPr="004635E5" w:rsidRDefault="00946A80"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RMI</w:t>
      </w:r>
      <w:r w:rsidR="00305F19" w:rsidRPr="004635E5">
        <w:rPr>
          <w:sz w:val="22"/>
          <w:szCs w:val="22"/>
          <w:lang w:val="en-AU"/>
        </w:rPr>
        <w:t xml:space="preserve"> indicated that, as an observer provider and member, it would welcome assistance from SPC </w:t>
      </w:r>
      <w:r w:rsidRPr="004635E5">
        <w:rPr>
          <w:sz w:val="22"/>
          <w:szCs w:val="22"/>
          <w:lang w:val="en-AU"/>
        </w:rPr>
        <w:t xml:space="preserve">in resolving </w:t>
      </w:r>
      <w:r w:rsidR="00305F19" w:rsidRPr="004635E5">
        <w:rPr>
          <w:sz w:val="22"/>
          <w:szCs w:val="22"/>
          <w:lang w:val="en-AU"/>
        </w:rPr>
        <w:t xml:space="preserve">the </w:t>
      </w:r>
      <w:r w:rsidRPr="004635E5">
        <w:rPr>
          <w:sz w:val="22"/>
          <w:szCs w:val="22"/>
          <w:lang w:val="en-AU"/>
        </w:rPr>
        <w:t>2017-2018 gap</w:t>
      </w:r>
      <w:r w:rsidR="00305F19" w:rsidRPr="004635E5">
        <w:rPr>
          <w:sz w:val="22"/>
          <w:szCs w:val="22"/>
          <w:lang w:val="en-AU"/>
        </w:rPr>
        <w:t xml:space="preserve">, and that a </w:t>
      </w:r>
      <w:r w:rsidRPr="004635E5">
        <w:rPr>
          <w:sz w:val="22"/>
          <w:szCs w:val="22"/>
          <w:lang w:val="en-AU"/>
        </w:rPr>
        <w:t>f</w:t>
      </w:r>
      <w:r w:rsidR="00305F19" w:rsidRPr="004635E5">
        <w:rPr>
          <w:sz w:val="22"/>
          <w:szCs w:val="22"/>
          <w:lang w:val="en-AU"/>
        </w:rPr>
        <w:t xml:space="preserve">orum </w:t>
      </w:r>
      <w:r w:rsidRPr="004635E5">
        <w:rPr>
          <w:sz w:val="22"/>
          <w:szCs w:val="22"/>
          <w:lang w:val="en-AU"/>
        </w:rPr>
        <w:t xml:space="preserve">within FFA membership </w:t>
      </w:r>
      <w:r w:rsidR="00305F19" w:rsidRPr="004635E5">
        <w:rPr>
          <w:sz w:val="22"/>
          <w:szCs w:val="22"/>
          <w:lang w:val="en-AU"/>
        </w:rPr>
        <w:t xml:space="preserve">could address the </w:t>
      </w:r>
      <w:r w:rsidRPr="004635E5">
        <w:rPr>
          <w:sz w:val="22"/>
          <w:szCs w:val="22"/>
          <w:lang w:val="en-AU"/>
        </w:rPr>
        <w:t xml:space="preserve">issue. </w:t>
      </w:r>
      <w:r w:rsidR="00305F19" w:rsidRPr="004635E5">
        <w:rPr>
          <w:sz w:val="22"/>
          <w:szCs w:val="22"/>
          <w:lang w:val="en-AU"/>
        </w:rPr>
        <w:t xml:space="preserve">Regarding </w:t>
      </w:r>
      <w:r w:rsidR="00ED7456" w:rsidRPr="004635E5">
        <w:rPr>
          <w:sz w:val="22"/>
          <w:szCs w:val="22"/>
          <w:lang w:val="en-AU"/>
        </w:rPr>
        <w:t xml:space="preserve">Tables 3 and 4 in </w:t>
      </w:r>
      <w:r w:rsidR="00ED7456" w:rsidRPr="004635E5">
        <w:rPr>
          <w:bCs/>
          <w:sz w:val="22"/>
          <w:szCs w:val="22"/>
        </w:rPr>
        <w:t>SC14-ST-IP-02</w:t>
      </w:r>
      <w:r w:rsidR="00ED7456" w:rsidRPr="004635E5">
        <w:rPr>
          <w:sz w:val="22"/>
          <w:szCs w:val="22"/>
          <w:lang w:val="en-AU"/>
        </w:rPr>
        <w:t xml:space="preserve">, </w:t>
      </w:r>
      <w:r w:rsidR="00F006DB" w:rsidRPr="004635E5">
        <w:rPr>
          <w:sz w:val="22"/>
          <w:szCs w:val="22"/>
          <w:lang w:val="en-AU"/>
        </w:rPr>
        <w:t xml:space="preserve">RMI </w:t>
      </w:r>
      <w:r w:rsidR="00ED7456" w:rsidRPr="004635E5">
        <w:rPr>
          <w:sz w:val="22"/>
          <w:szCs w:val="22"/>
          <w:lang w:val="en-AU"/>
        </w:rPr>
        <w:t xml:space="preserve">asked </w:t>
      </w:r>
      <w:r w:rsidRPr="004635E5">
        <w:rPr>
          <w:sz w:val="22"/>
          <w:szCs w:val="22"/>
          <w:lang w:val="en-AU"/>
        </w:rPr>
        <w:t xml:space="preserve">how </w:t>
      </w:r>
      <w:r w:rsidR="00ED7456" w:rsidRPr="004635E5">
        <w:rPr>
          <w:sz w:val="22"/>
          <w:szCs w:val="22"/>
          <w:lang w:val="en-AU"/>
        </w:rPr>
        <w:t xml:space="preserve">SPC </w:t>
      </w:r>
      <w:r w:rsidRPr="004635E5">
        <w:rPr>
          <w:sz w:val="22"/>
          <w:szCs w:val="22"/>
          <w:lang w:val="en-AU"/>
        </w:rPr>
        <w:t>account</w:t>
      </w:r>
      <w:r w:rsidR="00ED7456" w:rsidRPr="004635E5">
        <w:rPr>
          <w:sz w:val="22"/>
          <w:szCs w:val="22"/>
          <w:lang w:val="en-AU"/>
        </w:rPr>
        <w:t>ed</w:t>
      </w:r>
      <w:r w:rsidRPr="004635E5">
        <w:rPr>
          <w:sz w:val="22"/>
          <w:szCs w:val="22"/>
          <w:lang w:val="en-AU"/>
        </w:rPr>
        <w:t xml:space="preserve"> for </w:t>
      </w:r>
      <w:r w:rsidR="009C1B3A" w:rsidRPr="004635E5">
        <w:rPr>
          <w:sz w:val="22"/>
          <w:szCs w:val="22"/>
          <w:lang w:val="en-AU"/>
        </w:rPr>
        <w:t xml:space="preserve">work done by </w:t>
      </w:r>
      <w:r w:rsidRPr="004635E5">
        <w:rPr>
          <w:sz w:val="22"/>
          <w:szCs w:val="22"/>
          <w:lang w:val="en-AU"/>
        </w:rPr>
        <w:t xml:space="preserve">coastal states </w:t>
      </w:r>
      <w:r w:rsidR="00E00722" w:rsidRPr="004635E5">
        <w:rPr>
          <w:sz w:val="22"/>
          <w:szCs w:val="22"/>
          <w:lang w:val="en-AU"/>
        </w:rPr>
        <w:t xml:space="preserve">that don’t have a longline fleet, but </w:t>
      </w:r>
      <w:r w:rsidR="00AE5364" w:rsidRPr="004635E5">
        <w:rPr>
          <w:sz w:val="22"/>
          <w:szCs w:val="22"/>
          <w:lang w:val="en-AU"/>
        </w:rPr>
        <w:t>put</w:t>
      </w:r>
      <w:r w:rsidR="009C1B3A" w:rsidRPr="004635E5">
        <w:rPr>
          <w:sz w:val="22"/>
          <w:szCs w:val="22"/>
          <w:lang w:val="en-AU"/>
        </w:rPr>
        <w:t xml:space="preserve"> observers on foreign vessels. </w:t>
      </w:r>
      <w:r w:rsidRPr="004635E5">
        <w:rPr>
          <w:sz w:val="22"/>
          <w:szCs w:val="22"/>
          <w:lang w:val="en-AU"/>
        </w:rPr>
        <w:t>P</w:t>
      </w:r>
      <w:r w:rsidR="00ED7456" w:rsidRPr="004635E5">
        <w:rPr>
          <w:sz w:val="22"/>
          <w:szCs w:val="22"/>
          <w:lang w:val="en-AU"/>
        </w:rPr>
        <w:t xml:space="preserve">. Williams stated that SPC was ready to assist </w:t>
      </w:r>
      <w:r w:rsidRPr="004635E5">
        <w:rPr>
          <w:sz w:val="22"/>
          <w:szCs w:val="22"/>
          <w:lang w:val="en-AU"/>
        </w:rPr>
        <w:t>countries</w:t>
      </w:r>
      <w:r w:rsidR="00ED7456" w:rsidRPr="004635E5">
        <w:rPr>
          <w:sz w:val="22"/>
          <w:szCs w:val="22"/>
          <w:lang w:val="en-AU"/>
        </w:rPr>
        <w:t xml:space="preserve"> in addressing data gaps, with in-country visits if needed. He noted that the </w:t>
      </w:r>
      <w:r w:rsidRPr="004635E5">
        <w:rPr>
          <w:sz w:val="22"/>
          <w:szCs w:val="22"/>
          <w:lang w:val="en-AU"/>
        </w:rPr>
        <w:t xml:space="preserve">table </w:t>
      </w:r>
      <w:r w:rsidR="00ED7456" w:rsidRPr="004635E5">
        <w:rPr>
          <w:sz w:val="22"/>
          <w:szCs w:val="22"/>
          <w:lang w:val="en-AU"/>
        </w:rPr>
        <w:t xml:space="preserve">did </w:t>
      </w:r>
      <w:r w:rsidRPr="004635E5">
        <w:rPr>
          <w:sz w:val="22"/>
          <w:szCs w:val="22"/>
          <w:lang w:val="en-AU"/>
        </w:rPr>
        <w:t>not reflect work done by coastal states in putting observers on foreign vess</w:t>
      </w:r>
      <w:r w:rsidR="00ED7456" w:rsidRPr="004635E5">
        <w:rPr>
          <w:sz w:val="22"/>
          <w:szCs w:val="22"/>
          <w:lang w:val="en-AU"/>
        </w:rPr>
        <w:t>e</w:t>
      </w:r>
      <w:r w:rsidRPr="004635E5">
        <w:rPr>
          <w:sz w:val="22"/>
          <w:szCs w:val="22"/>
          <w:lang w:val="en-AU"/>
        </w:rPr>
        <w:t>ls</w:t>
      </w:r>
      <w:r w:rsidR="009C1B3A" w:rsidRPr="004635E5">
        <w:rPr>
          <w:sz w:val="22"/>
          <w:szCs w:val="22"/>
          <w:lang w:val="en-AU"/>
        </w:rPr>
        <w:t xml:space="preserve">, and that SPC would </w:t>
      </w:r>
      <w:r w:rsidRPr="004635E5">
        <w:rPr>
          <w:sz w:val="22"/>
          <w:szCs w:val="22"/>
          <w:lang w:val="en-AU"/>
        </w:rPr>
        <w:t xml:space="preserve">work </w:t>
      </w:r>
      <w:r w:rsidR="009C1B3A" w:rsidRPr="004635E5">
        <w:rPr>
          <w:sz w:val="22"/>
          <w:szCs w:val="22"/>
          <w:lang w:val="en-AU"/>
        </w:rPr>
        <w:t xml:space="preserve">to </w:t>
      </w:r>
      <w:r w:rsidRPr="004635E5">
        <w:rPr>
          <w:sz w:val="22"/>
          <w:szCs w:val="22"/>
          <w:lang w:val="en-AU"/>
        </w:rPr>
        <w:t xml:space="preserve">list </w:t>
      </w:r>
      <w:r w:rsidR="009C1B3A" w:rsidRPr="004635E5">
        <w:rPr>
          <w:sz w:val="22"/>
          <w:szCs w:val="22"/>
          <w:lang w:val="en-AU"/>
        </w:rPr>
        <w:t xml:space="preserve">the number </w:t>
      </w:r>
      <w:r w:rsidRPr="004635E5">
        <w:rPr>
          <w:sz w:val="22"/>
          <w:szCs w:val="22"/>
          <w:lang w:val="en-AU"/>
        </w:rPr>
        <w:t>of trips by observers</w:t>
      </w:r>
      <w:r w:rsidR="009C1B3A" w:rsidRPr="004635E5">
        <w:rPr>
          <w:sz w:val="22"/>
          <w:szCs w:val="22"/>
          <w:lang w:val="en-AU"/>
        </w:rPr>
        <w:t xml:space="preserve"> in the future.</w:t>
      </w:r>
      <w:r w:rsidRPr="004635E5">
        <w:rPr>
          <w:sz w:val="22"/>
          <w:szCs w:val="22"/>
          <w:lang w:val="en-AU"/>
        </w:rPr>
        <w:t xml:space="preserve"> </w:t>
      </w:r>
      <w:r w:rsidR="00295218" w:rsidRPr="004635E5">
        <w:rPr>
          <w:sz w:val="22"/>
          <w:szCs w:val="22"/>
          <w:lang w:val="en-AU"/>
        </w:rPr>
        <w:t>RMI noted that this should include data submitted in ER and EM formats.</w:t>
      </w:r>
    </w:p>
    <w:p w14:paraId="7399CF72" w14:textId="77777777" w:rsidR="00AE5364" w:rsidRPr="004635E5" w:rsidRDefault="00AE5364" w:rsidP="006633A8">
      <w:pPr>
        <w:autoSpaceDE w:val="0"/>
        <w:autoSpaceDN w:val="0"/>
        <w:adjustRightInd w:val="0"/>
        <w:snapToGrid w:val="0"/>
        <w:jc w:val="both"/>
        <w:rPr>
          <w:sz w:val="22"/>
          <w:szCs w:val="22"/>
          <w:lang w:val="en-AU"/>
        </w:rPr>
      </w:pPr>
    </w:p>
    <w:p w14:paraId="6EB82D7D" w14:textId="77777777" w:rsidR="00AE5364" w:rsidRPr="004635E5" w:rsidRDefault="009C1B3A"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China</w:t>
      </w:r>
      <w:r w:rsidR="00946A80" w:rsidRPr="004635E5">
        <w:rPr>
          <w:sz w:val="22"/>
          <w:szCs w:val="22"/>
          <w:lang w:val="en-AU"/>
        </w:rPr>
        <w:t xml:space="preserve"> echo</w:t>
      </w:r>
      <w:r w:rsidRPr="004635E5">
        <w:rPr>
          <w:sz w:val="22"/>
          <w:szCs w:val="22"/>
          <w:lang w:val="en-AU"/>
        </w:rPr>
        <w:t>ed</w:t>
      </w:r>
      <w:r w:rsidR="00946A80" w:rsidRPr="004635E5">
        <w:rPr>
          <w:sz w:val="22"/>
          <w:szCs w:val="22"/>
          <w:lang w:val="en-AU"/>
        </w:rPr>
        <w:t xml:space="preserve"> RMI’s comment, </w:t>
      </w:r>
      <w:r w:rsidRPr="004635E5">
        <w:rPr>
          <w:sz w:val="22"/>
          <w:szCs w:val="22"/>
          <w:lang w:val="en-AU"/>
        </w:rPr>
        <w:t>noting that T</w:t>
      </w:r>
      <w:r w:rsidR="00946A80" w:rsidRPr="004635E5">
        <w:rPr>
          <w:sz w:val="22"/>
          <w:szCs w:val="22"/>
          <w:lang w:val="en-AU"/>
        </w:rPr>
        <w:t xml:space="preserve">able </w:t>
      </w:r>
      <w:r w:rsidRPr="004635E5">
        <w:rPr>
          <w:sz w:val="22"/>
          <w:szCs w:val="22"/>
          <w:lang w:val="en-AU"/>
        </w:rPr>
        <w:t xml:space="preserve">4 of </w:t>
      </w:r>
      <w:r w:rsidR="004643F2" w:rsidRPr="004635E5">
        <w:rPr>
          <w:bCs/>
          <w:sz w:val="22"/>
          <w:szCs w:val="22"/>
        </w:rPr>
        <w:t>SC14-ST-IP-02</w:t>
      </w:r>
      <w:r w:rsidR="004643F2" w:rsidRPr="004635E5">
        <w:rPr>
          <w:sz w:val="22"/>
          <w:szCs w:val="22"/>
          <w:lang w:val="en-AU"/>
        </w:rPr>
        <w:t xml:space="preserve"> indicated </w:t>
      </w:r>
      <w:r w:rsidR="00946A80" w:rsidRPr="004635E5">
        <w:rPr>
          <w:sz w:val="22"/>
          <w:szCs w:val="22"/>
          <w:lang w:val="en-AU"/>
        </w:rPr>
        <w:t>China had 3.7%</w:t>
      </w:r>
      <w:r w:rsidR="004643F2" w:rsidRPr="004635E5">
        <w:rPr>
          <w:sz w:val="22"/>
          <w:szCs w:val="22"/>
          <w:lang w:val="en-AU"/>
        </w:rPr>
        <w:t xml:space="preserve"> coverage</w:t>
      </w:r>
      <w:r w:rsidR="00F006DB" w:rsidRPr="004635E5">
        <w:rPr>
          <w:sz w:val="22"/>
          <w:szCs w:val="22"/>
          <w:lang w:val="en-AU"/>
        </w:rPr>
        <w:t xml:space="preserve">, and </w:t>
      </w:r>
      <w:r w:rsidR="004643F2" w:rsidRPr="004635E5">
        <w:rPr>
          <w:sz w:val="22"/>
          <w:szCs w:val="22"/>
          <w:lang w:val="en-AU"/>
        </w:rPr>
        <w:t>addressed the metric used, which in China’s case was number of trips</w:t>
      </w:r>
      <w:r w:rsidR="00AE5364" w:rsidRPr="004635E5">
        <w:rPr>
          <w:sz w:val="22"/>
          <w:szCs w:val="22"/>
          <w:lang w:val="en-AU"/>
        </w:rPr>
        <w:t>, but could have been higher if days fished was used instead</w:t>
      </w:r>
      <w:r w:rsidR="004643F2" w:rsidRPr="004635E5">
        <w:rPr>
          <w:sz w:val="22"/>
          <w:szCs w:val="22"/>
          <w:lang w:val="en-AU"/>
        </w:rPr>
        <w:t xml:space="preserve">. </w:t>
      </w:r>
      <w:r w:rsidR="00F006DB" w:rsidRPr="004635E5">
        <w:rPr>
          <w:sz w:val="22"/>
          <w:szCs w:val="22"/>
          <w:lang w:val="en-AU"/>
        </w:rPr>
        <w:t xml:space="preserve">China </w:t>
      </w:r>
      <w:r w:rsidR="004643F2" w:rsidRPr="004635E5">
        <w:rPr>
          <w:sz w:val="22"/>
          <w:szCs w:val="22"/>
          <w:lang w:val="en-AU"/>
        </w:rPr>
        <w:t xml:space="preserve">raised the issue of who had the obligation to supply observers for </w:t>
      </w:r>
      <w:r w:rsidR="00946A80" w:rsidRPr="004635E5">
        <w:rPr>
          <w:sz w:val="22"/>
          <w:szCs w:val="22"/>
          <w:lang w:val="en-AU"/>
        </w:rPr>
        <w:t>domestic</w:t>
      </w:r>
      <w:r w:rsidR="004643F2" w:rsidRPr="004635E5">
        <w:rPr>
          <w:sz w:val="22"/>
          <w:szCs w:val="22"/>
          <w:lang w:val="en-AU"/>
        </w:rPr>
        <w:t>ally</w:t>
      </w:r>
      <w:r w:rsidR="00946A80" w:rsidRPr="004635E5">
        <w:rPr>
          <w:sz w:val="22"/>
          <w:szCs w:val="22"/>
          <w:lang w:val="en-AU"/>
        </w:rPr>
        <w:t xml:space="preserve"> based DWFV operating in PNA/FFA waters</w:t>
      </w:r>
      <w:r w:rsidR="004643F2" w:rsidRPr="004635E5">
        <w:rPr>
          <w:sz w:val="22"/>
          <w:szCs w:val="22"/>
          <w:lang w:val="en-AU"/>
        </w:rPr>
        <w:t xml:space="preserve">, </w:t>
      </w:r>
      <w:r w:rsidR="00AE5364" w:rsidRPr="004635E5">
        <w:rPr>
          <w:sz w:val="22"/>
          <w:szCs w:val="22"/>
          <w:lang w:val="en-AU"/>
        </w:rPr>
        <w:t xml:space="preserve">stating that if that issue were resolved China could increase it coverage. </w:t>
      </w:r>
      <w:r w:rsidR="00946A80" w:rsidRPr="004635E5">
        <w:rPr>
          <w:sz w:val="22"/>
          <w:szCs w:val="22"/>
          <w:lang w:val="en-AU"/>
        </w:rPr>
        <w:t>P</w:t>
      </w:r>
      <w:r w:rsidR="00AE5364" w:rsidRPr="004635E5">
        <w:rPr>
          <w:sz w:val="22"/>
          <w:szCs w:val="22"/>
          <w:lang w:val="en-AU"/>
        </w:rPr>
        <w:t xml:space="preserve">. William indicated SPC could consider changing the metric used for 2019. </w:t>
      </w:r>
    </w:p>
    <w:p w14:paraId="2AB615F6" w14:textId="77777777" w:rsidR="00AE5364" w:rsidRPr="004635E5" w:rsidRDefault="00AE5364" w:rsidP="006633A8">
      <w:pPr>
        <w:autoSpaceDE w:val="0"/>
        <w:autoSpaceDN w:val="0"/>
        <w:adjustRightInd w:val="0"/>
        <w:snapToGrid w:val="0"/>
        <w:jc w:val="both"/>
        <w:rPr>
          <w:sz w:val="22"/>
          <w:szCs w:val="22"/>
          <w:lang w:val="en-AU"/>
        </w:rPr>
      </w:pPr>
    </w:p>
    <w:p w14:paraId="26755A75" w14:textId="77777777" w:rsidR="007B0781" w:rsidRPr="004635E5" w:rsidRDefault="00202EA7"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Chinese-Taipei noted that </w:t>
      </w:r>
      <w:r w:rsidRPr="004635E5">
        <w:rPr>
          <w:sz w:val="22"/>
          <w:szCs w:val="22"/>
        </w:rPr>
        <w:t xml:space="preserve">fishermen know how to report information, </w:t>
      </w:r>
      <w:r>
        <w:rPr>
          <w:sz w:val="22"/>
          <w:szCs w:val="22"/>
        </w:rPr>
        <w:t xml:space="preserve">are ingrained in their ways, and would be very resistant to any </w:t>
      </w:r>
      <w:r w:rsidRPr="004635E5">
        <w:rPr>
          <w:sz w:val="22"/>
          <w:szCs w:val="22"/>
        </w:rPr>
        <w:t>revis</w:t>
      </w:r>
      <w:r>
        <w:rPr>
          <w:sz w:val="22"/>
          <w:szCs w:val="22"/>
        </w:rPr>
        <w:t>ions to</w:t>
      </w:r>
      <w:r w:rsidRPr="004635E5">
        <w:rPr>
          <w:sz w:val="22"/>
          <w:szCs w:val="22"/>
        </w:rPr>
        <w:t xml:space="preserve"> their logbooks. </w:t>
      </w:r>
      <w:r w:rsidR="00EE686C" w:rsidRPr="004635E5">
        <w:rPr>
          <w:sz w:val="22"/>
          <w:szCs w:val="22"/>
        </w:rPr>
        <w:t xml:space="preserve"> </w:t>
      </w:r>
      <w:r w:rsidR="00946A80" w:rsidRPr="004635E5">
        <w:rPr>
          <w:sz w:val="22"/>
          <w:szCs w:val="22"/>
          <w:lang w:val="en-AU"/>
        </w:rPr>
        <w:t>P</w:t>
      </w:r>
      <w:r w:rsidR="007B0781" w:rsidRPr="004635E5">
        <w:rPr>
          <w:sz w:val="22"/>
          <w:szCs w:val="22"/>
          <w:lang w:val="en-AU"/>
        </w:rPr>
        <w:t xml:space="preserve">. William </w:t>
      </w:r>
      <w:r w:rsidR="00274DB8" w:rsidRPr="004635E5">
        <w:rPr>
          <w:sz w:val="22"/>
          <w:szCs w:val="22"/>
          <w:lang w:val="en-AU"/>
        </w:rPr>
        <w:t xml:space="preserve">noted that </w:t>
      </w:r>
      <w:r w:rsidR="00030C2C">
        <w:rPr>
          <w:rFonts w:eastAsiaTheme="minorEastAsia" w:hint="eastAsia"/>
          <w:sz w:val="22"/>
          <w:szCs w:val="22"/>
          <w:lang w:val="en-AU" w:eastAsia="ko-KR"/>
        </w:rPr>
        <w:t xml:space="preserve">further </w:t>
      </w:r>
      <w:r w:rsidR="00274DB8" w:rsidRPr="004635E5">
        <w:rPr>
          <w:sz w:val="22"/>
          <w:szCs w:val="22"/>
          <w:lang w:val="en-AU"/>
        </w:rPr>
        <w:t>information</w:t>
      </w:r>
      <w:r w:rsidR="00F006DB" w:rsidRPr="004635E5">
        <w:rPr>
          <w:sz w:val="22"/>
          <w:szCs w:val="22"/>
          <w:lang w:val="en-AU"/>
        </w:rPr>
        <w:t xml:space="preserve"> </w:t>
      </w:r>
      <w:r w:rsidR="00EE686C" w:rsidRPr="004635E5">
        <w:rPr>
          <w:sz w:val="22"/>
          <w:szCs w:val="22"/>
          <w:lang w:val="en-AU"/>
        </w:rPr>
        <w:t xml:space="preserve">could </w:t>
      </w:r>
      <w:r w:rsidR="00F006DB" w:rsidRPr="004635E5">
        <w:rPr>
          <w:sz w:val="22"/>
          <w:szCs w:val="22"/>
          <w:lang w:val="en-AU"/>
        </w:rPr>
        <w:t xml:space="preserve">be made </w:t>
      </w:r>
      <w:r w:rsidR="00EE686C" w:rsidRPr="004635E5">
        <w:rPr>
          <w:sz w:val="22"/>
          <w:szCs w:val="22"/>
          <w:lang w:val="en-AU"/>
        </w:rPr>
        <w:t xml:space="preserve">available. </w:t>
      </w:r>
    </w:p>
    <w:p w14:paraId="7F1BF70B" w14:textId="77777777" w:rsidR="007B0781" w:rsidRPr="004635E5" w:rsidRDefault="007B0781" w:rsidP="006633A8">
      <w:pPr>
        <w:autoSpaceDE w:val="0"/>
        <w:autoSpaceDN w:val="0"/>
        <w:adjustRightInd w:val="0"/>
        <w:snapToGrid w:val="0"/>
        <w:jc w:val="both"/>
        <w:rPr>
          <w:sz w:val="22"/>
          <w:szCs w:val="22"/>
          <w:lang w:val="en-AU"/>
        </w:rPr>
      </w:pPr>
    </w:p>
    <w:p w14:paraId="6EE15834" w14:textId="77777777" w:rsidR="007B0781" w:rsidRPr="004635E5" w:rsidRDefault="00946A80"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Aus</w:t>
      </w:r>
      <w:r w:rsidR="004643F2" w:rsidRPr="004635E5">
        <w:rPr>
          <w:sz w:val="22"/>
          <w:szCs w:val="22"/>
          <w:lang w:val="en-AU"/>
        </w:rPr>
        <w:t xml:space="preserve">tralia commented regarding the </w:t>
      </w:r>
      <w:r w:rsidRPr="004635E5">
        <w:rPr>
          <w:sz w:val="22"/>
          <w:szCs w:val="22"/>
          <w:lang w:val="en-AU"/>
        </w:rPr>
        <w:t xml:space="preserve">ROP </w:t>
      </w:r>
      <w:r w:rsidR="004643F2" w:rsidRPr="004635E5">
        <w:rPr>
          <w:sz w:val="22"/>
          <w:szCs w:val="22"/>
          <w:lang w:val="en-AU"/>
        </w:rPr>
        <w:t>co</w:t>
      </w:r>
      <w:r w:rsidRPr="004635E5">
        <w:rPr>
          <w:sz w:val="22"/>
          <w:szCs w:val="22"/>
          <w:lang w:val="en-AU"/>
        </w:rPr>
        <w:t>verage tables</w:t>
      </w:r>
      <w:r w:rsidR="004643F2" w:rsidRPr="004635E5">
        <w:rPr>
          <w:sz w:val="22"/>
          <w:szCs w:val="22"/>
          <w:lang w:val="en-AU"/>
        </w:rPr>
        <w:t xml:space="preserve"> for </w:t>
      </w:r>
      <w:r w:rsidRPr="004635E5">
        <w:rPr>
          <w:sz w:val="22"/>
          <w:szCs w:val="22"/>
          <w:lang w:val="en-AU"/>
        </w:rPr>
        <w:t>2016</w:t>
      </w:r>
      <w:r w:rsidR="007D1E81" w:rsidRPr="004635E5">
        <w:rPr>
          <w:sz w:val="22"/>
          <w:szCs w:val="22"/>
          <w:lang w:val="en-AU"/>
        </w:rPr>
        <w:t xml:space="preserve"> and </w:t>
      </w:r>
      <w:r w:rsidRPr="004635E5">
        <w:rPr>
          <w:sz w:val="22"/>
          <w:szCs w:val="22"/>
          <w:lang w:val="en-AU"/>
        </w:rPr>
        <w:t xml:space="preserve">2017, </w:t>
      </w:r>
      <w:r w:rsidR="007D1E81" w:rsidRPr="004635E5">
        <w:rPr>
          <w:sz w:val="22"/>
          <w:szCs w:val="22"/>
          <w:lang w:val="en-AU"/>
        </w:rPr>
        <w:t xml:space="preserve">noting that </w:t>
      </w:r>
      <w:r w:rsidRPr="004635E5">
        <w:rPr>
          <w:sz w:val="22"/>
          <w:szCs w:val="22"/>
          <w:lang w:val="en-AU"/>
        </w:rPr>
        <w:t>coverage rates for most fleets</w:t>
      </w:r>
      <w:r w:rsidR="007D1E81" w:rsidRPr="004635E5">
        <w:rPr>
          <w:sz w:val="22"/>
          <w:szCs w:val="22"/>
          <w:lang w:val="en-AU"/>
        </w:rPr>
        <w:t xml:space="preserve"> were </w:t>
      </w:r>
      <w:r w:rsidRPr="004635E5">
        <w:rPr>
          <w:sz w:val="22"/>
          <w:szCs w:val="22"/>
          <w:lang w:val="en-AU"/>
        </w:rPr>
        <w:t>good</w:t>
      </w:r>
      <w:r w:rsidR="007D1E81" w:rsidRPr="004635E5">
        <w:rPr>
          <w:sz w:val="22"/>
          <w:szCs w:val="22"/>
          <w:lang w:val="en-AU"/>
        </w:rPr>
        <w:t xml:space="preserve">, likely (on the basis of </w:t>
      </w:r>
      <w:r w:rsidRPr="004635E5">
        <w:rPr>
          <w:sz w:val="22"/>
          <w:szCs w:val="22"/>
          <w:lang w:val="en-AU"/>
        </w:rPr>
        <w:t>c</w:t>
      </w:r>
      <w:r w:rsidR="007D1E81" w:rsidRPr="004635E5">
        <w:rPr>
          <w:sz w:val="22"/>
          <w:szCs w:val="22"/>
          <w:lang w:val="en-AU"/>
        </w:rPr>
        <w:t>a</w:t>
      </w:r>
      <w:r w:rsidRPr="004635E5">
        <w:rPr>
          <w:sz w:val="22"/>
          <w:szCs w:val="22"/>
          <w:lang w:val="en-AU"/>
        </w:rPr>
        <w:t>tch</w:t>
      </w:r>
      <w:r w:rsidR="007D1E81" w:rsidRPr="004635E5">
        <w:rPr>
          <w:sz w:val="22"/>
          <w:szCs w:val="22"/>
          <w:lang w:val="en-AU"/>
        </w:rPr>
        <w:t xml:space="preserve">) approximately </w:t>
      </w:r>
      <w:r w:rsidRPr="004635E5">
        <w:rPr>
          <w:sz w:val="22"/>
          <w:szCs w:val="22"/>
          <w:lang w:val="en-AU"/>
        </w:rPr>
        <w:t>5</w:t>
      </w:r>
      <w:r w:rsidR="007D1E81" w:rsidRPr="004635E5">
        <w:rPr>
          <w:sz w:val="22"/>
          <w:szCs w:val="22"/>
          <w:lang w:val="en-AU"/>
        </w:rPr>
        <w:t>%</w:t>
      </w:r>
      <w:r w:rsidRPr="004635E5">
        <w:rPr>
          <w:sz w:val="22"/>
          <w:szCs w:val="22"/>
          <w:lang w:val="en-AU"/>
        </w:rPr>
        <w:t xml:space="preserve">-7% across </w:t>
      </w:r>
      <w:r w:rsidR="007D1E81" w:rsidRPr="004635E5">
        <w:rPr>
          <w:sz w:val="22"/>
          <w:szCs w:val="22"/>
          <w:lang w:val="en-AU"/>
        </w:rPr>
        <w:t xml:space="preserve">the </w:t>
      </w:r>
      <w:r w:rsidRPr="004635E5">
        <w:rPr>
          <w:sz w:val="22"/>
          <w:szCs w:val="22"/>
          <w:lang w:val="en-AU"/>
        </w:rPr>
        <w:t xml:space="preserve">fishery. But in </w:t>
      </w:r>
      <w:r w:rsidR="005C3CE1">
        <w:rPr>
          <w:rFonts w:eastAsia="Calibri"/>
          <w:sz w:val="22"/>
          <w:szCs w:val="22"/>
          <w:lang w:val="en-AU"/>
        </w:rPr>
        <w:t>SC14-</w:t>
      </w:r>
      <w:r w:rsidR="007D1E81" w:rsidRPr="004635E5">
        <w:rPr>
          <w:sz w:val="22"/>
          <w:szCs w:val="22"/>
          <w:lang w:val="en-AU"/>
        </w:rPr>
        <w:t>EB-</w:t>
      </w:r>
      <w:r w:rsidRPr="004635E5">
        <w:rPr>
          <w:sz w:val="22"/>
          <w:szCs w:val="22"/>
          <w:lang w:val="en-AU"/>
        </w:rPr>
        <w:t>WP-02</w:t>
      </w:r>
      <w:r w:rsidR="007D1E81" w:rsidRPr="004635E5">
        <w:rPr>
          <w:sz w:val="22"/>
          <w:szCs w:val="22"/>
          <w:lang w:val="en-AU"/>
        </w:rPr>
        <w:t xml:space="preserve"> </w:t>
      </w:r>
      <w:r w:rsidR="007D1E81" w:rsidRPr="004635E5">
        <w:rPr>
          <w:i/>
          <w:sz w:val="22"/>
          <w:szCs w:val="22"/>
        </w:rPr>
        <w:t>Report for Project 78: Analysis of Observer and Logbook Data Pertaining to Key Shark Species in the Western and Central Pacific Ocean</w:t>
      </w:r>
      <w:r w:rsidRPr="004635E5">
        <w:rPr>
          <w:sz w:val="22"/>
          <w:szCs w:val="22"/>
          <w:lang w:val="en-AU"/>
        </w:rPr>
        <w:t xml:space="preserve">, coverage rates appear much </w:t>
      </w:r>
      <w:r w:rsidR="007D1E81" w:rsidRPr="004635E5">
        <w:rPr>
          <w:sz w:val="22"/>
          <w:szCs w:val="22"/>
          <w:lang w:val="en-AU"/>
        </w:rPr>
        <w:t>lower</w:t>
      </w:r>
      <w:r w:rsidR="00694BD5" w:rsidRPr="004635E5">
        <w:rPr>
          <w:sz w:val="22"/>
          <w:szCs w:val="22"/>
          <w:lang w:val="en-AU"/>
        </w:rPr>
        <w:t xml:space="preserve"> (around 2%)</w:t>
      </w:r>
      <w:r w:rsidR="007D1E81" w:rsidRPr="004635E5">
        <w:rPr>
          <w:sz w:val="22"/>
          <w:szCs w:val="22"/>
          <w:lang w:val="en-AU"/>
        </w:rPr>
        <w:t xml:space="preserve">. </w:t>
      </w:r>
      <w:r w:rsidR="00F006DB" w:rsidRPr="004635E5">
        <w:rPr>
          <w:sz w:val="22"/>
          <w:szCs w:val="22"/>
          <w:lang w:val="en-AU"/>
        </w:rPr>
        <w:t xml:space="preserve">They </w:t>
      </w:r>
      <w:r w:rsidR="007D1E81" w:rsidRPr="004635E5">
        <w:rPr>
          <w:sz w:val="22"/>
          <w:szCs w:val="22"/>
          <w:lang w:val="en-AU"/>
        </w:rPr>
        <w:t xml:space="preserve">noted the large apparent </w:t>
      </w:r>
      <w:r w:rsidRPr="004635E5">
        <w:rPr>
          <w:sz w:val="22"/>
          <w:szCs w:val="22"/>
          <w:lang w:val="en-AU"/>
        </w:rPr>
        <w:t xml:space="preserve">inconsistency </w:t>
      </w:r>
      <w:r w:rsidR="007D1E81" w:rsidRPr="004635E5">
        <w:rPr>
          <w:sz w:val="22"/>
          <w:szCs w:val="22"/>
          <w:lang w:val="en-AU"/>
        </w:rPr>
        <w:t xml:space="preserve">between the two papers, especially </w:t>
      </w:r>
      <w:r w:rsidRPr="004635E5">
        <w:rPr>
          <w:sz w:val="22"/>
          <w:szCs w:val="22"/>
          <w:lang w:val="en-AU"/>
        </w:rPr>
        <w:t>for DWFNs</w:t>
      </w:r>
      <w:r w:rsidR="007D1E81" w:rsidRPr="004635E5">
        <w:rPr>
          <w:sz w:val="22"/>
          <w:szCs w:val="22"/>
          <w:lang w:val="en-AU"/>
        </w:rPr>
        <w:t xml:space="preserve">, and that, </w:t>
      </w:r>
      <w:r w:rsidRPr="004635E5">
        <w:rPr>
          <w:sz w:val="22"/>
          <w:szCs w:val="22"/>
          <w:lang w:val="en-AU"/>
        </w:rPr>
        <w:t xml:space="preserve">as pointed out in </w:t>
      </w:r>
      <w:r w:rsidR="005C3CE1">
        <w:rPr>
          <w:rFonts w:eastAsia="Calibri"/>
          <w:sz w:val="22"/>
          <w:szCs w:val="22"/>
          <w:lang w:val="en-AU"/>
        </w:rPr>
        <w:t>SC14-</w:t>
      </w:r>
      <w:r w:rsidRPr="004635E5">
        <w:rPr>
          <w:sz w:val="22"/>
          <w:szCs w:val="22"/>
          <w:lang w:val="en-AU"/>
        </w:rPr>
        <w:t>EB-</w:t>
      </w:r>
      <w:r w:rsidR="007D1E81" w:rsidRPr="004635E5">
        <w:rPr>
          <w:sz w:val="22"/>
          <w:szCs w:val="22"/>
          <w:lang w:val="en-AU"/>
        </w:rPr>
        <w:t>WP-</w:t>
      </w:r>
      <w:r w:rsidRPr="004635E5">
        <w:rPr>
          <w:sz w:val="22"/>
          <w:szCs w:val="22"/>
          <w:lang w:val="en-AU"/>
        </w:rPr>
        <w:t xml:space="preserve">02, </w:t>
      </w:r>
      <w:r w:rsidR="007D1E81" w:rsidRPr="004635E5">
        <w:rPr>
          <w:sz w:val="22"/>
          <w:szCs w:val="22"/>
          <w:lang w:val="en-AU"/>
        </w:rPr>
        <w:t xml:space="preserve">coverage </w:t>
      </w:r>
      <w:r w:rsidRPr="004635E5">
        <w:rPr>
          <w:sz w:val="22"/>
          <w:szCs w:val="22"/>
          <w:lang w:val="en-AU"/>
        </w:rPr>
        <w:t xml:space="preserve">should be 5% </w:t>
      </w:r>
      <w:r w:rsidR="007D1E81" w:rsidRPr="004635E5">
        <w:rPr>
          <w:sz w:val="22"/>
          <w:szCs w:val="22"/>
          <w:lang w:val="en-AU"/>
        </w:rPr>
        <w:t xml:space="preserve">(as of </w:t>
      </w:r>
      <w:r w:rsidRPr="004635E5">
        <w:rPr>
          <w:sz w:val="22"/>
          <w:szCs w:val="22"/>
          <w:lang w:val="en-AU"/>
        </w:rPr>
        <w:t>2012</w:t>
      </w:r>
      <w:r w:rsidR="007D1E81" w:rsidRPr="004635E5">
        <w:rPr>
          <w:sz w:val="22"/>
          <w:szCs w:val="22"/>
          <w:lang w:val="en-AU"/>
        </w:rPr>
        <w:t>)</w:t>
      </w:r>
      <w:r w:rsidRPr="004635E5">
        <w:rPr>
          <w:sz w:val="22"/>
          <w:szCs w:val="22"/>
          <w:lang w:val="en-AU"/>
        </w:rPr>
        <w:t xml:space="preserve">. </w:t>
      </w:r>
      <w:r w:rsidR="00F006DB" w:rsidRPr="004635E5">
        <w:rPr>
          <w:sz w:val="22"/>
          <w:szCs w:val="22"/>
          <w:lang w:val="en-AU"/>
        </w:rPr>
        <w:t xml:space="preserve">Australia </w:t>
      </w:r>
      <w:r w:rsidR="007D1E81" w:rsidRPr="004635E5">
        <w:rPr>
          <w:sz w:val="22"/>
          <w:szCs w:val="22"/>
          <w:lang w:val="en-AU"/>
        </w:rPr>
        <w:t xml:space="preserve">observed that there were </w:t>
      </w:r>
      <w:r w:rsidRPr="004635E5">
        <w:rPr>
          <w:sz w:val="22"/>
          <w:szCs w:val="22"/>
          <w:lang w:val="en-AU"/>
        </w:rPr>
        <w:t>imp</w:t>
      </w:r>
      <w:r w:rsidR="007D1E81" w:rsidRPr="004635E5">
        <w:rPr>
          <w:sz w:val="22"/>
          <w:szCs w:val="22"/>
          <w:lang w:val="en-AU"/>
        </w:rPr>
        <w:t>ortant</w:t>
      </w:r>
      <w:r w:rsidRPr="004635E5">
        <w:rPr>
          <w:sz w:val="22"/>
          <w:szCs w:val="22"/>
          <w:lang w:val="en-AU"/>
        </w:rPr>
        <w:t xml:space="preserve"> consequences for bycatch and for </w:t>
      </w:r>
      <w:r w:rsidR="007D1E81" w:rsidRPr="004635E5">
        <w:rPr>
          <w:sz w:val="22"/>
          <w:szCs w:val="22"/>
          <w:lang w:val="en-AU"/>
        </w:rPr>
        <w:t xml:space="preserve">the </w:t>
      </w:r>
      <w:r w:rsidRPr="004635E5">
        <w:rPr>
          <w:sz w:val="22"/>
          <w:szCs w:val="22"/>
          <w:lang w:val="en-AU"/>
        </w:rPr>
        <w:t xml:space="preserve">need to </w:t>
      </w:r>
      <w:r w:rsidR="00694BD5" w:rsidRPr="004635E5">
        <w:rPr>
          <w:sz w:val="22"/>
          <w:szCs w:val="22"/>
          <w:lang w:val="en-AU"/>
        </w:rPr>
        <w:t xml:space="preserve">record </w:t>
      </w:r>
      <w:r w:rsidRPr="004635E5">
        <w:rPr>
          <w:sz w:val="22"/>
          <w:szCs w:val="22"/>
          <w:lang w:val="en-AU"/>
        </w:rPr>
        <w:t>discards in logbooks</w:t>
      </w:r>
      <w:r w:rsidR="00694BD5" w:rsidRPr="004635E5">
        <w:rPr>
          <w:sz w:val="22"/>
          <w:szCs w:val="22"/>
          <w:lang w:val="en-AU"/>
        </w:rPr>
        <w:t xml:space="preserve">, given the </w:t>
      </w:r>
      <w:r w:rsidRPr="004635E5">
        <w:rPr>
          <w:sz w:val="22"/>
          <w:szCs w:val="22"/>
          <w:lang w:val="en-AU"/>
        </w:rPr>
        <w:t>inadequa</w:t>
      </w:r>
      <w:r w:rsidR="00694BD5" w:rsidRPr="004635E5">
        <w:rPr>
          <w:sz w:val="22"/>
          <w:szCs w:val="22"/>
          <w:lang w:val="en-AU"/>
        </w:rPr>
        <w:t xml:space="preserve">cy of </w:t>
      </w:r>
      <w:r w:rsidRPr="004635E5">
        <w:rPr>
          <w:sz w:val="22"/>
          <w:szCs w:val="22"/>
          <w:lang w:val="en-AU"/>
        </w:rPr>
        <w:t>obs</w:t>
      </w:r>
      <w:r w:rsidR="00694BD5" w:rsidRPr="004635E5">
        <w:rPr>
          <w:sz w:val="22"/>
          <w:szCs w:val="22"/>
          <w:lang w:val="en-AU"/>
        </w:rPr>
        <w:t>erver</w:t>
      </w:r>
      <w:r w:rsidRPr="004635E5">
        <w:rPr>
          <w:sz w:val="22"/>
          <w:szCs w:val="22"/>
          <w:lang w:val="en-AU"/>
        </w:rPr>
        <w:t xml:space="preserve"> data</w:t>
      </w:r>
      <w:r w:rsidR="00F006DB" w:rsidRPr="004635E5">
        <w:rPr>
          <w:sz w:val="22"/>
          <w:szCs w:val="22"/>
          <w:lang w:val="en-AU"/>
        </w:rPr>
        <w:t xml:space="preserve">, and </w:t>
      </w:r>
      <w:r w:rsidR="0000488F" w:rsidRPr="004635E5">
        <w:rPr>
          <w:sz w:val="22"/>
          <w:szCs w:val="22"/>
          <w:lang w:val="en-AU"/>
        </w:rPr>
        <w:t xml:space="preserve">commented on the effect that the chosen metric (such as days fished or hooks set) could have on actual observer coverage, while stressing the need to better understand the reason for the discrepancy in reported observer coverage. </w:t>
      </w:r>
      <w:r w:rsidR="00694BD5" w:rsidRPr="004635E5">
        <w:rPr>
          <w:sz w:val="22"/>
          <w:szCs w:val="22"/>
          <w:lang w:val="en-AU"/>
        </w:rPr>
        <w:t xml:space="preserve">P. Williams indicated that </w:t>
      </w:r>
      <w:r w:rsidR="00EE686C" w:rsidRPr="004635E5">
        <w:rPr>
          <w:sz w:val="22"/>
          <w:szCs w:val="22"/>
          <w:lang w:val="en-AU"/>
        </w:rPr>
        <w:t xml:space="preserve">in Table 4 </w:t>
      </w:r>
      <w:r w:rsidRPr="004635E5">
        <w:rPr>
          <w:sz w:val="22"/>
          <w:szCs w:val="22"/>
          <w:lang w:val="en-AU"/>
        </w:rPr>
        <w:t>diff</w:t>
      </w:r>
      <w:r w:rsidR="00694BD5" w:rsidRPr="004635E5">
        <w:rPr>
          <w:sz w:val="22"/>
          <w:szCs w:val="22"/>
          <w:lang w:val="en-AU"/>
        </w:rPr>
        <w:t>erent</w:t>
      </w:r>
      <w:r w:rsidRPr="004635E5">
        <w:rPr>
          <w:sz w:val="22"/>
          <w:szCs w:val="22"/>
          <w:lang w:val="en-AU"/>
        </w:rPr>
        <w:t xml:space="preserve"> metrics</w:t>
      </w:r>
      <w:r w:rsidR="00694BD5" w:rsidRPr="004635E5">
        <w:rPr>
          <w:sz w:val="22"/>
          <w:szCs w:val="22"/>
          <w:lang w:val="en-AU"/>
        </w:rPr>
        <w:t xml:space="preserve"> were used, and that </w:t>
      </w:r>
      <w:r w:rsidRPr="004635E5">
        <w:rPr>
          <w:sz w:val="22"/>
          <w:szCs w:val="22"/>
          <w:lang w:val="en-AU"/>
        </w:rPr>
        <w:t xml:space="preserve">CCMs </w:t>
      </w:r>
      <w:r w:rsidR="00694BD5" w:rsidRPr="004635E5">
        <w:rPr>
          <w:sz w:val="22"/>
          <w:szCs w:val="22"/>
          <w:lang w:val="en-AU"/>
        </w:rPr>
        <w:t xml:space="preserve">typically </w:t>
      </w:r>
      <w:r w:rsidRPr="004635E5">
        <w:rPr>
          <w:sz w:val="22"/>
          <w:szCs w:val="22"/>
          <w:lang w:val="en-AU"/>
        </w:rPr>
        <w:t xml:space="preserve">use the metric that points to </w:t>
      </w:r>
      <w:r w:rsidR="00694BD5" w:rsidRPr="004635E5">
        <w:rPr>
          <w:sz w:val="22"/>
          <w:szCs w:val="22"/>
          <w:lang w:val="en-AU"/>
        </w:rPr>
        <w:t xml:space="preserve">the </w:t>
      </w:r>
      <w:r w:rsidRPr="004635E5">
        <w:rPr>
          <w:sz w:val="22"/>
          <w:szCs w:val="22"/>
          <w:lang w:val="en-AU"/>
        </w:rPr>
        <w:t>highest coverage</w:t>
      </w:r>
      <w:r w:rsidR="00694BD5" w:rsidRPr="004635E5">
        <w:rPr>
          <w:sz w:val="22"/>
          <w:szCs w:val="22"/>
          <w:lang w:val="en-AU"/>
        </w:rPr>
        <w:t xml:space="preserve">, which </w:t>
      </w:r>
      <w:r w:rsidR="00F006DB" w:rsidRPr="004635E5">
        <w:rPr>
          <w:sz w:val="22"/>
          <w:szCs w:val="22"/>
          <w:lang w:val="en-AU"/>
        </w:rPr>
        <w:t xml:space="preserve">would </w:t>
      </w:r>
      <w:r w:rsidR="00694BD5" w:rsidRPr="004635E5">
        <w:rPr>
          <w:sz w:val="22"/>
          <w:szCs w:val="22"/>
          <w:lang w:val="en-AU"/>
        </w:rPr>
        <w:t>account</w:t>
      </w:r>
      <w:r w:rsidRPr="004635E5">
        <w:rPr>
          <w:sz w:val="22"/>
          <w:szCs w:val="22"/>
          <w:lang w:val="en-AU"/>
        </w:rPr>
        <w:t xml:space="preserve"> for some of </w:t>
      </w:r>
      <w:r w:rsidR="00694BD5" w:rsidRPr="004635E5">
        <w:rPr>
          <w:sz w:val="22"/>
          <w:szCs w:val="22"/>
          <w:lang w:val="en-AU"/>
        </w:rPr>
        <w:t xml:space="preserve">the </w:t>
      </w:r>
      <w:r w:rsidRPr="004635E5">
        <w:rPr>
          <w:sz w:val="22"/>
          <w:szCs w:val="22"/>
          <w:lang w:val="en-AU"/>
        </w:rPr>
        <w:t xml:space="preserve">gap </w:t>
      </w:r>
      <w:r w:rsidR="00694BD5" w:rsidRPr="004635E5">
        <w:rPr>
          <w:sz w:val="22"/>
          <w:szCs w:val="22"/>
          <w:lang w:val="en-AU"/>
        </w:rPr>
        <w:t>(</w:t>
      </w:r>
      <w:r w:rsidRPr="004635E5">
        <w:rPr>
          <w:sz w:val="22"/>
          <w:szCs w:val="22"/>
          <w:lang w:val="en-AU"/>
        </w:rPr>
        <w:t>from</w:t>
      </w:r>
      <w:r w:rsidR="00694BD5" w:rsidRPr="004635E5">
        <w:rPr>
          <w:sz w:val="22"/>
          <w:szCs w:val="22"/>
          <w:lang w:val="en-AU"/>
        </w:rPr>
        <w:t xml:space="preserve"> </w:t>
      </w:r>
      <w:r w:rsidRPr="004635E5">
        <w:rPr>
          <w:sz w:val="22"/>
          <w:szCs w:val="22"/>
          <w:lang w:val="en-AU"/>
        </w:rPr>
        <w:t>2% to 5%+</w:t>
      </w:r>
      <w:r w:rsidR="00694BD5" w:rsidRPr="004635E5">
        <w:rPr>
          <w:sz w:val="22"/>
          <w:szCs w:val="22"/>
          <w:lang w:val="en-AU"/>
        </w:rPr>
        <w:t xml:space="preserve">), </w:t>
      </w:r>
      <w:r w:rsidR="00F006DB" w:rsidRPr="004635E5">
        <w:rPr>
          <w:sz w:val="22"/>
          <w:szCs w:val="22"/>
          <w:lang w:val="en-AU"/>
        </w:rPr>
        <w:t xml:space="preserve">while </w:t>
      </w:r>
      <w:r w:rsidR="005C3CE1">
        <w:rPr>
          <w:rFonts w:eastAsia="Calibri"/>
          <w:sz w:val="22"/>
          <w:szCs w:val="22"/>
          <w:lang w:val="en-AU"/>
        </w:rPr>
        <w:t>SC14-</w:t>
      </w:r>
      <w:r w:rsidR="00694BD5" w:rsidRPr="004635E5">
        <w:rPr>
          <w:sz w:val="22"/>
          <w:szCs w:val="22"/>
          <w:lang w:val="en-AU"/>
        </w:rPr>
        <w:t xml:space="preserve">EB-WP-02 </w:t>
      </w:r>
      <w:r w:rsidRPr="004635E5">
        <w:rPr>
          <w:sz w:val="22"/>
          <w:szCs w:val="22"/>
          <w:lang w:val="en-AU"/>
        </w:rPr>
        <w:t xml:space="preserve">may </w:t>
      </w:r>
      <w:r w:rsidR="00694BD5" w:rsidRPr="004635E5">
        <w:rPr>
          <w:sz w:val="22"/>
          <w:szCs w:val="22"/>
          <w:lang w:val="en-AU"/>
        </w:rPr>
        <w:t>use</w:t>
      </w:r>
      <w:r w:rsidRPr="004635E5">
        <w:rPr>
          <w:sz w:val="22"/>
          <w:szCs w:val="22"/>
          <w:lang w:val="en-AU"/>
        </w:rPr>
        <w:t xml:space="preserve"> hooks or annual catch estimates. </w:t>
      </w:r>
      <w:r w:rsidR="00694BD5" w:rsidRPr="004635E5">
        <w:rPr>
          <w:sz w:val="22"/>
          <w:szCs w:val="22"/>
          <w:lang w:val="en-AU"/>
        </w:rPr>
        <w:t xml:space="preserve">He indicated </w:t>
      </w:r>
      <w:r w:rsidR="0000488F" w:rsidRPr="004635E5">
        <w:rPr>
          <w:sz w:val="22"/>
          <w:szCs w:val="22"/>
          <w:lang w:val="en-AU"/>
        </w:rPr>
        <w:t>the discrepancy could also be the result of delays in loading data as a result of the need to resolve data errors</w:t>
      </w:r>
      <w:r w:rsidR="00F006DB" w:rsidRPr="004635E5">
        <w:rPr>
          <w:sz w:val="22"/>
          <w:szCs w:val="22"/>
          <w:lang w:val="en-AU"/>
        </w:rPr>
        <w:t xml:space="preserve">, and </w:t>
      </w:r>
      <w:r w:rsidR="0000488F" w:rsidRPr="004635E5">
        <w:rPr>
          <w:sz w:val="22"/>
          <w:szCs w:val="22"/>
          <w:lang w:val="en-AU"/>
        </w:rPr>
        <w:t xml:space="preserve">stated that </w:t>
      </w:r>
      <w:r w:rsidR="00694BD5" w:rsidRPr="004635E5">
        <w:rPr>
          <w:sz w:val="22"/>
          <w:szCs w:val="22"/>
          <w:lang w:val="en-AU"/>
        </w:rPr>
        <w:t xml:space="preserve">SPC would examine the </w:t>
      </w:r>
      <w:r w:rsidR="0000488F" w:rsidRPr="004635E5">
        <w:rPr>
          <w:sz w:val="22"/>
          <w:szCs w:val="22"/>
          <w:lang w:val="en-AU"/>
        </w:rPr>
        <w:t xml:space="preserve">issue. </w:t>
      </w:r>
    </w:p>
    <w:p w14:paraId="5601C2CB" w14:textId="77777777" w:rsidR="007B0781" w:rsidRPr="004635E5" w:rsidRDefault="007B0781" w:rsidP="006633A8">
      <w:pPr>
        <w:autoSpaceDE w:val="0"/>
        <w:autoSpaceDN w:val="0"/>
        <w:adjustRightInd w:val="0"/>
        <w:snapToGrid w:val="0"/>
        <w:jc w:val="both"/>
        <w:rPr>
          <w:sz w:val="22"/>
          <w:szCs w:val="22"/>
          <w:lang w:val="en-AU"/>
        </w:rPr>
      </w:pPr>
    </w:p>
    <w:p w14:paraId="1C9AC1FC" w14:textId="77777777" w:rsidR="009A1CA0" w:rsidRPr="004635E5" w:rsidRDefault="00946A80"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Japan</w:t>
      </w:r>
      <w:r w:rsidR="00994934" w:rsidRPr="004635E5">
        <w:rPr>
          <w:sz w:val="22"/>
          <w:szCs w:val="22"/>
          <w:lang w:val="en-AU"/>
        </w:rPr>
        <w:t xml:space="preserve"> inquired whether </w:t>
      </w:r>
      <w:r w:rsidR="009A1CA0" w:rsidRPr="004635E5">
        <w:rPr>
          <w:sz w:val="22"/>
          <w:szCs w:val="22"/>
          <w:lang w:val="en-AU"/>
        </w:rPr>
        <w:t xml:space="preserve">observers </w:t>
      </w:r>
      <w:r w:rsidR="00994934" w:rsidRPr="004635E5">
        <w:rPr>
          <w:sz w:val="22"/>
          <w:szCs w:val="22"/>
          <w:lang w:val="en-AU"/>
        </w:rPr>
        <w:t>working in coastal states’ waters are p</w:t>
      </w:r>
      <w:r w:rsidR="009A1CA0" w:rsidRPr="004635E5">
        <w:rPr>
          <w:sz w:val="22"/>
          <w:szCs w:val="22"/>
          <w:lang w:val="en-AU"/>
        </w:rPr>
        <w:t xml:space="preserve">art of </w:t>
      </w:r>
      <w:r w:rsidR="00994934" w:rsidRPr="004635E5">
        <w:rPr>
          <w:sz w:val="22"/>
          <w:szCs w:val="22"/>
          <w:lang w:val="en-AU"/>
        </w:rPr>
        <w:t xml:space="preserve">the </w:t>
      </w:r>
      <w:r w:rsidR="009A1CA0" w:rsidRPr="004635E5">
        <w:rPr>
          <w:sz w:val="22"/>
          <w:szCs w:val="22"/>
          <w:lang w:val="en-AU"/>
        </w:rPr>
        <w:t>WCPFC observer</w:t>
      </w:r>
      <w:r w:rsidR="00994934" w:rsidRPr="004635E5">
        <w:rPr>
          <w:sz w:val="22"/>
          <w:szCs w:val="22"/>
          <w:lang w:val="en-AU"/>
        </w:rPr>
        <w:t xml:space="preserve"> program</w:t>
      </w:r>
      <w:r w:rsidR="009A1CA0" w:rsidRPr="004635E5">
        <w:rPr>
          <w:sz w:val="22"/>
          <w:szCs w:val="22"/>
          <w:lang w:val="en-AU"/>
        </w:rPr>
        <w:t xml:space="preserve">, and </w:t>
      </w:r>
      <w:r w:rsidR="00994934" w:rsidRPr="004635E5">
        <w:rPr>
          <w:sz w:val="22"/>
          <w:szCs w:val="22"/>
          <w:lang w:val="en-AU"/>
        </w:rPr>
        <w:t xml:space="preserve">whether </w:t>
      </w:r>
      <w:r w:rsidR="009A1CA0" w:rsidRPr="004635E5">
        <w:rPr>
          <w:sz w:val="22"/>
          <w:szCs w:val="22"/>
          <w:lang w:val="en-AU"/>
        </w:rPr>
        <w:t xml:space="preserve">data </w:t>
      </w:r>
      <w:r w:rsidR="00F006DB" w:rsidRPr="004635E5">
        <w:rPr>
          <w:sz w:val="22"/>
          <w:szCs w:val="22"/>
          <w:lang w:val="en-AU"/>
        </w:rPr>
        <w:t xml:space="preserve">are </w:t>
      </w:r>
      <w:r w:rsidR="009A1CA0" w:rsidRPr="004635E5">
        <w:rPr>
          <w:sz w:val="22"/>
          <w:szCs w:val="22"/>
          <w:lang w:val="en-AU"/>
        </w:rPr>
        <w:t xml:space="preserve">reported to </w:t>
      </w:r>
      <w:r w:rsidR="00994934" w:rsidRPr="004635E5">
        <w:rPr>
          <w:sz w:val="22"/>
          <w:szCs w:val="22"/>
          <w:lang w:val="en-AU"/>
        </w:rPr>
        <w:t>WCPFC</w:t>
      </w:r>
      <w:r w:rsidR="00465065" w:rsidRPr="004635E5">
        <w:rPr>
          <w:sz w:val="22"/>
          <w:szCs w:val="22"/>
          <w:lang w:val="en-AU"/>
        </w:rPr>
        <w:t>.</w:t>
      </w:r>
      <w:r w:rsidR="00994934" w:rsidRPr="004635E5">
        <w:rPr>
          <w:sz w:val="22"/>
          <w:szCs w:val="22"/>
          <w:lang w:val="en-AU"/>
        </w:rPr>
        <w:t xml:space="preserve"> P. Williams indicated that coastal states</w:t>
      </w:r>
      <w:r w:rsidR="00F006DB" w:rsidRPr="004635E5">
        <w:rPr>
          <w:sz w:val="22"/>
          <w:szCs w:val="22"/>
          <w:lang w:val="en-AU"/>
        </w:rPr>
        <w:t>’</w:t>
      </w:r>
      <w:r w:rsidR="00994934" w:rsidRPr="004635E5">
        <w:rPr>
          <w:sz w:val="22"/>
          <w:szCs w:val="22"/>
          <w:lang w:val="en-AU"/>
        </w:rPr>
        <w:t xml:space="preserve"> observer coverage data </w:t>
      </w:r>
      <w:r w:rsidR="00F006DB" w:rsidRPr="004635E5">
        <w:rPr>
          <w:sz w:val="22"/>
          <w:szCs w:val="22"/>
          <w:lang w:val="en-AU"/>
        </w:rPr>
        <w:t xml:space="preserve">are </w:t>
      </w:r>
      <w:r w:rsidR="009A1CA0" w:rsidRPr="004635E5">
        <w:rPr>
          <w:sz w:val="22"/>
          <w:szCs w:val="22"/>
          <w:lang w:val="en-AU"/>
        </w:rPr>
        <w:t>avail</w:t>
      </w:r>
      <w:r w:rsidR="00994934" w:rsidRPr="004635E5">
        <w:rPr>
          <w:sz w:val="22"/>
          <w:szCs w:val="22"/>
          <w:lang w:val="en-AU"/>
        </w:rPr>
        <w:t>able</w:t>
      </w:r>
      <w:r w:rsidR="009A1CA0" w:rsidRPr="004635E5">
        <w:rPr>
          <w:sz w:val="22"/>
          <w:szCs w:val="22"/>
          <w:lang w:val="en-AU"/>
        </w:rPr>
        <w:t xml:space="preserve"> to SPC for </w:t>
      </w:r>
      <w:r w:rsidR="00994934" w:rsidRPr="004635E5">
        <w:rPr>
          <w:sz w:val="22"/>
          <w:szCs w:val="22"/>
          <w:lang w:val="en-AU"/>
        </w:rPr>
        <w:t xml:space="preserve">scientific analysis, and his </w:t>
      </w:r>
      <w:r w:rsidR="009A1CA0" w:rsidRPr="004635E5">
        <w:rPr>
          <w:sz w:val="22"/>
          <w:szCs w:val="22"/>
          <w:lang w:val="en-AU"/>
        </w:rPr>
        <w:t xml:space="preserve">understanding </w:t>
      </w:r>
      <w:r w:rsidR="00F006DB" w:rsidRPr="004635E5">
        <w:rPr>
          <w:sz w:val="22"/>
          <w:szCs w:val="22"/>
          <w:lang w:val="en-AU"/>
        </w:rPr>
        <w:t xml:space="preserve">that these address </w:t>
      </w:r>
      <w:r w:rsidR="00994934" w:rsidRPr="004635E5">
        <w:rPr>
          <w:sz w:val="22"/>
          <w:szCs w:val="22"/>
          <w:lang w:val="en-AU"/>
        </w:rPr>
        <w:t xml:space="preserve">observer </w:t>
      </w:r>
      <w:r w:rsidR="009A1CA0" w:rsidRPr="004635E5">
        <w:rPr>
          <w:sz w:val="22"/>
          <w:szCs w:val="22"/>
          <w:lang w:val="en-AU"/>
        </w:rPr>
        <w:t xml:space="preserve">effort. </w:t>
      </w:r>
      <w:r w:rsidR="00994934" w:rsidRPr="004635E5">
        <w:rPr>
          <w:sz w:val="22"/>
          <w:szCs w:val="22"/>
          <w:lang w:val="en-AU"/>
        </w:rPr>
        <w:t xml:space="preserve">He indicated that the data were largely </w:t>
      </w:r>
      <w:r w:rsidR="009A1CA0" w:rsidRPr="004635E5">
        <w:rPr>
          <w:sz w:val="22"/>
          <w:szCs w:val="22"/>
          <w:lang w:val="en-AU"/>
        </w:rPr>
        <w:t>informative</w:t>
      </w:r>
      <w:r w:rsidR="00994934" w:rsidRPr="004635E5">
        <w:rPr>
          <w:sz w:val="22"/>
          <w:szCs w:val="22"/>
          <w:lang w:val="en-AU"/>
        </w:rPr>
        <w:t xml:space="preserve">, with a number of </w:t>
      </w:r>
      <w:r w:rsidR="009A1CA0" w:rsidRPr="004635E5">
        <w:rPr>
          <w:sz w:val="22"/>
          <w:szCs w:val="22"/>
          <w:lang w:val="en-AU"/>
        </w:rPr>
        <w:t xml:space="preserve">states </w:t>
      </w:r>
      <w:r w:rsidR="00994934" w:rsidRPr="004635E5">
        <w:rPr>
          <w:sz w:val="22"/>
          <w:szCs w:val="22"/>
          <w:lang w:val="en-AU"/>
        </w:rPr>
        <w:t xml:space="preserve">beginning </w:t>
      </w:r>
      <w:r w:rsidR="009A1CA0" w:rsidRPr="004635E5">
        <w:rPr>
          <w:sz w:val="22"/>
          <w:szCs w:val="22"/>
          <w:lang w:val="en-AU"/>
        </w:rPr>
        <w:t>e-monitoring</w:t>
      </w:r>
      <w:r w:rsidR="00994934" w:rsidRPr="004635E5">
        <w:rPr>
          <w:sz w:val="22"/>
          <w:szCs w:val="22"/>
          <w:lang w:val="en-AU"/>
        </w:rPr>
        <w:t xml:space="preserve"> of trip numbers </w:t>
      </w:r>
      <w:r w:rsidR="009A1CA0" w:rsidRPr="004635E5">
        <w:rPr>
          <w:sz w:val="22"/>
          <w:szCs w:val="22"/>
          <w:lang w:val="en-AU"/>
        </w:rPr>
        <w:t>to get an idea of effort expended, rather than a measure of coverage.</w:t>
      </w:r>
    </w:p>
    <w:p w14:paraId="7810AB06" w14:textId="77777777" w:rsidR="007B0781" w:rsidRPr="004635E5" w:rsidRDefault="007B0781" w:rsidP="006633A8">
      <w:pPr>
        <w:autoSpaceDE w:val="0"/>
        <w:autoSpaceDN w:val="0"/>
        <w:adjustRightInd w:val="0"/>
        <w:snapToGrid w:val="0"/>
        <w:jc w:val="both"/>
        <w:rPr>
          <w:rFonts w:eastAsiaTheme="minorEastAsia"/>
          <w:b/>
          <w:sz w:val="22"/>
          <w:szCs w:val="22"/>
          <w:lang w:val="en-AU" w:eastAsia="ko-KR"/>
        </w:rPr>
      </w:pPr>
    </w:p>
    <w:p w14:paraId="327DF426" w14:textId="77777777" w:rsidR="00B23F9D" w:rsidRPr="004635E5" w:rsidRDefault="00B23F9D" w:rsidP="006633A8">
      <w:pPr>
        <w:autoSpaceDE w:val="0"/>
        <w:autoSpaceDN w:val="0"/>
        <w:adjustRightInd w:val="0"/>
        <w:snapToGrid w:val="0"/>
        <w:jc w:val="both"/>
        <w:rPr>
          <w:b/>
          <w:sz w:val="22"/>
          <w:szCs w:val="22"/>
          <w:lang w:val="en-AU"/>
        </w:rPr>
      </w:pPr>
      <w:r w:rsidRPr="004635E5">
        <w:rPr>
          <w:b/>
          <w:sz w:val="22"/>
          <w:szCs w:val="22"/>
          <w:lang w:val="en-AU"/>
        </w:rPr>
        <w:t>Recommendation</w:t>
      </w:r>
    </w:p>
    <w:p w14:paraId="250C3018" w14:textId="77777777" w:rsidR="00B23F9D" w:rsidRPr="004635E5" w:rsidRDefault="00B23F9D" w:rsidP="006633A8">
      <w:pPr>
        <w:autoSpaceDE w:val="0"/>
        <w:autoSpaceDN w:val="0"/>
        <w:adjustRightInd w:val="0"/>
        <w:snapToGrid w:val="0"/>
        <w:jc w:val="both"/>
        <w:rPr>
          <w:rFonts w:eastAsiaTheme="minorEastAsia"/>
          <w:b/>
          <w:sz w:val="22"/>
          <w:szCs w:val="22"/>
          <w:lang w:val="en-AU" w:eastAsia="ko-KR"/>
        </w:rPr>
      </w:pPr>
    </w:p>
    <w:p w14:paraId="5F9DDDD6" w14:textId="77777777" w:rsidR="00D65680" w:rsidRPr="004635E5" w:rsidRDefault="00D65680" w:rsidP="00580EA4">
      <w:pPr>
        <w:numPr>
          <w:ilvl w:val="0"/>
          <w:numId w:val="18"/>
        </w:numPr>
        <w:autoSpaceDE w:val="0"/>
        <w:autoSpaceDN w:val="0"/>
        <w:adjustRightInd w:val="0"/>
        <w:snapToGrid w:val="0"/>
        <w:ind w:left="0" w:firstLine="0"/>
        <w:jc w:val="both"/>
        <w:rPr>
          <w:b/>
          <w:bCs/>
          <w:sz w:val="22"/>
          <w:szCs w:val="22"/>
        </w:rPr>
      </w:pPr>
      <w:r w:rsidRPr="004635E5">
        <w:rPr>
          <w:b/>
          <w:sz w:val="22"/>
          <w:szCs w:val="22"/>
          <w:lang w:val="en-AU"/>
        </w:rPr>
        <w:t>SC14</w:t>
      </w:r>
      <w:r w:rsidRPr="004635E5">
        <w:rPr>
          <w:b/>
          <w:bCs/>
          <w:sz w:val="22"/>
          <w:szCs w:val="22"/>
        </w:rPr>
        <w:t xml:space="preserve"> recommended that the Scientific Services Provider include a table listing the observer data collected by small island developing state (SIDS) observer providers in future versions of the ST Information Paper “Status of ROP Data Management” </w:t>
      </w:r>
    </w:p>
    <w:p w14:paraId="465441C5" w14:textId="77777777" w:rsidR="007B0781" w:rsidRPr="004635E5" w:rsidRDefault="007B0781" w:rsidP="006633A8">
      <w:pPr>
        <w:adjustRightInd w:val="0"/>
        <w:snapToGrid w:val="0"/>
        <w:ind w:left="720"/>
        <w:jc w:val="both"/>
        <w:rPr>
          <w:bCs/>
          <w:sz w:val="22"/>
          <w:szCs w:val="22"/>
          <w:lang w:val="en-NZ"/>
        </w:rPr>
      </w:pPr>
    </w:p>
    <w:p w14:paraId="296BF30B" w14:textId="77777777" w:rsidR="0011334C" w:rsidRPr="004635E5" w:rsidRDefault="0011334C" w:rsidP="00580EA4">
      <w:pPr>
        <w:pStyle w:val="SC3"/>
        <w:numPr>
          <w:ilvl w:val="2"/>
          <w:numId w:val="161"/>
        </w:numPr>
        <w:spacing w:after="0"/>
        <w:ind w:left="0" w:firstLine="0"/>
      </w:pPr>
      <w:r w:rsidRPr="004635E5">
        <w:t>Species composition of purse-seine catches</w:t>
      </w:r>
      <w:r w:rsidR="006038FA" w:rsidRPr="004635E5">
        <w:rPr>
          <w:rFonts w:eastAsiaTheme="minorEastAsia"/>
        </w:rPr>
        <w:t xml:space="preserve"> </w:t>
      </w:r>
    </w:p>
    <w:p w14:paraId="2D57A39F" w14:textId="77777777" w:rsidR="00C91D50" w:rsidRPr="004635E5" w:rsidRDefault="00C91D50" w:rsidP="006633A8">
      <w:pPr>
        <w:pStyle w:val="SC3"/>
        <w:numPr>
          <w:ilvl w:val="0"/>
          <w:numId w:val="0"/>
        </w:numPr>
        <w:spacing w:after="0"/>
        <w:ind w:left="1440"/>
      </w:pPr>
    </w:p>
    <w:p w14:paraId="162CCE33" w14:textId="77777777" w:rsidR="003A50F2" w:rsidRPr="004635E5" w:rsidRDefault="005D3AB8" w:rsidP="00580EA4">
      <w:pPr>
        <w:numPr>
          <w:ilvl w:val="0"/>
          <w:numId w:val="18"/>
        </w:numPr>
        <w:autoSpaceDE w:val="0"/>
        <w:autoSpaceDN w:val="0"/>
        <w:adjustRightInd w:val="0"/>
        <w:snapToGrid w:val="0"/>
        <w:ind w:left="0" w:firstLine="0"/>
        <w:jc w:val="both"/>
        <w:rPr>
          <w:sz w:val="22"/>
          <w:szCs w:val="22"/>
          <w:lang w:val="en-GB"/>
        </w:rPr>
      </w:pPr>
      <w:r w:rsidRPr="004635E5">
        <w:rPr>
          <w:sz w:val="22"/>
          <w:szCs w:val="22"/>
          <w:lang w:val="en-AU"/>
        </w:rPr>
        <w:t>T. Peatman</w:t>
      </w:r>
      <w:r w:rsidR="001F3FF4">
        <w:rPr>
          <w:sz w:val="22"/>
          <w:szCs w:val="22"/>
          <w:lang w:val="en-AU"/>
        </w:rPr>
        <w:t xml:space="preserve"> </w:t>
      </w:r>
      <w:r w:rsidRPr="004635E5">
        <w:rPr>
          <w:sz w:val="22"/>
          <w:szCs w:val="22"/>
          <w:lang w:val="en-AU"/>
        </w:rPr>
        <w:t>(SPC) presented</w:t>
      </w:r>
      <w:r w:rsidR="00B70283" w:rsidRPr="004635E5">
        <w:rPr>
          <w:sz w:val="22"/>
          <w:szCs w:val="22"/>
          <w:lang w:val="en-AU"/>
        </w:rPr>
        <w:t xml:space="preserve"> SC14-ST-WP-02</w:t>
      </w:r>
      <w:r w:rsidRPr="004635E5">
        <w:rPr>
          <w:sz w:val="22"/>
          <w:szCs w:val="22"/>
          <w:lang w:val="en-AU"/>
        </w:rPr>
        <w:t xml:space="preserve"> </w:t>
      </w:r>
      <w:r w:rsidRPr="004635E5">
        <w:rPr>
          <w:i/>
          <w:sz w:val="22"/>
          <w:szCs w:val="22"/>
          <w:lang w:val="en-AU"/>
        </w:rPr>
        <w:t xml:space="preserve">Better purse seine catch composition estimates: progress on the Project 60 work plan, </w:t>
      </w:r>
      <w:r w:rsidR="003A50F2" w:rsidRPr="004635E5">
        <w:rPr>
          <w:sz w:val="22"/>
          <w:szCs w:val="22"/>
          <w:lang w:val="en-GB"/>
        </w:rPr>
        <w:t>summarising progress on the Project 60 work plan endorsed by</w:t>
      </w:r>
      <w:r w:rsidR="00F006DB" w:rsidRPr="004635E5">
        <w:rPr>
          <w:sz w:val="22"/>
          <w:szCs w:val="22"/>
          <w:lang w:val="en-GB"/>
        </w:rPr>
        <w:t xml:space="preserve"> the 2017 Scientific Committee.</w:t>
      </w:r>
      <w:r w:rsidR="003A50F2" w:rsidRPr="004635E5">
        <w:rPr>
          <w:sz w:val="22"/>
          <w:szCs w:val="22"/>
          <w:lang w:val="en-GB"/>
        </w:rPr>
        <w:t xml:space="preserve"> The main activities undertaken since SC13 were updating the availability model currently used to correct grab sample bias; updating a simple multinomial model initially proposed during external reviews of Project 60 in 2012; negotiations to recommence paired spill/grab sampling trips with in-port unload sampling; and revisiting models of species compositions used to estimate purse seine catch compositions when observer coverage is insufficient to use grab sampling based estimates directly. Multinomial model estimates of grab sample bias</w:t>
      </w:r>
      <w:r w:rsidR="00F006DB" w:rsidRPr="004635E5">
        <w:rPr>
          <w:sz w:val="22"/>
          <w:szCs w:val="22"/>
          <w:lang w:val="en-GB"/>
        </w:rPr>
        <w:t xml:space="preserve"> —</w:t>
      </w:r>
      <w:r w:rsidR="003A50F2" w:rsidRPr="004635E5">
        <w:rPr>
          <w:sz w:val="22"/>
          <w:szCs w:val="22"/>
          <w:lang w:val="en-GB"/>
        </w:rPr>
        <w:t xml:space="preserve"> referred to as ‘correction factors’</w:t>
      </w:r>
      <w:r w:rsidR="00F006DB" w:rsidRPr="004635E5">
        <w:rPr>
          <w:sz w:val="22"/>
          <w:szCs w:val="22"/>
          <w:lang w:val="en-GB"/>
        </w:rPr>
        <w:t xml:space="preserve"> —</w:t>
      </w:r>
      <w:r w:rsidR="003A50F2" w:rsidRPr="004635E5">
        <w:rPr>
          <w:sz w:val="22"/>
          <w:szCs w:val="22"/>
          <w:lang w:val="en-GB"/>
        </w:rPr>
        <w:t xml:space="preserve"> were broadly consistent with estimates of ‘availability’</w:t>
      </w:r>
      <w:r w:rsidR="00F006DB" w:rsidRPr="004635E5">
        <w:rPr>
          <w:sz w:val="22"/>
          <w:szCs w:val="22"/>
          <w:lang w:val="en-GB"/>
        </w:rPr>
        <w:t>:</w:t>
      </w:r>
      <w:r w:rsidR="003A50F2" w:rsidRPr="004635E5">
        <w:rPr>
          <w:sz w:val="22"/>
          <w:szCs w:val="22"/>
          <w:lang w:val="en-GB"/>
        </w:rPr>
        <w:t xml:space="preserve"> small individuals are underrepresented in grab samples, with large individuals overrepresented</w:t>
      </w:r>
      <w:r w:rsidR="00A16680" w:rsidRPr="004635E5">
        <w:rPr>
          <w:sz w:val="22"/>
          <w:szCs w:val="22"/>
          <w:lang w:val="en-GB"/>
        </w:rPr>
        <w:t xml:space="preserve">. </w:t>
      </w:r>
      <w:r w:rsidR="003A50F2" w:rsidRPr="004635E5">
        <w:rPr>
          <w:sz w:val="22"/>
          <w:szCs w:val="22"/>
          <w:lang w:val="en-GB"/>
        </w:rPr>
        <w:t>The fit of the availability model was generally poor</w:t>
      </w:r>
      <w:r w:rsidR="00A16680" w:rsidRPr="004635E5">
        <w:rPr>
          <w:sz w:val="22"/>
          <w:szCs w:val="22"/>
          <w:lang w:val="en-GB"/>
        </w:rPr>
        <w:t xml:space="preserve">. </w:t>
      </w:r>
      <w:r w:rsidR="003A50F2" w:rsidRPr="004635E5">
        <w:rPr>
          <w:sz w:val="22"/>
          <w:szCs w:val="22"/>
          <w:lang w:val="en-GB"/>
        </w:rPr>
        <w:t>The multinomial model approach to estimating grab sample bias is more intuitive, and tackles the issue of grab sample bias more directly</w:t>
      </w:r>
      <w:r w:rsidR="00A16680" w:rsidRPr="004635E5">
        <w:rPr>
          <w:sz w:val="22"/>
          <w:szCs w:val="22"/>
          <w:lang w:val="en-GB"/>
        </w:rPr>
        <w:t xml:space="preserve">. </w:t>
      </w:r>
      <w:r w:rsidR="003A50F2" w:rsidRPr="004635E5">
        <w:rPr>
          <w:sz w:val="22"/>
          <w:szCs w:val="22"/>
          <w:lang w:val="en-GB"/>
        </w:rPr>
        <w:t>Comparison of corrected grab sample compositions against a corrected landings slip dataset for 776 Japanese purse seiner trips from 2010 to 2015 demonstrated that correction factors gave the least biased estimates of species composition at aggregated level</w:t>
      </w:r>
      <w:r w:rsidR="00A16680" w:rsidRPr="004635E5">
        <w:rPr>
          <w:sz w:val="22"/>
          <w:szCs w:val="22"/>
          <w:lang w:val="en-GB"/>
        </w:rPr>
        <w:t xml:space="preserve">. </w:t>
      </w:r>
      <w:r w:rsidR="003A50F2" w:rsidRPr="004635E5">
        <w:rPr>
          <w:sz w:val="22"/>
          <w:szCs w:val="22"/>
          <w:lang w:val="en-GB"/>
        </w:rPr>
        <w:t>Exploratory analyses of correction factors provided some evidence of stronger bias of grab samples from associated sets, compared to sets on free schools</w:t>
      </w:r>
      <w:r w:rsidR="00A16680" w:rsidRPr="004635E5">
        <w:rPr>
          <w:sz w:val="22"/>
          <w:szCs w:val="22"/>
          <w:lang w:val="en-GB"/>
        </w:rPr>
        <w:t xml:space="preserve">. </w:t>
      </w:r>
      <w:r w:rsidR="00F006DB" w:rsidRPr="004635E5">
        <w:rPr>
          <w:sz w:val="22"/>
          <w:szCs w:val="22"/>
          <w:lang w:val="en-GB"/>
        </w:rPr>
        <w:t>F</w:t>
      </w:r>
      <w:r w:rsidR="003A50F2" w:rsidRPr="004635E5">
        <w:rPr>
          <w:sz w:val="22"/>
          <w:szCs w:val="22"/>
          <w:lang w:val="en-GB"/>
        </w:rPr>
        <w:t>urther investigation through simulation modelling</w:t>
      </w:r>
      <w:r w:rsidR="00F006DB" w:rsidRPr="004635E5">
        <w:rPr>
          <w:sz w:val="22"/>
          <w:szCs w:val="22"/>
          <w:lang w:val="en-GB"/>
        </w:rPr>
        <w:t xml:space="preserve"> is warranted</w:t>
      </w:r>
      <w:r w:rsidR="003A50F2" w:rsidRPr="004635E5">
        <w:rPr>
          <w:sz w:val="22"/>
          <w:szCs w:val="22"/>
          <w:lang w:val="en-GB"/>
        </w:rPr>
        <w:t>.</w:t>
      </w:r>
    </w:p>
    <w:p w14:paraId="4FEF4049" w14:textId="77777777" w:rsidR="007B0781" w:rsidRPr="004635E5" w:rsidRDefault="007B0781" w:rsidP="006633A8">
      <w:pPr>
        <w:autoSpaceDE w:val="0"/>
        <w:autoSpaceDN w:val="0"/>
        <w:adjustRightInd w:val="0"/>
        <w:snapToGrid w:val="0"/>
        <w:jc w:val="both"/>
        <w:rPr>
          <w:sz w:val="22"/>
          <w:szCs w:val="22"/>
          <w:lang w:val="en-GB"/>
        </w:rPr>
      </w:pPr>
    </w:p>
    <w:p w14:paraId="28820E7B" w14:textId="77777777" w:rsidR="003A50F2" w:rsidRPr="004635E5" w:rsidRDefault="003A50F2" w:rsidP="00580EA4">
      <w:pPr>
        <w:numPr>
          <w:ilvl w:val="0"/>
          <w:numId w:val="18"/>
        </w:numPr>
        <w:autoSpaceDE w:val="0"/>
        <w:autoSpaceDN w:val="0"/>
        <w:adjustRightInd w:val="0"/>
        <w:snapToGrid w:val="0"/>
        <w:ind w:left="0" w:firstLine="0"/>
        <w:jc w:val="both"/>
        <w:rPr>
          <w:sz w:val="22"/>
          <w:szCs w:val="22"/>
          <w:lang w:val="en-GB"/>
        </w:rPr>
      </w:pPr>
      <w:r w:rsidRPr="004635E5">
        <w:rPr>
          <w:sz w:val="22"/>
          <w:szCs w:val="22"/>
          <w:lang w:val="en-GB"/>
        </w:rPr>
        <w:t xml:space="preserve">Generalised </w:t>
      </w:r>
      <w:r w:rsidR="002177AA" w:rsidRPr="004635E5">
        <w:rPr>
          <w:sz w:val="22"/>
          <w:szCs w:val="22"/>
          <w:lang w:val="en-GB"/>
        </w:rPr>
        <w:t xml:space="preserve">additive models </w:t>
      </w:r>
      <w:r w:rsidRPr="004635E5">
        <w:rPr>
          <w:sz w:val="22"/>
          <w:szCs w:val="22"/>
          <w:lang w:val="en-GB"/>
        </w:rPr>
        <w:t>are currently used to estimate purse seine species compositions for strata with low observer coverage</w:t>
      </w:r>
      <w:r w:rsidR="00A16680" w:rsidRPr="004635E5">
        <w:rPr>
          <w:sz w:val="22"/>
          <w:szCs w:val="22"/>
          <w:lang w:val="en-GB"/>
        </w:rPr>
        <w:t xml:space="preserve">. </w:t>
      </w:r>
      <w:r w:rsidRPr="004635E5">
        <w:rPr>
          <w:sz w:val="22"/>
          <w:szCs w:val="22"/>
          <w:lang w:val="en-GB"/>
        </w:rPr>
        <w:t>The resulting estimates of catch compositions are used in stock assessments, along with other analyses</w:t>
      </w:r>
      <w:r w:rsidR="00A16680" w:rsidRPr="004635E5">
        <w:rPr>
          <w:sz w:val="22"/>
          <w:szCs w:val="22"/>
          <w:lang w:val="en-GB"/>
        </w:rPr>
        <w:t xml:space="preserve">. </w:t>
      </w:r>
      <w:r w:rsidR="00F006DB" w:rsidRPr="004635E5">
        <w:rPr>
          <w:sz w:val="22"/>
          <w:szCs w:val="22"/>
          <w:lang w:val="en-GB"/>
        </w:rPr>
        <w:t>P</w:t>
      </w:r>
      <w:r w:rsidRPr="004635E5">
        <w:rPr>
          <w:sz w:val="22"/>
          <w:szCs w:val="22"/>
          <w:lang w:val="en-GB"/>
        </w:rPr>
        <w:t xml:space="preserve">reliminary models of species composition </w:t>
      </w:r>
      <w:r w:rsidR="00F006DB" w:rsidRPr="004635E5">
        <w:rPr>
          <w:sz w:val="22"/>
          <w:szCs w:val="22"/>
          <w:lang w:val="en-GB"/>
        </w:rPr>
        <w:t xml:space="preserve">are implemented </w:t>
      </w:r>
      <w:r w:rsidRPr="004635E5">
        <w:rPr>
          <w:sz w:val="22"/>
          <w:szCs w:val="22"/>
          <w:lang w:val="en-GB"/>
        </w:rPr>
        <w:t xml:space="preserve">with an inflated beta response, </w:t>
      </w:r>
      <w:r w:rsidR="00F006DB" w:rsidRPr="004635E5">
        <w:rPr>
          <w:sz w:val="22"/>
          <w:szCs w:val="22"/>
          <w:lang w:val="en-GB"/>
        </w:rPr>
        <w:t xml:space="preserve">and provide </w:t>
      </w:r>
      <w:r w:rsidRPr="004635E5">
        <w:rPr>
          <w:sz w:val="22"/>
          <w:szCs w:val="22"/>
          <w:lang w:val="en-GB"/>
        </w:rPr>
        <w:t>superior fits compared to existing models, particularly for bigeye tuna. A proposed work plan for Project 60 for 2019 and 2020 was presented to the Scientific Committee, along with a number of recommendations based on work to date, including:</w:t>
      </w:r>
    </w:p>
    <w:p w14:paraId="207255FC" w14:textId="77777777" w:rsidR="003A50F2" w:rsidRPr="004635E5" w:rsidRDefault="00F006DB" w:rsidP="00580EA4">
      <w:pPr>
        <w:pStyle w:val="WCPFC"/>
        <w:numPr>
          <w:ilvl w:val="0"/>
          <w:numId w:val="24"/>
        </w:numPr>
        <w:adjustRightInd w:val="0"/>
        <w:spacing w:after="0"/>
        <w:rPr>
          <w:rFonts w:cs="Times New Roman"/>
        </w:rPr>
      </w:pPr>
      <w:r w:rsidRPr="004635E5">
        <w:rPr>
          <w:rFonts w:cs="Times New Roman"/>
        </w:rPr>
        <w:t>multinomial model-</w:t>
      </w:r>
      <w:r w:rsidR="003A50F2" w:rsidRPr="004635E5">
        <w:rPr>
          <w:rFonts w:cs="Times New Roman"/>
        </w:rPr>
        <w:t>based correction factors be used to correct existing and future grab sample data, rather than the estimates of ‘availability’</w:t>
      </w:r>
      <w:r w:rsidRPr="004635E5">
        <w:rPr>
          <w:rFonts w:cs="Times New Roman"/>
        </w:rPr>
        <w:t>;</w:t>
      </w:r>
    </w:p>
    <w:p w14:paraId="5D595B18" w14:textId="77777777" w:rsidR="003A50F2" w:rsidRPr="004635E5" w:rsidRDefault="00F006DB" w:rsidP="00580EA4">
      <w:pPr>
        <w:pStyle w:val="WCPFC"/>
        <w:numPr>
          <w:ilvl w:val="0"/>
          <w:numId w:val="24"/>
        </w:numPr>
        <w:adjustRightInd w:val="0"/>
        <w:spacing w:after="0"/>
        <w:rPr>
          <w:rFonts w:cs="Times New Roman"/>
        </w:rPr>
      </w:pPr>
      <w:r w:rsidRPr="004635E5">
        <w:rPr>
          <w:rFonts w:cs="Times New Roman"/>
        </w:rPr>
        <w:t>s</w:t>
      </w:r>
      <w:r w:rsidR="003A50F2" w:rsidRPr="004635E5">
        <w:rPr>
          <w:rFonts w:cs="Times New Roman"/>
        </w:rPr>
        <w:t xml:space="preserve">imulation modelling be undertaken to explore: </w:t>
      </w:r>
      <w:r w:rsidRPr="004635E5">
        <w:rPr>
          <w:rFonts w:cs="Times New Roman"/>
        </w:rPr>
        <w:t>(</w:t>
      </w:r>
      <w:r w:rsidR="003A50F2" w:rsidRPr="004635E5">
        <w:rPr>
          <w:rFonts w:cs="Times New Roman"/>
        </w:rPr>
        <w:t xml:space="preserve">a) the potential bias resulting from between brail variability; and, </w:t>
      </w:r>
      <w:r w:rsidRPr="004635E5">
        <w:rPr>
          <w:rFonts w:cs="Times New Roman"/>
        </w:rPr>
        <w:t>(</w:t>
      </w:r>
      <w:r w:rsidR="003A50F2" w:rsidRPr="004635E5">
        <w:rPr>
          <w:rFonts w:cs="Times New Roman"/>
        </w:rPr>
        <w:t>b) whether correction factors should be estimated separately for species and/or set association</w:t>
      </w:r>
      <w:r w:rsidRPr="004635E5">
        <w:rPr>
          <w:rFonts w:cs="Times New Roman"/>
        </w:rPr>
        <w:t>;</w:t>
      </w:r>
    </w:p>
    <w:p w14:paraId="48088A8D" w14:textId="77777777" w:rsidR="003A50F2" w:rsidRPr="004635E5" w:rsidRDefault="00F006DB" w:rsidP="00580EA4">
      <w:pPr>
        <w:pStyle w:val="WCPFC"/>
        <w:numPr>
          <w:ilvl w:val="0"/>
          <w:numId w:val="24"/>
        </w:numPr>
        <w:adjustRightInd w:val="0"/>
        <w:spacing w:after="0"/>
        <w:rPr>
          <w:rFonts w:cs="Times New Roman"/>
        </w:rPr>
      </w:pPr>
      <w:r w:rsidRPr="004635E5">
        <w:rPr>
          <w:rFonts w:cs="Times New Roman"/>
        </w:rPr>
        <w:t>e</w:t>
      </w:r>
      <w:r w:rsidR="003A50F2" w:rsidRPr="004635E5">
        <w:rPr>
          <w:rFonts w:cs="Times New Roman"/>
        </w:rPr>
        <w:t>xisting models of species compositions be replaced with beta-response models, building on the preliminary models presented; and</w:t>
      </w:r>
    </w:p>
    <w:p w14:paraId="0AB80D1B" w14:textId="77777777" w:rsidR="003A50F2" w:rsidRPr="004635E5" w:rsidRDefault="00F006DB" w:rsidP="00580EA4">
      <w:pPr>
        <w:pStyle w:val="WCPFC"/>
        <w:numPr>
          <w:ilvl w:val="0"/>
          <w:numId w:val="24"/>
        </w:numPr>
        <w:adjustRightInd w:val="0"/>
        <w:spacing w:after="0"/>
        <w:rPr>
          <w:rFonts w:cs="Times New Roman"/>
        </w:rPr>
      </w:pPr>
      <w:r w:rsidRPr="004635E5">
        <w:rPr>
          <w:rFonts w:cs="Times New Roman"/>
        </w:rPr>
        <w:t>s</w:t>
      </w:r>
      <w:r w:rsidR="003A50F2" w:rsidRPr="004635E5">
        <w:rPr>
          <w:rFonts w:cs="Times New Roman"/>
        </w:rPr>
        <w:t>tratification used to estimate species compositions directly from aggregated observer data be revisited – specifically the whether to stratify by flag.</w:t>
      </w:r>
    </w:p>
    <w:p w14:paraId="51DB7C08" w14:textId="77777777" w:rsidR="007B0781" w:rsidRPr="004635E5" w:rsidRDefault="007B0781" w:rsidP="006633A8">
      <w:pPr>
        <w:autoSpaceDE w:val="0"/>
        <w:autoSpaceDN w:val="0"/>
        <w:adjustRightInd w:val="0"/>
        <w:snapToGrid w:val="0"/>
        <w:jc w:val="both"/>
        <w:rPr>
          <w:b/>
          <w:sz w:val="22"/>
          <w:szCs w:val="22"/>
          <w:lang w:val="en-AU"/>
        </w:rPr>
      </w:pPr>
    </w:p>
    <w:p w14:paraId="6C3213B9" w14:textId="77777777" w:rsidR="00B66C43" w:rsidRPr="004635E5" w:rsidRDefault="00B66C43" w:rsidP="006633A8">
      <w:pPr>
        <w:autoSpaceDE w:val="0"/>
        <w:autoSpaceDN w:val="0"/>
        <w:adjustRightInd w:val="0"/>
        <w:snapToGrid w:val="0"/>
        <w:jc w:val="both"/>
        <w:rPr>
          <w:b/>
          <w:sz w:val="22"/>
          <w:szCs w:val="22"/>
          <w:lang w:val="en-AU"/>
        </w:rPr>
      </w:pPr>
      <w:r w:rsidRPr="004635E5">
        <w:rPr>
          <w:b/>
          <w:sz w:val="22"/>
          <w:szCs w:val="22"/>
          <w:lang w:val="en-AU"/>
        </w:rPr>
        <w:t>Discussion</w:t>
      </w:r>
    </w:p>
    <w:p w14:paraId="582B91B9" w14:textId="77777777" w:rsidR="00DB43DF" w:rsidRPr="004635E5" w:rsidRDefault="00DB43DF" w:rsidP="006633A8">
      <w:pPr>
        <w:autoSpaceDE w:val="0"/>
        <w:autoSpaceDN w:val="0"/>
        <w:adjustRightInd w:val="0"/>
        <w:snapToGrid w:val="0"/>
        <w:jc w:val="both"/>
        <w:rPr>
          <w:b/>
          <w:sz w:val="22"/>
          <w:szCs w:val="22"/>
          <w:lang w:val="en-AU"/>
        </w:rPr>
      </w:pPr>
    </w:p>
    <w:p w14:paraId="1A82473E" w14:textId="77777777" w:rsidR="00F5445A" w:rsidRPr="004635E5" w:rsidRDefault="00274DB8"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FSM</w:t>
      </w:r>
      <w:r w:rsidR="00994934" w:rsidRPr="004635E5">
        <w:rPr>
          <w:sz w:val="22"/>
          <w:szCs w:val="22"/>
          <w:lang w:val="en-AU"/>
        </w:rPr>
        <w:t xml:space="preserve">, on behalf of FFA members, </w:t>
      </w:r>
      <w:r w:rsidR="00994934" w:rsidRPr="004635E5">
        <w:rPr>
          <w:sz w:val="22"/>
          <w:szCs w:val="22"/>
        </w:rPr>
        <w:t xml:space="preserve">thanked SPC for their efforts in producing the study and noted the potential benefits to stock assessment of better species composition data. </w:t>
      </w:r>
      <w:r w:rsidR="008E0857" w:rsidRPr="004635E5">
        <w:rPr>
          <w:sz w:val="22"/>
          <w:szCs w:val="22"/>
        </w:rPr>
        <w:t xml:space="preserve">They indicated they had </w:t>
      </w:r>
      <w:r w:rsidR="00994934" w:rsidRPr="004635E5">
        <w:rPr>
          <w:sz w:val="22"/>
          <w:szCs w:val="22"/>
        </w:rPr>
        <w:t>no objections to the minor changes identified in the paper to observer spill sampling protocols and overall support</w:t>
      </w:r>
      <w:r w:rsidR="008E0857" w:rsidRPr="004635E5">
        <w:rPr>
          <w:sz w:val="22"/>
          <w:szCs w:val="22"/>
        </w:rPr>
        <w:t>ed</w:t>
      </w:r>
      <w:r w:rsidR="00994934" w:rsidRPr="004635E5">
        <w:rPr>
          <w:sz w:val="22"/>
          <w:szCs w:val="22"/>
        </w:rPr>
        <w:t xml:space="preserve"> the proposed work plan. FFA members urge</w:t>
      </w:r>
      <w:r w:rsidR="008E0857" w:rsidRPr="004635E5">
        <w:rPr>
          <w:sz w:val="22"/>
          <w:szCs w:val="22"/>
        </w:rPr>
        <w:t>d</w:t>
      </w:r>
      <w:r w:rsidR="00994934" w:rsidRPr="004635E5">
        <w:rPr>
          <w:sz w:val="22"/>
          <w:szCs w:val="22"/>
        </w:rPr>
        <w:t xml:space="preserve"> CCMs to support </w:t>
      </w:r>
      <w:r w:rsidR="008E0857" w:rsidRPr="004635E5">
        <w:rPr>
          <w:sz w:val="22"/>
          <w:szCs w:val="22"/>
        </w:rPr>
        <w:t>the p</w:t>
      </w:r>
      <w:r w:rsidR="00994934" w:rsidRPr="004635E5">
        <w:rPr>
          <w:sz w:val="22"/>
          <w:szCs w:val="22"/>
        </w:rPr>
        <w:t>roject, where appropriate, to aid SPC in their work.</w:t>
      </w:r>
    </w:p>
    <w:p w14:paraId="12F3D19E" w14:textId="77777777" w:rsidR="007B0781" w:rsidRPr="004635E5" w:rsidRDefault="00994934" w:rsidP="006633A8">
      <w:pPr>
        <w:autoSpaceDE w:val="0"/>
        <w:autoSpaceDN w:val="0"/>
        <w:adjustRightInd w:val="0"/>
        <w:snapToGrid w:val="0"/>
        <w:jc w:val="both"/>
        <w:rPr>
          <w:sz w:val="22"/>
          <w:szCs w:val="22"/>
          <w:lang w:val="en-AU"/>
        </w:rPr>
      </w:pPr>
      <w:r w:rsidRPr="004635E5">
        <w:rPr>
          <w:sz w:val="22"/>
          <w:szCs w:val="22"/>
          <w:lang w:val="en-AU"/>
        </w:rPr>
        <w:t xml:space="preserve"> </w:t>
      </w:r>
    </w:p>
    <w:p w14:paraId="2EBD67CD" w14:textId="77777777" w:rsidR="007B0781" w:rsidRPr="004635E5" w:rsidRDefault="00355465"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The </w:t>
      </w:r>
      <w:r w:rsidR="006F469C" w:rsidRPr="004635E5">
        <w:rPr>
          <w:sz w:val="22"/>
          <w:szCs w:val="22"/>
          <w:lang w:val="en-AU"/>
        </w:rPr>
        <w:t>EU</w:t>
      </w:r>
      <w:r w:rsidR="00F24FBC" w:rsidRPr="004635E5">
        <w:rPr>
          <w:sz w:val="22"/>
          <w:szCs w:val="22"/>
          <w:lang w:val="en-AU"/>
        </w:rPr>
        <w:t xml:space="preserve"> observed that data in </w:t>
      </w:r>
      <w:r w:rsidR="006F469C" w:rsidRPr="004635E5">
        <w:rPr>
          <w:sz w:val="22"/>
          <w:szCs w:val="22"/>
          <w:lang w:val="en-AU"/>
        </w:rPr>
        <w:t>Table 1</w:t>
      </w:r>
      <w:r w:rsidR="00F24FBC" w:rsidRPr="004635E5">
        <w:rPr>
          <w:sz w:val="22"/>
          <w:szCs w:val="22"/>
          <w:lang w:val="en-AU"/>
        </w:rPr>
        <w:t xml:space="preserve"> (Species composition) suggested that </w:t>
      </w:r>
      <w:r w:rsidR="006F469C" w:rsidRPr="004635E5">
        <w:rPr>
          <w:sz w:val="22"/>
          <w:szCs w:val="22"/>
          <w:lang w:val="en-AU"/>
        </w:rPr>
        <w:t>obs</w:t>
      </w:r>
      <w:r w:rsidR="00845AB9" w:rsidRPr="004635E5">
        <w:rPr>
          <w:sz w:val="22"/>
          <w:szCs w:val="22"/>
          <w:lang w:val="en-AU"/>
        </w:rPr>
        <w:t>erver</w:t>
      </w:r>
      <w:r w:rsidR="006F469C" w:rsidRPr="004635E5">
        <w:rPr>
          <w:sz w:val="22"/>
          <w:szCs w:val="22"/>
          <w:lang w:val="en-AU"/>
        </w:rPr>
        <w:t xml:space="preserve"> </w:t>
      </w:r>
      <w:r w:rsidR="00F24FBC" w:rsidRPr="004635E5">
        <w:rPr>
          <w:sz w:val="22"/>
          <w:szCs w:val="22"/>
          <w:lang w:val="en-AU"/>
        </w:rPr>
        <w:t xml:space="preserve">estimates appear to be the </w:t>
      </w:r>
      <w:r w:rsidR="006F469C" w:rsidRPr="004635E5">
        <w:rPr>
          <w:sz w:val="22"/>
          <w:szCs w:val="22"/>
          <w:lang w:val="en-AU"/>
        </w:rPr>
        <w:t xml:space="preserve">least biased </w:t>
      </w:r>
      <w:r w:rsidR="00F24FBC" w:rsidRPr="004635E5">
        <w:rPr>
          <w:sz w:val="22"/>
          <w:szCs w:val="22"/>
          <w:lang w:val="en-AU"/>
        </w:rPr>
        <w:t xml:space="preserve">for </w:t>
      </w:r>
      <w:r w:rsidR="00656FD8" w:rsidRPr="004635E5">
        <w:rPr>
          <w:sz w:val="22"/>
          <w:szCs w:val="22"/>
          <w:lang w:val="en-AU"/>
        </w:rPr>
        <w:t>skipjack</w:t>
      </w:r>
      <w:r w:rsidR="00F24FBC" w:rsidRPr="004635E5">
        <w:rPr>
          <w:sz w:val="22"/>
          <w:szCs w:val="22"/>
          <w:lang w:val="en-AU"/>
        </w:rPr>
        <w:t xml:space="preserve"> and </w:t>
      </w:r>
      <w:r w:rsidR="00656FD8" w:rsidRPr="004635E5">
        <w:rPr>
          <w:sz w:val="22"/>
          <w:szCs w:val="22"/>
          <w:lang w:val="en-AU"/>
        </w:rPr>
        <w:t>yellowfin</w:t>
      </w:r>
      <w:r w:rsidR="006F469C" w:rsidRPr="004635E5">
        <w:rPr>
          <w:sz w:val="22"/>
          <w:szCs w:val="22"/>
          <w:lang w:val="en-AU"/>
        </w:rPr>
        <w:t xml:space="preserve">, but </w:t>
      </w:r>
      <w:r w:rsidR="00F24FBC" w:rsidRPr="004635E5">
        <w:rPr>
          <w:sz w:val="22"/>
          <w:szCs w:val="22"/>
          <w:lang w:val="en-AU"/>
        </w:rPr>
        <w:t xml:space="preserve">not for </w:t>
      </w:r>
      <w:r w:rsidR="002D5D17" w:rsidRPr="004635E5">
        <w:rPr>
          <w:sz w:val="22"/>
          <w:szCs w:val="22"/>
          <w:lang w:val="en-AU"/>
        </w:rPr>
        <w:t>bigeye tuna</w:t>
      </w:r>
      <w:r w:rsidR="00F24FBC" w:rsidRPr="004635E5">
        <w:rPr>
          <w:sz w:val="22"/>
          <w:szCs w:val="22"/>
          <w:lang w:val="en-AU"/>
        </w:rPr>
        <w:t>, and asked for clarification r</w:t>
      </w:r>
      <w:r w:rsidR="006F469C" w:rsidRPr="004635E5">
        <w:rPr>
          <w:sz w:val="22"/>
          <w:szCs w:val="22"/>
          <w:lang w:val="en-AU"/>
        </w:rPr>
        <w:t>e</w:t>
      </w:r>
      <w:r w:rsidR="00F24FBC" w:rsidRPr="004635E5">
        <w:rPr>
          <w:sz w:val="22"/>
          <w:szCs w:val="22"/>
          <w:lang w:val="en-AU"/>
        </w:rPr>
        <w:t xml:space="preserve">garding when </w:t>
      </w:r>
      <w:r w:rsidR="006F469C" w:rsidRPr="004635E5">
        <w:rPr>
          <w:sz w:val="22"/>
          <w:szCs w:val="22"/>
          <w:lang w:val="en-AU"/>
        </w:rPr>
        <w:t>species comp</w:t>
      </w:r>
      <w:r w:rsidR="00F24FBC" w:rsidRPr="004635E5">
        <w:rPr>
          <w:sz w:val="22"/>
          <w:szCs w:val="22"/>
          <w:lang w:val="en-AU"/>
        </w:rPr>
        <w:t xml:space="preserve">osition models are </w:t>
      </w:r>
      <w:r w:rsidR="006F469C" w:rsidRPr="004635E5">
        <w:rPr>
          <w:sz w:val="22"/>
          <w:szCs w:val="22"/>
          <w:lang w:val="en-AU"/>
        </w:rPr>
        <w:t xml:space="preserve">used </w:t>
      </w:r>
      <w:r w:rsidR="00F24FBC" w:rsidRPr="004635E5">
        <w:rPr>
          <w:sz w:val="22"/>
          <w:szCs w:val="22"/>
          <w:lang w:val="en-AU"/>
        </w:rPr>
        <w:t>to replace limited observer data.</w:t>
      </w:r>
      <w:r w:rsidR="006F469C" w:rsidRPr="004635E5">
        <w:rPr>
          <w:sz w:val="22"/>
          <w:szCs w:val="22"/>
          <w:lang w:val="en-AU"/>
        </w:rPr>
        <w:t xml:space="preserve"> </w:t>
      </w:r>
      <w:r w:rsidR="000F0A8E" w:rsidRPr="004635E5">
        <w:rPr>
          <w:sz w:val="22"/>
          <w:szCs w:val="22"/>
          <w:lang w:val="en-AU"/>
        </w:rPr>
        <w:t xml:space="preserve">T. Peatman </w:t>
      </w:r>
      <w:r w:rsidR="00F24FBC" w:rsidRPr="004635E5">
        <w:rPr>
          <w:sz w:val="22"/>
          <w:szCs w:val="22"/>
          <w:lang w:val="en-AU"/>
        </w:rPr>
        <w:t>replied that s</w:t>
      </w:r>
      <w:r w:rsidR="006F469C" w:rsidRPr="004635E5">
        <w:rPr>
          <w:sz w:val="22"/>
          <w:szCs w:val="22"/>
          <w:lang w:val="en-AU"/>
        </w:rPr>
        <w:t>pecies comp</w:t>
      </w:r>
      <w:r w:rsidR="00F24FBC" w:rsidRPr="004635E5">
        <w:rPr>
          <w:sz w:val="22"/>
          <w:szCs w:val="22"/>
          <w:lang w:val="en-AU"/>
        </w:rPr>
        <w:t>osition</w:t>
      </w:r>
      <w:r w:rsidR="006F469C" w:rsidRPr="004635E5">
        <w:rPr>
          <w:sz w:val="22"/>
          <w:szCs w:val="22"/>
          <w:lang w:val="en-AU"/>
        </w:rPr>
        <w:t xml:space="preserve"> models are used when obs</w:t>
      </w:r>
      <w:r w:rsidR="00F24FBC" w:rsidRPr="004635E5">
        <w:rPr>
          <w:sz w:val="22"/>
          <w:szCs w:val="22"/>
          <w:lang w:val="en-AU"/>
        </w:rPr>
        <w:t>erver</w:t>
      </w:r>
      <w:r w:rsidR="006F469C" w:rsidRPr="004635E5">
        <w:rPr>
          <w:sz w:val="22"/>
          <w:szCs w:val="22"/>
          <w:lang w:val="en-AU"/>
        </w:rPr>
        <w:t xml:space="preserve"> coverage </w:t>
      </w:r>
      <w:r w:rsidR="00F24FBC" w:rsidRPr="004635E5">
        <w:rPr>
          <w:sz w:val="22"/>
          <w:szCs w:val="22"/>
          <w:lang w:val="en-AU"/>
        </w:rPr>
        <w:t xml:space="preserve">is </w:t>
      </w:r>
      <w:r w:rsidR="006F469C" w:rsidRPr="004635E5">
        <w:rPr>
          <w:sz w:val="22"/>
          <w:szCs w:val="22"/>
          <w:lang w:val="en-AU"/>
        </w:rPr>
        <w:t xml:space="preserve">less than 20% </w:t>
      </w:r>
      <w:r w:rsidR="00F24FBC" w:rsidRPr="004635E5">
        <w:rPr>
          <w:sz w:val="22"/>
          <w:szCs w:val="22"/>
          <w:lang w:val="en-AU"/>
        </w:rPr>
        <w:t>at a st</w:t>
      </w:r>
      <w:r w:rsidR="006F469C" w:rsidRPr="004635E5">
        <w:rPr>
          <w:sz w:val="22"/>
          <w:szCs w:val="22"/>
          <w:lang w:val="en-AU"/>
        </w:rPr>
        <w:t>r</w:t>
      </w:r>
      <w:r w:rsidR="00F24FBC" w:rsidRPr="004635E5">
        <w:rPr>
          <w:sz w:val="22"/>
          <w:szCs w:val="22"/>
          <w:lang w:val="en-AU"/>
        </w:rPr>
        <w:t xml:space="preserve">atified </w:t>
      </w:r>
      <w:r w:rsidR="006F469C" w:rsidRPr="004635E5">
        <w:rPr>
          <w:sz w:val="22"/>
          <w:szCs w:val="22"/>
          <w:lang w:val="en-AU"/>
        </w:rPr>
        <w:t xml:space="preserve">level, </w:t>
      </w:r>
      <w:r w:rsidRPr="004635E5">
        <w:rPr>
          <w:sz w:val="22"/>
          <w:szCs w:val="22"/>
          <w:lang w:val="en-AU"/>
        </w:rPr>
        <w:t xml:space="preserve">which typically applies </w:t>
      </w:r>
      <w:r w:rsidR="006F469C" w:rsidRPr="004635E5">
        <w:rPr>
          <w:sz w:val="22"/>
          <w:szCs w:val="22"/>
          <w:lang w:val="en-AU"/>
        </w:rPr>
        <w:t>before 2010</w:t>
      </w:r>
      <w:r w:rsidRPr="004635E5">
        <w:rPr>
          <w:sz w:val="22"/>
          <w:szCs w:val="22"/>
          <w:lang w:val="en-AU"/>
        </w:rPr>
        <w:t>, or when full data are not yet available;</w:t>
      </w:r>
      <w:r w:rsidR="006F469C" w:rsidRPr="004635E5">
        <w:rPr>
          <w:sz w:val="22"/>
          <w:szCs w:val="22"/>
          <w:lang w:val="en-AU"/>
        </w:rPr>
        <w:t xml:space="preserve"> </w:t>
      </w:r>
      <w:r w:rsidRPr="004635E5">
        <w:rPr>
          <w:sz w:val="22"/>
          <w:szCs w:val="22"/>
          <w:lang w:val="en-AU"/>
        </w:rPr>
        <w:t xml:space="preserve">such </w:t>
      </w:r>
      <w:r w:rsidR="006F469C" w:rsidRPr="004635E5">
        <w:rPr>
          <w:sz w:val="22"/>
          <w:szCs w:val="22"/>
          <w:lang w:val="en-AU"/>
        </w:rPr>
        <w:t xml:space="preserve">models </w:t>
      </w:r>
      <w:r w:rsidRPr="004635E5">
        <w:rPr>
          <w:sz w:val="22"/>
          <w:szCs w:val="22"/>
          <w:lang w:val="en-AU"/>
        </w:rPr>
        <w:t xml:space="preserve">were typically </w:t>
      </w:r>
      <w:r w:rsidR="006F469C" w:rsidRPr="004635E5">
        <w:rPr>
          <w:sz w:val="22"/>
          <w:szCs w:val="22"/>
          <w:lang w:val="en-AU"/>
        </w:rPr>
        <w:t>not used for 2010-2016.</w:t>
      </w:r>
    </w:p>
    <w:p w14:paraId="3343EF4D" w14:textId="77777777" w:rsidR="000F0A8E" w:rsidRPr="004635E5" w:rsidRDefault="000F0A8E" w:rsidP="006633A8">
      <w:pPr>
        <w:autoSpaceDE w:val="0"/>
        <w:autoSpaceDN w:val="0"/>
        <w:adjustRightInd w:val="0"/>
        <w:snapToGrid w:val="0"/>
        <w:jc w:val="both"/>
        <w:rPr>
          <w:sz w:val="22"/>
          <w:szCs w:val="22"/>
          <w:lang w:val="en-AU"/>
        </w:rPr>
      </w:pPr>
    </w:p>
    <w:p w14:paraId="50402FEB" w14:textId="77777777" w:rsidR="006F469C" w:rsidRPr="004635E5" w:rsidRDefault="006F469C"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Japan </w:t>
      </w:r>
      <w:r w:rsidR="00355465" w:rsidRPr="004635E5">
        <w:rPr>
          <w:sz w:val="22"/>
          <w:szCs w:val="22"/>
          <w:lang w:val="en-AU"/>
        </w:rPr>
        <w:t xml:space="preserve">stated that their </w:t>
      </w:r>
      <w:r w:rsidR="00B56A01" w:rsidRPr="004635E5">
        <w:rPr>
          <w:sz w:val="22"/>
          <w:szCs w:val="22"/>
          <w:lang w:val="en-AU"/>
        </w:rPr>
        <w:t>underst</w:t>
      </w:r>
      <w:r w:rsidR="00355465" w:rsidRPr="004635E5">
        <w:rPr>
          <w:sz w:val="22"/>
          <w:szCs w:val="22"/>
          <w:lang w:val="en-AU"/>
        </w:rPr>
        <w:t xml:space="preserve">anding of the purpose of the project was to improve estimates of </w:t>
      </w:r>
      <w:r w:rsidR="002D5D17" w:rsidRPr="004635E5">
        <w:rPr>
          <w:sz w:val="22"/>
          <w:szCs w:val="22"/>
          <w:lang w:val="en-AU"/>
        </w:rPr>
        <w:t>bigeye</w:t>
      </w:r>
      <w:r w:rsidR="00B56A01" w:rsidRPr="004635E5">
        <w:rPr>
          <w:sz w:val="22"/>
          <w:szCs w:val="22"/>
          <w:lang w:val="en-AU"/>
        </w:rPr>
        <w:t>, not nec</w:t>
      </w:r>
      <w:r w:rsidR="00355465" w:rsidRPr="004635E5">
        <w:rPr>
          <w:sz w:val="22"/>
          <w:szCs w:val="22"/>
          <w:lang w:val="en-AU"/>
        </w:rPr>
        <w:t xml:space="preserve">essarily </w:t>
      </w:r>
      <w:r w:rsidR="00656FD8" w:rsidRPr="004635E5">
        <w:rPr>
          <w:sz w:val="22"/>
          <w:szCs w:val="22"/>
          <w:lang w:val="en-AU"/>
        </w:rPr>
        <w:t>skipjack</w:t>
      </w:r>
      <w:r w:rsidR="00355465" w:rsidRPr="004635E5">
        <w:rPr>
          <w:sz w:val="22"/>
          <w:szCs w:val="22"/>
          <w:lang w:val="en-AU"/>
        </w:rPr>
        <w:t>, and that they s</w:t>
      </w:r>
      <w:r w:rsidR="00B56A01" w:rsidRPr="004635E5">
        <w:rPr>
          <w:sz w:val="22"/>
          <w:szCs w:val="22"/>
          <w:lang w:val="en-AU"/>
        </w:rPr>
        <w:t xml:space="preserve">upport progress in light of this. </w:t>
      </w:r>
      <w:r w:rsidR="00355465" w:rsidRPr="004635E5">
        <w:rPr>
          <w:sz w:val="22"/>
          <w:szCs w:val="22"/>
          <w:lang w:val="en-AU"/>
        </w:rPr>
        <w:t xml:space="preserve">Japan observed that the project had budget implications, and that it was important to consider what additional </w:t>
      </w:r>
      <w:r w:rsidR="00B56A01" w:rsidRPr="004635E5">
        <w:rPr>
          <w:sz w:val="22"/>
          <w:szCs w:val="22"/>
          <w:lang w:val="en-AU"/>
        </w:rPr>
        <w:t xml:space="preserve">progress </w:t>
      </w:r>
      <w:r w:rsidR="00355465" w:rsidRPr="004635E5">
        <w:rPr>
          <w:sz w:val="22"/>
          <w:szCs w:val="22"/>
          <w:lang w:val="en-AU"/>
        </w:rPr>
        <w:t>could be made</w:t>
      </w:r>
      <w:r w:rsidR="00E55F46" w:rsidRPr="004635E5">
        <w:rPr>
          <w:sz w:val="22"/>
          <w:szCs w:val="22"/>
          <w:lang w:val="en-AU"/>
        </w:rPr>
        <w:t xml:space="preserve">. </w:t>
      </w:r>
      <w:r w:rsidR="00B56A01" w:rsidRPr="004635E5">
        <w:rPr>
          <w:sz w:val="22"/>
          <w:szCs w:val="22"/>
          <w:lang w:val="en-AU"/>
        </w:rPr>
        <w:t xml:space="preserve">Regarding </w:t>
      </w:r>
      <w:r w:rsidR="00E55F46" w:rsidRPr="004635E5">
        <w:rPr>
          <w:sz w:val="22"/>
          <w:szCs w:val="22"/>
          <w:lang w:val="en-AU"/>
        </w:rPr>
        <w:t xml:space="preserve">the work plan, they stated that Japan would support work to improve the </w:t>
      </w:r>
      <w:r w:rsidR="002D5D17" w:rsidRPr="004635E5">
        <w:rPr>
          <w:sz w:val="22"/>
          <w:szCs w:val="22"/>
          <w:lang w:val="en-AU"/>
        </w:rPr>
        <w:t xml:space="preserve">bigeye </w:t>
      </w:r>
      <w:r w:rsidR="00B56A01" w:rsidRPr="004635E5">
        <w:rPr>
          <w:sz w:val="22"/>
          <w:szCs w:val="22"/>
          <w:lang w:val="en-AU"/>
        </w:rPr>
        <w:t>model</w:t>
      </w:r>
      <w:r w:rsidR="00E55F46" w:rsidRPr="004635E5">
        <w:rPr>
          <w:sz w:val="22"/>
          <w:szCs w:val="22"/>
          <w:lang w:val="en-AU"/>
        </w:rPr>
        <w:t xml:space="preserve">, </w:t>
      </w:r>
      <w:r w:rsidR="00D21203" w:rsidRPr="004635E5">
        <w:rPr>
          <w:sz w:val="22"/>
          <w:szCs w:val="22"/>
          <w:lang w:val="en-AU"/>
        </w:rPr>
        <w:t xml:space="preserve">but noted that </w:t>
      </w:r>
      <w:r w:rsidR="00B56A01" w:rsidRPr="004635E5">
        <w:rPr>
          <w:sz w:val="22"/>
          <w:szCs w:val="22"/>
          <w:lang w:val="en-AU"/>
        </w:rPr>
        <w:t xml:space="preserve">small changes may </w:t>
      </w:r>
      <w:r w:rsidR="00D21203" w:rsidRPr="004635E5">
        <w:rPr>
          <w:sz w:val="22"/>
          <w:szCs w:val="22"/>
          <w:lang w:val="en-AU"/>
        </w:rPr>
        <w:t xml:space="preserve">have a large impact on historic </w:t>
      </w:r>
      <w:r w:rsidR="002D5D17" w:rsidRPr="004635E5">
        <w:rPr>
          <w:sz w:val="22"/>
          <w:szCs w:val="22"/>
          <w:lang w:val="en-AU"/>
        </w:rPr>
        <w:t xml:space="preserve">bigeye </w:t>
      </w:r>
      <w:r w:rsidR="00B56A01" w:rsidRPr="004635E5">
        <w:rPr>
          <w:sz w:val="22"/>
          <w:szCs w:val="22"/>
          <w:lang w:val="en-AU"/>
        </w:rPr>
        <w:t>catch estimate</w:t>
      </w:r>
      <w:r w:rsidR="00E55F46" w:rsidRPr="004635E5">
        <w:rPr>
          <w:sz w:val="22"/>
          <w:szCs w:val="22"/>
          <w:lang w:val="en-AU"/>
        </w:rPr>
        <w:t>s</w:t>
      </w:r>
      <w:r w:rsidR="00B56A01" w:rsidRPr="004635E5">
        <w:rPr>
          <w:sz w:val="22"/>
          <w:szCs w:val="22"/>
          <w:lang w:val="en-AU"/>
        </w:rPr>
        <w:t xml:space="preserve">, and </w:t>
      </w:r>
      <w:r w:rsidR="00D21203" w:rsidRPr="004635E5">
        <w:rPr>
          <w:sz w:val="22"/>
          <w:szCs w:val="22"/>
          <w:lang w:val="en-AU"/>
        </w:rPr>
        <w:t xml:space="preserve">impact </w:t>
      </w:r>
      <w:r w:rsidR="00B56A01" w:rsidRPr="004635E5">
        <w:rPr>
          <w:sz w:val="22"/>
          <w:szCs w:val="22"/>
          <w:lang w:val="en-AU"/>
        </w:rPr>
        <w:t xml:space="preserve">the </w:t>
      </w:r>
      <w:r w:rsidR="002D5D17" w:rsidRPr="004635E5">
        <w:rPr>
          <w:sz w:val="22"/>
          <w:szCs w:val="22"/>
          <w:lang w:val="en-AU"/>
        </w:rPr>
        <w:t xml:space="preserve">bigeye </w:t>
      </w:r>
      <w:r w:rsidR="00E55F46" w:rsidRPr="004635E5">
        <w:rPr>
          <w:sz w:val="22"/>
          <w:szCs w:val="22"/>
          <w:lang w:val="en-AU"/>
        </w:rPr>
        <w:t>s</w:t>
      </w:r>
      <w:r w:rsidR="00B56A01" w:rsidRPr="004635E5">
        <w:rPr>
          <w:sz w:val="22"/>
          <w:szCs w:val="22"/>
          <w:lang w:val="en-AU"/>
        </w:rPr>
        <w:t>to</w:t>
      </w:r>
      <w:r w:rsidR="00E55F46" w:rsidRPr="004635E5">
        <w:rPr>
          <w:sz w:val="22"/>
          <w:szCs w:val="22"/>
          <w:lang w:val="en-AU"/>
        </w:rPr>
        <w:t>c</w:t>
      </w:r>
      <w:r w:rsidR="00B56A01" w:rsidRPr="004635E5">
        <w:rPr>
          <w:sz w:val="22"/>
          <w:szCs w:val="22"/>
          <w:lang w:val="en-AU"/>
        </w:rPr>
        <w:t>k assessment.</w:t>
      </w:r>
    </w:p>
    <w:p w14:paraId="497B2722" w14:textId="77777777" w:rsidR="007302B8" w:rsidRPr="004635E5" w:rsidRDefault="007302B8" w:rsidP="006633A8">
      <w:pPr>
        <w:autoSpaceDE w:val="0"/>
        <w:autoSpaceDN w:val="0"/>
        <w:adjustRightInd w:val="0"/>
        <w:snapToGrid w:val="0"/>
        <w:jc w:val="both"/>
        <w:rPr>
          <w:b/>
          <w:sz w:val="22"/>
          <w:szCs w:val="22"/>
          <w:lang w:val="en-AU"/>
        </w:rPr>
      </w:pPr>
    </w:p>
    <w:p w14:paraId="14991840" w14:textId="77777777" w:rsidR="00D65680" w:rsidRPr="004635E5" w:rsidRDefault="007302B8" w:rsidP="006633A8">
      <w:pPr>
        <w:autoSpaceDE w:val="0"/>
        <w:autoSpaceDN w:val="0"/>
        <w:adjustRightInd w:val="0"/>
        <w:snapToGrid w:val="0"/>
        <w:jc w:val="both"/>
        <w:rPr>
          <w:b/>
          <w:sz w:val="22"/>
          <w:szCs w:val="22"/>
          <w:lang w:val="en-AU"/>
        </w:rPr>
      </w:pPr>
      <w:r w:rsidRPr="004635E5">
        <w:rPr>
          <w:b/>
          <w:sz w:val="22"/>
          <w:szCs w:val="22"/>
          <w:lang w:val="en-AU"/>
        </w:rPr>
        <w:t>Recommendation</w:t>
      </w:r>
    </w:p>
    <w:p w14:paraId="5043FB02" w14:textId="77777777" w:rsidR="007302B8" w:rsidRPr="004635E5" w:rsidRDefault="007302B8" w:rsidP="006633A8">
      <w:pPr>
        <w:autoSpaceDE w:val="0"/>
        <w:autoSpaceDN w:val="0"/>
        <w:adjustRightInd w:val="0"/>
        <w:snapToGrid w:val="0"/>
        <w:jc w:val="both"/>
        <w:rPr>
          <w:sz w:val="22"/>
          <w:szCs w:val="22"/>
          <w:lang w:val="en-AU"/>
        </w:rPr>
      </w:pPr>
    </w:p>
    <w:p w14:paraId="5B015890" w14:textId="77777777" w:rsidR="00D65680" w:rsidRPr="004635E5" w:rsidRDefault="00D65680" w:rsidP="00580EA4">
      <w:pPr>
        <w:numPr>
          <w:ilvl w:val="0"/>
          <w:numId w:val="18"/>
        </w:numPr>
        <w:autoSpaceDE w:val="0"/>
        <w:autoSpaceDN w:val="0"/>
        <w:adjustRightInd w:val="0"/>
        <w:snapToGrid w:val="0"/>
        <w:ind w:left="0" w:firstLine="0"/>
        <w:jc w:val="both"/>
        <w:rPr>
          <w:b/>
          <w:sz w:val="22"/>
          <w:szCs w:val="22"/>
        </w:rPr>
      </w:pPr>
      <w:r w:rsidRPr="004635E5">
        <w:rPr>
          <w:b/>
          <w:sz w:val="22"/>
          <w:szCs w:val="22"/>
        </w:rPr>
        <w:t xml:space="preserve">SC14 recommended that the future work proposed by the Scientific Service Provider under Project 60 (Improving purse seine species composition) continue over the coming two years. </w:t>
      </w:r>
    </w:p>
    <w:p w14:paraId="5DAF682C" w14:textId="77777777" w:rsidR="00D65680" w:rsidRPr="004635E5" w:rsidRDefault="00D65680" w:rsidP="006633A8">
      <w:pPr>
        <w:autoSpaceDE w:val="0"/>
        <w:autoSpaceDN w:val="0"/>
        <w:adjustRightInd w:val="0"/>
        <w:snapToGrid w:val="0"/>
        <w:jc w:val="both"/>
        <w:rPr>
          <w:sz w:val="22"/>
          <w:szCs w:val="22"/>
          <w:lang w:val="en-AU"/>
        </w:rPr>
      </w:pPr>
    </w:p>
    <w:p w14:paraId="2D3C5459" w14:textId="77777777" w:rsidR="00762E15" w:rsidRPr="004635E5" w:rsidRDefault="00762E15" w:rsidP="00580EA4">
      <w:pPr>
        <w:pStyle w:val="SC3"/>
        <w:numPr>
          <w:ilvl w:val="2"/>
          <w:numId w:val="161"/>
        </w:numPr>
        <w:spacing w:after="0"/>
        <w:rPr>
          <w:rFonts w:eastAsia="Batang"/>
          <w:lang w:eastAsia="ko-KR"/>
        </w:rPr>
      </w:pPr>
      <w:r w:rsidRPr="004635E5">
        <w:rPr>
          <w:rFonts w:eastAsia="Batang"/>
          <w:lang w:eastAsia="ko-KR"/>
        </w:rPr>
        <w:t xml:space="preserve">Potential </w:t>
      </w:r>
      <w:r w:rsidR="009C19BE" w:rsidRPr="004635E5">
        <w:rPr>
          <w:rFonts w:eastAsia="Batang"/>
          <w:lang w:eastAsia="ko-KR"/>
        </w:rPr>
        <w:t xml:space="preserve">use </w:t>
      </w:r>
      <w:r w:rsidRPr="004635E5">
        <w:rPr>
          <w:rFonts w:eastAsia="Batang"/>
          <w:lang w:eastAsia="ko-KR"/>
        </w:rPr>
        <w:t xml:space="preserve">of </w:t>
      </w:r>
      <w:r w:rsidR="009C19BE" w:rsidRPr="004635E5">
        <w:rPr>
          <w:rFonts w:eastAsia="Batang"/>
          <w:lang w:eastAsia="ko-KR"/>
        </w:rPr>
        <w:t xml:space="preserve">cannery receipt data </w:t>
      </w:r>
      <w:r w:rsidRPr="004635E5">
        <w:rPr>
          <w:rFonts w:eastAsia="Batang"/>
          <w:lang w:eastAsia="ko-KR"/>
        </w:rPr>
        <w:t xml:space="preserve">for the </w:t>
      </w:r>
      <w:r w:rsidR="009C19BE" w:rsidRPr="004635E5">
        <w:rPr>
          <w:rFonts w:eastAsia="Batang"/>
          <w:lang w:eastAsia="ko-KR"/>
        </w:rPr>
        <w:t xml:space="preserve">work </w:t>
      </w:r>
      <w:r w:rsidRPr="004635E5">
        <w:rPr>
          <w:rFonts w:eastAsia="Batang"/>
          <w:lang w:eastAsia="ko-KR"/>
        </w:rPr>
        <w:t>of the WCPFC</w:t>
      </w:r>
    </w:p>
    <w:p w14:paraId="7E7CB78A" w14:textId="77777777" w:rsidR="00C91D50" w:rsidRPr="004635E5" w:rsidRDefault="00C91D50" w:rsidP="006633A8">
      <w:pPr>
        <w:pStyle w:val="SC3"/>
        <w:numPr>
          <w:ilvl w:val="0"/>
          <w:numId w:val="0"/>
        </w:numPr>
        <w:spacing w:after="0"/>
        <w:ind w:left="1440"/>
        <w:rPr>
          <w:rFonts w:eastAsia="Batang"/>
          <w:lang w:eastAsia="ko-KR"/>
        </w:rPr>
      </w:pPr>
    </w:p>
    <w:p w14:paraId="119A27D7" w14:textId="77777777" w:rsidR="00B56A01" w:rsidRPr="004635E5" w:rsidRDefault="008F0F29" w:rsidP="00580EA4">
      <w:pPr>
        <w:numPr>
          <w:ilvl w:val="0"/>
          <w:numId w:val="18"/>
        </w:numPr>
        <w:autoSpaceDE w:val="0"/>
        <w:autoSpaceDN w:val="0"/>
        <w:adjustRightInd w:val="0"/>
        <w:snapToGrid w:val="0"/>
        <w:ind w:left="0" w:firstLine="0"/>
        <w:jc w:val="both"/>
        <w:rPr>
          <w:rFonts w:eastAsiaTheme="minorEastAsia"/>
          <w:bCs/>
          <w:sz w:val="22"/>
          <w:szCs w:val="22"/>
          <w:lang w:val="en-NZ" w:eastAsia="ko-KR"/>
        </w:rPr>
      </w:pPr>
      <w:r w:rsidRPr="004635E5">
        <w:rPr>
          <w:rFonts w:eastAsiaTheme="minorEastAsia"/>
          <w:bCs/>
          <w:sz w:val="22"/>
          <w:szCs w:val="22"/>
          <w:lang w:val="en-NZ" w:eastAsia="ko-KR"/>
        </w:rPr>
        <w:t>This was discussed under Data Gaps (</w:t>
      </w:r>
      <w:r w:rsidRPr="004635E5">
        <w:rPr>
          <w:rFonts w:eastAsiaTheme="minorEastAsia"/>
          <w:bCs/>
          <w:sz w:val="22"/>
          <w:szCs w:val="22"/>
          <w:lang w:val="en-AU" w:eastAsia="ko-KR"/>
        </w:rPr>
        <w:t>Agenda Item 3.1.1).</w:t>
      </w:r>
    </w:p>
    <w:p w14:paraId="61F71C93" w14:textId="77777777" w:rsidR="002666B8" w:rsidRPr="004635E5" w:rsidRDefault="002666B8" w:rsidP="006633A8">
      <w:pPr>
        <w:tabs>
          <w:tab w:val="left" w:pos="2121"/>
        </w:tabs>
        <w:adjustRightInd w:val="0"/>
        <w:snapToGrid w:val="0"/>
        <w:jc w:val="both"/>
        <w:rPr>
          <w:rFonts w:eastAsiaTheme="minorEastAsia"/>
          <w:bCs/>
          <w:sz w:val="22"/>
          <w:szCs w:val="22"/>
          <w:lang w:val="en-NZ" w:eastAsia="ko-KR"/>
        </w:rPr>
      </w:pPr>
      <w:r w:rsidRPr="004635E5">
        <w:rPr>
          <w:rFonts w:eastAsiaTheme="minorEastAsia"/>
          <w:bCs/>
          <w:sz w:val="22"/>
          <w:szCs w:val="22"/>
          <w:lang w:val="en-NZ" w:eastAsia="ko-KR"/>
        </w:rPr>
        <w:tab/>
      </w:r>
    </w:p>
    <w:p w14:paraId="60101974" w14:textId="77777777" w:rsidR="002666B8" w:rsidRPr="004635E5" w:rsidRDefault="00BD1C5D" w:rsidP="00580EA4">
      <w:pPr>
        <w:pStyle w:val="SC3"/>
        <w:numPr>
          <w:ilvl w:val="2"/>
          <w:numId w:val="161"/>
        </w:numPr>
        <w:spacing w:after="0"/>
      </w:pPr>
      <w:r w:rsidRPr="004635E5">
        <w:rPr>
          <w:rFonts w:eastAsiaTheme="minorEastAsia"/>
          <w:lang w:eastAsia="ko-KR"/>
        </w:rPr>
        <w:t>Bycatch e</w:t>
      </w:r>
      <w:r w:rsidR="002666B8" w:rsidRPr="004635E5">
        <w:t xml:space="preserve">stimates </w:t>
      </w:r>
      <w:r w:rsidR="004D35A4" w:rsidRPr="004635E5">
        <w:t xml:space="preserve">of longline and </w:t>
      </w:r>
      <w:r w:rsidR="002666B8" w:rsidRPr="004635E5">
        <w:t>purse seine</w:t>
      </w:r>
      <w:r w:rsidRPr="004635E5">
        <w:rPr>
          <w:rFonts w:eastAsiaTheme="minorEastAsia"/>
          <w:lang w:eastAsia="ko-KR"/>
        </w:rPr>
        <w:t xml:space="preserve"> </w:t>
      </w:r>
    </w:p>
    <w:p w14:paraId="64AD601D" w14:textId="77777777" w:rsidR="00C91D50" w:rsidRPr="004635E5" w:rsidRDefault="00C91D50" w:rsidP="006633A8">
      <w:pPr>
        <w:pStyle w:val="SC3"/>
        <w:numPr>
          <w:ilvl w:val="0"/>
          <w:numId w:val="0"/>
        </w:numPr>
        <w:spacing w:after="0"/>
        <w:ind w:left="1440"/>
      </w:pPr>
    </w:p>
    <w:p w14:paraId="6A4D24BB" w14:textId="77777777" w:rsidR="00502501" w:rsidRPr="004635E5" w:rsidRDefault="00B66C43" w:rsidP="00580EA4">
      <w:pPr>
        <w:numPr>
          <w:ilvl w:val="0"/>
          <w:numId w:val="18"/>
        </w:numPr>
        <w:autoSpaceDE w:val="0"/>
        <w:autoSpaceDN w:val="0"/>
        <w:adjustRightInd w:val="0"/>
        <w:snapToGrid w:val="0"/>
        <w:ind w:left="0" w:firstLine="0"/>
        <w:jc w:val="both"/>
        <w:rPr>
          <w:rFonts w:eastAsiaTheme="minorEastAsia"/>
          <w:sz w:val="22"/>
          <w:szCs w:val="22"/>
          <w:lang w:val="en-GB" w:eastAsia="ko-KR"/>
        </w:rPr>
      </w:pPr>
      <w:r w:rsidRPr="004635E5">
        <w:rPr>
          <w:rFonts w:eastAsiaTheme="minorEastAsia"/>
          <w:bCs/>
          <w:sz w:val="22"/>
          <w:szCs w:val="22"/>
          <w:lang w:val="en-NZ" w:eastAsia="ko-KR"/>
        </w:rPr>
        <w:t>T. Peatman (SPC) presented SC14-ST-WP-0</w:t>
      </w:r>
      <w:r w:rsidR="0072696C" w:rsidRPr="004635E5">
        <w:rPr>
          <w:rFonts w:eastAsiaTheme="minorEastAsia"/>
          <w:bCs/>
          <w:sz w:val="22"/>
          <w:szCs w:val="22"/>
          <w:lang w:val="en-NZ" w:eastAsia="ko-KR"/>
        </w:rPr>
        <w:t>3</w:t>
      </w:r>
      <w:r w:rsidRPr="004635E5">
        <w:rPr>
          <w:rFonts w:eastAsiaTheme="minorEastAsia"/>
          <w:bCs/>
          <w:sz w:val="22"/>
          <w:szCs w:val="22"/>
          <w:lang w:val="en-NZ" w:eastAsia="ko-KR"/>
        </w:rPr>
        <w:t xml:space="preserve">, </w:t>
      </w:r>
      <w:r w:rsidRPr="004635E5">
        <w:rPr>
          <w:rFonts w:eastAsiaTheme="minorEastAsia"/>
          <w:bCs/>
          <w:i/>
          <w:sz w:val="22"/>
          <w:szCs w:val="22"/>
          <w:lang w:val="en-NZ" w:eastAsia="ko-KR"/>
        </w:rPr>
        <w:t>Summary of</w:t>
      </w:r>
      <w:r w:rsidR="00B70283" w:rsidRPr="004635E5">
        <w:rPr>
          <w:rFonts w:eastAsiaTheme="minorEastAsia"/>
          <w:bCs/>
          <w:i/>
          <w:sz w:val="22"/>
          <w:szCs w:val="22"/>
          <w:lang w:val="en-NZ" w:eastAsia="ko-KR"/>
        </w:rPr>
        <w:t xml:space="preserve"> longline </w:t>
      </w:r>
      <w:r w:rsidRPr="004635E5">
        <w:rPr>
          <w:rFonts w:eastAsiaTheme="minorEastAsia"/>
          <w:bCs/>
          <w:i/>
          <w:sz w:val="22"/>
          <w:szCs w:val="22"/>
          <w:lang w:val="en-NZ" w:eastAsia="ko-KR"/>
        </w:rPr>
        <w:t>fishery bycatc</w:t>
      </w:r>
      <w:r w:rsidR="0072696C" w:rsidRPr="004635E5">
        <w:rPr>
          <w:rFonts w:eastAsiaTheme="minorEastAsia"/>
          <w:bCs/>
          <w:i/>
          <w:sz w:val="22"/>
          <w:szCs w:val="22"/>
          <w:lang w:val="en-NZ" w:eastAsia="ko-KR"/>
        </w:rPr>
        <w:t>h at a regional scale, 2003-2017</w:t>
      </w:r>
      <w:r w:rsidRPr="004635E5">
        <w:rPr>
          <w:rFonts w:eastAsiaTheme="minorEastAsia"/>
          <w:bCs/>
          <w:sz w:val="22"/>
          <w:szCs w:val="22"/>
          <w:lang w:val="en-NZ" w:eastAsia="ko-KR"/>
        </w:rPr>
        <w:t xml:space="preserve">, </w:t>
      </w:r>
      <w:r w:rsidR="0008481C" w:rsidRPr="004635E5">
        <w:rPr>
          <w:rFonts w:eastAsiaTheme="minorEastAsia"/>
          <w:sz w:val="22"/>
          <w:szCs w:val="22"/>
          <w:lang w:val="en-GB" w:eastAsia="ko-KR"/>
        </w:rPr>
        <w:t xml:space="preserve">which provides a regional summary of </w:t>
      </w:r>
      <w:r w:rsidR="004B2C64" w:rsidRPr="004635E5">
        <w:rPr>
          <w:rFonts w:eastAsiaTheme="minorEastAsia"/>
          <w:sz w:val="22"/>
          <w:szCs w:val="22"/>
          <w:lang w:val="en-GB" w:eastAsia="ko-KR"/>
        </w:rPr>
        <w:t>longline fishery bycatch</w:t>
      </w:r>
      <w:r w:rsidR="0008481C" w:rsidRPr="004635E5">
        <w:rPr>
          <w:rFonts w:eastAsiaTheme="minorEastAsia"/>
          <w:sz w:val="22"/>
          <w:szCs w:val="22"/>
          <w:lang w:val="en-GB" w:eastAsia="ko-KR"/>
        </w:rPr>
        <w:t xml:space="preserve"> in the WCPFC-CA</w:t>
      </w:r>
      <w:r w:rsidR="00A16680" w:rsidRPr="004635E5">
        <w:rPr>
          <w:rFonts w:eastAsiaTheme="minorEastAsia"/>
          <w:sz w:val="22"/>
          <w:szCs w:val="22"/>
          <w:lang w:val="en-GB" w:eastAsia="ko-KR"/>
        </w:rPr>
        <w:t xml:space="preserve">. </w:t>
      </w:r>
      <w:r w:rsidR="0008481C" w:rsidRPr="004635E5">
        <w:rPr>
          <w:rFonts w:eastAsiaTheme="minorEastAsia"/>
          <w:sz w:val="22"/>
          <w:szCs w:val="22"/>
          <w:lang w:val="en-GB" w:eastAsia="ko-KR"/>
        </w:rPr>
        <w:t>The report includes: summaries of longline observer data held in SPC’s master observer database related to bycatch, including information on fate (i.e. utilisation) and condition at release; statistical models of catch rates fitted to observer data; and, estimates of total catches for longline fisheries in the WCPFC-CA</w:t>
      </w:r>
      <w:r w:rsidR="00A16680" w:rsidRPr="004635E5">
        <w:rPr>
          <w:rFonts w:eastAsiaTheme="minorEastAsia"/>
          <w:sz w:val="22"/>
          <w:szCs w:val="22"/>
          <w:lang w:val="en-GB" w:eastAsia="ko-KR"/>
        </w:rPr>
        <w:t xml:space="preserve">. </w:t>
      </w:r>
      <w:r w:rsidR="0008481C" w:rsidRPr="004635E5">
        <w:rPr>
          <w:rFonts w:eastAsiaTheme="minorEastAsia"/>
          <w:sz w:val="22"/>
          <w:szCs w:val="22"/>
          <w:lang w:val="en-GB" w:eastAsia="ko-KR"/>
        </w:rPr>
        <w:t>Catches were estimated for 45 species or species groups, covering the full range of finfish, billfish, shark and ray, marine mammal and sea turtle species that have been recorded in longline observer data. SPC did not attempt to estimate catches for domestic longline fisheries in the west-tropical sector of the WCPFC-CA, as SPC holds little observer data for these fisheries</w:t>
      </w:r>
      <w:r w:rsidR="00A16680" w:rsidRPr="004635E5">
        <w:rPr>
          <w:rFonts w:eastAsiaTheme="minorEastAsia"/>
          <w:sz w:val="22"/>
          <w:szCs w:val="22"/>
          <w:lang w:val="en-GB" w:eastAsia="ko-KR"/>
        </w:rPr>
        <w:t xml:space="preserve">. </w:t>
      </w:r>
      <w:r w:rsidR="0008481C" w:rsidRPr="004635E5">
        <w:rPr>
          <w:rFonts w:eastAsiaTheme="minorEastAsia"/>
          <w:sz w:val="22"/>
          <w:szCs w:val="22"/>
          <w:lang w:val="en-GB" w:eastAsia="ko-KR"/>
        </w:rPr>
        <w:t xml:space="preserve">The presentation also covered relevant material from </w:t>
      </w:r>
      <w:r w:rsidR="00347BA9">
        <w:rPr>
          <w:rFonts w:eastAsiaTheme="minorEastAsia"/>
          <w:sz w:val="22"/>
          <w:szCs w:val="22"/>
          <w:lang w:eastAsia="ko-KR"/>
        </w:rPr>
        <w:t>SC14-</w:t>
      </w:r>
      <w:r w:rsidR="0008481C" w:rsidRPr="004635E5">
        <w:rPr>
          <w:rFonts w:eastAsiaTheme="minorEastAsia"/>
          <w:sz w:val="22"/>
          <w:szCs w:val="22"/>
          <w:lang w:val="en-GB" w:eastAsia="ko-KR"/>
        </w:rPr>
        <w:t>ST-IP-04, which updated estimates of purse seine bycatch to cover 2003 to 2017. Observer coverage in longline fisheries in the WCPFC-CA, based on SPC’s observer data holdings, was generally low from 2003 to 2017, with annual coverage rates ranging from 1% to 4.5% of total hooks set</w:t>
      </w:r>
      <w:r w:rsidR="00A16680" w:rsidRPr="004635E5">
        <w:rPr>
          <w:rFonts w:eastAsiaTheme="minorEastAsia"/>
          <w:sz w:val="22"/>
          <w:szCs w:val="22"/>
          <w:lang w:val="en-GB" w:eastAsia="ko-KR"/>
        </w:rPr>
        <w:t xml:space="preserve">. </w:t>
      </w:r>
      <w:r w:rsidR="0008481C" w:rsidRPr="004635E5">
        <w:rPr>
          <w:rFonts w:eastAsiaTheme="minorEastAsia"/>
          <w:sz w:val="22"/>
          <w:szCs w:val="22"/>
          <w:lang w:val="en-GB" w:eastAsia="ko-KR"/>
        </w:rPr>
        <w:t>Observer coverage varied both spatially and temporally, with a tendency for lower coverage in the high seas and higher coverage in EEZs</w:t>
      </w:r>
      <w:r w:rsidR="00A16680" w:rsidRPr="004635E5">
        <w:rPr>
          <w:rFonts w:eastAsiaTheme="minorEastAsia"/>
          <w:sz w:val="22"/>
          <w:szCs w:val="22"/>
          <w:lang w:val="en-GB" w:eastAsia="ko-KR"/>
        </w:rPr>
        <w:t xml:space="preserve">. </w:t>
      </w:r>
      <w:r w:rsidR="0008481C" w:rsidRPr="004635E5">
        <w:rPr>
          <w:rFonts w:eastAsiaTheme="minorEastAsia"/>
          <w:sz w:val="22"/>
          <w:szCs w:val="22"/>
          <w:lang w:val="en-GB" w:eastAsia="ko-KR"/>
        </w:rPr>
        <w:t>Observer coverage was particularly low in wide areas north of 10°N. Hooks between floats (HBF) was a key predictor for many of the catch rate models</w:t>
      </w:r>
      <w:r w:rsidR="00A16680" w:rsidRPr="004635E5">
        <w:rPr>
          <w:rFonts w:eastAsiaTheme="minorEastAsia"/>
          <w:sz w:val="22"/>
          <w:szCs w:val="22"/>
          <w:lang w:val="en-GB" w:eastAsia="ko-KR"/>
        </w:rPr>
        <w:t xml:space="preserve">. </w:t>
      </w:r>
      <w:r w:rsidR="0008481C" w:rsidRPr="004635E5">
        <w:rPr>
          <w:rFonts w:eastAsiaTheme="minorEastAsia"/>
          <w:sz w:val="22"/>
          <w:szCs w:val="22"/>
          <w:lang w:val="en-GB" w:eastAsia="ko-KR"/>
        </w:rPr>
        <w:t>SPC holds HBF-disaggregated longline aggregate catch and effort data, with coverage of total effort ranging from 25</w:t>
      </w:r>
      <w:r w:rsidR="00502501" w:rsidRPr="004635E5">
        <w:rPr>
          <w:rFonts w:eastAsiaTheme="minorEastAsia"/>
          <w:sz w:val="22"/>
          <w:szCs w:val="22"/>
          <w:lang w:val="en-GB" w:eastAsia="ko-KR"/>
        </w:rPr>
        <w:t>%</w:t>
      </w:r>
      <w:r w:rsidR="0008481C" w:rsidRPr="004635E5">
        <w:rPr>
          <w:rFonts w:eastAsiaTheme="minorEastAsia"/>
          <w:sz w:val="22"/>
          <w:szCs w:val="22"/>
          <w:lang w:val="en-GB" w:eastAsia="ko-KR"/>
        </w:rPr>
        <w:t xml:space="preserve"> in 2003 to 90% in 2016 and 2017</w:t>
      </w:r>
      <w:r w:rsidR="00A16680" w:rsidRPr="004635E5">
        <w:rPr>
          <w:rFonts w:eastAsiaTheme="minorEastAsia"/>
          <w:sz w:val="22"/>
          <w:szCs w:val="22"/>
          <w:lang w:val="en-GB" w:eastAsia="ko-KR"/>
        </w:rPr>
        <w:t xml:space="preserve">. </w:t>
      </w:r>
      <w:r w:rsidR="0008481C" w:rsidRPr="004635E5">
        <w:rPr>
          <w:rFonts w:eastAsiaTheme="minorEastAsia"/>
          <w:sz w:val="22"/>
          <w:szCs w:val="22"/>
          <w:lang w:val="en-GB" w:eastAsia="ko-KR"/>
        </w:rPr>
        <w:t>Available HBF-disaggregated effort data was used to estimate the proportions of longline aggregate effort for different numbers of hooks between float</w:t>
      </w:r>
      <w:r w:rsidR="00502501" w:rsidRPr="004635E5">
        <w:rPr>
          <w:rFonts w:eastAsiaTheme="minorEastAsia"/>
          <w:sz w:val="22"/>
          <w:szCs w:val="22"/>
          <w:lang w:val="en-GB" w:eastAsia="ko-KR"/>
        </w:rPr>
        <w:t>s</w:t>
      </w:r>
      <w:r w:rsidR="0008481C" w:rsidRPr="004635E5">
        <w:rPr>
          <w:rFonts w:eastAsiaTheme="minorEastAsia"/>
          <w:sz w:val="22"/>
          <w:szCs w:val="22"/>
          <w:lang w:val="en-GB" w:eastAsia="ko-KR"/>
        </w:rPr>
        <w:t xml:space="preserve">, assuming that available HBF-disaggregated aggregate data </w:t>
      </w:r>
      <w:r w:rsidR="005F17D1" w:rsidRPr="004635E5">
        <w:rPr>
          <w:rFonts w:eastAsiaTheme="minorEastAsia"/>
          <w:sz w:val="22"/>
          <w:szCs w:val="22"/>
          <w:lang w:val="en-GB" w:eastAsia="ko-KR"/>
        </w:rPr>
        <w:t xml:space="preserve">are </w:t>
      </w:r>
      <w:r w:rsidR="0008481C" w:rsidRPr="004635E5">
        <w:rPr>
          <w:rFonts w:eastAsiaTheme="minorEastAsia"/>
          <w:sz w:val="22"/>
          <w:szCs w:val="22"/>
          <w:lang w:val="en-GB" w:eastAsia="ko-KR"/>
        </w:rPr>
        <w:t>representative of the fisheries as a whole.</w:t>
      </w:r>
      <w:r w:rsidR="00502501" w:rsidRPr="004635E5">
        <w:rPr>
          <w:rFonts w:eastAsiaTheme="minorEastAsia"/>
          <w:sz w:val="22"/>
          <w:szCs w:val="22"/>
          <w:lang w:val="en-GB" w:eastAsia="ko-KR"/>
        </w:rPr>
        <w:t xml:space="preserve"> </w:t>
      </w:r>
    </w:p>
    <w:p w14:paraId="2C86FEDD" w14:textId="77777777" w:rsidR="00502501" w:rsidRPr="004635E5" w:rsidRDefault="00502501" w:rsidP="006633A8">
      <w:pPr>
        <w:autoSpaceDE w:val="0"/>
        <w:autoSpaceDN w:val="0"/>
        <w:adjustRightInd w:val="0"/>
        <w:snapToGrid w:val="0"/>
        <w:jc w:val="both"/>
        <w:rPr>
          <w:rFonts w:eastAsiaTheme="minorEastAsia"/>
          <w:sz w:val="22"/>
          <w:szCs w:val="22"/>
          <w:lang w:val="en-GB" w:eastAsia="ko-KR"/>
        </w:rPr>
      </w:pPr>
    </w:p>
    <w:p w14:paraId="51EC3176" w14:textId="77777777" w:rsidR="005F17D1" w:rsidRPr="004635E5" w:rsidRDefault="0008481C" w:rsidP="00580EA4">
      <w:pPr>
        <w:numPr>
          <w:ilvl w:val="0"/>
          <w:numId w:val="18"/>
        </w:numPr>
        <w:autoSpaceDE w:val="0"/>
        <w:autoSpaceDN w:val="0"/>
        <w:adjustRightInd w:val="0"/>
        <w:snapToGrid w:val="0"/>
        <w:ind w:left="0" w:firstLine="0"/>
        <w:jc w:val="both"/>
        <w:rPr>
          <w:rFonts w:eastAsiaTheme="minorEastAsia"/>
          <w:sz w:val="22"/>
          <w:szCs w:val="22"/>
          <w:lang w:val="en-GB" w:eastAsia="ko-KR"/>
        </w:rPr>
      </w:pPr>
      <w:r w:rsidRPr="004635E5">
        <w:rPr>
          <w:rFonts w:eastAsiaTheme="minorEastAsia"/>
          <w:sz w:val="22"/>
          <w:szCs w:val="22"/>
          <w:lang w:val="en-GB" w:eastAsia="ko-KR"/>
        </w:rPr>
        <w:t>Estimated catch rates from the statistical models had higher uncertainty for species that were less frequently caught by longliners</w:t>
      </w:r>
      <w:r w:rsidR="00A16680" w:rsidRPr="004635E5">
        <w:rPr>
          <w:rFonts w:eastAsiaTheme="minorEastAsia"/>
          <w:sz w:val="22"/>
          <w:szCs w:val="22"/>
          <w:lang w:val="en-GB" w:eastAsia="ko-KR"/>
        </w:rPr>
        <w:t xml:space="preserve">. </w:t>
      </w:r>
      <w:r w:rsidRPr="004635E5">
        <w:rPr>
          <w:rFonts w:eastAsiaTheme="minorEastAsia"/>
          <w:sz w:val="22"/>
          <w:szCs w:val="22"/>
          <w:lang w:val="en-GB" w:eastAsia="ko-KR"/>
        </w:rPr>
        <w:t>Coefficients of variation (CVs) ranged from 60</w:t>
      </w:r>
      <w:r w:rsidR="00502501" w:rsidRPr="004635E5">
        <w:rPr>
          <w:rFonts w:eastAsiaTheme="minorEastAsia"/>
          <w:sz w:val="22"/>
          <w:szCs w:val="22"/>
          <w:lang w:val="en-GB" w:eastAsia="ko-KR"/>
        </w:rPr>
        <w:t>%</w:t>
      </w:r>
      <w:r w:rsidRPr="004635E5">
        <w:rPr>
          <w:rFonts w:eastAsiaTheme="minorEastAsia"/>
          <w:sz w:val="22"/>
          <w:szCs w:val="22"/>
          <w:lang w:val="en-GB" w:eastAsia="ko-KR"/>
        </w:rPr>
        <w:t xml:space="preserve"> to 350</w:t>
      </w:r>
      <w:r w:rsidR="00502501" w:rsidRPr="004635E5">
        <w:rPr>
          <w:rFonts w:eastAsiaTheme="minorEastAsia"/>
          <w:sz w:val="22"/>
          <w:szCs w:val="22"/>
          <w:lang w:val="en-GB" w:eastAsia="ko-KR"/>
        </w:rPr>
        <w:t>%</w:t>
      </w:r>
      <w:r w:rsidRPr="004635E5">
        <w:rPr>
          <w:rFonts w:eastAsiaTheme="minorEastAsia"/>
          <w:sz w:val="22"/>
          <w:szCs w:val="22"/>
          <w:lang w:val="en-GB" w:eastAsia="ko-KR"/>
        </w:rPr>
        <w:t xml:space="preserve"> for sea turtles, 40</w:t>
      </w:r>
      <w:r w:rsidR="00502501" w:rsidRPr="004635E5">
        <w:rPr>
          <w:rFonts w:eastAsiaTheme="minorEastAsia"/>
          <w:sz w:val="22"/>
          <w:szCs w:val="22"/>
          <w:lang w:val="en-GB" w:eastAsia="ko-KR"/>
        </w:rPr>
        <w:t>%</w:t>
      </w:r>
      <w:r w:rsidRPr="004635E5">
        <w:rPr>
          <w:rFonts w:eastAsiaTheme="minorEastAsia"/>
          <w:sz w:val="22"/>
          <w:szCs w:val="22"/>
          <w:lang w:val="en-GB" w:eastAsia="ko-KR"/>
        </w:rPr>
        <w:t xml:space="preserve"> for marine mammals, 7</w:t>
      </w:r>
      <w:r w:rsidR="00502501" w:rsidRPr="004635E5">
        <w:rPr>
          <w:rFonts w:eastAsiaTheme="minorEastAsia"/>
          <w:sz w:val="22"/>
          <w:szCs w:val="22"/>
          <w:lang w:val="en-GB" w:eastAsia="ko-KR"/>
        </w:rPr>
        <w:t>%</w:t>
      </w:r>
      <w:r w:rsidRPr="004635E5">
        <w:rPr>
          <w:rFonts w:eastAsiaTheme="minorEastAsia"/>
          <w:sz w:val="22"/>
          <w:szCs w:val="22"/>
          <w:lang w:val="en-GB" w:eastAsia="ko-KR"/>
        </w:rPr>
        <w:t xml:space="preserve"> to 90</w:t>
      </w:r>
      <w:r w:rsidR="00502501" w:rsidRPr="004635E5">
        <w:rPr>
          <w:rFonts w:eastAsiaTheme="minorEastAsia"/>
          <w:sz w:val="22"/>
          <w:szCs w:val="22"/>
          <w:lang w:val="en-GB" w:eastAsia="ko-KR"/>
        </w:rPr>
        <w:t>%</w:t>
      </w:r>
      <w:r w:rsidRPr="004635E5">
        <w:rPr>
          <w:rFonts w:eastAsiaTheme="minorEastAsia"/>
          <w:sz w:val="22"/>
          <w:szCs w:val="22"/>
          <w:lang w:val="en-GB" w:eastAsia="ko-KR"/>
        </w:rPr>
        <w:t xml:space="preserve"> for key shark species, 9</w:t>
      </w:r>
      <w:r w:rsidR="00502501" w:rsidRPr="004635E5">
        <w:rPr>
          <w:rFonts w:eastAsiaTheme="minorEastAsia"/>
          <w:sz w:val="22"/>
          <w:szCs w:val="22"/>
          <w:lang w:val="en-GB" w:eastAsia="ko-KR"/>
        </w:rPr>
        <w:t>%</w:t>
      </w:r>
      <w:r w:rsidRPr="004635E5">
        <w:rPr>
          <w:rFonts w:eastAsiaTheme="minorEastAsia"/>
          <w:sz w:val="22"/>
          <w:szCs w:val="22"/>
          <w:lang w:val="en-GB" w:eastAsia="ko-KR"/>
        </w:rPr>
        <w:t xml:space="preserve"> to 65</w:t>
      </w:r>
      <w:r w:rsidR="00502501" w:rsidRPr="004635E5">
        <w:rPr>
          <w:rFonts w:eastAsiaTheme="minorEastAsia"/>
          <w:sz w:val="22"/>
          <w:szCs w:val="22"/>
          <w:lang w:val="en-GB" w:eastAsia="ko-KR"/>
        </w:rPr>
        <w:t>%</w:t>
      </w:r>
      <w:r w:rsidRPr="004635E5">
        <w:rPr>
          <w:rFonts w:eastAsiaTheme="minorEastAsia"/>
          <w:sz w:val="22"/>
          <w:szCs w:val="22"/>
          <w:lang w:val="en-GB" w:eastAsia="ko-KR"/>
        </w:rPr>
        <w:t xml:space="preserve"> for billfish and 7</w:t>
      </w:r>
      <w:r w:rsidR="00502501" w:rsidRPr="004635E5">
        <w:rPr>
          <w:rFonts w:eastAsiaTheme="minorEastAsia"/>
          <w:sz w:val="22"/>
          <w:szCs w:val="22"/>
          <w:lang w:val="en-GB" w:eastAsia="ko-KR"/>
        </w:rPr>
        <w:t>%</w:t>
      </w:r>
      <w:r w:rsidRPr="004635E5">
        <w:rPr>
          <w:rFonts w:eastAsiaTheme="minorEastAsia"/>
          <w:sz w:val="22"/>
          <w:szCs w:val="22"/>
          <w:lang w:val="en-GB" w:eastAsia="ko-KR"/>
        </w:rPr>
        <w:t xml:space="preserve"> to 66</w:t>
      </w:r>
      <w:r w:rsidR="00502501" w:rsidRPr="004635E5">
        <w:rPr>
          <w:rFonts w:eastAsiaTheme="minorEastAsia"/>
          <w:sz w:val="22"/>
          <w:szCs w:val="22"/>
          <w:lang w:val="en-GB" w:eastAsia="ko-KR"/>
        </w:rPr>
        <w:t>%</w:t>
      </w:r>
      <w:r w:rsidRPr="004635E5">
        <w:rPr>
          <w:rFonts w:eastAsiaTheme="minorEastAsia"/>
          <w:sz w:val="22"/>
          <w:szCs w:val="22"/>
          <w:lang w:val="en-GB" w:eastAsia="ko-KR"/>
        </w:rPr>
        <w:t xml:space="preserve"> for finfish</w:t>
      </w:r>
      <w:r w:rsidR="00A16680" w:rsidRPr="004635E5">
        <w:rPr>
          <w:rFonts w:eastAsiaTheme="minorEastAsia"/>
          <w:sz w:val="22"/>
          <w:szCs w:val="22"/>
          <w:lang w:val="en-GB" w:eastAsia="ko-KR"/>
        </w:rPr>
        <w:t xml:space="preserve">. </w:t>
      </w:r>
      <w:r w:rsidRPr="004635E5">
        <w:rPr>
          <w:rFonts w:eastAsiaTheme="minorEastAsia"/>
          <w:sz w:val="22"/>
          <w:szCs w:val="22"/>
          <w:lang w:val="en-GB" w:eastAsia="ko-KR"/>
        </w:rPr>
        <w:t>Estimates of total catches were presented for the WCPFC-CA as a whole, and disaggregated by region (south of 10°S, 10°S to 10°N, and north of 10°N) and deep and shallow set fisheries (&gt; 10 HBF and ≤ 10 HBF respectively)</w:t>
      </w:r>
      <w:r w:rsidR="00A16680" w:rsidRPr="004635E5">
        <w:rPr>
          <w:rFonts w:eastAsiaTheme="minorEastAsia"/>
          <w:sz w:val="22"/>
          <w:szCs w:val="22"/>
          <w:lang w:val="en-GB" w:eastAsia="ko-KR"/>
        </w:rPr>
        <w:t xml:space="preserve">. </w:t>
      </w:r>
      <w:r w:rsidRPr="004635E5">
        <w:rPr>
          <w:rFonts w:eastAsiaTheme="minorEastAsia"/>
          <w:sz w:val="22"/>
          <w:szCs w:val="22"/>
          <w:lang w:val="en-GB" w:eastAsia="ko-KR"/>
        </w:rPr>
        <w:t>Catch estimates for 2017 were based on observer data available in SPC’s master database on 10 July 2018</w:t>
      </w:r>
      <w:r w:rsidR="005F17D1" w:rsidRPr="004635E5">
        <w:rPr>
          <w:rFonts w:eastAsiaTheme="minorEastAsia"/>
          <w:sz w:val="22"/>
          <w:szCs w:val="22"/>
          <w:lang w:val="en-GB" w:eastAsia="ko-KR"/>
        </w:rPr>
        <w:t xml:space="preserve"> (some </w:t>
      </w:r>
      <w:r w:rsidRPr="004635E5">
        <w:rPr>
          <w:rFonts w:eastAsiaTheme="minorEastAsia"/>
          <w:sz w:val="22"/>
          <w:szCs w:val="22"/>
          <w:lang w:val="en-GB" w:eastAsia="ko-KR"/>
        </w:rPr>
        <w:t>2017 trip</w:t>
      </w:r>
      <w:r w:rsidR="005F17D1" w:rsidRPr="004635E5">
        <w:rPr>
          <w:rFonts w:eastAsiaTheme="minorEastAsia"/>
          <w:sz w:val="22"/>
          <w:szCs w:val="22"/>
          <w:lang w:val="en-GB" w:eastAsia="ko-KR"/>
        </w:rPr>
        <w:t xml:space="preserve"> data</w:t>
      </w:r>
      <w:r w:rsidRPr="004635E5">
        <w:rPr>
          <w:rFonts w:eastAsiaTheme="minorEastAsia"/>
          <w:sz w:val="22"/>
          <w:szCs w:val="22"/>
          <w:lang w:val="en-GB" w:eastAsia="ko-KR"/>
        </w:rPr>
        <w:t xml:space="preserve"> </w:t>
      </w:r>
      <w:r w:rsidR="005F17D1" w:rsidRPr="004635E5">
        <w:rPr>
          <w:rFonts w:eastAsiaTheme="minorEastAsia"/>
          <w:sz w:val="22"/>
          <w:szCs w:val="22"/>
          <w:lang w:val="en-GB" w:eastAsia="ko-KR"/>
        </w:rPr>
        <w:t>had not been uploaded)</w:t>
      </w:r>
      <w:r w:rsidRPr="004635E5">
        <w:rPr>
          <w:rFonts w:eastAsiaTheme="minorEastAsia"/>
          <w:sz w:val="22"/>
          <w:szCs w:val="22"/>
          <w:lang w:val="en-GB" w:eastAsia="ko-KR"/>
        </w:rPr>
        <w:t>.</w:t>
      </w:r>
      <w:r w:rsidR="005F17D1" w:rsidRPr="004635E5">
        <w:rPr>
          <w:rFonts w:eastAsiaTheme="minorEastAsia"/>
          <w:sz w:val="22"/>
          <w:szCs w:val="22"/>
          <w:lang w:val="en-GB" w:eastAsia="ko-KR"/>
        </w:rPr>
        <w:t xml:space="preserve"> </w:t>
      </w:r>
      <w:r w:rsidRPr="004635E5">
        <w:rPr>
          <w:rFonts w:eastAsiaTheme="minorEastAsia"/>
          <w:sz w:val="22"/>
          <w:szCs w:val="22"/>
          <w:lang w:val="en-GB" w:eastAsia="ko-KR"/>
        </w:rPr>
        <w:t xml:space="preserve">Region-wide estimates north of 10°N are unlikely to be robust given </w:t>
      </w:r>
      <w:r w:rsidR="00B72FC7" w:rsidRPr="004635E5">
        <w:rPr>
          <w:rFonts w:eastAsiaTheme="minorEastAsia"/>
          <w:sz w:val="22"/>
          <w:szCs w:val="22"/>
          <w:lang w:val="en-GB" w:eastAsia="ko-KR"/>
        </w:rPr>
        <w:t xml:space="preserve">the </w:t>
      </w:r>
      <w:r w:rsidRPr="004635E5">
        <w:rPr>
          <w:rFonts w:eastAsiaTheme="minorEastAsia"/>
          <w:sz w:val="22"/>
          <w:szCs w:val="22"/>
          <w:lang w:val="en-GB" w:eastAsia="ko-KR"/>
        </w:rPr>
        <w:t>large areas in the region with limited observer data</w:t>
      </w:r>
      <w:r w:rsidR="00A16680" w:rsidRPr="004635E5">
        <w:rPr>
          <w:rFonts w:eastAsiaTheme="minorEastAsia"/>
          <w:sz w:val="22"/>
          <w:szCs w:val="22"/>
          <w:lang w:val="en-GB" w:eastAsia="ko-KR"/>
        </w:rPr>
        <w:t xml:space="preserve">. </w:t>
      </w:r>
      <w:r w:rsidRPr="004635E5">
        <w:rPr>
          <w:rFonts w:eastAsiaTheme="minorEastAsia"/>
          <w:sz w:val="22"/>
          <w:szCs w:val="22"/>
          <w:lang w:val="en-GB" w:eastAsia="ko-KR"/>
        </w:rPr>
        <w:t>Catch estimates were compared to other available estimates for a selection of species, including silky and oceanic whitetip shark.</w:t>
      </w:r>
    </w:p>
    <w:p w14:paraId="6D325927" w14:textId="77777777" w:rsidR="005F17D1" w:rsidRPr="004635E5" w:rsidRDefault="005F17D1" w:rsidP="006633A8">
      <w:pPr>
        <w:autoSpaceDE w:val="0"/>
        <w:autoSpaceDN w:val="0"/>
        <w:adjustRightInd w:val="0"/>
        <w:snapToGrid w:val="0"/>
        <w:jc w:val="both"/>
        <w:rPr>
          <w:rFonts w:eastAsiaTheme="minorEastAsia"/>
          <w:sz w:val="22"/>
          <w:szCs w:val="22"/>
          <w:lang w:val="en-GB" w:eastAsia="ko-KR"/>
        </w:rPr>
      </w:pPr>
    </w:p>
    <w:p w14:paraId="3F930C7A" w14:textId="77777777" w:rsidR="0008481C" w:rsidRPr="004635E5" w:rsidRDefault="00502501" w:rsidP="00580EA4">
      <w:pPr>
        <w:numPr>
          <w:ilvl w:val="0"/>
          <w:numId w:val="18"/>
        </w:numPr>
        <w:autoSpaceDE w:val="0"/>
        <w:autoSpaceDN w:val="0"/>
        <w:adjustRightInd w:val="0"/>
        <w:snapToGrid w:val="0"/>
        <w:ind w:left="0" w:firstLine="0"/>
        <w:jc w:val="both"/>
        <w:rPr>
          <w:rFonts w:eastAsiaTheme="minorEastAsia"/>
          <w:sz w:val="22"/>
          <w:szCs w:val="22"/>
          <w:lang w:val="en-GB" w:eastAsia="ko-KR"/>
        </w:rPr>
      </w:pPr>
      <w:r w:rsidRPr="004635E5">
        <w:rPr>
          <w:rFonts w:eastAsiaTheme="minorEastAsia"/>
          <w:sz w:val="22"/>
          <w:szCs w:val="22"/>
          <w:lang w:val="en-GB" w:eastAsia="ko-KR"/>
        </w:rPr>
        <w:t xml:space="preserve"> </w:t>
      </w:r>
      <w:r w:rsidR="0008481C" w:rsidRPr="004635E5">
        <w:rPr>
          <w:rFonts w:eastAsiaTheme="minorEastAsia"/>
          <w:sz w:val="22"/>
          <w:szCs w:val="22"/>
          <w:lang w:val="en-GB" w:eastAsia="ko-KR"/>
        </w:rPr>
        <w:t>Recommendations were presented to SC14 related to bycatch in both longline and purse seine fisheries, including</w:t>
      </w:r>
      <w:r w:rsidR="007447CE" w:rsidRPr="004635E5">
        <w:rPr>
          <w:rFonts w:eastAsiaTheme="minorEastAsia"/>
          <w:sz w:val="22"/>
          <w:szCs w:val="22"/>
          <w:lang w:val="en-GB" w:eastAsia="ko-KR"/>
        </w:rPr>
        <w:t xml:space="preserve"> that the SC</w:t>
      </w:r>
      <w:r w:rsidR="0008481C" w:rsidRPr="004635E5">
        <w:rPr>
          <w:rFonts w:eastAsiaTheme="minorEastAsia"/>
          <w:sz w:val="22"/>
          <w:szCs w:val="22"/>
          <w:lang w:val="en-GB" w:eastAsia="ko-KR"/>
        </w:rPr>
        <w:t>:</w:t>
      </w:r>
    </w:p>
    <w:p w14:paraId="07527FF6" w14:textId="77777777" w:rsidR="0008481C" w:rsidRPr="004635E5" w:rsidRDefault="0008481C" w:rsidP="00580EA4">
      <w:pPr>
        <w:pStyle w:val="ListParagraph"/>
        <w:numPr>
          <w:ilvl w:val="0"/>
          <w:numId w:val="25"/>
        </w:numPr>
        <w:adjustRightInd w:val="0"/>
        <w:snapToGrid w:val="0"/>
        <w:rPr>
          <w:rFonts w:eastAsiaTheme="minorEastAsia"/>
          <w:sz w:val="22"/>
          <w:szCs w:val="22"/>
          <w:lang w:val="en-GB" w:eastAsia="ko-KR"/>
        </w:rPr>
      </w:pPr>
      <w:r w:rsidRPr="004635E5">
        <w:rPr>
          <w:rFonts w:eastAsiaTheme="minorEastAsia"/>
          <w:sz w:val="22"/>
          <w:szCs w:val="22"/>
          <w:lang w:val="en-GB" w:eastAsia="ko-KR"/>
        </w:rPr>
        <w:t>note the difficulties in robust estimation of longline catches from observer data, given the very low levels of observer coverage, and for some years (2003-2008) the coverage of L_BEST_HBF data</w:t>
      </w:r>
      <w:r w:rsidR="007447CE" w:rsidRPr="004635E5">
        <w:rPr>
          <w:rFonts w:eastAsiaTheme="minorEastAsia"/>
          <w:sz w:val="22"/>
          <w:szCs w:val="22"/>
          <w:lang w:val="en-GB" w:eastAsia="ko-KR"/>
        </w:rPr>
        <w:t>;</w:t>
      </w:r>
    </w:p>
    <w:p w14:paraId="0303B977" w14:textId="77777777" w:rsidR="0008481C" w:rsidRPr="004635E5" w:rsidRDefault="0008481C" w:rsidP="00580EA4">
      <w:pPr>
        <w:pStyle w:val="ListParagraph"/>
        <w:numPr>
          <w:ilvl w:val="0"/>
          <w:numId w:val="25"/>
        </w:numPr>
        <w:adjustRightInd w:val="0"/>
        <w:snapToGrid w:val="0"/>
        <w:rPr>
          <w:rFonts w:eastAsiaTheme="minorEastAsia"/>
          <w:sz w:val="22"/>
          <w:szCs w:val="22"/>
          <w:lang w:val="en-GB" w:eastAsia="ko-KR"/>
        </w:rPr>
      </w:pPr>
      <w:r w:rsidRPr="004635E5">
        <w:rPr>
          <w:rFonts w:eastAsiaTheme="minorEastAsia"/>
          <w:sz w:val="22"/>
          <w:szCs w:val="22"/>
          <w:lang w:val="en-GB" w:eastAsia="ko-KR"/>
        </w:rPr>
        <w:t>note that longline observer coverage levels in the region have generally been less than 5%, though acknowledging that observer coverage can be expressed in a variety of units (e.g. trips with observers on board, hooks with observer onboard, hooks observed)</w:t>
      </w:r>
      <w:r w:rsidR="007447CE" w:rsidRPr="004635E5">
        <w:rPr>
          <w:rFonts w:eastAsiaTheme="minorEastAsia"/>
          <w:sz w:val="22"/>
          <w:szCs w:val="22"/>
          <w:lang w:val="en-GB" w:eastAsia="ko-KR"/>
        </w:rPr>
        <w:t>;</w:t>
      </w:r>
    </w:p>
    <w:p w14:paraId="40EECD71" w14:textId="77777777" w:rsidR="0008481C" w:rsidRPr="004635E5" w:rsidRDefault="0008481C" w:rsidP="00580EA4">
      <w:pPr>
        <w:pStyle w:val="ListParagraph"/>
        <w:numPr>
          <w:ilvl w:val="0"/>
          <w:numId w:val="25"/>
        </w:numPr>
        <w:adjustRightInd w:val="0"/>
        <w:snapToGrid w:val="0"/>
        <w:rPr>
          <w:rFonts w:eastAsiaTheme="minorEastAsia"/>
          <w:sz w:val="22"/>
          <w:szCs w:val="22"/>
          <w:lang w:val="en-GB" w:eastAsia="ko-KR"/>
        </w:rPr>
      </w:pPr>
      <w:r w:rsidRPr="004635E5">
        <w:rPr>
          <w:rFonts w:eastAsiaTheme="minorEastAsia"/>
          <w:sz w:val="22"/>
          <w:szCs w:val="22"/>
          <w:lang w:val="en-GB" w:eastAsia="ko-KR"/>
        </w:rPr>
        <w:t>note the regions of the WCPFC-CA with substantial longline effort and low levels of available observer coverage, and the implications this has on bycatch estimation at a regional level</w:t>
      </w:r>
      <w:r w:rsidR="007447CE" w:rsidRPr="004635E5">
        <w:rPr>
          <w:rFonts w:eastAsiaTheme="minorEastAsia"/>
          <w:sz w:val="22"/>
          <w:szCs w:val="22"/>
          <w:lang w:val="en-GB" w:eastAsia="ko-KR"/>
        </w:rPr>
        <w:t>;</w:t>
      </w:r>
    </w:p>
    <w:p w14:paraId="244C3F46" w14:textId="77777777" w:rsidR="0008481C" w:rsidRPr="004635E5" w:rsidRDefault="0008481C" w:rsidP="00580EA4">
      <w:pPr>
        <w:pStyle w:val="ListParagraph"/>
        <w:numPr>
          <w:ilvl w:val="0"/>
          <w:numId w:val="25"/>
        </w:numPr>
        <w:adjustRightInd w:val="0"/>
        <w:snapToGrid w:val="0"/>
        <w:rPr>
          <w:rFonts w:eastAsiaTheme="minorEastAsia"/>
          <w:sz w:val="22"/>
          <w:szCs w:val="22"/>
          <w:lang w:val="en-GB" w:eastAsia="ko-KR"/>
        </w:rPr>
      </w:pPr>
      <w:r w:rsidRPr="004635E5">
        <w:rPr>
          <w:rFonts w:eastAsiaTheme="minorEastAsia"/>
          <w:sz w:val="22"/>
          <w:szCs w:val="22"/>
          <w:lang w:val="en-GB" w:eastAsia="ko-KR"/>
        </w:rPr>
        <w:t>consider whether historic L_BEST_HBF aggregate data can be derived by members (where necessary), to support future analysis of longline observer data</w:t>
      </w:r>
      <w:r w:rsidR="007447CE" w:rsidRPr="004635E5">
        <w:rPr>
          <w:rFonts w:eastAsiaTheme="minorEastAsia"/>
          <w:sz w:val="22"/>
          <w:szCs w:val="22"/>
          <w:lang w:val="en-GB" w:eastAsia="ko-KR"/>
        </w:rPr>
        <w:t>;</w:t>
      </w:r>
    </w:p>
    <w:p w14:paraId="1C241508" w14:textId="77777777" w:rsidR="0008481C" w:rsidRPr="004635E5" w:rsidRDefault="0008481C" w:rsidP="00580EA4">
      <w:pPr>
        <w:pStyle w:val="ListParagraph"/>
        <w:numPr>
          <w:ilvl w:val="0"/>
          <w:numId w:val="25"/>
        </w:numPr>
        <w:adjustRightInd w:val="0"/>
        <w:snapToGrid w:val="0"/>
        <w:rPr>
          <w:rFonts w:eastAsiaTheme="minorEastAsia"/>
          <w:sz w:val="22"/>
          <w:szCs w:val="22"/>
          <w:lang w:val="en-GB" w:eastAsia="ko-KR"/>
        </w:rPr>
      </w:pPr>
      <w:r w:rsidRPr="004635E5">
        <w:rPr>
          <w:rFonts w:eastAsiaTheme="minorEastAsia"/>
          <w:sz w:val="22"/>
          <w:szCs w:val="22"/>
          <w:lang w:val="en-GB" w:eastAsia="ko-KR"/>
        </w:rPr>
        <w:t>decide on whether the preliminary estimates of longline bycatch are suitable for public release in the context of the associated uncertainties</w:t>
      </w:r>
      <w:r w:rsidR="007447CE" w:rsidRPr="004635E5">
        <w:rPr>
          <w:rFonts w:eastAsiaTheme="minorEastAsia"/>
          <w:sz w:val="22"/>
          <w:szCs w:val="22"/>
          <w:lang w:val="en-GB" w:eastAsia="ko-KR"/>
        </w:rPr>
        <w:t>;</w:t>
      </w:r>
    </w:p>
    <w:p w14:paraId="2F479B04" w14:textId="77777777" w:rsidR="00B72FC7" w:rsidRPr="004635E5" w:rsidRDefault="0008481C" w:rsidP="00580EA4">
      <w:pPr>
        <w:pStyle w:val="ListParagraph"/>
        <w:numPr>
          <w:ilvl w:val="0"/>
          <w:numId w:val="25"/>
        </w:numPr>
        <w:adjustRightInd w:val="0"/>
        <w:snapToGrid w:val="0"/>
        <w:jc w:val="both"/>
        <w:rPr>
          <w:rFonts w:eastAsiaTheme="minorEastAsia"/>
          <w:sz w:val="22"/>
          <w:szCs w:val="22"/>
          <w:lang w:val="en-GB" w:eastAsia="ko-KR"/>
        </w:rPr>
      </w:pPr>
      <w:r w:rsidRPr="004635E5">
        <w:rPr>
          <w:rFonts w:eastAsiaTheme="minorEastAsia"/>
          <w:sz w:val="22"/>
          <w:szCs w:val="22"/>
          <w:lang w:val="en-GB" w:eastAsia="ko-KR"/>
        </w:rPr>
        <w:t>consider whether estimates of purse seine bycatch should be made publicly available in electronic format to facilitate extraction and use of data by CCMs, and potentially other stakeholders</w:t>
      </w:r>
      <w:r w:rsidR="007447CE" w:rsidRPr="004635E5">
        <w:rPr>
          <w:rFonts w:eastAsiaTheme="minorEastAsia"/>
          <w:sz w:val="22"/>
          <w:szCs w:val="22"/>
          <w:lang w:val="en-GB" w:eastAsia="ko-KR"/>
        </w:rPr>
        <w:t>;</w:t>
      </w:r>
      <w:r w:rsidRPr="004635E5">
        <w:rPr>
          <w:rFonts w:eastAsiaTheme="minorEastAsia"/>
          <w:sz w:val="22"/>
          <w:szCs w:val="22"/>
          <w:lang w:val="en-GB" w:eastAsia="ko-KR"/>
        </w:rPr>
        <w:t xml:space="preserve"> and</w:t>
      </w:r>
    </w:p>
    <w:p w14:paraId="6912AA63" w14:textId="77777777" w:rsidR="0008481C" w:rsidRPr="004635E5" w:rsidRDefault="0008481C" w:rsidP="00580EA4">
      <w:pPr>
        <w:pStyle w:val="ListParagraph"/>
        <w:numPr>
          <w:ilvl w:val="0"/>
          <w:numId w:val="25"/>
        </w:numPr>
        <w:adjustRightInd w:val="0"/>
        <w:snapToGrid w:val="0"/>
        <w:jc w:val="both"/>
        <w:rPr>
          <w:rFonts w:eastAsiaTheme="minorEastAsia"/>
          <w:sz w:val="22"/>
          <w:szCs w:val="22"/>
          <w:lang w:val="en-GB" w:eastAsia="ko-KR"/>
        </w:rPr>
      </w:pPr>
      <w:r w:rsidRPr="004635E5">
        <w:rPr>
          <w:rFonts w:eastAsiaTheme="minorEastAsia"/>
          <w:sz w:val="22"/>
          <w:szCs w:val="22"/>
          <w:lang w:val="en-GB" w:eastAsia="ko-KR"/>
        </w:rPr>
        <w:t>consider the utility of the longline and purse seine bycatch estimates presented, and whether annual and/or periodic future updates would be helpful</w:t>
      </w:r>
      <w:r w:rsidR="007447CE" w:rsidRPr="004635E5">
        <w:rPr>
          <w:rFonts w:eastAsiaTheme="minorEastAsia"/>
          <w:sz w:val="22"/>
          <w:szCs w:val="22"/>
          <w:lang w:val="en-GB" w:eastAsia="ko-KR"/>
        </w:rPr>
        <w:t>.</w:t>
      </w:r>
    </w:p>
    <w:p w14:paraId="0C1F922D" w14:textId="77777777" w:rsidR="005F17D1" w:rsidRPr="004635E5" w:rsidRDefault="005F17D1" w:rsidP="006633A8">
      <w:pPr>
        <w:adjustRightInd w:val="0"/>
        <w:snapToGrid w:val="0"/>
        <w:rPr>
          <w:rFonts w:eastAsiaTheme="minorEastAsia"/>
          <w:sz w:val="22"/>
          <w:szCs w:val="22"/>
          <w:lang w:val="en-GB" w:eastAsia="ko-KR"/>
        </w:rPr>
      </w:pPr>
    </w:p>
    <w:p w14:paraId="323785A4" w14:textId="77777777" w:rsidR="00E55F46" w:rsidRPr="004635E5" w:rsidRDefault="00E55F46" w:rsidP="006633A8">
      <w:pPr>
        <w:pStyle w:val="ListParagraph"/>
        <w:adjustRightInd w:val="0"/>
        <w:snapToGrid w:val="0"/>
        <w:ind w:left="0"/>
        <w:jc w:val="both"/>
        <w:rPr>
          <w:rFonts w:eastAsiaTheme="minorEastAsia"/>
          <w:b/>
          <w:bCs/>
          <w:sz w:val="22"/>
          <w:szCs w:val="22"/>
          <w:lang w:eastAsia="ko-KR"/>
        </w:rPr>
      </w:pPr>
      <w:r w:rsidRPr="004635E5">
        <w:rPr>
          <w:rFonts w:eastAsiaTheme="minorEastAsia"/>
          <w:b/>
          <w:bCs/>
          <w:sz w:val="22"/>
          <w:szCs w:val="22"/>
          <w:lang w:eastAsia="ko-KR"/>
        </w:rPr>
        <w:t>Discussion</w:t>
      </w:r>
    </w:p>
    <w:p w14:paraId="170EAE63" w14:textId="77777777" w:rsidR="008F0F29" w:rsidRPr="004635E5" w:rsidRDefault="008F0F29" w:rsidP="006633A8">
      <w:pPr>
        <w:pStyle w:val="ListParagraph"/>
        <w:adjustRightInd w:val="0"/>
        <w:snapToGrid w:val="0"/>
        <w:ind w:left="0"/>
        <w:jc w:val="both"/>
        <w:rPr>
          <w:rFonts w:eastAsiaTheme="minorEastAsia"/>
          <w:b/>
          <w:bCs/>
          <w:sz w:val="22"/>
          <w:szCs w:val="22"/>
          <w:lang w:eastAsia="ko-KR"/>
        </w:rPr>
      </w:pPr>
    </w:p>
    <w:p w14:paraId="2944BC38" w14:textId="77777777" w:rsidR="000F0A8E" w:rsidRPr="004635E5" w:rsidRDefault="00E55F46"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Japan</w:t>
      </w:r>
      <w:r w:rsidR="00B70283" w:rsidRPr="004635E5">
        <w:rPr>
          <w:rFonts w:eastAsiaTheme="minorEastAsia"/>
          <w:bCs/>
          <w:sz w:val="22"/>
          <w:szCs w:val="22"/>
          <w:lang w:eastAsia="ko-KR"/>
        </w:rPr>
        <w:t xml:space="preserve"> </w:t>
      </w:r>
      <w:r w:rsidR="008A7912" w:rsidRPr="004635E5">
        <w:rPr>
          <w:rFonts w:eastAsiaTheme="minorEastAsia"/>
          <w:bCs/>
          <w:sz w:val="22"/>
          <w:szCs w:val="22"/>
          <w:lang w:eastAsia="ko-KR"/>
        </w:rPr>
        <w:t>asked for clarification regarding the goal</w:t>
      </w:r>
      <w:r w:rsidR="00E14204" w:rsidRPr="004635E5">
        <w:rPr>
          <w:rFonts w:eastAsiaTheme="minorEastAsia"/>
          <w:bCs/>
          <w:sz w:val="22"/>
          <w:szCs w:val="22"/>
          <w:lang w:eastAsia="ko-KR"/>
        </w:rPr>
        <w:t xml:space="preserve"> of using observer data</w:t>
      </w:r>
      <w:r w:rsidR="008A7912" w:rsidRPr="004635E5">
        <w:rPr>
          <w:rFonts w:eastAsiaTheme="minorEastAsia"/>
          <w:bCs/>
          <w:sz w:val="22"/>
          <w:szCs w:val="22"/>
          <w:lang w:eastAsia="ko-KR"/>
        </w:rPr>
        <w:t xml:space="preserve">, given that </w:t>
      </w:r>
      <w:r w:rsidR="00A7506E" w:rsidRPr="004635E5">
        <w:rPr>
          <w:rFonts w:eastAsiaTheme="minorEastAsia"/>
          <w:bCs/>
          <w:sz w:val="22"/>
          <w:szCs w:val="22"/>
          <w:lang w:eastAsia="ko-KR"/>
        </w:rPr>
        <w:t>seabirds</w:t>
      </w:r>
      <w:r w:rsidR="008A7912" w:rsidRPr="004635E5">
        <w:rPr>
          <w:rFonts w:eastAsiaTheme="minorEastAsia"/>
          <w:bCs/>
          <w:sz w:val="22"/>
          <w:szCs w:val="22"/>
          <w:lang w:eastAsia="ko-KR"/>
        </w:rPr>
        <w:t xml:space="preserve"> </w:t>
      </w:r>
      <w:r w:rsidR="00A7506E" w:rsidRPr="004635E5">
        <w:rPr>
          <w:rFonts w:eastAsiaTheme="minorEastAsia"/>
          <w:bCs/>
          <w:sz w:val="22"/>
          <w:szCs w:val="22"/>
          <w:lang w:eastAsia="ko-KR"/>
        </w:rPr>
        <w:t xml:space="preserve">are already covered </w:t>
      </w:r>
      <w:r w:rsidR="008A7912" w:rsidRPr="004635E5">
        <w:rPr>
          <w:rFonts w:eastAsiaTheme="minorEastAsia"/>
          <w:bCs/>
          <w:sz w:val="22"/>
          <w:szCs w:val="22"/>
          <w:lang w:eastAsia="ko-KR"/>
        </w:rPr>
        <w:t xml:space="preserve">by Project </w:t>
      </w:r>
      <w:r w:rsidR="00A7506E" w:rsidRPr="004635E5">
        <w:rPr>
          <w:rFonts w:eastAsiaTheme="minorEastAsia"/>
          <w:bCs/>
          <w:sz w:val="22"/>
          <w:szCs w:val="22"/>
          <w:lang w:eastAsia="ko-KR"/>
        </w:rPr>
        <w:t xml:space="preserve">68, </w:t>
      </w:r>
      <w:r w:rsidR="00E14204" w:rsidRPr="004635E5">
        <w:rPr>
          <w:rFonts w:eastAsiaTheme="minorEastAsia"/>
          <w:bCs/>
          <w:sz w:val="22"/>
          <w:szCs w:val="22"/>
          <w:lang w:eastAsia="ko-KR"/>
        </w:rPr>
        <w:t>while fin</w:t>
      </w:r>
      <w:r w:rsidR="00241EC6">
        <w:rPr>
          <w:rFonts w:eastAsiaTheme="minorEastAsia"/>
          <w:bCs/>
          <w:sz w:val="22"/>
          <w:szCs w:val="22"/>
          <w:lang w:eastAsia="ko-KR"/>
        </w:rPr>
        <w:t>f</w:t>
      </w:r>
      <w:r w:rsidR="00E14204" w:rsidRPr="004635E5">
        <w:rPr>
          <w:rFonts w:eastAsiaTheme="minorEastAsia"/>
          <w:bCs/>
          <w:sz w:val="22"/>
          <w:szCs w:val="22"/>
          <w:lang w:eastAsia="ko-KR"/>
        </w:rPr>
        <w:t>ish and b</w:t>
      </w:r>
      <w:r w:rsidR="00A7506E" w:rsidRPr="004635E5">
        <w:rPr>
          <w:rFonts w:eastAsiaTheme="minorEastAsia"/>
          <w:bCs/>
          <w:sz w:val="22"/>
          <w:szCs w:val="22"/>
          <w:lang w:eastAsia="ko-KR"/>
        </w:rPr>
        <w:t>illfish</w:t>
      </w:r>
      <w:r w:rsidR="00E14204" w:rsidRPr="004635E5">
        <w:rPr>
          <w:rFonts w:eastAsiaTheme="minorEastAsia"/>
          <w:bCs/>
          <w:sz w:val="22"/>
          <w:szCs w:val="22"/>
          <w:lang w:eastAsia="ko-KR"/>
        </w:rPr>
        <w:t xml:space="preserve"> figures are </w:t>
      </w:r>
      <w:r w:rsidR="00A7506E" w:rsidRPr="004635E5">
        <w:rPr>
          <w:rFonts w:eastAsiaTheme="minorEastAsia"/>
          <w:bCs/>
          <w:sz w:val="22"/>
          <w:szCs w:val="22"/>
          <w:lang w:eastAsia="ko-KR"/>
        </w:rPr>
        <w:t xml:space="preserve">known </w:t>
      </w:r>
      <w:r w:rsidR="007447CE" w:rsidRPr="004635E5">
        <w:rPr>
          <w:rFonts w:eastAsiaTheme="minorEastAsia"/>
          <w:bCs/>
          <w:sz w:val="22"/>
          <w:szCs w:val="22"/>
          <w:lang w:eastAsia="ko-KR"/>
        </w:rPr>
        <w:t>from logbook</w:t>
      </w:r>
      <w:r w:rsidR="000F0A8E" w:rsidRPr="004635E5">
        <w:rPr>
          <w:rFonts w:eastAsiaTheme="minorEastAsia"/>
          <w:bCs/>
          <w:sz w:val="22"/>
          <w:szCs w:val="22"/>
          <w:lang w:eastAsia="ko-KR"/>
        </w:rPr>
        <w:t xml:space="preserve"> data</w:t>
      </w:r>
      <w:r w:rsidR="00A7506E" w:rsidRPr="004635E5">
        <w:rPr>
          <w:rFonts w:eastAsiaTheme="minorEastAsia"/>
          <w:bCs/>
          <w:sz w:val="22"/>
          <w:szCs w:val="22"/>
          <w:lang w:eastAsia="ko-KR"/>
        </w:rPr>
        <w:t xml:space="preserve">. </w:t>
      </w:r>
      <w:r w:rsidR="005F17D1" w:rsidRPr="004635E5">
        <w:rPr>
          <w:rFonts w:eastAsiaTheme="minorEastAsia"/>
          <w:bCs/>
          <w:sz w:val="22"/>
          <w:szCs w:val="22"/>
          <w:lang w:eastAsia="ko-KR"/>
        </w:rPr>
        <w:t xml:space="preserve">They </w:t>
      </w:r>
      <w:r w:rsidR="00E14204" w:rsidRPr="004635E5">
        <w:rPr>
          <w:rFonts w:eastAsiaTheme="minorEastAsia"/>
          <w:bCs/>
          <w:sz w:val="22"/>
          <w:szCs w:val="22"/>
          <w:lang w:eastAsia="ko-KR"/>
        </w:rPr>
        <w:t xml:space="preserve">also inquired whether the performance of the model could be tested through comparison with data derived </w:t>
      </w:r>
      <w:r w:rsidR="007B41E1" w:rsidRPr="004635E5">
        <w:rPr>
          <w:rFonts w:eastAsiaTheme="minorEastAsia"/>
          <w:bCs/>
          <w:sz w:val="22"/>
          <w:szCs w:val="22"/>
          <w:lang w:eastAsia="ko-KR"/>
        </w:rPr>
        <w:t xml:space="preserve">from other sources. </w:t>
      </w:r>
      <w:r w:rsidR="00E14204" w:rsidRPr="004635E5">
        <w:rPr>
          <w:rFonts w:eastAsiaTheme="minorEastAsia"/>
          <w:bCs/>
          <w:sz w:val="22"/>
          <w:szCs w:val="22"/>
          <w:lang w:eastAsia="ko-KR"/>
        </w:rPr>
        <w:t xml:space="preserve">T. Peatman indicated this was the first attempt to </w:t>
      </w:r>
      <w:r w:rsidR="00A7506E" w:rsidRPr="004635E5">
        <w:rPr>
          <w:rFonts w:eastAsiaTheme="minorEastAsia"/>
          <w:bCs/>
          <w:sz w:val="22"/>
          <w:szCs w:val="22"/>
          <w:lang w:eastAsia="ko-KR"/>
        </w:rPr>
        <w:t>comp</w:t>
      </w:r>
      <w:r w:rsidR="00E14204" w:rsidRPr="004635E5">
        <w:rPr>
          <w:rFonts w:eastAsiaTheme="minorEastAsia"/>
          <w:bCs/>
          <w:sz w:val="22"/>
          <w:szCs w:val="22"/>
          <w:lang w:eastAsia="ko-KR"/>
        </w:rPr>
        <w:t xml:space="preserve">ile an </w:t>
      </w:r>
      <w:r w:rsidR="00A7506E" w:rsidRPr="004635E5">
        <w:rPr>
          <w:rFonts w:eastAsiaTheme="minorEastAsia"/>
          <w:bCs/>
          <w:sz w:val="22"/>
          <w:szCs w:val="22"/>
          <w:lang w:eastAsia="ko-KR"/>
        </w:rPr>
        <w:t>anal</w:t>
      </w:r>
      <w:r w:rsidR="00E14204" w:rsidRPr="004635E5">
        <w:rPr>
          <w:rFonts w:eastAsiaTheme="minorEastAsia"/>
          <w:bCs/>
          <w:sz w:val="22"/>
          <w:szCs w:val="22"/>
          <w:lang w:eastAsia="ko-KR"/>
        </w:rPr>
        <w:t>ysis</w:t>
      </w:r>
      <w:r w:rsidR="00A7506E" w:rsidRPr="004635E5">
        <w:rPr>
          <w:rFonts w:eastAsiaTheme="minorEastAsia"/>
          <w:bCs/>
          <w:sz w:val="22"/>
          <w:szCs w:val="22"/>
          <w:lang w:eastAsia="ko-KR"/>
        </w:rPr>
        <w:t xml:space="preserve"> of </w:t>
      </w:r>
      <w:r w:rsidR="004421B3" w:rsidRPr="004635E5">
        <w:rPr>
          <w:rFonts w:eastAsiaTheme="minorEastAsia"/>
          <w:bCs/>
          <w:sz w:val="22"/>
          <w:szCs w:val="22"/>
          <w:lang w:eastAsia="ko-KR"/>
        </w:rPr>
        <w:t>longline</w:t>
      </w:r>
      <w:r w:rsidR="00A7506E" w:rsidRPr="004635E5">
        <w:rPr>
          <w:rFonts w:eastAsiaTheme="minorEastAsia"/>
          <w:bCs/>
          <w:sz w:val="22"/>
          <w:szCs w:val="22"/>
          <w:lang w:eastAsia="ko-KR"/>
        </w:rPr>
        <w:t xml:space="preserve"> </w:t>
      </w:r>
      <w:r w:rsidR="00E14204" w:rsidRPr="004635E5">
        <w:rPr>
          <w:rFonts w:eastAsiaTheme="minorEastAsia"/>
          <w:bCs/>
          <w:sz w:val="22"/>
          <w:szCs w:val="22"/>
          <w:lang w:eastAsia="ko-KR"/>
        </w:rPr>
        <w:t xml:space="preserve">catch covering </w:t>
      </w:r>
      <w:r w:rsidR="00A7506E" w:rsidRPr="004635E5">
        <w:rPr>
          <w:rFonts w:eastAsiaTheme="minorEastAsia"/>
          <w:bCs/>
          <w:sz w:val="22"/>
          <w:szCs w:val="22"/>
          <w:lang w:eastAsia="ko-KR"/>
        </w:rPr>
        <w:t>al</w:t>
      </w:r>
      <w:r w:rsidR="00E14204" w:rsidRPr="004635E5">
        <w:rPr>
          <w:rFonts w:eastAsiaTheme="minorEastAsia"/>
          <w:bCs/>
          <w:sz w:val="22"/>
          <w:szCs w:val="22"/>
          <w:lang w:eastAsia="ko-KR"/>
        </w:rPr>
        <w:t>l</w:t>
      </w:r>
      <w:r w:rsidR="00A7506E" w:rsidRPr="004635E5">
        <w:rPr>
          <w:rFonts w:eastAsiaTheme="minorEastAsia"/>
          <w:bCs/>
          <w:sz w:val="22"/>
          <w:szCs w:val="22"/>
          <w:lang w:eastAsia="ko-KR"/>
        </w:rPr>
        <w:t xml:space="preserve"> species. </w:t>
      </w:r>
      <w:r w:rsidR="00E14204" w:rsidRPr="004635E5">
        <w:rPr>
          <w:rFonts w:eastAsiaTheme="minorEastAsia"/>
          <w:bCs/>
          <w:sz w:val="22"/>
          <w:szCs w:val="22"/>
          <w:lang w:eastAsia="ko-KR"/>
        </w:rPr>
        <w:t xml:space="preserve">He noted there were </w:t>
      </w:r>
      <w:r w:rsidR="00A7506E" w:rsidRPr="004635E5">
        <w:rPr>
          <w:rFonts w:eastAsiaTheme="minorEastAsia"/>
          <w:bCs/>
          <w:sz w:val="22"/>
          <w:szCs w:val="22"/>
          <w:lang w:eastAsia="ko-KR"/>
        </w:rPr>
        <w:t>alt</w:t>
      </w:r>
      <w:r w:rsidR="00E14204" w:rsidRPr="004635E5">
        <w:rPr>
          <w:rFonts w:eastAsiaTheme="minorEastAsia"/>
          <w:bCs/>
          <w:sz w:val="22"/>
          <w:szCs w:val="22"/>
          <w:lang w:eastAsia="ko-KR"/>
        </w:rPr>
        <w:t>ernate</w:t>
      </w:r>
      <w:r w:rsidR="00A7506E" w:rsidRPr="004635E5">
        <w:rPr>
          <w:rFonts w:eastAsiaTheme="minorEastAsia"/>
          <w:bCs/>
          <w:sz w:val="22"/>
          <w:szCs w:val="22"/>
          <w:lang w:eastAsia="ko-KR"/>
        </w:rPr>
        <w:t xml:space="preserve"> data sources that may be better for some species, but for others </w:t>
      </w:r>
      <w:r w:rsidR="00E14204" w:rsidRPr="004635E5">
        <w:rPr>
          <w:rFonts w:eastAsiaTheme="minorEastAsia"/>
          <w:bCs/>
          <w:sz w:val="22"/>
          <w:szCs w:val="22"/>
          <w:lang w:eastAsia="ko-KR"/>
        </w:rPr>
        <w:t xml:space="preserve">no estimates exist, or they are </w:t>
      </w:r>
      <w:r w:rsidR="00A7506E" w:rsidRPr="004635E5">
        <w:rPr>
          <w:rFonts w:eastAsiaTheme="minorEastAsia"/>
          <w:bCs/>
          <w:sz w:val="22"/>
          <w:szCs w:val="22"/>
          <w:lang w:eastAsia="ko-KR"/>
        </w:rPr>
        <w:t xml:space="preserve">old; these provide </w:t>
      </w:r>
      <w:r w:rsidR="000F0A8E" w:rsidRPr="004635E5">
        <w:rPr>
          <w:rFonts w:eastAsiaTheme="minorEastAsia"/>
          <w:bCs/>
          <w:sz w:val="22"/>
          <w:szCs w:val="22"/>
          <w:lang w:eastAsia="ko-KR"/>
        </w:rPr>
        <w:t xml:space="preserve">an </w:t>
      </w:r>
      <w:r w:rsidR="00A7506E" w:rsidRPr="004635E5">
        <w:rPr>
          <w:rFonts w:eastAsiaTheme="minorEastAsia"/>
          <w:bCs/>
          <w:sz w:val="22"/>
          <w:szCs w:val="22"/>
          <w:lang w:eastAsia="ko-KR"/>
        </w:rPr>
        <w:t>imp</w:t>
      </w:r>
      <w:r w:rsidR="000F0A8E" w:rsidRPr="004635E5">
        <w:rPr>
          <w:rFonts w:eastAsiaTheme="minorEastAsia"/>
          <w:bCs/>
          <w:sz w:val="22"/>
          <w:szCs w:val="22"/>
          <w:lang w:eastAsia="ko-KR"/>
        </w:rPr>
        <w:t>ortant</w:t>
      </w:r>
      <w:r w:rsidR="00A7506E" w:rsidRPr="004635E5">
        <w:rPr>
          <w:rFonts w:eastAsiaTheme="minorEastAsia"/>
          <w:bCs/>
          <w:sz w:val="22"/>
          <w:szCs w:val="22"/>
          <w:lang w:eastAsia="ko-KR"/>
        </w:rPr>
        <w:t xml:space="preserve"> update for those. </w:t>
      </w:r>
      <w:r w:rsidR="007B41E1" w:rsidRPr="004635E5">
        <w:rPr>
          <w:rFonts w:eastAsiaTheme="minorEastAsia"/>
          <w:bCs/>
          <w:sz w:val="22"/>
          <w:szCs w:val="22"/>
          <w:lang w:eastAsia="ko-KR"/>
        </w:rPr>
        <w:t>He noted that SPC had compared</w:t>
      </w:r>
      <w:r w:rsidR="00A7506E" w:rsidRPr="004635E5">
        <w:rPr>
          <w:rFonts w:eastAsiaTheme="minorEastAsia"/>
          <w:bCs/>
          <w:sz w:val="22"/>
          <w:szCs w:val="22"/>
          <w:lang w:eastAsia="ko-KR"/>
        </w:rPr>
        <w:t xml:space="preserve"> </w:t>
      </w:r>
      <w:r w:rsidR="007B41E1" w:rsidRPr="004635E5">
        <w:rPr>
          <w:rFonts w:eastAsiaTheme="minorEastAsia"/>
          <w:bCs/>
          <w:sz w:val="22"/>
          <w:szCs w:val="22"/>
          <w:lang w:eastAsia="ko-KR"/>
        </w:rPr>
        <w:t xml:space="preserve">catch </w:t>
      </w:r>
      <w:r w:rsidR="00A7506E" w:rsidRPr="004635E5">
        <w:rPr>
          <w:rFonts w:eastAsiaTheme="minorEastAsia"/>
          <w:bCs/>
          <w:sz w:val="22"/>
          <w:szCs w:val="22"/>
          <w:lang w:eastAsia="ko-KR"/>
        </w:rPr>
        <w:t xml:space="preserve">estimates </w:t>
      </w:r>
      <w:r w:rsidR="007B41E1" w:rsidRPr="004635E5">
        <w:rPr>
          <w:rFonts w:eastAsiaTheme="minorEastAsia"/>
          <w:bCs/>
          <w:sz w:val="22"/>
          <w:szCs w:val="22"/>
          <w:lang w:eastAsia="ko-KR"/>
        </w:rPr>
        <w:t>against total</w:t>
      </w:r>
      <w:r w:rsidR="00A7506E" w:rsidRPr="004635E5">
        <w:rPr>
          <w:rFonts w:eastAsiaTheme="minorEastAsia"/>
          <w:bCs/>
          <w:sz w:val="22"/>
          <w:szCs w:val="22"/>
          <w:lang w:eastAsia="ko-KR"/>
        </w:rPr>
        <w:t xml:space="preserve"> </w:t>
      </w:r>
      <w:r w:rsidR="007B41E1" w:rsidRPr="004635E5">
        <w:rPr>
          <w:rFonts w:eastAsiaTheme="minorEastAsia"/>
          <w:bCs/>
          <w:sz w:val="22"/>
          <w:szCs w:val="22"/>
          <w:lang w:eastAsia="ko-KR"/>
        </w:rPr>
        <w:t xml:space="preserve">reported </w:t>
      </w:r>
      <w:r w:rsidR="004421B3" w:rsidRPr="004635E5">
        <w:rPr>
          <w:rFonts w:eastAsiaTheme="minorEastAsia"/>
          <w:bCs/>
          <w:sz w:val="22"/>
          <w:szCs w:val="22"/>
          <w:lang w:eastAsia="ko-KR"/>
        </w:rPr>
        <w:t>longline</w:t>
      </w:r>
      <w:r w:rsidR="007B41E1" w:rsidRPr="004635E5">
        <w:rPr>
          <w:rFonts w:eastAsiaTheme="minorEastAsia"/>
          <w:bCs/>
          <w:sz w:val="22"/>
          <w:szCs w:val="22"/>
          <w:lang w:eastAsia="ko-KR"/>
        </w:rPr>
        <w:t xml:space="preserve"> </w:t>
      </w:r>
      <w:r w:rsidR="00A7506E" w:rsidRPr="004635E5">
        <w:rPr>
          <w:rFonts w:eastAsiaTheme="minorEastAsia"/>
          <w:bCs/>
          <w:sz w:val="22"/>
          <w:szCs w:val="22"/>
          <w:lang w:eastAsia="ko-KR"/>
        </w:rPr>
        <w:t>catches</w:t>
      </w:r>
      <w:r w:rsidR="007B41E1" w:rsidRPr="004635E5">
        <w:rPr>
          <w:rFonts w:eastAsiaTheme="minorEastAsia"/>
          <w:bCs/>
          <w:sz w:val="22"/>
          <w:szCs w:val="22"/>
          <w:lang w:eastAsia="ko-KR"/>
        </w:rPr>
        <w:t xml:space="preserve">, which revealed underestimation for </w:t>
      </w:r>
      <w:r w:rsidR="002177AA" w:rsidRPr="004635E5">
        <w:rPr>
          <w:rFonts w:eastAsiaTheme="minorEastAsia"/>
          <w:bCs/>
          <w:sz w:val="22"/>
          <w:szCs w:val="22"/>
          <w:lang w:eastAsia="ko-KR"/>
        </w:rPr>
        <w:t>bigeye</w:t>
      </w:r>
      <w:r w:rsidR="00A7506E" w:rsidRPr="004635E5">
        <w:rPr>
          <w:rFonts w:eastAsiaTheme="minorEastAsia"/>
          <w:bCs/>
          <w:sz w:val="22"/>
          <w:szCs w:val="22"/>
          <w:lang w:eastAsia="ko-KR"/>
        </w:rPr>
        <w:t xml:space="preserve"> and </w:t>
      </w:r>
      <w:r w:rsidR="00656FD8" w:rsidRPr="004635E5">
        <w:rPr>
          <w:rFonts w:eastAsiaTheme="minorEastAsia"/>
          <w:bCs/>
          <w:sz w:val="22"/>
          <w:szCs w:val="22"/>
          <w:lang w:eastAsia="ko-KR"/>
        </w:rPr>
        <w:t>yellowfin</w:t>
      </w:r>
      <w:r w:rsidR="00A7506E" w:rsidRPr="004635E5">
        <w:rPr>
          <w:rFonts w:eastAsiaTheme="minorEastAsia"/>
          <w:bCs/>
          <w:sz w:val="22"/>
          <w:szCs w:val="22"/>
          <w:lang w:eastAsia="ko-KR"/>
        </w:rPr>
        <w:t xml:space="preserve">, </w:t>
      </w:r>
      <w:r w:rsidR="007B41E1" w:rsidRPr="004635E5">
        <w:rPr>
          <w:rFonts w:eastAsiaTheme="minorEastAsia"/>
          <w:bCs/>
          <w:sz w:val="22"/>
          <w:szCs w:val="22"/>
          <w:lang w:eastAsia="ko-KR"/>
        </w:rPr>
        <w:t xml:space="preserve">and </w:t>
      </w:r>
      <w:r w:rsidR="00A7506E" w:rsidRPr="004635E5">
        <w:rPr>
          <w:rFonts w:eastAsiaTheme="minorEastAsia"/>
          <w:bCs/>
          <w:sz w:val="22"/>
          <w:szCs w:val="22"/>
          <w:lang w:eastAsia="ko-KR"/>
        </w:rPr>
        <w:t>over</w:t>
      </w:r>
      <w:r w:rsidR="007B41E1" w:rsidRPr="004635E5">
        <w:rPr>
          <w:rFonts w:eastAsiaTheme="minorEastAsia"/>
          <w:bCs/>
          <w:sz w:val="22"/>
          <w:szCs w:val="22"/>
          <w:lang w:eastAsia="ko-KR"/>
        </w:rPr>
        <w:t xml:space="preserve">estimation </w:t>
      </w:r>
      <w:r w:rsidR="00A7506E" w:rsidRPr="004635E5">
        <w:rPr>
          <w:rFonts w:eastAsiaTheme="minorEastAsia"/>
          <w:bCs/>
          <w:sz w:val="22"/>
          <w:szCs w:val="22"/>
          <w:lang w:eastAsia="ko-KR"/>
        </w:rPr>
        <w:t xml:space="preserve">for </w:t>
      </w:r>
      <w:r w:rsidR="007B41E1" w:rsidRPr="004635E5">
        <w:rPr>
          <w:rFonts w:eastAsiaTheme="minorEastAsia"/>
          <w:bCs/>
          <w:sz w:val="22"/>
          <w:szCs w:val="22"/>
          <w:lang w:eastAsia="ko-KR"/>
        </w:rPr>
        <w:t>swordfish</w:t>
      </w:r>
      <w:r w:rsidR="00A7506E" w:rsidRPr="004635E5">
        <w:rPr>
          <w:rFonts w:eastAsiaTheme="minorEastAsia"/>
          <w:bCs/>
          <w:sz w:val="22"/>
          <w:szCs w:val="22"/>
          <w:lang w:eastAsia="ko-KR"/>
        </w:rPr>
        <w:t xml:space="preserve">. </w:t>
      </w:r>
      <w:r w:rsidR="007B41E1" w:rsidRPr="004635E5">
        <w:rPr>
          <w:rFonts w:eastAsiaTheme="minorEastAsia"/>
          <w:bCs/>
          <w:sz w:val="22"/>
          <w:szCs w:val="22"/>
          <w:lang w:eastAsia="ko-KR"/>
        </w:rPr>
        <w:t xml:space="preserve">A decision was made at the outset not to </w:t>
      </w:r>
      <w:r w:rsidR="00A7506E" w:rsidRPr="004635E5">
        <w:rPr>
          <w:rFonts w:eastAsiaTheme="minorEastAsia"/>
          <w:bCs/>
          <w:sz w:val="22"/>
          <w:szCs w:val="22"/>
          <w:lang w:eastAsia="ko-KR"/>
        </w:rPr>
        <w:t>model catches for target species</w:t>
      </w:r>
      <w:r w:rsidR="007B41E1" w:rsidRPr="004635E5">
        <w:rPr>
          <w:rFonts w:eastAsiaTheme="minorEastAsia"/>
          <w:bCs/>
          <w:sz w:val="22"/>
          <w:szCs w:val="22"/>
          <w:lang w:eastAsia="ko-KR"/>
        </w:rPr>
        <w:t>, so the model was designed to focus on non-tar</w:t>
      </w:r>
      <w:r w:rsidR="00A7506E" w:rsidRPr="004635E5">
        <w:rPr>
          <w:rFonts w:eastAsiaTheme="minorEastAsia"/>
          <w:bCs/>
          <w:sz w:val="22"/>
          <w:szCs w:val="22"/>
          <w:lang w:eastAsia="ko-KR"/>
        </w:rPr>
        <w:t>g</w:t>
      </w:r>
      <w:r w:rsidR="007B41E1" w:rsidRPr="004635E5">
        <w:rPr>
          <w:rFonts w:eastAsiaTheme="minorEastAsia"/>
          <w:bCs/>
          <w:sz w:val="22"/>
          <w:szCs w:val="22"/>
          <w:lang w:eastAsia="ko-KR"/>
        </w:rPr>
        <w:t>e</w:t>
      </w:r>
      <w:r w:rsidR="00A7506E" w:rsidRPr="004635E5">
        <w:rPr>
          <w:rFonts w:eastAsiaTheme="minorEastAsia"/>
          <w:bCs/>
          <w:sz w:val="22"/>
          <w:szCs w:val="22"/>
          <w:lang w:eastAsia="ko-KR"/>
        </w:rPr>
        <w:t xml:space="preserve">t species. </w:t>
      </w:r>
    </w:p>
    <w:p w14:paraId="4CF58948" w14:textId="77777777" w:rsidR="000F0A8E" w:rsidRPr="004635E5" w:rsidRDefault="000F0A8E" w:rsidP="006633A8">
      <w:pPr>
        <w:autoSpaceDE w:val="0"/>
        <w:autoSpaceDN w:val="0"/>
        <w:adjustRightInd w:val="0"/>
        <w:snapToGrid w:val="0"/>
        <w:jc w:val="both"/>
        <w:rPr>
          <w:rFonts w:eastAsiaTheme="minorEastAsia"/>
          <w:bCs/>
          <w:sz w:val="22"/>
          <w:szCs w:val="22"/>
          <w:lang w:eastAsia="ko-KR"/>
        </w:rPr>
      </w:pPr>
    </w:p>
    <w:p w14:paraId="02A0804D" w14:textId="77777777" w:rsidR="000042D6" w:rsidRPr="004635E5" w:rsidRDefault="005963BA"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 xml:space="preserve">Fiji, on behalf of </w:t>
      </w:r>
      <w:r w:rsidR="000A2875" w:rsidRPr="004635E5">
        <w:rPr>
          <w:rFonts w:eastAsiaTheme="minorEastAsia"/>
          <w:bCs/>
          <w:sz w:val="22"/>
          <w:szCs w:val="22"/>
          <w:lang w:eastAsia="ko-KR"/>
        </w:rPr>
        <w:t>FFA members</w:t>
      </w:r>
      <w:r w:rsidRPr="004635E5">
        <w:rPr>
          <w:rFonts w:eastAsiaTheme="minorEastAsia"/>
          <w:bCs/>
          <w:sz w:val="22"/>
          <w:szCs w:val="22"/>
          <w:lang w:eastAsia="ko-KR"/>
        </w:rPr>
        <w:t xml:space="preserve">, thanked </w:t>
      </w:r>
      <w:r w:rsidR="000A2875" w:rsidRPr="004635E5">
        <w:rPr>
          <w:rFonts w:eastAsiaTheme="minorEastAsia"/>
          <w:bCs/>
          <w:sz w:val="22"/>
          <w:szCs w:val="22"/>
          <w:lang w:eastAsia="ko-KR"/>
        </w:rPr>
        <w:t xml:space="preserve">SPC for their </w:t>
      </w:r>
      <w:r w:rsidRPr="004635E5">
        <w:rPr>
          <w:rFonts w:eastAsiaTheme="minorEastAsia"/>
          <w:bCs/>
          <w:sz w:val="22"/>
          <w:szCs w:val="22"/>
          <w:lang w:eastAsia="ko-KR"/>
        </w:rPr>
        <w:t>summary of</w:t>
      </w:r>
      <w:r w:rsidR="000A2875" w:rsidRPr="004635E5">
        <w:rPr>
          <w:rFonts w:eastAsiaTheme="minorEastAsia"/>
          <w:bCs/>
          <w:sz w:val="22"/>
          <w:szCs w:val="22"/>
          <w:lang w:eastAsia="ko-KR"/>
        </w:rPr>
        <w:t xml:space="preserve"> bycatch across the region as outlined in </w:t>
      </w:r>
      <w:r w:rsidR="00347BA9">
        <w:rPr>
          <w:rFonts w:eastAsiaTheme="minorEastAsia"/>
          <w:sz w:val="22"/>
          <w:szCs w:val="22"/>
          <w:lang w:eastAsia="ko-KR"/>
        </w:rPr>
        <w:t>SC14-</w:t>
      </w:r>
      <w:r w:rsidR="000A2875" w:rsidRPr="004635E5">
        <w:rPr>
          <w:rFonts w:eastAsiaTheme="minorEastAsia"/>
          <w:bCs/>
          <w:sz w:val="22"/>
          <w:szCs w:val="22"/>
          <w:lang w:eastAsia="ko-KR"/>
        </w:rPr>
        <w:t>ST-WP-03</w:t>
      </w:r>
      <w:r w:rsidRPr="004635E5">
        <w:rPr>
          <w:rFonts w:eastAsiaTheme="minorEastAsia"/>
          <w:bCs/>
          <w:sz w:val="22"/>
          <w:szCs w:val="22"/>
          <w:lang w:eastAsia="ko-KR"/>
        </w:rPr>
        <w:t>, which they view</w:t>
      </w:r>
      <w:r w:rsidR="000042D6" w:rsidRPr="004635E5">
        <w:rPr>
          <w:rFonts w:eastAsiaTheme="minorEastAsia"/>
          <w:bCs/>
          <w:sz w:val="22"/>
          <w:szCs w:val="22"/>
          <w:lang w:eastAsia="ko-KR"/>
        </w:rPr>
        <w:t>ed</w:t>
      </w:r>
      <w:r w:rsidRPr="004635E5">
        <w:rPr>
          <w:rFonts w:eastAsiaTheme="minorEastAsia"/>
          <w:bCs/>
          <w:sz w:val="22"/>
          <w:szCs w:val="22"/>
          <w:lang w:eastAsia="ko-KR"/>
        </w:rPr>
        <w:t xml:space="preserve"> as </w:t>
      </w:r>
      <w:r w:rsidR="000A2875" w:rsidRPr="004635E5">
        <w:rPr>
          <w:rFonts w:eastAsiaTheme="minorEastAsia"/>
          <w:bCs/>
          <w:sz w:val="22"/>
          <w:szCs w:val="22"/>
          <w:lang w:eastAsia="ko-KR"/>
        </w:rPr>
        <w:t xml:space="preserve">important </w:t>
      </w:r>
      <w:r w:rsidRPr="004635E5">
        <w:rPr>
          <w:rFonts w:eastAsiaTheme="minorEastAsia"/>
          <w:bCs/>
          <w:sz w:val="22"/>
          <w:szCs w:val="22"/>
          <w:lang w:eastAsia="ko-KR"/>
        </w:rPr>
        <w:t xml:space="preserve">in </w:t>
      </w:r>
      <w:r w:rsidR="000A2875" w:rsidRPr="004635E5">
        <w:rPr>
          <w:rFonts w:eastAsiaTheme="minorEastAsia"/>
          <w:bCs/>
          <w:sz w:val="22"/>
          <w:szCs w:val="22"/>
          <w:lang w:eastAsia="ko-KR"/>
        </w:rPr>
        <w:t>assist</w:t>
      </w:r>
      <w:r w:rsidRPr="004635E5">
        <w:rPr>
          <w:rFonts w:eastAsiaTheme="minorEastAsia"/>
          <w:bCs/>
          <w:sz w:val="22"/>
          <w:szCs w:val="22"/>
          <w:lang w:eastAsia="ko-KR"/>
        </w:rPr>
        <w:t>ing</w:t>
      </w:r>
      <w:r w:rsidR="000A2875" w:rsidRPr="004635E5">
        <w:rPr>
          <w:rFonts w:eastAsiaTheme="minorEastAsia"/>
          <w:bCs/>
          <w:sz w:val="22"/>
          <w:szCs w:val="22"/>
          <w:lang w:eastAsia="ko-KR"/>
        </w:rPr>
        <w:t xml:space="preserve"> </w:t>
      </w:r>
      <w:r w:rsidR="005F17D1" w:rsidRPr="004635E5">
        <w:rPr>
          <w:rFonts w:eastAsiaTheme="minorEastAsia"/>
          <w:bCs/>
          <w:sz w:val="22"/>
          <w:szCs w:val="22"/>
          <w:lang w:eastAsia="ko-KR"/>
        </w:rPr>
        <w:t xml:space="preserve">the </w:t>
      </w:r>
      <w:r w:rsidR="000A2875" w:rsidRPr="004635E5">
        <w:rPr>
          <w:rFonts w:eastAsiaTheme="minorEastAsia"/>
          <w:bCs/>
          <w:sz w:val="22"/>
          <w:szCs w:val="22"/>
          <w:lang w:eastAsia="ko-KR"/>
        </w:rPr>
        <w:t xml:space="preserve">SC </w:t>
      </w:r>
      <w:r w:rsidRPr="004635E5">
        <w:rPr>
          <w:rFonts w:eastAsiaTheme="minorEastAsia"/>
          <w:bCs/>
          <w:sz w:val="22"/>
          <w:szCs w:val="22"/>
          <w:lang w:eastAsia="ko-KR"/>
        </w:rPr>
        <w:t>assess</w:t>
      </w:r>
      <w:r w:rsidR="000A2875" w:rsidRPr="004635E5">
        <w:rPr>
          <w:rFonts w:eastAsiaTheme="minorEastAsia"/>
          <w:bCs/>
          <w:sz w:val="22"/>
          <w:szCs w:val="22"/>
          <w:lang w:eastAsia="ko-KR"/>
        </w:rPr>
        <w:t xml:space="preserve"> total l</w:t>
      </w:r>
      <w:r w:rsidRPr="004635E5">
        <w:rPr>
          <w:rFonts w:eastAsiaTheme="minorEastAsia"/>
          <w:bCs/>
          <w:sz w:val="22"/>
          <w:szCs w:val="22"/>
          <w:lang w:eastAsia="ko-KR"/>
        </w:rPr>
        <w:t>evels of bycatch</w:t>
      </w:r>
      <w:r w:rsidR="000042D6" w:rsidRPr="004635E5">
        <w:rPr>
          <w:rFonts w:eastAsiaTheme="minorEastAsia"/>
          <w:bCs/>
          <w:sz w:val="22"/>
          <w:szCs w:val="22"/>
          <w:lang w:eastAsia="ko-KR"/>
        </w:rPr>
        <w:t>,</w:t>
      </w:r>
      <w:r w:rsidRPr="004635E5">
        <w:rPr>
          <w:rFonts w:eastAsiaTheme="minorEastAsia"/>
          <w:bCs/>
          <w:sz w:val="22"/>
          <w:szCs w:val="22"/>
          <w:lang w:eastAsia="ko-KR"/>
        </w:rPr>
        <w:t xml:space="preserve"> identify</w:t>
      </w:r>
      <w:r w:rsidR="000A2875" w:rsidRPr="004635E5">
        <w:rPr>
          <w:rFonts w:eastAsiaTheme="minorEastAsia"/>
          <w:bCs/>
          <w:sz w:val="22"/>
          <w:szCs w:val="22"/>
          <w:lang w:eastAsia="ko-KR"/>
        </w:rPr>
        <w:t xml:space="preserve"> species or species groups </w:t>
      </w:r>
      <w:r w:rsidRPr="004635E5">
        <w:rPr>
          <w:rFonts w:eastAsiaTheme="minorEastAsia"/>
          <w:bCs/>
          <w:sz w:val="22"/>
          <w:szCs w:val="22"/>
          <w:lang w:eastAsia="ko-KR"/>
        </w:rPr>
        <w:t xml:space="preserve">with high relative </w:t>
      </w:r>
      <w:r w:rsidR="000A2875" w:rsidRPr="004635E5">
        <w:rPr>
          <w:rFonts w:eastAsiaTheme="minorEastAsia"/>
          <w:bCs/>
          <w:sz w:val="22"/>
          <w:szCs w:val="22"/>
          <w:lang w:eastAsia="ko-KR"/>
        </w:rPr>
        <w:t xml:space="preserve">bycatch </w:t>
      </w:r>
      <w:r w:rsidRPr="004635E5">
        <w:rPr>
          <w:rFonts w:eastAsiaTheme="minorEastAsia"/>
          <w:bCs/>
          <w:sz w:val="22"/>
          <w:szCs w:val="22"/>
          <w:lang w:eastAsia="ko-KR"/>
        </w:rPr>
        <w:t>levels</w:t>
      </w:r>
      <w:r w:rsidR="000042D6" w:rsidRPr="004635E5">
        <w:rPr>
          <w:rFonts w:eastAsiaTheme="minorEastAsia"/>
          <w:bCs/>
          <w:sz w:val="22"/>
          <w:szCs w:val="22"/>
          <w:lang w:eastAsia="ko-KR"/>
        </w:rPr>
        <w:t xml:space="preserve">, and thereby enable </w:t>
      </w:r>
      <w:r w:rsidRPr="004635E5">
        <w:rPr>
          <w:rFonts w:eastAsiaTheme="minorEastAsia"/>
          <w:bCs/>
          <w:sz w:val="22"/>
          <w:szCs w:val="22"/>
          <w:lang w:eastAsia="ko-KR"/>
        </w:rPr>
        <w:t>assess</w:t>
      </w:r>
      <w:r w:rsidR="000042D6" w:rsidRPr="004635E5">
        <w:rPr>
          <w:rFonts w:eastAsiaTheme="minorEastAsia"/>
          <w:bCs/>
          <w:sz w:val="22"/>
          <w:szCs w:val="22"/>
          <w:lang w:eastAsia="ko-KR"/>
        </w:rPr>
        <w:t>ment</w:t>
      </w:r>
      <w:r w:rsidRPr="004635E5">
        <w:rPr>
          <w:rFonts w:eastAsiaTheme="minorEastAsia"/>
          <w:bCs/>
          <w:sz w:val="22"/>
          <w:szCs w:val="22"/>
          <w:lang w:eastAsia="ko-KR"/>
        </w:rPr>
        <w:t xml:space="preserve"> </w:t>
      </w:r>
      <w:r w:rsidR="000042D6" w:rsidRPr="004635E5">
        <w:rPr>
          <w:rFonts w:eastAsiaTheme="minorEastAsia"/>
          <w:bCs/>
          <w:sz w:val="22"/>
          <w:szCs w:val="22"/>
          <w:lang w:eastAsia="ko-KR"/>
        </w:rPr>
        <w:t>of bycatch risks and identification</w:t>
      </w:r>
      <w:r w:rsidRPr="004635E5">
        <w:rPr>
          <w:rFonts w:eastAsiaTheme="minorEastAsia"/>
          <w:bCs/>
          <w:sz w:val="22"/>
          <w:szCs w:val="22"/>
          <w:lang w:eastAsia="ko-KR"/>
        </w:rPr>
        <w:t xml:space="preserve"> </w:t>
      </w:r>
      <w:r w:rsidR="000042D6" w:rsidRPr="004635E5">
        <w:rPr>
          <w:rFonts w:eastAsiaTheme="minorEastAsia"/>
          <w:bCs/>
          <w:sz w:val="22"/>
          <w:szCs w:val="22"/>
          <w:lang w:eastAsia="ko-KR"/>
        </w:rPr>
        <w:t xml:space="preserve">of </w:t>
      </w:r>
      <w:r w:rsidRPr="004635E5">
        <w:rPr>
          <w:rFonts w:eastAsiaTheme="minorEastAsia"/>
          <w:bCs/>
          <w:sz w:val="22"/>
          <w:szCs w:val="22"/>
          <w:lang w:eastAsia="ko-KR"/>
        </w:rPr>
        <w:t>where further management attention is needed</w:t>
      </w:r>
      <w:r w:rsidR="000A2875" w:rsidRPr="004635E5">
        <w:rPr>
          <w:rFonts w:eastAsiaTheme="minorEastAsia"/>
          <w:bCs/>
          <w:sz w:val="22"/>
          <w:szCs w:val="22"/>
          <w:lang w:eastAsia="ko-KR"/>
        </w:rPr>
        <w:t>. FFA members propose</w:t>
      </w:r>
      <w:r w:rsidR="000042D6" w:rsidRPr="004635E5">
        <w:rPr>
          <w:rFonts w:eastAsiaTheme="minorEastAsia"/>
          <w:bCs/>
          <w:sz w:val="22"/>
          <w:szCs w:val="22"/>
          <w:lang w:eastAsia="ko-KR"/>
        </w:rPr>
        <w:t>d</w:t>
      </w:r>
      <w:r w:rsidR="000A2875" w:rsidRPr="004635E5">
        <w:rPr>
          <w:rFonts w:eastAsiaTheme="minorEastAsia"/>
          <w:bCs/>
          <w:sz w:val="22"/>
          <w:szCs w:val="22"/>
          <w:lang w:eastAsia="ko-KR"/>
        </w:rPr>
        <w:t xml:space="preserve"> </w:t>
      </w:r>
      <w:r w:rsidR="000042D6" w:rsidRPr="004635E5">
        <w:rPr>
          <w:rFonts w:eastAsiaTheme="minorEastAsia"/>
          <w:bCs/>
          <w:sz w:val="22"/>
          <w:szCs w:val="22"/>
          <w:lang w:eastAsia="ko-KR"/>
        </w:rPr>
        <w:t xml:space="preserve">that future </w:t>
      </w:r>
      <w:r w:rsidR="000A2875" w:rsidRPr="004635E5">
        <w:rPr>
          <w:rFonts w:eastAsiaTheme="minorEastAsia"/>
          <w:bCs/>
          <w:sz w:val="22"/>
          <w:szCs w:val="22"/>
          <w:lang w:eastAsia="ko-KR"/>
        </w:rPr>
        <w:t xml:space="preserve">bycatch data </w:t>
      </w:r>
      <w:r w:rsidR="000042D6" w:rsidRPr="004635E5">
        <w:rPr>
          <w:rFonts w:eastAsiaTheme="minorEastAsia"/>
          <w:bCs/>
          <w:sz w:val="22"/>
          <w:szCs w:val="22"/>
          <w:lang w:eastAsia="ko-KR"/>
        </w:rPr>
        <w:t xml:space="preserve">reporting </w:t>
      </w:r>
      <w:r w:rsidR="000A2875" w:rsidRPr="004635E5">
        <w:rPr>
          <w:rFonts w:eastAsiaTheme="minorEastAsia"/>
          <w:bCs/>
          <w:sz w:val="22"/>
          <w:szCs w:val="22"/>
          <w:lang w:eastAsia="ko-KR"/>
        </w:rPr>
        <w:t>at SC</w:t>
      </w:r>
      <w:r w:rsidRPr="004635E5">
        <w:rPr>
          <w:rFonts w:eastAsiaTheme="minorEastAsia"/>
          <w:bCs/>
          <w:sz w:val="22"/>
          <w:szCs w:val="22"/>
          <w:lang w:eastAsia="ko-KR"/>
        </w:rPr>
        <w:t xml:space="preserve"> </w:t>
      </w:r>
      <w:r w:rsidR="000042D6" w:rsidRPr="004635E5">
        <w:rPr>
          <w:rFonts w:eastAsiaTheme="minorEastAsia"/>
          <w:bCs/>
          <w:sz w:val="22"/>
          <w:szCs w:val="22"/>
          <w:lang w:eastAsia="ko-KR"/>
        </w:rPr>
        <w:t xml:space="preserve">include </w:t>
      </w:r>
      <w:r w:rsidRPr="004635E5">
        <w:rPr>
          <w:rFonts w:eastAsiaTheme="minorEastAsia"/>
          <w:bCs/>
          <w:sz w:val="22"/>
          <w:szCs w:val="22"/>
          <w:lang w:eastAsia="ko-KR"/>
        </w:rPr>
        <w:t xml:space="preserve">an annual </w:t>
      </w:r>
      <w:r w:rsidR="000A2875" w:rsidRPr="004635E5">
        <w:rPr>
          <w:rFonts w:eastAsiaTheme="minorEastAsia"/>
          <w:bCs/>
          <w:sz w:val="22"/>
          <w:szCs w:val="22"/>
          <w:lang w:eastAsia="ko-KR"/>
        </w:rPr>
        <w:t>analysis;</w:t>
      </w:r>
      <w:r w:rsidRPr="004635E5">
        <w:rPr>
          <w:rFonts w:eastAsiaTheme="minorEastAsia"/>
          <w:bCs/>
          <w:sz w:val="22"/>
          <w:szCs w:val="22"/>
          <w:lang w:eastAsia="ko-KR"/>
        </w:rPr>
        <w:t xml:space="preserve"> r</w:t>
      </w:r>
      <w:r w:rsidR="000A2875" w:rsidRPr="004635E5">
        <w:rPr>
          <w:rFonts w:eastAsiaTheme="minorEastAsia"/>
          <w:bCs/>
          <w:sz w:val="22"/>
          <w:szCs w:val="22"/>
          <w:lang w:eastAsia="ko-KR"/>
        </w:rPr>
        <w:t>ecommend</w:t>
      </w:r>
      <w:r w:rsidR="000042D6" w:rsidRPr="004635E5">
        <w:rPr>
          <w:rFonts w:eastAsiaTheme="minorEastAsia"/>
          <w:bCs/>
          <w:sz w:val="22"/>
          <w:szCs w:val="22"/>
          <w:lang w:eastAsia="ko-KR"/>
        </w:rPr>
        <w:t>ed</w:t>
      </w:r>
      <w:r w:rsidR="000A2875" w:rsidRPr="004635E5">
        <w:rPr>
          <w:rFonts w:eastAsiaTheme="minorEastAsia"/>
          <w:bCs/>
          <w:sz w:val="22"/>
          <w:szCs w:val="22"/>
          <w:lang w:eastAsia="ko-KR"/>
        </w:rPr>
        <w:t xml:space="preserve"> that all CCMs provide observer data so that the SC can fully assess bycatch levels across the WCPO; and</w:t>
      </w:r>
      <w:r w:rsidRPr="004635E5">
        <w:rPr>
          <w:rFonts w:eastAsiaTheme="minorEastAsia"/>
          <w:bCs/>
          <w:sz w:val="22"/>
          <w:szCs w:val="22"/>
          <w:lang w:eastAsia="ko-KR"/>
        </w:rPr>
        <w:t xml:space="preserve"> </w:t>
      </w:r>
      <w:r w:rsidR="000A2875" w:rsidRPr="004635E5">
        <w:rPr>
          <w:rFonts w:eastAsiaTheme="minorEastAsia"/>
          <w:bCs/>
          <w:sz w:val="22"/>
          <w:szCs w:val="22"/>
          <w:lang w:eastAsia="ko-KR"/>
        </w:rPr>
        <w:t>request</w:t>
      </w:r>
      <w:r w:rsidR="000042D6" w:rsidRPr="004635E5">
        <w:rPr>
          <w:rFonts w:eastAsiaTheme="minorEastAsia"/>
          <w:bCs/>
          <w:sz w:val="22"/>
          <w:szCs w:val="22"/>
          <w:lang w:eastAsia="ko-KR"/>
        </w:rPr>
        <w:t>ed</w:t>
      </w:r>
      <w:r w:rsidR="000A2875" w:rsidRPr="004635E5">
        <w:rPr>
          <w:rFonts w:eastAsiaTheme="minorEastAsia"/>
          <w:bCs/>
          <w:sz w:val="22"/>
          <w:szCs w:val="22"/>
          <w:lang w:eastAsia="ko-KR"/>
        </w:rPr>
        <w:t xml:space="preserve"> that CCMs who have provided aggregated data in the past also provide additional data on hooks between floats to help improve </w:t>
      </w:r>
      <w:r w:rsidR="00B86810" w:rsidRPr="004635E5">
        <w:rPr>
          <w:rFonts w:eastAsiaTheme="minorEastAsia"/>
          <w:bCs/>
          <w:sz w:val="22"/>
          <w:szCs w:val="22"/>
          <w:lang w:eastAsia="ko-KR"/>
        </w:rPr>
        <w:t xml:space="preserve">bycatch </w:t>
      </w:r>
      <w:r w:rsidR="000A2875" w:rsidRPr="004635E5">
        <w:rPr>
          <w:rFonts w:eastAsiaTheme="minorEastAsia"/>
          <w:bCs/>
          <w:sz w:val="22"/>
          <w:szCs w:val="22"/>
          <w:lang w:eastAsia="ko-KR"/>
        </w:rPr>
        <w:t>estimates.</w:t>
      </w:r>
      <w:r w:rsidR="00B86810" w:rsidRPr="004635E5">
        <w:rPr>
          <w:rFonts w:eastAsiaTheme="minorEastAsia"/>
          <w:bCs/>
          <w:sz w:val="22"/>
          <w:szCs w:val="22"/>
          <w:lang w:eastAsia="ko-KR"/>
        </w:rPr>
        <w:t xml:space="preserve"> </w:t>
      </w:r>
      <w:r w:rsidR="000A2875" w:rsidRPr="004635E5">
        <w:rPr>
          <w:rFonts w:eastAsiaTheme="minorEastAsia"/>
          <w:bCs/>
          <w:sz w:val="22"/>
          <w:szCs w:val="22"/>
          <w:lang w:eastAsia="ko-KR"/>
        </w:rPr>
        <w:t>FFA members note</w:t>
      </w:r>
      <w:r w:rsidR="00B86810" w:rsidRPr="004635E5">
        <w:rPr>
          <w:rFonts w:eastAsiaTheme="minorEastAsia"/>
          <w:bCs/>
          <w:sz w:val="22"/>
          <w:szCs w:val="22"/>
          <w:lang w:eastAsia="ko-KR"/>
        </w:rPr>
        <w:t>d</w:t>
      </w:r>
      <w:r w:rsidR="000A2875" w:rsidRPr="004635E5">
        <w:rPr>
          <w:rFonts w:eastAsiaTheme="minorEastAsia"/>
          <w:bCs/>
          <w:sz w:val="22"/>
          <w:szCs w:val="22"/>
          <w:lang w:eastAsia="ko-KR"/>
        </w:rPr>
        <w:t xml:space="preserve"> that </w:t>
      </w:r>
      <w:r w:rsidR="00B86810" w:rsidRPr="004635E5">
        <w:rPr>
          <w:rFonts w:eastAsiaTheme="minorEastAsia"/>
          <w:bCs/>
          <w:sz w:val="22"/>
          <w:szCs w:val="22"/>
          <w:lang w:eastAsia="ko-KR"/>
        </w:rPr>
        <w:t xml:space="preserve">the </w:t>
      </w:r>
      <w:r w:rsidR="000A2875" w:rsidRPr="004635E5">
        <w:rPr>
          <w:rFonts w:eastAsiaTheme="minorEastAsia"/>
          <w:bCs/>
          <w:sz w:val="22"/>
          <w:szCs w:val="22"/>
          <w:lang w:eastAsia="ko-KR"/>
        </w:rPr>
        <w:t xml:space="preserve">analysis </w:t>
      </w:r>
      <w:r w:rsidR="00B86810" w:rsidRPr="004635E5">
        <w:rPr>
          <w:rFonts w:eastAsiaTheme="minorEastAsia"/>
          <w:bCs/>
          <w:sz w:val="22"/>
          <w:szCs w:val="22"/>
          <w:lang w:eastAsia="ko-KR"/>
        </w:rPr>
        <w:t xml:space="preserve">lacked </w:t>
      </w:r>
      <w:r w:rsidR="000A2875" w:rsidRPr="004635E5">
        <w:rPr>
          <w:rFonts w:eastAsiaTheme="minorEastAsia"/>
          <w:bCs/>
          <w:sz w:val="22"/>
          <w:szCs w:val="22"/>
          <w:lang w:eastAsia="ko-KR"/>
        </w:rPr>
        <w:t xml:space="preserve">access to observer data across the entire WCPO, particularly in the high seas, and until these are included </w:t>
      </w:r>
      <w:r w:rsidR="00B86810" w:rsidRPr="004635E5">
        <w:rPr>
          <w:rFonts w:eastAsiaTheme="minorEastAsia"/>
          <w:bCs/>
          <w:sz w:val="22"/>
          <w:szCs w:val="22"/>
          <w:lang w:eastAsia="ko-KR"/>
        </w:rPr>
        <w:t xml:space="preserve">they </w:t>
      </w:r>
      <w:r w:rsidR="000A2875" w:rsidRPr="004635E5">
        <w:rPr>
          <w:rFonts w:eastAsiaTheme="minorEastAsia"/>
          <w:bCs/>
          <w:sz w:val="22"/>
          <w:szCs w:val="22"/>
          <w:lang w:eastAsia="ko-KR"/>
        </w:rPr>
        <w:t>stress</w:t>
      </w:r>
      <w:r w:rsidR="00B86810" w:rsidRPr="004635E5">
        <w:rPr>
          <w:rFonts w:eastAsiaTheme="minorEastAsia"/>
          <w:bCs/>
          <w:sz w:val="22"/>
          <w:szCs w:val="22"/>
          <w:lang w:eastAsia="ko-KR"/>
        </w:rPr>
        <w:t>ed</w:t>
      </w:r>
      <w:r w:rsidR="000A2875" w:rsidRPr="004635E5">
        <w:rPr>
          <w:rFonts w:eastAsiaTheme="minorEastAsia"/>
          <w:bCs/>
          <w:sz w:val="22"/>
          <w:szCs w:val="22"/>
          <w:lang w:eastAsia="ko-KR"/>
        </w:rPr>
        <w:t xml:space="preserve"> caution in considering </w:t>
      </w:r>
      <w:r w:rsidR="00B86810" w:rsidRPr="004635E5">
        <w:rPr>
          <w:rFonts w:eastAsiaTheme="minorEastAsia"/>
          <w:bCs/>
          <w:sz w:val="22"/>
          <w:szCs w:val="22"/>
          <w:lang w:eastAsia="ko-KR"/>
        </w:rPr>
        <w:t xml:space="preserve">the </w:t>
      </w:r>
      <w:r w:rsidR="000A2875" w:rsidRPr="004635E5">
        <w:rPr>
          <w:rFonts w:eastAsiaTheme="minorEastAsia"/>
          <w:bCs/>
          <w:sz w:val="22"/>
          <w:szCs w:val="22"/>
          <w:lang w:eastAsia="ko-KR"/>
        </w:rPr>
        <w:t xml:space="preserve">results </w:t>
      </w:r>
      <w:r w:rsidR="00B86810" w:rsidRPr="004635E5">
        <w:rPr>
          <w:rFonts w:eastAsiaTheme="minorEastAsia"/>
          <w:bCs/>
          <w:sz w:val="22"/>
          <w:szCs w:val="22"/>
          <w:lang w:eastAsia="ko-KR"/>
        </w:rPr>
        <w:t xml:space="preserve">as </w:t>
      </w:r>
      <w:r w:rsidR="000A2875" w:rsidRPr="004635E5">
        <w:rPr>
          <w:rFonts w:eastAsiaTheme="minorEastAsia"/>
          <w:bCs/>
          <w:sz w:val="22"/>
          <w:szCs w:val="22"/>
          <w:lang w:eastAsia="ko-KR"/>
        </w:rPr>
        <w:t>definitive total bycatch estimates.</w:t>
      </w:r>
      <w:r w:rsidR="00B86810" w:rsidRPr="004635E5">
        <w:rPr>
          <w:rFonts w:eastAsiaTheme="minorEastAsia"/>
          <w:bCs/>
          <w:sz w:val="22"/>
          <w:szCs w:val="22"/>
          <w:lang w:eastAsia="ko-KR"/>
        </w:rPr>
        <w:t xml:space="preserve"> </w:t>
      </w:r>
      <w:r w:rsidR="000A2875" w:rsidRPr="004635E5">
        <w:rPr>
          <w:rFonts w:eastAsiaTheme="minorEastAsia"/>
          <w:bCs/>
          <w:sz w:val="22"/>
          <w:szCs w:val="22"/>
          <w:lang w:eastAsia="ko-KR"/>
        </w:rPr>
        <w:t>For species of special interest, a large proportion are reported as "condition unknown at release". FFA members recommend</w:t>
      </w:r>
      <w:r w:rsidR="000042D6" w:rsidRPr="004635E5">
        <w:rPr>
          <w:rFonts w:eastAsiaTheme="minorEastAsia"/>
          <w:bCs/>
          <w:sz w:val="22"/>
          <w:szCs w:val="22"/>
          <w:lang w:eastAsia="ko-KR"/>
        </w:rPr>
        <w:t>ed</w:t>
      </w:r>
      <w:r w:rsidR="000A2875" w:rsidRPr="004635E5">
        <w:rPr>
          <w:rFonts w:eastAsiaTheme="minorEastAsia"/>
          <w:bCs/>
          <w:sz w:val="22"/>
          <w:szCs w:val="22"/>
          <w:lang w:eastAsia="ko-KR"/>
        </w:rPr>
        <w:t xml:space="preserve"> this </w:t>
      </w:r>
      <w:r w:rsidR="005F17D1" w:rsidRPr="004635E5">
        <w:rPr>
          <w:rFonts w:eastAsiaTheme="minorEastAsia"/>
          <w:bCs/>
          <w:sz w:val="22"/>
          <w:szCs w:val="22"/>
          <w:lang w:eastAsia="ko-KR"/>
        </w:rPr>
        <w:t xml:space="preserve">be </w:t>
      </w:r>
      <w:r w:rsidR="000A2875" w:rsidRPr="004635E5">
        <w:rPr>
          <w:rFonts w:eastAsiaTheme="minorEastAsia"/>
          <w:bCs/>
          <w:sz w:val="22"/>
          <w:szCs w:val="22"/>
          <w:lang w:eastAsia="ko-KR"/>
        </w:rPr>
        <w:t xml:space="preserve">followed up with national observer coordinators to identify </w:t>
      </w:r>
      <w:r w:rsidR="005F17D1" w:rsidRPr="004635E5">
        <w:rPr>
          <w:rFonts w:eastAsiaTheme="minorEastAsia"/>
          <w:bCs/>
          <w:sz w:val="22"/>
          <w:szCs w:val="22"/>
          <w:lang w:eastAsia="ko-KR"/>
        </w:rPr>
        <w:t xml:space="preserve">ways </w:t>
      </w:r>
      <w:r w:rsidR="000A2875" w:rsidRPr="004635E5">
        <w:rPr>
          <w:rFonts w:eastAsiaTheme="minorEastAsia"/>
          <w:bCs/>
          <w:sz w:val="22"/>
          <w:szCs w:val="22"/>
          <w:lang w:eastAsia="ko-KR"/>
        </w:rPr>
        <w:t>to improve reporting on condition at release.</w:t>
      </w:r>
    </w:p>
    <w:p w14:paraId="6266C816" w14:textId="77777777" w:rsidR="000042D6" w:rsidRPr="004635E5" w:rsidRDefault="000042D6" w:rsidP="006633A8">
      <w:pPr>
        <w:autoSpaceDE w:val="0"/>
        <w:autoSpaceDN w:val="0"/>
        <w:adjustRightInd w:val="0"/>
        <w:snapToGrid w:val="0"/>
        <w:jc w:val="both"/>
        <w:rPr>
          <w:rFonts w:eastAsiaTheme="minorEastAsia"/>
          <w:bCs/>
          <w:sz w:val="22"/>
          <w:szCs w:val="22"/>
          <w:lang w:eastAsia="ko-KR"/>
        </w:rPr>
      </w:pPr>
    </w:p>
    <w:p w14:paraId="1C16E417" w14:textId="77777777" w:rsidR="000042D6" w:rsidRPr="004635E5" w:rsidRDefault="00B86810"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 xml:space="preserve">The </w:t>
      </w:r>
      <w:r w:rsidR="005A0E95" w:rsidRPr="004635E5">
        <w:rPr>
          <w:rFonts w:eastAsiaTheme="minorEastAsia"/>
          <w:bCs/>
          <w:sz w:val="22"/>
          <w:szCs w:val="22"/>
          <w:lang w:eastAsia="ko-KR"/>
        </w:rPr>
        <w:t>USA</w:t>
      </w:r>
      <w:r w:rsidRPr="004635E5">
        <w:rPr>
          <w:rFonts w:eastAsiaTheme="minorEastAsia"/>
          <w:bCs/>
          <w:sz w:val="22"/>
          <w:szCs w:val="22"/>
          <w:lang w:eastAsia="ko-KR"/>
        </w:rPr>
        <w:t xml:space="preserve"> </w:t>
      </w:r>
      <w:r w:rsidR="005F17D1" w:rsidRPr="004635E5">
        <w:rPr>
          <w:rFonts w:eastAsiaTheme="minorEastAsia"/>
          <w:bCs/>
          <w:sz w:val="22"/>
          <w:szCs w:val="22"/>
          <w:lang w:eastAsia="ko-KR"/>
        </w:rPr>
        <w:t>noted</w:t>
      </w:r>
      <w:r w:rsidRPr="004635E5">
        <w:rPr>
          <w:rFonts w:eastAsiaTheme="minorEastAsia"/>
          <w:bCs/>
          <w:sz w:val="22"/>
          <w:szCs w:val="22"/>
          <w:lang w:eastAsia="ko-KR"/>
        </w:rPr>
        <w:t xml:space="preserve"> that the </w:t>
      </w:r>
      <w:r w:rsidR="00C01CF9" w:rsidRPr="004635E5">
        <w:rPr>
          <w:rFonts w:eastAsiaTheme="minorEastAsia"/>
          <w:bCs/>
          <w:sz w:val="22"/>
          <w:szCs w:val="22"/>
          <w:lang w:eastAsia="ko-KR"/>
        </w:rPr>
        <w:t xml:space="preserve">species-specific </w:t>
      </w:r>
      <w:r w:rsidR="005A0E95" w:rsidRPr="004635E5">
        <w:rPr>
          <w:rFonts w:eastAsiaTheme="minorEastAsia"/>
          <w:bCs/>
          <w:sz w:val="22"/>
          <w:szCs w:val="22"/>
          <w:lang w:eastAsia="ko-KR"/>
        </w:rPr>
        <w:t>coeff</w:t>
      </w:r>
      <w:r w:rsidRPr="004635E5">
        <w:rPr>
          <w:rFonts w:eastAsiaTheme="minorEastAsia"/>
          <w:bCs/>
          <w:sz w:val="22"/>
          <w:szCs w:val="22"/>
          <w:lang w:eastAsia="ko-KR"/>
        </w:rPr>
        <w:t>icient</w:t>
      </w:r>
      <w:r w:rsidR="00C01CF9" w:rsidRPr="004635E5">
        <w:rPr>
          <w:rFonts w:eastAsiaTheme="minorEastAsia"/>
          <w:bCs/>
          <w:sz w:val="22"/>
          <w:szCs w:val="22"/>
          <w:lang w:eastAsia="ko-KR"/>
        </w:rPr>
        <w:t>s</w:t>
      </w:r>
      <w:r w:rsidR="005A0E95" w:rsidRPr="004635E5">
        <w:rPr>
          <w:rFonts w:eastAsiaTheme="minorEastAsia"/>
          <w:bCs/>
          <w:sz w:val="22"/>
          <w:szCs w:val="22"/>
          <w:lang w:eastAsia="ko-KR"/>
        </w:rPr>
        <w:t xml:space="preserve"> of variation in re</w:t>
      </w:r>
      <w:r w:rsidRPr="004635E5">
        <w:rPr>
          <w:rFonts w:eastAsiaTheme="minorEastAsia"/>
          <w:bCs/>
          <w:sz w:val="22"/>
          <w:szCs w:val="22"/>
          <w:lang w:eastAsia="ko-KR"/>
        </w:rPr>
        <w:t>l</w:t>
      </w:r>
      <w:r w:rsidR="005A0E95" w:rsidRPr="004635E5">
        <w:rPr>
          <w:rFonts w:eastAsiaTheme="minorEastAsia"/>
          <w:bCs/>
          <w:sz w:val="22"/>
          <w:szCs w:val="22"/>
          <w:lang w:eastAsia="ko-KR"/>
        </w:rPr>
        <w:t>ation to obs</w:t>
      </w:r>
      <w:r w:rsidRPr="004635E5">
        <w:rPr>
          <w:rFonts w:eastAsiaTheme="minorEastAsia"/>
          <w:bCs/>
          <w:sz w:val="22"/>
          <w:szCs w:val="22"/>
          <w:lang w:eastAsia="ko-KR"/>
        </w:rPr>
        <w:t>erver</w:t>
      </w:r>
      <w:r w:rsidR="005A0E95" w:rsidRPr="004635E5">
        <w:rPr>
          <w:rFonts w:eastAsiaTheme="minorEastAsia"/>
          <w:bCs/>
          <w:sz w:val="22"/>
          <w:szCs w:val="22"/>
          <w:lang w:eastAsia="ko-KR"/>
        </w:rPr>
        <w:t xml:space="preserve"> coverage </w:t>
      </w:r>
      <w:r w:rsidR="00C01CF9" w:rsidRPr="004635E5">
        <w:rPr>
          <w:rFonts w:eastAsiaTheme="minorEastAsia"/>
          <w:bCs/>
          <w:sz w:val="22"/>
          <w:szCs w:val="22"/>
          <w:lang w:eastAsia="ko-KR"/>
        </w:rPr>
        <w:t>were high in some cases</w:t>
      </w:r>
      <w:r w:rsidR="005F17D1" w:rsidRPr="004635E5">
        <w:rPr>
          <w:rFonts w:eastAsiaTheme="minorEastAsia"/>
          <w:bCs/>
          <w:sz w:val="22"/>
          <w:szCs w:val="22"/>
          <w:lang w:eastAsia="ko-KR"/>
        </w:rPr>
        <w:t xml:space="preserve">, and </w:t>
      </w:r>
      <w:r w:rsidR="00C01CF9" w:rsidRPr="004635E5">
        <w:rPr>
          <w:rFonts w:eastAsiaTheme="minorEastAsia"/>
          <w:bCs/>
          <w:sz w:val="22"/>
          <w:szCs w:val="22"/>
          <w:lang w:eastAsia="ko-KR"/>
        </w:rPr>
        <w:t xml:space="preserve">the disconcerting </w:t>
      </w:r>
      <w:r w:rsidR="005A0E95" w:rsidRPr="004635E5">
        <w:rPr>
          <w:rFonts w:eastAsiaTheme="minorEastAsia"/>
          <w:bCs/>
          <w:sz w:val="22"/>
          <w:szCs w:val="22"/>
          <w:lang w:eastAsia="ko-KR"/>
        </w:rPr>
        <w:t>decline in obs</w:t>
      </w:r>
      <w:r w:rsidR="00C01CF9" w:rsidRPr="004635E5">
        <w:rPr>
          <w:rFonts w:eastAsiaTheme="minorEastAsia"/>
          <w:bCs/>
          <w:sz w:val="22"/>
          <w:szCs w:val="22"/>
          <w:lang w:eastAsia="ko-KR"/>
        </w:rPr>
        <w:t xml:space="preserve">erver </w:t>
      </w:r>
      <w:r w:rsidR="005A0E95" w:rsidRPr="004635E5">
        <w:rPr>
          <w:rFonts w:eastAsiaTheme="minorEastAsia"/>
          <w:bCs/>
          <w:sz w:val="22"/>
          <w:szCs w:val="22"/>
          <w:lang w:eastAsia="ko-KR"/>
        </w:rPr>
        <w:t xml:space="preserve">coverage </w:t>
      </w:r>
      <w:r w:rsidR="00C01CF9" w:rsidRPr="004635E5">
        <w:rPr>
          <w:rFonts w:eastAsiaTheme="minorEastAsia"/>
          <w:bCs/>
          <w:sz w:val="22"/>
          <w:szCs w:val="22"/>
          <w:lang w:eastAsia="ko-KR"/>
        </w:rPr>
        <w:t xml:space="preserve">during </w:t>
      </w:r>
      <w:r w:rsidR="005A0E95" w:rsidRPr="004635E5">
        <w:rPr>
          <w:rFonts w:eastAsiaTheme="minorEastAsia"/>
          <w:bCs/>
          <w:sz w:val="22"/>
          <w:szCs w:val="22"/>
          <w:lang w:eastAsia="ko-KR"/>
        </w:rPr>
        <w:t xml:space="preserve">2013-2016 using </w:t>
      </w:r>
      <w:r w:rsidR="00C01CF9" w:rsidRPr="004635E5">
        <w:rPr>
          <w:rFonts w:eastAsiaTheme="minorEastAsia"/>
          <w:bCs/>
          <w:sz w:val="22"/>
          <w:szCs w:val="22"/>
          <w:lang w:eastAsia="ko-KR"/>
        </w:rPr>
        <w:t xml:space="preserve">the </w:t>
      </w:r>
      <w:r w:rsidR="005A0E95" w:rsidRPr="004635E5">
        <w:rPr>
          <w:rFonts w:eastAsiaTheme="minorEastAsia"/>
          <w:bCs/>
          <w:sz w:val="22"/>
          <w:szCs w:val="22"/>
          <w:lang w:eastAsia="ko-KR"/>
        </w:rPr>
        <w:t xml:space="preserve">hook metric. </w:t>
      </w:r>
      <w:r w:rsidR="00C01CF9" w:rsidRPr="004635E5">
        <w:rPr>
          <w:rFonts w:eastAsiaTheme="minorEastAsia"/>
          <w:bCs/>
          <w:sz w:val="22"/>
          <w:szCs w:val="22"/>
          <w:lang w:eastAsia="ko-KR"/>
        </w:rPr>
        <w:t>P. Williams (</w:t>
      </w:r>
      <w:r w:rsidR="005A0E95" w:rsidRPr="004635E5">
        <w:rPr>
          <w:rFonts w:eastAsiaTheme="minorEastAsia"/>
          <w:bCs/>
          <w:sz w:val="22"/>
          <w:szCs w:val="22"/>
          <w:lang w:eastAsia="ko-KR"/>
        </w:rPr>
        <w:t>SPC</w:t>
      </w:r>
      <w:r w:rsidR="00C01CF9" w:rsidRPr="004635E5">
        <w:rPr>
          <w:rFonts w:eastAsiaTheme="minorEastAsia"/>
          <w:bCs/>
          <w:sz w:val="22"/>
          <w:szCs w:val="22"/>
          <w:lang w:eastAsia="ko-KR"/>
        </w:rPr>
        <w:t>)</w:t>
      </w:r>
      <w:r w:rsidR="005A0E95" w:rsidRPr="004635E5">
        <w:rPr>
          <w:rFonts w:eastAsiaTheme="minorEastAsia"/>
          <w:bCs/>
          <w:sz w:val="22"/>
          <w:szCs w:val="22"/>
          <w:lang w:eastAsia="ko-KR"/>
        </w:rPr>
        <w:t xml:space="preserve"> </w:t>
      </w:r>
      <w:r w:rsidR="00C01CF9" w:rsidRPr="004635E5">
        <w:rPr>
          <w:rFonts w:eastAsiaTheme="minorEastAsia"/>
          <w:bCs/>
          <w:sz w:val="22"/>
          <w:szCs w:val="22"/>
          <w:lang w:eastAsia="ko-KR"/>
        </w:rPr>
        <w:t>noted that the decline resulted in part because not all</w:t>
      </w:r>
      <w:r w:rsidR="005A0E95" w:rsidRPr="004635E5">
        <w:rPr>
          <w:rFonts w:eastAsiaTheme="minorEastAsia"/>
          <w:bCs/>
          <w:sz w:val="22"/>
          <w:szCs w:val="22"/>
          <w:lang w:eastAsia="ko-KR"/>
        </w:rPr>
        <w:t xml:space="preserve"> 2016-2017 </w:t>
      </w:r>
      <w:r w:rsidR="00C01CF9" w:rsidRPr="004635E5">
        <w:rPr>
          <w:rFonts w:eastAsiaTheme="minorEastAsia"/>
          <w:bCs/>
          <w:sz w:val="22"/>
          <w:szCs w:val="22"/>
          <w:lang w:eastAsia="ko-KR"/>
        </w:rPr>
        <w:t>data had been received</w:t>
      </w:r>
      <w:r w:rsidR="005A0E95" w:rsidRPr="004635E5">
        <w:rPr>
          <w:rFonts w:eastAsiaTheme="minorEastAsia"/>
          <w:bCs/>
          <w:sz w:val="22"/>
          <w:szCs w:val="22"/>
          <w:lang w:eastAsia="ko-KR"/>
        </w:rPr>
        <w:t xml:space="preserve">, and </w:t>
      </w:r>
      <w:r w:rsidR="00C01CF9" w:rsidRPr="004635E5">
        <w:rPr>
          <w:rFonts w:eastAsiaTheme="minorEastAsia"/>
          <w:bCs/>
          <w:sz w:val="22"/>
          <w:szCs w:val="22"/>
          <w:lang w:eastAsia="ko-KR"/>
        </w:rPr>
        <w:t xml:space="preserve">other data were not yet </w:t>
      </w:r>
      <w:r w:rsidR="005A0E95" w:rsidRPr="004635E5">
        <w:rPr>
          <w:rFonts w:eastAsiaTheme="minorEastAsia"/>
          <w:bCs/>
          <w:sz w:val="22"/>
          <w:szCs w:val="22"/>
          <w:lang w:eastAsia="ko-KR"/>
        </w:rPr>
        <w:t>loaded</w:t>
      </w:r>
      <w:r w:rsidR="00C01CF9" w:rsidRPr="004635E5">
        <w:rPr>
          <w:rFonts w:eastAsiaTheme="minorEastAsia"/>
          <w:bCs/>
          <w:sz w:val="22"/>
          <w:szCs w:val="22"/>
          <w:lang w:eastAsia="ko-KR"/>
        </w:rPr>
        <w:t xml:space="preserve"> (even for </w:t>
      </w:r>
      <w:r w:rsidR="005A0E95" w:rsidRPr="004635E5">
        <w:rPr>
          <w:rFonts w:eastAsiaTheme="minorEastAsia"/>
          <w:bCs/>
          <w:sz w:val="22"/>
          <w:szCs w:val="22"/>
          <w:lang w:eastAsia="ko-KR"/>
        </w:rPr>
        <w:t>2015</w:t>
      </w:r>
      <w:r w:rsidR="00C01CF9" w:rsidRPr="004635E5">
        <w:rPr>
          <w:rFonts w:eastAsiaTheme="minorEastAsia"/>
          <w:bCs/>
          <w:sz w:val="22"/>
          <w:szCs w:val="22"/>
          <w:lang w:eastAsia="ko-KR"/>
        </w:rPr>
        <w:t>)</w:t>
      </w:r>
      <w:r w:rsidR="000108D6" w:rsidRPr="004635E5">
        <w:rPr>
          <w:rFonts w:eastAsiaTheme="minorEastAsia"/>
          <w:bCs/>
          <w:sz w:val="22"/>
          <w:szCs w:val="22"/>
          <w:lang w:eastAsia="ko-KR"/>
        </w:rPr>
        <w:t>,</w:t>
      </w:r>
      <w:r w:rsidR="005A0E95" w:rsidRPr="004635E5">
        <w:rPr>
          <w:rFonts w:eastAsiaTheme="minorEastAsia"/>
          <w:bCs/>
          <w:sz w:val="22"/>
          <w:szCs w:val="22"/>
          <w:lang w:eastAsia="ko-KR"/>
        </w:rPr>
        <w:t xml:space="preserve"> </w:t>
      </w:r>
      <w:r w:rsidR="005F17D1" w:rsidRPr="004635E5">
        <w:rPr>
          <w:rFonts w:eastAsiaTheme="minorEastAsia"/>
          <w:bCs/>
          <w:sz w:val="22"/>
          <w:szCs w:val="22"/>
          <w:lang w:eastAsia="ko-KR"/>
        </w:rPr>
        <w:t xml:space="preserve">which could </w:t>
      </w:r>
      <w:r w:rsidR="005A0E95" w:rsidRPr="004635E5">
        <w:rPr>
          <w:rFonts w:eastAsiaTheme="minorEastAsia"/>
          <w:bCs/>
          <w:sz w:val="22"/>
          <w:szCs w:val="22"/>
          <w:lang w:eastAsia="ko-KR"/>
        </w:rPr>
        <w:t xml:space="preserve">account for some of the low coverage. </w:t>
      </w:r>
      <w:r w:rsidR="00C01CF9" w:rsidRPr="004635E5">
        <w:rPr>
          <w:rFonts w:eastAsiaTheme="minorEastAsia"/>
          <w:bCs/>
          <w:sz w:val="22"/>
          <w:szCs w:val="22"/>
          <w:lang w:eastAsia="ko-KR"/>
        </w:rPr>
        <w:t>For 2016-17</w:t>
      </w:r>
      <w:r w:rsidR="005A0E95" w:rsidRPr="004635E5">
        <w:rPr>
          <w:rFonts w:eastAsiaTheme="minorEastAsia"/>
          <w:bCs/>
          <w:sz w:val="22"/>
          <w:szCs w:val="22"/>
          <w:lang w:eastAsia="ko-KR"/>
        </w:rPr>
        <w:t xml:space="preserve"> some considerable obs</w:t>
      </w:r>
      <w:r w:rsidR="00C01CF9" w:rsidRPr="004635E5">
        <w:rPr>
          <w:rFonts w:eastAsiaTheme="minorEastAsia"/>
          <w:bCs/>
          <w:sz w:val="22"/>
          <w:szCs w:val="22"/>
          <w:lang w:eastAsia="ko-KR"/>
        </w:rPr>
        <w:t>erver</w:t>
      </w:r>
      <w:r w:rsidR="005A0E95" w:rsidRPr="004635E5">
        <w:rPr>
          <w:rFonts w:eastAsiaTheme="minorEastAsia"/>
          <w:bCs/>
          <w:sz w:val="22"/>
          <w:szCs w:val="22"/>
          <w:lang w:eastAsia="ko-KR"/>
        </w:rPr>
        <w:t xml:space="preserve"> data sets</w:t>
      </w:r>
      <w:r w:rsidR="00A7506E" w:rsidRPr="004635E5">
        <w:rPr>
          <w:rFonts w:eastAsiaTheme="minorEastAsia"/>
          <w:bCs/>
          <w:sz w:val="22"/>
          <w:szCs w:val="22"/>
          <w:lang w:eastAsia="ko-KR"/>
        </w:rPr>
        <w:t xml:space="preserve"> </w:t>
      </w:r>
      <w:r w:rsidR="00C01CF9" w:rsidRPr="004635E5">
        <w:rPr>
          <w:rFonts w:eastAsiaTheme="minorEastAsia"/>
          <w:bCs/>
          <w:sz w:val="22"/>
          <w:szCs w:val="22"/>
          <w:lang w:eastAsia="ko-KR"/>
        </w:rPr>
        <w:t xml:space="preserve">were missing; an </w:t>
      </w:r>
      <w:r w:rsidR="005A0E95" w:rsidRPr="004635E5">
        <w:rPr>
          <w:rFonts w:eastAsiaTheme="minorEastAsia"/>
          <w:bCs/>
          <w:sz w:val="22"/>
          <w:szCs w:val="22"/>
          <w:lang w:eastAsia="ko-KR"/>
        </w:rPr>
        <w:t xml:space="preserve">ROP data management paper </w:t>
      </w:r>
      <w:r w:rsidR="005F17D1" w:rsidRPr="004635E5">
        <w:rPr>
          <w:rFonts w:eastAsiaTheme="minorEastAsia"/>
          <w:bCs/>
          <w:sz w:val="22"/>
          <w:szCs w:val="22"/>
          <w:lang w:eastAsia="ko-KR"/>
        </w:rPr>
        <w:t xml:space="preserve">to </w:t>
      </w:r>
      <w:r w:rsidR="00C01CF9" w:rsidRPr="004635E5">
        <w:rPr>
          <w:rFonts w:eastAsiaTheme="minorEastAsia"/>
          <w:bCs/>
          <w:sz w:val="22"/>
          <w:szCs w:val="22"/>
          <w:lang w:eastAsia="ko-KR"/>
        </w:rPr>
        <w:t xml:space="preserve">be presented </w:t>
      </w:r>
      <w:r w:rsidR="005A0E95" w:rsidRPr="004635E5">
        <w:rPr>
          <w:rFonts w:eastAsiaTheme="minorEastAsia"/>
          <w:bCs/>
          <w:sz w:val="22"/>
          <w:szCs w:val="22"/>
          <w:lang w:eastAsia="ko-KR"/>
        </w:rPr>
        <w:t>to TCC</w:t>
      </w:r>
      <w:r w:rsidR="00C01CF9" w:rsidRPr="004635E5">
        <w:rPr>
          <w:rFonts w:eastAsiaTheme="minorEastAsia"/>
          <w:bCs/>
          <w:sz w:val="22"/>
          <w:szCs w:val="22"/>
          <w:lang w:eastAsia="ko-KR"/>
        </w:rPr>
        <w:t>14</w:t>
      </w:r>
      <w:r w:rsidR="005F17D1" w:rsidRPr="004635E5">
        <w:rPr>
          <w:rFonts w:eastAsiaTheme="minorEastAsia"/>
          <w:bCs/>
          <w:sz w:val="22"/>
          <w:szCs w:val="22"/>
          <w:lang w:eastAsia="ko-KR"/>
        </w:rPr>
        <w:t xml:space="preserve"> will </w:t>
      </w:r>
      <w:r w:rsidR="00C01CF9" w:rsidRPr="004635E5">
        <w:rPr>
          <w:rFonts w:eastAsiaTheme="minorEastAsia"/>
          <w:bCs/>
          <w:sz w:val="22"/>
          <w:szCs w:val="22"/>
          <w:lang w:eastAsia="ko-KR"/>
        </w:rPr>
        <w:t xml:space="preserve">hopefully include </w:t>
      </w:r>
      <w:r w:rsidR="005A0E95" w:rsidRPr="004635E5">
        <w:rPr>
          <w:rFonts w:eastAsiaTheme="minorEastAsia"/>
          <w:bCs/>
          <w:sz w:val="22"/>
          <w:szCs w:val="22"/>
          <w:lang w:eastAsia="ko-KR"/>
        </w:rPr>
        <w:t>update</w:t>
      </w:r>
      <w:r w:rsidR="00C01CF9" w:rsidRPr="004635E5">
        <w:rPr>
          <w:rFonts w:eastAsiaTheme="minorEastAsia"/>
          <w:bCs/>
          <w:sz w:val="22"/>
          <w:szCs w:val="22"/>
          <w:lang w:eastAsia="ko-KR"/>
        </w:rPr>
        <w:t>s</w:t>
      </w:r>
      <w:r w:rsidR="005A0E95" w:rsidRPr="004635E5">
        <w:rPr>
          <w:rFonts w:eastAsiaTheme="minorEastAsia"/>
          <w:bCs/>
          <w:sz w:val="22"/>
          <w:szCs w:val="22"/>
          <w:lang w:eastAsia="ko-KR"/>
        </w:rPr>
        <w:t xml:space="preserve"> </w:t>
      </w:r>
      <w:r w:rsidR="00C01CF9" w:rsidRPr="004635E5">
        <w:rPr>
          <w:rFonts w:eastAsiaTheme="minorEastAsia"/>
          <w:bCs/>
          <w:sz w:val="22"/>
          <w:szCs w:val="22"/>
          <w:lang w:eastAsia="ko-KR"/>
        </w:rPr>
        <w:t xml:space="preserve">to provide a </w:t>
      </w:r>
      <w:r w:rsidR="005A0E95" w:rsidRPr="004635E5">
        <w:rPr>
          <w:rFonts w:eastAsiaTheme="minorEastAsia"/>
          <w:bCs/>
          <w:sz w:val="22"/>
          <w:szCs w:val="22"/>
          <w:lang w:eastAsia="ko-KR"/>
        </w:rPr>
        <w:t>b</w:t>
      </w:r>
      <w:r w:rsidR="00C01CF9" w:rsidRPr="004635E5">
        <w:rPr>
          <w:rFonts w:eastAsiaTheme="minorEastAsia"/>
          <w:bCs/>
          <w:sz w:val="22"/>
          <w:szCs w:val="22"/>
          <w:lang w:eastAsia="ko-KR"/>
        </w:rPr>
        <w:t>e</w:t>
      </w:r>
      <w:r w:rsidR="005A0E95" w:rsidRPr="004635E5">
        <w:rPr>
          <w:rFonts w:eastAsiaTheme="minorEastAsia"/>
          <w:bCs/>
          <w:sz w:val="22"/>
          <w:szCs w:val="22"/>
          <w:lang w:eastAsia="ko-KR"/>
        </w:rPr>
        <w:t xml:space="preserve">tter impression of coverage in recent years. </w:t>
      </w:r>
    </w:p>
    <w:p w14:paraId="353906A5" w14:textId="77777777" w:rsidR="000042D6" w:rsidRPr="004635E5" w:rsidRDefault="000042D6" w:rsidP="006633A8">
      <w:pPr>
        <w:autoSpaceDE w:val="0"/>
        <w:autoSpaceDN w:val="0"/>
        <w:adjustRightInd w:val="0"/>
        <w:snapToGrid w:val="0"/>
        <w:jc w:val="both"/>
        <w:rPr>
          <w:rFonts w:eastAsiaTheme="minorEastAsia"/>
          <w:bCs/>
          <w:sz w:val="22"/>
          <w:szCs w:val="22"/>
          <w:lang w:eastAsia="ko-KR"/>
        </w:rPr>
      </w:pPr>
    </w:p>
    <w:p w14:paraId="67C0BBEF" w14:textId="77777777" w:rsidR="0044104E" w:rsidRPr="004635E5" w:rsidRDefault="005A0E95"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Aus</w:t>
      </w:r>
      <w:r w:rsidR="00B916F8" w:rsidRPr="004635E5">
        <w:rPr>
          <w:rFonts w:eastAsiaTheme="minorEastAsia"/>
          <w:bCs/>
          <w:sz w:val="22"/>
          <w:szCs w:val="22"/>
          <w:lang w:eastAsia="ko-KR"/>
        </w:rPr>
        <w:t>tralia generally supported</w:t>
      </w:r>
      <w:r w:rsidR="00367529" w:rsidRPr="004635E5">
        <w:rPr>
          <w:rFonts w:eastAsiaTheme="minorEastAsia"/>
          <w:bCs/>
          <w:sz w:val="22"/>
          <w:szCs w:val="22"/>
          <w:lang w:eastAsia="ko-KR"/>
        </w:rPr>
        <w:t xml:space="preserve"> the a</w:t>
      </w:r>
      <w:r w:rsidR="00B916F8" w:rsidRPr="004635E5">
        <w:rPr>
          <w:rFonts w:eastAsiaTheme="minorEastAsia"/>
          <w:bCs/>
          <w:sz w:val="22"/>
          <w:szCs w:val="22"/>
          <w:lang w:eastAsia="ko-KR"/>
        </w:rPr>
        <w:t>n</w:t>
      </w:r>
      <w:r w:rsidR="00367529" w:rsidRPr="004635E5">
        <w:rPr>
          <w:rFonts w:eastAsiaTheme="minorEastAsia"/>
          <w:bCs/>
          <w:sz w:val="22"/>
          <w:szCs w:val="22"/>
          <w:lang w:eastAsia="ko-KR"/>
        </w:rPr>
        <w:t>alysis</w:t>
      </w:r>
      <w:r w:rsidR="00B916F8" w:rsidRPr="004635E5">
        <w:rPr>
          <w:rFonts w:eastAsiaTheme="minorEastAsia"/>
          <w:bCs/>
          <w:sz w:val="22"/>
          <w:szCs w:val="22"/>
          <w:lang w:eastAsia="ko-KR"/>
        </w:rPr>
        <w:t>, but stated</w:t>
      </w:r>
      <w:r w:rsidR="00367529" w:rsidRPr="004635E5">
        <w:rPr>
          <w:rFonts w:eastAsiaTheme="minorEastAsia"/>
          <w:bCs/>
          <w:sz w:val="22"/>
          <w:szCs w:val="22"/>
          <w:lang w:eastAsia="ko-KR"/>
        </w:rPr>
        <w:t xml:space="preserve"> </w:t>
      </w:r>
      <w:r w:rsidR="00B916F8" w:rsidRPr="004635E5">
        <w:rPr>
          <w:rFonts w:eastAsiaTheme="minorEastAsia"/>
          <w:bCs/>
          <w:sz w:val="22"/>
          <w:szCs w:val="22"/>
          <w:lang w:eastAsia="ko-KR"/>
        </w:rPr>
        <w:t xml:space="preserve">that care was needed in determining </w:t>
      </w:r>
      <w:r w:rsidR="00367529" w:rsidRPr="004635E5">
        <w:rPr>
          <w:rFonts w:eastAsiaTheme="minorEastAsia"/>
          <w:bCs/>
          <w:sz w:val="22"/>
          <w:szCs w:val="22"/>
          <w:lang w:eastAsia="ko-KR"/>
        </w:rPr>
        <w:t xml:space="preserve">whether </w:t>
      </w:r>
      <w:r w:rsidR="00B916F8" w:rsidRPr="004635E5">
        <w:rPr>
          <w:rFonts w:eastAsiaTheme="minorEastAsia"/>
          <w:bCs/>
          <w:sz w:val="22"/>
          <w:szCs w:val="22"/>
          <w:lang w:eastAsia="ko-KR"/>
        </w:rPr>
        <w:t xml:space="preserve">data </w:t>
      </w:r>
      <w:r w:rsidR="005F17D1" w:rsidRPr="004635E5">
        <w:rPr>
          <w:rFonts w:eastAsiaTheme="minorEastAsia"/>
          <w:bCs/>
          <w:sz w:val="22"/>
          <w:szCs w:val="22"/>
          <w:lang w:eastAsia="ko-KR"/>
        </w:rPr>
        <w:t xml:space="preserve">were </w:t>
      </w:r>
      <w:r w:rsidR="00367529" w:rsidRPr="004635E5">
        <w:rPr>
          <w:rFonts w:eastAsiaTheme="minorEastAsia"/>
          <w:bCs/>
          <w:sz w:val="22"/>
          <w:szCs w:val="22"/>
          <w:lang w:eastAsia="ko-KR"/>
        </w:rPr>
        <w:t>suitable for public release</w:t>
      </w:r>
      <w:r w:rsidR="00B916F8" w:rsidRPr="004635E5">
        <w:rPr>
          <w:rFonts w:eastAsiaTheme="minorEastAsia"/>
          <w:bCs/>
          <w:sz w:val="22"/>
          <w:szCs w:val="22"/>
          <w:lang w:eastAsia="ko-KR"/>
        </w:rPr>
        <w:t xml:space="preserve">, especially if alternative data sources </w:t>
      </w:r>
      <w:r w:rsidR="005F17D1" w:rsidRPr="004635E5">
        <w:rPr>
          <w:rFonts w:eastAsiaTheme="minorEastAsia"/>
          <w:bCs/>
          <w:sz w:val="22"/>
          <w:szCs w:val="22"/>
          <w:lang w:eastAsia="ko-KR"/>
        </w:rPr>
        <w:t xml:space="preserve">existed that were </w:t>
      </w:r>
      <w:r w:rsidR="00367529" w:rsidRPr="004635E5">
        <w:rPr>
          <w:rFonts w:eastAsiaTheme="minorEastAsia"/>
          <w:bCs/>
          <w:sz w:val="22"/>
          <w:szCs w:val="22"/>
          <w:lang w:eastAsia="ko-KR"/>
        </w:rPr>
        <w:t>know</w:t>
      </w:r>
      <w:r w:rsidR="00B916F8" w:rsidRPr="004635E5">
        <w:rPr>
          <w:rFonts w:eastAsiaTheme="minorEastAsia"/>
          <w:bCs/>
          <w:sz w:val="22"/>
          <w:szCs w:val="22"/>
          <w:lang w:eastAsia="ko-KR"/>
        </w:rPr>
        <w:t>n</w:t>
      </w:r>
      <w:r w:rsidR="00367529" w:rsidRPr="004635E5">
        <w:rPr>
          <w:rFonts w:eastAsiaTheme="minorEastAsia"/>
          <w:bCs/>
          <w:sz w:val="22"/>
          <w:szCs w:val="22"/>
          <w:lang w:eastAsia="ko-KR"/>
        </w:rPr>
        <w:t xml:space="preserve"> </w:t>
      </w:r>
      <w:r w:rsidR="00B916F8" w:rsidRPr="004635E5">
        <w:rPr>
          <w:rFonts w:eastAsiaTheme="minorEastAsia"/>
          <w:bCs/>
          <w:sz w:val="22"/>
          <w:szCs w:val="22"/>
          <w:lang w:eastAsia="ko-KR"/>
        </w:rPr>
        <w:t xml:space="preserve">to be superior. </w:t>
      </w:r>
      <w:r w:rsidR="000042D6" w:rsidRPr="004635E5">
        <w:rPr>
          <w:rFonts w:eastAsiaTheme="minorEastAsia"/>
          <w:bCs/>
          <w:sz w:val="22"/>
          <w:szCs w:val="22"/>
          <w:lang w:eastAsia="ko-KR"/>
        </w:rPr>
        <w:t>Australia noted t</w:t>
      </w:r>
      <w:r w:rsidR="00B916F8" w:rsidRPr="004635E5">
        <w:rPr>
          <w:rFonts w:eastAsiaTheme="minorEastAsia"/>
          <w:bCs/>
          <w:sz w:val="22"/>
          <w:szCs w:val="22"/>
          <w:lang w:eastAsia="ko-KR"/>
        </w:rPr>
        <w:t>he data should include an indication of</w:t>
      </w:r>
      <w:r w:rsidR="00367529" w:rsidRPr="004635E5">
        <w:rPr>
          <w:rFonts w:eastAsiaTheme="minorEastAsia"/>
          <w:bCs/>
          <w:sz w:val="22"/>
          <w:szCs w:val="22"/>
          <w:lang w:eastAsia="ko-KR"/>
        </w:rPr>
        <w:t xml:space="preserve"> reliability, </w:t>
      </w:r>
      <w:r w:rsidR="00EF24C4" w:rsidRPr="004635E5">
        <w:rPr>
          <w:rFonts w:eastAsiaTheme="minorEastAsia"/>
          <w:bCs/>
          <w:sz w:val="22"/>
          <w:szCs w:val="22"/>
          <w:lang w:eastAsia="ko-KR"/>
        </w:rPr>
        <w:t xml:space="preserve">with </w:t>
      </w:r>
      <w:r w:rsidR="00367529" w:rsidRPr="004635E5">
        <w:rPr>
          <w:rFonts w:eastAsiaTheme="minorEastAsia"/>
          <w:bCs/>
          <w:sz w:val="22"/>
          <w:szCs w:val="22"/>
          <w:lang w:eastAsia="ko-KR"/>
        </w:rPr>
        <w:t>ref</w:t>
      </w:r>
      <w:r w:rsidR="00B916F8" w:rsidRPr="004635E5">
        <w:rPr>
          <w:rFonts w:eastAsiaTheme="minorEastAsia"/>
          <w:bCs/>
          <w:sz w:val="22"/>
          <w:szCs w:val="22"/>
          <w:lang w:eastAsia="ko-KR"/>
        </w:rPr>
        <w:t>erences to alternate sources of catch-</w:t>
      </w:r>
      <w:r w:rsidR="00367529" w:rsidRPr="004635E5">
        <w:rPr>
          <w:rFonts w:eastAsiaTheme="minorEastAsia"/>
          <w:bCs/>
          <w:sz w:val="22"/>
          <w:szCs w:val="22"/>
          <w:lang w:eastAsia="ko-KR"/>
        </w:rPr>
        <w:t>time series</w:t>
      </w:r>
      <w:r w:rsidR="00EF24C4" w:rsidRPr="004635E5">
        <w:rPr>
          <w:rFonts w:eastAsiaTheme="minorEastAsia"/>
          <w:bCs/>
          <w:sz w:val="22"/>
          <w:szCs w:val="22"/>
          <w:lang w:eastAsia="ko-KR"/>
        </w:rPr>
        <w:t xml:space="preserve"> if </w:t>
      </w:r>
      <w:r w:rsidR="00B916F8" w:rsidRPr="004635E5">
        <w:rPr>
          <w:rFonts w:eastAsiaTheme="minorEastAsia"/>
          <w:bCs/>
          <w:sz w:val="22"/>
          <w:szCs w:val="22"/>
          <w:lang w:eastAsia="ko-KR"/>
        </w:rPr>
        <w:t xml:space="preserve">the data discussed </w:t>
      </w:r>
      <w:r w:rsidR="005F17D1" w:rsidRPr="004635E5">
        <w:rPr>
          <w:rFonts w:eastAsiaTheme="minorEastAsia"/>
          <w:bCs/>
          <w:sz w:val="22"/>
          <w:szCs w:val="22"/>
          <w:lang w:eastAsia="ko-KR"/>
        </w:rPr>
        <w:t xml:space="preserve">were </w:t>
      </w:r>
      <w:r w:rsidR="00367529" w:rsidRPr="004635E5">
        <w:rPr>
          <w:rFonts w:eastAsiaTheme="minorEastAsia"/>
          <w:bCs/>
          <w:sz w:val="22"/>
          <w:szCs w:val="22"/>
          <w:lang w:eastAsia="ko-KR"/>
        </w:rPr>
        <w:t>not regarded as auth</w:t>
      </w:r>
      <w:r w:rsidR="00B916F8" w:rsidRPr="004635E5">
        <w:rPr>
          <w:rFonts w:eastAsiaTheme="minorEastAsia"/>
          <w:bCs/>
          <w:sz w:val="22"/>
          <w:szCs w:val="22"/>
          <w:lang w:eastAsia="ko-KR"/>
        </w:rPr>
        <w:t>oritative</w:t>
      </w:r>
      <w:r w:rsidR="00EF24C4" w:rsidRPr="004635E5">
        <w:rPr>
          <w:rFonts w:eastAsiaTheme="minorEastAsia"/>
          <w:bCs/>
          <w:sz w:val="22"/>
          <w:szCs w:val="22"/>
          <w:lang w:eastAsia="ko-KR"/>
        </w:rPr>
        <w:t>;</w:t>
      </w:r>
      <w:r w:rsidR="00367529" w:rsidRPr="004635E5">
        <w:rPr>
          <w:rFonts w:eastAsiaTheme="minorEastAsia"/>
          <w:bCs/>
          <w:sz w:val="22"/>
          <w:szCs w:val="22"/>
          <w:lang w:eastAsia="ko-KR"/>
        </w:rPr>
        <w:t xml:space="preserve"> for those sp</w:t>
      </w:r>
      <w:r w:rsidR="00EF24C4" w:rsidRPr="004635E5">
        <w:rPr>
          <w:rFonts w:eastAsiaTheme="minorEastAsia"/>
          <w:bCs/>
          <w:sz w:val="22"/>
          <w:szCs w:val="22"/>
          <w:lang w:eastAsia="ko-KR"/>
        </w:rPr>
        <w:t>e</w:t>
      </w:r>
      <w:r w:rsidR="00367529" w:rsidRPr="004635E5">
        <w:rPr>
          <w:rFonts w:eastAsiaTheme="minorEastAsia"/>
          <w:bCs/>
          <w:sz w:val="22"/>
          <w:szCs w:val="22"/>
          <w:lang w:eastAsia="ko-KR"/>
        </w:rPr>
        <w:t>cies where alt</w:t>
      </w:r>
      <w:r w:rsidR="00EF24C4" w:rsidRPr="004635E5">
        <w:rPr>
          <w:rFonts w:eastAsiaTheme="minorEastAsia"/>
          <w:bCs/>
          <w:sz w:val="22"/>
          <w:szCs w:val="22"/>
          <w:lang w:eastAsia="ko-KR"/>
        </w:rPr>
        <w:t>ernative</w:t>
      </w:r>
      <w:r w:rsidR="00367529" w:rsidRPr="004635E5">
        <w:rPr>
          <w:rFonts w:eastAsiaTheme="minorEastAsia"/>
          <w:bCs/>
          <w:sz w:val="22"/>
          <w:szCs w:val="22"/>
          <w:lang w:eastAsia="ko-KR"/>
        </w:rPr>
        <w:t>s do n</w:t>
      </w:r>
      <w:r w:rsidR="00EF24C4" w:rsidRPr="004635E5">
        <w:rPr>
          <w:rFonts w:eastAsiaTheme="minorEastAsia"/>
          <w:bCs/>
          <w:sz w:val="22"/>
          <w:szCs w:val="22"/>
          <w:lang w:eastAsia="ko-KR"/>
        </w:rPr>
        <w:t>o</w:t>
      </w:r>
      <w:r w:rsidR="00367529" w:rsidRPr="004635E5">
        <w:rPr>
          <w:rFonts w:eastAsiaTheme="minorEastAsia"/>
          <w:bCs/>
          <w:sz w:val="22"/>
          <w:szCs w:val="22"/>
          <w:lang w:eastAsia="ko-KR"/>
        </w:rPr>
        <w:t xml:space="preserve">t exist, </w:t>
      </w:r>
      <w:r w:rsidR="005F17D1" w:rsidRPr="004635E5">
        <w:rPr>
          <w:rFonts w:eastAsiaTheme="minorEastAsia"/>
          <w:bCs/>
          <w:sz w:val="22"/>
          <w:szCs w:val="22"/>
          <w:lang w:eastAsia="ko-KR"/>
        </w:rPr>
        <w:t xml:space="preserve">the </w:t>
      </w:r>
      <w:r w:rsidR="00EF24C4" w:rsidRPr="004635E5">
        <w:rPr>
          <w:rFonts w:eastAsiaTheme="minorEastAsia"/>
          <w:bCs/>
          <w:sz w:val="22"/>
          <w:szCs w:val="22"/>
          <w:lang w:eastAsia="ko-KR"/>
        </w:rPr>
        <w:t xml:space="preserve">data </w:t>
      </w:r>
      <w:r w:rsidR="00367529" w:rsidRPr="004635E5">
        <w:rPr>
          <w:rFonts w:eastAsiaTheme="minorEastAsia"/>
          <w:bCs/>
          <w:sz w:val="22"/>
          <w:szCs w:val="22"/>
          <w:lang w:eastAsia="ko-KR"/>
        </w:rPr>
        <w:t xml:space="preserve">would be </w:t>
      </w:r>
      <w:r w:rsidR="005F17D1" w:rsidRPr="004635E5">
        <w:rPr>
          <w:rFonts w:eastAsiaTheme="minorEastAsia"/>
          <w:bCs/>
          <w:sz w:val="22"/>
          <w:szCs w:val="22"/>
          <w:lang w:eastAsia="ko-KR"/>
        </w:rPr>
        <w:t xml:space="preserve">recognized as </w:t>
      </w:r>
      <w:r w:rsidR="00367529" w:rsidRPr="004635E5">
        <w:rPr>
          <w:rFonts w:eastAsiaTheme="minorEastAsia"/>
          <w:bCs/>
          <w:sz w:val="22"/>
          <w:szCs w:val="22"/>
          <w:lang w:eastAsia="ko-KR"/>
        </w:rPr>
        <w:t xml:space="preserve">the best </w:t>
      </w:r>
      <w:r w:rsidR="005F17D1" w:rsidRPr="004635E5">
        <w:rPr>
          <w:rFonts w:eastAsiaTheme="minorEastAsia"/>
          <w:bCs/>
          <w:sz w:val="22"/>
          <w:szCs w:val="22"/>
          <w:lang w:eastAsia="ko-KR"/>
        </w:rPr>
        <w:t>available</w:t>
      </w:r>
      <w:r w:rsidR="00367529" w:rsidRPr="004635E5">
        <w:rPr>
          <w:rFonts w:eastAsiaTheme="minorEastAsia"/>
          <w:bCs/>
          <w:sz w:val="22"/>
          <w:szCs w:val="22"/>
          <w:lang w:eastAsia="ko-KR"/>
        </w:rPr>
        <w:t xml:space="preserve">. </w:t>
      </w:r>
      <w:r w:rsidR="005F17D1" w:rsidRPr="004635E5">
        <w:rPr>
          <w:rFonts w:eastAsiaTheme="minorEastAsia"/>
          <w:bCs/>
          <w:sz w:val="22"/>
          <w:szCs w:val="22"/>
          <w:lang w:eastAsia="ko-KR"/>
        </w:rPr>
        <w:t xml:space="preserve">The ensuing </w:t>
      </w:r>
      <w:r w:rsidR="00B03908" w:rsidRPr="004635E5">
        <w:rPr>
          <w:rFonts w:eastAsiaTheme="minorEastAsia"/>
          <w:bCs/>
          <w:sz w:val="22"/>
          <w:szCs w:val="22"/>
          <w:lang w:eastAsia="ko-KR"/>
        </w:rPr>
        <w:t xml:space="preserve">discussion </w:t>
      </w:r>
      <w:r w:rsidR="005F17D1" w:rsidRPr="004635E5">
        <w:rPr>
          <w:rFonts w:eastAsiaTheme="minorEastAsia"/>
          <w:bCs/>
          <w:sz w:val="22"/>
          <w:szCs w:val="22"/>
          <w:lang w:eastAsia="ko-KR"/>
        </w:rPr>
        <w:t xml:space="preserve">addressed </w:t>
      </w:r>
      <w:r w:rsidR="00B03908" w:rsidRPr="004635E5">
        <w:rPr>
          <w:rFonts w:eastAsiaTheme="minorEastAsia"/>
          <w:bCs/>
          <w:sz w:val="22"/>
          <w:szCs w:val="22"/>
          <w:lang w:eastAsia="ko-KR"/>
        </w:rPr>
        <w:t xml:space="preserve">whether the data, which was available in the paper on the WCPFC website, should be released </w:t>
      </w:r>
      <w:r w:rsidR="00BB6BB9" w:rsidRPr="004635E5">
        <w:rPr>
          <w:rFonts w:eastAsiaTheme="minorEastAsia"/>
          <w:bCs/>
          <w:sz w:val="22"/>
          <w:szCs w:val="22"/>
          <w:lang w:eastAsia="ko-KR"/>
        </w:rPr>
        <w:t>in a different form. SPC noted that a disclaimer had been included in the paper that permission was needed from WCPFC to use the data, to avoid problems with misuse of the data; they suggested options that could be used to make the data available</w:t>
      </w:r>
      <w:r w:rsidR="0044104E" w:rsidRPr="004635E5">
        <w:rPr>
          <w:rFonts w:eastAsiaTheme="minorEastAsia"/>
          <w:bCs/>
          <w:sz w:val="22"/>
          <w:szCs w:val="22"/>
          <w:lang w:eastAsia="ko-KR"/>
        </w:rPr>
        <w:t>: by adding columns to existing tables, or incorporating the data into the bycatch estimation system, with the caveats raised by Australia</w:t>
      </w:r>
      <w:r w:rsidR="00BB6BB9" w:rsidRPr="004635E5">
        <w:rPr>
          <w:rFonts w:eastAsiaTheme="minorEastAsia"/>
          <w:bCs/>
          <w:sz w:val="22"/>
          <w:szCs w:val="22"/>
          <w:lang w:eastAsia="ko-KR"/>
        </w:rPr>
        <w:t>.</w:t>
      </w:r>
    </w:p>
    <w:p w14:paraId="67F6B16A" w14:textId="77777777" w:rsidR="0044104E" w:rsidRPr="004635E5" w:rsidRDefault="0044104E" w:rsidP="006633A8">
      <w:pPr>
        <w:autoSpaceDE w:val="0"/>
        <w:autoSpaceDN w:val="0"/>
        <w:adjustRightInd w:val="0"/>
        <w:snapToGrid w:val="0"/>
        <w:jc w:val="both"/>
        <w:rPr>
          <w:rFonts w:eastAsiaTheme="minorEastAsia"/>
          <w:bCs/>
          <w:sz w:val="22"/>
          <w:szCs w:val="22"/>
          <w:lang w:eastAsia="ko-KR"/>
        </w:rPr>
      </w:pPr>
    </w:p>
    <w:p w14:paraId="7E01176E" w14:textId="77777777" w:rsidR="00810392" w:rsidRPr="004635E5" w:rsidRDefault="0044104E" w:rsidP="006633A8">
      <w:pPr>
        <w:pStyle w:val="WCPFC"/>
        <w:autoSpaceDE w:val="0"/>
        <w:autoSpaceDN w:val="0"/>
        <w:adjustRightInd w:val="0"/>
        <w:spacing w:after="0"/>
        <w:ind w:left="0" w:firstLine="0"/>
        <w:rPr>
          <w:rFonts w:cs="Times New Roman"/>
          <w:bCs/>
          <w:lang w:eastAsia="ko-KR"/>
        </w:rPr>
      </w:pPr>
      <w:r w:rsidRPr="004635E5">
        <w:rPr>
          <w:rFonts w:cs="Times New Roman"/>
          <w:bCs/>
          <w:color w:val="auto"/>
          <w:lang w:val="en-US" w:eastAsia="ko-KR"/>
        </w:rPr>
        <w:t xml:space="preserve">The </w:t>
      </w:r>
      <w:r w:rsidR="00E4672E" w:rsidRPr="004635E5">
        <w:rPr>
          <w:rFonts w:cs="Times New Roman"/>
          <w:bCs/>
          <w:color w:val="auto"/>
          <w:lang w:val="en-US" w:eastAsia="ko-KR"/>
        </w:rPr>
        <w:t xml:space="preserve">theme convener </w:t>
      </w:r>
      <w:r w:rsidRPr="004635E5">
        <w:rPr>
          <w:rFonts w:cs="Times New Roman"/>
          <w:bCs/>
          <w:color w:val="auto"/>
          <w:lang w:val="en-US" w:eastAsia="ko-KR"/>
        </w:rPr>
        <w:t xml:space="preserve">noted support for </w:t>
      </w:r>
      <w:r w:rsidR="00810392" w:rsidRPr="004635E5">
        <w:rPr>
          <w:rFonts w:cs="Times New Roman"/>
          <w:bCs/>
          <w:color w:val="auto"/>
          <w:lang w:val="en-US" w:eastAsia="ko-KR"/>
        </w:rPr>
        <w:t xml:space="preserve">a </w:t>
      </w:r>
      <w:r w:rsidRPr="004635E5">
        <w:rPr>
          <w:rFonts w:cs="Times New Roman"/>
          <w:bCs/>
          <w:color w:val="auto"/>
          <w:lang w:val="en-US" w:eastAsia="ko-KR"/>
        </w:rPr>
        <w:t xml:space="preserve">recommendation that the report </w:t>
      </w:r>
      <w:r w:rsidR="008F0F29" w:rsidRPr="004635E5">
        <w:rPr>
          <w:rFonts w:cs="Times New Roman"/>
          <w:bCs/>
          <w:color w:val="auto"/>
          <w:lang w:val="en-US" w:eastAsia="ko-KR"/>
        </w:rPr>
        <w:t xml:space="preserve">include a note referencing alternative data sources in cases where </w:t>
      </w:r>
      <w:r w:rsidRPr="004635E5">
        <w:rPr>
          <w:rFonts w:cs="Times New Roman"/>
          <w:bCs/>
          <w:color w:val="auto"/>
          <w:lang w:val="en-US" w:eastAsia="ko-KR"/>
        </w:rPr>
        <w:t>better</w:t>
      </w:r>
      <w:r w:rsidRPr="004635E5">
        <w:rPr>
          <w:rFonts w:cs="Times New Roman"/>
        </w:rPr>
        <w:t xml:space="preserve"> estimates are available</w:t>
      </w:r>
      <w:r w:rsidR="00E81926" w:rsidRPr="004635E5">
        <w:rPr>
          <w:rFonts w:cs="Times New Roman"/>
        </w:rPr>
        <w:t xml:space="preserve">, and a </w:t>
      </w:r>
      <w:r w:rsidR="00E81926" w:rsidRPr="004635E5">
        <w:rPr>
          <w:rFonts w:cs="Times New Roman"/>
          <w:bCs/>
          <w:lang w:val="en-GB"/>
        </w:rPr>
        <w:t>recommendation by RMI that SC address the low levels of operational-level data being provided regarding bycatch</w:t>
      </w:r>
      <w:r w:rsidR="00810392" w:rsidRPr="004635E5">
        <w:rPr>
          <w:rFonts w:cs="Times New Roman"/>
          <w:bCs/>
          <w:lang w:eastAsia="ko-KR"/>
        </w:rPr>
        <w:t>.</w:t>
      </w:r>
    </w:p>
    <w:p w14:paraId="0AECD4B2" w14:textId="77777777" w:rsidR="00557DD1" w:rsidRPr="004635E5" w:rsidRDefault="00557DD1" w:rsidP="006633A8">
      <w:pPr>
        <w:pStyle w:val="WCPFC"/>
        <w:numPr>
          <w:ilvl w:val="0"/>
          <w:numId w:val="0"/>
        </w:numPr>
        <w:autoSpaceDE w:val="0"/>
        <w:autoSpaceDN w:val="0"/>
        <w:adjustRightInd w:val="0"/>
        <w:spacing w:after="0"/>
        <w:rPr>
          <w:rFonts w:cs="Times New Roman"/>
          <w:bCs/>
          <w:lang w:eastAsia="ko-KR"/>
        </w:rPr>
      </w:pPr>
    </w:p>
    <w:p w14:paraId="3AA85C59" w14:textId="77777777" w:rsidR="009C4403" w:rsidRPr="004635E5" w:rsidRDefault="000001A0"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Indo</w:t>
      </w:r>
      <w:r w:rsidR="00A60E5D" w:rsidRPr="004635E5">
        <w:rPr>
          <w:rFonts w:eastAsiaTheme="minorEastAsia"/>
          <w:bCs/>
          <w:sz w:val="22"/>
          <w:szCs w:val="22"/>
          <w:lang w:eastAsia="ko-KR"/>
        </w:rPr>
        <w:t>nesia inquired w</w:t>
      </w:r>
      <w:r w:rsidR="0023246A" w:rsidRPr="004635E5">
        <w:rPr>
          <w:rFonts w:eastAsiaTheme="minorEastAsia"/>
          <w:bCs/>
          <w:sz w:val="22"/>
          <w:szCs w:val="22"/>
          <w:lang w:eastAsia="ko-KR"/>
        </w:rPr>
        <w:t>he</w:t>
      </w:r>
      <w:r w:rsidR="00A60E5D" w:rsidRPr="004635E5">
        <w:rPr>
          <w:rFonts w:eastAsiaTheme="minorEastAsia"/>
          <w:bCs/>
          <w:sz w:val="22"/>
          <w:szCs w:val="22"/>
          <w:lang w:eastAsia="ko-KR"/>
        </w:rPr>
        <w:t xml:space="preserve">ther the difference in </w:t>
      </w:r>
      <w:r w:rsidRPr="004635E5">
        <w:rPr>
          <w:rFonts w:eastAsiaTheme="minorEastAsia"/>
          <w:bCs/>
          <w:sz w:val="22"/>
          <w:szCs w:val="22"/>
          <w:lang w:eastAsia="ko-KR"/>
        </w:rPr>
        <w:t>anchored FAD vs</w:t>
      </w:r>
      <w:r w:rsidR="00A60E5D" w:rsidRPr="004635E5">
        <w:rPr>
          <w:rFonts w:eastAsiaTheme="minorEastAsia"/>
          <w:bCs/>
          <w:sz w:val="22"/>
          <w:szCs w:val="22"/>
          <w:lang w:eastAsia="ko-KR"/>
        </w:rPr>
        <w:t>.</w:t>
      </w:r>
      <w:r w:rsidRPr="004635E5">
        <w:rPr>
          <w:rFonts w:eastAsiaTheme="minorEastAsia"/>
          <w:bCs/>
          <w:sz w:val="22"/>
          <w:szCs w:val="22"/>
          <w:lang w:eastAsia="ko-KR"/>
        </w:rPr>
        <w:t xml:space="preserve"> drifting FAD interactions reflect</w:t>
      </w:r>
      <w:r w:rsidR="00A60E5D" w:rsidRPr="004635E5">
        <w:rPr>
          <w:rFonts w:eastAsiaTheme="minorEastAsia"/>
          <w:bCs/>
          <w:sz w:val="22"/>
          <w:szCs w:val="22"/>
          <w:lang w:eastAsia="ko-KR"/>
        </w:rPr>
        <w:t>ed</w:t>
      </w:r>
      <w:r w:rsidRPr="004635E5">
        <w:rPr>
          <w:rFonts w:eastAsiaTheme="minorEastAsia"/>
          <w:bCs/>
          <w:sz w:val="22"/>
          <w:szCs w:val="22"/>
          <w:lang w:eastAsia="ko-KR"/>
        </w:rPr>
        <w:t xml:space="preserve"> </w:t>
      </w:r>
      <w:r w:rsidR="00A60E5D" w:rsidRPr="004635E5">
        <w:rPr>
          <w:rFonts w:eastAsiaTheme="minorEastAsia"/>
          <w:bCs/>
          <w:sz w:val="22"/>
          <w:szCs w:val="22"/>
          <w:lang w:eastAsia="ko-KR"/>
        </w:rPr>
        <w:t xml:space="preserve">a difference in </w:t>
      </w:r>
      <w:r w:rsidRPr="004635E5">
        <w:rPr>
          <w:rFonts w:eastAsiaTheme="minorEastAsia"/>
          <w:bCs/>
          <w:sz w:val="22"/>
          <w:szCs w:val="22"/>
          <w:lang w:eastAsia="ko-KR"/>
        </w:rPr>
        <w:t xml:space="preserve">actual interactions, or </w:t>
      </w:r>
      <w:r w:rsidR="00E81926" w:rsidRPr="004635E5">
        <w:rPr>
          <w:rFonts w:eastAsiaTheme="minorEastAsia"/>
          <w:bCs/>
          <w:sz w:val="22"/>
          <w:szCs w:val="22"/>
          <w:lang w:eastAsia="ko-KR"/>
        </w:rPr>
        <w:t xml:space="preserve">whether </w:t>
      </w:r>
      <w:r w:rsidR="00A60E5D" w:rsidRPr="004635E5">
        <w:rPr>
          <w:rFonts w:eastAsiaTheme="minorEastAsia"/>
          <w:bCs/>
          <w:sz w:val="22"/>
          <w:szCs w:val="22"/>
          <w:lang w:eastAsia="ko-KR"/>
        </w:rPr>
        <w:t xml:space="preserve">less </w:t>
      </w:r>
      <w:r w:rsidRPr="004635E5">
        <w:rPr>
          <w:rFonts w:eastAsiaTheme="minorEastAsia"/>
          <w:bCs/>
          <w:sz w:val="22"/>
          <w:szCs w:val="22"/>
          <w:lang w:eastAsia="ko-KR"/>
        </w:rPr>
        <w:t xml:space="preserve">data </w:t>
      </w:r>
      <w:r w:rsidR="00E81926" w:rsidRPr="004635E5">
        <w:rPr>
          <w:rFonts w:eastAsiaTheme="minorEastAsia"/>
          <w:bCs/>
          <w:sz w:val="22"/>
          <w:szCs w:val="22"/>
          <w:lang w:eastAsia="ko-KR"/>
        </w:rPr>
        <w:t xml:space="preserve">were </w:t>
      </w:r>
      <w:r w:rsidR="00A60E5D" w:rsidRPr="004635E5">
        <w:rPr>
          <w:rFonts w:eastAsiaTheme="minorEastAsia"/>
          <w:bCs/>
          <w:sz w:val="22"/>
          <w:szCs w:val="22"/>
          <w:lang w:eastAsia="ko-KR"/>
        </w:rPr>
        <w:t>available from ancho</w:t>
      </w:r>
      <w:r w:rsidRPr="004635E5">
        <w:rPr>
          <w:rFonts w:eastAsiaTheme="minorEastAsia"/>
          <w:bCs/>
          <w:sz w:val="22"/>
          <w:szCs w:val="22"/>
          <w:lang w:eastAsia="ko-KR"/>
        </w:rPr>
        <w:t>red FAD</w:t>
      </w:r>
      <w:r w:rsidR="0061195B">
        <w:rPr>
          <w:rFonts w:eastAsiaTheme="minorEastAsia" w:hint="eastAsia"/>
          <w:bCs/>
          <w:sz w:val="22"/>
          <w:szCs w:val="22"/>
          <w:lang w:eastAsia="ko-KR"/>
        </w:rPr>
        <w:t>s</w:t>
      </w:r>
      <w:r w:rsidR="0023246A" w:rsidRPr="004635E5">
        <w:rPr>
          <w:rFonts w:eastAsiaTheme="minorEastAsia"/>
          <w:bCs/>
          <w:sz w:val="22"/>
          <w:szCs w:val="22"/>
          <w:lang w:eastAsia="ko-KR"/>
        </w:rPr>
        <w:t xml:space="preserve">. </w:t>
      </w:r>
      <w:r w:rsidR="001C0854" w:rsidRPr="004635E5">
        <w:rPr>
          <w:rFonts w:eastAsiaTheme="minorEastAsia"/>
          <w:bCs/>
          <w:sz w:val="22"/>
          <w:szCs w:val="22"/>
          <w:lang w:eastAsia="ko-KR"/>
        </w:rPr>
        <w:t>SPC</w:t>
      </w:r>
      <w:r w:rsidR="0023246A" w:rsidRPr="004635E5">
        <w:rPr>
          <w:rFonts w:eastAsiaTheme="minorEastAsia"/>
          <w:bCs/>
          <w:sz w:val="22"/>
          <w:szCs w:val="22"/>
          <w:lang w:eastAsia="ko-KR"/>
        </w:rPr>
        <w:t xml:space="preserve"> stated that </w:t>
      </w:r>
      <w:r w:rsidR="001C0854" w:rsidRPr="004635E5">
        <w:rPr>
          <w:rFonts w:eastAsiaTheme="minorEastAsia"/>
          <w:bCs/>
          <w:sz w:val="22"/>
          <w:szCs w:val="22"/>
          <w:lang w:eastAsia="ko-KR"/>
        </w:rPr>
        <w:t>diff</w:t>
      </w:r>
      <w:r w:rsidR="0023246A" w:rsidRPr="004635E5">
        <w:rPr>
          <w:rFonts w:eastAsiaTheme="minorEastAsia"/>
          <w:bCs/>
          <w:sz w:val="22"/>
          <w:szCs w:val="22"/>
          <w:lang w:eastAsia="ko-KR"/>
        </w:rPr>
        <w:t>erences</w:t>
      </w:r>
      <w:r w:rsidR="001C0854" w:rsidRPr="004635E5">
        <w:rPr>
          <w:rFonts w:eastAsiaTheme="minorEastAsia"/>
          <w:bCs/>
          <w:sz w:val="22"/>
          <w:szCs w:val="22"/>
          <w:lang w:eastAsia="ko-KR"/>
        </w:rPr>
        <w:t xml:space="preserve"> in estimated catch rates </w:t>
      </w:r>
      <w:r w:rsidR="0023246A" w:rsidRPr="004635E5">
        <w:rPr>
          <w:rFonts w:eastAsiaTheme="minorEastAsia"/>
          <w:bCs/>
          <w:sz w:val="22"/>
          <w:szCs w:val="22"/>
          <w:lang w:eastAsia="ko-KR"/>
        </w:rPr>
        <w:t>by FAD type probably did not reflect</w:t>
      </w:r>
      <w:r w:rsidR="001C0854" w:rsidRPr="004635E5">
        <w:rPr>
          <w:rFonts w:eastAsiaTheme="minorEastAsia"/>
          <w:bCs/>
          <w:sz w:val="22"/>
          <w:szCs w:val="22"/>
          <w:lang w:eastAsia="ko-KR"/>
        </w:rPr>
        <w:t xml:space="preserve"> a lack of data, given </w:t>
      </w:r>
      <w:r w:rsidR="0023246A" w:rsidRPr="004635E5">
        <w:rPr>
          <w:rFonts w:eastAsiaTheme="minorEastAsia"/>
          <w:bCs/>
          <w:sz w:val="22"/>
          <w:szCs w:val="22"/>
          <w:lang w:eastAsia="ko-KR"/>
        </w:rPr>
        <w:t xml:space="preserve">the </w:t>
      </w:r>
      <w:r w:rsidR="001C0854" w:rsidRPr="004635E5">
        <w:rPr>
          <w:rFonts w:eastAsiaTheme="minorEastAsia"/>
          <w:bCs/>
          <w:sz w:val="22"/>
          <w:szCs w:val="22"/>
          <w:lang w:eastAsia="ko-KR"/>
        </w:rPr>
        <w:t>high obs</w:t>
      </w:r>
      <w:r w:rsidR="0023246A" w:rsidRPr="004635E5">
        <w:rPr>
          <w:rFonts w:eastAsiaTheme="minorEastAsia"/>
          <w:bCs/>
          <w:sz w:val="22"/>
          <w:szCs w:val="22"/>
          <w:lang w:eastAsia="ko-KR"/>
        </w:rPr>
        <w:t>erver</w:t>
      </w:r>
      <w:r w:rsidR="001F3FF4">
        <w:rPr>
          <w:rFonts w:eastAsiaTheme="minorEastAsia"/>
          <w:bCs/>
          <w:sz w:val="22"/>
          <w:szCs w:val="22"/>
          <w:lang w:eastAsia="ko-KR"/>
        </w:rPr>
        <w:t xml:space="preserve"> </w:t>
      </w:r>
      <w:r w:rsidR="001C0854" w:rsidRPr="004635E5">
        <w:rPr>
          <w:rFonts w:eastAsiaTheme="minorEastAsia"/>
          <w:bCs/>
          <w:sz w:val="22"/>
          <w:szCs w:val="22"/>
          <w:lang w:eastAsia="ko-KR"/>
        </w:rPr>
        <w:t xml:space="preserve">levels in </w:t>
      </w:r>
      <w:r w:rsidR="0023246A" w:rsidRPr="004635E5">
        <w:rPr>
          <w:rFonts w:eastAsiaTheme="minorEastAsia"/>
          <w:bCs/>
          <w:sz w:val="22"/>
          <w:szCs w:val="22"/>
          <w:lang w:eastAsia="ko-KR"/>
        </w:rPr>
        <w:t xml:space="preserve">the </w:t>
      </w:r>
      <w:r w:rsidR="00837078" w:rsidRPr="004635E5">
        <w:rPr>
          <w:rFonts w:eastAsiaTheme="minorEastAsia"/>
          <w:bCs/>
          <w:sz w:val="22"/>
          <w:szCs w:val="22"/>
          <w:lang w:eastAsia="ko-KR"/>
        </w:rPr>
        <w:t>purse seine</w:t>
      </w:r>
      <w:r w:rsidR="001C0854" w:rsidRPr="004635E5">
        <w:rPr>
          <w:rFonts w:eastAsiaTheme="minorEastAsia"/>
          <w:bCs/>
          <w:sz w:val="22"/>
          <w:szCs w:val="22"/>
          <w:lang w:eastAsia="ko-KR"/>
        </w:rPr>
        <w:t xml:space="preserve"> fishery</w:t>
      </w:r>
      <w:r w:rsidR="008F0F29" w:rsidRPr="004635E5">
        <w:rPr>
          <w:rFonts w:eastAsiaTheme="minorEastAsia"/>
          <w:bCs/>
          <w:sz w:val="22"/>
          <w:szCs w:val="22"/>
          <w:lang w:eastAsia="ko-KR"/>
        </w:rPr>
        <w:t xml:space="preserve">, and </w:t>
      </w:r>
      <w:r w:rsidR="0023246A" w:rsidRPr="004635E5">
        <w:rPr>
          <w:rFonts w:eastAsiaTheme="minorEastAsia"/>
          <w:bCs/>
          <w:sz w:val="22"/>
          <w:szCs w:val="22"/>
          <w:lang w:eastAsia="ko-KR"/>
        </w:rPr>
        <w:t>noted the influence of level of effort</w:t>
      </w:r>
      <w:r w:rsidR="001C0854" w:rsidRPr="004635E5">
        <w:rPr>
          <w:rFonts w:eastAsiaTheme="minorEastAsia"/>
          <w:bCs/>
          <w:sz w:val="22"/>
          <w:szCs w:val="22"/>
          <w:lang w:eastAsia="ko-KR"/>
        </w:rPr>
        <w:t xml:space="preserve">, </w:t>
      </w:r>
      <w:r w:rsidR="0023246A" w:rsidRPr="004635E5">
        <w:rPr>
          <w:rFonts w:eastAsiaTheme="minorEastAsia"/>
          <w:bCs/>
          <w:sz w:val="22"/>
          <w:szCs w:val="22"/>
          <w:lang w:eastAsia="ko-KR"/>
        </w:rPr>
        <w:t xml:space="preserve">rather than just </w:t>
      </w:r>
      <w:r w:rsidR="001C0854" w:rsidRPr="004635E5">
        <w:rPr>
          <w:rFonts w:eastAsiaTheme="minorEastAsia"/>
          <w:bCs/>
          <w:sz w:val="22"/>
          <w:szCs w:val="22"/>
          <w:lang w:eastAsia="ko-KR"/>
        </w:rPr>
        <w:t xml:space="preserve">catch rate. </w:t>
      </w:r>
      <w:r w:rsidR="00E81926" w:rsidRPr="004635E5">
        <w:rPr>
          <w:rFonts w:eastAsiaTheme="minorEastAsia"/>
          <w:bCs/>
          <w:sz w:val="22"/>
          <w:szCs w:val="22"/>
          <w:lang w:eastAsia="ko-KR"/>
        </w:rPr>
        <w:t xml:space="preserve">In response to a second query by Indonesia, he </w:t>
      </w:r>
      <w:r w:rsidR="008F0F29" w:rsidRPr="004635E5">
        <w:rPr>
          <w:rFonts w:eastAsiaTheme="minorEastAsia"/>
          <w:bCs/>
          <w:sz w:val="22"/>
          <w:szCs w:val="22"/>
          <w:lang w:eastAsia="ko-KR"/>
        </w:rPr>
        <w:t xml:space="preserve">indicated </w:t>
      </w:r>
      <w:r w:rsidR="0023246A" w:rsidRPr="004635E5">
        <w:rPr>
          <w:rFonts w:eastAsiaTheme="minorEastAsia"/>
          <w:bCs/>
          <w:sz w:val="22"/>
          <w:szCs w:val="22"/>
          <w:lang w:eastAsia="ko-KR"/>
        </w:rPr>
        <w:t xml:space="preserve">the </w:t>
      </w:r>
      <w:r w:rsidR="001C0854" w:rsidRPr="004635E5">
        <w:rPr>
          <w:rFonts w:eastAsiaTheme="minorEastAsia"/>
          <w:bCs/>
          <w:sz w:val="22"/>
          <w:szCs w:val="22"/>
          <w:lang w:eastAsia="ko-KR"/>
        </w:rPr>
        <w:t>disclaimer</w:t>
      </w:r>
      <w:r w:rsidR="0023246A" w:rsidRPr="004635E5">
        <w:rPr>
          <w:rFonts w:eastAsiaTheme="minorEastAsia"/>
          <w:bCs/>
          <w:sz w:val="22"/>
          <w:szCs w:val="22"/>
          <w:lang w:eastAsia="ko-KR"/>
        </w:rPr>
        <w:t xml:space="preserve"> </w:t>
      </w:r>
      <w:r w:rsidR="008F0F29" w:rsidRPr="004635E5">
        <w:rPr>
          <w:rFonts w:eastAsiaTheme="minorEastAsia"/>
          <w:bCs/>
          <w:sz w:val="22"/>
          <w:szCs w:val="22"/>
          <w:lang w:eastAsia="ko-KR"/>
        </w:rPr>
        <w:t xml:space="preserve">in the paper </w:t>
      </w:r>
      <w:r w:rsidR="00B47784" w:rsidRPr="004635E5">
        <w:rPr>
          <w:rFonts w:eastAsiaTheme="minorEastAsia"/>
          <w:bCs/>
          <w:sz w:val="22"/>
          <w:szCs w:val="22"/>
          <w:lang w:eastAsia="ko-KR"/>
        </w:rPr>
        <w:t xml:space="preserve">sought </w:t>
      </w:r>
      <w:r w:rsidR="001C0854" w:rsidRPr="004635E5">
        <w:rPr>
          <w:rFonts w:eastAsiaTheme="minorEastAsia"/>
          <w:bCs/>
          <w:sz w:val="22"/>
          <w:szCs w:val="22"/>
          <w:lang w:eastAsia="ko-KR"/>
        </w:rPr>
        <w:t>to prevent use of bycatch estimates without consider</w:t>
      </w:r>
      <w:r w:rsidR="00E81926" w:rsidRPr="004635E5">
        <w:rPr>
          <w:rFonts w:eastAsiaTheme="minorEastAsia"/>
          <w:bCs/>
          <w:sz w:val="22"/>
          <w:szCs w:val="22"/>
          <w:lang w:eastAsia="ko-KR"/>
        </w:rPr>
        <w:t xml:space="preserve">ation of </w:t>
      </w:r>
      <w:r w:rsidR="0023246A" w:rsidRPr="004635E5">
        <w:rPr>
          <w:rFonts w:eastAsiaTheme="minorEastAsia"/>
          <w:bCs/>
          <w:sz w:val="22"/>
          <w:szCs w:val="22"/>
          <w:lang w:eastAsia="ko-KR"/>
        </w:rPr>
        <w:t xml:space="preserve">the </w:t>
      </w:r>
      <w:r w:rsidR="001C0854" w:rsidRPr="004635E5">
        <w:rPr>
          <w:rFonts w:eastAsiaTheme="minorEastAsia"/>
          <w:bCs/>
          <w:sz w:val="22"/>
          <w:szCs w:val="22"/>
          <w:lang w:eastAsia="ko-KR"/>
        </w:rPr>
        <w:t xml:space="preserve">uncertainty in catch rate estimates. </w:t>
      </w:r>
    </w:p>
    <w:p w14:paraId="67EB9833" w14:textId="77777777" w:rsidR="00557DD1" w:rsidRPr="004635E5" w:rsidRDefault="00557DD1" w:rsidP="006633A8">
      <w:pPr>
        <w:autoSpaceDE w:val="0"/>
        <w:autoSpaceDN w:val="0"/>
        <w:adjustRightInd w:val="0"/>
        <w:snapToGrid w:val="0"/>
        <w:jc w:val="both"/>
        <w:rPr>
          <w:rFonts w:eastAsiaTheme="minorEastAsia"/>
          <w:bCs/>
          <w:sz w:val="22"/>
          <w:szCs w:val="22"/>
          <w:lang w:eastAsia="ko-KR"/>
        </w:rPr>
      </w:pPr>
    </w:p>
    <w:p w14:paraId="543ABC82" w14:textId="77777777" w:rsidR="009C4403" w:rsidRPr="004635E5" w:rsidRDefault="001C0854"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Aus</w:t>
      </w:r>
      <w:r w:rsidR="0023246A" w:rsidRPr="004635E5">
        <w:rPr>
          <w:rFonts w:eastAsiaTheme="minorEastAsia"/>
          <w:bCs/>
          <w:sz w:val="22"/>
          <w:szCs w:val="22"/>
          <w:lang w:eastAsia="ko-KR"/>
        </w:rPr>
        <w:t>tralia</w:t>
      </w:r>
      <w:r w:rsidRPr="004635E5">
        <w:rPr>
          <w:rFonts w:eastAsiaTheme="minorEastAsia"/>
          <w:bCs/>
          <w:sz w:val="22"/>
          <w:szCs w:val="22"/>
          <w:lang w:eastAsia="ko-KR"/>
        </w:rPr>
        <w:t xml:space="preserve"> </w:t>
      </w:r>
      <w:r w:rsidR="0023246A" w:rsidRPr="004635E5">
        <w:rPr>
          <w:rFonts w:eastAsiaTheme="minorEastAsia"/>
          <w:bCs/>
          <w:sz w:val="22"/>
          <w:szCs w:val="22"/>
          <w:lang w:eastAsia="ko-KR"/>
        </w:rPr>
        <w:t xml:space="preserve">noted that </w:t>
      </w:r>
      <w:r w:rsidRPr="004635E5">
        <w:rPr>
          <w:rFonts w:eastAsiaTheme="minorEastAsia"/>
          <w:bCs/>
          <w:sz w:val="22"/>
          <w:szCs w:val="22"/>
          <w:lang w:eastAsia="ko-KR"/>
        </w:rPr>
        <w:t xml:space="preserve">many factors influence </w:t>
      </w:r>
      <w:r w:rsidR="004421B3" w:rsidRPr="004635E5">
        <w:rPr>
          <w:rFonts w:eastAsiaTheme="minorEastAsia"/>
          <w:bCs/>
          <w:sz w:val="22"/>
          <w:szCs w:val="22"/>
          <w:lang w:eastAsia="ko-KR"/>
        </w:rPr>
        <w:t>longline</w:t>
      </w:r>
      <w:r w:rsidRPr="004635E5">
        <w:rPr>
          <w:rFonts w:eastAsiaTheme="minorEastAsia"/>
          <w:bCs/>
          <w:sz w:val="22"/>
          <w:szCs w:val="22"/>
          <w:lang w:eastAsia="ko-KR"/>
        </w:rPr>
        <w:t xml:space="preserve"> CPUE other than hooks per basket, but </w:t>
      </w:r>
      <w:r w:rsidR="00B40BCC" w:rsidRPr="004635E5">
        <w:rPr>
          <w:rFonts w:eastAsiaTheme="minorEastAsia"/>
          <w:bCs/>
          <w:sz w:val="22"/>
          <w:szCs w:val="22"/>
          <w:lang w:eastAsia="ko-KR"/>
        </w:rPr>
        <w:t xml:space="preserve">that </w:t>
      </w:r>
      <w:r w:rsidR="0023246A" w:rsidRPr="004635E5">
        <w:rPr>
          <w:rFonts w:eastAsiaTheme="minorEastAsia"/>
          <w:bCs/>
          <w:sz w:val="22"/>
          <w:szCs w:val="22"/>
          <w:lang w:eastAsia="ko-KR"/>
        </w:rPr>
        <w:t xml:space="preserve">data </w:t>
      </w:r>
      <w:r w:rsidR="00E81926" w:rsidRPr="004635E5">
        <w:rPr>
          <w:rFonts w:eastAsiaTheme="minorEastAsia"/>
          <w:bCs/>
          <w:sz w:val="22"/>
          <w:szCs w:val="22"/>
          <w:lang w:eastAsia="ko-KR"/>
        </w:rPr>
        <w:t xml:space="preserve">were </w:t>
      </w:r>
      <w:r w:rsidR="0023246A" w:rsidRPr="004635E5">
        <w:rPr>
          <w:rFonts w:eastAsiaTheme="minorEastAsia"/>
          <w:bCs/>
          <w:sz w:val="22"/>
          <w:szCs w:val="22"/>
          <w:lang w:eastAsia="ko-KR"/>
        </w:rPr>
        <w:t>lacking</w:t>
      </w:r>
      <w:r w:rsidR="00E81926" w:rsidRPr="004635E5">
        <w:rPr>
          <w:rFonts w:eastAsiaTheme="minorEastAsia"/>
          <w:bCs/>
          <w:sz w:val="22"/>
          <w:szCs w:val="22"/>
          <w:lang w:eastAsia="ko-KR"/>
        </w:rPr>
        <w:t xml:space="preserve">. They </w:t>
      </w:r>
      <w:r w:rsidR="00E94F63" w:rsidRPr="004635E5">
        <w:rPr>
          <w:rFonts w:eastAsiaTheme="minorEastAsia"/>
          <w:bCs/>
          <w:sz w:val="22"/>
          <w:szCs w:val="22"/>
          <w:lang w:eastAsia="ko-KR"/>
        </w:rPr>
        <w:t xml:space="preserve">asked whether SPC </w:t>
      </w:r>
      <w:r w:rsidRPr="004635E5">
        <w:rPr>
          <w:rFonts w:eastAsiaTheme="minorEastAsia"/>
          <w:bCs/>
          <w:sz w:val="22"/>
          <w:szCs w:val="22"/>
          <w:lang w:eastAsia="ko-KR"/>
        </w:rPr>
        <w:t>consider</w:t>
      </w:r>
      <w:r w:rsidR="00E94F63" w:rsidRPr="004635E5">
        <w:rPr>
          <w:rFonts w:eastAsiaTheme="minorEastAsia"/>
          <w:bCs/>
          <w:sz w:val="22"/>
          <w:szCs w:val="22"/>
          <w:lang w:eastAsia="ko-KR"/>
        </w:rPr>
        <w:t>ed</w:t>
      </w:r>
      <w:r w:rsidRPr="004635E5">
        <w:rPr>
          <w:rFonts w:eastAsiaTheme="minorEastAsia"/>
          <w:bCs/>
          <w:sz w:val="22"/>
          <w:szCs w:val="22"/>
          <w:lang w:eastAsia="ko-KR"/>
        </w:rPr>
        <w:t xml:space="preserve"> using flag of vessel, as there are diff</w:t>
      </w:r>
      <w:r w:rsidR="00E94F63" w:rsidRPr="004635E5">
        <w:rPr>
          <w:rFonts w:eastAsiaTheme="minorEastAsia"/>
          <w:bCs/>
          <w:sz w:val="22"/>
          <w:szCs w:val="22"/>
          <w:lang w:eastAsia="ko-KR"/>
        </w:rPr>
        <w:t xml:space="preserve">erences </w:t>
      </w:r>
      <w:r w:rsidRPr="004635E5">
        <w:rPr>
          <w:rFonts w:eastAsiaTheme="minorEastAsia"/>
          <w:bCs/>
          <w:sz w:val="22"/>
          <w:szCs w:val="22"/>
          <w:lang w:eastAsia="ko-KR"/>
        </w:rPr>
        <w:t>in how they set lines</w:t>
      </w:r>
      <w:r w:rsidR="002A2FD3" w:rsidRPr="004635E5">
        <w:rPr>
          <w:rFonts w:eastAsiaTheme="minorEastAsia"/>
          <w:bCs/>
          <w:sz w:val="22"/>
          <w:szCs w:val="22"/>
          <w:lang w:eastAsia="ko-KR"/>
        </w:rPr>
        <w:t>, and whether repeating the method on a single fleet, such as the US</w:t>
      </w:r>
      <w:r w:rsidR="00C8100A" w:rsidRPr="004635E5">
        <w:rPr>
          <w:rFonts w:eastAsiaTheme="minorEastAsia"/>
          <w:bCs/>
          <w:sz w:val="22"/>
          <w:szCs w:val="22"/>
          <w:lang w:eastAsia="ko-KR"/>
        </w:rPr>
        <w:t>A’s</w:t>
      </w:r>
      <w:r w:rsidR="002A2FD3" w:rsidRPr="004635E5">
        <w:rPr>
          <w:rFonts w:eastAsiaTheme="minorEastAsia"/>
          <w:bCs/>
          <w:sz w:val="22"/>
          <w:szCs w:val="22"/>
          <w:lang w:eastAsia="ko-KR"/>
        </w:rPr>
        <w:t xml:space="preserve"> Hawaii fleet</w:t>
      </w:r>
      <w:r w:rsidR="00B47784" w:rsidRPr="004635E5">
        <w:rPr>
          <w:rFonts w:eastAsiaTheme="minorEastAsia"/>
          <w:bCs/>
          <w:sz w:val="22"/>
          <w:szCs w:val="22"/>
          <w:lang w:eastAsia="ko-KR"/>
        </w:rPr>
        <w:t>,</w:t>
      </w:r>
      <w:r w:rsidR="002A2FD3" w:rsidRPr="004635E5">
        <w:rPr>
          <w:rFonts w:eastAsiaTheme="minorEastAsia"/>
          <w:bCs/>
          <w:sz w:val="22"/>
          <w:szCs w:val="22"/>
          <w:lang w:eastAsia="ko-KR"/>
        </w:rPr>
        <w:t xml:space="preserve"> would validate the method by estimating actual catches. </w:t>
      </w:r>
      <w:r w:rsidRPr="004635E5">
        <w:rPr>
          <w:rFonts w:eastAsiaTheme="minorEastAsia"/>
          <w:bCs/>
          <w:sz w:val="22"/>
          <w:szCs w:val="22"/>
          <w:lang w:eastAsia="ko-KR"/>
        </w:rPr>
        <w:t>SPC</w:t>
      </w:r>
      <w:r w:rsidR="00E94F63" w:rsidRPr="004635E5">
        <w:rPr>
          <w:rFonts w:eastAsiaTheme="minorEastAsia"/>
          <w:bCs/>
          <w:sz w:val="22"/>
          <w:szCs w:val="22"/>
          <w:lang w:eastAsia="ko-KR"/>
        </w:rPr>
        <w:t xml:space="preserve"> stated that they did look at </w:t>
      </w:r>
      <w:r w:rsidR="002A2FD3" w:rsidRPr="004635E5">
        <w:rPr>
          <w:rFonts w:eastAsiaTheme="minorEastAsia"/>
          <w:bCs/>
          <w:sz w:val="22"/>
          <w:szCs w:val="22"/>
          <w:lang w:eastAsia="ko-KR"/>
        </w:rPr>
        <w:t>replacing</w:t>
      </w:r>
      <w:r w:rsidRPr="004635E5">
        <w:rPr>
          <w:rFonts w:eastAsiaTheme="minorEastAsia"/>
          <w:bCs/>
          <w:sz w:val="22"/>
          <w:szCs w:val="22"/>
          <w:lang w:eastAsia="ko-KR"/>
        </w:rPr>
        <w:t xml:space="preserve"> catch composition cluster with flag effect</w:t>
      </w:r>
      <w:r w:rsidR="002A2FD3" w:rsidRPr="004635E5">
        <w:rPr>
          <w:rFonts w:eastAsiaTheme="minorEastAsia"/>
          <w:bCs/>
          <w:sz w:val="22"/>
          <w:szCs w:val="22"/>
          <w:lang w:eastAsia="ko-KR"/>
        </w:rPr>
        <w:t xml:space="preserve"> and </w:t>
      </w:r>
      <w:r w:rsidRPr="004635E5">
        <w:rPr>
          <w:rFonts w:eastAsiaTheme="minorEastAsia"/>
          <w:bCs/>
          <w:sz w:val="22"/>
          <w:szCs w:val="22"/>
          <w:lang w:eastAsia="ko-KR"/>
        </w:rPr>
        <w:t xml:space="preserve">fitted over 1000 models of varying configurations, but </w:t>
      </w:r>
      <w:r w:rsidR="002A2FD3" w:rsidRPr="004635E5">
        <w:rPr>
          <w:rFonts w:eastAsiaTheme="minorEastAsia"/>
          <w:bCs/>
          <w:sz w:val="22"/>
          <w:szCs w:val="22"/>
          <w:lang w:eastAsia="ko-KR"/>
        </w:rPr>
        <w:t xml:space="preserve">saw </w:t>
      </w:r>
      <w:r w:rsidRPr="004635E5">
        <w:rPr>
          <w:rFonts w:eastAsiaTheme="minorEastAsia"/>
          <w:bCs/>
          <w:sz w:val="22"/>
          <w:szCs w:val="22"/>
          <w:lang w:eastAsia="ko-KR"/>
        </w:rPr>
        <w:t xml:space="preserve">no reason to prefer over this model structure. </w:t>
      </w:r>
      <w:r w:rsidR="002A2FD3" w:rsidRPr="004635E5">
        <w:rPr>
          <w:rFonts w:eastAsiaTheme="minorEastAsia"/>
          <w:bCs/>
          <w:sz w:val="22"/>
          <w:szCs w:val="22"/>
          <w:lang w:eastAsia="ko-KR"/>
        </w:rPr>
        <w:t xml:space="preserve">SPC stated they would </w:t>
      </w:r>
      <w:r w:rsidRPr="004635E5">
        <w:rPr>
          <w:rFonts w:eastAsiaTheme="minorEastAsia"/>
          <w:bCs/>
          <w:sz w:val="22"/>
          <w:szCs w:val="22"/>
          <w:lang w:eastAsia="ko-KR"/>
        </w:rPr>
        <w:t>need to use flag plus some info</w:t>
      </w:r>
      <w:r w:rsidR="00203509" w:rsidRPr="004635E5">
        <w:rPr>
          <w:rFonts w:eastAsiaTheme="minorEastAsia"/>
          <w:bCs/>
          <w:sz w:val="22"/>
          <w:szCs w:val="22"/>
          <w:lang w:eastAsia="ko-KR"/>
        </w:rPr>
        <w:t>rmation</w:t>
      </w:r>
      <w:r w:rsidRPr="004635E5">
        <w:rPr>
          <w:rFonts w:eastAsiaTheme="minorEastAsia"/>
          <w:bCs/>
          <w:sz w:val="22"/>
          <w:szCs w:val="22"/>
          <w:lang w:eastAsia="ko-KR"/>
        </w:rPr>
        <w:t xml:space="preserve"> on fishery strategy</w:t>
      </w:r>
      <w:r w:rsidR="002A2FD3" w:rsidRPr="004635E5">
        <w:rPr>
          <w:rFonts w:eastAsiaTheme="minorEastAsia"/>
          <w:bCs/>
          <w:sz w:val="22"/>
          <w:szCs w:val="22"/>
          <w:lang w:eastAsia="ko-KR"/>
        </w:rPr>
        <w:t xml:space="preserve">, accounting for </w:t>
      </w:r>
      <w:r w:rsidRPr="004635E5">
        <w:rPr>
          <w:rFonts w:eastAsiaTheme="minorEastAsia"/>
          <w:bCs/>
          <w:sz w:val="22"/>
          <w:szCs w:val="22"/>
          <w:lang w:eastAsia="ko-KR"/>
        </w:rPr>
        <w:t xml:space="preserve">deep and shallow sectors of a flag. </w:t>
      </w:r>
      <w:r w:rsidR="002A2FD3" w:rsidRPr="004635E5">
        <w:rPr>
          <w:rFonts w:eastAsiaTheme="minorEastAsia"/>
          <w:bCs/>
          <w:sz w:val="22"/>
          <w:szCs w:val="22"/>
          <w:lang w:eastAsia="ko-KR"/>
        </w:rPr>
        <w:t>They als</w:t>
      </w:r>
      <w:r w:rsidR="009C4403" w:rsidRPr="004635E5">
        <w:rPr>
          <w:rFonts w:eastAsiaTheme="minorEastAsia"/>
          <w:bCs/>
          <w:sz w:val="22"/>
          <w:szCs w:val="22"/>
          <w:lang w:eastAsia="ko-KR"/>
        </w:rPr>
        <w:t>o</w:t>
      </w:r>
      <w:r w:rsidR="002A2FD3" w:rsidRPr="004635E5">
        <w:rPr>
          <w:rFonts w:eastAsiaTheme="minorEastAsia"/>
          <w:bCs/>
          <w:sz w:val="22"/>
          <w:szCs w:val="22"/>
          <w:lang w:eastAsia="ko-KR"/>
        </w:rPr>
        <w:t xml:space="preserve"> </w:t>
      </w:r>
      <w:r w:rsidR="00335561" w:rsidRPr="004635E5">
        <w:rPr>
          <w:rFonts w:eastAsiaTheme="minorEastAsia"/>
          <w:bCs/>
          <w:sz w:val="22"/>
          <w:szCs w:val="22"/>
          <w:lang w:eastAsia="ko-KR"/>
        </w:rPr>
        <w:t>compared model est</w:t>
      </w:r>
      <w:r w:rsidR="002A2FD3" w:rsidRPr="004635E5">
        <w:rPr>
          <w:rFonts w:eastAsiaTheme="minorEastAsia"/>
          <w:bCs/>
          <w:sz w:val="22"/>
          <w:szCs w:val="22"/>
          <w:lang w:eastAsia="ko-KR"/>
        </w:rPr>
        <w:t xml:space="preserve">imates </w:t>
      </w:r>
      <w:r w:rsidR="00335561" w:rsidRPr="004635E5">
        <w:rPr>
          <w:rFonts w:eastAsiaTheme="minorEastAsia"/>
          <w:bCs/>
          <w:sz w:val="22"/>
          <w:szCs w:val="22"/>
          <w:lang w:eastAsia="ko-KR"/>
        </w:rPr>
        <w:t xml:space="preserve">for </w:t>
      </w:r>
      <w:r w:rsidR="00C8100A" w:rsidRPr="004635E5">
        <w:rPr>
          <w:rFonts w:eastAsiaTheme="minorEastAsia"/>
          <w:bCs/>
          <w:sz w:val="22"/>
          <w:szCs w:val="22"/>
          <w:lang w:eastAsia="ko-KR"/>
        </w:rPr>
        <w:t xml:space="preserve">the </w:t>
      </w:r>
      <w:r w:rsidR="00335561" w:rsidRPr="004635E5">
        <w:rPr>
          <w:rFonts w:eastAsiaTheme="minorEastAsia"/>
          <w:bCs/>
          <w:sz w:val="22"/>
          <w:szCs w:val="22"/>
          <w:lang w:eastAsia="ko-KR"/>
        </w:rPr>
        <w:t>U</w:t>
      </w:r>
      <w:r w:rsidR="002A2FD3" w:rsidRPr="004635E5">
        <w:rPr>
          <w:rFonts w:eastAsiaTheme="minorEastAsia"/>
          <w:bCs/>
          <w:sz w:val="22"/>
          <w:szCs w:val="22"/>
          <w:lang w:eastAsia="ko-KR"/>
        </w:rPr>
        <w:t>S</w:t>
      </w:r>
      <w:r w:rsidR="00C8100A" w:rsidRPr="004635E5">
        <w:rPr>
          <w:rFonts w:eastAsiaTheme="minorEastAsia"/>
          <w:bCs/>
          <w:sz w:val="22"/>
          <w:szCs w:val="22"/>
          <w:lang w:eastAsia="ko-KR"/>
        </w:rPr>
        <w:t>A</w:t>
      </w:r>
      <w:r w:rsidR="002A2FD3" w:rsidRPr="004635E5">
        <w:rPr>
          <w:rFonts w:eastAsiaTheme="minorEastAsia"/>
          <w:bCs/>
          <w:sz w:val="22"/>
          <w:szCs w:val="22"/>
          <w:lang w:eastAsia="ko-KR"/>
        </w:rPr>
        <w:t xml:space="preserve"> deep-</w:t>
      </w:r>
      <w:r w:rsidR="00335561" w:rsidRPr="004635E5">
        <w:rPr>
          <w:rFonts w:eastAsiaTheme="minorEastAsia"/>
          <w:bCs/>
          <w:sz w:val="22"/>
          <w:szCs w:val="22"/>
          <w:lang w:eastAsia="ko-KR"/>
        </w:rPr>
        <w:t>set fishery against reported c</w:t>
      </w:r>
      <w:r w:rsidR="002A2FD3" w:rsidRPr="004635E5">
        <w:rPr>
          <w:rFonts w:eastAsiaTheme="minorEastAsia"/>
          <w:bCs/>
          <w:sz w:val="22"/>
          <w:szCs w:val="22"/>
          <w:lang w:eastAsia="ko-KR"/>
        </w:rPr>
        <w:t>atc</w:t>
      </w:r>
      <w:r w:rsidR="00335561" w:rsidRPr="004635E5">
        <w:rPr>
          <w:rFonts w:eastAsiaTheme="minorEastAsia"/>
          <w:bCs/>
          <w:sz w:val="22"/>
          <w:szCs w:val="22"/>
          <w:lang w:eastAsia="ko-KR"/>
        </w:rPr>
        <w:t xml:space="preserve">hes in operational data. For some species </w:t>
      </w:r>
      <w:r w:rsidR="00DE7CD0" w:rsidRPr="004635E5">
        <w:rPr>
          <w:rFonts w:eastAsiaTheme="minorEastAsia"/>
          <w:bCs/>
          <w:sz w:val="22"/>
          <w:szCs w:val="22"/>
          <w:lang w:eastAsia="ko-KR"/>
        </w:rPr>
        <w:t xml:space="preserve">alignment </w:t>
      </w:r>
      <w:r w:rsidR="00203509" w:rsidRPr="004635E5">
        <w:rPr>
          <w:rFonts w:eastAsiaTheme="minorEastAsia"/>
          <w:bCs/>
          <w:sz w:val="22"/>
          <w:szCs w:val="22"/>
          <w:lang w:eastAsia="ko-KR"/>
        </w:rPr>
        <w:t xml:space="preserve">was </w:t>
      </w:r>
      <w:r w:rsidR="00DE7CD0" w:rsidRPr="004635E5">
        <w:rPr>
          <w:rFonts w:eastAsiaTheme="minorEastAsia"/>
          <w:bCs/>
          <w:sz w:val="22"/>
          <w:szCs w:val="22"/>
          <w:lang w:eastAsia="ko-KR"/>
        </w:rPr>
        <w:t xml:space="preserve">very good </w:t>
      </w:r>
      <w:r w:rsidR="00335561" w:rsidRPr="004635E5">
        <w:rPr>
          <w:rFonts w:eastAsiaTheme="minorEastAsia"/>
          <w:bCs/>
          <w:sz w:val="22"/>
          <w:szCs w:val="22"/>
          <w:lang w:eastAsia="ko-KR"/>
        </w:rPr>
        <w:t>(</w:t>
      </w:r>
      <w:r w:rsidR="00DE7CD0" w:rsidRPr="004635E5">
        <w:rPr>
          <w:rFonts w:eastAsiaTheme="minorEastAsia"/>
          <w:bCs/>
          <w:sz w:val="22"/>
          <w:szCs w:val="22"/>
          <w:lang w:eastAsia="ko-KR"/>
        </w:rPr>
        <w:t xml:space="preserve">e.g., </w:t>
      </w:r>
      <w:r w:rsidR="002D5D17" w:rsidRPr="004635E5">
        <w:rPr>
          <w:rFonts w:eastAsiaTheme="minorEastAsia"/>
          <w:bCs/>
          <w:sz w:val="22"/>
          <w:szCs w:val="22"/>
          <w:lang w:eastAsia="ko-KR"/>
        </w:rPr>
        <w:t>North Pacific</w:t>
      </w:r>
      <w:r w:rsidR="00335561" w:rsidRPr="004635E5">
        <w:rPr>
          <w:rFonts w:eastAsiaTheme="minorEastAsia"/>
          <w:bCs/>
          <w:sz w:val="22"/>
          <w:szCs w:val="22"/>
          <w:lang w:eastAsia="ko-KR"/>
        </w:rPr>
        <w:t xml:space="preserve"> </w:t>
      </w:r>
      <w:r w:rsidR="002D5D17" w:rsidRPr="004635E5">
        <w:rPr>
          <w:rFonts w:eastAsiaTheme="minorEastAsia"/>
          <w:bCs/>
          <w:sz w:val="22"/>
          <w:szCs w:val="22"/>
          <w:lang w:eastAsia="ko-KR"/>
        </w:rPr>
        <w:t>albacore</w:t>
      </w:r>
      <w:r w:rsidR="00335561" w:rsidRPr="004635E5">
        <w:rPr>
          <w:rFonts w:eastAsiaTheme="minorEastAsia"/>
          <w:bCs/>
          <w:sz w:val="22"/>
          <w:szCs w:val="22"/>
          <w:lang w:eastAsia="ko-KR"/>
        </w:rPr>
        <w:t xml:space="preserve">); for others </w:t>
      </w:r>
      <w:r w:rsidR="00DE7CD0" w:rsidRPr="004635E5">
        <w:rPr>
          <w:rFonts w:eastAsiaTheme="minorEastAsia"/>
          <w:bCs/>
          <w:sz w:val="22"/>
          <w:szCs w:val="22"/>
          <w:lang w:eastAsia="ko-KR"/>
        </w:rPr>
        <w:t xml:space="preserve">there </w:t>
      </w:r>
      <w:r w:rsidR="00203509" w:rsidRPr="004635E5">
        <w:rPr>
          <w:rFonts w:eastAsiaTheme="minorEastAsia"/>
          <w:bCs/>
          <w:sz w:val="22"/>
          <w:szCs w:val="22"/>
          <w:lang w:eastAsia="ko-KR"/>
        </w:rPr>
        <w:t xml:space="preserve">were </w:t>
      </w:r>
      <w:r w:rsidR="00335561" w:rsidRPr="004635E5">
        <w:rPr>
          <w:rFonts w:eastAsiaTheme="minorEastAsia"/>
          <w:bCs/>
          <w:sz w:val="22"/>
          <w:szCs w:val="22"/>
          <w:lang w:eastAsia="ko-KR"/>
        </w:rPr>
        <w:t>still large dis</w:t>
      </w:r>
      <w:r w:rsidR="00203509" w:rsidRPr="004635E5">
        <w:rPr>
          <w:rFonts w:eastAsiaTheme="minorEastAsia"/>
          <w:bCs/>
          <w:sz w:val="22"/>
          <w:szCs w:val="22"/>
          <w:lang w:eastAsia="ko-KR"/>
        </w:rPr>
        <w:t>crepancies</w:t>
      </w:r>
      <w:r w:rsidR="00335561" w:rsidRPr="004635E5">
        <w:rPr>
          <w:rFonts w:eastAsiaTheme="minorEastAsia"/>
          <w:bCs/>
          <w:sz w:val="22"/>
          <w:szCs w:val="22"/>
          <w:lang w:eastAsia="ko-KR"/>
        </w:rPr>
        <w:t xml:space="preserve"> with operational data. </w:t>
      </w:r>
      <w:r w:rsidR="00346AB8">
        <w:rPr>
          <w:rFonts w:eastAsiaTheme="minorEastAsia" w:hint="eastAsia"/>
          <w:bCs/>
          <w:sz w:val="22"/>
          <w:szCs w:val="22"/>
          <w:lang w:eastAsia="ko-KR"/>
        </w:rPr>
        <w:t>Comparisons</w:t>
      </w:r>
      <w:r w:rsidR="00203509" w:rsidRPr="004635E5">
        <w:rPr>
          <w:rFonts w:eastAsiaTheme="minorEastAsia"/>
          <w:bCs/>
          <w:sz w:val="22"/>
          <w:szCs w:val="22"/>
          <w:lang w:val="en-GB" w:eastAsia="ko-KR"/>
        </w:rPr>
        <w:t xml:space="preserve"> were expected to be much closer</w:t>
      </w:r>
      <w:r w:rsidR="00335561" w:rsidRPr="004635E5">
        <w:rPr>
          <w:rFonts w:eastAsiaTheme="minorEastAsia"/>
          <w:bCs/>
          <w:sz w:val="22"/>
          <w:szCs w:val="22"/>
          <w:lang w:eastAsia="ko-KR"/>
        </w:rPr>
        <w:t xml:space="preserve"> </w:t>
      </w:r>
      <w:r w:rsidR="00203509" w:rsidRPr="004635E5">
        <w:rPr>
          <w:rFonts w:eastAsiaTheme="minorEastAsia"/>
          <w:bCs/>
          <w:sz w:val="22"/>
          <w:szCs w:val="22"/>
          <w:lang w:eastAsia="ko-KR"/>
        </w:rPr>
        <w:t xml:space="preserve">if using </w:t>
      </w:r>
      <w:r w:rsidR="00335561" w:rsidRPr="004635E5">
        <w:rPr>
          <w:rFonts w:eastAsiaTheme="minorEastAsia"/>
          <w:bCs/>
          <w:sz w:val="22"/>
          <w:szCs w:val="22"/>
          <w:lang w:eastAsia="ko-KR"/>
        </w:rPr>
        <w:t>US obs</w:t>
      </w:r>
      <w:r w:rsidR="00DE7CD0" w:rsidRPr="004635E5">
        <w:rPr>
          <w:rFonts w:eastAsiaTheme="minorEastAsia"/>
          <w:bCs/>
          <w:sz w:val="22"/>
          <w:szCs w:val="22"/>
          <w:lang w:eastAsia="ko-KR"/>
        </w:rPr>
        <w:t>erver</w:t>
      </w:r>
      <w:r w:rsidR="00335561" w:rsidRPr="004635E5">
        <w:rPr>
          <w:rFonts w:eastAsiaTheme="minorEastAsia"/>
          <w:bCs/>
          <w:sz w:val="22"/>
          <w:szCs w:val="22"/>
          <w:lang w:eastAsia="ko-KR"/>
        </w:rPr>
        <w:t xml:space="preserve"> data only,</w:t>
      </w:r>
      <w:r w:rsidR="00203509" w:rsidRPr="004635E5">
        <w:rPr>
          <w:rFonts w:eastAsiaTheme="minorEastAsia"/>
          <w:bCs/>
          <w:sz w:val="22"/>
          <w:szCs w:val="22"/>
          <w:lang w:eastAsia="ko-KR"/>
        </w:rPr>
        <w:t xml:space="preserve"> but </w:t>
      </w:r>
      <w:r w:rsidR="00DE7CD0" w:rsidRPr="004635E5">
        <w:rPr>
          <w:rFonts w:eastAsiaTheme="minorEastAsia"/>
          <w:bCs/>
          <w:sz w:val="22"/>
          <w:szCs w:val="22"/>
          <w:lang w:eastAsia="ko-KR"/>
        </w:rPr>
        <w:t xml:space="preserve">the model was not </w:t>
      </w:r>
      <w:r w:rsidR="00335561" w:rsidRPr="004635E5">
        <w:rPr>
          <w:rFonts w:eastAsiaTheme="minorEastAsia"/>
          <w:bCs/>
          <w:sz w:val="22"/>
          <w:szCs w:val="22"/>
          <w:lang w:eastAsia="ko-KR"/>
        </w:rPr>
        <w:t>configure</w:t>
      </w:r>
      <w:r w:rsidR="00DE7CD0" w:rsidRPr="004635E5">
        <w:rPr>
          <w:rFonts w:eastAsiaTheme="minorEastAsia"/>
          <w:bCs/>
          <w:sz w:val="22"/>
          <w:szCs w:val="22"/>
          <w:lang w:eastAsia="ko-KR"/>
        </w:rPr>
        <w:t>d</w:t>
      </w:r>
      <w:r w:rsidR="00335561" w:rsidRPr="004635E5">
        <w:rPr>
          <w:rFonts w:eastAsiaTheme="minorEastAsia"/>
          <w:bCs/>
          <w:sz w:val="22"/>
          <w:szCs w:val="22"/>
          <w:lang w:eastAsia="ko-KR"/>
        </w:rPr>
        <w:t xml:space="preserve"> to estimate target species. </w:t>
      </w:r>
      <w:r w:rsidR="00203509" w:rsidRPr="004635E5">
        <w:rPr>
          <w:rFonts w:eastAsiaTheme="minorEastAsia"/>
          <w:bCs/>
          <w:sz w:val="22"/>
          <w:szCs w:val="22"/>
          <w:lang w:eastAsia="ko-KR"/>
        </w:rPr>
        <w:t>SPC a</w:t>
      </w:r>
      <w:r w:rsidR="00335561" w:rsidRPr="004635E5">
        <w:rPr>
          <w:rFonts w:eastAsiaTheme="minorEastAsia"/>
          <w:bCs/>
          <w:sz w:val="22"/>
          <w:szCs w:val="22"/>
          <w:lang w:eastAsia="ko-KR"/>
        </w:rPr>
        <w:t>lso looked</w:t>
      </w:r>
      <w:r w:rsidR="00DE7CD0" w:rsidRPr="004635E5">
        <w:rPr>
          <w:rFonts w:eastAsiaTheme="minorEastAsia"/>
          <w:bCs/>
          <w:sz w:val="22"/>
          <w:szCs w:val="22"/>
          <w:lang w:eastAsia="ko-KR"/>
        </w:rPr>
        <w:t xml:space="preserve"> at correlation</w:t>
      </w:r>
      <w:r w:rsidR="00203509" w:rsidRPr="004635E5">
        <w:rPr>
          <w:rFonts w:eastAsiaTheme="minorEastAsia"/>
          <w:bCs/>
          <w:sz w:val="22"/>
          <w:szCs w:val="22"/>
          <w:lang w:eastAsia="ko-KR"/>
        </w:rPr>
        <w:t>s</w:t>
      </w:r>
      <w:r w:rsidR="00DE7CD0" w:rsidRPr="004635E5">
        <w:rPr>
          <w:rFonts w:eastAsiaTheme="minorEastAsia"/>
          <w:bCs/>
          <w:sz w:val="22"/>
          <w:szCs w:val="22"/>
          <w:lang w:eastAsia="ko-KR"/>
        </w:rPr>
        <w:t xml:space="preserve"> between explanat</w:t>
      </w:r>
      <w:r w:rsidR="00335561" w:rsidRPr="004635E5">
        <w:rPr>
          <w:rFonts w:eastAsiaTheme="minorEastAsia"/>
          <w:bCs/>
          <w:sz w:val="22"/>
          <w:szCs w:val="22"/>
          <w:lang w:eastAsia="ko-KR"/>
        </w:rPr>
        <w:t>ory variables</w:t>
      </w:r>
      <w:r w:rsidR="001E7E1C" w:rsidRPr="004635E5">
        <w:rPr>
          <w:rFonts w:eastAsiaTheme="minorEastAsia"/>
          <w:bCs/>
          <w:sz w:val="22"/>
          <w:szCs w:val="22"/>
          <w:lang w:eastAsia="ko-KR"/>
        </w:rPr>
        <w:t xml:space="preserve">, and using </w:t>
      </w:r>
      <w:r w:rsidR="00335561" w:rsidRPr="004635E5">
        <w:rPr>
          <w:rFonts w:eastAsiaTheme="minorEastAsia"/>
          <w:bCs/>
          <w:sz w:val="22"/>
          <w:szCs w:val="22"/>
          <w:lang w:eastAsia="ko-KR"/>
        </w:rPr>
        <w:t>flag did increase co</w:t>
      </w:r>
      <w:r w:rsidR="00B47784" w:rsidRPr="004635E5">
        <w:rPr>
          <w:rFonts w:eastAsiaTheme="minorEastAsia"/>
          <w:bCs/>
          <w:sz w:val="22"/>
          <w:szCs w:val="22"/>
          <w:lang w:eastAsia="ko-KR"/>
        </w:rPr>
        <w:t>l</w:t>
      </w:r>
      <w:r w:rsidR="00335561" w:rsidRPr="004635E5">
        <w:rPr>
          <w:rFonts w:eastAsiaTheme="minorEastAsia"/>
          <w:bCs/>
          <w:sz w:val="22"/>
          <w:szCs w:val="22"/>
          <w:lang w:eastAsia="ko-KR"/>
        </w:rPr>
        <w:t>lin</w:t>
      </w:r>
      <w:r w:rsidR="00B47784" w:rsidRPr="004635E5">
        <w:rPr>
          <w:rFonts w:eastAsiaTheme="minorEastAsia"/>
          <w:bCs/>
          <w:sz w:val="22"/>
          <w:szCs w:val="22"/>
          <w:lang w:eastAsia="ko-KR"/>
        </w:rPr>
        <w:t>e</w:t>
      </w:r>
      <w:r w:rsidR="00335561" w:rsidRPr="004635E5">
        <w:rPr>
          <w:rFonts w:eastAsiaTheme="minorEastAsia"/>
          <w:bCs/>
          <w:sz w:val="22"/>
          <w:szCs w:val="22"/>
          <w:lang w:eastAsia="ko-KR"/>
        </w:rPr>
        <w:t>arity</w:t>
      </w:r>
      <w:r w:rsidR="001E7E1C" w:rsidRPr="004635E5">
        <w:rPr>
          <w:rFonts w:eastAsiaTheme="minorEastAsia"/>
          <w:bCs/>
          <w:sz w:val="22"/>
          <w:szCs w:val="22"/>
          <w:lang w:eastAsia="ko-KR"/>
        </w:rPr>
        <w:t xml:space="preserve"> betw</w:t>
      </w:r>
      <w:r w:rsidR="00335561" w:rsidRPr="004635E5">
        <w:rPr>
          <w:rFonts w:eastAsiaTheme="minorEastAsia"/>
          <w:bCs/>
          <w:sz w:val="22"/>
          <w:szCs w:val="22"/>
          <w:lang w:eastAsia="ko-KR"/>
        </w:rPr>
        <w:t xml:space="preserve">een explanatory variables. </w:t>
      </w:r>
    </w:p>
    <w:p w14:paraId="6C5EBB37" w14:textId="77777777" w:rsidR="00557DD1" w:rsidRPr="004635E5" w:rsidRDefault="00557DD1" w:rsidP="006633A8">
      <w:pPr>
        <w:autoSpaceDE w:val="0"/>
        <w:autoSpaceDN w:val="0"/>
        <w:adjustRightInd w:val="0"/>
        <w:snapToGrid w:val="0"/>
        <w:jc w:val="both"/>
        <w:rPr>
          <w:rFonts w:eastAsiaTheme="minorEastAsia"/>
          <w:bCs/>
          <w:sz w:val="22"/>
          <w:szCs w:val="22"/>
          <w:lang w:eastAsia="ko-KR"/>
        </w:rPr>
      </w:pPr>
    </w:p>
    <w:p w14:paraId="09410DB7" w14:textId="77777777" w:rsidR="00262972" w:rsidRPr="004635E5" w:rsidRDefault="00335561"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FAO</w:t>
      </w:r>
      <w:r w:rsidR="001E7E1C" w:rsidRPr="004635E5">
        <w:rPr>
          <w:rFonts w:eastAsiaTheme="minorEastAsia"/>
          <w:bCs/>
          <w:sz w:val="22"/>
          <w:szCs w:val="22"/>
          <w:lang w:eastAsia="ko-KR"/>
        </w:rPr>
        <w:t xml:space="preserve"> requested that SPC </w:t>
      </w:r>
      <w:r w:rsidRPr="004635E5">
        <w:rPr>
          <w:rFonts w:eastAsiaTheme="minorEastAsia"/>
          <w:bCs/>
          <w:sz w:val="22"/>
          <w:szCs w:val="22"/>
          <w:lang w:eastAsia="ko-KR"/>
        </w:rPr>
        <w:t>reconcile and correct common names of sharks in the database</w:t>
      </w:r>
      <w:r w:rsidR="001E7E1C" w:rsidRPr="004635E5">
        <w:rPr>
          <w:rFonts w:eastAsiaTheme="minorEastAsia"/>
          <w:bCs/>
          <w:sz w:val="22"/>
          <w:szCs w:val="22"/>
          <w:lang w:eastAsia="ko-KR"/>
        </w:rPr>
        <w:t xml:space="preserve">, and </w:t>
      </w:r>
      <w:r w:rsidRPr="004635E5">
        <w:rPr>
          <w:rFonts w:eastAsiaTheme="minorEastAsia"/>
          <w:bCs/>
          <w:sz w:val="22"/>
          <w:szCs w:val="22"/>
          <w:lang w:eastAsia="ko-KR"/>
        </w:rPr>
        <w:t xml:space="preserve">modify the codes so </w:t>
      </w:r>
      <w:r w:rsidR="001E7E1C" w:rsidRPr="004635E5">
        <w:rPr>
          <w:rFonts w:eastAsiaTheme="minorEastAsia"/>
          <w:bCs/>
          <w:sz w:val="22"/>
          <w:szCs w:val="22"/>
          <w:lang w:eastAsia="ko-KR"/>
        </w:rPr>
        <w:t xml:space="preserve">the </w:t>
      </w:r>
      <w:r w:rsidRPr="004635E5">
        <w:rPr>
          <w:rFonts w:eastAsiaTheme="minorEastAsia"/>
          <w:bCs/>
          <w:sz w:val="22"/>
          <w:szCs w:val="22"/>
          <w:lang w:eastAsia="ko-KR"/>
        </w:rPr>
        <w:t xml:space="preserve">correct name is used. </w:t>
      </w:r>
      <w:r w:rsidR="007447CE" w:rsidRPr="004635E5">
        <w:rPr>
          <w:rFonts w:eastAsiaTheme="minorEastAsia"/>
          <w:bCs/>
          <w:sz w:val="22"/>
          <w:szCs w:val="22"/>
          <w:lang w:eastAsia="ko-KR"/>
        </w:rPr>
        <w:t xml:space="preserve">FAO </w:t>
      </w:r>
      <w:r w:rsidR="00B74F1E" w:rsidRPr="004635E5">
        <w:rPr>
          <w:rFonts w:eastAsiaTheme="minorEastAsia"/>
          <w:bCs/>
          <w:sz w:val="22"/>
          <w:szCs w:val="22"/>
          <w:lang w:eastAsia="ko-KR"/>
        </w:rPr>
        <w:t xml:space="preserve">also </w:t>
      </w:r>
      <w:r w:rsidR="009C4403" w:rsidRPr="004635E5">
        <w:rPr>
          <w:rFonts w:eastAsiaTheme="minorEastAsia"/>
          <w:bCs/>
          <w:sz w:val="22"/>
          <w:szCs w:val="22"/>
          <w:lang w:eastAsia="ko-KR"/>
        </w:rPr>
        <w:t>asked w</w:t>
      </w:r>
      <w:r w:rsidR="001E7E1C" w:rsidRPr="004635E5">
        <w:rPr>
          <w:rFonts w:eastAsiaTheme="minorEastAsia"/>
          <w:bCs/>
          <w:sz w:val="22"/>
          <w:szCs w:val="22"/>
          <w:lang w:eastAsia="ko-KR"/>
        </w:rPr>
        <w:t>hat steps wo</w:t>
      </w:r>
      <w:r w:rsidRPr="004635E5">
        <w:rPr>
          <w:rFonts w:eastAsiaTheme="minorEastAsia"/>
          <w:bCs/>
          <w:sz w:val="22"/>
          <w:szCs w:val="22"/>
          <w:lang w:eastAsia="ko-KR"/>
        </w:rPr>
        <w:t>uld be</w:t>
      </w:r>
      <w:r w:rsidR="001E7E1C" w:rsidRPr="004635E5">
        <w:rPr>
          <w:rFonts w:eastAsiaTheme="minorEastAsia"/>
          <w:bCs/>
          <w:sz w:val="22"/>
          <w:szCs w:val="22"/>
          <w:lang w:eastAsia="ko-KR"/>
        </w:rPr>
        <w:t xml:space="preserve"> </w:t>
      </w:r>
      <w:r w:rsidRPr="004635E5">
        <w:rPr>
          <w:rFonts w:eastAsiaTheme="minorEastAsia"/>
          <w:bCs/>
          <w:sz w:val="22"/>
          <w:szCs w:val="22"/>
          <w:lang w:eastAsia="ko-KR"/>
        </w:rPr>
        <w:t xml:space="preserve">needed to convert </w:t>
      </w:r>
      <w:r w:rsidR="00B74F1E" w:rsidRPr="004635E5">
        <w:rPr>
          <w:rFonts w:eastAsiaTheme="minorEastAsia"/>
          <w:bCs/>
          <w:sz w:val="22"/>
          <w:szCs w:val="22"/>
          <w:lang w:eastAsia="ko-KR"/>
        </w:rPr>
        <w:t xml:space="preserve">estimates </w:t>
      </w:r>
      <w:r w:rsidRPr="004635E5">
        <w:rPr>
          <w:rFonts w:eastAsiaTheme="minorEastAsia"/>
          <w:bCs/>
          <w:sz w:val="22"/>
          <w:szCs w:val="22"/>
          <w:lang w:eastAsia="ko-KR"/>
        </w:rPr>
        <w:t>to</w:t>
      </w:r>
      <w:r w:rsidR="001E7E1C" w:rsidRPr="004635E5">
        <w:rPr>
          <w:rFonts w:eastAsiaTheme="minorEastAsia"/>
          <w:bCs/>
          <w:sz w:val="22"/>
          <w:szCs w:val="22"/>
          <w:lang w:eastAsia="ko-KR"/>
        </w:rPr>
        <w:t xml:space="preserve"> a time series of total removal</w:t>
      </w:r>
      <w:r w:rsidR="00CB3386">
        <w:rPr>
          <w:rFonts w:eastAsiaTheme="minorEastAsia" w:hint="eastAsia"/>
          <w:bCs/>
          <w:sz w:val="22"/>
          <w:szCs w:val="22"/>
          <w:lang w:eastAsia="ko-KR"/>
        </w:rPr>
        <w:t xml:space="preserve"> (i.e. mortality)</w:t>
      </w:r>
      <w:r w:rsidR="001E7E1C" w:rsidRPr="004635E5">
        <w:rPr>
          <w:rFonts w:eastAsiaTheme="minorEastAsia"/>
          <w:bCs/>
          <w:sz w:val="22"/>
          <w:szCs w:val="22"/>
          <w:lang w:eastAsia="ko-KR"/>
        </w:rPr>
        <w:t xml:space="preserve">, and </w:t>
      </w:r>
      <w:r w:rsidR="00B47784" w:rsidRPr="004635E5">
        <w:rPr>
          <w:rFonts w:eastAsiaTheme="minorEastAsia"/>
          <w:bCs/>
          <w:sz w:val="22"/>
          <w:szCs w:val="22"/>
          <w:lang w:eastAsia="ko-KR"/>
        </w:rPr>
        <w:t xml:space="preserve">whether </w:t>
      </w:r>
      <w:r w:rsidRPr="004635E5">
        <w:rPr>
          <w:rFonts w:eastAsiaTheme="minorEastAsia"/>
          <w:bCs/>
          <w:sz w:val="22"/>
          <w:szCs w:val="22"/>
          <w:lang w:eastAsia="ko-KR"/>
        </w:rPr>
        <w:t xml:space="preserve">SPC </w:t>
      </w:r>
      <w:r w:rsidR="00B47784" w:rsidRPr="004635E5">
        <w:rPr>
          <w:rFonts w:eastAsiaTheme="minorEastAsia"/>
          <w:bCs/>
          <w:sz w:val="22"/>
          <w:szCs w:val="22"/>
          <w:lang w:eastAsia="ko-KR"/>
        </w:rPr>
        <w:t xml:space="preserve">had </w:t>
      </w:r>
      <w:r w:rsidRPr="004635E5">
        <w:rPr>
          <w:rFonts w:eastAsiaTheme="minorEastAsia"/>
          <w:bCs/>
          <w:sz w:val="22"/>
          <w:szCs w:val="22"/>
          <w:lang w:eastAsia="ko-KR"/>
        </w:rPr>
        <w:t>the ne</w:t>
      </w:r>
      <w:r w:rsidR="00CB3386">
        <w:rPr>
          <w:rFonts w:eastAsiaTheme="minorEastAsia" w:hint="eastAsia"/>
          <w:bCs/>
          <w:sz w:val="22"/>
          <w:szCs w:val="22"/>
          <w:lang w:eastAsia="ko-KR"/>
        </w:rPr>
        <w:t>cessary</w:t>
      </w:r>
      <w:r w:rsidRPr="004635E5">
        <w:rPr>
          <w:rFonts w:eastAsiaTheme="minorEastAsia"/>
          <w:bCs/>
          <w:sz w:val="22"/>
          <w:szCs w:val="22"/>
          <w:lang w:eastAsia="ko-KR"/>
        </w:rPr>
        <w:t xml:space="preserve"> data to do this</w:t>
      </w:r>
      <w:r w:rsidR="00B47784" w:rsidRPr="004635E5">
        <w:rPr>
          <w:rFonts w:eastAsiaTheme="minorEastAsia"/>
          <w:bCs/>
          <w:sz w:val="22"/>
          <w:szCs w:val="22"/>
          <w:lang w:eastAsia="ko-KR"/>
        </w:rPr>
        <w:t xml:space="preserve">. </w:t>
      </w:r>
      <w:r w:rsidRPr="004635E5">
        <w:rPr>
          <w:rFonts w:eastAsiaTheme="minorEastAsia"/>
          <w:bCs/>
          <w:sz w:val="22"/>
          <w:szCs w:val="22"/>
          <w:lang w:eastAsia="ko-KR"/>
        </w:rPr>
        <w:t>SPC</w:t>
      </w:r>
      <w:r w:rsidR="00794600" w:rsidRPr="004635E5">
        <w:rPr>
          <w:rFonts w:eastAsiaTheme="minorEastAsia"/>
          <w:bCs/>
          <w:sz w:val="22"/>
          <w:szCs w:val="22"/>
          <w:lang w:eastAsia="ko-KR"/>
        </w:rPr>
        <w:t xml:space="preserve"> noted that </w:t>
      </w:r>
      <w:r w:rsidRPr="004635E5">
        <w:rPr>
          <w:rFonts w:eastAsiaTheme="minorEastAsia"/>
          <w:bCs/>
          <w:sz w:val="22"/>
          <w:szCs w:val="22"/>
          <w:lang w:eastAsia="ko-KR"/>
        </w:rPr>
        <w:t xml:space="preserve">total removals </w:t>
      </w:r>
      <w:r w:rsidR="00E176D0" w:rsidRPr="004635E5">
        <w:rPr>
          <w:rFonts w:eastAsiaTheme="minorEastAsia"/>
          <w:bCs/>
          <w:sz w:val="22"/>
          <w:szCs w:val="22"/>
          <w:lang w:eastAsia="ko-KR"/>
        </w:rPr>
        <w:t xml:space="preserve">could be </w:t>
      </w:r>
      <w:r w:rsidR="00E176D0" w:rsidRPr="004635E5">
        <w:rPr>
          <w:rFonts w:eastAsiaTheme="minorEastAsia"/>
          <w:bCs/>
          <w:sz w:val="22"/>
          <w:szCs w:val="22"/>
          <w:lang w:val="en-GB" w:eastAsia="ko-KR"/>
        </w:rPr>
        <w:t xml:space="preserve">estimated </w:t>
      </w:r>
      <w:r w:rsidR="00E176D0" w:rsidRPr="004635E5">
        <w:rPr>
          <w:rFonts w:eastAsiaTheme="minorEastAsia"/>
          <w:bCs/>
          <w:sz w:val="22"/>
          <w:szCs w:val="22"/>
          <w:lang w:eastAsia="ko-KR"/>
        </w:rPr>
        <w:t xml:space="preserve">using a </w:t>
      </w:r>
      <w:r w:rsidRPr="004635E5">
        <w:rPr>
          <w:rFonts w:eastAsiaTheme="minorEastAsia"/>
          <w:bCs/>
          <w:sz w:val="22"/>
          <w:szCs w:val="22"/>
          <w:lang w:eastAsia="ko-KR"/>
        </w:rPr>
        <w:t xml:space="preserve">model of catch conditions </w:t>
      </w:r>
      <w:r w:rsidR="00B47784" w:rsidRPr="004635E5">
        <w:rPr>
          <w:rFonts w:eastAsiaTheme="minorEastAsia"/>
          <w:bCs/>
          <w:sz w:val="22"/>
          <w:szCs w:val="22"/>
          <w:lang w:eastAsia="ko-KR"/>
        </w:rPr>
        <w:t xml:space="preserve">to address </w:t>
      </w:r>
      <w:r w:rsidR="00794600" w:rsidRPr="004635E5">
        <w:rPr>
          <w:rFonts w:eastAsiaTheme="minorEastAsia"/>
          <w:bCs/>
          <w:sz w:val="22"/>
          <w:szCs w:val="22"/>
          <w:lang w:eastAsia="ko-KR"/>
        </w:rPr>
        <w:t xml:space="preserve">the </w:t>
      </w:r>
      <w:r w:rsidRPr="004635E5">
        <w:rPr>
          <w:rFonts w:eastAsiaTheme="minorEastAsia"/>
          <w:bCs/>
          <w:sz w:val="22"/>
          <w:szCs w:val="22"/>
          <w:lang w:eastAsia="ko-KR"/>
        </w:rPr>
        <w:t>state of individuals at vessel or at release, and info</w:t>
      </w:r>
      <w:r w:rsidR="00794600" w:rsidRPr="004635E5">
        <w:rPr>
          <w:rFonts w:eastAsiaTheme="minorEastAsia"/>
          <w:bCs/>
          <w:sz w:val="22"/>
          <w:szCs w:val="22"/>
          <w:lang w:eastAsia="ko-KR"/>
        </w:rPr>
        <w:t>rmation</w:t>
      </w:r>
      <w:r w:rsidRPr="004635E5">
        <w:rPr>
          <w:rFonts w:eastAsiaTheme="minorEastAsia"/>
          <w:bCs/>
          <w:sz w:val="22"/>
          <w:szCs w:val="22"/>
          <w:lang w:eastAsia="ko-KR"/>
        </w:rPr>
        <w:t xml:space="preserve"> on what</w:t>
      </w:r>
      <w:r w:rsidR="009C4403" w:rsidRPr="004635E5">
        <w:rPr>
          <w:rFonts w:eastAsiaTheme="minorEastAsia"/>
          <w:bCs/>
          <w:sz w:val="22"/>
          <w:szCs w:val="22"/>
          <w:lang w:eastAsia="ko-KR"/>
        </w:rPr>
        <w:t xml:space="preserve"> </w:t>
      </w:r>
      <w:r w:rsidR="00B74F1E" w:rsidRPr="004635E5">
        <w:rPr>
          <w:rFonts w:eastAsiaTheme="minorEastAsia"/>
          <w:bCs/>
          <w:sz w:val="22"/>
          <w:szCs w:val="22"/>
          <w:lang w:eastAsia="ko-KR"/>
        </w:rPr>
        <w:t xml:space="preserve">percentage </w:t>
      </w:r>
      <w:r w:rsidRPr="004635E5">
        <w:rPr>
          <w:rFonts w:eastAsiaTheme="minorEastAsia"/>
          <w:bCs/>
          <w:sz w:val="22"/>
          <w:szCs w:val="22"/>
          <w:lang w:eastAsia="ko-KR"/>
        </w:rPr>
        <w:t>is retained vs</w:t>
      </w:r>
      <w:r w:rsidR="00B47784" w:rsidRPr="004635E5">
        <w:rPr>
          <w:rFonts w:eastAsiaTheme="minorEastAsia"/>
          <w:bCs/>
          <w:sz w:val="22"/>
          <w:szCs w:val="22"/>
          <w:lang w:eastAsia="ko-KR"/>
        </w:rPr>
        <w:t>.</w:t>
      </w:r>
      <w:r w:rsidRPr="004635E5">
        <w:rPr>
          <w:rFonts w:eastAsiaTheme="minorEastAsia"/>
          <w:bCs/>
          <w:sz w:val="22"/>
          <w:szCs w:val="22"/>
          <w:lang w:eastAsia="ko-KR"/>
        </w:rPr>
        <w:t xml:space="preserve"> discarded</w:t>
      </w:r>
      <w:r w:rsidR="00B74F1E" w:rsidRPr="004635E5">
        <w:rPr>
          <w:rFonts w:eastAsiaTheme="minorEastAsia"/>
          <w:bCs/>
          <w:sz w:val="22"/>
          <w:szCs w:val="22"/>
          <w:lang w:eastAsia="ko-KR"/>
        </w:rPr>
        <w:t xml:space="preserve"> or </w:t>
      </w:r>
      <w:r w:rsidRPr="004635E5">
        <w:rPr>
          <w:rFonts w:eastAsiaTheme="minorEastAsia"/>
          <w:bCs/>
          <w:sz w:val="22"/>
          <w:szCs w:val="22"/>
          <w:lang w:eastAsia="ko-KR"/>
        </w:rPr>
        <w:t>released</w:t>
      </w:r>
      <w:r w:rsidR="00F30923" w:rsidRPr="004635E5">
        <w:rPr>
          <w:rFonts w:eastAsiaTheme="minorEastAsia"/>
          <w:bCs/>
          <w:sz w:val="22"/>
          <w:szCs w:val="22"/>
          <w:lang w:eastAsia="ko-KR"/>
        </w:rPr>
        <w:t>;</w:t>
      </w:r>
      <w:r w:rsidRPr="004635E5">
        <w:rPr>
          <w:rFonts w:eastAsiaTheme="minorEastAsia"/>
          <w:bCs/>
          <w:sz w:val="22"/>
          <w:szCs w:val="22"/>
          <w:lang w:eastAsia="ko-KR"/>
        </w:rPr>
        <w:t xml:space="preserve"> </w:t>
      </w:r>
      <w:r w:rsidR="00F30923" w:rsidRPr="004635E5">
        <w:rPr>
          <w:rFonts w:eastAsiaTheme="minorEastAsia"/>
          <w:bCs/>
          <w:sz w:val="22"/>
          <w:szCs w:val="22"/>
          <w:lang w:eastAsia="ko-KR"/>
        </w:rPr>
        <w:t>i</w:t>
      </w:r>
      <w:r w:rsidRPr="004635E5">
        <w:rPr>
          <w:rFonts w:eastAsiaTheme="minorEastAsia"/>
          <w:bCs/>
          <w:sz w:val="22"/>
          <w:szCs w:val="22"/>
          <w:lang w:eastAsia="ko-KR"/>
        </w:rPr>
        <w:t xml:space="preserve">deally </w:t>
      </w:r>
      <w:r w:rsidR="00B47784" w:rsidRPr="004635E5">
        <w:rPr>
          <w:rFonts w:eastAsiaTheme="minorEastAsia"/>
          <w:bCs/>
          <w:sz w:val="22"/>
          <w:szCs w:val="22"/>
          <w:lang w:eastAsia="ko-KR"/>
        </w:rPr>
        <w:t xml:space="preserve">there would be a </w:t>
      </w:r>
      <w:r w:rsidR="00794600" w:rsidRPr="004635E5">
        <w:rPr>
          <w:rFonts w:eastAsiaTheme="minorEastAsia"/>
          <w:bCs/>
          <w:sz w:val="22"/>
          <w:szCs w:val="22"/>
          <w:lang w:eastAsia="ko-KR"/>
        </w:rPr>
        <w:t xml:space="preserve">record </w:t>
      </w:r>
      <w:r w:rsidR="00B47784" w:rsidRPr="004635E5">
        <w:rPr>
          <w:rFonts w:eastAsiaTheme="minorEastAsia"/>
          <w:bCs/>
          <w:sz w:val="22"/>
          <w:szCs w:val="22"/>
          <w:lang w:eastAsia="ko-KR"/>
        </w:rPr>
        <w:t xml:space="preserve">of </w:t>
      </w:r>
      <w:r w:rsidR="00794600" w:rsidRPr="004635E5">
        <w:rPr>
          <w:rFonts w:eastAsiaTheme="minorEastAsia"/>
          <w:bCs/>
          <w:sz w:val="22"/>
          <w:szCs w:val="22"/>
          <w:lang w:eastAsia="ko-KR"/>
        </w:rPr>
        <w:t>post-release mortality</w:t>
      </w:r>
      <w:r w:rsidRPr="004635E5">
        <w:rPr>
          <w:rFonts w:eastAsiaTheme="minorEastAsia"/>
          <w:bCs/>
          <w:sz w:val="22"/>
          <w:szCs w:val="22"/>
          <w:lang w:eastAsia="ko-KR"/>
        </w:rPr>
        <w:t xml:space="preserve">. </w:t>
      </w:r>
      <w:r w:rsidR="00486592" w:rsidRPr="004635E5">
        <w:rPr>
          <w:rFonts w:eastAsiaTheme="minorEastAsia"/>
          <w:bCs/>
          <w:sz w:val="22"/>
          <w:szCs w:val="22"/>
          <w:lang w:eastAsia="ko-KR"/>
        </w:rPr>
        <w:t xml:space="preserve">SPC </w:t>
      </w:r>
      <w:r w:rsidR="00B74F1E" w:rsidRPr="004635E5">
        <w:rPr>
          <w:rFonts w:eastAsiaTheme="minorEastAsia"/>
          <w:bCs/>
          <w:sz w:val="22"/>
          <w:szCs w:val="22"/>
          <w:lang w:eastAsia="ko-KR"/>
        </w:rPr>
        <w:t xml:space="preserve">has good data coverage for </w:t>
      </w:r>
      <w:r w:rsidRPr="004635E5">
        <w:rPr>
          <w:rFonts w:eastAsiaTheme="minorEastAsia"/>
          <w:bCs/>
          <w:sz w:val="22"/>
          <w:szCs w:val="22"/>
          <w:lang w:eastAsia="ko-KR"/>
        </w:rPr>
        <w:t>catch cond</w:t>
      </w:r>
      <w:r w:rsidR="00486592" w:rsidRPr="004635E5">
        <w:rPr>
          <w:rFonts w:eastAsiaTheme="minorEastAsia"/>
          <w:bCs/>
          <w:sz w:val="22"/>
          <w:szCs w:val="22"/>
          <w:lang w:eastAsia="ko-KR"/>
        </w:rPr>
        <w:t>ition</w:t>
      </w:r>
      <w:r w:rsidRPr="004635E5">
        <w:rPr>
          <w:rFonts w:eastAsiaTheme="minorEastAsia"/>
          <w:bCs/>
          <w:sz w:val="22"/>
          <w:szCs w:val="22"/>
          <w:lang w:eastAsia="ko-KR"/>
        </w:rPr>
        <w:t xml:space="preserve"> at </w:t>
      </w:r>
      <w:r w:rsidR="00B74F1E" w:rsidRPr="004635E5">
        <w:rPr>
          <w:rFonts w:eastAsiaTheme="minorEastAsia"/>
          <w:bCs/>
          <w:sz w:val="22"/>
          <w:szCs w:val="22"/>
          <w:lang w:eastAsia="ko-KR"/>
        </w:rPr>
        <w:t xml:space="preserve">the </w:t>
      </w:r>
      <w:r w:rsidRPr="004635E5">
        <w:rPr>
          <w:rFonts w:eastAsiaTheme="minorEastAsia"/>
          <w:bCs/>
          <w:sz w:val="22"/>
          <w:szCs w:val="22"/>
          <w:lang w:eastAsia="ko-KR"/>
        </w:rPr>
        <w:t xml:space="preserve">vessel, </w:t>
      </w:r>
      <w:r w:rsidR="00B74F1E" w:rsidRPr="004635E5">
        <w:rPr>
          <w:rFonts w:eastAsiaTheme="minorEastAsia"/>
          <w:bCs/>
          <w:sz w:val="22"/>
          <w:szCs w:val="22"/>
          <w:lang w:eastAsia="ko-KR"/>
        </w:rPr>
        <w:t xml:space="preserve">with poorer coverage for condition </w:t>
      </w:r>
      <w:r w:rsidRPr="004635E5">
        <w:rPr>
          <w:rFonts w:eastAsiaTheme="minorEastAsia"/>
          <w:bCs/>
          <w:sz w:val="22"/>
          <w:szCs w:val="22"/>
          <w:lang w:eastAsia="ko-KR"/>
        </w:rPr>
        <w:t xml:space="preserve">at release, </w:t>
      </w:r>
      <w:r w:rsidR="00B74F1E" w:rsidRPr="004635E5">
        <w:rPr>
          <w:rFonts w:eastAsiaTheme="minorEastAsia"/>
          <w:bCs/>
          <w:sz w:val="22"/>
          <w:szCs w:val="22"/>
          <w:lang w:eastAsia="ko-KR"/>
        </w:rPr>
        <w:t xml:space="preserve">but there are </w:t>
      </w:r>
      <w:r w:rsidRPr="004635E5">
        <w:rPr>
          <w:rFonts w:eastAsiaTheme="minorEastAsia"/>
          <w:bCs/>
          <w:sz w:val="22"/>
          <w:szCs w:val="22"/>
          <w:lang w:eastAsia="ko-KR"/>
        </w:rPr>
        <w:t>likely suff</w:t>
      </w:r>
      <w:r w:rsidR="00486592" w:rsidRPr="004635E5">
        <w:rPr>
          <w:rFonts w:eastAsiaTheme="minorEastAsia"/>
          <w:bCs/>
          <w:sz w:val="22"/>
          <w:szCs w:val="22"/>
          <w:lang w:eastAsia="ko-KR"/>
        </w:rPr>
        <w:t xml:space="preserve">icient </w:t>
      </w:r>
      <w:r w:rsidRPr="004635E5">
        <w:rPr>
          <w:rFonts w:eastAsiaTheme="minorEastAsia"/>
          <w:bCs/>
          <w:sz w:val="22"/>
          <w:szCs w:val="22"/>
          <w:lang w:eastAsia="ko-KR"/>
        </w:rPr>
        <w:t xml:space="preserve">data to </w:t>
      </w:r>
      <w:r w:rsidR="00B74F1E" w:rsidRPr="004635E5">
        <w:rPr>
          <w:rFonts w:eastAsiaTheme="minorEastAsia"/>
          <w:bCs/>
          <w:sz w:val="22"/>
          <w:szCs w:val="22"/>
          <w:lang w:eastAsia="ko-KR"/>
        </w:rPr>
        <w:t xml:space="preserve">develop </w:t>
      </w:r>
      <w:r w:rsidR="00486592" w:rsidRPr="004635E5">
        <w:rPr>
          <w:rFonts w:eastAsiaTheme="minorEastAsia"/>
          <w:bCs/>
          <w:sz w:val="22"/>
          <w:szCs w:val="22"/>
          <w:lang w:eastAsia="ko-KR"/>
        </w:rPr>
        <w:t>a model of condit</w:t>
      </w:r>
      <w:r w:rsidRPr="004635E5">
        <w:rPr>
          <w:rFonts w:eastAsiaTheme="minorEastAsia"/>
          <w:bCs/>
          <w:sz w:val="22"/>
          <w:szCs w:val="22"/>
          <w:lang w:eastAsia="ko-KR"/>
        </w:rPr>
        <w:t xml:space="preserve">ion. </w:t>
      </w:r>
      <w:r w:rsidR="00486592" w:rsidRPr="004635E5">
        <w:rPr>
          <w:rFonts w:eastAsiaTheme="minorEastAsia"/>
          <w:bCs/>
          <w:sz w:val="22"/>
          <w:szCs w:val="22"/>
          <w:lang w:eastAsia="ko-KR"/>
        </w:rPr>
        <w:t xml:space="preserve">SPC could </w:t>
      </w:r>
      <w:r w:rsidRPr="004635E5">
        <w:rPr>
          <w:rFonts w:eastAsiaTheme="minorEastAsia"/>
          <w:bCs/>
          <w:sz w:val="22"/>
          <w:szCs w:val="22"/>
          <w:lang w:eastAsia="ko-KR"/>
        </w:rPr>
        <w:t xml:space="preserve">use </w:t>
      </w:r>
      <w:r w:rsidR="00486592" w:rsidRPr="004635E5">
        <w:rPr>
          <w:rFonts w:eastAsiaTheme="minorEastAsia"/>
          <w:bCs/>
          <w:sz w:val="22"/>
          <w:szCs w:val="22"/>
          <w:lang w:eastAsia="ko-KR"/>
        </w:rPr>
        <w:t xml:space="preserve">observer </w:t>
      </w:r>
      <w:r w:rsidRPr="004635E5">
        <w:rPr>
          <w:rFonts w:eastAsiaTheme="minorEastAsia"/>
          <w:bCs/>
          <w:sz w:val="22"/>
          <w:szCs w:val="22"/>
          <w:lang w:eastAsia="ko-KR"/>
        </w:rPr>
        <w:t xml:space="preserve">data to </w:t>
      </w:r>
      <w:r w:rsidR="00B74F1E" w:rsidRPr="004635E5">
        <w:rPr>
          <w:rFonts w:eastAsiaTheme="minorEastAsia"/>
          <w:bCs/>
          <w:sz w:val="22"/>
          <w:szCs w:val="22"/>
          <w:lang w:eastAsia="ko-KR"/>
        </w:rPr>
        <w:t xml:space="preserve">determine the proportion </w:t>
      </w:r>
      <w:r w:rsidRPr="004635E5">
        <w:rPr>
          <w:rFonts w:eastAsiaTheme="minorEastAsia"/>
          <w:bCs/>
          <w:sz w:val="22"/>
          <w:szCs w:val="22"/>
          <w:lang w:eastAsia="ko-KR"/>
        </w:rPr>
        <w:t>of retained vs</w:t>
      </w:r>
      <w:r w:rsidR="00B47784" w:rsidRPr="004635E5">
        <w:rPr>
          <w:rFonts w:eastAsiaTheme="minorEastAsia"/>
          <w:bCs/>
          <w:sz w:val="22"/>
          <w:szCs w:val="22"/>
          <w:lang w:eastAsia="ko-KR"/>
        </w:rPr>
        <w:t>.</w:t>
      </w:r>
      <w:r w:rsidRPr="004635E5">
        <w:rPr>
          <w:rFonts w:eastAsiaTheme="minorEastAsia"/>
          <w:bCs/>
          <w:sz w:val="22"/>
          <w:szCs w:val="22"/>
          <w:lang w:eastAsia="ko-KR"/>
        </w:rPr>
        <w:t xml:space="preserve"> discarded</w:t>
      </w:r>
      <w:r w:rsidR="00F30923" w:rsidRPr="004635E5">
        <w:rPr>
          <w:rFonts w:eastAsiaTheme="minorEastAsia"/>
          <w:bCs/>
          <w:sz w:val="22"/>
          <w:szCs w:val="22"/>
          <w:lang w:eastAsia="ko-KR"/>
        </w:rPr>
        <w:t xml:space="preserve"> bycatch</w:t>
      </w:r>
      <w:r w:rsidR="00486592" w:rsidRPr="004635E5">
        <w:rPr>
          <w:rFonts w:eastAsiaTheme="minorEastAsia"/>
          <w:bCs/>
          <w:sz w:val="22"/>
          <w:szCs w:val="22"/>
          <w:lang w:eastAsia="ko-KR"/>
        </w:rPr>
        <w:t xml:space="preserve">, but </w:t>
      </w:r>
      <w:r w:rsidRPr="004635E5">
        <w:rPr>
          <w:rFonts w:eastAsiaTheme="minorEastAsia"/>
          <w:bCs/>
          <w:sz w:val="22"/>
          <w:szCs w:val="22"/>
          <w:lang w:eastAsia="ko-KR"/>
        </w:rPr>
        <w:t xml:space="preserve">have low </w:t>
      </w:r>
      <w:r w:rsidR="00486592" w:rsidRPr="004635E5">
        <w:rPr>
          <w:rFonts w:eastAsiaTheme="minorEastAsia"/>
          <w:bCs/>
          <w:sz w:val="22"/>
          <w:szCs w:val="22"/>
          <w:lang w:eastAsia="ko-KR"/>
        </w:rPr>
        <w:t xml:space="preserve">observer </w:t>
      </w:r>
      <w:r w:rsidRPr="004635E5">
        <w:rPr>
          <w:rFonts w:eastAsiaTheme="minorEastAsia"/>
          <w:bCs/>
          <w:sz w:val="22"/>
          <w:szCs w:val="22"/>
          <w:lang w:eastAsia="ko-KR"/>
        </w:rPr>
        <w:t>co</w:t>
      </w:r>
      <w:r w:rsidR="00486592" w:rsidRPr="004635E5">
        <w:rPr>
          <w:rFonts w:eastAsiaTheme="minorEastAsia"/>
          <w:bCs/>
          <w:sz w:val="22"/>
          <w:szCs w:val="22"/>
          <w:lang w:eastAsia="ko-KR"/>
        </w:rPr>
        <w:t>v</w:t>
      </w:r>
      <w:r w:rsidRPr="004635E5">
        <w:rPr>
          <w:rFonts w:eastAsiaTheme="minorEastAsia"/>
          <w:bCs/>
          <w:sz w:val="22"/>
          <w:szCs w:val="22"/>
          <w:lang w:eastAsia="ko-KR"/>
        </w:rPr>
        <w:t>erage for fisheries and fleets, esp</w:t>
      </w:r>
      <w:r w:rsidR="00486592" w:rsidRPr="004635E5">
        <w:rPr>
          <w:rFonts w:eastAsiaTheme="minorEastAsia"/>
          <w:bCs/>
          <w:sz w:val="22"/>
          <w:szCs w:val="22"/>
          <w:lang w:eastAsia="ko-KR"/>
        </w:rPr>
        <w:t>ecially</w:t>
      </w:r>
      <w:r w:rsidRPr="004635E5">
        <w:rPr>
          <w:rFonts w:eastAsiaTheme="minorEastAsia"/>
          <w:bCs/>
          <w:sz w:val="22"/>
          <w:szCs w:val="22"/>
          <w:lang w:eastAsia="ko-KR"/>
        </w:rPr>
        <w:t xml:space="preserve"> early in the time series, and </w:t>
      </w:r>
      <w:r w:rsidR="00B47784" w:rsidRPr="004635E5">
        <w:rPr>
          <w:rFonts w:eastAsiaTheme="minorEastAsia"/>
          <w:bCs/>
          <w:sz w:val="22"/>
          <w:szCs w:val="22"/>
          <w:lang w:eastAsia="ko-KR"/>
        </w:rPr>
        <w:t xml:space="preserve">the species being </w:t>
      </w:r>
      <w:r w:rsidR="00486592" w:rsidRPr="004635E5">
        <w:rPr>
          <w:rFonts w:eastAsiaTheme="minorEastAsia"/>
          <w:bCs/>
          <w:sz w:val="22"/>
          <w:szCs w:val="22"/>
          <w:lang w:eastAsia="ko-KR"/>
        </w:rPr>
        <w:t>re</w:t>
      </w:r>
      <w:r w:rsidR="00B47784" w:rsidRPr="004635E5">
        <w:rPr>
          <w:rFonts w:eastAsiaTheme="minorEastAsia"/>
          <w:bCs/>
          <w:sz w:val="22"/>
          <w:szCs w:val="22"/>
          <w:lang w:eastAsia="ko-KR"/>
        </w:rPr>
        <w:t>tained</w:t>
      </w:r>
      <w:r w:rsidRPr="004635E5">
        <w:rPr>
          <w:rFonts w:eastAsiaTheme="minorEastAsia"/>
          <w:bCs/>
          <w:sz w:val="22"/>
          <w:szCs w:val="22"/>
          <w:lang w:eastAsia="ko-KR"/>
        </w:rPr>
        <w:t xml:space="preserve"> </w:t>
      </w:r>
      <w:r w:rsidR="00B47784" w:rsidRPr="004635E5">
        <w:rPr>
          <w:rFonts w:eastAsiaTheme="minorEastAsia"/>
          <w:bCs/>
          <w:sz w:val="22"/>
          <w:szCs w:val="22"/>
          <w:lang w:eastAsia="ko-KR"/>
        </w:rPr>
        <w:t xml:space="preserve">may differ from </w:t>
      </w:r>
      <w:r w:rsidRPr="004635E5">
        <w:rPr>
          <w:rFonts w:eastAsiaTheme="minorEastAsia"/>
          <w:bCs/>
          <w:sz w:val="22"/>
          <w:szCs w:val="22"/>
          <w:lang w:eastAsia="ko-KR"/>
        </w:rPr>
        <w:t xml:space="preserve">species </w:t>
      </w:r>
      <w:r w:rsidR="00486592" w:rsidRPr="004635E5">
        <w:rPr>
          <w:rFonts w:eastAsiaTheme="minorEastAsia"/>
          <w:bCs/>
          <w:sz w:val="22"/>
          <w:szCs w:val="22"/>
          <w:lang w:eastAsia="ko-KR"/>
        </w:rPr>
        <w:t xml:space="preserve">for which there is </w:t>
      </w:r>
      <w:r w:rsidRPr="004635E5">
        <w:rPr>
          <w:rFonts w:eastAsiaTheme="minorEastAsia"/>
          <w:bCs/>
          <w:sz w:val="22"/>
          <w:szCs w:val="22"/>
          <w:lang w:eastAsia="ko-KR"/>
        </w:rPr>
        <w:t>obs</w:t>
      </w:r>
      <w:r w:rsidR="00486592" w:rsidRPr="004635E5">
        <w:rPr>
          <w:rFonts w:eastAsiaTheme="minorEastAsia"/>
          <w:bCs/>
          <w:sz w:val="22"/>
          <w:szCs w:val="22"/>
          <w:lang w:eastAsia="ko-KR"/>
        </w:rPr>
        <w:t>erver</w:t>
      </w:r>
      <w:r w:rsidRPr="004635E5">
        <w:rPr>
          <w:rFonts w:eastAsiaTheme="minorEastAsia"/>
          <w:bCs/>
          <w:sz w:val="22"/>
          <w:szCs w:val="22"/>
          <w:lang w:eastAsia="ko-KR"/>
        </w:rPr>
        <w:t xml:space="preserve"> cov</w:t>
      </w:r>
      <w:r w:rsidR="00486592" w:rsidRPr="004635E5">
        <w:rPr>
          <w:rFonts w:eastAsiaTheme="minorEastAsia"/>
          <w:bCs/>
          <w:sz w:val="22"/>
          <w:szCs w:val="22"/>
          <w:lang w:eastAsia="ko-KR"/>
        </w:rPr>
        <w:t>erage</w:t>
      </w:r>
      <w:r w:rsidRPr="004635E5">
        <w:rPr>
          <w:rFonts w:eastAsiaTheme="minorEastAsia"/>
          <w:bCs/>
          <w:sz w:val="22"/>
          <w:szCs w:val="22"/>
          <w:lang w:eastAsia="ko-KR"/>
        </w:rPr>
        <w:t xml:space="preserve">. </w:t>
      </w:r>
      <w:r w:rsidR="00486592" w:rsidRPr="004635E5">
        <w:rPr>
          <w:rFonts w:eastAsiaTheme="minorEastAsia"/>
          <w:bCs/>
          <w:sz w:val="22"/>
          <w:szCs w:val="22"/>
          <w:lang w:eastAsia="ko-KR"/>
        </w:rPr>
        <w:t>P</w:t>
      </w:r>
      <w:r w:rsidRPr="004635E5">
        <w:rPr>
          <w:rFonts w:eastAsiaTheme="minorEastAsia"/>
          <w:bCs/>
          <w:sz w:val="22"/>
          <w:szCs w:val="22"/>
          <w:lang w:eastAsia="ko-KR"/>
        </w:rPr>
        <w:t>ost-rel</w:t>
      </w:r>
      <w:r w:rsidR="00486592" w:rsidRPr="004635E5">
        <w:rPr>
          <w:rFonts w:eastAsiaTheme="minorEastAsia"/>
          <w:bCs/>
          <w:sz w:val="22"/>
          <w:szCs w:val="22"/>
          <w:lang w:eastAsia="ko-KR"/>
        </w:rPr>
        <w:t>ease mor</w:t>
      </w:r>
      <w:r w:rsidRPr="004635E5">
        <w:rPr>
          <w:rFonts w:eastAsiaTheme="minorEastAsia"/>
          <w:bCs/>
          <w:sz w:val="22"/>
          <w:szCs w:val="22"/>
          <w:lang w:eastAsia="ko-KR"/>
        </w:rPr>
        <w:t>t</w:t>
      </w:r>
      <w:r w:rsidR="00486592" w:rsidRPr="004635E5">
        <w:rPr>
          <w:rFonts w:eastAsiaTheme="minorEastAsia"/>
          <w:bCs/>
          <w:sz w:val="22"/>
          <w:szCs w:val="22"/>
          <w:lang w:eastAsia="ko-KR"/>
        </w:rPr>
        <w:t>al</w:t>
      </w:r>
      <w:r w:rsidRPr="004635E5">
        <w:rPr>
          <w:rFonts w:eastAsiaTheme="minorEastAsia"/>
          <w:bCs/>
          <w:sz w:val="22"/>
          <w:szCs w:val="22"/>
          <w:lang w:eastAsia="ko-KR"/>
        </w:rPr>
        <w:t>ity d</w:t>
      </w:r>
      <w:r w:rsidR="00486592" w:rsidRPr="004635E5">
        <w:rPr>
          <w:rFonts w:eastAsiaTheme="minorEastAsia"/>
          <w:bCs/>
          <w:sz w:val="22"/>
          <w:szCs w:val="22"/>
          <w:lang w:eastAsia="ko-KR"/>
        </w:rPr>
        <w:t>a</w:t>
      </w:r>
      <w:r w:rsidRPr="004635E5">
        <w:rPr>
          <w:rFonts w:eastAsiaTheme="minorEastAsia"/>
          <w:bCs/>
          <w:sz w:val="22"/>
          <w:szCs w:val="22"/>
          <w:lang w:eastAsia="ko-KR"/>
        </w:rPr>
        <w:t xml:space="preserve">ta </w:t>
      </w:r>
      <w:r w:rsidR="00F30923" w:rsidRPr="004635E5">
        <w:rPr>
          <w:rFonts w:eastAsiaTheme="minorEastAsia"/>
          <w:bCs/>
          <w:sz w:val="22"/>
          <w:szCs w:val="22"/>
          <w:lang w:eastAsia="ko-KR"/>
        </w:rPr>
        <w:t xml:space="preserve">are </w:t>
      </w:r>
      <w:r w:rsidRPr="004635E5">
        <w:rPr>
          <w:rFonts w:eastAsiaTheme="minorEastAsia"/>
          <w:bCs/>
          <w:sz w:val="22"/>
          <w:szCs w:val="22"/>
          <w:lang w:eastAsia="ko-KR"/>
        </w:rPr>
        <w:t>very limited</w:t>
      </w:r>
      <w:r w:rsidR="00486592" w:rsidRPr="004635E5">
        <w:rPr>
          <w:rFonts w:eastAsiaTheme="minorEastAsia"/>
          <w:bCs/>
          <w:sz w:val="22"/>
          <w:szCs w:val="22"/>
          <w:lang w:eastAsia="ko-KR"/>
        </w:rPr>
        <w:t xml:space="preserve">, but </w:t>
      </w:r>
      <w:r w:rsidRPr="004635E5">
        <w:rPr>
          <w:rFonts w:eastAsiaTheme="minorEastAsia"/>
          <w:bCs/>
          <w:sz w:val="22"/>
          <w:szCs w:val="22"/>
          <w:lang w:eastAsia="ko-KR"/>
        </w:rPr>
        <w:t>avail</w:t>
      </w:r>
      <w:r w:rsidR="00D95A2D" w:rsidRPr="004635E5">
        <w:rPr>
          <w:rFonts w:eastAsiaTheme="minorEastAsia"/>
          <w:bCs/>
          <w:sz w:val="22"/>
          <w:szCs w:val="22"/>
          <w:lang w:eastAsia="ko-KR"/>
        </w:rPr>
        <w:t>able</w:t>
      </w:r>
      <w:r w:rsidRPr="004635E5">
        <w:rPr>
          <w:rFonts w:eastAsiaTheme="minorEastAsia"/>
          <w:bCs/>
          <w:sz w:val="22"/>
          <w:szCs w:val="22"/>
          <w:lang w:eastAsia="ko-KR"/>
        </w:rPr>
        <w:t xml:space="preserve"> for some shark species. </w:t>
      </w:r>
      <w:r w:rsidR="00F30923" w:rsidRPr="004635E5">
        <w:rPr>
          <w:rFonts w:eastAsiaTheme="minorEastAsia"/>
          <w:bCs/>
          <w:sz w:val="22"/>
          <w:szCs w:val="22"/>
          <w:lang w:eastAsia="ko-KR"/>
        </w:rPr>
        <w:t>Thus</w:t>
      </w:r>
      <w:r w:rsidR="00030C2C">
        <w:rPr>
          <w:rFonts w:eastAsiaTheme="minorEastAsia" w:hint="eastAsia"/>
          <w:bCs/>
          <w:sz w:val="22"/>
          <w:szCs w:val="22"/>
          <w:lang w:eastAsia="ko-KR"/>
        </w:rPr>
        <w:t>,</w:t>
      </w:r>
      <w:r w:rsidR="00F30923" w:rsidRPr="004635E5">
        <w:rPr>
          <w:rFonts w:eastAsiaTheme="minorEastAsia"/>
          <w:bCs/>
          <w:sz w:val="22"/>
          <w:szCs w:val="22"/>
          <w:lang w:eastAsia="ko-KR"/>
        </w:rPr>
        <w:t xml:space="preserve"> t</w:t>
      </w:r>
      <w:r w:rsidR="00486592" w:rsidRPr="004635E5">
        <w:rPr>
          <w:rFonts w:eastAsiaTheme="minorEastAsia"/>
          <w:bCs/>
          <w:sz w:val="22"/>
          <w:szCs w:val="22"/>
          <w:lang w:eastAsia="ko-KR"/>
        </w:rPr>
        <w:t>here wo</w:t>
      </w:r>
      <w:r w:rsidRPr="004635E5">
        <w:rPr>
          <w:rFonts w:eastAsiaTheme="minorEastAsia"/>
          <w:bCs/>
          <w:sz w:val="22"/>
          <w:szCs w:val="22"/>
          <w:lang w:eastAsia="ko-KR"/>
        </w:rPr>
        <w:t xml:space="preserve">uld be some data constraints, but </w:t>
      </w:r>
      <w:r w:rsidR="00D95A2D" w:rsidRPr="004635E5">
        <w:rPr>
          <w:rFonts w:eastAsiaTheme="minorEastAsia"/>
          <w:bCs/>
          <w:sz w:val="22"/>
          <w:szCs w:val="22"/>
          <w:lang w:eastAsia="ko-KR"/>
        </w:rPr>
        <w:t xml:space="preserve">it </w:t>
      </w:r>
      <w:r w:rsidRPr="004635E5">
        <w:rPr>
          <w:rFonts w:eastAsiaTheme="minorEastAsia"/>
          <w:bCs/>
          <w:sz w:val="22"/>
          <w:szCs w:val="22"/>
          <w:lang w:eastAsia="ko-KR"/>
        </w:rPr>
        <w:t xml:space="preserve">should be </w:t>
      </w:r>
      <w:r w:rsidR="00D95A2D" w:rsidRPr="004635E5">
        <w:rPr>
          <w:rFonts w:eastAsiaTheme="minorEastAsia"/>
          <w:bCs/>
          <w:sz w:val="22"/>
          <w:szCs w:val="22"/>
          <w:lang w:eastAsia="ko-KR"/>
        </w:rPr>
        <w:t xml:space="preserve">possible </w:t>
      </w:r>
      <w:r w:rsidRPr="004635E5">
        <w:rPr>
          <w:rFonts w:eastAsiaTheme="minorEastAsia"/>
          <w:bCs/>
          <w:sz w:val="22"/>
          <w:szCs w:val="22"/>
          <w:lang w:eastAsia="ko-KR"/>
        </w:rPr>
        <w:t xml:space="preserve">to </w:t>
      </w:r>
      <w:r w:rsidR="00486592" w:rsidRPr="004635E5">
        <w:rPr>
          <w:rFonts w:eastAsiaTheme="minorEastAsia"/>
          <w:bCs/>
          <w:sz w:val="22"/>
          <w:szCs w:val="22"/>
          <w:lang w:eastAsia="ko-KR"/>
        </w:rPr>
        <w:t xml:space="preserve">develop a better idea of </w:t>
      </w:r>
      <w:r w:rsidRPr="004635E5">
        <w:rPr>
          <w:rFonts w:eastAsiaTheme="minorEastAsia"/>
          <w:bCs/>
          <w:sz w:val="22"/>
          <w:szCs w:val="22"/>
          <w:lang w:eastAsia="ko-KR"/>
        </w:rPr>
        <w:t>total remova</w:t>
      </w:r>
      <w:r w:rsidR="00486592" w:rsidRPr="004635E5">
        <w:rPr>
          <w:rFonts w:eastAsiaTheme="minorEastAsia"/>
          <w:bCs/>
          <w:sz w:val="22"/>
          <w:szCs w:val="22"/>
          <w:lang w:eastAsia="ko-KR"/>
        </w:rPr>
        <w:t>l</w:t>
      </w:r>
      <w:r w:rsidRPr="004635E5">
        <w:rPr>
          <w:rFonts w:eastAsiaTheme="minorEastAsia"/>
          <w:bCs/>
          <w:sz w:val="22"/>
          <w:szCs w:val="22"/>
          <w:lang w:eastAsia="ko-KR"/>
        </w:rPr>
        <w:t xml:space="preserve"> estimates.</w:t>
      </w:r>
      <w:r w:rsidR="00E176D0" w:rsidRPr="004635E5">
        <w:rPr>
          <w:rFonts w:eastAsiaTheme="minorEastAsia"/>
          <w:bCs/>
          <w:sz w:val="22"/>
          <w:szCs w:val="22"/>
          <w:lang w:eastAsia="ko-KR"/>
        </w:rPr>
        <w:t xml:space="preserve"> </w:t>
      </w:r>
      <w:r w:rsidRPr="004635E5">
        <w:rPr>
          <w:rFonts w:eastAsiaTheme="minorEastAsia"/>
          <w:bCs/>
          <w:sz w:val="22"/>
          <w:szCs w:val="22"/>
          <w:lang w:eastAsia="ko-KR"/>
        </w:rPr>
        <w:t>FAO</w:t>
      </w:r>
      <w:r w:rsidR="00486592" w:rsidRPr="004635E5">
        <w:rPr>
          <w:rFonts w:eastAsiaTheme="minorEastAsia"/>
          <w:bCs/>
          <w:sz w:val="22"/>
          <w:szCs w:val="22"/>
          <w:lang w:eastAsia="ko-KR"/>
        </w:rPr>
        <w:t xml:space="preserve"> stated that </w:t>
      </w:r>
      <w:r w:rsidRPr="004635E5">
        <w:rPr>
          <w:rFonts w:eastAsiaTheme="minorEastAsia"/>
          <w:bCs/>
          <w:sz w:val="22"/>
          <w:szCs w:val="22"/>
          <w:lang w:eastAsia="ko-KR"/>
        </w:rPr>
        <w:t xml:space="preserve">some previous studies </w:t>
      </w:r>
      <w:r w:rsidR="00E176D0" w:rsidRPr="004635E5">
        <w:rPr>
          <w:rFonts w:eastAsiaTheme="minorEastAsia"/>
          <w:bCs/>
          <w:sz w:val="22"/>
          <w:szCs w:val="22"/>
          <w:lang w:eastAsia="ko-KR"/>
        </w:rPr>
        <w:t xml:space="preserve">had </w:t>
      </w:r>
      <w:r w:rsidRPr="004635E5">
        <w:rPr>
          <w:rFonts w:eastAsiaTheme="minorEastAsia"/>
          <w:bCs/>
          <w:sz w:val="22"/>
          <w:szCs w:val="22"/>
          <w:lang w:eastAsia="ko-KR"/>
        </w:rPr>
        <w:t xml:space="preserve">been </w:t>
      </w:r>
      <w:r w:rsidR="00E176D0" w:rsidRPr="004635E5">
        <w:rPr>
          <w:rFonts w:eastAsiaTheme="minorEastAsia"/>
          <w:bCs/>
          <w:sz w:val="22"/>
          <w:szCs w:val="22"/>
          <w:lang w:eastAsia="ko-KR"/>
        </w:rPr>
        <w:t xml:space="preserve">incorrectly used </w:t>
      </w:r>
      <w:r w:rsidRPr="004635E5">
        <w:rPr>
          <w:rFonts w:eastAsiaTheme="minorEastAsia"/>
          <w:bCs/>
          <w:sz w:val="22"/>
          <w:szCs w:val="22"/>
          <w:lang w:eastAsia="ko-KR"/>
        </w:rPr>
        <w:t xml:space="preserve">as </w:t>
      </w:r>
      <w:r w:rsidR="00E176D0" w:rsidRPr="004635E5">
        <w:rPr>
          <w:rFonts w:eastAsiaTheme="minorEastAsia"/>
          <w:bCs/>
          <w:sz w:val="22"/>
          <w:szCs w:val="22"/>
          <w:lang w:eastAsia="ko-KR"/>
        </w:rPr>
        <w:t xml:space="preserve">proxies </w:t>
      </w:r>
      <w:r w:rsidR="009C4403" w:rsidRPr="004635E5">
        <w:rPr>
          <w:rFonts w:eastAsiaTheme="minorEastAsia"/>
          <w:bCs/>
          <w:sz w:val="22"/>
          <w:szCs w:val="22"/>
          <w:lang w:eastAsia="ko-KR"/>
        </w:rPr>
        <w:t xml:space="preserve">of </w:t>
      </w:r>
      <w:r w:rsidRPr="004635E5">
        <w:rPr>
          <w:rFonts w:eastAsiaTheme="minorEastAsia"/>
          <w:bCs/>
          <w:sz w:val="22"/>
          <w:szCs w:val="22"/>
          <w:lang w:eastAsia="ko-KR"/>
        </w:rPr>
        <w:t>to</w:t>
      </w:r>
      <w:r w:rsidR="00486592" w:rsidRPr="004635E5">
        <w:rPr>
          <w:rFonts w:eastAsiaTheme="minorEastAsia"/>
          <w:bCs/>
          <w:sz w:val="22"/>
          <w:szCs w:val="22"/>
          <w:lang w:eastAsia="ko-KR"/>
        </w:rPr>
        <w:t>tal re</w:t>
      </w:r>
      <w:r w:rsidRPr="004635E5">
        <w:rPr>
          <w:rFonts w:eastAsiaTheme="minorEastAsia"/>
          <w:bCs/>
          <w:sz w:val="22"/>
          <w:szCs w:val="22"/>
          <w:lang w:eastAsia="ko-KR"/>
        </w:rPr>
        <w:t>movals</w:t>
      </w:r>
      <w:r w:rsidR="00C8100A" w:rsidRPr="004635E5">
        <w:rPr>
          <w:rFonts w:eastAsiaTheme="minorEastAsia"/>
          <w:bCs/>
          <w:sz w:val="22"/>
          <w:szCs w:val="22"/>
          <w:lang w:eastAsia="ko-KR"/>
        </w:rPr>
        <w:t>,</w:t>
      </w:r>
      <w:r w:rsidR="00F30923" w:rsidRPr="004635E5">
        <w:rPr>
          <w:rFonts w:eastAsiaTheme="minorEastAsia"/>
          <w:bCs/>
          <w:sz w:val="22"/>
          <w:szCs w:val="22"/>
          <w:lang w:eastAsia="ko-KR"/>
        </w:rPr>
        <w:t xml:space="preserve"> and </w:t>
      </w:r>
      <w:r w:rsidR="00E176D0" w:rsidRPr="004635E5">
        <w:rPr>
          <w:rFonts w:eastAsiaTheme="minorEastAsia"/>
          <w:bCs/>
          <w:sz w:val="22"/>
          <w:szCs w:val="22"/>
          <w:lang w:eastAsia="ko-KR"/>
        </w:rPr>
        <w:t>encouraged SPC to develop such an estimate. FA</w:t>
      </w:r>
      <w:r w:rsidR="00EA7EA0" w:rsidRPr="004635E5">
        <w:rPr>
          <w:rFonts w:eastAsiaTheme="minorEastAsia"/>
          <w:bCs/>
          <w:sz w:val="22"/>
          <w:szCs w:val="22"/>
          <w:lang w:eastAsia="ko-KR"/>
        </w:rPr>
        <w:t>O</w:t>
      </w:r>
      <w:r w:rsidR="00E176D0" w:rsidRPr="004635E5">
        <w:rPr>
          <w:rFonts w:eastAsiaTheme="minorEastAsia"/>
          <w:bCs/>
          <w:sz w:val="22"/>
          <w:szCs w:val="22"/>
          <w:lang w:eastAsia="ko-KR"/>
        </w:rPr>
        <w:t xml:space="preserve"> observed that the </w:t>
      </w:r>
      <w:r w:rsidR="00EA7EA0" w:rsidRPr="004635E5">
        <w:rPr>
          <w:rFonts w:eastAsiaTheme="minorEastAsia"/>
          <w:bCs/>
          <w:sz w:val="22"/>
          <w:szCs w:val="22"/>
          <w:lang w:eastAsia="ko-KR"/>
        </w:rPr>
        <w:t xml:space="preserve">increase in </w:t>
      </w:r>
      <w:r w:rsidRPr="004635E5">
        <w:rPr>
          <w:rFonts w:eastAsiaTheme="minorEastAsia"/>
          <w:bCs/>
          <w:sz w:val="22"/>
          <w:szCs w:val="22"/>
          <w:lang w:eastAsia="ko-KR"/>
        </w:rPr>
        <w:t>uni</w:t>
      </w:r>
      <w:r w:rsidR="00B83C46" w:rsidRPr="004635E5">
        <w:rPr>
          <w:rFonts w:eastAsiaTheme="minorEastAsia"/>
          <w:bCs/>
          <w:sz w:val="22"/>
          <w:szCs w:val="22"/>
          <w:lang w:eastAsia="ko-KR"/>
        </w:rPr>
        <w:t xml:space="preserve">dentified </w:t>
      </w:r>
      <w:r w:rsidRPr="004635E5">
        <w:rPr>
          <w:rFonts w:eastAsiaTheme="minorEastAsia"/>
          <w:bCs/>
          <w:sz w:val="22"/>
          <w:szCs w:val="22"/>
          <w:lang w:eastAsia="ko-KR"/>
        </w:rPr>
        <w:t>sharks in 2013 and after</w:t>
      </w:r>
      <w:r w:rsidR="00EA7EA0" w:rsidRPr="004635E5">
        <w:rPr>
          <w:rFonts w:eastAsiaTheme="minorEastAsia"/>
          <w:bCs/>
          <w:sz w:val="22"/>
          <w:szCs w:val="22"/>
          <w:lang w:eastAsia="ko-KR"/>
        </w:rPr>
        <w:t xml:space="preserve"> was </w:t>
      </w:r>
      <w:r w:rsidRPr="004635E5">
        <w:rPr>
          <w:rFonts w:eastAsiaTheme="minorEastAsia"/>
          <w:bCs/>
          <w:sz w:val="22"/>
          <w:szCs w:val="22"/>
          <w:lang w:eastAsia="ko-KR"/>
        </w:rPr>
        <w:t>likely related to no</w:t>
      </w:r>
      <w:r w:rsidR="00262972" w:rsidRPr="004635E5">
        <w:rPr>
          <w:rFonts w:eastAsiaTheme="minorEastAsia"/>
          <w:bCs/>
          <w:sz w:val="22"/>
          <w:szCs w:val="22"/>
          <w:lang w:eastAsia="ko-KR"/>
        </w:rPr>
        <w:t>n</w:t>
      </w:r>
      <w:r w:rsidRPr="004635E5">
        <w:rPr>
          <w:rFonts w:eastAsiaTheme="minorEastAsia"/>
          <w:bCs/>
          <w:sz w:val="22"/>
          <w:szCs w:val="22"/>
          <w:lang w:eastAsia="ko-KR"/>
        </w:rPr>
        <w:t xml:space="preserve">-retention measures, </w:t>
      </w:r>
      <w:r w:rsidR="00B83C46" w:rsidRPr="004635E5">
        <w:rPr>
          <w:rFonts w:eastAsiaTheme="minorEastAsia"/>
          <w:bCs/>
          <w:sz w:val="22"/>
          <w:szCs w:val="22"/>
          <w:lang w:eastAsia="ko-KR"/>
        </w:rPr>
        <w:t xml:space="preserve">with sharks </w:t>
      </w:r>
      <w:r w:rsidRPr="004635E5">
        <w:rPr>
          <w:rFonts w:eastAsiaTheme="minorEastAsia"/>
          <w:bCs/>
          <w:sz w:val="22"/>
          <w:szCs w:val="22"/>
          <w:lang w:eastAsia="ko-KR"/>
        </w:rPr>
        <w:t xml:space="preserve">released before </w:t>
      </w:r>
      <w:r w:rsidR="00CB3386">
        <w:rPr>
          <w:rFonts w:eastAsiaTheme="minorEastAsia"/>
          <w:bCs/>
          <w:sz w:val="22"/>
          <w:szCs w:val="22"/>
          <w:lang w:eastAsia="ko-KR"/>
        </w:rPr>
        <w:t>being identified</w:t>
      </w:r>
      <w:r w:rsidR="00CB3386" w:rsidRPr="004635E5">
        <w:rPr>
          <w:rFonts w:eastAsiaTheme="minorEastAsia"/>
          <w:bCs/>
          <w:sz w:val="22"/>
          <w:szCs w:val="22"/>
          <w:lang w:eastAsia="ko-KR"/>
        </w:rPr>
        <w:t xml:space="preserve">. FAO asked if it was likely there is underreporting of sharks in general, because observers are instructed not to record sharks </w:t>
      </w:r>
      <w:r w:rsidR="00CB3386">
        <w:rPr>
          <w:rFonts w:eastAsiaTheme="minorEastAsia"/>
          <w:bCs/>
          <w:sz w:val="22"/>
          <w:szCs w:val="22"/>
          <w:lang w:eastAsia="ko-KR"/>
        </w:rPr>
        <w:t xml:space="preserve">unless </w:t>
      </w:r>
      <w:r w:rsidR="00CB3386" w:rsidRPr="004635E5">
        <w:rPr>
          <w:rFonts w:eastAsiaTheme="minorEastAsia"/>
          <w:bCs/>
          <w:sz w:val="22"/>
          <w:szCs w:val="22"/>
          <w:lang w:eastAsia="ko-KR"/>
        </w:rPr>
        <w:t xml:space="preserve">they </w:t>
      </w:r>
      <w:r w:rsidR="00CB3386">
        <w:rPr>
          <w:rFonts w:eastAsiaTheme="minorEastAsia"/>
          <w:bCs/>
          <w:sz w:val="22"/>
          <w:szCs w:val="22"/>
          <w:lang w:eastAsia="ko-KR"/>
        </w:rPr>
        <w:t>can visually verify it is a shark</w:t>
      </w:r>
      <w:r w:rsidR="00CB3386" w:rsidRPr="004635E5">
        <w:rPr>
          <w:rFonts w:eastAsiaTheme="minorEastAsia"/>
          <w:bCs/>
          <w:sz w:val="22"/>
          <w:szCs w:val="22"/>
          <w:lang w:eastAsia="ko-KR"/>
        </w:rPr>
        <w:t>.</w:t>
      </w:r>
      <w:r w:rsidR="006D05B9" w:rsidRPr="004635E5">
        <w:rPr>
          <w:rFonts w:eastAsiaTheme="minorEastAsia"/>
          <w:bCs/>
          <w:sz w:val="22"/>
          <w:szCs w:val="22"/>
          <w:lang w:eastAsia="ko-KR"/>
        </w:rPr>
        <w:t xml:space="preserve"> SPC refrain</w:t>
      </w:r>
      <w:r w:rsidR="00B83C46" w:rsidRPr="004635E5">
        <w:rPr>
          <w:rFonts w:eastAsiaTheme="minorEastAsia"/>
          <w:bCs/>
          <w:sz w:val="22"/>
          <w:szCs w:val="22"/>
          <w:lang w:eastAsia="ko-KR"/>
        </w:rPr>
        <w:t>ed</w:t>
      </w:r>
      <w:r w:rsidR="006D05B9" w:rsidRPr="004635E5">
        <w:rPr>
          <w:rFonts w:eastAsiaTheme="minorEastAsia"/>
          <w:bCs/>
          <w:sz w:val="22"/>
          <w:szCs w:val="22"/>
          <w:lang w:eastAsia="ko-KR"/>
        </w:rPr>
        <w:t xml:space="preserve"> from express</w:t>
      </w:r>
      <w:r w:rsidR="00B83C46" w:rsidRPr="004635E5">
        <w:rPr>
          <w:rFonts w:eastAsiaTheme="minorEastAsia"/>
          <w:bCs/>
          <w:sz w:val="22"/>
          <w:szCs w:val="22"/>
          <w:lang w:eastAsia="ko-KR"/>
        </w:rPr>
        <w:t>ing</w:t>
      </w:r>
      <w:r w:rsidR="006D05B9" w:rsidRPr="004635E5">
        <w:rPr>
          <w:rFonts w:eastAsiaTheme="minorEastAsia"/>
          <w:bCs/>
          <w:sz w:val="22"/>
          <w:szCs w:val="22"/>
          <w:lang w:eastAsia="ko-KR"/>
        </w:rPr>
        <w:t xml:space="preserve"> </w:t>
      </w:r>
      <w:r w:rsidR="00B83C46" w:rsidRPr="004635E5">
        <w:rPr>
          <w:rFonts w:eastAsiaTheme="minorEastAsia"/>
          <w:bCs/>
          <w:sz w:val="22"/>
          <w:szCs w:val="22"/>
          <w:lang w:eastAsia="ko-KR"/>
        </w:rPr>
        <w:t xml:space="preserve">a </w:t>
      </w:r>
      <w:r w:rsidR="006D05B9" w:rsidRPr="004635E5">
        <w:rPr>
          <w:rFonts w:eastAsiaTheme="minorEastAsia"/>
          <w:bCs/>
          <w:sz w:val="22"/>
          <w:szCs w:val="22"/>
          <w:lang w:eastAsia="ko-KR"/>
        </w:rPr>
        <w:t>str</w:t>
      </w:r>
      <w:r w:rsidR="00B83C46" w:rsidRPr="004635E5">
        <w:rPr>
          <w:rFonts w:eastAsiaTheme="minorEastAsia"/>
          <w:bCs/>
          <w:sz w:val="22"/>
          <w:szCs w:val="22"/>
          <w:lang w:eastAsia="ko-KR"/>
        </w:rPr>
        <w:t>o</w:t>
      </w:r>
      <w:r w:rsidR="006D05B9" w:rsidRPr="004635E5">
        <w:rPr>
          <w:rFonts w:eastAsiaTheme="minorEastAsia"/>
          <w:bCs/>
          <w:sz w:val="22"/>
          <w:szCs w:val="22"/>
          <w:lang w:eastAsia="ko-KR"/>
        </w:rPr>
        <w:t xml:space="preserve">ng opinion </w:t>
      </w:r>
      <w:r w:rsidR="00B83C46" w:rsidRPr="004635E5">
        <w:rPr>
          <w:rFonts w:eastAsiaTheme="minorEastAsia"/>
          <w:bCs/>
          <w:sz w:val="22"/>
          <w:szCs w:val="22"/>
          <w:lang w:eastAsia="ko-KR"/>
        </w:rPr>
        <w:t xml:space="preserve">on </w:t>
      </w:r>
      <w:r w:rsidR="006D05B9" w:rsidRPr="004635E5">
        <w:rPr>
          <w:rFonts w:eastAsiaTheme="minorEastAsia"/>
          <w:bCs/>
          <w:sz w:val="22"/>
          <w:szCs w:val="22"/>
          <w:lang w:eastAsia="ko-KR"/>
        </w:rPr>
        <w:t xml:space="preserve">whether </w:t>
      </w:r>
      <w:r w:rsidR="00B83C46" w:rsidRPr="004635E5">
        <w:rPr>
          <w:rFonts w:eastAsiaTheme="minorEastAsia"/>
          <w:bCs/>
          <w:sz w:val="22"/>
          <w:szCs w:val="22"/>
          <w:lang w:eastAsia="ko-KR"/>
        </w:rPr>
        <w:t>the no retention policy has im</w:t>
      </w:r>
      <w:r w:rsidR="006D05B9" w:rsidRPr="004635E5">
        <w:rPr>
          <w:rFonts w:eastAsiaTheme="minorEastAsia"/>
          <w:bCs/>
          <w:sz w:val="22"/>
          <w:szCs w:val="22"/>
          <w:lang w:eastAsia="ko-KR"/>
        </w:rPr>
        <w:t>p</w:t>
      </w:r>
      <w:r w:rsidR="00B83C46" w:rsidRPr="004635E5">
        <w:rPr>
          <w:rFonts w:eastAsiaTheme="minorEastAsia"/>
          <w:bCs/>
          <w:sz w:val="22"/>
          <w:szCs w:val="22"/>
          <w:lang w:eastAsia="ko-KR"/>
        </w:rPr>
        <w:t>a</w:t>
      </w:r>
      <w:r w:rsidR="006D05B9" w:rsidRPr="004635E5">
        <w:rPr>
          <w:rFonts w:eastAsiaTheme="minorEastAsia"/>
          <w:bCs/>
          <w:sz w:val="22"/>
          <w:szCs w:val="22"/>
          <w:lang w:eastAsia="ko-KR"/>
        </w:rPr>
        <w:t>cted reporting</w:t>
      </w:r>
      <w:r w:rsidR="00B83C46" w:rsidRPr="004635E5">
        <w:rPr>
          <w:rFonts w:eastAsiaTheme="minorEastAsia"/>
          <w:bCs/>
          <w:sz w:val="22"/>
          <w:szCs w:val="22"/>
          <w:lang w:eastAsia="ko-KR"/>
        </w:rPr>
        <w:t>, and noted there m</w:t>
      </w:r>
      <w:r w:rsidR="006D05B9" w:rsidRPr="004635E5">
        <w:rPr>
          <w:rFonts w:eastAsiaTheme="minorEastAsia"/>
          <w:bCs/>
          <w:sz w:val="22"/>
          <w:szCs w:val="22"/>
          <w:lang w:eastAsia="ko-KR"/>
        </w:rPr>
        <w:t xml:space="preserve">ay be </w:t>
      </w:r>
      <w:r w:rsidR="00B83C46" w:rsidRPr="004635E5">
        <w:rPr>
          <w:rFonts w:eastAsiaTheme="minorEastAsia"/>
          <w:bCs/>
          <w:sz w:val="22"/>
          <w:szCs w:val="22"/>
          <w:lang w:eastAsia="ko-KR"/>
        </w:rPr>
        <w:t xml:space="preserve">a </w:t>
      </w:r>
      <w:r w:rsidR="006D05B9" w:rsidRPr="004635E5">
        <w:rPr>
          <w:rFonts w:eastAsiaTheme="minorEastAsia"/>
          <w:bCs/>
          <w:sz w:val="22"/>
          <w:szCs w:val="22"/>
          <w:lang w:eastAsia="ko-KR"/>
        </w:rPr>
        <w:t xml:space="preserve">need to increase observer training. </w:t>
      </w:r>
      <w:r w:rsidR="00262972" w:rsidRPr="004635E5">
        <w:rPr>
          <w:rFonts w:eastAsiaTheme="minorEastAsia"/>
          <w:bCs/>
          <w:sz w:val="22"/>
          <w:szCs w:val="22"/>
          <w:lang w:eastAsia="ko-KR"/>
        </w:rPr>
        <w:t>The EU observed that this was important for underreported species.</w:t>
      </w:r>
    </w:p>
    <w:p w14:paraId="1FB7EC24" w14:textId="77777777" w:rsidR="00557DD1" w:rsidRPr="004635E5" w:rsidRDefault="00557DD1" w:rsidP="006633A8">
      <w:pPr>
        <w:autoSpaceDE w:val="0"/>
        <w:autoSpaceDN w:val="0"/>
        <w:adjustRightInd w:val="0"/>
        <w:snapToGrid w:val="0"/>
        <w:jc w:val="both"/>
        <w:rPr>
          <w:rFonts w:eastAsiaTheme="minorEastAsia"/>
          <w:bCs/>
          <w:sz w:val="22"/>
          <w:szCs w:val="22"/>
          <w:lang w:eastAsia="ko-KR"/>
        </w:rPr>
      </w:pPr>
    </w:p>
    <w:p w14:paraId="6DEADF91" w14:textId="77777777" w:rsidR="00262972" w:rsidRPr="004635E5" w:rsidRDefault="00B83C46"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 xml:space="preserve">In response to a question from the </w:t>
      </w:r>
      <w:r w:rsidR="006D05B9" w:rsidRPr="004635E5">
        <w:rPr>
          <w:rFonts w:eastAsiaTheme="minorEastAsia"/>
          <w:bCs/>
          <w:sz w:val="22"/>
          <w:szCs w:val="22"/>
          <w:lang w:eastAsia="ko-KR"/>
        </w:rPr>
        <w:t>EU</w:t>
      </w:r>
      <w:r w:rsidRPr="004635E5">
        <w:rPr>
          <w:rFonts w:eastAsiaTheme="minorEastAsia"/>
          <w:bCs/>
          <w:sz w:val="22"/>
          <w:szCs w:val="22"/>
          <w:lang w:eastAsia="ko-KR"/>
        </w:rPr>
        <w:t>,</w:t>
      </w:r>
      <w:r w:rsidR="006D05B9" w:rsidRPr="004635E5">
        <w:rPr>
          <w:rFonts w:eastAsiaTheme="minorEastAsia"/>
          <w:bCs/>
          <w:sz w:val="22"/>
          <w:szCs w:val="22"/>
          <w:lang w:eastAsia="ko-KR"/>
        </w:rPr>
        <w:t xml:space="preserve"> </w:t>
      </w:r>
      <w:r w:rsidRPr="004635E5">
        <w:rPr>
          <w:rFonts w:eastAsiaTheme="minorEastAsia"/>
          <w:bCs/>
          <w:sz w:val="22"/>
          <w:szCs w:val="22"/>
          <w:lang w:eastAsia="ko-KR"/>
        </w:rPr>
        <w:t xml:space="preserve">SPC noted that using a </w:t>
      </w:r>
      <w:r w:rsidR="006D05B9" w:rsidRPr="004635E5">
        <w:rPr>
          <w:rFonts w:eastAsiaTheme="minorEastAsia"/>
          <w:bCs/>
          <w:sz w:val="22"/>
          <w:szCs w:val="22"/>
          <w:lang w:eastAsia="ko-KR"/>
        </w:rPr>
        <w:t>str</w:t>
      </w:r>
      <w:r w:rsidRPr="004635E5">
        <w:rPr>
          <w:rFonts w:eastAsiaTheme="minorEastAsia"/>
          <w:bCs/>
          <w:sz w:val="22"/>
          <w:szCs w:val="22"/>
          <w:lang w:eastAsia="ko-KR"/>
        </w:rPr>
        <w:t>a</w:t>
      </w:r>
      <w:r w:rsidR="006D05B9" w:rsidRPr="004635E5">
        <w:rPr>
          <w:rFonts w:eastAsiaTheme="minorEastAsia"/>
          <w:bCs/>
          <w:sz w:val="22"/>
          <w:szCs w:val="22"/>
          <w:lang w:eastAsia="ko-KR"/>
        </w:rPr>
        <w:t>tified ratio estimat</w:t>
      </w:r>
      <w:r w:rsidR="00262972" w:rsidRPr="004635E5">
        <w:rPr>
          <w:rFonts w:eastAsiaTheme="minorEastAsia"/>
          <w:bCs/>
          <w:sz w:val="22"/>
          <w:szCs w:val="22"/>
          <w:lang w:eastAsia="ko-KR"/>
        </w:rPr>
        <w:t>or</w:t>
      </w:r>
      <w:r w:rsidR="006D05B9" w:rsidRPr="004635E5">
        <w:rPr>
          <w:rFonts w:eastAsiaTheme="minorEastAsia"/>
          <w:bCs/>
          <w:sz w:val="22"/>
          <w:szCs w:val="22"/>
          <w:lang w:eastAsia="ko-KR"/>
        </w:rPr>
        <w:t xml:space="preserve"> </w:t>
      </w:r>
      <w:r w:rsidRPr="004635E5">
        <w:rPr>
          <w:rFonts w:eastAsiaTheme="minorEastAsia"/>
          <w:bCs/>
          <w:sz w:val="22"/>
          <w:szCs w:val="22"/>
          <w:lang w:eastAsia="ko-KR"/>
        </w:rPr>
        <w:t xml:space="preserve">to examine the </w:t>
      </w:r>
      <w:r w:rsidR="006D05B9" w:rsidRPr="004635E5">
        <w:rPr>
          <w:rFonts w:eastAsiaTheme="minorEastAsia"/>
          <w:bCs/>
          <w:sz w:val="22"/>
          <w:szCs w:val="22"/>
          <w:lang w:eastAsia="ko-KR"/>
        </w:rPr>
        <w:t xml:space="preserve">ratio of </w:t>
      </w:r>
      <w:r w:rsidR="00C8100A" w:rsidRPr="004635E5">
        <w:rPr>
          <w:rFonts w:eastAsiaTheme="minorEastAsia"/>
          <w:bCs/>
          <w:sz w:val="22"/>
          <w:szCs w:val="22"/>
          <w:lang w:eastAsia="ko-KR"/>
        </w:rPr>
        <w:t>bycatch</w:t>
      </w:r>
      <w:r w:rsidR="006D05B9" w:rsidRPr="004635E5">
        <w:rPr>
          <w:rFonts w:eastAsiaTheme="minorEastAsia"/>
          <w:bCs/>
          <w:sz w:val="22"/>
          <w:szCs w:val="22"/>
          <w:lang w:eastAsia="ko-KR"/>
        </w:rPr>
        <w:t xml:space="preserve"> to fishery production</w:t>
      </w:r>
      <w:r w:rsidRPr="004635E5">
        <w:rPr>
          <w:rFonts w:eastAsiaTheme="minorEastAsia"/>
          <w:bCs/>
          <w:sz w:val="22"/>
          <w:szCs w:val="22"/>
          <w:lang w:eastAsia="ko-KR"/>
        </w:rPr>
        <w:t xml:space="preserve"> </w:t>
      </w:r>
      <w:r w:rsidR="006D05B9" w:rsidRPr="004635E5">
        <w:rPr>
          <w:rFonts w:eastAsiaTheme="minorEastAsia"/>
          <w:bCs/>
          <w:sz w:val="22"/>
          <w:szCs w:val="22"/>
          <w:lang w:eastAsia="ko-KR"/>
        </w:rPr>
        <w:t xml:space="preserve">could be worth exploring. </w:t>
      </w:r>
      <w:r w:rsidR="00D95A2D" w:rsidRPr="004635E5">
        <w:rPr>
          <w:rFonts w:eastAsiaTheme="minorEastAsia"/>
          <w:bCs/>
          <w:sz w:val="22"/>
          <w:szCs w:val="22"/>
          <w:lang w:eastAsia="ko-KR"/>
        </w:rPr>
        <w:t xml:space="preserve">SPC </w:t>
      </w:r>
      <w:r w:rsidRPr="004635E5">
        <w:rPr>
          <w:rFonts w:eastAsiaTheme="minorEastAsia"/>
          <w:bCs/>
          <w:sz w:val="22"/>
          <w:szCs w:val="22"/>
          <w:lang w:eastAsia="ko-KR"/>
        </w:rPr>
        <w:t xml:space="preserve">indicated using a </w:t>
      </w:r>
      <w:r w:rsidR="006D05B9" w:rsidRPr="004635E5">
        <w:rPr>
          <w:rFonts w:eastAsiaTheme="minorEastAsia"/>
          <w:bCs/>
          <w:sz w:val="22"/>
          <w:szCs w:val="22"/>
          <w:lang w:eastAsia="ko-KR"/>
        </w:rPr>
        <w:t>model</w:t>
      </w:r>
      <w:r w:rsidRPr="004635E5">
        <w:rPr>
          <w:rFonts w:eastAsiaTheme="minorEastAsia"/>
          <w:bCs/>
          <w:sz w:val="22"/>
          <w:szCs w:val="22"/>
          <w:lang w:eastAsia="ko-KR"/>
        </w:rPr>
        <w:t>-</w:t>
      </w:r>
      <w:r w:rsidR="006D05B9" w:rsidRPr="004635E5">
        <w:rPr>
          <w:rFonts w:eastAsiaTheme="minorEastAsia"/>
          <w:bCs/>
          <w:sz w:val="22"/>
          <w:szCs w:val="22"/>
          <w:lang w:eastAsia="ko-KR"/>
        </w:rPr>
        <w:t xml:space="preserve">based approach </w:t>
      </w:r>
      <w:r w:rsidRPr="004635E5">
        <w:rPr>
          <w:rFonts w:eastAsiaTheme="minorEastAsia"/>
          <w:bCs/>
          <w:sz w:val="22"/>
          <w:szCs w:val="22"/>
          <w:lang w:eastAsia="ko-KR"/>
        </w:rPr>
        <w:t xml:space="preserve">had </w:t>
      </w:r>
      <w:r w:rsidR="006D05B9" w:rsidRPr="004635E5">
        <w:rPr>
          <w:rFonts w:eastAsiaTheme="minorEastAsia"/>
          <w:bCs/>
          <w:sz w:val="22"/>
          <w:szCs w:val="22"/>
          <w:lang w:eastAsia="ko-KR"/>
        </w:rPr>
        <w:t>some advantage</w:t>
      </w:r>
      <w:r w:rsidRPr="004635E5">
        <w:rPr>
          <w:rFonts w:eastAsiaTheme="minorEastAsia"/>
          <w:bCs/>
          <w:sz w:val="22"/>
          <w:szCs w:val="22"/>
          <w:lang w:eastAsia="ko-KR"/>
        </w:rPr>
        <w:t>s</w:t>
      </w:r>
      <w:r w:rsidR="00262972" w:rsidRPr="004635E5">
        <w:rPr>
          <w:rFonts w:eastAsiaTheme="minorEastAsia"/>
          <w:bCs/>
          <w:sz w:val="22"/>
          <w:szCs w:val="22"/>
          <w:lang w:eastAsia="ko-KR"/>
        </w:rPr>
        <w:t xml:space="preserve">, </w:t>
      </w:r>
      <w:r w:rsidR="006D05B9" w:rsidRPr="004635E5">
        <w:rPr>
          <w:rFonts w:eastAsiaTheme="minorEastAsia"/>
          <w:bCs/>
          <w:sz w:val="22"/>
          <w:szCs w:val="22"/>
          <w:lang w:eastAsia="ko-KR"/>
        </w:rPr>
        <w:t>but not ove</w:t>
      </w:r>
      <w:r w:rsidR="00DD4805" w:rsidRPr="004635E5">
        <w:rPr>
          <w:rFonts w:eastAsiaTheme="minorEastAsia"/>
          <w:bCs/>
          <w:sz w:val="22"/>
          <w:szCs w:val="22"/>
          <w:lang w:eastAsia="ko-KR"/>
        </w:rPr>
        <w:t>r-</w:t>
      </w:r>
      <w:r w:rsidR="006D05B9" w:rsidRPr="004635E5">
        <w:rPr>
          <w:rFonts w:eastAsiaTheme="minorEastAsia"/>
          <w:bCs/>
          <w:sz w:val="22"/>
          <w:szCs w:val="22"/>
          <w:lang w:eastAsia="ko-KR"/>
        </w:rPr>
        <w:t>fitting to avail</w:t>
      </w:r>
      <w:r w:rsidR="00262972" w:rsidRPr="004635E5">
        <w:rPr>
          <w:rFonts w:eastAsiaTheme="minorEastAsia"/>
          <w:bCs/>
          <w:sz w:val="22"/>
          <w:szCs w:val="22"/>
          <w:lang w:eastAsia="ko-KR"/>
        </w:rPr>
        <w:t>able</w:t>
      </w:r>
      <w:r w:rsidR="006D05B9" w:rsidRPr="004635E5">
        <w:rPr>
          <w:rFonts w:eastAsiaTheme="minorEastAsia"/>
          <w:bCs/>
          <w:sz w:val="22"/>
          <w:szCs w:val="22"/>
          <w:lang w:eastAsia="ko-KR"/>
        </w:rPr>
        <w:t xml:space="preserve"> data </w:t>
      </w:r>
      <w:r w:rsidR="00262972" w:rsidRPr="004635E5">
        <w:rPr>
          <w:rFonts w:eastAsiaTheme="minorEastAsia"/>
          <w:bCs/>
          <w:sz w:val="22"/>
          <w:szCs w:val="22"/>
          <w:lang w:eastAsia="ko-KR"/>
        </w:rPr>
        <w:t xml:space="preserve">was </w:t>
      </w:r>
      <w:r w:rsidR="006D05B9" w:rsidRPr="004635E5">
        <w:rPr>
          <w:rFonts w:eastAsiaTheme="minorEastAsia"/>
          <w:bCs/>
          <w:sz w:val="22"/>
          <w:szCs w:val="22"/>
          <w:lang w:eastAsia="ko-KR"/>
        </w:rPr>
        <w:t>an issue</w:t>
      </w:r>
      <w:r w:rsidR="00DD4805" w:rsidRPr="004635E5">
        <w:rPr>
          <w:rFonts w:eastAsiaTheme="minorEastAsia"/>
          <w:bCs/>
          <w:sz w:val="22"/>
          <w:szCs w:val="22"/>
          <w:lang w:eastAsia="ko-KR"/>
        </w:rPr>
        <w:t xml:space="preserve">, especially </w:t>
      </w:r>
      <w:r w:rsidR="006D05B9" w:rsidRPr="004635E5">
        <w:rPr>
          <w:rFonts w:eastAsiaTheme="minorEastAsia"/>
          <w:bCs/>
          <w:sz w:val="22"/>
          <w:szCs w:val="22"/>
          <w:lang w:eastAsia="ko-KR"/>
        </w:rPr>
        <w:t xml:space="preserve">with low observer rates. </w:t>
      </w:r>
      <w:r w:rsidR="00DD4805" w:rsidRPr="004635E5">
        <w:rPr>
          <w:rFonts w:eastAsiaTheme="minorEastAsia"/>
          <w:bCs/>
          <w:sz w:val="22"/>
          <w:szCs w:val="22"/>
          <w:lang w:eastAsia="ko-KR"/>
        </w:rPr>
        <w:t>There could be work done</w:t>
      </w:r>
      <w:r w:rsidR="006D05B9" w:rsidRPr="004635E5">
        <w:rPr>
          <w:rFonts w:eastAsiaTheme="minorEastAsia"/>
          <w:bCs/>
          <w:sz w:val="22"/>
          <w:szCs w:val="22"/>
          <w:lang w:eastAsia="ko-KR"/>
        </w:rPr>
        <w:t xml:space="preserve"> </w:t>
      </w:r>
      <w:r w:rsidR="00DD4805" w:rsidRPr="004635E5">
        <w:rPr>
          <w:rFonts w:eastAsiaTheme="minorEastAsia"/>
          <w:bCs/>
          <w:sz w:val="22"/>
          <w:szCs w:val="22"/>
          <w:lang w:eastAsia="ko-KR"/>
        </w:rPr>
        <w:t>using</w:t>
      </w:r>
      <w:r w:rsidR="006D05B9" w:rsidRPr="004635E5">
        <w:rPr>
          <w:rFonts w:eastAsiaTheme="minorEastAsia"/>
          <w:bCs/>
          <w:sz w:val="22"/>
          <w:szCs w:val="22"/>
          <w:lang w:eastAsia="ko-KR"/>
        </w:rPr>
        <w:t xml:space="preserve"> some of these data to explore how to stratify data. </w:t>
      </w:r>
      <w:r w:rsidR="00DD4805" w:rsidRPr="004635E5">
        <w:rPr>
          <w:rFonts w:eastAsiaTheme="minorEastAsia"/>
          <w:bCs/>
          <w:sz w:val="22"/>
          <w:szCs w:val="22"/>
          <w:lang w:eastAsia="ko-KR"/>
        </w:rPr>
        <w:t xml:space="preserve">The </w:t>
      </w:r>
      <w:r w:rsidR="006D05B9" w:rsidRPr="004635E5">
        <w:rPr>
          <w:rFonts w:eastAsiaTheme="minorEastAsia"/>
          <w:bCs/>
          <w:sz w:val="22"/>
          <w:szCs w:val="22"/>
          <w:lang w:eastAsia="ko-KR"/>
        </w:rPr>
        <w:t>EU</w:t>
      </w:r>
      <w:r w:rsidR="00DD4805" w:rsidRPr="004635E5">
        <w:rPr>
          <w:rFonts w:eastAsiaTheme="minorEastAsia"/>
          <w:bCs/>
          <w:sz w:val="22"/>
          <w:szCs w:val="22"/>
          <w:lang w:eastAsia="ko-KR"/>
        </w:rPr>
        <w:t xml:space="preserve"> stated that </w:t>
      </w:r>
      <w:r w:rsidR="006D05B9" w:rsidRPr="004635E5">
        <w:rPr>
          <w:rFonts w:eastAsiaTheme="minorEastAsia"/>
          <w:bCs/>
          <w:sz w:val="22"/>
          <w:szCs w:val="22"/>
          <w:lang w:eastAsia="ko-KR"/>
        </w:rPr>
        <w:t>obs</w:t>
      </w:r>
      <w:r w:rsidR="00DD4805" w:rsidRPr="004635E5">
        <w:rPr>
          <w:rFonts w:eastAsiaTheme="minorEastAsia"/>
          <w:bCs/>
          <w:sz w:val="22"/>
          <w:szCs w:val="22"/>
          <w:lang w:eastAsia="ko-KR"/>
        </w:rPr>
        <w:t>erver</w:t>
      </w:r>
      <w:r w:rsidR="006D05B9" w:rsidRPr="004635E5">
        <w:rPr>
          <w:rFonts w:eastAsiaTheme="minorEastAsia"/>
          <w:bCs/>
          <w:sz w:val="22"/>
          <w:szCs w:val="22"/>
          <w:lang w:eastAsia="ko-KR"/>
        </w:rPr>
        <w:t xml:space="preserve"> vs</w:t>
      </w:r>
      <w:r w:rsidR="00DD4805" w:rsidRPr="004635E5">
        <w:rPr>
          <w:rFonts w:eastAsiaTheme="minorEastAsia"/>
          <w:bCs/>
          <w:sz w:val="22"/>
          <w:szCs w:val="22"/>
          <w:lang w:eastAsia="ko-KR"/>
        </w:rPr>
        <w:t>.</w:t>
      </w:r>
      <w:r w:rsidR="006D05B9" w:rsidRPr="004635E5">
        <w:rPr>
          <w:rFonts w:eastAsiaTheme="minorEastAsia"/>
          <w:bCs/>
          <w:sz w:val="22"/>
          <w:szCs w:val="22"/>
          <w:lang w:eastAsia="ko-KR"/>
        </w:rPr>
        <w:t xml:space="preserve"> total effort could be used. </w:t>
      </w:r>
      <w:r w:rsidR="00F84E6C" w:rsidRPr="004635E5">
        <w:rPr>
          <w:rFonts w:eastAsiaTheme="minorEastAsia"/>
          <w:bCs/>
          <w:sz w:val="22"/>
          <w:szCs w:val="22"/>
          <w:lang w:eastAsia="ko-KR"/>
        </w:rPr>
        <w:t>SPC</w:t>
      </w:r>
      <w:r w:rsidR="00DD4805" w:rsidRPr="004635E5">
        <w:rPr>
          <w:rFonts w:eastAsiaTheme="minorEastAsia"/>
          <w:bCs/>
          <w:sz w:val="22"/>
          <w:szCs w:val="22"/>
          <w:lang w:eastAsia="ko-KR"/>
        </w:rPr>
        <w:t xml:space="preserve"> noted it would be </w:t>
      </w:r>
      <w:r w:rsidR="00F84E6C" w:rsidRPr="004635E5">
        <w:rPr>
          <w:rFonts w:eastAsiaTheme="minorEastAsia"/>
          <w:bCs/>
          <w:sz w:val="22"/>
          <w:szCs w:val="22"/>
          <w:lang w:eastAsia="ko-KR"/>
        </w:rPr>
        <w:t xml:space="preserve">happy to discuss </w:t>
      </w:r>
      <w:r w:rsidR="00DD4805" w:rsidRPr="004635E5">
        <w:rPr>
          <w:rFonts w:eastAsiaTheme="minorEastAsia"/>
          <w:bCs/>
          <w:sz w:val="22"/>
          <w:szCs w:val="22"/>
          <w:lang w:eastAsia="ko-KR"/>
        </w:rPr>
        <w:t xml:space="preserve">the issue </w:t>
      </w:r>
      <w:r w:rsidR="00F84E6C" w:rsidRPr="004635E5">
        <w:rPr>
          <w:rFonts w:eastAsiaTheme="minorEastAsia"/>
          <w:bCs/>
          <w:sz w:val="22"/>
          <w:szCs w:val="22"/>
          <w:lang w:eastAsia="ko-KR"/>
        </w:rPr>
        <w:t xml:space="preserve">in </w:t>
      </w:r>
      <w:r w:rsidR="00DD4805" w:rsidRPr="004635E5">
        <w:rPr>
          <w:rFonts w:eastAsiaTheme="minorEastAsia"/>
          <w:bCs/>
          <w:sz w:val="22"/>
          <w:szCs w:val="22"/>
          <w:lang w:eastAsia="ko-KR"/>
        </w:rPr>
        <w:t xml:space="preserve">the </w:t>
      </w:r>
      <w:r w:rsidR="00F84E6C" w:rsidRPr="004635E5">
        <w:rPr>
          <w:rFonts w:eastAsiaTheme="minorEastAsia"/>
          <w:bCs/>
          <w:sz w:val="22"/>
          <w:szCs w:val="22"/>
          <w:lang w:eastAsia="ko-KR"/>
        </w:rPr>
        <w:t xml:space="preserve">margins, </w:t>
      </w:r>
      <w:r w:rsidR="00DD4805" w:rsidRPr="004635E5">
        <w:rPr>
          <w:rFonts w:eastAsiaTheme="minorEastAsia"/>
          <w:bCs/>
          <w:sz w:val="22"/>
          <w:szCs w:val="22"/>
          <w:lang w:eastAsia="ko-KR"/>
        </w:rPr>
        <w:t xml:space="preserve">there were </w:t>
      </w:r>
      <w:r w:rsidR="00F84E6C" w:rsidRPr="004635E5">
        <w:rPr>
          <w:rFonts w:eastAsiaTheme="minorEastAsia"/>
          <w:bCs/>
          <w:sz w:val="22"/>
          <w:szCs w:val="22"/>
          <w:lang w:eastAsia="ko-KR"/>
        </w:rPr>
        <w:t xml:space="preserve">likely </w:t>
      </w:r>
      <w:r w:rsidR="00DD4805" w:rsidRPr="004635E5">
        <w:rPr>
          <w:rFonts w:eastAsiaTheme="minorEastAsia"/>
          <w:bCs/>
          <w:sz w:val="22"/>
          <w:szCs w:val="22"/>
          <w:lang w:eastAsia="ko-KR"/>
        </w:rPr>
        <w:t xml:space="preserve">to be </w:t>
      </w:r>
      <w:r w:rsidR="00F84E6C" w:rsidRPr="004635E5">
        <w:rPr>
          <w:rFonts w:eastAsiaTheme="minorEastAsia"/>
          <w:bCs/>
          <w:sz w:val="22"/>
          <w:szCs w:val="22"/>
          <w:lang w:eastAsia="ko-KR"/>
        </w:rPr>
        <w:t>issues with obs</w:t>
      </w:r>
      <w:r w:rsidR="00DD4805" w:rsidRPr="004635E5">
        <w:rPr>
          <w:rFonts w:eastAsiaTheme="minorEastAsia"/>
          <w:bCs/>
          <w:sz w:val="22"/>
          <w:szCs w:val="22"/>
          <w:lang w:eastAsia="ko-KR"/>
        </w:rPr>
        <w:t>erver</w:t>
      </w:r>
      <w:r w:rsidR="00F84E6C" w:rsidRPr="004635E5">
        <w:rPr>
          <w:rFonts w:eastAsiaTheme="minorEastAsia"/>
          <w:bCs/>
          <w:sz w:val="22"/>
          <w:szCs w:val="22"/>
          <w:lang w:eastAsia="ko-KR"/>
        </w:rPr>
        <w:t xml:space="preserve"> coverage and limits in some areas. </w:t>
      </w:r>
    </w:p>
    <w:p w14:paraId="668FAA3F" w14:textId="77777777" w:rsidR="00557DD1" w:rsidRPr="004635E5" w:rsidRDefault="00557DD1" w:rsidP="006633A8">
      <w:pPr>
        <w:autoSpaceDE w:val="0"/>
        <w:autoSpaceDN w:val="0"/>
        <w:adjustRightInd w:val="0"/>
        <w:snapToGrid w:val="0"/>
        <w:jc w:val="both"/>
        <w:rPr>
          <w:rFonts w:eastAsiaTheme="minorEastAsia"/>
          <w:bCs/>
          <w:sz w:val="22"/>
          <w:szCs w:val="22"/>
          <w:lang w:eastAsia="ko-KR"/>
        </w:rPr>
      </w:pPr>
    </w:p>
    <w:p w14:paraId="3083145F" w14:textId="77777777" w:rsidR="00F84E6C" w:rsidRPr="004635E5" w:rsidRDefault="00DD4805"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 xml:space="preserve">The </w:t>
      </w:r>
      <w:r w:rsidR="00F84E6C" w:rsidRPr="004635E5">
        <w:rPr>
          <w:rFonts w:eastAsiaTheme="minorEastAsia"/>
          <w:bCs/>
          <w:sz w:val="22"/>
          <w:szCs w:val="22"/>
          <w:lang w:eastAsia="ko-KR"/>
        </w:rPr>
        <w:t xml:space="preserve">USA </w:t>
      </w:r>
      <w:r w:rsidRPr="004635E5">
        <w:rPr>
          <w:rFonts w:eastAsiaTheme="minorEastAsia"/>
          <w:bCs/>
          <w:sz w:val="22"/>
          <w:szCs w:val="22"/>
          <w:lang w:eastAsia="ko-KR"/>
        </w:rPr>
        <w:t xml:space="preserve">stated that the </w:t>
      </w:r>
      <w:r w:rsidR="00F84E6C" w:rsidRPr="004635E5">
        <w:rPr>
          <w:rFonts w:eastAsiaTheme="minorEastAsia"/>
          <w:bCs/>
          <w:sz w:val="22"/>
          <w:szCs w:val="22"/>
          <w:lang w:eastAsia="ko-KR"/>
        </w:rPr>
        <w:t xml:space="preserve">analyses </w:t>
      </w:r>
      <w:r w:rsidRPr="004635E5">
        <w:rPr>
          <w:rFonts w:eastAsiaTheme="minorEastAsia"/>
          <w:bCs/>
          <w:sz w:val="22"/>
          <w:szCs w:val="22"/>
          <w:lang w:eastAsia="ko-KR"/>
        </w:rPr>
        <w:t xml:space="preserve">(Table 4) were </w:t>
      </w:r>
      <w:r w:rsidR="00F84E6C" w:rsidRPr="004635E5">
        <w:rPr>
          <w:rFonts w:eastAsiaTheme="minorEastAsia"/>
          <w:bCs/>
          <w:sz w:val="22"/>
          <w:szCs w:val="22"/>
          <w:lang w:eastAsia="ko-KR"/>
        </w:rPr>
        <w:t xml:space="preserve">quite valuable, </w:t>
      </w:r>
      <w:r w:rsidR="00D95A2D" w:rsidRPr="004635E5">
        <w:rPr>
          <w:rFonts w:eastAsiaTheme="minorEastAsia"/>
          <w:bCs/>
          <w:sz w:val="22"/>
          <w:szCs w:val="22"/>
          <w:lang w:eastAsia="ko-KR"/>
        </w:rPr>
        <w:t xml:space="preserve">but </w:t>
      </w:r>
      <w:r w:rsidRPr="004635E5">
        <w:rPr>
          <w:rFonts w:eastAsiaTheme="minorEastAsia"/>
          <w:bCs/>
          <w:sz w:val="22"/>
          <w:szCs w:val="22"/>
          <w:lang w:eastAsia="ko-KR"/>
        </w:rPr>
        <w:t xml:space="preserve">that </w:t>
      </w:r>
      <w:r w:rsidR="00F84E6C" w:rsidRPr="004635E5">
        <w:rPr>
          <w:rFonts w:eastAsiaTheme="minorEastAsia"/>
          <w:bCs/>
          <w:sz w:val="22"/>
          <w:szCs w:val="22"/>
          <w:lang w:eastAsia="ko-KR"/>
        </w:rPr>
        <w:t xml:space="preserve">annual updates </w:t>
      </w:r>
      <w:r w:rsidRPr="004635E5">
        <w:rPr>
          <w:rFonts w:eastAsiaTheme="minorEastAsia"/>
          <w:bCs/>
          <w:sz w:val="22"/>
          <w:szCs w:val="22"/>
          <w:lang w:eastAsia="ko-KR"/>
        </w:rPr>
        <w:t xml:space="preserve">were </w:t>
      </w:r>
      <w:r w:rsidR="00F84E6C" w:rsidRPr="004635E5">
        <w:rPr>
          <w:rFonts w:eastAsiaTheme="minorEastAsia"/>
          <w:bCs/>
          <w:sz w:val="22"/>
          <w:szCs w:val="22"/>
          <w:lang w:eastAsia="ko-KR"/>
        </w:rPr>
        <w:t>not need</w:t>
      </w:r>
      <w:r w:rsidRPr="004635E5">
        <w:rPr>
          <w:rFonts w:eastAsiaTheme="minorEastAsia"/>
          <w:bCs/>
          <w:sz w:val="22"/>
          <w:szCs w:val="22"/>
          <w:lang w:eastAsia="ko-KR"/>
        </w:rPr>
        <w:t>ed, perhaps every</w:t>
      </w:r>
      <w:r w:rsidR="00F84E6C" w:rsidRPr="004635E5">
        <w:rPr>
          <w:rFonts w:eastAsiaTheme="minorEastAsia"/>
          <w:bCs/>
          <w:sz w:val="22"/>
          <w:szCs w:val="22"/>
          <w:lang w:eastAsia="ko-KR"/>
        </w:rPr>
        <w:t xml:space="preserve"> 2-3 years. </w:t>
      </w:r>
      <w:r w:rsidR="00D95A2D" w:rsidRPr="004635E5">
        <w:rPr>
          <w:rFonts w:eastAsiaTheme="minorEastAsia"/>
          <w:bCs/>
          <w:sz w:val="22"/>
          <w:szCs w:val="22"/>
          <w:lang w:eastAsia="ko-KR"/>
        </w:rPr>
        <w:t xml:space="preserve">They </w:t>
      </w:r>
      <w:r w:rsidRPr="004635E5">
        <w:rPr>
          <w:rFonts w:eastAsiaTheme="minorEastAsia"/>
          <w:bCs/>
          <w:sz w:val="22"/>
          <w:szCs w:val="22"/>
          <w:lang w:eastAsia="ko-KR"/>
        </w:rPr>
        <w:t xml:space="preserve">suggested that numbers of </w:t>
      </w:r>
      <w:r w:rsidR="00F84E6C" w:rsidRPr="004635E5">
        <w:rPr>
          <w:rFonts w:eastAsiaTheme="minorEastAsia"/>
          <w:bCs/>
          <w:sz w:val="22"/>
          <w:szCs w:val="22"/>
          <w:lang w:eastAsia="ko-KR"/>
        </w:rPr>
        <w:t>indiv</w:t>
      </w:r>
      <w:r w:rsidRPr="004635E5">
        <w:rPr>
          <w:rFonts w:eastAsiaTheme="minorEastAsia"/>
          <w:bCs/>
          <w:sz w:val="22"/>
          <w:szCs w:val="22"/>
          <w:lang w:eastAsia="ko-KR"/>
        </w:rPr>
        <w:t>i</w:t>
      </w:r>
      <w:r w:rsidR="00F84E6C" w:rsidRPr="004635E5">
        <w:rPr>
          <w:rFonts w:eastAsiaTheme="minorEastAsia"/>
          <w:bCs/>
          <w:sz w:val="22"/>
          <w:szCs w:val="22"/>
          <w:lang w:eastAsia="ko-KR"/>
        </w:rPr>
        <w:t>d</w:t>
      </w:r>
      <w:r w:rsidRPr="004635E5">
        <w:rPr>
          <w:rFonts w:eastAsiaTheme="minorEastAsia"/>
          <w:bCs/>
          <w:sz w:val="22"/>
          <w:szCs w:val="22"/>
          <w:lang w:eastAsia="ko-KR"/>
        </w:rPr>
        <w:t xml:space="preserve">uals could be </w:t>
      </w:r>
      <w:r w:rsidR="00F84E6C" w:rsidRPr="004635E5">
        <w:rPr>
          <w:rFonts w:eastAsiaTheme="minorEastAsia"/>
          <w:bCs/>
          <w:sz w:val="22"/>
          <w:szCs w:val="22"/>
          <w:lang w:eastAsia="ko-KR"/>
        </w:rPr>
        <w:t xml:space="preserve">better </w:t>
      </w:r>
      <w:r w:rsidR="00E302EF" w:rsidRPr="004635E5">
        <w:rPr>
          <w:rFonts w:eastAsiaTheme="minorEastAsia"/>
          <w:bCs/>
          <w:sz w:val="22"/>
          <w:szCs w:val="22"/>
          <w:lang w:eastAsia="ko-KR"/>
        </w:rPr>
        <w:t xml:space="preserve">determined </w:t>
      </w:r>
      <w:r w:rsidR="00F84E6C" w:rsidRPr="004635E5">
        <w:rPr>
          <w:rFonts w:eastAsiaTheme="minorEastAsia"/>
          <w:bCs/>
          <w:sz w:val="22"/>
          <w:szCs w:val="22"/>
          <w:lang w:eastAsia="ko-KR"/>
        </w:rPr>
        <w:t xml:space="preserve">maybe from </w:t>
      </w:r>
      <w:r w:rsidR="00E302EF" w:rsidRPr="004635E5">
        <w:rPr>
          <w:rFonts w:eastAsiaTheme="minorEastAsia"/>
          <w:bCs/>
          <w:sz w:val="22"/>
          <w:szCs w:val="22"/>
          <w:lang w:eastAsia="ko-KR"/>
        </w:rPr>
        <w:t>the l</w:t>
      </w:r>
      <w:r w:rsidR="00F84E6C" w:rsidRPr="004635E5">
        <w:rPr>
          <w:rFonts w:eastAsiaTheme="minorEastAsia"/>
          <w:bCs/>
          <w:sz w:val="22"/>
          <w:szCs w:val="22"/>
          <w:lang w:eastAsia="ko-KR"/>
        </w:rPr>
        <w:t>og</w:t>
      </w:r>
      <w:r w:rsidR="00E302EF" w:rsidRPr="004635E5">
        <w:rPr>
          <w:rFonts w:eastAsiaTheme="minorEastAsia"/>
          <w:bCs/>
          <w:sz w:val="22"/>
          <w:szCs w:val="22"/>
          <w:lang w:eastAsia="ko-KR"/>
        </w:rPr>
        <w:t xml:space="preserve"> or </w:t>
      </w:r>
      <w:r w:rsidR="0006402D" w:rsidRPr="00241619">
        <w:rPr>
          <w:sz w:val="22"/>
          <w:szCs w:val="22"/>
        </w:rPr>
        <w:t>Bycatch Mitigation Information System</w:t>
      </w:r>
      <w:r w:rsidR="0006402D" w:rsidRPr="004635E5">
        <w:rPr>
          <w:rFonts w:eastAsiaTheme="minorEastAsia"/>
          <w:bCs/>
          <w:sz w:val="22"/>
          <w:szCs w:val="22"/>
          <w:lang w:eastAsia="ko-KR"/>
        </w:rPr>
        <w:t xml:space="preserve"> </w:t>
      </w:r>
      <w:r w:rsidR="0006402D">
        <w:rPr>
          <w:rFonts w:eastAsiaTheme="minorEastAsia"/>
          <w:bCs/>
          <w:sz w:val="22"/>
          <w:szCs w:val="22"/>
          <w:lang w:eastAsia="ko-KR"/>
        </w:rPr>
        <w:t>(</w:t>
      </w:r>
      <w:r w:rsidR="00BE19FA" w:rsidRPr="004635E5">
        <w:rPr>
          <w:rFonts w:eastAsiaTheme="minorEastAsia"/>
          <w:bCs/>
          <w:sz w:val="22"/>
          <w:szCs w:val="22"/>
          <w:lang w:eastAsia="ko-KR"/>
        </w:rPr>
        <w:t>BMIS</w:t>
      </w:r>
      <w:r w:rsidR="0006402D">
        <w:rPr>
          <w:rFonts w:eastAsiaTheme="minorEastAsia"/>
          <w:bCs/>
          <w:sz w:val="22"/>
          <w:szCs w:val="22"/>
          <w:lang w:eastAsia="ko-KR"/>
        </w:rPr>
        <w:t>)</w:t>
      </w:r>
      <w:r w:rsidR="00F84E6C" w:rsidRPr="004635E5">
        <w:rPr>
          <w:rFonts w:eastAsiaTheme="minorEastAsia"/>
          <w:bCs/>
          <w:sz w:val="22"/>
          <w:szCs w:val="22"/>
          <w:lang w:eastAsia="ko-KR"/>
        </w:rPr>
        <w:t xml:space="preserve"> datab</w:t>
      </w:r>
      <w:r w:rsidR="00E302EF" w:rsidRPr="004635E5">
        <w:rPr>
          <w:rFonts w:eastAsiaTheme="minorEastAsia"/>
          <w:bCs/>
          <w:sz w:val="22"/>
          <w:szCs w:val="22"/>
          <w:lang w:eastAsia="ko-KR"/>
        </w:rPr>
        <w:t>a</w:t>
      </w:r>
      <w:r w:rsidR="00F84E6C" w:rsidRPr="004635E5">
        <w:rPr>
          <w:rFonts w:eastAsiaTheme="minorEastAsia"/>
          <w:bCs/>
          <w:sz w:val="22"/>
          <w:szCs w:val="22"/>
          <w:lang w:eastAsia="ko-KR"/>
        </w:rPr>
        <w:t>se</w:t>
      </w:r>
      <w:r w:rsidR="00E302EF" w:rsidRPr="004635E5">
        <w:rPr>
          <w:rFonts w:eastAsiaTheme="minorEastAsia"/>
          <w:bCs/>
          <w:sz w:val="22"/>
          <w:szCs w:val="22"/>
          <w:lang w:eastAsia="ko-KR"/>
        </w:rPr>
        <w:t>s</w:t>
      </w:r>
      <w:r w:rsidR="00F84E6C" w:rsidRPr="004635E5">
        <w:rPr>
          <w:rFonts w:eastAsiaTheme="minorEastAsia"/>
          <w:bCs/>
          <w:sz w:val="22"/>
          <w:szCs w:val="22"/>
          <w:lang w:eastAsia="ko-KR"/>
        </w:rPr>
        <w:t xml:space="preserve">; </w:t>
      </w:r>
      <w:r w:rsidR="00E302EF" w:rsidRPr="004635E5">
        <w:rPr>
          <w:rFonts w:eastAsiaTheme="minorEastAsia"/>
          <w:bCs/>
          <w:sz w:val="22"/>
          <w:szCs w:val="22"/>
          <w:lang w:eastAsia="ko-KR"/>
        </w:rPr>
        <w:t>tables could be supplemented by</w:t>
      </w:r>
      <w:r w:rsidR="00F84E6C" w:rsidRPr="004635E5">
        <w:rPr>
          <w:rFonts w:eastAsiaTheme="minorEastAsia"/>
          <w:bCs/>
          <w:sz w:val="22"/>
          <w:szCs w:val="22"/>
          <w:lang w:eastAsia="ko-KR"/>
        </w:rPr>
        <w:t xml:space="preserve"> data from </w:t>
      </w:r>
      <w:r w:rsidR="00E302EF" w:rsidRPr="004635E5">
        <w:rPr>
          <w:rFonts w:eastAsiaTheme="minorEastAsia"/>
          <w:bCs/>
          <w:sz w:val="22"/>
          <w:szCs w:val="22"/>
          <w:lang w:eastAsia="ko-KR"/>
        </w:rPr>
        <w:t xml:space="preserve">the </w:t>
      </w:r>
      <w:r w:rsidR="00BE19FA" w:rsidRPr="004635E5">
        <w:rPr>
          <w:rFonts w:eastAsiaTheme="minorEastAsia"/>
          <w:bCs/>
          <w:sz w:val="22"/>
          <w:szCs w:val="22"/>
          <w:lang w:eastAsia="ko-KR"/>
        </w:rPr>
        <w:t>BMIS</w:t>
      </w:r>
      <w:r w:rsidR="00D95A2D" w:rsidRPr="004635E5">
        <w:rPr>
          <w:rFonts w:eastAsiaTheme="minorEastAsia"/>
          <w:bCs/>
          <w:sz w:val="22"/>
          <w:szCs w:val="22"/>
          <w:lang w:eastAsia="ko-KR"/>
        </w:rPr>
        <w:t xml:space="preserve"> </w:t>
      </w:r>
      <w:r w:rsidR="00F84E6C" w:rsidRPr="004635E5">
        <w:rPr>
          <w:rFonts w:eastAsiaTheme="minorEastAsia"/>
          <w:bCs/>
          <w:sz w:val="22"/>
          <w:szCs w:val="22"/>
          <w:lang w:eastAsia="ko-KR"/>
        </w:rPr>
        <w:t>datab</w:t>
      </w:r>
      <w:r w:rsidR="00E302EF" w:rsidRPr="004635E5">
        <w:rPr>
          <w:rFonts w:eastAsiaTheme="minorEastAsia"/>
          <w:bCs/>
          <w:sz w:val="22"/>
          <w:szCs w:val="22"/>
          <w:lang w:eastAsia="ko-KR"/>
        </w:rPr>
        <w:t>a</w:t>
      </w:r>
      <w:r w:rsidR="00F84E6C" w:rsidRPr="004635E5">
        <w:rPr>
          <w:rFonts w:eastAsiaTheme="minorEastAsia"/>
          <w:bCs/>
          <w:sz w:val="22"/>
          <w:szCs w:val="22"/>
          <w:lang w:eastAsia="ko-KR"/>
        </w:rPr>
        <w:t>se. Japan agree</w:t>
      </w:r>
      <w:r w:rsidR="00C46C79" w:rsidRPr="004635E5">
        <w:rPr>
          <w:rFonts w:eastAsiaTheme="minorEastAsia"/>
          <w:bCs/>
          <w:sz w:val="22"/>
          <w:szCs w:val="22"/>
          <w:lang w:eastAsia="ko-KR"/>
        </w:rPr>
        <w:t>d</w:t>
      </w:r>
      <w:r w:rsidR="00F84E6C" w:rsidRPr="004635E5">
        <w:rPr>
          <w:rFonts w:eastAsiaTheme="minorEastAsia"/>
          <w:bCs/>
          <w:sz w:val="22"/>
          <w:szCs w:val="22"/>
          <w:lang w:eastAsia="ko-KR"/>
        </w:rPr>
        <w:t xml:space="preserve"> with </w:t>
      </w:r>
      <w:r w:rsidR="00C46C79" w:rsidRPr="004635E5">
        <w:rPr>
          <w:rFonts w:eastAsiaTheme="minorEastAsia"/>
          <w:bCs/>
          <w:sz w:val="22"/>
          <w:szCs w:val="22"/>
          <w:lang w:eastAsia="ko-KR"/>
        </w:rPr>
        <w:t xml:space="preserve">the </w:t>
      </w:r>
      <w:r w:rsidR="00F84E6C" w:rsidRPr="004635E5">
        <w:rPr>
          <w:rFonts w:eastAsiaTheme="minorEastAsia"/>
          <w:bCs/>
          <w:sz w:val="22"/>
          <w:szCs w:val="22"/>
          <w:lang w:eastAsia="ko-KR"/>
        </w:rPr>
        <w:t xml:space="preserve">USA, </w:t>
      </w:r>
      <w:r w:rsidR="00C46C79" w:rsidRPr="004635E5">
        <w:rPr>
          <w:rFonts w:eastAsiaTheme="minorEastAsia"/>
          <w:bCs/>
          <w:sz w:val="22"/>
          <w:szCs w:val="22"/>
          <w:lang w:eastAsia="ko-KR"/>
        </w:rPr>
        <w:t>and noted the limits and benefi</w:t>
      </w:r>
      <w:r w:rsidR="00F84E6C" w:rsidRPr="004635E5">
        <w:rPr>
          <w:rFonts w:eastAsiaTheme="minorEastAsia"/>
          <w:bCs/>
          <w:sz w:val="22"/>
          <w:szCs w:val="22"/>
          <w:lang w:eastAsia="ko-KR"/>
        </w:rPr>
        <w:t>t</w:t>
      </w:r>
      <w:r w:rsidR="00C46C79" w:rsidRPr="004635E5">
        <w:rPr>
          <w:rFonts w:eastAsiaTheme="minorEastAsia"/>
          <w:bCs/>
          <w:sz w:val="22"/>
          <w:szCs w:val="22"/>
          <w:lang w:eastAsia="ko-KR"/>
        </w:rPr>
        <w:t>s</w:t>
      </w:r>
      <w:r w:rsidR="00F84E6C" w:rsidRPr="004635E5">
        <w:rPr>
          <w:rFonts w:eastAsiaTheme="minorEastAsia"/>
          <w:bCs/>
          <w:sz w:val="22"/>
          <w:szCs w:val="22"/>
          <w:lang w:eastAsia="ko-KR"/>
        </w:rPr>
        <w:t xml:space="preserve"> of obs</w:t>
      </w:r>
      <w:r w:rsidR="00C46C79" w:rsidRPr="004635E5">
        <w:rPr>
          <w:rFonts w:eastAsiaTheme="minorEastAsia"/>
          <w:bCs/>
          <w:sz w:val="22"/>
          <w:szCs w:val="22"/>
          <w:lang w:eastAsia="ko-KR"/>
        </w:rPr>
        <w:t>erver</w:t>
      </w:r>
      <w:r w:rsidR="00F84E6C" w:rsidRPr="004635E5">
        <w:rPr>
          <w:rFonts w:eastAsiaTheme="minorEastAsia"/>
          <w:bCs/>
          <w:sz w:val="22"/>
          <w:szCs w:val="22"/>
          <w:lang w:eastAsia="ko-KR"/>
        </w:rPr>
        <w:t xml:space="preserve"> data to est</w:t>
      </w:r>
      <w:r w:rsidR="00C46C79" w:rsidRPr="004635E5">
        <w:rPr>
          <w:rFonts w:eastAsiaTheme="minorEastAsia"/>
          <w:bCs/>
          <w:sz w:val="22"/>
          <w:szCs w:val="22"/>
          <w:lang w:eastAsia="ko-KR"/>
        </w:rPr>
        <w:t>imate</w:t>
      </w:r>
      <w:r w:rsidR="00F84E6C" w:rsidRPr="004635E5">
        <w:rPr>
          <w:rFonts w:eastAsiaTheme="minorEastAsia"/>
          <w:bCs/>
          <w:sz w:val="22"/>
          <w:szCs w:val="22"/>
          <w:lang w:eastAsia="ko-KR"/>
        </w:rPr>
        <w:t xml:space="preserve"> total ca</w:t>
      </w:r>
      <w:r w:rsidR="00C46C79" w:rsidRPr="004635E5">
        <w:rPr>
          <w:rFonts w:eastAsiaTheme="minorEastAsia"/>
          <w:bCs/>
          <w:sz w:val="22"/>
          <w:szCs w:val="22"/>
          <w:lang w:eastAsia="ko-KR"/>
        </w:rPr>
        <w:t>t</w:t>
      </w:r>
      <w:r w:rsidR="00F84E6C" w:rsidRPr="004635E5">
        <w:rPr>
          <w:rFonts w:eastAsiaTheme="minorEastAsia"/>
          <w:bCs/>
          <w:sz w:val="22"/>
          <w:szCs w:val="22"/>
          <w:lang w:eastAsia="ko-KR"/>
        </w:rPr>
        <w:t xml:space="preserve">ch. </w:t>
      </w:r>
      <w:r w:rsidR="00C46C79" w:rsidRPr="004635E5">
        <w:rPr>
          <w:rFonts w:eastAsiaTheme="minorEastAsia"/>
          <w:bCs/>
          <w:sz w:val="22"/>
          <w:szCs w:val="22"/>
          <w:lang w:eastAsia="ko-KR"/>
        </w:rPr>
        <w:t xml:space="preserve">Japan </w:t>
      </w:r>
      <w:r w:rsidR="00F84E6C" w:rsidRPr="004635E5">
        <w:rPr>
          <w:rFonts w:eastAsiaTheme="minorEastAsia"/>
          <w:bCs/>
          <w:sz w:val="22"/>
          <w:szCs w:val="22"/>
          <w:lang w:eastAsia="ko-KR"/>
        </w:rPr>
        <w:t xml:space="preserve">compared </w:t>
      </w:r>
      <w:r w:rsidR="00C46C79" w:rsidRPr="004635E5">
        <w:rPr>
          <w:rFonts w:eastAsiaTheme="minorEastAsia"/>
          <w:bCs/>
          <w:sz w:val="22"/>
          <w:szCs w:val="22"/>
          <w:lang w:eastAsia="ko-KR"/>
        </w:rPr>
        <w:t>the b</w:t>
      </w:r>
      <w:r w:rsidR="00F84E6C" w:rsidRPr="004635E5">
        <w:rPr>
          <w:rFonts w:eastAsiaTheme="minorEastAsia"/>
          <w:bCs/>
          <w:sz w:val="22"/>
          <w:szCs w:val="22"/>
          <w:lang w:eastAsia="ko-KR"/>
        </w:rPr>
        <w:t>illfish est</w:t>
      </w:r>
      <w:r w:rsidR="00C46C79" w:rsidRPr="004635E5">
        <w:rPr>
          <w:rFonts w:eastAsiaTheme="minorEastAsia"/>
          <w:bCs/>
          <w:sz w:val="22"/>
          <w:szCs w:val="22"/>
          <w:lang w:eastAsia="ko-KR"/>
        </w:rPr>
        <w:t>imate</w:t>
      </w:r>
      <w:r w:rsidR="00F84E6C" w:rsidRPr="004635E5">
        <w:rPr>
          <w:rFonts w:eastAsiaTheme="minorEastAsia"/>
          <w:bCs/>
          <w:sz w:val="22"/>
          <w:szCs w:val="22"/>
          <w:lang w:eastAsia="ko-KR"/>
        </w:rPr>
        <w:t xml:space="preserve"> from this analys</w:t>
      </w:r>
      <w:r w:rsidR="00C46C79" w:rsidRPr="004635E5">
        <w:rPr>
          <w:rFonts w:eastAsiaTheme="minorEastAsia"/>
          <w:bCs/>
          <w:sz w:val="22"/>
          <w:szCs w:val="22"/>
          <w:lang w:eastAsia="ko-KR"/>
        </w:rPr>
        <w:t xml:space="preserve">is with </w:t>
      </w:r>
      <w:r w:rsidR="00EA7EA0" w:rsidRPr="004635E5">
        <w:rPr>
          <w:rFonts w:eastAsiaTheme="minorEastAsia"/>
          <w:bCs/>
          <w:sz w:val="22"/>
          <w:szCs w:val="22"/>
          <w:lang w:eastAsia="ko-KR"/>
        </w:rPr>
        <w:t xml:space="preserve">the </w:t>
      </w:r>
      <w:r w:rsidR="00C46C79" w:rsidRPr="004635E5">
        <w:rPr>
          <w:rFonts w:eastAsiaTheme="minorEastAsia"/>
          <w:bCs/>
          <w:sz w:val="22"/>
          <w:szCs w:val="22"/>
          <w:lang w:eastAsia="ko-KR"/>
        </w:rPr>
        <w:t>catch estimate from log</w:t>
      </w:r>
      <w:r w:rsidR="00F84E6C" w:rsidRPr="004635E5">
        <w:rPr>
          <w:rFonts w:eastAsiaTheme="minorEastAsia"/>
          <w:bCs/>
          <w:sz w:val="22"/>
          <w:szCs w:val="22"/>
          <w:lang w:eastAsia="ko-KR"/>
        </w:rPr>
        <w:t>book data</w:t>
      </w:r>
      <w:r w:rsidR="00EA7EA0" w:rsidRPr="004635E5">
        <w:rPr>
          <w:rFonts w:eastAsiaTheme="minorEastAsia"/>
          <w:bCs/>
          <w:sz w:val="22"/>
          <w:szCs w:val="22"/>
          <w:lang w:eastAsia="ko-KR"/>
        </w:rPr>
        <w:t xml:space="preserve">, noting </w:t>
      </w:r>
      <w:r w:rsidR="00F84E6C" w:rsidRPr="004635E5">
        <w:rPr>
          <w:rFonts w:eastAsiaTheme="minorEastAsia"/>
          <w:bCs/>
          <w:sz w:val="22"/>
          <w:szCs w:val="22"/>
          <w:lang w:eastAsia="ko-KR"/>
        </w:rPr>
        <w:t xml:space="preserve">both </w:t>
      </w:r>
      <w:r w:rsidR="00EA7EA0" w:rsidRPr="004635E5">
        <w:rPr>
          <w:rFonts w:eastAsiaTheme="minorEastAsia"/>
          <w:bCs/>
          <w:sz w:val="22"/>
          <w:szCs w:val="22"/>
          <w:lang w:eastAsia="ko-KR"/>
        </w:rPr>
        <w:t>had problems, with large discrepancies</w:t>
      </w:r>
      <w:r w:rsidR="00F84E6C" w:rsidRPr="004635E5">
        <w:rPr>
          <w:rFonts w:eastAsiaTheme="minorEastAsia"/>
          <w:bCs/>
          <w:sz w:val="22"/>
          <w:szCs w:val="22"/>
          <w:lang w:eastAsia="ko-KR"/>
        </w:rPr>
        <w:t xml:space="preserve"> by species. </w:t>
      </w:r>
      <w:r w:rsidR="00C46C79" w:rsidRPr="004635E5">
        <w:rPr>
          <w:rFonts w:eastAsiaTheme="minorEastAsia"/>
          <w:bCs/>
          <w:sz w:val="22"/>
          <w:szCs w:val="22"/>
          <w:lang w:eastAsia="ko-KR"/>
        </w:rPr>
        <w:t xml:space="preserve">Japan would </w:t>
      </w:r>
      <w:r w:rsidR="00F84E6C" w:rsidRPr="004635E5">
        <w:rPr>
          <w:rFonts w:eastAsiaTheme="minorEastAsia"/>
          <w:bCs/>
          <w:sz w:val="22"/>
          <w:szCs w:val="22"/>
          <w:lang w:eastAsia="ko-KR"/>
        </w:rPr>
        <w:t xml:space="preserve">like to see </w:t>
      </w:r>
      <w:r w:rsidR="00C46C79" w:rsidRPr="004635E5">
        <w:rPr>
          <w:rFonts w:eastAsiaTheme="minorEastAsia"/>
          <w:bCs/>
          <w:sz w:val="22"/>
          <w:szCs w:val="22"/>
          <w:lang w:eastAsia="ko-KR"/>
        </w:rPr>
        <w:t xml:space="preserve">the </w:t>
      </w:r>
      <w:r w:rsidR="00F84E6C" w:rsidRPr="004635E5">
        <w:rPr>
          <w:rFonts w:eastAsiaTheme="minorEastAsia"/>
          <w:bCs/>
          <w:sz w:val="22"/>
          <w:szCs w:val="22"/>
          <w:lang w:eastAsia="ko-KR"/>
        </w:rPr>
        <w:t>sensiti</w:t>
      </w:r>
      <w:r w:rsidR="00C46C79" w:rsidRPr="004635E5">
        <w:rPr>
          <w:rFonts w:eastAsiaTheme="minorEastAsia"/>
          <w:bCs/>
          <w:sz w:val="22"/>
          <w:szCs w:val="22"/>
          <w:lang w:eastAsia="ko-KR"/>
        </w:rPr>
        <w:t>v</w:t>
      </w:r>
      <w:r w:rsidR="00F84E6C" w:rsidRPr="004635E5">
        <w:rPr>
          <w:rFonts w:eastAsiaTheme="minorEastAsia"/>
          <w:bCs/>
          <w:sz w:val="22"/>
          <w:szCs w:val="22"/>
          <w:lang w:eastAsia="ko-KR"/>
        </w:rPr>
        <w:t>ity and</w:t>
      </w:r>
      <w:r w:rsidR="00C46C79" w:rsidRPr="004635E5">
        <w:rPr>
          <w:rFonts w:eastAsiaTheme="minorEastAsia"/>
          <w:bCs/>
          <w:sz w:val="22"/>
          <w:szCs w:val="22"/>
          <w:lang w:eastAsia="ko-KR"/>
        </w:rPr>
        <w:t xml:space="preserve"> </w:t>
      </w:r>
      <w:r w:rsidR="00F84E6C" w:rsidRPr="004635E5">
        <w:rPr>
          <w:rFonts w:eastAsiaTheme="minorEastAsia"/>
          <w:bCs/>
          <w:sz w:val="22"/>
          <w:szCs w:val="22"/>
          <w:lang w:eastAsia="ko-KR"/>
        </w:rPr>
        <w:t>cred</w:t>
      </w:r>
      <w:r w:rsidR="00C46C79" w:rsidRPr="004635E5">
        <w:rPr>
          <w:rFonts w:eastAsiaTheme="minorEastAsia"/>
          <w:bCs/>
          <w:sz w:val="22"/>
          <w:szCs w:val="22"/>
          <w:lang w:eastAsia="ko-KR"/>
        </w:rPr>
        <w:t>ibility</w:t>
      </w:r>
      <w:r w:rsidR="00F84E6C" w:rsidRPr="004635E5">
        <w:rPr>
          <w:rFonts w:eastAsiaTheme="minorEastAsia"/>
          <w:bCs/>
          <w:sz w:val="22"/>
          <w:szCs w:val="22"/>
          <w:lang w:eastAsia="ko-KR"/>
        </w:rPr>
        <w:t xml:space="preserve"> of </w:t>
      </w:r>
      <w:r w:rsidR="00EA7EA0" w:rsidRPr="004635E5">
        <w:rPr>
          <w:rFonts w:eastAsiaTheme="minorEastAsia"/>
          <w:bCs/>
          <w:sz w:val="22"/>
          <w:szCs w:val="22"/>
          <w:lang w:eastAsia="ko-KR"/>
        </w:rPr>
        <w:t xml:space="preserve">the </w:t>
      </w:r>
      <w:r w:rsidR="00C46C79" w:rsidRPr="004635E5">
        <w:rPr>
          <w:rFonts w:eastAsiaTheme="minorEastAsia"/>
          <w:bCs/>
          <w:sz w:val="22"/>
          <w:szCs w:val="22"/>
          <w:lang w:eastAsia="ko-KR"/>
        </w:rPr>
        <w:t xml:space="preserve">approach </w:t>
      </w:r>
      <w:r w:rsidR="00F84E6C" w:rsidRPr="004635E5">
        <w:rPr>
          <w:rFonts w:eastAsiaTheme="minorEastAsia"/>
          <w:bCs/>
          <w:sz w:val="22"/>
          <w:szCs w:val="22"/>
          <w:lang w:eastAsia="ko-KR"/>
        </w:rPr>
        <w:t xml:space="preserve">compared to other methods. </w:t>
      </w:r>
      <w:r w:rsidR="00EA7EA0" w:rsidRPr="004635E5">
        <w:rPr>
          <w:rFonts w:eastAsiaTheme="minorEastAsia"/>
          <w:bCs/>
          <w:sz w:val="22"/>
          <w:szCs w:val="22"/>
          <w:lang w:eastAsia="ko-KR"/>
        </w:rPr>
        <w:t xml:space="preserve">They </w:t>
      </w:r>
      <w:r w:rsidR="00C22459" w:rsidRPr="004635E5">
        <w:rPr>
          <w:rFonts w:eastAsiaTheme="minorEastAsia"/>
          <w:bCs/>
          <w:sz w:val="22"/>
          <w:szCs w:val="22"/>
          <w:lang w:eastAsia="ko-KR"/>
        </w:rPr>
        <w:t xml:space="preserve">noted the </w:t>
      </w:r>
      <w:r w:rsidR="00F84E6C" w:rsidRPr="004635E5">
        <w:rPr>
          <w:rFonts w:eastAsiaTheme="minorEastAsia"/>
          <w:bCs/>
          <w:sz w:val="22"/>
          <w:szCs w:val="22"/>
          <w:lang w:eastAsia="ko-KR"/>
        </w:rPr>
        <w:t>obs</w:t>
      </w:r>
      <w:r w:rsidR="00541784" w:rsidRPr="004635E5">
        <w:rPr>
          <w:rFonts w:eastAsiaTheme="minorEastAsia"/>
          <w:bCs/>
          <w:sz w:val="22"/>
          <w:szCs w:val="22"/>
          <w:lang w:eastAsia="ko-KR"/>
        </w:rPr>
        <w:t>erver</w:t>
      </w:r>
      <w:r w:rsidR="00F84E6C" w:rsidRPr="004635E5">
        <w:rPr>
          <w:rFonts w:eastAsiaTheme="minorEastAsia"/>
          <w:bCs/>
          <w:sz w:val="22"/>
          <w:szCs w:val="22"/>
          <w:lang w:eastAsia="ko-KR"/>
        </w:rPr>
        <w:t xml:space="preserve"> prog</w:t>
      </w:r>
      <w:r w:rsidR="00541784" w:rsidRPr="004635E5">
        <w:rPr>
          <w:rFonts w:eastAsiaTheme="minorEastAsia"/>
          <w:bCs/>
          <w:sz w:val="22"/>
          <w:szCs w:val="22"/>
          <w:lang w:eastAsia="ko-KR"/>
        </w:rPr>
        <w:t xml:space="preserve">ram </w:t>
      </w:r>
      <w:r w:rsidR="00EA7EA0" w:rsidRPr="004635E5">
        <w:rPr>
          <w:rFonts w:eastAsiaTheme="minorEastAsia"/>
          <w:bCs/>
          <w:sz w:val="22"/>
          <w:szCs w:val="22"/>
          <w:lang w:eastAsia="ko-KR"/>
        </w:rPr>
        <w:t xml:space="preserve">had </w:t>
      </w:r>
      <w:r w:rsidR="00F84E6C" w:rsidRPr="004635E5">
        <w:rPr>
          <w:rFonts w:eastAsiaTheme="minorEastAsia"/>
          <w:bCs/>
          <w:sz w:val="22"/>
          <w:szCs w:val="22"/>
          <w:lang w:eastAsia="ko-KR"/>
        </w:rPr>
        <w:t>always be</w:t>
      </w:r>
      <w:r w:rsidR="00EA7EA0" w:rsidRPr="004635E5">
        <w:rPr>
          <w:rFonts w:eastAsiaTheme="minorEastAsia"/>
          <w:bCs/>
          <w:sz w:val="22"/>
          <w:szCs w:val="22"/>
          <w:lang w:eastAsia="ko-KR"/>
        </w:rPr>
        <w:t>en</w:t>
      </w:r>
      <w:r w:rsidR="00F84E6C" w:rsidRPr="004635E5">
        <w:rPr>
          <w:rFonts w:eastAsiaTheme="minorEastAsia"/>
          <w:bCs/>
          <w:sz w:val="22"/>
          <w:szCs w:val="22"/>
          <w:lang w:eastAsia="ko-KR"/>
        </w:rPr>
        <w:t xml:space="preserve"> limited by coverage. </w:t>
      </w:r>
      <w:r w:rsidR="00E778E7" w:rsidRPr="004635E5">
        <w:rPr>
          <w:rFonts w:eastAsiaTheme="minorEastAsia"/>
          <w:bCs/>
          <w:sz w:val="22"/>
          <w:szCs w:val="22"/>
          <w:lang w:eastAsia="ko-KR"/>
        </w:rPr>
        <w:t xml:space="preserve">Japan stated </w:t>
      </w:r>
      <w:r w:rsidR="00F84E6C" w:rsidRPr="004635E5">
        <w:rPr>
          <w:rFonts w:eastAsiaTheme="minorEastAsia"/>
          <w:bCs/>
          <w:sz w:val="22"/>
          <w:szCs w:val="22"/>
          <w:lang w:eastAsia="ko-KR"/>
        </w:rPr>
        <w:t xml:space="preserve">that local catch </w:t>
      </w:r>
      <w:r w:rsidR="00EA7EA0" w:rsidRPr="004635E5">
        <w:rPr>
          <w:rFonts w:eastAsiaTheme="minorEastAsia"/>
          <w:bCs/>
          <w:sz w:val="22"/>
          <w:szCs w:val="22"/>
          <w:lang w:eastAsia="ko-KR"/>
        </w:rPr>
        <w:t xml:space="preserve">and logbook </w:t>
      </w:r>
      <w:r w:rsidR="00F84E6C" w:rsidRPr="004635E5">
        <w:rPr>
          <w:rFonts w:eastAsiaTheme="minorEastAsia"/>
          <w:bCs/>
          <w:sz w:val="22"/>
          <w:szCs w:val="22"/>
          <w:lang w:eastAsia="ko-KR"/>
        </w:rPr>
        <w:t xml:space="preserve">reporting </w:t>
      </w:r>
      <w:r w:rsidR="00EA7EA0" w:rsidRPr="004635E5">
        <w:rPr>
          <w:rFonts w:eastAsiaTheme="minorEastAsia"/>
          <w:bCs/>
          <w:sz w:val="22"/>
          <w:szCs w:val="22"/>
          <w:lang w:eastAsia="ko-KR"/>
        </w:rPr>
        <w:t xml:space="preserve">was </w:t>
      </w:r>
      <w:r w:rsidR="005C1FFC" w:rsidRPr="004635E5">
        <w:rPr>
          <w:rFonts w:eastAsiaTheme="minorEastAsia"/>
          <w:bCs/>
          <w:sz w:val="22"/>
          <w:szCs w:val="22"/>
          <w:lang w:eastAsia="ko-KR"/>
        </w:rPr>
        <w:t xml:space="preserve">a </w:t>
      </w:r>
      <w:r w:rsidR="00F84E6C" w:rsidRPr="004635E5">
        <w:rPr>
          <w:rFonts w:eastAsiaTheme="minorEastAsia"/>
          <w:bCs/>
          <w:sz w:val="22"/>
          <w:szCs w:val="22"/>
          <w:lang w:eastAsia="ko-KR"/>
        </w:rPr>
        <w:t>primary obli</w:t>
      </w:r>
      <w:r w:rsidR="005C1FFC" w:rsidRPr="004635E5">
        <w:rPr>
          <w:rFonts w:eastAsiaTheme="minorEastAsia"/>
          <w:bCs/>
          <w:sz w:val="22"/>
          <w:szCs w:val="22"/>
          <w:lang w:eastAsia="ko-KR"/>
        </w:rPr>
        <w:t>gation of</w:t>
      </w:r>
      <w:r w:rsidR="00F84E6C" w:rsidRPr="004635E5">
        <w:rPr>
          <w:rFonts w:eastAsiaTheme="minorEastAsia"/>
          <w:bCs/>
          <w:sz w:val="22"/>
          <w:szCs w:val="22"/>
          <w:lang w:eastAsia="ko-KR"/>
        </w:rPr>
        <w:t xml:space="preserve"> CCMs, and </w:t>
      </w:r>
      <w:r w:rsidR="00E778E7" w:rsidRPr="004635E5">
        <w:rPr>
          <w:rFonts w:eastAsiaTheme="minorEastAsia"/>
          <w:bCs/>
          <w:sz w:val="22"/>
          <w:szCs w:val="22"/>
          <w:lang w:eastAsia="ko-KR"/>
        </w:rPr>
        <w:t>vessels</w:t>
      </w:r>
      <w:r w:rsidR="00F84E6C" w:rsidRPr="004635E5">
        <w:rPr>
          <w:rFonts w:eastAsiaTheme="minorEastAsia"/>
          <w:bCs/>
          <w:sz w:val="22"/>
          <w:szCs w:val="22"/>
          <w:lang w:eastAsia="ko-KR"/>
        </w:rPr>
        <w:t xml:space="preserve">, </w:t>
      </w:r>
      <w:r w:rsidR="005C1FFC" w:rsidRPr="004635E5">
        <w:rPr>
          <w:rFonts w:eastAsiaTheme="minorEastAsia"/>
          <w:bCs/>
          <w:sz w:val="22"/>
          <w:szCs w:val="22"/>
          <w:lang w:eastAsia="ko-KR"/>
        </w:rPr>
        <w:t xml:space="preserve">and </w:t>
      </w:r>
      <w:r w:rsidR="00F84E6C" w:rsidRPr="004635E5">
        <w:rPr>
          <w:rFonts w:eastAsiaTheme="minorEastAsia"/>
          <w:bCs/>
          <w:sz w:val="22"/>
          <w:szCs w:val="22"/>
          <w:lang w:eastAsia="ko-KR"/>
        </w:rPr>
        <w:t>en</w:t>
      </w:r>
      <w:r w:rsidR="005C1FFC" w:rsidRPr="004635E5">
        <w:rPr>
          <w:rFonts w:eastAsiaTheme="minorEastAsia"/>
          <w:bCs/>
          <w:sz w:val="22"/>
          <w:szCs w:val="22"/>
          <w:lang w:eastAsia="ko-KR"/>
        </w:rPr>
        <w:t>c</w:t>
      </w:r>
      <w:r w:rsidR="00F84E6C" w:rsidRPr="004635E5">
        <w:rPr>
          <w:rFonts w:eastAsiaTheme="minorEastAsia"/>
          <w:bCs/>
          <w:sz w:val="22"/>
          <w:szCs w:val="22"/>
          <w:lang w:eastAsia="ko-KR"/>
        </w:rPr>
        <w:t>ourage</w:t>
      </w:r>
      <w:r w:rsidR="00E778E7" w:rsidRPr="004635E5">
        <w:rPr>
          <w:rFonts w:eastAsiaTheme="minorEastAsia"/>
          <w:bCs/>
          <w:sz w:val="22"/>
          <w:szCs w:val="22"/>
          <w:lang w:eastAsia="ko-KR"/>
        </w:rPr>
        <w:t>d</w:t>
      </w:r>
      <w:r w:rsidR="00F84E6C" w:rsidRPr="004635E5">
        <w:rPr>
          <w:rFonts w:eastAsiaTheme="minorEastAsia"/>
          <w:bCs/>
          <w:sz w:val="22"/>
          <w:szCs w:val="22"/>
          <w:lang w:eastAsia="ko-KR"/>
        </w:rPr>
        <w:t xml:space="preserve"> further </w:t>
      </w:r>
      <w:r w:rsidR="00E778E7" w:rsidRPr="004635E5">
        <w:rPr>
          <w:rFonts w:eastAsiaTheme="minorEastAsia"/>
          <w:bCs/>
          <w:sz w:val="22"/>
          <w:szCs w:val="22"/>
          <w:lang w:eastAsia="ko-KR"/>
        </w:rPr>
        <w:t xml:space="preserve">work on </w:t>
      </w:r>
      <w:r w:rsidR="00E716F3" w:rsidRPr="004635E5">
        <w:rPr>
          <w:rFonts w:eastAsiaTheme="minorEastAsia"/>
          <w:bCs/>
          <w:sz w:val="22"/>
          <w:szCs w:val="22"/>
          <w:lang w:eastAsia="ko-KR"/>
        </w:rPr>
        <w:t>the method</w:t>
      </w:r>
      <w:r w:rsidR="00F84E6C" w:rsidRPr="004635E5">
        <w:rPr>
          <w:rFonts w:eastAsiaTheme="minorEastAsia"/>
          <w:bCs/>
          <w:sz w:val="22"/>
          <w:szCs w:val="22"/>
          <w:lang w:eastAsia="ko-KR"/>
        </w:rPr>
        <w:t xml:space="preserve">, but as research, not to replace </w:t>
      </w:r>
      <w:r w:rsidR="00E716F3" w:rsidRPr="004635E5">
        <w:rPr>
          <w:rFonts w:eastAsiaTheme="minorEastAsia"/>
          <w:bCs/>
          <w:sz w:val="22"/>
          <w:szCs w:val="22"/>
          <w:lang w:eastAsia="ko-KR"/>
        </w:rPr>
        <w:t xml:space="preserve">current methods to derive </w:t>
      </w:r>
      <w:r w:rsidR="00F84E6C" w:rsidRPr="004635E5">
        <w:rPr>
          <w:rFonts w:eastAsiaTheme="minorEastAsia"/>
          <w:bCs/>
          <w:sz w:val="22"/>
          <w:szCs w:val="22"/>
          <w:lang w:eastAsia="ko-KR"/>
        </w:rPr>
        <w:t xml:space="preserve">total catch estimates. </w:t>
      </w:r>
    </w:p>
    <w:p w14:paraId="2FB1400D" w14:textId="77777777" w:rsidR="00557DD1" w:rsidRPr="004635E5" w:rsidRDefault="00557DD1" w:rsidP="006633A8">
      <w:pPr>
        <w:autoSpaceDE w:val="0"/>
        <w:autoSpaceDN w:val="0"/>
        <w:adjustRightInd w:val="0"/>
        <w:snapToGrid w:val="0"/>
        <w:jc w:val="both"/>
        <w:rPr>
          <w:rFonts w:eastAsiaTheme="minorEastAsia"/>
          <w:bCs/>
          <w:sz w:val="22"/>
          <w:szCs w:val="22"/>
          <w:lang w:eastAsia="ko-KR"/>
        </w:rPr>
      </w:pPr>
    </w:p>
    <w:p w14:paraId="3DF30DC3" w14:textId="77777777" w:rsidR="00557DD1" w:rsidRPr="004635E5" w:rsidRDefault="005D6917" w:rsidP="006633A8">
      <w:pPr>
        <w:autoSpaceDE w:val="0"/>
        <w:autoSpaceDN w:val="0"/>
        <w:adjustRightInd w:val="0"/>
        <w:snapToGrid w:val="0"/>
        <w:jc w:val="both"/>
        <w:rPr>
          <w:rFonts w:eastAsiaTheme="minorEastAsia"/>
          <w:b/>
          <w:bCs/>
          <w:sz w:val="22"/>
          <w:szCs w:val="22"/>
          <w:lang w:eastAsia="ko-KR"/>
        </w:rPr>
      </w:pPr>
      <w:r w:rsidRPr="004635E5">
        <w:rPr>
          <w:rFonts w:eastAsiaTheme="minorEastAsia"/>
          <w:b/>
          <w:bCs/>
          <w:sz w:val="22"/>
          <w:szCs w:val="22"/>
          <w:lang w:eastAsia="ko-KR"/>
        </w:rPr>
        <w:t>Recommendations</w:t>
      </w:r>
    </w:p>
    <w:p w14:paraId="3063BFEB" w14:textId="77777777" w:rsidR="00C91D50" w:rsidRPr="004635E5" w:rsidRDefault="00C91D50" w:rsidP="006633A8">
      <w:pPr>
        <w:autoSpaceDE w:val="0"/>
        <w:autoSpaceDN w:val="0"/>
        <w:adjustRightInd w:val="0"/>
        <w:snapToGrid w:val="0"/>
        <w:jc w:val="both"/>
        <w:rPr>
          <w:rFonts w:eastAsiaTheme="minorEastAsia"/>
          <w:b/>
          <w:bCs/>
          <w:sz w:val="22"/>
          <w:szCs w:val="22"/>
          <w:lang w:eastAsia="ko-KR"/>
        </w:rPr>
      </w:pPr>
    </w:p>
    <w:p w14:paraId="7DC6582F" w14:textId="77777777" w:rsidR="008B65F3" w:rsidRPr="004635E5" w:rsidRDefault="00387BE7" w:rsidP="00580EA4">
      <w:pPr>
        <w:numPr>
          <w:ilvl w:val="0"/>
          <w:numId w:val="18"/>
        </w:numPr>
        <w:autoSpaceDE w:val="0"/>
        <w:autoSpaceDN w:val="0"/>
        <w:adjustRightInd w:val="0"/>
        <w:snapToGrid w:val="0"/>
        <w:ind w:left="0" w:firstLine="0"/>
        <w:jc w:val="both"/>
        <w:rPr>
          <w:b/>
          <w:sz w:val="22"/>
          <w:szCs w:val="22"/>
        </w:rPr>
      </w:pPr>
      <w:r w:rsidRPr="004635E5">
        <w:rPr>
          <w:b/>
          <w:sz w:val="22"/>
          <w:szCs w:val="22"/>
        </w:rPr>
        <w:t xml:space="preserve">SC14 recommended that the Scientific Services Provider continue the work on purse seine and longline bycatch estimates, and provide updates every 2-3 years. </w:t>
      </w:r>
    </w:p>
    <w:p w14:paraId="3D31FDA8" w14:textId="77777777" w:rsidR="00557DD1" w:rsidRPr="004635E5" w:rsidRDefault="00557DD1" w:rsidP="006633A8">
      <w:pPr>
        <w:autoSpaceDE w:val="0"/>
        <w:autoSpaceDN w:val="0"/>
        <w:adjustRightInd w:val="0"/>
        <w:snapToGrid w:val="0"/>
        <w:jc w:val="both"/>
        <w:rPr>
          <w:b/>
          <w:sz w:val="22"/>
          <w:szCs w:val="22"/>
        </w:rPr>
      </w:pPr>
    </w:p>
    <w:p w14:paraId="41DCF62A" w14:textId="77777777" w:rsidR="008B65F3" w:rsidRPr="004635E5" w:rsidRDefault="00387BE7" w:rsidP="00580EA4">
      <w:pPr>
        <w:numPr>
          <w:ilvl w:val="0"/>
          <w:numId w:val="18"/>
        </w:numPr>
        <w:autoSpaceDE w:val="0"/>
        <w:autoSpaceDN w:val="0"/>
        <w:adjustRightInd w:val="0"/>
        <w:snapToGrid w:val="0"/>
        <w:ind w:left="0" w:firstLine="0"/>
        <w:jc w:val="both"/>
        <w:rPr>
          <w:b/>
          <w:sz w:val="22"/>
          <w:szCs w:val="22"/>
        </w:rPr>
      </w:pPr>
      <w:r w:rsidRPr="004635E5">
        <w:rPr>
          <w:b/>
          <w:sz w:val="22"/>
          <w:szCs w:val="22"/>
        </w:rPr>
        <w:t xml:space="preserve">SC14 encouraged CCMs to provide catch estimates of all species at the species level (in addition to the binding provision of estimates for the WCPFC key species) as part of their annual data submission. </w:t>
      </w:r>
    </w:p>
    <w:p w14:paraId="54DC84D2" w14:textId="77777777" w:rsidR="00557DD1" w:rsidRPr="004635E5" w:rsidRDefault="00557DD1" w:rsidP="006633A8">
      <w:pPr>
        <w:autoSpaceDE w:val="0"/>
        <w:autoSpaceDN w:val="0"/>
        <w:adjustRightInd w:val="0"/>
        <w:snapToGrid w:val="0"/>
        <w:jc w:val="both"/>
        <w:rPr>
          <w:b/>
          <w:sz w:val="22"/>
          <w:szCs w:val="22"/>
        </w:rPr>
      </w:pPr>
    </w:p>
    <w:p w14:paraId="2AE044C8" w14:textId="77777777" w:rsidR="008B65F3" w:rsidRPr="004635E5" w:rsidRDefault="00387BE7"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recommended that the bycatch estimates (from SC14</w:t>
      </w:r>
      <w:r w:rsidR="00E716F3" w:rsidRPr="004635E5">
        <w:rPr>
          <w:b/>
          <w:sz w:val="22"/>
          <w:szCs w:val="22"/>
        </w:rPr>
        <w:t>-</w:t>
      </w:r>
      <w:r w:rsidRPr="004635E5">
        <w:rPr>
          <w:b/>
          <w:sz w:val="22"/>
          <w:szCs w:val="22"/>
        </w:rPr>
        <w:t>ST</w:t>
      </w:r>
      <w:r w:rsidR="00E716F3" w:rsidRPr="004635E5">
        <w:rPr>
          <w:b/>
          <w:sz w:val="22"/>
          <w:szCs w:val="22"/>
        </w:rPr>
        <w:t>-</w:t>
      </w:r>
      <w:r w:rsidRPr="004635E5">
        <w:rPr>
          <w:b/>
          <w:sz w:val="22"/>
          <w:szCs w:val="22"/>
        </w:rPr>
        <w:t>WP-03)</w:t>
      </w:r>
      <w:r w:rsidRPr="004635E5" w:rsidDel="008A383A">
        <w:rPr>
          <w:b/>
          <w:sz w:val="22"/>
          <w:szCs w:val="22"/>
        </w:rPr>
        <w:t xml:space="preserve"> </w:t>
      </w:r>
      <w:r w:rsidRPr="004635E5">
        <w:rPr>
          <w:b/>
          <w:sz w:val="22"/>
          <w:szCs w:val="22"/>
        </w:rPr>
        <w:t xml:space="preserve">also include the estimates of uncertainty (e.g. CVs) in the next iteration of this work, and consider alternative better estimates where appropriate. </w:t>
      </w:r>
    </w:p>
    <w:p w14:paraId="78BB73FC" w14:textId="77777777" w:rsidR="00557DD1" w:rsidRPr="004635E5" w:rsidRDefault="00557DD1" w:rsidP="006633A8">
      <w:pPr>
        <w:autoSpaceDE w:val="0"/>
        <w:autoSpaceDN w:val="0"/>
        <w:adjustRightInd w:val="0"/>
        <w:snapToGrid w:val="0"/>
        <w:jc w:val="both"/>
        <w:rPr>
          <w:b/>
          <w:sz w:val="22"/>
          <w:szCs w:val="22"/>
        </w:rPr>
      </w:pPr>
    </w:p>
    <w:p w14:paraId="4A5D87C0" w14:textId="77777777" w:rsidR="008B65F3" w:rsidRPr="004635E5" w:rsidRDefault="00387BE7"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recommended that the Scientific Service</w:t>
      </w:r>
      <w:r w:rsidR="00C93CB8">
        <w:rPr>
          <w:rFonts w:eastAsiaTheme="minorEastAsia" w:hint="eastAsia"/>
          <w:b/>
          <w:sz w:val="22"/>
          <w:szCs w:val="22"/>
          <w:lang w:eastAsia="ko-KR"/>
        </w:rPr>
        <w:t>s</w:t>
      </w:r>
      <w:r w:rsidRPr="004635E5">
        <w:rPr>
          <w:b/>
          <w:sz w:val="22"/>
          <w:szCs w:val="22"/>
        </w:rPr>
        <w:t xml:space="preserve"> Provider reconcile the names and codes of some species of sharks included in their databases. </w:t>
      </w:r>
    </w:p>
    <w:p w14:paraId="012DBEAD" w14:textId="77777777" w:rsidR="00557DD1" w:rsidRPr="004635E5" w:rsidRDefault="00557DD1" w:rsidP="006633A8">
      <w:pPr>
        <w:autoSpaceDE w:val="0"/>
        <w:autoSpaceDN w:val="0"/>
        <w:adjustRightInd w:val="0"/>
        <w:snapToGrid w:val="0"/>
        <w:jc w:val="both"/>
        <w:rPr>
          <w:b/>
          <w:sz w:val="22"/>
          <w:szCs w:val="22"/>
        </w:rPr>
      </w:pPr>
    </w:p>
    <w:p w14:paraId="52F891DE" w14:textId="77777777" w:rsidR="00387BE7" w:rsidRPr="004635E5" w:rsidRDefault="00387BE7"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recommended that the differences in coverage of longline observer data presented in some SC14 papers be investigated by Scientific Service</w:t>
      </w:r>
      <w:r w:rsidR="00C93CB8">
        <w:rPr>
          <w:rFonts w:eastAsiaTheme="minorEastAsia" w:hint="eastAsia"/>
          <w:b/>
          <w:sz w:val="22"/>
          <w:szCs w:val="22"/>
          <w:lang w:eastAsia="ko-KR"/>
        </w:rPr>
        <w:t>s</w:t>
      </w:r>
      <w:r w:rsidRPr="004635E5">
        <w:rPr>
          <w:b/>
          <w:sz w:val="22"/>
          <w:szCs w:val="22"/>
        </w:rPr>
        <w:t xml:space="preserve"> Provider and reported to SC15. </w:t>
      </w:r>
    </w:p>
    <w:p w14:paraId="2500D322" w14:textId="77777777" w:rsidR="0063725B" w:rsidRPr="004635E5" w:rsidRDefault="0063725B" w:rsidP="006633A8">
      <w:pPr>
        <w:autoSpaceDE w:val="0"/>
        <w:autoSpaceDN w:val="0"/>
        <w:adjustRightInd w:val="0"/>
        <w:snapToGrid w:val="0"/>
        <w:jc w:val="both"/>
        <w:rPr>
          <w:b/>
          <w:sz w:val="22"/>
          <w:szCs w:val="22"/>
        </w:rPr>
      </w:pPr>
    </w:p>
    <w:p w14:paraId="2BB08A5B" w14:textId="77777777" w:rsidR="0054707F" w:rsidRPr="004635E5" w:rsidRDefault="008A083E" w:rsidP="00580EA4">
      <w:pPr>
        <w:pStyle w:val="SC3"/>
        <w:numPr>
          <w:ilvl w:val="2"/>
          <w:numId w:val="161"/>
        </w:numPr>
        <w:spacing w:after="0"/>
        <w:rPr>
          <w:rFonts w:eastAsiaTheme="minorEastAsia"/>
          <w:lang w:eastAsia="ko-KR"/>
        </w:rPr>
      </w:pPr>
      <w:r w:rsidRPr="004635E5">
        <w:rPr>
          <w:rFonts w:eastAsiaTheme="minorEastAsia"/>
          <w:lang w:eastAsia="ko-KR"/>
        </w:rPr>
        <w:t>Better size data (length and weight) for scientific analyses</w:t>
      </w:r>
      <w:r w:rsidR="00593F27" w:rsidRPr="004635E5">
        <w:rPr>
          <w:rFonts w:eastAsiaTheme="minorEastAsia"/>
          <w:lang w:eastAsia="ko-KR"/>
        </w:rPr>
        <w:t xml:space="preserve"> (Project 90)</w:t>
      </w:r>
    </w:p>
    <w:p w14:paraId="2EB89815" w14:textId="77777777" w:rsidR="00C91D50" w:rsidRPr="004635E5" w:rsidRDefault="00C91D50" w:rsidP="006633A8">
      <w:pPr>
        <w:pStyle w:val="SC3"/>
        <w:numPr>
          <w:ilvl w:val="0"/>
          <w:numId w:val="0"/>
        </w:numPr>
        <w:spacing w:after="0"/>
        <w:ind w:left="1440"/>
        <w:rPr>
          <w:rFonts w:eastAsiaTheme="minorEastAsia"/>
          <w:lang w:eastAsia="ko-KR"/>
        </w:rPr>
      </w:pPr>
    </w:p>
    <w:p w14:paraId="7AAF1AFE" w14:textId="511AD343" w:rsidR="0054707F" w:rsidRDefault="0054707F"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The </w:t>
      </w:r>
      <w:r w:rsidR="00C8100A" w:rsidRPr="004635E5">
        <w:rPr>
          <w:rFonts w:eastAsiaTheme="minorEastAsia"/>
          <w:sz w:val="22"/>
          <w:szCs w:val="22"/>
          <w:lang w:eastAsia="ko-KR"/>
        </w:rPr>
        <w:t>theme c</w:t>
      </w:r>
      <w:r w:rsidRPr="004635E5">
        <w:rPr>
          <w:rFonts w:eastAsiaTheme="minorEastAsia"/>
          <w:sz w:val="22"/>
          <w:szCs w:val="22"/>
          <w:lang w:eastAsia="ko-KR"/>
        </w:rPr>
        <w:t>onvener asked for questions and comments on the project, noting that SC13 recommended that the Scientific Services Provider be tasked with a project to design and coordinate the systematic collection of length:length, length:weight and weight:weight data on all species to better inform bycatch estimation (</w:t>
      </w:r>
      <w:r w:rsidR="006468A3" w:rsidRPr="006468A3">
        <w:rPr>
          <w:rFonts w:eastAsiaTheme="minorEastAsia"/>
          <w:strike/>
          <w:color w:val="FF0000"/>
          <w:sz w:val="22"/>
          <w:szCs w:val="22"/>
          <w:lang w:eastAsia="ko-KR"/>
        </w:rPr>
        <w:t>WCPFC</w:t>
      </w:r>
      <w:r w:rsidR="002D220C" w:rsidRPr="006468A3">
        <w:rPr>
          <w:rFonts w:eastAsiaTheme="minorEastAsia"/>
          <w:color w:val="0033CC"/>
          <w:sz w:val="22"/>
          <w:szCs w:val="22"/>
          <w:lang w:eastAsia="ko-KR"/>
        </w:rPr>
        <w:t>S</w:t>
      </w:r>
      <w:r w:rsidR="00E716F3" w:rsidRPr="006468A3">
        <w:rPr>
          <w:rFonts w:eastAsiaTheme="minorEastAsia"/>
          <w:color w:val="0033CC"/>
          <w:sz w:val="22"/>
          <w:szCs w:val="22"/>
          <w:lang w:eastAsia="ko-KR"/>
        </w:rPr>
        <w:t>C</w:t>
      </w:r>
      <w:r w:rsidR="00E716F3" w:rsidRPr="004635E5">
        <w:rPr>
          <w:rFonts w:eastAsiaTheme="minorEastAsia"/>
          <w:sz w:val="22"/>
          <w:szCs w:val="22"/>
          <w:lang w:eastAsia="ko-KR"/>
        </w:rPr>
        <w:t xml:space="preserve">13, </w:t>
      </w:r>
      <w:r w:rsidRPr="004635E5">
        <w:rPr>
          <w:rFonts w:eastAsiaTheme="minorEastAsia"/>
          <w:sz w:val="22"/>
          <w:szCs w:val="22"/>
          <w:lang w:eastAsia="ko-KR"/>
        </w:rPr>
        <w:t xml:space="preserve">Paragraph 102). At SC13, a project proposal </w:t>
      </w:r>
      <w:r w:rsidR="00E716F3" w:rsidRPr="004635E5">
        <w:rPr>
          <w:rFonts w:eastAsiaTheme="minorEastAsia"/>
          <w:sz w:val="22"/>
          <w:szCs w:val="22"/>
          <w:lang w:eastAsia="ko-KR"/>
        </w:rPr>
        <w:t>(</w:t>
      </w:r>
      <w:r w:rsidR="00E716F3" w:rsidRPr="004635E5">
        <w:rPr>
          <w:rFonts w:eastAsiaTheme="minorEastAsia"/>
          <w:sz w:val="22"/>
          <w:szCs w:val="22"/>
          <w:lang w:val="en-GB" w:eastAsia="ko-KR"/>
        </w:rPr>
        <w:t xml:space="preserve">to start in 2019) </w:t>
      </w:r>
      <w:r w:rsidRPr="004635E5">
        <w:rPr>
          <w:rFonts w:eastAsiaTheme="minorEastAsia"/>
          <w:sz w:val="22"/>
          <w:szCs w:val="22"/>
          <w:lang w:eastAsia="ko-KR"/>
        </w:rPr>
        <w:t>was submitted and included in the indicative budget. SC14 had been tasked with considering the project to collect data to determine length</w:t>
      </w:r>
      <w:r w:rsidR="008E1318" w:rsidRPr="004635E5">
        <w:rPr>
          <w:rFonts w:eastAsiaTheme="minorEastAsia"/>
          <w:sz w:val="22"/>
          <w:szCs w:val="22"/>
          <w:lang w:eastAsia="ko-KR"/>
        </w:rPr>
        <w:t>:</w:t>
      </w:r>
      <w:r w:rsidRPr="004635E5">
        <w:rPr>
          <w:rFonts w:eastAsiaTheme="minorEastAsia"/>
          <w:sz w:val="22"/>
          <w:szCs w:val="22"/>
          <w:lang w:eastAsia="ko-KR"/>
        </w:rPr>
        <w:t>weight and weight</w:t>
      </w:r>
      <w:r w:rsidR="008E1318" w:rsidRPr="004635E5">
        <w:rPr>
          <w:rFonts w:eastAsiaTheme="minorEastAsia"/>
          <w:sz w:val="22"/>
          <w:szCs w:val="22"/>
          <w:lang w:eastAsia="ko-KR"/>
        </w:rPr>
        <w:t>:</w:t>
      </w:r>
      <w:r w:rsidRPr="004635E5">
        <w:rPr>
          <w:rFonts w:eastAsiaTheme="minorEastAsia"/>
          <w:sz w:val="22"/>
          <w:szCs w:val="22"/>
          <w:lang w:eastAsia="ko-KR"/>
        </w:rPr>
        <w:t xml:space="preserve">weight conversion factors (Project 90), and to review any additional information with the intent of starting this research in 2019. </w:t>
      </w:r>
    </w:p>
    <w:p w14:paraId="2AAB7969" w14:textId="77777777" w:rsidR="00202EA7" w:rsidRPr="004635E5" w:rsidRDefault="00202EA7" w:rsidP="00202EA7">
      <w:pPr>
        <w:autoSpaceDE w:val="0"/>
        <w:autoSpaceDN w:val="0"/>
        <w:adjustRightInd w:val="0"/>
        <w:snapToGrid w:val="0"/>
        <w:jc w:val="both"/>
        <w:rPr>
          <w:rFonts w:eastAsiaTheme="minorEastAsia"/>
          <w:sz w:val="22"/>
          <w:szCs w:val="22"/>
          <w:lang w:eastAsia="ko-KR"/>
        </w:rPr>
      </w:pPr>
    </w:p>
    <w:p w14:paraId="0F5D83CB" w14:textId="77777777" w:rsidR="00E778E7" w:rsidRDefault="00E778E7"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V</w:t>
      </w:r>
      <w:r w:rsidR="008A083E" w:rsidRPr="004635E5">
        <w:rPr>
          <w:rFonts w:eastAsiaTheme="minorEastAsia"/>
          <w:bCs/>
          <w:sz w:val="22"/>
          <w:szCs w:val="22"/>
          <w:lang w:eastAsia="ko-KR"/>
        </w:rPr>
        <w:t>anuatu</w:t>
      </w:r>
      <w:r w:rsidR="00EF24C4" w:rsidRPr="004635E5">
        <w:rPr>
          <w:rFonts w:eastAsiaTheme="minorEastAsia"/>
          <w:bCs/>
          <w:sz w:val="22"/>
          <w:szCs w:val="22"/>
          <w:lang w:eastAsia="ko-KR"/>
        </w:rPr>
        <w:t xml:space="preserve"> on behalf of </w:t>
      </w:r>
      <w:r w:rsidR="00347D2B" w:rsidRPr="004635E5">
        <w:rPr>
          <w:rFonts w:eastAsiaTheme="minorEastAsia"/>
          <w:bCs/>
          <w:sz w:val="22"/>
          <w:szCs w:val="22"/>
          <w:lang w:eastAsia="ko-KR"/>
        </w:rPr>
        <w:t xml:space="preserve">FFA </w:t>
      </w:r>
      <w:r w:rsidR="00EF24C4" w:rsidRPr="004635E5">
        <w:rPr>
          <w:rFonts w:eastAsiaTheme="minorEastAsia"/>
          <w:bCs/>
          <w:sz w:val="22"/>
          <w:szCs w:val="22"/>
          <w:lang w:eastAsia="ko-KR"/>
        </w:rPr>
        <w:t>m</w:t>
      </w:r>
      <w:r w:rsidR="00347D2B" w:rsidRPr="004635E5">
        <w:rPr>
          <w:rFonts w:eastAsiaTheme="minorEastAsia"/>
          <w:bCs/>
          <w:sz w:val="22"/>
          <w:szCs w:val="22"/>
          <w:lang w:eastAsia="ko-KR"/>
        </w:rPr>
        <w:t>embers thank</w:t>
      </w:r>
      <w:r w:rsidR="00EF24C4" w:rsidRPr="004635E5">
        <w:rPr>
          <w:rFonts w:eastAsiaTheme="minorEastAsia"/>
          <w:bCs/>
          <w:sz w:val="22"/>
          <w:szCs w:val="22"/>
          <w:lang w:eastAsia="ko-KR"/>
        </w:rPr>
        <w:t>ed</w:t>
      </w:r>
      <w:r w:rsidR="00347D2B" w:rsidRPr="004635E5">
        <w:rPr>
          <w:rFonts w:eastAsiaTheme="minorEastAsia"/>
          <w:bCs/>
          <w:sz w:val="22"/>
          <w:szCs w:val="22"/>
          <w:lang w:eastAsia="ko-KR"/>
        </w:rPr>
        <w:t xml:space="preserve"> SPC for responding to the SC13 recommendations, and for providin</w:t>
      </w:r>
      <w:r w:rsidR="00EF24C4" w:rsidRPr="004635E5">
        <w:rPr>
          <w:rFonts w:eastAsiaTheme="minorEastAsia"/>
          <w:bCs/>
          <w:sz w:val="22"/>
          <w:szCs w:val="22"/>
          <w:lang w:eastAsia="ko-KR"/>
        </w:rPr>
        <w:t>g the draft project plan. While</w:t>
      </w:r>
      <w:r w:rsidR="00347D2B" w:rsidRPr="004635E5">
        <w:rPr>
          <w:rFonts w:eastAsiaTheme="minorEastAsia"/>
          <w:bCs/>
          <w:sz w:val="22"/>
          <w:szCs w:val="22"/>
          <w:lang w:eastAsia="ko-KR"/>
        </w:rPr>
        <w:t xml:space="preserve"> </w:t>
      </w:r>
      <w:r w:rsidR="00EF24C4" w:rsidRPr="004635E5">
        <w:rPr>
          <w:rFonts w:eastAsiaTheme="minorEastAsia"/>
          <w:bCs/>
          <w:sz w:val="22"/>
          <w:szCs w:val="22"/>
          <w:lang w:eastAsia="ko-KR"/>
        </w:rPr>
        <w:t xml:space="preserve">they </w:t>
      </w:r>
      <w:r w:rsidR="00347D2B" w:rsidRPr="004635E5">
        <w:rPr>
          <w:rFonts w:eastAsiaTheme="minorEastAsia"/>
          <w:bCs/>
          <w:sz w:val="22"/>
          <w:szCs w:val="22"/>
          <w:lang w:eastAsia="ko-KR"/>
        </w:rPr>
        <w:t>recogni</w:t>
      </w:r>
      <w:r w:rsidR="00EF24C4" w:rsidRPr="004635E5">
        <w:rPr>
          <w:rFonts w:eastAsiaTheme="minorEastAsia"/>
          <w:bCs/>
          <w:sz w:val="22"/>
          <w:szCs w:val="22"/>
          <w:lang w:eastAsia="ko-KR"/>
        </w:rPr>
        <w:t>z</w:t>
      </w:r>
      <w:r w:rsidR="00347D2B" w:rsidRPr="004635E5">
        <w:rPr>
          <w:rFonts w:eastAsiaTheme="minorEastAsia"/>
          <w:bCs/>
          <w:sz w:val="22"/>
          <w:szCs w:val="22"/>
          <w:lang w:eastAsia="ko-KR"/>
        </w:rPr>
        <w:t>e</w:t>
      </w:r>
      <w:r w:rsidR="00EF24C4" w:rsidRPr="004635E5">
        <w:rPr>
          <w:rFonts w:eastAsiaTheme="minorEastAsia"/>
          <w:bCs/>
          <w:sz w:val="22"/>
          <w:szCs w:val="22"/>
          <w:lang w:eastAsia="ko-KR"/>
        </w:rPr>
        <w:t>d</w:t>
      </w:r>
      <w:r w:rsidR="00347D2B" w:rsidRPr="004635E5">
        <w:rPr>
          <w:rFonts w:eastAsiaTheme="minorEastAsia"/>
          <w:bCs/>
          <w:sz w:val="22"/>
          <w:szCs w:val="22"/>
          <w:lang w:eastAsia="ko-KR"/>
        </w:rPr>
        <w:t xml:space="preserve"> the merits of </w:t>
      </w:r>
      <w:r w:rsidR="00EF24C4" w:rsidRPr="004635E5">
        <w:rPr>
          <w:rFonts w:eastAsiaTheme="minorEastAsia"/>
          <w:bCs/>
          <w:sz w:val="22"/>
          <w:szCs w:val="22"/>
          <w:lang w:eastAsia="ko-KR"/>
        </w:rPr>
        <w:t xml:space="preserve">the </w:t>
      </w:r>
      <w:r w:rsidR="00347D2B" w:rsidRPr="004635E5">
        <w:rPr>
          <w:rFonts w:eastAsiaTheme="minorEastAsia"/>
          <w:bCs/>
          <w:sz w:val="22"/>
          <w:szCs w:val="22"/>
          <w:lang w:eastAsia="ko-KR"/>
        </w:rPr>
        <w:t xml:space="preserve">work, </w:t>
      </w:r>
      <w:r w:rsidR="00EF24C4" w:rsidRPr="004635E5">
        <w:rPr>
          <w:rFonts w:eastAsiaTheme="minorEastAsia"/>
          <w:bCs/>
          <w:sz w:val="22"/>
          <w:szCs w:val="22"/>
          <w:lang w:eastAsia="ko-KR"/>
        </w:rPr>
        <w:t xml:space="preserve">they </w:t>
      </w:r>
      <w:r w:rsidR="00347D2B" w:rsidRPr="004635E5">
        <w:rPr>
          <w:rFonts w:eastAsiaTheme="minorEastAsia"/>
          <w:bCs/>
          <w:sz w:val="22"/>
          <w:szCs w:val="22"/>
          <w:lang w:eastAsia="ko-KR"/>
        </w:rPr>
        <w:t>note</w:t>
      </w:r>
      <w:r w:rsidR="00EF24C4" w:rsidRPr="004635E5">
        <w:rPr>
          <w:rFonts w:eastAsiaTheme="minorEastAsia"/>
          <w:bCs/>
          <w:sz w:val="22"/>
          <w:szCs w:val="22"/>
          <w:lang w:eastAsia="ko-KR"/>
        </w:rPr>
        <w:t>d</w:t>
      </w:r>
      <w:r w:rsidR="00347D2B" w:rsidRPr="004635E5">
        <w:rPr>
          <w:rFonts w:eastAsiaTheme="minorEastAsia"/>
          <w:bCs/>
          <w:sz w:val="22"/>
          <w:szCs w:val="22"/>
          <w:lang w:eastAsia="ko-KR"/>
        </w:rPr>
        <w:t xml:space="preserve"> that </w:t>
      </w:r>
      <w:r w:rsidR="00CE5CE2" w:rsidRPr="004635E5">
        <w:rPr>
          <w:rFonts w:eastAsiaTheme="minorEastAsia"/>
          <w:bCs/>
          <w:sz w:val="22"/>
          <w:szCs w:val="22"/>
          <w:lang w:eastAsia="ko-KR"/>
        </w:rPr>
        <w:t xml:space="preserve">much </w:t>
      </w:r>
      <w:r w:rsidR="00347D2B" w:rsidRPr="004635E5">
        <w:rPr>
          <w:rFonts w:eastAsiaTheme="minorEastAsia"/>
          <w:bCs/>
          <w:sz w:val="22"/>
          <w:szCs w:val="22"/>
          <w:lang w:eastAsia="ko-KR"/>
        </w:rPr>
        <w:t xml:space="preserve">of the </w:t>
      </w:r>
      <w:r w:rsidR="00CE5CE2" w:rsidRPr="004635E5">
        <w:rPr>
          <w:rFonts w:eastAsiaTheme="minorEastAsia"/>
          <w:bCs/>
          <w:sz w:val="22"/>
          <w:szCs w:val="22"/>
          <w:lang w:eastAsia="ko-KR"/>
        </w:rPr>
        <w:t xml:space="preserve">work </w:t>
      </w:r>
      <w:r w:rsidR="00347D2B" w:rsidRPr="004635E5">
        <w:rPr>
          <w:rFonts w:eastAsiaTheme="minorEastAsia"/>
          <w:bCs/>
          <w:sz w:val="22"/>
          <w:szCs w:val="22"/>
          <w:lang w:eastAsia="ko-KR"/>
        </w:rPr>
        <w:t xml:space="preserve">proposed </w:t>
      </w:r>
      <w:r w:rsidR="00CE5CE2" w:rsidRPr="004635E5">
        <w:rPr>
          <w:rFonts w:eastAsiaTheme="minorEastAsia"/>
          <w:bCs/>
          <w:sz w:val="22"/>
          <w:szCs w:val="22"/>
          <w:lang w:eastAsia="ko-KR"/>
        </w:rPr>
        <w:t xml:space="preserve">would </w:t>
      </w:r>
      <w:r w:rsidR="00347D2B" w:rsidRPr="004635E5">
        <w:rPr>
          <w:rFonts w:eastAsiaTheme="minorEastAsia"/>
          <w:bCs/>
          <w:sz w:val="22"/>
          <w:szCs w:val="22"/>
          <w:lang w:eastAsia="ko-KR"/>
        </w:rPr>
        <w:t xml:space="preserve">likely be undertaken in </w:t>
      </w:r>
      <w:r w:rsidR="00952423" w:rsidRPr="004635E5">
        <w:rPr>
          <w:rFonts w:eastAsiaTheme="minorEastAsia"/>
          <w:bCs/>
          <w:sz w:val="22"/>
          <w:szCs w:val="22"/>
          <w:lang w:eastAsia="ko-KR"/>
        </w:rPr>
        <w:t xml:space="preserve">FFA-member </w:t>
      </w:r>
      <w:r w:rsidR="00347D2B" w:rsidRPr="004635E5">
        <w:rPr>
          <w:rFonts w:eastAsiaTheme="minorEastAsia"/>
          <w:bCs/>
          <w:sz w:val="22"/>
          <w:szCs w:val="22"/>
          <w:lang w:eastAsia="ko-KR"/>
        </w:rPr>
        <w:t>fisheries, and the plan d</w:t>
      </w:r>
      <w:r w:rsidR="00CE5CE2" w:rsidRPr="004635E5">
        <w:rPr>
          <w:rFonts w:eastAsiaTheme="minorEastAsia"/>
          <w:bCs/>
          <w:sz w:val="22"/>
          <w:szCs w:val="22"/>
          <w:lang w:eastAsia="ko-KR"/>
        </w:rPr>
        <w:t>id</w:t>
      </w:r>
      <w:r w:rsidR="00347D2B" w:rsidRPr="004635E5">
        <w:rPr>
          <w:rFonts w:eastAsiaTheme="minorEastAsia"/>
          <w:bCs/>
          <w:sz w:val="22"/>
          <w:szCs w:val="22"/>
          <w:lang w:eastAsia="ko-KR"/>
        </w:rPr>
        <w:t xml:space="preserve"> not account for resourcing support.</w:t>
      </w:r>
      <w:r w:rsidR="00952423" w:rsidRPr="004635E5">
        <w:rPr>
          <w:rFonts w:eastAsiaTheme="minorEastAsia"/>
          <w:bCs/>
          <w:sz w:val="22"/>
          <w:szCs w:val="22"/>
          <w:lang w:eastAsia="ko-KR"/>
        </w:rPr>
        <w:t xml:space="preserve"> They also </w:t>
      </w:r>
      <w:r w:rsidR="00347D2B" w:rsidRPr="004635E5">
        <w:rPr>
          <w:rFonts w:eastAsiaTheme="minorEastAsia"/>
          <w:bCs/>
          <w:sz w:val="22"/>
          <w:szCs w:val="22"/>
          <w:lang w:eastAsia="ko-KR"/>
        </w:rPr>
        <w:t>note</w:t>
      </w:r>
      <w:r w:rsidR="00952423" w:rsidRPr="004635E5">
        <w:rPr>
          <w:rFonts w:eastAsiaTheme="minorEastAsia"/>
          <w:bCs/>
          <w:sz w:val="22"/>
          <w:szCs w:val="22"/>
          <w:lang w:eastAsia="ko-KR"/>
        </w:rPr>
        <w:t>d</w:t>
      </w:r>
      <w:r w:rsidR="00347D2B" w:rsidRPr="004635E5">
        <w:rPr>
          <w:rFonts w:eastAsiaTheme="minorEastAsia"/>
          <w:bCs/>
          <w:sz w:val="22"/>
          <w:szCs w:val="22"/>
          <w:lang w:eastAsia="ko-KR"/>
        </w:rPr>
        <w:t xml:space="preserve"> the potential</w:t>
      </w:r>
      <w:r w:rsidR="00952423" w:rsidRPr="004635E5">
        <w:rPr>
          <w:rFonts w:eastAsiaTheme="minorEastAsia"/>
          <w:bCs/>
          <w:sz w:val="22"/>
          <w:szCs w:val="22"/>
          <w:lang w:eastAsia="ko-KR"/>
        </w:rPr>
        <w:t xml:space="preserve"> application and integration in</w:t>
      </w:r>
      <w:r w:rsidR="00347D2B" w:rsidRPr="004635E5">
        <w:rPr>
          <w:rFonts w:eastAsiaTheme="minorEastAsia"/>
          <w:bCs/>
          <w:sz w:val="22"/>
          <w:szCs w:val="22"/>
          <w:lang w:eastAsia="ko-KR"/>
        </w:rPr>
        <w:t>to other work streams such as traceability and catch documentation schemes, and support</w:t>
      </w:r>
      <w:r w:rsidR="00CE5CE2" w:rsidRPr="004635E5">
        <w:rPr>
          <w:rFonts w:eastAsiaTheme="minorEastAsia"/>
          <w:bCs/>
          <w:sz w:val="22"/>
          <w:szCs w:val="22"/>
          <w:lang w:eastAsia="ko-KR"/>
        </w:rPr>
        <w:t>ed</w:t>
      </w:r>
      <w:r w:rsidR="00347D2B" w:rsidRPr="004635E5">
        <w:rPr>
          <w:rFonts w:eastAsiaTheme="minorEastAsia"/>
          <w:bCs/>
          <w:sz w:val="22"/>
          <w:szCs w:val="22"/>
          <w:lang w:eastAsia="ko-KR"/>
        </w:rPr>
        <w:t xml:space="preserve"> the recommendation in the paper to further discuss the draft plan in </w:t>
      </w:r>
      <w:r w:rsidR="0054707F" w:rsidRPr="004635E5">
        <w:rPr>
          <w:rFonts w:eastAsiaTheme="minorEastAsia"/>
          <w:bCs/>
          <w:sz w:val="22"/>
          <w:szCs w:val="22"/>
          <w:lang w:eastAsia="ko-KR"/>
        </w:rPr>
        <w:t>ISG</w:t>
      </w:r>
      <w:r w:rsidR="008E1318" w:rsidRPr="004635E5">
        <w:rPr>
          <w:rFonts w:eastAsiaTheme="minorEastAsia"/>
          <w:bCs/>
          <w:sz w:val="22"/>
          <w:szCs w:val="22"/>
          <w:lang w:eastAsia="ko-KR"/>
        </w:rPr>
        <w:t>-11</w:t>
      </w:r>
      <w:r w:rsidRPr="004635E5">
        <w:rPr>
          <w:rFonts w:eastAsiaTheme="minorEastAsia"/>
          <w:bCs/>
          <w:sz w:val="22"/>
          <w:szCs w:val="22"/>
          <w:lang w:eastAsia="ko-KR"/>
        </w:rPr>
        <w:t xml:space="preserve">. </w:t>
      </w:r>
    </w:p>
    <w:p w14:paraId="1195C3A3" w14:textId="77777777" w:rsidR="00202EA7" w:rsidRDefault="00202EA7" w:rsidP="00202EA7">
      <w:pPr>
        <w:pStyle w:val="ListParagraph"/>
        <w:rPr>
          <w:rFonts w:eastAsiaTheme="minorEastAsia"/>
          <w:bCs/>
          <w:sz w:val="22"/>
          <w:szCs w:val="22"/>
          <w:lang w:eastAsia="ko-KR"/>
        </w:rPr>
      </w:pPr>
    </w:p>
    <w:p w14:paraId="397F033B" w14:textId="77777777" w:rsidR="00FF6A15" w:rsidRPr="004635E5" w:rsidRDefault="008A083E"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Aus</w:t>
      </w:r>
      <w:r w:rsidR="00CE5CE2" w:rsidRPr="004635E5">
        <w:rPr>
          <w:rFonts w:eastAsiaTheme="minorEastAsia"/>
          <w:bCs/>
          <w:sz w:val="22"/>
          <w:szCs w:val="22"/>
          <w:lang w:eastAsia="ko-KR"/>
        </w:rPr>
        <w:t>tralia</w:t>
      </w:r>
      <w:r w:rsidRPr="004635E5">
        <w:rPr>
          <w:rFonts w:eastAsiaTheme="minorEastAsia"/>
          <w:bCs/>
          <w:sz w:val="22"/>
          <w:szCs w:val="22"/>
          <w:lang w:eastAsia="ko-KR"/>
        </w:rPr>
        <w:t xml:space="preserve"> </w:t>
      </w:r>
      <w:r w:rsidR="00642D04" w:rsidRPr="004635E5">
        <w:rPr>
          <w:rFonts w:eastAsiaTheme="minorEastAsia"/>
          <w:bCs/>
          <w:sz w:val="22"/>
          <w:szCs w:val="22"/>
          <w:lang w:eastAsia="ko-KR"/>
        </w:rPr>
        <w:t xml:space="preserve">expressed </w:t>
      </w:r>
      <w:r w:rsidRPr="004635E5">
        <w:rPr>
          <w:rFonts w:eastAsiaTheme="minorEastAsia"/>
          <w:bCs/>
          <w:sz w:val="22"/>
          <w:szCs w:val="22"/>
          <w:lang w:eastAsia="ko-KR"/>
        </w:rPr>
        <w:t xml:space="preserve">support </w:t>
      </w:r>
      <w:r w:rsidR="00642D04" w:rsidRPr="004635E5">
        <w:rPr>
          <w:rFonts w:eastAsiaTheme="minorEastAsia"/>
          <w:bCs/>
          <w:sz w:val="22"/>
          <w:szCs w:val="22"/>
          <w:lang w:eastAsia="ko-KR"/>
        </w:rPr>
        <w:t xml:space="preserve">for the </w:t>
      </w:r>
      <w:r w:rsidRPr="004635E5">
        <w:rPr>
          <w:rFonts w:eastAsiaTheme="minorEastAsia"/>
          <w:bCs/>
          <w:sz w:val="22"/>
          <w:szCs w:val="22"/>
          <w:lang w:eastAsia="ko-KR"/>
        </w:rPr>
        <w:t>project</w:t>
      </w:r>
      <w:r w:rsidR="00642D04" w:rsidRPr="004635E5">
        <w:rPr>
          <w:rFonts w:eastAsiaTheme="minorEastAsia"/>
          <w:bCs/>
          <w:sz w:val="22"/>
          <w:szCs w:val="22"/>
          <w:lang w:eastAsia="ko-KR"/>
        </w:rPr>
        <w:t xml:space="preserve">, and agreed that an </w:t>
      </w:r>
      <w:r w:rsidRPr="004635E5">
        <w:rPr>
          <w:rFonts w:eastAsiaTheme="minorEastAsia"/>
          <w:bCs/>
          <w:sz w:val="22"/>
          <w:szCs w:val="22"/>
          <w:lang w:eastAsia="ko-KR"/>
        </w:rPr>
        <w:t>ISG would be useful to discuss details</w:t>
      </w:r>
      <w:r w:rsidR="00642D04" w:rsidRPr="004635E5">
        <w:rPr>
          <w:rFonts w:eastAsiaTheme="minorEastAsia"/>
          <w:bCs/>
          <w:sz w:val="22"/>
          <w:szCs w:val="22"/>
          <w:lang w:eastAsia="ko-KR"/>
        </w:rPr>
        <w:t>, including discuss</w:t>
      </w:r>
      <w:r w:rsidR="002F7711">
        <w:rPr>
          <w:rFonts w:eastAsiaTheme="minorEastAsia"/>
          <w:bCs/>
          <w:sz w:val="22"/>
          <w:szCs w:val="22"/>
          <w:lang w:eastAsia="ko-KR"/>
        </w:rPr>
        <w:t>ing</w:t>
      </w:r>
      <w:r w:rsidR="00642D04" w:rsidRPr="004635E5">
        <w:rPr>
          <w:rFonts w:eastAsiaTheme="minorEastAsia"/>
          <w:bCs/>
          <w:sz w:val="22"/>
          <w:szCs w:val="22"/>
          <w:lang w:eastAsia="ko-KR"/>
        </w:rPr>
        <w:t xml:space="preserve"> the origin of the</w:t>
      </w:r>
      <w:r w:rsidRPr="004635E5">
        <w:rPr>
          <w:rFonts w:eastAsiaTheme="minorEastAsia"/>
          <w:bCs/>
          <w:sz w:val="22"/>
          <w:szCs w:val="22"/>
          <w:lang w:eastAsia="ko-KR"/>
        </w:rPr>
        <w:t xml:space="preserve"> </w:t>
      </w:r>
      <w:r w:rsidR="00642D04" w:rsidRPr="004635E5">
        <w:rPr>
          <w:rFonts w:eastAsiaTheme="minorEastAsia"/>
          <w:bCs/>
          <w:sz w:val="22"/>
          <w:szCs w:val="22"/>
          <w:lang w:eastAsia="ko-KR"/>
        </w:rPr>
        <w:t>tuna data</w:t>
      </w:r>
      <w:r w:rsidRPr="004635E5">
        <w:rPr>
          <w:rFonts w:eastAsiaTheme="minorEastAsia"/>
          <w:bCs/>
          <w:sz w:val="22"/>
          <w:szCs w:val="22"/>
          <w:lang w:eastAsia="ko-KR"/>
        </w:rPr>
        <w:t xml:space="preserve">. </w:t>
      </w:r>
      <w:r w:rsidR="0054707F" w:rsidRPr="004635E5">
        <w:rPr>
          <w:rFonts w:eastAsiaTheme="minorEastAsia"/>
          <w:bCs/>
          <w:sz w:val="22"/>
          <w:szCs w:val="22"/>
          <w:lang w:eastAsia="ko-KR"/>
        </w:rPr>
        <w:t xml:space="preserve">Following </w:t>
      </w:r>
      <w:r w:rsidR="00E778E7" w:rsidRPr="004635E5">
        <w:rPr>
          <w:rFonts w:eastAsiaTheme="minorEastAsia"/>
          <w:bCs/>
          <w:sz w:val="22"/>
          <w:szCs w:val="22"/>
          <w:lang w:eastAsia="ko-KR"/>
        </w:rPr>
        <w:t>some discussion t</w:t>
      </w:r>
      <w:r w:rsidR="00642D04" w:rsidRPr="004635E5">
        <w:rPr>
          <w:rFonts w:eastAsiaTheme="minorEastAsia"/>
          <w:bCs/>
          <w:sz w:val="22"/>
          <w:szCs w:val="22"/>
          <w:lang w:eastAsia="ko-KR"/>
        </w:rPr>
        <w:t>he EU agreed to chair ISG</w:t>
      </w:r>
      <w:r w:rsidR="008E1318" w:rsidRPr="004635E5">
        <w:rPr>
          <w:rFonts w:eastAsiaTheme="minorEastAsia"/>
          <w:bCs/>
          <w:sz w:val="22"/>
          <w:szCs w:val="22"/>
          <w:lang w:eastAsia="ko-KR"/>
        </w:rPr>
        <w:t>-11</w:t>
      </w:r>
      <w:r w:rsidR="00642D04" w:rsidRPr="004635E5">
        <w:rPr>
          <w:rFonts w:eastAsiaTheme="minorEastAsia"/>
          <w:bCs/>
          <w:sz w:val="22"/>
          <w:szCs w:val="22"/>
          <w:lang w:eastAsia="ko-KR"/>
        </w:rPr>
        <w:t>.</w:t>
      </w:r>
      <w:r w:rsidR="00520BA7" w:rsidRPr="004635E5">
        <w:rPr>
          <w:rFonts w:eastAsiaTheme="minorEastAsia"/>
          <w:bCs/>
          <w:sz w:val="22"/>
          <w:szCs w:val="22"/>
          <w:lang w:eastAsia="ko-KR"/>
        </w:rPr>
        <w:t xml:space="preserve"> </w:t>
      </w:r>
    </w:p>
    <w:p w14:paraId="58ABBF0E" w14:textId="77777777" w:rsidR="0063725B" w:rsidRPr="004635E5" w:rsidRDefault="0063725B" w:rsidP="006633A8">
      <w:pPr>
        <w:autoSpaceDE w:val="0"/>
        <w:autoSpaceDN w:val="0"/>
        <w:adjustRightInd w:val="0"/>
        <w:snapToGrid w:val="0"/>
        <w:jc w:val="both"/>
        <w:rPr>
          <w:rFonts w:eastAsiaTheme="minorEastAsia"/>
          <w:bCs/>
          <w:sz w:val="22"/>
          <w:szCs w:val="22"/>
          <w:lang w:eastAsia="ko-KR"/>
        </w:rPr>
      </w:pPr>
    </w:p>
    <w:p w14:paraId="4FCD6702" w14:textId="77777777" w:rsidR="0063725B" w:rsidRPr="004635E5" w:rsidRDefault="00593F27" w:rsidP="006633A8">
      <w:pPr>
        <w:autoSpaceDE w:val="0"/>
        <w:autoSpaceDN w:val="0"/>
        <w:adjustRightInd w:val="0"/>
        <w:snapToGrid w:val="0"/>
        <w:jc w:val="both"/>
        <w:rPr>
          <w:rFonts w:eastAsiaTheme="minorEastAsia"/>
          <w:b/>
          <w:bCs/>
          <w:sz w:val="22"/>
          <w:szCs w:val="22"/>
          <w:lang w:eastAsia="ko-KR"/>
        </w:rPr>
      </w:pPr>
      <w:r w:rsidRPr="004635E5">
        <w:rPr>
          <w:rFonts w:eastAsiaTheme="minorEastAsia"/>
          <w:b/>
          <w:bCs/>
          <w:sz w:val="22"/>
          <w:szCs w:val="22"/>
          <w:lang w:eastAsia="ko-KR"/>
        </w:rPr>
        <w:t>Rec</w:t>
      </w:r>
      <w:r w:rsidR="008E1318" w:rsidRPr="004635E5">
        <w:rPr>
          <w:rFonts w:eastAsiaTheme="minorEastAsia"/>
          <w:b/>
          <w:bCs/>
          <w:sz w:val="22"/>
          <w:szCs w:val="22"/>
          <w:lang w:eastAsia="ko-KR"/>
        </w:rPr>
        <w:t>ommendation</w:t>
      </w:r>
    </w:p>
    <w:p w14:paraId="15F59949" w14:textId="77777777" w:rsidR="0063725B" w:rsidRPr="004635E5" w:rsidRDefault="0063725B" w:rsidP="006633A8">
      <w:pPr>
        <w:autoSpaceDE w:val="0"/>
        <w:autoSpaceDN w:val="0"/>
        <w:adjustRightInd w:val="0"/>
        <w:snapToGrid w:val="0"/>
        <w:jc w:val="both"/>
        <w:rPr>
          <w:rFonts w:eastAsiaTheme="minorEastAsia"/>
          <w:b/>
          <w:bCs/>
          <w:sz w:val="22"/>
          <w:szCs w:val="22"/>
          <w:lang w:eastAsia="ko-KR"/>
        </w:rPr>
      </w:pPr>
    </w:p>
    <w:p w14:paraId="0A064C08" w14:textId="77777777" w:rsidR="00387BE7" w:rsidRPr="004635E5" w:rsidRDefault="00387BE7" w:rsidP="00580EA4">
      <w:pPr>
        <w:numPr>
          <w:ilvl w:val="0"/>
          <w:numId w:val="18"/>
        </w:numPr>
        <w:autoSpaceDE w:val="0"/>
        <w:autoSpaceDN w:val="0"/>
        <w:adjustRightInd w:val="0"/>
        <w:snapToGrid w:val="0"/>
        <w:ind w:left="0" w:firstLine="0"/>
        <w:jc w:val="both"/>
        <w:rPr>
          <w:b/>
          <w:sz w:val="22"/>
          <w:szCs w:val="22"/>
          <w:shd w:val="clear" w:color="auto" w:fill="FFFFFF"/>
        </w:rPr>
      </w:pPr>
      <w:r w:rsidRPr="004635E5">
        <w:rPr>
          <w:b/>
          <w:sz w:val="22"/>
          <w:szCs w:val="22"/>
          <w:shd w:val="clear" w:color="auto" w:fill="FFFFFF"/>
        </w:rPr>
        <w:t>SC14 recommends that the Scientific Services Provider be tasked with a project to design and coordinate the systematic collection of data for conversion factors</w:t>
      </w:r>
      <w:r w:rsidR="001F3FF4">
        <w:rPr>
          <w:b/>
          <w:sz w:val="22"/>
          <w:szCs w:val="22"/>
          <w:shd w:val="clear" w:color="auto" w:fill="FFFFFF"/>
        </w:rPr>
        <w:t xml:space="preserve"> </w:t>
      </w:r>
      <w:r w:rsidRPr="004635E5">
        <w:rPr>
          <w:b/>
          <w:sz w:val="22"/>
          <w:szCs w:val="22"/>
          <w:shd w:val="clear" w:color="auto" w:fill="FFFFFF"/>
        </w:rPr>
        <w:t xml:space="preserve">on relevant species to better inform catch estimation, and agrees its inclusion in the SC future work programme and budget under Project 90. </w:t>
      </w:r>
    </w:p>
    <w:p w14:paraId="2E9F7F76" w14:textId="77777777" w:rsidR="0063725B" w:rsidRPr="004635E5" w:rsidRDefault="0063725B" w:rsidP="006633A8">
      <w:pPr>
        <w:autoSpaceDE w:val="0"/>
        <w:autoSpaceDN w:val="0"/>
        <w:adjustRightInd w:val="0"/>
        <w:snapToGrid w:val="0"/>
        <w:jc w:val="both"/>
        <w:rPr>
          <w:b/>
          <w:sz w:val="22"/>
          <w:szCs w:val="22"/>
          <w:shd w:val="clear" w:color="auto" w:fill="FFFFFF"/>
        </w:rPr>
      </w:pPr>
    </w:p>
    <w:p w14:paraId="37E9A051" w14:textId="77777777" w:rsidR="00575D1C" w:rsidRPr="004635E5" w:rsidRDefault="00991BE0" w:rsidP="00580EA4">
      <w:pPr>
        <w:pStyle w:val="SC2"/>
        <w:numPr>
          <w:ilvl w:val="1"/>
          <w:numId w:val="161"/>
        </w:numPr>
        <w:spacing w:after="0"/>
        <w:ind w:left="720" w:hanging="720"/>
      </w:pPr>
      <w:r w:rsidRPr="004635E5">
        <w:t xml:space="preserve">FAD </w:t>
      </w:r>
      <w:r w:rsidR="00494B7B" w:rsidRPr="004635E5">
        <w:rPr>
          <w:rFonts w:eastAsiaTheme="minorEastAsia"/>
          <w:lang w:eastAsia="ko-KR"/>
        </w:rPr>
        <w:t>data m</w:t>
      </w:r>
      <w:r w:rsidRPr="004635E5">
        <w:t xml:space="preserve">anagement </w:t>
      </w:r>
    </w:p>
    <w:p w14:paraId="18B82416" w14:textId="77777777" w:rsidR="00C91D50" w:rsidRPr="004635E5" w:rsidRDefault="00C91D50" w:rsidP="006633A8">
      <w:pPr>
        <w:pStyle w:val="SC2"/>
        <w:numPr>
          <w:ilvl w:val="0"/>
          <w:numId w:val="0"/>
        </w:numPr>
        <w:spacing w:after="0"/>
        <w:ind w:left="720"/>
      </w:pPr>
    </w:p>
    <w:p w14:paraId="6B4D1F9B" w14:textId="77777777" w:rsidR="000240D6" w:rsidRPr="004635E5" w:rsidRDefault="0054707F"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bCs/>
          <w:sz w:val="22"/>
          <w:szCs w:val="22"/>
          <w:lang w:eastAsia="ko-KR"/>
        </w:rPr>
        <w:t>There</w:t>
      </w:r>
      <w:r w:rsidRPr="004635E5">
        <w:rPr>
          <w:rFonts w:eastAsiaTheme="minorEastAsia"/>
          <w:sz w:val="22"/>
          <w:szCs w:val="22"/>
          <w:lang w:eastAsia="ko-KR"/>
        </w:rPr>
        <w:t xml:space="preserve"> was no discussion on this agenda item.</w:t>
      </w:r>
    </w:p>
    <w:p w14:paraId="08C25F52" w14:textId="77777777" w:rsidR="0063725B" w:rsidRPr="004635E5" w:rsidRDefault="0063725B" w:rsidP="006633A8">
      <w:pPr>
        <w:autoSpaceDE w:val="0"/>
        <w:autoSpaceDN w:val="0"/>
        <w:adjustRightInd w:val="0"/>
        <w:snapToGrid w:val="0"/>
        <w:jc w:val="both"/>
        <w:rPr>
          <w:rFonts w:eastAsiaTheme="minorEastAsia"/>
          <w:sz w:val="22"/>
          <w:szCs w:val="22"/>
          <w:lang w:eastAsia="ko-KR"/>
        </w:rPr>
      </w:pPr>
    </w:p>
    <w:p w14:paraId="23CF7062" w14:textId="77777777" w:rsidR="0011334C" w:rsidRPr="004635E5" w:rsidRDefault="0011334C" w:rsidP="00580EA4">
      <w:pPr>
        <w:pStyle w:val="SC2"/>
        <w:numPr>
          <w:ilvl w:val="1"/>
          <w:numId w:val="161"/>
        </w:numPr>
        <w:spacing w:after="0"/>
        <w:ind w:left="720" w:hanging="720"/>
      </w:pPr>
      <w:r w:rsidRPr="004635E5">
        <w:t>Regional Observer Programme</w:t>
      </w:r>
    </w:p>
    <w:p w14:paraId="68171DCA" w14:textId="77777777" w:rsidR="00C91D50" w:rsidRPr="004635E5" w:rsidRDefault="00C91D50" w:rsidP="006633A8">
      <w:pPr>
        <w:pStyle w:val="SC2"/>
        <w:numPr>
          <w:ilvl w:val="0"/>
          <w:numId w:val="0"/>
        </w:numPr>
        <w:spacing w:after="0"/>
        <w:ind w:left="720"/>
      </w:pPr>
    </w:p>
    <w:p w14:paraId="59DEC571" w14:textId="77777777" w:rsidR="00C91D50" w:rsidRPr="004635E5" w:rsidRDefault="002A4090" w:rsidP="00580EA4">
      <w:pPr>
        <w:pStyle w:val="SC3"/>
        <w:numPr>
          <w:ilvl w:val="2"/>
          <w:numId w:val="161"/>
        </w:numPr>
        <w:spacing w:after="0"/>
        <w:rPr>
          <w:rFonts w:eastAsiaTheme="minorEastAsia"/>
          <w:lang w:eastAsia="ko-KR"/>
        </w:rPr>
      </w:pPr>
      <w:r w:rsidRPr="004635E5">
        <w:rPr>
          <w:rFonts w:eastAsiaTheme="minorEastAsia"/>
          <w:lang w:eastAsia="ko-KR"/>
        </w:rPr>
        <w:t>ROP longline coverage</w:t>
      </w:r>
      <w:r w:rsidR="00E10E16" w:rsidRPr="004635E5">
        <w:rPr>
          <w:rFonts w:eastAsiaTheme="minorEastAsia"/>
          <w:lang w:eastAsia="ko-KR"/>
        </w:rPr>
        <w:t>.</w:t>
      </w:r>
    </w:p>
    <w:p w14:paraId="524971F1" w14:textId="77777777" w:rsidR="002A4090" w:rsidRPr="004635E5" w:rsidRDefault="00E10E16" w:rsidP="006633A8">
      <w:pPr>
        <w:pStyle w:val="SC3"/>
        <w:numPr>
          <w:ilvl w:val="0"/>
          <w:numId w:val="0"/>
        </w:numPr>
        <w:spacing w:after="0"/>
        <w:ind w:left="1440"/>
        <w:rPr>
          <w:rFonts w:eastAsiaTheme="minorEastAsia"/>
          <w:lang w:eastAsia="ko-KR"/>
        </w:rPr>
      </w:pPr>
      <w:r w:rsidRPr="004635E5">
        <w:rPr>
          <w:rFonts w:eastAsiaTheme="minorEastAsia"/>
          <w:lang w:eastAsia="ko-KR"/>
        </w:rPr>
        <w:t xml:space="preserve"> </w:t>
      </w:r>
    </w:p>
    <w:p w14:paraId="66A507FC" w14:textId="77777777" w:rsidR="009C19BE" w:rsidRPr="004635E5" w:rsidRDefault="00205705" w:rsidP="00580EA4">
      <w:pPr>
        <w:numPr>
          <w:ilvl w:val="0"/>
          <w:numId w:val="18"/>
        </w:numPr>
        <w:autoSpaceDE w:val="0"/>
        <w:autoSpaceDN w:val="0"/>
        <w:adjustRightInd w:val="0"/>
        <w:snapToGrid w:val="0"/>
        <w:ind w:left="0" w:firstLine="0"/>
        <w:jc w:val="both"/>
        <w:rPr>
          <w:rFonts w:eastAsiaTheme="minorEastAsia"/>
          <w:bCs/>
          <w:sz w:val="22"/>
          <w:szCs w:val="22"/>
          <w:lang w:val="en-NZ" w:eastAsia="ko-KR"/>
        </w:rPr>
      </w:pPr>
      <w:r w:rsidRPr="004635E5">
        <w:rPr>
          <w:rFonts w:eastAsiaTheme="minorEastAsia"/>
          <w:bCs/>
          <w:sz w:val="22"/>
          <w:szCs w:val="22"/>
          <w:lang w:val="en-NZ" w:eastAsia="ko-KR"/>
        </w:rPr>
        <w:t>As agreed by WCPFC11 (P</w:t>
      </w:r>
      <w:r w:rsidR="002A4090" w:rsidRPr="004635E5">
        <w:rPr>
          <w:rFonts w:eastAsiaTheme="minorEastAsia"/>
          <w:bCs/>
          <w:sz w:val="22"/>
          <w:szCs w:val="22"/>
          <w:lang w:val="en-NZ" w:eastAsia="ko-KR"/>
        </w:rPr>
        <w:t>aragraphs 484-486, WCPFC11 Report), CCMs submit</w:t>
      </w:r>
      <w:r w:rsidR="002023B4" w:rsidRPr="004635E5">
        <w:rPr>
          <w:rFonts w:eastAsiaTheme="minorEastAsia"/>
          <w:bCs/>
          <w:sz w:val="22"/>
          <w:szCs w:val="22"/>
          <w:lang w:val="en-NZ" w:eastAsia="ko-KR"/>
        </w:rPr>
        <w:t>ted</w:t>
      </w:r>
      <w:r w:rsidR="002A4090" w:rsidRPr="004635E5">
        <w:rPr>
          <w:rFonts w:eastAsiaTheme="minorEastAsia"/>
          <w:bCs/>
          <w:sz w:val="22"/>
          <w:szCs w:val="22"/>
          <w:lang w:val="en-NZ" w:eastAsia="ko-KR"/>
        </w:rPr>
        <w:t xml:space="preserve"> their longline observer coverage </w:t>
      </w:r>
      <w:r w:rsidR="00C35E6A" w:rsidRPr="004635E5">
        <w:rPr>
          <w:rFonts w:eastAsiaTheme="minorEastAsia"/>
          <w:bCs/>
          <w:sz w:val="22"/>
          <w:szCs w:val="22"/>
          <w:lang w:val="en-NZ" w:eastAsia="ko-KR"/>
        </w:rPr>
        <w:t xml:space="preserve">in Annual Report Part 1 </w:t>
      </w:r>
      <w:r w:rsidR="002A4090" w:rsidRPr="004635E5">
        <w:rPr>
          <w:rFonts w:eastAsiaTheme="minorEastAsia"/>
          <w:bCs/>
          <w:sz w:val="22"/>
          <w:szCs w:val="22"/>
          <w:lang w:val="en-NZ" w:eastAsia="ko-KR"/>
        </w:rPr>
        <w:t xml:space="preserve">using their choice of coverage metric (Attachment L, WCPFC11 Report). </w:t>
      </w:r>
    </w:p>
    <w:p w14:paraId="64303BCA" w14:textId="77777777" w:rsidR="00C91D50" w:rsidRPr="004635E5" w:rsidRDefault="00C91D50" w:rsidP="006633A8">
      <w:pPr>
        <w:autoSpaceDE w:val="0"/>
        <w:autoSpaceDN w:val="0"/>
        <w:adjustRightInd w:val="0"/>
        <w:snapToGrid w:val="0"/>
        <w:jc w:val="both"/>
        <w:rPr>
          <w:rFonts w:eastAsiaTheme="minorEastAsia"/>
          <w:bCs/>
          <w:sz w:val="22"/>
          <w:szCs w:val="22"/>
          <w:lang w:val="en-NZ" w:eastAsia="ko-KR"/>
        </w:rPr>
      </w:pPr>
    </w:p>
    <w:p w14:paraId="2972AE25" w14:textId="77777777" w:rsidR="00B4735A" w:rsidRPr="004635E5" w:rsidRDefault="00B4735A" w:rsidP="00580EA4">
      <w:pPr>
        <w:numPr>
          <w:ilvl w:val="0"/>
          <w:numId w:val="18"/>
        </w:numPr>
        <w:autoSpaceDE w:val="0"/>
        <w:autoSpaceDN w:val="0"/>
        <w:adjustRightInd w:val="0"/>
        <w:snapToGrid w:val="0"/>
        <w:ind w:left="0" w:firstLine="0"/>
        <w:rPr>
          <w:rFonts w:eastAsiaTheme="minorEastAsia"/>
          <w:bCs/>
          <w:sz w:val="22"/>
          <w:szCs w:val="22"/>
          <w:lang w:eastAsia="ko-KR"/>
        </w:rPr>
      </w:pPr>
      <w:r w:rsidRPr="004635E5">
        <w:rPr>
          <w:rFonts w:eastAsiaTheme="minorEastAsia"/>
          <w:bCs/>
          <w:sz w:val="22"/>
          <w:szCs w:val="22"/>
          <w:lang w:eastAsia="ko-KR"/>
        </w:rPr>
        <w:t>There was no discussion on this agenda item.</w:t>
      </w:r>
    </w:p>
    <w:p w14:paraId="2F8F7B4A" w14:textId="77777777" w:rsidR="00B4735A" w:rsidRPr="004635E5" w:rsidRDefault="00B4735A" w:rsidP="006633A8">
      <w:pPr>
        <w:autoSpaceDE w:val="0"/>
        <w:autoSpaceDN w:val="0"/>
        <w:adjustRightInd w:val="0"/>
        <w:snapToGrid w:val="0"/>
        <w:rPr>
          <w:rFonts w:eastAsiaTheme="minorEastAsia"/>
          <w:bCs/>
          <w:sz w:val="22"/>
          <w:szCs w:val="22"/>
          <w:lang w:eastAsia="ko-KR"/>
        </w:rPr>
      </w:pPr>
    </w:p>
    <w:p w14:paraId="2E79820D" w14:textId="77777777" w:rsidR="00B4735A" w:rsidRPr="004635E5" w:rsidRDefault="00BF38A5" w:rsidP="00580EA4">
      <w:pPr>
        <w:pStyle w:val="SC3"/>
        <w:numPr>
          <w:ilvl w:val="2"/>
          <w:numId w:val="161"/>
        </w:numPr>
        <w:spacing w:after="0"/>
        <w:rPr>
          <w:rFonts w:eastAsiaTheme="minorEastAsia"/>
          <w:bCs/>
          <w:lang w:eastAsia="ko-KR"/>
        </w:rPr>
      </w:pPr>
      <w:r w:rsidRPr="004635E5">
        <w:rPr>
          <w:rFonts w:eastAsiaTheme="minorEastAsia"/>
          <w:bCs/>
          <w:lang w:eastAsia="ko-KR"/>
        </w:rPr>
        <w:t xml:space="preserve">Review of </w:t>
      </w:r>
      <w:r w:rsidRPr="004635E5">
        <w:t>ROP minimum standards data fields</w:t>
      </w:r>
      <w:r w:rsidR="00E10E16" w:rsidRPr="004635E5">
        <w:t xml:space="preserve"> </w:t>
      </w:r>
    </w:p>
    <w:p w14:paraId="067F0119" w14:textId="77777777" w:rsidR="00C91D50" w:rsidRPr="004635E5" w:rsidRDefault="00C91D50" w:rsidP="006633A8">
      <w:pPr>
        <w:pStyle w:val="SC3"/>
        <w:numPr>
          <w:ilvl w:val="0"/>
          <w:numId w:val="0"/>
        </w:numPr>
        <w:spacing w:after="0"/>
        <w:ind w:left="1440"/>
        <w:rPr>
          <w:rFonts w:eastAsiaTheme="minorEastAsia"/>
          <w:bCs/>
          <w:lang w:eastAsia="ko-KR"/>
        </w:rPr>
      </w:pPr>
    </w:p>
    <w:p w14:paraId="5159BD6D" w14:textId="77777777" w:rsidR="000130F7" w:rsidRPr="004635E5" w:rsidRDefault="00B4735A" w:rsidP="00580EA4">
      <w:pPr>
        <w:numPr>
          <w:ilvl w:val="0"/>
          <w:numId w:val="18"/>
        </w:numPr>
        <w:autoSpaceDE w:val="0"/>
        <w:autoSpaceDN w:val="0"/>
        <w:adjustRightInd w:val="0"/>
        <w:snapToGrid w:val="0"/>
        <w:ind w:left="0" w:firstLine="0"/>
        <w:rPr>
          <w:sz w:val="22"/>
          <w:szCs w:val="22"/>
        </w:rPr>
      </w:pPr>
      <w:r w:rsidRPr="004635E5">
        <w:rPr>
          <w:sz w:val="22"/>
          <w:szCs w:val="22"/>
        </w:rPr>
        <w:t>The USA introduced SC14-</w:t>
      </w:r>
      <w:r w:rsidR="00E10E16" w:rsidRPr="004635E5">
        <w:rPr>
          <w:sz w:val="22"/>
          <w:szCs w:val="22"/>
        </w:rPr>
        <w:t>ST-IP-09</w:t>
      </w:r>
      <w:r w:rsidRPr="004635E5">
        <w:rPr>
          <w:sz w:val="22"/>
          <w:szCs w:val="22"/>
        </w:rPr>
        <w:t xml:space="preserve"> </w:t>
      </w:r>
      <w:r w:rsidRPr="004635E5">
        <w:rPr>
          <w:i/>
          <w:sz w:val="22"/>
          <w:szCs w:val="22"/>
        </w:rPr>
        <w:t>USA ideas on "ROP minimum standard data fields species of special interest”</w:t>
      </w:r>
      <w:r w:rsidR="00837078" w:rsidRPr="004635E5">
        <w:rPr>
          <w:sz w:val="22"/>
          <w:szCs w:val="22"/>
        </w:rPr>
        <w:t xml:space="preserve">, noting that </w:t>
      </w:r>
      <w:r w:rsidR="000130F7" w:rsidRPr="004635E5">
        <w:rPr>
          <w:sz w:val="22"/>
          <w:szCs w:val="22"/>
        </w:rPr>
        <w:t xml:space="preserve">WCPFC14 tasked SC14 to consider the recommendations of the recent Joint Analysis of Sea Turtle Mitigation Effectiveness workshops to modify the ROP Minimum Standard Data Fields with respect to improving the collection of data related to sea turtle interactions, taking into account capacity of observers and priority of data collection, and to recommend any modifications for the consideration of the ROP Coordinator, TCC14 and WCPFC15. The </w:t>
      </w:r>
      <w:r w:rsidR="00837078" w:rsidRPr="004635E5">
        <w:rPr>
          <w:sz w:val="22"/>
          <w:szCs w:val="22"/>
        </w:rPr>
        <w:t xml:space="preserve">USA </w:t>
      </w:r>
      <w:r w:rsidR="000130F7" w:rsidRPr="004635E5">
        <w:rPr>
          <w:sz w:val="22"/>
          <w:szCs w:val="22"/>
        </w:rPr>
        <w:t xml:space="preserve">developed </w:t>
      </w:r>
      <w:r w:rsidR="00407030" w:rsidRPr="004635E5">
        <w:rPr>
          <w:sz w:val="22"/>
          <w:szCs w:val="22"/>
        </w:rPr>
        <w:t xml:space="preserve">its </w:t>
      </w:r>
      <w:r w:rsidR="000130F7" w:rsidRPr="004635E5">
        <w:rPr>
          <w:sz w:val="22"/>
          <w:szCs w:val="22"/>
        </w:rPr>
        <w:t xml:space="preserve">proposal to amend the ROP Minimum Standard Data Fields </w:t>
      </w:r>
      <w:r w:rsidR="00407030" w:rsidRPr="004635E5">
        <w:rPr>
          <w:sz w:val="22"/>
          <w:szCs w:val="22"/>
        </w:rPr>
        <w:t>(</w:t>
      </w:r>
      <w:r w:rsidR="000130F7" w:rsidRPr="004635E5">
        <w:rPr>
          <w:sz w:val="22"/>
          <w:szCs w:val="22"/>
        </w:rPr>
        <w:t>SC14-ST-IP-09</w:t>
      </w:r>
      <w:r w:rsidR="00407030" w:rsidRPr="004635E5">
        <w:rPr>
          <w:sz w:val="22"/>
          <w:szCs w:val="22"/>
        </w:rPr>
        <w:t>), and</w:t>
      </w:r>
      <w:r w:rsidR="000130F7" w:rsidRPr="004635E5">
        <w:rPr>
          <w:sz w:val="22"/>
          <w:szCs w:val="22"/>
        </w:rPr>
        <w:t xml:space="preserve"> specifically the </w:t>
      </w:r>
      <w:r w:rsidR="00407030" w:rsidRPr="004635E5">
        <w:rPr>
          <w:sz w:val="22"/>
          <w:szCs w:val="22"/>
        </w:rPr>
        <w:t xml:space="preserve">SSI </w:t>
      </w:r>
      <w:r w:rsidR="000130F7" w:rsidRPr="004635E5">
        <w:rPr>
          <w:sz w:val="22"/>
          <w:szCs w:val="22"/>
        </w:rPr>
        <w:t>section</w:t>
      </w:r>
      <w:r w:rsidR="00837078" w:rsidRPr="004635E5">
        <w:rPr>
          <w:sz w:val="22"/>
          <w:szCs w:val="22"/>
        </w:rPr>
        <w:t>.</w:t>
      </w:r>
    </w:p>
    <w:p w14:paraId="7AC4D1EA" w14:textId="77777777" w:rsidR="00B4735A" w:rsidRPr="004635E5" w:rsidRDefault="00B4735A" w:rsidP="006633A8">
      <w:pPr>
        <w:autoSpaceDE w:val="0"/>
        <w:autoSpaceDN w:val="0"/>
        <w:adjustRightInd w:val="0"/>
        <w:snapToGrid w:val="0"/>
        <w:rPr>
          <w:rFonts w:eastAsiaTheme="minorEastAsia"/>
          <w:bCs/>
          <w:sz w:val="22"/>
          <w:szCs w:val="22"/>
          <w:lang w:val="en-NZ" w:eastAsia="ko-KR"/>
        </w:rPr>
      </w:pPr>
    </w:p>
    <w:p w14:paraId="6BB5FD9C" w14:textId="77777777" w:rsidR="00C91D50" w:rsidRPr="004635E5" w:rsidRDefault="008A6380" w:rsidP="006633A8">
      <w:pPr>
        <w:pStyle w:val="ListParagraph"/>
        <w:adjustRightInd w:val="0"/>
        <w:snapToGrid w:val="0"/>
        <w:ind w:left="0"/>
        <w:jc w:val="both"/>
        <w:rPr>
          <w:sz w:val="22"/>
          <w:szCs w:val="22"/>
        </w:rPr>
      </w:pPr>
      <w:r w:rsidRPr="004635E5">
        <w:rPr>
          <w:b/>
          <w:sz w:val="22"/>
          <w:szCs w:val="22"/>
        </w:rPr>
        <w:t>Discussion</w:t>
      </w:r>
      <w:r w:rsidR="00E10E16" w:rsidRPr="004635E5">
        <w:rPr>
          <w:sz w:val="22"/>
          <w:szCs w:val="22"/>
        </w:rPr>
        <w:t xml:space="preserve"> </w:t>
      </w:r>
    </w:p>
    <w:p w14:paraId="3FCF3066" w14:textId="77777777" w:rsidR="00C91D50" w:rsidRPr="004635E5" w:rsidRDefault="00C91D50" w:rsidP="006633A8">
      <w:pPr>
        <w:pStyle w:val="ListParagraph"/>
        <w:adjustRightInd w:val="0"/>
        <w:snapToGrid w:val="0"/>
        <w:ind w:left="0"/>
        <w:jc w:val="both"/>
        <w:rPr>
          <w:sz w:val="22"/>
          <w:szCs w:val="22"/>
        </w:rPr>
      </w:pPr>
    </w:p>
    <w:p w14:paraId="0A809419" w14:textId="77777777" w:rsidR="00317E21" w:rsidRPr="004635E5" w:rsidRDefault="00270656" w:rsidP="00580EA4">
      <w:pPr>
        <w:numPr>
          <w:ilvl w:val="0"/>
          <w:numId w:val="18"/>
        </w:numPr>
        <w:autoSpaceDE w:val="0"/>
        <w:autoSpaceDN w:val="0"/>
        <w:adjustRightInd w:val="0"/>
        <w:snapToGrid w:val="0"/>
        <w:ind w:left="0" w:firstLine="0"/>
        <w:jc w:val="both"/>
        <w:rPr>
          <w:sz w:val="22"/>
          <w:szCs w:val="22"/>
        </w:rPr>
      </w:pPr>
      <w:r w:rsidRPr="004635E5">
        <w:rPr>
          <w:sz w:val="22"/>
          <w:szCs w:val="22"/>
        </w:rPr>
        <w:t>Federated States of Micronesia</w:t>
      </w:r>
      <w:r w:rsidR="00D60B6F" w:rsidRPr="004635E5">
        <w:rPr>
          <w:sz w:val="22"/>
          <w:szCs w:val="22"/>
        </w:rPr>
        <w:t xml:space="preserve">, on behalf of </w:t>
      </w:r>
      <w:r w:rsidR="008A6380" w:rsidRPr="004635E5">
        <w:rPr>
          <w:sz w:val="22"/>
          <w:szCs w:val="22"/>
        </w:rPr>
        <w:t xml:space="preserve">PNA </w:t>
      </w:r>
      <w:r w:rsidR="00D60B6F" w:rsidRPr="004635E5">
        <w:rPr>
          <w:sz w:val="22"/>
          <w:szCs w:val="22"/>
        </w:rPr>
        <w:t xml:space="preserve">members, </w:t>
      </w:r>
      <w:r w:rsidR="008A6380" w:rsidRPr="004635E5">
        <w:rPr>
          <w:sz w:val="22"/>
          <w:szCs w:val="22"/>
        </w:rPr>
        <w:t>supported</w:t>
      </w:r>
      <w:r w:rsidR="00347D2B" w:rsidRPr="004635E5">
        <w:rPr>
          <w:sz w:val="22"/>
          <w:szCs w:val="22"/>
        </w:rPr>
        <w:t xml:space="preserve"> the workshop recommendations for improved data on sea turtle interactions</w:t>
      </w:r>
      <w:r w:rsidR="008A6380" w:rsidRPr="004635E5">
        <w:rPr>
          <w:sz w:val="22"/>
          <w:szCs w:val="22"/>
        </w:rPr>
        <w:t>,</w:t>
      </w:r>
      <w:r w:rsidR="00347D2B" w:rsidRPr="004635E5">
        <w:rPr>
          <w:sz w:val="22"/>
          <w:szCs w:val="22"/>
        </w:rPr>
        <w:t xml:space="preserve"> especially in the </w:t>
      </w:r>
      <w:r w:rsidR="004421B3" w:rsidRPr="004635E5">
        <w:rPr>
          <w:sz w:val="22"/>
          <w:szCs w:val="22"/>
        </w:rPr>
        <w:t>longline</w:t>
      </w:r>
      <w:r w:rsidR="00347D2B" w:rsidRPr="004635E5">
        <w:rPr>
          <w:sz w:val="22"/>
          <w:szCs w:val="22"/>
        </w:rPr>
        <w:t xml:space="preserve"> fishery, </w:t>
      </w:r>
      <w:r w:rsidR="00D60B6F" w:rsidRPr="004635E5">
        <w:rPr>
          <w:sz w:val="22"/>
          <w:szCs w:val="22"/>
        </w:rPr>
        <w:t xml:space="preserve">but noted </w:t>
      </w:r>
      <w:r w:rsidR="008F1AD7" w:rsidRPr="004635E5">
        <w:rPr>
          <w:sz w:val="22"/>
          <w:szCs w:val="22"/>
        </w:rPr>
        <w:t xml:space="preserve">that observer capacity was limited, and there was need to </w:t>
      </w:r>
      <w:r w:rsidR="00347D2B" w:rsidRPr="004635E5">
        <w:rPr>
          <w:sz w:val="22"/>
          <w:szCs w:val="22"/>
        </w:rPr>
        <w:t>priorit</w:t>
      </w:r>
      <w:r w:rsidR="008F1AD7" w:rsidRPr="004635E5">
        <w:rPr>
          <w:sz w:val="22"/>
          <w:szCs w:val="22"/>
        </w:rPr>
        <w:t>ize what observer collect</w:t>
      </w:r>
      <w:r w:rsidR="00347D2B" w:rsidRPr="004635E5">
        <w:rPr>
          <w:sz w:val="22"/>
          <w:szCs w:val="22"/>
        </w:rPr>
        <w:t>. </w:t>
      </w:r>
      <w:r w:rsidR="00D60B6F" w:rsidRPr="004635E5">
        <w:rPr>
          <w:sz w:val="22"/>
          <w:szCs w:val="22"/>
        </w:rPr>
        <w:t xml:space="preserve">They </w:t>
      </w:r>
      <w:r w:rsidR="00347D2B" w:rsidRPr="004635E5">
        <w:rPr>
          <w:sz w:val="22"/>
          <w:szCs w:val="22"/>
        </w:rPr>
        <w:t>note</w:t>
      </w:r>
      <w:r w:rsidR="00D60B6F" w:rsidRPr="004635E5">
        <w:rPr>
          <w:sz w:val="22"/>
          <w:szCs w:val="22"/>
        </w:rPr>
        <w:t>d</w:t>
      </w:r>
      <w:r w:rsidR="00347D2B" w:rsidRPr="004635E5">
        <w:rPr>
          <w:sz w:val="22"/>
          <w:szCs w:val="22"/>
        </w:rPr>
        <w:t xml:space="preserve"> reasonable alternatives to </w:t>
      </w:r>
      <w:r w:rsidR="008E1318" w:rsidRPr="004635E5">
        <w:rPr>
          <w:sz w:val="22"/>
          <w:szCs w:val="22"/>
        </w:rPr>
        <w:t>simple</w:t>
      </w:r>
      <w:r w:rsidR="00D60B6F" w:rsidRPr="004635E5">
        <w:rPr>
          <w:sz w:val="22"/>
          <w:szCs w:val="22"/>
        </w:rPr>
        <w:t xml:space="preserve"> </w:t>
      </w:r>
      <w:r w:rsidR="008F1AD7" w:rsidRPr="004635E5">
        <w:rPr>
          <w:sz w:val="22"/>
          <w:szCs w:val="22"/>
        </w:rPr>
        <w:t>expan</w:t>
      </w:r>
      <w:r w:rsidR="008E1318" w:rsidRPr="004635E5">
        <w:rPr>
          <w:sz w:val="22"/>
          <w:szCs w:val="22"/>
        </w:rPr>
        <w:t>sion</w:t>
      </w:r>
      <w:r w:rsidR="00347D2B" w:rsidRPr="004635E5">
        <w:rPr>
          <w:sz w:val="22"/>
          <w:szCs w:val="22"/>
        </w:rPr>
        <w:t xml:space="preserve"> </w:t>
      </w:r>
      <w:r w:rsidR="008E1318" w:rsidRPr="004635E5">
        <w:rPr>
          <w:sz w:val="22"/>
          <w:szCs w:val="22"/>
        </w:rPr>
        <w:t xml:space="preserve">of </w:t>
      </w:r>
      <w:r w:rsidR="00347D2B" w:rsidRPr="004635E5">
        <w:rPr>
          <w:sz w:val="22"/>
          <w:szCs w:val="22"/>
        </w:rPr>
        <w:t>the ROP Minimum Data Fields. During the E</w:t>
      </w:r>
      <w:r w:rsidR="00C40607">
        <w:rPr>
          <w:sz w:val="22"/>
          <w:szCs w:val="22"/>
        </w:rPr>
        <w:t>R</w:t>
      </w:r>
      <w:r w:rsidR="0006402D">
        <w:rPr>
          <w:sz w:val="22"/>
          <w:szCs w:val="22"/>
        </w:rPr>
        <w:t>and</w:t>
      </w:r>
      <w:r w:rsidR="00347D2B" w:rsidRPr="004635E5">
        <w:rPr>
          <w:sz w:val="22"/>
          <w:szCs w:val="22"/>
        </w:rPr>
        <w:t>E</w:t>
      </w:r>
      <w:r w:rsidR="00C40607">
        <w:rPr>
          <w:sz w:val="22"/>
          <w:szCs w:val="22"/>
        </w:rPr>
        <w:t>M</w:t>
      </w:r>
      <w:r w:rsidR="00347D2B" w:rsidRPr="004635E5">
        <w:rPr>
          <w:sz w:val="22"/>
          <w:szCs w:val="22"/>
        </w:rPr>
        <w:t xml:space="preserve"> working group, PNA and other FFA members were clear in </w:t>
      </w:r>
      <w:r w:rsidR="00D60B6F" w:rsidRPr="004635E5">
        <w:rPr>
          <w:sz w:val="22"/>
          <w:szCs w:val="22"/>
        </w:rPr>
        <w:t xml:space="preserve">their </w:t>
      </w:r>
      <w:r w:rsidR="00347D2B" w:rsidRPr="004635E5">
        <w:rPr>
          <w:sz w:val="22"/>
          <w:szCs w:val="22"/>
        </w:rPr>
        <w:t xml:space="preserve">recommendations for </w:t>
      </w:r>
      <w:r w:rsidR="00D60B6F" w:rsidRPr="004635E5">
        <w:rPr>
          <w:sz w:val="22"/>
          <w:szCs w:val="22"/>
        </w:rPr>
        <w:t xml:space="preserve">a </w:t>
      </w:r>
      <w:r w:rsidR="00347D2B" w:rsidRPr="004635E5">
        <w:rPr>
          <w:sz w:val="22"/>
          <w:szCs w:val="22"/>
        </w:rPr>
        <w:t>holistic review to better align each Commission data need with the most suitable and efficient data collection program</w:t>
      </w:r>
      <w:r w:rsidR="005F2002" w:rsidRPr="004635E5">
        <w:rPr>
          <w:sz w:val="22"/>
          <w:szCs w:val="22"/>
        </w:rPr>
        <w:t xml:space="preserve">, and stated </w:t>
      </w:r>
      <w:r w:rsidR="008F1AD7" w:rsidRPr="004635E5">
        <w:rPr>
          <w:sz w:val="22"/>
          <w:szCs w:val="22"/>
        </w:rPr>
        <w:t xml:space="preserve">this </w:t>
      </w:r>
      <w:r w:rsidR="005F2002" w:rsidRPr="004635E5">
        <w:rPr>
          <w:sz w:val="22"/>
          <w:szCs w:val="22"/>
        </w:rPr>
        <w:t>applied</w:t>
      </w:r>
      <w:r w:rsidR="00347D2B" w:rsidRPr="004635E5">
        <w:rPr>
          <w:sz w:val="22"/>
          <w:szCs w:val="22"/>
        </w:rPr>
        <w:t xml:space="preserve"> directly</w:t>
      </w:r>
      <w:r w:rsidR="005F2002" w:rsidRPr="004635E5">
        <w:rPr>
          <w:sz w:val="22"/>
          <w:szCs w:val="22"/>
        </w:rPr>
        <w:t xml:space="preserve"> in this case. Many of the </w:t>
      </w:r>
      <w:r w:rsidR="00347D2B" w:rsidRPr="004635E5">
        <w:rPr>
          <w:sz w:val="22"/>
          <w:szCs w:val="22"/>
        </w:rPr>
        <w:t xml:space="preserve">recommendations </w:t>
      </w:r>
      <w:r w:rsidR="005F2002" w:rsidRPr="004635E5">
        <w:rPr>
          <w:sz w:val="22"/>
          <w:szCs w:val="22"/>
        </w:rPr>
        <w:t xml:space="preserve">call </w:t>
      </w:r>
      <w:r w:rsidR="00347D2B" w:rsidRPr="004635E5">
        <w:rPr>
          <w:sz w:val="22"/>
          <w:szCs w:val="22"/>
        </w:rPr>
        <w:t>for observers to provide detailed technical information</w:t>
      </w:r>
      <w:r w:rsidR="005F2002" w:rsidRPr="004635E5">
        <w:rPr>
          <w:sz w:val="22"/>
          <w:szCs w:val="22"/>
        </w:rPr>
        <w:t>,</w:t>
      </w:r>
      <w:r w:rsidR="00347D2B" w:rsidRPr="004635E5">
        <w:rPr>
          <w:sz w:val="22"/>
          <w:szCs w:val="22"/>
        </w:rPr>
        <w:t xml:space="preserve"> such as specific</w:t>
      </w:r>
      <w:r w:rsidR="005F2002" w:rsidRPr="004635E5">
        <w:rPr>
          <w:sz w:val="22"/>
          <w:szCs w:val="22"/>
        </w:rPr>
        <w:t>s</w:t>
      </w:r>
      <w:r w:rsidR="00347D2B" w:rsidRPr="004635E5">
        <w:rPr>
          <w:sz w:val="22"/>
          <w:szCs w:val="22"/>
        </w:rPr>
        <w:t xml:space="preserve"> on fishing gear</w:t>
      </w:r>
      <w:r w:rsidR="00D60B6F" w:rsidRPr="004635E5">
        <w:rPr>
          <w:sz w:val="22"/>
          <w:szCs w:val="22"/>
        </w:rPr>
        <w:t>. In the view of</w:t>
      </w:r>
      <w:r w:rsidR="001F3FF4">
        <w:rPr>
          <w:sz w:val="22"/>
          <w:szCs w:val="22"/>
        </w:rPr>
        <w:t xml:space="preserve"> </w:t>
      </w:r>
      <w:r w:rsidR="00D60B6F" w:rsidRPr="004635E5">
        <w:rPr>
          <w:sz w:val="22"/>
          <w:szCs w:val="22"/>
        </w:rPr>
        <w:t>PNA members</w:t>
      </w:r>
      <w:r w:rsidR="00347D2B" w:rsidRPr="004635E5">
        <w:rPr>
          <w:sz w:val="22"/>
          <w:szCs w:val="22"/>
        </w:rPr>
        <w:t xml:space="preserve">, such data are best provided by vessel operators, especially given the very low </w:t>
      </w:r>
      <w:r w:rsidR="00347D2B" w:rsidRPr="002F7711">
        <w:rPr>
          <w:sz w:val="22"/>
          <w:szCs w:val="22"/>
        </w:rPr>
        <w:t>enduring observer coverage</w:t>
      </w:r>
      <w:r w:rsidR="00347D2B" w:rsidRPr="004635E5">
        <w:rPr>
          <w:sz w:val="22"/>
          <w:szCs w:val="22"/>
        </w:rPr>
        <w:t xml:space="preserve">. </w:t>
      </w:r>
    </w:p>
    <w:p w14:paraId="01BE2ACC" w14:textId="77777777" w:rsidR="00C91D50" w:rsidRPr="004635E5" w:rsidRDefault="00C91D50" w:rsidP="006633A8">
      <w:pPr>
        <w:autoSpaceDE w:val="0"/>
        <w:autoSpaceDN w:val="0"/>
        <w:adjustRightInd w:val="0"/>
        <w:snapToGrid w:val="0"/>
        <w:jc w:val="both"/>
        <w:rPr>
          <w:sz w:val="22"/>
          <w:szCs w:val="22"/>
        </w:rPr>
      </w:pPr>
    </w:p>
    <w:p w14:paraId="777C91EC" w14:textId="77777777" w:rsidR="00C91D50" w:rsidRPr="004635E5" w:rsidRDefault="005F2002" w:rsidP="00580EA4">
      <w:pPr>
        <w:numPr>
          <w:ilvl w:val="0"/>
          <w:numId w:val="18"/>
        </w:numPr>
        <w:autoSpaceDE w:val="0"/>
        <w:autoSpaceDN w:val="0"/>
        <w:adjustRightInd w:val="0"/>
        <w:snapToGrid w:val="0"/>
        <w:ind w:left="0" w:firstLine="0"/>
        <w:jc w:val="both"/>
        <w:rPr>
          <w:sz w:val="22"/>
          <w:szCs w:val="22"/>
        </w:rPr>
      </w:pPr>
      <w:r w:rsidRPr="004635E5">
        <w:rPr>
          <w:sz w:val="22"/>
          <w:szCs w:val="22"/>
        </w:rPr>
        <w:t>In response to queries, the Secretariat confirmed that</w:t>
      </w:r>
      <w:r w:rsidR="00202EA7">
        <w:rPr>
          <w:rFonts w:eastAsiaTheme="minorEastAsia" w:hint="eastAsia"/>
          <w:sz w:val="22"/>
          <w:szCs w:val="22"/>
          <w:lang w:eastAsia="ko-KR"/>
        </w:rPr>
        <w:t xml:space="preserve"> for sharks,</w:t>
      </w:r>
      <w:r w:rsidRPr="004635E5">
        <w:rPr>
          <w:sz w:val="22"/>
          <w:szCs w:val="22"/>
        </w:rPr>
        <w:t xml:space="preserve"> the </w:t>
      </w:r>
      <w:r w:rsidR="00B4735A" w:rsidRPr="004635E5">
        <w:rPr>
          <w:sz w:val="22"/>
          <w:szCs w:val="22"/>
        </w:rPr>
        <w:t>Species of Special Interest (</w:t>
      </w:r>
      <w:r w:rsidR="00317E21" w:rsidRPr="004635E5">
        <w:rPr>
          <w:sz w:val="22"/>
          <w:szCs w:val="22"/>
        </w:rPr>
        <w:t>SSI</w:t>
      </w:r>
      <w:r w:rsidR="00B4735A" w:rsidRPr="004635E5">
        <w:rPr>
          <w:sz w:val="22"/>
          <w:szCs w:val="22"/>
        </w:rPr>
        <w:t>)</w:t>
      </w:r>
      <w:r w:rsidR="00317E21" w:rsidRPr="004635E5">
        <w:rPr>
          <w:sz w:val="22"/>
          <w:szCs w:val="22"/>
        </w:rPr>
        <w:t xml:space="preserve"> section applied</w:t>
      </w:r>
      <w:r w:rsidR="00494208" w:rsidRPr="004635E5">
        <w:rPr>
          <w:sz w:val="22"/>
          <w:szCs w:val="22"/>
        </w:rPr>
        <w:t xml:space="preserve"> only to shark species that are considered </w:t>
      </w:r>
      <w:r w:rsidR="00B4735A" w:rsidRPr="004635E5">
        <w:rPr>
          <w:sz w:val="22"/>
          <w:szCs w:val="22"/>
        </w:rPr>
        <w:t xml:space="preserve">SSIs </w:t>
      </w:r>
      <w:r w:rsidR="00494208" w:rsidRPr="004635E5">
        <w:rPr>
          <w:sz w:val="22"/>
          <w:szCs w:val="22"/>
        </w:rPr>
        <w:t xml:space="preserve">by </w:t>
      </w:r>
      <w:r w:rsidR="007175DB" w:rsidRPr="004635E5">
        <w:rPr>
          <w:sz w:val="22"/>
          <w:szCs w:val="22"/>
        </w:rPr>
        <w:t>the C</w:t>
      </w:r>
      <w:r w:rsidR="00494208" w:rsidRPr="004635E5">
        <w:rPr>
          <w:sz w:val="22"/>
          <w:szCs w:val="22"/>
        </w:rPr>
        <w:t>ommission.</w:t>
      </w:r>
    </w:p>
    <w:p w14:paraId="00F70553" w14:textId="77777777" w:rsidR="00317E21" w:rsidRPr="004635E5" w:rsidRDefault="00494208" w:rsidP="006633A8">
      <w:pPr>
        <w:autoSpaceDE w:val="0"/>
        <w:autoSpaceDN w:val="0"/>
        <w:adjustRightInd w:val="0"/>
        <w:snapToGrid w:val="0"/>
        <w:jc w:val="both"/>
        <w:rPr>
          <w:sz w:val="22"/>
          <w:szCs w:val="22"/>
        </w:rPr>
      </w:pPr>
      <w:r w:rsidRPr="004635E5">
        <w:rPr>
          <w:sz w:val="22"/>
          <w:szCs w:val="22"/>
        </w:rPr>
        <w:t xml:space="preserve"> </w:t>
      </w:r>
    </w:p>
    <w:p w14:paraId="1F93EBA4" w14:textId="77777777" w:rsidR="00847EE1" w:rsidRPr="004635E5" w:rsidRDefault="00317E21"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rPr>
        <w:t xml:space="preserve">The </w:t>
      </w:r>
      <w:r w:rsidR="002046C0" w:rsidRPr="004635E5">
        <w:rPr>
          <w:sz w:val="22"/>
          <w:szCs w:val="22"/>
        </w:rPr>
        <w:t xml:space="preserve">EU </w:t>
      </w:r>
      <w:r w:rsidRPr="004635E5">
        <w:rPr>
          <w:sz w:val="22"/>
          <w:szCs w:val="22"/>
        </w:rPr>
        <w:t xml:space="preserve">supported the </w:t>
      </w:r>
      <w:r w:rsidR="00494208" w:rsidRPr="004635E5">
        <w:rPr>
          <w:sz w:val="22"/>
          <w:szCs w:val="22"/>
        </w:rPr>
        <w:t>proposed amendments</w:t>
      </w:r>
      <w:r w:rsidRPr="004635E5">
        <w:rPr>
          <w:sz w:val="22"/>
          <w:szCs w:val="22"/>
        </w:rPr>
        <w:t>,</w:t>
      </w:r>
      <w:r w:rsidR="007175DB" w:rsidRPr="004635E5">
        <w:rPr>
          <w:sz w:val="22"/>
          <w:szCs w:val="22"/>
        </w:rPr>
        <w:t xml:space="preserve"> which would </w:t>
      </w:r>
      <w:r w:rsidR="00494208" w:rsidRPr="004635E5">
        <w:rPr>
          <w:sz w:val="22"/>
          <w:szCs w:val="22"/>
        </w:rPr>
        <w:t>allow better use of data that are collected in relation to these species</w:t>
      </w:r>
      <w:r w:rsidR="007175DB" w:rsidRPr="004635E5">
        <w:rPr>
          <w:sz w:val="22"/>
          <w:szCs w:val="22"/>
        </w:rPr>
        <w:t>,</w:t>
      </w:r>
      <w:r w:rsidR="00494208" w:rsidRPr="004635E5">
        <w:rPr>
          <w:sz w:val="22"/>
          <w:szCs w:val="22"/>
        </w:rPr>
        <w:t xml:space="preserve"> and allow </w:t>
      </w:r>
      <w:r w:rsidR="007175DB" w:rsidRPr="004635E5">
        <w:rPr>
          <w:sz w:val="22"/>
          <w:szCs w:val="22"/>
        </w:rPr>
        <w:t xml:space="preserve">SPC </w:t>
      </w:r>
      <w:r w:rsidR="00494208" w:rsidRPr="004635E5">
        <w:rPr>
          <w:sz w:val="22"/>
          <w:szCs w:val="22"/>
        </w:rPr>
        <w:t>and other sci</w:t>
      </w:r>
      <w:r w:rsidR="007175DB" w:rsidRPr="004635E5">
        <w:rPr>
          <w:sz w:val="22"/>
          <w:szCs w:val="22"/>
        </w:rPr>
        <w:t xml:space="preserve">entists </w:t>
      </w:r>
      <w:r w:rsidR="00494208" w:rsidRPr="004635E5">
        <w:rPr>
          <w:sz w:val="22"/>
          <w:szCs w:val="22"/>
        </w:rPr>
        <w:t xml:space="preserve">to </w:t>
      </w:r>
      <w:r w:rsidR="007175DB" w:rsidRPr="004635E5">
        <w:rPr>
          <w:sz w:val="22"/>
          <w:szCs w:val="22"/>
        </w:rPr>
        <w:t xml:space="preserve">undertake </w:t>
      </w:r>
      <w:r w:rsidR="00494208" w:rsidRPr="004635E5">
        <w:rPr>
          <w:sz w:val="22"/>
          <w:szCs w:val="22"/>
        </w:rPr>
        <w:t>better anal</w:t>
      </w:r>
      <w:r w:rsidR="007175DB" w:rsidRPr="004635E5">
        <w:rPr>
          <w:sz w:val="22"/>
          <w:szCs w:val="22"/>
        </w:rPr>
        <w:t xml:space="preserve">ysis. </w:t>
      </w:r>
      <w:r w:rsidRPr="004635E5">
        <w:rPr>
          <w:sz w:val="22"/>
          <w:szCs w:val="22"/>
        </w:rPr>
        <w:t>The Secretariat n</w:t>
      </w:r>
      <w:r w:rsidR="007175DB" w:rsidRPr="004635E5">
        <w:rPr>
          <w:sz w:val="22"/>
          <w:szCs w:val="22"/>
        </w:rPr>
        <w:t xml:space="preserve">oted that </w:t>
      </w:r>
      <w:r w:rsidRPr="004635E5">
        <w:rPr>
          <w:sz w:val="22"/>
          <w:szCs w:val="22"/>
        </w:rPr>
        <w:t xml:space="preserve">most of the </w:t>
      </w:r>
      <w:r w:rsidR="00494208" w:rsidRPr="004635E5">
        <w:rPr>
          <w:sz w:val="22"/>
          <w:szCs w:val="22"/>
        </w:rPr>
        <w:t>field</w:t>
      </w:r>
      <w:r w:rsidR="007175DB" w:rsidRPr="004635E5">
        <w:rPr>
          <w:sz w:val="22"/>
          <w:szCs w:val="22"/>
        </w:rPr>
        <w:t>s</w:t>
      </w:r>
      <w:r w:rsidR="00494208" w:rsidRPr="004635E5">
        <w:rPr>
          <w:sz w:val="22"/>
          <w:szCs w:val="22"/>
        </w:rPr>
        <w:t xml:space="preserve"> proposed </w:t>
      </w:r>
      <w:r w:rsidRPr="004635E5">
        <w:rPr>
          <w:sz w:val="22"/>
          <w:szCs w:val="22"/>
        </w:rPr>
        <w:t xml:space="preserve">were </w:t>
      </w:r>
      <w:r w:rsidR="00494208" w:rsidRPr="004635E5">
        <w:rPr>
          <w:sz w:val="22"/>
          <w:szCs w:val="22"/>
        </w:rPr>
        <w:t>already collected by obs</w:t>
      </w:r>
      <w:r w:rsidR="007175DB" w:rsidRPr="004635E5">
        <w:rPr>
          <w:sz w:val="22"/>
          <w:szCs w:val="22"/>
        </w:rPr>
        <w:t>ervers</w:t>
      </w:r>
      <w:r w:rsidR="00494208" w:rsidRPr="004635E5">
        <w:rPr>
          <w:sz w:val="22"/>
          <w:szCs w:val="22"/>
        </w:rPr>
        <w:t xml:space="preserve"> under </w:t>
      </w:r>
      <w:r w:rsidR="004421B3" w:rsidRPr="004635E5">
        <w:rPr>
          <w:sz w:val="22"/>
          <w:szCs w:val="22"/>
        </w:rPr>
        <w:t>longline</w:t>
      </w:r>
      <w:r w:rsidR="00494208" w:rsidRPr="004635E5">
        <w:rPr>
          <w:sz w:val="22"/>
          <w:szCs w:val="22"/>
        </w:rPr>
        <w:t xml:space="preserve"> gear fields. </w:t>
      </w:r>
      <w:r w:rsidRPr="004635E5">
        <w:rPr>
          <w:sz w:val="22"/>
          <w:szCs w:val="22"/>
        </w:rPr>
        <w:t xml:space="preserve">The </w:t>
      </w:r>
      <w:r w:rsidR="00494208" w:rsidRPr="004635E5">
        <w:rPr>
          <w:sz w:val="22"/>
          <w:szCs w:val="22"/>
        </w:rPr>
        <w:t>USA</w:t>
      </w:r>
      <w:r w:rsidR="007175DB" w:rsidRPr="004635E5">
        <w:rPr>
          <w:sz w:val="22"/>
          <w:szCs w:val="22"/>
        </w:rPr>
        <w:t xml:space="preserve"> stated </w:t>
      </w:r>
      <w:r w:rsidR="002046C0" w:rsidRPr="004635E5">
        <w:rPr>
          <w:sz w:val="22"/>
          <w:szCs w:val="22"/>
        </w:rPr>
        <w:t xml:space="preserve">they </w:t>
      </w:r>
      <w:r w:rsidR="007175DB" w:rsidRPr="004635E5">
        <w:rPr>
          <w:sz w:val="22"/>
          <w:szCs w:val="22"/>
        </w:rPr>
        <w:t xml:space="preserve">understood </w:t>
      </w:r>
      <w:r w:rsidR="00494208" w:rsidRPr="004635E5">
        <w:rPr>
          <w:sz w:val="22"/>
          <w:szCs w:val="22"/>
        </w:rPr>
        <w:t>members</w:t>
      </w:r>
      <w:r w:rsidR="007175DB" w:rsidRPr="004635E5">
        <w:rPr>
          <w:sz w:val="22"/>
          <w:szCs w:val="22"/>
        </w:rPr>
        <w:t>’</w:t>
      </w:r>
      <w:r w:rsidR="00494208" w:rsidRPr="004635E5">
        <w:rPr>
          <w:sz w:val="22"/>
          <w:szCs w:val="22"/>
        </w:rPr>
        <w:t xml:space="preserve"> concerns about giving </w:t>
      </w:r>
      <w:r w:rsidR="007175DB" w:rsidRPr="004635E5">
        <w:rPr>
          <w:sz w:val="22"/>
          <w:szCs w:val="22"/>
        </w:rPr>
        <w:t>observers more to do</w:t>
      </w:r>
      <w:r w:rsidR="002046C0" w:rsidRPr="004635E5">
        <w:rPr>
          <w:sz w:val="22"/>
          <w:szCs w:val="22"/>
        </w:rPr>
        <w:t xml:space="preserve">, while providing an example from </w:t>
      </w:r>
      <w:r w:rsidR="00494208" w:rsidRPr="004635E5">
        <w:rPr>
          <w:sz w:val="22"/>
          <w:szCs w:val="22"/>
        </w:rPr>
        <w:t>interaction</w:t>
      </w:r>
      <w:r w:rsidR="002046C0" w:rsidRPr="004635E5">
        <w:rPr>
          <w:sz w:val="22"/>
          <w:szCs w:val="22"/>
        </w:rPr>
        <w:t>s</w:t>
      </w:r>
      <w:r w:rsidR="00494208" w:rsidRPr="004635E5">
        <w:rPr>
          <w:sz w:val="22"/>
          <w:szCs w:val="22"/>
        </w:rPr>
        <w:t xml:space="preserve"> in Hawaii</w:t>
      </w:r>
      <w:r w:rsidR="007175DB" w:rsidRPr="004635E5">
        <w:rPr>
          <w:sz w:val="22"/>
          <w:szCs w:val="22"/>
        </w:rPr>
        <w:t>’s</w:t>
      </w:r>
      <w:r w:rsidR="00494208" w:rsidRPr="004635E5">
        <w:rPr>
          <w:sz w:val="22"/>
          <w:szCs w:val="22"/>
        </w:rPr>
        <w:t xml:space="preserve"> fishery</w:t>
      </w:r>
      <w:r w:rsidR="002046C0" w:rsidRPr="004635E5">
        <w:rPr>
          <w:sz w:val="22"/>
          <w:szCs w:val="22"/>
        </w:rPr>
        <w:t xml:space="preserve"> that suggested </w:t>
      </w:r>
      <w:r w:rsidRPr="004635E5">
        <w:rPr>
          <w:sz w:val="22"/>
          <w:szCs w:val="22"/>
        </w:rPr>
        <w:t>the burden on observers would be minimal</w:t>
      </w:r>
      <w:r w:rsidR="00A16680" w:rsidRPr="004635E5">
        <w:rPr>
          <w:sz w:val="22"/>
          <w:szCs w:val="22"/>
        </w:rPr>
        <w:t xml:space="preserve">. </w:t>
      </w:r>
      <w:r w:rsidR="004554D4" w:rsidRPr="004635E5">
        <w:rPr>
          <w:sz w:val="22"/>
          <w:szCs w:val="22"/>
          <w:lang w:val="en-NZ"/>
        </w:rPr>
        <w:t xml:space="preserve">Following a request by Japan to consider the proposal further, the </w:t>
      </w:r>
      <w:r w:rsidR="00847EE1" w:rsidRPr="004635E5">
        <w:rPr>
          <w:sz w:val="22"/>
          <w:szCs w:val="22"/>
          <w:lang w:val="en-NZ"/>
        </w:rPr>
        <w:t xml:space="preserve">USA </w:t>
      </w:r>
      <w:r w:rsidR="004554D4" w:rsidRPr="004635E5">
        <w:rPr>
          <w:sz w:val="22"/>
          <w:szCs w:val="22"/>
          <w:lang w:val="en-NZ"/>
        </w:rPr>
        <w:t xml:space="preserve">presented an edited draft with a </w:t>
      </w:r>
      <w:r w:rsidR="00847EE1" w:rsidRPr="004635E5">
        <w:rPr>
          <w:sz w:val="22"/>
          <w:szCs w:val="22"/>
          <w:lang w:val="en-NZ"/>
        </w:rPr>
        <w:t>third col</w:t>
      </w:r>
      <w:r w:rsidR="004554D4" w:rsidRPr="004635E5">
        <w:rPr>
          <w:sz w:val="22"/>
          <w:szCs w:val="22"/>
          <w:lang w:val="en-NZ"/>
        </w:rPr>
        <w:t>umn</w:t>
      </w:r>
      <w:r w:rsidR="00847EE1" w:rsidRPr="004635E5">
        <w:rPr>
          <w:sz w:val="22"/>
          <w:szCs w:val="22"/>
          <w:lang w:val="en-NZ"/>
        </w:rPr>
        <w:t xml:space="preserve"> </w:t>
      </w:r>
      <w:r w:rsidR="004554D4" w:rsidRPr="004635E5">
        <w:rPr>
          <w:sz w:val="22"/>
          <w:szCs w:val="22"/>
          <w:lang w:val="en-NZ"/>
        </w:rPr>
        <w:t xml:space="preserve">added to the table </w:t>
      </w:r>
      <w:r w:rsidR="00847EE1" w:rsidRPr="004635E5">
        <w:rPr>
          <w:sz w:val="22"/>
          <w:szCs w:val="22"/>
          <w:lang w:val="en-NZ"/>
        </w:rPr>
        <w:t xml:space="preserve">to illustrate what </w:t>
      </w:r>
      <w:r w:rsidR="004554D4" w:rsidRPr="004635E5">
        <w:rPr>
          <w:sz w:val="22"/>
          <w:szCs w:val="22"/>
          <w:lang w:val="en-NZ"/>
        </w:rPr>
        <w:t xml:space="preserve">they </w:t>
      </w:r>
      <w:r w:rsidR="00847EE1" w:rsidRPr="004635E5">
        <w:rPr>
          <w:sz w:val="22"/>
          <w:szCs w:val="22"/>
          <w:lang w:val="en-NZ"/>
        </w:rPr>
        <w:t>propose</w:t>
      </w:r>
      <w:r w:rsidR="004554D4" w:rsidRPr="004635E5">
        <w:rPr>
          <w:sz w:val="22"/>
          <w:szCs w:val="22"/>
          <w:lang w:val="en-NZ"/>
        </w:rPr>
        <w:t>d</w:t>
      </w:r>
      <w:r w:rsidR="00847EE1" w:rsidRPr="004635E5">
        <w:rPr>
          <w:sz w:val="22"/>
          <w:szCs w:val="22"/>
          <w:lang w:val="en-NZ"/>
        </w:rPr>
        <w:t xml:space="preserve">. </w:t>
      </w:r>
    </w:p>
    <w:p w14:paraId="08C3A5AF" w14:textId="77777777" w:rsidR="00C91D50" w:rsidRPr="004635E5" w:rsidRDefault="00C91D50" w:rsidP="006633A8">
      <w:pPr>
        <w:autoSpaceDE w:val="0"/>
        <w:autoSpaceDN w:val="0"/>
        <w:adjustRightInd w:val="0"/>
        <w:snapToGrid w:val="0"/>
        <w:jc w:val="both"/>
        <w:rPr>
          <w:sz w:val="22"/>
          <w:szCs w:val="22"/>
          <w:lang w:val="en-NZ"/>
        </w:rPr>
      </w:pPr>
    </w:p>
    <w:p w14:paraId="54B7E4E8" w14:textId="77777777" w:rsidR="00ED394D" w:rsidRPr="004635E5" w:rsidRDefault="00847EE1"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Japan</w:t>
      </w:r>
      <w:r w:rsidR="004554D4" w:rsidRPr="004635E5">
        <w:rPr>
          <w:sz w:val="22"/>
          <w:szCs w:val="22"/>
          <w:lang w:val="en-NZ"/>
        </w:rPr>
        <w:t xml:space="preserve"> noted that </w:t>
      </w:r>
      <w:r w:rsidRPr="004635E5">
        <w:rPr>
          <w:sz w:val="22"/>
          <w:szCs w:val="22"/>
          <w:lang w:val="en-NZ"/>
        </w:rPr>
        <w:t xml:space="preserve">observers </w:t>
      </w:r>
      <w:r w:rsidR="004554D4" w:rsidRPr="004635E5">
        <w:rPr>
          <w:sz w:val="22"/>
          <w:szCs w:val="22"/>
          <w:lang w:val="en-NZ"/>
        </w:rPr>
        <w:t xml:space="preserve">were </w:t>
      </w:r>
      <w:r w:rsidRPr="004635E5">
        <w:rPr>
          <w:sz w:val="22"/>
          <w:szCs w:val="22"/>
          <w:lang w:val="en-NZ"/>
        </w:rPr>
        <w:t>already overloaded</w:t>
      </w:r>
      <w:r w:rsidR="004554D4" w:rsidRPr="004635E5">
        <w:rPr>
          <w:sz w:val="22"/>
          <w:szCs w:val="22"/>
          <w:lang w:val="en-NZ"/>
        </w:rPr>
        <w:t xml:space="preserve"> with work in measuring</w:t>
      </w:r>
      <w:r w:rsidRPr="004635E5">
        <w:rPr>
          <w:sz w:val="22"/>
          <w:szCs w:val="22"/>
          <w:lang w:val="en-NZ"/>
        </w:rPr>
        <w:t xml:space="preserve"> and record</w:t>
      </w:r>
      <w:r w:rsidR="004554D4" w:rsidRPr="004635E5">
        <w:rPr>
          <w:sz w:val="22"/>
          <w:szCs w:val="22"/>
          <w:lang w:val="en-NZ"/>
        </w:rPr>
        <w:t>ing</w:t>
      </w:r>
      <w:r w:rsidRPr="004635E5">
        <w:rPr>
          <w:sz w:val="22"/>
          <w:szCs w:val="22"/>
          <w:lang w:val="en-NZ"/>
        </w:rPr>
        <w:t xml:space="preserve"> all catches</w:t>
      </w:r>
      <w:r w:rsidR="004554D4" w:rsidRPr="004635E5">
        <w:rPr>
          <w:sz w:val="22"/>
          <w:szCs w:val="22"/>
          <w:lang w:val="en-NZ"/>
        </w:rPr>
        <w:t xml:space="preserve">, and that it was difficult </w:t>
      </w:r>
      <w:r w:rsidRPr="004635E5">
        <w:rPr>
          <w:sz w:val="22"/>
          <w:szCs w:val="22"/>
          <w:lang w:val="en-NZ"/>
        </w:rPr>
        <w:t>for them to record info</w:t>
      </w:r>
      <w:r w:rsidR="004554D4" w:rsidRPr="004635E5">
        <w:rPr>
          <w:sz w:val="22"/>
          <w:szCs w:val="22"/>
          <w:lang w:val="en-NZ"/>
        </w:rPr>
        <w:t xml:space="preserve">rmation </w:t>
      </w:r>
      <w:r w:rsidRPr="004635E5">
        <w:rPr>
          <w:sz w:val="22"/>
          <w:szCs w:val="22"/>
          <w:lang w:val="en-NZ"/>
        </w:rPr>
        <w:t xml:space="preserve">on hook type and size. </w:t>
      </w:r>
      <w:r w:rsidR="00B423E0" w:rsidRPr="004635E5">
        <w:rPr>
          <w:sz w:val="22"/>
          <w:szCs w:val="22"/>
          <w:lang w:val="en-NZ"/>
        </w:rPr>
        <w:t xml:space="preserve">They stated that </w:t>
      </w:r>
      <w:r w:rsidRPr="004635E5">
        <w:rPr>
          <w:sz w:val="22"/>
          <w:szCs w:val="22"/>
          <w:lang w:val="en-NZ"/>
        </w:rPr>
        <w:t xml:space="preserve">asking </w:t>
      </w:r>
      <w:r w:rsidR="00F6729E" w:rsidRPr="004635E5">
        <w:rPr>
          <w:sz w:val="22"/>
          <w:szCs w:val="22"/>
          <w:lang w:val="en-NZ"/>
        </w:rPr>
        <w:t xml:space="preserve">for </w:t>
      </w:r>
      <w:r w:rsidRPr="004635E5">
        <w:rPr>
          <w:sz w:val="22"/>
          <w:szCs w:val="22"/>
          <w:lang w:val="en-NZ"/>
        </w:rPr>
        <w:t>too much info</w:t>
      </w:r>
      <w:r w:rsidR="00F6729E" w:rsidRPr="004635E5">
        <w:rPr>
          <w:sz w:val="22"/>
          <w:szCs w:val="22"/>
          <w:lang w:val="en-NZ"/>
        </w:rPr>
        <w:t>rmation</w:t>
      </w:r>
      <w:r w:rsidRPr="004635E5">
        <w:rPr>
          <w:sz w:val="22"/>
          <w:szCs w:val="22"/>
          <w:lang w:val="en-NZ"/>
        </w:rPr>
        <w:t xml:space="preserve"> can negative</w:t>
      </w:r>
      <w:r w:rsidR="00F6729E" w:rsidRPr="004635E5">
        <w:rPr>
          <w:sz w:val="22"/>
          <w:szCs w:val="22"/>
          <w:lang w:val="en-NZ"/>
        </w:rPr>
        <w:t>ly</w:t>
      </w:r>
      <w:r w:rsidRPr="004635E5">
        <w:rPr>
          <w:sz w:val="22"/>
          <w:szCs w:val="22"/>
          <w:lang w:val="en-NZ"/>
        </w:rPr>
        <w:t xml:space="preserve"> </w:t>
      </w:r>
      <w:r w:rsidR="00F6729E" w:rsidRPr="004635E5">
        <w:rPr>
          <w:sz w:val="22"/>
          <w:szCs w:val="22"/>
          <w:lang w:val="en-NZ"/>
        </w:rPr>
        <w:t xml:space="preserve">impact data quality, </w:t>
      </w:r>
      <w:r w:rsidR="00B423E0" w:rsidRPr="004635E5">
        <w:rPr>
          <w:sz w:val="22"/>
          <w:szCs w:val="22"/>
          <w:lang w:val="en-NZ"/>
        </w:rPr>
        <w:t xml:space="preserve">and there is </w:t>
      </w:r>
      <w:r w:rsidR="00F6729E" w:rsidRPr="004635E5">
        <w:rPr>
          <w:sz w:val="22"/>
          <w:szCs w:val="22"/>
          <w:lang w:val="en-NZ"/>
        </w:rPr>
        <w:t xml:space="preserve">thus </w:t>
      </w:r>
      <w:r w:rsidR="00B423E0" w:rsidRPr="004635E5">
        <w:rPr>
          <w:sz w:val="22"/>
          <w:szCs w:val="22"/>
          <w:lang w:val="en-NZ"/>
        </w:rPr>
        <w:t xml:space="preserve">a </w:t>
      </w:r>
      <w:r w:rsidR="00F6729E" w:rsidRPr="004635E5">
        <w:rPr>
          <w:sz w:val="22"/>
          <w:szCs w:val="22"/>
          <w:lang w:val="en-NZ"/>
        </w:rPr>
        <w:t xml:space="preserve">need to </w:t>
      </w:r>
      <w:r w:rsidRPr="004635E5">
        <w:rPr>
          <w:sz w:val="22"/>
          <w:szCs w:val="22"/>
          <w:lang w:val="en-NZ"/>
        </w:rPr>
        <w:t>avoid overwork</w:t>
      </w:r>
      <w:r w:rsidR="00F6729E" w:rsidRPr="004635E5">
        <w:rPr>
          <w:sz w:val="22"/>
          <w:szCs w:val="22"/>
          <w:lang w:val="en-NZ"/>
        </w:rPr>
        <w:t>ing observers</w:t>
      </w:r>
      <w:r w:rsidRPr="004635E5">
        <w:rPr>
          <w:sz w:val="22"/>
          <w:szCs w:val="22"/>
          <w:lang w:val="en-NZ"/>
        </w:rPr>
        <w:t xml:space="preserve">. </w:t>
      </w:r>
      <w:r w:rsidR="00F6729E" w:rsidRPr="004635E5">
        <w:rPr>
          <w:sz w:val="22"/>
          <w:szCs w:val="22"/>
          <w:lang w:val="en-NZ"/>
        </w:rPr>
        <w:t xml:space="preserve">Japan stated they could not </w:t>
      </w:r>
      <w:r w:rsidRPr="004635E5">
        <w:rPr>
          <w:sz w:val="22"/>
          <w:szCs w:val="22"/>
          <w:lang w:val="en-NZ"/>
        </w:rPr>
        <w:t xml:space="preserve">accept </w:t>
      </w:r>
      <w:r w:rsidR="00F6729E" w:rsidRPr="004635E5">
        <w:rPr>
          <w:sz w:val="22"/>
          <w:szCs w:val="22"/>
          <w:lang w:val="en-NZ"/>
        </w:rPr>
        <w:t xml:space="preserve">the </w:t>
      </w:r>
      <w:r w:rsidRPr="004635E5">
        <w:rPr>
          <w:sz w:val="22"/>
          <w:szCs w:val="22"/>
          <w:lang w:val="en-NZ"/>
        </w:rPr>
        <w:t>p</w:t>
      </w:r>
      <w:r w:rsidR="00F6729E" w:rsidRPr="004635E5">
        <w:rPr>
          <w:sz w:val="22"/>
          <w:szCs w:val="22"/>
          <w:lang w:val="en-NZ"/>
        </w:rPr>
        <w:t>r</w:t>
      </w:r>
      <w:r w:rsidRPr="004635E5">
        <w:rPr>
          <w:sz w:val="22"/>
          <w:szCs w:val="22"/>
          <w:lang w:val="en-NZ"/>
        </w:rPr>
        <w:t>oposal</w:t>
      </w:r>
      <w:r w:rsidR="00F6729E" w:rsidRPr="004635E5">
        <w:rPr>
          <w:sz w:val="22"/>
          <w:szCs w:val="22"/>
          <w:lang w:val="en-NZ"/>
        </w:rPr>
        <w:t xml:space="preserve">, but were </w:t>
      </w:r>
      <w:r w:rsidRPr="004635E5">
        <w:rPr>
          <w:sz w:val="22"/>
          <w:szCs w:val="22"/>
          <w:lang w:val="en-NZ"/>
        </w:rPr>
        <w:t xml:space="preserve">willing to discuss </w:t>
      </w:r>
      <w:r w:rsidR="00F6729E" w:rsidRPr="004635E5">
        <w:rPr>
          <w:sz w:val="22"/>
          <w:szCs w:val="22"/>
          <w:lang w:val="en-NZ"/>
        </w:rPr>
        <w:t xml:space="preserve">an </w:t>
      </w:r>
      <w:r w:rsidRPr="004635E5">
        <w:rPr>
          <w:sz w:val="22"/>
          <w:szCs w:val="22"/>
          <w:lang w:val="en-NZ"/>
        </w:rPr>
        <w:t xml:space="preserve">arrangement to collect </w:t>
      </w:r>
      <w:r w:rsidR="00F6729E" w:rsidRPr="004635E5">
        <w:rPr>
          <w:sz w:val="22"/>
          <w:szCs w:val="22"/>
          <w:lang w:val="en-NZ"/>
        </w:rPr>
        <w:t xml:space="preserve">the </w:t>
      </w:r>
      <w:r w:rsidRPr="004635E5">
        <w:rPr>
          <w:sz w:val="22"/>
          <w:szCs w:val="22"/>
          <w:lang w:val="en-NZ"/>
        </w:rPr>
        <w:t>data</w:t>
      </w:r>
      <w:r w:rsidR="00F6729E" w:rsidRPr="004635E5">
        <w:rPr>
          <w:sz w:val="22"/>
          <w:szCs w:val="22"/>
          <w:lang w:val="en-NZ"/>
        </w:rPr>
        <w:t xml:space="preserve"> —</w:t>
      </w:r>
      <w:r w:rsidRPr="004635E5">
        <w:rPr>
          <w:sz w:val="22"/>
          <w:szCs w:val="22"/>
          <w:lang w:val="en-NZ"/>
        </w:rPr>
        <w:t xml:space="preserve"> e.g.</w:t>
      </w:r>
      <w:r w:rsidR="00F6729E" w:rsidRPr="004635E5">
        <w:rPr>
          <w:sz w:val="22"/>
          <w:szCs w:val="22"/>
          <w:lang w:val="en-NZ"/>
        </w:rPr>
        <w:t>,</w:t>
      </w:r>
      <w:r w:rsidRPr="004635E5">
        <w:rPr>
          <w:sz w:val="22"/>
          <w:szCs w:val="22"/>
          <w:lang w:val="en-NZ"/>
        </w:rPr>
        <w:t xml:space="preserve"> should have </w:t>
      </w:r>
      <w:r w:rsidR="00F6729E" w:rsidRPr="004635E5">
        <w:rPr>
          <w:sz w:val="22"/>
          <w:szCs w:val="22"/>
          <w:lang w:val="en-NZ"/>
        </w:rPr>
        <w:t xml:space="preserve">an </w:t>
      </w:r>
      <w:r w:rsidRPr="004635E5">
        <w:rPr>
          <w:sz w:val="22"/>
          <w:szCs w:val="22"/>
          <w:lang w:val="en-NZ"/>
        </w:rPr>
        <w:t>intercessional revi</w:t>
      </w:r>
      <w:r w:rsidR="00F6729E" w:rsidRPr="004635E5">
        <w:rPr>
          <w:sz w:val="22"/>
          <w:szCs w:val="22"/>
          <w:lang w:val="en-NZ"/>
        </w:rPr>
        <w:t>e</w:t>
      </w:r>
      <w:r w:rsidRPr="004635E5">
        <w:rPr>
          <w:sz w:val="22"/>
          <w:szCs w:val="22"/>
          <w:lang w:val="en-NZ"/>
        </w:rPr>
        <w:t>w of min</w:t>
      </w:r>
      <w:r w:rsidR="00F6729E" w:rsidRPr="004635E5">
        <w:rPr>
          <w:sz w:val="22"/>
          <w:szCs w:val="22"/>
          <w:lang w:val="en-NZ"/>
        </w:rPr>
        <w:t>imum</w:t>
      </w:r>
      <w:r w:rsidRPr="004635E5">
        <w:rPr>
          <w:sz w:val="22"/>
          <w:szCs w:val="22"/>
          <w:lang w:val="en-NZ"/>
        </w:rPr>
        <w:t xml:space="preserve"> standards and how to collect additional </w:t>
      </w:r>
      <w:r w:rsidR="00F6729E" w:rsidRPr="004635E5">
        <w:rPr>
          <w:sz w:val="22"/>
          <w:szCs w:val="22"/>
          <w:lang w:val="en-NZ"/>
        </w:rPr>
        <w:t xml:space="preserve">high-priority </w:t>
      </w:r>
      <w:r w:rsidRPr="004635E5">
        <w:rPr>
          <w:sz w:val="22"/>
          <w:szCs w:val="22"/>
          <w:lang w:val="en-NZ"/>
        </w:rPr>
        <w:t xml:space="preserve">data. </w:t>
      </w:r>
      <w:r w:rsidR="00F6729E" w:rsidRPr="004635E5">
        <w:rPr>
          <w:sz w:val="22"/>
          <w:szCs w:val="22"/>
          <w:lang w:val="en-NZ"/>
        </w:rPr>
        <w:t>This view was supported by China.</w:t>
      </w:r>
      <w:r w:rsidR="00B423E0" w:rsidRPr="004635E5">
        <w:rPr>
          <w:sz w:val="22"/>
          <w:szCs w:val="22"/>
          <w:lang w:val="en-NZ"/>
        </w:rPr>
        <w:t xml:space="preserve"> </w:t>
      </w:r>
      <w:r w:rsidR="00F6729E" w:rsidRPr="004635E5">
        <w:rPr>
          <w:sz w:val="22"/>
          <w:szCs w:val="22"/>
          <w:lang w:val="en-NZ"/>
        </w:rPr>
        <w:t xml:space="preserve">The </w:t>
      </w:r>
      <w:r w:rsidRPr="004635E5">
        <w:rPr>
          <w:sz w:val="22"/>
          <w:szCs w:val="22"/>
          <w:lang w:val="en-NZ"/>
        </w:rPr>
        <w:t>EU</w:t>
      </w:r>
      <w:r w:rsidR="00F6729E" w:rsidRPr="004635E5">
        <w:rPr>
          <w:sz w:val="22"/>
          <w:szCs w:val="22"/>
          <w:lang w:val="en-NZ"/>
        </w:rPr>
        <w:t xml:space="preserve"> supported the</w:t>
      </w:r>
      <w:r w:rsidRPr="004635E5">
        <w:rPr>
          <w:sz w:val="22"/>
          <w:szCs w:val="22"/>
          <w:lang w:val="en-NZ"/>
        </w:rPr>
        <w:t xml:space="preserve"> changes </w:t>
      </w:r>
      <w:r w:rsidR="00F6729E" w:rsidRPr="004635E5">
        <w:rPr>
          <w:sz w:val="22"/>
          <w:szCs w:val="22"/>
          <w:lang w:val="en-NZ"/>
        </w:rPr>
        <w:t xml:space="preserve">as </w:t>
      </w:r>
      <w:r w:rsidRPr="004635E5">
        <w:rPr>
          <w:sz w:val="22"/>
          <w:szCs w:val="22"/>
          <w:lang w:val="en-NZ"/>
        </w:rPr>
        <w:t>proposed</w:t>
      </w:r>
      <w:r w:rsidR="00B423E0" w:rsidRPr="004635E5">
        <w:rPr>
          <w:sz w:val="22"/>
          <w:szCs w:val="22"/>
          <w:lang w:val="en-NZ"/>
        </w:rPr>
        <w:t xml:space="preserve"> by the USA. With regard to </w:t>
      </w:r>
      <w:r w:rsidR="00F6729E" w:rsidRPr="004635E5">
        <w:rPr>
          <w:sz w:val="22"/>
          <w:szCs w:val="22"/>
          <w:lang w:val="en-NZ"/>
        </w:rPr>
        <w:t xml:space="preserve">data quality, the EU stated that </w:t>
      </w:r>
      <w:r w:rsidRPr="004635E5">
        <w:rPr>
          <w:sz w:val="22"/>
          <w:szCs w:val="22"/>
          <w:lang w:val="en-NZ"/>
        </w:rPr>
        <w:t>collect</w:t>
      </w:r>
      <w:r w:rsidR="00F6729E" w:rsidRPr="004635E5">
        <w:rPr>
          <w:sz w:val="22"/>
          <w:szCs w:val="22"/>
          <w:lang w:val="en-NZ"/>
        </w:rPr>
        <w:t>ing</w:t>
      </w:r>
      <w:r w:rsidRPr="004635E5">
        <w:rPr>
          <w:sz w:val="22"/>
          <w:szCs w:val="22"/>
          <w:lang w:val="en-NZ"/>
        </w:rPr>
        <w:t xml:space="preserve"> only fragmented or insuff</w:t>
      </w:r>
      <w:r w:rsidR="00F6729E" w:rsidRPr="004635E5">
        <w:rPr>
          <w:sz w:val="22"/>
          <w:szCs w:val="22"/>
          <w:lang w:val="en-NZ"/>
        </w:rPr>
        <w:t>icient</w:t>
      </w:r>
      <w:r w:rsidRPr="004635E5">
        <w:rPr>
          <w:sz w:val="22"/>
          <w:szCs w:val="22"/>
          <w:lang w:val="en-NZ"/>
        </w:rPr>
        <w:t xml:space="preserve"> detail </w:t>
      </w:r>
      <w:r w:rsidR="00B423E0" w:rsidRPr="004635E5">
        <w:rPr>
          <w:sz w:val="22"/>
          <w:szCs w:val="22"/>
          <w:lang w:val="en-NZ"/>
        </w:rPr>
        <w:t xml:space="preserve">was </w:t>
      </w:r>
      <w:r w:rsidRPr="004635E5">
        <w:rPr>
          <w:sz w:val="22"/>
          <w:szCs w:val="22"/>
          <w:lang w:val="en-NZ"/>
        </w:rPr>
        <w:t>also not useful</w:t>
      </w:r>
      <w:r w:rsidR="00B423E0" w:rsidRPr="004635E5">
        <w:rPr>
          <w:sz w:val="22"/>
          <w:szCs w:val="22"/>
          <w:lang w:val="en-NZ"/>
        </w:rPr>
        <w:t xml:space="preserve">, and requested </w:t>
      </w:r>
      <w:r w:rsidR="00F6729E" w:rsidRPr="004635E5">
        <w:rPr>
          <w:sz w:val="22"/>
          <w:szCs w:val="22"/>
          <w:lang w:val="en-NZ"/>
        </w:rPr>
        <w:t xml:space="preserve">clarification from Japan </w:t>
      </w:r>
      <w:r w:rsidR="00B423E0" w:rsidRPr="004635E5">
        <w:rPr>
          <w:sz w:val="22"/>
          <w:szCs w:val="22"/>
          <w:lang w:val="en-NZ"/>
        </w:rPr>
        <w:t xml:space="preserve">regarding </w:t>
      </w:r>
      <w:r w:rsidR="00F6729E" w:rsidRPr="004635E5">
        <w:rPr>
          <w:sz w:val="22"/>
          <w:szCs w:val="22"/>
          <w:lang w:val="en-NZ"/>
        </w:rPr>
        <w:t>their objections.</w:t>
      </w:r>
      <w:r w:rsidRPr="004635E5">
        <w:rPr>
          <w:sz w:val="22"/>
          <w:szCs w:val="22"/>
          <w:lang w:val="en-NZ"/>
        </w:rPr>
        <w:t xml:space="preserve"> Japan</w:t>
      </w:r>
      <w:r w:rsidR="00F6729E" w:rsidRPr="004635E5">
        <w:rPr>
          <w:sz w:val="22"/>
          <w:szCs w:val="22"/>
          <w:lang w:val="en-NZ"/>
        </w:rPr>
        <w:t xml:space="preserve"> reiterated concerns about </w:t>
      </w:r>
      <w:r w:rsidRPr="004635E5">
        <w:rPr>
          <w:sz w:val="22"/>
          <w:szCs w:val="22"/>
          <w:lang w:val="en-NZ"/>
        </w:rPr>
        <w:t>observer</w:t>
      </w:r>
      <w:r w:rsidR="007327DC" w:rsidRPr="004635E5">
        <w:rPr>
          <w:sz w:val="22"/>
          <w:szCs w:val="22"/>
          <w:lang w:val="en-NZ"/>
        </w:rPr>
        <w:t xml:space="preserve">s being </w:t>
      </w:r>
      <w:r w:rsidRPr="004635E5">
        <w:rPr>
          <w:sz w:val="22"/>
          <w:szCs w:val="22"/>
          <w:lang w:val="en-NZ"/>
        </w:rPr>
        <w:t>overworked</w:t>
      </w:r>
      <w:r w:rsidR="00B423E0" w:rsidRPr="004635E5">
        <w:rPr>
          <w:sz w:val="22"/>
          <w:szCs w:val="22"/>
          <w:lang w:val="en-NZ"/>
        </w:rPr>
        <w:t>;</w:t>
      </w:r>
      <w:r w:rsidR="007327DC" w:rsidRPr="004635E5">
        <w:rPr>
          <w:sz w:val="22"/>
          <w:szCs w:val="22"/>
          <w:lang w:val="en-NZ"/>
        </w:rPr>
        <w:t xml:space="preserve"> </w:t>
      </w:r>
      <w:r w:rsidR="00B423E0" w:rsidRPr="004635E5">
        <w:rPr>
          <w:sz w:val="22"/>
          <w:szCs w:val="22"/>
          <w:lang w:val="en-NZ"/>
        </w:rPr>
        <w:t xml:space="preserve">while </w:t>
      </w:r>
      <w:r w:rsidRPr="004635E5">
        <w:rPr>
          <w:sz w:val="22"/>
          <w:szCs w:val="22"/>
          <w:lang w:val="en-NZ"/>
        </w:rPr>
        <w:t xml:space="preserve">not </w:t>
      </w:r>
      <w:r w:rsidR="00B423E0" w:rsidRPr="004635E5">
        <w:rPr>
          <w:sz w:val="22"/>
          <w:szCs w:val="22"/>
          <w:lang w:val="en-NZ"/>
        </w:rPr>
        <w:t xml:space="preserve">opposing </w:t>
      </w:r>
      <w:r w:rsidR="007327DC" w:rsidRPr="004635E5">
        <w:rPr>
          <w:sz w:val="22"/>
          <w:szCs w:val="22"/>
          <w:lang w:val="en-NZ"/>
        </w:rPr>
        <w:t xml:space="preserve">collecting the </w:t>
      </w:r>
      <w:r w:rsidRPr="004635E5">
        <w:rPr>
          <w:sz w:val="22"/>
          <w:szCs w:val="22"/>
          <w:lang w:val="en-NZ"/>
        </w:rPr>
        <w:t xml:space="preserve">data, </w:t>
      </w:r>
      <w:r w:rsidR="00B423E0" w:rsidRPr="004635E5">
        <w:rPr>
          <w:sz w:val="22"/>
          <w:szCs w:val="22"/>
          <w:lang w:val="en-NZ"/>
        </w:rPr>
        <w:t xml:space="preserve">they </w:t>
      </w:r>
      <w:r w:rsidR="007327DC" w:rsidRPr="004635E5">
        <w:rPr>
          <w:sz w:val="22"/>
          <w:szCs w:val="22"/>
          <w:lang w:val="en-NZ"/>
        </w:rPr>
        <w:t xml:space="preserve">suggested </w:t>
      </w:r>
      <w:r w:rsidRPr="004635E5">
        <w:rPr>
          <w:sz w:val="22"/>
          <w:szCs w:val="22"/>
          <w:lang w:val="en-NZ"/>
        </w:rPr>
        <w:t>reconsider</w:t>
      </w:r>
      <w:r w:rsidR="007327DC" w:rsidRPr="004635E5">
        <w:rPr>
          <w:sz w:val="22"/>
          <w:szCs w:val="22"/>
          <w:lang w:val="en-NZ"/>
        </w:rPr>
        <w:t>ing</w:t>
      </w:r>
      <w:r w:rsidRPr="004635E5">
        <w:rPr>
          <w:sz w:val="22"/>
          <w:szCs w:val="22"/>
          <w:lang w:val="en-NZ"/>
        </w:rPr>
        <w:t xml:space="preserve"> </w:t>
      </w:r>
      <w:r w:rsidR="007327DC" w:rsidRPr="004635E5">
        <w:rPr>
          <w:sz w:val="22"/>
          <w:szCs w:val="22"/>
          <w:lang w:val="en-NZ"/>
        </w:rPr>
        <w:t xml:space="preserve">the </w:t>
      </w:r>
      <w:r w:rsidRPr="004635E5">
        <w:rPr>
          <w:sz w:val="22"/>
          <w:szCs w:val="22"/>
          <w:lang w:val="en-NZ"/>
        </w:rPr>
        <w:t>exis</w:t>
      </w:r>
      <w:r w:rsidR="007327DC" w:rsidRPr="004635E5">
        <w:rPr>
          <w:sz w:val="22"/>
          <w:szCs w:val="22"/>
          <w:lang w:val="en-NZ"/>
        </w:rPr>
        <w:t>t</w:t>
      </w:r>
      <w:r w:rsidRPr="004635E5">
        <w:rPr>
          <w:sz w:val="22"/>
          <w:szCs w:val="22"/>
          <w:lang w:val="en-NZ"/>
        </w:rPr>
        <w:t>ing data requirement</w:t>
      </w:r>
      <w:r w:rsidR="007327DC" w:rsidRPr="004635E5">
        <w:rPr>
          <w:sz w:val="22"/>
          <w:szCs w:val="22"/>
          <w:lang w:val="en-NZ"/>
        </w:rPr>
        <w:t>s, so that new</w:t>
      </w:r>
      <w:r w:rsidRPr="004635E5">
        <w:rPr>
          <w:sz w:val="22"/>
          <w:szCs w:val="22"/>
          <w:lang w:val="en-NZ"/>
        </w:rPr>
        <w:t xml:space="preserve"> data collection </w:t>
      </w:r>
      <w:r w:rsidR="007327DC" w:rsidRPr="004635E5">
        <w:rPr>
          <w:sz w:val="22"/>
          <w:szCs w:val="22"/>
          <w:lang w:val="en-NZ"/>
        </w:rPr>
        <w:t xml:space="preserve">could be made possible </w:t>
      </w:r>
      <w:r w:rsidRPr="004635E5">
        <w:rPr>
          <w:sz w:val="22"/>
          <w:szCs w:val="22"/>
          <w:lang w:val="en-NZ"/>
        </w:rPr>
        <w:t xml:space="preserve">without </w:t>
      </w:r>
      <w:r w:rsidR="007327DC" w:rsidRPr="004635E5">
        <w:rPr>
          <w:sz w:val="22"/>
          <w:szCs w:val="22"/>
          <w:lang w:val="en-NZ"/>
        </w:rPr>
        <w:t>jeopardising</w:t>
      </w:r>
      <w:r w:rsidRPr="004635E5">
        <w:rPr>
          <w:sz w:val="22"/>
          <w:szCs w:val="22"/>
          <w:lang w:val="en-NZ"/>
        </w:rPr>
        <w:t xml:space="preserve"> observers</w:t>
      </w:r>
      <w:r w:rsidR="00B423E0" w:rsidRPr="004635E5">
        <w:rPr>
          <w:sz w:val="22"/>
          <w:szCs w:val="22"/>
          <w:lang w:val="en-NZ"/>
        </w:rPr>
        <w:t>’ existing tasks</w:t>
      </w:r>
      <w:r w:rsidRPr="004635E5">
        <w:rPr>
          <w:sz w:val="22"/>
          <w:szCs w:val="22"/>
          <w:lang w:val="en-NZ"/>
        </w:rPr>
        <w:t>.</w:t>
      </w:r>
      <w:r w:rsidR="00ED394D" w:rsidRPr="004635E5">
        <w:rPr>
          <w:sz w:val="22"/>
          <w:szCs w:val="22"/>
          <w:lang w:val="en-NZ"/>
        </w:rPr>
        <w:t xml:space="preserve"> </w:t>
      </w:r>
    </w:p>
    <w:p w14:paraId="2DD56E90" w14:textId="77777777" w:rsidR="00C91D50" w:rsidRPr="004635E5" w:rsidRDefault="00C91D50" w:rsidP="006633A8">
      <w:pPr>
        <w:autoSpaceDE w:val="0"/>
        <w:autoSpaceDN w:val="0"/>
        <w:adjustRightInd w:val="0"/>
        <w:snapToGrid w:val="0"/>
        <w:jc w:val="both"/>
        <w:rPr>
          <w:sz w:val="22"/>
          <w:szCs w:val="22"/>
          <w:lang w:val="en-NZ"/>
        </w:rPr>
      </w:pPr>
    </w:p>
    <w:p w14:paraId="6FFF5709" w14:textId="77777777" w:rsidR="00847EE1" w:rsidRPr="004635E5" w:rsidRDefault="00ED394D"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T</w:t>
      </w:r>
      <w:r w:rsidR="007327DC" w:rsidRPr="004635E5">
        <w:rPr>
          <w:sz w:val="22"/>
          <w:szCs w:val="22"/>
          <w:lang w:val="en-NZ"/>
        </w:rPr>
        <w:t xml:space="preserve">he </w:t>
      </w:r>
      <w:r w:rsidR="00847EE1" w:rsidRPr="004635E5">
        <w:rPr>
          <w:sz w:val="22"/>
          <w:szCs w:val="22"/>
          <w:lang w:val="en-NZ"/>
        </w:rPr>
        <w:t>USA</w:t>
      </w:r>
      <w:r w:rsidR="007327DC" w:rsidRPr="004635E5">
        <w:rPr>
          <w:sz w:val="22"/>
          <w:szCs w:val="22"/>
          <w:lang w:val="en-NZ"/>
        </w:rPr>
        <w:t xml:space="preserve"> </w:t>
      </w:r>
      <w:r w:rsidRPr="004635E5">
        <w:rPr>
          <w:sz w:val="22"/>
          <w:szCs w:val="22"/>
          <w:lang w:val="en-NZ"/>
        </w:rPr>
        <w:t xml:space="preserve">indicated </w:t>
      </w:r>
      <w:r w:rsidR="007327DC" w:rsidRPr="004635E5">
        <w:rPr>
          <w:sz w:val="22"/>
          <w:szCs w:val="22"/>
          <w:lang w:val="en-NZ"/>
        </w:rPr>
        <w:t xml:space="preserve">observers would need to record the </w:t>
      </w:r>
      <w:r w:rsidR="00847EE1" w:rsidRPr="004635E5">
        <w:rPr>
          <w:sz w:val="22"/>
          <w:szCs w:val="22"/>
          <w:lang w:val="en-NZ"/>
        </w:rPr>
        <w:t xml:space="preserve">bait/hook type </w:t>
      </w:r>
      <w:r w:rsidR="007327DC" w:rsidRPr="004635E5">
        <w:rPr>
          <w:sz w:val="22"/>
          <w:szCs w:val="22"/>
          <w:lang w:val="en-NZ"/>
        </w:rPr>
        <w:t xml:space="preserve">and </w:t>
      </w:r>
      <w:r w:rsidR="00847EE1" w:rsidRPr="004635E5">
        <w:rPr>
          <w:sz w:val="22"/>
          <w:szCs w:val="22"/>
          <w:lang w:val="en-NZ"/>
        </w:rPr>
        <w:t>trailing gear</w:t>
      </w:r>
      <w:r w:rsidR="007327DC" w:rsidRPr="004635E5">
        <w:rPr>
          <w:sz w:val="22"/>
          <w:szCs w:val="22"/>
          <w:lang w:val="en-NZ"/>
        </w:rPr>
        <w:t xml:space="preserve">, and that this </w:t>
      </w:r>
      <w:r w:rsidR="00847EE1" w:rsidRPr="004635E5">
        <w:rPr>
          <w:sz w:val="22"/>
          <w:szCs w:val="22"/>
          <w:lang w:val="en-NZ"/>
        </w:rPr>
        <w:t xml:space="preserve">would occur </w:t>
      </w:r>
      <w:r w:rsidRPr="004635E5">
        <w:rPr>
          <w:sz w:val="22"/>
          <w:szCs w:val="22"/>
          <w:lang w:val="en-NZ"/>
        </w:rPr>
        <w:t xml:space="preserve">only occasionally — </w:t>
      </w:r>
      <w:r w:rsidR="007327DC" w:rsidRPr="004635E5">
        <w:rPr>
          <w:sz w:val="22"/>
          <w:szCs w:val="22"/>
          <w:lang w:val="en-NZ"/>
        </w:rPr>
        <w:t xml:space="preserve">once </w:t>
      </w:r>
      <w:r w:rsidR="00847EE1" w:rsidRPr="004635E5">
        <w:rPr>
          <w:sz w:val="22"/>
          <w:szCs w:val="22"/>
          <w:lang w:val="en-NZ"/>
        </w:rPr>
        <w:t xml:space="preserve">every 2 days somewhere in the </w:t>
      </w:r>
      <w:r w:rsidR="007327DC" w:rsidRPr="004635E5">
        <w:rPr>
          <w:sz w:val="22"/>
          <w:szCs w:val="22"/>
          <w:lang w:val="en-NZ"/>
        </w:rPr>
        <w:t>Pacific, for a</w:t>
      </w:r>
      <w:r w:rsidR="00847EE1" w:rsidRPr="004635E5">
        <w:rPr>
          <w:sz w:val="22"/>
          <w:szCs w:val="22"/>
          <w:lang w:val="en-NZ"/>
        </w:rPr>
        <w:t xml:space="preserve"> total </w:t>
      </w:r>
      <w:r w:rsidR="007327DC" w:rsidRPr="004635E5">
        <w:rPr>
          <w:sz w:val="22"/>
          <w:szCs w:val="22"/>
          <w:lang w:val="en-NZ"/>
        </w:rPr>
        <w:t xml:space="preserve">of about </w:t>
      </w:r>
      <w:r w:rsidR="00847EE1" w:rsidRPr="004635E5">
        <w:rPr>
          <w:sz w:val="22"/>
          <w:szCs w:val="22"/>
          <w:lang w:val="en-NZ"/>
        </w:rPr>
        <w:t>180</w:t>
      </w:r>
      <w:r w:rsidR="007327DC" w:rsidRPr="004635E5">
        <w:rPr>
          <w:sz w:val="22"/>
          <w:szCs w:val="22"/>
          <w:lang w:val="en-NZ"/>
        </w:rPr>
        <w:t xml:space="preserve"> instances per year</w:t>
      </w:r>
      <w:r w:rsidR="00847EE1" w:rsidRPr="004635E5">
        <w:rPr>
          <w:sz w:val="22"/>
          <w:szCs w:val="22"/>
          <w:lang w:val="en-NZ"/>
        </w:rPr>
        <w:t>.</w:t>
      </w:r>
      <w:r w:rsidRPr="004635E5">
        <w:rPr>
          <w:sz w:val="22"/>
          <w:szCs w:val="22"/>
          <w:lang w:val="en-NZ"/>
        </w:rPr>
        <w:t xml:space="preserve"> </w:t>
      </w:r>
      <w:r w:rsidR="00633679" w:rsidRPr="004635E5">
        <w:rPr>
          <w:sz w:val="22"/>
          <w:szCs w:val="22"/>
          <w:lang w:val="en-NZ"/>
        </w:rPr>
        <w:t>Solomon Islands</w:t>
      </w:r>
      <w:r w:rsidRPr="004635E5">
        <w:rPr>
          <w:sz w:val="22"/>
          <w:szCs w:val="22"/>
          <w:lang w:val="en-NZ"/>
        </w:rPr>
        <w:t xml:space="preserve"> reiterated the lack of support on the part of </w:t>
      </w:r>
      <w:r w:rsidR="00633679" w:rsidRPr="004635E5">
        <w:rPr>
          <w:sz w:val="22"/>
          <w:szCs w:val="22"/>
        </w:rPr>
        <w:t xml:space="preserve">PNA members for </w:t>
      </w:r>
      <w:r w:rsidRPr="004635E5">
        <w:rPr>
          <w:sz w:val="22"/>
          <w:szCs w:val="22"/>
        </w:rPr>
        <w:t xml:space="preserve">the proposal. </w:t>
      </w:r>
      <w:r w:rsidR="00446682" w:rsidRPr="004635E5">
        <w:rPr>
          <w:sz w:val="22"/>
          <w:szCs w:val="22"/>
        </w:rPr>
        <w:t xml:space="preserve">They </w:t>
      </w:r>
      <w:r w:rsidR="00633679" w:rsidRPr="004635E5">
        <w:rPr>
          <w:sz w:val="22"/>
          <w:szCs w:val="22"/>
        </w:rPr>
        <w:t>appreciate</w:t>
      </w:r>
      <w:r w:rsidR="00446682" w:rsidRPr="004635E5">
        <w:rPr>
          <w:sz w:val="22"/>
          <w:szCs w:val="22"/>
        </w:rPr>
        <w:t>d</w:t>
      </w:r>
      <w:r w:rsidR="00633679" w:rsidRPr="004635E5">
        <w:rPr>
          <w:sz w:val="22"/>
          <w:szCs w:val="22"/>
        </w:rPr>
        <w:t xml:space="preserve"> the work </w:t>
      </w:r>
      <w:r w:rsidRPr="004635E5">
        <w:rPr>
          <w:sz w:val="22"/>
          <w:szCs w:val="22"/>
        </w:rPr>
        <w:t xml:space="preserve">by </w:t>
      </w:r>
      <w:r w:rsidR="00633679" w:rsidRPr="004635E5">
        <w:rPr>
          <w:sz w:val="22"/>
          <w:szCs w:val="22"/>
        </w:rPr>
        <w:t>the US</w:t>
      </w:r>
      <w:r w:rsidR="00202EA7">
        <w:rPr>
          <w:rFonts w:eastAsiaTheme="minorEastAsia" w:hint="eastAsia"/>
          <w:sz w:val="22"/>
          <w:szCs w:val="22"/>
          <w:lang w:eastAsia="ko-KR"/>
        </w:rPr>
        <w:t>A</w:t>
      </w:r>
      <w:r w:rsidR="00633679" w:rsidRPr="004635E5">
        <w:rPr>
          <w:sz w:val="22"/>
          <w:szCs w:val="22"/>
        </w:rPr>
        <w:t xml:space="preserve"> to clarify what would be required</w:t>
      </w:r>
      <w:r w:rsidRPr="004635E5">
        <w:rPr>
          <w:sz w:val="22"/>
          <w:szCs w:val="22"/>
        </w:rPr>
        <w:t xml:space="preserve">, </w:t>
      </w:r>
      <w:r w:rsidR="00633679" w:rsidRPr="004635E5">
        <w:rPr>
          <w:sz w:val="22"/>
          <w:szCs w:val="22"/>
        </w:rPr>
        <w:t>look</w:t>
      </w:r>
      <w:r w:rsidRPr="004635E5">
        <w:rPr>
          <w:sz w:val="22"/>
          <w:szCs w:val="22"/>
        </w:rPr>
        <w:t>ed</w:t>
      </w:r>
      <w:r w:rsidR="00633679" w:rsidRPr="004635E5">
        <w:rPr>
          <w:sz w:val="22"/>
          <w:szCs w:val="22"/>
        </w:rPr>
        <w:t xml:space="preserve"> forward to ongoing discussions </w:t>
      </w:r>
      <w:r w:rsidRPr="004635E5">
        <w:rPr>
          <w:sz w:val="22"/>
          <w:szCs w:val="22"/>
        </w:rPr>
        <w:t xml:space="preserve">as supported by Japan </w:t>
      </w:r>
      <w:r w:rsidR="00633679" w:rsidRPr="004635E5">
        <w:rPr>
          <w:sz w:val="22"/>
          <w:szCs w:val="22"/>
        </w:rPr>
        <w:t>and China</w:t>
      </w:r>
      <w:r w:rsidRPr="004635E5">
        <w:rPr>
          <w:sz w:val="22"/>
          <w:szCs w:val="22"/>
        </w:rPr>
        <w:t xml:space="preserve"> to ensure</w:t>
      </w:r>
      <w:r w:rsidR="00633679" w:rsidRPr="004635E5">
        <w:rPr>
          <w:sz w:val="22"/>
          <w:szCs w:val="22"/>
        </w:rPr>
        <w:t xml:space="preserve"> data is collected through the most appropriate means.</w:t>
      </w:r>
      <w:r w:rsidR="00633679" w:rsidRPr="004635E5">
        <w:rPr>
          <w:sz w:val="22"/>
          <w:szCs w:val="22"/>
          <w:lang w:val="en-NZ"/>
        </w:rPr>
        <w:t xml:space="preserve"> </w:t>
      </w:r>
      <w:r w:rsidR="00847EE1" w:rsidRPr="004635E5">
        <w:rPr>
          <w:sz w:val="22"/>
          <w:szCs w:val="22"/>
          <w:lang w:val="en-NZ"/>
        </w:rPr>
        <w:t>Japan</w:t>
      </w:r>
      <w:r w:rsidR="00446682" w:rsidRPr="004635E5">
        <w:rPr>
          <w:sz w:val="22"/>
          <w:szCs w:val="22"/>
          <w:lang w:val="en-NZ"/>
        </w:rPr>
        <w:t xml:space="preserve"> further stated that they had concerns regarding the </w:t>
      </w:r>
      <w:r w:rsidR="00847EE1" w:rsidRPr="004635E5">
        <w:rPr>
          <w:sz w:val="22"/>
          <w:szCs w:val="22"/>
          <w:lang w:val="en-NZ"/>
        </w:rPr>
        <w:t>effectiveness of circle hook on to</w:t>
      </w:r>
      <w:r w:rsidR="00446682" w:rsidRPr="004635E5">
        <w:rPr>
          <w:sz w:val="22"/>
          <w:szCs w:val="22"/>
          <w:lang w:val="en-NZ"/>
        </w:rPr>
        <w:t>t</w:t>
      </w:r>
      <w:r w:rsidR="00847EE1" w:rsidRPr="004635E5">
        <w:rPr>
          <w:sz w:val="22"/>
          <w:szCs w:val="22"/>
          <w:lang w:val="en-NZ"/>
        </w:rPr>
        <w:t xml:space="preserve">al catch, and for </w:t>
      </w:r>
      <w:r w:rsidR="00446682" w:rsidRPr="004635E5">
        <w:rPr>
          <w:sz w:val="22"/>
          <w:szCs w:val="22"/>
          <w:lang w:val="en-NZ"/>
        </w:rPr>
        <w:t xml:space="preserve">the </w:t>
      </w:r>
      <w:r w:rsidR="00847EE1" w:rsidRPr="004635E5">
        <w:rPr>
          <w:sz w:val="22"/>
          <w:szCs w:val="22"/>
          <w:lang w:val="en-NZ"/>
        </w:rPr>
        <w:t>catch rate</w:t>
      </w:r>
      <w:r w:rsidR="00446682" w:rsidRPr="004635E5">
        <w:rPr>
          <w:sz w:val="22"/>
          <w:szCs w:val="22"/>
          <w:lang w:val="en-NZ"/>
        </w:rPr>
        <w:t>s</w:t>
      </w:r>
      <w:r w:rsidR="00847EE1" w:rsidRPr="004635E5">
        <w:rPr>
          <w:sz w:val="22"/>
          <w:szCs w:val="22"/>
          <w:lang w:val="en-NZ"/>
        </w:rPr>
        <w:t xml:space="preserve"> of other species.</w:t>
      </w:r>
    </w:p>
    <w:p w14:paraId="31BAF479" w14:textId="77777777" w:rsidR="00C91D50" w:rsidRPr="004635E5" w:rsidRDefault="00C91D50" w:rsidP="006633A8">
      <w:pPr>
        <w:autoSpaceDE w:val="0"/>
        <w:autoSpaceDN w:val="0"/>
        <w:adjustRightInd w:val="0"/>
        <w:snapToGrid w:val="0"/>
        <w:jc w:val="both"/>
        <w:rPr>
          <w:sz w:val="22"/>
          <w:szCs w:val="22"/>
          <w:lang w:val="en-NZ"/>
        </w:rPr>
      </w:pPr>
    </w:p>
    <w:p w14:paraId="6C4197B4" w14:textId="77777777" w:rsidR="00847EE1" w:rsidRPr="004635E5" w:rsidRDefault="00446682"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The </w:t>
      </w:r>
      <w:r w:rsidR="00847EE1" w:rsidRPr="004635E5">
        <w:rPr>
          <w:sz w:val="22"/>
          <w:szCs w:val="22"/>
          <w:lang w:val="en-NZ"/>
        </w:rPr>
        <w:t>USA</w:t>
      </w:r>
      <w:r w:rsidRPr="004635E5">
        <w:rPr>
          <w:sz w:val="22"/>
          <w:szCs w:val="22"/>
          <w:lang w:val="en-NZ"/>
        </w:rPr>
        <w:t xml:space="preserve"> </w:t>
      </w:r>
      <w:r w:rsidR="00847EE1" w:rsidRPr="004635E5">
        <w:rPr>
          <w:sz w:val="22"/>
          <w:szCs w:val="22"/>
          <w:lang w:val="en-NZ"/>
        </w:rPr>
        <w:t>propose</w:t>
      </w:r>
      <w:r w:rsidRPr="004635E5">
        <w:rPr>
          <w:sz w:val="22"/>
          <w:szCs w:val="22"/>
          <w:lang w:val="en-NZ"/>
        </w:rPr>
        <w:t>d</w:t>
      </w:r>
      <w:r w:rsidR="00847EE1" w:rsidRPr="004635E5">
        <w:rPr>
          <w:sz w:val="22"/>
          <w:szCs w:val="22"/>
          <w:lang w:val="en-NZ"/>
        </w:rPr>
        <w:t xml:space="preserve"> </w:t>
      </w:r>
      <w:r w:rsidRPr="004635E5">
        <w:rPr>
          <w:sz w:val="22"/>
          <w:szCs w:val="22"/>
          <w:lang w:val="en-NZ"/>
        </w:rPr>
        <w:t xml:space="preserve">to undertake further intercessional </w:t>
      </w:r>
      <w:r w:rsidR="00847EE1" w:rsidRPr="004635E5">
        <w:rPr>
          <w:sz w:val="22"/>
          <w:szCs w:val="22"/>
          <w:lang w:val="en-NZ"/>
        </w:rPr>
        <w:t>discuss</w:t>
      </w:r>
      <w:r w:rsidRPr="004635E5">
        <w:rPr>
          <w:sz w:val="22"/>
          <w:szCs w:val="22"/>
          <w:lang w:val="en-NZ"/>
        </w:rPr>
        <w:t>ions</w:t>
      </w:r>
      <w:r w:rsidR="00847EE1" w:rsidRPr="004635E5">
        <w:rPr>
          <w:sz w:val="22"/>
          <w:szCs w:val="22"/>
          <w:lang w:val="en-NZ"/>
        </w:rPr>
        <w:t xml:space="preserve"> and </w:t>
      </w:r>
      <w:r w:rsidR="00202EA7">
        <w:rPr>
          <w:sz w:val="22"/>
          <w:szCs w:val="22"/>
          <w:lang w:val="en-NZ"/>
        </w:rPr>
        <w:t xml:space="preserve">bring </w:t>
      </w:r>
      <w:r w:rsidR="00202EA7" w:rsidRPr="004635E5">
        <w:rPr>
          <w:sz w:val="22"/>
          <w:szCs w:val="22"/>
          <w:lang w:val="en-NZ"/>
        </w:rPr>
        <w:t xml:space="preserve">a </w:t>
      </w:r>
      <w:r w:rsidRPr="004635E5">
        <w:rPr>
          <w:sz w:val="22"/>
          <w:szCs w:val="22"/>
          <w:lang w:val="en-NZ"/>
        </w:rPr>
        <w:t xml:space="preserve">proposal </w:t>
      </w:r>
      <w:r w:rsidR="00847EE1" w:rsidRPr="004635E5">
        <w:rPr>
          <w:sz w:val="22"/>
          <w:szCs w:val="22"/>
          <w:lang w:val="en-NZ"/>
        </w:rPr>
        <w:t>to TCC</w:t>
      </w:r>
      <w:r w:rsidR="00837078" w:rsidRPr="004635E5">
        <w:rPr>
          <w:sz w:val="22"/>
          <w:szCs w:val="22"/>
          <w:lang w:val="en-NZ"/>
        </w:rPr>
        <w:t>.</w:t>
      </w:r>
    </w:p>
    <w:p w14:paraId="2B65B4C0" w14:textId="77777777" w:rsidR="00C91D50" w:rsidRPr="004635E5" w:rsidRDefault="00C91D50" w:rsidP="006633A8">
      <w:pPr>
        <w:autoSpaceDE w:val="0"/>
        <w:autoSpaceDN w:val="0"/>
        <w:adjustRightInd w:val="0"/>
        <w:snapToGrid w:val="0"/>
        <w:jc w:val="both"/>
        <w:rPr>
          <w:sz w:val="22"/>
          <w:szCs w:val="22"/>
          <w:lang w:val="en-NZ"/>
        </w:rPr>
      </w:pPr>
    </w:p>
    <w:p w14:paraId="77D3F400" w14:textId="77777777" w:rsidR="00575D1C" w:rsidRPr="004635E5" w:rsidRDefault="00575D1C" w:rsidP="00580EA4">
      <w:pPr>
        <w:pStyle w:val="SC2"/>
        <w:numPr>
          <w:ilvl w:val="1"/>
          <w:numId w:val="161"/>
        </w:numPr>
        <w:spacing w:after="0"/>
        <w:ind w:left="0" w:firstLine="0"/>
      </w:pPr>
      <w:r w:rsidRPr="004635E5">
        <w:t>Electronic Reporting</w:t>
      </w:r>
      <w:r w:rsidR="004D35A4" w:rsidRPr="004635E5">
        <w:t xml:space="preserve"> and Electronic Monitoring</w:t>
      </w:r>
    </w:p>
    <w:p w14:paraId="1944A46E" w14:textId="77777777" w:rsidR="00C91D50" w:rsidRPr="004635E5" w:rsidRDefault="00C91D50" w:rsidP="006633A8">
      <w:pPr>
        <w:pStyle w:val="SC2"/>
        <w:numPr>
          <w:ilvl w:val="0"/>
          <w:numId w:val="0"/>
        </w:numPr>
        <w:spacing w:after="0"/>
        <w:ind w:left="720"/>
      </w:pPr>
    </w:p>
    <w:p w14:paraId="7964D052" w14:textId="77777777" w:rsidR="00120872" w:rsidRPr="004635E5" w:rsidRDefault="00202EA7"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Pr>
          <w:rFonts w:eastAsiaTheme="minorEastAsia"/>
          <w:sz w:val="22"/>
          <w:szCs w:val="22"/>
          <w:lang w:eastAsia="ko-KR"/>
        </w:rPr>
        <w:t>K. Smith, Chair of the E-reporting and E-monitoring working group (ERandEM WG), provided a summary of outcomes from the 3</w:t>
      </w:r>
      <w:r w:rsidRPr="001D3216">
        <w:rPr>
          <w:rFonts w:eastAsiaTheme="minorEastAsia"/>
          <w:sz w:val="22"/>
          <w:szCs w:val="22"/>
          <w:vertAlign w:val="superscript"/>
          <w:lang w:eastAsia="ko-KR"/>
        </w:rPr>
        <w:t>rd</w:t>
      </w:r>
      <w:r>
        <w:rPr>
          <w:rFonts w:eastAsiaTheme="minorEastAsia"/>
          <w:sz w:val="22"/>
          <w:szCs w:val="22"/>
          <w:lang w:eastAsia="ko-KR"/>
        </w:rPr>
        <w:t xml:space="preserve"> meeting of the ERandEM WG, </w:t>
      </w:r>
      <w:r w:rsidRPr="004635E5">
        <w:rPr>
          <w:rFonts w:eastAsiaTheme="minorEastAsia"/>
          <w:sz w:val="22"/>
          <w:szCs w:val="22"/>
          <w:lang w:eastAsia="ko-KR"/>
        </w:rPr>
        <w:t>which met immediately before SC14</w:t>
      </w:r>
      <w:r w:rsidR="003C4F96" w:rsidRPr="004635E5">
        <w:rPr>
          <w:rFonts w:eastAsiaTheme="minorEastAsia"/>
          <w:sz w:val="22"/>
          <w:szCs w:val="22"/>
          <w:lang w:eastAsia="ko-KR"/>
        </w:rPr>
        <w:t>.</w:t>
      </w:r>
      <w:r w:rsidR="002E5A0D" w:rsidRPr="004635E5">
        <w:rPr>
          <w:rFonts w:eastAsiaTheme="minorEastAsia"/>
          <w:sz w:val="22"/>
          <w:szCs w:val="22"/>
          <w:lang w:eastAsia="ko-KR"/>
        </w:rPr>
        <w:t xml:space="preserve"> </w:t>
      </w:r>
    </w:p>
    <w:p w14:paraId="2B98DB1E" w14:textId="77777777" w:rsidR="00C91D50" w:rsidRPr="004635E5" w:rsidRDefault="00C91D50" w:rsidP="006633A8">
      <w:pPr>
        <w:adjustRightInd w:val="0"/>
        <w:snapToGrid w:val="0"/>
        <w:jc w:val="both"/>
        <w:rPr>
          <w:rFonts w:eastAsiaTheme="minorEastAsia"/>
          <w:b/>
          <w:sz w:val="22"/>
          <w:szCs w:val="22"/>
          <w:lang w:val="en-NZ" w:eastAsia="ko-KR"/>
        </w:rPr>
      </w:pPr>
    </w:p>
    <w:p w14:paraId="221AD528" w14:textId="77777777" w:rsidR="00120872" w:rsidRPr="004635E5" w:rsidRDefault="00F42C43" w:rsidP="006633A8">
      <w:pPr>
        <w:adjustRightInd w:val="0"/>
        <w:snapToGrid w:val="0"/>
        <w:jc w:val="both"/>
        <w:rPr>
          <w:rFonts w:eastAsiaTheme="minorEastAsia"/>
          <w:sz w:val="22"/>
          <w:szCs w:val="22"/>
          <w:lang w:val="en-NZ" w:eastAsia="ko-KR"/>
        </w:rPr>
      </w:pPr>
      <w:r w:rsidRPr="004635E5">
        <w:rPr>
          <w:rFonts w:eastAsiaTheme="minorEastAsia"/>
          <w:b/>
          <w:sz w:val="22"/>
          <w:szCs w:val="22"/>
          <w:lang w:val="en-NZ" w:eastAsia="ko-KR"/>
        </w:rPr>
        <w:t>Discussion</w:t>
      </w:r>
      <w:r w:rsidRPr="004635E5">
        <w:rPr>
          <w:rFonts w:eastAsiaTheme="minorEastAsia"/>
          <w:sz w:val="22"/>
          <w:szCs w:val="22"/>
          <w:lang w:val="en-NZ" w:eastAsia="ko-KR"/>
        </w:rPr>
        <w:t xml:space="preserve"> </w:t>
      </w:r>
    </w:p>
    <w:p w14:paraId="7A702F67" w14:textId="77777777" w:rsidR="00C91D50" w:rsidRPr="004635E5" w:rsidRDefault="00C91D50" w:rsidP="006633A8">
      <w:pPr>
        <w:adjustRightInd w:val="0"/>
        <w:snapToGrid w:val="0"/>
        <w:jc w:val="both"/>
        <w:rPr>
          <w:rFonts w:eastAsiaTheme="minorEastAsia"/>
          <w:sz w:val="22"/>
          <w:szCs w:val="22"/>
          <w:lang w:val="en-NZ" w:eastAsia="ko-KR"/>
        </w:rPr>
      </w:pPr>
    </w:p>
    <w:p w14:paraId="3CD77462" w14:textId="77777777" w:rsidR="00364385" w:rsidRPr="004635E5" w:rsidRDefault="007E2881"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In response to a query from </w:t>
      </w:r>
      <w:r w:rsidR="00F42C43" w:rsidRPr="004635E5">
        <w:rPr>
          <w:rFonts w:eastAsiaTheme="minorEastAsia"/>
          <w:sz w:val="22"/>
          <w:szCs w:val="22"/>
          <w:lang w:val="en-NZ" w:eastAsia="ko-KR"/>
        </w:rPr>
        <w:t>Japan</w:t>
      </w:r>
      <w:r w:rsidR="00120872" w:rsidRPr="004635E5">
        <w:rPr>
          <w:rFonts w:eastAsiaTheme="minorEastAsia"/>
          <w:sz w:val="22"/>
          <w:szCs w:val="22"/>
          <w:lang w:val="en-NZ" w:eastAsia="ko-KR"/>
        </w:rPr>
        <w:t xml:space="preserve"> </w:t>
      </w:r>
      <w:r w:rsidR="009523BC" w:rsidRPr="004635E5">
        <w:rPr>
          <w:rFonts w:eastAsiaTheme="minorEastAsia"/>
          <w:sz w:val="22"/>
          <w:szCs w:val="22"/>
          <w:lang w:val="en-NZ" w:eastAsia="ko-KR"/>
        </w:rPr>
        <w:t>the presenter confirmed that that the o</w:t>
      </w:r>
      <w:r w:rsidR="00F42C43" w:rsidRPr="004635E5">
        <w:rPr>
          <w:rFonts w:eastAsiaTheme="minorEastAsia"/>
          <w:sz w:val="22"/>
          <w:szCs w:val="22"/>
          <w:lang w:val="en-NZ" w:eastAsia="ko-KR"/>
        </w:rPr>
        <w:t>utcomes doc</w:t>
      </w:r>
      <w:r w:rsidR="009523BC" w:rsidRPr="004635E5">
        <w:rPr>
          <w:rFonts w:eastAsiaTheme="minorEastAsia"/>
          <w:sz w:val="22"/>
          <w:szCs w:val="22"/>
          <w:lang w:val="en-NZ" w:eastAsia="ko-KR"/>
        </w:rPr>
        <w:t>ument was</w:t>
      </w:r>
      <w:r w:rsidR="00F42C43" w:rsidRPr="004635E5">
        <w:rPr>
          <w:rFonts w:eastAsiaTheme="minorEastAsia"/>
          <w:sz w:val="22"/>
          <w:szCs w:val="22"/>
          <w:lang w:val="en-NZ" w:eastAsia="ko-KR"/>
        </w:rPr>
        <w:t xml:space="preserve"> available, </w:t>
      </w:r>
      <w:r w:rsidR="009523BC" w:rsidRPr="004635E5">
        <w:rPr>
          <w:rFonts w:eastAsiaTheme="minorEastAsia"/>
          <w:sz w:val="22"/>
          <w:szCs w:val="22"/>
          <w:lang w:val="en-NZ" w:eastAsia="ko-KR"/>
        </w:rPr>
        <w:t xml:space="preserve">and that the </w:t>
      </w:r>
      <w:r w:rsidR="00F42C43" w:rsidRPr="004635E5">
        <w:rPr>
          <w:rFonts w:eastAsiaTheme="minorEastAsia"/>
          <w:sz w:val="22"/>
          <w:szCs w:val="22"/>
          <w:lang w:val="en-NZ" w:eastAsia="ko-KR"/>
        </w:rPr>
        <w:t xml:space="preserve">full paper </w:t>
      </w:r>
      <w:r w:rsidR="009523BC" w:rsidRPr="004635E5">
        <w:rPr>
          <w:rFonts w:eastAsiaTheme="minorEastAsia"/>
          <w:sz w:val="22"/>
          <w:szCs w:val="22"/>
          <w:lang w:val="en-NZ" w:eastAsia="ko-KR"/>
        </w:rPr>
        <w:t>would be shortly</w:t>
      </w:r>
      <w:r w:rsidR="00F42C43" w:rsidRPr="004635E5">
        <w:rPr>
          <w:rFonts w:eastAsiaTheme="minorEastAsia"/>
          <w:sz w:val="22"/>
          <w:szCs w:val="22"/>
          <w:lang w:val="en-NZ" w:eastAsia="ko-KR"/>
        </w:rPr>
        <w:t xml:space="preserve">. </w:t>
      </w:r>
      <w:r w:rsidR="005476D8" w:rsidRPr="004635E5">
        <w:rPr>
          <w:rFonts w:eastAsiaTheme="minorEastAsia"/>
          <w:sz w:val="22"/>
          <w:szCs w:val="22"/>
          <w:lang w:val="en-NZ" w:eastAsia="ko-KR"/>
        </w:rPr>
        <w:t xml:space="preserve">They </w:t>
      </w:r>
      <w:r w:rsidR="009523BC" w:rsidRPr="004635E5">
        <w:rPr>
          <w:rFonts w:eastAsiaTheme="minorEastAsia"/>
          <w:sz w:val="22"/>
          <w:szCs w:val="22"/>
          <w:lang w:val="en-NZ" w:eastAsia="ko-KR"/>
        </w:rPr>
        <w:t xml:space="preserve">stated that they sought </w:t>
      </w:r>
      <w:r w:rsidR="00F42C43" w:rsidRPr="004635E5">
        <w:rPr>
          <w:rFonts w:eastAsiaTheme="minorEastAsia"/>
          <w:sz w:val="22"/>
          <w:szCs w:val="22"/>
          <w:lang w:val="en-NZ" w:eastAsia="ko-KR"/>
        </w:rPr>
        <w:t xml:space="preserve">general </w:t>
      </w:r>
      <w:r w:rsidR="009523BC" w:rsidRPr="004635E5">
        <w:rPr>
          <w:rFonts w:eastAsiaTheme="minorEastAsia"/>
          <w:sz w:val="22"/>
          <w:szCs w:val="22"/>
          <w:lang w:val="en-NZ" w:eastAsia="ko-KR"/>
        </w:rPr>
        <w:t xml:space="preserve">advice about </w:t>
      </w:r>
      <w:r w:rsidR="009523BC" w:rsidRPr="00D70754">
        <w:rPr>
          <w:rFonts w:eastAsiaTheme="minorEastAsia"/>
          <w:sz w:val="22"/>
          <w:szCs w:val="22"/>
          <w:lang w:val="en-NZ" w:eastAsia="ko-KR"/>
        </w:rPr>
        <w:t>data needs analysis</w:t>
      </w:r>
      <w:r w:rsidR="009523BC" w:rsidRPr="004635E5">
        <w:rPr>
          <w:rFonts w:eastAsiaTheme="minorEastAsia"/>
          <w:sz w:val="22"/>
          <w:szCs w:val="22"/>
          <w:lang w:val="en-NZ" w:eastAsia="ko-KR"/>
        </w:rPr>
        <w:t xml:space="preserve"> to inform which tools should be used for </w:t>
      </w:r>
      <w:r w:rsidR="00F42C43" w:rsidRPr="004635E5">
        <w:rPr>
          <w:rFonts w:eastAsiaTheme="minorEastAsia"/>
          <w:sz w:val="22"/>
          <w:szCs w:val="22"/>
          <w:lang w:val="en-NZ" w:eastAsia="ko-KR"/>
        </w:rPr>
        <w:t>submission of data</w:t>
      </w:r>
      <w:r w:rsidR="009523BC" w:rsidRPr="004635E5">
        <w:rPr>
          <w:rFonts w:eastAsiaTheme="minorEastAsia"/>
          <w:sz w:val="22"/>
          <w:szCs w:val="22"/>
          <w:lang w:val="en-NZ" w:eastAsia="ko-KR"/>
        </w:rPr>
        <w:t xml:space="preserve">, and information regarding areas where </w:t>
      </w:r>
      <w:r w:rsidR="000C428B" w:rsidRPr="004635E5">
        <w:rPr>
          <w:rFonts w:eastAsiaTheme="minorEastAsia"/>
          <w:sz w:val="22"/>
          <w:szCs w:val="22"/>
          <w:lang w:val="en-NZ" w:eastAsia="ko-KR"/>
        </w:rPr>
        <w:t>e-</w:t>
      </w:r>
      <w:r w:rsidR="00F42C43" w:rsidRPr="004635E5">
        <w:rPr>
          <w:rFonts w:eastAsiaTheme="minorEastAsia"/>
          <w:sz w:val="22"/>
          <w:szCs w:val="22"/>
          <w:lang w:val="en-NZ" w:eastAsia="ko-KR"/>
        </w:rPr>
        <w:t>monitoring coul</w:t>
      </w:r>
      <w:r w:rsidR="009523BC" w:rsidRPr="004635E5">
        <w:rPr>
          <w:rFonts w:eastAsiaTheme="minorEastAsia"/>
          <w:sz w:val="22"/>
          <w:szCs w:val="22"/>
          <w:lang w:val="en-NZ" w:eastAsia="ko-KR"/>
        </w:rPr>
        <w:t>d</w:t>
      </w:r>
      <w:r w:rsidR="00F42C43" w:rsidRPr="004635E5">
        <w:rPr>
          <w:rFonts w:eastAsiaTheme="minorEastAsia"/>
          <w:sz w:val="22"/>
          <w:szCs w:val="22"/>
          <w:lang w:val="en-NZ" w:eastAsia="ko-KR"/>
        </w:rPr>
        <w:t xml:space="preserve"> be used </w:t>
      </w:r>
      <w:r w:rsidR="009523BC" w:rsidRPr="004635E5">
        <w:rPr>
          <w:rFonts w:eastAsiaTheme="minorEastAsia"/>
          <w:sz w:val="22"/>
          <w:szCs w:val="22"/>
          <w:lang w:val="en-NZ" w:eastAsia="ko-KR"/>
        </w:rPr>
        <w:t xml:space="preserve">to supplement </w:t>
      </w:r>
      <w:r w:rsidR="004C7A0C" w:rsidRPr="004635E5">
        <w:rPr>
          <w:rFonts w:eastAsiaTheme="minorEastAsia"/>
          <w:sz w:val="22"/>
          <w:szCs w:val="22"/>
          <w:lang w:val="en-NZ" w:eastAsia="ko-KR"/>
        </w:rPr>
        <w:t>exis</w:t>
      </w:r>
      <w:r w:rsidR="009523BC" w:rsidRPr="004635E5">
        <w:rPr>
          <w:rFonts w:eastAsiaTheme="minorEastAsia"/>
          <w:sz w:val="22"/>
          <w:szCs w:val="22"/>
          <w:lang w:val="en-NZ" w:eastAsia="ko-KR"/>
        </w:rPr>
        <w:t xml:space="preserve">ting </w:t>
      </w:r>
      <w:r w:rsidR="004C7A0C" w:rsidRPr="004635E5">
        <w:rPr>
          <w:rFonts w:eastAsiaTheme="minorEastAsia"/>
          <w:sz w:val="22"/>
          <w:szCs w:val="22"/>
          <w:lang w:val="en-NZ" w:eastAsia="ko-KR"/>
        </w:rPr>
        <w:t>low data collec</w:t>
      </w:r>
      <w:r w:rsidR="00F42C43" w:rsidRPr="004635E5">
        <w:rPr>
          <w:rFonts w:eastAsiaTheme="minorEastAsia"/>
          <w:sz w:val="22"/>
          <w:szCs w:val="22"/>
          <w:lang w:val="en-NZ" w:eastAsia="ko-KR"/>
        </w:rPr>
        <w:t>tion.</w:t>
      </w:r>
      <w:r w:rsidR="004C7A0C" w:rsidRPr="004635E5">
        <w:rPr>
          <w:rFonts w:eastAsiaTheme="minorEastAsia"/>
          <w:sz w:val="22"/>
          <w:szCs w:val="22"/>
          <w:lang w:val="en-NZ" w:eastAsia="ko-KR"/>
        </w:rPr>
        <w:t xml:space="preserve"> </w:t>
      </w:r>
      <w:r w:rsidR="007A5039" w:rsidRPr="004635E5">
        <w:rPr>
          <w:rFonts w:eastAsiaTheme="minorEastAsia"/>
          <w:sz w:val="22"/>
          <w:szCs w:val="22"/>
          <w:lang w:val="en-NZ" w:eastAsia="ko-KR"/>
        </w:rPr>
        <w:t xml:space="preserve">In the ensuing discussion, Nauru, on behalf of PNA and FFA members, </w:t>
      </w:r>
      <w:r w:rsidR="00364385" w:rsidRPr="004635E5">
        <w:rPr>
          <w:rFonts w:eastAsiaTheme="minorEastAsia"/>
          <w:sz w:val="22"/>
          <w:szCs w:val="22"/>
          <w:lang w:val="en-NZ" w:eastAsia="ko-KR"/>
        </w:rPr>
        <w:t>and supported by the Cook Islands</w:t>
      </w:r>
      <w:r w:rsidR="000075BC" w:rsidRPr="004635E5">
        <w:rPr>
          <w:rFonts w:eastAsiaTheme="minorEastAsia"/>
          <w:sz w:val="22"/>
          <w:szCs w:val="22"/>
          <w:lang w:val="en-NZ" w:eastAsia="ko-KR"/>
        </w:rPr>
        <w:t xml:space="preserve"> and Fiji</w:t>
      </w:r>
      <w:r w:rsidR="00364385" w:rsidRPr="004635E5">
        <w:rPr>
          <w:rFonts w:eastAsiaTheme="minorEastAsia"/>
          <w:sz w:val="22"/>
          <w:szCs w:val="22"/>
          <w:lang w:val="en-NZ" w:eastAsia="ko-KR"/>
        </w:rPr>
        <w:t xml:space="preserve">, </w:t>
      </w:r>
      <w:r w:rsidR="007A5039" w:rsidRPr="004635E5">
        <w:rPr>
          <w:rFonts w:eastAsiaTheme="minorEastAsia"/>
          <w:sz w:val="22"/>
          <w:szCs w:val="22"/>
          <w:lang w:val="en-NZ" w:eastAsia="ko-KR"/>
        </w:rPr>
        <w:t xml:space="preserve">noted their </w:t>
      </w:r>
      <w:r w:rsidR="007A5039" w:rsidRPr="004635E5">
        <w:rPr>
          <w:rFonts w:eastAsiaTheme="minorEastAsia"/>
          <w:sz w:val="22"/>
          <w:szCs w:val="22"/>
          <w:lang w:eastAsia="ko-KR"/>
        </w:rPr>
        <w:t xml:space="preserve">calls for a review of EM requirements, what data would be collected, and what it would be used for. </w:t>
      </w:r>
      <w:r w:rsidR="00364385" w:rsidRPr="004635E5">
        <w:rPr>
          <w:rFonts w:eastAsiaTheme="minorEastAsia"/>
          <w:sz w:val="22"/>
          <w:szCs w:val="22"/>
          <w:lang w:eastAsia="ko-KR"/>
        </w:rPr>
        <w:t>They noted an Ad Hoc Task Group on Data might be the best way to complete the work. Fiji</w:t>
      </w:r>
      <w:r w:rsidR="000075BC" w:rsidRPr="004635E5">
        <w:rPr>
          <w:rFonts w:eastAsiaTheme="minorEastAsia"/>
          <w:sz w:val="22"/>
          <w:szCs w:val="22"/>
          <w:lang w:eastAsia="ko-KR"/>
        </w:rPr>
        <w:t xml:space="preserve"> noted the </w:t>
      </w:r>
      <w:r w:rsidR="00364385" w:rsidRPr="004635E5">
        <w:rPr>
          <w:rFonts w:eastAsiaTheme="minorEastAsia"/>
          <w:sz w:val="22"/>
          <w:szCs w:val="22"/>
          <w:lang w:eastAsia="ko-KR"/>
        </w:rPr>
        <w:t xml:space="preserve">proposed review would </w:t>
      </w:r>
      <w:r w:rsidR="000075BC" w:rsidRPr="004635E5">
        <w:rPr>
          <w:rFonts w:eastAsiaTheme="minorEastAsia"/>
          <w:sz w:val="22"/>
          <w:szCs w:val="22"/>
          <w:lang w:eastAsia="ko-KR"/>
        </w:rPr>
        <w:t xml:space="preserve">define </w:t>
      </w:r>
      <w:r w:rsidR="00364385" w:rsidRPr="004635E5">
        <w:rPr>
          <w:rFonts w:eastAsiaTheme="minorEastAsia"/>
          <w:sz w:val="22"/>
          <w:szCs w:val="22"/>
          <w:lang w:eastAsia="ko-KR"/>
        </w:rPr>
        <w:t xml:space="preserve">how e-monitoring </w:t>
      </w:r>
      <w:r w:rsidR="000075BC" w:rsidRPr="004635E5">
        <w:rPr>
          <w:rFonts w:eastAsiaTheme="minorEastAsia"/>
          <w:sz w:val="22"/>
          <w:szCs w:val="22"/>
          <w:lang w:eastAsia="ko-KR"/>
        </w:rPr>
        <w:t xml:space="preserve">could be </w:t>
      </w:r>
      <w:r w:rsidR="00364385" w:rsidRPr="004635E5">
        <w:rPr>
          <w:rFonts w:eastAsiaTheme="minorEastAsia"/>
          <w:sz w:val="22"/>
          <w:szCs w:val="22"/>
          <w:lang w:eastAsia="ko-KR"/>
        </w:rPr>
        <w:t>used in different fisheries</w:t>
      </w:r>
      <w:r w:rsidR="000075BC" w:rsidRPr="004635E5">
        <w:rPr>
          <w:rFonts w:eastAsiaTheme="minorEastAsia"/>
          <w:sz w:val="22"/>
          <w:szCs w:val="22"/>
          <w:lang w:eastAsia="ko-KR"/>
        </w:rPr>
        <w:t xml:space="preserve">, stating that because </w:t>
      </w:r>
      <w:r w:rsidR="00364385" w:rsidRPr="004635E5">
        <w:rPr>
          <w:rFonts w:eastAsiaTheme="minorEastAsia"/>
          <w:sz w:val="22"/>
          <w:szCs w:val="22"/>
          <w:lang w:eastAsia="ko-KR"/>
        </w:rPr>
        <w:t>ERandEM objectives for monitoring are broader than scientific data needs and include safety considerations and compliance needs</w:t>
      </w:r>
      <w:r w:rsidR="000075BC" w:rsidRPr="004635E5">
        <w:rPr>
          <w:rFonts w:eastAsiaTheme="minorEastAsia"/>
          <w:sz w:val="22"/>
          <w:szCs w:val="22"/>
          <w:lang w:eastAsia="ko-KR"/>
        </w:rPr>
        <w:t xml:space="preserve">, a </w:t>
      </w:r>
      <w:r w:rsidR="00364385" w:rsidRPr="004635E5">
        <w:rPr>
          <w:rFonts w:eastAsiaTheme="minorEastAsia"/>
          <w:sz w:val="22"/>
          <w:szCs w:val="22"/>
          <w:lang w:eastAsia="ko-KR"/>
        </w:rPr>
        <w:t xml:space="preserve">review </w:t>
      </w:r>
      <w:r w:rsidR="000075BC" w:rsidRPr="004635E5">
        <w:rPr>
          <w:rFonts w:eastAsiaTheme="minorEastAsia"/>
          <w:sz w:val="22"/>
          <w:szCs w:val="22"/>
          <w:lang w:eastAsia="ko-KR"/>
        </w:rPr>
        <w:t xml:space="preserve">should </w:t>
      </w:r>
      <w:r w:rsidR="00364385" w:rsidRPr="004635E5">
        <w:rPr>
          <w:rFonts w:eastAsiaTheme="minorEastAsia"/>
          <w:sz w:val="22"/>
          <w:szCs w:val="22"/>
          <w:lang w:eastAsia="ko-KR"/>
        </w:rPr>
        <w:t xml:space="preserve">consider the full Commission monitoring needs and facilitate the refinement and development of Commission data collection methods, including consideration of EM, to ensure they are complementary and cost-effective. </w:t>
      </w:r>
    </w:p>
    <w:p w14:paraId="3098B815" w14:textId="77777777" w:rsidR="00C91D50" w:rsidRPr="004635E5" w:rsidRDefault="00C91D50" w:rsidP="006633A8">
      <w:pPr>
        <w:autoSpaceDE w:val="0"/>
        <w:autoSpaceDN w:val="0"/>
        <w:adjustRightInd w:val="0"/>
        <w:snapToGrid w:val="0"/>
        <w:jc w:val="both"/>
        <w:rPr>
          <w:rFonts w:eastAsiaTheme="minorEastAsia"/>
          <w:sz w:val="22"/>
          <w:szCs w:val="22"/>
          <w:lang w:val="en-NZ" w:eastAsia="ko-KR"/>
        </w:rPr>
      </w:pPr>
    </w:p>
    <w:p w14:paraId="6DDAC75B" w14:textId="77777777" w:rsidR="005476D8" w:rsidRPr="004635E5" w:rsidRDefault="000075BC"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The USA endorsed the paper as written, and suggested PNA members </w:t>
      </w:r>
      <w:r w:rsidR="00202EA7" w:rsidRPr="004635E5">
        <w:rPr>
          <w:rFonts w:eastAsiaTheme="minorEastAsia"/>
          <w:sz w:val="22"/>
          <w:szCs w:val="22"/>
          <w:lang w:val="en-NZ" w:eastAsia="ko-KR"/>
        </w:rPr>
        <w:t xml:space="preserve">fill out </w:t>
      </w:r>
      <w:r w:rsidR="00202EA7">
        <w:rPr>
          <w:rFonts w:eastAsiaTheme="minorEastAsia"/>
          <w:sz w:val="22"/>
          <w:szCs w:val="22"/>
          <w:lang w:val="en-NZ" w:eastAsia="ko-KR"/>
        </w:rPr>
        <w:t xml:space="preserve">a project sheet </w:t>
      </w:r>
      <w:r w:rsidR="00202EA7" w:rsidRPr="004635E5">
        <w:rPr>
          <w:rFonts w:eastAsiaTheme="minorEastAsia"/>
          <w:sz w:val="22"/>
          <w:szCs w:val="22"/>
          <w:lang w:val="en-NZ" w:eastAsia="ko-KR"/>
        </w:rPr>
        <w:t>to help clarify</w:t>
      </w:r>
      <w:r w:rsidR="00C94755" w:rsidRPr="004635E5">
        <w:rPr>
          <w:rFonts w:eastAsiaTheme="minorEastAsia"/>
          <w:sz w:val="22"/>
          <w:szCs w:val="22"/>
          <w:lang w:val="en-NZ" w:eastAsia="ko-KR"/>
        </w:rPr>
        <w:t xml:space="preserve"> their request. The EU and Japan requested that a discussion of the recommendations be delayed until the full paper was available for review.</w:t>
      </w:r>
      <w:r w:rsidR="000C428B" w:rsidRPr="004635E5">
        <w:rPr>
          <w:rFonts w:eastAsiaTheme="minorEastAsia"/>
          <w:sz w:val="22"/>
          <w:szCs w:val="22"/>
          <w:lang w:val="en-NZ" w:eastAsia="ko-KR"/>
        </w:rPr>
        <w:t xml:space="preserve"> </w:t>
      </w:r>
      <w:r w:rsidR="00C94755" w:rsidRPr="004635E5">
        <w:rPr>
          <w:rFonts w:eastAsiaTheme="minorEastAsia"/>
          <w:sz w:val="22"/>
          <w:szCs w:val="22"/>
          <w:lang w:val="en-NZ" w:eastAsia="ko-KR"/>
        </w:rPr>
        <w:t>RMI supported the need to review EM requirements and data fields, and noted that they would not support the replacement of human observers with EM. China noted its intere</w:t>
      </w:r>
      <w:r w:rsidR="000130F7" w:rsidRPr="004635E5">
        <w:rPr>
          <w:rFonts w:eastAsiaTheme="minorEastAsia"/>
          <w:sz w:val="22"/>
          <w:szCs w:val="22"/>
          <w:lang w:val="en-NZ" w:eastAsia="ko-KR"/>
        </w:rPr>
        <w:t>st in the development of EM</w:t>
      </w:r>
      <w:r w:rsidR="00C94755" w:rsidRPr="004635E5">
        <w:rPr>
          <w:rFonts w:eastAsiaTheme="minorEastAsia"/>
          <w:sz w:val="22"/>
          <w:szCs w:val="22"/>
          <w:lang w:val="en-NZ" w:eastAsia="ko-KR"/>
        </w:rPr>
        <w:t xml:space="preserve"> and ER to reduce manpower needs.</w:t>
      </w:r>
    </w:p>
    <w:p w14:paraId="7D1EE411" w14:textId="77777777" w:rsidR="00C91D50" w:rsidRPr="004635E5" w:rsidRDefault="00C91D50" w:rsidP="006633A8">
      <w:pPr>
        <w:autoSpaceDE w:val="0"/>
        <w:autoSpaceDN w:val="0"/>
        <w:adjustRightInd w:val="0"/>
        <w:snapToGrid w:val="0"/>
        <w:jc w:val="both"/>
        <w:rPr>
          <w:rFonts w:eastAsiaTheme="minorEastAsia"/>
          <w:sz w:val="22"/>
          <w:szCs w:val="22"/>
          <w:lang w:val="en-NZ" w:eastAsia="ko-KR"/>
        </w:rPr>
      </w:pPr>
    </w:p>
    <w:p w14:paraId="252063AD" w14:textId="77777777" w:rsidR="005476D8" w:rsidRPr="004635E5" w:rsidRDefault="00633679"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Solomon Islands, on behalf of FFA members thank</w:t>
      </w:r>
      <w:r w:rsidR="00856EB8" w:rsidRPr="004635E5">
        <w:rPr>
          <w:rFonts w:eastAsiaTheme="minorEastAsia"/>
          <w:sz w:val="22"/>
          <w:szCs w:val="22"/>
          <w:lang w:eastAsia="ko-KR"/>
        </w:rPr>
        <w:t>ed</w:t>
      </w:r>
      <w:r w:rsidRPr="004635E5">
        <w:rPr>
          <w:rFonts w:eastAsiaTheme="minorEastAsia"/>
          <w:sz w:val="22"/>
          <w:szCs w:val="22"/>
          <w:lang w:eastAsia="ko-KR"/>
        </w:rPr>
        <w:t xml:space="preserve"> the chair of the </w:t>
      </w:r>
      <w:r w:rsidR="00202EA7" w:rsidRPr="004635E5">
        <w:rPr>
          <w:rFonts w:eastAsiaTheme="minorEastAsia"/>
          <w:sz w:val="22"/>
          <w:szCs w:val="22"/>
          <w:lang w:eastAsia="ko-KR"/>
        </w:rPr>
        <w:t xml:space="preserve">ERandEM </w:t>
      </w:r>
      <w:r w:rsidR="00202EA7">
        <w:rPr>
          <w:rFonts w:eastAsiaTheme="minorEastAsia"/>
          <w:sz w:val="22"/>
          <w:szCs w:val="22"/>
          <w:lang w:eastAsia="ko-KR"/>
        </w:rPr>
        <w:t>WG</w:t>
      </w:r>
      <w:r w:rsidR="00202EA7" w:rsidRPr="004635E5">
        <w:rPr>
          <w:rFonts w:eastAsiaTheme="minorEastAsia"/>
          <w:sz w:val="22"/>
          <w:szCs w:val="22"/>
          <w:lang w:eastAsia="ko-KR"/>
        </w:rPr>
        <w:t xml:space="preserve"> for her</w:t>
      </w:r>
      <w:r w:rsidRPr="004635E5">
        <w:rPr>
          <w:rFonts w:eastAsiaTheme="minorEastAsia"/>
          <w:sz w:val="22"/>
          <w:szCs w:val="22"/>
          <w:lang w:eastAsia="ko-KR"/>
        </w:rPr>
        <w:t xml:space="preserve"> excellent leadership and efforts supporting progress on e-reporting and e-monitoring. FFA members endorse</w:t>
      </w:r>
      <w:r w:rsidR="000C428B" w:rsidRPr="004635E5">
        <w:rPr>
          <w:rFonts w:eastAsiaTheme="minorEastAsia"/>
          <w:sz w:val="22"/>
          <w:szCs w:val="22"/>
          <w:lang w:eastAsia="ko-KR"/>
        </w:rPr>
        <w:t>d</w:t>
      </w:r>
      <w:r w:rsidRPr="004635E5">
        <w:rPr>
          <w:rFonts w:eastAsiaTheme="minorEastAsia"/>
          <w:sz w:val="22"/>
          <w:szCs w:val="22"/>
          <w:lang w:eastAsia="ko-KR"/>
        </w:rPr>
        <w:t xml:space="preserve"> the recommendations and note</w:t>
      </w:r>
      <w:r w:rsidR="000C428B" w:rsidRPr="004635E5">
        <w:rPr>
          <w:rFonts w:eastAsiaTheme="minorEastAsia"/>
          <w:sz w:val="22"/>
          <w:szCs w:val="22"/>
          <w:lang w:eastAsia="ko-KR"/>
        </w:rPr>
        <w:t>d</w:t>
      </w:r>
      <w:r w:rsidRPr="004635E5">
        <w:rPr>
          <w:rFonts w:eastAsiaTheme="minorEastAsia"/>
          <w:sz w:val="22"/>
          <w:szCs w:val="22"/>
          <w:lang w:eastAsia="ko-KR"/>
        </w:rPr>
        <w:t xml:space="preserve"> that FFA members </w:t>
      </w:r>
      <w:r w:rsidR="000C428B" w:rsidRPr="004635E5">
        <w:rPr>
          <w:rFonts w:eastAsiaTheme="minorEastAsia"/>
          <w:sz w:val="22"/>
          <w:szCs w:val="22"/>
          <w:lang w:eastAsia="ko-KR"/>
        </w:rPr>
        <w:t xml:space="preserve">had </w:t>
      </w:r>
      <w:r w:rsidRPr="004635E5">
        <w:rPr>
          <w:rFonts w:eastAsiaTheme="minorEastAsia"/>
          <w:sz w:val="22"/>
          <w:szCs w:val="22"/>
          <w:lang w:eastAsia="ko-KR"/>
        </w:rPr>
        <w:t>proposed further work to help progress the use of e-monitoring in the Commission.</w:t>
      </w:r>
      <w:r w:rsidR="000C428B" w:rsidRPr="004635E5">
        <w:rPr>
          <w:rFonts w:eastAsiaTheme="minorEastAsia"/>
          <w:sz w:val="22"/>
          <w:szCs w:val="22"/>
          <w:lang w:eastAsia="ko-KR"/>
        </w:rPr>
        <w:t xml:space="preserve"> </w:t>
      </w:r>
      <w:r w:rsidRPr="004635E5">
        <w:rPr>
          <w:rFonts w:eastAsiaTheme="minorEastAsia"/>
          <w:sz w:val="22"/>
          <w:szCs w:val="22"/>
          <w:lang w:eastAsia="ko-KR"/>
        </w:rPr>
        <w:t xml:space="preserve">Nauru, on behalf of FFA members prepared working paper </w:t>
      </w:r>
      <w:r w:rsidR="00347BA9">
        <w:rPr>
          <w:rFonts w:eastAsiaTheme="minorEastAsia"/>
          <w:sz w:val="22"/>
          <w:szCs w:val="22"/>
          <w:lang w:eastAsia="ko-KR"/>
        </w:rPr>
        <w:t>SC14-</w:t>
      </w:r>
      <w:r w:rsidRPr="004635E5">
        <w:rPr>
          <w:rFonts w:eastAsiaTheme="minorEastAsia"/>
          <w:sz w:val="22"/>
          <w:szCs w:val="22"/>
          <w:lang w:eastAsia="ko-KR"/>
        </w:rPr>
        <w:t xml:space="preserve">ST-WP-07 to better describe the work </w:t>
      </w:r>
      <w:r w:rsidR="000C428B" w:rsidRPr="004635E5">
        <w:rPr>
          <w:rFonts w:eastAsiaTheme="minorEastAsia"/>
          <w:sz w:val="22"/>
          <w:szCs w:val="22"/>
          <w:lang w:eastAsia="ko-KR"/>
        </w:rPr>
        <w:t xml:space="preserve">they considered necessary </w:t>
      </w:r>
      <w:r w:rsidRPr="004635E5">
        <w:rPr>
          <w:rFonts w:eastAsiaTheme="minorEastAsia"/>
          <w:sz w:val="22"/>
          <w:szCs w:val="22"/>
          <w:lang w:eastAsia="ko-KR"/>
        </w:rPr>
        <w:t xml:space="preserve">to </w:t>
      </w:r>
      <w:r w:rsidR="000C428B" w:rsidRPr="004635E5">
        <w:rPr>
          <w:rFonts w:eastAsiaTheme="minorEastAsia"/>
          <w:sz w:val="22"/>
          <w:szCs w:val="22"/>
          <w:lang w:eastAsia="ko-KR"/>
        </w:rPr>
        <w:t xml:space="preserve">make </w:t>
      </w:r>
      <w:r w:rsidRPr="004635E5">
        <w:rPr>
          <w:rFonts w:eastAsiaTheme="minorEastAsia"/>
          <w:sz w:val="22"/>
          <w:szCs w:val="22"/>
          <w:lang w:eastAsia="ko-KR"/>
        </w:rPr>
        <w:t xml:space="preserve">progress on the </w:t>
      </w:r>
      <w:r w:rsidR="000C428B" w:rsidRPr="004635E5">
        <w:rPr>
          <w:rFonts w:eastAsiaTheme="minorEastAsia"/>
          <w:sz w:val="22"/>
          <w:szCs w:val="22"/>
          <w:lang w:eastAsia="ko-KR"/>
        </w:rPr>
        <w:t xml:space="preserve">EM </w:t>
      </w:r>
      <w:r w:rsidRPr="004635E5">
        <w:rPr>
          <w:rFonts w:eastAsiaTheme="minorEastAsia"/>
          <w:sz w:val="22"/>
          <w:szCs w:val="22"/>
          <w:lang w:eastAsia="ko-KR"/>
        </w:rPr>
        <w:t>discussion</w:t>
      </w:r>
      <w:r w:rsidR="000C428B" w:rsidRPr="004635E5">
        <w:rPr>
          <w:rFonts w:eastAsiaTheme="minorEastAsia"/>
          <w:sz w:val="22"/>
          <w:szCs w:val="22"/>
          <w:lang w:eastAsia="ko-KR"/>
        </w:rPr>
        <w:t xml:space="preserve">. They </w:t>
      </w:r>
      <w:r w:rsidRPr="004635E5">
        <w:rPr>
          <w:rFonts w:eastAsiaTheme="minorEastAsia"/>
          <w:sz w:val="22"/>
          <w:szCs w:val="22"/>
          <w:lang w:eastAsia="ko-KR"/>
        </w:rPr>
        <w:t>stress</w:t>
      </w:r>
      <w:r w:rsidR="000C428B" w:rsidRPr="004635E5">
        <w:rPr>
          <w:rFonts w:eastAsiaTheme="minorEastAsia"/>
          <w:sz w:val="22"/>
          <w:szCs w:val="22"/>
          <w:lang w:eastAsia="ko-KR"/>
        </w:rPr>
        <w:t>ed</w:t>
      </w:r>
      <w:r w:rsidRPr="004635E5">
        <w:rPr>
          <w:rFonts w:eastAsiaTheme="minorEastAsia"/>
          <w:sz w:val="22"/>
          <w:szCs w:val="22"/>
          <w:lang w:eastAsia="ko-KR"/>
        </w:rPr>
        <w:t xml:space="preserve"> it </w:t>
      </w:r>
      <w:r w:rsidR="000C428B" w:rsidRPr="004635E5">
        <w:rPr>
          <w:rFonts w:eastAsiaTheme="minorEastAsia"/>
          <w:sz w:val="22"/>
          <w:szCs w:val="22"/>
          <w:lang w:eastAsia="ko-KR"/>
        </w:rPr>
        <w:t>was</w:t>
      </w:r>
      <w:r w:rsidR="00202EA7">
        <w:rPr>
          <w:rFonts w:eastAsiaTheme="minorEastAsia" w:hint="eastAsia"/>
          <w:sz w:val="22"/>
          <w:szCs w:val="22"/>
          <w:lang w:eastAsia="ko-KR"/>
        </w:rPr>
        <w:t xml:space="preserve"> </w:t>
      </w:r>
      <w:r w:rsidRPr="004635E5">
        <w:rPr>
          <w:rFonts w:eastAsiaTheme="minorEastAsia"/>
          <w:sz w:val="22"/>
          <w:szCs w:val="22"/>
          <w:lang w:eastAsia="ko-KR"/>
        </w:rPr>
        <w:t>not a detailed review of existing data standards, such as the ROP minimum standards</w:t>
      </w:r>
      <w:r w:rsidR="000C428B" w:rsidRPr="004635E5">
        <w:rPr>
          <w:rFonts w:eastAsiaTheme="minorEastAsia"/>
          <w:sz w:val="22"/>
          <w:szCs w:val="22"/>
          <w:lang w:eastAsia="ko-KR"/>
        </w:rPr>
        <w:t>, but aimed</w:t>
      </w:r>
      <w:r w:rsidRPr="004635E5">
        <w:rPr>
          <w:rFonts w:eastAsiaTheme="minorEastAsia"/>
          <w:sz w:val="22"/>
          <w:szCs w:val="22"/>
          <w:lang w:eastAsia="ko-KR"/>
        </w:rPr>
        <w:t xml:space="preserve"> to compare the Commission’s science and MCS information needs against the monitoring programs, including EM, that are best suited to collect and verify the required data. </w:t>
      </w:r>
      <w:r w:rsidR="000C428B" w:rsidRPr="004635E5">
        <w:rPr>
          <w:rFonts w:eastAsiaTheme="minorEastAsia"/>
          <w:sz w:val="22"/>
          <w:szCs w:val="22"/>
          <w:lang w:eastAsia="ko-KR"/>
        </w:rPr>
        <w:t xml:space="preserve">They </w:t>
      </w:r>
      <w:r w:rsidRPr="004635E5">
        <w:rPr>
          <w:rFonts w:eastAsiaTheme="minorEastAsia"/>
          <w:sz w:val="22"/>
          <w:szCs w:val="22"/>
          <w:lang w:eastAsia="ko-KR"/>
        </w:rPr>
        <w:t>suggested the work be undertaken by SPC, FFA</w:t>
      </w:r>
      <w:r w:rsidR="000C428B" w:rsidRPr="004635E5">
        <w:rPr>
          <w:rFonts w:eastAsiaTheme="minorEastAsia"/>
          <w:sz w:val="22"/>
          <w:szCs w:val="22"/>
          <w:lang w:eastAsia="ko-KR"/>
        </w:rPr>
        <w:t xml:space="preserve"> </w:t>
      </w:r>
      <w:r w:rsidRPr="004635E5">
        <w:rPr>
          <w:rFonts w:eastAsiaTheme="minorEastAsia"/>
          <w:sz w:val="22"/>
          <w:szCs w:val="22"/>
          <w:lang w:eastAsia="ko-KR"/>
        </w:rPr>
        <w:t>Secretariat</w:t>
      </w:r>
      <w:r w:rsidR="000C428B" w:rsidRPr="004635E5">
        <w:rPr>
          <w:rFonts w:eastAsiaTheme="minorEastAsia"/>
          <w:sz w:val="22"/>
          <w:szCs w:val="22"/>
          <w:lang w:eastAsia="ko-KR"/>
        </w:rPr>
        <w:t>,</w:t>
      </w:r>
      <w:r w:rsidRPr="004635E5">
        <w:rPr>
          <w:rFonts w:eastAsiaTheme="minorEastAsia"/>
          <w:sz w:val="22"/>
          <w:szCs w:val="22"/>
          <w:lang w:eastAsia="ko-KR"/>
        </w:rPr>
        <w:t xml:space="preserve"> and the PNA Office, with the assistance of the WCPFC Secretariat, if possible, so as not to impose additional cost</w:t>
      </w:r>
      <w:r w:rsidR="000C428B" w:rsidRPr="004635E5">
        <w:rPr>
          <w:rFonts w:eastAsiaTheme="minorEastAsia"/>
          <w:sz w:val="22"/>
          <w:szCs w:val="22"/>
          <w:lang w:eastAsia="ko-KR"/>
        </w:rPr>
        <w:t>s</w:t>
      </w:r>
      <w:r w:rsidRPr="004635E5">
        <w:rPr>
          <w:rFonts w:eastAsiaTheme="minorEastAsia"/>
          <w:sz w:val="22"/>
          <w:szCs w:val="22"/>
          <w:lang w:eastAsia="ko-KR"/>
        </w:rPr>
        <w:t xml:space="preserve"> on the Commission</w:t>
      </w:r>
      <w:r w:rsidR="000C428B" w:rsidRPr="004635E5">
        <w:rPr>
          <w:rFonts w:eastAsiaTheme="minorEastAsia"/>
          <w:sz w:val="22"/>
          <w:szCs w:val="22"/>
          <w:lang w:eastAsia="ko-KR"/>
        </w:rPr>
        <w:t xml:space="preserve">, while stressing that </w:t>
      </w:r>
      <w:r w:rsidRPr="004635E5">
        <w:rPr>
          <w:rFonts w:eastAsiaTheme="minorEastAsia"/>
          <w:sz w:val="22"/>
          <w:szCs w:val="22"/>
          <w:lang w:eastAsia="ko-KR"/>
        </w:rPr>
        <w:t xml:space="preserve">the review be </w:t>
      </w:r>
      <w:r w:rsidR="005476D8" w:rsidRPr="004635E5">
        <w:rPr>
          <w:rFonts w:eastAsiaTheme="minorEastAsia"/>
          <w:sz w:val="22"/>
          <w:szCs w:val="22"/>
          <w:lang w:eastAsia="ko-KR"/>
        </w:rPr>
        <w:t>recognized</w:t>
      </w:r>
      <w:r w:rsidRPr="004635E5">
        <w:rPr>
          <w:rFonts w:eastAsiaTheme="minorEastAsia"/>
          <w:sz w:val="22"/>
          <w:szCs w:val="22"/>
          <w:lang w:eastAsia="ko-KR"/>
        </w:rPr>
        <w:t xml:space="preserve"> and supported by SC</w:t>
      </w:r>
      <w:r w:rsidR="000C428B" w:rsidRPr="004635E5">
        <w:rPr>
          <w:rFonts w:eastAsiaTheme="minorEastAsia"/>
          <w:sz w:val="22"/>
          <w:szCs w:val="22"/>
          <w:lang w:eastAsia="ko-KR"/>
        </w:rPr>
        <w:t>,</w:t>
      </w:r>
      <w:r w:rsidRPr="004635E5">
        <w:rPr>
          <w:rFonts w:eastAsiaTheme="minorEastAsia"/>
          <w:sz w:val="22"/>
          <w:szCs w:val="22"/>
          <w:lang w:eastAsia="ko-KR"/>
        </w:rPr>
        <w:t xml:space="preserve"> given its critical role in informing further EM discussions.</w:t>
      </w:r>
      <w:r w:rsidR="000C428B" w:rsidRPr="004635E5">
        <w:rPr>
          <w:rFonts w:eastAsiaTheme="minorEastAsia"/>
          <w:sz w:val="22"/>
          <w:szCs w:val="22"/>
          <w:lang w:eastAsia="ko-KR"/>
        </w:rPr>
        <w:t xml:space="preserve"> </w:t>
      </w:r>
      <w:r w:rsidR="005476D8" w:rsidRPr="004635E5">
        <w:rPr>
          <w:rFonts w:eastAsiaTheme="minorEastAsia"/>
          <w:sz w:val="22"/>
          <w:szCs w:val="22"/>
          <w:lang w:eastAsia="ko-KR"/>
        </w:rPr>
        <w:t xml:space="preserve">Following further discussions, Japan stated they were supportive of the process being proposed to prioritize data collection for observers, and review and reconsider data mechanisms and standards. They stated in their view the process should be a WCPFC process, open to all CCM, including DWFNs. </w:t>
      </w:r>
    </w:p>
    <w:p w14:paraId="669CB54B" w14:textId="77777777" w:rsidR="00C91D50" w:rsidRPr="004635E5" w:rsidRDefault="00C91D50" w:rsidP="006633A8">
      <w:pPr>
        <w:autoSpaceDE w:val="0"/>
        <w:autoSpaceDN w:val="0"/>
        <w:adjustRightInd w:val="0"/>
        <w:snapToGrid w:val="0"/>
        <w:jc w:val="both"/>
        <w:rPr>
          <w:rFonts w:eastAsiaTheme="minorEastAsia"/>
          <w:sz w:val="22"/>
          <w:szCs w:val="22"/>
          <w:lang w:eastAsia="ko-KR"/>
        </w:rPr>
      </w:pPr>
    </w:p>
    <w:p w14:paraId="24E3E919" w14:textId="77777777" w:rsidR="00C91D50" w:rsidRPr="004635E5" w:rsidRDefault="005476D8"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The USA asked for clarification regarding the scope of the data standard review.</w:t>
      </w:r>
      <w:r w:rsidR="004053B7" w:rsidRPr="004635E5">
        <w:rPr>
          <w:rFonts w:eastAsiaTheme="minorEastAsia"/>
          <w:sz w:val="22"/>
          <w:szCs w:val="22"/>
          <w:lang w:eastAsia="ko-KR"/>
        </w:rPr>
        <w:t xml:space="preserve"> In reply Nauru stated their view while they agreed larger data needs were not well articulated, they found it difficult to discuss specific objectives for ER</w:t>
      </w:r>
      <w:r w:rsidR="00837078" w:rsidRPr="004635E5">
        <w:rPr>
          <w:rFonts w:eastAsiaTheme="minorEastAsia"/>
          <w:sz w:val="22"/>
          <w:szCs w:val="22"/>
          <w:lang w:eastAsia="ko-KR"/>
        </w:rPr>
        <w:t xml:space="preserve"> </w:t>
      </w:r>
      <w:r w:rsidR="004053B7" w:rsidRPr="004635E5">
        <w:rPr>
          <w:rFonts w:eastAsiaTheme="minorEastAsia"/>
          <w:sz w:val="22"/>
          <w:szCs w:val="22"/>
          <w:lang w:eastAsia="ko-KR"/>
        </w:rPr>
        <w:t>and</w:t>
      </w:r>
      <w:r w:rsidR="00837078" w:rsidRPr="004635E5">
        <w:rPr>
          <w:rFonts w:eastAsiaTheme="minorEastAsia"/>
          <w:sz w:val="22"/>
          <w:szCs w:val="22"/>
          <w:lang w:eastAsia="ko-KR"/>
        </w:rPr>
        <w:t xml:space="preserve"> </w:t>
      </w:r>
      <w:r w:rsidR="004053B7" w:rsidRPr="004635E5">
        <w:rPr>
          <w:rFonts w:eastAsiaTheme="minorEastAsia"/>
          <w:sz w:val="22"/>
          <w:szCs w:val="22"/>
          <w:lang w:eastAsia="ko-KR"/>
        </w:rPr>
        <w:t>EM without knowing what data the WCPFC needed to manage stocks. They clarified they were not see</w:t>
      </w:r>
      <w:r w:rsidR="000C428B" w:rsidRPr="004635E5">
        <w:rPr>
          <w:rFonts w:eastAsiaTheme="minorEastAsia"/>
          <w:sz w:val="22"/>
          <w:szCs w:val="22"/>
          <w:lang w:eastAsia="ko-KR"/>
        </w:rPr>
        <w:t>k</w:t>
      </w:r>
      <w:r w:rsidR="004053B7" w:rsidRPr="004635E5">
        <w:rPr>
          <w:rFonts w:eastAsiaTheme="minorEastAsia"/>
          <w:sz w:val="22"/>
          <w:szCs w:val="22"/>
          <w:lang w:eastAsia="ko-KR"/>
        </w:rPr>
        <w:t>ing a detailed review of data standards</w:t>
      </w:r>
      <w:r w:rsidR="000C428B" w:rsidRPr="004635E5">
        <w:rPr>
          <w:rFonts w:eastAsiaTheme="minorEastAsia"/>
          <w:sz w:val="22"/>
          <w:szCs w:val="22"/>
          <w:lang w:eastAsia="ko-KR"/>
        </w:rPr>
        <w:t>, but a higher-</w:t>
      </w:r>
      <w:r w:rsidR="004053B7" w:rsidRPr="004635E5">
        <w:rPr>
          <w:rFonts w:eastAsiaTheme="minorEastAsia"/>
          <w:sz w:val="22"/>
          <w:szCs w:val="22"/>
          <w:lang w:eastAsia="ko-KR"/>
        </w:rPr>
        <w:t xml:space="preserve">level review, focusing on what to collect, and how to verify the data. In reply to a query from Chinese Taipei, Nauru noted that although it was intended to contribute to the work of the </w:t>
      </w:r>
      <w:r w:rsidR="0006402D">
        <w:rPr>
          <w:rFonts w:eastAsiaTheme="minorEastAsia"/>
          <w:sz w:val="22"/>
          <w:szCs w:val="22"/>
          <w:lang w:eastAsia="ko-KR"/>
        </w:rPr>
        <w:t>ERandEM</w:t>
      </w:r>
      <w:r w:rsidR="004053B7" w:rsidRPr="004635E5">
        <w:rPr>
          <w:rFonts w:eastAsiaTheme="minorEastAsia"/>
          <w:sz w:val="22"/>
          <w:szCs w:val="22"/>
          <w:lang w:eastAsia="ko-KR"/>
        </w:rPr>
        <w:t xml:space="preserve"> WG, the intended review was broader, and more in the purview of SC and the Commission.</w:t>
      </w:r>
    </w:p>
    <w:p w14:paraId="5672184E" w14:textId="77777777" w:rsidR="004053B7" w:rsidRPr="004635E5" w:rsidRDefault="004053B7" w:rsidP="006633A8">
      <w:pPr>
        <w:autoSpaceDE w:val="0"/>
        <w:autoSpaceDN w:val="0"/>
        <w:adjustRightInd w:val="0"/>
        <w:snapToGrid w:val="0"/>
        <w:jc w:val="both"/>
        <w:rPr>
          <w:rFonts w:eastAsiaTheme="minorEastAsia"/>
          <w:sz w:val="22"/>
          <w:szCs w:val="22"/>
          <w:lang w:eastAsia="ko-KR"/>
        </w:rPr>
      </w:pPr>
      <w:r w:rsidRPr="004635E5">
        <w:rPr>
          <w:rFonts w:eastAsiaTheme="minorEastAsia"/>
          <w:sz w:val="22"/>
          <w:szCs w:val="22"/>
          <w:lang w:eastAsia="ko-KR"/>
        </w:rPr>
        <w:t xml:space="preserve"> </w:t>
      </w:r>
    </w:p>
    <w:p w14:paraId="721B5953" w14:textId="77777777" w:rsidR="005476D8" w:rsidRPr="004635E5" w:rsidRDefault="004053B7"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Following a query from the USA regarding the budgetary implications, and involvement by the Secretariat and SPC, Nauru noted the support for the process from PNA and FFA, and expressed the value in having the process endorsed by the SC. The Secretariat stated that the issues proposed for discussion linked to the work of SC, TCC and the datasets managed by the Secretariat, and that if the study would help in making sure that all datasets the Commission received were managed as effectively as possible, it would welcome being involved</w:t>
      </w:r>
      <w:r w:rsidR="00387BE7" w:rsidRPr="004635E5">
        <w:rPr>
          <w:rFonts w:eastAsiaTheme="minorEastAsia"/>
          <w:sz w:val="22"/>
          <w:szCs w:val="22"/>
          <w:lang w:eastAsia="ko-KR"/>
        </w:rPr>
        <w:t>.</w:t>
      </w:r>
      <w:r w:rsidRPr="004635E5">
        <w:rPr>
          <w:rFonts w:eastAsiaTheme="minorEastAsia"/>
          <w:sz w:val="22"/>
          <w:szCs w:val="22"/>
          <w:lang w:eastAsia="ko-KR"/>
        </w:rPr>
        <w:t xml:space="preserve"> </w:t>
      </w:r>
    </w:p>
    <w:p w14:paraId="1E3EC20F" w14:textId="77777777" w:rsidR="00C91D50" w:rsidRPr="004635E5" w:rsidRDefault="00C91D50" w:rsidP="006633A8">
      <w:pPr>
        <w:autoSpaceDE w:val="0"/>
        <w:autoSpaceDN w:val="0"/>
        <w:adjustRightInd w:val="0"/>
        <w:snapToGrid w:val="0"/>
        <w:jc w:val="both"/>
        <w:rPr>
          <w:rFonts w:eastAsiaTheme="minorEastAsia"/>
          <w:sz w:val="22"/>
          <w:szCs w:val="22"/>
          <w:lang w:eastAsia="ko-KR"/>
        </w:rPr>
      </w:pPr>
    </w:p>
    <w:p w14:paraId="68A78B7E" w14:textId="77777777" w:rsidR="008B65F3" w:rsidRPr="004635E5" w:rsidRDefault="008B65F3" w:rsidP="006633A8">
      <w:pPr>
        <w:autoSpaceDE w:val="0"/>
        <w:autoSpaceDN w:val="0"/>
        <w:adjustRightInd w:val="0"/>
        <w:snapToGrid w:val="0"/>
        <w:jc w:val="both"/>
        <w:rPr>
          <w:rFonts w:eastAsiaTheme="minorEastAsia"/>
          <w:b/>
          <w:sz w:val="22"/>
          <w:szCs w:val="22"/>
          <w:lang w:eastAsia="ko-KR"/>
        </w:rPr>
      </w:pPr>
      <w:r w:rsidRPr="004635E5">
        <w:rPr>
          <w:rFonts w:eastAsiaTheme="minorEastAsia"/>
          <w:b/>
          <w:sz w:val="22"/>
          <w:szCs w:val="22"/>
          <w:lang w:eastAsia="ko-KR"/>
        </w:rPr>
        <w:t>Recommendation</w:t>
      </w:r>
    </w:p>
    <w:p w14:paraId="7E9F5D00" w14:textId="77777777" w:rsidR="00C91D50" w:rsidRPr="004635E5" w:rsidRDefault="00C91D50" w:rsidP="006633A8">
      <w:pPr>
        <w:autoSpaceDE w:val="0"/>
        <w:autoSpaceDN w:val="0"/>
        <w:adjustRightInd w:val="0"/>
        <w:snapToGrid w:val="0"/>
        <w:jc w:val="both"/>
        <w:rPr>
          <w:rFonts w:eastAsiaTheme="minorEastAsia"/>
          <w:b/>
          <w:sz w:val="22"/>
          <w:szCs w:val="22"/>
          <w:lang w:eastAsia="ko-KR"/>
        </w:rPr>
      </w:pPr>
    </w:p>
    <w:p w14:paraId="42BFCF59" w14:textId="77777777" w:rsidR="00387BE7" w:rsidRPr="004635E5" w:rsidRDefault="00387BE7"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recommends that FFA, PNA Office, the Scientific Services Provider and WCPFC Secretariat jointly work on a project to review the Commission’s data needs and collection programmes (Project 93</w:t>
      </w:r>
      <w:r w:rsidR="00837078" w:rsidRPr="004635E5">
        <w:rPr>
          <w:b/>
          <w:sz w:val="22"/>
          <w:szCs w:val="22"/>
        </w:rPr>
        <w:t>)</w:t>
      </w:r>
      <w:r w:rsidRPr="004635E5">
        <w:rPr>
          <w:b/>
          <w:sz w:val="22"/>
          <w:szCs w:val="22"/>
        </w:rPr>
        <w:t xml:space="preserve">. </w:t>
      </w:r>
    </w:p>
    <w:p w14:paraId="53825708" w14:textId="77777777" w:rsidR="00C91D50" w:rsidRPr="004635E5" w:rsidRDefault="00C91D50" w:rsidP="006633A8">
      <w:pPr>
        <w:autoSpaceDE w:val="0"/>
        <w:autoSpaceDN w:val="0"/>
        <w:adjustRightInd w:val="0"/>
        <w:snapToGrid w:val="0"/>
        <w:jc w:val="both"/>
        <w:rPr>
          <w:b/>
          <w:sz w:val="22"/>
          <w:szCs w:val="22"/>
        </w:rPr>
      </w:pPr>
    </w:p>
    <w:p w14:paraId="4A51B59B" w14:textId="77777777" w:rsidR="001F2F6A" w:rsidRPr="004635E5" w:rsidRDefault="001F2F6A" w:rsidP="00580EA4">
      <w:pPr>
        <w:pStyle w:val="SC2"/>
        <w:numPr>
          <w:ilvl w:val="1"/>
          <w:numId w:val="161"/>
        </w:numPr>
        <w:spacing w:after="0"/>
        <w:ind w:left="0" w:firstLine="0"/>
        <w:rPr>
          <w:rFonts w:eastAsiaTheme="minorEastAsia"/>
          <w:lang w:eastAsia="ko-KR"/>
        </w:rPr>
      </w:pPr>
      <w:r w:rsidRPr="004635E5">
        <w:rPr>
          <w:rFonts w:eastAsiaTheme="minorEastAsia"/>
          <w:lang w:eastAsia="ko-KR"/>
        </w:rPr>
        <w:t>Economic data</w:t>
      </w:r>
      <w:r w:rsidR="00282287" w:rsidRPr="004635E5">
        <w:rPr>
          <w:rFonts w:eastAsiaTheme="minorEastAsia"/>
          <w:lang w:eastAsia="ko-KR"/>
        </w:rPr>
        <w:t xml:space="preserve"> </w:t>
      </w:r>
    </w:p>
    <w:p w14:paraId="3BB0E422" w14:textId="77777777" w:rsidR="00C91D50" w:rsidRPr="004635E5" w:rsidRDefault="00C91D50" w:rsidP="006633A8">
      <w:pPr>
        <w:pStyle w:val="SC2"/>
        <w:numPr>
          <w:ilvl w:val="0"/>
          <w:numId w:val="0"/>
        </w:numPr>
        <w:spacing w:after="0"/>
        <w:ind w:left="720"/>
        <w:rPr>
          <w:rFonts w:eastAsiaTheme="minorEastAsia"/>
          <w:lang w:eastAsia="ko-KR"/>
        </w:rPr>
      </w:pPr>
    </w:p>
    <w:p w14:paraId="0C2CCA9D" w14:textId="77777777" w:rsidR="00837078" w:rsidRPr="004635E5" w:rsidRDefault="009E62E2"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M. Skirtun</w:t>
      </w:r>
      <w:r w:rsidR="001F3FF4">
        <w:rPr>
          <w:rFonts w:eastAsiaTheme="minorEastAsia"/>
          <w:bCs/>
          <w:sz w:val="22"/>
          <w:szCs w:val="22"/>
          <w:lang w:eastAsia="ko-KR"/>
        </w:rPr>
        <w:t xml:space="preserve"> </w:t>
      </w:r>
      <w:r w:rsidR="00202EA7">
        <w:rPr>
          <w:rFonts w:eastAsiaTheme="minorEastAsia" w:hint="eastAsia"/>
          <w:bCs/>
          <w:sz w:val="22"/>
          <w:szCs w:val="22"/>
          <w:lang w:eastAsia="ko-KR"/>
        </w:rPr>
        <w:t xml:space="preserve">(FFA) </w:t>
      </w:r>
      <w:r w:rsidRPr="004635E5">
        <w:rPr>
          <w:rFonts w:eastAsiaTheme="minorEastAsia"/>
          <w:bCs/>
          <w:sz w:val="22"/>
          <w:szCs w:val="22"/>
          <w:lang w:eastAsia="ko-KR"/>
        </w:rPr>
        <w:t xml:space="preserve">introduced </w:t>
      </w:r>
      <w:r w:rsidR="00347BA9">
        <w:rPr>
          <w:rFonts w:eastAsiaTheme="minorEastAsia"/>
          <w:sz w:val="22"/>
          <w:szCs w:val="22"/>
          <w:lang w:eastAsia="ko-KR"/>
        </w:rPr>
        <w:t>SC14-</w:t>
      </w:r>
      <w:r w:rsidRPr="004635E5">
        <w:rPr>
          <w:rFonts w:eastAsiaTheme="minorEastAsia"/>
          <w:bCs/>
          <w:sz w:val="22"/>
          <w:szCs w:val="22"/>
          <w:lang w:eastAsia="ko-KR"/>
        </w:rPr>
        <w:t xml:space="preserve">ST-WP-04, </w:t>
      </w:r>
      <w:r w:rsidRPr="004635E5">
        <w:rPr>
          <w:rFonts w:eastAsiaTheme="minorEastAsia"/>
          <w:bCs/>
          <w:i/>
          <w:sz w:val="22"/>
          <w:szCs w:val="22"/>
          <w:lang w:eastAsia="ko-KR"/>
        </w:rPr>
        <w:t>Analyses and projections of economic conditions in WCPO fisheries.</w:t>
      </w:r>
      <w:r w:rsidR="008D63CE" w:rsidRPr="004635E5">
        <w:rPr>
          <w:rFonts w:eastAsiaTheme="minorEastAsia"/>
          <w:b/>
          <w:bCs/>
          <w:sz w:val="22"/>
          <w:szCs w:val="22"/>
          <w:lang w:eastAsia="ko-KR"/>
        </w:rPr>
        <w:t xml:space="preserve"> </w:t>
      </w:r>
      <w:r w:rsidR="008D63CE" w:rsidRPr="004635E5">
        <w:rPr>
          <w:rFonts w:eastAsiaTheme="minorEastAsia"/>
          <w:bCs/>
          <w:sz w:val="22"/>
          <w:szCs w:val="22"/>
          <w:lang w:eastAsia="ko-KR"/>
        </w:rPr>
        <w:t xml:space="preserve">Fish prices, fishing costs and catch rates are the three key determinants of economic conditions prevailing in a fishery. Changes in each can have significant impacts on the financial viability of vessels operating in a fishery and the returns generated from the exploitation of fish stocks. The paper </w:t>
      </w:r>
      <w:r w:rsidR="003C262C" w:rsidRPr="004635E5">
        <w:rPr>
          <w:rFonts w:eastAsiaTheme="minorEastAsia"/>
          <w:bCs/>
          <w:sz w:val="22"/>
          <w:szCs w:val="22"/>
          <w:lang w:eastAsia="ko-KR"/>
        </w:rPr>
        <w:t xml:space="preserve">examines </w:t>
      </w:r>
      <w:r w:rsidR="008D63CE" w:rsidRPr="004635E5">
        <w:rPr>
          <w:rFonts w:eastAsiaTheme="minorEastAsia"/>
          <w:bCs/>
          <w:sz w:val="22"/>
          <w:szCs w:val="22"/>
          <w:lang w:eastAsia="ko-KR"/>
        </w:rPr>
        <w:t xml:space="preserve">relative economic conditions and </w:t>
      </w:r>
      <w:r w:rsidR="003C262C" w:rsidRPr="004635E5">
        <w:rPr>
          <w:rFonts w:eastAsiaTheme="minorEastAsia"/>
          <w:bCs/>
          <w:sz w:val="22"/>
          <w:szCs w:val="22"/>
          <w:lang w:eastAsia="ko-KR"/>
        </w:rPr>
        <w:t xml:space="preserve">makes </w:t>
      </w:r>
      <w:r w:rsidR="008D63CE" w:rsidRPr="004635E5">
        <w:rPr>
          <w:rFonts w:eastAsiaTheme="minorEastAsia"/>
          <w:bCs/>
          <w:sz w:val="22"/>
          <w:szCs w:val="22"/>
          <w:lang w:eastAsia="ko-KR"/>
        </w:rPr>
        <w:t>simplistic projections over the next 10 years for the southern longline, tropical longline and purse seine fisheries of the Western and Central Pacific Ocean.</w:t>
      </w:r>
    </w:p>
    <w:p w14:paraId="2D65AFD8" w14:textId="77777777" w:rsidR="00C91D50" w:rsidRPr="004635E5" w:rsidRDefault="00C91D50" w:rsidP="006633A8">
      <w:pPr>
        <w:autoSpaceDE w:val="0"/>
        <w:autoSpaceDN w:val="0"/>
        <w:adjustRightInd w:val="0"/>
        <w:snapToGrid w:val="0"/>
        <w:jc w:val="both"/>
        <w:rPr>
          <w:rFonts w:eastAsiaTheme="minorEastAsia"/>
          <w:bCs/>
          <w:sz w:val="22"/>
          <w:szCs w:val="22"/>
          <w:lang w:eastAsia="ko-KR"/>
        </w:rPr>
      </w:pPr>
    </w:p>
    <w:p w14:paraId="3117BDE6" w14:textId="77777777" w:rsidR="008D63CE" w:rsidRPr="004635E5" w:rsidRDefault="00837078"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In the s</w:t>
      </w:r>
      <w:r w:rsidR="008D63CE" w:rsidRPr="004635E5">
        <w:rPr>
          <w:rFonts w:eastAsiaTheme="minorEastAsia"/>
          <w:bCs/>
          <w:sz w:val="22"/>
          <w:szCs w:val="22"/>
          <w:lang w:eastAsia="ko-KR"/>
        </w:rPr>
        <w:t>outhern longline fishery</w:t>
      </w:r>
      <w:r w:rsidRPr="004635E5">
        <w:rPr>
          <w:rFonts w:eastAsiaTheme="minorEastAsia"/>
          <w:bCs/>
          <w:sz w:val="22"/>
          <w:szCs w:val="22"/>
          <w:lang w:eastAsia="ko-KR"/>
        </w:rPr>
        <w:t xml:space="preserve"> e</w:t>
      </w:r>
      <w:r w:rsidR="008D63CE" w:rsidRPr="004635E5">
        <w:rPr>
          <w:rFonts w:eastAsiaTheme="minorEastAsia"/>
          <w:bCs/>
          <w:sz w:val="22"/>
          <w:szCs w:val="22"/>
          <w:lang w:eastAsia="ko-KR"/>
        </w:rPr>
        <w:t>conomic conditions followed a declining trend from 1999, reaching well below average levels by 2011 where they remained until 2014. Conditions have improved in recent years and in 2017 were above long-term average levels.</w:t>
      </w:r>
      <w:r w:rsidR="001F3FF4">
        <w:rPr>
          <w:rFonts w:eastAsiaTheme="minorEastAsia"/>
          <w:bCs/>
          <w:sz w:val="22"/>
          <w:szCs w:val="22"/>
          <w:lang w:eastAsia="ko-KR"/>
        </w:rPr>
        <w:t xml:space="preserve"> </w:t>
      </w:r>
      <w:r w:rsidR="008D63CE" w:rsidRPr="004635E5">
        <w:rPr>
          <w:rFonts w:eastAsiaTheme="minorEastAsia"/>
          <w:bCs/>
          <w:sz w:val="22"/>
          <w:szCs w:val="22"/>
          <w:lang w:eastAsia="ko-KR"/>
        </w:rPr>
        <w:t xml:space="preserve">Recent improvements were driven by falling costs and increases in catch rates. While in recent years catch rates have increased, historical data suggest that catch rates are peaking at lower levels owing to the overall declining trend. Given this and forecast increases in fuel costs, it appears that while economic conditions have improved in recent years and are now around their long-term average levels, this may be as good as it gets. </w:t>
      </w:r>
      <w:r w:rsidRPr="004635E5">
        <w:rPr>
          <w:rFonts w:eastAsiaTheme="minorEastAsia"/>
          <w:bCs/>
          <w:sz w:val="22"/>
          <w:szCs w:val="22"/>
          <w:lang w:eastAsia="ko-KR"/>
        </w:rPr>
        <w:t>In the t</w:t>
      </w:r>
      <w:r w:rsidR="008D63CE" w:rsidRPr="004635E5">
        <w:rPr>
          <w:rFonts w:eastAsiaTheme="minorEastAsia"/>
          <w:bCs/>
          <w:sz w:val="22"/>
          <w:szCs w:val="22"/>
          <w:lang w:eastAsia="ko-KR"/>
        </w:rPr>
        <w:t>ropical longline fishery economic condition</w:t>
      </w:r>
      <w:r w:rsidR="00834ADD" w:rsidRPr="004635E5">
        <w:rPr>
          <w:rFonts w:eastAsiaTheme="minorEastAsia"/>
          <w:bCs/>
          <w:sz w:val="22"/>
          <w:szCs w:val="22"/>
          <w:lang w:eastAsia="ko-KR"/>
        </w:rPr>
        <w:t>s</w:t>
      </w:r>
      <w:r w:rsidR="008D63CE" w:rsidRPr="004635E5">
        <w:rPr>
          <w:rFonts w:eastAsiaTheme="minorEastAsia"/>
          <w:bCs/>
          <w:sz w:val="22"/>
          <w:szCs w:val="22"/>
          <w:lang w:eastAsia="ko-KR"/>
        </w:rPr>
        <w:t xml:space="preserve"> rapidly declined </w:t>
      </w:r>
      <w:r w:rsidRPr="004635E5">
        <w:rPr>
          <w:rFonts w:eastAsiaTheme="minorEastAsia"/>
          <w:bCs/>
          <w:sz w:val="22"/>
          <w:szCs w:val="22"/>
          <w:lang w:eastAsia="ko-KR"/>
        </w:rPr>
        <w:t>d</w:t>
      </w:r>
      <w:r w:rsidR="00834ADD" w:rsidRPr="004635E5">
        <w:rPr>
          <w:rFonts w:eastAsiaTheme="minorEastAsia"/>
          <w:bCs/>
          <w:sz w:val="22"/>
          <w:szCs w:val="22"/>
          <w:lang w:eastAsia="ko-KR"/>
        </w:rPr>
        <w:t xml:space="preserve">uring </w:t>
      </w:r>
      <w:r w:rsidR="008D63CE" w:rsidRPr="004635E5">
        <w:rPr>
          <w:rFonts w:eastAsiaTheme="minorEastAsia"/>
          <w:bCs/>
          <w:sz w:val="22"/>
          <w:szCs w:val="22"/>
          <w:lang w:eastAsia="ko-KR"/>
        </w:rPr>
        <w:t>1999</w:t>
      </w:r>
      <w:r w:rsidR="00834ADD" w:rsidRPr="004635E5">
        <w:rPr>
          <w:rFonts w:eastAsiaTheme="minorEastAsia"/>
          <w:bCs/>
          <w:sz w:val="22"/>
          <w:szCs w:val="22"/>
          <w:lang w:eastAsia="ko-KR"/>
        </w:rPr>
        <w:t>–</w:t>
      </w:r>
      <w:r w:rsidR="008D63CE" w:rsidRPr="004635E5">
        <w:rPr>
          <w:rFonts w:eastAsiaTheme="minorEastAsia"/>
          <w:bCs/>
          <w:sz w:val="22"/>
          <w:szCs w:val="22"/>
          <w:lang w:eastAsia="ko-KR"/>
        </w:rPr>
        <w:t xml:space="preserve">2008 as costs increased and prices and catch rates fell. This was followed by a significant improvement in economic conditions in 2009 as costs fell as a result of </w:t>
      </w:r>
      <w:r w:rsidR="00834ADD" w:rsidRPr="004635E5">
        <w:rPr>
          <w:rFonts w:eastAsiaTheme="minorEastAsia"/>
          <w:bCs/>
          <w:sz w:val="22"/>
          <w:szCs w:val="22"/>
          <w:lang w:eastAsia="ko-KR"/>
        </w:rPr>
        <w:t xml:space="preserve">reductions </w:t>
      </w:r>
      <w:r w:rsidR="008D63CE" w:rsidRPr="004635E5">
        <w:rPr>
          <w:rFonts w:eastAsiaTheme="minorEastAsia"/>
          <w:bCs/>
          <w:sz w:val="22"/>
          <w:szCs w:val="22"/>
          <w:lang w:eastAsia="ko-KR"/>
        </w:rPr>
        <w:t>in the global fuel price and an increase in catch rates.</w:t>
      </w:r>
      <w:r w:rsidR="008D63CE" w:rsidRPr="004635E5">
        <w:rPr>
          <w:rFonts w:eastAsiaTheme="minorEastAsia"/>
          <w:b/>
          <w:bCs/>
          <w:sz w:val="22"/>
          <w:szCs w:val="22"/>
          <w:lang w:eastAsia="ko-KR"/>
        </w:rPr>
        <w:t xml:space="preserve"> </w:t>
      </w:r>
      <w:r w:rsidR="00834ADD" w:rsidRPr="004635E5">
        <w:rPr>
          <w:rFonts w:eastAsiaTheme="minorEastAsia"/>
          <w:bCs/>
          <w:sz w:val="22"/>
          <w:szCs w:val="22"/>
          <w:lang w:eastAsia="ko-KR"/>
        </w:rPr>
        <w:t>During 2011–</w:t>
      </w:r>
      <w:r w:rsidR="008D63CE" w:rsidRPr="004635E5">
        <w:rPr>
          <w:rFonts w:eastAsiaTheme="minorEastAsia"/>
          <w:bCs/>
          <w:sz w:val="22"/>
          <w:szCs w:val="22"/>
          <w:lang w:eastAsia="ko-KR"/>
        </w:rPr>
        <w:t xml:space="preserve">2014, the fishery </w:t>
      </w:r>
      <w:r w:rsidR="00834ADD" w:rsidRPr="004635E5">
        <w:rPr>
          <w:rFonts w:eastAsiaTheme="minorEastAsia"/>
          <w:bCs/>
          <w:sz w:val="22"/>
          <w:szCs w:val="22"/>
          <w:lang w:eastAsia="ko-KR"/>
        </w:rPr>
        <w:t>saw persistent but stable below-</w:t>
      </w:r>
      <w:r w:rsidR="008D63CE" w:rsidRPr="004635E5">
        <w:rPr>
          <w:rFonts w:eastAsiaTheme="minorEastAsia"/>
          <w:bCs/>
          <w:sz w:val="22"/>
          <w:szCs w:val="22"/>
          <w:lang w:eastAsia="ko-KR"/>
        </w:rPr>
        <w:t xml:space="preserve">average economic conditions. Conditions improved significantly in 2015 and 2016 due to declining fishing costs and increasing catch rates. However, conditions </w:t>
      </w:r>
      <w:r w:rsidR="00834ADD" w:rsidRPr="004635E5">
        <w:rPr>
          <w:rFonts w:eastAsiaTheme="minorEastAsia"/>
          <w:bCs/>
          <w:sz w:val="22"/>
          <w:szCs w:val="22"/>
          <w:lang w:eastAsia="ko-KR"/>
        </w:rPr>
        <w:t xml:space="preserve">deteriorated </w:t>
      </w:r>
      <w:r w:rsidR="008D63CE" w:rsidRPr="004635E5">
        <w:rPr>
          <w:rFonts w:eastAsiaTheme="minorEastAsia"/>
          <w:bCs/>
          <w:sz w:val="22"/>
          <w:szCs w:val="22"/>
          <w:lang w:eastAsia="ko-KR"/>
        </w:rPr>
        <w:t xml:space="preserve">again in 2017 as catch rates declined. </w:t>
      </w:r>
      <w:r w:rsidR="00834ADD" w:rsidRPr="004635E5">
        <w:rPr>
          <w:rFonts w:eastAsiaTheme="minorEastAsia"/>
          <w:bCs/>
          <w:sz w:val="22"/>
          <w:szCs w:val="22"/>
          <w:lang w:eastAsia="ko-KR"/>
        </w:rPr>
        <w:t>T</w:t>
      </w:r>
      <w:r w:rsidR="008D63CE" w:rsidRPr="004635E5">
        <w:rPr>
          <w:rFonts w:eastAsiaTheme="minorEastAsia"/>
          <w:bCs/>
          <w:sz w:val="22"/>
          <w:szCs w:val="22"/>
          <w:lang w:eastAsia="ko-KR"/>
        </w:rPr>
        <w:t>he recent peak in economic conditions reflect</w:t>
      </w:r>
      <w:r w:rsidR="00346AB8">
        <w:rPr>
          <w:rFonts w:eastAsiaTheme="minorEastAsia" w:hint="eastAsia"/>
          <w:bCs/>
          <w:sz w:val="22"/>
          <w:szCs w:val="22"/>
          <w:lang w:eastAsia="ko-KR"/>
        </w:rPr>
        <w:t>s</w:t>
      </w:r>
      <w:r w:rsidR="008D63CE" w:rsidRPr="004635E5">
        <w:rPr>
          <w:rFonts w:eastAsiaTheme="minorEastAsia"/>
          <w:bCs/>
          <w:sz w:val="22"/>
          <w:szCs w:val="22"/>
          <w:lang w:eastAsia="ko-KR"/>
        </w:rPr>
        <w:t xml:space="preserve"> past average conditions. </w:t>
      </w:r>
      <w:r w:rsidR="00834ADD" w:rsidRPr="004635E5">
        <w:rPr>
          <w:rFonts w:eastAsiaTheme="minorEastAsia"/>
          <w:bCs/>
          <w:sz w:val="22"/>
          <w:szCs w:val="22"/>
          <w:lang w:eastAsia="ko-KR"/>
        </w:rPr>
        <w:t>E</w:t>
      </w:r>
      <w:r w:rsidR="008D63CE" w:rsidRPr="004635E5">
        <w:rPr>
          <w:rFonts w:eastAsiaTheme="minorEastAsia"/>
          <w:bCs/>
          <w:sz w:val="22"/>
          <w:szCs w:val="22"/>
          <w:lang w:eastAsia="ko-KR"/>
        </w:rPr>
        <w:t>conomic conditions are projected to remain below average and follow a declin</w:t>
      </w:r>
      <w:r w:rsidR="00834ADD" w:rsidRPr="004635E5">
        <w:rPr>
          <w:rFonts w:eastAsiaTheme="minorEastAsia"/>
          <w:bCs/>
          <w:sz w:val="22"/>
          <w:szCs w:val="22"/>
          <w:lang w:eastAsia="ko-KR"/>
        </w:rPr>
        <w:t xml:space="preserve">ing trend, </w:t>
      </w:r>
      <w:r w:rsidR="008D63CE" w:rsidRPr="004635E5">
        <w:rPr>
          <w:rFonts w:eastAsiaTheme="minorEastAsia"/>
          <w:bCs/>
          <w:sz w:val="22"/>
          <w:szCs w:val="22"/>
          <w:lang w:eastAsia="ko-KR"/>
        </w:rPr>
        <w:t>primarily driven by expected increases in fuel costs</w:t>
      </w:r>
      <w:r w:rsidR="00834ADD" w:rsidRPr="004635E5">
        <w:rPr>
          <w:rFonts w:eastAsiaTheme="minorEastAsia"/>
          <w:bCs/>
          <w:sz w:val="22"/>
          <w:szCs w:val="22"/>
          <w:lang w:eastAsia="ko-KR"/>
        </w:rPr>
        <w:t>,</w:t>
      </w:r>
      <w:r w:rsidR="008D63CE" w:rsidRPr="004635E5">
        <w:rPr>
          <w:rFonts w:eastAsiaTheme="minorEastAsia"/>
          <w:bCs/>
          <w:sz w:val="22"/>
          <w:szCs w:val="22"/>
          <w:lang w:eastAsia="ko-KR"/>
        </w:rPr>
        <w:t xml:space="preserve"> with fish prices lingering around </w:t>
      </w:r>
      <w:r w:rsidR="00834ADD" w:rsidRPr="004635E5">
        <w:rPr>
          <w:rFonts w:eastAsiaTheme="minorEastAsia"/>
          <w:bCs/>
          <w:sz w:val="22"/>
          <w:szCs w:val="22"/>
          <w:lang w:eastAsia="ko-KR"/>
        </w:rPr>
        <w:t xml:space="preserve">their </w:t>
      </w:r>
      <w:r w:rsidR="008D63CE" w:rsidRPr="004635E5">
        <w:rPr>
          <w:rFonts w:eastAsiaTheme="minorEastAsia"/>
          <w:bCs/>
          <w:sz w:val="22"/>
          <w:szCs w:val="22"/>
          <w:lang w:eastAsia="ko-KR"/>
        </w:rPr>
        <w:t>long-term average</w:t>
      </w:r>
      <w:r w:rsidR="00834ADD" w:rsidRPr="004635E5">
        <w:rPr>
          <w:rFonts w:eastAsiaTheme="minorEastAsia"/>
          <w:bCs/>
          <w:sz w:val="22"/>
          <w:szCs w:val="22"/>
          <w:lang w:eastAsia="ko-KR"/>
        </w:rPr>
        <w:t>,</w:t>
      </w:r>
      <w:r w:rsidR="008D63CE" w:rsidRPr="004635E5">
        <w:rPr>
          <w:rFonts w:eastAsiaTheme="minorEastAsia"/>
          <w:bCs/>
          <w:sz w:val="22"/>
          <w:szCs w:val="22"/>
          <w:lang w:eastAsia="ko-KR"/>
        </w:rPr>
        <w:t xml:space="preserve"> and </w:t>
      </w:r>
      <w:r w:rsidR="00834ADD" w:rsidRPr="004635E5">
        <w:rPr>
          <w:rFonts w:eastAsiaTheme="minorEastAsia"/>
          <w:bCs/>
          <w:sz w:val="22"/>
          <w:szCs w:val="22"/>
          <w:lang w:eastAsia="ko-KR"/>
        </w:rPr>
        <w:t>catch rates persisting at below-</w:t>
      </w:r>
      <w:r w:rsidR="008D63CE" w:rsidRPr="004635E5">
        <w:rPr>
          <w:rFonts w:eastAsiaTheme="minorEastAsia"/>
          <w:bCs/>
          <w:sz w:val="22"/>
          <w:szCs w:val="22"/>
          <w:lang w:eastAsia="ko-KR"/>
        </w:rPr>
        <w:t xml:space="preserve">average levels. </w:t>
      </w:r>
      <w:r w:rsidRPr="004635E5">
        <w:rPr>
          <w:rFonts w:eastAsiaTheme="minorEastAsia"/>
          <w:bCs/>
          <w:sz w:val="22"/>
          <w:szCs w:val="22"/>
          <w:lang w:eastAsia="ko-KR"/>
        </w:rPr>
        <w:t>In the p</w:t>
      </w:r>
      <w:r w:rsidR="008D63CE" w:rsidRPr="004635E5">
        <w:rPr>
          <w:rFonts w:eastAsiaTheme="minorEastAsia"/>
          <w:bCs/>
          <w:sz w:val="22"/>
          <w:szCs w:val="22"/>
          <w:lang w:eastAsia="ko-KR"/>
        </w:rPr>
        <w:t>urse seine fishery</w:t>
      </w:r>
      <w:r w:rsidRPr="004635E5">
        <w:rPr>
          <w:rFonts w:eastAsiaTheme="minorEastAsia"/>
          <w:bCs/>
          <w:sz w:val="22"/>
          <w:szCs w:val="22"/>
          <w:lang w:eastAsia="ko-KR"/>
        </w:rPr>
        <w:t xml:space="preserve"> </w:t>
      </w:r>
      <w:r w:rsidR="008D63CE" w:rsidRPr="004635E5">
        <w:rPr>
          <w:rFonts w:eastAsiaTheme="minorEastAsia"/>
          <w:bCs/>
          <w:sz w:val="22"/>
          <w:szCs w:val="22"/>
          <w:lang w:eastAsia="ko-KR"/>
        </w:rPr>
        <w:t xml:space="preserve">economic conditions in the purse seine fishery have been </w:t>
      </w:r>
      <w:r w:rsidR="00834ADD" w:rsidRPr="004635E5">
        <w:rPr>
          <w:rFonts w:eastAsiaTheme="minorEastAsia"/>
          <w:bCs/>
          <w:sz w:val="22"/>
          <w:szCs w:val="22"/>
          <w:lang w:eastAsia="ko-KR"/>
        </w:rPr>
        <w:t xml:space="preserve">trending </w:t>
      </w:r>
      <w:r w:rsidR="008D63CE" w:rsidRPr="004635E5">
        <w:rPr>
          <w:rFonts w:eastAsiaTheme="minorEastAsia"/>
          <w:bCs/>
          <w:sz w:val="22"/>
          <w:szCs w:val="22"/>
          <w:lang w:eastAsia="ko-KR"/>
        </w:rPr>
        <w:t>upward since 2006, after a sustained period (1999</w:t>
      </w:r>
      <w:r w:rsidR="00834ADD" w:rsidRPr="004635E5">
        <w:rPr>
          <w:rFonts w:eastAsiaTheme="minorEastAsia"/>
          <w:bCs/>
          <w:sz w:val="22"/>
          <w:szCs w:val="22"/>
          <w:lang w:eastAsia="ko-KR"/>
        </w:rPr>
        <w:t>–</w:t>
      </w:r>
      <w:r w:rsidR="008D63CE" w:rsidRPr="004635E5">
        <w:rPr>
          <w:rFonts w:eastAsiaTheme="minorEastAsia"/>
          <w:bCs/>
          <w:sz w:val="22"/>
          <w:szCs w:val="22"/>
          <w:lang w:eastAsia="ko-KR"/>
        </w:rPr>
        <w:t xml:space="preserve">2006) of relatively poor conditions. The key driver behind </w:t>
      </w:r>
      <w:r w:rsidRPr="004635E5">
        <w:rPr>
          <w:rFonts w:eastAsiaTheme="minorEastAsia"/>
          <w:bCs/>
          <w:sz w:val="22"/>
          <w:szCs w:val="22"/>
          <w:lang w:eastAsia="ko-KR"/>
        </w:rPr>
        <w:t xml:space="preserve">during </w:t>
      </w:r>
      <w:r w:rsidR="008D63CE" w:rsidRPr="004635E5">
        <w:rPr>
          <w:rFonts w:eastAsiaTheme="minorEastAsia"/>
          <w:bCs/>
          <w:sz w:val="22"/>
          <w:szCs w:val="22"/>
          <w:lang w:eastAsia="ko-KR"/>
        </w:rPr>
        <w:t>2006</w:t>
      </w:r>
      <w:r w:rsidR="00834ADD" w:rsidRPr="004635E5">
        <w:rPr>
          <w:rFonts w:eastAsiaTheme="minorEastAsia"/>
          <w:bCs/>
          <w:sz w:val="22"/>
          <w:szCs w:val="22"/>
          <w:lang w:eastAsia="ko-KR"/>
        </w:rPr>
        <w:t xml:space="preserve">–2013 </w:t>
      </w:r>
      <w:r w:rsidR="00346AB8">
        <w:rPr>
          <w:rFonts w:eastAsiaTheme="minorEastAsia" w:hint="eastAsia"/>
          <w:bCs/>
          <w:sz w:val="22"/>
          <w:szCs w:val="22"/>
          <w:lang w:eastAsia="ko-KR"/>
        </w:rPr>
        <w:t>was</w:t>
      </w:r>
      <w:r w:rsidR="00346AB8" w:rsidRPr="004635E5">
        <w:rPr>
          <w:rFonts w:eastAsiaTheme="minorEastAsia"/>
          <w:bCs/>
          <w:sz w:val="22"/>
          <w:szCs w:val="22"/>
          <w:lang w:eastAsia="ko-KR"/>
        </w:rPr>
        <w:t xml:space="preserve"> </w:t>
      </w:r>
      <w:r w:rsidR="00834ADD" w:rsidRPr="004635E5">
        <w:rPr>
          <w:rFonts w:eastAsiaTheme="minorEastAsia"/>
          <w:bCs/>
          <w:sz w:val="22"/>
          <w:szCs w:val="22"/>
          <w:lang w:eastAsia="ko-KR"/>
        </w:rPr>
        <w:t>significantly-</w:t>
      </w:r>
      <w:r w:rsidR="008D63CE" w:rsidRPr="004635E5">
        <w:rPr>
          <w:rFonts w:eastAsiaTheme="minorEastAsia"/>
          <w:bCs/>
          <w:sz w:val="22"/>
          <w:szCs w:val="22"/>
          <w:lang w:eastAsia="ko-KR"/>
        </w:rPr>
        <w:t>above average fish prices</w:t>
      </w:r>
      <w:r w:rsidR="00834ADD" w:rsidRPr="004635E5">
        <w:rPr>
          <w:rFonts w:eastAsiaTheme="minorEastAsia"/>
          <w:bCs/>
          <w:sz w:val="22"/>
          <w:szCs w:val="22"/>
          <w:lang w:eastAsia="ko-KR"/>
        </w:rPr>
        <w:t>,</w:t>
      </w:r>
      <w:r w:rsidR="008D63CE" w:rsidRPr="004635E5">
        <w:rPr>
          <w:rFonts w:eastAsiaTheme="minorEastAsia"/>
          <w:bCs/>
          <w:sz w:val="22"/>
          <w:szCs w:val="22"/>
          <w:lang w:eastAsia="ko-KR"/>
        </w:rPr>
        <w:t xml:space="preserve"> which more than offset increases in fuel costs. While declines in fish prices in 2014 resulted in a sharp fall in economic conditions, low fuel costs and increasing catch rates led to conditions staying well above the long-term average in 2015 and 2016. Despite significant falls in catch rates in 2017, higher prices resulted in the continuation of the good economic conditions. Conditions are projected to improve considerably to 2027</w:t>
      </w:r>
      <w:r w:rsidR="00834ADD" w:rsidRPr="004635E5">
        <w:rPr>
          <w:rFonts w:eastAsiaTheme="minorEastAsia"/>
          <w:bCs/>
          <w:sz w:val="22"/>
          <w:szCs w:val="22"/>
          <w:lang w:eastAsia="ko-KR"/>
        </w:rPr>
        <w:t xml:space="preserve">, </w:t>
      </w:r>
      <w:r w:rsidR="008D63CE" w:rsidRPr="004635E5">
        <w:rPr>
          <w:rFonts w:eastAsiaTheme="minorEastAsia"/>
          <w:bCs/>
          <w:sz w:val="22"/>
          <w:szCs w:val="22"/>
          <w:lang w:eastAsia="ko-KR"/>
        </w:rPr>
        <w:t xml:space="preserve">mainly </w:t>
      </w:r>
      <w:r w:rsidR="00834ADD" w:rsidRPr="004635E5">
        <w:rPr>
          <w:rFonts w:eastAsiaTheme="minorEastAsia"/>
          <w:bCs/>
          <w:sz w:val="22"/>
          <w:szCs w:val="22"/>
          <w:lang w:eastAsia="ko-KR"/>
        </w:rPr>
        <w:t xml:space="preserve">because </w:t>
      </w:r>
      <w:r w:rsidR="008D63CE" w:rsidRPr="004635E5">
        <w:rPr>
          <w:rFonts w:eastAsiaTheme="minorEastAsia"/>
          <w:bCs/>
          <w:sz w:val="22"/>
          <w:szCs w:val="22"/>
          <w:lang w:eastAsia="ko-KR"/>
        </w:rPr>
        <w:t xml:space="preserve">of higher </w:t>
      </w:r>
      <w:r w:rsidR="00834ADD" w:rsidRPr="004635E5">
        <w:rPr>
          <w:rFonts w:eastAsiaTheme="minorEastAsia"/>
          <w:bCs/>
          <w:sz w:val="22"/>
          <w:szCs w:val="22"/>
          <w:lang w:eastAsia="ko-KR"/>
        </w:rPr>
        <w:t>projected catch rates and above-</w:t>
      </w:r>
      <w:r w:rsidR="008D63CE" w:rsidRPr="004635E5">
        <w:rPr>
          <w:rFonts w:eastAsiaTheme="minorEastAsia"/>
          <w:bCs/>
          <w:sz w:val="22"/>
          <w:szCs w:val="22"/>
          <w:lang w:eastAsia="ko-KR"/>
        </w:rPr>
        <w:t>average fish prices</w:t>
      </w:r>
      <w:r w:rsidR="00834ADD" w:rsidRPr="004635E5">
        <w:rPr>
          <w:rFonts w:eastAsiaTheme="minorEastAsia"/>
          <w:bCs/>
          <w:sz w:val="22"/>
          <w:szCs w:val="22"/>
          <w:lang w:eastAsia="ko-KR"/>
        </w:rPr>
        <w:t>.</w:t>
      </w:r>
      <w:r w:rsidR="008D63CE" w:rsidRPr="004635E5">
        <w:rPr>
          <w:rFonts w:eastAsiaTheme="minorEastAsia"/>
          <w:bCs/>
          <w:sz w:val="22"/>
          <w:szCs w:val="22"/>
          <w:lang w:eastAsia="ko-KR"/>
        </w:rPr>
        <w:t xml:space="preserve"> </w:t>
      </w:r>
    </w:p>
    <w:p w14:paraId="76DCDE84" w14:textId="77777777" w:rsidR="00C91D50" w:rsidRPr="004635E5" w:rsidRDefault="00C91D50" w:rsidP="006633A8">
      <w:pPr>
        <w:autoSpaceDE w:val="0"/>
        <w:autoSpaceDN w:val="0"/>
        <w:adjustRightInd w:val="0"/>
        <w:snapToGrid w:val="0"/>
        <w:jc w:val="both"/>
        <w:rPr>
          <w:rFonts w:eastAsiaTheme="minorEastAsia"/>
          <w:bCs/>
          <w:sz w:val="22"/>
          <w:szCs w:val="22"/>
          <w:lang w:eastAsia="ko-KR"/>
        </w:rPr>
      </w:pPr>
    </w:p>
    <w:p w14:paraId="1251767A" w14:textId="77777777" w:rsidR="00593ED3" w:rsidRPr="004635E5" w:rsidRDefault="001027B1" w:rsidP="006633A8">
      <w:pPr>
        <w:adjustRightInd w:val="0"/>
        <w:snapToGrid w:val="0"/>
        <w:jc w:val="both"/>
        <w:rPr>
          <w:rFonts w:eastAsiaTheme="minorEastAsia"/>
          <w:b/>
          <w:bCs/>
          <w:sz w:val="22"/>
          <w:szCs w:val="22"/>
          <w:lang w:eastAsia="ko-KR"/>
        </w:rPr>
      </w:pPr>
      <w:r w:rsidRPr="004635E5">
        <w:rPr>
          <w:rFonts w:eastAsiaTheme="minorEastAsia"/>
          <w:b/>
          <w:bCs/>
          <w:sz w:val="22"/>
          <w:szCs w:val="22"/>
          <w:lang w:eastAsia="ko-KR"/>
        </w:rPr>
        <w:t>Discussion</w:t>
      </w:r>
    </w:p>
    <w:p w14:paraId="5A3AD7FF" w14:textId="77777777" w:rsidR="00C91D50" w:rsidRPr="004635E5" w:rsidRDefault="00C91D50" w:rsidP="006633A8">
      <w:pPr>
        <w:adjustRightInd w:val="0"/>
        <w:snapToGrid w:val="0"/>
        <w:jc w:val="both"/>
        <w:rPr>
          <w:rFonts w:eastAsiaTheme="minorEastAsia"/>
          <w:b/>
          <w:bCs/>
          <w:sz w:val="22"/>
          <w:szCs w:val="22"/>
          <w:lang w:eastAsia="ko-KR"/>
        </w:rPr>
      </w:pPr>
    </w:p>
    <w:p w14:paraId="1E7D3BE3" w14:textId="77777777" w:rsidR="00991D55" w:rsidRPr="004635E5" w:rsidRDefault="00593ED3" w:rsidP="00580EA4">
      <w:pPr>
        <w:numPr>
          <w:ilvl w:val="0"/>
          <w:numId w:val="18"/>
        </w:numPr>
        <w:autoSpaceDE w:val="0"/>
        <w:autoSpaceDN w:val="0"/>
        <w:adjustRightInd w:val="0"/>
        <w:snapToGrid w:val="0"/>
        <w:ind w:left="0" w:firstLine="0"/>
        <w:jc w:val="both"/>
        <w:rPr>
          <w:rFonts w:eastAsia="Calibri"/>
          <w:sz w:val="22"/>
          <w:szCs w:val="22"/>
        </w:rPr>
      </w:pPr>
      <w:r w:rsidRPr="004635E5">
        <w:rPr>
          <w:rFonts w:eastAsiaTheme="minorEastAsia"/>
          <w:bCs/>
          <w:sz w:val="22"/>
          <w:szCs w:val="22"/>
          <w:lang w:eastAsia="ko-KR"/>
        </w:rPr>
        <w:t>Fiji</w:t>
      </w:r>
      <w:r w:rsidR="002A1EAF" w:rsidRPr="004635E5">
        <w:rPr>
          <w:rFonts w:eastAsiaTheme="minorEastAsia"/>
          <w:bCs/>
          <w:sz w:val="22"/>
          <w:szCs w:val="22"/>
          <w:lang w:eastAsia="ko-KR"/>
        </w:rPr>
        <w:t xml:space="preserve"> thanked </w:t>
      </w:r>
      <w:r w:rsidR="00991D55" w:rsidRPr="004635E5">
        <w:rPr>
          <w:rFonts w:eastAsiaTheme="minorEastAsia"/>
          <w:bCs/>
          <w:sz w:val="22"/>
          <w:szCs w:val="22"/>
          <w:lang w:eastAsia="ko-KR"/>
        </w:rPr>
        <w:t>the FFA Secretariat for the paper</w:t>
      </w:r>
      <w:r w:rsidR="003C262C" w:rsidRPr="004635E5">
        <w:rPr>
          <w:rFonts w:eastAsiaTheme="minorEastAsia"/>
          <w:bCs/>
          <w:sz w:val="22"/>
          <w:szCs w:val="22"/>
          <w:lang w:eastAsia="ko-KR"/>
        </w:rPr>
        <w:t xml:space="preserve"> and</w:t>
      </w:r>
      <w:r w:rsidR="00991D55" w:rsidRPr="004635E5">
        <w:rPr>
          <w:rFonts w:eastAsiaTheme="minorEastAsia"/>
          <w:bCs/>
          <w:sz w:val="22"/>
          <w:szCs w:val="22"/>
          <w:lang w:eastAsia="ko-KR"/>
        </w:rPr>
        <w:t xml:space="preserve"> welcome</w:t>
      </w:r>
      <w:r w:rsidR="003C262C" w:rsidRPr="004635E5">
        <w:rPr>
          <w:rFonts w:eastAsiaTheme="minorEastAsia"/>
          <w:bCs/>
          <w:sz w:val="22"/>
          <w:szCs w:val="22"/>
          <w:lang w:eastAsia="ko-KR"/>
        </w:rPr>
        <w:t>d</w:t>
      </w:r>
      <w:r w:rsidR="00991D55" w:rsidRPr="004635E5">
        <w:rPr>
          <w:rFonts w:eastAsiaTheme="minorEastAsia"/>
          <w:bCs/>
          <w:sz w:val="22"/>
          <w:szCs w:val="22"/>
          <w:lang w:eastAsia="ko-KR"/>
        </w:rPr>
        <w:t xml:space="preserve"> the improvement in economic conditions in the southern longline fishery since 2015</w:t>
      </w:r>
      <w:r w:rsidR="003C262C" w:rsidRPr="004635E5">
        <w:rPr>
          <w:rFonts w:eastAsiaTheme="minorEastAsia"/>
          <w:bCs/>
          <w:sz w:val="22"/>
          <w:szCs w:val="22"/>
          <w:lang w:eastAsia="ko-KR"/>
        </w:rPr>
        <w:t>, while expressing concern that effort appeared</w:t>
      </w:r>
      <w:r w:rsidR="00991D55" w:rsidRPr="004635E5">
        <w:rPr>
          <w:rFonts w:eastAsiaTheme="minorEastAsia"/>
          <w:bCs/>
          <w:sz w:val="22"/>
          <w:szCs w:val="22"/>
          <w:lang w:eastAsia="ko-KR"/>
        </w:rPr>
        <w:t xml:space="preserve"> to have increased significantly in 2017, </w:t>
      </w:r>
      <w:r w:rsidR="003C262C" w:rsidRPr="004635E5">
        <w:rPr>
          <w:rFonts w:eastAsiaTheme="minorEastAsia"/>
          <w:bCs/>
          <w:sz w:val="22"/>
          <w:szCs w:val="22"/>
          <w:lang w:eastAsia="ko-KR"/>
        </w:rPr>
        <w:t xml:space="preserve">which </w:t>
      </w:r>
      <w:r w:rsidR="00991D55" w:rsidRPr="004635E5">
        <w:rPr>
          <w:rFonts w:eastAsiaTheme="minorEastAsia"/>
          <w:bCs/>
          <w:sz w:val="22"/>
          <w:szCs w:val="22"/>
          <w:lang w:eastAsia="ko-KR"/>
        </w:rPr>
        <w:t xml:space="preserve">will lead to declining </w:t>
      </w:r>
      <w:r w:rsidR="003C262C" w:rsidRPr="004635E5">
        <w:rPr>
          <w:rFonts w:eastAsiaTheme="minorEastAsia"/>
          <w:bCs/>
          <w:sz w:val="22"/>
          <w:szCs w:val="22"/>
          <w:lang w:val="en-GB" w:eastAsia="ko-KR"/>
        </w:rPr>
        <w:t>catch rates</w:t>
      </w:r>
      <w:r w:rsidR="00991D55" w:rsidRPr="004635E5">
        <w:rPr>
          <w:rFonts w:eastAsiaTheme="minorEastAsia"/>
          <w:bCs/>
          <w:sz w:val="22"/>
          <w:szCs w:val="22"/>
          <w:lang w:eastAsia="ko-KR"/>
        </w:rPr>
        <w:t xml:space="preserve">. </w:t>
      </w:r>
      <w:r w:rsidR="003C262C" w:rsidRPr="004635E5">
        <w:rPr>
          <w:rFonts w:eastAsiaTheme="minorEastAsia"/>
          <w:bCs/>
          <w:sz w:val="22"/>
          <w:szCs w:val="22"/>
          <w:lang w:eastAsia="ko-KR"/>
        </w:rPr>
        <w:t xml:space="preserve">When </w:t>
      </w:r>
      <w:r w:rsidR="00991D55" w:rsidRPr="004635E5">
        <w:rPr>
          <w:rFonts w:eastAsiaTheme="minorEastAsia"/>
          <w:bCs/>
          <w:sz w:val="22"/>
          <w:szCs w:val="22"/>
          <w:lang w:eastAsia="ko-KR"/>
        </w:rPr>
        <w:t>combined with projected incr</w:t>
      </w:r>
      <w:r w:rsidR="003C262C" w:rsidRPr="004635E5">
        <w:rPr>
          <w:rFonts w:eastAsiaTheme="minorEastAsia"/>
          <w:bCs/>
          <w:sz w:val="22"/>
          <w:szCs w:val="22"/>
          <w:lang w:eastAsia="ko-KR"/>
        </w:rPr>
        <w:t>eased</w:t>
      </w:r>
      <w:r w:rsidR="00991D55" w:rsidRPr="004635E5">
        <w:rPr>
          <w:rFonts w:eastAsiaTheme="minorEastAsia"/>
          <w:bCs/>
          <w:sz w:val="22"/>
          <w:szCs w:val="22"/>
          <w:lang w:eastAsia="ko-KR"/>
        </w:rPr>
        <w:t xml:space="preserve"> fuel costs, </w:t>
      </w:r>
      <w:r w:rsidR="003C262C" w:rsidRPr="004635E5">
        <w:rPr>
          <w:rFonts w:eastAsiaTheme="minorEastAsia"/>
          <w:bCs/>
          <w:sz w:val="22"/>
          <w:szCs w:val="22"/>
          <w:lang w:eastAsia="ko-KR"/>
        </w:rPr>
        <w:t xml:space="preserve">they expressed their </w:t>
      </w:r>
      <w:r w:rsidR="00991D55" w:rsidRPr="004635E5">
        <w:rPr>
          <w:rFonts w:eastAsiaTheme="minorEastAsia"/>
          <w:bCs/>
          <w:sz w:val="22"/>
          <w:szCs w:val="22"/>
          <w:lang w:eastAsia="ko-KR"/>
        </w:rPr>
        <w:t xml:space="preserve">fear </w:t>
      </w:r>
      <w:r w:rsidR="003C262C" w:rsidRPr="004635E5">
        <w:rPr>
          <w:rFonts w:eastAsiaTheme="minorEastAsia"/>
          <w:bCs/>
          <w:sz w:val="22"/>
          <w:szCs w:val="22"/>
          <w:lang w:eastAsia="ko-KR"/>
        </w:rPr>
        <w:t xml:space="preserve">that </w:t>
      </w:r>
      <w:r w:rsidR="00991D55" w:rsidRPr="004635E5">
        <w:rPr>
          <w:rFonts w:eastAsiaTheme="minorEastAsia"/>
          <w:bCs/>
          <w:sz w:val="22"/>
          <w:szCs w:val="22"/>
          <w:lang w:eastAsia="ko-KR"/>
        </w:rPr>
        <w:t xml:space="preserve">economic conditions </w:t>
      </w:r>
      <w:r w:rsidR="003C262C" w:rsidRPr="004635E5">
        <w:rPr>
          <w:rFonts w:eastAsiaTheme="minorEastAsia"/>
          <w:bCs/>
          <w:sz w:val="22"/>
          <w:szCs w:val="22"/>
          <w:lang w:eastAsia="ko-KR"/>
        </w:rPr>
        <w:t>would soon return</w:t>
      </w:r>
      <w:r w:rsidR="00991D55" w:rsidRPr="004635E5">
        <w:rPr>
          <w:rFonts w:eastAsiaTheme="minorEastAsia"/>
          <w:bCs/>
          <w:sz w:val="22"/>
          <w:szCs w:val="22"/>
          <w:lang w:eastAsia="ko-KR"/>
        </w:rPr>
        <w:t xml:space="preserve"> to the poor conditions that prevailed </w:t>
      </w:r>
      <w:r w:rsidR="003C262C" w:rsidRPr="004635E5">
        <w:rPr>
          <w:rFonts w:eastAsiaTheme="minorEastAsia"/>
          <w:bCs/>
          <w:sz w:val="22"/>
          <w:szCs w:val="22"/>
          <w:lang w:eastAsia="ko-KR"/>
        </w:rPr>
        <w:t xml:space="preserve">during </w:t>
      </w:r>
      <w:r w:rsidR="00991D55" w:rsidRPr="004635E5">
        <w:rPr>
          <w:rFonts w:eastAsiaTheme="minorEastAsia"/>
          <w:bCs/>
          <w:sz w:val="22"/>
          <w:szCs w:val="22"/>
          <w:lang w:eastAsia="ko-KR"/>
        </w:rPr>
        <w:t>2011</w:t>
      </w:r>
      <w:r w:rsidR="003C262C" w:rsidRPr="004635E5">
        <w:rPr>
          <w:rFonts w:eastAsiaTheme="minorEastAsia"/>
          <w:bCs/>
          <w:sz w:val="22"/>
          <w:szCs w:val="22"/>
          <w:lang w:eastAsia="ko-KR"/>
        </w:rPr>
        <w:t>–</w:t>
      </w:r>
      <w:r w:rsidR="00991D55" w:rsidRPr="004635E5">
        <w:rPr>
          <w:rFonts w:eastAsiaTheme="minorEastAsia"/>
          <w:bCs/>
          <w:sz w:val="22"/>
          <w:szCs w:val="22"/>
          <w:lang w:eastAsia="ko-KR"/>
        </w:rPr>
        <w:t xml:space="preserve">2015 </w:t>
      </w:r>
      <w:r w:rsidR="003C262C" w:rsidRPr="004635E5">
        <w:rPr>
          <w:rFonts w:eastAsiaTheme="minorEastAsia"/>
          <w:bCs/>
          <w:sz w:val="22"/>
          <w:szCs w:val="22"/>
          <w:lang w:eastAsia="ko-KR"/>
        </w:rPr>
        <w:t>(</w:t>
      </w:r>
      <w:r w:rsidR="00991D55" w:rsidRPr="004635E5">
        <w:rPr>
          <w:rFonts w:eastAsiaTheme="minorEastAsia"/>
          <w:bCs/>
          <w:sz w:val="22"/>
          <w:szCs w:val="22"/>
          <w:lang w:eastAsia="ko-KR"/>
        </w:rPr>
        <w:t>or perhaps worse</w:t>
      </w:r>
      <w:r w:rsidR="003C262C" w:rsidRPr="004635E5">
        <w:rPr>
          <w:rFonts w:eastAsiaTheme="minorEastAsia"/>
          <w:bCs/>
          <w:sz w:val="22"/>
          <w:szCs w:val="22"/>
          <w:lang w:eastAsia="ko-KR"/>
        </w:rPr>
        <w:t xml:space="preserve">), which would </w:t>
      </w:r>
      <w:r w:rsidR="00991D55" w:rsidRPr="004635E5">
        <w:rPr>
          <w:rFonts w:eastAsiaTheme="minorEastAsia"/>
          <w:bCs/>
          <w:sz w:val="22"/>
          <w:szCs w:val="22"/>
          <w:lang w:eastAsia="ko-KR"/>
        </w:rPr>
        <w:t>significant</w:t>
      </w:r>
      <w:r w:rsidR="003C262C" w:rsidRPr="004635E5">
        <w:rPr>
          <w:rFonts w:eastAsiaTheme="minorEastAsia"/>
          <w:bCs/>
          <w:sz w:val="22"/>
          <w:szCs w:val="22"/>
          <w:lang w:eastAsia="ko-KR"/>
        </w:rPr>
        <w:t>ly</w:t>
      </w:r>
      <w:r w:rsidR="00991D55" w:rsidRPr="004635E5">
        <w:rPr>
          <w:rFonts w:eastAsiaTheme="minorEastAsia"/>
          <w:bCs/>
          <w:sz w:val="22"/>
          <w:szCs w:val="22"/>
          <w:lang w:eastAsia="ko-KR"/>
        </w:rPr>
        <w:t xml:space="preserve"> impact the viability of </w:t>
      </w:r>
      <w:r w:rsidR="003C262C" w:rsidRPr="004635E5">
        <w:rPr>
          <w:rFonts w:eastAsiaTheme="minorEastAsia"/>
          <w:bCs/>
          <w:sz w:val="22"/>
          <w:szCs w:val="22"/>
          <w:lang w:eastAsia="ko-KR"/>
        </w:rPr>
        <w:t xml:space="preserve">their </w:t>
      </w:r>
      <w:r w:rsidR="00991D55" w:rsidRPr="004635E5">
        <w:rPr>
          <w:rFonts w:eastAsiaTheme="minorEastAsia"/>
          <w:bCs/>
          <w:sz w:val="22"/>
          <w:szCs w:val="22"/>
          <w:lang w:eastAsia="ko-KR"/>
        </w:rPr>
        <w:t>domestic fleets</w:t>
      </w:r>
      <w:r w:rsidR="003C262C" w:rsidRPr="004635E5">
        <w:rPr>
          <w:rFonts w:eastAsiaTheme="minorEastAsia"/>
          <w:bCs/>
          <w:sz w:val="22"/>
          <w:szCs w:val="22"/>
          <w:lang w:eastAsia="ko-KR"/>
        </w:rPr>
        <w:t>,</w:t>
      </w:r>
      <w:r w:rsidR="00991D55" w:rsidRPr="004635E5">
        <w:rPr>
          <w:rFonts w:eastAsiaTheme="minorEastAsia"/>
          <w:bCs/>
          <w:sz w:val="22"/>
          <w:szCs w:val="22"/>
          <w:lang w:eastAsia="ko-KR"/>
        </w:rPr>
        <w:t xml:space="preserve"> </w:t>
      </w:r>
      <w:r w:rsidR="003C262C" w:rsidRPr="004635E5">
        <w:rPr>
          <w:rFonts w:eastAsiaTheme="minorEastAsia"/>
          <w:bCs/>
          <w:sz w:val="22"/>
          <w:szCs w:val="22"/>
          <w:lang w:eastAsia="ko-KR"/>
        </w:rPr>
        <w:t xml:space="preserve">that </w:t>
      </w:r>
      <w:r w:rsidR="00991D55" w:rsidRPr="004635E5">
        <w:rPr>
          <w:rFonts w:eastAsiaTheme="minorEastAsia"/>
          <w:bCs/>
          <w:sz w:val="22"/>
          <w:szCs w:val="22"/>
          <w:lang w:eastAsia="ko-KR"/>
        </w:rPr>
        <w:t xml:space="preserve">are least able to pursue other options </w:t>
      </w:r>
      <w:r w:rsidR="003C262C" w:rsidRPr="004635E5">
        <w:rPr>
          <w:rFonts w:eastAsiaTheme="minorEastAsia"/>
          <w:bCs/>
          <w:sz w:val="22"/>
          <w:szCs w:val="22"/>
          <w:lang w:eastAsia="ko-KR"/>
        </w:rPr>
        <w:t xml:space="preserve">in the face of poor </w:t>
      </w:r>
      <w:r w:rsidR="00991D55" w:rsidRPr="004635E5">
        <w:rPr>
          <w:rFonts w:eastAsiaTheme="minorEastAsia"/>
          <w:bCs/>
          <w:sz w:val="22"/>
          <w:szCs w:val="22"/>
          <w:lang w:eastAsia="ko-KR"/>
        </w:rPr>
        <w:t>conditions.</w:t>
      </w:r>
      <w:r w:rsidR="002A1EAF" w:rsidRPr="004635E5">
        <w:rPr>
          <w:rFonts w:eastAsiaTheme="minorEastAsia"/>
          <w:bCs/>
          <w:sz w:val="22"/>
          <w:szCs w:val="22"/>
          <w:lang w:eastAsia="ko-KR"/>
        </w:rPr>
        <w:t xml:space="preserve"> </w:t>
      </w:r>
      <w:r w:rsidR="003C262C" w:rsidRPr="004635E5">
        <w:rPr>
          <w:rFonts w:eastAsiaTheme="minorEastAsia"/>
          <w:bCs/>
          <w:sz w:val="22"/>
          <w:szCs w:val="22"/>
          <w:lang w:eastAsia="ko-KR"/>
        </w:rPr>
        <w:t>I</w:t>
      </w:r>
      <w:r w:rsidR="00991D55" w:rsidRPr="004635E5">
        <w:rPr>
          <w:rFonts w:eastAsiaTheme="minorEastAsia"/>
          <w:bCs/>
          <w:sz w:val="22"/>
          <w:szCs w:val="22"/>
          <w:lang w:eastAsia="ko-KR"/>
        </w:rPr>
        <w:t>n the southern longline fishery in recent years</w:t>
      </w:r>
      <w:r w:rsidR="003C262C" w:rsidRPr="004635E5">
        <w:rPr>
          <w:rFonts w:eastAsiaTheme="minorEastAsia"/>
          <w:bCs/>
          <w:sz w:val="22"/>
          <w:szCs w:val="22"/>
          <w:lang w:eastAsia="ko-KR"/>
        </w:rPr>
        <w:t>,</w:t>
      </w:r>
      <w:r w:rsidR="00991D55" w:rsidRPr="004635E5">
        <w:rPr>
          <w:rFonts w:eastAsiaTheme="minorEastAsia"/>
          <w:bCs/>
          <w:sz w:val="22"/>
          <w:szCs w:val="22"/>
          <w:lang w:eastAsia="ko-KR"/>
        </w:rPr>
        <w:t xml:space="preserve"> as soon as catch rates recover, effort increases, leading in time to </w:t>
      </w:r>
      <w:r w:rsidR="003C262C" w:rsidRPr="004635E5">
        <w:rPr>
          <w:rFonts w:eastAsiaTheme="minorEastAsia"/>
          <w:bCs/>
          <w:sz w:val="22"/>
          <w:szCs w:val="22"/>
          <w:lang w:eastAsia="ko-KR"/>
        </w:rPr>
        <w:t xml:space="preserve">declining </w:t>
      </w:r>
      <w:r w:rsidR="00991D55" w:rsidRPr="004635E5">
        <w:rPr>
          <w:rFonts w:eastAsiaTheme="minorEastAsia"/>
          <w:bCs/>
          <w:sz w:val="22"/>
          <w:szCs w:val="22"/>
          <w:lang w:eastAsia="ko-KR"/>
        </w:rPr>
        <w:t>catch rates</w:t>
      </w:r>
      <w:r w:rsidR="003C262C" w:rsidRPr="004635E5">
        <w:rPr>
          <w:rFonts w:eastAsiaTheme="minorEastAsia"/>
          <w:bCs/>
          <w:sz w:val="22"/>
          <w:szCs w:val="22"/>
          <w:lang w:eastAsia="ko-KR"/>
        </w:rPr>
        <w:t>,</w:t>
      </w:r>
      <w:r w:rsidR="00991D55" w:rsidRPr="004635E5">
        <w:rPr>
          <w:rFonts w:eastAsiaTheme="minorEastAsia"/>
          <w:bCs/>
          <w:sz w:val="22"/>
          <w:szCs w:val="22"/>
          <w:lang w:eastAsia="ko-KR"/>
        </w:rPr>
        <w:t xml:space="preserve"> </w:t>
      </w:r>
      <w:r w:rsidR="003C262C" w:rsidRPr="004635E5">
        <w:rPr>
          <w:rFonts w:eastAsiaTheme="minorEastAsia"/>
          <w:bCs/>
          <w:sz w:val="22"/>
          <w:szCs w:val="22"/>
          <w:lang w:eastAsia="ko-KR"/>
        </w:rPr>
        <w:t xml:space="preserve">then </w:t>
      </w:r>
      <w:r w:rsidR="00991D55" w:rsidRPr="004635E5">
        <w:rPr>
          <w:rFonts w:eastAsiaTheme="minorEastAsia"/>
          <w:bCs/>
          <w:sz w:val="22"/>
          <w:szCs w:val="22"/>
          <w:lang w:eastAsia="ko-KR"/>
        </w:rPr>
        <w:t>declines in effort</w:t>
      </w:r>
      <w:r w:rsidR="003C262C" w:rsidRPr="004635E5">
        <w:rPr>
          <w:rFonts w:eastAsiaTheme="minorEastAsia"/>
          <w:bCs/>
          <w:sz w:val="22"/>
          <w:szCs w:val="22"/>
          <w:lang w:eastAsia="ko-KR"/>
        </w:rPr>
        <w:t xml:space="preserve"> followed by </w:t>
      </w:r>
      <w:r w:rsidR="00991D55" w:rsidRPr="004635E5">
        <w:rPr>
          <w:rFonts w:eastAsiaTheme="minorEastAsia"/>
          <w:bCs/>
          <w:sz w:val="22"/>
          <w:szCs w:val="22"/>
          <w:lang w:eastAsia="ko-KR"/>
        </w:rPr>
        <w:t>a recovery in catch rates</w:t>
      </w:r>
      <w:r w:rsidR="003C262C" w:rsidRPr="004635E5">
        <w:rPr>
          <w:rFonts w:eastAsiaTheme="minorEastAsia"/>
          <w:bCs/>
          <w:sz w:val="22"/>
          <w:szCs w:val="22"/>
          <w:lang w:eastAsia="ko-KR"/>
        </w:rPr>
        <w:t xml:space="preserve">, </w:t>
      </w:r>
      <w:r w:rsidR="00991D55" w:rsidRPr="004635E5">
        <w:rPr>
          <w:rFonts w:eastAsiaTheme="minorEastAsia"/>
          <w:bCs/>
          <w:sz w:val="22"/>
          <w:szCs w:val="22"/>
          <w:lang w:eastAsia="ko-KR"/>
        </w:rPr>
        <w:t xml:space="preserve">and so on. </w:t>
      </w:r>
      <w:r w:rsidR="003C262C" w:rsidRPr="004635E5">
        <w:rPr>
          <w:rFonts w:eastAsiaTheme="minorEastAsia"/>
          <w:bCs/>
          <w:sz w:val="22"/>
          <w:szCs w:val="22"/>
          <w:lang w:eastAsia="ko-KR"/>
        </w:rPr>
        <w:t xml:space="preserve">The </w:t>
      </w:r>
      <w:r w:rsidR="00991D55" w:rsidRPr="004635E5">
        <w:rPr>
          <w:rFonts w:eastAsiaTheme="minorEastAsia"/>
          <w:bCs/>
          <w:sz w:val="22"/>
          <w:szCs w:val="22"/>
          <w:lang w:eastAsia="ko-KR"/>
        </w:rPr>
        <w:t xml:space="preserve">cycle of recovery and downturn is </w:t>
      </w:r>
      <w:r w:rsidR="003C262C" w:rsidRPr="004635E5">
        <w:rPr>
          <w:rFonts w:eastAsiaTheme="minorEastAsia"/>
          <w:bCs/>
          <w:sz w:val="22"/>
          <w:szCs w:val="22"/>
          <w:lang w:eastAsia="ko-KR"/>
        </w:rPr>
        <w:t xml:space="preserve">not </w:t>
      </w:r>
      <w:r w:rsidR="00991D55" w:rsidRPr="004635E5">
        <w:rPr>
          <w:rFonts w:eastAsiaTheme="minorEastAsia"/>
          <w:bCs/>
          <w:sz w:val="22"/>
          <w:szCs w:val="22"/>
          <w:lang w:eastAsia="ko-KR"/>
        </w:rPr>
        <w:t xml:space="preserve">economically sustainable for domestic fleets and highlights the </w:t>
      </w:r>
      <w:r w:rsidR="003C262C" w:rsidRPr="004635E5">
        <w:rPr>
          <w:rFonts w:eastAsiaTheme="minorEastAsia"/>
          <w:bCs/>
          <w:sz w:val="22"/>
          <w:szCs w:val="22"/>
          <w:lang w:eastAsia="ko-KR"/>
        </w:rPr>
        <w:t>need to control</w:t>
      </w:r>
      <w:r w:rsidR="00991D55" w:rsidRPr="004635E5">
        <w:rPr>
          <w:rFonts w:eastAsiaTheme="minorEastAsia"/>
          <w:bCs/>
          <w:sz w:val="22"/>
          <w:szCs w:val="22"/>
          <w:lang w:eastAsia="ko-KR"/>
        </w:rPr>
        <w:t xml:space="preserve"> effort in the fishery so that at least reasonable economic conditions can be sustained and </w:t>
      </w:r>
      <w:r w:rsidR="00991D55" w:rsidRPr="004635E5">
        <w:rPr>
          <w:rFonts w:eastAsia="Calibri"/>
          <w:sz w:val="22"/>
          <w:szCs w:val="22"/>
        </w:rPr>
        <w:t>do not simply translate into expansions in effort and a return to poor conditions.</w:t>
      </w:r>
    </w:p>
    <w:p w14:paraId="456F3CAB" w14:textId="77777777" w:rsidR="00D73BF8" w:rsidRPr="004635E5" w:rsidRDefault="00D73BF8" w:rsidP="006633A8">
      <w:pPr>
        <w:autoSpaceDE w:val="0"/>
        <w:autoSpaceDN w:val="0"/>
        <w:adjustRightInd w:val="0"/>
        <w:snapToGrid w:val="0"/>
        <w:jc w:val="both"/>
        <w:rPr>
          <w:rFonts w:eastAsia="Calibri"/>
          <w:sz w:val="22"/>
          <w:szCs w:val="22"/>
        </w:rPr>
      </w:pPr>
    </w:p>
    <w:p w14:paraId="577757B8" w14:textId="77777777" w:rsidR="00593ED3" w:rsidRPr="004635E5" w:rsidRDefault="00593ED3" w:rsidP="00580EA4">
      <w:pPr>
        <w:numPr>
          <w:ilvl w:val="0"/>
          <w:numId w:val="18"/>
        </w:numPr>
        <w:autoSpaceDE w:val="0"/>
        <w:autoSpaceDN w:val="0"/>
        <w:adjustRightInd w:val="0"/>
        <w:snapToGrid w:val="0"/>
        <w:ind w:left="0" w:firstLine="0"/>
        <w:jc w:val="both"/>
        <w:rPr>
          <w:rFonts w:eastAsia="Calibri"/>
          <w:sz w:val="22"/>
          <w:szCs w:val="22"/>
        </w:rPr>
      </w:pPr>
      <w:r w:rsidRPr="004635E5">
        <w:rPr>
          <w:rFonts w:eastAsia="Calibri"/>
          <w:sz w:val="22"/>
          <w:szCs w:val="22"/>
        </w:rPr>
        <w:t>Aus</w:t>
      </w:r>
      <w:r w:rsidR="0044459B" w:rsidRPr="004635E5">
        <w:rPr>
          <w:rFonts w:eastAsia="Calibri"/>
          <w:sz w:val="22"/>
          <w:szCs w:val="22"/>
        </w:rPr>
        <w:t>tralia commented that the i</w:t>
      </w:r>
      <w:r w:rsidRPr="004635E5">
        <w:rPr>
          <w:rFonts w:eastAsia="Calibri"/>
          <w:sz w:val="22"/>
          <w:szCs w:val="22"/>
        </w:rPr>
        <w:t xml:space="preserve">ndex </w:t>
      </w:r>
      <w:r w:rsidR="0044459B" w:rsidRPr="004635E5">
        <w:rPr>
          <w:rFonts w:eastAsia="Calibri"/>
          <w:sz w:val="22"/>
          <w:szCs w:val="22"/>
        </w:rPr>
        <w:t xml:space="preserve">was </w:t>
      </w:r>
      <w:r w:rsidRPr="004635E5">
        <w:rPr>
          <w:rFonts w:eastAsia="Calibri"/>
          <w:sz w:val="22"/>
          <w:szCs w:val="22"/>
        </w:rPr>
        <w:t xml:space="preserve">relative to </w:t>
      </w:r>
      <w:r w:rsidR="0044459B" w:rsidRPr="004635E5">
        <w:rPr>
          <w:rFonts w:eastAsia="Calibri"/>
          <w:sz w:val="22"/>
          <w:szCs w:val="22"/>
        </w:rPr>
        <w:t xml:space="preserve">the </w:t>
      </w:r>
      <w:r w:rsidRPr="004635E5">
        <w:rPr>
          <w:rFonts w:eastAsia="Calibri"/>
          <w:sz w:val="22"/>
          <w:szCs w:val="22"/>
        </w:rPr>
        <w:t>ave</w:t>
      </w:r>
      <w:r w:rsidR="0044459B" w:rsidRPr="004635E5">
        <w:rPr>
          <w:rFonts w:eastAsia="Calibri"/>
          <w:sz w:val="22"/>
          <w:szCs w:val="22"/>
        </w:rPr>
        <w:t>rage</w:t>
      </w:r>
      <w:r w:rsidRPr="004635E5">
        <w:rPr>
          <w:rFonts w:eastAsia="Calibri"/>
          <w:sz w:val="22"/>
          <w:szCs w:val="22"/>
        </w:rPr>
        <w:t xml:space="preserve"> across </w:t>
      </w:r>
      <w:r w:rsidR="0044459B" w:rsidRPr="004635E5">
        <w:rPr>
          <w:rFonts w:eastAsia="Calibri"/>
          <w:sz w:val="22"/>
          <w:szCs w:val="22"/>
        </w:rPr>
        <w:t xml:space="preserve">a </w:t>
      </w:r>
      <w:r w:rsidRPr="004635E5">
        <w:rPr>
          <w:rFonts w:eastAsia="Calibri"/>
          <w:sz w:val="22"/>
          <w:szCs w:val="22"/>
        </w:rPr>
        <w:t xml:space="preserve">time series, </w:t>
      </w:r>
      <w:r w:rsidR="003C262C" w:rsidRPr="004635E5">
        <w:rPr>
          <w:rFonts w:eastAsia="Calibri"/>
          <w:sz w:val="22"/>
          <w:szCs w:val="22"/>
        </w:rPr>
        <w:t xml:space="preserve">and </w:t>
      </w:r>
      <w:r w:rsidRPr="004635E5">
        <w:rPr>
          <w:rFonts w:eastAsia="Calibri"/>
          <w:sz w:val="22"/>
          <w:szCs w:val="22"/>
        </w:rPr>
        <w:t xml:space="preserve">as new years are added </w:t>
      </w:r>
      <w:r w:rsidR="0044459B" w:rsidRPr="004635E5">
        <w:rPr>
          <w:rFonts w:eastAsia="Calibri"/>
          <w:sz w:val="22"/>
          <w:szCs w:val="22"/>
        </w:rPr>
        <w:t xml:space="preserve">that </w:t>
      </w:r>
      <w:r w:rsidRPr="004635E5">
        <w:rPr>
          <w:rFonts w:eastAsia="Calibri"/>
          <w:sz w:val="22"/>
          <w:szCs w:val="22"/>
        </w:rPr>
        <w:t xml:space="preserve">can change. </w:t>
      </w:r>
      <w:r w:rsidR="0044459B" w:rsidRPr="004635E5">
        <w:rPr>
          <w:rFonts w:eastAsia="Calibri"/>
          <w:sz w:val="22"/>
          <w:szCs w:val="22"/>
        </w:rPr>
        <w:t xml:space="preserve">They suggested it would be possible to identify </w:t>
      </w:r>
      <w:r w:rsidRPr="004635E5">
        <w:rPr>
          <w:rFonts w:eastAsia="Calibri"/>
          <w:sz w:val="22"/>
          <w:szCs w:val="22"/>
        </w:rPr>
        <w:t>a ref</w:t>
      </w:r>
      <w:r w:rsidR="0044459B" w:rsidRPr="004635E5">
        <w:rPr>
          <w:rFonts w:eastAsia="Calibri"/>
          <w:sz w:val="22"/>
          <w:szCs w:val="22"/>
        </w:rPr>
        <w:t>erence</w:t>
      </w:r>
      <w:r w:rsidRPr="004635E5">
        <w:rPr>
          <w:rFonts w:eastAsia="Calibri"/>
          <w:sz w:val="22"/>
          <w:szCs w:val="22"/>
        </w:rPr>
        <w:t xml:space="preserve"> year </w:t>
      </w:r>
      <w:r w:rsidR="0044459B" w:rsidRPr="004635E5">
        <w:rPr>
          <w:rFonts w:eastAsia="Calibri"/>
          <w:sz w:val="22"/>
          <w:szCs w:val="22"/>
        </w:rPr>
        <w:t xml:space="preserve">when </w:t>
      </w:r>
      <w:r w:rsidRPr="004635E5">
        <w:rPr>
          <w:rFonts w:eastAsia="Calibri"/>
          <w:sz w:val="22"/>
          <w:szCs w:val="22"/>
        </w:rPr>
        <w:t>conditions were good</w:t>
      </w:r>
      <w:r w:rsidR="0044459B" w:rsidRPr="004635E5">
        <w:rPr>
          <w:rFonts w:eastAsia="Calibri"/>
          <w:sz w:val="22"/>
          <w:szCs w:val="22"/>
        </w:rPr>
        <w:t xml:space="preserve">, and make </w:t>
      </w:r>
      <w:r w:rsidRPr="004635E5">
        <w:rPr>
          <w:rFonts w:eastAsia="Calibri"/>
          <w:sz w:val="22"/>
          <w:szCs w:val="22"/>
        </w:rPr>
        <w:t>ind</w:t>
      </w:r>
      <w:r w:rsidR="0044459B" w:rsidRPr="004635E5">
        <w:rPr>
          <w:rFonts w:eastAsia="Calibri"/>
          <w:sz w:val="22"/>
          <w:szCs w:val="22"/>
        </w:rPr>
        <w:t>ic</w:t>
      </w:r>
      <w:r w:rsidRPr="004635E5">
        <w:rPr>
          <w:rFonts w:eastAsia="Calibri"/>
          <w:sz w:val="22"/>
          <w:szCs w:val="22"/>
        </w:rPr>
        <w:t xml:space="preserve">es relative to that year. </w:t>
      </w:r>
    </w:p>
    <w:p w14:paraId="186D0164" w14:textId="77777777" w:rsidR="00D73BF8" w:rsidRPr="004635E5" w:rsidRDefault="00D73BF8" w:rsidP="006633A8">
      <w:pPr>
        <w:autoSpaceDE w:val="0"/>
        <w:autoSpaceDN w:val="0"/>
        <w:adjustRightInd w:val="0"/>
        <w:snapToGrid w:val="0"/>
        <w:jc w:val="both"/>
        <w:rPr>
          <w:rFonts w:eastAsia="Calibri"/>
          <w:sz w:val="22"/>
          <w:szCs w:val="22"/>
        </w:rPr>
      </w:pPr>
    </w:p>
    <w:p w14:paraId="28DB211C" w14:textId="77777777" w:rsidR="00593ED3" w:rsidRPr="004635E5" w:rsidRDefault="0044459B" w:rsidP="00580EA4">
      <w:pPr>
        <w:numPr>
          <w:ilvl w:val="0"/>
          <w:numId w:val="18"/>
        </w:numPr>
        <w:autoSpaceDE w:val="0"/>
        <w:autoSpaceDN w:val="0"/>
        <w:adjustRightInd w:val="0"/>
        <w:snapToGrid w:val="0"/>
        <w:ind w:left="0" w:firstLine="0"/>
        <w:jc w:val="both"/>
        <w:rPr>
          <w:rFonts w:eastAsia="Calibri"/>
          <w:sz w:val="22"/>
          <w:szCs w:val="22"/>
        </w:rPr>
      </w:pPr>
      <w:r w:rsidRPr="004635E5">
        <w:rPr>
          <w:rFonts w:eastAsia="Calibri"/>
          <w:sz w:val="22"/>
          <w:szCs w:val="22"/>
        </w:rPr>
        <w:t>Cook Island noted that the paper highlighted</w:t>
      </w:r>
      <w:r w:rsidR="00991D55" w:rsidRPr="004635E5">
        <w:rPr>
          <w:rFonts w:eastAsia="Calibri"/>
          <w:sz w:val="22"/>
          <w:szCs w:val="22"/>
        </w:rPr>
        <w:t xml:space="preserve"> the importance of economic information in fisheries management, especially for fisheries where sustainability </w:t>
      </w:r>
      <w:r w:rsidR="003C262C" w:rsidRPr="004635E5">
        <w:rPr>
          <w:rFonts w:eastAsia="Calibri"/>
          <w:sz w:val="22"/>
          <w:szCs w:val="22"/>
        </w:rPr>
        <w:t xml:space="preserve">was </w:t>
      </w:r>
      <w:r w:rsidR="00991D55" w:rsidRPr="004635E5">
        <w:rPr>
          <w:rFonts w:eastAsia="Calibri"/>
          <w:sz w:val="22"/>
          <w:szCs w:val="22"/>
        </w:rPr>
        <w:t xml:space="preserve">mainly an economic rather than a biological </w:t>
      </w:r>
      <w:r w:rsidR="003C262C" w:rsidRPr="004635E5">
        <w:rPr>
          <w:rFonts w:eastAsia="Calibri"/>
          <w:sz w:val="22"/>
          <w:szCs w:val="22"/>
        </w:rPr>
        <w:t>issue</w:t>
      </w:r>
      <w:r w:rsidR="00991D55" w:rsidRPr="004635E5">
        <w:rPr>
          <w:rFonts w:eastAsia="Calibri"/>
          <w:sz w:val="22"/>
          <w:szCs w:val="22"/>
        </w:rPr>
        <w:t>. For FFA members many of the objectives of managing the WCPO tuna fisheries are economic</w:t>
      </w:r>
      <w:r w:rsidR="003C262C" w:rsidRPr="004635E5">
        <w:rPr>
          <w:rFonts w:eastAsia="Calibri"/>
          <w:sz w:val="22"/>
          <w:szCs w:val="22"/>
        </w:rPr>
        <w:t>,</w:t>
      </w:r>
      <w:r w:rsidR="00991D55" w:rsidRPr="004635E5">
        <w:rPr>
          <w:rFonts w:eastAsia="Calibri"/>
          <w:sz w:val="22"/>
          <w:szCs w:val="22"/>
        </w:rPr>
        <w:t xml:space="preserve"> and </w:t>
      </w:r>
      <w:r w:rsidR="003C262C" w:rsidRPr="004635E5">
        <w:rPr>
          <w:rFonts w:eastAsia="Calibri"/>
          <w:sz w:val="22"/>
          <w:szCs w:val="22"/>
        </w:rPr>
        <w:t xml:space="preserve">the </w:t>
      </w:r>
      <w:r w:rsidR="00991D55" w:rsidRPr="004635E5">
        <w:rPr>
          <w:rFonts w:eastAsia="Calibri"/>
          <w:sz w:val="22"/>
          <w:szCs w:val="22"/>
        </w:rPr>
        <w:t xml:space="preserve">ability </w:t>
      </w:r>
      <w:r w:rsidR="003C262C" w:rsidRPr="004635E5">
        <w:rPr>
          <w:rFonts w:eastAsia="Calibri"/>
          <w:sz w:val="22"/>
          <w:szCs w:val="22"/>
        </w:rPr>
        <w:t xml:space="preserve">of </w:t>
      </w:r>
      <w:r w:rsidR="003C262C" w:rsidRPr="004635E5">
        <w:rPr>
          <w:rFonts w:eastAsia="Calibri"/>
          <w:sz w:val="22"/>
          <w:szCs w:val="22"/>
          <w:lang w:val="en-GB"/>
        </w:rPr>
        <w:t xml:space="preserve">FFA members </w:t>
      </w:r>
      <w:r w:rsidR="00991D55" w:rsidRPr="004635E5">
        <w:rPr>
          <w:rFonts w:eastAsia="Calibri"/>
          <w:sz w:val="22"/>
          <w:szCs w:val="22"/>
        </w:rPr>
        <w:t xml:space="preserve">to achieve them is tied to the economic performance of the fishery. For </w:t>
      </w:r>
      <w:r w:rsidR="003C262C" w:rsidRPr="004635E5">
        <w:rPr>
          <w:rFonts w:eastAsia="Calibri"/>
          <w:sz w:val="22"/>
          <w:szCs w:val="22"/>
        </w:rPr>
        <w:t xml:space="preserve">those </w:t>
      </w:r>
      <w:r w:rsidR="00991D55" w:rsidRPr="004635E5">
        <w:rPr>
          <w:rFonts w:eastAsia="Calibri"/>
          <w:sz w:val="22"/>
          <w:szCs w:val="22"/>
        </w:rPr>
        <w:t xml:space="preserve">reasons </w:t>
      </w:r>
      <w:r w:rsidR="003C262C" w:rsidRPr="004635E5">
        <w:rPr>
          <w:rFonts w:eastAsia="Calibri"/>
          <w:sz w:val="22"/>
          <w:szCs w:val="22"/>
        </w:rPr>
        <w:t xml:space="preserve">they suggested the </w:t>
      </w:r>
      <w:r w:rsidR="00991D55" w:rsidRPr="004635E5">
        <w:rPr>
          <w:rFonts w:eastAsia="Calibri"/>
          <w:sz w:val="22"/>
          <w:szCs w:val="22"/>
        </w:rPr>
        <w:t xml:space="preserve">paper and discussion </w:t>
      </w:r>
      <w:r w:rsidR="003C262C" w:rsidRPr="004635E5">
        <w:rPr>
          <w:rFonts w:eastAsia="Calibri"/>
          <w:sz w:val="22"/>
          <w:szCs w:val="22"/>
        </w:rPr>
        <w:t xml:space="preserve">should </w:t>
      </w:r>
      <w:r w:rsidR="00991D55" w:rsidRPr="004635E5">
        <w:rPr>
          <w:rFonts w:eastAsia="Calibri"/>
          <w:sz w:val="22"/>
          <w:szCs w:val="22"/>
        </w:rPr>
        <w:t>be placed under the Management Issues theme</w:t>
      </w:r>
      <w:r w:rsidR="003C262C" w:rsidRPr="004635E5">
        <w:rPr>
          <w:rFonts w:eastAsia="Calibri"/>
          <w:sz w:val="22"/>
          <w:szCs w:val="22"/>
        </w:rPr>
        <w:t xml:space="preserve"> for SC15</w:t>
      </w:r>
      <w:r w:rsidR="00991D55" w:rsidRPr="004635E5">
        <w:rPr>
          <w:rFonts w:eastAsia="Calibri"/>
          <w:sz w:val="22"/>
          <w:szCs w:val="22"/>
        </w:rPr>
        <w:t>. </w:t>
      </w:r>
    </w:p>
    <w:p w14:paraId="79920975" w14:textId="77777777" w:rsidR="00D73BF8" w:rsidRPr="004635E5" w:rsidRDefault="00D73BF8" w:rsidP="006633A8">
      <w:pPr>
        <w:autoSpaceDE w:val="0"/>
        <w:autoSpaceDN w:val="0"/>
        <w:adjustRightInd w:val="0"/>
        <w:snapToGrid w:val="0"/>
        <w:jc w:val="both"/>
        <w:rPr>
          <w:rFonts w:eastAsia="Calibri"/>
          <w:sz w:val="22"/>
          <w:szCs w:val="22"/>
        </w:rPr>
      </w:pPr>
    </w:p>
    <w:p w14:paraId="7281C8FC" w14:textId="77777777" w:rsidR="00593ED3" w:rsidRPr="004635E5" w:rsidRDefault="0044459B" w:rsidP="00580EA4">
      <w:pPr>
        <w:numPr>
          <w:ilvl w:val="0"/>
          <w:numId w:val="18"/>
        </w:numPr>
        <w:autoSpaceDE w:val="0"/>
        <w:autoSpaceDN w:val="0"/>
        <w:adjustRightInd w:val="0"/>
        <w:snapToGrid w:val="0"/>
        <w:ind w:left="0" w:firstLine="0"/>
        <w:jc w:val="both"/>
        <w:rPr>
          <w:rFonts w:eastAsia="Calibri"/>
          <w:sz w:val="22"/>
          <w:szCs w:val="22"/>
        </w:rPr>
      </w:pPr>
      <w:r w:rsidRPr="004635E5">
        <w:rPr>
          <w:rFonts w:eastAsia="Calibri"/>
          <w:sz w:val="22"/>
          <w:szCs w:val="22"/>
        </w:rPr>
        <w:t xml:space="preserve">The </w:t>
      </w:r>
      <w:r w:rsidR="00593ED3" w:rsidRPr="004635E5">
        <w:rPr>
          <w:rFonts w:eastAsia="Calibri"/>
          <w:sz w:val="22"/>
          <w:szCs w:val="22"/>
        </w:rPr>
        <w:t xml:space="preserve">EU </w:t>
      </w:r>
      <w:r w:rsidRPr="004635E5">
        <w:rPr>
          <w:rFonts w:eastAsia="Calibri"/>
          <w:sz w:val="22"/>
          <w:szCs w:val="22"/>
        </w:rPr>
        <w:t xml:space="preserve">inquired how </w:t>
      </w:r>
      <w:r w:rsidR="00593ED3" w:rsidRPr="004635E5">
        <w:rPr>
          <w:rFonts w:eastAsia="Calibri"/>
          <w:sz w:val="22"/>
          <w:szCs w:val="22"/>
        </w:rPr>
        <w:t>management measure</w:t>
      </w:r>
      <w:r w:rsidR="003C262C" w:rsidRPr="004635E5">
        <w:rPr>
          <w:rFonts w:eastAsia="Calibri"/>
          <w:sz w:val="22"/>
          <w:szCs w:val="22"/>
        </w:rPr>
        <w:t>s</w:t>
      </w:r>
      <w:r w:rsidR="00593ED3" w:rsidRPr="004635E5">
        <w:rPr>
          <w:rFonts w:eastAsia="Calibri"/>
          <w:sz w:val="22"/>
          <w:szCs w:val="22"/>
        </w:rPr>
        <w:t xml:space="preserve"> </w:t>
      </w:r>
      <w:r w:rsidR="00852960" w:rsidRPr="004635E5">
        <w:rPr>
          <w:rFonts w:eastAsia="Calibri"/>
          <w:sz w:val="22"/>
          <w:szCs w:val="22"/>
        </w:rPr>
        <w:t xml:space="preserve">impact </w:t>
      </w:r>
      <w:r w:rsidR="00593ED3" w:rsidRPr="004635E5">
        <w:rPr>
          <w:rFonts w:eastAsia="Calibri"/>
          <w:sz w:val="22"/>
          <w:szCs w:val="22"/>
        </w:rPr>
        <w:t>the fisheries’ profitabil</w:t>
      </w:r>
      <w:r w:rsidRPr="004635E5">
        <w:rPr>
          <w:rFonts w:eastAsia="Calibri"/>
          <w:sz w:val="22"/>
          <w:szCs w:val="22"/>
        </w:rPr>
        <w:t>i</w:t>
      </w:r>
      <w:r w:rsidR="00593ED3" w:rsidRPr="004635E5">
        <w:rPr>
          <w:rFonts w:eastAsia="Calibri"/>
          <w:sz w:val="22"/>
          <w:szCs w:val="22"/>
        </w:rPr>
        <w:t>ty.</w:t>
      </w:r>
      <w:r w:rsidRPr="004635E5">
        <w:rPr>
          <w:rFonts w:eastAsia="Calibri"/>
          <w:sz w:val="22"/>
          <w:szCs w:val="22"/>
        </w:rPr>
        <w:t xml:space="preserve"> M. Skirtun noted that </w:t>
      </w:r>
      <w:r w:rsidR="004421B3" w:rsidRPr="004635E5">
        <w:rPr>
          <w:rFonts w:eastAsia="Calibri"/>
          <w:sz w:val="22"/>
          <w:szCs w:val="22"/>
        </w:rPr>
        <w:t>longline</w:t>
      </w:r>
      <w:r w:rsidR="00593ED3" w:rsidRPr="004635E5">
        <w:rPr>
          <w:rFonts w:eastAsia="Calibri"/>
          <w:sz w:val="22"/>
          <w:szCs w:val="22"/>
        </w:rPr>
        <w:t xml:space="preserve"> fi</w:t>
      </w:r>
      <w:r w:rsidRPr="004635E5">
        <w:rPr>
          <w:rFonts w:eastAsia="Calibri"/>
          <w:sz w:val="22"/>
          <w:szCs w:val="22"/>
        </w:rPr>
        <w:t>s</w:t>
      </w:r>
      <w:r w:rsidR="00593ED3" w:rsidRPr="004635E5">
        <w:rPr>
          <w:rFonts w:eastAsia="Calibri"/>
          <w:sz w:val="22"/>
          <w:szCs w:val="22"/>
        </w:rPr>
        <w:t xml:space="preserve">heries </w:t>
      </w:r>
      <w:r w:rsidRPr="004635E5">
        <w:rPr>
          <w:rFonts w:eastAsia="Calibri"/>
          <w:sz w:val="22"/>
          <w:szCs w:val="22"/>
        </w:rPr>
        <w:t xml:space="preserve">are not </w:t>
      </w:r>
      <w:r w:rsidR="00593ED3" w:rsidRPr="004635E5">
        <w:rPr>
          <w:rFonts w:eastAsia="Calibri"/>
          <w:sz w:val="22"/>
          <w:szCs w:val="22"/>
        </w:rPr>
        <w:t>const</w:t>
      </w:r>
      <w:r w:rsidRPr="004635E5">
        <w:rPr>
          <w:rFonts w:eastAsia="Calibri"/>
          <w:sz w:val="22"/>
          <w:szCs w:val="22"/>
        </w:rPr>
        <w:t xml:space="preserve">rained </w:t>
      </w:r>
      <w:r w:rsidR="00593ED3" w:rsidRPr="004635E5">
        <w:rPr>
          <w:rFonts w:eastAsia="Calibri"/>
          <w:sz w:val="22"/>
          <w:szCs w:val="22"/>
        </w:rPr>
        <w:t xml:space="preserve">in effort. For </w:t>
      </w:r>
      <w:r w:rsidR="00837078" w:rsidRPr="004635E5">
        <w:rPr>
          <w:rFonts w:eastAsia="Calibri"/>
          <w:sz w:val="22"/>
          <w:szCs w:val="22"/>
        </w:rPr>
        <w:t>purse seine</w:t>
      </w:r>
      <w:r w:rsidR="00593ED3" w:rsidRPr="004635E5">
        <w:rPr>
          <w:rFonts w:eastAsia="Calibri"/>
          <w:sz w:val="22"/>
          <w:szCs w:val="22"/>
        </w:rPr>
        <w:t xml:space="preserve"> fishery </w:t>
      </w:r>
      <w:r w:rsidR="00735710" w:rsidRPr="004635E5">
        <w:rPr>
          <w:rFonts w:eastAsia="Calibri"/>
          <w:sz w:val="22"/>
          <w:szCs w:val="22"/>
        </w:rPr>
        <w:t xml:space="preserve">the analysis </w:t>
      </w:r>
      <w:r w:rsidR="00593ED3" w:rsidRPr="004635E5">
        <w:rPr>
          <w:rFonts w:eastAsia="Calibri"/>
          <w:sz w:val="22"/>
          <w:szCs w:val="22"/>
        </w:rPr>
        <w:t>does n</w:t>
      </w:r>
      <w:r w:rsidR="00735710" w:rsidRPr="004635E5">
        <w:rPr>
          <w:rFonts w:eastAsia="Calibri"/>
          <w:sz w:val="22"/>
          <w:szCs w:val="22"/>
        </w:rPr>
        <w:t>o</w:t>
      </w:r>
      <w:r w:rsidR="00593ED3" w:rsidRPr="004635E5">
        <w:rPr>
          <w:rFonts w:eastAsia="Calibri"/>
          <w:sz w:val="22"/>
          <w:szCs w:val="22"/>
        </w:rPr>
        <w:t>t explicitly</w:t>
      </w:r>
      <w:r w:rsidR="00735710" w:rsidRPr="004635E5">
        <w:rPr>
          <w:rFonts w:eastAsia="Calibri"/>
          <w:sz w:val="22"/>
          <w:szCs w:val="22"/>
        </w:rPr>
        <w:t xml:space="preserve"> capture changes in technology or</w:t>
      </w:r>
      <w:r w:rsidR="001F3FF4">
        <w:rPr>
          <w:rFonts w:eastAsia="Calibri"/>
          <w:sz w:val="22"/>
          <w:szCs w:val="22"/>
        </w:rPr>
        <w:t xml:space="preserve"> </w:t>
      </w:r>
      <w:r w:rsidR="00593ED3" w:rsidRPr="004635E5">
        <w:rPr>
          <w:rFonts w:eastAsia="Calibri"/>
          <w:sz w:val="22"/>
          <w:szCs w:val="22"/>
        </w:rPr>
        <w:t xml:space="preserve">practices. </w:t>
      </w:r>
      <w:r w:rsidR="00735710" w:rsidRPr="004635E5">
        <w:rPr>
          <w:rFonts w:eastAsia="Calibri"/>
          <w:sz w:val="22"/>
          <w:szCs w:val="22"/>
        </w:rPr>
        <w:t>It t</w:t>
      </w:r>
      <w:r w:rsidR="00593ED3" w:rsidRPr="004635E5">
        <w:rPr>
          <w:rFonts w:eastAsia="Calibri"/>
          <w:sz w:val="22"/>
          <w:szCs w:val="22"/>
        </w:rPr>
        <w:t xml:space="preserve">akes time for impacts to </w:t>
      </w:r>
      <w:r w:rsidR="00735710" w:rsidRPr="004635E5">
        <w:rPr>
          <w:rFonts w:eastAsia="Calibri"/>
          <w:sz w:val="22"/>
          <w:szCs w:val="22"/>
        </w:rPr>
        <w:t xml:space="preserve">manifest economically, and </w:t>
      </w:r>
      <w:r w:rsidR="003C262C" w:rsidRPr="004635E5">
        <w:rPr>
          <w:rFonts w:eastAsia="Calibri"/>
          <w:sz w:val="22"/>
          <w:szCs w:val="22"/>
        </w:rPr>
        <w:t xml:space="preserve">was </w:t>
      </w:r>
      <w:r w:rsidR="00735710" w:rsidRPr="004635E5">
        <w:rPr>
          <w:rFonts w:eastAsia="Calibri"/>
          <w:sz w:val="22"/>
          <w:szCs w:val="22"/>
        </w:rPr>
        <w:t>h</w:t>
      </w:r>
      <w:r w:rsidR="00593ED3" w:rsidRPr="004635E5">
        <w:rPr>
          <w:rFonts w:eastAsia="Calibri"/>
          <w:sz w:val="22"/>
          <w:szCs w:val="22"/>
        </w:rPr>
        <w:t xml:space="preserve">ard to say whether </w:t>
      </w:r>
      <w:r w:rsidR="00735710" w:rsidRPr="004635E5">
        <w:rPr>
          <w:rFonts w:eastAsia="Calibri"/>
          <w:sz w:val="22"/>
          <w:szCs w:val="22"/>
        </w:rPr>
        <w:t xml:space="preserve">catch rate </w:t>
      </w:r>
      <w:r w:rsidR="00593ED3" w:rsidRPr="004635E5">
        <w:rPr>
          <w:rFonts w:eastAsia="Calibri"/>
          <w:sz w:val="22"/>
          <w:szCs w:val="22"/>
        </w:rPr>
        <w:t xml:space="preserve">fluctuations </w:t>
      </w:r>
      <w:r w:rsidR="00735710" w:rsidRPr="004635E5">
        <w:rPr>
          <w:rFonts w:eastAsia="Calibri"/>
          <w:sz w:val="22"/>
          <w:szCs w:val="22"/>
        </w:rPr>
        <w:t xml:space="preserve">were </w:t>
      </w:r>
      <w:r w:rsidR="00593ED3" w:rsidRPr="004635E5">
        <w:rPr>
          <w:rFonts w:eastAsia="Calibri"/>
          <w:sz w:val="22"/>
          <w:szCs w:val="22"/>
        </w:rPr>
        <w:t>drive</w:t>
      </w:r>
      <w:r w:rsidR="00735710" w:rsidRPr="004635E5">
        <w:rPr>
          <w:rFonts w:eastAsia="Calibri"/>
          <w:sz w:val="22"/>
          <w:szCs w:val="22"/>
        </w:rPr>
        <w:t>n</w:t>
      </w:r>
      <w:r w:rsidR="00593ED3" w:rsidRPr="004635E5">
        <w:rPr>
          <w:rFonts w:eastAsia="Calibri"/>
          <w:sz w:val="22"/>
          <w:szCs w:val="22"/>
        </w:rPr>
        <w:t xml:space="preserve"> by enviro</w:t>
      </w:r>
      <w:r w:rsidR="00735710" w:rsidRPr="004635E5">
        <w:rPr>
          <w:rFonts w:eastAsia="Calibri"/>
          <w:sz w:val="22"/>
          <w:szCs w:val="22"/>
        </w:rPr>
        <w:t>nmental</w:t>
      </w:r>
      <w:r w:rsidR="00593ED3" w:rsidRPr="004635E5">
        <w:rPr>
          <w:rFonts w:eastAsia="Calibri"/>
          <w:sz w:val="22"/>
          <w:szCs w:val="22"/>
        </w:rPr>
        <w:t xml:space="preserve"> factors or management measures. </w:t>
      </w:r>
      <w:r w:rsidR="00735710" w:rsidRPr="004635E5">
        <w:rPr>
          <w:rFonts w:eastAsia="Calibri"/>
          <w:sz w:val="22"/>
          <w:szCs w:val="22"/>
        </w:rPr>
        <w:t>M</w:t>
      </w:r>
      <w:r w:rsidR="003C262C" w:rsidRPr="004635E5">
        <w:rPr>
          <w:rFonts w:eastAsia="Calibri"/>
          <w:sz w:val="22"/>
          <w:szCs w:val="22"/>
        </w:rPr>
        <w:t>anagement measur</w:t>
      </w:r>
      <w:r w:rsidR="00593ED3" w:rsidRPr="004635E5">
        <w:rPr>
          <w:rFonts w:eastAsia="Calibri"/>
          <w:sz w:val="22"/>
          <w:szCs w:val="22"/>
        </w:rPr>
        <w:t>es</w:t>
      </w:r>
      <w:r w:rsidR="00735710" w:rsidRPr="004635E5">
        <w:rPr>
          <w:rFonts w:eastAsia="Calibri"/>
          <w:sz w:val="22"/>
          <w:szCs w:val="22"/>
        </w:rPr>
        <w:t xml:space="preserve"> have been in place since 2010, and some of their impact </w:t>
      </w:r>
      <w:r w:rsidR="00593ED3" w:rsidRPr="004635E5">
        <w:rPr>
          <w:rFonts w:eastAsia="Calibri"/>
          <w:sz w:val="22"/>
          <w:szCs w:val="22"/>
        </w:rPr>
        <w:t>is likely captured.</w:t>
      </w:r>
    </w:p>
    <w:p w14:paraId="78085292" w14:textId="77777777" w:rsidR="00D73BF8" w:rsidRPr="004635E5" w:rsidRDefault="00D73BF8" w:rsidP="006633A8">
      <w:pPr>
        <w:autoSpaceDE w:val="0"/>
        <w:autoSpaceDN w:val="0"/>
        <w:adjustRightInd w:val="0"/>
        <w:snapToGrid w:val="0"/>
        <w:jc w:val="both"/>
        <w:rPr>
          <w:rFonts w:eastAsia="Calibri"/>
          <w:sz w:val="22"/>
          <w:szCs w:val="22"/>
        </w:rPr>
      </w:pPr>
    </w:p>
    <w:p w14:paraId="7254A1F3" w14:textId="77777777" w:rsidR="00593ED3" w:rsidRPr="004635E5" w:rsidRDefault="00593ED3" w:rsidP="00580EA4">
      <w:pPr>
        <w:numPr>
          <w:ilvl w:val="0"/>
          <w:numId w:val="18"/>
        </w:numPr>
        <w:autoSpaceDE w:val="0"/>
        <w:autoSpaceDN w:val="0"/>
        <w:adjustRightInd w:val="0"/>
        <w:snapToGrid w:val="0"/>
        <w:ind w:left="0" w:firstLine="0"/>
        <w:jc w:val="both"/>
        <w:rPr>
          <w:rFonts w:eastAsia="Calibri"/>
          <w:sz w:val="22"/>
          <w:szCs w:val="22"/>
        </w:rPr>
      </w:pPr>
      <w:r w:rsidRPr="004635E5">
        <w:rPr>
          <w:rFonts w:eastAsia="Calibri"/>
          <w:sz w:val="22"/>
          <w:szCs w:val="22"/>
        </w:rPr>
        <w:t>China</w:t>
      </w:r>
      <w:r w:rsidR="00735710" w:rsidRPr="004635E5">
        <w:rPr>
          <w:rFonts w:eastAsia="Calibri"/>
          <w:sz w:val="22"/>
          <w:szCs w:val="22"/>
        </w:rPr>
        <w:t xml:space="preserve"> queried what drives </w:t>
      </w:r>
      <w:r w:rsidRPr="004635E5">
        <w:rPr>
          <w:rFonts w:eastAsia="Calibri"/>
          <w:sz w:val="22"/>
          <w:szCs w:val="22"/>
        </w:rPr>
        <w:t>int</w:t>
      </w:r>
      <w:r w:rsidR="00735710" w:rsidRPr="004635E5">
        <w:rPr>
          <w:rFonts w:eastAsia="Calibri"/>
          <w:sz w:val="22"/>
          <w:szCs w:val="22"/>
        </w:rPr>
        <w:t xml:space="preserve">ernational </w:t>
      </w:r>
      <w:r w:rsidRPr="004635E5">
        <w:rPr>
          <w:rFonts w:eastAsia="Calibri"/>
          <w:sz w:val="22"/>
          <w:szCs w:val="22"/>
        </w:rPr>
        <w:t>price</w:t>
      </w:r>
      <w:r w:rsidR="00735710" w:rsidRPr="004635E5">
        <w:rPr>
          <w:rFonts w:eastAsia="Calibri"/>
          <w:sz w:val="22"/>
          <w:szCs w:val="22"/>
        </w:rPr>
        <w:t>s</w:t>
      </w:r>
      <w:r w:rsidRPr="004635E5">
        <w:rPr>
          <w:rFonts w:eastAsia="Calibri"/>
          <w:sz w:val="22"/>
          <w:szCs w:val="22"/>
        </w:rPr>
        <w:t xml:space="preserve"> in the various fisher</w:t>
      </w:r>
      <w:r w:rsidR="00735710" w:rsidRPr="004635E5">
        <w:rPr>
          <w:rFonts w:eastAsia="Calibri"/>
          <w:sz w:val="22"/>
          <w:szCs w:val="22"/>
        </w:rPr>
        <w:t>ies, as t</w:t>
      </w:r>
      <w:r w:rsidRPr="004635E5">
        <w:rPr>
          <w:rFonts w:eastAsia="Calibri"/>
          <w:sz w:val="22"/>
          <w:szCs w:val="22"/>
        </w:rPr>
        <w:t>una price</w:t>
      </w:r>
      <w:r w:rsidR="00735710" w:rsidRPr="004635E5">
        <w:rPr>
          <w:rFonts w:eastAsia="Calibri"/>
          <w:sz w:val="22"/>
          <w:szCs w:val="22"/>
        </w:rPr>
        <w:t>s</w:t>
      </w:r>
      <w:r w:rsidRPr="004635E5">
        <w:rPr>
          <w:rFonts w:eastAsia="Calibri"/>
          <w:sz w:val="22"/>
          <w:szCs w:val="22"/>
        </w:rPr>
        <w:t xml:space="preserve"> </w:t>
      </w:r>
      <w:r w:rsidR="00735710" w:rsidRPr="004635E5">
        <w:rPr>
          <w:rFonts w:eastAsia="Calibri"/>
          <w:sz w:val="22"/>
          <w:szCs w:val="22"/>
        </w:rPr>
        <w:t xml:space="preserve">are </w:t>
      </w:r>
      <w:r w:rsidRPr="004635E5">
        <w:rPr>
          <w:rFonts w:eastAsia="Calibri"/>
          <w:sz w:val="22"/>
          <w:szCs w:val="22"/>
        </w:rPr>
        <w:t>heavily b</w:t>
      </w:r>
      <w:r w:rsidR="00735710" w:rsidRPr="004635E5">
        <w:rPr>
          <w:rFonts w:eastAsia="Calibri"/>
          <w:sz w:val="22"/>
          <w:szCs w:val="22"/>
        </w:rPr>
        <w:t>a</w:t>
      </w:r>
      <w:r w:rsidRPr="004635E5">
        <w:rPr>
          <w:rFonts w:eastAsia="Calibri"/>
          <w:sz w:val="22"/>
          <w:szCs w:val="22"/>
        </w:rPr>
        <w:t xml:space="preserve">sed on </w:t>
      </w:r>
      <w:r w:rsidR="00735710" w:rsidRPr="004635E5">
        <w:rPr>
          <w:rFonts w:eastAsia="Calibri"/>
          <w:sz w:val="22"/>
          <w:szCs w:val="22"/>
        </w:rPr>
        <w:t xml:space="preserve">the </w:t>
      </w:r>
      <w:r w:rsidRPr="004635E5">
        <w:rPr>
          <w:rFonts w:eastAsia="Calibri"/>
          <w:sz w:val="22"/>
          <w:szCs w:val="22"/>
        </w:rPr>
        <w:t>int</w:t>
      </w:r>
      <w:r w:rsidR="00735710" w:rsidRPr="004635E5">
        <w:rPr>
          <w:rFonts w:eastAsia="Calibri"/>
          <w:sz w:val="22"/>
          <w:szCs w:val="22"/>
        </w:rPr>
        <w:t xml:space="preserve">ernational </w:t>
      </w:r>
      <w:r w:rsidRPr="004635E5">
        <w:rPr>
          <w:rFonts w:eastAsia="Calibri"/>
          <w:sz w:val="22"/>
          <w:szCs w:val="22"/>
        </w:rPr>
        <w:t>m</w:t>
      </w:r>
      <w:r w:rsidR="00735710" w:rsidRPr="004635E5">
        <w:rPr>
          <w:rFonts w:eastAsia="Calibri"/>
          <w:sz w:val="22"/>
          <w:szCs w:val="22"/>
        </w:rPr>
        <w:t>ar</w:t>
      </w:r>
      <w:r w:rsidRPr="004635E5">
        <w:rPr>
          <w:rFonts w:eastAsia="Calibri"/>
          <w:sz w:val="22"/>
          <w:szCs w:val="22"/>
        </w:rPr>
        <w:t>k</w:t>
      </w:r>
      <w:r w:rsidR="00735710" w:rsidRPr="004635E5">
        <w:rPr>
          <w:rFonts w:eastAsia="Calibri"/>
          <w:sz w:val="22"/>
          <w:szCs w:val="22"/>
        </w:rPr>
        <w:t>e</w:t>
      </w:r>
      <w:r w:rsidRPr="004635E5">
        <w:rPr>
          <w:rFonts w:eastAsia="Calibri"/>
          <w:sz w:val="22"/>
          <w:szCs w:val="22"/>
        </w:rPr>
        <w:t>t</w:t>
      </w:r>
      <w:r w:rsidR="001C7B11" w:rsidRPr="004635E5">
        <w:rPr>
          <w:rFonts w:eastAsia="Calibri"/>
          <w:sz w:val="22"/>
          <w:szCs w:val="22"/>
        </w:rPr>
        <w:t xml:space="preserve">, and </w:t>
      </w:r>
      <w:r w:rsidR="00735710" w:rsidRPr="004635E5">
        <w:rPr>
          <w:rFonts w:eastAsia="Calibri"/>
          <w:sz w:val="22"/>
          <w:szCs w:val="22"/>
        </w:rPr>
        <w:t>a</w:t>
      </w:r>
      <w:r w:rsidRPr="004635E5">
        <w:rPr>
          <w:rFonts w:eastAsia="Calibri"/>
          <w:sz w:val="22"/>
          <w:szCs w:val="22"/>
        </w:rPr>
        <w:t>gree</w:t>
      </w:r>
      <w:r w:rsidR="00735710" w:rsidRPr="004635E5">
        <w:rPr>
          <w:rFonts w:eastAsia="Calibri"/>
          <w:sz w:val="22"/>
          <w:szCs w:val="22"/>
        </w:rPr>
        <w:t>d</w:t>
      </w:r>
      <w:r w:rsidRPr="004635E5">
        <w:rPr>
          <w:rFonts w:eastAsia="Calibri"/>
          <w:sz w:val="22"/>
          <w:szCs w:val="22"/>
        </w:rPr>
        <w:t xml:space="preserve"> </w:t>
      </w:r>
      <w:r w:rsidR="00201CD7" w:rsidRPr="004635E5">
        <w:rPr>
          <w:rFonts w:eastAsia="Calibri"/>
          <w:sz w:val="22"/>
          <w:szCs w:val="22"/>
        </w:rPr>
        <w:t xml:space="preserve">that </w:t>
      </w:r>
      <w:r w:rsidR="00735710" w:rsidRPr="004635E5">
        <w:rPr>
          <w:rFonts w:eastAsia="Calibri"/>
          <w:sz w:val="22"/>
          <w:szCs w:val="22"/>
        </w:rPr>
        <w:t xml:space="preserve">the </w:t>
      </w:r>
      <w:r w:rsidRPr="004635E5">
        <w:rPr>
          <w:rFonts w:eastAsia="Calibri"/>
          <w:sz w:val="22"/>
          <w:szCs w:val="22"/>
        </w:rPr>
        <w:t>info</w:t>
      </w:r>
      <w:r w:rsidR="00735710" w:rsidRPr="004635E5">
        <w:rPr>
          <w:rFonts w:eastAsia="Calibri"/>
          <w:sz w:val="22"/>
          <w:szCs w:val="22"/>
        </w:rPr>
        <w:t xml:space="preserve">rmation should be </w:t>
      </w:r>
      <w:r w:rsidRPr="004635E5">
        <w:rPr>
          <w:rFonts w:eastAsia="Calibri"/>
          <w:sz w:val="22"/>
          <w:szCs w:val="22"/>
        </w:rPr>
        <w:t xml:space="preserve">considered </w:t>
      </w:r>
      <w:r w:rsidR="001C7B11" w:rsidRPr="004635E5">
        <w:rPr>
          <w:rFonts w:eastAsia="Calibri"/>
          <w:sz w:val="22"/>
          <w:szCs w:val="22"/>
        </w:rPr>
        <w:t xml:space="preserve">in the </w:t>
      </w:r>
      <w:r w:rsidRPr="004635E5">
        <w:rPr>
          <w:rFonts w:eastAsia="Calibri"/>
          <w:sz w:val="22"/>
          <w:szCs w:val="22"/>
        </w:rPr>
        <w:t xml:space="preserve">management </w:t>
      </w:r>
      <w:r w:rsidR="001C7B11" w:rsidRPr="004635E5">
        <w:rPr>
          <w:rFonts w:eastAsia="Calibri"/>
          <w:sz w:val="22"/>
          <w:szCs w:val="22"/>
        </w:rPr>
        <w:t>theme</w:t>
      </w:r>
      <w:r w:rsidRPr="004635E5">
        <w:rPr>
          <w:rFonts w:eastAsia="Calibri"/>
          <w:sz w:val="22"/>
          <w:szCs w:val="22"/>
        </w:rPr>
        <w:t>. M</w:t>
      </w:r>
      <w:r w:rsidR="00201CD7" w:rsidRPr="004635E5">
        <w:rPr>
          <w:rFonts w:eastAsia="Calibri"/>
          <w:sz w:val="22"/>
          <w:szCs w:val="22"/>
        </w:rPr>
        <w:t xml:space="preserve">. Skirtun noted that in the </w:t>
      </w:r>
      <w:r w:rsidR="004421B3" w:rsidRPr="004635E5">
        <w:rPr>
          <w:rFonts w:eastAsia="Calibri"/>
          <w:sz w:val="22"/>
          <w:szCs w:val="22"/>
        </w:rPr>
        <w:t>longline</w:t>
      </w:r>
      <w:r w:rsidR="00201CD7" w:rsidRPr="004635E5">
        <w:rPr>
          <w:rFonts w:eastAsia="Calibri"/>
          <w:sz w:val="22"/>
          <w:szCs w:val="22"/>
        </w:rPr>
        <w:t xml:space="preserve"> fishery </w:t>
      </w:r>
      <w:r w:rsidRPr="004635E5">
        <w:rPr>
          <w:rFonts w:eastAsia="Calibri"/>
          <w:sz w:val="22"/>
          <w:szCs w:val="22"/>
        </w:rPr>
        <w:t xml:space="preserve">fish prices may not be a key driver, </w:t>
      </w:r>
      <w:r w:rsidR="00201CD7" w:rsidRPr="004635E5">
        <w:rPr>
          <w:rFonts w:eastAsia="Calibri"/>
          <w:sz w:val="22"/>
          <w:szCs w:val="22"/>
        </w:rPr>
        <w:t xml:space="preserve">and that </w:t>
      </w:r>
      <w:r w:rsidR="004421B3" w:rsidRPr="004635E5">
        <w:rPr>
          <w:rFonts w:eastAsia="Calibri"/>
          <w:sz w:val="22"/>
          <w:szCs w:val="22"/>
        </w:rPr>
        <w:t>longline</w:t>
      </w:r>
      <w:r w:rsidRPr="004635E5">
        <w:rPr>
          <w:rFonts w:eastAsia="Calibri"/>
          <w:sz w:val="22"/>
          <w:szCs w:val="22"/>
        </w:rPr>
        <w:t xml:space="preserve"> prices </w:t>
      </w:r>
      <w:r w:rsidR="00201CD7" w:rsidRPr="004635E5">
        <w:rPr>
          <w:rFonts w:eastAsia="Calibri"/>
          <w:sz w:val="22"/>
          <w:szCs w:val="22"/>
        </w:rPr>
        <w:t xml:space="preserve">have </w:t>
      </w:r>
      <w:r w:rsidRPr="004635E5">
        <w:rPr>
          <w:rFonts w:eastAsia="Calibri"/>
          <w:sz w:val="22"/>
          <w:szCs w:val="22"/>
        </w:rPr>
        <w:t>fluctuate</w:t>
      </w:r>
      <w:r w:rsidR="00201CD7" w:rsidRPr="004635E5">
        <w:rPr>
          <w:rFonts w:eastAsia="Calibri"/>
          <w:sz w:val="22"/>
          <w:szCs w:val="22"/>
        </w:rPr>
        <w:t>d</w:t>
      </w:r>
      <w:r w:rsidRPr="004635E5">
        <w:rPr>
          <w:rFonts w:eastAsia="Calibri"/>
          <w:sz w:val="22"/>
          <w:szCs w:val="22"/>
        </w:rPr>
        <w:t xml:space="preserve"> around </w:t>
      </w:r>
      <w:r w:rsidR="00201CD7" w:rsidRPr="004635E5">
        <w:rPr>
          <w:rFonts w:eastAsia="Calibri"/>
          <w:sz w:val="22"/>
          <w:szCs w:val="22"/>
        </w:rPr>
        <w:t xml:space="preserve">a </w:t>
      </w:r>
      <w:r w:rsidRPr="004635E5">
        <w:rPr>
          <w:rFonts w:eastAsia="Calibri"/>
          <w:sz w:val="22"/>
          <w:szCs w:val="22"/>
        </w:rPr>
        <w:t xml:space="preserve">long-term trend, </w:t>
      </w:r>
      <w:r w:rsidR="00201CD7" w:rsidRPr="004635E5">
        <w:rPr>
          <w:rFonts w:eastAsia="Calibri"/>
          <w:sz w:val="22"/>
          <w:szCs w:val="22"/>
        </w:rPr>
        <w:t xml:space="preserve">with recent </w:t>
      </w:r>
      <w:r w:rsidRPr="004635E5">
        <w:rPr>
          <w:rFonts w:eastAsia="Calibri"/>
          <w:sz w:val="22"/>
          <w:szCs w:val="22"/>
        </w:rPr>
        <w:t xml:space="preserve">conditions </w:t>
      </w:r>
      <w:r w:rsidR="00201CD7" w:rsidRPr="004635E5">
        <w:rPr>
          <w:rFonts w:eastAsia="Calibri"/>
          <w:sz w:val="22"/>
          <w:szCs w:val="22"/>
        </w:rPr>
        <w:t xml:space="preserve">driven by </w:t>
      </w:r>
      <w:r w:rsidRPr="004635E5">
        <w:rPr>
          <w:rFonts w:eastAsia="Calibri"/>
          <w:sz w:val="22"/>
          <w:szCs w:val="22"/>
        </w:rPr>
        <w:t xml:space="preserve">exceptionally low fuel prices. </w:t>
      </w:r>
      <w:r w:rsidR="00201CD7" w:rsidRPr="004635E5">
        <w:rPr>
          <w:rFonts w:eastAsia="Calibri"/>
          <w:sz w:val="22"/>
          <w:szCs w:val="22"/>
        </w:rPr>
        <w:t xml:space="preserve">The </w:t>
      </w:r>
      <w:r w:rsidRPr="004635E5">
        <w:rPr>
          <w:rFonts w:eastAsia="Calibri"/>
          <w:sz w:val="22"/>
          <w:szCs w:val="22"/>
        </w:rPr>
        <w:t xml:space="preserve">cost </w:t>
      </w:r>
      <w:r w:rsidR="00201CD7" w:rsidRPr="004635E5">
        <w:rPr>
          <w:rFonts w:eastAsia="Calibri"/>
          <w:sz w:val="22"/>
          <w:szCs w:val="22"/>
        </w:rPr>
        <w:t xml:space="preserve">and CPUE indices are the important </w:t>
      </w:r>
      <w:r w:rsidRPr="004635E5">
        <w:rPr>
          <w:rFonts w:eastAsia="Calibri"/>
          <w:sz w:val="22"/>
          <w:szCs w:val="22"/>
        </w:rPr>
        <w:t>drive</w:t>
      </w:r>
      <w:r w:rsidR="00201CD7" w:rsidRPr="004635E5">
        <w:rPr>
          <w:rFonts w:eastAsia="Calibri"/>
          <w:sz w:val="22"/>
          <w:szCs w:val="22"/>
        </w:rPr>
        <w:t>rs</w:t>
      </w:r>
      <w:r w:rsidRPr="004635E5">
        <w:rPr>
          <w:rFonts w:eastAsia="Calibri"/>
          <w:sz w:val="22"/>
          <w:szCs w:val="22"/>
        </w:rPr>
        <w:t xml:space="preserve">. </w:t>
      </w:r>
      <w:r w:rsidR="00B34898" w:rsidRPr="004635E5">
        <w:rPr>
          <w:rFonts w:eastAsia="Calibri"/>
          <w:sz w:val="22"/>
          <w:szCs w:val="22"/>
        </w:rPr>
        <w:t xml:space="preserve">The </w:t>
      </w:r>
      <w:r w:rsidR="00837078" w:rsidRPr="004635E5">
        <w:rPr>
          <w:rFonts w:eastAsia="Calibri"/>
          <w:sz w:val="22"/>
          <w:szCs w:val="22"/>
        </w:rPr>
        <w:t>purse seine</w:t>
      </w:r>
      <w:r w:rsidRPr="004635E5">
        <w:rPr>
          <w:rFonts w:eastAsia="Calibri"/>
          <w:sz w:val="22"/>
          <w:szCs w:val="22"/>
        </w:rPr>
        <w:t xml:space="preserve"> f</w:t>
      </w:r>
      <w:r w:rsidR="00201CD7" w:rsidRPr="004635E5">
        <w:rPr>
          <w:rFonts w:eastAsia="Calibri"/>
          <w:sz w:val="22"/>
          <w:szCs w:val="22"/>
        </w:rPr>
        <w:t>i</w:t>
      </w:r>
      <w:r w:rsidRPr="004635E5">
        <w:rPr>
          <w:rFonts w:eastAsia="Calibri"/>
          <w:sz w:val="22"/>
          <w:szCs w:val="22"/>
        </w:rPr>
        <w:t xml:space="preserve">shery </w:t>
      </w:r>
      <w:r w:rsidR="00B34898" w:rsidRPr="004635E5">
        <w:rPr>
          <w:rFonts w:eastAsia="Calibri"/>
          <w:sz w:val="22"/>
          <w:szCs w:val="22"/>
        </w:rPr>
        <w:t xml:space="preserve">does have management </w:t>
      </w:r>
      <w:r w:rsidRPr="004635E5">
        <w:rPr>
          <w:rFonts w:eastAsia="Calibri"/>
          <w:sz w:val="22"/>
          <w:szCs w:val="22"/>
        </w:rPr>
        <w:t>limit</w:t>
      </w:r>
      <w:r w:rsidR="00B34898" w:rsidRPr="004635E5">
        <w:rPr>
          <w:rFonts w:eastAsia="Calibri"/>
          <w:sz w:val="22"/>
          <w:szCs w:val="22"/>
        </w:rPr>
        <w:t>s</w:t>
      </w:r>
      <w:r w:rsidRPr="004635E5">
        <w:rPr>
          <w:rFonts w:eastAsia="Calibri"/>
          <w:sz w:val="22"/>
          <w:szCs w:val="22"/>
        </w:rPr>
        <w:t xml:space="preserve">, </w:t>
      </w:r>
      <w:r w:rsidR="00201CD7" w:rsidRPr="004635E5">
        <w:rPr>
          <w:rFonts w:eastAsia="Calibri"/>
          <w:sz w:val="22"/>
          <w:szCs w:val="22"/>
        </w:rPr>
        <w:t xml:space="preserve">and </w:t>
      </w:r>
      <w:r w:rsidRPr="004635E5">
        <w:rPr>
          <w:rFonts w:eastAsia="Calibri"/>
          <w:sz w:val="22"/>
          <w:szCs w:val="22"/>
        </w:rPr>
        <w:t xml:space="preserve">it may be helpful to </w:t>
      </w:r>
      <w:r w:rsidR="00201CD7" w:rsidRPr="004635E5">
        <w:rPr>
          <w:rFonts w:eastAsia="Calibri"/>
          <w:sz w:val="22"/>
          <w:szCs w:val="22"/>
        </w:rPr>
        <w:t xml:space="preserve">inform the management discussion with </w:t>
      </w:r>
      <w:r w:rsidRPr="004635E5">
        <w:rPr>
          <w:rFonts w:eastAsia="Calibri"/>
          <w:sz w:val="22"/>
          <w:szCs w:val="22"/>
        </w:rPr>
        <w:t>econ</w:t>
      </w:r>
      <w:r w:rsidR="00201CD7" w:rsidRPr="004635E5">
        <w:rPr>
          <w:rFonts w:eastAsia="Calibri"/>
          <w:sz w:val="22"/>
          <w:szCs w:val="22"/>
        </w:rPr>
        <w:t>omic</w:t>
      </w:r>
      <w:r w:rsidRPr="004635E5">
        <w:rPr>
          <w:rFonts w:eastAsia="Calibri"/>
          <w:sz w:val="22"/>
          <w:szCs w:val="22"/>
        </w:rPr>
        <w:t xml:space="preserve"> info</w:t>
      </w:r>
      <w:r w:rsidR="00201CD7" w:rsidRPr="004635E5">
        <w:rPr>
          <w:rFonts w:eastAsia="Calibri"/>
          <w:sz w:val="22"/>
          <w:szCs w:val="22"/>
        </w:rPr>
        <w:t>rmation</w:t>
      </w:r>
      <w:r w:rsidRPr="004635E5">
        <w:rPr>
          <w:rFonts w:eastAsia="Calibri"/>
          <w:sz w:val="22"/>
          <w:szCs w:val="22"/>
        </w:rPr>
        <w:t xml:space="preserve">. </w:t>
      </w:r>
    </w:p>
    <w:p w14:paraId="33D5CB4F" w14:textId="77777777" w:rsidR="00D73BF8" w:rsidRPr="004635E5" w:rsidRDefault="00D73BF8" w:rsidP="006633A8">
      <w:pPr>
        <w:autoSpaceDE w:val="0"/>
        <w:autoSpaceDN w:val="0"/>
        <w:adjustRightInd w:val="0"/>
        <w:snapToGrid w:val="0"/>
        <w:jc w:val="both"/>
        <w:rPr>
          <w:rFonts w:eastAsia="Calibri"/>
          <w:sz w:val="22"/>
          <w:szCs w:val="22"/>
        </w:rPr>
      </w:pPr>
    </w:p>
    <w:p w14:paraId="2BE55C0F" w14:textId="77777777" w:rsidR="003C262C" w:rsidRPr="004635E5" w:rsidRDefault="009D6231" w:rsidP="00580EA4">
      <w:pPr>
        <w:numPr>
          <w:ilvl w:val="0"/>
          <w:numId w:val="18"/>
        </w:numPr>
        <w:autoSpaceDE w:val="0"/>
        <w:autoSpaceDN w:val="0"/>
        <w:adjustRightInd w:val="0"/>
        <w:snapToGrid w:val="0"/>
        <w:ind w:left="0" w:firstLine="0"/>
        <w:jc w:val="both"/>
        <w:rPr>
          <w:rFonts w:eastAsia="Calibri"/>
          <w:sz w:val="22"/>
          <w:szCs w:val="22"/>
        </w:rPr>
      </w:pPr>
      <w:r w:rsidRPr="004635E5">
        <w:rPr>
          <w:rFonts w:eastAsia="Calibri"/>
          <w:sz w:val="22"/>
          <w:szCs w:val="22"/>
        </w:rPr>
        <w:t>In response to queries</w:t>
      </w:r>
      <w:r w:rsidR="00201CD7" w:rsidRPr="004635E5">
        <w:rPr>
          <w:rFonts w:eastAsia="Calibri"/>
          <w:sz w:val="22"/>
          <w:szCs w:val="22"/>
        </w:rPr>
        <w:t xml:space="preserve"> from </w:t>
      </w:r>
      <w:r w:rsidR="00593ED3" w:rsidRPr="004635E5">
        <w:rPr>
          <w:rFonts w:eastAsia="Calibri"/>
          <w:sz w:val="22"/>
          <w:szCs w:val="22"/>
        </w:rPr>
        <w:t>C</w:t>
      </w:r>
      <w:r w:rsidR="00201CD7" w:rsidRPr="004635E5">
        <w:rPr>
          <w:rFonts w:eastAsia="Calibri"/>
          <w:sz w:val="22"/>
          <w:szCs w:val="22"/>
        </w:rPr>
        <w:t>hinese Taipei</w:t>
      </w:r>
      <w:r w:rsidRPr="004635E5">
        <w:rPr>
          <w:rFonts w:eastAsia="Calibri"/>
          <w:sz w:val="22"/>
          <w:szCs w:val="22"/>
        </w:rPr>
        <w:t xml:space="preserve"> and Australia</w:t>
      </w:r>
      <w:r w:rsidR="00201CD7" w:rsidRPr="004635E5">
        <w:rPr>
          <w:rFonts w:eastAsia="Calibri"/>
          <w:sz w:val="22"/>
          <w:szCs w:val="22"/>
        </w:rPr>
        <w:t xml:space="preserve">, M. Skirtun noted </w:t>
      </w:r>
      <w:r w:rsidRPr="004635E5">
        <w:rPr>
          <w:rFonts w:eastAsia="Calibri"/>
          <w:sz w:val="22"/>
          <w:szCs w:val="22"/>
        </w:rPr>
        <w:t xml:space="preserve">that CPUE </w:t>
      </w:r>
      <w:r w:rsidR="00593ED3" w:rsidRPr="004635E5">
        <w:rPr>
          <w:rFonts w:eastAsia="Calibri"/>
          <w:sz w:val="22"/>
          <w:szCs w:val="22"/>
        </w:rPr>
        <w:t xml:space="preserve">in </w:t>
      </w:r>
      <w:r w:rsidR="00201CD7" w:rsidRPr="004635E5">
        <w:rPr>
          <w:rFonts w:eastAsia="Calibri"/>
          <w:sz w:val="22"/>
          <w:szCs w:val="22"/>
        </w:rPr>
        <w:t xml:space="preserve">the </w:t>
      </w:r>
      <w:r w:rsidR="00837078" w:rsidRPr="004635E5">
        <w:rPr>
          <w:rFonts w:eastAsia="Calibri"/>
          <w:sz w:val="22"/>
          <w:szCs w:val="22"/>
        </w:rPr>
        <w:t>purse seine</w:t>
      </w:r>
      <w:r w:rsidR="00593ED3" w:rsidRPr="004635E5">
        <w:rPr>
          <w:rFonts w:eastAsia="Calibri"/>
          <w:sz w:val="22"/>
          <w:szCs w:val="22"/>
        </w:rPr>
        <w:t xml:space="preserve"> fishery</w:t>
      </w:r>
      <w:r w:rsidRPr="004635E5">
        <w:rPr>
          <w:rFonts w:eastAsia="Calibri"/>
          <w:sz w:val="22"/>
          <w:szCs w:val="22"/>
        </w:rPr>
        <w:t xml:space="preserve"> was calculated as </w:t>
      </w:r>
      <w:r w:rsidR="00593ED3" w:rsidRPr="004635E5">
        <w:rPr>
          <w:rFonts w:eastAsia="Calibri"/>
          <w:sz w:val="22"/>
          <w:szCs w:val="22"/>
        </w:rPr>
        <w:t>total catch divided by total days</w:t>
      </w:r>
      <w:r w:rsidRPr="004635E5">
        <w:rPr>
          <w:rFonts w:eastAsia="Calibri"/>
          <w:sz w:val="22"/>
          <w:szCs w:val="22"/>
        </w:rPr>
        <w:t xml:space="preserve">, and projected (to 2027) using known past value relationships that presumed any developments (e.g., technology) would continue. The </w:t>
      </w:r>
      <w:r w:rsidR="002E39E9" w:rsidRPr="004635E5">
        <w:rPr>
          <w:rFonts w:eastAsia="Calibri"/>
          <w:sz w:val="22"/>
          <w:szCs w:val="22"/>
        </w:rPr>
        <w:t>theme convener</w:t>
      </w:r>
      <w:r w:rsidRPr="004635E5">
        <w:rPr>
          <w:rFonts w:eastAsia="Calibri"/>
          <w:sz w:val="22"/>
          <w:szCs w:val="22"/>
        </w:rPr>
        <w:t xml:space="preserve"> noted discussions regarding </w:t>
      </w:r>
      <w:r w:rsidR="00847EE1" w:rsidRPr="004635E5">
        <w:rPr>
          <w:rFonts w:eastAsia="Calibri"/>
          <w:sz w:val="22"/>
          <w:szCs w:val="22"/>
        </w:rPr>
        <w:t xml:space="preserve">voluntary guidelines for submission of data, </w:t>
      </w:r>
      <w:r w:rsidR="001867E9" w:rsidRPr="004635E5">
        <w:rPr>
          <w:rFonts w:eastAsia="Calibri"/>
          <w:sz w:val="22"/>
          <w:szCs w:val="22"/>
        </w:rPr>
        <w:t xml:space="preserve">and the need to </w:t>
      </w:r>
      <w:r w:rsidR="00847EE1" w:rsidRPr="004635E5">
        <w:rPr>
          <w:rFonts w:eastAsia="Calibri"/>
          <w:sz w:val="22"/>
          <w:szCs w:val="22"/>
        </w:rPr>
        <w:t xml:space="preserve">develop </w:t>
      </w:r>
      <w:r w:rsidR="001867E9" w:rsidRPr="004635E5">
        <w:rPr>
          <w:rFonts w:eastAsia="Calibri"/>
          <w:sz w:val="22"/>
          <w:szCs w:val="22"/>
        </w:rPr>
        <w:t>p</w:t>
      </w:r>
      <w:r w:rsidR="00847EE1" w:rsidRPr="004635E5">
        <w:rPr>
          <w:rFonts w:eastAsia="Calibri"/>
          <w:sz w:val="22"/>
          <w:szCs w:val="22"/>
        </w:rPr>
        <w:t>r</w:t>
      </w:r>
      <w:r w:rsidR="001867E9" w:rsidRPr="004635E5">
        <w:rPr>
          <w:rFonts w:eastAsia="Calibri"/>
          <w:sz w:val="22"/>
          <w:szCs w:val="22"/>
        </w:rPr>
        <w:t>o</w:t>
      </w:r>
      <w:r w:rsidR="00847EE1" w:rsidRPr="004635E5">
        <w:rPr>
          <w:rFonts w:eastAsia="Calibri"/>
          <w:sz w:val="22"/>
          <w:szCs w:val="22"/>
        </w:rPr>
        <w:t>posals for how this would work.</w:t>
      </w:r>
      <w:r w:rsidR="003C262C" w:rsidRPr="004635E5">
        <w:rPr>
          <w:rFonts w:eastAsia="Calibri"/>
          <w:sz w:val="22"/>
          <w:szCs w:val="22"/>
        </w:rPr>
        <w:t xml:space="preserve"> </w:t>
      </w:r>
    </w:p>
    <w:p w14:paraId="1909746F" w14:textId="77777777" w:rsidR="00D73BF8" w:rsidRPr="004635E5" w:rsidRDefault="00D73BF8" w:rsidP="006633A8">
      <w:pPr>
        <w:autoSpaceDE w:val="0"/>
        <w:autoSpaceDN w:val="0"/>
        <w:adjustRightInd w:val="0"/>
        <w:snapToGrid w:val="0"/>
        <w:jc w:val="both"/>
        <w:rPr>
          <w:rFonts w:eastAsia="Calibri"/>
          <w:sz w:val="22"/>
          <w:szCs w:val="22"/>
        </w:rPr>
      </w:pPr>
    </w:p>
    <w:p w14:paraId="1AC476A8" w14:textId="77777777" w:rsidR="00991D55" w:rsidRPr="004635E5" w:rsidRDefault="00847EE1" w:rsidP="00580EA4">
      <w:pPr>
        <w:numPr>
          <w:ilvl w:val="0"/>
          <w:numId w:val="18"/>
        </w:numPr>
        <w:autoSpaceDE w:val="0"/>
        <w:autoSpaceDN w:val="0"/>
        <w:adjustRightInd w:val="0"/>
        <w:snapToGrid w:val="0"/>
        <w:ind w:left="0" w:firstLine="0"/>
        <w:jc w:val="both"/>
        <w:rPr>
          <w:rFonts w:eastAsia="Calibri"/>
          <w:sz w:val="22"/>
          <w:szCs w:val="22"/>
        </w:rPr>
      </w:pPr>
      <w:r w:rsidRPr="004635E5">
        <w:rPr>
          <w:rFonts w:eastAsia="Calibri"/>
          <w:sz w:val="22"/>
          <w:szCs w:val="22"/>
        </w:rPr>
        <w:t>Tonga</w:t>
      </w:r>
      <w:r w:rsidR="001867E9" w:rsidRPr="004635E5">
        <w:rPr>
          <w:rFonts w:eastAsia="Calibri"/>
          <w:sz w:val="22"/>
          <w:szCs w:val="22"/>
        </w:rPr>
        <w:t xml:space="preserve"> on behalf of FFA</w:t>
      </w:r>
      <w:r w:rsidR="00991D55" w:rsidRPr="004635E5">
        <w:rPr>
          <w:rFonts w:eastAsia="Calibri"/>
          <w:sz w:val="22"/>
          <w:szCs w:val="22"/>
        </w:rPr>
        <w:t xml:space="preserve"> </w:t>
      </w:r>
      <w:r w:rsidR="001867E9" w:rsidRPr="004635E5">
        <w:rPr>
          <w:rFonts w:eastAsia="Calibri"/>
          <w:sz w:val="22"/>
          <w:szCs w:val="22"/>
        </w:rPr>
        <w:t>m</w:t>
      </w:r>
      <w:r w:rsidR="00991D55" w:rsidRPr="004635E5">
        <w:rPr>
          <w:rFonts w:eastAsia="Calibri"/>
          <w:sz w:val="22"/>
          <w:szCs w:val="22"/>
        </w:rPr>
        <w:t>embers welcome</w:t>
      </w:r>
      <w:r w:rsidR="001867E9" w:rsidRPr="004635E5">
        <w:rPr>
          <w:rFonts w:eastAsia="Calibri"/>
          <w:sz w:val="22"/>
          <w:szCs w:val="22"/>
        </w:rPr>
        <w:t>d</w:t>
      </w:r>
      <w:r w:rsidR="00991D55" w:rsidRPr="004635E5">
        <w:rPr>
          <w:rFonts w:eastAsia="Calibri"/>
          <w:sz w:val="22"/>
          <w:szCs w:val="22"/>
        </w:rPr>
        <w:t xml:space="preserve"> the adoption by the Commission of </w:t>
      </w:r>
      <w:r w:rsidR="001867E9" w:rsidRPr="004635E5">
        <w:rPr>
          <w:rFonts w:eastAsia="Calibri"/>
          <w:sz w:val="22"/>
          <w:szCs w:val="22"/>
        </w:rPr>
        <w:t xml:space="preserve">a </w:t>
      </w:r>
      <w:r w:rsidR="00991D55" w:rsidRPr="004635E5">
        <w:rPr>
          <w:rFonts w:eastAsia="Calibri"/>
          <w:sz w:val="22"/>
          <w:szCs w:val="22"/>
        </w:rPr>
        <w:t xml:space="preserve">set of principles that </w:t>
      </w:r>
      <w:r w:rsidR="003C262C" w:rsidRPr="004635E5">
        <w:rPr>
          <w:rFonts w:eastAsia="Calibri"/>
          <w:sz w:val="22"/>
          <w:szCs w:val="22"/>
        </w:rPr>
        <w:t xml:space="preserve">would </w:t>
      </w:r>
      <w:r w:rsidR="00991D55" w:rsidRPr="004635E5">
        <w:rPr>
          <w:rFonts w:eastAsia="Calibri"/>
          <w:sz w:val="22"/>
          <w:szCs w:val="22"/>
        </w:rPr>
        <w:t>inform the development of guidelines for the voluntary submission of economic data and wish</w:t>
      </w:r>
      <w:r w:rsidR="003C262C" w:rsidRPr="004635E5">
        <w:rPr>
          <w:rFonts w:eastAsia="Calibri"/>
          <w:sz w:val="22"/>
          <w:szCs w:val="22"/>
        </w:rPr>
        <w:t>ed</w:t>
      </w:r>
      <w:r w:rsidR="00991D55" w:rsidRPr="004635E5">
        <w:rPr>
          <w:rFonts w:eastAsia="Calibri"/>
          <w:sz w:val="22"/>
          <w:szCs w:val="22"/>
        </w:rPr>
        <w:t xml:space="preserve"> to see such guidelines developed in an expedient manner</w:t>
      </w:r>
      <w:r w:rsidR="003C262C" w:rsidRPr="004635E5">
        <w:rPr>
          <w:rFonts w:eastAsia="Calibri"/>
          <w:sz w:val="22"/>
          <w:szCs w:val="22"/>
        </w:rPr>
        <w:t xml:space="preserve"> </w:t>
      </w:r>
      <w:r w:rsidR="00991D55" w:rsidRPr="004635E5">
        <w:rPr>
          <w:rFonts w:eastAsia="Calibri"/>
          <w:sz w:val="22"/>
          <w:szCs w:val="22"/>
        </w:rPr>
        <w:t xml:space="preserve">to ensure that economic data </w:t>
      </w:r>
      <w:r w:rsidR="003C262C" w:rsidRPr="004635E5">
        <w:rPr>
          <w:rFonts w:eastAsia="Calibri"/>
          <w:sz w:val="22"/>
          <w:szCs w:val="22"/>
        </w:rPr>
        <w:t xml:space="preserve">are </w:t>
      </w:r>
      <w:r w:rsidR="00991D55" w:rsidRPr="004635E5">
        <w:rPr>
          <w:rFonts w:eastAsia="Calibri"/>
          <w:sz w:val="22"/>
          <w:szCs w:val="22"/>
        </w:rPr>
        <w:t xml:space="preserve">available </w:t>
      </w:r>
      <w:r w:rsidR="003C262C" w:rsidRPr="004635E5">
        <w:rPr>
          <w:rFonts w:eastAsia="Calibri"/>
          <w:sz w:val="22"/>
          <w:szCs w:val="22"/>
        </w:rPr>
        <w:t xml:space="preserve">to inform </w:t>
      </w:r>
      <w:r w:rsidR="00991D55" w:rsidRPr="004635E5">
        <w:rPr>
          <w:rFonts w:eastAsia="Calibri"/>
          <w:sz w:val="22"/>
          <w:szCs w:val="22"/>
        </w:rPr>
        <w:t>the Commission</w:t>
      </w:r>
      <w:r w:rsidR="003C262C" w:rsidRPr="004635E5">
        <w:rPr>
          <w:rFonts w:eastAsia="Calibri"/>
          <w:sz w:val="22"/>
          <w:szCs w:val="22"/>
        </w:rPr>
        <w:t>’s work</w:t>
      </w:r>
      <w:r w:rsidR="00991D55" w:rsidRPr="004635E5">
        <w:rPr>
          <w:rFonts w:eastAsia="Calibri"/>
          <w:sz w:val="22"/>
          <w:szCs w:val="22"/>
        </w:rPr>
        <w:t xml:space="preserve">, including, the setting of </w:t>
      </w:r>
      <w:r w:rsidR="00B34898" w:rsidRPr="004635E5">
        <w:rPr>
          <w:rFonts w:eastAsia="Calibri"/>
          <w:sz w:val="22"/>
          <w:szCs w:val="22"/>
        </w:rPr>
        <w:t xml:space="preserve">target reference points </w:t>
      </w:r>
      <w:r w:rsidR="00991D55" w:rsidRPr="004635E5">
        <w:rPr>
          <w:rFonts w:eastAsia="Calibri"/>
          <w:sz w:val="22"/>
          <w:szCs w:val="22"/>
        </w:rPr>
        <w:t xml:space="preserve">and the development of </w:t>
      </w:r>
      <w:r w:rsidR="00B34898" w:rsidRPr="004635E5">
        <w:rPr>
          <w:rFonts w:eastAsia="Calibri"/>
          <w:sz w:val="22"/>
          <w:szCs w:val="22"/>
        </w:rPr>
        <w:t>harvest control rules</w:t>
      </w:r>
      <w:r w:rsidR="00991D55" w:rsidRPr="004635E5">
        <w:rPr>
          <w:rFonts w:eastAsia="Calibri"/>
          <w:sz w:val="22"/>
          <w:szCs w:val="22"/>
        </w:rPr>
        <w:t xml:space="preserve">. FFA </w:t>
      </w:r>
      <w:r w:rsidR="003C262C" w:rsidRPr="004635E5">
        <w:rPr>
          <w:rFonts w:eastAsia="Calibri"/>
          <w:sz w:val="22"/>
          <w:szCs w:val="22"/>
        </w:rPr>
        <w:t>m</w:t>
      </w:r>
      <w:r w:rsidR="00991D55" w:rsidRPr="004635E5">
        <w:rPr>
          <w:rFonts w:eastAsia="Calibri"/>
          <w:sz w:val="22"/>
          <w:szCs w:val="22"/>
        </w:rPr>
        <w:t xml:space="preserve">embers </w:t>
      </w:r>
      <w:r w:rsidR="003C262C" w:rsidRPr="004635E5">
        <w:rPr>
          <w:rFonts w:eastAsia="Calibri"/>
          <w:sz w:val="22"/>
          <w:szCs w:val="22"/>
        </w:rPr>
        <w:t xml:space="preserve">noted </w:t>
      </w:r>
      <w:r w:rsidR="00991D55" w:rsidRPr="004635E5">
        <w:rPr>
          <w:rFonts w:eastAsia="Calibri"/>
          <w:sz w:val="22"/>
          <w:szCs w:val="22"/>
        </w:rPr>
        <w:t>that the key issue for SC</w:t>
      </w:r>
      <w:r w:rsidR="003C262C" w:rsidRPr="004635E5">
        <w:rPr>
          <w:rFonts w:eastAsia="Calibri"/>
          <w:sz w:val="22"/>
          <w:szCs w:val="22"/>
        </w:rPr>
        <w:t>14</w:t>
      </w:r>
      <w:r w:rsidR="00991D55" w:rsidRPr="004635E5">
        <w:rPr>
          <w:rFonts w:eastAsia="Calibri"/>
          <w:sz w:val="22"/>
          <w:szCs w:val="22"/>
        </w:rPr>
        <w:t xml:space="preserve"> </w:t>
      </w:r>
      <w:r w:rsidR="003C262C" w:rsidRPr="004635E5">
        <w:rPr>
          <w:rFonts w:eastAsia="Calibri"/>
          <w:sz w:val="22"/>
          <w:szCs w:val="22"/>
        </w:rPr>
        <w:t>was deciding</w:t>
      </w:r>
      <w:r w:rsidR="00991D55" w:rsidRPr="004635E5">
        <w:rPr>
          <w:rFonts w:eastAsia="Calibri"/>
          <w:sz w:val="22"/>
          <w:szCs w:val="22"/>
        </w:rPr>
        <w:t xml:space="preserve"> on a process through which draft guidelines </w:t>
      </w:r>
      <w:r w:rsidR="003C262C" w:rsidRPr="004635E5">
        <w:rPr>
          <w:rFonts w:eastAsia="Calibri"/>
          <w:sz w:val="22"/>
          <w:szCs w:val="22"/>
        </w:rPr>
        <w:t xml:space="preserve">could </w:t>
      </w:r>
      <w:r w:rsidR="00991D55" w:rsidRPr="004635E5">
        <w:rPr>
          <w:rFonts w:eastAsia="Calibri"/>
          <w:sz w:val="22"/>
          <w:szCs w:val="22"/>
        </w:rPr>
        <w:t xml:space="preserve">be developed for further consideration by the Commission or one of its subsidiary bodies. </w:t>
      </w:r>
      <w:r w:rsidR="003C262C" w:rsidRPr="004635E5">
        <w:rPr>
          <w:rFonts w:eastAsia="Calibri"/>
          <w:sz w:val="22"/>
          <w:szCs w:val="22"/>
        </w:rPr>
        <w:t xml:space="preserve">The stated that this </w:t>
      </w:r>
      <w:r w:rsidR="00991D55" w:rsidRPr="004635E5">
        <w:rPr>
          <w:rFonts w:eastAsia="Calibri"/>
          <w:sz w:val="22"/>
          <w:szCs w:val="22"/>
        </w:rPr>
        <w:t>necessitate</w:t>
      </w:r>
      <w:r w:rsidR="003C262C" w:rsidRPr="004635E5">
        <w:rPr>
          <w:rFonts w:eastAsia="Calibri"/>
          <w:sz w:val="22"/>
          <w:szCs w:val="22"/>
        </w:rPr>
        <w:t>d</w:t>
      </w:r>
      <w:r w:rsidR="00991D55" w:rsidRPr="004635E5">
        <w:rPr>
          <w:rFonts w:eastAsia="Calibri"/>
          <w:sz w:val="22"/>
          <w:szCs w:val="22"/>
        </w:rPr>
        <w:t xml:space="preserve"> a discussion on who </w:t>
      </w:r>
      <w:r w:rsidR="003C262C" w:rsidRPr="004635E5">
        <w:rPr>
          <w:rFonts w:eastAsia="Calibri"/>
          <w:sz w:val="22"/>
          <w:szCs w:val="22"/>
        </w:rPr>
        <w:t xml:space="preserve">would </w:t>
      </w:r>
      <w:r w:rsidR="00991D55" w:rsidRPr="004635E5">
        <w:rPr>
          <w:rFonts w:eastAsia="Calibri"/>
          <w:sz w:val="22"/>
          <w:szCs w:val="22"/>
        </w:rPr>
        <w:t>undertake the development of the draft guidelines and the associated timeframes</w:t>
      </w:r>
      <w:r w:rsidR="003C262C" w:rsidRPr="004635E5">
        <w:rPr>
          <w:rFonts w:eastAsia="Calibri"/>
          <w:sz w:val="22"/>
          <w:szCs w:val="22"/>
        </w:rPr>
        <w:t>, and w</w:t>
      </w:r>
      <w:r w:rsidR="00991D55" w:rsidRPr="004635E5">
        <w:rPr>
          <w:rFonts w:eastAsia="Calibri"/>
          <w:sz w:val="22"/>
          <w:szCs w:val="22"/>
        </w:rPr>
        <w:t>elcome</w:t>
      </w:r>
      <w:r w:rsidR="003C262C" w:rsidRPr="004635E5">
        <w:rPr>
          <w:rFonts w:eastAsia="Calibri"/>
          <w:sz w:val="22"/>
          <w:szCs w:val="22"/>
        </w:rPr>
        <w:t>d</w:t>
      </w:r>
      <w:r w:rsidR="00991D55" w:rsidRPr="004635E5">
        <w:rPr>
          <w:rFonts w:eastAsia="Calibri"/>
          <w:sz w:val="22"/>
          <w:szCs w:val="22"/>
        </w:rPr>
        <w:t xml:space="preserve"> suggestion</w:t>
      </w:r>
      <w:r w:rsidR="003C262C" w:rsidRPr="004635E5">
        <w:rPr>
          <w:rFonts w:eastAsia="Calibri"/>
          <w:sz w:val="22"/>
          <w:szCs w:val="22"/>
        </w:rPr>
        <w:t>s</w:t>
      </w:r>
      <w:r w:rsidR="00991D55" w:rsidRPr="004635E5">
        <w:rPr>
          <w:rFonts w:eastAsia="Calibri"/>
          <w:sz w:val="22"/>
          <w:szCs w:val="22"/>
        </w:rPr>
        <w:t>.</w:t>
      </w:r>
    </w:p>
    <w:p w14:paraId="7E08C493" w14:textId="77777777" w:rsidR="00D73BF8" w:rsidRPr="004635E5" w:rsidRDefault="00D73BF8" w:rsidP="006633A8">
      <w:pPr>
        <w:autoSpaceDE w:val="0"/>
        <w:autoSpaceDN w:val="0"/>
        <w:adjustRightInd w:val="0"/>
        <w:snapToGrid w:val="0"/>
        <w:jc w:val="both"/>
        <w:rPr>
          <w:rFonts w:eastAsia="Calibri"/>
          <w:sz w:val="22"/>
          <w:szCs w:val="22"/>
        </w:rPr>
      </w:pPr>
    </w:p>
    <w:p w14:paraId="316A286D" w14:textId="77777777" w:rsidR="000F4054" w:rsidRPr="004635E5" w:rsidRDefault="00991D55" w:rsidP="00580EA4">
      <w:pPr>
        <w:numPr>
          <w:ilvl w:val="0"/>
          <w:numId w:val="18"/>
        </w:numPr>
        <w:autoSpaceDE w:val="0"/>
        <w:autoSpaceDN w:val="0"/>
        <w:adjustRightInd w:val="0"/>
        <w:snapToGrid w:val="0"/>
        <w:ind w:left="0" w:firstLine="0"/>
        <w:jc w:val="both"/>
        <w:rPr>
          <w:rFonts w:eastAsia="Calibri"/>
          <w:sz w:val="22"/>
          <w:szCs w:val="22"/>
        </w:rPr>
      </w:pPr>
      <w:r w:rsidRPr="004635E5">
        <w:rPr>
          <w:rFonts w:eastAsia="Calibri"/>
          <w:sz w:val="22"/>
          <w:szCs w:val="22"/>
        </w:rPr>
        <w:t>Fiji</w:t>
      </w:r>
      <w:r w:rsidR="00B34898" w:rsidRPr="004635E5">
        <w:rPr>
          <w:rFonts w:eastAsia="Calibri"/>
          <w:sz w:val="22"/>
          <w:szCs w:val="22"/>
        </w:rPr>
        <w:t>,</w:t>
      </w:r>
      <w:r w:rsidRPr="004635E5">
        <w:rPr>
          <w:rFonts w:eastAsia="Calibri"/>
          <w:sz w:val="22"/>
          <w:szCs w:val="22"/>
        </w:rPr>
        <w:t xml:space="preserve"> </w:t>
      </w:r>
      <w:r w:rsidR="003C262C" w:rsidRPr="004635E5">
        <w:rPr>
          <w:rFonts w:eastAsia="Calibri"/>
          <w:sz w:val="22"/>
          <w:szCs w:val="22"/>
        </w:rPr>
        <w:t xml:space="preserve">on behalf of </w:t>
      </w:r>
      <w:r w:rsidRPr="004635E5">
        <w:rPr>
          <w:rFonts w:eastAsia="Calibri"/>
          <w:sz w:val="22"/>
          <w:szCs w:val="22"/>
        </w:rPr>
        <w:t>FFA members</w:t>
      </w:r>
      <w:r w:rsidR="00B34898" w:rsidRPr="004635E5">
        <w:rPr>
          <w:rFonts w:eastAsia="Calibri"/>
          <w:sz w:val="22"/>
          <w:szCs w:val="22"/>
        </w:rPr>
        <w:t>,</w:t>
      </w:r>
      <w:r w:rsidRPr="004635E5">
        <w:rPr>
          <w:rFonts w:eastAsia="Calibri"/>
          <w:sz w:val="22"/>
          <w:szCs w:val="22"/>
        </w:rPr>
        <w:t xml:space="preserve"> </w:t>
      </w:r>
      <w:r w:rsidR="00B34898" w:rsidRPr="004635E5">
        <w:rPr>
          <w:rFonts w:eastAsia="Calibri"/>
          <w:sz w:val="22"/>
          <w:szCs w:val="22"/>
        </w:rPr>
        <w:t xml:space="preserve">stated that </w:t>
      </w:r>
      <w:r w:rsidRPr="004635E5">
        <w:rPr>
          <w:rFonts w:eastAsia="Calibri"/>
          <w:sz w:val="22"/>
          <w:szCs w:val="22"/>
        </w:rPr>
        <w:t xml:space="preserve">the availability of economic data </w:t>
      </w:r>
      <w:r w:rsidR="00B34898" w:rsidRPr="004635E5">
        <w:rPr>
          <w:rFonts w:eastAsia="Calibri"/>
          <w:sz w:val="22"/>
          <w:szCs w:val="22"/>
        </w:rPr>
        <w:t xml:space="preserve">was </w:t>
      </w:r>
      <w:r w:rsidRPr="004635E5">
        <w:rPr>
          <w:rFonts w:eastAsia="Calibri"/>
          <w:sz w:val="22"/>
          <w:szCs w:val="22"/>
        </w:rPr>
        <w:t xml:space="preserve">extremely important </w:t>
      </w:r>
      <w:r w:rsidR="000359E0" w:rsidRPr="004635E5">
        <w:rPr>
          <w:rFonts w:eastAsia="Calibri"/>
          <w:sz w:val="22"/>
          <w:szCs w:val="22"/>
        </w:rPr>
        <w:t xml:space="preserve">to </w:t>
      </w:r>
      <w:r w:rsidRPr="004635E5">
        <w:rPr>
          <w:rFonts w:eastAsia="Calibri"/>
          <w:sz w:val="22"/>
          <w:szCs w:val="22"/>
        </w:rPr>
        <w:t xml:space="preserve">the work of the Commission. Fiji </w:t>
      </w:r>
      <w:r w:rsidR="00B34898" w:rsidRPr="004635E5">
        <w:rPr>
          <w:rFonts w:eastAsia="Calibri"/>
          <w:sz w:val="22"/>
          <w:szCs w:val="22"/>
        </w:rPr>
        <w:t xml:space="preserve">offered </w:t>
      </w:r>
      <w:r w:rsidRPr="004635E5">
        <w:rPr>
          <w:rFonts w:eastAsia="Calibri"/>
          <w:sz w:val="22"/>
          <w:szCs w:val="22"/>
        </w:rPr>
        <w:t>to dev</w:t>
      </w:r>
      <w:r w:rsidR="00B34898" w:rsidRPr="004635E5">
        <w:rPr>
          <w:rFonts w:eastAsia="Calibri"/>
          <w:sz w:val="22"/>
          <w:szCs w:val="22"/>
        </w:rPr>
        <w:t>elop</w:t>
      </w:r>
      <w:r w:rsidRPr="004635E5">
        <w:rPr>
          <w:rFonts w:eastAsia="Calibri"/>
          <w:sz w:val="22"/>
          <w:szCs w:val="22"/>
        </w:rPr>
        <w:t xml:space="preserve"> draft guidelines based on the principles agreed to by </w:t>
      </w:r>
      <w:r w:rsidR="00B34898" w:rsidRPr="004635E5">
        <w:rPr>
          <w:rFonts w:eastAsia="Calibri"/>
          <w:sz w:val="22"/>
          <w:szCs w:val="22"/>
        </w:rPr>
        <w:t>WCPFC14</w:t>
      </w:r>
      <w:r w:rsidRPr="004635E5">
        <w:rPr>
          <w:rFonts w:eastAsia="Calibri"/>
          <w:sz w:val="22"/>
          <w:szCs w:val="22"/>
        </w:rPr>
        <w:t xml:space="preserve">. </w:t>
      </w:r>
      <w:r w:rsidR="00B34898" w:rsidRPr="004635E5">
        <w:rPr>
          <w:rFonts w:eastAsia="Calibri"/>
          <w:sz w:val="22"/>
          <w:szCs w:val="22"/>
        </w:rPr>
        <w:t xml:space="preserve">Fiji proposed </w:t>
      </w:r>
      <w:r w:rsidRPr="004635E5">
        <w:rPr>
          <w:rFonts w:eastAsia="Calibri"/>
          <w:sz w:val="22"/>
          <w:szCs w:val="22"/>
        </w:rPr>
        <w:t>develop</w:t>
      </w:r>
      <w:r w:rsidR="00B34898" w:rsidRPr="004635E5">
        <w:rPr>
          <w:rFonts w:eastAsia="Calibri"/>
          <w:sz w:val="22"/>
          <w:szCs w:val="22"/>
        </w:rPr>
        <w:t>ing</w:t>
      </w:r>
      <w:r w:rsidRPr="004635E5">
        <w:rPr>
          <w:rFonts w:eastAsia="Calibri"/>
          <w:sz w:val="22"/>
          <w:szCs w:val="22"/>
        </w:rPr>
        <w:t xml:space="preserve"> an initial draft for circula</w:t>
      </w:r>
      <w:r w:rsidR="00B34898" w:rsidRPr="004635E5">
        <w:rPr>
          <w:rFonts w:eastAsia="Calibri"/>
          <w:sz w:val="22"/>
          <w:szCs w:val="22"/>
        </w:rPr>
        <w:t>tion to members and then preparing</w:t>
      </w:r>
      <w:r w:rsidRPr="004635E5">
        <w:rPr>
          <w:rFonts w:eastAsia="Calibri"/>
          <w:sz w:val="22"/>
          <w:szCs w:val="22"/>
        </w:rPr>
        <w:t xml:space="preserve"> a revised draft based on comments received for consideration by </w:t>
      </w:r>
      <w:r w:rsidR="00B34898" w:rsidRPr="004635E5">
        <w:rPr>
          <w:rFonts w:eastAsia="Calibri"/>
          <w:sz w:val="22"/>
          <w:szCs w:val="22"/>
        </w:rPr>
        <w:t>SC15</w:t>
      </w:r>
      <w:r w:rsidRPr="004635E5">
        <w:rPr>
          <w:rFonts w:eastAsia="Calibri"/>
          <w:sz w:val="22"/>
          <w:szCs w:val="22"/>
        </w:rPr>
        <w:t>. </w:t>
      </w:r>
    </w:p>
    <w:p w14:paraId="509D9C29" w14:textId="77777777" w:rsidR="00D73BF8" w:rsidRPr="004635E5" w:rsidRDefault="00D73BF8" w:rsidP="006633A8">
      <w:pPr>
        <w:autoSpaceDE w:val="0"/>
        <w:autoSpaceDN w:val="0"/>
        <w:adjustRightInd w:val="0"/>
        <w:snapToGrid w:val="0"/>
        <w:jc w:val="both"/>
        <w:rPr>
          <w:rFonts w:eastAsia="Calibri"/>
          <w:sz w:val="22"/>
          <w:szCs w:val="22"/>
        </w:rPr>
      </w:pPr>
    </w:p>
    <w:p w14:paraId="497CC46F" w14:textId="77777777" w:rsidR="008B65F3" w:rsidRPr="004635E5" w:rsidRDefault="008B65F3" w:rsidP="006633A8">
      <w:pPr>
        <w:autoSpaceDE w:val="0"/>
        <w:autoSpaceDN w:val="0"/>
        <w:adjustRightInd w:val="0"/>
        <w:snapToGrid w:val="0"/>
        <w:jc w:val="both"/>
        <w:rPr>
          <w:rFonts w:eastAsia="Calibri"/>
          <w:b/>
          <w:sz w:val="22"/>
          <w:szCs w:val="22"/>
        </w:rPr>
      </w:pPr>
      <w:r w:rsidRPr="004635E5">
        <w:rPr>
          <w:rFonts w:eastAsia="Calibri"/>
          <w:b/>
          <w:sz w:val="22"/>
          <w:szCs w:val="22"/>
        </w:rPr>
        <w:t>Recommendation</w:t>
      </w:r>
    </w:p>
    <w:p w14:paraId="5288B39C" w14:textId="77777777" w:rsidR="00D73BF8" w:rsidRPr="004635E5" w:rsidRDefault="00D73BF8" w:rsidP="006633A8">
      <w:pPr>
        <w:autoSpaceDE w:val="0"/>
        <w:autoSpaceDN w:val="0"/>
        <w:adjustRightInd w:val="0"/>
        <w:snapToGrid w:val="0"/>
        <w:jc w:val="both"/>
        <w:rPr>
          <w:rFonts w:eastAsia="Calibri"/>
          <w:b/>
          <w:sz w:val="22"/>
          <w:szCs w:val="22"/>
        </w:rPr>
      </w:pPr>
    </w:p>
    <w:p w14:paraId="615F46FB" w14:textId="77777777" w:rsidR="00953858" w:rsidRPr="00D70754" w:rsidRDefault="0045254C" w:rsidP="00580EA4">
      <w:pPr>
        <w:numPr>
          <w:ilvl w:val="0"/>
          <w:numId w:val="18"/>
        </w:numPr>
        <w:autoSpaceDE w:val="0"/>
        <w:autoSpaceDN w:val="0"/>
        <w:adjustRightInd w:val="0"/>
        <w:snapToGrid w:val="0"/>
        <w:ind w:left="0" w:firstLine="0"/>
        <w:jc w:val="both"/>
        <w:rPr>
          <w:b/>
          <w:sz w:val="22"/>
          <w:szCs w:val="22"/>
          <w:shd w:val="clear" w:color="auto" w:fill="FFFFFF"/>
        </w:rPr>
      </w:pPr>
      <w:r w:rsidRPr="004635E5">
        <w:rPr>
          <w:b/>
          <w:sz w:val="22"/>
          <w:szCs w:val="22"/>
          <w:shd w:val="clear" w:color="auto" w:fill="FFFFFF"/>
        </w:rPr>
        <w:t>SC14 recommended that future reports on economic conditions in WCPO fisheries (</w:t>
      </w:r>
      <w:r w:rsidR="00347BA9">
        <w:rPr>
          <w:b/>
          <w:sz w:val="22"/>
          <w:szCs w:val="22"/>
          <w:shd w:val="clear" w:color="auto" w:fill="FFFFFF"/>
        </w:rPr>
        <w:t>SC14-</w:t>
      </w:r>
      <w:r w:rsidRPr="004635E5">
        <w:rPr>
          <w:b/>
          <w:sz w:val="22"/>
          <w:szCs w:val="22"/>
          <w:shd w:val="clear" w:color="auto" w:fill="FFFFFF"/>
        </w:rPr>
        <w:t xml:space="preserve">ST-WP-04) be delivered in the SC general reports under Agenda item 2.1. </w:t>
      </w:r>
    </w:p>
    <w:p w14:paraId="1F32E6D3" w14:textId="77777777" w:rsidR="00D70754" w:rsidRDefault="00D70754" w:rsidP="00D70754">
      <w:pPr>
        <w:autoSpaceDE w:val="0"/>
        <w:autoSpaceDN w:val="0"/>
        <w:adjustRightInd w:val="0"/>
        <w:snapToGrid w:val="0"/>
        <w:jc w:val="both"/>
        <w:rPr>
          <w:rFonts w:eastAsiaTheme="minorEastAsia"/>
          <w:b/>
          <w:sz w:val="22"/>
          <w:szCs w:val="22"/>
          <w:shd w:val="clear" w:color="auto" w:fill="FFFFFF"/>
          <w:lang w:eastAsia="ko-KR"/>
        </w:rPr>
      </w:pPr>
    </w:p>
    <w:p w14:paraId="7ECDE5BF" w14:textId="77777777" w:rsidR="00953858" w:rsidRPr="004635E5" w:rsidRDefault="00953858" w:rsidP="006633A8">
      <w:pPr>
        <w:adjustRightInd w:val="0"/>
        <w:snapToGrid w:val="0"/>
        <w:rPr>
          <w:b/>
          <w:sz w:val="22"/>
          <w:szCs w:val="22"/>
          <w:shd w:val="clear" w:color="auto" w:fill="FFFFFF"/>
        </w:rPr>
      </w:pPr>
    </w:p>
    <w:p w14:paraId="3BF3B9F6" w14:textId="77777777" w:rsidR="00F62249" w:rsidRPr="004635E5" w:rsidRDefault="00953858" w:rsidP="006633A8">
      <w:pPr>
        <w:pStyle w:val="Heading1"/>
        <w:numPr>
          <w:ilvl w:val="0"/>
          <w:numId w:val="0"/>
        </w:numPr>
        <w:adjustRightInd w:val="0"/>
        <w:snapToGrid w:val="0"/>
        <w:spacing w:after="0"/>
        <w:ind w:left="720"/>
      </w:pPr>
      <w:r w:rsidRPr="004635E5">
        <w:t xml:space="preserve">AGENDA ITEM 4 </w:t>
      </w:r>
      <w:r w:rsidR="00174FEF" w:rsidRPr="004635E5">
        <w:t xml:space="preserve">— </w:t>
      </w:r>
      <w:r w:rsidR="0062275D" w:rsidRPr="004635E5">
        <w:t xml:space="preserve">STOCK </w:t>
      </w:r>
      <w:r w:rsidR="00B820BA" w:rsidRPr="004635E5">
        <w:t>ASSESSMENT</w:t>
      </w:r>
      <w:r w:rsidR="0062275D" w:rsidRPr="004635E5">
        <w:t xml:space="preserve"> THEME</w:t>
      </w:r>
      <w:r w:rsidR="00472973" w:rsidRPr="004635E5">
        <w:fldChar w:fldCharType="begin"/>
      </w:r>
      <w:r w:rsidRPr="004635E5">
        <w:instrText xml:space="preserve"> TC "</w:instrText>
      </w:r>
      <w:bookmarkStart w:id="83" w:name="_Toc522810365"/>
      <w:bookmarkStart w:id="84" w:name="_Toc16418018"/>
      <w:r w:rsidRPr="004635E5">
        <w:instrText>AGENDA ITEM 4 — STOCK ASSESSMENT THEME</w:instrText>
      </w:r>
      <w:bookmarkEnd w:id="83"/>
      <w:bookmarkEnd w:id="84"/>
      <w:r w:rsidRPr="004635E5">
        <w:instrText xml:space="preserve">" \f C \l "1" </w:instrText>
      </w:r>
      <w:r w:rsidR="00472973" w:rsidRPr="004635E5">
        <w:fldChar w:fldCharType="end"/>
      </w:r>
      <w:r w:rsidR="001F3FF4">
        <w:t xml:space="preserve"> </w:t>
      </w:r>
      <w:r w:rsidR="00C22A7E" w:rsidRPr="004635E5">
        <w:t xml:space="preserve"> </w:t>
      </w:r>
    </w:p>
    <w:p w14:paraId="1031E9A9" w14:textId="77777777" w:rsidR="00D73BF8" w:rsidRPr="004635E5" w:rsidRDefault="00D73BF8" w:rsidP="006633A8">
      <w:pPr>
        <w:adjustRightInd w:val="0"/>
        <w:snapToGrid w:val="0"/>
        <w:rPr>
          <w:sz w:val="22"/>
          <w:szCs w:val="22"/>
          <w:lang w:val="en-NZ"/>
        </w:rPr>
      </w:pPr>
    </w:p>
    <w:p w14:paraId="65DDC352" w14:textId="77777777" w:rsidR="005D6917" w:rsidRPr="004635E5" w:rsidRDefault="002D2A92" w:rsidP="006633A8">
      <w:pPr>
        <w:pStyle w:val="SC2"/>
        <w:numPr>
          <w:ilvl w:val="0"/>
          <w:numId w:val="0"/>
        </w:numPr>
        <w:spacing w:after="0"/>
        <w:rPr>
          <w:rFonts w:eastAsia="Malgun Gothic"/>
          <w:lang w:eastAsia="ko-KR"/>
        </w:rPr>
      </w:pPr>
      <w:r w:rsidRPr="004635E5">
        <w:rPr>
          <w:rFonts w:eastAsia="Batang"/>
          <w:lang w:eastAsia="ko-KR"/>
        </w:rPr>
        <w:t>4.0</w:t>
      </w:r>
      <w:r w:rsidRPr="004635E5">
        <w:rPr>
          <w:rFonts w:eastAsia="Batang"/>
          <w:lang w:eastAsia="ko-KR"/>
        </w:rPr>
        <w:tab/>
      </w:r>
      <w:r w:rsidR="005D6917" w:rsidRPr="004635E5">
        <w:rPr>
          <w:rFonts w:eastAsia="Batang"/>
          <w:lang w:eastAsia="ko-KR"/>
        </w:rPr>
        <w:t>Improvement</w:t>
      </w:r>
      <w:r w:rsidR="005D6917" w:rsidRPr="004635E5">
        <w:rPr>
          <w:rFonts w:eastAsia="Malgun Gothic"/>
          <w:lang w:eastAsia="ko-KR"/>
        </w:rPr>
        <w:t xml:space="preserve"> of MULTIFAN-CL software </w:t>
      </w:r>
    </w:p>
    <w:p w14:paraId="079B1335" w14:textId="77777777" w:rsidR="00D73BF8" w:rsidRPr="004635E5" w:rsidRDefault="00D73BF8" w:rsidP="006633A8">
      <w:pPr>
        <w:pStyle w:val="SC2"/>
        <w:numPr>
          <w:ilvl w:val="0"/>
          <w:numId w:val="0"/>
        </w:numPr>
        <w:spacing w:after="0"/>
        <w:rPr>
          <w:rFonts w:eastAsia="Batang"/>
          <w:lang w:eastAsia="ko-KR"/>
        </w:rPr>
      </w:pPr>
    </w:p>
    <w:p w14:paraId="633C99BD" w14:textId="77777777" w:rsidR="002E3AA8" w:rsidRPr="004635E5" w:rsidRDefault="00702E74" w:rsidP="00580EA4">
      <w:pPr>
        <w:numPr>
          <w:ilvl w:val="0"/>
          <w:numId w:val="18"/>
        </w:numPr>
        <w:autoSpaceDE w:val="0"/>
        <w:autoSpaceDN w:val="0"/>
        <w:adjustRightInd w:val="0"/>
        <w:snapToGrid w:val="0"/>
        <w:ind w:left="0" w:firstLine="0"/>
        <w:jc w:val="both"/>
        <w:rPr>
          <w:rFonts w:eastAsia="Malgun Gothic"/>
          <w:bCs/>
          <w:sz w:val="22"/>
          <w:szCs w:val="22"/>
          <w:lang w:eastAsia="ko-KR"/>
        </w:rPr>
      </w:pPr>
      <w:r w:rsidRPr="004635E5">
        <w:rPr>
          <w:rFonts w:eastAsia="Calibri"/>
          <w:sz w:val="22"/>
          <w:szCs w:val="22"/>
        </w:rPr>
        <w:t xml:space="preserve">The </w:t>
      </w:r>
      <w:r w:rsidR="002E39E9" w:rsidRPr="004635E5">
        <w:rPr>
          <w:rFonts w:eastAsia="Calibri"/>
          <w:sz w:val="22"/>
          <w:szCs w:val="22"/>
        </w:rPr>
        <w:t>theme convener</w:t>
      </w:r>
      <w:r w:rsidRPr="004635E5">
        <w:rPr>
          <w:rFonts w:eastAsia="Calibri"/>
          <w:sz w:val="22"/>
          <w:szCs w:val="22"/>
        </w:rPr>
        <w:t xml:space="preserve"> noted </w:t>
      </w:r>
      <w:r w:rsidR="00CE5CE2" w:rsidRPr="004635E5">
        <w:rPr>
          <w:rFonts w:eastAsia="Calibri"/>
          <w:sz w:val="22"/>
          <w:szCs w:val="22"/>
        </w:rPr>
        <w:t>SC14-SA-IP-02</w:t>
      </w:r>
      <w:r w:rsidR="00CE5CE2" w:rsidRPr="004635E5">
        <w:rPr>
          <w:rFonts w:eastAsia="Calibri"/>
          <w:b/>
          <w:sz w:val="22"/>
          <w:szCs w:val="22"/>
        </w:rPr>
        <w:t xml:space="preserve"> </w:t>
      </w:r>
      <w:r w:rsidR="00CE5CE2" w:rsidRPr="004635E5">
        <w:rPr>
          <w:rFonts w:eastAsia="Calibri"/>
          <w:sz w:val="22"/>
          <w:szCs w:val="22"/>
        </w:rPr>
        <w:t xml:space="preserve">Davies et al. </w:t>
      </w:r>
      <w:r w:rsidR="00CE5CE2" w:rsidRPr="004635E5">
        <w:rPr>
          <w:rFonts w:eastAsia="Calibri"/>
          <w:i/>
          <w:sz w:val="22"/>
          <w:szCs w:val="22"/>
        </w:rPr>
        <w:t>Developments in the MULTIFAN-CL software 2017-2018</w:t>
      </w:r>
      <w:r w:rsidR="00CE5CE2" w:rsidRPr="004635E5">
        <w:rPr>
          <w:rFonts w:eastAsia="Calibri"/>
          <w:sz w:val="22"/>
          <w:szCs w:val="22"/>
        </w:rPr>
        <w:t>.</w:t>
      </w:r>
    </w:p>
    <w:p w14:paraId="26E2DE6C" w14:textId="77777777" w:rsidR="00D73BF8" w:rsidRPr="004635E5" w:rsidRDefault="00D73BF8" w:rsidP="006633A8">
      <w:pPr>
        <w:autoSpaceDE w:val="0"/>
        <w:autoSpaceDN w:val="0"/>
        <w:adjustRightInd w:val="0"/>
        <w:snapToGrid w:val="0"/>
        <w:jc w:val="both"/>
        <w:rPr>
          <w:rFonts w:eastAsia="Malgun Gothic"/>
          <w:bCs/>
          <w:sz w:val="22"/>
          <w:szCs w:val="22"/>
          <w:lang w:eastAsia="ko-KR"/>
        </w:rPr>
      </w:pPr>
    </w:p>
    <w:p w14:paraId="687BAB40" w14:textId="77777777" w:rsidR="00CA5671" w:rsidRPr="004635E5" w:rsidRDefault="00702E74"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There was no discussion on this agenda item.</w:t>
      </w:r>
    </w:p>
    <w:p w14:paraId="6B65A42B"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3557F15E" w14:textId="77777777" w:rsidR="002D2A92" w:rsidRPr="004635E5" w:rsidRDefault="002D2A92" w:rsidP="00580EA4">
      <w:pPr>
        <w:pStyle w:val="ListParagraph"/>
        <w:numPr>
          <w:ilvl w:val="0"/>
          <w:numId w:val="161"/>
        </w:numPr>
        <w:adjustRightInd w:val="0"/>
        <w:snapToGrid w:val="0"/>
        <w:jc w:val="both"/>
        <w:rPr>
          <w:rFonts w:eastAsia="Batang"/>
          <w:b/>
          <w:vanish/>
          <w:sz w:val="22"/>
          <w:szCs w:val="22"/>
          <w:lang w:val="en-NZ" w:eastAsia="ko-KR"/>
        </w:rPr>
      </w:pPr>
    </w:p>
    <w:p w14:paraId="09D384C9" w14:textId="77777777" w:rsidR="00762BC2" w:rsidRPr="004635E5" w:rsidRDefault="00C73EBA" w:rsidP="00580EA4">
      <w:pPr>
        <w:pStyle w:val="SC2"/>
        <w:numPr>
          <w:ilvl w:val="1"/>
          <w:numId w:val="161"/>
        </w:numPr>
        <w:spacing w:after="0"/>
        <w:ind w:left="0" w:firstLine="0"/>
        <w:rPr>
          <w:rFonts w:eastAsia="Batang"/>
          <w:lang w:eastAsia="ko-KR"/>
        </w:rPr>
      </w:pPr>
      <w:r w:rsidRPr="004635E5">
        <w:rPr>
          <w:rFonts w:eastAsia="Batang"/>
          <w:lang w:eastAsia="ko-KR"/>
        </w:rPr>
        <w:t xml:space="preserve">WCPO </w:t>
      </w:r>
      <w:r w:rsidR="00762BC2" w:rsidRPr="004635E5">
        <w:rPr>
          <w:rFonts w:eastAsia="Batang"/>
          <w:lang w:eastAsia="ko-KR"/>
        </w:rPr>
        <w:t>tunas</w:t>
      </w:r>
      <w:r w:rsidR="00F62249" w:rsidRPr="004635E5">
        <w:rPr>
          <w:rFonts w:eastAsia="Batang"/>
          <w:lang w:eastAsia="ko-KR"/>
        </w:rPr>
        <w:t xml:space="preserve"> </w:t>
      </w:r>
    </w:p>
    <w:p w14:paraId="1299BA23" w14:textId="77777777" w:rsidR="00D73BF8" w:rsidRPr="004635E5" w:rsidRDefault="00D73BF8" w:rsidP="006633A8">
      <w:pPr>
        <w:pStyle w:val="SC2"/>
        <w:numPr>
          <w:ilvl w:val="0"/>
          <w:numId w:val="0"/>
        </w:numPr>
        <w:spacing w:after="0"/>
        <w:ind w:left="720"/>
        <w:rPr>
          <w:rFonts w:eastAsia="Batang"/>
          <w:lang w:eastAsia="ko-KR"/>
        </w:rPr>
      </w:pPr>
    </w:p>
    <w:p w14:paraId="2E867D26" w14:textId="77777777" w:rsidR="00C73EBA" w:rsidRPr="004635E5" w:rsidRDefault="002D2D3F" w:rsidP="00580EA4">
      <w:pPr>
        <w:pStyle w:val="SC3"/>
        <w:numPr>
          <w:ilvl w:val="2"/>
          <w:numId w:val="14"/>
        </w:numPr>
        <w:spacing w:after="0"/>
        <w:rPr>
          <w:rFonts w:eastAsia="Batang"/>
          <w:lang w:eastAsia="ko-KR"/>
        </w:rPr>
      </w:pPr>
      <w:r w:rsidRPr="004635E5">
        <w:rPr>
          <w:rFonts w:eastAsia="Batang"/>
          <w:lang w:eastAsia="ko-KR"/>
        </w:rPr>
        <w:t xml:space="preserve">WCPO </w:t>
      </w:r>
      <w:r w:rsidR="00C73EBA" w:rsidRPr="004635E5">
        <w:rPr>
          <w:rFonts w:eastAsia="Batang"/>
          <w:lang w:eastAsia="ko-KR"/>
        </w:rPr>
        <w:t>bigeye tuna</w:t>
      </w:r>
      <w:r w:rsidR="0019638E" w:rsidRPr="004635E5">
        <w:rPr>
          <w:rFonts w:eastAsia="Batang"/>
          <w:lang w:eastAsia="ko-KR"/>
        </w:rPr>
        <w:t xml:space="preserve"> (</w:t>
      </w:r>
      <w:r w:rsidR="0019638E" w:rsidRPr="004635E5">
        <w:rPr>
          <w:rFonts w:eastAsia="Batang"/>
          <w:i/>
          <w:lang w:eastAsia="ko-KR"/>
        </w:rPr>
        <w:t>Thunnus obesus</w:t>
      </w:r>
      <w:r w:rsidR="0019638E" w:rsidRPr="004635E5">
        <w:rPr>
          <w:rFonts w:eastAsia="Batang"/>
          <w:lang w:eastAsia="ko-KR"/>
        </w:rPr>
        <w:t>)</w:t>
      </w:r>
      <w:r w:rsidR="00F62249" w:rsidRPr="004635E5">
        <w:rPr>
          <w:rFonts w:eastAsia="Batang"/>
          <w:lang w:eastAsia="ko-KR"/>
        </w:rPr>
        <w:t xml:space="preserve"> </w:t>
      </w:r>
    </w:p>
    <w:p w14:paraId="787BE9A0" w14:textId="77777777" w:rsidR="00D73BF8" w:rsidRPr="004635E5" w:rsidRDefault="00D73BF8" w:rsidP="006633A8">
      <w:pPr>
        <w:pStyle w:val="SC3"/>
        <w:numPr>
          <w:ilvl w:val="0"/>
          <w:numId w:val="0"/>
        </w:numPr>
        <w:spacing w:after="0"/>
        <w:ind w:left="1080"/>
        <w:rPr>
          <w:rFonts w:eastAsia="Batang"/>
          <w:lang w:eastAsia="ko-KR"/>
        </w:rPr>
      </w:pPr>
    </w:p>
    <w:p w14:paraId="44BEA2A0" w14:textId="77777777" w:rsidR="00970F16" w:rsidRPr="004635E5" w:rsidRDefault="004E0E18" w:rsidP="00D46B39">
      <w:pPr>
        <w:pStyle w:val="SC4"/>
        <w:spacing w:after="0"/>
        <w:ind w:left="720"/>
      </w:pPr>
      <w:r w:rsidRPr="004635E5">
        <w:t>R</w:t>
      </w:r>
      <w:r w:rsidR="00970F16" w:rsidRPr="004635E5">
        <w:t>esearch and information</w:t>
      </w:r>
    </w:p>
    <w:p w14:paraId="6071A592" w14:textId="77777777" w:rsidR="00D73BF8" w:rsidRPr="004635E5" w:rsidRDefault="00D73BF8" w:rsidP="006633A8">
      <w:pPr>
        <w:pStyle w:val="SC4"/>
        <w:numPr>
          <w:ilvl w:val="0"/>
          <w:numId w:val="0"/>
        </w:numPr>
        <w:spacing w:after="0"/>
        <w:ind w:left="1440"/>
      </w:pPr>
    </w:p>
    <w:p w14:paraId="02E9BCE4" w14:textId="77777777" w:rsidR="00494B7B" w:rsidRPr="004635E5" w:rsidRDefault="00691C17" w:rsidP="00D46B39">
      <w:pPr>
        <w:pStyle w:val="SCa"/>
        <w:tabs>
          <w:tab w:val="clear" w:pos="1080"/>
        </w:tabs>
        <w:spacing w:after="0"/>
        <w:ind w:left="0"/>
        <w:rPr>
          <w:rFonts w:eastAsia="MS Mincho"/>
          <w:lang w:val="en-NZ" w:eastAsia="ja-JP"/>
        </w:rPr>
      </w:pPr>
      <w:r w:rsidRPr="004635E5">
        <w:t>a.</w:t>
      </w:r>
      <w:r w:rsidRPr="004635E5">
        <w:tab/>
      </w:r>
      <w:r w:rsidR="00F9711C" w:rsidRPr="004635E5">
        <w:t>Further work on bigeye tuna age and growth</w:t>
      </w:r>
      <w:r w:rsidR="004D1C88" w:rsidRPr="004635E5">
        <w:t xml:space="preserve"> (</w:t>
      </w:r>
      <w:r w:rsidR="004D1C88" w:rsidRPr="004635E5">
        <w:rPr>
          <w:lang w:val="en-NZ"/>
        </w:rPr>
        <w:t>Project 81</w:t>
      </w:r>
      <w:r w:rsidR="00F9711C" w:rsidRPr="004635E5">
        <w:rPr>
          <w:rFonts w:eastAsia="MS Mincho"/>
          <w:lang w:val="en-NZ" w:eastAsia="ja-JP"/>
        </w:rPr>
        <w:t>)</w:t>
      </w:r>
    </w:p>
    <w:p w14:paraId="5C002B0D" w14:textId="77777777" w:rsidR="00D73BF8" w:rsidRPr="004635E5" w:rsidRDefault="00D73BF8" w:rsidP="006633A8">
      <w:pPr>
        <w:pStyle w:val="SCa"/>
        <w:spacing w:after="0"/>
        <w:rPr>
          <w:lang w:val="en-NZ"/>
        </w:rPr>
      </w:pPr>
    </w:p>
    <w:p w14:paraId="0D8082B8" w14:textId="77777777" w:rsidR="000E0689" w:rsidRPr="004635E5" w:rsidRDefault="00CA5671"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AU" w:eastAsia="ko-KR"/>
        </w:rPr>
        <w:t xml:space="preserve">J. Farley (CSIRO) </w:t>
      </w:r>
      <w:r w:rsidR="002D1AAE" w:rsidRPr="004635E5">
        <w:rPr>
          <w:rFonts w:eastAsia="Batang"/>
          <w:sz w:val="22"/>
          <w:szCs w:val="22"/>
          <w:lang w:val="en-AU" w:eastAsia="ko-KR"/>
        </w:rPr>
        <w:t xml:space="preserve">introduced </w:t>
      </w:r>
      <w:r w:rsidRPr="004635E5">
        <w:rPr>
          <w:rFonts w:eastAsia="Batang"/>
          <w:bCs/>
          <w:sz w:val="22"/>
          <w:szCs w:val="22"/>
          <w:lang w:val="en-AU" w:eastAsia="ko-KR"/>
        </w:rPr>
        <w:t>SC14-SA-WP-01</w:t>
      </w:r>
      <w:r w:rsidRPr="004635E5">
        <w:rPr>
          <w:rFonts w:eastAsia="Batang"/>
          <w:i/>
          <w:sz w:val="22"/>
          <w:szCs w:val="22"/>
          <w:lang w:eastAsia="ko-KR"/>
        </w:rPr>
        <w:t>. Update on age and growth of bigeye tuna in the WCPO: WCPFC Project 81</w:t>
      </w:r>
      <w:r w:rsidR="000E0689" w:rsidRPr="004635E5">
        <w:rPr>
          <w:rFonts w:eastAsia="Batang"/>
          <w:i/>
          <w:sz w:val="22"/>
          <w:szCs w:val="22"/>
          <w:lang w:eastAsia="ko-KR"/>
        </w:rPr>
        <w:t xml:space="preserve">. </w:t>
      </w:r>
      <w:r w:rsidR="00E40D58" w:rsidRPr="004635E5">
        <w:rPr>
          <w:sz w:val="22"/>
          <w:szCs w:val="22"/>
        </w:rPr>
        <w:t xml:space="preserve">The </w:t>
      </w:r>
      <w:r w:rsidR="00923843" w:rsidRPr="004635E5">
        <w:rPr>
          <w:sz w:val="22"/>
          <w:szCs w:val="22"/>
        </w:rPr>
        <w:t xml:space="preserve">paper provided an update on a regional study of bigeye tuna age and growth in the WCPO presented </w:t>
      </w:r>
      <w:r w:rsidR="0043112B" w:rsidRPr="004635E5">
        <w:rPr>
          <w:sz w:val="22"/>
          <w:szCs w:val="22"/>
        </w:rPr>
        <w:t>in SC13-SA-WP-01</w:t>
      </w:r>
      <w:r w:rsidR="00923843" w:rsidRPr="004635E5">
        <w:rPr>
          <w:sz w:val="22"/>
          <w:szCs w:val="22"/>
        </w:rPr>
        <w:t xml:space="preserve">. The objectives of this extension project were to (i) prepare and read an additional 125 otoliths from fish &gt;130 cm fork length (FL) using the annual increment method identified in </w:t>
      </w:r>
      <w:r w:rsidR="0043112B" w:rsidRPr="004635E5">
        <w:rPr>
          <w:sz w:val="22"/>
          <w:szCs w:val="22"/>
        </w:rPr>
        <w:t>SC13-SA-WP-01</w:t>
      </w:r>
      <w:r w:rsidR="00923843" w:rsidRPr="004635E5">
        <w:rPr>
          <w:sz w:val="22"/>
          <w:szCs w:val="22"/>
        </w:rPr>
        <w:t xml:space="preserve">; and (ii) revise and update the age and growth estimates provided in </w:t>
      </w:r>
      <w:r w:rsidR="0043112B" w:rsidRPr="004635E5">
        <w:rPr>
          <w:sz w:val="22"/>
          <w:szCs w:val="22"/>
        </w:rPr>
        <w:t xml:space="preserve">SC13-SA-WP-01 </w:t>
      </w:r>
      <w:r w:rsidR="00923843" w:rsidRPr="004635E5">
        <w:rPr>
          <w:sz w:val="22"/>
          <w:szCs w:val="22"/>
        </w:rPr>
        <w:t>based on the additional new data</w:t>
      </w:r>
      <w:r w:rsidR="000E0689" w:rsidRPr="004635E5">
        <w:rPr>
          <w:sz w:val="22"/>
          <w:szCs w:val="22"/>
        </w:rPr>
        <w:t>.</w:t>
      </w:r>
    </w:p>
    <w:p w14:paraId="16239407"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6DF29972" w14:textId="77777777" w:rsidR="00923843" w:rsidRPr="004635E5" w:rsidRDefault="00923843"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sz w:val="22"/>
          <w:szCs w:val="22"/>
        </w:rPr>
        <w:t>Validate</w:t>
      </w:r>
      <w:r w:rsidR="00264610" w:rsidRPr="004635E5">
        <w:rPr>
          <w:sz w:val="22"/>
          <w:szCs w:val="22"/>
        </w:rPr>
        <w:t>d</w:t>
      </w:r>
      <w:r w:rsidRPr="004635E5">
        <w:rPr>
          <w:sz w:val="22"/>
          <w:szCs w:val="22"/>
        </w:rPr>
        <w:t xml:space="preserve"> annual age estimates were obtained for an additional 237 bigeye tuna in the WCPO to strengthen the growth analysis reported </w:t>
      </w:r>
      <w:r w:rsidR="0043112B" w:rsidRPr="004635E5">
        <w:rPr>
          <w:sz w:val="22"/>
          <w:szCs w:val="22"/>
        </w:rPr>
        <w:t>in SC13-SA-WP-01</w:t>
      </w:r>
      <w:r w:rsidRPr="004635E5">
        <w:rPr>
          <w:sz w:val="22"/>
          <w:szCs w:val="22"/>
        </w:rPr>
        <w:t>. Of these, 188 were from fish &gt;130 cm FL and 49 from fish 90-129 cm FL. Daily age was also estimated for an additional 11 very small bigeye (31-39 cm FL). The new annual and daily age estimates were combined with those of Project 35 and historic SPC daily age estimates to obtain new von Bertalanffy growth parameters for bigeye tuna. Fish caught east of the assessment area and daily age estimates &gt;1 year were excluded from the analysis. The resulting L</w:t>
      </w:r>
      <w:r w:rsidRPr="004635E5">
        <w:rPr>
          <w:sz w:val="22"/>
          <w:szCs w:val="22"/>
          <w:vertAlign w:val="subscript"/>
        </w:rPr>
        <w:sym w:font="Symbol" w:char="F0A5"/>
      </w:r>
      <w:r w:rsidRPr="004635E5">
        <w:rPr>
          <w:sz w:val="22"/>
          <w:szCs w:val="22"/>
        </w:rPr>
        <w:t xml:space="preserve"> estimate was 156.9 cm FL, which is similar to that reported from Project 35 at SC13. The results of exploratory spatial analysis continue to indicate there are differences in the growth rates of bigeye tuna across the Pacific. </w:t>
      </w:r>
      <w:r w:rsidRPr="004635E5">
        <w:rPr>
          <w:rFonts w:eastAsiaTheme="minorHAnsi"/>
          <w:sz w:val="22"/>
          <w:szCs w:val="22"/>
        </w:rPr>
        <w:t xml:space="preserve">The SPC </w:t>
      </w:r>
      <w:r w:rsidR="0043112B" w:rsidRPr="004635E5">
        <w:rPr>
          <w:rFonts w:eastAsiaTheme="minorHAnsi"/>
          <w:sz w:val="22"/>
          <w:szCs w:val="22"/>
        </w:rPr>
        <w:t>p</w:t>
      </w:r>
      <w:r w:rsidRPr="004635E5">
        <w:rPr>
          <w:rFonts w:eastAsiaTheme="minorHAnsi"/>
          <w:sz w:val="22"/>
          <w:szCs w:val="22"/>
        </w:rPr>
        <w:t>re-assessment workshop in April 2018 recommended inter-laboratory comparison work be undertaken to standardise daily ageing methods between the WCPO and EPO.</w:t>
      </w:r>
    </w:p>
    <w:p w14:paraId="0EF5A081"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001B3289" w14:textId="77777777" w:rsidR="00725B1E" w:rsidRPr="004635E5" w:rsidRDefault="00EB4EA1" w:rsidP="006633A8">
      <w:pPr>
        <w:autoSpaceDE w:val="0"/>
        <w:autoSpaceDN w:val="0"/>
        <w:adjustRightInd w:val="0"/>
        <w:snapToGrid w:val="0"/>
        <w:jc w:val="both"/>
        <w:rPr>
          <w:rFonts w:eastAsia="Batang"/>
          <w:b/>
          <w:sz w:val="22"/>
          <w:szCs w:val="22"/>
          <w:lang w:val="en-NZ" w:eastAsia="ko-KR"/>
        </w:rPr>
      </w:pPr>
      <w:r w:rsidRPr="004635E5">
        <w:rPr>
          <w:rFonts w:eastAsia="Batang"/>
          <w:b/>
          <w:sz w:val="22"/>
          <w:szCs w:val="22"/>
          <w:lang w:val="en-NZ" w:eastAsia="ko-KR"/>
        </w:rPr>
        <w:t>Discussion</w:t>
      </w:r>
    </w:p>
    <w:p w14:paraId="2E6E51B1" w14:textId="77777777" w:rsidR="00D73BF8" w:rsidRPr="004635E5" w:rsidRDefault="00D73BF8" w:rsidP="006633A8">
      <w:pPr>
        <w:autoSpaceDE w:val="0"/>
        <w:autoSpaceDN w:val="0"/>
        <w:adjustRightInd w:val="0"/>
        <w:snapToGrid w:val="0"/>
        <w:jc w:val="both"/>
        <w:rPr>
          <w:rFonts w:eastAsia="Batang"/>
          <w:b/>
          <w:sz w:val="22"/>
          <w:szCs w:val="22"/>
          <w:lang w:val="en-NZ" w:eastAsia="ko-KR"/>
        </w:rPr>
      </w:pPr>
    </w:p>
    <w:p w14:paraId="5940B550" w14:textId="77777777" w:rsidR="00264610" w:rsidRPr="004635E5" w:rsidRDefault="0047124B"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Japan stated </w:t>
      </w:r>
      <w:r w:rsidR="002D1AAE" w:rsidRPr="004635E5">
        <w:rPr>
          <w:rFonts w:eastAsia="Batang"/>
          <w:sz w:val="22"/>
          <w:szCs w:val="22"/>
          <w:lang w:val="en-NZ" w:eastAsia="ko-KR"/>
        </w:rPr>
        <w:t xml:space="preserve">its </w:t>
      </w:r>
      <w:r w:rsidRPr="004635E5">
        <w:rPr>
          <w:rFonts w:eastAsia="Batang"/>
          <w:bCs/>
          <w:sz w:val="22"/>
          <w:szCs w:val="22"/>
          <w:lang w:eastAsia="ko-KR"/>
        </w:rPr>
        <w:t xml:space="preserve">support </w:t>
      </w:r>
      <w:r w:rsidR="002D1AAE" w:rsidRPr="004635E5">
        <w:rPr>
          <w:rFonts w:eastAsia="Batang"/>
          <w:bCs/>
          <w:sz w:val="22"/>
          <w:szCs w:val="22"/>
          <w:lang w:eastAsia="ko-KR"/>
        </w:rPr>
        <w:t xml:space="preserve">for </w:t>
      </w:r>
      <w:r w:rsidRPr="004635E5">
        <w:rPr>
          <w:rFonts w:eastAsia="Batang"/>
          <w:bCs/>
          <w:sz w:val="22"/>
          <w:szCs w:val="22"/>
          <w:lang w:eastAsia="ko-KR"/>
        </w:rPr>
        <w:t>the collaborative work with IATTC, SPC, CSIRO and CCMs (including Japan) on bigeye otolith analysis to address remaining concerns, such as the discrepancy in growth between tagging experiments and otolith annual rings. Noting the shortage of samples from the core long line fishing area, east of 170</w:t>
      </w:r>
      <w:r w:rsidR="002D1AAE" w:rsidRPr="004635E5">
        <w:rPr>
          <w:rFonts w:eastAsia="Batang"/>
          <w:bCs/>
          <w:sz w:val="22"/>
          <w:szCs w:val="22"/>
          <w:lang w:eastAsia="ko-KR"/>
        </w:rPr>
        <w:t xml:space="preserve">° </w:t>
      </w:r>
      <w:r w:rsidRPr="004635E5">
        <w:rPr>
          <w:rFonts w:eastAsia="Batang"/>
          <w:bCs/>
          <w:sz w:val="22"/>
          <w:szCs w:val="22"/>
          <w:lang w:eastAsia="ko-KR"/>
        </w:rPr>
        <w:t xml:space="preserve">W in the northern hemisphere, </w:t>
      </w:r>
      <w:r w:rsidR="002D1AAE" w:rsidRPr="004635E5">
        <w:rPr>
          <w:rFonts w:eastAsia="Batang"/>
          <w:bCs/>
          <w:sz w:val="22"/>
          <w:szCs w:val="22"/>
          <w:lang w:eastAsia="ko-KR"/>
        </w:rPr>
        <w:t xml:space="preserve">Japan </w:t>
      </w:r>
      <w:r w:rsidRPr="004635E5">
        <w:rPr>
          <w:rFonts w:eastAsia="Batang"/>
          <w:bCs/>
          <w:sz w:val="22"/>
          <w:szCs w:val="22"/>
          <w:lang w:eastAsia="ko-KR"/>
        </w:rPr>
        <w:t>suggested it could be useful to add samples from this area, because previous</w:t>
      </w:r>
      <w:r w:rsidR="002D1AAE" w:rsidRPr="004635E5">
        <w:rPr>
          <w:rFonts w:eastAsia="Batang"/>
          <w:bCs/>
          <w:sz w:val="22"/>
          <w:szCs w:val="22"/>
          <w:lang w:eastAsia="ko-KR"/>
        </w:rPr>
        <w:t>ly</w:t>
      </w:r>
      <w:r w:rsidRPr="004635E5">
        <w:rPr>
          <w:rFonts w:eastAsia="Batang"/>
          <w:bCs/>
          <w:sz w:val="22"/>
          <w:szCs w:val="22"/>
          <w:lang w:eastAsia="ko-KR"/>
        </w:rPr>
        <w:t xml:space="preserve"> bigeye otolith analysis indicated regional bigeye growth differences, and this would </w:t>
      </w:r>
      <w:r w:rsidR="002D1AAE" w:rsidRPr="004635E5">
        <w:rPr>
          <w:rFonts w:eastAsia="Batang"/>
          <w:bCs/>
          <w:sz w:val="22"/>
          <w:szCs w:val="22"/>
          <w:lang w:eastAsia="ko-KR"/>
        </w:rPr>
        <w:t xml:space="preserve">help </w:t>
      </w:r>
      <w:r w:rsidRPr="004635E5">
        <w:rPr>
          <w:rFonts w:eastAsia="Batang"/>
          <w:bCs/>
          <w:sz w:val="22"/>
          <w:szCs w:val="22"/>
          <w:lang w:eastAsia="ko-KR"/>
        </w:rPr>
        <w:t xml:space="preserve">fill out the growth analysis. </w:t>
      </w:r>
    </w:p>
    <w:p w14:paraId="2278A744"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09B59015" w14:textId="77777777" w:rsidR="00BE7849" w:rsidRPr="00D10883" w:rsidRDefault="000316CF"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The </w:t>
      </w:r>
      <w:r w:rsidR="00EB4EA1" w:rsidRPr="004635E5">
        <w:rPr>
          <w:rFonts w:eastAsia="Batang"/>
          <w:sz w:val="22"/>
          <w:szCs w:val="22"/>
          <w:lang w:val="en-NZ" w:eastAsia="ko-KR"/>
        </w:rPr>
        <w:t>EU</w:t>
      </w:r>
      <w:r w:rsidRPr="004635E5">
        <w:rPr>
          <w:rFonts w:eastAsia="Batang"/>
          <w:sz w:val="22"/>
          <w:szCs w:val="22"/>
          <w:lang w:val="en-NZ" w:eastAsia="ko-KR"/>
        </w:rPr>
        <w:t xml:space="preserve"> inquired about the </w:t>
      </w:r>
      <w:r w:rsidR="00EB4EA1" w:rsidRPr="004635E5">
        <w:rPr>
          <w:rFonts w:eastAsia="Batang"/>
          <w:sz w:val="22"/>
          <w:szCs w:val="22"/>
          <w:lang w:val="en-NZ" w:eastAsia="ko-KR"/>
        </w:rPr>
        <w:t>diff</w:t>
      </w:r>
      <w:r w:rsidRPr="004635E5">
        <w:rPr>
          <w:rFonts w:eastAsia="Batang"/>
          <w:sz w:val="22"/>
          <w:szCs w:val="22"/>
          <w:lang w:val="en-NZ" w:eastAsia="ko-KR"/>
        </w:rPr>
        <w:t>erence</w:t>
      </w:r>
      <w:r w:rsidR="00EB4EA1" w:rsidRPr="004635E5">
        <w:rPr>
          <w:rFonts w:eastAsia="Batang"/>
          <w:sz w:val="22"/>
          <w:szCs w:val="22"/>
          <w:lang w:val="en-NZ" w:eastAsia="ko-KR"/>
        </w:rPr>
        <w:t>s between these estimates and those from IATTC</w:t>
      </w:r>
      <w:r w:rsidRPr="004635E5">
        <w:rPr>
          <w:rFonts w:eastAsia="Batang"/>
          <w:sz w:val="22"/>
          <w:szCs w:val="22"/>
          <w:lang w:val="en-NZ" w:eastAsia="ko-KR"/>
        </w:rPr>
        <w:t xml:space="preserve">, taking into account implications from the stock assessment workshop. They further inquired </w:t>
      </w:r>
      <w:r w:rsidRPr="004635E5">
        <w:rPr>
          <w:rFonts w:eastAsia="MS PGothic"/>
          <w:sz w:val="22"/>
          <w:szCs w:val="22"/>
        </w:rPr>
        <w:t xml:space="preserve">about the difference estimated using the gamma approach. Electronic tagging data at SPC with coverage of the </w:t>
      </w:r>
      <w:r w:rsidR="00264610" w:rsidRPr="004635E5">
        <w:rPr>
          <w:rFonts w:eastAsia="MS PGothic"/>
          <w:sz w:val="22"/>
          <w:szCs w:val="22"/>
        </w:rPr>
        <w:t xml:space="preserve">entire </w:t>
      </w:r>
      <w:r w:rsidRPr="004635E5">
        <w:rPr>
          <w:rFonts w:eastAsia="MS PGothic"/>
          <w:sz w:val="22"/>
          <w:szCs w:val="22"/>
        </w:rPr>
        <w:t>tropical Pacific shows important diffe</w:t>
      </w:r>
      <w:r w:rsidR="00264610" w:rsidRPr="004635E5">
        <w:rPr>
          <w:rFonts w:eastAsia="MS PGothic"/>
          <w:sz w:val="22"/>
          <w:szCs w:val="22"/>
        </w:rPr>
        <w:t>rences in fish vertical behavio</w:t>
      </w:r>
      <w:r w:rsidRPr="004635E5">
        <w:rPr>
          <w:rFonts w:eastAsia="MS PGothic"/>
          <w:sz w:val="22"/>
          <w:szCs w:val="22"/>
        </w:rPr>
        <w:t xml:space="preserve">r between the east </w:t>
      </w:r>
      <w:r w:rsidR="00264610" w:rsidRPr="004635E5">
        <w:rPr>
          <w:rFonts w:eastAsia="MS PGothic"/>
          <w:sz w:val="22"/>
          <w:szCs w:val="22"/>
        </w:rPr>
        <w:t>and west, with vertical behavio</w:t>
      </w:r>
      <w:r w:rsidRPr="004635E5">
        <w:rPr>
          <w:rFonts w:eastAsia="MS PGothic"/>
          <w:sz w:val="22"/>
          <w:szCs w:val="22"/>
        </w:rPr>
        <w:t xml:space="preserve">r linked to fish size. </w:t>
      </w:r>
      <w:r w:rsidR="00D05000" w:rsidRPr="004635E5">
        <w:rPr>
          <w:rFonts w:eastAsia="MS PGothic"/>
          <w:sz w:val="22"/>
          <w:szCs w:val="22"/>
        </w:rPr>
        <w:t xml:space="preserve">They suggested it was plausible </w:t>
      </w:r>
      <w:r w:rsidRPr="004635E5">
        <w:rPr>
          <w:rFonts w:eastAsia="MS PGothic"/>
          <w:sz w:val="22"/>
          <w:szCs w:val="22"/>
        </w:rPr>
        <w:t xml:space="preserve">that </w:t>
      </w:r>
      <w:r w:rsidR="00D05000" w:rsidRPr="004635E5">
        <w:rPr>
          <w:rFonts w:eastAsia="MS PGothic"/>
          <w:sz w:val="22"/>
          <w:szCs w:val="22"/>
        </w:rPr>
        <w:t xml:space="preserve">in </w:t>
      </w:r>
      <w:r w:rsidRPr="004635E5">
        <w:rPr>
          <w:rFonts w:eastAsia="MS PGothic"/>
          <w:sz w:val="22"/>
          <w:szCs w:val="22"/>
        </w:rPr>
        <w:t xml:space="preserve">some fisheries for example, fish </w:t>
      </w:r>
      <w:r w:rsidR="00953858" w:rsidRPr="004635E5">
        <w:rPr>
          <w:rFonts w:eastAsia="MS PGothic"/>
          <w:sz w:val="22"/>
          <w:szCs w:val="22"/>
        </w:rPr>
        <w:t xml:space="preserve">at greater depths would </w:t>
      </w:r>
      <w:r w:rsidRPr="004635E5">
        <w:rPr>
          <w:rFonts w:eastAsia="MS PGothic"/>
          <w:sz w:val="22"/>
          <w:szCs w:val="22"/>
        </w:rPr>
        <w:t>be highly selected</w:t>
      </w:r>
      <w:r w:rsidR="00D05000" w:rsidRPr="004635E5">
        <w:rPr>
          <w:rFonts w:eastAsia="MS PGothic"/>
          <w:sz w:val="22"/>
          <w:szCs w:val="22"/>
        </w:rPr>
        <w:t xml:space="preserve">, which </w:t>
      </w:r>
      <w:r w:rsidR="00953858" w:rsidRPr="004635E5">
        <w:rPr>
          <w:rFonts w:eastAsia="MS PGothic"/>
          <w:sz w:val="22"/>
          <w:szCs w:val="22"/>
        </w:rPr>
        <w:t xml:space="preserve">could </w:t>
      </w:r>
      <w:r w:rsidR="00D05000" w:rsidRPr="004635E5">
        <w:rPr>
          <w:rFonts w:eastAsia="MS PGothic"/>
          <w:sz w:val="22"/>
          <w:szCs w:val="22"/>
        </w:rPr>
        <w:t xml:space="preserve">bias </w:t>
      </w:r>
      <w:r w:rsidRPr="004635E5">
        <w:rPr>
          <w:rFonts w:eastAsia="MS PGothic"/>
          <w:sz w:val="22"/>
          <w:szCs w:val="22"/>
        </w:rPr>
        <w:t>sampling</w:t>
      </w:r>
      <w:r w:rsidR="00264610" w:rsidRPr="004635E5">
        <w:rPr>
          <w:rFonts w:eastAsia="MS PGothic"/>
          <w:sz w:val="22"/>
          <w:szCs w:val="22"/>
        </w:rPr>
        <w:t>, and explain</w:t>
      </w:r>
      <w:r w:rsidRPr="004635E5">
        <w:rPr>
          <w:rFonts w:eastAsia="MS PGothic"/>
          <w:sz w:val="22"/>
          <w:szCs w:val="22"/>
        </w:rPr>
        <w:t xml:space="preserve"> </w:t>
      </w:r>
      <w:r w:rsidR="00D05000" w:rsidRPr="004635E5">
        <w:rPr>
          <w:rFonts w:eastAsia="MS PGothic"/>
          <w:sz w:val="22"/>
          <w:szCs w:val="22"/>
        </w:rPr>
        <w:t xml:space="preserve">the </w:t>
      </w:r>
      <w:r w:rsidRPr="004635E5">
        <w:rPr>
          <w:rFonts w:eastAsia="MS PGothic"/>
          <w:sz w:val="22"/>
          <w:szCs w:val="22"/>
        </w:rPr>
        <w:t xml:space="preserve">differences observed. </w:t>
      </w:r>
    </w:p>
    <w:p w14:paraId="156527D5" w14:textId="77777777" w:rsidR="00BE7849" w:rsidRDefault="00BE7849" w:rsidP="00D10883">
      <w:pPr>
        <w:pStyle w:val="ListParagraph"/>
        <w:rPr>
          <w:rFonts w:eastAsia="MS PGothic"/>
          <w:sz w:val="22"/>
          <w:szCs w:val="22"/>
        </w:rPr>
      </w:pPr>
    </w:p>
    <w:p w14:paraId="64B5E4AD" w14:textId="77777777" w:rsidR="00D73BF8" w:rsidRPr="004635E5" w:rsidRDefault="002D1AAE"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MS PGothic"/>
          <w:sz w:val="22"/>
          <w:szCs w:val="22"/>
        </w:rPr>
        <w:t xml:space="preserve">The EU </w:t>
      </w:r>
      <w:r w:rsidR="00D05000" w:rsidRPr="004635E5">
        <w:rPr>
          <w:rFonts w:eastAsia="MS PGothic"/>
          <w:sz w:val="22"/>
          <w:szCs w:val="22"/>
        </w:rPr>
        <w:t xml:space="preserve">asked whether </w:t>
      </w:r>
      <w:r w:rsidR="000316CF" w:rsidRPr="004635E5">
        <w:rPr>
          <w:rFonts w:eastAsia="MS PGothic"/>
          <w:sz w:val="22"/>
          <w:szCs w:val="22"/>
        </w:rPr>
        <w:t>additional source</w:t>
      </w:r>
      <w:r w:rsidR="00D05000" w:rsidRPr="004635E5">
        <w:rPr>
          <w:rFonts w:eastAsia="MS PGothic"/>
          <w:sz w:val="22"/>
          <w:szCs w:val="22"/>
        </w:rPr>
        <w:t>s</w:t>
      </w:r>
      <w:r w:rsidR="000316CF" w:rsidRPr="004635E5">
        <w:rPr>
          <w:rFonts w:eastAsia="MS PGothic"/>
          <w:sz w:val="22"/>
          <w:szCs w:val="22"/>
        </w:rPr>
        <w:t xml:space="preserve"> of uncertainty </w:t>
      </w:r>
      <w:r w:rsidR="00D05000" w:rsidRPr="004635E5">
        <w:rPr>
          <w:rFonts w:eastAsia="MS PGothic"/>
          <w:sz w:val="22"/>
          <w:szCs w:val="22"/>
        </w:rPr>
        <w:t xml:space="preserve">such as this, </w:t>
      </w:r>
      <w:r w:rsidR="000316CF" w:rsidRPr="004635E5">
        <w:rPr>
          <w:rFonts w:eastAsia="MS PGothic"/>
          <w:sz w:val="22"/>
          <w:szCs w:val="22"/>
        </w:rPr>
        <w:t xml:space="preserve">or the effect of population </w:t>
      </w:r>
      <w:r w:rsidR="00264610" w:rsidRPr="004635E5">
        <w:rPr>
          <w:rFonts w:eastAsia="MS PGothic"/>
          <w:sz w:val="22"/>
          <w:szCs w:val="22"/>
        </w:rPr>
        <w:t xml:space="preserve">age </w:t>
      </w:r>
      <w:r w:rsidR="000316CF" w:rsidRPr="004635E5">
        <w:rPr>
          <w:rFonts w:eastAsia="MS PGothic"/>
          <w:sz w:val="22"/>
          <w:szCs w:val="22"/>
        </w:rPr>
        <w:t>and structure in the growth estimation should be further investigated</w:t>
      </w:r>
      <w:r w:rsidR="00D71C0A">
        <w:rPr>
          <w:rFonts w:eastAsiaTheme="minorEastAsia" w:hint="eastAsia"/>
          <w:sz w:val="22"/>
          <w:szCs w:val="22"/>
          <w:lang w:eastAsia="ko-KR"/>
        </w:rPr>
        <w:t>,</w:t>
      </w:r>
      <w:r w:rsidR="00264610" w:rsidRPr="004635E5">
        <w:rPr>
          <w:rFonts w:eastAsia="MS PGothic"/>
          <w:sz w:val="22"/>
          <w:szCs w:val="22"/>
        </w:rPr>
        <w:t xml:space="preserve"> </w:t>
      </w:r>
      <w:r w:rsidR="00D05000" w:rsidRPr="004635E5">
        <w:rPr>
          <w:rFonts w:eastAsia="MS PGothic"/>
          <w:sz w:val="22"/>
          <w:szCs w:val="22"/>
        </w:rPr>
        <w:t xml:space="preserve">noting it was </w:t>
      </w:r>
      <w:r w:rsidR="000316CF" w:rsidRPr="004635E5">
        <w:rPr>
          <w:rFonts w:eastAsia="MS PGothic"/>
          <w:sz w:val="22"/>
          <w:szCs w:val="22"/>
        </w:rPr>
        <w:t xml:space="preserve">partially considered during the stock assessment </w:t>
      </w:r>
      <w:r w:rsidR="00D05000" w:rsidRPr="004635E5">
        <w:rPr>
          <w:rFonts w:eastAsia="MS PGothic"/>
          <w:sz w:val="22"/>
          <w:szCs w:val="22"/>
        </w:rPr>
        <w:t xml:space="preserve">through </w:t>
      </w:r>
      <w:r w:rsidR="000316CF" w:rsidRPr="004635E5">
        <w:rPr>
          <w:rFonts w:eastAsia="MS PGothic"/>
          <w:sz w:val="22"/>
          <w:szCs w:val="22"/>
        </w:rPr>
        <w:t>the sensitivi</w:t>
      </w:r>
      <w:r w:rsidR="00D05000" w:rsidRPr="004635E5">
        <w:rPr>
          <w:rFonts w:eastAsia="MS PGothic"/>
          <w:sz w:val="22"/>
          <w:szCs w:val="22"/>
        </w:rPr>
        <w:t>ty run using the length-</w:t>
      </w:r>
      <w:r w:rsidR="000316CF" w:rsidRPr="004635E5">
        <w:rPr>
          <w:rFonts w:eastAsia="MS PGothic"/>
          <w:sz w:val="22"/>
          <w:szCs w:val="22"/>
        </w:rPr>
        <w:t>conditioning approach</w:t>
      </w:r>
      <w:r w:rsidR="00953858" w:rsidRPr="004635E5">
        <w:rPr>
          <w:rFonts w:eastAsia="MS PGothic"/>
          <w:sz w:val="22"/>
          <w:szCs w:val="22"/>
        </w:rPr>
        <w:t>,</w:t>
      </w:r>
      <w:r w:rsidR="00D05000" w:rsidRPr="004635E5">
        <w:rPr>
          <w:rFonts w:eastAsia="MS PGothic"/>
          <w:sz w:val="22"/>
          <w:szCs w:val="22"/>
        </w:rPr>
        <w:t xml:space="preserve"> and whether it </w:t>
      </w:r>
      <w:r w:rsidR="000316CF" w:rsidRPr="004635E5">
        <w:rPr>
          <w:rFonts w:eastAsia="MS PGothic"/>
          <w:sz w:val="22"/>
          <w:szCs w:val="22"/>
        </w:rPr>
        <w:t>should be done externally.</w:t>
      </w:r>
      <w:r w:rsidR="009B37AC" w:rsidRPr="004635E5">
        <w:rPr>
          <w:rFonts w:eastAsia="MS PGothic"/>
          <w:sz w:val="22"/>
          <w:szCs w:val="22"/>
          <w:lang w:val="en-NZ"/>
        </w:rPr>
        <w:t xml:space="preserve"> </w:t>
      </w:r>
      <w:r w:rsidR="00207230" w:rsidRPr="004635E5">
        <w:rPr>
          <w:rFonts w:eastAsia="MS PGothic"/>
          <w:sz w:val="22"/>
          <w:szCs w:val="22"/>
          <w:lang w:val="en-NZ"/>
        </w:rPr>
        <w:t xml:space="preserve">J. Farley replied </w:t>
      </w:r>
      <w:r w:rsidR="00207230" w:rsidRPr="004635E5">
        <w:rPr>
          <w:rFonts w:eastAsia="Batang"/>
          <w:sz w:val="22"/>
          <w:szCs w:val="22"/>
          <w:lang w:val="en-NZ" w:eastAsia="ko-KR"/>
        </w:rPr>
        <w:t xml:space="preserve">that </w:t>
      </w:r>
      <w:r w:rsidR="00F95C3A" w:rsidRPr="004635E5">
        <w:rPr>
          <w:rFonts w:eastAsia="Batang"/>
          <w:sz w:val="22"/>
          <w:szCs w:val="22"/>
          <w:lang w:val="en-NZ" w:eastAsia="ko-KR"/>
        </w:rPr>
        <w:t xml:space="preserve">issue </w:t>
      </w:r>
      <w:r w:rsidR="00207230" w:rsidRPr="004635E5">
        <w:rPr>
          <w:rFonts w:eastAsia="Batang"/>
          <w:sz w:val="22"/>
          <w:szCs w:val="22"/>
          <w:lang w:val="en-NZ" w:eastAsia="ko-KR"/>
        </w:rPr>
        <w:t xml:space="preserve">had not been examined, but </w:t>
      </w:r>
      <w:r w:rsidR="0034002A" w:rsidRPr="004635E5">
        <w:rPr>
          <w:rFonts w:eastAsia="Batang"/>
          <w:sz w:val="22"/>
          <w:szCs w:val="22"/>
          <w:lang w:val="en-NZ" w:eastAsia="ko-KR"/>
        </w:rPr>
        <w:t xml:space="preserve">possibly </w:t>
      </w:r>
      <w:r w:rsidR="00207230" w:rsidRPr="004635E5">
        <w:rPr>
          <w:rFonts w:eastAsia="Batang"/>
          <w:sz w:val="22"/>
          <w:szCs w:val="22"/>
          <w:lang w:val="en-NZ" w:eastAsia="ko-KR"/>
        </w:rPr>
        <w:t xml:space="preserve">could be </w:t>
      </w:r>
      <w:r w:rsidR="0034002A" w:rsidRPr="004635E5">
        <w:rPr>
          <w:rFonts w:eastAsia="Batang"/>
          <w:sz w:val="22"/>
          <w:szCs w:val="22"/>
          <w:lang w:val="en-NZ" w:eastAsia="ko-KR"/>
        </w:rPr>
        <w:t xml:space="preserve">if </w:t>
      </w:r>
      <w:r w:rsidR="00207230" w:rsidRPr="004635E5">
        <w:rPr>
          <w:rFonts w:eastAsia="Batang"/>
          <w:sz w:val="22"/>
          <w:szCs w:val="22"/>
          <w:lang w:val="en-NZ" w:eastAsia="ko-KR"/>
        </w:rPr>
        <w:t xml:space="preserve">data were available on </w:t>
      </w:r>
      <w:r w:rsidR="00264610" w:rsidRPr="004635E5">
        <w:rPr>
          <w:rFonts w:eastAsia="Batang"/>
          <w:sz w:val="22"/>
          <w:szCs w:val="22"/>
          <w:lang w:val="en-NZ" w:eastAsia="ko-KR"/>
        </w:rPr>
        <w:t xml:space="preserve">the </w:t>
      </w:r>
      <w:r w:rsidR="00207230" w:rsidRPr="004635E5">
        <w:rPr>
          <w:rFonts w:eastAsia="Batang"/>
          <w:sz w:val="22"/>
          <w:szCs w:val="22"/>
          <w:lang w:val="en-NZ" w:eastAsia="ko-KR"/>
        </w:rPr>
        <w:t xml:space="preserve">depth at which fish were </w:t>
      </w:r>
      <w:r w:rsidR="009B37AC" w:rsidRPr="004635E5">
        <w:rPr>
          <w:rFonts w:eastAsia="Batang"/>
          <w:sz w:val="22"/>
          <w:szCs w:val="22"/>
          <w:lang w:val="en-NZ" w:eastAsia="ko-KR"/>
        </w:rPr>
        <w:t>caught.</w:t>
      </w:r>
    </w:p>
    <w:p w14:paraId="3112B9EF" w14:textId="77777777" w:rsidR="00207230" w:rsidRPr="004635E5" w:rsidRDefault="009B37AC" w:rsidP="006633A8">
      <w:pPr>
        <w:autoSpaceDE w:val="0"/>
        <w:autoSpaceDN w:val="0"/>
        <w:adjustRightInd w:val="0"/>
        <w:snapToGrid w:val="0"/>
        <w:jc w:val="both"/>
        <w:rPr>
          <w:rFonts w:eastAsia="Batang"/>
          <w:sz w:val="22"/>
          <w:szCs w:val="22"/>
          <w:lang w:val="en-NZ" w:eastAsia="ko-KR"/>
        </w:rPr>
      </w:pPr>
      <w:r w:rsidRPr="004635E5">
        <w:rPr>
          <w:rFonts w:eastAsia="Batang"/>
          <w:sz w:val="22"/>
          <w:szCs w:val="22"/>
          <w:lang w:val="en-NZ" w:eastAsia="ko-KR"/>
        </w:rPr>
        <w:t xml:space="preserve"> </w:t>
      </w:r>
    </w:p>
    <w:p w14:paraId="3673CDAE" w14:textId="77777777" w:rsidR="006327D9" w:rsidRPr="004635E5" w:rsidRDefault="00207230"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The </w:t>
      </w:r>
      <w:r w:rsidR="00EB4EA1" w:rsidRPr="004635E5">
        <w:rPr>
          <w:rFonts w:eastAsia="Batang"/>
          <w:sz w:val="22"/>
          <w:szCs w:val="22"/>
          <w:lang w:val="en-NZ" w:eastAsia="ko-KR"/>
        </w:rPr>
        <w:t>USA</w:t>
      </w:r>
      <w:r w:rsidRPr="004635E5">
        <w:rPr>
          <w:rFonts w:eastAsia="Batang"/>
          <w:sz w:val="22"/>
          <w:szCs w:val="22"/>
          <w:lang w:val="en-NZ" w:eastAsia="ko-KR"/>
        </w:rPr>
        <w:t xml:space="preserve"> inquired regarding why tropical species display o</w:t>
      </w:r>
      <w:r w:rsidR="009B37AC" w:rsidRPr="004635E5">
        <w:rPr>
          <w:rFonts w:eastAsia="Batang"/>
          <w:sz w:val="22"/>
          <w:szCs w:val="22"/>
          <w:lang w:val="en-NZ" w:eastAsia="ko-KR"/>
        </w:rPr>
        <w:t>paqu</w:t>
      </w:r>
      <w:r w:rsidRPr="004635E5">
        <w:rPr>
          <w:rFonts w:eastAsia="Batang"/>
          <w:sz w:val="22"/>
          <w:szCs w:val="22"/>
          <w:lang w:val="en-NZ" w:eastAsia="ko-KR"/>
        </w:rPr>
        <w:t>e</w:t>
      </w:r>
      <w:r w:rsidR="009B37AC" w:rsidRPr="004635E5">
        <w:rPr>
          <w:rFonts w:eastAsia="Batang"/>
          <w:sz w:val="22"/>
          <w:szCs w:val="22"/>
          <w:lang w:val="en-NZ" w:eastAsia="ko-KR"/>
        </w:rPr>
        <w:t xml:space="preserve"> and translucent zones</w:t>
      </w:r>
      <w:r w:rsidR="003A240D" w:rsidRPr="004635E5">
        <w:rPr>
          <w:rFonts w:eastAsia="Batang"/>
          <w:sz w:val="22"/>
          <w:szCs w:val="22"/>
          <w:lang w:val="en-NZ" w:eastAsia="ko-KR"/>
        </w:rPr>
        <w:t>,</w:t>
      </w:r>
      <w:r w:rsidR="00264610" w:rsidRPr="004635E5">
        <w:rPr>
          <w:rFonts w:eastAsia="Batang"/>
          <w:sz w:val="22"/>
          <w:szCs w:val="22"/>
          <w:lang w:val="en-NZ" w:eastAsia="ko-KR"/>
        </w:rPr>
        <w:t xml:space="preserve"> given that </w:t>
      </w:r>
      <w:r w:rsidRPr="004635E5">
        <w:rPr>
          <w:rFonts w:eastAsia="Batang"/>
          <w:sz w:val="22"/>
          <w:szCs w:val="22"/>
          <w:lang w:val="en-NZ" w:eastAsia="ko-KR"/>
        </w:rPr>
        <w:t xml:space="preserve">food availability and water </w:t>
      </w:r>
      <w:r w:rsidR="009B37AC" w:rsidRPr="004635E5">
        <w:rPr>
          <w:rFonts w:eastAsia="Batang"/>
          <w:sz w:val="22"/>
          <w:szCs w:val="22"/>
          <w:lang w:val="en-NZ" w:eastAsia="ko-KR"/>
        </w:rPr>
        <w:t>temp</w:t>
      </w:r>
      <w:r w:rsidRPr="004635E5">
        <w:rPr>
          <w:rFonts w:eastAsia="Batang"/>
          <w:sz w:val="22"/>
          <w:szCs w:val="22"/>
          <w:lang w:val="en-NZ" w:eastAsia="ko-KR"/>
        </w:rPr>
        <w:t>erature</w:t>
      </w:r>
      <w:r w:rsidR="003A240D" w:rsidRPr="004635E5">
        <w:rPr>
          <w:rFonts w:eastAsia="Batang"/>
          <w:sz w:val="22"/>
          <w:szCs w:val="22"/>
          <w:lang w:val="en-NZ" w:eastAsia="ko-KR"/>
        </w:rPr>
        <w:t xml:space="preserve"> are relatively consistent</w:t>
      </w:r>
      <w:r w:rsidRPr="004635E5">
        <w:rPr>
          <w:rFonts w:eastAsia="Batang"/>
          <w:sz w:val="22"/>
          <w:szCs w:val="22"/>
          <w:lang w:val="en-NZ" w:eastAsia="ko-KR"/>
        </w:rPr>
        <w:t xml:space="preserve">. </w:t>
      </w:r>
      <w:r w:rsidR="003A240D" w:rsidRPr="004635E5">
        <w:rPr>
          <w:rFonts w:eastAsia="Batang"/>
          <w:sz w:val="22"/>
          <w:szCs w:val="22"/>
          <w:lang w:val="en-NZ" w:eastAsia="ko-KR"/>
        </w:rPr>
        <w:t xml:space="preserve">They </w:t>
      </w:r>
      <w:r w:rsidRPr="004635E5">
        <w:rPr>
          <w:rFonts w:eastAsia="Batang"/>
          <w:sz w:val="22"/>
          <w:szCs w:val="22"/>
          <w:lang w:val="en-NZ" w:eastAsia="ko-KR"/>
        </w:rPr>
        <w:t xml:space="preserve">also </w:t>
      </w:r>
      <w:r w:rsidR="00B63099" w:rsidRPr="004635E5">
        <w:rPr>
          <w:rFonts w:eastAsia="Batang"/>
          <w:sz w:val="22"/>
          <w:szCs w:val="22"/>
          <w:lang w:val="en-NZ" w:eastAsia="ko-KR"/>
        </w:rPr>
        <w:t xml:space="preserve">inquired regarding the bias in decimal ages, and supported </w:t>
      </w:r>
      <w:r w:rsidR="009B37AC" w:rsidRPr="004635E5">
        <w:rPr>
          <w:rFonts w:eastAsia="Batang"/>
          <w:sz w:val="22"/>
          <w:szCs w:val="22"/>
          <w:lang w:val="en-NZ" w:eastAsia="ko-KR"/>
        </w:rPr>
        <w:t xml:space="preserve">the two </w:t>
      </w:r>
      <w:r w:rsidR="00B63099" w:rsidRPr="004635E5">
        <w:rPr>
          <w:rFonts w:eastAsia="Batang"/>
          <w:sz w:val="22"/>
          <w:szCs w:val="22"/>
          <w:lang w:val="en-NZ" w:eastAsia="ko-KR"/>
        </w:rPr>
        <w:t>recommendation</w:t>
      </w:r>
      <w:r w:rsidR="00EA511E">
        <w:rPr>
          <w:rFonts w:eastAsia="Batang" w:hint="eastAsia"/>
          <w:sz w:val="22"/>
          <w:szCs w:val="22"/>
          <w:lang w:val="en-NZ" w:eastAsia="ko-KR"/>
        </w:rPr>
        <w:t>s</w:t>
      </w:r>
      <w:r w:rsidR="00B63099" w:rsidRPr="004635E5">
        <w:rPr>
          <w:rFonts w:eastAsia="Batang"/>
          <w:sz w:val="22"/>
          <w:szCs w:val="22"/>
          <w:lang w:val="en-NZ" w:eastAsia="ko-KR"/>
        </w:rPr>
        <w:t xml:space="preserve"> from the summary slide </w:t>
      </w:r>
      <w:r w:rsidR="003A240D" w:rsidRPr="004635E5">
        <w:rPr>
          <w:rFonts w:eastAsia="Batang"/>
          <w:bCs/>
          <w:sz w:val="22"/>
          <w:szCs w:val="22"/>
          <w:lang w:eastAsia="ko-KR"/>
        </w:rPr>
        <w:t xml:space="preserve">regarding </w:t>
      </w:r>
      <w:r w:rsidR="00B63099" w:rsidRPr="004635E5">
        <w:rPr>
          <w:rFonts w:eastAsia="Batang"/>
          <w:bCs/>
          <w:sz w:val="22"/>
          <w:szCs w:val="22"/>
          <w:lang w:eastAsia="ko-KR"/>
        </w:rPr>
        <w:t xml:space="preserve">inter-agency </w:t>
      </w:r>
      <w:r w:rsidR="00F95C3A" w:rsidRPr="004635E5">
        <w:rPr>
          <w:rFonts w:eastAsia="Batang"/>
          <w:bCs/>
          <w:sz w:val="22"/>
          <w:szCs w:val="22"/>
          <w:lang w:eastAsia="ko-KR"/>
        </w:rPr>
        <w:t xml:space="preserve">collaboration </w:t>
      </w:r>
      <w:r w:rsidR="00B63099" w:rsidRPr="004635E5">
        <w:rPr>
          <w:rFonts w:eastAsia="Batang"/>
          <w:bCs/>
          <w:sz w:val="22"/>
          <w:szCs w:val="22"/>
          <w:lang w:eastAsia="ko-KR"/>
        </w:rPr>
        <w:t>on daily versus annu</w:t>
      </w:r>
      <w:r w:rsidR="00F95C3A" w:rsidRPr="004635E5">
        <w:rPr>
          <w:rFonts w:eastAsia="Batang"/>
          <w:bCs/>
          <w:sz w:val="22"/>
          <w:szCs w:val="22"/>
          <w:lang w:eastAsia="ko-KR"/>
        </w:rPr>
        <w:t>al</w:t>
      </w:r>
      <w:r w:rsidR="00B63099" w:rsidRPr="004635E5">
        <w:rPr>
          <w:rFonts w:eastAsia="Batang"/>
          <w:bCs/>
          <w:sz w:val="22"/>
          <w:szCs w:val="22"/>
          <w:lang w:eastAsia="ko-KR"/>
        </w:rPr>
        <w:t xml:space="preserve"> </w:t>
      </w:r>
      <w:r w:rsidR="00F95C3A" w:rsidRPr="004635E5">
        <w:rPr>
          <w:rFonts w:eastAsia="Batang"/>
          <w:bCs/>
          <w:sz w:val="22"/>
          <w:szCs w:val="22"/>
          <w:lang w:eastAsia="ko-KR"/>
        </w:rPr>
        <w:t xml:space="preserve">ageing methods, </w:t>
      </w:r>
      <w:r w:rsidR="00B63099" w:rsidRPr="004635E5">
        <w:rPr>
          <w:rFonts w:eastAsia="Batang"/>
          <w:bCs/>
          <w:sz w:val="22"/>
          <w:szCs w:val="22"/>
          <w:lang w:eastAsia="ko-KR"/>
        </w:rPr>
        <w:t xml:space="preserve">and </w:t>
      </w:r>
      <w:r w:rsidR="00F95C3A" w:rsidRPr="004635E5">
        <w:rPr>
          <w:rFonts w:eastAsia="Batang"/>
          <w:bCs/>
          <w:sz w:val="22"/>
          <w:szCs w:val="22"/>
          <w:lang w:eastAsia="ko-KR"/>
        </w:rPr>
        <w:t xml:space="preserve">further improvement of </w:t>
      </w:r>
      <w:r w:rsidR="00B63099" w:rsidRPr="004635E5">
        <w:rPr>
          <w:rFonts w:eastAsia="Batang"/>
          <w:bCs/>
          <w:sz w:val="22"/>
          <w:szCs w:val="22"/>
          <w:lang w:eastAsia="ko-KR"/>
        </w:rPr>
        <w:t xml:space="preserve">tagging data </w:t>
      </w:r>
      <w:r w:rsidR="00F95C3A" w:rsidRPr="004635E5">
        <w:rPr>
          <w:rFonts w:eastAsia="Batang"/>
          <w:bCs/>
          <w:sz w:val="22"/>
          <w:szCs w:val="22"/>
          <w:lang w:eastAsia="ko-KR"/>
        </w:rPr>
        <w:t>for the integrated growth curve</w:t>
      </w:r>
      <w:r w:rsidR="009B37AC" w:rsidRPr="004635E5">
        <w:rPr>
          <w:rFonts w:eastAsia="Batang"/>
          <w:sz w:val="22"/>
          <w:szCs w:val="22"/>
          <w:lang w:val="en-NZ" w:eastAsia="ko-KR"/>
        </w:rPr>
        <w:t xml:space="preserve">. </w:t>
      </w:r>
      <w:r w:rsidR="00B63099" w:rsidRPr="004635E5">
        <w:rPr>
          <w:rFonts w:eastAsia="Batang"/>
          <w:sz w:val="22"/>
          <w:szCs w:val="22"/>
          <w:lang w:val="en-NZ" w:eastAsia="ko-KR"/>
        </w:rPr>
        <w:t xml:space="preserve">J. </w:t>
      </w:r>
      <w:r w:rsidR="00F93204">
        <w:rPr>
          <w:rFonts w:eastAsia="Batang"/>
          <w:sz w:val="22"/>
          <w:szCs w:val="22"/>
          <w:lang w:val="en-NZ" w:eastAsia="ko-KR"/>
        </w:rPr>
        <w:t>Farley</w:t>
      </w:r>
      <w:r w:rsidR="00F93204">
        <w:rPr>
          <w:rFonts w:eastAsia="Batang" w:hint="eastAsia"/>
          <w:sz w:val="22"/>
          <w:szCs w:val="22"/>
          <w:lang w:val="en-NZ" w:eastAsia="ko-KR"/>
        </w:rPr>
        <w:t xml:space="preserve"> </w:t>
      </w:r>
      <w:r w:rsidR="00B63099" w:rsidRPr="004635E5">
        <w:rPr>
          <w:rFonts w:eastAsia="Batang"/>
          <w:sz w:val="22"/>
          <w:szCs w:val="22"/>
          <w:lang w:val="en-NZ" w:eastAsia="ko-KR"/>
        </w:rPr>
        <w:t>noted that the c</w:t>
      </w:r>
      <w:r w:rsidR="009B37AC" w:rsidRPr="004635E5">
        <w:rPr>
          <w:rFonts w:eastAsia="Batang"/>
          <w:sz w:val="22"/>
          <w:szCs w:val="22"/>
          <w:lang w:val="en-NZ" w:eastAsia="ko-KR"/>
        </w:rPr>
        <w:t>au</w:t>
      </w:r>
      <w:r w:rsidR="00B63099" w:rsidRPr="004635E5">
        <w:rPr>
          <w:rFonts w:eastAsia="Batang"/>
          <w:sz w:val="22"/>
          <w:szCs w:val="22"/>
          <w:lang w:val="en-NZ" w:eastAsia="ko-KR"/>
        </w:rPr>
        <w:t>se of opaque and translucent zon</w:t>
      </w:r>
      <w:r w:rsidR="009B37AC" w:rsidRPr="004635E5">
        <w:rPr>
          <w:rFonts w:eastAsia="Batang"/>
          <w:sz w:val="22"/>
          <w:szCs w:val="22"/>
          <w:lang w:val="en-NZ" w:eastAsia="ko-KR"/>
        </w:rPr>
        <w:t xml:space="preserve">es </w:t>
      </w:r>
      <w:r w:rsidR="003A240D" w:rsidRPr="004635E5">
        <w:rPr>
          <w:rFonts w:eastAsia="Batang"/>
          <w:sz w:val="22"/>
          <w:szCs w:val="22"/>
          <w:lang w:val="en-NZ" w:eastAsia="ko-KR"/>
        </w:rPr>
        <w:t>is not well documented in most fish species, but probably results from a combination of temperature and feeding. It varies</w:t>
      </w:r>
      <w:r w:rsidR="00B63099" w:rsidRPr="004635E5">
        <w:rPr>
          <w:rFonts w:eastAsia="Batang"/>
          <w:sz w:val="22"/>
          <w:szCs w:val="22"/>
          <w:lang w:val="en-NZ" w:eastAsia="ko-KR"/>
        </w:rPr>
        <w:t xml:space="preserve"> </w:t>
      </w:r>
      <w:r w:rsidR="003A240D" w:rsidRPr="004635E5">
        <w:rPr>
          <w:rFonts w:eastAsia="Batang"/>
          <w:sz w:val="22"/>
          <w:szCs w:val="22"/>
          <w:lang w:val="en-NZ" w:eastAsia="ko-KR"/>
        </w:rPr>
        <w:t xml:space="preserve">among </w:t>
      </w:r>
      <w:r w:rsidR="009B37AC" w:rsidRPr="004635E5">
        <w:rPr>
          <w:rFonts w:eastAsia="Batang"/>
          <w:sz w:val="22"/>
          <w:szCs w:val="22"/>
          <w:lang w:val="en-NZ" w:eastAsia="ko-KR"/>
        </w:rPr>
        <w:t>tuna</w:t>
      </w:r>
      <w:r w:rsidR="00B63099" w:rsidRPr="004635E5">
        <w:rPr>
          <w:rFonts w:eastAsia="Batang"/>
          <w:sz w:val="22"/>
          <w:szCs w:val="22"/>
          <w:lang w:val="en-NZ" w:eastAsia="ko-KR"/>
        </w:rPr>
        <w:t xml:space="preserve"> species</w:t>
      </w:r>
      <w:r w:rsidR="003A240D" w:rsidRPr="004635E5">
        <w:rPr>
          <w:rFonts w:eastAsia="Batang"/>
          <w:sz w:val="22"/>
          <w:szCs w:val="22"/>
          <w:lang w:val="en-NZ" w:eastAsia="ko-KR"/>
        </w:rPr>
        <w:t xml:space="preserve">: (i) in </w:t>
      </w:r>
      <w:r w:rsidR="00461BD4" w:rsidRPr="004635E5">
        <w:rPr>
          <w:rFonts w:eastAsia="Batang"/>
          <w:sz w:val="22"/>
          <w:szCs w:val="22"/>
          <w:lang w:val="en-NZ" w:eastAsia="ko-KR"/>
        </w:rPr>
        <w:t xml:space="preserve">southern bluefin tuna it is thought to </w:t>
      </w:r>
      <w:r w:rsidR="003A240D" w:rsidRPr="004635E5">
        <w:rPr>
          <w:rFonts w:eastAsia="Batang"/>
          <w:sz w:val="22"/>
          <w:szCs w:val="22"/>
          <w:lang w:val="en-NZ" w:eastAsia="ko-KR"/>
        </w:rPr>
        <w:t xml:space="preserve">result from </w:t>
      </w:r>
      <w:r w:rsidR="00461BD4" w:rsidRPr="004635E5">
        <w:rPr>
          <w:rFonts w:eastAsia="Batang"/>
          <w:sz w:val="22"/>
          <w:szCs w:val="22"/>
          <w:lang w:val="en-NZ" w:eastAsia="ko-KR"/>
        </w:rPr>
        <w:t>the N</w:t>
      </w:r>
      <w:r w:rsidR="003A240D" w:rsidRPr="004635E5">
        <w:rPr>
          <w:rFonts w:eastAsia="Batang"/>
          <w:sz w:val="22"/>
          <w:szCs w:val="22"/>
          <w:lang w:val="en-NZ" w:eastAsia="ko-KR"/>
        </w:rPr>
        <w:t>–</w:t>
      </w:r>
      <w:r w:rsidR="00461BD4" w:rsidRPr="004635E5">
        <w:rPr>
          <w:rFonts w:eastAsia="Batang"/>
          <w:sz w:val="22"/>
          <w:szCs w:val="22"/>
          <w:lang w:val="en-NZ" w:eastAsia="ko-KR"/>
        </w:rPr>
        <w:t>S migration</w:t>
      </w:r>
      <w:r w:rsidR="003A240D" w:rsidRPr="004635E5">
        <w:rPr>
          <w:rFonts w:eastAsia="Batang"/>
          <w:sz w:val="22"/>
          <w:szCs w:val="22"/>
          <w:lang w:val="en-NZ" w:eastAsia="ko-KR"/>
        </w:rPr>
        <w:t xml:space="preserve"> (</w:t>
      </w:r>
      <w:r w:rsidR="00461BD4" w:rsidRPr="004635E5">
        <w:rPr>
          <w:rFonts w:eastAsia="Batang"/>
          <w:sz w:val="22"/>
          <w:szCs w:val="22"/>
          <w:lang w:val="en-NZ" w:eastAsia="ko-KR"/>
        </w:rPr>
        <w:t>from warm to cold water</w:t>
      </w:r>
      <w:r w:rsidR="003A240D" w:rsidRPr="004635E5">
        <w:rPr>
          <w:rFonts w:eastAsia="Batang"/>
          <w:sz w:val="22"/>
          <w:szCs w:val="22"/>
          <w:lang w:val="en-NZ" w:eastAsia="ko-KR"/>
        </w:rPr>
        <w:t>)</w:t>
      </w:r>
      <w:r w:rsidR="00461BD4" w:rsidRPr="004635E5">
        <w:rPr>
          <w:rFonts w:eastAsia="Batang"/>
          <w:sz w:val="22"/>
          <w:szCs w:val="22"/>
          <w:lang w:val="en-NZ" w:eastAsia="ko-KR"/>
        </w:rPr>
        <w:t xml:space="preserve"> and feeding</w:t>
      </w:r>
      <w:r w:rsidR="003A240D" w:rsidRPr="004635E5">
        <w:rPr>
          <w:rFonts w:eastAsia="Batang"/>
          <w:sz w:val="22"/>
          <w:szCs w:val="22"/>
          <w:lang w:val="en-NZ" w:eastAsia="ko-KR"/>
        </w:rPr>
        <w:t>;</w:t>
      </w:r>
      <w:r w:rsidR="00461BD4" w:rsidRPr="004635E5">
        <w:rPr>
          <w:rFonts w:eastAsia="Batang"/>
          <w:sz w:val="22"/>
          <w:szCs w:val="22"/>
          <w:lang w:val="en-NZ" w:eastAsia="ko-KR"/>
        </w:rPr>
        <w:t xml:space="preserve"> </w:t>
      </w:r>
      <w:r w:rsidR="003A240D" w:rsidRPr="004635E5">
        <w:rPr>
          <w:rFonts w:eastAsia="Batang"/>
          <w:sz w:val="22"/>
          <w:szCs w:val="22"/>
          <w:lang w:val="en-NZ" w:eastAsia="ko-KR"/>
        </w:rPr>
        <w:t xml:space="preserve">(ii) in </w:t>
      </w:r>
      <w:r w:rsidR="002D5D17" w:rsidRPr="004635E5">
        <w:rPr>
          <w:rFonts w:eastAsia="Batang"/>
          <w:sz w:val="22"/>
          <w:szCs w:val="22"/>
          <w:lang w:val="en-NZ" w:eastAsia="ko-KR"/>
        </w:rPr>
        <w:t>bigeye tuna</w:t>
      </w:r>
      <w:r w:rsidR="00461BD4" w:rsidRPr="004635E5">
        <w:rPr>
          <w:rFonts w:eastAsia="Batang"/>
          <w:sz w:val="22"/>
          <w:szCs w:val="22"/>
          <w:lang w:val="en-NZ" w:eastAsia="ko-KR"/>
        </w:rPr>
        <w:t>, it may also be temperature</w:t>
      </w:r>
      <w:r w:rsidR="003A240D" w:rsidRPr="004635E5">
        <w:rPr>
          <w:rFonts w:eastAsia="Batang"/>
          <w:sz w:val="22"/>
          <w:szCs w:val="22"/>
          <w:lang w:val="en-NZ" w:eastAsia="ko-KR"/>
        </w:rPr>
        <w:t xml:space="preserve">, as </w:t>
      </w:r>
      <w:r w:rsidR="00461BD4" w:rsidRPr="004635E5">
        <w:rPr>
          <w:rFonts w:eastAsia="Batang"/>
          <w:sz w:val="22"/>
          <w:szCs w:val="22"/>
          <w:lang w:val="en-NZ" w:eastAsia="ko-KR"/>
        </w:rPr>
        <w:t xml:space="preserve">some </w:t>
      </w:r>
      <w:r w:rsidR="002D5D17" w:rsidRPr="004635E5">
        <w:rPr>
          <w:rFonts w:eastAsia="Batang"/>
          <w:sz w:val="22"/>
          <w:szCs w:val="22"/>
          <w:lang w:val="en-NZ" w:eastAsia="ko-KR"/>
        </w:rPr>
        <w:t>bigeye tuna</w:t>
      </w:r>
      <w:r w:rsidR="00703EFC" w:rsidRPr="004635E5">
        <w:rPr>
          <w:rFonts w:eastAsia="Batang"/>
          <w:sz w:val="22"/>
          <w:szCs w:val="22"/>
          <w:lang w:val="en-NZ" w:eastAsia="ko-KR"/>
        </w:rPr>
        <w:t xml:space="preserve"> </w:t>
      </w:r>
      <w:r w:rsidR="00461BD4" w:rsidRPr="004635E5">
        <w:rPr>
          <w:rFonts w:eastAsia="Batang"/>
          <w:sz w:val="22"/>
          <w:szCs w:val="22"/>
          <w:lang w:val="en-NZ" w:eastAsia="ko-KR"/>
        </w:rPr>
        <w:t xml:space="preserve">migrate (they are present </w:t>
      </w:r>
      <w:r w:rsidR="001972D5" w:rsidRPr="004635E5">
        <w:rPr>
          <w:rFonts w:eastAsia="Batang"/>
          <w:sz w:val="22"/>
          <w:szCs w:val="22"/>
          <w:lang w:val="en-NZ" w:eastAsia="ko-KR"/>
        </w:rPr>
        <w:t>around T</w:t>
      </w:r>
      <w:r w:rsidR="00461BD4" w:rsidRPr="004635E5">
        <w:rPr>
          <w:rFonts w:eastAsia="Batang"/>
          <w:sz w:val="22"/>
          <w:szCs w:val="22"/>
          <w:lang w:val="en-NZ" w:eastAsia="ko-KR"/>
        </w:rPr>
        <w:t xml:space="preserve">asmania and Australia’s east coast). Regarding the decimal age bias of </w:t>
      </w:r>
      <w:r w:rsidR="003A240D" w:rsidRPr="004635E5">
        <w:rPr>
          <w:rFonts w:eastAsia="Batang"/>
          <w:sz w:val="22"/>
          <w:szCs w:val="22"/>
          <w:lang w:val="en-NZ" w:eastAsia="ko-KR"/>
        </w:rPr>
        <w:t xml:space="preserve">6 </w:t>
      </w:r>
      <w:r w:rsidR="00461BD4" w:rsidRPr="004635E5">
        <w:rPr>
          <w:rFonts w:eastAsia="Batang"/>
          <w:sz w:val="22"/>
          <w:szCs w:val="22"/>
          <w:lang w:val="en-NZ" w:eastAsia="ko-KR"/>
        </w:rPr>
        <w:t>months</w:t>
      </w:r>
      <w:r w:rsidR="00FC7E0B" w:rsidRPr="004635E5">
        <w:rPr>
          <w:rFonts w:eastAsia="Batang"/>
          <w:sz w:val="22"/>
          <w:szCs w:val="22"/>
          <w:lang w:val="en-NZ" w:eastAsia="ko-KR"/>
        </w:rPr>
        <w:t xml:space="preserve">, </w:t>
      </w:r>
      <w:r w:rsidR="00461BD4" w:rsidRPr="004635E5">
        <w:rPr>
          <w:rFonts w:eastAsia="Batang"/>
          <w:sz w:val="22"/>
          <w:szCs w:val="22"/>
          <w:lang w:val="en-NZ" w:eastAsia="ko-KR"/>
        </w:rPr>
        <w:t xml:space="preserve">the growth curve from the data matches the daily age estimate for fish </w:t>
      </w:r>
      <w:r w:rsidR="00FC7E0B" w:rsidRPr="004635E5">
        <w:rPr>
          <w:rFonts w:eastAsia="Batang"/>
          <w:sz w:val="22"/>
          <w:szCs w:val="22"/>
          <w:lang w:val="en-NZ" w:eastAsia="ko-KR"/>
        </w:rPr>
        <w:t xml:space="preserve">at </w:t>
      </w:r>
      <w:r w:rsidR="00461BD4" w:rsidRPr="004635E5">
        <w:rPr>
          <w:rFonts w:eastAsia="Batang"/>
          <w:sz w:val="22"/>
          <w:szCs w:val="22"/>
          <w:lang w:val="en-NZ" w:eastAsia="ko-KR"/>
        </w:rPr>
        <w:t>age 1. But if January 1</w:t>
      </w:r>
      <w:r w:rsidR="00FC7E0B" w:rsidRPr="004635E5">
        <w:rPr>
          <w:rFonts w:eastAsia="Batang"/>
          <w:sz w:val="22"/>
          <w:szCs w:val="22"/>
          <w:lang w:val="en-NZ" w:eastAsia="ko-KR"/>
        </w:rPr>
        <w:t xml:space="preserve"> was used </w:t>
      </w:r>
      <w:r w:rsidR="00461BD4" w:rsidRPr="004635E5">
        <w:rPr>
          <w:rFonts w:eastAsia="Batang"/>
          <w:sz w:val="22"/>
          <w:szCs w:val="22"/>
          <w:lang w:val="en-NZ" w:eastAsia="ko-KR"/>
        </w:rPr>
        <w:t xml:space="preserve">the estimate would be shifted to the left, </w:t>
      </w:r>
      <w:r w:rsidR="00FC7E0B" w:rsidRPr="004635E5">
        <w:rPr>
          <w:rFonts w:eastAsia="Batang"/>
          <w:sz w:val="22"/>
          <w:szCs w:val="22"/>
          <w:lang w:val="en-NZ" w:eastAsia="ko-KR"/>
        </w:rPr>
        <w:t xml:space="preserve">and </w:t>
      </w:r>
      <w:r w:rsidR="003A240D" w:rsidRPr="004635E5">
        <w:rPr>
          <w:rFonts w:eastAsia="Batang"/>
          <w:sz w:val="22"/>
          <w:szCs w:val="22"/>
          <w:lang w:val="en-NZ" w:eastAsia="ko-KR"/>
        </w:rPr>
        <w:t xml:space="preserve">would </w:t>
      </w:r>
      <w:r w:rsidR="00461BD4" w:rsidRPr="004635E5">
        <w:rPr>
          <w:rFonts w:eastAsia="Batang"/>
          <w:sz w:val="22"/>
          <w:szCs w:val="22"/>
          <w:lang w:val="en-NZ" w:eastAsia="ko-KR"/>
        </w:rPr>
        <w:t xml:space="preserve">not match length-at-age from </w:t>
      </w:r>
      <w:r w:rsidR="00FC7E0B" w:rsidRPr="004635E5">
        <w:rPr>
          <w:rFonts w:eastAsia="Batang"/>
          <w:sz w:val="22"/>
          <w:szCs w:val="22"/>
          <w:lang w:val="en-NZ" w:eastAsia="ko-KR"/>
        </w:rPr>
        <w:t xml:space="preserve">the </w:t>
      </w:r>
      <w:r w:rsidR="00461BD4" w:rsidRPr="004635E5">
        <w:rPr>
          <w:rFonts w:eastAsia="Batang"/>
          <w:sz w:val="22"/>
          <w:szCs w:val="22"/>
          <w:lang w:val="en-NZ" w:eastAsia="ko-KR"/>
        </w:rPr>
        <w:t xml:space="preserve">daily age estimate. </w:t>
      </w:r>
      <w:r w:rsidR="00703EFC" w:rsidRPr="004635E5">
        <w:rPr>
          <w:rFonts w:eastAsia="Batang"/>
          <w:sz w:val="22"/>
          <w:szCs w:val="22"/>
          <w:lang w:val="en-NZ" w:eastAsia="ko-KR"/>
        </w:rPr>
        <w:t xml:space="preserve">J. </w:t>
      </w:r>
      <w:r w:rsidR="00F93204">
        <w:rPr>
          <w:rFonts w:eastAsia="Batang"/>
          <w:sz w:val="22"/>
          <w:szCs w:val="22"/>
          <w:lang w:val="en-NZ" w:eastAsia="ko-KR"/>
        </w:rPr>
        <w:t xml:space="preserve">Farley </w:t>
      </w:r>
      <w:r w:rsidR="00FC7E0B" w:rsidRPr="004635E5">
        <w:rPr>
          <w:rFonts w:eastAsia="Batang"/>
          <w:sz w:val="22"/>
          <w:szCs w:val="22"/>
          <w:lang w:val="en-NZ" w:eastAsia="ko-KR"/>
        </w:rPr>
        <w:t xml:space="preserve">expressed </w:t>
      </w:r>
      <w:r w:rsidR="00461BD4" w:rsidRPr="004635E5">
        <w:rPr>
          <w:rFonts w:eastAsia="Batang"/>
          <w:sz w:val="22"/>
          <w:szCs w:val="22"/>
          <w:lang w:val="en-NZ" w:eastAsia="ko-KR"/>
        </w:rPr>
        <w:t>confiden</w:t>
      </w:r>
      <w:r w:rsidR="00FC7E0B" w:rsidRPr="004635E5">
        <w:rPr>
          <w:rFonts w:eastAsia="Batang"/>
          <w:sz w:val="22"/>
          <w:szCs w:val="22"/>
          <w:lang w:val="en-NZ" w:eastAsia="ko-KR"/>
        </w:rPr>
        <w:t>ce</w:t>
      </w:r>
      <w:r w:rsidR="00461BD4" w:rsidRPr="004635E5">
        <w:rPr>
          <w:rFonts w:eastAsia="Batang"/>
          <w:sz w:val="22"/>
          <w:szCs w:val="22"/>
          <w:lang w:val="en-NZ" w:eastAsia="ko-KR"/>
        </w:rPr>
        <w:t xml:space="preserve"> that July 1 </w:t>
      </w:r>
      <w:r w:rsidR="00FC7E0B" w:rsidRPr="004635E5">
        <w:rPr>
          <w:rFonts w:eastAsia="Batang"/>
          <w:sz w:val="22"/>
          <w:szCs w:val="22"/>
          <w:lang w:val="en-NZ" w:eastAsia="ko-KR"/>
        </w:rPr>
        <w:t xml:space="preserve">was on </w:t>
      </w:r>
      <w:r w:rsidR="00461BD4" w:rsidRPr="004635E5">
        <w:rPr>
          <w:rFonts w:eastAsia="Batang"/>
          <w:sz w:val="22"/>
          <w:szCs w:val="22"/>
          <w:lang w:val="en-NZ" w:eastAsia="ko-KR"/>
        </w:rPr>
        <w:t>average a good estimate</w:t>
      </w:r>
      <w:r w:rsidR="003A240D" w:rsidRPr="004635E5">
        <w:rPr>
          <w:rFonts w:eastAsia="Batang"/>
          <w:sz w:val="22"/>
          <w:szCs w:val="22"/>
          <w:lang w:val="en-NZ" w:eastAsia="ko-KR"/>
        </w:rPr>
        <w:t>,</w:t>
      </w:r>
      <w:r w:rsidR="00FC7E0B" w:rsidRPr="004635E5">
        <w:rPr>
          <w:rFonts w:eastAsia="Batang"/>
          <w:sz w:val="22"/>
          <w:szCs w:val="22"/>
          <w:lang w:val="en-NZ" w:eastAsia="ko-KR"/>
        </w:rPr>
        <w:t xml:space="preserve"> with the curve matching</w:t>
      </w:r>
      <w:r w:rsidR="00461BD4" w:rsidRPr="004635E5">
        <w:rPr>
          <w:rFonts w:eastAsia="Batang"/>
          <w:sz w:val="22"/>
          <w:szCs w:val="22"/>
          <w:lang w:val="en-NZ" w:eastAsia="ko-KR"/>
        </w:rPr>
        <w:t xml:space="preserve"> the daily age estimates.</w:t>
      </w:r>
    </w:p>
    <w:p w14:paraId="13A66D79"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72C26597" w14:textId="77777777" w:rsidR="00992215" w:rsidRPr="004635E5" w:rsidRDefault="00FC7E0B"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Chinese Taipei </w:t>
      </w:r>
      <w:r w:rsidR="006E4F87" w:rsidRPr="004635E5">
        <w:rPr>
          <w:rFonts w:eastAsia="Batang"/>
          <w:sz w:val="22"/>
          <w:szCs w:val="22"/>
          <w:lang w:val="en-NZ" w:eastAsia="ko-KR"/>
        </w:rPr>
        <w:t xml:space="preserve">queried the size of fish included in the growth study, noting that </w:t>
      </w:r>
      <w:r w:rsidR="00087547" w:rsidRPr="004635E5">
        <w:rPr>
          <w:rFonts w:eastAsia="Batang"/>
          <w:sz w:val="22"/>
          <w:szCs w:val="22"/>
          <w:lang w:val="en-NZ" w:eastAsia="ko-KR"/>
        </w:rPr>
        <w:t>obs</w:t>
      </w:r>
      <w:r w:rsidR="006B354E" w:rsidRPr="004635E5">
        <w:rPr>
          <w:rFonts w:eastAsia="Batang"/>
          <w:sz w:val="22"/>
          <w:szCs w:val="22"/>
          <w:lang w:val="en-NZ" w:eastAsia="ko-KR"/>
        </w:rPr>
        <w:t>erver data</w:t>
      </w:r>
      <w:r w:rsidR="00087547" w:rsidRPr="004635E5">
        <w:rPr>
          <w:rFonts w:eastAsia="Batang"/>
          <w:sz w:val="22"/>
          <w:szCs w:val="22"/>
          <w:lang w:val="en-NZ" w:eastAsia="ko-KR"/>
        </w:rPr>
        <w:t xml:space="preserve"> </w:t>
      </w:r>
      <w:r w:rsidR="006B354E" w:rsidRPr="004635E5">
        <w:rPr>
          <w:rFonts w:eastAsia="Batang"/>
          <w:sz w:val="22"/>
          <w:szCs w:val="22"/>
          <w:lang w:val="en-NZ" w:eastAsia="ko-KR"/>
        </w:rPr>
        <w:t>(</w:t>
      </w:r>
      <w:r w:rsidR="001972D5" w:rsidRPr="004635E5">
        <w:rPr>
          <w:rFonts w:eastAsia="Batang"/>
          <w:sz w:val="22"/>
          <w:szCs w:val="22"/>
          <w:lang w:val="en-NZ" w:eastAsia="ko-KR"/>
        </w:rPr>
        <w:t>SC14-SA-</w:t>
      </w:r>
      <w:r w:rsidR="005C3CE1" w:rsidRPr="004635E5" w:rsidDel="005C3CE1">
        <w:rPr>
          <w:rFonts w:eastAsia="Batang"/>
          <w:sz w:val="22"/>
          <w:szCs w:val="22"/>
          <w:lang w:val="en-NZ" w:eastAsia="ko-KR"/>
        </w:rPr>
        <w:t xml:space="preserve"> </w:t>
      </w:r>
      <w:r w:rsidR="00087547" w:rsidRPr="004635E5">
        <w:rPr>
          <w:rFonts w:eastAsia="Batang"/>
          <w:sz w:val="22"/>
          <w:szCs w:val="22"/>
          <w:lang w:val="en-NZ" w:eastAsia="ko-KR"/>
        </w:rPr>
        <w:t>WP</w:t>
      </w:r>
      <w:r w:rsidR="005C3CE1">
        <w:rPr>
          <w:rFonts w:eastAsia="Batang"/>
          <w:sz w:val="22"/>
          <w:szCs w:val="22"/>
          <w:lang w:val="en-NZ" w:eastAsia="ko-KR"/>
        </w:rPr>
        <w:t>-03</w:t>
      </w:r>
      <w:r w:rsidR="00087547" w:rsidRPr="004635E5">
        <w:rPr>
          <w:rFonts w:eastAsia="Batang"/>
          <w:sz w:val="22"/>
          <w:szCs w:val="22"/>
          <w:lang w:val="en-NZ" w:eastAsia="ko-KR"/>
        </w:rPr>
        <w:t xml:space="preserve">, </w:t>
      </w:r>
      <w:r w:rsidR="005C3CE1">
        <w:rPr>
          <w:rFonts w:eastAsia="Batang"/>
          <w:sz w:val="22"/>
          <w:szCs w:val="22"/>
          <w:lang w:val="en-NZ" w:eastAsia="ko-KR"/>
        </w:rPr>
        <w:t>Figure</w:t>
      </w:r>
      <w:r w:rsidR="005C3CE1" w:rsidRPr="004635E5">
        <w:rPr>
          <w:rFonts w:eastAsia="Batang"/>
          <w:sz w:val="22"/>
          <w:szCs w:val="22"/>
          <w:lang w:val="en-NZ" w:eastAsia="ko-KR"/>
        </w:rPr>
        <w:t xml:space="preserve"> </w:t>
      </w:r>
      <w:r w:rsidR="00087547" w:rsidRPr="004635E5">
        <w:rPr>
          <w:rFonts w:eastAsia="Batang"/>
          <w:sz w:val="22"/>
          <w:szCs w:val="22"/>
          <w:lang w:val="en-NZ" w:eastAsia="ko-KR"/>
        </w:rPr>
        <w:t>15</w:t>
      </w:r>
      <w:r w:rsidR="006B354E" w:rsidRPr="004635E5">
        <w:rPr>
          <w:rFonts w:eastAsia="Batang"/>
          <w:sz w:val="22"/>
          <w:szCs w:val="22"/>
          <w:lang w:val="en-NZ" w:eastAsia="ko-KR"/>
        </w:rPr>
        <w:t>)</w:t>
      </w:r>
      <w:r w:rsidR="00087547" w:rsidRPr="004635E5">
        <w:rPr>
          <w:rFonts w:eastAsia="Batang"/>
          <w:sz w:val="22"/>
          <w:szCs w:val="22"/>
          <w:lang w:val="en-NZ" w:eastAsia="ko-KR"/>
        </w:rPr>
        <w:t xml:space="preserve"> </w:t>
      </w:r>
      <w:r w:rsidR="006B354E" w:rsidRPr="004635E5">
        <w:rPr>
          <w:rFonts w:eastAsia="Batang"/>
          <w:sz w:val="22"/>
          <w:szCs w:val="22"/>
          <w:lang w:val="en-NZ" w:eastAsia="ko-KR"/>
        </w:rPr>
        <w:t xml:space="preserve">showed a number of 5° x 5° cells with average </w:t>
      </w:r>
      <w:r w:rsidR="00087547" w:rsidRPr="004635E5">
        <w:rPr>
          <w:rFonts w:eastAsia="Batang"/>
          <w:sz w:val="22"/>
          <w:szCs w:val="22"/>
          <w:lang w:val="en-NZ" w:eastAsia="ko-KR"/>
        </w:rPr>
        <w:t xml:space="preserve">length </w:t>
      </w:r>
      <w:r w:rsidR="006B354E" w:rsidRPr="004635E5">
        <w:rPr>
          <w:rFonts w:eastAsia="Batang"/>
          <w:sz w:val="22"/>
          <w:szCs w:val="22"/>
          <w:lang w:val="en-NZ" w:eastAsia="ko-KR"/>
        </w:rPr>
        <w:t xml:space="preserve">of </w:t>
      </w:r>
      <w:r w:rsidR="00087547" w:rsidRPr="004635E5">
        <w:rPr>
          <w:rFonts w:eastAsia="Batang"/>
          <w:sz w:val="22"/>
          <w:szCs w:val="22"/>
          <w:lang w:val="en-NZ" w:eastAsia="ko-KR"/>
        </w:rPr>
        <w:t>190</w:t>
      </w:r>
      <w:r w:rsidR="006B354E" w:rsidRPr="004635E5">
        <w:rPr>
          <w:rFonts w:eastAsia="Batang"/>
          <w:sz w:val="22"/>
          <w:szCs w:val="22"/>
          <w:lang w:val="en-NZ" w:eastAsia="ko-KR"/>
        </w:rPr>
        <w:t xml:space="preserve"> </w:t>
      </w:r>
      <w:r w:rsidR="00346AB8" w:rsidRPr="004635E5">
        <w:rPr>
          <w:rFonts w:eastAsia="Batang"/>
          <w:sz w:val="22"/>
          <w:szCs w:val="22"/>
          <w:lang w:val="en-NZ" w:eastAsia="ko-KR"/>
        </w:rPr>
        <w:t>cm,</w:t>
      </w:r>
      <w:r w:rsidR="00087547" w:rsidRPr="004635E5">
        <w:rPr>
          <w:rFonts w:eastAsia="Batang"/>
          <w:sz w:val="22"/>
          <w:szCs w:val="22"/>
          <w:lang w:val="en-NZ" w:eastAsia="ko-KR"/>
        </w:rPr>
        <w:t xml:space="preserve"> esp</w:t>
      </w:r>
      <w:r w:rsidR="006B354E" w:rsidRPr="004635E5">
        <w:rPr>
          <w:rFonts w:eastAsia="Batang"/>
          <w:sz w:val="22"/>
          <w:szCs w:val="22"/>
          <w:lang w:val="en-NZ" w:eastAsia="ko-KR"/>
        </w:rPr>
        <w:t xml:space="preserve">ecially </w:t>
      </w:r>
      <w:r w:rsidR="00087547" w:rsidRPr="004635E5">
        <w:rPr>
          <w:rFonts w:eastAsia="Batang"/>
          <w:sz w:val="22"/>
          <w:szCs w:val="22"/>
          <w:lang w:val="en-NZ" w:eastAsia="ko-KR"/>
        </w:rPr>
        <w:t>in area</w:t>
      </w:r>
      <w:r w:rsidR="006B354E" w:rsidRPr="004635E5">
        <w:rPr>
          <w:rFonts w:eastAsia="Batang"/>
          <w:sz w:val="22"/>
          <w:szCs w:val="22"/>
          <w:lang w:val="en-NZ" w:eastAsia="ko-KR"/>
        </w:rPr>
        <w:t>s</w:t>
      </w:r>
      <w:r w:rsidR="00087547" w:rsidRPr="004635E5">
        <w:rPr>
          <w:rFonts w:eastAsia="Batang"/>
          <w:sz w:val="22"/>
          <w:szCs w:val="22"/>
          <w:lang w:val="en-NZ" w:eastAsia="ko-KR"/>
        </w:rPr>
        <w:t xml:space="preserve"> 7 and 4</w:t>
      </w:r>
      <w:r w:rsidR="006B354E" w:rsidRPr="004635E5">
        <w:rPr>
          <w:rFonts w:eastAsia="Batang"/>
          <w:sz w:val="22"/>
          <w:szCs w:val="22"/>
          <w:lang w:val="en-NZ" w:eastAsia="ko-KR"/>
        </w:rPr>
        <w:t xml:space="preserve">, while this study included few fish with </w:t>
      </w:r>
      <w:r w:rsidR="00087547" w:rsidRPr="004635E5">
        <w:rPr>
          <w:rFonts w:eastAsia="Batang"/>
          <w:sz w:val="22"/>
          <w:szCs w:val="22"/>
          <w:lang w:val="en-NZ" w:eastAsia="ko-KR"/>
        </w:rPr>
        <w:t>max</w:t>
      </w:r>
      <w:r w:rsidR="006B354E" w:rsidRPr="004635E5">
        <w:rPr>
          <w:rFonts w:eastAsia="Batang"/>
          <w:sz w:val="22"/>
          <w:szCs w:val="22"/>
          <w:lang w:val="en-NZ" w:eastAsia="ko-KR"/>
        </w:rPr>
        <w:t>imum</w:t>
      </w:r>
      <w:r w:rsidR="00087547" w:rsidRPr="004635E5">
        <w:rPr>
          <w:rFonts w:eastAsia="Batang"/>
          <w:sz w:val="22"/>
          <w:szCs w:val="22"/>
          <w:lang w:val="en-NZ" w:eastAsia="ko-KR"/>
        </w:rPr>
        <w:t xml:space="preserve"> length </w:t>
      </w:r>
      <w:r w:rsidR="006B354E" w:rsidRPr="004635E5">
        <w:rPr>
          <w:rFonts w:eastAsia="Batang"/>
          <w:sz w:val="22"/>
          <w:szCs w:val="22"/>
          <w:lang w:val="en-NZ" w:eastAsia="ko-KR"/>
        </w:rPr>
        <w:t xml:space="preserve">above </w:t>
      </w:r>
      <w:r w:rsidR="00087547" w:rsidRPr="004635E5">
        <w:rPr>
          <w:rFonts w:eastAsia="Batang"/>
          <w:sz w:val="22"/>
          <w:szCs w:val="22"/>
          <w:lang w:val="en-NZ" w:eastAsia="ko-KR"/>
        </w:rPr>
        <w:t>150</w:t>
      </w:r>
      <w:r w:rsidR="006B354E" w:rsidRPr="004635E5">
        <w:rPr>
          <w:rFonts w:eastAsia="Batang"/>
          <w:sz w:val="22"/>
          <w:szCs w:val="22"/>
          <w:lang w:val="en-NZ" w:eastAsia="ko-KR"/>
        </w:rPr>
        <w:t xml:space="preserve"> cm</w:t>
      </w:r>
      <w:r w:rsidR="00087547" w:rsidRPr="004635E5">
        <w:rPr>
          <w:rFonts w:eastAsia="Batang"/>
          <w:sz w:val="22"/>
          <w:szCs w:val="22"/>
          <w:lang w:val="en-NZ" w:eastAsia="ko-KR"/>
        </w:rPr>
        <w:t xml:space="preserve">. </w:t>
      </w:r>
      <w:r w:rsidR="00753AC6" w:rsidRPr="004635E5">
        <w:rPr>
          <w:rFonts w:eastAsia="Batang"/>
          <w:sz w:val="22"/>
          <w:szCs w:val="22"/>
          <w:lang w:val="en-NZ" w:eastAsia="ko-KR"/>
        </w:rPr>
        <w:t xml:space="preserve">Regarding age validation, </w:t>
      </w:r>
      <w:r w:rsidR="00703EFC" w:rsidRPr="004635E5">
        <w:rPr>
          <w:rFonts w:eastAsia="Batang"/>
          <w:sz w:val="22"/>
          <w:szCs w:val="22"/>
          <w:lang w:val="en-NZ" w:eastAsia="ko-KR"/>
        </w:rPr>
        <w:t xml:space="preserve">they </w:t>
      </w:r>
      <w:r w:rsidR="00753AC6" w:rsidRPr="004635E5">
        <w:rPr>
          <w:rFonts w:eastAsia="Batang"/>
          <w:sz w:val="22"/>
          <w:szCs w:val="22"/>
          <w:lang w:val="en-NZ" w:eastAsia="ko-KR"/>
        </w:rPr>
        <w:t>noted that current age validation is only for ages 2</w:t>
      </w:r>
      <w:r w:rsidR="003A240D" w:rsidRPr="004635E5">
        <w:rPr>
          <w:rFonts w:eastAsia="Batang"/>
          <w:sz w:val="22"/>
          <w:szCs w:val="22"/>
          <w:lang w:val="en-NZ" w:eastAsia="ko-KR"/>
        </w:rPr>
        <w:t>–</w:t>
      </w:r>
      <w:r w:rsidR="00753AC6" w:rsidRPr="004635E5">
        <w:rPr>
          <w:rFonts w:eastAsia="Batang"/>
          <w:sz w:val="22"/>
          <w:szCs w:val="22"/>
          <w:lang w:val="en-NZ" w:eastAsia="ko-KR"/>
        </w:rPr>
        <w:t>9. In the current study maximum age determination is up to 15, with ages 9</w:t>
      </w:r>
      <w:r w:rsidR="003A240D" w:rsidRPr="004635E5">
        <w:rPr>
          <w:rFonts w:eastAsia="Batang"/>
          <w:sz w:val="22"/>
          <w:szCs w:val="22"/>
          <w:lang w:val="en-NZ" w:eastAsia="ko-KR"/>
        </w:rPr>
        <w:t>–</w:t>
      </w:r>
      <w:r w:rsidR="00753AC6" w:rsidRPr="004635E5">
        <w:rPr>
          <w:rFonts w:eastAsia="Batang"/>
          <w:sz w:val="22"/>
          <w:szCs w:val="22"/>
          <w:lang w:val="en-NZ" w:eastAsia="ko-KR"/>
        </w:rPr>
        <w:t xml:space="preserve">15 not validated. </w:t>
      </w:r>
      <w:r w:rsidR="00703EFC" w:rsidRPr="004635E5">
        <w:rPr>
          <w:rFonts w:eastAsia="Batang"/>
          <w:sz w:val="22"/>
          <w:szCs w:val="22"/>
          <w:lang w:val="en-NZ" w:eastAsia="ko-KR"/>
        </w:rPr>
        <w:t xml:space="preserve">They </w:t>
      </w:r>
      <w:r w:rsidR="00753AC6" w:rsidRPr="004635E5">
        <w:rPr>
          <w:rFonts w:eastAsia="Batang"/>
          <w:sz w:val="22"/>
          <w:szCs w:val="22"/>
          <w:lang w:val="en-NZ" w:eastAsia="ko-KR"/>
        </w:rPr>
        <w:t>inquired regarding bomb radiocarbon aging, which has been conducted for bluefin tuna and blue marlin</w:t>
      </w:r>
      <w:r w:rsidR="00703EFC" w:rsidRPr="004635E5">
        <w:rPr>
          <w:rFonts w:eastAsia="Batang"/>
          <w:sz w:val="22"/>
          <w:szCs w:val="22"/>
          <w:lang w:val="en-NZ" w:eastAsia="ko-KR"/>
        </w:rPr>
        <w:t xml:space="preserve">, and noted </w:t>
      </w:r>
      <w:r w:rsidR="00753AC6" w:rsidRPr="004635E5">
        <w:rPr>
          <w:rFonts w:eastAsia="Batang"/>
          <w:sz w:val="22"/>
          <w:szCs w:val="22"/>
          <w:lang w:val="en-NZ" w:eastAsia="ko-KR"/>
        </w:rPr>
        <w:t>the possibility for age 1 fish</w:t>
      </w:r>
      <w:r w:rsidR="00E45C2F" w:rsidRPr="004635E5">
        <w:rPr>
          <w:rFonts w:eastAsia="Batang"/>
          <w:sz w:val="22"/>
          <w:szCs w:val="22"/>
          <w:lang w:val="en-NZ" w:eastAsia="ko-KR"/>
        </w:rPr>
        <w:t xml:space="preserve"> </w:t>
      </w:r>
      <w:r w:rsidR="00753AC6" w:rsidRPr="004635E5">
        <w:rPr>
          <w:rFonts w:eastAsia="Batang"/>
          <w:sz w:val="22"/>
          <w:szCs w:val="22"/>
          <w:lang w:val="en-NZ" w:eastAsia="ko-KR"/>
        </w:rPr>
        <w:t>of validating using the length composition mode progression. Noting that the age was not validated for age</w:t>
      </w:r>
      <w:r w:rsidR="001972D5" w:rsidRPr="004635E5">
        <w:rPr>
          <w:rFonts w:eastAsia="Batang"/>
          <w:sz w:val="22"/>
          <w:szCs w:val="22"/>
          <w:lang w:val="en-NZ" w:eastAsia="ko-KR"/>
        </w:rPr>
        <w:t>s</w:t>
      </w:r>
      <w:r w:rsidR="003A240D" w:rsidRPr="004635E5">
        <w:rPr>
          <w:rFonts w:eastAsia="Batang"/>
          <w:sz w:val="22"/>
          <w:szCs w:val="22"/>
          <w:lang w:val="en-NZ" w:eastAsia="ko-KR"/>
        </w:rPr>
        <w:t xml:space="preserve"> 2–</w:t>
      </w:r>
      <w:r w:rsidR="00753AC6" w:rsidRPr="004635E5">
        <w:rPr>
          <w:rFonts w:eastAsia="Batang"/>
          <w:sz w:val="22"/>
          <w:szCs w:val="22"/>
          <w:lang w:val="en-NZ" w:eastAsia="ko-KR"/>
        </w:rPr>
        <w:t xml:space="preserve">9, </w:t>
      </w:r>
      <w:r w:rsidR="00703EFC" w:rsidRPr="004635E5">
        <w:rPr>
          <w:rFonts w:eastAsia="Batang"/>
          <w:sz w:val="22"/>
          <w:szCs w:val="22"/>
          <w:lang w:val="en-NZ" w:eastAsia="ko-KR"/>
        </w:rPr>
        <w:t xml:space="preserve">they </w:t>
      </w:r>
      <w:r w:rsidR="00E45C2F" w:rsidRPr="004635E5">
        <w:rPr>
          <w:rFonts w:eastAsia="Batang"/>
          <w:sz w:val="22"/>
          <w:szCs w:val="22"/>
          <w:lang w:val="en-NZ" w:eastAsia="ko-KR"/>
        </w:rPr>
        <w:t xml:space="preserve">asked if </w:t>
      </w:r>
      <w:r w:rsidR="00753AC6" w:rsidRPr="004635E5">
        <w:rPr>
          <w:rFonts w:eastAsia="Batang"/>
          <w:sz w:val="22"/>
          <w:szCs w:val="22"/>
          <w:lang w:val="en-NZ" w:eastAsia="ko-KR"/>
        </w:rPr>
        <w:t xml:space="preserve">multiple readers </w:t>
      </w:r>
      <w:r w:rsidR="00E45C2F" w:rsidRPr="004635E5">
        <w:rPr>
          <w:rFonts w:eastAsia="Batang"/>
          <w:sz w:val="22"/>
          <w:szCs w:val="22"/>
          <w:lang w:val="en-NZ" w:eastAsia="ko-KR"/>
        </w:rPr>
        <w:t xml:space="preserve">had </w:t>
      </w:r>
      <w:r w:rsidR="00753AC6" w:rsidRPr="004635E5">
        <w:rPr>
          <w:rFonts w:eastAsia="Batang"/>
          <w:sz w:val="22"/>
          <w:szCs w:val="22"/>
          <w:lang w:val="en-NZ" w:eastAsia="ko-KR"/>
        </w:rPr>
        <w:t xml:space="preserve">conducted age reading, </w:t>
      </w:r>
      <w:r w:rsidR="00E45C2F" w:rsidRPr="004635E5">
        <w:rPr>
          <w:rFonts w:eastAsia="Batang"/>
          <w:sz w:val="22"/>
          <w:szCs w:val="22"/>
          <w:lang w:val="en-NZ" w:eastAsia="ko-KR"/>
        </w:rPr>
        <w:t>given the importance</w:t>
      </w:r>
      <w:r w:rsidR="00753AC6" w:rsidRPr="004635E5">
        <w:rPr>
          <w:rFonts w:eastAsia="Batang"/>
          <w:sz w:val="22"/>
          <w:szCs w:val="22"/>
          <w:lang w:val="en-NZ" w:eastAsia="ko-KR"/>
        </w:rPr>
        <w:t xml:space="preserve"> </w:t>
      </w:r>
      <w:r w:rsidR="001972D5" w:rsidRPr="004635E5">
        <w:rPr>
          <w:rFonts w:eastAsia="Batang"/>
          <w:sz w:val="22"/>
          <w:szCs w:val="22"/>
          <w:lang w:val="en-NZ" w:eastAsia="ko-KR"/>
        </w:rPr>
        <w:t xml:space="preserve">of </w:t>
      </w:r>
      <w:r w:rsidR="00753AC6" w:rsidRPr="004635E5">
        <w:rPr>
          <w:rFonts w:eastAsia="Batang"/>
          <w:sz w:val="22"/>
          <w:szCs w:val="22"/>
          <w:lang w:val="en-NZ" w:eastAsia="ko-KR"/>
        </w:rPr>
        <w:t>quantify</w:t>
      </w:r>
      <w:r w:rsidR="001972D5" w:rsidRPr="004635E5">
        <w:rPr>
          <w:rFonts w:eastAsia="Batang"/>
          <w:sz w:val="22"/>
          <w:szCs w:val="22"/>
          <w:lang w:val="en-NZ" w:eastAsia="ko-KR"/>
        </w:rPr>
        <w:t>ing</w:t>
      </w:r>
      <w:r w:rsidR="00753AC6" w:rsidRPr="004635E5">
        <w:rPr>
          <w:rFonts w:eastAsia="Batang"/>
          <w:sz w:val="22"/>
          <w:szCs w:val="22"/>
          <w:lang w:val="en-NZ" w:eastAsia="ko-KR"/>
        </w:rPr>
        <w:t xml:space="preserve"> the age error matrix</w:t>
      </w:r>
      <w:r w:rsidR="00E45C2F" w:rsidRPr="004635E5">
        <w:rPr>
          <w:rFonts w:eastAsia="Batang"/>
          <w:sz w:val="22"/>
          <w:szCs w:val="22"/>
          <w:lang w:val="en-NZ" w:eastAsia="ko-KR"/>
        </w:rPr>
        <w:t xml:space="preserve">, with </w:t>
      </w:r>
      <w:r w:rsidR="00753AC6" w:rsidRPr="004635E5">
        <w:rPr>
          <w:rFonts w:eastAsia="Batang"/>
          <w:sz w:val="22"/>
          <w:szCs w:val="22"/>
          <w:lang w:val="en-NZ" w:eastAsia="ko-KR"/>
        </w:rPr>
        <w:t>the aging error including in the estimation of the growth curve</w:t>
      </w:r>
      <w:r w:rsidR="00A16680" w:rsidRPr="004635E5">
        <w:rPr>
          <w:rFonts w:eastAsia="Batang"/>
          <w:sz w:val="22"/>
          <w:szCs w:val="22"/>
          <w:lang w:val="en-NZ" w:eastAsia="ko-KR"/>
        </w:rPr>
        <w:t xml:space="preserve">. </w:t>
      </w:r>
      <w:r w:rsidR="006327D9" w:rsidRPr="004635E5">
        <w:rPr>
          <w:rFonts w:eastAsia="Batang"/>
          <w:sz w:val="22"/>
          <w:szCs w:val="22"/>
          <w:lang w:val="en-NZ" w:eastAsia="ko-KR"/>
        </w:rPr>
        <w:t xml:space="preserve">J. </w:t>
      </w:r>
      <w:r w:rsidR="00F93204">
        <w:rPr>
          <w:rFonts w:eastAsia="Batang"/>
          <w:sz w:val="22"/>
          <w:szCs w:val="22"/>
          <w:lang w:val="en-NZ" w:eastAsia="ko-KR"/>
        </w:rPr>
        <w:t xml:space="preserve">Farley </w:t>
      </w:r>
      <w:r w:rsidR="006327D9" w:rsidRPr="004635E5">
        <w:rPr>
          <w:rFonts w:eastAsia="Batang"/>
          <w:sz w:val="22"/>
          <w:szCs w:val="22"/>
          <w:lang w:val="en-NZ" w:eastAsia="ko-KR"/>
        </w:rPr>
        <w:t>s</w:t>
      </w:r>
      <w:r w:rsidR="00CC6FB0" w:rsidRPr="004635E5">
        <w:rPr>
          <w:rFonts w:eastAsia="Batang"/>
          <w:sz w:val="22"/>
          <w:szCs w:val="22"/>
          <w:lang w:val="en-NZ" w:eastAsia="ko-KR"/>
        </w:rPr>
        <w:t>t</w:t>
      </w:r>
      <w:r w:rsidR="006327D9" w:rsidRPr="004635E5">
        <w:rPr>
          <w:rFonts w:eastAsia="Batang"/>
          <w:sz w:val="22"/>
          <w:szCs w:val="22"/>
          <w:lang w:val="en-NZ" w:eastAsia="ko-KR"/>
        </w:rPr>
        <w:t xml:space="preserve">ated that in area 7, there were no otoliths available for fish of that size, but that sampling could be improved. Regarding age validation, </w:t>
      </w:r>
      <w:r w:rsidR="00CC6FB0" w:rsidRPr="004635E5">
        <w:rPr>
          <w:rFonts w:eastAsia="Batang"/>
          <w:sz w:val="22"/>
          <w:szCs w:val="22"/>
          <w:lang w:val="en-NZ" w:eastAsia="ko-KR"/>
        </w:rPr>
        <w:t>for all tunas examined</w:t>
      </w:r>
      <w:r w:rsidR="001972D5" w:rsidRPr="004635E5">
        <w:rPr>
          <w:rFonts w:eastAsia="Batang"/>
          <w:sz w:val="22"/>
          <w:szCs w:val="22"/>
          <w:lang w:val="en-NZ" w:eastAsia="ko-KR"/>
        </w:rPr>
        <w:t xml:space="preserve"> —</w:t>
      </w:r>
      <w:r w:rsidR="00CC6FB0" w:rsidRPr="004635E5">
        <w:rPr>
          <w:rFonts w:eastAsia="Batang"/>
          <w:sz w:val="22"/>
          <w:szCs w:val="22"/>
          <w:lang w:val="en-NZ" w:eastAsia="ko-KR"/>
        </w:rPr>
        <w:t xml:space="preserve"> including southern bluefin with validated ages using bomb radiocarbon in that species</w:t>
      </w:r>
      <w:r w:rsidR="001972D5" w:rsidRPr="004635E5">
        <w:rPr>
          <w:rFonts w:eastAsia="Batang"/>
          <w:sz w:val="22"/>
          <w:szCs w:val="22"/>
          <w:lang w:val="en-NZ" w:eastAsia="ko-KR"/>
        </w:rPr>
        <w:t xml:space="preserve"> —</w:t>
      </w:r>
      <w:r w:rsidR="00CC6FB0" w:rsidRPr="004635E5">
        <w:rPr>
          <w:rFonts w:eastAsia="Batang"/>
          <w:sz w:val="22"/>
          <w:szCs w:val="22"/>
          <w:lang w:val="en-NZ" w:eastAsia="ko-KR"/>
        </w:rPr>
        <w:t xml:space="preserve"> there was no divergence from the pattern of one opaque zone per year for any tuna species. </w:t>
      </w:r>
      <w:r w:rsidR="00703EFC" w:rsidRPr="004635E5">
        <w:rPr>
          <w:rFonts w:eastAsia="Batang"/>
          <w:sz w:val="22"/>
          <w:szCs w:val="22"/>
          <w:lang w:val="en-NZ" w:eastAsia="ko-KR"/>
        </w:rPr>
        <w:t xml:space="preserve">J. </w:t>
      </w:r>
      <w:r w:rsidR="00F93204">
        <w:rPr>
          <w:rFonts w:eastAsia="Batang"/>
          <w:sz w:val="22"/>
          <w:szCs w:val="22"/>
          <w:lang w:val="en-NZ" w:eastAsia="ko-KR"/>
        </w:rPr>
        <w:t xml:space="preserve">Farley </w:t>
      </w:r>
      <w:r w:rsidR="00CC6FB0" w:rsidRPr="004635E5">
        <w:rPr>
          <w:rFonts w:eastAsia="Batang"/>
          <w:sz w:val="22"/>
          <w:szCs w:val="22"/>
          <w:lang w:val="en-NZ" w:eastAsia="ko-KR"/>
        </w:rPr>
        <w:t xml:space="preserve">was confident that tunas have annual opaque zones, with no awareness of any species </w:t>
      </w:r>
      <w:r w:rsidR="00E40D58" w:rsidRPr="004635E5">
        <w:rPr>
          <w:rFonts w:eastAsia="Batang"/>
          <w:sz w:val="22"/>
          <w:szCs w:val="22"/>
          <w:lang w:val="en-NZ" w:eastAsia="ko-KR"/>
        </w:rPr>
        <w:t xml:space="preserve">that </w:t>
      </w:r>
      <w:r w:rsidR="00CC6FB0" w:rsidRPr="004635E5">
        <w:rPr>
          <w:rFonts w:eastAsia="Batang"/>
          <w:sz w:val="22"/>
          <w:szCs w:val="22"/>
          <w:lang w:val="en-NZ" w:eastAsia="ko-KR"/>
        </w:rPr>
        <w:t>change</w:t>
      </w:r>
      <w:r w:rsidR="00E40D58" w:rsidRPr="004635E5">
        <w:rPr>
          <w:rFonts w:eastAsia="Batang"/>
          <w:sz w:val="22"/>
          <w:szCs w:val="22"/>
          <w:lang w:val="en-NZ" w:eastAsia="ko-KR"/>
        </w:rPr>
        <w:t>d</w:t>
      </w:r>
      <w:r w:rsidR="00CC6FB0" w:rsidRPr="004635E5">
        <w:rPr>
          <w:rFonts w:eastAsia="Batang"/>
          <w:sz w:val="22"/>
          <w:szCs w:val="22"/>
          <w:lang w:val="en-NZ" w:eastAsia="ko-KR"/>
        </w:rPr>
        <w:t xml:space="preserve"> from annual to not annual. Bomb radiocarbon work on bigeye would require otolith from bigeye caught prior to presence of bomb radiocarbon within the ocean; she welcomed information about otolith collections that go back decades. Regarding validating length at age 1 from length composition data, there could be SPC work </w:t>
      </w:r>
      <w:r w:rsidR="00703EFC" w:rsidRPr="004635E5">
        <w:rPr>
          <w:rFonts w:eastAsia="Batang"/>
          <w:sz w:val="22"/>
          <w:szCs w:val="22"/>
          <w:lang w:val="en-NZ" w:eastAsia="ko-KR"/>
        </w:rPr>
        <w:t>on this</w:t>
      </w:r>
      <w:r w:rsidR="00CC6FB0" w:rsidRPr="004635E5">
        <w:rPr>
          <w:rFonts w:eastAsia="Batang"/>
          <w:sz w:val="22"/>
          <w:szCs w:val="22"/>
          <w:lang w:val="en-NZ" w:eastAsia="ko-KR"/>
        </w:rPr>
        <w:t xml:space="preserve">, but </w:t>
      </w:r>
      <w:r w:rsidR="00703EFC" w:rsidRPr="004635E5">
        <w:rPr>
          <w:rFonts w:eastAsia="Batang"/>
          <w:sz w:val="22"/>
          <w:szCs w:val="22"/>
          <w:lang w:val="en-NZ" w:eastAsia="ko-KR"/>
        </w:rPr>
        <w:t xml:space="preserve">J. </w:t>
      </w:r>
      <w:r w:rsidR="00F93204">
        <w:rPr>
          <w:rFonts w:eastAsia="Batang"/>
          <w:sz w:val="22"/>
          <w:szCs w:val="22"/>
          <w:lang w:val="en-NZ" w:eastAsia="ko-KR"/>
        </w:rPr>
        <w:t xml:space="preserve">Farley </w:t>
      </w:r>
      <w:r w:rsidR="00CC6FB0" w:rsidRPr="004635E5">
        <w:rPr>
          <w:rFonts w:eastAsia="Batang"/>
          <w:sz w:val="22"/>
          <w:szCs w:val="22"/>
          <w:lang w:val="en-NZ" w:eastAsia="ko-KR"/>
        </w:rPr>
        <w:t>expressed confidence with the rings of age 1 from daily aging work</w:t>
      </w:r>
      <w:r w:rsidR="00703EFC" w:rsidRPr="004635E5">
        <w:rPr>
          <w:rFonts w:eastAsia="Batang"/>
          <w:sz w:val="22"/>
          <w:szCs w:val="22"/>
          <w:lang w:val="en-NZ" w:eastAsia="ko-KR"/>
        </w:rPr>
        <w:t>, noting</w:t>
      </w:r>
      <w:r w:rsidR="00B84522" w:rsidRPr="004635E5">
        <w:rPr>
          <w:rFonts w:eastAsia="Batang"/>
          <w:sz w:val="22"/>
          <w:szCs w:val="22"/>
          <w:lang w:val="en-NZ" w:eastAsia="ko-KR"/>
        </w:rPr>
        <w:t xml:space="preserve"> that </w:t>
      </w:r>
      <w:r w:rsidR="00992215" w:rsidRPr="004635E5">
        <w:rPr>
          <w:rFonts w:eastAsia="Batang"/>
          <w:sz w:val="22"/>
          <w:szCs w:val="22"/>
          <w:lang w:val="en-NZ" w:eastAsia="ko-KR"/>
        </w:rPr>
        <w:t xml:space="preserve">multiple </w:t>
      </w:r>
      <w:r w:rsidR="00CC6FB0" w:rsidRPr="004635E5">
        <w:rPr>
          <w:rFonts w:eastAsia="Batang"/>
          <w:sz w:val="22"/>
          <w:szCs w:val="22"/>
          <w:lang w:val="en-NZ" w:eastAsia="ko-KR"/>
        </w:rPr>
        <w:t>readers</w:t>
      </w:r>
      <w:r w:rsidR="00992215" w:rsidRPr="004635E5">
        <w:rPr>
          <w:rFonts w:eastAsia="Batang"/>
          <w:sz w:val="22"/>
          <w:szCs w:val="22"/>
          <w:lang w:val="en-NZ" w:eastAsia="ko-KR"/>
        </w:rPr>
        <w:t xml:space="preserve"> were used for </w:t>
      </w:r>
      <w:r w:rsidR="00CC6FB0" w:rsidRPr="004635E5">
        <w:rPr>
          <w:rFonts w:eastAsia="Batang"/>
          <w:sz w:val="22"/>
          <w:szCs w:val="22"/>
          <w:lang w:val="en-NZ" w:eastAsia="ko-KR"/>
        </w:rPr>
        <w:t>project 35</w:t>
      </w:r>
      <w:r w:rsidR="00992215" w:rsidRPr="004635E5">
        <w:rPr>
          <w:rFonts w:eastAsia="Batang"/>
          <w:sz w:val="22"/>
          <w:szCs w:val="22"/>
          <w:lang w:val="en-NZ" w:eastAsia="ko-KR"/>
        </w:rPr>
        <w:t xml:space="preserve">; </w:t>
      </w:r>
      <w:r w:rsidR="00CC6FB0" w:rsidRPr="004635E5">
        <w:rPr>
          <w:rFonts w:eastAsia="Batang"/>
          <w:sz w:val="22"/>
          <w:szCs w:val="22"/>
          <w:lang w:val="en-NZ" w:eastAsia="ko-KR"/>
        </w:rPr>
        <w:t>average percentages, estimates etc.</w:t>
      </w:r>
      <w:r w:rsidR="00992215" w:rsidRPr="004635E5">
        <w:rPr>
          <w:rFonts w:eastAsia="Batang"/>
          <w:sz w:val="22"/>
          <w:szCs w:val="22"/>
          <w:lang w:val="en-NZ" w:eastAsia="ko-KR"/>
        </w:rPr>
        <w:t xml:space="preserve"> were available but </w:t>
      </w:r>
      <w:r w:rsidR="00CC6FB0" w:rsidRPr="004635E5">
        <w:rPr>
          <w:rFonts w:eastAsia="Batang"/>
          <w:sz w:val="22"/>
          <w:szCs w:val="22"/>
          <w:lang w:val="en-NZ" w:eastAsia="ko-KR"/>
        </w:rPr>
        <w:t>not included in the growth modelling</w:t>
      </w:r>
      <w:r w:rsidR="00992215" w:rsidRPr="004635E5">
        <w:rPr>
          <w:rFonts w:eastAsia="Batang"/>
          <w:sz w:val="22"/>
          <w:szCs w:val="22"/>
          <w:lang w:val="en-NZ" w:eastAsia="ko-KR"/>
        </w:rPr>
        <w:t xml:space="preserve">. Instead </w:t>
      </w:r>
      <w:r w:rsidR="00CC6FB0" w:rsidRPr="004635E5">
        <w:rPr>
          <w:rFonts w:eastAsia="Batang"/>
          <w:sz w:val="22"/>
          <w:szCs w:val="22"/>
          <w:lang w:val="en-NZ" w:eastAsia="ko-KR"/>
        </w:rPr>
        <w:t>actual error</w:t>
      </w:r>
      <w:r w:rsidR="00992215" w:rsidRPr="004635E5">
        <w:rPr>
          <w:rFonts w:eastAsia="Batang"/>
          <w:sz w:val="22"/>
          <w:szCs w:val="22"/>
          <w:lang w:val="en-NZ" w:eastAsia="ko-KR"/>
        </w:rPr>
        <w:t xml:space="preserve"> was shown to reflect the </w:t>
      </w:r>
      <w:r w:rsidR="00CC6FB0" w:rsidRPr="004635E5">
        <w:rPr>
          <w:rFonts w:eastAsia="Batang"/>
          <w:sz w:val="22"/>
          <w:szCs w:val="22"/>
          <w:lang w:val="en-NZ" w:eastAsia="ko-KR"/>
        </w:rPr>
        <w:t>low error and high confidence.</w:t>
      </w:r>
    </w:p>
    <w:p w14:paraId="26C03942"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376165EE" w14:textId="77777777" w:rsidR="006C4FAA" w:rsidRPr="004635E5" w:rsidRDefault="00992215"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Indonesia thanked </w:t>
      </w:r>
      <w:r w:rsidR="005005BC" w:rsidRPr="004635E5">
        <w:rPr>
          <w:rFonts w:eastAsia="Batang"/>
          <w:sz w:val="22"/>
          <w:szCs w:val="22"/>
          <w:lang w:val="en-NZ" w:eastAsia="ko-KR"/>
        </w:rPr>
        <w:t>Japan for providing samples</w:t>
      </w:r>
      <w:r w:rsidRPr="004635E5">
        <w:rPr>
          <w:rFonts w:eastAsia="Batang"/>
          <w:sz w:val="22"/>
          <w:szCs w:val="22"/>
          <w:lang w:val="en-NZ" w:eastAsia="ko-KR"/>
        </w:rPr>
        <w:t xml:space="preserve">, noting that </w:t>
      </w:r>
      <w:r w:rsidR="005005BC" w:rsidRPr="004635E5">
        <w:rPr>
          <w:rFonts w:eastAsia="Batang"/>
          <w:sz w:val="22"/>
          <w:szCs w:val="22"/>
          <w:lang w:val="en-NZ" w:eastAsia="ko-KR"/>
        </w:rPr>
        <w:t xml:space="preserve">although results </w:t>
      </w:r>
      <w:r w:rsidRPr="004635E5">
        <w:rPr>
          <w:rFonts w:eastAsia="Batang"/>
          <w:sz w:val="22"/>
          <w:szCs w:val="22"/>
          <w:lang w:val="en-NZ" w:eastAsia="ko-KR"/>
        </w:rPr>
        <w:t xml:space="preserve">were </w:t>
      </w:r>
      <w:r w:rsidR="005005BC" w:rsidRPr="004635E5">
        <w:rPr>
          <w:rFonts w:eastAsia="Batang"/>
          <w:sz w:val="22"/>
          <w:szCs w:val="22"/>
          <w:lang w:val="en-NZ" w:eastAsia="ko-KR"/>
        </w:rPr>
        <w:t xml:space="preserve">similar, </w:t>
      </w:r>
      <w:r w:rsidRPr="004635E5">
        <w:rPr>
          <w:rFonts w:eastAsia="Batang"/>
          <w:sz w:val="22"/>
          <w:szCs w:val="22"/>
          <w:lang w:val="en-NZ" w:eastAsia="ko-KR"/>
        </w:rPr>
        <w:t xml:space="preserve">it added </w:t>
      </w:r>
      <w:r w:rsidR="005005BC" w:rsidRPr="004635E5">
        <w:rPr>
          <w:rFonts w:eastAsia="Batang"/>
          <w:sz w:val="22"/>
          <w:szCs w:val="22"/>
          <w:lang w:val="en-NZ" w:eastAsia="ko-KR"/>
        </w:rPr>
        <w:t xml:space="preserve">to confidence, </w:t>
      </w:r>
      <w:r w:rsidRPr="004635E5">
        <w:rPr>
          <w:rFonts w:eastAsia="Batang"/>
          <w:sz w:val="22"/>
          <w:szCs w:val="22"/>
          <w:lang w:val="en-NZ" w:eastAsia="ko-KR"/>
        </w:rPr>
        <w:t xml:space="preserve">and highlighted </w:t>
      </w:r>
      <w:r w:rsidR="00E675BF" w:rsidRPr="004635E5">
        <w:rPr>
          <w:rFonts w:eastAsia="Batang"/>
          <w:sz w:val="22"/>
          <w:szCs w:val="22"/>
          <w:lang w:val="en-NZ" w:eastAsia="ko-KR"/>
        </w:rPr>
        <w:t xml:space="preserve">the </w:t>
      </w:r>
      <w:r w:rsidR="005005BC" w:rsidRPr="004635E5">
        <w:rPr>
          <w:rFonts w:eastAsia="Batang"/>
          <w:sz w:val="22"/>
          <w:szCs w:val="22"/>
          <w:lang w:val="en-NZ" w:eastAsia="ko-KR"/>
        </w:rPr>
        <w:t xml:space="preserve">importance of </w:t>
      </w:r>
      <w:r w:rsidR="00E675BF" w:rsidRPr="004635E5">
        <w:rPr>
          <w:rFonts w:eastAsia="Batang"/>
          <w:sz w:val="22"/>
          <w:szCs w:val="22"/>
          <w:lang w:val="en-NZ" w:eastAsia="ko-KR"/>
        </w:rPr>
        <w:t>h</w:t>
      </w:r>
      <w:r w:rsidR="005005BC" w:rsidRPr="004635E5">
        <w:rPr>
          <w:rFonts w:eastAsia="Batang"/>
          <w:sz w:val="22"/>
          <w:szCs w:val="22"/>
          <w:lang w:val="en-NZ" w:eastAsia="ko-KR"/>
        </w:rPr>
        <w:t>aving info</w:t>
      </w:r>
      <w:r w:rsidR="00E675BF" w:rsidRPr="004635E5">
        <w:rPr>
          <w:rFonts w:eastAsia="Batang"/>
          <w:sz w:val="22"/>
          <w:szCs w:val="22"/>
          <w:lang w:val="en-NZ" w:eastAsia="ko-KR"/>
        </w:rPr>
        <w:t>rmation</w:t>
      </w:r>
      <w:r w:rsidR="005005BC" w:rsidRPr="004635E5">
        <w:rPr>
          <w:rFonts w:eastAsia="Batang"/>
          <w:sz w:val="22"/>
          <w:szCs w:val="22"/>
          <w:lang w:val="en-NZ" w:eastAsia="ko-KR"/>
        </w:rPr>
        <w:t xml:space="preserve"> on growth for la</w:t>
      </w:r>
      <w:r w:rsidR="00E675BF" w:rsidRPr="004635E5">
        <w:rPr>
          <w:rFonts w:eastAsia="Batang"/>
          <w:sz w:val="22"/>
          <w:szCs w:val="22"/>
          <w:lang w:val="en-NZ" w:eastAsia="ko-KR"/>
        </w:rPr>
        <w:t>r</w:t>
      </w:r>
      <w:r w:rsidR="005005BC" w:rsidRPr="004635E5">
        <w:rPr>
          <w:rFonts w:eastAsia="Batang"/>
          <w:sz w:val="22"/>
          <w:szCs w:val="22"/>
          <w:lang w:val="en-NZ" w:eastAsia="ko-KR"/>
        </w:rPr>
        <w:t xml:space="preserve">ger sizes of </w:t>
      </w:r>
      <w:r w:rsidR="004421B3" w:rsidRPr="004635E5">
        <w:rPr>
          <w:rFonts w:eastAsia="Batang"/>
          <w:sz w:val="22"/>
          <w:szCs w:val="22"/>
          <w:lang w:val="en-NZ" w:eastAsia="ko-KR"/>
        </w:rPr>
        <w:t>bigeye tuna</w:t>
      </w:r>
      <w:r w:rsidR="005005BC" w:rsidRPr="004635E5">
        <w:rPr>
          <w:rFonts w:eastAsia="Batang"/>
          <w:sz w:val="22"/>
          <w:szCs w:val="22"/>
          <w:lang w:val="en-NZ" w:eastAsia="ko-KR"/>
        </w:rPr>
        <w:t xml:space="preserve">. </w:t>
      </w:r>
      <w:r w:rsidR="00703EFC" w:rsidRPr="004635E5">
        <w:rPr>
          <w:rFonts w:eastAsia="Batang"/>
          <w:sz w:val="22"/>
          <w:szCs w:val="22"/>
          <w:lang w:val="en-NZ" w:eastAsia="ko-KR"/>
        </w:rPr>
        <w:t xml:space="preserve">They </w:t>
      </w:r>
      <w:r w:rsidR="00873198" w:rsidRPr="004635E5">
        <w:rPr>
          <w:rFonts w:eastAsia="Batang"/>
          <w:sz w:val="22"/>
          <w:szCs w:val="22"/>
          <w:lang w:val="en-NZ" w:eastAsia="ko-KR"/>
        </w:rPr>
        <w:t xml:space="preserve">noted that </w:t>
      </w:r>
      <w:r w:rsidR="00E675BF" w:rsidRPr="004635E5">
        <w:rPr>
          <w:rFonts w:eastAsia="Batang"/>
          <w:sz w:val="22"/>
          <w:szCs w:val="22"/>
          <w:lang w:val="en-NZ" w:eastAsia="ko-KR"/>
        </w:rPr>
        <w:t xml:space="preserve">large bigeye tuna </w:t>
      </w:r>
      <w:r w:rsidR="00873198" w:rsidRPr="004635E5">
        <w:rPr>
          <w:rFonts w:eastAsia="Batang"/>
          <w:sz w:val="22"/>
          <w:szCs w:val="22"/>
          <w:lang w:val="en-NZ" w:eastAsia="ko-KR"/>
        </w:rPr>
        <w:t xml:space="preserve">were sampled in Indonesian waters, through </w:t>
      </w:r>
      <w:r w:rsidR="00E675BF" w:rsidRPr="004635E5">
        <w:rPr>
          <w:rFonts w:eastAsia="Batang"/>
          <w:sz w:val="22"/>
          <w:szCs w:val="22"/>
          <w:lang w:val="en-NZ" w:eastAsia="ko-KR"/>
        </w:rPr>
        <w:t xml:space="preserve">collaboration </w:t>
      </w:r>
      <w:r w:rsidR="00873198" w:rsidRPr="004635E5">
        <w:rPr>
          <w:rFonts w:eastAsia="Batang"/>
          <w:sz w:val="22"/>
          <w:szCs w:val="22"/>
          <w:lang w:val="en-NZ" w:eastAsia="ko-KR"/>
        </w:rPr>
        <w:t xml:space="preserve">between Indonesia and Australia via the </w:t>
      </w:r>
      <w:r w:rsidR="00E675BF" w:rsidRPr="004635E5">
        <w:rPr>
          <w:rFonts w:eastAsia="Batang"/>
          <w:sz w:val="22"/>
          <w:szCs w:val="22"/>
          <w:lang w:val="en-NZ" w:eastAsia="ko-KR"/>
        </w:rPr>
        <w:t xml:space="preserve">ICR, </w:t>
      </w:r>
      <w:r w:rsidR="00873198" w:rsidRPr="004635E5">
        <w:rPr>
          <w:rFonts w:eastAsia="Batang"/>
          <w:sz w:val="22"/>
          <w:szCs w:val="22"/>
          <w:lang w:val="en-NZ" w:eastAsia="ko-KR"/>
        </w:rPr>
        <w:t xml:space="preserve">which may help </w:t>
      </w:r>
      <w:r w:rsidR="00E675BF" w:rsidRPr="004635E5">
        <w:rPr>
          <w:rFonts w:eastAsia="Batang"/>
          <w:sz w:val="22"/>
          <w:szCs w:val="22"/>
          <w:lang w:val="en-NZ" w:eastAsia="ko-KR"/>
        </w:rPr>
        <w:t xml:space="preserve">fill the </w:t>
      </w:r>
      <w:r w:rsidR="00873198" w:rsidRPr="004635E5">
        <w:rPr>
          <w:rFonts w:eastAsia="Batang"/>
          <w:sz w:val="22"/>
          <w:szCs w:val="22"/>
          <w:lang w:val="en-NZ" w:eastAsia="ko-KR"/>
        </w:rPr>
        <w:t xml:space="preserve">data </w:t>
      </w:r>
      <w:r w:rsidR="00E675BF" w:rsidRPr="004635E5">
        <w:rPr>
          <w:rFonts w:eastAsia="Batang"/>
          <w:sz w:val="22"/>
          <w:szCs w:val="22"/>
          <w:lang w:val="en-NZ" w:eastAsia="ko-KR"/>
        </w:rPr>
        <w:t xml:space="preserve">gap. </w:t>
      </w:r>
      <w:r w:rsidR="00873198" w:rsidRPr="004635E5">
        <w:rPr>
          <w:rFonts w:eastAsia="Batang"/>
          <w:sz w:val="22"/>
          <w:szCs w:val="22"/>
          <w:lang w:val="en-NZ" w:eastAsia="ko-KR"/>
        </w:rPr>
        <w:t xml:space="preserve">Regarding </w:t>
      </w:r>
      <w:r w:rsidR="00E675BF" w:rsidRPr="004635E5">
        <w:rPr>
          <w:rFonts w:eastAsia="Batang"/>
          <w:sz w:val="22"/>
          <w:szCs w:val="22"/>
          <w:lang w:val="en-NZ" w:eastAsia="ko-KR"/>
        </w:rPr>
        <w:t>difference</w:t>
      </w:r>
      <w:r w:rsidR="00873198" w:rsidRPr="004635E5">
        <w:rPr>
          <w:rFonts w:eastAsia="Batang"/>
          <w:sz w:val="22"/>
          <w:szCs w:val="22"/>
          <w:lang w:val="en-NZ" w:eastAsia="ko-KR"/>
        </w:rPr>
        <w:t>s</w:t>
      </w:r>
      <w:r w:rsidR="00E675BF" w:rsidRPr="004635E5">
        <w:rPr>
          <w:rFonts w:eastAsia="Batang"/>
          <w:sz w:val="22"/>
          <w:szCs w:val="22"/>
          <w:lang w:val="en-NZ" w:eastAsia="ko-KR"/>
        </w:rPr>
        <w:t xml:space="preserve"> in growth rate of bigeye across the Pacific, with faster growth in the </w:t>
      </w:r>
      <w:r w:rsidR="00873198" w:rsidRPr="004635E5">
        <w:rPr>
          <w:rFonts w:eastAsia="Batang"/>
          <w:sz w:val="22"/>
          <w:szCs w:val="22"/>
          <w:lang w:val="en-NZ" w:eastAsia="ko-KR"/>
        </w:rPr>
        <w:t xml:space="preserve">EPO </w:t>
      </w:r>
      <w:r w:rsidR="00E675BF" w:rsidRPr="004635E5">
        <w:rPr>
          <w:rFonts w:eastAsia="Batang"/>
          <w:sz w:val="22"/>
          <w:szCs w:val="22"/>
          <w:lang w:val="en-NZ" w:eastAsia="ko-KR"/>
        </w:rPr>
        <w:t xml:space="preserve">relative to the </w:t>
      </w:r>
      <w:r w:rsidR="00873198" w:rsidRPr="004635E5">
        <w:rPr>
          <w:rFonts w:eastAsia="Batang"/>
          <w:sz w:val="22"/>
          <w:szCs w:val="22"/>
          <w:lang w:val="en-NZ" w:eastAsia="ko-KR"/>
        </w:rPr>
        <w:t>WCPO, tagging indicated a lack of mixing between east</w:t>
      </w:r>
      <w:r w:rsidR="00E675BF" w:rsidRPr="004635E5">
        <w:rPr>
          <w:rFonts w:eastAsia="Batang"/>
          <w:sz w:val="22"/>
          <w:szCs w:val="22"/>
          <w:lang w:val="en-NZ" w:eastAsia="ko-KR"/>
        </w:rPr>
        <w:t xml:space="preserve"> </w:t>
      </w:r>
      <w:r w:rsidR="00873198" w:rsidRPr="004635E5">
        <w:rPr>
          <w:rFonts w:eastAsia="Batang"/>
          <w:sz w:val="22"/>
          <w:szCs w:val="22"/>
          <w:lang w:val="en-NZ" w:eastAsia="ko-KR"/>
        </w:rPr>
        <w:t>and west</w:t>
      </w:r>
      <w:r w:rsidR="00E675BF" w:rsidRPr="004635E5">
        <w:rPr>
          <w:rFonts w:eastAsia="Batang"/>
          <w:sz w:val="22"/>
          <w:szCs w:val="22"/>
          <w:lang w:val="en-NZ" w:eastAsia="ko-KR"/>
        </w:rPr>
        <w:t>, but some mix</w:t>
      </w:r>
      <w:r w:rsidR="00873198" w:rsidRPr="004635E5">
        <w:rPr>
          <w:rFonts w:eastAsia="Batang"/>
          <w:sz w:val="22"/>
          <w:szCs w:val="22"/>
          <w:lang w:val="en-NZ" w:eastAsia="ko-KR"/>
        </w:rPr>
        <w:t>ing</w:t>
      </w:r>
      <w:r w:rsidR="00E675BF" w:rsidRPr="004635E5">
        <w:rPr>
          <w:rFonts w:eastAsia="Batang"/>
          <w:sz w:val="22"/>
          <w:szCs w:val="22"/>
          <w:lang w:val="en-NZ" w:eastAsia="ko-KR"/>
        </w:rPr>
        <w:t xml:space="preserve"> in the </w:t>
      </w:r>
      <w:r w:rsidR="00873198" w:rsidRPr="004635E5">
        <w:rPr>
          <w:rFonts w:eastAsia="Batang"/>
          <w:sz w:val="22"/>
          <w:szCs w:val="22"/>
          <w:lang w:val="en-NZ" w:eastAsia="ko-KR"/>
        </w:rPr>
        <w:t xml:space="preserve">CPO, and </w:t>
      </w:r>
      <w:r w:rsidR="00703EFC" w:rsidRPr="004635E5">
        <w:rPr>
          <w:rFonts w:eastAsia="Batang"/>
          <w:sz w:val="22"/>
          <w:szCs w:val="22"/>
          <w:lang w:val="en-NZ" w:eastAsia="ko-KR"/>
        </w:rPr>
        <w:t xml:space="preserve">Indonesia </w:t>
      </w:r>
      <w:r w:rsidR="00873198" w:rsidRPr="004635E5">
        <w:rPr>
          <w:rFonts w:eastAsia="Batang"/>
          <w:sz w:val="22"/>
          <w:szCs w:val="22"/>
          <w:lang w:val="en-NZ" w:eastAsia="ko-KR"/>
        </w:rPr>
        <w:t xml:space="preserve">inquired what </w:t>
      </w:r>
      <w:r w:rsidR="00E675BF" w:rsidRPr="004635E5">
        <w:rPr>
          <w:rFonts w:eastAsia="Batang"/>
          <w:sz w:val="22"/>
          <w:szCs w:val="22"/>
          <w:lang w:val="en-NZ" w:eastAsia="ko-KR"/>
        </w:rPr>
        <w:t xml:space="preserve">factor </w:t>
      </w:r>
      <w:r w:rsidR="00873198" w:rsidRPr="004635E5">
        <w:rPr>
          <w:rFonts w:eastAsia="Batang"/>
          <w:sz w:val="22"/>
          <w:szCs w:val="22"/>
          <w:lang w:val="en-NZ" w:eastAsia="ko-KR"/>
        </w:rPr>
        <w:t xml:space="preserve">accounted for the differing EPO and WPO </w:t>
      </w:r>
      <w:r w:rsidR="00E675BF" w:rsidRPr="004635E5">
        <w:rPr>
          <w:rFonts w:eastAsia="Batang"/>
          <w:sz w:val="22"/>
          <w:szCs w:val="22"/>
          <w:lang w:val="en-NZ" w:eastAsia="ko-KR"/>
        </w:rPr>
        <w:t>growth rate</w:t>
      </w:r>
      <w:r w:rsidR="00873198" w:rsidRPr="004635E5">
        <w:rPr>
          <w:rFonts w:eastAsia="Batang"/>
          <w:sz w:val="22"/>
          <w:szCs w:val="22"/>
          <w:lang w:val="en-NZ" w:eastAsia="ko-KR"/>
        </w:rPr>
        <w:t xml:space="preserve">s. J. </w:t>
      </w:r>
      <w:r w:rsidR="00F93204">
        <w:rPr>
          <w:rFonts w:eastAsia="Batang"/>
          <w:sz w:val="22"/>
          <w:szCs w:val="22"/>
          <w:lang w:val="en-NZ" w:eastAsia="ko-KR"/>
        </w:rPr>
        <w:t xml:space="preserve">Farley </w:t>
      </w:r>
      <w:r w:rsidR="00B25BF6" w:rsidRPr="004635E5">
        <w:rPr>
          <w:rFonts w:eastAsia="Batang"/>
          <w:sz w:val="22"/>
          <w:szCs w:val="22"/>
          <w:lang w:val="en-NZ" w:eastAsia="ko-KR"/>
        </w:rPr>
        <w:t xml:space="preserve">indicated this could be due to productivity, with increased </w:t>
      </w:r>
      <w:r w:rsidR="005005BC" w:rsidRPr="004635E5">
        <w:rPr>
          <w:rFonts w:eastAsia="Batang"/>
          <w:sz w:val="22"/>
          <w:szCs w:val="22"/>
          <w:lang w:val="en-NZ" w:eastAsia="ko-KR"/>
        </w:rPr>
        <w:t>feeding</w:t>
      </w:r>
      <w:r w:rsidR="001F3FF4">
        <w:rPr>
          <w:rFonts w:eastAsia="Batang"/>
          <w:sz w:val="22"/>
          <w:szCs w:val="22"/>
          <w:lang w:val="en-NZ" w:eastAsia="ko-KR"/>
        </w:rPr>
        <w:t xml:space="preserve"> </w:t>
      </w:r>
      <w:r w:rsidR="00B25BF6" w:rsidRPr="004635E5">
        <w:rPr>
          <w:rFonts w:eastAsia="Batang"/>
          <w:sz w:val="22"/>
          <w:szCs w:val="22"/>
          <w:lang w:val="en-NZ" w:eastAsia="ko-KR"/>
        </w:rPr>
        <w:t xml:space="preserve">resulting in </w:t>
      </w:r>
      <w:r w:rsidR="005005BC" w:rsidRPr="004635E5">
        <w:rPr>
          <w:rFonts w:eastAsia="Batang"/>
          <w:sz w:val="22"/>
          <w:szCs w:val="22"/>
          <w:lang w:val="en-NZ" w:eastAsia="ko-KR"/>
        </w:rPr>
        <w:t>better growth</w:t>
      </w:r>
      <w:r w:rsidR="00B25BF6" w:rsidRPr="004635E5">
        <w:rPr>
          <w:rFonts w:eastAsia="Batang"/>
          <w:sz w:val="22"/>
          <w:szCs w:val="22"/>
          <w:lang w:val="en-NZ" w:eastAsia="ko-KR"/>
        </w:rPr>
        <w:t>, but that she had not examined this</w:t>
      </w:r>
      <w:r w:rsidR="005005BC" w:rsidRPr="004635E5">
        <w:rPr>
          <w:rFonts w:eastAsia="Batang"/>
          <w:sz w:val="22"/>
          <w:szCs w:val="22"/>
          <w:lang w:val="en-NZ" w:eastAsia="ko-KR"/>
        </w:rPr>
        <w:t>.</w:t>
      </w:r>
      <w:r w:rsidR="00B25BF6" w:rsidRPr="004635E5">
        <w:rPr>
          <w:rFonts w:eastAsia="Batang"/>
          <w:sz w:val="22"/>
          <w:szCs w:val="22"/>
          <w:lang w:val="en-NZ" w:eastAsia="ko-KR"/>
        </w:rPr>
        <w:t xml:space="preserve"> </w:t>
      </w:r>
      <w:r w:rsidR="003A240D" w:rsidRPr="004635E5">
        <w:rPr>
          <w:rFonts w:eastAsia="Batang"/>
          <w:sz w:val="22"/>
          <w:szCs w:val="22"/>
          <w:lang w:val="en-NZ" w:eastAsia="ko-KR"/>
        </w:rPr>
        <w:t xml:space="preserve">The USA </w:t>
      </w:r>
      <w:r w:rsidR="002D751D" w:rsidRPr="004635E5">
        <w:rPr>
          <w:rFonts w:eastAsia="Batang"/>
          <w:sz w:val="22"/>
          <w:szCs w:val="22"/>
          <w:lang w:val="en-NZ" w:eastAsia="ko-KR"/>
        </w:rPr>
        <w:t xml:space="preserve">noted that </w:t>
      </w:r>
      <w:r w:rsidR="009729D3" w:rsidRPr="004635E5">
        <w:rPr>
          <w:rFonts w:eastAsia="Batang"/>
          <w:sz w:val="22"/>
          <w:szCs w:val="22"/>
          <w:lang w:val="en-NZ" w:eastAsia="ko-KR"/>
        </w:rPr>
        <w:t xml:space="preserve">where </w:t>
      </w:r>
      <w:r w:rsidR="002D751D" w:rsidRPr="004635E5">
        <w:rPr>
          <w:rFonts w:eastAsia="Batang"/>
          <w:sz w:val="22"/>
          <w:szCs w:val="22"/>
          <w:lang w:val="en-NZ" w:eastAsia="ko-KR"/>
        </w:rPr>
        <w:t xml:space="preserve">a </w:t>
      </w:r>
      <w:r w:rsidR="009729D3" w:rsidRPr="004635E5">
        <w:rPr>
          <w:rFonts w:eastAsia="Batang"/>
          <w:sz w:val="22"/>
          <w:szCs w:val="22"/>
          <w:lang w:val="en-NZ" w:eastAsia="ko-KR"/>
        </w:rPr>
        <w:t>fish was caught</w:t>
      </w:r>
      <w:r w:rsidR="002D751D" w:rsidRPr="004635E5">
        <w:rPr>
          <w:rFonts w:eastAsia="Batang"/>
          <w:sz w:val="22"/>
          <w:szCs w:val="22"/>
          <w:lang w:val="en-NZ" w:eastAsia="ko-KR"/>
        </w:rPr>
        <w:t xml:space="preserve"> was not necessarily where that fish developed</w:t>
      </w:r>
      <w:r w:rsidR="0056676D" w:rsidRPr="004635E5">
        <w:rPr>
          <w:rFonts w:eastAsia="Batang"/>
          <w:sz w:val="22"/>
          <w:szCs w:val="22"/>
          <w:lang w:val="en-NZ" w:eastAsia="ko-KR"/>
        </w:rPr>
        <w:t xml:space="preserve">, and </w:t>
      </w:r>
      <w:r w:rsidR="0056676D" w:rsidRPr="004635E5">
        <w:rPr>
          <w:rFonts w:eastAsia="Batang"/>
          <w:sz w:val="22"/>
          <w:szCs w:val="22"/>
          <w:lang w:eastAsia="ko-KR"/>
        </w:rPr>
        <w:t>therefore not a good representation of lifelong growth rates</w:t>
      </w:r>
      <w:r w:rsidR="009729D3" w:rsidRPr="004635E5">
        <w:rPr>
          <w:rFonts w:eastAsia="Batang"/>
          <w:sz w:val="22"/>
          <w:szCs w:val="22"/>
          <w:lang w:val="en-NZ" w:eastAsia="ko-KR"/>
        </w:rPr>
        <w:t>.</w:t>
      </w:r>
    </w:p>
    <w:p w14:paraId="2E9023D8"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6ABBDAC6" w14:textId="77777777" w:rsidR="006C4FAA" w:rsidRPr="004635E5" w:rsidRDefault="005005BC"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Palau</w:t>
      </w:r>
      <w:r w:rsidR="002D751D" w:rsidRPr="004635E5">
        <w:rPr>
          <w:rFonts w:eastAsia="Batang"/>
          <w:sz w:val="22"/>
          <w:szCs w:val="22"/>
          <w:lang w:val="en-NZ" w:eastAsia="ko-KR"/>
        </w:rPr>
        <w:t xml:space="preserve"> on behalf of</w:t>
      </w:r>
      <w:r w:rsidR="001F3FF4">
        <w:rPr>
          <w:rFonts w:eastAsia="Batang"/>
          <w:sz w:val="22"/>
          <w:szCs w:val="22"/>
          <w:lang w:val="en-NZ" w:eastAsia="ko-KR"/>
        </w:rPr>
        <w:t xml:space="preserve"> </w:t>
      </w:r>
      <w:r w:rsidR="003346A8" w:rsidRPr="004635E5">
        <w:rPr>
          <w:rFonts w:eastAsia="Batang"/>
          <w:sz w:val="22"/>
          <w:szCs w:val="22"/>
          <w:lang w:eastAsia="ko-KR"/>
        </w:rPr>
        <w:t xml:space="preserve">FFA members </w:t>
      </w:r>
      <w:r w:rsidR="002D751D" w:rsidRPr="004635E5">
        <w:rPr>
          <w:rFonts w:eastAsia="Batang"/>
          <w:sz w:val="22"/>
          <w:szCs w:val="22"/>
          <w:lang w:eastAsia="ko-KR"/>
        </w:rPr>
        <w:t xml:space="preserve">noted the </w:t>
      </w:r>
      <w:r w:rsidR="003346A8" w:rsidRPr="004635E5">
        <w:rPr>
          <w:rFonts w:eastAsia="Batang"/>
          <w:sz w:val="22"/>
          <w:szCs w:val="22"/>
          <w:lang w:eastAsia="ko-KR"/>
        </w:rPr>
        <w:t>work</w:t>
      </w:r>
      <w:r w:rsidR="002D751D" w:rsidRPr="004635E5">
        <w:rPr>
          <w:rFonts w:eastAsia="Batang"/>
          <w:sz w:val="22"/>
          <w:szCs w:val="22"/>
          <w:lang w:eastAsia="ko-KR"/>
        </w:rPr>
        <w:t xml:space="preserve"> responded to long-</w:t>
      </w:r>
      <w:r w:rsidR="003346A8" w:rsidRPr="004635E5">
        <w:rPr>
          <w:rFonts w:eastAsia="Batang"/>
          <w:sz w:val="22"/>
          <w:szCs w:val="22"/>
          <w:lang w:eastAsia="ko-KR"/>
        </w:rPr>
        <w:t>standing concerns with age and growth data used in past bigeye stock assessments, confirming the existence of spatial variation in growth of bigeye acro</w:t>
      </w:r>
      <w:r w:rsidR="002D751D" w:rsidRPr="004635E5">
        <w:rPr>
          <w:rFonts w:eastAsia="Batang"/>
          <w:sz w:val="22"/>
          <w:szCs w:val="22"/>
          <w:lang w:eastAsia="ko-KR"/>
        </w:rPr>
        <w:t xml:space="preserve">ss the Pacific ocean, and pointing </w:t>
      </w:r>
      <w:r w:rsidR="003346A8" w:rsidRPr="004635E5">
        <w:rPr>
          <w:rFonts w:eastAsia="Batang"/>
          <w:sz w:val="22"/>
          <w:szCs w:val="22"/>
          <w:lang w:eastAsia="ko-KR"/>
        </w:rPr>
        <w:t>to the importance of directed studies on WCPO stocks to properly inform assessments and related analyses.</w:t>
      </w:r>
      <w:r w:rsidR="002D751D" w:rsidRPr="004635E5">
        <w:rPr>
          <w:rFonts w:eastAsia="Batang"/>
          <w:sz w:val="22"/>
          <w:szCs w:val="22"/>
          <w:lang w:eastAsia="ko-KR"/>
        </w:rPr>
        <w:t xml:space="preserve"> </w:t>
      </w:r>
      <w:r w:rsidR="006C4FAA" w:rsidRPr="004635E5">
        <w:rPr>
          <w:rFonts w:eastAsia="Batang"/>
          <w:sz w:val="22"/>
          <w:szCs w:val="22"/>
          <w:lang w:eastAsia="ko-KR"/>
        </w:rPr>
        <w:t xml:space="preserve">They noted the </w:t>
      </w:r>
      <w:r w:rsidR="003346A8" w:rsidRPr="004635E5">
        <w:rPr>
          <w:rFonts w:eastAsia="Batang"/>
          <w:sz w:val="22"/>
          <w:szCs w:val="22"/>
          <w:lang w:eastAsia="ko-KR"/>
        </w:rPr>
        <w:t xml:space="preserve">additional ageing work </w:t>
      </w:r>
      <w:r w:rsidR="006C4FAA" w:rsidRPr="004635E5">
        <w:rPr>
          <w:rFonts w:eastAsia="Batang"/>
          <w:sz w:val="22"/>
          <w:szCs w:val="22"/>
          <w:lang w:eastAsia="ko-KR"/>
        </w:rPr>
        <w:t xml:space="preserve">was </w:t>
      </w:r>
      <w:r w:rsidR="003346A8" w:rsidRPr="004635E5">
        <w:rPr>
          <w:rFonts w:eastAsia="Batang"/>
          <w:sz w:val="22"/>
          <w:szCs w:val="22"/>
          <w:lang w:eastAsia="ko-KR"/>
        </w:rPr>
        <w:t>consistent with outputs from Project 35 clarifyi</w:t>
      </w:r>
      <w:r w:rsidR="006C4FAA" w:rsidRPr="004635E5">
        <w:rPr>
          <w:rFonts w:eastAsia="Batang"/>
          <w:sz w:val="22"/>
          <w:szCs w:val="22"/>
          <w:lang w:eastAsia="ko-KR"/>
        </w:rPr>
        <w:t>ng bigeye growth, and highlighted</w:t>
      </w:r>
      <w:r w:rsidR="003346A8" w:rsidRPr="004635E5">
        <w:rPr>
          <w:rFonts w:eastAsia="Batang"/>
          <w:sz w:val="22"/>
          <w:szCs w:val="22"/>
          <w:lang w:eastAsia="ko-KR"/>
        </w:rPr>
        <w:t xml:space="preserve"> the importance for the Commission and CCMs to invest in and maintain biological sampling programmes to address uncertainties in life history characteristics</w:t>
      </w:r>
      <w:r w:rsidR="006C4FAA" w:rsidRPr="004635E5">
        <w:rPr>
          <w:rFonts w:eastAsia="Batang"/>
          <w:sz w:val="22"/>
          <w:szCs w:val="22"/>
          <w:lang w:eastAsia="ko-KR"/>
        </w:rPr>
        <w:t xml:space="preserve"> </w:t>
      </w:r>
      <w:r w:rsidR="003346A8" w:rsidRPr="004635E5">
        <w:rPr>
          <w:rFonts w:eastAsia="Batang"/>
          <w:sz w:val="22"/>
          <w:szCs w:val="22"/>
          <w:lang w:eastAsia="ko-KR"/>
        </w:rPr>
        <w:t>for all species.</w:t>
      </w:r>
      <w:r w:rsidR="006C4FAA" w:rsidRPr="004635E5">
        <w:rPr>
          <w:rFonts w:eastAsia="Batang"/>
          <w:sz w:val="22"/>
          <w:szCs w:val="22"/>
          <w:lang w:eastAsia="ko-KR"/>
        </w:rPr>
        <w:t xml:space="preserve"> They </w:t>
      </w:r>
      <w:r w:rsidR="003346A8" w:rsidRPr="004635E5">
        <w:rPr>
          <w:rFonts w:eastAsia="Batang"/>
          <w:sz w:val="22"/>
          <w:szCs w:val="22"/>
          <w:lang w:eastAsia="ko-KR"/>
        </w:rPr>
        <w:t>support</w:t>
      </w:r>
      <w:r w:rsidR="006C4FAA" w:rsidRPr="004635E5">
        <w:rPr>
          <w:rFonts w:eastAsia="Batang"/>
          <w:sz w:val="22"/>
          <w:szCs w:val="22"/>
          <w:lang w:eastAsia="ko-KR"/>
        </w:rPr>
        <w:t>ed</w:t>
      </w:r>
      <w:r w:rsidR="003346A8" w:rsidRPr="004635E5">
        <w:rPr>
          <w:rFonts w:eastAsia="Batang"/>
          <w:sz w:val="22"/>
          <w:szCs w:val="22"/>
          <w:lang w:eastAsia="ko-KR"/>
        </w:rPr>
        <w:t xml:space="preserve"> the suggested work to determine whether readability issues and the exclusion of samples may impact the bigeye growth estimates, and comparison of techniques used between EPO and WCPO laboratories.</w:t>
      </w:r>
    </w:p>
    <w:p w14:paraId="43C4DECE"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72A46EDB" w14:textId="77777777" w:rsidR="006C4FAA" w:rsidRPr="004635E5" w:rsidRDefault="005005BC"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Korea</w:t>
      </w:r>
      <w:r w:rsidR="006C4FAA" w:rsidRPr="004635E5">
        <w:rPr>
          <w:rFonts w:eastAsia="Batang"/>
          <w:sz w:val="22"/>
          <w:szCs w:val="22"/>
          <w:lang w:val="en-NZ" w:eastAsia="ko-KR"/>
        </w:rPr>
        <w:t xml:space="preserve"> </w:t>
      </w:r>
      <w:r w:rsidR="0056676D" w:rsidRPr="004635E5">
        <w:rPr>
          <w:rFonts w:eastAsia="Batang"/>
          <w:sz w:val="22"/>
          <w:szCs w:val="22"/>
          <w:lang w:val="en-NZ" w:eastAsia="ko-KR"/>
        </w:rPr>
        <w:t xml:space="preserve">inquired </w:t>
      </w:r>
      <w:r w:rsidR="006C4FAA" w:rsidRPr="004635E5">
        <w:rPr>
          <w:rFonts w:eastAsia="Batang"/>
          <w:sz w:val="22"/>
          <w:szCs w:val="22"/>
          <w:lang w:val="en-NZ" w:eastAsia="ko-KR"/>
        </w:rPr>
        <w:t xml:space="preserve">whether </w:t>
      </w:r>
      <w:r w:rsidR="009729D3" w:rsidRPr="004635E5">
        <w:rPr>
          <w:rFonts w:eastAsia="Batang"/>
          <w:sz w:val="22"/>
          <w:szCs w:val="22"/>
          <w:lang w:val="en-NZ" w:eastAsia="ko-KR"/>
        </w:rPr>
        <w:t>EPO and WPO</w:t>
      </w:r>
      <w:r w:rsidR="006C4FAA" w:rsidRPr="004635E5">
        <w:rPr>
          <w:rFonts w:eastAsia="Batang"/>
          <w:sz w:val="22"/>
          <w:szCs w:val="22"/>
          <w:lang w:val="en-NZ" w:eastAsia="ko-KR"/>
        </w:rPr>
        <w:t xml:space="preserve"> stocks should be considered distinct</w:t>
      </w:r>
      <w:r w:rsidR="0056676D" w:rsidRPr="004635E5">
        <w:rPr>
          <w:rFonts w:eastAsia="Batang"/>
          <w:sz w:val="22"/>
          <w:szCs w:val="22"/>
          <w:lang w:val="en-NZ" w:eastAsia="ko-KR"/>
        </w:rPr>
        <w:t xml:space="preserve">. </w:t>
      </w:r>
      <w:r w:rsidR="009729D3" w:rsidRPr="004635E5">
        <w:rPr>
          <w:rFonts w:eastAsia="Batang"/>
          <w:sz w:val="22"/>
          <w:szCs w:val="22"/>
          <w:lang w:val="en-NZ" w:eastAsia="ko-KR"/>
        </w:rPr>
        <w:t>J</w:t>
      </w:r>
      <w:r w:rsidR="006C4FAA" w:rsidRPr="004635E5">
        <w:rPr>
          <w:rFonts w:eastAsia="Batang"/>
          <w:sz w:val="22"/>
          <w:szCs w:val="22"/>
          <w:lang w:val="en-NZ" w:eastAsia="ko-KR"/>
        </w:rPr>
        <w:t>. Hampton (SPC</w:t>
      </w:r>
      <w:r w:rsidR="009729D3" w:rsidRPr="004635E5">
        <w:rPr>
          <w:rFonts w:eastAsia="Batang"/>
          <w:sz w:val="22"/>
          <w:szCs w:val="22"/>
          <w:lang w:val="en-NZ" w:eastAsia="ko-KR"/>
        </w:rPr>
        <w:t xml:space="preserve">) </w:t>
      </w:r>
      <w:r w:rsidR="006C4FAA" w:rsidRPr="004635E5">
        <w:rPr>
          <w:rFonts w:eastAsia="Batang"/>
          <w:sz w:val="22"/>
          <w:szCs w:val="22"/>
          <w:lang w:val="en-NZ" w:eastAsia="ko-KR"/>
        </w:rPr>
        <w:t xml:space="preserve">noted </w:t>
      </w:r>
      <w:r w:rsidR="009729D3" w:rsidRPr="004635E5">
        <w:rPr>
          <w:rFonts w:eastAsia="Batang"/>
          <w:sz w:val="22"/>
          <w:szCs w:val="22"/>
          <w:lang w:val="en-NZ" w:eastAsia="ko-KR"/>
        </w:rPr>
        <w:t>an intere</w:t>
      </w:r>
      <w:r w:rsidR="006C4FAA" w:rsidRPr="004635E5">
        <w:rPr>
          <w:rFonts w:eastAsia="Batang"/>
          <w:sz w:val="22"/>
          <w:szCs w:val="22"/>
          <w:lang w:val="en-NZ" w:eastAsia="ko-KR"/>
        </w:rPr>
        <w:t>sting array of potential analyse</w:t>
      </w:r>
      <w:r w:rsidR="009729D3" w:rsidRPr="004635E5">
        <w:rPr>
          <w:rFonts w:eastAsia="Batang"/>
          <w:sz w:val="22"/>
          <w:szCs w:val="22"/>
          <w:lang w:val="en-NZ" w:eastAsia="ko-KR"/>
        </w:rPr>
        <w:t xml:space="preserve">s </w:t>
      </w:r>
      <w:r w:rsidR="00C51F3F" w:rsidRPr="004635E5">
        <w:rPr>
          <w:rFonts w:eastAsia="Batang"/>
          <w:sz w:val="22"/>
          <w:szCs w:val="22"/>
          <w:lang w:val="en-NZ" w:eastAsia="ko-KR"/>
        </w:rPr>
        <w:t xml:space="preserve">were </w:t>
      </w:r>
      <w:r w:rsidR="009729D3" w:rsidRPr="004635E5">
        <w:rPr>
          <w:rFonts w:eastAsia="Batang"/>
          <w:sz w:val="22"/>
          <w:szCs w:val="22"/>
          <w:lang w:val="en-NZ" w:eastAsia="ko-KR"/>
        </w:rPr>
        <w:t>suggested</w:t>
      </w:r>
      <w:r w:rsidR="00C51F3F" w:rsidRPr="004635E5">
        <w:rPr>
          <w:rFonts w:eastAsia="Batang"/>
          <w:sz w:val="22"/>
          <w:szCs w:val="22"/>
          <w:lang w:val="en-NZ" w:eastAsia="ko-KR"/>
        </w:rPr>
        <w:t xml:space="preserve"> in the pre-assessment workshop</w:t>
      </w:r>
      <w:r w:rsidR="006C4FAA" w:rsidRPr="004635E5">
        <w:rPr>
          <w:rFonts w:eastAsia="Batang"/>
          <w:sz w:val="22"/>
          <w:szCs w:val="22"/>
          <w:lang w:val="en-NZ" w:eastAsia="ko-KR"/>
        </w:rPr>
        <w:t xml:space="preserve">, and indicated SPC would examine these. The work done for SC14 was more </w:t>
      </w:r>
      <w:r w:rsidR="009729D3" w:rsidRPr="004635E5">
        <w:rPr>
          <w:rFonts w:eastAsia="Batang"/>
          <w:sz w:val="22"/>
          <w:szCs w:val="22"/>
          <w:lang w:val="en-NZ" w:eastAsia="ko-KR"/>
        </w:rPr>
        <w:t>restric</w:t>
      </w:r>
      <w:r w:rsidR="00485125" w:rsidRPr="004635E5">
        <w:rPr>
          <w:rFonts w:eastAsia="Batang"/>
          <w:sz w:val="22"/>
          <w:szCs w:val="22"/>
          <w:lang w:val="en-NZ" w:eastAsia="ko-KR"/>
        </w:rPr>
        <w:t>ti</w:t>
      </w:r>
      <w:r w:rsidR="009729D3" w:rsidRPr="004635E5">
        <w:rPr>
          <w:rFonts w:eastAsia="Batang"/>
          <w:sz w:val="22"/>
          <w:szCs w:val="22"/>
          <w:lang w:val="en-NZ" w:eastAsia="ko-KR"/>
        </w:rPr>
        <w:t>ve</w:t>
      </w:r>
      <w:r w:rsidR="006C4FAA" w:rsidRPr="004635E5">
        <w:rPr>
          <w:rFonts w:eastAsia="Batang"/>
          <w:sz w:val="22"/>
          <w:szCs w:val="22"/>
          <w:lang w:val="en-NZ" w:eastAsia="ko-KR"/>
        </w:rPr>
        <w:t xml:space="preserve">, </w:t>
      </w:r>
      <w:r w:rsidR="009729D3" w:rsidRPr="004635E5">
        <w:rPr>
          <w:rFonts w:eastAsia="Batang"/>
          <w:sz w:val="22"/>
          <w:szCs w:val="22"/>
          <w:lang w:val="en-NZ" w:eastAsia="ko-KR"/>
        </w:rPr>
        <w:t>en</w:t>
      </w:r>
      <w:r w:rsidR="00485125" w:rsidRPr="004635E5">
        <w:rPr>
          <w:rFonts w:eastAsia="Batang"/>
          <w:sz w:val="22"/>
          <w:szCs w:val="22"/>
          <w:lang w:val="en-NZ" w:eastAsia="ko-KR"/>
        </w:rPr>
        <w:t>h</w:t>
      </w:r>
      <w:r w:rsidR="009729D3" w:rsidRPr="004635E5">
        <w:rPr>
          <w:rFonts w:eastAsia="Batang"/>
          <w:sz w:val="22"/>
          <w:szCs w:val="22"/>
          <w:lang w:val="en-NZ" w:eastAsia="ko-KR"/>
        </w:rPr>
        <w:t>ance</w:t>
      </w:r>
      <w:r w:rsidR="006C4FAA" w:rsidRPr="004635E5">
        <w:rPr>
          <w:rFonts w:eastAsia="Batang"/>
          <w:sz w:val="22"/>
          <w:szCs w:val="22"/>
          <w:lang w:val="en-NZ" w:eastAsia="ko-KR"/>
        </w:rPr>
        <w:t>d</w:t>
      </w:r>
      <w:r w:rsidR="009729D3" w:rsidRPr="004635E5">
        <w:rPr>
          <w:rFonts w:eastAsia="Batang"/>
          <w:sz w:val="22"/>
          <w:szCs w:val="22"/>
          <w:lang w:val="en-NZ" w:eastAsia="ko-KR"/>
        </w:rPr>
        <w:t xml:space="preserve"> the data set </w:t>
      </w:r>
      <w:r w:rsidR="00485125" w:rsidRPr="004635E5">
        <w:rPr>
          <w:rFonts w:eastAsia="Batang"/>
          <w:sz w:val="22"/>
          <w:szCs w:val="22"/>
          <w:lang w:val="en-NZ" w:eastAsia="ko-KR"/>
        </w:rPr>
        <w:t>with new samples, and use</w:t>
      </w:r>
      <w:r w:rsidR="006C4FAA" w:rsidRPr="004635E5">
        <w:rPr>
          <w:rFonts w:eastAsia="Batang"/>
          <w:sz w:val="22"/>
          <w:szCs w:val="22"/>
          <w:lang w:val="en-NZ" w:eastAsia="ko-KR"/>
        </w:rPr>
        <w:t>d</w:t>
      </w:r>
      <w:r w:rsidR="00485125" w:rsidRPr="004635E5">
        <w:rPr>
          <w:rFonts w:eastAsia="Batang"/>
          <w:sz w:val="22"/>
          <w:szCs w:val="22"/>
          <w:lang w:val="en-NZ" w:eastAsia="ko-KR"/>
        </w:rPr>
        <w:t xml:space="preserve"> an en</w:t>
      </w:r>
      <w:r w:rsidR="009729D3" w:rsidRPr="004635E5">
        <w:rPr>
          <w:rFonts w:eastAsia="Batang"/>
          <w:sz w:val="22"/>
          <w:szCs w:val="22"/>
          <w:lang w:val="en-NZ" w:eastAsia="ko-KR"/>
        </w:rPr>
        <w:t>h</w:t>
      </w:r>
      <w:r w:rsidR="00485125" w:rsidRPr="004635E5">
        <w:rPr>
          <w:rFonts w:eastAsia="Batang"/>
          <w:sz w:val="22"/>
          <w:szCs w:val="22"/>
          <w:lang w:val="en-NZ" w:eastAsia="ko-KR"/>
        </w:rPr>
        <w:t>an</w:t>
      </w:r>
      <w:r w:rsidR="009729D3" w:rsidRPr="004635E5">
        <w:rPr>
          <w:rFonts w:eastAsia="Batang"/>
          <w:sz w:val="22"/>
          <w:szCs w:val="22"/>
          <w:lang w:val="en-NZ" w:eastAsia="ko-KR"/>
        </w:rPr>
        <w:t>ced g</w:t>
      </w:r>
      <w:r w:rsidR="00485125" w:rsidRPr="004635E5">
        <w:rPr>
          <w:rFonts w:eastAsia="Batang"/>
          <w:sz w:val="22"/>
          <w:szCs w:val="22"/>
          <w:lang w:val="en-NZ" w:eastAsia="ko-KR"/>
        </w:rPr>
        <w:t>rowth c</w:t>
      </w:r>
      <w:r w:rsidR="009729D3" w:rsidRPr="004635E5">
        <w:rPr>
          <w:rFonts w:eastAsia="Batang"/>
          <w:sz w:val="22"/>
          <w:szCs w:val="22"/>
          <w:lang w:val="en-NZ" w:eastAsia="ko-KR"/>
        </w:rPr>
        <w:t xml:space="preserve">urve for the assessment. </w:t>
      </w:r>
    </w:p>
    <w:p w14:paraId="293DC896"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4244F43D" w14:textId="77777777" w:rsidR="00475336" w:rsidRPr="004635E5" w:rsidRDefault="00485125" w:rsidP="00580EA4">
      <w:pPr>
        <w:numPr>
          <w:ilvl w:val="0"/>
          <w:numId w:val="18"/>
        </w:numPr>
        <w:autoSpaceDE w:val="0"/>
        <w:autoSpaceDN w:val="0"/>
        <w:adjustRightInd w:val="0"/>
        <w:snapToGrid w:val="0"/>
        <w:ind w:left="0" w:firstLine="0"/>
        <w:jc w:val="both"/>
        <w:rPr>
          <w:rFonts w:eastAsia="Batang"/>
          <w:sz w:val="22"/>
          <w:szCs w:val="22"/>
          <w:lang w:eastAsia="ko-KR"/>
        </w:rPr>
      </w:pPr>
      <w:r w:rsidRPr="004635E5">
        <w:rPr>
          <w:rFonts w:eastAsia="Batang"/>
          <w:sz w:val="22"/>
          <w:szCs w:val="22"/>
          <w:lang w:val="en-NZ" w:eastAsia="ko-KR"/>
        </w:rPr>
        <w:t>RMI</w:t>
      </w:r>
      <w:r w:rsidR="00475336" w:rsidRPr="004635E5">
        <w:rPr>
          <w:rFonts w:eastAsia="Batang"/>
          <w:sz w:val="22"/>
          <w:szCs w:val="22"/>
          <w:lang w:val="en-NZ" w:eastAsia="ko-KR"/>
        </w:rPr>
        <w:t>,</w:t>
      </w:r>
      <w:r w:rsidRPr="004635E5">
        <w:rPr>
          <w:rFonts w:eastAsia="Batang"/>
          <w:sz w:val="22"/>
          <w:szCs w:val="22"/>
          <w:lang w:val="en-NZ" w:eastAsia="ko-KR"/>
        </w:rPr>
        <w:t xml:space="preserve"> on behalf of FFA members </w:t>
      </w:r>
      <w:r w:rsidR="00475336" w:rsidRPr="004635E5">
        <w:rPr>
          <w:rFonts w:eastAsia="Batang"/>
          <w:sz w:val="22"/>
          <w:szCs w:val="22"/>
          <w:lang w:eastAsia="ko-KR"/>
        </w:rPr>
        <w:t>commented that the additional growth work undertaken under Project 81 had provided further evidence of spatial variability in EPO and WCPO bigeye growth rates, and provided greater certainty and confidence to use the “</w:t>
      </w:r>
      <w:r w:rsidR="000F0B14">
        <w:rPr>
          <w:rFonts w:eastAsia="Batang"/>
          <w:sz w:val="22"/>
          <w:szCs w:val="22"/>
          <w:lang w:eastAsia="ko-KR"/>
        </w:rPr>
        <w:t>U</w:t>
      </w:r>
      <w:r w:rsidR="00475336" w:rsidRPr="004635E5">
        <w:rPr>
          <w:rFonts w:eastAsia="Batang"/>
          <w:sz w:val="22"/>
          <w:szCs w:val="22"/>
          <w:lang w:eastAsia="ko-KR"/>
        </w:rPr>
        <w:t xml:space="preserve">pdated </w:t>
      </w:r>
      <w:r w:rsidR="000F0B14">
        <w:rPr>
          <w:rFonts w:eastAsia="Batang"/>
          <w:sz w:val="22"/>
          <w:szCs w:val="22"/>
          <w:lang w:eastAsia="ko-KR"/>
        </w:rPr>
        <w:t>N</w:t>
      </w:r>
      <w:r w:rsidR="00475336" w:rsidRPr="004635E5">
        <w:rPr>
          <w:rFonts w:eastAsia="Batang"/>
          <w:sz w:val="22"/>
          <w:szCs w:val="22"/>
          <w:lang w:eastAsia="ko-KR"/>
        </w:rPr>
        <w:t xml:space="preserve">ew growth” data in WCPO stock assessments. They stated their view that adequate work had been undertaken to justify the removal of the “old growth” models. They looked forward to reviewing updated projections on this basis, although </w:t>
      </w:r>
      <w:r w:rsidR="0098401C" w:rsidRPr="004635E5">
        <w:rPr>
          <w:rFonts w:eastAsia="Batang"/>
          <w:sz w:val="22"/>
          <w:szCs w:val="22"/>
          <w:lang w:eastAsia="ko-KR"/>
        </w:rPr>
        <w:t xml:space="preserve">they </w:t>
      </w:r>
      <w:r w:rsidR="00475336" w:rsidRPr="004635E5">
        <w:rPr>
          <w:rFonts w:eastAsia="Batang"/>
          <w:sz w:val="22"/>
          <w:szCs w:val="22"/>
          <w:lang w:eastAsia="ko-KR"/>
        </w:rPr>
        <w:t>expect</w:t>
      </w:r>
      <w:r w:rsidR="0098401C" w:rsidRPr="004635E5">
        <w:rPr>
          <w:rFonts w:eastAsia="Batang"/>
          <w:sz w:val="22"/>
          <w:szCs w:val="22"/>
          <w:lang w:eastAsia="ko-KR"/>
        </w:rPr>
        <w:t>ed</w:t>
      </w:r>
      <w:r w:rsidR="00475336" w:rsidRPr="004635E5">
        <w:rPr>
          <w:rFonts w:eastAsia="Batang"/>
          <w:sz w:val="22"/>
          <w:szCs w:val="22"/>
          <w:lang w:eastAsia="ko-KR"/>
        </w:rPr>
        <w:t xml:space="preserve"> to see continued declines in spawning biomass, </w:t>
      </w:r>
      <w:r w:rsidR="0098401C" w:rsidRPr="004635E5">
        <w:rPr>
          <w:rFonts w:eastAsia="Batang"/>
          <w:sz w:val="22"/>
          <w:szCs w:val="22"/>
          <w:lang w:eastAsia="ko-KR"/>
        </w:rPr>
        <w:t xml:space="preserve">although still </w:t>
      </w:r>
      <w:r w:rsidR="00475336" w:rsidRPr="004635E5">
        <w:rPr>
          <w:rFonts w:eastAsia="Batang"/>
          <w:sz w:val="22"/>
          <w:szCs w:val="22"/>
          <w:lang w:eastAsia="ko-KR"/>
        </w:rPr>
        <w:t xml:space="preserve">above the </w:t>
      </w:r>
      <w:r w:rsidR="00C51F3F" w:rsidRPr="004635E5">
        <w:rPr>
          <w:rFonts w:eastAsia="Batang"/>
          <w:sz w:val="22"/>
          <w:szCs w:val="22"/>
          <w:lang w:eastAsia="ko-KR"/>
        </w:rPr>
        <w:t>LRP</w:t>
      </w:r>
      <w:r w:rsidR="00475336" w:rsidRPr="004635E5">
        <w:rPr>
          <w:rFonts w:eastAsia="Batang"/>
          <w:sz w:val="22"/>
          <w:szCs w:val="22"/>
          <w:lang w:eastAsia="ko-KR"/>
        </w:rPr>
        <w:t xml:space="preserve">. However, </w:t>
      </w:r>
      <w:r w:rsidR="0098401C" w:rsidRPr="004635E5">
        <w:rPr>
          <w:rFonts w:eastAsia="Batang"/>
          <w:sz w:val="22"/>
          <w:szCs w:val="22"/>
          <w:lang w:eastAsia="ko-KR"/>
        </w:rPr>
        <w:t xml:space="preserve">they noted that </w:t>
      </w:r>
      <w:r w:rsidR="00475336" w:rsidRPr="004635E5">
        <w:rPr>
          <w:rFonts w:eastAsia="Batang"/>
          <w:sz w:val="22"/>
          <w:szCs w:val="22"/>
          <w:lang w:eastAsia="ko-KR"/>
        </w:rPr>
        <w:t xml:space="preserve">simply avoiding </w:t>
      </w:r>
      <w:r w:rsidR="00C51F3F" w:rsidRPr="004635E5">
        <w:rPr>
          <w:rFonts w:eastAsia="Batang"/>
          <w:sz w:val="22"/>
          <w:szCs w:val="22"/>
          <w:lang w:eastAsia="ko-KR"/>
        </w:rPr>
        <w:t xml:space="preserve">LRPs fell </w:t>
      </w:r>
      <w:r w:rsidR="00475336" w:rsidRPr="004635E5">
        <w:rPr>
          <w:rFonts w:eastAsia="Batang"/>
          <w:sz w:val="22"/>
          <w:szCs w:val="22"/>
          <w:lang w:eastAsia="ko-KR"/>
        </w:rPr>
        <w:t>well short of a wel</w:t>
      </w:r>
      <w:r w:rsidR="00C51F3F" w:rsidRPr="004635E5">
        <w:rPr>
          <w:rFonts w:eastAsia="Batang"/>
          <w:sz w:val="22"/>
          <w:szCs w:val="22"/>
          <w:lang w:eastAsia="ko-KR"/>
        </w:rPr>
        <w:t>l-managed fishery and underlined</w:t>
      </w:r>
      <w:r w:rsidR="00475336" w:rsidRPr="004635E5">
        <w:rPr>
          <w:rFonts w:eastAsia="Batang"/>
          <w:sz w:val="22"/>
          <w:szCs w:val="22"/>
          <w:lang w:eastAsia="ko-KR"/>
        </w:rPr>
        <w:t xml:space="preserve"> the need to develop appropriate </w:t>
      </w:r>
      <w:r w:rsidR="00C51F3F" w:rsidRPr="004635E5">
        <w:rPr>
          <w:rFonts w:eastAsia="Batang"/>
          <w:sz w:val="22"/>
          <w:szCs w:val="22"/>
          <w:lang w:eastAsia="ko-KR"/>
        </w:rPr>
        <w:t xml:space="preserve">TRPs </w:t>
      </w:r>
      <w:r w:rsidR="00475336" w:rsidRPr="004635E5">
        <w:rPr>
          <w:rFonts w:eastAsia="Batang"/>
          <w:sz w:val="22"/>
          <w:szCs w:val="22"/>
          <w:lang w:eastAsia="ko-KR"/>
        </w:rPr>
        <w:t xml:space="preserve">to ensure fishing mortality </w:t>
      </w:r>
      <w:r w:rsidR="00C51F3F" w:rsidRPr="004635E5">
        <w:rPr>
          <w:rFonts w:eastAsia="Batang"/>
          <w:sz w:val="22"/>
          <w:szCs w:val="22"/>
          <w:lang w:eastAsia="ko-KR"/>
        </w:rPr>
        <w:t xml:space="preserve">was </w:t>
      </w:r>
      <w:r w:rsidR="0098401C" w:rsidRPr="004635E5">
        <w:rPr>
          <w:rFonts w:eastAsia="Batang"/>
          <w:sz w:val="22"/>
          <w:szCs w:val="22"/>
          <w:lang w:eastAsia="ko-KR"/>
        </w:rPr>
        <w:t xml:space="preserve">effectively managed </w:t>
      </w:r>
      <w:r w:rsidR="00475336" w:rsidRPr="004635E5">
        <w:rPr>
          <w:rFonts w:eastAsia="Batang"/>
          <w:sz w:val="22"/>
          <w:szCs w:val="22"/>
          <w:lang w:eastAsia="ko-KR"/>
        </w:rPr>
        <w:t xml:space="preserve">to meet management objectives for </w:t>
      </w:r>
      <w:r w:rsidR="0098401C" w:rsidRPr="004635E5">
        <w:rPr>
          <w:rFonts w:eastAsia="Batang"/>
          <w:sz w:val="22"/>
          <w:szCs w:val="22"/>
          <w:lang w:eastAsia="ko-KR"/>
        </w:rPr>
        <w:t xml:space="preserve">the </w:t>
      </w:r>
      <w:r w:rsidR="00475336" w:rsidRPr="004635E5">
        <w:rPr>
          <w:rFonts w:eastAsia="Batang"/>
          <w:sz w:val="22"/>
          <w:szCs w:val="22"/>
          <w:lang w:eastAsia="ko-KR"/>
        </w:rPr>
        <w:t>stock.</w:t>
      </w:r>
    </w:p>
    <w:p w14:paraId="6A5AA884" w14:textId="77777777" w:rsidR="00D73BF8" w:rsidRPr="004635E5" w:rsidRDefault="00D73BF8" w:rsidP="006633A8">
      <w:pPr>
        <w:autoSpaceDE w:val="0"/>
        <w:autoSpaceDN w:val="0"/>
        <w:adjustRightInd w:val="0"/>
        <w:snapToGrid w:val="0"/>
        <w:jc w:val="both"/>
        <w:rPr>
          <w:rFonts w:eastAsia="Batang"/>
          <w:sz w:val="22"/>
          <w:szCs w:val="22"/>
          <w:lang w:eastAsia="ko-KR"/>
        </w:rPr>
      </w:pPr>
    </w:p>
    <w:p w14:paraId="32FFC06C" w14:textId="77777777" w:rsidR="0098401C" w:rsidRPr="004635E5" w:rsidRDefault="00485125"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Tonga</w:t>
      </w:r>
      <w:r w:rsidR="0098401C" w:rsidRPr="004635E5">
        <w:rPr>
          <w:rFonts w:eastAsia="Batang"/>
          <w:sz w:val="22"/>
          <w:szCs w:val="22"/>
          <w:lang w:val="en-NZ" w:eastAsia="ko-KR"/>
        </w:rPr>
        <w:t xml:space="preserve"> </w:t>
      </w:r>
      <w:r w:rsidRPr="004635E5">
        <w:rPr>
          <w:rFonts w:eastAsia="Batang"/>
          <w:sz w:val="22"/>
          <w:szCs w:val="22"/>
          <w:lang w:val="en-NZ" w:eastAsia="ko-KR"/>
        </w:rPr>
        <w:t>ask</w:t>
      </w:r>
      <w:r w:rsidR="00BF33C5">
        <w:rPr>
          <w:rFonts w:eastAsia="Batang" w:hint="eastAsia"/>
          <w:sz w:val="22"/>
          <w:szCs w:val="22"/>
          <w:lang w:val="en-NZ" w:eastAsia="ko-KR"/>
        </w:rPr>
        <w:t>ed</w:t>
      </w:r>
      <w:r w:rsidRPr="004635E5">
        <w:rPr>
          <w:rFonts w:eastAsia="Batang"/>
          <w:sz w:val="22"/>
          <w:szCs w:val="22"/>
          <w:lang w:val="en-NZ" w:eastAsia="ko-KR"/>
        </w:rPr>
        <w:t xml:space="preserve"> for clarification o</w:t>
      </w:r>
      <w:r w:rsidR="0098401C" w:rsidRPr="004635E5">
        <w:rPr>
          <w:rFonts w:eastAsia="Batang"/>
          <w:sz w:val="22"/>
          <w:szCs w:val="22"/>
          <w:lang w:val="en-NZ" w:eastAsia="ko-KR"/>
        </w:rPr>
        <w:t>f</w:t>
      </w:r>
      <w:r w:rsidRPr="004635E5">
        <w:rPr>
          <w:rFonts w:eastAsia="Batang"/>
          <w:sz w:val="22"/>
          <w:szCs w:val="22"/>
          <w:lang w:val="en-NZ" w:eastAsia="ko-KR"/>
        </w:rPr>
        <w:t xml:space="preserve"> diff</w:t>
      </w:r>
      <w:r w:rsidR="0098401C" w:rsidRPr="004635E5">
        <w:rPr>
          <w:rFonts w:eastAsia="Batang"/>
          <w:sz w:val="22"/>
          <w:szCs w:val="22"/>
          <w:lang w:val="en-NZ" w:eastAsia="ko-KR"/>
        </w:rPr>
        <w:t>erence</w:t>
      </w:r>
      <w:r w:rsidRPr="004635E5">
        <w:rPr>
          <w:rFonts w:eastAsia="Batang"/>
          <w:sz w:val="22"/>
          <w:szCs w:val="22"/>
          <w:lang w:val="en-NZ" w:eastAsia="ko-KR"/>
        </w:rPr>
        <w:t xml:space="preserve">s </w:t>
      </w:r>
      <w:r w:rsidR="0098401C" w:rsidRPr="004635E5">
        <w:rPr>
          <w:rFonts w:eastAsia="Batang"/>
          <w:sz w:val="22"/>
          <w:szCs w:val="22"/>
          <w:lang w:val="en-NZ" w:eastAsia="ko-KR"/>
        </w:rPr>
        <w:t xml:space="preserve">in the </w:t>
      </w:r>
      <w:r w:rsidRPr="004635E5">
        <w:rPr>
          <w:rFonts w:eastAsia="Batang"/>
          <w:sz w:val="22"/>
          <w:szCs w:val="22"/>
          <w:lang w:val="en-NZ" w:eastAsia="ko-KR"/>
        </w:rPr>
        <w:t xml:space="preserve">new and old curve. </w:t>
      </w:r>
      <w:r w:rsidR="00085A96" w:rsidRPr="004635E5">
        <w:rPr>
          <w:rFonts w:eastAsia="Batang"/>
          <w:sz w:val="22"/>
          <w:szCs w:val="22"/>
          <w:lang w:val="en-NZ" w:eastAsia="ko-KR"/>
        </w:rPr>
        <w:t xml:space="preserve">J. </w:t>
      </w:r>
      <w:r w:rsidR="00F93204">
        <w:rPr>
          <w:rFonts w:eastAsia="Batang"/>
          <w:sz w:val="22"/>
          <w:szCs w:val="22"/>
          <w:lang w:val="en-NZ" w:eastAsia="ko-KR"/>
        </w:rPr>
        <w:t xml:space="preserve">Farley </w:t>
      </w:r>
      <w:r w:rsidR="0098401C" w:rsidRPr="004635E5">
        <w:rPr>
          <w:rFonts w:eastAsia="Batang"/>
          <w:sz w:val="22"/>
          <w:szCs w:val="22"/>
          <w:lang w:val="en-NZ" w:eastAsia="ko-KR"/>
        </w:rPr>
        <w:t xml:space="preserve">indicated that </w:t>
      </w:r>
      <w:r w:rsidRPr="004635E5">
        <w:rPr>
          <w:rFonts w:eastAsia="Batang"/>
          <w:sz w:val="22"/>
          <w:szCs w:val="22"/>
          <w:lang w:val="en-NZ" w:eastAsia="ko-KR"/>
        </w:rPr>
        <w:t xml:space="preserve">old curve was not based on direct age data. </w:t>
      </w:r>
      <w:r w:rsidR="0098401C" w:rsidRPr="004635E5">
        <w:rPr>
          <w:rFonts w:eastAsia="Batang"/>
          <w:sz w:val="22"/>
          <w:szCs w:val="22"/>
          <w:lang w:val="en-NZ" w:eastAsia="ko-KR"/>
        </w:rPr>
        <w:t xml:space="preserve">The old curve was </w:t>
      </w:r>
      <w:r w:rsidRPr="004635E5">
        <w:rPr>
          <w:rFonts w:eastAsia="Batang"/>
          <w:sz w:val="22"/>
          <w:szCs w:val="22"/>
          <w:lang w:val="en-NZ" w:eastAsia="ko-KR"/>
        </w:rPr>
        <w:t xml:space="preserve">based on EPO fish, </w:t>
      </w:r>
      <w:r w:rsidR="0098401C" w:rsidRPr="004635E5">
        <w:rPr>
          <w:rFonts w:eastAsia="Batang"/>
          <w:sz w:val="22"/>
          <w:szCs w:val="22"/>
          <w:lang w:val="en-NZ" w:eastAsia="ko-KR"/>
        </w:rPr>
        <w:t xml:space="preserve">with </w:t>
      </w:r>
      <w:r w:rsidRPr="004635E5">
        <w:rPr>
          <w:rFonts w:eastAsia="Batang"/>
          <w:sz w:val="22"/>
          <w:szCs w:val="22"/>
          <w:lang w:val="en-NZ" w:eastAsia="ko-KR"/>
        </w:rPr>
        <w:t>no direct age study undertaken,</w:t>
      </w:r>
      <w:r w:rsidR="0098401C" w:rsidRPr="004635E5">
        <w:rPr>
          <w:rFonts w:eastAsia="Batang"/>
          <w:sz w:val="22"/>
          <w:szCs w:val="22"/>
          <w:lang w:val="en-NZ" w:eastAsia="ko-KR"/>
        </w:rPr>
        <w:t xml:space="preserve"> while the new curve was an actual study di</w:t>
      </w:r>
      <w:r w:rsidRPr="004635E5">
        <w:rPr>
          <w:rFonts w:eastAsia="Batang"/>
          <w:sz w:val="22"/>
          <w:szCs w:val="22"/>
          <w:lang w:val="en-NZ" w:eastAsia="ko-KR"/>
        </w:rPr>
        <w:t xml:space="preserve">rectly </w:t>
      </w:r>
      <w:r w:rsidR="0098401C" w:rsidRPr="004635E5">
        <w:rPr>
          <w:rFonts w:eastAsia="Batang"/>
          <w:sz w:val="22"/>
          <w:szCs w:val="22"/>
          <w:lang w:val="en-NZ" w:eastAsia="ko-KR"/>
        </w:rPr>
        <w:t xml:space="preserve">based on </w:t>
      </w:r>
      <w:r w:rsidRPr="004635E5">
        <w:rPr>
          <w:rFonts w:eastAsia="Batang"/>
          <w:sz w:val="22"/>
          <w:szCs w:val="22"/>
          <w:lang w:val="en-NZ" w:eastAsia="ko-KR"/>
        </w:rPr>
        <w:t>ag</w:t>
      </w:r>
      <w:r w:rsidR="00BF33C5">
        <w:rPr>
          <w:rFonts w:eastAsia="Batang" w:hint="eastAsia"/>
          <w:sz w:val="22"/>
          <w:szCs w:val="22"/>
          <w:lang w:val="en-NZ" w:eastAsia="ko-KR"/>
        </w:rPr>
        <w:t>e</w:t>
      </w:r>
      <w:r w:rsidRPr="004635E5">
        <w:rPr>
          <w:rFonts w:eastAsia="Batang"/>
          <w:sz w:val="22"/>
          <w:szCs w:val="22"/>
          <w:lang w:val="en-NZ" w:eastAsia="ko-KR"/>
        </w:rPr>
        <w:t xml:space="preserve">ing </w:t>
      </w:r>
      <w:r w:rsidR="004421B3" w:rsidRPr="004635E5">
        <w:rPr>
          <w:rFonts w:eastAsia="Batang"/>
          <w:sz w:val="22"/>
          <w:szCs w:val="22"/>
          <w:lang w:val="en-NZ" w:eastAsia="ko-KR"/>
        </w:rPr>
        <w:t>bigeye tuna</w:t>
      </w:r>
      <w:r w:rsidRPr="004635E5">
        <w:rPr>
          <w:rFonts w:eastAsia="Batang"/>
          <w:sz w:val="22"/>
          <w:szCs w:val="22"/>
          <w:lang w:val="en-NZ" w:eastAsia="ko-KR"/>
        </w:rPr>
        <w:t xml:space="preserve"> in the WCPO.</w:t>
      </w:r>
    </w:p>
    <w:p w14:paraId="1885BB5D"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5D71A73D" w14:textId="77777777" w:rsidR="00485125" w:rsidRPr="004635E5" w:rsidRDefault="00485125"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PNG</w:t>
      </w:r>
      <w:r w:rsidR="0098401C" w:rsidRPr="004635E5">
        <w:rPr>
          <w:rFonts w:eastAsia="Batang"/>
          <w:sz w:val="22"/>
          <w:szCs w:val="22"/>
          <w:lang w:val="en-NZ" w:eastAsia="ko-KR"/>
        </w:rPr>
        <w:t>,</w:t>
      </w:r>
      <w:r w:rsidR="001F3FF4">
        <w:rPr>
          <w:rFonts w:eastAsia="Batang"/>
          <w:sz w:val="22"/>
          <w:szCs w:val="22"/>
          <w:lang w:val="en-NZ" w:eastAsia="ko-KR"/>
        </w:rPr>
        <w:t xml:space="preserve"> </w:t>
      </w:r>
      <w:r w:rsidRPr="004635E5">
        <w:rPr>
          <w:rFonts w:eastAsia="Batang"/>
          <w:sz w:val="22"/>
          <w:szCs w:val="22"/>
          <w:lang w:val="en-NZ" w:eastAsia="ko-KR"/>
        </w:rPr>
        <w:t xml:space="preserve">on behalf </w:t>
      </w:r>
      <w:r w:rsidR="00EA511E">
        <w:rPr>
          <w:rFonts w:eastAsia="Batang" w:hint="eastAsia"/>
          <w:sz w:val="22"/>
          <w:szCs w:val="22"/>
          <w:lang w:val="en-NZ" w:eastAsia="ko-KR"/>
        </w:rPr>
        <w:t xml:space="preserve">of </w:t>
      </w:r>
      <w:r w:rsidR="0098401C" w:rsidRPr="004635E5">
        <w:rPr>
          <w:rFonts w:eastAsia="Batang"/>
          <w:sz w:val="22"/>
          <w:szCs w:val="22"/>
          <w:lang w:eastAsia="ko-KR"/>
        </w:rPr>
        <w:t>FFA members noted that the 2017 model regions may not reflect the biological stock distribution. They expressed concern</w:t>
      </w:r>
      <w:r w:rsidR="00BF33C5">
        <w:rPr>
          <w:rFonts w:eastAsia="Batang" w:hint="eastAsia"/>
          <w:sz w:val="22"/>
          <w:szCs w:val="22"/>
          <w:lang w:eastAsia="ko-KR"/>
        </w:rPr>
        <w:t>s</w:t>
      </w:r>
      <w:r w:rsidR="0098401C" w:rsidRPr="004635E5">
        <w:rPr>
          <w:rFonts w:eastAsia="Batang"/>
          <w:sz w:val="22"/>
          <w:szCs w:val="22"/>
          <w:lang w:eastAsia="ko-KR"/>
        </w:rPr>
        <w:t xml:space="preserve"> that the optimistic stock status could result from a shift in the model boundary between 10°N and 20°N. Re-allocation of biomass to an area with lower exploitation levels raises depletion estimates as the boundary is moved from 20°N to 10°N, which seems more like</w:t>
      </w:r>
      <w:r w:rsidR="00953858" w:rsidRPr="004635E5">
        <w:rPr>
          <w:rFonts w:eastAsia="Batang"/>
          <w:sz w:val="22"/>
          <w:szCs w:val="22"/>
          <w:lang w:eastAsia="ko-KR"/>
        </w:rPr>
        <w:t>ly</w:t>
      </w:r>
      <w:r w:rsidR="0098401C" w:rsidRPr="004635E5">
        <w:rPr>
          <w:rFonts w:eastAsia="Batang"/>
          <w:sz w:val="22"/>
          <w:szCs w:val="22"/>
          <w:lang w:eastAsia="ko-KR"/>
        </w:rPr>
        <w:t xml:space="preserve"> </w:t>
      </w:r>
      <w:r w:rsidR="00953858" w:rsidRPr="004635E5">
        <w:rPr>
          <w:rFonts w:eastAsia="Batang"/>
          <w:sz w:val="22"/>
          <w:szCs w:val="22"/>
          <w:lang w:eastAsia="ko-KR"/>
        </w:rPr>
        <w:t xml:space="preserve">to be </w:t>
      </w:r>
      <w:r w:rsidR="0098401C" w:rsidRPr="004635E5">
        <w:rPr>
          <w:rFonts w:eastAsia="Batang"/>
          <w:sz w:val="22"/>
          <w:szCs w:val="22"/>
          <w:lang w:eastAsia="ko-KR"/>
        </w:rPr>
        <w:t xml:space="preserve">an artefact of model structure rather than stock characteristics. In addition, they expressed concern that high resolution analysis in regional structure is not possible because aggregated data is used in the stock assessment, and highlights the importance of ensuring that the Commission has access to operational level data to support these analyses. The current use of aggregated data limits further investigation in to structural bounds. As such, FFA members </w:t>
      </w:r>
      <w:r w:rsidR="00953858" w:rsidRPr="004635E5">
        <w:rPr>
          <w:rFonts w:eastAsia="Batang"/>
          <w:sz w:val="22"/>
          <w:szCs w:val="22"/>
          <w:lang w:eastAsia="ko-KR"/>
        </w:rPr>
        <w:t>preferred</w:t>
      </w:r>
      <w:r w:rsidR="0098401C" w:rsidRPr="004635E5">
        <w:rPr>
          <w:rFonts w:eastAsia="Batang"/>
          <w:sz w:val="22"/>
          <w:szCs w:val="22"/>
          <w:lang w:eastAsia="ko-KR"/>
        </w:rPr>
        <w:t xml:space="preserve"> to retain both the 2014 and 2017 model regions in the uncertainty grid.</w:t>
      </w:r>
      <w:r w:rsidR="00767630" w:rsidRPr="004635E5">
        <w:rPr>
          <w:rFonts w:eastAsia="Batang"/>
          <w:sz w:val="22"/>
          <w:szCs w:val="22"/>
          <w:lang w:val="en-NZ" w:eastAsia="ko-KR"/>
        </w:rPr>
        <w:t xml:space="preserve"> </w:t>
      </w:r>
    </w:p>
    <w:p w14:paraId="6C29C1CC"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18FCABDE" w14:textId="77777777" w:rsidR="00D73BF8" w:rsidRPr="004635E5" w:rsidRDefault="00691C17" w:rsidP="00D46B39">
      <w:pPr>
        <w:pStyle w:val="SCa"/>
        <w:tabs>
          <w:tab w:val="clear" w:pos="1080"/>
        </w:tabs>
        <w:spacing w:after="0"/>
        <w:ind w:left="0"/>
        <w:rPr>
          <w:lang w:val="en-NZ"/>
        </w:rPr>
      </w:pPr>
      <w:r w:rsidRPr="004635E5">
        <w:rPr>
          <w:lang w:val="en-NZ"/>
        </w:rPr>
        <w:t>b.</w:t>
      </w:r>
      <w:r w:rsidRPr="004635E5">
        <w:rPr>
          <w:lang w:val="en-NZ"/>
        </w:rPr>
        <w:tab/>
      </w:r>
      <w:r w:rsidR="004E0E18" w:rsidRPr="004635E5">
        <w:rPr>
          <w:lang w:val="en-NZ"/>
        </w:rPr>
        <w:t>B</w:t>
      </w:r>
      <w:r w:rsidR="00982D84" w:rsidRPr="004635E5">
        <w:rPr>
          <w:lang w:val="en-NZ"/>
        </w:rPr>
        <w:t>igeye tuna stock assessment</w:t>
      </w:r>
      <w:r w:rsidR="004E0E18" w:rsidRPr="004635E5">
        <w:rPr>
          <w:lang w:val="en-NZ"/>
        </w:rPr>
        <w:t xml:space="preserve"> update</w:t>
      </w:r>
      <w:r w:rsidR="001F3FF4">
        <w:rPr>
          <w:lang w:val="en-NZ"/>
        </w:rPr>
        <w:t xml:space="preserve"> </w:t>
      </w:r>
    </w:p>
    <w:p w14:paraId="305A27C2" w14:textId="77777777" w:rsidR="00D73BF8" w:rsidRPr="004635E5" w:rsidRDefault="00D73BF8" w:rsidP="006633A8">
      <w:pPr>
        <w:pStyle w:val="SCa"/>
        <w:spacing w:after="0"/>
        <w:rPr>
          <w:lang w:val="en-NZ"/>
        </w:rPr>
      </w:pPr>
    </w:p>
    <w:p w14:paraId="0DB41B97" w14:textId="77777777" w:rsidR="00875A08" w:rsidRPr="004635E5" w:rsidRDefault="00F93D03" w:rsidP="00D46B39">
      <w:pPr>
        <w:pStyle w:val="SCa1"/>
        <w:tabs>
          <w:tab w:val="clear" w:pos="1080"/>
        </w:tabs>
        <w:spacing w:after="0"/>
        <w:ind w:left="720" w:firstLine="0"/>
      </w:pPr>
      <w:r w:rsidRPr="004635E5">
        <w:t>I</w:t>
      </w:r>
      <w:r w:rsidR="007D30BB" w:rsidRPr="004635E5">
        <w:t>ndicator analysis</w:t>
      </w:r>
    </w:p>
    <w:p w14:paraId="519328BA" w14:textId="77777777" w:rsidR="00D73BF8" w:rsidRPr="004635E5" w:rsidRDefault="00D73BF8" w:rsidP="006633A8">
      <w:pPr>
        <w:pStyle w:val="SCa1"/>
        <w:numPr>
          <w:ilvl w:val="0"/>
          <w:numId w:val="0"/>
        </w:numPr>
        <w:spacing w:after="0"/>
        <w:ind w:left="1440"/>
      </w:pPr>
    </w:p>
    <w:p w14:paraId="158E3C3E" w14:textId="77777777" w:rsidR="00A96A03" w:rsidRPr="004635E5" w:rsidRDefault="00953858"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S.</w:t>
      </w:r>
      <w:r w:rsidR="00A96A03" w:rsidRPr="004635E5">
        <w:rPr>
          <w:sz w:val="22"/>
          <w:szCs w:val="22"/>
          <w:lang w:val="en-AU"/>
        </w:rPr>
        <w:t xml:space="preserve"> Brouwer (SPC) presented </w:t>
      </w:r>
      <w:r w:rsidR="00A96A03" w:rsidRPr="004635E5">
        <w:rPr>
          <w:bCs/>
          <w:sz w:val="22"/>
          <w:szCs w:val="22"/>
          <w:lang w:val="en-AU"/>
        </w:rPr>
        <w:t>SC14-SA-WP-02</w:t>
      </w:r>
      <w:r w:rsidR="00A96A03" w:rsidRPr="004635E5">
        <w:rPr>
          <w:sz w:val="22"/>
          <w:szCs w:val="22"/>
          <w:lang w:val="en-AU"/>
        </w:rPr>
        <w:t xml:space="preserve"> </w:t>
      </w:r>
      <w:r w:rsidR="00A96A03" w:rsidRPr="004635E5">
        <w:rPr>
          <w:i/>
          <w:sz w:val="22"/>
          <w:szCs w:val="22"/>
          <w:lang w:val="en-AU"/>
        </w:rPr>
        <w:t>A compendium of fisheries indicators for tuna stocks</w:t>
      </w:r>
      <w:r w:rsidR="00A96A03" w:rsidRPr="004635E5">
        <w:rPr>
          <w:sz w:val="22"/>
          <w:szCs w:val="22"/>
          <w:lang w:val="en-AU"/>
        </w:rPr>
        <w:t>, which provided empirical information on recent patterns in fisheries. While the paper provided indicators for four tuna species (bigeye, skipjack, yellowfin and south Pacific albacore) the presentation concentrated on the indicators for bigeye only. The indicators included: total catch by gear, nominal CPUE trends, spatial distribution of catch and associated trends, size composition of the catch and trends in average size</w:t>
      </w:r>
      <w:r w:rsidR="00A16680" w:rsidRPr="004635E5">
        <w:rPr>
          <w:sz w:val="22"/>
          <w:szCs w:val="22"/>
          <w:lang w:val="en-AU"/>
        </w:rPr>
        <w:t xml:space="preserve">. </w:t>
      </w:r>
      <w:r w:rsidR="00A96A03" w:rsidRPr="004635E5">
        <w:rPr>
          <w:sz w:val="22"/>
          <w:szCs w:val="22"/>
          <w:lang w:val="en-AU"/>
        </w:rPr>
        <w:t>Stock projections were performed based upon the actual fishing levels by fleet in 2015 to 2019</w:t>
      </w:r>
      <w:r w:rsidR="00CD1A5E" w:rsidRPr="004635E5">
        <w:rPr>
          <w:sz w:val="22"/>
          <w:szCs w:val="22"/>
          <w:lang w:val="en-AU"/>
        </w:rPr>
        <w:t>,</w:t>
      </w:r>
      <w:r w:rsidR="00A96A03" w:rsidRPr="004635E5">
        <w:rPr>
          <w:sz w:val="22"/>
          <w:szCs w:val="22"/>
          <w:lang w:val="en-AU"/>
        </w:rPr>
        <w:t xml:space="preserve"> based upon the assumption that levels of effort or catch would remain constant at 2015 levels. The bigeye stock was initially projected to decline as recent estimated recruitments move through the stock, and then </w:t>
      </w:r>
      <w:r w:rsidR="00A96A03" w:rsidRPr="004635E5">
        <w:rPr>
          <w:sz w:val="22"/>
          <w:szCs w:val="22"/>
          <w:lang w:val="en-AU" w:eastAsia="ko-KR"/>
        </w:rPr>
        <w:t xml:space="preserve">to </w:t>
      </w:r>
      <w:r w:rsidR="00A96A03" w:rsidRPr="004635E5">
        <w:rPr>
          <w:sz w:val="22"/>
          <w:szCs w:val="22"/>
          <w:lang w:val="en-AU"/>
        </w:rPr>
        <w:t>recover in the longer term. Median F</w:t>
      </w:r>
      <w:r w:rsidR="00A96A03" w:rsidRPr="004635E5">
        <w:rPr>
          <w:sz w:val="22"/>
          <w:szCs w:val="22"/>
          <w:vertAlign w:val="subscript"/>
          <w:lang w:val="en-AU"/>
        </w:rPr>
        <w:t>2019</w:t>
      </w:r>
      <w:r w:rsidR="00A96A03" w:rsidRPr="004635E5">
        <w:rPr>
          <w:sz w:val="22"/>
          <w:szCs w:val="22"/>
          <w:lang w:val="en-AU"/>
        </w:rPr>
        <w:t>/F</w:t>
      </w:r>
      <w:r w:rsidR="00A96A03" w:rsidRPr="004635E5">
        <w:rPr>
          <w:sz w:val="22"/>
          <w:szCs w:val="22"/>
          <w:vertAlign w:val="subscript"/>
          <w:lang w:val="en-AU"/>
        </w:rPr>
        <w:t>MSY</w:t>
      </w:r>
      <w:r w:rsidR="00A96A03" w:rsidRPr="004635E5">
        <w:rPr>
          <w:sz w:val="22"/>
          <w:szCs w:val="22"/>
          <w:lang w:val="en-AU"/>
        </w:rPr>
        <w:t xml:space="preserve"> = 0.96; median SB</w:t>
      </w:r>
      <w:r w:rsidR="00A96A03" w:rsidRPr="004635E5">
        <w:rPr>
          <w:sz w:val="22"/>
          <w:szCs w:val="22"/>
          <w:vertAlign w:val="subscript"/>
          <w:lang w:val="en-AU"/>
        </w:rPr>
        <w:t>2019</w:t>
      </w:r>
      <w:r w:rsidR="00A96A03" w:rsidRPr="004635E5">
        <w:rPr>
          <w:sz w:val="22"/>
          <w:szCs w:val="22"/>
          <w:lang w:val="en-AU"/>
        </w:rPr>
        <w:t>/SB</w:t>
      </w:r>
      <w:r w:rsidR="00A96A03" w:rsidRPr="004635E5">
        <w:rPr>
          <w:sz w:val="22"/>
          <w:szCs w:val="22"/>
          <w:vertAlign w:val="subscript"/>
          <w:lang w:val="en-AU"/>
        </w:rPr>
        <w:t>F=0</w:t>
      </w:r>
      <w:r w:rsidR="00A96A03" w:rsidRPr="004635E5">
        <w:rPr>
          <w:sz w:val="22"/>
          <w:szCs w:val="22"/>
          <w:lang w:val="en-AU"/>
        </w:rPr>
        <w:t xml:space="preserve"> = 0.4.</w:t>
      </w:r>
    </w:p>
    <w:p w14:paraId="0CA9D3BE" w14:textId="77777777" w:rsidR="00D73BF8" w:rsidRPr="004635E5" w:rsidRDefault="00D73BF8" w:rsidP="006633A8">
      <w:pPr>
        <w:pStyle w:val="ListParagraph"/>
        <w:adjustRightInd w:val="0"/>
        <w:snapToGrid w:val="0"/>
        <w:ind w:left="0"/>
        <w:jc w:val="both"/>
        <w:rPr>
          <w:rFonts w:eastAsia="Batang"/>
          <w:b/>
          <w:sz w:val="22"/>
          <w:szCs w:val="22"/>
          <w:lang w:val="en-NZ" w:eastAsia="ko-KR"/>
        </w:rPr>
      </w:pPr>
    </w:p>
    <w:p w14:paraId="6A2CE2DB" w14:textId="77777777" w:rsidR="00C05B26" w:rsidRPr="004635E5" w:rsidRDefault="003346A8" w:rsidP="006633A8">
      <w:pPr>
        <w:pStyle w:val="ListParagraph"/>
        <w:adjustRightInd w:val="0"/>
        <w:snapToGrid w:val="0"/>
        <w:ind w:left="0"/>
        <w:jc w:val="both"/>
        <w:rPr>
          <w:rFonts w:eastAsia="Batang"/>
          <w:b/>
          <w:sz w:val="22"/>
          <w:szCs w:val="22"/>
          <w:lang w:val="en-NZ" w:eastAsia="ko-KR"/>
        </w:rPr>
      </w:pPr>
      <w:r w:rsidRPr="004635E5">
        <w:rPr>
          <w:rFonts w:eastAsia="Batang"/>
          <w:b/>
          <w:sz w:val="22"/>
          <w:szCs w:val="22"/>
          <w:lang w:val="en-NZ" w:eastAsia="ko-KR"/>
        </w:rPr>
        <w:t xml:space="preserve">Discussion </w:t>
      </w:r>
    </w:p>
    <w:p w14:paraId="5707ECA9" w14:textId="77777777" w:rsidR="009241FB" w:rsidRPr="004635E5" w:rsidRDefault="009241FB" w:rsidP="006633A8">
      <w:pPr>
        <w:pStyle w:val="ListParagraph"/>
        <w:adjustRightInd w:val="0"/>
        <w:snapToGrid w:val="0"/>
        <w:ind w:left="0"/>
        <w:jc w:val="both"/>
        <w:rPr>
          <w:rFonts w:eastAsia="Batang"/>
          <w:sz w:val="22"/>
          <w:szCs w:val="22"/>
          <w:lang w:val="en-NZ" w:eastAsia="ko-KR"/>
        </w:rPr>
      </w:pPr>
    </w:p>
    <w:p w14:paraId="660EE7F5" w14:textId="77777777" w:rsidR="00F55355" w:rsidRPr="004635E5" w:rsidRDefault="00E40D58"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In response to a query from </w:t>
      </w:r>
      <w:r w:rsidR="003346A8" w:rsidRPr="004635E5">
        <w:rPr>
          <w:rFonts w:eastAsia="Batang"/>
          <w:sz w:val="22"/>
          <w:szCs w:val="22"/>
          <w:lang w:val="en-NZ" w:eastAsia="ko-KR"/>
        </w:rPr>
        <w:t>Japan</w:t>
      </w:r>
      <w:r w:rsidRPr="004635E5">
        <w:rPr>
          <w:rFonts w:eastAsia="Batang"/>
          <w:sz w:val="22"/>
          <w:szCs w:val="22"/>
          <w:lang w:val="en-NZ" w:eastAsia="ko-KR"/>
        </w:rPr>
        <w:t xml:space="preserve">, SPC clarified that </w:t>
      </w:r>
      <w:r w:rsidR="0056676D" w:rsidRPr="004635E5">
        <w:rPr>
          <w:rFonts w:eastAsia="Batang"/>
          <w:sz w:val="22"/>
          <w:szCs w:val="22"/>
          <w:lang w:val="en-NZ" w:eastAsia="ko-KR"/>
        </w:rPr>
        <w:t xml:space="preserve">the </w:t>
      </w:r>
      <w:r w:rsidR="0056676D" w:rsidRPr="004635E5">
        <w:rPr>
          <w:rFonts w:eastAsia="Batang"/>
          <w:sz w:val="22"/>
          <w:szCs w:val="22"/>
          <w:lang w:eastAsia="ko-KR"/>
        </w:rPr>
        <w:t xml:space="preserve">models were based on the 2018 re-estimated </w:t>
      </w:r>
      <w:r w:rsidR="004421B3" w:rsidRPr="004635E5">
        <w:rPr>
          <w:rFonts w:eastAsia="Batang"/>
          <w:sz w:val="22"/>
          <w:szCs w:val="22"/>
          <w:lang w:eastAsia="ko-KR"/>
        </w:rPr>
        <w:t xml:space="preserve">bigeye </w:t>
      </w:r>
      <w:r w:rsidR="0056676D" w:rsidRPr="004635E5">
        <w:rPr>
          <w:rFonts w:eastAsia="Batang"/>
          <w:sz w:val="22"/>
          <w:szCs w:val="22"/>
          <w:lang w:eastAsia="ko-KR"/>
        </w:rPr>
        <w:t>stock assessment</w:t>
      </w:r>
      <w:r w:rsidR="0056042A" w:rsidRPr="004635E5">
        <w:rPr>
          <w:rFonts w:eastAsia="Batang"/>
          <w:sz w:val="22"/>
          <w:szCs w:val="22"/>
          <w:lang w:eastAsia="ko-KR"/>
        </w:rPr>
        <w:t>,</w:t>
      </w:r>
      <w:r w:rsidR="0056676D" w:rsidRPr="004635E5">
        <w:rPr>
          <w:rFonts w:eastAsia="Batang"/>
          <w:sz w:val="22"/>
          <w:szCs w:val="22"/>
          <w:lang w:val="en-NZ" w:eastAsia="ko-KR"/>
        </w:rPr>
        <w:t xml:space="preserve"> </w:t>
      </w:r>
      <w:r w:rsidR="0056042A" w:rsidRPr="004635E5">
        <w:rPr>
          <w:rFonts w:eastAsia="Batang"/>
          <w:sz w:val="22"/>
          <w:szCs w:val="22"/>
          <w:lang w:val="en-NZ" w:eastAsia="ko-KR"/>
        </w:rPr>
        <w:t>using</w:t>
      </w:r>
      <w:r w:rsidR="0056676D" w:rsidRPr="004635E5">
        <w:rPr>
          <w:rFonts w:eastAsia="Batang"/>
          <w:sz w:val="22"/>
          <w:szCs w:val="22"/>
          <w:lang w:val="en-NZ" w:eastAsia="ko-KR"/>
        </w:rPr>
        <w:t xml:space="preserve"> </w:t>
      </w:r>
      <w:r w:rsidR="0056042A" w:rsidRPr="004635E5">
        <w:rPr>
          <w:rFonts w:eastAsia="Batang"/>
          <w:sz w:val="22"/>
          <w:szCs w:val="22"/>
          <w:lang w:val="en-NZ" w:eastAsia="ko-KR"/>
        </w:rPr>
        <w:t xml:space="preserve">the </w:t>
      </w:r>
      <w:r w:rsidR="003346A8" w:rsidRPr="004635E5">
        <w:rPr>
          <w:rFonts w:eastAsia="Batang"/>
          <w:sz w:val="22"/>
          <w:szCs w:val="22"/>
          <w:lang w:val="en-NZ" w:eastAsia="ko-KR"/>
        </w:rPr>
        <w:t>updated growth</w:t>
      </w:r>
      <w:r w:rsidR="0056042A" w:rsidRPr="004635E5">
        <w:rPr>
          <w:rFonts w:eastAsia="Batang"/>
          <w:sz w:val="22"/>
          <w:szCs w:val="22"/>
          <w:lang w:val="en-NZ" w:eastAsia="ko-KR"/>
        </w:rPr>
        <w:t xml:space="preserve"> data</w:t>
      </w:r>
      <w:r w:rsidR="0056676D" w:rsidRPr="004635E5">
        <w:rPr>
          <w:rFonts w:eastAsia="Batang"/>
          <w:sz w:val="22"/>
          <w:szCs w:val="22"/>
          <w:lang w:val="en-NZ" w:eastAsia="ko-KR"/>
        </w:rPr>
        <w:t>.</w:t>
      </w:r>
    </w:p>
    <w:p w14:paraId="64E596AA"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56D1F0D7" w14:textId="77777777" w:rsidR="00195D2A" w:rsidRPr="004635E5" w:rsidRDefault="003346A8"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Aus</w:t>
      </w:r>
      <w:r w:rsidR="00E40D58" w:rsidRPr="004635E5">
        <w:rPr>
          <w:rFonts w:eastAsia="Batang"/>
          <w:sz w:val="22"/>
          <w:szCs w:val="22"/>
          <w:lang w:val="en-NZ" w:eastAsia="ko-KR"/>
        </w:rPr>
        <w:t xml:space="preserve">tralia noted the difficulty in </w:t>
      </w:r>
      <w:r w:rsidRPr="004635E5">
        <w:rPr>
          <w:rFonts w:eastAsia="Batang"/>
          <w:sz w:val="22"/>
          <w:szCs w:val="22"/>
          <w:lang w:val="en-NZ" w:eastAsia="ko-KR"/>
        </w:rPr>
        <w:t>interpret</w:t>
      </w:r>
      <w:r w:rsidR="00E40D58" w:rsidRPr="004635E5">
        <w:rPr>
          <w:rFonts w:eastAsia="Batang"/>
          <w:sz w:val="22"/>
          <w:szCs w:val="22"/>
          <w:lang w:val="en-NZ" w:eastAsia="ko-KR"/>
        </w:rPr>
        <w:t>ing</w:t>
      </w:r>
      <w:r w:rsidRPr="004635E5">
        <w:rPr>
          <w:rFonts w:eastAsia="Batang"/>
          <w:sz w:val="22"/>
          <w:szCs w:val="22"/>
          <w:lang w:val="en-NZ" w:eastAsia="ko-KR"/>
        </w:rPr>
        <w:t xml:space="preserve"> some empirical indicators </w:t>
      </w:r>
      <w:r w:rsidR="0056042A" w:rsidRPr="004635E5">
        <w:rPr>
          <w:rFonts w:eastAsia="Batang"/>
          <w:sz w:val="22"/>
          <w:szCs w:val="22"/>
          <w:lang w:val="en-NZ" w:eastAsia="ko-KR"/>
        </w:rPr>
        <w:t xml:space="preserve">without </w:t>
      </w:r>
      <w:r w:rsidRPr="004635E5">
        <w:rPr>
          <w:rFonts w:eastAsia="Batang"/>
          <w:sz w:val="22"/>
          <w:szCs w:val="22"/>
          <w:lang w:val="en-NZ" w:eastAsia="ko-KR"/>
        </w:rPr>
        <w:t>a full assess</w:t>
      </w:r>
      <w:r w:rsidR="00E40D58" w:rsidRPr="004635E5">
        <w:rPr>
          <w:rFonts w:eastAsia="Batang"/>
          <w:sz w:val="22"/>
          <w:szCs w:val="22"/>
          <w:lang w:val="en-NZ" w:eastAsia="ko-KR"/>
        </w:rPr>
        <w:t xml:space="preserve">ment. </w:t>
      </w:r>
      <w:r w:rsidR="0056042A" w:rsidRPr="004635E5">
        <w:rPr>
          <w:rFonts w:eastAsia="Batang"/>
          <w:sz w:val="22"/>
          <w:szCs w:val="22"/>
          <w:lang w:val="en-NZ" w:eastAsia="ko-KR"/>
        </w:rPr>
        <w:t xml:space="preserve">They </w:t>
      </w:r>
      <w:r w:rsidR="00E40D58" w:rsidRPr="004635E5">
        <w:rPr>
          <w:rFonts w:eastAsia="Batang"/>
          <w:sz w:val="22"/>
          <w:szCs w:val="22"/>
          <w:lang w:val="en-NZ" w:eastAsia="ko-KR"/>
        </w:rPr>
        <w:t xml:space="preserve">referred to low </w:t>
      </w:r>
      <w:r w:rsidR="004421B3" w:rsidRPr="004635E5">
        <w:rPr>
          <w:rFonts w:eastAsia="Batang"/>
          <w:sz w:val="22"/>
          <w:szCs w:val="22"/>
          <w:lang w:val="en-NZ" w:eastAsia="ko-KR"/>
        </w:rPr>
        <w:t>bigeye longline</w:t>
      </w:r>
      <w:r w:rsidR="00595205" w:rsidRPr="004635E5">
        <w:rPr>
          <w:rFonts w:eastAsia="Batang"/>
          <w:sz w:val="22"/>
          <w:szCs w:val="22"/>
          <w:lang w:val="en-NZ" w:eastAsia="ko-KR"/>
        </w:rPr>
        <w:t xml:space="preserve"> </w:t>
      </w:r>
      <w:r w:rsidR="00E40D58" w:rsidRPr="004635E5">
        <w:rPr>
          <w:rFonts w:eastAsia="Batang"/>
          <w:sz w:val="22"/>
          <w:szCs w:val="22"/>
          <w:lang w:val="en-NZ" w:eastAsia="ko-KR"/>
        </w:rPr>
        <w:t xml:space="preserve">catch </w:t>
      </w:r>
      <w:r w:rsidR="00595205" w:rsidRPr="004635E5">
        <w:rPr>
          <w:rFonts w:eastAsia="Batang"/>
          <w:sz w:val="22"/>
          <w:szCs w:val="22"/>
          <w:lang w:val="en-NZ" w:eastAsia="ko-KR"/>
        </w:rPr>
        <w:t>in 2017</w:t>
      </w:r>
      <w:r w:rsidR="00E40D58" w:rsidRPr="004635E5">
        <w:rPr>
          <w:rFonts w:eastAsia="Batang"/>
          <w:sz w:val="22"/>
          <w:szCs w:val="22"/>
          <w:lang w:val="en-NZ" w:eastAsia="ko-KR"/>
        </w:rPr>
        <w:t xml:space="preserve">, and declines in </w:t>
      </w:r>
      <w:r w:rsidR="004421B3" w:rsidRPr="004635E5">
        <w:rPr>
          <w:rFonts w:eastAsia="Batang"/>
          <w:sz w:val="22"/>
          <w:szCs w:val="22"/>
          <w:lang w:val="en-NZ" w:eastAsia="ko-KR"/>
        </w:rPr>
        <w:t xml:space="preserve">bigeye </w:t>
      </w:r>
      <w:r w:rsidR="00837078" w:rsidRPr="004635E5">
        <w:rPr>
          <w:rFonts w:eastAsia="Batang"/>
          <w:sz w:val="22"/>
          <w:szCs w:val="22"/>
          <w:lang w:val="en-NZ" w:eastAsia="ko-KR"/>
        </w:rPr>
        <w:t>purse seine</w:t>
      </w:r>
      <w:r w:rsidR="00595205" w:rsidRPr="004635E5">
        <w:rPr>
          <w:rFonts w:eastAsia="Batang"/>
          <w:sz w:val="22"/>
          <w:szCs w:val="22"/>
          <w:lang w:val="en-NZ" w:eastAsia="ko-KR"/>
        </w:rPr>
        <w:t xml:space="preserve"> CPUE</w:t>
      </w:r>
      <w:r w:rsidR="00E40D58" w:rsidRPr="004635E5">
        <w:rPr>
          <w:rFonts w:eastAsia="Batang"/>
          <w:sz w:val="22"/>
          <w:szCs w:val="22"/>
          <w:lang w:val="en-NZ" w:eastAsia="ko-KR"/>
        </w:rPr>
        <w:t xml:space="preserve">, with the understanding that these may be impacted by </w:t>
      </w:r>
      <w:r w:rsidR="00595205" w:rsidRPr="004635E5">
        <w:rPr>
          <w:rFonts w:eastAsia="Batang"/>
          <w:sz w:val="22"/>
          <w:szCs w:val="22"/>
          <w:lang w:val="en-NZ" w:eastAsia="ko-KR"/>
        </w:rPr>
        <w:t>management</w:t>
      </w:r>
      <w:r w:rsidR="00E40D58" w:rsidRPr="004635E5">
        <w:rPr>
          <w:rFonts w:eastAsia="Batang"/>
          <w:sz w:val="22"/>
          <w:szCs w:val="22"/>
          <w:lang w:val="en-NZ" w:eastAsia="ko-KR"/>
        </w:rPr>
        <w:t>, and noted that taken c</w:t>
      </w:r>
      <w:r w:rsidR="00595205" w:rsidRPr="004635E5">
        <w:rPr>
          <w:rFonts w:eastAsia="Batang"/>
          <w:sz w:val="22"/>
          <w:szCs w:val="22"/>
          <w:lang w:val="en-NZ" w:eastAsia="ko-KR"/>
        </w:rPr>
        <w:t>ollective</w:t>
      </w:r>
      <w:r w:rsidR="00E40D58" w:rsidRPr="004635E5">
        <w:rPr>
          <w:rFonts w:eastAsia="Batang"/>
          <w:sz w:val="22"/>
          <w:szCs w:val="22"/>
          <w:lang w:val="en-NZ" w:eastAsia="ko-KR"/>
        </w:rPr>
        <w:t xml:space="preserve">ly </w:t>
      </w:r>
      <w:r w:rsidR="00595205" w:rsidRPr="004635E5">
        <w:rPr>
          <w:rFonts w:eastAsia="Batang"/>
          <w:sz w:val="22"/>
          <w:szCs w:val="22"/>
          <w:lang w:val="en-NZ" w:eastAsia="ko-KR"/>
        </w:rPr>
        <w:t xml:space="preserve">some indicators in 2017 </w:t>
      </w:r>
      <w:r w:rsidR="00E40D58" w:rsidRPr="004635E5">
        <w:rPr>
          <w:rFonts w:eastAsia="Batang"/>
          <w:sz w:val="22"/>
          <w:szCs w:val="22"/>
          <w:lang w:val="en-NZ" w:eastAsia="ko-KR"/>
        </w:rPr>
        <w:t xml:space="preserve">may </w:t>
      </w:r>
      <w:r w:rsidR="00595205" w:rsidRPr="004635E5">
        <w:rPr>
          <w:rFonts w:eastAsia="Batang"/>
          <w:sz w:val="22"/>
          <w:szCs w:val="22"/>
          <w:lang w:val="en-NZ" w:eastAsia="ko-KR"/>
        </w:rPr>
        <w:t xml:space="preserve">show a poor series of cohorts going </w:t>
      </w:r>
      <w:r w:rsidR="00E40D58" w:rsidRPr="004635E5">
        <w:rPr>
          <w:rFonts w:eastAsia="Batang"/>
          <w:sz w:val="22"/>
          <w:szCs w:val="22"/>
          <w:lang w:val="en-NZ" w:eastAsia="ko-KR"/>
        </w:rPr>
        <w:t xml:space="preserve">through </w:t>
      </w:r>
      <w:r w:rsidR="00595205" w:rsidRPr="004635E5">
        <w:rPr>
          <w:rFonts w:eastAsia="Batang"/>
          <w:sz w:val="22"/>
          <w:szCs w:val="22"/>
          <w:lang w:val="en-NZ" w:eastAsia="ko-KR"/>
        </w:rPr>
        <w:t>fi</w:t>
      </w:r>
      <w:r w:rsidR="00E40D58" w:rsidRPr="004635E5">
        <w:rPr>
          <w:rFonts w:eastAsia="Batang"/>
          <w:sz w:val="22"/>
          <w:szCs w:val="22"/>
          <w:lang w:val="en-NZ" w:eastAsia="ko-KR"/>
        </w:rPr>
        <w:t>sheries</w:t>
      </w:r>
      <w:r w:rsidR="00595205" w:rsidRPr="004635E5">
        <w:rPr>
          <w:rFonts w:eastAsia="Batang"/>
          <w:sz w:val="22"/>
          <w:szCs w:val="22"/>
          <w:lang w:val="en-NZ" w:eastAsia="ko-KR"/>
        </w:rPr>
        <w:t xml:space="preserve">. </w:t>
      </w:r>
      <w:r w:rsidR="00E40D58" w:rsidRPr="004635E5">
        <w:rPr>
          <w:rFonts w:eastAsia="Batang"/>
          <w:sz w:val="22"/>
          <w:szCs w:val="22"/>
          <w:lang w:val="en-NZ" w:eastAsia="ko-KR"/>
        </w:rPr>
        <w:t>S</w:t>
      </w:r>
      <w:r w:rsidR="00B226BE" w:rsidRPr="004635E5">
        <w:rPr>
          <w:rFonts w:eastAsia="Batang"/>
          <w:sz w:val="22"/>
          <w:szCs w:val="22"/>
          <w:lang w:val="en-NZ" w:eastAsia="ko-KR"/>
        </w:rPr>
        <w:t>PC</w:t>
      </w:r>
      <w:r w:rsidR="00E40D58" w:rsidRPr="004635E5">
        <w:rPr>
          <w:rFonts w:eastAsia="Batang"/>
          <w:sz w:val="22"/>
          <w:szCs w:val="22"/>
          <w:lang w:val="en-NZ" w:eastAsia="ko-KR"/>
        </w:rPr>
        <w:t xml:space="preserve"> </w:t>
      </w:r>
      <w:r w:rsidR="00195D2A" w:rsidRPr="004635E5">
        <w:rPr>
          <w:rFonts w:eastAsia="Batang"/>
          <w:sz w:val="22"/>
          <w:szCs w:val="22"/>
          <w:lang w:val="en-NZ" w:eastAsia="ko-KR"/>
        </w:rPr>
        <w:t xml:space="preserve">noted that the </w:t>
      </w:r>
      <w:r w:rsidR="00595205" w:rsidRPr="004635E5">
        <w:rPr>
          <w:rFonts w:eastAsia="Batang"/>
          <w:sz w:val="22"/>
          <w:szCs w:val="22"/>
          <w:lang w:val="en-NZ" w:eastAsia="ko-KR"/>
        </w:rPr>
        <w:t xml:space="preserve">last data point </w:t>
      </w:r>
      <w:r w:rsidR="00195D2A" w:rsidRPr="004635E5">
        <w:rPr>
          <w:rFonts w:eastAsia="Batang"/>
          <w:sz w:val="22"/>
          <w:szCs w:val="22"/>
          <w:lang w:val="en-NZ" w:eastAsia="ko-KR"/>
        </w:rPr>
        <w:t xml:space="preserve">should not be weighted </w:t>
      </w:r>
      <w:r w:rsidR="00595205" w:rsidRPr="004635E5">
        <w:rPr>
          <w:rFonts w:eastAsia="Batang"/>
          <w:sz w:val="22"/>
          <w:szCs w:val="22"/>
          <w:lang w:val="en-NZ" w:eastAsia="ko-KR"/>
        </w:rPr>
        <w:t xml:space="preserve">too heavily, </w:t>
      </w:r>
      <w:r w:rsidR="00195D2A" w:rsidRPr="004635E5">
        <w:rPr>
          <w:rFonts w:eastAsia="Batang"/>
          <w:sz w:val="22"/>
          <w:szCs w:val="22"/>
          <w:lang w:val="en-NZ" w:eastAsia="ko-KR"/>
        </w:rPr>
        <w:t>as more</w:t>
      </w:r>
      <w:r w:rsidR="00595205" w:rsidRPr="004635E5">
        <w:rPr>
          <w:rFonts w:eastAsia="Batang"/>
          <w:sz w:val="22"/>
          <w:szCs w:val="22"/>
          <w:lang w:val="en-NZ" w:eastAsia="ko-KR"/>
        </w:rPr>
        <w:t xml:space="preserve"> data </w:t>
      </w:r>
      <w:r w:rsidR="00195D2A" w:rsidRPr="004635E5">
        <w:rPr>
          <w:rFonts w:eastAsia="Batang"/>
          <w:sz w:val="22"/>
          <w:szCs w:val="22"/>
          <w:lang w:val="en-NZ" w:eastAsia="ko-KR"/>
        </w:rPr>
        <w:t xml:space="preserve">would be included, and these were </w:t>
      </w:r>
      <w:r w:rsidR="00595205" w:rsidRPr="004635E5">
        <w:rPr>
          <w:rFonts w:eastAsia="Batang"/>
          <w:sz w:val="22"/>
          <w:szCs w:val="22"/>
          <w:lang w:val="en-NZ" w:eastAsia="ko-KR"/>
        </w:rPr>
        <w:t>un</w:t>
      </w:r>
      <w:r w:rsidR="0056042A" w:rsidRPr="004635E5">
        <w:rPr>
          <w:rFonts w:eastAsia="Batang"/>
          <w:sz w:val="22"/>
          <w:szCs w:val="22"/>
          <w:lang w:val="en-NZ" w:eastAsia="ko-KR"/>
        </w:rPr>
        <w:t>-</w:t>
      </w:r>
      <w:r w:rsidR="00595205" w:rsidRPr="004635E5">
        <w:rPr>
          <w:rFonts w:eastAsia="Batang"/>
          <w:sz w:val="22"/>
          <w:szCs w:val="22"/>
          <w:lang w:val="en-NZ" w:eastAsia="ko-KR"/>
        </w:rPr>
        <w:t>s</w:t>
      </w:r>
      <w:r w:rsidR="0056042A" w:rsidRPr="004635E5">
        <w:rPr>
          <w:rFonts w:eastAsia="Batang"/>
          <w:sz w:val="22"/>
          <w:szCs w:val="22"/>
          <w:lang w:val="en-NZ" w:eastAsia="ko-KR"/>
        </w:rPr>
        <w:t>tandardiz</w:t>
      </w:r>
      <w:r w:rsidR="00195D2A" w:rsidRPr="004635E5">
        <w:rPr>
          <w:rFonts w:eastAsia="Batang"/>
          <w:sz w:val="22"/>
          <w:szCs w:val="22"/>
          <w:lang w:val="en-NZ" w:eastAsia="ko-KR"/>
        </w:rPr>
        <w:t xml:space="preserve">ed </w:t>
      </w:r>
      <w:r w:rsidR="00595205" w:rsidRPr="004635E5">
        <w:rPr>
          <w:rFonts w:eastAsia="Batang"/>
          <w:sz w:val="22"/>
          <w:szCs w:val="22"/>
          <w:lang w:val="en-NZ" w:eastAsia="ko-KR"/>
        </w:rPr>
        <w:t xml:space="preserve">CPUE data from the </w:t>
      </w:r>
      <w:r w:rsidR="00837078" w:rsidRPr="004635E5">
        <w:rPr>
          <w:rFonts w:eastAsia="Batang"/>
          <w:sz w:val="22"/>
          <w:szCs w:val="22"/>
          <w:lang w:val="en-NZ" w:eastAsia="ko-KR"/>
        </w:rPr>
        <w:t>purse seine</w:t>
      </w:r>
      <w:r w:rsidR="00595205" w:rsidRPr="004635E5">
        <w:rPr>
          <w:rFonts w:eastAsia="Batang"/>
          <w:sz w:val="22"/>
          <w:szCs w:val="22"/>
          <w:lang w:val="en-NZ" w:eastAsia="ko-KR"/>
        </w:rPr>
        <w:t xml:space="preserve"> fishery. Thus </w:t>
      </w:r>
      <w:r w:rsidR="00195D2A" w:rsidRPr="004635E5">
        <w:rPr>
          <w:rFonts w:eastAsia="Batang"/>
          <w:sz w:val="22"/>
          <w:szCs w:val="22"/>
          <w:lang w:val="en-NZ" w:eastAsia="ko-KR"/>
        </w:rPr>
        <w:t xml:space="preserve">it was preferable to carry out analysis in a </w:t>
      </w:r>
      <w:r w:rsidR="00656FD8" w:rsidRPr="004635E5">
        <w:rPr>
          <w:rFonts w:eastAsia="Batang"/>
          <w:sz w:val="22"/>
          <w:szCs w:val="22"/>
          <w:lang w:val="en-NZ" w:eastAsia="ko-KR"/>
        </w:rPr>
        <w:t>stock assessment</w:t>
      </w:r>
      <w:r w:rsidR="00595205" w:rsidRPr="004635E5">
        <w:rPr>
          <w:rFonts w:eastAsia="Batang"/>
          <w:sz w:val="22"/>
          <w:szCs w:val="22"/>
          <w:lang w:val="en-NZ" w:eastAsia="ko-KR"/>
        </w:rPr>
        <w:t xml:space="preserve"> </w:t>
      </w:r>
      <w:r w:rsidR="00195D2A" w:rsidRPr="004635E5">
        <w:rPr>
          <w:rFonts w:eastAsia="Batang"/>
          <w:sz w:val="22"/>
          <w:szCs w:val="22"/>
          <w:lang w:val="en-NZ" w:eastAsia="ko-KR"/>
        </w:rPr>
        <w:t>m</w:t>
      </w:r>
      <w:r w:rsidR="00595205" w:rsidRPr="004635E5">
        <w:rPr>
          <w:rFonts w:eastAsia="Batang"/>
          <w:sz w:val="22"/>
          <w:szCs w:val="22"/>
          <w:lang w:val="en-NZ" w:eastAsia="ko-KR"/>
        </w:rPr>
        <w:t xml:space="preserve">odel, </w:t>
      </w:r>
      <w:r w:rsidR="00195D2A" w:rsidRPr="004635E5">
        <w:rPr>
          <w:rFonts w:eastAsia="Batang"/>
          <w:sz w:val="22"/>
          <w:szCs w:val="22"/>
          <w:lang w:val="en-NZ" w:eastAsia="ko-KR"/>
        </w:rPr>
        <w:t xml:space="preserve">which </w:t>
      </w:r>
      <w:r w:rsidR="00595205" w:rsidRPr="004635E5">
        <w:rPr>
          <w:rFonts w:eastAsia="Batang"/>
          <w:sz w:val="22"/>
          <w:szCs w:val="22"/>
          <w:lang w:val="en-NZ" w:eastAsia="ko-KR"/>
        </w:rPr>
        <w:t>look</w:t>
      </w:r>
      <w:r w:rsidR="00195D2A" w:rsidRPr="004635E5">
        <w:rPr>
          <w:rFonts w:eastAsia="Batang"/>
          <w:sz w:val="22"/>
          <w:szCs w:val="22"/>
          <w:lang w:val="en-NZ" w:eastAsia="ko-KR"/>
        </w:rPr>
        <w:t>s</w:t>
      </w:r>
      <w:r w:rsidR="00595205" w:rsidRPr="004635E5">
        <w:rPr>
          <w:rFonts w:eastAsia="Batang"/>
          <w:sz w:val="22"/>
          <w:szCs w:val="22"/>
          <w:lang w:val="en-NZ" w:eastAsia="ko-KR"/>
        </w:rPr>
        <w:t xml:space="preserve"> at variables over time. </w:t>
      </w:r>
      <w:r w:rsidR="00CD1A5E" w:rsidRPr="004635E5">
        <w:rPr>
          <w:rFonts w:eastAsia="Batang"/>
          <w:sz w:val="22"/>
          <w:szCs w:val="22"/>
          <w:lang w:val="en-NZ" w:eastAsia="ko-KR"/>
        </w:rPr>
        <w:t xml:space="preserve">The </w:t>
      </w:r>
      <w:r w:rsidR="00595205" w:rsidRPr="004635E5">
        <w:rPr>
          <w:rFonts w:eastAsia="Batang"/>
          <w:sz w:val="22"/>
          <w:szCs w:val="22"/>
          <w:lang w:val="en-NZ" w:eastAsia="ko-KR"/>
        </w:rPr>
        <w:t xml:space="preserve">data </w:t>
      </w:r>
      <w:r w:rsidR="00CD1A5E" w:rsidRPr="004635E5">
        <w:rPr>
          <w:rFonts w:eastAsia="Batang"/>
          <w:sz w:val="22"/>
          <w:szCs w:val="22"/>
          <w:lang w:val="en-NZ" w:eastAsia="ko-KR"/>
        </w:rPr>
        <w:t xml:space="preserve">presented </w:t>
      </w:r>
      <w:r w:rsidR="00195D2A" w:rsidRPr="004635E5">
        <w:rPr>
          <w:rFonts w:eastAsia="Batang"/>
          <w:sz w:val="22"/>
          <w:szCs w:val="22"/>
          <w:lang w:val="en-NZ" w:eastAsia="ko-KR"/>
        </w:rPr>
        <w:t xml:space="preserve">were </w:t>
      </w:r>
      <w:r w:rsidR="00595205" w:rsidRPr="004635E5">
        <w:rPr>
          <w:rFonts w:eastAsia="Batang"/>
          <w:sz w:val="22"/>
          <w:szCs w:val="22"/>
          <w:lang w:val="en-NZ" w:eastAsia="ko-KR"/>
        </w:rPr>
        <w:t xml:space="preserve">meant to </w:t>
      </w:r>
      <w:r w:rsidR="00195D2A" w:rsidRPr="004635E5">
        <w:rPr>
          <w:rFonts w:eastAsia="Batang"/>
          <w:sz w:val="22"/>
          <w:szCs w:val="22"/>
          <w:lang w:val="en-NZ" w:eastAsia="ko-KR"/>
        </w:rPr>
        <w:t xml:space="preserve">detect any large </w:t>
      </w:r>
      <w:r w:rsidR="00595205" w:rsidRPr="004635E5">
        <w:rPr>
          <w:rFonts w:eastAsia="Batang"/>
          <w:sz w:val="22"/>
          <w:szCs w:val="22"/>
          <w:lang w:val="en-NZ" w:eastAsia="ko-KR"/>
        </w:rPr>
        <w:t>shift</w:t>
      </w:r>
      <w:r w:rsidR="00195D2A" w:rsidRPr="004635E5">
        <w:rPr>
          <w:rFonts w:eastAsia="Batang"/>
          <w:sz w:val="22"/>
          <w:szCs w:val="22"/>
          <w:lang w:val="en-NZ" w:eastAsia="ko-KR"/>
        </w:rPr>
        <w:t>s</w:t>
      </w:r>
      <w:r w:rsidR="00595205" w:rsidRPr="004635E5">
        <w:rPr>
          <w:rFonts w:eastAsia="Batang"/>
          <w:sz w:val="22"/>
          <w:szCs w:val="22"/>
          <w:lang w:val="en-NZ" w:eastAsia="ko-KR"/>
        </w:rPr>
        <w:t xml:space="preserve"> between SAs. </w:t>
      </w:r>
    </w:p>
    <w:p w14:paraId="4F115653"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67298F68" w14:textId="77777777" w:rsidR="00B226BE" w:rsidRPr="004635E5" w:rsidRDefault="0056042A"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In response to a query from the </w:t>
      </w:r>
      <w:r w:rsidR="00195D2A" w:rsidRPr="004635E5">
        <w:rPr>
          <w:rFonts w:eastAsia="Batang"/>
          <w:sz w:val="22"/>
          <w:szCs w:val="22"/>
          <w:lang w:val="en-NZ" w:eastAsia="ko-KR"/>
        </w:rPr>
        <w:t>Philippines</w:t>
      </w:r>
      <w:r w:rsidRPr="004635E5">
        <w:rPr>
          <w:rFonts w:eastAsia="Batang"/>
          <w:sz w:val="22"/>
          <w:szCs w:val="22"/>
          <w:lang w:val="en-NZ" w:eastAsia="ko-KR"/>
        </w:rPr>
        <w:t xml:space="preserve"> regarding </w:t>
      </w:r>
      <w:r w:rsidR="00837078" w:rsidRPr="004635E5">
        <w:rPr>
          <w:rFonts w:eastAsia="Batang"/>
          <w:sz w:val="22"/>
          <w:szCs w:val="22"/>
          <w:lang w:val="en-NZ" w:eastAsia="ko-KR"/>
        </w:rPr>
        <w:t>purse seine</w:t>
      </w:r>
      <w:r w:rsidRPr="004635E5">
        <w:rPr>
          <w:rFonts w:eastAsia="Batang"/>
          <w:sz w:val="22"/>
          <w:szCs w:val="22"/>
          <w:lang w:val="en-NZ" w:eastAsia="ko-KR"/>
        </w:rPr>
        <w:t xml:space="preserve"> CPUE,</w:t>
      </w:r>
      <w:r w:rsidR="00195D2A" w:rsidRPr="004635E5">
        <w:rPr>
          <w:rFonts w:eastAsia="Batang"/>
          <w:sz w:val="22"/>
          <w:szCs w:val="22"/>
          <w:lang w:val="en-NZ" w:eastAsia="ko-KR"/>
        </w:rPr>
        <w:t xml:space="preserve"> S</w:t>
      </w:r>
      <w:r w:rsidR="00B226BE" w:rsidRPr="004635E5">
        <w:rPr>
          <w:rFonts w:eastAsia="Batang"/>
          <w:sz w:val="22"/>
          <w:szCs w:val="22"/>
          <w:lang w:val="en-NZ" w:eastAsia="ko-KR"/>
        </w:rPr>
        <w:t>PC</w:t>
      </w:r>
      <w:r w:rsidR="00195D2A" w:rsidRPr="004635E5">
        <w:rPr>
          <w:rFonts w:eastAsia="Batang"/>
          <w:sz w:val="22"/>
          <w:szCs w:val="22"/>
          <w:lang w:val="en-NZ" w:eastAsia="ko-KR"/>
        </w:rPr>
        <w:t xml:space="preserve"> noted that </w:t>
      </w:r>
      <w:r w:rsidRPr="004635E5">
        <w:rPr>
          <w:rFonts w:eastAsia="Batang"/>
          <w:sz w:val="22"/>
          <w:szCs w:val="22"/>
          <w:lang w:val="en-NZ" w:eastAsia="ko-KR"/>
        </w:rPr>
        <w:t xml:space="preserve">CPUE </w:t>
      </w:r>
      <w:r w:rsidR="00595205" w:rsidRPr="004635E5">
        <w:rPr>
          <w:rFonts w:eastAsia="Batang"/>
          <w:sz w:val="22"/>
          <w:szCs w:val="22"/>
          <w:lang w:val="en-NZ" w:eastAsia="ko-KR"/>
        </w:rPr>
        <w:t xml:space="preserve">trends in fisheries related to size data </w:t>
      </w:r>
      <w:r w:rsidR="00195D2A" w:rsidRPr="004635E5">
        <w:rPr>
          <w:rFonts w:eastAsia="Batang"/>
          <w:sz w:val="22"/>
          <w:szCs w:val="22"/>
          <w:lang w:val="en-NZ" w:eastAsia="ko-KR"/>
        </w:rPr>
        <w:t xml:space="preserve">were </w:t>
      </w:r>
      <w:r w:rsidR="00595205" w:rsidRPr="004635E5">
        <w:rPr>
          <w:rFonts w:eastAsia="Batang"/>
          <w:sz w:val="22"/>
          <w:szCs w:val="22"/>
          <w:lang w:val="en-NZ" w:eastAsia="ko-KR"/>
        </w:rPr>
        <w:t>hard to interpret collective</w:t>
      </w:r>
      <w:r w:rsidR="00195D2A" w:rsidRPr="004635E5">
        <w:rPr>
          <w:rFonts w:eastAsia="Batang"/>
          <w:sz w:val="22"/>
          <w:szCs w:val="22"/>
          <w:lang w:val="en-NZ" w:eastAsia="ko-KR"/>
        </w:rPr>
        <w:t>ly</w:t>
      </w:r>
      <w:r w:rsidR="00595205" w:rsidRPr="004635E5">
        <w:rPr>
          <w:rFonts w:eastAsia="Batang"/>
          <w:sz w:val="22"/>
          <w:szCs w:val="22"/>
          <w:lang w:val="en-NZ" w:eastAsia="ko-KR"/>
        </w:rPr>
        <w:t xml:space="preserve">, </w:t>
      </w:r>
      <w:r w:rsidR="00195D2A" w:rsidRPr="004635E5">
        <w:rPr>
          <w:rFonts w:eastAsia="Batang"/>
          <w:sz w:val="22"/>
          <w:szCs w:val="22"/>
          <w:lang w:val="en-NZ" w:eastAsia="ko-KR"/>
        </w:rPr>
        <w:t xml:space="preserve">and </w:t>
      </w:r>
      <w:r w:rsidRPr="004635E5">
        <w:rPr>
          <w:rFonts w:eastAsia="Batang"/>
          <w:sz w:val="22"/>
          <w:szCs w:val="22"/>
          <w:lang w:val="en-NZ" w:eastAsia="ko-KR"/>
        </w:rPr>
        <w:t xml:space="preserve">were </w:t>
      </w:r>
      <w:r w:rsidR="00595205" w:rsidRPr="004635E5">
        <w:rPr>
          <w:rFonts w:eastAsia="Batang"/>
          <w:sz w:val="22"/>
          <w:szCs w:val="22"/>
          <w:lang w:val="en-NZ" w:eastAsia="ko-KR"/>
        </w:rPr>
        <w:t xml:space="preserve">thus </w:t>
      </w:r>
      <w:r w:rsidR="00195D2A" w:rsidRPr="004635E5">
        <w:rPr>
          <w:rFonts w:eastAsia="Batang"/>
          <w:sz w:val="22"/>
          <w:szCs w:val="22"/>
          <w:lang w:val="en-NZ" w:eastAsia="ko-KR"/>
        </w:rPr>
        <w:t>examined using Multifan CL</w:t>
      </w:r>
      <w:r w:rsidRPr="004635E5">
        <w:rPr>
          <w:rFonts w:eastAsia="Batang"/>
          <w:sz w:val="22"/>
          <w:szCs w:val="22"/>
          <w:lang w:val="en-NZ" w:eastAsia="ko-KR"/>
        </w:rPr>
        <w:t>, with s</w:t>
      </w:r>
      <w:r w:rsidR="00195D2A" w:rsidRPr="004635E5">
        <w:rPr>
          <w:rFonts w:eastAsia="Batang"/>
          <w:sz w:val="22"/>
          <w:szCs w:val="22"/>
          <w:lang w:val="en-NZ" w:eastAsia="ko-KR"/>
        </w:rPr>
        <w:t xml:space="preserve">ome differences </w:t>
      </w:r>
      <w:r w:rsidR="00595205" w:rsidRPr="004635E5">
        <w:rPr>
          <w:rFonts w:eastAsia="Batang"/>
          <w:sz w:val="22"/>
          <w:szCs w:val="22"/>
          <w:lang w:val="en-NZ" w:eastAsia="ko-KR"/>
        </w:rPr>
        <w:t>due to sampling.</w:t>
      </w:r>
    </w:p>
    <w:p w14:paraId="406F8024"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1093CC7B" w14:textId="77777777" w:rsidR="007D30BB" w:rsidRPr="004635E5" w:rsidRDefault="007D30BB" w:rsidP="00D46B39">
      <w:pPr>
        <w:pStyle w:val="SCa1"/>
        <w:tabs>
          <w:tab w:val="clear" w:pos="1080"/>
        </w:tabs>
        <w:spacing w:after="0"/>
        <w:ind w:left="720" w:firstLine="0"/>
      </w:pPr>
      <w:r w:rsidRPr="004635E5">
        <w:t xml:space="preserve">Bigeye tuna stock assessment update </w:t>
      </w:r>
    </w:p>
    <w:p w14:paraId="111857A3" w14:textId="77777777" w:rsidR="00D73BF8" w:rsidRPr="004635E5" w:rsidRDefault="00D73BF8" w:rsidP="006633A8">
      <w:pPr>
        <w:pStyle w:val="SCa1"/>
        <w:numPr>
          <w:ilvl w:val="0"/>
          <w:numId w:val="0"/>
        </w:numPr>
        <w:spacing w:after="0"/>
        <w:ind w:left="1440"/>
      </w:pPr>
    </w:p>
    <w:p w14:paraId="6DE6D098" w14:textId="77777777" w:rsidR="005C68D7" w:rsidRPr="004635E5" w:rsidRDefault="00B226BE" w:rsidP="00580EA4">
      <w:pPr>
        <w:numPr>
          <w:ilvl w:val="0"/>
          <w:numId w:val="18"/>
        </w:numPr>
        <w:autoSpaceDE w:val="0"/>
        <w:autoSpaceDN w:val="0"/>
        <w:adjustRightInd w:val="0"/>
        <w:snapToGrid w:val="0"/>
        <w:ind w:left="0" w:firstLine="0"/>
        <w:jc w:val="both"/>
        <w:rPr>
          <w:rFonts w:eastAsia="Batang"/>
          <w:sz w:val="22"/>
          <w:szCs w:val="22"/>
          <w:lang w:val="en-AU" w:eastAsia="ko-KR"/>
        </w:rPr>
      </w:pPr>
      <w:r w:rsidRPr="004635E5">
        <w:rPr>
          <w:rFonts w:eastAsia="Batang"/>
          <w:sz w:val="22"/>
          <w:szCs w:val="22"/>
          <w:lang w:val="en-NZ" w:eastAsia="ko-KR"/>
        </w:rPr>
        <w:t xml:space="preserve">M Vincent </w:t>
      </w:r>
      <w:r w:rsidR="00202EA7">
        <w:rPr>
          <w:rFonts w:eastAsia="Batang" w:hint="eastAsia"/>
          <w:sz w:val="22"/>
          <w:szCs w:val="22"/>
          <w:lang w:val="en-NZ" w:eastAsia="ko-KR"/>
        </w:rPr>
        <w:t xml:space="preserve">(SPC) </w:t>
      </w:r>
      <w:r w:rsidRPr="004635E5">
        <w:rPr>
          <w:rFonts w:eastAsia="Batang"/>
          <w:sz w:val="22"/>
          <w:szCs w:val="22"/>
          <w:lang w:val="en-NZ" w:eastAsia="ko-KR"/>
        </w:rPr>
        <w:t xml:space="preserve">introduced </w:t>
      </w:r>
      <w:r w:rsidR="005C68D7" w:rsidRPr="004635E5">
        <w:rPr>
          <w:rFonts w:eastAsia="Batang"/>
          <w:b/>
          <w:sz w:val="22"/>
          <w:szCs w:val="22"/>
          <w:lang w:val="en-NZ" w:eastAsia="ko-KR"/>
        </w:rPr>
        <w:t>SC14-</w:t>
      </w:r>
      <w:r w:rsidR="00CE5CE2" w:rsidRPr="004635E5">
        <w:rPr>
          <w:rFonts w:eastAsia="Batang"/>
          <w:b/>
          <w:sz w:val="22"/>
          <w:szCs w:val="22"/>
          <w:lang w:val="en-NZ" w:eastAsia="ko-KR"/>
        </w:rPr>
        <w:t>SA-WP-03</w:t>
      </w:r>
      <w:r w:rsidR="002A1BED" w:rsidRPr="004635E5">
        <w:rPr>
          <w:rFonts w:eastAsia="Batang"/>
          <w:sz w:val="22"/>
          <w:szCs w:val="22"/>
          <w:lang w:val="en-NZ" w:eastAsia="ko-KR"/>
        </w:rPr>
        <w:t xml:space="preserve"> </w:t>
      </w:r>
      <w:r w:rsidR="002A1BED" w:rsidRPr="004635E5">
        <w:rPr>
          <w:rFonts w:eastAsia="Batang"/>
          <w:i/>
          <w:sz w:val="22"/>
          <w:szCs w:val="22"/>
          <w:lang w:eastAsia="ko-KR"/>
        </w:rPr>
        <w:t>Incorporation of updated growth information within the 2017 WCPO bigeye stock assessment grid, and examination of the sensitivity of estimates to alternative model spatial structures</w:t>
      </w:r>
      <w:r w:rsidR="002A1BED" w:rsidRPr="004635E5">
        <w:rPr>
          <w:rFonts w:eastAsia="Batang"/>
          <w:sz w:val="22"/>
          <w:szCs w:val="22"/>
          <w:lang w:eastAsia="ko-KR"/>
        </w:rPr>
        <w:t xml:space="preserve">, with additional information in </w:t>
      </w:r>
      <w:r w:rsidR="00797E2B">
        <w:rPr>
          <w:rFonts w:eastAsia="Batang"/>
          <w:sz w:val="22"/>
          <w:szCs w:val="22"/>
          <w:lang w:eastAsia="ko-KR"/>
        </w:rPr>
        <w:t>SC14-</w:t>
      </w:r>
      <w:r w:rsidR="002A1BED" w:rsidRPr="004635E5">
        <w:rPr>
          <w:rFonts w:eastAsia="Batang"/>
          <w:sz w:val="22"/>
          <w:szCs w:val="22"/>
          <w:lang w:eastAsia="ko-KR"/>
        </w:rPr>
        <w:t xml:space="preserve">SA-IP-01 </w:t>
      </w:r>
      <w:r w:rsidR="002A1BED" w:rsidRPr="004635E5">
        <w:rPr>
          <w:rFonts w:eastAsia="Batang"/>
          <w:sz w:val="22"/>
          <w:szCs w:val="22"/>
          <w:lang w:val="en-NZ" w:eastAsia="ko-KR"/>
        </w:rPr>
        <w:t xml:space="preserve">Pilling G. and S. Brouwer. </w:t>
      </w:r>
      <w:r w:rsidR="002A1BED" w:rsidRPr="004635E5">
        <w:rPr>
          <w:rFonts w:eastAsia="Batang"/>
          <w:i/>
          <w:sz w:val="22"/>
          <w:szCs w:val="22"/>
          <w:lang w:val="en-NZ" w:eastAsia="ko-KR"/>
        </w:rPr>
        <w:t>Report from the SPC pre-assessment workshop, Noumea, April 2018.</w:t>
      </w:r>
      <w:r w:rsidR="0056042A" w:rsidRPr="004635E5">
        <w:rPr>
          <w:rFonts w:eastAsia="Batang"/>
          <w:i/>
          <w:sz w:val="22"/>
          <w:szCs w:val="22"/>
          <w:lang w:val="en-NZ" w:eastAsia="ko-KR"/>
        </w:rPr>
        <w:t xml:space="preserve"> </w:t>
      </w:r>
      <w:r w:rsidR="0056042A" w:rsidRPr="004635E5">
        <w:rPr>
          <w:rFonts w:eastAsia="Batang"/>
          <w:sz w:val="22"/>
          <w:szCs w:val="22"/>
          <w:lang w:val="en-AU" w:eastAsia="ko-KR"/>
        </w:rPr>
        <w:t>The paper describes</w:t>
      </w:r>
      <w:r w:rsidR="005C68D7" w:rsidRPr="004635E5">
        <w:rPr>
          <w:rFonts w:eastAsia="Batang"/>
          <w:sz w:val="22"/>
          <w:szCs w:val="22"/>
          <w:lang w:val="en-AU" w:eastAsia="ko-KR"/>
        </w:rPr>
        <w:t xml:space="preserve"> the 2018 re-evaluation of bigeye tuna (</w:t>
      </w:r>
      <w:r w:rsidR="005C68D7" w:rsidRPr="004635E5">
        <w:rPr>
          <w:rFonts w:eastAsia="Batang"/>
          <w:i/>
          <w:sz w:val="22"/>
          <w:szCs w:val="22"/>
          <w:lang w:val="en-AU" w:eastAsia="ko-KR"/>
        </w:rPr>
        <w:t>Thunnus obesus</w:t>
      </w:r>
      <w:r w:rsidR="005C68D7" w:rsidRPr="004635E5">
        <w:rPr>
          <w:rFonts w:eastAsia="Batang"/>
          <w:sz w:val="22"/>
          <w:szCs w:val="22"/>
          <w:lang w:val="en-AU" w:eastAsia="ko-KR"/>
        </w:rPr>
        <w:t xml:space="preserve">) in the western and central Pacific Ocean, incorporating the updated </w:t>
      </w:r>
      <w:r w:rsidR="004156A3">
        <w:rPr>
          <w:rFonts w:eastAsia="Batang" w:hint="eastAsia"/>
          <w:sz w:val="22"/>
          <w:szCs w:val="22"/>
          <w:lang w:val="en-AU" w:eastAsia="ko-KR"/>
        </w:rPr>
        <w:t xml:space="preserve">new </w:t>
      </w:r>
      <w:r w:rsidR="005C68D7" w:rsidRPr="004635E5">
        <w:rPr>
          <w:rFonts w:eastAsia="Batang"/>
          <w:sz w:val="22"/>
          <w:szCs w:val="22"/>
          <w:lang w:val="en-AU" w:eastAsia="ko-KR"/>
        </w:rPr>
        <w:t xml:space="preserve">growth estimates resulting from analysis of an enhanced set of otolith data (Project 81), as requested by SC13. The re-evaluation followed the same methodologies as the full assessment conducted in 2017. </w:t>
      </w:r>
      <w:r w:rsidR="0056042A" w:rsidRPr="004635E5">
        <w:rPr>
          <w:rFonts w:eastAsia="Batang"/>
          <w:sz w:val="22"/>
          <w:szCs w:val="22"/>
          <w:lang w:val="en-AU" w:eastAsia="ko-KR"/>
        </w:rPr>
        <w:t>R</w:t>
      </w:r>
      <w:r w:rsidR="005C68D7" w:rsidRPr="004635E5">
        <w:rPr>
          <w:rFonts w:eastAsia="Batang"/>
          <w:sz w:val="22"/>
          <w:szCs w:val="22"/>
          <w:lang w:val="en-AU" w:eastAsia="ko-KR"/>
        </w:rPr>
        <w:t xml:space="preserve">esults of the updated uncertainty analysis (model grid) using the axes and weightings from SC13 </w:t>
      </w:r>
      <w:r w:rsidR="0056042A" w:rsidRPr="004635E5">
        <w:rPr>
          <w:rFonts w:eastAsia="Batang"/>
          <w:sz w:val="22"/>
          <w:szCs w:val="22"/>
          <w:lang w:val="en-AU" w:eastAsia="ko-KR"/>
        </w:rPr>
        <w:t xml:space="preserve">were reported </w:t>
      </w:r>
      <w:r w:rsidR="005C68D7" w:rsidRPr="004635E5">
        <w:rPr>
          <w:rFonts w:eastAsia="Batang"/>
          <w:sz w:val="22"/>
          <w:szCs w:val="22"/>
          <w:lang w:val="en-AU" w:eastAsia="ko-KR"/>
        </w:rPr>
        <w:t xml:space="preserve">for consideration in developing management advice. In addition, </w:t>
      </w:r>
      <w:r w:rsidR="0056042A" w:rsidRPr="004635E5">
        <w:rPr>
          <w:rFonts w:eastAsia="Batang"/>
          <w:sz w:val="22"/>
          <w:szCs w:val="22"/>
          <w:lang w:val="en-AU" w:eastAsia="ko-KR"/>
        </w:rPr>
        <w:t xml:space="preserve">the authors </w:t>
      </w:r>
      <w:r w:rsidR="005C68D7" w:rsidRPr="004635E5">
        <w:rPr>
          <w:rFonts w:eastAsia="Batang"/>
          <w:sz w:val="22"/>
          <w:szCs w:val="22"/>
          <w:lang w:val="en-AU" w:eastAsia="ko-KR"/>
        </w:rPr>
        <w:t xml:space="preserve">investigated the implications of alternative assessment model spatial structures by creating an additional model with the northern boundary of regions 3 and 4 at 15°N, as a one-off sensitivity from two models in the structural uncertainty grid. </w:t>
      </w:r>
    </w:p>
    <w:p w14:paraId="4ADD42E4" w14:textId="77777777" w:rsidR="00D73BF8" w:rsidRPr="004635E5" w:rsidRDefault="00D73BF8" w:rsidP="006633A8">
      <w:pPr>
        <w:autoSpaceDE w:val="0"/>
        <w:autoSpaceDN w:val="0"/>
        <w:adjustRightInd w:val="0"/>
        <w:snapToGrid w:val="0"/>
        <w:jc w:val="both"/>
        <w:rPr>
          <w:rFonts w:eastAsia="Batang"/>
          <w:sz w:val="22"/>
          <w:szCs w:val="22"/>
          <w:lang w:val="en-AU" w:eastAsia="ko-KR"/>
        </w:rPr>
      </w:pPr>
    </w:p>
    <w:p w14:paraId="255BFF6B" w14:textId="77777777" w:rsidR="005C68D7" w:rsidRPr="004635E5" w:rsidRDefault="005C68D7" w:rsidP="00580EA4">
      <w:pPr>
        <w:numPr>
          <w:ilvl w:val="0"/>
          <w:numId w:val="18"/>
        </w:numPr>
        <w:autoSpaceDE w:val="0"/>
        <w:autoSpaceDN w:val="0"/>
        <w:adjustRightInd w:val="0"/>
        <w:snapToGrid w:val="0"/>
        <w:ind w:left="0" w:firstLine="0"/>
        <w:jc w:val="both"/>
        <w:rPr>
          <w:rFonts w:eastAsia="Batang"/>
          <w:sz w:val="22"/>
          <w:szCs w:val="22"/>
          <w:lang w:val="en-AU" w:eastAsia="ko-KR"/>
        </w:rPr>
      </w:pPr>
      <w:r w:rsidRPr="004635E5">
        <w:rPr>
          <w:rFonts w:eastAsia="Batang"/>
          <w:sz w:val="22"/>
          <w:szCs w:val="22"/>
          <w:lang w:val="en-AU" w:eastAsia="ko-KR"/>
        </w:rPr>
        <w:t xml:space="preserve">Across the range of models in </w:t>
      </w:r>
      <w:r w:rsidR="0056042A" w:rsidRPr="004635E5">
        <w:rPr>
          <w:rFonts w:eastAsia="Batang"/>
          <w:sz w:val="22"/>
          <w:szCs w:val="22"/>
          <w:lang w:val="en-AU" w:eastAsia="ko-KR"/>
        </w:rPr>
        <w:t xml:space="preserve">the </w:t>
      </w:r>
      <w:r w:rsidRPr="004635E5">
        <w:rPr>
          <w:rFonts w:eastAsia="Batang"/>
          <w:sz w:val="22"/>
          <w:szCs w:val="22"/>
          <w:lang w:val="en-AU" w:eastAsia="ko-KR"/>
        </w:rPr>
        <w:t>re-evaluation, the most important factor with respect to the estimated stock status was the choice of growth curve (“</w:t>
      </w:r>
      <w:r w:rsidR="00997A26">
        <w:rPr>
          <w:rFonts w:eastAsia="Batang"/>
          <w:sz w:val="22"/>
          <w:szCs w:val="22"/>
          <w:lang w:val="en-AU" w:eastAsia="ko-KR"/>
        </w:rPr>
        <w:t>u</w:t>
      </w:r>
      <w:r w:rsidR="0056042A" w:rsidRPr="004635E5">
        <w:rPr>
          <w:rFonts w:eastAsia="Batang"/>
          <w:sz w:val="22"/>
          <w:szCs w:val="22"/>
          <w:lang w:val="en-AU" w:eastAsia="ko-KR"/>
        </w:rPr>
        <w:t xml:space="preserve">pdated </w:t>
      </w:r>
      <w:r w:rsidR="00997A26">
        <w:rPr>
          <w:rFonts w:eastAsia="Batang"/>
          <w:sz w:val="22"/>
          <w:szCs w:val="22"/>
          <w:lang w:val="en-AU" w:eastAsia="ko-KR"/>
        </w:rPr>
        <w:t>n</w:t>
      </w:r>
      <w:r w:rsidR="0056042A" w:rsidRPr="004635E5">
        <w:rPr>
          <w:rFonts w:eastAsia="Batang"/>
          <w:sz w:val="22"/>
          <w:szCs w:val="22"/>
          <w:lang w:val="en-AU" w:eastAsia="ko-KR"/>
        </w:rPr>
        <w:t>ew</w:t>
      </w:r>
      <w:r w:rsidRPr="004635E5">
        <w:rPr>
          <w:rFonts w:eastAsia="Batang"/>
          <w:sz w:val="22"/>
          <w:szCs w:val="22"/>
          <w:lang w:val="en-AU" w:eastAsia="ko-KR"/>
        </w:rPr>
        <w:t>” or “</w:t>
      </w:r>
      <w:r w:rsidR="00997A26">
        <w:rPr>
          <w:rFonts w:eastAsia="Batang"/>
          <w:sz w:val="22"/>
          <w:szCs w:val="22"/>
          <w:lang w:val="en-AU" w:eastAsia="ko-KR"/>
        </w:rPr>
        <w:t>o</w:t>
      </w:r>
      <w:r w:rsidRPr="004635E5">
        <w:rPr>
          <w:rFonts w:eastAsia="Batang"/>
          <w:sz w:val="22"/>
          <w:szCs w:val="22"/>
          <w:lang w:val="en-AU" w:eastAsia="ko-KR"/>
        </w:rPr>
        <w:t xml:space="preserve">ld” growth). The </w:t>
      </w:r>
      <w:r w:rsidR="00997A26">
        <w:rPr>
          <w:rFonts w:eastAsia="Batang"/>
          <w:sz w:val="22"/>
          <w:szCs w:val="22"/>
          <w:lang w:val="en-AU" w:eastAsia="ko-KR"/>
        </w:rPr>
        <w:t>u</w:t>
      </w:r>
      <w:r w:rsidR="0056042A" w:rsidRPr="00997A26">
        <w:rPr>
          <w:rFonts w:eastAsia="Batang"/>
          <w:sz w:val="22"/>
          <w:szCs w:val="22"/>
          <w:lang w:val="en-AU" w:eastAsia="ko-KR"/>
        </w:rPr>
        <w:t xml:space="preserve">pdated </w:t>
      </w:r>
      <w:r w:rsidR="00997A26">
        <w:rPr>
          <w:rFonts w:eastAsia="Batang"/>
          <w:sz w:val="22"/>
          <w:szCs w:val="22"/>
          <w:lang w:val="en-AU" w:eastAsia="ko-KR"/>
        </w:rPr>
        <w:t>n</w:t>
      </w:r>
      <w:r w:rsidR="0056042A" w:rsidRPr="00997A26">
        <w:rPr>
          <w:rFonts w:eastAsia="Batang"/>
          <w:sz w:val="22"/>
          <w:szCs w:val="22"/>
          <w:lang w:val="en-AU" w:eastAsia="ko-KR"/>
        </w:rPr>
        <w:t xml:space="preserve">ew </w:t>
      </w:r>
      <w:r w:rsidRPr="00997A26">
        <w:rPr>
          <w:rFonts w:eastAsia="Batang"/>
          <w:sz w:val="22"/>
          <w:szCs w:val="22"/>
          <w:lang w:val="en-AU" w:eastAsia="ko-KR"/>
        </w:rPr>
        <w:t>growth</w:t>
      </w:r>
      <w:r w:rsidR="0056042A" w:rsidRPr="00997A26">
        <w:rPr>
          <w:rFonts w:eastAsia="Batang"/>
          <w:sz w:val="22"/>
          <w:szCs w:val="22"/>
          <w:lang w:val="en-AU" w:eastAsia="ko-KR"/>
        </w:rPr>
        <w:t xml:space="preserve"> model was very</w:t>
      </w:r>
      <w:r w:rsidR="0056042A" w:rsidRPr="004635E5">
        <w:rPr>
          <w:rFonts w:eastAsia="Batang"/>
          <w:sz w:val="22"/>
          <w:szCs w:val="22"/>
          <w:lang w:val="en-AU" w:eastAsia="ko-KR"/>
        </w:rPr>
        <w:t xml:space="preserve"> similar to the new growth</w:t>
      </w:r>
      <w:r w:rsidRPr="004635E5">
        <w:rPr>
          <w:rFonts w:eastAsia="Batang"/>
          <w:sz w:val="22"/>
          <w:szCs w:val="22"/>
          <w:lang w:val="en-AU" w:eastAsia="ko-KR"/>
        </w:rPr>
        <w:t xml:space="preserve"> model presented in 2017, and stock status estimates were </w:t>
      </w:r>
      <w:r w:rsidR="0056042A" w:rsidRPr="004635E5">
        <w:rPr>
          <w:rFonts w:eastAsia="Batang"/>
          <w:sz w:val="22"/>
          <w:szCs w:val="22"/>
          <w:lang w:val="en-AU" w:eastAsia="ko-KR"/>
        </w:rPr>
        <w:t xml:space="preserve">again more optimistic than the </w:t>
      </w:r>
      <w:r w:rsidR="004156A3">
        <w:rPr>
          <w:rFonts w:eastAsia="Batang" w:hint="eastAsia"/>
          <w:sz w:val="22"/>
          <w:szCs w:val="22"/>
          <w:lang w:val="en-AU" w:eastAsia="ko-KR"/>
        </w:rPr>
        <w:t>o</w:t>
      </w:r>
      <w:r w:rsidRPr="004635E5">
        <w:rPr>
          <w:rFonts w:eastAsia="Batang"/>
          <w:sz w:val="22"/>
          <w:szCs w:val="22"/>
          <w:lang w:val="en-AU" w:eastAsia="ko-KR"/>
        </w:rPr>
        <w:t xml:space="preserve">ld growth model. The second key axis in the structural uncertainty grid was the location of the northern boundary of regions 3 and 4 (at 10°N or 20°N). The former models estimated more optimistic stock status than the latter, </w:t>
      </w:r>
      <w:r w:rsidR="0056042A" w:rsidRPr="004635E5">
        <w:rPr>
          <w:rFonts w:eastAsia="Batang"/>
          <w:sz w:val="22"/>
          <w:szCs w:val="22"/>
          <w:lang w:val="en-AU" w:eastAsia="ko-KR"/>
        </w:rPr>
        <w:t>al</w:t>
      </w:r>
      <w:r w:rsidRPr="004635E5">
        <w:rPr>
          <w:rFonts w:eastAsia="Batang"/>
          <w:sz w:val="22"/>
          <w:szCs w:val="22"/>
          <w:lang w:val="en-AU" w:eastAsia="ko-KR"/>
        </w:rPr>
        <w:t xml:space="preserve">though this assumption </w:t>
      </w:r>
      <w:r w:rsidR="0056042A" w:rsidRPr="004635E5">
        <w:rPr>
          <w:rFonts w:eastAsia="Batang"/>
          <w:sz w:val="22"/>
          <w:szCs w:val="22"/>
          <w:lang w:val="en-AU" w:eastAsia="ko-KR"/>
        </w:rPr>
        <w:t xml:space="preserve">had less impact </w:t>
      </w:r>
      <w:r w:rsidRPr="004635E5">
        <w:rPr>
          <w:rFonts w:eastAsia="Batang"/>
          <w:sz w:val="22"/>
          <w:szCs w:val="22"/>
          <w:lang w:val="en-AU" w:eastAsia="ko-KR"/>
        </w:rPr>
        <w:t xml:space="preserve">than </w:t>
      </w:r>
      <w:r w:rsidR="0056042A" w:rsidRPr="004635E5">
        <w:rPr>
          <w:rFonts w:eastAsia="Batang"/>
          <w:sz w:val="22"/>
          <w:szCs w:val="22"/>
          <w:lang w:val="en-AU" w:eastAsia="ko-KR"/>
        </w:rPr>
        <w:t xml:space="preserve">the </w:t>
      </w:r>
      <w:r w:rsidRPr="004635E5">
        <w:rPr>
          <w:rFonts w:eastAsia="Batang"/>
          <w:sz w:val="22"/>
          <w:szCs w:val="22"/>
          <w:lang w:val="en-AU" w:eastAsia="ko-KR"/>
        </w:rPr>
        <w:t>growth</w:t>
      </w:r>
      <w:r w:rsidR="0056042A" w:rsidRPr="004635E5">
        <w:rPr>
          <w:rFonts w:eastAsia="Batang"/>
          <w:sz w:val="22"/>
          <w:szCs w:val="22"/>
          <w:lang w:val="en-AU" w:eastAsia="ko-KR"/>
        </w:rPr>
        <w:t xml:space="preserve"> assumption</w:t>
      </w:r>
      <w:r w:rsidRPr="004635E5">
        <w:rPr>
          <w:rFonts w:eastAsia="Batang"/>
          <w:sz w:val="22"/>
          <w:szCs w:val="22"/>
          <w:lang w:val="en-AU" w:eastAsia="ko-KR"/>
        </w:rPr>
        <w:t>. The 10°N model estimated a larger stock size and assigned a larger proportion of the stock to the less exploited temperate regions.</w:t>
      </w:r>
    </w:p>
    <w:p w14:paraId="55627680" w14:textId="77777777" w:rsidR="00D73BF8" w:rsidRPr="004635E5" w:rsidRDefault="00D73BF8" w:rsidP="006633A8">
      <w:pPr>
        <w:autoSpaceDE w:val="0"/>
        <w:autoSpaceDN w:val="0"/>
        <w:adjustRightInd w:val="0"/>
        <w:snapToGrid w:val="0"/>
        <w:jc w:val="both"/>
        <w:rPr>
          <w:rFonts w:eastAsia="Batang"/>
          <w:sz w:val="22"/>
          <w:szCs w:val="22"/>
          <w:lang w:val="en-AU" w:eastAsia="ko-KR"/>
        </w:rPr>
      </w:pPr>
    </w:p>
    <w:p w14:paraId="3D68E30B" w14:textId="77777777" w:rsidR="005C68D7" w:rsidRPr="004635E5" w:rsidRDefault="005C68D7" w:rsidP="00580EA4">
      <w:pPr>
        <w:numPr>
          <w:ilvl w:val="0"/>
          <w:numId w:val="18"/>
        </w:numPr>
        <w:autoSpaceDE w:val="0"/>
        <w:autoSpaceDN w:val="0"/>
        <w:adjustRightInd w:val="0"/>
        <w:snapToGrid w:val="0"/>
        <w:ind w:left="0" w:firstLine="0"/>
        <w:jc w:val="both"/>
        <w:rPr>
          <w:rFonts w:eastAsia="Batang"/>
          <w:sz w:val="22"/>
          <w:szCs w:val="22"/>
          <w:lang w:val="en-AU" w:eastAsia="ko-KR"/>
        </w:rPr>
      </w:pPr>
      <w:r w:rsidRPr="004635E5">
        <w:rPr>
          <w:rFonts w:eastAsia="Batang"/>
          <w:sz w:val="22"/>
          <w:szCs w:val="22"/>
          <w:lang w:val="en-AU" w:eastAsia="ko-KR"/>
        </w:rPr>
        <w:t xml:space="preserve">The re-evaluation </w:t>
      </w:r>
      <w:r w:rsidR="0056042A" w:rsidRPr="004635E5">
        <w:rPr>
          <w:rFonts w:eastAsia="Batang"/>
          <w:sz w:val="22"/>
          <w:szCs w:val="22"/>
          <w:lang w:val="en-AU" w:eastAsia="ko-KR"/>
        </w:rPr>
        <w:t>concluded that</w:t>
      </w:r>
      <w:r w:rsidRPr="004635E5">
        <w:rPr>
          <w:rFonts w:eastAsia="Batang"/>
          <w:sz w:val="22"/>
          <w:szCs w:val="22"/>
          <w:lang w:val="en-AU" w:eastAsia="ko-KR"/>
        </w:rPr>
        <w:t>:</w:t>
      </w:r>
    </w:p>
    <w:p w14:paraId="7BDAEEF7" w14:textId="77777777" w:rsidR="005C68D7" w:rsidRPr="004635E5" w:rsidRDefault="005C68D7" w:rsidP="00580EA4">
      <w:pPr>
        <w:pStyle w:val="ListParagraph"/>
        <w:numPr>
          <w:ilvl w:val="0"/>
          <w:numId w:val="28"/>
        </w:numPr>
        <w:adjustRightInd w:val="0"/>
        <w:snapToGrid w:val="0"/>
        <w:jc w:val="both"/>
        <w:rPr>
          <w:rFonts w:eastAsia="Batang"/>
          <w:sz w:val="22"/>
          <w:szCs w:val="22"/>
          <w:lang w:val="en-AU" w:eastAsia="ko-KR"/>
        </w:rPr>
      </w:pPr>
      <w:r w:rsidRPr="004635E5">
        <w:rPr>
          <w:rFonts w:eastAsia="Batang"/>
          <w:sz w:val="22"/>
          <w:szCs w:val="22"/>
          <w:lang w:val="en-AU" w:eastAsia="ko-KR"/>
        </w:rPr>
        <w:t>Models that assume the “</w:t>
      </w:r>
      <w:r w:rsidR="00997A26">
        <w:rPr>
          <w:rFonts w:eastAsia="Batang"/>
          <w:sz w:val="22"/>
          <w:szCs w:val="22"/>
          <w:lang w:val="en-AU" w:eastAsia="ko-KR"/>
        </w:rPr>
        <w:t>updated new</w:t>
      </w:r>
      <w:r w:rsidRPr="004635E5">
        <w:rPr>
          <w:rFonts w:eastAsia="Batang"/>
          <w:sz w:val="22"/>
          <w:szCs w:val="22"/>
          <w:lang w:val="en-AU" w:eastAsia="ko-KR"/>
        </w:rPr>
        <w:t xml:space="preserve"> growth” estimated depletion to be median(SB</w:t>
      </w:r>
      <w:r w:rsidRPr="004635E5">
        <w:rPr>
          <w:rFonts w:eastAsia="Batang"/>
          <w:sz w:val="22"/>
          <w:szCs w:val="22"/>
          <w:vertAlign w:val="subscript"/>
          <w:lang w:val="en-AU" w:eastAsia="ko-KR"/>
        </w:rPr>
        <w:t>recent</w:t>
      </w:r>
      <w:r w:rsidRPr="004635E5">
        <w:rPr>
          <w:rFonts w:eastAsia="Batang"/>
          <w:sz w:val="22"/>
          <w:szCs w:val="22"/>
          <w:lang w:val="en-AU" w:eastAsia="ko-KR"/>
        </w:rPr>
        <w:t>/SB</w:t>
      </w:r>
      <w:r w:rsidRPr="004635E5">
        <w:rPr>
          <w:rFonts w:eastAsia="Batang"/>
          <w:sz w:val="22"/>
          <w:szCs w:val="22"/>
          <w:vertAlign w:val="subscript"/>
          <w:lang w:val="en-AU" w:eastAsia="ko-KR"/>
        </w:rPr>
        <w:t>F=0</w:t>
      </w:r>
      <w:r w:rsidRPr="004635E5">
        <w:rPr>
          <w:rFonts w:eastAsia="Batang"/>
          <w:sz w:val="22"/>
          <w:szCs w:val="22"/>
          <w:lang w:val="en-AU" w:eastAsia="ko-KR"/>
        </w:rPr>
        <w:t>) =0.358 with an 80% probability interval of 0.295 to 0.412. All models estimated stock above the limit reference point, 20%SB</w:t>
      </w:r>
      <w:r w:rsidRPr="004635E5">
        <w:rPr>
          <w:rFonts w:eastAsia="Batang"/>
          <w:sz w:val="22"/>
          <w:szCs w:val="22"/>
          <w:vertAlign w:val="subscript"/>
          <w:lang w:val="en-AU" w:eastAsia="ko-KR"/>
        </w:rPr>
        <w:t>F=0.</w:t>
      </w:r>
    </w:p>
    <w:p w14:paraId="190E6EFF" w14:textId="77777777" w:rsidR="005C68D7" w:rsidRPr="004635E5" w:rsidRDefault="005C68D7" w:rsidP="00580EA4">
      <w:pPr>
        <w:pStyle w:val="ListParagraph"/>
        <w:numPr>
          <w:ilvl w:val="0"/>
          <w:numId w:val="28"/>
        </w:numPr>
        <w:adjustRightInd w:val="0"/>
        <w:snapToGrid w:val="0"/>
        <w:jc w:val="both"/>
        <w:rPr>
          <w:rFonts w:eastAsia="Batang"/>
          <w:sz w:val="22"/>
          <w:szCs w:val="22"/>
          <w:lang w:val="en-AU" w:eastAsia="ko-KR"/>
        </w:rPr>
      </w:pPr>
      <w:r w:rsidRPr="004635E5">
        <w:rPr>
          <w:rFonts w:eastAsia="Batang"/>
          <w:sz w:val="22"/>
          <w:szCs w:val="22"/>
          <w:lang w:val="en-AU" w:eastAsia="ko-KR"/>
        </w:rPr>
        <w:t>Only the “</w:t>
      </w:r>
      <w:r w:rsidR="004156A3">
        <w:rPr>
          <w:rFonts w:eastAsia="Batang" w:hint="eastAsia"/>
          <w:sz w:val="22"/>
          <w:szCs w:val="22"/>
          <w:lang w:val="en-AU" w:eastAsia="ko-KR"/>
        </w:rPr>
        <w:t>o</w:t>
      </w:r>
      <w:r w:rsidRPr="004635E5">
        <w:rPr>
          <w:rFonts w:eastAsia="Batang"/>
          <w:sz w:val="22"/>
          <w:szCs w:val="22"/>
          <w:lang w:val="en-AU" w:eastAsia="ko-KR"/>
        </w:rPr>
        <w:t>ld growth” and 20°N boundary models estimated spawning potential to be below 20%SB</w:t>
      </w:r>
      <w:r w:rsidRPr="004635E5">
        <w:rPr>
          <w:rFonts w:eastAsia="Batang"/>
          <w:sz w:val="22"/>
          <w:szCs w:val="22"/>
          <w:vertAlign w:val="subscript"/>
          <w:lang w:val="en-AU" w:eastAsia="ko-KR"/>
        </w:rPr>
        <w:t>F=0</w:t>
      </w:r>
      <w:r w:rsidRPr="004635E5">
        <w:rPr>
          <w:rFonts w:eastAsia="Batang"/>
          <w:sz w:val="22"/>
          <w:szCs w:val="22"/>
          <w:lang w:val="en-AU" w:eastAsia="ko-KR"/>
        </w:rPr>
        <w:t xml:space="preserve"> for all models in the set, which is consistent with the structural uncertainty grid of the 2017 assessment.</w:t>
      </w:r>
    </w:p>
    <w:p w14:paraId="59C4EA74" w14:textId="77777777" w:rsidR="005C68D7" w:rsidRPr="004635E5" w:rsidRDefault="005C68D7" w:rsidP="00580EA4">
      <w:pPr>
        <w:pStyle w:val="ListParagraph"/>
        <w:numPr>
          <w:ilvl w:val="0"/>
          <w:numId w:val="28"/>
        </w:numPr>
        <w:adjustRightInd w:val="0"/>
        <w:snapToGrid w:val="0"/>
        <w:jc w:val="both"/>
        <w:rPr>
          <w:rFonts w:eastAsia="Batang"/>
          <w:sz w:val="22"/>
          <w:szCs w:val="22"/>
          <w:lang w:val="en-AU" w:eastAsia="ko-KR"/>
        </w:rPr>
      </w:pPr>
      <w:r w:rsidRPr="004635E5">
        <w:rPr>
          <w:rFonts w:eastAsia="Batang"/>
          <w:sz w:val="22"/>
          <w:szCs w:val="22"/>
          <w:lang w:val="en-AU" w:eastAsia="ko-KR"/>
        </w:rPr>
        <w:t>Using a weighting of 3:1 “</w:t>
      </w:r>
      <w:r w:rsidR="00997A26">
        <w:rPr>
          <w:rFonts w:eastAsia="Batang"/>
          <w:sz w:val="22"/>
          <w:szCs w:val="22"/>
          <w:lang w:val="en-AU" w:eastAsia="ko-KR"/>
        </w:rPr>
        <w:t>u</w:t>
      </w:r>
      <w:r w:rsidRPr="004635E5">
        <w:rPr>
          <w:rFonts w:eastAsia="Batang"/>
          <w:sz w:val="22"/>
          <w:szCs w:val="22"/>
          <w:lang w:val="en-AU" w:eastAsia="ko-KR"/>
        </w:rPr>
        <w:t xml:space="preserve">pdated </w:t>
      </w:r>
      <w:r w:rsidR="00997A26">
        <w:rPr>
          <w:rFonts w:eastAsia="Batang"/>
          <w:sz w:val="22"/>
          <w:szCs w:val="22"/>
          <w:lang w:val="en-AU" w:eastAsia="ko-KR"/>
        </w:rPr>
        <w:t>n</w:t>
      </w:r>
      <w:r w:rsidRPr="004635E5">
        <w:rPr>
          <w:rFonts w:eastAsia="Batang"/>
          <w:sz w:val="22"/>
          <w:szCs w:val="22"/>
          <w:lang w:val="en-AU" w:eastAsia="ko-KR"/>
        </w:rPr>
        <w:t xml:space="preserve">ew: </w:t>
      </w:r>
      <w:r w:rsidR="00997A26">
        <w:rPr>
          <w:rFonts w:eastAsia="Batang"/>
          <w:sz w:val="22"/>
          <w:szCs w:val="22"/>
          <w:lang w:val="en-AU" w:eastAsia="ko-KR"/>
        </w:rPr>
        <w:t>o</w:t>
      </w:r>
      <w:r w:rsidRPr="004635E5">
        <w:rPr>
          <w:rFonts w:eastAsia="Batang"/>
          <w:sz w:val="22"/>
          <w:szCs w:val="22"/>
          <w:lang w:val="en-AU" w:eastAsia="ko-KR"/>
        </w:rPr>
        <w:t>ld growth” as defined by SC13, the recent depletion estimates were median(SB</w:t>
      </w:r>
      <w:r w:rsidRPr="004635E5">
        <w:rPr>
          <w:rFonts w:eastAsia="Batang"/>
          <w:sz w:val="22"/>
          <w:szCs w:val="22"/>
          <w:vertAlign w:val="subscript"/>
          <w:lang w:val="en-AU" w:eastAsia="ko-KR"/>
        </w:rPr>
        <w:t>recent</w:t>
      </w:r>
      <w:r w:rsidRPr="004635E5">
        <w:rPr>
          <w:rFonts w:eastAsia="Batang"/>
          <w:sz w:val="22"/>
          <w:szCs w:val="22"/>
          <w:lang w:val="en-AU" w:eastAsia="ko-KR"/>
        </w:rPr>
        <w:t>/SB</w:t>
      </w:r>
      <w:r w:rsidRPr="004635E5">
        <w:rPr>
          <w:rFonts w:eastAsia="Batang"/>
          <w:sz w:val="22"/>
          <w:szCs w:val="22"/>
          <w:vertAlign w:val="subscript"/>
          <w:lang w:val="en-AU" w:eastAsia="ko-KR"/>
        </w:rPr>
        <w:t>F=0</w:t>
      </w:r>
      <w:r w:rsidRPr="004635E5">
        <w:rPr>
          <w:rFonts w:eastAsia="Batang"/>
          <w:sz w:val="22"/>
          <w:szCs w:val="22"/>
          <w:lang w:val="en-AU" w:eastAsia="ko-KR"/>
        </w:rPr>
        <w:t>)=0.334 with an 80% probability interval of 0.157 to 0.403. Of the 144 weighted runs, 21 (</w:t>
      </w:r>
      <w:r w:rsidR="00EF298A">
        <w:rPr>
          <w:rFonts w:eastAsia="Batang" w:hint="eastAsia"/>
          <w:sz w:val="22"/>
          <w:szCs w:val="22"/>
          <w:lang w:val="en-AU" w:eastAsia="ko-KR"/>
        </w:rPr>
        <w:t>15</w:t>
      </w:r>
      <w:r w:rsidRPr="004635E5">
        <w:rPr>
          <w:rFonts w:eastAsia="Batang"/>
          <w:sz w:val="22"/>
          <w:szCs w:val="22"/>
          <w:lang w:val="en-AU" w:eastAsia="ko-KR"/>
        </w:rPr>
        <w:t>%) estimated SB</w:t>
      </w:r>
      <w:r w:rsidRPr="004635E5">
        <w:rPr>
          <w:rFonts w:eastAsia="Batang"/>
          <w:sz w:val="22"/>
          <w:szCs w:val="22"/>
          <w:vertAlign w:val="subscript"/>
          <w:lang w:val="en-AU" w:eastAsia="ko-KR"/>
        </w:rPr>
        <w:t>recent</w:t>
      </w:r>
      <w:r w:rsidRPr="004635E5">
        <w:rPr>
          <w:rFonts w:eastAsia="Batang"/>
          <w:sz w:val="22"/>
          <w:szCs w:val="22"/>
          <w:lang w:val="en-AU" w:eastAsia="ko-KR"/>
        </w:rPr>
        <w:t>/SB</w:t>
      </w:r>
      <w:r w:rsidRPr="004635E5">
        <w:rPr>
          <w:rFonts w:eastAsia="Batang"/>
          <w:sz w:val="22"/>
          <w:szCs w:val="22"/>
          <w:vertAlign w:val="subscript"/>
          <w:lang w:val="en-AU" w:eastAsia="ko-KR"/>
        </w:rPr>
        <w:t>F=0</w:t>
      </w:r>
      <w:r w:rsidRPr="004635E5">
        <w:rPr>
          <w:rFonts w:eastAsia="Batang"/>
          <w:sz w:val="22"/>
          <w:szCs w:val="22"/>
          <w:lang w:val="en-AU" w:eastAsia="ko-KR"/>
        </w:rPr>
        <w:t xml:space="preserve"> below 20%SB</w:t>
      </w:r>
      <w:r w:rsidRPr="004635E5">
        <w:rPr>
          <w:rFonts w:eastAsia="Batang"/>
          <w:sz w:val="22"/>
          <w:szCs w:val="22"/>
          <w:vertAlign w:val="subscript"/>
          <w:lang w:val="en-AU" w:eastAsia="ko-KR"/>
        </w:rPr>
        <w:t>F=0</w:t>
      </w:r>
      <w:r w:rsidRPr="004635E5">
        <w:rPr>
          <w:rFonts w:eastAsia="Batang"/>
          <w:sz w:val="22"/>
          <w:szCs w:val="22"/>
          <w:lang w:val="en-AU" w:eastAsia="ko-KR"/>
        </w:rPr>
        <w:t>.</w:t>
      </w:r>
    </w:p>
    <w:p w14:paraId="7263385B" w14:textId="77777777" w:rsidR="005C68D7" w:rsidRPr="004635E5" w:rsidRDefault="005C68D7" w:rsidP="00580EA4">
      <w:pPr>
        <w:pStyle w:val="ListParagraph"/>
        <w:numPr>
          <w:ilvl w:val="0"/>
          <w:numId w:val="28"/>
        </w:numPr>
        <w:adjustRightInd w:val="0"/>
        <w:snapToGrid w:val="0"/>
        <w:jc w:val="both"/>
        <w:rPr>
          <w:rFonts w:eastAsia="Batang"/>
          <w:sz w:val="22"/>
          <w:szCs w:val="22"/>
          <w:lang w:val="en-AU" w:eastAsia="ko-KR"/>
        </w:rPr>
      </w:pPr>
      <w:r w:rsidRPr="004635E5">
        <w:rPr>
          <w:rFonts w:eastAsia="Batang"/>
          <w:sz w:val="22"/>
          <w:szCs w:val="22"/>
          <w:lang w:val="en-AU" w:eastAsia="ko-KR"/>
        </w:rPr>
        <w:t>Across the weighted grid, median(F</w:t>
      </w:r>
      <w:r w:rsidRPr="004635E5">
        <w:rPr>
          <w:rFonts w:eastAsia="Batang"/>
          <w:sz w:val="22"/>
          <w:szCs w:val="22"/>
          <w:vertAlign w:val="subscript"/>
          <w:lang w:val="en-AU" w:eastAsia="ko-KR"/>
        </w:rPr>
        <w:t>recent</w:t>
      </w:r>
      <w:r w:rsidRPr="004635E5">
        <w:rPr>
          <w:rFonts w:eastAsia="Batang"/>
          <w:sz w:val="22"/>
          <w:szCs w:val="22"/>
          <w:lang w:val="en-AU" w:eastAsia="ko-KR"/>
        </w:rPr>
        <w:t>/F</w:t>
      </w:r>
      <w:r w:rsidRPr="004635E5">
        <w:rPr>
          <w:rFonts w:eastAsia="Batang"/>
          <w:sz w:val="22"/>
          <w:szCs w:val="22"/>
          <w:vertAlign w:val="subscript"/>
          <w:lang w:val="en-AU" w:eastAsia="ko-KR"/>
        </w:rPr>
        <w:t>MSY</w:t>
      </w:r>
      <w:r w:rsidRPr="004635E5">
        <w:rPr>
          <w:rFonts w:eastAsia="Batang"/>
          <w:sz w:val="22"/>
          <w:szCs w:val="22"/>
          <w:lang w:val="en-AU" w:eastAsia="ko-KR"/>
        </w:rPr>
        <w:t>)=0.813 with an 80% probability interval of 0.682 to 1.245 and 32 of the 144 models estimated F</w:t>
      </w:r>
      <w:r w:rsidRPr="004635E5">
        <w:rPr>
          <w:rFonts w:eastAsia="Batang"/>
          <w:sz w:val="22"/>
          <w:szCs w:val="22"/>
          <w:vertAlign w:val="subscript"/>
          <w:lang w:val="en-AU" w:eastAsia="ko-KR"/>
        </w:rPr>
        <w:t>recent</w:t>
      </w:r>
      <w:r w:rsidRPr="004635E5">
        <w:rPr>
          <w:rFonts w:eastAsia="Batang"/>
          <w:sz w:val="22"/>
          <w:szCs w:val="22"/>
          <w:lang w:val="en-AU" w:eastAsia="ko-KR"/>
        </w:rPr>
        <w:t>/F</w:t>
      </w:r>
      <w:r w:rsidRPr="004635E5">
        <w:rPr>
          <w:rFonts w:eastAsia="Batang"/>
          <w:sz w:val="22"/>
          <w:szCs w:val="22"/>
          <w:vertAlign w:val="subscript"/>
          <w:lang w:val="en-AU" w:eastAsia="ko-KR"/>
        </w:rPr>
        <w:t>MSY</w:t>
      </w:r>
      <w:r w:rsidRPr="004635E5">
        <w:rPr>
          <w:rFonts w:eastAsia="Batang"/>
          <w:sz w:val="22"/>
          <w:szCs w:val="22"/>
          <w:lang w:val="en-AU" w:eastAsia="ko-KR"/>
        </w:rPr>
        <w:t>&gt;1 (22%).</w:t>
      </w:r>
    </w:p>
    <w:p w14:paraId="6376018E" w14:textId="77777777" w:rsidR="0056042A" w:rsidRPr="004635E5" w:rsidRDefault="0056042A" w:rsidP="006633A8">
      <w:pPr>
        <w:pStyle w:val="ListParagraph"/>
        <w:adjustRightInd w:val="0"/>
        <w:snapToGrid w:val="0"/>
        <w:jc w:val="both"/>
        <w:rPr>
          <w:rFonts w:eastAsia="Batang"/>
          <w:sz w:val="22"/>
          <w:szCs w:val="22"/>
          <w:lang w:val="en-AU" w:eastAsia="ko-KR"/>
        </w:rPr>
      </w:pPr>
    </w:p>
    <w:p w14:paraId="41268039" w14:textId="77777777" w:rsidR="005C68D7" w:rsidRPr="004635E5" w:rsidRDefault="005C68D7" w:rsidP="00580EA4">
      <w:pPr>
        <w:numPr>
          <w:ilvl w:val="0"/>
          <w:numId w:val="18"/>
        </w:numPr>
        <w:autoSpaceDE w:val="0"/>
        <w:autoSpaceDN w:val="0"/>
        <w:adjustRightInd w:val="0"/>
        <w:snapToGrid w:val="0"/>
        <w:ind w:left="0" w:firstLine="0"/>
        <w:jc w:val="both"/>
        <w:rPr>
          <w:rFonts w:eastAsia="Batang"/>
          <w:sz w:val="22"/>
          <w:szCs w:val="22"/>
          <w:lang w:val="en-AU" w:eastAsia="ko-KR"/>
        </w:rPr>
      </w:pPr>
      <w:r w:rsidRPr="004635E5">
        <w:rPr>
          <w:rFonts w:eastAsia="Batang"/>
          <w:sz w:val="22"/>
          <w:szCs w:val="22"/>
          <w:lang w:val="en-AU" w:eastAsia="ko-KR"/>
        </w:rPr>
        <w:t xml:space="preserve">Regarding the model spatial structure, in particular the northern boundary of regions 3 and 4, the spatial patterns in catch, CPUE and size structure </w:t>
      </w:r>
      <w:r w:rsidR="0056042A" w:rsidRPr="004635E5">
        <w:rPr>
          <w:rFonts w:eastAsia="Batang"/>
          <w:sz w:val="22"/>
          <w:szCs w:val="22"/>
          <w:lang w:val="en-AU" w:eastAsia="ko-KR"/>
        </w:rPr>
        <w:t xml:space="preserve">were investigated </w:t>
      </w:r>
      <w:r w:rsidRPr="004635E5">
        <w:rPr>
          <w:rFonts w:eastAsia="Batang"/>
          <w:sz w:val="22"/>
          <w:szCs w:val="22"/>
          <w:lang w:val="en-AU" w:eastAsia="ko-KR"/>
        </w:rPr>
        <w:t>across the key bigeye fisheries to inform discussions</w:t>
      </w:r>
      <w:r w:rsidR="00A16680" w:rsidRPr="004635E5">
        <w:rPr>
          <w:rFonts w:eastAsia="Batang"/>
          <w:sz w:val="22"/>
          <w:szCs w:val="22"/>
          <w:lang w:val="en-AU" w:eastAsia="ko-KR"/>
        </w:rPr>
        <w:t xml:space="preserve">. </w:t>
      </w:r>
      <w:r w:rsidRPr="004635E5">
        <w:rPr>
          <w:rFonts w:eastAsia="Batang"/>
          <w:sz w:val="22"/>
          <w:szCs w:val="22"/>
          <w:lang w:val="en-AU" w:eastAsia="ko-KR"/>
        </w:rPr>
        <w:t xml:space="preserve">The 10°N spatial structure encapsulates the spatial component of the amount and average size of harvest by the tropical purse seine fishery better than the 20°N model. Comparing results from a model that assumed a 15°N boundary for regions 3 and 4 to otherwise identical models from the structural uncertainty grid that assumed a boundary at either 10°N or 20°N, those from the 15°N model were comparable to the model that assumed a 10°N boundary. Given the similarity of these models, the increased complexity of including multiple spatial structures within a structural uncertainty grid, and concerns regarding data assumptions that may not be valid with the 15°N structure, </w:t>
      </w:r>
      <w:r w:rsidR="0056042A" w:rsidRPr="004635E5">
        <w:rPr>
          <w:rFonts w:eastAsia="Batang"/>
          <w:sz w:val="22"/>
          <w:szCs w:val="22"/>
          <w:lang w:val="en-AU" w:eastAsia="ko-KR"/>
        </w:rPr>
        <w:t xml:space="preserve">the authors </w:t>
      </w:r>
      <w:r w:rsidRPr="004635E5">
        <w:rPr>
          <w:rFonts w:eastAsia="Batang"/>
          <w:sz w:val="22"/>
          <w:szCs w:val="22"/>
          <w:lang w:val="en-AU" w:eastAsia="ko-KR"/>
        </w:rPr>
        <w:t>recommend</w:t>
      </w:r>
      <w:r w:rsidR="0056042A" w:rsidRPr="004635E5">
        <w:rPr>
          <w:rFonts w:eastAsia="Batang"/>
          <w:sz w:val="22"/>
          <w:szCs w:val="22"/>
          <w:lang w:val="en-AU" w:eastAsia="ko-KR"/>
        </w:rPr>
        <w:t>ed</w:t>
      </w:r>
      <w:r w:rsidRPr="004635E5">
        <w:rPr>
          <w:rFonts w:eastAsia="Batang"/>
          <w:sz w:val="22"/>
          <w:szCs w:val="22"/>
          <w:lang w:val="en-AU" w:eastAsia="ko-KR"/>
        </w:rPr>
        <w:t xml:space="preserve"> that the models with the 10°N boundaries be used to develop management advice. </w:t>
      </w:r>
    </w:p>
    <w:p w14:paraId="7D11EA2A" w14:textId="77777777" w:rsidR="00D73BF8" w:rsidRPr="004635E5" w:rsidRDefault="00D73BF8" w:rsidP="006633A8">
      <w:pPr>
        <w:autoSpaceDE w:val="0"/>
        <w:autoSpaceDN w:val="0"/>
        <w:adjustRightInd w:val="0"/>
        <w:snapToGrid w:val="0"/>
        <w:jc w:val="both"/>
        <w:rPr>
          <w:rFonts w:eastAsia="Batang"/>
          <w:sz w:val="22"/>
          <w:szCs w:val="22"/>
          <w:lang w:val="en-AU" w:eastAsia="ko-KR"/>
        </w:rPr>
      </w:pPr>
    </w:p>
    <w:p w14:paraId="335136D5" w14:textId="77777777" w:rsidR="00434455" w:rsidRPr="004635E5" w:rsidRDefault="00434455" w:rsidP="006633A8">
      <w:pPr>
        <w:pStyle w:val="ListParagraph"/>
        <w:adjustRightInd w:val="0"/>
        <w:snapToGrid w:val="0"/>
        <w:ind w:left="0"/>
        <w:jc w:val="both"/>
        <w:rPr>
          <w:rFonts w:eastAsia="Batang"/>
          <w:b/>
          <w:sz w:val="22"/>
          <w:szCs w:val="22"/>
          <w:lang w:val="en-NZ" w:eastAsia="ko-KR"/>
        </w:rPr>
      </w:pPr>
      <w:r w:rsidRPr="004635E5">
        <w:rPr>
          <w:rFonts w:eastAsia="Batang"/>
          <w:b/>
          <w:sz w:val="22"/>
          <w:szCs w:val="22"/>
          <w:lang w:val="en-NZ" w:eastAsia="ko-KR"/>
        </w:rPr>
        <w:t xml:space="preserve">Discussion </w:t>
      </w:r>
    </w:p>
    <w:p w14:paraId="4DB160AB" w14:textId="77777777" w:rsidR="00D73BF8" w:rsidRPr="004635E5" w:rsidRDefault="00D73BF8" w:rsidP="006633A8">
      <w:pPr>
        <w:pStyle w:val="ListParagraph"/>
        <w:adjustRightInd w:val="0"/>
        <w:snapToGrid w:val="0"/>
        <w:ind w:left="0"/>
        <w:jc w:val="both"/>
        <w:rPr>
          <w:rFonts w:eastAsia="Batang"/>
          <w:b/>
          <w:sz w:val="22"/>
          <w:szCs w:val="22"/>
          <w:lang w:val="en-NZ" w:eastAsia="ko-KR"/>
        </w:rPr>
      </w:pPr>
    </w:p>
    <w:p w14:paraId="28D6716A" w14:textId="77777777" w:rsidR="008D2D57" w:rsidRPr="004635E5" w:rsidRDefault="00434455"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Japan</w:t>
      </w:r>
      <w:r w:rsidR="00C11873" w:rsidRPr="004635E5">
        <w:rPr>
          <w:rFonts w:eastAsia="Batang"/>
          <w:sz w:val="22"/>
          <w:szCs w:val="22"/>
          <w:lang w:val="en-NZ" w:eastAsia="ko-KR"/>
        </w:rPr>
        <w:t xml:space="preserve"> stated </w:t>
      </w:r>
      <w:r w:rsidR="00C11873" w:rsidRPr="004635E5">
        <w:rPr>
          <w:rFonts w:eastAsia="Batang"/>
          <w:bCs/>
          <w:sz w:val="22"/>
          <w:szCs w:val="22"/>
          <w:lang w:eastAsia="ko-KR"/>
        </w:rPr>
        <w:t>that both growth models (</w:t>
      </w:r>
      <w:r w:rsidR="00CD1A5E" w:rsidRPr="004635E5">
        <w:rPr>
          <w:rFonts w:eastAsia="Batang"/>
          <w:bCs/>
          <w:sz w:val="22"/>
          <w:szCs w:val="22"/>
          <w:lang w:eastAsia="ko-KR"/>
        </w:rPr>
        <w:t xml:space="preserve">the </w:t>
      </w:r>
      <w:r w:rsidR="00C11873" w:rsidRPr="004635E5">
        <w:rPr>
          <w:rFonts w:eastAsia="Batang"/>
          <w:bCs/>
          <w:sz w:val="22"/>
          <w:szCs w:val="22"/>
          <w:lang w:eastAsia="ko-KR"/>
        </w:rPr>
        <w:t>new otolith growth model and the old size data growth model) should remain part of the uncertainty grid analysis at present. SC14-SA-</w:t>
      </w:r>
      <w:r w:rsidRPr="004635E5">
        <w:rPr>
          <w:rFonts w:eastAsia="Batang"/>
          <w:sz w:val="22"/>
          <w:szCs w:val="22"/>
          <w:lang w:val="en-NZ" w:eastAsia="ko-KR"/>
        </w:rPr>
        <w:t>IP</w:t>
      </w:r>
      <w:r w:rsidR="00C11873" w:rsidRPr="004635E5">
        <w:rPr>
          <w:rFonts w:eastAsia="Batang"/>
          <w:sz w:val="22"/>
          <w:szCs w:val="22"/>
          <w:lang w:val="en-NZ" w:eastAsia="ko-KR"/>
        </w:rPr>
        <w:t>-</w:t>
      </w:r>
      <w:r w:rsidRPr="004635E5">
        <w:rPr>
          <w:rFonts w:eastAsia="Batang"/>
          <w:sz w:val="22"/>
          <w:szCs w:val="22"/>
          <w:lang w:val="en-NZ" w:eastAsia="ko-KR"/>
        </w:rPr>
        <w:t xml:space="preserve">01 suggested </w:t>
      </w:r>
      <w:r w:rsidR="00C11873" w:rsidRPr="004635E5">
        <w:rPr>
          <w:rFonts w:eastAsia="Batang"/>
          <w:sz w:val="22"/>
          <w:szCs w:val="22"/>
          <w:lang w:val="en-NZ" w:eastAsia="ko-KR"/>
        </w:rPr>
        <w:t xml:space="preserve">development of an </w:t>
      </w:r>
      <w:r w:rsidRPr="004635E5">
        <w:rPr>
          <w:rFonts w:eastAsia="Batang"/>
          <w:sz w:val="22"/>
          <w:szCs w:val="22"/>
          <w:lang w:val="en-NZ" w:eastAsia="ko-KR"/>
        </w:rPr>
        <w:t xml:space="preserve">integrated growth model using size and </w:t>
      </w:r>
      <w:r w:rsidR="00C11873" w:rsidRPr="004635E5">
        <w:rPr>
          <w:rFonts w:eastAsia="Batang"/>
          <w:sz w:val="22"/>
          <w:szCs w:val="22"/>
          <w:lang w:val="en-NZ" w:eastAsia="ko-KR"/>
        </w:rPr>
        <w:t xml:space="preserve">otolith </w:t>
      </w:r>
      <w:r w:rsidRPr="004635E5">
        <w:rPr>
          <w:rFonts w:eastAsia="Batang"/>
          <w:sz w:val="22"/>
          <w:szCs w:val="22"/>
          <w:lang w:val="en-NZ" w:eastAsia="ko-KR"/>
        </w:rPr>
        <w:t>data</w:t>
      </w:r>
      <w:r w:rsidR="00C11873" w:rsidRPr="004635E5">
        <w:rPr>
          <w:rFonts w:eastAsia="Batang"/>
          <w:sz w:val="22"/>
          <w:szCs w:val="22"/>
          <w:lang w:val="en-NZ" w:eastAsia="ko-KR"/>
        </w:rPr>
        <w:t xml:space="preserve">, and </w:t>
      </w:r>
      <w:r w:rsidR="00B226BE" w:rsidRPr="004635E5">
        <w:rPr>
          <w:rFonts w:eastAsia="Batang"/>
          <w:sz w:val="22"/>
          <w:szCs w:val="22"/>
          <w:lang w:val="en-NZ" w:eastAsia="ko-KR"/>
        </w:rPr>
        <w:t xml:space="preserve">Japan </w:t>
      </w:r>
      <w:r w:rsidR="00C11873" w:rsidRPr="004635E5">
        <w:rPr>
          <w:rFonts w:eastAsia="Batang"/>
          <w:sz w:val="22"/>
          <w:szCs w:val="22"/>
          <w:lang w:val="en-NZ" w:eastAsia="ko-KR"/>
        </w:rPr>
        <w:t xml:space="preserve">inquired about progress </w:t>
      </w:r>
      <w:r w:rsidR="001775FB" w:rsidRPr="004635E5">
        <w:rPr>
          <w:rFonts w:eastAsia="Batang"/>
          <w:sz w:val="22"/>
          <w:szCs w:val="22"/>
          <w:lang w:val="en-NZ" w:eastAsia="ko-KR"/>
        </w:rPr>
        <w:t>i</w:t>
      </w:r>
      <w:r w:rsidR="00C11873" w:rsidRPr="004635E5">
        <w:rPr>
          <w:rFonts w:eastAsia="Batang"/>
          <w:sz w:val="22"/>
          <w:szCs w:val="22"/>
          <w:lang w:val="en-NZ" w:eastAsia="ko-KR"/>
        </w:rPr>
        <w:t>n developing an integrated growth model using size frequency information and otolith data simultaneously.</w:t>
      </w:r>
      <w:r w:rsidRPr="004635E5">
        <w:rPr>
          <w:rFonts w:eastAsia="Batang"/>
          <w:sz w:val="22"/>
          <w:szCs w:val="22"/>
          <w:lang w:val="en-NZ" w:eastAsia="ko-KR"/>
        </w:rPr>
        <w:t xml:space="preserve"> </w:t>
      </w:r>
      <w:r w:rsidR="00B226BE" w:rsidRPr="004635E5">
        <w:rPr>
          <w:rFonts w:eastAsia="Batang"/>
          <w:sz w:val="22"/>
          <w:szCs w:val="22"/>
          <w:lang w:val="en-NZ" w:eastAsia="ko-KR"/>
        </w:rPr>
        <w:t xml:space="preserve">SPC </w:t>
      </w:r>
      <w:r w:rsidR="00C11873" w:rsidRPr="004635E5">
        <w:rPr>
          <w:rFonts w:eastAsia="Batang"/>
          <w:sz w:val="22"/>
          <w:szCs w:val="22"/>
          <w:lang w:val="en-NZ" w:eastAsia="ko-KR"/>
        </w:rPr>
        <w:t xml:space="preserve">replied that the request and thus focus for SC14 was on including an </w:t>
      </w:r>
      <w:r w:rsidR="00997A26">
        <w:rPr>
          <w:rFonts w:eastAsia="Batang"/>
          <w:sz w:val="22"/>
          <w:szCs w:val="22"/>
          <w:lang w:val="en-NZ" w:eastAsia="ko-KR"/>
        </w:rPr>
        <w:t>updated</w:t>
      </w:r>
      <w:r w:rsidR="00E74B76" w:rsidRPr="004635E5">
        <w:rPr>
          <w:rFonts w:eastAsia="Batang"/>
          <w:sz w:val="22"/>
          <w:szCs w:val="22"/>
          <w:lang w:val="en-AU" w:eastAsia="ko-KR"/>
        </w:rPr>
        <w:t xml:space="preserve"> </w:t>
      </w:r>
      <w:r w:rsidR="00997A26">
        <w:rPr>
          <w:rFonts w:eastAsia="Batang"/>
          <w:sz w:val="22"/>
          <w:szCs w:val="22"/>
          <w:lang w:val="en-AU" w:eastAsia="ko-KR"/>
        </w:rPr>
        <w:t>n</w:t>
      </w:r>
      <w:r w:rsidR="00E74B76" w:rsidRPr="004635E5">
        <w:rPr>
          <w:rFonts w:eastAsia="Batang"/>
          <w:sz w:val="22"/>
          <w:szCs w:val="22"/>
          <w:lang w:val="en-AU" w:eastAsia="ko-KR"/>
        </w:rPr>
        <w:t>ew</w:t>
      </w:r>
      <w:r w:rsidR="00E74B76" w:rsidRPr="004635E5" w:rsidDel="00E74B76">
        <w:rPr>
          <w:rFonts w:eastAsia="Batang"/>
          <w:sz w:val="22"/>
          <w:szCs w:val="22"/>
          <w:lang w:val="en-NZ" w:eastAsia="ko-KR"/>
        </w:rPr>
        <w:t xml:space="preserve"> </w:t>
      </w:r>
      <w:r w:rsidR="00C11873" w:rsidRPr="004635E5">
        <w:rPr>
          <w:rFonts w:eastAsia="Batang"/>
          <w:sz w:val="22"/>
          <w:szCs w:val="22"/>
          <w:lang w:val="en-NZ" w:eastAsia="ko-KR"/>
        </w:rPr>
        <w:t xml:space="preserve">growth curve, </w:t>
      </w:r>
      <w:r w:rsidR="0056042A" w:rsidRPr="004635E5">
        <w:rPr>
          <w:rFonts w:eastAsia="Batang"/>
          <w:sz w:val="22"/>
          <w:szCs w:val="22"/>
          <w:lang w:val="en-NZ" w:eastAsia="ko-KR"/>
        </w:rPr>
        <w:t xml:space="preserve">but </w:t>
      </w:r>
      <w:r w:rsidR="00C11873" w:rsidRPr="004635E5">
        <w:rPr>
          <w:rFonts w:eastAsia="Batang"/>
          <w:sz w:val="22"/>
          <w:szCs w:val="22"/>
          <w:lang w:val="en-NZ" w:eastAsia="ko-KR"/>
        </w:rPr>
        <w:t xml:space="preserve">that some preliminary analysis </w:t>
      </w:r>
      <w:r w:rsidR="00CD1A5E" w:rsidRPr="004635E5">
        <w:rPr>
          <w:rFonts w:eastAsia="Batang"/>
          <w:sz w:val="22"/>
          <w:szCs w:val="22"/>
          <w:lang w:val="en-NZ" w:eastAsia="ko-KR"/>
        </w:rPr>
        <w:t xml:space="preserve">had been done </w:t>
      </w:r>
      <w:r w:rsidR="0056042A" w:rsidRPr="004635E5">
        <w:rPr>
          <w:rFonts w:eastAsia="Batang"/>
          <w:sz w:val="22"/>
          <w:szCs w:val="22"/>
          <w:lang w:val="en-NZ" w:eastAsia="ko-KR"/>
        </w:rPr>
        <w:t>on such a</w:t>
      </w:r>
      <w:r w:rsidR="00CD1A5E" w:rsidRPr="004635E5">
        <w:rPr>
          <w:rFonts w:eastAsia="Batang"/>
          <w:sz w:val="22"/>
          <w:szCs w:val="22"/>
          <w:lang w:val="en-NZ" w:eastAsia="ko-KR"/>
        </w:rPr>
        <w:t>n integrated</w:t>
      </w:r>
      <w:r w:rsidR="0056042A" w:rsidRPr="004635E5">
        <w:rPr>
          <w:rFonts w:eastAsia="Batang"/>
          <w:sz w:val="22"/>
          <w:szCs w:val="22"/>
          <w:lang w:val="en-NZ" w:eastAsia="ko-KR"/>
        </w:rPr>
        <w:t xml:space="preserve"> model</w:t>
      </w:r>
      <w:r w:rsidR="00C11873" w:rsidRPr="004635E5">
        <w:rPr>
          <w:rFonts w:eastAsia="Batang"/>
          <w:sz w:val="22"/>
          <w:szCs w:val="22"/>
          <w:lang w:val="en-NZ" w:eastAsia="ko-KR"/>
        </w:rPr>
        <w:t>.</w:t>
      </w:r>
    </w:p>
    <w:p w14:paraId="45C9BB8F"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672D44CC" w14:textId="77777777" w:rsidR="00091861" w:rsidRPr="004635E5" w:rsidRDefault="007C6590"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Chinese Taipei inquired why the selectivity </w:t>
      </w:r>
      <w:r w:rsidR="001775FB" w:rsidRPr="004635E5">
        <w:rPr>
          <w:rFonts w:eastAsia="Batang"/>
          <w:sz w:val="22"/>
          <w:szCs w:val="22"/>
          <w:lang w:val="en-NZ" w:eastAsia="ko-KR"/>
        </w:rPr>
        <w:t>of the longline fishery changed from dome-shaped to asymptotic in the absence of changes in the fishery.</w:t>
      </w:r>
      <w:r w:rsidR="008C54F8" w:rsidRPr="004635E5">
        <w:rPr>
          <w:rFonts w:eastAsia="Batang"/>
          <w:sz w:val="22"/>
          <w:szCs w:val="22"/>
          <w:lang w:val="en-NZ" w:eastAsia="ko-KR"/>
        </w:rPr>
        <w:t xml:space="preserve"> M</w:t>
      </w:r>
      <w:r w:rsidR="002938B7" w:rsidRPr="004635E5">
        <w:rPr>
          <w:rFonts w:eastAsia="Batang"/>
          <w:sz w:val="22"/>
          <w:szCs w:val="22"/>
          <w:lang w:val="en-NZ" w:eastAsia="ko-KR"/>
        </w:rPr>
        <w:t xml:space="preserve">. Vincent </w:t>
      </w:r>
      <w:r w:rsidR="006801E9" w:rsidRPr="004635E5">
        <w:rPr>
          <w:rFonts w:eastAsia="Batang"/>
          <w:sz w:val="22"/>
          <w:szCs w:val="22"/>
          <w:lang w:val="en-NZ" w:eastAsia="ko-KR"/>
        </w:rPr>
        <w:t>indicated t</w:t>
      </w:r>
      <w:r w:rsidR="006801E9" w:rsidRPr="004635E5">
        <w:rPr>
          <w:rFonts w:eastAsia="Batang"/>
          <w:sz w:val="22"/>
          <w:szCs w:val="22"/>
          <w:lang w:eastAsia="ko-KR"/>
        </w:rPr>
        <w:t>he change is due to the size at length; the dome-shaped selectivity of the old growth model is due to the L</w:t>
      </w:r>
      <w:r w:rsidR="006801E9" w:rsidRPr="004635E5">
        <w:rPr>
          <w:rFonts w:eastAsia="Batang"/>
          <w:sz w:val="22"/>
          <w:szCs w:val="22"/>
          <w:vertAlign w:val="subscript"/>
          <w:lang w:eastAsia="ko-KR"/>
        </w:rPr>
        <w:t xml:space="preserve">max </w:t>
      </w:r>
      <w:r w:rsidR="0056042A" w:rsidRPr="004635E5">
        <w:rPr>
          <w:rFonts w:eastAsia="Batang"/>
          <w:sz w:val="22"/>
          <w:szCs w:val="22"/>
          <w:lang w:eastAsia="ko-KR"/>
        </w:rPr>
        <w:t xml:space="preserve">being set </w:t>
      </w:r>
      <w:r w:rsidR="006801E9" w:rsidRPr="004635E5">
        <w:rPr>
          <w:rFonts w:eastAsia="Batang"/>
          <w:sz w:val="22"/>
          <w:szCs w:val="22"/>
          <w:lang w:eastAsia="ko-KR"/>
        </w:rPr>
        <w:t xml:space="preserve">to a high value, which resulted in the model believing that the fisheries were not catching the largest fish, but generally </w:t>
      </w:r>
      <w:r w:rsidR="004421B3" w:rsidRPr="004635E5">
        <w:rPr>
          <w:rFonts w:eastAsia="Batang"/>
          <w:sz w:val="22"/>
          <w:szCs w:val="22"/>
          <w:lang w:eastAsia="ko-KR"/>
        </w:rPr>
        <w:t>longline</w:t>
      </w:r>
      <w:r w:rsidR="006801E9" w:rsidRPr="004635E5">
        <w:rPr>
          <w:rFonts w:eastAsia="Batang"/>
          <w:sz w:val="22"/>
          <w:szCs w:val="22"/>
          <w:lang w:eastAsia="ko-KR"/>
        </w:rPr>
        <w:t xml:space="preserve"> fisheries are assumed to catch the largest sizes, so the use of the asymptotic selectivity is more realistic</w:t>
      </w:r>
      <w:r w:rsidR="008C54F8" w:rsidRPr="004635E5">
        <w:rPr>
          <w:rFonts w:eastAsia="Batang"/>
          <w:sz w:val="22"/>
          <w:szCs w:val="22"/>
          <w:lang w:val="en-NZ" w:eastAsia="ko-KR"/>
        </w:rPr>
        <w:t xml:space="preserve">. </w:t>
      </w:r>
      <w:r w:rsidR="002938B7" w:rsidRPr="004635E5">
        <w:rPr>
          <w:rFonts w:eastAsia="Batang"/>
          <w:sz w:val="22"/>
          <w:szCs w:val="22"/>
          <w:lang w:val="en-NZ" w:eastAsia="ko-KR"/>
        </w:rPr>
        <w:t>C</w:t>
      </w:r>
      <w:r w:rsidR="00371E39">
        <w:rPr>
          <w:rFonts w:eastAsia="Batang" w:hint="eastAsia"/>
          <w:sz w:val="22"/>
          <w:szCs w:val="22"/>
          <w:lang w:val="en-NZ" w:eastAsia="ko-KR"/>
        </w:rPr>
        <w:t>h</w:t>
      </w:r>
      <w:r w:rsidR="002938B7" w:rsidRPr="004635E5">
        <w:rPr>
          <w:rFonts w:eastAsia="Batang"/>
          <w:sz w:val="22"/>
          <w:szCs w:val="22"/>
          <w:lang w:val="en-NZ" w:eastAsia="ko-KR"/>
        </w:rPr>
        <w:t xml:space="preserve">inese Taipei </w:t>
      </w:r>
      <w:r w:rsidR="00B226BE" w:rsidRPr="004635E5">
        <w:rPr>
          <w:rFonts w:eastAsia="Batang"/>
          <w:sz w:val="22"/>
          <w:szCs w:val="22"/>
          <w:lang w:val="en-NZ" w:eastAsia="ko-KR"/>
        </w:rPr>
        <w:t xml:space="preserve">noted apparent inconsistencies between presentations at SC14 regarding </w:t>
      </w:r>
      <w:r w:rsidR="008C54F8" w:rsidRPr="004635E5">
        <w:rPr>
          <w:rFonts w:eastAsia="Batang"/>
          <w:sz w:val="22"/>
          <w:szCs w:val="22"/>
          <w:lang w:val="en-NZ" w:eastAsia="ko-KR"/>
        </w:rPr>
        <w:t>max</w:t>
      </w:r>
      <w:r w:rsidR="002938B7" w:rsidRPr="004635E5">
        <w:rPr>
          <w:rFonts w:eastAsia="Batang"/>
          <w:sz w:val="22"/>
          <w:szCs w:val="22"/>
          <w:lang w:val="en-NZ" w:eastAsia="ko-KR"/>
        </w:rPr>
        <w:t>imum</w:t>
      </w:r>
      <w:r w:rsidR="008C54F8" w:rsidRPr="004635E5">
        <w:rPr>
          <w:rFonts w:eastAsia="Batang"/>
          <w:sz w:val="22"/>
          <w:szCs w:val="22"/>
          <w:lang w:val="en-NZ" w:eastAsia="ko-KR"/>
        </w:rPr>
        <w:t xml:space="preserve"> age </w:t>
      </w:r>
      <w:r w:rsidR="00B226BE" w:rsidRPr="004635E5">
        <w:rPr>
          <w:rFonts w:eastAsia="Batang"/>
          <w:sz w:val="22"/>
          <w:szCs w:val="22"/>
          <w:lang w:val="en-NZ" w:eastAsia="ko-KR"/>
        </w:rPr>
        <w:t>(</w:t>
      </w:r>
      <w:r w:rsidR="008C54F8" w:rsidRPr="004635E5">
        <w:rPr>
          <w:rFonts w:eastAsia="Batang"/>
          <w:sz w:val="22"/>
          <w:szCs w:val="22"/>
          <w:lang w:val="en-NZ" w:eastAsia="ko-KR"/>
        </w:rPr>
        <w:t>15</w:t>
      </w:r>
      <w:r w:rsidR="00B226BE" w:rsidRPr="004635E5">
        <w:rPr>
          <w:rFonts w:eastAsia="Batang"/>
          <w:sz w:val="22"/>
          <w:szCs w:val="22"/>
          <w:lang w:val="en-NZ" w:eastAsia="ko-KR"/>
        </w:rPr>
        <w:t xml:space="preserve"> vs. 10 years)</w:t>
      </w:r>
      <w:r w:rsidR="002938B7" w:rsidRPr="004635E5">
        <w:rPr>
          <w:rFonts w:eastAsia="Batang"/>
          <w:sz w:val="22"/>
          <w:szCs w:val="22"/>
          <w:lang w:val="en-NZ" w:eastAsia="ko-KR"/>
        </w:rPr>
        <w:t xml:space="preserve">, and asked </w:t>
      </w:r>
      <w:r w:rsidR="006801E9" w:rsidRPr="004635E5">
        <w:rPr>
          <w:rFonts w:eastAsia="Batang"/>
          <w:sz w:val="22"/>
          <w:szCs w:val="22"/>
          <w:lang w:val="en-NZ" w:eastAsia="ko-KR"/>
        </w:rPr>
        <w:t xml:space="preserve">if </w:t>
      </w:r>
      <w:r w:rsidR="002938B7" w:rsidRPr="004635E5">
        <w:rPr>
          <w:rFonts w:eastAsia="Batang"/>
          <w:sz w:val="22"/>
          <w:szCs w:val="22"/>
          <w:lang w:val="en-NZ" w:eastAsia="ko-KR"/>
        </w:rPr>
        <w:t xml:space="preserve">a </w:t>
      </w:r>
      <w:r w:rsidR="008C54F8" w:rsidRPr="004635E5">
        <w:rPr>
          <w:rFonts w:eastAsia="Batang"/>
          <w:sz w:val="22"/>
          <w:szCs w:val="22"/>
          <w:lang w:val="en-NZ" w:eastAsia="ko-KR"/>
        </w:rPr>
        <w:t xml:space="preserve">high growth </w:t>
      </w:r>
      <w:r w:rsidR="002938B7" w:rsidRPr="004635E5">
        <w:rPr>
          <w:rFonts w:eastAsia="Batang"/>
          <w:sz w:val="22"/>
          <w:szCs w:val="22"/>
          <w:lang w:val="en-NZ" w:eastAsia="ko-KR"/>
        </w:rPr>
        <w:t>rate had been explored; p</w:t>
      </w:r>
      <w:r w:rsidR="008C54F8" w:rsidRPr="004635E5">
        <w:rPr>
          <w:rFonts w:eastAsia="Batang"/>
          <w:sz w:val="22"/>
          <w:szCs w:val="22"/>
          <w:lang w:val="en-NZ" w:eastAsia="ko-KR"/>
        </w:rPr>
        <w:t xml:space="preserve">revious fishery data may show </w:t>
      </w:r>
      <w:r w:rsidR="002938B7" w:rsidRPr="004635E5">
        <w:rPr>
          <w:rFonts w:eastAsia="Batang"/>
          <w:sz w:val="22"/>
          <w:szCs w:val="22"/>
          <w:lang w:val="en-NZ" w:eastAsia="ko-KR"/>
        </w:rPr>
        <w:t xml:space="preserve">a </w:t>
      </w:r>
      <w:r w:rsidR="008C54F8" w:rsidRPr="004635E5">
        <w:rPr>
          <w:rFonts w:eastAsia="Batang"/>
          <w:sz w:val="22"/>
          <w:szCs w:val="22"/>
          <w:lang w:val="en-NZ" w:eastAsia="ko-KR"/>
        </w:rPr>
        <w:t xml:space="preserve">slight shift in growth for </w:t>
      </w:r>
      <w:r w:rsidR="002938B7" w:rsidRPr="004635E5">
        <w:rPr>
          <w:rFonts w:eastAsia="Batang"/>
          <w:sz w:val="22"/>
          <w:szCs w:val="22"/>
          <w:lang w:val="en-NZ" w:eastAsia="ko-KR"/>
        </w:rPr>
        <w:t xml:space="preserve">species </w:t>
      </w:r>
      <w:r w:rsidR="008C54F8" w:rsidRPr="004635E5">
        <w:rPr>
          <w:rFonts w:eastAsia="Batang"/>
          <w:sz w:val="22"/>
          <w:szCs w:val="22"/>
          <w:lang w:val="en-NZ" w:eastAsia="ko-KR"/>
        </w:rPr>
        <w:t xml:space="preserve">exploited </w:t>
      </w:r>
      <w:r w:rsidR="002938B7" w:rsidRPr="004635E5">
        <w:rPr>
          <w:rFonts w:eastAsia="Batang"/>
          <w:sz w:val="22"/>
          <w:szCs w:val="22"/>
          <w:lang w:val="en-NZ" w:eastAsia="ko-KR"/>
        </w:rPr>
        <w:t>over long periods</w:t>
      </w:r>
      <w:r w:rsidR="008C54F8" w:rsidRPr="004635E5">
        <w:rPr>
          <w:rFonts w:eastAsia="Batang"/>
          <w:sz w:val="22"/>
          <w:szCs w:val="22"/>
          <w:lang w:val="en-NZ" w:eastAsia="ko-KR"/>
        </w:rPr>
        <w:t xml:space="preserve">. </w:t>
      </w:r>
      <w:r w:rsidR="00B226BE" w:rsidRPr="004635E5">
        <w:rPr>
          <w:rFonts w:eastAsia="Batang"/>
          <w:sz w:val="22"/>
          <w:szCs w:val="22"/>
          <w:lang w:val="en-NZ" w:eastAsia="ko-KR"/>
        </w:rPr>
        <w:t xml:space="preserve">SPC </w:t>
      </w:r>
      <w:r w:rsidR="00CE34E7" w:rsidRPr="004635E5">
        <w:rPr>
          <w:rFonts w:eastAsia="Batang"/>
          <w:sz w:val="22"/>
          <w:szCs w:val="22"/>
          <w:lang w:val="en-NZ" w:eastAsia="ko-KR"/>
        </w:rPr>
        <w:t xml:space="preserve">noted that they </w:t>
      </w:r>
      <w:r w:rsidR="008C54F8" w:rsidRPr="004635E5">
        <w:rPr>
          <w:rFonts w:eastAsia="Batang"/>
          <w:sz w:val="22"/>
          <w:szCs w:val="22"/>
          <w:lang w:val="en-NZ" w:eastAsia="ko-KR"/>
        </w:rPr>
        <w:t>explored siz</w:t>
      </w:r>
      <w:r w:rsidR="00CE34E7" w:rsidRPr="004635E5">
        <w:rPr>
          <w:rFonts w:eastAsia="Batang"/>
          <w:sz w:val="22"/>
          <w:szCs w:val="22"/>
          <w:lang w:val="en-NZ" w:eastAsia="ko-KR"/>
        </w:rPr>
        <w:t>e frequency</w:t>
      </w:r>
      <w:r w:rsidR="008C54F8" w:rsidRPr="004635E5">
        <w:rPr>
          <w:rFonts w:eastAsia="Batang"/>
          <w:sz w:val="22"/>
          <w:szCs w:val="22"/>
          <w:lang w:val="en-NZ" w:eastAsia="ko-KR"/>
        </w:rPr>
        <w:t xml:space="preserve"> data, </w:t>
      </w:r>
      <w:r w:rsidR="0056042A" w:rsidRPr="004635E5">
        <w:rPr>
          <w:rFonts w:eastAsia="Batang"/>
          <w:sz w:val="22"/>
          <w:szCs w:val="22"/>
          <w:lang w:val="en-NZ" w:eastAsia="ko-KR"/>
        </w:rPr>
        <w:t xml:space="preserve">and </w:t>
      </w:r>
      <w:r w:rsidR="008C54F8" w:rsidRPr="004635E5">
        <w:rPr>
          <w:rFonts w:eastAsia="Batang"/>
          <w:sz w:val="22"/>
          <w:szCs w:val="22"/>
          <w:lang w:val="en-NZ" w:eastAsia="ko-KR"/>
        </w:rPr>
        <w:t xml:space="preserve">looked at </w:t>
      </w:r>
      <w:r w:rsidR="0056042A" w:rsidRPr="004635E5">
        <w:rPr>
          <w:rFonts w:eastAsia="Batang"/>
          <w:sz w:val="22"/>
          <w:szCs w:val="22"/>
          <w:lang w:val="en-NZ" w:eastAsia="ko-KR"/>
        </w:rPr>
        <w:t xml:space="preserve">the percentage </w:t>
      </w:r>
      <w:r w:rsidR="008C54F8" w:rsidRPr="004635E5">
        <w:rPr>
          <w:rFonts w:eastAsia="Batang"/>
          <w:sz w:val="22"/>
          <w:szCs w:val="22"/>
          <w:lang w:val="en-NZ" w:eastAsia="ko-KR"/>
        </w:rPr>
        <w:t>of fish over L</w:t>
      </w:r>
      <w:r w:rsidR="00E01BE8" w:rsidRPr="004635E5">
        <w:rPr>
          <w:rFonts w:eastAsia="Batang"/>
          <w:sz w:val="22"/>
          <w:szCs w:val="22"/>
          <w:vertAlign w:val="subscript"/>
          <w:lang w:val="en-NZ" w:eastAsia="ko-KR"/>
        </w:rPr>
        <w:t>∞</w:t>
      </w:r>
      <w:r w:rsidR="003C1C8E" w:rsidRPr="004635E5">
        <w:rPr>
          <w:rFonts w:eastAsia="Batang"/>
          <w:sz w:val="22"/>
          <w:szCs w:val="22"/>
          <w:vertAlign w:val="subscript"/>
          <w:lang w:val="en-NZ" w:eastAsia="ko-KR"/>
        </w:rPr>
        <w:t xml:space="preserve">, </w:t>
      </w:r>
      <w:r w:rsidR="003C1C8E" w:rsidRPr="004635E5">
        <w:rPr>
          <w:rFonts w:eastAsia="Batang"/>
          <w:sz w:val="22"/>
          <w:szCs w:val="22"/>
          <w:lang w:val="en-NZ" w:eastAsia="ko-KR"/>
        </w:rPr>
        <w:t>but</w:t>
      </w:r>
      <w:r w:rsidR="003C1C8E" w:rsidRPr="004635E5">
        <w:rPr>
          <w:rFonts w:eastAsia="Batang"/>
          <w:sz w:val="22"/>
          <w:szCs w:val="22"/>
          <w:vertAlign w:val="subscript"/>
          <w:lang w:val="en-NZ" w:eastAsia="ko-KR"/>
        </w:rPr>
        <w:t xml:space="preserve"> </w:t>
      </w:r>
      <w:r w:rsidR="003C1C8E" w:rsidRPr="004635E5">
        <w:rPr>
          <w:rFonts w:eastAsia="Batang"/>
          <w:sz w:val="22"/>
          <w:szCs w:val="22"/>
          <w:lang w:val="en-NZ" w:eastAsia="ko-KR"/>
        </w:rPr>
        <w:t xml:space="preserve">found </w:t>
      </w:r>
      <w:r w:rsidR="008C54F8" w:rsidRPr="004635E5">
        <w:rPr>
          <w:rFonts w:eastAsia="Batang"/>
          <w:sz w:val="22"/>
          <w:szCs w:val="22"/>
          <w:lang w:val="en-NZ" w:eastAsia="ko-KR"/>
        </w:rPr>
        <w:t xml:space="preserve">no </w:t>
      </w:r>
      <w:r w:rsidR="00CE34E7" w:rsidRPr="004635E5">
        <w:rPr>
          <w:rFonts w:eastAsia="Batang"/>
          <w:sz w:val="22"/>
          <w:szCs w:val="22"/>
          <w:lang w:val="en-NZ" w:eastAsia="ko-KR"/>
        </w:rPr>
        <w:t xml:space="preserve">significant </w:t>
      </w:r>
      <w:r w:rsidR="008C54F8" w:rsidRPr="004635E5">
        <w:rPr>
          <w:rFonts w:eastAsia="Batang"/>
          <w:sz w:val="22"/>
          <w:szCs w:val="22"/>
          <w:lang w:val="en-NZ" w:eastAsia="ko-KR"/>
        </w:rPr>
        <w:t>change in size</w:t>
      </w:r>
      <w:r w:rsidR="003C1C8E" w:rsidRPr="004635E5">
        <w:rPr>
          <w:rFonts w:eastAsia="Batang"/>
          <w:sz w:val="22"/>
          <w:szCs w:val="22"/>
          <w:lang w:val="en-NZ" w:eastAsia="ko-KR"/>
        </w:rPr>
        <w:t xml:space="preserve"> </w:t>
      </w:r>
      <w:r w:rsidR="008C54F8" w:rsidRPr="004635E5">
        <w:rPr>
          <w:rFonts w:eastAsia="Batang"/>
          <w:sz w:val="22"/>
          <w:szCs w:val="22"/>
          <w:lang w:val="en-NZ" w:eastAsia="ko-KR"/>
        </w:rPr>
        <w:t>freq</w:t>
      </w:r>
      <w:r w:rsidR="003C1C8E" w:rsidRPr="004635E5">
        <w:rPr>
          <w:rFonts w:eastAsia="Batang"/>
          <w:sz w:val="22"/>
          <w:szCs w:val="22"/>
          <w:lang w:val="en-NZ" w:eastAsia="ko-KR"/>
        </w:rPr>
        <w:t>uency</w:t>
      </w:r>
      <w:r w:rsidR="008C54F8" w:rsidRPr="004635E5">
        <w:rPr>
          <w:rFonts w:eastAsia="Batang"/>
          <w:sz w:val="22"/>
          <w:szCs w:val="22"/>
          <w:lang w:val="en-NZ" w:eastAsia="ko-KR"/>
        </w:rPr>
        <w:t xml:space="preserve"> data. </w:t>
      </w:r>
      <w:r w:rsidR="00FE04A8" w:rsidRPr="004635E5">
        <w:rPr>
          <w:rFonts w:eastAsia="Batang"/>
          <w:sz w:val="22"/>
          <w:szCs w:val="22"/>
          <w:lang w:val="en-NZ" w:eastAsia="ko-KR"/>
        </w:rPr>
        <w:t xml:space="preserve">Chinese Taipei also inquired regarding </w:t>
      </w:r>
      <w:r w:rsidR="008C54F8" w:rsidRPr="004635E5">
        <w:rPr>
          <w:rFonts w:eastAsia="Batang"/>
          <w:sz w:val="22"/>
          <w:szCs w:val="22"/>
          <w:lang w:val="en-NZ" w:eastAsia="ko-KR"/>
        </w:rPr>
        <w:t>model diagnostic</w:t>
      </w:r>
      <w:r w:rsidR="00FE04A8" w:rsidRPr="004635E5">
        <w:rPr>
          <w:rFonts w:eastAsia="Batang"/>
          <w:sz w:val="22"/>
          <w:szCs w:val="22"/>
          <w:lang w:val="en-NZ" w:eastAsia="ko-KR"/>
        </w:rPr>
        <w:t xml:space="preserve">s, and the performance of the </w:t>
      </w:r>
      <w:r w:rsidR="008C54F8" w:rsidRPr="004635E5">
        <w:rPr>
          <w:rFonts w:eastAsia="Batang"/>
          <w:sz w:val="22"/>
          <w:szCs w:val="22"/>
          <w:lang w:val="en-NZ" w:eastAsia="ko-KR"/>
        </w:rPr>
        <w:t xml:space="preserve">model between </w:t>
      </w:r>
      <w:r w:rsidR="004156A3">
        <w:rPr>
          <w:rFonts w:eastAsia="Batang" w:hint="eastAsia"/>
          <w:sz w:val="22"/>
          <w:szCs w:val="22"/>
          <w:lang w:val="en-NZ" w:eastAsia="ko-KR"/>
        </w:rPr>
        <w:t xml:space="preserve">updated </w:t>
      </w:r>
      <w:r w:rsidR="008C54F8" w:rsidRPr="004635E5">
        <w:rPr>
          <w:rFonts w:eastAsia="Batang"/>
          <w:sz w:val="22"/>
          <w:szCs w:val="22"/>
          <w:lang w:val="en-NZ" w:eastAsia="ko-KR"/>
        </w:rPr>
        <w:t>new and old growth</w:t>
      </w:r>
      <w:r w:rsidR="003C1C8E" w:rsidRPr="004635E5">
        <w:rPr>
          <w:rFonts w:eastAsia="Batang"/>
          <w:sz w:val="22"/>
          <w:szCs w:val="22"/>
          <w:lang w:val="en-NZ" w:eastAsia="ko-KR"/>
        </w:rPr>
        <w:t xml:space="preserve"> models</w:t>
      </w:r>
      <w:r w:rsidR="008C54F8" w:rsidRPr="004635E5">
        <w:rPr>
          <w:rFonts w:eastAsia="Batang"/>
          <w:sz w:val="22"/>
          <w:szCs w:val="22"/>
          <w:lang w:val="en-NZ" w:eastAsia="ko-KR"/>
        </w:rPr>
        <w:t xml:space="preserve">. </w:t>
      </w:r>
      <w:r w:rsidR="00FE04A8" w:rsidRPr="004635E5">
        <w:rPr>
          <w:rFonts w:eastAsia="Batang"/>
          <w:sz w:val="22"/>
          <w:szCs w:val="22"/>
          <w:lang w:val="en-NZ" w:eastAsia="ko-KR"/>
        </w:rPr>
        <w:t xml:space="preserve">SPC noted the </w:t>
      </w:r>
      <w:r w:rsidR="008C54F8" w:rsidRPr="004635E5">
        <w:rPr>
          <w:rFonts w:eastAsia="Batang"/>
          <w:sz w:val="22"/>
          <w:szCs w:val="22"/>
          <w:lang w:val="en-NZ" w:eastAsia="ko-KR"/>
        </w:rPr>
        <w:t>full range of model diagnostics</w:t>
      </w:r>
      <w:r w:rsidR="00FE04A8" w:rsidRPr="004635E5">
        <w:rPr>
          <w:rFonts w:eastAsia="Batang"/>
          <w:sz w:val="22"/>
          <w:szCs w:val="22"/>
          <w:lang w:val="en-NZ" w:eastAsia="ko-KR"/>
        </w:rPr>
        <w:t xml:space="preserve"> was not run</w:t>
      </w:r>
      <w:r w:rsidR="008C54F8" w:rsidRPr="004635E5">
        <w:rPr>
          <w:rFonts w:eastAsia="Batang"/>
          <w:sz w:val="22"/>
          <w:szCs w:val="22"/>
          <w:lang w:val="en-NZ" w:eastAsia="ko-KR"/>
        </w:rPr>
        <w:t xml:space="preserve">, as this was not a full assessment, but </w:t>
      </w:r>
      <w:r w:rsidR="00FE04A8" w:rsidRPr="004635E5">
        <w:rPr>
          <w:rFonts w:eastAsia="Batang"/>
          <w:sz w:val="22"/>
          <w:szCs w:val="22"/>
          <w:lang w:val="en-NZ" w:eastAsia="ko-KR"/>
        </w:rPr>
        <w:t xml:space="preserve">rather </w:t>
      </w:r>
      <w:r w:rsidR="008C54F8" w:rsidRPr="004635E5">
        <w:rPr>
          <w:rFonts w:eastAsia="Batang"/>
          <w:sz w:val="22"/>
          <w:szCs w:val="22"/>
          <w:lang w:val="en-NZ" w:eastAsia="ko-KR"/>
        </w:rPr>
        <w:t xml:space="preserve">an update to include the </w:t>
      </w:r>
      <w:r w:rsidR="004156A3">
        <w:rPr>
          <w:rFonts w:eastAsia="Batang" w:hint="eastAsia"/>
          <w:sz w:val="22"/>
          <w:szCs w:val="22"/>
          <w:lang w:val="en-NZ" w:eastAsia="ko-KR"/>
        </w:rPr>
        <w:t xml:space="preserve">updated </w:t>
      </w:r>
      <w:r w:rsidR="008C54F8" w:rsidRPr="004635E5">
        <w:rPr>
          <w:rFonts w:eastAsia="Batang"/>
          <w:sz w:val="22"/>
          <w:szCs w:val="22"/>
          <w:lang w:val="en-NZ" w:eastAsia="ko-KR"/>
        </w:rPr>
        <w:t xml:space="preserve">new growth model. Diagnostics </w:t>
      </w:r>
      <w:r w:rsidR="00FE04A8" w:rsidRPr="004635E5">
        <w:rPr>
          <w:rFonts w:eastAsia="Batang"/>
          <w:sz w:val="22"/>
          <w:szCs w:val="22"/>
          <w:lang w:val="en-NZ" w:eastAsia="ko-KR"/>
        </w:rPr>
        <w:t xml:space="preserve">were undertaken </w:t>
      </w:r>
      <w:r w:rsidR="008C54F8" w:rsidRPr="004635E5">
        <w:rPr>
          <w:rFonts w:eastAsia="Batang"/>
          <w:sz w:val="22"/>
          <w:szCs w:val="22"/>
          <w:lang w:val="en-NZ" w:eastAsia="ko-KR"/>
        </w:rPr>
        <w:t xml:space="preserve">in </w:t>
      </w:r>
      <w:r w:rsidR="00FE04A8" w:rsidRPr="004635E5">
        <w:rPr>
          <w:rFonts w:eastAsia="Batang"/>
          <w:sz w:val="22"/>
          <w:szCs w:val="22"/>
          <w:lang w:val="en-NZ" w:eastAsia="ko-KR"/>
        </w:rPr>
        <w:t xml:space="preserve">the 2017 </w:t>
      </w:r>
      <w:r w:rsidR="008C54F8" w:rsidRPr="004635E5">
        <w:rPr>
          <w:rFonts w:eastAsia="Batang"/>
          <w:sz w:val="22"/>
          <w:szCs w:val="22"/>
          <w:lang w:val="en-NZ" w:eastAsia="ko-KR"/>
        </w:rPr>
        <w:t xml:space="preserve">assessment. </w:t>
      </w:r>
      <w:r w:rsidR="00FE04A8" w:rsidRPr="004635E5">
        <w:rPr>
          <w:rFonts w:eastAsia="Batang"/>
          <w:sz w:val="22"/>
          <w:szCs w:val="22"/>
          <w:lang w:val="en-NZ" w:eastAsia="ko-KR"/>
        </w:rPr>
        <w:t>I</w:t>
      </w:r>
      <w:r w:rsidR="00B226BE" w:rsidRPr="004635E5">
        <w:rPr>
          <w:rFonts w:eastAsia="Batang"/>
          <w:sz w:val="22"/>
          <w:szCs w:val="22"/>
          <w:lang w:val="en-NZ" w:eastAsia="ko-KR"/>
        </w:rPr>
        <w:t>n</w:t>
      </w:r>
      <w:r w:rsidR="00FE04A8" w:rsidRPr="004635E5">
        <w:rPr>
          <w:rFonts w:eastAsia="Batang"/>
          <w:sz w:val="22"/>
          <w:szCs w:val="22"/>
          <w:lang w:val="en-NZ" w:eastAsia="ko-KR"/>
        </w:rPr>
        <w:t xml:space="preserve"> 2018 all mode</w:t>
      </w:r>
      <w:r w:rsidR="008C54F8" w:rsidRPr="004635E5">
        <w:rPr>
          <w:rFonts w:eastAsia="Batang"/>
          <w:sz w:val="22"/>
          <w:szCs w:val="22"/>
          <w:lang w:val="en-NZ" w:eastAsia="ko-KR"/>
        </w:rPr>
        <w:t>l</w:t>
      </w:r>
      <w:r w:rsidR="00FE04A8" w:rsidRPr="004635E5">
        <w:rPr>
          <w:rFonts w:eastAsia="Batang"/>
          <w:sz w:val="22"/>
          <w:szCs w:val="22"/>
          <w:lang w:val="en-NZ" w:eastAsia="ko-KR"/>
        </w:rPr>
        <w:t>s</w:t>
      </w:r>
      <w:r w:rsidR="008C54F8" w:rsidRPr="004635E5">
        <w:rPr>
          <w:rFonts w:eastAsia="Batang"/>
          <w:sz w:val="22"/>
          <w:szCs w:val="22"/>
          <w:lang w:val="en-NZ" w:eastAsia="ko-KR"/>
        </w:rPr>
        <w:t xml:space="preserve"> were rerun, in som</w:t>
      </w:r>
      <w:r w:rsidR="00545434" w:rsidRPr="004635E5">
        <w:rPr>
          <w:rFonts w:eastAsia="Batang"/>
          <w:sz w:val="22"/>
          <w:szCs w:val="22"/>
          <w:lang w:val="en-NZ" w:eastAsia="ko-KR"/>
        </w:rPr>
        <w:t xml:space="preserve">e cases </w:t>
      </w:r>
      <w:r w:rsidR="00FE04A8" w:rsidRPr="004635E5">
        <w:rPr>
          <w:rFonts w:eastAsia="Batang"/>
          <w:sz w:val="22"/>
          <w:szCs w:val="22"/>
          <w:lang w:val="en-NZ" w:eastAsia="ko-KR"/>
        </w:rPr>
        <w:t xml:space="preserve">they </w:t>
      </w:r>
      <w:r w:rsidR="00545434" w:rsidRPr="004635E5">
        <w:rPr>
          <w:rFonts w:eastAsia="Batang"/>
          <w:sz w:val="22"/>
          <w:szCs w:val="22"/>
          <w:lang w:val="en-NZ" w:eastAsia="ko-KR"/>
        </w:rPr>
        <w:t>saw better convergence than</w:t>
      </w:r>
      <w:r w:rsidR="00FE04A8" w:rsidRPr="004635E5">
        <w:rPr>
          <w:rFonts w:eastAsia="Batang"/>
          <w:sz w:val="22"/>
          <w:szCs w:val="22"/>
          <w:lang w:val="en-NZ" w:eastAsia="ko-KR"/>
        </w:rPr>
        <w:t xml:space="preserve"> </w:t>
      </w:r>
      <w:r w:rsidR="00545434" w:rsidRPr="004635E5">
        <w:rPr>
          <w:rFonts w:eastAsia="Batang"/>
          <w:sz w:val="22"/>
          <w:szCs w:val="22"/>
          <w:lang w:val="en-NZ" w:eastAsia="ko-KR"/>
        </w:rPr>
        <w:t>in 2017.</w:t>
      </w:r>
    </w:p>
    <w:p w14:paraId="4EB53CDF"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19ED0D08" w14:textId="77777777" w:rsidR="00545434" w:rsidRPr="004635E5" w:rsidRDefault="00545434"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USA</w:t>
      </w:r>
      <w:r w:rsidR="006462D2" w:rsidRPr="004635E5">
        <w:rPr>
          <w:rFonts w:eastAsia="Batang"/>
          <w:sz w:val="22"/>
          <w:szCs w:val="22"/>
          <w:lang w:val="en-NZ" w:eastAsia="ko-KR"/>
        </w:rPr>
        <w:t xml:space="preserve"> observed that SPC had </w:t>
      </w:r>
      <w:r w:rsidRPr="004635E5">
        <w:rPr>
          <w:rFonts w:eastAsia="Batang"/>
          <w:sz w:val="22"/>
          <w:szCs w:val="22"/>
          <w:lang w:val="en-NZ" w:eastAsia="ko-KR"/>
        </w:rPr>
        <w:t>accomplished what was req</w:t>
      </w:r>
      <w:r w:rsidR="006462D2" w:rsidRPr="004635E5">
        <w:rPr>
          <w:rFonts w:eastAsia="Batang"/>
          <w:sz w:val="22"/>
          <w:szCs w:val="22"/>
          <w:lang w:val="en-NZ" w:eastAsia="ko-KR"/>
        </w:rPr>
        <w:t>uired</w:t>
      </w:r>
      <w:r w:rsidRPr="004635E5">
        <w:rPr>
          <w:rFonts w:eastAsia="Batang"/>
          <w:sz w:val="22"/>
          <w:szCs w:val="22"/>
          <w:lang w:val="en-NZ" w:eastAsia="ko-KR"/>
        </w:rPr>
        <w:t xml:space="preserve"> </w:t>
      </w:r>
      <w:r w:rsidR="003C1C8E" w:rsidRPr="004635E5">
        <w:rPr>
          <w:rFonts w:eastAsia="Batang"/>
          <w:sz w:val="22"/>
          <w:szCs w:val="22"/>
          <w:lang w:val="en-NZ" w:eastAsia="ko-KR"/>
        </w:rPr>
        <w:t xml:space="preserve">by </w:t>
      </w:r>
      <w:r w:rsidRPr="004635E5">
        <w:rPr>
          <w:rFonts w:eastAsia="Batang"/>
          <w:sz w:val="22"/>
          <w:szCs w:val="22"/>
          <w:lang w:val="en-NZ" w:eastAsia="ko-KR"/>
        </w:rPr>
        <w:t xml:space="preserve">WCPFC14. </w:t>
      </w:r>
      <w:r w:rsidR="003C1C8E" w:rsidRPr="004635E5">
        <w:rPr>
          <w:rFonts w:eastAsia="Batang"/>
          <w:sz w:val="22"/>
          <w:szCs w:val="22"/>
          <w:lang w:val="en-NZ" w:eastAsia="ko-KR"/>
        </w:rPr>
        <w:t xml:space="preserve">They </w:t>
      </w:r>
      <w:r w:rsidR="005C68D7" w:rsidRPr="004635E5">
        <w:rPr>
          <w:rFonts w:eastAsia="Batang"/>
          <w:sz w:val="22"/>
          <w:szCs w:val="22"/>
          <w:lang w:val="en-NZ" w:eastAsia="ko-KR"/>
        </w:rPr>
        <w:t xml:space="preserve">noted that this </w:t>
      </w:r>
      <w:r w:rsidR="006462D2" w:rsidRPr="004635E5">
        <w:rPr>
          <w:rFonts w:eastAsia="Batang"/>
          <w:sz w:val="22"/>
          <w:szCs w:val="22"/>
          <w:lang w:val="en-NZ" w:eastAsia="ko-KR"/>
        </w:rPr>
        <w:t xml:space="preserve">constituted an attempt </w:t>
      </w:r>
      <w:r w:rsidRPr="004635E5">
        <w:rPr>
          <w:rFonts w:eastAsia="Batang"/>
          <w:sz w:val="22"/>
          <w:szCs w:val="22"/>
          <w:lang w:val="en-NZ" w:eastAsia="ko-KR"/>
        </w:rPr>
        <w:t>to model 65 y</w:t>
      </w:r>
      <w:r w:rsidR="00202EA7">
        <w:rPr>
          <w:rFonts w:eastAsia="Batang" w:hint="eastAsia"/>
          <w:sz w:val="22"/>
          <w:szCs w:val="22"/>
          <w:lang w:val="en-NZ" w:eastAsia="ko-KR"/>
        </w:rPr>
        <w:t>ea</w:t>
      </w:r>
      <w:r w:rsidRPr="004635E5">
        <w:rPr>
          <w:rFonts w:eastAsia="Batang"/>
          <w:sz w:val="22"/>
          <w:szCs w:val="22"/>
          <w:lang w:val="en-NZ" w:eastAsia="ko-KR"/>
        </w:rPr>
        <w:t>rs of pop</w:t>
      </w:r>
      <w:r w:rsidR="006462D2" w:rsidRPr="004635E5">
        <w:rPr>
          <w:rFonts w:eastAsia="Batang"/>
          <w:sz w:val="22"/>
          <w:szCs w:val="22"/>
          <w:lang w:val="en-NZ" w:eastAsia="ko-KR"/>
        </w:rPr>
        <w:t>ulation</w:t>
      </w:r>
      <w:r w:rsidRPr="004635E5">
        <w:rPr>
          <w:rFonts w:eastAsia="Batang"/>
          <w:sz w:val="22"/>
          <w:szCs w:val="22"/>
          <w:lang w:val="en-NZ" w:eastAsia="ko-KR"/>
        </w:rPr>
        <w:t xml:space="preserve"> dynamics</w:t>
      </w:r>
      <w:r w:rsidR="006462D2" w:rsidRPr="004635E5">
        <w:rPr>
          <w:rFonts w:eastAsia="Batang"/>
          <w:sz w:val="22"/>
          <w:szCs w:val="22"/>
          <w:lang w:val="en-NZ" w:eastAsia="ko-KR"/>
        </w:rPr>
        <w:t>, during which s</w:t>
      </w:r>
      <w:r w:rsidRPr="004635E5">
        <w:rPr>
          <w:rFonts w:eastAsia="Batang"/>
          <w:sz w:val="22"/>
          <w:szCs w:val="22"/>
          <w:lang w:val="en-NZ" w:eastAsia="ko-KR"/>
        </w:rPr>
        <w:t>ize comp</w:t>
      </w:r>
      <w:r w:rsidR="006462D2" w:rsidRPr="004635E5">
        <w:rPr>
          <w:rFonts w:eastAsia="Batang"/>
          <w:sz w:val="22"/>
          <w:szCs w:val="22"/>
          <w:lang w:val="en-NZ" w:eastAsia="ko-KR"/>
        </w:rPr>
        <w:t>osition had changed (e.g., i</w:t>
      </w:r>
      <w:r w:rsidRPr="004635E5">
        <w:rPr>
          <w:rFonts w:eastAsia="Batang"/>
          <w:sz w:val="22"/>
          <w:szCs w:val="22"/>
          <w:lang w:val="en-NZ" w:eastAsia="ko-KR"/>
        </w:rPr>
        <w:t>n Hawaii size has decreased</w:t>
      </w:r>
      <w:r w:rsidR="006801E9" w:rsidRPr="004635E5">
        <w:rPr>
          <w:rFonts w:eastAsia="Batang"/>
          <w:sz w:val="22"/>
          <w:szCs w:val="22"/>
          <w:lang w:val="en-NZ" w:eastAsia="ko-KR"/>
        </w:rPr>
        <w:t xml:space="preserve"> significantly</w:t>
      </w:r>
      <w:r w:rsidR="006462D2" w:rsidRPr="004635E5">
        <w:rPr>
          <w:rFonts w:eastAsia="Batang"/>
          <w:sz w:val="22"/>
          <w:szCs w:val="22"/>
          <w:lang w:val="en-NZ" w:eastAsia="ko-KR"/>
        </w:rPr>
        <w:t xml:space="preserve">), and asked whether it was appropriate </w:t>
      </w:r>
      <w:r w:rsidRPr="004635E5">
        <w:rPr>
          <w:rFonts w:eastAsia="Batang"/>
          <w:sz w:val="22"/>
          <w:szCs w:val="22"/>
          <w:lang w:val="en-NZ" w:eastAsia="ko-KR"/>
        </w:rPr>
        <w:t>to use this model for that range of time</w:t>
      </w:r>
      <w:r w:rsidR="00EF298A">
        <w:rPr>
          <w:rFonts w:eastAsia="Batang" w:hint="eastAsia"/>
          <w:sz w:val="22"/>
          <w:szCs w:val="22"/>
          <w:lang w:val="en-NZ" w:eastAsia="ko-KR"/>
        </w:rPr>
        <w:t>.</w:t>
      </w:r>
      <w:r w:rsidRPr="004635E5">
        <w:rPr>
          <w:rFonts w:eastAsia="Batang"/>
          <w:sz w:val="22"/>
          <w:szCs w:val="22"/>
          <w:lang w:val="en-NZ" w:eastAsia="ko-KR"/>
        </w:rPr>
        <w:t xml:space="preserve"> </w:t>
      </w:r>
      <w:r w:rsidR="00B226BE" w:rsidRPr="004635E5">
        <w:rPr>
          <w:rFonts w:eastAsia="Batang"/>
          <w:sz w:val="22"/>
          <w:szCs w:val="22"/>
          <w:lang w:val="en-NZ" w:eastAsia="ko-KR"/>
        </w:rPr>
        <w:t xml:space="preserve">SPC </w:t>
      </w:r>
      <w:r w:rsidR="006801E9" w:rsidRPr="004635E5">
        <w:rPr>
          <w:rFonts w:eastAsia="Batang"/>
          <w:sz w:val="22"/>
          <w:szCs w:val="22"/>
          <w:lang w:val="en-NZ" w:eastAsia="ko-KR"/>
        </w:rPr>
        <w:t xml:space="preserve">indicated </w:t>
      </w:r>
      <w:r w:rsidR="006801E9" w:rsidRPr="004635E5">
        <w:rPr>
          <w:rFonts w:eastAsia="Batang"/>
          <w:sz w:val="22"/>
          <w:szCs w:val="22"/>
          <w:lang w:eastAsia="ko-KR"/>
        </w:rPr>
        <w:t xml:space="preserve">a model with conditional length-at-age was investigated and the results were very similar to the </w:t>
      </w:r>
      <w:r w:rsidR="004156A3">
        <w:rPr>
          <w:rFonts w:eastAsia="Batang" w:hint="eastAsia"/>
          <w:sz w:val="22"/>
          <w:szCs w:val="22"/>
          <w:lang w:eastAsia="ko-KR"/>
        </w:rPr>
        <w:t xml:space="preserve">updated </w:t>
      </w:r>
      <w:r w:rsidR="006801E9" w:rsidRPr="004635E5">
        <w:rPr>
          <w:rFonts w:eastAsia="Batang"/>
          <w:sz w:val="22"/>
          <w:szCs w:val="22"/>
          <w:lang w:eastAsia="ko-KR"/>
        </w:rPr>
        <w:t>new growth model.</w:t>
      </w:r>
    </w:p>
    <w:p w14:paraId="3619B377"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1306A19E" w14:textId="77777777" w:rsidR="006801E9" w:rsidRPr="004635E5" w:rsidRDefault="00767630" w:rsidP="00580EA4">
      <w:pPr>
        <w:numPr>
          <w:ilvl w:val="0"/>
          <w:numId w:val="18"/>
        </w:numPr>
        <w:autoSpaceDE w:val="0"/>
        <w:autoSpaceDN w:val="0"/>
        <w:adjustRightInd w:val="0"/>
        <w:snapToGrid w:val="0"/>
        <w:ind w:left="0" w:firstLine="0"/>
        <w:jc w:val="both"/>
        <w:rPr>
          <w:rFonts w:eastAsia="Batang"/>
          <w:sz w:val="22"/>
          <w:szCs w:val="22"/>
          <w:lang w:eastAsia="ko-KR"/>
        </w:rPr>
      </w:pPr>
      <w:r w:rsidRPr="004635E5">
        <w:rPr>
          <w:rFonts w:eastAsia="Batang"/>
          <w:sz w:val="22"/>
          <w:szCs w:val="22"/>
          <w:lang w:eastAsia="ko-KR"/>
        </w:rPr>
        <w:t xml:space="preserve">Cook </w:t>
      </w:r>
      <w:r w:rsidR="006462D2" w:rsidRPr="004635E5">
        <w:rPr>
          <w:rFonts w:eastAsia="Batang"/>
          <w:sz w:val="22"/>
          <w:szCs w:val="22"/>
          <w:lang w:eastAsia="ko-KR"/>
        </w:rPr>
        <w:t>I</w:t>
      </w:r>
      <w:r w:rsidRPr="004635E5">
        <w:rPr>
          <w:rFonts w:eastAsia="Batang"/>
          <w:sz w:val="22"/>
          <w:szCs w:val="22"/>
          <w:lang w:eastAsia="ko-KR"/>
        </w:rPr>
        <w:t xml:space="preserve">slands </w:t>
      </w:r>
      <w:r w:rsidR="006462D2" w:rsidRPr="004635E5">
        <w:rPr>
          <w:rFonts w:eastAsia="Batang"/>
          <w:sz w:val="22"/>
          <w:szCs w:val="22"/>
          <w:lang w:eastAsia="ko-KR"/>
        </w:rPr>
        <w:t xml:space="preserve">spoke </w:t>
      </w:r>
      <w:r w:rsidRPr="004635E5">
        <w:rPr>
          <w:rFonts w:eastAsia="Batang"/>
          <w:sz w:val="22"/>
          <w:szCs w:val="22"/>
          <w:lang w:eastAsia="ko-KR"/>
        </w:rPr>
        <w:t>on behalf of FFA members</w:t>
      </w:r>
      <w:r w:rsidR="006462D2" w:rsidRPr="004635E5">
        <w:rPr>
          <w:rFonts w:eastAsia="Batang"/>
          <w:sz w:val="22"/>
          <w:szCs w:val="22"/>
          <w:lang w:eastAsia="ko-KR"/>
        </w:rPr>
        <w:t xml:space="preserve">, noting the </w:t>
      </w:r>
      <w:r w:rsidR="00997A26">
        <w:rPr>
          <w:rFonts w:eastAsia="Batang"/>
          <w:sz w:val="22"/>
          <w:szCs w:val="22"/>
          <w:lang w:eastAsia="ko-KR"/>
        </w:rPr>
        <w:t>u</w:t>
      </w:r>
      <w:r w:rsidR="003C1C8E" w:rsidRPr="00997A26">
        <w:rPr>
          <w:rFonts w:eastAsia="Batang"/>
          <w:sz w:val="22"/>
          <w:szCs w:val="22"/>
          <w:lang w:eastAsia="ko-KR"/>
        </w:rPr>
        <w:t xml:space="preserve">pdated </w:t>
      </w:r>
      <w:r w:rsidR="00997A26">
        <w:rPr>
          <w:rFonts w:eastAsia="Batang"/>
          <w:sz w:val="22"/>
          <w:szCs w:val="22"/>
          <w:lang w:eastAsia="ko-KR"/>
        </w:rPr>
        <w:t>n</w:t>
      </w:r>
      <w:r w:rsidR="003C1C8E" w:rsidRPr="00997A26">
        <w:rPr>
          <w:rFonts w:eastAsia="Batang"/>
          <w:sz w:val="22"/>
          <w:szCs w:val="22"/>
          <w:lang w:eastAsia="ko-KR"/>
        </w:rPr>
        <w:t xml:space="preserve">ew </w:t>
      </w:r>
      <w:r w:rsidRPr="00997A26">
        <w:rPr>
          <w:rFonts w:eastAsia="Batang"/>
          <w:sz w:val="22"/>
          <w:szCs w:val="22"/>
          <w:lang w:eastAsia="ko-KR"/>
        </w:rPr>
        <w:t xml:space="preserve">growth </w:t>
      </w:r>
      <w:r w:rsidR="006462D2" w:rsidRPr="00997A26">
        <w:rPr>
          <w:rFonts w:eastAsia="Batang"/>
          <w:sz w:val="22"/>
          <w:szCs w:val="22"/>
          <w:lang w:eastAsia="ko-KR"/>
        </w:rPr>
        <w:t>model</w:t>
      </w:r>
      <w:r w:rsidR="006462D2" w:rsidRPr="004635E5">
        <w:rPr>
          <w:rFonts w:eastAsia="Batang"/>
          <w:sz w:val="22"/>
          <w:szCs w:val="22"/>
          <w:lang w:eastAsia="ko-KR"/>
        </w:rPr>
        <w:t xml:space="preserve"> </w:t>
      </w:r>
      <w:r w:rsidR="003C1C8E" w:rsidRPr="004635E5">
        <w:rPr>
          <w:rFonts w:eastAsia="Batang"/>
          <w:sz w:val="22"/>
          <w:szCs w:val="22"/>
          <w:lang w:eastAsia="ko-KR"/>
        </w:rPr>
        <w:t>provided</w:t>
      </w:r>
      <w:r w:rsidRPr="004635E5">
        <w:rPr>
          <w:rFonts w:eastAsia="Batang"/>
          <w:sz w:val="22"/>
          <w:szCs w:val="22"/>
          <w:lang w:eastAsia="ko-KR"/>
        </w:rPr>
        <w:t xml:space="preserve"> SC with a robust and reliable model of bigeye growth in the WCPO, addressing concerns raised by the scientific services provider for several years</w:t>
      </w:r>
      <w:r w:rsidR="003C1C8E" w:rsidRPr="004635E5">
        <w:rPr>
          <w:rFonts w:eastAsia="Batang"/>
          <w:sz w:val="22"/>
          <w:szCs w:val="22"/>
          <w:lang w:eastAsia="ko-KR"/>
        </w:rPr>
        <w:t>, noting s</w:t>
      </w:r>
      <w:r w:rsidRPr="004635E5">
        <w:rPr>
          <w:rFonts w:eastAsia="Batang"/>
          <w:sz w:val="22"/>
          <w:szCs w:val="22"/>
          <w:lang w:eastAsia="ko-KR"/>
        </w:rPr>
        <w:t xml:space="preserve">ignificant resources and work </w:t>
      </w:r>
      <w:r w:rsidR="003C1C8E" w:rsidRPr="004635E5">
        <w:rPr>
          <w:rFonts w:eastAsia="Batang"/>
          <w:sz w:val="22"/>
          <w:szCs w:val="22"/>
          <w:lang w:eastAsia="ko-KR"/>
        </w:rPr>
        <w:t xml:space="preserve">had </w:t>
      </w:r>
      <w:r w:rsidRPr="004635E5">
        <w:rPr>
          <w:rFonts w:eastAsia="Batang"/>
          <w:sz w:val="22"/>
          <w:szCs w:val="22"/>
          <w:lang w:eastAsia="ko-KR"/>
        </w:rPr>
        <w:t xml:space="preserve">been undertaken to address the question of bigeye growth rates in the WCPO. </w:t>
      </w:r>
      <w:r w:rsidR="006462D2" w:rsidRPr="004635E5">
        <w:rPr>
          <w:rFonts w:eastAsia="Batang"/>
          <w:sz w:val="22"/>
          <w:szCs w:val="22"/>
          <w:lang w:eastAsia="ko-KR"/>
        </w:rPr>
        <w:t xml:space="preserve">FFA members </w:t>
      </w:r>
      <w:r w:rsidRPr="004635E5">
        <w:rPr>
          <w:rFonts w:eastAsia="Batang"/>
          <w:sz w:val="22"/>
          <w:szCs w:val="22"/>
          <w:lang w:eastAsia="ko-KR"/>
        </w:rPr>
        <w:t>support</w:t>
      </w:r>
      <w:r w:rsidR="00870BEB" w:rsidRPr="004635E5">
        <w:rPr>
          <w:rFonts w:eastAsia="Batang"/>
          <w:sz w:val="22"/>
          <w:szCs w:val="22"/>
          <w:lang w:eastAsia="ko-KR"/>
        </w:rPr>
        <w:t>ed</w:t>
      </w:r>
      <w:r w:rsidR="003C1C8E" w:rsidRPr="004635E5">
        <w:rPr>
          <w:rFonts w:eastAsia="Batang"/>
          <w:sz w:val="22"/>
          <w:szCs w:val="22"/>
          <w:lang w:eastAsia="ko-KR"/>
        </w:rPr>
        <w:t xml:space="preserve"> the removal of the </w:t>
      </w:r>
      <w:r w:rsidR="00E01BE8" w:rsidRPr="004635E5">
        <w:rPr>
          <w:rFonts w:eastAsia="Batang"/>
          <w:sz w:val="22"/>
          <w:szCs w:val="22"/>
          <w:lang w:eastAsia="ko-KR"/>
        </w:rPr>
        <w:t>o</w:t>
      </w:r>
      <w:r w:rsidR="003C1C8E" w:rsidRPr="004635E5">
        <w:rPr>
          <w:rFonts w:eastAsia="Batang"/>
          <w:sz w:val="22"/>
          <w:szCs w:val="22"/>
          <w:lang w:eastAsia="ko-KR"/>
        </w:rPr>
        <w:t xml:space="preserve">ld growth </w:t>
      </w:r>
      <w:r w:rsidRPr="004635E5">
        <w:rPr>
          <w:rFonts w:eastAsia="Batang"/>
          <w:sz w:val="22"/>
          <w:szCs w:val="22"/>
          <w:lang w:eastAsia="ko-KR"/>
        </w:rPr>
        <w:t>data and recommend</w:t>
      </w:r>
      <w:r w:rsidR="00870BEB" w:rsidRPr="004635E5">
        <w:rPr>
          <w:rFonts w:eastAsia="Batang"/>
          <w:sz w:val="22"/>
          <w:szCs w:val="22"/>
          <w:lang w:eastAsia="ko-KR"/>
        </w:rPr>
        <w:t>ed</w:t>
      </w:r>
      <w:r w:rsidRPr="004635E5">
        <w:rPr>
          <w:rFonts w:eastAsia="Batang"/>
          <w:sz w:val="22"/>
          <w:szCs w:val="22"/>
          <w:lang w:eastAsia="ko-KR"/>
        </w:rPr>
        <w:t xml:space="preserve"> that </w:t>
      </w:r>
      <w:r w:rsidR="00870BEB" w:rsidRPr="004635E5">
        <w:rPr>
          <w:rFonts w:eastAsia="Batang"/>
          <w:sz w:val="22"/>
          <w:szCs w:val="22"/>
          <w:lang w:eastAsia="ko-KR"/>
        </w:rPr>
        <w:t xml:space="preserve">they </w:t>
      </w:r>
      <w:r w:rsidRPr="004635E5">
        <w:rPr>
          <w:rFonts w:eastAsia="Batang"/>
          <w:sz w:val="22"/>
          <w:szCs w:val="22"/>
          <w:lang w:eastAsia="ko-KR"/>
        </w:rPr>
        <w:t xml:space="preserve">no longer be used in the uncertainty grid. </w:t>
      </w:r>
      <w:r w:rsidR="00870BEB" w:rsidRPr="004635E5">
        <w:rPr>
          <w:rFonts w:eastAsia="Batang"/>
          <w:sz w:val="22"/>
          <w:szCs w:val="22"/>
          <w:lang w:eastAsia="ko-KR"/>
        </w:rPr>
        <w:t xml:space="preserve">In </w:t>
      </w:r>
      <w:r w:rsidRPr="004635E5">
        <w:rPr>
          <w:rFonts w:eastAsia="Batang"/>
          <w:sz w:val="22"/>
          <w:szCs w:val="22"/>
          <w:lang w:eastAsia="ko-KR"/>
        </w:rPr>
        <w:t xml:space="preserve">support </w:t>
      </w:r>
      <w:r w:rsidR="00870BEB" w:rsidRPr="004635E5">
        <w:rPr>
          <w:rFonts w:eastAsia="Batang"/>
          <w:sz w:val="22"/>
          <w:szCs w:val="22"/>
          <w:lang w:eastAsia="ko-KR"/>
        </w:rPr>
        <w:t>of an earlier comment</w:t>
      </w:r>
      <w:r w:rsidRPr="004635E5">
        <w:rPr>
          <w:rFonts w:eastAsia="Batang"/>
          <w:sz w:val="22"/>
          <w:szCs w:val="22"/>
          <w:lang w:eastAsia="ko-KR"/>
        </w:rPr>
        <w:t xml:space="preserve"> from RMI, although the stock appears to remain above the LRP, </w:t>
      </w:r>
      <w:r w:rsidR="00870BEB" w:rsidRPr="004635E5">
        <w:rPr>
          <w:rFonts w:eastAsia="Batang"/>
          <w:sz w:val="22"/>
          <w:szCs w:val="22"/>
          <w:lang w:eastAsia="ko-KR"/>
        </w:rPr>
        <w:t xml:space="preserve">they </w:t>
      </w:r>
      <w:r w:rsidR="003C1C8E" w:rsidRPr="004635E5">
        <w:rPr>
          <w:rFonts w:eastAsia="Batang"/>
          <w:sz w:val="22"/>
          <w:szCs w:val="22"/>
          <w:lang w:eastAsia="ko-KR"/>
        </w:rPr>
        <w:t>emphasized</w:t>
      </w:r>
      <w:r w:rsidRPr="004635E5">
        <w:rPr>
          <w:rFonts w:eastAsia="Batang"/>
          <w:sz w:val="22"/>
          <w:szCs w:val="22"/>
          <w:lang w:eastAsia="ko-KR"/>
        </w:rPr>
        <w:t xml:space="preserve"> the need to develop appropriate TRP</w:t>
      </w:r>
      <w:r w:rsidR="00870BEB" w:rsidRPr="004635E5">
        <w:rPr>
          <w:rFonts w:eastAsia="Batang"/>
          <w:sz w:val="22"/>
          <w:szCs w:val="22"/>
          <w:lang w:eastAsia="ko-KR"/>
        </w:rPr>
        <w:t>s</w:t>
      </w:r>
      <w:r w:rsidRPr="004635E5">
        <w:rPr>
          <w:rFonts w:eastAsia="Batang"/>
          <w:sz w:val="22"/>
          <w:szCs w:val="22"/>
          <w:lang w:eastAsia="ko-KR"/>
        </w:rPr>
        <w:t xml:space="preserve"> to ensure mortality </w:t>
      </w:r>
      <w:r w:rsidR="003C1C8E" w:rsidRPr="004635E5">
        <w:rPr>
          <w:rFonts w:eastAsia="Batang"/>
          <w:sz w:val="22"/>
          <w:szCs w:val="22"/>
          <w:lang w:eastAsia="ko-KR"/>
        </w:rPr>
        <w:t xml:space="preserve">was effectively managed </w:t>
      </w:r>
      <w:r w:rsidRPr="004635E5">
        <w:rPr>
          <w:rFonts w:eastAsia="Batang"/>
          <w:sz w:val="22"/>
          <w:szCs w:val="22"/>
          <w:lang w:eastAsia="ko-KR"/>
        </w:rPr>
        <w:t>through fishing</w:t>
      </w:r>
      <w:r w:rsidR="003C1C8E" w:rsidRPr="004635E5">
        <w:rPr>
          <w:rFonts w:eastAsia="Batang"/>
          <w:sz w:val="22"/>
          <w:szCs w:val="22"/>
          <w:lang w:eastAsia="ko-KR"/>
        </w:rPr>
        <w:t>,</w:t>
      </w:r>
      <w:r w:rsidRPr="004635E5">
        <w:rPr>
          <w:rFonts w:eastAsia="Batang"/>
          <w:sz w:val="22"/>
          <w:szCs w:val="22"/>
          <w:lang w:eastAsia="ko-KR"/>
        </w:rPr>
        <w:t xml:space="preserve"> and </w:t>
      </w:r>
      <w:r w:rsidR="003C1C8E" w:rsidRPr="004635E5">
        <w:rPr>
          <w:rFonts w:eastAsia="Batang"/>
          <w:sz w:val="22"/>
          <w:szCs w:val="22"/>
          <w:lang w:eastAsia="ko-KR"/>
        </w:rPr>
        <w:t xml:space="preserve">enable </w:t>
      </w:r>
      <w:r w:rsidRPr="004635E5">
        <w:rPr>
          <w:rFonts w:eastAsia="Batang"/>
          <w:sz w:val="22"/>
          <w:szCs w:val="22"/>
          <w:lang w:eastAsia="ko-KR"/>
        </w:rPr>
        <w:t>objectives set out for the stock</w:t>
      </w:r>
      <w:r w:rsidR="003C1C8E" w:rsidRPr="004635E5">
        <w:rPr>
          <w:rFonts w:eastAsia="Batang"/>
          <w:sz w:val="22"/>
          <w:szCs w:val="22"/>
          <w:lang w:eastAsia="ko-KR"/>
        </w:rPr>
        <w:t xml:space="preserve"> to be met</w:t>
      </w:r>
      <w:r w:rsidRPr="004635E5">
        <w:rPr>
          <w:rFonts w:eastAsia="Batang"/>
          <w:sz w:val="22"/>
          <w:szCs w:val="22"/>
          <w:lang w:eastAsia="ko-KR"/>
        </w:rPr>
        <w:t>.</w:t>
      </w:r>
    </w:p>
    <w:p w14:paraId="0072E585" w14:textId="77777777" w:rsidR="00D73BF8" w:rsidRPr="004635E5" w:rsidRDefault="00D73BF8" w:rsidP="006633A8">
      <w:pPr>
        <w:autoSpaceDE w:val="0"/>
        <w:autoSpaceDN w:val="0"/>
        <w:adjustRightInd w:val="0"/>
        <w:snapToGrid w:val="0"/>
        <w:jc w:val="both"/>
        <w:rPr>
          <w:rFonts w:eastAsia="Batang"/>
          <w:sz w:val="22"/>
          <w:szCs w:val="22"/>
          <w:lang w:eastAsia="ko-KR"/>
        </w:rPr>
      </w:pPr>
    </w:p>
    <w:p w14:paraId="52DBDEDB" w14:textId="77777777" w:rsidR="00BD3C6D" w:rsidRPr="004635E5" w:rsidRDefault="00870BEB" w:rsidP="00580EA4">
      <w:pPr>
        <w:numPr>
          <w:ilvl w:val="0"/>
          <w:numId w:val="18"/>
        </w:numPr>
        <w:autoSpaceDE w:val="0"/>
        <w:autoSpaceDN w:val="0"/>
        <w:adjustRightInd w:val="0"/>
        <w:snapToGrid w:val="0"/>
        <w:ind w:left="0" w:firstLine="0"/>
        <w:jc w:val="both"/>
        <w:rPr>
          <w:rFonts w:eastAsia="Batang"/>
          <w:sz w:val="22"/>
          <w:szCs w:val="22"/>
          <w:lang w:eastAsia="ko-KR"/>
        </w:rPr>
      </w:pPr>
      <w:r w:rsidRPr="004635E5">
        <w:rPr>
          <w:rFonts w:eastAsia="Batang"/>
          <w:sz w:val="22"/>
          <w:szCs w:val="22"/>
          <w:lang w:eastAsia="ko-KR"/>
        </w:rPr>
        <w:t xml:space="preserve">The </w:t>
      </w:r>
      <w:r w:rsidR="00545434" w:rsidRPr="004635E5">
        <w:rPr>
          <w:rFonts w:eastAsia="Batang"/>
          <w:sz w:val="22"/>
          <w:szCs w:val="22"/>
          <w:lang w:eastAsia="ko-KR"/>
        </w:rPr>
        <w:t>EU</w:t>
      </w:r>
      <w:r w:rsidRPr="004635E5">
        <w:rPr>
          <w:rFonts w:eastAsia="Batang"/>
          <w:sz w:val="22"/>
          <w:szCs w:val="22"/>
          <w:lang w:eastAsia="ko-KR"/>
        </w:rPr>
        <w:t xml:space="preserve"> </w:t>
      </w:r>
      <w:r w:rsidR="006801E9" w:rsidRPr="004635E5">
        <w:rPr>
          <w:rFonts w:eastAsia="Batang"/>
          <w:sz w:val="22"/>
          <w:szCs w:val="22"/>
          <w:lang w:eastAsia="ko-KR"/>
        </w:rPr>
        <w:t xml:space="preserve">commented that regional integration should not make such a difference assuming that regional weightings </w:t>
      </w:r>
      <w:r w:rsidR="003C1C8E" w:rsidRPr="004635E5">
        <w:rPr>
          <w:rFonts w:eastAsia="Batang"/>
          <w:sz w:val="22"/>
          <w:szCs w:val="22"/>
          <w:lang w:eastAsia="ko-KR"/>
        </w:rPr>
        <w:t xml:space="preserve">were </w:t>
      </w:r>
      <w:r w:rsidR="006801E9" w:rsidRPr="004635E5">
        <w:rPr>
          <w:rFonts w:eastAsia="Batang"/>
          <w:sz w:val="22"/>
          <w:szCs w:val="22"/>
          <w:lang w:eastAsia="ko-KR"/>
        </w:rPr>
        <w:t xml:space="preserve">based on the data, and asked </w:t>
      </w:r>
      <w:r w:rsidR="00BD3C6D" w:rsidRPr="004635E5">
        <w:rPr>
          <w:rFonts w:eastAsia="Batang"/>
          <w:sz w:val="22"/>
          <w:szCs w:val="22"/>
          <w:lang w:eastAsia="ko-KR"/>
        </w:rPr>
        <w:t xml:space="preserve">whether the </w:t>
      </w:r>
      <w:r w:rsidR="006801E9" w:rsidRPr="004635E5">
        <w:rPr>
          <w:rFonts w:eastAsia="Batang"/>
          <w:sz w:val="22"/>
          <w:szCs w:val="22"/>
          <w:lang w:eastAsia="ko-KR"/>
        </w:rPr>
        <w:t xml:space="preserve">difference </w:t>
      </w:r>
      <w:r w:rsidR="00BD3C6D" w:rsidRPr="004635E5">
        <w:rPr>
          <w:rFonts w:eastAsia="Batang"/>
          <w:sz w:val="22"/>
          <w:szCs w:val="22"/>
          <w:lang w:eastAsia="ko-KR"/>
        </w:rPr>
        <w:t xml:space="preserve">was </w:t>
      </w:r>
      <w:r w:rsidR="006801E9" w:rsidRPr="004635E5">
        <w:rPr>
          <w:rFonts w:eastAsia="Batang"/>
          <w:sz w:val="22"/>
          <w:szCs w:val="22"/>
          <w:lang w:eastAsia="ko-KR"/>
        </w:rPr>
        <w:t>an artifact of the data</w:t>
      </w:r>
      <w:r w:rsidR="00BD3C6D" w:rsidRPr="004635E5">
        <w:rPr>
          <w:rFonts w:eastAsia="Batang"/>
          <w:sz w:val="22"/>
          <w:szCs w:val="22"/>
          <w:lang w:eastAsia="ko-KR"/>
        </w:rPr>
        <w:t xml:space="preserve">. </w:t>
      </w:r>
      <w:r w:rsidR="00B226BE" w:rsidRPr="004635E5">
        <w:rPr>
          <w:rFonts w:eastAsia="Batang"/>
          <w:sz w:val="22"/>
          <w:szCs w:val="22"/>
          <w:lang w:eastAsia="ko-KR"/>
        </w:rPr>
        <w:t xml:space="preserve">SPC </w:t>
      </w:r>
      <w:r w:rsidR="00BD3C6D" w:rsidRPr="004635E5">
        <w:rPr>
          <w:rFonts w:eastAsia="Batang"/>
          <w:sz w:val="22"/>
          <w:szCs w:val="22"/>
          <w:lang w:eastAsia="ko-KR"/>
        </w:rPr>
        <w:t xml:space="preserve">noted that </w:t>
      </w:r>
      <w:r w:rsidR="00B226BE" w:rsidRPr="004635E5">
        <w:rPr>
          <w:rFonts w:eastAsia="Batang"/>
          <w:sz w:val="22"/>
          <w:szCs w:val="22"/>
          <w:lang w:eastAsia="ko-KR"/>
        </w:rPr>
        <w:t xml:space="preserve">the </w:t>
      </w:r>
      <w:r w:rsidR="00BD3C6D" w:rsidRPr="004635E5">
        <w:rPr>
          <w:rFonts w:eastAsia="Batang"/>
          <w:sz w:val="22"/>
          <w:szCs w:val="22"/>
          <w:lang w:eastAsia="ko-KR"/>
        </w:rPr>
        <w:t xml:space="preserve">number of </w:t>
      </w:r>
      <w:r w:rsidR="00545434" w:rsidRPr="004635E5">
        <w:rPr>
          <w:rFonts w:eastAsia="Batang"/>
          <w:sz w:val="22"/>
          <w:szCs w:val="22"/>
          <w:lang w:eastAsia="ko-KR"/>
        </w:rPr>
        <w:t>tag returns do affect the model</w:t>
      </w:r>
      <w:r w:rsidR="00BD3C6D" w:rsidRPr="004635E5">
        <w:rPr>
          <w:rFonts w:eastAsia="Batang"/>
          <w:sz w:val="22"/>
          <w:szCs w:val="22"/>
          <w:lang w:eastAsia="ko-KR"/>
        </w:rPr>
        <w:t>.</w:t>
      </w:r>
      <w:r w:rsidR="00545434" w:rsidRPr="004635E5">
        <w:rPr>
          <w:rFonts w:eastAsia="Batang"/>
          <w:sz w:val="22"/>
          <w:szCs w:val="22"/>
          <w:lang w:eastAsia="ko-KR"/>
        </w:rPr>
        <w:t xml:space="preserve"> </w:t>
      </w:r>
      <w:r w:rsidR="003C1C8E" w:rsidRPr="004635E5">
        <w:rPr>
          <w:rFonts w:eastAsia="Batang"/>
          <w:sz w:val="22"/>
          <w:szCs w:val="22"/>
          <w:lang w:eastAsia="ko-KR"/>
        </w:rPr>
        <w:t>M</w:t>
      </w:r>
      <w:r w:rsidR="00BD3C6D" w:rsidRPr="004635E5">
        <w:rPr>
          <w:rFonts w:eastAsia="Batang"/>
          <w:sz w:val="22"/>
          <w:szCs w:val="22"/>
          <w:lang w:eastAsia="ko-KR"/>
        </w:rPr>
        <w:t xml:space="preserve">any </w:t>
      </w:r>
      <w:r w:rsidR="004421B3" w:rsidRPr="004635E5">
        <w:rPr>
          <w:rFonts w:eastAsia="Batang"/>
          <w:sz w:val="22"/>
          <w:szCs w:val="22"/>
          <w:lang w:eastAsia="ko-KR"/>
        </w:rPr>
        <w:t>bigeye tuna</w:t>
      </w:r>
      <w:r w:rsidR="00BD3C6D" w:rsidRPr="004635E5">
        <w:rPr>
          <w:rFonts w:eastAsia="Batang"/>
          <w:sz w:val="22"/>
          <w:szCs w:val="22"/>
          <w:lang w:eastAsia="ko-KR"/>
        </w:rPr>
        <w:t xml:space="preserve"> </w:t>
      </w:r>
      <w:r w:rsidR="003C1C8E" w:rsidRPr="004635E5">
        <w:rPr>
          <w:rFonts w:eastAsia="Batang"/>
          <w:sz w:val="22"/>
          <w:szCs w:val="22"/>
          <w:lang w:eastAsia="ko-KR"/>
        </w:rPr>
        <w:t xml:space="preserve">move </w:t>
      </w:r>
      <w:r w:rsidR="00BD3C6D" w:rsidRPr="004635E5">
        <w:rPr>
          <w:rFonts w:eastAsia="Batang"/>
          <w:sz w:val="22"/>
          <w:szCs w:val="22"/>
          <w:lang w:eastAsia="ko-KR"/>
        </w:rPr>
        <w:t>south</w:t>
      </w:r>
      <w:r w:rsidR="003C1C8E" w:rsidRPr="004635E5">
        <w:rPr>
          <w:rFonts w:eastAsia="Batang"/>
          <w:sz w:val="22"/>
          <w:szCs w:val="22"/>
          <w:lang w:eastAsia="ko-KR"/>
        </w:rPr>
        <w:t xml:space="preserve"> —</w:t>
      </w:r>
      <w:r w:rsidR="00BD3C6D" w:rsidRPr="004635E5">
        <w:rPr>
          <w:rFonts w:eastAsia="Batang"/>
          <w:sz w:val="22"/>
          <w:szCs w:val="22"/>
          <w:lang w:eastAsia="ko-KR"/>
        </w:rPr>
        <w:t xml:space="preserve"> under a 20°N model they move to a new region, while with the 10°N model they don’t. CPUE data were standardized using a geostatistical model but </w:t>
      </w:r>
      <w:r w:rsidR="00DB69E3">
        <w:rPr>
          <w:rFonts w:eastAsia="Batang"/>
          <w:sz w:val="22"/>
          <w:szCs w:val="22"/>
          <w:lang w:eastAsia="ko-KR"/>
        </w:rPr>
        <w:t>the</w:t>
      </w:r>
      <w:r w:rsidR="00DB69E3" w:rsidRPr="004635E5">
        <w:rPr>
          <w:rFonts w:eastAsia="Batang"/>
          <w:sz w:val="22"/>
          <w:szCs w:val="22"/>
          <w:lang w:eastAsia="ko-KR"/>
        </w:rPr>
        <w:t xml:space="preserve"> adequa</w:t>
      </w:r>
      <w:r w:rsidR="00DB69E3">
        <w:rPr>
          <w:rFonts w:eastAsia="Batang"/>
          <w:sz w:val="22"/>
          <w:szCs w:val="22"/>
          <w:lang w:eastAsia="ko-KR"/>
        </w:rPr>
        <w:t>cy of</w:t>
      </w:r>
      <w:r w:rsidR="00DB69E3" w:rsidRPr="004635E5">
        <w:rPr>
          <w:rFonts w:eastAsia="Batang"/>
          <w:sz w:val="22"/>
          <w:szCs w:val="22"/>
          <w:lang w:eastAsia="ko-KR"/>
        </w:rPr>
        <w:t xml:space="preserve"> </w:t>
      </w:r>
      <w:r w:rsidR="00BD3C6D" w:rsidRPr="004635E5">
        <w:rPr>
          <w:rFonts w:eastAsia="Batang"/>
          <w:sz w:val="22"/>
          <w:szCs w:val="22"/>
          <w:lang w:eastAsia="ko-KR"/>
        </w:rPr>
        <w:t>assign</w:t>
      </w:r>
      <w:r w:rsidR="003C1C8E" w:rsidRPr="004635E5">
        <w:rPr>
          <w:rFonts w:eastAsia="Batang"/>
          <w:sz w:val="22"/>
          <w:szCs w:val="22"/>
          <w:lang w:eastAsia="ko-KR"/>
        </w:rPr>
        <w:t>ment of</w:t>
      </w:r>
      <w:r w:rsidR="00BD3C6D" w:rsidRPr="004635E5">
        <w:rPr>
          <w:rFonts w:eastAsia="Batang"/>
          <w:sz w:val="22"/>
          <w:szCs w:val="22"/>
          <w:lang w:eastAsia="ko-KR"/>
        </w:rPr>
        <w:t xml:space="preserve"> data for dynamic fleets</w:t>
      </w:r>
      <w:r w:rsidR="003C1C8E" w:rsidRPr="004635E5">
        <w:rPr>
          <w:rFonts w:eastAsia="Batang"/>
          <w:sz w:val="22"/>
          <w:szCs w:val="22"/>
          <w:lang w:eastAsia="ko-KR"/>
        </w:rPr>
        <w:t xml:space="preserve"> could be improved</w:t>
      </w:r>
      <w:r w:rsidR="00BD3C6D" w:rsidRPr="004635E5">
        <w:rPr>
          <w:rFonts w:eastAsia="Batang"/>
          <w:sz w:val="22"/>
          <w:szCs w:val="22"/>
          <w:lang w:eastAsia="ko-KR"/>
        </w:rPr>
        <w:t>.</w:t>
      </w:r>
    </w:p>
    <w:p w14:paraId="58015299" w14:textId="77777777" w:rsidR="00D73BF8" w:rsidRPr="004635E5" w:rsidRDefault="00D73BF8" w:rsidP="006633A8">
      <w:pPr>
        <w:autoSpaceDE w:val="0"/>
        <w:autoSpaceDN w:val="0"/>
        <w:adjustRightInd w:val="0"/>
        <w:snapToGrid w:val="0"/>
        <w:jc w:val="both"/>
        <w:rPr>
          <w:rFonts w:eastAsia="Batang"/>
          <w:sz w:val="22"/>
          <w:szCs w:val="22"/>
          <w:lang w:eastAsia="ko-KR"/>
        </w:rPr>
      </w:pPr>
    </w:p>
    <w:p w14:paraId="45CA911F" w14:textId="77777777" w:rsidR="00CF2B94" w:rsidRPr="004635E5" w:rsidRDefault="002E39E9"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New Zealand</w:t>
      </w:r>
      <w:r w:rsidR="00870BEB" w:rsidRPr="004635E5">
        <w:rPr>
          <w:rFonts w:eastAsia="Batang"/>
          <w:sz w:val="22"/>
          <w:szCs w:val="22"/>
          <w:lang w:val="en-NZ" w:eastAsia="ko-KR"/>
        </w:rPr>
        <w:t xml:space="preserve"> noted the </w:t>
      </w:r>
      <w:r w:rsidR="009C213C" w:rsidRPr="004635E5">
        <w:rPr>
          <w:rFonts w:eastAsia="Batang"/>
          <w:sz w:val="22"/>
          <w:szCs w:val="22"/>
          <w:lang w:val="en-NZ" w:eastAsia="ko-KR"/>
        </w:rPr>
        <w:t xml:space="preserve">old </w:t>
      </w:r>
      <w:r w:rsidR="00870BEB" w:rsidRPr="004635E5">
        <w:rPr>
          <w:rFonts w:eastAsia="Batang"/>
          <w:sz w:val="22"/>
          <w:szCs w:val="22"/>
          <w:lang w:val="en-NZ" w:eastAsia="ko-KR"/>
        </w:rPr>
        <w:t>growth model ignored</w:t>
      </w:r>
      <w:r w:rsidR="009C213C" w:rsidRPr="004635E5">
        <w:rPr>
          <w:rFonts w:eastAsia="Batang"/>
          <w:sz w:val="22"/>
          <w:szCs w:val="22"/>
          <w:lang w:val="en-NZ" w:eastAsia="ko-KR"/>
        </w:rPr>
        <w:t xml:space="preserve"> </w:t>
      </w:r>
      <w:r w:rsidR="003C1C8E" w:rsidRPr="004635E5">
        <w:rPr>
          <w:rFonts w:eastAsia="Batang"/>
          <w:sz w:val="22"/>
          <w:szCs w:val="22"/>
          <w:lang w:val="en-NZ" w:eastAsia="ko-KR"/>
        </w:rPr>
        <w:t xml:space="preserve">BSIA </w:t>
      </w:r>
      <w:r w:rsidR="00870BEB" w:rsidRPr="004635E5">
        <w:rPr>
          <w:rFonts w:eastAsia="Batang"/>
          <w:sz w:val="22"/>
          <w:szCs w:val="22"/>
          <w:lang w:val="en-NZ" w:eastAsia="ko-KR"/>
        </w:rPr>
        <w:t xml:space="preserve">regarding </w:t>
      </w:r>
      <w:r w:rsidR="004421B3" w:rsidRPr="004635E5">
        <w:rPr>
          <w:rFonts w:eastAsia="Batang"/>
          <w:sz w:val="22"/>
          <w:szCs w:val="22"/>
          <w:lang w:val="en-NZ" w:eastAsia="ko-KR"/>
        </w:rPr>
        <w:t>bigeye tuna</w:t>
      </w:r>
      <w:r w:rsidR="009C213C" w:rsidRPr="004635E5">
        <w:rPr>
          <w:rFonts w:eastAsia="Batang"/>
          <w:sz w:val="22"/>
          <w:szCs w:val="22"/>
          <w:lang w:val="en-NZ" w:eastAsia="ko-KR"/>
        </w:rPr>
        <w:t xml:space="preserve"> in </w:t>
      </w:r>
      <w:r w:rsidR="003C1C8E" w:rsidRPr="004635E5">
        <w:rPr>
          <w:rFonts w:eastAsia="Batang"/>
          <w:sz w:val="22"/>
          <w:szCs w:val="22"/>
          <w:lang w:val="en-NZ" w:eastAsia="ko-KR"/>
        </w:rPr>
        <w:t xml:space="preserve">the </w:t>
      </w:r>
      <w:r w:rsidR="009C213C" w:rsidRPr="004635E5">
        <w:rPr>
          <w:rFonts w:eastAsia="Batang"/>
          <w:sz w:val="22"/>
          <w:szCs w:val="22"/>
          <w:lang w:val="en-NZ" w:eastAsia="ko-KR"/>
        </w:rPr>
        <w:t>WCPO</w:t>
      </w:r>
      <w:r w:rsidR="003C1C8E" w:rsidRPr="004635E5">
        <w:rPr>
          <w:rFonts w:eastAsia="Batang"/>
          <w:sz w:val="22"/>
          <w:szCs w:val="22"/>
          <w:lang w:val="en-NZ" w:eastAsia="ko-KR"/>
        </w:rPr>
        <w:t xml:space="preserve">, and </w:t>
      </w:r>
      <w:r w:rsidR="003C3EF6" w:rsidRPr="004635E5">
        <w:rPr>
          <w:rFonts w:eastAsia="Batang"/>
          <w:sz w:val="22"/>
          <w:szCs w:val="22"/>
          <w:lang w:val="en-NZ" w:eastAsia="ko-KR"/>
        </w:rPr>
        <w:t xml:space="preserve">encouraged SPC </w:t>
      </w:r>
      <w:r w:rsidR="009C213C" w:rsidRPr="004635E5">
        <w:rPr>
          <w:rFonts w:eastAsia="Batang"/>
          <w:sz w:val="22"/>
          <w:szCs w:val="22"/>
          <w:lang w:val="en-NZ" w:eastAsia="ko-KR"/>
        </w:rPr>
        <w:t xml:space="preserve">to remove </w:t>
      </w:r>
      <w:r w:rsidR="003C3EF6" w:rsidRPr="004635E5">
        <w:rPr>
          <w:rFonts w:eastAsia="Batang"/>
          <w:sz w:val="22"/>
          <w:szCs w:val="22"/>
          <w:lang w:val="en-NZ" w:eastAsia="ko-KR"/>
        </w:rPr>
        <w:t xml:space="preserve">the </w:t>
      </w:r>
      <w:r w:rsidR="009C213C" w:rsidRPr="004635E5">
        <w:rPr>
          <w:rFonts w:eastAsia="Batang"/>
          <w:sz w:val="22"/>
          <w:szCs w:val="22"/>
          <w:lang w:val="en-NZ" w:eastAsia="ko-KR"/>
        </w:rPr>
        <w:t>old growth</w:t>
      </w:r>
      <w:r w:rsidR="003C3EF6" w:rsidRPr="004635E5">
        <w:rPr>
          <w:rFonts w:eastAsia="Batang"/>
          <w:sz w:val="22"/>
          <w:szCs w:val="22"/>
          <w:lang w:val="en-NZ" w:eastAsia="ko-KR"/>
        </w:rPr>
        <w:t xml:space="preserve"> model</w:t>
      </w:r>
      <w:r w:rsidR="009C213C" w:rsidRPr="004635E5">
        <w:rPr>
          <w:rFonts w:eastAsia="Batang"/>
          <w:sz w:val="22"/>
          <w:szCs w:val="22"/>
          <w:lang w:val="en-NZ" w:eastAsia="ko-KR"/>
        </w:rPr>
        <w:t>.</w:t>
      </w:r>
      <w:r w:rsidR="003C1C8E" w:rsidRPr="004635E5">
        <w:rPr>
          <w:rFonts w:eastAsia="Batang"/>
          <w:sz w:val="22"/>
          <w:szCs w:val="22"/>
          <w:lang w:val="en-NZ" w:eastAsia="ko-KR"/>
        </w:rPr>
        <w:t xml:space="preserve"> </w:t>
      </w:r>
      <w:r w:rsidR="00CF2B94" w:rsidRPr="004635E5">
        <w:rPr>
          <w:sz w:val="22"/>
          <w:szCs w:val="22"/>
        </w:rPr>
        <w:t xml:space="preserve">Tuvalu, on behalf of the PNA, supported the statements made by Palau on behalf of FFA members thanking CSIRO and all other involved parties for incorporating the additional otoliths into the results of project 35 and thanking SPC for the revised assessment. </w:t>
      </w:r>
      <w:r w:rsidR="003C1C8E" w:rsidRPr="004635E5">
        <w:rPr>
          <w:sz w:val="22"/>
          <w:szCs w:val="22"/>
        </w:rPr>
        <w:t xml:space="preserve">They </w:t>
      </w:r>
      <w:r w:rsidR="00CF2B94" w:rsidRPr="004635E5">
        <w:rPr>
          <w:sz w:val="22"/>
          <w:szCs w:val="22"/>
        </w:rPr>
        <w:t>support</w:t>
      </w:r>
      <w:r w:rsidR="003C1C8E" w:rsidRPr="004635E5">
        <w:rPr>
          <w:sz w:val="22"/>
          <w:szCs w:val="22"/>
        </w:rPr>
        <w:t>ed</w:t>
      </w:r>
      <w:r w:rsidR="00CF2B94" w:rsidRPr="004635E5">
        <w:rPr>
          <w:sz w:val="22"/>
          <w:szCs w:val="22"/>
        </w:rPr>
        <w:t xml:space="preserve"> removal of the old growth models from the uncertainty grid. </w:t>
      </w:r>
      <w:r w:rsidR="003C1C8E" w:rsidRPr="004635E5">
        <w:rPr>
          <w:sz w:val="22"/>
          <w:szCs w:val="22"/>
        </w:rPr>
        <w:t xml:space="preserve">They noted remaining questions regarding the </w:t>
      </w:r>
      <w:r w:rsidR="00CF2B94" w:rsidRPr="004635E5">
        <w:rPr>
          <w:sz w:val="22"/>
          <w:szCs w:val="22"/>
        </w:rPr>
        <w:t>2017 regional structure</w:t>
      </w:r>
      <w:r w:rsidR="003C1C8E" w:rsidRPr="004635E5">
        <w:rPr>
          <w:sz w:val="22"/>
          <w:szCs w:val="22"/>
        </w:rPr>
        <w:t>,</w:t>
      </w:r>
      <w:r w:rsidR="00CF2B94" w:rsidRPr="004635E5">
        <w:rPr>
          <w:sz w:val="22"/>
          <w:szCs w:val="22"/>
        </w:rPr>
        <w:t xml:space="preserve"> </w:t>
      </w:r>
      <w:r w:rsidR="003C1C8E" w:rsidRPr="004635E5">
        <w:rPr>
          <w:sz w:val="22"/>
          <w:szCs w:val="22"/>
        </w:rPr>
        <w:t xml:space="preserve">stating the PNA had sought </w:t>
      </w:r>
      <w:r w:rsidR="00CF2B94" w:rsidRPr="004635E5">
        <w:rPr>
          <w:sz w:val="22"/>
          <w:szCs w:val="22"/>
        </w:rPr>
        <w:t>additional biological justification of the connectivity or lack thereof around the</w:t>
      </w:r>
      <w:r w:rsidR="003C1C8E" w:rsidRPr="004635E5">
        <w:rPr>
          <w:sz w:val="22"/>
          <w:szCs w:val="22"/>
        </w:rPr>
        <w:t xml:space="preserve"> different regional boundaries, and could not yet </w:t>
      </w:r>
      <w:r w:rsidR="00CF2B94" w:rsidRPr="004635E5">
        <w:rPr>
          <w:sz w:val="22"/>
          <w:szCs w:val="22"/>
        </w:rPr>
        <w:t xml:space="preserve">agree to removal of the 2014 regions from the uncertainty grid. </w:t>
      </w:r>
      <w:r w:rsidR="003C1C8E" w:rsidRPr="004635E5">
        <w:rPr>
          <w:sz w:val="22"/>
          <w:szCs w:val="22"/>
        </w:rPr>
        <w:t xml:space="preserve">They offered to work with SPC in the lead </w:t>
      </w:r>
      <w:r w:rsidR="00CF2B94" w:rsidRPr="004635E5">
        <w:rPr>
          <w:sz w:val="22"/>
          <w:szCs w:val="22"/>
        </w:rPr>
        <w:t xml:space="preserve">up to the next stock assessment to explore and better understand </w:t>
      </w:r>
      <w:r w:rsidR="003C1C8E" w:rsidRPr="004635E5">
        <w:rPr>
          <w:sz w:val="22"/>
          <w:szCs w:val="22"/>
        </w:rPr>
        <w:t xml:space="preserve">the </w:t>
      </w:r>
      <w:r w:rsidR="00CF2B94" w:rsidRPr="004635E5">
        <w:rPr>
          <w:sz w:val="22"/>
          <w:szCs w:val="22"/>
        </w:rPr>
        <w:t>issue.</w:t>
      </w:r>
    </w:p>
    <w:p w14:paraId="072E2E6D"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11B7CF1C" w14:textId="77777777" w:rsidR="002B7684" w:rsidRPr="004635E5" w:rsidRDefault="009C213C"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Korea</w:t>
      </w:r>
      <w:r w:rsidR="006C3742" w:rsidRPr="004635E5">
        <w:rPr>
          <w:rFonts w:eastAsia="Batang"/>
          <w:sz w:val="22"/>
          <w:szCs w:val="22"/>
          <w:lang w:val="en-NZ" w:eastAsia="ko-KR"/>
        </w:rPr>
        <w:t xml:space="preserve"> </w:t>
      </w:r>
      <w:r w:rsidR="006C3742" w:rsidRPr="004635E5">
        <w:rPr>
          <w:rFonts w:eastAsia="Batang"/>
          <w:sz w:val="22"/>
          <w:szCs w:val="22"/>
          <w:lang w:eastAsia="ko-KR"/>
        </w:rPr>
        <w:t xml:space="preserve">noted that there were no significant changes between the 2017 new growth and 2018 </w:t>
      </w:r>
      <w:r w:rsidR="004156A3">
        <w:rPr>
          <w:rFonts w:eastAsia="Batang" w:hint="eastAsia"/>
          <w:sz w:val="22"/>
          <w:szCs w:val="22"/>
          <w:lang w:eastAsia="ko-KR"/>
        </w:rPr>
        <w:t xml:space="preserve">updated </w:t>
      </w:r>
      <w:r w:rsidR="006C3742" w:rsidRPr="004635E5">
        <w:rPr>
          <w:rFonts w:eastAsia="Batang"/>
          <w:sz w:val="22"/>
          <w:szCs w:val="22"/>
          <w:lang w:eastAsia="ko-KR"/>
        </w:rPr>
        <w:t xml:space="preserve">new growth but the reproductive potential-at-age </w:t>
      </w:r>
      <w:r w:rsidR="003C1C8E" w:rsidRPr="004635E5">
        <w:rPr>
          <w:rFonts w:eastAsia="Batang"/>
          <w:sz w:val="22"/>
          <w:szCs w:val="22"/>
          <w:lang w:eastAsia="ko-KR"/>
        </w:rPr>
        <w:t xml:space="preserve">was </w:t>
      </w:r>
      <w:r w:rsidR="006C3742" w:rsidRPr="004635E5">
        <w:rPr>
          <w:rFonts w:eastAsia="Batang"/>
          <w:sz w:val="22"/>
          <w:szCs w:val="22"/>
          <w:lang w:eastAsia="ko-KR"/>
        </w:rPr>
        <w:t>very different</w:t>
      </w:r>
      <w:r w:rsidR="00954EEF" w:rsidRPr="004635E5">
        <w:rPr>
          <w:rFonts w:eastAsia="Batang"/>
          <w:sz w:val="22"/>
          <w:szCs w:val="22"/>
          <w:lang w:eastAsia="ko-KR"/>
        </w:rPr>
        <w:t xml:space="preserve">, and requested clarification. </w:t>
      </w:r>
      <w:r w:rsidR="00C93337" w:rsidRPr="004635E5">
        <w:rPr>
          <w:rFonts w:eastAsia="Batang"/>
          <w:sz w:val="22"/>
          <w:szCs w:val="22"/>
          <w:lang w:eastAsia="ko-KR"/>
        </w:rPr>
        <w:t xml:space="preserve">SPC </w:t>
      </w:r>
      <w:r w:rsidR="00954EEF" w:rsidRPr="004635E5">
        <w:rPr>
          <w:rFonts w:eastAsia="Batang"/>
          <w:sz w:val="22"/>
          <w:szCs w:val="22"/>
          <w:lang w:eastAsia="ko-KR"/>
        </w:rPr>
        <w:t xml:space="preserve">replied that the reproductive potential-at-age uses the natural mortality to estimate the curve. The standard deviation of the lengths impacts the natural mortality estimates, which changes the reproductive potential-at-age. The 2017 assessment used the 2014 length standard deviations but the 2018 assessment used the current length standard deviations. </w:t>
      </w:r>
    </w:p>
    <w:p w14:paraId="539131E6"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04341E66" w14:textId="77777777" w:rsidR="002B7684" w:rsidRPr="004635E5" w:rsidRDefault="009C213C"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Japan</w:t>
      </w:r>
      <w:r w:rsidR="00741D8E" w:rsidRPr="004635E5">
        <w:rPr>
          <w:rFonts w:eastAsia="Batang"/>
          <w:sz w:val="22"/>
          <w:szCs w:val="22"/>
          <w:lang w:val="en-NZ" w:eastAsia="ko-KR"/>
        </w:rPr>
        <w:t xml:space="preserve">, </w:t>
      </w:r>
      <w:r w:rsidR="009D7125" w:rsidRPr="004635E5">
        <w:rPr>
          <w:rFonts w:eastAsia="Batang"/>
          <w:sz w:val="22"/>
          <w:szCs w:val="22"/>
          <w:lang w:val="en-NZ" w:eastAsia="ko-KR"/>
        </w:rPr>
        <w:t>responding to suggestions from FFA and PNA to remove ol</w:t>
      </w:r>
      <w:r w:rsidR="00741D8E" w:rsidRPr="004635E5">
        <w:rPr>
          <w:rFonts w:eastAsia="Batang"/>
          <w:sz w:val="22"/>
          <w:szCs w:val="22"/>
          <w:lang w:val="en-NZ" w:eastAsia="ko-KR"/>
        </w:rPr>
        <w:t>d</w:t>
      </w:r>
      <w:r w:rsidR="009D7125" w:rsidRPr="004635E5">
        <w:rPr>
          <w:rFonts w:eastAsia="Batang"/>
          <w:sz w:val="22"/>
          <w:szCs w:val="22"/>
          <w:lang w:val="en-NZ" w:eastAsia="ko-KR"/>
        </w:rPr>
        <w:t xml:space="preserve"> growth weighting from prev</w:t>
      </w:r>
      <w:r w:rsidR="00741D8E" w:rsidRPr="004635E5">
        <w:rPr>
          <w:rFonts w:eastAsia="Batang"/>
          <w:sz w:val="22"/>
          <w:szCs w:val="22"/>
          <w:lang w:val="en-NZ" w:eastAsia="ko-KR"/>
        </w:rPr>
        <w:t>ious</w:t>
      </w:r>
      <w:r w:rsidR="009D7125" w:rsidRPr="004635E5">
        <w:rPr>
          <w:rFonts w:eastAsia="Batang"/>
          <w:sz w:val="22"/>
          <w:szCs w:val="22"/>
          <w:lang w:val="en-NZ" w:eastAsia="ko-KR"/>
        </w:rPr>
        <w:t xml:space="preserve"> years</w:t>
      </w:r>
      <w:r w:rsidR="00741D8E" w:rsidRPr="004635E5">
        <w:rPr>
          <w:rFonts w:eastAsia="Batang"/>
          <w:sz w:val="22"/>
          <w:szCs w:val="22"/>
          <w:lang w:val="en-NZ" w:eastAsia="ko-KR"/>
        </w:rPr>
        <w:t xml:space="preserve"> noted that this would result in </w:t>
      </w:r>
      <w:r w:rsidR="009D7125" w:rsidRPr="004635E5">
        <w:rPr>
          <w:rFonts w:eastAsia="Batang"/>
          <w:sz w:val="22"/>
          <w:szCs w:val="22"/>
          <w:lang w:val="en-NZ" w:eastAsia="ko-KR"/>
        </w:rPr>
        <w:t>more optimistic</w:t>
      </w:r>
      <w:r w:rsidR="00741D8E" w:rsidRPr="004635E5">
        <w:rPr>
          <w:rFonts w:eastAsia="Batang"/>
          <w:sz w:val="22"/>
          <w:szCs w:val="22"/>
          <w:lang w:val="en-NZ" w:eastAsia="ko-KR"/>
        </w:rPr>
        <w:t xml:space="preserve"> stocks size</w:t>
      </w:r>
      <w:r w:rsidR="00C93337" w:rsidRPr="004635E5">
        <w:rPr>
          <w:rFonts w:eastAsia="Batang"/>
          <w:sz w:val="22"/>
          <w:szCs w:val="22"/>
          <w:lang w:val="en-NZ" w:eastAsia="ko-KR"/>
        </w:rPr>
        <w:t xml:space="preserve">, and </w:t>
      </w:r>
      <w:r w:rsidR="00741D8E" w:rsidRPr="004635E5">
        <w:rPr>
          <w:rFonts w:eastAsia="Batang"/>
          <w:sz w:val="22"/>
          <w:szCs w:val="22"/>
          <w:lang w:val="en-NZ" w:eastAsia="ko-KR"/>
        </w:rPr>
        <w:t xml:space="preserve">asked whether this was wise </w:t>
      </w:r>
      <w:r w:rsidR="009D7125" w:rsidRPr="004635E5">
        <w:rPr>
          <w:rFonts w:eastAsia="Batang"/>
          <w:sz w:val="22"/>
          <w:szCs w:val="22"/>
          <w:lang w:val="en-NZ" w:eastAsia="ko-KR"/>
        </w:rPr>
        <w:t>given some reduced CPUE</w:t>
      </w:r>
      <w:r w:rsidR="003C1C8E" w:rsidRPr="004635E5">
        <w:rPr>
          <w:rFonts w:eastAsia="Batang"/>
          <w:sz w:val="22"/>
          <w:szCs w:val="22"/>
          <w:lang w:val="en-NZ" w:eastAsia="ko-KR"/>
        </w:rPr>
        <w:t xml:space="preserve"> data</w:t>
      </w:r>
      <w:r w:rsidR="009D7125" w:rsidRPr="004635E5">
        <w:rPr>
          <w:rFonts w:eastAsia="Batang"/>
          <w:sz w:val="22"/>
          <w:szCs w:val="22"/>
          <w:lang w:val="en-NZ" w:eastAsia="ko-KR"/>
        </w:rPr>
        <w:t xml:space="preserve">, further work </w:t>
      </w:r>
      <w:r w:rsidR="00741D8E" w:rsidRPr="004635E5">
        <w:rPr>
          <w:rFonts w:eastAsia="Batang"/>
          <w:sz w:val="22"/>
          <w:szCs w:val="22"/>
          <w:lang w:val="en-NZ" w:eastAsia="ko-KR"/>
        </w:rPr>
        <w:t xml:space="preserve">to be done on the </w:t>
      </w:r>
      <w:r w:rsidR="009D7125" w:rsidRPr="004635E5">
        <w:rPr>
          <w:rFonts w:eastAsia="Batang"/>
          <w:sz w:val="22"/>
          <w:szCs w:val="22"/>
          <w:lang w:val="en-NZ" w:eastAsia="ko-KR"/>
        </w:rPr>
        <w:t>gro</w:t>
      </w:r>
      <w:r w:rsidR="00741D8E" w:rsidRPr="004635E5">
        <w:rPr>
          <w:rFonts w:eastAsia="Batang"/>
          <w:sz w:val="22"/>
          <w:szCs w:val="22"/>
          <w:lang w:val="en-NZ" w:eastAsia="ko-KR"/>
        </w:rPr>
        <w:t>w</w:t>
      </w:r>
      <w:r w:rsidR="009D7125" w:rsidRPr="004635E5">
        <w:rPr>
          <w:rFonts w:eastAsia="Batang"/>
          <w:sz w:val="22"/>
          <w:szCs w:val="22"/>
          <w:lang w:val="en-NZ" w:eastAsia="ko-KR"/>
        </w:rPr>
        <w:t>th curve, and diff</w:t>
      </w:r>
      <w:r w:rsidR="00741D8E" w:rsidRPr="004635E5">
        <w:rPr>
          <w:rFonts w:eastAsia="Batang"/>
          <w:sz w:val="22"/>
          <w:szCs w:val="22"/>
          <w:lang w:val="en-NZ" w:eastAsia="ko-KR"/>
        </w:rPr>
        <w:t>erences in the growth curve</w:t>
      </w:r>
      <w:r w:rsidR="001F3FF4">
        <w:rPr>
          <w:rFonts w:eastAsia="Batang"/>
          <w:sz w:val="22"/>
          <w:szCs w:val="22"/>
          <w:lang w:val="en-NZ" w:eastAsia="ko-KR"/>
        </w:rPr>
        <w:t xml:space="preserve"> </w:t>
      </w:r>
      <w:r w:rsidR="009D7125" w:rsidRPr="004635E5">
        <w:rPr>
          <w:rFonts w:eastAsia="Batang"/>
          <w:sz w:val="22"/>
          <w:szCs w:val="22"/>
          <w:lang w:val="en-NZ" w:eastAsia="ko-KR"/>
        </w:rPr>
        <w:t xml:space="preserve">in </w:t>
      </w:r>
      <w:r w:rsidR="00741D8E" w:rsidRPr="004635E5">
        <w:rPr>
          <w:rFonts w:eastAsia="Batang"/>
          <w:sz w:val="22"/>
          <w:szCs w:val="22"/>
          <w:lang w:val="en-NZ" w:eastAsia="ko-KR"/>
        </w:rPr>
        <w:t xml:space="preserve">the </w:t>
      </w:r>
      <w:r w:rsidR="009D7125" w:rsidRPr="004635E5">
        <w:rPr>
          <w:rFonts w:eastAsia="Batang"/>
          <w:sz w:val="22"/>
          <w:szCs w:val="22"/>
          <w:lang w:val="en-NZ" w:eastAsia="ko-KR"/>
        </w:rPr>
        <w:t>EPO and WPO.</w:t>
      </w:r>
      <w:r w:rsidR="002B7684" w:rsidRPr="004635E5">
        <w:rPr>
          <w:rFonts w:eastAsiaTheme="minorHAnsi"/>
          <w:sz w:val="22"/>
          <w:szCs w:val="22"/>
        </w:rPr>
        <w:t xml:space="preserve"> </w:t>
      </w:r>
      <w:r w:rsidR="00C93337" w:rsidRPr="004635E5">
        <w:rPr>
          <w:rFonts w:eastAsia="Batang"/>
          <w:sz w:val="22"/>
          <w:szCs w:val="22"/>
          <w:lang w:eastAsia="ko-KR"/>
        </w:rPr>
        <w:t xml:space="preserve">Japan </w:t>
      </w:r>
      <w:r w:rsidR="002B7684" w:rsidRPr="004635E5">
        <w:rPr>
          <w:rFonts w:eastAsia="Batang"/>
          <w:sz w:val="22"/>
          <w:szCs w:val="22"/>
          <w:lang w:eastAsia="ko-KR"/>
        </w:rPr>
        <w:t>advised caution in making such a drastic change</w:t>
      </w:r>
      <w:r w:rsidR="00C93337" w:rsidRPr="004635E5">
        <w:rPr>
          <w:rFonts w:eastAsia="Batang"/>
          <w:sz w:val="22"/>
          <w:szCs w:val="22"/>
          <w:lang w:eastAsia="ko-KR"/>
        </w:rPr>
        <w:t xml:space="preserve">, which </w:t>
      </w:r>
      <w:r w:rsidR="002B7684" w:rsidRPr="004635E5">
        <w:rPr>
          <w:rFonts w:eastAsia="Batang"/>
          <w:sz w:val="22"/>
          <w:szCs w:val="22"/>
          <w:lang w:eastAsia="ko-KR"/>
        </w:rPr>
        <w:t>should perhaps await more clarification</w:t>
      </w:r>
      <w:r w:rsidR="00C93337" w:rsidRPr="004635E5">
        <w:rPr>
          <w:rFonts w:eastAsia="Batang"/>
          <w:sz w:val="22"/>
          <w:szCs w:val="22"/>
          <w:lang w:eastAsia="ko-KR"/>
        </w:rPr>
        <w:t xml:space="preserve">, and </w:t>
      </w:r>
      <w:r w:rsidR="002B7684" w:rsidRPr="004635E5">
        <w:rPr>
          <w:rFonts w:eastAsia="Batang"/>
          <w:sz w:val="22"/>
          <w:szCs w:val="22"/>
          <w:lang w:eastAsia="ko-KR"/>
        </w:rPr>
        <w:t>commented that additional research was needed to better clarify the regional structure changes using the size co</w:t>
      </w:r>
      <w:r w:rsidR="00D73BF8" w:rsidRPr="004635E5">
        <w:rPr>
          <w:rFonts w:eastAsia="Batang"/>
          <w:sz w:val="22"/>
          <w:szCs w:val="22"/>
          <w:lang w:eastAsia="ko-KR"/>
        </w:rPr>
        <w:t>mposition data and CPUE trends.</w:t>
      </w:r>
    </w:p>
    <w:p w14:paraId="5E7EDA5D"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438BFB2D" w14:textId="77777777" w:rsidR="00C93337" w:rsidRDefault="009C213C" w:rsidP="00580EA4">
      <w:pPr>
        <w:numPr>
          <w:ilvl w:val="0"/>
          <w:numId w:val="18"/>
        </w:numPr>
        <w:autoSpaceDE w:val="0"/>
        <w:autoSpaceDN w:val="0"/>
        <w:adjustRightInd w:val="0"/>
        <w:snapToGrid w:val="0"/>
        <w:ind w:left="0" w:firstLine="0"/>
        <w:jc w:val="both"/>
        <w:rPr>
          <w:rFonts w:eastAsia="Batang"/>
          <w:sz w:val="22"/>
          <w:szCs w:val="22"/>
          <w:lang w:eastAsia="ko-KR"/>
        </w:rPr>
      </w:pPr>
      <w:r w:rsidRPr="004635E5">
        <w:rPr>
          <w:rFonts w:eastAsia="Batang"/>
          <w:sz w:val="22"/>
          <w:szCs w:val="22"/>
          <w:lang w:val="en-NZ" w:eastAsia="ko-KR"/>
        </w:rPr>
        <w:t>PNG</w:t>
      </w:r>
      <w:r w:rsidR="00C93337" w:rsidRPr="004635E5">
        <w:rPr>
          <w:rFonts w:eastAsia="Batang"/>
          <w:sz w:val="22"/>
          <w:szCs w:val="22"/>
          <w:lang w:val="en-NZ" w:eastAsia="ko-KR"/>
        </w:rPr>
        <w:t>, on behalf of</w:t>
      </w:r>
      <w:r w:rsidR="001F3FF4">
        <w:rPr>
          <w:rFonts w:eastAsia="Batang"/>
          <w:sz w:val="22"/>
          <w:szCs w:val="22"/>
          <w:lang w:val="en-NZ" w:eastAsia="ko-KR"/>
        </w:rPr>
        <w:t xml:space="preserve"> </w:t>
      </w:r>
      <w:r w:rsidR="00C93337" w:rsidRPr="004635E5">
        <w:rPr>
          <w:rFonts w:eastAsia="Batang"/>
          <w:sz w:val="22"/>
          <w:szCs w:val="22"/>
          <w:lang w:eastAsia="ko-KR"/>
        </w:rPr>
        <w:t xml:space="preserve">FFA members noted that the 2017 model regions </w:t>
      </w:r>
      <w:r w:rsidR="003C1C8E" w:rsidRPr="004635E5">
        <w:rPr>
          <w:rFonts w:eastAsia="Batang"/>
          <w:sz w:val="22"/>
          <w:szCs w:val="22"/>
          <w:lang w:eastAsia="ko-KR"/>
        </w:rPr>
        <w:t xml:space="preserve">might </w:t>
      </w:r>
      <w:r w:rsidR="00C93337" w:rsidRPr="004635E5">
        <w:rPr>
          <w:rFonts w:eastAsia="Batang"/>
          <w:sz w:val="22"/>
          <w:szCs w:val="22"/>
          <w:lang w:eastAsia="ko-KR"/>
        </w:rPr>
        <w:t>not reflect the biological stock distribution</w:t>
      </w:r>
      <w:r w:rsidR="003C1C8E" w:rsidRPr="004635E5">
        <w:rPr>
          <w:rFonts w:eastAsia="Batang"/>
          <w:sz w:val="22"/>
          <w:szCs w:val="22"/>
          <w:lang w:eastAsia="ko-KR"/>
        </w:rPr>
        <w:t>, and expressed concern</w:t>
      </w:r>
      <w:r w:rsidR="00C93337" w:rsidRPr="004635E5">
        <w:rPr>
          <w:rFonts w:eastAsia="Batang"/>
          <w:sz w:val="22"/>
          <w:szCs w:val="22"/>
          <w:lang w:eastAsia="ko-KR"/>
        </w:rPr>
        <w:t xml:space="preserve"> that </w:t>
      </w:r>
      <w:r w:rsidR="003C1C8E" w:rsidRPr="004635E5">
        <w:rPr>
          <w:rFonts w:eastAsia="Batang"/>
          <w:sz w:val="22"/>
          <w:szCs w:val="22"/>
          <w:lang w:eastAsia="ko-KR"/>
        </w:rPr>
        <w:t xml:space="preserve">an </w:t>
      </w:r>
      <w:r w:rsidR="00C93337" w:rsidRPr="004635E5">
        <w:rPr>
          <w:rFonts w:eastAsia="Batang"/>
          <w:sz w:val="22"/>
          <w:szCs w:val="22"/>
          <w:lang w:eastAsia="ko-KR"/>
        </w:rPr>
        <w:t xml:space="preserve">optimistic stock status </w:t>
      </w:r>
      <w:r w:rsidR="003C1C8E" w:rsidRPr="004635E5">
        <w:rPr>
          <w:rFonts w:eastAsia="Batang"/>
          <w:sz w:val="22"/>
          <w:szCs w:val="22"/>
          <w:lang w:eastAsia="ko-KR"/>
        </w:rPr>
        <w:t xml:space="preserve">would </w:t>
      </w:r>
      <w:r w:rsidR="00C93337" w:rsidRPr="004635E5">
        <w:rPr>
          <w:rFonts w:eastAsia="Batang"/>
          <w:sz w:val="22"/>
          <w:szCs w:val="22"/>
          <w:lang w:eastAsia="ko-KR"/>
        </w:rPr>
        <w:t xml:space="preserve">result </w:t>
      </w:r>
      <w:r w:rsidR="003C1C8E" w:rsidRPr="004635E5">
        <w:rPr>
          <w:rFonts w:eastAsia="Batang"/>
          <w:sz w:val="22"/>
          <w:szCs w:val="22"/>
          <w:lang w:eastAsia="ko-KR"/>
        </w:rPr>
        <w:t>from a shift</w:t>
      </w:r>
      <w:r w:rsidR="00C93337" w:rsidRPr="004635E5">
        <w:rPr>
          <w:rFonts w:eastAsia="Batang"/>
          <w:sz w:val="22"/>
          <w:szCs w:val="22"/>
          <w:lang w:eastAsia="ko-KR"/>
        </w:rPr>
        <w:t xml:space="preserve"> between 10</w:t>
      </w:r>
      <w:r w:rsidR="003C1C8E" w:rsidRPr="004635E5">
        <w:rPr>
          <w:rFonts w:eastAsia="Batang"/>
          <w:sz w:val="22"/>
          <w:szCs w:val="22"/>
          <w:lang w:eastAsia="ko-KR"/>
        </w:rPr>
        <w:t>°</w:t>
      </w:r>
      <w:r w:rsidR="00C93337" w:rsidRPr="004635E5">
        <w:rPr>
          <w:rFonts w:eastAsia="Batang"/>
          <w:sz w:val="22"/>
          <w:szCs w:val="22"/>
          <w:lang w:eastAsia="ko-KR"/>
        </w:rPr>
        <w:t>N and 20</w:t>
      </w:r>
      <w:r w:rsidR="003C1C8E" w:rsidRPr="004635E5">
        <w:rPr>
          <w:rFonts w:eastAsia="Batang"/>
          <w:sz w:val="22"/>
          <w:szCs w:val="22"/>
          <w:lang w:eastAsia="ko-KR"/>
        </w:rPr>
        <w:t>°</w:t>
      </w:r>
      <w:r w:rsidR="00C93337" w:rsidRPr="004635E5">
        <w:rPr>
          <w:rFonts w:eastAsia="Batang"/>
          <w:sz w:val="22"/>
          <w:szCs w:val="22"/>
          <w:lang w:eastAsia="ko-KR"/>
        </w:rPr>
        <w:t>N. This result</w:t>
      </w:r>
      <w:r w:rsidR="003C1C8E" w:rsidRPr="004635E5">
        <w:rPr>
          <w:rFonts w:eastAsia="Batang"/>
          <w:sz w:val="22"/>
          <w:szCs w:val="22"/>
          <w:lang w:eastAsia="ko-KR"/>
        </w:rPr>
        <w:t>s</w:t>
      </w:r>
      <w:r w:rsidR="00C93337" w:rsidRPr="004635E5">
        <w:rPr>
          <w:rFonts w:eastAsia="Batang"/>
          <w:sz w:val="22"/>
          <w:szCs w:val="22"/>
          <w:lang w:eastAsia="ko-KR"/>
        </w:rPr>
        <w:t xml:space="preserve"> </w:t>
      </w:r>
      <w:r w:rsidR="003C1C8E" w:rsidRPr="004635E5">
        <w:rPr>
          <w:rFonts w:eastAsia="Batang"/>
          <w:sz w:val="22"/>
          <w:szCs w:val="22"/>
          <w:lang w:eastAsia="ko-KR"/>
        </w:rPr>
        <w:t xml:space="preserve">from a </w:t>
      </w:r>
      <w:r w:rsidR="00C93337" w:rsidRPr="004635E5">
        <w:rPr>
          <w:rFonts w:eastAsia="Batang"/>
          <w:sz w:val="22"/>
          <w:szCs w:val="22"/>
          <w:lang w:eastAsia="ko-KR"/>
        </w:rPr>
        <w:t xml:space="preserve">of reallocation of biomass to an area with lower exploitation levels, </w:t>
      </w:r>
      <w:r w:rsidR="003C1C8E" w:rsidRPr="004635E5">
        <w:rPr>
          <w:rFonts w:eastAsia="Batang"/>
          <w:sz w:val="22"/>
          <w:szCs w:val="22"/>
          <w:lang w:eastAsia="ko-KR"/>
        </w:rPr>
        <w:t xml:space="preserve">increasing </w:t>
      </w:r>
      <w:r w:rsidR="00C93337" w:rsidRPr="004635E5">
        <w:rPr>
          <w:rFonts w:eastAsia="Batang"/>
          <w:sz w:val="22"/>
          <w:szCs w:val="22"/>
          <w:lang w:eastAsia="ko-KR"/>
        </w:rPr>
        <w:t>depletion estimates as the boundary is moved from 20</w:t>
      </w:r>
      <w:r w:rsidR="003C1C8E" w:rsidRPr="004635E5">
        <w:rPr>
          <w:rFonts w:eastAsia="Batang"/>
          <w:sz w:val="22"/>
          <w:szCs w:val="22"/>
          <w:lang w:eastAsia="ko-KR"/>
        </w:rPr>
        <w:t>°</w:t>
      </w:r>
      <w:r w:rsidR="00C93337" w:rsidRPr="004635E5">
        <w:rPr>
          <w:rFonts w:eastAsia="Batang"/>
          <w:sz w:val="22"/>
          <w:szCs w:val="22"/>
          <w:lang w:eastAsia="ko-KR"/>
        </w:rPr>
        <w:t>N to 10</w:t>
      </w:r>
      <w:r w:rsidR="003C1C8E" w:rsidRPr="004635E5">
        <w:rPr>
          <w:rFonts w:eastAsia="Batang"/>
          <w:sz w:val="22"/>
          <w:szCs w:val="22"/>
          <w:lang w:eastAsia="ko-KR"/>
        </w:rPr>
        <w:t>°</w:t>
      </w:r>
      <w:r w:rsidR="00C93337" w:rsidRPr="004635E5">
        <w:rPr>
          <w:rFonts w:eastAsia="Batang"/>
          <w:sz w:val="22"/>
          <w:szCs w:val="22"/>
          <w:lang w:eastAsia="ko-KR"/>
        </w:rPr>
        <w:t xml:space="preserve">N, which seems more like an artefact of model structure rather than stock characteristics. In addition, </w:t>
      </w:r>
      <w:r w:rsidR="003C1C8E" w:rsidRPr="004635E5">
        <w:rPr>
          <w:rFonts w:eastAsia="Batang"/>
          <w:sz w:val="22"/>
          <w:szCs w:val="22"/>
          <w:lang w:eastAsia="ko-KR"/>
        </w:rPr>
        <w:t xml:space="preserve">they noted a </w:t>
      </w:r>
      <w:r w:rsidR="00C93337" w:rsidRPr="004635E5">
        <w:rPr>
          <w:rFonts w:eastAsia="Batang"/>
          <w:sz w:val="22"/>
          <w:szCs w:val="22"/>
          <w:lang w:eastAsia="ko-KR"/>
        </w:rPr>
        <w:t xml:space="preserve">high resolution analysis in regional structure </w:t>
      </w:r>
      <w:r w:rsidR="003C1C8E" w:rsidRPr="004635E5">
        <w:rPr>
          <w:rFonts w:eastAsia="Batang"/>
          <w:sz w:val="22"/>
          <w:szCs w:val="22"/>
          <w:lang w:eastAsia="ko-KR"/>
        </w:rPr>
        <w:t xml:space="preserve">was </w:t>
      </w:r>
      <w:r w:rsidR="00C93337" w:rsidRPr="004635E5">
        <w:rPr>
          <w:rFonts w:eastAsia="Batang"/>
          <w:sz w:val="22"/>
          <w:szCs w:val="22"/>
          <w:lang w:eastAsia="ko-KR"/>
        </w:rPr>
        <w:t xml:space="preserve">not possible </w:t>
      </w:r>
      <w:r w:rsidR="003C1C8E" w:rsidRPr="004635E5">
        <w:rPr>
          <w:rFonts w:eastAsia="Batang"/>
          <w:sz w:val="22"/>
          <w:szCs w:val="22"/>
          <w:lang w:eastAsia="ko-KR"/>
        </w:rPr>
        <w:t xml:space="preserve">because </w:t>
      </w:r>
      <w:r w:rsidR="00C93337" w:rsidRPr="004635E5">
        <w:rPr>
          <w:rFonts w:eastAsia="Batang"/>
          <w:sz w:val="22"/>
          <w:szCs w:val="22"/>
          <w:lang w:eastAsia="ko-KR"/>
        </w:rPr>
        <w:t xml:space="preserve">aggregated data </w:t>
      </w:r>
      <w:r w:rsidR="003C1C8E" w:rsidRPr="004635E5">
        <w:rPr>
          <w:rFonts w:eastAsia="Batang"/>
          <w:sz w:val="22"/>
          <w:szCs w:val="22"/>
          <w:lang w:eastAsia="ko-KR"/>
        </w:rPr>
        <w:t xml:space="preserve">is </w:t>
      </w:r>
      <w:r w:rsidR="00C93337" w:rsidRPr="004635E5">
        <w:rPr>
          <w:rFonts w:eastAsia="Batang"/>
          <w:sz w:val="22"/>
          <w:szCs w:val="22"/>
          <w:lang w:eastAsia="ko-KR"/>
        </w:rPr>
        <w:t xml:space="preserve">used in the stock assessment, </w:t>
      </w:r>
      <w:r w:rsidR="003C1C8E" w:rsidRPr="004635E5">
        <w:rPr>
          <w:rFonts w:eastAsia="Batang"/>
          <w:sz w:val="22"/>
          <w:szCs w:val="22"/>
          <w:lang w:eastAsia="ko-KR"/>
        </w:rPr>
        <w:t>highlighting</w:t>
      </w:r>
      <w:r w:rsidR="00C93337" w:rsidRPr="004635E5">
        <w:rPr>
          <w:rFonts w:eastAsia="Batang"/>
          <w:sz w:val="22"/>
          <w:szCs w:val="22"/>
          <w:lang w:eastAsia="ko-KR"/>
        </w:rPr>
        <w:t xml:space="preserve"> the importance of ensuring that the Commi</w:t>
      </w:r>
      <w:r w:rsidR="003C1C8E" w:rsidRPr="004635E5">
        <w:rPr>
          <w:rFonts w:eastAsia="Batang"/>
          <w:sz w:val="22"/>
          <w:szCs w:val="22"/>
          <w:lang w:eastAsia="ko-KR"/>
        </w:rPr>
        <w:t>ssion has access to operational-</w:t>
      </w:r>
      <w:r w:rsidR="00C93337" w:rsidRPr="004635E5">
        <w:rPr>
          <w:rFonts w:eastAsia="Batang"/>
          <w:sz w:val="22"/>
          <w:szCs w:val="22"/>
          <w:lang w:eastAsia="ko-KR"/>
        </w:rPr>
        <w:t>level data to support these analyses. The current use of aggregated data limits further investigation in</w:t>
      </w:r>
      <w:r w:rsidR="003C1C8E" w:rsidRPr="004635E5">
        <w:rPr>
          <w:rFonts w:eastAsia="Batang"/>
          <w:sz w:val="22"/>
          <w:szCs w:val="22"/>
          <w:lang w:eastAsia="ko-KR"/>
        </w:rPr>
        <w:t>to</w:t>
      </w:r>
      <w:r w:rsidR="00C93337" w:rsidRPr="004635E5">
        <w:rPr>
          <w:rFonts w:eastAsia="Batang"/>
          <w:sz w:val="22"/>
          <w:szCs w:val="22"/>
          <w:lang w:eastAsia="ko-KR"/>
        </w:rPr>
        <w:t xml:space="preserve"> structural bound</w:t>
      </w:r>
      <w:r w:rsidR="003C1C8E" w:rsidRPr="004635E5">
        <w:rPr>
          <w:rFonts w:eastAsia="Batang"/>
          <w:sz w:val="22"/>
          <w:szCs w:val="22"/>
          <w:lang w:eastAsia="ko-KR"/>
        </w:rPr>
        <w:t>arie</w:t>
      </w:r>
      <w:r w:rsidR="00C93337" w:rsidRPr="004635E5">
        <w:rPr>
          <w:rFonts w:eastAsia="Batang"/>
          <w:sz w:val="22"/>
          <w:szCs w:val="22"/>
          <w:lang w:eastAsia="ko-KR"/>
        </w:rPr>
        <w:t>s</w:t>
      </w:r>
      <w:r w:rsidR="00E01BE8" w:rsidRPr="004635E5">
        <w:rPr>
          <w:rFonts w:eastAsia="Batang"/>
          <w:sz w:val="22"/>
          <w:szCs w:val="22"/>
          <w:lang w:eastAsia="ko-KR"/>
        </w:rPr>
        <w:t xml:space="preserve">, and thus </w:t>
      </w:r>
      <w:r w:rsidR="00C93337" w:rsidRPr="004635E5">
        <w:rPr>
          <w:rFonts w:eastAsia="Batang"/>
          <w:sz w:val="22"/>
          <w:szCs w:val="22"/>
          <w:lang w:eastAsia="ko-KR"/>
        </w:rPr>
        <w:t>FFA prefer to retain the 2014 and 2017 model regions in the uncertainty grid.</w:t>
      </w:r>
    </w:p>
    <w:p w14:paraId="6C2FBB92" w14:textId="77777777" w:rsidR="00DB69E3" w:rsidRDefault="00DB69E3" w:rsidP="00DB69E3">
      <w:pPr>
        <w:pStyle w:val="ListParagraph"/>
        <w:rPr>
          <w:rFonts w:eastAsia="Batang"/>
          <w:sz w:val="22"/>
          <w:szCs w:val="22"/>
          <w:lang w:eastAsia="ko-KR"/>
        </w:rPr>
      </w:pPr>
    </w:p>
    <w:p w14:paraId="7E3BC227" w14:textId="77777777" w:rsidR="004F39E1" w:rsidRPr="004635E5" w:rsidRDefault="004F39E1"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eastAsia="ko-KR"/>
        </w:rPr>
        <w:t xml:space="preserve">Australia observed that the </w:t>
      </w:r>
      <w:r w:rsidR="002B7684" w:rsidRPr="004635E5">
        <w:rPr>
          <w:rFonts w:eastAsia="Batang"/>
          <w:sz w:val="22"/>
          <w:szCs w:val="22"/>
          <w:lang w:eastAsia="ko-KR"/>
        </w:rPr>
        <w:t xml:space="preserve">shift of selectivity from dome-shaped to asymptotic supports the use of the </w:t>
      </w:r>
      <w:r w:rsidR="004156A3">
        <w:rPr>
          <w:rFonts w:eastAsia="Batang" w:hint="eastAsia"/>
          <w:sz w:val="22"/>
          <w:szCs w:val="22"/>
          <w:lang w:eastAsia="ko-KR"/>
        </w:rPr>
        <w:t xml:space="preserve">updated </w:t>
      </w:r>
      <w:r w:rsidR="002B7684" w:rsidRPr="004635E5">
        <w:rPr>
          <w:rFonts w:eastAsia="Batang"/>
          <w:sz w:val="22"/>
          <w:szCs w:val="22"/>
          <w:lang w:eastAsia="ko-KR"/>
        </w:rPr>
        <w:t xml:space="preserve">new growth </w:t>
      </w:r>
      <w:r w:rsidR="003C1C8E" w:rsidRPr="004635E5">
        <w:rPr>
          <w:rFonts w:eastAsia="Batang"/>
          <w:sz w:val="22"/>
          <w:szCs w:val="22"/>
          <w:lang w:eastAsia="ko-KR"/>
        </w:rPr>
        <w:t xml:space="preserve">model </w:t>
      </w:r>
      <w:r w:rsidR="002B7684" w:rsidRPr="004635E5">
        <w:rPr>
          <w:rFonts w:eastAsia="Batang"/>
          <w:sz w:val="22"/>
          <w:szCs w:val="22"/>
          <w:lang w:eastAsia="ko-KR"/>
        </w:rPr>
        <w:t xml:space="preserve">because the </w:t>
      </w:r>
      <w:r w:rsidR="004421B3" w:rsidRPr="004635E5">
        <w:rPr>
          <w:rFonts w:eastAsia="Batang"/>
          <w:sz w:val="22"/>
          <w:szCs w:val="22"/>
          <w:lang w:eastAsia="ko-KR"/>
        </w:rPr>
        <w:t>longline</w:t>
      </w:r>
      <w:r w:rsidR="002B7684" w:rsidRPr="004635E5">
        <w:rPr>
          <w:rFonts w:eastAsia="Batang"/>
          <w:sz w:val="22"/>
          <w:szCs w:val="22"/>
          <w:lang w:eastAsia="ko-KR"/>
        </w:rPr>
        <w:t xml:space="preserve"> fleets are assumed to catch the biggest sizes. There may be growth overfishing occurring due to </w:t>
      </w:r>
      <w:r w:rsidR="00837078" w:rsidRPr="004635E5">
        <w:rPr>
          <w:rFonts w:eastAsia="Batang"/>
          <w:sz w:val="22"/>
          <w:szCs w:val="22"/>
          <w:lang w:eastAsia="ko-KR"/>
        </w:rPr>
        <w:t>purse seine</w:t>
      </w:r>
      <w:r w:rsidR="002B7684" w:rsidRPr="004635E5">
        <w:rPr>
          <w:rFonts w:eastAsia="Batang"/>
          <w:sz w:val="22"/>
          <w:szCs w:val="22"/>
          <w:lang w:eastAsia="ko-KR"/>
        </w:rPr>
        <w:t xml:space="preserve"> vessels catching small b</w:t>
      </w:r>
      <w:r w:rsidRPr="004635E5">
        <w:rPr>
          <w:rFonts w:eastAsia="Batang"/>
          <w:sz w:val="22"/>
          <w:szCs w:val="22"/>
          <w:lang w:eastAsia="ko-KR"/>
        </w:rPr>
        <w:t xml:space="preserve">igeye </w:t>
      </w:r>
      <w:r w:rsidR="003C1C8E" w:rsidRPr="004635E5">
        <w:rPr>
          <w:rFonts w:eastAsia="Batang"/>
          <w:sz w:val="22"/>
          <w:szCs w:val="22"/>
          <w:lang w:eastAsia="ko-KR"/>
        </w:rPr>
        <w:t xml:space="preserve">which may be a concern in the long term </w:t>
      </w:r>
      <w:r w:rsidR="002B7684" w:rsidRPr="004635E5">
        <w:rPr>
          <w:rFonts w:eastAsia="Batang"/>
          <w:sz w:val="22"/>
          <w:szCs w:val="22"/>
          <w:lang w:eastAsia="ko-KR"/>
        </w:rPr>
        <w:t xml:space="preserve">for the future of </w:t>
      </w:r>
      <w:r w:rsidR="004421B3" w:rsidRPr="004635E5">
        <w:rPr>
          <w:rFonts w:eastAsia="Batang"/>
          <w:sz w:val="22"/>
          <w:szCs w:val="22"/>
          <w:lang w:eastAsia="ko-KR"/>
        </w:rPr>
        <w:t>longline</w:t>
      </w:r>
      <w:r w:rsidR="002B7684" w:rsidRPr="004635E5">
        <w:rPr>
          <w:rFonts w:eastAsia="Batang"/>
          <w:sz w:val="22"/>
          <w:szCs w:val="22"/>
          <w:lang w:eastAsia="ko-KR"/>
        </w:rPr>
        <w:t xml:space="preserve"> fleets.</w:t>
      </w:r>
      <w:r w:rsidRPr="004635E5">
        <w:rPr>
          <w:rFonts w:eastAsia="Batang"/>
          <w:sz w:val="22"/>
          <w:szCs w:val="22"/>
          <w:lang w:eastAsia="ko-KR"/>
        </w:rPr>
        <w:t xml:space="preserve"> </w:t>
      </w:r>
    </w:p>
    <w:p w14:paraId="55944495"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3417F00E" w14:textId="77777777" w:rsidR="003C1C8E" w:rsidRPr="004635E5" w:rsidRDefault="004F39E1"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Chinese Taipei noted </w:t>
      </w:r>
      <w:r w:rsidR="00926650" w:rsidRPr="004635E5">
        <w:rPr>
          <w:rFonts w:eastAsia="Batang"/>
          <w:sz w:val="22"/>
          <w:szCs w:val="22"/>
          <w:lang w:val="en-NZ" w:eastAsia="ko-KR"/>
        </w:rPr>
        <w:t xml:space="preserve">there </w:t>
      </w:r>
      <w:r w:rsidR="00641765" w:rsidRPr="004635E5">
        <w:rPr>
          <w:rFonts w:eastAsia="Batang"/>
          <w:sz w:val="22"/>
          <w:szCs w:val="22"/>
          <w:lang w:val="en-NZ" w:eastAsia="ko-KR"/>
        </w:rPr>
        <w:t xml:space="preserve">were two major </w:t>
      </w:r>
      <w:r w:rsidR="00926650" w:rsidRPr="004635E5">
        <w:rPr>
          <w:rFonts w:eastAsia="Batang"/>
          <w:sz w:val="22"/>
          <w:szCs w:val="22"/>
          <w:lang w:val="en-NZ" w:eastAsia="ko-KR"/>
        </w:rPr>
        <w:t>fisheries</w:t>
      </w:r>
      <w:r w:rsidR="00641765" w:rsidRPr="004635E5">
        <w:rPr>
          <w:rFonts w:eastAsia="Batang"/>
          <w:sz w:val="22"/>
          <w:szCs w:val="22"/>
          <w:lang w:val="en-NZ" w:eastAsia="ko-KR"/>
        </w:rPr>
        <w:t xml:space="preserve"> in region, and asked why these were not split into multiple regions. They also stated that </w:t>
      </w:r>
      <w:r w:rsidR="00926650" w:rsidRPr="004635E5">
        <w:rPr>
          <w:rFonts w:eastAsia="Batang"/>
          <w:sz w:val="22"/>
          <w:szCs w:val="22"/>
          <w:lang w:val="en-NZ" w:eastAsia="ko-KR"/>
        </w:rPr>
        <w:t xml:space="preserve">catch in this area </w:t>
      </w:r>
      <w:r w:rsidR="00641765" w:rsidRPr="004635E5">
        <w:rPr>
          <w:rFonts w:eastAsia="Batang"/>
          <w:sz w:val="22"/>
          <w:szCs w:val="22"/>
          <w:lang w:val="en-NZ" w:eastAsia="ko-KR"/>
        </w:rPr>
        <w:t xml:space="preserve">was </w:t>
      </w:r>
      <w:r w:rsidR="00926650" w:rsidRPr="004635E5">
        <w:rPr>
          <w:rFonts w:eastAsia="Batang"/>
          <w:sz w:val="22"/>
          <w:szCs w:val="22"/>
          <w:lang w:val="en-NZ" w:eastAsia="ko-KR"/>
        </w:rPr>
        <w:t>quite l</w:t>
      </w:r>
      <w:r w:rsidR="00641765" w:rsidRPr="004635E5">
        <w:rPr>
          <w:rFonts w:eastAsia="Batang"/>
          <w:sz w:val="22"/>
          <w:szCs w:val="22"/>
          <w:lang w:val="en-NZ" w:eastAsia="ko-KR"/>
        </w:rPr>
        <w:t xml:space="preserve">arge and inquired about data reliability and problems with species </w:t>
      </w:r>
      <w:r w:rsidR="003C1C8E" w:rsidRPr="004635E5">
        <w:rPr>
          <w:rFonts w:eastAsia="Batang"/>
          <w:sz w:val="22"/>
          <w:szCs w:val="22"/>
          <w:lang w:val="en-NZ" w:eastAsia="ko-KR"/>
        </w:rPr>
        <w:t>identification</w:t>
      </w:r>
      <w:r w:rsidR="00926650" w:rsidRPr="004635E5">
        <w:rPr>
          <w:rFonts w:eastAsia="Batang"/>
          <w:sz w:val="22"/>
          <w:szCs w:val="22"/>
          <w:lang w:val="en-NZ" w:eastAsia="ko-KR"/>
        </w:rPr>
        <w:t xml:space="preserve">. </w:t>
      </w:r>
      <w:r w:rsidR="00C93337" w:rsidRPr="004635E5">
        <w:rPr>
          <w:rFonts w:eastAsia="Batang"/>
          <w:sz w:val="22"/>
          <w:szCs w:val="22"/>
          <w:lang w:val="en-NZ" w:eastAsia="ko-KR"/>
        </w:rPr>
        <w:t xml:space="preserve">SPC </w:t>
      </w:r>
      <w:r w:rsidR="00641765" w:rsidRPr="004635E5">
        <w:rPr>
          <w:rFonts w:eastAsia="Batang"/>
          <w:sz w:val="22"/>
          <w:szCs w:val="22"/>
          <w:lang w:val="en-NZ" w:eastAsia="ko-KR"/>
        </w:rPr>
        <w:t xml:space="preserve">noted region </w:t>
      </w:r>
      <w:r w:rsidR="00926650" w:rsidRPr="004635E5">
        <w:rPr>
          <w:rFonts w:eastAsia="Batang"/>
          <w:sz w:val="22"/>
          <w:szCs w:val="22"/>
          <w:lang w:val="en-NZ" w:eastAsia="ko-KR"/>
        </w:rPr>
        <w:t xml:space="preserve">7 includes all fisheries in </w:t>
      </w:r>
      <w:r w:rsidR="00E01BE8" w:rsidRPr="004635E5">
        <w:rPr>
          <w:rFonts w:eastAsia="Batang"/>
          <w:sz w:val="22"/>
          <w:szCs w:val="22"/>
          <w:lang w:val="en-NZ" w:eastAsia="ko-KR"/>
        </w:rPr>
        <w:t>Indonesia</w:t>
      </w:r>
      <w:r w:rsidR="00926650" w:rsidRPr="004635E5">
        <w:rPr>
          <w:rFonts w:eastAsia="Batang"/>
          <w:sz w:val="22"/>
          <w:szCs w:val="22"/>
          <w:lang w:val="en-NZ" w:eastAsia="ko-KR"/>
        </w:rPr>
        <w:t xml:space="preserve"> and </w:t>
      </w:r>
      <w:r w:rsidR="00E01BE8" w:rsidRPr="004635E5">
        <w:rPr>
          <w:rFonts w:eastAsia="Batang"/>
          <w:sz w:val="22"/>
          <w:szCs w:val="22"/>
          <w:lang w:val="en-NZ" w:eastAsia="ko-KR"/>
        </w:rPr>
        <w:t>the Philippines</w:t>
      </w:r>
      <w:r w:rsidR="00926650" w:rsidRPr="004635E5">
        <w:rPr>
          <w:rFonts w:eastAsia="Batang"/>
          <w:sz w:val="22"/>
          <w:szCs w:val="22"/>
          <w:lang w:val="en-NZ" w:eastAsia="ko-KR"/>
        </w:rPr>
        <w:t xml:space="preserve">, </w:t>
      </w:r>
      <w:r w:rsidR="003C1C8E" w:rsidRPr="004635E5">
        <w:rPr>
          <w:rFonts w:eastAsia="Batang"/>
          <w:sz w:val="22"/>
          <w:szCs w:val="22"/>
          <w:lang w:val="en-NZ" w:eastAsia="ko-KR"/>
        </w:rPr>
        <w:t xml:space="preserve">but </w:t>
      </w:r>
      <w:r w:rsidR="00926650" w:rsidRPr="004635E5">
        <w:rPr>
          <w:rFonts w:eastAsia="Batang"/>
          <w:sz w:val="22"/>
          <w:szCs w:val="22"/>
          <w:lang w:val="en-NZ" w:eastAsia="ko-KR"/>
        </w:rPr>
        <w:t>s</w:t>
      </w:r>
      <w:r w:rsidR="00641765" w:rsidRPr="004635E5">
        <w:rPr>
          <w:rFonts w:eastAsia="Batang"/>
          <w:sz w:val="22"/>
          <w:szCs w:val="22"/>
          <w:lang w:val="en-NZ" w:eastAsia="ko-KR"/>
        </w:rPr>
        <w:t>e</w:t>
      </w:r>
      <w:r w:rsidR="00926650" w:rsidRPr="004635E5">
        <w:rPr>
          <w:rFonts w:eastAsia="Batang"/>
          <w:sz w:val="22"/>
          <w:szCs w:val="22"/>
          <w:lang w:val="en-NZ" w:eastAsia="ko-KR"/>
        </w:rPr>
        <w:t>p</w:t>
      </w:r>
      <w:r w:rsidR="00641765" w:rsidRPr="004635E5">
        <w:rPr>
          <w:rFonts w:eastAsia="Batang"/>
          <w:sz w:val="22"/>
          <w:szCs w:val="22"/>
          <w:lang w:val="en-NZ" w:eastAsia="ko-KR"/>
        </w:rPr>
        <w:t>a</w:t>
      </w:r>
      <w:r w:rsidR="00926650" w:rsidRPr="004635E5">
        <w:rPr>
          <w:rFonts w:eastAsia="Batang"/>
          <w:sz w:val="22"/>
          <w:szCs w:val="22"/>
          <w:lang w:val="en-NZ" w:eastAsia="ko-KR"/>
        </w:rPr>
        <w:t>rating these is v</w:t>
      </w:r>
      <w:r w:rsidR="00641765" w:rsidRPr="004635E5">
        <w:rPr>
          <w:rFonts w:eastAsia="Batang"/>
          <w:sz w:val="22"/>
          <w:szCs w:val="22"/>
          <w:lang w:val="en-NZ" w:eastAsia="ko-KR"/>
        </w:rPr>
        <w:t>ery</w:t>
      </w:r>
      <w:r w:rsidR="00926650" w:rsidRPr="004635E5">
        <w:rPr>
          <w:rFonts w:eastAsia="Batang"/>
          <w:sz w:val="22"/>
          <w:szCs w:val="22"/>
          <w:lang w:val="en-NZ" w:eastAsia="ko-KR"/>
        </w:rPr>
        <w:t xml:space="preserve"> diff</w:t>
      </w:r>
      <w:r w:rsidR="00641765" w:rsidRPr="004635E5">
        <w:rPr>
          <w:rFonts w:eastAsia="Batang"/>
          <w:sz w:val="22"/>
          <w:szCs w:val="22"/>
          <w:lang w:val="en-NZ" w:eastAsia="ko-KR"/>
        </w:rPr>
        <w:t>icult</w:t>
      </w:r>
      <w:r w:rsidR="00926650" w:rsidRPr="004635E5">
        <w:rPr>
          <w:rFonts w:eastAsia="Batang"/>
          <w:sz w:val="22"/>
          <w:szCs w:val="22"/>
          <w:lang w:val="en-NZ" w:eastAsia="ko-KR"/>
        </w:rPr>
        <w:t xml:space="preserve"> given </w:t>
      </w:r>
      <w:r w:rsidR="00641765" w:rsidRPr="004635E5">
        <w:rPr>
          <w:rFonts w:eastAsia="Batang"/>
          <w:sz w:val="22"/>
          <w:szCs w:val="22"/>
          <w:lang w:val="en-NZ" w:eastAsia="ko-KR"/>
        </w:rPr>
        <w:t xml:space="preserve">the </w:t>
      </w:r>
      <w:r w:rsidR="00926650" w:rsidRPr="004635E5">
        <w:rPr>
          <w:rFonts w:eastAsia="Batang"/>
          <w:sz w:val="22"/>
          <w:szCs w:val="22"/>
          <w:lang w:val="en-NZ" w:eastAsia="ko-KR"/>
        </w:rPr>
        <w:t>data uncertainties. P</w:t>
      </w:r>
      <w:r w:rsidR="00641765" w:rsidRPr="004635E5">
        <w:rPr>
          <w:rFonts w:eastAsia="Batang"/>
          <w:sz w:val="22"/>
          <w:szCs w:val="22"/>
          <w:lang w:val="en-NZ" w:eastAsia="ko-KR"/>
        </w:rPr>
        <w:t xml:space="preserve"> Williams </w:t>
      </w:r>
      <w:r w:rsidR="00926650" w:rsidRPr="004635E5">
        <w:rPr>
          <w:rFonts w:eastAsia="Batang"/>
          <w:sz w:val="22"/>
          <w:szCs w:val="22"/>
          <w:lang w:val="en-NZ" w:eastAsia="ko-KR"/>
        </w:rPr>
        <w:t>(SPC)</w:t>
      </w:r>
      <w:r w:rsidR="003C1C8E" w:rsidRPr="004635E5">
        <w:rPr>
          <w:rFonts w:eastAsia="Batang"/>
          <w:sz w:val="22"/>
          <w:szCs w:val="22"/>
          <w:lang w:val="en-NZ" w:eastAsia="ko-KR"/>
        </w:rPr>
        <w:t xml:space="preserve"> indicated that SP</w:t>
      </w:r>
      <w:r w:rsidR="00641765" w:rsidRPr="004635E5">
        <w:rPr>
          <w:rFonts w:eastAsia="Batang"/>
          <w:sz w:val="22"/>
          <w:szCs w:val="22"/>
          <w:lang w:val="en-NZ" w:eastAsia="ko-KR"/>
        </w:rPr>
        <w:t xml:space="preserve">C undertakes </w:t>
      </w:r>
      <w:r w:rsidR="00926650" w:rsidRPr="004635E5">
        <w:rPr>
          <w:rFonts w:eastAsia="Batang"/>
          <w:sz w:val="22"/>
          <w:szCs w:val="22"/>
          <w:lang w:val="en-NZ" w:eastAsia="ko-KR"/>
        </w:rPr>
        <w:t>w</w:t>
      </w:r>
      <w:r w:rsidR="00641765" w:rsidRPr="004635E5">
        <w:rPr>
          <w:rFonts w:eastAsia="Batang"/>
          <w:sz w:val="22"/>
          <w:szCs w:val="22"/>
          <w:lang w:val="en-NZ" w:eastAsia="ko-KR"/>
        </w:rPr>
        <w:t>or</w:t>
      </w:r>
      <w:r w:rsidR="00926650" w:rsidRPr="004635E5">
        <w:rPr>
          <w:rFonts w:eastAsia="Batang"/>
          <w:sz w:val="22"/>
          <w:szCs w:val="22"/>
          <w:lang w:val="en-NZ" w:eastAsia="ko-KR"/>
        </w:rPr>
        <w:t xml:space="preserve">kshops </w:t>
      </w:r>
      <w:r w:rsidR="00470383" w:rsidRPr="004635E5">
        <w:rPr>
          <w:rFonts w:eastAsia="Batang"/>
          <w:sz w:val="22"/>
          <w:szCs w:val="22"/>
          <w:lang w:val="en-NZ" w:eastAsia="ko-KR"/>
        </w:rPr>
        <w:t xml:space="preserve">to address </w:t>
      </w:r>
      <w:r w:rsidR="00926650" w:rsidRPr="004635E5">
        <w:rPr>
          <w:rFonts w:eastAsia="Batang"/>
          <w:sz w:val="22"/>
          <w:szCs w:val="22"/>
          <w:lang w:val="en-NZ" w:eastAsia="ko-KR"/>
        </w:rPr>
        <w:t xml:space="preserve">species </w:t>
      </w:r>
      <w:r w:rsidR="003C1C8E" w:rsidRPr="004635E5">
        <w:rPr>
          <w:rFonts w:eastAsia="Batang"/>
          <w:sz w:val="22"/>
          <w:szCs w:val="22"/>
          <w:lang w:val="en-NZ" w:eastAsia="ko-KR"/>
        </w:rPr>
        <w:t>identification</w:t>
      </w:r>
      <w:r w:rsidR="00926650" w:rsidRPr="004635E5">
        <w:rPr>
          <w:rFonts w:eastAsia="Batang"/>
          <w:sz w:val="22"/>
          <w:szCs w:val="22"/>
          <w:lang w:val="en-NZ" w:eastAsia="ko-KR"/>
        </w:rPr>
        <w:t xml:space="preserve">, </w:t>
      </w:r>
      <w:r w:rsidR="00470383" w:rsidRPr="004635E5">
        <w:rPr>
          <w:rFonts w:eastAsia="Batang"/>
          <w:sz w:val="22"/>
          <w:szCs w:val="22"/>
          <w:lang w:val="en-NZ" w:eastAsia="ko-KR"/>
        </w:rPr>
        <w:t xml:space="preserve">with </w:t>
      </w:r>
      <w:r w:rsidR="00926650" w:rsidRPr="004635E5">
        <w:rPr>
          <w:rFonts w:eastAsia="Batang"/>
          <w:sz w:val="22"/>
          <w:szCs w:val="22"/>
          <w:lang w:val="en-NZ" w:eastAsia="ko-KR"/>
        </w:rPr>
        <w:t xml:space="preserve">stringent training programs </w:t>
      </w:r>
      <w:r w:rsidR="00470383" w:rsidRPr="004635E5">
        <w:rPr>
          <w:rFonts w:eastAsia="Batang"/>
          <w:sz w:val="22"/>
          <w:szCs w:val="22"/>
          <w:lang w:val="en-NZ" w:eastAsia="ko-KR"/>
        </w:rPr>
        <w:t xml:space="preserve">for </w:t>
      </w:r>
      <w:r w:rsidR="00926650" w:rsidRPr="004635E5">
        <w:rPr>
          <w:rFonts w:eastAsia="Batang"/>
          <w:sz w:val="22"/>
          <w:szCs w:val="22"/>
          <w:lang w:val="en-NZ" w:eastAsia="ko-KR"/>
        </w:rPr>
        <w:t>in-port enumerators</w:t>
      </w:r>
      <w:r w:rsidR="00470383" w:rsidRPr="004635E5">
        <w:rPr>
          <w:rFonts w:eastAsia="Batang"/>
          <w:sz w:val="22"/>
          <w:szCs w:val="22"/>
          <w:lang w:val="en-NZ" w:eastAsia="ko-KR"/>
        </w:rPr>
        <w:t xml:space="preserve"> in </w:t>
      </w:r>
      <w:r w:rsidR="00E01BE8" w:rsidRPr="004635E5">
        <w:rPr>
          <w:rFonts w:eastAsia="Batang"/>
          <w:sz w:val="22"/>
          <w:szCs w:val="22"/>
          <w:lang w:val="en-NZ" w:eastAsia="ko-KR"/>
        </w:rPr>
        <w:t>the Philippines</w:t>
      </w:r>
      <w:r w:rsidR="00470383" w:rsidRPr="004635E5">
        <w:rPr>
          <w:rFonts w:eastAsia="Batang"/>
          <w:sz w:val="22"/>
          <w:szCs w:val="22"/>
          <w:lang w:val="en-NZ" w:eastAsia="ko-KR"/>
        </w:rPr>
        <w:t xml:space="preserve"> and </w:t>
      </w:r>
      <w:r w:rsidR="00E01BE8" w:rsidRPr="004635E5">
        <w:rPr>
          <w:rFonts w:eastAsia="Batang"/>
          <w:sz w:val="22"/>
          <w:szCs w:val="22"/>
          <w:lang w:val="en-NZ" w:eastAsia="ko-KR"/>
        </w:rPr>
        <w:t>Indonesia</w:t>
      </w:r>
      <w:r w:rsidR="00470383" w:rsidRPr="004635E5">
        <w:rPr>
          <w:rFonts w:eastAsia="Batang"/>
          <w:sz w:val="22"/>
          <w:szCs w:val="22"/>
          <w:lang w:val="en-NZ" w:eastAsia="ko-KR"/>
        </w:rPr>
        <w:t xml:space="preserve">. </w:t>
      </w:r>
    </w:p>
    <w:p w14:paraId="15612075"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4A26D409" w14:textId="77777777" w:rsidR="00C93337" w:rsidRPr="004635E5" w:rsidRDefault="005B6D6E"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The </w:t>
      </w:r>
      <w:r w:rsidR="00926650" w:rsidRPr="004635E5">
        <w:rPr>
          <w:rFonts w:eastAsia="Batang"/>
          <w:sz w:val="22"/>
          <w:szCs w:val="22"/>
          <w:lang w:val="en-NZ" w:eastAsia="ko-KR"/>
        </w:rPr>
        <w:t xml:space="preserve">USA </w:t>
      </w:r>
      <w:r w:rsidRPr="004635E5">
        <w:rPr>
          <w:rFonts w:eastAsia="Batang"/>
          <w:sz w:val="22"/>
          <w:szCs w:val="22"/>
          <w:lang w:val="en-NZ" w:eastAsia="ko-KR"/>
        </w:rPr>
        <w:t xml:space="preserve">noted there were </w:t>
      </w:r>
      <w:r w:rsidR="00926650" w:rsidRPr="004635E5">
        <w:rPr>
          <w:rFonts w:eastAsia="Batang"/>
          <w:sz w:val="22"/>
          <w:szCs w:val="22"/>
          <w:lang w:val="en-NZ" w:eastAsia="ko-KR"/>
        </w:rPr>
        <w:t xml:space="preserve">5 axes in </w:t>
      </w:r>
      <w:r w:rsidR="00966C9B" w:rsidRPr="004635E5">
        <w:rPr>
          <w:rFonts w:eastAsia="Batang"/>
          <w:sz w:val="22"/>
          <w:szCs w:val="22"/>
          <w:lang w:val="en-NZ" w:eastAsia="ko-KR"/>
        </w:rPr>
        <w:t xml:space="preserve">the </w:t>
      </w:r>
      <w:r w:rsidR="00926650" w:rsidRPr="004635E5">
        <w:rPr>
          <w:rFonts w:eastAsia="Batang"/>
          <w:sz w:val="22"/>
          <w:szCs w:val="22"/>
          <w:lang w:val="en-NZ" w:eastAsia="ko-KR"/>
        </w:rPr>
        <w:t>uncert</w:t>
      </w:r>
      <w:r w:rsidR="00966C9B" w:rsidRPr="004635E5">
        <w:rPr>
          <w:rFonts w:eastAsia="Batang"/>
          <w:sz w:val="22"/>
          <w:szCs w:val="22"/>
          <w:lang w:val="en-NZ" w:eastAsia="ko-KR"/>
        </w:rPr>
        <w:t>ainty</w:t>
      </w:r>
      <w:r w:rsidR="00926650" w:rsidRPr="004635E5">
        <w:rPr>
          <w:rFonts w:eastAsia="Batang"/>
          <w:sz w:val="22"/>
          <w:szCs w:val="22"/>
          <w:lang w:val="en-NZ" w:eastAsia="ko-KR"/>
        </w:rPr>
        <w:t xml:space="preserve"> grid</w:t>
      </w:r>
      <w:r w:rsidR="00966C9B" w:rsidRPr="004635E5">
        <w:rPr>
          <w:rFonts w:eastAsia="Batang"/>
          <w:sz w:val="22"/>
          <w:szCs w:val="22"/>
          <w:lang w:val="en-NZ" w:eastAsia="ko-KR"/>
        </w:rPr>
        <w:t xml:space="preserve">, and </w:t>
      </w:r>
      <w:r w:rsidR="00926650" w:rsidRPr="004635E5">
        <w:rPr>
          <w:rFonts w:eastAsia="Batang"/>
          <w:sz w:val="22"/>
          <w:szCs w:val="22"/>
          <w:lang w:val="en-NZ" w:eastAsia="ko-KR"/>
        </w:rPr>
        <w:t>prop</w:t>
      </w:r>
      <w:r w:rsidR="00966C9B" w:rsidRPr="004635E5">
        <w:rPr>
          <w:rFonts w:eastAsia="Batang"/>
          <w:sz w:val="22"/>
          <w:szCs w:val="22"/>
          <w:lang w:val="en-NZ" w:eastAsia="ko-KR"/>
        </w:rPr>
        <w:t>o</w:t>
      </w:r>
      <w:r w:rsidR="00926650" w:rsidRPr="004635E5">
        <w:rPr>
          <w:rFonts w:eastAsia="Batang"/>
          <w:sz w:val="22"/>
          <w:szCs w:val="22"/>
          <w:lang w:val="en-NZ" w:eastAsia="ko-KR"/>
        </w:rPr>
        <w:t>se</w:t>
      </w:r>
      <w:r w:rsidR="00966C9B" w:rsidRPr="004635E5">
        <w:rPr>
          <w:rFonts w:eastAsia="Batang"/>
          <w:sz w:val="22"/>
          <w:szCs w:val="22"/>
          <w:lang w:val="en-NZ" w:eastAsia="ko-KR"/>
        </w:rPr>
        <w:t>d</w:t>
      </w:r>
      <w:r w:rsidR="00926650" w:rsidRPr="004635E5">
        <w:rPr>
          <w:rFonts w:eastAsia="Batang"/>
          <w:sz w:val="22"/>
          <w:szCs w:val="22"/>
          <w:lang w:val="en-NZ" w:eastAsia="ko-KR"/>
        </w:rPr>
        <w:t xml:space="preserve"> keep</w:t>
      </w:r>
      <w:r w:rsidR="00966C9B" w:rsidRPr="004635E5">
        <w:rPr>
          <w:rFonts w:eastAsia="Batang"/>
          <w:sz w:val="22"/>
          <w:szCs w:val="22"/>
          <w:lang w:val="en-NZ" w:eastAsia="ko-KR"/>
        </w:rPr>
        <w:t>ing</w:t>
      </w:r>
      <w:r w:rsidR="00926650" w:rsidRPr="004635E5">
        <w:rPr>
          <w:rFonts w:eastAsia="Batang"/>
          <w:sz w:val="22"/>
          <w:szCs w:val="22"/>
          <w:lang w:val="en-NZ" w:eastAsia="ko-KR"/>
        </w:rPr>
        <w:t xml:space="preserve"> </w:t>
      </w:r>
      <w:r w:rsidR="00F225ED" w:rsidRPr="004635E5">
        <w:rPr>
          <w:rFonts w:eastAsia="Batang"/>
          <w:sz w:val="22"/>
          <w:szCs w:val="22"/>
          <w:lang w:val="en-NZ" w:eastAsia="ko-KR"/>
        </w:rPr>
        <w:t xml:space="preserve">3 </w:t>
      </w:r>
      <w:r w:rsidR="00926650" w:rsidRPr="004635E5">
        <w:rPr>
          <w:rFonts w:eastAsia="Batang"/>
          <w:sz w:val="22"/>
          <w:szCs w:val="22"/>
          <w:lang w:val="en-NZ" w:eastAsia="ko-KR"/>
        </w:rPr>
        <w:t>of those</w:t>
      </w:r>
      <w:r w:rsidR="00F225ED" w:rsidRPr="004635E5">
        <w:rPr>
          <w:rFonts w:eastAsia="Batang"/>
          <w:sz w:val="22"/>
          <w:szCs w:val="22"/>
          <w:lang w:val="en-NZ" w:eastAsia="ko-KR"/>
        </w:rPr>
        <w:t xml:space="preserve">, </w:t>
      </w:r>
      <w:r w:rsidR="003C1C8E" w:rsidRPr="004635E5">
        <w:rPr>
          <w:rFonts w:eastAsia="Batang"/>
          <w:sz w:val="22"/>
          <w:szCs w:val="22"/>
          <w:lang w:val="en-NZ" w:eastAsia="ko-KR"/>
        </w:rPr>
        <w:t xml:space="preserve">and using a </w:t>
      </w:r>
      <w:r w:rsidR="00E042BD" w:rsidRPr="004635E5">
        <w:rPr>
          <w:rFonts w:eastAsia="Batang"/>
          <w:sz w:val="22"/>
          <w:szCs w:val="22"/>
          <w:lang w:val="en-NZ" w:eastAsia="ko-KR"/>
        </w:rPr>
        <w:t xml:space="preserve">10° N </w:t>
      </w:r>
      <w:r w:rsidR="003C1C8E" w:rsidRPr="004635E5">
        <w:rPr>
          <w:rFonts w:eastAsia="Batang"/>
          <w:sz w:val="22"/>
          <w:szCs w:val="22"/>
          <w:lang w:val="en-NZ" w:eastAsia="ko-KR"/>
        </w:rPr>
        <w:t xml:space="preserve">boundary, which is supported by </w:t>
      </w:r>
      <w:r w:rsidR="00E042BD" w:rsidRPr="004635E5">
        <w:rPr>
          <w:rFonts w:eastAsia="Batang"/>
          <w:sz w:val="22"/>
          <w:szCs w:val="22"/>
          <w:lang w:val="en-NZ" w:eastAsia="ko-KR"/>
        </w:rPr>
        <w:t>tagging data</w:t>
      </w:r>
      <w:r w:rsidR="00C93337" w:rsidRPr="004635E5">
        <w:rPr>
          <w:rFonts w:eastAsia="Batang"/>
          <w:sz w:val="22"/>
          <w:szCs w:val="22"/>
          <w:lang w:val="en-NZ" w:eastAsia="ko-KR"/>
        </w:rPr>
        <w:t xml:space="preserve">. </w:t>
      </w:r>
      <w:r w:rsidR="00DB69E3">
        <w:rPr>
          <w:rFonts w:eastAsia="Batang" w:hint="eastAsia"/>
          <w:sz w:val="22"/>
          <w:szCs w:val="22"/>
          <w:lang w:val="en-NZ" w:eastAsia="ko-KR"/>
        </w:rPr>
        <w:t>The USA</w:t>
      </w:r>
      <w:r w:rsidR="00DB69E3" w:rsidRPr="004635E5">
        <w:rPr>
          <w:rFonts w:eastAsia="Batang"/>
          <w:sz w:val="22"/>
          <w:szCs w:val="22"/>
          <w:lang w:val="en-NZ" w:eastAsia="ko-KR"/>
        </w:rPr>
        <w:t xml:space="preserve"> </w:t>
      </w:r>
      <w:r w:rsidR="00F225ED" w:rsidRPr="004635E5">
        <w:rPr>
          <w:rFonts w:eastAsia="Batang"/>
          <w:sz w:val="22"/>
          <w:szCs w:val="22"/>
          <w:lang w:val="en-NZ" w:eastAsia="ko-KR"/>
        </w:rPr>
        <w:t>noted the need for caution in mo</w:t>
      </w:r>
      <w:r w:rsidR="007A062B" w:rsidRPr="004635E5">
        <w:rPr>
          <w:rFonts w:eastAsia="Batang"/>
          <w:sz w:val="22"/>
          <w:szCs w:val="22"/>
          <w:lang w:val="en-NZ" w:eastAsia="ko-KR"/>
        </w:rPr>
        <w:t>v</w:t>
      </w:r>
      <w:r w:rsidR="00F225ED" w:rsidRPr="004635E5">
        <w:rPr>
          <w:rFonts w:eastAsia="Batang"/>
          <w:sz w:val="22"/>
          <w:szCs w:val="22"/>
          <w:lang w:val="en-NZ" w:eastAsia="ko-KR"/>
        </w:rPr>
        <w:t xml:space="preserve">ing from the old to the </w:t>
      </w:r>
      <w:r w:rsidR="004156A3">
        <w:rPr>
          <w:rFonts w:eastAsia="Batang" w:hint="eastAsia"/>
          <w:sz w:val="22"/>
          <w:szCs w:val="22"/>
          <w:lang w:eastAsia="ko-KR"/>
        </w:rPr>
        <w:t xml:space="preserve">updated </w:t>
      </w:r>
      <w:r w:rsidR="00F225ED" w:rsidRPr="004635E5">
        <w:rPr>
          <w:rFonts w:eastAsia="Batang"/>
          <w:sz w:val="22"/>
          <w:szCs w:val="22"/>
          <w:lang w:val="en-NZ" w:eastAsia="ko-KR"/>
        </w:rPr>
        <w:t xml:space="preserve">new </w:t>
      </w:r>
      <w:r w:rsidR="007A062B" w:rsidRPr="004635E5">
        <w:rPr>
          <w:rFonts w:eastAsia="Batang"/>
          <w:sz w:val="22"/>
          <w:szCs w:val="22"/>
          <w:lang w:val="en-NZ" w:eastAsia="ko-KR"/>
        </w:rPr>
        <w:t>growth model.</w:t>
      </w:r>
      <w:r w:rsidR="003C1C8E" w:rsidRPr="004635E5">
        <w:rPr>
          <w:rFonts w:eastAsia="Batang"/>
          <w:sz w:val="22"/>
          <w:szCs w:val="22"/>
          <w:lang w:val="en-NZ" w:eastAsia="ko-KR"/>
        </w:rPr>
        <w:t xml:space="preserve"> </w:t>
      </w:r>
      <w:r w:rsidRPr="004635E5">
        <w:rPr>
          <w:rFonts w:eastAsia="Batang"/>
          <w:sz w:val="22"/>
          <w:szCs w:val="22"/>
          <w:lang w:val="en-NZ" w:eastAsia="ko-KR"/>
        </w:rPr>
        <w:t xml:space="preserve">The </w:t>
      </w:r>
      <w:r w:rsidR="00926650" w:rsidRPr="004635E5">
        <w:rPr>
          <w:rFonts w:eastAsia="Batang"/>
          <w:sz w:val="22"/>
          <w:szCs w:val="22"/>
          <w:lang w:val="en-NZ" w:eastAsia="ko-KR"/>
        </w:rPr>
        <w:t>EU</w:t>
      </w:r>
      <w:r w:rsidRPr="004635E5">
        <w:rPr>
          <w:rFonts w:eastAsia="Batang"/>
          <w:sz w:val="22"/>
          <w:szCs w:val="22"/>
          <w:lang w:val="en-NZ" w:eastAsia="ko-KR"/>
        </w:rPr>
        <w:t xml:space="preserve"> supported </w:t>
      </w:r>
      <w:r w:rsidR="007A062B" w:rsidRPr="004635E5">
        <w:rPr>
          <w:rFonts w:eastAsia="Batang"/>
          <w:sz w:val="22"/>
          <w:szCs w:val="22"/>
          <w:lang w:val="en-NZ" w:eastAsia="ko-KR"/>
        </w:rPr>
        <w:t xml:space="preserve">the </w:t>
      </w:r>
      <w:r w:rsidRPr="004635E5">
        <w:rPr>
          <w:rFonts w:eastAsia="Batang"/>
          <w:sz w:val="22"/>
          <w:szCs w:val="22"/>
          <w:lang w:val="en-NZ" w:eastAsia="ko-KR"/>
        </w:rPr>
        <w:t xml:space="preserve">use of </w:t>
      </w:r>
      <w:r w:rsidR="00DD4A00" w:rsidRPr="004635E5">
        <w:rPr>
          <w:rFonts w:eastAsia="Batang"/>
          <w:sz w:val="22"/>
          <w:szCs w:val="22"/>
          <w:lang w:val="en-NZ" w:eastAsia="ko-KR"/>
        </w:rPr>
        <w:t>best av</w:t>
      </w:r>
      <w:r w:rsidRPr="004635E5">
        <w:rPr>
          <w:rFonts w:eastAsia="Batang"/>
          <w:sz w:val="22"/>
          <w:szCs w:val="22"/>
          <w:lang w:val="en-NZ" w:eastAsia="ko-KR"/>
        </w:rPr>
        <w:t>a</w:t>
      </w:r>
      <w:r w:rsidR="00DD4A00" w:rsidRPr="004635E5">
        <w:rPr>
          <w:rFonts w:eastAsia="Batang"/>
          <w:sz w:val="22"/>
          <w:szCs w:val="22"/>
          <w:lang w:val="en-NZ" w:eastAsia="ko-KR"/>
        </w:rPr>
        <w:t>il</w:t>
      </w:r>
      <w:r w:rsidRPr="004635E5">
        <w:rPr>
          <w:rFonts w:eastAsia="Batang"/>
          <w:sz w:val="22"/>
          <w:szCs w:val="22"/>
          <w:lang w:val="en-NZ" w:eastAsia="ko-KR"/>
        </w:rPr>
        <w:t>able</w:t>
      </w:r>
      <w:r w:rsidR="00DD4A00" w:rsidRPr="004635E5">
        <w:rPr>
          <w:rFonts w:eastAsia="Batang"/>
          <w:sz w:val="22"/>
          <w:szCs w:val="22"/>
          <w:lang w:val="en-NZ" w:eastAsia="ko-KR"/>
        </w:rPr>
        <w:t xml:space="preserve"> sci</w:t>
      </w:r>
      <w:r w:rsidRPr="004635E5">
        <w:rPr>
          <w:rFonts w:eastAsia="Batang"/>
          <w:sz w:val="22"/>
          <w:szCs w:val="22"/>
          <w:lang w:val="en-NZ" w:eastAsia="ko-KR"/>
        </w:rPr>
        <w:t>ence</w:t>
      </w:r>
      <w:r w:rsidR="007A062B" w:rsidRPr="004635E5">
        <w:rPr>
          <w:rFonts w:eastAsia="Batang"/>
          <w:sz w:val="22"/>
          <w:szCs w:val="22"/>
          <w:lang w:val="en-NZ" w:eastAsia="ko-KR"/>
        </w:rPr>
        <w:t xml:space="preserve"> and</w:t>
      </w:r>
      <w:r w:rsidRPr="004635E5">
        <w:rPr>
          <w:rFonts w:eastAsia="Batang"/>
          <w:sz w:val="22"/>
          <w:szCs w:val="22"/>
          <w:lang w:val="en-NZ" w:eastAsia="ko-KR"/>
        </w:rPr>
        <w:t xml:space="preserve"> of the </w:t>
      </w:r>
      <w:r w:rsidR="004156A3">
        <w:rPr>
          <w:rFonts w:eastAsia="Batang" w:hint="eastAsia"/>
          <w:sz w:val="22"/>
          <w:szCs w:val="22"/>
          <w:lang w:eastAsia="ko-KR"/>
        </w:rPr>
        <w:t xml:space="preserve">updated </w:t>
      </w:r>
      <w:r w:rsidR="00DD4A00" w:rsidRPr="004635E5">
        <w:rPr>
          <w:rFonts w:eastAsia="Batang"/>
          <w:sz w:val="22"/>
          <w:szCs w:val="22"/>
          <w:lang w:val="en-NZ" w:eastAsia="ko-KR"/>
        </w:rPr>
        <w:t>new gr</w:t>
      </w:r>
      <w:r w:rsidRPr="004635E5">
        <w:rPr>
          <w:rFonts w:eastAsia="Batang"/>
          <w:sz w:val="22"/>
          <w:szCs w:val="22"/>
          <w:lang w:val="en-NZ" w:eastAsia="ko-KR"/>
        </w:rPr>
        <w:t>o</w:t>
      </w:r>
      <w:r w:rsidR="00DD4A00" w:rsidRPr="004635E5">
        <w:rPr>
          <w:rFonts w:eastAsia="Batang"/>
          <w:sz w:val="22"/>
          <w:szCs w:val="22"/>
          <w:lang w:val="en-NZ" w:eastAsia="ko-KR"/>
        </w:rPr>
        <w:t xml:space="preserve">wth model, </w:t>
      </w:r>
      <w:r w:rsidRPr="004635E5">
        <w:rPr>
          <w:rFonts w:eastAsia="Batang"/>
          <w:sz w:val="22"/>
          <w:szCs w:val="22"/>
          <w:lang w:val="en-NZ" w:eastAsia="ko-KR"/>
        </w:rPr>
        <w:t xml:space="preserve">and removal of the old model </w:t>
      </w:r>
      <w:r w:rsidR="00DD4A00" w:rsidRPr="004635E5">
        <w:rPr>
          <w:rFonts w:eastAsia="Batang"/>
          <w:sz w:val="22"/>
          <w:szCs w:val="22"/>
          <w:lang w:val="en-NZ" w:eastAsia="ko-KR"/>
        </w:rPr>
        <w:t xml:space="preserve">from </w:t>
      </w:r>
      <w:r w:rsidRPr="004635E5">
        <w:rPr>
          <w:rFonts w:eastAsia="Batang"/>
          <w:sz w:val="22"/>
          <w:szCs w:val="22"/>
          <w:lang w:val="en-NZ" w:eastAsia="ko-KR"/>
        </w:rPr>
        <w:t xml:space="preserve">the </w:t>
      </w:r>
      <w:r w:rsidR="00DD4A00" w:rsidRPr="004635E5">
        <w:rPr>
          <w:rFonts w:eastAsia="Batang"/>
          <w:sz w:val="22"/>
          <w:szCs w:val="22"/>
          <w:lang w:val="en-NZ" w:eastAsia="ko-KR"/>
        </w:rPr>
        <w:t xml:space="preserve">grid. </w:t>
      </w:r>
      <w:r w:rsidR="00DB69E3">
        <w:rPr>
          <w:rFonts w:eastAsia="Batang" w:hint="eastAsia"/>
          <w:sz w:val="22"/>
          <w:szCs w:val="22"/>
          <w:lang w:val="en-NZ" w:eastAsia="ko-KR"/>
        </w:rPr>
        <w:t>The USA</w:t>
      </w:r>
      <w:r w:rsidR="00DB69E3" w:rsidRPr="004635E5">
        <w:rPr>
          <w:rFonts w:eastAsia="Batang"/>
          <w:sz w:val="22"/>
          <w:szCs w:val="22"/>
          <w:lang w:val="en-NZ" w:eastAsia="ko-KR"/>
        </w:rPr>
        <w:t xml:space="preserve"> </w:t>
      </w:r>
      <w:r w:rsidR="007A062B" w:rsidRPr="004635E5">
        <w:rPr>
          <w:rFonts w:eastAsia="Batang"/>
          <w:sz w:val="22"/>
          <w:szCs w:val="22"/>
          <w:lang w:val="en-NZ" w:eastAsia="ko-KR"/>
        </w:rPr>
        <w:t>understood</w:t>
      </w:r>
      <w:r w:rsidR="00DD4A00" w:rsidRPr="004635E5">
        <w:rPr>
          <w:rFonts w:eastAsia="Batang"/>
          <w:sz w:val="22"/>
          <w:szCs w:val="22"/>
          <w:lang w:val="en-NZ" w:eastAsia="ko-KR"/>
        </w:rPr>
        <w:t xml:space="preserve"> that som</w:t>
      </w:r>
      <w:r w:rsidRPr="004635E5">
        <w:rPr>
          <w:rFonts w:eastAsia="Batang"/>
          <w:sz w:val="22"/>
          <w:szCs w:val="22"/>
          <w:lang w:val="en-NZ" w:eastAsia="ko-KR"/>
        </w:rPr>
        <w:t>e</w:t>
      </w:r>
      <w:r w:rsidR="00DD4A00" w:rsidRPr="004635E5">
        <w:rPr>
          <w:rFonts w:eastAsia="Batang"/>
          <w:sz w:val="22"/>
          <w:szCs w:val="22"/>
          <w:lang w:val="en-NZ" w:eastAsia="ko-KR"/>
        </w:rPr>
        <w:t xml:space="preserve"> members </w:t>
      </w:r>
      <w:r w:rsidRPr="004635E5">
        <w:rPr>
          <w:rFonts w:eastAsia="Batang"/>
          <w:sz w:val="22"/>
          <w:szCs w:val="22"/>
          <w:lang w:val="en-NZ" w:eastAsia="ko-KR"/>
        </w:rPr>
        <w:t>did not agree</w:t>
      </w:r>
      <w:r w:rsidR="007A062B" w:rsidRPr="004635E5">
        <w:rPr>
          <w:rFonts w:eastAsia="Batang"/>
          <w:sz w:val="22"/>
          <w:szCs w:val="22"/>
          <w:lang w:val="en-NZ" w:eastAsia="ko-KR"/>
        </w:rPr>
        <w:t>, c</w:t>
      </w:r>
      <w:r w:rsidRPr="004635E5">
        <w:rPr>
          <w:rFonts w:eastAsia="Batang"/>
          <w:sz w:val="22"/>
          <w:szCs w:val="22"/>
          <w:lang w:val="en-NZ" w:eastAsia="ko-KR"/>
        </w:rPr>
        <w:t xml:space="preserve">onfirmed </w:t>
      </w:r>
      <w:r w:rsidR="00DD4A00" w:rsidRPr="004635E5">
        <w:rPr>
          <w:rFonts w:eastAsia="Batang"/>
          <w:sz w:val="22"/>
          <w:szCs w:val="22"/>
          <w:lang w:val="en-NZ" w:eastAsia="ko-KR"/>
        </w:rPr>
        <w:t>more work is needed</w:t>
      </w:r>
      <w:r w:rsidRPr="004635E5">
        <w:rPr>
          <w:rFonts w:eastAsia="Batang"/>
          <w:sz w:val="22"/>
          <w:szCs w:val="22"/>
          <w:lang w:val="en-NZ" w:eastAsia="ko-KR"/>
        </w:rPr>
        <w:t xml:space="preserve">, </w:t>
      </w:r>
      <w:r w:rsidR="007A062B" w:rsidRPr="004635E5">
        <w:rPr>
          <w:rFonts w:eastAsia="Batang"/>
          <w:sz w:val="22"/>
          <w:szCs w:val="22"/>
          <w:lang w:val="en-NZ" w:eastAsia="ko-KR"/>
        </w:rPr>
        <w:t xml:space="preserve">and </w:t>
      </w:r>
      <w:r w:rsidRPr="004635E5">
        <w:rPr>
          <w:rFonts w:eastAsia="Batang"/>
          <w:sz w:val="22"/>
          <w:szCs w:val="22"/>
          <w:lang w:val="en-NZ" w:eastAsia="ko-KR"/>
        </w:rPr>
        <w:t xml:space="preserve">observed the </w:t>
      </w:r>
      <w:r w:rsidR="00DD4A00" w:rsidRPr="004635E5">
        <w:rPr>
          <w:rFonts w:eastAsia="Batang"/>
          <w:sz w:val="22"/>
          <w:szCs w:val="22"/>
          <w:lang w:val="en-NZ" w:eastAsia="ko-KR"/>
        </w:rPr>
        <w:t xml:space="preserve">need to </w:t>
      </w:r>
      <w:r w:rsidR="007A062B" w:rsidRPr="004635E5">
        <w:rPr>
          <w:rFonts w:eastAsia="Batang"/>
          <w:sz w:val="22"/>
          <w:szCs w:val="22"/>
          <w:lang w:val="en-NZ" w:eastAsia="ko-KR"/>
        </w:rPr>
        <w:t xml:space="preserve">validate use of the new model. </w:t>
      </w:r>
      <w:r w:rsidR="00DD4A00" w:rsidRPr="004635E5">
        <w:rPr>
          <w:rFonts w:eastAsia="Batang"/>
          <w:sz w:val="22"/>
          <w:szCs w:val="22"/>
          <w:lang w:val="en-NZ" w:eastAsia="ko-KR"/>
        </w:rPr>
        <w:t>PNG</w:t>
      </w:r>
      <w:r w:rsidR="007A062B" w:rsidRPr="004635E5">
        <w:rPr>
          <w:rFonts w:eastAsia="Batang"/>
          <w:sz w:val="22"/>
          <w:szCs w:val="22"/>
          <w:lang w:val="en-NZ" w:eastAsia="ko-KR"/>
        </w:rPr>
        <w:t xml:space="preserve"> </w:t>
      </w:r>
      <w:r w:rsidR="00DD4A00" w:rsidRPr="004635E5">
        <w:rPr>
          <w:rFonts w:eastAsia="Batang"/>
          <w:sz w:val="22"/>
          <w:szCs w:val="22"/>
          <w:lang w:val="en-NZ" w:eastAsia="ko-KR"/>
        </w:rPr>
        <w:t>support</w:t>
      </w:r>
      <w:r w:rsidR="007A062B" w:rsidRPr="004635E5">
        <w:rPr>
          <w:rFonts w:eastAsia="Batang"/>
          <w:sz w:val="22"/>
          <w:szCs w:val="22"/>
          <w:lang w:val="en-NZ" w:eastAsia="ko-KR"/>
        </w:rPr>
        <w:t>ed</w:t>
      </w:r>
      <w:r w:rsidR="00DD4A00" w:rsidRPr="004635E5">
        <w:rPr>
          <w:rFonts w:eastAsia="Batang"/>
          <w:sz w:val="22"/>
          <w:szCs w:val="22"/>
          <w:lang w:val="en-NZ" w:eastAsia="ko-KR"/>
        </w:rPr>
        <w:t xml:space="preserve"> removal of old growth in </w:t>
      </w:r>
      <w:r w:rsidR="007A062B" w:rsidRPr="004635E5">
        <w:rPr>
          <w:rFonts w:eastAsia="Batang"/>
          <w:sz w:val="22"/>
          <w:szCs w:val="22"/>
          <w:lang w:val="en-NZ" w:eastAsia="ko-KR"/>
        </w:rPr>
        <w:t xml:space="preserve">the </w:t>
      </w:r>
      <w:r w:rsidR="00DD4A00" w:rsidRPr="004635E5">
        <w:rPr>
          <w:rFonts w:eastAsia="Batang"/>
          <w:sz w:val="22"/>
          <w:szCs w:val="22"/>
          <w:lang w:val="en-NZ" w:eastAsia="ko-KR"/>
        </w:rPr>
        <w:t>grid.</w:t>
      </w:r>
    </w:p>
    <w:p w14:paraId="4EA14B90"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1CDCBB8A" w14:textId="77777777" w:rsidR="00944C25" w:rsidRPr="004635E5" w:rsidRDefault="00C93337"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The </w:t>
      </w:r>
      <w:r w:rsidR="00E01BE8" w:rsidRPr="004635E5">
        <w:rPr>
          <w:rFonts w:eastAsia="Batang"/>
          <w:sz w:val="22"/>
          <w:szCs w:val="22"/>
          <w:lang w:val="en-NZ" w:eastAsia="ko-KR"/>
        </w:rPr>
        <w:t>theme c</w:t>
      </w:r>
      <w:r w:rsidR="00DD4A00" w:rsidRPr="004635E5">
        <w:rPr>
          <w:rFonts w:eastAsia="Batang"/>
          <w:sz w:val="22"/>
          <w:szCs w:val="22"/>
          <w:lang w:val="en-NZ" w:eastAsia="ko-KR"/>
        </w:rPr>
        <w:t>onvenor</w:t>
      </w:r>
      <w:r w:rsidRPr="004635E5">
        <w:rPr>
          <w:rFonts w:eastAsia="Batang"/>
          <w:sz w:val="22"/>
          <w:szCs w:val="22"/>
          <w:lang w:val="en-NZ" w:eastAsia="ko-KR"/>
        </w:rPr>
        <w:t xml:space="preserve"> outlined three options that had been discussed by members and that </w:t>
      </w:r>
      <w:r w:rsidR="00E01BE8" w:rsidRPr="004635E5">
        <w:rPr>
          <w:rFonts w:eastAsia="Batang"/>
          <w:sz w:val="22"/>
          <w:szCs w:val="22"/>
          <w:lang w:val="en-NZ" w:eastAsia="ko-KR"/>
        </w:rPr>
        <w:t xml:space="preserve">the </w:t>
      </w:r>
      <w:r w:rsidRPr="004635E5">
        <w:rPr>
          <w:rFonts w:eastAsia="Batang"/>
          <w:sz w:val="22"/>
          <w:szCs w:val="22"/>
          <w:lang w:val="en-NZ" w:eastAsia="ko-KR"/>
        </w:rPr>
        <w:t>SC should consider:</w:t>
      </w:r>
      <w:r w:rsidR="007A062B" w:rsidRPr="004635E5">
        <w:rPr>
          <w:rFonts w:eastAsia="Batang"/>
          <w:sz w:val="22"/>
          <w:szCs w:val="22"/>
          <w:lang w:val="en-NZ" w:eastAsia="ko-KR"/>
        </w:rPr>
        <w:t xml:space="preserve"> </w:t>
      </w:r>
      <w:r w:rsidRPr="004635E5">
        <w:rPr>
          <w:rFonts w:eastAsia="Batang"/>
          <w:sz w:val="22"/>
          <w:szCs w:val="22"/>
          <w:lang w:val="en-NZ" w:eastAsia="ko-KR"/>
        </w:rPr>
        <w:t xml:space="preserve">(i) move forward with the </w:t>
      </w:r>
      <w:r w:rsidR="004421B3" w:rsidRPr="004635E5">
        <w:rPr>
          <w:rFonts w:eastAsia="Batang"/>
          <w:sz w:val="22"/>
          <w:szCs w:val="22"/>
          <w:lang w:val="en-NZ" w:eastAsia="ko-KR"/>
        </w:rPr>
        <w:t>bigeye tuna</w:t>
      </w:r>
      <w:r w:rsidRPr="004635E5">
        <w:rPr>
          <w:rFonts w:eastAsia="Batang"/>
          <w:sz w:val="22"/>
          <w:szCs w:val="22"/>
          <w:lang w:val="en-NZ" w:eastAsia="ko-KR"/>
        </w:rPr>
        <w:t xml:space="preserve"> </w:t>
      </w:r>
      <w:r w:rsidR="00DD4A00" w:rsidRPr="004635E5">
        <w:rPr>
          <w:rFonts w:eastAsia="Batang"/>
          <w:sz w:val="22"/>
          <w:szCs w:val="22"/>
          <w:lang w:val="en-NZ" w:eastAsia="ko-KR"/>
        </w:rPr>
        <w:t xml:space="preserve">update as </w:t>
      </w:r>
      <w:r w:rsidRPr="004635E5">
        <w:rPr>
          <w:rFonts w:eastAsia="Batang"/>
          <w:sz w:val="22"/>
          <w:szCs w:val="22"/>
          <w:lang w:val="en-NZ" w:eastAsia="ko-KR"/>
        </w:rPr>
        <w:t xml:space="preserve">forward </w:t>
      </w:r>
      <w:r w:rsidR="00DD4A00" w:rsidRPr="004635E5">
        <w:rPr>
          <w:rFonts w:eastAsia="Batang"/>
          <w:sz w:val="22"/>
          <w:szCs w:val="22"/>
          <w:lang w:val="en-NZ" w:eastAsia="ko-KR"/>
        </w:rPr>
        <w:t>by SPC</w:t>
      </w:r>
      <w:r w:rsidRPr="004635E5">
        <w:rPr>
          <w:rFonts w:eastAsia="Batang"/>
          <w:sz w:val="22"/>
          <w:szCs w:val="22"/>
          <w:lang w:val="en-NZ" w:eastAsia="ko-KR"/>
        </w:rPr>
        <w:t xml:space="preserve"> in </w:t>
      </w:r>
      <w:r w:rsidR="00797E2B">
        <w:rPr>
          <w:rFonts w:eastAsia="Batang"/>
          <w:sz w:val="22"/>
          <w:szCs w:val="22"/>
          <w:lang w:eastAsia="ko-KR"/>
        </w:rPr>
        <w:t>SC14-</w:t>
      </w:r>
      <w:r w:rsidRPr="004635E5">
        <w:rPr>
          <w:rFonts w:eastAsia="Batang"/>
          <w:sz w:val="22"/>
          <w:szCs w:val="22"/>
          <w:lang w:val="en-NZ" w:eastAsia="ko-KR"/>
        </w:rPr>
        <w:t>SA-</w:t>
      </w:r>
      <w:r w:rsidR="00DD4A00" w:rsidRPr="004635E5">
        <w:rPr>
          <w:rFonts w:eastAsia="Batang"/>
          <w:sz w:val="22"/>
          <w:szCs w:val="22"/>
          <w:lang w:val="en-NZ" w:eastAsia="ko-KR"/>
        </w:rPr>
        <w:t>WP-03</w:t>
      </w:r>
      <w:r w:rsidRPr="004635E5">
        <w:rPr>
          <w:rFonts w:eastAsia="Batang"/>
          <w:sz w:val="22"/>
          <w:szCs w:val="22"/>
          <w:lang w:val="en-NZ" w:eastAsia="ko-KR"/>
        </w:rPr>
        <w:t>; (ii)</w:t>
      </w:r>
      <w:r w:rsidR="00DD4A00" w:rsidRPr="004635E5">
        <w:rPr>
          <w:rFonts w:eastAsia="Batang"/>
          <w:sz w:val="22"/>
          <w:szCs w:val="22"/>
          <w:lang w:val="en-NZ" w:eastAsia="ko-KR"/>
        </w:rPr>
        <w:t xml:space="preserve"> delete </w:t>
      </w:r>
      <w:r w:rsidRPr="004635E5">
        <w:rPr>
          <w:rFonts w:eastAsia="Batang"/>
          <w:sz w:val="22"/>
          <w:szCs w:val="22"/>
          <w:lang w:val="en-NZ" w:eastAsia="ko-KR"/>
        </w:rPr>
        <w:t xml:space="preserve">the </w:t>
      </w:r>
      <w:r w:rsidR="00DD4A00" w:rsidRPr="004635E5">
        <w:rPr>
          <w:rFonts w:eastAsia="Batang"/>
          <w:sz w:val="22"/>
          <w:szCs w:val="22"/>
          <w:lang w:val="en-NZ" w:eastAsia="ko-KR"/>
        </w:rPr>
        <w:t>old growth info</w:t>
      </w:r>
      <w:r w:rsidRPr="004635E5">
        <w:rPr>
          <w:rFonts w:eastAsia="Batang"/>
          <w:sz w:val="22"/>
          <w:szCs w:val="22"/>
          <w:lang w:val="en-NZ" w:eastAsia="ko-KR"/>
        </w:rPr>
        <w:t xml:space="preserve">rmation; and (iii) </w:t>
      </w:r>
      <w:r w:rsidR="00DD4A00" w:rsidRPr="004635E5">
        <w:rPr>
          <w:rFonts w:eastAsia="Batang"/>
          <w:sz w:val="22"/>
          <w:szCs w:val="22"/>
          <w:lang w:val="en-NZ" w:eastAsia="ko-KR"/>
        </w:rPr>
        <w:t xml:space="preserve">include </w:t>
      </w:r>
      <w:r w:rsidRPr="004635E5">
        <w:rPr>
          <w:rFonts w:eastAsia="Batang"/>
          <w:sz w:val="22"/>
          <w:szCs w:val="22"/>
          <w:lang w:val="en-NZ" w:eastAsia="ko-KR"/>
        </w:rPr>
        <w:t xml:space="preserve">both </w:t>
      </w:r>
      <w:r w:rsidR="00DD4A00" w:rsidRPr="004635E5">
        <w:rPr>
          <w:rFonts w:eastAsia="Batang"/>
          <w:sz w:val="22"/>
          <w:szCs w:val="22"/>
          <w:lang w:val="en-NZ" w:eastAsia="ko-KR"/>
        </w:rPr>
        <w:t xml:space="preserve">old and </w:t>
      </w:r>
      <w:r w:rsidR="004156A3">
        <w:rPr>
          <w:rFonts w:eastAsia="Batang" w:hint="eastAsia"/>
          <w:sz w:val="22"/>
          <w:szCs w:val="22"/>
          <w:lang w:eastAsia="ko-KR"/>
        </w:rPr>
        <w:t xml:space="preserve">updated </w:t>
      </w:r>
      <w:r w:rsidR="00DD4A00" w:rsidRPr="004635E5">
        <w:rPr>
          <w:rFonts w:eastAsia="Batang"/>
          <w:sz w:val="22"/>
          <w:szCs w:val="22"/>
          <w:lang w:val="en-NZ" w:eastAsia="ko-KR"/>
        </w:rPr>
        <w:t xml:space="preserve">new growth with weighting as used in SC13, </w:t>
      </w:r>
      <w:r w:rsidRPr="004635E5">
        <w:rPr>
          <w:rFonts w:eastAsia="Batang"/>
          <w:sz w:val="22"/>
          <w:szCs w:val="22"/>
          <w:lang w:val="en-NZ" w:eastAsia="ko-KR"/>
        </w:rPr>
        <w:t xml:space="preserve">with </w:t>
      </w:r>
      <w:r w:rsidR="00DD4A00" w:rsidRPr="004635E5">
        <w:rPr>
          <w:rFonts w:eastAsia="Batang"/>
          <w:sz w:val="22"/>
          <w:szCs w:val="22"/>
          <w:lang w:val="en-NZ" w:eastAsia="ko-KR"/>
        </w:rPr>
        <w:t xml:space="preserve">no change to </w:t>
      </w:r>
      <w:r w:rsidRPr="004635E5">
        <w:rPr>
          <w:rFonts w:eastAsia="Batang"/>
          <w:sz w:val="22"/>
          <w:szCs w:val="22"/>
          <w:lang w:val="en-NZ" w:eastAsia="ko-KR"/>
        </w:rPr>
        <w:t xml:space="preserve">the </w:t>
      </w:r>
      <w:r w:rsidR="00DD4A00" w:rsidRPr="004635E5">
        <w:rPr>
          <w:rFonts w:eastAsia="Batang"/>
          <w:sz w:val="22"/>
          <w:szCs w:val="22"/>
          <w:lang w:val="en-NZ" w:eastAsia="ko-KR"/>
        </w:rPr>
        <w:t>reg</w:t>
      </w:r>
      <w:r w:rsidRPr="004635E5">
        <w:rPr>
          <w:rFonts w:eastAsia="Batang"/>
          <w:sz w:val="22"/>
          <w:szCs w:val="22"/>
          <w:lang w:val="en-NZ" w:eastAsia="ko-KR"/>
        </w:rPr>
        <w:t>ional</w:t>
      </w:r>
      <w:r w:rsidR="00DD4A00" w:rsidRPr="004635E5">
        <w:rPr>
          <w:rFonts w:eastAsia="Batang"/>
          <w:sz w:val="22"/>
          <w:szCs w:val="22"/>
          <w:lang w:val="en-NZ" w:eastAsia="ko-KR"/>
        </w:rPr>
        <w:t xml:space="preserve"> struc</w:t>
      </w:r>
      <w:r w:rsidR="007A062B" w:rsidRPr="004635E5">
        <w:rPr>
          <w:rFonts w:eastAsia="Batang"/>
          <w:sz w:val="22"/>
          <w:szCs w:val="22"/>
          <w:lang w:val="en-NZ" w:eastAsia="ko-KR"/>
        </w:rPr>
        <w:t>ture</w:t>
      </w:r>
      <w:r w:rsidR="00DD4A00" w:rsidRPr="004635E5">
        <w:rPr>
          <w:rFonts w:eastAsia="Batang"/>
          <w:sz w:val="22"/>
          <w:szCs w:val="22"/>
          <w:lang w:val="en-NZ" w:eastAsia="ko-KR"/>
        </w:rPr>
        <w:t xml:space="preserve">. </w:t>
      </w:r>
      <w:r w:rsidRPr="004635E5">
        <w:rPr>
          <w:rFonts w:eastAsia="Batang"/>
          <w:sz w:val="22"/>
          <w:szCs w:val="22"/>
          <w:lang w:val="en-NZ" w:eastAsia="ko-KR"/>
        </w:rPr>
        <w:t xml:space="preserve">The </w:t>
      </w:r>
      <w:r w:rsidR="00E01BE8" w:rsidRPr="004635E5">
        <w:rPr>
          <w:rFonts w:eastAsia="Batang"/>
          <w:sz w:val="22"/>
          <w:szCs w:val="22"/>
          <w:lang w:val="en-NZ" w:eastAsia="ko-KR"/>
        </w:rPr>
        <w:t>theme c</w:t>
      </w:r>
      <w:r w:rsidRPr="004635E5">
        <w:rPr>
          <w:rFonts w:eastAsia="Batang"/>
          <w:sz w:val="22"/>
          <w:szCs w:val="22"/>
          <w:lang w:val="en-NZ" w:eastAsia="ko-KR"/>
        </w:rPr>
        <w:t xml:space="preserve">onvener </w:t>
      </w:r>
      <w:r w:rsidRPr="004635E5">
        <w:rPr>
          <w:rFonts w:eastAsia="Batang"/>
          <w:sz w:val="22"/>
          <w:szCs w:val="22"/>
          <w:lang w:eastAsia="ko-KR"/>
        </w:rPr>
        <w:t>noted</w:t>
      </w:r>
      <w:r w:rsidR="00944C25" w:rsidRPr="004635E5">
        <w:rPr>
          <w:rFonts w:eastAsia="Batang"/>
          <w:sz w:val="22"/>
          <w:szCs w:val="22"/>
          <w:lang w:eastAsia="ko-KR"/>
        </w:rPr>
        <w:t xml:space="preserve"> </w:t>
      </w:r>
      <w:r w:rsidRPr="004635E5">
        <w:rPr>
          <w:rFonts w:eastAsia="Batang"/>
          <w:sz w:val="22"/>
          <w:szCs w:val="22"/>
          <w:lang w:eastAsia="ko-KR"/>
        </w:rPr>
        <w:t xml:space="preserve">that there was </w:t>
      </w:r>
      <w:r w:rsidR="00944C25" w:rsidRPr="004635E5">
        <w:rPr>
          <w:rFonts w:eastAsia="Batang"/>
          <w:sz w:val="22"/>
          <w:szCs w:val="22"/>
          <w:lang w:eastAsia="ko-KR"/>
        </w:rPr>
        <w:t xml:space="preserve">new information on </w:t>
      </w:r>
      <w:r w:rsidR="004421B3" w:rsidRPr="004635E5">
        <w:rPr>
          <w:rFonts w:eastAsia="Batang"/>
          <w:sz w:val="22"/>
          <w:szCs w:val="22"/>
          <w:lang w:eastAsia="ko-KR"/>
        </w:rPr>
        <w:t>bigeye tuna</w:t>
      </w:r>
      <w:r w:rsidR="00944C25" w:rsidRPr="004635E5">
        <w:rPr>
          <w:rFonts w:eastAsia="Batang"/>
          <w:sz w:val="22"/>
          <w:szCs w:val="22"/>
          <w:lang w:eastAsia="ko-KR"/>
        </w:rPr>
        <w:t xml:space="preserve"> regarding size at age of large fish and aging comparisons</w:t>
      </w:r>
      <w:r w:rsidRPr="004635E5">
        <w:rPr>
          <w:rFonts w:eastAsia="Batang"/>
          <w:sz w:val="22"/>
          <w:szCs w:val="22"/>
          <w:lang w:eastAsia="ko-KR"/>
        </w:rPr>
        <w:t xml:space="preserve">, but that this </w:t>
      </w:r>
      <w:r w:rsidR="00944C25" w:rsidRPr="004635E5">
        <w:rPr>
          <w:rFonts w:eastAsia="Batang"/>
          <w:sz w:val="22"/>
          <w:szCs w:val="22"/>
          <w:lang w:eastAsia="ko-KR"/>
        </w:rPr>
        <w:t xml:space="preserve">was the only information to justify changes from what the 2017 </w:t>
      </w:r>
      <w:r w:rsidR="00656FD8" w:rsidRPr="004635E5">
        <w:rPr>
          <w:rFonts w:eastAsia="Batang"/>
          <w:sz w:val="22"/>
          <w:szCs w:val="22"/>
          <w:lang w:eastAsia="ko-KR"/>
        </w:rPr>
        <w:t>stock assessment</w:t>
      </w:r>
      <w:r w:rsidR="00944C25" w:rsidRPr="004635E5">
        <w:rPr>
          <w:rFonts w:eastAsia="Batang"/>
          <w:sz w:val="22"/>
          <w:szCs w:val="22"/>
          <w:lang w:eastAsia="ko-KR"/>
        </w:rPr>
        <w:t xml:space="preserve"> did in terms of treating new vs. old growth. </w:t>
      </w:r>
      <w:r w:rsidRPr="004635E5">
        <w:rPr>
          <w:rFonts w:eastAsia="Batang"/>
          <w:sz w:val="22"/>
          <w:szCs w:val="22"/>
          <w:lang w:eastAsia="ko-KR"/>
        </w:rPr>
        <w:t xml:space="preserve">In addition, he noted </w:t>
      </w:r>
      <w:r w:rsidR="00944C25" w:rsidRPr="004635E5">
        <w:rPr>
          <w:rFonts w:eastAsia="Batang"/>
          <w:sz w:val="22"/>
          <w:szCs w:val="22"/>
          <w:lang w:eastAsia="ko-KR"/>
        </w:rPr>
        <w:t xml:space="preserve">new analyses for </w:t>
      </w:r>
      <w:r w:rsidRPr="004635E5">
        <w:rPr>
          <w:rFonts w:eastAsia="Batang"/>
          <w:sz w:val="22"/>
          <w:szCs w:val="22"/>
          <w:lang w:eastAsia="ko-KR"/>
        </w:rPr>
        <w:t xml:space="preserve">the </w:t>
      </w:r>
      <w:r w:rsidR="00944C25" w:rsidRPr="004635E5">
        <w:rPr>
          <w:rFonts w:eastAsia="Batang"/>
          <w:sz w:val="22"/>
          <w:szCs w:val="22"/>
          <w:lang w:eastAsia="ko-KR"/>
        </w:rPr>
        <w:t>spatial boundary indicated that 10</w:t>
      </w:r>
      <w:r w:rsidRPr="004635E5">
        <w:rPr>
          <w:rFonts w:eastAsia="Batang"/>
          <w:sz w:val="22"/>
          <w:szCs w:val="22"/>
          <w:lang w:eastAsia="ko-KR"/>
        </w:rPr>
        <w:t>°</w:t>
      </w:r>
      <w:r w:rsidR="00944C25" w:rsidRPr="004635E5">
        <w:rPr>
          <w:rFonts w:eastAsia="Batang"/>
          <w:sz w:val="22"/>
          <w:szCs w:val="22"/>
          <w:lang w:eastAsia="ko-KR"/>
        </w:rPr>
        <w:t xml:space="preserve"> N had better results than 15° or 20° N. </w:t>
      </w:r>
      <w:r w:rsidRPr="004635E5">
        <w:rPr>
          <w:rFonts w:eastAsia="Batang"/>
          <w:sz w:val="22"/>
          <w:szCs w:val="22"/>
          <w:lang w:val="en-NZ" w:eastAsia="ko-KR"/>
        </w:rPr>
        <w:t xml:space="preserve">The </w:t>
      </w:r>
      <w:r w:rsidR="00E01BE8" w:rsidRPr="004635E5">
        <w:rPr>
          <w:rFonts w:eastAsia="Batang"/>
          <w:sz w:val="22"/>
          <w:szCs w:val="22"/>
          <w:lang w:val="en-NZ" w:eastAsia="ko-KR"/>
        </w:rPr>
        <w:t>theme c</w:t>
      </w:r>
      <w:r w:rsidRPr="004635E5">
        <w:rPr>
          <w:rFonts w:eastAsia="Batang"/>
          <w:sz w:val="22"/>
          <w:szCs w:val="22"/>
          <w:lang w:val="en-NZ" w:eastAsia="ko-KR"/>
        </w:rPr>
        <w:t xml:space="preserve">onvener commended </w:t>
      </w:r>
      <w:r w:rsidR="00DD4A00" w:rsidRPr="004635E5">
        <w:rPr>
          <w:rFonts w:eastAsia="Batang"/>
          <w:sz w:val="22"/>
          <w:szCs w:val="22"/>
          <w:lang w:val="en-NZ" w:eastAsia="ko-KR"/>
        </w:rPr>
        <w:t xml:space="preserve">SPC </w:t>
      </w:r>
      <w:r w:rsidRPr="004635E5">
        <w:rPr>
          <w:rFonts w:eastAsia="Batang"/>
          <w:sz w:val="22"/>
          <w:szCs w:val="22"/>
          <w:lang w:val="en-NZ" w:eastAsia="ko-KR"/>
        </w:rPr>
        <w:t xml:space="preserve">for their work </w:t>
      </w:r>
      <w:r w:rsidR="00DD4A00" w:rsidRPr="004635E5">
        <w:rPr>
          <w:rFonts w:eastAsia="Batang"/>
          <w:sz w:val="22"/>
          <w:szCs w:val="22"/>
          <w:lang w:val="en-NZ" w:eastAsia="ko-KR"/>
        </w:rPr>
        <w:t xml:space="preserve">in putting </w:t>
      </w:r>
      <w:r w:rsidRPr="004635E5">
        <w:rPr>
          <w:rFonts w:eastAsia="Batang"/>
          <w:sz w:val="22"/>
          <w:szCs w:val="22"/>
          <w:lang w:val="en-NZ" w:eastAsia="ko-KR"/>
        </w:rPr>
        <w:t xml:space="preserve">the material </w:t>
      </w:r>
      <w:r w:rsidR="00DD4A00" w:rsidRPr="004635E5">
        <w:rPr>
          <w:rFonts w:eastAsia="Batang"/>
          <w:sz w:val="22"/>
          <w:szCs w:val="22"/>
          <w:lang w:val="en-NZ" w:eastAsia="ko-KR"/>
        </w:rPr>
        <w:t>together</w:t>
      </w:r>
      <w:r w:rsidRPr="004635E5">
        <w:rPr>
          <w:rFonts w:eastAsia="Batang"/>
          <w:sz w:val="22"/>
          <w:szCs w:val="22"/>
          <w:lang w:val="en-NZ" w:eastAsia="ko-KR"/>
        </w:rPr>
        <w:t>, and a</w:t>
      </w:r>
      <w:r w:rsidR="00DD4A00" w:rsidRPr="004635E5">
        <w:rPr>
          <w:rFonts w:eastAsia="Batang"/>
          <w:sz w:val="22"/>
          <w:szCs w:val="22"/>
          <w:lang w:val="en-NZ" w:eastAsia="ko-KR"/>
        </w:rPr>
        <w:t>sk</w:t>
      </w:r>
      <w:r w:rsidRPr="004635E5">
        <w:rPr>
          <w:rFonts w:eastAsia="Batang"/>
          <w:sz w:val="22"/>
          <w:szCs w:val="22"/>
          <w:lang w:val="en-NZ" w:eastAsia="ko-KR"/>
        </w:rPr>
        <w:t>ed</w:t>
      </w:r>
      <w:r w:rsidR="00DD4A00" w:rsidRPr="004635E5">
        <w:rPr>
          <w:rFonts w:eastAsia="Batang"/>
          <w:sz w:val="22"/>
          <w:szCs w:val="22"/>
          <w:lang w:val="en-NZ" w:eastAsia="ko-KR"/>
        </w:rPr>
        <w:t xml:space="preserve"> that </w:t>
      </w:r>
      <w:r w:rsidRPr="004635E5">
        <w:rPr>
          <w:rFonts w:eastAsia="Batang"/>
          <w:sz w:val="22"/>
          <w:szCs w:val="22"/>
          <w:lang w:val="en-NZ" w:eastAsia="ko-KR"/>
        </w:rPr>
        <w:t xml:space="preserve">members </w:t>
      </w:r>
      <w:r w:rsidR="00DD4A00" w:rsidRPr="004635E5">
        <w:rPr>
          <w:rFonts w:eastAsia="Batang"/>
          <w:sz w:val="22"/>
          <w:szCs w:val="22"/>
          <w:lang w:val="en-NZ" w:eastAsia="ko-KR"/>
        </w:rPr>
        <w:t xml:space="preserve">discuss </w:t>
      </w:r>
      <w:r w:rsidRPr="004635E5">
        <w:rPr>
          <w:rFonts w:eastAsia="Batang"/>
          <w:sz w:val="22"/>
          <w:szCs w:val="22"/>
          <w:lang w:val="en-NZ" w:eastAsia="ko-KR"/>
        </w:rPr>
        <w:t xml:space="preserve">the options and </w:t>
      </w:r>
      <w:r w:rsidR="00DD4A00" w:rsidRPr="004635E5">
        <w:rPr>
          <w:rFonts w:eastAsia="Batang"/>
          <w:sz w:val="22"/>
          <w:szCs w:val="22"/>
          <w:lang w:val="en-NZ" w:eastAsia="ko-KR"/>
        </w:rPr>
        <w:t>decide how to proce</w:t>
      </w:r>
      <w:r w:rsidR="007A062B" w:rsidRPr="004635E5">
        <w:rPr>
          <w:rFonts w:eastAsia="Batang"/>
          <w:sz w:val="22"/>
          <w:szCs w:val="22"/>
          <w:lang w:val="en-NZ" w:eastAsia="ko-KR"/>
        </w:rPr>
        <w:t>e</w:t>
      </w:r>
      <w:r w:rsidR="00DD4A00" w:rsidRPr="004635E5">
        <w:rPr>
          <w:rFonts w:eastAsia="Batang"/>
          <w:sz w:val="22"/>
          <w:szCs w:val="22"/>
          <w:lang w:val="en-NZ" w:eastAsia="ko-KR"/>
        </w:rPr>
        <w:t>d</w:t>
      </w:r>
      <w:r w:rsidRPr="004635E5">
        <w:rPr>
          <w:rFonts w:eastAsia="Batang"/>
          <w:sz w:val="22"/>
          <w:szCs w:val="22"/>
          <w:lang w:val="en-NZ" w:eastAsia="ko-KR"/>
        </w:rPr>
        <w:t xml:space="preserve">, while requesting they not propose </w:t>
      </w:r>
      <w:r w:rsidR="006F1B32" w:rsidRPr="004635E5">
        <w:rPr>
          <w:rFonts w:eastAsia="Batang"/>
          <w:sz w:val="22"/>
          <w:szCs w:val="22"/>
          <w:lang w:val="en-NZ" w:eastAsia="ko-KR"/>
        </w:rPr>
        <w:t>alternative uncertainty grids.</w:t>
      </w:r>
    </w:p>
    <w:p w14:paraId="5B136A02" w14:textId="77777777" w:rsidR="00D73BF8" w:rsidRPr="004635E5" w:rsidRDefault="00D73BF8" w:rsidP="006633A8">
      <w:pPr>
        <w:autoSpaceDE w:val="0"/>
        <w:autoSpaceDN w:val="0"/>
        <w:adjustRightInd w:val="0"/>
        <w:snapToGrid w:val="0"/>
        <w:jc w:val="both"/>
        <w:rPr>
          <w:rFonts w:eastAsia="Batang"/>
          <w:sz w:val="22"/>
          <w:szCs w:val="22"/>
          <w:lang w:val="en-NZ" w:eastAsia="ko-KR"/>
        </w:rPr>
      </w:pPr>
    </w:p>
    <w:p w14:paraId="12D6B681" w14:textId="77777777" w:rsidR="00F7486B" w:rsidRPr="004635E5" w:rsidRDefault="00416A4B" w:rsidP="00580EA4">
      <w:pPr>
        <w:numPr>
          <w:ilvl w:val="0"/>
          <w:numId w:val="18"/>
        </w:numPr>
        <w:autoSpaceDE w:val="0"/>
        <w:autoSpaceDN w:val="0"/>
        <w:adjustRightInd w:val="0"/>
        <w:snapToGrid w:val="0"/>
        <w:ind w:left="0" w:firstLine="0"/>
        <w:jc w:val="both"/>
        <w:rPr>
          <w:rFonts w:eastAsia="Batang"/>
          <w:bCs/>
          <w:sz w:val="22"/>
          <w:szCs w:val="22"/>
          <w:lang w:val="en-NZ" w:eastAsia="ko-KR"/>
        </w:rPr>
      </w:pPr>
      <w:r w:rsidRPr="004635E5">
        <w:rPr>
          <w:rFonts w:eastAsia="Batang"/>
          <w:b/>
          <w:sz w:val="22"/>
          <w:szCs w:val="22"/>
          <w:lang w:val="en-NZ" w:eastAsia="ko-KR"/>
        </w:rPr>
        <w:t xml:space="preserve"> </w:t>
      </w:r>
      <w:r w:rsidR="00F7486B" w:rsidRPr="004635E5">
        <w:rPr>
          <w:rFonts w:eastAsia="Batang"/>
          <w:bCs/>
          <w:sz w:val="22"/>
          <w:szCs w:val="22"/>
          <w:lang w:val="en-NZ" w:eastAsia="ko-KR"/>
        </w:rPr>
        <w:t>In response to a query from the EU, and base</w:t>
      </w:r>
      <w:r w:rsidR="00DB0A3A" w:rsidRPr="004635E5">
        <w:rPr>
          <w:rFonts w:eastAsia="Batang"/>
          <w:bCs/>
          <w:sz w:val="22"/>
          <w:szCs w:val="22"/>
          <w:lang w:val="en-NZ" w:eastAsia="ko-KR"/>
        </w:rPr>
        <w:t>d</w:t>
      </w:r>
      <w:r w:rsidR="00F7486B" w:rsidRPr="004635E5">
        <w:rPr>
          <w:rFonts w:eastAsia="Batang"/>
          <w:bCs/>
          <w:sz w:val="22"/>
          <w:szCs w:val="22"/>
          <w:lang w:val="en-NZ" w:eastAsia="ko-KR"/>
        </w:rPr>
        <w:t xml:space="preserve"> on clarifications from SPC</w:t>
      </w:r>
      <w:r w:rsidR="00DB0A3A" w:rsidRPr="004635E5">
        <w:rPr>
          <w:rFonts w:eastAsia="Batang"/>
          <w:bCs/>
          <w:sz w:val="22"/>
          <w:szCs w:val="22"/>
          <w:lang w:val="en-NZ" w:eastAsia="ko-KR"/>
        </w:rPr>
        <w:t xml:space="preserve">, the </w:t>
      </w:r>
      <w:r w:rsidR="00E01BE8" w:rsidRPr="004635E5">
        <w:rPr>
          <w:rFonts w:eastAsia="Batang"/>
          <w:bCs/>
          <w:sz w:val="22"/>
          <w:szCs w:val="22"/>
          <w:lang w:val="en-NZ" w:eastAsia="ko-KR"/>
        </w:rPr>
        <w:t>theme c</w:t>
      </w:r>
      <w:r w:rsidR="00DB0A3A" w:rsidRPr="004635E5">
        <w:rPr>
          <w:rFonts w:eastAsia="Batang"/>
          <w:bCs/>
          <w:sz w:val="22"/>
          <w:szCs w:val="22"/>
          <w:lang w:val="en-NZ" w:eastAsia="ko-KR"/>
        </w:rPr>
        <w:t xml:space="preserve">onvener </w:t>
      </w:r>
      <w:r w:rsidR="00F02669" w:rsidRPr="004635E5">
        <w:rPr>
          <w:rFonts w:eastAsia="Batang"/>
          <w:bCs/>
          <w:sz w:val="22"/>
          <w:szCs w:val="22"/>
          <w:lang w:val="en-NZ" w:eastAsia="ko-KR"/>
        </w:rPr>
        <w:t xml:space="preserve">noted that </w:t>
      </w:r>
      <w:r w:rsidR="00DB0A3A" w:rsidRPr="004635E5">
        <w:rPr>
          <w:rFonts w:eastAsia="Batang"/>
          <w:bCs/>
          <w:sz w:val="22"/>
          <w:szCs w:val="22"/>
          <w:lang w:val="en-NZ" w:eastAsia="ko-KR"/>
        </w:rPr>
        <w:t xml:space="preserve">SPC </w:t>
      </w:r>
      <w:r w:rsidR="00F02669" w:rsidRPr="004635E5">
        <w:rPr>
          <w:rFonts w:eastAsia="Batang"/>
          <w:bCs/>
          <w:sz w:val="22"/>
          <w:szCs w:val="22"/>
          <w:lang w:val="en-NZ" w:eastAsia="ko-KR"/>
        </w:rPr>
        <w:t xml:space="preserve">would examine the </w:t>
      </w:r>
      <w:r w:rsidR="00DB0A3A" w:rsidRPr="004635E5">
        <w:rPr>
          <w:rFonts w:eastAsia="Batang"/>
          <w:bCs/>
          <w:sz w:val="22"/>
          <w:szCs w:val="22"/>
          <w:lang w:val="en-NZ" w:eastAsia="ko-KR"/>
        </w:rPr>
        <w:t xml:space="preserve">projection for </w:t>
      </w:r>
      <w:r w:rsidR="004421B3" w:rsidRPr="004635E5">
        <w:rPr>
          <w:rFonts w:eastAsia="Batang"/>
          <w:bCs/>
          <w:sz w:val="22"/>
          <w:szCs w:val="22"/>
          <w:lang w:val="en-NZ" w:eastAsia="ko-KR"/>
        </w:rPr>
        <w:t>bigeye tuna</w:t>
      </w:r>
      <w:r w:rsidR="00DB0A3A" w:rsidRPr="004635E5">
        <w:rPr>
          <w:rFonts w:eastAsia="Batang"/>
          <w:bCs/>
          <w:sz w:val="22"/>
          <w:szCs w:val="22"/>
          <w:lang w:val="en-NZ" w:eastAsia="ko-KR"/>
        </w:rPr>
        <w:t xml:space="preserve"> for 2030, in addition to 2045, when recompiling </w:t>
      </w:r>
      <w:r w:rsidR="004421B3" w:rsidRPr="004635E5">
        <w:rPr>
          <w:rFonts w:eastAsia="Batang"/>
          <w:bCs/>
          <w:sz w:val="22"/>
          <w:szCs w:val="22"/>
          <w:lang w:val="en-NZ" w:eastAsia="ko-KR"/>
        </w:rPr>
        <w:t>bigeye tuna</w:t>
      </w:r>
      <w:r w:rsidR="00DB0A3A" w:rsidRPr="004635E5">
        <w:rPr>
          <w:rFonts w:eastAsia="Batang"/>
          <w:bCs/>
          <w:sz w:val="22"/>
          <w:szCs w:val="22"/>
          <w:lang w:val="en-NZ" w:eastAsia="ko-KR"/>
        </w:rPr>
        <w:t xml:space="preserve"> projections for submission to WCPFC15 based on weightings to be provided by SC14</w:t>
      </w:r>
      <w:r w:rsidR="00A16680" w:rsidRPr="004635E5">
        <w:rPr>
          <w:rFonts w:eastAsia="Batang"/>
          <w:bCs/>
          <w:sz w:val="22"/>
          <w:szCs w:val="22"/>
          <w:lang w:val="en-NZ" w:eastAsia="ko-KR"/>
        </w:rPr>
        <w:t xml:space="preserve">. </w:t>
      </w:r>
    </w:p>
    <w:p w14:paraId="52243C4B" w14:textId="77777777" w:rsidR="00D73BF8" w:rsidRPr="004635E5" w:rsidRDefault="00D73BF8" w:rsidP="006633A8">
      <w:pPr>
        <w:autoSpaceDE w:val="0"/>
        <w:autoSpaceDN w:val="0"/>
        <w:adjustRightInd w:val="0"/>
        <w:snapToGrid w:val="0"/>
        <w:jc w:val="both"/>
        <w:rPr>
          <w:rFonts w:eastAsia="Batang"/>
          <w:bCs/>
          <w:sz w:val="22"/>
          <w:szCs w:val="22"/>
          <w:lang w:val="en-NZ" w:eastAsia="ko-KR"/>
        </w:rPr>
      </w:pPr>
    </w:p>
    <w:p w14:paraId="5329E362" w14:textId="77777777" w:rsidR="00754B06" w:rsidRPr="004635E5" w:rsidRDefault="00AF73D5" w:rsidP="00580EA4">
      <w:pPr>
        <w:numPr>
          <w:ilvl w:val="0"/>
          <w:numId w:val="18"/>
        </w:numPr>
        <w:autoSpaceDE w:val="0"/>
        <w:autoSpaceDN w:val="0"/>
        <w:adjustRightInd w:val="0"/>
        <w:snapToGrid w:val="0"/>
        <w:ind w:left="0" w:firstLine="0"/>
        <w:jc w:val="both"/>
        <w:rPr>
          <w:sz w:val="22"/>
          <w:szCs w:val="22"/>
        </w:rPr>
      </w:pPr>
      <w:r w:rsidRPr="004635E5">
        <w:rPr>
          <w:sz w:val="22"/>
          <w:szCs w:val="22"/>
        </w:rPr>
        <w:t xml:space="preserve">In response to requests from CCMs, </w:t>
      </w:r>
      <w:r w:rsidR="000D7647" w:rsidRPr="004635E5">
        <w:rPr>
          <w:sz w:val="22"/>
          <w:szCs w:val="22"/>
        </w:rPr>
        <w:t>G. Pilling (SPC) presented an updated assessment of potential CMM 2017-01 performance for bigeye tuna (</w:t>
      </w:r>
      <w:r w:rsidR="005C3CE1">
        <w:rPr>
          <w:rFonts w:eastAsia="Calibri"/>
          <w:sz w:val="22"/>
          <w:szCs w:val="22"/>
          <w:lang w:val="en-AU"/>
        </w:rPr>
        <w:t>SC14-</w:t>
      </w:r>
      <w:r w:rsidR="000D7647" w:rsidRPr="004635E5">
        <w:rPr>
          <w:sz w:val="22"/>
          <w:szCs w:val="22"/>
        </w:rPr>
        <w:t xml:space="preserve">MI-WP-08a), following the decision of SC14 to exclude the ‘old growth’ model results from the 2018 re-evaluation of the bigeye stock assessment. Results of the re-assessment of the CMM, removing the outputs from ‘old growth’ model projections, were qualitatively comparable to those presented in </w:t>
      </w:r>
      <w:r w:rsidR="005C3CE1">
        <w:rPr>
          <w:rFonts w:eastAsia="Calibri"/>
          <w:sz w:val="22"/>
          <w:szCs w:val="22"/>
          <w:lang w:val="en-AU"/>
        </w:rPr>
        <w:t>SC14-</w:t>
      </w:r>
      <w:r w:rsidR="000D7647" w:rsidRPr="004635E5">
        <w:rPr>
          <w:sz w:val="22"/>
          <w:szCs w:val="22"/>
        </w:rPr>
        <w:t>MI-WP-08. The long-term performance of the CMM remained strongly influenced by the assumed future recruitment levels. CMM aims for bigeye were achieved if recent positive recruitments continue into the future, but if less optimistic longer</w:t>
      </w:r>
      <w:r w:rsidR="00371E39">
        <w:rPr>
          <w:rFonts w:eastAsiaTheme="minorEastAsia" w:hint="eastAsia"/>
          <w:sz w:val="22"/>
          <w:szCs w:val="22"/>
          <w:lang w:eastAsia="ko-KR"/>
        </w:rPr>
        <w:t>-</w:t>
      </w:r>
      <w:r w:rsidR="000D7647" w:rsidRPr="004635E5">
        <w:rPr>
          <w:sz w:val="22"/>
          <w:szCs w:val="22"/>
        </w:rPr>
        <w:t>term recruitments continue, CMM aims were not achieved under any future scenario.</w:t>
      </w:r>
    </w:p>
    <w:p w14:paraId="09051427" w14:textId="77777777" w:rsidR="00D73BF8" w:rsidRPr="004635E5" w:rsidRDefault="00D73BF8" w:rsidP="006633A8">
      <w:pPr>
        <w:autoSpaceDE w:val="0"/>
        <w:autoSpaceDN w:val="0"/>
        <w:adjustRightInd w:val="0"/>
        <w:snapToGrid w:val="0"/>
        <w:jc w:val="both"/>
        <w:rPr>
          <w:sz w:val="22"/>
          <w:szCs w:val="22"/>
        </w:rPr>
      </w:pPr>
    </w:p>
    <w:p w14:paraId="22E2BEB6" w14:textId="77777777" w:rsidR="001C3AB3" w:rsidRPr="004635E5" w:rsidRDefault="001C3AB3" w:rsidP="00D46B39">
      <w:pPr>
        <w:pStyle w:val="SC4"/>
        <w:spacing w:after="0"/>
        <w:ind w:left="0" w:firstLine="0"/>
      </w:pPr>
      <w:r w:rsidRPr="004635E5">
        <w:t>Pro</w:t>
      </w:r>
      <w:r w:rsidR="00D73BF8" w:rsidRPr="004635E5">
        <w:t>vision of scientific information</w:t>
      </w:r>
    </w:p>
    <w:p w14:paraId="6FBB1BD7" w14:textId="77777777" w:rsidR="00D73BF8" w:rsidRPr="004635E5" w:rsidRDefault="00D73BF8" w:rsidP="006633A8">
      <w:pPr>
        <w:pStyle w:val="SC4"/>
        <w:numPr>
          <w:ilvl w:val="0"/>
          <w:numId w:val="0"/>
        </w:numPr>
        <w:spacing w:after="0"/>
        <w:ind w:left="1440"/>
      </w:pPr>
    </w:p>
    <w:p w14:paraId="7827EB22" w14:textId="77777777" w:rsidR="00D73BF8" w:rsidRPr="004635E5" w:rsidRDefault="00691C17" w:rsidP="00D46B39">
      <w:pPr>
        <w:pStyle w:val="SCa"/>
        <w:tabs>
          <w:tab w:val="clear" w:pos="1080"/>
        </w:tabs>
        <w:spacing w:after="0"/>
        <w:ind w:left="0"/>
      </w:pPr>
      <w:r w:rsidRPr="004635E5">
        <w:t>a.</w:t>
      </w:r>
      <w:r w:rsidRPr="004635E5">
        <w:tab/>
      </w:r>
      <w:r w:rsidR="00201325" w:rsidRPr="004635E5">
        <w:t>Stock status</w:t>
      </w:r>
      <w:r w:rsidR="002441B4" w:rsidRPr="004635E5">
        <w:t xml:space="preserve"> and trends</w:t>
      </w:r>
    </w:p>
    <w:p w14:paraId="2E746413" w14:textId="77777777" w:rsidR="00D73BF8" w:rsidRPr="004635E5" w:rsidRDefault="00D73BF8" w:rsidP="006633A8">
      <w:pPr>
        <w:pStyle w:val="SCa"/>
        <w:spacing w:after="0"/>
      </w:pPr>
    </w:p>
    <w:p w14:paraId="422FF5F5" w14:textId="77777777" w:rsidR="00A54161" w:rsidRPr="004635E5" w:rsidRDefault="00A54161" w:rsidP="00580EA4">
      <w:pPr>
        <w:numPr>
          <w:ilvl w:val="0"/>
          <w:numId w:val="18"/>
        </w:numPr>
        <w:autoSpaceDE w:val="0"/>
        <w:autoSpaceDN w:val="0"/>
        <w:adjustRightInd w:val="0"/>
        <w:snapToGrid w:val="0"/>
        <w:ind w:left="0" w:firstLine="0"/>
        <w:jc w:val="both"/>
        <w:rPr>
          <w:b/>
          <w:sz w:val="22"/>
          <w:szCs w:val="22"/>
        </w:rPr>
      </w:pPr>
      <w:r w:rsidRPr="004635E5">
        <w:rPr>
          <w:b/>
          <w:sz w:val="22"/>
          <w:szCs w:val="22"/>
        </w:rPr>
        <w:t>The median values of relative recent (2012-2015) spawning biomass depletion (</w:t>
      </w:r>
      <w:r w:rsidRPr="004635E5">
        <w:rPr>
          <w:b/>
          <w:i/>
          <w:sz w:val="22"/>
          <w:szCs w:val="22"/>
        </w:rPr>
        <w:t>SB</w:t>
      </w:r>
      <w:r w:rsidRPr="004635E5">
        <w:rPr>
          <w:b/>
          <w:i/>
          <w:sz w:val="22"/>
          <w:szCs w:val="22"/>
          <w:vertAlign w:val="subscript"/>
        </w:rPr>
        <w:t>recent</w:t>
      </w:r>
      <w:r w:rsidRPr="004635E5">
        <w:rPr>
          <w:b/>
          <w:i/>
          <w:sz w:val="22"/>
          <w:szCs w:val="22"/>
        </w:rPr>
        <w:t>/ SB</w:t>
      </w:r>
      <w:r w:rsidRPr="004635E5">
        <w:rPr>
          <w:b/>
          <w:i/>
          <w:sz w:val="22"/>
          <w:szCs w:val="22"/>
          <w:vertAlign w:val="subscript"/>
        </w:rPr>
        <w:t>F=0</w:t>
      </w:r>
      <w:r w:rsidRPr="004635E5">
        <w:rPr>
          <w:b/>
          <w:sz w:val="22"/>
          <w:szCs w:val="22"/>
        </w:rPr>
        <w:t>) and relative recent (2011-2014) fishing mortality (</w:t>
      </w:r>
      <w:r w:rsidRPr="004635E5">
        <w:rPr>
          <w:b/>
          <w:i/>
          <w:sz w:val="22"/>
          <w:szCs w:val="22"/>
        </w:rPr>
        <w:t>F</w:t>
      </w:r>
      <w:r w:rsidRPr="004635E5">
        <w:rPr>
          <w:b/>
          <w:i/>
          <w:sz w:val="22"/>
          <w:szCs w:val="22"/>
          <w:vertAlign w:val="subscript"/>
        </w:rPr>
        <w:t>recent</w:t>
      </w:r>
      <w:r w:rsidRPr="004635E5">
        <w:rPr>
          <w:b/>
          <w:i/>
          <w:sz w:val="22"/>
          <w:szCs w:val="22"/>
        </w:rPr>
        <w:t>/F</w:t>
      </w:r>
      <w:r w:rsidRPr="004635E5">
        <w:rPr>
          <w:b/>
          <w:i/>
          <w:sz w:val="22"/>
          <w:szCs w:val="22"/>
          <w:vertAlign w:val="subscript"/>
        </w:rPr>
        <w:t>MSY</w:t>
      </w:r>
      <w:r w:rsidRPr="004635E5">
        <w:rPr>
          <w:b/>
          <w:sz w:val="22"/>
          <w:szCs w:val="22"/>
        </w:rPr>
        <w:t>) over the uncertainty grid of 36 models (Table BET-1) were used to define stock status. The values of the upper 90</w:t>
      </w:r>
      <w:r w:rsidR="00F34F8F" w:rsidRPr="004E1B05">
        <w:rPr>
          <w:rFonts w:eastAsiaTheme="minorEastAsia"/>
          <w:b/>
          <w:sz w:val="22"/>
          <w:szCs w:val="22"/>
          <w:vertAlign w:val="superscript"/>
          <w:lang w:eastAsia="ko-KR"/>
        </w:rPr>
        <w:t>th</w:t>
      </w:r>
      <w:r w:rsidR="00F34F8F">
        <w:rPr>
          <w:rFonts w:eastAsiaTheme="minorEastAsia" w:hint="eastAsia"/>
          <w:b/>
          <w:sz w:val="22"/>
          <w:szCs w:val="22"/>
          <w:lang w:eastAsia="ko-KR"/>
        </w:rPr>
        <w:t xml:space="preserve"> </w:t>
      </w:r>
      <w:r w:rsidRPr="004635E5">
        <w:rPr>
          <w:b/>
          <w:sz w:val="22"/>
          <w:szCs w:val="22"/>
        </w:rPr>
        <w:t>and lower 10</w:t>
      </w:r>
      <w:r w:rsidR="00F34F8F" w:rsidRPr="004E1B05">
        <w:rPr>
          <w:rFonts w:eastAsiaTheme="minorEastAsia"/>
          <w:b/>
          <w:sz w:val="22"/>
          <w:szCs w:val="22"/>
          <w:vertAlign w:val="superscript"/>
          <w:lang w:eastAsia="ko-KR"/>
        </w:rPr>
        <w:t>th</w:t>
      </w:r>
      <w:r w:rsidR="00F34F8F">
        <w:rPr>
          <w:rFonts w:eastAsiaTheme="minorEastAsia" w:hint="eastAsia"/>
          <w:b/>
          <w:sz w:val="22"/>
          <w:szCs w:val="22"/>
          <w:lang w:eastAsia="ko-KR"/>
        </w:rPr>
        <w:t xml:space="preserve"> </w:t>
      </w:r>
      <w:r w:rsidRPr="004635E5">
        <w:rPr>
          <w:b/>
          <w:sz w:val="22"/>
          <w:szCs w:val="22"/>
        </w:rPr>
        <w:t xml:space="preserve">percentiles of the empirical distributions of relative spawning biomass and relative fishing mortality from the uncertainty grid were used to characterize the probable range of stock status. </w:t>
      </w:r>
    </w:p>
    <w:p w14:paraId="44FB95AA" w14:textId="77777777" w:rsidR="00D73BF8" w:rsidRPr="004635E5" w:rsidRDefault="00D73BF8" w:rsidP="006633A8">
      <w:pPr>
        <w:autoSpaceDE w:val="0"/>
        <w:autoSpaceDN w:val="0"/>
        <w:adjustRightInd w:val="0"/>
        <w:snapToGrid w:val="0"/>
        <w:jc w:val="both"/>
        <w:rPr>
          <w:b/>
          <w:sz w:val="22"/>
          <w:szCs w:val="22"/>
        </w:rPr>
      </w:pPr>
    </w:p>
    <w:p w14:paraId="02A9768D" w14:textId="77777777" w:rsidR="00A54161" w:rsidRPr="004635E5" w:rsidRDefault="00A54161" w:rsidP="00580EA4">
      <w:pPr>
        <w:numPr>
          <w:ilvl w:val="0"/>
          <w:numId w:val="18"/>
        </w:numPr>
        <w:autoSpaceDE w:val="0"/>
        <w:autoSpaceDN w:val="0"/>
        <w:adjustRightInd w:val="0"/>
        <w:snapToGrid w:val="0"/>
        <w:ind w:left="0" w:firstLine="0"/>
        <w:jc w:val="both"/>
        <w:rPr>
          <w:b/>
          <w:sz w:val="22"/>
          <w:szCs w:val="22"/>
        </w:rPr>
      </w:pPr>
      <w:r w:rsidRPr="004635E5">
        <w:rPr>
          <w:b/>
          <w:sz w:val="22"/>
          <w:szCs w:val="22"/>
        </w:rPr>
        <w:t xml:space="preserve">A description of the updated structural sensitivity grid used to characterize uncertainty in the assessment is set out in Table BET-1. Time series of total annual catch by fishing gear over the full assessment period is shown in Figure BET-1. Estimated trends in spawning biomass depletion for the 36 models in the structural uncertainty grid is shown in Figure BET-2, and juvenile and adult fishing mortality rates from the diagnostic case model is show in BET-3. Figure BET-4 displays Majuro plots summarising the results for each of the models in the structural uncertainty grid. Figures BET-5 show Kobe plots summarising the results for each of the models in the structural uncertainty grid. Table BET-2 provides a summary of reference points over the 36 models in the structural uncertainty grid. </w:t>
      </w:r>
    </w:p>
    <w:p w14:paraId="3A359FE4" w14:textId="77777777" w:rsidR="00D73BF8" w:rsidRPr="004635E5" w:rsidRDefault="00D73BF8" w:rsidP="006633A8">
      <w:pPr>
        <w:autoSpaceDE w:val="0"/>
        <w:autoSpaceDN w:val="0"/>
        <w:adjustRightInd w:val="0"/>
        <w:snapToGrid w:val="0"/>
        <w:jc w:val="both"/>
        <w:rPr>
          <w:b/>
          <w:sz w:val="22"/>
          <w:szCs w:val="22"/>
        </w:rPr>
      </w:pPr>
    </w:p>
    <w:p w14:paraId="3643CF2A" w14:textId="77777777" w:rsidR="00A54161" w:rsidRPr="004635E5" w:rsidRDefault="00A54161" w:rsidP="00580EA4">
      <w:pPr>
        <w:numPr>
          <w:ilvl w:val="0"/>
          <w:numId w:val="18"/>
        </w:numPr>
        <w:autoSpaceDE w:val="0"/>
        <w:autoSpaceDN w:val="0"/>
        <w:adjustRightInd w:val="0"/>
        <w:snapToGrid w:val="0"/>
        <w:ind w:left="0" w:firstLine="0"/>
        <w:jc w:val="both"/>
        <w:rPr>
          <w:b/>
          <w:sz w:val="22"/>
          <w:szCs w:val="22"/>
        </w:rPr>
      </w:pPr>
      <w:r w:rsidRPr="004635E5">
        <w:rPr>
          <w:b/>
          <w:sz w:val="22"/>
          <w:szCs w:val="22"/>
        </w:rPr>
        <w:t xml:space="preserve">SC14 agreed to use the “updated new growth” model to describe the stock status of </w:t>
      </w:r>
      <w:r w:rsidR="004421B3" w:rsidRPr="004635E5">
        <w:rPr>
          <w:b/>
          <w:sz w:val="22"/>
          <w:szCs w:val="22"/>
        </w:rPr>
        <w:t>bigeye tuna</w:t>
      </w:r>
      <w:r w:rsidRPr="004635E5">
        <w:rPr>
          <w:b/>
          <w:sz w:val="22"/>
          <w:szCs w:val="22"/>
        </w:rPr>
        <w:t xml:space="preserve"> because SC14 considered it to be the best available scientific information. By removing results using the old growth model, the stock status becomes considerably more optimistic. However, SC14 also notes that questions remain regarding the “updated new growth” model. </w:t>
      </w:r>
    </w:p>
    <w:p w14:paraId="626F46DD" w14:textId="77777777" w:rsidR="00D73BF8" w:rsidRPr="004635E5" w:rsidRDefault="00D73BF8" w:rsidP="006633A8">
      <w:pPr>
        <w:autoSpaceDE w:val="0"/>
        <w:autoSpaceDN w:val="0"/>
        <w:adjustRightInd w:val="0"/>
        <w:snapToGrid w:val="0"/>
        <w:jc w:val="both"/>
        <w:rPr>
          <w:b/>
          <w:sz w:val="22"/>
          <w:szCs w:val="22"/>
        </w:rPr>
      </w:pPr>
    </w:p>
    <w:p w14:paraId="61FE667F" w14:textId="77777777" w:rsidR="00A54161" w:rsidRPr="004635E5" w:rsidRDefault="00A54161" w:rsidP="00580EA4">
      <w:pPr>
        <w:numPr>
          <w:ilvl w:val="0"/>
          <w:numId w:val="18"/>
        </w:numPr>
        <w:autoSpaceDE w:val="0"/>
        <w:autoSpaceDN w:val="0"/>
        <w:adjustRightInd w:val="0"/>
        <w:snapToGrid w:val="0"/>
        <w:ind w:left="0" w:firstLine="0"/>
        <w:jc w:val="both"/>
        <w:rPr>
          <w:b/>
          <w:sz w:val="22"/>
          <w:szCs w:val="22"/>
        </w:rPr>
      </w:pPr>
      <w:r w:rsidRPr="004635E5">
        <w:rPr>
          <w:b/>
          <w:sz w:val="22"/>
          <w:szCs w:val="22"/>
        </w:rPr>
        <w:t xml:space="preserve">Therefore, SC14 acknowledges that further study is warranted related to the new growth model, in particular as to the cause of the difference of growth between EPO and WCPO. An inter-laboratory ageing workshop is planned for late 2018 to review ageing approaches in the WCPO and EPO and to resolve differences, if they exist. </w:t>
      </w:r>
    </w:p>
    <w:p w14:paraId="77AF0AA6" w14:textId="77777777" w:rsidR="00D73BF8" w:rsidRPr="004635E5" w:rsidRDefault="00D73BF8" w:rsidP="006633A8">
      <w:pPr>
        <w:autoSpaceDE w:val="0"/>
        <w:autoSpaceDN w:val="0"/>
        <w:adjustRightInd w:val="0"/>
        <w:snapToGrid w:val="0"/>
        <w:jc w:val="both"/>
        <w:rPr>
          <w:b/>
          <w:sz w:val="22"/>
          <w:szCs w:val="22"/>
        </w:rPr>
      </w:pPr>
    </w:p>
    <w:p w14:paraId="11386D75" w14:textId="77777777" w:rsidR="00A54161" w:rsidRPr="004635E5" w:rsidRDefault="00A54161" w:rsidP="00580EA4">
      <w:pPr>
        <w:numPr>
          <w:ilvl w:val="0"/>
          <w:numId w:val="18"/>
        </w:numPr>
        <w:autoSpaceDE w:val="0"/>
        <w:autoSpaceDN w:val="0"/>
        <w:adjustRightInd w:val="0"/>
        <w:snapToGrid w:val="0"/>
        <w:ind w:left="0" w:firstLine="0"/>
        <w:jc w:val="both"/>
        <w:rPr>
          <w:b/>
          <w:sz w:val="22"/>
          <w:szCs w:val="22"/>
        </w:rPr>
      </w:pPr>
      <w:r w:rsidRPr="004635E5">
        <w:rPr>
          <w:b/>
          <w:sz w:val="22"/>
          <w:szCs w:val="22"/>
        </w:rPr>
        <w:t xml:space="preserve">In addition, SC14 acknowledges that further study is warranted to refine the tagging dataset in the WCPO to assist validating age estimates of bigeye in the WCPO. SC14 further notes that adopting the </w:t>
      </w:r>
      <w:r w:rsidR="00EE2870">
        <w:rPr>
          <w:rFonts w:eastAsiaTheme="minorEastAsia" w:hint="eastAsia"/>
          <w:b/>
          <w:sz w:val="22"/>
          <w:szCs w:val="22"/>
          <w:lang w:eastAsia="ko-KR"/>
        </w:rPr>
        <w:t xml:space="preserve">updated </w:t>
      </w:r>
      <w:r w:rsidRPr="004635E5">
        <w:rPr>
          <w:b/>
          <w:sz w:val="22"/>
          <w:szCs w:val="22"/>
        </w:rPr>
        <w:t xml:space="preserve">new growth curve generates new broader questions related to the </w:t>
      </w:r>
      <w:r w:rsidR="004421B3" w:rsidRPr="004635E5">
        <w:rPr>
          <w:b/>
          <w:sz w:val="22"/>
          <w:szCs w:val="22"/>
        </w:rPr>
        <w:t>bigeye tuna</w:t>
      </w:r>
      <w:r w:rsidRPr="004635E5">
        <w:rPr>
          <w:b/>
          <w:sz w:val="22"/>
          <w:szCs w:val="22"/>
        </w:rPr>
        <w:t xml:space="preserve"> stock assessment and agreed that several aspects need to be investigated further to inform future assessments. </w:t>
      </w:r>
    </w:p>
    <w:p w14:paraId="3CCBCB64" w14:textId="77777777" w:rsidR="00D73BF8" w:rsidRPr="004635E5" w:rsidRDefault="00D73BF8" w:rsidP="006633A8">
      <w:pPr>
        <w:autoSpaceDE w:val="0"/>
        <w:autoSpaceDN w:val="0"/>
        <w:adjustRightInd w:val="0"/>
        <w:snapToGrid w:val="0"/>
        <w:jc w:val="both"/>
        <w:rPr>
          <w:sz w:val="22"/>
          <w:szCs w:val="22"/>
        </w:rPr>
      </w:pPr>
    </w:p>
    <w:p w14:paraId="71468368" w14:textId="77777777" w:rsidR="00A54161" w:rsidRPr="004635E5" w:rsidRDefault="00A54161" w:rsidP="006633A8">
      <w:pPr>
        <w:adjustRightInd w:val="0"/>
        <w:snapToGrid w:val="0"/>
        <w:rPr>
          <w:sz w:val="22"/>
          <w:szCs w:val="22"/>
        </w:rPr>
      </w:pPr>
      <w:r w:rsidRPr="004635E5">
        <w:rPr>
          <w:b/>
          <w:sz w:val="22"/>
          <w:szCs w:val="22"/>
        </w:rPr>
        <w:t xml:space="preserve">Table BET-1. </w:t>
      </w:r>
      <w:r w:rsidRPr="004635E5">
        <w:rPr>
          <w:sz w:val="22"/>
          <w:szCs w:val="22"/>
        </w:rPr>
        <w:t>Description of the updated structural sensitivity grid used to characterize uncertainty in the assessment.</w:t>
      </w:r>
    </w:p>
    <w:tbl>
      <w:tblPr>
        <w:tblW w:w="0" w:type="auto"/>
        <w:tblInd w:w="119"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962"/>
        <w:gridCol w:w="1488"/>
        <w:gridCol w:w="4907"/>
      </w:tblGrid>
      <w:tr w:rsidR="00A54161" w:rsidRPr="004635E5" w14:paraId="0F376B3F" w14:textId="77777777" w:rsidTr="00BA4FCE">
        <w:trPr>
          <w:trHeight w:hRule="exact" w:val="283"/>
        </w:trPr>
        <w:tc>
          <w:tcPr>
            <w:tcW w:w="2962" w:type="dxa"/>
            <w:tcBorders>
              <w:top w:val="single" w:sz="11" w:space="0" w:color="000000"/>
              <w:bottom w:val="single" w:sz="11" w:space="0" w:color="000000"/>
            </w:tcBorders>
          </w:tcPr>
          <w:p w14:paraId="392C22F2" w14:textId="77777777" w:rsidR="00A54161" w:rsidRPr="004635E5" w:rsidRDefault="00A54161" w:rsidP="006633A8">
            <w:pPr>
              <w:adjustRightInd w:val="0"/>
              <w:snapToGrid w:val="0"/>
              <w:rPr>
                <w:b/>
                <w:sz w:val="22"/>
                <w:szCs w:val="22"/>
              </w:rPr>
            </w:pPr>
            <w:r w:rsidRPr="004635E5">
              <w:rPr>
                <w:b/>
                <w:sz w:val="22"/>
                <w:szCs w:val="22"/>
              </w:rPr>
              <w:t>Axis</w:t>
            </w:r>
          </w:p>
        </w:tc>
        <w:tc>
          <w:tcPr>
            <w:tcW w:w="1488" w:type="dxa"/>
            <w:tcBorders>
              <w:top w:val="single" w:sz="11" w:space="0" w:color="000000"/>
              <w:bottom w:val="single" w:sz="11" w:space="0" w:color="000000"/>
            </w:tcBorders>
          </w:tcPr>
          <w:p w14:paraId="6D45629F" w14:textId="77777777" w:rsidR="00A54161" w:rsidRPr="004635E5" w:rsidRDefault="00A54161" w:rsidP="006633A8">
            <w:pPr>
              <w:adjustRightInd w:val="0"/>
              <w:snapToGrid w:val="0"/>
              <w:rPr>
                <w:b/>
                <w:sz w:val="22"/>
                <w:szCs w:val="22"/>
              </w:rPr>
            </w:pPr>
            <w:r w:rsidRPr="004635E5">
              <w:rPr>
                <w:b/>
                <w:sz w:val="22"/>
                <w:szCs w:val="22"/>
              </w:rPr>
              <w:t>Levels</w:t>
            </w:r>
          </w:p>
        </w:tc>
        <w:tc>
          <w:tcPr>
            <w:tcW w:w="4907" w:type="dxa"/>
            <w:tcBorders>
              <w:top w:val="single" w:sz="11" w:space="0" w:color="000000"/>
              <w:bottom w:val="single" w:sz="11" w:space="0" w:color="000000"/>
            </w:tcBorders>
          </w:tcPr>
          <w:p w14:paraId="19E55D42" w14:textId="77777777" w:rsidR="00A54161" w:rsidRPr="004635E5" w:rsidRDefault="00A54161" w:rsidP="006633A8">
            <w:pPr>
              <w:adjustRightInd w:val="0"/>
              <w:snapToGrid w:val="0"/>
              <w:rPr>
                <w:b/>
                <w:sz w:val="22"/>
                <w:szCs w:val="22"/>
              </w:rPr>
            </w:pPr>
            <w:r w:rsidRPr="004635E5">
              <w:rPr>
                <w:b/>
                <w:sz w:val="22"/>
                <w:szCs w:val="22"/>
              </w:rPr>
              <w:t>Option</w:t>
            </w:r>
          </w:p>
        </w:tc>
      </w:tr>
      <w:tr w:rsidR="00A54161" w:rsidRPr="004635E5" w14:paraId="3751DE8A" w14:textId="77777777" w:rsidTr="00BA4FCE">
        <w:trPr>
          <w:trHeight w:hRule="exact" w:val="271"/>
        </w:trPr>
        <w:tc>
          <w:tcPr>
            <w:tcW w:w="2962" w:type="dxa"/>
            <w:tcBorders>
              <w:top w:val="single" w:sz="11" w:space="0" w:color="000000"/>
            </w:tcBorders>
          </w:tcPr>
          <w:p w14:paraId="5C1A0130" w14:textId="77777777" w:rsidR="00A54161" w:rsidRPr="004635E5" w:rsidRDefault="00A54161" w:rsidP="006633A8">
            <w:pPr>
              <w:adjustRightInd w:val="0"/>
              <w:snapToGrid w:val="0"/>
              <w:rPr>
                <w:sz w:val="22"/>
                <w:szCs w:val="22"/>
              </w:rPr>
            </w:pPr>
            <w:r w:rsidRPr="004635E5">
              <w:rPr>
                <w:sz w:val="22"/>
                <w:szCs w:val="22"/>
              </w:rPr>
              <w:t>Steepness</w:t>
            </w:r>
          </w:p>
        </w:tc>
        <w:tc>
          <w:tcPr>
            <w:tcW w:w="1488" w:type="dxa"/>
            <w:tcBorders>
              <w:top w:val="single" w:sz="11" w:space="0" w:color="000000"/>
            </w:tcBorders>
          </w:tcPr>
          <w:p w14:paraId="6CAC7C34" w14:textId="77777777" w:rsidR="00A54161" w:rsidRPr="004635E5" w:rsidRDefault="00A54161" w:rsidP="006633A8">
            <w:pPr>
              <w:adjustRightInd w:val="0"/>
              <w:snapToGrid w:val="0"/>
              <w:rPr>
                <w:sz w:val="22"/>
                <w:szCs w:val="22"/>
              </w:rPr>
            </w:pPr>
            <w:r w:rsidRPr="004635E5">
              <w:rPr>
                <w:sz w:val="22"/>
                <w:szCs w:val="22"/>
              </w:rPr>
              <w:t>3</w:t>
            </w:r>
          </w:p>
        </w:tc>
        <w:tc>
          <w:tcPr>
            <w:tcW w:w="4907" w:type="dxa"/>
            <w:tcBorders>
              <w:top w:val="single" w:sz="11" w:space="0" w:color="000000"/>
            </w:tcBorders>
          </w:tcPr>
          <w:p w14:paraId="3025DB11" w14:textId="77777777" w:rsidR="00A54161" w:rsidRPr="004635E5" w:rsidRDefault="00A54161" w:rsidP="006633A8">
            <w:pPr>
              <w:adjustRightInd w:val="0"/>
              <w:snapToGrid w:val="0"/>
              <w:rPr>
                <w:sz w:val="22"/>
                <w:szCs w:val="22"/>
              </w:rPr>
            </w:pPr>
            <w:r w:rsidRPr="004635E5">
              <w:rPr>
                <w:sz w:val="22"/>
                <w:szCs w:val="22"/>
              </w:rPr>
              <w:t>0.65, 0.80, 0.95</w:t>
            </w:r>
          </w:p>
        </w:tc>
      </w:tr>
      <w:tr w:rsidR="00A54161" w:rsidRPr="004635E5" w14:paraId="01D59045" w14:textId="77777777" w:rsidTr="00BA4FCE">
        <w:trPr>
          <w:trHeight w:hRule="exact" w:val="253"/>
        </w:trPr>
        <w:tc>
          <w:tcPr>
            <w:tcW w:w="2962" w:type="dxa"/>
          </w:tcPr>
          <w:p w14:paraId="5AD312EC" w14:textId="77777777" w:rsidR="00A54161" w:rsidRPr="004635E5" w:rsidRDefault="00A54161" w:rsidP="006633A8">
            <w:pPr>
              <w:adjustRightInd w:val="0"/>
              <w:snapToGrid w:val="0"/>
              <w:rPr>
                <w:sz w:val="22"/>
                <w:szCs w:val="22"/>
              </w:rPr>
            </w:pPr>
            <w:r w:rsidRPr="004635E5">
              <w:rPr>
                <w:sz w:val="22"/>
                <w:szCs w:val="22"/>
              </w:rPr>
              <w:t>Growth</w:t>
            </w:r>
          </w:p>
        </w:tc>
        <w:tc>
          <w:tcPr>
            <w:tcW w:w="1488" w:type="dxa"/>
          </w:tcPr>
          <w:p w14:paraId="6E89C9D0" w14:textId="77777777" w:rsidR="00A54161" w:rsidRPr="004635E5" w:rsidRDefault="00A54161" w:rsidP="006633A8">
            <w:pPr>
              <w:adjustRightInd w:val="0"/>
              <w:snapToGrid w:val="0"/>
              <w:rPr>
                <w:sz w:val="22"/>
                <w:szCs w:val="22"/>
              </w:rPr>
            </w:pPr>
            <w:r w:rsidRPr="004635E5">
              <w:rPr>
                <w:sz w:val="22"/>
                <w:szCs w:val="22"/>
              </w:rPr>
              <w:t>1</w:t>
            </w:r>
          </w:p>
        </w:tc>
        <w:tc>
          <w:tcPr>
            <w:tcW w:w="4907" w:type="dxa"/>
          </w:tcPr>
          <w:p w14:paraId="371027D9" w14:textId="77777777" w:rsidR="00A54161" w:rsidRPr="004635E5" w:rsidRDefault="00A54161" w:rsidP="006633A8">
            <w:pPr>
              <w:adjustRightInd w:val="0"/>
              <w:snapToGrid w:val="0"/>
              <w:rPr>
                <w:sz w:val="22"/>
                <w:szCs w:val="22"/>
              </w:rPr>
            </w:pPr>
            <w:r w:rsidRPr="004635E5">
              <w:rPr>
                <w:sz w:val="22"/>
                <w:szCs w:val="22"/>
              </w:rPr>
              <w:t>‘Updated new growth’</w:t>
            </w:r>
          </w:p>
        </w:tc>
      </w:tr>
      <w:tr w:rsidR="00A54161" w:rsidRPr="004635E5" w14:paraId="004A68E4" w14:textId="77777777" w:rsidTr="00BA4FCE">
        <w:trPr>
          <w:trHeight w:hRule="exact" w:val="253"/>
        </w:trPr>
        <w:tc>
          <w:tcPr>
            <w:tcW w:w="2962" w:type="dxa"/>
          </w:tcPr>
          <w:p w14:paraId="790C51C6" w14:textId="77777777" w:rsidR="00A54161" w:rsidRPr="004635E5" w:rsidRDefault="00A54161" w:rsidP="006633A8">
            <w:pPr>
              <w:adjustRightInd w:val="0"/>
              <w:snapToGrid w:val="0"/>
              <w:rPr>
                <w:sz w:val="22"/>
                <w:szCs w:val="22"/>
              </w:rPr>
            </w:pPr>
            <w:r w:rsidRPr="004635E5">
              <w:rPr>
                <w:sz w:val="22"/>
                <w:szCs w:val="22"/>
              </w:rPr>
              <w:t>Tagging over-dispersion</w:t>
            </w:r>
          </w:p>
        </w:tc>
        <w:tc>
          <w:tcPr>
            <w:tcW w:w="1488" w:type="dxa"/>
          </w:tcPr>
          <w:p w14:paraId="68AA074D" w14:textId="77777777" w:rsidR="00A54161" w:rsidRPr="004635E5" w:rsidRDefault="00A54161" w:rsidP="006633A8">
            <w:pPr>
              <w:adjustRightInd w:val="0"/>
              <w:snapToGrid w:val="0"/>
              <w:rPr>
                <w:sz w:val="22"/>
                <w:szCs w:val="22"/>
              </w:rPr>
            </w:pPr>
            <w:r w:rsidRPr="004635E5">
              <w:rPr>
                <w:sz w:val="22"/>
                <w:szCs w:val="22"/>
              </w:rPr>
              <w:t>2</w:t>
            </w:r>
          </w:p>
        </w:tc>
        <w:tc>
          <w:tcPr>
            <w:tcW w:w="4907" w:type="dxa"/>
          </w:tcPr>
          <w:p w14:paraId="5DE6F4CE" w14:textId="77777777" w:rsidR="00A54161" w:rsidRPr="004635E5" w:rsidRDefault="00A54161" w:rsidP="006633A8">
            <w:pPr>
              <w:adjustRightInd w:val="0"/>
              <w:snapToGrid w:val="0"/>
              <w:rPr>
                <w:sz w:val="22"/>
                <w:szCs w:val="22"/>
              </w:rPr>
            </w:pPr>
            <w:r w:rsidRPr="004635E5">
              <w:rPr>
                <w:sz w:val="22"/>
                <w:szCs w:val="22"/>
              </w:rPr>
              <w:t>Default level (1), fixed (moderate) level</w:t>
            </w:r>
          </w:p>
        </w:tc>
      </w:tr>
      <w:tr w:rsidR="00A54161" w:rsidRPr="004635E5" w14:paraId="27049B41" w14:textId="77777777" w:rsidTr="00BA4FCE">
        <w:trPr>
          <w:trHeight w:hRule="exact" w:val="253"/>
        </w:trPr>
        <w:tc>
          <w:tcPr>
            <w:tcW w:w="2962" w:type="dxa"/>
          </w:tcPr>
          <w:p w14:paraId="41A6B571" w14:textId="77777777" w:rsidR="00A54161" w:rsidRPr="004635E5" w:rsidRDefault="00A54161" w:rsidP="006633A8">
            <w:pPr>
              <w:adjustRightInd w:val="0"/>
              <w:snapToGrid w:val="0"/>
              <w:rPr>
                <w:sz w:val="22"/>
                <w:szCs w:val="22"/>
              </w:rPr>
            </w:pPr>
            <w:r w:rsidRPr="004635E5">
              <w:rPr>
                <w:sz w:val="22"/>
                <w:szCs w:val="22"/>
              </w:rPr>
              <w:t>Size frequency weighting</w:t>
            </w:r>
          </w:p>
        </w:tc>
        <w:tc>
          <w:tcPr>
            <w:tcW w:w="1488" w:type="dxa"/>
          </w:tcPr>
          <w:p w14:paraId="338B75E3" w14:textId="77777777" w:rsidR="00A54161" w:rsidRPr="004635E5" w:rsidRDefault="00A54161" w:rsidP="006633A8">
            <w:pPr>
              <w:adjustRightInd w:val="0"/>
              <w:snapToGrid w:val="0"/>
              <w:rPr>
                <w:sz w:val="22"/>
                <w:szCs w:val="22"/>
              </w:rPr>
            </w:pPr>
            <w:r w:rsidRPr="004635E5">
              <w:rPr>
                <w:sz w:val="22"/>
                <w:szCs w:val="22"/>
              </w:rPr>
              <w:t>3</w:t>
            </w:r>
          </w:p>
        </w:tc>
        <w:tc>
          <w:tcPr>
            <w:tcW w:w="4907" w:type="dxa"/>
          </w:tcPr>
          <w:p w14:paraId="0836526C" w14:textId="77777777" w:rsidR="00A54161" w:rsidRPr="004635E5" w:rsidRDefault="00A54161" w:rsidP="006633A8">
            <w:pPr>
              <w:adjustRightInd w:val="0"/>
              <w:snapToGrid w:val="0"/>
              <w:rPr>
                <w:sz w:val="22"/>
                <w:szCs w:val="22"/>
              </w:rPr>
            </w:pPr>
            <w:r w:rsidRPr="004635E5">
              <w:rPr>
                <w:sz w:val="22"/>
                <w:szCs w:val="22"/>
              </w:rPr>
              <w:t>Sample sizes divided by 10, 20, 50</w:t>
            </w:r>
          </w:p>
        </w:tc>
      </w:tr>
      <w:tr w:rsidR="00A54161" w:rsidRPr="004635E5" w14:paraId="55FE8462" w14:textId="77777777" w:rsidTr="00BA4FCE">
        <w:trPr>
          <w:trHeight w:hRule="exact" w:val="265"/>
        </w:trPr>
        <w:tc>
          <w:tcPr>
            <w:tcW w:w="2962" w:type="dxa"/>
            <w:tcBorders>
              <w:bottom w:val="single" w:sz="11" w:space="0" w:color="000000"/>
            </w:tcBorders>
          </w:tcPr>
          <w:p w14:paraId="76C4D1EB" w14:textId="77777777" w:rsidR="00A54161" w:rsidRPr="004635E5" w:rsidRDefault="00A54161" w:rsidP="006633A8">
            <w:pPr>
              <w:adjustRightInd w:val="0"/>
              <w:snapToGrid w:val="0"/>
              <w:rPr>
                <w:sz w:val="22"/>
                <w:szCs w:val="22"/>
              </w:rPr>
            </w:pPr>
            <w:r w:rsidRPr="004635E5">
              <w:rPr>
                <w:sz w:val="22"/>
                <w:szCs w:val="22"/>
              </w:rPr>
              <w:t>Regional structure</w:t>
            </w:r>
          </w:p>
        </w:tc>
        <w:tc>
          <w:tcPr>
            <w:tcW w:w="1488" w:type="dxa"/>
            <w:tcBorders>
              <w:bottom w:val="single" w:sz="11" w:space="0" w:color="000000"/>
            </w:tcBorders>
          </w:tcPr>
          <w:p w14:paraId="77B6253F" w14:textId="77777777" w:rsidR="00A54161" w:rsidRPr="004635E5" w:rsidRDefault="00A54161" w:rsidP="006633A8">
            <w:pPr>
              <w:adjustRightInd w:val="0"/>
              <w:snapToGrid w:val="0"/>
              <w:rPr>
                <w:sz w:val="22"/>
                <w:szCs w:val="22"/>
              </w:rPr>
            </w:pPr>
            <w:r w:rsidRPr="004635E5">
              <w:rPr>
                <w:sz w:val="22"/>
                <w:szCs w:val="22"/>
              </w:rPr>
              <w:t>2</w:t>
            </w:r>
          </w:p>
        </w:tc>
        <w:tc>
          <w:tcPr>
            <w:tcW w:w="4907" w:type="dxa"/>
            <w:tcBorders>
              <w:bottom w:val="single" w:sz="11" w:space="0" w:color="000000"/>
            </w:tcBorders>
          </w:tcPr>
          <w:p w14:paraId="21BFCBEA" w14:textId="77777777" w:rsidR="00A54161" w:rsidRPr="004635E5" w:rsidRDefault="00A54161" w:rsidP="006633A8">
            <w:pPr>
              <w:adjustRightInd w:val="0"/>
              <w:snapToGrid w:val="0"/>
              <w:rPr>
                <w:sz w:val="22"/>
                <w:szCs w:val="22"/>
              </w:rPr>
            </w:pPr>
            <w:r w:rsidRPr="004635E5">
              <w:rPr>
                <w:sz w:val="22"/>
                <w:szCs w:val="22"/>
              </w:rPr>
              <w:t>10°N regions, 20°N regions</w:t>
            </w:r>
          </w:p>
        </w:tc>
      </w:tr>
    </w:tbl>
    <w:p w14:paraId="20297C2B" w14:textId="77777777" w:rsidR="00A54161" w:rsidRPr="004635E5" w:rsidRDefault="00A54161" w:rsidP="006633A8">
      <w:pPr>
        <w:adjustRightInd w:val="0"/>
        <w:snapToGrid w:val="0"/>
        <w:rPr>
          <w:sz w:val="22"/>
          <w:szCs w:val="22"/>
        </w:rPr>
        <w:sectPr w:rsidR="00A54161" w:rsidRPr="004635E5" w:rsidSect="001740C5">
          <w:pgSz w:w="12240" w:h="15840" w:code="1"/>
          <w:pgMar w:top="1440" w:right="1440" w:bottom="1440" w:left="1440" w:header="720" w:footer="432" w:gutter="0"/>
          <w:pgNumType w:start="1"/>
          <w:cols w:space="720"/>
        </w:sectPr>
      </w:pPr>
    </w:p>
    <w:p w14:paraId="728D4BEB" w14:textId="77777777" w:rsidR="00BA4FCE" w:rsidRPr="004635E5" w:rsidRDefault="00BA4FCE" w:rsidP="006633A8">
      <w:pPr>
        <w:widowControl w:val="0"/>
        <w:autoSpaceDE w:val="0"/>
        <w:autoSpaceDN w:val="0"/>
        <w:adjustRightInd w:val="0"/>
        <w:snapToGrid w:val="0"/>
        <w:rPr>
          <w:bCs/>
          <w:sz w:val="22"/>
          <w:szCs w:val="22"/>
        </w:rPr>
      </w:pPr>
      <w:r w:rsidRPr="004635E5">
        <w:rPr>
          <w:bCs/>
          <w:noProof/>
          <w:sz w:val="22"/>
          <w:szCs w:val="22"/>
          <w:lang w:eastAsia="zh-CN" w:bidi="mn-Mong-CN"/>
        </w:rPr>
        <w:drawing>
          <wp:inline distT="0" distB="0" distL="0" distR="0" wp14:anchorId="3C6AF8C4" wp14:editId="6ED65D54">
            <wp:extent cx="5676332" cy="3243833"/>
            <wp:effectExtent l="0" t="0" r="0" b="0"/>
            <wp:docPr id="39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5676332" cy="3243833"/>
                    </a:xfrm>
                    <a:prstGeom prst="rect">
                      <a:avLst/>
                    </a:prstGeom>
                  </pic:spPr>
                </pic:pic>
              </a:graphicData>
            </a:graphic>
          </wp:inline>
        </w:drawing>
      </w:r>
    </w:p>
    <w:p w14:paraId="31A66F75" w14:textId="77777777" w:rsidR="00BA4FCE" w:rsidRPr="004635E5" w:rsidRDefault="00BA4FCE" w:rsidP="006633A8">
      <w:pPr>
        <w:adjustRightInd w:val="0"/>
        <w:snapToGrid w:val="0"/>
        <w:rPr>
          <w:rFonts w:eastAsia="MS PMincho"/>
          <w:sz w:val="22"/>
          <w:szCs w:val="22"/>
        </w:rPr>
      </w:pPr>
      <w:r w:rsidRPr="004635E5">
        <w:rPr>
          <w:rFonts w:eastAsia="MS PMincho"/>
          <w:b/>
          <w:sz w:val="22"/>
          <w:szCs w:val="22"/>
        </w:rPr>
        <w:t xml:space="preserve">Figure BET-1. </w:t>
      </w:r>
      <w:r w:rsidRPr="004635E5">
        <w:rPr>
          <w:rFonts w:eastAsia="MS PMincho"/>
          <w:sz w:val="22"/>
          <w:szCs w:val="22"/>
        </w:rPr>
        <w:t>Time series of total annual catch (1000's mt) by fishing gear over the full assessment period.</w:t>
      </w:r>
    </w:p>
    <w:p w14:paraId="590EA35C" w14:textId="77777777" w:rsidR="00B26471" w:rsidRPr="004635E5" w:rsidRDefault="00B26471" w:rsidP="006633A8">
      <w:pPr>
        <w:adjustRightInd w:val="0"/>
        <w:snapToGrid w:val="0"/>
        <w:rPr>
          <w:rFonts w:eastAsia="MS PMincho"/>
          <w:sz w:val="22"/>
          <w:szCs w:val="22"/>
        </w:rPr>
      </w:pPr>
    </w:p>
    <w:p w14:paraId="219DE1AE" w14:textId="77777777" w:rsidR="00B26471" w:rsidRPr="004635E5" w:rsidRDefault="00B26471" w:rsidP="006633A8">
      <w:pPr>
        <w:adjustRightInd w:val="0"/>
        <w:snapToGrid w:val="0"/>
        <w:rPr>
          <w:rFonts w:eastAsia="MS PMincho"/>
          <w:sz w:val="22"/>
          <w:szCs w:val="22"/>
        </w:rPr>
      </w:pPr>
    </w:p>
    <w:p w14:paraId="40E7A135" w14:textId="77777777" w:rsidR="00BA4FCE" w:rsidRPr="004635E5" w:rsidRDefault="00BA4FCE" w:rsidP="006633A8">
      <w:pPr>
        <w:widowControl w:val="0"/>
        <w:autoSpaceDE w:val="0"/>
        <w:autoSpaceDN w:val="0"/>
        <w:adjustRightInd w:val="0"/>
        <w:snapToGrid w:val="0"/>
        <w:rPr>
          <w:b/>
          <w:bCs/>
          <w:sz w:val="22"/>
          <w:szCs w:val="22"/>
        </w:rPr>
        <w:sectPr w:rsidR="00BA4FCE" w:rsidRPr="004635E5" w:rsidSect="00436E03">
          <w:type w:val="continuous"/>
          <w:pgSz w:w="12240" w:h="15840" w:code="1"/>
          <w:pgMar w:top="1440" w:right="1440" w:bottom="1440" w:left="1440" w:header="720" w:footer="720" w:gutter="0"/>
          <w:cols w:space="720"/>
        </w:sectPr>
      </w:pPr>
    </w:p>
    <w:p w14:paraId="112055A8" w14:textId="77777777" w:rsidR="00BA4FCE" w:rsidRPr="004635E5" w:rsidRDefault="00BA4FCE" w:rsidP="006633A8">
      <w:pPr>
        <w:widowControl w:val="0"/>
        <w:autoSpaceDE w:val="0"/>
        <w:autoSpaceDN w:val="0"/>
        <w:adjustRightInd w:val="0"/>
        <w:snapToGrid w:val="0"/>
        <w:rPr>
          <w:bCs/>
          <w:sz w:val="22"/>
          <w:szCs w:val="22"/>
        </w:rPr>
      </w:pPr>
      <w:r w:rsidRPr="004635E5">
        <w:rPr>
          <w:bCs/>
          <w:noProof/>
          <w:sz w:val="22"/>
          <w:szCs w:val="22"/>
          <w:lang w:eastAsia="zh-CN" w:bidi="mn-Mong-CN"/>
        </w:rPr>
        <w:drawing>
          <wp:inline distT="0" distB="0" distL="0" distR="0" wp14:anchorId="30C74F76" wp14:editId="694023BA">
            <wp:extent cx="5858587" cy="3606127"/>
            <wp:effectExtent l="0" t="0" r="0" b="0"/>
            <wp:docPr id="3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58587" cy="3606127"/>
                    </a:xfrm>
                    <a:prstGeom prst="rect">
                      <a:avLst/>
                    </a:prstGeom>
                  </pic:spPr>
                </pic:pic>
              </a:graphicData>
            </a:graphic>
          </wp:inline>
        </w:drawing>
      </w:r>
    </w:p>
    <w:p w14:paraId="2082DAFC" w14:textId="77777777" w:rsidR="00BA4FCE" w:rsidRPr="004635E5" w:rsidRDefault="00BA4FCE" w:rsidP="006633A8">
      <w:pPr>
        <w:adjustRightInd w:val="0"/>
        <w:snapToGrid w:val="0"/>
        <w:ind w:right="99"/>
        <w:jc w:val="both"/>
        <w:rPr>
          <w:rFonts w:eastAsia="MS PMincho"/>
          <w:sz w:val="22"/>
          <w:szCs w:val="22"/>
        </w:rPr>
      </w:pPr>
      <w:r w:rsidRPr="004635E5">
        <w:rPr>
          <w:rFonts w:eastAsia="MS PMincho"/>
          <w:b/>
          <w:sz w:val="22"/>
          <w:szCs w:val="22"/>
        </w:rPr>
        <w:t xml:space="preserve">Figure BET-2. </w:t>
      </w:r>
      <w:r w:rsidRPr="004635E5">
        <w:rPr>
          <w:rFonts w:eastAsia="MS PMincho"/>
          <w:sz w:val="22"/>
          <w:szCs w:val="22"/>
        </w:rPr>
        <w:t>Plot showing the trajectories of spawning biomass depletion for the 36 model runs included in the structural uncertainty grid. The colours depict the models in the grid with the 10°N and 20°N spatial structures.</w:t>
      </w:r>
    </w:p>
    <w:p w14:paraId="5717BDED" w14:textId="77777777" w:rsidR="00BA4FCE" w:rsidRPr="004635E5" w:rsidRDefault="00BA4FCE" w:rsidP="006633A8">
      <w:pPr>
        <w:adjustRightInd w:val="0"/>
        <w:snapToGrid w:val="0"/>
        <w:jc w:val="both"/>
        <w:rPr>
          <w:rFonts w:eastAsia="MS PMincho"/>
          <w:sz w:val="22"/>
          <w:szCs w:val="22"/>
        </w:rPr>
      </w:pPr>
    </w:p>
    <w:p w14:paraId="44DE18C5" w14:textId="77777777" w:rsidR="00BA4FCE" w:rsidRPr="004635E5" w:rsidRDefault="00BA4FCE" w:rsidP="006633A8">
      <w:pPr>
        <w:adjustRightInd w:val="0"/>
        <w:snapToGrid w:val="0"/>
        <w:jc w:val="both"/>
        <w:rPr>
          <w:rFonts w:eastAsia="MS PMincho"/>
          <w:sz w:val="22"/>
          <w:szCs w:val="22"/>
        </w:rPr>
      </w:pPr>
    </w:p>
    <w:p w14:paraId="17691815" w14:textId="77777777" w:rsidR="006B6DDA" w:rsidRPr="004635E5" w:rsidRDefault="00BA4FCE" w:rsidP="006633A8">
      <w:pPr>
        <w:adjustRightInd w:val="0"/>
        <w:snapToGrid w:val="0"/>
        <w:jc w:val="both"/>
        <w:rPr>
          <w:rFonts w:eastAsia="MS PMincho"/>
          <w:sz w:val="22"/>
          <w:szCs w:val="22"/>
        </w:rPr>
      </w:pPr>
      <w:r w:rsidRPr="004635E5">
        <w:rPr>
          <w:rFonts w:eastAsia="MS PMincho"/>
          <w:noProof/>
          <w:sz w:val="22"/>
          <w:szCs w:val="22"/>
          <w:lang w:eastAsia="zh-CN" w:bidi="mn-Mong-CN"/>
        </w:rPr>
        <w:drawing>
          <wp:inline distT="0" distB="0" distL="0" distR="0" wp14:anchorId="5CA789CF" wp14:editId="225EB1FA">
            <wp:extent cx="6070600" cy="4222750"/>
            <wp:effectExtent l="0" t="0" r="6350" b="6350"/>
            <wp:docPr id="39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_temporal_F.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70600" cy="4222750"/>
                    </a:xfrm>
                    <a:prstGeom prst="rect">
                      <a:avLst/>
                    </a:prstGeom>
                  </pic:spPr>
                </pic:pic>
              </a:graphicData>
            </a:graphic>
          </wp:inline>
        </w:drawing>
      </w:r>
      <w:r w:rsidRPr="004635E5">
        <w:rPr>
          <w:rFonts w:eastAsia="MS PMincho"/>
          <w:b/>
          <w:sz w:val="22"/>
          <w:szCs w:val="22"/>
        </w:rPr>
        <w:t xml:space="preserve">Figure BET-3. </w:t>
      </w:r>
      <w:r w:rsidRPr="004635E5">
        <w:rPr>
          <w:rFonts w:eastAsia="MS PMincho"/>
          <w:sz w:val="22"/>
          <w:szCs w:val="22"/>
        </w:rPr>
        <w:t>Estimated annual average juvenile and adult fishing mortality for the diagnostic case model.</w:t>
      </w:r>
    </w:p>
    <w:p w14:paraId="35CDA14A" w14:textId="77777777" w:rsidR="006B6DDA" w:rsidRPr="004635E5" w:rsidRDefault="006B6DDA" w:rsidP="006633A8">
      <w:pPr>
        <w:adjustRightInd w:val="0"/>
        <w:snapToGrid w:val="0"/>
        <w:rPr>
          <w:rFonts w:eastAsia="MS PMincho"/>
          <w:sz w:val="22"/>
          <w:szCs w:val="22"/>
        </w:rPr>
      </w:pPr>
      <w:r w:rsidRPr="004635E5">
        <w:rPr>
          <w:rFonts w:eastAsia="MS PMincho"/>
          <w:sz w:val="22"/>
          <w:szCs w:val="22"/>
        </w:rPr>
        <w:br w:type="page"/>
      </w:r>
    </w:p>
    <w:p w14:paraId="2CB16E8C" w14:textId="77777777" w:rsidR="00BA4FCE" w:rsidRPr="004635E5" w:rsidRDefault="00BA4FCE" w:rsidP="006633A8">
      <w:pPr>
        <w:adjustRightInd w:val="0"/>
        <w:snapToGrid w:val="0"/>
        <w:jc w:val="both"/>
        <w:rPr>
          <w:rFonts w:eastAsia="MS PMincho"/>
          <w:sz w:val="22"/>
          <w:szCs w:val="22"/>
        </w:rPr>
        <w:sectPr w:rsidR="00BA4FCE" w:rsidRPr="004635E5" w:rsidSect="00436E03">
          <w:type w:val="continuous"/>
          <w:pgSz w:w="12240" w:h="15840" w:code="1"/>
          <w:pgMar w:top="1440" w:right="1440" w:bottom="1440" w:left="1440" w:header="720" w:footer="720" w:gutter="0"/>
          <w:cols w:space="720"/>
        </w:sectPr>
      </w:pPr>
    </w:p>
    <w:tbl>
      <w:tblPr>
        <w:tblStyle w:val="TableGrid5"/>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9"/>
      </w:tblGrid>
      <w:tr w:rsidR="00BA4FCE" w:rsidRPr="004635E5" w14:paraId="2232D4ED" w14:textId="77777777" w:rsidTr="002F7711">
        <w:trPr>
          <w:trHeight w:val="208"/>
        </w:trPr>
        <w:tc>
          <w:tcPr>
            <w:tcW w:w="8709" w:type="dxa"/>
          </w:tcPr>
          <w:p w14:paraId="2DEAC275" w14:textId="77777777" w:rsidR="00BA4FCE" w:rsidRPr="004635E5" w:rsidRDefault="00BA4FCE" w:rsidP="006633A8">
            <w:pPr>
              <w:widowControl w:val="0"/>
              <w:autoSpaceDE w:val="0"/>
              <w:autoSpaceDN w:val="0"/>
              <w:adjustRightInd w:val="0"/>
              <w:snapToGrid w:val="0"/>
              <w:rPr>
                <w:bCs/>
              </w:rPr>
            </w:pPr>
            <w:r w:rsidRPr="004635E5">
              <w:rPr>
                <w:bCs/>
              </w:rPr>
              <w:t>SB</w:t>
            </w:r>
            <w:r w:rsidRPr="004635E5">
              <w:rPr>
                <w:bCs/>
                <w:vertAlign w:val="subscript"/>
              </w:rPr>
              <w:t>recent</w:t>
            </w:r>
            <w:r w:rsidRPr="004635E5">
              <w:rPr>
                <w:bCs/>
              </w:rPr>
              <w:t xml:space="preserve"> (2012-2015) / SB</w:t>
            </w:r>
            <w:r w:rsidRPr="004635E5">
              <w:rPr>
                <w:bCs/>
                <w:vertAlign w:val="subscript"/>
              </w:rPr>
              <w:t>F=0</w:t>
            </w:r>
          </w:p>
        </w:tc>
      </w:tr>
      <w:tr w:rsidR="00BA4FCE" w:rsidRPr="004635E5" w14:paraId="34DD92CB" w14:textId="77777777" w:rsidTr="002F7711">
        <w:trPr>
          <w:trHeight w:val="4877"/>
        </w:trPr>
        <w:tc>
          <w:tcPr>
            <w:tcW w:w="8709" w:type="dxa"/>
          </w:tcPr>
          <w:p w14:paraId="131F5A72" w14:textId="77777777" w:rsidR="00BA4FCE" w:rsidRPr="004635E5" w:rsidRDefault="00BA4FCE" w:rsidP="006633A8">
            <w:pPr>
              <w:widowControl w:val="0"/>
              <w:autoSpaceDE w:val="0"/>
              <w:autoSpaceDN w:val="0"/>
              <w:adjustRightInd w:val="0"/>
              <w:snapToGrid w:val="0"/>
              <w:jc w:val="center"/>
              <w:rPr>
                <w:bCs/>
              </w:rPr>
            </w:pPr>
            <w:r w:rsidRPr="004635E5">
              <w:rPr>
                <w:bCs/>
                <w:noProof/>
                <w:lang w:eastAsia="zh-CN" w:bidi="mn-Mong-CN"/>
              </w:rPr>
              <w:drawing>
                <wp:inline distT="0" distB="0" distL="0" distR="0" wp14:anchorId="25DE8D41" wp14:editId="65DDAA63">
                  <wp:extent cx="3418072" cy="3197595"/>
                  <wp:effectExtent l="19050" t="0" r="0" b="0"/>
                  <wp:docPr id="39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20000" cy="3199399"/>
                          </a:xfrm>
                          <a:prstGeom prst="rect">
                            <a:avLst/>
                          </a:prstGeom>
                        </pic:spPr>
                      </pic:pic>
                    </a:graphicData>
                  </a:graphic>
                </wp:inline>
              </w:drawing>
            </w:r>
          </w:p>
        </w:tc>
      </w:tr>
      <w:tr w:rsidR="00BA4FCE" w:rsidRPr="004635E5" w14:paraId="694E5102" w14:textId="77777777" w:rsidTr="002F7711">
        <w:trPr>
          <w:trHeight w:val="208"/>
        </w:trPr>
        <w:tc>
          <w:tcPr>
            <w:tcW w:w="8709" w:type="dxa"/>
          </w:tcPr>
          <w:p w14:paraId="3355453F" w14:textId="77777777" w:rsidR="00BA4FCE" w:rsidRPr="004635E5" w:rsidRDefault="00BA4FCE" w:rsidP="006633A8">
            <w:pPr>
              <w:widowControl w:val="0"/>
              <w:autoSpaceDE w:val="0"/>
              <w:autoSpaceDN w:val="0"/>
              <w:adjustRightInd w:val="0"/>
              <w:snapToGrid w:val="0"/>
              <w:rPr>
                <w:bCs/>
              </w:rPr>
            </w:pPr>
            <w:r w:rsidRPr="004635E5">
              <w:rPr>
                <w:bCs/>
              </w:rPr>
              <w:t>SB</w:t>
            </w:r>
            <w:r w:rsidRPr="004635E5">
              <w:rPr>
                <w:bCs/>
                <w:vertAlign w:val="subscript"/>
              </w:rPr>
              <w:t>latest</w:t>
            </w:r>
            <w:r w:rsidRPr="004635E5">
              <w:rPr>
                <w:bCs/>
              </w:rPr>
              <w:t xml:space="preserve"> (2015) / SB</w:t>
            </w:r>
            <w:r w:rsidRPr="004635E5">
              <w:rPr>
                <w:bCs/>
                <w:vertAlign w:val="subscript"/>
              </w:rPr>
              <w:t>F=0</w:t>
            </w:r>
          </w:p>
        </w:tc>
      </w:tr>
      <w:tr w:rsidR="00BA4FCE" w:rsidRPr="004635E5" w14:paraId="5683BD8C" w14:textId="77777777" w:rsidTr="002F7711">
        <w:trPr>
          <w:trHeight w:val="4868"/>
        </w:trPr>
        <w:tc>
          <w:tcPr>
            <w:tcW w:w="8709" w:type="dxa"/>
          </w:tcPr>
          <w:p w14:paraId="7C86B2BB" w14:textId="77777777" w:rsidR="00BA4FCE" w:rsidRPr="004635E5" w:rsidRDefault="00BA4FCE" w:rsidP="006633A8">
            <w:pPr>
              <w:widowControl w:val="0"/>
              <w:autoSpaceDE w:val="0"/>
              <w:autoSpaceDN w:val="0"/>
              <w:adjustRightInd w:val="0"/>
              <w:snapToGrid w:val="0"/>
              <w:jc w:val="center"/>
              <w:rPr>
                <w:bCs/>
              </w:rPr>
            </w:pPr>
            <w:r w:rsidRPr="004635E5">
              <w:rPr>
                <w:bCs/>
                <w:noProof/>
                <w:lang w:eastAsia="zh-CN" w:bidi="mn-Mong-CN"/>
              </w:rPr>
              <w:drawing>
                <wp:inline distT="0" distB="0" distL="0" distR="0" wp14:anchorId="03DE8584" wp14:editId="0AB4BB80">
                  <wp:extent cx="3418073" cy="3214425"/>
                  <wp:effectExtent l="19050" t="0" r="0" b="0"/>
                  <wp:docPr id="40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20000" cy="3216237"/>
                          </a:xfrm>
                          <a:prstGeom prst="rect">
                            <a:avLst/>
                          </a:prstGeom>
                        </pic:spPr>
                      </pic:pic>
                    </a:graphicData>
                  </a:graphic>
                </wp:inline>
              </w:drawing>
            </w:r>
          </w:p>
        </w:tc>
      </w:tr>
    </w:tbl>
    <w:p w14:paraId="170B8964" w14:textId="77777777" w:rsidR="00BA4FCE" w:rsidRPr="004635E5" w:rsidRDefault="00BA4FCE" w:rsidP="006633A8">
      <w:pPr>
        <w:adjustRightInd w:val="0"/>
        <w:snapToGrid w:val="0"/>
        <w:ind w:right="115"/>
        <w:jc w:val="both"/>
        <w:rPr>
          <w:rFonts w:eastAsia="MS PMincho"/>
          <w:sz w:val="22"/>
          <w:szCs w:val="22"/>
        </w:rPr>
      </w:pPr>
      <w:r w:rsidRPr="004635E5">
        <w:rPr>
          <w:rFonts w:eastAsia="MS PMincho"/>
          <w:b/>
          <w:sz w:val="22"/>
          <w:szCs w:val="22"/>
        </w:rPr>
        <w:t>Figure BET-4</w:t>
      </w:r>
      <w:r w:rsidRPr="004635E5">
        <w:rPr>
          <w:rFonts w:eastAsia="MS PMincho"/>
          <w:sz w:val="22"/>
          <w:szCs w:val="22"/>
        </w:rPr>
        <w:t xml:space="preserve">. Majuro plot summarising the results for each of the models in the structural uncertainty grid. The plots represent estimates of stock status in terms of spawning biomass depletion and fishing mortality. The red zone represents spawning biomass levels lower than the agreed limit reference point, </w:t>
      </w:r>
      <w:r w:rsidRPr="004635E5">
        <w:rPr>
          <w:rFonts w:eastAsia="MS PMincho"/>
          <w:position w:val="2"/>
          <w:sz w:val="22"/>
          <w:szCs w:val="22"/>
        </w:rPr>
        <w:t>which</w:t>
      </w:r>
      <w:r w:rsidRPr="004635E5">
        <w:rPr>
          <w:rFonts w:eastAsia="MS PMincho"/>
          <w:spacing w:val="-13"/>
          <w:position w:val="2"/>
          <w:sz w:val="22"/>
          <w:szCs w:val="22"/>
        </w:rPr>
        <w:t xml:space="preserve"> </w:t>
      </w:r>
      <w:r w:rsidRPr="004635E5">
        <w:rPr>
          <w:rFonts w:eastAsia="MS PMincho"/>
          <w:position w:val="2"/>
          <w:sz w:val="22"/>
          <w:szCs w:val="22"/>
        </w:rPr>
        <w:t>is</w:t>
      </w:r>
      <w:r w:rsidRPr="004635E5">
        <w:rPr>
          <w:rFonts w:eastAsia="MS PMincho"/>
          <w:spacing w:val="-12"/>
          <w:position w:val="2"/>
          <w:sz w:val="22"/>
          <w:szCs w:val="22"/>
        </w:rPr>
        <w:t xml:space="preserve"> </w:t>
      </w:r>
      <w:r w:rsidRPr="004635E5">
        <w:rPr>
          <w:rFonts w:eastAsia="MS PMincho"/>
          <w:position w:val="2"/>
          <w:sz w:val="22"/>
          <w:szCs w:val="22"/>
        </w:rPr>
        <w:t>marked</w:t>
      </w:r>
      <w:r w:rsidRPr="004635E5">
        <w:rPr>
          <w:rFonts w:eastAsia="MS PMincho"/>
          <w:spacing w:val="-11"/>
          <w:position w:val="2"/>
          <w:sz w:val="22"/>
          <w:szCs w:val="22"/>
        </w:rPr>
        <w:t xml:space="preserve"> </w:t>
      </w:r>
      <w:r w:rsidRPr="004635E5">
        <w:rPr>
          <w:rFonts w:eastAsia="MS PMincho"/>
          <w:position w:val="2"/>
          <w:sz w:val="22"/>
          <w:szCs w:val="22"/>
        </w:rPr>
        <w:t>with</w:t>
      </w:r>
      <w:r w:rsidRPr="004635E5">
        <w:rPr>
          <w:rFonts w:eastAsia="MS PMincho"/>
          <w:spacing w:val="-13"/>
          <w:position w:val="2"/>
          <w:sz w:val="22"/>
          <w:szCs w:val="22"/>
        </w:rPr>
        <w:t xml:space="preserve"> </w:t>
      </w:r>
      <w:r w:rsidRPr="004635E5">
        <w:rPr>
          <w:rFonts w:eastAsia="MS PMincho"/>
          <w:position w:val="2"/>
          <w:sz w:val="22"/>
          <w:szCs w:val="22"/>
        </w:rPr>
        <w:t>the</w:t>
      </w:r>
      <w:r w:rsidRPr="004635E5">
        <w:rPr>
          <w:rFonts w:eastAsia="MS PMincho"/>
          <w:spacing w:val="-13"/>
          <w:position w:val="2"/>
          <w:sz w:val="22"/>
          <w:szCs w:val="22"/>
        </w:rPr>
        <w:t xml:space="preserve"> </w:t>
      </w:r>
      <w:r w:rsidRPr="004635E5">
        <w:rPr>
          <w:rFonts w:eastAsia="MS PMincho"/>
          <w:position w:val="2"/>
          <w:sz w:val="22"/>
          <w:szCs w:val="22"/>
        </w:rPr>
        <w:t>solid</w:t>
      </w:r>
      <w:r w:rsidRPr="004635E5">
        <w:rPr>
          <w:rFonts w:eastAsia="MS PMincho"/>
          <w:spacing w:val="-13"/>
          <w:position w:val="2"/>
          <w:sz w:val="22"/>
          <w:szCs w:val="22"/>
        </w:rPr>
        <w:t xml:space="preserve"> </w:t>
      </w:r>
      <w:r w:rsidRPr="004635E5">
        <w:rPr>
          <w:rFonts w:eastAsia="MS PMincho"/>
          <w:position w:val="2"/>
          <w:sz w:val="22"/>
          <w:szCs w:val="22"/>
        </w:rPr>
        <w:t>black</w:t>
      </w:r>
      <w:r w:rsidRPr="004635E5">
        <w:rPr>
          <w:rFonts w:eastAsia="MS PMincho"/>
          <w:spacing w:val="-13"/>
          <w:position w:val="2"/>
          <w:sz w:val="22"/>
          <w:szCs w:val="22"/>
        </w:rPr>
        <w:t xml:space="preserve"> </w:t>
      </w:r>
      <w:r w:rsidRPr="004635E5">
        <w:rPr>
          <w:rFonts w:eastAsia="MS PMincho"/>
          <w:position w:val="2"/>
          <w:sz w:val="22"/>
          <w:szCs w:val="22"/>
        </w:rPr>
        <w:t>line.</w:t>
      </w:r>
      <w:r w:rsidRPr="004635E5">
        <w:rPr>
          <w:rFonts w:eastAsia="MS PMincho"/>
          <w:spacing w:val="-13"/>
          <w:position w:val="2"/>
          <w:sz w:val="22"/>
          <w:szCs w:val="22"/>
        </w:rPr>
        <w:t xml:space="preserve"> </w:t>
      </w:r>
      <w:r w:rsidRPr="004635E5">
        <w:rPr>
          <w:rFonts w:eastAsia="MS PMincho"/>
          <w:position w:val="2"/>
          <w:sz w:val="22"/>
          <w:szCs w:val="22"/>
        </w:rPr>
        <w:t>The</w:t>
      </w:r>
      <w:r w:rsidRPr="004635E5">
        <w:rPr>
          <w:rFonts w:eastAsia="MS PMincho"/>
          <w:spacing w:val="-11"/>
          <w:position w:val="2"/>
          <w:sz w:val="22"/>
          <w:szCs w:val="22"/>
        </w:rPr>
        <w:t xml:space="preserve"> </w:t>
      </w:r>
      <w:r w:rsidRPr="004635E5">
        <w:rPr>
          <w:rFonts w:eastAsia="MS PMincho"/>
          <w:position w:val="2"/>
          <w:sz w:val="22"/>
          <w:szCs w:val="22"/>
        </w:rPr>
        <w:t>orange</w:t>
      </w:r>
      <w:r w:rsidRPr="004635E5">
        <w:rPr>
          <w:rFonts w:eastAsia="MS PMincho"/>
          <w:spacing w:val="-13"/>
          <w:position w:val="2"/>
          <w:sz w:val="22"/>
          <w:szCs w:val="22"/>
        </w:rPr>
        <w:t xml:space="preserve"> </w:t>
      </w:r>
      <w:r w:rsidRPr="004635E5">
        <w:rPr>
          <w:rFonts w:eastAsia="MS PMincho"/>
          <w:position w:val="2"/>
          <w:sz w:val="22"/>
          <w:szCs w:val="22"/>
        </w:rPr>
        <w:t>region</w:t>
      </w:r>
      <w:r w:rsidRPr="004635E5">
        <w:rPr>
          <w:rFonts w:eastAsia="MS PMincho"/>
          <w:spacing w:val="-11"/>
          <w:position w:val="2"/>
          <w:sz w:val="22"/>
          <w:szCs w:val="22"/>
        </w:rPr>
        <w:t xml:space="preserve"> </w:t>
      </w:r>
      <w:r w:rsidRPr="004635E5">
        <w:rPr>
          <w:rFonts w:eastAsia="MS PMincho"/>
          <w:position w:val="2"/>
          <w:sz w:val="22"/>
          <w:szCs w:val="22"/>
        </w:rPr>
        <w:t>is</w:t>
      </w:r>
      <w:r w:rsidRPr="004635E5">
        <w:rPr>
          <w:rFonts w:eastAsia="MS PMincho"/>
          <w:spacing w:val="-12"/>
          <w:position w:val="2"/>
          <w:sz w:val="22"/>
          <w:szCs w:val="22"/>
        </w:rPr>
        <w:t xml:space="preserve"> </w:t>
      </w:r>
      <w:r w:rsidRPr="004635E5">
        <w:rPr>
          <w:rFonts w:eastAsia="MS PMincho"/>
          <w:position w:val="2"/>
          <w:sz w:val="22"/>
          <w:szCs w:val="22"/>
        </w:rPr>
        <w:t>for</w:t>
      </w:r>
      <w:r w:rsidRPr="004635E5">
        <w:rPr>
          <w:rFonts w:eastAsia="MS PMincho"/>
          <w:spacing w:val="-12"/>
          <w:position w:val="2"/>
          <w:sz w:val="22"/>
          <w:szCs w:val="22"/>
        </w:rPr>
        <w:t xml:space="preserve"> </w:t>
      </w:r>
      <w:r w:rsidRPr="004635E5">
        <w:rPr>
          <w:rFonts w:eastAsia="MS PMincho"/>
          <w:position w:val="2"/>
          <w:sz w:val="22"/>
          <w:szCs w:val="22"/>
        </w:rPr>
        <w:t>fishing</w:t>
      </w:r>
      <w:r w:rsidRPr="004635E5">
        <w:rPr>
          <w:rFonts w:eastAsia="MS PMincho"/>
          <w:spacing w:val="-13"/>
          <w:position w:val="2"/>
          <w:sz w:val="22"/>
          <w:szCs w:val="22"/>
        </w:rPr>
        <w:t xml:space="preserve"> </w:t>
      </w:r>
      <w:r w:rsidRPr="004635E5">
        <w:rPr>
          <w:rFonts w:eastAsia="MS PMincho"/>
          <w:position w:val="2"/>
          <w:sz w:val="22"/>
          <w:szCs w:val="22"/>
        </w:rPr>
        <w:t>mortality</w:t>
      </w:r>
      <w:r w:rsidRPr="004635E5">
        <w:rPr>
          <w:rFonts w:eastAsia="MS PMincho"/>
          <w:spacing w:val="-13"/>
          <w:position w:val="2"/>
          <w:sz w:val="22"/>
          <w:szCs w:val="22"/>
        </w:rPr>
        <w:t xml:space="preserve"> </w:t>
      </w:r>
      <w:r w:rsidRPr="004635E5">
        <w:rPr>
          <w:rFonts w:eastAsia="MS PMincho"/>
          <w:position w:val="2"/>
          <w:sz w:val="22"/>
          <w:szCs w:val="22"/>
        </w:rPr>
        <w:t>greater</w:t>
      </w:r>
      <w:r w:rsidRPr="004635E5">
        <w:rPr>
          <w:rFonts w:eastAsia="MS PMincho"/>
          <w:spacing w:val="-11"/>
          <w:position w:val="2"/>
          <w:sz w:val="22"/>
          <w:szCs w:val="22"/>
        </w:rPr>
        <w:t xml:space="preserve"> </w:t>
      </w:r>
      <w:r w:rsidRPr="004635E5">
        <w:rPr>
          <w:rFonts w:eastAsia="MS PMincho"/>
          <w:position w:val="2"/>
          <w:sz w:val="22"/>
          <w:szCs w:val="22"/>
        </w:rPr>
        <w:t>than</w:t>
      </w:r>
      <w:r w:rsidRPr="004635E5">
        <w:rPr>
          <w:rFonts w:eastAsia="MS PMincho"/>
          <w:spacing w:val="-11"/>
          <w:position w:val="2"/>
          <w:sz w:val="22"/>
          <w:szCs w:val="22"/>
        </w:rPr>
        <w:t xml:space="preserve"> </w:t>
      </w:r>
      <w:r w:rsidRPr="004635E5">
        <w:rPr>
          <w:rFonts w:eastAsia="MS PMincho"/>
          <w:i/>
          <w:position w:val="2"/>
          <w:sz w:val="22"/>
          <w:szCs w:val="22"/>
        </w:rPr>
        <w:t>F</w:t>
      </w:r>
      <w:r w:rsidRPr="004E1B05">
        <w:rPr>
          <w:rFonts w:eastAsia="MS PMincho"/>
          <w:sz w:val="22"/>
          <w:szCs w:val="22"/>
          <w:vertAlign w:val="subscript"/>
        </w:rPr>
        <w:t>MSY</w:t>
      </w:r>
      <w:r w:rsidRPr="004635E5">
        <w:rPr>
          <w:rFonts w:eastAsia="MS PMincho"/>
          <w:spacing w:val="9"/>
          <w:sz w:val="22"/>
          <w:szCs w:val="22"/>
        </w:rPr>
        <w:t xml:space="preserve"> </w:t>
      </w:r>
      <w:r w:rsidRPr="004635E5">
        <w:rPr>
          <w:rFonts w:eastAsia="MS PMincho"/>
          <w:position w:val="2"/>
          <w:sz w:val="22"/>
          <w:szCs w:val="22"/>
        </w:rPr>
        <w:t>(</w:t>
      </w:r>
      <w:r w:rsidRPr="004635E5">
        <w:rPr>
          <w:rFonts w:eastAsia="MS PMincho"/>
          <w:i/>
          <w:position w:val="2"/>
          <w:sz w:val="22"/>
          <w:szCs w:val="22"/>
        </w:rPr>
        <w:t>F</w:t>
      </w:r>
      <w:r w:rsidRPr="004E1B05">
        <w:rPr>
          <w:rFonts w:eastAsia="MS PMincho"/>
          <w:sz w:val="22"/>
          <w:szCs w:val="22"/>
          <w:vertAlign w:val="subscript"/>
        </w:rPr>
        <w:t>MSY</w:t>
      </w:r>
      <w:r w:rsidRPr="004635E5">
        <w:rPr>
          <w:rFonts w:eastAsia="MS PMincho"/>
          <w:sz w:val="22"/>
          <w:szCs w:val="22"/>
        </w:rPr>
        <w:t xml:space="preserve"> </w:t>
      </w:r>
      <w:r w:rsidRPr="004635E5">
        <w:rPr>
          <w:rFonts w:eastAsia="MS PMincho"/>
          <w:position w:val="2"/>
          <w:sz w:val="22"/>
          <w:szCs w:val="22"/>
        </w:rPr>
        <w:t xml:space="preserve">is marked with the black dashed line). In the upper panel, the points represent </w:t>
      </w:r>
      <w:r w:rsidRPr="004635E5">
        <w:rPr>
          <w:rFonts w:eastAsia="MS PMincho"/>
          <w:i/>
          <w:position w:val="2"/>
          <w:sz w:val="22"/>
          <w:szCs w:val="22"/>
        </w:rPr>
        <w:t>SB</w:t>
      </w:r>
      <w:r w:rsidRPr="004E1B05">
        <w:rPr>
          <w:rFonts w:eastAsia="MS PMincho"/>
          <w:i/>
          <w:sz w:val="22"/>
          <w:szCs w:val="22"/>
          <w:vertAlign w:val="subscript"/>
        </w:rPr>
        <w:t>recent</w:t>
      </w:r>
      <w:r w:rsidRPr="004635E5">
        <w:rPr>
          <w:rFonts w:eastAsia="MS PMincho"/>
          <w:i/>
          <w:position w:val="2"/>
          <w:sz w:val="22"/>
          <w:szCs w:val="22"/>
        </w:rPr>
        <w:t>/SB</w:t>
      </w:r>
      <w:r w:rsidRPr="004E1B05">
        <w:rPr>
          <w:rFonts w:eastAsia="MS PMincho"/>
          <w:i/>
          <w:sz w:val="22"/>
          <w:szCs w:val="22"/>
          <w:vertAlign w:val="subscript"/>
        </w:rPr>
        <w:t>F=0</w:t>
      </w:r>
      <w:r w:rsidRPr="004635E5">
        <w:rPr>
          <w:rFonts w:eastAsia="MS PMincho"/>
          <w:position w:val="2"/>
          <w:sz w:val="22"/>
          <w:szCs w:val="22"/>
        </w:rPr>
        <w:t xml:space="preserve">, where </w:t>
      </w:r>
      <w:r w:rsidRPr="004635E5">
        <w:rPr>
          <w:rFonts w:eastAsia="MS PMincho"/>
          <w:i/>
          <w:position w:val="2"/>
          <w:sz w:val="22"/>
          <w:szCs w:val="22"/>
        </w:rPr>
        <w:t>SB</w:t>
      </w:r>
      <w:r w:rsidRPr="004E1B05">
        <w:rPr>
          <w:rFonts w:eastAsia="MS PMincho"/>
          <w:i/>
          <w:sz w:val="22"/>
          <w:szCs w:val="22"/>
          <w:vertAlign w:val="subscript"/>
        </w:rPr>
        <w:t>recent</w:t>
      </w:r>
      <w:r w:rsidRPr="004635E5">
        <w:rPr>
          <w:rFonts w:eastAsia="MS PMincho"/>
          <w:position w:val="2"/>
          <w:sz w:val="22"/>
          <w:szCs w:val="22"/>
        </w:rPr>
        <w:t xml:space="preserve"> is the mean </w:t>
      </w:r>
      <w:r w:rsidRPr="004635E5">
        <w:rPr>
          <w:rFonts w:eastAsia="MS PMincho"/>
          <w:i/>
          <w:position w:val="2"/>
          <w:sz w:val="22"/>
          <w:szCs w:val="22"/>
        </w:rPr>
        <w:t xml:space="preserve">SB </w:t>
      </w:r>
      <w:r w:rsidRPr="004635E5">
        <w:rPr>
          <w:rFonts w:eastAsia="MS PMincho"/>
          <w:position w:val="2"/>
          <w:sz w:val="22"/>
          <w:szCs w:val="22"/>
        </w:rPr>
        <w:t xml:space="preserve">over 2012-2015. In the lower panel, the points represent </w:t>
      </w:r>
      <w:r w:rsidRPr="004635E5">
        <w:rPr>
          <w:rFonts w:eastAsia="MS PMincho"/>
          <w:i/>
          <w:position w:val="2"/>
          <w:sz w:val="22"/>
          <w:szCs w:val="22"/>
        </w:rPr>
        <w:t>SB</w:t>
      </w:r>
      <w:r w:rsidRPr="004635E5">
        <w:rPr>
          <w:rFonts w:eastAsia="MS PMincho"/>
          <w:i/>
          <w:position w:val="2"/>
          <w:sz w:val="22"/>
          <w:szCs w:val="22"/>
          <w:vertAlign w:val="subscript"/>
        </w:rPr>
        <w:t>latest</w:t>
      </w:r>
      <w:r w:rsidRPr="004635E5">
        <w:rPr>
          <w:rFonts w:eastAsia="MS PMincho"/>
          <w:i/>
          <w:position w:val="2"/>
          <w:sz w:val="22"/>
          <w:szCs w:val="22"/>
        </w:rPr>
        <w:t>/SB</w:t>
      </w:r>
      <w:r w:rsidRPr="004635E5">
        <w:rPr>
          <w:rFonts w:eastAsia="MS PMincho"/>
          <w:i/>
          <w:position w:val="2"/>
          <w:sz w:val="22"/>
          <w:szCs w:val="22"/>
          <w:vertAlign w:val="subscript"/>
        </w:rPr>
        <w:t>F=0</w:t>
      </w:r>
      <w:r w:rsidRPr="004635E5">
        <w:rPr>
          <w:rFonts w:eastAsia="MS PMincho"/>
          <w:position w:val="2"/>
          <w:sz w:val="22"/>
          <w:szCs w:val="22"/>
        </w:rPr>
        <w:t xml:space="preserve">, where </w:t>
      </w:r>
      <w:r w:rsidRPr="004635E5">
        <w:rPr>
          <w:rFonts w:eastAsia="MS PMincho"/>
          <w:i/>
          <w:position w:val="2"/>
          <w:sz w:val="22"/>
          <w:szCs w:val="22"/>
        </w:rPr>
        <w:t>SB</w:t>
      </w:r>
      <w:r w:rsidRPr="004635E5">
        <w:rPr>
          <w:rFonts w:eastAsia="MS PMincho"/>
          <w:i/>
          <w:position w:val="2"/>
          <w:sz w:val="22"/>
          <w:szCs w:val="22"/>
          <w:vertAlign w:val="subscript"/>
        </w:rPr>
        <w:t>latest</w:t>
      </w:r>
      <w:r w:rsidRPr="004635E5">
        <w:rPr>
          <w:rFonts w:eastAsia="MS PMincho"/>
          <w:position w:val="2"/>
          <w:sz w:val="22"/>
          <w:szCs w:val="22"/>
        </w:rPr>
        <w:t xml:space="preserve"> is from 2015. In both panels </w:t>
      </w:r>
      <w:r w:rsidRPr="004635E5">
        <w:rPr>
          <w:rFonts w:eastAsia="MS PMincho"/>
          <w:sz w:val="22"/>
          <w:szCs w:val="22"/>
        </w:rPr>
        <w:t>the colors depict the models in the grid with the 10°N and 20°N regional structures.</w:t>
      </w:r>
    </w:p>
    <w:p w14:paraId="30A27987" w14:textId="77777777" w:rsidR="00BA4FCE" w:rsidRPr="004635E5" w:rsidRDefault="00BA4FCE" w:rsidP="006633A8">
      <w:pPr>
        <w:adjustRightInd w:val="0"/>
        <w:snapToGrid w:val="0"/>
        <w:jc w:val="both"/>
        <w:rPr>
          <w:rFonts w:eastAsia="MS PMincho"/>
          <w:sz w:val="22"/>
          <w:szCs w:val="22"/>
        </w:rPr>
        <w:sectPr w:rsidR="00BA4FCE" w:rsidRPr="004635E5" w:rsidSect="00436E03">
          <w:type w:val="continuous"/>
          <w:pgSz w:w="12240" w:h="15840" w:code="1"/>
          <w:pgMar w:top="1440" w:right="1440" w:bottom="1440" w:left="1440" w:header="720" w:footer="720" w:gutter="0"/>
          <w:cols w:space="720"/>
        </w:sectPr>
      </w:pPr>
    </w:p>
    <w:p w14:paraId="641CEC5C" w14:textId="77777777" w:rsidR="00BA4FCE" w:rsidRPr="004635E5" w:rsidRDefault="00BA4FCE" w:rsidP="006633A8">
      <w:pPr>
        <w:widowControl w:val="0"/>
        <w:autoSpaceDE w:val="0"/>
        <w:autoSpaceDN w:val="0"/>
        <w:adjustRightInd w:val="0"/>
        <w:snapToGrid w:val="0"/>
        <w:rPr>
          <w:bCs/>
          <w:sz w:val="22"/>
          <w:szCs w:val="22"/>
        </w:rPr>
      </w:pPr>
    </w:p>
    <w:tbl>
      <w:tblPr>
        <w:tblStyle w:val="TableGrid5"/>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6"/>
      </w:tblGrid>
      <w:tr w:rsidR="00BA4FCE" w:rsidRPr="004635E5" w14:paraId="722C3065" w14:textId="77777777" w:rsidTr="002F7711">
        <w:tc>
          <w:tcPr>
            <w:tcW w:w="9776" w:type="dxa"/>
          </w:tcPr>
          <w:p w14:paraId="44A467BA" w14:textId="77777777" w:rsidR="00BA4FCE" w:rsidRPr="004635E5" w:rsidRDefault="00BA4FCE" w:rsidP="006633A8">
            <w:pPr>
              <w:widowControl w:val="0"/>
              <w:autoSpaceDE w:val="0"/>
              <w:autoSpaceDN w:val="0"/>
              <w:adjustRightInd w:val="0"/>
              <w:snapToGrid w:val="0"/>
              <w:rPr>
                <w:bCs/>
              </w:rPr>
            </w:pPr>
            <w:r w:rsidRPr="004635E5">
              <w:rPr>
                <w:bCs/>
              </w:rPr>
              <w:t>SB</w:t>
            </w:r>
            <w:r w:rsidRPr="004635E5">
              <w:rPr>
                <w:bCs/>
                <w:vertAlign w:val="subscript"/>
              </w:rPr>
              <w:t>recent</w:t>
            </w:r>
            <w:r w:rsidRPr="004635E5">
              <w:rPr>
                <w:bCs/>
              </w:rPr>
              <w:t xml:space="preserve"> (2012-2015) / SB</w:t>
            </w:r>
            <w:r w:rsidRPr="004635E5">
              <w:rPr>
                <w:bCs/>
                <w:vertAlign w:val="subscript"/>
              </w:rPr>
              <w:t>MSY</w:t>
            </w:r>
          </w:p>
        </w:tc>
      </w:tr>
      <w:tr w:rsidR="00BA4FCE" w:rsidRPr="004635E5" w14:paraId="34B7D6F9" w14:textId="77777777" w:rsidTr="002F7711">
        <w:tc>
          <w:tcPr>
            <w:tcW w:w="9776" w:type="dxa"/>
          </w:tcPr>
          <w:p w14:paraId="24498D20" w14:textId="77777777" w:rsidR="00BA4FCE" w:rsidRPr="004635E5" w:rsidRDefault="00BA4FCE" w:rsidP="006633A8">
            <w:pPr>
              <w:widowControl w:val="0"/>
              <w:autoSpaceDE w:val="0"/>
              <w:autoSpaceDN w:val="0"/>
              <w:adjustRightInd w:val="0"/>
              <w:snapToGrid w:val="0"/>
              <w:jc w:val="center"/>
              <w:rPr>
                <w:bCs/>
              </w:rPr>
            </w:pPr>
            <w:r w:rsidRPr="004635E5">
              <w:rPr>
                <w:bCs/>
                <w:noProof/>
                <w:lang w:eastAsia="zh-CN" w:bidi="mn-Mong-CN"/>
              </w:rPr>
              <w:drawing>
                <wp:inline distT="0" distB="0" distL="0" distR="0" wp14:anchorId="5289C6DC" wp14:editId="0A9EC9F4">
                  <wp:extent cx="3420000" cy="3420000"/>
                  <wp:effectExtent l="0" t="0" r="9525" b="9525"/>
                  <wp:docPr id="40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20000" cy="3420000"/>
                          </a:xfrm>
                          <a:prstGeom prst="rect">
                            <a:avLst/>
                          </a:prstGeom>
                        </pic:spPr>
                      </pic:pic>
                    </a:graphicData>
                  </a:graphic>
                </wp:inline>
              </w:drawing>
            </w:r>
          </w:p>
        </w:tc>
      </w:tr>
      <w:tr w:rsidR="00BA4FCE" w:rsidRPr="004635E5" w14:paraId="33B7B63E" w14:textId="77777777" w:rsidTr="002F7711">
        <w:tc>
          <w:tcPr>
            <w:tcW w:w="9776" w:type="dxa"/>
          </w:tcPr>
          <w:p w14:paraId="0BBED9D7" w14:textId="77777777" w:rsidR="00BA4FCE" w:rsidRPr="004635E5" w:rsidRDefault="00BA4FCE" w:rsidP="006633A8">
            <w:pPr>
              <w:widowControl w:val="0"/>
              <w:autoSpaceDE w:val="0"/>
              <w:autoSpaceDN w:val="0"/>
              <w:adjustRightInd w:val="0"/>
              <w:snapToGrid w:val="0"/>
              <w:rPr>
                <w:bCs/>
              </w:rPr>
            </w:pPr>
            <w:r w:rsidRPr="004635E5">
              <w:rPr>
                <w:bCs/>
              </w:rPr>
              <w:t>SB</w:t>
            </w:r>
            <w:r w:rsidRPr="004635E5">
              <w:rPr>
                <w:bCs/>
                <w:vertAlign w:val="subscript"/>
              </w:rPr>
              <w:t>latest</w:t>
            </w:r>
            <w:r w:rsidRPr="004635E5">
              <w:rPr>
                <w:bCs/>
              </w:rPr>
              <w:t xml:space="preserve"> (2015) / SB</w:t>
            </w:r>
            <w:r w:rsidRPr="004635E5">
              <w:rPr>
                <w:bCs/>
                <w:vertAlign w:val="subscript"/>
              </w:rPr>
              <w:t>MSY</w:t>
            </w:r>
          </w:p>
        </w:tc>
      </w:tr>
      <w:tr w:rsidR="00BA4FCE" w:rsidRPr="004635E5" w14:paraId="407EADF3" w14:textId="77777777" w:rsidTr="002F7711">
        <w:tc>
          <w:tcPr>
            <w:tcW w:w="9776" w:type="dxa"/>
          </w:tcPr>
          <w:p w14:paraId="29D737A6" w14:textId="77777777" w:rsidR="00BA4FCE" w:rsidRPr="004635E5" w:rsidRDefault="00BA4FCE" w:rsidP="006633A8">
            <w:pPr>
              <w:widowControl w:val="0"/>
              <w:autoSpaceDE w:val="0"/>
              <w:autoSpaceDN w:val="0"/>
              <w:adjustRightInd w:val="0"/>
              <w:snapToGrid w:val="0"/>
              <w:jc w:val="center"/>
              <w:rPr>
                <w:bCs/>
              </w:rPr>
            </w:pPr>
            <w:r w:rsidRPr="004635E5">
              <w:rPr>
                <w:bCs/>
                <w:noProof/>
                <w:lang w:eastAsia="zh-CN" w:bidi="mn-Mong-CN"/>
              </w:rPr>
              <w:drawing>
                <wp:inline distT="0" distB="0" distL="0" distR="0" wp14:anchorId="08B65BED" wp14:editId="56F1551C">
                  <wp:extent cx="3420000" cy="3420000"/>
                  <wp:effectExtent l="0" t="0" r="9525" b="9525"/>
                  <wp:docPr id="402"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0000" cy="3420000"/>
                          </a:xfrm>
                          <a:prstGeom prst="rect">
                            <a:avLst/>
                          </a:prstGeom>
                        </pic:spPr>
                      </pic:pic>
                    </a:graphicData>
                  </a:graphic>
                </wp:inline>
              </w:drawing>
            </w:r>
          </w:p>
        </w:tc>
      </w:tr>
    </w:tbl>
    <w:p w14:paraId="56E42A87" w14:textId="77777777" w:rsidR="00BA4FCE" w:rsidRPr="004635E5" w:rsidRDefault="00BA4FCE" w:rsidP="006633A8">
      <w:pPr>
        <w:widowControl w:val="0"/>
        <w:autoSpaceDE w:val="0"/>
        <w:autoSpaceDN w:val="0"/>
        <w:adjustRightInd w:val="0"/>
        <w:snapToGrid w:val="0"/>
        <w:rPr>
          <w:bCs/>
          <w:sz w:val="22"/>
          <w:szCs w:val="22"/>
        </w:rPr>
      </w:pPr>
    </w:p>
    <w:p w14:paraId="0A40626D" w14:textId="77777777" w:rsidR="00BA4FCE" w:rsidRPr="004635E5" w:rsidRDefault="00BA4FCE" w:rsidP="006633A8">
      <w:pPr>
        <w:adjustRightInd w:val="0"/>
        <w:snapToGrid w:val="0"/>
        <w:ind w:right="99"/>
        <w:jc w:val="both"/>
        <w:rPr>
          <w:rFonts w:eastAsia="MS PMincho"/>
          <w:sz w:val="22"/>
          <w:szCs w:val="22"/>
        </w:rPr>
      </w:pPr>
      <w:r w:rsidRPr="004635E5">
        <w:rPr>
          <w:rFonts w:eastAsia="MS PMincho"/>
          <w:b/>
          <w:sz w:val="22"/>
          <w:szCs w:val="22"/>
        </w:rPr>
        <w:t xml:space="preserve">Figure BET-5. </w:t>
      </w:r>
      <w:r w:rsidRPr="004635E5">
        <w:rPr>
          <w:rFonts w:eastAsia="MS PMincho"/>
          <w:sz w:val="22"/>
          <w:szCs w:val="22"/>
        </w:rPr>
        <w:t xml:space="preserve">Kobe plot summarising the results for each of the models in the structural uncertainty grid. </w:t>
      </w:r>
      <w:r w:rsidRPr="004635E5">
        <w:rPr>
          <w:rFonts w:eastAsia="MS PMincho"/>
          <w:position w:val="2"/>
          <w:sz w:val="22"/>
          <w:szCs w:val="22"/>
        </w:rPr>
        <w:t xml:space="preserve">In the upper panel, the points represent </w:t>
      </w:r>
      <w:r w:rsidRPr="004635E5">
        <w:rPr>
          <w:rFonts w:eastAsia="MS PMincho"/>
          <w:i/>
          <w:position w:val="2"/>
          <w:sz w:val="22"/>
          <w:szCs w:val="22"/>
        </w:rPr>
        <w:t>SB</w:t>
      </w:r>
      <w:r w:rsidRPr="004E1B05">
        <w:rPr>
          <w:rFonts w:eastAsia="MS PMincho"/>
          <w:i/>
          <w:sz w:val="22"/>
          <w:szCs w:val="22"/>
          <w:vertAlign w:val="subscript"/>
        </w:rPr>
        <w:t>recent</w:t>
      </w:r>
      <w:r w:rsidRPr="004635E5">
        <w:rPr>
          <w:rFonts w:eastAsia="MS PMincho"/>
          <w:i/>
          <w:position w:val="2"/>
          <w:sz w:val="22"/>
          <w:szCs w:val="22"/>
        </w:rPr>
        <w:t>/SB</w:t>
      </w:r>
      <w:r w:rsidRPr="004E1B05">
        <w:rPr>
          <w:rFonts w:eastAsia="MS PMincho"/>
          <w:i/>
          <w:sz w:val="22"/>
          <w:szCs w:val="22"/>
          <w:vertAlign w:val="subscript"/>
        </w:rPr>
        <w:t>MSY</w:t>
      </w:r>
      <w:r w:rsidRPr="004635E5">
        <w:rPr>
          <w:rFonts w:eastAsia="MS PMincho"/>
          <w:position w:val="2"/>
          <w:sz w:val="22"/>
          <w:szCs w:val="22"/>
        </w:rPr>
        <w:t xml:space="preserve">, where </w:t>
      </w:r>
      <w:r w:rsidRPr="004635E5">
        <w:rPr>
          <w:rFonts w:eastAsia="MS PMincho"/>
          <w:i/>
          <w:position w:val="2"/>
          <w:sz w:val="22"/>
          <w:szCs w:val="22"/>
        </w:rPr>
        <w:t>SB</w:t>
      </w:r>
      <w:r w:rsidRPr="004E1B05">
        <w:rPr>
          <w:rFonts w:eastAsia="MS PMincho"/>
          <w:i/>
          <w:sz w:val="22"/>
          <w:szCs w:val="22"/>
          <w:vertAlign w:val="subscript"/>
        </w:rPr>
        <w:t>recent</w:t>
      </w:r>
      <w:r w:rsidRPr="004E1B05">
        <w:rPr>
          <w:rFonts w:eastAsia="MS PMincho"/>
          <w:position w:val="2"/>
          <w:sz w:val="22"/>
          <w:szCs w:val="22"/>
          <w:vertAlign w:val="subscript"/>
        </w:rPr>
        <w:t xml:space="preserve"> </w:t>
      </w:r>
      <w:r w:rsidRPr="004635E5">
        <w:rPr>
          <w:rFonts w:eastAsia="MS PMincho"/>
          <w:position w:val="2"/>
          <w:sz w:val="22"/>
          <w:szCs w:val="22"/>
        </w:rPr>
        <w:t xml:space="preserve">is the mean </w:t>
      </w:r>
      <w:r w:rsidRPr="004635E5">
        <w:rPr>
          <w:rFonts w:eastAsia="MS PMincho"/>
          <w:i/>
          <w:position w:val="2"/>
          <w:sz w:val="22"/>
          <w:szCs w:val="22"/>
        </w:rPr>
        <w:t xml:space="preserve">SB </w:t>
      </w:r>
      <w:r w:rsidRPr="004635E5">
        <w:rPr>
          <w:rFonts w:eastAsia="MS PMincho"/>
          <w:position w:val="2"/>
          <w:sz w:val="22"/>
          <w:szCs w:val="22"/>
        </w:rPr>
        <w:t xml:space="preserve">over 2012-2015. In the lower panel, the points represent </w:t>
      </w:r>
      <w:r w:rsidRPr="004635E5">
        <w:rPr>
          <w:rFonts w:eastAsia="MS PMincho"/>
          <w:i/>
          <w:position w:val="2"/>
          <w:sz w:val="22"/>
          <w:szCs w:val="22"/>
        </w:rPr>
        <w:t>SB</w:t>
      </w:r>
      <w:r w:rsidRPr="004635E5">
        <w:rPr>
          <w:rFonts w:eastAsia="MS PMincho"/>
          <w:i/>
          <w:position w:val="2"/>
          <w:sz w:val="22"/>
          <w:szCs w:val="22"/>
          <w:vertAlign w:val="subscript"/>
        </w:rPr>
        <w:t>latest</w:t>
      </w:r>
      <w:r w:rsidRPr="004635E5">
        <w:rPr>
          <w:rFonts w:eastAsia="MS PMincho"/>
          <w:i/>
          <w:position w:val="2"/>
          <w:sz w:val="22"/>
          <w:szCs w:val="22"/>
        </w:rPr>
        <w:t>/SB</w:t>
      </w:r>
      <w:r w:rsidRPr="004635E5">
        <w:rPr>
          <w:rFonts w:eastAsia="MS PMincho"/>
          <w:i/>
          <w:position w:val="2"/>
          <w:sz w:val="22"/>
          <w:szCs w:val="22"/>
          <w:vertAlign w:val="subscript"/>
        </w:rPr>
        <w:t>MSY</w:t>
      </w:r>
      <w:r w:rsidRPr="004635E5">
        <w:rPr>
          <w:rFonts w:eastAsia="MS PMincho"/>
          <w:position w:val="2"/>
          <w:sz w:val="22"/>
          <w:szCs w:val="22"/>
        </w:rPr>
        <w:t xml:space="preserve">, where </w:t>
      </w:r>
      <w:r w:rsidRPr="004635E5">
        <w:rPr>
          <w:rFonts w:eastAsia="MS PMincho"/>
          <w:i/>
          <w:position w:val="2"/>
          <w:sz w:val="22"/>
          <w:szCs w:val="22"/>
        </w:rPr>
        <w:t>SB</w:t>
      </w:r>
      <w:r w:rsidRPr="004635E5">
        <w:rPr>
          <w:rFonts w:eastAsia="MS PMincho"/>
          <w:i/>
          <w:position w:val="2"/>
          <w:sz w:val="22"/>
          <w:szCs w:val="22"/>
          <w:vertAlign w:val="subscript"/>
        </w:rPr>
        <w:t>latest</w:t>
      </w:r>
      <w:r w:rsidRPr="004635E5">
        <w:rPr>
          <w:rFonts w:eastAsia="MS PMincho"/>
          <w:position w:val="2"/>
          <w:sz w:val="22"/>
          <w:szCs w:val="22"/>
        </w:rPr>
        <w:t xml:space="preserve"> is from 2015.</w:t>
      </w:r>
    </w:p>
    <w:p w14:paraId="630C99DB" w14:textId="77777777" w:rsidR="00BA4FCE" w:rsidRPr="004635E5" w:rsidRDefault="00BA4FCE" w:rsidP="006633A8">
      <w:pPr>
        <w:adjustRightInd w:val="0"/>
        <w:snapToGrid w:val="0"/>
        <w:jc w:val="both"/>
        <w:rPr>
          <w:rFonts w:eastAsia="MS PMincho"/>
          <w:sz w:val="22"/>
          <w:szCs w:val="22"/>
        </w:rPr>
        <w:sectPr w:rsidR="00BA4FCE" w:rsidRPr="004635E5" w:rsidSect="00436E03">
          <w:type w:val="continuous"/>
          <w:pgSz w:w="12240" w:h="15840" w:code="1"/>
          <w:pgMar w:top="1440" w:right="1440" w:bottom="1440" w:left="1440" w:header="720" w:footer="720" w:gutter="0"/>
          <w:cols w:space="720"/>
        </w:sectPr>
      </w:pPr>
    </w:p>
    <w:p w14:paraId="7577517A" w14:textId="77777777" w:rsidR="00BA4FCE" w:rsidRPr="004635E5" w:rsidRDefault="00BA4FCE" w:rsidP="006633A8">
      <w:pPr>
        <w:widowControl w:val="0"/>
        <w:autoSpaceDE w:val="0"/>
        <w:autoSpaceDN w:val="0"/>
        <w:adjustRightInd w:val="0"/>
        <w:snapToGrid w:val="0"/>
        <w:rPr>
          <w:bCs/>
          <w:sz w:val="22"/>
          <w:szCs w:val="22"/>
        </w:rPr>
      </w:pPr>
    </w:p>
    <w:p w14:paraId="7D7DBD3D" w14:textId="77777777" w:rsidR="00BA4FCE" w:rsidRPr="004635E5" w:rsidRDefault="00BA4FCE" w:rsidP="006633A8">
      <w:pPr>
        <w:adjustRightInd w:val="0"/>
        <w:snapToGrid w:val="0"/>
        <w:ind w:right="116"/>
        <w:jc w:val="both"/>
        <w:rPr>
          <w:bCs/>
          <w:sz w:val="22"/>
          <w:szCs w:val="22"/>
        </w:rPr>
      </w:pPr>
      <w:r w:rsidRPr="004635E5">
        <w:rPr>
          <w:rFonts w:eastAsia="MS PMincho"/>
          <w:b/>
          <w:sz w:val="22"/>
          <w:szCs w:val="22"/>
        </w:rPr>
        <w:t>Table</w:t>
      </w:r>
      <w:r w:rsidRPr="004635E5">
        <w:rPr>
          <w:rFonts w:eastAsia="MS PMincho"/>
          <w:b/>
          <w:spacing w:val="-8"/>
          <w:sz w:val="22"/>
          <w:szCs w:val="22"/>
        </w:rPr>
        <w:t xml:space="preserve"> </w:t>
      </w:r>
      <w:r w:rsidRPr="004635E5">
        <w:rPr>
          <w:rFonts w:eastAsia="MS PMincho"/>
          <w:b/>
          <w:sz w:val="22"/>
          <w:szCs w:val="22"/>
        </w:rPr>
        <w:t>BET-2.</w:t>
      </w:r>
      <w:r w:rsidRPr="004635E5">
        <w:rPr>
          <w:rFonts w:eastAsia="MS PMincho"/>
          <w:b/>
          <w:spacing w:val="-6"/>
          <w:sz w:val="22"/>
          <w:szCs w:val="22"/>
        </w:rPr>
        <w:t xml:space="preserve"> </w:t>
      </w:r>
      <w:r w:rsidRPr="004635E5">
        <w:rPr>
          <w:rFonts w:eastAsia="MS PMincho"/>
          <w:sz w:val="22"/>
          <w:szCs w:val="22"/>
        </w:rPr>
        <w:t>Summary</w:t>
      </w:r>
      <w:r w:rsidRPr="004635E5">
        <w:rPr>
          <w:rFonts w:eastAsia="MS PMincho"/>
          <w:spacing w:val="-8"/>
          <w:sz w:val="22"/>
          <w:szCs w:val="22"/>
        </w:rPr>
        <w:t xml:space="preserve"> </w:t>
      </w:r>
      <w:r w:rsidRPr="004635E5">
        <w:rPr>
          <w:rFonts w:eastAsia="MS PMincho"/>
          <w:sz w:val="22"/>
          <w:szCs w:val="22"/>
        </w:rPr>
        <w:t>of</w:t>
      </w:r>
      <w:r w:rsidRPr="004635E5">
        <w:rPr>
          <w:rFonts w:eastAsia="MS PMincho"/>
          <w:spacing w:val="-5"/>
          <w:sz w:val="22"/>
          <w:szCs w:val="22"/>
        </w:rPr>
        <w:t xml:space="preserve"> </w:t>
      </w:r>
      <w:r w:rsidRPr="004635E5">
        <w:rPr>
          <w:rFonts w:eastAsia="MS PMincho"/>
          <w:sz w:val="22"/>
          <w:szCs w:val="22"/>
        </w:rPr>
        <w:t>reference</w:t>
      </w:r>
      <w:r w:rsidRPr="004635E5">
        <w:rPr>
          <w:rFonts w:eastAsia="MS PMincho"/>
          <w:spacing w:val="-6"/>
          <w:sz w:val="22"/>
          <w:szCs w:val="22"/>
        </w:rPr>
        <w:t xml:space="preserve"> </w:t>
      </w:r>
      <w:r w:rsidRPr="004635E5">
        <w:rPr>
          <w:rFonts w:eastAsia="MS PMincho"/>
          <w:sz w:val="22"/>
          <w:szCs w:val="22"/>
        </w:rPr>
        <w:t>points</w:t>
      </w:r>
      <w:r w:rsidRPr="004635E5">
        <w:rPr>
          <w:rFonts w:eastAsia="MS PMincho"/>
          <w:spacing w:val="-5"/>
          <w:sz w:val="22"/>
          <w:szCs w:val="22"/>
        </w:rPr>
        <w:t xml:space="preserve"> </w:t>
      </w:r>
      <w:r w:rsidRPr="004635E5">
        <w:rPr>
          <w:rFonts w:eastAsia="MS PMincho"/>
          <w:sz w:val="22"/>
          <w:szCs w:val="22"/>
        </w:rPr>
        <w:t>over</w:t>
      </w:r>
      <w:r w:rsidRPr="004635E5">
        <w:rPr>
          <w:rFonts w:eastAsia="MS PMincho"/>
          <w:spacing w:val="-5"/>
          <w:sz w:val="22"/>
          <w:szCs w:val="22"/>
        </w:rPr>
        <w:t xml:space="preserve"> </w:t>
      </w:r>
      <w:r w:rsidRPr="004635E5">
        <w:rPr>
          <w:rFonts w:eastAsia="MS PMincho"/>
          <w:sz w:val="22"/>
          <w:szCs w:val="22"/>
        </w:rPr>
        <w:t>the</w:t>
      </w:r>
      <w:r w:rsidRPr="004635E5">
        <w:rPr>
          <w:rFonts w:eastAsia="MS PMincho"/>
          <w:spacing w:val="-6"/>
          <w:sz w:val="22"/>
          <w:szCs w:val="22"/>
        </w:rPr>
        <w:t xml:space="preserve"> </w:t>
      </w:r>
      <w:r w:rsidRPr="004635E5">
        <w:rPr>
          <w:rFonts w:eastAsia="MS PMincho"/>
          <w:sz w:val="22"/>
          <w:szCs w:val="22"/>
        </w:rPr>
        <w:t>36</w:t>
      </w:r>
      <w:r w:rsidRPr="004635E5">
        <w:rPr>
          <w:rFonts w:eastAsia="MS PMincho"/>
          <w:spacing w:val="-6"/>
          <w:sz w:val="22"/>
          <w:szCs w:val="22"/>
        </w:rPr>
        <w:t xml:space="preserve"> </w:t>
      </w:r>
      <w:r w:rsidRPr="004635E5">
        <w:rPr>
          <w:rFonts w:eastAsia="MS PMincho"/>
          <w:sz w:val="22"/>
          <w:szCs w:val="22"/>
        </w:rPr>
        <w:t>models</w:t>
      </w:r>
      <w:r w:rsidRPr="004635E5">
        <w:rPr>
          <w:rFonts w:eastAsia="MS PMincho"/>
          <w:spacing w:val="-4"/>
          <w:sz w:val="22"/>
          <w:szCs w:val="22"/>
        </w:rPr>
        <w:t xml:space="preserve"> </w:t>
      </w:r>
      <w:r w:rsidRPr="004635E5">
        <w:rPr>
          <w:rFonts w:eastAsia="MS PMincho"/>
          <w:sz w:val="22"/>
          <w:szCs w:val="22"/>
        </w:rPr>
        <w:t>in</w:t>
      </w:r>
      <w:r w:rsidRPr="004635E5">
        <w:rPr>
          <w:rFonts w:eastAsia="MS PMincho"/>
          <w:spacing w:val="-6"/>
          <w:sz w:val="22"/>
          <w:szCs w:val="22"/>
        </w:rPr>
        <w:t xml:space="preserve"> </w:t>
      </w:r>
      <w:r w:rsidRPr="004635E5">
        <w:rPr>
          <w:rFonts w:eastAsia="MS PMincho"/>
          <w:sz w:val="22"/>
          <w:szCs w:val="22"/>
        </w:rPr>
        <w:t>the</w:t>
      </w:r>
      <w:r w:rsidRPr="004635E5">
        <w:rPr>
          <w:rFonts w:eastAsia="MS PMincho"/>
          <w:spacing w:val="-6"/>
          <w:sz w:val="22"/>
          <w:szCs w:val="22"/>
        </w:rPr>
        <w:t xml:space="preserve"> </w:t>
      </w:r>
      <w:r w:rsidRPr="004635E5">
        <w:rPr>
          <w:rFonts w:eastAsia="MS PMincho"/>
          <w:sz w:val="22"/>
          <w:szCs w:val="22"/>
        </w:rPr>
        <w:t>structural</w:t>
      </w:r>
      <w:r w:rsidRPr="004635E5">
        <w:rPr>
          <w:rFonts w:eastAsia="MS PMincho"/>
          <w:spacing w:val="-5"/>
          <w:sz w:val="22"/>
          <w:szCs w:val="22"/>
        </w:rPr>
        <w:t xml:space="preserve"> </w:t>
      </w:r>
      <w:r w:rsidRPr="004635E5">
        <w:rPr>
          <w:rFonts w:eastAsia="MS PMincho"/>
          <w:sz w:val="22"/>
          <w:szCs w:val="22"/>
        </w:rPr>
        <w:t>uncertainty</w:t>
      </w:r>
      <w:r w:rsidRPr="004635E5">
        <w:rPr>
          <w:rFonts w:eastAsia="MS PMincho"/>
          <w:spacing w:val="-8"/>
          <w:sz w:val="22"/>
          <w:szCs w:val="22"/>
        </w:rPr>
        <w:t xml:space="preserve"> </w:t>
      </w:r>
      <w:r w:rsidRPr="004635E5">
        <w:rPr>
          <w:rFonts w:eastAsia="MS PMincho"/>
          <w:sz w:val="22"/>
          <w:szCs w:val="22"/>
        </w:rPr>
        <w:t>grid</w:t>
      </w:r>
      <w:r w:rsidRPr="004635E5">
        <w:rPr>
          <w:rFonts w:eastAsia="MS PMincho"/>
          <w:position w:val="2"/>
          <w:sz w:val="22"/>
          <w:szCs w:val="22"/>
        </w:rPr>
        <w:t>.</w:t>
      </w:r>
      <w:r w:rsidRPr="004635E5">
        <w:rPr>
          <w:rFonts w:eastAsia="MS PMincho"/>
          <w:spacing w:val="-6"/>
          <w:position w:val="2"/>
          <w:sz w:val="22"/>
          <w:szCs w:val="22"/>
        </w:rPr>
        <w:t xml:space="preserve"> </w:t>
      </w:r>
      <w:r w:rsidRPr="004635E5">
        <w:rPr>
          <w:rFonts w:eastAsia="MS PMincho"/>
          <w:position w:val="2"/>
          <w:sz w:val="22"/>
          <w:szCs w:val="22"/>
        </w:rPr>
        <w:t>Note</w:t>
      </w:r>
      <w:r w:rsidRPr="004635E5">
        <w:rPr>
          <w:rFonts w:eastAsia="MS PMincho"/>
          <w:spacing w:val="-6"/>
          <w:position w:val="2"/>
          <w:sz w:val="22"/>
          <w:szCs w:val="22"/>
        </w:rPr>
        <w:t xml:space="preserve"> </w:t>
      </w:r>
      <w:r w:rsidRPr="004635E5">
        <w:rPr>
          <w:rFonts w:eastAsia="MS PMincho"/>
          <w:position w:val="2"/>
          <w:sz w:val="22"/>
          <w:szCs w:val="22"/>
        </w:rPr>
        <w:t>that</w:t>
      </w:r>
      <w:r w:rsidRPr="004635E5">
        <w:rPr>
          <w:rFonts w:eastAsia="MS PMincho"/>
          <w:spacing w:val="-6"/>
          <w:position w:val="2"/>
          <w:sz w:val="22"/>
          <w:szCs w:val="22"/>
        </w:rPr>
        <w:t xml:space="preserve"> </w:t>
      </w:r>
      <w:r w:rsidRPr="004635E5">
        <w:rPr>
          <w:rFonts w:eastAsia="MS PMincho"/>
          <w:i/>
          <w:position w:val="2"/>
          <w:sz w:val="22"/>
          <w:szCs w:val="22"/>
        </w:rPr>
        <w:t>SB</w:t>
      </w:r>
      <w:r w:rsidRPr="004E1B05">
        <w:rPr>
          <w:rFonts w:eastAsia="MS PMincho"/>
          <w:i/>
          <w:sz w:val="22"/>
          <w:szCs w:val="22"/>
          <w:vertAlign w:val="subscript"/>
        </w:rPr>
        <w:t>recent</w:t>
      </w:r>
      <w:r w:rsidRPr="004635E5">
        <w:rPr>
          <w:rFonts w:eastAsia="MS PMincho"/>
          <w:i/>
          <w:position w:val="2"/>
          <w:sz w:val="22"/>
          <w:szCs w:val="22"/>
        </w:rPr>
        <w:t>/SB</w:t>
      </w:r>
      <w:r w:rsidRPr="004E1B05">
        <w:rPr>
          <w:rFonts w:eastAsia="MS PMincho"/>
          <w:i/>
          <w:sz w:val="22"/>
          <w:szCs w:val="22"/>
          <w:vertAlign w:val="subscript"/>
        </w:rPr>
        <w:t>F=0</w:t>
      </w:r>
      <w:r w:rsidRPr="004635E5">
        <w:rPr>
          <w:rFonts w:eastAsia="MS PMincho"/>
          <w:i/>
          <w:spacing w:val="14"/>
          <w:sz w:val="22"/>
          <w:szCs w:val="22"/>
        </w:rPr>
        <w:t xml:space="preserve"> </w:t>
      </w:r>
      <w:r w:rsidRPr="004635E5">
        <w:rPr>
          <w:rFonts w:eastAsia="MS PMincho"/>
          <w:position w:val="2"/>
          <w:sz w:val="22"/>
          <w:szCs w:val="22"/>
        </w:rPr>
        <w:t>is</w:t>
      </w:r>
      <w:r w:rsidRPr="004635E5">
        <w:rPr>
          <w:rFonts w:eastAsia="MS PMincho"/>
          <w:spacing w:val="-5"/>
          <w:position w:val="2"/>
          <w:sz w:val="22"/>
          <w:szCs w:val="22"/>
        </w:rPr>
        <w:t xml:space="preserve"> </w:t>
      </w:r>
      <w:r w:rsidRPr="004635E5">
        <w:rPr>
          <w:rFonts w:eastAsia="MS PMincho"/>
          <w:position w:val="2"/>
          <w:sz w:val="22"/>
          <w:szCs w:val="22"/>
        </w:rPr>
        <w:t>calculated</w:t>
      </w:r>
      <w:r w:rsidRPr="004635E5">
        <w:rPr>
          <w:rFonts w:eastAsia="MS PMincho"/>
          <w:spacing w:val="-6"/>
          <w:position w:val="2"/>
          <w:sz w:val="22"/>
          <w:szCs w:val="22"/>
        </w:rPr>
        <w:t xml:space="preserve"> </w:t>
      </w:r>
      <w:r w:rsidRPr="004635E5">
        <w:rPr>
          <w:rFonts w:eastAsia="MS PMincho"/>
          <w:position w:val="2"/>
          <w:sz w:val="22"/>
          <w:szCs w:val="22"/>
        </w:rPr>
        <w:t>where</w:t>
      </w:r>
      <w:r w:rsidRPr="004635E5">
        <w:rPr>
          <w:rFonts w:eastAsia="MS PMincho"/>
          <w:spacing w:val="-4"/>
          <w:position w:val="2"/>
          <w:sz w:val="22"/>
          <w:szCs w:val="22"/>
        </w:rPr>
        <w:t xml:space="preserve"> </w:t>
      </w:r>
      <w:r w:rsidRPr="004635E5">
        <w:rPr>
          <w:rFonts w:eastAsia="MS PMincho"/>
          <w:i/>
          <w:position w:val="2"/>
          <w:sz w:val="22"/>
          <w:szCs w:val="22"/>
        </w:rPr>
        <w:t>SB</w:t>
      </w:r>
      <w:r w:rsidRPr="004E1B05">
        <w:rPr>
          <w:rFonts w:eastAsia="MS PMincho"/>
          <w:i/>
          <w:sz w:val="22"/>
          <w:szCs w:val="22"/>
          <w:vertAlign w:val="subscript"/>
        </w:rPr>
        <w:t>recent</w:t>
      </w:r>
      <w:r w:rsidRPr="004635E5">
        <w:rPr>
          <w:rFonts w:eastAsia="MS PMincho"/>
          <w:i/>
          <w:spacing w:val="14"/>
          <w:sz w:val="22"/>
          <w:szCs w:val="22"/>
        </w:rPr>
        <w:t xml:space="preserve"> </w:t>
      </w:r>
      <w:r w:rsidRPr="004635E5">
        <w:rPr>
          <w:rFonts w:eastAsia="MS PMincho"/>
          <w:position w:val="2"/>
          <w:sz w:val="22"/>
          <w:szCs w:val="22"/>
        </w:rPr>
        <w:t>is</w:t>
      </w:r>
      <w:r w:rsidRPr="004635E5">
        <w:rPr>
          <w:rFonts w:eastAsia="MS PMincho"/>
          <w:spacing w:val="-5"/>
          <w:position w:val="2"/>
          <w:sz w:val="22"/>
          <w:szCs w:val="22"/>
        </w:rPr>
        <w:t xml:space="preserve"> </w:t>
      </w:r>
      <w:r w:rsidRPr="004635E5">
        <w:rPr>
          <w:rFonts w:eastAsia="MS PMincho"/>
          <w:position w:val="2"/>
          <w:sz w:val="22"/>
          <w:szCs w:val="22"/>
        </w:rPr>
        <w:t>the</w:t>
      </w:r>
      <w:r w:rsidRPr="004635E5">
        <w:rPr>
          <w:rFonts w:eastAsia="MS PMincho"/>
          <w:spacing w:val="-6"/>
          <w:position w:val="2"/>
          <w:sz w:val="22"/>
          <w:szCs w:val="22"/>
        </w:rPr>
        <w:t xml:space="preserve"> </w:t>
      </w:r>
      <w:r w:rsidRPr="004635E5">
        <w:rPr>
          <w:rFonts w:eastAsia="MS PMincho"/>
          <w:position w:val="2"/>
          <w:sz w:val="22"/>
          <w:szCs w:val="22"/>
        </w:rPr>
        <w:t>mean</w:t>
      </w:r>
      <w:r w:rsidRPr="004635E5">
        <w:rPr>
          <w:rFonts w:eastAsia="MS PMincho"/>
          <w:spacing w:val="-5"/>
          <w:position w:val="2"/>
          <w:sz w:val="22"/>
          <w:szCs w:val="22"/>
        </w:rPr>
        <w:t xml:space="preserve"> </w:t>
      </w:r>
      <w:r w:rsidRPr="004635E5">
        <w:rPr>
          <w:rFonts w:eastAsia="MS PMincho"/>
          <w:i/>
          <w:position w:val="2"/>
          <w:sz w:val="22"/>
          <w:szCs w:val="22"/>
        </w:rPr>
        <w:t>SB</w:t>
      </w:r>
      <w:r w:rsidRPr="004635E5">
        <w:rPr>
          <w:rFonts w:eastAsia="MS PMincho"/>
          <w:i/>
          <w:spacing w:val="-6"/>
          <w:position w:val="2"/>
          <w:sz w:val="22"/>
          <w:szCs w:val="22"/>
        </w:rPr>
        <w:t xml:space="preserve"> </w:t>
      </w:r>
      <w:r w:rsidRPr="004635E5">
        <w:rPr>
          <w:rFonts w:eastAsia="MS PMincho"/>
          <w:position w:val="2"/>
          <w:sz w:val="22"/>
          <w:szCs w:val="22"/>
        </w:rPr>
        <w:t>over</w:t>
      </w:r>
      <w:r w:rsidRPr="004635E5">
        <w:rPr>
          <w:rFonts w:eastAsia="MS PMincho"/>
          <w:spacing w:val="-5"/>
          <w:position w:val="2"/>
          <w:sz w:val="22"/>
          <w:szCs w:val="22"/>
        </w:rPr>
        <w:t xml:space="preserve"> </w:t>
      </w:r>
      <w:r w:rsidRPr="004635E5">
        <w:rPr>
          <w:rFonts w:eastAsia="MS PMincho"/>
          <w:position w:val="2"/>
          <w:sz w:val="22"/>
          <w:szCs w:val="22"/>
        </w:rPr>
        <w:t>2012-2015</w:t>
      </w:r>
      <w:r w:rsidRPr="004635E5">
        <w:rPr>
          <w:rFonts w:eastAsia="MS PMincho"/>
          <w:spacing w:val="-5"/>
          <w:position w:val="2"/>
          <w:sz w:val="22"/>
          <w:szCs w:val="22"/>
        </w:rPr>
        <w:t xml:space="preserve"> </w:t>
      </w:r>
      <w:r w:rsidRPr="004635E5">
        <w:rPr>
          <w:rFonts w:eastAsia="MS PMincho"/>
          <w:sz w:val="22"/>
          <w:szCs w:val="22"/>
        </w:rPr>
        <w:t>at the request of the Scientific</w:t>
      </w:r>
      <w:r w:rsidRPr="004635E5">
        <w:rPr>
          <w:rFonts w:eastAsia="MS PMincho"/>
          <w:spacing w:val="-27"/>
          <w:sz w:val="22"/>
          <w:szCs w:val="22"/>
        </w:rPr>
        <w:t xml:space="preserve"> </w:t>
      </w:r>
      <w:r w:rsidRPr="004635E5">
        <w:rPr>
          <w:rFonts w:eastAsia="MS PMincho"/>
          <w:sz w:val="22"/>
          <w:szCs w:val="22"/>
        </w:rPr>
        <w:t>Committee.</w:t>
      </w:r>
    </w:p>
    <w:tbl>
      <w:tblPr>
        <w:tblW w:w="9580" w:type="dxa"/>
        <w:tblLook w:val="04A0" w:firstRow="1" w:lastRow="0" w:firstColumn="1" w:lastColumn="0" w:noHBand="0" w:noVBand="1"/>
      </w:tblPr>
      <w:tblGrid>
        <w:gridCol w:w="1843"/>
        <w:gridCol w:w="1096"/>
        <w:gridCol w:w="1368"/>
        <w:gridCol w:w="1368"/>
        <w:gridCol w:w="1368"/>
        <w:gridCol w:w="1368"/>
        <w:gridCol w:w="1368"/>
      </w:tblGrid>
      <w:tr w:rsidR="00BA4FCE" w:rsidRPr="004635E5" w14:paraId="1F706CBF" w14:textId="77777777" w:rsidTr="00BA4FCE">
        <w:trPr>
          <w:trHeight w:val="280"/>
        </w:trPr>
        <w:tc>
          <w:tcPr>
            <w:tcW w:w="1843" w:type="dxa"/>
            <w:tcBorders>
              <w:top w:val="single" w:sz="4" w:space="0" w:color="auto"/>
              <w:left w:val="nil"/>
              <w:bottom w:val="single" w:sz="4" w:space="0" w:color="auto"/>
              <w:right w:val="nil"/>
            </w:tcBorders>
            <w:shd w:val="clear" w:color="auto" w:fill="auto"/>
            <w:noWrap/>
            <w:vAlign w:val="bottom"/>
            <w:hideMark/>
          </w:tcPr>
          <w:p w14:paraId="5BD1BA2E" w14:textId="77777777" w:rsidR="00BA4FCE" w:rsidRPr="004635E5" w:rsidRDefault="00BA4FCE" w:rsidP="006633A8">
            <w:pPr>
              <w:adjustRightInd w:val="0"/>
              <w:snapToGrid w:val="0"/>
              <w:rPr>
                <w:rFonts w:eastAsia="MS PMincho"/>
                <w:i/>
                <w:sz w:val="22"/>
                <w:szCs w:val="22"/>
                <w:lang w:val="en-AU"/>
              </w:rPr>
            </w:pPr>
          </w:p>
        </w:tc>
        <w:tc>
          <w:tcPr>
            <w:tcW w:w="897" w:type="dxa"/>
            <w:tcBorders>
              <w:top w:val="single" w:sz="4" w:space="0" w:color="auto"/>
              <w:left w:val="nil"/>
              <w:bottom w:val="single" w:sz="4" w:space="0" w:color="auto"/>
              <w:right w:val="nil"/>
            </w:tcBorders>
            <w:shd w:val="clear" w:color="auto" w:fill="auto"/>
            <w:noWrap/>
            <w:vAlign w:val="bottom"/>
            <w:hideMark/>
          </w:tcPr>
          <w:p w14:paraId="17E05BA4" w14:textId="77777777" w:rsidR="00BA4FCE" w:rsidRPr="004635E5" w:rsidRDefault="00BA4FCE" w:rsidP="006633A8">
            <w:pPr>
              <w:adjustRightInd w:val="0"/>
              <w:snapToGrid w:val="0"/>
              <w:jc w:val="center"/>
              <w:rPr>
                <w:color w:val="000000"/>
                <w:sz w:val="22"/>
                <w:szCs w:val="22"/>
                <w:lang w:val="en-AU"/>
              </w:rPr>
            </w:pPr>
            <w:r w:rsidRPr="004635E5">
              <w:rPr>
                <w:color w:val="000000"/>
                <w:sz w:val="22"/>
                <w:szCs w:val="22"/>
                <w:lang w:val="en-AU"/>
              </w:rPr>
              <w:t>Mean</w:t>
            </w:r>
          </w:p>
        </w:tc>
        <w:tc>
          <w:tcPr>
            <w:tcW w:w="1368" w:type="dxa"/>
            <w:tcBorders>
              <w:top w:val="single" w:sz="4" w:space="0" w:color="auto"/>
              <w:left w:val="nil"/>
              <w:bottom w:val="single" w:sz="4" w:space="0" w:color="auto"/>
              <w:right w:val="nil"/>
            </w:tcBorders>
            <w:shd w:val="clear" w:color="auto" w:fill="auto"/>
            <w:noWrap/>
            <w:vAlign w:val="bottom"/>
            <w:hideMark/>
          </w:tcPr>
          <w:p w14:paraId="15286FC2" w14:textId="77777777" w:rsidR="00BA4FCE" w:rsidRPr="004635E5" w:rsidRDefault="00BA4FCE" w:rsidP="006633A8">
            <w:pPr>
              <w:adjustRightInd w:val="0"/>
              <w:snapToGrid w:val="0"/>
              <w:jc w:val="center"/>
              <w:rPr>
                <w:color w:val="000000"/>
                <w:sz w:val="22"/>
                <w:szCs w:val="22"/>
                <w:lang w:val="en-AU"/>
              </w:rPr>
            </w:pPr>
            <w:r w:rsidRPr="004635E5">
              <w:rPr>
                <w:color w:val="000000"/>
                <w:sz w:val="22"/>
                <w:szCs w:val="22"/>
                <w:lang w:val="en-AU"/>
              </w:rPr>
              <w:t>Median</w:t>
            </w:r>
          </w:p>
        </w:tc>
        <w:tc>
          <w:tcPr>
            <w:tcW w:w="1368" w:type="dxa"/>
            <w:tcBorders>
              <w:top w:val="single" w:sz="4" w:space="0" w:color="auto"/>
              <w:left w:val="nil"/>
              <w:bottom w:val="single" w:sz="4" w:space="0" w:color="auto"/>
              <w:right w:val="nil"/>
            </w:tcBorders>
            <w:shd w:val="clear" w:color="auto" w:fill="auto"/>
            <w:noWrap/>
            <w:vAlign w:val="bottom"/>
            <w:hideMark/>
          </w:tcPr>
          <w:p w14:paraId="4B541C66" w14:textId="77777777" w:rsidR="00BA4FCE" w:rsidRPr="004635E5" w:rsidRDefault="00BA4FCE" w:rsidP="006633A8">
            <w:pPr>
              <w:adjustRightInd w:val="0"/>
              <w:snapToGrid w:val="0"/>
              <w:jc w:val="center"/>
              <w:rPr>
                <w:color w:val="000000"/>
                <w:sz w:val="22"/>
                <w:szCs w:val="22"/>
                <w:lang w:val="en-AU"/>
              </w:rPr>
            </w:pPr>
            <w:r w:rsidRPr="004635E5">
              <w:rPr>
                <w:color w:val="000000"/>
                <w:sz w:val="22"/>
                <w:szCs w:val="22"/>
                <w:lang w:val="en-AU"/>
              </w:rPr>
              <w:t>Min</w:t>
            </w:r>
          </w:p>
        </w:tc>
        <w:tc>
          <w:tcPr>
            <w:tcW w:w="1368" w:type="dxa"/>
            <w:tcBorders>
              <w:top w:val="single" w:sz="4" w:space="0" w:color="auto"/>
              <w:left w:val="nil"/>
              <w:bottom w:val="single" w:sz="4" w:space="0" w:color="auto"/>
              <w:right w:val="nil"/>
            </w:tcBorders>
            <w:shd w:val="clear" w:color="auto" w:fill="auto"/>
            <w:noWrap/>
            <w:vAlign w:val="bottom"/>
            <w:hideMark/>
          </w:tcPr>
          <w:p w14:paraId="74D2545C" w14:textId="77777777" w:rsidR="00BA4FCE" w:rsidRPr="004635E5" w:rsidRDefault="00BA4FCE" w:rsidP="006633A8">
            <w:pPr>
              <w:adjustRightInd w:val="0"/>
              <w:snapToGrid w:val="0"/>
              <w:jc w:val="center"/>
              <w:rPr>
                <w:color w:val="000000"/>
                <w:sz w:val="22"/>
                <w:szCs w:val="22"/>
                <w:lang w:val="en-AU"/>
              </w:rPr>
            </w:pPr>
            <w:r w:rsidRPr="004635E5">
              <w:rPr>
                <w:color w:val="000000"/>
                <w:sz w:val="22"/>
                <w:szCs w:val="22"/>
                <w:lang w:val="en-AU"/>
              </w:rPr>
              <w:t>10%</w:t>
            </w:r>
          </w:p>
        </w:tc>
        <w:tc>
          <w:tcPr>
            <w:tcW w:w="1368" w:type="dxa"/>
            <w:tcBorders>
              <w:top w:val="single" w:sz="4" w:space="0" w:color="auto"/>
              <w:left w:val="nil"/>
              <w:bottom w:val="single" w:sz="4" w:space="0" w:color="auto"/>
              <w:right w:val="nil"/>
            </w:tcBorders>
            <w:shd w:val="clear" w:color="auto" w:fill="auto"/>
            <w:noWrap/>
            <w:vAlign w:val="bottom"/>
            <w:hideMark/>
          </w:tcPr>
          <w:p w14:paraId="43FB4F6C" w14:textId="77777777" w:rsidR="00BA4FCE" w:rsidRPr="004635E5" w:rsidRDefault="00BA4FCE" w:rsidP="006633A8">
            <w:pPr>
              <w:adjustRightInd w:val="0"/>
              <w:snapToGrid w:val="0"/>
              <w:jc w:val="center"/>
              <w:rPr>
                <w:color w:val="000000"/>
                <w:sz w:val="22"/>
                <w:szCs w:val="22"/>
                <w:lang w:val="en-AU"/>
              </w:rPr>
            </w:pPr>
            <w:r w:rsidRPr="004635E5">
              <w:rPr>
                <w:color w:val="000000"/>
                <w:sz w:val="22"/>
                <w:szCs w:val="22"/>
                <w:lang w:val="en-AU"/>
              </w:rPr>
              <w:t>90%</w:t>
            </w:r>
          </w:p>
        </w:tc>
        <w:tc>
          <w:tcPr>
            <w:tcW w:w="1368" w:type="dxa"/>
            <w:tcBorders>
              <w:top w:val="single" w:sz="4" w:space="0" w:color="auto"/>
              <w:left w:val="nil"/>
              <w:bottom w:val="single" w:sz="4" w:space="0" w:color="auto"/>
              <w:right w:val="nil"/>
            </w:tcBorders>
            <w:shd w:val="clear" w:color="auto" w:fill="auto"/>
            <w:noWrap/>
            <w:vAlign w:val="bottom"/>
            <w:hideMark/>
          </w:tcPr>
          <w:p w14:paraId="1B22C1C5" w14:textId="77777777" w:rsidR="00BA4FCE" w:rsidRPr="004635E5" w:rsidRDefault="00BA4FCE" w:rsidP="006633A8">
            <w:pPr>
              <w:adjustRightInd w:val="0"/>
              <w:snapToGrid w:val="0"/>
              <w:jc w:val="center"/>
              <w:rPr>
                <w:color w:val="000000"/>
                <w:sz w:val="22"/>
                <w:szCs w:val="22"/>
                <w:lang w:val="en-AU"/>
              </w:rPr>
            </w:pPr>
            <w:r w:rsidRPr="004635E5">
              <w:rPr>
                <w:color w:val="000000"/>
                <w:sz w:val="22"/>
                <w:szCs w:val="22"/>
                <w:lang w:val="en-AU"/>
              </w:rPr>
              <w:t>Max</w:t>
            </w:r>
          </w:p>
        </w:tc>
      </w:tr>
      <w:tr w:rsidR="00BA4FCE" w:rsidRPr="004635E5" w14:paraId="11112616" w14:textId="77777777" w:rsidTr="00BA4FCE">
        <w:trPr>
          <w:trHeight w:val="280"/>
        </w:trPr>
        <w:tc>
          <w:tcPr>
            <w:tcW w:w="1843" w:type="dxa"/>
            <w:tcBorders>
              <w:top w:val="single" w:sz="4" w:space="0" w:color="auto"/>
              <w:left w:val="nil"/>
              <w:bottom w:val="nil"/>
              <w:right w:val="nil"/>
            </w:tcBorders>
            <w:shd w:val="clear" w:color="auto" w:fill="auto"/>
            <w:noWrap/>
            <w:vAlign w:val="bottom"/>
            <w:hideMark/>
          </w:tcPr>
          <w:p w14:paraId="3708AE7C" w14:textId="77777777"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C</w:t>
            </w:r>
            <w:r w:rsidRPr="004635E5">
              <w:rPr>
                <w:i/>
                <w:color w:val="000000"/>
                <w:sz w:val="22"/>
                <w:szCs w:val="22"/>
                <w:vertAlign w:val="subscript"/>
                <w:lang w:val="en-AU"/>
              </w:rPr>
              <w:t>latest</w:t>
            </w:r>
          </w:p>
        </w:tc>
        <w:tc>
          <w:tcPr>
            <w:tcW w:w="897" w:type="dxa"/>
            <w:tcBorders>
              <w:top w:val="single" w:sz="4" w:space="0" w:color="auto"/>
              <w:left w:val="nil"/>
              <w:bottom w:val="nil"/>
              <w:right w:val="nil"/>
            </w:tcBorders>
            <w:shd w:val="clear" w:color="auto" w:fill="auto"/>
            <w:noWrap/>
            <w:vAlign w:val="bottom"/>
            <w:hideMark/>
          </w:tcPr>
          <w:p w14:paraId="631A8F61"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152,148</w:t>
            </w:r>
          </w:p>
        </w:tc>
        <w:tc>
          <w:tcPr>
            <w:tcW w:w="1368" w:type="dxa"/>
            <w:tcBorders>
              <w:top w:val="single" w:sz="4" w:space="0" w:color="auto"/>
              <w:left w:val="nil"/>
              <w:bottom w:val="nil"/>
              <w:right w:val="nil"/>
            </w:tcBorders>
            <w:shd w:val="clear" w:color="auto" w:fill="auto"/>
            <w:noWrap/>
            <w:vAlign w:val="bottom"/>
            <w:hideMark/>
          </w:tcPr>
          <w:p w14:paraId="0CFB6F42"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151,846</w:t>
            </w:r>
          </w:p>
        </w:tc>
        <w:tc>
          <w:tcPr>
            <w:tcW w:w="1368" w:type="dxa"/>
            <w:tcBorders>
              <w:top w:val="single" w:sz="4" w:space="0" w:color="auto"/>
              <w:left w:val="nil"/>
              <w:bottom w:val="nil"/>
              <w:right w:val="nil"/>
            </w:tcBorders>
            <w:shd w:val="clear" w:color="auto" w:fill="auto"/>
            <w:noWrap/>
            <w:vAlign w:val="bottom"/>
            <w:hideMark/>
          </w:tcPr>
          <w:p w14:paraId="24E7E37C"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148,888</w:t>
            </w:r>
          </w:p>
        </w:tc>
        <w:tc>
          <w:tcPr>
            <w:tcW w:w="1368" w:type="dxa"/>
            <w:tcBorders>
              <w:top w:val="single" w:sz="4" w:space="0" w:color="auto"/>
              <w:left w:val="nil"/>
              <w:bottom w:val="nil"/>
              <w:right w:val="nil"/>
            </w:tcBorders>
            <w:shd w:val="clear" w:color="auto" w:fill="auto"/>
            <w:noWrap/>
            <w:vAlign w:val="bottom"/>
            <w:hideMark/>
          </w:tcPr>
          <w:p w14:paraId="6F0EE1D6"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148,936</w:t>
            </w:r>
          </w:p>
        </w:tc>
        <w:tc>
          <w:tcPr>
            <w:tcW w:w="1368" w:type="dxa"/>
            <w:tcBorders>
              <w:top w:val="single" w:sz="4" w:space="0" w:color="auto"/>
              <w:left w:val="nil"/>
              <w:bottom w:val="nil"/>
              <w:right w:val="nil"/>
            </w:tcBorders>
            <w:shd w:val="clear" w:color="auto" w:fill="auto"/>
            <w:noWrap/>
            <w:vAlign w:val="bottom"/>
            <w:hideMark/>
          </w:tcPr>
          <w:p w14:paraId="28FACE1F"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154,971</w:t>
            </w:r>
          </w:p>
        </w:tc>
        <w:tc>
          <w:tcPr>
            <w:tcW w:w="1368" w:type="dxa"/>
            <w:tcBorders>
              <w:top w:val="single" w:sz="4" w:space="0" w:color="auto"/>
              <w:left w:val="nil"/>
              <w:bottom w:val="nil"/>
              <w:right w:val="nil"/>
            </w:tcBorders>
            <w:shd w:val="clear" w:color="auto" w:fill="auto"/>
            <w:noWrap/>
            <w:vAlign w:val="bottom"/>
            <w:hideMark/>
          </w:tcPr>
          <w:p w14:paraId="38C24D02"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155,577</w:t>
            </w:r>
          </w:p>
        </w:tc>
      </w:tr>
      <w:tr w:rsidR="00BA4FCE" w:rsidRPr="004635E5" w14:paraId="7305AF6E" w14:textId="77777777" w:rsidTr="00BA4FCE">
        <w:trPr>
          <w:trHeight w:val="280"/>
        </w:trPr>
        <w:tc>
          <w:tcPr>
            <w:tcW w:w="1843" w:type="dxa"/>
            <w:tcBorders>
              <w:top w:val="nil"/>
              <w:left w:val="nil"/>
              <w:bottom w:val="nil"/>
              <w:right w:val="nil"/>
            </w:tcBorders>
            <w:shd w:val="clear" w:color="auto" w:fill="auto"/>
            <w:noWrap/>
            <w:vAlign w:val="bottom"/>
            <w:hideMark/>
          </w:tcPr>
          <w:p w14:paraId="59EEE418" w14:textId="77777777"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YF</w:t>
            </w:r>
            <w:r w:rsidRPr="004635E5">
              <w:rPr>
                <w:i/>
                <w:color w:val="000000"/>
                <w:sz w:val="22"/>
                <w:szCs w:val="22"/>
                <w:vertAlign w:val="subscript"/>
                <w:lang w:val="en-AU"/>
              </w:rPr>
              <w:t>recent</w:t>
            </w:r>
          </w:p>
        </w:tc>
        <w:tc>
          <w:tcPr>
            <w:tcW w:w="897" w:type="dxa"/>
            <w:tcBorders>
              <w:top w:val="nil"/>
              <w:left w:val="nil"/>
              <w:bottom w:val="nil"/>
              <w:right w:val="nil"/>
            </w:tcBorders>
            <w:shd w:val="clear" w:color="auto" w:fill="auto"/>
            <w:noWrap/>
            <w:vAlign w:val="bottom"/>
            <w:hideMark/>
          </w:tcPr>
          <w:p w14:paraId="3CB15F36"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154,180</w:t>
            </w:r>
          </w:p>
        </w:tc>
        <w:tc>
          <w:tcPr>
            <w:tcW w:w="1368" w:type="dxa"/>
            <w:tcBorders>
              <w:top w:val="nil"/>
              <w:left w:val="nil"/>
              <w:bottom w:val="nil"/>
              <w:right w:val="nil"/>
            </w:tcBorders>
            <w:shd w:val="clear" w:color="auto" w:fill="auto"/>
            <w:noWrap/>
            <w:vAlign w:val="bottom"/>
            <w:hideMark/>
          </w:tcPr>
          <w:p w14:paraId="7B9E6312"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153,220</w:t>
            </w:r>
          </w:p>
        </w:tc>
        <w:tc>
          <w:tcPr>
            <w:tcW w:w="1368" w:type="dxa"/>
            <w:tcBorders>
              <w:top w:val="nil"/>
              <w:left w:val="nil"/>
              <w:bottom w:val="nil"/>
              <w:right w:val="nil"/>
            </w:tcBorders>
            <w:shd w:val="clear" w:color="auto" w:fill="auto"/>
            <w:noWrap/>
            <w:vAlign w:val="bottom"/>
            <w:hideMark/>
          </w:tcPr>
          <w:p w14:paraId="064B9C2F"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133</w:t>
            </w:r>
            <w:r w:rsidRPr="004635E5">
              <w:rPr>
                <w:color w:val="000000"/>
                <w:sz w:val="22"/>
                <w:szCs w:val="22"/>
                <w:lang w:val="en-AU"/>
              </w:rPr>
              <w:t>,120</w:t>
            </w:r>
          </w:p>
        </w:tc>
        <w:tc>
          <w:tcPr>
            <w:tcW w:w="1368" w:type="dxa"/>
            <w:tcBorders>
              <w:top w:val="nil"/>
              <w:left w:val="nil"/>
              <w:bottom w:val="nil"/>
              <w:right w:val="nil"/>
            </w:tcBorders>
            <w:shd w:val="clear" w:color="auto" w:fill="auto"/>
            <w:noWrap/>
            <w:vAlign w:val="bottom"/>
            <w:hideMark/>
          </w:tcPr>
          <w:p w14:paraId="1DB36741"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141,140</w:t>
            </w:r>
          </w:p>
        </w:tc>
        <w:tc>
          <w:tcPr>
            <w:tcW w:w="1368" w:type="dxa"/>
            <w:tcBorders>
              <w:top w:val="nil"/>
              <w:left w:val="nil"/>
              <w:bottom w:val="nil"/>
              <w:right w:val="nil"/>
            </w:tcBorders>
            <w:shd w:val="clear" w:color="auto" w:fill="auto"/>
            <w:noWrap/>
            <w:vAlign w:val="bottom"/>
            <w:hideMark/>
          </w:tcPr>
          <w:p w14:paraId="068CFA97"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170,720</w:t>
            </w:r>
          </w:p>
        </w:tc>
        <w:tc>
          <w:tcPr>
            <w:tcW w:w="1368" w:type="dxa"/>
            <w:tcBorders>
              <w:top w:val="nil"/>
              <w:left w:val="nil"/>
              <w:bottom w:val="nil"/>
              <w:right w:val="nil"/>
            </w:tcBorders>
            <w:shd w:val="clear" w:color="auto" w:fill="auto"/>
            <w:noWrap/>
            <w:vAlign w:val="bottom"/>
            <w:hideMark/>
          </w:tcPr>
          <w:p w14:paraId="69761B64"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172,280</w:t>
            </w:r>
          </w:p>
        </w:tc>
      </w:tr>
      <w:tr w:rsidR="00BA4FCE" w:rsidRPr="004635E5" w14:paraId="2DB586DF" w14:textId="77777777" w:rsidTr="00BA4FCE">
        <w:trPr>
          <w:trHeight w:val="280"/>
        </w:trPr>
        <w:tc>
          <w:tcPr>
            <w:tcW w:w="1843" w:type="dxa"/>
            <w:tcBorders>
              <w:top w:val="nil"/>
              <w:left w:val="nil"/>
              <w:bottom w:val="nil"/>
              <w:right w:val="nil"/>
            </w:tcBorders>
            <w:shd w:val="clear" w:color="auto" w:fill="auto"/>
            <w:noWrap/>
            <w:vAlign w:val="bottom"/>
            <w:hideMark/>
          </w:tcPr>
          <w:p w14:paraId="3C280293" w14:textId="77777777" w:rsidR="00BA4FCE" w:rsidRPr="004635E5" w:rsidRDefault="00BA4FCE" w:rsidP="006633A8">
            <w:pPr>
              <w:adjustRightInd w:val="0"/>
              <w:snapToGrid w:val="0"/>
              <w:rPr>
                <w:i/>
                <w:color w:val="000000"/>
                <w:sz w:val="22"/>
                <w:szCs w:val="22"/>
                <w:lang w:val="en-AU"/>
              </w:rPr>
            </w:pPr>
            <w:r w:rsidRPr="004635E5">
              <w:rPr>
                <w:i/>
                <w:iCs/>
                <w:color w:val="000000"/>
                <w:sz w:val="22"/>
                <w:szCs w:val="22"/>
                <w:lang w:val="en-AU" w:eastAsia="en-AU"/>
              </w:rPr>
              <w:t>f</w:t>
            </w:r>
            <w:r w:rsidRPr="004635E5">
              <w:rPr>
                <w:i/>
                <w:iCs/>
                <w:color w:val="000000"/>
                <w:sz w:val="22"/>
                <w:szCs w:val="22"/>
                <w:vertAlign w:val="subscript"/>
                <w:lang w:val="en-AU" w:eastAsia="en-AU"/>
              </w:rPr>
              <w:t>mult</w:t>
            </w:r>
          </w:p>
        </w:tc>
        <w:tc>
          <w:tcPr>
            <w:tcW w:w="897" w:type="dxa"/>
            <w:tcBorders>
              <w:top w:val="nil"/>
              <w:left w:val="nil"/>
              <w:bottom w:val="nil"/>
              <w:right w:val="nil"/>
            </w:tcBorders>
            <w:shd w:val="clear" w:color="auto" w:fill="auto"/>
            <w:noWrap/>
            <w:vAlign w:val="bottom"/>
            <w:hideMark/>
          </w:tcPr>
          <w:p w14:paraId="65F7A5BB"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1.291</w:t>
            </w:r>
          </w:p>
        </w:tc>
        <w:tc>
          <w:tcPr>
            <w:tcW w:w="1368" w:type="dxa"/>
            <w:tcBorders>
              <w:top w:val="nil"/>
              <w:left w:val="nil"/>
              <w:bottom w:val="nil"/>
              <w:right w:val="nil"/>
            </w:tcBorders>
            <w:shd w:val="clear" w:color="auto" w:fill="auto"/>
            <w:noWrap/>
            <w:vAlign w:val="bottom"/>
            <w:hideMark/>
          </w:tcPr>
          <w:p w14:paraId="689DD916"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1.301</w:t>
            </w:r>
          </w:p>
        </w:tc>
        <w:tc>
          <w:tcPr>
            <w:tcW w:w="1368" w:type="dxa"/>
            <w:tcBorders>
              <w:top w:val="nil"/>
              <w:left w:val="nil"/>
              <w:bottom w:val="nil"/>
              <w:right w:val="nil"/>
            </w:tcBorders>
            <w:shd w:val="clear" w:color="auto" w:fill="auto"/>
            <w:noWrap/>
            <w:vAlign w:val="bottom"/>
            <w:hideMark/>
          </w:tcPr>
          <w:p w14:paraId="0A9E1F40"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0.946</w:t>
            </w:r>
          </w:p>
        </w:tc>
        <w:tc>
          <w:tcPr>
            <w:tcW w:w="1368" w:type="dxa"/>
            <w:tcBorders>
              <w:top w:val="nil"/>
              <w:left w:val="nil"/>
              <w:bottom w:val="nil"/>
              <w:right w:val="nil"/>
            </w:tcBorders>
            <w:shd w:val="clear" w:color="auto" w:fill="auto"/>
            <w:noWrap/>
            <w:vAlign w:val="bottom"/>
            <w:hideMark/>
          </w:tcPr>
          <w:p w14:paraId="6F219032"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1.075</w:t>
            </w:r>
          </w:p>
        </w:tc>
        <w:tc>
          <w:tcPr>
            <w:tcW w:w="1368" w:type="dxa"/>
            <w:tcBorders>
              <w:top w:val="nil"/>
              <w:left w:val="nil"/>
              <w:bottom w:val="nil"/>
              <w:right w:val="nil"/>
            </w:tcBorders>
            <w:shd w:val="clear" w:color="auto" w:fill="auto"/>
            <w:noWrap/>
            <w:vAlign w:val="bottom"/>
            <w:hideMark/>
          </w:tcPr>
          <w:p w14:paraId="75A5C5F9"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1.499</w:t>
            </w:r>
          </w:p>
        </w:tc>
        <w:tc>
          <w:tcPr>
            <w:tcW w:w="1368" w:type="dxa"/>
            <w:tcBorders>
              <w:top w:val="nil"/>
              <w:left w:val="nil"/>
              <w:bottom w:val="nil"/>
              <w:right w:val="nil"/>
            </w:tcBorders>
            <w:shd w:val="clear" w:color="auto" w:fill="auto"/>
            <w:noWrap/>
            <w:vAlign w:val="bottom"/>
            <w:hideMark/>
          </w:tcPr>
          <w:p w14:paraId="73A8CC60"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1.690</w:t>
            </w:r>
          </w:p>
        </w:tc>
      </w:tr>
      <w:tr w:rsidR="00BA4FCE" w:rsidRPr="004635E5" w14:paraId="097001CB" w14:textId="77777777" w:rsidTr="00BA4FCE">
        <w:trPr>
          <w:trHeight w:val="280"/>
        </w:trPr>
        <w:tc>
          <w:tcPr>
            <w:tcW w:w="1843" w:type="dxa"/>
            <w:tcBorders>
              <w:top w:val="nil"/>
              <w:left w:val="nil"/>
              <w:bottom w:val="nil"/>
              <w:right w:val="nil"/>
            </w:tcBorders>
            <w:shd w:val="clear" w:color="auto" w:fill="auto"/>
            <w:noWrap/>
            <w:vAlign w:val="bottom"/>
            <w:hideMark/>
          </w:tcPr>
          <w:p w14:paraId="2803E690" w14:textId="77777777"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F</w:t>
            </w:r>
            <w:r w:rsidRPr="004635E5">
              <w:rPr>
                <w:i/>
                <w:color w:val="000000"/>
                <w:sz w:val="22"/>
                <w:szCs w:val="22"/>
                <w:vertAlign w:val="subscript"/>
                <w:lang w:val="en-AU"/>
              </w:rPr>
              <w:t>MSY</w:t>
            </w:r>
          </w:p>
        </w:tc>
        <w:tc>
          <w:tcPr>
            <w:tcW w:w="897" w:type="dxa"/>
            <w:tcBorders>
              <w:top w:val="nil"/>
              <w:left w:val="nil"/>
              <w:bottom w:val="nil"/>
              <w:right w:val="nil"/>
            </w:tcBorders>
            <w:shd w:val="clear" w:color="auto" w:fill="auto"/>
            <w:noWrap/>
            <w:vAlign w:val="bottom"/>
            <w:hideMark/>
          </w:tcPr>
          <w:p w14:paraId="38B0FC14"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0.050</w:t>
            </w:r>
          </w:p>
        </w:tc>
        <w:tc>
          <w:tcPr>
            <w:tcW w:w="1368" w:type="dxa"/>
            <w:tcBorders>
              <w:top w:val="nil"/>
              <w:left w:val="nil"/>
              <w:bottom w:val="nil"/>
              <w:right w:val="nil"/>
            </w:tcBorders>
            <w:shd w:val="clear" w:color="auto" w:fill="auto"/>
            <w:noWrap/>
            <w:vAlign w:val="bottom"/>
            <w:hideMark/>
          </w:tcPr>
          <w:p w14:paraId="78C355F7"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0.049</w:t>
            </w:r>
          </w:p>
        </w:tc>
        <w:tc>
          <w:tcPr>
            <w:tcW w:w="1368" w:type="dxa"/>
            <w:tcBorders>
              <w:top w:val="nil"/>
              <w:left w:val="nil"/>
              <w:bottom w:val="nil"/>
              <w:right w:val="nil"/>
            </w:tcBorders>
            <w:shd w:val="clear" w:color="auto" w:fill="auto"/>
            <w:noWrap/>
            <w:vAlign w:val="bottom"/>
            <w:hideMark/>
          </w:tcPr>
          <w:p w14:paraId="78C5E89A"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044</w:t>
            </w:r>
          </w:p>
        </w:tc>
        <w:tc>
          <w:tcPr>
            <w:tcW w:w="1368" w:type="dxa"/>
            <w:tcBorders>
              <w:top w:val="nil"/>
              <w:left w:val="nil"/>
              <w:bottom w:val="nil"/>
              <w:right w:val="nil"/>
            </w:tcBorders>
            <w:shd w:val="clear" w:color="auto" w:fill="auto"/>
            <w:noWrap/>
            <w:vAlign w:val="bottom"/>
            <w:hideMark/>
          </w:tcPr>
          <w:p w14:paraId="5B795028"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045</w:t>
            </w:r>
          </w:p>
        </w:tc>
        <w:tc>
          <w:tcPr>
            <w:tcW w:w="1368" w:type="dxa"/>
            <w:tcBorders>
              <w:top w:val="nil"/>
              <w:left w:val="nil"/>
              <w:bottom w:val="nil"/>
              <w:right w:val="nil"/>
            </w:tcBorders>
            <w:shd w:val="clear" w:color="auto" w:fill="auto"/>
            <w:noWrap/>
            <w:vAlign w:val="bottom"/>
            <w:hideMark/>
          </w:tcPr>
          <w:p w14:paraId="5805043E"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0.054</w:t>
            </w:r>
          </w:p>
        </w:tc>
        <w:tc>
          <w:tcPr>
            <w:tcW w:w="1368" w:type="dxa"/>
            <w:tcBorders>
              <w:top w:val="nil"/>
              <w:left w:val="nil"/>
              <w:bottom w:val="nil"/>
              <w:right w:val="nil"/>
            </w:tcBorders>
            <w:shd w:val="clear" w:color="auto" w:fill="auto"/>
            <w:noWrap/>
            <w:vAlign w:val="bottom"/>
            <w:hideMark/>
          </w:tcPr>
          <w:p w14:paraId="5380A613"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0.056</w:t>
            </w:r>
          </w:p>
        </w:tc>
      </w:tr>
      <w:tr w:rsidR="00BA4FCE" w:rsidRPr="004635E5" w14:paraId="773E1D15" w14:textId="77777777" w:rsidTr="00BA4FCE">
        <w:trPr>
          <w:trHeight w:val="280"/>
        </w:trPr>
        <w:tc>
          <w:tcPr>
            <w:tcW w:w="1843" w:type="dxa"/>
            <w:tcBorders>
              <w:top w:val="nil"/>
              <w:left w:val="nil"/>
              <w:bottom w:val="nil"/>
              <w:right w:val="nil"/>
            </w:tcBorders>
            <w:shd w:val="clear" w:color="auto" w:fill="auto"/>
            <w:noWrap/>
            <w:vAlign w:val="bottom"/>
            <w:hideMark/>
          </w:tcPr>
          <w:p w14:paraId="290188E3" w14:textId="77777777" w:rsidR="00BA4FCE" w:rsidRPr="004635E5" w:rsidRDefault="00BA4FCE" w:rsidP="006633A8">
            <w:pPr>
              <w:adjustRightInd w:val="0"/>
              <w:snapToGrid w:val="0"/>
              <w:rPr>
                <w:i/>
                <w:color w:val="000000"/>
                <w:sz w:val="22"/>
                <w:szCs w:val="22"/>
                <w:lang w:val="en-AU"/>
              </w:rPr>
            </w:pPr>
            <w:r w:rsidRPr="004635E5">
              <w:rPr>
                <w:i/>
                <w:color w:val="000000"/>
                <w:sz w:val="22"/>
                <w:szCs w:val="22"/>
                <w:lang w:val="en-AU" w:eastAsia="en-AU"/>
              </w:rPr>
              <w:t>MSY</w:t>
            </w:r>
          </w:p>
        </w:tc>
        <w:tc>
          <w:tcPr>
            <w:tcW w:w="897" w:type="dxa"/>
            <w:tcBorders>
              <w:top w:val="nil"/>
              <w:left w:val="nil"/>
              <w:bottom w:val="nil"/>
              <w:right w:val="nil"/>
            </w:tcBorders>
            <w:shd w:val="clear" w:color="auto" w:fill="auto"/>
            <w:noWrap/>
            <w:vAlign w:val="bottom"/>
            <w:hideMark/>
          </w:tcPr>
          <w:p w14:paraId="3AED3286"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158,551</w:t>
            </w:r>
          </w:p>
        </w:tc>
        <w:tc>
          <w:tcPr>
            <w:tcW w:w="1368" w:type="dxa"/>
            <w:tcBorders>
              <w:top w:val="nil"/>
              <w:left w:val="nil"/>
              <w:bottom w:val="nil"/>
              <w:right w:val="nil"/>
            </w:tcBorders>
            <w:shd w:val="clear" w:color="auto" w:fill="auto"/>
            <w:noWrap/>
            <w:vAlign w:val="bottom"/>
            <w:hideMark/>
          </w:tcPr>
          <w:p w14:paraId="38B81227"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159,020</w:t>
            </w:r>
          </w:p>
        </w:tc>
        <w:tc>
          <w:tcPr>
            <w:tcW w:w="1368" w:type="dxa"/>
            <w:tcBorders>
              <w:top w:val="nil"/>
              <w:left w:val="nil"/>
              <w:bottom w:val="nil"/>
              <w:right w:val="nil"/>
            </w:tcBorders>
            <w:shd w:val="clear" w:color="auto" w:fill="auto"/>
            <w:noWrap/>
            <w:vAlign w:val="bottom"/>
            <w:hideMark/>
          </w:tcPr>
          <w:p w14:paraId="089D22FC"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133,520</w:t>
            </w:r>
          </w:p>
        </w:tc>
        <w:tc>
          <w:tcPr>
            <w:tcW w:w="1368" w:type="dxa"/>
            <w:tcBorders>
              <w:top w:val="nil"/>
              <w:left w:val="nil"/>
              <w:bottom w:val="nil"/>
              <w:right w:val="nil"/>
            </w:tcBorders>
            <w:shd w:val="clear" w:color="auto" w:fill="auto"/>
            <w:noWrap/>
            <w:vAlign w:val="bottom"/>
            <w:hideMark/>
          </w:tcPr>
          <w:p w14:paraId="0F53D599"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143,040</w:t>
            </w:r>
          </w:p>
        </w:tc>
        <w:tc>
          <w:tcPr>
            <w:tcW w:w="1368" w:type="dxa"/>
            <w:tcBorders>
              <w:top w:val="nil"/>
              <w:left w:val="nil"/>
              <w:bottom w:val="nil"/>
              <w:right w:val="nil"/>
            </w:tcBorders>
            <w:shd w:val="clear" w:color="auto" w:fill="auto"/>
            <w:noWrap/>
            <w:vAlign w:val="bottom"/>
            <w:hideMark/>
          </w:tcPr>
          <w:p w14:paraId="1E35FCF7"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173,880</w:t>
            </w:r>
          </w:p>
        </w:tc>
        <w:tc>
          <w:tcPr>
            <w:tcW w:w="1368" w:type="dxa"/>
            <w:tcBorders>
              <w:top w:val="nil"/>
              <w:left w:val="nil"/>
              <w:bottom w:val="nil"/>
              <w:right w:val="nil"/>
            </w:tcBorders>
            <w:shd w:val="clear" w:color="auto" w:fill="auto"/>
            <w:noWrap/>
            <w:vAlign w:val="bottom"/>
            <w:hideMark/>
          </w:tcPr>
          <w:p w14:paraId="183653EB"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180,120</w:t>
            </w:r>
          </w:p>
        </w:tc>
      </w:tr>
      <w:tr w:rsidR="00BA4FCE" w:rsidRPr="004635E5" w14:paraId="1D967A55" w14:textId="77777777" w:rsidTr="00BA4FCE">
        <w:trPr>
          <w:trHeight w:val="280"/>
        </w:trPr>
        <w:tc>
          <w:tcPr>
            <w:tcW w:w="1843" w:type="dxa"/>
            <w:tcBorders>
              <w:top w:val="nil"/>
              <w:left w:val="nil"/>
              <w:bottom w:val="nil"/>
              <w:right w:val="nil"/>
            </w:tcBorders>
            <w:shd w:val="clear" w:color="auto" w:fill="auto"/>
            <w:noWrap/>
            <w:vAlign w:val="bottom"/>
            <w:hideMark/>
          </w:tcPr>
          <w:p w14:paraId="24EEB01B" w14:textId="77777777"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F</w:t>
            </w:r>
            <w:r w:rsidRPr="004635E5">
              <w:rPr>
                <w:i/>
                <w:color w:val="000000"/>
                <w:sz w:val="22"/>
                <w:szCs w:val="22"/>
                <w:vertAlign w:val="subscript"/>
                <w:lang w:val="en-AU"/>
              </w:rPr>
              <w:t>recent</w:t>
            </w:r>
            <w:r w:rsidRPr="004635E5">
              <w:rPr>
                <w:i/>
                <w:color w:val="000000"/>
                <w:sz w:val="22"/>
                <w:szCs w:val="22"/>
                <w:lang w:val="en-AU"/>
              </w:rPr>
              <w:t>/F</w:t>
            </w:r>
            <w:r w:rsidRPr="004635E5">
              <w:rPr>
                <w:i/>
                <w:color w:val="000000"/>
                <w:sz w:val="22"/>
                <w:szCs w:val="22"/>
                <w:vertAlign w:val="subscript"/>
                <w:lang w:val="en-AU"/>
              </w:rPr>
              <w:t>MSY</w:t>
            </w:r>
          </w:p>
        </w:tc>
        <w:tc>
          <w:tcPr>
            <w:tcW w:w="897" w:type="dxa"/>
            <w:tcBorders>
              <w:top w:val="nil"/>
              <w:left w:val="nil"/>
              <w:bottom w:val="nil"/>
              <w:right w:val="nil"/>
            </w:tcBorders>
            <w:shd w:val="clear" w:color="auto" w:fill="auto"/>
            <w:noWrap/>
            <w:vAlign w:val="bottom"/>
            <w:hideMark/>
          </w:tcPr>
          <w:p w14:paraId="73E6D0D9"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789</w:t>
            </w:r>
          </w:p>
        </w:tc>
        <w:tc>
          <w:tcPr>
            <w:tcW w:w="1368" w:type="dxa"/>
            <w:tcBorders>
              <w:top w:val="nil"/>
              <w:left w:val="nil"/>
              <w:bottom w:val="nil"/>
              <w:right w:val="nil"/>
            </w:tcBorders>
            <w:shd w:val="clear" w:color="auto" w:fill="auto"/>
            <w:noWrap/>
            <w:vAlign w:val="bottom"/>
            <w:hideMark/>
          </w:tcPr>
          <w:p w14:paraId="78E71B40"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768</w:t>
            </w:r>
          </w:p>
        </w:tc>
        <w:tc>
          <w:tcPr>
            <w:tcW w:w="1368" w:type="dxa"/>
            <w:tcBorders>
              <w:top w:val="nil"/>
              <w:left w:val="nil"/>
              <w:bottom w:val="nil"/>
              <w:right w:val="nil"/>
            </w:tcBorders>
            <w:shd w:val="clear" w:color="auto" w:fill="auto"/>
            <w:noWrap/>
            <w:vAlign w:val="bottom"/>
            <w:hideMark/>
          </w:tcPr>
          <w:p w14:paraId="550D615B"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592</w:t>
            </w:r>
          </w:p>
        </w:tc>
        <w:tc>
          <w:tcPr>
            <w:tcW w:w="1368" w:type="dxa"/>
            <w:tcBorders>
              <w:top w:val="nil"/>
              <w:left w:val="nil"/>
              <w:bottom w:val="nil"/>
              <w:right w:val="nil"/>
            </w:tcBorders>
            <w:shd w:val="clear" w:color="auto" w:fill="auto"/>
            <w:noWrap/>
            <w:vAlign w:val="bottom"/>
            <w:hideMark/>
          </w:tcPr>
          <w:p w14:paraId="7D5CCAAE"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667</w:t>
            </w:r>
          </w:p>
        </w:tc>
        <w:tc>
          <w:tcPr>
            <w:tcW w:w="1368" w:type="dxa"/>
            <w:tcBorders>
              <w:top w:val="nil"/>
              <w:left w:val="nil"/>
              <w:bottom w:val="nil"/>
              <w:right w:val="nil"/>
            </w:tcBorders>
            <w:shd w:val="clear" w:color="auto" w:fill="auto"/>
            <w:noWrap/>
            <w:vAlign w:val="bottom"/>
            <w:hideMark/>
          </w:tcPr>
          <w:p w14:paraId="6BD86141"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0.931</w:t>
            </w:r>
          </w:p>
        </w:tc>
        <w:tc>
          <w:tcPr>
            <w:tcW w:w="1368" w:type="dxa"/>
            <w:tcBorders>
              <w:top w:val="nil"/>
              <w:left w:val="nil"/>
              <w:bottom w:val="nil"/>
              <w:right w:val="nil"/>
            </w:tcBorders>
            <w:shd w:val="clear" w:color="auto" w:fill="auto"/>
            <w:noWrap/>
            <w:vAlign w:val="bottom"/>
            <w:hideMark/>
          </w:tcPr>
          <w:p w14:paraId="6717F81E"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058</w:t>
            </w:r>
          </w:p>
        </w:tc>
      </w:tr>
      <w:tr w:rsidR="00BA4FCE" w:rsidRPr="004635E5" w14:paraId="3BEF0969" w14:textId="77777777" w:rsidTr="00BA4FCE">
        <w:trPr>
          <w:trHeight w:val="280"/>
        </w:trPr>
        <w:tc>
          <w:tcPr>
            <w:tcW w:w="1843" w:type="dxa"/>
            <w:tcBorders>
              <w:top w:val="nil"/>
              <w:left w:val="nil"/>
              <w:bottom w:val="nil"/>
              <w:right w:val="nil"/>
            </w:tcBorders>
            <w:shd w:val="clear" w:color="auto" w:fill="auto"/>
            <w:noWrap/>
            <w:vAlign w:val="bottom"/>
            <w:hideMark/>
          </w:tcPr>
          <w:p w14:paraId="30DFC3C8" w14:textId="77777777" w:rsidR="00BA4FCE" w:rsidRPr="004635E5" w:rsidRDefault="00BA4FCE" w:rsidP="006633A8">
            <w:pPr>
              <w:adjustRightInd w:val="0"/>
              <w:snapToGrid w:val="0"/>
              <w:rPr>
                <w:i/>
                <w:color w:val="000000"/>
                <w:sz w:val="22"/>
                <w:szCs w:val="22"/>
                <w:vertAlign w:val="subscript"/>
                <w:lang w:val="en-AU"/>
              </w:rPr>
            </w:pPr>
            <w:r w:rsidRPr="004635E5">
              <w:rPr>
                <w:i/>
                <w:iCs/>
                <w:color w:val="000000"/>
                <w:sz w:val="22"/>
                <w:szCs w:val="22"/>
                <w:lang w:val="en-AU" w:eastAsia="en-AU"/>
              </w:rPr>
              <w:t>SB</w:t>
            </w:r>
            <w:r w:rsidRPr="004635E5">
              <w:rPr>
                <w:i/>
                <w:iCs/>
                <w:color w:val="000000"/>
                <w:sz w:val="22"/>
                <w:szCs w:val="22"/>
                <w:vertAlign w:val="subscript"/>
                <w:lang w:val="en-AU" w:eastAsia="en-AU"/>
              </w:rPr>
              <w:t>0</w:t>
            </w:r>
          </w:p>
        </w:tc>
        <w:tc>
          <w:tcPr>
            <w:tcW w:w="897" w:type="dxa"/>
            <w:tcBorders>
              <w:top w:val="nil"/>
              <w:left w:val="nil"/>
              <w:bottom w:val="nil"/>
              <w:right w:val="nil"/>
            </w:tcBorders>
            <w:shd w:val="clear" w:color="auto" w:fill="auto"/>
            <w:noWrap/>
            <w:vAlign w:val="bottom"/>
            <w:hideMark/>
          </w:tcPr>
          <w:p w14:paraId="13668C47"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1,674,833</w:t>
            </w:r>
          </w:p>
        </w:tc>
        <w:tc>
          <w:tcPr>
            <w:tcW w:w="1368" w:type="dxa"/>
            <w:tcBorders>
              <w:top w:val="nil"/>
              <w:left w:val="nil"/>
              <w:bottom w:val="nil"/>
              <w:right w:val="nil"/>
            </w:tcBorders>
            <w:shd w:val="clear" w:color="auto" w:fill="auto"/>
            <w:noWrap/>
            <w:vAlign w:val="bottom"/>
            <w:hideMark/>
          </w:tcPr>
          <w:p w14:paraId="6020313E"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1,675,500</w:t>
            </w:r>
          </w:p>
        </w:tc>
        <w:tc>
          <w:tcPr>
            <w:tcW w:w="1368" w:type="dxa"/>
            <w:tcBorders>
              <w:top w:val="nil"/>
              <w:left w:val="nil"/>
              <w:bottom w:val="nil"/>
              <w:right w:val="nil"/>
            </w:tcBorders>
            <w:shd w:val="clear" w:color="auto" w:fill="auto"/>
            <w:noWrap/>
            <w:vAlign w:val="bottom"/>
            <w:hideMark/>
          </w:tcPr>
          <w:p w14:paraId="4E0E133B"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1,261,000</w:t>
            </w:r>
          </w:p>
        </w:tc>
        <w:tc>
          <w:tcPr>
            <w:tcW w:w="1368" w:type="dxa"/>
            <w:tcBorders>
              <w:top w:val="nil"/>
              <w:left w:val="nil"/>
              <w:bottom w:val="nil"/>
              <w:right w:val="nil"/>
            </w:tcBorders>
            <w:shd w:val="clear" w:color="auto" w:fill="auto"/>
            <w:noWrap/>
            <w:vAlign w:val="bottom"/>
            <w:hideMark/>
          </w:tcPr>
          <w:p w14:paraId="0D049401"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1,415,500</w:t>
            </w:r>
          </w:p>
        </w:tc>
        <w:tc>
          <w:tcPr>
            <w:tcW w:w="1368" w:type="dxa"/>
            <w:tcBorders>
              <w:top w:val="nil"/>
              <w:left w:val="nil"/>
              <w:bottom w:val="nil"/>
              <w:right w:val="nil"/>
            </w:tcBorders>
            <w:shd w:val="clear" w:color="auto" w:fill="auto"/>
            <w:noWrap/>
            <w:vAlign w:val="bottom"/>
            <w:hideMark/>
          </w:tcPr>
          <w:p w14:paraId="03AEAE7A"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1,941,000</w:t>
            </w:r>
          </w:p>
        </w:tc>
        <w:tc>
          <w:tcPr>
            <w:tcW w:w="1368" w:type="dxa"/>
            <w:tcBorders>
              <w:top w:val="nil"/>
              <w:left w:val="nil"/>
              <w:bottom w:val="nil"/>
              <w:right w:val="nil"/>
            </w:tcBorders>
            <w:shd w:val="clear" w:color="auto" w:fill="auto"/>
            <w:noWrap/>
            <w:vAlign w:val="bottom"/>
            <w:hideMark/>
          </w:tcPr>
          <w:p w14:paraId="5F683611"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2,085</w:t>
            </w:r>
            <w:r w:rsidRPr="004635E5">
              <w:rPr>
                <w:color w:val="000000"/>
                <w:sz w:val="22"/>
                <w:szCs w:val="22"/>
                <w:lang w:val="en-AU"/>
              </w:rPr>
              <w:t>,000</w:t>
            </w:r>
          </w:p>
        </w:tc>
      </w:tr>
      <w:tr w:rsidR="00BA4FCE" w:rsidRPr="004635E5" w14:paraId="62D40009" w14:textId="77777777" w:rsidTr="00BA4FCE">
        <w:trPr>
          <w:trHeight w:val="280"/>
        </w:trPr>
        <w:tc>
          <w:tcPr>
            <w:tcW w:w="1843" w:type="dxa"/>
            <w:tcBorders>
              <w:top w:val="nil"/>
              <w:left w:val="nil"/>
              <w:bottom w:val="nil"/>
              <w:right w:val="nil"/>
            </w:tcBorders>
            <w:shd w:val="clear" w:color="auto" w:fill="auto"/>
            <w:noWrap/>
            <w:vAlign w:val="bottom"/>
            <w:hideMark/>
          </w:tcPr>
          <w:p w14:paraId="5C48D5D0" w14:textId="77777777"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SB</w:t>
            </w:r>
            <w:r w:rsidRPr="004635E5">
              <w:rPr>
                <w:i/>
                <w:color w:val="000000"/>
                <w:sz w:val="22"/>
                <w:szCs w:val="22"/>
                <w:vertAlign w:val="subscript"/>
                <w:lang w:val="en-AU"/>
              </w:rPr>
              <w:t>F=0</w:t>
            </w:r>
          </w:p>
        </w:tc>
        <w:tc>
          <w:tcPr>
            <w:tcW w:w="897" w:type="dxa"/>
            <w:tcBorders>
              <w:top w:val="nil"/>
              <w:left w:val="nil"/>
              <w:bottom w:val="nil"/>
              <w:right w:val="nil"/>
            </w:tcBorders>
            <w:shd w:val="clear" w:color="auto" w:fill="auto"/>
            <w:noWrap/>
            <w:vAlign w:val="bottom"/>
            <w:hideMark/>
          </w:tcPr>
          <w:p w14:paraId="713F7024"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841,609</w:t>
            </w:r>
          </w:p>
        </w:tc>
        <w:tc>
          <w:tcPr>
            <w:tcW w:w="1368" w:type="dxa"/>
            <w:tcBorders>
              <w:top w:val="nil"/>
              <w:left w:val="nil"/>
              <w:bottom w:val="nil"/>
              <w:right w:val="nil"/>
            </w:tcBorders>
            <w:shd w:val="clear" w:color="auto" w:fill="auto"/>
            <w:noWrap/>
            <w:vAlign w:val="bottom"/>
            <w:hideMark/>
          </w:tcPr>
          <w:p w14:paraId="29BDFE47"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858,775</w:t>
            </w:r>
          </w:p>
        </w:tc>
        <w:tc>
          <w:tcPr>
            <w:tcW w:w="1368" w:type="dxa"/>
            <w:tcBorders>
              <w:top w:val="nil"/>
              <w:left w:val="nil"/>
              <w:bottom w:val="nil"/>
              <w:right w:val="nil"/>
            </w:tcBorders>
            <w:shd w:val="clear" w:color="auto" w:fill="auto"/>
            <w:noWrap/>
            <w:vAlign w:val="bottom"/>
            <w:hideMark/>
          </w:tcPr>
          <w:p w14:paraId="78D0C487"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509,007</w:t>
            </w:r>
          </w:p>
        </w:tc>
        <w:tc>
          <w:tcPr>
            <w:tcW w:w="1368" w:type="dxa"/>
            <w:tcBorders>
              <w:top w:val="nil"/>
              <w:left w:val="nil"/>
              <w:bottom w:val="nil"/>
              <w:right w:val="nil"/>
            </w:tcBorders>
            <w:shd w:val="clear" w:color="auto" w:fill="auto"/>
            <w:noWrap/>
            <w:vAlign w:val="bottom"/>
            <w:hideMark/>
          </w:tcPr>
          <w:p w14:paraId="7C106DF8"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632,014</w:t>
            </w:r>
          </w:p>
        </w:tc>
        <w:tc>
          <w:tcPr>
            <w:tcW w:w="1368" w:type="dxa"/>
            <w:tcBorders>
              <w:top w:val="nil"/>
              <w:left w:val="nil"/>
              <w:bottom w:val="nil"/>
              <w:right w:val="nil"/>
            </w:tcBorders>
            <w:shd w:val="clear" w:color="auto" w:fill="auto"/>
            <w:noWrap/>
            <w:vAlign w:val="bottom"/>
            <w:hideMark/>
          </w:tcPr>
          <w:p w14:paraId="1D57B7E9"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2,</w:t>
            </w:r>
            <w:r w:rsidRPr="004635E5">
              <w:rPr>
                <w:color w:val="000000"/>
                <w:sz w:val="22"/>
                <w:szCs w:val="22"/>
                <w:lang w:val="en-AU" w:eastAsia="en-AU"/>
              </w:rPr>
              <w:t>043,108</w:t>
            </w:r>
          </w:p>
        </w:tc>
        <w:tc>
          <w:tcPr>
            <w:tcW w:w="1368" w:type="dxa"/>
            <w:tcBorders>
              <w:top w:val="nil"/>
              <w:left w:val="nil"/>
              <w:bottom w:val="nil"/>
              <w:right w:val="nil"/>
            </w:tcBorders>
            <w:shd w:val="clear" w:color="auto" w:fill="auto"/>
            <w:noWrap/>
            <w:vAlign w:val="bottom"/>
            <w:hideMark/>
          </w:tcPr>
          <w:p w14:paraId="49372003"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2,</w:t>
            </w:r>
            <w:r w:rsidRPr="004635E5">
              <w:rPr>
                <w:color w:val="000000"/>
                <w:sz w:val="22"/>
                <w:szCs w:val="22"/>
                <w:lang w:val="en-AU" w:eastAsia="en-AU"/>
              </w:rPr>
              <w:t>139,644</w:t>
            </w:r>
          </w:p>
        </w:tc>
      </w:tr>
      <w:tr w:rsidR="00BA4FCE" w:rsidRPr="004635E5" w14:paraId="5A827C8D" w14:textId="77777777" w:rsidTr="00BA4FCE">
        <w:trPr>
          <w:trHeight w:val="280"/>
        </w:trPr>
        <w:tc>
          <w:tcPr>
            <w:tcW w:w="1843" w:type="dxa"/>
            <w:tcBorders>
              <w:top w:val="nil"/>
              <w:left w:val="nil"/>
              <w:bottom w:val="nil"/>
              <w:right w:val="nil"/>
            </w:tcBorders>
            <w:shd w:val="clear" w:color="auto" w:fill="auto"/>
            <w:noWrap/>
            <w:vAlign w:val="bottom"/>
            <w:hideMark/>
          </w:tcPr>
          <w:p w14:paraId="7A123727" w14:textId="77777777"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SB</w:t>
            </w:r>
            <w:r w:rsidRPr="004635E5">
              <w:rPr>
                <w:i/>
                <w:color w:val="000000"/>
                <w:sz w:val="22"/>
                <w:szCs w:val="22"/>
                <w:vertAlign w:val="subscript"/>
                <w:lang w:val="en-AU"/>
              </w:rPr>
              <w:t>MSY</w:t>
            </w:r>
          </w:p>
        </w:tc>
        <w:tc>
          <w:tcPr>
            <w:tcW w:w="897" w:type="dxa"/>
            <w:tcBorders>
              <w:top w:val="nil"/>
              <w:left w:val="nil"/>
              <w:bottom w:val="nil"/>
              <w:right w:val="nil"/>
            </w:tcBorders>
            <w:shd w:val="clear" w:color="auto" w:fill="auto"/>
            <w:noWrap/>
            <w:vAlign w:val="bottom"/>
            <w:hideMark/>
          </w:tcPr>
          <w:p w14:paraId="27DAC3DD"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471,956</w:t>
            </w:r>
          </w:p>
        </w:tc>
        <w:tc>
          <w:tcPr>
            <w:tcW w:w="1368" w:type="dxa"/>
            <w:tcBorders>
              <w:top w:val="nil"/>
              <w:left w:val="nil"/>
              <w:bottom w:val="nil"/>
              <w:right w:val="nil"/>
            </w:tcBorders>
            <w:shd w:val="clear" w:color="auto" w:fill="auto"/>
            <w:noWrap/>
            <w:vAlign w:val="bottom"/>
            <w:hideMark/>
          </w:tcPr>
          <w:p w14:paraId="0E98AFF5"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476,050</w:t>
            </w:r>
          </w:p>
        </w:tc>
        <w:tc>
          <w:tcPr>
            <w:tcW w:w="1368" w:type="dxa"/>
            <w:tcBorders>
              <w:top w:val="nil"/>
              <w:left w:val="nil"/>
              <w:bottom w:val="nil"/>
              <w:right w:val="nil"/>
            </w:tcBorders>
            <w:shd w:val="clear" w:color="auto" w:fill="auto"/>
            <w:noWrap/>
            <w:vAlign w:val="bottom"/>
            <w:hideMark/>
          </w:tcPr>
          <w:p w14:paraId="12A30619"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340,700</w:t>
            </w:r>
          </w:p>
        </w:tc>
        <w:tc>
          <w:tcPr>
            <w:tcW w:w="1368" w:type="dxa"/>
            <w:tcBorders>
              <w:top w:val="nil"/>
              <w:left w:val="nil"/>
              <w:bottom w:val="nil"/>
              <w:right w:val="nil"/>
            </w:tcBorders>
            <w:shd w:val="clear" w:color="auto" w:fill="auto"/>
            <w:noWrap/>
            <w:vAlign w:val="bottom"/>
            <w:hideMark/>
          </w:tcPr>
          <w:p w14:paraId="132DBA7C"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386,600</w:t>
            </w:r>
          </w:p>
        </w:tc>
        <w:tc>
          <w:tcPr>
            <w:tcW w:w="1368" w:type="dxa"/>
            <w:tcBorders>
              <w:top w:val="nil"/>
              <w:left w:val="nil"/>
              <w:bottom w:val="nil"/>
              <w:right w:val="nil"/>
            </w:tcBorders>
            <w:shd w:val="clear" w:color="auto" w:fill="auto"/>
            <w:noWrap/>
            <w:vAlign w:val="bottom"/>
            <w:hideMark/>
          </w:tcPr>
          <w:p w14:paraId="5C57F2DF"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577,400</w:t>
            </w:r>
          </w:p>
        </w:tc>
        <w:tc>
          <w:tcPr>
            <w:tcW w:w="1368" w:type="dxa"/>
            <w:tcBorders>
              <w:top w:val="nil"/>
              <w:left w:val="nil"/>
              <w:bottom w:val="nil"/>
              <w:right w:val="nil"/>
            </w:tcBorders>
            <w:shd w:val="clear" w:color="auto" w:fill="auto"/>
            <w:noWrap/>
            <w:vAlign w:val="bottom"/>
            <w:hideMark/>
          </w:tcPr>
          <w:p w14:paraId="350D4E52"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614,200</w:t>
            </w:r>
          </w:p>
        </w:tc>
      </w:tr>
      <w:tr w:rsidR="00BA4FCE" w:rsidRPr="004635E5" w14:paraId="7579F429" w14:textId="77777777" w:rsidTr="00BA4FCE">
        <w:trPr>
          <w:trHeight w:val="280"/>
        </w:trPr>
        <w:tc>
          <w:tcPr>
            <w:tcW w:w="1843" w:type="dxa"/>
            <w:tcBorders>
              <w:top w:val="nil"/>
              <w:left w:val="nil"/>
              <w:bottom w:val="nil"/>
              <w:right w:val="nil"/>
            </w:tcBorders>
            <w:shd w:val="clear" w:color="auto" w:fill="auto"/>
            <w:noWrap/>
            <w:vAlign w:val="bottom"/>
            <w:hideMark/>
          </w:tcPr>
          <w:p w14:paraId="5AF1021D" w14:textId="77777777" w:rsidR="00BA4FCE" w:rsidRPr="004635E5" w:rsidRDefault="00BA4FCE" w:rsidP="006633A8">
            <w:pPr>
              <w:widowControl w:val="0"/>
              <w:autoSpaceDE w:val="0"/>
              <w:autoSpaceDN w:val="0"/>
              <w:adjustRightInd w:val="0"/>
              <w:snapToGrid w:val="0"/>
              <w:rPr>
                <w:i/>
                <w:color w:val="000000"/>
                <w:sz w:val="22"/>
                <w:szCs w:val="22"/>
                <w:lang w:val="en-AU"/>
              </w:rPr>
            </w:pPr>
            <w:r w:rsidRPr="004635E5">
              <w:rPr>
                <w:i/>
                <w:color w:val="000000"/>
                <w:sz w:val="22"/>
                <w:szCs w:val="22"/>
                <w:lang w:val="en-AU"/>
              </w:rPr>
              <w:t>SB</w:t>
            </w:r>
            <w:r w:rsidRPr="004635E5">
              <w:rPr>
                <w:i/>
                <w:color w:val="000000"/>
                <w:sz w:val="22"/>
                <w:szCs w:val="22"/>
                <w:vertAlign w:val="subscript"/>
                <w:lang w:val="en-AU"/>
              </w:rPr>
              <w:t>MSY</w:t>
            </w:r>
            <w:r w:rsidRPr="004635E5">
              <w:rPr>
                <w:i/>
                <w:color w:val="000000"/>
                <w:sz w:val="22"/>
                <w:szCs w:val="22"/>
                <w:lang w:val="en-AU"/>
              </w:rPr>
              <w:t>/SB</w:t>
            </w:r>
            <w:r w:rsidRPr="004635E5">
              <w:rPr>
                <w:i/>
                <w:color w:val="000000"/>
                <w:sz w:val="22"/>
                <w:szCs w:val="22"/>
                <w:vertAlign w:val="subscript"/>
                <w:lang w:val="en-AU"/>
              </w:rPr>
              <w:t>0</w:t>
            </w:r>
          </w:p>
        </w:tc>
        <w:tc>
          <w:tcPr>
            <w:tcW w:w="897" w:type="dxa"/>
            <w:tcBorders>
              <w:top w:val="nil"/>
              <w:left w:val="nil"/>
              <w:bottom w:val="nil"/>
              <w:right w:val="nil"/>
            </w:tcBorders>
            <w:shd w:val="clear" w:color="auto" w:fill="auto"/>
            <w:noWrap/>
            <w:vAlign w:val="bottom"/>
            <w:hideMark/>
          </w:tcPr>
          <w:p w14:paraId="6AEB0B04"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0.281</w:t>
            </w:r>
          </w:p>
        </w:tc>
        <w:tc>
          <w:tcPr>
            <w:tcW w:w="1368" w:type="dxa"/>
            <w:tcBorders>
              <w:top w:val="nil"/>
              <w:left w:val="nil"/>
              <w:bottom w:val="nil"/>
              <w:right w:val="nil"/>
            </w:tcBorders>
            <w:shd w:val="clear" w:color="auto" w:fill="auto"/>
            <w:noWrap/>
            <w:vAlign w:val="bottom"/>
            <w:hideMark/>
          </w:tcPr>
          <w:p w14:paraId="56129BA7"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0.280</w:t>
            </w:r>
          </w:p>
        </w:tc>
        <w:tc>
          <w:tcPr>
            <w:tcW w:w="1368" w:type="dxa"/>
            <w:tcBorders>
              <w:top w:val="nil"/>
              <w:left w:val="nil"/>
              <w:bottom w:val="nil"/>
              <w:right w:val="nil"/>
            </w:tcBorders>
            <w:shd w:val="clear" w:color="auto" w:fill="auto"/>
            <w:noWrap/>
            <w:vAlign w:val="bottom"/>
            <w:hideMark/>
          </w:tcPr>
          <w:p w14:paraId="22EA319B"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0.260</w:t>
            </w:r>
          </w:p>
        </w:tc>
        <w:tc>
          <w:tcPr>
            <w:tcW w:w="1368" w:type="dxa"/>
            <w:tcBorders>
              <w:top w:val="nil"/>
              <w:left w:val="nil"/>
              <w:bottom w:val="nil"/>
              <w:right w:val="nil"/>
            </w:tcBorders>
            <w:shd w:val="clear" w:color="auto" w:fill="auto"/>
            <w:noWrap/>
            <w:vAlign w:val="bottom"/>
            <w:hideMark/>
          </w:tcPr>
          <w:p w14:paraId="0D7DDC48"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0.262</w:t>
            </w:r>
          </w:p>
        </w:tc>
        <w:tc>
          <w:tcPr>
            <w:tcW w:w="1368" w:type="dxa"/>
            <w:tcBorders>
              <w:top w:val="nil"/>
              <w:left w:val="nil"/>
              <w:bottom w:val="nil"/>
              <w:right w:val="nil"/>
            </w:tcBorders>
            <w:shd w:val="clear" w:color="auto" w:fill="auto"/>
            <w:noWrap/>
            <w:vAlign w:val="bottom"/>
            <w:hideMark/>
          </w:tcPr>
          <w:p w14:paraId="307868E2"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0.300</w:t>
            </w:r>
          </w:p>
        </w:tc>
        <w:tc>
          <w:tcPr>
            <w:tcW w:w="1368" w:type="dxa"/>
            <w:tcBorders>
              <w:top w:val="nil"/>
              <w:left w:val="nil"/>
              <w:bottom w:val="nil"/>
              <w:right w:val="nil"/>
            </w:tcBorders>
            <w:shd w:val="clear" w:color="auto" w:fill="auto"/>
            <w:noWrap/>
            <w:vAlign w:val="bottom"/>
            <w:hideMark/>
          </w:tcPr>
          <w:p w14:paraId="165C7ED2"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0.302</w:t>
            </w:r>
          </w:p>
        </w:tc>
      </w:tr>
      <w:tr w:rsidR="00BA4FCE" w:rsidRPr="004635E5" w14:paraId="7EA36AAD" w14:textId="77777777" w:rsidTr="00BA4FCE">
        <w:trPr>
          <w:trHeight w:val="280"/>
        </w:trPr>
        <w:tc>
          <w:tcPr>
            <w:tcW w:w="1843" w:type="dxa"/>
            <w:tcBorders>
              <w:top w:val="nil"/>
              <w:left w:val="nil"/>
              <w:bottom w:val="nil"/>
              <w:right w:val="nil"/>
            </w:tcBorders>
            <w:shd w:val="clear" w:color="auto" w:fill="auto"/>
            <w:noWrap/>
            <w:vAlign w:val="bottom"/>
            <w:hideMark/>
          </w:tcPr>
          <w:p w14:paraId="6298B9BC" w14:textId="77777777" w:rsidR="00BA4FCE" w:rsidRPr="004635E5" w:rsidRDefault="00BA4FCE" w:rsidP="006633A8">
            <w:pPr>
              <w:widowControl w:val="0"/>
              <w:autoSpaceDE w:val="0"/>
              <w:autoSpaceDN w:val="0"/>
              <w:adjustRightInd w:val="0"/>
              <w:snapToGrid w:val="0"/>
              <w:rPr>
                <w:i/>
                <w:color w:val="000000"/>
                <w:sz w:val="22"/>
                <w:szCs w:val="22"/>
                <w:lang w:val="en-AU"/>
              </w:rPr>
            </w:pPr>
            <w:r w:rsidRPr="004635E5">
              <w:rPr>
                <w:i/>
                <w:color w:val="000000"/>
                <w:sz w:val="22"/>
                <w:szCs w:val="22"/>
                <w:lang w:val="en-AU"/>
              </w:rPr>
              <w:t>SB</w:t>
            </w:r>
            <w:r w:rsidRPr="004635E5">
              <w:rPr>
                <w:i/>
                <w:color w:val="000000"/>
                <w:sz w:val="22"/>
                <w:szCs w:val="22"/>
                <w:vertAlign w:val="subscript"/>
                <w:lang w:val="en-AU"/>
              </w:rPr>
              <w:t>MSY</w:t>
            </w:r>
            <w:r w:rsidRPr="004635E5">
              <w:rPr>
                <w:i/>
                <w:color w:val="000000"/>
                <w:sz w:val="22"/>
                <w:szCs w:val="22"/>
                <w:lang w:val="en-AU"/>
              </w:rPr>
              <w:t>/SB</w:t>
            </w:r>
            <w:r w:rsidRPr="004635E5">
              <w:rPr>
                <w:i/>
                <w:color w:val="000000"/>
                <w:sz w:val="22"/>
                <w:szCs w:val="22"/>
                <w:vertAlign w:val="subscript"/>
                <w:lang w:val="en-AU"/>
              </w:rPr>
              <w:t>F=0</w:t>
            </w:r>
          </w:p>
        </w:tc>
        <w:tc>
          <w:tcPr>
            <w:tcW w:w="897" w:type="dxa"/>
            <w:tcBorders>
              <w:top w:val="nil"/>
              <w:left w:val="nil"/>
              <w:bottom w:val="nil"/>
              <w:right w:val="nil"/>
            </w:tcBorders>
            <w:shd w:val="clear" w:color="auto" w:fill="auto"/>
            <w:noWrap/>
            <w:vAlign w:val="bottom"/>
            <w:hideMark/>
          </w:tcPr>
          <w:p w14:paraId="181A506B"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255</w:t>
            </w:r>
          </w:p>
        </w:tc>
        <w:tc>
          <w:tcPr>
            <w:tcW w:w="1368" w:type="dxa"/>
            <w:tcBorders>
              <w:top w:val="nil"/>
              <w:left w:val="nil"/>
              <w:bottom w:val="nil"/>
              <w:right w:val="nil"/>
            </w:tcBorders>
            <w:shd w:val="clear" w:color="auto" w:fill="auto"/>
            <w:noWrap/>
            <w:vAlign w:val="bottom"/>
            <w:hideMark/>
          </w:tcPr>
          <w:p w14:paraId="448BDAA8"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255</w:t>
            </w:r>
          </w:p>
        </w:tc>
        <w:tc>
          <w:tcPr>
            <w:tcW w:w="1368" w:type="dxa"/>
            <w:tcBorders>
              <w:top w:val="nil"/>
              <w:left w:val="nil"/>
              <w:bottom w:val="nil"/>
              <w:right w:val="nil"/>
            </w:tcBorders>
            <w:shd w:val="clear" w:color="auto" w:fill="auto"/>
            <w:noWrap/>
            <w:vAlign w:val="bottom"/>
            <w:hideMark/>
          </w:tcPr>
          <w:p w14:paraId="44504B4D"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226</w:t>
            </w:r>
          </w:p>
        </w:tc>
        <w:tc>
          <w:tcPr>
            <w:tcW w:w="1368" w:type="dxa"/>
            <w:tcBorders>
              <w:top w:val="nil"/>
              <w:left w:val="nil"/>
              <w:bottom w:val="nil"/>
              <w:right w:val="nil"/>
            </w:tcBorders>
            <w:shd w:val="clear" w:color="auto" w:fill="auto"/>
            <w:noWrap/>
            <w:vAlign w:val="bottom"/>
            <w:hideMark/>
          </w:tcPr>
          <w:p w14:paraId="5765B4DE"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235</w:t>
            </w:r>
          </w:p>
        </w:tc>
        <w:tc>
          <w:tcPr>
            <w:tcW w:w="1368" w:type="dxa"/>
            <w:tcBorders>
              <w:top w:val="nil"/>
              <w:left w:val="nil"/>
              <w:bottom w:val="nil"/>
              <w:right w:val="nil"/>
            </w:tcBorders>
            <w:shd w:val="clear" w:color="auto" w:fill="auto"/>
            <w:noWrap/>
            <w:vAlign w:val="bottom"/>
            <w:hideMark/>
          </w:tcPr>
          <w:p w14:paraId="73D89810"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280</w:t>
            </w:r>
          </w:p>
        </w:tc>
        <w:tc>
          <w:tcPr>
            <w:tcW w:w="1368" w:type="dxa"/>
            <w:tcBorders>
              <w:top w:val="nil"/>
              <w:left w:val="nil"/>
              <w:bottom w:val="nil"/>
              <w:right w:val="nil"/>
            </w:tcBorders>
            <w:shd w:val="clear" w:color="auto" w:fill="auto"/>
            <w:noWrap/>
            <w:vAlign w:val="bottom"/>
            <w:hideMark/>
          </w:tcPr>
          <w:p w14:paraId="574EA1D6"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287</w:t>
            </w:r>
          </w:p>
        </w:tc>
      </w:tr>
      <w:tr w:rsidR="00BA4FCE" w:rsidRPr="004635E5" w14:paraId="7A2FC4A6" w14:textId="77777777" w:rsidTr="00BA4FCE">
        <w:trPr>
          <w:trHeight w:val="280"/>
        </w:trPr>
        <w:tc>
          <w:tcPr>
            <w:tcW w:w="1843" w:type="dxa"/>
            <w:tcBorders>
              <w:top w:val="nil"/>
              <w:left w:val="nil"/>
              <w:bottom w:val="nil"/>
              <w:right w:val="nil"/>
            </w:tcBorders>
            <w:shd w:val="clear" w:color="auto" w:fill="auto"/>
            <w:noWrap/>
            <w:vAlign w:val="bottom"/>
            <w:hideMark/>
          </w:tcPr>
          <w:p w14:paraId="5E406A2E" w14:textId="77777777" w:rsidR="00BA4FCE" w:rsidRPr="004635E5" w:rsidRDefault="00BA4FCE" w:rsidP="006633A8">
            <w:pPr>
              <w:adjustRightInd w:val="0"/>
              <w:snapToGrid w:val="0"/>
              <w:rPr>
                <w:i/>
                <w:color w:val="000000"/>
                <w:sz w:val="22"/>
                <w:szCs w:val="22"/>
                <w:vertAlign w:val="subscript"/>
                <w:lang w:val="en-AU"/>
              </w:rPr>
            </w:pPr>
            <w:r w:rsidRPr="004635E5">
              <w:rPr>
                <w:i/>
                <w:color w:val="000000"/>
                <w:sz w:val="22"/>
                <w:szCs w:val="22"/>
                <w:lang w:val="en-AU"/>
              </w:rPr>
              <w:t>SB</w:t>
            </w:r>
            <w:r w:rsidRPr="004635E5">
              <w:rPr>
                <w:i/>
                <w:color w:val="000000"/>
                <w:sz w:val="22"/>
                <w:szCs w:val="22"/>
                <w:vertAlign w:val="subscript"/>
                <w:lang w:val="en-AU"/>
              </w:rPr>
              <w:t>latest</w:t>
            </w:r>
            <w:r w:rsidRPr="004635E5">
              <w:rPr>
                <w:i/>
                <w:color w:val="000000"/>
                <w:sz w:val="22"/>
                <w:szCs w:val="22"/>
                <w:lang w:val="en-AU"/>
              </w:rPr>
              <w:t>/SB</w:t>
            </w:r>
            <w:r w:rsidRPr="004635E5">
              <w:rPr>
                <w:i/>
                <w:color w:val="000000"/>
                <w:sz w:val="22"/>
                <w:szCs w:val="22"/>
                <w:vertAlign w:val="subscript"/>
                <w:lang w:val="en-AU"/>
              </w:rPr>
              <w:t>0</w:t>
            </w:r>
          </w:p>
        </w:tc>
        <w:tc>
          <w:tcPr>
            <w:tcW w:w="897" w:type="dxa"/>
            <w:tcBorders>
              <w:top w:val="nil"/>
              <w:left w:val="nil"/>
              <w:bottom w:val="nil"/>
              <w:right w:val="nil"/>
            </w:tcBorders>
            <w:shd w:val="clear" w:color="auto" w:fill="auto"/>
            <w:noWrap/>
            <w:vAlign w:val="bottom"/>
            <w:hideMark/>
          </w:tcPr>
          <w:p w14:paraId="68363FF3"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456</w:t>
            </w:r>
          </w:p>
        </w:tc>
        <w:tc>
          <w:tcPr>
            <w:tcW w:w="1368" w:type="dxa"/>
            <w:tcBorders>
              <w:top w:val="nil"/>
              <w:left w:val="nil"/>
              <w:bottom w:val="nil"/>
              <w:right w:val="nil"/>
            </w:tcBorders>
            <w:shd w:val="clear" w:color="auto" w:fill="auto"/>
            <w:noWrap/>
            <w:vAlign w:val="bottom"/>
            <w:hideMark/>
          </w:tcPr>
          <w:p w14:paraId="044033EF"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456</w:t>
            </w:r>
          </w:p>
        </w:tc>
        <w:tc>
          <w:tcPr>
            <w:tcW w:w="1368" w:type="dxa"/>
            <w:tcBorders>
              <w:top w:val="nil"/>
              <w:left w:val="nil"/>
              <w:bottom w:val="nil"/>
              <w:right w:val="nil"/>
            </w:tcBorders>
            <w:shd w:val="clear" w:color="auto" w:fill="auto"/>
            <w:noWrap/>
            <w:vAlign w:val="bottom"/>
            <w:hideMark/>
          </w:tcPr>
          <w:p w14:paraId="2E150575"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346</w:t>
            </w:r>
          </w:p>
        </w:tc>
        <w:tc>
          <w:tcPr>
            <w:tcW w:w="1368" w:type="dxa"/>
            <w:tcBorders>
              <w:top w:val="nil"/>
              <w:left w:val="nil"/>
              <w:bottom w:val="nil"/>
              <w:right w:val="nil"/>
            </w:tcBorders>
            <w:shd w:val="clear" w:color="auto" w:fill="auto"/>
            <w:noWrap/>
            <w:vAlign w:val="bottom"/>
            <w:hideMark/>
          </w:tcPr>
          <w:p w14:paraId="777F24BB"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392</w:t>
            </w:r>
          </w:p>
        </w:tc>
        <w:tc>
          <w:tcPr>
            <w:tcW w:w="1368" w:type="dxa"/>
            <w:tcBorders>
              <w:top w:val="nil"/>
              <w:left w:val="nil"/>
              <w:bottom w:val="nil"/>
              <w:right w:val="nil"/>
            </w:tcBorders>
            <w:shd w:val="clear" w:color="auto" w:fill="auto"/>
            <w:noWrap/>
            <w:vAlign w:val="bottom"/>
            <w:hideMark/>
          </w:tcPr>
          <w:p w14:paraId="63B101DB"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523</w:t>
            </w:r>
          </w:p>
        </w:tc>
        <w:tc>
          <w:tcPr>
            <w:tcW w:w="1368" w:type="dxa"/>
            <w:tcBorders>
              <w:top w:val="nil"/>
              <w:left w:val="nil"/>
              <w:bottom w:val="nil"/>
              <w:right w:val="nil"/>
            </w:tcBorders>
            <w:shd w:val="clear" w:color="auto" w:fill="auto"/>
            <w:noWrap/>
            <w:vAlign w:val="bottom"/>
            <w:hideMark/>
          </w:tcPr>
          <w:p w14:paraId="18A12C5E"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568</w:t>
            </w:r>
          </w:p>
        </w:tc>
      </w:tr>
      <w:tr w:rsidR="00BA4FCE" w:rsidRPr="004635E5" w14:paraId="5C565114" w14:textId="77777777" w:rsidTr="00BA4FCE">
        <w:trPr>
          <w:trHeight w:val="280"/>
        </w:trPr>
        <w:tc>
          <w:tcPr>
            <w:tcW w:w="1843" w:type="dxa"/>
            <w:tcBorders>
              <w:top w:val="nil"/>
              <w:left w:val="nil"/>
              <w:bottom w:val="nil"/>
              <w:right w:val="nil"/>
            </w:tcBorders>
            <w:shd w:val="clear" w:color="auto" w:fill="auto"/>
            <w:noWrap/>
            <w:vAlign w:val="bottom"/>
            <w:hideMark/>
          </w:tcPr>
          <w:p w14:paraId="1597FE7B" w14:textId="77777777"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SB</w:t>
            </w:r>
            <w:r w:rsidRPr="004635E5">
              <w:rPr>
                <w:i/>
                <w:color w:val="000000"/>
                <w:sz w:val="22"/>
                <w:szCs w:val="22"/>
                <w:vertAlign w:val="subscript"/>
                <w:lang w:val="en-AU"/>
              </w:rPr>
              <w:t>latest</w:t>
            </w:r>
            <w:r w:rsidRPr="004635E5">
              <w:rPr>
                <w:i/>
                <w:color w:val="000000"/>
                <w:sz w:val="22"/>
                <w:szCs w:val="22"/>
                <w:lang w:val="en-AU"/>
              </w:rPr>
              <w:t>/SB</w:t>
            </w:r>
            <w:r w:rsidRPr="004635E5">
              <w:rPr>
                <w:i/>
                <w:color w:val="000000"/>
                <w:sz w:val="22"/>
                <w:szCs w:val="22"/>
                <w:vertAlign w:val="subscript"/>
                <w:lang w:val="en-AU"/>
              </w:rPr>
              <w:t>F=0</w:t>
            </w:r>
          </w:p>
        </w:tc>
        <w:tc>
          <w:tcPr>
            <w:tcW w:w="897" w:type="dxa"/>
            <w:tcBorders>
              <w:top w:val="nil"/>
              <w:left w:val="nil"/>
              <w:bottom w:val="nil"/>
              <w:right w:val="nil"/>
            </w:tcBorders>
            <w:shd w:val="clear" w:color="auto" w:fill="auto"/>
            <w:noWrap/>
            <w:vAlign w:val="bottom"/>
            <w:hideMark/>
          </w:tcPr>
          <w:p w14:paraId="030A7700"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414</w:t>
            </w:r>
          </w:p>
        </w:tc>
        <w:tc>
          <w:tcPr>
            <w:tcW w:w="1368" w:type="dxa"/>
            <w:tcBorders>
              <w:top w:val="nil"/>
              <w:left w:val="nil"/>
              <w:bottom w:val="nil"/>
              <w:right w:val="nil"/>
            </w:tcBorders>
            <w:shd w:val="clear" w:color="auto" w:fill="auto"/>
            <w:noWrap/>
            <w:vAlign w:val="bottom"/>
            <w:hideMark/>
          </w:tcPr>
          <w:p w14:paraId="4383E4F6"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420</w:t>
            </w:r>
          </w:p>
        </w:tc>
        <w:tc>
          <w:tcPr>
            <w:tcW w:w="1368" w:type="dxa"/>
            <w:tcBorders>
              <w:top w:val="nil"/>
              <w:left w:val="nil"/>
              <w:bottom w:val="nil"/>
              <w:right w:val="nil"/>
            </w:tcBorders>
            <w:shd w:val="clear" w:color="auto" w:fill="auto"/>
            <w:noWrap/>
            <w:vAlign w:val="bottom"/>
            <w:hideMark/>
          </w:tcPr>
          <w:p w14:paraId="35F3806B"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298</w:t>
            </w:r>
          </w:p>
        </w:tc>
        <w:tc>
          <w:tcPr>
            <w:tcW w:w="1368" w:type="dxa"/>
            <w:tcBorders>
              <w:top w:val="nil"/>
              <w:left w:val="nil"/>
              <w:bottom w:val="nil"/>
              <w:right w:val="nil"/>
            </w:tcBorders>
            <w:shd w:val="clear" w:color="auto" w:fill="auto"/>
            <w:noWrap/>
            <w:vAlign w:val="bottom"/>
            <w:hideMark/>
          </w:tcPr>
          <w:p w14:paraId="59926B8D"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351</w:t>
            </w:r>
          </w:p>
        </w:tc>
        <w:tc>
          <w:tcPr>
            <w:tcW w:w="1368" w:type="dxa"/>
            <w:tcBorders>
              <w:top w:val="nil"/>
              <w:left w:val="nil"/>
              <w:bottom w:val="nil"/>
              <w:right w:val="nil"/>
            </w:tcBorders>
            <w:shd w:val="clear" w:color="auto" w:fill="auto"/>
            <w:noWrap/>
            <w:vAlign w:val="bottom"/>
            <w:hideMark/>
          </w:tcPr>
          <w:p w14:paraId="6134E287"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480</w:t>
            </w:r>
          </w:p>
        </w:tc>
        <w:tc>
          <w:tcPr>
            <w:tcW w:w="1368" w:type="dxa"/>
            <w:tcBorders>
              <w:top w:val="nil"/>
              <w:left w:val="nil"/>
              <w:bottom w:val="nil"/>
              <w:right w:val="nil"/>
            </w:tcBorders>
            <w:shd w:val="clear" w:color="auto" w:fill="auto"/>
            <w:noWrap/>
            <w:vAlign w:val="bottom"/>
            <w:hideMark/>
          </w:tcPr>
          <w:p w14:paraId="44E33ADF"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526</w:t>
            </w:r>
          </w:p>
        </w:tc>
      </w:tr>
      <w:tr w:rsidR="00BA4FCE" w:rsidRPr="004635E5" w14:paraId="00A5E03F" w14:textId="77777777" w:rsidTr="00BA4FCE">
        <w:trPr>
          <w:trHeight w:val="280"/>
        </w:trPr>
        <w:tc>
          <w:tcPr>
            <w:tcW w:w="1843" w:type="dxa"/>
            <w:tcBorders>
              <w:top w:val="nil"/>
              <w:left w:val="nil"/>
              <w:bottom w:val="nil"/>
              <w:right w:val="nil"/>
            </w:tcBorders>
            <w:shd w:val="clear" w:color="auto" w:fill="auto"/>
            <w:noWrap/>
            <w:vAlign w:val="bottom"/>
            <w:hideMark/>
          </w:tcPr>
          <w:p w14:paraId="767164D2" w14:textId="77777777"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SB</w:t>
            </w:r>
            <w:r w:rsidRPr="004635E5">
              <w:rPr>
                <w:i/>
                <w:color w:val="000000"/>
                <w:sz w:val="22"/>
                <w:szCs w:val="22"/>
                <w:vertAlign w:val="subscript"/>
                <w:lang w:val="en-AU"/>
              </w:rPr>
              <w:t>latest</w:t>
            </w:r>
            <w:r w:rsidRPr="004635E5">
              <w:rPr>
                <w:i/>
                <w:color w:val="000000"/>
                <w:sz w:val="22"/>
                <w:szCs w:val="22"/>
                <w:lang w:val="en-AU"/>
              </w:rPr>
              <w:t>/SB</w:t>
            </w:r>
            <w:r w:rsidRPr="004635E5">
              <w:rPr>
                <w:i/>
                <w:color w:val="000000"/>
                <w:sz w:val="22"/>
                <w:szCs w:val="22"/>
                <w:vertAlign w:val="subscript"/>
                <w:lang w:val="en-AU"/>
              </w:rPr>
              <w:t>MSY</w:t>
            </w:r>
          </w:p>
        </w:tc>
        <w:tc>
          <w:tcPr>
            <w:tcW w:w="897" w:type="dxa"/>
            <w:tcBorders>
              <w:top w:val="nil"/>
              <w:left w:val="nil"/>
              <w:bottom w:val="nil"/>
              <w:right w:val="nil"/>
            </w:tcBorders>
            <w:shd w:val="clear" w:color="auto" w:fill="auto"/>
            <w:noWrap/>
            <w:vAlign w:val="bottom"/>
            <w:hideMark/>
          </w:tcPr>
          <w:p w14:paraId="7735D674"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633</w:t>
            </w:r>
          </w:p>
        </w:tc>
        <w:tc>
          <w:tcPr>
            <w:tcW w:w="1368" w:type="dxa"/>
            <w:tcBorders>
              <w:top w:val="nil"/>
              <w:left w:val="nil"/>
              <w:bottom w:val="nil"/>
              <w:right w:val="nil"/>
            </w:tcBorders>
            <w:shd w:val="clear" w:color="auto" w:fill="auto"/>
            <w:noWrap/>
            <w:vAlign w:val="bottom"/>
            <w:hideMark/>
          </w:tcPr>
          <w:p w14:paraId="67711E3E"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624</w:t>
            </w:r>
          </w:p>
        </w:tc>
        <w:tc>
          <w:tcPr>
            <w:tcW w:w="1368" w:type="dxa"/>
            <w:tcBorders>
              <w:top w:val="nil"/>
              <w:left w:val="nil"/>
              <w:bottom w:val="nil"/>
              <w:right w:val="nil"/>
            </w:tcBorders>
            <w:shd w:val="clear" w:color="auto" w:fill="auto"/>
            <w:noWrap/>
            <w:vAlign w:val="bottom"/>
            <w:hideMark/>
          </w:tcPr>
          <w:p w14:paraId="79A22555"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1.146</w:t>
            </w:r>
          </w:p>
        </w:tc>
        <w:tc>
          <w:tcPr>
            <w:tcW w:w="1368" w:type="dxa"/>
            <w:tcBorders>
              <w:top w:val="nil"/>
              <w:left w:val="nil"/>
              <w:bottom w:val="nil"/>
              <w:right w:val="nil"/>
            </w:tcBorders>
            <w:shd w:val="clear" w:color="auto" w:fill="auto"/>
            <w:noWrap/>
            <w:vAlign w:val="bottom"/>
            <w:hideMark/>
          </w:tcPr>
          <w:p w14:paraId="5C7F34E6"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1.306</w:t>
            </w:r>
          </w:p>
        </w:tc>
        <w:tc>
          <w:tcPr>
            <w:tcW w:w="1368" w:type="dxa"/>
            <w:tcBorders>
              <w:top w:val="nil"/>
              <w:left w:val="nil"/>
              <w:bottom w:val="nil"/>
              <w:right w:val="nil"/>
            </w:tcBorders>
            <w:shd w:val="clear" w:color="auto" w:fill="auto"/>
            <w:noWrap/>
            <w:vAlign w:val="bottom"/>
            <w:hideMark/>
          </w:tcPr>
          <w:p w14:paraId="171D41AF"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933</w:t>
            </w:r>
          </w:p>
        </w:tc>
        <w:tc>
          <w:tcPr>
            <w:tcW w:w="1368" w:type="dxa"/>
            <w:tcBorders>
              <w:top w:val="nil"/>
              <w:left w:val="nil"/>
              <w:bottom w:val="nil"/>
              <w:right w:val="nil"/>
            </w:tcBorders>
            <w:shd w:val="clear" w:color="auto" w:fill="auto"/>
            <w:noWrap/>
            <w:vAlign w:val="bottom"/>
            <w:hideMark/>
          </w:tcPr>
          <w:p w14:paraId="586DA027"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2.</w:t>
            </w:r>
            <w:r w:rsidRPr="004635E5">
              <w:rPr>
                <w:color w:val="000000"/>
                <w:sz w:val="22"/>
                <w:szCs w:val="22"/>
                <w:lang w:val="en-AU" w:eastAsia="en-AU"/>
              </w:rPr>
              <w:t>187</w:t>
            </w:r>
          </w:p>
        </w:tc>
      </w:tr>
      <w:tr w:rsidR="00BA4FCE" w:rsidRPr="004635E5" w14:paraId="6B1A5782" w14:textId="77777777" w:rsidTr="00BA4FCE">
        <w:trPr>
          <w:trHeight w:val="280"/>
        </w:trPr>
        <w:tc>
          <w:tcPr>
            <w:tcW w:w="1843" w:type="dxa"/>
            <w:tcBorders>
              <w:top w:val="nil"/>
              <w:left w:val="nil"/>
              <w:right w:val="nil"/>
            </w:tcBorders>
            <w:shd w:val="clear" w:color="auto" w:fill="auto"/>
            <w:noWrap/>
            <w:vAlign w:val="bottom"/>
            <w:hideMark/>
          </w:tcPr>
          <w:p w14:paraId="76988FD3" w14:textId="77777777" w:rsidR="00BA4FCE" w:rsidRPr="004635E5" w:rsidRDefault="00BA4FCE" w:rsidP="006633A8">
            <w:pPr>
              <w:adjustRightInd w:val="0"/>
              <w:snapToGrid w:val="0"/>
              <w:rPr>
                <w:i/>
                <w:color w:val="000000"/>
                <w:sz w:val="22"/>
                <w:szCs w:val="22"/>
                <w:vertAlign w:val="subscript"/>
                <w:lang w:val="en-AU"/>
              </w:rPr>
            </w:pPr>
            <w:r w:rsidRPr="004635E5">
              <w:rPr>
                <w:i/>
                <w:color w:val="000000"/>
                <w:sz w:val="22"/>
                <w:szCs w:val="22"/>
                <w:lang w:val="en-AU"/>
              </w:rPr>
              <w:t>SB</w:t>
            </w:r>
            <w:r w:rsidRPr="004635E5">
              <w:rPr>
                <w:i/>
                <w:color w:val="000000"/>
                <w:sz w:val="22"/>
                <w:szCs w:val="22"/>
                <w:vertAlign w:val="subscript"/>
                <w:lang w:val="en-AU"/>
              </w:rPr>
              <w:t>recent</w:t>
            </w:r>
            <w:r w:rsidRPr="004635E5">
              <w:rPr>
                <w:i/>
                <w:color w:val="000000"/>
                <w:sz w:val="22"/>
                <w:szCs w:val="22"/>
                <w:lang w:val="en-AU"/>
              </w:rPr>
              <w:t>/SB</w:t>
            </w:r>
            <w:r w:rsidRPr="004635E5">
              <w:rPr>
                <w:i/>
                <w:color w:val="000000"/>
                <w:sz w:val="22"/>
                <w:szCs w:val="22"/>
                <w:vertAlign w:val="subscript"/>
                <w:lang w:val="en-AU"/>
              </w:rPr>
              <w:t>F=0</w:t>
            </w:r>
          </w:p>
        </w:tc>
        <w:tc>
          <w:tcPr>
            <w:tcW w:w="897" w:type="dxa"/>
            <w:tcBorders>
              <w:top w:val="nil"/>
              <w:left w:val="nil"/>
              <w:right w:val="nil"/>
            </w:tcBorders>
            <w:shd w:val="clear" w:color="auto" w:fill="auto"/>
            <w:noWrap/>
            <w:vAlign w:val="bottom"/>
            <w:hideMark/>
          </w:tcPr>
          <w:p w14:paraId="55D281AC"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353</w:t>
            </w:r>
          </w:p>
        </w:tc>
        <w:tc>
          <w:tcPr>
            <w:tcW w:w="1368" w:type="dxa"/>
            <w:tcBorders>
              <w:top w:val="nil"/>
              <w:left w:val="nil"/>
              <w:right w:val="nil"/>
            </w:tcBorders>
            <w:shd w:val="clear" w:color="auto" w:fill="auto"/>
            <w:noWrap/>
            <w:vAlign w:val="bottom"/>
            <w:hideMark/>
          </w:tcPr>
          <w:p w14:paraId="07C577C8"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358</w:t>
            </w:r>
          </w:p>
        </w:tc>
        <w:tc>
          <w:tcPr>
            <w:tcW w:w="1368" w:type="dxa"/>
            <w:tcBorders>
              <w:top w:val="nil"/>
              <w:left w:val="nil"/>
              <w:right w:val="nil"/>
            </w:tcBorders>
            <w:shd w:val="clear" w:color="auto" w:fill="auto"/>
            <w:noWrap/>
            <w:vAlign w:val="bottom"/>
            <w:hideMark/>
          </w:tcPr>
          <w:p w14:paraId="3D90F465"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251</w:t>
            </w:r>
          </w:p>
        </w:tc>
        <w:tc>
          <w:tcPr>
            <w:tcW w:w="1368" w:type="dxa"/>
            <w:tcBorders>
              <w:top w:val="nil"/>
              <w:left w:val="nil"/>
              <w:right w:val="nil"/>
            </w:tcBorders>
            <w:shd w:val="clear" w:color="auto" w:fill="auto"/>
            <w:noWrap/>
            <w:vAlign w:val="bottom"/>
            <w:hideMark/>
          </w:tcPr>
          <w:p w14:paraId="7CFC9E21"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295</w:t>
            </w:r>
          </w:p>
        </w:tc>
        <w:tc>
          <w:tcPr>
            <w:tcW w:w="1368" w:type="dxa"/>
            <w:tcBorders>
              <w:top w:val="nil"/>
              <w:left w:val="nil"/>
              <w:right w:val="nil"/>
            </w:tcBorders>
            <w:shd w:val="clear" w:color="auto" w:fill="auto"/>
            <w:noWrap/>
            <w:vAlign w:val="bottom"/>
            <w:hideMark/>
          </w:tcPr>
          <w:p w14:paraId="024B5738"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412</w:t>
            </w:r>
          </w:p>
        </w:tc>
        <w:tc>
          <w:tcPr>
            <w:tcW w:w="1368" w:type="dxa"/>
            <w:tcBorders>
              <w:top w:val="nil"/>
              <w:left w:val="nil"/>
              <w:right w:val="nil"/>
            </w:tcBorders>
            <w:shd w:val="clear" w:color="auto" w:fill="auto"/>
            <w:noWrap/>
            <w:vAlign w:val="bottom"/>
            <w:hideMark/>
          </w:tcPr>
          <w:p w14:paraId="1F5DC34E"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452</w:t>
            </w:r>
          </w:p>
        </w:tc>
      </w:tr>
      <w:tr w:rsidR="00BA4FCE" w:rsidRPr="004635E5" w14:paraId="4CA7B01B" w14:textId="77777777" w:rsidTr="00BA4FCE">
        <w:trPr>
          <w:trHeight w:val="280"/>
        </w:trPr>
        <w:tc>
          <w:tcPr>
            <w:tcW w:w="1843" w:type="dxa"/>
            <w:tcBorders>
              <w:left w:val="nil"/>
              <w:bottom w:val="single" w:sz="4" w:space="0" w:color="auto"/>
              <w:right w:val="nil"/>
            </w:tcBorders>
            <w:shd w:val="clear" w:color="auto" w:fill="auto"/>
            <w:noWrap/>
            <w:vAlign w:val="bottom"/>
            <w:hideMark/>
          </w:tcPr>
          <w:p w14:paraId="6C9C14B4" w14:textId="77777777"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SB</w:t>
            </w:r>
            <w:r w:rsidRPr="004635E5">
              <w:rPr>
                <w:i/>
                <w:color w:val="000000"/>
                <w:sz w:val="22"/>
                <w:szCs w:val="22"/>
                <w:vertAlign w:val="subscript"/>
                <w:lang w:val="en-AU"/>
              </w:rPr>
              <w:t>recent</w:t>
            </w:r>
            <w:r w:rsidRPr="004635E5">
              <w:rPr>
                <w:i/>
                <w:color w:val="000000"/>
                <w:sz w:val="22"/>
                <w:szCs w:val="22"/>
                <w:lang w:val="en-AU"/>
              </w:rPr>
              <w:t>/SB</w:t>
            </w:r>
            <w:r w:rsidRPr="004635E5">
              <w:rPr>
                <w:i/>
                <w:color w:val="000000"/>
                <w:sz w:val="22"/>
                <w:szCs w:val="22"/>
                <w:vertAlign w:val="subscript"/>
                <w:lang w:val="en-AU"/>
              </w:rPr>
              <w:t>MSY</w:t>
            </w:r>
          </w:p>
        </w:tc>
        <w:tc>
          <w:tcPr>
            <w:tcW w:w="897" w:type="dxa"/>
            <w:tcBorders>
              <w:left w:val="nil"/>
              <w:bottom w:val="single" w:sz="4" w:space="0" w:color="auto"/>
              <w:right w:val="nil"/>
            </w:tcBorders>
            <w:shd w:val="clear" w:color="auto" w:fill="auto"/>
            <w:noWrap/>
            <w:vAlign w:val="bottom"/>
            <w:hideMark/>
          </w:tcPr>
          <w:p w14:paraId="3AD32E9C"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394</w:t>
            </w:r>
          </w:p>
        </w:tc>
        <w:tc>
          <w:tcPr>
            <w:tcW w:w="1368" w:type="dxa"/>
            <w:tcBorders>
              <w:left w:val="nil"/>
              <w:bottom w:val="single" w:sz="4" w:space="0" w:color="auto"/>
              <w:right w:val="nil"/>
            </w:tcBorders>
            <w:shd w:val="clear" w:color="auto" w:fill="auto"/>
            <w:noWrap/>
            <w:vAlign w:val="bottom"/>
            <w:hideMark/>
          </w:tcPr>
          <w:p w14:paraId="52AFDBD4"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377</w:t>
            </w:r>
          </w:p>
        </w:tc>
        <w:tc>
          <w:tcPr>
            <w:tcW w:w="1368" w:type="dxa"/>
            <w:tcBorders>
              <w:left w:val="nil"/>
              <w:bottom w:val="single" w:sz="4" w:space="0" w:color="auto"/>
              <w:right w:val="nil"/>
            </w:tcBorders>
            <w:shd w:val="clear" w:color="auto" w:fill="auto"/>
            <w:noWrap/>
            <w:vAlign w:val="bottom"/>
            <w:hideMark/>
          </w:tcPr>
          <w:p w14:paraId="3F9146F5"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963</w:t>
            </w:r>
          </w:p>
        </w:tc>
        <w:tc>
          <w:tcPr>
            <w:tcW w:w="1368" w:type="dxa"/>
            <w:tcBorders>
              <w:left w:val="nil"/>
              <w:bottom w:val="single" w:sz="4" w:space="0" w:color="auto"/>
              <w:right w:val="nil"/>
            </w:tcBorders>
            <w:shd w:val="clear" w:color="auto" w:fill="auto"/>
            <w:noWrap/>
            <w:vAlign w:val="bottom"/>
            <w:hideMark/>
          </w:tcPr>
          <w:p w14:paraId="435BF0E8"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1.117</w:t>
            </w:r>
          </w:p>
        </w:tc>
        <w:tc>
          <w:tcPr>
            <w:tcW w:w="1368" w:type="dxa"/>
            <w:tcBorders>
              <w:left w:val="nil"/>
              <w:bottom w:val="single" w:sz="4" w:space="0" w:color="auto"/>
              <w:right w:val="nil"/>
            </w:tcBorders>
            <w:shd w:val="clear" w:color="auto" w:fill="auto"/>
            <w:noWrap/>
            <w:vAlign w:val="bottom"/>
            <w:hideMark/>
          </w:tcPr>
          <w:p w14:paraId="3935CE32"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659</w:t>
            </w:r>
          </w:p>
        </w:tc>
        <w:tc>
          <w:tcPr>
            <w:tcW w:w="1368" w:type="dxa"/>
            <w:tcBorders>
              <w:left w:val="nil"/>
              <w:bottom w:val="single" w:sz="4" w:space="0" w:color="auto"/>
              <w:right w:val="nil"/>
            </w:tcBorders>
            <w:shd w:val="clear" w:color="auto" w:fill="auto"/>
            <w:noWrap/>
            <w:vAlign w:val="bottom"/>
            <w:hideMark/>
          </w:tcPr>
          <w:p w14:paraId="60342CCD" w14:textId="77777777"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879</w:t>
            </w:r>
          </w:p>
        </w:tc>
      </w:tr>
    </w:tbl>
    <w:p w14:paraId="581BCA68" w14:textId="77777777" w:rsidR="00BA4FCE" w:rsidRPr="004635E5" w:rsidRDefault="00BA4FCE" w:rsidP="006633A8">
      <w:pPr>
        <w:widowControl w:val="0"/>
        <w:autoSpaceDE w:val="0"/>
        <w:autoSpaceDN w:val="0"/>
        <w:adjustRightInd w:val="0"/>
        <w:snapToGrid w:val="0"/>
        <w:rPr>
          <w:bCs/>
          <w:sz w:val="22"/>
          <w:szCs w:val="22"/>
        </w:rPr>
      </w:pPr>
    </w:p>
    <w:p w14:paraId="3D30E660" w14:textId="77777777" w:rsidR="00BA4FCE" w:rsidRPr="004635E5" w:rsidRDefault="00BA4FCE" w:rsidP="006633A8">
      <w:pPr>
        <w:widowControl w:val="0"/>
        <w:autoSpaceDE w:val="0"/>
        <w:autoSpaceDN w:val="0"/>
        <w:adjustRightInd w:val="0"/>
        <w:snapToGrid w:val="0"/>
        <w:rPr>
          <w:bCs/>
          <w:sz w:val="22"/>
          <w:szCs w:val="22"/>
        </w:rPr>
      </w:pPr>
    </w:p>
    <w:p w14:paraId="1802CE9D" w14:textId="77777777" w:rsidR="00BD47F7" w:rsidRPr="004635E5" w:rsidRDefault="00BA4FCE"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noted that there has been a long-term decrease in spawning biomass from the 1950s to the present for bigeye tuna and that this is consistent with previous</w:t>
      </w:r>
      <w:r w:rsidRPr="004635E5">
        <w:rPr>
          <w:b/>
          <w:spacing w:val="-25"/>
          <w:sz w:val="22"/>
          <w:szCs w:val="22"/>
        </w:rPr>
        <w:t xml:space="preserve"> </w:t>
      </w:r>
      <w:r w:rsidRPr="004635E5">
        <w:rPr>
          <w:b/>
          <w:sz w:val="22"/>
          <w:szCs w:val="22"/>
        </w:rPr>
        <w:t xml:space="preserve">assessments. </w:t>
      </w:r>
    </w:p>
    <w:p w14:paraId="3EBD196E" w14:textId="77777777" w:rsidR="00B26471" w:rsidRPr="004635E5" w:rsidRDefault="00B26471" w:rsidP="006633A8">
      <w:pPr>
        <w:autoSpaceDE w:val="0"/>
        <w:autoSpaceDN w:val="0"/>
        <w:adjustRightInd w:val="0"/>
        <w:snapToGrid w:val="0"/>
        <w:jc w:val="both"/>
        <w:rPr>
          <w:b/>
          <w:sz w:val="22"/>
          <w:szCs w:val="22"/>
        </w:rPr>
      </w:pPr>
    </w:p>
    <w:p w14:paraId="778553DE" w14:textId="77777777" w:rsidR="00BD47F7" w:rsidRPr="004635E5" w:rsidRDefault="00BA4FCE" w:rsidP="00580EA4">
      <w:pPr>
        <w:numPr>
          <w:ilvl w:val="0"/>
          <w:numId w:val="18"/>
        </w:numPr>
        <w:autoSpaceDE w:val="0"/>
        <w:autoSpaceDN w:val="0"/>
        <w:adjustRightInd w:val="0"/>
        <w:snapToGrid w:val="0"/>
        <w:ind w:left="0" w:firstLine="0"/>
        <w:jc w:val="both"/>
        <w:rPr>
          <w:b/>
          <w:sz w:val="22"/>
          <w:szCs w:val="22"/>
        </w:rPr>
      </w:pPr>
      <w:r w:rsidRPr="004635E5">
        <w:rPr>
          <w:b/>
          <w:sz w:val="22"/>
          <w:szCs w:val="22"/>
        </w:rPr>
        <w:t xml:space="preserve">SC14 also noted that the central tendency of relative recent (2012-2015) spawning biomass depletion </w:t>
      </w:r>
      <w:r w:rsidRPr="004635E5">
        <w:rPr>
          <w:b/>
          <w:position w:val="2"/>
          <w:sz w:val="22"/>
          <w:szCs w:val="22"/>
        </w:rPr>
        <w:t>was median (SB</w:t>
      </w:r>
      <w:r w:rsidRPr="004635E5">
        <w:rPr>
          <w:b/>
          <w:sz w:val="22"/>
          <w:szCs w:val="22"/>
          <w:vertAlign w:val="subscript"/>
        </w:rPr>
        <w:t>recent</w:t>
      </w:r>
      <w:r w:rsidRPr="004635E5">
        <w:rPr>
          <w:b/>
          <w:position w:val="2"/>
          <w:sz w:val="22"/>
          <w:szCs w:val="22"/>
        </w:rPr>
        <w:t>/SB</w:t>
      </w:r>
      <w:r w:rsidRPr="004635E5">
        <w:rPr>
          <w:b/>
          <w:sz w:val="22"/>
          <w:szCs w:val="22"/>
          <w:vertAlign w:val="subscript"/>
        </w:rPr>
        <w:t>F=0</w:t>
      </w:r>
      <w:r w:rsidRPr="004635E5">
        <w:rPr>
          <w:b/>
          <w:position w:val="2"/>
          <w:sz w:val="22"/>
          <w:szCs w:val="22"/>
        </w:rPr>
        <w:t>) = 0.36 with a range of 0.30 to 0.41</w:t>
      </w:r>
      <w:r w:rsidRPr="004635E5">
        <w:rPr>
          <w:b/>
          <w:spacing w:val="-8"/>
          <w:sz w:val="22"/>
          <w:szCs w:val="22"/>
        </w:rPr>
        <w:t xml:space="preserve"> </w:t>
      </w:r>
      <w:r w:rsidRPr="004635E5">
        <w:rPr>
          <w:b/>
          <w:sz w:val="22"/>
          <w:szCs w:val="22"/>
        </w:rPr>
        <w:t>(80%</w:t>
      </w:r>
      <w:r w:rsidRPr="004635E5">
        <w:rPr>
          <w:b/>
          <w:spacing w:val="-13"/>
          <w:sz w:val="22"/>
          <w:szCs w:val="22"/>
        </w:rPr>
        <w:t xml:space="preserve"> </w:t>
      </w:r>
      <w:r w:rsidRPr="004635E5">
        <w:rPr>
          <w:b/>
          <w:sz w:val="22"/>
          <w:szCs w:val="22"/>
        </w:rPr>
        <w:t>probability</w:t>
      </w:r>
      <w:r w:rsidRPr="004635E5">
        <w:rPr>
          <w:b/>
          <w:spacing w:val="-11"/>
          <w:sz w:val="22"/>
          <w:szCs w:val="22"/>
        </w:rPr>
        <w:t xml:space="preserve"> </w:t>
      </w:r>
      <w:r w:rsidRPr="004635E5">
        <w:rPr>
          <w:b/>
          <w:sz w:val="22"/>
          <w:szCs w:val="22"/>
        </w:rPr>
        <w:t>interval).</w:t>
      </w:r>
      <w:r w:rsidRPr="004635E5">
        <w:rPr>
          <w:b/>
          <w:spacing w:val="-11"/>
          <w:sz w:val="22"/>
          <w:szCs w:val="22"/>
        </w:rPr>
        <w:t xml:space="preserve"> </w:t>
      </w:r>
    </w:p>
    <w:p w14:paraId="50EF73B8" w14:textId="77777777" w:rsidR="00B26471" w:rsidRPr="004635E5" w:rsidRDefault="00B26471" w:rsidP="006633A8">
      <w:pPr>
        <w:autoSpaceDE w:val="0"/>
        <w:autoSpaceDN w:val="0"/>
        <w:adjustRightInd w:val="0"/>
        <w:snapToGrid w:val="0"/>
        <w:jc w:val="both"/>
        <w:rPr>
          <w:b/>
          <w:sz w:val="22"/>
          <w:szCs w:val="22"/>
        </w:rPr>
      </w:pPr>
    </w:p>
    <w:p w14:paraId="0D372E4B" w14:textId="77777777" w:rsidR="00BD47F7" w:rsidRPr="004635E5" w:rsidRDefault="00BA4FCE"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w:t>
      </w:r>
      <w:r w:rsidRPr="004635E5">
        <w:rPr>
          <w:b/>
          <w:spacing w:val="-4"/>
          <w:sz w:val="22"/>
          <w:szCs w:val="22"/>
        </w:rPr>
        <w:t xml:space="preserve"> </w:t>
      </w:r>
      <w:r w:rsidRPr="004635E5">
        <w:rPr>
          <w:b/>
          <w:sz w:val="22"/>
          <w:szCs w:val="22"/>
        </w:rPr>
        <w:t>further</w:t>
      </w:r>
      <w:r w:rsidRPr="004635E5">
        <w:rPr>
          <w:b/>
          <w:spacing w:val="-4"/>
          <w:sz w:val="22"/>
          <w:szCs w:val="22"/>
        </w:rPr>
        <w:t xml:space="preserve"> </w:t>
      </w:r>
      <w:r w:rsidRPr="004635E5">
        <w:rPr>
          <w:b/>
          <w:sz w:val="22"/>
          <w:szCs w:val="22"/>
        </w:rPr>
        <w:t>noted</w:t>
      </w:r>
      <w:r w:rsidRPr="004635E5">
        <w:rPr>
          <w:b/>
          <w:spacing w:val="-6"/>
          <w:sz w:val="22"/>
          <w:szCs w:val="22"/>
        </w:rPr>
        <w:t xml:space="preserve"> </w:t>
      </w:r>
      <w:r w:rsidRPr="004635E5">
        <w:rPr>
          <w:b/>
          <w:sz w:val="22"/>
          <w:szCs w:val="22"/>
        </w:rPr>
        <w:t>that</w:t>
      </w:r>
      <w:r w:rsidRPr="004635E5">
        <w:rPr>
          <w:b/>
          <w:spacing w:val="-3"/>
          <w:sz w:val="22"/>
          <w:szCs w:val="22"/>
        </w:rPr>
        <w:t xml:space="preserve"> </w:t>
      </w:r>
      <w:r w:rsidRPr="004635E5">
        <w:rPr>
          <w:b/>
          <w:sz w:val="22"/>
          <w:szCs w:val="22"/>
        </w:rPr>
        <w:t>there</w:t>
      </w:r>
      <w:r w:rsidRPr="004635E5">
        <w:rPr>
          <w:b/>
          <w:spacing w:val="-6"/>
          <w:sz w:val="22"/>
          <w:szCs w:val="22"/>
        </w:rPr>
        <w:t xml:space="preserve"> </w:t>
      </w:r>
      <w:r w:rsidRPr="004635E5">
        <w:rPr>
          <w:b/>
          <w:sz w:val="22"/>
          <w:szCs w:val="22"/>
        </w:rPr>
        <w:t>was</w:t>
      </w:r>
      <w:r w:rsidRPr="004635E5">
        <w:rPr>
          <w:b/>
          <w:spacing w:val="-3"/>
          <w:sz w:val="22"/>
          <w:szCs w:val="22"/>
        </w:rPr>
        <w:t xml:space="preserve"> </w:t>
      </w:r>
      <w:r w:rsidRPr="004635E5">
        <w:rPr>
          <w:b/>
          <w:sz w:val="22"/>
          <w:szCs w:val="22"/>
        </w:rPr>
        <w:t>0%</w:t>
      </w:r>
      <w:r w:rsidRPr="004635E5">
        <w:rPr>
          <w:b/>
          <w:spacing w:val="-5"/>
          <w:sz w:val="22"/>
          <w:szCs w:val="22"/>
        </w:rPr>
        <w:t xml:space="preserve"> </w:t>
      </w:r>
      <w:r w:rsidRPr="004635E5">
        <w:rPr>
          <w:b/>
          <w:sz w:val="22"/>
          <w:szCs w:val="22"/>
        </w:rPr>
        <w:t>probability</w:t>
      </w:r>
      <w:r w:rsidRPr="004635E5">
        <w:rPr>
          <w:b/>
          <w:spacing w:val="-6"/>
          <w:sz w:val="22"/>
          <w:szCs w:val="22"/>
        </w:rPr>
        <w:t xml:space="preserve"> </w:t>
      </w:r>
      <w:r w:rsidRPr="004635E5">
        <w:rPr>
          <w:b/>
          <w:sz w:val="22"/>
          <w:szCs w:val="22"/>
        </w:rPr>
        <w:t>(0</w:t>
      </w:r>
      <w:r w:rsidRPr="004635E5">
        <w:rPr>
          <w:b/>
          <w:spacing w:val="-6"/>
          <w:sz w:val="22"/>
          <w:szCs w:val="22"/>
        </w:rPr>
        <w:t xml:space="preserve"> </w:t>
      </w:r>
      <w:r w:rsidRPr="004635E5">
        <w:rPr>
          <w:b/>
          <w:sz w:val="22"/>
          <w:szCs w:val="22"/>
        </w:rPr>
        <w:t>out</w:t>
      </w:r>
      <w:r w:rsidRPr="004635E5">
        <w:rPr>
          <w:b/>
          <w:spacing w:val="-3"/>
          <w:sz w:val="22"/>
          <w:szCs w:val="22"/>
        </w:rPr>
        <w:t xml:space="preserve"> </w:t>
      </w:r>
      <w:r w:rsidRPr="004635E5">
        <w:rPr>
          <w:b/>
          <w:sz w:val="22"/>
          <w:szCs w:val="22"/>
        </w:rPr>
        <w:t>of</w:t>
      </w:r>
      <w:r w:rsidRPr="004635E5">
        <w:rPr>
          <w:b/>
          <w:spacing w:val="-3"/>
          <w:sz w:val="22"/>
          <w:szCs w:val="22"/>
        </w:rPr>
        <w:t xml:space="preserve"> </w:t>
      </w:r>
      <w:r w:rsidRPr="004635E5">
        <w:rPr>
          <w:b/>
          <w:sz w:val="22"/>
          <w:szCs w:val="22"/>
        </w:rPr>
        <w:t>36</w:t>
      </w:r>
      <w:r w:rsidRPr="004635E5">
        <w:rPr>
          <w:b/>
          <w:spacing w:val="-6"/>
          <w:sz w:val="22"/>
          <w:szCs w:val="22"/>
        </w:rPr>
        <w:t xml:space="preserve"> </w:t>
      </w:r>
      <w:r w:rsidRPr="004635E5">
        <w:rPr>
          <w:b/>
          <w:sz w:val="22"/>
          <w:szCs w:val="22"/>
        </w:rPr>
        <w:t xml:space="preserve">models) </w:t>
      </w:r>
      <w:r w:rsidRPr="004635E5">
        <w:rPr>
          <w:b/>
          <w:position w:val="2"/>
          <w:sz w:val="22"/>
          <w:szCs w:val="22"/>
        </w:rPr>
        <w:t>that the recent spawning biomass had breached the adopted LRP.</w:t>
      </w:r>
    </w:p>
    <w:p w14:paraId="18F79B8F" w14:textId="77777777" w:rsidR="00B26471" w:rsidRPr="004635E5" w:rsidRDefault="00B26471" w:rsidP="006633A8">
      <w:pPr>
        <w:autoSpaceDE w:val="0"/>
        <w:autoSpaceDN w:val="0"/>
        <w:adjustRightInd w:val="0"/>
        <w:snapToGrid w:val="0"/>
        <w:jc w:val="both"/>
        <w:rPr>
          <w:b/>
          <w:sz w:val="22"/>
          <w:szCs w:val="22"/>
        </w:rPr>
      </w:pPr>
    </w:p>
    <w:p w14:paraId="6E178C25" w14:textId="77777777" w:rsidR="00BD47F7" w:rsidRPr="004635E5" w:rsidRDefault="00BA4FCE"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noted that there has been a long-term increase in fishing mortality for both juvenile and adult bigeye tuna</w:t>
      </w:r>
      <w:r w:rsidR="00146C47" w:rsidRPr="004635E5">
        <w:rPr>
          <w:b/>
          <w:sz w:val="22"/>
          <w:szCs w:val="22"/>
        </w:rPr>
        <w:t xml:space="preserve"> (Figure BET-3)</w:t>
      </w:r>
      <w:r w:rsidRPr="004635E5">
        <w:rPr>
          <w:b/>
          <w:sz w:val="22"/>
          <w:szCs w:val="22"/>
        </w:rPr>
        <w:t>, consistent with previous</w:t>
      </w:r>
      <w:r w:rsidRPr="004635E5">
        <w:rPr>
          <w:b/>
          <w:spacing w:val="-11"/>
          <w:sz w:val="22"/>
          <w:szCs w:val="22"/>
        </w:rPr>
        <w:t xml:space="preserve"> </w:t>
      </w:r>
      <w:r w:rsidRPr="004635E5">
        <w:rPr>
          <w:b/>
          <w:sz w:val="22"/>
          <w:szCs w:val="22"/>
        </w:rPr>
        <w:t xml:space="preserve">assessments. </w:t>
      </w:r>
    </w:p>
    <w:p w14:paraId="1868676C" w14:textId="77777777" w:rsidR="00B26471" w:rsidRPr="004635E5" w:rsidRDefault="00B26471" w:rsidP="006633A8">
      <w:pPr>
        <w:autoSpaceDE w:val="0"/>
        <w:autoSpaceDN w:val="0"/>
        <w:adjustRightInd w:val="0"/>
        <w:snapToGrid w:val="0"/>
        <w:jc w:val="both"/>
        <w:rPr>
          <w:b/>
          <w:sz w:val="22"/>
          <w:szCs w:val="22"/>
        </w:rPr>
      </w:pPr>
    </w:p>
    <w:p w14:paraId="78545700" w14:textId="77777777" w:rsidR="00B26471" w:rsidRPr="004635E5" w:rsidRDefault="00BA4FCE" w:rsidP="00580EA4">
      <w:pPr>
        <w:numPr>
          <w:ilvl w:val="0"/>
          <w:numId w:val="18"/>
        </w:numPr>
        <w:autoSpaceDE w:val="0"/>
        <w:autoSpaceDN w:val="0"/>
        <w:adjustRightInd w:val="0"/>
        <w:snapToGrid w:val="0"/>
        <w:ind w:left="0" w:firstLine="0"/>
        <w:jc w:val="both"/>
        <w:rPr>
          <w:b/>
          <w:sz w:val="22"/>
          <w:szCs w:val="22"/>
        </w:rPr>
      </w:pPr>
      <w:r w:rsidRPr="004635E5">
        <w:rPr>
          <w:b/>
          <w:sz w:val="22"/>
          <w:szCs w:val="22"/>
        </w:rPr>
        <w:t xml:space="preserve">SC14 also noted that the central tendency of relative recent fishing mortality </w:t>
      </w:r>
      <w:r w:rsidRPr="004635E5">
        <w:rPr>
          <w:b/>
          <w:position w:val="2"/>
          <w:sz w:val="22"/>
          <w:szCs w:val="22"/>
        </w:rPr>
        <w:t>was</w:t>
      </w:r>
      <w:r w:rsidRPr="004635E5">
        <w:rPr>
          <w:b/>
          <w:spacing w:val="-8"/>
          <w:position w:val="2"/>
          <w:sz w:val="22"/>
          <w:szCs w:val="22"/>
        </w:rPr>
        <w:t xml:space="preserve"> </w:t>
      </w:r>
      <w:r w:rsidRPr="004635E5">
        <w:rPr>
          <w:b/>
          <w:position w:val="2"/>
          <w:sz w:val="22"/>
          <w:szCs w:val="22"/>
        </w:rPr>
        <w:t>median (F</w:t>
      </w:r>
      <w:r w:rsidRPr="004E1B05">
        <w:rPr>
          <w:b/>
          <w:sz w:val="22"/>
          <w:szCs w:val="22"/>
          <w:vertAlign w:val="subscript"/>
        </w:rPr>
        <w:t>recent</w:t>
      </w:r>
      <w:r w:rsidRPr="004635E5">
        <w:rPr>
          <w:b/>
          <w:position w:val="2"/>
          <w:sz w:val="22"/>
          <w:szCs w:val="22"/>
        </w:rPr>
        <w:t>/F</w:t>
      </w:r>
      <w:r w:rsidRPr="004E1B05">
        <w:rPr>
          <w:b/>
          <w:sz w:val="22"/>
          <w:szCs w:val="22"/>
          <w:vertAlign w:val="subscript"/>
        </w:rPr>
        <w:t>MSY</w:t>
      </w:r>
      <w:r w:rsidRPr="004635E5">
        <w:rPr>
          <w:b/>
          <w:position w:val="2"/>
          <w:sz w:val="22"/>
          <w:szCs w:val="22"/>
        </w:rPr>
        <w:t>)</w:t>
      </w:r>
      <w:r w:rsidRPr="004635E5">
        <w:rPr>
          <w:b/>
          <w:spacing w:val="-6"/>
          <w:position w:val="2"/>
          <w:sz w:val="22"/>
          <w:szCs w:val="22"/>
        </w:rPr>
        <w:t xml:space="preserve"> </w:t>
      </w:r>
      <w:r w:rsidRPr="004635E5">
        <w:rPr>
          <w:b/>
          <w:position w:val="2"/>
          <w:sz w:val="22"/>
          <w:szCs w:val="22"/>
        </w:rPr>
        <w:t>=</w:t>
      </w:r>
      <w:r w:rsidRPr="004635E5">
        <w:rPr>
          <w:b/>
          <w:spacing w:val="-9"/>
          <w:position w:val="2"/>
          <w:sz w:val="22"/>
          <w:szCs w:val="22"/>
        </w:rPr>
        <w:t xml:space="preserve"> </w:t>
      </w:r>
      <w:r w:rsidRPr="004635E5">
        <w:rPr>
          <w:b/>
          <w:position w:val="2"/>
          <w:sz w:val="22"/>
          <w:szCs w:val="22"/>
        </w:rPr>
        <w:t>0.77</w:t>
      </w:r>
      <w:r w:rsidRPr="004635E5">
        <w:rPr>
          <w:b/>
          <w:spacing w:val="-8"/>
          <w:position w:val="2"/>
          <w:sz w:val="22"/>
          <w:szCs w:val="22"/>
        </w:rPr>
        <w:t xml:space="preserve"> </w:t>
      </w:r>
      <w:r w:rsidRPr="004635E5">
        <w:rPr>
          <w:b/>
          <w:position w:val="2"/>
          <w:sz w:val="22"/>
          <w:szCs w:val="22"/>
        </w:rPr>
        <w:t>with</w:t>
      </w:r>
      <w:r w:rsidRPr="004635E5">
        <w:rPr>
          <w:b/>
          <w:spacing w:val="-6"/>
          <w:position w:val="2"/>
          <w:sz w:val="22"/>
          <w:szCs w:val="22"/>
        </w:rPr>
        <w:t xml:space="preserve"> </w:t>
      </w:r>
      <w:r w:rsidRPr="004635E5">
        <w:rPr>
          <w:b/>
          <w:position w:val="2"/>
          <w:sz w:val="22"/>
          <w:szCs w:val="22"/>
        </w:rPr>
        <w:t>an</w:t>
      </w:r>
      <w:r w:rsidRPr="004635E5">
        <w:rPr>
          <w:b/>
          <w:spacing w:val="-6"/>
          <w:position w:val="2"/>
          <w:sz w:val="22"/>
          <w:szCs w:val="22"/>
        </w:rPr>
        <w:t xml:space="preserve"> </w:t>
      </w:r>
      <w:r w:rsidRPr="004635E5">
        <w:rPr>
          <w:b/>
          <w:position w:val="2"/>
          <w:sz w:val="22"/>
          <w:szCs w:val="22"/>
        </w:rPr>
        <w:t>80%</w:t>
      </w:r>
      <w:r w:rsidRPr="004635E5">
        <w:rPr>
          <w:b/>
          <w:spacing w:val="-8"/>
          <w:position w:val="2"/>
          <w:sz w:val="22"/>
          <w:szCs w:val="22"/>
        </w:rPr>
        <w:t xml:space="preserve"> </w:t>
      </w:r>
      <w:r w:rsidRPr="004635E5">
        <w:rPr>
          <w:b/>
          <w:position w:val="2"/>
          <w:sz w:val="22"/>
          <w:szCs w:val="22"/>
        </w:rPr>
        <w:t xml:space="preserve">probability </w:t>
      </w:r>
      <w:r w:rsidRPr="004635E5">
        <w:rPr>
          <w:b/>
          <w:sz w:val="22"/>
          <w:szCs w:val="22"/>
        </w:rPr>
        <w:t>interval of 0.67 to 0.93.</w:t>
      </w:r>
    </w:p>
    <w:p w14:paraId="569A80C0" w14:textId="77777777" w:rsidR="00BD47F7" w:rsidRPr="004635E5" w:rsidRDefault="00BA4FCE" w:rsidP="006633A8">
      <w:pPr>
        <w:autoSpaceDE w:val="0"/>
        <w:autoSpaceDN w:val="0"/>
        <w:adjustRightInd w:val="0"/>
        <w:snapToGrid w:val="0"/>
        <w:jc w:val="both"/>
        <w:rPr>
          <w:b/>
          <w:sz w:val="22"/>
          <w:szCs w:val="22"/>
        </w:rPr>
      </w:pPr>
      <w:r w:rsidRPr="004635E5">
        <w:rPr>
          <w:b/>
          <w:sz w:val="22"/>
          <w:szCs w:val="22"/>
        </w:rPr>
        <w:t xml:space="preserve"> </w:t>
      </w:r>
    </w:p>
    <w:p w14:paraId="004A395E" w14:textId="77777777" w:rsidR="00BD47F7" w:rsidRPr="004635E5" w:rsidRDefault="00BA4FCE"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further noted that there was a roughly 6% probability (2 out of 36 models</w:t>
      </w:r>
      <w:r w:rsidRPr="004635E5">
        <w:rPr>
          <w:b/>
          <w:position w:val="2"/>
          <w:sz w:val="22"/>
          <w:szCs w:val="22"/>
        </w:rPr>
        <w:t>)</w:t>
      </w:r>
      <w:r w:rsidRPr="004635E5">
        <w:rPr>
          <w:b/>
          <w:spacing w:val="-4"/>
          <w:position w:val="2"/>
          <w:sz w:val="22"/>
          <w:szCs w:val="22"/>
        </w:rPr>
        <w:t xml:space="preserve"> </w:t>
      </w:r>
      <w:r w:rsidRPr="004635E5">
        <w:rPr>
          <w:b/>
          <w:position w:val="2"/>
          <w:sz w:val="22"/>
          <w:szCs w:val="22"/>
        </w:rPr>
        <w:t>that</w:t>
      </w:r>
      <w:r w:rsidRPr="004635E5">
        <w:rPr>
          <w:b/>
          <w:spacing w:val="-3"/>
          <w:position w:val="2"/>
          <w:sz w:val="22"/>
          <w:szCs w:val="22"/>
        </w:rPr>
        <w:t xml:space="preserve"> </w:t>
      </w:r>
      <w:r w:rsidRPr="004635E5">
        <w:rPr>
          <w:b/>
          <w:position w:val="2"/>
          <w:sz w:val="22"/>
          <w:szCs w:val="22"/>
        </w:rPr>
        <w:t>the</w:t>
      </w:r>
      <w:r w:rsidRPr="004635E5">
        <w:rPr>
          <w:b/>
          <w:spacing w:val="-3"/>
          <w:position w:val="2"/>
          <w:sz w:val="22"/>
          <w:szCs w:val="22"/>
        </w:rPr>
        <w:t xml:space="preserve"> </w:t>
      </w:r>
      <w:r w:rsidRPr="004635E5">
        <w:rPr>
          <w:b/>
          <w:position w:val="2"/>
          <w:sz w:val="22"/>
          <w:szCs w:val="22"/>
        </w:rPr>
        <w:t>recent</w:t>
      </w:r>
      <w:r w:rsidRPr="004635E5">
        <w:rPr>
          <w:b/>
          <w:spacing w:val="-5"/>
          <w:position w:val="2"/>
          <w:sz w:val="22"/>
          <w:szCs w:val="22"/>
        </w:rPr>
        <w:t xml:space="preserve"> </w:t>
      </w:r>
      <w:r w:rsidRPr="004635E5">
        <w:rPr>
          <w:b/>
          <w:position w:val="2"/>
          <w:sz w:val="22"/>
          <w:szCs w:val="22"/>
        </w:rPr>
        <w:t>fishing</w:t>
      </w:r>
      <w:r w:rsidRPr="004635E5">
        <w:rPr>
          <w:b/>
          <w:spacing w:val="-4"/>
          <w:position w:val="2"/>
          <w:sz w:val="22"/>
          <w:szCs w:val="22"/>
        </w:rPr>
        <w:t xml:space="preserve"> </w:t>
      </w:r>
      <w:r w:rsidRPr="004635E5">
        <w:rPr>
          <w:b/>
          <w:position w:val="2"/>
          <w:sz w:val="22"/>
          <w:szCs w:val="22"/>
        </w:rPr>
        <w:t>mortality</w:t>
      </w:r>
      <w:r w:rsidRPr="004635E5">
        <w:rPr>
          <w:b/>
          <w:spacing w:val="-6"/>
          <w:position w:val="2"/>
          <w:sz w:val="22"/>
          <w:szCs w:val="22"/>
        </w:rPr>
        <w:t xml:space="preserve"> </w:t>
      </w:r>
      <w:r w:rsidRPr="004635E5">
        <w:rPr>
          <w:b/>
          <w:position w:val="2"/>
          <w:sz w:val="22"/>
          <w:szCs w:val="22"/>
        </w:rPr>
        <w:t>was</w:t>
      </w:r>
      <w:r w:rsidRPr="004635E5">
        <w:rPr>
          <w:b/>
          <w:spacing w:val="-3"/>
          <w:position w:val="2"/>
          <w:sz w:val="22"/>
          <w:szCs w:val="22"/>
        </w:rPr>
        <w:t xml:space="preserve"> </w:t>
      </w:r>
      <w:r w:rsidRPr="004635E5">
        <w:rPr>
          <w:b/>
          <w:position w:val="2"/>
          <w:sz w:val="22"/>
          <w:szCs w:val="22"/>
        </w:rPr>
        <w:t>above</w:t>
      </w:r>
      <w:r w:rsidRPr="004635E5">
        <w:rPr>
          <w:b/>
          <w:spacing w:val="-3"/>
          <w:position w:val="2"/>
          <w:sz w:val="22"/>
          <w:szCs w:val="22"/>
        </w:rPr>
        <w:t xml:space="preserve"> </w:t>
      </w:r>
      <w:r w:rsidRPr="004635E5">
        <w:rPr>
          <w:b/>
          <w:position w:val="2"/>
          <w:sz w:val="22"/>
          <w:szCs w:val="22"/>
        </w:rPr>
        <w:t>F</w:t>
      </w:r>
      <w:r w:rsidRPr="00EE2870">
        <w:rPr>
          <w:b/>
          <w:sz w:val="22"/>
          <w:szCs w:val="22"/>
          <w:vertAlign w:val="subscript"/>
        </w:rPr>
        <w:t>MSY</w:t>
      </w:r>
      <w:r w:rsidRPr="004635E5">
        <w:rPr>
          <w:b/>
          <w:position w:val="2"/>
          <w:sz w:val="22"/>
          <w:szCs w:val="22"/>
        </w:rPr>
        <w:t xml:space="preserve">. </w:t>
      </w:r>
    </w:p>
    <w:p w14:paraId="3A87890A" w14:textId="77777777" w:rsidR="00B26471" w:rsidRPr="004635E5" w:rsidRDefault="00B26471" w:rsidP="006633A8">
      <w:pPr>
        <w:autoSpaceDE w:val="0"/>
        <w:autoSpaceDN w:val="0"/>
        <w:adjustRightInd w:val="0"/>
        <w:snapToGrid w:val="0"/>
        <w:jc w:val="both"/>
        <w:rPr>
          <w:b/>
          <w:sz w:val="22"/>
          <w:szCs w:val="22"/>
        </w:rPr>
      </w:pPr>
    </w:p>
    <w:p w14:paraId="7CA11FD2" w14:textId="77777777" w:rsidR="00BD47F7" w:rsidRPr="004635E5" w:rsidRDefault="00BA4FCE" w:rsidP="00580EA4">
      <w:pPr>
        <w:numPr>
          <w:ilvl w:val="0"/>
          <w:numId w:val="18"/>
        </w:numPr>
        <w:autoSpaceDE w:val="0"/>
        <w:autoSpaceDN w:val="0"/>
        <w:adjustRightInd w:val="0"/>
        <w:snapToGrid w:val="0"/>
        <w:ind w:left="0" w:firstLine="0"/>
        <w:jc w:val="both"/>
        <w:rPr>
          <w:b/>
          <w:sz w:val="22"/>
          <w:szCs w:val="22"/>
        </w:rPr>
      </w:pPr>
      <w:r w:rsidRPr="004635E5">
        <w:rPr>
          <w:b/>
          <w:bCs/>
          <w:sz w:val="22"/>
          <w:szCs w:val="22"/>
        </w:rPr>
        <w:t>SC14</w:t>
      </w:r>
      <w:r w:rsidRPr="004635E5">
        <w:rPr>
          <w:b/>
          <w:bCs/>
          <w:spacing w:val="-12"/>
          <w:sz w:val="22"/>
          <w:szCs w:val="22"/>
        </w:rPr>
        <w:t xml:space="preserve"> </w:t>
      </w:r>
      <w:r w:rsidRPr="004635E5">
        <w:rPr>
          <w:b/>
          <w:bCs/>
          <w:sz w:val="22"/>
          <w:szCs w:val="22"/>
        </w:rPr>
        <w:t>also</w:t>
      </w:r>
      <w:r w:rsidRPr="004635E5">
        <w:rPr>
          <w:b/>
          <w:bCs/>
          <w:spacing w:val="-12"/>
          <w:sz w:val="22"/>
          <w:szCs w:val="22"/>
        </w:rPr>
        <w:t xml:space="preserve"> </w:t>
      </w:r>
      <w:r w:rsidRPr="004635E5">
        <w:rPr>
          <w:b/>
          <w:bCs/>
          <w:sz w:val="22"/>
          <w:szCs w:val="22"/>
        </w:rPr>
        <w:t>noted</w:t>
      </w:r>
      <w:r w:rsidRPr="004635E5">
        <w:rPr>
          <w:b/>
          <w:bCs/>
          <w:spacing w:val="-12"/>
          <w:sz w:val="22"/>
          <w:szCs w:val="22"/>
        </w:rPr>
        <w:t xml:space="preserve"> </w:t>
      </w:r>
      <w:r w:rsidRPr="004635E5">
        <w:rPr>
          <w:b/>
          <w:bCs/>
          <w:sz w:val="22"/>
          <w:szCs w:val="22"/>
        </w:rPr>
        <w:t>that,</w:t>
      </w:r>
      <w:r w:rsidRPr="004635E5">
        <w:rPr>
          <w:b/>
          <w:bCs/>
          <w:spacing w:val="-12"/>
          <w:sz w:val="22"/>
          <w:szCs w:val="22"/>
        </w:rPr>
        <w:t xml:space="preserve"> </w:t>
      </w:r>
      <w:r w:rsidRPr="004635E5">
        <w:rPr>
          <w:b/>
          <w:bCs/>
          <w:sz w:val="22"/>
          <w:szCs w:val="22"/>
        </w:rPr>
        <w:t>regardless</w:t>
      </w:r>
      <w:r w:rsidRPr="004635E5">
        <w:rPr>
          <w:b/>
          <w:bCs/>
          <w:spacing w:val="-11"/>
          <w:sz w:val="22"/>
          <w:szCs w:val="22"/>
        </w:rPr>
        <w:t xml:space="preserve"> </w:t>
      </w:r>
      <w:r w:rsidRPr="004635E5">
        <w:rPr>
          <w:b/>
          <w:bCs/>
          <w:sz w:val="22"/>
          <w:szCs w:val="22"/>
        </w:rPr>
        <w:t>of</w:t>
      </w:r>
      <w:r w:rsidRPr="004635E5">
        <w:rPr>
          <w:b/>
          <w:bCs/>
          <w:spacing w:val="-9"/>
          <w:sz w:val="22"/>
          <w:szCs w:val="22"/>
        </w:rPr>
        <w:t xml:space="preserve"> </w:t>
      </w:r>
      <w:r w:rsidRPr="004635E5">
        <w:rPr>
          <w:b/>
          <w:bCs/>
          <w:sz w:val="22"/>
          <w:szCs w:val="22"/>
        </w:rPr>
        <w:t>the</w:t>
      </w:r>
      <w:r w:rsidRPr="004635E5">
        <w:rPr>
          <w:b/>
          <w:bCs/>
          <w:spacing w:val="-11"/>
          <w:sz w:val="22"/>
          <w:szCs w:val="22"/>
        </w:rPr>
        <w:t xml:space="preserve"> </w:t>
      </w:r>
      <w:r w:rsidRPr="004635E5">
        <w:rPr>
          <w:b/>
          <w:bCs/>
          <w:sz w:val="22"/>
          <w:szCs w:val="22"/>
        </w:rPr>
        <w:t>choice</w:t>
      </w:r>
      <w:r w:rsidRPr="004635E5">
        <w:rPr>
          <w:b/>
          <w:bCs/>
          <w:spacing w:val="-11"/>
          <w:sz w:val="22"/>
          <w:szCs w:val="22"/>
        </w:rPr>
        <w:t xml:space="preserve"> </w:t>
      </w:r>
      <w:r w:rsidRPr="004635E5">
        <w:rPr>
          <w:b/>
          <w:bCs/>
          <w:sz w:val="22"/>
          <w:szCs w:val="22"/>
        </w:rPr>
        <w:t>of</w:t>
      </w:r>
      <w:r w:rsidRPr="004635E5">
        <w:rPr>
          <w:b/>
          <w:bCs/>
          <w:spacing w:val="-9"/>
          <w:sz w:val="22"/>
          <w:szCs w:val="22"/>
        </w:rPr>
        <w:t xml:space="preserve"> </w:t>
      </w:r>
      <w:r w:rsidRPr="004635E5">
        <w:rPr>
          <w:b/>
          <w:bCs/>
          <w:sz w:val="22"/>
          <w:szCs w:val="22"/>
        </w:rPr>
        <w:t>uncertainty</w:t>
      </w:r>
      <w:r w:rsidRPr="004635E5">
        <w:rPr>
          <w:b/>
          <w:bCs/>
          <w:spacing w:val="-12"/>
          <w:sz w:val="22"/>
          <w:szCs w:val="22"/>
        </w:rPr>
        <w:t xml:space="preserve"> </w:t>
      </w:r>
      <w:r w:rsidRPr="004635E5">
        <w:rPr>
          <w:b/>
          <w:bCs/>
          <w:sz w:val="22"/>
          <w:szCs w:val="22"/>
        </w:rPr>
        <w:t>grid,</w:t>
      </w:r>
      <w:r w:rsidRPr="004635E5">
        <w:rPr>
          <w:b/>
          <w:bCs/>
          <w:spacing w:val="-12"/>
          <w:sz w:val="22"/>
          <w:szCs w:val="22"/>
        </w:rPr>
        <w:t xml:space="preserve"> </w:t>
      </w:r>
      <w:r w:rsidRPr="004635E5">
        <w:rPr>
          <w:b/>
          <w:bCs/>
          <w:sz w:val="22"/>
          <w:szCs w:val="22"/>
        </w:rPr>
        <w:t>the</w:t>
      </w:r>
      <w:r w:rsidRPr="004635E5">
        <w:rPr>
          <w:b/>
          <w:bCs/>
          <w:spacing w:val="-11"/>
          <w:sz w:val="22"/>
          <w:szCs w:val="22"/>
        </w:rPr>
        <w:t xml:space="preserve"> </w:t>
      </w:r>
      <w:r w:rsidRPr="004635E5">
        <w:rPr>
          <w:b/>
          <w:bCs/>
          <w:sz w:val="22"/>
          <w:szCs w:val="22"/>
        </w:rPr>
        <w:t>assessment</w:t>
      </w:r>
      <w:r w:rsidRPr="004635E5">
        <w:rPr>
          <w:b/>
          <w:bCs/>
          <w:spacing w:val="-11"/>
          <w:sz w:val="22"/>
          <w:szCs w:val="22"/>
        </w:rPr>
        <w:t xml:space="preserve"> </w:t>
      </w:r>
      <w:r w:rsidRPr="004635E5">
        <w:rPr>
          <w:b/>
          <w:bCs/>
          <w:sz w:val="22"/>
          <w:szCs w:val="22"/>
        </w:rPr>
        <w:t>results</w:t>
      </w:r>
      <w:r w:rsidRPr="004635E5">
        <w:rPr>
          <w:b/>
          <w:bCs/>
          <w:spacing w:val="-11"/>
          <w:sz w:val="22"/>
          <w:szCs w:val="22"/>
        </w:rPr>
        <w:t xml:space="preserve"> </w:t>
      </w:r>
      <w:r w:rsidRPr="004635E5">
        <w:rPr>
          <w:b/>
          <w:bCs/>
          <w:sz w:val="22"/>
          <w:szCs w:val="22"/>
        </w:rPr>
        <w:t>show that</w:t>
      </w:r>
      <w:r w:rsidRPr="004635E5">
        <w:rPr>
          <w:b/>
          <w:bCs/>
          <w:spacing w:val="-3"/>
          <w:sz w:val="22"/>
          <w:szCs w:val="22"/>
        </w:rPr>
        <w:t xml:space="preserve"> </w:t>
      </w:r>
      <w:r w:rsidRPr="004635E5">
        <w:rPr>
          <w:b/>
          <w:bCs/>
          <w:sz w:val="22"/>
          <w:szCs w:val="22"/>
        </w:rPr>
        <w:t>the</w:t>
      </w:r>
      <w:r w:rsidRPr="004635E5">
        <w:rPr>
          <w:b/>
          <w:bCs/>
          <w:spacing w:val="-3"/>
          <w:sz w:val="22"/>
          <w:szCs w:val="22"/>
        </w:rPr>
        <w:t xml:space="preserve"> </w:t>
      </w:r>
      <w:r w:rsidRPr="004635E5">
        <w:rPr>
          <w:b/>
          <w:bCs/>
          <w:sz w:val="22"/>
          <w:szCs w:val="22"/>
        </w:rPr>
        <w:t>stock</w:t>
      </w:r>
      <w:r w:rsidRPr="004635E5">
        <w:rPr>
          <w:b/>
          <w:bCs/>
          <w:spacing w:val="-1"/>
          <w:sz w:val="22"/>
          <w:szCs w:val="22"/>
        </w:rPr>
        <w:t xml:space="preserve"> </w:t>
      </w:r>
      <w:r w:rsidRPr="004635E5">
        <w:rPr>
          <w:b/>
          <w:bCs/>
          <w:sz w:val="22"/>
          <w:szCs w:val="22"/>
        </w:rPr>
        <w:t>has</w:t>
      </w:r>
      <w:r w:rsidRPr="004635E5">
        <w:rPr>
          <w:b/>
          <w:bCs/>
          <w:spacing w:val="-1"/>
          <w:sz w:val="22"/>
          <w:szCs w:val="22"/>
        </w:rPr>
        <w:t xml:space="preserve"> </w:t>
      </w:r>
      <w:r w:rsidRPr="004635E5">
        <w:rPr>
          <w:b/>
          <w:bCs/>
          <w:sz w:val="22"/>
          <w:szCs w:val="22"/>
        </w:rPr>
        <w:t>been</w:t>
      </w:r>
      <w:r w:rsidRPr="004635E5">
        <w:rPr>
          <w:b/>
          <w:bCs/>
          <w:spacing w:val="-4"/>
          <w:sz w:val="22"/>
          <w:szCs w:val="22"/>
        </w:rPr>
        <w:t xml:space="preserve"> </w:t>
      </w:r>
      <w:r w:rsidRPr="004635E5">
        <w:rPr>
          <w:b/>
          <w:bCs/>
          <w:sz w:val="22"/>
          <w:szCs w:val="22"/>
        </w:rPr>
        <w:t>continuously</w:t>
      </w:r>
      <w:r w:rsidRPr="004635E5">
        <w:rPr>
          <w:b/>
          <w:bCs/>
          <w:spacing w:val="-3"/>
          <w:sz w:val="22"/>
          <w:szCs w:val="22"/>
        </w:rPr>
        <w:t xml:space="preserve"> </w:t>
      </w:r>
      <w:r w:rsidRPr="004635E5">
        <w:rPr>
          <w:b/>
          <w:bCs/>
          <w:sz w:val="22"/>
          <w:szCs w:val="22"/>
        </w:rPr>
        <w:t>declining</w:t>
      </w:r>
      <w:r w:rsidRPr="004635E5">
        <w:rPr>
          <w:b/>
          <w:bCs/>
          <w:spacing w:val="-6"/>
          <w:sz w:val="22"/>
          <w:szCs w:val="22"/>
        </w:rPr>
        <w:t xml:space="preserve"> </w:t>
      </w:r>
      <w:r w:rsidRPr="004635E5">
        <w:rPr>
          <w:b/>
          <w:bCs/>
          <w:sz w:val="22"/>
          <w:szCs w:val="22"/>
        </w:rPr>
        <w:t>for</w:t>
      </w:r>
      <w:r w:rsidRPr="004635E5">
        <w:rPr>
          <w:b/>
          <w:bCs/>
          <w:spacing w:val="-3"/>
          <w:sz w:val="22"/>
          <w:szCs w:val="22"/>
        </w:rPr>
        <w:t xml:space="preserve"> </w:t>
      </w:r>
      <w:r w:rsidRPr="004635E5">
        <w:rPr>
          <w:b/>
          <w:bCs/>
          <w:sz w:val="22"/>
          <w:szCs w:val="22"/>
        </w:rPr>
        <w:t>about</w:t>
      </w:r>
      <w:r w:rsidRPr="004635E5">
        <w:rPr>
          <w:b/>
          <w:bCs/>
          <w:spacing w:val="-1"/>
          <w:sz w:val="22"/>
          <w:szCs w:val="22"/>
        </w:rPr>
        <w:t xml:space="preserve"> </w:t>
      </w:r>
      <w:r w:rsidRPr="004635E5">
        <w:rPr>
          <w:b/>
          <w:bCs/>
          <w:sz w:val="22"/>
          <w:szCs w:val="22"/>
        </w:rPr>
        <w:t>60</w:t>
      </w:r>
      <w:r w:rsidRPr="004635E5">
        <w:rPr>
          <w:b/>
          <w:bCs/>
          <w:spacing w:val="-3"/>
          <w:sz w:val="22"/>
          <w:szCs w:val="22"/>
        </w:rPr>
        <w:t xml:space="preserve"> </w:t>
      </w:r>
      <w:r w:rsidRPr="004635E5">
        <w:rPr>
          <w:b/>
          <w:bCs/>
          <w:sz w:val="22"/>
          <w:szCs w:val="22"/>
        </w:rPr>
        <w:t>years</w:t>
      </w:r>
      <w:r w:rsidRPr="004635E5">
        <w:rPr>
          <w:b/>
          <w:bCs/>
          <w:spacing w:val="-3"/>
          <w:sz w:val="22"/>
          <w:szCs w:val="22"/>
        </w:rPr>
        <w:t xml:space="preserve"> </w:t>
      </w:r>
      <w:r w:rsidRPr="004635E5">
        <w:rPr>
          <w:b/>
          <w:bCs/>
          <w:sz w:val="22"/>
          <w:szCs w:val="22"/>
        </w:rPr>
        <w:t>since</w:t>
      </w:r>
      <w:r w:rsidRPr="004635E5">
        <w:rPr>
          <w:b/>
          <w:bCs/>
          <w:spacing w:val="-3"/>
          <w:sz w:val="22"/>
          <w:szCs w:val="22"/>
        </w:rPr>
        <w:t xml:space="preserve"> </w:t>
      </w:r>
      <w:r w:rsidRPr="004635E5">
        <w:rPr>
          <w:b/>
          <w:bCs/>
          <w:sz w:val="22"/>
          <w:szCs w:val="22"/>
        </w:rPr>
        <w:t>the</w:t>
      </w:r>
      <w:r w:rsidRPr="004635E5">
        <w:rPr>
          <w:b/>
          <w:bCs/>
          <w:spacing w:val="-3"/>
          <w:sz w:val="22"/>
          <w:szCs w:val="22"/>
        </w:rPr>
        <w:t xml:space="preserve"> </w:t>
      </w:r>
      <w:r w:rsidRPr="004635E5">
        <w:rPr>
          <w:b/>
          <w:bCs/>
          <w:sz w:val="22"/>
          <w:szCs w:val="22"/>
        </w:rPr>
        <w:t>late</w:t>
      </w:r>
      <w:r w:rsidRPr="004635E5">
        <w:rPr>
          <w:b/>
          <w:bCs/>
          <w:spacing w:val="-1"/>
          <w:sz w:val="22"/>
          <w:szCs w:val="22"/>
        </w:rPr>
        <w:t xml:space="preserve"> </w:t>
      </w:r>
      <w:r w:rsidRPr="004635E5">
        <w:rPr>
          <w:b/>
          <w:bCs/>
          <w:sz w:val="22"/>
          <w:szCs w:val="22"/>
        </w:rPr>
        <w:t>1950’s,</w:t>
      </w:r>
      <w:r w:rsidRPr="004635E5">
        <w:rPr>
          <w:b/>
          <w:bCs/>
          <w:spacing w:val="-4"/>
          <w:sz w:val="22"/>
          <w:szCs w:val="22"/>
        </w:rPr>
        <w:t xml:space="preserve"> </w:t>
      </w:r>
      <w:r w:rsidRPr="004635E5">
        <w:rPr>
          <w:b/>
          <w:bCs/>
          <w:sz w:val="22"/>
          <w:szCs w:val="22"/>
        </w:rPr>
        <w:t>except</w:t>
      </w:r>
      <w:r w:rsidRPr="004635E5">
        <w:rPr>
          <w:b/>
          <w:bCs/>
          <w:spacing w:val="-5"/>
          <w:sz w:val="22"/>
          <w:szCs w:val="22"/>
        </w:rPr>
        <w:t xml:space="preserve"> </w:t>
      </w:r>
      <w:r w:rsidRPr="004635E5">
        <w:rPr>
          <w:b/>
          <w:bCs/>
          <w:sz w:val="22"/>
          <w:szCs w:val="22"/>
        </w:rPr>
        <w:t>for</w:t>
      </w:r>
      <w:r w:rsidRPr="004635E5">
        <w:rPr>
          <w:b/>
          <w:bCs/>
          <w:spacing w:val="-3"/>
          <w:sz w:val="22"/>
          <w:szCs w:val="22"/>
        </w:rPr>
        <w:t xml:space="preserve"> </w:t>
      </w:r>
      <w:r w:rsidRPr="004635E5">
        <w:rPr>
          <w:b/>
          <w:bCs/>
          <w:sz w:val="22"/>
          <w:szCs w:val="22"/>
        </w:rPr>
        <w:t xml:space="preserve">the recent small increase. </w:t>
      </w:r>
    </w:p>
    <w:p w14:paraId="4C4EA5B0" w14:textId="77777777" w:rsidR="00B26471" w:rsidRPr="004635E5" w:rsidRDefault="00B26471" w:rsidP="006633A8">
      <w:pPr>
        <w:autoSpaceDE w:val="0"/>
        <w:autoSpaceDN w:val="0"/>
        <w:adjustRightInd w:val="0"/>
        <w:snapToGrid w:val="0"/>
        <w:jc w:val="both"/>
        <w:rPr>
          <w:b/>
          <w:sz w:val="22"/>
          <w:szCs w:val="22"/>
        </w:rPr>
      </w:pPr>
    </w:p>
    <w:p w14:paraId="00372815" w14:textId="77777777" w:rsidR="00BD47F7" w:rsidRPr="004635E5" w:rsidRDefault="00BA4FCE"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w:t>
      </w:r>
      <w:r w:rsidRPr="004635E5">
        <w:rPr>
          <w:b/>
          <w:spacing w:val="-8"/>
          <w:sz w:val="22"/>
          <w:szCs w:val="22"/>
        </w:rPr>
        <w:t xml:space="preserve"> </w:t>
      </w:r>
      <w:r w:rsidRPr="004635E5">
        <w:rPr>
          <w:b/>
          <w:sz w:val="22"/>
          <w:szCs w:val="22"/>
        </w:rPr>
        <w:t>also</w:t>
      </w:r>
      <w:r w:rsidRPr="004635E5">
        <w:rPr>
          <w:b/>
          <w:spacing w:val="-8"/>
          <w:sz w:val="22"/>
          <w:szCs w:val="22"/>
        </w:rPr>
        <w:t xml:space="preserve"> </w:t>
      </w:r>
      <w:r w:rsidRPr="004635E5">
        <w:rPr>
          <w:b/>
          <w:sz w:val="22"/>
          <w:szCs w:val="22"/>
        </w:rPr>
        <w:t>noted</w:t>
      </w:r>
      <w:r w:rsidRPr="004635E5">
        <w:rPr>
          <w:b/>
          <w:spacing w:val="-8"/>
          <w:sz w:val="22"/>
          <w:szCs w:val="22"/>
        </w:rPr>
        <w:t xml:space="preserve"> </w:t>
      </w:r>
      <w:r w:rsidRPr="004635E5">
        <w:rPr>
          <w:b/>
          <w:sz w:val="22"/>
          <w:szCs w:val="22"/>
        </w:rPr>
        <w:t>the</w:t>
      </w:r>
      <w:r w:rsidRPr="004635E5">
        <w:rPr>
          <w:b/>
          <w:spacing w:val="-8"/>
          <w:sz w:val="22"/>
          <w:szCs w:val="22"/>
        </w:rPr>
        <w:t xml:space="preserve"> </w:t>
      </w:r>
      <w:r w:rsidRPr="004635E5">
        <w:rPr>
          <w:b/>
          <w:sz w:val="22"/>
          <w:szCs w:val="22"/>
        </w:rPr>
        <w:t>continued</w:t>
      </w:r>
      <w:r w:rsidRPr="004635E5">
        <w:rPr>
          <w:b/>
          <w:spacing w:val="-8"/>
          <w:sz w:val="22"/>
          <w:szCs w:val="22"/>
        </w:rPr>
        <w:t xml:space="preserve"> relatively </w:t>
      </w:r>
      <w:r w:rsidRPr="004635E5">
        <w:rPr>
          <w:b/>
          <w:sz w:val="22"/>
          <w:szCs w:val="22"/>
        </w:rPr>
        <w:t>higher</w:t>
      </w:r>
      <w:r w:rsidRPr="004635E5">
        <w:rPr>
          <w:b/>
          <w:spacing w:val="-10"/>
          <w:sz w:val="22"/>
          <w:szCs w:val="22"/>
        </w:rPr>
        <w:t xml:space="preserve"> </w:t>
      </w:r>
      <w:r w:rsidRPr="004635E5">
        <w:rPr>
          <w:b/>
          <w:sz w:val="22"/>
          <w:szCs w:val="22"/>
        </w:rPr>
        <w:t>levels</w:t>
      </w:r>
      <w:r w:rsidRPr="004635E5">
        <w:rPr>
          <w:b/>
          <w:spacing w:val="-8"/>
          <w:sz w:val="22"/>
          <w:szCs w:val="22"/>
        </w:rPr>
        <w:t xml:space="preserve"> </w:t>
      </w:r>
      <w:r w:rsidRPr="004635E5">
        <w:rPr>
          <w:b/>
          <w:sz w:val="22"/>
          <w:szCs w:val="22"/>
        </w:rPr>
        <w:t>of</w:t>
      </w:r>
      <w:r w:rsidRPr="004635E5">
        <w:rPr>
          <w:b/>
          <w:spacing w:val="-5"/>
          <w:sz w:val="22"/>
          <w:szCs w:val="22"/>
        </w:rPr>
        <w:t xml:space="preserve"> </w:t>
      </w:r>
      <w:r w:rsidRPr="004635E5">
        <w:rPr>
          <w:b/>
          <w:sz w:val="22"/>
          <w:szCs w:val="22"/>
        </w:rPr>
        <w:t>depletion</w:t>
      </w:r>
      <w:r w:rsidRPr="004635E5">
        <w:rPr>
          <w:b/>
          <w:spacing w:val="-11"/>
          <w:sz w:val="22"/>
          <w:szCs w:val="22"/>
        </w:rPr>
        <w:t xml:space="preserve"> </w:t>
      </w:r>
      <w:r w:rsidRPr="004635E5">
        <w:rPr>
          <w:b/>
          <w:sz w:val="22"/>
          <w:szCs w:val="22"/>
        </w:rPr>
        <w:t>in</w:t>
      </w:r>
      <w:r w:rsidRPr="004635E5">
        <w:rPr>
          <w:b/>
          <w:spacing w:val="-8"/>
          <w:sz w:val="22"/>
          <w:szCs w:val="22"/>
        </w:rPr>
        <w:t xml:space="preserve"> </w:t>
      </w:r>
      <w:r w:rsidRPr="004635E5">
        <w:rPr>
          <w:b/>
          <w:sz w:val="22"/>
          <w:szCs w:val="22"/>
        </w:rPr>
        <w:t>the</w:t>
      </w:r>
      <w:r w:rsidRPr="004635E5">
        <w:rPr>
          <w:b/>
          <w:spacing w:val="-8"/>
          <w:sz w:val="22"/>
          <w:szCs w:val="22"/>
        </w:rPr>
        <w:t xml:space="preserve"> </w:t>
      </w:r>
      <w:r w:rsidRPr="004635E5">
        <w:rPr>
          <w:b/>
          <w:sz w:val="22"/>
          <w:szCs w:val="22"/>
        </w:rPr>
        <w:t>equatorial</w:t>
      </w:r>
      <w:r w:rsidRPr="004635E5">
        <w:rPr>
          <w:b/>
          <w:spacing w:val="-7"/>
          <w:sz w:val="22"/>
          <w:szCs w:val="22"/>
        </w:rPr>
        <w:t xml:space="preserve"> </w:t>
      </w:r>
      <w:r w:rsidRPr="004635E5">
        <w:rPr>
          <w:b/>
          <w:sz w:val="22"/>
          <w:szCs w:val="22"/>
        </w:rPr>
        <w:t>and</w:t>
      </w:r>
      <w:r w:rsidRPr="004635E5">
        <w:rPr>
          <w:b/>
          <w:spacing w:val="-8"/>
          <w:sz w:val="22"/>
          <w:szCs w:val="22"/>
        </w:rPr>
        <w:t xml:space="preserve"> </w:t>
      </w:r>
      <w:r w:rsidRPr="004635E5">
        <w:rPr>
          <w:b/>
          <w:sz w:val="22"/>
          <w:szCs w:val="22"/>
        </w:rPr>
        <w:t>western</w:t>
      </w:r>
      <w:r w:rsidRPr="004635E5">
        <w:rPr>
          <w:b/>
          <w:spacing w:val="-11"/>
          <w:sz w:val="22"/>
          <w:szCs w:val="22"/>
        </w:rPr>
        <w:t xml:space="preserve"> </w:t>
      </w:r>
      <w:r w:rsidRPr="004635E5">
        <w:rPr>
          <w:b/>
          <w:sz w:val="22"/>
          <w:szCs w:val="22"/>
        </w:rPr>
        <w:t>Pacific (specifically</w:t>
      </w:r>
      <w:r w:rsidRPr="004635E5">
        <w:rPr>
          <w:b/>
          <w:spacing w:val="-2"/>
          <w:sz w:val="22"/>
          <w:szCs w:val="22"/>
        </w:rPr>
        <w:t xml:space="preserve"> </w:t>
      </w:r>
      <w:r w:rsidRPr="004635E5">
        <w:rPr>
          <w:b/>
          <w:sz w:val="22"/>
          <w:szCs w:val="22"/>
        </w:rPr>
        <w:t>Regions</w:t>
      </w:r>
      <w:r w:rsidRPr="004635E5">
        <w:rPr>
          <w:b/>
          <w:spacing w:val="-4"/>
          <w:sz w:val="22"/>
          <w:szCs w:val="22"/>
        </w:rPr>
        <w:t xml:space="preserve"> </w:t>
      </w:r>
      <w:r w:rsidRPr="004635E5">
        <w:rPr>
          <w:b/>
          <w:sz w:val="22"/>
          <w:szCs w:val="22"/>
        </w:rPr>
        <w:t>3,</w:t>
      </w:r>
      <w:r w:rsidRPr="004635E5">
        <w:rPr>
          <w:b/>
          <w:spacing w:val="-5"/>
          <w:sz w:val="22"/>
          <w:szCs w:val="22"/>
        </w:rPr>
        <w:t xml:space="preserve"> </w:t>
      </w:r>
      <w:r w:rsidRPr="004635E5">
        <w:rPr>
          <w:b/>
          <w:sz w:val="22"/>
          <w:szCs w:val="22"/>
        </w:rPr>
        <w:t>4,</w:t>
      </w:r>
      <w:r w:rsidRPr="004635E5">
        <w:rPr>
          <w:b/>
          <w:spacing w:val="-3"/>
          <w:sz w:val="22"/>
          <w:szCs w:val="22"/>
        </w:rPr>
        <w:t xml:space="preserve"> </w:t>
      </w:r>
      <w:r w:rsidRPr="004635E5">
        <w:rPr>
          <w:b/>
          <w:sz w:val="22"/>
          <w:szCs w:val="22"/>
        </w:rPr>
        <w:t>7</w:t>
      </w:r>
      <w:r w:rsidRPr="004635E5">
        <w:rPr>
          <w:b/>
          <w:spacing w:val="-2"/>
          <w:sz w:val="22"/>
          <w:szCs w:val="22"/>
        </w:rPr>
        <w:t xml:space="preserve"> </w:t>
      </w:r>
      <w:r w:rsidRPr="004635E5">
        <w:rPr>
          <w:b/>
          <w:sz w:val="22"/>
          <w:szCs w:val="22"/>
        </w:rPr>
        <w:t>and</w:t>
      </w:r>
      <w:r w:rsidRPr="004635E5">
        <w:rPr>
          <w:b/>
          <w:spacing w:val="-2"/>
          <w:sz w:val="22"/>
          <w:szCs w:val="22"/>
        </w:rPr>
        <w:t xml:space="preserve"> </w:t>
      </w:r>
      <w:r w:rsidRPr="004635E5">
        <w:rPr>
          <w:b/>
          <w:sz w:val="22"/>
          <w:szCs w:val="22"/>
        </w:rPr>
        <w:t>8)</w:t>
      </w:r>
      <w:r w:rsidRPr="004635E5">
        <w:rPr>
          <w:b/>
          <w:spacing w:val="-2"/>
          <w:sz w:val="22"/>
          <w:szCs w:val="22"/>
        </w:rPr>
        <w:t xml:space="preserve"> </w:t>
      </w:r>
      <w:r w:rsidRPr="004635E5">
        <w:rPr>
          <w:b/>
          <w:sz w:val="22"/>
          <w:szCs w:val="22"/>
        </w:rPr>
        <w:t>and</w:t>
      </w:r>
      <w:r w:rsidRPr="004635E5">
        <w:rPr>
          <w:b/>
          <w:spacing w:val="-2"/>
          <w:sz w:val="22"/>
          <w:szCs w:val="22"/>
        </w:rPr>
        <w:t xml:space="preserve"> </w:t>
      </w:r>
      <w:r w:rsidRPr="004635E5">
        <w:rPr>
          <w:b/>
          <w:sz w:val="22"/>
          <w:szCs w:val="22"/>
        </w:rPr>
        <w:t>the</w:t>
      </w:r>
      <w:r w:rsidRPr="004635E5">
        <w:rPr>
          <w:b/>
          <w:spacing w:val="-2"/>
          <w:sz w:val="22"/>
          <w:szCs w:val="22"/>
        </w:rPr>
        <w:t xml:space="preserve"> </w:t>
      </w:r>
      <w:r w:rsidRPr="004635E5">
        <w:rPr>
          <w:b/>
          <w:sz w:val="22"/>
          <w:szCs w:val="22"/>
        </w:rPr>
        <w:t>associated</w:t>
      </w:r>
      <w:r w:rsidRPr="004635E5">
        <w:rPr>
          <w:b/>
          <w:spacing w:val="-5"/>
          <w:sz w:val="22"/>
          <w:szCs w:val="22"/>
        </w:rPr>
        <w:t xml:space="preserve"> </w:t>
      </w:r>
      <w:r w:rsidRPr="004635E5">
        <w:rPr>
          <w:b/>
          <w:sz w:val="22"/>
          <w:szCs w:val="22"/>
        </w:rPr>
        <w:t>higher</w:t>
      </w:r>
      <w:r w:rsidRPr="004635E5">
        <w:rPr>
          <w:b/>
          <w:spacing w:val="-4"/>
          <w:sz w:val="22"/>
          <w:szCs w:val="22"/>
        </w:rPr>
        <w:t xml:space="preserve"> </w:t>
      </w:r>
      <w:r w:rsidRPr="004635E5">
        <w:rPr>
          <w:b/>
          <w:sz w:val="22"/>
          <w:szCs w:val="22"/>
        </w:rPr>
        <w:t>levels</w:t>
      </w:r>
      <w:r w:rsidRPr="004635E5">
        <w:rPr>
          <w:b/>
          <w:spacing w:val="-4"/>
          <w:sz w:val="22"/>
          <w:szCs w:val="22"/>
        </w:rPr>
        <w:t xml:space="preserve"> </w:t>
      </w:r>
      <w:r w:rsidRPr="004635E5">
        <w:rPr>
          <w:b/>
          <w:sz w:val="22"/>
          <w:szCs w:val="22"/>
        </w:rPr>
        <w:t>of</w:t>
      </w:r>
      <w:r w:rsidRPr="004635E5">
        <w:rPr>
          <w:b/>
          <w:spacing w:val="-1"/>
          <w:sz w:val="22"/>
          <w:szCs w:val="22"/>
        </w:rPr>
        <w:t xml:space="preserve"> </w:t>
      </w:r>
      <w:r w:rsidRPr="004635E5">
        <w:rPr>
          <w:b/>
          <w:sz w:val="22"/>
          <w:szCs w:val="22"/>
        </w:rPr>
        <w:t>impact, especially</w:t>
      </w:r>
      <w:r w:rsidRPr="004635E5">
        <w:rPr>
          <w:b/>
          <w:spacing w:val="-7"/>
          <w:sz w:val="22"/>
          <w:szCs w:val="22"/>
        </w:rPr>
        <w:t xml:space="preserve"> </w:t>
      </w:r>
      <w:r w:rsidRPr="004635E5">
        <w:rPr>
          <w:b/>
          <w:sz w:val="22"/>
          <w:szCs w:val="22"/>
        </w:rPr>
        <w:t>on</w:t>
      </w:r>
      <w:r w:rsidRPr="004635E5">
        <w:rPr>
          <w:b/>
          <w:spacing w:val="-5"/>
          <w:sz w:val="22"/>
          <w:szCs w:val="22"/>
        </w:rPr>
        <w:t xml:space="preserve"> </w:t>
      </w:r>
      <w:r w:rsidRPr="004635E5">
        <w:rPr>
          <w:b/>
          <w:sz w:val="22"/>
          <w:szCs w:val="22"/>
        </w:rPr>
        <w:t>juvenile</w:t>
      </w:r>
      <w:r w:rsidRPr="004635E5">
        <w:rPr>
          <w:b/>
          <w:spacing w:val="-4"/>
          <w:sz w:val="22"/>
          <w:szCs w:val="22"/>
        </w:rPr>
        <w:t xml:space="preserve"> </w:t>
      </w:r>
      <w:r w:rsidRPr="004635E5">
        <w:rPr>
          <w:b/>
          <w:sz w:val="22"/>
          <w:szCs w:val="22"/>
        </w:rPr>
        <w:t>bigeye</w:t>
      </w:r>
      <w:r w:rsidRPr="004635E5">
        <w:rPr>
          <w:b/>
          <w:spacing w:val="-4"/>
          <w:sz w:val="22"/>
          <w:szCs w:val="22"/>
        </w:rPr>
        <w:t xml:space="preserve"> </w:t>
      </w:r>
      <w:r w:rsidRPr="004635E5">
        <w:rPr>
          <w:b/>
          <w:sz w:val="22"/>
          <w:szCs w:val="22"/>
        </w:rPr>
        <w:t>tuna,</w:t>
      </w:r>
      <w:r w:rsidRPr="004635E5">
        <w:rPr>
          <w:b/>
          <w:spacing w:val="-7"/>
          <w:sz w:val="22"/>
          <w:szCs w:val="22"/>
        </w:rPr>
        <w:t xml:space="preserve"> </w:t>
      </w:r>
      <w:r w:rsidRPr="004635E5">
        <w:rPr>
          <w:b/>
          <w:sz w:val="22"/>
          <w:szCs w:val="22"/>
        </w:rPr>
        <w:t>in</w:t>
      </w:r>
      <w:r w:rsidRPr="004635E5">
        <w:rPr>
          <w:b/>
          <w:spacing w:val="-7"/>
          <w:sz w:val="22"/>
          <w:szCs w:val="22"/>
        </w:rPr>
        <w:t xml:space="preserve"> </w:t>
      </w:r>
      <w:r w:rsidRPr="004635E5">
        <w:rPr>
          <w:b/>
          <w:sz w:val="22"/>
          <w:szCs w:val="22"/>
        </w:rPr>
        <w:t>these</w:t>
      </w:r>
      <w:r w:rsidRPr="004635E5">
        <w:rPr>
          <w:b/>
          <w:spacing w:val="-4"/>
          <w:sz w:val="22"/>
          <w:szCs w:val="22"/>
        </w:rPr>
        <w:t xml:space="preserve"> </w:t>
      </w:r>
      <w:r w:rsidRPr="004635E5">
        <w:rPr>
          <w:b/>
          <w:sz w:val="22"/>
          <w:szCs w:val="22"/>
        </w:rPr>
        <w:t>regions</w:t>
      </w:r>
      <w:r w:rsidRPr="004635E5">
        <w:rPr>
          <w:b/>
          <w:spacing w:val="-4"/>
          <w:sz w:val="22"/>
          <w:szCs w:val="22"/>
        </w:rPr>
        <w:t xml:space="preserve"> </w:t>
      </w:r>
      <w:r w:rsidRPr="004635E5">
        <w:rPr>
          <w:b/>
          <w:sz w:val="22"/>
          <w:szCs w:val="22"/>
        </w:rPr>
        <w:t>due</w:t>
      </w:r>
      <w:r w:rsidRPr="004635E5">
        <w:rPr>
          <w:b/>
          <w:spacing w:val="-4"/>
          <w:sz w:val="22"/>
          <w:szCs w:val="22"/>
        </w:rPr>
        <w:t xml:space="preserve"> </w:t>
      </w:r>
      <w:r w:rsidRPr="004635E5">
        <w:rPr>
          <w:b/>
          <w:sz w:val="22"/>
          <w:szCs w:val="22"/>
        </w:rPr>
        <w:t>to</w:t>
      </w:r>
      <w:r w:rsidRPr="004635E5">
        <w:rPr>
          <w:b/>
          <w:spacing w:val="-7"/>
          <w:sz w:val="22"/>
          <w:szCs w:val="22"/>
        </w:rPr>
        <w:t xml:space="preserve"> </w:t>
      </w:r>
      <w:r w:rsidRPr="004635E5">
        <w:rPr>
          <w:b/>
          <w:sz w:val="22"/>
          <w:szCs w:val="22"/>
        </w:rPr>
        <w:t>the</w:t>
      </w:r>
      <w:r w:rsidRPr="004635E5">
        <w:rPr>
          <w:b/>
          <w:spacing w:val="-4"/>
          <w:sz w:val="22"/>
          <w:szCs w:val="22"/>
        </w:rPr>
        <w:t xml:space="preserve"> </w:t>
      </w:r>
      <w:r w:rsidRPr="004635E5">
        <w:rPr>
          <w:b/>
          <w:sz w:val="22"/>
          <w:szCs w:val="22"/>
        </w:rPr>
        <w:t>associated</w:t>
      </w:r>
      <w:r w:rsidRPr="004635E5">
        <w:rPr>
          <w:b/>
          <w:spacing w:val="-5"/>
          <w:sz w:val="22"/>
          <w:szCs w:val="22"/>
        </w:rPr>
        <w:t xml:space="preserve"> </w:t>
      </w:r>
      <w:r w:rsidRPr="004635E5">
        <w:rPr>
          <w:b/>
          <w:sz w:val="22"/>
          <w:szCs w:val="22"/>
        </w:rPr>
        <w:t>purse-seine</w:t>
      </w:r>
      <w:r w:rsidRPr="004635E5">
        <w:rPr>
          <w:b/>
          <w:spacing w:val="-7"/>
          <w:sz w:val="22"/>
          <w:szCs w:val="22"/>
        </w:rPr>
        <w:t xml:space="preserve"> </w:t>
      </w:r>
      <w:r w:rsidRPr="004635E5">
        <w:rPr>
          <w:b/>
          <w:sz w:val="22"/>
          <w:szCs w:val="22"/>
        </w:rPr>
        <w:t>fisheries</w:t>
      </w:r>
      <w:r w:rsidRPr="004635E5">
        <w:rPr>
          <w:b/>
          <w:spacing w:val="-6"/>
          <w:sz w:val="22"/>
          <w:szCs w:val="22"/>
        </w:rPr>
        <w:t xml:space="preserve"> </w:t>
      </w:r>
      <w:r w:rsidRPr="004635E5">
        <w:rPr>
          <w:b/>
          <w:sz w:val="22"/>
          <w:szCs w:val="22"/>
        </w:rPr>
        <w:t>and</w:t>
      </w:r>
      <w:r w:rsidRPr="004635E5">
        <w:rPr>
          <w:b/>
          <w:spacing w:val="-5"/>
          <w:sz w:val="22"/>
          <w:szCs w:val="22"/>
        </w:rPr>
        <w:t xml:space="preserve"> </w:t>
      </w:r>
      <w:r w:rsidRPr="004635E5">
        <w:rPr>
          <w:b/>
          <w:sz w:val="22"/>
          <w:szCs w:val="22"/>
        </w:rPr>
        <w:t>the ‘other’ fisheries within the western Pacific (as shown in Figures 46 and 47 of</w:t>
      </w:r>
      <w:r w:rsidRPr="004635E5">
        <w:rPr>
          <w:b/>
          <w:spacing w:val="-20"/>
          <w:sz w:val="22"/>
          <w:szCs w:val="22"/>
        </w:rPr>
        <w:t xml:space="preserve"> </w:t>
      </w:r>
      <w:r w:rsidRPr="004635E5">
        <w:rPr>
          <w:b/>
          <w:sz w:val="22"/>
          <w:szCs w:val="22"/>
        </w:rPr>
        <w:t xml:space="preserve">SC13-SA-WP-03). </w:t>
      </w:r>
    </w:p>
    <w:p w14:paraId="5F096A9E" w14:textId="77777777" w:rsidR="00BD47F7" w:rsidRPr="004635E5" w:rsidRDefault="00BA4FCE" w:rsidP="00580EA4">
      <w:pPr>
        <w:numPr>
          <w:ilvl w:val="0"/>
          <w:numId w:val="18"/>
        </w:numPr>
        <w:autoSpaceDE w:val="0"/>
        <w:autoSpaceDN w:val="0"/>
        <w:adjustRightInd w:val="0"/>
        <w:snapToGrid w:val="0"/>
        <w:ind w:left="0" w:firstLine="0"/>
        <w:jc w:val="both"/>
        <w:rPr>
          <w:rFonts w:eastAsia="MS PMincho"/>
          <w:b/>
          <w:sz w:val="22"/>
          <w:szCs w:val="22"/>
        </w:rPr>
      </w:pPr>
      <w:r w:rsidRPr="004635E5">
        <w:rPr>
          <w:rFonts w:eastAsia="MS PMincho"/>
          <w:b/>
          <w:sz w:val="22"/>
          <w:szCs w:val="22"/>
        </w:rPr>
        <w:t>Table BET-3 summarises the median values of SB/SB</w:t>
      </w:r>
      <w:r w:rsidRPr="004635E5">
        <w:rPr>
          <w:rFonts w:eastAsia="MS PMincho"/>
          <w:b/>
          <w:sz w:val="22"/>
          <w:szCs w:val="22"/>
          <w:vertAlign w:val="subscript"/>
        </w:rPr>
        <w:t>F=0</w:t>
      </w:r>
      <w:r w:rsidRPr="004635E5">
        <w:rPr>
          <w:rFonts w:eastAsia="MS PMincho"/>
          <w:b/>
          <w:sz w:val="22"/>
          <w:szCs w:val="22"/>
        </w:rPr>
        <w:t xml:space="preserve"> and F/F</w:t>
      </w:r>
      <w:r w:rsidRPr="004635E5">
        <w:rPr>
          <w:rFonts w:eastAsia="MS PMincho"/>
          <w:b/>
          <w:sz w:val="22"/>
          <w:szCs w:val="22"/>
          <w:vertAlign w:val="subscript"/>
        </w:rPr>
        <w:t>MSY</w:t>
      </w:r>
      <w:r w:rsidRPr="004635E5">
        <w:rPr>
          <w:rFonts w:eastAsia="MS PMincho"/>
          <w:b/>
          <w:sz w:val="22"/>
          <w:szCs w:val="22"/>
        </w:rPr>
        <w:t xml:space="preserve"> achieved in the long term,</w:t>
      </w:r>
      <w:r w:rsidR="00BD47F7" w:rsidRPr="004635E5">
        <w:rPr>
          <w:rFonts w:eastAsia="MS PMincho"/>
          <w:b/>
          <w:sz w:val="22"/>
          <w:szCs w:val="22"/>
        </w:rPr>
        <w:t xml:space="preserve"> </w:t>
      </w:r>
      <w:r w:rsidRPr="004635E5">
        <w:rPr>
          <w:rFonts w:eastAsia="MS PMincho"/>
          <w:b/>
          <w:sz w:val="22"/>
          <w:szCs w:val="22"/>
        </w:rPr>
        <w:t>along with the potential risk of breaching the limit reference point (LRP) and exceeding F</w:t>
      </w:r>
      <w:r w:rsidRPr="004635E5">
        <w:rPr>
          <w:rFonts w:eastAsia="MS PMincho"/>
          <w:b/>
          <w:sz w:val="22"/>
          <w:szCs w:val="22"/>
          <w:vertAlign w:val="subscript"/>
        </w:rPr>
        <w:t>MSY</w:t>
      </w:r>
      <w:r w:rsidRPr="004635E5">
        <w:rPr>
          <w:rFonts w:eastAsia="MS PMincho"/>
          <w:b/>
          <w:sz w:val="22"/>
          <w:szCs w:val="22"/>
        </w:rPr>
        <w:t>,</w:t>
      </w:r>
      <w:r w:rsidR="00BD47F7" w:rsidRPr="004635E5">
        <w:rPr>
          <w:rFonts w:eastAsia="MS PMincho"/>
          <w:b/>
          <w:sz w:val="22"/>
          <w:szCs w:val="22"/>
        </w:rPr>
        <w:t xml:space="preserve"> </w:t>
      </w:r>
      <w:r w:rsidRPr="004635E5">
        <w:rPr>
          <w:rFonts w:eastAsia="MS PMincho"/>
          <w:b/>
          <w:sz w:val="22"/>
          <w:szCs w:val="22"/>
        </w:rPr>
        <w:t xml:space="preserve">under each of the future fishing and recruitment combinations. Figure </w:t>
      </w:r>
      <w:r w:rsidR="00D014E4" w:rsidRPr="004635E5">
        <w:rPr>
          <w:rFonts w:eastAsia="MS PMincho"/>
          <w:b/>
          <w:sz w:val="22"/>
          <w:szCs w:val="22"/>
        </w:rPr>
        <w:t>BET-6</w:t>
      </w:r>
      <w:r w:rsidRPr="004635E5">
        <w:rPr>
          <w:rFonts w:eastAsia="MS PMincho"/>
          <w:b/>
          <w:sz w:val="22"/>
          <w:szCs w:val="22"/>
        </w:rPr>
        <w:t xml:space="preserve"> presents the</w:t>
      </w:r>
      <w:r w:rsidR="00BD47F7" w:rsidRPr="004635E5">
        <w:rPr>
          <w:rFonts w:eastAsia="MS PMincho"/>
          <w:b/>
          <w:sz w:val="22"/>
          <w:szCs w:val="22"/>
        </w:rPr>
        <w:t xml:space="preserve"> </w:t>
      </w:r>
      <w:r w:rsidRPr="004635E5">
        <w:rPr>
          <w:rFonts w:eastAsia="MS PMincho"/>
          <w:b/>
          <w:sz w:val="22"/>
          <w:szCs w:val="22"/>
        </w:rPr>
        <w:t>corresponding distributions of long term SB/SB</w:t>
      </w:r>
      <w:r w:rsidRPr="004635E5">
        <w:rPr>
          <w:rFonts w:eastAsia="MS PMincho"/>
          <w:b/>
          <w:sz w:val="22"/>
          <w:szCs w:val="22"/>
          <w:vertAlign w:val="subscript"/>
        </w:rPr>
        <w:t>F=0</w:t>
      </w:r>
      <w:r w:rsidRPr="004635E5">
        <w:rPr>
          <w:rFonts w:eastAsia="MS PMincho"/>
          <w:b/>
          <w:sz w:val="22"/>
          <w:szCs w:val="22"/>
        </w:rPr>
        <w:t xml:space="preserve"> and Figure </w:t>
      </w:r>
      <w:r w:rsidR="00D014E4" w:rsidRPr="004635E5">
        <w:rPr>
          <w:rFonts w:eastAsia="MS PMincho"/>
          <w:b/>
          <w:sz w:val="22"/>
          <w:szCs w:val="22"/>
        </w:rPr>
        <w:t>BET-7</w:t>
      </w:r>
      <w:r w:rsidRPr="004635E5">
        <w:rPr>
          <w:rFonts w:eastAsia="MS PMincho"/>
          <w:b/>
          <w:sz w:val="22"/>
          <w:szCs w:val="22"/>
        </w:rPr>
        <w:t xml:space="preserve"> those for F/F</w:t>
      </w:r>
      <w:r w:rsidRPr="004635E5">
        <w:rPr>
          <w:rFonts w:eastAsia="MS PMincho"/>
          <w:b/>
          <w:sz w:val="22"/>
          <w:szCs w:val="22"/>
          <w:vertAlign w:val="subscript"/>
        </w:rPr>
        <w:t>MSY</w:t>
      </w:r>
      <w:r w:rsidRPr="004635E5">
        <w:rPr>
          <w:rFonts w:eastAsia="MS PMincho"/>
          <w:b/>
          <w:sz w:val="22"/>
          <w:szCs w:val="22"/>
        </w:rPr>
        <w:t>.</w:t>
      </w:r>
    </w:p>
    <w:p w14:paraId="074C2A10" w14:textId="77777777" w:rsidR="00B26471" w:rsidRPr="004635E5" w:rsidRDefault="00B26471" w:rsidP="006633A8">
      <w:pPr>
        <w:autoSpaceDE w:val="0"/>
        <w:autoSpaceDN w:val="0"/>
        <w:adjustRightInd w:val="0"/>
        <w:snapToGrid w:val="0"/>
        <w:jc w:val="both"/>
        <w:rPr>
          <w:rFonts w:eastAsia="MS PMincho"/>
          <w:b/>
          <w:sz w:val="22"/>
          <w:szCs w:val="22"/>
        </w:rPr>
      </w:pPr>
    </w:p>
    <w:p w14:paraId="0FF65094" w14:textId="77777777" w:rsidR="00BD47F7" w:rsidRPr="004635E5" w:rsidRDefault="00BA4FCE" w:rsidP="00580EA4">
      <w:pPr>
        <w:numPr>
          <w:ilvl w:val="0"/>
          <w:numId w:val="18"/>
        </w:numPr>
        <w:autoSpaceDE w:val="0"/>
        <w:autoSpaceDN w:val="0"/>
        <w:adjustRightInd w:val="0"/>
        <w:snapToGrid w:val="0"/>
        <w:ind w:left="0" w:firstLine="0"/>
        <w:jc w:val="both"/>
        <w:rPr>
          <w:rFonts w:eastAsia="MS PMincho"/>
          <w:b/>
          <w:sz w:val="22"/>
          <w:szCs w:val="22"/>
        </w:rPr>
      </w:pPr>
      <w:r w:rsidRPr="004635E5">
        <w:rPr>
          <w:rFonts w:eastAsia="MS PMincho"/>
          <w:b/>
          <w:sz w:val="22"/>
          <w:szCs w:val="22"/>
        </w:rPr>
        <w:t>Potential outcomes under the 2013-15 average and CMM scenario conditions were</w:t>
      </w:r>
      <w:r w:rsidR="00BD47F7" w:rsidRPr="004635E5">
        <w:rPr>
          <w:rFonts w:eastAsia="MS PMincho"/>
          <w:b/>
          <w:sz w:val="22"/>
          <w:szCs w:val="22"/>
        </w:rPr>
        <w:t xml:space="preserve"> </w:t>
      </w:r>
      <w:r w:rsidRPr="004635E5">
        <w:rPr>
          <w:rFonts w:eastAsia="MS PMincho"/>
          <w:b/>
          <w:sz w:val="22"/>
          <w:szCs w:val="22"/>
        </w:rPr>
        <w:t xml:space="preserve">strongly influenced by the assumed future recruitment levels. </w:t>
      </w:r>
    </w:p>
    <w:p w14:paraId="777DEA0C" w14:textId="77777777" w:rsidR="00B26471" w:rsidRPr="004635E5" w:rsidRDefault="00B26471" w:rsidP="006633A8">
      <w:pPr>
        <w:autoSpaceDE w:val="0"/>
        <w:autoSpaceDN w:val="0"/>
        <w:adjustRightInd w:val="0"/>
        <w:snapToGrid w:val="0"/>
        <w:jc w:val="both"/>
        <w:rPr>
          <w:rFonts w:eastAsia="MS PMincho"/>
          <w:b/>
          <w:sz w:val="22"/>
          <w:szCs w:val="22"/>
        </w:rPr>
      </w:pPr>
    </w:p>
    <w:p w14:paraId="3488B59D" w14:textId="77777777" w:rsidR="00B26471" w:rsidRPr="004635E5" w:rsidRDefault="00BA4FCE" w:rsidP="00580EA4">
      <w:pPr>
        <w:numPr>
          <w:ilvl w:val="0"/>
          <w:numId w:val="18"/>
        </w:numPr>
        <w:autoSpaceDE w:val="0"/>
        <w:autoSpaceDN w:val="0"/>
        <w:adjustRightInd w:val="0"/>
        <w:snapToGrid w:val="0"/>
        <w:ind w:left="0" w:firstLine="0"/>
        <w:jc w:val="both"/>
        <w:rPr>
          <w:rFonts w:eastAsia="MS PMincho"/>
          <w:b/>
          <w:sz w:val="22"/>
          <w:szCs w:val="22"/>
        </w:rPr>
      </w:pPr>
      <w:r w:rsidRPr="004635E5">
        <w:rPr>
          <w:rFonts w:eastAsia="MS PMincho"/>
          <w:b/>
          <w:sz w:val="22"/>
          <w:szCs w:val="22"/>
        </w:rPr>
        <w:t>Under the assumption that recent positive recruitments will continue into the future, spawning</w:t>
      </w:r>
      <w:r w:rsidR="00BD47F7" w:rsidRPr="004635E5">
        <w:rPr>
          <w:rFonts w:eastAsia="MS PMincho"/>
          <w:b/>
          <w:sz w:val="22"/>
          <w:szCs w:val="22"/>
        </w:rPr>
        <w:t xml:space="preserve"> </w:t>
      </w:r>
      <w:r w:rsidRPr="004635E5">
        <w:rPr>
          <w:rFonts w:eastAsia="MS PMincho"/>
          <w:b/>
          <w:sz w:val="22"/>
          <w:szCs w:val="22"/>
        </w:rPr>
        <w:t>biomass relative to unfished levels is predicted to increase from recent levels under all</w:t>
      </w:r>
      <w:r w:rsidR="00BD47F7" w:rsidRPr="004635E5">
        <w:rPr>
          <w:rFonts w:eastAsia="MS PMincho"/>
          <w:b/>
          <w:sz w:val="22"/>
          <w:szCs w:val="22"/>
        </w:rPr>
        <w:t xml:space="preserve"> </w:t>
      </w:r>
      <w:r w:rsidRPr="004635E5">
        <w:rPr>
          <w:rFonts w:eastAsia="MS PMincho"/>
          <w:b/>
          <w:sz w:val="22"/>
          <w:szCs w:val="22"/>
        </w:rPr>
        <w:t>examined future scenarios by 0-18% (SB</w:t>
      </w:r>
      <w:r w:rsidRPr="004635E5">
        <w:rPr>
          <w:rFonts w:eastAsia="MS PMincho"/>
          <w:b/>
          <w:sz w:val="22"/>
          <w:szCs w:val="22"/>
          <w:vertAlign w:val="subscript"/>
        </w:rPr>
        <w:t>2045</w:t>
      </w:r>
      <w:r w:rsidRPr="004635E5">
        <w:rPr>
          <w:rFonts w:eastAsia="MS PMincho"/>
          <w:b/>
          <w:sz w:val="22"/>
          <w:szCs w:val="22"/>
        </w:rPr>
        <w:t>/SB</w:t>
      </w:r>
      <w:r w:rsidRPr="004635E5">
        <w:rPr>
          <w:rFonts w:eastAsia="MS PMincho"/>
          <w:b/>
          <w:sz w:val="22"/>
          <w:szCs w:val="22"/>
          <w:vertAlign w:val="subscript"/>
        </w:rPr>
        <w:t>F=0</w:t>
      </w:r>
      <w:r w:rsidRPr="004635E5">
        <w:rPr>
          <w:rFonts w:eastAsia="MS PMincho"/>
          <w:b/>
          <w:sz w:val="22"/>
          <w:szCs w:val="22"/>
        </w:rPr>
        <w:t xml:space="preserve"> ranges from 0.36 to 0.42; Table BET-3, Figure</w:t>
      </w:r>
      <w:r w:rsidR="00BD47F7" w:rsidRPr="004635E5">
        <w:rPr>
          <w:rFonts w:eastAsia="MS PMincho"/>
          <w:b/>
          <w:sz w:val="22"/>
          <w:szCs w:val="22"/>
        </w:rPr>
        <w:t xml:space="preserve"> </w:t>
      </w:r>
      <w:r w:rsidRPr="004635E5">
        <w:rPr>
          <w:rFonts w:eastAsia="MS PMincho"/>
          <w:b/>
          <w:sz w:val="22"/>
          <w:szCs w:val="22"/>
        </w:rPr>
        <w:t>BET-6). While future uncertainty in stock status increases due to stochastic future recruitment levels,</w:t>
      </w:r>
      <w:r w:rsidR="00BD47F7" w:rsidRPr="004635E5">
        <w:rPr>
          <w:rFonts w:eastAsia="MS PMincho"/>
          <w:b/>
          <w:sz w:val="22"/>
          <w:szCs w:val="22"/>
        </w:rPr>
        <w:t xml:space="preserve"> </w:t>
      </w:r>
      <w:r w:rsidRPr="004635E5">
        <w:rPr>
          <w:rFonts w:eastAsia="MS PMincho"/>
          <w:b/>
          <w:sz w:val="22"/>
          <w:szCs w:val="22"/>
        </w:rPr>
        <w:t>the risk of future spawning biomass falling below the LRP falls to between 0 and 5%, due to</w:t>
      </w:r>
      <w:r w:rsidR="00BD47F7" w:rsidRPr="004635E5">
        <w:rPr>
          <w:rFonts w:eastAsia="MS PMincho"/>
          <w:b/>
          <w:sz w:val="22"/>
          <w:szCs w:val="22"/>
        </w:rPr>
        <w:t xml:space="preserve"> </w:t>
      </w:r>
      <w:r w:rsidRPr="004635E5">
        <w:rPr>
          <w:rFonts w:eastAsia="MS PMincho"/>
          <w:b/>
          <w:sz w:val="22"/>
          <w:szCs w:val="22"/>
        </w:rPr>
        <w:t>the improved overall stock size. Fishing mortality falls slightly under both the status quo and</w:t>
      </w:r>
      <w:r w:rsidR="00BD47F7" w:rsidRPr="004635E5">
        <w:rPr>
          <w:rFonts w:eastAsia="MS PMincho"/>
          <w:b/>
          <w:sz w:val="22"/>
          <w:szCs w:val="22"/>
        </w:rPr>
        <w:t xml:space="preserve"> </w:t>
      </w:r>
      <w:r w:rsidRPr="004635E5">
        <w:rPr>
          <w:rFonts w:eastAsia="MS PMincho"/>
          <w:b/>
          <w:sz w:val="22"/>
          <w:szCs w:val="22"/>
        </w:rPr>
        <w:t>optimistic scenarios, assuming recent recruitment. However, fishing mortality increases under</w:t>
      </w:r>
      <w:r w:rsidR="00BD47F7" w:rsidRPr="004635E5">
        <w:rPr>
          <w:rFonts w:eastAsia="MS PMincho"/>
          <w:b/>
          <w:sz w:val="22"/>
          <w:szCs w:val="22"/>
        </w:rPr>
        <w:t xml:space="preserve"> </w:t>
      </w:r>
      <w:r w:rsidRPr="004635E5">
        <w:rPr>
          <w:rFonts w:eastAsia="MS PMincho"/>
          <w:b/>
          <w:sz w:val="22"/>
          <w:szCs w:val="22"/>
        </w:rPr>
        <w:t>the pessimistic scenario, but remains below F</w:t>
      </w:r>
      <w:r w:rsidRPr="004635E5">
        <w:rPr>
          <w:rFonts w:eastAsia="MS PMincho"/>
          <w:b/>
          <w:sz w:val="22"/>
          <w:szCs w:val="22"/>
          <w:vertAlign w:val="subscript"/>
        </w:rPr>
        <w:t>MSY</w:t>
      </w:r>
      <w:r w:rsidRPr="004635E5">
        <w:rPr>
          <w:rFonts w:eastAsia="MS PMincho"/>
          <w:b/>
          <w:sz w:val="22"/>
          <w:szCs w:val="22"/>
        </w:rPr>
        <w:t xml:space="preserve"> (30% risk of F &gt; F</w:t>
      </w:r>
      <w:r w:rsidRPr="004635E5">
        <w:rPr>
          <w:rFonts w:eastAsia="MS PMincho"/>
          <w:b/>
          <w:sz w:val="22"/>
          <w:szCs w:val="22"/>
          <w:vertAlign w:val="subscript"/>
        </w:rPr>
        <w:t>MSY</w:t>
      </w:r>
      <w:r w:rsidRPr="004635E5">
        <w:rPr>
          <w:rFonts w:eastAsia="MS PMincho"/>
          <w:b/>
          <w:sz w:val="22"/>
          <w:szCs w:val="22"/>
        </w:rPr>
        <w:t xml:space="preserve"> Table BET-3, Figure BET-7).</w:t>
      </w:r>
    </w:p>
    <w:p w14:paraId="7BAC0732" w14:textId="77777777" w:rsidR="00BD47F7" w:rsidRPr="004635E5" w:rsidRDefault="00BA4FCE" w:rsidP="006633A8">
      <w:pPr>
        <w:autoSpaceDE w:val="0"/>
        <w:autoSpaceDN w:val="0"/>
        <w:adjustRightInd w:val="0"/>
        <w:snapToGrid w:val="0"/>
        <w:jc w:val="both"/>
        <w:rPr>
          <w:rFonts w:eastAsia="MS PMincho"/>
          <w:b/>
          <w:sz w:val="22"/>
          <w:szCs w:val="22"/>
        </w:rPr>
      </w:pPr>
      <w:r w:rsidRPr="004635E5">
        <w:rPr>
          <w:rFonts w:eastAsia="MS PMincho"/>
          <w:b/>
          <w:sz w:val="22"/>
          <w:szCs w:val="22"/>
        </w:rPr>
        <w:t xml:space="preserve"> </w:t>
      </w:r>
    </w:p>
    <w:p w14:paraId="119D0E17" w14:textId="77777777" w:rsidR="00BD47F7" w:rsidRPr="004635E5" w:rsidRDefault="00BA4FCE" w:rsidP="00580EA4">
      <w:pPr>
        <w:numPr>
          <w:ilvl w:val="0"/>
          <w:numId w:val="18"/>
        </w:numPr>
        <w:autoSpaceDE w:val="0"/>
        <w:autoSpaceDN w:val="0"/>
        <w:adjustRightInd w:val="0"/>
        <w:snapToGrid w:val="0"/>
        <w:ind w:left="0" w:firstLine="0"/>
        <w:jc w:val="both"/>
        <w:rPr>
          <w:rFonts w:eastAsia="MS PMincho"/>
          <w:b/>
          <w:sz w:val="22"/>
          <w:szCs w:val="22"/>
        </w:rPr>
      </w:pPr>
      <w:r w:rsidRPr="004635E5">
        <w:rPr>
          <w:rFonts w:eastAsia="MS PMincho"/>
          <w:b/>
          <w:sz w:val="22"/>
          <w:szCs w:val="22"/>
        </w:rPr>
        <w:t>Under the assumption that less positive long-term recruitments are experienced in the future,</w:t>
      </w:r>
      <w:r w:rsidR="00BD47F7" w:rsidRPr="004635E5">
        <w:rPr>
          <w:rFonts w:eastAsia="MS PMincho"/>
          <w:b/>
          <w:sz w:val="22"/>
          <w:szCs w:val="22"/>
        </w:rPr>
        <w:t xml:space="preserve"> </w:t>
      </w:r>
      <w:r w:rsidRPr="004635E5">
        <w:rPr>
          <w:rFonts w:eastAsia="MS PMincho"/>
          <w:b/>
          <w:sz w:val="22"/>
          <w:szCs w:val="22"/>
        </w:rPr>
        <w:t>spawning biomass relative to unfished levels will decline under all scenarios (SB</w:t>
      </w:r>
      <w:r w:rsidRPr="004635E5">
        <w:rPr>
          <w:rFonts w:eastAsia="MS PMincho"/>
          <w:b/>
          <w:sz w:val="22"/>
          <w:szCs w:val="22"/>
          <w:vertAlign w:val="subscript"/>
        </w:rPr>
        <w:t>2045</w:t>
      </w:r>
      <w:r w:rsidRPr="004635E5">
        <w:rPr>
          <w:rFonts w:eastAsia="MS PMincho"/>
          <w:b/>
          <w:sz w:val="22"/>
          <w:szCs w:val="22"/>
        </w:rPr>
        <w:t>/SB</w:t>
      </w:r>
      <w:r w:rsidRPr="004635E5">
        <w:rPr>
          <w:rFonts w:eastAsia="MS PMincho"/>
          <w:b/>
          <w:sz w:val="22"/>
          <w:szCs w:val="22"/>
          <w:vertAlign w:val="subscript"/>
        </w:rPr>
        <w:t>F=0</w:t>
      </w:r>
      <w:r w:rsidR="00BD47F7" w:rsidRPr="004635E5">
        <w:rPr>
          <w:rFonts w:eastAsia="MS PMincho"/>
          <w:b/>
          <w:sz w:val="22"/>
          <w:szCs w:val="22"/>
        </w:rPr>
        <w:t xml:space="preserve"> </w:t>
      </w:r>
      <w:r w:rsidRPr="004635E5">
        <w:rPr>
          <w:rFonts w:eastAsia="MS PMincho"/>
          <w:b/>
          <w:sz w:val="22"/>
          <w:szCs w:val="22"/>
        </w:rPr>
        <w:t>ranges from 0.25 to 0.30). The risk of spawning biomass falling below the LRP increases to</w:t>
      </w:r>
      <w:r w:rsidR="00BD47F7" w:rsidRPr="004635E5">
        <w:rPr>
          <w:rFonts w:eastAsia="MS PMincho"/>
          <w:b/>
          <w:sz w:val="22"/>
          <w:szCs w:val="22"/>
        </w:rPr>
        <w:t xml:space="preserve"> </w:t>
      </w:r>
      <w:r w:rsidRPr="004635E5">
        <w:rPr>
          <w:rFonts w:eastAsia="MS PMincho"/>
          <w:b/>
          <w:sz w:val="22"/>
          <w:szCs w:val="22"/>
        </w:rPr>
        <w:t>between 17 and 32% (Table BET-3). In all fishing scenarios, fishing mortality increases relative to</w:t>
      </w:r>
      <w:r w:rsidR="00BD47F7" w:rsidRPr="004635E5">
        <w:rPr>
          <w:rFonts w:eastAsia="MS PMincho"/>
          <w:b/>
          <w:sz w:val="22"/>
          <w:szCs w:val="22"/>
        </w:rPr>
        <w:t xml:space="preserve"> </w:t>
      </w:r>
      <w:r w:rsidRPr="004635E5">
        <w:rPr>
          <w:rFonts w:eastAsia="MS PMincho"/>
          <w:b/>
          <w:sz w:val="22"/>
          <w:szCs w:val="22"/>
        </w:rPr>
        <w:t>recent levels (by 109-138%) and is well above F</w:t>
      </w:r>
      <w:r w:rsidRPr="004635E5">
        <w:rPr>
          <w:rFonts w:eastAsia="MS PMincho"/>
          <w:b/>
          <w:sz w:val="22"/>
          <w:szCs w:val="22"/>
          <w:vertAlign w:val="subscript"/>
        </w:rPr>
        <w:t>MSY</w:t>
      </w:r>
      <w:r w:rsidRPr="004635E5">
        <w:rPr>
          <w:rFonts w:eastAsia="MS PMincho"/>
          <w:b/>
          <w:sz w:val="22"/>
          <w:szCs w:val="22"/>
        </w:rPr>
        <w:t>. Risk of fishing mortality exceeding F</w:t>
      </w:r>
      <w:r w:rsidRPr="004635E5">
        <w:rPr>
          <w:rFonts w:eastAsia="MS PMincho"/>
          <w:b/>
          <w:sz w:val="22"/>
          <w:szCs w:val="22"/>
          <w:vertAlign w:val="subscript"/>
        </w:rPr>
        <w:t>MSY</w:t>
      </w:r>
      <w:r w:rsidR="00BD47F7" w:rsidRPr="004635E5">
        <w:rPr>
          <w:rFonts w:eastAsia="MS PMincho"/>
          <w:b/>
          <w:sz w:val="22"/>
          <w:szCs w:val="22"/>
          <w:vertAlign w:val="subscript"/>
        </w:rPr>
        <w:t xml:space="preserve"> </w:t>
      </w:r>
      <w:r w:rsidRPr="004635E5">
        <w:rPr>
          <w:rFonts w:eastAsia="MS PMincho"/>
          <w:b/>
          <w:sz w:val="22"/>
          <w:szCs w:val="22"/>
        </w:rPr>
        <w:t xml:space="preserve">ranges from 93 to 98%. </w:t>
      </w:r>
    </w:p>
    <w:p w14:paraId="513244D2" w14:textId="77777777" w:rsidR="00B26471" w:rsidRPr="004635E5" w:rsidRDefault="00B26471" w:rsidP="006633A8">
      <w:pPr>
        <w:autoSpaceDE w:val="0"/>
        <w:autoSpaceDN w:val="0"/>
        <w:adjustRightInd w:val="0"/>
        <w:snapToGrid w:val="0"/>
        <w:jc w:val="both"/>
        <w:rPr>
          <w:rFonts w:eastAsia="MS PMincho"/>
          <w:b/>
          <w:sz w:val="22"/>
          <w:szCs w:val="22"/>
        </w:rPr>
      </w:pPr>
    </w:p>
    <w:p w14:paraId="10871C89" w14:textId="77777777" w:rsidR="00BA4FCE" w:rsidRPr="004635E5" w:rsidRDefault="00BA4FCE" w:rsidP="00580EA4">
      <w:pPr>
        <w:numPr>
          <w:ilvl w:val="0"/>
          <w:numId w:val="18"/>
        </w:numPr>
        <w:autoSpaceDE w:val="0"/>
        <w:autoSpaceDN w:val="0"/>
        <w:adjustRightInd w:val="0"/>
        <w:snapToGrid w:val="0"/>
        <w:ind w:left="0" w:firstLine="0"/>
        <w:jc w:val="both"/>
        <w:rPr>
          <w:rFonts w:eastAsia="MS PMincho"/>
          <w:b/>
          <w:sz w:val="22"/>
          <w:szCs w:val="22"/>
        </w:rPr>
      </w:pPr>
      <w:r w:rsidRPr="004635E5">
        <w:rPr>
          <w:rFonts w:eastAsia="MS PMincho"/>
          <w:b/>
          <w:sz w:val="22"/>
          <w:szCs w:val="22"/>
        </w:rPr>
        <w:t>It should be noted that even under assumption of long term recruitment levels, the risk of exceeding the LRP in the short term ranges between 2% and 7% (2020) and 12 and 26% (2025), with only the pessimistic scenario exceeding the 20% level of risk in 2025. (Table BET-4</w:t>
      </w:r>
      <w:r w:rsidR="00DB69E3" w:rsidRPr="00DB69E3">
        <w:rPr>
          <w:rFonts w:eastAsia="MS PMincho"/>
          <w:b/>
          <w:sz w:val="22"/>
          <w:szCs w:val="22"/>
        </w:rPr>
        <w:t xml:space="preserve"> </w:t>
      </w:r>
      <w:r w:rsidR="00DB69E3">
        <w:rPr>
          <w:rFonts w:eastAsia="MS PMincho"/>
          <w:b/>
          <w:sz w:val="22"/>
          <w:szCs w:val="22"/>
        </w:rPr>
        <w:t>and Figure BET-8</w:t>
      </w:r>
      <w:r w:rsidRPr="004635E5">
        <w:rPr>
          <w:rFonts w:eastAsia="MS PMincho"/>
          <w:b/>
          <w:sz w:val="22"/>
          <w:szCs w:val="22"/>
        </w:rPr>
        <w:t xml:space="preserve">) </w:t>
      </w:r>
    </w:p>
    <w:p w14:paraId="2A5E6AFE" w14:textId="77777777" w:rsidR="00BA4FCE" w:rsidRPr="004635E5" w:rsidRDefault="00BA4FCE" w:rsidP="006633A8">
      <w:pPr>
        <w:autoSpaceDE w:val="0"/>
        <w:autoSpaceDN w:val="0"/>
        <w:adjustRightInd w:val="0"/>
        <w:snapToGrid w:val="0"/>
        <w:rPr>
          <w:rFonts w:eastAsia="MS PMincho"/>
          <w:sz w:val="22"/>
          <w:szCs w:val="22"/>
        </w:rPr>
      </w:pPr>
    </w:p>
    <w:p w14:paraId="033B6719" w14:textId="77777777" w:rsidR="00BA4FCE" w:rsidRPr="004635E5" w:rsidRDefault="00BA4FCE" w:rsidP="006633A8">
      <w:pPr>
        <w:adjustRightInd w:val="0"/>
        <w:snapToGrid w:val="0"/>
        <w:rPr>
          <w:rFonts w:eastAsia="MS PMincho"/>
          <w:sz w:val="22"/>
          <w:szCs w:val="22"/>
        </w:rPr>
        <w:sectPr w:rsidR="00BA4FCE" w:rsidRPr="004635E5" w:rsidSect="00436E03">
          <w:type w:val="continuous"/>
          <w:pgSz w:w="12240" w:h="15840" w:code="1"/>
          <w:pgMar w:top="1440" w:right="1440" w:bottom="1440" w:left="1440" w:header="720" w:footer="720" w:gutter="0"/>
          <w:cols w:space="720"/>
        </w:sectPr>
      </w:pPr>
      <w:r w:rsidRPr="004635E5">
        <w:rPr>
          <w:rFonts w:eastAsia="MS PMincho"/>
          <w:sz w:val="22"/>
          <w:szCs w:val="22"/>
        </w:rPr>
        <w:br w:type="page"/>
      </w:r>
    </w:p>
    <w:p w14:paraId="18EECEE0" w14:textId="77777777" w:rsidR="00BA4FCE" w:rsidRPr="00D10883" w:rsidRDefault="00BA4FCE" w:rsidP="006633A8">
      <w:pPr>
        <w:keepNext/>
        <w:adjustRightInd w:val="0"/>
        <w:snapToGrid w:val="0"/>
        <w:rPr>
          <w:bCs/>
          <w:sz w:val="22"/>
          <w:szCs w:val="22"/>
          <w:lang w:val="en-GB"/>
        </w:rPr>
      </w:pPr>
      <w:r w:rsidRPr="004635E5">
        <w:rPr>
          <w:b/>
          <w:bCs/>
          <w:sz w:val="22"/>
          <w:szCs w:val="22"/>
          <w:lang w:val="en-GB"/>
        </w:rPr>
        <w:t>Table BET-3</w:t>
      </w:r>
      <w:r w:rsidR="00E4672E" w:rsidRPr="004635E5">
        <w:rPr>
          <w:b/>
          <w:bCs/>
          <w:sz w:val="22"/>
          <w:szCs w:val="22"/>
          <w:lang w:val="en-GB"/>
        </w:rPr>
        <w:t>.</w:t>
      </w:r>
      <w:r w:rsidRPr="004635E5">
        <w:rPr>
          <w:b/>
          <w:bCs/>
          <w:sz w:val="22"/>
          <w:szCs w:val="22"/>
          <w:lang w:val="en-GB"/>
        </w:rPr>
        <w:t xml:space="preserve"> </w:t>
      </w:r>
      <w:r w:rsidRPr="00D10883">
        <w:rPr>
          <w:bCs/>
          <w:sz w:val="22"/>
          <w:szCs w:val="22"/>
          <w:lang w:val="en-GB"/>
        </w:rPr>
        <w:t>Including ‘2013-</w:t>
      </w:r>
      <w:r w:rsidR="00AF73D5" w:rsidRPr="00D10883">
        <w:rPr>
          <w:bCs/>
          <w:sz w:val="22"/>
          <w:szCs w:val="22"/>
          <w:lang w:val="en-GB"/>
        </w:rPr>
        <w:t>20</w:t>
      </w:r>
      <w:r w:rsidRPr="00D10883">
        <w:rPr>
          <w:bCs/>
          <w:sz w:val="22"/>
          <w:szCs w:val="22"/>
          <w:lang w:val="en-GB"/>
        </w:rPr>
        <w:t>15 average levels’</w:t>
      </w:r>
    </w:p>
    <w:p w14:paraId="1C8321F9" w14:textId="77777777" w:rsidR="00BA4FCE" w:rsidRPr="00D10883" w:rsidRDefault="00BA4FCE" w:rsidP="006633A8">
      <w:pPr>
        <w:keepNext/>
        <w:adjustRightInd w:val="0"/>
        <w:snapToGrid w:val="0"/>
        <w:jc w:val="both"/>
        <w:rPr>
          <w:bCs/>
          <w:sz w:val="22"/>
          <w:szCs w:val="22"/>
          <w:lang w:val="en-GB"/>
        </w:rPr>
      </w:pPr>
      <w:r w:rsidRPr="00D10883">
        <w:rPr>
          <w:bCs/>
          <w:sz w:val="22"/>
          <w:szCs w:val="22"/>
          <w:lang w:val="en-GB"/>
        </w:rPr>
        <w:t>Median values of reference point levels (adopted limit reference point (LRP) of 20% SB</w:t>
      </w:r>
      <w:r w:rsidRPr="00D10883">
        <w:rPr>
          <w:bCs/>
          <w:sz w:val="22"/>
          <w:szCs w:val="22"/>
          <w:vertAlign w:val="subscript"/>
          <w:lang w:val="en-GB"/>
        </w:rPr>
        <w:t>F=0</w:t>
      </w:r>
      <w:r w:rsidRPr="00D10883">
        <w:rPr>
          <w:bCs/>
          <w:sz w:val="22"/>
          <w:szCs w:val="22"/>
          <w:lang w:val="en-GB"/>
        </w:rPr>
        <w:t>; F</w:t>
      </w:r>
      <w:r w:rsidRPr="00D10883">
        <w:rPr>
          <w:bCs/>
          <w:sz w:val="22"/>
          <w:szCs w:val="22"/>
          <w:vertAlign w:val="subscript"/>
          <w:lang w:val="en-GB"/>
        </w:rPr>
        <w:t>MSY</w:t>
      </w:r>
      <w:r w:rsidRPr="00D10883">
        <w:rPr>
          <w:bCs/>
          <w:sz w:val="22"/>
          <w:szCs w:val="22"/>
          <w:lang w:val="en-GB"/>
        </w:rPr>
        <w:t>) and risk</w:t>
      </w:r>
      <w:r w:rsidRPr="00D10883">
        <w:rPr>
          <w:bCs/>
          <w:sz w:val="22"/>
          <w:szCs w:val="22"/>
          <w:vertAlign w:val="superscript"/>
          <w:lang w:val="en-GB"/>
        </w:rPr>
        <w:t>1</w:t>
      </w:r>
      <w:r w:rsidRPr="00D10883">
        <w:rPr>
          <w:bCs/>
          <w:sz w:val="22"/>
          <w:szCs w:val="22"/>
          <w:lang w:val="en-GB"/>
        </w:rPr>
        <w:t xml:space="preserve"> of breaching reference points from the 201</w:t>
      </w:r>
      <w:r w:rsidR="00EE2870">
        <w:rPr>
          <w:rFonts w:eastAsiaTheme="minorEastAsia" w:hint="eastAsia"/>
          <w:bCs/>
          <w:sz w:val="22"/>
          <w:szCs w:val="22"/>
          <w:lang w:val="en-GB" w:eastAsia="ko-KR"/>
        </w:rPr>
        <w:t>8</w:t>
      </w:r>
      <w:r w:rsidRPr="00D10883">
        <w:rPr>
          <w:bCs/>
          <w:sz w:val="22"/>
          <w:szCs w:val="22"/>
          <w:lang w:val="en-GB"/>
        </w:rPr>
        <w:t xml:space="preserve"> bigeye stock assessment incorporating updated </w:t>
      </w:r>
      <w:r w:rsidR="00EE2870">
        <w:rPr>
          <w:rFonts w:eastAsiaTheme="minorEastAsia" w:hint="eastAsia"/>
          <w:bCs/>
          <w:sz w:val="22"/>
          <w:szCs w:val="22"/>
          <w:lang w:val="en-GB" w:eastAsia="ko-KR"/>
        </w:rPr>
        <w:t xml:space="preserve">new </w:t>
      </w:r>
      <w:r w:rsidRPr="00D10883">
        <w:rPr>
          <w:bCs/>
          <w:sz w:val="22"/>
          <w:szCs w:val="22"/>
          <w:lang w:val="en-GB"/>
        </w:rPr>
        <w:t>growth information, and in 2045 under the three future harvest scenarios (2013-</w:t>
      </w:r>
      <w:r w:rsidR="00AF73D5" w:rsidRPr="00D10883">
        <w:rPr>
          <w:bCs/>
          <w:sz w:val="22"/>
          <w:szCs w:val="22"/>
          <w:lang w:val="en-GB"/>
        </w:rPr>
        <w:t>20</w:t>
      </w:r>
      <w:r w:rsidRPr="00D10883">
        <w:rPr>
          <w:bCs/>
          <w:sz w:val="22"/>
          <w:szCs w:val="22"/>
          <w:lang w:val="en-GB"/>
        </w:rPr>
        <w:t>15 average fishing levels, optimistic</w:t>
      </w:r>
      <w:r w:rsidR="00AF73D5" w:rsidRPr="00D10883">
        <w:rPr>
          <w:bCs/>
          <w:sz w:val="22"/>
          <w:szCs w:val="22"/>
          <w:lang w:val="en-GB"/>
        </w:rPr>
        <w:t>,</w:t>
      </w:r>
      <w:r w:rsidRPr="00D10883">
        <w:rPr>
          <w:bCs/>
          <w:sz w:val="22"/>
          <w:szCs w:val="22"/>
          <w:lang w:val="en-GB"/>
        </w:rPr>
        <w:t xml:space="preserve"> and pessimistic) and alternative recruitment hypotheses. </w:t>
      </w:r>
      <w:r w:rsidRPr="00D10883">
        <w:rPr>
          <w:bCs/>
          <w:sz w:val="22"/>
          <w:szCs w:val="22"/>
          <w:u w:val="single"/>
          <w:lang w:val="en-GB"/>
        </w:rPr>
        <w:t>‘Updated new growth’ runs only</w:t>
      </w:r>
      <w:r w:rsidRPr="00D10883">
        <w:rPr>
          <w:bCs/>
          <w:sz w:val="22"/>
          <w:szCs w:val="22"/>
          <w:lang w:val="en-GB"/>
        </w:rPr>
        <w:t>.</w:t>
      </w:r>
    </w:p>
    <w:p w14:paraId="6DBB1995" w14:textId="77777777" w:rsidR="00BD47F7" w:rsidRPr="004635E5" w:rsidRDefault="00BD47F7" w:rsidP="006633A8">
      <w:pPr>
        <w:keepNext/>
        <w:adjustRightInd w:val="0"/>
        <w:snapToGrid w:val="0"/>
        <w:jc w:val="both"/>
        <w:rPr>
          <w:b/>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1272"/>
        <w:gridCol w:w="1077"/>
        <w:gridCol w:w="526"/>
        <w:gridCol w:w="767"/>
        <w:gridCol w:w="1090"/>
        <w:gridCol w:w="1219"/>
        <w:gridCol w:w="891"/>
        <w:gridCol w:w="1085"/>
        <w:gridCol w:w="724"/>
        <w:gridCol w:w="795"/>
      </w:tblGrid>
      <w:tr w:rsidR="00BA4FCE" w:rsidRPr="004635E5" w14:paraId="5CD94C95" w14:textId="77777777" w:rsidTr="00BD47F7">
        <w:trPr>
          <w:jc w:val="center"/>
        </w:trPr>
        <w:tc>
          <w:tcPr>
            <w:tcW w:w="0" w:type="auto"/>
            <w:gridSpan w:val="2"/>
          </w:tcPr>
          <w:p w14:paraId="3DD157F3" w14:textId="77777777"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Scenario</w:t>
            </w:r>
          </w:p>
        </w:tc>
        <w:tc>
          <w:tcPr>
            <w:tcW w:w="0" w:type="auto"/>
            <w:gridSpan w:val="2"/>
            <w:shd w:val="clear" w:color="auto" w:fill="auto"/>
          </w:tcPr>
          <w:p w14:paraId="2327D1A2" w14:textId="77777777"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Scalars relative to 2013-2015</w:t>
            </w:r>
          </w:p>
        </w:tc>
        <w:tc>
          <w:tcPr>
            <w:tcW w:w="1319" w:type="dxa"/>
            <w:vMerge w:val="restart"/>
            <w:shd w:val="clear" w:color="auto" w:fill="auto"/>
          </w:tcPr>
          <w:p w14:paraId="49A1EAD9" w14:textId="77777777"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Median SB</w:t>
            </w:r>
            <w:r w:rsidRPr="00997A26">
              <w:rPr>
                <w:rFonts w:eastAsia="MS PMincho"/>
                <w:b/>
                <w:sz w:val="18"/>
                <w:szCs w:val="18"/>
                <w:vertAlign w:val="subscript"/>
              </w:rPr>
              <w:t>2045</w:t>
            </w:r>
            <w:r w:rsidRPr="00997A26">
              <w:rPr>
                <w:rFonts w:eastAsia="MS PMincho"/>
                <w:b/>
                <w:sz w:val="18"/>
                <w:szCs w:val="18"/>
              </w:rPr>
              <w:t>/SB</w:t>
            </w:r>
            <w:r w:rsidRPr="00997A26">
              <w:rPr>
                <w:rFonts w:eastAsia="MS PMincho"/>
                <w:b/>
                <w:sz w:val="18"/>
                <w:szCs w:val="18"/>
                <w:vertAlign w:val="subscript"/>
              </w:rPr>
              <w:t>F=0</w:t>
            </w:r>
          </w:p>
        </w:tc>
        <w:tc>
          <w:tcPr>
            <w:tcW w:w="1853" w:type="dxa"/>
            <w:vMerge w:val="restart"/>
            <w:shd w:val="clear" w:color="auto" w:fill="auto"/>
          </w:tcPr>
          <w:p w14:paraId="63BB6D1B" w14:textId="77777777" w:rsidR="00BA4FCE" w:rsidRPr="00997A26" w:rsidRDefault="00BA4FCE" w:rsidP="006633A8">
            <w:pPr>
              <w:adjustRightInd w:val="0"/>
              <w:snapToGrid w:val="0"/>
              <w:jc w:val="center"/>
              <w:rPr>
                <w:rFonts w:eastAsia="MS PMincho"/>
                <w:b/>
                <w:sz w:val="18"/>
                <w:szCs w:val="18"/>
                <w:vertAlign w:val="subscript"/>
              </w:rPr>
            </w:pPr>
            <w:r w:rsidRPr="00997A26">
              <w:rPr>
                <w:rFonts w:eastAsia="MS PMincho"/>
                <w:b/>
                <w:sz w:val="18"/>
                <w:szCs w:val="18"/>
              </w:rPr>
              <w:t>Median SB</w:t>
            </w:r>
            <w:r w:rsidRPr="00997A26">
              <w:rPr>
                <w:rFonts w:eastAsia="MS PMincho"/>
                <w:b/>
                <w:sz w:val="18"/>
                <w:szCs w:val="18"/>
                <w:vertAlign w:val="subscript"/>
              </w:rPr>
              <w:t>2045</w:t>
            </w:r>
            <w:r w:rsidRPr="00997A26">
              <w:rPr>
                <w:rFonts w:eastAsia="MS PMincho"/>
                <w:b/>
                <w:sz w:val="18"/>
                <w:szCs w:val="18"/>
              </w:rPr>
              <w:t>/SB</w:t>
            </w:r>
            <w:r w:rsidRPr="00997A26">
              <w:rPr>
                <w:rFonts w:eastAsia="MS PMincho"/>
                <w:b/>
                <w:sz w:val="18"/>
                <w:szCs w:val="18"/>
                <w:vertAlign w:val="subscript"/>
              </w:rPr>
              <w:t xml:space="preserve">F=0 </w:t>
            </w:r>
          </w:p>
          <w:p w14:paraId="2855A2B1" w14:textId="77777777"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 xml:space="preserve">v </w:t>
            </w:r>
          </w:p>
          <w:p w14:paraId="784F19C5" w14:textId="77777777"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SB</w:t>
            </w:r>
            <w:r w:rsidRPr="00997A26">
              <w:rPr>
                <w:rFonts w:eastAsia="MS PMincho"/>
                <w:b/>
                <w:sz w:val="18"/>
                <w:szCs w:val="18"/>
                <w:vertAlign w:val="subscript"/>
              </w:rPr>
              <w:t>2012-15</w:t>
            </w:r>
            <w:r w:rsidRPr="00997A26">
              <w:rPr>
                <w:rFonts w:eastAsia="MS PMincho"/>
                <w:b/>
                <w:sz w:val="18"/>
                <w:szCs w:val="18"/>
              </w:rPr>
              <w:t>/SB</w:t>
            </w:r>
            <w:r w:rsidRPr="00997A26">
              <w:rPr>
                <w:rFonts w:eastAsia="MS PMincho"/>
                <w:b/>
                <w:sz w:val="18"/>
                <w:szCs w:val="18"/>
                <w:vertAlign w:val="subscript"/>
              </w:rPr>
              <w:t>F=0</w:t>
            </w:r>
          </w:p>
        </w:tc>
        <w:tc>
          <w:tcPr>
            <w:tcW w:w="1570" w:type="dxa"/>
            <w:vMerge w:val="restart"/>
            <w:shd w:val="clear" w:color="auto" w:fill="auto"/>
          </w:tcPr>
          <w:p w14:paraId="0D9C809F" w14:textId="77777777"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 xml:space="preserve">Median </w:t>
            </w:r>
          </w:p>
          <w:p w14:paraId="47FF1686" w14:textId="77777777" w:rsidR="00BA4FCE" w:rsidRPr="00997A26" w:rsidRDefault="00BA4FCE" w:rsidP="006633A8">
            <w:pPr>
              <w:adjustRightInd w:val="0"/>
              <w:snapToGrid w:val="0"/>
              <w:jc w:val="center"/>
              <w:rPr>
                <w:rFonts w:eastAsia="MS PMincho"/>
                <w:b/>
                <w:sz w:val="18"/>
                <w:szCs w:val="18"/>
              </w:rPr>
            </w:pPr>
          </w:p>
          <w:p w14:paraId="200FE674" w14:textId="77777777" w:rsidR="00997A26" w:rsidRDefault="00BA4FCE" w:rsidP="006633A8">
            <w:pPr>
              <w:adjustRightInd w:val="0"/>
              <w:snapToGrid w:val="0"/>
              <w:jc w:val="center"/>
              <w:rPr>
                <w:rFonts w:eastAsia="MS PMincho"/>
                <w:b/>
                <w:sz w:val="18"/>
                <w:szCs w:val="18"/>
              </w:rPr>
            </w:pPr>
            <w:r w:rsidRPr="00997A26">
              <w:rPr>
                <w:rFonts w:eastAsia="MS PMincho"/>
                <w:b/>
                <w:sz w:val="18"/>
                <w:szCs w:val="18"/>
              </w:rPr>
              <w:t>F</w:t>
            </w:r>
            <w:r w:rsidRPr="00997A26">
              <w:rPr>
                <w:rFonts w:eastAsia="MS PMincho"/>
                <w:b/>
                <w:sz w:val="18"/>
                <w:szCs w:val="18"/>
                <w:vertAlign w:val="subscript"/>
              </w:rPr>
              <w:t>2041-2044</w:t>
            </w:r>
            <w:r w:rsidRPr="00997A26">
              <w:rPr>
                <w:rFonts w:eastAsia="MS PMincho"/>
                <w:b/>
                <w:sz w:val="18"/>
                <w:szCs w:val="18"/>
              </w:rPr>
              <w:t>/</w:t>
            </w:r>
          </w:p>
          <w:p w14:paraId="1D08A677" w14:textId="77777777" w:rsidR="00BA4FCE" w:rsidRPr="00997A26" w:rsidRDefault="00BA4FCE" w:rsidP="006633A8">
            <w:pPr>
              <w:adjustRightInd w:val="0"/>
              <w:snapToGrid w:val="0"/>
              <w:jc w:val="center"/>
              <w:rPr>
                <w:rFonts w:eastAsia="MS PMincho"/>
                <w:b/>
                <w:sz w:val="18"/>
                <w:szCs w:val="18"/>
                <w:vertAlign w:val="superscript"/>
              </w:rPr>
            </w:pPr>
            <w:r w:rsidRPr="00997A26">
              <w:rPr>
                <w:rFonts w:eastAsia="MS PMincho"/>
                <w:b/>
                <w:sz w:val="18"/>
                <w:szCs w:val="18"/>
              </w:rPr>
              <w:t>F</w:t>
            </w:r>
            <w:r w:rsidRPr="00997A26">
              <w:rPr>
                <w:rFonts w:eastAsia="MS PMincho"/>
                <w:b/>
                <w:sz w:val="18"/>
                <w:szCs w:val="18"/>
                <w:vertAlign w:val="subscript"/>
              </w:rPr>
              <w:t>MSY</w:t>
            </w:r>
          </w:p>
        </w:tc>
        <w:tc>
          <w:tcPr>
            <w:tcW w:w="2139" w:type="dxa"/>
            <w:vMerge w:val="restart"/>
            <w:shd w:val="clear" w:color="auto" w:fill="auto"/>
          </w:tcPr>
          <w:p w14:paraId="6FE6F127" w14:textId="77777777" w:rsidR="00BA4FCE" w:rsidRPr="00997A26" w:rsidRDefault="00BA4FCE" w:rsidP="006633A8">
            <w:pPr>
              <w:adjustRightInd w:val="0"/>
              <w:snapToGrid w:val="0"/>
              <w:jc w:val="center"/>
              <w:rPr>
                <w:rFonts w:eastAsia="MS PMincho"/>
                <w:b/>
                <w:sz w:val="18"/>
                <w:szCs w:val="18"/>
                <w:vertAlign w:val="subscript"/>
              </w:rPr>
            </w:pPr>
            <w:r w:rsidRPr="00997A26">
              <w:rPr>
                <w:rFonts w:eastAsia="MS PMincho"/>
                <w:b/>
                <w:sz w:val="18"/>
                <w:szCs w:val="18"/>
              </w:rPr>
              <w:t>Median F</w:t>
            </w:r>
            <w:r w:rsidRPr="00997A26">
              <w:rPr>
                <w:rFonts w:eastAsia="MS PMincho"/>
                <w:b/>
                <w:sz w:val="18"/>
                <w:szCs w:val="18"/>
                <w:vertAlign w:val="subscript"/>
              </w:rPr>
              <w:t>2041-2044</w:t>
            </w:r>
            <w:r w:rsidRPr="00997A26">
              <w:rPr>
                <w:rFonts w:eastAsia="MS PMincho"/>
                <w:b/>
                <w:sz w:val="18"/>
                <w:szCs w:val="18"/>
              </w:rPr>
              <w:t>/F</w:t>
            </w:r>
            <w:r w:rsidRPr="00997A26">
              <w:rPr>
                <w:rFonts w:eastAsia="MS PMincho"/>
                <w:b/>
                <w:sz w:val="18"/>
                <w:szCs w:val="18"/>
                <w:vertAlign w:val="subscript"/>
              </w:rPr>
              <w:t xml:space="preserve">MSY </w:t>
            </w:r>
            <w:r w:rsidRPr="00997A26">
              <w:rPr>
                <w:rFonts w:eastAsia="MS PMincho"/>
                <w:b/>
                <w:sz w:val="18"/>
                <w:szCs w:val="18"/>
              </w:rPr>
              <w:t>v</w:t>
            </w:r>
            <w:r w:rsidRPr="00997A26">
              <w:rPr>
                <w:rFonts w:eastAsia="MS PMincho"/>
                <w:b/>
                <w:sz w:val="18"/>
                <w:szCs w:val="18"/>
                <w:vertAlign w:val="subscript"/>
              </w:rPr>
              <w:t xml:space="preserve"> </w:t>
            </w:r>
          </w:p>
          <w:p w14:paraId="09BE61C7" w14:textId="77777777" w:rsidR="00BA4FCE" w:rsidRPr="00997A26" w:rsidRDefault="00BA4FCE" w:rsidP="006633A8">
            <w:pPr>
              <w:adjustRightInd w:val="0"/>
              <w:snapToGrid w:val="0"/>
              <w:jc w:val="center"/>
              <w:rPr>
                <w:rFonts w:eastAsia="MS PMincho"/>
                <w:b/>
                <w:sz w:val="18"/>
                <w:szCs w:val="18"/>
                <w:vertAlign w:val="subscript"/>
              </w:rPr>
            </w:pPr>
            <w:r w:rsidRPr="00997A26">
              <w:rPr>
                <w:rFonts w:eastAsia="MS PMincho"/>
                <w:b/>
                <w:sz w:val="18"/>
                <w:szCs w:val="18"/>
              </w:rPr>
              <w:t>F</w:t>
            </w:r>
            <w:r w:rsidRPr="00997A26">
              <w:rPr>
                <w:rFonts w:eastAsia="MS PMincho"/>
                <w:b/>
                <w:sz w:val="18"/>
                <w:szCs w:val="18"/>
                <w:vertAlign w:val="subscript"/>
              </w:rPr>
              <w:t>2011-14</w:t>
            </w:r>
            <w:r w:rsidRPr="00997A26">
              <w:rPr>
                <w:rFonts w:eastAsia="MS PMincho"/>
                <w:b/>
                <w:sz w:val="18"/>
                <w:szCs w:val="18"/>
              </w:rPr>
              <w:t>/F</w:t>
            </w:r>
            <w:r w:rsidRPr="00997A26">
              <w:rPr>
                <w:rFonts w:eastAsia="MS PMincho"/>
                <w:b/>
                <w:sz w:val="18"/>
                <w:szCs w:val="18"/>
                <w:vertAlign w:val="subscript"/>
              </w:rPr>
              <w:t>MSY</w:t>
            </w:r>
          </w:p>
        </w:tc>
        <w:tc>
          <w:tcPr>
            <w:tcW w:w="2457" w:type="dxa"/>
            <w:gridSpan w:val="2"/>
            <w:shd w:val="clear" w:color="auto" w:fill="auto"/>
          </w:tcPr>
          <w:p w14:paraId="67B9C577" w14:textId="77777777"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 xml:space="preserve">Risk </w:t>
            </w:r>
          </w:p>
        </w:tc>
      </w:tr>
      <w:tr w:rsidR="00BA4FCE" w:rsidRPr="004635E5" w14:paraId="43B1F7CF" w14:textId="77777777" w:rsidTr="00BD47F7">
        <w:trPr>
          <w:jc w:val="center"/>
        </w:trPr>
        <w:tc>
          <w:tcPr>
            <w:tcW w:w="0" w:type="auto"/>
          </w:tcPr>
          <w:p w14:paraId="175BCE9E" w14:textId="77777777" w:rsidR="00BA4FCE" w:rsidRPr="004635E5" w:rsidRDefault="00BA4FCE" w:rsidP="006633A8">
            <w:pPr>
              <w:adjustRightInd w:val="0"/>
              <w:snapToGrid w:val="0"/>
              <w:rPr>
                <w:rFonts w:eastAsia="MS PMincho"/>
                <w:b/>
                <w:sz w:val="22"/>
                <w:szCs w:val="22"/>
              </w:rPr>
            </w:pPr>
            <w:r w:rsidRPr="004635E5">
              <w:rPr>
                <w:rFonts w:eastAsia="MS PMincho"/>
                <w:b/>
                <w:sz w:val="22"/>
                <w:szCs w:val="22"/>
              </w:rPr>
              <w:t>Recruitment</w:t>
            </w:r>
          </w:p>
        </w:tc>
        <w:tc>
          <w:tcPr>
            <w:tcW w:w="0" w:type="auto"/>
          </w:tcPr>
          <w:p w14:paraId="381238C0" w14:textId="77777777"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Fishing level</w:t>
            </w:r>
          </w:p>
        </w:tc>
        <w:tc>
          <w:tcPr>
            <w:tcW w:w="0" w:type="auto"/>
            <w:shd w:val="clear" w:color="auto" w:fill="auto"/>
          </w:tcPr>
          <w:p w14:paraId="2E17DDD1" w14:textId="77777777"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Purse seine</w:t>
            </w:r>
          </w:p>
        </w:tc>
        <w:tc>
          <w:tcPr>
            <w:tcW w:w="0" w:type="auto"/>
            <w:shd w:val="clear" w:color="auto" w:fill="auto"/>
          </w:tcPr>
          <w:p w14:paraId="64A55A03" w14:textId="77777777"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Longline</w:t>
            </w:r>
          </w:p>
        </w:tc>
        <w:tc>
          <w:tcPr>
            <w:tcW w:w="1319" w:type="dxa"/>
            <w:vMerge/>
            <w:shd w:val="clear" w:color="auto" w:fill="auto"/>
          </w:tcPr>
          <w:p w14:paraId="367B230C" w14:textId="77777777" w:rsidR="00BA4FCE" w:rsidRPr="00997A26" w:rsidRDefault="00BA4FCE" w:rsidP="006633A8">
            <w:pPr>
              <w:adjustRightInd w:val="0"/>
              <w:snapToGrid w:val="0"/>
              <w:jc w:val="center"/>
              <w:rPr>
                <w:rFonts w:eastAsia="MS PMincho"/>
                <w:b/>
                <w:sz w:val="18"/>
                <w:szCs w:val="18"/>
              </w:rPr>
            </w:pPr>
          </w:p>
        </w:tc>
        <w:tc>
          <w:tcPr>
            <w:tcW w:w="1853" w:type="dxa"/>
            <w:vMerge/>
            <w:shd w:val="clear" w:color="auto" w:fill="auto"/>
          </w:tcPr>
          <w:p w14:paraId="2CFC43CD" w14:textId="77777777" w:rsidR="00BA4FCE" w:rsidRPr="00997A26" w:rsidRDefault="00BA4FCE" w:rsidP="006633A8">
            <w:pPr>
              <w:adjustRightInd w:val="0"/>
              <w:snapToGrid w:val="0"/>
              <w:jc w:val="center"/>
              <w:rPr>
                <w:rFonts w:eastAsia="MS PMincho"/>
                <w:b/>
                <w:sz w:val="18"/>
                <w:szCs w:val="18"/>
              </w:rPr>
            </w:pPr>
          </w:p>
        </w:tc>
        <w:tc>
          <w:tcPr>
            <w:tcW w:w="1570" w:type="dxa"/>
            <w:vMerge/>
            <w:shd w:val="clear" w:color="auto" w:fill="auto"/>
          </w:tcPr>
          <w:p w14:paraId="64C1CB0A" w14:textId="77777777" w:rsidR="00BA4FCE" w:rsidRPr="00997A26" w:rsidRDefault="00BA4FCE" w:rsidP="006633A8">
            <w:pPr>
              <w:adjustRightInd w:val="0"/>
              <w:snapToGrid w:val="0"/>
              <w:jc w:val="center"/>
              <w:rPr>
                <w:rFonts w:eastAsia="MS PMincho"/>
                <w:b/>
                <w:sz w:val="18"/>
                <w:szCs w:val="18"/>
              </w:rPr>
            </w:pPr>
          </w:p>
        </w:tc>
        <w:tc>
          <w:tcPr>
            <w:tcW w:w="2139" w:type="dxa"/>
            <w:vMerge/>
            <w:shd w:val="clear" w:color="auto" w:fill="auto"/>
          </w:tcPr>
          <w:p w14:paraId="799727FB" w14:textId="77777777" w:rsidR="00BA4FCE" w:rsidRPr="00997A26" w:rsidRDefault="00BA4FCE" w:rsidP="006633A8">
            <w:pPr>
              <w:adjustRightInd w:val="0"/>
              <w:snapToGrid w:val="0"/>
              <w:jc w:val="center"/>
              <w:rPr>
                <w:rFonts w:eastAsia="MS PMincho"/>
                <w:b/>
                <w:sz w:val="18"/>
                <w:szCs w:val="18"/>
              </w:rPr>
            </w:pPr>
          </w:p>
        </w:tc>
        <w:tc>
          <w:tcPr>
            <w:tcW w:w="1284" w:type="dxa"/>
            <w:shd w:val="clear" w:color="auto" w:fill="auto"/>
          </w:tcPr>
          <w:p w14:paraId="36E5B0DC" w14:textId="77777777"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SB</w:t>
            </w:r>
            <w:r w:rsidRPr="00997A26">
              <w:rPr>
                <w:rFonts w:eastAsia="MS PMincho"/>
                <w:b/>
                <w:sz w:val="18"/>
                <w:szCs w:val="18"/>
                <w:vertAlign w:val="subscript"/>
              </w:rPr>
              <w:t>2045</w:t>
            </w:r>
            <w:r w:rsidRPr="00997A26">
              <w:rPr>
                <w:rFonts w:eastAsia="MS PMincho"/>
                <w:b/>
                <w:sz w:val="18"/>
                <w:szCs w:val="18"/>
              </w:rPr>
              <w:t xml:space="preserve"> &lt; LRP</w:t>
            </w:r>
          </w:p>
        </w:tc>
        <w:tc>
          <w:tcPr>
            <w:tcW w:w="1173" w:type="dxa"/>
          </w:tcPr>
          <w:p w14:paraId="24BEB852" w14:textId="77777777"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F&gt;F</w:t>
            </w:r>
            <w:r w:rsidRPr="00997A26">
              <w:rPr>
                <w:rFonts w:eastAsia="MS PMincho"/>
                <w:b/>
                <w:sz w:val="18"/>
                <w:szCs w:val="18"/>
                <w:vertAlign w:val="subscript"/>
              </w:rPr>
              <w:t>MSY</w:t>
            </w:r>
          </w:p>
        </w:tc>
      </w:tr>
      <w:tr w:rsidR="00BA4FCE" w:rsidRPr="004635E5" w14:paraId="4CC114FD" w14:textId="77777777" w:rsidTr="00BD47F7">
        <w:trPr>
          <w:jc w:val="center"/>
        </w:trPr>
        <w:tc>
          <w:tcPr>
            <w:tcW w:w="0" w:type="auto"/>
            <w:gridSpan w:val="4"/>
          </w:tcPr>
          <w:p w14:paraId="1D7C87C2" w14:textId="77777777" w:rsidR="00BA4FCE" w:rsidRPr="004635E5" w:rsidRDefault="00BA4FCE" w:rsidP="006633A8">
            <w:pPr>
              <w:adjustRightInd w:val="0"/>
              <w:snapToGrid w:val="0"/>
              <w:jc w:val="center"/>
              <w:rPr>
                <w:rFonts w:eastAsia="MS PMincho"/>
                <w:sz w:val="22"/>
                <w:szCs w:val="22"/>
              </w:rPr>
            </w:pPr>
            <w:r w:rsidRPr="004635E5">
              <w:rPr>
                <w:rFonts w:eastAsia="MS PMincho"/>
                <w:i/>
                <w:sz w:val="22"/>
                <w:szCs w:val="22"/>
              </w:rPr>
              <w:t>Bigeye assessment (‘recent’ levels)</w:t>
            </w:r>
          </w:p>
        </w:tc>
        <w:tc>
          <w:tcPr>
            <w:tcW w:w="1319" w:type="dxa"/>
            <w:shd w:val="clear" w:color="auto" w:fill="auto"/>
          </w:tcPr>
          <w:p w14:paraId="4D70E2DC"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0.36</w:t>
            </w:r>
          </w:p>
        </w:tc>
        <w:tc>
          <w:tcPr>
            <w:tcW w:w="1853" w:type="dxa"/>
            <w:shd w:val="clear" w:color="auto" w:fill="auto"/>
          </w:tcPr>
          <w:p w14:paraId="7EBBF366"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w:t>
            </w:r>
          </w:p>
        </w:tc>
        <w:tc>
          <w:tcPr>
            <w:tcW w:w="1570" w:type="dxa"/>
            <w:shd w:val="clear" w:color="auto" w:fill="auto"/>
          </w:tcPr>
          <w:p w14:paraId="0B759C53"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0.77</w:t>
            </w:r>
          </w:p>
        </w:tc>
        <w:tc>
          <w:tcPr>
            <w:tcW w:w="2139" w:type="dxa"/>
            <w:shd w:val="clear" w:color="auto" w:fill="auto"/>
          </w:tcPr>
          <w:p w14:paraId="39FAD0D4"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w:t>
            </w:r>
          </w:p>
        </w:tc>
        <w:tc>
          <w:tcPr>
            <w:tcW w:w="1284" w:type="dxa"/>
            <w:shd w:val="clear" w:color="auto" w:fill="auto"/>
          </w:tcPr>
          <w:p w14:paraId="662A2317"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c>
          <w:tcPr>
            <w:tcW w:w="1173" w:type="dxa"/>
          </w:tcPr>
          <w:p w14:paraId="79910D88"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6%</w:t>
            </w:r>
          </w:p>
        </w:tc>
      </w:tr>
      <w:tr w:rsidR="00BA4FCE" w:rsidRPr="004635E5" w14:paraId="41DA978F" w14:textId="77777777" w:rsidTr="00BD47F7">
        <w:trPr>
          <w:jc w:val="center"/>
        </w:trPr>
        <w:tc>
          <w:tcPr>
            <w:tcW w:w="14044" w:type="dxa"/>
            <w:gridSpan w:val="10"/>
          </w:tcPr>
          <w:p w14:paraId="264F0E0C" w14:textId="77777777" w:rsidR="00BA4FCE" w:rsidRPr="004635E5" w:rsidRDefault="00BA4FCE" w:rsidP="006633A8">
            <w:pPr>
              <w:adjustRightInd w:val="0"/>
              <w:snapToGrid w:val="0"/>
              <w:jc w:val="center"/>
              <w:rPr>
                <w:rFonts w:eastAsia="MS PMincho"/>
                <w:i/>
                <w:sz w:val="22"/>
                <w:szCs w:val="22"/>
              </w:rPr>
            </w:pPr>
          </w:p>
        </w:tc>
      </w:tr>
      <w:tr w:rsidR="00BA4FCE" w:rsidRPr="004635E5" w14:paraId="5E8AEB72" w14:textId="77777777" w:rsidTr="00BD47F7">
        <w:trPr>
          <w:jc w:val="center"/>
        </w:trPr>
        <w:tc>
          <w:tcPr>
            <w:tcW w:w="0" w:type="auto"/>
            <w:vMerge w:val="restart"/>
          </w:tcPr>
          <w:p w14:paraId="79F52170"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Recent</w:t>
            </w:r>
          </w:p>
        </w:tc>
        <w:tc>
          <w:tcPr>
            <w:tcW w:w="0" w:type="auto"/>
          </w:tcPr>
          <w:p w14:paraId="4C10B362"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2013-</w:t>
            </w:r>
            <w:r w:rsidR="00AF73D5" w:rsidRPr="004635E5">
              <w:rPr>
                <w:rFonts w:eastAsia="MS PMincho"/>
                <w:sz w:val="22"/>
                <w:szCs w:val="22"/>
              </w:rPr>
              <w:t>20</w:t>
            </w:r>
            <w:r w:rsidRPr="004635E5">
              <w:rPr>
                <w:rFonts w:eastAsia="MS PMincho"/>
                <w:sz w:val="22"/>
                <w:szCs w:val="22"/>
              </w:rPr>
              <w:t xml:space="preserve">15 </w:t>
            </w:r>
            <w:r w:rsidR="003C6023">
              <w:rPr>
                <w:rFonts w:eastAsia="MS PMincho"/>
                <w:sz w:val="22"/>
                <w:szCs w:val="22"/>
              </w:rPr>
              <w:t>average</w:t>
            </w:r>
            <w:r w:rsidRPr="004635E5">
              <w:rPr>
                <w:rFonts w:eastAsia="MS PMincho"/>
                <w:sz w:val="22"/>
                <w:szCs w:val="22"/>
              </w:rPr>
              <w:t xml:space="preserve"> </w:t>
            </w:r>
          </w:p>
        </w:tc>
        <w:tc>
          <w:tcPr>
            <w:tcW w:w="0" w:type="auto"/>
            <w:shd w:val="clear" w:color="auto" w:fill="auto"/>
          </w:tcPr>
          <w:p w14:paraId="37BE8D72"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0" w:type="auto"/>
            <w:shd w:val="clear" w:color="auto" w:fill="auto"/>
          </w:tcPr>
          <w:p w14:paraId="244515E6"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1319" w:type="dxa"/>
            <w:shd w:val="clear" w:color="auto" w:fill="auto"/>
          </w:tcPr>
          <w:p w14:paraId="0965D6F9" w14:textId="77777777"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0.42</w:t>
            </w:r>
          </w:p>
        </w:tc>
        <w:tc>
          <w:tcPr>
            <w:tcW w:w="1853" w:type="dxa"/>
            <w:shd w:val="clear" w:color="auto" w:fill="auto"/>
          </w:tcPr>
          <w:p w14:paraId="22F4CDB3"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1.18</w:t>
            </w:r>
          </w:p>
        </w:tc>
        <w:tc>
          <w:tcPr>
            <w:tcW w:w="1570" w:type="dxa"/>
            <w:shd w:val="clear" w:color="auto" w:fill="auto"/>
          </w:tcPr>
          <w:p w14:paraId="24840B32"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0.73</w:t>
            </w:r>
          </w:p>
        </w:tc>
        <w:tc>
          <w:tcPr>
            <w:tcW w:w="2139" w:type="dxa"/>
            <w:shd w:val="clear" w:color="auto" w:fill="auto"/>
          </w:tcPr>
          <w:p w14:paraId="78AE355B"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0.95</w:t>
            </w:r>
          </w:p>
        </w:tc>
        <w:tc>
          <w:tcPr>
            <w:tcW w:w="1284" w:type="dxa"/>
            <w:shd w:val="clear" w:color="auto" w:fill="auto"/>
          </w:tcPr>
          <w:p w14:paraId="4E41ED1A"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c>
          <w:tcPr>
            <w:tcW w:w="1173" w:type="dxa"/>
          </w:tcPr>
          <w:p w14:paraId="5231E0D3"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w:t>
            </w:r>
          </w:p>
        </w:tc>
      </w:tr>
      <w:tr w:rsidR="00BA4FCE" w:rsidRPr="004635E5" w14:paraId="4CAA34FB" w14:textId="77777777" w:rsidTr="00BD47F7">
        <w:trPr>
          <w:jc w:val="center"/>
        </w:trPr>
        <w:tc>
          <w:tcPr>
            <w:tcW w:w="0" w:type="auto"/>
            <w:vMerge/>
          </w:tcPr>
          <w:p w14:paraId="12776ABB" w14:textId="77777777" w:rsidR="00BA4FCE" w:rsidRPr="004635E5" w:rsidRDefault="00BA4FCE" w:rsidP="006633A8">
            <w:pPr>
              <w:adjustRightInd w:val="0"/>
              <w:snapToGrid w:val="0"/>
              <w:rPr>
                <w:rFonts w:eastAsia="MS PMincho"/>
                <w:sz w:val="22"/>
                <w:szCs w:val="22"/>
              </w:rPr>
            </w:pPr>
          </w:p>
        </w:tc>
        <w:tc>
          <w:tcPr>
            <w:tcW w:w="0" w:type="auto"/>
          </w:tcPr>
          <w:p w14:paraId="0A463425"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Optimistic</w:t>
            </w:r>
          </w:p>
        </w:tc>
        <w:tc>
          <w:tcPr>
            <w:tcW w:w="0" w:type="auto"/>
            <w:shd w:val="clear" w:color="auto" w:fill="auto"/>
          </w:tcPr>
          <w:p w14:paraId="424B295C"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1.11</w:t>
            </w:r>
          </w:p>
        </w:tc>
        <w:tc>
          <w:tcPr>
            <w:tcW w:w="0" w:type="auto"/>
            <w:shd w:val="clear" w:color="auto" w:fill="auto"/>
          </w:tcPr>
          <w:p w14:paraId="587E97EB"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0.98</w:t>
            </w:r>
          </w:p>
        </w:tc>
        <w:tc>
          <w:tcPr>
            <w:tcW w:w="1319" w:type="dxa"/>
            <w:shd w:val="clear" w:color="auto" w:fill="auto"/>
          </w:tcPr>
          <w:p w14:paraId="0B9708FC" w14:textId="77777777"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0.41</w:t>
            </w:r>
          </w:p>
        </w:tc>
        <w:tc>
          <w:tcPr>
            <w:tcW w:w="1853" w:type="dxa"/>
            <w:shd w:val="clear" w:color="auto" w:fill="auto"/>
          </w:tcPr>
          <w:p w14:paraId="3C4073A1"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1.15</w:t>
            </w:r>
          </w:p>
        </w:tc>
        <w:tc>
          <w:tcPr>
            <w:tcW w:w="1570" w:type="dxa"/>
            <w:shd w:val="clear" w:color="auto" w:fill="auto"/>
          </w:tcPr>
          <w:p w14:paraId="0FA0B74A"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0.75</w:t>
            </w:r>
          </w:p>
        </w:tc>
        <w:tc>
          <w:tcPr>
            <w:tcW w:w="2139" w:type="dxa"/>
            <w:shd w:val="clear" w:color="auto" w:fill="auto"/>
          </w:tcPr>
          <w:p w14:paraId="23A45685"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0.98</w:t>
            </w:r>
          </w:p>
        </w:tc>
        <w:tc>
          <w:tcPr>
            <w:tcW w:w="1284" w:type="dxa"/>
            <w:shd w:val="clear" w:color="auto" w:fill="auto"/>
          </w:tcPr>
          <w:p w14:paraId="7297EE7A"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c>
          <w:tcPr>
            <w:tcW w:w="1173" w:type="dxa"/>
          </w:tcPr>
          <w:p w14:paraId="49A4A712"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13%</w:t>
            </w:r>
          </w:p>
        </w:tc>
      </w:tr>
      <w:tr w:rsidR="00BA4FCE" w:rsidRPr="004635E5" w14:paraId="21ED4584" w14:textId="77777777" w:rsidTr="00BD47F7">
        <w:trPr>
          <w:jc w:val="center"/>
        </w:trPr>
        <w:tc>
          <w:tcPr>
            <w:tcW w:w="0" w:type="auto"/>
            <w:vMerge/>
          </w:tcPr>
          <w:p w14:paraId="38BF5A0D" w14:textId="77777777" w:rsidR="00BA4FCE" w:rsidRPr="004635E5" w:rsidRDefault="00BA4FCE" w:rsidP="006633A8">
            <w:pPr>
              <w:adjustRightInd w:val="0"/>
              <w:snapToGrid w:val="0"/>
              <w:rPr>
                <w:rFonts w:eastAsia="MS PMincho"/>
                <w:sz w:val="22"/>
                <w:szCs w:val="22"/>
              </w:rPr>
            </w:pPr>
          </w:p>
        </w:tc>
        <w:tc>
          <w:tcPr>
            <w:tcW w:w="0" w:type="auto"/>
          </w:tcPr>
          <w:p w14:paraId="1FEE6889"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Pessimistic</w:t>
            </w:r>
          </w:p>
        </w:tc>
        <w:tc>
          <w:tcPr>
            <w:tcW w:w="0" w:type="auto"/>
            <w:shd w:val="clear" w:color="auto" w:fill="auto"/>
          </w:tcPr>
          <w:p w14:paraId="182D1202"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1.12</w:t>
            </w:r>
          </w:p>
        </w:tc>
        <w:tc>
          <w:tcPr>
            <w:tcW w:w="0" w:type="auto"/>
            <w:shd w:val="clear" w:color="auto" w:fill="auto"/>
          </w:tcPr>
          <w:p w14:paraId="1418A016"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1.35</w:t>
            </w:r>
          </w:p>
        </w:tc>
        <w:tc>
          <w:tcPr>
            <w:tcW w:w="1319" w:type="dxa"/>
            <w:shd w:val="clear" w:color="auto" w:fill="auto"/>
          </w:tcPr>
          <w:p w14:paraId="0FC218CD" w14:textId="77777777"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0.36</w:t>
            </w:r>
          </w:p>
        </w:tc>
        <w:tc>
          <w:tcPr>
            <w:tcW w:w="1853" w:type="dxa"/>
            <w:shd w:val="clear" w:color="auto" w:fill="auto"/>
          </w:tcPr>
          <w:p w14:paraId="243E3BC7"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1.00</w:t>
            </w:r>
          </w:p>
        </w:tc>
        <w:tc>
          <w:tcPr>
            <w:tcW w:w="1570" w:type="dxa"/>
            <w:shd w:val="clear" w:color="auto" w:fill="auto"/>
          </w:tcPr>
          <w:p w14:paraId="028809D4"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0.89</w:t>
            </w:r>
          </w:p>
        </w:tc>
        <w:tc>
          <w:tcPr>
            <w:tcW w:w="2139" w:type="dxa"/>
            <w:shd w:val="clear" w:color="auto" w:fill="auto"/>
          </w:tcPr>
          <w:p w14:paraId="37EDB6E6"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1.15</w:t>
            </w:r>
          </w:p>
        </w:tc>
        <w:tc>
          <w:tcPr>
            <w:tcW w:w="1284" w:type="dxa"/>
            <w:shd w:val="clear" w:color="auto" w:fill="auto"/>
          </w:tcPr>
          <w:p w14:paraId="358E67D4"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5%</w:t>
            </w:r>
          </w:p>
        </w:tc>
        <w:tc>
          <w:tcPr>
            <w:tcW w:w="1173" w:type="dxa"/>
          </w:tcPr>
          <w:p w14:paraId="33320B6E"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30%</w:t>
            </w:r>
          </w:p>
        </w:tc>
      </w:tr>
      <w:tr w:rsidR="00BA4FCE" w:rsidRPr="004635E5" w14:paraId="52C0AF55" w14:textId="77777777" w:rsidTr="00BD47F7">
        <w:trPr>
          <w:jc w:val="center"/>
        </w:trPr>
        <w:tc>
          <w:tcPr>
            <w:tcW w:w="0" w:type="auto"/>
            <w:tcBorders>
              <w:right w:val="nil"/>
            </w:tcBorders>
          </w:tcPr>
          <w:p w14:paraId="2690A887" w14:textId="77777777" w:rsidR="00BA4FCE" w:rsidRPr="004635E5" w:rsidRDefault="00BA4FCE" w:rsidP="006633A8">
            <w:pPr>
              <w:adjustRightInd w:val="0"/>
              <w:snapToGrid w:val="0"/>
              <w:rPr>
                <w:rFonts w:eastAsia="MS PMincho"/>
                <w:sz w:val="22"/>
                <w:szCs w:val="22"/>
              </w:rPr>
            </w:pPr>
          </w:p>
        </w:tc>
        <w:tc>
          <w:tcPr>
            <w:tcW w:w="0" w:type="auto"/>
            <w:tcBorders>
              <w:left w:val="nil"/>
              <w:right w:val="nil"/>
            </w:tcBorders>
          </w:tcPr>
          <w:p w14:paraId="169E1923" w14:textId="77777777" w:rsidR="00BA4FCE" w:rsidRPr="004635E5" w:rsidRDefault="00BA4FCE" w:rsidP="006633A8">
            <w:pPr>
              <w:adjustRightInd w:val="0"/>
              <w:snapToGrid w:val="0"/>
              <w:rPr>
                <w:rFonts w:eastAsia="MS PMincho"/>
                <w:sz w:val="22"/>
                <w:szCs w:val="22"/>
              </w:rPr>
            </w:pPr>
          </w:p>
        </w:tc>
        <w:tc>
          <w:tcPr>
            <w:tcW w:w="0" w:type="auto"/>
            <w:tcBorders>
              <w:left w:val="nil"/>
              <w:right w:val="nil"/>
            </w:tcBorders>
            <w:shd w:val="clear" w:color="auto" w:fill="auto"/>
          </w:tcPr>
          <w:p w14:paraId="4A37223D" w14:textId="77777777" w:rsidR="00BA4FCE" w:rsidRPr="004635E5" w:rsidRDefault="00BA4FCE" w:rsidP="006633A8">
            <w:pPr>
              <w:adjustRightInd w:val="0"/>
              <w:snapToGrid w:val="0"/>
              <w:jc w:val="center"/>
              <w:rPr>
                <w:rFonts w:eastAsia="MS PMincho"/>
                <w:sz w:val="22"/>
                <w:szCs w:val="22"/>
              </w:rPr>
            </w:pPr>
          </w:p>
        </w:tc>
        <w:tc>
          <w:tcPr>
            <w:tcW w:w="0" w:type="auto"/>
            <w:tcBorders>
              <w:left w:val="nil"/>
              <w:right w:val="nil"/>
            </w:tcBorders>
            <w:shd w:val="clear" w:color="auto" w:fill="auto"/>
          </w:tcPr>
          <w:p w14:paraId="402965C9" w14:textId="77777777" w:rsidR="00BA4FCE" w:rsidRPr="004635E5" w:rsidRDefault="00BA4FCE" w:rsidP="006633A8">
            <w:pPr>
              <w:adjustRightInd w:val="0"/>
              <w:snapToGrid w:val="0"/>
              <w:jc w:val="center"/>
              <w:rPr>
                <w:rFonts w:eastAsia="MS PMincho"/>
                <w:sz w:val="22"/>
                <w:szCs w:val="22"/>
              </w:rPr>
            </w:pPr>
          </w:p>
        </w:tc>
        <w:tc>
          <w:tcPr>
            <w:tcW w:w="1319" w:type="dxa"/>
            <w:tcBorders>
              <w:left w:val="nil"/>
              <w:right w:val="nil"/>
            </w:tcBorders>
            <w:shd w:val="clear" w:color="auto" w:fill="auto"/>
          </w:tcPr>
          <w:p w14:paraId="0F32B1E1" w14:textId="77777777" w:rsidR="00BA4FCE" w:rsidRPr="004635E5" w:rsidRDefault="00BA4FCE" w:rsidP="006633A8">
            <w:pPr>
              <w:adjustRightInd w:val="0"/>
              <w:snapToGrid w:val="0"/>
              <w:jc w:val="center"/>
              <w:rPr>
                <w:rFonts w:eastAsia="MS PMincho"/>
                <w:sz w:val="22"/>
                <w:szCs w:val="22"/>
              </w:rPr>
            </w:pPr>
          </w:p>
        </w:tc>
        <w:tc>
          <w:tcPr>
            <w:tcW w:w="1853" w:type="dxa"/>
            <w:tcBorders>
              <w:left w:val="nil"/>
              <w:right w:val="nil"/>
            </w:tcBorders>
            <w:shd w:val="clear" w:color="auto" w:fill="auto"/>
          </w:tcPr>
          <w:p w14:paraId="26DEC0C2" w14:textId="77777777" w:rsidR="00BA4FCE" w:rsidRPr="004635E5" w:rsidRDefault="00BA4FCE" w:rsidP="006633A8">
            <w:pPr>
              <w:adjustRightInd w:val="0"/>
              <w:snapToGrid w:val="0"/>
              <w:jc w:val="center"/>
              <w:rPr>
                <w:rFonts w:eastAsia="MS PMincho"/>
                <w:sz w:val="22"/>
                <w:szCs w:val="22"/>
              </w:rPr>
            </w:pPr>
          </w:p>
        </w:tc>
        <w:tc>
          <w:tcPr>
            <w:tcW w:w="1570" w:type="dxa"/>
            <w:tcBorders>
              <w:left w:val="nil"/>
              <w:right w:val="nil"/>
            </w:tcBorders>
            <w:shd w:val="clear" w:color="auto" w:fill="auto"/>
          </w:tcPr>
          <w:p w14:paraId="4A9598E9" w14:textId="77777777" w:rsidR="00BA4FCE" w:rsidRPr="004635E5" w:rsidRDefault="00BA4FCE" w:rsidP="006633A8">
            <w:pPr>
              <w:adjustRightInd w:val="0"/>
              <w:snapToGrid w:val="0"/>
              <w:jc w:val="center"/>
              <w:rPr>
                <w:rFonts w:eastAsia="MS PMincho"/>
                <w:sz w:val="22"/>
                <w:szCs w:val="22"/>
              </w:rPr>
            </w:pPr>
          </w:p>
        </w:tc>
        <w:tc>
          <w:tcPr>
            <w:tcW w:w="2139" w:type="dxa"/>
            <w:tcBorders>
              <w:left w:val="nil"/>
              <w:right w:val="nil"/>
            </w:tcBorders>
            <w:shd w:val="clear" w:color="auto" w:fill="auto"/>
          </w:tcPr>
          <w:p w14:paraId="6817F297" w14:textId="77777777" w:rsidR="00BA4FCE" w:rsidRPr="004635E5" w:rsidRDefault="00BA4FCE" w:rsidP="006633A8">
            <w:pPr>
              <w:adjustRightInd w:val="0"/>
              <w:snapToGrid w:val="0"/>
              <w:jc w:val="center"/>
              <w:rPr>
                <w:rFonts w:eastAsia="MS PMincho"/>
                <w:sz w:val="22"/>
                <w:szCs w:val="22"/>
              </w:rPr>
            </w:pPr>
          </w:p>
        </w:tc>
        <w:tc>
          <w:tcPr>
            <w:tcW w:w="1284" w:type="dxa"/>
            <w:tcBorders>
              <w:left w:val="nil"/>
            </w:tcBorders>
            <w:shd w:val="clear" w:color="auto" w:fill="auto"/>
          </w:tcPr>
          <w:p w14:paraId="79C283C9" w14:textId="77777777" w:rsidR="00BA4FCE" w:rsidRPr="004635E5" w:rsidRDefault="00BA4FCE" w:rsidP="006633A8">
            <w:pPr>
              <w:adjustRightInd w:val="0"/>
              <w:snapToGrid w:val="0"/>
              <w:jc w:val="center"/>
              <w:rPr>
                <w:rFonts w:eastAsia="MS PMincho"/>
                <w:sz w:val="22"/>
                <w:szCs w:val="22"/>
              </w:rPr>
            </w:pPr>
          </w:p>
        </w:tc>
        <w:tc>
          <w:tcPr>
            <w:tcW w:w="1173" w:type="dxa"/>
            <w:tcBorders>
              <w:left w:val="nil"/>
            </w:tcBorders>
          </w:tcPr>
          <w:p w14:paraId="3646BCAB" w14:textId="77777777" w:rsidR="00BA4FCE" w:rsidRPr="004635E5" w:rsidRDefault="00BA4FCE" w:rsidP="006633A8">
            <w:pPr>
              <w:adjustRightInd w:val="0"/>
              <w:snapToGrid w:val="0"/>
              <w:jc w:val="center"/>
              <w:rPr>
                <w:rFonts w:eastAsia="MS PMincho"/>
                <w:sz w:val="22"/>
                <w:szCs w:val="22"/>
              </w:rPr>
            </w:pPr>
          </w:p>
        </w:tc>
      </w:tr>
      <w:tr w:rsidR="00BA4FCE" w:rsidRPr="004635E5" w14:paraId="419D2DED" w14:textId="77777777" w:rsidTr="00BD47F7">
        <w:trPr>
          <w:jc w:val="center"/>
        </w:trPr>
        <w:tc>
          <w:tcPr>
            <w:tcW w:w="0" w:type="auto"/>
            <w:vMerge w:val="restart"/>
          </w:tcPr>
          <w:p w14:paraId="45132718"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Long-term</w:t>
            </w:r>
          </w:p>
        </w:tc>
        <w:tc>
          <w:tcPr>
            <w:tcW w:w="0" w:type="auto"/>
          </w:tcPr>
          <w:p w14:paraId="0ACFAE0C"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2013-</w:t>
            </w:r>
            <w:r w:rsidR="008E3A79">
              <w:rPr>
                <w:rFonts w:eastAsiaTheme="minorEastAsia" w:hint="eastAsia"/>
                <w:sz w:val="22"/>
                <w:szCs w:val="22"/>
                <w:lang w:eastAsia="ko-KR"/>
              </w:rPr>
              <w:t>20</w:t>
            </w:r>
            <w:r w:rsidRPr="004635E5">
              <w:rPr>
                <w:rFonts w:eastAsia="MS PMincho"/>
                <w:sz w:val="22"/>
                <w:szCs w:val="22"/>
              </w:rPr>
              <w:t xml:space="preserve">15 </w:t>
            </w:r>
            <w:r w:rsidR="003C6023">
              <w:rPr>
                <w:rFonts w:eastAsia="MS PMincho"/>
                <w:sz w:val="22"/>
                <w:szCs w:val="22"/>
              </w:rPr>
              <w:t>average</w:t>
            </w:r>
          </w:p>
        </w:tc>
        <w:tc>
          <w:tcPr>
            <w:tcW w:w="0" w:type="auto"/>
            <w:shd w:val="clear" w:color="auto" w:fill="auto"/>
          </w:tcPr>
          <w:p w14:paraId="5C54AC2B"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0" w:type="auto"/>
            <w:shd w:val="clear" w:color="auto" w:fill="auto"/>
          </w:tcPr>
          <w:p w14:paraId="375DD519"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1319" w:type="dxa"/>
            <w:shd w:val="clear" w:color="auto" w:fill="auto"/>
          </w:tcPr>
          <w:p w14:paraId="25C4F401"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0.30</w:t>
            </w:r>
          </w:p>
        </w:tc>
        <w:tc>
          <w:tcPr>
            <w:tcW w:w="1853" w:type="dxa"/>
            <w:shd w:val="clear" w:color="auto" w:fill="auto"/>
          </w:tcPr>
          <w:p w14:paraId="0FD18EA0"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0.84</w:t>
            </w:r>
          </w:p>
        </w:tc>
        <w:tc>
          <w:tcPr>
            <w:tcW w:w="1570" w:type="dxa"/>
            <w:shd w:val="clear" w:color="auto" w:fill="auto"/>
          </w:tcPr>
          <w:p w14:paraId="755955CE"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1.60</w:t>
            </w:r>
          </w:p>
        </w:tc>
        <w:tc>
          <w:tcPr>
            <w:tcW w:w="2139" w:type="dxa"/>
            <w:shd w:val="clear" w:color="auto" w:fill="auto"/>
          </w:tcPr>
          <w:p w14:paraId="7F3DBD30"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2.09</w:t>
            </w:r>
          </w:p>
        </w:tc>
        <w:tc>
          <w:tcPr>
            <w:tcW w:w="1284" w:type="dxa"/>
            <w:shd w:val="clear" w:color="auto" w:fill="auto"/>
          </w:tcPr>
          <w:p w14:paraId="7E8FD64A"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17%</w:t>
            </w:r>
          </w:p>
        </w:tc>
        <w:tc>
          <w:tcPr>
            <w:tcW w:w="1173" w:type="dxa"/>
          </w:tcPr>
          <w:p w14:paraId="6F1CDED3"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93%</w:t>
            </w:r>
          </w:p>
        </w:tc>
      </w:tr>
      <w:tr w:rsidR="00BA4FCE" w:rsidRPr="004635E5" w14:paraId="1F112CF9" w14:textId="77777777" w:rsidTr="00BD47F7">
        <w:trPr>
          <w:jc w:val="center"/>
        </w:trPr>
        <w:tc>
          <w:tcPr>
            <w:tcW w:w="0" w:type="auto"/>
            <w:vMerge/>
          </w:tcPr>
          <w:p w14:paraId="45F7BEE1" w14:textId="77777777" w:rsidR="00BA4FCE" w:rsidRPr="004635E5" w:rsidRDefault="00BA4FCE" w:rsidP="006633A8">
            <w:pPr>
              <w:adjustRightInd w:val="0"/>
              <w:snapToGrid w:val="0"/>
              <w:rPr>
                <w:rFonts w:eastAsia="MS PMincho"/>
                <w:sz w:val="22"/>
                <w:szCs w:val="22"/>
              </w:rPr>
            </w:pPr>
          </w:p>
        </w:tc>
        <w:tc>
          <w:tcPr>
            <w:tcW w:w="0" w:type="auto"/>
          </w:tcPr>
          <w:p w14:paraId="4C629926"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Optimistic</w:t>
            </w:r>
          </w:p>
        </w:tc>
        <w:tc>
          <w:tcPr>
            <w:tcW w:w="0" w:type="auto"/>
            <w:shd w:val="clear" w:color="auto" w:fill="auto"/>
          </w:tcPr>
          <w:p w14:paraId="7D9A37B8"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1.11</w:t>
            </w:r>
          </w:p>
        </w:tc>
        <w:tc>
          <w:tcPr>
            <w:tcW w:w="0" w:type="auto"/>
            <w:shd w:val="clear" w:color="auto" w:fill="auto"/>
          </w:tcPr>
          <w:p w14:paraId="205883C8"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0.98</w:t>
            </w:r>
          </w:p>
        </w:tc>
        <w:tc>
          <w:tcPr>
            <w:tcW w:w="1319" w:type="dxa"/>
            <w:shd w:val="clear" w:color="auto" w:fill="auto"/>
          </w:tcPr>
          <w:p w14:paraId="7EC465E5"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0.29</w:t>
            </w:r>
          </w:p>
        </w:tc>
        <w:tc>
          <w:tcPr>
            <w:tcW w:w="1853" w:type="dxa"/>
            <w:shd w:val="clear" w:color="auto" w:fill="auto"/>
          </w:tcPr>
          <w:p w14:paraId="4F860504"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0.82</w:t>
            </w:r>
          </w:p>
        </w:tc>
        <w:tc>
          <w:tcPr>
            <w:tcW w:w="1570" w:type="dxa"/>
            <w:shd w:val="clear" w:color="auto" w:fill="auto"/>
          </w:tcPr>
          <w:p w14:paraId="637B49FC"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1.64</w:t>
            </w:r>
          </w:p>
        </w:tc>
        <w:tc>
          <w:tcPr>
            <w:tcW w:w="2139" w:type="dxa"/>
            <w:shd w:val="clear" w:color="auto" w:fill="auto"/>
          </w:tcPr>
          <w:p w14:paraId="0BD23918"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2.13</w:t>
            </w:r>
          </w:p>
        </w:tc>
        <w:tc>
          <w:tcPr>
            <w:tcW w:w="1284" w:type="dxa"/>
            <w:shd w:val="clear" w:color="auto" w:fill="auto"/>
          </w:tcPr>
          <w:p w14:paraId="1AE4FA74"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18%</w:t>
            </w:r>
          </w:p>
        </w:tc>
        <w:tc>
          <w:tcPr>
            <w:tcW w:w="1173" w:type="dxa"/>
          </w:tcPr>
          <w:p w14:paraId="5D68F879"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94%</w:t>
            </w:r>
          </w:p>
        </w:tc>
      </w:tr>
      <w:tr w:rsidR="00BA4FCE" w:rsidRPr="004635E5" w14:paraId="3A7E0470" w14:textId="77777777" w:rsidTr="00BD47F7">
        <w:trPr>
          <w:jc w:val="center"/>
        </w:trPr>
        <w:tc>
          <w:tcPr>
            <w:tcW w:w="0" w:type="auto"/>
            <w:vMerge/>
          </w:tcPr>
          <w:p w14:paraId="70F71F53" w14:textId="77777777" w:rsidR="00BA4FCE" w:rsidRPr="004635E5" w:rsidRDefault="00BA4FCE" w:rsidP="006633A8">
            <w:pPr>
              <w:adjustRightInd w:val="0"/>
              <w:snapToGrid w:val="0"/>
              <w:rPr>
                <w:rFonts w:eastAsia="MS PMincho"/>
                <w:sz w:val="22"/>
                <w:szCs w:val="22"/>
              </w:rPr>
            </w:pPr>
          </w:p>
        </w:tc>
        <w:tc>
          <w:tcPr>
            <w:tcW w:w="0" w:type="auto"/>
          </w:tcPr>
          <w:p w14:paraId="5379AF4F"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Pessimistic</w:t>
            </w:r>
          </w:p>
        </w:tc>
        <w:tc>
          <w:tcPr>
            <w:tcW w:w="0" w:type="auto"/>
            <w:shd w:val="clear" w:color="auto" w:fill="auto"/>
          </w:tcPr>
          <w:p w14:paraId="7E4742C9"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1.12</w:t>
            </w:r>
          </w:p>
        </w:tc>
        <w:tc>
          <w:tcPr>
            <w:tcW w:w="0" w:type="auto"/>
            <w:shd w:val="clear" w:color="auto" w:fill="auto"/>
          </w:tcPr>
          <w:p w14:paraId="0EDA181A"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1.35</w:t>
            </w:r>
          </w:p>
        </w:tc>
        <w:tc>
          <w:tcPr>
            <w:tcW w:w="1319" w:type="dxa"/>
            <w:shd w:val="clear" w:color="auto" w:fill="auto"/>
          </w:tcPr>
          <w:p w14:paraId="5FDB5351"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0.25</w:t>
            </w:r>
          </w:p>
        </w:tc>
        <w:tc>
          <w:tcPr>
            <w:tcW w:w="1853" w:type="dxa"/>
            <w:shd w:val="clear" w:color="auto" w:fill="auto"/>
          </w:tcPr>
          <w:p w14:paraId="7C183B44"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0.70</w:t>
            </w:r>
          </w:p>
        </w:tc>
        <w:tc>
          <w:tcPr>
            <w:tcW w:w="1570" w:type="dxa"/>
            <w:shd w:val="clear" w:color="auto" w:fill="auto"/>
          </w:tcPr>
          <w:p w14:paraId="48A68EAC"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1.84</w:t>
            </w:r>
          </w:p>
        </w:tc>
        <w:tc>
          <w:tcPr>
            <w:tcW w:w="2139" w:type="dxa"/>
            <w:shd w:val="clear" w:color="auto" w:fill="auto"/>
          </w:tcPr>
          <w:p w14:paraId="38BC36C6"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2.38</w:t>
            </w:r>
          </w:p>
        </w:tc>
        <w:tc>
          <w:tcPr>
            <w:tcW w:w="1284" w:type="dxa"/>
            <w:shd w:val="clear" w:color="auto" w:fill="auto"/>
          </w:tcPr>
          <w:p w14:paraId="278E1F0D"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32%</w:t>
            </w:r>
          </w:p>
        </w:tc>
        <w:tc>
          <w:tcPr>
            <w:tcW w:w="1173" w:type="dxa"/>
          </w:tcPr>
          <w:p w14:paraId="1249F664"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98%</w:t>
            </w:r>
          </w:p>
        </w:tc>
      </w:tr>
    </w:tbl>
    <w:p w14:paraId="0F7D19AD" w14:textId="77777777" w:rsidR="00BA4FCE" w:rsidRPr="004635E5" w:rsidRDefault="00BA4FCE" w:rsidP="006633A8">
      <w:pPr>
        <w:adjustRightInd w:val="0"/>
        <w:snapToGrid w:val="0"/>
        <w:rPr>
          <w:rFonts w:eastAsia="MS PMincho"/>
          <w:sz w:val="22"/>
          <w:szCs w:val="22"/>
        </w:rPr>
      </w:pPr>
      <w:r w:rsidRPr="004635E5">
        <w:rPr>
          <w:rFonts w:eastAsia="MS PMincho"/>
          <w:sz w:val="22"/>
          <w:szCs w:val="22"/>
          <w:vertAlign w:val="superscript"/>
        </w:rPr>
        <w:t>1</w:t>
      </w:r>
      <w:r w:rsidRPr="004635E5">
        <w:rPr>
          <w:rFonts w:eastAsia="MS PMincho"/>
          <w:sz w:val="22"/>
          <w:szCs w:val="22"/>
        </w:rPr>
        <w:t xml:space="preserve"> note risk within the stock assessment is calculated as the (weighted) number of models falling below the LRP (X / 36 models). Risk under a projection scenario is the number of projections across the grid that fall below the LRP (X / 3600 (36 models x 100 projections).</w:t>
      </w:r>
    </w:p>
    <w:p w14:paraId="4D4EC548" w14:textId="77777777" w:rsidR="00D70754" w:rsidRDefault="00D70754" w:rsidP="006633A8">
      <w:pPr>
        <w:keepNext/>
        <w:adjustRightInd w:val="0"/>
        <w:snapToGrid w:val="0"/>
        <w:jc w:val="both"/>
        <w:rPr>
          <w:rFonts w:eastAsiaTheme="minorEastAsia"/>
          <w:b/>
          <w:bCs/>
          <w:sz w:val="22"/>
          <w:szCs w:val="22"/>
          <w:lang w:val="en-GB" w:eastAsia="ko-KR"/>
        </w:rPr>
      </w:pPr>
    </w:p>
    <w:p w14:paraId="61F34747" w14:textId="77777777" w:rsidR="00D70754" w:rsidRDefault="00D70754" w:rsidP="006633A8">
      <w:pPr>
        <w:keepNext/>
        <w:adjustRightInd w:val="0"/>
        <w:snapToGrid w:val="0"/>
        <w:jc w:val="both"/>
        <w:rPr>
          <w:rFonts w:eastAsiaTheme="minorEastAsia"/>
          <w:b/>
          <w:bCs/>
          <w:sz w:val="22"/>
          <w:szCs w:val="22"/>
          <w:lang w:val="en-GB" w:eastAsia="ko-KR"/>
        </w:rPr>
      </w:pPr>
    </w:p>
    <w:p w14:paraId="4D024CC1" w14:textId="77777777" w:rsidR="00D70754" w:rsidRDefault="00D70754" w:rsidP="006633A8">
      <w:pPr>
        <w:keepNext/>
        <w:adjustRightInd w:val="0"/>
        <w:snapToGrid w:val="0"/>
        <w:jc w:val="both"/>
        <w:rPr>
          <w:rFonts w:eastAsiaTheme="minorEastAsia"/>
          <w:b/>
          <w:bCs/>
          <w:sz w:val="22"/>
          <w:szCs w:val="22"/>
          <w:lang w:val="en-GB" w:eastAsia="ko-KR"/>
        </w:rPr>
      </w:pPr>
    </w:p>
    <w:p w14:paraId="6C475968" w14:textId="77777777" w:rsidR="00BA4FCE" w:rsidRPr="004635E5" w:rsidRDefault="00BA4FCE" w:rsidP="006633A8">
      <w:pPr>
        <w:keepNext/>
        <w:adjustRightInd w:val="0"/>
        <w:snapToGrid w:val="0"/>
        <w:jc w:val="both"/>
        <w:rPr>
          <w:bCs/>
          <w:sz w:val="22"/>
          <w:szCs w:val="22"/>
          <w:u w:val="single"/>
          <w:lang w:val="en-GB"/>
        </w:rPr>
      </w:pPr>
      <w:r w:rsidRPr="004635E5">
        <w:rPr>
          <w:b/>
          <w:bCs/>
          <w:sz w:val="22"/>
          <w:szCs w:val="22"/>
          <w:lang w:val="en-GB"/>
        </w:rPr>
        <w:t xml:space="preserve">Table BET-4. </w:t>
      </w:r>
      <w:r w:rsidRPr="004635E5">
        <w:rPr>
          <w:bCs/>
          <w:sz w:val="22"/>
          <w:szCs w:val="22"/>
          <w:lang w:val="en-GB"/>
        </w:rPr>
        <w:t>Median values of SB/SB</w:t>
      </w:r>
      <w:r w:rsidRPr="004635E5">
        <w:rPr>
          <w:bCs/>
          <w:sz w:val="22"/>
          <w:szCs w:val="22"/>
          <w:vertAlign w:val="subscript"/>
          <w:lang w:val="en-GB"/>
        </w:rPr>
        <w:t>F=0</w:t>
      </w:r>
      <w:r w:rsidRPr="004635E5">
        <w:rPr>
          <w:bCs/>
          <w:sz w:val="22"/>
          <w:szCs w:val="22"/>
          <w:lang w:val="en-GB"/>
        </w:rPr>
        <w:t xml:space="preserve"> and associated risk of breaching the adopted limit reference point (LRP) of 20% SBF=0 in 2020, 2025 and 2045 under the three future harvest scenarios (2013-</w:t>
      </w:r>
      <w:r w:rsidR="00AF73D5" w:rsidRPr="004635E5">
        <w:rPr>
          <w:bCs/>
          <w:sz w:val="22"/>
          <w:szCs w:val="22"/>
          <w:lang w:val="en-GB"/>
        </w:rPr>
        <w:t>20</w:t>
      </w:r>
      <w:r w:rsidRPr="004635E5">
        <w:rPr>
          <w:bCs/>
          <w:sz w:val="22"/>
          <w:szCs w:val="22"/>
          <w:lang w:val="en-GB"/>
        </w:rPr>
        <w:t>15 average fishing levels, optimistic</w:t>
      </w:r>
      <w:r w:rsidR="00AF73D5" w:rsidRPr="004635E5">
        <w:rPr>
          <w:bCs/>
          <w:sz w:val="22"/>
          <w:szCs w:val="22"/>
          <w:lang w:val="en-GB"/>
        </w:rPr>
        <w:t>,</w:t>
      </w:r>
      <w:r w:rsidRPr="004635E5">
        <w:rPr>
          <w:bCs/>
          <w:sz w:val="22"/>
          <w:szCs w:val="22"/>
          <w:lang w:val="en-GB"/>
        </w:rPr>
        <w:t xml:space="preserve"> and pessimistic) and alternative recruitment hypotheses. </w:t>
      </w:r>
      <w:r w:rsidRPr="004635E5">
        <w:rPr>
          <w:bCs/>
          <w:sz w:val="22"/>
          <w:szCs w:val="22"/>
          <w:u w:val="single"/>
          <w:lang w:val="en-GB"/>
        </w:rPr>
        <w:t>‘Updated new growth’ runs only.</w:t>
      </w:r>
    </w:p>
    <w:p w14:paraId="083DEE0F" w14:textId="77777777" w:rsidR="00BA4FCE" w:rsidRPr="004635E5" w:rsidRDefault="00BA4FCE" w:rsidP="006633A8">
      <w:pPr>
        <w:adjustRightInd w:val="0"/>
        <w:snapToGrid w:val="0"/>
        <w:rPr>
          <w:rFonts w:eastAsia="MS PMincho"/>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1212"/>
        <w:gridCol w:w="657"/>
        <w:gridCol w:w="898"/>
        <w:gridCol w:w="1163"/>
        <w:gridCol w:w="1165"/>
        <w:gridCol w:w="1158"/>
        <w:gridCol w:w="711"/>
        <w:gridCol w:w="705"/>
        <w:gridCol w:w="717"/>
      </w:tblGrid>
      <w:tr w:rsidR="00BA4FCE" w:rsidRPr="004635E5" w14:paraId="704DB41E" w14:textId="77777777" w:rsidTr="00BA4FCE">
        <w:trPr>
          <w:jc w:val="center"/>
        </w:trPr>
        <w:tc>
          <w:tcPr>
            <w:tcW w:w="2547" w:type="dxa"/>
            <w:gridSpan w:val="2"/>
          </w:tcPr>
          <w:p w14:paraId="4AE271EA" w14:textId="77777777"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Scenario</w:t>
            </w:r>
          </w:p>
        </w:tc>
        <w:tc>
          <w:tcPr>
            <w:tcW w:w="1599" w:type="dxa"/>
            <w:gridSpan w:val="2"/>
            <w:shd w:val="clear" w:color="auto" w:fill="auto"/>
          </w:tcPr>
          <w:p w14:paraId="6C390E3F" w14:textId="77777777"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Scalars relative to 2013-2015</w:t>
            </w:r>
          </w:p>
        </w:tc>
        <w:tc>
          <w:tcPr>
            <w:tcW w:w="1430" w:type="dxa"/>
            <w:vMerge w:val="restart"/>
            <w:shd w:val="clear" w:color="auto" w:fill="auto"/>
          </w:tcPr>
          <w:p w14:paraId="63E48AD5" w14:textId="77777777"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Median SB</w:t>
            </w:r>
            <w:r w:rsidRPr="00D10883">
              <w:rPr>
                <w:rFonts w:eastAsia="MS PMincho"/>
                <w:b/>
                <w:sz w:val="18"/>
                <w:szCs w:val="18"/>
                <w:vertAlign w:val="subscript"/>
              </w:rPr>
              <w:t>2020</w:t>
            </w:r>
            <w:r w:rsidRPr="00D10883">
              <w:rPr>
                <w:rFonts w:eastAsia="MS PMincho"/>
                <w:b/>
                <w:sz w:val="18"/>
                <w:szCs w:val="18"/>
              </w:rPr>
              <w:t>/SB</w:t>
            </w:r>
            <w:r w:rsidRPr="00D10883">
              <w:rPr>
                <w:rFonts w:eastAsia="MS PMincho"/>
                <w:b/>
                <w:sz w:val="18"/>
                <w:szCs w:val="18"/>
                <w:vertAlign w:val="subscript"/>
              </w:rPr>
              <w:t>F=0</w:t>
            </w:r>
          </w:p>
        </w:tc>
        <w:tc>
          <w:tcPr>
            <w:tcW w:w="1466" w:type="dxa"/>
            <w:vMerge w:val="restart"/>
            <w:shd w:val="clear" w:color="auto" w:fill="auto"/>
          </w:tcPr>
          <w:p w14:paraId="51AF08A3" w14:textId="77777777"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Median SB</w:t>
            </w:r>
            <w:r w:rsidRPr="00D10883">
              <w:rPr>
                <w:rFonts w:eastAsia="MS PMincho"/>
                <w:b/>
                <w:sz w:val="18"/>
                <w:szCs w:val="18"/>
                <w:vertAlign w:val="subscript"/>
              </w:rPr>
              <w:t>2025</w:t>
            </w:r>
            <w:r w:rsidRPr="00D10883">
              <w:rPr>
                <w:rFonts w:eastAsia="MS PMincho"/>
                <w:b/>
                <w:sz w:val="18"/>
                <w:szCs w:val="18"/>
              </w:rPr>
              <w:t>/SB</w:t>
            </w:r>
            <w:r w:rsidRPr="00D10883">
              <w:rPr>
                <w:rFonts w:eastAsia="MS PMincho"/>
                <w:b/>
                <w:sz w:val="18"/>
                <w:szCs w:val="18"/>
                <w:vertAlign w:val="subscript"/>
              </w:rPr>
              <w:t>F=0</w:t>
            </w:r>
          </w:p>
        </w:tc>
        <w:tc>
          <w:tcPr>
            <w:tcW w:w="1337" w:type="dxa"/>
            <w:vMerge w:val="restart"/>
            <w:shd w:val="clear" w:color="auto" w:fill="auto"/>
          </w:tcPr>
          <w:p w14:paraId="42EB2756" w14:textId="77777777" w:rsidR="00BA4FCE" w:rsidRPr="00D10883" w:rsidRDefault="00BA4FCE" w:rsidP="006633A8">
            <w:pPr>
              <w:adjustRightInd w:val="0"/>
              <w:snapToGrid w:val="0"/>
              <w:jc w:val="center"/>
              <w:rPr>
                <w:rFonts w:eastAsia="MS PMincho"/>
                <w:b/>
                <w:sz w:val="18"/>
                <w:szCs w:val="18"/>
                <w:vertAlign w:val="superscript"/>
              </w:rPr>
            </w:pPr>
            <w:r w:rsidRPr="00D10883">
              <w:rPr>
                <w:rFonts w:eastAsia="MS PMincho"/>
                <w:b/>
                <w:sz w:val="18"/>
                <w:szCs w:val="18"/>
              </w:rPr>
              <w:t>Median SB</w:t>
            </w:r>
            <w:r w:rsidRPr="00D10883">
              <w:rPr>
                <w:rFonts w:eastAsia="MS PMincho"/>
                <w:b/>
                <w:sz w:val="18"/>
                <w:szCs w:val="18"/>
                <w:vertAlign w:val="subscript"/>
              </w:rPr>
              <w:t>2045</w:t>
            </w:r>
            <w:r w:rsidRPr="00D10883">
              <w:rPr>
                <w:rFonts w:eastAsia="MS PMincho"/>
                <w:b/>
                <w:sz w:val="18"/>
                <w:szCs w:val="18"/>
              </w:rPr>
              <w:t>/SB</w:t>
            </w:r>
            <w:r w:rsidRPr="00D10883">
              <w:rPr>
                <w:rFonts w:eastAsia="MS PMincho"/>
                <w:b/>
                <w:sz w:val="18"/>
                <w:szCs w:val="18"/>
                <w:vertAlign w:val="subscript"/>
              </w:rPr>
              <w:t>F=0</w:t>
            </w:r>
          </w:p>
        </w:tc>
        <w:tc>
          <w:tcPr>
            <w:tcW w:w="1344" w:type="dxa"/>
            <w:vMerge w:val="restart"/>
            <w:shd w:val="clear" w:color="auto" w:fill="auto"/>
          </w:tcPr>
          <w:p w14:paraId="5250EB14" w14:textId="77777777" w:rsidR="00BA4FCE" w:rsidRPr="00D10883" w:rsidRDefault="00BA4FCE" w:rsidP="006633A8">
            <w:pPr>
              <w:adjustRightInd w:val="0"/>
              <w:snapToGrid w:val="0"/>
              <w:jc w:val="center"/>
              <w:rPr>
                <w:rFonts w:eastAsia="MS PMincho"/>
                <w:b/>
                <w:sz w:val="18"/>
                <w:szCs w:val="18"/>
                <w:vertAlign w:val="subscript"/>
              </w:rPr>
            </w:pPr>
            <w:r w:rsidRPr="00D10883">
              <w:rPr>
                <w:rFonts w:eastAsia="MS PMincho"/>
                <w:b/>
                <w:sz w:val="18"/>
                <w:szCs w:val="18"/>
              </w:rPr>
              <w:t>Risk SB</w:t>
            </w:r>
            <w:r w:rsidRPr="00D10883">
              <w:rPr>
                <w:rFonts w:eastAsia="MS PMincho"/>
                <w:b/>
                <w:sz w:val="18"/>
                <w:szCs w:val="18"/>
                <w:vertAlign w:val="subscript"/>
              </w:rPr>
              <w:t>2020</w:t>
            </w:r>
            <w:r w:rsidRPr="00D10883">
              <w:rPr>
                <w:rFonts w:eastAsia="MS PMincho"/>
                <w:b/>
                <w:sz w:val="18"/>
                <w:szCs w:val="18"/>
              </w:rPr>
              <w:t xml:space="preserve"> &lt; LRP</w:t>
            </w:r>
          </w:p>
        </w:tc>
        <w:tc>
          <w:tcPr>
            <w:tcW w:w="1236" w:type="dxa"/>
            <w:vMerge w:val="restart"/>
          </w:tcPr>
          <w:p w14:paraId="05573A22" w14:textId="77777777"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Risk SB</w:t>
            </w:r>
            <w:r w:rsidRPr="00D10883">
              <w:rPr>
                <w:rFonts w:eastAsia="MS PMincho"/>
                <w:b/>
                <w:sz w:val="18"/>
                <w:szCs w:val="18"/>
                <w:vertAlign w:val="subscript"/>
              </w:rPr>
              <w:t>2025</w:t>
            </w:r>
            <w:r w:rsidRPr="00D10883">
              <w:rPr>
                <w:rFonts w:eastAsia="MS PMincho"/>
                <w:b/>
                <w:sz w:val="18"/>
                <w:szCs w:val="18"/>
              </w:rPr>
              <w:t xml:space="preserve"> &lt; LRP</w:t>
            </w:r>
          </w:p>
        </w:tc>
        <w:tc>
          <w:tcPr>
            <w:tcW w:w="1473" w:type="dxa"/>
            <w:vMerge w:val="restart"/>
          </w:tcPr>
          <w:p w14:paraId="7E5DD1FC" w14:textId="77777777"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Risk SB</w:t>
            </w:r>
            <w:r w:rsidRPr="00D10883">
              <w:rPr>
                <w:rFonts w:eastAsia="MS PMincho"/>
                <w:b/>
                <w:sz w:val="18"/>
                <w:szCs w:val="18"/>
                <w:vertAlign w:val="subscript"/>
              </w:rPr>
              <w:t>2045</w:t>
            </w:r>
            <w:r w:rsidRPr="00D10883">
              <w:rPr>
                <w:rFonts w:eastAsia="MS PMincho"/>
                <w:b/>
                <w:sz w:val="18"/>
                <w:szCs w:val="18"/>
              </w:rPr>
              <w:t xml:space="preserve"> &lt; LRP</w:t>
            </w:r>
          </w:p>
        </w:tc>
      </w:tr>
      <w:tr w:rsidR="00BA4FCE" w:rsidRPr="004635E5" w14:paraId="1BDE0BB3" w14:textId="77777777" w:rsidTr="00BA4FCE">
        <w:trPr>
          <w:jc w:val="center"/>
        </w:trPr>
        <w:tc>
          <w:tcPr>
            <w:tcW w:w="1250" w:type="dxa"/>
          </w:tcPr>
          <w:p w14:paraId="7003E199" w14:textId="77777777" w:rsidR="00BA4FCE" w:rsidRPr="00D10883" w:rsidRDefault="00BA4FCE" w:rsidP="006633A8">
            <w:pPr>
              <w:adjustRightInd w:val="0"/>
              <w:snapToGrid w:val="0"/>
              <w:rPr>
                <w:rFonts w:eastAsia="MS PMincho"/>
                <w:b/>
                <w:sz w:val="18"/>
                <w:szCs w:val="18"/>
              </w:rPr>
            </w:pPr>
            <w:r w:rsidRPr="00D10883">
              <w:rPr>
                <w:rFonts w:eastAsia="MS PMincho"/>
                <w:b/>
                <w:sz w:val="18"/>
                <w:szCs w:val="18"/>
              </w:rPr>
              <w:t>Recruitment</w:t>
            </w:r>
          </w:p>
        </w:tc>
        <w:tc>
          <w:tcPr>
            <w:tcW w:w="1297" w:type="dxa"/>
          </w:tcPr>
          <w:p w14:paraId="5FF2B0C7" w14:textId="77777777"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Fishing level</w:t>
            </w:r>
          </w:p>
        </w:tc>
        <w:tc>
          <w:tcPr>
            <w:tcW w:w="682" w:type="dxa"/>
            <w:shd w:val="clear" w:color="auto" w:fill="auto"/>
          </w:tcPr>
          <w:p w14:paraId="7C74A86B" w14:textId="77777777"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Purse seine</w:t>
            </w:r>
          </w:p>
        </w:tc>
        <w:tc>
          <w:tcPr>
            <w:tcW w:w="917" w:type="dxa"/>
            <w:shd w:val="clear" w:color="auto" w:fill="auto"/>
          </w:tcPr>
          <w:p w14:paraId="226E00D1" w14:textId="77777777"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Longline</w:t>
            </w:r>
          </w:p>
        </w:tc>
        <w:tc>
          <w:tcPr>
            <w:tcW w:w="1430" w:type="dxa"/>
            <w:vMerge/>
            <w:shd w:val="clear" w:color="auto" w:fill="auto"/>
          </w:tcPr>
          <w:p w14:paraId="712213C9" w14:textId="77777777" w:rsidR="00BA4FCE" w:rsidRPr="00D10883" w:rsidRDefault="00BA4FCE" w:rsidP="006633A8">
            <w:pPr>
              <w:adjustRightInd w:val="0"/>
              <w:snapToGrid w:val="0"/>
              <w:jc w:val="center"/>
              <w:rPr>
                <w:rFonts w:eastAsia="MS PMincho"/>
                <w:b/>
                <w:sz w:val="18"/>
                <w:szCs w:val="18"/>
              </w:rPr>
            </w:pPr>
          </w:p>
        </w:tc>
        <w:tc>
          <w:tcPr>
            <w:tcW w:w="1466" w:type="dxa"/>
            <w:vMerge/>
            <w:shd w:val="clear" w:color="auto" w:fill="auto"/>
          </w:tcPr>
          <w:p w14:paraId="435DF942" w14:textId="77777777" w:rsidR="00BA4FCE" w:rsidRPr="00D10883" w:rsidRDefault="00BA4FCE" w:rsidP="006633A8">
            <w:pPr>
              <w:adjustRightInd w:val="0"/>
              <w:snapToGrid w:val="0"/>
              <w:jc w:val="center"/>
              <w:rPr>
                <w:rFonts w:eastAsia="MS PMincho"/>
                <w:b/>
                <w:sz w:val="18"/>
                <w:szCs w:val="18"/>
              </w:rPr>
            </w:pPr>
          </w:p>
        </w:tc>
        <w:tc>
          <w:tcPr>
            <w:tcW w:w="1337" w:type="dxa"/>
            <w:vMerge/>
            <w:shd w:val="clear" w:color="auto" w:fill="auto"/>
          </w:tcPr>
          <w:p w14:paraId="073040E8" w14:textId="77777777" w:rsidR="00BA4FCE" w:rsidRPr="00D10883" w:rsidRDefault="00BA4FCE" w:rsidP="006633A8">
            <w:pPr>
              <w:adjustRightInd w:val="0"/>
              <w:snapToGrid w:val="0"/>
              <w:jc w:val="center"/>
              <w:rPr>
                <w:rFonts w:eastAsia="MS PMincho"/>
                <w:b/>
                <w:sz w:val="18"/>
                <w:szCs w:val="18"/>
              </w:rPr>
            </w:pPr>
          </w:p>
        </w:tc>
        <w:tc>
          <w:tcPr>
            <w:tcW w:w="1344" w:type="dxa"/>
            <w:vMerge/>
            <w:shd w:val="clear" w:color="auto" w:fill="auto"/>
          </w:tcPr>
          <w:p w14:paraId="6136B548" w14:textId="77777777" w:rsidR="00BA4FCE" w:rsidRPr="00D10883" w:rsidRDefault="00BA4FCE" w:rsidP="006633A8">
            <w:pPr>
              <w:adjustRightInd w:val="0"/>
              <w:snapToGrid w:val="0"/>
              <w:jc w:val="center"/>
              <w:rPr>
                <w:rFonts w:eastAsia="MS PMincho"/>
                <w:b/>
                <w:sz w:val="18"/>
                <w:szCs w:val="18"/>
              </w:rPr>
            </w:pPr>
          </w:p>
        </w:tc>
        <w:tc>
          <w:tcPr>
            <w:tcW w:w="1236" w:type="dxa"/>
            <w:vMerge/>
          </w:tcPr>
          <w:p w14:paraId="0AD5836B" w14:textId="77777777" w:rsidR="00BA4FCE" w:rsidRPr="00D10883" w:rsidRDefault="00BA4FCE" w:rsidP="006633A8">
            <w:pPr>
              <w:adjustRightInd w:val="0"/>
              <w:snapToGrid w:val="0"/>
              <w:jc w:val="center"/>
              <w:rPr>
                <w:rFonts w:eastAsia="MS PMincho"/>
                <w:b/>
                <w:sz w:val="18"/>
                <w:szCs w:val="18"/>
              </w:rPr>
            </w:pPr>
          </w:p>
        </w:tc>
        <w:tc>
          <w:tcPr>
            <w:tcW w:w="1473" w:type="dxa"/>
            <w:vMerge/>
          </w:tcPr>
          <w:p w14:paraId="3C1F67CE" w14:textId="77777777" w:rsidR="00BA4FCE" w:rsidRPr="00D10883" w:rsidRDefault="00BA4FCE" w:rsidP="006633A8">
            <w:pPr>
              <w:adjustRightInd w:val="0"/>
              <w:snapToGrid w:val="0"/>
              <w:jc w:val="center"/>
              <w:rPr>
                <w:rFonts w:eastAsia="MS PMincho"/>
                <w:b/>
                <w:sz w:val="18"/>
                <w:szCs w:val="18"/>
              </w:rPr>
            </w:pPr>
          </w:p>
        </w:tc>
      </w:tr>
      <w:tr w:rsidR="00BA4FCE" w:rsidRPr="004635E5" w14:paraId="630F0A36" w14:textId="77777777" w:rsidTr="00BA4FCE">
        <w:trPr>
          <w:jc w:val="center"/>
        </w:trPr>
        <w:tc>
          <w:tcPr>
            <w:tcW w:w="1250" w:type="dxa"/>
            <w:vMerge w:val="restart"/>
          </w:tcPr>
          <w:p w14:paraId="30739EE8"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Recent</w:t>
            </w:r>
          </w:p>
        </w:tc>
        <w:tc>
          <w:tcPr>
            <w:tcW w:w="1297" w:type="dxa"/>
          </w:tcPr>
          <w:p w14:paraId="5EA3EBB1"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2013-</w:t>
            </w:r>
            <w:r w:rsidR="00AF73D5" w:rsidRPr="004635E5">
              <w:rPr>
                <w:rFonts w:eastAsia="MS PMincho"/>
                <w:sz w:val="22"/>
                <w:szCs w:val="22"/>
              </w:rPr>
              <w:t>20</w:t>
            </w:r>
            <w:r w:rsidRPr="004635E5">
              <w:rPr>
                <w:rFonts w:eastAsia="MS PMincho"/>
                <w:sz w:val="22"/>
                <w:szCs w:val="22"/>
              </w:rPr>
              <w:t xml:space="preserve">15 </w:t>
            </w:r>
            <w:r w:rsidR="003C6023">
              <w:rPr>
                <w:rFonts w:eastAsia="MS PMincho"/>
                <w:sz w:val="22"/>
                <w:szCs w:val="22"/>
              </w:rPr>
              <w:t>average</w:t>
            </w:r>
            <w:r w:rsidRPr="004635E5">
              <w:rPr>
                <w:rFonts w:eastAsia="MS PMincho"/>
                <w:sz w:val="22"/>
                <w:szCs w:val="22"/>
              </w:rPr>
              <w:t xml:space="preserve"> </w:t>
            </w:r>
          </w:p>
        </w:tc>
        <w:tc>
          <w:tcPr>
            <w:tcW w:w="682" w:type="dxa"/>
            <w:shd w:val="clear" w:color="auto" w:fill="auto"/>
          </w:tcPr>
          <w:p w14:paraId="5195D518"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917" w:type="dxa"/>
            <w:shd w:val="clear" w:color="auto" w:fill="auto"/>
          </w:tcPr>
          <w:p w14:paraId="7C1CD3DB"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1430" w:type="dxa"/>
            <w:shd w:val="clear" w:color="auto" w:fill="auto"/>
          </w:tcPr>
          <w:p w14:paraId="78F8661A" w14:textId="77777777"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0.42</w:t>
            </w:r>
          </w:p>
        </w:tc>
        <w:tc>
          <w:tcPr>
            <w:tcW w:w="1466" w:type="dxa"/>
            <w:shd w:val="clear" w:color="auto" w:fill="auto"/>
          </w:tcPr>
          <w:p w14:paraId="6C71E2DC" w14:textId="77777777"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0.41</w:t>
            </w:r>
          </w:p>
        </w:tc>
        <w:tc>
          <w:tcPr>
            <w:tcW w:w="1337" w:type="dxa"/>
            <w:shd w:val="clear" w:color="auto" w:fill="auto"/>
          </w:tcPr>
          <w:p w14:paraId="68191605" w14:textId="77777777"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0.42</w:t>
            </w:r>
          </w:p>
        </w:tc>
        <w:tc>
          <w:tcPr>
            <w:tcW w:w="1344" w:type="dxa"/>
            <w:shd w:val="clear" w:color="auto" w:fill="auto"/>
          </w:tcPr>
          <w:p w14:paraId="256EA0A6"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c>
          <w:tcPr>
            <w:tcW w:w="1236" w:type="dxa"/>
          </w:tcPr>
          <w:p w14:paraId="2015CA30"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1473" w:type="dxa"/>
          </w:tcPr>
          <w:p w14:paraId="7EFA4AA8"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r>
      <w:tr w:rsidR="00BA4FCE" w:rsidRPr="004635E5" w14:paraId="77F6F5AB" w14:textId="77777777" w:rsidTr="00BA4FCE">
        <w:trPr>
          <w:jc w:val="center"/>
        </w:trPr>
        <w:tc>
          <w:tcPr>
            <w:tcW w:w="1250" w:type="dxa"/>
            <w:vMerge/>
          </w:tcPr>
          <w:p w14:paraId="5307AB22" w14:textId="77777777" w:rsidR="00BA4FCE" w:rsidRPr="004635E5" w:rsidRDefault="00BA4FCE" w:rsidP="006633A8">
            <w:pPr>
              <w:adjustRightInd w:val="0"/>
              <w:snapToGrid w:val="0"/>
              <w:rPr>
                <w:rFonts w:eastAsia="MS PMincho"/>
                <w:sz w:val="22"/>
                <w:szCs w:val="22"/>
              </w:rPr>
            </w:pPr>
          </w:p>
        </w:tc>
        <w:tc>
          <w:tcPr>
            <w:tcW w:w="1297" w:type="dxa"/>
          </w:tcPr>
          <w:p w14:paraId="683D184F"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Optimistic</w:t>
            </w:r>
          </w:p>
        </w:tc>
        <w:tc>
          <w:tcPr>
            <w:tcW w:w="682" w:type="dxa"/>
            <w:shd w:val="clear" w:color="auto" w:fill="auto"/>
          </w:tcPr>
          <w:p w14:paraId="0ADA6A31"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1.11</w:t>
            </w:r>
          </w:p>
        </w:tc>
        <w:tc>
          <w:tcPr>
            <w:tcW w:w="917" w:type="dxa"/>
            <w:shd w:val="clear" w:color="auto" w:fill="auto"/>
          </w:tcPr>
          <w:p w14:paraId="782884F5"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0.98</w:t>
            </w:r>
          </w:p>
        </w:tc>
        <w:tc>
          <w:tcPr>
            <w:tcW w:w="1430" w:type="dxa"/>
            <w:shd w:val="clear" w:color="auto" w:fill="auto"/>
          </w:tcPr>
          <w:p w14:paraId="45819CD2" w14:textId="77777777"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0.41</w:t>
            </w:r>
          </w:p>
        </w:tc>
        <w:tc>
          <w:tcPr>
            <w:tcW w:w="1466" w:type="dxa"/>
            <w:shd w:val="clear" w:color="auto" w:fill="auto"/>
          </w:tcPr>
          <w:p w14:paraId="1869FAD5" w14:textId="77777777"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0.40</w:t>
            </w:r>
          </w:p>
        </w:tc>
        <w:tc>
          <w:tcPr>
            <w:tcW w:w="1337" w:type="dxa"/>
            <w:shd w:val="clear" w:color="auto" w:fill="auto"/>
          </w:tcPr>
          <w:p w14:paraId="34C88F5A" w14:textId="77777777"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0.41</w:t>
            </w:r>
          </w:p>
        </w:tc>
        <w:tc>
          <w:tcPr>
            <w:tcW w:w="1344" w:type="dxa"/>
            <w:shd w:val="clear" w:color="auto" w:fill="auto"/>
          </w:tcPr>
          <w:p w14:paraId="0D303E99"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c>
          <w:tcPr>
            <w:tcW w:w="1236" w:type="dxa"/>
          </w:tcPr>
          <w:p w14:paraId="0EDE3154"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1473" w:type="dxa"/>
          </w:tcPr>
          <w:p w14:paraId="7D170A66"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r>
      <w:tr w:rsidR="00BA4FCE" w:rsidRPr="004635E5" w14:paraId="13436EE6" w14:textId="77777777" w:rsidTr="00BA4FCE">
        <w:trPr>
          <w:jc w:val="center"/>
        </w:trPr>
        <w:tc>
          <w:tcPr>
            <w:tcW w:w="1250" w:type="dxa"/>
            <w:vMerge/>
          </w:tcPr>
          <w:p w14:paraId="583BA2D2" w14:textId="77777777" w:rsidR="00BA4FCE" w:rsidRPr="004635E5" w:rsidRDefault="00BA4FCE" w:rsidP="006633A8">
            <w:pPr>
              <w:adjustRightInd w:val="0"/>
              <w:snapToGrid w:val="0"/>
              <w:rPr>
                <w:rFonts w:eastAsia="MS PMincho"/>
                <w:sz w:val="22"/>
                <w:szCs w:val="22"/>
              </w:rPr>
            </w:pPr>
          </w:p>
        </w:tc>
        <w:tc>
          <w:tcPr>
            <w:tcW w:w="1297" w:type="dxa"/>
          </w:tcPr>
          <w:p w14:paraId="02E23C51"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Pessimistic</w:t>
            </w:r>
          </w:p>
        </w:tc>
        <w:tc>
          <w:tcPr>
            <w:tcW w:w="682" w:type="dxa"/>
            <w:shd w:val="clear" w:color="auto" w:fill="auto"/>
          </w:tcPr>
          <w:p w14:paraId="3C30A3BA"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1.12</w:t>
            </w:r>
          </w:p>
        </w:tc>
        <w:tc>
          <w:tcPr>
            <w:tcW w:w="917" w:type="dxa"/>
            <w:shd w:val="clear" w:color="auto" w:fill="auto"/>
          </w:tcPr>
          <w:p w14:paraId="3105E82C"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1.35</w:t>
            </w:r>
          </w:p>
        </w:tc>
        <w:tc>
          <w:tcPr>
            <w:tcW w:w="1430" w:type="dxa"/>
            <w:shd w:val="clear" w:color="auto" w:fill="auto"/>
          </w:tcPr>
          <w:p w14:paraId="4AA8A30B" w14:textId="77777777"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0.38</w:t>
            </w:r>
          </w:p>
        </w:tc>
        <w:tc>
          <w:tcPr>
            <w:tcW w:w="1466" w:type="dxa"/>
            <w:shd w:val="clear" w:color="auto" w:fill="auto"/>
          </w:tcPr>
          <w:p w14:paraId="4283CCA4"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0.35</w:t>
            </w:r>
          </w:p>
        </w:tc>
        <w:tc>
          <w:tcPr>
            <w:tcW w:w="1337" w:type="dxa"/>
            <w:shd w:val="clear" w:color="auto" w:fill="auto"/>
          </w:tcPr>
          <w:p w14:paraId="554E7BC7" w14:textId="77777777"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0.36</w:t>
            </w:r>
          </w:p>
        </w:tc>
        <w:tc>
          <w:tcPr>
            <w:tcW w:w="1344" w:type="dxa"/>
            <w:shd w:val="clear" w:color="auto" w:fill="auto"/>
          </w:tcPr>
          <w:p w14:paraId="3EEF7715"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c>
          <w:tcPr>
            <w:tcW w:w="1236" w:type="dxa"/>
          </w:tcPr>
          <w:p w14:paraId="03B828CA"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4%</w:t>
            </w:r>
          </w:p>
        </w:tc>
        <w:tc>
          <w:tcPr>
            <w:tcW w:w="1473" w:type="dxa"/>
          </w:tcPr>
          <w:p w14:paraId="4B017DC9"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5%</w:t>
            </w:r>
          </w:p>
        </w:tc>
      </w:tr>
      <w:tr w:rsidR="00BA4FCE" w:rsidRPr="004635E5" w14:paraId="68541516" w14:textId="77777777" w:rsidTr="00BA4FCE">
        <w:trPr>
          <w:jc w:val="center"/>
        </w:trPr>
        <w:tc>
          <w:tcPr>
            <w:tcW w:w="1250" w:type="dxa"/>
            <w:tcBorders>
              <w:right w:val="nil"/>
            </w:tcBorders>
          </w:tcPr>
          <w:p w14:paraId="1D023018" w14:textId="77777777" w:rsidR="00BA4FCE" w:rsidRPr="004635E5" w:rsidRDefault="00BA4FCE" w:rsidP="006633A8">
            <w:pPr>
              <w:adjustRightInd w:val="0"/>
              <w:snapToGrid w:val="0"/>
              <w:rPr>
                <w:rFonts w:eastAsia="MS PMincho"/>
                <w:sz w:val="22"/>
                <w:szCs w:val="22"/>
              </w:rPr>
            </w:pPr>
          </w:p>
        </w:tc>
        <w:tc>
          <w:tcPr>
            <w:tcW w:w="1297" w:type="dxa"/>
            <w:tcBorders>
              <w:left w:val="nil"/>
              <w:right w:val="nil"/>
            </w:tcBorders>
          </w:tcPr>
          <w:p w14:paraId="77FBC795" w14:textId="77777777" w:rsidR="00BA4FCE" w:rsidRPr="004635E5" w:rsidRDefault="00BA4FCE" w:rsidP="006633A8">
            <w:pPr>
              <w:adjustRightInd w:val="0"/>
              <w:snapToGrid w:val="0"/>
              <w:rPr>
                <w:rFonts w:eastAsia="MS PMincho"/>
                <w:sz w:val="22"/>
                <w:szCs w:val="22"/>
              </w:rPr>
            </w:pPr>
          </w:p>
        </w:tc>
        <w:tc>
          <w:tcPr>
            <w:tcW w:w="682" w:type="dxa"/>
            <w:tcBorders>
              <w:left w:val="nil"/>
              <w:right w:val="nil"/>
            </w:tcBorders>
            <w:shd w:val="clear" w:color="auto" w:fill="auto"/>
          </w:tcPr>
          <w:p w14:paraId="1124882E" w14:textId="77777777" w:rsidR="00BA4FCE" w:rsidRPr="004635E5" w:rsidRDefault="00BA4FCE" w:rsidP="006633A8">
            <w:pPr>
              <w:adjustRightInd w:val="0"/>
              <w:snapToGrid w:val="0"/>
              <w:jc w:val="center"/>
              <w:rPr>
                <w:rFonts w:eastAsia="MS PMincho"/>
                <w:sz w:val="22"/>
                <w:szCs w:val="22"/>
              </w:rPr>
            </w:pPr>
          </w:p>
        </w:tc>
        <w:tc>
          <w:tcPr>
            <w:tcW w:w="917" w:type="dxa"/>
            <w:tcBorders>
              <w:left w:val="nil"/>
              <w:right w:val="nil"/>
            </w:tcBorders>
            <w:shd w:val="clear" w:color="auto" w:fill="auto"/>
          </w:tcPr>
          <w:p w14:paraId="418919AA" w14:textId="77777777" w:rsidR="00BA4FCE" w:rsidRPr="004635E5" w:rsidRDefault="00BA4FCE" w:rsidP="006633A8">
            <w:pPr>
              <w:adjustRightInd w:val="0"/>
              <w:snapToGrid w:val="0"/>
              <w:jc w:val="center"/>
              <w:rPr>
                <w:rFonts w:eastAsia="MS PMincho"/>
                <w:sz w:val="22"/>
                <w:szCs w:val="22"/>
              </w:rPr>
            </w:pPr>
          </w:p>
        </w:tc>
        <w:tc>
          <w:tcPr>
            <w:tcW w:w="1430" w:type="dxa"/>
            <w:tcBorders>
              <w:left w:val="nil"/>
              <w:right w:val="nil"/>
            </w:tcBorders>
            <w:shd w:val="clear" w:color="auto" w:fill="auto"/>
          </w:tcPr>
          <w:p w14:paraId="43AA5723" w14:textId="77777777" w:rsidR="00BA4FCE" w:rsidRPr="004635E5" w:rsidRDefault="00BA4FCE" w:rsidP="006633A8">
            <w:pPr>
              <w:adjustRightInd w:val="0"/>
              <w:snapToGrid w:val="0"/>
              <w:jc w:val="center"/>
              <w:rPr>
                <w:rFonts w:eastAsia="MS PMincho"/>
                <w:sz w:val="22"/>
                <w:szCs w:val="22"/>
              </w:rPr>
            </w:pPr>
          </w:p>
        </w:tc>
        <w:tc>
          <w:tcPr>
            <w:tcW w:w="1466" w:type="dxa"/>
            <w:tcBorders>
              <w:left w:val="nil"/>
              <w:right w:val="nil"/>
            </w:tcBorders>
            <w:shd w:val="clear" w:color="auto" w:fill="auto"/>
          </w:tcPr>
          <w:p w14:paraId="78DDC562" w14:textId="77777777" w:rsidR="00BA4FCE" w:rsidRPr="004635E5" w:rsidRDefault="00BA4FCE" w:rsidP="006633A8">
            <w:pPr>
              <w:adjustRightInd w:val="0"/>
              <w:snapToGrid w:val="0"/>
              <w:jc w:val="center"/>
              <w:rPr>
                <w:rFonts w:eastAsia="MS PMincho"/>
                <w:sz w:val="22"/>
                <w:szCs w:val="22"/>
              </w:rPr>
            </w:pPr>
          </w:p>
        </w:tc>
        <w:tc>
          <w:tcPr>
            <w:tcW w:w="1337" w:type="dxa"/>
            <w:tcBorders>
              <w:left w:val="nil"/>
              <w:right w:val="nil"/>
            </w:tcBorders>
            <w:shd w:val="clear" w:color="auto" w:fill="auto"/>
          </w:tcPr>
          <w:p w14:paraId="6EEA417A" w14:textId="77777777" w:rsidR="00BA4FCE" w:rsidRPr="004635E5" w:rsidRDefault="00BA4FCE" w:rsidP="006633A8">
            <w:pPr>
              <w:adjustRightInd w:val="0"/>
              <w:snapToGrid w:val="0"/>
              <w:jc w:val="center"/>
              <w:rPr>
                <w:rFonts w:eastAsia="MS PMincho"/>
                <w:sz w:val="22"/>
                <w:szCs w:val="22"/>
              </w:rPr>
            </w:pPr>
          </w:p>
        </w:tc>
        <w:tc>
          <w:tcPr>
            <w:tcW w:w="1344" w:type="dxa"/>
            <w:tcBorders>
              <w:left w:val="nil"/>
              <w:right w:val="nil"/>
            </w:tcBorders>
            <w:shd w:val="clear" w:color="auto" w:fill="auto"/>
          </w:tcPr>
          <w:p w14:paraId="2BDECF58" w14:textId="77777777" w:rsidR="00BA4FCE" w:rsidRPr="004635E5" w:rsidRDefault="00BA4FCE" w:rsidP="006633A8">
            <w:pPr>
              <w:adjustRightInd w:val="0"/>
              <w:snapToGrid w:val="0"/>
              <w:jc w:val="center"/>
              <w:rPr>
                <w:rFonts w:eastAsia="MS PMincho"/>
                <w:sz w:val="22"/>
                <w:szCs w:val="22"/>
              </w:rPr>
            </w:pPr>
          </w:p>
        </w:tc>
        <w:tc>
          <w:tcPr>
            <w:tcW w:w="1236" w:type="dxa"/>
            <w:tcBorders>
              <w:left w:val="nil"/>
              <w:right w:val="nil"/>
            </w:tcBorders>
          </w:tcPr>
          <w:p w14:paraId="1DC53DB6" w14:textId="77777777" w:rsidR="00BA4FCE" w:rsidRPr="004635E5" w:rsidRDefault="00BA4FCE" w:rsidP="006633A8">
            <w:pPr>
              <w:adjustRightInd w:val="0"/>
              <w:snapToGrid w:val="0"/>
              <w:jc w:val="center"/>
              <w:rPr>
                <w:rFonts w:eastAsia="MS PMincho"/>
                <w:sz w:val="22"/>
                <w:szCs w:val="22"/>
              </w:rPr>
            </w:pPr>
          </w:p>
        </w:tc>
        <w:tc>
          <w:tcPr>
            <w:tcW w:w="1473" w:type="dxa"/>
            <w:tcBorders>
              <w:left w:val="nil"/>
              <w:right w:val="single" w:sz="4" w:space="0" w:color="auto"/>
            </w:tcBorders>
          </w:tcPr>
          <w:p w14:paraId="32DD2152" w14:textId="77777777" w:rsidR="00BA4FCE" w:rsidRPr="004635E5" w:rsidRDefault="00BA4FCE" w:rsidP="006633A8">
            <w:pPr>
              <w:adjustRightInd w:val="0"/>
              <w:snapToGrid w:val="0"/>
              <w:jc w:val="center"/>
              <w:rPr>
                <w:rFonts w:eastAsia="MS PMincho"/>
                <w:sz w:val="22"/>
                <w:szCs w:val="22"/>
              </w:rPr>
            </w:pPr>
          </w:p>
        </w:tc>
      </w:tr>
      <w:tr w:rsidR="00BA4FCE" w:rsidRPr="004635E5" w14:paraId="418BB820" w14:textId="77777777" w:rsidTr="00BA4FCE">
        <w:trPr>
          <w:jc w:val="center"/>
        </w:trPr>
        <w:tc>
          <w:tcPr>
            <w:tcW w:w="1250" w:type="dxa"/>
            <w:vMerge w:val="restart"/>
          </w:tcPr>
          <w:p w14:paraId="7CB9E613"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Long-term</w:t>
            </w:r>
          </w:p>
        </w:tc>
        <w:tc>
          <w:tcPr>
            <w:tcW w:w="1297" w:type="dxa"/>
          </w:tcPr>
          <w:p w14:paraId="02BC5520"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2013-</w:t>
            </w:r>
            <w:r w:rsidR="00AF73D5" w:rsidRPr="004635E5">
              <w:rPr>
                <w:rFonts w:eastAsia="MS PMincho"/>
                <w:sz w:val="22"/>
                <w:szCs w:val="22"/>
              </w:rPr>
              <w:t>20</w:t>
            </w:r>
            <w:r w:rsidRPr="004635E5">
              <w:rPr>
                <w:rFonts w:eastAsia="MS PMincho"/>
                <w:sz w:val="22"/>
                <w:szCs w:val="22"/>
              </w:rPr>
              <w:t xml:space="preserve">15 </w:t>
            </w:r>
            <w:r w:rsidR="003C6023">
              <w:rPr>
                <w:rFonts w:eastAsia="MS PMincho"/>
                <w:sz w:val="22"/>
                <w:szCs w:val="22"/>
              </w:rPr>
              <w:t>average</w:t>
            </w:r>
          </w:p>
        </w:tc>
        <w:tc>
          <w:tcPr>
            <w:tcW w:w="682" w:type="dxa"/>
            <w:shd w:val="clear" w:color="auto" w:fill="auto"/>
          </w:tcPr>
          <w:p w14:paraId="0E1A6799"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917" w:type="dxa"/>
            <w:shd w:val="clear" w:color="auto" w:fill="auto"/>
          </w:tcPr>
          <w:p w14:paraId="26050A30"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1430" w:type="dxa"/>
            <w:shd w:val="clear" w:color="auto" w:fill="auto"/>
          </w:tcPr>
          <w:p w14:paraId="2A64A75C"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0.35</w:t>
            </w:r>
          </w:p>
        </w:tc>
        <w:tc>
          <w:tcPr>
            <w:tcW w:w="1466" w:type="dxa"/>
            <w:shd w:val="clear" w:color="auto" w:fill="auto"/>
          </w:tcPr>
          <w:p w14:paraId="727538AE"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0.30</w:t>
            </w:r>
          </w:p>
        </w:tc>
        <w:tc>
          <w:tcPr>
            <w:tcW w:w="1337" w:type="dxa"/>
            <w:shd w:val="clear" w:color="auto" w:fill="auto"/>
          </w:tcPr>
          <w:p w14:paraId="160C5743"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0.30</w:t>
            </w:r>
          </w:p>
        </w:tc>
        <w:tc>
          <w:tcPr>
            <w:tcW w:w="1344" w:type="dxa"/>
            <w:shd w:val="clear" w:color="auto" w:fill="auto"/>
          </w:tcPr>
          <w:p w14:paraId="727C561E"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2%</w:t>
            </w:r>
          </w:p>
        </w:tc>
        <w:tc>
          <w:tcPr>
            <w:tcW w:w="1236" w:type="dxa"/>
          </w:tcPr>
          <w:p w14:paraId="2700A041"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12%</w:t>
            </w:r>
          </w:p>
        </w:tc>
        <w:tc>
          <w:tcPr>
            <w:tcW w:w="1473" w:type="dxa"/>
          </w:tcPr>
          <w:p w14:paraId="5E10B20E"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17%</w:t>
            </w:r>
          </w:p>
        </w:tc>
      </w:tr>
      <w:tr w:rsidR="00BA4FCE" w:rsidRPr="004635E5" w14:paraId="5750FEBC" w14:textId="77777777" w:rsidTr="00BA4FCE">
        <w:trPr>
          <w:jc w:val="center"/>
        </w:trPr>
        <w:tc>
          <w:tcPr>
            <w:tcW w:w="1250" w:type="dxa"/>
            <w:vMerge/>
          </w:tcPr>
          <w:p w14:paraId="282372D3" w14:textId="77777777" w:rsidR="00BA4FCE" w:rsidRPr="004635E5" w:rsidRDefault="00BA4FCE" w:rsidP="006633A8">
            <w:pPr>
              <w:adjustRightInd w:val="0"/>
              <w:snapToGrid w:val="0"/>
              <w:rPr>
                <w:rFonts w:eastAsia="MS PMincho"/>
                <w:sz w:val="22"/>
                <w:szCs w:val="22"/>
              </w:rPr>
            </w:pPr>
          </w:p>
        </w:tc>
        <w:tc>
          <w:tcPr>
            <w:tcW w:w="1297" w:type="dxa"/>
          </w:tcPr>
          <w:p w14:paraId="72F8E244"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Optimistic</w:t>
            </w:r>
          </w:p>
        </w:tc>
        <w:tc>
          <w:tcPr>
            <w:tcW w:w="682" w:type="dxa"/>
            <w:shd w:val="clear" w:color="auto" w:fill="auto"/>
          </w:tcPr>
          <w:p w14:paraId="510D2DD5"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1.11</w:t>
            </w:r>
          </w:p>
        </w:tc>
        <w:tc>
          <w:tcPr>
            <w:tcW w:w="917" w:type="dxa"/>
            <w:shd w:val="clear" w:color="auto" w:fill="auto"/>
          </w:tcPr>
          <w:p w14:paraId="01A42A36"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0.98</w:t>
            </w:r>
          </w:p>
        </w:tc>
        <w:tc>
          <w:tcPr>
            <w:tcW w:w="1430" w:type="dxa"/>
            <w:shd w:val="clear" w:color="auto" w:fill="auto"/>
          </w:tcPr>
          <w:p w14:paraId="11F40754"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0.35</w:t>
            </w:r>
          </w:p>
        </w:tc>
        <w:tc>
          <w:tcPr>
            <w:tcW w:w="1466" w:type="dxa"/>
            <w:shd w:val="clear" w:color="auto" w:fill="auto"/>
          </w:tcPr>
          <w:p w14:paraId="59C9CD59"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0.30</w:t>
            </w:r>
          </w:p>
        </w:tc>
        <w:tc>
          <w:tcPr>
            <w:tcW w:w="1337" w:type="dxa"/>
            <w:shd w:val="clear" w:color="auto" w:fill="auto"/>
          </w:tcPr>
          <w:p w14:paraId="2DD7BEA4"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0.29</w:t>
            </w:r>
          </w:p>
        </w:tc>
        <w:tc>
          <w:tcPr>
            <w:tcW w:w="1344" w:type="dxa"/>
            <w:shd w:val="clear" w:color="auto" w:fill="auto"/>
          </w:tcPr>
          <w:p w14:paraId="48B95991"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2%</w:t>
            </w:r>
          </w:p>
        </w:tc>
        <w:tc>
          <w:tcPr>
            <w:tcW w:w="1236" w:type="dxa"/>
          </w:tcPr>
          <w:p w14:paraId="09ADEE2A"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13%</w:t>
            </w:r>
          </w:p>
        </w:tc>
        <w:tc>
          <w:tcPr>
            <w:tcW w:w="1473" w:type="dxa"/>
          </w:tcPr>
          <w:p w14:paraId="7096769B"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18%</w:t>
            </w:r>
          </w:p>
        </w:tc>
      </w:tr>
      <w:tr w:rsidR="00BA4FCE" w:rsidRPr="004635E5" w14:paraId="771AA812" w14:textId="77777777" w:rsidTr="00BA4FCE">
        <w:trPr>
          <w:jc w:val="center"/>
        </w:trPr>
        <w:tc>
          <w:tcPr>
            <w:tcW w:w="1250" w:type="dxa"/>
            <w:vMerge/>
          </w:tcPr>
          <w:p w14:paraId="594957D3" w14:textId="77777777" w:rsidR="00BA4FCE" w:rsidRPr="004635E5" w:rsidRDefault="00BA4FCE" w:rsidP="006633A8">
            <w:pPr>
              <w:adjustRightInd w:val="0"/>
              <w:snapToGrid w:val="0"/>
              <w:rPr>
                <w:rFonts w:eastAsia="MS PMincho"/>
                <w:sz w:val="22"/>
                <w:szCs w:val="22"/>
              </w:rPr>
            </w:pPr>
          </w:p>
        </w:tc>
        <w:tc>
          <w:tcPr>
            <w:tcW w:w="1297" w:type="dxa"/>
          </w:tcPr>
          <w:p w14:paraId="6DBB1836"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Pessimistic</w:t>
            </w:r>
          </w:p>
        </w:tc>
        <w:tc>
          <w:tcPr>
            <w:tcW w:w="682" w:type="dxa"/>
            <w:shd w:val="clear" w:color="auto" w:fill="auto"/>
          </w:tcPr>
          <w:p w14:paraId="3D9CB24C"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1.12</w:t>
            </w:r>
          </w:p>
        </w:tc>
        <w:tc>
          <w:tcPr>
            <w:tcW w:w="917" w:type="dxa"/>
            <w:shd w:val="clear" w:color="auto" w:fill="auto"/>
          </w:tcPr>
          <w:p w14:paraId="3F70EFFE"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1.35</w:t>
            </w:r>
          </w:p>
        </w:tc>
        <w:tc>
          <w:tcPr>
            <w:tcW w:w="1430" w:type="dxa"/>
            <w:shd w:val="clear" w:color="auto" w:fill="auto"/>
          </w:tcPr>
          <w:p w14:paraId="6AB3A9B4"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0.32</w:t>
            </w:r>
          </w:p>
        </w:tc>
        <w:tc>
          <w:tcPr>
            <w:tcW w:w="1466" w:type="dxa"/>
            <w:shd w:val="clear" w:color="auto" w:fill="auto"/>
          </w:tcPr>
          <w:p w14:paraId="098254B5"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0.26</w:t>
            </w:r>
          </w:p>
        </w:tc>
        <w:tc>
          <w:tcPr>
            <w:tcW w:w="1337" w:type="dxa"/>
            <w:shd w:val="clear" w:color="auto" w:fill="auto"/>
          </w:tcPr>
          <w:p w14:paraId="67F84FF6"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0.25</w:t>
            </w:r>
          </w:p>
        </w:tc>
        <w:tc>
          <w:tcPr>
            <w:tcW w:w="1344" w:type="dxa"/>
            <w:shd w:val="clear" w:color="auto" w:fill="auto"/>
          </w:tcPr>
          <w:p w14:paraId="3C2070A7"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7%</w:t>
            </w:r>
          </w:p>
        </w:tc>
        <w:tc>
          <w:tcPr>
            <w:tcW w:w="1236" w:type="dxa"/>
          </w:tcPr>
          <w:p w14:paraId="438E79CE"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26%</w:t>
            </w:r>
          </w:p>
        </w:tc>
        <w:tc>
          <w:tcPr>
            <w:tcW w:w="1473" w:type="dxa"/>
          </w:tcPr>
          <w:p w14:paraId="4BE3A415" w14:textId="77777777"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32%</w:t>
            </w:r>
          </w:p>
        </w:tc>
      </w:tr>
    </w:tbl>
    <w:p w14:paraId="54AEB0B3" w14:textId="77777777" w:rsidR="00BA4FCE" w:rsidRPr="004635E5" w:rsidRDefault="00BA4FCE" w:rsidP="006633A8">
      <w:pPr>
        <w:adjustRightInd w:val="0"/>
        <w:snapToGrid w:val="0"/>
        <w:rPr>
          <w:rFonts w:eastAsia="MS PMincho"/>
          <w:sz w:val="22"/>
          <w:szCs w:val="22"/>
        </w:rPr>
        <w:sectPr w:rsidR="00BA4FCE" w:rsidRPr="004635E5" w:rsidSect="00436E03">
          <w:type w:val="continuous"/>
          <w:pgSz w:w="12240" w:h="15840" w:code="1"/>
          <w:pgMar w:top="1440" w:right="1440" w:bottom="1440" w:left="1440" w:header="708" w:footer="708" w:gutter="0"/>
          <w:cols w:space="708"/>
          <w:docGrid w:linePitch="360"/>
        </w:sectPr>
      </w:pPr>
    </w:p>
    <w:p w14:paraId="4CBDAE19" w14:textId="77777777" w:rsidR="00D70754" w:rsidRDefault="00D70754">
      <w:pPr>
        <w:rPr>
          <w:rFonts w:eastAsiaTheme="minorEastAsia"/>
          <w:lang w:eastAsia="ko-KR"/>
        </w:rPr>
      </w:pPr>
      <w:r>
        <w:br w:type="page"/>
      </w:r>
    </w:p>
    <w:p w14:paraId="23CCE494" w14:textId="77777777" w:rsidR="00D70754" w:rsidRPr="00D70754" w:rsidRDefault="00D70754">
      <w:pPr>
        <w:rPr>
          <w:rFonts w:eastAsiaTheme="minorEastAsia"/>
          <w:lang w:eastAsia="ko-KR"/>
        </w:rPr>
      </w:pPr>
    </w:p>
    <w:tbl>
      <w:tblPr>
        <w:tblW w:w="0" w:type="auto"/>
        <w:tblLook w:val="04A0" w:firstRow="1" w:lastRow="0" w:firstColumn="1" w:lastColumn="0" w:noHBand="0" w:noVBand="1"/>
      </w:tblPr>
      <w:tblGrid>
        <w:gridCol w:w="4746"/>
        <w:gridCol w:w="4746"/>
      </w:tblGrid>
      <w:tr w:rsidR="00BA4FCE" w:rsidRPr="004635E5" w14:paraId="608030CF" w14:textId="77777777" w:rsidTr="00D70754">
        <w:tc>
          <w:tcPr>
            <w:tcW w:w="4746" w:type="dxa"/>
            <w:shd w:val="clear" w:color="auto" w:fill="auto"/>
          </w:tcPr>
          <w:p w14:paraId="0669C009"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Recent recruitments</w:t>
            </w:r>
          </w:p>
        </w:tc>
        <w:tc>
          <w:tcPr>
            <w:tcW w:w="4746" w:type="dxa"/>
            <w:shd w:val="clear" w:color="auto" w:fill="auto"/>
          </w:tcPr>
          <w:p w14:paraId="21F8CA93"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Long-term recruitment</w:t>
            </w:r>
          </w:p>
        </w:tc>
      </w:tr>
      <w:tr w:rsidR="00BA4FCE" w:rsidRPr="004635E5" w14:paraId="15FBE9EF" w14:textId="77777777" w:rsidTr="00D70754">
        <w:tc>
          <w:tcPr>
            <w:tcW w:w="4746" w:type="dxa"/>
            <w:shd w:val="clear" w:color="auto" w:fill="auto"/>
          </w:tcPr>
          <w:p w14:paraId="30DD5303" w14:textId="77777777" w:rsidR="00BA4FCE" w:rsidRPr="004635E5" w:rsidRDefault="00BA4FCE" w:rsidP="006633A8">
            <w:pPr>
              <w:adjustRightInd w:val="0"/>
              <w:snapToGrid w:val="0"/>
              <w:rPr>
                <w:rFonts w:eastAsia="MS PMincho"/>
                <w:sz w:val="22"/>
                <w:szCs w:val="22"/>
              </w:rPr>
            </w:pPr>
            <w:r w:rsidRPr="004635E5">
              <w:rPr>
                <w:rFonts w:eastAsia="MS PMincho"/>
                <w:noProof/>
                <w:sz w:val="22"/>
                <w:szCs w:val="22"/>
                <w:lang w:eastAsia="zh-CN" w:bidi="mn-Mong-CN"/>
              </w:rPr>
              <w:drawing>
                <wp:inline distT="0" distB="0" distL="0" distR="0" wp14:anchorId="035AEDFD" wp14:editId="5268BC14">
                  <wp:extent cx="2874009" cy="2869688"/>
                  <wp:effectExtent l="0" t="0" r="3175" b="6985"/>
                  <wp:docPr id="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_SBF0_2045_shortterm"/>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2874009" cy="2869688"/>
                          </a:xfrm>
                          <a:prstGeom prst="rect">
                            <a:avLst/>
                          </a:prstGeom>
                          <a:noFill/>
                          <a:ln>
                            <a:noFill/>
                          </a:ln>
                        </pic:spPr>
                      </pic:pic>
                    </a:graphicData>
                  </a:graphic>
                </wp:inline>
              </w:drawing>
            </w:r>
          </w:p>
        </w:tc>
        <w:tc>
          <w:tcPr>
            <w:tcW w:w="4746" w:type="dxa"/>
            <w:shd w:val="clear" w:color="auto" w:fill="auto"/>
          </w:tcPr>
          <w:p w14:paraId="35C65D74" w14:textId="77777777" w:rsidR="00BA4FCE" w:rsidRPr="004635E5" w:rsidRDefault="00BA4FCE" w:rsidP="006633A8">
            <w:pPr>
              <w:adjustRightInd w:val="0"/>
              <w:snapToGrid w:val="0"/>
              <w:rPr>
                <w:rFonts w:eastAsia="MS PMincho"/>
                <w:sz w:val="22"/>
                <w:szCs w:val="22"/>
              </w:rPr>
            </w:pPr>
            <w:r w:rsidRPr="004635E5">
              <w:rPr>
                <w:rFonts w:eastAsia="MS PMincho"/>
                <w:noProof/>
                <w:sz w:val="22"/>
                <w:szCs w:val="22"/>
                <w:lang w:eastAsia="zh-CN" w:bidi="mn-Mong-CN"/>
              </w:rPr>
              <w:drawing>
                <wp:inline distT="0" distB="0" distL="0" distR="0" wp14:anchorId="17043BD0" wp14:editId="1877474C">
                  <wp:extent cx="2874009" cy="2869688"/>
                  <wp:effectExtent l="0" t="0" r="3175" b="6985"/>
                  <wp:docPr id="4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_SBF0_2045_longterm_final"/>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2874009" cy="2869688"/>
                          </a:xfrm>
                          <a:prstGeom prst="rect">
                            <a:avLst/>
                          </a:prstGeom>
                          <a:noFill/>
                          <a:ln>
                            <a:noFill/>
                          </a:ln>
                        </pic:spPr>
                      </pic:pic>
                    </a:graphicData>
                  </a:graphic>
                </wp:inline>
              </w:drawing>
            </w:r>
          </w:p>
        </w:tc>
      </w:tr>
    </w:tbl>
    <w:p w14:paraId="7C4A318A" w14:textId="77777777" w:rsidR="00BA4FCE" w:rsidRPr="004635E5" w:rsidRDefault="00BA4FCE" w:rsidP="006633A8">
      <w:pPr>
        <w:adjustRightInd w:val="0"/>
        <w:snapToGrid w:val="0"/>
        <w:jc w:val="both"/>
        <w:rPr>
          <w:bCs/>
          <w:sz w:val="22"/>
          <w:szCs w:val="22"/>
          <w:lang w:val="en-GB"/>
        </w:rPr>
      </w:pPr>
      <w:bookmarkStart w:id="85" w:name="_Ref518310485"/>
      <w:r w:rsidRPr="004635E5">
        <w:rPr>
          <w:b/>
          <w:bCs/>
          <w:sz w:val="22"/>
          <w:szCs w:val="22"/>
          <w:lang w:val="en-GB"/>
        </w:rPr>
        <w:t xml:space="preserve">Figure </w:t>
      </w:r>
      <w:bookmarkEnd w:id="85"/>
      <w:r w:rsidRPr="004635E5">
        <w:rPr>
          <w:b/>
          <w:bCs/>
          <w:sz w:val="22"/>
          <w:szCs w:val="22"/>
          <w:lang w:val="en-GB"/>
        </w:rPr>
        <w:t xml:space="preserve">BET-6. </w:t>
      </w:r>
      <w:r w:rsidRPr="004635E5">
        <w:rPr>
          <w:bCs/>
          <w:sz w:val="22"/>
          <w:szCs w:val="22"/>
          <w:lang w:val="en-GB"/>
        </w:rPr>
        <w:t>Distribution of SB</w:t>
      </w:r>
      <w:r w:rsidRPr="004635E5">
        <w:rPr>
          <w:bCs/>
          <w:sz w:val="22"/>
          <w:szCs w:val="22"/>
          <w:vertAlign w:val="subscript"/>
          <w:lang w:val="en-GB"/>
        </w:rPr>
        <w:t>2045</w:t>
      </w:r>
      <w:r w:rsidRPr="004635E5">
        <w:rPr>
          <w:bCs/>
          <w:sz w:val="22"/>
          <w:szCs w:val="22"/>
          <w:lang w:val="en-GB"/>
        </w:rPr>
        <w:t>/SB</w:t>
      </w:r>
      <w:r w:rsidRPr="004635E5">
        <w:rPr>
          <w:bCs/>
          <w:sz w:val="22"/>
          <w:szCs w:val="22"/>
          <w:vertAlign w:val="subscript"/>
          <w:lang w:val="en-GB"/>
        </w:rPr>
        <w:t>F=0</w:t>
      </w:r>
      <w:r w:rsidRPr="004635E5">
        <w:rPr>
          <w:bCs/>
          <w:sz w:val="22"/>
          <w:szCs w:val="22"/>
          <w:lang w:val="en-GB"/>
        </w:rPr>
        <w:t xml:space="preserve"> assuming recent and long term recruitment conditions (left and right columns, respectively), under the three future fishing scenarios: 2013-15 </w:t>
      </w:r>
      <w:r w:rsidR="003C6023">
        <w:rPr>
          <w:bCs/>
          <w:sz w:val="22"/>
          <w:szCs w:val="22"/>
          <w:lang w:val="en-GB"/>
        </w:rPr>
        <w:t>average</w:t>
      </w:r>
      <w:r w:rsidRPr="004635E5">
        <w:rPr>
          <w:bCs/>
          <w:sz w:val="22"/>
          <w:szCs w:val="22"/>
          <w:lang w:val="en-GB"/>
        </w:rPr>
        <w:t xml:space="preserve"> (2013-15 average conditions, top row); optimistic conditions (middle row); and pessimistic conditions (bottom row). Projection results from ‘updated new growth’ models (3,600 projections) only where the red line indicates the LRP.</w:t>
      </w:r>
    </w:p>
    <w:p w14:paraId="455B726B" w14:textId="77777777" w:rsidR="00B26471" w:rsidRDefault="00B26471" w:rsidP="006633A8">
      <w:pPr>
        <w:adjustRightInd w:val="0"/>
        <w:snapToGrid w:val="0"/>
        <w:jc w:val="both"/>
        <w:rPr>
          <w:rFonts w:eastAsiaTheme="minorEastAsia"/>
          <w:bCs/>
          <w:sz w:val="22"/>
          <w:szCs w:val="22"/>
          <w:lang w:val="en-GB" w:eastAsia="ko-KR"/>
        </w:rPr>
      </w:pPr>
    </w:p>
    <w:p w14:paraId="6041534D" w14:textId="77777777" w:rsidR="00D70754" w:rsidRPr="00D70754" w:rsidRDefault="00D70754" w:rsidP="006633A8">
      <w:pPr>
        <w:adjustRightInd w:val="0"/>
        <w:snapToGrid w:val="0"/>
        <w:jc w:val="both"/>
        <w:rPr>
          <w:rFonts w:eastAsiaTheme="minorEastAsia"/>
          <w:bCs/>
          <w:sz w:val="22"/>
          <w:szCs w:val="22"/>
          <w:lang w:val="en-GB" w:eastAsia="ko-KR"/>
        </w:rPr>
      </w:pPr>
    </w:p>
    <w:tbl>
      <w:tblPr>
        <w:tblW w:w="0" w:type="auto"/>
        <w:tblLook w:val="04A0" w:firstRow="1" w:lastRow="0" w:firstColumn="1" w:lastColumn="0" w:noHBand="0" w:noVBand="1"/>
      </w:tblPr>
      <w:tblGrid>
        <w:gridCol w:w="4747"/>
        <w:gridCol w:w="4747"/>
      </w:tblGrid>
      <w:tr w:rsidR="00BA4FCE" w:rsidRPr="004635E5" w14:paraId="1F9F7D00" w14:textId="77777777" w:rsidTr="00AF73D5">
        <w:tc>
          <w:tcPr>
            <w:tcW w:w="4747" w:type="dxa"/>
            <w:shd w:val="clear" w:color="auto" w:fill="auto"/>
          </w:tcPr>
          <w:p w14:paraId="4525A869"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Recent recruitments</w:t>
            </w:r>
          </w:p>
        </w:tc>
        <w:tc>
          <w:tcPr>
            <w:tcW w:w="4747" w:type="dxa"/>
            <w:shd w:val="clear" w:color="auto" w:fill="auto"/>
          </w:tcPr>
          <w:p w14:paraId="50BA8C26" w14:textId="77777777" w:rsidR="00BA4FCE" w:rsidRPr="004635E5" w:rsidRDefault="00BA4FCE" w:rsidP="006633A8">
            <w:pPr>
              <w:adjustRightInd w:val="0"/>
              <w:snapToGrid w:val="0"/>
              <w:rPr>
                <w:rFonts w:eastAsia="MS PMincho"/>
                <w:sz w:val="22"/>
                <w:szCs w:val="22"/>
              </w:rPr>
            </w:pPr>
            <w:r w:rsidRPr="004635E5">
              <w:rPr>
                <w:rFonts w:eastAsia="MS PMincho"/>
                <w:sz w:val="22"/>
                <w:szCs w:val="22"/>
              </w:rPr>
              <w:t>Long-term recruitment</w:t>
            </w:r>
          </w:p>
        </w:tc>
      </w:tr>
      <w:tr w:rsidR="00BA4FCE" w:rsidRPr="004635E5" w14:paraId="5237739C" w14:textId="77777777" w:rsidTr="00AF73D5">
        <w:tc>
          <w:tcPr>
            <w:tcW w:w="4747" w:type="dxa"/>
            <w:shd w:val="clear" w:color="auto" w:fill="auto"/>
          </w:tcPr>
          <w:p w14:paraId="448B31C1" w14:textId="77777777" w:rsidR="00BA4FCE" w:rsidRPr="004635E5" w:rsidRDefault="00BA4FCE" w:rsidP="006633A8">
            <w:pPr>
              <w:adjustRightInd w:val="0"/>
              <w:snapToGrid w:val="0"/>
              <w:rPr>
                <w:rFonts w:eastAsia="MS PMincho"/>
                <w:sz w:val="22"/>
                <w:szCs w:val="22"/>
              </w:rPr>
            </w:pPr>
            <w:r w:rsidRPr="004635E5">
              <w:rPr>
                <w:rFonts w:eastAsia="MS PMincho"/>
                <w:noProof/>
                <w:sz w:val="22"/>
                <w:szCs w:val="22"/>
                <w:lang w:eastAsia="zh-CN" w:bidi="mn-Mong-CN"/>
              </w:rPr>
              <w:drawing>
                <wp:inline distT="0" distB="0" distL="0" distR="0" wp14:anchorId="32F6F2F2" wp14:editId="46D2FA91">
                  <wp:extent cx="2868294" cy="2863981"/>
                  <wp:effectExtent l="0" t="0" r="8890" b="0"/>
                  <wp:docPr id="4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_Fmsy_shortterm"/>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2868294" cy="2863981"/>
                          </a:xfrm>
                          <a:prstGeom prst="rect">
                            <a:avLst/>
                          </a:prstGeom>
                          <a:noFill/>
                          <a:ln>
                            <a:noFill/>
                          </a:ln>
                        </pic:spPr>
                      </pic:pic>
                    </a:graphicData>
                  </a:graphic>
                </wp:inline>
              </w:drawing>
            </w:r>
          </w:p>
        </w:tc>
        <w:tc>
          <w:tcPr>
            <w:tcW w:w="4747" w:type="dxa"/>
            <w:shd w:val="clear" w:color="auto" w:fill="auto"/>
          </w:tcPr>
          <w:p w14:paraId="2B00A144" w14:textId="77777777" w:rsidR="00BA4FCE" w:rsidRPr="004635E5" w:rsidRDefault="00BA4FCE" w:rsidP="006633A8">
            <w:pPr>
              <w:adjustRightInd w:val="0"/>
              <w:snapToGrid w:val="0"/>
              <w:rPr>
                <w:rFonts w:eastAsia="MS PMincho"/>
                <w:sz w:val="22"/>
                <w:szCs w:val="22"/>
              </w:rPr>
            </w:pPr>
            <w:r w:rsidRPr="004635E5">
              <w:rPr>
                <w:rFonts w:eastAsia="MS PMincho"/>
                <w:noProof/>
                <w:sz w:val="22"/>
                <w:szCs w:val="22"/>
                <w:lang w:eastAsia="zh-CN" w:bidi="mn-Mong-CN"/>
              </w:rPr>
              <w:drawing>
                <wp:inline distT="0" distB="0" distL="0" distR="0" wp14:anchorId="26E35F8C" wp14:editId="7BD553A6">
                  <wp:extent cx="2868294" cy="2863981"/>
                  <wp:effectExtent l="0" t="0" r="8890" b="0"/>
                  <wp:docPr id="4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_Fmsy_longterm_final"/>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2868294" cy="2863981"/>
                          </a:xfrm>
                          <a:prstGeom prst="rect">
                            <a:avLst/>
                          </a:prstGeom>
                          <a:noFill/>
                          <a:ln>
                            <a:noFill/>
                          </a:ln>
                        </pic:spPr>
                      </pic:pic>
                    </a:graphicData>
                  </a:graphic>
                </wp:inline>
              </w:drawing>
            </w:r>
          </w:p>
        </w:tc>
      </w:tr>
    </w:tbl>
    <w:p w14:paraId="345B1392" w14:textId="77777777" w:rsidR="00BA4FCE" w:rsidRPr="004635E5" w:rsidRDefault="00BA4FCE" w:rsidP="006633A8">
      <w:pPr>
        <w:adjustRightInd w:val="0"/>
        <w:snapToGrid w:val="0"/>
        <w:rPr>
          <w:rFonts w:eastAsia="MS PMincho"/>
          <w:sz w:val="22"/>
          <w:szCs w:val="22"/>
        </w:rPr>
      </w:pPr>
      <w:bookmarkStart w:id="86" w:name="_Ref518310496"/>
      <w:r w:rsidRPr="004635E5">
        <w:rPr>
          <w:rFonts w:eastAsia="MS PMincho"/>
          <w:b/>
          <w:bCs/>
          <w:sz w:val="22"/>
          <w:szCs w:val="22"/>
        </w:rPr>
        <w:t xml:space="preserve">Figure </w:t>
      </w:r>
      <w:bookmarkEnd w:id="86"/>
      <w:r w:rsidRPr="004635E5">
        <w:rPr>
          <w:rFonts w:eastAsia="MS PMincho"/>
          <w:b/>
          <w:bCs/>
          <w:sz w:val="22"/>
          <w:szCs w:val="22"/>
        </w:rPr>
        <w:t xml:space="preserve">BET-7. </w:t>
      </w:r>
      <w:r w:rsidRPr="004635E5">
        <w:rPr>
          <w:rFonts w:eastAsia="MS PMincho"/>
          <w:bCs/>
          <w:sz w:val="22"/>
          <w:szCs w:val="22"/>
        </w:rPr>
        <w:t>Distribution of F/F</w:t>
      </w:r>
      <w:r w:rsidRPr="004635E5">
        <w:rPr>
          <w:rFonts w:eastAsia="MS PMincho"/>
          <w:bCs/>
          <w:sz w:val="22"/>
          <w:szCs w:val="22"/>
          <w:vertAlign w:val="subscript"/>
        </w:rPr>
        <w:t>MSY</w:t>
      </w:r>
      <w:r w:rsidRPr="004635E5">
        <w:rPr>
          <w:rFonts w:eastAsia="MS PMincho"/>
          <w:bCs/>
          <w:sz w:val="22"/>
          <w:szCs w:val="22"/>
        </w:rPr>
        <w:t xml:space="preserve"> assuming recent and long term recruitment conditions (left and right columns, respectively), under the three future fishing scenarios: 2013-15 </w:t>
      </w:r>
      <w:r w:rsidR="003C6023">
        <w:rPr>
          <w:rFonts w:eastAsia="MS PMincho"/>
          <w:bCs/>
          <w:sz w:val="22"/>
          <w:szCs w:val="22"/>
        </w:rPr>
        <w:t>average</w:t>
      </w:r>
      <w:r w:rsidRPr="004635E5">
        <w:rPr>
          <w:rFonts w:eastAsia="MS PMincho"/>
          <w:bCs/>
          <w:sz w:val="22"/>
          <w:szCs w:val="22"/>
        </w:rPr>
        <w:t xml:space="preserve"> (2013-15 average conditions, top row); optimistic conditions (middle row); and pessimistic conditions (bottom row). Projection results from ‘updated new growth’ models (3,600 projections) only.</w:t>
      </w:r>
    </w:p>
    <w:p w14:paraId="250A9119" w14:textId="77777777" w:rsidR="00B26471" w:rsidRPr="004635E5" w:rsidRDefault="00B26471" w:rsidP="006633A8">
      <w:pPr>
        <w:adjustRightInd w:val="0"/>
        <w:snapToGrid w:val="0"/>
        <w:rPr>
          <w:rFonts w:eastAsia="MS PMincho"/>
          <w:sz w:val="22"/>
          <w:szCs w:val="22"/>
        </w:rPr>
      </w:pPr>
      <w:r w:rsidRPr="004635E5">
        <w:rPr>
          <w:rFonts w:eastAsia="MS PMincho"/>
          <w:sz w:val="22"/>
          <w:szCs w:val="22"/>
        </w:rPr>
        <w:br w:type="page"/>
      </w:r>
    </w:p>
    <w:p w14:paraId="216D2362" w14:textId="77777777" w:rsidR="00BA4FCE" w:rsidRPr="004635E5" w:rsidRDefault="00BA4FCE" w:rsidP="006633A8">
      <w:pPr>
        <w:adjustRightInd w:val="0"/>
        <w:snapToGrid w:val="0"/>
        <w:rPr>
          <w:rFonts w:eastAsia="MS PMincho"/>
          <w:sz w:val="22"/>
          <w:szCs w:val="22"/>
        </w:rPr>
      </w:pPr>
    </w:p>
    <w:tbl>
      <w:tblPr>
        <w:tblStyle w:val="TableGrid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A69D2" w:rsidRPr="004635E5" w14:paraId="7386FF92" w14:textId="77777777" w:rsidTr="00FA69D2">
        <w:tc>
          <w:tcPr>
            <w:tcW w:w="5000" w:type="pct"/>
          </w:tcPr>
          <w:p w14:paraId="72F31C06" w14:textId="77777777" w:rsidR="00FA69D2" w:rsidRPr="004635E5" w:rsidRDefault="00FA69D2" w:rsidP="006633A8">
            <w:pPr>
              <w:adjustRightInd w:val="0"/>
              <w:snapToGrid w:val="0"/>
            </w:pPr>
            <w:r w:rsidRPr="004635E5">
              <w:br w:type="page"/>
              <w:t>Recent recruitments</w:t>
            </w:r>
          </w:p>
        </w:tc>
      </w:tr>
      <w:tr w:rsidR="00FA69D2" w:rsidRPr="004635E5" w14:paraId="45888356" w14:textId="77777777" w:rsidTr="00FA69D2">
        <w:tc>
          <w:tcPr>
            <w:tcW w:w="5000" w:type="pct"/>
          </w:tcPr>
          <w:p w14:paraId="1D078BBD" w14:textId="77777777" w:rsidR="00FA69D2" w:rsidRPr="004635E5" w:rsidRDefault="00FA69D2" w:rsidP="00FA69D2">
            <w:pPr>
              <w:adjustRightInd w:val="0"/>
              <w:snapToGrid w:val="0"/>
              <w:jc w:val="center"/>
            </w:pPr>
            <w:r w:rsidRPr="004635E5">
              <w:rPr>
                <w:noProof/>
                <w:lang w:eastAsia="zh-CN" w:bidi="mn-Mong-CN"/>
              </w:rPr>
              <w:drawing>
                <wp:inline distT="0" distB="0" distL="0" distR="0" wp14:anchorId="41F706AF" wp14:editId="3CC83952">
                  <wp:extent cx="4636008" cy="3127248"/>
                  <wp:effectExtent l="0" t="0" r="0" b="0"/>
                  <wp:docPr id="4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SC14_timeseries_recentSRR.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4636008" cy="3127248"/>
                          </a:xfrm>
                          <a:prstGeom prst="rect">
                            <a:avLst/>
                          </a:prstGeom>
                        </pic:spPr>
                      </pic:pic>
                    </a:graphicData>
                  </a:graphic>
                </wp:inline>
              </w:drawing>
            </w:r>
          </w:p>
        </w:tc>
      </w:tr>
      <w:tr w:rsidR="00FA69D2" w:rsidRPr="004635E5" w14:paraId="65D2FEFA" w14:textId="77777777" w:rsidTr="00FA69D2">
        <w:tc>
          <w:tcPr>
            <w:tcW w:w="5000" w:type="pct"/>
          </w:tcPr>
          <w:p w14:paraId="2123647E" w14:textId="77777777" w:rsidR="00FA69D2" w:rsidRPr="004635E5" w:rsidRDefault="00FA69D2" w:rsidP="00FA69D2">
            <w:pPr>
              <w:adjustRightInd w:val="0"/>
              <w:snapToGrid w:val="0"/>
              <w:rPr>
                <w:noProof/>
                <w:lang w:eastAsia="zh-CN" w:bidi="mn-Mong-CN"/>
              </w:rPr>
            </w:pPr>
            <w:r w:rsidRPr="004635E5">
              <w:t>Long-term recruitment</w:t>
            </w:r>
          </w:p>
        </w:tc>
      </w:tr>
      <w:tr w:rsidR="00FA69D2" w:rsidRPr="004635E5" w14:paraId="3125E46B" w14:textId="77777777" w:rsidTr="00FA69D2">
        <w:tc>
          <w:tcPr>
            <w:tcW w:w="5000" w:type="pct"/>
          </w:tcPr>
          <w:p w14:paraId="6A8CA86A" w14:textId="77777777" w:rsidR="00FA69D2" w:rsidRPr="004635E5" w:rsidRDefault="00FA69D2" w:rsidP="00FA69D2">
            <w:pPr>
              <w:adjustRightInd w:val="0"/>
              <w:snapToGrid w:val="0"/>
              <w:jc w:val="center"/>
              <w:rPr>
                <w:noProof/>
                <w:lang w:eastAsia="zh-CN" w:bidi="mn-Mong-CN"/>
              </w:rPr>
            </w:pPr>
            <w:r w:rsidRPr="004635E5">
              <w:rPr>
                <w:noProof/>
                <w:lang w:eastAsia="zh-CN" w:bidi="mn-Mong-CN"/>
              </w:rPr>
              <w:drawing>
                <wp:inline distT="0" distB="0" distL="0" distR="0" wp14:anchorId="684BDF25" wp14:editId="41BC7EE9">
                  <wp:extent cx="4608576" cy="3145536"/>
                  <wp:effectExtent l="0" t="0" r="1905" b="0"/>
                  <wp:docPr id="408"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ForSC14_timeseries_longtermSRR.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608576" cy="3145536"/>
                          </a:xfrm>
                          <a:prstGeom prst="rect">
                            <a:avLst/>
                          </a:prstGeom>
                        </pic:spPr>
                      </pic:pic>
                    </a:graphicData>
                  </a:graphic>
                </wp:inline>
              </w:drawing>
            </w:r>
          </w:p>
        </w:tc>
      </w:tr>
    </w:tbl>
    <w:p w14:paraId="15B8A4A8" w14:textId="77777777" w:rsidR="00FA69D2" w:rsidRDefault="00FA69D2" w:rsidP="006633A8">
      <w:pPr>
        <w:adjustRightInd w:val="0"/>
        <w:snapToGrid w:val="0"/>
        <w:jc w:val="both"/>
        <w:rPr>
          <w:rFonts w:eastAsiaTheme="minorEastAsia"/>
          <w:b/>
          <w:bCs/>
          <w:sz w:val="22"/>
          <w:szCs w:val="22"/>
          <w:highlight w:val="red"/>
          <w:lang w:val="en-GB" w:eastAsia="ko-KR"/>
        </w:rPr>
      </w:pPr>
    </w:p>
    <w:p w14:paraId="679174F4" w14:textId="77777777" w:rsidR="00BA4FCE" w:rsidRDefault="00BA4FCE" w:rsidP="006633A8">
      <w:pPr>
        <w:adjustRightInd w:val="0"/>
        <w:snapToGrid w:val="0"/>
        <w:jc w:val="both"/>
        <w:rPr>
          <w:rFonts w:eastAsiaTheme="minorEastAsia"/>
          <w:sz w:val="22"/>
          <w:szCs w:val="22"/>
          <w:lang w:eastAsia="ko-KR"/>
        </w:rPr>
      </w:pPr>
      <w:r w:rsidRPr="00FA69D2">
        <w:rPr>
          <w:b/>
          <w:bCs/>
          <w:sz w:val="22"/>
          <w:szCs w:val="22"/>
          <w:lang w:val="en-GB"/>
        </w:rPr>
        <w:t>Figure BET-8.</w:t>
      </w:r>
      <w:r w:rsidRPr="004635E5">
        <w:rPr>
          <w:b/>
          <w:bCs/>
          <w:sz w:val="22"/>
          <w:szCs w:val="22"/>
          <w:lang w:val="en-GB"/>
        </w:rPr>
        <w:t xml:space="preserve"> </w:t>
      </w:r>
      <w:r w:rsidRPr="004635E5">
        <w:rPr>
          <w:sz w:val="22"/>
          <w:szCs w:val="22"/>
        </w:rPr>
        <w:t>Time series of WCPO bigeye tuna spawning biomass (SB/SB</w:t>
      </w:r>
      <w:r w:rsidRPr="00D10883">
        <w:rPr>
          <w:sz w:val="22"/>
          <w:szCs w:val="22"/>
          <w:vertAlign w:val="subscript"/>
        </w:rPr>
        <w:t>F=0</w:t>
      </w:r>
      <w:r w:rsidRPr="004635E5">
        <w:rPr>
          <w:sz w:val="22"/>
          <w:szCs w:val="22"/>
        </w:rPr>
        <w:t xml:space="preserve">) from the uncertainty grid of assessment model runs for the period 1990 to 2015 (the vertical line at 2015 represents the last year of the assessment), and stochastic projection results for the period 2016 to 2045 under the three future fishing scenarios (“2013-15 </w:t>
      </w:r>
      <w:r w:rsidR="003C6023">
        <w:rPr>
          <w:sz w:val="22"/>
          <w:szCs w:val="22"/>
        </w:rPr>
        <w:t>average</w:t>
      </w:r>
      <w:r w:rsidRPr="004635E5">
        <w:rPr>
          <w:sz w:val="22"/>
          <w:szCs w:val="22"/>
        </w:rPr>
        <w:t>”, “Optimistic” and “Pessimistic”; rows). During the projection period (2016-2045) levels of recruitment variability are assumed to match those over the “recent” time period (2005-2014; left panel) or the time period used to estimate the stock-recruitment relationship (1962-2014; right panel). The red dashed line represents the agreed limit reference point.</w:t>
      </w:r>
    </w:p>
    <w:p w14:paraId="5240B01F" w14:textId="77777777" w:rsidR="00D46B39" w:rsidRPr="00D46B39" w:rsidRDefault="00D46B39" w:rsidP="006633A8">
      <w:pPr>
        <w:adjustRightInd w:val="0"/>
        <w:snapToGrid w:val="0"/>
        <w:jc w:val="both"/>
        <w:rPr>
          <w:rFonts w:eastAsiaTheme="minorEastAsia"/>
          <w:color w:val="FF0000"/>
          <w:sz w:val="22"/>
          <w:szCs w:val="22"/>
          <w:lang w:eastAsia="ko-KR"/>
        </w:rPr>
      </w:pPr>
    </w:p>
    <w:p w14:paraId="16B17C4A" w14:textId="77777777" w:rsidR="00BA4FCE" w:rsidRPr="004635E5" w:rsidRDefault="00F73262" w:rsidP="00D46B39">
      <w:pPr>
        <w:pStyle w:val="SCa"/>
        <w:tabs>
          <w:tab w:val="clear" w:pos="1080"/>
        </w:tabs>
        <w:spacing w:after="0"/>
        <w:ind w:left="0"/>
      </w:pPr>
      <w:r w:rsidRPr="004635E5">
        <w:t>b.</w:t>
      </w:r>
      <w:r w:rsidRPr="004635E5">
        <w:tab/>
      </w:r>
      <w:r w:rsidR="00BA4FCE" w:rsidRPr="004635E5">
        <w:t>Management advice</w:t>
      </w:r>
      <w:r w:rsidR="00AE5E0E" w:rsidRPr="004635E5">
        <w:t xml:space="preserve"> and implications</w:t>
      </w:r>
    </w:p>
    <w:p w14:paraId="31F9F35B" w14:textId="77777777" w:rsidR="00B26471" w:rsidRPr="004635E5" w:rsidRDefault="00B26471" w:rsidP="006633A8">
      <w:pPr>
        <w:pStyle w:val="SCa"/>
        <w:spacing w:after="0"/>
      </w:pPr>
    </w:p>
    <w:p w14:paraId="5CF9C70B" w14:textId="77777777" w:rsidR="00BD47F7" w:rsidRPr="004635E5" w:rsidRDefault="00BA4FCE"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w:t>
      </w:r>
      <w:r w:rsidRPr="004635E5">
        <w:rPr>
          <w:b/>
          <w:spacing w:val="-2"/>
          <w:sz w:val="22"/>
          <w:szCs w:val="22"/>
        </w:rPr>
        <w:t xml:space="preserve"> </w:t>
      </w:r>
      <w:r w:rsidRPr="004635E5">
        <w:rPr>
          <w:b/>
          <w:sz w:val="22"/>
          <w:szCs w:val="22"/>
        </w:rPr>
        <w:t>noted</w:t>
      </w:r>
      <w:r w:rsidRPr="004635E5">
        <w:rPr>
          <w:b/>
          <w:spacing w:val="-4"/>
          <w:sz w:val="22"/>
          <w:szCs w:val="22"/>
        </w:rPr>
        <w:t xml:space="preserve"> </w:t>
      </w:r>
      <w:r w:rsidRPr="004635E5">
        <w:rPr>
          <w:b/>
          <w:sz w:val="22"/>
          <w:szCs w:val="22"/>
        </w:rPr>
        <w:t>that</w:t>
      </w:r>
      <w:r w:rsidRPr="004635E5">
        <w:rPr>
          <w:b/>
          <w:spacing w:val="-5"/>
          <w:sz w:val="22"/>
          <w:szCs w:val="22"/>
        </w:rPr>
        <w:t xml:space="preserve"> </w:t>
      </w:r>
      <w:r w:rsidRPr="004635E5">
        <w:rPr>
          <w:b/>
          <w:sz w:val="22"/>
          <w:szCs w:val="22"/>
        </w:rPr>
        <w:t>the</w:t>
      </w:r>
      <w:r w:rsidRPr="004635E5">
        <w:rPr>
          <w:b/>
          <w:spacing w:val="-3"/>
          <w:sz w:val="22"/>
          <w:szCs w:val="22"/>
        </w:rPr>
        <w:t xml:space="preserve"> </w:t>
      </w:r>
      <w:r w:rsidRPr="004635E5">
        <w:rPr>
          <w:b/>
          <w:sz w:val="22"/>
          <w:szCs w:val="22"/>
        </w:rPr>
        <w:t>preliminary</w:t>
      </w:r>
      <w:r w:rsidRPr="004635E5">
        <w:rPr>
          <w:b/>
          <w:spacing w:val="-4"/>
          <w:sz w:val="22"/>
          <w:szCs w:val="22"/>
        </w:rPr>
        <w:t xml:space="preserve"> </w:t>
      </w:r>
      <w:r w:rsidRPr="004635E5">
        <w:rPr>
          <w:b/>
          <w:sz w:val="22"/>
          <w:szCs w:val="22"/>
        </w:rPr>
        <w:t>estimate</w:t>
      </w:r>
      <w:r w:rsidRPr="004635E5">
        <w:rPr>
          <w:b/>
          <w:spacing w:val="-3"/>
          <w:sz w:val="22"/>
          <w:szCs w:val="22"/>
        </w:rPr>
        <w:t xml:space="preserve"> </w:t>
      </w:r>
      <w:r w:rsidRPr="004635E5">
        <w:rPr>
          <w:b/>
          <w:sz w:val="22"/>
          <w:szCs w:val="22"/>
        </w:rPr>
        <w:t>of</w:t>
      </w:r>
      <w:r w:rsidRPr="004635E5">
        <w:rPr>
          <w:b/>
          <w:spacing w:val="-3"/>
          <w:sz w:val="22"/>
          <w:szCs w:val="22"/>
        </w:rPr>
        <w:t xml:space="preserve"> </w:t>
      </w:r>
      <w:r w:rsidRPr="004635E5">
        <w:rPr>
          <w:b/>
          <w:sz w:val="22"/>
          <w:szCs w:val="22"/>
        </w:rPr>
        <w:t>total</w:t>
      </w:r>
      <w:r w:rsidRPr="004635E5">
        <w:rPr>
          <w:b/>
          <w:spacing w:val="-4"/>
          <w:sz w:val="22"/>
          <w:szCs w:val="22"/>
        </w:rPr>
        <w:t xml:space="preserve"> </w:t>
      </w:r>
      <w:r w:rsidRPr="004635E5">
        <w:rPr>
          <w:b/>
          <w:sz w:val="22"/>
          <w:szCs w:val="22"/>
        </w:rPr>
        <w:t>catch</w:t>
      </w:r>
      <w:r w:rsidRPr="004635E5">
        <w:rPr>
          <w:b/>
          <w:spacing w:val="-4"/>
          <w:sz w:val="22"/>
          <w:szCs w:val="22"/>
        </w:rPr>
        <w:t xml:space="preserve"> </w:t>
      </w:r>
      <w:r w:rsidRPr="004635E5">
        <w:rPr>
          <w:b/>
          <w:sz w:val="22"/>
          <w:szCs w:val="22"/>
        </w:rPr>
        <w:t>of</w:t>
      </w:r>
      <w:r w:rsidRPr="004635E5">
        <w:rPr>
          <w:b/>
          <w:spacing w:val="-3"/>
          <w:sz w:val="22"/>
          <w:szCs w:val="22"/>
        </w:rPr>
        <w:t xml:space="preserve"> </w:t>
      </w:r>
      <w:r w:rsidRPr="004635E5">
        <w:rPr>
          <w:b/>
          <w:sz w:val="22"/>
          <w:szCs w:val="22"/>
        </w:rPr>
        <w:t>WCPO bigeye tuna</w:t>
      </w:r>
      <w:r w:rsidRPr="004635E5">
        <w:rPr>
          <w:b/>
          <w:spacing w:val="-3"/>
          <w:sz w:val="22"/>
          <w:szCs w:val="22"/>
        </w:rPr>
        <w:t xml:space="preserve"> </w:t>
      </w:r>
      <w:r w:rsidRPr="004635E5">
        <w:rPr>
          <w:b/>
          <w:sz w:val="22"/>
          <w:szCs w:val="22"/>
        </w:rPr>
        <w:t>for 2017 was 126,929</w:t>
      </w:r>
      <w:r w:rsidR="00AF73D5" w:rsidRPr="004635E5">
        <w:rPr>
          <w:b/>
          <w:sz w:val="22"/>
          <w:szCs w:val="22"/>
        </w:rPr>
        <w:t xml:space="preserve"> m</w:t>
      </w:r>
      <w:r w:rsidRPr="004635E5">
        <w:rPr>
          <w:b/>
          <w:sz w:val="22"/>
          <w:szCs w:val="22"/>
        </w:rPr>
        <w:t>t, a 17% decrease from 2016 and a 19% decrease from the average 2012-2016. Longline catch in 2017 (58,164</w:t>
      </w:r>
      <w:r w:rsidR="00AF73D5" w:rsidRPr="004635E5">
        <w:rPr>
          <w:b/>
          <w:sz w:val="22"/>
          <w:szCs w:val="22"/>
        </w:rPr>
        <w:t xml:space="preserve"> m</w:t>
      </w:r>
      <w:r w:rsidRPr="004635E5">
        <w:rPr>
          <w:b/>
          <w:sz w:val="22"/>
          <w:szCs w:val="22"/>
        </w:rPr>
        <w:t>t) was an 8% decrease from 2016 and a 19% decrease from the 2012-2016 average. Purse seine catch in 2017 (56,194</w:t>
      </w:r>
      <w:r w:rsidR="00AF73D5" w:rsidRPr="004635E5">
        <w:rPr>
          <w:b/>
          <w:sz w:val="22"/>
          <w:szCs w:val="22"/>
        </w:rPr>
        <w:t xml:space="preserve"> m</w:t>
      </w:r>
      <w:r w:rsidRPr="004635E5">
        <w:rPr>
          <w:b/>
          <w:sz w:val="22"/>
          <w:szCs w:val="22"/>
        </w:rPr>
        <w:t>t) was a 12% decrease from 2016 and a 13% decrease from the 2012-2016 average. Pole and line catch (1,411</w:t>
      </w:r>
      <w:r w:rsidR="00AF73D5" w:rsidRPr="004635E5">
        <w:rPr>
          <w:b/>
          <w:sz w:val="22"/>
          <w:szCs w:val="22"/>
        </w:rPr>
        <w:t xml:space="preserve"> m</w:t>
      </w:r>
      <w:r w:rsidRPr="004635E5">
        <w:rPr>
          <w:b/>
          <w:sz w:val="22"/>
          <w:szCs w:val="22"/>
        </w:rPr>
        <w:t>t) was a 65% decrease from 2016 and a 70% decrease from the average 2012-2016 catch. Catch by other gear (11,160</w:t>
      </w:r>
      <w:r w:rsidR="00AF73D5" w:rsidRPr="004635E5">
        <w:rPr>
          <w:b/>
          <w:sz w:val="22"/>
          <w:szCs w:val="22"/>
        </w:rPr>
        <w:t xml:space="preserve"> m</w:t>
      </w:r>
      <w:r w:rsidRPr="004635E5">
        <w:rPr>
          <w:b/>
          <w:sz w:val="22"/>
          <w:szCs w:val="22"/>
        </w:rPr>
        <w:t xml:space="preserve">t) was a 48% decrease from 2016 and 28% decrease from the average catch in 2012-2016. </w:t>
      </w:r>
    </w:p>
    <w:p w14:paraId="7555DACB" w14:textId="77777777" w:rsidR="00B26471" w:rsidRPr="004635E5" w:rsidRDefault="00B26471" w:rsidP="006633A8">
      <w:pPr>
        <w:autoSpaceDE w:val="0"/>
        <w:autoSpaceDN w:val="0"/>
        <w:adjustRightInd w:val="0"/>
        <w:snapToGrid w:val="0"/>
        <w:jc w:val="both"/>
        <w:rPr>
          <w:b/>
          <w:sz w:val="22"/>
          <w:szCs w:val="22"/>
        </w:rPr>
      </w:pPr>
    </w:p>
    <w:p w14:paraId="79B789DD" w14:textId="77777777" w:rsidR="00BD47F7" w:rsidRPr="004635E5" w:rsidRDefault="00BA4FCE" w:rsidP="00580EA4">
      <w:pPr>
        <w:numPr>
          <w:ilvl w:val="0"/>
          <w:numId w:val="18"/>
        </w:numPr>
        <w:autoSpaceDE w:val="0"/>
        <w:autoSpaceDN w:val="0"/>
        <w:adjustRightInd w:val="0"/>
        <w:snapToGrid w:val="0"/>
        <w:ind w:left="0" w:firstLine="0"/>
        <w:jc w:val="both"/>
        <w:rPr>
          <w:b/>
          <w:sz w:val="22"/>
          <w:szCs w:val="22"/>
        </w:rPr>
      </w:pPr>
      <w:r w:rsidRPr="004635E5">
        <w:rPr>
          <w:b/>
          <w:sz w:val="22"/>
          <w:szCs w:val="22"/>
        </w:rPr>
        <w:t>Based</w:t>
      </w:r>
      <w:r w:rsidRPr="004635E5">
        <w:rPr>
          <w:b/>
          <w:spacing w:val="-4"/>
          <w:sz w:val="22"/>
          <w:szCs w:val="22"/>
        </w:rPr>
        <w:t xml:space="preserve"> </w:t>
      </w:r>
      <w:r w:rsidRPr="004635E5">
        <w:rPr>
          <w:b/>
          <w:sz w:val="22"/>
          <w:szCs w:val="22"/>
        </w:rPr>
        <w:t>on</w:t>
      </w:r>
      <w:r w:rsidRPr="004635E5">
        <w:rPr>
          <w:b/>
          <w:spacing w:val="-6"/>
          <w:sz w:val="22"/>
          <w:szCs w:val="22"/>
        </w:rPr>
        <w:t xml:space="preserve"> </w:t>
      </w:r>
      <w:r w:rsidRPr="004635E5">
        <w:rPr>
          <w:b/>
          <w:sz w:val="22"/>
          <w:szCs w:val="22"/>
        </w:rPr>
        <w:t>the</w:t>
      </w:r>
      <w:r w:rsidRPr="004635E5">
        <w:rPr>
          <w:b/>
          <w:spacing w:val="-5"/>
          <w:sz w:val="22"/>
          <w:szCs w:val="22"/>
        </w:rPr>
        <w:t xml:space="preserve"> </w:t>
      </w:r>
      <w:r w:rsidRPr="004635E5">
        <w:rPr>
          <w:b/>
          <w:sz w:val="22"/>
          <w:szCs w:val="22"/>
        </w:rPr>
        <w:t>uncertainty</w:t>
      </w:r>
      <w:r w:rsidRPr="004635E5">
        <w:rPr>
          <w:b/>
          <w:spacing w:val="-6"/>
          <w:sz w:val="22"/>
          <w:szCs w:val="22"/>
        </w:rPr>
        <w:t xml:space="preserve"> </w:t>
      </w:r>
      <w:r w:rsidRPr="004635E5">
        <w:rPr>
          <w:b/>
          <w:sz w:val="22"/>
          <w:szCs w:val="22"/>
        </w:rPr>
        <w:t>grid</w:t>
      </w:r>
      <w:r w:rsidRPr="004635E5">
        <w:rPr>
          <w:b/>
          <w:spacing w:val="-6"/>
          <w:sz w:val="22"/>
          <w:szCs w:val="22"/>
        </w:rPr>
        <w:t xml:space="preserve"> </w:t>
      </w:r>
      <w:r w:rsidRPr="004635E5">
        <w:rPr>
          <w:b/>
          <w:sz w:val="22"/>
          <w:szCs w:val="22"/>
        </w:rPr>
        <w:t>adopted</w:t>
      </w:r>
      <w:r w:rsidRPr="004635E5">
        <w:rPr>
          <w:b/>
          <w:spacing w:val="-4"/>
          <w:sz w:val="22"/>
          <w:szCs w:val="22"/>
        </w:rPr>
        <w:t xml:space="preserve"> </w:t>
      </w:r>
      <w:r w:rsidRPr="004635E5">
        <w:rPr>
          <w:b/>
          <w:sz w:val="22"/>
          <w:szCs w:val="22"/>
        </w:rPr>
        <w:t>by</w:t>
      </w:r>
      <w:r w:rsidRPr="004635E5">
        <w:rPr>
          <w:b/>
          <w:spacing w:val="-6"/>
          <w:sz w:val="22"/>
          <w:szCs w:val="22"/>
        </w:rPr>
        <w:t xml:space="preserve"> </w:t>
      </w:r>
      <w:r w:rsidRPr="004635E5">
        <w:rPr>
          <w:b/>
          <w:sz w:val="22"/>
          <w:szCs w:val="22"/>
        </w:rPr>
        <w:t>SC14,</w:t>
      </w:r>
      <w:r w:rsidRPr="004635E5">
        <w:rPr>
          <w:b/>
          <w:spacing w:val="-6"/>
          <w:sz w:val="22"/>
          <w:szCs w:val="22"/>
        </w:rPr>
        <w:t xml:space="preserve"> </w:t>
      </w:r>
      <w:r w:rsidRPr="004635E5">
        <w:rPr>
          <w:b/>
          <w:sz w:val="22"/>
          <w:szCs w:val="22"/>
        </w:rPr>
        <w:t>the</w:t>
      </w:r>
      <w:r w:rsidRPr="004635E5">
        <w:rPr>
          <w:b/>
          <w:spacing w:val="-5"/>
          <w:sz w:val="22"/>
          <w:szCs w:val="22"/>
        </w:rPr>
        <w:t xml:space="preserve"> </w:t>
      </w:r>
      <w:r w:rsidRPr="004635E5">
        <w:rPr>
          <w:b/>
          <w:sz w:val="22"/>
          <w:szCs w:val="22"/>
        </w:rPr>
        <w:t>WCPO</w:t>
      </w:r>
      <w:r w:rsidRPr="004635E5">
        <w:rPr>
          <w:b/>
          <w:spacing w:val="-4"/>
          <w:sz w:val="22"/>
          <w:szCs w:val="22"/>
        </w:rPr>
        <w:t xml:space="preserve"> </w:t>
      </w:r>
      <w:r w:rsidRPr="004635E5">
        <w:rPr>
          <w:b/>
          <w:sz w:val="22"/>
          <w:szCs w:val="22"/>
        </w:rPr>
        <w:t>bigeye</w:t>
      </w:r>
      <w:r w:rsidRPr="004635E5">
        <w:rPr>
          <w:b/>
          <w:spacing w:val="-5"/>
          <w:sz w:val="22"/>
          <w:szCs w:val="22"/>
        </w:rPr>
        <w:t xml:space="preserve"> </w:t>
      </w:r>
      <w:r w:rsidRPr="004635E5">
        <w:rPr>
          <w:b/>
          <w:sz w:val="22"/>
          <w:szCs w:val="22"/>
        </w:rPr>
        <w:t>tuna</w:t>
      </w:r>
      <w:r w:rsidRPr="004635E5">
        <w:rPr>
          <w:b/>
          <w:spacing w:val="-6"/>
          <w:sz w:val="22"/>
          <w:szCs w:val="22"/>
        </w:rPr>
        <w:t xml:space="preserve"> </w:t>
      </w:r>
      <w:r w:rsidRPr="004635E5">
        <w:rPr>
          <w:b/>
          <w:sz w:val="22"/>
          <w:szCs w:val="22"/>
        </w:rPr>
        <w:t>spawning</w:t>
      </w:r>
      <w:r w:rsidRPr="004635E5">
        <w:rPr>
          <w:b/>
          <w:spacing w:val="-4"/>
          <w:sz w:val="22"/>
          <w:szCs w:val="22"/>
        </w:rPr>
        <w:t xml:space="preserve"> </w:t>
      </w:r>
      <w:r w:rsidRPr="004635E5">
        <w:rPr>
          <w:b/>
          <w:sz w:val="22"/>
          <w:szCs w:val="22"/>
        </w:rPr>
        <w:t>biomass</w:t>
      </w:r>
      <w:r w:rsidRPr="004635E5">
        <w:rPr>
          <w:b/>
          <w:spacing w:val="-5"/>
          <w:sz w:val="22"/>
          <w:szCs w:val="22"/>
        </w:rPr>
        <w:t xml:space="preserve"> </w:t>
      </w:r>
      <w:r w:rsidRPr="004635E5">
        <w:rPr>
          <w:b/>
          <w:sz w:val="22"/>
          <w:szCs w:val="22"/>
        </w:rPr>
        <w:t xml:space="preserve">is </w:t>
      </w:r>
      <w:r w:rsidRPr="004635E5">
        <w:rPr>
          <w:b/>
          <w:position w:val="2"/>
          <w:sz w:val="22"/>
          <w:szCs w:val="22"/>
        </w:rPr>
        <w:t>above the biomass LRP and recent F is very likely below F</w:t>
      </w:r>
      <w:r w:rsidRPr="004E1B05">
        <w:rPr>
          <w:b/>
          <w:sz w:val="22"/>
          <w:szCs w:val="22"/>
          <w:vertAlign w:val="subscript"/>
        </w:rPr>
        <w:t>MSY</w:t>
      </w:r>
      <w:r w:rsidRPr="004635E5">
        <w:rPr>
          <w:b/>
          <w:position w:val="2"/>
          <w:sz w:val="22"/>
          <w:szCs w:val="22"/>
        </w:rPr>
        <w:t xml:space="preserve">. </w:t>
      </w:r>
      <w:r w:rsidRPr="004635E5">
        <w:rPr>
          <w:b/>
          <w:sz w:val="22"/>
          <w:szCs w:val="22"/>
        </w:rPr>
        <w:t>The</w:t>
      </w:r>
      <w:r w:rsidRPr="004635E5">
        <w:rPr>
          <w:b/>
          <w:spacing w:val="-10"/>
          <w:sz w:val="22"/>
          <w:szCs w:val="22"/>
        </w:rPr>
        <w:t xml:space="preserve"> </w:t>
      </w:r>
      <w:r w:rsidRPr="004635E5">
        <w:rPr>
          <w:b/>
          <w:sz w:val="22"/>
          <w:szCs w:val="22"/>
        </w:rPr>
        <w:t>stock</w:t>
      </w:r>
      <w:r w:rsidRPr="004635E5">
        <w:rPr>
          <w:b/>
          <w:spacing w:val="-8"/>
          <w:sz w:val="22"/>
          <w:szCs w:val="22"/>
        </w:rPr>
        <w:t xml:space="preserve"> </w:t>
      </w:r>
      <w:r w:rsidRPr="004635E5">
        <w:rPr>
          <w:b/>
          <w:sz w:val="22"/>
          <w:szCs w:val="22"/>
        </w:rPr>
        <w:t>is</w:t>
      </w:r>
      <w:r w:rsidRPr="004635E5">
        <w:rPr>
          <w:b/>
          <w:spacing w:val="-8"/>
          <w:sz w:val="22"/>
          <w:szCs w:val="22"/>
        </w:rPr>
        <w:t xml:space="preserve"> </w:t>
      </w:r>
      <w:r w:rsidRPr="004635E5">
        <w:rPr>
          <w:b/>
          <w:sz w:val="22"/>
          <w:szCs w:val="22"/>
        </w:rPr>
        <w:t>not</w:t>
      </w:r>
      <w:r w:rsidRPr="004635E5">
        <w:rPr>
          <w:b/>
          <w:spacing w:val="-10"/>
          <w:sz w:val="22"/>
          <w:szCs w:val="22"/>
        </w:rPr>
        <w:t xml:space="preserve"> </w:t>
      </w:r>
      <w:r w:rsidRPr="004635E5">
        <w:rPr>
          <w:b/>
          <w:sz w:val="22"/>
          <w:szCs w:val="22"/>
        </w:rPr>
        <w:t>experiencing</w:t>
      </w:r>
      <w:r w:rsidRPr="004635E5">
        <w:rPr>
          <w:b/>
          <w:spacing w:val="-11"/>
          <w:sz w:val="22"/>
          <w:szCs w:val="22"/>
        </w:rPr>
        <w:t xml:space="preserve"> </w:t>
      </w:r>
      <w:r w:rsidRPr="004635E5">
        <w:rPr>
          <w:b/>
          <w:sz w:val="22"/>
          <w:szCs w:val="22"/>
        </w:rPr>
        <w:t>overfishing</w:t>
      </w:r>
      <w:r w:rsidRPr="004635E5">
        <w:rPr>
          <w:b/>
          <w:spacing w:val="-11"/>
          <w:sz w:val="22"/>
          <w:szCs w:val="22"/>
        </w:rPr>
        <w:t xml:space="preserve"> </w:t>
      </w:r>
      <w:r w:rsidRPr="004635E5">
        <w:rPr>
          <w:b/>
          <w:sz w:val="22"/>
          <w:szCs w:val="22"/>
        </w:rPr>
        <w:t>(94% probability F&lt;F</w:t>
      </w:r>
      <w:r w:rsidRPr="004635E5">
        <w:rPr>
          <w:b/>
          <w:sz w:val="22"/>
          <w:szCs w:val="22"/>
          <w:vertAlign w:val="subscript"/>
        </w:rPr>
        <w:t>MSY</w:t>
      </w:r>
      <w:r w:rsidRPr="004635E5">
        <w:rPr>
          <w:b/>
          <w:sz w:val="22"/>
          <w:szCs w:val="22"/>
        </w:rPr>
        <w:t>) and it is not in an overfished condition (0%</w:t>
      </w:r>
      <w:r w:rsidRPr="004635E5">
        <w:rPr>
          <w:b/>
          <w:spacing w:val="-26"/>
          <w:sz w:val="22"/>
          <w:szCs w:val="22"/>
        </w:rPr>
        <w:t xml:space="preserve"> </w:t>
      </w:r>
      <w:r w:rsidRPr="004635E5">
        <w:rPr>
          <w:b/>
          <w:sz w:val="22"/>
          <w:szCs w:val="22"/>
        </w:rPr>
        <w:t>probability SB/SB</w:t>
      </w:r>
      <w:r w:rsidRPr="004635E5">
        <w:rPr>
          <w:b/>
          <w:sz w:val="22"/>
          <w:szCs w:val="22"/>
          <w:vertAlign w:val="subscript"/>
        </w:rPr>
        <w:t>F=0</w:t>
      </w:r>
      <w:r w:rsidRPr="004635E5">
        <w:rPr>
          <w:b/>
          <w:sz w:val="22"/>
          <w:szCs w:val="22"/>
        </w:rPr>
        <w:t xml:space="preserve">&lt;LRP). </w:t>
      </w:r>
    </w:p>
    <w:p w14:paraId="1130E7B0" w14:textId="77777777" w:rsidR="00B26471" w:rsidRPr="004635E5" w:rsidRDefault="00B26471" w:rsidP="006633A8">
      <w:pPr>
        <w:autoSpaceDE w:val="0"/>
        <w:autoSpaceDN w:val="0"/>
        <w:adjustRightInd w:val="0"/>
        <w:snapToGrid w:val="0"/>
        <w:jc w:val="both"/>
        <w:rPr>
          <w:b/>
          <w:sz w:val="22"/>
          <w:szCs w:val="22"/>
        </w:rPr>
      </w:pPr>
    </w:p>
    <w:p w14:paraId="1C34FCEB" w14:textId="77777777" w:rsidR="00B26471" w:rsidRPr="004635E5" w:rsidRDefault="00BA4FCE" w:rsidP="00580EA4">
      <w:pPr>
        <w:numPr>
          <w:ilvl w:val="0"/>
          <w:numId w:val="18"/>
        </w:numPr>
        <w:autoSpaceDE w:val="0"/>
        <w:autoSpaceDN w:val="0"/>
        <w:adjustRightInd w:val="0"/>
        <w:snapToGrid w:val="0"/>
        <w:ind w:left="0" w:firstLine="0"/>
        <w:jc w:val="both"/>
        <w:rPr>
          <w:sz w:val="22"/>
          <w:szCs w:val="22"/>
        </w:rPr>
      </w:pPr>
      <w:r w:rsidRPr="004635E5">
        <w:rPr>
          <w:b/>
          <w:bCs/>
          <w:sz w:val="22"/>
          <w:szCs w:val="22"/>
        </w:rPr>
        <w:t>Although SC14 considers that the updated assessment is consistent with the</w:t>
      </w:r>
      <w:r w:rsidRPr="004635E5">
        <w:rPr>
          <w:b/>
          <w:bCs/>
          <w:spacing w:val="-4"/>
          <w:sz w:val="22"/>
          <w:szCs w:val="22"/>
        </w:rPr>
        <w:t xml:space="preserve"> </w:t>
      </w:r>
      <w:r w:rsidRPr="004635E5">
        <w:rPr>
          <w:b/>
          <w:bCs/>
          <w:sz w:val="22"/>
          <w:szCs w:val="22"/>
        </w:rPr>
        <w:t>previous</w:t>
      </w:r>
      <w:r w:rsidRPr="004635E5">
        <w:rPr>
          <w:b/>
          <w:bCs/>
          <w:spacing w:val="-4"/>
          <w:sz w:val="22"/>
          <w:szCs w:val="22"/>
        </w:rPr>
        <w:t xml:space="preserve"> </w:t>
      </w:r>
      <w:r w:rsidRPr="004635E5">
        <w:rPr>
          <w:b/>
          <w:bCs/>
          <w:sz w:val="22"/>
          <w:szCs w:val="22"/>
        </w:rPr>
        <w:t>assessment,</w:t>
      </w:r>
      <w:r w:rsidRPr="004635E5">
        <w:rPr>
          <w:b/>
          <w:bCs/>
          <w:spacing w:val="-5"/>
          <w:sz w:val="22"/>
          <w:szCs w:val="22"/>
        </w:rPr>
        <w:t xml:space="preserve"> </w:t>
      </w:r>
      <w:r w:rsidRPr="004635E5">
        <w:rPr>
          <w:b/>
          <w:bCs/>
          <w:sz w:val="22"/>
          <w:szCs w:val="22"/>
        </w:rPr>
        <w:t>SC14 also</w:t>
      </w:r>
      <w:r w:rsidRPr="004635E5">
        <w:rPr>
          <w:b/>
          <w:bCs/>
          <w:spacing w:val="-7"/>
          <w:sz w:val="22"/>
          <w:szCs w:val="22"/>
        </w:rPr>
        <w:t xml:space="preserve"> </w:t>
      </w:r>
      <w:r w:rsidRPr="004635E5">
        <w:rPr>
          <w:b/>
          <w:bCs/>
          <w:sz w:val="22"/>
          <w:szCs w:val="22"/>
        </w:rPr>
        <w:t>advises</w:t>
      </w:r>
      <w:r w:rsidRPr="004635E5">
        <w:rPr>
          <w:b/>
          <w:bCs/>
          <w:spacing w:val="-4"/>
          <w:sz w:val="22"/>
          <w:szCs w:val="22"/>
        </w:rPr>
        <w:t xml:space="preserve"> </w:t>
      </w:r>
      <w:r w:rsidRPr="004635E5">
        <w:rPr>
          <w:b/>
          <w:bCs/>
          <w:sz w:val="22"/>
          <w:szCs w:val="22"/>
        </w:rPr>
        <w:t>that</w:t>
      </w:r>
      <w:r w:rsidRPr="004635E5">
        <w:rPr>
          <w:b/>
          <w:bCs/>
          <w:spacing w:val="-6"/>
          <w:sz w:val="22"/>
          <w:szCs w:val="22"/>
        </w:rPr>
        <w:t xml:space="preserve"> </w:t>
      </w:r>
      <w:r w:rsidRPr="004635E5">
        <w:rPr>
          <w:b/>
          <w:bCs/>
          <w:sz w:val="22"/>
          <w:szCs w:val="22"/>
        </w:rPr>
        <w:t>the</w:t>
      </w:r>
      <w:r w:rsidRPr="004635E5">
        <w:rPr>
          <w:b/>
          <w:bCs/>
          <w:spacing w:val="-6"/>
          <w:sz w:val="22"/>
          <w:szCs w:val="22"/>
        </w:rPr>
        <w:t xml:space="preserve"> </w:t>
      </w:r>
      <w:r w:rsidRPr="004635E5">
        <w:rPr>
          <w:b/>
          <w:bCs/>
          <w:sz w:val="22"/>
          <w:szCs w:val="22"/>
        </w:rPr>
        <w:t>amount</w:t>
      </w:r>
      <w:r w:rsidRPr="004635E5">
        <w:rPr>
          <w:b/>
          <w:bCs/>
          <w:spacing w:val="-6"/>
          <w:sz w:val="22"/>
          <w:szCs w:val="22"/>
        </w:rPr>
        <w:t xml:space="preserve"> </w:t>
      </w:r>
      <w:r w:rsidRPr="004635E5">
        <w:rPr>
          <w:b/>
          <w:bCs/>
          <w:sz w:val="22"/>
          <w:szCs w:val="22"/>
        </w:rPr>
        <w:t>of</w:t>
      </w:r>
      <w:r w:rsidRPr="004635E5">
        <w:rPr>
          <w:b/>
          <w:bCs/>
          <w:spacing w:val="-1"/>
          <w:sz w:val="22"/>
          <w:szCs w:val="22"/>
        </w:rPr>
        <w:t xml:space="preserve"> </w:t>
      </w:r>
      <w:r w:rsidRPr="004635E5">
        <w:rPr>
          <w:b/>
          <w:bCs/>
          <w:sz w:val="22"/>
          <w:szCs w:val="22"/>
        </w:rPr>
        <w:t>uncertainty</w:t>
      </w:r>
      <w:r w:rsidRPr="004635E5">
        <w:rPr>
          <w:b/>
          <w:bCs/>
          <w:spacing w:val="-7"/>
          <w:sz w:val="22"/>
          <w:szCs w:val="22"/>
        </w:rPr>
        <w:t xml:space="preserve"> </w:t>
      </w:r>
      <w:r w:rsidRPr="004635E5">
        <w:rPr>
          <w:b/>
          <w:bCs/>
          <w:sz w:val="22"/>
          <w:szCs w:val="22"/>
        </w:rPr>
        <w:t>in</w:t>
      </w:r>
      <w:r w:rsidRPr="004635E5">
        <w:rPr>
          <w:b/>
          <w:bCs/>
          <w:spacing w:val="-5"/>
          <w:sz w:val="22"/>
          <w:szCs w:val="22"/>
        </w:rPr>
        <w:t xml:space="preserve"> </w:t>
      </w:r>
      <w:r w:rsidRPr="004635E5">
        <w:rPr>
          <w:b/>
          <w:bCs/>
          <w:sz w:val="22"/>
          <w:szCs w:val="22"/>
        </w:rPr>
        <w:t>the</w:t>
      </w:r>
      <w:r w:rsidRPr="004635E5">
        <w:rPr>
          <w:b/>
          <w:bCs/>
          <w:spacing w:val="-4"/>
          <w:sz w:val="22"/>
          <w:szCs w:val="22"/>
        </w:rPr>
        <w:t xml:space="preserve"> </w:t>
      </w:r>
      <w:r w:rsidRPr="004635E5">
        <w:rPr>
          <w:b/>
          <w:bCs/>
          <w:sz w:val="22"/>
          <w:szCs w:val="22"/>
        </w:rPr>
        <w:t>stock</w:t>
      </w:r>
      <w:r w:rsidRPr="004635E5">
        <w:rPr>
          <w:b/>
          <w:bCs/>
          <w:spacing w:val="-7"/>
          <w:sz w:val="22"/>
          <w:szCs w:val="22"/>
        </w:rPr>
        <w:t xml:space="preserve"> </w:t>
      </w:r>
      <w:r w:rsidRPr="004635E5">
        <w:rPr>
          <w:b/>
          <w:bCs/>
          <w:sz w:val="22"/>
          <w:szCs w:val="22"/>
        </w:rPr>
        <w:t>status</w:t>
      </w:r>
      <w:r w:rsidRPr="004635E5">
        <w:rPr>
          <w:b/>
          <w:bCs/>
          <w:spacing w:val="-4"/>
          <w:sz w:val="22"/>
          <w:szCs w:val="22"/>
        </w:rPr>
        <w:t xml:space="preserve"> </w:t>
      </w:r>
      <w:r w:rsidRPr="004635E5">
        <w:rPr>
          <w:b/>
          <w:bCs/>
          <w:sz w:val="22"/>
          <w:szCs w:val="22"/>
        </w:rPr>
        <w:t>results</w:t>
      </w:r>
      <w:r w:rsidRPr="004635E5">
        <w:rPr>
          <w:b/>
          <w:bCs/>
          <w:spacing w:val="-9"/>
          <w:sz w:val="22"/>
          <w:szCs w:val="22"/>
        </w:rPr>
        <w:t xml:space="preserve"> </w:t>
      </w:r>
      <w:r w:rsidRPr="004635E5">
        <w:rPr>
          <w:b/>
          <w:bCs/>
          <w:sz w:val="22"/>
          <w:szCs w:val="22"/>
        </w:rPr>
        <w:t>for</w:t>
      </w:r>
      <w:r w:rsidRPr="004635E5">
        <w:rPr>
          <w:b/>
          <w:bCs/>
          <w:spacing w:val="-7"/>
          <w:sz w:val="22"/>
          <w:szCs w:val="22"/>
        </w:rPr>
        <w:t xml:space="preserve"> </w:t>
      </w:r>
      <w:r w:rsidRPr="004635E5">
        <w:rPr>
          <w:b/>
          <w:bCs/>
          <w:sz w:val="22"/>
          <w:szCs w:val="22"/>
        </w:rPr>
        <w:t>the</w:t>
      </w:r>
      <w:r w:rsidRPr="004635E5">
        <w:rPr>
          <w:b/>
          <w:bCs/>
          <w:spacing w:val="-4"/>
          <w:sz w:val="22"/>
          <w:szCs w:val="22"/>
        </w:rPr>
        <w:t xml:space="preserve"> </w:t>
      </w:r>
      <w:r w:rsidRPr="004635E5">
        <w:rPr>
          <w:b/>
          <w:bCs/>
          <w:sz w:val="22"/>
          <w:szCs w:val="22"/>
        </w:rPr>
        <w:t>2018 assessment update is lower than for the previous assessment due to the exclusion of old information on bigeye tuna growth.</w:t>
      </w:r>
    </w:p>
    <w:p w14:paraId="37D77CC4" w14:textId="77777777" w:rsidR="00BD47F7" w:rsidRPr="004635E5" w:rsidRDefault="00BA4FCE" w:rsidP="006633A8">
      <w:pPr>
        <w:autoSpaceDE w:val="0"/>
        <w:autoSpaceDN w:val="0"/>
        <w:adjustRightInd w:val="0"/>
        <w:snapToGrid w:val="0"/>
        <w:jc w:val="both"/>
        <w:rPr>
          <w:sz w:val="22"/>
          <w:szCs w:val="22"/>
        </w:rPr>
      </w:pPr>
      <w:r w:rsidRPr="004635E5">
        <w:rPr>
          <w:b/>
          <w:bCs/>
          <w:sz w:val="22"/>
          <w:szCs w:val="22"/>
        </w:rPr>
        <w:t xml:space="preserve"> </w:t>
      </w:r>
    </w:p>
    <w:p w14:paraId="60DA4A49" w14:textId="77777777" w:rsidR="00BD47F7" w:rsidRPr="004635E5" w:rsidRDefault="00BA4FCE"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w:t>
      </w:r>
      <w:r w:rsidRPr="004635E5">
        <w:rPr>
          <w:b/>
          <w:spacing w:val="-8"/>
          <w:sz w:val="22"/>
          <w:szCs w:val="22"/>
        </w:rPr>
        <w:t xml:space="preserve"> </w:t>
      </w:r>
      <w:r w:rsidRPr="004635E5">
        <w:rPr>
          <w:b/>
          <w:sz w:val="22"/>
          <w:szCs w:val="22"/>
        </w:rPr>
        <w:t>noted</w:t>
      </w:r>
      <w:r w:rsidRPr="004635E5">
        <w:rPr>
          <w:b/>
          <w:spacing w:val="-8"/>
          <w:sz w:val="22"/>
          <w:szCs w:val="22"/>
        </w:rPr>
        <w:t xml:space="preserve"> </w:t>
      </w:r>
      <w:r w:rsidRPr="004635E5">
        <w:rPr>
          <w:b/>
          <w:sz w:val="22"/>
          <w:szCs w:val="22"/>
        </w:rPr>
        <w:t>that</w:t>
      </w:r>
      <w:r w:rsidRPr="004635E5">
        <w:rPr>
          <w:b/>
          <w:spacing w:val="-10"/>
          <w:sz w:val="22"/>
          <w:szCs w:val="22"/>
        </w:rPr>
        <w:t xml:space="preserve"> </w:t>
      </w:r>
      <w:r w:rsidRPr="004635E5">
        <w:rPr>
          <w:b/>
          <w:sz w:val="22"/>
          <w:szCs w:val="22"/>
        </w:rPr>
        <w:t>levels</w:t>
      </w:r>
      <w:r w:rsidRPr="004635E5">
        <w:rPr>
          <w:b/>
          <w:spacing w:val="-8"/>
          <w:sz w:val="22"/>
          <w:szCs w:val="22"/>
        </w:rPr>
        <w:t xml:space="preserve"> </w:t>
      </w:r>
      <w:r w:rsidRPr="004635E5">
        <w:rPr>
          <w:b/>
          <w:sz w:val="22"/>
          <w:szCs w:val="22"/>
        </w:rPr>
        <w:t>of</w:t>
      </w:r>
      <w:r w:rsidRPr="004635E5">
        <w:rPr>
          <w:b/>
          <w:spacing w:val="-8"/>
          <w:sz w:val="22"/>
          <w:szCs w:val="22"/>
        </w:rPr>
        <w:t xml:space="preserve"> </w:t>
      </w:r>
      <w:r w:rsidRPr="004635E5">
        <w:rPr>
          <w:b/>
          <w:sz w:val="22"/>
          <w:szCs w:val="22"/>
        </w:rPr>
        <w:t>fishing</w:t>
      </w:r>
      <w:r w:rsidRPr="004635E5">
        <w:rPr>
          <w:b/>
          <w:spacing w:val="-10"/>
          <w:sz w:val="22"/>
          <w:szCs w:val="22"/>
        </w:rPr>
        <w:t xml:space="preserve"> </w:t>
      </w:r>
      <w:r w:rsidRPr="004635E5">
        <w:rPr>
          <w:b/>
          <w:sz w:val="22"/>
          <w:szCs w:val="22"/>
        </w:rPr>
        <w:t>mortality</w:t>
      </w:r>
      <w:r w:rsidRPr="004635E5">
        <w:rPr>
          <w:b/>
          <w:spacing w:val="-8"/>
          <w:sz w:val="22"/>
          <w:szCs w:val="22"/>
        </w:rPr>
        <w:t xml:space="preserve"> </w:t>
      </w:r>
      <w:r w:rsidRPr="004635E5">
        <w:rPr>
          <w:b/>
          <w:sz w:val="22"/>
          <w:szCs w:val="22"/>
        </w:rPr>
        <w:t>and</w:t>
      </w:r>
      <w:r w:rsidRPr="004635E5">
        <w:rPr>
          <w:b/>
          <w:spacing w:val="-13"/>
          <w:sz w:val="22"/>
          <w:szCs w:val="22"/>
        </w:rPr>
        <w:t xml:space="preserve"> </w:t>
      </w:r>
      <w:r w:rsidRPr="004635E5">
        <w:rPr>
          <w:b/>
          <w:sz w:val="22"/>
          <w:szCs w:val="22"/>
        </w:rPr>
        <w:t>depletion</w:t>
      </w:r>
      <w:r w:rsidRPr="004635E5">
        <w:rPr>
          <w:b/>
          <w:spacing w:val="-11"/>
          <w:sz w:val="22"/>
          <w:szCs w:val="22"/>
        </w:rPr>
        <w:t xml:space="preserve"> </w:t>
      </w:r>
      <w:r w:rsidRPr="004635E5">
        <w:rPr>
          <w:b/>
          <w:sz w:val="22"/>
          <w:szCs w:val="22"/>
        </w:rPr>
        <w:t>differ</w:t>
      </w:r>
      <w:r w:rsidRPr="004635E5">
        <w:rPr>
          <w:b/>
          <w:spacing w:val="-8"/>
          <w:sz w:val="22"/>
          <w:szCs w:val="22"/>
        </w:rPr>
        <w:t xml:space="preserve"> </w:t>
      </w:r>
      <w:r w:rsidRPr="004635E5">
        <w:rPr>
          <w:b/>
          <w:sz w:val="22"/>
          <w:szCs w:val="22"/>
        </w:rPr>
        <w:t>among</w:t>
      </w:r>
      <w:r w:rsidRPr="004635E5">
        <w:rPr>
          <w:b/>
          <w:spacing w:val="-11"/>
          <w:sz w:val="22"/>
          <w:szCs w:val="22"/>
        </w:rPr>
        <w:t xml:space="preserve"> </w:t>
      </w:r>
      <w:r w:rsidRPr="004635E5">
        <w:rPr>
          <w:b/>
          <w:sz w:val="22"/>
          <w:szCs w:val="22"/>
        </w:rPr>
        <w:t>regions,</w:t>
      </w:r>
      <w:r w:rsidRPr="004635E5">
        <w:rPr>
          <w:b/>
          <w:spacing w:val="-8"/>
          <w:sz w:val="22"/>
          <w:szCs w:val="22"/>
        </w:rPr>
        <w:t xml:space="preserve"> </w:t>
      </w:r>
      <w:r w:rsidRPr="004635E5">
        <w:rPr>
          <w:b/>
          <w:sz w:val="22"/>
          <w:szCs w:val="22"/>
        </w:rPr>
        <w:t>and</w:t>
      </w:r>
      <w:r w:rsidRPr="004635E5">
        <w:rPr>
          <w:b/>
          <w:spacing w:val="-11"/>
          <w:sz w:val="22"/>
          <w:szCs w:val="22"/>
        </w:rPr>
        <w:t xml:space="preserve"> </w:t>
      </w:r>
      <w:r w:rsidRPr="004635E5">
        <w:rPr>
          <w:b/>
          <w:sz w:val="22"/>
          <w:szCs w:val="22"/>
        </w:rPr>
        <w:t>that fishery</w:t>
      </w:r>
      <w:r w:rsidRPr="004635E5">
        <w:rPr>
          <w:b/>
          <w:spacing w:val="-8"/>
          <w:sz w:val="22"/>
          <w:szCs w:val="22"/>
        </w:rPr>
        <w:t xml:space="preserve"> </w:t>
      </w:r>
      <w:r w:rsidRPr="004635E5">
        <w:rPr>
          <w:b/>
          <w:sz w:val="22"/>
          <w:szCs w:val="22"/>
        </w:rPr>
        <w:t>impact</w:t>
      </w:r>
      <w:r w:rsidRPr="004635E5">
        <w:rPr>
          <w:b/>
          <w:spacing w:val="-10"/>
          <w:sz w:val="22"/>
          <w:szCs w:val="22"/>
        </w:rPr>
        <w:t xml:space="preserve"> </w:t>
      </w:r>
      <w:r w:rsidRPr="004635E5">
        <w:rPr>
          <w:b/>
          <w:sz w:val="22"/>
          <w:szCs w:val="22"/>
        </w:rPr>
        <w:t>was</w:t>
      </w:r>
      <w:r w:rsidRPr="004635E5">
        <w:rPr>
          <w:b/>
          <w:spacing w:val="-8"/>
          <w:sz w:val="22"/>
          <w:szCs w:val="22"/>
        </w:rPr>
        <w:t xml:space="preserve"> </w:t>
      </w:r>
      <w:r w:rsidRPr="004635E5">
        <w:rPr>
          <w:b/>
          <w:sz w:val="22"/>
          <w:szCs w:val="22"/>
        </w:rPr>
        <w:t>higher</w:t>
      </w:r>
      <w:r w:rsidRPr="004635E5">
        <w:rPr>
          <w:b/>
          <w:spacing w:val="-10"/>
          <w:sz w:val="22"/>
          <w:szCs w:val="22"/>
        </w:rPr>
        <w:t xml:space="preserve"> </w:t>
      </w:r>
      <w:r w:rsidRPr="004635E5">
        <w:rPr>
          <w:b/>
          <w:sz w:val="22"/>
          <w:szCs w:val="22"/>
        </w:rPr>
        <w:t>in</w:t>
      </w:r>
      <w:r w:rsidRPr="004635E5">
        <w:rPr>
          <w:b/>
          <w:spacing w:val="-8"/>
          <w:sz w:val="22"/>
          <w:szCs w:val="22"/>
        </w:rPr>
        <w:t xml:space="preserve"> </w:t>
      </w:r>
      <w:r w:rsidRPr="004635E5">
        <w:rPr>
          <w:b/>
          <w:sz w:val="22"/>
          <w:szCs w:val="22"/>
        </w:rPr>
        <w:t>the</w:t>
      </w:r>
      <w:r w:rsidRPr="004635E5">
        <w:rPr>
          <w:b/>
          <w:spacing w:val="-8"/>
          <w:sz w:val="22"/>
          <w:szCs w:val="22"/>
        </w:rPr>
        <w:t xml:space="preserve"> </w:t>
      </w:r>
      <w:r w:rsidRPr="004635E5">
        <w:rPr>
          <w:b/>
          <w:sz w:val="22"/>
          <w:szCs w:val="22"/>
        </w:rPr>
        <w:t>tropical</w:t>
      </w:r>
      <w:r w:rsidRPr="004635E5">
        <w:rPr>
          <w:b/>
          <w:spacing w:val="-10"/>
          <w:sz w:val="22"/>
          <w:szCs w:val="22"/>
        </w:rPr>
        <w:t xml:space="preserve"> </w:t>
      </w:r>
      <w:r w:rsidRPr="004635E5">
        <w:rPr>
          <w:b/>
          <w:sz w:val="22"/>
          <w:szCs w:val="22"/>
        </w:rPr>
        <w:t>region</w:t>
      </w:r>
      <w:r w:rsidRPr="004635E5">
        <w:rPr>
          <w:b/>
          <w:spacing w:val="-8"/>
          <w:sz w:val="22"/>
          <w:szCs w:val="22"/>
        </w:rPr>
        <w:t xml:space="preserve"> </w:t>
      </w:r>
      <w:r w:rsidRPr="004635E5">
        <w:rPr>
          <w:b/>
          <w:sz w:val="22"/>
          <w:szCs w:val="22"/>
        </w:rPr>
        <w:t>(Regions</w:t>
      </w:r>
      <w:r w:rsidRPr="004635E5">
        <w:rPr>
          <w:b/>
          <w:spacing w:val="-8"/>
          <w:sz w:val="22"/>
          <w:szCs w:val="22"/>
        </w:rPr>
        <w:t xml:space="preserve"> </w:t>
      </w:r>
      <w:r w:rsidRPr="004635E5">
        <w:rPr>
          <w:b/>
          <w:sz w:val="22"/>
          <w:szCs w:val="22"/>
        </w:rPr>
        <w:t>3,</w:t>
      </w:r>
      <w:r w:rsidRPr="004635E5">
        <w:rPr>
          <w:b/>
          <w:spacing w:val="-8"/>
          <w:sz w:val="22"/>
          <w:szCs w:val="22"/>
        </w:rPr>
        <w:t xml:space="preserve"> </w:t>
      </w:r>
      <w:r w:rsidRPr="004635E5">
        <w:rPr>
          <w:b/>
          <w:sz w:val="22"/>
          <w:szCs w:val="22"/>
        </w:rPr>
        <w:t>4,</w:t>
      </w:r>
      <w:r w:rsidRPr="004635E5">
        <w:rPr>
          <w:b/>
          <w:spacing w:val="-8"/>
          <w:sz w:val="22"/>
          <w:szCs w:val="22"/>
        </w:rPr>
        <w:t xml:space="preserve"> </w:t>
      </w:r>
      <w:r w:rsidRPr="004635E5">
        <w:rPr>
          <w:b/>
          <w:sz w:val="22"/>
          <w:szCs w:val="22"/>
        </w:rPr>
        <w:t>7</w:t>
      </w:r>
      <w:r w:rsidRPr="004635E5">
        <w:rPr>
          <w:b/>
          <w:spacing w:val="-8"/>
          <w:sz w:val="22"/>
          <w:szCs w:val="22"/>
        </w:rPr>
        <w:t xml:space="preserve"> </w:t>
      </w:r>
      <w:r w:rsidRPr="004635E5">
        <w:rPr>
          <w:b/>
          <w:sz w:val="22"/>
          <w:szCs w:val="22"/>
        </w:rPr>
        <w:t>and</w:t>
      </w:r>
      <w:r w:rsidRPr="004635E5">
        <w:rPr>
          <w:b/>
          <w:spacing w:val="-8"/>
          <w:sz w:val="22"/>
          <w:szCs w:val="22"/>
        </w:rPr>
        <w:t xml:space="preserve"> </w:t>
      </w:r>
      <w:r w:rsidRPr="004635E5">
        <w:rPr>
          <w:b/>
          <w:sz w:val="22"/>
          <w:szCs w:val="22"/>
        </w:rPr>
        <w:t>8</w:t>
      </w:r>
      <w:r w:rsidRPr="004635E5">
        <w:rPr>
          <w:b/>
          <w:spacing w:val="-8"/>
          <w:sz w:val="22"/>
          <w:szCs w:val="22"/>
        </w:rPr>
        <w:t xml:space="preserve"> </w:t>
      </w:r>
      <w:r w:rsidRPr="004635E5">
        <w:rPr>
          <w:b/>
          <w:sz w:val="22"/>
          <w:szCs w:val="22"/>
        </w:rPr>
        <w:t>in</w:t>
      </w:r>
      <w:r w:rsidRPr="004635E5">
        <w:rPr>
          <w:b/>
          <w:spacing w:val="-11"/>
          <w:sz w:val="22"/>
          <w:szCs w:val="22"/>
        </w:rPr>
        <w:t xml:space="preserve"> </w:t>
      </w:r>
      <w:r w:rsidRPr="004635E5">
        <w:rPr>
          <w:b/>
          <w:sz w:val="22"/>
          <w:szCs w:val="22"/>
        </w:rPr>
        <w:t>the</w:t>
      </w:r>
      <w:r w:rsidRPr="004635E5">
        <w:rPr>
          <w:b/>
          <w:spacing w:val="-8"/>
          <w:sz w:val="22"/>
          <w:szCs w:val="22"/>
        </w:rPr>
        <w:t xml:space="preserve"> </w:t>
      </w:r>
      <w:r w:rsidRPr="004635E5">
        <w:rPr>
          <w:b/>
          <w:sz w:val="22"/>
          <w:szCs w:val="22"/>
        </w:rPr>
        <w:t>stock</w:t>
      </w:r>
      <w:r w:rsidRPr="004635E5">
        <w:rPr>
          <w:b/>
          <w:spacing w:val="-8"/>
          <w:sz w:val="22"/>
          <w:szCs w:val="22"/>
        </w:rPr>
        <w:t xml:space="preserve"> </w:t>
      </w:r>
      <w:r w:rsidRPr="004635E5">
        <w:rPr>
          <w:b/>
          <w:sz w:val="22"/>
          <w:szCs w:val="22"/>
        </w:rPr>
        <w:t>assessment</w:t>
      </w:r>
      <w:r w:rsidRPr="004635E5">
        <w:rPr>
          <w:b/>
          <w:spacing w:val="-10"/>
          <w:sz w:val="22"/>
          <w:szCs w:val="22"/>
        </w:rPr>
        <w:t xml:space="preserve"> </w:t>
      </w:r>
      <w:r w:rsidRPr="004635E5">
        <w:rPr>
          <w:b/>
          <w:sz w:val="22"/>
          <w:szCs w:val="22"/>
        </w:rPr>
        <w:t>model), with particularly high fishing mortality on juvenile bigeye tuna in these regions. SC14 therefore recommends that WCPFC15 could continue to consider measures to reduce fishing mortality from fisheries that take juveniles, with the goal to increase bigeye fishery yields and reduce any further impacts on the spawning biomass for this stock in the tropical</w:t>
      </w:r>
      <w:r w:rsidRPr="004635E5">
        <w:rPr>
          <w:b/>
          <w:spacing w:val="-19"/>
          <w:sz w:val="22"/>
          <w:szCs w:val="22"/>
        </w:rPr>
        <w:t xml:space="preserve"> </w:t>
      </w:r>
      <w:r w:rsidRPr="004635E5">
        <w:rPr>
          <w:b/>
          <w:sz w:val="22"/>
          <w:szCs w:val="22"/>
        </w:rPr>
        <w:t xml:space="preserve">regions. </w:t>
      </w:r>
    </w:p>
    <w:p w14:paraId="3160BF9E" w14:textId="77777777" w:rsidR="00B26471" w:rsidRPr="004635E5" w:rsidRDefault="00B26471" w:rsidP="006633A8">
      <w:pPr>
        <w:autoSpaceDE w:val="0"/>
        <w:autoSpaceDN w:val="0"/>
        <w:adjustRightInd w:val="0"/>
        <w:snapToGrid w:val="0"/>
        <w:jc w:val="both"/>
        <w:rPr>
          <w:b/>
          <w:sz w:val="22"/>
          <w:szCs w:val="22"/>
        </w:rPr>
      </w:pPr>
    </w:p>
    <w:p w14:paraId="67A3D5DB" w14:textId="77777777" w:rsidR="00BD47F7" w:rsidRPr="004635E5" w:rsidRDefault="00BA4FCE"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noted that according to CMM</w:t>
      </w:r>
      <w:r w:rsidR="00620AFF" w:rsidRPr="004635E5">
        <w:rPr>
          <w:b/>
          <w:sz w:val="22"/>
          <w:szCs w:val="22"/>
        </w:rPr>
        <w:t xml:space="preserve"> 20</w:t>
      </w:r>
      <w:r w:rsidRPr="004635E5">
        <w:rPr>
          <w:b/>
          <w:sz w:val="22"/>
          <w:szCs w:val="22"/>
        </w:rPr>
        <w:t>17-01 bigeye tuna SB/SB</w:t>
      </w:r>
      <w:r w:rsidRPr="004635E5">
        <w:rPr>
          <w:b/>
          <w:sz w:val="22"/>
          <w:szCs w:val="22"/>
          <w:vertAlign w:val="subscript"/>
        </w:rPr>
        <w:t>F=0</w:t>
      </w:r>
      <w:r w:rsidRPr="004635E5">
        <w:rPr>
          <w:b/>
          <w:sz w:val="22"/>
          <w:szCs w:val="22"/>
        </w:rPr>
        <w:t xml:space="preserve"> is to be maintained above the 2012-2015 level (SB</w:t>
      </w:r>
      <w:r w:rsidRPr="004635E5">
        <w:rPr>
          <w:b/>
          <w:sz w:val="22"/>
          <w:szCs w:val="22"/>
          <w:vertAlign w:val="subscript"/>
        </w:rPr>
        <w:t>recent</w:t>
      </w:r>
      <w:r w:rsidRPr="004635E5">
        <w:rPr>
          <w:b/>
          <w:sz w:val="22"/>
          <w:szCs w:val="22"/>
        </w:rPr>
        <w:t>/SB</w:t>
      </w:r>
      <w:r w:rsidRPr="004635E5">
        <w:rPr>
          <w:b/>
          <w:sz w:val="22"/>
          <w:szCs w:val="22"/>
          <w:vertAlign w:val="subscript"/>
        </w:rPr>
        <w:t>F=0</w:t>
      </w:r>
      <w:r w:rsidRPr="004635E5">
        <w:rPr>
          <w:b/>
          <w:sz w:val="22"/>
          <w:szCs w:val="22"/>
        </w:rPr>
        <w:t xml:space="preserve"> = 0.36; Table BET-3) pending the agreement on a TRP. SC14 also noted that the projection results based on scenarios estimating CMM</w:t>
      </w:r>
      <w:r w:rsidR="00620AFF" w:rsidRPr="004635E5">
        <w:rPr>
          <w:b/>
          <w:sz w:val="22"/>
          <w:szCs w:val="22"/>
        </w:rPr>
        <w:t xml:space="preserve"> </w:t>
      </w:r>
      <w:r w:rsidRPr="004635E5">
        <w:rPr>
          <w:b/>
          <w:sz w:val="22"/>
          <w:szCs w:val="22"/>
        </w:rPr>
        <w:t>2017-01 indicated a high level of uncertainty on the levels of spawning stock biomass relative to the LRP and the objective of CMM</w:t>
      </w:r>
      <w:r w:rsidR="00620AFF" w:rsidRPr="004635E5">
        <w:rPr>
          <w:b/>
          <w:sz w:val="22"/>
          <w:szCs w:val="22"/>
        </w:rPr>
        <w:t xml:space="preserve"> </w:t>
      </w:r>
      <w:r w:rsidRPr="004635E5">
        <w:rPr>
          <w:b/>
          <w:sz w:val="22"/>
          <w:szCs w:val="22"/>
        </w:rPr>
        <w:t>2017-01 in 2045. Under the scenario assuming long-term average recruitment continues into the future there was a high risk (</w:t>
      </w:r>
      <w:r w:rsidR="00CF3E77" w:rsidRPr="004635E5">
        <w:rPr>
          <w:b/>
          <w:sz w:val="22"/>
          <w:szCs w:val="22"/>
        </w:rPr>
        <w:t>18-32%</w:t>
      </w:r>
      <w:r w:rsidRPr="004635E5">
        <w:rPr>
          <w:b/>
          <w:sz w:val="22"/>
          <w:szCs w:val="22"/>
        </w:rPr>
        <w:t>) of breaching the LRPs and a zero probability of achieving the objective of CMM</w:t>
      </w:r>
      <w:r w:rsidR="00620AFF" w:rsidRPr="004635E5">
        <w:rPr>
          <w:b/>
          <w:sz w:val="22"/>
          <w:szCs w:val="22"/>
        </w:rPr>
        <w:t xml:space="preserve"> </w:t>
      </w:r>
      <w:r w:rsidRPr="004635E5">
        <w:rPr>
          <w:b/>
          <w:sz w:val="22"/>
          <w:szCs w:val="22"/>
        </w:rPr>
        <w:t>2017-01, while under the scenario which assumes higher more recent recruitments continues into the future there was a low risk (</w:t>
      </w:r>
      <w:r w:rsidR="00CF3E77" w:rsidRPr="004635E5">
        <w:rPr>
          <w:b/>
          <w:sz w:val="22"/>
          <w:szCs w:val="22"/>
        </w:rPr>
        <w:t>0-5%</w:t>
      </w:r>
      <w:r w:rsidRPr="004635E5">
        <w:rPr>
          <w:b/>
          <w:sz w:val="22"/>
          <w:szCs w:val="22"/>
        </w:rPr>
        <w:t>) of breaching the LRPs and a 100% probability of achieving the objective of CMM</w:t>
      </w:r>
      <w:r w:rsidR="00620AFF" w:rsidRPr="004635E5">
        <w:rPr>
          <w:b/>
          <w:sz w:val="22"/>
          <w:szCs w:val="22"/>
        </w:rPr>
        <w:t xml:space="preserve"> </w:t>
      </w:r>
      <w:r w:rsidRPr="004635E5">
        <w:rPr>
          <w:b/>
          <w:sz w:val="22"/>
          <w:szCs w:val="22"/>
        </w:rPr>
        <w:t xml:space="preserve">2017-01. </w:t>
      </w:r>
    </w:p>
    <w:p w14:paraId="13501B03" w14:textId="77777777" w:rsidR="00B26471" w:rsidRPr="004635E5" w:rsidRDefault="00B26471" w:rsidP="006633A8">
      <w:pPr>
        <w:autoSpaceDE w:val="0"/>
        <w:autoSpaceDN w:val="0"/>
        <w:adjustRightInd w:val="0"/>
        <w:snapToGrid w:val="0"/>
        <w:jc w:val="both"/>
        <w:rPr>
          <w:b/>
          <w:sz w:val="22"/>
          <w:szCs w:val="22"/>
        </w:rPr>
      </w:pPr>
    </w:p>
    <w:p w14:paraId="0328FD83" w14:textId="77777777" w:rsidR="00BD47F7" w:rsidRPr="004635E5" w:rsidRDefault="00BA4FCE" w:rsidP="00580EA4">
      <w:pPr>
        <w:numPr>
          <w:ilvl w:val="0"/>
          <w:numId w:val="18"/>
        </w:numPr>
        <w:autoSpaceDE w:val="0"/>
        <w:autoSpaceDN w:val="0"/>
        <w:adjustRightInd w:val="0"/>
        <w:snapToGrid w:val="0"/>
        <w:ind w:left="0" w:firstLine="0"/>
        <w:jc w:val="both"/>
        <w:rPr>
          <w:b/>
          <w:sz w:val="22"/>
          <w:szCs w:val="22"/>
        </w:rPr>
      </w:pPr>
      <w:r w:rsidRPr="004635E5">
        <w:rPr>
          <w:b/>
          <w:sz w:val="22"/>
          <w:szCs w:val="22"/>
        </w:rPr>
        <w:t xml:space="preserve">However, SC14 also noted that the projections assume that longline catches would be maintained regardless of the decrease in biomass. This may result in unlikely high levels of effort. Therefore, the catch estimates under the long term recruitment scenario, especially in the longer term projections, are more uncertain. </w:t>
      </w:r>
    </w:p>
    <w:p w14:paraId="56923FA3" w14:textId="77777777" w:rsidR="00B26471" w:rsidRPr="004635E5" w:rsidRDefault="00B26471" w:rsidP="006633A8">
      <w:pPr>
        <w:autoSpaceDE w:val="0"/>
        <w:autoSpaceDN w:val="0"/>
        <w:adjustRightInd w:val="0"/>
        <w:snapToGrid w:val="0"/>
        <w:jc w:val="both"/>
        <w:rPr>
          <w:b/>
          <w:sz w:val="22"/>
          <w:szCs w:val="22"/>
        </w:rPr>
      </w:pPr>
    </w:p>
    <w:p w14:paraId="43A04122" w14:textId="77777777" w:rsidR="00BA4FCE" w:rsidRPr="004635E5" w:rsidRDefault="00BA4FCE" w:rsidP="00580EA4">
      <w:pPr>
        <w:numPr>
          <w:ilvl w:val="0"/>
          <w:numId w:val="18"/>
        </w:numPr>
        <w:autoSpaceDE w:val="0"/>
        <w:autoSpaceDN w:val="0"/>
        <w:adjustRightInd w:val="0"/>
        <w:snapToGrid w:val="0"/>
        <w:ind w:left="0" w:firstLine="0"/>
        <w:jc w:val="both"/>
        <w:rPr>
          <w:b/>
          <w:sz w:val="22"/>
          <w:szCs w:val="22"/>
        </w:rPr>
      </w:pPr>
      <w:r w:rsidRPr="004635E5">
        <w:rPr>
          <w:b/>
          <w:sz w:val="22"/>
          <w:szCs w:val="22"/>
        </w:rPr>
        <w:t>Based on these results, SC14 recommends</w:t>
      </w:r>
      <w:r w:rsidRPr="004635E5">
        <w:rPr>
          <w:b/>
          <w:spacing w:val="-13"/>
          <w:sz w:val="22"/>
          <w:szCs w:val="22"/>
        </w:rPr>
        <w:t xml:space="preserve"> that WCPFC15 takes note of the results of the projections in relation </w:t>
      </w:r>
      <w:r w:rsidR="00F53ABE">
        <w:rPr>
          <w:rFonts w:eastAsiaTheme="minorEastAsia" w:hint="eastAsia"/>
          <w:b/>
          <w:spacing w:val="-13"/>
          <w:sz w:val="22"/>
          <w:szCs w:val="22"/>
          <w:lang w:eastAsia="ko-KR"/>
        </w:rPr>
        <w:t xml:space="preserve">to </w:t>
      </w:r>
      <w:r w:rsidRPr="004635E5">
        <w:rPr>
          <w:b/>
          <w:spacing w:val="-13"/>
          <w:sz w:val="22"/>
          <w:szCs w:val="22"/>
        </w:rPr>
        <w:t>achieving CMM</w:t>
      </w:r>
      <w:r w:rsidR="006D6C0D">
        <w:rPr>
          <w:rFonts w:eastAsiaTheme="minorEastAsia" w:hint="eastAsia"/>
          <w:b/>
          <w:spacing w:val="-13"/>
          <w:sz w:val="22"/>
          <w:szCs w:val="22"/>
          <w:lang w:eastAsia="ko-KR"/>
        </w:rPr>
        <w:t xml:space="preserve"> </w:t>
      </w:r>
      <w:r w:rsidRPr="004635E5">
        <w:rPr>
          <w:b/>
          <w:spacing w:val="-13"/>
          <w:sz w:val="22"/>
          <w:szCs w:val="22"/>
        </w:rPr>
        <w:t xml:space="preserve">2017-01 and </w:t>
      </w:r>
      <w:r w:rsidRPr="004635E5">
        <w:rPr>
          <w:b/>
          <w:sz w:val="22"/>
          <w:szCs w:val="22"/>
        </w:rPr>
        <w:t>as a precautionary approach that the fishing mortality on bigeye tuna stock should not be increased from the recent average (2011-2014) level to maintain spawning biomass at or above the 2012-2015 average,</w:t>
      </w:r>
      <w:r w:rsidRPr="004635E5">
        <w:rPr>
          <w:b/>
          <w:spacing w:val="-13"/>
          <w:sz w:val="22"/>
          <w:szCs w:val="22"/>
        </w:rPr>
        <w:t xml:space="preserve"> </w:t>
      </w:r>
      <w:r w:rsidRPr="004635E5">
        <w:rPr>
          <w:b/>
          <w:sz w:val="22"/>
          <w:szCs w:val="22"/>
        </w:rPr>
        <w:t>until</w:t>
      </w:r>
      <w:r w:rsidRPr="004635E5">
        <w:rPr>
          <w:b/>
          <w:spacing w:val="-14"/>
          <w:sz w:val="22"/>
          <w:szCs w:val="22"/>
        </w:rPr>
        <w:t xml:space="preserve"> </w:t>
      </w:r>
      <w:r w:rsidRPr="004635E5">
        <w:rPr>
          <w:b/>
          <w:sz w:val="22"/>
          <w:szCs w:val="22"/>
        </w:rPr>
        <w:t>the</w:t>
      </w:r>
      <w:r w:rsidRPr="004635E5">
        <w:rPr>
          <w:b/>
          <w:spacing w:val="-13"/>
          <w:sz w:val="22"/>
          <w:szCs w:val="22"/>
        </w:rPr>
        <w:t xml:space="preserve"> </w:t>
      </w:r>
      <w:r w:rsidRPr="004635E5">
        <w:rPr>
          <w:b/>
          <w:sz w:val="22"/>
          <w:szCs w:val="22"/>
        </w:rPr>
        <w:t>Commission</w:t>
      </w:r>
      <w:r w:rsidRPr="004635E5">
        <w:rPr>
          <w:b/>
          <w:spacing w:val="-15"/>
          <w:sz w:val="22"/>
          <w:szCs w:val="22"/>
        </w:rPr>
        <w:t xml:space="preserve"> </w:t>
      </w:r>
      <w:r w:rsidRPr="004635E5">
        <w:rPr>
          <w:b/>
          <w:sz w:val="22"/>
          <w:szCs w:val="22"/>
        </w:rPr>
        <w:t>can</w:t>
      </w:r>
      <w:r w:rsidRPr="004635E5">
        <w:rPr>
          <w:b/>
          <w:spacing w:val="-13"/>
          <w:sz w:val="22"/>
          <w:szCs w:val="22"/>
        </w:rPr>
        <w:t xml:space="preserve"> articulate the management objectives and </w:t>
      </w:r>
      <w:r w:rsidRPr="004635E5">
        <w:rPr>
          <w:b/>
          <w:sz w:val="22"/>
          <w:szCs w:val="22"/>
        </w:rPr>
        <w:t>agree</w:t>
      </w:r>
      <w:r w:rsidRPr="004635E5">
        <w:rPr>
          <w:b/>
          <w:spacing w:val="-15"/>
          <w:sz w:val="22"/>
          <w:szCs w:val="22"/>
        </w:rPr>
        <w:t xml:space="preserve"> </w:t>
      </w:r>
      <w:r w:rsidRPr="004635E5">
        <w:rPr>
          <w:b/>
          <w:sz w:val="22"/>
          <w:szCs w:val="22"/>
        </w:rPr>
        <w:t>on</w:t>
      </w:r>
      <w:r w:rsidRPr="004635E5">
        <w:rPr>
          <w:b/>
          <w:spacing w:val="-13"/>
          <w:sz w:val="22"/>
          <w:szCs w:val="22"/>
        </w:rPr>
        <w:t xml:space="preserve"> </w:t>
      </w:r>
      <w:r w:rsidRPr="004635E5">
        <w:rPr>
          <w:b/>
          <w:sz w:val="22"/>
          <w:szCs w:val="22"/>
        </w:rPr>
        <w:t>an</w:t>
      </w:r>
      <w:r w:rsidRPr="004635E5">
        <w:rPr>
          <w:b/>
          <w:spacing w:val="-13"/>
          <w:sz w:val="22"/>
          <w:szCs w:val="22"/>
        </w:rPr>
        <w:t xml:space="preserve"> </w:t>
      </w:r>
      <w:r w:rsidRPr="004635E5">
        <w:rPr>
          <w:b/>
          <w:sz w:val="22"/>
          <w:szCs w:val="22"/>
        </w:rPr>
        <w:t>appropriate</w:t>
      </w:r>
      <w:r w:rsidRPr="004635E5">
        <w:rPr>
          <w:b/>
          <w:spacing w:val="-13"/>
          <w:sz w:val="22"/>
          <w:szCs w:val="22"/>
        </w:rPr>
        <w:t xml:space="preserve"> </w:t>
      </w:r>
      <w:r w:rsidRPr="004635E5">
        <w:rPr>
          <w:b/>
          <w:sz w:val="22"/>
          <w:szCs w:val="22"/>
        </w:rPr>
        <w:t xml:space="preserve">TRP for </w:t>
      </w:r>
      <w:r w:rsidR="00AF73D5" w:rsidRPr="004635E5">
        <w:rPr>
          <w:b/>
          <w:sz w:val="22"/>
          <w:szCs w:val="22"/>
        </w:rPr>
        <w:t>bigeye</w:t>
      </w:r>
      <w:r w:rsidRPr="004635E5">
        <w:rPr>
          <w:b/>
          <w:sz w:val="22"/>
          <w:szCs w:val="22"/>
        </w:rPr>
        <w:t xml:space="preserve">, although one CCM considers that SC14 could provide more options for the </w:t>
      </w:r>
      <w:r w:rsidR="002F7711">
        <w:rPr>
          <w:b/>
          <w:sz w:val="22"/>
          <w:szCs w:val="22"/>
        </w:rPr>
        <w:t>C</w:t>
      </w:r>
      <w:r w:rsidRPr="004635E5">
        <w:rPr>
          <w:b/>
          <w:sz w:val="22"/>
          <w:szCs w:val="22"/>
        </w:rPr>
        <w:t xml:space="preserve">ommission to consider. </w:t>
      </w:r>
    </w:p>
    <w:p w14:paraId="75EF9BED" w14:textId="77777777" w:rsidR="00BA4FCE" w:rsidRPr="004635E5" w:rsidRDefault="00BA4FCE" w:rsidP="006633A8">
      <w:pPr>
        <w:widowControl w:val="0"/>
        <w:tabs>
          <w:tab w:val="left" w:pos="820"/>
        </w:tabs>
        <w:autoSpaceDE w:val="0"/>
        <w:autoSpaceDN w:val="0"/>
        <w:adjustRightInd w:val="0"/>
        <w:snapToGrid w:val="0"/>
        <w:ind w:right="115"/>
        <w:jc w:val="both"/>
        <w:rPr>
          <w:sz w:val="22"/>
          <w:szCs w:val="22"/>
        </w:rPr>
      </w:pPr>
    </w:p>
    <w:p w14:paraId="043DC67E" w14:textId="77777777" w:rsidR="00BA4FCE" w:rsidRPr="004635E5" w:rsidRDefault="00BA4FCE" w:rsidP="006633A8">
      <w:pPr>
        <w:widowControl w:val="0"/>
        <w:tabs>
          <w:tab w:val="left" w:pos="820"/>
        </w:tabs>
        <w:autoSpaceDE w:val="0"/>
        <w:autoSpaceDN w:val="0"/>
        <w:adjustRightInd w:val="0"/>
        <w:snapToGrid w:val="0"/>
        <w:ind w:right="115"/>
        <w:jc w:val="both"/>
        <w:rPr>
          <w:sz w:val="22"/>
          <w:szCs w:val="22"/>
        </w:rPr>
      </w:pPr>
    </w:p>
    <w:p w14:paraId="50F478C2" w14:textId="77777777" w:rsidR="00BA4FCE" w:rsidRPr="004635E5" w:rsidRDefault="00BA4FCE" w:rsidP="006633A8">
      <w:pPr>
        <w:adjustRightInd w:val="0"/>
        <w:snapToGrid w:val="0"/>
        <w:jc w:val="both"/>
        <w:rPr>
          <w:rFonts w:eastAsia="MS PMincho"/>
          <w:sz w:val="22"/>
          <w:szCs w:val="22"/>
        </w:rPr>
        <w:sectPr w:rsidR="00BA4FCE" w:rsidRPr="004635E5" w:rsidSect="00436E03">
          <w:type w:val="continuous"/>
          <w:pgSz w:w="12240" w:h="15840" w:code="1"/>
          <w:pgMar w:top="1440" w:right="1440" w:bottom="1440" w:left="1440" w:header="720" w:footer="720" w:gutter="0"/>
          <w:cols w:space="720"/>
        </w:sectPr>
      </w:pPr>
    </w:p>
    <w:p w14:paraId="4DC99207" w14:textId="77777777" w:rsidR="00B26471" w:rsidRPr="004635E5" w:rsidRDefault="00B26471" w:rsidP="006633A8">
      <w:pPr>
        <w:pStyle w:val="SCa"/>
        <w:spacing w:after="0"/>
      </w:pPr>
    </w:p>
    <w:p w14:paraId="48F3F16E" w14:textId="77777777" w:rsidR="00BA4FCE" w:rsidRPr="004635E5" w:rsidRDefault="00F73262" w:rsidP="00D46B39">
      <w:pPr>
        <w:pStyle w:val="SCa"/>
        <w:tabs>
          <w:tab w:val="clear" w:pos="1080"/>
        </w:tabs>
        <w:spacing w:after="0"/>
        <w:ind w:left="0"/>
      </w:pPr>
      <w:r w:rsidRPr="004635E5">
        <w:t>c.</w:t>
      </w:r>
      <w:r w:rsidRPr="004635E5">
        <w:tab/>
      </w:r>
      <w:r w:rsidR="00BA4FCE" w:rsidRPr="004635E5">
        <w:t>Research Recommendations</w:t>
      </w:r>
    </w:p>
    <w:p w14:paraId="5181EF76" w14:textId="77777777" w:rsidR="00B26471" w:rsidRPr="004635E5" w:rsidRDefault="00B26471" w:rsidP="006633A8">
      <w:pPr>
        <w:pStyle w:val="SCa"/>
        <w:spacing w:after="0"/>
      </w:pPr>
    </w:p>
    <w:p w14:paraId="00CC6E4B" w14:textId="77777777" w:rsidR="00BA4FCE" w:rsidRPr="004635E5" w:rsidRDefault="00BA4FCE" w:rsidP="00580EA4">
      <w:pPr>
        <w:numPr>
          <w:ilvl w:val="0"/>
          <w:numId w:val="18"/>
        </w:numPr>
        <w:autoSpaceDE w:val="0"/>
        <w:autoSpaceDN w:val="0"/>
        <w:adjustRightInd w:val="0"/>
        <w:snapToGrid w:val="0"/>
        <w:ind w:left="0" w:firstLine="0"/>
        <w:jc w:val="both"/>
        <w:rPr>
          <w:b/>
          <w:sz w:val="22"/>
          <w:szCs w:val="22"/>
        </w:rPr>
      </w:pPr>
      <w:r w:rsidRPr="004635E5">
        <w:rPr>
          <w:b/>
          <w:sz w:val="22"/>
          <w:szCs w:val="22"/>
        </w:rPr>
        <w:t xml:space="preserve">SC14 noted that the acceptance of the </w:t>
      </w:r>
      <w:r w:rsidR="00EE2870">
        <w:rPr>
          <w:rFonts w:eastAsiaTheme="minorEastAsia" w:hint="eastAsia"/>
          <w:b/>
          <w:sz w:val="22"/>
          <w:szCs w:val="22"/>
          <w:lang w:eastAsia="ko-KR"/>
        </w:rPr>
        <w:t xml:space="preserve">updated </w:t>
      </w:r>
      <w:r w:rsidRPr="004635E5">
        <w:rPr>
          <w:b/>
          <w:sz w:val="22"/>
          <w:szCs w:val="22"/>
        </w:rPr>
        <w:t>new growth model for BET raises a number of issues in relation to patterns of growth and stock structure of BET across the Pacific Ocean and recommended that the following research issues need to be addressed:</w:t>
      </w:r>
    </w:p>
    <w:p w14:paraId="3DAFE05A" w14:textId="77777777" w:rsidR="00B26471" w:rsidRPr="004635E5" w:rsidRDefault="00B26471" w:rsidP="006633A8">
      <w:pPr>
        <w:autoSpaceDE w:val="0"/>
        <w:autoSpaceDN w:val="0"/>
        <w:adjustRightInd w:val="0"/>
        <w:snapToGrid w:val="0"/>
        <w:jc w:val="both"/>
        <w:rPr>
          <w:b/>
          <w:sz w:val="22"/>
          <w:szCs w:val="22"/>
        </w:rPr>
      </w:pPr>
    </w:p>
    <w:p w14:paraId="1F3EC3E0" w14:textId="77777777" w:rsidR="00BA4FCE" w:rsidRPr="004635E5" w:rsidRDefault="00BA4FCE" w:rsidP="00580EA4">
      <w:pPr>
        <w:widowControl w:val="0"/>
        <w:numPr>
          <w:ilvl w:val="0"/>
          <w:numId w:val="46"/>
        </w:numPr>
        <w:tabs>
          <w:tab w:val="left" w:pos="840"/>
        </w:tabs>
        <w:autoSpaceDE w:val="0"/>
        <w:autoSpaceDN w:val="0"/>
        <w:adjustRightInd w:val="0"/>
        <w:snapToGrid w:val="0"/>
        <w:ind w:right="115"/>
        <w:jc w:val="both"/>
        <w:rPr>
          <w:b/>
          <w:sz w:val="22"/>
          <w:szCs w:val="22"/>
        </w:rPr>
      </w:pPr>
      <w:r w:rsidRPr="004635E5">
        <w:rPr>
          <w:b/>
          <w:sz w:val="22"/>
          <w:szCs w:val="22"/>
        </w:rPr>
        <w:t>Two different growth models separated at 150˚W effectively means that Pacific BET should be assessed as a two-stock resource between the WCPO and EPO</w:t>
      </w:r>
      <w:r w:rsidR="00A16680" w:rsidRPr="004635E5">
        <w:rPr>
          <w:b/>
          <w:sz w:val="22"/>
          <w:szCs w:val="22"/>
        </w:rPr>
        <w:t xml:space="preserve">. </w:t>
      </w:r>
      <w:r w:rsidRPr="004635E5">
        <w:rPr>
          <w:b/>
          <w:sz w:val="22"/>
          <w:szCs w:val="22"/>
        </w:rPr>
        <w:t xml:space="preserve">However, catch information indicates that the fishing grounds near 150˚W are a core area of BET catch, thus influencing the assessments of both the WCPFC and IATTC. Also, tagging information suggests movement of BET between the WCPO and EPO. Therefore, the appropriateness off delineating the two stocks at 150˚W needs to be investigated. </w:t>
      </w:r>
    </w:p>
    <w:p w14:paraId="45ED2BE3" w14:textId="77777777" w:rsidR="00BA4FCE" w:rsidRPr="004635E5" w:rsidRDefault="00BA4FCE" w:rsidP="00580EA4">
      <w:pPr>
        <w:widowControl w:val="0"/>
        <w:numPr>
          <w:ilvl w:val="0"/>
          <w:numId w:val="46"/>
        </w:numPr>
        <w:tabs>
          <w:tab w:val="left" w:pos="840"/>
        </w:tabs>
        <w:autoSpaceDE w:val="0"/>
        <w:autoSpaceDN w:val="0"/>
        <w:adjustRightInd w:val="0"/>
        <w:snapToGrid w:val="0"/>
        <w:ind w:right="115"/>
        <w:jc w:val="both"/>
        <w:rPr>
          <w:b/>
          <w:sz w:val="22"/>
          <w:szCs w:val="22"/>
        </w:rPr>
      </w:pPr>
      <w:r w:rsidRPr="004635E5">
        <w:rPr>
          <w:b/>
          <w:sz w:val="22"/>
          <w:szCs w:val="22"/>
        </w:rPr>
        <w:t xml:space="preserve">The </w:t>
      </w:r>
      <w:r w:rsidR="00EE2870">
        <w:rPr>
          <w:rFonts w:eastAsiaTheme="minorEastAsia" w:hint="eastAsia"/>
          <w:b/>
          <w:sz w:val="22"/>
          <w:szCs w:val="22"/>
          <w:lang w:eastAsia="ko-KR"/>
        </w:rPr>
        <w:t xml:space="preserve">updated </w:t>
      </w:r>
      <w:r w:rsidRPr="004635E5">
        <w:rPr>
          <w:b/>
          <w:sz w:val="22"/>
          <w:szCs w:val="22"/>
        </w:rPr>
        <w:t xml:space="preserve">new growth analysis suggests area variant growth across the Pacific. While the level of variation is seen to be relatively small within the WCPO (and possibly within the margins of observation error), there is a suggestion of substantial change in growth around the boundary between the WCPO and the EPO (c.f. Figure 14 in </w:t>
      </w:r>
      <w:r w:rsidR="00620AFF" w:rsidRPr="004635E5">
        <w:rPr>
          <w:b/>
          <w:sz w:val="22"/>
          <w:szCs w:val="22"/>
        </w:rPr>
        <w:t>SC14-</w:t>
      </w:r>
      <w:r w:rsidRPr="004635E5">
        <w:rPr>
          <w:b/>
          <w:sz w:val="22"/>
          <w:szCs w:val="22"/>
        </w:rPr>
        <w:t xml:space="preserve">SA-WP-01). The reasons for this suggested change in growth remains unknown, but SC14 noted the utility of collecting more information from the regions either side of this boundary to inform a greater understanding of possible changes in growth around this area. While the incorporation of area-variant growth within the assessment model would also help explore this issue, SC14 noted the difficulty of this task. </w:t>
      </w:r>
    </w:p>
    <w:p w14:paraId="36B97031" w14:textId="77777777" w:rsidR="00BA4FCE" w:rsidRPr="004635E5" w:rsidRDefault="00BA4FCE" w:rsidP="00580EA4">
      <w:pPr>
        <w:widowControl w:val="0"/>
        <w:numPr>
          <w:ilvl w:val="0"/>
          <w:numId w:val="46"/>
        </w:numPr>
        <w:tabs>
          <w:tab w:val="left" w:pos="840"/>
        </w:tabs>
        <w:autoSpaceDE w:val="0"/>
        <w:autoSpaceDN w:val="0"/>
        <w:adjustRightInd w:val="0"/>
        <w:snapToGrid w:val="0"/>
        <w:ind w:right="115"/>
        <w:jc w:val="both"/>
        <w:rPr>
          <w:b/>
          <w:sz w:val="22"/>
          <w:szCs w:val="22"/>
        </w:rPr>
      </w:pPr>
      <w:r w:rsidRPr="004635E5">
        <w:rPr>
          <w:b/>
          <w:sz w:val="22"/>
          <w:szCs w:val="22"/>
        </w:rPr>
        <w:t xml:space="preserve">SC11 concluded that the stock status of WCPO BET from the Pan-Pacific assessment and the WCPO-only assessment were similar when the growth models were similar in the EPO and WCPO. This conclusion needs to be revisited in light of the different growth between EPO and WCPO by adopting the new growth. </w:t>
      </w:r>
    </w:p>
    <w:p w14:paraId="0311E1A5" w14:textId="77777777" w:rsidR="00AF73D5" w:rsidRPr="004635E5" w:rsidRDefault="00AF73D5" w:rsidP="006633A8">
      <w:pPr>
        <w:widowControl w:val="0"/>
        <w:tabs>
          <w:tab w:val="left" w:pos="840"/>
        </w:tabs>
        <w:autoSpaceDE w:val="0"/>
        <w:autoSpaceDN w:val="0"/>
        <w:adjustRightInd w:val="0"/>
        <w:snapToGrid w:val="0"/>
        <w:ind w:left="840" w:right="115"/>
        <w:jc w:val="both"/>
        <w:rPr>
          <w:b/>
          <w:sz w:val="22"/>
          <w:szCs w:val="22"/>
        </w:rPr>
      </w:pPr>
    </w:p>
    <w:p w14:paraId="600A2240" w14:textId="77777777" w:rsidR="00BD47F7" w:rsidRPr="004635E5" w:rsidRDefault="00BA4FCE" w:rsidP="00580EA4">
      <w:pPr>
        <w:numPr>
          <w:ilvl w:val="0"/>
          <w:numId w:val="18"/>
        </w:numPr>
        <w:autoSpaceDE w:val="0"/>
        <w:autoSpaceDN w:val="0"/>
        <w:adjustRightInd w:val="0"/>
        <w:snapToGrid w:val="0"/>
        <w:ind w:left="0" w:firstLine="0"/>
        <w:jc w:val="both"/>
        <w:rPr>
          <w:rFonts w:eastAsia="MS PMincho"/>
          <w:b/>
          <w:sz w:val="22"/>
          <w:szCs w:val="22"/>
        </w:rPr>
      </w:pPr>
      <w:r w:rsidRPr="004635E5">
        <w:rPr>
          <w:rFonts w:eastAsia="MS PMincho"/>
          <w:b/>
          <w:sz w:val="22"/>
          <w:szCs w:val="22"/>
        </w:rPr>
        <w:t>The following additional research activities were also recommended by SC14 in order to improve the understanding of the age and growth of BET across the Pacific:</w:t>
      </w:r>
    </w:p>
    <w:p w14:paraId="7FD0CAA3" w14:textId="77777777" w:rsidR="00AF73D5" w:rsidRPr="004635E5" w:rsidRDefault="00AF73D5" w:rsidP="006633A8">
      <w:pPr>
        <w:autoSpaceDE w:val="0"/>
        <w:autoSpaceDN w:val="0"/>
        <w:adjustRightInd w:val="0"/>
        <w:snapToGrid w:val="0"/>
        <w:jc w:val="both"/>
        <w:rPr>
          <w:rFonts w:eastAsia="MS PMincho"/>
          <w:sz w:val="22"/>
          <w:szCs w:val="22"/>
        </w:rPr>
      </w:pPr>
    </w:p>
    <w:p w14:paraId="07FADACF" w14:textId="77777777" w:rsidR="00BD47F7" w:rsidRPr="004635E5" w:rsidRDefault="00BA4FCE" w:rsidP="00580EA4">
      <w:pPr>
        <w:numPr>
          <w:ilvl w:val="0"/>
          <w:numId w:val="60"/>
        </w:numPr>
        <w:autoSpaceDE w:val="0"/>
        <w:autoSpaceDN w:val="0"/>
        <w:adjustRightInd w:val="0"/>
        <w:snapToGrid w:val="0"/>
        <w:jc w:val="both"/>
        <w:rPr>
          <w:rFonts w:eastAsia="MS PMincho"/>
          <w:b/>
          <w:sz w:val="22"/>
          <w:szCs w:val="22"/>
        </w:rPr>
      </w:pPr>
      <w:r w:rsidRPr="004635E5">
        <w:rPr>
          <w:b/>
          <w:bCs/>
          <w:sz w:val="22"/>
          <w:szCs w:val="22"/>
        </w:rPr>
        <w:t>A WCPO growth model based on size composition and tagging data, as well as the use of additional modeling approaches (e.g., length-conditional), should also be evaluated.</w:t>
      </w:r>
    </w:p>
    <w:p w14:paraId="3DA8F9F6" w14:textId="77777777" w:rsidR="00BD47F7" w:rsidRPr="004635E5" w:rsidRDefault="00BA4FCE" w:rsidP="00580EA4">
      <w:pPr>
        <w:numPr>
          <w:ilvl w:val="0"/>
          <w:numId w:val="60"/>
        </w:numPr>
        <w:autoSpaceDE w:val="0"/>
        <w:autoSpaceDN w:val="0"/>
        <w:adjustRightInd w:val="0"/>
        <w:snapToGrid w:val="0"/>
        <w:jc w:val="both"/>
        <w:rPr>
          <w:rFonts w:eastAsia="MS PMincho"/>
          <w:b/>
          <w:sz w:val="22"/>
          <w:szCs w:val="22"/>
        </w:rPr>
      </w:pPr>
      <w:r w:rsidRPr="004635E5">
        <w:rPr>
          <w:rFonts w:eastAsia="MS PMincho"/>
          <w:b/>
          <w:sz w:val="22"/>
          <w:szCs w:val="22"/>
        </w:rPr>
        <w:t>Collaboration with the IATTC to analyze bigeye growth from otolith and tagging data collected across the entire Pacific, to better characterize the apparent regional difference in growth between the WCPO and EPO, and possible environmental determinants of such differences.</w:t>
      </w:r>
    </w:p>
    <w:p w14:paraId="168A2624" w14:textId="77777777" w:rsidR="00BD47F7" w:rsidRPr="004635E5" w:rsidRDefault="00BA4FCE" w:rsidP="00580EA4">
      <w:pPr>
        <w:numPr>
          <w:ilvl w:val="0"/>
          <w:numId w:val="60"/>
        </w:numPr>
        <w:autoSpaceDE w:val="0"/>
        <w:autoSpaceDN w:val="0"/>
        <w:adjustRightInd w:val="0"/>
        <w:snapToGrid w:val="0"/>
        <w:jc w:val="both"/>
        <w:rPr>
          <w:rFonts w:eastAsia="MS PMincho"/>
          <w:b/>
          <w:sz w:val="22"/>
          <w:szCs w:val="22"/>
        </w:rPr>
      </w:pPr>
      <w:r w:rsidRPr="004635E5">
        <w:rPr>
          <w:rFonts w:eastAsia="MS PMincho"/>
          <w:b/>
          <w:sz w:val="22"/>
          <w:szCs w:val="22"/>
        </w:rPr>
        <w:t>Analyzing the same otoliths by different laboratories, to build confidence in ageing estimates and to estimate ageing error.</w:t>
      </w:r>
    </w:p>
    <w:p w14:paraId="4CE5E967" w14:textId="77777777" w:rsidR="00BD47F7" w:rsidRPr="004635E5" w:rsidRDefault="00BA4FCE" w:rsidP="00580EA4">
      <w:pPr>
        <w:numPr>
          <w:ilvl w:val="0"/>
          <w:numId w:val="60"/>
        </w:numPr>
        <w:autoSpaceDE w:val="0"/>
        <w:autoSpaceDN w:val="0"/>
        <w:adjustRightInd w:val="0"/>
        <w:snapToGrid w:val="0"/>
        <w:jc w:val="both"/>
        <w:rPr>
          <w:rFonts w:eastAsia="MS PMincho"/>
          <w:b/>
          <w:sz w:val="22"/>
          <w:szCs w:val="22"/>
        </w:rPr>
      </w:pPr>
      <w:r w:rsidRPr="004635E5">
        <w:rPr>
          <w:rFonts w:eastAsia="MS PMincho"/>
          <w:b/>
          <w:sz w:val="22"/>
          <w:szCs w:val="22"/>
        </w:rPr>
        <w:t>Continued development of a high-confidence tagging dataset for growth analysis, with particular focus on larger bigeye tuna and events with reliable measurements at release. Such data would assist with the validation of the age estimates of large bigeye in the WCPO, and could potentially be incorporated directly into the assessment model as an additional data set. However, a reliable measurement of both length at release and recapture are necessary to accurately estimate incremental growth.</w:t>
      </w:r>
    </w:p>
    <w:p w14:paraId="2B37E258" w14:textId="77777777" w:rsidR="00AF73D5" w:rsidRPr="004635E5" w:rsidRDefault="00BA4FCE" w:rsidP="00580EA4">
      <w:pPr>
        <w:numPr>
          <w:ilvl w:val="0"/>
          <w:numId w:val="60"/>
        </w:numPr>
        <w:autoSpaceDE w:val="0"/>
        <w:autoSpaceDN w:val="0"/>
        <w:adjustRightInd w:val="0"/>
        <w:snapToGrid w:val="0"/>
        <w:jc w:val="both"/>
        <w:rPr>
          <w:rFonts w:eastAsia="MS PMincho"/>
          <w:b/>
          <w:sz w:val="22"/>
          <w:szCs w:val="22"/>
        </w:rPr>
      </w:pPr>
      <w:r w:rsidRPr="004635E5">
        <w:rPr>
          <w:rFonts w:eastAsia="MS PMincho"/>
          <w:b/>
          <w:sz w:val="22"/>
          <w:szCs w:val="22"/>
        </w:rPr>
        <w:t>Collect otoliths of very small bigeye that are captured by the Indonesian, Vietnamese, and Philippines domestic fisheries in region 7 and estimate age through daily ring counts to aid in the estimation of the size at age-1 qtr</w:t>
      </w:r>
      <w:r w:rsidRPr="004635E5">
        <w:rPr>
          <w:rFonts w:eastAsia="MS PMincho"/>
          <w:b/>
          <w:sz w:val="22"/>
          <w:szCs w:val="22"/>
          <w:vertAlign w:val="superscript"/>
        </w:rPr>
        <w:t>-1</w:t>
      </w:r>
      <w:r w:rsidRPr="004635E5">
        <w:rPr>
          <w:rFonts w:eastAsia="MS PMincho"/>
          <w:b/>
          <w:sz w:val="22"/>
          <w:szCs w:val="22"/>
        </w:rPr>
        <w:t xml:space="preserve"> parameter (L1) within the assessment model. </w:t>
      </w:r>
    </w:p>
    <w:p w14:paraId="19F32037" w14:textId="77777777" w:rsidR="00AF73D5" w:rsidRPr="004635E5" w:rsidRDefault="00AF73D5" w:rsidP="006633A8">
      <w:pPr>
        <w:adjustRightInd w:val="0"/>
        <w:snapToGrid w:val="0"/>
        <w:rPr>
          <w:rFonts w:eastAsia="MS PMincho"/>
          <w:b/>
          <w:sz w:val="22"/>
          <w:szCs w:val="22"/>
        </w:rPr>
      </w:pPr>
      <w:r w:rsidRPr="004635E5">
        <w:rPr>
          <w:rFonts w:eastAsia="MS PMincho"/>
          <w:b/>
          <w:sz w:val="22"/>
          <w:szCs w:val="22"/>
        </w:rPr>
        <w:br w:type="page"/>
      </w:r>
    </w:p>
    <w:p w14:paraId="1F279415" w14:textId="77777777" w:rsidR="00D46B39" w:rsidRPr="00D46B39" w:rsidRDefault="00D46B39" w:rsidP="00580EA4">
      <w:pPr>
        <w:pStyle w:val="ListParagraph"/>
        <w:keepNext/>
        <w:numPr>
          <w:ilvl w:val="2"/>
          <w:numId w:val="161"/>
        </w:numPr>
        <w:suppressLineNumbers/>
        <w:adjustRightInd w:val="0"/>
        <w:snapToGrid w:val="0"/>
        <w:jc w:val="both"/>
        <w:rPr>
          <w:rFonts w:eastAsia="Batang"/>
          <w:b/>
          <w:vanish/>
          <w:sz w:val="22"/>
          <w:szCs w:val="22"/>
          <w:lang w:val="en-NZ"/>
        </w:rPr>
      </w:pPr>
    </w:p>
    <w:p w14:paraId="4C68A2A6" w14:textId="77777777" w:rsidR="00F73262" w:rsidRPr="004635E5" w:rsidRDefault="00DB4D07" w:rsidP="00580EA4">
      <w:pPr>
        <w:pStyle w:val="SC3"/>
        <w:numPr>
          <w:ilvl w:val="2"/>
          <w:numId w:val="161"/>
        </w:numPr>
        <w:spacing w:after="0"/>
        <w:rPr>
          <w:rFonts w:eastAsia="Batang"/>
        </w:rPr>
      </w:pPr>
      <w:r w:rsidRPr="004635E5">
        <w:rPr>
          <w:rFonts w:eastAsia="Batang"/>
        </w:rPr>
        <w:t>WCPO yellowfin tuna</w:t>
      </w:r>
      <w:r w:rsidR="0019638E" w:rsidRPr="004635E5">
        <w:rPr>
          <w:rFonts w:eastAsia="Batang"/>
        </w:rPr>
        <w:t xml:space="preserve"> (</w:t>
      </w:r>
      <w:r w:rsidR="0019638E" w:rsidRPr="004635E5">
        <w:rPr>
          <w:rFonts w:eastAsia="Batang"/>
          <w:i/>
        </w:rPr>
        <w:t>Thunnus albacares</w:t>
      </w:r>
      <w:r w:rsidR="0019638E" w:rsidRPr="004635E5">
        <w:rPr>
          <w:rFonts w:eastAsia="Batang"/>
        </w:rPr>
        <w:t>)</w:t>
      </w:r>
    </w:p>
    <w:p w14:paraId="65349CE9" w14:textId="77777777" w:rsidR="00B26471" w:rsidRPr="004635E5" w:rsidRDefault="00B26471" w:rsidP="006633A8">
      <w:pPr>
        <w:pStyle w:val="SC3"/>
        <w:numPr>
          <w:ilvl w:val="0"/>
          <w:numId w:val="0"/>
        </w:numPr>
        <w:spacing w:after="0"/>
        <w:ind w:left="1440"/>
        <w:rPr>
          <w:rFonts w:eastAsia="Batang"/>
        </w:rPr>
      </w:pPr>
    </w:p>
    <w:p w14:paraId="2E7471FC" w14:textId="77777777" w:rsidR="00F73262" w:rsidRPr="004635E5" w:rsidRDefault="00E77F52" w:rsidP="00580EA4">
      <w:pPr>
        <w:pStyle w:val="SC3"/>
        <w:numPr>
          <w:ilvl w:val="3"/>
          <w:numId w:val="161"/>
        </w:numPr>
        <w:spacing w:after="0"/>
        <w:rPr>
          <w:rFonts w:eastAsia="Batang"/>
        </w:rPr>
      </w:pPr>
      <w:r w:rsidRPr="004635E5">
        <w:rPr>
          <w:rFonts w:eastAsia="Batang"/>
        </w:rPr>
        <w:t>R</w:t>
      </w:r>
      <w:r w:rsidR="00DB4D07" w:rsidRPr="004635E5">
        <w:rPr>
          <w:rFonts w:eastAsia="Batang"/>
        </w:rPr>
        <w:t>esearch and information</w:t>
      </w:r>
    </w:p>
    <w:p w14:paraId="44459422" w14:textId="77777777" w:rsidR="00B26471" w:rsidRPr="004635E5" w:rsidRDefault="00B26471" w:rsidP="006633A8">
      <w:pPr>
        <w:pStyle w:val="SC3"/>
        <w:numPr>
          <w:ilvl w:val="0"/>
          <w:numId w:val="0"/>
        </w:numPr>
        <w:spacing w:after="0"/>
        <w:ind w:left="1800"/>
        <w:rPr>
          <w:rFonts w:eastAsia="Batang"/>
        </w:rPr>
      </w:pPr>
    </w:p>
    <w:p w14:paraId="3C50B00C" w14:textId="77777777" w:rsidR="00B26471" w:rsidRPr="004635E5" w:rsidRDefault="00F73262" w:rsidP="00D46B39">
      <w:pPr>
        <w:pStyle w:val="SCa"/>
        <w:tabs>
          <w:tab w:val="clear" w:pos="1080"/>
        </w:tabs>
        <w:spacing w:after="0"/>
        <w:ind w:left="0"/>
      </w:pPr>
      <w:r w:rsidRPr="004635E5">
        <w:t>a.</w:t>
      </w:r>
      <w:r w:rsidRPr="004635E5">
        <w:tab/>
      </w:r>
      <w:r w:rsidR="00201325" w:rsidRPr="004635E5">
        <w:t>Yellowfin tuna age and growth in the WCPO</w:t>
      </w:r>
    </w:p>
    <w:p w14:paraId="7E7E9213" w14:textId="77777777" w:rsidR="00B26471" w:rsidRPr="004635E5" w:rsidRDefault="00B26471" w:rsidP="006633A8">
      <w:pPr>
        <w:pStyle w:val="SCa"/>
        <w:spacing w:after="0"/>
      </w:pPr>
    </w:p>
    <w:p w14:paraId="58B6DB50" w14:textId="77777777" w:rsidR="00331AA5" w:rsidRPr="004635E5" w:rsidRDefault="00AC74F4" w:rsidP="00580EA4">
      <w:pPr>
        <w:numPr>
          <w:ilvl w:val="0"/>
          <w:numId w:val="18"/>
        </w:numPr>
        <w:autoSpaceDE w:val="0"/>
        <w:autoSpaceDN w:val="0"/>
        <w:adjustRightInd w:val="0"/>
        <w:snapToGrid w:val="0"/>
        <w:ind w:left="0" w:firstLine="0"/>
        <w:jc w:val="both"/>
        <w:rPr>
          <w:rFonts w:eastAsia="MS Mincho"/>
          <w:sz w:val="22"/>
          <w:szCs w:val="22"/>
          <w:lang w:val="en-NZ" w:eastAsia="ja-JP"/>
        </w:rPr>
      </w:pPr>
      <w:r w:rsidRPr="004635E5">
        <w:rPr>
          <w:rFonts w:eastAsia="MS Mincho"/>
          <w:sz w:val="22"/>
          <w:szCs w:val="22"/>
          <w:lang w:val="en-NZ" w:eastAsia="ja-JP"/>
        </w:rPr>
        <w:t>J. Farley presented</w:t>
      </w:r>
      <w:r w:rsidRPr="004635E5">
        <w:rPr>
          <w:rFonts w:eastAsia="MS Mincho"/>
          <w:b/>
          <w:sz w:val="22"/>
          <w:szCs w:val="22"/>
          <w:lang w:val="en-NZ" w:eastAsia="ja-JP"/>
        </w:rPr>
        <w:t xml:space="preserve"> </w:t>
      </w:r>
      <w:r w:rsidR="004A1478" w:rsidRPr="00D10883">
        <w:rPr>
          <w:rFonts w:eastAsia="MS Mincho"/>
          <w:sz w:val="22"/>
          <w:szCs w:val="22"/>
          <w:lang w:val="en-NZ" w:eastAsia="ja-JP"/>
        </w:rPr>
        <w:t>the progress</w:t>
      </w:r>
      <w:r w:rsidR="00FD5C8D" w:rsidRPr="004635E5">
        <w:rPr>
          <w:rFonts w:eastAsia="MS Mincho"/>
          <w:sz w:val="22"/>
          <w:szCs w:val="22"/>
          <w:lang w:eastAsia="ja-JP"/>
        </w:rPr>
        <w:t xml:space="preserve"> on yellowfin tuna age and growth in the WCPO </w:t>
      </w:r>
      <w:r w:rsidR="00CC4B66" w:rsidRPr="00CC4B66">
        <w:rPr>
          <w:rFonts w:eastAsia="MS Mincho"/>
          <w:sz w:val="22"/>
          <w:szCs w:val="22"/>
          <w:lang w:eastAsia="ja-JP"/>
        </w:rPr>
        <w:t>(</w:t>
      </w:r>
      <w:r w:rsidR="00CC4B66" w:rsidRPr="00D10883">
        <w:rPr>
          <w:rFonts w:eastAsia="MS Mincho"/>
          <w:sz w:val="22"/>
          <w:szCs w:val="22"/>
          <w:lang w:val="en-NZ" w:eastAsia="ja-JP"/>
        </w:rPr>
        <w:t>SC14-SA-WP-13,</w:t>
      </w:r>
      <w:r w:rsidR="00CC4B66">
        <w:rPr>
          <w:rFonts w:eastAsia="MS Mincho"/>
          <w:b/>
          <w:sz w:val="22"/>
          <w:szCs w:val="22"/>
          <w:lang w:val="en-NZ" w:eastAsia="ja-JP"/>
        </w:rPr>
        <w:t xml:space="preserve"> </w:t>
      </w:r>
      <w:r w:rsidR="00FD5C8D" w:rsidRPr="004635E5">
        <w:rPr>
          <w:rFonts w:eastAsia="MS Mincho"/>
          <w:sz w:val="22"/>
          <w:szCs w:val="22"/>
          <w:lang w:eastAsia="ja-JP"/>
        </w:rPr>
        <w:t>WCPFC Project 82</w:t>
      </w:r>
      <w:r w:rsidR="00CC4B66">
        <w:rPr>
          <w:rFonts w:eastAsia="MS Mincho"/>
          <w:sz w:val="22"/>
          <w:szCs w:val="22"/>
          <w:lang w:eastAsia="ja-JP"/>
        </w:rPr>
        <w:t>)</w:t>
      </w:r>
      <w:r w:rsidRPr="004635E5">
        <w:rPr>
          <w:rFonts w:eastAsia="MS Mincho"/>
          <w:sz w:val="22"/>
          <w:szCs w:val="22"/>
          <w:lang w:val="en-NZ" w:eastAsia="ja-JP"/>
        </w:rPr>
        <w:t xml:space="preserve">, which </w:t>
      </w:r>
      <w:r w:rsidR="00331AA5" w:rsidRPr="004635E5">
        <w:rPr>
          <w:rFonts w:eastAsia="MS Mincho"/>
          <w:sz w:val="22"/>
          <w:szCs w:val="22"/>
          <w:lang w:val="en-NZ" w:eastAsia="ja-JP"/>
        </w:rPr>
        <w:t xml:space="preserve">summarises the preliminary work undertaken to estimate the age and growth of yellowfin tuna in the WCPO (WCPFC Project 82). The project </w:t>
      </w:r>
      <w:r w:rsidR="00AF73D5" w:rsidRPr="004635E5">
        <w:rPr>
          <w:rFonts w:eastAsia="MS Mincho"/>
          <w:sz w:val="22"/>
          <w:szCs w:val="22"/>
          <w:lang w:val="en-NZ" w:eastAsia="ja-JP"/>
        </w:rPr>
        <w:t xml:space="preserve">aims </w:t>
      </w:r>
      <w:r w:rsidR="00331AA5" w:rsidRPr="004635E5">
        <w:rPr>
          <w:rFonts w:eastAsia="MS Mincho"/>
          <w:sz w:val="22"/>
          <w:szCs w:val="22"/>
          <w:lang w:val="en-NZ" w:eastAsia="ja-JP"/>
        </w:rPr>
        <w:t xml:space="preserve">to develop ageing protocols for yellowfin tuna, create a reference otolith collection, and prepare and read 1500 otoliths for annual age estimation and 150 otoliths for daily age estimation. Forty yellowfin tuna were selected for preliminary analysis to determine if otoliths and/or dorsal fin spines were suitable for age estimation. Fish ranged in size from 30 to 172 cm fork length (FL). All otoliths were prepared and read by Fish Ageing Services (FAS). One otolith from each fish was prepared for annual ageing and the sister otoliths from 10 of the 40 fish was prepared for daily ageing. FAS also prepared 40 fin spines from the same fish for comparative ageing. The spines were examined by CSIRO. </w:t>
      </w:r>
    </w:p>
    <w:p w14:paraId="7A086201" w14:textId="77777777" w:rsidR="00B26471" w:rsidRPr="004635E5" w:rsidRDefault="00B26471" w:rsidP="006633A8">
      <w:pPr>
        <w:autoSpaceDE w:val="0"/>
        <w:autoSpaceDN w:val="0"/>
        <w:adjustRightInd w:val="0"/>
        <w:snapToGrid w:val="0"/>
        <w:jc w:val="both"/>
        <w:rPr>
          <w:rFonts w:eastAsia="MS Mincho"/>
          <w:sz w:val="22"/>
          <w:szCs w:val="22"/>
          <w:lang w:val="en-NZ" w:eastAsia="ja-JP"/>
        </w:rPr>
      </w:pPr>
    </w:p>
    <w:p w14:paraId="2EA4A751" w14:textId="77777777" w:rsidR="00331AA5" w:rsidRPr="004635E5" w:rsidRDefault="00331AA5" w:rsidP="00580EA4">
      <w:pPr>
        <w:numPr>
          <w:ilvl w:val="0"/>
          <w:numId w:val="18"/>
        </w:numPr>
        <w:autoSpaceDE w:val="0"/>
        <w:autoSpaceDN w:val="0"/>
        <w:adjustRightInd w:val="0"/>
        <w:snapToGrid w:val="0"/>
        <w:ind w:left="0" w:firstLine="0"/>
        <w:jc w:val="both"/>
        <w:rPr>
          <w:rFonts w:eastAsia="MS Mincho"/>
          <w:sz w:val="22"/>
          <w:szCs w:val="22"/>
          <w:lang w:val="en-NZ" w:eastAsia="ja-JP"/>
        </w:rPr>
      </w:pPr>
      <w:r w:rsidRPr="004635E5">
        <w:rPr>
          <w:rFonts w:eastAsia="MS Mincho"/>
          <w:sz w:val="22"/>
          <w:szCs w:val="22"/>
          <w:lang w:val="en-NZ" w:eastAsia="ja-JP"/>
        </w:rPr>
        <w:t>The results indicate that otoliths are a suitable structure for estimating annual age of yellowfin tuna with preliminary counts of opaque zones ranging from 0 to 13. The fin spines examined showed resorption and vascularisation leading to a “loss” of early increments, and were not suitable for annual age estimation beyond three years. However, they were useful to corroborate the location of the first three increments in sectioned otoliths. The daily ageing work found clear ‘daily’ zones could be detected along the ventral arm of otoliths out to the edge, even in very large fish. However, the areas with clear zone patterns were interspersed with areas that were difficult to interpret and did not show the “classic” daily zone structure, which is likely to lead to an underestimation of age. Therefore, we are not confident in age estimates beyond the first transition point (150-180 increments)</w:t>
      </w:r>
      <w:r w:rsidR="00A16680" w:rsidRPr="004635E5">
        <w:rPr>
          <w:rFonts w:eastAsia="MS Mincho"/>
          <w:sz w:val="22"/>
          <w:szCs w:val="22"/>
          <w:lang w:val="en-NZ" w:eastAsia="ja-JP"/>
        </w:rPr>
        <w:t xml:space="preserve">. </w:t>
      </w:r>
    </w:p>
    <w:p w14:paraId="7DB39814" w14:textId="77777777" w:rsidR="00B26471" w:rsidRPr="004635E5" w:rsidRDefault="00B26471" w:rsidP="006633A8">
      <w:pPr>
        <w:autoSpaceDE w:val="0"/>
        <w:autoSpaceDN w:val="0"/>
        <w:adjustRightInd w:val="0"/>
        <w:snapToGrid w:val="0"/>
        <w:jc w:val="both"/>
        <w:rPr>
          <w:rFonts w:eastAsia="MS Mincho"/>
          <w:sz w:val="22"/>
          <w:szCs w:val="22"/>
          <w:lang w:val="en-NZ" w:eastAsia="ja-JP"/>
        </w:rPr>
      </w:pPr>
    </w:p>
    <w:p w14:paraId="6DDE264F" w14:textId="77777777" w:rsidR="00331AA5" w:rsidRPr="004635E5" w:rsidRDefault="00331AA5" w:rsidP="00580EA4">
      <w:pPr>
        <w:numPr>
          <w:ilvl w:val="0"/>
          <w:numId w:val="18"/>
        </w:numPr>
        <w:autoSpaceDE w:val="0"/>
        <w:autoSpaceDN w:val="0"/>
        <w:adjustRightInd w:val="0"/>
        <w:snapToGrid w:val="0"/>
        <w:ind w:left="0" w:firstLine="0"/>
        <w:jc w:val="both"/>
        <w:rPr>
          <w:rFonts w:eastAsia="MS Mincho"/>
          <w:sz w:val="22"/>
          <w:szCs w:val="22"/>
          <w:lang w:val="en-NZ" w:eastAsia="ja-JP"/>
        </w:rPr>
      </w:pPr>
      <w:r w:rsidRPr="004635E5">
        <w:rPr>
          <w:rFonts w:eastAsia="MS Mincho"/>
          <w:sz w:val="22"/>
          <w:szCs w:val="22"/>
          <w:lang w:val="en-NZ" w:eastAsia="ja-JP"/>
        </w:rPr>
        <w:t>A priority for the remainder of the project is to undertake an inter-lab daily ageing workshop to compare otolith preparation and reading methods between the eastern and western Pacific. This was also a recommendation of the SPC pre-assessment workshop in April 2018. A key activity will also be the analysis of two strontium marked otoliths and two otoliths from fish tagged (but not marked) for direct age validation. We will then finalise the selection, preparation and reading of otoliths (and some spines) for the project and undertake edge type and/or marginal increment analysis as indirect validation of age. It is anticipated that length at age data and preliminary growth parameters will be delivered to the SPC pre-assessment workshop in 2019.</w:t>
      </w:r>
    </w:p>
    <w:p w14:paraId="7E708607" w14:textId="77777777" w:rsidR="00B26471" w:rsidRPr="004635E5" w:rsidRDefault="00B26471" w:rsidP="006633A8">
      <w:pPr>
        <w:autoSpaceDE w:val="0"/>
        <w:autoSpaceDN w:val="0"/>
        <w:adjustRightInd w:val="0"/>
        <w:snapToGrid w:val="0"/>
        <w:jc w:val="both"/>
        <w:rPr>
          <w:rFonts w:eastAsia="MS Mincho"/>
          <w:sz w:val="22"/>
          <w:szCs w:val="22"/>
          <w:lang w:val="en-NZ" w:eastAsia="ja-JP"/>
        </w:rPr>
      </w:pPr>
    </w:p>
    <w:p w14:paraId="3DD2B8F3" w14:textId="77777777" w:rsidR="00F9711C" w:rsidRPr="004635E5" w:rsidRDefault="00B84522" w:rsidP="006633A8">
      <w:pPr>
        <w:pStyle w:val="ListParagraph"/>
        <w:adjustRightInd w:val="0"/>
        <w:snapToGrid w:val="0"/>
        <w:ind w:left="0"/>
        <w:jc w:val="both"/>
        <w:rPr>
          <w:rFonts w:eastAsia="Batang"/>
          <w:b/>
          <w:sz w:val="22"/>
          <w:szCs w:val="22"/>
          <w:lang w:val="en-NZ" w:eastAsia="ko-KR"/>
        </w:rPr>
      </w:pPr>
      <w:r w:rsidRPr="004635E5">
        <w:rPr>
          <w:rFonts w:eastAsia="Batang"/>
          <w:b/>
          <w:sz w:val="22"/>
          <w:szCs w:val="22"/>
          <w:lang w:val="en-NZ" w:eastAsia="ko-KR"/>
        </w:rPr>
        <w:t>Discussion</w:t>
      </w:r>
    </w:p>
    <w:p w14:paraId="580E063C" w14:textId="77777777" w:rsidR="00B26471" w:rsidRPr="004635E5" w:rsidRDefault="00B26471" w:rsidP="006633A8">
      <w:pPr>
        <w:pStyle w:val="ListParagraph"/>
        <w:adjustRightInd w:val="0"/>
        <w:snapToGrid w:val="0"/>
        <w:ind w:left="0"/>
        <w:jc w:val="both"/>
        <w:rPr>
          <w:rFonts w:eastAsia="Batang"/>
          <w:b/>
          <w:sz w:val="22"/>
          <w:szCs w:val="22"/>
          <w:lang w:val="en-NZ" w:eastAsia="ko-KR"/>
        </w:rPr>
      </w:pPr>
    </w:p>
    <w:p w14:paraId="2D122256" w14:textId="77777777" w:rsidR="00E042BD" w:rsidRPr="004635E5" w:rsidRDefault="00B84522" w:rsidP="00580EA4">
      <w:pPr>
        <w:numPr>
          <w:ilvl w:val="0"/>
          <w:numId w:val="18"/>
        </w:numPr>
        <w:autoSpaceDE w:val="0"/>
        <w:autoSpaceDN w:val="0"/>
        <w:adjustRightInd w:val="0"/>
        <w:snapToGrid w:val="0"/>
        <w:ind w:left="0" w:firstLine="0"/>
        <w:jc w:val="both"/>
        <w:rPr>
          <w:rFonts w:eastAsia="Batang"/>
          <w:sz w:val="22"/>
          <w:szCs w:val="22"/>
          <w:lang w:eastAsia="ko-KR"/>
        </w:rPr>
      </w:pPr>
      <w:r w:rsidRPr="004635E5">
        <w:rPr>
          <w:rFonts w:eastAsia="Batang"/>
          <w:sz w:val="22"/>
          <w:szCs w:val="22"/>
          <w:lang w:val="en-NZ" w:eastAsia="ko-KR"/>
        </w:rPr>
        <w:t>RMI</w:t>
      </w:r>
      <w:r w:rsidR="008A61C9" w:rsidRPr="004635E5">
        <w:rPr>
          <w:rFonts w:eastAsia="Batang"/>
          <w:sz w:val="22"/>
          <w:szCs w:val="22"/>
          <w:lang w:val="en-NZ" w:eastAsia="ko-KR"/>
        </w:rPr>
        <w:t xml:space="preserve">, on behalf of </w:t>
      </w:r>
      <w:r w:rsidR="00E33F8B" w:rsidRPr="004635E5">
        <w:rPr>
          <w:rFonts w:eastAsia="Batang"/>
          <w:sz w:val="22"/>
          <w:szCs w:val="22"/>
          <w:lang w:eastAsia="ko-KR"/>
        </w:rPr>
        <w:t xml:space="preserve">FFA </w:t>
      </w:r>
      <w:r w:rsidR="008A61C9" w:rsidRPr="004635E5">
        <w:rPr>
          <w:rFonts w:eastAsia="Batang"/>
          <w:sz w:val="22"/>
          <w:szCs w:val="22"/>
          <w:lang w:eastAsia="ko-KR"/>
        </w:rPr>
        <w:t>m</w:t>
      </w:r>
      <w:r w:rsidR="00E33F8B" w:rsidRPr="004635E5">
        <w:rPr>
          <w:rFonts w:eastAsia="Batang"/>
          <w:sz w:val="22"/>
          <w:szCs w:val="22"/>
          <w:lang w:eastAsia="ko-KR"/>
        </w:rPr>
        <w:t>embers</w:t>
      </w:r>
      <w:r w:rsidR="008A61C9" w:rsidRPr="004635E5">
        <w:rPr>
          <w:rFonts w:eastAsia="Batang"/>
          <w:sz w:val="22"/>
          <w:szCs w:val="22"/>
          <w:lang w:eastAsia="ko-KR"/>
        </w:rPr>
        <w:t xml:space="preserve">, </w:t>
      </w:r>
      <w:r w:rsidR="00E33F8B" w:rsidRPr="004635E5">
        <w:rPr>
          <w:rFonts w:eastAsia="Batang"/>
          <w:sz w:val="22"/>
          <w:szCs w:val="22"/>
          <w:lang w:eastAsia="ko-KR"/>
        </w:rPr>
        <w:t>thank</w:t>
      </w:r>
      <w:r w:rsidR="008A61C9" w:rsidRPr="004635E5">
        <w:rPr>
          <w:rFonts w:eastAsia="Batang"/>
          <w:sz w:val="22"/>
          <w:szCs w:val="22"/>
          <w:lang w:eastAsia="ko-KR"/>
        </w:rPr>
        <w:t>ed</w:t>
      </w:r>
      <w:r w:rsidR="00E33F8B" w:rsidRPr="004635E5">
        <w:rPr>
          <w:rFonts w:eastAsia="Batang"/>
          <w:sz w:val="22"/>
          <w:szCs w:val="22"/>
          <w:lang w:eastAsia="ko-KR"/>
        </w:rPr>
        <w:t xml:space="preserve"> SPC for the update on Project 82</w:t>
      </w:r>
      <w:r w:rsidR="00AF73D5" w:rsidRPr="004635E5">
        <w:rPr>
          <w:rFonts w:eastAsia="Batang"/>
          <w:sz w:val="22"/>
          <w:szCs w:val="22"/>
          <w:lang w:eastAsia="ko-KR"/>
        </w:rPr>
        <w:t>,</w:t>
      </w:r>
      <w:r w:rsidR="00E33F8B" w:rsidRPr="004635E5">
        <w:rPr>
          <w:rFonts w:eastAsia="Batang"/>
          <w:sz w:val="22"/>
          <w:szCs w:val="22"/>
          <w:lang w:eastAsia="ko-KR"/>
        </w:rPr>
        <w:t xml:space="preserve"> recog</w:t>
      </w:r>
      <w:r w:rsidR="00AF73D5" w:rsidRPr="004635E5">
        <w:rPr>
          <w:rFonts w:eastAsia="Batang"/>
          <w:sz w:val="22"/>
          <w:szCs w:val="22"/>
          <w:lang w:eastAsia="ko-KR"/>
        </w:rPr>
        <w:t>nizing</w:t>
      </w:r>
      <w:r w:rsidR="00E33F8B" w:rsidRPr="004635E5">
        <w:rPr>
          <w:rFonts w:eastAsia="Batang"/>
          <w:sz w:val="22"/>
          <w:szCs w:val="22"/>
          <w:lang w:eastAsia="ko-KR"/>
        </w:rPr>
        <w:t xml:space="preserve"> that more work was needed to improve age and growth estimates of WCPO yellowfin in different subregions.</w:t>
      </w:r>
      <w:r w:rsidR="008A61C9" w:rsidRPr="004635E5">
        <w:rPr>
          <w:rFonts w:eastAsia="Batang"/>
          <w:sz w:val="22"/>
          <w:szCs w:val="22"/>
          <w:lang w:eastAsia="ko-KR"/>
        </w:rPr>
        <w:t xml:space="preserve"> </w:t>
      </w:r>
      <w:r w:rsidR="00AF73D5" w:rsidRPr="004635E5">
        <w:rPr>
          <w:rFonts w:eastAsia="Batang"/>
          <w:sz w:val="22"/>
          <w:szCs w:val="22"/>
          <w:lang w:eastAsia="ko-KR"/>
        </w:rPr>
        <w:t xml:space="preserve">They </w:t>
      </w:r>
      <w:r w:rsidR="00E33F8B" w:rsidRPr="004635E5">
        <w:rPr>
          <w:rFonts w:eastAsia="Batang"/>
          <w:sz w:val="22"/>
          <w:szCs w:val="22"/>
          <w:lang w:eastAsia="ko-KR"/>
        </w:rPr>
        <w:t>support</w:t>
      </w:r>
      <w:r w:rsidR="00AF73D5" w:rsidRPr="004635E5">
        <w:rPr>
          <w:rFonts w:eastAsia="Batang"/>
          <w:sz w:val="22"/>
          <w:szCs w:val="22"/>
          <w:lang w:eastAsia="ko-KR"/>
        </w:rPr>
        <w:t>ed</w:t>
      </w:r>
      <w:r w:rsidR="00E33F8B" w:rsidRPr="004635E5">
        <w:rPr>
          <w:rFonts w:eastAsia="Batang"/>
          <w:sz w:val="22"/>
          <w:szCs w:val="22"/>
          <w:lang w:eastAsia="ko-KR"/>
        </w:rPr>
        <w:t xml:space="preserve"> the continuation of Project 82 in accordance the work plan set out in </w:t>
      </w:r>
      <w:r w:rsidR="00797E2B">
        <w:rPr>
          <w:rFonts w:eastAsia="Batang"/>
          <w:sz w:val="22"/>
          <w:szCs w:val="22"/>
          <w:lang w:eastAsia="ko-KR"/>
        </w:rPr>
        <w:t>SC14-</w:t>
      </w:r>
      <w:r w:rsidR="00E33F8B" w:rsidRPr="004635E5">
        <w:rPr>
          <w:rFonts w:eastAsia="Batang"/>
          <w:sz w:val="22"/>
          <w:szCs w:val="22"/>
          <w:lang w:eastAsia="ko-KR"/>
        </w:rPr>
        <w:t>SA-WP-13</w:t>
      </w:r>
      <w:r w:rsidR="00AF73D5" w:rsidRPr="004635E5">
        <w:rPr>
          <w:rFonts w:eastAsia="Batang"/>
          <w:sz w:val="22"/>
          <w:szCs w:val="22"/>
          <w:lang w:eastAsia="ko-KR"/>
        </w:rPr>
        <w:t xml:space="preserve">, and </w:t>
      </w:r>
      <w:r w:rsidR="00E33F8B" w:rsidRPr="004635E5">
        <w:rPr>
          <w:rFonts w:eastAsia="Batang"/>
          <w:sz w:val="22"/>
          <w:szCs w:val="22"/>
          <w:lang w:eastAsia="ko-KR"/>
        </w:rPr>
        <w:t>the need for consistency of daily age estimation in laboratories across the WCPO</w:t>
      </w:r>
      <w:r w:rsidR="00A16680" w:rsidRPr="004635E5">
        <w:rPr>
          <w:rFonts w:eastAsia="Batang"/>
          <w:sz w:val="22"/>
          <w:szCs w:val="22"/>
          <w:lang w:eastAsia="ko-KR"/>
        </w:rPr>
        <w:t xml:space="preserve">. </w:t>
      </w:r>
      <w:r w:rsidR="00E33F8B" w:rsidRPr="004635E5">
        <w:rPr>
          <w:rFonts w:eastAsia="Batang"/>
          <w:sz w:val="22"/>
          <w:szCs w:val="22"/>
          <w:lang w:eastAsia="ko-KR"/>
        </w:rPr>
        <w:t xml:space="preserve">It is important, for purposes of spatial comparison and validation that </w:t>
      </w:r>
      <w:r w:rsidR="00AF73D5" w:rsidRPr="004635E5">
        <w:rPr>
          <w:rFonts w:eastAsia="Batang"/>
          <w:sz w:val="22"/>
          <w:szCs w:val="22"/>
          <w:lang w:eastAsia="ko-KR"/>
        </w:rPr>
        <w:t>SC support</w:t>
      </w:r>
      <w:r w:rsidR="00E33F8B" w:rsidRPr="004635E5">
        <w:rPr>
          <w:rFonts w:eastAsia="Batang"/>
          <w:sz w:val="22"/>
          <w:szCs w:val="22"/>
          <w:lang w:eastAsia="ko-KR"/>
        </w:rPr>
        <w:t xml:space="preserve"> the inter-laboratory workshop agreed at the SPC Pre-assessment workshop, to compare otolith preparation and reading methods between </w:t>
      </w:r>
      <w:r w:rsidR="00AF73D5" w:rsidRPr="004635E5">
        <w:rPr>
          <w:rFonts w:eastAsia="Batang"/>
          <w:sz w:val="22"/>
          <w:szCs w:val="22"/>
          <w:lang w:eastAsia="ko-KR"/>
        </w:rPr>
        <w:t>the EPO and WPO</w:t>
      </w:r>
      <w:r w:rsidR="00E042BD" w:rsidRPr="004635E5">
        <w:rPr>
          <w:rFonts w:eastAsia="Batang"/>
          <w:sz w:val="22"/>
          <w:szCs w:val="22"/>
          <w:lang w:eastAsia="ko-KR"/>
        </w:rPr>
        <w:t xml:space="preserve">. </w:t>
      </w:r>
      <w:r w:rsidR="00E33F8B" w:rsidRPr="004635E5">
        <w:rPr>
          <w:rFonts w:eastAsia="Batang"/>
          <w:sz w:val="22"/>
          <w:szCs w:val="22"/>
          <w:lang w:eastAsia="ko-KR"/>
        </w:rPr>
        <w:t>FFA members consider this project to be important because the results of new growth and age would improve new assessments</w:t>
      </w:r>
      <w:r w:rsidR="00AF73D5" w:rsidRPr="004635E5">
        <w:rPr>
          <w:rFonts w:eastAsia="Batang"/>
          <w:sz w:val="22"/>
          <w:szCs w:val="22"/>
          <w:lang w:eastAsia="ko-KR"/>
        </w:rPr>
        <w:t xml:space="preserve">, and help </w:t>
      </w:r>
      <w:r w:rsidR="00E33F8B" w:rsidRPr="004635E5">
        <w:rPr>
          <w:rFonts w:eastAsia="Batang"/>
          <w:sz w:val="22"/>
          <w:szCs w:val="22"/>
          <w:lang w:eastAsia="ko-KR"/>
        </w:rPr>
        <w:t>assess spatial differences in growth.</w:t>
      </w:r>
    </w:p>
    <w:p w14:paraId="2BBBFE5B" w14:textId="77777777" w:rsidR="00B26471" w:rsidRPr="004635E5" w:rsidRDefault="00B26471" w:rsidP="006633A8">
      <w:pPr>
        <w:autoSpaceDE w:val="0"/>
        <w:autoSpaceDN w:val="0"/>
        <w:adjustRightInd w:val="0"/>
        <w:snapToGrid w:val="0"/>
        <w:jc w:val="both"/>
        <w:rPr>
          <w:rFonts w:eastAsia="Batang"/>
          <w:sz w:val="22"/>
          <w:szCs w:val="22"/>
          <w:lang w:eastAsia="ko-KR"/>
        </w:rPr>
      </w:pPr>
    </w:p>
    <w:p w14:paraId="6619BCFA" w14:textId="77777777" w:rsidR="008A5E3F" w:rsidRPr="004635E5" w:rsidRDefault="00AF73D5" w:rsidP="00580EA4">
      <w:pPr>
        <w:numPr>
          <w:ilvl w:val="0"/>
          <w:numId w:val="18"/>
        </w:numPr>
        <w:autoSpaceDE w:val="0"/>
        <w:autoSpaceDN w:val="0"/>
        <w:adjustRightInd w:val="0"/>
        <w:snapToGrid w:val="0"/>
        <w:ind w:left="0" w:firstLine="0"/>
        <w:jc w:val="both"/>
        <w:rPr>
          <w:rFonts w:eastAsia="Batang"/>
          <w:sz w:val="22"/>
          <w:szCs w:val="22"/>
          <w:lang w:eastAsia="ko-KR"/>
        </w:rPr>
      </w:pPr>
      <w:r w:rsidRPr="004635E5">
        <w:rPr>
          <w:rFonts w:eastAsia="Batang"/>
          <w:sz w:val="22"/>
          <w:szCs w:val="22"/>
          <w:lang w:val="en-NZ" w:eastAsia="ko-KR"/>
        </w:rPr>
        <w:t xml:space="preserve">The </w:t>
      </w:r>
      <w:r w:rsidR="00B84522" w:rsidRPr="004635E5">
        <w:rPr>
          <w:rFonts w:eastAsia="Batang"/>
          <w:sz w:val="22"/>
          <w:szCs w:val="22"/>
          <w:lang w:val="en-NZ" w:eastAsia="ko-KR"/>
        </w:rPr>
        <w:t>USA</w:t>
      </w:r>
      <w:r w:rsidR="008A5E3F" w:rsidRPr="004635E5">
        <w:rPr>
          <w:rFonts w:eastAsia="Batang"/>
          <w:sz w:val="22"/>
          <w:szCs w:val="22"/>
          <w:lang w:val="en-NZ" w:eastAsia="ko-KR"/>
        </w:rPr>
        <w:t xml:space="preserve"> </w:t>
      </w:r>
      <w:r w:rsidRPr="004635E5">
        <w:rPr>
          <w:rFonts w:eastAsia="Batang"/>
          <w:sz w:val="22"/>
          <w:szCs w:val="22"/>
          <w:lang w:val="en-NZ" w:eastAsia="ko-KR"/>
        </w:rPr>
        <w:t xml:space="preserve">asked whether there were plans to </w:t>
      </w:r>
      <w:r w:rsidR="008A5E3F" w:rsidRPr="004635E5">
        <w:rPr>
          <w:rFonts w:eastAsia="Batang"/>
          <w:sz w:val="22"/>
          <w:szCs w:val="22"/>
          <w:lang w:eastAsia="ko-KR"/>
        </w:rPr>
        <w:t>validat</w:t>
      </w:r>
      <w:r w:rsidR="008A61C9" w:rsidRPr="004635E5">
        <w:rPr>
          <w:rFonts w:eastAsia="Batang"/>
          <w:sz w:val="22"/>
          <w:szCs w:val="22"/>
          <w:lang w:eastAsia="ko-KR"/>
        </w:rPr>
        <w:t>e</w:t>
      </w:r>
      <w:r w:rsidR="008A5E3F" w:rsidRPr="004635E5">
        <w:rPr>
          <w:rFonts w:eastAsia="Batang"/>
          <w:sz w:val="22"/>
          <w:szCs w:val="22"/>
          <w:lang w:eastAsia="ko-KR"/>
        </w:rPr>
        <w:t xml:space="preserve"> </w:t>
      </w:r>
      <w:r w:rsidR="008A61C9" w:rsidRPr="004635E5">
        <w:rPr>
          <w:rFonts w:eastAsia="Batang"/>
          <w:sz w:val="22"/>
          <w:szCs w:val="22"/>
          <w:lang w:eastAsia="ko-KR"/>
        </w:rPr>
        <w:t xml:space="preserve">the </w:t>
      </w:r>
      <w:r w:rsidR="008A5E3F" w:rsidRPr="004635E5">
        <w:rPr>
          <w:rFonts w:eastAsia="Batang"/>
          <w:sz w:val="22"/>
          <w:szCs w:val="22"/>
          <w:lang w:eastAsia="ko-KR"/>
        </w:rPr>
        <w:t>age reading methods</w:t>
      </w:r>
      <w:r w:rsidRPr="004635E5">
        <w:rPr>
          <w:rFonts w:eastAsia="Batang"/>
          <w:sz w:val="22"/>
          <w:szCs w:val="22"/>
          <w:lang w:eastAsia="ko-KR"/>
        </w:rPr>
        <w:t xml:space="preserve"> by having multiple readers</w:t>
      </w:r>
      <w:r w:rsidR="008A61C9" w:rsidRPr="004635E5">
        <w:rPr>
          <w:rFonts w:eastAsia="Batang"/>
          <w:sz w:val="22"/>
          <w:szCs w:val="22"/>
          <w:lang w:eastAsia="ko-KR"/>
        </w:rPr>
        <w:t>.</w:t>
      </w:r>
      <w:r w:rsidR="00B84522" w:rsidRPr="004635E5">
        <w:rPr>
          <w:rFonts w:eastAsia="Batang"/>
          <w:sz w:val="22"/>
          <w:szCs w:val="22"/>
          <w:lang w:val="en-NZ" w:eastAsia="ko-KR"/>
        </w:rPr>
        <w:t xml:space="preserve"> J</w:t>
      </w:r>
      <w:r w:rsidR="008A5E3F" w:rsidRPr="004635E5">
        <w:rPr>
          <w:rFonts w:eastAsia="Batang"/>
          <w:sz w:val="22"/>
          <w:szCs w:val="22"/>
          <w:lang w:val="en-NZ" w:eastAsia="ko-KR"/>
        </w:rPr>
        <w:t xml:space="preserve">. Farley indicated she </w:t>
      </w:r>
      <w:r w:rsidR="00B84522" w:rsidRPr="004635E5">
        <w:rPr>
          <w:rFonts w:eastAsia="Batang"/>
          <w:sz w:val="22"/>
          <w:szCs w:val="22"/>
          <w:lang w:val="en-NZ" w:eastAsia="ko-KR"/>
        </w:rPr>
        <w:t xml:space="preserve">routinely </w:t>
      </w:r>
      <w:r w:rsidRPr="004635E5">
        <w:rPr>
          <w:rFonts w:eastAsia="Batang"/>
          <w:sz w:val="22"/>
          <w:szCs w:val="22"/>
          <w:lang w:val="en-NZ" w:eastAsia="ko-KR"/>
        </w:rPr>
        <w:t xml:space="preserve">read </w:t>
      </w:r>
      <w:r w:rsidR="00B84522" w:rsidRPr="004635E5">
        <w:rPr>
          <w:rFonts w:eastAsia="Batang"/>
          <w:sz w:val="22"/>
          <w:szCs w:val="22"/>
          <w:lang w:val="en-NZ" w:eastAsia="ko-KR"/>
        </w:rPr>
        <w:t>10%</w:t>
      </w:r>
      <w:r w:rsidR="008A5E3F" w:rsidRPr="004635E5">
        <w:rPr>
          <w:rFonts w:eastAsia="Batang"/>
          <w:sz w:val="22"/>
          <w:szCs w:val="22"/>
          <w:lang w:val="en-NZ" w:eastAsia="ko-KR"/>
        </w:rPr>
        <w:t>;</w:t>
      </w:r>
      <w:r w:rsidR="00B84522" w:rsidRPr="004635E5">
        <w:rPr>
          <w:rFonts w:eastAsia="Batang"/>
          <w:sz w:val="22"/>
          <w:szCs w:val="22"/>
          <w:lang w:val="en-NZ" w:eastAsia="ko-KR"/>
        </w:rPr>
        <w:t xml:space="preserve"> not many labs do annual aging, </w:t>
      </w:r>
      <w:r w:rsidR="008A5E3F" w:rsidRPr="004635E5">
        <w:rPr>
          <w:rFonts w:eastAsia="Batang"/>
          <w:sz w:val="22"/>
          <w:szCs w:val="22"/>
          <w:lang w:val="en-NZ" w:eastAsia="ko-KR"/>
        </w:rPr>
        <w:t xml:space="preserve">but she could </w:t>
      </w:r>
      <w:r w:rsidR="00B84522" w:rsidRPr="004635E5">
        <w:rPr>
          <w:rFonts w:eastAsia="Batang"/>
          <w:sz w:val="22"/>
          <w:szCs w:val="22"/>
          <w:lang w:val="en-NZ" w:eastAsia="ko-KR"/>
        </w:rPr>
        <w:t xml:space="preserve">investigate if </w:t>
      </w:r>
      <w:r w:rsidR="008A5E3F" w:rsidRPr="004635E5">
        <w:rPr>
          <w:rFonts w:eastAsia="Batang"/>
          <w:sz w:val="22"/>
          <w:szCs w:val="22"/>
          <w:lang w:val="en-NZ" w:eastAsia="ko-KR"/>
        </w:rPr>
        <w:t xml:space="preserve">recommended by </w:t>
      </w:r>
      <w:r w:rsidR="00B84522" w:rsidRPr="004635E5">
        <w:rPr>
          <w:rFonts w:eastAsia="Batang"/>
          <w:sz w:val="22"/>
          <w:szCs w:val="22"/>
          <w:lang w:val="en-NZ" w:eastAsia="ko-KR"/>
        </w:rPr>
        <w:t xml:space="preserve">SC. </w:t>
      </w:r>
    </w:p>
    <w:p w14:paraId="0473AD72" w14:textId="77777777" w:rsidR="008A5E3F" w:rsidRPr="004635E5" w:rsidRDefault="00270656" w:rsidP="00580EA4">
      <w:pPr>
        <w:numPr>
          <w:ilvl w:val="0"/>
          <w:numId w:val="18"/>
        </w:numPr>
        <w:autoSpaceDE w:val="0"/>
        <w:autoSpaceDN w:val="0"/>
        <w:adjustRightInd w:val="0"/>
        <w:snapToGrid w:val="0"/>
        <w:ind w:left="0" w:firstLine="0"/>
        <w:jc w:val="both"/>
        <w:rPr>
          <w:rFonts w:eastAsia="Batang"/>
          <w:sz w:val="22"/>
          <w:szCs w:val="22"/>
          <w:lang w:eastAsia="ko-KR"/>
        </w:rPr>
      </w:pPr>
      <w:r w:rsidRPr="004635E5">
        <w:rPr>
          <w:rFonts w:eastAsia="Batang"/>
          <w:sz w:val="22"/>
          <w:szCs w:val="22"/>
          <w:lang w:val="en-NZ" w:eastAsia="ko-KR"/>
        </w:rPr>
        <w:t>Federated States of Micronesia</w:t>
      </w:r>
      <w:r w:rsidR="008A5E3F" w:rsidRPr="004635E5">
        <w:rPr>
          <w:rFonts w:eastAsia="Batang"/>
          <w:sz w:val="22"/>
          <w:szCs w:val="22"/>
          <w:lang w:val="en-NZ" w:eastAsia="ko-KR"/>
        </w:rPr>
        <w:t>, on behalf of</w:t>
      </w:r>
      <w:r w:rsidR="001F3FF4">
        <w:rPr>
          <w:rFonts w:eastAsia="Batang"/>
          <w:sz w:val="22"/>
          <w:szCs w:val="22"/>
          <w:lang w:val="en-NZ" w:eastAsia="ko-KR"/>
        </w:rPr>
        <w:t xml:space="preserve"> </w:t>
      </w:r>
      <w:r w:rsidR="00E33F8B" w:rsidRPr="004635E5">
        <w:rPr>
          <w:rFonts w:eastAsia="Batang"/>
          <w:sz w:val="22"/>
          <w:szCs w:val="22"/>
          <w:lang w:eastAsia="ko-KR"/>
        </w:rPr>
        <w:t>FFA members</w:t>
      </w:r>
      <w:r w:rsidR="00AF73D5" w:rsidRPr="004635E5">
        <w:rPr>
          <w:rFonts w:eastAsia="Batang"/>
          <w:sz w:val="22"/>
          <w:szCs w:val="22"/>
          <w:lang w:eastAsia="ko-KR"/>
        </w:rPr>
        <w:t>,</w:t>
      </w:r>
      <w:r w:rsidR="00E33F8B" w:rsidRPr="004635E5">
        <w:rPr>
          <w:rFonts w:eastAsia="Batang"/>
          <w:sz w:val="22"/>
          <w:szCs w:val="22"/>
          <w:lang w:eastAsia="ko-KR"/>
        </w:rPr>
        <w:t xml:space="preserve"> thank</w:t>
      </w:r>
      <w:r w:rsidR="008A5E3F" w:rsidRPr="004635E5">
        <w:rPr>
          <w:rFonts w:eastAsia="Batang"/>
          <w:sz w:val="22"/>
          <w:szCs w:val="22"/>
          <w:lang w:eastAsia="ko-KR"/>
        </w:rPr>
        <w:t>ed</w:t>
      </w:r>
      <w:r w:rsidR="00E33F8B" w:rsidRPr="004635E5">
        <w:rPr>
          <w:rFonts w:eastAsia="Batang"/>
          <w:sz w:val="22"/>
          <w:szCs w:val="22"/>
          <w:lang w:eastAsia="ko-KR"/>
        </w:rPr>
        <w:t xml:space="preserve"> those who contributed to the collection and storage of samples in the Commission tissue bank</w:t>
      </w:r>
      <w:r w:rsidR="0026234A" w:rsidRPr="004635E5">
        <w:rPr>
          <w:rFonts w:eastAsia="Batang"/>
          <w:sz w:val="22"/>
          <w:szCs w:val="22"/>
          <w:lang w:eastAsia="ko-KR"/>
        </w:rPr>
        <w:t xml:space="preserve">, who made </w:t>
      </w:r>
      <w:r w:rsidR="00E33F8B" w:rsidRPr="004635E5">
        <w:rPr>
          <w:rFonts w:eastAsia="Batang"/>
          <w:sz w:val="22"/>
          <w:szCs w:val="22"/>
          <w:lang w:eastAsia="ko-KR"/>
        </w:rPr>
        <w:t xml:space="preserve">yellowfin otoliths available for use by the </w:t>
      </w:r>
      <w:r w:rsidR="00AF73D5" w:rsidRPr="004635E5">
        <w:rPr>
          <w:rFonts w:eastAsia="Batang"/>
          <w:sz w:val="22"/>
          <w:szCs w:val="22"/>
          <w:lang w:eastAsia="ko-KR"/>
        </w:rPr>
        <w:t>p</w:t>
      </w:r>
      <w:r w:rsidR="00E33F8B" w:rsidRPr="004635E5">
        <w:rPr>
          <w:rFonts w:eastAsia="Batang"/>
          <w:sz w:val="22"/>
          <w:szCs w:val="22"/>
          <w:lang w:eastAsia="ko-KR"/>
        </w:rPr>
        <w:t>roject</w:t>
      </w:r>
      <w:r w:rsidR="00AF73D5" w:rsidRPr="004635E5">
        <w:rPr>
          <w:rFonts w:eastAsia="Batang"/>
          <w:sz w:val="22"/>
          <w:szCs w:val="22"/>
          <w:lang w:eastAsia="ko-KR"/>
        </w:rPr>
        <w:t xml:space="preserve">, </w:t>
      </w:r>
      <w:r w:rsidR="0026234A" w:rsidRPr="004635E5">
        <w:rPr>
          <w:rFonts w:eastAsia="Batang"/>
          <w:sz w:val="22"/>
          <w:szCs w:val="22"/>
          <w:lang w:eastAsia="ko-KR"/>
        </w:rPr>
        <w:t xml:space="preserve">and who </w:t>
      </w:r>
      <w:r w:rsidR="00AF73D5" w:rsidRPr="004635E5">
        <w:rPr>
          <w:rFonts w:eastAsia="Batang"/>
          <w:sz w:val="22"/>
          <w:szCs w:val="22"/>
          <w:lang w:eastAsia="ko-KR"/>
        </w:rPr>
        <w:t xml:space="preserve">did </w:t>
      </w:r>
      <w:r w:rsidR="0026234A" w:rsidRPr="004635E5">
        <w:rPr>
          <w:rFonts w:eastAsia="Batang"/>
          <w:sz w:val="22"/>
          <w:szCs w:val="22"/>
          <w:lang w:eastAsia="ko-KR"/>
        </w:rPr>
        <w:t>the analyses</w:t>
      </w:r>
      <w:r w:rsidR="008A5E3F" w:rsidRPr="004635E5">
        <w:rPr>
          <w:rFonts w:eastAsia="Batang"/>
          <w:sz w:val="22"/>
          <w:szCs w:val="22"/>
          <w:lang w:eastAsia="ko-KR"/>
        </w:rPr>
        <w:t>.</w:t>
      </w:r>
    </w:p>
    <w:p w14:paraId="64D1B418" w14:textId="77777777" w:rsidR="00B26471" w:rsidRPr="004635E5" w:rsidRDefault="00B26471" w:rsidP="006633A8">
      <w:pPr>
        <w:autoSpaceDE w:val="0"/>
        <w:autoSpaceDN w:val="0"/>
        <w:adjustRightInd w:val="0"/>
        <w:snapToGrid w:val="0"/>
        <w:jc w:val="both"/>
        <w:rPr>
          <w:rFonts w:eastAsia="Batang"/>
          <w:sz w:val="22"/>
          <w:szCs w:val="22"/>
          <w:lang w:eastAsia="ko-KR"/>
        </w:rPr>
      </w:pPr>
    </w:p>
    <w:p w14:paraId="5BF6FA13" w14:textId="77777777" w:rsidR="00F73262" w:rsidRPr="004635E5" w:rsidRDefault="00B84522" w:rsidP="00580EA4">
      <w:pPr>
        <w:numPr>
          <w:ilvl w:val="0"/>
          <w:numId w:val="18"/>
        </w:numPr>
        <w:autoSpaceDE w:val="0"/>
        <w:autoSpaceDN w:val="0"/>
        <w:adjustRightInd w:val="0"/>
        <w:snapToGrid w:val="0"/>
        <w:ind w:left="0" w:firstLine="0"/>
        <w:jc w:val="both"/>
        <w:rPr>
          <w:rFonts w:eastAsia="Batang"/>
          <w:sz w:val="22"/>
          <w:szCs w:val="22"/>
          <w:lang w:eastAsia="ko-KR"/>
        </w:rPr>
      </w:pPr>
      <w:r w:rsidRPr="004635E5">
        <w:rPr>
          <w:rFonts w:eastAsia="Batang"/>
          <w:sz w:val="22"/>
          <w:szCs w:val="22"/>
          <w:lang w:val="en-NZ" w:eastAsia="ko-KR"/>
        </w:rPr>
        <w:t>Korea</w:t>
      </w:r>
      <w:r w:rsidR="008A5E3F" w:rsidRPr="004635E5">
        <w:rPr>
          <w:rFonts w:eastAsia="Batang"/>
          <w:sz w:val="22"/>
          <w:szCs w:val="22"/>
          <w:lang w:val="en-NZ" w:eastAsia="ko-KR"/>
        </w:rPr>
        <w:t xml:space="preserve"> inquired whether there was a plan to do </w:t>
      </w:r>
      <w:r w:rsidRPr="004635E5">
        <w:rPr>
          <w:rFonts w:eastAsia="Batang"/>
          <w:sz w:val="22"/>
          <w:szCs w:val="22"/>
          <w:lang w:val="en-NZ" w:eastAsia="ko-KR"/>
        </w:rPr>
        <w:t xml:space="preserve">age analysis between </w:t>
      </w:r>
      <w:r w:rsidR="00AF73D5" w:rsidRPr="004635E5">
        <w:rPr>
          <w:rFonts w:eastAsia="Batang"/>
          <w:sz w:val="22"/>
          <w:szCs w:val="22"/>
          <w:lang w:val="en-NZ" w:eastAsia="ko-KR"/>
        </w:rPr>
        <w:t xml:space="preserve">the </w:t>
      </w:r>
      <w:r w:rsidR="008A5E3F" w:rsidRPr="004635E5">
        <w:rPr>
          <w:rFonts w:eastAsia="Batang"/>
          <w:sz w:val="22"/>
          <w:szCs w:val="22"/>
          <w:lang w:val="en-NZ" w:eastAsia="ko-KR"/>
        </w:rPr>
        <w:t xml:space="preserve">EPO </w:t>
      </w:r>
      <w:r w:rsidRPr="004635E5">
        <w:rPr>
          <w:rFonts w:eastAsia="Batang"/>
          <w:sz w:val="22"/>
          <w:szCs w:val="22"/>
          <w:lang w:val="en-NZ" w:eastAsia="ko-KR"/>
        </w:rPr>
        <w:t xml:space="preserve">and </w:t>
      </w:r>
      <w:r w:rsidR="008A5E3F" w:rsidRPr="004635E5">
        <w:rPr>
          <w:rFonts w:eastAsia="Batang"/>
          <w:sz w:val="22"/>
          <w:szCs w:val="22"/>
          <w:lang w:val="en-NZ" w:eastAsia="ko-KR"/>
        </w:rPr>
        <w:t xml:space="preserve">WCPO </w:t>
      </w:r>
      <w:r w:rsidRPr="004635E5">
        <w:rPr>
          <w:rFonts w:eastAsia="Batang"/>
          <w:sz w:val="22"/>
          <w:szCs w:val="22"/>
          <w:lang w:val="en-NZ" w:eastAsia="ko-KR"/>
        </w:rPr>
        <w:t xml:space="preserve">as </w:t>
      </w:r>
      <w:r w:rsidR="008A5E3F" w:rsidRPr="004635E5">
        <w:rPr>
          <w:rFonts w:eastAsia="Batang"/>
          <w:sz w:val="22"/>
          <w:szCs w:val="22"/>
          <w:lang w:val="en-NZ" w:eastAsia="ko-KR"/>
        </w:rPr>
        <w:t xml:space="preserve">was done </w:t>
      </w:r>
      <w:r w:rsidRPr="004635E5">
        <w:rPr>
          <w:rFonts w:eastAsia="Batang"/>
          <w:sz w:val="22"/>
          <w:szCs w:val="22"/>
          <w:lang w:val="en-NZ" w:eastAsia="ko-KR"/>
        </w:rPr>
        <w:t xml:space="preserve">for </w:t>
      </w:r>
      <w:r w:rsidR="00AF73D5" w:rsidRPr="004635E5">
        <w:rPr>
          <w:rFonts w:eastAsia="Batang"/>
          <w:sz w:val="22"/>
          <w:szCs w:val="22"/>
          <w:lang w:val="en-NZ" w:eastAsia="ko-KR"/>
        </w:rPr>
        <w:t>bigeye</w:t>
      </w:r>
      <w:r w:rsidR="002E538A" w:rsidRPr="004635E5">
        <w:rPr>
          <w:rFonts w:eastAsia="Batang"/>
          <w:sz w:val="22"/>
          <w:szCs w:val="22"/>
          <w:lang w:val="en-NZ" w:eastAsia="ko-KR"/>
        </w:rPr>
        <w:t>.</w:t>
      </w:r>
      <w:r w:rsidRPr="004635E5">
        <w:rPr>
          <w:rFonts w:eastAsia="Batang"/>
          <w:sz w:val="22"/>
          <w:szCs w:val="22"/>
          <w:lang w:val="en-NZ" w:eastAsia="ko-KR"/>
        </w:rPr>
        <w:t xml:space="preserve"> J</w:t>
      </w:r>
      <w:r w:rsidR="008A5E3F" w:rsidRPr="004635E5">
        <w:rPr>
          <w:rFonts w:eastAsia="Batang"/>
          <w:sz w:val="22"/>
          <w:szCs w:val="22"/>
          <w:lang w:val="en-NZ" w:eastAsia="ko-KR"/>
        </w:rPr>
        <w:t xml:space="preserve">. Farley replied that there were no plans to </w:t>
      </w:r>
      <w:r w:rsidRPr="004635E5">
        <w:rPr>
          <w:rFonts w:eastAsia="Batang"/>
          <w:sz w:val="22"/>
          <w:szCs w:val="22"/>
          <w:lang w:val="en-NZ" w:eastAsia="ko-KR"/>
        </w:rPr>
        <w:t xml:space="preserve">in </w:t>
      </w:r>
      <w:r w:rsidR="008A5E3F" w:rsidRPr="004635E5">
        <w:rPr>
          <w:rFonts w:eastAsia="Batang"/>
          <w:sz w:val="22"/>
          <w:szCs w:val="22"/>
          <w:lang w:val="en-NZ" w:eastAsia="ko-KR"/>
        </w:rPr>
        <w:t xml:space="preserve">the </w:t>
      </w:r>
      <w:r w:rsidRPr="004635E5">
        <w:rPr>
          <w:rFonts w:eastAsia="Batang"/>
          <w:sz w:val="22"/>
          <w:szCs w:val="22"/>
          <w:lang w:val="en-NZ" w:eastAsia="ko-KR"/>
        </w:rPr>
        <w:t xml:space="preserve">project to read </w:t>
      </w:r>
      <w:r w:rsidR="001B3707" w:rsidRPr="004635E5">
        <w:rPr>
          <w:rFonts w:eastAsia="Batang"/>
          <w:sz w:val="22"/>
          <w:szCs w:val="22"/>
          <w:lang w:val="en-NZ" w:eastAsia="ko-KR"/>
        </w:rPr>
        <w:t xml:space="preserve">otoliths </w:t>
      </w:r>
      <w:r w:rsidRPr="004635E5">
        <w:rPr>
          <w:rFonts w:eastAsia="Batang"/>
          <w:sz w:val="22"/>
          <w:szCs w:val="22"/>
          <w:lang w:val="en-NZ" w:eastAsia="ko-KR"/>
        </w:rPr>
        <w:t xml:space="preserve">from </w:t>
      </w:r>
      <w:r w:rsidR="00AF73D5" w:rsidRPr="004635E5">
        <w:rPr>
          <w:rFonts w:eastAsia="Batang"/>
          <w:sz w:val="22"/>
          <w:szCs w:val="22"/>
          <w:lang w:val="en-NZ" w:eastAsia="ko-KR"/>
        </w:rPr>
        <w:t xml:space="preserve">the </w:t>
      </w:r>
      <w:r w:rsidRPr="004635E5">
        <w:rPr>
          <w:rFonts w:eastAsia="Batang"/>
          <w:sz w:val="22"/>
          <w:szCs w:val="22"/>
          <w:lang w:val="en-NZ" w:eastAsia="ko-KR"/>
        </w:rPr>
        <w:t xml:space="preserve">EPO, </w:t>
      </w:r>
      <w:r w:rsidR="001B3707" w:rsidRPr="004635E5">
        <w:rPr>
          <w:rFonts w:eastAsia="Batang"/>
          <w:sz w:val="22"/>
          <w:szCs w:val="22"/>
          <w:lang w:val="en-NZ" w:eastAsia="ko-KR"/>
        </w:rPr>
        <w:t xml:space="preserve">but </w:t>
      </w:r>
      <w:r w:rsidRPr="004635E5">
        <w:rPr>
          <w:rFonts w:eastAsia="Batang"/>
          <w:sz w:val="22"/>
          <w:szCs w:val="22"/>
          <w:lang w:val="en-NZ" w:eastAsia="ko-KR"/>
        </w:rPr>
        <w:t>hope</w:t>
      </w:r>
      <w:r w:rsidR="001B3707" w:rsidRPr="004635E5">
        <w:rPr>
          <w:rFonts w:eastAsia="Batang"/>
          <w:sz w:val="22"/>
          <w:szCs w:val="22"/>
          <w:lang w:val="en-NZ" w:eastAsia="ko-KR"/>
        </w:rPr>
        <w:t>d</w:t>
      </w:r>
      <w:r w:rsidRPr="004635E5">
        <w:rPr>
          <w:rFonts w:eastAsia="Batang"/>
          <w:sz w:val="22"/>
          <w:szCs w:val="22"/>
          <w:lang w:val="en-NZ" w:eastAsia="ko-KR"/>
        </w:rPr>
        <w:t xml:space="preserve"> </w:t>
      </w:r>
      <w:r w:rsidR="001B3707" w:rsidRPr="004635E5">
        <w:rPr>
          <w:rFonts w:eastAsia="Batang"/>
          <w:sz w:val="22"/>
          <w:szCs w:val="22"/>
          <w:lang w:val="en-NZ" w:eastAsia="ko-KR"/>
        </w:rPr>
        <w:t xml:space="preserve">they could </w:t>
      </w:r>
      <w:r w:rsidRPr="004635E5">
        <w:rPr>
          <w:rFonts w:eastAsia="Batang"/>
          <w:sz w:val="22"/>
          <w:szCs w:val="22"/>
          <w:lang w:val="en-NZ" w:eastAsia="ko-KR"/>
        </w:rPr>
        <w:t xml:space="preserve">compare </w:t>
      </w:r>
      <w:r w:rsidR="001B3707" w:rsidRPr="004635E5">
        <w:rPr>
          <w:rFonts w:eastAsia="Batang"/>
          <w:sz w:val="22"/>
          <w:szCs w:val="22"/>
          <w:lang w:val="en-NZ" w:eastAsia="ko-KR"/>
        </w:rPr>
        <w:t xml:space="preserve">the </w:t>
      </w:r>
      <w:r w:rsidRPr="004635E5">
        <w:rPr>
          <w:rFonts w:eastAsia="Batang"/>
          <w:sz w:val="22"/>
          <w:szCs w:val="22"/>
          <w:lang w:val="en-NZ" w:eastAsia="ko-KR"/>
        </w:rPr>
        <w:t>metho</w:t>
      </w:r>
      <w:r w:rsidR="001B3707" w:rsidRPr="004635E5">
        <w:rPr>
          <w:rFonts w:eastAsia="Batang"/>
          <w:sz w:val="22"/>
          <w:szCs w:val="22"/>
          <w:lang w:val="en-NZ" w:eastAsia="ko-KR"/>
        </w:rPr>
        <w:t>ds</w:t>
      </w:r>
      <w:r w:rsidRPr="004635E5">
        <w:rPr>
          <w:rFonts w:eastAsia="Batang"/>
          <w:sz w:val="22"/>
          <w:szCs w:val="22"/>
          <w:lang w:val="en-NZ" w:eastAsia="ko-KR"/>
        </w:rPr>
        <w:t xml:space="preserve"> in the </w:t>
      </w:r>
      <w:r w:rsidR="008A61C9" w:rsidRPr="004635E5">
        <w:rPr>
          <w:rFonts w:eastAsia="Batang"/>
          <w:sz w:val="22"/>
          <w:szCs w:val="22"/>
          <w:lang w:val="en-NZ" w:eastAsia="ko-KR"/>
        </w:rPr>
        <w:t xml:space="preserve">inter-lab aging </w:t>
      </w:r>
      <w:r w:rsidRPr="004635E5">
        <w:rPr>
          <w:rFonts w:eastAsia="Batang"/>
          <w:sz w:val="22"/>
          <w:szCs w:val="22"/>
          <w:lang w:val="en-NZ" w:eastAsia="ko-KR"/>
        </w:rPr>
        <w:t>w</w:t>
      </w:r>
      <w:r w:rsidR="001B3707" w:rsidRPr="004635E5">
        <w:rPr>
          <w:rFonts w:eastAsia="Batang"/>
          <w:sz w:val="22"/>
          <w:szCs w:val="22"/>
          <w:lang w:val="en-NZ" w:eastAsia="ko-KR"/>
        </w:rPr>
        <w:t>orkshop</w:t>
      </w:r>
      <w:r w:rsidRPr="004635E5">
        <w:rPr>
          <w:rFonts w:eastAsia="Batang"/>
          <w:sz w:val="22"/>
          <w:szCs w:val="22"/>
          <w:lang w:val="en-NZ" w:eastAsia="ko-KR"/>
        </w:rPr>
        <w:t xml:space="preserve">. </w:t>
      </w:r>
    </w:p>
    <w:p w14:paraId="2CE48052" w14:textId="77777777" w:rsidR="00B26471" w:rsidRPr="004635E5" w:rsidRDefault="00B26471" w:rsidP="006633A8">
      <w:pPr>
        <w:autoSpaceDE w:val="0"/>
        <w:autoSpaceDN w:val="0"/>
        <w:adjustRightInd w:val="0"/>
        <w:snapToGrid w:val="0"/>
        <w:jc w:val="both"/>
        <w:rPr>
          <w:rFonts w:eastAsia="Batang"/>
          <w:sz w:val="22"/>
          <w:szCs w:val="22"/>
          <w:lang w:eastAsia="ko-KR"/>
        </w:rPr>
      </w:pPr>
    </w:p>
    <w:p w14:paraId="551BA653" w14:textId="77777777" w:rsidR="00104CEF" w:rsidRPr="004635E5" w:rsidRDefault="00F73262" w:rsidP="00E7671F">
      <w:pPr>
        <w:pStyle w:val="SCa"/>
        <w:tabs>
          <w:tab w:val="clear" w:pos="1080"/>
        </w:tabs>
        <w:spacing w:after="0"/>
        <w:ind w:left="0"/>
        <w:rPr>
          <w:lang w:val="en-NZ"/>
        </w:rPr>
      </w:pPr>
      <w:r w:rsidRPr="004635E5">
        <w:t>b.</w:t>
      </w:r>
      <w:r w:rsidRPr="004635E5">
        <w:tab/>
      </w:r>
      <w:r w:rsidR="00104CEF" w:rsidRPr="004635E5">
        <w:t>Indicator analysis</w:t>
      </w:r>
      <w:r w:rsidR="00104CEF" w:rsidRPr="004635E5">
        <w:rPr>
          <w:lang w:val="en-NZ"/>
        </w:rPr>
        <w:t xml:space="preserve"> </w:t>
      </w:r>
    </w:p>
    <w:p w14:paraId="20C8A482" w14:textId="77777777" w:rsidR="00B26471" w:rsidRPr="004635E5" w:rsidRDefault="00B26471" w:rsidP="006633A8">
      <w:pPr>
        <w:pStyle w:val="SCa"/>
        <w:spacing w:after="0"/>
      </w:pPr>
    </w:p>
    <w:p w14:paraId="4C5BC759" w14:textId="77777777" w:rsidR="00463063" w:rsidRPr="004635E5" w:rsidRDefault="00AF73D5"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S.</w:t>
      </w:r>
      <w:r w:rsidR="00A96A03" w:rsidRPr="004635E5">
        <w:rPr>
          <w:sz w:val="22"/>
          <w:szCs w:val="22"/>
          <w:lang w:val="en-AU"/>
        </w:rPr>
        <w:t xml:space="preserve"> Brouwer (SPC) presented </w:t>
      </w:r>
      <w:r w:rsidR="00A96A03" w:rsidRPr="004635E5">
        <w:rPr>
          <w:bCs/>
          <w:sz w:val="22"/>
          <w:szCs w:val="22"/>
          <w:lang w:val="en-AU"/>
        </w:rPr>
        <w:t>SC14-SA-WP-02</w:t>
      </w:r>
      <w:r w:rsidR="00A96A03" w:rsidRPr="004635E5">
        <w:rPr>
          <w:sz w:val="22"/>
          <w:szCs w:val="22"/>
          <w:lang w:val="en-AU"/>
        </w:rPr>
        <w:t xml:space="preserve"> </w:t>
      </w:r>
      <w:r w:rsidR="00A96A03" w:rsidRPr="004635E5">
        <w:rPr>
          <w:i/>
          <w:sz w:val="22"/>
          <w:szCs w:val="22"/>
          <w:lang w:val="en-AU"/>
        </w:rPr>
        <w:t>A compendium of fisheries indicators for tuna stocks</w:t>
      </w:r>
      <w:r w:rsidR="00A96A03" w:rsidRPr="004635E5">
        <w:rPr>
          <w:sz w:val="22"/>
          <w:szCs w:val="22"/>
          <w:lang w:val="en-AU"/>
        </w:rPr>
        <w:t>, which provided empirical information on recent patterns in fisheries. While the paper provided indicators for four tuna species (bigeye, skipjack, yellowfin and south Pacific albacore) the presentation concentrated on the indicators for yellowfin only. The indicators included: total catch by gear, nominal CPUE trends, spatial distribution of catch and associated trends, size composition of the catch and trends in average size</w:t>
      </w:r>
      <w:r w:rsidR="00A16680" w:rsidRPr="004635E5">
        <w:rPr>
          <w:sz w:val="22"/>
          <w:szCs w:val="22"/>
          <w:lang w:val="en-AU"/>
        </w:rPr>
        <w:t xml:space="preserve">. </w:t>
      </w:r>
      <w:r w:rsidR="00A96A03" w:rsidRPr="004635E5">
        <w:rPr>
          <w:sz w:val="22"/>
          <w:szCs w:val="22"/>
          <w:lang w:val="en-AU"/>
        </w:rPr>
        <w:t xml:space="preserve">Stock projections were performed based upon the actual fishing levels by fleet in 2015 to 2019 based upon the assumption that levels of effort or catch would remain constant at 2015 levels. The yellowfin stock was initially projected to decline as recent estimated recruitments move through the stock, and then </w:t>
      </w:r>
      <w:r w:rsidR="00A96A03" w:rsidRPr="004635E5">
        <w:rPr>
          <w:sz w:val="22"/>
          <w:szCs w:val="22"/>
          <w:lang w:val="en-AU" w:eastAsia="ko-KR"/>
        </w:rPr>
        <w:t xml:space="preserve">to </w:t>
      </w:r>
      <w:r w:rsidR="00A96A03" w:rsidRPr="004635E5">
        <w:rPr>
          <w:sz w:val="22"/>
          <w:szCs w:val="22"/>
          <w:lang w:val="en-AU"/>
        </w:rPr>
        <w:t>recover in the longer term. Median F</w:t>
      </w:r>
      <w:r w:rsidR="00A96A03" w:rsidRPr="004635E5">
        <w:rPr>
          <w:sz w:val="22"/>
          <w:szCs w:val="22"/>
          <w:vertAlign w:val="subscript"/>
          <w:lang w:val="en-AU"/>
        </w:rPr>
        <w:t>2019</w:t>
      </w:r>
      <w:r w:rsidR="00A96A03" w:rsidRPr="004635E5">
        <w:rPr>
          <w:sz w:val="22"/>
          <w:szCs w:val="22"/>
          <w:lang w:val="en-AU"/>
        </w:rPr>
        <w:t>/F</w:t>
      </w:r>
      <w:r w:rsidR="00A96A03" w:rsidRPr="004635E5">
        <w:rPr>
          <w:sz w:val="22"/>
          <w:szCs w:val="22"/>
          <w:vertAlign w:val="subscript"/>
          <w:lang w:val="en-AU"/>
        </w:rPr>
        <w:t>MSY</w:t>
      </w:r>
      <w:r w:rsidR="00A96A03" w:rsidRPr="004635E5">
        <w:rPr>
          <w:sz w:val="22"/>
          <w:szCs w:val="22"/>
          <w:lang w:val="en-AU"/>
        </w:rPr>
        <w:t xml:space="preserve"> = 0.63; median SB</w:t>
      </w:r>
      <w:r w:rsidR="00A96A03" w:rsidRPr="004635E5">
        <w:rPr>
          <w:sz w:val="22"/>
          <w:szCs w:val="22"/>
          <w:vertAlign w:val="subscript"/>
          <w:lang w:val="en-AU"/>
        </w:rPr>
        <w:t>2019</w:t>
      </w:r>
      <w:r w:rsidR="00A96A03" w:rsidRPr="004635E5">
        <w:rPr>
          <w:sz w:val="22"/>
          <w:szCs w:val="22"/>
          <w:lang w:val="en-AU"/>
        </w:rPr>
        <w:t>/SB</w:t>
      </w:r>
      <w:r w:rsidR="00A96A03" w:rsidRPr="004635E5">
        <w:rPr>
          <w:sz w:val="22"/>
          <w:szCs w:val="22"/>
          <w:vertAlign w:val="subscript"/>
          <w:lang w:val="en-AU"/>
        </w:rPr>
        <w:t>F=0</w:t>
      </w:r>
      <w:r w:rsidR="00A96A03" w:rsidRPr="004635E5">
        <w:rPr>
          <w:sz w:val="22"/>
          <w:szCs w:val="22"/>
          <w:lang w:val="en-AU"/>
        </w:rPr>
        <w:t xml:space="preserve"> = 0.37.</w:t>
      </w:r>
      <w:r w:rsidR="002E538A" w:rsidRPr="004635E5">
        <w:rPr>
          <w:rFonts w:eastAsia="Batang"/>
          <w:sz w:val="22"/>
          <w:szCs w:val="22"/>
          <w:lang w:val="en-NZ" w:eastAsia="ko-KR"/>
        </w:rPr>
        <w:t xml:space="preserve"> </w:t>
      </w:r>
    </w:p>
    <w:p w14:paraId="77FB7D0B" w14:textId="77777777" w:rsidR="00B26471" w:rsidRPr="004635E5" w:rsidRDefault="00B26471" w:rsidP="006633A8">
      <w:pPr>
        <w:autoSpaceDE w:val="0"/>
        <w:autoSpaceDN w:val="0"/>
        <w:adjustRightInd w:val="0"/>
        <w:snapToGrid w:val="0"/>
        <w:jc w:val="both"/>
        <w:rPr>
          <w:rFonts w:eastAsia="Batang"/>
          <w:sz w:val="22"/>
          <w:szCs w:val="22"/>
          <w:lang w:val="en-NZ" w:eastAsia="ko-KR"/>
        </w:rPr>
      </w:pPr>
    </w:p>
    <w:p w14:paraId="05F8F56D" w14:textId="77777777" w:rsidR="00F73262" w:rsidRPr="004635E5" w:rsidRDefault="00DB4D07" w:rsidP="00580EA4">
      <w:pPr>
        <w:pStyle w:val="SC3"/>
        <w:numPr>
          <w:ilvl w:val="3"/>
          <w:numId w:val="161"/>
        </w:numPr>
        <w:spacing w:after="0"/>
        <w:rPr>
          <w:rFonts w:eastAsia="Batang"/>
        </w:rPr>
      </w:pPr>
      <w:r w:rsidRPr="004635E5">
        <w:rPr>
          <w:rFonts w:eastAsia="Batang"/>
        </w:rPr>
        <w:t>Provision of scientific information</w:t>
      </w:r>
    </w:p>
    <w:p w14:paraId="3AEC15C3" w14:textId="77777777" w:rsidR="00B26471" w:rsidRPr="004635E5" w:rsidRDefault="00B26471" w:rsidP="006633A8">
      <w:pPr>
        <w:pStyle w:val="SC3"/>
        <w:numPr>
          <w:ilvl w:val="0"/>
          <w:numId w:val="0"/>
        </w:numPr>
        <w:spacing w:after="0"/>
        <w:ind w:left="1800"/>
        <w:rPr>
          <w:rFonts w:eastAsia="Batang"/>
        </w:rPr>
      </w:pPr>
    </w:p>
    <w:p w14:paraId="0E0BB867" w14:textId="77777777" w:rsidR="00CE5C46" w:rsidRPr="004635E5" w:rsidRDefault="00F73262" w:rsidP="00E7671F">
      <w:pPr>
        <w:pStyle w:val="SCa"/>
        <w:tabs>
          <w:tab w:val="clear" w:pos="1080"/>
        </w:tabs>
        <w:spacing w:after="0"/>
        <w:ind w:left="0"/>
      </w:pPr>
      <w:r w:rsidRPr="004635E5">
        <w:t>a.</w:t>
      </w:r>
      <w:r w:rsidRPr="004635E5">
        <w:tab/>
      </w:r>
      <w:r w:rsidR="00CE5C46" w:rsidRPr="004635E5">
        <w:t xml:space="preserve">Stock </w:t>
      </w:r>
      <w:r w:rsidRPr="004635E5">
        <w:t>s</w:t>
      </w:r>
      <w:r w:rsidR="00CE5C46" w:rsidRPr="004635E5">
        <w:t>tatus and trends</w:t>
      </w:r>
    </w:p>
    <w:p w14:paraId="72AE03BC" w14:textId="77777777" w:rsidR="0001610C" w:rsidRPr="004635E5" w:rsidRDefault="0001610C" w:rsidP="006633A8">
      <w:pPr>
        <w:pStyle w:val="SCa"/>
        <w:spacing w:after="0"/>
      </w:pPr>
    </w:p>
    <w:p w14:paraId="18D2259B" w14:textId="77777777" w:rsidR="00CE5C46" w:rsidRPr="004635E5" w:rsidRDefault="00CE5C46" w:rsidP="006633A8">
      <w:pPr>
        <w:pStyle w:val="WCPFC"/>
        <w:adjustRightInd w:val="0"/>
        <w:spacing w:after="0"/>
        <w:ind w:left="0" w:firstLine="0"/>
        <w:rPr>
          <w:rFonts w:cs="Times New Roman"/>
          <w:b/>
        </w:rPr>
      </w:pPr>
      <w:r w:rsidRPr="004635E5">
        <w:rPr>
          <w:rFonts w:cs="Times New Roman"/>
          <w:b/>
        </w:rPr>
        <w:t xml:space="preserve">SC14 noted that no stock assessment was conducted for WCPO yellowfin tuna in 2018. Therefore, the stock status description from SC13 is still current. For further information on the stock status and trends from SC13, please see </w:t>
      </w:r>
      <w:hyperlink r:id="rId86" w:history="1">
        <w:r w:rsidR="002D074D" w:rsidRPr="004635E5">
          <w:rPr>
            <w:rStyle w:val="Hyperlink"/>
            <w:rFonts w:cs="Times New Roman"/>
            <w:b/>
          </w:rPr>
          <w:t>https://www.wcpfc.int/node/29904</w:t>
        </w:r>
      </w:hyperlink>
      <w:r w:rsidR="001F3FF4">
        <w:rPr>
          <w:rFonts w:cs="Times New Roman"/>
          <w:b/>
          <w:lang w:eastAsia="ko-KR"/>
        </w:rPr>
        <w:t xml:space="preserve"> </w:t>
      </w:r>
    </w:p>
    <w:p w14:paraId="50F96AC6" w14:textId="77777777" w:rsidR="00CE5C46" w:rsidRPr="004635E5" w:rsidRDefault="00CE5C46" w:rsidP="006633A8">
      <w:pPr>
        <w:pStyle w:val="WCPFC"/>
        <w:numPr>
          <w:ilvl w:val="0"/>
          <w:numId w:val="0"/>
        </w:numPr>
        <w:adjustRightInd w:val="0"/>
        <w:spacing w:after="0"/>
        <w:rPr>
          <w:rFonts w:cs="Times New Roman"/>
          <w:b/>
        </w:rPr>
      </w:pPr>
    </w:p>
    <w:p w14:paraId="0B820201" w14:textId="77777777" w:rsidR="00CE5C46" w:rsidRPr="004635E5" w:rsidRDefault="00CE5C46" w:rsidP="006633A8">
      <w:pPr>
        <w:pStyle w:val="WCPFC"/>
        <w:adjustRightInd w:val="0"/>
        <w:spacing w:after="0"/>
        <w:ind w:left="0" w:firstLine="0"/>
        <w:rPr>
          <w:rFonts w:cs="Times New Roman"/>
          <w:b/>
        </w:rPr>
      </w:pPr>
      <w:r w:rsidRPr="004635E5">
        <w:rPr>
          <w:rFonts w:cs="Times New Roman"/>
          <w:b/>
        </w:rPr>
        <w:t>SC14 noted that the total yellowfin catch in 2017 was a record 670,890 mt, a 4% increase from 2016 and a</w:t>
      </w:r>
      <w:r w:rsidRPr="004635E5">
        <w:rPr>
          <w:rFonts w:cs="Times New Roman"/>
          <w:b/>
          <w:lang w:eastAsia="ja-JP"/>
        </w:rPr>
        <w:t xml:space="preserve"> </w:t>
      </w:r>
      <w:r w:rsidRPr="004635E5">
        <w:rPr>
          <w:rFonts w:cs="Times New Roman"/>
          <w:b/>
        </w:rPr>
        <w:t xml:space="preserve">12% increase from the average 2012-2016. </w:t>
      </w:r>
    </w:p>
    <w:p w14:paraId="15938C33" w14:textId="77777777" w:rsidR="007B0BB3" w:rsidRPr="004635E5" w:rsidRDefault="007B0BB3" w:rsidP="006633A8">
      <w:pPr>
        <w:pStyle w:val="WCPFC"/>
        <w:numPr>
          <w:ilvl w:val="0"/>
          <w:numId w:val="0"/>
        </w:numPr>
        <w:adjustRightInd w:val="0"/>
        <w:spacing w:after="0"/>
        <w:rPr>
          <w:rFonts w:cs="Times New Roman"/>
          <w:b/>
        </w:rPr>
      </w:pPr>
    </w:p>
    <w:p w14:paraId="58763DF8" w14:textId="77777777" w:rsidR="00CE5C46" w:rsidRPr="004635E5" w:rsidRDefault="00CE5C46" w:rsidP="006633A8">
      <w:pPr>
        <w:pStyle w:val="WCPFC"/>
        <w:adjustRightInd w:val="0"/>
        <w:spacing w:after="0"/>
        <w:ind w:left="0" w:firstLine="0"/>
        <w:rPr>
          <w:rFonts w:cs="Times New Roman"/>
          <w:b/>
        </w:rPr>
      </w:pPr>
      <w:r w:rsidRPr="004635E5">
        <w:rPr>
          <w:rFonts w:cs="Times New Roman"/>
          <w:b/>
        </w:rPr>
        <w:t>Purse seine catch in 2017 (472,279</w:t>
      </w:r>
      <w:r w:rsidR="00AF73D5" w:rsidRPr="004635E5">
        <w:rPr>
          <w:rFonts w:cs="Times New Roman"/>
          <w:b/>
        </w:rPr>
        <w:t xml:space="preserve"> </w:t>
      </w:r>
      <w:r w:rsidRPr="004635E5">
        <w:rPr>
          <w:rFonts w:cs="Times New Roman"/>
          <w:b/>
        </w:rPr>
        <w:t>mt) was a 22% increase from 2016 and a 33% increase</w:t>
      </w:r>
      <w:r w:rsidRPr="004635E5">
        <w:rPr>
          <w:rFonts w:cs="Times New Roman"/>
          <w:b/>
          <w:lang w:eastAsia="ja-JP"/>
        </w:rPr>
        <w:t xml:space="preserve"> </w:t>
      </w:r>
      <w:r w:rsidRPr="004635E5">
        <w:rPr>
          <w:rFonts w:cs="Times New Roman"/>
          <w:b/>
        </w:rPr>
        <w:t>from the 2012-2016 average. Longline catch in 2017 (83,399</w:t>
      </w:r>
      <w:r w:rsidR="00AF73D5" w:rsidRPr="004635E5">
        <w:rPr>
          <w:rFonts w:cs="Times New Roman"/>
          <w:b/>
        </w:rPr>
        <w:t xml:space="preserve"> </w:t>
      </w:r>
      <w:r w:rsidRPr="004635E5">
        <w:rPr>
          <w:rFonts w:cs="Times New Roman"/>
          <w:b/>
        </w:rPr>
        <w:t>mt)</w:t>
      </w:r>
      <w:r w:rsidRPr="004635E5">
        <w:rPr>
          <w:rFonts w:cs="Times New Roman"/>
          <w:b/>
          <w:lang w:eastAsia="ja-JP"/>
        </w:rPr>
        <w:t xml:space="preserve"> </w:t>
      </w:r>
      <w:r w:rsidRPr="004635E5">
        <w:rPr>
          <w:rFonts w:cs="Times New Roman"/>
          <w:b/>
        </w:rPr>
        <w:t>was a 6% decrease from 2016 and a 9% decrease from the 2012-2016 average. Pole and line catch (12,219</w:t>
      </w:r>
      <w:r w:rsidR="00AF73D5" w:rsidRPr="004635E5">
        <w:rPr>
          <w:rFonts w:cs="Times New Roman"/>
          <w:b/>
        </w:rPr>
        <w:t xml:space="preserve"> </w:t>
      </w:r>
      <w:r w:rsidRPr="004635E5">
        <w:rPr>
          <w:rFonts w:cs="Times New Roman"/>
          <w:b/>
        </w:rPr>
        <w:t>mt) was a 48% decrease</w:t>
      </w:r>
      <w:r w:rsidRPr="004635E5">
        <w:rPr>
          <w:rFonts w:cs="Times New Roman"/>
          <w:b/>
          <w:lang w:eastAsia="ja-JP"/>
        </w:rPr>
        <w:t xml:space="preserve"> </w:t>
      </w:r>
      <w:r w:rsidRPr="004635E5">
        <w:rPr>
          <w:rFonts w:cs="Times New Roman"/>
          <w:b/>
        </w:rPr>
        <w:t>from 2016 and a 56% decrease from the average 2012-2016 catch.</w:t>
      </w:r>
      <w:r w:rsidRPr="004635E5">
        <w:rPr>
          <w:rFonts w:cs="Times New Roman"/>
          <w:b/>
          <w:lang w:eastAsia="ja-JP"/>
        </w:rPr>
        <w:t xml:space="preserve"> </w:t>
      </w:r>
      <w:r w:rsidRPr="004635E5">
        <w:rPr>
          <w:rFonts w:cs="Times New Roman"/>
          <w:b/>
        </w:rPr>
        <w:t>Catch by other gear (102,993</w:t>
      </w:r>
      <w:r w:rsidR="00AF73D5" w:rsidRPr="004635E5">
        <w:rPr>
          <w:rFonts w:cs="Times New Roman"/>
          <w:b/>
        </w:rPr>
        <w:t xml:space="preserve"> </w:t>
      </w:r>
      <w:r w:rsidRPr="004635E5">
        <w:rPr>
          <w:rFonts w:cs="Times New Roman"/>
          <w:b/>
        </w:rPr>
        <w:t>mt) was a 28% decrease from 2016</w:t>
      </w:r>
      <w:r w:rsidRPr="004635E5">
        <w:rPr>
          <w:rFonts w:cs="Times New Roman"/>
          <w:b/>
          <w:lang w:eastAsia="ja-JP"/>
        </w:rPr>
        <w:t xml:space="preserve"> </w:t>
      </w:r>
      <w:r w:rsidRPr="004635E5">
        <w:rPr>
          <w:rFonts w:cs="Times New Roman"/>
          <w:b/>
        </w:rPr>
        <w:t xml:space="preserve">and 17% decrease from the average catch in 2012-2016. </w:t>
      </w:r>
    </w:p>
    <w:p w14:paraId="4B342AD6" w14:textId="77777777" w:rsidR="0001610C" w:rsidRPr="004635E5" w:rsidRDefault="0001610C" w:rsidP="006633A8">
      <w:pPr>
        <w:pStyle w:val="WCPFC"/>
        <w:numPr>
          <w:ilvl w:val="0"/>
          <w:numId w:val="0"/>
        </w:numPr>
        <w:adjustRightInd w:val="0"/>
        <w:spacing w:after="0"/>
        <w:rPr>
          <w:rFonts w:cs="Times New Roman"/>
          <w:b/>
        </w:rPr>
      </w:pPr>
    </w:p>
    <w:p w14:paraId="2B5C221E" w14:textId="77777777" w:rsidR="00CE5C46" w:rsidRPr="004635E5" w:rsidRDefault="00CE5C46" w:rsidP="006633A8">
      <w:pPr>
        <w:pStyle w:val="WCPFC"/>
        <w:adjustRightInd w:val="0"/>
        <w:spacing w:after="0"/>
        <w:ind w:left="0" w:firstLine="0"/>
        <w:rPr>
          <w:rFonts w:cs="Times New Roman"/>
          <w:b/>
        </w:rPr>
      </w:pPr>
      <w:r w:rsidRPr="004635E5">
        <w:rPr>
          <w:rFonts w:cs="Times New Roman"/>
          <w:b/>
        </w:rPr>
        <w:t>SC14 noted that under recent fishery conditions, the yellowfin stock was initially</w:t>
      </w:r>
      <w:r w:rsidRPr="004635E5">
        <w:rPr>
          <w:rFonts w:cs="Times New Roman"/>
          <w:b/>
          <w:lang w:eastAsia="ja-JP"/>
        </w:rPr>
        <w:t xml:space="preserve"> </w:t>
      </w:r>
      <w:r w:rsidRPr="004635E5">
        <w:rPr>
          <w:rFonts w:cs="Times New Roman"/>
          <w:b/>
        </w:rPr>
        <w:t xml:space="preserve">projected to increase as recent estimated relatively high recruitments support adult stock biomass, </w:t>
      </w:r>
      <w:r w:rsidR="00346AB8" w:rsidRPr="004635E5">
        <w:rPr>
          <w:rFonts w:cs="Times New Roman"/>
          <w:b/>
        </w:rPr>
        <w:t>and then</w:t>
      </w:r>
      <w:r w:rsidRPr="004635E5">
        <w:rPr>
          <w:rFonts w:cs="Times New Roman"/>
          <w:b/>
        </w:rPr>
        <w:t xml:space="preserve"> decline slightly. Median</w:t>
      </w:r>
      <w:r w:rsidRPr="004635E5">
        <w:rPr>
          <w:rFonts w:cs="Times New Roman"/>
          <w:b/>
          <w:lang w:eastAsia="ja-JP"/>
        </w:rPr>
        <w:t xml:space="preserve"> </w:t>
      </w:r>
      <w:r w:rsidRPr="004635E5">
        <w:rPr>
          <w:rFonts w:cs="Times New Roman"/>
          <w:b/>
        </w:rPr>
        <w:t>F</w:t>
      </w:r>
      <w:r w:rsidRPr="004635E5">
        <w:rPr>
          <w:rFonts w:cs="Times New Roman"/>
          <w:b/>
          <w:vertAlign w:val="subscript"/>
        </w:rPr>
        <w:t>2019</w:t>
      </w:r>
      <w:r w:rsidRPr="004635E5">
        <w:rPr>
          <w:rFonts w:cs="Times New Roman"/>
          <w:b/>
        </w:rPr>
        <w:t>/F</w:t>
      </w:r>
      <w:r w:rsidRPr="004635E5">
        <w:rPr>
          <w:rFonts w:cs="Times New Roman"/>
          <w:b/>
          <w:vertAlign w:val="subscript"/>
        </w:rPr>
        <w:t>MSY</w:t>
      </w:r>
      <w:r w:rsidRPr="004635E5">
        <w:rPr>
          <w:rFonts w:cs="Times New Roman"/>
          <w:b/>
        </w:rPr>
        <w:t xml:space="preserve"> = 0.63; median SB</w:t>
      </w:r>
      <w:r w:rsidRPr="004635E5">
        <w:rPr>
          <w:rFonts w:cs="Times New Roman"/>
          <w:b/>
          <w:vertAlign w:val="subscript"/>
        </w:rPr>
        <w:t>2019</w:t>
      </w:r>
      <w:r w:rsidRPr="004635E5">
        <w:rPr>
          <w:rFonts w:cs="Times New Roman"/>
          <w:b/>
        </w:rPr>
        <w:t>/SB</w:t>
      </w:r>
      <w:r w:rsidRPr="004635E5">
        <w:rPr>
          <w:rFonts w:cs="Times New Roman"/>
          <w:b/>
          <w:vertAlign w:val="subscript"/>
        </w:rPr>
        <w:t>F=0</w:t>
      </w:r>
      <w:r w:rsidRPr="004635E5">
        <w:rPr>
          <w:rFonts w:cs="Times New Roman"/>
          <w:b/>
        </w:rPr>
        <w:t xml:space="preserve"> = 0.37; median</w:t>
      </w:r>
      <w:r w:rsidRPr="004635E5">
        <w:rPr>
          <w:rFonts w:cs="Times New Roman"/>
          <w:b/>
          <w:lang w:eastAsia="ja-JP"/>
        </w:rPr>
        <w:t xml:space="preserve"> </w:t>
      </w:r>
      <w:r w:rsidRPr="004635E5">
        <w:rPr>
          <w:rFonts w:cs="Times New Roman"/>
          <w:b/>
        </w:rPr>
        <w:t>SB</w:t>
      </w:r>
      <w:r w:rsidRPr="004635E5">
        <w:rPr>
          <w:rFonts w:cs="Times New Roman"/>
          <w:b/>
          <w:vertAlign w:val="subscript"/>
        </w:rPr>
        <w:t>2019</w:t>
      </w:r>
      <w:r w:rsidRPr="004635E5">
        <w:rPr>
          <w:rFonts w:cs="Times New Roman"/>
          <w:b/>
        </w:rPr>
        <w:t>/SB</w:t>
      </w:r>
      <w:r w:rsidRPr="004635E5">
        <w:rPr>
          <w:rFonts w:cs="Times New Roman"/>
          <w:b/>
          <w:vertAlign w:val="subscript"/>
        </w:rPr>
        <w:t>MSY</w:t>
      </w:r>
      <w:r w:rsidRPr="004635E5">
        <w:rPr>
          <w:rFonts w:cs="Times New Roman"/>
          <w:b/>
        </w:rPr>
        <w:t xml:space="preserve"> = 1.51. Risk that SB</w:t>
      </w:r>
      <w:r w:rsidRPr="004635E5">
        <w:rPr>
          <w:rFonts w:cs="Times New Roman"/>
          <w:b/>
          <w:vertAlign w:val="subscript"/>
        </w:rPr>
        <w:t>2019</w:t>
      </w:r>
      <w:r w:rsidRPr="004635E5">
        <w:rPr>
          <w:rFonts w:cs="Times New Roman"/>
          <w:b/>
        </w:rPr>
        <w:t xml:space="preserve"> &lt; LRP = 6%. </w:t>
      </w:r>
    </w:p>
    <w:p w14:paraId="0895B297" w14:textId="77777777" w:rsidR="0001610C" w:rsidRPr="004635E5" w:rsidRDefault="0001610C" w:rsidP="006633A8">
      <w:pPr>
        <w:pStyle w:val="SCa"/>
        <w:spacing w:after="0"/>
      </w:pPr>
    </w:p>
    <w:p w14:paraId="71F10E97" w14:textId="77777777" w:rsidR="00CE5C46" w:rsidRPr="004635E5" w:rsidRDefault="00CE5C46" w:rsidP="00E7671F">
      <w:pPr>
        <w:pStyle w:val="SCa"/>
        <w:tabs>
          <w:tab w:val="clear" w:pos="1080"/>
        </w:tabs>
        <w:spacing w:after="0"/>
        <w:ind w:left="0"/>
      </w:pPr>
      <w:r w:rsidRPr="004635E5">
        <w:t>b.</w:t>
      </w:r>
      <w:r w:rsidRPr="004635E5">
        <w:tab/>
        <w:t>Management advice and implications</w:t>
      </w:r>
    </w:p>
    <w:p w14:paraId="47C9987D" w14:textId="77777777" w:rsidR="0001610C" w:rsidRPr="004635E5" w:rsidRDefault="0001610C" w:rsidP="006633A8">
      <w:pPr>
        <w:pStyle w:val="SCa"/>
        <w:spacing w:after="0"/>
      </w:pPr>
    </w:p>
    <w:p w14:paraId="1BEBC0F7" w14:textId="77777777" w:rsidR="00CE5C46" w:rsidRPr="004635E5" w:rsidRDefault="00CE5C46" w:rsidP="006633A8">
      <w:pPr>
        <w:pStyle w:val="WCPFC"/>
        <w:adjustRightInd w:val="0"/>
        <w:spacing w:after="0"/>
        <w:ind w:left="0" w:firstLine="0"/>
        <w:rPr>
          <w:rStyle w:val="Hyperlink"/>
          <w:rFonts w:cs="Times New Roman"/>
          <w:b/>
          <w:color w:val="auto"/>
        </w:rPr>
      </w:pPr>
      <w:r w:rsidRPr="004635E5">
        <w:rPr>
          <w:rFonts w:cs="Times New Roman"/>
          <w:b/>
          <w:bCs/>
          <w:lang w:val="en-AU"/>
        </w:rPr>
        <w:t>SC14 noted that no stock assessment has been conducted since SC13. Therefore, the advice from SC13 should be maintained to achieve the objectives set in CMM</w:t>
      </w:r>
      <w:r w:rsidR="00620AFF" w:rsidRPr="004635E5">
        <w:rPr>
          <w:rFonts w:cs="Times New Roman"/>
          <w:b/>
          <w:bCs/>
          <w:lang w:val="en-AU"/>
        </w:rPr>
        <w:t xml:space="preserve"> </w:t>
      </w:r>
      <w:r w:rsidRPr="004635E5">
        <w:rPr>
          <w:rFonts w:cs="Times New Roman"/>
          <w:b/>
          <w:bCs/>
          <w:lang w:val="en-AU"/>
        </w:rPr>
        <w:t>2017-01, pending a new assessment or other new information. For further information on the management advice and implications from SC13, please see</w:t>
      </w:r>
      <w:r w:rsidRPr="004635E5">
        <w:rPr>
          <w:rFonts w:cs="Times New Roman"/>
          <w:b/>
          <w:bCs/>
          <w:lang w:val="en-AU" w:eastAsia="ko-KR"/>
        </w:rPr>
        <w:t xml:space="preserve"> </w:t>
      </w:r>
      <w:hyperlink r:id="rId87" w:history="1">
        <w:r w:rsidR="002D074D" w:rsidRPr="004635E5">
          <w:rPr>
            <w:rStyle w:val="Hyperlink"/>
            <w:rFonts w:cs="Times New Roman"/>
            <w:b/>
          </w:rPr>
          <w:t>https://www.wcpfc.int/node/29904</w:t>
        </w:r>
      </w:hyperlink>
      <w:r w:rsidRPr="004635E5">
        <w:rPr>
          <w:rStyle w:val="Hyperlink"/>
          <w:rFonts w:cs="Times New Roman"/>
          <w:b/>
          <w:bCs/>
          <w:lang w:val="en-AU" w:eastAsia="ko-KR"/>
        </w:rPr>
        <w:t xml:space="preserve"> </w:t>
      </w:r>
    </w:p>
    <w:p w14:paraId="3E567722" w14:textId="77777777" w:rsidR="00B26471" w:rsidRPr="004635E5" w:rsidRDefault="00B26471" w:rsidP="006633A8">
      <w:pPr>
        <w:adjustRightInd w:val="0"/>
        <w:snapToGrid w:val="0"/>
        <w:rPr>
          <w:rFonts w:eastAsia="Batang"/>
          <w:b/>
          <w:sz w:val="22"/>
          <w:szCs w:val="22"/>
          <w:lang w:eastAsia="ko-KR"/>
        </w:rPr>
      </w:pPr>
      <w:r w:rsidRPr="004635E5">
        <w:rPr>
          <w:sz w:val="22"/>
          <w:szCs w:val="22"/>
        </w:rPr>
        <w:br w:type="page"/>
      </w:r>
    </w:p>
    <w:p w14:paraId="16251E0F" w14:textId="77777777" w:rsidR="00CE5C46" w:rsidRPr="004635E5" w:rsidRDefault="00104CEF" w:rsidP="00E7671F">
      <w:pPr>
        <w:pStyle w:val="SCa"/>
        <w:tabs>
          <w:tab w:val="clear" w:pos="1080"/>
        </w:tabs>
        <w:spacing w:after="0"/>
        <w:ind w:left="0"/>
      </w:pPr>
      <w:r w:rsidRPr="004635E5">
        <w:t>c.</w:t>
      </w:r>
      <w:r w:rsidRPr="004635E5">
        <w:tab/>
      </w:r>
      <w:r w:rsidR="00CE5C46" w:rsidRPr="004635E5">
        <w:t xml:space="preserve">Research </w:t>
      </w:r>
      <w:r w:rsidR="00AC425D" w:rsidRPr="004635E5">
        <w:t>r</w:t>
      </w:r>
      <w:r w:rsidR="00CE5C46" w:rsidRPr="004635E5">
        <w:t>ecommendations</w:t>
      </w:r>
    </w:p>
    <w:p w14:paraId="28FEDC99" w14:textId="77777777" w:rsidR="0001610C" w:rsidRPr="004635E5" w:rsidRDefault="0001610C" w:rsidP="006633A8">
      <w:pPr>
        <w:pStyle w:val="SCa"/>
        <w:spacing w:after="0"/>
      </w:pPr>
    </w:p>
    <w:p w14:paraId="5461A76E" w14:textId="77777777" w:rsidR="00CE5C46" w:rsidRPr="004635E5" w:rsidRDefault="00CE5C46" w:rsidP="006633A8">
      <w:pPr>
        <w:pStyle w:val="WCPFC"/>
        <w:adjustRightInd w:val="0"/>
        <w:spacing w:after="0"/>
        <w:ind w:left="0" w:firstLine="0"/>
        <w:rPr>
          <w:rFonts w:cs="Times New Roman"/>
          <w:b/>
          <w:bCs/>
          <w:lang w:val="en-AU"/>
        </w:rPr>
      </w:pPr>
      <w:r w:rsidRPr="004635E5">
        <w:rPr>
          <w:rFonts w:cs="Times New Roman"/>
          <w:b/>
          <w:bCs/>
          <w:lang w:val="en-AU"/>
        </w:rPr>
        <w:t xml:space="preserve">SC14 reviewed the work on age and growth of yellowfin tuna presented in </w:t>
      </w:r>
      <w:r w:rsidR="00620AFF" w:rsidRPr="004635E5">
        <w:rPr>
          <w:rFonts w:cs="Times New Roman"/>
          <w:b/>
          <w:bCs/>
          <w:lang w:val="en-AU"/>
        </w:rPr>
        <w:t>SC14-</w:t>
      </w:r>
      <w:r w:rsidRPr="004635E5">
        <w:rPr>
          <w:rFonts w:cs="Times New Roman"/>
          <w:b/>
          <w:bCs/>
          <w:lang w:val="en-AU"/>
        </w:rPr>
        <w:t>SA-WP-13 and noted that the final results of this projected will be presented to SC15. SC14 encouraged</w:t>
      </w:r>
      <w:r w:rsidR="001F3FF4">
        <w:rPr>
          <w:rFonts w:cs="Times New Roman"/>
          <w:b/>
          <w:bCs/>
          <w:lang w:val="en-AU"/>
        </w:rPr>
        <w:t xml:space="preserve"> </w:t>
      </w:r>
      <w:r w:rsidRPr="004635E5">
        <w:rPr>
          <w:rFonts w:cs="Times New Roman"/>
          <w:b/>
          <w:bCs/>
          <w:lang w:val="en-AU"/>
        </w:rPr>
        <w:t xml:space="preserve">analysis of the same otoliths by different laboratories, to build confidence in ageing estimates through inter laboratory daily-annual age workshop. </w:t>
      </w:r>
    </w:p>
    <w:p w14:paraId="41611C99" w14:textId="77777777" w:rsidR="00B26471" w:rsidRPr="004635E5" w:rsidRDefault="00B26471" w:rsidP="006633A8">
      <w:pPr>
        <w:pStyle w:val="WCPFC"/>
        <w:numPr>
          <w:ilvl w:val="0"/>
          <w:numId w:val="0"/>
        </w:numPr>
        <w:adjustRightInd w:val="0"/>
        <w:spacing w:after="0"/>
        <w:rPr>
          <w:rFonts w:cs="Times New Roman"/>
          <w:b/>
          <w:bCs/>
          <w:lang w:val="en-AU"/>
        </w:rPr>
      </w:pPr>
    </w:p>
    <w:p w14:paraId="4592FA2A" w14:textId="77777777" w:rsidR="0043289D" w:rsidRPr="004635E5" w:rsidRDefault="00DB4D07" w:rsidP="00580EA4">
      <w:pPr>
        <w:pStyle w:val="SC3"/>
        <w:numPr>
          <w:ilvl w:val="2"/>
          <w:numId w:val="161"/>
        </w:numPr>
        <w:spacing w:after="0"/>
        <w:rPr>
          <w:rFonts w:eastAsia="Batang"/>
          <w:lang w:eastAsia="ko-KR"/>
        </w:rPr>
      </w:pPr>
      <w:r w:rsidRPr="004635E5">
        <w:rPr>
          <w:rFonts w:eastAsia="Batang"/>
          <w:lang w:eastAsia="ko-KR"/>
        </w:rPr>
        <w:t>WCPO skipjack tuna</w:t>
      </w:r>
      <w:r w:rsidR="0019638E" w:rsidRPr="004635E5">
        <w:rPr>
          <w:rFonts w:eastAsia="Batang"/>
          <w:lang w:eastAsia="ko-KR"/>
        </w:rPr>
        <w:t xml:space="preserve"> (</w:t>
      </w:r>
      <w:r w:rsidR="0019638E" w:rsidRPr="004635E5">
        <w:rPr>
          <w:rFonts w:eastAsia="Batang"/>
          <w:i/>
          <w:lang w:eastAsia="ko-KR"/>
        </w:rPr>
        <w:t>Katsuwonus pelamis</w:t>
      </w:r>
      <w:r w:rsidR="0019638E" w:rsidRPr="004635E5">
        <w:rPr>
          <w:rFonts w:eastAsia="Batang"/>
          <w:lang w:eastAsia="ko-KR"/>
        </w:rPr>
        <w:t>)</w:t>
      </w:r>
    </w:p>
    <w:p w14:paraId="3293FC45" w14:textId="77777777" w:rsidR="00B26471" w:rsidRPr="004635E5" w:rsidRDefault="00B26471" w:rsidP="006633A8">
      <w:pPr>
        <w:pStyle w:val="SC3"/>
        <w:numPr>
          <w:ilvl w:val="0"/>
          <w:numId w:val="0"/>
        </w:numPr>
        <w:spacing w:after="0"/>
        <w:ind w:left="1440"/>
        <w:rPr>
          <w:rFonts w:eastAsia="Batang"/>
          <w:lang w:eastAsia="ko-KR"/>
        </w:rPr>
      </w:pPr>
    </w:p>
    <w:p w14:paraId="7241A2D4" w14:textId="77777777" w:rsidR="00104CEF" w:rsidRPr="004635E5" w:rsidRDefault="00104CEF" w:rsidP="00580EA4">
      <w:pPr>
        <w:pStyle w:val="SC3"/>
        <w:numPr>
          <w:ilvl w:val="3"/>
          <w:numId w:val="161"/>
        </w:numPr>
        <w:spacing w:after="0"/>
        <w:rPr>
          <w:rFonts w:eastAsia="Batang"/>
        </w:rPr>
      </w:pPr>
      <w:r w:rsidRPr="004635E5">
        <w:rPr>
          <w:rFonts w:eastAsia="Batang"/>
        </w:rPr>
        <w:t>Research and information</w:t>
      </w:r>
    </w:p>
    <w:p w14:paraId="5B108EF5" w14:textId="77777777" w:rsidR="00B26471" w:rsidRPr="004635E5" w:rsidRDefault="00B26471" w:rsidP="006633A8">
      <w:pPr>
        <w:pStyle w:val="SC3"/>
        <w:numPr>
          <w:ilvl w:val="0"/>
          <w:numId w:val="0"/>
        </w:numPr>
        <w:spacing w:after="0"/>
        <w:ind w:left="1800"/>
        <w:rPr>
          <w:rFonts w:eastAsia="Batang"/>
        </w:rPr>
      </w:pPr>
    </w:p>
    <w:p w14:paraId="2549353B" w14:textId="77777777" w:rsidR="00B26471" w:rsidRPr="004635E5" w:rsidRDefault="00DD1167" w:rsidP="00E7671F">
      <w:pPr>
        <w:pStyle w:val="SCa"/>
        <w:tabs>
          <w:tab w:val="clear" w:pos="1080"/>
        </w:tabs>
        <w:spacing w:after="0"/>
        <w:ind w:left="0"/>
      </w:pPr>
      <w:r w:rsidRPr="004635E5">
        <w:t>a.</w:t>
      </w:r>
      <w:r w:rsidRPr="004635E5">
        <w:tab/>
      </w:r>
      <w:r w:rsidR="00A16B53" w:rsidRPr="004635E5">
        <w:t>Update of skipjack tuna stock assessment information</w:t>
      </w:r>
    </w:p>
    <w:p w14:paraId="048BE550" w14:textId="77777777" w:rsidR="00B26471" w:rsidRPr="004635E5" w:rsidRDefault="00B26471" w:rsidP="006633A8">
      <w:pPr>
        <w:pStyle w:val="SCa"/>
        <w:spacing w:after="0"/>
      </w:pPr>
    </w:p>
    <w:p w14:paraId="05E8EF7B" w14:textId="77777777" w:rsidR="00A96A03" w:rsidRPr="004635E5" w:rsidRDefault="0026234A" w:rsidP="00580EA4">
      <w:pPr>
        <w:numPr>
          <w:ilvl w:val="0"/>
          <w:numId w:val="18"/>
        </w:numPr>
        <w:autoSpaceDE w:val="0"/>
        <w:autoSpaceDN w:val="0"/>
        <w:adjustRightInd w:val="0"/>
        <w:snapToGrid w:val="0"/>
        <w:ind w:left="0" w:firstLine="0"/>
        <w:jc w:val="both"/>
        <w:rPr>
          <w:sz w:val="22"/>
          <w:szCs w:val="22"/>
          <w:lang w:val="en-AU"/>
        </w:rPr>
      </w:pPr>
      <w:r w:rsidRPr="004635E5">
        <w:rPr>
          <w:rFonts w:eastAsia="Batang"/>
          <w:sz w:val="22"/>
          <w:szCs w:val="22"/>
          <w:lang w:val="en-NZ" w:eastAsia="ko-KR"/>
        </w:rPr>
        <w:t>S.</w:t>
      </w:r>
      <w:r w:rsidR="00A96A03" w:rsidRPr="004635E5">
        <w:rPr>
          <w:sz w:val="22"/>
          <w:szCs w:val="22"/>
          <w:lang w:val="en-AU"/>
        </w:rPr>
        <w:t xml:space="preserve"> Brouwer (SPC) presented </w:t>
      </w:r>
      <w:r w:rsidR="00A96A03" w:rsidRPr="004635E5">
        <w:rPr>
          <w:bCs/>
          <w:sz w:val="22"/>
          <w:szCs w:val="22"/>
          <w:lang w:val="en-AU"/>
        </w:rPr>
        <w:t>SC14-SA-WP-02</w:t>
      </w:r>
      <w:r w:rsidR="00A96A03" w:rsidRPr="004635E5">
        <w:rPr>
          <w:sz w:val="22"/>
          <w:szCs w:val="22"/>
          <w:lang w:val="en-AU"/>
        </w:rPr>
        <w:t xml:space="preserve"> </w:t>
      </w:r>
      <w:r w:rsidR="00A96A03" w:rsidRPr="004635E5">
        <w:rPr>
          <w:i/>
          <w:sz w:val="22"/>
          <w:szCs w:val="22"/>
          <w:lang w:val="en-AU"/>
        </w:rPr>
        <w:t>A compendium of fisheries indicators for tuna stocks</w:t>
      </w:r>
      <w:r w:rsidR="00A96A03" w:rsidRPr="004635E5">
        <w:rPr>
          <w:sz w:val="22"/>
          <w:szCs w:val="22"/>
          <w:lang w:val="en-AU"/>
        </w:rPr>
        <w:t>, which provided empirical information on recent patterns in fisheries. While the paper provided indicators for four tuna species (bigeye, skipjack, yellowfin and south Pacific albacore) the presentation concentrated on the indicators for skipjack only. The indicators included: total catch by gear, nominal CPUE trends, spatial distribution of catch and associated trends, size composition of the catch and trends in average size</w:t>
      </w:r>
      <w:r w:rsidR="00A16680" w:rsidRPr="004635E5">
        <w:rPr>
          <w:sz w:val="22"/>
          <w:szCs w:val="22"/>
          <w:lang w:val="en-AU"/>
        </w:rPr>
        <w:t xml:space="preserve">. </w:t>
      </w:r>
      <w:r w:rsidR="00A96A03" w:rsidRPr="004635E5">
        <w:rPr>
          <w:sz w:val="22"/>
          <w:szCs w:val="22"/>
          <w:lang w:val="en-AU"/>
        </w:rPr>
        <w:t xml:space="preserve">Stock projections were performed based upon the actual fishing levels by fleet in 2015 to 2019 based upon the assumption that levels of effort or catch would remain constant at 2015 levels. The skipjack stock was initially projected to decline as recent estimated recruitments move through the stock, and then </w:t>
      </w:r>
      <w:r w:rsidR="00A96A03" w:rsidRPr="004635E5">
        <w:rPr>
          <w:sz w:val="22"/>
          <w:szCs w:val="22"/>
          <w:lang w:val="en-AU" w:eastAsia="ko-KR"/>
        </w:rPr>
        <w:t xml:space="preserve">to </w:t>
      </w:r>
      <w:r w:rsidR="00A96A03" w:rsidRPr="004635E5">
        <w:rPr>
          <w:sz w:val="22"/>
          <w:szCs w:val="22"/>
          <w:lang w:val="en-AU"/>
        </w:rPr>
        <w:t>recover in the longer term. Median F</w:t>
      </w:r>
      <w:r w:rsidR="00A96A03" w:rsidRPr="004635E5">
        <w:rPr>
          <w:sz w:val="22"/>
          <w:szCs w:val="22"/>
          <w:vertAlign w:val="subscript"/>
          <w:lang w:val="en-AU"/>
        </w:rPr>
        <w:t>2019</w:t>
      </w:r>
      <w:r w:rsidR="00A96A03" w:rsidRPr="004635E5">
        <w:rPr>
          <w:sz w:val="22"/>
          <w:szCs w:val="22"/>
          <w:lang w:val="en-AU"/>
        </w:rPr>
        <w:t>/F</w:t>
      </w:r>
      <w:r w:rsidR="00A96A03" w:rsidRPr="004635E5">
        <w:rPr>
          <w:sz w:val="22"/>
          <w:szCs w:val="22"/>
          <w:vertAlign w:val="subscript"/>
          <w:lang w:val="en-AU"/>
        </w:rPr>
        <w:t>MSY</w:t>
      </w:r>
      <w:r w:rsidR="00A96A03" w:rsidRPr="004635E5">
        <w:rPr>
          <w:sz w:val="22"/>
          <w:szCs w:val="22"/>
          <w:lang w:val="en-AU"/>
        </w:rPr>
        <w:t xml:space="preserve"> = 0.47; median SB</w:t>
      </w:r>
      <w:r w:rsidR="00A96A03" w:rsidRPr="004635E5">
        <w:rPr>
          <w:sz w:val="22"/>
          <w:szCs w:val="22"/>
          <w:vertAlign w:val="subscript"/>
          <w:lang w:val="en-AU"/>
        </w:rPr>
        <w:t>2019</w:t>
      </w:r>
      <w:r w:rsidR="00A96A03" w:rsidRPr="004635E5">
        <w:rPr>
          <w:sz w:val="22"/>
          <w:szCs w:val="22"/>
          <w:lang w:val="en-AU"/>
        </w:rPr>
        <w:t>/SB</w:t>
      </w:r>
      <w:r w:rsidR="00A96A03" w:rsidRPr="004635E5">
        <w:rPr>
          <w:sz w:val="22"/>
          <w:szCs w:val="22"/>
          <w:vertAlign w:val="subscript"/>
          <w:lang w:val="en-AU"/>
        </w:rPr>
        <w:t>F=0</w:t>
      </w:r>
      <w:r w:rsidR="00A96A03" w:rsidRPr="004635E5">
        <w:rPr>
          <w:sz w:val="22"/>
          <w:szCs w:val="22"/>
          <w:lang w:val="en-AU"/>
        </w:rPr>
        <w:t xml:space="preserve"> = 0.45.</w:t>
      </w:r>
    </w:p>
    <w:p w14:paraId="5437E4C0" w14:textId="77777777" w:rsidR="00B26471" w:rsidRPr="004635E5" w:rsidRDefault="00B26471" w:rsidP="006633A8">
      <w:pPr>
        <w:autoSpaceDE w:val="0"/>
        <w:autoSpaceDN w:val="0"/>
        <w:adjustRightInd w:val="0"/>
        <w:snapToGrid w:val="0"/>
        <w:jc w:val="both"/>
        <w:rPr>
          <w:sz w:val="22"/>
          <w:szCs w:val="22"/>
          <w:lang w:val="en-AU"/>
        </w:rPr>
      </w:pPr>
    </w:p>
    <w:p w14:paraId="7F4F73E3" w14:textId="77777777" w:rsidR="00B26471" w:rsidRPr="004635E5" w:rsidRDefault="00992215" w:rsidP="006633A8">
      <w:pPr>
        <w:pStyle w:val="ListParagraph"/>
        <w:adjustRightInd w:val="0"/>
        <w:snapToGrid w:val="0"/>
        <w:ind w:left="0"/>
        <w:jc w:val="both"/>
        <w:rPr>
          <w:rFonts w:eastAsia="Batang"/>
          <w:b/>
          <w:sz w:val="22"/>
          <w:szCs w:val="22"/>
          <w:lang w:val="fr-FR" w:eastAsia="ko-KR"/>
        </w:rPr>
      </w:pPr>
      <w:r w:rsidRPr="004635E5">
        <w:rPr>
          <w:rFonts w:eastAsia="Batang"/>
          <w:b/>
          <w:sz w:val="22"/>
          <w:szCs w:val="22"/>
          <w:lang w:val="fr-FR" w:eastAsia="ko-KR"/>
        </w:rPr>
        <w:t>Discussion</w:t>
      </w:r>
    </w:p>
    <w:p w14:paraId="261DB903" w14:textId="77777777" w:rsidR="00B26471" w:rsidRPr="004635E5" w:rsidRDefault="00B26471" w:rsidP="006633A8">
      <w:pPr>
        <w:pStyle w:val="ListParagraph"/>
        <w:adjustRightInd w:val="0"/>
        <w:snapToGrid w:val="0"/>
        <w:ind w:left="0"/>
        <w:jc w:val="both"/>
        <w:rPr>
          <w:rFonts w:eastAsia="Batang"/>
          <w:b/>
          <w:sz w:val="22"/>
          <w:szCs w:val="22"/>
          <w:lang w:val="fr-FR" w:eastAsia="ko-KR"/>
        </w:rPr>
      </w:pPr>
    </w:p>
    <w:p w14:paraId="5D4F7125" w14:textId="77777777" w:rsidR="0043289D" w:rsidRPr="004635E5" w:rsidRDefault="0043289D"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Indonesia asked whether CPUE data for </w:t>
      </w:r>
      <w:r w:rsidR="00656FD8" w:rsidRPr="004635E5">
        <w:rPr>
          <w:rFonts w:eastAsia="Batang"/>
          <w:sz w:val="22"/>
          <w:szCs w:val="22"/>
          <w:lang w:val="en-NZ" w:eastAsia="ko-KR"/>
        </w:rPr>
        <w:t>skipjack</w:t>
      </w:r>
      <w:r w:rsidRPr="004635E5">
        <w:rPr>
          <w:rFonts w:eastAsia="Batang"/>
          <w:sz w:val="22"/>
          <w:szCs w:val="22"/>
          <w:lang w:val="en-NZ" w:eastAsia="ko-KR"/>
        </w:rPr>
        <w:t xml:space="preserve"> and </w:t>
      </w:r>
      <w:r w:rsidR="00656FD8" w:rsidRPr="004635E5">
        <w:rPr>
          <w:rFonts w:eastAsia="Batang"/>
          <w:sz w:val="22"/>
          <w:szCs w:val="22"/>
          <w:lang w:val="en-NZ" w:eastAsia="ko-KR"/>
        </w:rPr>
        <w:t>yellowfin tuna</w:t>
      </w:r>
      <w:r w:rsidRPr="004635E5">
        <w:rPr>
          <w:rFonts w:eastAsia="Batang"/>
          <w:sz w:val="22"/>
          <w:szCs w:val="22"/>
          <w:lang w:val="en-NZ" w:eastAsia="ko-KR"/>
        </w:rPr>
        <w:t xml:space="preserve"> from the 1970s could be added to inform the catch history. SPC </w:t>
      </w:r>
      <w:r w:rsidR="0026234A" w:rsidRPr="004635E5">
        <w:rPr>
          <w:rFonts w:eastAsia="Batang"/>
          <w:sz w:val="22"/>
          <w:szCs w:val="22"/>
          <w:lang w:val="en-NZ" w:eastAsia="ko-KR"/>
        </w:rPr>
        <w:t xml:space="preserve">stated they </w:t>
      </w:r>
      <w:r w:rsidRPr="004635E5">
        <w:rPr>
          <w:rFonts w:eastAsia="Batang"/>
          <w:sz w:val="22"/>
          <w:szCs w:val="22"/>
          <w:lang w:val="en-NZ" w:eastAsia="ko-KR"/>
        </w:rPr>
        <w:t xml:space="preserve">would look at data quality and availability to see whether extending the analysis into the 1970s was feasible. </w:t>
      </w:r>
    </w:p>
    <w:p w14:paraId="4BB4761A" w14:textId="77777777" w:rsidR="00B26471" w:rsidRPr="004635E5" w:rsidRDefault="00B26471" w:rsidP="006633A8">
      <w:pPr>
        <w:autoSpaceDE w:val="0"/>
        <w:autoSpaceDN w:val="0"/>
        <w:adjustRightInd w:val="0"/>
        <w:snapToGrid w:val="0"/>
        <w:jc w:val="both"/>
        <w:rPr>
          <w:rFonts w:eastAsia="Batang"/>
          <w:sz w:val="22"/>
          <w:szCs w:val="22"/>
          <w:lang w:val="en-NZ" w:eastAsia="ko-KR"/>
        </w:rPr>
      </w:pPr>
    </w:p>
    <w:p w14:paraId="65239F3B" w14:textId="77777777" w:rsidR="0043289D" w:rsidRPr="004635E5" w:rsidRDefault="0043289D"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Japan referenced CPUE, noting the link identified by SPC with ENSO, but observing that CPUEs for anchored </w:t>
      </w:r>
      <w:r w:rsidR="0061195B">
        <w:rPr>
          <w:rFonts w:eastAsia="Batang" w:hint="eastAsia"/>
          <w:sz w:val="22"/>
          <w:szCs w:val="22"/>
          <w:lang w:val="en-NZ" w:eastAsia="ko-KR"/>
        </w:rPr>
        <w:t>FADs</w:t>
      </w:r>
      <w:r w:rsidR="0061195B" w:rsidRPr="004635E5">
        <w:rPr>
          <w:rFonts w:eastAsia="Batang"/>
          <w:sz w:val="22"/>
          <w:szCs w:val="22"/>
          <w:lang w:val="en-NZ" w:eastAsia="ko-KR"/>
        </w:rPr>
        <w:t xml:space="preserve"> </w:t>
      </w:r>
      <w:r w:rsidRPr="004635E5">
        <w:rPr>
          <w:rFonts w:eastAsia="Batang"/>
          <w:sz w:val="22"/>
          <w:szCs w:val="22"/>
          <w:lang w:val="en-NZ" w:eastAsia="ko-KR"/>
        </w:rPr>
        <w:t xml:space="preserve">were declining, and asked whether SPC could present CPUE data over a longer (10 or 20 year) to allow comparison over a larger time span. </w:t>
      </w:r>
      <w:r w:rsidR="0026234A" w:rsidRPr="004635E5">
        <w:rPr>
          <w:rFonts w:eastAsia="Batang"/>
          <w:sz w:val="22"/>
          <w:szCs w:val="22"/>
          <w:lang w:val="en-NZ" w:eastAsia="ko-KR"/>
        </w:rPr>
        <w:t xml:space="preserve">SPC </w:t>
      </w:r>
      <w:r w:rsidRPr="004635E5">
        <w:rPr>
          <w:rFonts w:eastAsia="Batang"/>
          <w:sz w:val="22"/>
          <w:szCs w:val="22"/>
          <w:lang w:val="en-NZ" w:eastAsia="ko-KR"/>
        </w:rPr>
        <w:t>noted that this could be done, with the caveat that there were limits to how much was worthw</w:t>
      </w:r>
      <w:r w:rsidR="00B26471" w:rsidRPr="004635E5">
        <w:rPr>
          <w:rFonts w:eastAsia="Batang"/>
          <w:sz w:val="22"/>
          <w:szCs w:val="22"/>
          <w:lang w:val="en-NZ" w:eastAsia="ko-KR"/>
        </w:rPr>
        <w:t>hile exploring for this report.</w:t>
      </w:r>
    </w:p>
    <w:p w14:paraId="22A087D5" w14:textId="77777777" w:rsidR="00B26471" w:rsidRPr="004635E5" w:rsidRDefault="00B26471" w:rsidP="006633A8">
      <w:pPr>
        <w:autoSpaceDE w:val="0"/>
        <w:autoSpaceDN w:val="0"/>
        <w:adjustRightInd w:val="0"/>
        <w:snapToGrid w:val="0"/>
        <w:jc w:val="both"/>
        <w:rPr>
          <w:rFonts w:eastAsia="Batang"/>
          <w:sz w:val="22"/>
          <w:szCs w:val="22"/>
          <w:lang w:val="en-NZ" w:eastAsia="ko-KR"/>
        </w:rPr>
      </w:pPr>
    </w:p>
    <w:p w14:paraId="0387B15A" w14:textId="77777777" w:rsidR="00AF73D5" w:rsidRDefault="00AF73D5"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In response to an inquiry from </w:t>
      </w:r>
      <w:r w:rsidR="006C65F8" w:rsidRPr="004635E5">
        <w:rPr>
          <w:rFonts w:eastAsia="Batang"/>
          <w:sz w:val="22"/>
          <w:szCs w:val="22"/>
          <w:lang w:val="en-NZ" w:eastAsia="ko-KR"/>
        </w:rPr>
        <w:t>Australia</w:t>
      </w:r>
      <w:r w:rsidR="0043289D" w:rsidRPr="004635E5">
        <w:rPr>
          <w:rFonts w:eastAsia="Batang"/>
          <w:sz w:val="22"/>
          <w:szCs w:val="22"/>
          <w:lang w:val="en-NZ" w:eastAsia="ko-KR"/>
        </w:rPr>
        <w:t xml:space="preserve"> </w:t>
      </w:r>
      <w:r w:rsidRPr="004635E5">
        <w:rPr>
          <w:rFonts w:eastAsia="Batang"/>
          <w:sz w:val="22"/>
          <w:szCs w:val="22"/>
          <w:lang w:val="en-NZ" w:eastAsia="ko-KR"/>
        </w:rPr>
        <w:t xml:space="preserve">regarding changes in the </w:t>
      </w:r>
      <w:r w:rsidR="0043289D" w:rsidRPr="004635E5">
        <w:rPr>
          <w:rFonts w:eastAsia="Batang"/>
          <w:sz w:val="22"/>
          <w:szCs w:val="22"/>
          <w:lang w:val="en-NZ" w:eastAsia="ko-KR"/>
        </w:rPr>
        <w:t xml:space="preserve">Japanese </w:t>
      </w:r>
      <w:r w:rsidRPr="004635E5">
        <w:rPr>
          <w:rFonts w:eastAsia="Batang"/>
          <w:sz w:val="22"/>
          <w:szCs w:val="22"/>
          <w:lang w:val="en-NZ" w:eastAsia="ko-KR"/>
        </w:rPr>
        <w:t xml:space="preserve">pole and line </w:t>
      </w:r>
      <w:r w:rsidR="0043289D" w:rsidRPr="004635E5">
        <w:rPr>
          <w:rFonts w:eastAsia="Batang"/>
          <w:sz w:val="22"/>
          <w:szCs w:val="22"/>
          <w:lang w:val="en-NZ" w:eastAsia="ko-KR"/>
        </w:rPr>
        <w:t xml:space="preserve">fishery </w:t>
      </w:r>
      <w:r w:rsidRPr="004635E5">
        <w:rPr>
          <w:rFonts w:eastAsia="Batang"/>
          <w:sz w:val="22"/>
          <w:szCs w:val="22"/>
          <w:lang w:val="en-NZ" w:eastAsia="ko-KR"/>
        </w:rPr>
        <w:t xml:space="preserve">and use of data from that fishery for </w:t>
      </w:r>
      <w:r w:rsidR="00CC4B66">
        <w:rPr>
          <w:rFonts w:eastAsia="Batang"/>
          <w:sz w:val="22"/>
          <w:szCs w:val="22"/>
          <w:lang w:val="en-NZ" w:eastAsia="ko-KR"/>
        </w:rPr>
        <w:t>stock assessments</w:t>
      </w:r>
      <w:r w:rsidR="0043289D" w:rsidRPr="004635E5">
        <w:rPr>
          <w:rFonts w:eastAsia="Batang"/>
          <w:sz w:val="22"/>
          <w:szCs w:val="22"/>
          <w:lang w:val="en-NZ" w:eastAsia="ko-KR"/>
        </w:rPr>
        <w:t xml:space="preserve">, SPC </w:t>
      </w:r>
      <w:r w:rsidRPr="004635E5">
        <w:rPr>
          <w:rFonts w:eastAsia="Batang"/>
          <w:sz w:val="22"/>
          <w:szCs w:val="22"/>
          <w:lang w:val="en-NZ" w:eastAsia="ko-KR"/>
        </w:rPr>
        <w:t xml:space="preserve">noted it was </w:t>
      </w:r>
      <w:r w:rsidR="0043289D" w:rsidRPr="004635E5">
        <w:rPr>
          <w:rFonts w:eastAsia="Batang"/>
          <w:sz w:val="22"/>
          <w:szCs w:val="22"/>
          <w:lang w:val="en-NZ" w:eastAsia="ko-KR"/>
        </w:rPr>
        <w:t>increasingly relying on tagging as a data source.</w:t>
      </w:r>
      <w:r w:rsidRPr="004635E5">
        <w:rPr>
          <w:rFonts w:eastAsia="Batang"/>
          <w:sz w:val="22"/>
          <w:szCs w:val="22"/>
          <w:lang w:val="en-NZ" w:eastAsia="ko-KR"/>
        </w:rPr>
        <w:t xml:space="preserve"> </w:t>
      </w:r>
      <w:r w:rsidR="0043289D" w:rsidRPr="004635E5">
        <w:rPr>
          <w:rFonts w:eastAsia="Batang"/>
          <w:sz w:val="22"/>
          <w:szCs w:val="22"/>
          <w:lang w:val="en-NZ" w:eastAsia="ko-KR"/>
        </w:rPr>
        <w:t>Solomon Islands, on behalf of</w:t>
      </w:r>
      <w:r w:rsidR="001F3FF4">
        <w:rPr>
          <w:rFonts w:eastAsia="Batang"/>
          <w:sz w:val="22"/>
          <w:szCs w:val="22"/>
          <w:lang w:val="en-NZ" w:eastAsia="ko-KR"/>
        </w:rPr>
        <w:t xml:space="preserve"> </w:t>
      </w:r>
      <w:r w:rsidR="0043289D" w:rsidRPr="004635E5">
        <w:rPr>
          <w:rFonts w:eastAsia="Batang"/>
          <w:sz w:val="22"/>
          <w:szCs w:val="22"/>
          <w:lang w:val="en-NZ" w:eastAsia="ko-KR"/>
        </w:rPr>
        <w:t xml:space="preserve">FFA members, thanked SPC for the update on fisheries indicators for skipjack, noting that effort in the pole and line sector had continued to decline and accounted for just 6% of the total skipjack catch in 2017. Given that this </w:t>
      </w:r>
      <w:r w:rsidRPr="004635E5">
        <w:rPr>
          <w:rFonts w:eastAsia="Batang"/>
          <w:sz w:val="22"/>
          <w:szCs w:val="22"/>
          <w:lang w:val="en-NZ" w:eastAsia="ko-KR"/>
        </w:rPr>
        <w:t xml:space="preserve">was </w:t>
      </w:r>
      <w:r w:rsidR="0043289D" w:rsidRPr="004635E5">
        <w:rPr>
          <w:rFonts w:eastAsia="Batang"/>
          <w:sz w:val="22"/>
          <w:szCs w:val="22"/>
          <w:lang w:val="en-NZ" w:eastAsia="ko-KR"/>
        </w:rPr>
        <w:t>the main CPUE data series used as an indicator of abundance in the stock assessment, they strongly support</w:t>
      </w:r>
      <w:r w:rsidRPr="004635E5">
        <w:rPr>
          <w:rFonts w:eastAsia="Batang"/>
          <w:sz w:val="22"/>
          <w:szCs w:val="22"/>
          <w:lang w:val="en-NZ" w:eastAsia="ko-KR"/>
        </w:rPr>
        <w:t>ed</w:t>
      </w:r>
      <w:r w:rsidR="0043289D" w:rsidRPr="004635E5">
        <w:rPr>
          <w:rFonts w:eastAsia="Batang"/>
          <w:sz w:val="22"/>
          <w:szCs w:val="22"/>
          <w:lang w:val="en-NZ" w:eastAsia="ko-KR"/>
        </w:rPr>
        <w:t xml:space="preserve"> an ongoing tagging program for skipjack tuna. FFA members </w:t>
      </w:r>
      <w:r w:rsidR="0026234A" w:rsidRPr="004635E5">
        <w:rPr>
          <w:rFonts w:eastAsia="Batang"/>
          <w:sz w:val="22"/>
          <w:szCs w:val="22"/>
          <w:lang w:val="en-NZ" w:eastAsia="ko-KR"/>
        </w:rPr>
        <w:t xml:space="preserve">stated they </w:t>
      </w:r>
      <w:r w:rsidR="0043289D" w:rsidRPr="004635E5">
        <w:rPr>
          <w:rFonts w:eastAsia="Batang"/>
          <w:sz w:val="22"/>
          <w:szCs w:val="22"/>
          <w:lang w:val="en-NZ" w:eastAsia="ko-KR"/>
        </w:rPr>
        <w:t>consider it a priority for the Commission to ensure that a reliable index of abundance for skipjack tuna can be maintained, and recommend</w:t>
      </w:r>
      <w:r w:rsidRPr="004635E5">
        <w:rPr>
          <w:rFonts w:eastAsia="Batang"/>
          <w:sz w:val="22"/>
          <w:szCs w:val="22"/>
          <w:lang w:val="en-NZ" w:eastAsia="ko-KR"/>
        </w:rPr>
        <w:t>ed</w:t>
      </w:r>
      <w:r w:rsidR="0043289D" w:rsidRPr="004635E5">
        <w:rPr>
          <w:rFonts w:eastAsia="Batang"/>
          <w:sz w:val="22"/>
          <w:szCs w:val="22"/>
          <w:lang w:val="en-NZ" w:eastAsia="ko-KR"/>
        </w:rPr>
        <w:t xml:space="preserve"> this </w:t>
      </w:r>
      <w:r w:rsidRPr="004635E5">
        <w:rPr>
          <w:rFonts w:eastAsia="Batang"/>
          <w:sz w:val="22"/>
          <w:szCs w:val="22"/>
          <w:lang w:val="en-NZ" w:eastAsia="ko-KR"/>
        </w:rPr>
        <w:t xml:space="preserve">be </w:t>
      </w:r>
      <w:r w:rsidR="0043289D" w:rsidRPr="004635E5">
        <w:rPr>
          <w:rFonts w:eastAsia="Batang"/>
          <w:sz w:val="22"/>
          <w:szCs w:val="22"/>
          <w:lang w:val="en-NZ" w:eastAsia="ko-KR"/>
        </w:rPr>
        <w:t>maintained in the research budget. In addition, FFA members support</w:t>
      </w:r>
      <w:r w:rsidRPr="004635E5">
        <w:rPr>
          <w:rFonts w:eastAsia="Batang"/>
          <w:sz w:val="22"/>
          <w:szCs w:val="22"/>
          <w:lang w:val="en-NZ" w:eastAsia="ko-KR"/>
        </w:rPr>
        <w:t>ed</w:t>
      </w:r>
      <w:r w:rsidR="0043289D" w:rsidRPr="004635E5">
        <w:rPr>
          <w:rFonts w:eastAsia="Batang"/>
          <w:sz w:val="22"/>
          <w:szCs w:val="22"/>
          <w:lang w:val="en-NZ" w:eastAsia="ko-KR"/>
        </w:rPr>
        <w:t xml:space="preserve"> ongoing research by SPC on standardising purse seine CPUE for use in the assessment. While it</w:t>
      </w:r>
      <w:r w:rsidR="002F7711">
        <w:rPr>
          <w:rFonts w:eastAsia="Batang"/>
          <w:sz w:val="22"/>
          <w:szCs w:val="22"/>
          <w:lang w:val="en-NZ" w:eastAsia="ko-KR"/>
        </w:rPr>
        <w:t>’</w:t>
      </w:r>
      <w:r w:rsidR="0043289D" w:rsidRPr="004635E5">
        <w:rPr>
          <w:rFonts w:eastAsia="Batang"/>
          <w:sz w:val="22"/>
          <w:szCs w:val="22"/>
          <w:lang w:val="en-NZ" w:eastAsia="ko-KR"/>
        </w:rPr>
        <w:t>s unlikely to be available for the 2019 assessment, purse seine CPUE analysis may at some stage in future provide a useful index for the assessment model</w:t>
      </w:r>
      <w:r w:rsidRPr="004635E5">
        <w:rPr>
          <w:rFonts w:eastAsia="Batang"/>
          <w:sz w:val="22"/>
          <w:szCs w:val="22"/>
          <w:lang w:val="en-NZ" w:eastAsia="ko-KR"/>
        </w:rPr>
        <w:t xml:space="preserve">. </w:t>
      </w:r>
    </w:p>
    <w:p w14:paraId="07AB7B4D" w14:textId="77777777" w:rsidR="00D70754" w:rsidRPr="004635E5" w:rsidRDefault="00D70754" w:rsidP="00D70754">
      <w:pPr>
        <w:autoSpaceDE w:val="0"/>
        <w:autoSpaceDN w:val="0"/>
        <w:adjustRightInd w:val="0"/>
        <w:snapToGrid w:val="0"/>
        <w:jc w:val="both"/>
        <w:rPr>
          <w:rFonts w:eastAsia="Batang"/>
          <w:sz w:val="22"/>
          <w:szCs w:val="22"/>
          <w:lang w:val="en-NZ" w:eastAsia="ko-KR"/>
        </w:rPr>
      </w:pPr>
    </w:p>
    <w:p w14:paraId="58A5F5E3" w14:textId="77777777" w:rsidR="00104CEF" w:rsidRPr="004635E5" w:rsidRDefault="0043289D"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Nauru, on behalf of the </w:t>
      </w:r>
      <w:r w:rsidRPr="004635E5">
        <w:rPr>
          <w:rFonts w:eastAsia="Batang"/>
          <w:sz w:val="22"/>
          <w:szCs w:val="22"/>
          <w:lang w:eastAsia="ko-KR"/>
        </w:rPr>
        <w:t xml:space="preserve">PNA noted their management strategy in PNA and in the WCPFC through the TRP </w:t>
      </w:r>
      <w:r w:rsidR="00AF73D5" w:rsidRPr="004635E5">
        <w:rPr>
          <w:rFonts w:eastAsia="Batang"/>
          <w:sz w:val="22"/>
          <w:szCs w:val="22"/>
          <w:lang w:eastAsia="ko-KR"/>
        </w:rPr>
        <w:t xml:space="preserve">was </w:t>
      </w:r>
      <w:r w:rsidRPr="004635E5">
        <w:rPr>
          <w:rFonts w:eastAsia="Batang"/>
          <w:sz w:val="22"/>
          <w:szCs w:val="22"/>
          <w:lang w:eastAsia="ko-KR"/>
        </w:rPr>
        <w:t>based on maintaining high catch rates to support vessel profitability</w:t>
      </w:r>
      <w:r w:rsidR="00AF73D5" w:rsidRPr="004635E5">
        <w:rPr>
          <w:rFonts w:eastAsia="Batang"/>
          <w:sz w:val="22"/>
          <w:szCs w:val="22"/>
          <w:lang w:eastAsia="ko-KR"/>
        </w:rPr>
        <w:t>, with a</w:t>
      </w:r>
      <w:r w:rsidRPr="004635E5">
        <w:rPr>
          <w:rFonts w:eastAsia="Batang"/>
          <w:sz w:val="22"/>
          <w:szCs w:val="22"/>
          <w:lang w:eastAsia="ko-KR"/>
        </w:rPr>
        <w:t>ny decline in catch rates of concern</w:t>
      </w:r>
      <w:r w:rsidR="00A16680" w:rsidRPr="004635E5">
        <w:rPr>
          <w:rFonts w:eastAsia="Batang"/>
          <w:sz w:val="22"/>
          <w:szCs w:val="22"/>
          <w:lang w:eastAsia="ko-KR"/>
        </w:rPr>
        <w:t xml:space="preserve">. </w:t>
      </w:r>
      <w:r w:rsidRPr="004635E5">
        <w:rPr>
          <w:rFonts w:eastAsia="Batang"/>
          <w:sz w:val="22"/>
          <w:szCs w:val="22"/>
          <w:lang w:eastAsia="ko-KR"/>
        </w:rPr>
        <w:t>The 2017 nominal decline was largely masked by the increased catch and value of yellowfin, but bears close monitoring</w:t>
      </w:r>
      <w:r w:rsidRPr="004635E5">
        <w:rPr>
          <w:rFonts w:eastAsia="Batang"/>
          <w:b/>
          <w:sz w:val="22"/>
          <w:szCs w:val="22"/>
          <w:lang w:eastAsia="ko-KR"/>
        </w:rPr>
        <w:t xml:space="preserve">. </w:t>
      </w:r>
      <w:r w:rsidRPr="004635E5">
        <w:rPr>
          <w:rFonts w:eastAsia="Batang"/>
          <w:sz w:val="22"/>
          <w:szCs w:val="22"/>
          <w:lang w:eastAsia="ko-KR"/>
        </w:rPr>
        <w:t xml:space="preserve">PNA </w:t>
      </w:r>
      <w:r w:rsidR="00AF73D5" w:rsidRPr="004635E5">
        <w:rPr>
          <w:rFonts w:eastAsia="Batang"/>
          <w:sz w:val="22"/>
          <w:szCs w:val="22"/>
          <w:lang w:eastAsia="ko-KR"/>
        </w:rPr>
        <w:t>expressed concern</w:t>
      </w:r>
      <w:r w:rsidRPr="004635E5">
        <w:rPr>
          <w:rFonts w:eastAsia="Batang"/>
          <w:sz w:val="22"/>
          <w:szCs w:val="22"/>
          <w:lang w:eastAsia="ko-KR"/>
        </w:rPr>
        <w:t xml:space="preserve"> about SPC</w:t>
      </w:r>
      <w:r w:rsidR="00AF73D5" w:rsidRPr="004635E5">
        <w:rPr>
          <w:rFonts w:eastAsia="Batang"/>
          <w:sz w:val="22"/>
          <w:szCs w:val="22"/>
          <w:lang w:eastAsia="ko-KR"/>
        </w:rPr>
        <w:t>’</w:t>
      </w:r>
      <w:r w:rsidRPr="004635E5">
        <w:rPr>
          <w:rFonts w:eastAsia="Batang"/>
          <w:sz w:val="22"/>
          <w:szCs w:val="22"/>
          <w:lang w:eastAsia="ko-KR"/>
        </w:rPr>
        <w:t>s continued warnings that the ongoing decline in the pole and line fishery is compromising the skipjack stock assessment</w:t>
      </w:r>
      <w:r w:rsidR="00A16680" w:rsidRPr="004635E5">
        <w:rPr>
          <w:rFonts w:eastAsia="Batang"/>
          <w:sz w:val="22"/>
          <w:szCs w:val="22"/>
          <w:lang w:eastAsia="ko-KR"/>
        </w:rPr>
        <w:t xml:space="preserve">. </w:t>
      </w:r>
      <w:r w:rsidRPr="004635E5">
        <w:rPr>
          <w:rFonts w:eastAsia="Batang"/>
          <w:sz w:val="22"/>
          <w:szCs w:val="22"/>
          <w:lang w:eastAsia="ko-KR"/>
        </w:rPr>
        <w:t xml:space="preserve">The response to date has been to rely more heavily on tagging information as an index of abundance and </w:t>
      </w:r>
      <w:r w:rsidR="00AF73D5" w:rsidRPr="004635E5">
        <w:rPr>
          <w:rFonts w:eastAsia="Batang"/>
          <w:sz w:val="22"/>
          <w:szCs w:val="22"/>
          <w:lang w:eastAsia="ko-KR"/>
        </w:rPr>
        <w:t xml:space="preserve">the </w:t>
      </w:r>
      <w:r w:rsidRPr="004635E5">
        <w:rPr>
          <w:rFonts w:eastAsia="Batang"/>
          <w:sz w:val="22"/>
          <w:szCs w:val="22"/>
          <w:lang w:eastAsia="ko-KR"/>
        </w:rPr>
        <w:t>PNA thanked SPC for their work on this</w:t>
      </w:r>
      <w:r w:rsidR="00A16680" w:rsidRPr="004635E5">
        <w:rPr>
          <w:rFonts w:eastAsia="Batang"/>
          <w:sz w:val="22"/>
          <w:szCs w:val="22"/>
          <w:lang w:eastAsia="ko-KR"/>
        </w:rPr>
        <w:t xml:space="preserve">. </w:t>
      </w:r>
      <w:r w:rsidRPr="004635E5">
        <w:rPr>
          <w:rFonts w:eastAsia="Batang"/>
          <w:sz w:val="22"/>
          <w:szCs w:val="22"/>
          <w:lang w:eastAsia="ko-KR"/>
        </w:rPr>
        <w:t xml:space="preserve">However, they noted that despite generous contributions from several CCMs and organisations, the future of this work </w:t>
      </w:r>
      <w:r w:rsidR="00AF73D5" w:rsidRPr="004635E5">
        <w:rPr>
          <w:rFonts w:eastAsia="Batang"/>
          <w:sz w:val="22"/>
          <w:szCs w:val="22"/>
          <w:lang w:eastAsia="ko-KR"/>
        </w:rPr>
        <w:t xml:space="preserve">was </w:t>
      </w:r>
      <w:r w:rsidRPr="004635E5">
        <w:rPr>
          <w:rFonts w:eastAsia="Batang"/>
          <w:sz w:val="22"/>
          <w:szCs w:val="22"/>
          <w:lang w:eastAsia="ko-KR"/>
        </w:rPr>
        <w:t>uncertain due to growing costs, inconsistent funding and availability of tagging vessels</w:t>
      </w:r>
      <w:r w:rsidR="00A16680" w:rsidRPr="004635E5">
        <w:rPr>
          <w:rFonts w:eastAsia="Batang"/>
          <w:sz w:val="22"/>
          <w:szCs w:val="22"/>
          <w:lang w:eastAsia="ko-KR"/>
        </w:rPr>
        <w:t xml:space="preserve">. </w:t>
      </w:r>
      <w:r w:rsidRPr="004635E5">
        <w:rPr>
          <w:rFonts w:eastAsia="Batang"/>
          <w:sz w:val="22"/>
          <w:szCs w:val="22"/>
          <w:lang w:eastAsia="ko-KR"/>
        </w:rPr>
        <w:t xml:space="preserve">PNA </w:t>
      </w:r>
      <w:r w:rsidR="00AF73D5" w:rsidRPr="004635E5">
        <w:rPr>
          <w:rFonts w:eastAsia="Batang"/>
          <w:sz w:val="22"/>
          <w:szCs w:val="22"/>
          <w:lang w:eastAsia="ko-KR"/>
        </w:rPr>
        <w:t xml:space="preserve">suggested </w:t>
      </w:r>
      <w:r w:rsidRPr="004635E5">
        <w:rPr>
          <w:rFonts w:eastAsia="Batang"/>
          <w:sz w:val="22"/>
          <w:szCs w:val="22"/>
          <w:lang w:eastAsia="ko-KR"/>
        </w:rPr>
        <w:t xml:space="preserve">these issues </w:t>
      </w:r>
      <w:r w:rsidR="00AF73D5" w:rsidRPr="004635E5">
        <w:rPr>
          <w:rFonts w:eastAsia="Batang"/>
          <w:sz w:val="22"/>
          <w:szCs w:val="22"/>
          <w:lang w:eastAsia="ko-KR"/>
        </w:rPr>
        <w:t xml:space="preserve">should be </w:t>
      </w:r>
      <w:r w:rsidRPr="004635E5">
        <w:rPr>
          <w:rFonts w:eastAsia="Batang"/>
          <w:sz w:val="22"/>
          <w:szCs w:val="22"/>
          <w:lang w:eastAsia="ko-KR"/>
        </w:rPr>
        <w:t xml:space="preserve">clearly </w:t>
      </w:r>
      <w:r w:rsidR="00AF73D5" w:rsidRPr="004635E5">
        <w:rPr>
          <w:rFonts w:eastAsia="Batang"/>
          <w:sz w:val="22"/>
          <w:szCs w:val="22"/>
          <w:lang w:eastAsia="ko-KR"/>
        </w:rPr>
        <w:t xml:space="preserve">spelled </w:t>
      </w:r>
      <w:r w:rsidRPr="004635E5">
        <w:rPr>
          <w:rFonts w:eastAsia="Batang"/>
          <w:sz w:val="22"/>
          <w:szCs w:val="22"/>
          <w:lang w:eastAsia="ko-KR"/>
        </w:rPr>
        <w:t xml:space="preserve">out in the management advice from SC14 to WCPFC15, in addition to </w:t>
      </w:r>
      <w:r w:rsidR="00AF73D5" w:rsidRPr="004635E5">
        <w:rPr>
          <w:rFonts w:eastAsia="Batang"/>
          <w:sz w:val="22"/>
          <w:szCs w:val="22"/>
          <w:lang w:eastAsia="ko-KR"/>
        </w:rPr>
        <w:t xml:space="preserve">supporting ongoing research on standardized </w:t>
      </w:r>
      <w:r w:rsidRPr="004635E5">
        <w:rPr>
          <w:rFonts w:eastAsia="Batang"/>
          <w:sz w:val="22"/>
          <w:szCs w:val="22"/>
          <w:lang w:eastAsia="ko-KR"/>
        </w:rPr>
        <w:t>purse seine CPUE.</w:t>
      </w:r>
      <w:r w:rsidR="00A16B53" w:rsidRPr="004635E5">
        <w:rPr>
          <w:rFonts w:eastAsia="Batang"/>
          <w:b/>
          <w:sz w:val="22"/>
          <w:szCs w:val="22"/>
          <w:lang w:val="en-NZ" w:eastAsia="ko-KR"/>
        </w:rPr>
        <w:t xml:space="preserve"> </w:t>
      </w:r>
    </w:p>
    <w:p w14:paraId="71D6F927" w14:textId="77777777" w:rsidR="00B26471" w:rsidRPr="004635E5" w:rsidRDefault="00B26471" w:rsidP="006633A8">
      <w:pPr>
        <w:autoSpaceDE w:val="0"/>
        <w:autoSpaceDN w:val="0"/>
        <w:adjustRightInd w:val="0"/>
        <w:snapToGrid w:val="0"/>
        <w:jc w:val="both"/>
        <w:rPr>
          <w:rFonts w:eastAsia="Batang"/>
          <w:sz w:val="22"/>
          <w:szCs w:val="22"/>
          <w:lang w:val="en-NZ" w:eastAsia="ko-KR"/>
        </w:rPr>
      </w:pPr>
    </w:p>
    <w:p w14:paraId="5F213864" w14:textId="77777777" w:rsidR="00F73262" w:rsidRPr="004635E5" w:rsidRDefault="00F73262" w:rsidP="00580EA4">
      <w:pPr>
        <w:numPr>
          <w:ilvl w:val="0"/>
          <w:numId w:val="18"/>
        </w:numPr>
        <w:autoSpaceDE w:val="0"/>
        <w:autoSpaceDN w:val="0"/>
        <w:adjustRightInd w:val="0"/>
        <w:snapToGrid w:val="0"/>
        <w:ind w:left="0" w:firstLine="0"/>
        <w:jc w:val="both"/>
        <w:rPr>
          <w:sz w:val="22"/>
          <w:szCs w:val="22"/>
        </w:rPr>
      </w:pPr>
      <w:r w:rsidRPr="004635E5">
        <w:rPr>
          <w:sz w:val="22"/>
          <w:szCs w:val="22"/>
        </w:rPr>
        <w:t xml:space="preserve">H. Kiyofuji presented </w:t>
      </w:r>
      <w:r w:rsidR="00E675BF" w:rsidRPr="004635E5">
        <w:rPr>
          <w:sz w:val="22"/>
          <w:szCs w:val="22"/>
          <w:lang w:val="en-NZ"/>
        </w:rPr>
        <w:t>SC14-SA-WP-04.</w:t>
      </w:r>
      <w:r w:rsidR="00E675BF" w:rsidRPr="004635E5">
        <w:rPr>
          <w:sz w:val="22"/>
          <w:szCs w:val="22"/>
        </w:rPr>
        <w:t xml:space="preserve"> </w:t>
      </w:r>
      <w:r w:rsidR="00E675BF" w:rsidRPr="004635E5">
        <w:rPr>
          <w:i/>
          <w:sz w:val="22"/>
          <w:szCs w:val="22"/>
        </w:rPr>
        <w:t>Improvements in skipjack (</w:t>
      </w:r>
      <w:r w:rsidR="00E675BF" w:rsidRPr="004635E5">
        <w:rPr>
          <w:i/>
          <w:iCs/>
          <w:sz w:val="22"/>
          <w:szCs w:val="22"/>
        </w:rPr>
        <w:t>Katsuwonus pelamis</w:t>
      </w:r>
      <w:r w:rsidR="00E675BF" w:rsidRPr="004635E5">
        <w:rPr>
          <w:i/>
          <w:sz w:val="22"/>
          <w:szCs w:val="22"/>
        </w:rPr>
        <w:t>) abundance index based on the fish size data from Japanese pole-and-line logbook (1972–2017).</w:t>
      </w:r>
      <w:r w:rsidR="00E675BF" w:rsidRPr="004635E5">
        <w:rPr>
          <w:sz w:val="22"/>
          <w:szCs w:val="22"/>
        </w:rPr>
        <w:t xml:space="preserve"> Rev 1</w:t>
      </w:r>
      <w:r w:rsidRPr="004635E5">
        <w:rPr>
          <w:sz w:val="22"/>
          <w:szCs w:val="22"/>
        </w:rPr>
        <w:t xml:space="preserve">, which examines </w:t>
      </w:r>
      <w:r w:rsidR="00DD1167" w:rsidRPr="004635E5">
        <w:rPr>
          <w:sz w:val="22"/>
          <w:szCs w:val="22"/>
        </w:rPr>
        <w:t xml:space="preserve">fisheries area definition of skipjack tuna in the western and central Pacific Ocean. </w:t>
      </w:r>
    </w:p>
    <w:p w14:paraId="187D2B79" w14:textId="77777777" w:rsidR="00B26471" w:rsidRPr="004635E5" w:rsidRDefault="00B26471" w:rsidP="006633A8">
      <w:pPr>
        <w:autoSpaceDE w:val="0"/>
        <w:autoSpaceDN w:val="0"/>
        <w:adjustRightInd w:val="0"/>
        <w:snapToGrid w:val="0"/>
        <w:jc w:val="both"/>
        <w:rPr>
          <w:sz w:val="22"/>
          <w:szCs w:val="22"/>
        </w:rPr>
      </w:pPr>
    </w:p>
    <w:p w14:paraId="14F97DF4" w14:textId="77777777" w:rsidR="00DD1167" w:rsidRPr="004635E5" w:rsidRDefault="00DD1167" w:rsidP="00580EA4">
      <w:pPr>
        <w:numPr>
          <w:ilvl w:val="0"/>
          <w:numId w:val="18"/>
        </w:numPr>
        <w:autoSpaceDE w:val="0"/>
        <w:autoSpaceDN w:val="0"/>
        <w:adjustRightInd w:val="0"/>
        <w:snapToGrid w:val="0"/>
        <w:ind w:left="0" w:firstLine="0"/>
        <w:jc w:val="both"/>
        <w:rPr>
          <w:sz w:val="22"/>
          <w:szCs w:val="22"/>
        </w:rPr>
      </w:pPr>
      <w:r w:rsidRPr="004635E5">
        <w:rPr>
          <w:sz w:val="22"/>
          <w:szCs w:val="22"/>
        </w:rPr>
        <w:t xml:space="preserve">To clarify area definition for CPUE standardization, </w:t>
      </w:r>
      <w:r w:rsidR="00F73262" w:rsidRPr="004635E5">
        <w:rPr>
          <w:sz w:val="22"/>
          <w:szCs w:val="22"/>
        </w:rPr>
        <w:t xml:space="preserve">the authors </w:t>
      </w:r>
      <w:r w:rsidRPr="004635E5">
        <w:rPr>
          <w:sz w:val="22"/>
          <w:szCs w:val="22"/>
        </w:rPr>
        <w:t xml:space="preserve">addressed model-based cluster analysis using average fish weight and CPUE recorded on Japanese pole-and-line logbook. The logbook data includes the daily </w:t>
      </w:r>
      <w:r w:rsidR="00656FD8" w:rsidRPr="004635E5">
        <w:rPr>
          <w:sz w:val="22"/>
          <w:szCs w:val="22"/>
        </w:rPr>
        <w:t>skipjack</w:t>
      </w:r>
      <w:r w:rsidRPr="004635E5">
        <w:rPr>
          <w:sz w:val="22"/>
          <w:szCs w:val="22"/>
        </w:rPr>
        <w:t xml:space="preserve"> catch per vessel by 1°×1° resolution from 1972 to 2017. Catch and mean body weight larger than 0 were aggregated into 5°×5° resolution</w:t>
      </w:r>
      <w:r w:rsidR="0026234A" w:rsidRPr="004635E5">
        <w:rPr>
          <w:sz w:val="22"/>
          <w:szCs w:val="22"/>
        </w:rPr>
        <w:t>,</w:t>
      </w:r>
      <w:r w:rsidRPr="004635E5">
        <w:rPr>
          <w:sz w:val="22"/>
          <w:szCs w:val="22"/>
        </w:rPr>
        <w:t xml:space="preserve"> and then extracted </w:t>
      </w:r>
      <w:r w:rsidR="0026234A" w:rsidRPr="004635E5">
        <w:rPr>
          <w:sz w:val="22"/>
          <w:szCs w:val="22"/>
        </w:rPr>
        <w:t xml:space="preserve">in </w:t>
      </w:r>
      <w:r w:rsidRPr="004635E5">
        <w:rPr>
          <w:sz w:val="22"/>
          <w:szCs w:val="22"/>
        </w:rPr>
        <w:t>grids with more than 10 vessels-day operations. The model was constructed with the average body weight and nominal log CPUE as response variables and with year, quarter, and gross register tonnage of fishing vessel as explanatory variables. As a result of the model, five clusters were selected by the minimum</w:t>
      </w:r>
      <w:r w:rsidR="001F3FF4">
        <w:rPr>
          <w:sz w:val="22"/>
          <w:szCs w:val="22"/>
        </w:rPr>
        <w:t xml:space="preserve"> </w:t>
      </w:r>
      <w:r w:rsidR="0026234A" w:rsidRPr="004635E5">
        <w:rPr>
          <w:sz w:val="22"/>
          <w:szCs w:val="22"/>
        </w:rPr>
        <w:t>Bayesian information criterion (</w:t>
      </w:r>
      <w:r w:rsidRPr="004635E5">
        <w:rPr>
          <w:sz w:val="22"/>
          <w:szCs w:val="22"/>
        </w:rPr>
        <w:t>BIC</w:t>
      </w:r>
      <w:r w:rsidR="0026234A" w:rsidRPr="004635E5">
        <w:rPr>
          <w:sz w:val="22"/>
          <w:szCs w:val="22"/>
        </w:rPr>
        <w:t>)</w:t>
      </w:r>
      <w:r w:rsidRPr="004635E5">
        <w:rPr>
          <w:sz w:val="22"/>
          <w:szCs w:val="22"/>
        </w:rPr>
        <w:t xml:space="preserve"> and showed unique characteristics to the size composition and differences of operation mode on each cluster. One of the major achievement</w:t>
      </w:r>
      <w:r w:rsidR="00371E39">
        <w:rPr>
          <w:rFonts w:eastAsiaTheme="minorEastAsia" w:hint="eastAsia"/>
          <w:sz w:val="22"/>
          <w:szCs w:val="22"/>
          <w:lang w:eastAsia="ko-KR"/>
        </w:rPr>
        <w:t>s</w:t>
      </w:r>
      <w:r w:rsidRPr="004635E5">
        <w:rPr>
          <w:sz w:val="22"/>
          <w:szCs w:val="22"/>
        </w:rPr>
        <w:t xml:space="preserve"> of our study is the result of area clustering analysis matches better the area definition suggested by Kiyofuji and Ochi </w:t>
      </w:r>
      <w:r w:rsidR="00AF73D5" w:rsidRPr="004635E5">
        <w:rPr>
          <w:sz w:val="22"/>
          <w:szCs w:val="22"/>
        </w:rPr>
        <w:t>(SC12-SA-IP-09)</w:t>
      </w:r>
      <w:r w:rsidRPr="004635E5">
        <w:rPr>
          <w:sz w:val="22"/>
          <w:szCs w:val="22"/>
        </w:rPr>
        <w:t xml:space="preserve"> based on tagging and larvae survey than that of reference case. This result suggests that biological information such as body weight will provide useful evidence for determining the stock assessment fisheries definition. </w:t>
      </w:r>
      <w:r w:rsidR="00F73262" w:rsidRPr="004635E5">
        <w:rPr>
          <w:sz w:val="22"/>
          <w:szCs w:val="22"/>
        </w:rPr>
        <w:t xml:space="preserve">The authors </w:t>
      </w:r>
      <w:r w:rsidRPr="004635E5">
        <w:rPr>
          <w:sz w:val="22"/>
          <w:szCs w:val="22"/>
        </w:rPr>
        <w:t>recommend</w:t>
      </w:r>
      <w:r w:rsidR="00F73262" w:rsidRPr="004635E5">
        <w:rPr>
          <w:sz w:val="22"/>
          <w:szCs w:val="22"/>
        </w:rPr>
        <w:t>ed</w:t>
      </w:r>
      <w:r w:rsidRPr="004635E5">
        <w:rPr>
          <w:sz w:val="22"/>
          <w:szCs w:val="22"/>
        </w:rPr>
        <w:t xml:space="preserve"> </w:t>
      </w:r>
      <w:r w:rsidR="00F73262" w:rsidRPr="004635E5">
        <w:rPr>
          <w:sz w:val="22"/>
          <w:szCs w:val="22"/>
        </w:rPr>
        <w:t xml:space="preserve">that </w:t>
      </w:r>
      <w:r w:rsidRPr="004635E5">
        <w:rPr>
          <w:sz w:val="22"/>
          <w:szCs w:val="22"/>
        </w:rPr>
        <w:t xml:space="preserve">SC14 consider a new area definition </w:t>
      </w:r>
      <w:r w:rsidR="00F73262" w:rsidRPr="004635E5">
        <w:rPr>
          <w:sz w:val="22"/>
          <w:szCs w:val="22"/>
        </w:rPr>
        <w:t xml:space="preserve">as </w:t>
      </w:r>
      <w:r w:rsidRPr="004635E5">
        <w:rPr>
          <w:sz w:val="22"/>
          <w:szCs w:val="22"/>
        </w:rPr>
        <w:t>propose</w:t>
      </w:r>
      <w:r w:rsidR="00F73262" w:rsidRPr="004635E5">
        <w:rPr>
          <w:sz w:val="22"/>
          <w:szCs w:val="22"/>
        </w:rPr>
        <w:t>d</w:t>
      </w:r>
      <w:r w:rsidRPr="004635E5">
        <w:rPr>
          <w:sz w:val="22"/>
          <w:szCs w:val="22"/>
        </w:rPr>
        <w:t xml:space="preserve"> in </w:t>
      </w:r>
      <w:r w:rsidR="00F73262" w:rsidRPr="004635E5">
        <w:rPr>
          <w:sz w:val="22"/>
          <w:szCs w:val="22"/>
        </w:rPr>
        <w:t xml:space="preserve">the </w:t>
      </w:r>
      <w:r w:rsidRPr="004635E5">
        <w:rPr>
          <w:sz w:val="22"/>
          <w:szCs w:val="22"/>
        </w:rPr>
        <w:t>document as the reference case of spatial stratification in the next skipjack stock assessment.</w:t>
      </w:r>
    </w:p>
    <w:p w14:paraId="4261A792" w14:textId="77777777" w:rsidR="00B26471" w:rsidRPr="004635E5" w:rsidRDefault="00B26471" w:rsidP="006633A8">
      <w:pPr>
        <w:autoSpaceDE w:val="0"/>
        <w:autoSpaceDN w:val="0"/>
        <w:adjustRightInd w:val="0"/>
        <w:snapToGrid w:val="0"/>
        <w:jc w:val="both"/>
        <w:rPr>
          <w:sz w:val="22"/>
          <w:szCs w:val="22"/>
        </w:rPr>
      </w:pPr>
    </w:p>
    <w:p w14:paraId="37667324" w14:textId="77777777" w:rsidR="00B26471" w:rsidRPr="004635E5" w:rsidRDefault="00E675BF" w:rsidP="006633A8">
      <w:pPr>
        <w:pStyle w:val="ListParagraph"/>
        <w:adjustRightInd w:val="0"/>
        <w:snapToGrid w:val="0"/>
        <w:ind w:left="0"/>
        <w:jc w:val="both"/>
        <w:rPr>
          <w:b/>
          <w:sz w:val="22"/>
          <w:szCs w:val="22"/>
          <w:lang w:val="en-NZ"/>
        </w:rPr>
      </w:pPr>
      <w:r w:rsidRPr="004635E5">
        <w:rPr>
          <w:b/>
          <w:sz w:val="22"/>
          <w:szCs w:val="22"/>
          <w:lang w:val="en-NZ"/>
        </w:rPr>
        <w:t>Discussion</w:t>
      </w:r>
    </w:p>
    <w:p w14:paraId="705C0384" w14:textId="77777777" w:rsidR="00B26471" w:rsidRPr="004635E5" w:rsidRDefault="00B26471" w:rsidP="006633A8">
      <w:pPr>
        <w:pStyle w:val="ListParagraph"/>
        <w:adjustRightInd w:val="0"/>
        <w:snapToGrid w:val="0"/>
        <w:ind w:left="0"/>
        <w:jc w:val="both"/>
        <w:rPr>
          <w:b/>
          <w:sz w:val="22"/>
          <w:szCs w:val="22"/>
          <w:lang w:val="en-NZ"/>
        </w:rPr>
      </w:pPr>
    </w:p>
    <w:p w14:paraId="14FFDE2F" w14:textId="77777777" w:rsidR="00F44035" w:rsidRPr="004635E5" w:rsidRDefault="00F44035"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Indonesia </w:t>
      </w:r>
      <w:r w:rsidR="00A71B21" w:rsidRPr="004635E5">
        <w:rPr>
          <w:sz w:val="22"/>
          <w:szCs w:val="22"/>
          <w:lang w:val="en-NZ"/>
        </w:rPr>
        <w:t xml:space="preserve">inquired whether a </w:t>
      </w:r>
      <w:r w:rsidR="00B25BF6" w:rsidRPr="004635E5">
        <w:rPr>
          <w:sz w:val="22"/>
          <w:szCs w:val="22"/>
          <w:lang w:val="en-NZ"/>
        </w:rPr>
        <w:t>comp</w:t>
      </w:r>
      <w:r w:rsidR="00A71B21" w:rsidRPr="004635E5">
        <w:rPr>
          <w:sz w:val="22"/>
          <w:szCs w:val="22"/>
          <w:lang w:val="en-NZ"/>
        </w:rPr>
        <w:t>arison had been made of</w:t>
      </w:r>
      <w:r w:rsidR="00B25BF6" w:rsidRPr="004635E5">
        <w:rPr>
          <w:sz w:val="22"/>
          <w:szCs w:val="22"/>
          <w:lang w:val="en-NZ"/>
        </w:rPr>
        <w:t xml:space="preserve"> </w:t>
      </w:r>
      <w:r w:rsidR="00A71B21" w:rsidRPr="004635E5">
        <w:rPr>
          <w:sz w:val="22"/>
          <w:szCs w:val="22"/>
          <w:lang w:val="en-NZ"/>
        </w:rPr>
        <w:t xml:space="preserve">the </w:t>
      </w:r>
      <w:r w:rsidR="00B25BF6" w:rsidRPr="004635E5">
        <w:rPr>
          <w:sz w:val="22"/>
          <w:szCs w:val="22"/>
          <w:lang w:val="en-NZ"/>
        </w:rPr>
        <w:t>pot</w:t>
      </w:r>
      <w:r w:rsidR="00A71B21" w:rsidRPr="004635E5">
        <w:rPr>
          <w:sz w:val="22"/>
          <w:szCs w:val="22"/>
          <w:lang w:val="en-NZ"/>
        </w:rPr>
        <w:t>ential</w:t>
      </w:r>
      <w:r w:rsidR="00B25BF6" w:rsidRPr="004635E5">
        <w:rPr>
          <w:sz w:val="22"/>
          <w:szCs w:val="22"/>
          <w:lang w:val="en-NZ"/>
        </w:rPr>
        <w:t xml:space="preserve"> impact </w:t>
      </w:r>
      <w:r w:rsidR="00A71B21" w:rsidRPr="004635E5">
        <w:rPr>
          <w:sz w:val="22"/>
          <w:szCs w:val="22"/>
          <w:lang w:val="en-NZ"/>
        </w:rPr>
        <w:t xml:space="preserve">of </w:t>
      </w:r>
      <w:r w:rsidR="00B25BF6" w:rsidRPr="004635E5">
        <w:rPr>
          <w:sz w:val="22"/>
          <w:szCs w:val="22"/>
          <w:lang w:val="en-NZ"/>
        </w:rPr>
        <w:t>reg</w:t>
      </w:r>
      <w:r w:rsidR="00A71B21" w:rsidRPr="004635E5">
        <w:rPr>
          <w:sz w:val="22"/>
          <w:szCs w:val="22"/>
          <w:lang w:val="en-NZ"/>
        </w:rPr>
        <w:t>ional</w:t>
      </w:r>
      <w:r w:rsidR="00B25BF6" w:rsidRPr="004635E5">
        <w:rPr>
          <w:sz w:val="22"/>
          <w:szCs w:val="22"/>
          <w:lang w:val="en-NZ"/>
        </w:rPr>
        <w:t xml:space="preserve"> class</w:t>
      </w:r>
      <w:r w:rsidR="00A71B21" w:rsidRPr="004635E5">
        <w:rPr>
          <w:sz w:val="22"/>
          <w:szCs w:val="22"/>
          <w:lang w:val="en-NZ"/>
        </w:rPr>
        <w:t>ifications</w:t>
      </w:r>
      <w:r w:rsidR="00B25BF6" w:rsidRPr="004635E5">
        <w:rPr>
          <w:sz w:val="22"/>
          <w:szCs w:val="22"/>
          <w:lang w:val="en-NZ"/>
        </w:rPr>
        <w:t xml:space="preserve"> on stock status </w:t>
      </w:r>
      <w:r w:rsidR="00A71B21" w:rsidRPr="004635E5">
        <w:rPr>
          <w:sz w:val="22"/>
          <w:szCs w:val="22"/>
          <w:lang w:val="en-NZ"/>
        </w:rPr>
        <w:t xml:space="preserve">J. </w:t>
      </w:r>
      <w:r w:rsidR="00A71B21" w:rsidRPr="004635E5">
        <w:rPr>
          <w:sz w:val="22"/>
          <w:szCs w:val="22"/>
        </w:rPr>
        <w:t xml:space="preserve">Kinoshita </w:t>
      </w:r>
      <w:r w:rsidR="00A71B21" w:rsidRPr="004635E5">
        <w:rPr>
          <w:sz w:val="22"/>
          <w:szCs w:val="22"/>
          <w:lang w:val="en-NZ"/>
        </w:rPr>
        <w:t xml:space="preserve">indicated the </w:t>
      </w:r>
      <w:r w:rsidR="00807A1A" w:rsidRPr="004635E5">
        <w:rPr>
          <w:sz w:val="22"/>
          <w:szCs w:val="22"/>
          <w:lang w:val="en-NZ"/>
        </w:rPr>
        <w:t xml:space="preserve">last </w:t>
      </w:r>
      <w:r w:rsidR="00656FD8" w:rsidRPr="004635E5">
        <w:rPr>
          <w:sz w:val="22"/>
          <w:szCs w:val="22"/>
          <w:lang w:val="en-NZ"/>
        </w:rPr>
        <w:t>stock assessment</w:t>
      </w:r>
      <w:r w:rsidR="00807A1A" w:rsidRPr="004635E5">
        <w:rPr>
          <w:sz w:val="22"/>
          <w:szCs w:val="22"/>
          <w:lang w:val="en-NZ"/>
        </w:rPr>
        <w:t xml:space="preserve"> </w:t>
      </w:r>
      <w:r w:rsidR="007A6195" w:rsidRPr="004635E5">
        <w:rPr>
          <w:sz w:val="22"/>
          <w:szCs w:val="22"/>
          <w:lang w:val="en-NZ"/>
        </w:rPr>
        <w:t>was largely similar</w:t>
      </w:r>
      <w:r w:rsidR="00807A1A" w:rsidRPr="004635E5">
        <w:rPr>
          <w:sz w:val="22"/>
          <w:szCs w:val="22"/>
          <w:lang w:val="en-NZ"/>
        </w:rPr>
        <w:t>. SPC</w:t>
      </w:r>
      <w:r w:rsidR="00A71B21" w:rsidRPr="004635E5">
        <w:rPr>
          <w:sz w:val="22"/>
          <w:szCs w:val="22"/>
          <w:lang w:val="en-NZ"/>
        </w:rPr>
        <w:t xml:space="preserve"> indicated results had </w:t>
      </w:r>
      <w:r w:rsidR="00807A1A" w:rsidRPr="004635E5">
        <w:rPr>
          <w:sz w:val="22"/>
          <w:szCs w:val="22"/>
          <w:lang w:val="en-NZ"/>
        </w:rPr>
        <w:t xml:space="preserve">not </w:t>
      </w:r>
      <w:r w:rsidR="00A71B21" w:rsidRPr="004635E5">
        <w:rPr>
          <w:sz w:val="22"/>
          <w:szCs w:val="22"/>
          <w:lang w:val="en-NZ"/>
        </w:rPr>
        <w:t xml:space="preserve">been </w:t>
      </w:r>
      <w:r w:rsidR="00807A1A" w:rsidRPr="004635E5">
        <w:rPr>
          <w:sz w:val="22"/>
          <w:szCs w:val="22"/>
          <w:lang w:val="en-NZ"/>
        </w:rPr>
        <w:t xml:space="preserve">compared with tagging </w:t>
      </w:r>
      <w:r w:rsidR="00A71B21" w:rsidRPr="004635E5">
        <w:rPr>
          <w:sz w:val="22"/>
          <w:szCs w:val="22"/>
          <w:lang w:val="en-NZ"/>
        </w:rPr>
        <w:t>data.</w:t>
      </w:r>
      <w:r w:rsidR="00807A1A" w:rsidRPr="004635E5">
        <w:rPr>
          <w:sz w:val="22"/>
          <w:szCs w:val="22"/>
          <w:lang w:val="en-NZ"/>
        </w:rPr>
        <w:t xml:space="preserve"> </w:t>
      </w:r>
      <w:r w:rsidR="00EE2870" w:rsidRPr="004635E5">
        <w:rPr>
          <w:sz w:val="22"/>
          <w:szCs w:val="22"/>
          <w:lang w:val="en-NZ"/>
        </w:rPr>
        <w:t>SPC queried whether tagging data w</w:t>
      </w:r>
      <w:r w:rsidR="00EE2870">
        <w:rPr>
          <w:sz w:val="22"/>
          <w:szCs w:val="22"/>
          <w:lang w:val="en-NZ"/>
        </w:rPr>
        <w:t>ere</w:t>
      </w:r>
      <w:r w:rsidR="00EE2870" w:rsidRPr="004635E5">
        <w:rPr>
          <w:sz w:val="22"/>
          <w:szCs w:val="22"/>
          <w:lang w:val="en-NZ"/>
        </w:rPr>
        <w:t xml:space="preserve"> available to support estimates of movement among </w:t>
      </w:r>
      <w:r w:rsidR="00EE2870">
        <w:rPr>
          <w:sz w:val="22"/>
          <w:szCs w:val="22"/>
          <w:lang w:val="en-NZ"/>
        </w:rPr>
        <w:t xml:space="preserve">finer-scale </w:t>
      </w:r>
      <w:r w:rsidR="00EE2870" w:rsidRPr="004635E5">
        <w:rPr>
          <w:sz w:val="22"/>
          <w:szCs w:val="22"/>
          <w:lang w:val="en-NZ"/>
        </w:rPr>
        <w:t xml:space="preserve">northern regions. They noted </w:t>
      </w:r>
      <w:r w:rsidR="00346AB8">
        <w:rPr>
          <w:rFonts w:eastAsiaTheme="minorEastAsia" w:hint="eastAsia"/>
          <w:sz w:val="22"/>
          <w:szCs w:val="22"/>
          <w:lang w:val="en-NZ" w:eastAsia="ko-KR"/>
        </w:rPr>
        <w:t xml:space="preserve">that </w:t>
      </w:r>
      <w:r w:rsidR="00EE2870" w:rsidRPr="004635E5">
        <w:rPr>
          <w:sz w:val="22"/>
          <w:szCs w:val="22"/>
          <w:lang w:val="en-NZ"/>
        </w:rPr>
        <w:t>the skipjack stock assessment model was used to estimate regional</w:t>
      </w:r>
      <w:r w:rsidR="00EE2870">
        <w:rPr>
          <w:sz w:val="22"/>
          <w:szCs w:val="22"/>
          <w:lang w:val="en-NZ"/>
        </w:rPr>
        <w:t xml:space="preserve"> - rather than local -</w:t>
      </w:r>
      <w:r w:rsidR="00EE2870" w:rsidRPr="004635E5">
        <w:rPr>
          <w:sz w:val="22"/>
          <w:szCs w:val="22"/>
          <w:lang w:val="en-NZ"/>
        </w:rPr>
        <w:t xml:space="preserve"> stock status, and that tuna assessments need </w:t>
      </w:r>
      <w:r w:rsidR="00EE2870">
        <w:rPr>
          <w:sz w:val="22"/>
          <w:szCs w:val="22"/>
          <w:lang w:val="en-NZ"/>
        </w:rPr>
        <w:t xml:space="preserve">an appropriate </w:t>
      </w:r>
      <w:r w:rsidR="00EE2870" w:rsidRPr="004635E5">
        <w:rPr>
          <w:sz w:val="22"/>
          <w:szCs w:val="22"/>
          <w:lang w:val="en-NZ"/>
        </w:rPr>
        <w:t>spatial resolution</w:t>
      </w:r>
      <w:r w:rsidR="00EE2870">
        <w:rPr>
          <w:sz w:val="22"/>
          <w:szCs w:val="22"/>
          <w:lang w:val="en-NZ"/>
        </w:rPr>
        <w:t xml:space="preserve"> to capture stock and fishery characteristics</w:t>
      </w:r>
      <w:r w:rsidR="00EE2870" w:rsidRPr="004635E5">
        <w:rPr>
          <w:sz w:val="22"/>
          <w:szCs w:val="22"/>
          <w:lang w:val="en-NZ"/>
        </w:rPr>
        <w:t xml:space="preserve">. SPC noted that if one region generated only 5% of catch </w:t>
      </w:r>
      <w:r w:rsidR="00EE2870">
        <w:rPr>
          <w:sz w:val="22"/>
          <w:szCs w:val="22"/>
          <w:lang w:val="en-NZ"/>
        </w:rPr>
        <w:t xml:space="preserve">further division of this region </w:t>
      </w:r>
      <w:r w:rsidR="00EE2870" w:rsidRPr="004635E5">
        <w:rPr>
          <w:sz w:val="22"/>
          <w:szCs w:val="22"/>
          <w:lang w:val="en-NZ"/>
        </w:rPr>
        <w:t>could cause problems in future</w:t>
      </w:r>
      <w:r w:rsidR="00EE2870">
        <w:rPr>
          <w:sz w:val="22"/>
          <w:szCs w:val="22"/>
          <w:lang w:val="en-NZ"/>
        </w:rPr>
        <w:t xml:space="preserve"> assessments</w:t>
      </w:r>
      <w:r w:rsidR="00EE2870" w:rsidRPr="004635E5">
        <w:rPr>
          <w:sz w:val="22"/>
          <w:szCs w:val="22"/>
          <w:lang w:val="en-NZ"/>
        </w:rPr>
        <w:t xml:space="preserve">. </w:t>
      </w:r>
      <w:r w:rsidR="00DE2514" w:rsidRPr="004635E5">
        <w:rPr>
          <w:sz w:val="22"/>
          <w:szCs w:val="22"/>
          <w:lang w:val="en-NZ"/>
        </w:rPr>
        <w:t xml:space="preserve">J. </w:t>
      </w:r>
      <w:r w:rsidR="00DE2514" w:rsidRPr="004635E5">
        <w:rPr>
          <w:sz w:val="22"/>
          <w:szCs w:val="22"/>
        </w:rPr>
        <w:t>Kinoshita</w:t>
      </w:r>
      <w:r w:rsidR="00807A1A" w:rsidRPr="004635E5">
        <w:rPr>
          <w:sz w:val="22"/>
          <w:szCs w:val="22"/>
          <w:lang w:val="en-NZ"/>
        </w:rPr>
        <w:t xml:space="preserve"> </w:t>
      </w:r>
      <w:r w:rsidR="00DE2514" w:rsidRPr="004635E5">
        <w:rPr>
          <w:sz w:val="22"/>
          <w:szCs w:val="22"/>
          <w:lang w:val="en-NZ"/>
        </w:rPr>
        <w:t xml:space="preserve">noted they addressed </w:t>
      </w:r>
      <w:r w:rsidR="00656FD8" w:rsidRPr="004635E5">
        <w:rPr>
          <w:sz w:val="22"/>
          <w:szCs w:val="22"/>
          <w:lang w:val="en-NZ"/>
        </w:rPr>
        <w:t>skipjack</w:t>
      </w:r>
      <w:r w:rsidR="00807A1A" w:rsidRPr="004635E5">
        <w:rPr>
          <w:sz w:val="22"/>
          <w:szCs w:val="22"/>
          <w:lang w:val="en-NZ"/>
        </w:rPr>
        <w:t xml:space="preserve"> move</w:t>
      </w:r>
      <w:r w:rsidR="00DE2514" w:rsidRPr="004635E5">
        <w:rPr>
          <w:sz w:val="22"/>
          <w:szCs w:val="22"/>
          <w:lang w:val="en-NZ"/>
        </w:rPr>
        <w:t>ment</w:t>
      </w:r>
      <w:r w:rsidR="00807A1A" w:rsidRPr="004635E5">
        <w:rPr>
          <w:sz w:val="22"/>
          <w:szCs w:val="22"/>
          <w:lang w:val="en-NZ"/>
        </w:rPr>
        <w:t xml:space="preserve"> and dist</w:t>
      </w:r>
      <w:r w:rsidR="00DE2514" w:rsidRPr="004635E5">
        <w:rPr>
          <w:sz w:val="22"/>
          <w:szCs w:val="22"/>
          <w:lang w:val="en-NZ"/>
        </w:rPr>
        <w:t>ribution</w:t>
      </w:r>
      <w:r w:rsidR="00807A1A" w:rsidRPr="004635E5">
        <w:rPr>
          <w:sz w:val="22"/>
          <w:szCs w:val="22"/>
          <w:lang w:val="en-NZ"/>
        </w:rPr>
        <w:t xml:space="preserve"> based on size data, </w:t>
      </w:r>
      <w:r w:rsidR="00DE2514" w:rsidRPr="004635E5">
        <w:rPr>
          <w:sz w:val="22"/>
          <w:szCs w:val="22"/>
          <w:lang w:val="en-NZ"/>
        </w:rPr>
        <w:t xml:space="preserve">and acknowledged </w:t>
      </w:r>
      <w:r w:rsidR="00807A1A" w:rsidRPr="004635E5">
        <w:rPr>
          <w:sz w:val="22"/>
          <w:szCs w:val="22"/>
          <w:lang w:val="en-NZ"/>
        </w:rPr>
        <w:t>concerns re</w:t>
      </w:r>
      <w:r w:rsidR="00AF73D5" w:rsidRPr="004635E5">
        <w:rPr>
          <w:sz w:val="22"/>
          <w:szCs w:val="22"/>
          <w:lang w:val="en-NZ"/>
        </w:rPr>
        <w:t>garding</w:t>
      </w:r>
      <w:r w:rsidR="00807A1A" w:rsidRPr="004635E5">
        <w:rPr>
          <w:sz w:val="22"/>
          <w:szCs w:val="22"/>
          <w:lang w:val="en-NZ"/>
        </w:rPr>
        <w:t xml:space="preserve"> spatial struct</w:t>
      </w:r>
      <w:r w:rsidR="00DE2514" w:rsidRPr="004635E5">
        <w:rPr>
          <w:sz w:val="22"/>
          <w:szCs w:val="22"/>
          <w:lang w:val="en-NZ"/>
        </w:rPr>
        <w:t>u</w:t>
      </w:r>
      <w:r w:rsidR="00807A1A" w:rsidRPr="004635E5">
        <w:rPr>
          <w:sz w:val="22"/>
          <w:szCs w:val="22"/>
          <w:lang w:val="en-NZ"/>
        </w:rPr>
        <w:t>re and assessment</w:t>
      </w:r>
      <w:r w:rsidR="00DE2514" w:rsidRPr="004635E5">
        <w:rPr>
          <w:sz w:val="22"/>
          <w:szCs w:val="22"/>
          <w:lang w:val="en-NZ"/>
        </w:rPr>
        <w:t>s</w:t>
      </w:r>
      <w:r w:rsidR="00A16680" w:rsidRPr="004635E5">
        <w:rPr>
          <w:sz w:val="22"/>
          <w:szCs w:val="22"/>
          <w:lang w:val="en-NZ"/>
        </w:rPr>
        <w:t xml:space="preserve">. </w:t>
      </w:r>
      <w:r w:rsidR="00807A1A" w:rsidRPr="004635E5">
        <w:rPr>
          <w:sz w:val="22"/>
          <w:szCs w:val="22"/>
          <w:lang w:val="en-NZ"/>
        </w:rPr>
        <w:t>Aus</w:t>
      </w:r>
      <w:r w:rsidR="00DE2514" w:rsidRPr="004635E5">
        <w:rPr>
          <w:sz w:val="22"/>
          <w:szCs w:val="22"/>
          <w:lang w:val="en-NZ"/>
        </w:rPr>
        <w:t xml:space="preserve">tralia </w:t>
      </w:r>
      <w:r w:rsidR="00164DDB" w:rsidRPr="004635E5">
        <w:rPr>
          <w:sz w:val="22"/>
          <w:szCs w:val="22"/>
          <w:lang w:val="en-NZ"/>
        </w:rPr>
        <w:t xml:space="preserve">noted it was </w:t>
      </w:r>
      <w:r w:rsidR="00807A1A" w:rsidRPr="004635E5">
        <w:rPr>
          <w:sz w:val="22"/>
          <w:szCs w:val="22"/>
          <w:lang w:val="en-NZ"/>
        </w:rPr>
        <w:t xml:space="preserve">useful to define spatial regions for </w:t>
      </w:r>
      <w:r w:rsidR="00371E39">
        <w:rPr>
          <w:rFonts w:eastAsiaTheme="minorEastAsia" w:hint="eastAsia"/>
          <w:sz w:val="22"/>
          <w:szCs w:val="22"/>
          <w:lang w:val="en-NZ" w:eastAsia="ko-KR"/>
        </w:rPr>
        <w:t>stock assessments</w:t>
      </w:r>
      <w:r w:rsidR="00371E39" w:rsidRPr="004635E5">
        <w:rPr>
          <w:sz w:val="22"/>
          <w:szCs w:val="22"/>
          <w:lang w:val="en-NZ"/>
        </w:rPr>
        <w:t xml:space="preserve"> </w:t>
      </w:r>
      <w:r w:rsidR="00807A1A" w:rsidRPr="004635E5">
        <w:rPr>
          <w:sz w:val="22"/>
          <w:szCs w:val="22"/>
          <w:lang w:val="en-NZ"/>
        </w:rPr>
        <w:t xml:space="preserve">on </w:t>
      </w:r>
      <w:r w:rsidR="00164DDB" w:rsidRPr="004635E5">
        <w:rPr>
          <w:sz w:val="22"/>
          <w:szCs w:val="22"/>
          <w:lang w:val="en-NZ"/>
        </w:rPr>
        <w:t xml:space="preserve">biological </w:t>
      </w:r>
      <w:r w:rsidR="00807A1A" w:rsidRPr="004635E5">
        <w:rPr>
          <w:sz w:val="22"/>
          <w:szCs w:val="22"/>
          <w:lang w:val="en-NZ"/>
        </w:rPr>
        <w:t xml:space="preserve">grounds and not management grounds. </w:t>
      </w:r>
      <w:r w:rsidR="00164DDB" w:rsidRPr="004635E5">
        <w:rPr>
          <w:sz w:val="22"/>
          <w:szCs w:val="22"/>
          <w:lang w:val="en-NZ"/>
        </w:rPr>
        <w:t xml:space="preserve">He noted there was </w:t>
      </w:r>
      <w:r w:rsidR="00807A1A" w:rsidRPr="004635E5">
        <w:rPr>
          <w:sz w:val="22"/>
          <w:szCs w:val="22"/>
          <w:lang w:val="en-NZ"/>
        </w:rPr>
        <w:t xml:space="preserve">scope to do something with the </w:t>
      </w:r>
      <w:r w:rsidR="00656FD8" w:rsidRPr="004635E5">
        <w:rPr>
          <w:sz w:val="22"/>
          <w:szCs w:val="22"/>
          <w:lang w:val="en-NZ"/>
        </w:rPr>
        <w:t>skipjack</w:t>
      </w:r>
      <w:r w:rsidR="00807A1A" w:rsidRPr="004635E5">
        <w:rPr>
          <w:sz w:val="22"/>
          <w:szCs w:val="22"/>
          <w:lang w:val="en-NZ"/>
        </w:rPr>
        <w:t xml:space="preserve"> assessment</w:t>
      </w:r>
      <w:r w:rsidR="00164DDB" w:rsidRPr="004635E5">
        <w:rPr>
          <w:sz w:val="22"/>
          <w:szCs w:val="22"/>
          <w:lang w:val="en-NZ"/>
        </w:rPr>
        <w:t>, and</w:t>
      </w:r>
      <w:r w:rsidR="001F3FF4">
        <w:rPr>
          <w:sz w:val="22"/>
          <w:szCs w:val="22"/>
          <w:lang w:val="en-NZ"/>
        </w:rPr>
        <w:t xml:space="preserve"> </w:t>
      </w:r>
      <w:r w:rsidR="00164DDB" w:rsidRPr="004635E5">
        <w:rPr>
          <w:sz w:val="22"/>
          <w:szCs w:val="22"/>
          <w:lang w:val="en-NZ"/>
        </w:rPr>
        <w:t xml:space="preserve">acknowledged </w:t>
      </w:r>
      <w:r w:rsidR="00807A1A" w:rsidRPr="004635E5">
        <w:rPr>
          <w:sz w:val="22"/>
          <w:szCs w:val="22"/>
          <w:lang w:val="en-NZ"/>
        </w:rPr>
        <w:t>SPC</w:t>
      </w:r>
      <w:r w:rsidR="00164DDB" w:rsidRPr="004635E5">
        <w:rPr>
          <w:sz w:val="22"/>
          <w:szCs w:val="22"/>
          <w:lang w:val="en-NZ"/>
        </w:rPr>
        <w:t>’s</w:t>
      </w:r>
      <w:r w:rsidR="00807A1A" w:rsidRPr="004635E5">
        <w:rPr>
          <w:sz w:val="22"/>
          <w:szCs w:val="22"/>
          <w:lang w:val="en-NZ"/>
        </w:rPr>
        <w:t xml:space="preserve"> obs</w:t>
      </w:r>
      <w:r w:rsidR="00164DDB" w:rsidRPr="004635E5">
        <w:rPr>
          <w:sz w:val="22"/>
          <w:szCs w:val="22"/>
          <w:lang w:val="en-NZ"/>
        </w:rPr>
        <w:t>ervations</w:t>
      </w:r>
      <w:r w:rsidR="001F3FF4">
        <w:rPr>
          <w:sz w:val="22"/>
          <w:szCs w:val="22"/>
          <w:lang w:val="en-NZ"/>
        </w:rPr>
        <w:t xml:space="preserve"> </w:t>
      </w:r>
      <w:r w:rsidR="00164DDB" w:rsidRPr="004635E5">
        <w:rPr>
          <w:sz w:val="22"/>
          <w:szCs w:val="22"/>
          <w:lang w:val="en-NZ"/>
        </w:rPr>
        <w:t>regarding</w:t>
      </w:r>
      <w:r w:rsidR="001F3FF4">
        <w:rPr>
          <w:sz w:val="22"/>
          <w:szCs w:val="22"/>
          <w:lang w:val="en-NZ"/>
        </w:rPr>
        <w:t xml:space="preserve"> </w:t>
      </w:r>
      <w:r w:rsidR="00807A1A" w:rsidRPr="004635E5">
        <w:rPr>
          <w:sz w:val="22"/>
          <w:szCs w:val="22"/>
          <w:lang w:val="en-NZ"/>
        </w:rPr>
        <w:t xml:space="preserve">the </w:t>
      </w:r>
      <w:r w:rsidR="00656FD8" w:rsidRPr="004635E5">
        <w:rPr>
          <w:sz w:val="22"/>
          <w:szCs w:val="22"/>
          <w:lang w:val="en-NZ"/>
        </w:rPr>
        <w:t>skipjack</w:t>
      </w:r>
      <w:r w:rsidR="00807A1A" w:rsidRPr="004635E5">
        <w:rPr>
          <w:sz w:val="22"/>
          <w:szCs w:val="22"/>
          <w:lang w:val="en-NZ"/>
        </w:rPr>
        <w:t xml:space="preserve"> </w:t>
      </w:r>
      <w:r w:rsidR="00656FD8" w:rsidRPr="004635E5">
        <w:rPr>
          <w:sz w:val="22"/>
          <w:szCs w:val="22"/>
          <w:lang w:val="en-NZ"/>
        </w:rPr>
        <w:t>stock assessment</w:t>
      </w:r>
      <w:r w:rsidR="00807A1A" w:rsidRPr="004635E5">
        <w:rPr>
          <w:b/>
          <w:sz w:val="22"/>
          <w:szCs w:val="22"/>
          <w:lang w:val="en-NZ"/>
        </w:rPr>
        <w:t>.</w:t>
      </w:r>
    </w:p>
    <w:p w14:paraId="36FB7509" w14:textId="77777777" w:rsidR="00B26471" w:rsidRPr="004635E5" w:rsidRDefault="00B26471" w:rsidP="006633A8">
      <w:pPr>
        <w:autoSpaceDE w:val="0"/>
        <w:autoSpaceDN w:val="0"/>
        <w:adjustRightInd w:val="0"/>
        <w:snapToGrid w:val="0"/>
        <w:jc w:val="both"/>
        <w:rPr>
          <w:sz w:val="22"/>
          <w:szCs w:val="22"/>
          <w:lang w:val="en-NZ"/>
        </w:rPr>
      </w:pPr>
    </w:p>
    <w:p w14:paraId="67C5AA71" w14:textId="77777777" w:rsidR="00AF73D5" w:rsidRPr="004635E5" w:rsidRDefault="00807A1A"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SPC</w:t>
      </w:r>
      <w:r w:rsidR="00164DDB" w:rsidRPr="004635E5">
        <w:rPr>
          <w:sz w:val="22"/>
          <w:szCs w:val="22"/>
          <w:lang w:val="en-NZ"/>
        </w:rPr>
        <w:t xml:space="preserve"> </w:t>
      </w:r>
      <w:r w:rsidR="00EE2870">
        <w:rPr>
          <w:sz w:val="22"/>
          <w:szCs w:val="22"/>
          <w:lang w:val="en-NZ"/>
        </w:rPr>
        <w:t>queried the approach taken to</w:t>
      </w:r>
      <w:r w:rsidR="00EE2870" w:rsidRPr="004635E5">
        <w:rPr>
          <w:sz w:val="22"/>
          <w:szCs w:val="22"/>
          <w:lang w:val="en-NZ"/>
        </w:rPr>
        <w:t xml:space="preserve"> </w:t>
      </w:r>
      <w:r w:rsidR="00164DDB" w:rsidRPr="004635E5">
        <w:rPr>
          <w:sz w:val="22"/>
          <w:szCs w:val="22"/>
          <w:lang w:val="en-NZ"/>
        </w:rPr>
        <w:t>the selection of clusters</w:t>
      </w:r>
      <w:r w:rsidR="00EE2870">
        <w:rPr>
          <w:rFonts w:eastAsiaTheme="minorEastAsia" w:hint="eastAsia"/>
          <w:sz w:val="22"/>
          <w:szCs w:val="22"/>
          <w:lang w:val="en-NZ" w:eastAsia="ko-KR"/>
        </w:rPr>
        <w:t>,</w:t>
      </w:r>
      <w:r w:rsidR="00164DDB" w:rsidRPr="004635E5">
        <w:rPr>
          <w:sz w:val="22"/>
          <w:szCs w:val="22"/>
          <w:lang w:val="en-NZ"/>
        </w:rPr>
        <w:t xml:space="preserve"> and the </w:t>
      </w:r>
      <w:r w:rsidR="00EE2870">
        <w:rPr>
          <w:sz w:val="22"/>
          <w:szCs w:val="22"/>
          <w:lang w:val="en-NZ"/>
        </w:rPr>
        <w:t xml:space="preserve">resulting </w:t>
      </w:r>
      <w:r w:rsidR="00164DDB" w:rsidRPr="004635E5">
        <w:rPr>
          <w:sz w:val="22"/>
          <w:szCs w:val="22"/>
          <w:lang w:val="en-NZ"/>
        </w:rPr>
        <w:t xml:space="preserve">impact on </w:t>
      </w:r>
      <w:r w:rsidRPr="004635E5">
        <w:rPr>
          <w:sz w:val="22"/>
          <w:szCs w:val="22"/>
          <w:lang w:val="en-NZ"/>
        </w:rPr>
        <w:t>proposed region structure</w:t>
      </w:r>
      <w:r w:rsidR="00164DDB" w:rsidRPr="004635E5">
        <w:rPr>
          <w:sz w:val="22"/>
          <w:szCs w:val="22"/>
          <w:lang w:val="en-NZ"/>
        </w:rPr>
        <w:t xml:space="preserve">. </w:t>
      </w:r>
      <w:r w:rsidR="00F73262" w:rsidRPr="004635E5">
        <w:rPr>
          <w:sz w:val="22"/>
          <w:szCs w:val="22"/>
          <w:lang w:val="en-GB"/>
        </w:rPr>
        <w:t xml:space="preserve">H. </w:t>
      </w:r>
      <w:r w:rsidR="00F73262" w:rsidRPr="004635E5">
        <w:rPr>
          <w:sz w:val="22"/>
          <w:szCs w:val="22"/>
        </w:rPr>
        <w:t>Kiyofuji</w:t>
      </w:r>
      <w:r w:rsidR="00F73262" w:rsidRPr="004635E5">
        <w:rPr>
          <w:sz w:val="22"/>
          <w:szCs w:val="22"/>
          <w:lang w:val="en-NZ"/>
        </w:rPr>
        <w:t xml:space="preserve"> </w:t>
      </w:r>
      <w:r w:rsidR="00164DDB" w:rsidRPr="004635E5">
        <w:rPr>
          <w:sz w:val="22"/>
          <w:szCs w:val="22"/>
          <w:lang w:val="en-NZ"/>
        </w:rPr>
        <w:t xml:space="preserve">confirmed </w:t>
      </w:r>
      <w:r w:rsidR="00346AB8">
        <w:rPr>
          <w:rFonts w:eastAsiaTheme="minorEastAsia" w:hint="eastAsia"/>
          <w:sz w:val="22"/>
          <w:szCs w:val="22"/>
          <w:lang w:val="en-NZ" w:eastAsia="ko-KR"/>
        </w:rPr>
        <w:t xml:space="preserve">that </w:t>
      </w:r>
      <w:r w:rsidR="00164DDB" w:rsidRPr="004635E5">
        <w:rPr>
          <w:sz w:val="22"/>
          <w:szCs w:val="22"/>
          <w:lang w:val="en-NZ"/>
        </w:rPr>
        <w:t xml:space="preserve">there were </w:t>
      </w:r>
      <w:r w:rsidR="00AF73D5" w:rsidRPr="004635E5">
        <w:rPr>
          <w:sz w:val="22"/>
          <w:szCs w:val="22"/>
          <w:lang w:val="en-NZ"/>
        </w:rPr>
        <w:t xml:space="preserve">various ways </w:t>
      </w:r>
      <w:r w:rsidR="00A316A4" w:rsidRPr="004635E5">
        <w:rPr>
          <w:sz w:val="22"/>
          <w:szCs w:val="22"/>
          <w:lang w:val="en-NZ"/>
        </w:rPr>
        <w:t xml:space="preserve">to decide </w:t>
      </w:r>
      <w:r w:rsidR="00164DDB" w:rsidRPr="004635E5">
        <w:rPr>
          <w:sz w:val="22"/>
          <w:szCs w:val="22"/>
          <w:lang w:val="en-NZ"/>
        </w:rPr>
        <w:t xml:space="preserve">the </w:t>
      </w:r>
      <w:r w:rsidR="00AF73D5" w:rsidRPr="004635E5">
        <w:rPr>
          <w:sz w:val="22"/>
          <w:szCs w:val="22"/>
          <w:lang w:val="en-NZ"/>
        </w:rPr>
        <w:t xml:space="preserve">number </w:t>
      </w:r>
      <w:r w:rsidR="00A316A4" w:rsidRPr="004635E5">
        <w:rPr>
          <w:sz w:val="22"/>
          <w:szCs w:val="22"/>
          <w:lang w:val="en-NZ"/>
        </w:rPr>
        <w:t xml:space="preserve">of clusters, </w:t>
      </w:r>
      <w:r w:rsidR="00AF73D5" w:rsidRPr="004635E5">
        <w:rPr>
          <w:sz w:val="22"/>
          <w:szCs w:val="22"/>
          <w:lang w:val="en-NZ"/>
        </w:rPr>
        <w:t xml:space="preserve">and </w:t>
      </w:r>
      <w:r w:rsidR="00164DDB" w:rsidRPr="004635E5">
        <w:rPr>
          <w:sz w:val="22"/>
          <w:szCs w:val="22"/>
          <w:lang w:val="en-NZ"/>
        </w:rPr>
        <w:t>s</w:t>
      </w:r>
      <w:r w:rsidR="00AF73D5" w:rsidRPr="004635E5">
        <w:rPr>
          <w:sz w:val="22"/>
          <w:szCs w:val="22"/>
          <w:lang w:val="en-NZ"/>
        </w:rPr>
        <w:t>t</w:t>
      </w:r>
      <w:r w:rsidR="00164DDB" w:rsidRPr="004635E5">
        <w:rPr>
          <w:sz w:val="22"/>
          <w:szCs w:val="22"/>
          <w:lang w:val="en-NZ"/>
        </w:rPr>
        <w:t xml:space="preserve">ated they would </w:t>
      </w:r>
      <w:r w:rsidR="00A316A4" w:rsidRPr="004635E5">
        <w:rPr>
          <w:sz w:val="22"/>
          <w:szCs w:val="22"/>
          <w:lang w:val="en-NZ"/>
        </w:rPr>
        <w:t xml:space="preserve">try to use other factors than </w:t>
      </w:r>
      <w:r w:rsidR="0026234A" w:rsidRPr="004635E5">
        <w:rPr>
          <w:sz w:val="22"/>
          <w:szCs w:val="22"/>
        </w:rPr>
        <w:t xml:space="preserve">BIC </w:t>
      </w:r>
      <w:r w:rsidR="00164DDB" w:rsidRPr="004635E5">
        <w:rPr>
          <w:sz w:val="22"/>
          <w:szCs w:val="22"/>
          <w:lang w:val="en-NZ"/>
        </w:rPr>
        <w:t xml:space="preserve">and </w:t>
      </w:r>
      <w:r w:rsidR="00A316A4" w:rsidRPr="004635E5">
        <w:rPr>
          <w:sz w:val="22"/>
          <w:szCs w:val="22"/>
          <w:lang w:val="en-NZ"/>
        </w:rPr>
        <w:t xml:space="preserve">consider </w:t>
      </w:r>
      <w:r w:rsidR="00164DDB" w:rsidRPr="004635E5">
        <w:rPr>
          <w:sz w:val="22"/>
          <w:szCs w:val="22"/>
          <w:lang w:val="en-NZ"/>
        </w:rPr>
        <w:t xml:space="preserve">these </w:t>
      </w:r>
      <w:r w:rsidR="00A316A4" w:rsidRPr="004635E5">
        <w:rPr>
          <w:sz w:val="22"/>
          <w:szCs w:val="22"/>
          <w:lang w:val="en-NZ"/>
        </w:rPr>
        <w:t xml:space="preserve">for future work. </w:t>
      </w:r>
      <w:r w:rsidR="00C35FEA" w:rsidRPr="004635E5">
        <w:rPr>
          <w:sz w:val="22"/>
          <w:szCs w:val="22"/>
          <w:lang w:val="en-NZ"/>
        </w:rPr>
        <w:t xml:space="preserve">He confirmed the </w:t>
      </w:r>
      <w:r w:rsidR="00AF73D5" w:rsidRPr="004635E5">
        <w:rPr>
          <w:sz w:val="22"/>
          <w:szCs w:val="22"/>
          <w:lang w:val="en-NZ"/>
        </w:rPr>
        <w:t xml:space="preserve">number </w:t>
      </w:r>
      <w:r w:rsidR="00A316A4" w:rsidRPr="004635E5">
        <w:rPr>
          <w:sz w:val="22"/>
          <w:szCs w:val="22"/>
          <w:lang w:val="en-NZ"/>
        </w:rPr>
        <w:t>of clusters impact</w:t>
      </w:r>
      <w:r w:rsidR="00AF73D5" w:rsidRPr="004635E5">
        <w:rPr>
          <w:sz w:val="22"/>
          <w:szCs w:val="22"/>
          <w:lang w:val="en-NZ"/>
        </w:rPr>
        <w:t>ed</w:t>
      </w:r>
      <w:r w:rsidR="00A316A4" w:rsidRPr="004635E5">
        <w:rPr>
          <w:sz w:val="22"/>
          <w:szCs w:val="22"/>
          <w:lang w:val="en-NZ"/>
        </w:rPr>
        <w:t xml:space="preserve"> </w:t>
      </w:r>
      <w:r w:rsidR="00AF73D5" w:rsidRPr="004635E5">
        <w:rPr>
          <w:sz w:val="22"/>
          <w:szCs w:val="22"/>
          <w:lang w:val="en-NZ"/>
        </w:rPr>
        <w:t xml:space="preserve">the </w:t>
      </w:r>
      <w:r w:rsidR="00A316A4" w:rsidRPr="004635E5">
        <w:rPr>
          <w:sz w:val="22"/>
          <w:szCs w:val="22"/>
          <w:lang w:val="en-NZ"/>
        </w:rPr>
        <w:t xml:space="preserve">area definition. </w:t>
      </w:r>
      <w:r w:rsidR="00AF73D5" w:rsidRPr="004635E5">
        <w:rPr>
          <w:sz w:val="22"/>
          <w:szCs w:val="22"/>
          <w:lang w:val="en-NZ"/>
        </w:rPr>
        <w:t xml:space="preserve">In response to a query by </w:t>
      </w:r>
      <w:r w:rsidR="00A316A4" w:rsidRPr="004635E5">
        <w:rPr>
          <w:sz w:val="22"/>
          <w:szCs w:val="22"/>
          <w:lang w:val="en-NZ"/>
        </w:rPr>
        <w:t>Indo</w:t>
      </w:r>
      <w:r w:rsidR="00C35FEA" w:rsidRPr="004635E5">
        <w:rPr>
          <w:sz w:val="22"/>
          <w:szCs w:val="22"/>
          <w:lang w:val="en-NZ"/>
        </w:rPr>
        <w:t>nesia</w:t>
      </w:r>
      <w:r w:rsidR="00AF73D5" w:rsidRPr="004635E5">
        <w:rPr>
          <w:sz w:val="22"/>
          <w:szCs w:val="22"/>
          <w:lang w:val="en-NZ"/>
        </w:rPr>
        <w:t>, the author</w:t>
      </w:r>
      <w:r w:rsidR="00C35FEA" w:rsidRPr="004635E5">
        <w:rPr>
          <w:sz w:val="22"/>
          <w:szCs w:val="22"/>
          <w:lang w:val="en-NZ"/>
        </w:rPr>
        <w:t xml:space="preserve"> </w:t>
      </w:r>
      <w:r w:rsidR="00AF73D5" w:rsidRPr="004635E5">
        <w:rPr>
          <w:sz w:val="22"/>
          <w:szCs w:val="22"/>
          <w:lang w:val="en-NZ"/>
        </w:rPr>
        <w:t xml:space="preserve">stated </w:t>
      </w:r>
      <w:r w:rsidR="00A316A4" w:rsidRPr="004635E5">
        <w:rPr>
          <w:sz w:val="22"/>
          <w:szCs w:val="22"/>
          <w:lang w:val="en-NZ"/>
        </w:rPr>
        <w:t>environ</w:t>
      </w:r>
      <w:r w:rsidR="00C35FEA" w:rsidRPr="004635E5">
        <w:rPr>
          <w:sz w:val="22"/>
          <w:szCs w:val="22"/>
          <w:lang w:val="en-NZ"/>
        </w:rPr>
        <w:t>mental</w:t>
      </w:r>
      <w:r w:rsidR="00A316A4" w:rsidRPr="004635E5">
        <w:rPr>
          <w:sz w:val="22"/>
          <w:szCs w:val="22"/>
          <w:lang w:val="en-NZ"/>
        </w:rPr>
        <w:t xml:space="preserve"> conditions </w:t>
      </w:r>
      <w:r w:rsidR="00AF73D5" w:rsidRPr="004635E5">
        <w:rPr>
          <w:sz w:val="22"/>
          <w:szCs w:val="22"/>
          <w:lang w:val="en-NZ"/>
        </w:rPr>
        <w:t xml:space="preserve">(ocean current) </w:t>
      </w:r>
      <w:r w:rsidR="00C35FEA" w:rsidRPr="004635E5">
        <w:rPr>
          <w:sz w:val="22"/>
          <w:szCs w:val="22"/>
          <w:lang w:val="en-NZ"/>
        </w:rPr>
        <w:t xml:space="preserve">could be considered </w:t>
      </w:r>
      <w:r w:rsidR="00A316A4" w:rsidRPr="004635E5">
        <w:rPr>
          <w:sz w:val="22"/>
          <w:szCs w:val="22"/>
          <w:lang w:val="en-NZ"/>
        </w:rPr>
        <w:t xml:space="preserve">when </w:t>
      </w:r>
      <w:r w:rsidR="00C35FEA" w:rsidRPr="004635E5">
        <w:rPr>
          <w:sz w:val="22"/>
          <w:szCs w:val="22"/>
          <w:lang w:val="en-NZ"/>
        </w:rPr>
        <w:t>deciding</w:t>
      </w:r>
      <w:r w:rsidR="00A316A4" w:rsidRPr="004635E5">
        <w:rPr>
          <w:sz w:val="22"/>
          <w:szCs w:val="22"/>
          <w:lang w:val="en-NZ"/>
        </w:rPr>
        <w:t xml:space="preserve"> on clusters</w:t>
      </w:r>
      <w:r w:rsidR="00C35FEA" w:rsidRPr="004635E5">
        <w:rPr>
          <w:sz w:val="22"/>
          <w:szCs w:val="22"/>
          <w:lang w:val="en-NZ"/>
        </w:rPr>
        <w:t>.</w:t>
      </w:r>
      <w:r w:rsidR="00A316A4" w:rsidRPr="004635E5">
        <w:rPr>
          <w:sz w:val="22"/>
          <w:szCs w:val="22"/>
          <w:lang w:val="en-NZ"/>
        </w:rPr>
        <w:t xml:space="preserve"> </w:t>
      </w:r>
    </w:p>
    <w:p w14:paraId="25289887" w14:textId="77777777" w:rsidR="00B26471" w:rsidRPr="004635E5" w:rsidRDefault="00B26471" w:rsidP="006633A8">
      <w:pPr>
        <w:autoSpaceDE w:val="0"/>
        <w:autoSpaceDN w:val="0"/>
        <w:adjustRightInd w:val="0"/>
        <w:snapToGrid w:val="0"/>
        <w:jc w:val="both"/>
        <w:rPr>
          <w:sz w:val="22"/>
          <w:szCs w:val="22"/>
          <w:lang w:val="en-NZ"/>
        </w:rPr>
      </w:pPr>
    </w:p>
    <w:p w14:paraId="217046F7" w14:textId="77777777" w:rsidR="00F76E47" w:rsidRPr="004635E5" w:rsidRDefault="003B1DE5"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Japan</w:t>
      </w:r>
      <w:r w:rsidR="001F3FF4">
        <w:rPr>
          <w:sz w:val="22"/>
          <w:szCs w:val="22"/>
          <w:lang w:val="en-NZ"/>
        </w:rPr>
        <w:t xml:space="preserve"> </w:t>
      </w:r>
      <w:r w:rsidR="00C35FEA" w:rsidRPr="004635E5">
        <w:rPr>
          <w:sz w:val="22"/>
          <w:szCs w:val="22"/>
          <w:lang w:val="en-NZ"/>
        </w:rPr>
        <w:t xml:space="preserve">noted that the </w:t>
      </w:r>
      <w:r w:rsidRPr="004635E5">
        <w:rPr>
          <w:sz w:val="22"/>
          <w:szCs w:val="22"/>
          <w:lang w:val="en-NZ"/>
        </w:rPr>
        <w:t>prop</w:t>
      </w:r>
      <w:r w:rsidR="00C35FEA" w:rsidRPr="004635E5">
        <w:rPr>
          <w:sz w:val="22"/>
          <w:szCs w:val="22"/>
          <w:lang w:val="en-NZ"/>
        </w:rPr>
        <w:t>o</w:t>
      </w:r>
      <w:r w:rsidRPr="004635E5">
        <w:rPr>
          <w:sz w:val="22"/>
          <w:szCs w:val="22"/>
          <w:lang w:val="en-NZ"/>
        </w:rPr>
        <w:t>sed rec</w:t>
      </w:r>
      <w:r w:rsidR="00C35FEA" w:rsidRPr="004635E5">
        <w:rPr>
          <w:sz w:val="22"/>
          <w:szCs w:val="22"/>
          <w:lang w:val="en-NZ"/>
        </w:rPr>
        <w:t xml:space="preserve">ommendation </w:t>
      </w:r>
      <w:r w:rsidRPr="004635E5">
        <w:rPr>
          <w:sz w:val="22"/>
          <w:szCs w:val="22"/>
          <w:lang w:val="en-NZ"/>
        </w:rPr>
        <w:t>f</w:t>
      </w:r>
      <w:r w:rsidR="00C35FEA" w:rsidRPr="004635E5">
        <w:rPr>
          <w:sz w:val="22"/>
          <w:szCs w:val="22"/>
          <w:lang w:val="en-NZ"/>
        </w:rPr>
        <w:t>o</w:t>
      </w:r>
      <w:r w:rsidRPr="004635E5">
        <w:rPr>
          <w:sz w:val="22"/>
          <w:szCs w:val="22"/>
          <w:lang w:val="en-NZ"/>
        </w:rPr>
        <w:t>r</w:t>
      </w:r>
      <w:r w:rsidR="00C35FEA" w:rsidRPr="004635E5">
        <w:rPr>
          <w:sz w:val="22"/>
          <w:szCs w:val="22"/>
          <w:lang w:val="en-NZ"/>
        </w:rPr>
        <w:t xml:space="preserve"> SC was </w:t>
      </w:r>
      <w:r w:rsidRPr="004635E5">
        <w:rPr>
          <w:sz w:val="22"/>
          <w:szCs w:val="22"/>
          <w:lang w:val="en-NZ"/>
        </w:rPr>
        <w:t xml:space="preserve">that </w:t>
      </w:r>
      <w:r w:rsidR="00C35FEA" w:rsidRPr="004635E5">
        <w:rPr>
          <w:sz w:val="22"/>
          <w:szCs w:val="22"/>
          <w:lang w:val="en-NZ"/>
        </w:rPr>
        <w:t xml:space="preserve">a </w:t>
      </w:r>
      <w:r w:rsidRPr="004635E5">
        <w:rPr>
          <w:sz w:val="22"/>
          <w:szCs w:val="22"/>
          <w:lang w:val="en-NZ"/>
        </w:rPr>
        <w:t>new reg</w:t>
      </w:r>
      <w:r w:rsidR="00C35FEA" w:rsidRPr="004635E5">
        <w:rPr>
          <w:sz w:val="22"/>
          <w:szCs w:val="22"/>
          <w:lang w:val="en-NZ"/>
        </w:rPr>
        <w:t>ional structure</w:t>
      </w:r>
      <w:r w:rsidRPr="004635E5">
        <w:rPr>
          <w:sz w:val="22"/>
          <w:szCs w:val="22"/>
          <w:lang w:val="en-NZ"/>
        </w:rPr>
        <w:t xml:space="preserve"> </w:t>
      </w:r>
      <w:r w:rsidR="00C35FEA" w:rsidRPr="004635E5">
        <w:rPr>
          <w:sz w:val="22"/>
          <w:szCs w:val="22"/>
          <w:lang w:val="en-NZ"/>
        </w:rPr>
        <w:t xml:space="preserve">be used for the </w:t>
      </w:r>
      <w:r w:rsidRPr="004635E5">
        <w:rPr>
          <w:sz w:val="22"/>
          <w:szCs w:val="22"/>
          <w:lang w:val="en-NZ"/>
        </w:rPr>
        <w:t>next ass</w:t>
      </w:r>
      <w:r w:rsidR="00C35FEA" w:rsidRPr="004635E5">
        <w:rPr>
          <w:sz w:val="22"/>
          <w:szCs w:val="22"/>
          <w:lang w:val="en-NZ"/>
        </w:rPr>
        <w:t>essment</w:t>
      </w:r>
      <w:r w:rsidR="00AF73D5" w:rsidRPr="004635E5">
        <w:rPr>
          <w:sz w:val="22"/>
          <w:szCs w:val="22"/>
          <w:lang w:val="en-NZ"/>
        </w:rPr>
        <w:t xml:space="preserve">, and </w:t>
      </w:r>
      <w:r w:rsidR="007050AB" w:rsidRPr="004635E5">
        <w:rPr>
          <w:sz w:val="22"/>
          <w:szCs w:val="22"/>
          <w:lang w:val="en-NZ"/>
        </w:rPr>
        <w:t xml:space="preserve">proposed that </w:t>
      </w:r>
      <w:r w:rsidR="00AF73D5" w:rsidRPr="004635E5">
        <w:rPr>
          <w:sz w:val="22"/>
          <w:szCs w:val="22"/>
          <w:lang w:val="en-NZ"/>
        </w:rPr>
        <w:t xml:space="preserve">the method </w:t>
      </w:r>
      <w:r w:rsidR="007050AB" w:rsidRPr="004635E5">
        <w:rPr>
          <w:sz w:val="22"/>
          <w:szCs w:val="22"/>
          <w:lang w:val="en-NZ"/>
        </w:rPr>
        <w:t xml:space="preserve">be </w:t>
      </w:r>
      <w:r w:rsidRPr="004635E5">
        <w:rPr>
          <w:sz w:val="22"/>
          <w:szCs w:val="22"/>
          <w:lang w:val="en-NZ"/>
        </w:rPr>
        <w:t>evaluat</w:t>
      </w:r>
      <w:r w:rsidR="007050AB" w:rsidRPr="004635E5">
        <w:rPr>
          <w:sz w:val="22"/>
          <w:szCs w:val="22"/>
          <w:lang w:val="en-NZ"/>
        </w:rPr>
        <w:t xml:space="preserve">ed </w:t>
      </w:r>
      <w:r w:rsidRPr="004635E5">
        <w:rPr>
          <w:sz w:val="22"/>
          <w:szCs w:val="22"/>
          <w:lang w:val="en-NZ"/>
        </w:rPr>
        <w:t xml:space="preserve">in </w:t>
      </w:r>
      <w:r w:rsidR="007050AB" w:rsidRPr="004635E5">
        <w:rPr>
          <w:sz w:val="22"/>
          <w:szCs w:val="22"/>
          <w:lang w:val="en-NZ"/>
        </w:rPr>
        <w:t xml:space="preserve">the </w:t>
      </w:r>
      <w:r w:rsidRPr="004635E5">
        <w:rPr>
          <w:sz w:val="22"/>
          <w:szCs w:val="22"/>
          <w:lang w:val="en-NZ"/>
        </w:rPr>
        <w:t>next ass</w:t>
      </w:r>
      <w:r w:rsidR="007050AB" w:rsidRPr="004635E5">
        <w:rPr>
          <w:sz w:val="22"/>
          <w:szCs w:val="22"/>
          <w:lang w:val="en-NZ"/>
        </w:rPr>
        <w:t>essment</w:t>
      </w:r>
      <w:r w:rsidRPr="004635E5">
        <w:rPr>
          <w:sz w:val="22"/>
          <w:szCs w:val="22"/>
          <w:lang w:val="en-NZ"/>
        </w:rPr>
        <w:t xml:space="preserve"> w</w:t>
      </w:r>
      <w:r w:rsidR="007050AB" w:rsidRPr="004635E5">
        <w:rPr>
          <w:sz w:val="22"/>
          <w:szCs w:val="22"/>
          <w:lang w:val="en-NZ"/>
        </w:rPr>
        <w:t>or</w:t>
      </w:r>
      <w:r w:rsidRPr="004635E5">
        <w:rPr>
          <w:sz w:val="22"/>
          <w:szCs w:val="22"/>
          <w:lang w:val="en-NZ"/>
        </w:rPr>
        <w:t xml:space="preserve">kshop. </w:t>
      </w:r>
      <w:r w:rsidR="00AF73D5" w:rsidRPr="004635E5">
        <w:rPr>
          <w:sz w:val="22"/>
          <w:szCs w:val="22"/>
          <w:lang w:val="en-NZ"/>
        </w:rPr>
        <w:t xml:space="preserve">They </w:t>
      </w:r>
      <w:r w:rsidR="007050AB" w:rsidRPr="004635E5">
        <w:rPr>
          <w:sz w:val="22"/>
          <w:szCs w:val="22"/>
          <w:lang w:val="en-NZ"/>
        </w:rPr>
        <w:t>noted that a g</w:t>
      </w:r>
      <w:r w:rsidRPr="004635E5">
        <w:rPr>
          <w:sz w:val="22"/>
          <w:szCs w:val="22"/>
          <w:lang w:val="en-NZ"/>
        </w:rPr>
        <w:t xml:space="preserve">raph of </w:t>
      </w:r>
      <w:r w:rsidR="007050AB" w:rsidRPr="004635E5">
        <w:rPr>
          <w:sz w:val="22"/>
          <w:szCs w:val="22"/>
          <w:lang w:val="en-NZ"/>
        </w:rPr>
        <w:t xml:space="preserve">the </w:t>
      </w:r>
      <w:r w:rsidR="00AF73D5" w:rsidRPr="004635E5">
        <w:rPr>
          <w:sz w:val="22"/>
          <w:szCs w:val="22"/>
          <w:lang w:val="en-NZ"/>
        </w:rPr>
        <w:t>number of clusters showed</w:t>
      </w:r>
      <w:r w:rsidRPr="004635E5">
        <w:rPr>
          <w:sz w:val="22"/>
          <w:szCs w:val="22"/>
          <w:lang w:val="en-NZ"/>
        </w:rPr>
        <w:t xml:space="preserve"> litt</w:t>
      </w:r>
      <w:r w:rsidR="007050AB" w:rsidRPr="004635E5">
        <w:rPr>
          <w:sz w:val="22"/>
          <w:szCs w:val="22"/>
          <w:lang w:val="en-NZ"/>
        </w:rPr>
        <w:t>l</w:t>
      </w:r>
      <w:r w:rsidRPr="004635E5">
        <w:rPr>
          <w:sz w:val="22"/>
          <w:szCs w:val="22"/>
          <w:lang w:val="en-NZ"/>
        </w:rPr>
        <w:t>e diff</w:t>
      </w:r>
      <w:r w:rsidR="007050AB" w:rsidRPr="004635E5">
        <w:rPr>
          <w:sz w:val="22"/>
          <w:szCs w:val="22"/>
          <w:lang w:val="en-NZ"/>
        </w:rPr>
        <w:t>erence</w:t>
      </w:r>
      <w:r w:rsidRPr="004635E5">
        <w:rPr>
          <w:sz w:val="22"/>
          <w:szCs w:val="22"/>
          <w:lang w:val="en-NZ"/>
        </w:rPr>
        <w:t xml:space="preserve">, but </w:t>
      </w:r>
      <w:r w:rsidR="0026234A" w:rsidRPr="004635E5">
        <w:rPr>
          <w:sz w:val="22"/>
          <w:szCs w:val="22"/>
        </w:rPr>
        <w:t xml:space="preserve">BIC </w:t>
      </w:r>
      <w:r w:rsidRPr="004635E5">
        <w:rPr>
          <w:sz w:val="22"/>
          <w:szCs w:val="22"/>
          <w:lang w:val="en-NZ"/>
        </w:rPr>
        <w:t xml:space="preserve">values </w:t>
      </w:r>
      <w:r w:rsidR="00AF73D5" w:rsidRPr="004635E5">
        <w:rPr>
          <w:sz w:val="22"/>
          <w:szCs w:val="22"/>
          <w:lang w:val="en-NZ"/>
        </w:rPr>
        <w:t xml:space="preserve">were </w:t>
      </w:r>
      <w:r w:rsidRPr="004635E5">
        <w:rPr>
          <w:sz w:val="22"/>
          <w:szCs w:val="22"/>
          <w:lang w:val="en-NZ"/>
        </w:rPr>
        <w:t>very diff</w:t>
      </w:r>
      <w:r w:rsidR="007050AB" w:rsidRPr="004635E5">
        <w:rPr>
          <w:sz w:val="22"/>
          <w:szCs w:val="22"/>
          <w:lang w:val="en-NZ"/>
        </w:rPr>
        <w:t>erent</w:t>
      </w:r>
      <w:r w:rsidRPr="004635E5">
        <w:rPr>
          <w:sz w:val="22"/>
          <w:szCs w:val="22"/>
          <w:lang w:val="en-NZ"/>
        </w:rPr>
        <w:t xml:space="preserve"> among groups</w:t>
      </w:r>
      <w:r w:rsidR="00AF73D5" w:rsidRPr="004635E5">
        <w:rPr>
          <w:sz w:val="22"/>
          <w:szCs w:val="22"/>
          <w:lang w:val="en-NZ"/>
        </w:rPr>
        <w:t xml:space="preserve">, and suggested it was </w:t>
      </w:r>
      <w:r w:rsidRPr="004635E5">
        <w:rPr>
          <w:sz w:val="22"/>
          <w:szCs w:val="22"/>
          <w:lang w:val="en-NZ"/>
        </w:rPr>
        <w:t xml:space="preserve">best to confirm that this </w:t>
      </w:r>
      <w:r w:rsidR="00AF73D5" w:rsidRPr="004635E5">
        <w:rPr>
          <w:sz w:val="22"/>
          <w:szCs w:val="22"/>
          <w:lang w:val="en-NZ"/>
        </w:rPr>
        <w:t xml:space="preserve">was </w:t>
      </w:r>
      <w:r w:rsidRPr="004635E5">
        <w:rPr>
          <w:sz w:val="22"/>
          <w:szCs w:val="22"/>
          <w:lang w:val="en-NZ"/>
        </w:rPr>
        <w:t>the best fit</w:t>
      </w:r>
      <w:r w:rsidR="00B26471" w:rsidRPr="004635E5">
        <w:rPr>
          <w:sz w:val="22"/>
          <w:szCs w:val="22"/>
          <w:lang w:val="en-NZ"/>
        </w:rPr>
        <w:t>.</w:t>
      </w:r>
    </w:p>
    <w:p w14:paraId="6B5F35FD" w14:textId="77777777" w:rsidR="00B26471" w:rsidRPr="004635E5" w:rsidRDefault="00B26471" w:rsidP="006633A8">
      <w:pPr>
        <w:autoSpaceDE w:val="0"/>
        <w:autoSpaceDN w:val="0"/>
        <w:adjustRightInd w:val="0"/>
        <w:snapToGrid w:val="0"/>
        <w:jc w:val="both"/>
        <w:rPr>
          <w:sz w:val="22"/>
          <w:szCs w:val="22"/>
          <w:lang w:val="en-NZ"/>
        </w:rPr>
      </w:pPr>
    </w:p>
    <w:p w14:paraId="3EA716F5" w14:textId="77777777" w:rsidR="00DB4D07" w:rsidRPr="004635E5" w:rsidRDefault="00DB4D07" w:rsidP="00580EA4">
      <w:pPr>
        <w:pStyle w:val="SC3"/>
        <w:numPr>
          <w:ilvl w:val="3"/>
          <w:numId w:val="161"/>
        </w:numPr>
        <w:spacing w:after="0"/>
        <w:rPr>
          <w:rFonts w:eastAsia="Batang"/>
        </w:rPr>
      </w:pPr>
      <w:r w:rsidRPr="004635E5">
        <w:rPr>
          <w:rFonts w:eastAsia="Batang"/>
        </w:rPr>
        <w:t>Provision of scientific information</w:t>
      </w:r>
    </w:p>
    <w:p w14:paraId="2B288C26" w14:textId="77777777" w:rsidR="00B26471" w:rsidRPr="004635E5" w:rsidRDefault="00B26471" w:rsidP="006633A8">
      <w:pPr>
        <w:pStyle w:val="SC3"/>
        <w:numPr>
          <w:ilvl w:val="0"/>
          <w:numId w:val="0"/>
        </w:numPr>
        <w:spacing w:after="0"/>
        <w:ind w:left="1800"/>
        <w:rPr>
          <w:rFonts w:eastAsia="Batang"/>
        </w:rPr>
      </w:pPr>
    </w:p>
    <w:p w14:paraId="4D954ACC" w14:textId="77777777" w:rsidR="007A6195" w:rsidRPr="004635E5" w:rsidRDefault="007A6195" w:rsidP="00580EA4">
      <w:pPr>
        <w:pStyle w:val="SCa"/>
        <w:numPr>
          <w:ilvl w:val="5"/>
          <w:numId w:val="18"/>
        </w:numPr>
        <w:tabs>
          <w:tab w:val="clear" w:pos="1080"/>
        </w:tabs>
        <w:spacing w:after="0"/>
        <w:ind w:left="0" w:firstLine="0"/>
      </w:pPr>
      <w:r w:rsidRPr="004635E5">
        <w:t>Stock status and trends</w:t>
      </w:r>
    </w:p>
    <w:p w14:paraId="73634867" w14:textId="77777777" w:rsidR="00B26471" w:rsidRPr="004635E5" w:rsidRDefault="00B26471" w:rsidP="006633A8">
      <w:pPr>
        <w:pStyle w:val="SCa"/>
        <w:spacing w:after="0"/>
      </w:pPr>
    </w:p>
    <w:p w14:paraId="42DD7E85" w14:textId="77777777" w:rsidR="007A6195" w:rsidRPr="004635E5" w:rsidRDefault="007A6195" w:rsidP="00580EA4">
      <w:pPr>
        <w:numPr>
          <w:ilvl w:val="0"/>
          <w:numId w:val="18"/>
        </w:numPr>
        <w:autoSpaceDE w:val="0"/>
        <w:autoSpaceDN w:val="0"/>
        <w:adjustRightInd w:val="0"/>
        <w:snapToGrid w:val="0"/>
        <w:ind w:left="0" w:firstLine="0"/>
        <w:jc w:val="both"/>
        <w:rPr>
          <w:b/>
          <w:sz w:val="22"/>
          <w:szCs w:val="22"/>
        </w:rPr>
      </w:pPr>
      <w:r w:rsidRPr="004635E5">
        <w:rPr>
          <w:b/>
          <w:sz w:val="22"/>
          <w:szCs w:val="22"/>
        </w:rPr>
        <w:t xml:space="preserve">SC14 noted that the </w:t>
      </w:r>
      <w:r w:rsidRPr="004635E5">
        <w:rPr>
          <w:b/>
          <w:sz w:val="22"/>
          <w:szCs w:val="22"/>
          <w:lang w:val="en-AU"/>
        </w:rPr>
        <w:t>total catch in 2017 was 1,624,162 mt, a 9% decrease from 2016</w:t>
      </w:r>
      <w:r w:rsidRPr="004635E5">
        <w:rPr>
          <w:b/>
          <w:sz w:val="22"/>
          <w:szCs w:val="22"/>
          <w:lang w:val="en-AU" w:eastAsia="ja-JP"/>
        </w:rPr>
        <w:t xml:space="preserve"> </w:t>
      </w:r>
      <w:r w:rsidRPr="004635E5">
        <w:rPr>
          <w:b/>
          <w:sz w:val="22"/>
          <w:szCs w:val="22"/>
          <w:lang w:val="en-AU"/>
        </w:rPr>
        <w:t xml:space="preserve">and comparable to the average from 2012-2016. </w:t>
      </w:r>
    </w:p>
    <w:p w14:paraId="464B8BC2" w14:textId="77777777" w:rsidR="0001610C" w:rsidRPr="004635E5" w:rsidRDefault="0001610C" w:rsidP="006633A8">
      <w:pPr>
        <w:autoSpaceDE w:val="0"/>
        <w:autoSpaceDN w:val="0"/>
        <w:adjustRightInd w:val="0"/>
        <w:snapToGrid w:val="0"/>
        <w:jc w:val="both"/>
        <w:rPr>
          <w:b/>
          <w:sz w:val="22"/>
          <w:szCs w:val="22"/>
        </w:rPr>
      </w:pPr>
    </w:p>
    <w:p w14:paraId="5B3D6A57" w14:textId="77777777" w:rsidR="007A6195" w:rsidRPr="004635E5" w:rsidRDefault="007A6195" w:rsidP="00580EA4">
      <w:pPr>
        <w:numPr>
          <w:ilvl w:val="0"/>
          <w:numId w:val="18"/>
        </w:numPr>
        <w:autoSpaceDE w:val="0"/>
        <w:autoSpaceDN w:val="0"/>
        <w:adjustRightInd w:val="0"/>
        <w:snapToGrid w:val="0"/>
        <w:ind w:left="0" w:firstLine="0"/>
        <w:jc w:val="both"/>
        <w:rPr>
          <w:b/>
          <w:sz w:val="22"/>
          <w:szCs w:val="22"/>
        </w:rPr>
      </w:pPr>
      <w:r w:rsidRPr="004635E5">
        <w:rPr>
          <w:b/>
          <w:sz w:val="22"/>
          <w:szCs w:val="22"/>
          <w:lang w:val="en-AU"/>
        </w:rPr>
        <w:t>Purse seine</w:t>
      </w:r>
      <w:r w:rsidRPr="004635E5">
        <w:rPr>
          <w:b/>
          <w:sz w:val="22"/>
          <w:szCs w:val="22"/>
          <w:lang w:val="en-AU" w:eastAsia="ja-JP"/>
        </w:rPr>
        <w:t xml:space="preserve"> </w:t>
      </w:r>
      <w:r w:rsidRPr="004635E5">
        <w:rPr>
          <w:b/>
          <w:sz w:val="22"/>
          <w:szCs w:val="22"/>
          <w:lang w:val="en-AU"/>
        </w:rPr>
        <w:t>catch in 2017 (1,280,311</w:t>
      </w:r>
      <w:r w:rsidR="00AF73D5" w:rsidRPr="004635E5">
        <w:rPr>
          <w:b/>
          <w:sz w:val="22"/>
          <w:szCs w:val="22"/>
          <w:lang w:val="en-AU"/>
        </w:rPr>
        <w:t xml:space="preserve"> m</w:t>
      </w:r>
      <w:r w:rsidRPr="004635E5">
        <w:rPr>
          <w:b/>
          <w:sz w:val="22"/>
          <w:szCs w:val="22"/>
          <w:lang w:val="en-AU"/>
        </w:rPr>
        <w:t>t) was a 7% decrease from 2016 and a</w:t>
      </w:r>
      <w:r w:rsidRPr="004635E5">
        <w:rPr>
          <w:b/>
          <w:sz w:val="22"/>
          <w:szCs w:val="22"/>
          <w:lang w:val="en-AU" w:eastAsia="ja-JP"/>
        </w:rPr>
        <w:t xml:space="preserve"> </w:t>
      </w:r>
      <w:r w:rsidRPr="004635E5">
        <w:rPr>
          <w:b/>
          <w:sz w:val="22"/>
          <w:szCs w:val="22"/>
          <w:lang w:val="en-AU"/>
        </w:rPr>
        <w:t>12% decrease from the 2012-2016 average. Pole and line catch</w:t>
      </w:r>
      <w:r w:rsidRPr="004635E5">
        <w:rPr>
          <w:b/>
          <w:sz w:val="22"/>
          <w:szCs w:val="22"/>
          <w:lang w:val="en-AU" w:eastAsia="ja-JP"/>
        </w:rPr>
        <w:t xml:space="preserve"> </w:t>
      </w:r>
      <w:r w:rsidRPr="004635E5">
        <w:rPr>
          <w:b/>
          <w:sz w:val="22"/>
          <w:szCs w:val="22"/>
          <w:lang w:val="en-AU"/>
        </w:rPr>
        <w:t>(123,132</w:t>
      </w:r>
      <w:r w:rsidR="00AF73D5" w:rsidRPr="004635E5">
        <w:rPr>
          <w:b/>
          <w:sz w:val="22"/>
          <w:szCs w:val="22"/>
          <w:lang w:val="en-AU"/>
        </w:rPr>
        <w:t xml:space="preserve"> m</w:t>
      </w:r>
      <w:r w:rsidRPr="004635E5">
        <w:rPr>
          <w:b/>
          <w:sz w:val="22"/>
          <w:szCs w:val="22"/>
          <w:lang w:val="en-AU"/>
        </w:rPr>
        <w:t>t) was a 21% decrease from 2016 and a 23% decrease</w:t>
      </w:r>
      <w:r w:rsidRPr="004635E5">
        <w:rPr>
          <w:b/>
          <w:sz w:val="22"/>
          <w:szCs w:val="22"/>
          <w:lang w:val="en-AU" w:eastAsia="ja-JP"/>
        </w:rPr>
        <w:t xml:space="preserve"> </w:t>
      </w:r>
      <w:r w:rsidRPr="004635E5">
        <w:rPr>
          <w:b/>
          <w:sz w:val="22"/>
          <w:szCs w:val="22"/>
          <w:lang w:val="en-AU"/>
        </w:rPr>
        <w:t>from the average 2012-2016 catch. Catch by other gear (218,175</w:t>
      </w:r>
      <w:r w:rsidR="00AF73D5" w:rsidRPr="004635E5">
        <w:rPr>
          <w:b/>
          <w:sz w:val="22"/>
          <w:szCs w:val="22"/>
          <w:lang w:val="en-AU"/>
        </w:rPr>
        <w:t xml:space="preserve"> m</w:t>
      </w:r>
      <w:r w:rsidRPr="004635E5">
        <w:rPr>
          <w:b/>
          <w:sz w:val="22"/>
          <w:szCs w:val="22"/>
          <w:lang w:val="en-AU"/>
        </w:rPr>
        <w:t>t)</w:t>
      </w:r>
      <w:r w:rsidRPr="004635E5">
        <w:rPr>
          <w:b/>
          <w:sz w:val="22"/>
          <w:szCs w:val="22"/>
          <w:lang w:val="en-AU" w:eastAsia="ja-JP"/>
        </w:rPr>
        <w:t xml:space="preserve"> </w:t>
      </w:r>
      <w:r w:rsidRPr="004635E5">
        <w:rPr>
          <w:b/>
          <w:sz w:val="22"/>
          <w:szCs w:val="22"/>
          <w:lang w:val="en-AU"/>
        </w:rPr>
        <w:t>was a 13% decrease from 2016 and 1% decrease from the average</w:t>
      </w:r>
      <w:r w:rsidRPr="004635E5">
        <w:rPr>
          <w:b/>
          <w:sz w:val="22"/>
          <w:szCs w:val="22"/>
          <w:lang w:val="en-AU" w:eastAsia="ja-JP"/>
        </w:rPr>
        <w:t xml:space="preserve"> </w:t>
      </w:r>
      <w:r w:rsidRPr="004635E5">
        <w:rPr>
          <w:b/>
          <w:sz w:val="22"/>
          <w:szCs w:val="22"/>
          <w:lang w:val="en-AU"/>
        </w:rPr>
        <w:t xml:space="preserve">catch in 2012-2016. </w:t>
      </w:r>
    </w:p>
    <w:p w14:paraId="5E2575C7" w14:textId="77777777" w:rsidR="0001610C" w:rsidRPr="004635E5" w:rsidRDefault="0001610C" w:rsidP="006633A8">
      <w:pPr>
        <w:autoSpaceDE w:val="0"/>
        <w:autoSpaceDN w:val="0"/>
        <w:adjustRightInd w:val="0"/>
        <w:snapToGrid w:val="0"/>
        <w:jc w:val="both"/>
        <w:rPr>
          <w:b/>
          <w:sz w:val="22"/>
          <w:szCs w:val="22"/>
        </w:rPr>
      </w:pPr>
    </w:p>
    <w:p w14:paraId="5E243BE4" w14:textId="77777777" w:rsidR="007A6195" w:rsidRPr="004635E5" w:rsidRDefault="007A6195" w:rsidP="00580EA4">
      <w:pPr>
        <w:numPr>
          <w:ilvl w:val="0"/>
          <w:numId w:val="18"/>
        </w:numPr>
        <w:autoSpaceDE w:val="0"/>
        <w:autoSpaceDN w:val="0"/>
        <w:adjustRightInd w:val="0"/>
        <w:snapToGrid w:val="0"/>
        <w:ind w:left="0" w:firstLine="0"/>
        <w:jc w:val="both"/>
        <w:rPr>
          <w:b/>
          <w:sz w:val="22"/>
          <w:szCs w:val="22"/>
        </w:rPr>
      </w:pPr>
      <w:r w:rsidRPr="004635E5">
        <w:rPr>
          <w:b/>
          <w:sz w:val="22"/>
          <w:szCs w:val="22"/>
          <w:lang w:val="en-AU"/>
        </w:rPr>
        <w:t xml:space="preserve">SC14 noted that under recent fishery conditions (2017 catch level for </w:t>
      </w:r>
      <w:r w:rsidR="005C071E">
        <w:rPr>
          <w:rFonts w:eastAsiaTheme="minorEastAsia" w:hint="eastAsia"/>
          <w:b/>
          <w:sz w:val="22"/>
          <w:szCs w:val="22"/>
          <w:lang w:val="en-AU" w:eastAsia="ko-KR"/>
        </w:rPr>
        <w:t>longline</w:t>
      </w:r>
      <w:r w:rsidR="005C071E" w:rsidRPr="004635E5">
        <w:rPr>
          <w:b/>
          <w:sz w:val="22"/>
          <w:szCs w:val="22"/>
          <w:lang w:val="en-AU"/>
        </w:rPr>
        <w:t xml:space="preserve"> </w:t>
      </w:r>
      <w:r w:rsidRPr="004635E5">
        <w:rPr>
          <w:b/>
          <w:sz w:val="22"/>
          <w:szCs w:val="22"/>
          <w:lang w:val="en-AU"/>
        </w:rPr>
        <w:t xml:space="preserve">and other fisheries and effort level for </w:t>
      </w:r>
      <w:r w:rsidRPr="004635E5">
        <w:rPr>
          <w:b/>
          <w:sz w:val="22"/>
          <w:szCs w:val="22"/>
          <w:lang w:val="en-AU" w:eastAsia="ko-KR"/>
        </w:rPr>
        <w:t>purse seine</w:t>
      </w:r>
      <w:r w:rsidRPr="004635E5">
        <w:rPr>
          <w:b/>
          <w:sz w:val="22"/>
          <w:szCs w:val="22"/>
          <w:lang w:val="en-AU"/>
        </w:rPr>
        <w:t>), the skipjack stock was initially projected to decrease for a short period as recent relatively high recruitments move out of the stock. Median F</w:t>
      </w:r>
      <w:r w:rsidRPr="004635E5">
        <w:rPr>
          <w:b/>
          <w:sz w:val="22"/>
          <w:szCs w:val="22"/>
          <w:vertAlign w:val="subscript"/>
          <w:lang w:val="en-AU"/>
        </w:rPr>
        <w:t>2019</w:t>
      </w:r>
      <w:r w:rsidRPr="004635E5">
        <w:rPr>
          <w:b/>
          <w:sz w:val="22"/>
          <w:szCs w:val="22"/>
          <w:lang w:val="en-AU"/>
        </w:rPr>
        <w:t>/F</w:t>
      </w:r>
      <w:r w:rsidRPr="004635E5">
        <w:rPr>
          <w:b/>
          <w:sz w:val="22"/>
          <w:szCs w:val="22"/>
          <w:vertAlign w:val="subscript"/>
          <w:lang w:val="en-AU"/>
        </w:rPr>
        <w:t>MSY</w:t>
      </w:r>
      <w:r w:rsidRPr="004635E5">
        <w:rPr>
          <w:b/>
          <w:sz w:val="22"/>
          <w:szCs w:val="22"/>
          <w:lang w:val="en-AU"/>
        </w:rPr>
        <w:t xml:space="preserve"> = 0.47; median</w:t>
      </w:r>
      <w:r w:rsidRPr="004635E5">
        <w:rPr>
          <w:b/>
          <w:sz w:val="22"/>
          <w:szCs w:val="22"/>
          <w:lang w:val="en-AU" w:eastAsia="ja-JP"/>
        </w:rPr>
        <w:t xml:space="preserve"> </w:t>
      </w:r>
      <w:r w:rsidRPr="004635E5">
        <w:rPr>
          <w:b/>
          <w:sz w:val="22"/>
          <w:szCs w:val="22"/>
          <w:lang w:val="en-AU"/>
        </w:rPr>
        <w:t>SB</w:t>
      </w:r>
      <w:r w:rsidRPr="004635E5">
        <w:rPr>
          <w:b/>
          <w:sz w:val="22"/>
          <w:szCs w:val="22"/>
          <w:vertAlign w:val="subscript"/>
          <w:lang w:val="en-AU"/>
        </w:rPr>
        <w:t>2019</w:t>
      </w:r>
      <w:r w:rsidRPr="004635E5">
        <w:rPr>
          <w:b/>
          <w:sz w:val="22"/>
          <w:szCs w:val="22"/>
          <w:lang w:val="en-AU"/>
        </w:rPr>
        <w:t>/SB</w:t>
      </w:r>
      <w:r w:rsidRPr="004635E5">
        <w:rPr>
          <w:b/>
          <w:sz w:val="22"/>
          <w:szCs w:val="22"/>
          <w:vertAlign w:val="subscript"/>
          <w:lang w:val="en-AU"/>
        </w:rPr>
        <w:t>F=0</w:t>
      </w:r>
      <w:r w:rsidRPr="004635E5">
        <w:rPr>
          <w:b/>
          <w:sz w:val="22"/>
          <w:szCs w:val="22"/>
          <w:lang w:val="en-AU"/>
        </w:rPr>
        <w:t xml:space="preserve"> = 0.45; median SB</w:t>
      </w:r>
      <w:r w:rsidRPr="004635E5">
        <w:rPr>
          <w:b/>
          <w:sz w:val="22"/>
          <w:szCs w:val="22"/>
          <w:vertAlign w:val="subscript"/>
          <w:lang w:val="en-AU"/>
        </w:rPr>
        <w:t>2019</w:t>
      </w:r>
      <w:r w:rsidRPr="004635E5">
        <w:rPr>
          <w:b/>
          <w:sz w:val="22"/>
          <w:szCs w:val="22"/>
          <w:lang w:val="en-AU"/>
        </w:rPr>
        <w:t>/SB</w:t>
      </w:r>
      <w:r w:rsidRPr="004635E5">
        <w:rPr>
          <w:b/>
          <w:sz w:val="22"/>
          <w:szCs w:val="22"/>
          <w:vertAlign w:val="subscript"/>
          <w:lang w:val="en-AU"/>
        </w:rPr>
        <w:t>MSY</w:t>
      </w:r>
      <w:r w:rsidRPr="004635E5">
        <w:rPr>
          <w:b/>
          <w:sz w:val="22"/>
          <w:szCs w:val="22"/>
          <w:lang w:val="en-AU"/>
        </w:rPr>
        <w:t xml:space="preserve"> = 1.67</w:t>
      </w:r>
      <w:r w:rsidR="00A16680" w:rsidRPr="004635E5">
        <w:rPr>
          <w:b/>
          <w:sz w:val="22"/>
          <w:szCs w:val="22"/>
          <w:lang w:val="en-AU"/>
        </w:rPr>
        <w:t xml:space="preserve">. </w:t>
      </w:r>
      <w:r w:rsidRPr="004635E5">
        <w:rPr>
          <w:b/>
          <w:sz w:val="22"/>
          <w:szCs w:val="22"/>
          <w:lang w:val="en-AU"/>
        </w:rPr>
        <w:t xml:space="preserve">In the longer term, assuming long term average recruitment, modest increases in the stock were projected. </w:t>
      </w:r>
    </w:p>
    <w:p w14:paraId="2F1A898C" w14:textId="77777777" w:rsidR="0001610C" w:rsidRPr="004635E5" w:rsidRDefault="0001610C" w:rsidP="006633A8">
      <w:pPr>
        <w:autoSpaceDE w:val="0"/>
        <w:autoSpaceDN w:val="0"/>
        <w:adjustRightInd w:val="0"/>
        <w:snapToGrid w:val="0"/>
        <w:jc w:val="both"/>
        <w:rPr>
          <w:b/>
          <w:sz w:val="22"/>
          <w:szCs w:val="22"/>
        </w:rPr>
      </w:pPr>
    </w:p>
    <w:p w14:paraId="281B9308" w14:textId="77777777" w:rsidR="007A6195" w:rsidRPr="004635E5" w:rsidRDefault="007A6195" w:rsidP="00580EA4">
      <w:pPr>
        <w:pStyle w:val="SCa"/>
        <w:numPr>
          <w:ilvl w:val="1"/>
          <w:numId w:val="37"/>
        </w:numPr>
        <w:tabs>
          <w:tab w:val="clear" w:pos="1080"/>
        </w:tabs>
        <w:spacing w:after="0"/>
        <w:ind w:left="0" w:firstLine="0"/>
      </w:pPr>
      <w:r w:rsidRPr="004635E5">
        <w:t>Management advice and implications</w:t>
      </w:r>
    </w:p>
    <w:p w14:paraId="44E46536" w14:textId="77777777" w:rsidR="0001610C" w:rsidRPr="004635E5" w:rsidRDefault="0001610C" w:rsidP="006633A8">
      <w:pPr>
        <w:pStyle w:val="SCa"/>
        <w:spacing w:after="0"/>
      </w:pPr>
    </w:p>
    <w:p w14:paraId="090B9127" w14:textId="77777777" w:rsidR="007A6195" w:rsidRPr="004635E5" w:rsidRDefault="007A6195" w:rsidP="00580EA4">
      <w:pPr>
        <w:numPr>
          <w:ilvl w:val="0"/>
          <w:numId w:val="18"/>
        </w:numPr>
        <w:autoSpaceDE w:val="0"/>
        <w:autoSpaceDN w:val="0"/>
        <w:adjustRightInd w:val="0"/>
        <w:snapToGrid w:val="0"/>
        <w:ind w:left="0" w:firstLine="0"/>
        <w:jc w:val="both"/>
        <w:rPr>
          <w:b/>
          <w:bCs/>
          <w:sz w:val="22"/>
          <w:szCs w:val="22"/>
          <w:lang w:val="en-AU"/>
        </w:rPr>
      </w:pPr>
      <w:r w:rsidRPr="004635E5">
        <w:rPr>
          <w:b/>
          <w:sz w:val="22"/>
          <w:szCs w:val="22"/>
          <w:lang w:val="en-AU"/>
        </w:rPr>
        <w:t>SC14</w:t>
      </w:r>
      <w:r w:rsidRPr="004635E5">
        <w:rPr>
          <w:b/>
          <w:bCs/>
          <w:sz w:val="22"/>
          <w:szCs w:val="22"/>
          <w:lang w:val="en-AU"/>
        </w:rPr>
        <w:t xml:space="preserve"> noted that no stock assessment has been conducted since SC12. Therefore, the advice from SC12 should be maintained to achieve the objectives set in CMM</w:t>
      </w:r>
      <w:r w:rsidR="005C071E">
        <w:rPr>
          <w:rFonts w:eastAsiaTheme="minorEastAsia" w:hint="eastAsia"/>
          <w:b/>
          <w:bCs/>
          <w:sz w:val="22"/>
          <w:szCs w:val="22"/>
          <w:lang w:val="en-AU" w:eastAsia="ko-KR"/>
        </w:rPr>
        <w:t xml:space="preserve"> </w:t>
      </w:r>
      <w:r w:rsidRPr="004635E5">
        <w:rPr>
          <w:b/>
          <w:bCs/>
          <w:sz w:val="22"/>
          <w:szCs w:val="22"/>
          <w:lang w:val="en-AU"/>
        </w:rPr>
        <w:t>2017-01, pending a new assessment or other new information. For further information on the management advice and implications from SC12, please see</w:t>
      </w:r>
      <w:r w:rsidRPr="004635E5">
        <w:rPr>
          <w:b/>
          <w:bCs/>
          <w:sz w:val="22"/>
          <w:szCs w:val="22"/>
          <w:lang w:val="en-AU" w:eastAsia="ko-KR"/>
        </w:rPr>
        <w:t xml:space="preserve"> </w:t>
      </w:r>
      <w:hyperlink r:id="rId88" w:history="1">
        <w:r w:rsidRPr="004635E5">
          <w:rPr>
            <w:rStyle w:val="Hyperlink"/>
            <w:b/>
            <w:bCs/>
            <w:sz w:val="22"/>
            <w:szCs w:val="22"/>
            <w:lang w:val="en-AU" w:eastAsia="ko-KR"/>
          </w:rPr>
          <w:t>https://www.wcpfc.int/node/27769</w:t>
        </w:r>
      </w:hyperlink>
      <w:r w:rsidRPr="004635E5">
        <w:rPr>
          <w:rStyle w:val="Hyperlink"/>
          <w:b/>
          <w:bCs/>
          <w:sz w:val="22"/>
          <w:szCs w:val="22"/>
          <w:lang w:val="en-AU" w:eastAsia="ko-KR"/>
        </w:rPr>
        <w:t xml:space="preserve"> </w:t>
      </w:r>
    </w:p>
    <w:p w14:paraId="1BCC320D" w14:textId="77777777" w:rsidR="007A6195" w:rsidRPr="004635E5" w:rsidRDefault="007A6195" w:rsidP="006633A8">
      <w:pPr>
        <w:tabs>
          <w:tab w:val="left" w:pos="840"/>
        </w:tabs>
        <w:adjustRightInd w:val="0"/>
        <w:snapToGrid w:val="0"/>
        <w:ind w:right="114"/>
        <w:rPr>
          <w:b/>
          <w:sz w:val="22"/>
          <w:szCs w:val="22"/>
          <w:lang w:val="en-AU"/>
        </w:rPr>
      </w:pPr>
    </w:p>
    <w:p w14:paraId="03A8EEFF" w14:textId="77777777" w:rsidR="007A6195" w:rsidRPr="004635E5" w:rsidRDefault="007A6195" w:rsidP="00580EA4">
      <w:pPr>
        <w:pStyle w:val="SCa"/>
        <w:numPr>
          <w:ilvl w:val="1"/>
          <w:numId w:val="37"/>
        </w:numPr>
        <w:tabs>
          <w:tab w:val="clear" w:pos="1080"/>
        </w:tabs>
        <w:spacing w:after="0"/>
        <w:ind w:left="0" w:firstLine="0"/>
      </w:pPr>
      <w:r w:rsidRPr="004635E5">
        <w:t>Research Recommendations</w:t>
      </w:r>
    </w:p>
    <w:p w14:paraId="02E5710D" w14:textId="77777777" w:rsidR="002441B4" w:rsidRPr="004635E5" w:rsidRDefault="002441B4" w:rsidP="006633A8">
      <w:pPr>
        <w:pStyle w:val="SCa"/>
        <w:spacing w:after="0"/>
      </w:pPr>
    </w:p>
    <w:p w14:paraId="372EACFB" w14:textId="77777777" w:rsidR="007A6195" w:rsidRPr="004635E5" w:rsidRDefault="007A6195"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discussed a proposal for an alternative regional structure to be considered in the next skipjack stock assessment (</w:t>
      </w:r>
      <w:r w:rsidR="004C4D9F" w:rsidRPr="004635E5">
        <w:rPr>
          <w:b/>
          <w:sz w:val="22"/>
          <w:szCs w:val="22"/>
        </w:rPr>
        <w:t>SC14-</w:t>
      </w:r>
      <w:r w:rsidRPr="004635E5">
        <w:rPr>
          <w:b/>
          <w:sz w:val="22"/>
          <w:szCs w:val="22"/>
        </w:rPr>
        <w:t xml:space="preserve">SA-WP-04) and recommended that the pre-assessment workshop consider how this proposal might be included in the next assessment. </w:t>
      </w:r>
    </w:p>
    <w:p w14:paraId="14AEE7F0" w14:textId="77777777" w:rsidR="0001610C" w:rsidRPr="004635E5" w:rsidRDefault="0001610C" w:rsidP="006633A8">
      <w:pPr>
        <w:autoSpaceDE w:val="0"/>
        <w:autoSpaceDN w:val="0"/>
        <w:adjustRightInd w:val="0"/>
        <w:snapToGrid w:val="0"/>
        <w:jc w:val="both"/>
        <w:rPr>
          <w:b/>
          <w:sz w:val="22"/>
          <w:szCs w:val="22"/>
        </w:rPr>
      </w:pPr>
    </w:p>
    <w:p w14:paraId="1504A8FF" w14:textId="77777777" w:rsidR="007A6195" w:rsidRPr="004635E5" w:rsidRDefault="007A6195"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supports an ongoing tagging program for skipjack tuna to ensure a reliable indicator of skipjack tuna abundance in the stock assessment</w:t>
      </w:r>
      <w:r w:rsidRPr="004635E5">
        <w:rPr>
          <w:b/>
          <w:sz w:val="22"/>
          <w:szCs w:val="22"/>
          <w:lang w:eastAsia="ja-JP"/>
        </w:rPr>
        <w:t xml:space="preserve">. </w:t>
      </w:r>
    </w:p>
    <w:p w14:paraId="6ED40B10" w14:textId="77777777" w:rsidR="0001610C" w:rsidRPr="004635E5" w:rsidRDefault="0001610C" w:rsidP="006633A8">
      <w:pPr>
        <w:autoSpaceDE w:val="0"/>
        <w:autoSpaceDN w:val="0"/>
        <w:adjustRightInd w:val="0"/>
        <w:snapToGrid w:val="0"/>
        <w:jc w:val="both"/>
        <w:rPr>
          <w:b/>
          <w:sz w:val="22"/>
          <w:szCs w:val="22"/>
        </w:rPr>
      </w:pPr>
    </w:p>
    <w:p w14:paraId="57B94924" w14:textId="77777777" w:rsidR="007A6195" w:rsidRPr="004635E5" w:rsidRDefault="007A6195" w:rsidP="00580EA4">
      <w:pPr>
        <w:numPr>
          <w:ilvl w:val="0"/>
          <w:numId w:val="18"/>
        </w:numPr>
        <w:autoSpaceDE w:val="0"/>
        <w:autoSpaceDN w:val="0"/>
        <w:adjustRightInd w:val="0"/>
        <w:snapToGrid w:val="0"/>
        <w:ind w:left="0" w:firstLine="0"/>
        <w:jc w:val="both"/>
        <w:rPr>
          <w:b/>
          <w:sz w:val="22"/>
          <w:szCs w:val="22"/>
        </w:rPr>
      </w:pPr>
      <w:r w:rsidRPr="004635E5">
        <w:rPr>
          <w:b/>
          <w:sz w:val="22"/>
          <w:szCs w:val="22"/>
          <w:lang w:eastAsia="ja-JP"/>
        </w:rPr>
        <w:t xml:space="preserve">SC14 recommended that the Scientific Services Provider continue research on standardizing purse seine CPUE for use in the assessment. </w:t>
      </w:r>
    </w:p>
    <w:p w14:paraId="7A37CC4E" w14:textId="77777777" w:rsidR="0001610C" w:rsidRPr="004635E5" w:rsidRDefault="0001610C" w:rsidP="006633A8">
      <w:pPr>
        <w:autoSpaceDE w:val="0"/>
        <w:autoSpaceDN w:val="0"/>
        <w:adjustRightInd w:val="0"/>
        <w:snapToGrid w:val="0"/>
        <w:jc w:val="both"/>
        <w:rPr>
          <w:b/>
          <w:sz w:val="22"/>
          <w:szCs w:val="22"/>
        </w:rPr>
      </w:pPr>
    </w:p>
    <w:p w14:paraId="49A5D18F" w14:textId="77777777" w:rsidR="005625C8" w:rsidRPr="004635E5" w:rsidRDefault="00DB4D07" w:rsidP="00580EA4">
      <w:pPr>
        <w:pStyle w:val="SC3"/>
        <w:numPr>
          <w:ilvl w:val="2"/>
          <w:numId w:val="161"/>
        </w:numPr>
        <w:spacing w:after="0"/>
        <w:rPr>
          <w:rFonts w:eastAsia="Batang"/>
          <w:lang w:eastAsia="ko-KR"/>
        </w:rPr>
      </w:pPr>
      <w:r w:rsidRPr="004635E5">
        <w:rPr>
          <w:rFonts w:eastAsia="Batang"/>
          <w:lang w:eastAsia="ko-KR"/>
        </w:rPr>
        <w:t>South Pacific albacore</w:t>
      </w:r>
      <w:r w:rsidR="00490B3F" w:rsidRPr="004635E5">
        <w:rPr>
          <w:rFonts w:eastAsia="Batang"/>
          <w:lang w:eastAsia="ko-KR"/>
        </w:rPr>
        <w:t xml:space="preserve"> tuna</w:t>
      </w:r>
      <w:r w:rsidR="00807662" w:rsidRPr="004635E5">
        <w:rPr>
          <w:rFonts w:eastAsia="Batang"/>
          <w:lang w:eastAsia="ko-KR"/>
        </w:rPr>
        <w:t xml:space="preserve"> (</w:t>
      </w:r>
      <w:r w:rsidR="00807662" w:rsidRPr="004635E5">
        <w:rPr>
          <w:rFonts w:eastAsia="Batang"/>
          <w:i/>
          <w:lang w:eastAsia="ko-KR"/>
        </w:rPr>
        <w:t>Thunnus alalunga</w:t>
      </w:r>
      <w:r w:rsidR="00807662" w:rsidRPr="004635E5">
        <w:rPr>
          <w:rFonts w:eastAsia="Batang"/>
          <w:lang w:eastAsia="ko-KR"/>
        </w:rPr>
        <w:t>)</w:t>
      </w:r>
    </w:p>
    <w:p w14:paraId="79653349" w14:textId="77777777" w:rsidR="002441B4" w:rsidRPr="004635E5" w:rsidRDefault="002441B4" w:rsidP="006633A8">
      <w:pPr>
        <w:pStyle w:val="SC3"/>
        <w:numPr>
          <w:ilvl w:val="0"/>
          <w:numId w:val="0"/>
        </w:numPr>
        <w:spacing w:after="0"/>
        <w:ind w:left="1080"/>
        <w:rPr>
          <w:rFonts w:eastAsia="Batang"/>
          <w:lang w:eastAsia="ko-KR"/>
        </w:rPr>
      </w:pPr>
    </w:p>
    <w:p w14:paraId="3A6D7DA4" w14:textId="77777777" w:rsidR="00AF5DF2" w:rsidRPr="004635E5" w:rsidRDefault="00E77F52" w:rsidP="00580EA4">
      <w:pPr>
        <w:pStyle w:val="SC3"/>
        <w:numPr>
          <w:ilvl w:val="3"/>
          <w:numId w:val="161"/>
        </w:numPr>
        <w:spacing w:after="0"/>
        <w:rPr>
          <w:rFonts w:eastAsia="Batang"/>
          <w:lang w:eastAsia="ko-KR"/>
        </w:rPr>
      </w:pPr>
      <w:r w:rsidRPr="004635E5">
        <w:rPr>
          <w:rFonts w:eastAsia="Batang"/>
        </w:rPr>
        <w:t>R</w:t>
      </w:r>
      <w:r w:rsidR="00AF5DF2" w:rsidRPr="004635E5">
        <w:rPr>
          <w:rFonts w:eastAsia="Batang"/>
        </w:rPr>
        <w:t>esearch and information</w:t>
      </w:r>
    </w:p>
    <w:p w14:paraId="1579DBD1" w14:textId="77777777" w:rsidR="00B22831" w:rsidRPr="004635E5" w:rsidRDefault="00B22831" w:rsidP="006633A8">
      <w:pPr>
        <w:pStyle w:val="SC3"/>
        <w:numPr>
          <w:ilvl w:val="0"/>
          <w:numId w:val="0"/>
        </w:numPr>
        <w:spacing w:after="0"/>
        <w:ind w:left="1800"/>
        <w:rPr>
          <w:rFonts w:eastAsia="Batang"/>
          <w:lang w:eastAsia="ko-KR"/>
        </w:rPr>
      </w:pPr>
    </w:p>
    <w:p w14:paraId="7EF28F3A" w14:textId="77777777" w:rsidR="00B22831" w:rsidRPr="004635E5" w:rsidRDefault="00D2600D" w:rsidP="00580EA4">
      <w:pPr>
        <w:pStyle w:val="SCa"/>
        <w:numPr>
          <w:ilvl w:val="5"/>
          <w:numId w:val="18"/>
        </w:numPr>
        <w:tabs>
          <w:tab w:val="clear" w:pos="1080"/>
        </w:tabs>
        <w:spacing w:after="0"/>
        <w:ind w:left="0" w:firstLine="0"/>
        <w:rPr>
          <w:lang w:val="en-AU"/>
        </w:rPr>
      </w:pPr>
      <w:r w:rsidRPr="004635E5">
        <w:rPr>
          <w:lang w:val="en-AU"/>
        </w:rPr>
        <w:t>Trends in the South Pacific albacore longline and troll fisheries</w:t>
      </w:r>
    </w:p>
    <w:p w14:paraId="3A6DAE04" w14:textId="77777777" w:rsidR="00B22831" w:rsidRPr="004635E5" w:rsidRDefault="00B22831" w:rsidP="006633A8">
      <w:pPr>
        <w:pStyle w:val="SCa"/>
        <w:spacing w:after="0"/>
        <w:rPr>
          <w:lang w:val="en-AU"/>
        </w:rPr>
      </w:pPr>
    </w:p>
    <w:p w14:paraId="1CB9925E" w14:textId="77777777" w:rsidR="00A96A03" w:rsidRPr="004635E5" w:rsidRDefault="0026234A"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S.</w:t>
      </w:r>
      <w:r w:rsidR="00A96A03" w:rsidRPr="004635E5">
        <w:rPr>
          <w:sz w:val="22"/>
          <w:szCs w:val="22"/>
          <w:lang w:val="en-NZ"/>
        </w:rPr>
        <w:t xml:space="preserve"> Brouwer (SPC) presented SC14-SA-WP-02 </w:t>
      </w:r>
      <w:r w:rsidR="00A96A03" w:rsidRPr="004E1B05">
        <w:rPr>
          <w:i/>
          <w:sz w:val="22"/>
          <w:szCs w:val="22"/>
          <w:lang w:val="en-NZ"/>
        </w:rPr>
        <w:t>A compendium of fisheries indicators for tuna stocks</w:t>
      </w:r>
      <w:r w:rsidR="00A96A03" w:rsidRPr="004635E5">
        <w:rPr>
          <w:sz w:val="22"/>
          <w:szCs w:val="22"/>
          <w:lang w:val="en-NZ"/>
        </w:rPr>
        <w:t>, which provided empirical information on recent patterns in fisheries. While the paper provided indicators for four tuna species (bigeye, skipjack, yellowfin and south Pacific albacore) the presentation concentrated on the indicators for albacore only. The indicators included: total catch by gear, nominal CPUE trends, spatial distribution of catch and associated trends, size composition of the catch and trends in average size</w:t>
      </w:r>
      <w:r w:rsidR="00A16680" w:rsidRPr="004635E5">
        <w:rPr>
          <w:sz w:val="22"/>
          <w:szCs w:val="22"/>
          <w:lang w:val="en-NZ"/>
        </w:rPr>
        <w:t xml:space="preserve">. </w:t>
      </w:r>
      <w:r w:rsidR="00A96A03" w:rsidRPr="004635E5">
        <w:rPr>
          <w:sz w:val="22"/>
          <w:szCs w:val="22"/>
          <w:lang w:val="en-NZ"/>
        </w:rPr>
        <w:t>Stock projections were not performed for albacore.</w:t>
      </w:r>
    </w:p>
    <w:p w14:paraId="1630DB7F" w14:textId="77777777" w:rsidR="00B22831" w:rsidRPr="004635E5" w:rsidRDefault="00B22831" w:rsidP="006633A8">
      <w:pPr>
        <w:autoSpaceDE w:val="0"/>
        <w:autoSpaceDN w:val="0"/>
        <w:adjustRightInd w:val="0"/>
        <w:snapToGrid w:val="0"/>
        <w:jc w:val="both"/>
        <w:rPr>
          <w:sz w:val="22"/>
          <w:szCs w:val="22"/>
          <w:lang w:val="en-NZ"/>
        </w:rPr>
      </w:pPr>
    </w:p>
    <w:p w14:paraId="6B614537" w14:textId="77777777" w:rsidR="00D5018D" w:rsidRPr="004635E5" w:rsidRDefault="00A8102F"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The </w:t>
      </w:r>
      <w:r w:rsidR="002E39E9" w:rsidRPr="004635E5">
        <w:rPr>
          <w:sz w:val="22"/>
          <w:szCs w:val="22"/>
          <w:lang w:val="en-NZ"/>
        </w:rPr>
        <w:t>theme convener</w:t>
      </w:r>
      <w:r w:rsidR="00402087" w:rsidRPr="004635E5">
        <w:rPr>
          <w:sz w:val="22"/>
          <w:szCs w:val="22"/>
          <w:lang w:val="en-NZ"/>
        </w:rPr>
        <w:t xml:space="preserve"> </w:t>
      </w:r>
      <w:r w:rsidRPr="004635E5">
        <w:rPr>
          <w:sz w:val="22"/>
          <w:szCs w:val="22"/>
          <w:lang w:val="en-NZ"/>
        </w:rPr>
        <w:t>noted that there were n</w:t>
      </w:r>
      <w:r w:rsidR="00402087" w:rsidRPr="004635E5">
        <w:rPr>
          <w:sz w:val="22"/>
          <w:szCs w:val="22"/>
          <w:lang w:val="en-NZ"/>
        </w:rPr>
        <w:t xml:space="preserve">o projections for </w:t>
      </w:r>
      <w:r w:rsidR="002D5D17" w:rsidRPr="004635E5">
        <w:rPr>
          <w:sz w:val="22"/>
          <w:szCs w:val="22"/>
          <w:lang w:val="en-NZ"/>
        </w:rPr>
        <w:t>South Pacific</w:t>
      </w:r>
      <w:r w:rsidR="00402087" w:rsidRPr="004635E5">
        <w:rPr>
          <w:sz w:val="22"/>
          <w:szCs w:val="22"/>
          <w:lang w:val="en-NZ"/>
        </w:rPr>
        <w:t xml:space="preserve"> </w:t>
      </w:r>
      <w:r w:rsidR="002D5D17" w:rsidRPr="004635E5">
        <w:rPr>
          <w:sz w:val="22"/>
          <w:szCs w:val="22"/>
          <w:lang w:val="en-NZ"/>
        </w:rPr>
        <w:t>albacore</w:t>
      </w:r>
      <w:r w:rsidR="00402087" w:rsidRPr="004635E5">
        <w:rPr>
          <w:sz w:val="22"/>
          <w:szCs w:val="22"/>
          <w:lang w:val="en-NZ"/>
        </w:rPr>
        <w:t xml:space="preserve">. </w:t>
      </w:r>
      <w:r w:rsidR="00D5018D" w:rsidRPr="004635E5">
        <w:rPr>
          <w:rFonts w:eastAsiaTheme="minorEastAsia"/>
          <w:sz w:val="22"/>
          <w:szCs w:val="22"/>
          <w:lang w:val="en-NZ" w:eastAsia="ko-KR"/>
        </w:rPr>
        <w:t xml:space="preserve">In response to a query from the </w:t>
      </w:r>
      <w:r w:rsidR="00402087" w:rsidRPr="004635E5">
        <w:rPr>
          <w:rFonts w:eastAsiaTheme="minorEastAsia"/>
          <w:sz w:val="22"/>
          <w:szCs w:val="22"/>
          <w:lang w:val="en-NZ" w:eastAsia="ko-KR"/>
        </w:rPr>
        <w:t>USA</w:t>
      </w:r>
      <w:r w:rsidR="00CD6C20" w:rsidRPr="004635E5">
        <w:rPr>
          <w:rFonts w:eastAsiaTheme="minorEastAsia"/>
          <w:sz w:val="22"/>
          <w:szCs w:val="22"/>
          <w:lang w:val="en-NZ" w:eastAsia="ko-KR"/>
        </w:rPr>
        <w:t>,</w:t>
      </w:r>
      <w:r w:rsidR="00D5018D" w:rsidRPr="004635E5">
        <w:rPr>
          <w:rFonts w:eastAsiaTheme="minorEastAsia"/>
          <w:sz w:val="22"/>
          <w:szCs w:val="22"/>
          <w:lang w:val="en-NZ" w:eastAsia="ko-KR"/>
        </w:rPr>
        <w:t xml:space="preserve"> SPC stated that they could provide a composite </w:t>
      </w:r>
      <w:r w:rsidR="00402087" w:rsidRPr="004635E5">
        <w:rPr>
          <w:rFonts w:eastAsiaTheme="minorEastAsia"/>
          <w:sz w:val="22"/>
          <w:szCs w:val="22"/>
          <w:lang w:val="en-NZ" w:eastAsia="ko-KR"/>
        </w:rPr>
        <w:t xml:space="preserve">CPUE time series for </w:t>
      </w:r>
      <w:r w:rsidR="00D5018D" w:rsidRPr="004635E5">
        <w:rPr>
          <w:rFonts w:eastAsiaTheme="minorEastAsia"/>
          <w:sz w:val="22"/>
          <w:szCs w:val="22"/>
          <w:lang w:val="en-NZ" w:eastAsia="ko-KR"/>
        </w:rPr>
        <w:t xml:space="preserve">Pacific Island fleets </w:t>
      </w:r>
      <w:r w:rsidR="00402087" w:rsidRPr="004635E5">
        <w:rPr>
          <w:rFonts w:eastAsiaTheme="minorEastAsia"/>
          <w:sz w:val="22"/>
          <w:szCs w:val="22"/>
          <w:lang w:val="en-NZ" w:eastAsia="ko-KR"/>
        </w:rPr>
        <w:t>in future</w:t>
      </w:r>
      <w:r w:rsidR="00D5018D" w:rsidRPr="004635E5">
        <w:rPr>
          <w:rFonts w:eastAsiaTheme="minorEastAsia"/>
          <w:sz w:val="22"/>
          <w:szCs w:val="22"/>
          <w:lang w:val="en-NZ" w:eastAsia="ko-KR"/>
        </w:rPr>
        <w:t xml:space="preserve"> compendiums of fisheries indicators</w:t>
      </w:r>
      <w:r w:rsidR="00402087" w:rsidRPr="004635E5">
        <w:rPr>
          <w:rFonts w:eastAsiaTheme="minorEastAsia"/>
          <w:sz w:val="22"/>
          <w:szCs w:val="22"/>
          <w:lang w:val="en-NZ" w:eastAsia="ko-KR"/>
        </w:rPr>
        <w:t>.</w:t>
      </w:r>
      <w:r w:rsidR="00AF73D5" w:rsidRPr="004635E5">
        <w:rPr>
          <w:rFonts w:eastAsiaTheme="minorEastAsia"/>
          <w:sz w:val="22"/>
          <w:szCs w:val="22"/>
          <w:lang w:val="en-NZ" w:eastAsia="ko-KR"/>
        </w:rPr>
        <w:t xml:space="preserve"> </w:t>
      </w:r>
    </w:p>
    <w:p w14:paraId="0DA94406" w14:textId="77777777" w:rsidR="00DA09A7" w:rsidRPr="00DA09A7" w:rsidRDefault="00DA09A7" w:rsidP="00DA09A7">
      <w:pPr>
        <w:autoSpaceDE w:val="0"/>
        <w:autoSpaceDN w:val="0"/>
        <w:adjustRightInd w:val="0"/>
        <w:snapToGrid w:val="0"/>
        <w:jc w:val="both"/>
        <w:rPr>
          <w:rFonts w:eastAsiaTheme="minorEastAsia"/>
          <w:sz w:val="22"/>
          <w:szCs w:val="22"/>
          <w:lang w:eastAsia="ko-KR"/>
        </w:rPr>
      </w:pPr>
    </w:p>
    <w:p w14:paraId="31A3432B" w14:textId="77777777" w:rsidR="00D5018D" w:rsidRPr="004635E5" w:rsidRDefault="00402087"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val="en-NZ" w:eastAsia="ko-KR"/>
        </w:rPr>
        <w:t>ISSF</w:t>
      </w:r>
      <w:r w:rsidR="007766B6" w:rsidRPr="004635E5">
        <w:rPr>
          <w:rFonts w:eastAsiaTheme="minorEastAsia"/>
          <w:sz w:val="22"/>
          <w:szCs w:val="22"/>
          <w:lang w:val="en-NZ" w:eastAsia="ko-KR"/>
        </w:rPr>
        <w:t xml:space="preserve"> stated that in </w:t>
      </w:r>
      <w:r w:rsidR="007766B6" w:rsidRPr="004635E5">
        <w:rPr>
          <w:rFonts w:eastAsiaTheme="minorEastAsia"/>
          <w:sz w:val="22"/>
          <w:szCs w:val="22"/>
          <w:lang w:eastAsia="ko-KR"/>
        </w:rPr>
        <w:t xml:space="preserve">relation to the stock status of Southern Pacific albacore, it wanted to reiterate what was noted during the </w:t>
      </w:r>
      <w:r w:rsidR="00AF73D5" w:rsidRPr="004635E5">
        <w:rPr>
          <w:rFonts w:eastAsiaTheme="minorEastAsia"/>
          <w:sz w:val="22"/>
          <w:szCs w:val="22"/>
          <w:lang w:eastAsia="ko-KR"/>
        </w:rPr>
        <w:t xml:space="preserve">2018 </w:t>
      </w:r>
      <w:r w:rsidR="007766B6" w:rsidRPr="004635E5">
        <w:rPr>
          <w:rFonts w:eastAsiaTheme="minorEastAsia"/>
          <w:sz w:val="22"/>
          <w:szCs w:val="22"/>
          <w:lang w:eastAsia="ko-KR"/>
        </w:rPr>
        <w:t xml:space="preserve">Pre-assessment Workshop: </w:t>
      </w:r>
      <w:r w:rsidR="007766B6" w:rsidRPr="004635E5">
        <w:rPr>
          <w:rFonts w:eastAsiaTheme="minorEastAsia"/>
          <w:i/>
          <w:sz w:val="22"/>
          <w:szCs w:val="22"/>
          <w:lang w:eastAsia="ko-KR"/>
        </w:rPr>
        <w:t>The workshop noted that considerable catch of albacore had been taken in the southern IATTC region (which may i</w:t>
      </w:r>
      <w:r w:rsidR="00DC3359" w:rsidRPr="004635E5">
        <w:rPr>
          <w:rFonts w:eastAsiaTheme="minorEastAsia"/>
          <w:i/>
          <w:sz w:val="22"/>
          <w:szCs w:val="22"/>
          <w:lang w:eastAsia="ko-KR"/>
        </w:rPr>
        <w:t>n</w:t>
      </w:r>
      <w:r w:rsidR="007766B6" w:rsidRPr="004635E5">
        <w:rPr>
          <w:rFonts w:eastAsiaTheme="minorEastAsia"/>
          <w:i/>
          <w:sz w:val="22"/>
          <w:szCs w:val="22"/>
          <w:lang w:eastAsia="ko-KR"/>
        </w:rPr>
        <w:t>clude the overlap area) in recent years. As this catch is outside the current model region, there is potential merit in returning to the south Pacific-wide model structure in the longer term.</w:t>
      </w:r>
      <w:r w:rsidR="00D5018D" w:rsidRPr="004635E5">
        <w:rPr>
          <w:rFonts w:eastAsiaTheme="minorEastAsia"/>
          <w:i/>
          <w:sz w:val="22"/>
          <w:szCs w:val="22"/>
          <w:lang w:eastAsia="ko-KR"/>
        </w:rPr>
        <w:t xml:space="preserve"> </w:t>
      </w:r>
      <w:r w:rsidR="007766B6" w:rsidRPr="004635E5">
        <w:rPr>
          <w:rFonts w:eastAsiaTheme="minorEastAsia"/>
          <w:sz w:val="22"/>
          <w:szCs w:val="22"/>
          <w:lang w:eastAsia="ko-KR"/>
        </w:rPr>
        <w:t xml:space="preserve">The workshop recommended that, </w:t>
      </w:r>
      <w:r w:rsidR="007766B6" w:rsidRPr="004635E5">
        <w:rPr>
          <w:rFonts w:eastAsiaTheme="minorEastAsia"/>
          <w:i/>
          <w:sz w:val="22"/>
          <w:szCs w:val="22"/>
          <w:lang w:eastAsia="ko-KR"/>
        </w:rPr>
        <w:t>in the future, expansion of (new) regions 4 and 5 into the EPO could be considered</w:t>
      </w:r>
      <w:r w:rsidR="007766B6" w:rsidRPr="004635E5">
        <w:rPr>
          <w:rFonts w:eastAsiaTheme="minorEastAsia"/>
          <w:sz w:val="22"/>
          <w:szCs w:val="22"/>
          <w:lang w:eastAsia="ko-KR"/>
        </w:rPr>
        <w:t>.</w:t>
      </w:r>
      <w:r w:rsidR="00D5018D" w:rsidRPr="004635E5">
        <w:rPr>
          <w:rFonts w:eastAsiaTheme="minorEastAsia"/>
          <w:sz w:val="22"/>
          <w:szCs w:val="22"/>
          <w:lang w:eastAsia="ko-KR"/>
        </w:rPr>
        <w:t xml:space="preserve"> </w:t>
      </w:r>
      <w:r w:rsidR="00AF73D5" w:rsidRPr="004635E5">
        <w:rPr>
          <w:rFonts w:eastAsiaTheme="minorEastAsia"/>
          <w:sz w:val="22"/>
          <w:szCs w:val="22"/>
          <w:lang w:eastAsia="ko-KR"/>
        </w:rPr>
        <w:t>In addition, ISSF noted</w:t>
      </w:r>
      <w:r w:rsidR="007766B6" w:rsidRPr="004635E5">
        <w:rPr>
          <w:rFonts w:eastAsiaTheme="minorEastAsia"/>
          <w:sz w:val="22"/>
          <w:szCs w:val="22"/>
          <w:lang w:eastAsia="ko-KR"/>
        </w:rPr>
        <w:t xml:space="preserve"> that the document that the IATTC produces annual</w:t>
      </w:r>
      <w:r w:rsidR="00D5018D" w:rsidRPr="004635E5">
        <w:rPr>
          <w:rFonts w:eastAsiaTheme="minorEastAsia"/>
          <w:sz w:val="22"/>
          <w:szCs w:val="22"/>
          <w:lang w:eastAsia="ko-KR"/>
        </w:rPr>
        <w:t>l</w:t>
      </w:r>
      <w:r w:rsidR="007766B6" w:rsidRPr="004635E5">
        <w:rPr>
          <w:rFonts w:eastAsiaTheme="minorEastAsia"/>
          <w:sz w:val="22"/>
          <w:szCs w:val="22"/>
          <w:lang w:eastAsia="ko-KR"/>
        </w:rPr>
        <w:t xml:space="preserve">y giving an overview of the EPO fisheries, under the </w:t>
      </w:r>
      <w:r w:rsidR="002D5D17" w:rsidRPr="004635E5">
        <w:rPr>
          <w:rFonts w:eastAsiaTheme="minorEastAsia"/>
          <w:sz w:val="22"/>
          <w:szCs w:val="22"/>
          <w:lang w:eastAsia="ko-KR"/>
        </w:rPr>
        <w:t>South Pacific</w:t>
      </w:r>
      <w:r w:rsidR="007766B6" w:rsidRPr="004635E5">
        <w:rPr>
          <w:rFonts w:eastAsiaTheme="minorEastAsia"/>
          <w:sz w:val="22"/>
          <w:szCs w:val="22"/>
          <w:lang w:eastAsia="ko-KR"/>
        </w:rPr>
        <w:t xml:space="preserve"> </w:t>
      </w:r>
      <w:r w:rsidR="002D5D17" w:rsidRPr="004635E5">
        <w:rPr>
          <w:rFonts w:eastAsiaTheme="minorEastAsia"/>
          <w:sz w:val="22"/>
          <w:szCs w:val="22"/>
          <w:lang w:eastAsia="ko-KR"/>
        </w:rPr>
        <w:t>albacore</w:t>
      </w:r>
      <w:r w:rsidR="007766B6" w:rsidRPr="004635E5">
        <w:rPr>
          <w:rFonts w:eastAsiaTheme="minorEastAsia"/>
          <w:sz w:val="22"/>
          <w:szCs w:val="22"/>
          <w:lang w:eastAsia="ko-KR"/>
        </w:rPr>
        <w:t xml:space="preserve"> section, describes the </w:t>
      </w:r>
      <w:r w:rsidR="00CD6C20" w:rsidRPr="004635E5">
        <w:rPr>
          <w:rFonts w:eastAsiaTheme="minorEastAsia"/>
          <w:sz w:val="22"/>
          <w:szCs w:val="22"/>
          <w:lang w:eastAsia="ko-KR"/>
        </w:rPr>
        <w:t>stock assessments</w:t>
      </w:r>
      <w:r w:rsidR="007766B6" w:rsidRPr="004635E5">
        <w:rPr>
          <w:rFonts w:eastAsiaTheme="minorEastAsia"/>
          <w:sz w:val="22"/>
          <w:szCs w:val="22"/>
          <w:lang w:eastAsia="ko-KR"/>
        </w:rPr>
        <w:t xml:space="preserve"> conducted by SPC. This information could be misinterpreted, as only the WCPO area is considered in assessments since 2015.</w:t>
      </w:r>
      <w:r w:rsidR="00D5018D" w:rsidRPr="004635E5">
        <w:rPr>
          <w:rFonts w:eastAsiaTheme="minorEastAsia"/>
          <w:sz w:val="22"/>
          <w:szCs w:val="22"/>
          <w:lang w:eastAsia="ko-KR"/>
        </w:rPr>
        <w:t xml:space="preserve"> </w:t>
      </w:r>
      <w:r w:rsidR="007766B6" w:rsidRPr="004635E5">
        <w:rPr>
          <w:rFonts w:eastAsiaTheme="minorEastAsia"/>
          <w:sz w:val="22"/>
          <w:szCs w:val="22"/>
          <w:lang w:eastAsia="ko-KR"/>
        </w:rPr>
        <w:t xml:space="preserve">In summary, ISSF believes it is important to emphasize this issue and therefore suggest that the </w:t>
      </w:r>
      <w:r w:rsidR="00AF73D5" w:rsidRPr="004635E5">
        <w:rPr>
          <w:rFonts w:eastAsiaTheme="minorEastAsia"/>
          <w:sz w:val="22"/>
          <w:szCs w:val="22"/>
          <w:lang w:eastAsia="ko-KR"/>
        </w:rPr>
        <w:t>s</w:t>
      </w:r>
      <w:r w:rsidR="007766B6" w:rsidRPr="004635E5">
        <w:rPr>
          <w:rFonts w:eastAsiaTheme="minorEastAsia"/>
          <w:sz w:val="22"/>
          <w:szCs w:val="22"/>
          <w:lang w:eastAsia="ko-KR"/>
        </w:rPr>
        <w:t xml:space="preserve">tock status section for </w:t>
      </w:r>
      <w:r w:rsidR="002D5D17" w:rsidRPr="004635E5">
        <w:rPr>
          <w:rFonts w:eastAsiaTheme="minorEastAsia"/>
          <w:sz w:val="22"/>
          <w:szCs w:val="22"/>
          <w:lang w:eastAsia="ko-KR"/>
        </w:rPr>
        <w:t>South Pacific</w:t>
      </w:r>
      <w:r w:rsidR="007766B6" w:rsidRPr="004635E5">
        <w:rPr>
          <w:rFonts w:eastAsiaTheme="minorEastAsia"/>
          <w:sz w:val="22"/>
          <w:szCs w:val="22"/>
          <w:lang w:eastAsia="ko-KR"/>
        </w:rPr>
        <w:t xml:space="preserve"> </w:t>
      </w:r>
      <w:r w:rsidR="002D5D17" w:rsidRPr="004635E5">
        <w:rPr>
          <w:rFonts w:eastAsiaTheme="minorEastAsia"/>
          <w:sz w:val="22"/>
          <w:szCs w:val="22"/>
          <w:lang w:eastAsia="ko-KR"/>
        </w:rPr>
        <w:t>albacore</w:t>
      </w:r>
      <w:r w:rsidR="007766B6" w:rsidRPr="004635E5">
        <w:rPr>
          <w:rFonts w:eastAsiaTheme="minorEastAsia"/>
          <w:sz w:val="22"/>
          <w:szCs w:val="22"/>
          <w:lang w:eastAsia="ko-KR"/>
        </w:rPr>
        <w:t xml:space="preserve"> in the SC14 report includes a clear reference to what proportion of EPO catches are currently included in the assessment. </w:t>
      </w:r>
    </w:p>
    <w:p w14:paraId="5F5489CF" w14:textId="77777777" w:rsidR="00B22831" w:rsidRPr="004635E5" w:rsidRDefault="00B22831" w:rsidP="006633A8">
      <w:pPr>
        <w:autoSpaceDE w:val="0"/>
        <w:autoSpaceDN w:val="0"/>
        <w:adjustRightInd w:val="0"/>
        <w:snapToGrid w:val="0"/>
        <w:jc w:val="both"/>
        <w:rPr>
          <w:rFonts w:eastAsiaTheme="minorEastAsia"/>
          <w:sz w:val="22"/>
          <w:szCs w:val="22"/>
          <w:lang w:eastAsia="ko-KR"/>
        </w:rPr>
      </w:pPr>
    </w:p>
    <w:p w14:paraId="4937A516" w14:textId="77777777" w:rsidR="00402087" w:rsidRPr="004635E5" w:rsidRDefault="00402087"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val="en-NZ" w:eastAsia="ko-KR"/>
        </w:rPr>
        <w:t>SPC</w:t>
      </w:r>
      <w:r w:rsidR="00D5018D" w:rsidRPr="004635E5">
        <w:rPr>
          <w:rFonts w:eastAsiaTheme="minorEastAsia"/>
          <w:sz w:val="22"/>
          <w:szCs w:val="22"/>
          <w:lang w:val="en-NZ" w:eastAsia="ko-KR"/>
        </w:rPr>
        <w:t xml:space="preserve"> noted that their publications clearly </w:t>
      </w:r>
      <w:r w:rsidRPr="004635E5">
        <w:rPr>
          <w:rFonts w:eastAsiaTheme="minorEastAsia"/>
          <w:sz w:val="22"/>
          <w:szCs w:val="22"/>
          <w:lang w:val="en-NZ" w:eastAsia="ko-KR"/>
        </w:rPr>
        <w:t>delineate</w:t>
      </w:r>
      <w:r w:rsidR="00D5018D" w:rsidRPr="004635E5">
        <w:rPr>
          <w:rFonts w:eastAsiaTheme="minorEastAsia"/>
          <w:sz w:val="22"/>
          <w:szCs w:val="22"/>
          <w:lang w:val="en-NZ" w:eastAsia="ko-KR"/>
        </w:rPr>
        <w:t>d</w:t>
      </w:r>
      <w:r w:rsidRPr="004635E5">
        <w:rPr>
          <w:rFonts w:eastAsiaTheme="minorEastAsia"/>
          <w:sz w:val="22"/>
          <w:szCs w:val="22"/>
          <w:lang w:val="en-NZ" w:eastAsia="ko-KR"/>
        </w:rPr>
        <w:t xml:space="preserve"> </w:t>
      </w:r>
      <w:r w:rsidR="00D5018D" w:rsidRPr="004635E5">
        <w:rPr>
          <w:rFonts w:eastAsiaTheme="minorEastAsia"/>
          <w:sz w:val="22"/>
          <w:szCs w:val="22"/>
          <w:lang w:val="en-NZ" w:eastAsia="ko-KR"/>
        </w:rPr>
        <w:t xml:space="preserve">the </w:t>
      </w:r>
      <w:r w:rsidR="00656FD8" w:rsidRPr="004635E5">
        <w:rPr>
          <w:rFonts w:eastAsiaTheme="minorEastAsia"/>
          <w:sz w:val="22"/>
          <w:szCs w:val="22"/>
          <w:lang w:val="en-NZ" w:eastAsia="ko-KR"/>
        </w:rPr>
        <w:t>stock assessment</w:t>
      </w:r>
      <w:r w:rsidRPr="004635E5">
        <w:rPr>
          <w:rFonts w:eastAsiaTheme="minorEastAsia"/>
          <w:sz w:val="22"/>
          <w:szCs w:val="22"/>
          <w:lang w:val="en-NZ" w:eastAsia="ko-KR"/>
        </w:rPr>
        <w:t xml:space="preserve"> </w:t>
      </w:r>
      <w:r w:rsidR="00D5018D" w:rsidRPr="004635E5">
        <w:rPr>
          <w:rFonts w:eastAsiaTheme="minorEastAsia"/>
          <w:sz w:val="22"/>
          <w:szCs w:val="22"/>
          <w:lang w:val="en-NZ" w:eastAsia="ko-KR"/>
        </w:rPr>
        <w:t xml:space="preserve">was conducted for the </w:t>
      </w:r>
      <w:r w:rsidRPr="004635E5">
        <w:rPr>
          <w:rFonts w:eastAsiaTheme="minorEastAsia"/>
          <w:sz w:val="22"/>
          <w:szCs w:val="22"/>
          <w:lang w:val="en-NZ" w:eastAsia="ko-KR"/>
        </w:rPr>
        <w:t>WCPO</w:t>
      </w:r>
      <w:r w:rsidR="00D5018D" w:rsidRPr="004635E5">
        <w:rPr>
          <w:rFonts w:eastAsiaTheme="minorEastAsia"/>
          <w:sz w:val="22"/>
          <w:szCs w:val="22"/>
          <w:lang w:val="en-NZ" w:eastAsia="ko-KR"/>
        </w:rPr>
        <w:t xml:space="preserve">, and that they had ceased </w:t>
      </w:r>
      <w:r w:rsidRPr="004635E5">
        <w:rPr>
          <w:rFonts w:eastAsiaTheme="minorEastAsia"/>
          <w:sz w:val="22"/>
          <w:szCs w:val="22"/>
          <w:lang w:val="en-NZ" w:eastAsia="ko-KR"/>
        </w:rPr>
        <w:t>do</w:t>
      </w:r>
      <w:r w:rsidR="00D5018D" w:rsidRPr="004635E5">
        <w:rPr>
          <w:rFonts w:eastAsiaTheme="minorEastAsia"/>
          <w:sz w:val="22"/>
          <w:szCs w:val="22"/>
          <w:lang w:val="en-NZ" w:eastAsia="ko-KR"/>
        </w:rPr>
        <w:t>ing</w:t>
      </w:r>
      <w:r w:rsidRPr="004635E5">
        <w:rPr>
          <w:rFonts w:eastAsiaTheme="minorEastAsia"/>
          <w:sz w:val="22"/>
          <w:szCs w:val="22"/>
          <w:lang w:val="en-NZ" w:eastAsia="ko-KR"/>
        </w:rPr>
        <w:t xml:space="preserve"> pan-</w:t>
      </w:r>
      <w:r w:rsidR="00D5018D" w:rsidRPr="004635E5">
        <w:rPr>
          <w:rFonts w:eastAsiaTheme="minorEastAsia"/>
          <w:sz w:val="22"/>
          <w:szCs w:val="22"/>
          <w:lang w:val="en-NZ" w:eastAsia="ko-KR"/>
        </w:rPr>
        <w:t>P</w:t>
      </w:r>
      <w:r w:rsidRPr="004635E5">
        <w:rPr>
          <w:rFonts w:eastAsiaTheme="minorEastAsia"/>
          <w:sz w:val="22"/>
          <w:szCs w:val="22"/>
          <w:lang w:val="en-NZ" w:eastAsia="ko-KR"/>
        </w:rPr>
        <w:t>acific assessments</w:t>
      </w:r>
      <w:r w:rsidR="00D5018D" w:rsidRPr="004635E5">
        <w:rPr>
          <w:rFonts w:eastAsiaTheme="minorEastAsia"/>
          <w:sz w:val="22"/>
          <w:szCs w:val="22"/>
          <w:lang w:val="en-NZ" w:eastAsia="ko-KR"/>
        </w:rPr>
        <w:t xml:space="preserve"> to focus on </w:t>
      </w:r>
      <w:r w:rsidRPr="004635E5">
        <w:rPr>
          <w:rFonts w:eastAsiaTheme="minorEastAsia"/>
          <w:sz w:val="22"/>
          <w:szCs w:val="22"/>
          <w:lang w:val="en-NZ" w:eastAsia="ko-KR"/>
        </w:rPr>
        <w:t>advice re</w:t>
      </w:r>
      <w:r w:rsidR="00D5018D" w:rsidRPr="004635E5">
        <w:rPr>
          <w:rFonts w:eastAsiaTheme="minorEastAsia"/>
          <w:sz w:val="22"/>
          <w:szCs w:val="22"/>
          <w:lang w:val="en-NZ" w:eastAsia="ko-KR"/>
        </w:rPr>
        <w:t>garding the</w:t>
      </w:r>
      <w:r w:rsidRPr="004635E5">
        <w:rPr>
          <w:rFonts w:eastAsiaTheme="minorEastAsia"/>
          <w:sz w:val="22"/>
          <w:szCs w:val="22"/>
          <w:lang w:val="en-NZ" w:eastAsia="ko-KR"/>
        </w:rPr>
        <w:t xml:space="preserve"> WCPO.</w:t>
      </w:r>
    </w:p>
    <w:p w14:paraId="76C5237E" w14:textId="77777777" w:rsidR="00E7671F" w:rsidRDefault="00E7671F" w:rsidP="00E7671F">
      <w:pPr>
        <w:pStyle w:val="SCa"/>
        <w:tabs>
          <w:tab w:val="clear" w:pos="1080"/>
        </w:tabs>
        <w:spacing w:after="0"/>
        <w:ind w:left="0"/>
      </w:pPr>
    </w:p>
    <w:p w14:paraId="03EF8533" w14:textId="77777777" w:rsidR="00B22831" w:rsidRPr="00E7671F" w:rsidRDefault="00E77F52" w:rsidP="00580EA4">
      <w:pPr>
        <w:pStyle w:val="WCPFC"/>
        <w:numPr>
          <w:ilvl w:val="2"/>
          <w:numId w:val="62"/>
        </w:numPr>
        <w:ind w:left="0" w:firstLine="0"/>
        <w:rPr>
          <w:b/>
          <w:bCs/>
        </w:rPr>
      </w:pPr>
      <w:r w:rsidRPr="00E7671F">
        <w:rPr>
          <w:b/>
          <w:bCs/>
        </w:rPr>
        <w:t>South Pacific albacore tuna stock assessment</w:t>
      </w:r>
    </w:p>
    <w:p w14:paraId="16D5A2B6" w14:textId="77777777" w:rsidR="00AE2332" w:rsidRPr="004635E5" w:rsidRDefault="00AE2332"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L. Tremblay-Boyer (SPC) presented SC14-SA-WP-05 </w:t>
      </w:r>
      <w:r w:rsidR="00824380" w:rsidRPr="004635E5">
        <w:rPr>
          <w:i/>
          <w:sz w:val="22"/>
          <w:szCs w:val="22"/>
          <w:lang w:val="en-NZ"/>
        </w:rPr>
        <w:t>S</w:t>
      </w:r>
      <w:r w:rsidRPr="004635E5">
        <w:rPr>
          <w:i/>
          <w:sz w:val="22"/>
          <w:szCs w:val="22"/>
          <w:lang w:val="en-NZ"/>
        </w:rPr>
        <w:t xml:space="preserve">tock assessment of </w:t>
      </w:r>
      <w:r w:rsidR="00824380" w:rsidRPr="004635E5">
        <w:rPr>
          <w:i/>
          <w:sz w:val="22"/>
          <w:szCs w:val="22"/>
          <w:lang w:val="en-NZ"/>
        </w:rPr>
        <w:t xml:space="preserve">South Pacific </w:t>
      </w:r>
      <w:r w:rsidRPr="004635E5">
        <w:rPr>
          <w:i/>
          <w:sz w:val="22"/>
          <w:szCs w:val="22"/>
          <w:lang w:val="en-NZ"/>
        </w:rPr>
        <w:t>albacore tuna</w:t>
      </w:r>
      <w:r w:rsidRPr="004635E5">
        <w:rPr>
          <w:sz w:val="22"/>
          <w:szCs w:val="22"/>
          <w:lang w:val="en-NZ"/>
        </w:rPr>
        <w:t xml:space="preserve"> (Thunnus alalunga) </w:t>
      </w:r>
      <w:r w:rsidR="00824380" w:rsidRPr="004635E5">
        <w:rPr>
          <w:sz w:val="22"/>
          <w:szCs w:val="22"/>
        </w:rPr>
        <w:t>with reference to SA-IP-07</w:t>
      </w:r>
      <w:r w:rsidR="00824380" w:rsidRPr="004635E5">
        <w:rPr>
          <w:b/>
          <w:sz w:val="22"/>
          <w:szCs w:val="22"/>
        </w:rPr>
        <w:t xml:space="preserve"> </w:t>
      </w:r>
      <w:r w:rsidR="00824380" w:rsidRPr="004635E5">
        <w:rPr>
          <w:i/>
          <w:sz w:val="22"/>
          <w:szCs w:val="22"/>
        </w:rPr>
        <w:t>Background analyses for the 2018 stock assessment of south Pacific albacore</w:t>
      </w:r>
      <w:r w:rsidRPr="004635E5">
        <w:rPr>
          <w:sz w:val="22"/>
          <w:szCs w:val="22"/>
          <w:lang w:val="en-NZ"/>
        </w:rPr>
        <w:t xml:space="preserve">. </w:t>
      </w:r>
    </w:p>
    <w:p w14:paraId="1CCFE7E7" w14:textId="77777777" w:rsidR="00B22831" w:rsidRPr="004635E5" w:rsidRDefault="00B22831" w:rsidP="006633A8">
      <w:pPr>
        <w:autoSpaceDE w:val="0"/>
        <w:autoSpaceDN w:val="0"/>
        <w:adjustRightInd w:val="0"/>
        <w:snapToGrid w:val="0"/>
        <w:jc w:val="both"/>
        <w:rPr>
          <w:sz w:val="22"/>
          <w:szCs w:val="22"/>
          <w:lang w:val="en-NZ"/>
        </w:rPr>
      </w:pPr>
    </w:p>
    <w:p w14:paraId="6F003CD7" w14:textId="77777777" w:rsidR="00824380" w:rsidRPr="004635E5" w:rsidRDefault="00F101D3"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An additional 3 </w:t>
      </w:r>
      <w:r w:rsidR="00AE2332" w:rsidRPr="004635E5">
        <w:rPr>
          <w:sz w:val="22"/>
          <w:szCs w:val="22"/>
          <w:lang w:val="en-NZ"/>
        </w:rPr>
        <w:t xml:space="preserve">years </w:t>
      </w:r>
      <w:r w:rsidRPr="004635E5">
        <w:rPr>
          <w:sz w:val="22"/>
          <w:szCs w:val="22"/>
          <w:lang w:val="en-NZ"/>
        </w:rPr>
        <w:t xml:space="preserve">of </w:t>
      </w:r>
      <w:r w:rsidR="00AE2332" w:rsidRPr="004635E5">
        <w:rPr>
          <w:sz w:val="22"/>
          <w:szCs w:val="22"/>
          <w:lang w:val="en-NZ"/>
        </w:rPr>
        <w:t xml:space="preserve">data were available since the </w:t>
      </w:r>
      <w:r w:rsidRPr="004635E5">
        <w:rPr>
          <w:sz w:val="22"/>
          <w:szCs w:val="22"/>
          <w:lang w:val="en-NZ"/>
        </w:rPr>
        <w:t xml:space="preserve">previous </w:t>
      </w:r>
      <w:r w:rsidR="00AE2332" w:rsidRPr="004635E5">
        <w:rPr>
          <w:sz w:val="22"/>
          <w:szCs w:val="22"/>
          <w:lang w:val="en-NZ"/>
        </w:rPr>
        <w:t xml:space="preserve">stock assessment was conducted in 2015, and the model time period extends to the end of 2016. Further developments to the stock assessment </w:t>
      </w:r>
      <w:r w:rsidRPr="004635E5">
        <w:rPr>
          <w:sz w:val="22"/>
          <w:szCs w:val="22"/>
          <w:lang w:val="en-NZ"/>
        </w:rPr>
        <w:t xml:space="preserve">were </w:t>
      </w:r>
      <w:r w:rsidR="00AE2332" w:rsidRPr="004635E5">
        <w:rPr>
          <w:sz w:val="22"/>
          <w:szCs w:val="22"/>
          <w:lang w:val="en-NZ"/>
        </w:rPr>
        <w:t>undertaken to address the recommendations of the 2015 stock assessment report (</w:t>
      </w:r>
      <w:r w:rsidR="00CD6C20" w:rsidRPr="004635E5">
        <w:rPr>
          <w:sz w:val="22"/>
          <w:szCs w:val="22"/>
          <w:lang w:val="en-NZ"/>
        </w:rPr>
        <w:t>SC11-</w:t>
      </w:r>
      <w:r w:rsidR="00CD6C20" w:rsidRPr="004635E5">
        <w:rPr>
          <w:sz w:val="22"/>
          <w:szCs w:val="22"/>
        </w:rPr>
        <w:t>SA-WP-06</w:t>
      </w:r>
      <w:r w:rsidR="00AE2332" w:rsidRPr="004635E5">
        <w:rPr>
          <w:sz w:val="22"/>
          <w:szCs w:val="22"/>
          <w:lang w:val="en-NZ"/>
        </w:rPr>
        <w:t>) and of the 2018 pre-assessment workshop (</w:t>
      </w:r>
      <w:r w:rsidR="00CD6C20" w:rsidRPr="004635E5">
        <w:rPr>
          <w:sz w:val="22"/>
          <w:szCs w:val="22"/>
          <w:lang w:val="en-NZ"/>
        </w:rPr>
        <w:t>SC14-</w:t>
      </w:r>
      <w:r w:rsidR="00CD6C20" w:rsidRPr="004635E5">
        <w:rPr>
          <w:sz w:val="22"/>
          <w:szCs w:val="22"/>
        </w:rPr>
        <w:t>SA-IP-01</w:t>
      </w:r>
      <w:r w:rsidR="00AE2332" w:rsidRPr="004635E5">
        <w:rPr>
          <w:sz w:val="22"/>
          <w:szCs w:val="22"/>
          <w:lang w:val="en-NZ"/>
        </w:rPr>
        <w:t xml:space="preserve">). Additional uncertainties were explored in the assessment model, particularly in response to the inclusion of additional years of data, and to improve diagnostic weaknesses in previous assessments. </w:t>
      </w:r>
      <w:r w:rsidRPr="004635E5">
        <w:rPr>
          <w:sz w:val="22"/>
          <w:szCs w:val="22"/>
          <w:lang w:val="en-NZ"/>
        </w:rPr>
        <w:t xml:space="preserve">The </w:t>
      </w:r>
      <w:r w:rsidR="00AE2332" w:rsidRPr="004635E5">
        <w:rPr>
          <w:sz w:val="22"/>
          <w:szCs w:val="22"/>
          <w:lang w:val="en-NZ"/>
        </w:rPr>
        <w:t>assessment is supported by the analysis of longline CPUE data, background analyses of other data inputs and definition of the regional and fisheries structures for the updated assessment (</w:t>
      </w:r>
      <w:r w:rsidR="00CD6C20" w:rsidRPr="004635E5">
        <w:rPr>
          <w:sz w:val="22"/>
          <w:szCs w:val="22"/>
          <w:lang w:val="en-NZ"/>
        </w:rPr>
        <w:t>SC14-</w:t>
      </w:r>
      <w:r w:rsidR="00CD6C20" w:rsidRPr="004635E5">
        <w:rPr>
          <w:sz w:val="22"/>
          <w:szCs w:val="22"/>
        </w:rPr>
        <w:t>SA-IP-07</w:t>
      </w:r>
      <w:r w:rsidR="00824380" w:rsidRPr="004635E5">
        <w:rPr>
          <w:sz w:val="22"/>
          <w:szCs w:val="22"/>
          <w:lang w:val="en-NZ"/>
        </w:rPr>
        <w:t>).</w:t>
      </w:r>
    </w:p>
    <w:p w14:paraId="772AFF96" w14:textId="77777777" w:rsidR="00B22831" w:rsidRPr="004635E5" w:rsidRDefault="00B22831" w:rsidP="006633A8">
      <w:pPr>
        <w:autoSpaceDE w:val="0"/>
        <w:autoSpaceDN w:val="0"/>
        <w:adjustRightInd w:val="0"/>
        <w:snapToGrid w:val="0"/>
        <w:jc w:val="both"/>
        <w:rPr>
          <w:sz w:val="22"/>
          <w:szCs w:val="22"/>
          <w:lang w:val="en-NZ"/>
        </w:rPr>
      </w:pPr>
    </w:p>
    <w:p w14:paraId="479C0485" w14:textId="77777777" w:rsidR="00AE2332" w:rsidRPr="004635E5" w:rsidRDefault="00AE2332" w:rsidP="00580EA4">
      <w:pPr>
        <w:numPr>
          <w:ilvl w:val="0"/>
          <w:numId w:val="18"/>
        </w:numPr>
        <w:autoSpaceDE w:val="0"/>
        <w:autoSpaceDN w:val="0"/>
        <w:adjustRightInd w:val="0"/>
        <w:snapToGrid w:val="0"/>
        <w:ind w:left="0" w:firstLine="0"/>
        <w:jc w:val="both"/>
        <w:rPr>
          <w:sz w:val="22"/>
          <w:szCs w:val="22"/>
          <w:lang w:val="en-NZ"/>
        </w:rPr>
      </w:pPr>
      <w:r w:rsidRPr="004635E5">
        <w:rPr>
          <w:rFonts w:eastAsia="Batang"/>
          <w:sz w:val="22"/>
          <w:szCs w:val="22"/>
          <w:lang w:val="en-AU" w:eastAsia="ko-KR"/>
        </w:rPr>
        <w:t>Key changes made in the progression from the 2015 reference case to the 2018 diagnostic case model include:</w:t>
      </w:r>
    </w:p>
    <w:p w14:paraId="476632DD" w14:textId="77777777" w:rsidR="00AE2332" w:rsidRPr="004635E5" w:rsidRDefault="00AE2332" w:rsidP="00580EA4">
      <w:pPr>
        <w:pStyle w:val="ListParagraph"/>
        <w:numPr>
          <w:ilvl w:val="0"/>
          <w:numId w:val="31"/>
        </w:numPr>
        <w:adjustRightInd w:val="0"/>
        <w:snapToGrid w:val="0"/>
        <w:jc w:val="both"/>
        <w:rPr>
          <w:rFonts w:eastAsia="Batang"/>
          <w:sz w:val="22"/>
          <w:szCs w:val="22"/>
          <w:lang w:val="en-AU" w:eastAsia="ko-KR"/>
        </w:rPr>
      </w:pPr>
      <w:r w:rsidRPr="004635E5">
        <w:rPr>
          <w:rFonts w:eastAsia="Batang"/>
          <w:sz w:val="22"/>
          <w:szCs w:val="22"/>
          <w:lang w:val="en-AU" w:eastAsia="ko-KR"/>
        </w:rPr>
        <w:t>Updating all data up to the end of 2016.</w:t>
      </w:r>
    </w:p>
    <w:p w14:paraId="36BA2C3E" w14:textId="77777777" w:rsidR="00AE2332" w:rsidRPr="004635E5" w:rsidRDefault="00AE2332" w:rsidP="00580EA4">
      <w:pPr>
        <w:pStyle w:val="ListParagraph"/>
        <w:numPr>
          <w:ilvl w:val="0"/>
          <w:numId w:val="31"/>
        </w:numPr>
        <w:adjustRightInd w:val="0"/>
        <w:snapToGrid w:val="0"/>
        <w:jc w:val="both"/>
        <w:rPr>
          <w:rFonts w:eastAsia="Batang"/>
          <w:sz w:val="22"/>
          <w:szCs w:val="22"/>
          <w:lang w:val="en-AU" w:eastAsia="ko-KR"/>
        </w:rPr>
      </w:pPr>
      <w:r w:rsidRPr="004635E5">
        <w:rPr>
          <w:rFonts w:eastAsia="Batang"/>
          <w:sz w:val="22"/>
          <w:szCs w:val="22"/>
          <w:lang w:val="en-AU" w:eastAsia="ko-KR"/>
        </w:rPr>
        <w:t>Utilising standardised CPUE indices calculated from the recently collated operational longline CPUE data set, including historical Japanese longline data within the CPUE which were not available in 2015, and treating targeting cluster as a covariate (rather than filtering the data to only include albacore targeting clusters).</w:t>
      </w:r>
    </w:p>
    <w:p w14:paraId="1F4005D7" w14:textId="77777777" w:rsidR="00AE2332" w:rsidRPr="004635E5" w:rsidRDefault="00AE2332" w:rsidP="00580EA4">
      <w:pPr>
        <w:pStyle w:val="ListParagraph"/>
        <w:numPr>
          <w:ilvl w:val="0"/>
          <w:numId w:val="31"/>
        </w:numPr>
        <w:adjustRightInd w:val="0"/>
        <w:snapToGrid w:val="0"/>
        <w:jc w:val="both"/>
        <w:rPr>
          <w:rFonts w:eastAsia="Batang"/>
          <w:sz w:val="22"/>
          <w:szCs w:val="22"/>
          <w:lang w:val="en-AU" w:eastAsia="ko-KR"/>
        </w:rPr>
      </w:pPr>
      <w:r w:rsidRPr="004635E5">
        <w:rPr>
          <w:rFonts w:eastAsia="Batang"/>
          <w:sz w:val="22"/>
          <w:szCs w:val="22"/>
          <w:lang w:val="en-AU" w:eastAsia="ko-KR"/>
        </w:rPr>
        <w:t>Moving to a simplified regional structure (2018 region structure).</w:t>
      </w:r>
    </w:p>
    <w:p w14:paraId="762CCF3C" w14:textId="77777777" w:rsidR="00AE2332" w:rsidRPr="004635E5" w:rsidRDefault="00AE2332" w:rsidP="00580EA4">
      <w:pPr>
        <w:pStyle w:val="ListParagraph"/>
        <w:numPr>
          <w:ilvl w:val="0"/>
          <w:numId w:val="31"/>
        </w:numPr>
        <w:adjustRightInd w:val="0"/>
        <w:snapToGrid w:val="0"/>
        <w:jc w:val="both"/>
        <w:rPr>
          <w:rFonts w:eastAsia="Batang"/>
          <w:sz w:val="22"/>
          <w:szCs w:val="22"/>
          <w:lang w:val="en-AU" w:eastAsia="ko-KR"/>
        </w:rPr>
      </w:pPr>
      <w:r w:rsidRPr="004635E5">
        <w:rPr>
          <w:rFonts w:eastAsia="Batang"/>
          <w:sz w:val="22"/>
          <w:szCs w:val="22"/>
          <w:lang w:val="en-AU" w:eastAsia="ko-KR"/>
        </w:rPr>
        <w:t>Moving from the traditional CPUE standardized index to one based upon a geostatistical model.</w:t>
      </w:r>
    </w:p>
    <w:p w14:paraId="3017319A" w14:textId="77777777" w:rsidR="00AE2332" w:rsidRPr="004635E5" w:rsidRDefault="00AE2332" w:rsidP="00580EA4">
      <w:pPr>
        <w:pStyle w:val="ListParagraph"/>
        <w:numPr>
          <w:ilvl w:val="0"/>
          <w:numId w:val="31"/>
        </w:numPr>
        <w:adjustRightInd w:val="0"/>
        <w:snapToGrid w:val="0"/>
        <w:jc w:val="both"/>
        <w:rPr>
          <w:rFonts w:eastAsia="Batang"/>
          <w:sz w:val="22"/>
          <w:szCs w:val="22"/>
          <w:lang w:val="en-AU" w:eastAsia="ko-KR"/>
        </w:rPr>
      </w:pPr>
      <w:r w:rsidRPr="004635E5">
        <w:rPr>
          <w:rFonts w:eastAsia="Batang"/>
          <w:sz w:val="22"/>
          <w:szCs w:val="22"/>
          <w:lang w:val="en-AU" w:eastAsia="ko-KR"/>
        </w:rPr>
        <w:t>Applying the CPUE standardized index to an ‘index fishery’ in each region.</w:t>
      </w:r>
    </w:p>
    <w:p w14:paraId="04D69DB7" w14:textId="77777777" w:rsidR="00824380" w:rsidRPr="004635E5" w:rsidRDefault="00824380" w:rsidP="006633A8">
      <w:pPr>
        <w:pStyle w:val="ListParagraph"/>
        <w:adjustRightInd w:val="0"/>
        <w:snapToGrid w:val="0"/>
        <w:jc w:val="both"/>
        <w:rPr>
          <w:rFonts w:eastAsia="Batang"/>
          <w:sz w:val="22"/>
          <w:szCs w:val="22"/>
          <w:lang w:val="en-AU" w:eastAsia="ko-KR"/>
        </w:rPr>
      </w:pPr>
    </w:p>
    <w:p w14:paraId="386D34DF" w14:textId="77777777" w:rsidR="00824380" w:rsidRPr="004635E5" w:rsidRDefault="00AE2332" w:rsidP="00580EA4">
      <w:pPr>
        <w:numPr>
          <w:ilvl w:val="0"/>
          <w:numId w:val="18"/>
        </w:numPr>
        <w:autoSpaceDE w:val="0"/>
        <w:autoSpaceDN w:val="0"/>
        <w:adjustRightInd w:val="0"/>
        <w:snapToGrid w:val="0"/>
        <w:ind w:left="0" w:firstLine="0"/>
        <w:jc w:val="both"/>
        <w:rPr>
          <w:rFonts w:eastAsia="Batang"/>
          <w:sz w:val="22"/>
          <w:szCs w:val="22"/>
          <w:lang w:val="en-AU" w:eastAsia="ko-KR"/>
        </w:rPr>
      </w:pPr>
      <w:r w:rsidRPr="004635E5">
        <w:rPr>
          <w:rFonts w:eastAsia="Batang"/>
          <w:sz w:val="22"/>
          <w:szCs w:val="22"/>
          <w:lang w:val="en-AU" w:eastAsia="ko-KR"/>
        </w:rPr>
        <w:t xml:space="preserve">In addition to the diagnostic case model, </w:t>
      </w:r>
      <w:r w:rsidR="00824380" w:rsidRPr="004635E5">
        <w:rPr>
          <w:rFonts w:eastAsia="Batang"/>
          <w:sz w:val="22"/>
          <w:szCs w:val="22"/>
          <w:lang w:val="en-AU" w:eastAsia="ko-KR"/>
        </w:rPr>
        <w:t xml:space="preserve">L. </w:t>
      </w:r>
      <w:r w:rsidRPr="004635E5">
        <w:rPr>
          <w:rFonts w:eastAsia="Batang"/>
          <w:sz w:val="22"/>
          <w:szCs w:val="22"/>
          <w:lang w:val="en-AU" w:eastAsia="ko-KR"/>
        </w:rPr>
        <w:t>Tremblay-Boyer reported the results of one-off sensitivity models to explore the relative impacts of key data and model assumptions for the diagnostic case model on the stock assessment results and conclusions. A structural uncertainty analysis (model grid) for consideration in developing management advice was also undertaken, where all possible combinations of the most important axes of uncertainty from the one-off models were included. It was recommended that management advice should be formulated from the results of the structural uncertainty grid.</w:t>
      </w:r>
    </w:p>
    <w:p w14:paraId="50921C1D" w14:textId="77777777" w:rsidR="00B22831" w:rsidRPr="004635E5" w:rsidRDefault="00B22831" w:rsidP="006633A8">
      <w:pPr>
        <w:autoSpaceDE w:val="0"/>
        <w:autoSpaceDN w:val="0"/>
        <w:adjustRightInd w:val="0"/>
        <w:snapToGrid w:val="0"/>
        <w:jc w:val="both"/>
        <w:rPr>
          <w:rFonts w:eastAsia="Batang"/>
          <w:sz w:val="22"/>
          <w:szCs w:val="22"/>
          <w:lang w:val="en-AU" w:eastAsia="ko-KR"/>
        </w:rPr>
      </w:pPr>
    </w:p>
    <w:p w14:paraId="104D5ADB" w14:textId="77777777" w:rsidR="00824380" w:rsidRPr="004635E5" w:rsidRDefault="00AE2332" w:rsidP="00580EA4">
      <w:pPr>
        <w:numPr>
          <w:ilvl w:val="0"/>
          <w:numId w:val="18"/>
        </w:numPr>
        <w:autoSpaceDE w:val="0"/>
        <w:autoSpaceDN w:val="0"/>
        <w:adjustRightInd w:val="0"/>
        <w:snapToGrid w:val="0"/>
        <w:ind w:left="0" w:firstLine="0"/>
        <w:jc w:val="both"/>
        <w:rPr>
          <w:rFonts w:eastAsia="Batang"/>
          <w:sz w:val="22"/>
          <w:szCs w:val="22"/>
          <w:lang w:val="en-AU" w:eastAsia="ko-KR"/>
        </w:rPr>
      </w:pPr>
      <w:r w:rsidRPr="004635E5">
        <w:rPr>
          <w:rFonts w:eastAsia="Batang"/>
          <w:sz w:val="22"/>
          <w:szCs w:val="22"/>
          <w:lang w:val="en-AU" w:eastAsia="ko-KR"/>
        </w:rPr>
        <w:t xml:space="preserve">Across the range of models run in this assessment, the most important factors when evaluating stock status were the assumed level of natural mortality, and growth. For natural mortality, age invariant M values of 0.3 </w:t>
      </w:r>
      <w:r w:rsidRPr="004635E5">
        <w:rPr>
          <w:rFonts w:eastAsia="Batang"/>
          <w:i/>
          <w:iCs/>
          <w:sz w:val="22"/>
          <w:szCs w:val="22"/>
          <w:lang w:val="en-AU" w:eastAsia="ko-KR"/>
        </w:rPr>
        <w:t>yr</w:t>
      </w:r>
      <w:r w:rsidRPr="00EE2870">
        <w:rPr>
          <w:rFonts w:eastAsia="Batang"/>
          <w:i/>
          <w:iCs/>
          <w:sz w:val="22"/>
          <w:szCs w:val="22"/>
          <w:vertAlign w:val="superscript"/>
          <w:lang w:val="en-AU" w:eastAsia="ko-KR"/>
        </w:rPr>
        <w:t>-</w:t>
      </w:r>
      <w:r w:rsidRPr="00EE2870">
        <w:rPr>
          <w:rFonts w:eastAsia="Batang"/>
          <w:sz w:val="22"/>
          <w:szCs w:val="22"/>
          <w:vertAlign w:val="superscript"/>
          <w:lang w:val="en-AU" w:eastAsia="ko-KR"/>
        </w:rPr>
        <w:t>1</w:t>
      </w:r>
      <w:r w:rsidRPr="004635E5">
        <w:rPr>
          <w:rFonts w:eastAsia="Batang"/>
          <w:sz w:val="22"/>
          <w:szCs w:val="22"/>
          <w:lang w:val="en-AU" w:eastAsia="ko-KR"/>
        </w:rPr>
        <w:t xml:space="preserve"> (consistent with the 2015 assessment) and 0.4 </w:t>
      </w:r>
      <w:r w:rsidRPr="004635E5">
        <w:rPr>
          <w:rFonts w:eastAsia="Batang"/>
          <w:i/>
          <w:iCs/>
          <w:sz w:val="22"/>
          <w:szCs w:val="22"/>
          <w:lang w:val="en-AU" w:eastAsia="ko-KR"/>
        </w:rPr>
        <w:t>yr</w:t>
      </w:r>
      <w:r w:rsidRPr="005E5847">
        <w:rPr>
          <w:rFonts w:eastAsia="Batang"/>
          <w:i/>
          <w:iCs/>
          <w:sz w:val="22"/>
          <w:szCs w:val="22"/>
          <w:vertAlign w:val="superscript"/>
          <w:lang w:val="en-AU" w:eastAsia="ko-KR"/>
        </w:rPr>
        <w:t>-</w:t>
      </w:r>
      <w:r w:rsidRPr="005E5847">
        <w:rPr>
          <w:rFonts w:eastAsia="Batang"/>
          <w:sz w:val="22"/>
          <w:szCs w:val="22"/>
          <w:vertAlign w:val="superscript"/>
          <w:lang w:val="en-AU" w:eastAsia="ko-KR"/>
        </w:rPr>
        <w:t>1</w:t>
      </w:r>
      <w:r w:rsidRPr="004635E5">
        <w:rPr>
          <w:rFonts w:eastAsia="Batang"/>
          <w:sz w:val="22"/>
          <w:szCs w:val="22"/>
          <w:lang w:val="en-AU" w:eastAsia="ko-KR"/>
        </w:rPr>
        <w:t xml:space="preserve"> were assumed, with the latter resulting in more optimistic assessment outcomes. Age-dependent M settings were also evaluated as one-off sensitivities. Natural mortality remains a key uncertainty in this assessment,</w:t>
      </w:r>
      <w:r w:rsidR="00F101D3" w:rsidRPr="004635E5">
        <w:rPr>
          <w:rFonts w:eastAsia="Batang"/>
          <w:sz w:val="22"/>
          <w:szCs w:val="22"/>
          <w:lang w:val="en-AU" w:eastAsia="ko-KR"/>
        </w:rPr>
        <w:t xml:space="preserve"> </w:t>
      </w:r>
      <w:r w:rsidRPr="004635E5">
        <w:rPr>
          <w:rFonts w:eastAsia="Batang"/>
          <w:sz w:val="22"/>
          <w:szCs w:val="22"/>
          <w:lang w:val="en-AU" w:eastAsia="ko-KR"/>
        </w:rPr>
        <w:t>and it is appropriate that such uncertainty continue to be reflected in the overall stock assessment results. For growth, the conditional age-at-length data from recent work was incorporated into the diagnostic case model, while an alternative scenario fixed at the parameter values of the sex</w:t>
      </w:r>
      <w:r w:rsidR="00F101D3" w:rsidRPr="004635E5">
        <w:rPr>
          <w:rFonts w:eastAsia="Batang"/>
          <w:sz w:val="22"/>
          <w:szCs w:val="22"/>
          <w:lang w:val="en-AU" w:eastAsia="ko-KR"/>
        </w:rPr>
        <w:t xml:space="preserve"> </w:t>
      </w:r>
      <w:r w:rsidRPr="004635E5">
        <w:rPr>
          <w:rFonts w:eastAsia="Batang"/>
          <w:sz w:val="22"/>
          <w:szCs w:val="22"/>
          <w:lang w:val="en-AU" w:eastAsia="ko-KR"/>
        </w:rPr>
        <w:t>combined ‘Chen-Wells’ growth model used within the 2017 North Pacific albacore reference case model run was also evaluated. Use of the latter resulted in more pessimistic assessment outcomes. There remains an unresolved inconsistency in the growth rates indicated by the VB curve fitted to the age-at-length data (approximately 20 cm per year for albacore 20-70 cm in length) and presumed annual modes with 10 cm spacing that consistently appear in the troll size composition data, and historically in the driftnet size composition data. It was noted that additional analysis of otoliths taken from 50-70 cm albacore in the troll fishery is required to identify the reason for this inconsistency.</w:t>
      </w:r>
    </w:p>
    <w:p w14:paraId="02A340A1" w14:textId="77777777" w:rsidR="00B22831" w:rsidRPr="004635E5" w:rsidRDefault="00B22831" w:rsidP="006633A8">
      <w:pPr>
        <w:autoSpaceDE w:val="0"/>
        <w:autoSpaceDN w:val="0"/>
        <w:adjustRightInd w:val="0"/>
        <w:snapToGrid w:val="0"/>
        <w:jc w:val="both"/>
        <w:rPr>
          <w:rFonts w:eastAsia="Batang"/>
          <w:sz w:val="22"/>
          <w:szCs w:val="22"/>
          <w:lang w:val="en-AU" w:eastAsia="ko-KR"/>
        </w:rPr>
      </w:pPr>
    </w:p>
    <w:p w14:paraId="4BF31563" w14:textId="77777777" w:rsidR="00AE2332" w:rsidRPr="004635E5" w:rsidRDefault="00AE2332" w:rsidP="00580EA4">
      <w:pPr>
        <w:numPr>
          <w:ilvl w:val="0"/>
          <w:numId w:val="18"/>
        </w:numPr>
        <w:autoSpaceDE w:val="0"/>
        <w:autoSpaceDN w:val="0"/>
        <w:adjustRightInd w:val="0"/>
        <w:snapToGrid w:val="0"/>
        <w:ind w:left="0" w:firstLine="0"/>
        <w:jc w:val="both"/>
        <w:rPr>
          <w:rFonts w:eastAsia="Batang"/>
          <w:sz w:val="22"/>
          <w:szCs w:val="22"/>
          <w:lang w:val="en-AU" w:eastAsia="ko-KR"/>
        </w:rPr>
      </w:pPr>
      <w:r w:rsidRPr="004635E5">
        <w:rPr>
          <w:rFonts w:eastAsia="Batang"/>
          <w:sz w:val="22"/>
          <w:szCs w:val="22"/>
          <w:lang w:val="en-AU" w:eastAsia="ko-KR"/>
        </w:rPr>
        <w:t>The general conclusions of this assessment are as follows:</w:t>
      </w:r>
    </w:p>
    <w:p w14:paraId="478859F3" w14:textId="77777777" w:rsidR="00AE2332" w:rsidRPr="004635E5" w:rsidRDefault="00AE2332" w:rsidP="00580EA4">
      <w:pPr>
        <w:pStyle w:val="ListParagraph"/>
        <w:numPr>
          <w:ilvl w:val="0"/>
          <w:numId w:val="30"/>
        </w:numPr>
        <w:adjustRightInd w:val="0"/>
        <w:snapToGrid w:val="0"/>
        <w:jc w:val="both"/>
        <w:rPr>
          <w:rFonts w:eastAsia="Batang"/>
          <w:sz w:val="22"/>
          <w:szCs w:val="22"/>
          <w:lang w:val="en-AU" w:eastAsia="ko-KR"/>
        </w:rPr>
      </w:pPr>
      <w:r w:rsidRPr="004635E5">
        <w:rPr>
          <w:rFonts w:eastAsia="Batang"/>
          <w:sz w:val="22"/>
          <w:szCs w:val="22"/>
          <w:lang w:val="en-AU" w:eastAsia="ko-KR"/>
        </w:rPr>
        <w:t>While biomass is estimated to have declined initially, estimates of spawning potential, and biomass vulnerable to the various longline fisheries, have been stable or possibly increasing slightly over the past 20 years. This has been influenced mainly by the estimated recruitment, which has generally been somewhat higher since 2000 than in the two decades previous.</w:t>
      </w:r>
    </w:p>
    <w:p w14:paraId="54EF87BB" w14:textId="77777777" w:rsidR="00AE2332" w:rsidRPr="004635E5" w:rsidRDefault="00AE2332" w:rsidP="00580EA4">
      <w:pPr>
        <w:pStyle w:val="ListParagraph"/>
        <w:numPr>
          <w:ilvl w:val="0"/>
          <w:numId w:val="30"/>
        </w:numPr>
        <w:adjustRightInd w:val="0"/>
        <w:snapToGrid w:val="0"/>
        <w:jc w:val="both"/>
        <w:rPr>
          <w:rFonts w:eastAsia="Batang"/>
          <w:sz w:val="22"/>
          <w:szCs w:val="22"/>
          <w:lang w:val="en-AU" w:eastAsia="ko-KR"/>
        </w:rPr>
      </w:pPr>
      <w:r w:rsidRPr="004635E5">
        <w:rPr>
          <w:rFonts w:eastAsia="Batang"/>
          <w:sz w:val="22"/>
          <w:szCs w:val="22"/>
          <w:lang w:val="en-AU" w:eastAsia="ko-KR"/>
        </w:rPr>
        <w:t>Most models also estimate an increase in spawning and longline vulnerable biomass since about 2011, driven by some high estimated recruitments, particularly around 2009.</w:t>
      </w:r>
    </w:p>
    <w:p w14:paraId="04370394" w14:textId="77777777" w:rsidR="00AE2332" w:rsidRPr="004635E5" w:rsidRDefault="00AE2332" w:rsidP="00580EA4">
      <w:pPr>
        <w:pStyle w:val="ListParagraph"/>
        <w:numPr>
          <w:ilvl w:val="0"/>
          <w:numId w:val="30"/>
        </w:numPr>
        <w:adjustRightInd w:val="0"/>
        <w:snapToGrid w:val="0"/>
        <w:jc w:val="both"/>
        <w:rPr>
          <w:rFonts w:eastAsia="Batang"/>
          <w:sz w:val="22"/>
          <w:szCs w:val="22"/>
          <w:lang w:val="en-AU" w:eastAsia="ko-KR"/>
        </w:rPr>
      </w:pPr>
      <w:r w:rsidRPr="004635E5">
        <w:rPr>
          <w:rFonts w:eastAsia="Batang"/>
          <w:sz w:val="22"/>
          <w:szCs w:val="22"/>
          <w:lang w:val="en-AU" w:eastAsia="ko-KR"/>
        </w:rPr>
        <w:t>A steady increase in fishing mortality of adult age-classes is estimated to have occurred over most of the assessment period, accelerating since the 1990s but declining following the decline in longline catch seen since 2010. Juvenile fishing mortality increased until around 1990, and has remained stable at a low level since that time.</w:t>
      </w:r>
    </w:p>
    <w:p w14:paraId="4D90F4CB" w14:textId="77777777" w:rsidR="00AE2332" w:rsidRPr="004635E5" w:rsidRDefault="00AE2332" w:rsidP="00580EA4">
      <w:pPr>
        <w:pStyle w:val="ListParagraph"/>
        <w:numPr>
          <w:ilvl w:val="0"/>
          <w:numId w:val="30"/>
        </w:numPr>
        <w:adjustRightInd w:val="0"/>
        <w:snapToGrid w:val="0"/>
        <w:jc w:val="both"/>
        <w:rPr>
          <w:rFonts w:eastAsia="Batang"/>
          <w:sz w:val="22"/>
          <w:szCs w:val="22"/>
          <w:lang w:val="en-AU" w:eastAsia="ko-KR"/>
        </w:rPr>
      </w:pPr>
      <w:r w:rsidRPr="004635E5">
        <w:rPr>
          <w:rFonts w:eastAsia="Batang"/>
          <w:sz w:val="22"/>
          <w:szCs w:val="22"/>
          <w:lang w:val="en-AU" w:eastAsia="ko-KR"/>
        </w:rPr>
        <w:t>Key stock assessment results across all models in the structural uncertainty grid show a wide</w:t>
      </w:r>
      <w:r w:rsidRPr="004635E5">
        <w:rPr>
          <w:rFonts w:eastAsia="Batang"/>
          <w:sz w:val="22"/>
          <w:szCs w:val="22"/>
          <w:lang w:val="en-AU" w:eastAsia="ko-KR"/>
        </w:rPr>
        <w:br/>
        <w:t>range of estimates.</w:t>
      </w:r>
    </w:p>
    <w:p w14:paraId="4D0BFA25" w14:textId="77777777" w:rsidR="00AE2332" w:rsidRPr="004635E5" w:rsidRDefault="00AE2332" w:rsidP="00580EA4">
      <w:pPr>
        <w:pStyle w:val="ListParagraph"/>
        <w:numPr>
          <w:ilvl w:val="0"/>
          <w:numId w:val="30"/>
        </w:numPr>
        <w:adjustRightInd w:val="0"/>
        <w:snapToGrid w:val="0"/>
        <w:jc w:val="both"/>
        <w:rPr>
          <w:rFonts w:eastAsia="Batang"/>
          <w:sz w:val="22"/>
          <w:szCs w:val="22"/>
          <w:lang w:val="en-AU" w:eastAsia="ko-KR"/>
        </w:rPr>
      </w:pPr>
      <w:r w:rsidRPr="004635E5">
        <w:rPr>
          <w:rFonts w:eastAsia="Batang"/>
          <w:sz w:val="22"/>
          <w:szCs w:val="22"/>
          <w:lang w:val="en-AU" w:eastAsia="ko-KR"/>
        </w:rPr>
        <w:t>All models indicate that South Pacific albacore is above the limit reference point (of 0.2</w:t>
      </w:r>
      <w:r w:rsidRPr="004635E5">
        <w:rPr>
          <w:rFonts w:eastAsia="Batang"/>
          <w:i/>
          <w:iCs/>
          <w:sz w:val="22"/>
          <w:szCs w:val="22"/>
          <w:lang w:val="en-AU" w:eastAsia="ko-KR"/>
        </w:rPr>
        <w:t>SB</w:t>
      </w:r>
      <w:r w:rsidRPr="004E1B05">
        <w:rPr>
          <w:rFonts w:eastAsia="Batang"/>
          <w:i/>
          <w:iCs/>
          <w:sz w:val="22"/>
          <w:szCs w:val="22"/>
          <w:vertAlign w:val="subscript"/>
          <w:lang w:val="en-AU" w:eastAsia="ko-KR"/>
        </w:rPr>
        <w:t xml:space="preserve">F </w:t>
      </w:r>
      <w:r w:rsidRPr="004E1B05">
        <w:rPr>
          <w:rFonts w:eastAsia="Batang"/>
          <w:sz w:val="22"/>
          <w:szCs w:val="22"/>
          <w:vertAlign w:val="subscript"/>
          <w:lang w:val="en-AU" w:eastAsia="ko-KR"/>
        </w:rPr>
        <w:t>=0</w:t>
      </w:r>
      <w:r w:rsidRPr="004635E5">
        <w:rPr>
          <w:rFonts w:eastAsia="Batang"/>
          <w:sz w:val="22"/>
          <w:szCs w:val="22"/>
          <w:lang w:val="en-AU" w:eastAsia="ko-KR"/>
        </w:rPr>
        <w:t>), with overall median depletion for 2016 (</w:t>
      </w:r>
      <w:r w:rsidRPr="004635E5">
        <w:rPr>
          <w:rFonts w:eastAsia="Batang"/>
          <w:i/>
          <w:iCs/>
          <w:sz w:val="22"/>
          <w:szCs w:val="22"/>
          <w:lang w:val="en-AU" w:eastAsia="ko-KR"/>
        </w:rPr>
        <w:t>SB</w:t>
      </w:r>
      <w:r w:rsidRPr="004E1B05">
        <w:rPr>
          <w:rFonts w:eastAsia="Batang"/>
          <w:i/>
          <w:iCs/>
          <w:sz w:val="22"/>
          <w:szCs w:val="22"/>
          <w:vertAlign w:val="subscript"/>
          <w:lang w:val="en-AU" w:eastAsia="ko-KR"/>
        </w:rPr>
        <w:t>latest</w:t>
      </w:r>
      <w:r w:rsidRPr="004635E5">
        <w:rPr>
          <w:rFonts w:eastAsia="Batang"/>
          <w:i/>
          <w:iCs/>
          <w:sz w:val="22"/>
          <w:szCs w:val="22"/>
          <w:lang w:val="en-AU" w:eastAsia="ko-KR"/>
        </w:rPr>
        <w:t>/SB</w:t>
      </w:r>
      <w:r w:rsidRPr="004E1B05">
        <w:rPr>
          <w:rFonts w:eastAsia="Batang"/>
          <w:i/>
          <w:iCs/>
          <w:sz w:val="22"/>
          <w:szCs w:val="22"/>
          <w:vertAlign w:val="subscript"/>
          <w:lang w:val="en-AU" w:eastAsia="ko-KR"/>
        </w:rPr>
        <w:t>F</w:t>
      </w:r>
      <w:r w:rsidRPr="004E1B05">
        <w:rPr>
          <w:rFonts w:eastAsia="Batang"/>
          <w:sz w:val="22"/>
          <w:szCs w:val="22"/>
          <w:vertAlign w:val="subscript"/>
          <w:lang w:val="en-AU" w:eastAsia="ko-KR"/>
        </w:rPr>
        <w:t>=0</w:t>
      </w:r>
      <w:r w:rsidRPr="004635E5">
        <w:rPr>
          <w:rFonts w:eastAsia="Batang"/>
          <w:sz w:val="22"/>
          <w:szCs w:val="22"/>
          <w:lang w:val="en-AU" w:eastAsia="ko-KR"/>
        </w:rPr>
        <w:t xml:space="preserve">) estimated at 0.52 (80 percentile range 0.37-0.69). </w:t>
      </w:r>
    </w:p>
    <w:p w14:paraId="5F883495" w14:textId="77777777" w:rsidR="00AE2332" w:rsidRPr="004635E5" w:rsidRDefault="00AE2332" w:rsidP="00580EA4">
      <w:pPr>
        <w:pStyle w:val="ListParagraph"/>
        <w:numPr>
          <w:ilvl w:val="0"/>
          <w:numId w:val="30"/>
        </w:numPr>
        <w:adjustRightInd w:val="0"/>
        <w:snapToGrid w:val="0"/>
        <w:jc w:val="both"/>
        <w:rPr>
          <w:rFonts w:eastAsia="Batang"/>
          <w:sz w:val="22"/>
          <w:szCs w:val="22"/>
          <w:lang w:val="en-AU" w:eastAsia="ko-KR"/>
        </w:rPr>
      </w:pPr>
      <w:r w:rsidRPr="004635E5">
        <w:rPr>
          <w:rFonts w:eastAsia="Batang"/>
          <w:sz w:val="22"/>
          <w:szCs w:val="22"/>
          <w:lang w:val="en-AU" w:eastAsia="ko-KR"/>
        </w:rPr>
        <w:t xml:space="preserve">Recent average fishing mortality is estimated to be well below </w:t>
      </w:r>
      <w:r w:rsidRPr="004635E5">
        <w:rPr>
          <w:rFonts w:eastAsia="Batang"/>
          <w:i/>
          <w:iCs/>
          <w:sz w:val="22"/>
          <w:szCs w:val="22"/>
          <w:lang w:val="en-AU" w:eastAsia="ko-KR"/>
        </w:rPr>
        <w:t>F</w:t>
      </w:r>
      <w:r w:rsidRPr="004E1B05">
        <w:rPr>
          <w:rFonts w:eastAsia="Batang"/>
          <w:sz w:val="22"/>
          <w:szCs w:val="22"/>
          <w:vertAlign w:val="subscript"/>
          <w:lang w:val="en-AU" w:eastAsia="ko-KR"/>
        </w:rPr>
        <w:t>MSY</w:t>
      </w:r>
      <w:r w:rsidRPr="004635E5">
        <w:rPr>
          <w:rFonts w:eastAsia="Batang"/>
          <w:sz w:val="22"/>
          <w:szCs w:val="22"/>
          <w:lang w:val="en-AU" w:eastAsia="ko-KR"/>
        </w:rPr>
        <w:t xml:space="preserve"> (median </w:t>
      </w:r>
      <w:r w:rsidRPr="004635E5">
        <w:rPr>
          <w:rFonts w:eastAsia="Batang"/>
          <w:i/>
          <w:iCs/>
          <w:sz w:val="22"/>
          <w:szCs w:val="22"/>
          <w:lang w:val="en-AU" w:eastAsia="ko-KR"/>
        </w:rPr>
        <w:t>F</w:t>
      </w:r>
      <w:r w:rsidRPr="004E1B05">
        <w:rPr>
          <w:rFonts w:eastAsia="Batang"/>
          <w:i/>
          <w:iCs/>
          <w:sz w:val="22"/>
          <w:szCs w:val="22"/>
          <w:vertAlign w:val="subscript"/>
          <w:lang w:val="en-AU" w:eastAsia="ko-KR"/>
        </w:rPr>
        <w:t>recent</w:t>
      </w:r>
      <w:r w:rsidRPr="004635E5">
        <w:rPr>
          <w:rFonts w:eastAsia="Batang"/>
          <w:sz w:val="22"/>
          <w:szCs w:val="22"/>
          <w:lang w:val="en-AU" w:eastAsia="ko-KR"/>
        </w:rPr>
        <w:t>/</w:t>
      </w:r>
      <w:r w:rsidRPr="004635E5">
        <w:rPr>
          <w:rFonts w:eastAsia="Batang"/>
          <w:i/>
          <w:iCs/>
          <w:sz w:val="22"/>
          <w:szCs w:val="22"/>
          <w:lang w:val="en-AU" w:eastAsia="ko-KR"/>
        </w:rPr>
        <w:t>F</w:t>
      </w:r>
      <w:r w:rsidRPr="004E1B05">
        <w:rPr>
          <w:rFonts w:eastAsia="Batang"/>
          <w:sz w:val="22"/>
          <w:szCs w:val="22"/>
          <w:vertAlign w:val="subscript"/>
          <w:lang w:val="en-AU" w:eastAsia="ko-KR"/>
        </w:rPr>
        <w:t>MSY</w:t>
      </w:r>
      <w:r w:rsidRPr="004635E5">
        <w:rPr>
          <w:rFonts w:eastAsia="Batang"/>
          <w:sz w:val="22"/>
          <w:szCs w:val="22"/>
          <w:lang w:val="en-AU" w:eastAsia="ko-KR"/>
        </w:rPr>
        <w:t xml:space="preserve"> =0.2, 80 percentile range 0.08-0.41). </w:t>
      </w:r>
    </w:p>
    <w:p w14:paraId="07561B7D" w14:textId="77777777" w:rsidR="00AE2332" w:rsidRPr="004635E5" w:rsidRDefault="00AE2332" w:rsidP="00580EA4">
      <w:pPr>
        <w:pStyle w:val="ListParagraph"/>
        <w:numPr>
          <w:ilvl w:val="0"/>
          <w:numId w:val="30"/>
        </w:numPr>
        <w:adjustRightInd w:val="0"/>
        <w:snapToGrid w:val="0"/>
        <w:jc w:val="both"/>
        <w:rPr>
          <w:rFonts w:eastAsia="Batang"/>
          <w:sz w:val="22"/>
          <w:szCs w:val="22"/>
          <w:lang w:val="en-AU" w:eastAsia="ko-KR"/>
        </w:rPr>
      </w:pPr>
      <w:r w:rsidRPr="004635E5">
        <w:rPr>
          <w:rFonts w:eastAsia="Batang"/>
          <w:sz w:val="22"/>
          <w:szCs w:val="22"/>
          <w:lang w:val="en-AU" w:eastAsia="ko-KR"/>
        </w:rPr>
        <w:t xml:space="preserve">A number of key research needs have been identified in undertaking this assessment that should be investigated either internally or through directed research. These include: the analysis of otoliths from individuals within the presumed annual modes seen in the troll data; </w:t>
      </w:r>
      <w:r w:rsidRPr="004635E5">
        <w:rPr>
          <w:rFonts w:eastAsia="Batang"/>
          <w:iCs/>
          <w:sz w:val="22"/>
          <w:szCs w:val="22"/>
          <w:lang w:val="en-AU" w:eastAsia="ko-KR"/>
        </w:rPr>
        <w:t>the exploration of alternatives to the Von Bertalanffy model when modelling albacore growth within MULTIFAN-CL</w:t>
      </w:r>
      <w:r w:rsidRPr="004635E5">
        <w:rPr>
          <w:rFonts w:eastAsia="Batang"/>
          <w:sz w:val="22"/>
          <w:szCs w:val="22"/>
          <w:lang w:val="en-AU" w:eastAsia="ko-KR"/>
        </w:rPr>
        <w:t xml:space="preserve">; studies on albacore size-related vulnerability to longline fishing; further development of the geostatistical analysis of operational-level CPUE data; </w:t>
      </w:r>
      <w:r w:rsidR="00F101D3" w:rsidRPr="004635E5">
        <w:rPr>
          <w:rFonts w:eastAsia="Batang"/>
          <w:sz w:val="22"/>
          <w:szCs w:val="22"/>
          <w:lang w:val="en-AU" w:eastAsia="ko-KR"/>
        </w:rPr>
        <w:t xml:space="preserve">and </w:t>
      </w:r>
      <w:r w:rsidRPr="004635E5">
        <w:rPr>
          <w:rFonts w:eastAsia="Batang"/>
          <w:sz w:val="22"/>
          <w:szCs w:val="22"/>
          <w:lang w:val="en-AU" w:eastAsia="ko-KR"/>
        </w:rPr>
        <w:t>further development of relevant MULTIFAN-CL functionalities.</w:t>
      </w:r>
    </w:p>
    <w:p w14:paraId="0D693858" w14:textId="77777777" w:rsidR="007A6195" w:rsidRPr="004635E5" w:rsidRDefault="007A6195" w:rsidP="006633A8">
      <w:pPr>
        <w:pStyle w:val="ListParagraph"/>
        <w:adjustRightInd w:val="0"/>
        <w:snapToGrid w:val="0"/>
        <w:jc w:val="both"/>
        <w:rPr>
          <w:rFonts w:eastAsia="Batang"/>
          <w:sz w:val="22"/>
          <w:szCs w:val="22"/>
          <w:lang w:val="en-AU" w:eastAsia="ko-KR"/>
        </w:rPr>
      </w:pPr>
    </w:p>
    <w:p w14:paraId="18A348B6" w14:textId="77777777" w:rsidR="00824380" w:rsidRPr="004635E5" w:rsidRDefault="00475336" w:rsidP="006633A8">
      <w:pPr>
        <w:autoSpaceDE w:val="0"/>
        <w:autoSpaceDN w:val="0"/>
        <w:adjustRightInd w:val="0"/>
        <w:snapToGrid w:val="0"/>
        <w:jc w:val="both"/>
        <w:rPr>
          <w:sz w:val="22"/>
          <w:szCs w:val="22"/>
        </w:rPr>
      </w:pPr>
      <w:r w:rsidRPr="004635E5">
        <w:rPr>
          <w:b/>
          <w:sz w:val="22"/>
          <w:szCs w:val="22"/>
        </w:rPr>
        <w:t>Discussion</w:t>
      </w:r>
      <w:r w:rsidR="00824380" w:rsidRPr="004635E5">
        <w:rPr>
          <w:sz w:val="22"/>
          <w:szCs w:val="22"/>
        </w:rPr>
        <w:t xml:space="preserve"> </w:t>
      </w:r>
    </w:p>
    <w:p w14:paraId="4B291F32" w14:textId="77777777" w:rsidR="00B22831" w:rsidRPr="004635E5" w:rsidRDefault="00B22831" w:rsidP="006633A8">
      <w:pPr>
        <w:autoSpaceDE w:val="0"/>
        <w:autoSpaceDN w:val="0"/>
        <w:adjustRightInd w:val="0"/>
        <w:snapToGrid w:val="0"/>
        <w:jc w:val="both"/>
        <w:rPr>
          <w:sz w:val="22"/>
          <w:szCs w:val="22"/>
        </w:rPr>
      </w:pPr>
    </w:p>
    <w:p w14:paraId="039E9A08" w14:textId="77777777" w:rsidR="006F569A" w:rsidRPr="004635E5" w:rsidRDefault="008962E2" w:rsidP="00580EA4">
      <w:pPr>
        <w:numPr>
          <w:ilvl w:val="0"/>
          <w:numId w:val="18"/>
        </w:numPr>
        <w:autoSpaceDE w:val="0"/>
        <w:autoSpaceDN w:val="0"/>
        <w:adjustRightInd w:val="0"/>
        <w:snapToGrid w:val="0"/>
        <w:ind w:left="0" w:firstLine="0"/>
        <w:jc w:val="both"/>
        <w:rPr>
          <w:sz w:val="22"/>
          <w:szCs w:val="22"/>
        </w:rPr>
      </w:pPr>
      <w:r w:rsidRPr="004635E5">
        <w:rPr>
          <w:sz w:val="22"/>
          <w:szCs w:val="22"/>
        </w:rPr>
        <w:t>In response to a query</w:t>
      </w:r>
      <w:r w:rsidR="00F76E47" w:rsidRPr="004635E5">
        <w:rPr>
          <w:sz w:val="22"/>
          <w:szCs w:val="22"/>
        </w:rPr>
        <w:t xml:space="preserve"> from New Zealand, </w:t>
      </w:r>
      <w:r w:rsidR="00CD6C20" w:rsidRPr="004635E5">
        <w:rPr>
          <w:sz w:val="22"/>
          <w:szCs w:val="22"/>
          <w:lang w:val="en-NZ"/>
        </w:rPr>
        <w:t xml:space="preserve">L. Tremblay-Boyer </w:t>
      </w:r>
      <w:r w:rsidR="00F76E47" w:rsidRPr="004635E5">
        <w:rPr>
          <w:sz w:val="22"/>
          <w:szCs w:val="22"/>
        </w:rPr>
        <w:t xml:space="preserve">stated that </w:t>
      </w:r>
      <w:r w:rsidR="00E40D58" w:rsidRPr="004635E5">
        <w:rPr>
          <w:sz w:val="22"/>
          <w:szCs w:val="22"/>
        </w:rPr>
        <w:t xml:space="preserve">the Chen Wells growth curves in the Growth Curves/Data Points slide (#55) used data </w:t>
      </w:r>
      <w:r w:rsidR="00F76E47" w:rsidRPr="004635E5">
        <w:rPr>
          <w:sz w:val="22"/>
          <w:szCs w:val="22"/>
        </w:rPr>
        <w:t xml:space="preserve">points </w:t>
      </w:r>
      <w:r w:rsidR="00E40D58" w:rsidRPr="004635E5">
        <w:rPr>
          <w:sz w:val="22"/>
          <w:szCs w:val="22"/>
        </w:rPr>
        <w:t xml:space="preserve">from the </w:t>
      </w:r>
      <w:r w:rsidR="002D5D17" w:rsidRPr="004635E5">
        <w:rPr>
          <w:sz w:val="22"/>
          <w:szCs w:val="22"/>
        </w:rPr>
        <w:t>South Pacific</w:t>
      </w:r>
      <w:r w:rsidR="00E40D58" w:rsidRPr="004635E5">
        <w:rPr>
          <w:sz w:val="22"/>
          <w:szCs w:val="22"/>
        </w:rPr>
        <w:t xml:space="preserve"> </w:t>
      </w:r>
      <w:r w:rsidR="002D5D17" w:rsidRPr="004635E5">
        <w:rPr>
          <w:sz w:val="22"/>
          <w:szCs w:val="22"/>
        </w:rPr>
        <w:t>albacore</w:t>
      </w:r>
      <w:r w:rsidR="00E40D58" w:rsidRPr="004635E5">
        <w:rPr>
          <w:sz w:val="22"/>
          <w:szCs w:val="22"/>
        </w:rPr>
        <w:t xml:space="preserve">, </w:t>
      </w:r>
      <w:r w:rsidR="00F76E47" w:rsidRPr="004635E5">
        <w:rPr>
          <w:sz w:val="22"/>
          <w:szCs w:val="22"/>
        </w:rPr>
        <w:t xml:space="preserve">while the </w:t>
      </w:r>
      <w:r w:rsidR="00E40D58" w:rsidRPr="004635E5">
        <w:rPr>
          <w:sz w:val="22"/>
          <w:szCs w:val="22"/>
        </w:rPr>
        <w:t xml:space="preserve">curve </w:t>
      </w:r>
      <w:r w:rsidR="00F76E47" w:rsidRPr="004635E5">
        <w:rPr>
          <w:sz w:val="22"/>
          <w:szCs w:val="22"/>
        </w:rPr>
        <w:t xml:space="preserve">was </w:t>
      </w:r>
      <w:r w:rsidR="006F569A" w:rsidRPr="004635E5">
        <w:rPr>
          <w:sz w:val="22"/>
          <w:szCs w:val="22"/>
        </w:rPr>
        <w:t xml:space="preserve">an </w:t>
      </w:r>
      <w:r w:rsidR="00F76E47" w:rsidRPr="004635E5">
        <w:rPr>
          <w:sz w:val="22"/>
          <w:szCs w:val="22"/>
        </w:rPr>
        <w:t>A</w:t>
      </w:r>
      <w:r w:rsidR="00E40D58" w:rsidRPr="004635E5">
        <w:rPr>
          <w:sz w:val="22"/>
          <w:szCs w:val="22"/>
        </w:rPr>
        <w:t>ge/L</w:t>
      </w:r>
      <w:r w:rsidR="00F76E47" w:rsidRPr="004635E5">
        <w:rPr>
          <w:sz w:val="22"/>
          <w:szCs w:val="22"/>
        </w:rPr>
        <w:t>ength</w:t>
      </w:r>
      <w:r w:rsidR="00E40D58" w:rsidRPr="004635E5">
        <w:rPr>
          <w:sz w:val="22"/>
          <w:szCs w:val="22"/>
        </w:rPr>
        <w:t xml:space="preserve"> curve </w:t>
      </w:r>
      <w:r w:rsidR="006F569A" w:rsidRPr="004635E5">
        <w:rPr>
          <w:sz w:val="22"/>
          <w:szCs w:val="22"/>
        </w:rPr>
        <w:t xml:space="preserve">based on data from </w:t>
      </w:r>
      <w:r w:rsidR="002D5D17" w:rsidRPr="004635E5">
        <w:rPr>
          <w:sz w:val="22"/>
          <w:szCs w:val="22"/>
        </w:rPr>
        <w:t>North Pacific</w:t>
      </w:r>
      <w:r w:rsidR="00E40D58" w:rsidRPr="004635E5">
        <w:rPr>
          <w:sz w:val="22"/>
          <w:szCs w:val="22"/>
        </w:rPr>
        <w:t xml:space="preserve"> </w:t>
      </w:r>
      <w:r w:rsidR="002D5D17" w:rsidRPr="004635E5">
        <w:rPr>
          <w:sz w:val="22"/>
          <w:szCs w:val="22"/>
        </w:rPr>
        <w:t>albacore</w:t>
      </w:r>
      <w:r w:rsidR="00E40D58" w:rsidRPr="004635E5">
        <w:rPr>
          <w:sz w:val="22"/>
          <w:szCs w:val="22"/>
        </w:rPr>
        <w:t xml:space="preserve">. </w:t>
      </w:r>
      <w:r w:rsidR="006F569A" w:rsidRPr="004635E5">
        <w:rPr>
          <w:sz w:val="22"/>
          <w:szCs w:val="22"/>
        </w:rPr>
        <w:t xml:space="preserve">New Zealand state they would </w:t>
      </w:r>
      <w:r w:rsidR="00E40D58" w:rsidRPr="004635E5">
        <w:rPr>
          <w:sz w:val="22"/>
          <w:szCs w:val="22"/>
        </w:rPr>
        <w:t>undertake to provide otolith s</w:t>
      </w:r>
      <w:r w:rsidR="006F569A" w:rsidRPr="004635E5">
        <w:rPr>
          <w:sz w:val="22"/>
          <w:szCs w:val="22"/>
        </w:rPr>
        <w:t>amples from their fishery or arch</w:t>
      </w:r>
      <w:r w:rsidR="00E40D58" w:rsidRPr="004635E5">
        <w:rPr>
          <w:sz w:val="22"/>
          <w:szCs w:val="22"/>
        </w:rPr>
        <w:t>ive</w:t>
      </w:r>
      <w:r w:rsidR="006F569A" w:rsidRPr="004635E5">
        <w:rPr>
          <w:sz w:val="22"/>
          <w:szCs w:val="22"/>
        </w:rPr>
        <w:t xml:space="preserve"> to inform the model</w:t>
      </w:r>
      <w:r w:rsidR="00E40D58" w:rsidRPr="004635E5">
        <w:rPr>
          <w:sz w:val="22"/>
          <w:szCs w:val="22"/>
        </w:rPr>
        <w:t xml:space="preserve">. </w:t>
      </w:r>
    </w:p>
    <w:p w14:paraId="7687E8B7" w14:textId="77777777" w:rsidR="00B22831" w:rsidRPr="004635E5" w:rsidRDefault="00B22831" w:rsidP="006633A8">
      <w:pPr>
        <w:autoSpaceDE w:val="0"/>
        <w:autoSpaceDN w:val="0"/>
        <w:adjustRightInd w:val="0"/>
        <w:snapToGrid w:val="0"/>
        <w:jc w:val="both"/>
        <w:rPr>
          <w:sz w:val="22"/>
          <w:szCs w:val="22"/>
        </w:rPr>
      </w:pPr>
    </w:p>
    <w:p w14:paraId="56F79D14" w14:textId="77777777" w:rsidR="006F569A" w:rsidRPr="004635E5" w:rsidRDefault="00E40D58" w:rsidP="00580EA4">
      <w:pPr>
        <w:numPr>
          <w:ilvl w:val="0"/>
          <w:numId w:val="18"/>
        </w:numPr>
        <w:autoSpaceDE w:val="0"/>
        <w:autoSpaceDN w:val="0"/>
        <w:adjustRightInd w:val="0"/>
        <w:snapToGrid w:val="0"/>
        <w:ind w:left="0" w:firstLine="0"/>
        <w:jc w:val="both"/>
        <w:rPr>
          <w:sz w:val="22"/>
          <w:szCs w:val="22"/>
        </w:rPr>
      </w:pPr>
      <w:r w:rsidRPr="004635E5">
        <w:rPr>
          <w:sz w:val="22"/>
          <w:szCs w:val="22"/>
        </w:rPr>
        <w:t>Samoa</w:t>
      </w:r>
      <w:r w:rsidR="00824380" w:rsidRPr="004635E5">
        <w:rPr>
          <w:sz w:val="22"/>
          <w:szCs w:val="22"/>
        </w:rPr>
        <w:t xml:space="preserve">, on behalf of </w:t>
      </w:r>
      <w:r w:rsidR="0004745E" w:rsidRPr="004635E5">
        <w:rPr>
          <w:sz w:val="22"/>
          <w:szCs w:val="22"/>
        </w:rPr>
        <w:t xml:space="preserve">FFA members </w:t>
      </w:r>
      <w:r w:rsidR="008962E2" w:rsidRPr="004635E5">
        <w:rPr>
          <w:sz w:val="22"/>
          <w:szCs w:val="22"/>
        </w:rPr>
        <w:t xml:space="preserve">noted </w:t>
      </w:r>
      <w:r w:rsidR="0004745E" w:rsidRPr="004635E5">
        <w:rPr>
          <w:sz w:val="22"/>
          <w:szCs w:val="22"/>
        </w:rPr>
        <w:t>the optimistic outcome of the assessment compared to the 2015 stock assessment</w:t>
      </w:r>
      <w:r w:rsidR="008962E2" w:rsidRPr="004635E5">
        <w:rPr>
          <w:sz w:val="22"/>
          <w:szCs w:val="22"/>
        </w:rPr>
        <w:t>, and emphasiz</w:t>
      </w:r>
      <w:r w:rsidR="0004745E" w:rsidRPr="004635E5">
        <w:rPr>
          <w:sz w:val="22"/>
          <w:szCs w:val="22"/>
        </w:rPr>
        <w:t xml:space="preserve">ed the need to restore catch rates to a level that would ensure the viability of our domestic fleets. </w:t>
      </w:r>
      <w:r w:rsidR="008962E2" w:rsidRPr="004635E5">
        <w:rPr>
          <w:sz w:val="22"/>
          <w:szCs w:val="22"/>
        </w:rPr>
        <w:t>V</w:t>
      </w:r>
      <w:r w:rsidR="0004745E" w:rsidRPr="004635E5">
        <w:rPr>
          <w:sz w:val="22"/>
          <w:szCs w:val="22"/>
        </w:rPr>
        <w:t xml:space="preserve">ulnerable biomass </w:t>
      </w:r>
      <w:r w:rsidR="008962E2" w:rsidRPr="004635E5">
        <w:rPr>
          <w:sz w:val="22"/>
          <w:szCs w:val="22"/>
        </w:rPr>
        <w:t xml:space="preserve">can be viewed </w:t>
      </w:r>
      <w:r w:rsidR="0004745E" w:rsidRPr="004635E5">
        <w:rPr>
          <w:sz w:val="22"/>
          <w:szCs w:val="22"/>
        </w:rPr>
        <w:t>as a proxy for CPUE</w:t>
      </w:r>
      <w:r w:rsidR="008962E2" w:rsidRPr="004635E5">
        <w:rPr>
          <w:sz w:val="22"/>
          <w:szCs w:val="22"/>
        </w:rPr>
        <w:t xml:space="preserve">, </w:t>
      </w:r>
      <w:r w:rsidR="0004745E" w:rsidRPr="004635E5">
        <w:rPr>
          <w:sz w:val="22"/>
          <w:szCs w:val="22"/>
        </w:rPr>
        <w:t>and seems to have improved in the last few years of the assessment period.</w:t>
      </w:r>
      <w:r w:rsidR="006F569A" w:rsidRPr="004635E5">
        <w:rPr>
          <w:sz w:val="22"/>
          <w:szCs w:val="22"/>
        </w:rPr>
        <w:t xml:space="preserve"> </w:t>
      </w:r>
      <w:r w:rsidR="008962E2" w:rsidRPr="004635E5">
        <w:rPr>
          <w:sz w:val="22"/>
          <w:szCs w:val="22"/>
        </w:rPr>
        <w:t>However</w:t>
      </w:r>
      <w:r w:rsidR="0004745E" w:rsidRPr="004635E5">
        <w:rPr>
          <w:sz w:val="22"/>
          <w:szCs w:val="22"/>
        </w:rPr>
        <w:t xml:space="preserve">, </w:t>
      </w:r>
      <w:r w:rsidR="008962E2" w:rsidRPr="004635E5">
        <w:rPr>
          <w:sz w:val="22"/>
          <w:szCs w:val="22"/>
        </w:rPr>
        <w:t xml:space="preserve">they acknowledged that </w:t>
      </w:r>
      <w:r w:rsidR="0004745E" w:rsidRPr="004635E5">
        <w:rPr>
          <w:sz w:val="22"/>
          <w:szCs w:val="22"/>
        </w:rPr>
        <w:t xml:space="preserve">data used in the assessment </w:t>
      </w:r>
      <w:r w:rsidR="008962E2" w:rsidRPr="004635E5">
        <w:rPr>
          <w:sz w:val="22"/>
          <w:szCs w:val="22"/>
        </w:rPr>
        <w:t xml:space="preserve">were </w:t>
      </w:r>
      <w:r w:rsidR="0004745E" w:rsidRPr="004635E5">
        <w:rPr>
          <w:sz w:val="22"/>
          <w:szCs w:val="22"/>
        </w:rPr>
        <w:t xml:space="preserve">updated through 2016, and in 2017 there </w:t>
      </w:r>
      <w:r w:rsidR="008962E2" w:rsidRPr="004635E5">
        <w:rPr>
          <w:sz w:val="22"/>
          <w:szCs w:val="22"/>
        </w:rPr>
        <w:t xml:space="preserve">was </w:t>
      </w:r>
      <w:r w:rsidR="0004745E" w:rsidRPr="004635E5">
        <w:rPr>
          <w:sz w:val="22"/>
          <w:szCs w:val="22"/>
        </w:rPr>
        <w:t>increased effort exerted in the fishery</w:t>
      </w:r>
      <w:r w:rsidR="008962E2" w:rsidRPr="004635E5">
        <w:rPr>
          <w:sz w:val="22"/>
          <w:szCs w:val="22"/>
        </w:rPr>
        <w:t>;</w:t>
      </w:r>
      <w:r w:rsidR="0004745E" w:rsidRPr="004635E5">
        <w:rPr>
          <w:sz w:val="22"/>
          <w:szCs w:val="22"/>
        </w:rPr>
        <w:t xml:space="preserve"> </w:t>
      </w:r>
      <w:r w:rsidR="008962E2" w:rsidRPr="004635E5">
        <w:rPr>
          <w:sz w:val="22"/>
          <w:szCs w:val="22"/>
        </w:rPr>
        <w:t>a</w:t>
      </w:r>
      <w:r w:rsidR="0004745E" w:rsidRPr="004635E5">
        <w:rPr>
          <w:sz w:val="22"/>
          <w:szCs w:val="22"/>
        </w:rPr>
        <w:t xml:space="preserve">s indicated in the presentation on economic conditions, periodic recovery </w:t>
      </w:r>
      <w:r w:rsidR="008962E2" w:rsidRPr="004635E5">
        <w:rPr>
          <w:sz w:val="22"/>
          <w:szCs w:val="22"/>
        </w:rPr>
        <w:t xml:space="preserve">appears to be </w:t>
      </w:r>
      <w:r w:rsidR="0004745E" w:rsidRPr="004635E5">
        <w:rPr>
          <w:sz w:val="22"/>
          <w:szCs w:val="22"/>
        </w:rPr>
        <w:t xml:space="preserve">followed by sustained reductions in catch rates. </w:t>
      </w:r>
      <w:r w:rsidR="008962E2" w:rsidRPr="004635E5">
        <w:rPr>
          <w:sz w:val="22"/>
          <w:szCs w:val="22"/>
        </w:rPr>
        <w:t>P</w:t>
      </w:r>
      <w:r w:rsidR="0004745E" w:rsidRPr="004635E5">
        <w:rPr>
          <w:sz w:val="22"/>
          <w:szCs w:val="22"/>
        </w:rPr>
        <w:t xml:space="preserve">eaks </w:t>
      </w:r>
      <w:r w:rsidR="008962E2" w:rsidRPr="004635E5">
        <w:rPr>
          <w:sz w:val="22"/>
          <w:szCs w:val="22"/>
        </w:rPr>
        <w:t xml:space="preserve">appear to be </w:t>
      </w:r>
      <w:r w:rsidR="0004745E" w:rsidRPr="004635E5">
        <w:rPr>
          <w:sz w:val="22"/>
          <w:szCs w:val="22"/>
        </w:rPr>
        <w:t xml:space="preserve">getting lower </w:t>
      </w:r>
      <w:r w:rsidR="008962E2" w:rsidRPr="004635E5">
        <w:rPr>
          <w:sz w:val="22"/>
          <w:szCs w:val="22"/>
        </w:rPr>
        <w:t xml:space="preserve">and </w:t>
      </w:r>
      <w:r w:rsidR="0004745E" w:rsidRPr="004635E5">
        <w:rPr>
          <w:sz w:val="22"/>
          <w:szCs w:val="22"/>
        </w:rPr>
        <w:t>troughs deeper.</w:t>
      </w:r>
      <w:r w:rsidR="006F569A" w:rsidRPr="004635E5">
        <w:rPr>
          <w:sz w:val="22"/>
          <w:szCs w:val="22"/>
        </w:rPr>
        <w:t xml:space="preserve"> </w:t>
      </w:r>
      <w:r w:rsidR="008962E2" w:rsidRPr="004635E5">
        <w:rPr>
          <w:sz w:val="22"/>
          <w:szCs w:val="22"/>
        </w:rPr>
        <w:t>Samoa stated that t</w:t>
      </w:r>
      <w:r w:rsidR="0004745E" w:rsidRPr="004635E5">
        <w:rPr>
          <w:sz w:val="22"/>
          <w:szCs w:val="22"/>
        </w:rPr>
        <w:t xml:space="preserve">o </w:t>
      </w:r>
      <w:r w:rsidR="008962E2" w:rsidRPr="004635E5">
        <w:rPr>
          <w:sz w:val="22"/>
          <w:szCs w:val="22"/>
        </w:rPr>
        <w:t>consider</w:t>
      </w:r>
      <w:r w:rsidR="0004745E" w:rsidRPr="004635E5">
        <w:rPr>
          <w:sz w:val="22"/>
          <w:szCs w:val="22"/>
        </w:rPr>
        <w:t xml:space="preserve"> the outcomes of the stock assessment presented and </w:t>
      </w:r>
      <w:r w:rsidR="008962E2" w:rsidRPr="004635E5">
        <w:rPr>
          <w:sz w:val="22"/>
          <w:szCs w:val="22"/>
        </w:rPr>
        <w:t>formulate</w:t>
      </w:r>
      <w:r w:rsidR="0004745E" w:rsidRPr="004635E5">
        <w:rPr>
          <w:sz w:val="22"/>
          <w:szCs w:val="22"/>
        </w:rPr>
        <w:t xml:space="preserve"> management advice for South Pacific albacore, additional information on </w:t>
      </w:r>
      <w:r w:rsidR="008962E2" w:rsidRPr="004635E5">
        <w:rPr>
          <w:sz w:val="22"/>
          <w:szCs w:val="22"/>
        </w:rPr>
        <w:t xml:space="preserve">the </w:t>
      </w:r>
      <w:r w:rsidR="0004745E" w:rsidRPr="004635E5">
        <w:rPr>
          <w:sz w:val="22"/>
          <w:szCs w:val="22"/>
        </w:rPr>
        <w:t>projected vulnerable biomass depletion level through 2038, using 2013 as a point of comparison</w:t>
      </w:r>
      <w:r w:rsidR="008962E2" w:rsidRPr="004635E5">
        <w:rPr>
          <w:sz w:val="22"/>
          <w:szCs w:val="22"/>
        </w:rPr>
        <w:t>, would be useful</w:t>
      </w:r>
      <w:r w:rsidR="0004745E" w:rsidRPr="004635E5">
        <w:rPr>
          <w:sz w:val="22"/>
          <w:szCs w:val="22"/>
        </w:rPr>
        <w:t>.</w:t>
      </w:r>
      <w:r w:rsidR="006F569A" w:rsidRPr="004635E5">
        <w:rPr>
          <w:sz w:val="22"/>
          <w:szCs w:val="22"/>
        </w:rPr>
        <w:t xml:space="preserve"> </w:t>
      </w:r>
      <w:r w:rsidR="008962E2" w:rsidRPr="004635E5">
        <w:rPr>
          <w:sz w:val="22"/>
          <w:szCs w:val="22"/>
        </w:rPr>
        <w:t xml:space="preserve">They also stated that their </w:t>
      </w:r>
      <w:r w:rsidR="0004745E" w:rsidRPr="004635E5">
        <w:rPr>
          <w:sz w:val="22"/>
          <w:szCs w:val="22"/>
        </w:rPr>
        <w:t xml:space="preserve">preference </w:t>
      </w:r>
      <w:r w:rsidR="008962E2" w:rsidRPr="004635E5">
        <w:rPr>
          <w:sz w:val="22"/>
          <w:szCs w:val="22"/>
        </w:rPr>
        <w:t xml:space="preserve">was to </w:t>
      </w:r>
      <w:r w:rsidR="0004745E" w:rsidRPr="004635E5">
        <w:rPr>
          <w:sz w:val="22"/>
          <w:szCs w:val="22"/>
        </w:rPr>
        <w:t xml:space="preserve">use the full suite of the uncertainty grid (72 model runs) for unless a strong case </w:t>
      </w:r>
      <w:r w:rsidR="008962E2" w:rsidRPr="004635E5">
        <w:rPr>
          <w:sz w:val="22"/>
          <w:szCs w:val="22"/>
        </w:rPr>
        <w:t xml:space="preserve">could </w:t>
      </w:r>
      <w:r w:rsidR="0004745E" w:rsidRPr="004635E5">
        <w:rPr>
          <w:sz w:val="22"/>
          <w:szCs w:val="22"/>
        </w:rPr>
        <w:t>be made for dropping one of the grid options.</w:t>
      </w:r>
    </w:p>
    <w:p w14:paraId="7451F7FB" w14:textId="77777777" w:rsidR="00B22831" w:rsidRPr="004635E5" w:rsidRDefault="00B22831" w:rsidP="006633A8">
      <w:pPr>
        <w:autoSpaceDE w:val="0"/>
        <w:autoSpaceDN w:val="0"/>
        <w:adjustRightInd w:val="0"/>
        <w:snapToGrid w:val="0"/>
        <w:jc w:val="both"/>
        <w:rPr>
          <w:sz w:val="22"/>
          <w:szCs w:val="22"/>
        </w:rPr>
      </w:pPr>
    </w:p>
    <w:p w14:paraId="07A351B9" w14:textId="77777777" w:rsidR="00E24FE7" w:rsidRPr="004635E5" w:rsidRDefault="006F569A" w:rsidP="00580EA4">
      <w:pPr>
        <w:numPr>
          <w:ilvl w:val="0"/>
          <w:numId w:val="18"/>
        </w:numPr>
        <w:autoSpaceDE w:val="0"/>
        <w:autoSpaceDN w:val="0"/>
        <w:adjustRightInd w:val="0"/>
        <w:snapToGrid w:val="0"/>
        <w:ind w:left="0" w:firstLine="0"/>
        <w:jc w:val="both"/>
        <w:rPr>
          <w:sz w:val="22"/>
          <w:szCs w:val="22"/>
        </w:rPr>
      </w:pPr>
      <w:r w:rsidRPr="004635E5">
        <w:rPr>
          <w:sz w:val="22"/>
          <w:szCs w:val="22"/>
        </w:rPr>
        <w:t xml:space="preserve">The USA noted there were a number </w:t>
      </w:r>
      <w:r w:rsidR="00E40D58" w:rsidRPr="004635E5">
        <w:rPr>
          <w:sz w:val="22"/>
          <w:szCs w:val="22"/>
        </w:rPr>
        <w:t>of fleets in each model</w:t>
      </w:r>
      <w:r w:rsidRPr="004635E5">
        <w:rPr>
          <w:sz w:val="22"/>
          <w:szCs w:val="22"/>
        </w:rPr>
        <w:t xml:space="preserve"> region</w:t>
      </w:r>
      <w:r w:rsidR="00E40D58" w:rsidRPr="004635E5">
        <w:rPr>
          <w:sz w:val="22"/>
          <w:szCs w:val="22"/>
        </w:rPr>
        <w:t xml:space="preserve">, </w:t>
      </w:r>
      <w:r w:rsidRPr="004635E5">
        <w:rPr>
          <w:sz w:val="22"/>
          <w:szCs w:val="22"/>
        </w:rPr>
        <w:t xml:space="preserve">with </w:t>
      </w:r>
      <w:r w:rsidR="00E40D58" w:rsidRPr="004635E5">
        <w:rPr>
          <w:sz w:val="22"/>
          <w:szCs w:val="22"/>
        </w:rPr>
        <w:t>vary</w:t>
      </w:r>
      <w:r w:rsidRPr="004635E5">
        <w:rPr>
          <w:sz w:val="22"/>
          <w:szCs w:val="22"/>
        </w:rPr>
        <w:t>ing</w:t>
      </w:r>
      <w:r w:rsidR="00E40D58" w:rsidRPr="004635E5">
        <w:rPr>
          <w:sz w:val="22"/>
          <w:szCs w:val="22"/>
        </w:rPr>
        <w:t xml:space="preserve"> eff</w:t>
      </w:r>
      <w:r w:rsidRPr="004635E5">
        <w:rPr>
          <w:sz w:val="22"/>
          <w:szCs w:val="22"/>
        </w:rPr>
        <w:t xml:space="preserve">ort, </w:t>
      </w:r>
      <w:r w:rsidR="00E40D58" w:rsidRPr="004635E5">
        <w:rPr>
          <w:sz w:val="22"/>
          <w:szCs w:val="22"/>
        </w:rPr>
        <w:t>targ</w:t>
      </w:r>
      <w:r w:rsidRPr="004635E5">
        <w:rPr>
          <w:sz w:val="22"/>
          <w:szCs w:val="22"/>
        </w:rPr>
        <w:t>e</w:t>
      </w:r>
      <w:r w:rsidR="00E40D58" w:rsidRPr="004635E5">
        <w:rPr>
          <w:sz w:val="22"/>
          <w:szCs w:val="22"/>
        </w:rPr>
        <w:t>t</w:t>
      </w:r>
      <w:r w:rsidRPr="004635E5">
        <w:rPr>
          <w:sz w:val="22"/>
          <w:szCs w:val="22"/>
        </w:rPr>
        <w:t>ing,</w:t>
      </w:r>
      <w:r w:rsidR="00E40D58" w:rsidRPr="004635E5">
        <w:rPr>
          <w:sz w:val="22"/>
          <w:szCs w:val="22"/>
        </w:rPr>
        <w:t xml:space="preserve"> etc</w:t>
      </w:r>
      <w:r w:rsidRPr="004635E5">
        <w:rPr>
          <w:sz w:val="22"/>
          <w:szCs w:val="22"/>
        </w:rPr>
        <w:t xml:space="preserve">., but the </w:t>
      </w:r>
      <w:r w:rsidR="00E40D58" w:rsidRPr="004635E5">
        <w:rPr>
          <w:sz w:val="22"/>
          <w:szCs w:val="22"/>
        </w:rPr>
        <w:t>statis</w:t>
      </w:r>
      <w:r w:rsidRPr="004635E5">
        <w:rPr>
          <w:sz w:val="22"/>
          <w:szCs w:val="22"/>
        </w:rPr>
        <w:t>ti</w:t>
      </w:r>
      <w:r w:rsidR="00E40D58" w:rsidRPr="004635E5">
        <w:rPr>
          <w:sz w:val="22"/>
          <w:szCs w:val="22"/>
        </w:rPr>
        <w:t xml:space="preserve">cal model </w:t>
      </w:r>
      <w:r w:rsidR="008962E2" w:rsidRPr="004635E5">
        <w:rPr>
          <w:sz w:val="22"/>
          <w:szCs w:val="22"/>
        </w:rPr>
        <w:t xml:space="preserve">had </w:t>
      </w:r>
      <w:r w:rsidR="00E40D58" w:rsidRPr="004635E5">
        <w:rPr>
          <w:sz w:val="22"/>
          <w:szCs w:val="22"/>
        </w:rPr>
        <w:t>just 1 or 2 cov</w:t>
      </w:r>
      <w:r w:rsidRPr="004635E5">
        <w:rPr>
          <w:sz w:val="22"/>
          <w:szCs w:val="22"/>
        </w:rPr>
        <w:t xml:space="preserve">ariates, and asked if this </w:t>
      </w:r>
      <w:r w:rsidR="00E40D58" w:rsidRPr="004635E5">
        <w:rPr>
          <w:sz w:val="22"/>
          <w:szCs w:val="22"/>
        </w:rPr>
        <w:t>allow</w:t>
      </w:r>
      <w:r w:rsidRPr="004635E5">
        <w:rPr>
          <w:sz w:val="22"/>
          <w:szCs w:val="22"/>
        </w:rPr>
        <w:t>ed</w:t>
      </w:r>
      <w:r w:rsidR="00E40D58" w:rsidRPr="004635E5">
        <w:rPr>
          <w:sz w:val="22"/>
          <w:szCs w:val="22"/>
        </w:rPr>
        <w:t xml:space="preserve"> </w:t>
      </w:r>
      <w:r w:rsidR="00E24FE7" w:rsidRPr="004635E5">
        <w:rPr>
          <w:sz w:val="22"/>
          <w:szCs w:val="22"/>
        </w:rPr>
        <w:t xml:space="preserve">for </w:t>
      </w:r>
      <w:r w:rsidR="00E40D58" w:rsidRPr="004635E5">
        <w:rPr>
          <w:sz w:val="22"/>
          <w:szCs w:val="22"/>
        </w:rPr>
        <w:t xml:space="preserve">controlling effects other than change in stock size. </w:t>
      </w:r>
      <w:r w:rsidR="008962E2" w:rsidRPr="004635E5">
        <w:rPr>
          <w:sz w:val="22"/>
          <w:szCs w:val="22"/>
          <w:lang w:val="en-NZ"/>
        </w:rPr>
        <w:t xml:space="preserve">L. Tremblay-Boyer </w:t>
      </w:r>
      <w:r w:rsidR="00E24FE7" w:rsidRPr="004635E5">
        <w:rPr>
          <w:sz w:val="22"/>
          <w:szCs w:val="22"/>
        </w:rPr>
        <w:t>noted that Pacific-</w:t>
      </w:r>
      <w:r w:rsidR="00E40D58" w:rsidRPr="004635E5">
        <w:rPr>
          <w:sz w:val="22"/>
          <w:szCs w:val="22"/>
        </w:rPr>
        <w:t>wide data set</w:t>
      </w:r>
      <w:r w:rsidR="00E24FE7" w:rsidRPr="004635E5">
        <w:rPr>
          <w:sz w:val="22"/>
          <w:szCs w:val="22"/>
        </w:rPr>
        <w:t>s</w:t>
      </w:r>
      <w:r w:rsidR="00E40D58" w:rsidRPr="004635E5">
        <w:rPr>
          <w:sz w:val="22"/>
          <w:szCs w:val="22"/>
        </w:rPr>
        <w:t xml:space="preserve"> trade</w:t>
      </w:r>
      <w:r w:rsidR="008962E2" w:rsidRPr="004635E5">
        <w:rPr>
          <w:sz w:val="22"/>
          <w:szCs w:val="22"/>
        </w:rPr>
        <w:t>d</w:t>
      </w:r>
      <w:r w:rsidR="00E40D58" w:rsidRPr="004635E5">
        <w:rPr>
          <w:sz w:val="22"/>
          <w:szCs w:val="22"/>
        </w:rPr>
        <w:t xml:space="preserve"> access to more covariates </w:t>
      </w:r>
      <w:r w:rsidR="008962E2" w:rsidRPr="004635E5">
        <w:rPr>
          <w:sz w:val="22"/>
          <w:szCs w:val="22"/>
        </w:rPr>
        <w:t xml:space="preserve">for </w:t>
      </w:r>
      <w:r w:rsidR="00E24FE7" w:rsidRPr="004635E5">
        <w:rPr>
          <w:sz w:val="22"/>
          <w:szCs w:val="22"/>
        </w:rPr>
        <w:t>greater spatial and temporal co</w:t>
      </w:r>
      <w:r w:rsidR="00E40D58" w:rsidRPr="004635E5">
        <w:rPr>
          <w:sz w:val="22"/>
          <w:szCs w:val="22"/>
        </w:rPr>
        <w:t xml:space="preserve">verage. </w:t>
      </w:r>
      <w:r w:rsidR="00E24FE7" w:rsidRPr="004635E5">
        <w:rPr>
          <w:sz w:val="22"/>
          <w:szCs w:val="22"/>
        </w:rPr>
        <w:t>M</w:t>
      </w:r>
      <w:r w:rsidR="00E40D58" w:rsidRPr="004635E5">
        <w:rPr>
          <w:sz w:val="22"/>
          <w:szCs w:val="22"/>
        </w:rPr>
        <w:t>ore cov</w:t>
      </w:r>
      <w:r w:rsidR="00E24FE7" w:rsidRPr="004635E5">
        <w:rPr>
          <w:sz w:val="22"/>
          <w:szCs w:val="22"/>
        </w:rPr>
        <w:t>a</w:t>
      </w:r>
      <w:r w:rsidR="00E40D58" w:rsidRPr="004635E5">
        <w:rPr>
          <w:sz w:val="22"/>
          <w:szCs w:val="22"/>
        </w:rPr>
        <w:t>riates</w:t>
      </w:r>
      <w:r w:rsidR="00E24FE7" w:rsidRPr="004635E5">
        <w:rPr>
          <w:sz w:val="22"/>
          <w:szCs w:val="22"/>
        </w:rPr>
        <w:t xml:space="preserve"> could be used</w:t>
      </w:r>
      <w:r w:rsidR="00E40D58" w:rsidRPr="004635E5">
        <w:rPr>
          <w:sz w:val="22"/>
          <w:szCs w:val="22"/>
        </w:rPr>
        <w:t xml:space="preserve"> if correlated with catchabilit</w:t>
      </w:r>
      <w:r w:rsidR="00E24FE7" w:rsidRPr="004635E5">
        <w:rPr>
          <w:sz w:val="22"/>
          <w:szCs w:val="22"/>
        </w:rPr>
        <w:t>y</w:t>
      </w:r>
      <w:r w:rsidR="00E40D58" w:rsidRPr="004635E5">
        <w:rPr>
          <w:sz w:val="22"/>
          <w:szCs w:val="22"/>
        </w:rPr>
        <w:t xml:space="preserve">, but </w:t>
      </w:r>
      <w:r w:rsidR="00E24FE7" w:rsidRPr="004635E5">
        <w:rPr>
          <w:sz w:val="22"/>
          <w:szCs w:val="22"/>
        </w:rPr>
        <w:t xml:space="preserve">that </w:t>
      </w:r>
      <w:r w:rsidR="00E40D58" w:rsidRPr="004635E5">
        <w:rPr>
          <w:sz w:val="22"/>
          <w:szCs w:val="22"/>
        </w:rPr>
        <w:t xml:space="preserve">would mean CPUE is restricted to a few fleets or a few areas. </w:t>
      </w:r>
      <w:r w:rsidR="00E24FE7" w:rsidRPr="004635E5">
        <w:rPr>
          <w:sz w:val="22"/>
          <w:szCs w:val="22"/>
        </w:rPr>
        <w:t xml:space="preserve">SPC felt that good time and spatial coverage </w:t>
      </w:r>
      <w:r w:rsidR="008962E2" w:rsidRPr="004635E5">
        <w:rPr>
          <w:sz w:val="22"/>
          <w:szCs w:val="22"/>
        </w:rPr>
        <w:t xml:space="preserve">were </w:t>
      </w:r>
      <w:r w:rsidR="00E24FE7" w:rsidRPr="004635E5">
        <w:rPr>
          <w:sz w:val="22"/>
          <w:szCs w:val="22"/>
        </w:rPr>
        <w:t>most important to the assessment.</w:t>
      </w:r>
    </w:p>
    <w:p w14:paraId="1F82CB4D" w14:textId="77777777" w:rsidR="00B22831" w:rsidRPr="004635E5" w:rsidRDefault="00B22831" w:rsidP="006633A8">
      <w:pPr>
        <w:autoSpaceDE w:val="0"/>
        <w:autoSpaceDN w:val="0"/>
        <w:adjustRightInd w:val="0"/>
        <w:snapToGrid w:val="0"/>
        <w:jc w:val="both"/>
        <w:rPr>
          <w:sz w:val="22"/>
          <w:szCs w:val="22"/>
        </w:rPr>
      </w:pPr>
    </w:p>
    <w:p w14:paraId="77BDF913" w14:textId="77777777" w:rsidR="00436134" w:rsidRPr="004635E5" w:rsidRDefault="00E24FE7" w:rsidP="00580EA4">
      <w:pPr>
        <w:numPr>
          <w:ilvl w:val="0"/>
          <w:numId w:val="18"/>
        </w:numPr>
        <w:autoSpaceDE w:val="0"/>
        <w:autoSpaceDN w:val="0"/>
        <w:adjustRightInd w:val="0"/>
        <w:snapToGrid w:val="0"/>
        <w:ind w:left="0" w:firstLine="0"/>
        <w:jc w:val="both"/>
        <w:rPr>
          <w:sz w:val="22"/>
          <w:szCs w:val="22"/>
        </w:rPr>
      </w:pPr>
      <w:r w:rsidRPr="004635E5">
        <w:rPr>
          <w:sz w:val="22"/>
          <w:szCs w:val="22"/>
        </w:rPr>
        <w:t xml:space="preserve">China noted the </w:t>
      </w:r>
      <w:r w:rsidR="00E40D58" w:rsidRPr="004635E5">
        <w:rPr>
          <w:sz w:val="22"/>
          <w:szCs w:val="22"/>
        </w:rPr>
        <w:t xml:space="preserve">last </w:t>
      </w:r>
      <w:r w:rsidRPr="004635E5">
        <w:rPr>
          <w:sz w:val="22"/>
          <w:szCs w:val="22"/>
        </w:rPr>
        <w:t>assessment was for</w:t>
      </w:r>
      <w:r w:rsidR="00E40D58" w:rsidRPr="004635E5">
        <w:rPr>
          <w:sz w:val="22"/>
          <w:szCs w:val="22"/>
        </w:rPr>
        <w:t xml:space="preserve"> 8 regions, </w:t>
      </w:r>
      <w:r w:rsidR="008962E2" w:rsidRPr="004635E5">
        <w:rPr>
          <w:sz w:val="22"/>
          <w:szCs w:val="22"/>
        </w:rPr>
        <w:t xml:space="preserve">while </w:t>
      </w:r>
      <w:r w:rsidR="00E40D58" w:rsidRPr="004635E5">
        <w:rPr>
          <w:sz w:val="22"/>
          <w:szCs w:val="22"/>
        </w:rPr>
        <w:t xml:space="preserve">this </w:t>
      </w:r>
      <w:r w:rsidRPr="004635E5">
        <w:rPr>
          <w:sz w:val="22"/>
          <w:szCs w:val="22"/>
        </w:rPr>
        <w:t xml:space="preserve">used </w:t>
      </w:r>
      <w:r w:rsidR="00E40D58" w:rsidRPr="004635E5">
        <w:rPr>
          <w:sz w:val="22"/>
          <w:szCs w:val="22"/>
        </w:rPr>
        <w:t>5</w:t>
      </w:r>
      <w:r w:rsidRPr="004635E5">
        <w:rPr>
          <w:sz w:val="22"/>
          <w:szCs w:val="22"/>
        </w:rPr>
        <w:t xml:space="preserve">, and asked what the </w:t>
      </w:r>
      <w:r w:rsidR="00E40D58" w:rsidRPr="004635E5">
        <w:rPr>
          <w:sz w:val="22"/>
          <w:szCs w:val="22"/>
        </w:rPr>
        <w:t xml:space="preserve">criterion </w:t>
      </w:r>
      <w:r w:rsidRPr="004635E5">
        <w:rPr>
          <w:sz w:val="22"/>
          <w:szCs w:val="22"/>
        </w:rPr>
        <w:t xml:space="preserve">was </w:t>
      </w:r>
      <w:r w:rsidR="00E40D58" w:rsidRPr="004635E5">
        <w:rPr>
          <w:sz w:val="22"/>
          <w:szCs w:val="22"/>
        </w:rPr>
        <w:t xml:space="preserve">for </w:t>
      </w:r>
      <w:r w:rsidRPr="004635E5">
        <w:rPr>
          <w:sz w:val="22"/>
          <w:szCs w:val="22"/>
        </w:rPr>
        <w:t xml:space="preserve">defining </w:t>
      </w:r>
      <w:r w:rsidR="00E40D58" w:rsidRPr="004635E5">
        <w:rPr>
          <w:sz w:val="22"/>
          <w:szCs w:val="22"/>
        </w:rPr>
        <w:t>region</w:t>
      </w:r>
      <w:r w:rsidRPr="004635E5">
        <w:rPr>
          <w:sz w:val="22"/>
          <w:szCs w:val="22"/>
        </w:rPr>
        <w:t xml:space="preserve">s, and whether </w:t>
      </w:r>
      <w:r w:rsidR="00E40D58" w:rsidRPr="004635E5">
        <w:rPr>
          <w:sz w:val="22"/>
          <w:szCs w:val="22"/>
        </w:rPr>
        <w:t>20</w:t>
      </w:r>
      <w:r w:rsidRPr="004635E5">
        <w:rPr>
          <w:sz w:val="22"/>
          <w:szCs w:val="22"/>
        </w:rPr>
        <w:t>°</w:t>
      </w:r>
      <w:r w:rsidR="00E40D58" w:rsidRPr="004635E5">
        <w:rPr>
          <w:sz w:val="22"/>
          <w:szCs w:val="22"/>
        </w:rPr>
        <w:t xml:space="preserve"> S was used. </w:t>
      </w:r>
      <w:r w:rsidR="008962E2" w:rsidRPr="004635E5">
        <w:rPr>
          <w:sz w:val="22"/>
          <w:szCs w:val="22"/>
          <w:lang w:val="en-NZ"/>
        </w:rPr>
        <w:t xml:space="preserve">L. Tremblay-Boyer </w:t>
      </w:r>
      <w:r w:rsidR="00436134" w:rsidRPr="004635E5">
        <w:rPr>
          <w:sz w:val="22"/>
          <w:szCs w:val="22"/>
        </w:rPr>
        <w:t xml:space="preserve">responded that the regions were based on availability of data regarding </w:t>
      </w:r>
      <w:r w:rsidR="00E40D58" w:rsidRPr="004635E5">
        <w:rPr>
          <w:sz w:val="22"/>
          <w:szCs w:val="22"/>
        </w:rPr>
        <w:t xml:space="preserve">how fish move between regions. </w:t>
      </w:r>
      <w:r w:rsidR="00815574" w:rsidRPr="004635E5">
        <w:rPr>
          <w:sz w:val="22"/>
          <w:szCs w:val="22"/>
        </w:rPr>
        <w:t xml:space="preserve">For the old structure, </w:t>
      </w:r>
      <w:r w:rsidR="00815574">
        <w:rPr>
          <w:sz w:val="22"/>
          <w:szCs w:val="22"/>
        </w:rPr>
        <w:t xml:space="preserve">north-south </w:t>
      </w:r>
      <w:r w:rsidR="00815574" w:rsidRPr="004635E5">
        <w:rPr>
          <w:sz w:val="22"/>
          <w:szCs w:val="22"/>
        </w:rPr>
        <w:t xml:space="preserve">movement was </w:t>
      </w:r>
      <w:r w:rsidR="00815574">
        <w:rPr>
          <w:sz w:val="22"/>
          <w:szCs w:val="22"/>
        </w:rPr>
        <w:t xml:space="preserve">reasonably </w:t>
      </w:r>
      <w:r w:rsidR="00815574" w:rsidRPr="004635E5">
        <w:rPr>
          <w:sz w:val="22"/>
          <w:szCs w:val="22"/>
        </w:rPr>
        <w:t>well defined</w:t>
      </w:r>
      <w:r w:rsidR="00E40D58" w:rsidRPr="004635E5">
        <w:rPr>
          <w:sz w:val="22"/>
          <w:szCs w:val="22"/>
        </w:rPr>
        <w:t xml:space="preserve">, but little </w:t>
      </w:r>
      <w:r w:rsidR="008962E2" w:rsidRPr="004635E5">
        <w:rPr>
          <w:sz w:val="22"/>
          <w:szCs w:val="22"/>
        </w:rPr>
        <w:t xml:space="preserve">information was </w:t>
      </w:r>
      <w:r w:rsidR="00436134" w:rsidRPr="004635E5">
        <w:rPr>
          <w:sz w:val="22"/>
          <w:szCs w:val="22"/>
        </w:rPr>
        <w:t>available regarding east</w:t>
      </w:r>
      <w:r w:rsidR="008962E2" w:rsidRPr="004635E5">
        <w:rPr>
          <w:sz w:val="22"/>
          <w:szCs w:val="22"/>
        </w:rPr>
        <w:t>–</w:t>
      </w:r>
      <w:r w:rsidR="00436134" w:rsidRPr="004635E5">
        <w:rPr>
          <w:sz w:val="22"/>
          <w:szCs w:val="22"/>
        </w:rPr>
        <w:t>west movement</w:t>
      </w:r>
      <w:r w:rsidR="00E40D58" w:rsidRPr="004635E5">
        <w:rPr>
          <w:sz w:val="22"/>
          <w:szCs w:val="22"/>
        </w:rPr>
        <w:t xml:space="preserve">. Multiple regions were not supported by </w:t>
      </w:r>
      <w:r w:rsidR="00436134" w:rsidRPr="004635E5">
        <w:rPr>
          <w:sz w:val="22"/>
          <w:szCs w:val="22"/>
        </w:rPr>
        <w:t xml:space="preserve">the </w:t>
      </w:r>
      <w:r w:rsidR="00E40D58" w:rsidRPr="004635E5">
        <w:rPr>
          <w:sz w:val="22"/>
          <w:szCs w:val="22"/>
        </w:rPr>
        <w:t xml:space="preserve">data. </w:t>
      </w:r>
      <w:r w:rsidR="00436134" w:rsidRPr="004635E5">
        <w:rPr>
          <w:sz w:val="22"/>
          <w:szCs w:val="22"/>
        </w:rPr>
        <w:t>Region</w:t>
      </w:r>
      <w:r w:rsidR="008962E2" w:rsidRPr="004635E5">
        <w:rPr>
          <w:sz w:val="22"/>
          <w:szCs w:val="22"/>
        </w:rPr>
        <w:t>al</w:t>
      </w:r>
      <w:r w:rsidR="00436134" w:rsidRPr="004635E5">
        <w:rPr>
          <w:sz w:val="22"/>
          <w:szCs w:val="22"/>
        </w:rPr>
        <w:t xml:space="preserve"> configurations </w:t>
      </w:r>
      <w:r w:rsidR="008962E2" w:rsidRPr="004635E5">
        <w:rPr>
          <w:sz w:val="22"/>
          <w:szCs w:val="22"/>
        </w:rPr>
        <w:t xml:space="preserve">were chosen </w:t>
      </w:r>
      <w:r w:rsidR="00436134" w:rsidRPr="004635E5">
        <w:rPr>
          <w:sz w:val="22"/>
          <w:szCs w:val="22"/>
        </w:rPr>
        <w:t xml:space="preserve">to be consistent with the biological and size/CPUE information, </w:t>
      </w:r>
      <w:r w:rsidR="00815574" w:rsidRPr="004635E5">
        <w:rPr>
          <w:sz w:val="22"/>
          <w:szCs w:val="22"/>
        </w:rPr>
        <w:t>not a</w:t>
      </w:r>
      <w:r w:rsidR="00815574">
        <w:rPr>
          <w:sz w:val="22"/>
          <w:szCs w:val="22"/>
        </w:rPr>
        <w:t xml:space="preserve"> management </w:t>
      </w:r>
      <w:r w:rsidR="00815574" w:rsidRPr="004635E5">
        <w:rPr>
          <w:sz w:val="22"/>
          <w:szCs w:val="22"/>
        </w:rPr>
        <w:t>boundary</w:t>
      </w:r>
      <w:r w:rsidR="000C2252" w:rsidRPr="004635E5">
        <w:rPr>
          <w:sz w:val="22"/>
          <w:szCs w:val="22"/>
        </w:rPr>
        <w:t>.</w:t>
      </w:r>
    </w:p>
    <w:p w14:paraId="4E093F45" w14:textId="77777777" w:rsidR="00B22831" w:rsidRPr="004635E5" w:rsidRDefault="00B22831" w:rsidP="006633A8">
      <w:pPr>
        <w:autoSpaceDE w:val="0"/>
        <w:autoSpaceDN w:val="0"/>
        <w:adjustRightInd w:val="0"/>
        <w:snapToGrid w:val="0"/>
        <w:jc w:val="both"/>
        <w:rPr>
          <w:sz w:val="22"/>
          <w:szCs w:val="22"/>
        </w:rPr>
      </w:pPr>
    </w:p>
    <w:p w14:paraId="53CD0D29" w14:textId="77777777" w:rsidR="007B3BF0" w:rsidRPr="004635E5" w:rsidRDefault="00E40D58" w:rsidP="00580EA4">
      <w:pPr>
        <w:numPr>
          <w:ilvl w:val="0"/>
          <w:numId w:val="18"/>
        </w:numPr>
        <w:autoSpaceDE w:val="0"/>
        <w:autoSpaceDN w:val="0"/>
        <w:adjustRightInd w:val="0"/>
        <w:snapToGrid w:val="0"/>
        <w:ind w:left="0" w:firstLine="0"/>
        <w:jc w:val="both"/>
        <w:rPr>
          <w:sz w:val="22"/>
          <w:szCs w:val="22"/>
        </w:rPr>
      </w:pPr>
      <w:r w:rsidRPr="004635E5">
        <w:rPr>
          <w:sz w:val="22"/>
          <w:szCs w:val="22"/>
        </w:rPr>
        <w:t>Aus</w:t>
      </w:r>
      <w:r w:rsidR="000C2252" w:rsidRPr="004635E5">
        <w:rPr>
          <w:sz w:val="22"/>
          <w:szCs w:val="22"/>
        </w:rPr>
        <w:t>tralia</w:t>
      </w:r>
      <w:r w:rsidR="008962E2" w:rsidRPr="004635E5">
        <w:rPr>
          <w:sz w:val="22"/>
          <w:szCs w:val="22"/>
        </w:rPr>
        <w:t xml:space="preserve"> inquired regarding </w:t>
      </w:r>
      <w:r w:rsidR="00684FDB" w:rsidRPr="004635E5">
        <w:rPr>
          <w:sz w:val="22"/>
          <w:szCs w:val="22"/>
        </w:rPr>
        <w:t>difference</w:t>
      </w:r>
      <w:r w:rsidR="008962E2" w:rsidRPr="004635E5">
        <w:rPr>
          <w:sz w:val="22"/>
          <w:szCs w:val="22"/>
        </w:rPr>
        <w:t>s</w:t>
      </w:r>
      <w:r w:rsidR="00684FDB" w:rsidRPr="004635E5">
        <w:rPr>
          <w:sz w:val="22"/>
          <w:szCs w:val="22"/>
        </w:rPr>
        <w:t xml:space="preserve"> in region 2 between the two models</w:t>
      </w:r>
      <w:r w:rsidR="008962E2" w:rsidRPr="004635E5">
        <w:rPr>
          <w:sz w:val="22"/>
          <w:szCs w:val="22"/>
        </w:rPr>
        <w:t xml:space="preserve">. L. Tremblay-Boyer noted these were </w:t>
      </w:r>
      <w:r w:rsidR="00684FDB" w:rsidRPr="004635E5">
        <w:rPr>
          <w:sz w:val="22"/>
          <w:szCs w:val="22"/>
        </w:rPr>
        <w:t xml:space="preserve">driven </w:t>
      </w:r>
      <w:r w:rsidR="008962E2" w:rsidRPr="004635E5">
        <w:rPr>
          <w:sz w:val="22"/>
          <w:szCs w:val="22"/>
        </w:rPr>
        <w:t xml:space="preserve">primarily </w:t>
      </w:r>
      <w:r w:rsidR="00684FDB" w:rsidRPr="004635E5">
        <w:rPr>
          <w:sz w:val="22"/>
          <w:szCs w:val="22"/>
        </w:rPr>
        <w:t xml:space="preserve">by the </w:t>
      </w:r>
      <w:r w:rsidR="008962E2" w:rsidRPr="004635E5">
        <w:rPr>
          <w:sz w:val="22"/>
          <w:szCs w:val="22"/>
        </w:rPr>
        <w:t xml:space="preserve">model scope: the </w:t>
      </w:r>
      <w:r w:rsidR="00684FDB" w:rsidRPr="004635E5">
        <w:rPr>
          <w:sz w:val="22"/>
          <w:szCs w:val="22"/>
        </w:rPr>
        <w:t xml:space="preserve">geostatistical model </w:t>
      </w:r>
      <w:r w:rsidR="008962E2" w:rsidRPr="004635E5">
        <w:rPr>
          <w:sz w:val="22"/>
          <w:szCs w:val="22"/>
        </w:rPr>
        <w:t xml:space="preserve">covers </w:t>
      </w:r>
      <w:r w:rsidR="00684FDB" w:rsidRPr="004635E5">
        <w:rPr>
          <w:sz w:val="22"/>
          <w:szCs w:val="22"/>
        </w:rPr>
        <w:t>the entire model region</w:t>
      </w:r>
      <w:r w:rsidR="008962E2" w:rsidRPr="004635E5">
        <w:rPr>
          <w:sz w:val="22"/>
          <w:szCs w:val="22"/>
        </w:rPr>
        <w:t>,</w:t>
      </w:r>
      <w:r w:rsidR="00684FDB" w:rsidRPr="004635E5">
        <w:rPr>
          <w:sz w:val="22"/>
          <w:szCs w:val="22"/>
        </w:rPr>
        <w:t xml:space="preserve"> </w:t>
      </w:r>
      <w:r w:rsidR="008962E2" w:rsidRPr="004635E5">
        <w:rPr>
          <w:sz w:val="22"/>
          <w:szCs w:val="22"/>
        </w:rPr>
        <w:t xml:space="preserve">while </w:t>
      </w:r>
      <w:r w:rsidR="00684FDB" w:rsidRPr="004635E5">
        <w:rPr>
          <w:sz w:val="22"/>
          <w:szCs w:val="22"/>
        </w:rPr>
        <w:t xml:space="preserve">the traditional model is region-specific. </w:t>
      </w:r>
      <w:r w:rsidR="008962E2" w:rsidRPr="004635E5">
        <w:rPr>
          <w:sz w:val="22"/>
          <w:szCs w:val="22"/>
        </w:rPr>
        <w:t>P</w:t>
      </w:r>
      <w:r w:rsidR="00684FDB" w:rsidRPr="004635E5">
        <w:rPr>
          <w:sz w:val="22"/>
          <w:szCs w:val="22"/>
        </w:rPr>
        <w:t>atterns are driven by whichever region has the most information. The lack of good CPUE coverage in early years means the traditional CPUE has a lot of data discarded because of missing information, while the geostatistical model can use the trends observed in regions with more data to estimate the abundance in areas with less data.</w:t>
      </w:r>
      <w:r w:rsidR="008962E2" w:rsidRPr="004635E5">
        <w:rPr>
          <w:sz w:val="22"/>
          <w:szCs w:val="22"/>
        </w:rPr>
        <w:t xml:space="preserve"> </w:t>
      </w:r>
      <w:r w:rsidR="009425AF" w:rsidRPr="004635E5">
        <w:rPr>
          <w:sz w:val="22"/>
          <w:szCs w:val="22"/>
        </w:rPr>
        <w:t xml:space="preserve">In response to a query from the EU regarding trends in biomass between regions being similar, </w:t>
      </w:r>
      <w:r w:rsidR="008962E2" w:rsidRPr="004635E5">
        <w:rPr>
          <w:sz w:val="22"/>
          <w:szCs w:val="22"/>
        </w:rPr>
        <w:t xml:space="preserve">L. Tremblay-Boyer </w:t>
      </w:r>
      <w:r w:rsidR="009425AF" w:rsidRPr="004635E5">
        <w:rPr>
          <w:sz w:val="22"/>
          <w:szCs w:val="22"/>
        </w:rPr>
        <w:t xml:space="preserve">indicated this was driven by the geostatistical model being for the entire area, and not region-specific. The EU noted that some patterns in growth appeared difficult to capture in the model, and that the likelihood profile displayed some influence of size data, and asked if the use of self-scaling of size data was explored. SPC indicated more work </w:t>
      </w:r>
      <w:r w:rsidR="008962E2" w:rsidRPr="004635E5">
        <w:rPr>
          <w:sz w:val="22"/>
          <w:szCs w:val="22"/>
        </w:rPr>
        <w:t>w</w:t>
      </w:r>
      <w:r w:rsidR="009425AF" w:rsidRPr="004635E5">
        <w:rPr>
          <w:sz w:val="22"/>
          <w:szCs w:val="22"/>
        </w:rPr>
        <w:t xml:space="preserve">as needed to understand the growth of albacore; a big challenge is using regional growth instead of constant growth for all areas, while it is likely there are different growth rates by region for many species. </w:t>
      </w:r>
      <w:r w:rsidR="007B3BF0" w:rsidRPr="004635E5">
        <w:rPr>
          <w:sz w:val="22"/>
          <w:szCs w:val="22"/>
        </w:rPr>
        <w:t xml:space="preserve">The </w:t>
      </w:r>
      <w:r w:rsidR="009425AF" w:rsidRPr="004635E5">
        <w:rPr>
          <w:sz w:val="22"/>
          <w:szCs w:val="22"/>
        </w:rPr>
        <w:t xml:space="preserve">intention </w:t>
      </w:r>
      <w:r w:rsidR="007B3BF0" w:rsidRPr="004635E5">
        <w:rPr>
          <w:sz w:val="22"/>
          <w:szCs w:val="22"/>
        </w:rPr>
        <w:t xml:space="preserve">is </w:t>
      </w:r>
      <w:r w:rsidR="009425AF" w:rsidRPr="004635E5">
        <w:rPr>
          <w:sz w:val="22"/>
          <w:szCs w:val="22"/>
        </w:rPr>
        <w:t xml:space="preserve">to use self-scaling size data </w:t>
      </w:r>
      <w:r w:rsidR="007B3BF0" w:rsidRPr="004635E5">
        <w:rPr>
          <w:sz w:val="22"/>
          <w:szCs w:val="22"/>
        </w:rPr>
        <w:t xml:space="preserve">and </w:t>
      </w:r>
      <w:r w:rsidR="009425AF" w:rsidRPr="004635E5">
        <w:rPr>
          <w:sz w:val="22"/>
          <w:szCs w:val="22"/>
        </w:rPr>
        <w:t xml:space="preserve">the feature </w:t>
      </w:r>
      <w:r w:rsidR="007B3BF0" w:rsidRPr="004635E5">
        <w:rPr>
          <w:sz w:val="22"/>
          <w:szCs w:val="22"/>
        </w:rPr>
        <w:t xml:space="preserve">is under development </w:t>
      </w:r>
      <w:r w:rsidR="009425AF" w:rsidRPr="004635E5">
        <w:rPr>
          <w:sz w:val="22"/>
          <w:szCs w:val="22"/>
        </w:rPr>
        <w:t>for Multifan-CL.</w:t>
      </w:r>
      <w:r w:rsidR="007B3BF0" w:rsidRPr="004635E5">
        <w:rPr>
          <w:sz w:val="22"/>
          <w:szCs w:val="22"/>
        </w:rPr>
        <w:t xml:space="preserve"> The assumption of high mixing is reflected in what </w:t>
      </w:r>
      <w:r w:rsidR="008962E2" w:rsidRPr="004635E5">
        <w:rPr>
          <w:sz w:val="22"/>
          <w:szCs w:val="22"/>
        </w:rPr>
        <w:t xml:space="preserve">is </w:t>
      </w:r>
      <w:r w:rsidR="007B3BF0" w:rsidRPr="004635E5">
        <w:rPr>
          <w:sz w:val="22"/>
          <w:szCs w:val="22"/>
        </w:rPr>
        <w:t>know</w:t>
      </w:r>
      <w:r w:rsidR="008962E2" w:rsidRPr="004635E5">
        <w:rPr>
          <w:sz w:val="22"/>
          <w:szCs w:val="22"/>
        </w:rPr>
        <w:t>n</w:t>
      </w:r>
      <w:r w:rsidR="007B3BF0" w:rsidRPr="004635E5">
        <w:rPr>
          <w:sz w:val="22"/>
          <w:szCs w:val="22"/>
        </w:rPr>
        <w:t xml:space="preserve"> about the data, </w:t>
      </w:r>
      <w:r w:rsidR="008962E2" w:rsidRPr="004635E5">
        <w:rPr>
          <w:sz w:val="22"/>
          <w:szCs w:val="22"/>
        </w:rPr>
        <w:t xml:space="preserve">and it </w:t>
      </w:r>
      <w:r w:rsidR="007B3BF0" w:rsidRPr="004635E5">
        <w:rPr>
          <w:sz w:val="22"/>
          <w:szCs w:val="22"/>
        </w:rPr>
        <w:t>seem</w:t>
      </w:r>
      <w:r w:rsidR="008962E2" w:rsidRPr="004635E5">
        <w:rPr>
          <w:sz w:val="22"/>
          <w:szCs w:val="22"/>
        </w:rPr>
        <w:t>ed</w:t>
      </w:r>
      <w:r w:rsidR="007B3BF0" w:rsidRPr="004635E5">
        <w:rPr>
          <w:sz w:val="22"/>
          <w:szCs w:val="22"/>
        </w:rPr>
        <w:t xml:space="preserve"> reasonable to use the region-wide geostatistical model, which does influence the similar trends by region.</w:t>
      </w:r>
    </w:p>
    <w:p w14:paraId="7C7EC897" w14:textId="77777777" w:rsidR="00B22831" w:rsidRPr="004635E5" w:rsidRDefault="00B22831" w:rsidP="006633A8">
      <w:pPr>
        <w:autoSpaceDE w:val="0"/>
        <w:autoSpaceDN w:val="0"/>
        <w:adjustRightInd w:val="0"/>
        <w:snapToGrid w:val="0"/>
        <w:jc w:val="both"/>
        <w:rPr>
          <w:sz w:val="22"/>
          <w:szCs w:val="22"/>
        </w:rPr>
      </w:pPr>
    </w:p>
    <w:p w14:paraId="26E23BDF" w14:textId="77777777" w:rsidR="001D3518" w:rsidRPr="004635E5" w:rsidRDefault="00E40D58" w:rsidP="00580EA4">
      <w:pPr>
        <w:numPr>
          <w:ilvl w:val="0"/>
          <w:numId w:val="18"/>
        </w:numPr>
        <w:autoSpaceDE w:val="0"/>
        <w:autoSpaceDN w:val="0"/>
        <w:adjustRightInd w:val="0"/>
        <w:snapToGrid w:val="0"/>
        <w:ind w:left="0" w:firstLine="0"/>
        <w:jc w:val="both"/>
        <w:rPr>
          <w:rFonts w:eastAsiaTheme="minorEastAsia"/>
          <w:b/>
          <w:sz w:val="22"/>
          <w:szCs w:val="22"/>
          <w:lang w:val="en-NZ" w:eastAsia="ko-KR"/>
        </w:rPr>
      </w:pPr>
      <w:r w:rsidRPr="004635E5">
        <w:rPr>
          <w:rFonts w:eastAsiaTheme="minorEastAsia"/>
          <w:sz w:val="22"/>
          <w:szCs w:val="22"/>
          <w:lang w:val="en-NZ" w:eastAsia="ko-KR"/>
        </w:rPr>
        <w:t>C</w:t>
      </w:r>
      <w:r w:rsidR="007B3BF0" w:rsidRPr="004635E5">
        <w:rPr>
          <w:rFonts w:eastAsiaTheme="minorEastAsia"/>
          <w:sz w:val="22"/>
          <w:szCs w:val="22"/>
          <w:lang w:val="en-NZ" w:eastAsia="ko-KR"/>
        </w:rPr>
        <w:t>hinese Taipei</w:t>
      </w:r>
      <w:r w:rsidR="00CC6A1F" w:rsidRPr="004635E5">
        <w:rPr>
          <w:rFonts w:eastAsiaTheme="minorEastAsia"/>
          <w:sz w:val="22"/>
          <w:szCs w:val="22"/>
          <w:lang w:val="en-NZ" w:eastAsia="ko-KR"/>
        </w:rPr>
        <w:t xml:space="preserve"> observed that for </w:t>
      </w:r>
      <w:r w:rsidR="00CC6A1F" w:rsidRPr="004635E5">
        <w:rPr>
          <w:rFonts w:eastAsiaTheme="minorEastAsia"/>
          <w:sz w:val="22"/>
          <w:szCs w:val="22"/>
          <w:lang w:eastAsia="ko-KR"/>
        </w:rPr>
        <w:t xml:space="preserve">the CPUE analysis, all fleet data were combined but vessel ID wasn’t included, although </w:t>
      </w:r>
      <w:r w:rsidR="008962E2" w:rsidRPr="004635E5">
        <w:rPr>
          <w:rFonts w:eastAsiaTheme="minorEastAsia"/>
          <w:sz w:val="22"/>
          <w:szCs w:val="22"/>
          <w:lang w:eastAsia="ko-KR"/>
        </w:rPr>
        <w:t xml:space="preserve">it is </w:t>
      </w:r>
      <w:r w:rsidR="00CC6A1F" w:rsidRPr="004635E5">
        <w:rPr>
          <w:rFonts w:eastAsiaTheme="minorEastAsia"/>
          <w:sz w:val="22"/>
          <w:szCs w:val="22"/>
          <w:lang w:eastAsia="ko-KR"/>
        </w:rPr>
        <w:t>know</w:t>
      </w:r>
      <w:r w:rsidR="008962E2" w:rsidRPr="004635E5">
        <w:rPr>
          <w:rFonts w:eastAsiaTheme="minorEastAsia"/>
          <w:sz w:val="22"/>
          <w:szCs w:val="22"/>
          <w:lang w:eastAsia="ko-KR"/>
        </w:rPr>
        <w:t>n</w:t>
      </w:r>
      <w:r w:rsidR="00CC6A1F" w:rsidRPr="004635E5">
        <w:rPr>
          <w:rFonts w:eastAsiaTheme="minorEastAsia"/>
          <w:sz w:val="22"/>
          <w:szCs w:val="22"/>
          <w:lang w:eastAsia="ko-KR"/>
        </w:rPr>
        <w:t xml:space="preserve"> </w:t>
      </w:r>
      <w:r w:rsidR="008962E2" w:rsidRPr="004635E5">
        <w:rPr>
          <w:rFonts w:eastAsiaTheme="minorEastAsia"/>
          <w:sz w:val="22"/>
          <w:szCs w:val="22"/>
          <w:lang w:eastAsia="ko-KR"/>
        </w:rPr>
        <w:t xml:space="preserve">that </w:t>
      </w:r>
      <w:r w:rsidR="00CC6A1F" w:rsidRPr="004635E5">
        <w:rPr>
          <w:rFonts w:eastAsiaTheme="minorEastAsia"/>
          <w:sz w:val="22"/>
          <w:szCs w:val="22"/>
          <w:lang w:eastAsia="ko-KR"/>
        </w:rPr>
        <w:t xml:space="preserve">joint CPUE </w:t>
      </w:r>
      <w:r w:rsidR="008962E2" w:rsidRPr="004635E5">
        <w:rPr>
          <w:rFonts w:eastAsiaTheme="minorEastAsia"/>
          <w:sz w:val="22"/>
          <w:szCs w:val="22"/>
          <w:lang w:eastAsia="ko-KR"/>
        </w:rPr>
        <w:t>differs</w:t>
      </w:r>
      <w:r w:rsidR="00CC6A1F" w:rsidRPr="004635E5">
        <w:rPr>
          <w:rFonts w:eastAsiaTheme="minorEastAsia"/>
          <w:sz w:val="22"/>
          <w:szCs w:val="22"/>
          <w:lang w:eastAsia="ko-KR"/>
        </w:rPr>
        <w:t xml:space="preserve"> from what </w:t>
      </w:r>
      <w:r w:rsidR="008962E2" w:rsidRPr="004635E5">
        <w:rPr>
          <w:rFonts w:eastAsiaTheme="minorEastAsia"/>
          <w:sz w:val="22"/>
          <w:szCs w:val="22"/>
          <w:lang w:eastAsia="ko-KR"/>
        </w:rPr>
        <w:t xml:space="preserve">is </w:t>
      </w:r>
      <w:r w:rsidR="00CC6A1F" w:rsidRPr="004635E5">
        <w:rPr>
          <w:rFonts w:eastAsiaTheme="minorEastAsia"/>
          <w:sz w:val="22"/>
          <w:szCs w:val="22"/>
          <w:lang w:eastAsia="ko-KR"/>
        </w:rPr>
        <w:t>observe</w:t>
      </w:r>
      <w:r w:rsidR="008962E2" w:rsidRPr="004635E5">
        <w:rPr>
          <w:rFonts w:eastAsiaTheme="minorEastAsia"/>
          <w:sz w:val="22"/>
          <w:szCs w:val="22"/>
          <w:lang w:eastAsia="ko-KR"/>
        </w:rPr>
        <w:t>d</w:t>
      </w:r>
      <w:r w:rsidR="00CC6A1F" w:rsidRPr="004635E5">
        <w:rPr>
          <w:rFonts w:eastAsiaTheme="minorEastAsia"/>
          <w:sz w:val="22"/>
          <w:szCs w:val="22"/>
          <w:lang w:eastAsia="ko-KR"/>
        </w:rPr>
        <w:t xml:space="preserve"> in individual fleet behavior. Given that the diagnostics of the geostatistical model are not fully explored, </w:t>
      </w:r>
      <w:r w:rsidR="008962E2" w:rsidRPr="004635E5">
        <w:rPr>
          <w:rFonts w:eastAsiaTheme="minorEastAsia"/>
          <w:sz w:val="22"/>
          <w:szCs w:val="22"/>
          <w:lang w:eastAsia="ko-KR"/>
        </w:rPr>
        <w:t xml:space="preserve">they </w:t>
      </w:r>
      <w:r w:rsidR="00CC6A1F" w:rsidRPr="004635E5">
        <w:rPr>
          <w:rFonts w:eastAsiaTheme="minorEastAsia"/>
          <w:sz w:val="22"/>
          <w:szCs w:val="22"/>
          <w:lang w:eastAsia="ko-KR"/>
        </w:rPr>
        <w:t xml:space="preserve">asked why this was this used as the input of the assessment model diagnostic case. </w:t>
      </w:r>
      <w:r w:rsidR="00CC6A1F" w:rsidRPr="004635E5">
        <w:rPr>
          <w:rFonts w:eastAsiaTheme="minorEastAsia"/>
          <w:sz w:val="22"/>
          <w:szCs w:val="22"/>
          <w:lang w:val="en-NZ" w:eastAsia="ko-KR"/>
        </w:rPr>
        <w:t xml:space="preserve">SPC replied </w:t>
      </w:r>
      <w:r w:rsidR="00CC6A1F" w:rsidRPr="004635E5">
        <w:rPr>
          <w:rFonts w:eastAsiaTheme="minorEastAsia"/>
          <w:sz w:val="22"/>
          <w:szCs w:val="22"/>
          <w:lang w:eastAsia="ko-KR"/>
        </w:rPr>
        <w:t xml:space="preserve">that </w:t>
      </w:r>
      <w:r w:rsidR="006233FA" w:rsidRPr="004635E5">
        <w:rPr>
          <w:rFonts w:eastAsiaTheme="minorEastAsia"/>
          <w:sz w:val="22"/>
          <w:szCs w:val="22"/>
          <w:lang w:eastAsia="ko-KR"/>
        </w:rPr>
        <w:t xml:space="preserve">the geostatistical model results </w:t>
      </w:r>
      <w:r w:rsidR="008962E2" w:rsidRPr="004635E5">
        <w:rPr>
          <w:rFonts w:eastAsiaTheme="minorEastAsia"/>
          <w:sz w:val="22"/>
          <w:szCs w:val="22"/>
          <w:lang w:eastAsia="ko-KR"/>
        </w:rPr>
        <w:t xml:space="preserve">made </w:t>
      </w:r>
      <w:r w:rsidR="00CC6A1F" w:rsidRPr="004635E5">
        <w:rPr>
          <w:rFonts w:eastAsiaTheme="minorEastAsia"/>
          <w:sz w:val="22"/>
          <w:szCs w:val="22"/>
          <w:lang w:eastAsia="ko-KR"/>
        </w:rPr>
        <w:t xml:space="preserve">sense because </w:t>
      </w:r>
      <w:r w:rsidR="008962E2" w:rsidRPr="004635E5">
        <w:rPr>
          <w:rFonts w:eastAsiaTheme="minorEastAsia"/>
          <w:sz w:val="22"/>
          <w:szCs w:val="22"/>
          <w:lang w:eastAsia="ko-KR"/>
        </w:rPr>
        <w:t xml:space="preserve">it is </w:t>
      </w:r>
      <w:r w:rsidR="00CC6A1F" w:rsidRPr="004635E5">
        <w:rPr>
          <w:rFonts w:eastAsiaTheme="minorEastAsia"/>
          <w:sz w:val="22"/>
          <w:szCs w:val="22"/>
          <w:lang w:eastAsia="ko-KR"/>
        </w:rPr>
        <w:t>know</w:t>
      </w:r>
      <w:r w:rsidR="008962E2" w:rsidRPr="004635E5">
        <w:rPr>
          <w:rFonts w:eastAsiaTheme="minorEastAsia"/>
          <w:sz w:val="22"/>
          <w:szCs w:val="22"/>
          <w:lang w:eastAsia="ko-KR"/>
        </w:rPr>
        <w:t>n</w:t>
      </w:r>
      <w:r w:rsidR="00CC6A1F" w:rsidRPr="004635E5">
        <w:rPr>
          <w:rFonts w:eastAsiaTheme="minorEastAsia"/>
          <w:sz w:val="22"/>
          <w:szCs w:val="22"/>
          <w:lang w:eastAsia="ko-KR"/>
        </w:rPr>
        <w:t xml:space="preserve"> </w:t>
      </w:r>
      <w:r w:rsidR="008962E2" w:rsidRPr="004635E5">
        <w:rPr>
          <w:rFonts w:eastAsiaTheme="minorEastAsia"/>
          <w:sz w:val="22"/>
          <w:szCs w:val="22"/>
          <w:lang w:eastAsia="ko-KR"/>
        </w:rPr>
        <w:t xml:space="preserve">that </w:t>
      </w:r>
      <w:r w:rsidR="00CC6A1F" w:rsidRPr="004635E5">
        <w:rPr>
          <w:rFonts w:eastAsiaTheme="minorEastAsia"/>
          <w:sz w:val="22"/>
          <w:szCs w:val="22"/>
          <w:lang w:eastAsia="ko-KR"/>
        </w:rPr>
        <w:t xml:space="preserve">areas </w:t>
      </w:r>
      <w:r w:rsidR="006233FA" w:rsidRPr="004635E5">
        <w:rPr>
          <w:rFonts w:eastAsiaTheme="minorEastAsia"/>
          <w:sz w:val="22"/>
          <w:szCs w:val="22"/>
          <w:lang w:eastAsia="ko-KR"/>
        </w:rPr>
        <w:t xml:space="preserve">in proximity </w:t>
      </w:r>
      <w:r w:rsidR="00CC6A1F" w:rsidRPr="004635E5">
        <w:rPr>
          <w:rFonts w:eastAsiaTheme="minorEastAsia"/>
          <w:sz w:val="22"/>
          <w:szCs w:val="22"/>
          <w:lang w:eastAsia="ko-KR"/>
        </w:rPr>
        <w:t>are more similar than areas further apart</w:t>
      </w:r>
      <w:r w:rsidR="006233FA" w:rsidRPr="004635E5">
        <w:rPr>
          <w:rFonts w:eastAsiaTheme="minorEastAsia"/>
          <w:sz w:val="22"/>
          <w:szCs w:val="22"/>
          <w:lang w:eastAsia="ko-KR"/>
        </w:rPr>
        <w:t>;</w:t>
      </w:r>
      <w:r w:rsidR="00CC6A1F" w:rsidRPr="004635E5">
        <w:rPr>
          <w:rFonts w:eastAsiaTheme="minorEastAsia"/>
          <w:sz w:val="22"/>
          <w:szCs w:val="22"/>
          <w:lang w:eastAsia="ko-KR"/>
        </w:rPr>
        <w:t xml:space="preserve"> </w:t>
      </w:r>
      <w:r w:rsidR="006233FA" w:rsidRPr="004635E5">
        <w:rPr>
          <w:rFonts w:eastAsiaTheme="minorEastAsia"/>
          <w:sz w:val="22"/>
          <w:szCs w:val="22"/>
          <w:lang w:eastAsia="ko-KR"/>
        </w:rPr>
        <w:t xml:space="preserve">this </w:t>
      </w:r>
      <w:r w:rsidR="00CC6A1F" w:rsidRPr="004635E5">
        <w:rPr>
          <w:rFonts w:eastAsiaTheme="minorEastAsia"/>
          <w:sz w:val="22"/>
          <w:szCs w:val="22"/>
          <w:lang w:eastAsia="ko-KR"/>
        </w:rPr>
        <w:t xml:space="preserve">is not </w:t>
      </w:r>
      <w:r w:rsidR="006233FA" w:rsidRPr="004635E5">
        <w:rPr>
          <w:rFonts w:eastAsiaTheme="minorEastAsia"/>
          <w:sz w:val="22"/>
          <w:szCs w:val="22"/>
          <w:lang w:eastAsia="ko-KR"/>
        </w:rPr>
        <w:t>assumed</w:t>
      </w:r>
      <w:r w:rsidR="00CC6A1F" w:rsidRPr="004635E5">
        <w:rPr>
          <w:rFonts w:eastAsiaTheme="minorEastAsia"/>
          <w:sz w:val="22"/>
          <w:szCs w:val="22"/>
          <w:lang w:eastAsia="ko-KR"/>
        </w:rPr>
        <w:t xml:space="preserve"> in traditional CPUE standardizations. </w:t>
      </w:r>
      <w:r w:rsidR="006233FA" w:rsidRPr="004635E5">
        <w:rPr>
          <w:rFonts w:eastAsiaTheme="minorEastAsia"/>
          <w:sz w:val="22"/>
          <w:szCs w:val="22"/>
          <w:lang w:eastAsia="ko-KR"/>
        </w:rPr>
        <w:t>S</w:t>
      </w:r>
      <w:r w:rsidR="00CC6A1F" w:rsidRPr="004635E5">
        <w:rPr>
          <w:rFonts w:eastAsiaTheme="minorEastAsia"/>
          <w:sz w:val="22"/>
          <w:szCs w:val="22"/>
          <w:lang w:eastAsia="ko-KR"/>
        </w:rPr>
        <w:t xml:space="preserve">ome covariates </w:t>
      </w:r>
      <w:r w:rsidR="006233FA" w:rsidRPr="004635E5">
        <w:rPr>
          <w:rFonts w:eastAsiaTheme="minorEastAsia"/>
          <w:sz w:val="22"/>
          <w:szCs w:val="22"/>
          <w:lang w:eastAsia="ko-KR"/>
        </w:rPr>
        <w:t xml:space="preserve">had </w:t>
      </w:r>
      <w:r w:rsidR="00CC6A1F" w:rsidRPr="004635E5">
        <w:rPr>
          <w:rFonts w:eastAsiaTheme="minorEastAsia"/>
          <w:sz w:val="22"/>
          <w:szCs w:val="22"/>
          <w:lang w:eastAsia="ko-KR"/>
        </w:rPr>
        <w:t xml:space="preserve">convergence issues, </w:t>
      </w:r>
      <w:r w:rsidR="006233FA" w:rsidRPr="004635E5">
        <w:rPr>
          <w:rFonts w:eastAsiaTheme="minorEastAsia"/>
          <w:sz w:val="22"/>
          <w:szCs w:val="22"/>
          <w:lang w:eastAsia="ko-KR"/>
        </w:rPr>
        <w:t xml:space="preserve">but the </w:t>
      </w:r>
      <w:r w:rsidR="00CC6A1F" w:rsidRPr="004635E5">
        <w:rPr>
          <w:rFonts w:eastAsiaTheme="minorEastAsia"/>
          <w:sz w:val="22"/>
          <w:szCs w:val="22"/>
          <w:lang w:eastAsia="ko-KR"/>
        </w:rPr>
        <w:t>index used in the diagnostic case converge</w:t>
      </w:r>
      <w:r w:rsidR="006233FA" w:rsidRPr="004635E5">
        <w:rPr>
          <w:rFonts w:eastAsiaTheme="minorEastAsia"/>
          <w:sz w:val="22"/>
          <w:szCs w:val="22"/>
          <w:lang w:eastAsia="ko-KR"/>
        </w:rPr>
        <w:t>d</w:t>
      </w:r>
      <w:r w:rsidR="00CC6A1F" w:rsidRPr="004635E5">
        <w:rPr>
          <w:rFonts w:eastAsiaTheme="minorEastAsia"/>
          <w:sz w:val="22"/>
          <w:szCs w:val="22"/>
          <w:lang w:eastAsia="ko-KR"/>
        </w:rPr>
        <w:t xml:space="preserve"> well. </w:t>
      </w:r>
      <w:r w:rsidR="006233FA" w:rsidRPr="004635E5">
        <w:rPr>
          <w:rFonts w:eastAsiaTheme="minorEastAsia"/>
          <w:sz w:val="22"/>
          <w:szCs w:val="22"/>
          <w:lang w:val="en-NZ" w:eastAsia="ko-KR"/>
        </w:rPr>
        <w:t xml:space="preserve">Geostatistical modelling allows modelling of the entire region, and can </w:t>
      </w:r>
      <w:r w:rsidR="00815574">
        <w:rPr>
          <w:rFonts w:eastAsiaTheme="minorEastAsia" w:hint="eastAsia"/>
          <w:sz w:val="22"/>
          <w:szCs w:val="22"/>
          <w:lang w:val="en-NZ" w:eastAsia="ko-KR"/>
        </w:rPr>
        <w:t xml:space="preserve">be </w:t>
      </w:r>
      <w:r w:rsidR="006233FA" w:rsidRPr="004635E5">
        <w:rPr>
          <w:rFonts w:eastAsiaTheme="minorEastAsia"/>
          <w:sz w:val="22"/>
          <w:szCs w:val="22"/>
          <w:lang w:val="en-NZ" w:eastAsia="ko-KR"/>
        </w:rPr>
        <w:t>analyze</w:t>
      </w:r>
      <w:r w:rsidR="00815574">
        <w:rPr>
          <w:rFonts w:eastAsiaTheme="minorEastAsia" w:hint="eastAsia"/>
          <w:sz w:val="22"/>
          <w:szCs w:val="22"/>
          <w:lang w:val="en-NZ" w:eastAsia="ko-KR"/>
        </w:rPr>
        <w:t>d</w:t>
      </w:r>
      <w:r w:rsidR="006233FA" w:rsidRPr="004635E5">
        <w:rPr>
          <w:rFonts w:eastAsiaTheme="minorEastAsia"/>
          <w:sz w:val="22"/>
          <w:szCs w:val="22"/>
          <w:lang w:val="en-NZ" w:eastAsia="ko-KR"/>
        </w:rPr>
        <w:t xml:space="preserve"> by blocks if needed.</w:t>
      </w:r>
      <w:r w:rsidR="006233FA" w:rsidRPr="004635E5">
        <w:rPr>
          <w:rFonts w:eastAsiaTheme="minorEastAsia"/>
          <w:sz w:val="22"/>
          <w:szCs w:val="22"/>
          <w:lang w:eastAsia="ko-KR"/>
        </w:rPr>
        <w:t xml:space="preserve"> </w:t>
      </w:r>
      <w:r w:rsidR="00CC6A1F" w:rsidRPr="004635E5">
        <w:rPr>
          <w:rFonts w:eastAsiaTheme="minorEastAsia"/>
          <w:sz w:val="22"/>
          <w:szCs w:val="22"/>
          <w:lang w:eastAsia="ko-KR"/>
        </w:rPr>
        <w:t>The vessel ID was not included because of missing vessel information in the early years of the time series</w:t>
      </w:r>
      <w:r w:rsidR="006233FA" w:rsidRPr="004635E5">
        <w:rPr>
          <w:rFonts w:eastAsiaTheme="minorEastAsia"/>
          <w:sz w:val="22"/>
          <w:szCs w:val="22"/>
          <w:lang w:eastAsia="ko-KR"/>
        </w:rPr>
        <w:t>;</w:t>
      </w:r>
      <w:r w:rsidR="00CC6A1F" w:rsidRPr="004635E5">
        <w:rPr>
          <w:rFonts w:eastAsiaTheme="minorEastAsia"/>
          <w:sz w:val="22"/>
          <w:szCs w:val="22"/>
          <w:lang w:eastAsia="ko-KR"/>
        </w:rPr>
        <w:t xml:space="preserve"> </w:t>
      </w:r>
      <w:r w:rsidR="006233FA" w:rsidRPr="004635E5">
        <w:rPr>
          <w:rFonts w:eastAsiaTheme="minorEastAsia"/>
          <w:sz w:val="22"/>
          <w:szCs w:val="22"/>
          <w:lang w:eastAsia="ko-KR"/>
        </w:rPr>
        <w:t xml:space="preserve">including </w:t>
      </w:r>
      <w:r w:rsidR="00CC6A1F" w:rsidRPr="004635E5">
        <w:rPr>
          <w:rFonts w:eastAsiaTheme="minorEastAsia"/>
          <w:sz w:val="22"/>
          <w:szCs w:val="22"/>
          <w:lang w:eastAsia="ko-KR"/>
        </w:rPr>
        <w:t xml:space="preserve">a missing vessel </w:t>
      </w:r>
      <w:r w:rsidR="008962E2" w:rsidRPr="004635E5">
        <w:rPr>
          <w:rFonts w:eastAsiaTheme="minorEastAsia"/>
          <w:sz w:val="22"/>
          <w:szCs w:val="22"/>
          <w:lang w:eastAsia="ko-KR"/>
        </w:rPr>
        <w:t xml:space="preserve">ID </w:t>
      </w:r>
      <w:r w:rsidR="00CC6A1F" w:rsidRPr="004635E5">
        <w:rPr>
          <w:rFonts w:eastAsiaTheme="minorEastAsia"/>
          <w:sz w:val="22"/>
          <w:szCs w:val="22"/>
          <w:lang w:eastAsia="ko-KR"/>
        </w:rPr>
        <w:t xml:space="preserve">effect artificially inflated the CPUE for </w:t>
      </w:r>
      <w:r w:rsidR="006233FA" w:rsidRPr="004635E5">
        <w:rPr>
          <w:rFonts w:eastAsiaTheme="minorEastAsia"/>
          <w:sz w:val="22"/>
          <w:szCs w:val="22"/>
          <w:lang w:eastAsia="ko-KR"/>
        </w:rPr>
        <w:t xml:space="preserve">the </w:t>
      </w:r>
      <w:r w:rsidR="00CC6A1F" w:rsidRPr="004635E5">
        <w:rPr>
          <w:rFonts w:eastAsiaTheme="minorEastAsia"/>
          <w:sz w:val="22"/>
          <w:szCs w:val="22"/>
          <w:lang w:eastAsia="ko-KR"/>
        </w:rPr>
        <w:t xml:space="preserve">early time series because </w:t>
      </w:r>
      <w:r w:rsidR="006233FA" w:rsidRPr="004635E5">
        <w:rPr>
          <w:rFonts w:eastAsiaTheme="minorEastAsia"/>
          <w:sz w:val="22"/>
          <w:szCs w:val="22"/>
          <w:lang w:eastAsia="ko-KR"/>
        </w:rPr>
        <w:t xml:space="preserve">the </w:t>
      </w:r>
      <w:r w:rsidR="00CC6A1F" w:rsidRPr="004635E5">
        <w:rPr>
          <w:rFonts w:eastAsiaTheme="minorEastAsia"/>
          <w:sz w:val="22"/>
          <w:szCs w:val="22"/>
          <w:lang w:eastAsia="ko-KR"/>
        </w:rPr>
        <w:t xml:space="preserve">vessels </w:t>
      </w:r>
      <w:r w:rsidR="006233FA" w:rsidRPr="004635E5">
        <w:rPr>
          <w:rFonts w:eastAsiaTheme="minorEastAsia"/>
          <w:sz w:val="22"/>
          <w:szCs w:val="22"/>
          <w:lang w:eastAsia="ko-KR"/>
        </w:rPr>
        <w:t xml:space="preserve">also targeted </w:t>
      </w:r>
      <w:r w:rsidR="004421B3" w:rsidRPr="004635E5">
        <w:rPr>
          <w:rFonts w:eastAsiaTheme="minorEastAsia"/>
          <w:sz w:val="22"/>
          <w:szCs w:val="22"/>
          <w:lang w:eastAsia="ko-KR"/>
        </w:rPr>
        <w:t>bigeye tuna</w:t>
      </w:r>
      <w:r w:rsidR="00CC6A1F" w:rsidRPr="004635E5">
        <w:rPr>
          <w:rFonts w:eastAsiaTheme="minorEastAsia"/>
          <w:sz w:val="22"/>
          <w:szCs w:val="22"/>
          <w:lang w:eastAsia="ko-KR"/>
        </w:rPr>
        <w:t xml:space="preserve">, </w:t>
      </w:r>
      <w:r w:rsidR="00656FD8" w:rsidRPr="004635E5">
        <w:rPr>
          <w:rFonts w:eastAsiaTheme="minorEastAsia"/>
          <w:sz w:val="22"/>
          <w:szCs w:val="22"/>
          <w:lang w:eastAsia="ko-KR"/>
        </w:rPr>
        <w:t>yellowfin</w:t>
      </w:r>
      <w:r w:rsidR="00CC6A1F" w:rsidRPr="004635E5">
        <w:rPr>
          <w:rFonts w:eastAsiaTheme="minorEastAsia"/>
          <w:sz w:val="22"/>
          <w:szCs w:val="22"/>
          <w:lang w:eastAsia="ko-KR"/>
        </w:rPr>
        <w:t>, and south Pacific</w:t>
      </w:r>
      <w:r w:rsidR="008962E2" w:rsidRPr="004635E5">
        <w:rPr>
          <w:rFonts w:eastAsiaTheme="minorEastAsia"/>
          <w:sz w:val="22"/>
          <w:szCs w:val="22"/>
          <w:lang w:eastAsia="ko-KR"/>
        </w:rPr>
        <w:t xml:space="preserve"> albacore</w:t>
      </w:r>
      <w:r w:rsidR="001D3518" w:rsidRPr="004635E5">
        <w:rPr>
          <w:rFonts w:eastAsiaTheme="minorEastAsia"/>
          <w:sz w:val="22"/>
          <w:szCs w:val="22"/>
          <w:lang w:eastAsia="ko-KR"/>
        </w:rPr>
        <w:t>.</w:t>
      </w:r>
      <w:r w:rsidR="00CC6A1F" w:rsidRPr="004635E5">
        <w:rPr>
          <w:rFonts w:eastAsiaTheme="minorEastAsia"/>
          <w:sz w:val="22"/>
          <w:szCs w:val="22"/>
          <w:lang w:eastAsia="ko-KR"/>
        </w:rPr>
        <w:t xml:space="preserve"> </w:t>
      </w:r>
      <w:r w:rsidR="001D3518" w:rsidRPr="004635E5">
        <w:rPr>
          <w:rFonts w:eastAsiaTheme="minorEastAsia"/>
          <w:sz w:val="22"/>
          <w:szCs w:val="22"/>
          <w:lang w:eastAsia="ko-KR"/>
        </w:rPr>
        <w:t xml:space="preserve">The </w:t>
      </w:r>
      <w:r w:rsidRPr="004635E5">
        <w:rPr>
          <w:rFonts w:eastAsiaTheme="minorEastAsia"/>
          <w:sz w:val="22"/>
          <w:szCs w:val="22"/>
          <w:lang w:val="en-NZ" w:eastAsia="ko-KR"/>
        </w:rPr>
        <w:t xml:space="preserve">spatial and temporal coverage of </w:t>
      </w:r>
      <w:r w:rsidR="001D3518" w:rsidRPr="004635E5">
        <w:rPr>
          <w:rFonts w:eastAsiaTheme="minorEastAsia"/>
          <w:sz w:val="22"/>
          <w:szCs w:val="22"/>
          <w:lang w:val="en-NZ" w:eastAsia="ko-KR"/>
        </w:rPr>
        <w:t xml:space="preserve">the </w:t>
      </w:r>
      <w:r w:rsidR="001D3518" w:rsidRPr="004635E5">
        <w:rPr>
          <w:rFonts w:eastAsiaTheme="minorEastAsia"/>
          <w:sz w:val="22"/>
          <w:szCs w:val="22"/>
          <w:lang w:eastAsia="ko-KR"/>
        </w:rPr>
        <w:t xml:space="preserve">geostatistical </w:t>
      </w:r>
      <w:r w:rsidRPr="004635E5">
        <w:rPr>
          <w:rFonts w:eastAsiaTheme="minorEastAsia"/>
          <w:sz w:val="22"/>
          <w:szCs w:val="22"/>
          <w:lang w:val="en-NZ" w:eastAsia="ko-KR"/>
        </w:rPr>
        <w:t xml:space="preserve">approach was quite good. </w:t>
      </w:r>
    </w:p>
    <w:p w14:paraId="501FACF5" w14:textId="77777777" w:rsidR="00B22831" w:rsidRPr="004635E5" w:rsidRDefault="00B22831" w:rsidP="006633A8">
      <w:pPr>
        <w:autoSpaceDE w:val="0"/>
        <w:autoSpaceDN w:val="0"/>
        <w:adjustRightInd w:val="0"/>
        <w:snapToGrid w:val="0"/>
        <w:jc w:val="both"/>
        <w:rPr>
          <w:rFonts w:eastAsiaTheme="minorEastAsia"/>
          <w:b/>
          <w:sz w:val="22"/>
          <w:szCs w:val="22"/>
          <w:lang w:val="en-NZ" w:eastAsia="ko-KR"/>
        </w:rPr>
      </w:pPr>
    </w:p>
    <w:p w14:paraId="6A3B0FC3" w14:textId="77777777" w:rsidR="00B22831" w:rsidRPr="004635E5" w:rsidRDefault="00E40D58"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Japan</w:t>
      </w:r>
      <w:r w:rsidR="001D3518" w:rsidRPr="004635E5">
        <w:rPr>
          <w:rFonts w:eastAsiaTheme="minorEastAsia"/>
          <w:sz w:val="22"/>
          <w:szCs w:val="22"/>
          <w:lang w:val="en-NZ" w:eastAsia="ko-KR"/>
        </w:rPr>
        <w:t xml:space="preserve"> noted that </w:t>
      </w:r>
      <w:r w:rsidR="001D3518" w:rsidRPr="004635E5">
        <w:rPr>
          <w:rFonts w:eastAsiaTheme="minorEastAsia"/>
          <w:sz w:val="22"/>
          <w:szCs w:val="22"/>
          <w:lang w:eastAsia="ko-KR"/>
        </w:rPr>
        <w:t>comparisons to the LRP and TRP needed to be careful to include total biomass and relative biomass</w:t>
      </w:r>
      <w:r w:rsidRPr="004635E5">
        <w:rPr>
          <w:rFonts w:eastAsiaTheme="minorEastAsia"/>
          <w:sz w:val="22"/>
          <w:szCs w:val="22"/>
          <w:lang w:val="en-NZ" w:eastAsia="ko-KR"/>
        </w:rPr>
        <w:t xml:space="preserve">. </w:t>
      </w:r>
    </w:p>
    <w:p w14:paraId="76D8A718" w14:textId="77777777" w:rsidR="00B22831" w:rsidRPr="004635E5" w:rsidRDefault="00B22831" w:rsidP="006633A8">
      <w:pPr>
        <w:autoSpaceDE w:val="0"/>
        <w:autoSpaceDN w:val="0"/>
        <w:adjustRightInd w:val="0"/>
        <w:snapToGrid w:val="0"/>
        <w:jc w:val="both"/>
        <w:rPr>
          <w:rFonts w:eastAsiaTheme="minorEastAsia"/>
          <w:sz w:val="22"/>
          <w:szCs w:val="22"/>
          <w:lang w:val="en-NZ" w:eastAsia="ko-KR"/>
        </w:rPr>
      </w:pPr>
    </w:p>
    <w:p w14:paraId="708F3C33" w14:textId="77777777" w:rsidR="008F0F3F" w:rsidRPr="004635E5" w:rsidRDefault="00E40D58"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USA</w:t>
      </w:r>
      <w:r w:rsidR="00C9143F" w:rsidRPr="004635E5">
        <w:rPr>
          <w:rFonts w:eastAsiaTheme="minorEastAsia"/>
          <w:sz w:val="22"/>
          <w:szCs w:val="22"/>
          <w:lang w:val="en-NZ" w:eastAsia="ko-KR"/>
        </w:rPr>
        <w:t xml:space="preserve"> noted that t</w:t>
      </w:r>
      <w:r w:rsidR="0062384E" w:rsidRPr="004635E5">
        <w:rPr>
          <w:rFonts w:eastAsiaTheme="minorEastAsia"/>
          <w:sz w:val="22"/>
          <w:szCs w:val="22"/>
          <w:lang w:val="en-NZ" w:eastAsia="ko-KR"/>
        </w:rPr>
        <w:t>he component likelihood profile suggest</w:t>
      </w:r>
      <w:r w:rsidR="008962E2" w:rsidRPr="004635E5">
        <w:rPr>
          <w:rFonts w:eastAsiaTheme="minorEastAsia"/>
          <w:sz w:val="22"/>
          <w:szCs w:val="22"/>
          <w:lang w:val="en-NZ" w:eastAsia="ko-KR"/>
        </w:rPr>
        <w:t>ed</w:t>
      </w:r>
      <w:r w:rsidR="0062384E" w:rsidRPr="004635E5">
        <w:rPr>
          <w:rFonts w:eastAsiaTheme="minorEastAsia"/>
          <w:sz w:val="22"/>
          <w:szCs w:val="22"/>
          <w:lang w:val="en-NZ" w:eastAsia="ko-KR"/>
        </w:rPr>
        <w:t xml:space="preserve"> that the estimated population scale </w:t>
      </w:r>
      <w:r w:rsidR="008962E2" w:rsidRPr="004635E5">
        <w:rPr>
          <w:rFonts w:eastAsiaTheme="minorEastAsia"/>
          <w:sz w:val="22"/>
          <w:szCs w:val="22"/>
          <w:lang w:val="en-NZ" w:eastAsia="ko-KR"/>
        </w:rPr>
        <w:t xml:space="preserve">was </w:t>
      </w:r>
      <w:r w:rsidR="0062384E" w:rsidRPr="004635E5">
        <w:rPr>
          <w:rFonts w:eastAsiaTheme="minorEastAsia"/>
          <w:sz w:val="22"/>
          <w:szCs w:val="22"/>
          <w:lang w:val="en-NZ" w:eastAsia="ko-KR"/>
        </w:rPr>
        <w:t>inf</w:t>
      </w:r>
      <w:r w:rsidR="008962E2" w:rsidRPr="004635E5">
        <w:rPr>
          <w:rFonts w:eastAsiaTheme="minorEastAsia"/>
          <w:sz w:val="22"/>
          <w:szCs w:val="22"/>
          <w:lang w:val="en-NZ" w:eastAsia="ko-KR"/>
        </w:rPr>
        <w:t>ormed by and largely corresponded</w:t>
      </w:r>
      <w:r w:rsidR="0062384E" w:rsidRPr="004635E5">
        <w:rPr>
          <w:rFonts w:eastAsiaTheme="minorEastAsia"/>
          <w:sz w:val="22"/>
          <w:szCs w:val="22"/>
          <w:lang w:val="en-NZ" w:eastAsia="ko-KR"/>
        </w:rPr>
        <w:t xml:space="preserve"> </w:t>
      </w:r>
      <w:r w:rsidR="008962E2" w:rsidRPr="004635E5">
        <w:rPr>
          <w:rFonts w:eastAsiaTheme="minorEastAsia"/>
          <w:sz w:val="22"/>
          <w:szCs w:val="22"/>
          <w:lang w:val="en-NZ" w:eastAsia="ko-KR"/>
        </w:rPr>
        <w:t xml:space="preserve">to </w:t>
      </w:r>
      <w:r w:rsidR="0062384E" w:rsidRPr="004635E5">
        <w:rPr>
          <w:rFonts w:eastAsiaTheme="minorEastAsia"/>
          <w:sz w:val="22"/>
          <w:szCs w:val="22"/>
          <w:lang w:val="en-NZ" w:eastAsia="ko-KR"/>
        </w:rPr>
        <w:t>the abundance indices</w:t>
      </w:r>
      <w:r w:rsidR="008962E2" w:rsidRPr="004635E5">
        <w:rPr>
          <w:rFonts w:eastAsiaTheme="minorEastAsia"/>
          <w:sz w:val="22"/>
          <w:szCs w:val="22"/>
          <w:lang w:val="en-NZ" w:eastAsia="ko-KR"/>
        </w:rPr>
        <w:t xml:space="preserve">, meaning </w:t>
      </w:r>
      <w:r w:rsidR="0062384E" w:rsidRPr="004635E5">
        <w:rPr>
          <w:rFonts w:eastAsiaTheme="minorEastAsia"/>
          <w:sz w:val="22"/>
          <w:szCs w:val="22"/>
          <w:lang w:val="en-NZ" w:eastAsia="ko-KR"/>
        </w:rPr>
        <w:t xml:space="preserve">it </w:t>
      </w:r>
      <w:r w:rsidR="008962E2" w:rsidRPr="004635E5">
        <w:rPr>
          <w:rFonts w:eastAsiaTheme="minorEastAsia"/>
          <w:sz w:val="22"/>
          <w:szCs w:val="22"/>
          <w:lang w:val="en-NZ" w:eastAsia="ko-KR"/>
        </w:rPr>
        <w:t xml:space="preserve">was </w:t>
      </w:r>
      <w:r w:rsidR="0062384E" w:rsidRPr="004635E5">
        <w:rPr>
          <w:rFonts w:eastAsiaTheme="minorEastAsia"/>
          <w:sz w:val="22"/>
          <w:szCs w:val="22"/>
          <w:lang w:val="en-NZ" w:eastAsia="ko-KR"/>
        </w:rPr>
        <w:t>important to get the</w:t>
      </w:r>
      <w:r w:rsidR="008962E2" w:rsidRPr="004635E5">
        <w:rPr>
          <w:rFonts w:eastAsiaTheme="minorEastAsia"/>
          <w:sz w:val="22"/>
          <w:szCs w:val="22"/>
          <w:lang w:val="en-NZ" w:eastAsia="ko-KR"/>
        </w:rPr>
        <w:t>se</w:t>
      </w:r>
      <w:r w:rsidR="0062384E" w:rsidRPr="004635E5">
        <w:rPr>
          <w:rFonts w:eastAsiaTheme="minorEastAsia"/>
          <w:sz w:val="22"/>
          <w:szCs w:val="22"/>
          <w:lang w:val="en-NZ" w:eastAsia="ko-KR"/>
        </w:rPr>
        <w:t xml:space="preserve"> correct.</w:t>
      </w:r>
      <w:r w:rsidR="00C9143F" w:rsidRPr="004635E5">
        <w:rPr>
          <w:rFonts w:eastAsiaTheme="minorEastAsia"/>
          <w:sz w:val="22"/>
          <w:szCs w:val="22"/>
          <w:lang w:val="en-NZ" w:eastAsia="ko-KR"/>
        </w:rPr>
        <w:t xml:space="preserve"> </w:t>
      </w:r>
      <w:r w:rsidR="0062384E" w:rsidRPr="004635E5">
        <w:rPr>
          <w:rFonts w:eastAsiaTheme="minorEastAsia"/>
          <w:sz w:val="22"/>
          <w:szCs w:val="22"/>
          <w:lang w:eastAsia="ko-KR"/>
        </w:rPr>
        <w:t xml:space="preserve">There </w:t>
      </w:r>
      <w:r w:rsidR="008962E2" w:rsidRPr="004635E5">
        <w:rPr>
          <w:rFonts w:eastAsiaTheme="minorEastAsia"/>
          <w:sz w:val="22"/>
          <w:szCs w:val="22"/>
          <w:lang w:eastAsia="ko-KR"/>
        </w:rPr>
        <w:t xml:space="preserve">was </w:t>
      </w:r>
      <w:r w:rsidR="0062384E" w:rsidRPr="004635E5">
        <w:rPr>
          <w:rFonts w:eastAsiaTheme="minorEastAsia"/>
          <w:sz w:val="22"/>
          <w:szCs w:val="22"/>
          <w:lang w:eastAsia="ko-KR"/>
        </w:rPr>
        <w:t>a three</w:t>
      </w:r>
      <w:r w:rsidR="008962E2" w:rsidRPr="004635E5">
        <w:rPr>
          <w:rFonts w:eastAsiaTheme="minorEastAsia"/>
          <w:sz w:val="22"/>
          <w:szCs w:val="22"/>
          <w:lang w:eastAsia="ko-KR"/>
        </w:rPr>
        <w:t>-fold</w:t>
      </w:r>
      <w:r w:rsidR="0062384E" w:rsidRPr="004635E5">
        <w:rPr>
          <w:rFonts w:eastAsiaTheme="minorEastAsia"/>
          <w:sz w:val="22"/>
          <w:szCs w:val="22"/>
          <w:lang w:eastAsia="ko-KR"/>
        </w:rPr>
        <w:t xml:space="preserve"> increase in the longline catch of SPALB in about 2000, especially in Region 2. Unless there </w:t>
      </w:r>
      <w:r w:rsidR="008962E2" w:rsidRPr="004635E5">
        <w:rPr>
          <w:rFonts w:eastAsiaTheme="minorEastAsia"/>
          <w:sz w:val="22"/>
          <w:szCs w:val="22"/>
          <w:lang w:eastAsia="ko-KR"/>
        </w:rPr>
        <w:t xml:space="preserve">was </w:t>
      </w:r>
      <w:r w:rsidR="0062384E" w:rsidRPr="004635E5">
        <w:rPr>
          <w:rFonts w:eastAsiaTheme="minorEastAsia"/>
          <w:sz w:val="22"/>
          <w:szCs w:val="22"/>
          <w:lang w:eastAsia="ko-KR"/>
        </w:rPr>
        <w:t>a corresponding increase in recruitment, one would expect a decline in the longline CPUE during this period. There are signs of the nominal CPUE decrease during this period</w:t>
      </w:r>
      <w:r w:rsidR="008962E2" w:rsidRPr="004635E5">
        <w:rPr>
          <w:sz w:val="22"/>
          <w:szCs w:val="22"/>
        </w:rPr>
        <w:t xml:space="preserve"> —</w:t>
      </w:r>
      <w:r w:rsidR="008962E2" w:rsidRPr="004635E5">
        <w:rPr>
          <w:rFonts w:eastAsiaTheme="minorEastAsia"/>
          <w:sz w:val="22"/>
          <w:szCs w:val="22"/>
          <w:lang w:eastAsia="ko-KR"/>
        </w:rPr>
        <w:t xml:space="preserve"> Figure 5 in </w:t>
      </w:r>
      <w:r w:rsidR="00347BA9">
        <w:rPr>
          <w:rFonts w:eastAsiaTheme="minorEastAsia"/>
          <w:sz w:val="22"/>
          <w:szCs w:val="22"/>
          <w:lang w:eastAsia="ko-KR"/>
        </w:rPr>
        <w:t>SC14-</w:t>
      </w:r>
      <w:r w:rsidR="008962E2" w:rsidRPr="004635E5">
        <w:rPr>
          <w:rFonts w:eastAsiaTheme="minorEastAsia"/>
          <w:sz w:val="22"/>
          <w:szCs w:val="22"/>
          <w:lang w:eastAsia="ko-KR"/>
        </w:rPr>
        <w:t xml:space="preserve">SA-IP-08 (Chinese-Taipei nominal longline CPUE, which had the largest catch of SPALB until the advent of the China longline fleet), and Figure 60 &amp; 61 in </w:t>
      </w:r>
      <w:r w:rsidR="00347BA9">
        <w:rPr>
          <w:rFonts w:eastAsiaTheme="minorEastAsia"/>
          <w:sz w:val="22"/>
          <w:szCs w:val="22"/>
          <w:lang w:eastAsia="ko-KR"/>
        </w:rPr>
        <w:t>SC14-</w:t>
      </w:r>
      <w:r w:rsidR="008962E2" w:rsidRPr="004635E5">
        <w:rPr>
          <w:rFonts w:eastAsiaTheme="minorEastAsia"/>
          <w:sz w:val="22"/>
          <w:szCs w:val="22"/>
          <w:lang w:eastAsia="ko-KR"/>
        </w:rPr>
        <w:t>SA-IP-07 (Region 2),</w:t>
      </w:r>
      <w:r w:rsidR="0062384E" w:rsidRPr="004635E5">
        <w:rPr>
          <w:rFonts w:eastAsiaTheme="minorEastAsia"/>
          <w:sz w:val="22"/>
          <w:szCs w:val="22"/>
          <w:lang w:eastAsia="ko-KR"/>
        </w:rPr>
        <w:t xml:space="preserve"> </w:t>
      </w:r>
      <w:r w:rsidR="008962E2" w:rsidRPr="004635E5">
        <w:rPr>
          <w:rFonts w:eastAsiaTheme="minorEastAsia"/>
          <w:sz w:val="22"/>
          <w:szCs w:val="22"/>
          <w:lang w:eastAsia="ko-KR"/>
        </w:rPr>
        <w:t>b</w:t>
      </w:r>
      <w:r w:rsidR="0062384E" w:rsidRPr="004635E5">
        <w:rPr>
          <w:rFonts w:eastAsiaTheme="minorEastAsia"/>
          <w:sz w:val="22"/>
          <w:szCs w:val="22"/>
          <w:lang w:eastAsia="ko-KR"/>
        </w:rPr>
        <w:t xml:space="preserve">ut the standardized index suggests a flat or increasing index during the period. </w:t>
      </w:r>
      <w:r w:rsidR="00C9143F" w:rsidRPr="004635E5">
        <w:rPr>
          <w:rFonts w:eastAsiaTheme="minorEastAsia"/>
          <w:sz w:val="22"/>
          <w:szCs w:val="22"/>
          <w:lang w:eastAsia="ko-KR"/>
        </w:rPr>
        <w:t xml:space="preserve">This may be due to </w:t>
      </w:r>
      <w:r w:rsidR="0062384E" w:rsidRPr="004635E5">
        <w:rPr>
          <w:rFonts w:eastAsiaTheme="minorEastAsia"/>
          <w:sz w:val="22"/>
          <w:szCs w:val="22"/>
          <w:lang w:eastAsia="ko-KR"/>
        </w:rPr>
        <w:t xml:space="preserve">the way the index is being plotted (log-scale would have been better to show proportional declines at low levels). In Fig 18 of </w:t>
      </w:r>
      <w:r w:rsidR="00347BA9">
        <w:rPr>
          <w:rFonts w:eastAsiaTheme="minorEastAsia"/>
          <w:sz w:val="22"/>
          <w:szCs w:val="22"/>
          <w:lang w:eastAsia="ko-KR"/>
        </w:rPr>
        <w:t>SC14-</w:t>
      </w:r>
      <w:r w:rsidR="0062384E" w:rsidRPr="004635E5">
        <w:rPr>
          <w:rFonts w:eastAsiaTheme="minorEastAsia"/>
          <w:sz w:val="22"/>
          <w:szCs w:val="22"/>
          <w:lang w:eastAsia="ko-KR"/>
        </w:rPr>
        <w:t xml:space="preserve">SA-WP-05, there is also some evidence of misfit to the Region 2 index after 2000, suggesting that the model expects a lower longline CPUE in Region 2 than is observed (Fig. 17 of </w:t>
      </w:r>
      <w:r w:rsidR="00347BA9">
        <w:rPr>
          <w:rFonts w:eastAsiaTheme="minorEastAsia"/>
          <w:sz w:val="22"/>
          <w:szCs w:val="22"/>
          <w:lang w:eastAsia="ko-KR"/>
        </w:rPr>
        <w:t>SC14-</w:t>
      </w:r>
      <w:r w:rsidR="0062384E" w:rsidRPr="004635E5">
        <w:rPr>
          <w:rFonts w:eastAsiaTheme="minorEastAsia"/>
          <w:sz w:val="22"/>
          <w:szCs w:val="22"/>
          <w:lang w:eastAsia="ko-KR"/>
        </w:rPr>
        <w:t xml:space="preserve">SA-WP-05). Since there is no major decline in the adult indices after 2000, the model interpreted the increased catch as being due to increased recruitment during this period (Fig. 32 in </w:t>
      </w:r>
      <w:r w:rsidR="00797E2B">
        <w:rPr>
          <w:rFonts w:eastAsia="Batang"/>
          <w:sz w:val="22"/>
          <w:szCs w:val="22"/>
          <w:lang w:eastAsia="ko-KR"/>
        </w:rPr>
        <w:t>SC14-</w:t>
      </w:r>
      <w:r w:rsidR="0062384E" w:rsidRPr="004635E5">
        <w:rPr>
          <w:rFonts w:eastAsiaTheme="minorEastAsia"/>
          <w:sz w:val="22"/>
          <w:szCs w:val="22"/>
          <w:lang w:eastAsia="ko-KR"/>
        </w:rPr>
        <w:t xml:space="preserve">SA-WP-05). </w:t>
      </w:r>
      <w:r w:rsidR="00C9143F" w:rsidRPr="004635E5">
        <w:rPr>
          <w:rFonts w:eastAsiaTheme="minorEastAsia"/>
          <w:sz w:val="22"/>
          <w:szCs w:val="22"/>
          <w:lang w:eastAsia="ko-KR"/>
        </w:rPr>
        <w:t xml:space="preserve">The USA then asked whether there is </w:t>
      </w:r>
      <w:r w:rsidR="0062384E" w:rsidRPr="004635E5">
        <w:rPr>
          <w:rFonts w:eastAsiaTheme="minorEastAsia"/>
          <w:sz w:val="22"/>
          <w:szCs w:val="22"/>
          <w:lang w:eastAsia="ko-KR"/>
        </w:rPr>
        <w:t>evidence of increased recruitment based on the observations from the fisheries targeting juvenile SPALB in the temperate waters (Regions 3 &amp; 5)</w:t>
      </w:r>
      <w:r w:rsidR="00C9143F" w:rsidRPr="004635E5">
        <w:rPr>
          <w:rFonts w:eastAsiaTheme="minorEastAsia"/>
          <w:sz w:val="22"/>
          <w:szCs w:val="22"/>
          <w:lang w:eastAsia="ko-KR"/>
        </w:rPr>
        <w:t>.</w:t>
      </w:r>
      <w:r w:rsidR="0062384E" w:rsidRPr="004635E5">
        <w:rPr>
          <w:rFonts w:eastAsiaTheme="minorEastAsia"/>
          <w:sz w:val="22"/>
          <w:szCs w:val="22"/>
          <w:lang w:eastAsia="ko-KR"/>
        </w:rPr>
        <w:t xml:space="preserve"> The relative lack of fisheries targeting juvenile SPALB makes it difficult to answer this question</w:t>
      </w:r>
      <w:r w:rsidR="00A16680" w:rsidRPr="004635E5">
        <w:rPr>
          <w:rFonts w:eastAsiaTheme="minorEastAsia"/>
          <w:sz w:val="22"/>
          <w:szCs w:val="22"/>
          <w:lang w:eastAsia="ko-KR"/>
        </w:rPr>
        <w:t xml:space="preserve">. </w:t>
      </w:r>
      <w:r w:rsidR="0062384E" w:rsidRPr="004635E5">
        <w:rPr>
          <w:rFonts w:eastAsiaTheme="minorEastAsia"/>
          <w:sz w:val="22"/>
          <w:szCs w:val="22"/>
          <w:lang w:eastAsia="ko-KR"/>
        </w:rPr>
        <w:t xml:space="preserve">But the troll nominal CPUEs (Fig 7 in </w:t>
      </w:r>
      <w:r w:rsidR="00347BA9">
        <w:rPr>
          <w:rFonts w:eastAsiaTheme="minorEastAsia"/>
          <w:sz w:val="22"/>
          <w:szCs w:val="22"/>
          <w:lang w:eastAsia="ko-KR"/>
        </w:rPr>
        <w:t>SC14-</w:t>
      </w:r>
      <w:r w:rsidR="0062384E" w:rsidRPr="004635E5">
        <w:rPr>
          <w:rFonts w:eastAsiaTheme="minorEastAsia"/>
          <w:sz w:val="22"/>
          <w:szCs w:val="22"/>
          <w:lang w:eastAsia="ko-KR"/>
        </w:rPr>
        <w:t>SA-IP-08) suggest that there has been no major increase in the recruitment of SPALB after 2000</w:t>
      </w:r>
      <w:r w:rsidR="00C9143F" w:rsidRPr="004635E5">
        <w:rPr>
          <w:rFonts w:eastAsiaTheme="minorEastAsia"/>
          <w:sz w:val="22"/>
          <w:szCs w:val="22"/>
          <w:lang w:eastAsia="ko-KR"/>
        </w:rPr>
        <w:t>,</w:t>
      </w:r>
      <w:r w:rsidR="0062384E" w:rsidRPr="004635E5">
        <w:rPr>
          <w:rFonts w:eastAsiaTheme="minorEastAsia"/>
          <w:sz w:val="22"/>
          <w:szCs w:val="22"/>
          <w:lang w:eastAsia="ko-KR"/>
        </w:rPr>
        <w:t xml:space="preserve"> although the </w:t>
      </w:r>
      <w:r w:rsidR="002E39E9" w:rsidRPr="004635E5">
        <w:rPr>
          <w:rFonts w:eastAsiaTheme="minorEastAsia"/>
          <w:sz w:val="22"/>
          <w:szCs w:val="22"/>
          <w:lang w:eastAsia="ko-KR"/>
        </w:rPr>
        <w:t>New Zealand</w:t>
      </w:r>
      <w:r w:rsidR="0062384E" w:rsidRPr="004635E5">
        <w:rPr>
          <w:rFonts w:eastAsiaTheme="minorEastAsia"/>
          <w:sz w:val="22"/>
          <w:szCs w:val="22"/>
          <w:lang w:eastAsia="ko-KR"/>
        </w:rPr>
        <w:t xml:space="preserve"> troll fishery only fishes in a limited area. </w:t>
      </w:r>
      <w:r w:rsidR="008962E2" w:rsidRPr="004635E5">
        <w:rPr>
          <w:rFonts w:eastAsiaTheme="minorEastAsia"/>
          <w:sz w:val="22"/>
          <w:szCs w:val="22"/>
          <w:lang w:eastAsia="ko-KR"/>
        </w:rPr>
        <w:t xml:space="preserve">In response, </w:t>
      </w:r>
      <w:r w:rsidR="00C9143F" w:rsidRPr="004635E5">
        <w:rPr>
          <w:rFonts w:eastAsiaTheme="minorEastAsia"/>
          <w:sz w:val="22"/>
          <w:szCs w:val="22"/>
          <w:lang w:eastAsia="ko-KR"/>
        </w:rPr>
        <w:t>SPC noted that the standardization may not fully capture the true abundance trends. The New Zealand troll fishery is hard to standardize so it could not be used as a recruitment index</w:t>
      </w:r>
      <w:r w:rsidR="00A16680" w:rsidRPr="004635E5">
        <w:rPr>
          <w:rFonts w:eastAsiaTheme="minorEastAsia"/>
          <w:sz w:val="22"/>
          <w:szCs w:val="22"/>
          <w:lang w:eastAsia="ko-KR"/>
        </w:rPr>
        <w:t>.</w:t>
      </w:r>
      <w:r w:rsidR="001F3FF4">
        <w:rPr>
          <w:rFonts w:eastAsiaTheme="minorEastAsia"/>
          <w:sz w:val="22"/>
          <w:szCs w:val="22"/>
          <w:lang w:eastAsia="ko-KR"/>
        </w:rPr>
        <w:t xml:space="preserve"> </w:t>
      </w:r>
    </w:p>
    <w:p w14:paraId="420573BA" w14:textId="77777777" w:rsidR="00B22831" w:rsidRPr="004635E5" w:rsidRDefault="00B22831" w:rsidP="006633A8">
      <w:pPr>
        <w:autoSpaceDE w:val="0"/>
        <w:autoSpaceDN w:val="0"/>
        <w:adjustRightInd w:val="0"/>
        <w:snapToGrid w:val="0"/>
        <w:jc w:val="both"/>
        <w:rPr>
          <w:rFonts w:eastAsiaTheme="minorEastAsia"/>
          <w:sz w:val="22"/>
          <w:szCs w:val="22"/>
          <w:lang w:val="en-NZ" w:eastAsia="ko-KR"/>
        </w:rPr>
      </w:pPr>
    </w:p>
    <w:p w14:paraId="66358281" w14:textId="77777777" w:rsidR="008F0F3F" w:rsidRPr="004635E5" w:rsidRDefault="00E40D58"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eastAsia="ko-KR"/>
        </w:rPr>
        <w:t>F</w:t>
      </w:r>
      <w:r w:rsidR="00C9143F" w:rsidRPr="004635E5">
        <w:rPr>
          <w:rFonts w:eastAsiaTheme="minorEastAsia"/>
          <w:sz w:val="22"/>
          <w:szCs w:val="22"/>
          <w:lang w:eastAsia="ko-KR"/>
        </w:rPr>
        <w:t xml:space="preserve">rench Polynesia </w:t>
      </w:r>
      <w:r w:rsidR="00767630" w:rsidRPr="004635E5">
        <w:rPr>
          <w:rFonts w:eastAsiaTheme="minorEastAsia"/>
          <w:sz w:val="22"/>
          <w:szCs w:val="22"/>
          <w:lang w:eastAsia="ko-KR"/>
        </w:rPr>
        <w:t>comment</w:t>
      </w:r>
      <w:r w:rsidR="008F0F3F" w:rsidRPr="004635E5">
        <w:rPr>
          <w:rFonts w:eastAsiaTheme="minorEastAsia"/>
          <w:sz w:val="22"/>
          <w:szCs w:val="22"/>
          <w:lang w:eastAsia="ko-KR"/>
        </w:rPr>
        <w:t>ed</w:t>
      </w:r>
      <w:r w:rsidR="00767630" w:rsidRPr="004635E5">
        <w:rPr>
          <w:rFonts w:eastAsiaTheme="minorEastAsia"/>
          <w:sz w:val="22"/>
          <w:szCs w:val="22"/>
          <w:lang w:eastAsia="ko-KR"/>
        </w:rPr>
        <w:t xml:space="preserve"> on the conclusions of </w:t>
      </w:r>
      <w:r w:rsidR="008F0F3F" w:rsidRPr="004635E5">
        <w:rPr>
          <w:rFonts w:eastAsiaTheme="minorEastAsia"/>
          <w:sz w:val="22"/>
          <w:szCs w:val="22"/>
          <w:lang w:eastAsia="ko-KR"/>
        </w:rPr>
        <w:t xml:space="preserve">the </w:t>
      </w:r>
      <w:r w:rsidR="00767630" w:rsidRPr="004635E5">
        <w:rPr>
          <w:rFonts w:eastAsiaTheme="minorEastAsia"/>
          <w:sz w:val="22"/>
          <w:szCs w:val="22"/>
          <w:lang w:eastAsia="ko-KR"/>
        </w:rPr>
        <w:t>assessment</w:t>
      </w:r>
      <w:r w:rsidR="008F0F3F" w:rsidRPr="004635E5">
        <w:rPr>
          <w:rFonts w:eastAsiaTheme="minorEastAsia"/>
          <w:sz w:val="22"/>
          <w:szCs w:val="22"/>
          <w:lang w:eastAsia="ko-KR"/>
        </w:rPr>
        <w:t xml:space="preserve">, noting it was </w:t>
      </w:r>
      <w:r w:rsidR="00767630" w:rsidRPr="004635E5">
        <w:rPr>
          <w:rFonts w:eastAsiaTheme="minorEastAsia"/>
          <w:sz w:val="22"/>
          <w:szCs w:val="22"/>
          <w:lang w:eastAsia="ko-KR"/>
        </w:rPr>
        <w:t>a good opportunity in the quite optimistic context of</w:t>
      </w:r>
      <w:r w:rsidR="009E302E" w:rsidRPr="004635E5">
        <w:rPr>
          <w:rFonts w:eastAsiaTheme="minorEastAsia"/>
          <w:sz w:val="22"/>
          <w:szCs w:val="22"/>
          <w:lang w:eastAsia="ko-KR"/>
        </w:rPr>
        <w:t xml:space="preserve"> </w:t>
      </w:r>
      <w:r w:rsidR="008962E2" w:rsidRPr="004635E5">
        <w:rPr>
          <w:rFonts w:eastAsiaTheme="minorEastAsia"/>
          <w:sz w:val="22"/>
          <w:szCs w:val="22"/>
          <w:lang w:eastAsia="ko-KR"/>
        </w:rPr>
        <w:t xml:space="preserve">the </w:t>
      </w:r>
      <w:r w:rsidR="00767630" w:rsidRPr="004635E5">
        <w:rPr>
          <w:rFonts w:eastAsiaTheme="minorEastAsia"/>
          <w:sz w:val="22"/>
          <w:szCs w:val="22"/>
          <w:lang w:eastAsia="ko-KR"/>
        </w:rPr>
        <w:t>new assessment to dedicate time during SC</w:t>
      </w:r>
      <w:r w:rsidR="008F0F3F" w:rsidRPr="004635E5">
        <w:rPr>
          <w:rFonts w:eastAsiaTheme="minorEastAsia"/>
          <w:sz w:val="22"/>
          <w:szCs w:val="22"/>
          <w:lang w:eastAsia="ko-KR"/>
        </w:rPr>
        <w:t>14</w:t>
      </w:r>
      <w:r w:rsidR="00767630" w:rsidRPr="004635E5">
        <w:rPr>
          <w:rFonts w:eastAsiaTheme="minorEastAsia"/>
          <w:sz w:val="22"/>
          <w:szCs w:val="22"/>
          <w:lang w:eastAsia="ko-KR"/>
        </w:rPr>
        <w:t xml:space="preserve"> to long</w:t>
      </w:r>
      <w:r w:rsidR="008F0F3F" w:rsidRPr="004635E5">
        <w:rPr>
          <w:rFonts w:eastAsiaTheme="minorEastAsia"/>
          <w:sz w:val="22"/>
          <w:szCs w:val="22"/>
          <w:lang w:eastAsia="ko-KR"/>
        </w:rPr>
        <w:t>-</w:t>
      </w:r>
      <w:r w:rsidR="00767630" w:rsidRPr="004635E5">
        <w:rPr>
          <w:rFonts w:eastAsiaTheme="minorEastAsia"/>
          <w:sz w:val="22"/>
          <w:szCs w:val="22"/>
          <w:lang w:eastAsia="ko-KR"/>
        </w:rPr>
        <w:t xml:space="preserve">term topics such as </w:t>
      </w:r>
      <w:r w:rsidR="008F0F3F" w:rsidRPr="004635E5">
        <w:rPr>
          <w:rFonts w:eastAsiaTheme="minorEastAsia"/>
          <w:sz w:val="22"/>
          <w:szCs w:val="22"/>
          <w:lang w:eastAsia="ko-KR"/>
        </w:rPr>
        <w:t xml:space="preserve">harvest strategy </w:t>
      </w:r>
      <w:r w:rsidR="00767630" w:rsidRPr="004635E5">
        <w:rPr>
          <w:rFonts w:eastAsiaTheme="minorEastAsia"/>
          <w:sz w:val="22"/>
          <w:szCs w:val="22"/>
          <w:lang w:eastAsia="ko-KR"/>
        </w:rPr>
        <w:t>issues such as TRP.</w:t>
      </w:r>
      <w:r w:rsidR="008F0F3F" w:rsidRPr="004635E5">
        <w:rPr>
          <w:rFonts w:eastAsiaTheme="minorEastAsia"/>
          <w:sz w:val="22"/>
          <w:szCs w:val="22"/>
          <w:lang w:eastAsia="ko-KR"/>
        </w:rPr>
        <w:t xml:space="preserve"> </w:t>
      </w:r>
      <w:r w:rsidR="008962E2" w:rsidRPr="004635E5">
        <w:rPr>
          <w:rFonts w:eastAsiaTheme="minorEastAsia"/>
          <w:sz w:val="22"/>
          <w:szCs w:val="22"/>
          <w:lang w:eastAsia="ko-KR"/>
        </w:rPr>
        <w:t xml:space="preserve">They stated </w:t>
      </w:r>
      <w:r w:rsidR="008F0F3F" w:rsidRPr="004635E5">
        <w:rPr>
          <w:rFonts w:eastAsiaTheme="minorEastAsia"/>
          <w:sz w:val="22"/>
          <w:szCs w:val="22"/>
          <w:lang w:eastAsia="ko-KR"/>
        </w:rPr>
        <w:t xml:space="preserve">SC </w:t>
      </w:r>
      <w:r w:rsidR="00767630" w:rsidRPr="004635E5">
        <w:rPr>
          <w:rFonts w:eastAsiaTheme="minorEastAsia"/>
          <w:sz w:val="22"/>
          <w:szCs w:val="22"/>
          <w:lang w:eastAsia="ko-KR"/>
        </w:rPr>
        <w:t xml:space="preserve">should </w:t>
      </w:r>
      <w:r w:rsidR="008F0F3F" w:rsidRPr="004635E5">
        <w:rPr>
          <w:rFonts w:eastAsiaTheme="minorEastAsia"/>
          <w:sz w:val="22"/>
          <w:szCs w:val="22"/>
          <w:lang w:eastAsia="ko-KR"/>
        </w:rPr>
        <w:t xml:space="preserve">be </w:t>
      </w:r>
      <w:r w:rsidR="00767630" w:rsidRPr="004635E5">
        <w:rPr>
          <w:rFonts w:eastAsiaTheme="minorEastAsia"/>
          <w:sz w:val="22"/>
          <w:szCs w:val="22"/>
          <w:lang w:eastAsia="ko-KR"/>
        </w:rPr>
        <w:t>mind</w:t>
      </w:r>
      <w:r w:rsidR="008F0F3F" w:rsidRPr="004635E5">
        <w:rPr>
          <w:rFonts w:eastAsiaTheme="minorEastAsia"/>
          <w:sz w:val="22"/>
          <w:szCs w:val="22"/>
          <w:lang w:eastAsia="ko-KR"/>
        </w:rPr>
        <w:t>ful</w:t>
      </w:r>
      <w:r w:rsidR="00767630" w:rsidRPr="004635E5">
        <w:rPr>
          <w:rFonts w:eastAsiaTheme="minorEastAsia"/>
          <w:sz w:val="22"/>
          <w:szCs w:val="22"/>
          <w:lang w:eastAsia="ko-KR"/>
        </w:rPr>
        <w:t xml:space="preserve"> that people living in SIDS and</w:t>
      </w:r>
      <w:r w:rsidR="008F0F3F" w:rsidRPr="004635E5">
        <w:rPr>
          <w:rFonts w:eastAsiaTheme="minorEastAsia"/>
          <w:sz w:val="22"/>
          <w:szCs w:val="22"/>
          <w:lang w:eastAsia="ko-KR"/>
        </w:rPr>
        <w:t xml:space="preserve"> </w:t>
      </w:r>
      <w:r w:rsidR="00767630" w:rsidRPr="004635E5">
        <w:rPr>
          <w:rFonts w:eastAsiaTheme="minorEastAsia"/>
          <w:sz w:val="22"/>
          <w:szCs w:val="22"/>
          <w:lang w:eastAsia="ko-KR"/>
        </w:rPr>
        <w:t>territories</w:t>
      </w:r>
      <w:r w:rsidR="008F0F3F" w:rsidRPr="004635E5">
        <w:rPr>
          <w:rFonts w:eastAsiaTheme="minorEastAsia"/>
          <w:sz w:val="22"/>
          <w:szCs w:val="22"/>
          <w:lang w:eastAsia="ko-KR"/>
        </w:rPr>
        <w:t xml:space="preserve"> </w:t>
      </w:r>
      <w:r w:rsidR="00767630" w:rsidRPr="004635E5">
        <w:rPr>
          <w:rFonts w:eastAsiaTheme="minorEastAsia"/>
          <w:sz w:val="22"/>
          <w:szCs w:val="22"/>
          <w:lang w:eastAsia="ko-KR"/>
        </w:rPr>
        <w:t xml:space="preserve">rely on economically viable </w:t>
      </w:r>
      <w:r w:rsidR="002D5D17" w:rsidRPr="004635E5">
        <w:rPr>
          <w:rFonts w:eastAsiaTheme="minorEastAsia"/>
          <w:sz w:val="22"/>
          <w:szCs w:val="22"/>
          <w:lang w:eastAsia="ko-KR"/>
        </w:rPr>
        <w:t>South Pacific</w:t>
      </w:r>
      <w:r w:rsidR="008F0F3F" w:rsidRPr="004635E5">
        <w:rPr>
          <w:rFonts w:eastAsiaTheme="minorEastAsia"/>
          <w:sz w:val="22"/>
          <w:szCs w:val="22"/>
          <w:lang w:eastAsia="ko-KR"/>
        </w:rPr>
        <w:t xml:space="preserve"> </w:t>
      </w:r>
      <w:r w:rsidR="002D5D17" w:rsidRPr="004635E5">
        <w:rPr>
          <w:rFonts w:eastAsiaTheme="minorEastAsia"/>
          <w:sz w:val="22"/>
          <w:szCs w:val="22"/>
          <w:lang w:eastAsia="ko-KR"/>
        </w:rPr>
        <w:t>albacore</w:t>
      </w:r>
      <w:r w:rsidR="00767630" w:rsidRPr="004635E5">
        <w:rPr>
          <w:rFonts w:eastAsiaTheme="minorEastAsia"/>
          <w:sz w:val="22"/>
          <w:szCs w:val="22"/>
          <w:lang w:eastAsia="ko-KR"/>
        </w:rPr>
        <w:t xml:space="preserve"> fisheries, </w:t>
      </w:r>
      <w:r w:rsidR="008F0F3F" w:rsidRPr="004635E5">
        <w:rPr>
          <w:rFonts w:eastAsiaTheme="minorEastAsia"/>
          <w:sz w:val="22"/>
          <w:szCs w:val="22"/>
          <w:lang w:eastAsia="ko-KR"/>
        </w:rPr>
        <w:t xml:space="preserve">and </w:t>
      </w:r>
      <w:r w:rsidR="00767630" w:rsidRPr="004635E5">
        <w:rPr>
          <w:rFonts w:eastAsiaTheme="minorEastAsia"/>
          <w:sz w:val="22"/>
          <w:szCs w:val="22"/>
          <w:lang w:eastAsia="ko-KR"/>
        </w:rPr>
        <w:t>should be cautious</w:t>
      </w:r>
      <w:r w:rsidR="008F0F3F" w:rsidRPr="004635E5">
        <w:rPr>
          <w:rFonts w:eastAsiaTheme="minorEastAsia"/>
          <w:sz w:val="22"/>
          <w:szCs w:val="22"/>
          <w:lang w:eastAsia="ko-KR"/>
        </w:rPr>
        <w:t xml:space="preserve"> </w:t>
      </w:r>
      <w:r w:rsidR="00767630" w:rsidRPr="004635E5">
        <w:rPr>
          <w:rFonts w:eastAsiaTheme="minorEastAsia"/>
          <w:sz w:val="22"/>
          <w:szCs w:val="22"/>
          <w:lang w:eastAsia="ko-KR"/>
        </w:rPr>
        <w:t xml:space="preserve">about </w:t>
      </w:r>
      <w:r w:rsidR="008962E2" w:rsidRPr="004635E5">
        <w:rPr>
          <w:rFonts w:eastAsiaTheme="minorEastAsia"/>
          <w:sz w:val="22"/>
          <w:szCs w:val="22"/>
          <w:lang w:eastAsia="ko-KR"/>
        </w:rPr>
        <w:t xml:space="preserve">the </w:t>
      </w:r>
      <w:r w:rsidR="00767630" w:rsidRPr="004635E5">
        <w:rPr>
          <w:rFonts w:eastAsiaTheme="minorEastAsia"/>
          <w:sz w:val="22"/>
          <w:szCs w:val="22"/>
          <w:lang w:eastAsia="ko-KR"/>
        </w:rPr>
        <w:t xml:space="preserve">optimistic current biological state when </w:t>
      </w:r>
      <w:r w:rsidR="008F0F3F" w:rsidRPr="004635E5">
        <w:rPr>
          <w:rFonts w:eastAsiaTheme="minorEastAsia"/>
          <w:sz w:val="22"/>
          <w:szCs w:val="22"/>
          <w:lang w:eastAsia="ko-KR"/>
        </w:rPr>
        <w:t xml:space="preserve">SC </w:t>
      </w:r>
      <w:r w:rsidR="00767630" w:rsidRPr="004635E5">
        <w:rPr>
          <w:rFonts w:eastAsiaTheme="minorEastAsia"/>
          <w:sz w:val="22"/>
          <w:szCs w:val="22"/>
          <w:lang w:eastAsia="ko-KR"/>
        </w:rPr>
        <w:t>provide</w:t>
      </w:r>
      <w:r w:rsidR="008F0F3F" w:rsidRPr="004635E5">
        <w:rPr>
          <w:rFonts w:eastAsiaTheme="minorEastAsia"/>
          <w:sz w:val="22"/>
          <w:szCs w:val="22"/>
          <w:lang w:eastAsia="ko-KR"/>
        </w:rPr>
        <w:t xml:space="preserve">s </w:t>
      </w:r>
      <w:r w:rsidR="00767630" w:rsidRPr="004635E5">
        <w:rPr>
          <w:rFonts w:eastAsiaTheme="minorEastAsia"/>
          <w:sz w:val="22"/>
          <w:szCs w:val="22"/>
          <w:lang w:eastAsia="ko-KR"/>
        </w:rPr>
        <w:t>management advice.</w:t>
      </w:r>
      <w:r w:rsidR="008F0F3F" w:rsidRPr="004635E5">
        <w:rPr>
          <w:rFonts w:eastAsiaTheme="minorEastAsia"/>
          <w:sz w:val="22"/>
          <w:szCs w:val="22"/>
          <w:lang w:eastAsia="ko-KR"/>
        </w:rPr>
        <w:t xml:space="preserve"> </w:t>
      </w:r>
    </w:p>
    <w:p w14:paraId="2DDC8A32" w14:textId="77777777" w:rsidR="00B22831" w:rsidRPr="004635E5" w:rsidRDefault="00B22831" w:rsidP="006633A8">
      <w:pPr>
        <w:autoSpaceDE w:val="0"/>
        <w:autoSpaceDN w:val="0"/>
        <w:adjustRightInd w:val="0"/>
        <w:snapToGrid w:val="0"/>
        <w:jc w:val="both"/>
        <w:rPr>
          <w:rFonts w:eastAsiaTheme="minorEastAsia"/>
          <w:sz w:val="22"/>
          <w:szCs w:val="22"/>
          <w:lang w:val="en-NZ" w:eastAsia="ko-KR"/>
        </w:rPr>
      </w:pPr>
    </w:p>
    <w:p w14:paraId="00AE7942" w14:textId="77777777" w:rsidR="009E302E" w:rsidRPr="004635E5" w:rsidRDefault="008F0F3F"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Australia noted there were many otoliths from small albacore from New Zealand and many had been aged, </w:t>
      </w:r>
      <w:r w:rsidR="008962E2" w:rsidRPr="004635E5">
        <w:rPr>
          <w:rFonts w:eastAsiaTheme="minorEastAsia"/>
          <w:sz w:val="22"/>
          <w:szCs w:val="22"/>
          <w:lang w:eastAsia="ko-KR"/>
        </w:rPr>
        <w:t xml:space="preserve">and thus </w:t>
      </w:r>
      <w:r w:rsidR="00583DC2" w:rsidRPr="004635E5">
        <w:rPr>
          <w:rFonts w:eastAsiaTheme="minorEastAsia"/>
          <w:sz w:val="22"/>
          <w:szCs w:val="22"/>
          <w:lang w:eastAsia="ko-KR"/>
        </w:rPr>
        <w:t xml:space="preserve">additional samples could be </w:t>
      </w:r>
      <w:r w:rsidRPr="004635E5">
        <w:rPr>
          <w:rFonts w:eastAsiaTheme="minorEastAsia"/>
          <w:sz w:val="22"/>
          <w:szCs w:val="22"/>
          <w:lang w:eastAsia="ko-KR"/>
        </w:rPr>
        <w:t>included in the growth curve for the next assessment.</w:t>
      </w:r>
      <w:r w:rsidR="00583DC2" w:rsidRPr="004635E5">
        <w:rPr>
          <w:rFonts w:eastAsiaTheme="minorEastAsia"/>
          <w:sz w:val="22"/>
          <w:szCs w:val="22"/>
          <w:lang w:eastAsia="ko-KR"/>
        </w:rPr>
        <w:t xml:space="preserve"> They stated that a</w:t>
      </w:r>
      <w:r w:rsidRPr="004635E5">
        <w:rPr>
          <w:rFonts w:eastAsiaTheme="minorEastAsia"/>
          <w:sz w:val="22"/>
          <w:szCs w:val="22"/>
          <w:lang w:eastAsia="ko-KR"/>
        </w:rPr>
        <w:t xml:space="preserve"> way to account for the deep-water and Pacific Islands vessels </w:t>
      </w:r>
      <w:r w:rsidR="008962E2" w:rsidRPr="004635E5">
        <w:rPr>
          <w:rFonts w:eastAsiaTheme="minorEastAsia"/>
          <w:sz w:val="22"/>
          <w:szCs w:val="22"/>
          <w:lang w:eastAsia="ko-KR"/>
        </w:rPr>
        <w:t xml:space="preserve">was </w:t>
      </w:r>
      <w:r w:rsidRPr="004635E5">
        <w:rPr>
          <w:rFonts w:eastAsiaTheme="minorEastAsia"/>
          <w:sz w:val="22"/>
          <w:szCs w:val="22"/>
          <w:lang w:eastAsia="ko-KR"/>
        </w:rPr>
        <w:t>including a flag covariate into the CPUE standardization. Also, the use of time-blocks in the CPUE standardization might allow for use of more covariates</w:t>
      </w:r>
      <w:r w:rsidR="00583DC2" w:rsidRPr="004635E5">
        <w:rPr>
          <w:rFonts w:eastAsiaTheme="minorEastAsia"/>
          <w:sz w:val="22"/>
          <w:szCs w:val="22"/>
          <w:lang w:eastAsia="ko-KR"/>
        </w:rPr>
        <w:t>,</w:t>
      </w:r>
      <w:r w:rsidRPr="004635E5">
        <w:rPr>
          <w:rFonts w:eastAsiaTheme="minorEastAsia"/>
          <w:sz w:val="22"/>
          <w:szCs w:val="22"/>
          <w:lang w:eastAsia="ko-KR"/>
        </w:rPr>
        <w:t xml:space="preserve"> when </w:t>
      </w:r>
      <w:r w:rsidR="00583DC2" w:rsidRPr="004635E5">
        <w:rPr>
          <w:rFonts w:eastAsiaTheme="minorEastAsia"/>
          <w:sz w:val="22"/>
          <w:szCs w:val="22"/>
          <w:lang w:eastAsia="ko-KR"/>
        </w:rPr>
        <w:t xml:space="preserve">these </w:t>
      </w:r>
      <w:r w:rsidRPr="004635E5">
        <w:rPr>
          <w:rFonts w:eastAsiaTheme="minorEastAsia"/>
          <w:sz w:val="22"/>
          <w:szCs w:val="22"/>
          <w:lang w:eastAsia="ko-KR"/>
        </w:rPr>
        <w:t>are available</w:t>
      </w:r>
      <w:r w:rsidR="00583DC2" w:rsidRPr="004635E5">
        <w:rPr>
          <w:rFonts w:eastAsiaTheme="minorEastAsia"/>
          <w:sz w:val="22"/>
          <w:szCs w:val="22"/>
          <w:lang w:eastAsia="ko-KR"/>
        </w:rPr>
        <w:t>.</w:t>
      </w:r>
    </w:p>
    <w:p w14:paraId="406E8B54" w14:textId="77777777" w:rsidR="00B22831" w:rsidRPr="004635E5" w:rsidRDefault="00B22831" w:rsidP="006633A8">
      <w:pPr>
        <w:autoSpaceDE w:val="0"/>
        <w:autoSpaceDN w:val="0"/>
        <w:adjustRightInd w:val="0"/>
        <w:snapToGrid w:val="0"/>
        <w:jc w:val="both"/>
        <w:rPr>
          <w:rFonts w:eastAsiaTheme="minorEastAsia"/>
          <w:sz w:val="22"/>
          <w:szCs w:val="22"/>
          <w:lang w:eastAsia="ko-KR"/>
        </w:rPr>
      </w:pPr>
    </w:p>
    <w:p w14:paraId="6BE3F1C0" w14:textId="77777777" w:rsidR="00982D84" w:rsidRPr="004635E5" w:rsidRDefault="00E77F52" w:rsidP="00580EA4">
      <w:pPr>
        <w:pStyle w:val="SC3"/>
        <w:numPr>
          <w:ilvl w:val="3"/>
          <w:numId w:val="161"/>
        </w:numPr>
        <w:spacing w:after="0"/>
        <w:rPr>
          <w:rFonts w:eastAsia="Batang"/>
        </w:rPr>
      </w:pPr>
      <w:r w:rsidRPr="004635E5">
        <w:rPr>
          <w:rFonts w:eastAsia="Batang"/>
        </w:rPr>
        <w:t>Provision of scientific information</w:t>
      </w:r>
    </w:p>
    <w:p w14:paraId="22BE4F0F" w14:textId="77777777" w:rsidR="00B22831" w:rsidRPr="004635E5" w:rsidRDefault="00B22831" w:rsidP="006633A8">
      <w:pPr>
        <w:pStyle w:val="SC3"/>
        <w:numPr>
          <w:ilvl w:val="0"/>
          <w:numId w:val="0"/>
        </w:numPr>
        <w:spacing w:after="0"/>
        <w:ind w:left="1800"/>
        <w:rPr>
          <w:rFonts w:eastAsia="Batang"/>
        </w:rPr>
      </w:pPr>
    </w:p>
    <w:p w14:paraId="79EBB31C" w14:textId="77777777" w:rsidR="006C5275" w:rsidRPr="004635E5" w:rsidRDefault="006C5275" w:rsidP="00580EA4">
      <w:pPr>
        <w:numPr>
          <w:ilvl w:val="0"/>
          <w:numId w:val="18"/>
        </w:numPr>
        <w:autoSpaceDE w:val="0"/>
        <w:autoSpaceDN w:val="0"/>
        <w:adjustRightInd w:val="0"/>
        <w:snapToGrid w:val="0"/>
        <w:ind w:left="0" w:firstLine="0"/>
        <w:jc w:val="both"/>
        <w:rPr>
          <w:rFonts w:eastAsia="Batang"/>
          <w:b/>
          <w:sz w:val="22"/>
          <w:szCs w:val="22"/>
          <w:lang w:val="en-NZ" w:eastAsia="ko-KR"/>
        </w:rPr>
      </w:pPr>
      <w:r w:rsidRPr="004635E5">
        <w:rPr>
          <w:rFonts w:eastAsiaTheme="minorEastAsia"/>
          <w:b/>
          <w:sz w:val="22"/>
          <w:szCs w:val="22"/>
          <w:lang w:eastAsia="ko-KR"/>
        </w:rPr>
        <w:t xml:space="preserve">SC14 accepted as </w:t>
      </w:r>
      <w:r w:rsidRPr="004635E5">
        <w:rPr>
          <w:rFonts w:eastAsiaTheme="minorEastAsia"/>
          <w:b/>
          <w:sz w:val="22"/>
          <w:szCs w:val="22"/>
          <w:lang w:val="en-NZ" w:eastAsia="ko-KR"/>
        </w:rPr>
        <w:t xml:space="preserve">SC14-SA-WP-05 as providing the best available scientific information </w:t>
      </w:r>
      <w:r w:rsidRPr="004635E5">
        <w:rPr>
          <w:rFonts w:eastAsiaTheme="minorEastAsia"/>
          <w:b/>
          <w:sz w:val="22"/>
          <w:szCs w:val="22"/>
          <w:lang w:eastAsia="ko-KR"/>
        </w:rPr>
        <w:t xml:space="preserve">for the purpose of stock assessment determination. </w:t>
      </w:r>
    </w:p>
    <w:p w14:paraId="62433002" w14:textId="77777777" w:rsidR="00B22831" w:rsidRPr="004635E5" w:rsidRDefault="00B22831" w:rsidP="006633A8">
      <w:pPr>
        <w:autoSpaceDE w:val="0"/>
        <w:autoSpaceDN w:val="0"/>
        <w:adjustRightInd w:val="0"/>
        <w:snapToGrid w:val="0"/>
        <w:jc w:val="both"/>
        <w:rPr>
          <w:rFonts w:eastAsia="Batang"/>
          <w:b/>
          <w:sz w:val="22"/>
          <w:szCs w:val="22"/>
          <w:lang w:val="en-NZ" w:eastAsia="ko-KR"/>
        </w:rPr>
      </w:pPr>
    </w:p>
    <w:p w14:paraId="469599DD" w14:textId="77777777" w:rsidR="00B22831" w:rsidRPr="004635E5" w:rsidRDefault="006C5275" w:rsidP="00580EA4">
      <w:pPr>
        <w:pStyle w:val="ListParagraph"/>
        <w:numPr>
          <w:ilvl w:val="5"/>
          <w:numId w:val="18"/>
        </w:numPr>
        <w:adjustRightInd w:val="0"/>
        <w:snapToGrid w:val="0"/>
        <w:ind w:left="0" w:firstLine="0"/>
        <w:jc w:val="both"/>
        <w:rPr>
          <w:rFonts w:eastAsia="Batang"/>
          <w:b/>
          <w:sz w:val="22"/>
          <w:szCs w:val="22"/>
          <w:lang w:val="en-NZ" w:eastAsia="ko-KR"/>
        </w:rPr>
      </w:pPr>
      <w:r w:rsidRPr="004635E5">
        <w:rPr>
          <w:rFonts w:eastAsia="Batang"/>
          <w:b/>
          <w:sz w:val="22"/>
          <w:szCs w:val="22"/>
          <w:lang w:val="en-NZ" w:eastAsia="ko-KR"/>
        </w:rPr>
        <w:t>Stock status</w:t>
      </w:r>
      <w:r w:rsidR="002441B4" w:rsidRPr="004635E5">
        <w:rPr>
          <w:rFonts w:eastAsia="Batang"/>
          <w:b/>
          <w:sz w:val="22"/>
          <w:szCs w:val="22"/>
          <w:lang w:val="en-NZ" w:eastAsia="ko-KR"/>
        </w:rPr>
        <w:t xml:space="preserve"> and trends</w:t>
      </w:r>
    </w:p>
    <w:p w14:paraId="743C84A8" w14:textId="77777777" w:rsidR="00B22831" w:rsidRPr="004635E5" w:rsidRDefault="00B22831" w:rsidP="006633A8">
      <w:pPr>
        <w:pStyle w:val="ListParagraph"/>
        <w:adjustRightInd w:val="0"/>
        <w:snapToGrid w:val="0"/>
        <w:jc w:val="both"/>
        <w:rPr>
          <w:rFonts w:eastAsia="Batang"/>
          <w:b/>
          <w:sz w:val="22"/>
          <w:szCs w:val="22"/>
          <w:lang w:val="en-NZ" w:eastAsia="ko-KR"/>
        </w:rPr>
      </w:pPr>
    </w:p>
    <w:p w14:paraId="50BA04E9" w14:textId="77777777" w:rsidR="001B22F5" w:rsidRPr="004E1B05" w:rsidRDefault="001B22F5" w:rsidP="00580EA4">
      <w:pPr>
        <w:numPr>
          <w:ilvl w:val="0"/>
          <w:numId w:val="18"/>
        </w:numPr>
        <w:autoSpaceDE w:val="0"/>
        <w:autoSpaceDN w:val="0"/>
        <w:adjustRightInd w:val="0"/>
        <w:snapToGrid w:val="0"/>
        <w:ind w:left="0" w:firstLine="0"/>
        <w:jc w:val="both"/>
        <w:rPr>
          <w:rFonts w:eastAsia="Batang"/>
          <w:b/>
          <w:sz w:val="22"/>
          <w:szCs w:val="22"/>
          <w:lang w:eastAsia="ko-KR"/>
        </w:rPr>
      </w:pPr>
      <w:r w:rsidRPr="004E1B05">
        <w:rPr>
          <w:rFonts w:eastAsiaTheme="minorEastAsia"/>
          <w:b/>
          <w:sz w:val="22"/>
          <w:szCs w:val="22"/>
          <w:lang w:eastAsia="ko-KR"/>
        </w:rPr>
        <w:t>The</w:t>
      </w:r>
      <w:r w:rsidRPr="004E1B05">
        <w:rPr>
          <w:rFonts w:eastAsia="Batang"/>
          <w:b/>
          <w:sz w:val="22"/>
          <w:szCs w:val="22"/>
          <w:lang w:eastAsia="ko-KR"/>
        </w:rPr>
        <w:t xml:space="preserve"> median, 10 percentile and 90 percentile values of recent (2013-2016) spawning biomass ratio (SB</w:t>
      </w:r>
      <w:r w:rsidRPr="004E1B05">
        <w:rPr>
          <w:rFonts w:eastAsia="Batang"/>
          <w:b/>
          <w:sz w:val="22"/>
          <w:szCs w:val="22"/>
          <w:vertAlign w:val="subscript"/>
          <w:lang w:eastAsia="ko-KR"/>
        </w:rPr>
        <w:t>recent</w:t>
      </w:r>
      <w:r w:rsidRPr="004E1B05">
        <w:rPr>
          <w:rFonts w:eastAsia="Batang"/>
          <w:b/>
          <w:sz w:val="22"/>
          <w:szCs w:val="22"/>
          <w:lang w:eastAsia="ko-KR"/>
        </w:rPr>
        <w:t>/ SB</w:t>
      </w:r>
      <w:r w:rsidRPr="004E1B05">
        <w:rPr>
          <w:rFonts w:eastAsia="Batang"/>
          <w:b/>
          <w:sz w:val="22"/>
          <w:szCs w:val="22"/>
          <w:vertAlign w:val="subscript"/>
          <w:lang w:eastAsia="ko-KR"/>
        </w:rPr>
        <w:t>F=0</w:t>
      </w:r>
      <w:r w:rsidRPr="004E1B05">
        <w:rPr>
          <w:rFonts w:eastAsia="Batang"/>
          <w:b/>
          <w:sz w:val="22"/>
          <w:szCs w:val="22"/>
          <w:lang w:eastAsia="ko-KR"/>
        </w:rPr>
        <w:t>) and recent fishing mortality in relation to F</w:t>
      </w:r>
      <w:r w:rsidRPr="004E1B05">
        <w:rPr>
          <w:rFonts w:eastAsia="Batang"/>
          <w:b/>
          <w:sz w:val="22"/>
          <w:szCs w:val="22"/>
          <w:vertAlign w:val="subscript"/>
          <w:lang w:eastAsia="ko-KR"/>
        </w:rPr>
        <w:t>MSY</w:t>
      </w:r>
      <w:r w:rsidRPr="004E1B05">
        <w:rPr>
          <w:rFonts w:eastAsia="Batang"/>
          <w:b/>
          <w:sz w:val="22"/>
          <w:szCs w:val="22"/>
          <w:lang w:eastAsia="ko-KR"/>
        </w:rPr>
        <w:t xml:space="preserve"> (F</w:t>
      </w:r>
      <w:r w:rsidRPr="004E1B05">
        <w:rPr>
          <w:rFonts w:eastAsia="Batang"/>
          <w:b/>
          <w:sz w:val="22"/>
          <w:szCs w:val="22"/>
          <w:vertAlign w:val="subscript"/>
          <w:lang w:eastAsia="ko-KR"/>
        </w:rPr>
        <w:t>recent</w:t>
      </w:r>
      <w:r w:rsidRPr="004E1B05">
        <w:rPr>
          <w:rFonts w:eastAsia="Batang"/>
          <w:b/>
          <w:sz w:val="22"/>
          <w:szCs w:val="22"/>
          <w:lang w:eastAsia="ko-KR"/>
        </w:rPr>
        <w:t>/F</w:t>
      </w:r>
      <w:r w:rsidRPr="004E1B05">
        <w:rPr>
          <w:rFonts w:eastAsia="Batang"/>
          <w:b/>
          <w:sz w:val="22"/>
          <w:szCs w:val="22"/>
          <w:vertAlign w:val="subscript"/>
          <w:lang w:eastAsia="ko-KR"/>
        </w:rPr>
        <w:t>MSY</w:t>
      </w:r>
      <w:r w:rsidRPr="004E1B05">
        <w:rPr>
          <w:rFonts w:eastAsia="Batang"/>
          <w:b/>
          <w:sz w:val="22"/>
          <w:szCs w:val="22"/>
          <w:lang w:eastAsia="ko-KR"/>
        </w:rPr>
        <w:t>) over the structural uncertainty grid were used to characterize uncertainty and describe the stock status.</w:t>
      </w:r>
    </w:p>
    <w:p w14:paraId="0B5B3D6F" w14:textId="77777777" w:rsidR="00B22831" w:rsidRPr="004E1B05" w:rsidRDefault="00B22831" w:rsidP="006633A8">
      <w:pPr>
        <w:autoSpaceDE w:val="0"/>
        <w:autoSpaceDN w:val="0"/>
        <w:adjustRightInd w:val="0"/>
        <w:snapToGrid w:val="0"/>
        <w:jc w:val="both"/>
        <w:rPr>
          <w:rFonts w:eastAsia="Batang"/>
          <w:b/>
          <w:sz w:val="22"/>
          <w:szCs w:val="22"/>
          <w:lang w:eastAsia="ko-KR"/>
        </w:rPr>
      </w:pPr>
    </w:p>
    <w:p w14:paraId="4650762F" w14:textId="77777777" w:rsidR="001B22F5" w:rsidRPr="004E1B05" w:rsidRDefault="001B22F5" w:rsidP="00580EA4">
      <w:pPr>
        <w:numPr>
          <w:ilvl w:val="0"/>
          <w:numId w:val="18"/>
        </w:numPr>
        <w:autoSpaceDE w:val="0"/>
        <w:autoSpaceDN w:val="0"/>
        <w:adjustRightInd w:val="0"/>
        <w:snapToGrid w:val="0"/>
        <w:ind w:left="0" w:firstLine="0"/>
        <w:jc w:val="both"/>
        <w:rPr>
          <w:rFonts w:eastAsia="Batang"/>
          <w:b/>
          <w:sz w:val="22"/>
          <w:szCs w:val="22"/>
          <w:lang w:eastAsia="ko-KR"/>
        </w:rPr>
      </w:pPr>
      <w:r w:rsidRPr="004E1B05">
        <w:rPr>
          <w:rFonts w:eastAsia="Batang"/>
          <w:b/>
          <w:sz w:val="22"/>
          <w:szCs w:val="22"/>
          <w:lang w:eastAsia="ko-KR"/>
        </w:rPr>
        <w:t>A description of the structural sensitivity grid used to characterize uncertainty in the assessment is set out in Table SPA-1. The regional structure used within the assessment is presented in Figure SPA-1, and the time series of total annual catch by fishing gear for the diagnostic case model over the full assessment period is shown in Figure SPA-2 for the total assessment region, and Figure SPA-3 by model region. Estimated annual average recruitment, spawning potential, juvenile and adult fishing mortality and fishing depletion for the diagnostic case model are shown in Figures SPA-</w:t>
      </w:r>
      <w:r w:rsidR="00CC4B66" w:rsidRPr="004E1B05">
        <w:rPr>
          <w:rFonts w:eastAsia="Batang"/>
          <w:b/>
          <w:sz w:val="22"/>
          <w:szCs w:val="22"/>
          <w:lang w:eastAsia="ko-KR"/>
        </w:rPr>
        <w:t>4</w:t>
      </w:r>
      <w:r w:rsidRPr="004E1B05">
        <w:rPr>
          <w:rFonts w:eastAsia="Batang"/>
          <w:b/>
          <w:sz w:val="22"/>
          <w:szCs w:val="22"/>
          <w:lang w:eastAsia="ko-KR"/>
        </w:rPr>
        <w:t xml:space="preserve"> – SPA-7</w:t>
      </w:r>
      <w:r w:rsidR="00A16680" w:rsidRPr="004E1B05">
        <w:rPr>
          <w:rFonts w:eastAsia="Batang"/>
          <w:b/>
          <w:sz w:val="22"/>
          <w:szCs w:val="22"/>
          <w:lang w:eastAsia="ko-KR"/>
        </w:rPr>
        <w:t xml:space="preserve">. </w:t>
      </w:r>
      <w:r w:rsidRPr="004E1B05">
        <w:rPr>
          <w:rFonts w:eastAsia="Batang"/>
          <w:b/>
          <w:sz w:val="22"/>
          <w:szCs w:val="22"/>
          <w:lang w:eastAsia="ko-KR"/>
        </w:rPr>
        <w:t>Figure SPA-8 displays Majuro plots summarising the results for each of the models in the structural uncertainty grid, while Figure SPA-9 shows equivalent Kobe plots for SB</w:t>
      </w:r>
      <w:r w:rsidRPr="004E1B05">
        <w:rPr>
          <w:rFonts w:eastAsia="Batang"/>
          <w:b/>
          <w:sz w:val="22"/>
          <w:szCs w:val="22"/>
          <w:vertAlign w:val="subscript"/>
          <w:lang w:eastAsia="ko-KR"/>
        </w:rPr>
        <w:t>recent</w:t>
      </w:r>
      <w:r w:rsidRPr="004E1B05">
        <w:rPr>
          <w:rFonts w:eastAsia="Batang"/>
          <w:b/>
          <w:sz w:val="22"/>
          <w:szCs w:val="22"/>
          <w:lang w:eastAsia="ko-KR"/>
        </w:rPr>
        <w:t xml:space="preserve"> and SB</w:t>
      </w:r>
      <w:r w:rsidRPr="004E1B05">
        <w:rPr>
          <w:rFonts w:eastAsia="Batang"/>
          <w:b/>
          <w:sz w:val="22"/>
          <w:szCs w:val="22"/>
          <w:vertAlign w:val="subscript"/>
          <w:lang w:eastAsia="ko-KR"/>
        </w:rPr>
        <w:t>latest</w:t>
      </w:r>
      <w:r w:rsidRPr="004E1B05">
        <w:rPr>
          <w:rFonts w:eastAsia="Batang"/>
          <w:b/>
          <w:sz w:val="22"/>
          <w:szCs w:val="22"/>
          <w:lang w:eastAsia="ko-KR"/>
        </w:rPr>
        <w:t xml:space="preserve"> across the structural uncertainty grid</w:t>
      </w:r>
      <w:r w:rsidR="00A16680" w:rsidRPr="004E1B05">
        <w:rPr>
          <w:rFonts w:eastAsia="Batang"/>
          <w:b/>
          <w:sz w:val="22"/>
          <w:szCs w:val="22"/>
          <w:lang w:eastAsia="ko-KR"/>
        </w:rPr>
        <w:t xml:space="preserve">. </w:t>
      </w:r>
      <w:r w:rsidRPr="004E1B05">
        <w:rPr>
          <w:rFonts w:eastAsia="Batang"/>
          <w:b/>
          <w:sz w:val="22"/>
          <w:szCs w:val="22"/>
          <w:lang w:eastAsia="ko-KR"/>
        </w:rPr>
        <w:t>Figure SPA-10 provides estimates of reduction in spawning potential due to fishing by region, and over all regions attributed to various fishery groups (gear-types) for the diagnostic case model. Table SPA-2 provides a summary of reference points over the 72 models in the structural uncertainty grid. Figure SPA-11 presents the history of the annual estimates of MSY for the diagnostic case model, compared with annual catch by the main gear types. Finally, Figure SPA-12 presents the estimated time-series (or ‘dynamic’) Kobe plots for four example models from the assessment (one from each of the combinations of growth types, and natural mortality M set to 0.3 or 0.4)</w:t>
      </w:r>
    </w:p>
    <w:p w14:paraId="17D2BF05" w14:textId="77777777" w:rsidR="00B22831" w:rsidRPr="004E1B05" w:rsidRDefault="00B22831" w:rsidP="006633A8">
      <w:pPr>
        <w:autoSpaceDE w:val="0"/>
        <w:autoSpaceDN w:val="0"/>
        <w:adjustRightInd w:val="0"/>
        <w:snapToGrid w:val="0"/>
        <w:jc w:val="both"/>
        <w:rPr>
          <w:rFonts w:eastAsia="Batang"/>
          <w:b/>
          <w:sz w:val="22"/>
          <w:szCs w:val="22"/>
          <w:lang w:eastAsia="ko-KR"/>
        </w:rPr>
      </w:pPr>
    </w:p>
    <w:p w14:paraId="0AF6E368" w14:textId="77777777" w:rsidR="001B22F5" w:rsidRPr="00CA1F9A" w:rsidRDefault="00815574" w:rsidP="00580EA4">
      <w:pPr>
        <w:numPr>
          <w:ilvl w:val="0"/>
          <w:numId w:val="18"/>
        </w:numPr>
        <w:autoSpaceDE w:val="0"/>
        <w:autoSpaceDN w:val="0"/>
        <w:adjustRightInd w:val="0"/>
        <w:snapToGrid w:val="0"/>
        <w:ind w:left="0" w:firstLine="0"/>
        <w:jc w:val="both"/>
        <w:rPr>
          <w:rFonts w:eastAsia="Batang"/>
          <w:b/>
          <w:sz w:val="22"/>
          <w:szCs w:val="22"/>
          <w:lang w:eastAsia="ko-KR"/>
        </w:rPr>
      </w:pPr>
      <w:r w:rsidRPr="004E1B05">
        <w:rPr>
          <w:rFonts w:eastAsia="Batang"/>
          <w:b/>
          <w:sz w:val="22"/>
          <w:szCs w:val="22"/>
          <w:lang w:eastAsia="ko-KR"/>
        </w:rPr>
        <w:t>SC14 noted that the median level of spawning biomass depletion from the uncertainty grid was SB</w:t>
      </w:r>
      <w:r w:rsidRPr="004E1B05">
        <w:rPr>
          <w:rFonts w:eastAsia="Batang"/>
          <w:b/>
          <w:sz w:val="22"/>
          <w:szCs w:val="22"/>
          <w:vertAlign w:val="subscript"/>
          <w:lang w:eastAsia="ko-KR"/>
        </w:rPr>
        <w:t>recent</w:t>
      </w:r>
      <w:r w:rsidRPr="004E1B05">
        <w:rPr>
          <w:rFonts w:eastAsia="Batang"/>
          <w:b/>
          <w:sz w:val="22"/>
          <w:szCs w:val="22"/>
          <w:lang w:eastAsia="ko-KR"/>
        </w:rPr>
        <w:t>/SB</w:t>
      </w:r>
      <w:r w:rsidRPr="004E1B05">
        <w:rPr>
          <w:rFonts w:eastAsia="Batang"/>
          <w:b/>
          <w:sz w:val="22"/>
          <w:szCs w:val="22"/>
          <w:vertAlign w:val="subscript"/>
          <w:lang w:eastAsia="ko-KR"/>
        </w:rPr>
        <w:t>F=0</w:t>
      </w:r>
      <w:r w:rsidRPr="004E1B05">
        <w:rPr>
          <w:rFonts w:eastAsia="Batang"/>
          <w:b/>
          <w:sz w:val="22"/>
          <w:szCs w:val="22"/>
          <w:lang w:eastAsia="ko-KR"/>
        </w:rPr>
        <w:t xml:space="preserve"> = 0.52 with a probable range of 0.37 to 0.63 (80% probability interval). There were no individual models where (SB</w:t>
      </w:r>
      <w:r w:rsidRPr="004E1B05">
        <w:rPr>
          <w:rFonts w:eastAsia="Batang"/>
          <w:b/>
          <w:sz w:val="22"/>
          <w:szCs w:val="22"/>
          <w:vertAlign w:val="subscript"/>
          <w:lang w:eastAsia="ko-KR"/>
        </w:rPr>
        <w:t>recent</w:t>
      </w:r>
      <w:r w:rsidRPr="004E1B05">
        <w:rPr>
          <w:rFonts w:eastAsia="Batang"/>
          <w:b/>
          <w:sz w:val="22"/>
          <w:szCs w:val="22"/>
          <w:lang w:eastAsia="ko-KR"/>
        </w:rPr>
        <w:t>/SB</w:t>
      </w:r>
      <w:r w:rsidRPr="004E1B05">
        <w:rPr>
          <w:rFonts w:eastAsia="Batang"/>
          <w:b/>
          <w:sz w:val="22"/>
          <w:szCs w:val="22"/>
          <w:vertAlign w:val="subscript"/>
          <w:lang w:eastAsia="ko-KR"/>
        </w:rPr>
        <w:t>F=0</w:t>
      </w:r>
      <w:r w:rsidRPr="004E1B05">
        <w:rPr>
          <w:rFonts w:eastAsia="Batang"/>
          <w:b/>
          <w:sz w:val="22"/>
          <w:szCs w:val="22"/>
          <w:lang w:eastAsia="ko-KR"/>
        </w:rPr>
        <w:t>) &lt; 0.2 which indicated that the probability that recent spawning biomass was below the LRP was zero.</w:t>
      </w:r>
      <w:r w:rsidR="00CA1F9A">
        <w:rPr>
          <w:rFonts w:eastAsia="Batang" w:hint="eastAsia"/>
          <w:b/>
          <w:sz w:val="22"/>
          <w:szCs w:val="22"/>
          <w:lang w:eastAsia="ko-KR"/>
        </w:rPr>
        <w:t xml:space="preserve"> </w:t>
      </w:r>
      <w:r w:rsidRPr="00CA1F9A">
        <w:rPr>
          <w:rFonts w:eastAsia="Batang"/>
          <w:b/>
          <w:sz w:val="22"/>
          <w:szCs w:val="22"/>
          <w:lang w:eastAsia="ko-KR"/>
        </w:rPr>
        <w:t>SC14 noted that the grid median F</w:t>
      </w:r>
      <w:r w:rsidRPr="00CA1F9A">
        <w:rPr>
          <w:rFonts w:eastAsia="Batang"/>
          <w:b/>
          <w:sz w:val="22"/>
          <w:szCs w:val="22"/>
          <w:vertAlign w:val="subscript"/>
          <w:lang w:eastAsia="ko-KR"/>
        </w:rPr>
        <w:t>recent</w:t>
      </w:r>
      <w:r w:rsidRPr="00CA1F9A">
        <w:rPr>
          <w:rFonts w:eastAsia="Batang"/>
          <w:b/>
          <w:sz w:val="22"/>
          <w:szCs w:val="22"/>
          <w:lang w:eastAsia="ko-KR"/>
        </w:rPr>
        <w:t>/F</w:t>
      </w:r>
      <w:r w:rsidRPr="00CA1F9A">
        <w:rPr>
          <w:rFonts w:eastAsia="Batang"/>
          <w:b/>
          <w:sz w:val="22"/>
          <w:szCs w:val="22"/>
          <w:vertAlign w:val="subscript"/>
          <w:lang w:eastAsia="ko-KR"/>
        </w:rPr>
        <w:t>MSY</w:t>
      </w:r>
      <w:r w:rsidRPr="00CA1F9A">
        <w:rPr>
          <w:rFonts w:eastAsia="Batang"/>
          <w:b/>
          <w:sz w:val="22"/>
          <w:szCs w:val="22"/>
          <w:lang w:eastAsia="ko-KR"/>
        </w:rPr>
        <w:t xml:space="preserve"> was 0.20, with a range of 0.08 to 0.41 (80% probability interval) and that no values of F</w:t>
      </w:r>
      <w:r w:rsidRPr="00CA1F9A">
        <w:rPr>
          <w:rFonts w:eastAsia="Batang"/>
          <w:b/>
          <w:sz w:val="22"/>
          <w:szCs w:val="22"/>
          <w:vertAlign w:val="subscript"/>
          <w:lang w:eastAsia="ko-KR"/>
        </w:rPr>
        <w:t>recent</w:t>
      </w:r>
      <w:r w:rsidRPr="00CA1F9A">
        <w:rPr>
          <w:rFonts w:eastAsia="Batang"/>
          <w:b/>
          <w:sz w:val="22"/>
          <w:szCs w:val="22"/>
          <w:lang w:eastAsia="ko-KR"/>
        </w:rPr>
        <w:t>/F</w:t>
      </w:r>
      <w:r w:rsidRPr="00CA1F9A">
        <w:rPr>
          <w:rFonts w:eastAsia="Batang"/>
          <w:b/>
          <w:sz w:val="22"/>
          <w:szCs w:val="22"/>
          <w:vertAlign w:val="subscript"/>
          <w:lang w:eastAsia="ko-KR"/>
        </w:rPr>
        <w:t>MSY</w:t>
      </w:r>
      <w:r w:rsidRPr="00CA1F9A">
        <w:rPr>
          <w:rFonts w:eastAsia="Batang"/>
          <w:b/>
          <w:sz w:val="22"/>
          <w:szCs w:val="22"/>
          <w:lang w:eastAsia="ko-KR"/>
        </w:rPr>
        <w:t xml:space="preserve"> in the grid exceeded 1</w:t>
      </w:r>
      <w:r w:rsidR="001B22F5" w:rsidRPr="00CA1F9A">
        <w:rPr>
          <w:rFonts w:eastAsia="Batang"/>
          <w:b/>
          <w:sz w:val="22"/>
          <w:szCs w:val="22"/>
          <w:lang w:eastAsia="ko-KR"/>
        </w:rPr>
        <w:t xml:space="preserve">. </w:t>
      </w:r>
    </w:p>
    <w:p w14:paraId="3C7ED649" w14:textId="77777777" w:rsidR="00B22831" w:rsidRPr="00CA1F9A" w:rsidRDefault="00B22831" w:rsidP="006633A8">
      <w:pPr>
        <w:autoSpaceDE w:val="0"/>
        <w:autoSpaceDN w:val="0"/>
        <w:adjustRightInd w:val="0"/>
        <w:snapToGrid w:val="0"/>
        <w:jc w:val="both"/>
        <w:rPr>
          <w:rFonts w:eastAsia="Batang"/>
          <w:b/>
          <w:sz w:val="22"/>
          <w:szCs w:val="22"/>
          <w:lang w:eastAsia="ko-KR"/>
        </w:rPr>
      </w:pPr>
    </w:p>
    <w:p w14:paraId="68EF8FA0" w14:textId="77777777" w:rsidR="001B22F5" w:rsidRPr="00CA1F9A" w:rsidRDefault="001B22F5" w:rsidP="00580EA4">
      <w:pPr>
        <w:numPr>
          <w:ilvl w:val="0"/>
          <w:numId w:val="18"/>
        </w:numPr>
        <w:autoSpaceDE w:val="0"/>
        <w:autoSpaceDN w:val="0"/>
        <w:adjustRightInd w:val="0"/>
        <w:snapToGrid w:val="0"/>
        <w:ind w:left="0" w:firstLine="0"/>
        <w:jc w:val="both"/>
        <w:rPr>
          <w:rFonts w:eastAsia="Batang"/>
          <w:b/>
          <w:sz w:val="22"/>
          <w:szCs w:val="22"/>
          <w:lang w:eastAsia="ko-KR"/>
        </w:rPr>
      </w:pPr>
      <w:r w:rsidRPr="00CA1F9A">
        <w:rPr>
          <w:rFonts w:eastAsia="Batang"/>
          <w:b/>
          <w:sz w:val="22"/>
          <w:szCs w:val="22"/>
          <w:lang w:eastAsia="ko-KR"/>
        </w:rPr>
        <w:t>SC14 also noted that there was a 0% probability (0 out of 72 models) that the recent fishing mortality had exceeded F</w:t>
      </w:r>
      <w:r w:rsidRPr="00CA1F9A">
        <w:rPr>
          <w:rFonts w:eastAsia="Batang"/>
          <w:b/>
          <w:sz w:val="22"/>
          <w:szCs w:val="22"/>
          <w:vertAlign w:val="subscript"/>
          <w:lang w:eastAsia="ko-KR"/>
        </w:rPr>
        <w:t>MSY</w:t>
      </w:r>
      <w:r w:rsidRPr="00CA1F9A">
        <w:rPr>
          <w:rFonts w:eastAsia="Batang"/>
          <w:b/>
          <w:sz w:val="22"/>
          <w:szCs w:val="22"/>
          <w:lang w:eastAsia="ko-KR"/>
        </w:rPr>
        <w:t xml:space="preserve">. </w:t>
      </w:r>
    </w:p>
    <w:p w14:paraId="4965D68D" w14:textId="77777777" w:rsidR="00B22831" w:rsidRPr="00CA1F9A" w:rsidRDefault="00B22831" w:rsidP="006633A8">
      <w:pPr>
        <w:autoSpaceDE w:val="0"/>
        <w:autoSpaceDN w:val="0"/>
        <w:adjustRightInd w:val="0"/>
        <w:snapToGrid w:val="0"/>
        <w:jc w:val="both"/>
        <w:rPr>
          <w:rFonts w:eastAsia="Batang"/>
          <w:b/>
          <w:sz w:val="22"/>
          <w:szCs w:val="22"/>
          <w:lang w:eastAsia="ko-KR"/>
        </w:rPr>
      </w:pPr>
    </w:p>
    <w:p w14:paraId="62E4A880" w14:textId="77777777" w:rsidR="001B22F5" w:rsidRPr="00CA1F9A" w:rsidRDefault="001B22F5" w:rsidP="00580EA4">
      <w:pPr>
        <w:numPr>
          <w:ilvl w:val="0"/>
          <w:numId w:val="18"/>
        </w:numPr>
        <w:autoSpaceDE w:val="0"/>
        <w:autoSpaceDN w:val="0"/>
        <w:adjustRightInd w:val="0"/>
        <w:snapToGrid w:val="0"/>
        <w:ind w:left="0" w:firstLine="0"/>
        <w:jc w:val="both"/>
        <w:rPr>
          <w:rFonts w:eastAsia="Batang"/>
          <w:b/>
          <w:sz w:val="22"/>
          <w:szCs w:val="22"/>
          <w:lang w:eastAsia="ko-KR"/>
        </w:rPr>
      </w:pPr>
      <w:r w:rsidRPr="00CA1F9A">
        <w:rPr>
          <w:rFonts w:eastAsia="Batang"/>
          <w:b/>
          <w:sz w:val="22"/>
          <w:szCs w:val="22"/>
          <w:lang w:eastAsia="ko-KR"/>
        </w:rPr>
        <w:t>SC14 noted that the structural uncertainty grid for the south Pacific albacore had changed since the 2015 assessment, with the 2018 assessment examining additional axes of uncertainty including assumptions on growth and CPUE standardization approach. As a consequence, the uncertainty identified is highe</w:t>
      </w:r>
      <w:r w:rsidR="00B22831" w:rsidRPr="00CA1F9A">
        <w:rPr>
          <w:rFonts w:eastAsia="Batang"/>
          <w:b/>
          <w:sz w:val="22"/>
          <w:szCs w:val="22"/>
          <w:lang w:eastAsia="ko-KR"/>
        </w:rPr>
        <w:t>r than in previous assessments.</w:t>
      </w:r>
    </w:p>
    <w:p w14:paraId="79212910" w14:textId="77777777" w:rsidR="00B22831" w:rsidRPr="00CA1F9A" w:rsidRDefault="00B22831" w:rsidP="006633A8">
      <w:pPr>
        <w:autoSpaceDE w:val="0"/>
        <w:autoSpaceDN w:val="0"/>
        <w:adjustRightInd w:val="0"/>
        <w:snapToGrid w:val="0"/>
        <w:jc w:val="both"/>
        <w:rPr>
          <w:rFonts w:eastAsia="Batang"/>
          <w:b/>
          <w:sz w:val="22"/>
          <w:szCs w:val="22"/>
          <w:lang w:eastAsia="ko-KR"/>
        </w:rPr>
      </w:pPr>
    </w:p>
    <w:p w14:paraId="0831409A" w14:textId="77777777" w:rsidR="001D01E1" w:rsidRPr="00CA1F9A" w:rsidRDefault="001B22F5" w:rsidP="00580EA4">
      <w:pPr>
        <w:numPr>
          <w:ilvl w:val="0"/>
          <w:numId w:val="18"/>
        </w:numPr>
        <w:autoSpaceDE w:val="0"/>
        <w:autoSpaceDN w:val="0"/>
        <w:adjustRightInd w:val="0"/>
        <w:snapToGrid w:val="0"/>
        <w:ind w:left="0" w:firstLine="0"/>
        <w:jc w:val="both"/>
        <w:rPr>
          <w:rFonts w:eastAsia="Batang"/>
          <w:b/>
          <w:sz w:val="22"/>
          <w:szCs w:val="22"/>
          <w:lang w:eastAsia="ko-KR"/>
        </w:rPr>
      </w:pPr>
      <w:r w:rsidRPr="00CA1F9A">
        <w:rPr>
          <w:rFonts w:eastAsia="Batang"/>
          <w:b/>
          <w:bCs/>
          <w:sz w:val="22"/>
          <w:szCs w:val="22"/>
          <w:lang w:eastAsia="ko-KR"/>
        </w:rPr>
        <w:t>SC14 also noted that the assessment results show that while the stock depletion (SB/SB</w:t>
      </w:r>
      <w:r w:rsidRPr="00CA1F9A">
        <w:rPr>
          <w:rFonts w:eastAsia="Batang"/>
          <w:b/>
          <w:bCs/>
          <w:sz w:val="22"/>
          <w:szCs w:val="22"/>
          <w:vertAlign w:val="subscript"/>
          <w:lang w:eastAsia="ko-KR"/>
        </w:rPr>
        <w:t>F=0</w:t>
      </w:r>
      <w:r w:rsidRPr="00CA1F9A">
        <w:rPr>
          <w:rFonts w:eastAsia="Batang"/>
          <w:b/>
          <w:bCs/>
          <w:sz w:val="22"/>
          <w:szCs w:val="22"/>
          <w:lang w:eastAsia="ko-KR"/>
        </w:rPr>
        <w:t xml:space="preserve">) has exhibited a long-term decline (Figure SPA-7) the stock is not in an overfished state and overfishing is not taking place. </w:t>
      </w:r>
    </w:p>
    <w:p w14:paraId="64881C19" w14:textId="77777777" w:rsidR="00B22831" w:rsidRPr="004635E5" w:rsidRDefault="00B22831" w:rsidP="006633A8">
      <w:pPr>
        <w:autoSpaceDE w:val="0"/>
        <w:autoSpaceDN w:val="0"/>
        <w:adjustRightInd w:val="0"/>
        <w:snapToGrid w:val="0"/>
        <w:jc w:val="both"/>
        <w:rPr>
          <w:rFonts w:eastAsia="Batang"/>
          <w:sz w:val="22"/>
          <w:szCs w:val="22"/>
          <w:lang w:eastAsia="ko-KR"/>
        </w:rPr>
      </w:pPr>
    </w:p>
    <w:p w14:paraId="54AAE836" w14:textId="77777777" w:rsidR="001B22F5" w:rsidRPr="00E7671F" w:rsidRDefault="001B22F5" w:rsidP="00580EA4">
      <w:pPr>
        <w:pStyle w:val="ListParagraph"/>
        <w:numPr>
          <w:ilvl w:val="2"/>
          <w:numId w:val="149"/>
        </w:numPr>
        <w:adjustRightInd w:val="0"/>
        <w:snapToGrid w:val="0"/>
        <w:ind w:left="0" w:firstLine="0"/>
        <w:jc w:val="both"/>
        <w:rPr>
          <w:rFonts w:eastAsia="Batang"/>
          <w:b/>
          <w:sz w:val="22"/>
          <w:szCs w:val="22"/>
          <w:lang w:val="en-NZ" w:eastAsia="ko-KR"/>
        </w:rPr>
      </w:pPr>
      <w:r w:rsidRPr="00E7671F">
        <w:rPr>
          <w:rFonts w:eastAsia="Batang"/>
          <w:b/>
          <w:sz w:val="22"/>
          <w:szCs w:val="22"/>
          <w:lang w:val="en-NZ" w:eastAsia="ko-KR"/>
        </w:rPr>
        <w:t>Management Advice</w:t>
      </w:r>
      <w:r w:rsidR="00AE5E0E" w:rsidRPr="00E7671F">
        <w:rPr>
          <w:rFonts w:eastAsia="Batang"/>
          <w:b/>
          <w:sz w:val="22"/>
          <w:szCs w:val="22"/>
          <w:lang w:val="en-NZ" w:eastAsia="ko-KR"/>
        </w:rPr>
        <w:t xml:space="preserve"> and implications</w:t>
      </w:r>
    </w:p>
    <w:p w14:paraId="3B9B467F" w14:textId="77777777" w:rsidR="00B22831" w:rsidRPr="004635E5" w:rsidRDefault="00B22831" w:rsidP="006633A8">
      <w:pPr>
        <w:pStyle w:val="SCa"/>
        <w:spacing w:after="0"/>
      </w:pPr>
    </w:p>
    <w:p w14:paraId="4EEC38AC" w14:textId="77777777" w:rsidR="001D01E1" w:rsidRPr="004635E5" w:rsidRDefault="001B22F5"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w:t>
      </w:r>
      <w:r w:rsidRPr="004635E5">
        <w:rPr>
          <w:b/>
          <w:spacing w:val="-2"/>
          <w:sz w:val="22"/>
          <w:szCs w:val="22"/>
        </w:rPr>
        <w:t xml:space="preserve"> </w:t>
      </w:r>
      <w:r w:rsidRPr="004635E5">
        <w:rPr>
          <w:b/>
          <w:sz w:val="22"/>
          <w:szCs w:val="22"/>
        </w:rPr>
        <w:t>noted</w:t>
      </w:r>
      <w:r w:rsidRPr="004635E5">
        <w:rPr>
          <w:b/>
          <w:spacing w:val="-4"/>
          <w:sz w:val="22"/>
          <w:szCs w:val="22"/>
        </w:rPr>
        <w:t xml:space="preserve"> </w:t>
      </w:r>
      <w:r w:rsidRPr="004635E5">
        <w:rPr>
          <w:b/>
          <w:sz w:val="22"/>
          <w:szCs w:val="22"/>
        </w:rPr>
        <w:t>that</w:t>
      </w:r>
      <w:r w:rsidRPr="004635E5">
        <w:rPr>
          <w:b/>
          <w:spacing w:val="-5"/>
          <w:sz w:val="22"/>
          <w:szCs w:val="22"/>
        </w:rPr>
        <w:t xml:space="preserve"> </w:t>
      </w:r>
      <w:r w:rsidRPr="004635E5">
        <w:rPr>
          <w:b/>
          <w:sz w:val="22"/>
          <w:szCs w:val="22"/>
        </w:rPr>
        <w:t>the</w:t>
      </w:r>
      <w:r w:rsidRPr="004635E5">
        <w:rPr>
          <w:b/>
          <w:spacing w:val="-3"/>
          <w:sz w:val="22"/>
          <w:szCs w:val="22"/>
        </w:rPr>
        <w:t xml:space="preserve"> </w:t>
      </w:r>
      <w:r w:rsidRPr="004635E5">
        <w:rPr>
          <w:b/>
          <w:sz w:val="22"/>
          <w:szCs w:val="22"/>
        </w:rPr>
        <w:t>preliminary</w:t>
      </w:r>
      <w:r w:rsidRPr="004635E5">
        <w:rPr>
          <w:b/>
          <w:spacing w:val="-4"/>
          <w:sz w:val="22"/>
          <w:szCs w:val="22"/>
        </w:rPr>
        <w:t xml:space="preserve"> </w:t>
      </w:r>
      <w:r w:rsidRPr="004635E5">
        <w:rPr>
          <w:b/>
          <w:sz w:val="22"/>
          <w:szCs w:val="22"/>
        </w:rPr>
        <w:t>estimate</w:t>
      </w:r>
      <w:r w:rsidRPr="004635E5">
        <w:rPr>
          <w:b/>
          <w:spacing w:val="-3"/>
          <w:sz w:val="22"/>
          <w:szCs w:val="22"/>
        </w:rPr>
        <w:t xml:space="preserve"> </w:t>
      </w:r>
      <w:r w:rsidRPr="004635E5">
        <w:rPr>
          <w:b/>
          <w:sz w:val="22"/>
          <w:szCs w:val="22"/>
        </w:rPr>
        <w:t>of</w:t>
      </w:r>
      <w:r w:rsidRPr="004635E5">
        <w:rPr>
          <w:b/>
          <w:spacing w:val="-3"/>
          <w:sz w:val="22"/>
          <w:szCs w:val="22"/>
        </w:rPr>
        <w:t xml:space="preserve"> </w:t>
      </w:r>
      <w:r w:rsidRPr="004635E5">
        <w:rPr>
          <w:b/>
          <w:sz w:val="22"/>
          <w:szCs w:val="22"/>
        </w:rPr>
        <w:t>total</w:t>
      </w:r>
      <w:r w:rsidRPr="004635E5">
        <w:rPr>
          <w:b/>
          <w:spacing w:val="-4"/>
          <w:sz w:val="22"/>
          <w:szCs w:val="22"/>
        </w:rPr>
        <w:t xml:space="preserve"> </w:t>
      </w:r>
      <w:r w:rsidRPr="004635E5">
        <w:rPr>
          <w:b/>
          <w:sz w:val="22"/>
          <w:szCs w:val="22"/>
        </w:rPr>
        <w:t>catch</w:t>
      </w:r>
      <w:r w:rsidRPr="004635E5">
        <w:rPr>
          <w:b/>
          <w:spacing w:val="-4"/>
          <w:sz w:val="22"/>
          <w:szCs w:val="22"/>
        </w:rPr>
        <w:t xml:space="preserve"> </w:t>
      </w:r>
      <w:r w:rsidRPr="004635E5">
        <w:rPr>
          <w:b/>
          <w:sz w:val="22"/>
          <w:szCs w:val="22"/>
        </w:rPr>
        <w:t>of</w:t>
      </w:r>
      <w:r w:rsidRPr="004635E5">
        <w:rPr>
          <w:b/>
          <w:spacing w:val="-3"/>
          <w:sz w:val="22"/>
          <w:szCs w:val="22"/>
        </w:rPr>
        <w:t xml:space="preserve"> </w:t>
      </w:r>
      <w:r w:rsidRPr="004635E5">
        <w:rPr>
          <w:b/>
          <w:sz w:val="22"/>
          <w:szCs w:val="22"/>
        </w:rPr>
        <w:t>south</w:t>
      </w:r>
      <w:r w:rsidRPr="004635E5">
        <w:rPr>
          <w:b/>
          <w:spacing w:val="-4"/>
          <w:sz w:val="22"/>
          <w:szCs w:val="22"/>
        </w:rPr>
        <w:t xml:space="preserve"> </w:t>
      </w:r>
      <w:r w:rsidRPr="004635E5">
        <w:rPr>
          <w:b/>
          <w:sz w:val="22"/>
          <w:szCs w:val="22"/>
        </w:rPr>
        <w:t>Pacific</w:t>
      </w:r>
      <w:r w:rsidRPr="004635E5">
        <w:rPr>
          <w:b/>
          <w:spacing w:val="-2"/>
          <w:sz w:val="22"/>
          <w:szCs w:val="22"/>
        </w:rPr>
        <w:t xml:space="preserve"> </w:t>
      </w:r>
      <w:r w:rsidRPr="004635E5">
        <w:rPr>
          <w:b/>
          <w:sz w:val="22"/>
          <w:szCs w:val="22"/>
        </w:rPr>
        <w:t>albacore</w:t>
      </w:r>
      <w:r w:rsidRPr="004635E5">
        <w:rPr>
          <w:b/>
          <w:spacing w:val="-3"/>
          <w:sz w:val="22"/>
          <w:szCs w:val="22"/>
        </w:rPr>
        <w:t xml:space="preserve"> </w:t>
      </w:r>
      <w:r w:rsidRPr="004635E5">
        <w:rPr>
          <w:b/>
          <w:sz w:val="22"/>
          <w:szCs w:val="22"/>
        </w:rPr>
        <w:t>(within</w:t>
      </w:r>
      <w:r w:rsidRPr="004635E5">
        <w:rPr>
          <w:b/>
          <w:spacing w:val="-6"/>
          <w:sz w:val="22"/>
          <w:szCs w:val="22"/>
        </w:rPr>
        <w:t xml:space="preserve"> </w:t>
      </w:r>
      <w:r w:rsidRPr="004635E5">
        <w:rPr>
          <w:b/>
          <w:sz w:val="22"/>
          <w:szCs w:val="22"/>
        </w:rPr>
        <w:t xml:space="preserve">the WCPFC Convention Area south of the equator) for 2017 was 75,707mt, which was a 33% increase from 2016 and a 13% increase over 2012-2016. (see </w:t>
      </w:r>
      <w:r w:rsidRPr="004635E5">
        <w:rPr>
          <w:b/>
          <w:spacing w:val="-29"/>
          <w:sz w:val="22"/>
          <w:szCs w:val="22"/>
        </w:rPr>
        <w:t xml:space="preserve"> </w:t>
      </w:r>
      <w:r w:rsidRPr="004635E5">
        <w:rPr>
          <w:b/>
          <w:sz w:val="22"/>
          <w:szCs w:val="22"/>
        </w:rPr>
        <w:t xml:space="preserve">SC14-SA-WP-02). </w:t>
      </w:r>
    </w:p>
    <w:p w14:paraId="574703B6" w14:textId="77777777" w:rsidR="00B22831" w:rsidRPr="004635E5" w:rsidRDefault="00B22831" w:rsidP="006633A8">
      <w:pPr>
        <w:autoSpaceDE w:val="0"/>
        <w:autoSpaceDN w:val="0"/>
        <w:adjustRightInd w:val="0"/>
        <w:snapToGrid w:val="0"/>
        <w:jc w:val="both"/>
        <w:rPr>
          <w:b/>
          <w:sz w:val="22"/>
          <w:szCs w:val="22"/>
        </w:rPr>
      </w:pPr>
    </w:p>
    <w:p w14:paraId="5A66462A" w14:textId="77777777" w:rsidR="001D01E1" w:rsidRPr="004635E5" w:rsidRDefault="001B22F5" w:rsidP="00580EA4">
      <w:pPr>
        <w:numPr>
          <w:ilvl w:val="0"/>
          <w:numId w:val="18"/>
        </w:numPr>
        <w:autoSpaceDE w:val="0"/>
        <w:autoSpaceDN w:val="0"/>
        <w:adjustRightInd w:val="0"/>
        <w:snapToGrid w:val="0"/>
        <w:ind w:left="0" w:firstLine="0"/>
        <w:jc w:val="both"/>
        <w:rPr>
          <w:b/>
          <w:sz w:val="22"/>
          <w:szCs w:val="22"/>
        </w:rPr>
      </w:pPr>
      <w:r w:rsidRPr="004635E5">
        <w:rPr>
          <w:b/>
          <w:sz w:val="22"/>
          <w:szCs w:val="22"/>
        </w:rPr>
        <w:t xml:space="preserve">Preliminary catch for longliners in 2017 (72,785mt) was 34% higher compared with 2016 and a 14% increase over 2012-2016. Preliminary other gear (primarily troll) catch in 2017 (2,896t) was 17% higher compared with 2016 but a 1% decrease over 2012-2016. (see SC14-SA-WP-02). </w:t>
      </w:r>
    </w:p>
    <w:p w14:paraId="209EAC6D" w14:textId="77777777" w:rsidR="00B22831" w:rsidRPr="004635E5" w:rsidRDefault="00B22831" w:rsidP="006633A8">
      <w:pPr>
        <w:autoSpaceDE w:val="0"/>
        <w:autoSpaceDN w:val="0"/>
        <w:adjustRightInd w:val="0"/>
        <w:snapToGrid w:val="0"/>
        <w:jc w:val="both"/>
        <w:rPr>
          <w:b/>
          <w:sz w:val="22"/>
          <w:szCs w:val="22"/>
        </w:rPr>
      </w:pPr>
    </w:p>
    <w:p w14:paraId="02498C0C" w14:textId="77777777" w:rsidR="001D01E1" w:rsidRPr="004635E5" w:rsidRDefault="001B22F5" w:rsidP="00580EA4">
      <w:pPr>
        <w:numPr>
          <w:ilvl w:val="0"/>
          <w:numId w:val="18"/>
        </w:numPr>
        <w:autoSpaceDE w:val="0"/>
        <w:autoSpaceDN w:val="0"/>
        <w:adjustRightInd w:val="0"/>
        <w:snapToGrid w:val="0"/>
        <w:ind w:left="0" w:firstLine="0"/>
        <w:jc w:val="both"/>
        <w:rPr>
          <w:b/>
          <w:sz w:val="22"/>
          <w:szCs w:val="22"/>
        </w:rPr>
      </w:pPr>
      <w:r w:rsidRPr="004635E5">
        <w:rPr>
          <w:b/>
          <w:sz w:val="22"/>
          <w:szCs w:val="22"/>
        </w:rPr>
        <w:t>Based</w:t>
      </w:r>
      <w:r w:rsidRPr="004635E5">
        <w:rPr>
          <w:b/>
          <w:spacing w:val="-4"/>
          <w:sz w:val="22"/>
          <w:szCs w:val="22"/>
        </w:rPr>
        <w:t xml:space="preserve"> </w:t>
      </w:r>
      <w:r w:rsidRPr="004635E5">
        <w:rPr>
          <w:b/>
          <w:sz w:val="22"/>
          <w:szCs w:val="22"/>
        </w:rPr>
        <w:t>on</w:t>
      </w:r>
      <w:r w:rsidRPr="004635E5">
        <w:rPr>
          <w:b/>
          <w:spacing w:val="-6"/>
          <w:sz w:val="22"/>
          <w:szCs w:val="22"/>
        </w:rPr>
        <w:t xml:space="preserve"> </w:t>
      </w:r>
      <w:r w:rsidRPr="004635E5">
        <w:rPr>
          <w:b/>
          <w:sz w:val="22"/>
          <w:szCs w:val="22"/>
        </w:rPr>
        <w:t>the</w:t>
      </w:r>
      <w:r w:rsidRPr="004635E5">
        <w:rPr>
          <w:b/>
          <w:spacing w:val="-5"/>
          <w:sz w:val="22"/>
          <w:szCs w:val="22"/>
        </w:rPr>
        <w:t xml:space="preserve"> </w:t>
      </w:r>
      <w:r w:rsidRPr="004635E5">
        <w:rPr>
          <w:b/>
          <w:sz w:val="22"/>
          <w:szCs w:val="22"/>
        </w:rPr>
        <w:t>uncertainty</w:t>
      </w:r>
      <w:r w:rsidRPr="004635E5">
        <w:rPr>
          <w:b/>
          <w:spacing w:val="-6"/>
          <w:sz w:val="22"/>
          <w:szCs w:val="22"/>
        </w:rPr>
        <w:t xml:space="preserve"> </w:t>
      </w:r>
      <w:r w:rsidRPr="004635E5">
        <w:rPr>
          <w:b/>
          <w:sz w:val="22"/>
          <w:szCs w:val="22"/>
        </w:rPr>
        <w:t>grid</w:t>
      </w:r>
      <w:r w:rsidRPr="004635E5">
        <w:rPr>
          <w:b/>
          <w:spacing w:val="-6"/>
          <w:sz w:val="22"/>
          <w:szCs w:val="22"/>
        </w:rPr>
        <w:t xml:space="preserve"> </w:t>
      </w:r>
      <w:r w:rsidRPr="004635E5">
        <w:rPr>
          <w:b/>
          <w:sz w:val="22"/>
          <w:szCs w:val="22"/>
        </w:rPr>
        <w:t>adopted</w:t>
      </w:r>
      <w:r w:rsidRPr="004635E5">
        <w:rPr>
          <w:b/>
          <w:spacing w:val="-4"/>
          <w:sz w:val="22"/>
          <w:szCs w:val="22"/>
        </w:rPr>
        <w:t xml:space="preserve"> </w:t>
      </w:r>
      <w:r w:rsidRPr="004635E5">
        <w:rPr>
          <w:b/>
          <w:sz w:val="22"/>
          <w:szCs w:val="22"/>
        </w:rPr>
        <w:t>by</w:t>
      </w:r>
      <w:r w:rsidRPr="004635E5">
        <w:rPr>
          <w:b/>
          <w:spacing w:val="-6"/>
          <w:sz w:val="22"/>
          <w:szCs w:val="22"/>
        </w:rPr>
        <w:t xml:space="preserve"> </w:t>
      </w:r>
      <w:r w:rsidRPr="004635E5">
        <w:rPr>
          <w:b/>
          <w:sz w:val="22"/>
          <w:szCs w:val="22"/>
        </w:rPr>
        <w:t>SC14,</w:t>
      </w:r>
      <w:r w:rsidRPr="004635E5">
        <w:rPr>
          <w:b/>
          <w:spacing w:val="-6"/>
          <w:sz w:val="22"/>
          <w:szCs w:val="22"/>
        </w:rPr>
        <w:t xml:space="preserve"> </w:t>
      </w:r>
      <w:r w:rsidRPr="004635E5">
        <w:rPr>
          <w:b/>
          <w:sz w:val="22"/>
          <w:szCs w:val="22"/>
        </w:rPr>
        <w:t>the</w:t>
      </w:r>
      <w:r w:rsidRPr="004635E5">
        <w:rPr>
          <w:b/>
          <w:spacing w:val="-5"/>
          <w:sz w:val="22"/>
          <w:szCs w:val="22"/>
        </w:rPr>
        <w:t xml:space="preserve"> </w:t>
      </w:r>
      <w:r w:rsidR="001F0D3D">
        <w:rPr>
          <w:rFonts w:eastAsiaTheme="minorEastAsia" w:hint="eastAsia"/>
          <w:b/>
          <w:sz w:val="22"/>
          <w:szCs w:val="22"/>
          <w:lang w:eastAsia="ko-KR"/>
        </w:rPr>
        <w:t>South Pacific</w:t>
      </w:r>
      <w:r w:rsidR="001F0D3D" w:rsidRPr="004635E5">
        <w:rPr>
          <w:b/>
          <w:spacing w:val="-4"/>
          <w:sz w:val="22"/>
          <w:szCs w:val="22"/>
        </w:rPr>
        <w:t xml:space="preserve"> </w:t>
      </w:r>
      <w:r w:rsidRPr="004635E5">
        <w:rPr>
          <w:b/>
          <w:sz w:val="22"/>
          <w:szCs w:val="22"/>
        </w:rPr>
        <w:t>albacore</w:t>
      </w:r>
      <w:r w:rsidRPr="004635E5">
        <w:rPr>
          <w:b/>
          <w:spacing w:val="-5"/>
          <w:sz w:val="22"/>
          <w:szCs w:val="22"/>
        </w:rPr>
        <w:t xml:space="preserve"> </w:t>
      </w:r>
      <w:r w:rsidRPr="004635E5">
        <w:rPr>
          <w:b/>
          <w:sz w:val="22"/>
          <w:szCs w:val="22"/>
        </w:rPr>
        <w:t>tuna</w:t>
      </w:r>
      <w:r w:rsidRPr="004635E5">
        <w:rPr>
          <w:b/>
          <w:spacing w:val="-6"/>
          <w:sz w:val="22"/>
          <w:szCs w:val="22"/>
        </w:rPr>
        <w:t xml:space="preserve"> </w:t>
      </w:r>
      <w:r w:rsidRPr="004635E5">
        <w:rPr>
          <w:b/>
          <w:sz w:val="22"/>
          <w:szCs w:val="22"/>
        </w:rPr>
        <w:t>spawning</w:t>
      </w:r>
      <w:r w:rsidRPr="004635E5">
        <w:rPr>
          <w:b/>
          <w:spacing w:val="-4"/>
          <w:sz w:val="22"/>
          <w:szCs w:val="22"/>
        </w:rPr>
        <w:t xml:space="preserve"> </w:t>
      </w:r>
      <w:r w:rsidRPr="004635E5">
        <w:rPr>
          <w:b/>
          <w:sz w:val="22"/>
          <w:szCs w:val="22"/>
        </w:rPr>
        <w:t>biomass</w:t>
      </w:r>
      <w:r w:rsidRPr="004635E5">
        <w:rPr>
          <w:b/>
          <w:spacing w:val="-5"/>
          <w:sz w:val="22"/>
          <w:szCs w:val="22"/>
        </w:rPr>
        <w:t xml:space="preserve"> </w:t>
      </w:r>
      <w:r w:rsidRPr="004635E5">
        <w:rPr>
          <w:b/>
          <w:sz w:val="22"/>
          <w:szCs w:val="22"/>
        </w:rPr>
        <w:t xml:space="preserve">is very </w:t>
      </w:r>
      <w:r w:rsidRPr="004635E5">
        <w:rPr>
          <w:b/>
          <w:position w:val="2"/>
          <w:sz w:val="22"/>
          <w:szCs w:val="22"/>
        </w:rPr>
        <w:t>likely to be above the biomass LRP and recent F is very likely below F</w:t>
      </w:r>
      <w:r w:rsidRPr="002C00C7">
        <w:rPr>
          <w:b/>
          <w:sz w:val="22"/>
          <w:szCs w:val="22"/>
          <w:vertAlign w:val="subscript"/>
        </w:rPr>
        <w:t>MSY</w:t>
      </w:r>
      <w:r w:rsidRPr="004635E5">
        <w:rPr>
          <w:b/>
          <w:position w:val="2"/>
          <w:sz w:val="22"/>
          <w:szCs w:val="22"/>
        </w:rPr>
        <w:t xml:space="preserve">, and therefore </w:t>
      </w:r>
      <w:r w:rsidRPr="004635E5">
        <w:rPr>
          <w:b/>
          <w:sz w:val="22"/>
          <w:szCs w:val="22"/>
        </w:rPr>
        <w:t>the</w:t>
      </w:r>
      <w:r w:rsidRPr="004635E5">
        <w:rPr>
          <w:b/>
          <w:spacing w:val="-10"/>
          <w:sz w:val="22"/>
          <w:szCs w:val="22"/>
        </w:rPr>
        <w:t xml:space="preserve"> </w:t>
      </w:r>
      <w:r w:rsidRPr="004635E5">
        <w:rPr>
          <w:b/>
          <w:sz w:val="22"/>
          <w:szCs w:val="22"/>
        </w:rPr>
        <w:t>stock</w:t>
      </w:r>
      <w:r w:rsidRPr="004635E5">
        <w:rPr>
          <w:b/>
          <w:spacing w:val="-8"/>
          <w:sz w:val="22"/>
          <w:szCs w:val="22"/>
        </w:rPr>
        <w:t xml:space="preserve"> </w:t>
      </w:r>
      <w:r w:rsidRPr="004635E5">
        <w:rPr>
          <w:b/>
          <w:sz w:val="22"/>
          <w:szCs w:val="22"/>
        </w:rPr>
        <w:t>is</w:t>
      </w:r>
      <w:r w:rsidRPr="004635E5">
        <w:rPr>
          <w:b/>
          <w:spacing w:val="-8"/>
          <w:sz w:val="22"/>
          <w:szCs w:val="22"/>
        </w:rPr>
        <w:t xml:space="preserve"> </w:t>
      </w:r>
      <w:r w:rsidRPr="004635E5">
        <w:rPr>
          <w:b/>
          <w:sz w:val="22"/>
          <w:szCs w:val="22"/>
        </w:rPr>
        <w:t>not</w:t>
      </w:r>
      <w:r w:rsidRPr="004635E5">
        <w:rPr>
          <w:b/>
          <w:spacing w:val="-10"/>
          <w:sz w:val="22"/>
          <w:szCs w:val="22"/>
        </w:rPr>
        <w:t xml:space="preserve"> </w:t>
      </w:r>
      <w:r w:rsidRPr="004635E5">
        <w:rPr>
          <w:b/>
          <w:sz w:val="22"/>
          <w:szCs w:val="22"/>
        </w:rPr>
        <w:t>experiencing</w:t>
      </w:r>
      <w:r w:rsidRPr="004635E5">
        <w:rPr>
          <w:b/>
          <w:spacing w:val="-11"/>
          <w:sz w:val="22"/>
          <w:szCs w:val="22"/>
        </w:rPr>
        <w:t xml:space="preserve"> </w:t>
      </w:r>
      <w:r w:rsidRPr="004635E5">
        <w:rPr>
          <w:b/>
          <w:sz w:val="22"/>
          <w:szCs w:val="22"/>
        </w:rPr>
        <w:t>overfishing</w:t>
      </w:r>
      <w:r w:rsidRPr="004635E5">
        <w:rPr>
          <w:b/>
          <w:spacing w:val="-11"/>
          <w:sz w:val="22"/>
          <w:szCs w:val="22"/>
        </w:rPr>
        <w:t xml:space="preserve"> </w:t>
      </w:r>
      <w:r w:rsidRPr="004635E5">
        <w:rPr>
          <w:b/>
          <w:sz w:val="22"/>
          <w:szCs w:val="22"/>
        </w:rPr>
        <w:t>(100%</w:t>
      </w:r>
      <w:r w:rsidRPr="004635E5">
        <w:rPr>
          <w:b/>
          <w:spacing w:val="-26"/>
          <w:sz w:val="22"/>
          <w:szCs w:val="22"/>
        </w:rPr>
        <w:t xml:space="preserve"> </w:t>
      </w:r>
      <w:r w:rsidRPr="004635E5">
        <w:rPr>
          <w:b/>
          <w:sz w:val="22"/>
          <w:szCs w:val="22"/>
        </w:rPr>
        <w:t>probability F &lt; F</w:t>
      </w:r>
      <w:r w:rsidRPr="004635E5">
        <w:rPr>
          <w:b/>
          <w:sz w:val="22"/>
          <w:szCs w:val="22"/>
          <w:vertAlign w:val="subscript"/>
        </w:rPr>
        <w:t>MSY</w:t>
      </w:r>
      <w:r w:rsidRPr="004635E5">
        <w:rPr>
          <w:b/>
          <w:sz w:val="22"/>
          <w:szCs w:val="22"/>
        </w:rPr>
        <w:t>) and is not in an overfished condition (100% probability SB</w:t>
      </w:r>
      <w:r w:rsidRPr="004635E5">
        <w:rPr>
          <w:b/>
          <w:sz w:val="22"/>
          <w:szCs w:val="22"/>
          <w:vertAlign w:val="subscript"/>
        </w:rPr>
        <w:t>recent</w:t>
      </w:r>
      <w:r w:rsidRPr="004635E5">
        <w:rPr>
          <w:b/>
          <w:sz w:val="22"/>
          <w:szCs w:val="22"/>
        </w:rPr>
        <w:t xml:space="preserve"> &gt; LRP). </w:t>
      </w:r>
    </w:p>
    <w:p w14:paraId="5A8E4F8C" w14:textId="77777777" w:rsidR="001D01E1" w:rsidRPr="004635E5" w:rsidRDefault="001D01E1" w:rsidP="006633A8">
      <w:pPr>
        <w:autoSpaceDE w:val="0"/>
        <w:autoSpaceDN w:val="0"/>
        <w:adjustRightInd w:val="0"/>
        <w:snapToGrid w:val="0"/>
        <w:jc w:val="both"/>
        <w:rPr>
          <w:b/>
          <w:sz w:val="22"/>
          <w:szCs w:val="22"/>
        </w:rPr>
      </w:pPr>
    </w:p>
    <w:p w14:paraId="208E87A1" w14:textId="77777777" w:rsidR="001B22F5" w:rsidRPr="004635E5" w:rsidRDefault="001B22F5"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recalled its previous advice from SC11, SC12, and SC13 that longline fishing mortality and longline catch be reduced to avoid decline in the vulnerable biomass so that economically viable catch rates can be maintained, especially for longline catch of adult</w:t>
      </w:r>
      <w:r w:rsidRPr="004635E5">
        <w:rPr>
          <w:b/>
          <w:spacing w:val="-3"/>
          <w:sz w:val="22"/>
          <w:szCs w:val="22"/>
        </w:rPr>
        <w:t xml:space="preserve"> </w:t>
      </w:r>
      <w:r w:rsidRPr="004635E5">
        <w:rPr>
          <w:b/>
          <w:sz w:val="22"/>
          <w:szCs w:val="22"/>
        </w:rPr>
        <w:t>albacore.</w:t>
      </w:r>
      <w:r w:rsidRPr="004635E5">
        <w:rPr>
          <w:b/>
          <w:spacing w:val="-4"/>
          <w:sz w:val="22"/>
          <w:szCs w:val="22"/>
        </w:rPr>
        <w:t xml:space="preserve"> </w:t>
      </w:r>
      <w:r w:rsidRPr="004635E5">
        <w:rPr>
          <w:b/>
          <w:sz w:val="22"/>
          <w:szCs w:val="22"/>
        </w:rPr>
        <w:t>SC14</w:t>
      </w:r>
      <w:r w:rsidRPr="004635E5">
        <w:rPr>
          <w:b/>
          <w:spacing w:val="-2"/>
          <w:sz w:val="22"/>
          <w:szCs w:val="22"/>
        </w:rPr>
        <w:t xml:space="preserve"> </w:t>
      </w:r>
      <w:r w:rsidRPr="004635E5">
        <w:rPr>
          <w:b/>
          <w:sz w:val="22"/>
          <w:szCs w:val="22"/>
        </w:rPr>
        <w:t>recommends</w:t>
      </w:r>
      <w:r w:rsidRPr="004635E5">
        <w:rPr>
          <w:b/>
          <w:spacing w:val="-2"/>
          <w:sz w:val="22"/>
          <w:szCs w:val="22"/>
        </w:rPr>
        <w:t xml:space="preserve"> </w:t>
      </w:r>
      <w:r w:rsidRPr="004635E5">
        <w:rPr>
          <w:b/>
          <w:sz w:val="22"/>
          <w:szCs w:val="22"/>
        </w:rPr>
        <w:t>that</w:t>
      </w:r>
      <w:r w:rsidRPr="004635E5">
        <w:rPr>
          <w:b/>
          <w:spacing w:val="-3"/>
          <w:sz w:val="22"/>
          <w:szCs w:val="22"/>
        </w:rPr>
        <w:t xml:space="preserve"> </w:t>
      </w:r>
      <w:r w:rsidRPr="004635E5">
        <w:rPr>
          <w:b/>
          <w:sz w:val="22"/>
          <w:szCs w:val="22"/>
        </w:rPr>
        <w:t>this</w:t>
      </w:r>
      <w:r w:rsidRPr="004635E5">
        <w:rPr>
          <w:b/>
          <w:spacing w:val="-2"/>
          <w:sz w:val="22"/>
          <w:szCs w:val="22"/>
        </w:rPr>
        <w:t xml:space="preserve"> </w:t>
      </w:r>
      <w:r w:rsidRPr="004635E5">
        <w:rPr>
          <w:b/>
          <w:sz w:val="22"/>
          <w:szCs w:val="22"/>
        </w:rPr>
        <w:t>advice</w:t>
      </w:r>
      <w:r w:rsidRPr="004635E5">
        <w:rPr>
          <w:b/>
          <w:spacing w:val="-3"/>
          <w:sz w:val="22"/>
          <w:szCs w:val="22"/>
        </w:rPr>
        <w:t xml:space="preserve"> </w:t>
      </w:r>
      <w:r w:rsidRPr="004635E5">
        <w:rPr>
          <w:b/>
          <w:sz w:val="22"/>
          <w:szCs w:val="22"/>
        </w:rPr>
        <w:t>be</w:t>
      </w:r>
      <w:r w:rsidRPr="004635E5">
        <w:rPr>
          <w:b/>
          <w:spacing w:val="-3"/>
          <w:sz w:val="22"/>
          <w:szCs w:val="22"/>
        </w:rPr>
        <w:t xml:space="preserve"> </w:t>
      </w:r>
      <w:r w:rsidRPr="004635E5">
        <w:rPr>
          <w:b/>
          <w:sz w:val="22"/>
          <w:szCs w:val="22"/>
        </w:rPr>
        <w:t>taken</w:t>
      </w:r>
      <w:r w:rsidRPr="004635E5">
        <w:rPr>
          <w:b/>
          <w:spacing w:val="-4"/>
          <w:sz w:val="22"/>
          <w:szCs w:val="22"/>
        </w:rPr>
        <w:t xml:space="preserve"> </w:t>
      </w:r>
      <w:r w:rsidRPr="004635E5">
        <w:rPr>
          <w:b/>
          <w:sz w:val="22"/>
          <w:szCs w:val="22"/>
        </w:rPr>
        <w:t>into</w:t>
      </w:r>
      <w:r w:rsidRPr="004635E5">
        <w:rPr>
          <w:b/>
          <w:spacing w:val="-4"/>
          <w:sz w:val="22"/>
          <w:szCs w:val="22"/>
        </w:rPr>
        <w:t xml:space="preserve"> </w:t>
      </w:r>
      <w:r w:rsidRPr="004635E5">
        <w:rPr>
          <w:b/>
          <w:sz w:val="22"/>
          <w:szCs w:val="22"/>
        </w:rPr>
        <w:t>consideration</w:t>
      </w:r>
      <w:r w:rsidRPr="004635E5">
        <w:rPr>
          <w:b/>
          <w:spacing w:val="-6"/>
          <w:sz w:val="22"/>
          <w:szCs w:val="22"/>
        </w:rPr>
        <w:t xml:space="preserve"> </w:t>
      </w:r>
      <w:r w:rsidRPr="004635E5">
        <w:rPr>
          <w:b/>
          <w:sz w:val="22"/>
          <w:szCs w:val="22"/>
        </w:rPr>
        <w:t>when</w:t>
      </w:r>
      <w:r w:rsidRPr="004635E5">
        <w:rPr>
          <w:b/>
          <w:spacing w:val="-4"/>
          <w:sz w:val="22"/>
          <w:szCs w:val="22"/>
        </w:rPr>
        <w:t xml:space="preserve"> </w:t>
      </w:r>
      <w:r w:rsidRPr="004635E5">
        <w:rPr>
          <w:b/>
          <w:sz w:val="22"/>
          <w:szCs w:val="22"/>
        </w:rPr>
        <w:t>the</w:t>
      </w:r>
      <w:r w:rsidRPr="004635E5">
        <w:rPr>
          <w:b/>
          <w:spacing w:val="-3"/>
          <w:sz w:val="22"/>
          <w:szCs w:val="22"/>
        </w:rPr>
        <w:t xml:space="preserve"> </w:t>
      </w:r>
      <w:r w:rsidRPr="004635E5">
        <w:rPr>
          <w:b/>
          <w:sz w:val="22"/>
          <w:szCs w:val="22"/>
        </w:rPr>
        <w:t>TRP</w:t>
      </w:r>
      <w:r w:rsidRPr="004635E5">
        <w:rPr>
          <w:b/>
          <w:spacing w:val="-3"/>
          <w:sz w:val="22"/>
          <w:szCs w:val="22"/>
        </w:rPr>
        <w:t xml:space="preserve"> </w:t>
      </w:r>
      <w:r w:rsidRPr="004635E5">
        <w:rPr>
          <w:b/>
          <w:sz w:val="22"/>
          <w:szCs w:val="22"/>
        </w:rPr>
        <w:t>for</w:t>
      </w:r>
      <w:r w:rsidRPr="004635E5">
        <w:rPr>
          <w:b/>
          <w:spacing w:val="-2"/>
          <w:sz w:val="22"/>
          <w:szCs w:val="22"/>
        </w:rPr>
        <w:t xml:space="preserve"> </w:t>
      </w:r>
      <w:r w:rsidRPr="004635E5">
        <w:rPr>
          <w:b/>
          <w:sz w:val="22"/>
          <w:szCs w:val="22"/>
        </w:rPr>
        <w:t>South Pacific albacore is discussed at</w:t>
      </w:r>
      <w:r w:rsidRPr="004635E5">
        <w:rPr>
          <w:b/>
          <w:spacing w:val="-24"/>
          <w:sz w:val="22"/>
          <w:szCs w:val="22"/>
        </w:rPr>
        <w:t xml:space="preserve"> </w:t>
      </w:r>
      <w:r w:rsidRPr="004635E5">
        <w:rPr>
          <w:b/>
          <w:sz w:val="22"/>
          <w:szCs w:val="22"/>
        </w:rPr>
        <w:t xml:space="preserve">WCPFC15. </w:t>
      </w:r>
    </w:p>
    <w:p w14:paraId="16F5E6D6" w14:textId="77777777" w:rsidR="001D01E1" w:rsidRDefault="001D01E1" w:rsidP="006633A8">
      <w:pPr>
        <w:pStyle w:val="WCPFC"/>
        <w:numPr>
          <w:ilvl w:val="0"/>
          <w:numId w:val="0"/>
        </w:numPr>
        <w:adjustRightInd w:val="0"/>
        <w:spacing w:after="0"/>
        <w:ind w:left="360"/>
        <w:rPr>
          <w:rFonts w:cs="Times New Roman"/>
          <w:lang w:eastAsia="ko-KR"/>
        </w:rPr>
      </w:pPr>
    </w:p>
    <w:p w14:paraId="72A54DD2" w14:textId="77777777" w:rsidR="00D52A7A" w:rsidRPr="004635E5" w:rsidRDefault="00D52A7A" w:rsidP="006633A8">
      <w:pPr>
        <w:pStyle w:val="WCPFC"/>
        <w:numPr>
          <w:ilvl w:val="0"/>
          <w:numId w:val="0"/>
        </w:numPr>
        <w:adjustRightInd w:val="0"/>
        <w:spacing w:after="0"/>
        <w:ind w:left="360"/>
        <w:rPr>
          <w:rFonts w:cs="Times New Roman"/>
          <w:lang w:eastAsia="ko-KR"/>
        </w:rPr>
      </w:pPr>
    </w:p>
    <w:p w14:paraId="4AA76654" w14:textId="77777777" w:rsidR="001B22F5" w:rsidRPr="004635E5" w:rsidRDefault="001B22F5" w:rsidP="00F81EF0">
      <w:pPr>
        <w:pStyle w:val="WCPFC"/>
        <w:numPr>
          <w:ilvl w:val="0"/>
          <w:numId w:val="0"/>
        </w:numPr>
        <w:adjustRightInd w:val="0"/>
        <w:spacing w:after="0"/>
        <w:rPr>
          <w:rFonts w:cs="Times New Roman"/>
        </w:rPr>
      </w:pPr>
      <w:r w:rsidRPr="004635E5">
        <w:rPr>
          <w:rFonts w:cs="Times New Roman"/>
          <w:b/>
        </w:rPr>
        <w:t>Table SPA-1.</w:t>
      </w:r>
      <w:r w:rsidRPr="004635E5">
        <w:rPr>
          <w:rFonts w:cs="Times New Roman"/>
        </w:rPr>
        <w:t xml:space="preserve"> Description of the structural sensitivity grid used to characterize uncertainty in the 2018 south Pacific albacore assessment. Levels used within the diagnostic case are starred.</w:t>
      </w:r>
      <w:r w:rsidRPr="004635E5" w:rsidDel="00F64A7D">
        <w:rPr>
          <w:rFonts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560"/>
        <w:gridCol w:w="4955"/>
      </w:tblGrid>
      <w:tr w:rsidR="001B22F5" w:rsidRPr="004635E5" w14:paraId="5B6CEEFD" w14:textId="77777777" w:rsidTr="00AD29CD">
        <w:tc>
          <w:tcPr>
            <w:tcW w:w="2835" w:type="dxa"/>
            <w:tcBorders>
              <w:top w:val="single" w:sz="4" w:space="0" w:color="auto"/>
              <w:bottom w:val="single" w:sz="4" w:space="0" w:color="auto"/>
            </w:tcBorders>
          </w:tcPr>
          <w:p w14:paraId="130D73DE" w14:textId="77777777" w:rsidR="001B22F5" w:rsidRPr="004635E5" w:rsidRDefault="001B22F5" w:rsidP="006633A8">
            <w:pPr>
              <w:adjustRightInd w:val="0"/>
              <w:snapToGrid w:val="0"/>
              <w:spacing w:after="0"/>
              <w:rPr>
                <w:b/>
                <w:sz w:val="22"/>
                <w:szCs w:val="22"/>
              </w:rPr>
            </w:pPr>
            <w:r w:rsidRPr="004635E5">
              <w:rPr>
                <w:b/>
                <w:sz w:val="22"/>
                <w:szCs w:val="22"/>
              </w:rPr>
              <w:t>Axis</w:t>
            </w:r>
          </w:p>
        </w:tc>
        <w:tc>
          <w:tcPr>
            <w:tcW w:w="1560" w:type="dxa"/>
            <w:tcBorders>
              <w:top w:val="single" w:sz="4" w:space="0" w:color="auto"/>
              <w:bottom w:val="single" w:sz="4" w:space="0" w:color="auto"/>
            </w:tcBorders>
          </w:tcPr>
          <w:p w14:paraId="0622CCD7" w14:textId="77777777" w:rsidR="001B22F5" w:rsidRPr="004635E5" w:rsidRDefault="001B22F5" w:rsidP="006633A8">
            <w:pPr>
              <w:adjustRightInd w:val="0"/>
              <w:snapToGrid w:val="0"/>
              <w:spacing w:after="0"/>
              <w:jc w:val="center"/>
              <w:rPr>
                <w:b/>
                <w:sz w:val="22"/>
                <w:szCs w:val="22"/>
              </w:rPr>
            </w:pPr>
            <w:r w:rsidRPr="004635E5">
              <w:rPr>
                <w:b/>
                <w:sz w:val="22"/>
                <w:szCs w:val="22"/>
              </w:rPr>
              <w:t>Levels</w:t>
            </w:r>
          </w:p>
        </w:tc>
        <w:tc>
          <w:tcPr>
            <w:tcW w:w="4955" w:type="dxa"/>
            <w:tcBorders>
              <w:top w:val="single" w:sz="4" w:space="0" w:color="auto"/>
              <w:bottom w:val="single" w:sz="4" w:space="0" w:color="auto"/>
            </w:tcBorders>
          </w:tcPr>
          <w:p w14:paraId="001908A2" w14:textId="77777777" w:rsidR="001B22F5" w:rsidRPr="004635E5" w:rsidRDefault="001B22F5" w:rsidP="006633A8">
            <w:pPr>
              <w:adjustRightInd w:val="0"/>
              <w:snapToGrid w:val="0"/>
              <w:spacing w:after="0"/>
              <w:rPr>
                <w:b/>
                <w:sz w:val="22"/>
                <w:szCs w:val="22"/>
              </w:rPr>
            </w:pPr>
            <w:r w:rsidRPr="004635E5">
              <w:rPr>
                <w:b/>
                <w:sz w:val="22"/>
                <w:szCs w:val="22"/>
              </w:rPr>
              <w:t>Option</w:t>
            </w:r>
          </w:p>
        </w:tc>
      </w:tr>
      <w:tr w:rsidR="001B22F5" w:rsidRPr="004635E5" w14:paraId="2E0656BD" w14:textId="77777777" w:rsidTr="00AD29CD">
        <w:tc>
          <w:tcPr>
            <w:tcW w:w="2835" w:type="dxa"/>
            <w:tcBorders>
              <w:top w:val="single" w:sz="4" w:space="0" w:color="auto"/>
            </w:tcBorders>
          </w:tcPr>
          <w:p w14:paraId="7D194C54" w14:textId="77777777" w:rsidR="001B22F5" w:rsidRPr="004635E5" w:rsidRDefault="001B22F5" w:rsidP="006633A8">
            <w:pPr>
              <w:adjustRightInd w:val="0"/>
              <w:snapToGrid w:val="0"/>
              <w:spacing w:after="0"/>
              <w:rPr>
                <w:sz w:val="22"/>
                <w:szCs w:val="22"/>
              </w:rPr>
            </w:pPr>
            <w:r w:rsidRPr="004635E5">
              <w:rPr>
                <w:sz w:val="22"/>
                <w:szCs w:val="22"/>
              </w:rPr>
              <w:t>Steepness</w:t>
            </w:r>
          </w:p>
        </w:tc>
        <w:tc>
          <w:tcPr>
            <w:tcW w:w="1560" w:type="dxa"/>
            <w:tcBorders>
              <w:top w:val="single" w:sz="4" w:space="0" w:color="auto"/>
            </w:tcBorders>
          </w:tcPr>
          <w:p w14:paraId="4E9239FC" w14:textId="77777777" w:rsidR="001B22F5" w:rsidRPr="004635E5" w:rsidRDefault="001B22F5" w:rsidP="006633A8">
            <w:pPr>
              <w:adjustRightInd w:val="0"/>
              <w:snapToGrid w:val="0"/>
              <w:spacing w:after="0"/>
              <w:jc w:val="center"/>
              <w:rPr>
                <w:sz w:val="22"/>
                <w:szCs w:val="22"/>
              </w:rPr>
            </w:pPr>
            <w:r w:rsidRPr="004635E5">
              <w:rPr>
                <w:sz w:val="22"/>
                <w:szCs w:val="22"/>
              </w:rPr>
              <w:t>3</w:t>
            </w:r>
          </w:p>
        </w:tc>
        <w:tc>
          <w:tcPr>
            <w:tcW w:w="4955" w:type="dxa"/>
            <w:tcBorders>
              <w:top w:val="single" w:sz="4" w:space="0" w:color="auto"/>
            </w:tcBorders>
          </w:tcPr>
          <w:p w14:paraId="5AC761F8" w14:textId="77777777" w:rsidR="001B22F5" w:rsidRPr="004635E5" w:rsidRDefault="001B22F5" w:rsidP="006633A8">
            <w:pPr>
              <w:adjustRightInd w:val="0"/>
              <w:snapToGrid w:val="0"/>
              <w:spacing w:after="0"/>
              <w:rPr>
                <w:sz w:val="22"/>
                <w:szCs w:val="22"/>
              </w:rPr>
            </w:pPr>
            <w:r w:rsidRPr="004635E5">
              <w:rPr>
                <w:sz w:val="22"/>
                <w:szCs w:val="22"/>
              </w:rPr>
              <w:t>0.65, 0.80*, 0.95</w:t>
            </w:r>
          </w:p>
        </w:tc>
      </w:tr>
      <w:tr w:rsidR="001B22F5" w:rsidRPr="004635E5" w14:paraId="3DC44B32" w14:textId="77777777" w:rsidTr="00AD29CD">
        <w:tc>
          <w:tcPr>
            <w:tcW w:w="2835" w:type="dxa"/>
          </w:tcPr>
          <w:p w14:paraId="443A5CDD" w14:textId="77777777" w:rsidR="001B22F5" w:rsidRPr="004635E5" w:rsidRDefault="001B22F5" w:rsidP="006633A8">
            <w:pPr>
              <w:adjustRightInd w:val="0"/>
              <w:snapToGrid w:val="0"/>
              <w:spacing w:after="0"/>
              <w:rPr>
                <w:sz w:val="22"/>
                <w:szCs w:val="22"/>
              </w:rPr>
            </w:pPr>
            <w:r w:rsidRPr="004635E5">
              <w:rPr>
                <w:sz w:val="22"/>
                <w:szCs w:val="22"/>
              </w:rPr>
              <w:t>Natural mortality</w:t>
            </w:r>
          </w:p>
        </w:tc>
        <w:tc>
          <w:tcPr>
            <w:tcW w:w="1560" w:type="dxa"/>
          </w:tcPr>
          <w:p w14:paraId="0E0959B6" w14:textId="77777777" w:rsidR="001B22F5" w:rsidRPr="004635E5" w:rsidRDefault="001B22F5" w:rsidP="006633A8">
            <w:pPr>
              <w:adjustRightInd w:val="0"/>
              <w:snapToGrid w:val="0"/>
              <w:spacing w:after="0"/>
              <w:jc w:val="center"/>
              <w:rPr>
                <w:sz w:val="22"/>
                <w:szCs w:val="22"/>
              </w:rPr>
            </w:pPr>
            <w:r w:rsidRPr="004635E5">
              <w:rPr>
                <w:sz w:val="22"/>
                <w:szCs w:val="22"/>
              </w:rPr>
              <w:t>2</w:t>
            </w:r>
          </w:p>
        </w:tc>
        <w:tc>
          <w:tcPr>
            <w:tcW w:w="4955" w:type="dxa"/>
          </w:tcPr>
          <w:p w14:paraId="17C36347" w14:textId="77777777" w:rsidR="001B22F5" w:rsidRPr="004635E5" w:rsidRDefault="001B22F5" w:rsidP="006633A8">
            <w:pPr>
              <w:adjustRightInd w:val="0"/>
              <w:snapToGrid w:val="0"/>
              <w:spacing w:after="0"/>
              <w:rPr>
                <w:sz w:val="22"/>
                <w:szCs w:val="22"/>
              </w:rPr>
            </w:pPr>
            <w:r w:rsidRPr="004635E5">
              <w:rPr>
                <w:sz w:val="22"/>
                <w:szCs w:val="22"/>
              </w:rPr>
              <w:t>0.3*, 0.4</w:t>
            </w:r>
          </w:p>
        </w:tc>
      </w:tr>
      <w:tr w:rsidR="001B22F5" w:rsidRPr="004635E5" w14:paraId="5C7379E6" w14:textId="77777777" w:rsidTr="00AD29CD">
        <w:tc>
          <w:tcPr>
            <w:tcW w:w="2835" w:type="dxa"/>
          </w:tcPr>
          <w:p w14:paraId="2E85A40B" w14:textId="77777777" w:rsidR="001B22F5" w:rsidRPr="004635E5" w:rsidRDefault="001B22F5" w:rsidP="006633A8">
            <w:pPr>
              <w:adjustRightInd w:val="0"/>
              <w:snapToGrid w:val="0"/>
              <w:spacing w:after="0"/>
              <w:rPr>
                <w:sz w:val="22"/>
                <w:szCs w:val="22"/>
              </w:rPr>
            </w:pPr>
            <w:r w:rsidRPr="004635E5">
              <w:rPr>
                <w:sz w:val="22"/>
                <w:szCs w:val="22"/>
              </w:rPr>
              <w:t>Growth</w:t>
            </w:r>
          </w:p>
        </w:tc>
        <w:tc>
          <w:tcPr>
            <w:tcW w:w="1560" w:type="dxa"/>
          </w:tcPr>
          <w:p w14:paraId="57F2FC88" w14:textId="77777777" w:rsidR="001B22F5" w:rsidRPr="004635E5" w:rsidRDefault="001B22F5" w:rsidP="006633A8">
            <w:pPr>
              <w:adjustRightInd w:val="0"/>
              <w:snapToGrid w:val="0"/>
              <w:spacing w:after="0"/>
              <w:jc w:val="center"/>
              <w:rPr>
                <w:sz w:val="22"/>
                <w:szCs w:val="22"/>
              </w:rPr>
            </w:pPr>
            <w:r w:rsidRPr="004635E5">
              <w:rPr>
                <w:sz w:val="22"/>
                <w:szCs w:val="22"/>
              </w:rPr>
              <w:t>2</w:t>
            </w:r>
          </w:p>
        </w:tc>
        <w:tc>
          <w:tcPr>
            <w:tcW w:w="4955" w:type="dxa"/>
          </w:tcPr>
          <w:p w14:paraId="1FCED2A3" w14:textId="77777777" w:rsidR="001B22F5" w:rsidRPr="004635E5" w:rsidRDefault="001B22F5" w:rsidP="006633A8">
            <w:pPr>
              <w:adjustRightInd w:val="0"/>
              <w:snapToGrid w:val="0"/>
              <w:spacing w:after="0"/>
              <w:rPr>
                <w:sz w:val="22"/>
                <w:szCs w:val="22"/>
              </w:rPr>
            </w:pPr>
            <w:r w:rsidRPr="004635E5">
              <w:rPr>
                <w:sz w:val="22"/>
                <w:szCs w:val="22"/>
              </w:rPr>
              <w:t>Estimated* (K, L</w:t>
            </w:r>
            <w:r w:rsidRPr="004635E5">
              <w:rPr>
                <w:sz w:val="22"/>
                <w:szCs w:val="22"/>
                <w:vertAlign w:val="subscript"/>
              </w:rPr>
              <w:t>∞</w:t>
            </w:r>
            <w:r w:rsidRPr="004635E5">
              <w:rPr>
                <w:sz w:val="22"/>
                <w:szCs w:val="22"/>
              </w:rPr>
              <w:t>) or fixed (Chen-Wells)</w:t>
            </w:r>
          </w:p>
        </w:tc>
      </w:tr>
      <w:tr w:rsidR="001B22F5" w:rsidRPr="004635E5" w14:paraId="12A6681C" w14:textId="77777777" w:rsidTr="00AD29CD">
        <w:tc>
          <w:tcPr>
            <w:tcW w:w="2835" w:type="dxa"/>
          </w:tcPr>
          <w:p w14:paraId="55185FB8" w14:textId="77777777" w:rsidR="001B22F5" w:rsidRPr="004635E5" w:rsidRDefault="001B22F5" w:rsidP="006633A8">
            <w:pPr>
              <w:adjustRightInd w:val="0"/>
              <w:snapToGrid w:val="0"/>
              <w:spacing w:after="0"/>
              <w:rPr>
                <w:sz w:val="22"/>
                <w:szCs w:val="22"/>
              </w:rPr>
            </w:pPr>
            <w:r w:rsidRPr="004635E5">
              <w:rPr>
                <w:sz w:val="22"/>
                <w:szCs w:val="22"/>
              </w:rPr>
              <w:t>Size frequency weighting</w:t>
            </w:r>
          </w:p>
        </w:tc>
        <w:tc>
          <w:tcPr>
            <w:tcW w:w="1560" w:type="dxa"/>
          </w:tcPr>
          <w:p w14:paraId="231CF6A7" w14:textId="77777777" w:rsidR="001B22F5" w:rsidRPr="004635E5" w:rsidRDefault="001B22F5" w:rsidP="006633A8">
            <w:pPr>
              <w:adjustRightInd w:val="0"/>
              <w:snapToGrid w:val="0"/>
              <w:spacing w:after="0"/>
              <w:jc w:val="center"/>
              <w:rPr>
                <w:sz w:val="22"/>
                <w:szCs w:val="22"/>
              </w:rPr>
            </w:pPr>
            <w:r w:rsidRPr="004635E5">
              <w:rPr>
                <w:sz w:val="22"/>
                <w:szCs w:val="22"/>
              </w:rPr>
              <w:t>3</w:t>
            </w:r>
          </w:p>
        </w:tc>
        <w:tc>
          <w:tcPr>
            <w:tcW w:w="4955" w:type="dxa"/>
          </w:tcPr>
          <w:p w14:paraId="292F3238" w14:textId="77777777" w:rsidR="001B22F5" w:rsidRPr="004635E5" w:rsidRDefault="001B22F5" w:rsidP="006633A8">
            <w:pPr>
              <w:adjustRightInd w:val="0"/>
              <w:snapToGrid w:val="0"/>
              <w:spacing w:after="0"/>
              <w:rPr>
                <w:sz w:val="22"/>
                <w:szCs w:val="22"/>
              </w:rPr>
            </w:pPr>
            <w:r w:rsidRPr="004635E5">
              <w:rPr>
                <w:sz w:val="22"/>
                <w:szCs w:val="22"/>
              </w:rPr>
              <w:t>Sample sizes divided by 20, 50* or 80</w:t>
            </w:r>
          </w:p>
        </w:tc>
      </w:tr>
      <w:tr w:rsidR="001B22F5" w:rsidRPr="004635E5" w14:paraId="4CD96EB3" w14:textId="77777777" w:rsidTr="00AD29CD">
        <w:tc>
          <w:tcPr>
            <w:tcW w:w="2835" w:type="dxa"/>
            <w:tcBorders>
              <w:bottom w:val="single" w:sz="4" w:space="0" w:color="auto"/>
            </w:tcBorders>
          </w:tcPr>
          <w:p w14:paraId="14F4C4E1" w14:textId="77777777" w:rsidR="001B22F5" w:rsidRPr="004635E5" w:rsidRDefault="001B22F5" w:rsidP="006633A8">
            <w:pPr>
              <w:adjustRightInd w:val="0"/>
              <w:snapToGrid w:val="0"/>
              <w:spacing w:after="0"/>
              <w:rPr>
                <w:sz w:val="22"/>
                <w:szCs w:val="22"/>
              </w:rPr>
            </w:pPr>
            <w:r w:rsidRPr="004635E5">
              <w:rPr>
                <w:sz w:val="22"/>
                <w:szCs w:val="22"/>
              </w:rPr>
              <w:t>CPUE</w:t>
            </w:r>
          </w:p>
        </w:tc>
        <w:tc>
          <w:tcPr>
            <w:tcW w:w="1560" w:type="dxa"/>
            <w:tcBorders>
              <w:bottom w:val="single" w:sz="4" w:space="0" w:color="auto"/>
            </w:tcBorders>
          </w:tcPr>
          <w:p w14:paraId="0D31A2E4" w14:textId="77777777" w:rsidR="001B22F5" w:rsidRPr="004635E5" w:rsidRDefault="001B22F5" w:rsidP="006633A8">
            <w:pPr>
              <w:adjustRightInd w:val="0"/>
              <w:snapToGrid w:val="0"/>
              <w:spacing w:after="0"/>
              <w:jc w:val="center"/>
              <w:rPr>
                <w:sz w:val="22"/>
                <w:szCs w:val="22"/>
              </w:rPr>
            </w:pPr>
            <w:r w:rsidRPr="004635E5">
              <w:rPr>
                <w:sz w:val="22"/>
                <w:szCs w:val="22"/>
              </w:rPr>
              <w:t>2</w:t>
            </w:r>
          </w:p>
        </w:tc>
        <w:tc>
          <w:tcPr>
            <w:tcW w:w="4955" w:type="dxa"/>
            <w:tcBorders>
              <w:bottom w:val="single" w:sz="4" w:space="0" w:color="auto"/>
            </w:tcBorders>
          </w:tcPr>
          <w:p w14:paraId="4442AC51" w14:textId="77777777" w:rsidR="001B22F5" w:rsidRPr="004635E5" w:rsidRDefault="001B22F5" w:rsidP="006633A8">
            <w:pPr>
              <w:adjustRightInd w:val="0"/>
              <w:snapToGrid w:val="0"/>
              <w:spacing w:after="0"/>
              <w:rPr>
                <w:sz w:val="22"/>
                <w:szCs w:val="22"/>
              </w:rPr>
            </w:pPr>
            <w:r w:rsidRPr="004635E5">
              <w:rPr>
                <w:sz w:val="22"/>
                <w:szCs w:val="22"/>
              </w:rPr>
              <w:t>Geostatistical*, Traditional</w:t>
            </w:r>
          </w:p>
        </w:tc>
      </w:tr>
    </w:tbl>
    <w:p w14:paraId="4C78A99C" w14:textId="77777777" w:rsidR="00D52A7A" w:rsidRDefault="00D52A7A" w:rsidP="006633A8">
      <w:pPr>
        <w:pStyle w:val="WCPFC"/>
        <w:numPr>
          <w:ilvl w:val="0"/>
          <w:numId w:val="0"/>
        </w:numPr>
        <w:adjustRightInd w:val="0"/>
        <w:spacing w:after="0"/>
        <w:ind w:left="360"/>
        <w:rPr>
          <w:rFonts w:cs="Times New Roman"/>
          <w:b/>
        </w:rPr>
      </w:pPr>
    </w:p>
    <w:p w14:paraId="4C0FA4AE" w14:textId="77777777" w:rsidR="00D52A7A" w:rsidRDefault="00D52A7A">
      <w:pPr>
        <w:rPr>
          <w:rFonts w:eastAsiaTheme="minorEastAsia"/>
          <w:b/>
          <w:color w:val="000000"/>
          <w:sz w:val="22"/>
          <w:szCs w:val="22"/>
          <w:lang w:val="en-NZ" w:eastAsia="en-NZ"/>
        </w:rPr>
      </w:pPr>
      <w:r>
        <w:rPr>
          <w:b/>
        </w:rPr>
        <w:br w:type="page"/>
      </w:r>
    </w:p>
    <w:p w14:paraId="0F2D8D57" w14:textId="77777777" w:rsidR="001B22F5" w:rsidRPr="004635E5" w:rsidRDefault="00CD6C20" w:rsidP="00F81EF0">
      <w:pPr>
        <w:pStyle w:val="WCPFC"/>
        <w:numPr>
          <w:ilvl w:val="0"/>
          <w:numId w:val="0"/>
        </w:numPr>
        <w:adjustRightInd w:val="0"/>
        <w:spacing w:after="0"/>
        <w:rPr>
          <w:rFonts w:cs="Times New Roman"/>
        </w:rPr>
      </w:pPr>
      <w:r w:rsidRPr="004635E5">
        <w:rPr>
          <w:rFonts w:cs="Times New Roman"/>
          <w:b/>
        </w:rPr>
        <w:t>Table SPA-2.</w:t>
      </w:r>
      <w:r w:rsidR="001B22F5" w:rsidRPr="004635E5">
        <w:rPr>
          <w:rFonts w:cs="Times New Roman"/>
        </w:rPr>
        <w:t xml:space="preserve"> Summary of reference points over all the 72 individual models in the structural uncertainty grid.</w:t>
      </w:r>
    </w:p>
    <w:tbl>
      <w:tblPr>
        <w:tblW w:w="9072" w:type="dxa"/>
        <w:tblLayout w:type="fixed"/>
        <w:tblLook w:val="04A0" w:firstRow="1" w:lastRow="0" w:firstColumn="1" w:lastColumn="0" w:noHBand="0" w:noVBand="1"/>
      </w:tblPr>
      <w:tblGrid>
        <w:gridCol w:w="1701"/>
        <w:gridCol w:w="1134"/>
        <w:gridCol w:w="1053"/>
        <w:gridCol w:w="1296"/>
        <w:gridCol w:w="1296"/>
        <w:gridCol w:w="1296"/>
        <w:gridCol w:w="1296"/>
      </w:tblGrid>
      <w:tr w:rsidR="001B22F5" w:rsidRPr="004635E5" w14:paraId="4720F03A" w14:textId="77777777" w:rsidTr="00AD29CD">
        <w:trPr>
          <w:trHeight w:val="300"/>
        </w:trPr>
        <w:tc>
          <w:tcPr>
            <w:tcW w:w="1701" w:type="dxa"/>
            <w:tcBorders>
              <w:top w:val="single" w:sz="4" w:space="0" w:color="auto"/>
              <w:left w:val="nil"/>
              <w:bottom w:val="single" w:sz="4" w:space="0" w:color="auto"/>
              <w:right w:val="nil"/>
            </w:tcBorders>
            <w:shd w:val="clear" w:color="auto" w:fill="auto"/>
            <w:noWrap/>
            <w:vAlign w:val="bottom"/>
            <w:hideMark/>
          </w:tcPr>
          <w:p w14:paraId="61940C2F" w14:textId="77777777" w:rsidR="001B22F5" w:rsidRPr="004635E5" w:rsidRDefault="001B22F5" w:rsidP="006633A8">
            <w:pPr>
              <w:adjustRightInd w:val="0"/>
              <w:snapToGrid w:val="0"/>
              <w:rPr>
                <w:sz w:val="22"/>
                <w:szCs w:val="22"/>
                <w:lang w:val="en-AU" w:eastAsia="en-AU"/>
              </w:rPr>
            </w:pPr>
          </w:p>
        </w:tc>
        <w:tc>
          <w:tcPr>
            <w:tcW w:w="1134" w:type="dxa"/>
            <w:tcBorders>
              <w:top w:val="single" w:sz="4" w:space="0" w:color="auto"/>
              <w:left w:val="nil"/>
              <w:bottom w:val="single" w:sz="4" w:space="0" w:color="auto"/>
              <w:right w:val="nil"/>
            </w:tcBorders>
            <w:shd w:val="clear" w:color="auto" w:fill="auto"/>
            <w:noWrap/>
            <w:vAlign w:val="bottom"/>
            <w:hideMark/>
          </w:tcPr>
          <w:p w14:paraId="07A44F27" w14:textId="77777777" w:rsidR="001B22F5" w:rsidRPr="004635E5" w:rsidRDefault="001B22F5" w:rsidP="006633A8">
            <w:pPr>
              <w:adjustRightInd w:val="0"/>
              <w:snapToGrid w:val="0"/>
              <w:jc w:val="center"/>
              <w:rPr>
                <w:b/>
                <w:color w:val="000000"/>
                <w:sz w:val="22"/>
                <w:szCs w:val="22"/>
                <w:lang w:val="en-AU" w:eastAsia="en-AU"/>
              </w:rPr>
            </w:pPr>
            <w:r w:rsidRPr="004635E5">
              <w:rPr>
                <w:b/>
                <w:color w:val="000000"/>
                <w:sz w:val="22"/>
                <w:szCs w:val="22"/>
                <w:lang w:val="en-AU" w:eastAsia="en-AU"/>
              </w:rPr>
              <w:t>Mean</w:t>
            </w:r>
          </w:p>
        </w:tc>
        <w:tc>
          <w:tcPr>
            <w:tcW w:w="1053" w:type="dxa"/>
            <w:tcBorders>
              <w:top w:val="single" w:sz="4" w:space="0" w:color="auto"/>
              <w:left w:val="nil"/>
              <w:bottom w:val="single" w:sz="4" w:space="0" w:color="auto"/>
              <w:right w:val="nil"/>
            </w:tcBorders>
            <w:shd w:val="clear" w:color="auto" w:fill="auto"/>
            <w:noWrap/>
            <w:vAlign w:val="bottom"/>
            <w:hideMark/>
          </w:tcPr>
          <w:p w14:paraId="457D4A1C" w14:textId="77777777" w:rsidR="001B22F5" w:rsidRPr="004635E5" w:rsidRDefault="001B22F5" w:rsidP="006633A8">
            <w:pPr>
              <w:adjustRightInd w:val="0"/>
              <w:snapToGrid w:val="0"/>
              <w:jc w:val="center"/>
              <w:rPr>
                <w:b/>
                <w:color w:val="000000"/>
                <w:sz w:val="22"/>
                <w:szCs w:val="22"/>
                <w:lang w:val="en-AU" w:eastAsia="en-AU"/>
              </w:rPr>
            </w:pPr>
            <w:r w:rsidRPr="004635E5">
              <w:rPr>
                <w:b/>
                <w:color w:val="000000"/>
                <w:sz w:val="22"/>
                <w:szCs w:val="22"/>
                <w:lang w:val="en-AU" w:eastAsia="en-AU"/>
              </w:rPr>
              <w:t>Median</w:t>
            </w:r>
          </w:p>
        </w:tc>
        <w:tc>
          <w:tcPr>
            <w:tcW w:w="1296" w:type="dxa"/>
            <w:tcBorders>
              <w:top w:val="single" w:sz="4" w:space="0" w:color="auto"/>
              <w:left w:val="nil"/>
              <w:bottom w:val="single" w:sz="4" w:space="0" w:color="auto"/>
              <w:right w:val="nil"/>
            </w:tcBorders>
            <w:shd w:val="clear" w:color="auto" w:fill="auto"/>
            <w:noWrap/>
            <w:vAlign w:val="bottom"/>
            <w:hideMark/>
          </w:tcPr>
          <w:p w14:paraId="7290DDD3" w14:textId="77777777" w:rsidR="001B22F5" w:rsidRPr="004635E5" w:rsidRDefault="001B22F5" w:rsidP="006633A8">
            <w:pPr>
              <w:adjustRightInd w:val="0"/>
              <w:snapToGrid w:val="0"/>
              <w:jc w:val="center"/>
              <w:rPr>
                <w:b/>
                <w:color w:val="000000"/>
                <w:sz w:val="22"/>
                <w:szCs w:val="22"/>
                <w:lang w:val="en-AU" w:eastAsia="en-AU"/>
              </w:rPr>
            </w:pPr>
            <w:r w:rsidRPr="004635E5">
              <w:rPr>
                <w:b/>
                <w:color w:val="000000"/>
                <w:sz w:val="22"/>
                <w:szCs w:val="22"/>
                <w:lang w:val="en-AU" w:eastAsia="en-AU"/>
              </w:rPr>
              <w:t>Min</w:t>
            </w:r>
          </w:p>
        </w:tc>
        <w:tc>
          <w:tcPr>
            <w:tcW w:w="1296" w:type="dxa"/>
            <w:tcBorders>
              <w:top w:val="single" w:sz="4" w:space="0" w:color="auto"/>
              <w:left w:val="nil"/>
              <w:bottom w:val="single" w:sz="4" w:space="0" w:color="auto"/>
              <w:right w:val="nil"/>
            </w:tcBorders>
            <w:shd w:val="clear" w:color="auto" w:fill="auto"/>
            <w:noWrap/>
            <w:vAlign w:val="bottom"/>
            <w:hideMark/>
          </w:tcPr>
          <w:p w14:paraId="3A9AD6B2" w14:textId="77777777" w:rsidR="001B22F5" w:rsidRPr="004635E5" w:rsidRDefault="001B22F5" w:rsidP="006633A8">
            <w:pPr>
              <w:adjustRightInd w:val="0"/>
              <w:snapToGrid w:val="0"/>
              <w:jc w:val="center"/>
              <w:rPr>
                <w:b/>
                <w:color w:val="000000"/>
                <w:sz w:val="22"/>
                <w:szCs w:val="22"/>
                <w:lang w:val="en-AU" w:eastAsia="en-AU"/>
              </w:rPr>
            </w:pPr>
            <w:r w:rsidRPr="004635E5">
              <w:rPr>
                <w:b/>
                <w:color w:val="000000"/>
                <w:sz w:val="22"/>
                <w:szCs w:val="22"/>
                <w:lang w:val="en-AU" w:eastAsia="en-AU"/>
              </w:rPr>
              <w:t>10%</w:t>
            </w:r>
          </w:p>
        </w:tc>
        <w:tc>
          <w:tcPr>
            <w:tcW w:w="1296" w:type="dxa"/>
            <w:tcBorders>
              <w:top w:val="single" w:sz="4" w:space="0" w:color="auto"/>
              <w:left w:val="nil"/>
              <w:bottom w:val="single" w:sz="4" w:space="0" w:color="auto"/>
              <w:right w:val="nil"/>
            </w:tcBorders>
            <w:shd w:val="clear" w:color="auto" w:fill="auto"/>
            <w:noWrap/>
            <w:vAlign w:val="bottom"/>
            <w:hideMark/>
          </w:tcPr>
          <w:p w14:paraId="612B4BFF" w14:textId="77777777" w:rsidR="001B22F5" w:rsidRPr="004635E5" w:rsidRDefault="001B22F5" w:rsidP="006633A8">
            <w:pPr>
              <w:adjustRightInd w:val="0"/>
              <w:snapToGrid w:val="0"/>
              <w:jc w:val="center"/>
              <w:rPr>
                <w:b/>
                <w:color w:val="000000"/>
                <w:sz w:val="22"/>
                <w:szCs w:val="22"/>
                <w:lang w:val="en-AU" w:eastAsia="en-AU"/>
              </w:rPr>
            </w:pPr>
            <w:r w:rsidRPr="004635E5">
              <w:rPr>
                <w:b/>
                <w:color w:val="000000"/>
                <w:sz w:val="22"/>
                <w:szCs w:val="22"/>
                <w:lang w:val="en-AU" w:eastAsia="en-AU"/>
              </w:rPr>
              <w:t>90%</w:t>
            </w:r>
          </w:p>
        </w:tc>
        <w:tc>
          <w:tcPr>
            <w:tcW w:w="1296" w:type="dxa"/>
            <w:tcBorders>
              <w:top w:val="single" w:sz="4" w:space="0" w:color="auto"/>
              <w:left w:val="nil"/>
              <w:bottom w:val="single" w:sz="4" w:space="0" w:color="auto"/>
              <w:right w:val="nil"/>
            </w:tcBorders>
            <w:shd w:val="clear" w:color="auto" w:fill="auto"/>
            <w:noWrap/>
            <w:vAlign w:val="bottom"/>
            <w:hideMark/>
          </w:tcPr>
          <w:p w14:paraId="550F4D9A" w14:textId="77777777" w:rsidR="001B22F5" w:rsidRPr="004635E5" w:rsidRDefault="001B22F5" w:rsidP="006633A8">
            <w:pPr>
              <w:adjustRightInd w:val="0"/>
              <w:snapToGrid w:val="0"/>
              <w:jc w:val="center"/>
              <w:rPr>
                <w:b/>
                <w:color w:val="000000"/>
                <w:sz w:val="22"/>
                <w:szCs w:val="22"/>
                <w:lang w:val="en-AU" w:eastAsia="en-AU"/>
              </w:rPr>
            </w:pPr>
            <w:r w:rsidRPr="004635E5">
              <w:rPr>
                <w:b/>
                <w:color w:val="000000"/>
                <w:sz w:val="22"/>
                <w:szCs w:val="22"/>
                <w:lang w:val="en-AU" w:eastAsia="en-AU"/>
              </w:rPr>
              <w:t>Max</w:t>
            </w:r>
          </w:p>
        </w:tc>
      </w:tr>
      <w:tr w:rsidR="001B22F5" w:rsidRPr="004635E5" w14:paraId="7D0F9B5C" w14:textId="77777777" w:rsidTr="00AD29CD">
        <w:trPr>
          <w:trHeight w:val="300"/>
        </w:trPr>
        <w:tc>
          <w:tcPr>
            <w:tcW w:w="1701" w:type="dxa"/>
            <w:tcBorders>
              <w:top w:val="single" w:sz="4" w:space="0" w:color="auto"/>
              <w:left w:val="nil"/>
              <w:bottom w:val="nil"/>
              <w:right w:val="nil"/>
            </w:tcBorders>
            <w:shd w:val="clear" w:color="auto" w:fill="auto"/>
            <w:noWrap/>
            <w:vAlign w:val="bottom"/>
            <w:hideMark/>
          </w:tcPr>
          <w:p w14:paraId="55ACAE65" w14:textId="77777777"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C</w:t>
            </w:r>
            <w:r w:rsidRPr="004635E5">
              <w:rPr>
                <w:color w:val="000000"/>
                <w:sz w:val="22"/>
                <w:szCs w:val="22"/>
                <w:vertAlign w:val="subscript"/>
                <w:lang w:val="en-AU" w:eastAsia="en-AU"/>
              </w:rPr>
              <w:t>latest</w:t>
            </w:r>
          </w:p>
        </w:tc>
        <w:tc>
          <w:tcPr>
            <w:tcW w:w="1134" w:type="dxa"/>
            <w:tcBorders>
              <w:top w:val="single" w:sz="4" w:space="0" w:color="auto"/>
              <w:left w:val="nil"/>
              <w:bottom w:val="nil"/>
              <w:right w:val="nil"/>
            </w:tcBorders>
            <w:shd w:val="clear" w:color="auto" w:fill="auto"/>
            <w:noWrap/>
            <w:vAlign w:val="bottom"/>
            <w:hideMark/>
          </w:tcPr>
          <w:p w14:paraId="5CAB43EA"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61719</w:t>
            </w:r>
          </w:p>
        </w:tc>
        <w:tc>
          <w:tcPr>
            <w:tcW w:w="1053" w:type="dxa"/>
            <w:tcBorders>
              <w:top w:val="single" w:sz="4" w:space="0" w:color="auto"/>
              <w:left w:val="nil"/>
              <w:bottom w:val="nil"/>
              <w:right w:val="nil"/>
            </w:tcBorders>
            <w:shd w:val="clear" w:color="auto" w:fill="auto"/>
            <w:noWrap/>
            <w:vAlign w:val="bottom"/>
            <w:hideMark/>
          </w:tcPr>
          <w:p w14:paraId="31593F13"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61635</w:t>
            </w:r>
          </w:p>
        </w:tc>
        <w:tc>
          <w:tcPr>
            <w:tcW w:w="1296" w:type="dxa"/>
            <w:tcBorders>
              <w:top w:val="single" w:sz="4" w:space="0" w:color="auto"/>
              <w:left w:val="nil"/>
              <w:bottom w:val="nil"/>
              <w:right w:val="nil"/>
            </w:tcBorders>
            <w:shd w:val="clear" w:color="auto" w:fill="auto"/>
            <w:noWrap/>
            <w:vAlign w:val="bottom"/>
            <w:hideMark/>
          </w:tcPr>
          <w:p w14:paraId="47D5984A"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60669</w:t>
            </w:r>
          </w:p>
        </w:tc>
        <w:tc>
          <w:tcPr>
            <w:tcW w:w="1296" w:type="dxa"/>
            <w:tcBorders>
              <w:top w:val="single" w:sz="4" w:space="0" w:color="auto"/>
              <w:left w:val="nil"/>
              <w:bottom w:val="nil"/>
              <w:right w:val="nil"/>
            </w:tcBorders>
            <w:shd w:val="clear" w:color="auto" w:fill="auto"/>
            <w:noWrap/>
            <w:vAlign w:val="bottom"/>
            <w:hideMark/>
          </w:tcPr>
          <w:p w14:paraId="6840274C"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60833</w:t>
            </w:r>
          </w:p>
        </w:tc>
        <w:tc>
          <w:tcPr>
            <w:tcW w:w="1296" w:type="dxa"/>
            <w:tcBorders>
              <w:top w:val="single" w:sz="4" w:space="0" w:color="auto"/>
              <w:left w:val="nil"/>
              <w:bottom w:val="nil"/>
              <w:right w:val="nil"/>
            </w:tcBorders>
            <w:shd w:val="clear" w:color="auto" w:fill="auto"/>
            <w:noWrap/>
            <w:vAlign w:val="bottom"/>
            <w:hideMark/>
          </w:tcPr>
          <w:p w14:paraId="00307557"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62704</w:t>
            </w:r>
          </w:p>
        </w:tc>
        <w:tc>
          <w:tcPr>
            <w:tcW w:w="1296" w:type="dxa"/>
            <w:tcBorders>
              <w:top w:val="single" w:sz="4" w:space="0" w:color="auto"/>
              <w:left w:val="nil"/>
              <w:bottom w:val="nil"/>
              <w:right w:val="nil"/>
            </w:tcBorders>
            <w:shd w:val="clear" w:color="auto" w:fill="auto"/>
            <w:noWrap/>
            <w:vAlign w:val="bottom"/>
            <w:hideMark/>
          </w:tcPr>
          <w:p w14:paraId="5E123F34"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63180</w:t>
            </w:r>
          </w:p>
        </w:tc>
      </w:tr>
      <w:tr w:rsidR="001B22F5" w:rsidRPr="004635E5" w14:paraId="3F2CC94C" w14:textId="77777777" w:rsidTr="00AD29CD">
        <w:trPr>
          <w:trHeight w:val="300"/>
        </w:trPr>
        <w:tc>
          <w:tcPr>
            <w:tcW w:w="1701" w:type="dxa"/>
            <w:tcBorders>
              <w:top w:val="nil"/>
              <w:left w:val="nil"/>
              <w:bottom w:val="nil"/>
              <w:right w:val="nil"/>
            </w:tcBorders>
            <w:shd w:val="clear" w:color="auto" w:fill="auto"/>
            <w:noWrap/>
            <w:vAlign w:val="bottom"/>
            <w:hideMark/>
          </w:tcPr>
          <w:p w14:paraId="5AC80F1B" w14:textId="77777777"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MSY</w:t>
            </w:r>
          </w:p>
        </w:tc>
        <w:tc>
          <w:tcPr>
            <w:tcW w:w="1134" w:type="dxa"/>
            <w:tcBorders>
              <w:top w:val="nil"/>
              <w:left w:val="nil"/>
              <w:bottom w:val="nil"/>
              <w:right w:val="nil"/>
            </w:tcBorders>
            <w:shd w:val="clear" w:color="auto" w:fill="auto"/>
            <w:noWrap/>
            <w:vAlign w:val="bottom"/>
            <w:hideMark/>
          </w:tcPr>
          <w:p w14:paraId="47F87439"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100074</w:t>
            </w:r>
          </w:p>
        </w:tc>
        <w:tc>
          <w:tcPr>
            <w:tcW w:w="1053" w:type="dxa"/>
            <w:tcBorders>
              <w:top w:val="nil"/>
              <w:left w:val="nil"/>
              <w:bottom w:val="nil"/>
              <w:right w:val="nil"/>
            </w:tcBorders>
            <w:shd w:val="clear" w:color="auto" w:fill="auto"/>
            <w:noWrap/>
            <w:vAlign w:val="bottom"/>
            <w:hideMark/>
          </w:tcPr>
          <w:p w14:paraId="218F7A63"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98080</w:t>
            </w:r>
          </w:p>
        </w:tc>
        <w:tc>
          <w:tcPr>
            <w:tcW w:w="1296" w:type="dxa"/>
            <w:tcBorders>
              <w:top w:val="nil"/>
              <w:left w:val="nil"/>
              <w:bottom w:val="nil"/>
              <w:right w:val="nil"/>
            </w:tcBorders>
            <w:shd w:val="clear" w:color="auto" w:fill="auto"/>
            <w:noWrap/>
            <w:vAlign w:val="bottom"/>
            <w:hideMark/>
          </w:tcPr>
          <w:p w14:paraId="1856ECFA"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65040</w:t>
            </w:r>
          </w:p>
        </w:tc>
        <w:tc>
          <w:tcPr>
            <w:tcW w:w="1296" w:type="dxa"/>
            <w:tcBorders>
              <w:top w:val="nil"/>
              <w:left w:val="nil"/>
              <w:bottom w:val="nil"/>
              <w:right w:val="nil"/>
            </w:tcBorders>
            <w:shd w:val="clear" w:color="auto" w:fill="auto"/>
            <w:noWrap/>
            <w:vAlign w:val="bottom"/>
            <w:hideMark/>
          </w:tcPr>
          <w:p w14:paraId="59CDF176"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70856</w:t>
            </w:r>
          </w:p>
        </w:tc>
        <w:tc>
          <w:tcPr>
            <w:tcW w:w="1296" w:type="dxa"/>
            <w:tcBorders>
              <w:top w:val="nil"/>
              <w:left w:val="nil"/>
              <w:bottom w:val="nil"/>
              <w:right w:val="nil"/>
            </w:tcBorders>
            <w:shd w:val="clear" w:color="auto" w:fill="auto"/>
            <w:noWrap/>
            <w:vAlign w:val="bottom"/>
            <w:hideMark/>
          </w:tcPr>
          <w:p w14:paraId="4CB51003"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130220</w:t>
            </w:r>
          </w:p>
        </w:tc>
        <w:tc>
          <w:tcPr>
            <w:tcW w:w="1296" w:type="dxa"/>
            <w:tcBorders>
              <w:top w:val="nil"/>
              <w:left w:val="nil"/>
              <w:bottom w:val="nil"/>
              <w:right w:val="nil"/>
            </w:tcBorders>
            <w:shd w:val="clear" w:color="auto" w:fill="auto"/>
            <w:noWrap/>
            <w:vAlign w:val="bottom"/>
            <w:hideMark/>
          </w:tcPr>
          <w:p w14:paraId="59341C41"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162000</w:t>
            </w:r>
          </w:p>
        </w:tc>
      </w:tr>
      <w:tr w:rsidR="001B22F5" w:rsidRPr="004635E5" w14:paraId="59BD949B" w14:textId="77777777" w:rsidTr="00AD29CD">
        <w:trPr>
          <w:trHeight w:val="300"/>
        </w:trPr>
        <w:tc>
          <w:tcPr>
            <w:tcW w:w="1701" w:type="dxa"/>
            <w:tcBorders>
              <w:top w:val="nil"/>
              <w:left w:val="nil"/>
              <w:bottom w:val="nil"/>
              <w:right w:val="nil"/>
            </w:tcBorders>
            <w:shd w:val="clear" w:color="auto" w:fill="auto"/>
            <w:noWrap/>
            <w:vAlign w:val="bottom"/>
            <w:hideMark/>
          </w:tcPr>
          <w:p w14:paraId="343340BA" w14:textId="77777777"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YF</w:t>
            </w:r>
            <w:r w:rsidRPr="004635E5">
              <w:rPr>
                <w:color w:val="000000"/>
                <w:sz w:val="22"/>
                <w:szCs w:val="22"/>
                <w:vertAlign w:val="subscript"/>
                <w:lang w:val="en-AU" w:eastAsia="en-AU"/>
              </w:rPr>
              <w:t>recentt</w:t>
            </w:r>
          </w:p>
        </w:tc>
        <w:tc>
          <w:tcPr>
            <w:tcW w:w="1134" w:type="dxa"/>
            <w:tcBorders>
              <w:top w:val="nil"/>
              <w:left w:val="nil"/>
              <w:bottom w:val="nil"/>
              <w:right w:val="nil"/>
            </w:tcBorders>
            <w:shd w:val="clear" w:color="auto" w:fill="auto"/>
            <w:noWrap/>
            <w:vAlign w:val="bottom"/>
            <w:hideMark/>
          </w:tcPr>
          <w:p w14:paraId="2D46EA6D"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71579</w:t>
            </w:r>
          </w:p>
        </w:tc>
        <w:tc>
          <w:tcPr>
            <w:tcW w:w="1053" w:type="dxa"/>
            <w:tcBorders>
              <w:top w:val="nil"/>
              <w:left w:val="nil"/>
              <w:bottom w:val="nil"/>
              <w:right w:val="nil"/>
            </w:tcBorders>
            <w:shd w:val="clear" w:color="auto" w:fill="auto"/>
            <w:noWrap/>
            <w:vAlign w:val="bottom"/>
            <w:hideMark/>
          </w:tcPr>
          <w:p w14:paraId="149C1CAF"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71780</w:t>
            </w:r>
          </w:p>
        </w:tc>
        <w:tc>
          <w:tcPr>
            <w:tcW w:w="1296" w:type="dxa"/>
            <w:tcBorders>
              <w:top w:val="nil"/>
              <w:left w:val="nil"/>
              <w:bottom w:val="nil"/>
              <w:right w:val="nil"/>
            </w:tcBorders>
            <w:shd w:val="clear" w:color="auto" w:fill="auto"/>
            <w:noWrap/>
            <w:vAlign w:val="bottom"/>
            <w:hideMark/>
          </w:tcPr>
          <w:p w14:paraId="44052B2F"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56680</w:t>
            </w:r>
          </w:p>
        </w:tc>
        <w:tc>
          <w:tcPr>
            <w:tcW w:w="1296" w:type="dxa"/>
            <w:tcBorders>
              <w:top w:val="nil"/>
              <w:left w:val="nil"/>
              <w:bottom w:val="nil"/>
              <w:right w:val="nil"/>
            </w:tcBorders>
            <w:shd w:val="clear" w:color="auto" w:fill="auto"/>
            <w:noWrap/>
            <w:vAlign w:val="bottom"/>
            <w:hideMark/>
          </w:tcPr>
          <w:p w14:paraId="15567A1A"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62480</w:t>
            </w:r>
          </w:p>
        </w:tc>
        <w:tc>
          <w:tcPr>
            <w:tcW w:w="1296" w:type="dxa"/>
            <w:tcBorders>
              <w:top w:val="nil"/>
              <w:left w:val="nil"/>
              <w:bottom w:val="nil"/>
              <w:right w:val="nil"/>
            </w:tcBorders>
            <w:shd w:val="clear" w:color="auto" w:fill="auto"/>
            <w:noWrap/>
            <w:vAlign w:val="bottom"/>
            <w:hideMark/>
          </w:tcPr>
          <w:p w14:paraId="3196EA9F"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80432</w:t>
            </w:r>
          </w:p>
        </w:tc>
        <w:tc>
          <w:tcPr>
            <w:tcW w:w="1296" w:type="dxa"/>
            <w:tcBorders>
              <w:top w:val="nil"/>
              <w:left w:val="nil"/>
              <w:bottom w:val="nil"/>
              <w:right w:val="nil"/>
            </w:tcBorders>
            <w:shd w:val="clear" w:color="auto" w:fill="auto"/>
            <w:noWrap/>
            <w:vAlign w:val="bottom"/>
            <w:hideMark/>
          </w:tcPr>
          <w:p w14:paraId="05B3B1ED"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89000</w:t>
            </w:r>
          </w:p>
        </w:tc>
      </w:tr>
      <w:tr w:rsidR="001B22F5" w:rsidRPr="004635E5" w14:paraId="07DA459D" w14:textId="77777777" w:rsidTr="00AD29CD">
        <w:trPr>
          <w:trHeight w:val="300"/>
        </w:trPr>
        <w:tc>
          <w:tcPr>
            <w:tcW w:w="1701" w:type="dxa"/>
            <w:tcBorders>
              <w:top w:val="nil"/>
              <w:left w:val="nil"/>
              <w:bottom w:val="nil"/>
              <w:right w:val="nil"/>
            </w:tcBorders>
            <w:shd w:val="clear" w:color="auto" w:fill="auto"/>
            <w:noWrap/>
            <w:vAlign w:val="bottom"/>
            <w:hideMark/>
          </w:tcPr>
          <w:p w14:paraId="58FAF166" w14:textId="77777777" w:rsidR="001B22F5" w:rsidRPr="004635E5" w:rsidRDefault="001B22F5" w:rsidP="006633A8">
            <w:pPr>
              <w:adjustRightInd w:val="0"/>
              <w:snapToGrid w:val="0"/>
              <w:rPr>
                <w:i/>
                <w:color w:val="000000"/>
                <w:sz w:val="22"/>
                <w:szCs w:val="22"/>
                <w:lang w:val="en-AU" w:eastAsia="en-AU"/>
              </w:rPr>
            </w:pPr>
            <w:r w:rsidRPr="004635E5">
              <w:rPr>
                <w:i/>
                <w:color w:val="000000"/>
                <w:sz w:val="22"/>
                <w:szCs w:val="22"/>
                <w:lang w:val="en-AU" w:eastAsia="en-AU"/>
              </w:rPr>
              <w:t>fmult</w:t>
            </w:r>
          </w:p>
        </w:tc>
        <w:tc>
          <w:tcPr>
            <w:tcW w:w="1134" w:type="dxa"/>
            <w:tcBorders>
              <w:top w:val="nil"/>
              <w:left w:val="nil"/>
              <w:bottom w:val="nil"/>
              <w:right w:val="nil"/>
            </w:tcBorders>
            <w:shd w:val="clear" w:color="auto" w:fill="auto"/>
            <w:noWrap/>
            <w:vAlign w:val="bottom"/>
            <w:hideMark/>
          </w:tcPr>
          <w:p w14:paraId="2E0BAFE5"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6.2</w:t>
            </w:r>
          </w:p>
        </w:tc>
        <w:tc>
          <w:tcPr>
            <w:tcW w:w="1053" w:type="dxa"/>
            <w:tcBorders>
              <w:top w:val="nil"/>
              <w:left w:val="nil"/>
              <w:bottom w:val="nil"/>
              <w:right w:val="nil"/>
            </w:tcBorders>
            <w:shd w:val="clear" w:color="auto" w:fill="auto"/>
            <w:noWrap/>
            <w:vAlign w:val="bottom"/>
            <w:hideMark/>
          </w:tcPr>
          <w:p w14:paraId="1167B5DE"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4.96</w:t>
            </w:r>
          </w:p>
        </w:tc>
        <w:tc>
          <w:tcPr>
            <w:tcW w:w="1296" w:type="dxa"/>
            <w:tcBorders>
              <w:top w:val="nil"/>
              <w:left w:val="nil"/>
              <w:bottom w:val="nil"/>
              <w:right w:val="nil"/>
            </w:tcBorders>
            <w:shd w:val="clear" w:color="auto" w:fill="auto"/>
            <w:noWrap/>
            <w:vAlign w:val="bottom"/>
            <w:hideMark/>
          </w:tcPr>
          <w:p w14:paraId="52B8B8AC"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1.89</w:t>
            </w:r>
          </w:p>
        </w:tc>
        <w:tc>
          <w:tcPr>
            <w:tcW w:w="1296" w:type="dxa"/>
            <w:tcBorders>
              <w:top w:val="nil"/>
              <w:left w:val="nil"/>
              <w:bottom w:val="nil"/>
              <w:right w:val="nil"/>
            </w:tcBorders>
            <w:shd w:val="clear" w:color="auto" w:fill="auto"/>
            <w:noWrap/>
            <w:vAlign w:val="bottom"/>
            <w:hideMark/>
          </w:tcPr>
          <w:p w14:paraId="13919313"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2.44</w:t>
            </w:r>
          </w:p>
        </w:tc>
        <w:tc>
          <w:tcPr>
            <w:tcW w:w="1296" w:type="dxa"/>
            <w:tcBorders>
              <w:top w:val="nil"/>
              <w:left w:val="nil"/>
              <w:bottom w:val="nil"/>
              <w:right w:val="nil"/>
            </w:tcBorders>
            <w:shd w:val="clear" w:color="auto" w:fill="auto"/>
            <w:noWrap/>
            <w:vAlign w:val="bottom"/>
            <w:hideMark/>
          </w:tcPr>
          <w:p w14:paraId="52C40BA7"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12.05</w:t>
            </w:r>
          </w:p>
        </w:tc>
        <w:tc>
          <w:tcPr>
            <w:tcW w:w="1296" w:type="dxa"/>
            <w:tcBorders>
              <w:top w:val="nil"/>
              <w:left w:val="nil"/>
              <w:bottom w:val="nil"/>
              <w:right w:val="nil"/>
            </w:tcBorders>
            <w:shd w:val="clear" w:color="auto" w:fill="auto"/>
            <w:noWrap/>
            <w:vAlign w:val="bottom"/>
            <w:hideMark/>
          </w:tcPr>
          <w:p w14:paraId="45FFF802"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17.18</w:t>
            </w:r>
          </w:p>
        </w:tc>
      </w:tr>
      <w:tr w:rsidR="001B22F5" w:rsidRPr="004635E5" w14:paraId="449BD69D" w14:textId="77777777" w:rsidTr="00AD29CD">
        <w:trPr>
          <w:trHeight w:val="300"/>
        </w:trPr>
        <w:tc>
          <w:tcPr>
            <w:tcW w:w="1701" w:type="dxa"/>
            <w:tcBorders>
              <w:top w:val="nil"/>
              <w:left w:val="nil"/>
              <w:bottom w:val="nil"/>
              <w:right w:val="nil"/>
            </w:tcBorders>
            <w:shd w:val="clear" w:color="auto" w:fill="auto"/>
            <w:noWrap/>
            <w:vAlign w:val="bottom"/>
            <w:hideMark/>
          </w:tcPr>
          <w:p w14:paraId="5BAD4631" w14:textId="77777777"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F</w:t>
            </w:r>
            <w:r w:rsidRPr="004635E5">
              <w:rPr>
                <w:color w:val="000000"/>
                <w:sz w:val="22"/>
                <w:szCs w:val="22"/>
                <w:vertAlign w:val="subscript"/>
                <w:lang w:val="en-AU" w:eastAsia="en-AU"/>
              </w:rPr>
              <w:t>MSY</w:t>
            </w:r>
          </w:p>
        </w:tc>
        <w:tc>
          <w:tcPr>
            <w:tcW w:w="1134" w:type="dxa"/>
            <w:tcBorders>
              <w:top w:val="nil"/>
              <w:left w:val="nil"/>
              <w:bottom w:val="nil"/>
              <w:right w:val="nil"/>
            </w:tcBorders>
            <w:shd w:val="clear" w:color="auto" w:fill="auto"/>
            <w:noWrap/>
            <w:vAlign w:val="bottom"/>
            <w:hideMark/>
          </w:tcPr>
          <w:p w14:paraId="216A9B72"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0.07</w:t>
            </w:r>
          </w:p>
        </w:tc>
        <w:tc>
          <w:tcPr>
            <w:tcW w:w="1053" w:type="dxa"/>
            <w:tcBorders>
              <w:top w:val="nil"/>
              <w:left w:val="nil"/>
              <w:bottom w:val="nil"/>
              <w:right w:val="nil"/>
            </w:tcBorders>
            <w:shd w:val="clear" w:color="auto" w:fill="auto"/>
            <w:noWrap/>
            <w:vAlign w:val="bottom"/>
            <w:hideMark/>
          </w:tcPr>
          <w:p w14:paraId="11DA2F7F"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0.07</w:t>
            </w:r>
          </w:p>
        </w:tc>
        <w:tc>
          <w:tcPr>
            <w:tcW w:w="1296" w:type="dxa"/>
            <w:tcBorders>
              <w:top w:val="nil"/>
              <w:left w:val="nil"/>
              <w:bottom w:val="nil"/>
              <w:right w:val="nil"/>
            </w:tcBorders>
            <w:shd w:val="clear" w:color="auto" w:fill="auto"/>
            <w:noWrap/>
            <w:vAlign w:val="bottom"/>
            <w:hideMark/>
          </w:tcPr>
          <w:p w14:paraId="7A5CCEC2"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0.05</w:t>
            </w:r>
          </w:p>
        </w:tc>
        <w:tc>
          <w:tcPr>
            <w:tcW w:w="1296" w:type="dxa"/>
            <w:tcBorders>
              <w:top w:val="nil"/>
              <w:left w:val="nil"/>
              <w:bottom w:val="nil"/>
              <w:right w:val="nil"/>
            </w:tcBorders>
            <w:shd w:val="clear" w:color="auto" w:fill="auto"/>
            <w:noWrap/>
            <w:vAlign w:val="bottom"/>
            <w:hideMark/>
          </w:tcPr>
          <w:p w14:paraId="5574EE73"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0.05</w:t>
            </w:r>
          </w:p>
        </w:tc>
        <w:tc>
          <w:tcPr>
            <w:tcW w:w="1296" w:type="dxa"/>
            <w:tcBorders>
              <w:top w:val="nil"/>
              <w:left w:val="nil"/>
              <w:bottom w:val="nil"/>
              <w:right w:val="nil"/>
            </w:tcBorders>
            <w:shd w:val="clear" w:color="auto" w:fill="auto"/>
            <w:noWrap/>
            <w:vAlign w:val="bottom"/>
            <w:hideMark/>
          </w:tcPr>
          <w:p w14:paraId="01EC82EE"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0.09</w:t>
            </w:r>
          </w:p>
        </w:tc>
        <w:tc>
          <w:tcPr>
            <w:tcW w:w="1296" w:type="dxa"/>
            <w:tcBorders>
              <w:top w:val="nil"/>
              <w:left w:val="nil"/>
              <w:bottom w:val="nil"/>
              <w:right w:val="nil"/>
            </w:tcBorders>
            <w:shd w:val="clear" w:color="auto" w:fill="auto"/>
            <w:noWrap/>
            <w:vAlign w:val="bottom"/>
            <w:hideMark/>
          </w:tcPr>
          <w:p w14:paraId="69678D12"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0.1</w:t>
            </w:r>
          </w:p>
        </w:tc>
      </w:tr>
      <w:tr w:rsidR="001B22F5" w:rsidRPr="004635E5" w14:paraId="4E286AB1" w14:textId="77777777" w:rsidTr="00AD29CD">
        <w:trPr>
          <w:trHeight w:val="300"/>
        </w:trPr>
        <w:tc>
          <w:tcPr>
            <w:tcW w:w="1701" w:type="dxa"/>
            <w:tcBorders>
              <w:top w:val="nil"/>
              <w:left w:val="nil"/>
              <w:bottom w:val="nil"/>
              <w:right w:val="nil"/>
            </w:tcBorders>
            <w:shd w:val="clear" w:color="auto" w:fill="auto"/>
            <w:noWrap/>
            <w:vAlign w:val="bottom"/>
            <w:hideMark/>
          </w:tcPr>
          <w:p w14:paraId="2985252B" w14:textId="77777777"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F</w:t>
            </w:r>
            <w:r w:rsidRPr="004635E5">
              <w:rPr>
                <w:color w:val="000000"/>
                <w:sz w:val="22"/>
                <w:szCs w:val="22"/>
                <w:vertAlign w:val="subscript"/>
                <w:lang w:val="en-AU" w:eastAsia="en-AU"/>
              </w:rPr>
              <w:t>recent</w:t>
            </w:r>
            <w:r w:rsidRPr="004635E5">
              <w:rPr>
                <w:color w:val="000000"/>
                <w:sz w:val="22"/>
                <w:szCs w:val="22"/>
                <w:lang w:val="en-AU" w:eastAsia="en-AU"/>
              </w:rPr>
              <w:t>/F</w:t>
            </w:r>
            <w:r w:rsidRPr="004635E5">
              <w:rPr>
                <w:color w:val="000000"/>
                <w:sz w:val="22"/>
                <w:szCs w:val="22"/>
                <w:vertAlign w:val="subscript"/>
                <w:lang w:val="en-AU" w:eastAsia="en-AU"/>
              </w:rPr>
              <w:t>MSY</w:t>
            </w:r>
          </w:p>
        </w:tc>
        <w:tc>
          <w:tcPr>
            <w:tcW w:w="1134" w:type="dxa"/>
            <w:tcBorders>
              <w:top w:val="nil"/>
              <w:left w:val="nil"/>
              <w:bottom w:val="nil"/>
              <w:right w:val="nil"/>
            </w:tcBorders>
            <w:shd w:val="clear" w:color="auto" w:fill="auto"/>
            <w:noWrap/>
            <w:vAlign w:val="bottom"/>
            <w:hideMark/>
          </w:tcPr>
          <w:p w14:paraId="73EFBE2E"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0.23</w:t>
            </w:r>
          </w:p>
        </w:tc>
        <w:tc>
          <w:tcPr>
            <w:tcW w:w="1053" w:type="dxa"/>
            <w:tcBorders>
              <w:top w:val="nil"/>
              <w:left w:val="nil"/>
              <w:bottom w:val="nil"/>
              <w:right w:val="nil"/>
            </w:tcBorders>
            <w:shd w:val="clear" w:color="auto" w:fill="auto"/>
            <w:noWrap/>
            <w:vAlign w:val="bottom"/>
            <w:hideMark/>
          </w:tcPr>
          <w:p w14:paraId="4F5FE990"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0.2</w:t>
            </w:r>
          </w:p>
        </w:tc>
        <w:tc>
          <w:tcPr>
            <w:tcW w:w="1296" w:type="dxa"/>
            <w:tcBorders>
              <w:top w:val="nil"/>
              <w:left w:val="nil"/>
              <w:bottom w:val="nil"/>
              <w:right w:val="nil"/>
            </w:tcBorders>
            <w:shd w:val="clear" w:color="auto" w:fill="auto"/>
            <w:noWrap/>
            <w:vAlign w:val="bottom"/>
            <w:hideMark/>
          </w:tcPr>
          <w:p w14:paraId="2D902715"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0.06</w:t>
            </w:r>
          </w:p>
        </w:tc>
        <w:tc>
          <w:tcPr>
            <w:tcW w:w="1296" w:type="dxa"/>
            <w:tcBorders>
              <w:top w:val="nil"/>
              <w:left w:val="nil"/>
              <w:bottom w:val="nil"/>
              <w:right w:val="nil"/>
            </w:tcBorders>
            <w:shd w:val="clear" w:color="auto" w:fill="auto"/>
            <w:noWrap/>
            <w:vAlign w:val="bottom"/>
            <w:hideMark/>
          </w:tcPr>
          <w:p w14:paraId="0E382E71"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0.08</w:t>
            </w:r>
          </w:p>
        </w:tc>
        <w:tc>
          <w:tcPr>
            <w:tcW w:w="1296" w:type="dxa"/>
            <w:tcBorders>
              <w:top w:val="nil"/>
              <w:left w:val="nil"/>
              <w:bottom w:val="nil"/>
              <w:right w:val="nil"/>
            </w:tcBorders>
            <w:shd w:val="clear" w:color="auto" w:fill="auto"/>
            <w:noWrap/>
            <w:vAlign w:val="bottom"/>
            <w:hideMark/>
          </w:tcPr>
          <w:p w14:paraId="1C5A686A"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0.41</w:t>
            </w:r>
          </w:p>
        </w:tc>
        <w:tc>
          <w:tcPr>
            <w:tcW w:w="1296" w:type="dxa"/>
            <w:tcBorders>
              <w:top w:val="nil"/>
              <w:left w:val="nil"/>
              <w:bottom w:val="nil"/>
              <w:right w:val="nil"/>
            </w:tcBorders>
            <w:shd w:val="clear" w:color="auto" w:fill="auto"/>
            <w:noWrap/>
            <w:vAlign w:val="bottom"/>
            <w:hideMark/>
          </w:tcPr>
          <w:p w14:paraId="5364694C"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0.53</w:t>
            </w:r>
          </w:p>
        </w:tc>
      </w:tr>
      <w:tr w:rsidR="001B22F5" w:rsidRPr="004635E5" w14:paraId="0FCDB76B" w14:textId="77777777" w:rsidTr="00AD29CD">
        <w:trPr>
          <w:trHeight w:val="300"/>
        </w:trPr>
        <w:tc>
          <w:tcPr>
            <w:tcW w:w="1701" w:type="dxa"/>
            <w:tcBorders>
              <w:top w:val="nil"/>
              <w:left w:val="nil"/>
              <w:bottom w:val="nil"/>
              <w:right w:val="nil"/>
            </w:tcBorders>
            <w:shd w:val="clear" w:color="auto" w:fill="auto"/>
            <w:noWrap/>
            <w:vAlign w:val="bottom"/>
            <w:hideMark/>
          </w:tcPr>
          <w:p w14:paraId="7F91D938" w14:textId="77777777"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MSY</w:t>
            </w:r>
          </w:p>
        </w:tc>
        <w:tc>
          <w:tcPr>
            <w:tcW w:w="1134" w:type="dxa"/>
            <w:tcBorders>
              <w:top w:val="nil"/>
              <w:left w:val="nil"/>
              <w:bottom w:val="nil"/>
              <w:right w:val="nil"/>
            </w:tcBorders>
            <w:shd w:val="clear" w:color="auto" w:fill="auto"/>
            <w:noWrap/>
            <w:vAlign w:val="bottom"/>
            <w:hideMark/>
          </w:tcPr>
          <w:p w14:paraId="19474024"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71407</w:t>
            </w:r>
          </w:p>
        </w:tc>
        <w:tc>
          <w:tcPr>
            <w:tcW w:w="1053" w:type="dxa"/>
            <w:tcBorders>
              <w:top w:val="nil"/>
              <w:left w:val="nil"/>
              <w:bottom w:val="nil"/>
              <w:right w:val="nil"/>
            </w:tcBorders>
            <w:shd w:val="clear" w:color="auto" w:fill="auto"/>
            <w:noWrap/>
            <w:vAlign w:val="bottom"/>
            <w:hideMark/>
          </w:tcPr>
          <w:p w14:paraId="5D747639"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68650</w:t>
            </w:r>
          </w:p>
        </w:tc>
        <w:tc>
          <w:tcPr>
            <w:tcW w:w="1296" w:type="dxa"/>
            <w:tcBorders>
              <w:top w:val="nil"/>
              <w:left w:val="nil"/>
              <w:bottom w:val="nil"/>
              <w:right w:val="nil"/>
            </w:tcBorders>
            <w:shd w:val="clear" w:color="auto" w:fill="auto"/>
            <w:noWrap/>
            <w:vAlign w:val="bottom"/>
            <w:hideMark/>
          </w:tcPr>
          <w:p w14:paraId="57E85E0B"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26760</w:t>
            </w:r>
          </w:p>
        </w:tc>
        <w:tc>
          <w:tcPr>
            <w:tcW w:w="1296" w:type="dxa"/>
            <w:tcBorders>
              <w:top w:val="nil"/>
              <w:left w:val="nil"/>
              <w:bottom w:val="nil"/>
              <w:right w:val="nil"/>
            </w:tcBorders>
            <w:shd w:val="clear" w:color="auto" w:fill="auto"/>
            <w:noWrap/>
            <w:vAlign w:val="bottom"/>
            <w:hideMark/>
          </w:tcPr>
          <w:p w14:paraId="086CB713"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39872</w:t>
            </w:r>
          </w:p>
        </w:tc>
        <w:tc>
          <w:tcPr>
            <w:tcW w:w="1296" w:type="dxa"/>
            <w:tcBorders>
              <w:top w:val="nil"/>
              <w:left w:val="nil"/>
              <w:bottom w:val="nil"/>
              <w:right w:val="nil"/>
            </w:tcBorders>
            <w:shd w:val="clear" w:color="auto" w:fill="auto"/>
            <w:noWrap/>
            <w:vAlign w:val="bottom"/>
            <w:hideMark/>
          </w:tcPr>
          <w:p w14:paraId="4DB7F6AB"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100773</w:t>
            </w:r>
          </w:p>
        </w:tc>
        <w:tc>
          <w:tcPr>
            <w:tcW w:w="1296" w:type="dxa"/>
            <w:tcBorders>
              <w:top w:val="nil"/>
              <w:left w:val="nil"/>
              <w:bottom w:val="nil"/>
              <w:right w:val="nil"/>
            </w:tcBorders>
            <w:shd w:val="clear" w:color="auto" w:fill="auto"/>
            <w:noWrap/>
            <w:vAlign w:val="bottom"/>
            <w:hideMark/>
          </w:tcPr>
          <w:p w14:paraId="257EE2C0"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134000</w:t>
            </w:r>
          </w:p>
        </w:tc>
      </w:tr>
      <w:tr w:rsidR="001B22F5" w:rsidRPr="004635E5" w14:paraId="7EFCDC40" w14:textId="77777777" w:rsidTr="00AD29CD">
        <w:trPr>
          <w:trHeight w:val="300"/>
        </w:trPr>
        <w:tc>
          <w:tcPr>
            <w:tcW w:w="1701" w:type="dxa"/>
            <w:tcBorders>
              <w:top w:val="nil"/>
              <w:left w:val="nil"/>
              <w:bottom w:val="nil"/>
              <w:right w:val="nil"/>
            </w:tcBorders>
            <w:shd w:val="clear" w:color="auto" w:fill="auto"/>
            <w:noWrap/>
            <w:vAlign w:val="bottom"/>
            <w:hideMark/>
          </w:tcPr>
          <w:p w14:paraId="62024B47" w14:textId="77777777"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0</w:t>
            </w:r>
          </w:p>
        </w:tc>
        <w:tc>
          <w:tcPr>
            <w:tcW w:w="1134" w:type="dxa"/>
            <w:tcBorders>
              <w:top w:val="nil"/>
              <w:left w:val="nil"/>
              <w:bottom w:val="nil"/>
              <w:right w:val="nil"/>
            </w:tcBorders>
            <w:shd w:val="clear" w:color="auto" w:fill="auto"/>
            <w:noWrap/>
            <w:vAlign w:val="bottom"/>
            <w:hideMark/>
          </w:tcPr>
          <w:p w14:paraId="0D0EC09B"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443794</w:t>
            </w:r>
          </w:p>
        </w:tc>
        <w:tc>
          <w:tcPr>
            <w:tcW w:w="1053" w:type="dxa"/>
            <w:tcBorders>
              <w:top w:val="nil"/>
              <w:left w:val="nil"/>
              <w:bottom w:val="nil"/>
              <w:right w:val="nil"/>
            </w:tcBorders>
            <w:shd w:val="clear" w:color="auto" w:fill="auto"/>
            <w:noWrap/>
            <w:vAlign w:val="bottom"/>
            <w:hideMark/>
          </w:tcPr>
          <w:p w14:paraId="09FFBDAC"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439800</w:t>
            </w:r>
          </w:p>
        </w:tc>
        <w:tc>
          <w:tcPr>
            <w:tcW w:w="1296" w:type="dxa"/>
            <w:tcBorders>
              <w:top w:val="nil"/>
              <w:left w:val="nil"/>
              <w:bottom w:val="nil"/>
              <w:right w:val="nil"/>
            </w:tcBorders>
            <w:shd w:val="clear" w:color="auto" w:fill="auto"/>
            <w:noWrap/>
            <w:vAlign w:val="bottom"/>
            <w:hideMark/>
          </w:tcPr>
          <w:p w14:paraId="331C2E47"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308800</w:t>
            </w:r>
          </w:p>
        </w:tc>
        <w:tc>
          <w:tcPr>
            <w:tcW w:w="1296" w:type="dxa"/>
            <w:tcBorders>
              <w:top w:val="nil"/>
              <w:left w:val="nil"/>
              <w:bottom w:val="nil"/>
              <w:right w:val="nil"/>
            </w:tcBorders>
            <w:shd w:val="clear" w:color="auto" w:fill="auto"/>
            <w:noWrap/>
            <w:vAlign w:val="bottom"/>
            <w:hideMark/>
          </w:tcPr>
          <w:p w14:paraId="5B281582"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353870</w:t>
            </w:r>
          </w:p>
        </w:tc>
        <w:tc>
          <w:tcPr>
            <w:tcW w:w="1296" w:type="dxa"/>
            <w:tcBorders>
              <w:top w:val="nil"/>
              <w:left w:val="nil"/>
              <w:bottom w:val="nil"/>
              <w:right w:val="nil"/>
            </w:tcBorders>
            <w:shd w:val="clear" w:color="auto" w:fill="auto"/>
            <w:noWrap/>
            <w:vAlign w:val="bottom"/>
            <w:hideMark/>
          </w:tcPr>
          <w:p w14:paraId="2BCE1384"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510530</w:t>
            </w:r>
          </w:p>
        </w:tc>
        <w:tc>
          <w:tcPr>
            <w:tcW w:w="1296" w:type="dxa"/>
            <w:tcBorders>
              <w:top w:val="nil"/>
              <w:left w:val="nil"/>
              <w:bottom w:val="nil"/>
              <w:right w:val="nil"/>
            </w:tcBorders>
            <w:shd w:val="clear" w:color="auto" w:fill="auto"/>
            <w:noWrap/>
            <w:vAlign w:val="bottom"/>
            <w:hideMark/>
          </w:tcPr>
          <w:p w14:paraId="1BCF6906"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696200</w:t>
            </w:r>
          </w:p>
        </w:tc>
      </w:tr>
      <w:tr w:rsidR="001B22F5" w:rsidRPr="004635E5" w14:paraId="3EAFC9D7" w14:textId="77777777" w:rsidTr="00AD29CD">
        <w:trPr>
          <w:trHeight w:val="300"/>
        </w:trPr>
        <w:tc>
          <w:tcPr>
            <w:tcW w:w="1701" w:type="dxa"/>
            <w:tcBorders>
              <w:top w:val="nil"/>
              <w:left w:val="nil"/>
              <w:bottom w:val="nil"/>
              <w:right w:val="nil"/>
            </w:tcBorders>
            <w:shd w:val="clear" w:color="auto" w:fill="auto"/>
            <w:noWrap/>
            <w:vAlign w:val="bottom"/>
            <w:hideMark/>
          </w:tcPr>
          <w:p w14:paraId="459A719F" w14:textId="77777777"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MSY</w:t>
            </w:r>
            <w:r w:rsidRPr="004635E5">
              <w:rPr>
                <w:color w:val="000000"/>
                <w:sz w:val="22"/>
                <w:szCs w:val="22"/>
                <w:lang w:val="en-AU" w:eastAsia="en-AU"/>
              </w:rPr>
              <w:t>/SB</w:t>
            </w:r>
            <w:r w:rsidRPr="004635E5">
              <w:rPr>
                <w:color w:val="000000"/>
                <w:sz w:val="22"/>
                <w:szCs w:val="22"/>
                <w:vertAlign w:val="subscript"/>
                <w:lang w:val="en-AU" w:eastAsia="en-AU"/>
              </w:rPr>
              <w:t>0</w:t>
            </w:r>
          </w:p>
        </w:tc>
        <w:tc>
          <w:tcPr>
            <w:tcW w:w="1134" w:type="dxa"/>
            <w:tcBorders>
              <w:top w:val="nil"/>
              <w:left w:val="nil"/>
              <w:bottom w:val="nil"/>
              <w:right w:val="nil"/>
            </w:tcBorders>
            <w:shd w:val="clear" w:color="auto" w:fill="auto"/>
            <w:noWrap/>
            <w:vAlign w:val="bottom"/>
            <w:hideMark/>
          </w:tcPr>
          <w:p w14:paraId="5105A9AB"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0.16</w:t>
            </w:r>
          </w:p>
        </w:tc>
        <w:tc>
          <w:tcPr>
            <w:tcW w:w="1053" w:type="dxa"/>
            <w:tcBorders>
              <w:top w:val="nil"/>
              <w:left w:val="nil"/>
              <w:bottom w:val="nil"/>
              <w:right w:val="nil"/>
            </w:tcBorders>
            <w:shd w:val="clear" w:color="auto" w:fill="auto"/>
            <w:noWrap/>
            <w:vAlign w:val="bottom"/>
            <w:hideMark/>
          </w:tcPr>
          <w:p w14:paraId="614AD4D8"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0.17</w:t>
            </w:r>
          </w:p>
        </w:tc>
        <w:tc>
          <w:tcPr>
            <w:tcW w:w="1296" w:type="dxa"/>
            <w:tcBorders>
              <w:top w:val="nil"/>
              <w:left w:val="nil"/>
              <w:bottom w:val="nil"/>
              <w:right w:val="nil"/>
            </w:tcBorders>
            <w:shd w:val="clear" w:color="auto" w:fill="auto"/>
            <w:noWrap/>
            <w:vAlign w:val="bottom"/>
            <w:hideMark/>
          </w:tcPr>
          <w:p w14:paraId="0ED44680"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0.07</w:t>
            </w:r>
          </w:p>
        </w:tc>
        <w:tc>
          <w:tcPr>
            <w:tcW w:w="1296" w:type="dxa"/>
            <w:tcBorders>
              <w:top w:val="nil"/>
              <w:left w:val="nil"/>
              <w:bottom w:val="nil"/>
              <w:right w:val="nil"/>
            </w:tcBorders>
            <w:shd w:val="clear" w:color="auto" w:fill="auto"/>
            <w:noWrap/>
            <w:vAlign w:val="bottom"/>
            <w:hideMark/>
          </w:tcPr>
          <w:p w14:paraId="00A162C9"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0.1</w:t>
            </w:r>
          </w:p>
        </w:tc>
        <w:tc>
          <w:tcPr>
            <w:tcW w:w="1296" w:type="dxa"/>
            <w:tcBorders>
              <w:top w:val="nil"/>
              <w:left w:val="nil"/>
              <w:bottom w:val="nil"/>
              <w:right w:val="nil"/>
            </w:tcBorders>
            <w:shd w:val="clear" w:color="auto" w:fill="auto"/>
            <w:noWrap/>
            <w:vAlign w:val="bottom"/>
            <w:hideMark/>
          </w:tcPr>
          <w:p w14:paraId="4A577B08"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0.21</w:t>
            </w:r>
          </w:p>
        </w:tc>
        <w:tc>
          <w:tcPr>
            <w:tcW w:w="1296" w:type="dxa"/>
            <w:tcBorders>
              <w:top w:val="nil"/>
              <w:left w:val="nil"/>
              <w:bottom w:val="nil"/>
              <w:right w:val="nil"/>
            </w:tcBorders>
            <w:shd w:val="clear" w:color="auto" w:fill="auto"/>
            <w:noWrap/>
            <w:vAlign w:val="bottom"/>
            <w:hideMark/>
          </w:tcPr>
          <w:p w14:paraId="1917BCB9"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0.23</w:t>
            </w:r>
          </w:p>
        </w:tc>
      </w:tr>
      <w:tr w:rsidR="001B22F5" w:rsidRPr="004635E5" w14:paraId="601EA7FF" w14:textId="77777777" w:rsidTr="00AD29CD">
        <w:trPr>
          <w:trHeight w:val="300"/>
        </w:trPr>
        <w:tc>
          <w:tcPr>
            <w:tcW w:w="1701" w:type="dxa"/>
            <w:tcBorders>
              <w:top w:val="nil"/>
              <w:left w:val="nil"/>
              <w:bottom w:val="nil"/>
              <w:right w:val="nil"/>
            </w:tcBorders>
            <w:shd w:val="clear" w:color="auto" w:fill="auto"/>
            <w:noWrap/>
            <w:vAlign w:val="bottom"/>
            <w:hideMark/>
          </w:tcPr>
          <w:p w14:paraId="78DF25A1" w14:textId="77777777"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F=0</w:t>
            </w:r>
          </w:p>
        </w:tc>
        <w:tc>
          <w:tcPr>
            <w:tcW w:w="1134" w:type="dxa"/>
            <w:tcBorders>
              <w:top w:val="nil"/>
              <w:left w:val="nil"/>
              <w:bottom w:val="nil"/>
              <w:right w:val="nil"/>
            </w:tcBorders>
            <w:shd w:val="clear" w:color="auto" w:fill="auto"/>
            <w:noWrap/>
            <w:vAlign w:val="bottom"/>
            <w:hideMark/>
          </w:tcPr>
          <w:p w14:paraId="23B37A3D"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469004</w:t>
            </w:r>
          </w:p>
        </w:tc>
        <w:tc>
          <w:tcPr>
            <w:tcW w:w="1053" w:type="dxa"/>
            <w:tcBorders>
              <w:top w:val="nil"/>
              <w:left w:val="nil"/>
              <w:bottom w:val="nil"/>
              <w:right w:val="nil"/>
            </w:tcBorders>
            <w:shd w:val="clear" w:color="auto" w:fill="auto"/>
            <w:noWrap/>
            <w:vAlign w:val="bottom"/>
            <w:hideMark/>
          </w:tcPr>
          <w:p w14:paraId="37654D9A"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462633</w:t>
            </w:r>
          </w:p>
        </w:tc>
        <w:tc>
          <w:tcPr>
            <w:tcW w:w="1296" w:type="dxa"/>
            <w:tcBorders>
              <w:top w:val="nil"/>
              <w:left w:val="nil"/>
              <w:bottom w:val="nil"/>
              <w:right w:val="nil"/>
            </w:tcBorders>
            <w:shd w:val="clear" w:color="auto" w:fill="auto"/>
            <w:noWrap/>
            <w:vAlign w:val="bottom"/>
            <w:hideMark/>
          </w:tcPr>
          <w:p w14:paraId="445EE5CF"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380092</w:t>
            </w:r>
          </w:p>
        </w:tc>
        <w:tc>
          <w:tcPr>
            <w:tcW w:w="1296" w:type="dxa"/>
            <w:tcBorders>
              <w:top w:val="nil"/>
              <w:left w:val="nil"/>
              <w:bottom w:val="nil"/>
              <w:right w:val="nil"/>
            </w:tcBorders>
            <w:shd w:val="clear" w:color="auto" w:fill="auto"/>
            <w:noWrap/>
            <w:vAlign w:val="bottom"/>
            <w:hideMark/>
          </w:tcPr>
          <w:p w14:paraId="07A32060"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407792</w:t>
            </w:r>
          </w:p>
        </w:tc>
        <w:tc>
          <w:tcPr>
            <w:tcW w:w="1296" w:type="dxa"/>
            <w:tcBorders>
              <w:top w:val="nil"/>
              <w:left w:val="nil"/>
              <w:bottom w:val="nil"/>
              <w:right w:val="nil"/>
            </w:tcBorders>
            <w:shd w:val="clear" w:color="auto" w:fill="auto"/>
            <w:noWrap/>
            <w:vAlign w:val="bottom"/>
            <w:hideMark/>
          </w:tcPr>
          <w:p w14:paraId="181DC51D"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534040</w:t>
            </w:r>
          </w:p>
        </w:tc>
        <w:tc>
          <w:tcPr>
            <w:tcW w:w="1296" w:type="dxa"/>
            <w:tcBorders>
              <w:top w:val="nil"/>
              <w:left w:val="nil"/>
              <w:bottom w:val="nil"/>
              <w:right w:val="nil"/>
            </w:tcBorders>
            <w:shd w:val="clear" w:color="auto" w:fill="auto"/>
            <w:noWrap/>
            <w:vAlign w:val="bottom"/>
            <w:hideMark/>
          </w:tcPr>
          <w:p w14:paraId="491FB2E4"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620000</w:t>
            </w:r>
          </w:p>
        </w:tc>
      </w:tr>
      <w:tr w:rsidR="001B22F5" w:rsidRPr="004635E5" w14:paraId="3ADE01F6" w14:textId="77777777" w:rsidTr="00AD29CD">
        <w:trPr>
          <w:trHeight w:val="300"/>
        </w:trPr>
        <w:tc>
          <w:tcPr>
            <w:tcW w:w="1701" w:type="dxa"/>
            <w:tcBorders>
              <w:top w:val="nil"/>
              <w:left w:val="nil"/>
              <w:bottom w:val="nil"/>
              <w:right w:val="nil"/>
            </w:tcBorders>
            <w:shd w:val="clear" w:color="auto" w:fill="auto"/>
            <w:noWrap/>
            <w:vAlign w:val="bottom"/>
            <w:hideMark/>
          </w:tcPr>
          <w:p w14:paraId="131FD34E" w14:textId="77777777"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MSY</w:t>
            </w:r>
            <w:r w:rsidRPr="004635E5">
              <w:rPr>
                <w:color w:val="000000"/>
                <w:sz w:val="22"/>
                <w:szCs w:val="22"/>
                <w:lang w:val="en-AU" w:eastAsia="en-AU"/>
              </w:rPr>
              <w:t>/SB</w:t>
            </w:r>
            <w:r w:rsidRPr="004635E5">
              <w:rPr>
                <w:color w:val="000000"/>
                <w:sz w:val="22"/>
                <w:szCs w:val="22"/>
                <w:vertAlign w:val="subscript"/>
                <w:lang w:val="en-AU" w:eastAsia="en-AU"/>
              </w:rPr>
              <w:t>F=0</w:t>
            </w:r>
          </w:p>
        </w:tc>
        <w:tc>
          <w:tcPr>
            <w:tcW w:w="1134" w:type="dxa"/>
            <w:tcBorders>
              <w:top w:val="nil"/>
              <w:left w:val="nil"/>
              <w:bottom w:val="nil"/>
              <w:right w:val="nil"/>
            </w:tcBorders>
            <w:shd w:val="clear" w:color="auto" w:fill="auto"/>
            <w:noWrap/>
            <w:vAlign w:val="bottom"/>
            <w:hideMark/>
          </w:tcPr>
          <w:p w14:paraId="46FA1FDE"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0.15</w:t>
            </w:r>
          </w:p>
        </w:tc>
        <w:tc>
          <w:tcPr>
            <w:tcW w:w="1053" w:type="dxa"/>
            <w:tcBorders>
              <w:top w:val="nil"/>
              <w:left w:val="nil"/>
              <w:bottom w:val="nil"/>
              <w:right w:val="nil"/>
            </w:tcBorders>
            <w:shd w:val="clear" w:color="auto" w:fill="auto"/>
            <w:noWrap/>
            <w:vAlign w:val="bottom"/>
            <w:hideMark/>
          </w:tcPr>
          <w:p w14:paraId="04A55AE6"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0.15</w:t>
            </w:r>
          </w:p>
        </w:tc>
        <w:tc>
          <w:tcPr>
            <w:tcW w:w="1296" w:type="dxa"/>
            <w:tcBorders>
              <w:top w:val="nil"/>
              <w:left w:val="nil"/>
              <w:bottom w:val="nil"/>
              <w:right w:val="nil"/>
            </w:tcBorders>
            <w:shd w:val="clear" w:color="auto" w:fill="auto"/>
            <w:noWrap/>
            <w:vAlign w:val="bottom"/>
            <w:hideMark/>
          </w:tcPr>
          <w:p w14:paraId="569CD576"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0.06</w:t>
            </w:r>
          </w:p>
        </w:tc>
        <w:tc>
          <w:tcPr>
            <w:tcW w:w="1296" w:type="dxa"/>
            <w:tcBorders>
              <w:top w:val="nil"/>
              <w:left w:val="nil"/>
              <w:bottom w:val="nil"/>
              <w:right w:val="nil"/>
            </w:tcBorders>
            <w:shd w:val="clear" w:color="auto" w:fill="auto"/>
            <w:noWrap/>
            <w:vAlign w:val="bottom"/>
            <w:hideMark/>
          </w:tcPr>
          <w:p w14:paraId="59B5FAA4"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0.09</w:t>
            </w:r>
          </w:p>
        </w:tc>
        <w:tc>
          <w:tcPr>
            <w:tcW w:w="1296" w:type="dxa"/>
            <w:tcBorders>
              <w:top w:val="nil"/>
              <w:left w:val="nil"/>
              <w:bottom w:val="nil"/>
              <w:right w:val="nil"/>
            </w:tcBorders>
            <w:shd w:val="clear" w:color="auto" w:fill="auto"/>
            <w:noWrap/>
            <w:vAlign w:val="bottom"/>
            <w:hideMark/>
          </w:tcPr>
          <w:p w14:paraId="355D3933"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0.2</w:t>
            </w:r>
          </w:p>
        </w:tc>
        <w:tc>
          <w:tcPr>
            <w:tcW w:w="1296" w:type="dxa"/>
            <w:tcBorders>
              <w:top w:val="nil"/>
              <w:left w:val="nil"/>
              <w:bottom w:val="nil"/>
              <w:right w:val="nil"/>
            </w:tcBorders>
            <w:shd w:val="clear" w:color="auto" w:fill="auto"/>
            <w:noWrap/>
            <w:vAlign w:val="bottom"/>
            <w:hideMark/>
          </w:tcPr>
          <w:p w14:paraId="54682847"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0.22</w:t>
            </w:r>
          </w:p>
        </w:tc>
      </w:tr>
      <w:tr w:rsidR="001B22F5" w:rsidRPr="004635E5" w14:paraId="203D6D1B" w14:textId="77777777" w:rsidTr="00AD29CD">
        <w:trPr>
          <w:trHeight w:val="300"/>
        </w:trPr>
        <w:tc>
          <w:tcPr>
            <w:tcW w:w="1701" w:type="dxa"/>
            <w:tcBorders>
              <w:top w:val="nil"/>
              <w:left w:val="nil"/>
              <w:bottom w:val="nil"/>
              <w:right w:val="nil"/>
            </w:tcBorders>
            <w:shd w:val="clear" w:color="auto" w:fill="auto"/>
            <w:noWrap/>
            <w:vAlign w:val="bottom"/>
            <w:hideMark/>
          </w:tcPr>
          <w:p w14:paraId="71FE0FDC" w14:textId="77777777"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latest</w:t>
            </w:r>
            <w:r w:rsidRPr="004635E5">
              <w:rPr>
                <w:color w:val="000000"/>
                <w:sz w:val="22"/>
                <w:szCs w:val="22"/>
                <w:lang w:val="en-AU" w:eastAsia="en-AU"/>
              </w:rPr>
              <w:t>/SB</w:t>
            </w:r>
            <w:r w:rsidRPr="004635E5">
              <w:rPr>
                <w:color w:val="000000"/>
                <w:sz w:val="22"/>
                <w:szCs w:val="22"/>
                <w:vertAlign w:val="subscript"/>
                <w:lang w:val="en-AU" w:eastAsia="en-AU"/>
              </w:rPr>
              <w:t>0</w:t>
            </w:r>
          </w:p>
        </w:tc>
        <w:tc>
          <w:tcPr>
            <w:tcW w:w="1134" w:type="dxa"/>
            <w:tcBorders>
              <w:top w:val="nil"/>
              <w:left w:val="nil"/>
              <w:bottom w:val="nil"/>
              <w:right w:val="nil"/>
            </w:tcBorders>
            <w:shd w:val="clear" w:color="auto" w:fill="auto"/>
            <w:noWrap/>
            <w:vAlign w:val="bottom"/>
            <w:hideMark/>
          </w:tcPr>
          <w:p w14:paraId="3AB34E6D"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0.55</w:t>
            </w:r>
          </w:p>
        </w:tc>
        <w:tc>
          <w:tcPr>
            <w:tcW w:w="1053" w:type="dxa"/>
            <w:tcBorders>
              <w:top w:val="nil"/>
              <w:left w:val="nil"/>
              <w:bottom w:val="nil"/>
              <w:right w:val="nil"/>
            </w:tcBorders>
            <w:shd w:val="clear" w:color="auto" w:fill="auto"/>
            <w:noWrap/>
            <w:vAlign w:val="bottom"/>
            <w:hideMark/>
          </w:tcPr>
          <w:p w14:paraId="0BD48DD5"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0.56</w:t>
            </w:r>
          </w:p>
        </w:tc>
        <w:tc>
          <w:tcPr>
            <w:tcW w:w="1296" w:type="dxa"/>
            <w:tcBorders>
              <w:top w:val="nil"/>
              <w:left w:val="nil"/>
              <w:bottom w:val="nil"/>
              <w:right w:val="nil"/>
            </w:tcBorders>
            <w:shd w:val="clear" w:color="auto" w:fill="auto"/>
            <w:noWrap/>
            <w:vAlign w:val="bottom"/>
            <w:hideMark/>
          </w:tcPr>
          <w:p w14:paraId="7451DCDF"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0.33</w:t>
            </w:r>
          </w:p>
        </w:tc>
        <w:tc>
          <w:tcPr>
            <w:tcW w:w="1296" w:type="dxa"/>
            <w:tcBorders>
              <w:top w:val="nil"/>
              <w:left w:val="nil"/>
              <w:bottom w:val="nil"/>
              <w:right w:val="nil"/>
            </w:tcBorders>
            <w:shd w:val="clear" w:color="auto" w:fill="auto"/>
            <w:noWrap/>
            <w:vAlign w:val="bottom"/>
            <w:hideMark/>
          </w:tcPr>
          <w:p w14:paraId="03935592"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0.42</w:t>
            </w:r>
          </w:p>
        </w:tc>
        <w:tc>
          <w:tcPr>
            <w:tcW w:w="1296" w:type="dxa"/>
            <w:tcBorders>
              <w:top w:val="nil"/>
              <w:left w:val="nil"/>
              <w:bottom w:val="nil"/>
              <w:right w:val="nil"/>
            </w:tcBorders>
            <w:shd w:val="clear" w:color="auto" w:fill="auto"/>
            <w:noWrap/>
            <w:vAlign w:val="bottom"/>
            <w:hideMark/>
          </w:tcPr>
          <w:p w14:paraId="46466D93"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0.69</w:t>
            </w:r>
          </w:p>
        </w:tc>
        <w:tc>
          <w:tcPr>
            <w:tcW w:w="1296" w:type="dxa"/>
            <w:tcBorders>
              <w:top w:val="nil"/>
              <w:left w:val="nil"/>
              <w:bottom w:val="nil"/>
              <w:right w:val="nil"/>
            </w:tcBorders>
            <w:shd w:val="clear" w:color="auto" w:fill="auto"/>
            <w:noWrap/>
            <w:vAlign w:val="bottom"/>
            <w:hideMark/>
          </w:tcPr>
          <w:p w14:paraId="16E66856"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0.74</w:t>
            </w:r>
          </w:p>
        </w:tc>
      </w:tr>
      <w:tr w:rsidR="001B22F5" w:rsidRPr="004635E5" w14:paraId="473A099A" w14:textId="77777777" w:rsidTr="00AD29CD">
        <w:trPr>
          <w:trHeight w:val="300"/>
        </w:trPr>
        <w:tc>
          <w:tcPr>
            <w:tcW w:w="1701" w:type="dxa"/>
            <w:tcBorders>
              <w:top w:val="nil"/>
              <w:left w:val="nil"/>
              <w:bottom w:val="nil"/>
              <w:right w:val="nil"/>
            </w:tcBorders>
            <w:shd w:val="clear" w:color="auto" w:fill="auto"/>
            <w:noWrap/>
            <w:vAlign w:val="bottom"/>
            <w:hideMark/>
          </w:tcPr>
          <w:p w14:paraId="6F8F71AF" w14:textId="77777777"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latest</w:t>
            </w:r>
            <w:r w:rsidRPr="004635E5">
              <w:rPr>
                <w:color w:val="000000"/>
                <w:sz w:val="22"/>
                <w:szCs w:val="22"/>
                <w:lang w:val="en-AU" w:eastAsia="en-AU"/>
              </w:rPr>
              <w:t>/SB</w:t>
            </w:r>
            <w:r w:rsidRPr="004635E5">
              <w:rPr>
                <w:color w:val="000000"/>
                <w:sz w:val="22"/>
                <w:szCs w:val="22"/>
                <w:vertAlign w:val="subscript"/>
                <w:lang w:val="en-AU" w:eastAsia="en-AU"/>
              </w:rPr>
              <w:t>F=0</w:t>
            </w:r>
          </w:p>
        </w:tc>
        <w:tc>
          <w:tcPr>
            <w:tcW w:w="1134" w:type="dxa"/>
            <w:tcBorders>
              <w:top w:val="nil"/>
              <w:left w:val="nil"/>
              <w:bottom w:val="nil"/>
              <w:right w:val="nil"/>
            </w:tcBorders>
            <w:shd w:val="clear" w:color="auto" w:fill="auto"/>
            <w:noWrap/>
            <w:vAlign w:val="bottom"/>
            <w:hideMark/>
          </w:tcPr>
          <w:p w14:paraId="6D092E59"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0.53</w:t>
            </w:r>
          </w:p>
        </w:tc>
        <w:tc>
          <w:tcPr>
            <w:tcW w:w="1053" w:type="dxa"/>
            <w:tcBorders>
              <w:top w:val="nil"/>
              <w:left w:val="nil"/>
              <w:bottom w:val="nil"/>
              <w:right w:val="nil"/>
            </w:tcBorders>
            <w:shd w:val="clear" w:color="auto" w:fill="auto"/>
            <w:noWrap/>
            <w:vAlign w:val="bottom"/>
            <w:hideMark/>
          </w:tcPr>
          <w:p w14:paraId="1443FC34"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0.52</w:t>
            </w:r>
          </w:p>
        </w:tc>
        <w:tc>
          <w:tcPr>
            <w:tcW w:w="1296" w:type="dxa"/>
            <w:tcBorders>
              <w:top w:val="nil"/>
              <w:left w:val="nil"/>
              <w:bottom w:val="nil"/>
              <w:right w:val="nil"/>
            </w:tcBorders>
            <w:shd w:val="clear" w:color="auto" w:fill="auto"/>
            <w:noWrap/>
            <w:vAlign w:val="bottom"/>
            <w:hideMark/>
          </w:tcPr>
          <w:p w14:paraId="0F2F11B6"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0.3</w:t>
            </w:r>
          </w:p>
        </w:tc>
        <w:tc>
          <w:tcPr>
            <w:tcW w:w="1296" w:type="dxa"/>
            <w:tcBorders>
              <w:top w:val="nil"/>
              <w:left w:val="nil"/>
              <w:bottom w:val="nil"/>
              <w:right w:val="nil"/>
            </w:tcBorders>
            <w:shd w:val="clear" w:color="auto" w:fill="auto"/>
            <w:noWrap/>
            <w:vAlign w:val="bottom"/>
            <w:hideMark/>
          </w:tcPr>
          <w:p w14:paraId="1BC73D26"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0.37</w:t>
            </w:r>
          </w:p>
        </w:tc>
        <w:tc>
          <w:tcPr>
            <w:tcW w:w="1296" w:type="dxa"/>
            <w:tcBorders>
              <w:top w:val="nil"/>
              <w:left w:val="nil"/>
              <w:bottom w:val="nil"/>
              <w:right w:val="nil"/>
            </w:tcBorders>
            <w:shd w:val="clear" w:color="auto" w:fill="auto"/>
            <w:noWrap/>
            <w:vAlign w:val="bottom"/>
            <w:hideMark/>
          </w:tcPr>
          <w:p w14:paraId="45819FF7"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0.69</w:t>
            </w:r>
          </w:p>
        </w:tc>
        <w:tc>
          <w:tcPr>
            <w:tcW w:w="1296" w:type="dxa"/>
            <w:tcBorders>
              <w:top w:val="nil"/>
              <w:left w:val="nil"/>
              <w:bottom w:val="nil"/>
              <w:right w:val="nil"/>
            </w:tcBorders>
            <w:shd w:val="clear" w:color="auto" w:fill="auto"/>
            <w:noWrap/>
            <w:vAlign w:val="bottom"/>
            <w:hideMark/>
          </w:tcPr>
          <w:p w14:paraId="18E2934F"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0.77</w:t>
            </w:r>
          </w:p>
        </w:tc>
      </w:tr>
      <w:tr w:rsidR="001B22F5" w:rsidRPr="004635E5" w14:paraId="6EEB0BD1" w14:textId="77777777" w:rsidTr="00AD29CD">
        <w:trPr>
          <w:trHeight w:val="300"/>
        </w:trPr>
        <w:tc>
          <w:tcPr>
            <w:tcW w:w="1701" w:type="dxa"/>
            <w:tcBorders>
              <w:top w:val="nil"/>
              <w:left w:val="nil"/>
              <w:bottom w:val="nil"/>
              <w:right w:val="nil"/>
            </w:tcBorders>
            <w:shd w:val="clear" w:color="auto" w:fill="auto"/>
            <w:noWrap/>
            <w:vAlign w:val="bottom"/>
            <w:hideMark/>
          </w:tcPr>
          <w:p w14:paraId="188F32DD" w14:textId="77777777"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latest</w:t>
            </w:r>
            <w:r w:rsidRPr="004635E5">
              <w:rPr>
                <w:color w:val="000000"/>
                <w:sz w:val="22"/>
                <w:szCs w:val="22"/>
                <w:lang w:val="en-AU" w:eastAsia="en-AU"/>
              </w:rPr>
              <w:t>/SB</w:t>
            </w:r>
            <w:r w:rsidRPr="004635E5">
              <w:rPr>
                <w:color w:val="000000"/>
                <w:sz w:val="22"/>
                <w:szCs w:val="22"/>
                <w:vertAlign w:val="subscript"/>
                <w:lang w:val="en-AU" w:eastAsia="en-AU"/>
              </w:rPr>
              <w:t>MSY</w:t>
            </w:r>
          </w:p>
        </w:tc>
        <w:tc>
          <w:tcPr>
            <w:tcW w:w="1134" w:type="dxa"/>
            <w:tcBorders>
              <w:top w:val="nil"/>
              <w:left w:val="nil"/>
              <w:bottom w:val="nil"/>
              <w:right w:val="nil"/>
            </w:tcBorders>
            <w:shd w:val="clear" w:color="auto" w:fill="auto"/>
            <w:noWrap/>
            <w:vAlign w:val="bottom"/>
            <w:hideMark/>
          </w:tcPr>
          <w:p w14:paraId="489EFA90"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4</w:t>
            </w:r>
          </w:p>
        </w:tc>
        <w:tc>
          <w:tcPr>
            <w:tcW w:w="1053" w:type="dxa"/>
            <w:tcBorders>
              <w:top w:val="nil"/>
              <w:left w:val="nil"/>
              <w:bottom w:val="nil"/>
              <w:right w:val="nil"/>
            </w:tcBorders>
            <w:shd w:val="clear" w:color="auto" w:fill="auto"/>
            <w:noWrap/>
            <w:vAlign w:val="bottom"/>
            <w:hideMark/>
          </w:tcPr>
          <w:p w14:paraId="15FF3B95"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3.42</w:t>
            </w:r>
          </w:p>
        </w:tc>
        <w:tc>
          <w:tcPr>
            <w:tcW w:w="1296" w:type="dxa"/>
            <w:tcBorders>
              <w:top w:val="nil"/>
              <w:left w:val="nil"/>
              <w:bottom w:val="nil"/>
              <w:right w:val="nil"/>
            </w:tcBorders>
            <w:shd w:val="clear" w:color="auto" w:fill="auto"/>
            <w:noWrap/>
            <w:vAlign w:val="bottom"/>
            <w:hideMark/>
          </w:tcPr>
          <w:p w14:paraId="7B9D91BA"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1.45</w:t>
            </w:r>
          </w:p>
        </w:tc>
        <w:tc>
          <w:tcPr>
            <w:tcW w:w="1296" w:type="dxa"/>
            <w:tcBorders>
              <w:top w:val="nil"/>
              <w:left w:val="nil"/>
              <w:bottom w:val="nil"/>
              <w:right w:val="nil"/>
            </w:tcBorders>
            <w:shd w:val="clear" w:color="auto" w:fill="auto"/>
            <w:noWrap/>
            <w:vAlign w:val="bottom"/>
            <w:hideMark/>
          </w:tcPr>
          <w:p w14:paraId="66EC7B2A"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1.96</w:t>
            </w:r>
          </w:p>
        </w:tc>
        <w:tc>
          <w:tcPr>
            <w:tcW w:w="1296" w:type="dxa"/>
            <w:tcBorders>
              <w:top w:val="nil"/>
              <w:left w:val="nil"/>
              <w:bottom w:val="nil"/>
              <w:right w:val="nil"/>
            </w:tcBorders>
            <w:shd w:val="clear" w:color="auto" w:fill="auto"/>
            <w:noWrap/>
            <w:vAlign w:val="bottom"/>
            <w:hideMark/>
          </w:tcPr>
          <w:p w14:paraId="193DD7FF"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7.07</w:t>
            </w:r>
          </w:p>
        </w:tc>
        <w:tc>
          <w:tcPr>
            <w:tcW w:w="1296" w:type="dxa"/>
            <w:tcBorders>
              <w:top w:val="nil"/>
              <w:left w:val="nil"/>
              <w:bottom w:val="nil"/>
              <w:right w:val="nil"/>
            </w:tcBorders>
            <w:shd w:val="clear" w:color="auto" w:fill="auto"/>
            <w:noWrap/>
            <w:vAlign w:val="bottom"/>
            <w:hideMark/>
          </w:tcPr>
          <w:p w14:paraId="74940E07"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10.74</w:t>
            </w:r>
          </w:p>
        </w:tc>
      </w:tr>
      <w:tr w:rsidR="001B22F5" w:rsidRPr="004635E5" w14:paraId="4E4A596B" w14:textId="77777777" w:rsidTr="00AD29CD">
        <w:trPr>
          <w:trHeight w:val="300"/>
        </w:trPr>
        <w:tc>
          <w:tcPr>
            <w:tcW w:w="1701" w:type="dxa"/>
            <w:tcBorders>
              <w:top w:val="nil"/>
              <w:left w:val="nil"/>
              <w:right w:val="nil"/>
            </w:tcBorders>
            <w:shd w:val="clear" w:color="auto" w:fill="auto"/>
            <w:noWrap/>
            <w:vAlign w:val="bottom"/>
            <w:hideMark/>
          </w:tcPr>
          <w:p w14:paraId="4A3132B5" w14:textId="77777777"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recent</w:t>
            </w:r>
            <w:r w:rsidRPr="004635E5">
              <w:rPr>
                <w:color w:val="000000"/>
                <w:sz w:val="22"/>
                <w:szCs w:val="22"/>
                <w:lang w:val="en-AU" w:eastAsia="en-AU"/>
              </w:rPr>
              <w:t>/SB</w:t>
            </w:r>
            <w:r w:rsidRPr="004635E5">
              <w:rPr>
                <w:color w:val="000000"/>
                <w:sz w:val="22"/>
                <w:szCs w:val="22"/>
                <w:vertAlign w:val="subscript"/>
                <w:lang w:val="en-AU" w:eastAsia="en-AU"/>
              </w:rPr>
              <w:t>F=0</w:t>
            </w:r>
          </w:p>
        </w:tc>
        <w:tc>
          <w:tcPr>
            <w:tcW w:w="1134" w:type="dxa"/>
            <w:tcBorders>
              <w:top w:val="nil"/>
              <w:left w:val="nil"/>
              <w:right w:val="nil"/>
            </w:tcBorders>
            <w:shd w:val="clear" w:color="auto" w:fill="auto"/>
            <w:noWrap/>
            <w:vAlign w:val="bottom"/>
            <w:hideMark/>
          </w:tcPr>
          <w:p w14:paraId="5C73253D"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0.51</w:t>
            </w:r>
          </w:p>
        </w:tc>
        <w:tc>
          <w:tcPr>
            <w:tcW w:w="1053" w:type="dxa"/>
            <w:tcBorders>
              <w:top w:val="nil"/>
              <w:left w:val="nil"/>
              <w:right w:val="nil"/>
            </w:tcBorders>
            <w:shd w:val="clear" w:color="auto" w:fill="auto"/>
            <w:noWrap/>
            <w:vAlign w:val="bottom"/>
            <w:hideMark/>
          </w:tcPr>
          <w:p w14:paraId="48688D0C"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0.52</w:t>
            </w:r>
          </w:p>
        </w:tc>
        <w:tc>
          <w:tcPr>
            <w:tcW w:w="1296" w:type="dxa"/>
            <w:tcBorders>
              <w:top w:val="nil"/>
              <w:left w:val="nil"/>
              <w:right w:val="nil"/>
            </w:tcBorders>
            <w:shd w:val="clear" w:color="auto" w:fill="auto"/>
            <w:noWrap/>
            <w:vAlign w:val="bottom"/>
            <w:hideMark/>
          </w:tcPr>
          <w:p w14:paraId="6DF7D0CF"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0.32</w:t>
            </w:r>
          </w:p>
        </w:tc>
        <w:tc>
          <w:tcPr>
            <w:tcW w:w="1296" w:type="dxa"/>
            <w:tcBorders>
              <w:top w:val="nil"/>
              <w:left w:val="nil"/>
              <w:right w:val="nil"/>
            </w:tcBorders>
            <w:shd w:val="clear" w:color="auto" w:fill="auto"/>
            <w:noWrap/>
            <w:vAlign w:val="bottom"/>
            <w:hideMark/>
          </w:tcPr>
          <w:p w14:paraId="57129207"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0.37</w:t>
            </w:r>
          </w:p>
        </w:tc>
        <w:tc>
          <w:tcPr>
            <w:tcW w:w="1296" w:type="dxa"/>
            <w:tcBorders>
              <w:top w:val="nil"/>
              <w:left w:val="nil"/>
              <w:right w:val="nil"/>
            </w:tcBorders>
            <w:shd w:val="clear" w:color="auto" w:fill="auto"/>
            <w:noWrap/>
            <w:vAlign w:val="bottom"/>
            <w:hideMark/>
          </w:tcPr>
          <w:p w14:paraId="7E79080E"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0.63</w:t>
            </w:r>
          </w:p>
        </w:tc>
        <w:tc>
          <w:tcPr>
            <w:tcW w:w="1296" w:type="dxa"/>
            <w:tcBorders>
              <w:top w:val="nil"/>
              <w:left w:val="nil"/>
              <w:right w:val="nil"/>
            </w:tcBorders>
            <w:shd w:val="clear" w:color="auto" w:fill="auto"/>
            <w:noWrap/>
            <w:vAlign w:val="bottom"/>
            <w:hideMark/>
          </w:tcPr>
          <w:p w14:paraId="04370869"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0.72</w:t>
            </w:r>
          </w:p>
        </w:tc>
      </w:tr>
      <w:tr w:rsidR="001B22F5" w:rsidRPr="004635E5" w14:paraId="593AC0E4" w14:textId="77777777" w:rsidTr="00AD29CD">
        <w:trPr>
          <w:trHeight w:val="300"/>
        </w:trPr>
        <w:tc>
          <w:tcPr>
            <w:tcW w:w="1701" w:type="dxa"/>
            <w:tcBorders>
              <w:top w:val="nil"/>
              <w:left w:val="nil"/>
              <w:bottom w:val="single" w:sz="4" w:space="0" w:color="auto"/>
              <w:right w:val="nil"/>
            </w:tcBorders>
            <w:shd w:val="clear" w:color="auto" w:fill="auto"/>
            <w:noWrap/>
            <w:vAlign w:val="bottom"/>
            <w:hideMark/>
          </w:tcPr>
          <w:p w14:paraId="15553D55" w14:textId="77777777"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recent</w:t>
            </w:r>
            <w:r w:rsidRPr="004635E5">
              <w:rPr>
                <w:color w:val="000000"/>
                <w:sz w:val="22"/>
                <w:szCs w:val="22"/>
                <w:lang w:val="en-AU" w:eastAsia="en-AU"/>
              </w:rPr>
              <w:t>/SB</w:t>
            </w:r>
            <w:r w:rsidRPr="004635E5">
              <w:rPr>
                <w:color w:val="000000"/>
                <w:sz w:val="22"/>
                <w:szCs w:val="22"/>
                <w:vertAlign w:val="subscript"/>
                <w:lang w:val="en-AU" w:eastAsia="en-AU"/>
              </w:rPr>
              <w:t>MSY</w:t>
            </w:r>
          </w:p>
        </w:tc>
        <w:tc>
          <w:tcPr>
            <w:tcW w:w="1134" w:type="dxa"/>
            <w:tcBorders>
              <w:top w:val="nil"/>
              <w:left w:val="nil"/>
              <w:bottom w:val="single" w:sz="4" w:space="0" w:color="auto"/>
              <w:right w:val="nil"/>
            </w:tcBorders>
            <w:shd w:val="clear" w:color="auto" w:fill="auto"/>
            <w:noWrap/>
            <w:vAlign w:val="bottom"/>
            <w:hideMark/>
          </w:tcPr>
          <w:p w14:paraId="021EA918"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3.88</w:t>
            </w:r>
          </w:p>
        </w:tc>
        <w:tc>
          <w:tcPr>
            <w:tcW w:w="1053" w:type="dxa"/>
            <w:tcBorders>
              <w:top w:val="nil"/>
              <w:left w:val="nil"/>
              <w:bottom w:val="single" w:sz="4" w:space="0" w:color="auto"/>
              <w:right w:val="nil"/>
            </w:tcBorders>
            <w:shd w:val="clear" w:color="auto" w:fill="auto"/>
            <w:noWrap/>
            <w:vAlign w:val="bottom"/>
            <w:hideMark/>
          </w:tcPr>
          <w:p w14:paraId="6D49AE92"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3.3</w:t>
            </w:r>
          </w:p>
        </w:tc>
        <w:tc>
          <w:tcPr>
            <w:tcW w:w="1296" w:type="dxa"/>
            <w:tcBorders>
              <w:top w:val="nil"/>
              <w:left w:val="nil"/>
              <w:bottom w:val="single" w:sz="4" w:space="0" w:color="auto"/>
              <w:right w:val="nil"/>
            </w:tcBorders>
            <w:shd w:val="clear" w:color="auto" w:fill="auto"/>
            <w:noWrap/>
            <w:vAlign w:val="bottom"/>
            <w:hideMark/>
          </w:tcPr>
          <w:p w14:paraId="3EBB015D"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1.58</w:t>
            </w:r>
          </w:p>
        </w:tc>
        <w:tc>
          <w:tcPr>
            <w:tcW w:w="1296" w:type="dxa"/>
            <w:tcBorders>
              <w:top w:val="nil"/>
              <w:left w:val="nil"/>
              <w:bottom w:val="single" w:sz="4" w:space="0" w:color="auto"/>
              <w:right w:val="nil"/>
            </w:tcBorders>
            <w:shd w:val="clear" w:color="auto" w:fill="auto"/>
            <w:noWrap/>
            <w:vAlign w:val="bottom"/>
            <w:hideMark/>
          </w:tcPr>
          <w:p w14:paraId="273033F7"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1.96</w:t>
            </w:r>
          </w:p>
        </w:tc>
        <w:tc>
          <w:tcPr>
            <w:tcW w:w="1296" w:type="dxa"/>
            <w:tcBorders>
              <w:top w:val="nil"/>
              <w:left w:val="nil"/>
              <w:bottom w:val="single" w:sz="4" w:space="0" w:color="auto"/>
              <w:right w:val="nil"/>
            </w:tcBorders>
            <w:shd w:val="clear" w:color="auto" w:fill="auto"/>
            <w:noWrap/>
            <w:vAlign w:val="bottom"/>
            <w:hideMark/>
          </w:tcPr>
          <w:p w14:paraId="7F4642C6"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6.56</w:t>
            </w:r>
          </w:p>
        </w:tc>
        <w:tc>
          <w:tcPr>
            <w:tcW w:w="1296" w:type="dxa"/>
            <w:tcBorders>
              <w:top w:val="nil"/>
              <w:left w:val="nil"/>
              <w:bottom w:val="single" w:sz="4" w:space="0" w:color="auto"/>
              <w:right w:val="nil"/>
            </w:tcBorders>
            <w:shd w:val="clear" w:color="auto" w:fill="auto"/>
            <w:noWrap/>
            <w:vAlign w:val="bottom"/>
            <w:hideMark/>
          </w:tcPr>
          <w:p w14:paraId="457CA109" w14:textId="77777777"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9.67</w:t>
            </w:r>
          </w:p>
        </w:tc>
      </w:tr>
    </w:tbl>
    <w:p w14:paraId="3E06D6E0" w14:textId="1D8A4B38" w:rsidR="001B22F5" w:rsidRPr="004635E5" w:rsidRDefault="001B22F5"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drawing>
          <wp:inline distT="0" distB="0" distL="0" distR="0" wp14:anchorId="775D7CC5" wp14:editId="58888062">
            <wp:extent cx="5495925" cy="3964871"/>
            <wp:effectExtent l="0" t="0" r="0" b="0"/>
            <wp:docPr id="39" name="Picture 1" descr="ALB-region-map-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region-map-20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99454" cy="3967417"/>
                    </a:xfrm>
                    <a:prstGeom prst="rect">
                      <a:avLst/>
                    </a:prstGeom>
                    <a:noFill/>
                    <a:ln>
                      <a:noFill/>
                    </a:ln>
                  </pic:spPr>
                </pic:pic>
              </a:graphicData>
            </a:graphic>
          </wp:inline>
        </w:drawing>
      </w:r>
      <w:r w:rsidRPr="004635E5">
        <w:rPr>
          <w:rFonts w:cs="Times New Roman"/>
          <w:b/>
        </w:rPr>
        <w:t xml:space="preserve">Figure SPA- </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117A6F">
        <w:rPr>
          <w:rFonts w:cs="Times New Roman"/>
          <w:b/>
          <w:noProof/>
        </w:rPr>
        <w:t>13</w:t>
      </w:r>
      <w:r w:rsidR="00472973" w:rsidRPr="004635E5">
        <w:rPr>
          <w:rFonts w:cs="Times New Roman"/>
          <w:b/>
          <w:noProof/>
        </w:rPr>
        <w:fldChar w:fldCharType="end"/>
      </w:r>
      <w:r w:rsidR="00CD6C20"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 xml:space="preserve">The geographical area covered by the stock assessment and the boundaries for the 5 regions under the </w:t>
      </w:r>
      <w:r w:rsidR="00815574">
        <w:rPr>
          <w:rStyle w:val="fontstyle01"/>
          <w:rFonts w:ascii="Times New Roman" w:hAnsi="Times New Roman" w:cs="Times New Roman"/>
          <w:color w:val="auto"/>
          <w:lang w:eastAsia="ko-KR"/>
        </w:rPr>
        <w:t>“</w:t>
      </w:r>
      <w:r w:rsidRPr="004635E5">
        <w:rPr>
          <w:rStyle w:val="fontstyle01"/>
          <w:rFonts w:ascii="Times New Roman" w:hAnsi="Times New Roman" w:cs="Times New Roman"/>
          <w:color w:val="auto"/>
        </w:rPr>
        <w:t>updated 2018 regional structure".</w:t>
      </w:r>
    </w:p>
    <w:p w14:paraId="276E265E" w14:textId="77777777" w:rsidR="001B22F5" w:rsidRPr="004635E5" w:rsidRDefault="001B22F5"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drawing>
          <wp:inline distT="0" distB="0" distL="0" distR="0" wp14:anchorId="07B22252" wp14:editId="57DB5AC9">
            <wp:extent cx="5495925" cy="4046071"/>
            <wp:effectExtent l="0" t="0" r="0" b="0"/>
            <wp:docPr id="40" name="Picture 2" descr="plot_timeseries_catch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ot_timeseries_catch_FUL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95925" cy="4046071"/>
                    </a:xfrm>
                    <a:prstGeom prst="rect">
                      <a:avLst/>
                    </a:prstGeom>
                    <a:noFill/>
                    <a:ln>
                      <a:noFill/>
                    </a:ln>
                  </pic:spPr>
                </pic:pic>
              </a:graphicData>
            </a:graphic>
          </wp:inline>
        </w:drawing>
      </w:r>
    </w:p>
    <w:p w14:paraId="47C2B991" w14:textId="061AFE89" w:rsidR="001B22F5" w:rsidRPr="004635E5" w:rsidRDefault="001B22F5" w:rsidP="006633A8">
      <w:pPr>
        <w:pStyle w:val="WCPFC"/>
        <w:numPr>
          <w:ilvl w:val="0"/>
          <w:numId w:val="0"/>
        </w:numPr>
        <w:adjustRightInd w:val="0"/>
        <w:spacing w:after="0"/>
        <w:ind w:left="360"/>
        <w:rPr>
          <w:rFonts w:cs="Times New Roman"/>
        </w:rPr>
      </w:pPr>
      <w:r w:rsidRPr="004635E5">
        <w:rPr>
          <w:rFonts w:cs="Times New Roman"/>
          <w:b/>
        </w:rPr>
        <w:t xml:space="preserve">Figure SPA- </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117A6F">
        <w:rPr>
          <w:rFonts w:cs="Times New Roman"/>
          <w:b/>
          <w:noProof/>
        </w:rPr>
        <w:t>14</w:t>
      </w:r>
      <w:r w:rsidR="00472973" w:rsidRPr="004635E5">
        <w:rPr>
          <w:rFonts w:cs="Times New Roman"/>
          <w:b/>
          <w:noProof/>
        </w:rPr>
        <w:fldChar w:fldCharType="end"/>
      </w:r>
      <w:r w:rsidR="00CD6C20" w:rsidRPr="004635E5">
        <w:rPr>
          <w:rFonts w:cs="Times New Roman"/>
          <w:b/>
          <w:noProof/>
        </w:rPr>
        <w:t>.</w:t>
      </w:r>
      <w:r w:rsidR="00CD6C20" w:rsidRPr="004635E5">
        <w:rPr>
          <w:rFonts w:cs="Times New Roman"/>
        </w:rPr>
        <w:t xml:space="preserve"> </w:t>
      </w:r>
      <w:r w:rsidRPr="004635E5">
        <w:rPr>
          <w:rStyle w:val="fontstyle01"/>
          <w:rFonts w:ascii="Times New Roman" w:hAnsi="Times New Roman" w:cs="Times New Roman"/>
          <w:color w:val="auto"/>
        </w:rPr>
        <w:t>Time series of total annual catch (1000’s mt) by fishing gear for the diagnostic case model over the full assessment period. The different colours refer to longline (green), troll (yellow) and driftnet (turquoise). Note that the catch by longline gear has been converted into catch-in-weight from catch-in-numbers.</w:t>
      </w:r>
    </w:p>
    <w:p w14:paraId="1455CC37" w14:textId="77777777" w:rsidR="001B22F5" w:rsidRPr="004635E5" w:rsidRDefault="001B22F5" w:rsidP="006633A8">
      <w:pPr>
        <w:pStyle w:val="WCPFC"/>
        <w:numPr>
          <w:ilvl w:val="0"/>
          <w:numId w:val="0"/>
        </w:numPr>
        <w:adjustRightInd w:val="0"/>
        <w:spacing w:after="0"/>
        <w:ind w:left="360"/>
        <w:jc w:val="center"/>
        <w:rPr>
          <w:rFonts w:cs="Times New Roman"/>
        </w:rPr>
      </w:pPr>
      <w:r w:rsidRPr="004635E5">
        <w:rPr>
          <w:rFonts w:cs="Times New Roman"/>
          <w:noProof/>
          <w:lang w:val="en-US" w:eastAsia="zh-CN" w:bidi="mn-Mong-CN"/>
        </w:rPr>
        <w:drawing>
          <wp:inline distT="0" distB="0" distL="0" distR="0" wp14:anchorId="1536B74D" wp14:editId="6F22B620">
            <wp:extent cx="5943600" cy="4592011"/>
            <wp:effectExtent l="0" t="0" r="0" b="0"/>
            <wp:docPr id="41" name="Picture 1" descr="C:\Projects\penguin-alb-2018\Write-up\stock-assessment\Figures\DiagnosticCase\plot_timeseries_catch_REGIO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jects\penguin-alb-2018\Write-up\stock-assessment\Figures\DiagnosticCase\plot_timeseries_catch_REGIONAL.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4592011"/>
                    </a:xfrm>
                    <a:prstGeom prst="rect">
                      <a:avLst/>
                    </a:prstGeom>
                    <a:noFill/>
                    <a:ln>
                      <a:noFill/>
                    </a:ln>
                  </pic:spPr>
                </pic:pic>
              </a:graphicData>
            </a:graphic>
          </wp:inline>
        </w:drawing>
      </w:r>
    </w:p>
    <w:p w14:paraId="3A8819F8" w14:textId="4C5B2B40" w:rsidR="001B22F5" w:rsidRPr="004635E5" w:rsidRDefault="001B22F5" w:rsidP="006633A8">
      <w:pPr>
        <w:pStyle w:val="WCPFC"/>
        <w:numPr>
          <w:ilvl w:val="0"/>
          <w:numId w:val="0"/>
        </w:numPr>
        <w:adjustRightInd w:val="0"/>
        <w:spacing w:after="0"/>
        <w:ind w:left="360"/>
        <w:rPr>
          <w:rStyle w:val="fontstyle01"/>
          <w:rFonts w:ascii="Times New Roman" w:hAnsi="Times New Roman" w:cs="Times New Roman"/>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117A6F">
        <w:rPr>
          <w:rFonts w:cs="Times New Roman"/>
          <w:b/>
          <w:noProof/>
        </w:rPr>
        <w:t>15</w:t>
      </w:r>
      <w:r w:rsidR="00472973" w:rsidRPr="004635E5">
        <w:rPr>
          <w:rFonts w:cs="Times New Roman"/>
          <w:b/>
          <w:noProof/>
        </w:rPr>
        <w:fldChar w:fldCharType="end"/>
      </w:r>
      <w:r w:rsidR="00CD6C20"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Time series of total annual catch (1000’s mt) by fishing gear and assessment region from the diagnostic case model over the full assessment period. The different colours denote longline (green), driftnet (turquoise) and troll (yellow).</w:t>
      </w:r>
    </w:p>
    <w:p w14:paraId="12591D95" w14:textId="77777777"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drawing>
          <wp:inline distT="0" distB="0" distL="0" distR="0" wp14:anchorId="21B1C976" wp14:editId="3C8A73A2">
            <wp:extent cx="5937885" cy="6052185"/>
            <wp:effectExtent l="0" t="0" r="5715" b="5715"/>
            <wp:docPr id="42" name="Picture 3" descr="stacked-biomass-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cked-biomass-panel"/>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37885" cy="6052185"/>
                    </a:xfrm>
                    <a:prstGeom prst="rect">
                      <a:avLst/>
                    </a:prstGeom>
                    <a:noFill/>
                    <a:ln>
                      <a:noFill/>
                    </a:ln>
                  </pic:spPr>
                </pic:pic>
              </a:graphicData>
            </a:graphic>
          </wp:inline>
        </w:drawing>
      </w:r>
    </w:p>
    <w:p w14:paraId="7FD09279" w14:textId="0429F30A" w:rsidR="001B22F5" w:rsidRPr="004635E5" w:rsidRDefault="001B22F5" w:rsidP="006633A8">
      <w:pPr>
        <w:pStyle w:val="WCPFC"/>
        <w:numPr>
          <w:ilvl w:val="0"/>
          <w:numId w:val="0"/>
        </w:numPr>
        <w:adjustRightInd w:val="0"/>
        <w:spacing w:after="0"/>
        <w:ind w:left="360"/>
        <w:rPr>
          <w:rStyle w:val="fontstyle01"/>
          <w:rFonts w:ascii="Times New Roman" w:hAnsi="Times New Roman" w:cs="Times New Roman"/>
          <w:color w:val="auto"/>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117A6F">
        <w:rPr>
          <w:rFonts w:cs="Times New Roman"/>
          <w:b/>
          <w:noProof/>
        </w:rPr>
        <w:t>16</w:t>
      </w:r>
      <w:r w:rsidR="00472973" w:rsidRPr="004635E5">
        <w:rPr>
          <w:rFonts w:cs="Times New Roman"/>
          <w:b/>
          <w:noProof/>
        </w:rPr>
        <w:fldChar w:fldCharType="end"/>
      </w:r>
      <w:r w:rsidR="00CD6C20" w:rsidRPr="004635E5">
        <w:rPr>
          <w:rFonts w:cs="Times New Roman"/>
          <w:b/>
          <w:noProof/>
        </w:rPr>
        <w:t>.</w:t>
      </w:r>
      <w:r w:rsidRPr="004635E5">
        <w:rPr>
          <w:rFonts w:cs="Times New Roman"/>
          <w:color w:val="auto"/>
        </w:rPr>
        <w:t xml:space="preserve"> </w:t>
      </w:r>
      <w:r w:rsidRPr="004635E5">
        <w:rPr>
          <w:rStyle w:val="fontstyle01"/>
          <w:rFonts w:ascii="Times New Roman" w:hAnsi="Times New Roman" w:cs="Times New Roman"/>
          <w:color w:val="auto"/>
        </w:rPr>
        <w:t>Estimated annual average recruitment, spawning potential and total biomass by model region for the diagnostic case model, showing the relative sizes among regions.</w:t>
      </w:r>
    </w:p>
    <w:p w14:paraId="7F9038BE" w14:textId="77777777" w:rsidR="001B22F5" w:rsidRPr="004635E5" w:rsidRDefault="001B22F5" w:rsidP="006633A8">
      <w:pPr>
        <w:pStyle w:val="WCPFC"/>
        <w:numPr>
          <w:ilvl w:val="0"/>
          <w:numId w:val="0"/>
        </w:numPr>
        <w:adjustRightInd w:val="0"/>
        <w:spacing w:after="0"/>
        <w:ind w:left="360"/>
        <w:rPr>
          <w:rFonts w:cs="Times New Roman"/>
        </w:rPr>
      </w:pPr>
    </w:p>
    <w:p w14:paraId="5ADDDCEA" w14:textId="77777777" w:rsidR="001D01E1" w:rsidRPr="004635E5" w:rsidRDefault="001D01E1" w:rsidP="006633A8">
      <w:pPr>
        <w:pStyle w:val="WCPFC"/>
        <w:numPr>
          <w:ilvl w:val="0"/>
          <w:numId w:val="0"/>
        </w:numPr>
        <w:adjustRightInd w:val="0"/>
        <w:spacing w:after="0"/>
        <w:ind w:left="360"/>
        <w:rPr>
          <w:rFonts w:cs="Times New Roman"/>
        </w:rPr>
      </w:pPr>
    </w:p>
    <w:p w14:paraId="0C70DBA5" w14:textId="77777777"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drawing>
          <wp:inline distT="0" distB="0" distL="0" distR="0" wp14:anchorId="2682D76F" wp14:editId="048F7F0A">
            <wp:extent cx="5943600" cy="5111115"/>
            <wp:effectExtent l="0" t="0" r="0" b="0"/>
            <wp:docPr id="43" name="Picture 4" descr="plot_temporal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ot_temporal_F"/>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943600" cy="5111115"/>
                    </a:xfrm>
                    <a:prstGeom prst="rect">
                      <a:avLst/>
                    </a:prstGeom>
                    <a:noFill/>
                    <a:ln>
                      <a:noFill/>
                    </a:ln>
                  </pic:spPr>
                </pic:pic>
              </a:graphicData>
            </a:graphic>
          </wp:inline>
        </w:drawing>
      </w:r>
    </w:p>
    <w:p w14:paraId="60A70C3A" w14:textId="47A0B0C6" w:rsidR="001B22F5" w:rsidRPr="004635E5" w:rsidRDefault="001B22F5" w:rsidP="006633A8">
      <w:pPr>
        <w:pStyle w:val="WCPFC"/>
        <w:numPr>
          <w:ilvl w:val="0"/>
          <w:numId w:val="0"/>
        </w:numPr>
        <w:adjustRightInd w:val="0"/>
        <w:spacing w:after="0"/>
        <w:ind w:left="360"/>
        <w:rPr>
          <w:rStyle w:val="fontstyle01"/>
          <w:rFonts w:ascii="Times New Roman" w:hAnsi="Times New Roman" w:cs="Times New Roman"/>
          <w:color w:val="auto"/>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117A6F">
        <w:rPr>
          <w:rFonts w:cs="Times New Roman"/>
          <w:b/>
          <w:noProof/>
        </w:rPr>
        <w:t>17</w:t>
      </w:r>
      <w:r w:rsidR="00472973" w:rsidRPr="004635E5">
        <w:rPr>
          <w:rFonts w:cs="Times New Roman"/>
          <w:b/>
          <w:noProof/>
        </w:rPr>
        <w:fldChar w:fldCharType="end"/>
      </w:r>
      <w:r w:rsidR="00CD6C20"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Estimated annual average juvenile and adult fishing mortality for the diagnostic case model.</w:t>
      </w:r>
    </w:p>
    <w:p w14:paraId="038CEB42" w14:textId="77777777" w:rsidR="001B22F5" w:rsidRPr="004635E5" w:rsidRDefault="001B22F5" w:rsidP="006633A8">
      <w:pPr>
        <w:pStyle w:val="WCPFC"/>
        <w:numPr>
          <w:ilvl w:val="0"/>
          <w:numId w:val="0"/>
        </w:numPr>
        <w:adjustRightInd w:val="0"/>
        <w:spacing w:after="0"/>
        <w:ind w:left="360"/>
        <w:rPr>
          <w:rFonts w:cs="Times New Roman"/>
        </w:rPr>
      </w:pPr>
    </w:p>
    <w:p w14:paraId="502A02D1" w14:textId="77777777"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drawing>
          <wp:inline distT="0" distB="0" distL="0" distR="0" wp14:anchorId="10096193" wp14:editId="52F10E0E">
            <wp:extent cx="5934075" cy="5762625"/>
            <wp:effectExtent l="0" t="0" r="9525" b="9525"/>
            <wp:docPr id="44" name="Picture 2" descr="C:\Users\lauratb\AppData\Local\Microsoft\Windows\INetCache\Content.Word\quantile-grid-depletion-figure_f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auratb\AppData\Local\Microsoft\Windows\INetCache\Content.Word\quantile-grid-depletion-figure_full.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4075" cy="5762625"/>
                    </a:xfrm>
                    <a:prstGeom prst="rect">
                      <a:avLst/>
                    </a:prstGeom>
                    <a:noFill/>
                    <a:ln>
                      <a:noFill/>
                    </a:ln>
                  </pic:spPr>
                </pic:pic>
              </a:graphicData>
            </a:graphic>
          </wp:inline>
        </w:drawing>
      </w:r>
    </w:p>
    <w:p w14:paraId="76BADC78" w14:textId="6C538C0F" w:rsidR="001B22F5" w:rsidRPr="004635E5" w:rsidRDefault="001B22F5" w:rsidP="006633A8">
      <w:pPr>
        <w:pStyle w:val="WCPFC"/>
        <w:numPr>
          <w:ilvl w:val="0"/>
          <w:numId w:val="0"/>
        </w:numPr>
        <w:adjustRightInd w:val="0"/>
        <w:spacing w:after="0"/>
        <w:ind w:left="360"/>
        <w:rPr>
          <w:rFonts w:cs="Times New Roman"/>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117A6F">
        <w:rPr>
          <w:rFonts w:cs="Times New Roman"/>
          <w:b/>
          <w:noProof/>
        </w:rPr>
        <w:t>18</w:t>
      </w:r>
      <w:r w:rsidR="00472973" w:rsidRPr="004635E5">
        <w:rPr>
          <w:rFonts w:cs="Times New Roman"/>
          <w:b/>
          <w:noProof/>
        </w:rPr>
        <w:fldChar w:fldCharType="end"/>
      </w:r>
      <w:r w:rsidR="00CD6C20"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Distribution of time series depletion estimates across the structural uncertainty grid. Black line represents the grid median trajectory, dark grey region represents the 50%ile range, light grey the 90%ile range.</w:t>
      </w:r>
    </w:p>
    <w:p w14:paraId="79A8F1E8" w14:textId="77777777"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drawing>
          <wp:inline distT="0" distB="0" distL="0" distR="0" wp14:anchorId="04B51E22" wp14:editId="3351B92C">
            <wp:extent cx="5932805" cy="5758815"/>
            <wp:effectExtent l="0" t="0" r="0" b="0"/>
            <wp:docPr id="45" name="Picture 5" descr="Grid_ALB_depletion_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id_ALB_depletion_panel"/>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32805" cy="5758815"/>
                    </a:xfrm>
                    <a:prstGeom prst="rect">
                      <a:avLst/>
                    </a:prstGeom>
                    <a:noFill/>
                    <a:ln>
                      <a:noFill/>
                    </a:ln>
                  </pic:spPr>
                </pic:pic>
              </a:graphicData>
            </a:graphic>
          </wp:inline>
        </w:drawing>
      </w:r>
    </w:p>
    <w:p w14:paraId="61555D78" w14:textId="63987068" w:rsidR="001B22F5" w:rsidRPr="004635E5" w:rsidRDefault="001B22F5" w:rsidP="006633A8">
      <w:pPr>
        <w:pStyle w:val="WCPFC"/>
        <w:numPr>
          <w:ilvl w:val="0"/>
          <w:numId w:val="0"/>
        </w:numPr>
        <w:adjustRightInd w:val="0"/>
        <w:spacing w:after="0"/>
        <w:ind w:left="360"/>
        <w:rPr>
          <w:rFonts w:cs="Times New Roman"/>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117A6F">
        <w:rPr>
          <w:rFonts w:cs="Times New Roman"/>
          <w:b/>
          <w:noProof/>
        </w:rPr>
        <w:t>19</w:t>
      </w:r>
      <w:r w:rsidR="00472973" w:rsidRPr="004635E5">
        <w:rPr>
          <w:rFonts w:cs="Times New Roman"/>
          <w:b/>
          <w:noProof/>
        </w:rPr>
        <w:fldChar w:fldCharType="end"/>
      </w:r>
      <w:r w:rsidR="00CD6C20"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Plots showing the trajectories of fishing depletion (of spawning potential) for the model runs included in the structural uncertainty grid. The five panels show the models separated on the basis of the five axes used in the grid, with the colour denoting the level within the axes for each model.</w:t>
      </w:r>
    </w:p>
    <w:p w14:paraId="22EFBF1B" w14:textId="77777777" w:rsidR="001B22F5" w:rsidRPr="004635E5" w:rsidRDefault="001B22F5" w:rsidP="006633A8">
      <w:pPr>
        <w:pStyle w:val="WCPFC"/>
        <w:numPr>
          <w:ilvl w:val="0"/>
          <w:numId w:val="0"/>
        </w:numPr>
        <w:adjustRightInd w:val="0"/>
        <w:spacing w:after="0"/>
        <w:ind w:left="360"/>
        <w:rPr>
          <w:rFonts w:cs="Times New Roman"/>
        </w:rPr>
      </w:pPr>
    </w:p>
    <w:p w14:paraId="6283219C" w14:textId="77777777" w:rsidR="001B22F5" w:rsidRPr="004635E5" w:rsidRDefault="001B22F5" w:rsidP="006633A8">
      <w:pPr>
        <w:pStyle w:val="WCPFC"/>
        <w:adjustRightInd w:val="0"/>
        <w:spacing w:after="0"/>
        <w:rPr>
          <w:rFonts w:cs="Times New Roman"/>
        </w:rPr>
      </w:pPr>
      <w:r w:rsidRPr="004635E5">
        <w:rPr>
          <w:rFonts w:cs="Times New Roman"/>
        </w:rPr>
        <w:br w:type="page"/>
      </w:r>
    </w:p>
    <w:p w14:paraId="5BAD3D5B" w14:textId="77777777" w:rsidR="001B22F5" w:rsidRPr="004635E5" w:rsidRDefault="001B22F5" w:rsidP="006633A8">
      <w:pPr>
        <w:pStyle w:val="WCPFC"/>
        <w:numPr>
          <w:ilvl w:val="0"/>
          <w:numId w:val="0"/>
        </w:numPr>
        <w:adjustRightInd w:val="0"/>
        <w:spacing w:after="0"/>
        <w:ind w:left="360"/>
        <w:rPr>
          <w:rFonts w:cs="Times New Roman"/>
        </w:rPr>
      </w:pPr>
    </w:p>
    <w:p w14:paraId="2017A42D" w14:textId="77777777"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drawing>
          <wp:inline distT="0" distB="0" distL="0" distR="0" wp14:anchorId="61399703" wp14:editId="7963399C">
            <wp:extent cx="5943600" cy="3091815"/>
            <wp:effectExtent l="0" t="0" r="0" b="0"/>
            <wp:docPr id="46" name="Picture 6" descr="majuro-grid_panel-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juro-grid_panel-plot"/>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943600" cy="3091815"/>
                    </a:xfrm>
                    <a:prstGeom prst="rect">
                      <a:avLst/>
                    </a:prstGeom>
                    <a:noFill/>
                    <a:ln>
                      <a:noFill/>
                    </a:ln>
                  </pic:spPr>
                </pic:pic>
              </a:graphicData>
            </a:graphic>
          </wp:inline>
        </w:drawing>
      </w:r>
    </w:p>
    <w:p w14:paraId="46021D33" w14:textId="2DF5111A" w:rsidR="001B22F5" w:rsidRPr="004635E5" w:rsidRDefault="001B22F5" w:rsidP="006633A8">
      <w:pPr>
        <w:pStyle w:val="WCPFC"/>
        <w:numPr>
          <w:ilvl w:val="0"/>
          <w:numId w:val="0"/>
        </w:numPr>
        <w:adjustRightInd w:val="0"/>
        <w:spacing w:after="0"/>
        <w:ind w:left="360"/>
        <w:rPr>
          <w:rStyle w:val="fontstyle01"/>
          <w:rFonts w:ascii="Times New Roman" w:hAnsi="Times New Roman" w:cs="Times New Roman"/>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117A6F">
        <w:rPr>
          <w:rFonts w:cs="Times New Roman"/>
          <w:b/>
          <w:noProof/>
        </w:rPr>
        <w:t>20</w:t>
      </w:r>
      <w:r w:rsidR="00472973" w:rsidRPr="004635E5">
        <w:rPr>
          <w:rFonts w:cs="Times New Roman"/>
          <w:b/>
          <w:noProof/>
        </w:rPr>
        <w:fldChar w:fldCharType="end"/>
      </w:r>
      <w:r w:rsidR="00CD6C20" w:rsidRPr="004635E5">
        <w:rPr>
          <w:rFonts w:cs="Times New Roman"/>
          <w:b/>
          <w:noProof/>
        </w:rPr>
        <w:t>.</w:t>
      </w:r>
      <w:r w:rsidR="00CD6C20" w:rsidRPr="004635E5">
        <w:rPr>
          <w:rFonts w:cs="Times New Roman"/>
          <w:noProof/>
        </w:rPr>
        <w:t xml:space="preserve"> </w:t>
      </w:r>
      <w:r w:rsidRPr="004635E5">
        <w:rPr>
          <w:rStyle w:val="fontstyle01"/>
          <w:rFonts w:ascii="Times New Roman" w:hAnsi="Times New Roman" w:cs="Times New Roman"/>
          <w:color w:val="auto"/>
        </w:rPr>
        <w:t xml:space="preserve">Majuro plots summarising the results for each of the models in the structural uncertainty grid under </w:t>
      </w:r>
      <w:r w:rsidR="00815574" w:rsidRPr="004635E5">
        <w:rPr>
          <w:rStyle w:val="fontstyle01"/>
          <w:rFonts w:ascii="Times New Roman" w:hAnsi="Times New Roman" w:cs="Times New Roman"/>
          <w:color w:val="auto"/>
        </w:rPr>
        <w:t xml:space="preserve">the </w:t>
      </w:r>
      <w:r w:rsidR="00815574" w:rsidRPr="004635E5">
        <w:rPr>
          <w:rStyle w:val="fontstyle21"/>
          <w:rFonts w:ascii="Times New Roman" w:hAnsi="Times New Roman" w:cs="Times New Roman"/>
          <w:color w:val="auto"/>
        </w:rPr>
        <w:t>SB</w:t>
      </w:r>
      <w:r w:rsidR="00815574" w:rsidRPr="002C2D6F">
        <w:rPr>
          <w:rStyle w:val="fontstyle31"/>
          <w:rFonts w:ascii="Times New Roman" w:hAnsi="Times New Roman" w:cs="Times New Roman"/>
          <w:color w:val="auto"/>
          <w:sz w:val="22"/>
          <w:szCs w:val="22"/>
          <w:vertAlign w:val="subscript"/>
        </w:rPr>
        <w:t>latest</w:t>
      </w:r>
      <w:r w:rsidR="00815574">
        <w:rPr>
          <w:rStyle w:val="fontstyle41"/>
          <w:rFonts w:ascii="Times New Roman" w:hAnsi="Times New Roman" w:cs="Times New Roman"/>
          <w:color w:val="auto"/>
        </w:rPr>
        <w:t>/</w:t>
      </w:r>
      <w:r w:rsidR="00815574" w:rsidRPr="004635E5">
        <w:rPr>
          <w:rStyle w:val="fontstyle21"/>
          <w:rFonts w:ascii="Times New Roman" w:hAnsi="Times New Roman" w:cs="Times New Roman"/>
          <w:color w:val="auto"/>
        </w:rPr>
        <w:t>SB</w:t>
      </w:r>
      <w:r w:rsidR="00815574" w:rsidRPr="002C2D6F">
        <w:rPr>
          <w:rStyle w:val="fontstyle31"/>
          <w:rFonts w:ascii="Times New Roman" w:hAnsi="Times New Roman" w:cs="Times New Roman"/>
          <w:color w:val="auto"/>
          <w:sz w:val="22"/>
          <w:szCs w:val="22"/>
          <w:vertAlign w:val="subscript"/>
        </w:rPr>
        <w:t>F</w:t>
      </w:r>
      <w:r w:rsidR="00815574" w:rsidRPr="002C2D6F">
        <w:rPr>
          <w:rStyle w:val="fontstyle51"/>
          <w:rFonts w:ascii="Times New Roman" w:hAnsi="Times New Roman" w:cs="Times New Roman"/>
          <w:color w:val="auto"/>
          <w:sz w:val="22"/>
          <w:szCs w:val="22"/>
          <w:vertAlign w:val="subscript"/>
        </w:rPr>
        <w:t>=0</w:t>
      </w:r>
      <w:r w:rsidR="00815574" w:rsidRPr="004635E5">
        <w:rPr>
          <w:rStyle w:val="fontstyle51"/>
          <w:rFonts w:ascii="Times New Roman" w:hAnsi="Times New Roman" w:cs="Times New Roman"/>
          <w:color w:val="auto"/>
          <w:sz w:val="22"/>
          <w:szCs w:val="22"/>
        </w:rPr>
        <w:t xml:space="preserve"> </w:t>
      </w:r>
      <w:r w:rsidR="00815574" w:rsidRPr="004635E5">
        <w:rPr>
          <w:rStyle w:val="fontstyle01"/>
          <w:rFonts w:ascii="Times New Roman" w:hAnsi="Times New Roman" w:cs="Times New Roman"/>
          <w:color w:val="auto"/>
        </w:rPr>
        <w:t xml:space="preserve">and the </w:t>
      </w:r>
      <w:r w:rsidR="00815574" w:rsidRPr="004635E5">
        <w:rPr>
          <w:rStyle w:val="fontstyle21"/>
          <w:rFonts w:ascii="Times New Roman" w:hAnsi="Times New Roman" w:cs="Times New Roman"/>
          <w:color w:val="auto"/>
        </w:rPr>
        <w:t>SB</w:t>
      </w:r>
      <w:r w:rsidR="00815574" w:rsidRPr="002C2D6F">
        <w:rPr>
          <w:rStyle w:val="fontstyle31"/>
          <w:rFonts w:ascii="Times New Roman" w:hAnsi="Times New Roman" w:cs="Times New Roman"/>
          <w:color w:val="auto"/>
          <w:sz w:val="22"/>
          <w:szCs w:val="22"/>
          <w:vertAlign w:val="subscript"/>
        </w:rPr>
        <w:t>recent</w:t>
      </w:r>
      <w:r w:rsidR="00815574">
        <w:rPr>
          <w:rStyle w:val="fontstyle41"/>
          <w:rFonts w:ascii="Times New Roman" w:hAnsi="Times New Roman" w:cs="Times New Roman"/>
          <w:color w:val="auto"/>
        </w:rPr>
        <w:t>/</w:t>
      </w:r>
      <w:r w:rsidR="00815574" w:rsidRPr="004635E5">
        <w:rPr>
          <w:rStyle w:val="fontstyle21"/>
          <w:rFonts w:ascii="Times New Roman" w:hAnsi="Times New Roman" w:cs="Times New Roman"/>
          <w:color w:val="auto"/>
        </w:rPr>
        <w:t>SB</w:t>
      </w:r>
      <w:r w:rsidR="00815574" w:rsidRPr="002C2D6F">
        <w:rPr>
          <w:rStyle w:val="fontstyle31"/>
          <w:rFonts w:ascii="Times New Roman" w:hAnsi="Times New Roman" w:cs="Times New Roman"/>
          <w:color w:val="auto"/>
          <w:sz w:val="22"/>
          <w:szCs w:val="22"/>
          <w:vertAlign w:val="subscript"/>
        </w:rPr>
        <w:t>F</w:t>
      </w:r>
      <w:r w:rsidR="00815574" w:rsidRPr="002C2D6F">
        <w:rPr>
          <w:rStyle w:val="fontstyle51"/>
          <w:rFonts w:ascii="Times New Roman" w:hAnsi="Times New Roman" w:cs="Times New Roman"/>
          <w:color w:val="auto"/>
          <w:sz w:val="22"/>
          <w:szCs w:val="22"/>
          <w:vertAlign w:val="subscript"/>
        </w:rPr>
        <w:t>=0</w:t>
      </w:r>
      <w:r w:rsidR="00815574" w:rsidRPr="004635E5">
        <w:rPr>
          <w:rStyle w:val="fontstyle51"/>
          <w:rFonts w:ascii="Times New Roman" w:hAnsi="Times New Roman" w:cs="Times New Roman"/>
          <w:color w:val="auto"/>
          <w:sz w:val="22"/>
          <w:szCs w:val="22"/>
        </w:rPr>
        <w:t xml:space="preserve"> </w:t>
      </w:r>
      <w:r w:rsidR="00815574" w:rsidRPr="004635E5">
        <w:rPr>
          <w:rStyle w:val="fontstyle01"/>
          <w:rFonts w:ascii="Times New Roman" w:hAnsi="Times New Roman" w:cs="Times New Roman"/>
          <w:color w:val="auto"/>
        </w:rPr>
        <w:t xml:space="preserve">reference points (top left) </w:t>
      </w:r>
      <w:r w:rsidRPr="004635E5">
        <w:rPr>
          <w:rStyle w:val="fontstyle01"/>
          <w:rFonts w:ascii="Times New Roman" w:hAnsi="Times New Roman" w:cs="Times New Roman"/>
          <w:color w:val="auto"/>
        </w:rPr>
        <w:t>and each axis of uncertain</w:t>
      </w:r>
      <w:r w:rsidR="00815574">
        <w:rPr>
          <w:rStyle w:val="fontstyle01"/>
          <w:rFonts w:ascii="Times New Roman" w:hAnsi="Times New Roman" w:cs="Times New Roman" w:hint="eastAsia"/>
          <w:color w:val="auto"/>
          <w:lang w:eastAsia="ko-KR"/>
        </w:rPr>
        <w:t>t</w:t>
      </w:r>
      <w:r w:rsidRPr="004635E5">
        <w:rPr>
          <w:rStyle w:val="fontstyle01"/>
          <w:rFonts w:ascii="Times New Roman" w:hAnsi="Times New Roman" w:cs="Times New Roman"/>
          <w:color w:val="auto"/>
        </w:rPr>
        <w:t>y.</w:t>
      </w:r>
    </w:p>
    <w:p w14:paraId="5A2718F9" w14:textId="77777777" w:rsidR="001B22F5" w:rsidRPr="004635E5" w:rsidRDefault="001B22F5" w:rsidP="006633A8">
      <w:pPr>
        <w:pStyle w:val="WCPFC"/>
        <w:numPr>
          <w:ilvl w:val="0"/>
          <w:numId w:val="0"/>
        </w:numPr>
        <w:adjustRightInd w:val="0"/>
        <w:spacing w:after="0"/>
        <w:ind w:left="360"/>
        <w:rPr>
          <w:rFonts w:cs="Times New Roman"/>
        </w:rPr>
      </w:pPr>
    </w:p>
    <w:p w14:paraId="28F5F46E" w14:textId="77777777"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drawing>
          <wp:inline distT="0" distB="0" distL="0" distR="0" wp14:anchorId="6EA6089C" wp14:editId="72A53B16">
            <wp:extent cx="5937885" cy="3396615"/>
            <wp:effectExtent l="0" t="0" r="5715" b="0"/>
            <wp:docPr id="47" name="Picture 7" descr="kobe-grid_panel-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be-grid_panel-plot"/>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937885" cy="3396615"/>
                    </a:xfrm>
                    <a:prstGeom prst="rect">
                      <a:avLst/>
                    </a:prstGeom>
                    <a:noFill/>
                    <a:ln>
                      <a:noFill/>
                    </a:ln>
                  </pic:spPr>
                </pic:pic>
              </a:graphicData>
            </a:graphic>
          </wp:inline>
        </w:drawing>
      </w:r>
    </w:p>
    <w:p w14:paraId="7EAEEFFB" w14:textId="301BE845" w:rsidR="001B22F5" w:rsidRPr="004635E5" w:rsidRDefault="001B22F5" w:rsidP="006633A8">
      <w:pPr>
        <w:pStyle w:val="WCPFC"/>
        <w:numPr>
          <w:ilvl w:val="0"/>
          <w:numId w:val="0"/>
        </w:numPr>
        <w:adjustRightInd w:val="0"/>
        <w:spacing w:after="0"/>
        <w:ind w:left="360"/>
        <w:rPr>
          <w:rStyle w:val="fontstyle01"/>
          <w:rFonts w:ascii="Times New Roman" w:hAnsi="Times New Roman" w:cs="Times New Roman"/>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117A6F">
        <w:rPr>
          <w:rFonts w:cs="Times New Roman"/>
          <w:b/>
          <w:noProof/>
        </w:rPr>
        <w:t>21</w:t>
      </w:r>
      <w:r w:rsidR="00472973" w:rsidRPr="004635E5">
        <w:rPr>
          <w:rFonts w:cs="Times New Roman"/>
          <w:b/>
          <w:noProof/>
        </w:rPr>
        <w:fldChar w:fldCharType="end"/>
      </w:r>
      <w:r w:rsidR="00CD6C20"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 xml:space="preserve">Kobe plots summarising the results for each of the models in the structural uncertainty grid under </w:t>
      </w:r>
      <w:r w:rsidR="00CD59FC" w:rsidRPr="004635E5">
        <w:rPr>
          <w:rStyle w:val="fontstyle01"/>
          <w:rFonts w:ascii="Times New Roman" w:hAnsi="Times New Roman" w:cs="Times New Roman"/>
          <w:color w:val="auto"/>
        </w:rPr>
        <w:t xml:space="preserve">the </w:t>
      </w:r>
      <w:r w:rsidR="00CD59FC" w:rsidRPr="004635E5">
        <w:rPr>
          <w:rStyle w:val="fontstyle21"/>
          <w:rFonts w:ascii="Times New Roman" w:hAnsi="Times New Roman" w:cs="Times New Roman"/>
          <w:color w:val="auto"/>
        </w:rPr>
        <w:t>SB</w:t>
      </w:r>
      <w:r w:rsidR="00CD59FC" w:rsidRPr="002C2D6F">
        <w:rPr>
          <w:rStyle w:val="fontstyle31"/>
          <w:rFonts w:ascii="Times New Roman" w:hAnsi="Times New Roman" w:cs="Times New Roman"/>
          <w:color w:val="auto"/>
          <w:sz w:val="22"/>
          <w:szCs w:val="22"/>
          <w:vertAlign w:val="subscript"/>
        </w:rPr>
        <w:t>latest</w:t>
      </w:r>
      <w:r w:rsidR="00CD59FC">
        <w:rPr>
          <w:rStyle w:val="fontstyle41"/>
          <w:rFonts w:ascii="Times New Roman" w:hAnsi="Times New Roman" w:cs="Times New Roman"/>
          <w:color w:val="auto"/>
        </w:rPr>
        <w:t>/</w:t>
      </w:r>
      <w:r w:rsidR="00CD59FC" w:rsidRPr="004635E5">
        <w:rPr>
          <w:rStyle w:val="fontstyle21"/>
          <w:rFonts w:ascii="Times New Roman" w:hAnsi="Times New Roman" w:cs="Times New Roman"/>
          <w:color w:val="auto"/>
        </w:rPr>
        <w:t>SB</w:t>
      </w:r>
      <w:r w:rsidR="00CD59FC" w:rsidRPr="002C2D6F">
        <w:rPr>
          <w:rStyle w:val="fontstyle31"/>
          <w:rFonts w:ascii="Times New Roman" w:hAnsi="Times New Roman" w:cs="Times New Roman"/>
          <w:color w:val="auto"/>
          <w:sz w:val="22"/>
          <w:szCs w:val="22"/>
          <w:vertAlign w:val="subscript"/>
        </w:rPr>
        <w:t>F</w:t>
      </w:r>
      <w:r w:rsidR="00CD59FC" w:rsidRPr="002C2D6F">
        <w:rPr>
          <w:rStyle w:val="fontstyle51"/>
          <w:rFonts w:ascii="Times New Roman" w:hAnsi="Times New Roman" w:cs="Times New Roman"/>
          <w:color w:val="auto"/>
          <w:sz w:val="22"/>
          <w:szCs w:val="22"/>
          <w:vertAlign w:val="subscript"/>
        </w:rPr>
        <w:t>=0</w:t>
      </w:r>
      <w:r w:rsidR="00CD59FC" w:rsidRPr="004635E5">
        <w:rPr>
          <w:rStyle w:val="fontstyle51"/>
          <w:rFonts w:ascii="Times New Roman" w:hAnsi="Times New Roman" w:cs="Times New Roman"/>
          <w:color w:val="auto"/>
          <w:sz w:val="22"/>
          <w:szCs w:val="22"/>
        </w:rPr>
        <w:t xml:space="preserve"> </w:t>
      </w:r>
      <w:r w:rsidR="00CD59FC" w:rsidRPr="004635E5">
        <w:rPr>
          <w:rStyle w:val="fontstyle01"/>
          <w:rFonts w:ascii="Times New Roman" w:hAnsi="Times New Roman" w:cs="Times New Roman"/>
          <w:color w:val="auto"/>
        </w:rPr>
        <w:t xml:space="preserve">and the </w:t>
      </w:r>
      <w:r w:rsidR="00CD59FC" w:rsidRPr="004635E5">
        <w:rPr>
          <w:rStyle w:val="fontstyle21"/>
          <w:rFonts w:ascii="Times New Roman" w:hAnsi="Times New Roman" w:cs="Times New Roman"/>
          <w:color w:val="auto"/>
        </w:rPr>
        <w:t>SB</w:t>
      </w:r>
      <w:r w:rsidR="00CD59FC" w:rsidRPr="002C2D6F">
        <w:rPr>
          <w:rStyle w:val="fontstyle31"/>
          <w:rFonts w:ascii="Times New Roman" w:hAnsi="Times New Roman" w:cs="Times New Roman"/>
          <w:color w:val="auto"/>
          <w:sz w:val="22"/>
          <w:szCs w:val="22"/>
          <w:vertAlign w:val="subscript"/>
        </w:rPr>
        <w:t>recent</w:t>
      </w:r>
      <w:r w:rsidR="00CD59FC">
        <w:rPr>
          <w:rStyle w:val="fontstyle41"/>
          <w:rFonts w:ascii="Times New Roman" w:hAnsi="Times New Roman" w:cs="Times New Roman"/>
          <w:color w:val="auto"/>
        </w:rPr>
        <w:t>/</w:t>
      </w:r>
      <w:r w:rsidR="00CD59FC" w:rsidRPr="004635E5">
        <w:rPr>
          <w:rStyle w:val="fontstyle21"/>
          <w:rFonts w:ascii="Times New Roman" w:hAnsi="Times New Roman" w:cs="Times New Roman"/>
          <w:color w:val="auto"/>
        </w:rPr>
        <w:t>SB</w:t>
      </w:r>
      <w:r w:rsidR="00CD59FC" w:rsidRPr="002C2D6F">
        <w:rPr>
          <w:rStyle w:val="fontstyle31"/>
          <w:rFonts w:ascii="Times New Roman" w:hAnsi="Times New Roman" w:cs="Times New Roman"/>
          <w:color w:val="auto"/>
          <w:sz w:val="22"/>
          <w:szCs w:val="22"/>
          <w:vertAlign w:val="subscript"/>
        </w:rPr>
        <w:t>F</w:t>
      </w:r>
      <w:r w:rsidR="00CD59FC" w:rsidRPr="002C2D6F">
        <w:rPr>
          <w:rStyle w:val="fontstyle51"/>
          <w:rFonts w:ascii="Times New Roman" w:hAnsi="Times New Roman" w:cs="Times New Roman"/>
          <w:color w:val="auto"/>
          <w:sz w:val="22"/>
          <w:szCs w:val="22"/>
          <w:vertAlign w:val="subscript"/>
        </w:rPr>
        <w:t>=0</w:t>
      </w:r>
      <w:r w:rsidR="00CD59FC" w:rsidRPr="004635E5">
        <w:rPr>
          <w:rStyle w:val="fontstyle51"/>
          <w:rFonts w:ascii="Times New Roman" w:hAnsi="Times New Roman" w:cs="Times New Roman"/>
          <w:color w:val="auto"/>
          <w:sz w:val="22"/>
          <w:szCs w:val="22"/>
        </w:rPr>
        <w:t xml:space="preserve"> </w:t>
      </w:r>
      <w:r w:rsidRPr="004635E5">
        <w:rPr>
          <w:rStyle w:val="fontstyle01"/>
          <w:rFonts w:ascii="Times New Roman" w:hAnsi="Times New Roman" w:cs="Times New Roman"/>
          <w:color w:val="auto"/>
        </w:rPr>
        <w:t>reference points.</w:t>
      </w:r>
    </w:p>
    <w:p w14:paraId="18397017" w14:textId="77777777" w:rsidR="001B22F5" w:rsidRPr="004635E5" w:rsidRDefault="001B22F5" w:rsidP="006633A8">
      <w:pPr>
        <w:pStyle w:val="WCPFC"/>
        <w:adjustRightInd w:val="0"/>
        <w:spacing w:after="0"/>
        <w:rPr>
          <w:rFonts w:cs="Times New Roman"/>
        </w:rPr>
      </w:pPr>
      <w:r w:rsidRPr="004635E5">
        <w:rPr>
          <w:rFonts w:cs="Times New Roman"/>
        </w:rPr>
        <w:br w:type="page"/>
      </w:r>
    </w:p>
    <w:p w14:paraId="6E8DD83A" w14:textId="77777777"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drawing>
          <wp:inline distT="0" distB="0" distL="0" distR="0" wp14:anchorId="47D8A2EB" wp14:editId="5CEEE8D0">
            <wp:extent cx="5943600" cy="5943600"/>
            <wp:effectExtent l="0" t="0" r="0" b="0"/>
            <wp:docPr id="48" name="Picture 8" descr="plot_fishery_impact_ALB-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ot_fishery_impact_ALB-SSB"/>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2AD19E9" w14:textId="3A0050DA" w:rsidR="001B22F5" w:rsidRPr="004635E5" w:rsidRDefault="001B22F5" w:rsidP="006633A8">
      <w:pPr>
        <w:pStyle w:val="WCPFC"/>
        <w:numPr>
          <w:ilvl w:val="0"/>
          <w:numId w:val="0"/>
        </w:numPr>
        <w:adjustRightInd w:val="0"/>
        <w:spacing w:after="0"/>
        <w:ind w:left="360"/>
        <w:rPr>
          <w:rStyle w:val="fontstyle01"/>
          <w:rFonts w:ascii="Times New Roman" w:hAnsi="Times New Roman" w:cs="Times New Roman"/>
          <w:color w:val="auto"/>
          <w:lang w:eastAsia="ko-KR"/>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117A6F">
        <w:rPr>
          <w:rFonts w:cs="Times New Roman"/>
          <w:b/>
          <w:noProof/>
        </w:rPr>
        <w:t>22</w:t>
      </w:r>
      <w:r w:rsidR="00472973" w:rsidRPr="004635E5">
        <w:rPr>
          <w:rFonts w:cs="Times New Roman"/>
          <w:b/>
          <w:noProof/>
        </w:rPr>
        <w:fldChar w:fldCharType="end"/>
      </w:r>
      <w:r w:rsidR="00CD6C20" w:rsidRPr="004635E5">
        <w:rPr>
          <w:rFonts w:cs="Times New Roman"/>
          <w:b/>
          <w:noProof/>
        </w:rPr>
        <w:t>.</w:t>
      </w:r>
      <w:r w:rsidRPr="004635E5">
        <w:rPr>
          <w:rFonts w:cs="Times New Roman"/>
          <w:color w:val="auto"/>
        </w:rPr>
        <w:t xml:space="preserve"> </w:t>
      </w:r>
      <w:r w:rsidRPr="004635E5">
        <w:rPr>
          <w:rStyle w:val="fontstyle01"/>
          <w:rFonts w:ascii="Times New Roman" w:hAnsi="Times New Roman" w:cs="Times New Roman"/>
          <w:color w:val="auto"/>
        </w:rPr>
        <w:t>Estimates of reduction in spawning potential due to fishing (fishery impact = 1</w:t>
      </w:r>
      <w:r w:rsidRPr="004635E5">
        <w:rPr>
          <w:rStyle w:val="fontstyle21"/>
          <w:rFonts w:ascii="Times New Roman" w:hAnsi="Times New Roman" w:cs="Times New Roman"/>
          <w:color w:val="auto"/>
        </w:rPr>
        <w:t>-SB</w:t>
      </w:r>
      <w:r w:rsidRPr="004635E5">
        <w:rPr>
          <w:rStyle w:val="fontstyle31"/>
          <w:rFonts w:ascii="Times New Roman" w:hAnsi="Times New Roman" w:cs="Times New Roman"/>
          <w:color w:val="auto"/>
          <w:sz w:val="22"/>
          <w:szCs w:val="22"/>
        </w:rPr>
        <w:t xml:space="preserve"> </w:t>
      </w:r>
      <w:r w:rsidRPr="004635E5">
        <w:rPr>
          <w:rStyle w:val="fontstyle41"/>
          <w:rFonts w:ascii="Times New Roman" w:hAnsi="Times New Roman" w:cs="Times New Roman"/>
          <w:color w:val="auto"/>
          <w:vertAlign w:val="subscript"/>
        </w:rPr>
        <w:t>latest</w:t>
      </w:r>
      <w:r w:rsidRPr="004635E5">
        <w:rPr>
          <w:rStyle w:val="fontstyle51"/>
          <w:rFonts w:ascii="Times New Roman" w:hAnsi="Times New Roman" w:cs="Times New Roman"/>
          <w:color w:val="auto"/>
          <w:sz w:val="22"/>
          <w:szCs w:val="22"/>
        </w:rPr>
        <w:t>/SB</w:t>
      </w:r>
      <w:r w:rsidRPr="004635E5">
        <w:rPr>
          <w:rStyle w:val="fontstyle31"/>
          <w:rFonts w:ascii="Times New Roman" w:hAnsi="Times New Roman" w:cs="Times New Roman"/>
          <w:color w:val="auto"/>
          <w:sz w:val="22"/>
          <w:szCs w:val="22"/>
        </w:rPr>
        <w:t xml:space="preserve"> </w:t>
      </w:r>
      <w:r w:rsidRPr="004635E5">
        <w:rPr>
          <w:rStyle w:val="fontstyle41"/>
          <w:rFonts w:ascii="Times New Roman" w:hAnsi="Times New Roman" w:cs="Times New Roman"/>
          <w:color w:val="auto"/>
          <w:vertAlign w:val="subscript"/>
        </w:rPr>
        <w:t>F</w:t>
      </w:r>
      <w:r w:rsidRPr="004635E5">
        <w:rPr>
          <w:rStyle w:val="fontstyle61"/>
          <w:rFonts w:ascii="Times New Roman" w:hAnsi="Times New Roman" w:cs="Times New Roman"/>
          <w:color w:val="auto"/>
          <w:sz w:val="22"/>
          <w:szCs w:val="22"/>
          <w:vertAlign w:val="subscript"/>
        </w:rPr>
        <w:t>=0</w:t>
      </w:r>
      <w:r w:rsidRPr="004635E5">
        <w:rPr>
          <w:rStyle w:val="fontstyle01"/>
          <w:rFonts w:ascii="Times New Roman" w:hAnsi="Times New Roman" w:cs="Times New Roman"/>
          <w:color w:val="auto"/>
        </w:rPr>
        <w:t>)</w:t>
      </w:r>
      <w:r w:rsidRPr="004635E5">
        <w:rPr>
          <w:rFonts w:cs="Times New Roman"/>
          <w:color w:val="auto"/>
        </w:rPr>
        <w:t xml:space="preserve"> </w:t>
      </w:r>
      <w:r w:rsidRPr="004635E5">
        <w:rPr>
          <w:rStyle w:val="fontstyle01"/>
          <w:rFonts w:ascii="Times New Roman" w:hAnsi="Times New Roman" w:cs="Times New Roman"/>
          <w:color w:val="auto"/>
        </w:rPr>
        <w:t>by region, and over all regions (lower right panel), attributed to various fishery groups for the diagnostic case model.</w:t>
      </w:r>
    </w:p>
    <w:p w14:paraId="55C7EEC3" w14:textId="77777777" w:rsidR="00292054" w:rsidRPr="004635E5" w:rsidRDefault="00292054" w:rsidP="006633A8">
      <w:pPr>
        <w:pStyle w:val="WCPFC"/>
        <w:numPr>
          <w:ilvl w:val="0"/>
          <w:numId w:val="0"/>
        </w:numPr>
        <w:adjustRightInd w:val="0"/>
        <w:spacing w:after="0"/>
        <w:ind w:left="360"/>
        <w:rPr>
          <w:rStyle w:val="fontstyle01"/>
          <w:rFonts w:ascii="Times New Roman" w:hAnsi="Times New Roman" w:cs="Times New Roman"/>
          <w:lang w:eastAsia="ko-KR"/>
        </w:rPr>
      </w:pPr>
    </w:p>
    <w:p w14:paraId="721F96FD" w14:textId="67DDBC21" w:rsidR="001B22F5" w:rsidRPr="004635E5" w:rsidRDefault="00292054" w:rsidP="006633A8">
      <w:pPr>
        <w:pStyle w:val="WCPFC"/>
        <w:numPr>
          <w:ilvl w:val="0"/>
          <w:numId w:val="0"/>
        </w:numPr>
        <w:adjustRightInd w:val="0"/>
        <w:spacing w:after="0"/>
        <w:ind w:left="360"/>
        <w:rPr>
          <w:rStyle w:val="fontstyle01"/>
          <w:rFonts w:ascii="Times New Roman" w:hAnsi="Times New Roman" w:cs="Times New Roman"/>
          <w:color w:val="000000"/>
        </w:rPr>
      </w:pPr>
      <w:r w:rsidRPr="004635E5">
        <w:rPr>
          <w:rFonts w:cs="Times New Roman"/>
          <w:noProof/>
          <w:lang w:val="en-US" w:eastAsia="zh-CN" w:bidi="mn-Mong-CN"/>
        </w:rPr>
        <w:drawing>
          <wp:inline distT="0" distB="0" distL="0" distR="0" wp14:anchorId="54664C6D" wp14:editId="738EDBC5">
            <wp:extent cx="5937885" cy="5431790"/>
            <wp:effectExtent l="0" t="0" r="5715" b="0"/>
            <wp:docPr id="49" name="Picture 9" descr="plot_temporal_M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ot_temporal_MSY"/>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937885" cy="5431790"/>
                    </a:xfrm>
                    <a:prstGeom prst="rect">
                      <a:avLst/>
                    </a:prstGeom>
                    <a:noFill/>
                    <a:ln>
                      <a:noFill/>
                    </a:ln>
                  </pic:spPr>
                </pic:pic>
              </a:graphicData>
            </a:graphic>
          </wp:inline>
        </w:drawing>
      </w:r>
      <w:r w:rsidR="00CD6C20" w:rsidRPr="004635E5">
        <w:rPr>
          <w:rFonts w:cs="Times New Roman"/>
          <w:b/>
        </w:rPr>
        <w:t>Fi</w:t>
      </w:r>
      <w:r w:rsidR="001B22F5" w:rsidRPr="004635E5">
        <w:rPr>
          <w:rFonts w:cs="Times New Roman"/>
          <w:b/>
        </w:rPr>
        <w:t>gure SPA-</w:t>
      </w:r>
      <w:r w:rsidR="00472973" w:rsidRPr="004635E5">
        <w:rPr>
          <w:rFonts w:cs="Times New Roman"/>
          <w:b/>
          <w:noProof/>
        </w:rPr>
        <w:fldChar w:fldCharType="begin"/>
      </w:r>
      <w:r w:rsidR="001B22F5" w:rsidRPr="004635E5">
        <w:rPr>
          <w:rFonts w:cs="Times New Roman"/>
          <w:b/>
          <w:noProof/>
        </w:rPr>
        <w:instrText xml:space="preserve"> SEQ Figure \* ARABIC </w:instrText>
      </w:r>
      <w:r w:rsidR="00472973" w:rsidRPr="004635E5">
        <w:rPr>
          <w:rFonts w:cs="Times New Roman"/>
          <w:b/>
          <w:noProof/>
        </w:rPr>
        <w:fldChar w:fldCharType="separate"/>
      </w:r>
      <w:r w:rsidR="00117A6F">
        <w:rPr>
          <w:rFonts w:cs="Times New Roman"/>
          <w:b/>
          <w:noProof/>
        </w:rPr>
        <w:t>23</w:t>
      </w:r>
      <w:r w:rsidR="00472973" w:rsidRPr="004635E5">
        <w:rPr>
          <w:rFonts w:cs="Times New Roman"/>
          <w:b/>
          <w:noProof/>
        </w:rPr>
        <w:fldChar w:fldCharType="end"/>
      </w:r>
      <w:r w:rsidR="00CD6C20" w:rsidRPr="004635E5">
        <w:rPr>
          <w:rFonts w:cs="Times New Roman"/>
          <w:b/>
          <w:noProof/>
        </w:rPr>
        <w:t>.</w:t>
      </w:r>
      <w:r w:rsidR="001B22F5" w:rsidRPr="004635E5">
        <w:rPr>
          <w:rFonts w:cs="Times New Roman"/>
        </w:rPr>
        <w:t xml:space="preserve"> </w:t>
      </w:r>
      <w:r w:rsidR="001B22F5" w:rsidRPr="004635E5">
        <w:rPr>
          <w:rStyle w:val="fontstyle01"/>
          <w:rFonts w:ascii="Times New Roman" w:hAnsi="Times New Roman" w:cs="Times New Roman"/>
          <w:color w:val="auto"/>
        </w:rPr>
        <w:t>History of the annual estimates of MSY (red line) for the diagnostic case model compared with annual catch by the main gear types.</w:t>
      </w:r>
    </w:p>
    <w:p w14:paraId="40F0542F" w14:textId="77777777" w:rsidR="001B22F5" w:rsidRPr="004635E5" w:rsidRDefault="001B22F5" w:rsidP="006633A8">
      <w:pPr>
        <w:pStyle w:val="WCPFC"/>
        <w:numPr>
          <w:ilvl w:val="0"/>
          <w:numId w:val="0"/>
        </w:numPr>
        <w:adjustRightInd w:val="0"/>
        <w:spacing w:after="0"/>
        <w:ind w:left="360"/>
        <w:rPr>
          <w:rFonts w:cs="Times New Roman"/>
        </w:rPr>
      </w:pPr>
    </w:p>
    <w:p w14:paraId="5EDA54AE" w14:textId="77777777" w:rsidR="001B22F5" w:rsidRPr="004635E5" w:rsidRDefault="001B22F5" w:rsidP="006633A8">
      <w:pPr>
        <w:pStyle w:val="WCPFC"/>
        <w:adjustRightInd w:val="0"/>
        <w:spacing w:after="0"/>
        <w:rPr>
          <w:rFonts w:cs="Times New Roman"/>
        </w:rPr>
      </w:pPr>
      <w:r w:rsidRPr="004635E5">
        <w:rPr>
          <w:rFonts w:cs="Times New Roman"/>
        </w:rPr>
        <w:br w:type="page"/>
      </w:r>
    </w:p>
    <w:p w14:paraId="78EF8D98" w14:textId="77777777"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drawing>
          <wp:inline distT="0" distB="0" distL="0" distR="0" wp14:anchorId="4A91FD2A" wp14:editId="5DAA23F9">
            <wp:extent cx="5943600" cy="5426710"/>
            <wp:effectExtent l="0" t="0" r="0" b="0"/>
            <wp:docPr id="50" name="Picture 10" descr="plot_Kobe_Temporal_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ot_Kobe_Temporal_Panel"/>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943600" cy="5426710"/>
                    </a:xfrm>
                    <a:prstGeom prst="rect">
                      <a:avLst/>
                    </a:prstGeom>
                    <a:noFill/>
                    <a:ln>
                      <a:noFill/>
                    </a:ln>
                  </pic:spPr>
                </pic:pic>
              </a:graphicData>
            </a:graphic>
          </wp:inline>
        </w:drawing>
      </w:r>
    </w:p>
    <w:p w14:paraId="19180020" w14:textId="6F106D86" w:rsidR="001B22F5" w:rsidRPr="004635E5" w:rsidRDefault="001B22F5" w:rsidP="006633A8">
      <w:pPr>
        <w:pStyle w:val="WCPFC"/>
        <w:numPr>
          <w:ilvl w:val="0"/>
          <w:numId w:val="0"/>
        </w:numPr>
        <w:adjustRightInd w:val="0"/>
        <w:spacing w:after="0"/>
        <w:ind w:left="360"/>
        <w:rPr>
          <w:rStyle w:val="fontstyle01"/>
          <w:rFonts w:ascii="Times New Roman" w:hAnsi="Times New Roman" w:cs="Times New Roman"/>
          <w:color w:val="auto"/>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117A6F">
        <w:rPr>
          <w:rFonts w:cs="Times New Roman"/>
          <w:b/>
          <w:noProof/>
        </w:rPr>
        <w:t>24</w:t>
      </w:r>
      <w:r w:rsidR="00472973" w:rsidRPr="004635E5">
        <w:rPr>
          <w:rFonts w:cs="Times New Roman"/>
          <w:b/>
          <w:noProof/>
        </w:rPr>
        <w:fldChar w:fldCharType="end"/>
      </w:r>
      <w:r w:rsidR="00CD6C20"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 xml:space="preserve">Estimated time-series (or ‘dynamic’) Kobe plots for four example models from the assessment (one from each of the combinations of growth types, and natural mortality </w:t>
      </w:r>
      <w:r w:rsidRPr="004635E5">
        <w:rPr>
          <w:rStyle w:val="fontstyle21"/>
          <w:rFonts w:ascii="Times New Roman" w:hAnsi="Times New Roman" w:cs="Times New Roman"/>
          <w:color w:val="auto"/>
        </w:rPr>
        <w:t xml:space="preserve">M </w:t>
      </w:r>
      <w:r w:rsidRPr="004635E5">
        <w:rPr>
          <w:rStyle w:val="fontstyle01"/>
          <w:rFonts w:ascii="Times New Roman" w:hAnsi="Times New Roman" w:cs="Times New Roman"/>
          <w:color w:val="auto"/>
        </w:rPr>
        <w:t>set to 0.3 or 0.4).</w:t>
      </w:r>
    </w:p>
    <w:p w14:paraId="48C98180" w14:textId="77777777" w:rsidR="00B22831" w:rsidRPr="004635E5" w:rsidRDefault="00B22831" w:rsidP="006633A8">
      <w:pPr>
        <w:pStyle w:val="WCPFC"/>
        <w:numPr>
          <w:ilvl w:val="0"/>
          <w:numId w:val="0"/>
        </w:numPr>
        <w:adjustRightInd w:val="0"/>
        <w:spacing w:after="0"/>
        <w:ind w:left="360"/>
        <w:rPr>
          <w:rFonts w:cs="Times New Roman"/>
        </w:rPr>
      </w:pPr>
    </w:p>
    <w:p w14:paraId="7579D5FA" w14:textId="77777777" w:rsidR="00073DD2" w:rsidRPr="004635E5" w:rsidRDefault="00073DD2" w:rsidP="00580EA4">
      <w:pPr>
        <w:pStyle w:val="SC2"/>
        <w:numPr>
          <w:ilvl w:val="1"/>
          <w:numId w:val="161"/>
        </w:numPr>
        <w:spacing w:after="0"/>
        <w:ind w:left="0" w:firstLine="0"/>
        <w:rPr>
          <w:rFonts w:eastAsia="Batang"/>
          <w:lang w:eastAsia="ko-KR"/>
        </w:rPr>
      </w:pPr>
      <w:r w:rsidRPr="004635E5">
        <w:rPr>
          <w:rFonts w:eastAsia="Batang"/>
          <w:lang w:eastAsia="ko-KR"/>
        </w:rPr>
        <w:t>Northern stocks</w:t>
      </w:r>
      <w:r w:rsidR="002E7A9A" w:rsidRPr="004635E5">
        <w:rPr>
          <w:rFonts w:eastAsia="Batang"/>
          <w:lang w:eastAsia="ko-KR"/>
        </w:rPr>
        <w:t xml:space="preserve"> </w:t>
      </w:r>
    </w:p>
    <w:p w14:paraId="5E12C6CA" w14:textId="77777777" w:rsidR="00B22831" w:rsidRPr="004635E5" w:rsidRDefault="00B22831" w:rsidP="006633A8">
      <w:pPr>
        <w:pStyle w:val="SC2"/>
        <w:numPr>
          <w:ilvl w:val="0"/>
          <w:numId w:val="0"/>
        </w:numPr>
        <w:spacing w:after="0"/>
        <w:ind w:left="720"/>
        <w:rPr>
          <w:rFonts w:eastAsia="Batang"/>
          <w:lang w:eastAsia="ko-KR"/>
        </w:rPr>
      </w:pPr>
    </w:p>
    <w:p w14:paraId="11610DAD" w14:textId="77777777" w:rsidR="00073DD2" w:rsidRPr="004635E5" w:rsidRDefault="008264AB" w:rsidP="00580EA4">
      <w:pPr>
        <w:pStyle w:val="WCPFC"/>
        <w:numPr>
          <w:ilvl w:val="0"/>
          <w:numId w:val="155"/>
        </w:numPr>
        <w:ind w:left="0" w:firstLine="0"/>
      </w:pPr>
      <w:r w:rsidRPr="004635E5">
        <w:t xml:space="preserve">On behalf of the ISC Chair, J. Brodziak presented SC13-GN-IP-02, the report of the </w:t>
      </w:r>
      <w:r w:rsidR="00CC4B66">
        <w:t>Eighteenth</w:t>
      </w:r>
      <w:r w:rsidR="00CC4B66" w:rsidRPr="004635E5">
        <w:t xml:space="preserve"> </w:t>
      </w:r>
      <w:r w:rsidRPr="004635E5">
        <w:t>Meeting of the International Scientific Committee for Tuna and Tuna-like Species in the North Pacific Ocean (ISC18). The 18th ISC Plenary, held in Yeosu, Republic of Korea from 11 to 16 July 2018 was attended by Members from Canada, Chinese Taipei, Japan, Korea, Mexico, and the United States as well as the Western and Central Pacific Fisheries Management Commission. The Plenary reviewed results, conclusions, new data, and updated analyses of the Billfish, Albacore, Shark and Pacific Bluefin tuna working groups. The ISC Plenary endorsed the findings that the North Pacific shortfin mako shark (</w:t>
      </w:r>
      <w:r w:rsidR="00937EEE">
        <w:t>SFM</w:t>
      </w:r>
      <w:r w:rsidRPr="004635E5">
        <w:t>) stock is likely not in an overfished condition and overfishing is likely not occurring relative to MSY-based abundance and fishing intensity reference points, and considers the 2018 benchmark stock assessment to be the best available scientific information. The ISC Plenary also endorsed the findings that the Western and Central North Pacific (WNCPO) swordfish (SWO) stock is not likely overfished and is not likely experiencing overfishing relative to MSY-based or 20% of unfished spawning biomass-based reference points and considers the WNCPO SWO stock assessment to be best available scientific information. An update assessment of Pacific bluefin tuna (PBF) found that the stock is overfished and experiencing overfishing and that the probabilities of attaining the first and second rebuilding targets under current management measures were 98% and 96%, respectively. The ISC Plenary endorsed these findings and considers them to be the best available scientific information on PBF. The ISC Plenary re-iterated stock status and conservation information proffered at ISC17 for North Pacific albacore, Pacific blue shark, Eastern Pacific Ocean Swordfish, WNCPO striped marlin, and Pacific blue marlin. A science seminar on ecosystem-based fisheries assessment and management was held and the ISC Plenary agreed to a template to standardize stock status and conservation information to the extent possible. Meetings were schedule</w:t>
      </w:r>
      <w:r w:rsidR="008962E2" w:rsidRPr="004635E5">
        <w:t>d</w:t>
      </w:r>
      <w:r w:rsidRPr="004635E5">
        <w:t xml:space="preserve"> for the Ad-hoc Working Group assessing the feasibility of developing a multinational PBF tagging program and the PBF Close-kin genetic </w:t>
      </w:r>
      <w:r w:rsidR="00F81447" w:rsidRPr="004635E5">
        <w:t>project</w:t>
      </w:r>
      <w:r w:rsidRPr="004635E5">
        <w:t>. Observers from Pew Charitable Trusts, World Wildlife Fund for Nature – Japan, Monterey Bay Aquarium, and the Western Pacific Fisheries Management Council attended. The ISC workplan for 2018-</w:t>
      </w:r>
      <w:r w:rsidR="008962E2" w:rsidRPr="004635E5">
        <w:t>20</w:t>
      </w:r>
      <w:r w:rsidRPr="004635E5">
        <w:t xml:space="preserve">19 includes completing WNCPO Striped Marlin assessment, updating information on biological reference points for ISC species of interest improving catch and CPUE time series and advancing biological information for shark species, conducing the second PBF MSE workshop, reviewing initial simulation results from the </w:t>
      </w:r>
      <w:r w:rsidR="002D5D17" w:rsidRPr="004635E5">
        <w:t>albacore</w:t>
      </w:r>
      <w:r w:rsidRPr="004635E5">
        <w:t xml:space="preserve"> MSE process, and enhancing database and website management. The next ISC Plenary will be held in Chinese-Taipei in July 2019. </w:t>
      </w:r>
    </w:p>
    <w:p w14:paraId="5356549A" w14:textId="77777777" w:rsidR="00B22831" w:rsidRPr="004635E5" w:rsidRDefault="00B22831" w:rsidP="006633A8">
      <w:pPr>
        <w:autoSpaceDE w:val="0"/>
        <w:autoSpaceDN w:val="0"/>
        <w:adjustRightInd w:val="0"/>
        <w:snapToGrid w:val="0"/>
        <w:jc w:val="both"/>
        <w:rPr>
          <w:rFonts w:eastAsia="Batang"/>
          <w:sz w:val="22"/>
          <w:szCs w:val="22"/>
          <w:lang w:val="en-NZ" w:eastAsia="ko-KR"/>
        </w:rPr>
      </w:pPr>
    </w:p>
    <w:p w14:paraId="31F87EF9" w14:textId="77777777" w:rsidR="005625C8" w:rsidRPr="004635E5" w:rsidRDefault="00073DD2" w:rsidP="00580EA4">
      <w:pPr>
        <w:pStyle w:val="SC3"/>
        <w:numPr>
          <w:ilvl w:val="2"/>
          <w:numId w:val="161"/>
        </w:numPr>
        <w:spacing w:after="0"/>
        <w:rPr>
          <w:rFonts w:eastAsia="Batang"/>
          <w:lang w:eastAsia="ko-KR"/>
        </w:rPr>
      </w:pPr>
      <w:r w:rsidRPr="004635E5">
        <w:rPr>
          <w:rFonts w:eastAsia="Batang"/>
          <w:lang w:eastAsia="ko-KR"/>
        </w:rPr>
        <w:t>North Pacific albacore</w:t>
      </w:r>
      <w:r w:rsidR="00807662" w:rsidRPr="004635E5">
        <w:rPr>
          <w:rFonts w:eastAsia="Batang"/>
          <w:lang w:eastAsia="ko-KR"/>
        </w:rPr>
        <w:t xml:space="preserve"> (</w:t>
      </w:r>
      <w:r w:rsidR="00807662" w:rsidRPr="004635E5">
        <w:rPr>
          <w:rFonts w:eastAsia="Batang"/>
          <w:i/>
          <w:lang w:eastAsia="ko-KR"/>
        </w:rPr>
        <w:t>Thunnus alalunga</w:t>
      </w:r>
      <w:r w:rsidR="00807662" w:rsidRPr="004635E5">
        <w:rPr>
          <w:rFonts w:eastAsia="Batang"/>
          <w:lang w:eastAsia="ko-KR"/>
        </w:rPr>
        <w:t>)</w:t>
      </w:r>
      <w:r w:rsidRPr="004635E5">
        <w:rPr>
          <w:rFonts w:eastAsia="Batang"/>
          <w:lang w:eastAsia="ko-KR"/>
        </w:rPr>
        <w:t xml:space="preserve"> </w:t>
      </w:r>
    </w:p>
    <w:p w14:paraId="252BE6EF" w14:textId="77777777" w:rsidR="00B22831" w:rsidRPr="004635E5" w:rsidRDefault="00B22831" w:rsidP="006633A8">
      <w:pPr>
        <w:pStyle w:val="SC3"/>
        <w:numPr>
          <w:ilvl w:val="0"/>
          <w:numId w:val="0"/>
        </w:numPr>
        <w:spacing w:after="0"/>
        <w:ind w:left="1440"/>
        <w:rPr>
          <w:rFonts w:eastAsia="Batang"/>
          <w:lang w:eastAsia="ko-KR"/>
        </w:rPr>
      </w:pPr>
    </w:p>
    <w:p w14:paraId="20471573" w14:textId="77777777" w:rsidR="00073DD2" w:rsidRPr="004635E5" w:rsidRDefault="00073DD2" w:rsidP="00580EA4">
      <w:pPr>
        <w:pStyle w:val="SC3"/>
        <w:numPr>
          <w:ilvl w:val="3"/>
          <w:numId w:val="161"/>
        </w:numPr>
        <w:spacing w:after="0"/>
        <w:rPr>
          <w:rFonts w:eastAsia="Batang"/>
          <w:lang w:eastAsia="ko-KR"/>
        </w:rPr>
      </w:pPr>
      <w:r w:rsidRPr="004635E5">
        <w:rPr>
          <w:rFonts w:eastAsia="Batang"/>
        </w:rPr>
        <w:t>Research and information</w:t>
      </w:r>
    </w:p>
    <w:p w14:paraId="620EA036" w14:textId="77777777" w:rsidR="00B22831" w:rsidRPr="004635E5" w:rsidRDefault="00B22831" w:rsidP="006633A8">
      <w:pPr>
        <w:pStyle w:val="SC3"/>
        <w:numPr>
          <w:ilvl w:val="0"/>
          <w:numId w:val="0"/>
        </w:numPr>
        <w:spacing w:after="0"/>
        <w:ind w:left="1800"/>
        <w:rPr>
          <w:rFonts w:eastAsia="Batang"/>
          <w:lang w:eastAsia="ko-KR"/>
        </w:rPr>
      </w:pPr>
    </w:p>
    <w:p w14:paraId="662523BD" w14:textId="77777777" w:rsidR="00DF18CC" w:rsidRPr="00A738E2" w:rsidRDefault="00DF18CC" w:rsidP="00580EA4">
      <w:pPr>
        <w:pStyle w:val="WCPFC"/>
        <w:numPr>
          <w:ilvl w:val="0"/>
          <w:numId w:val="154"/>
        </w:numPr>
        <w:autoSpaceDE w:val="0"/>
        <w:autoSpaceDN w:val="0"/>
        <w:adjustRightInd w:val="0"/>
        <w:ind w:left="0" w:firstLine="0"/>
        <w:rPr>
          <w:rFonts w:eastAsia="Batang"/>
          <w:b/>
          <w:bCs/>
          <w:lang w:eastAsia="ko-KR"/>
        </w:rPr>
      </w:pPr>
      <w:r w:rsidRPr="00A738E2">
        <w:rPr>
          <w:rFonts w:eastAsia="Batang"/>
          <w:b/>
          <w:bCs/>
          <w:lang w:eastAsia="ko-KR"/>
        </w:rPr>
        <w:t xml:space="preserve">SC14 noted that no stock assessment was conducted for North Pacific albacore in 2018, and no new information was presented. </w:t>
      </w:r>
    </w:p>
    <w:p w14:paraId="39D8E79F" w14:textId="77777777" w:rsidR="000C01DF" w:rsidRPr="004635E5" w:rsidRDefault="00073DD2" w:rsidP="00580EA4">
      <w:pPr>
        <w:pStyle w:val="SC3"/>
        <w:numPr>
          <w:ilvl w:val="3"/>
          <w:numId w:val="161"/>
        </w:numPr>
        <w:spacing w:after="0"/>
        <w:rPr>
          <w:rFonts w:eastAsia="Batang"/>
        </w:rPr>
      </w:pPr>
      <w:r w:rsidRPr="004635E5">
        <w:rPr>
          <w:rFonts w:eastAsia="Batang"/>
        </w:rPr>
        <w:t>Provision of scientific information</w:t>
      </w:r>
    </w:p>
    <w:p w14:paraId="513A900F" w14:textId="77777777" w:rsidR="00B22831" w:rsidRPr="004635E5" w:rsidRDefault="00B22831" w:rsidP="006633A8">
      <w:pPr>
        <w:pStyle w:val="SC3"/>
        <w:numPr>
          <w:ilvl w:val="0"/>
          <w:numId w:val="0"/>
        </w:numPr>
        <w:spacing w:after="0"/>
        <w:ind w:left="1800"/>
        <w:rPr>
          <w:rFonts w:eastAsia="Batang"/>
        </w:rPr>
      </w:pPr>
    </w:p>
    <w:p w14:paraId="4EB56C5C" w14:textId="77777777" w:rsidR="00B22831" w:rsidRPr="004635E5" w:rsidRDefault="005625C8" w:rsidP="00BD29C2">
      <w:pPr>
        <w:pStyle w:val="SCa"/>
        <w:tabs>
          <w:tab w:val="clear" w:pos="1080"/>
        </w:tabs>
        <w:spacing w:after="0"/>
        <w:ind w:left="0"/>
      </w:pPr>
      <w:r w:rsidRPr="004635E5">
        <w:t>a.</w:t>
      </w:r>
      <w:r w:rsidRPr="004635E5">
        <w:tab/>
      </w:r>
      <w:r w:rsidR="000C01DF" w:rsidRPr="004635E5">
        <w:t>Status</w:t>
      </w:r>
      <w:r w:rsidR="00CB1BA6" w:rsidRPr="004635E5">
        <w:t xml:space="preserve"> and trends</w:t>
      </w:r>
    </w:p>
    <w:p w14:paraId="210AE841" w14:textId="77777777" w:rsidR="00B22831" w:rsidRPr="004635E5" w:rsidRDefault="00B22831" w:rsidP="006633A8">
      <w:pPr>
        <w:pStyle w:val="SCa"/>
        <w:spacing w:after="0"/>
      </w:pPr>
    </w:p>
    <w:p w14:paraId="3A7CCF7E" w14:textId="77777777" w:rsidR="000C01DF" w:rsidRPr="004635E5" w:rsidRDefault="000C01DF"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noted that no stock assessments were conducted for North Pacific albacore in 2018. Therefore, the stock status descriptions from SC13 are still current for North Pacific albacore. Updated information on catches was not compiled for and reviewed by</w:t>
      </w:r>
      <w:r w:rsidRPr="004635E5">
        <w:rPr>
          <w:b/>
          <w:spacing w:val="-19"/>
          <w:sz w:val="22"/>
          <w:szCs w:val="22"/>
        </w:rPr>
        <w:t xml:space="preserve"> </w:t>
      </w:r>
      <w:r w:rsidRPr="004635E5">
        <w:rPr>
          <w:b/>
          <w:sz w:val="22"/>
          <w:szCs w:val="22"/>
        </w:rPr>
        <w:t xml:space="preserve">SC14. </w:t>
      </w:r>
    </w:p>
    <w:p w14:paraId="6130F25B" w14:textId="77777777" w:rsidR="00B22831" w:rsidRPr="004635E5" w:rsidRDefault="00B22831" w:rsidP="006633A8">
      <w:pPr>
        <w:autoSpaceDE w:val="0"/>
        <w:autoSpaceDN w:val="0"/>
        <w:adjustRightInd w:val="0"/>
        <w:snapToGrid w:val="0"/>
        <w:jc w:val="both"/>
        <w:rPr>
          <w:b/>
          <w:sz w:val="22"/>
          <w:szCs w:val="22"/>
        </w:rPr>
      </w:pPr>
    </w:p>
    <w:p w14:paraId="2DCE883E" w14:textId="77777777" w:rsidR="00DF66D5" w:rsidRPr="004635E5" w:rsidRDefault="00CB1BA6" w:rsidP="00BD29C2">
      <w:pPr>
        <w:pStyle w:val="SCa"/>
        <w:tabs>
          <w:tab w:val="clear" w:pos="1080"/>
        </w:tabs>
        <w:spacing w:after="0"/>
        <w:ind w:left="0"/>
      </w:pPr>
      <w:r w:rsidRPr="004635E5">
        <w:t>b.</w:t>
      </w:r>
      <w:r w:rsidRPr="004635E5">
        <w:tab/>
      </w:r>
      <w:r w:rsidR="000C01DF" w:rsidRPr="004635E5">
        <w:t xml:space="preserve">Management </w:t>
      </w:r>
      <w:r w:rsidRPr="004635E5">
        <w:t>a</w:t>
      </w:r>
      <w:r w:rsidR="000C01DF" w:rsidRPr="004635E5">
        <w:t>dvice</w:t>
      </w:r>
      <w:r w:rsidRPr="004635E5">
        <w:t xml:space="preserve"> and implications</w:t>
      </w:r>
    </w:p>
    <w:p w14:paraId="674D7DAD" w14:textId="77777777" w:rsidR="00DF66D5" w:rsidRPr="004635E5" w:rsidRDefault="00DF66D5" w:rsidP="006633A8">
      <w:pPr>
        <w:pStyle w:val="SCa"/>
        <w:spacing w:after="0"/>
      </w:pPr>
    </w:p>
    <w:p w14:paraId="22DB36CF" w14:textId="77777777" w:rsidR="000C01DF" w:rsidRPr="004635E5" w:rsidRDefault="000C01DF" w:rsidP="00580EA4">
      <w:pPr>
        <w:numPr>
          <w:ilvl w:val="0"/>
          <w:numId w:val="18"/>
        </w:numPr>
        <w:autoSpaceDE w:val="0"/>
        <w:autoSpaceDN w:val="0"/>
        <w:adjustRightInd w:val="0"/>
        <w:snapToGrid w:val="0"/>
        <w:ind w:left="0" w:firstLine="0"/>
        <w:jc w:val="both"/>
        <w:rPr>
          <w:rStyle w:val="Hyperlink"/>
          <w:color w:val="auto"/>
          <w:sz w:val="22"/>
          <w:szCs w:val="22"/>
          <w:u w:val="none"/>
        </w:rPr>
      </w:pPr>
      <w:r w:rsidRPr="004635E5">
        <w:rPr>
          <w:b/>
          <w:sz w:val="22"/>
          <w:szCs w:val="22"/>
        </w:rPr>
        <w:t>SC14 noted that no management advice has been provided since SC13 for North Pacific albacore. Therefore, the advice from SC13 should be maintained, pending a new assessment or other new information.</w:t>
      </w:r>
      <w:bookmarkStart w:id="87" w:name="_Hlk521944878"/>
      <w:r w:rsidRPr="004635E5">
        <w:rPr>
          <w:b/>
          <w:sz w:val="22"/>
          <w:szCs w:val="22"/>
        </w:rPr>
        <w:t xml:space="preserve"> For further information on the management advice and implications from SC13, please see </w:t>
      </w:r>
      <w:hyperlink r:id="rId97" w:history="1">
        <w:r w:rsidR="00F576DD" w:rsidRPr="004635E5">
          <w:rPr>
            <w:rStyle w:val="Hyperlink"/>
            <w:b/>
            <w:sz w:val="22"/>
            <w:szCs w:val="22"/>
          </w:rPr>
          <w:t>https://www.wcpfc.int/node/29904</w:t>
        </w:r>
      </w:hyperlink>
      <w:bookmarkEnd w:id="87"/>
      <w:r w:rsidRPr="004635E5">
        <w:rPr>
          <w:rStyle w:val="Hyperlink"/>
          <w:b/>
          <w:sz w:val="22"/>
          <w:szCs w:val="22"/>
        </w:rPr>
        <w:t xml:space="preserve"> </w:t>
      </w:r>
    </w:p>
    <w:p w14:paraId="4ED25853" w14:textId="77777777" w:rsidR="00DF66D5" w:rsidRPr="004635E5" w:rsidRDefault="00DF66D5" w:rsidP="006633A8">
      <w:pPr>
        <w:autoSpaceDE w:val="0"/>
        <w:autoSpaceDN w:val="0"/>
        <w:adjustRightInd w:val="0"/>
        <w:snapToGrid w:val="0"/>
        <w:jc w:val="both"/>
        <w:rPr>
          <w:sz w:val="22"/>
          <w:szCs w:val="22"/>
        </w:rPr>
      </w:pPr>
    </w:p>
    <w:p w14:paraId="769339AC" w14:textId="77777777" w:rsidR="005625C8" w:rsidRPr="004635E5" w:rsidRDefault="00073DD2" w:rsidP="00580EA4">
      <w:pPr>
        <w:pStyle w:val="SC3"/>
        <w:numPr>
          <w:ilvl w:val="2"/>
          <w:numId w:val="161"/>
        </w:numPr>
        <w:spacing w:after="0"/>
        <w:rPr>
          <w:rFonts w:eastAsia="Batang"/>
          <w:lang w:eastAsia="ko-KR"/>
        </w:rPr>
      </w:pPr>
      <w:r w:rsidRPr="004635E5">
        <w:rPr>
          <w:rFonts w:eastAsia="Batang"/>
          <w:lang w:eastAsia="ko-KR"/>
        </w:rPr>
        <w:t>Pacific bluefin tuna</w:t>
      </w:r>
      <w:r w:rsidR="00807662" w:rsidRPr="004635E5">
        <w:rPr>
          <w:rFonts w:eastAsia="Batang"/>
          <w:lang w:eastAsia="ko-KR"/>
        </w:rPr>
        <w:t xml:space="preserve"> (</w:t>
      </w:r>
      <w:r w:rsidR="00807662" w:rsidRPr="004635E5">
        <w:rPr>
          <w:rFonts w:eastAsia="Batang"/>
          <w:i/>
          <w:lang w:eastAsia="ko-KR"/>
        </w:rPr>
        <w:t>Thunnus orientalis</w:t>
      </w:r>
      <w:r w:rsidR="00807662" w:rsidRPr="004635E5">
        <w:rPr>
          <w:rFonts w:eastAsia="Batang"/>
          <w:lang w:eastAsia="ko-KR"/>
        </w:rPr>
        <w:t>)</w:t>
      </w:r>
      <w:r w:rsidRPr="004635E5">
        <w:rPr>
          <w:rFonts w:eastAsia="Batang"/>
          <w:lang w:eastAsia="ko-KR"/>
        </w:rPr>
        <w:t xml:space="preserve"> </w:t>
      </w:r>
    </w:p>
    <w:p w14:paraId="09186D4E" w14:textId="77777777" w:rsidR="00DF66D5" w:rsidRPr="004635E5" w:rsidRDefault="00DF66D5" w:rsidP="006633A8">
      <w:pPr>
        <w:pStyle w:val="SC3"/>
        <w:numPr>
          <w:ilvl w:val="0"/>
          <w:numId w:val="0"/>
        </w:numPr>
        <w:spacing w:after="0"/>
        <w:ind w:left="1440"/>
        <w:rPr>
          <w:rFonts w:eastAsia="Batang"/>
          <w:lang w:eastAsia="ko-KR"/>
        </w:rPr>
      </w:pPr>
    </w:p>
    <w:p w14:paraId="0925F985" w14:textId="77777777" w:rsidR="00073DD2" w:rsidRPr="004635E5" w:rsidRDefault="002D6F0B" w:rsidP="00580EA4">
      <w:pPr>
        <w:pStyle w:val="SC3"/>
        <w:numPr>
          <w:ilvl w:val="3"/>
          <w:numId w:val="161"/>
        </w:numPr>
        <w:spacing w:after="0"/>
        <w:rPr>
          <w:rFonts w:eastAsia="Batang"/>
          <w:lang w:eastAsia="ko-KR"/>
        </w:rPr>
      </w:pPr>
      <w:r w:rsidRPr="004635E5">
        <w:rPr>
          <w:rFonts w:eastAsia="Batang"/>
          <w:lang w:eastAsia="ko-KR"/>
        </w:rPr>
        <w:t>R</w:t>
      </w:r>
      <w:r w:rsidR="00073DD2" w:rsidRPr="004635E5">
        <w:rPr>
          <w:rFonts w:eastAsia="Batang"/>
          <w:lang w:eastAsia="ko-KR"/>
        </w:rPr>
        <w:t>esearch and information</w:t>
      </w:r>
    </w:p>
    <w:p w14:paraId="10E20EEE" w14:textId="77777777" w:rsidR="00DF66D5" w:rsidRPr="004635E5" w:rsidRDefault="00DF66D5" w:rsidP="006633A8">
      <w:pPr>
        <w:pStyle w:val="SC3"/>
        <w:numPr>
          <w:ilvl w:val="0"/>
          <w:numId w:val="0"/>
        </w:numPr>
        <w:spacing w:after="0"/>
        <w:ind w:left="1800"/>
        <w:rPr>
          <w:rFonts w:eastAsia="Batang"/>
          <w:lang w:eastAsia="ko-KR"/>
        </w:rPr>
      </w:pPr>
    </w:p>
    <w:p w14:paraId="4B6368FF" w14:textId="77777777" w:rsidR="00E63503" w:rsidRPr="004635E5" w:rsidRDefault="00E63503"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S. Nakatsuka reported the results of the new stock assessment for Pacific bluefin tuna (PBF)</w:t>
      </w:r>
      <w:r w:rsidR="00270656" w:rsidRPr="004635E5">
        <w:rPr>
          <w:rFonts w:eastAsia="Batang"/>
          <w:sz w:val="22"/>
          <w:szCs w:val="22"/>
          <w:lang w:val="en-NZ" w:eastAsia="ko-KR"/>
        </w:rPr>
        <w:t>:</w:t>
      </w:r>
      <w:r w:rsidRPr="004635E5">
        <w:rPr>
          <w:rFonts w:eastAsia="Batang"/>
          <w:sz w:val="22"/>
          <w:szCs w:val="22"/>
          <w:lang w:val="en-NZ" w:eastAsia="ko-KR"/>
        </w:rPr>
        <w:t xml:space="preserve"> SC14-SA-WP-06</w:t>
      </w:r>
      <w:r w:rsidR="00F81EF0">
        <w:rPr>
          <w:rFonts w:eastAsia="Batang"/>
          <w:sz w:val="22"/>
          <w:szCs w:val="22"/>
          <w:lang w:val="en-NZ" w:eastAsia="ko-KR"/>
        </w:rPr>
        <w:t xml:space="preserve"> </w:t>
      </w:r>
      <w:r w:rsidRPr="004635E5">
        <w:rPr>
          <w:rFonts w:eastAsia="Batang"/>
          <w:i/>
          <w:sz w:val="22"/>
          <w:szCs w:val="22"/>
          <w:lang w:val="en-NZ" w:eastAsia="ko-KR"/>
        </w:rPr>
        <w:t>ISC PBT WG Stock Assessment of Pacific Bluefin Tuna (Thunnus orientalis) in the Pacific Ocean in 2018</w:t>
      </w:r>
      <w:r w:rsidRPr="004635E5">
        <w:rPr>
          <w:rFonts w:eastAsia="Batang"/>
          <w:sz w:val="22"/>
          <w:szCs w:val="22"/>
          <w:lang w:val="en-NZ" w:eastAsia="ko-KR"/>
        </w:rPr>
        <w:t xml:space="preserve">. As the 2018 assessment was an update, the basic model construction </w:t>
      </w:r>
      <w:r w:rsidR="00270656" w:rsidRPr="004635E5">
        <w:rPr>
          <w:rFonts w:eastAsia="Batang"/>
          <w:sz w:val="22"/>
          <w:szCs w:val="22"/>
          <w:lang w:val="en-NZ" w:eastAsia="ko-KR"/>
        </w:rPr>
        <w:t xml:space="preserve">was </w:t>
      </w:r>
      <w:r w:rsidRPr="004635E5">
        <w:rPr>
          <w:rFonts w:eastAsia="Batang"/>
          <w:sz w:val="22"/>
          <w:szCs w:val="22"/>
          <w:lang w:val="en-NZ" w:eastAsia="ko-KR"/>
        </w:rPr>
        <w:t>the same as that used for the 2016 assessment. Population dynamics were estimated using a fully integrated age-structured model (Stock Synthesis) fitted to catch, size-composition and CPUE data from 1952 to 2016 (fishing year). Life history parameters included a length-at-age relationship from otolith-derived ages, as well as natural mortality estimates from a tag-recapture study and empirical-life history methods. Nineteen fleets were defined for use in the stock assessment model based on country/gear/season/region stratification. Quarterly observations of catch and size compositions, when available, were used as inputs to the model to describe the removal processes. Annual estimates of standardized CPUE from the Japanese longline fleets, the Chinese Taipei longline fleets, and the Japanese troll fleets were used as measures of the relative abundance of the population. Based on the diagnostic analyses, the ISC concluded that the model represents the data sufficiently and results were consistent with the 2016 assessment. The 2018 assessment results are considered the bes</w:t>
      </w:r>
      <w:r w:rsidR="00DF66D5" w:rsidRPr="004635E5">
        <w:rPr>
          <w:rFonts w:eastAsia="Batang"/>
          <w:sz w:val="22"/>
          <w:szCs w:val="22"/>
          <w:lang w:val="en-NZ" w:eastAsia="ko-KR"/>
        </w:rPr>
        <w:t>t available science information.</w:t>
      </w:r>
    </w:p>
    <w:p w14:paraId="3FBFE2BE" w14:textId="77777777" w:rsidR="00DF66D5" w:rsidRPr="004635E5" w:rsidRDefault="00DF66D5" w:rsidP="006633A8">
      <w:pPr>
        <w:autoSpaceDE w:val="0"/>
        <w:autoSpaceDN w:val="0"/>
        <w:adjustRightInd w:val="0"/>
        <w:snapToGrid w:val="0"/>
        <w:jc w:val="both"/>
        <w:rPr>
          <w:rFonts w:eastAsia="Batang"/>
          <w:sz w:val="22"/>
          <w:szCs w:val="22"/>
          <w:lang w:val="en-NZ" w:eastAsia="ko-KR"/>
        </w:rPr>
      </w:pPr>
    </w:p>
    <w:p w14:paraId="3F6A6046" w14:textId="77777777" w:rsidR="00CB1BA6" w:rsidRPr="004635E5" w:rsidRDefault="00E63503" w:rsidP="00580EA4">
      <w:pPr>
        <w:numPr>
          <w:ilvl w:val="0"/>
          <w:numId w:val="18"/>
        </w:numPr>
        <w:autoSpaceDE w:val="0"/>
        <w:autoSpaceDN w:val="0"/>
        <w:adjustRightInd w:val="0"/>
        <w:snapToGrid w:val="0"/>
        <w:ind w:left="0" w:firstLine="0"/>
        <w:jc w:val="both"/>
        <w:rPr>
          <w:rFonts w:eastAsia="Batang"/>
          <w:sz w:val="22"/>
          <w:szCs w:val="22"/>
          <w:lang w:eastAsia="ko-KR"/>
        </w:rPr>
      </w:pPr>
      <w:r w:rsidRPr="004635E5">
        <w:rPr>
          <w:rFonts w:eastAsia="Batang"/>
          <w:sz w:val="22"/>
          <w:szCs w:val="22"/>
          <w:lang w:val="en-NZ" w:eastAsia="ko-KR"/>
        </w:rPr>
        <w:t>The 2018 projection results are more optimistic than the 2016 projections, mainly due to the inclusion of the relatively good recruitment in 2016, which is twice as high as the median of a low recruitment scenario (i.e. that which occurred during</w:t>
      </w:r>
      <w:r w:rsidR="00270656" w:rsidRPr="004635E5">
        <w:rPr>
          <w:rFonts w:eastAsia="Batang"/>
          <w:sz w:val="22"/>
          <w:szCs w:val="22"/>
          <w:lang w:val="en-NZ" w:eastAsia="ko-KR"/>
        </w:rPr>
        <w:t xml:space="preserve"> </w:t>
      </w:r>
      <w:r w:rsidRPr="004635E5">
        <w:rPr>
          <w:rFonts w:eastAsia="Batang"/>
          <w:sz w:val="22"/>
          <w:szCs w:val="22"/>
          <w:lang w:val="en-NZ" w:eastAsia="ko-KR"/>
        </w:rPr>
        <w:t>1980-1989). Based on the performance analyses of the recruitment estimates using an age-structured production model and the retr</w:t>
      </w:r>
      <w:r w:rsidR="00270656" w:rsidRPr="004635E5">
        <w:rPr>
          <w:rFonts w:eastAsia="Batang"/>
          <w:sz w:val="22"/>
          <w:szCs w:val="22"/>
          <w:lang w:val="en-NZ" w:eastAsia="ko-KR"/>
        </w:rPr>
        <w:t>ospective diagnostics, terminal-</w:t>
      </w:r>
      <w:r w:rsidRPr="004635E5">
        <w:rPr>
          <w:rFonts w:eastAsia="Batang"/>
          <w:sz w:val="22"/>
          <w:szCs w:val="22"/>
          <w:lang w:val="en-NZ" w:eastAsia="ko-KR"/>
        </w:rPr>
        <w:t>year recruitment estimates were included in the projections. The projection</w:t>
      </w:r>
      <w:r w:rsidRPr="004635E5">
        <w:rPr>
          <w:rFonts w:eastAsia="Batang"/>
          <w:sz w:val="22"/>
          <w:szCs w:val="22"/>
          <w:lang w:eastAsia="ko-KR"/>
        </w:rPr>
        <w:t xml:space="preserve"> results showed that the probability of achieving the initial rebuilding target under current measures taken by WCPFC and IATTC was above the level prescribed in the WCPFC Harvest Strategy (75% or above in 2024) to provide relevant information for potential increase in catch. Accordingly, the ISC examined some optional scenarios which have higher catch limit</w:t>
      </w:r>
      <w:r w:rsidR="00270656" w:rsidRPr="004635E5">
        <w:rPr>
          <w:rFonts w:eastAsia="Batang"/>
          <w:sz w:val="22"/>
          <w:szCs w:val="22"/>
          <w:lang w:eastAsia="ko-KR"/>
        </w:rPr>
        <w:t>s</w:t>
      </w:r>
      <w:r w:rsidRPr="004635E5">
        <w:rPr>
          <w:rFonts w:eastAsia="Batang"/>
          <w:sz w:val="22"/>
          <w:szCs w:val="22"/>
          <w:lang w:eastAsia="ko-KR"/>
        </w:rPr>
        <w:t>.</w:t>
      </w:r>
    </w:p>
    <w:p w14:paraId="6EFC41AE" w14:textId="77777777" w:rsidR="00DF66D5" w:rsidRPr="004635E5" w:rsidRDefault="00DF66D5" w:rsidP="006633A8">
      <w:pPr>
        <w:autoSpaceDE w:val="0"/>
        <w:autoSpaceDN w:val="0"/>
        <w:adjustRightInd w:val="0"/>
        <w:snapToGrid w:val="0"/>
        <w:jc w:val="both"/>
        <w:rPr>
          <w:rFonts w:eastAsia="Batang"/>
          <w:b/>
          <w:sz w:val="22"/>
          <w:szCs w:val="22"/>
          <w:lang w:val="en-NZ" w:eastAsia="ko-KR"/>
        </w:rPr>
      </w:pPr>
    </w:p>
    <w:p w14:paraId="5E70B1C3" w14:textId="77777777" w:rsidR="000F5C05" w:rsidRPr="004635E5" w:rsidRDefault="00BA35D9" w:rsidP="006633A8">
      <w:pPr>
        <w:autoSpaceDE w:val="0"/>
        <w:autoSpaceDN w:val="0"/>
        <w:adjustRightInd w:val="0"/>
        <w:snapToGrid w:val="0"/>
        <w:jc w:val="both"/>
        <w:rPr>
          <w:rFonts w:eastAsia="Batang"/>
          <w:b/>
          <w:sz w:val="22"/>
          <w:szCs w:val="22"/>
          <w:lang w:val="en-NZ" w:eastAsia="ko-KR"/>
        </w:rPr>
      </w:pPr>
      <w:r w:rsidRPr="004635E5">
        <w:rPr>
          <w:rFonts w:eastAsia="Batang"/>
          <w:b/>
          <w:sz w:val="22"/>
          <w:szCs w:val="22"/>
          <w:lang w:val="en-NZ" w:eastAsia="ko-KR"/>
        </w:rPr>
        <w:t>Discussion</w:t>
      </w:r>
    </w:p>
    <w:p w14:paraId="246061EE" w14:textId="77777777" w:rsidR="00DF66D5" w:rsidRPr="004635E5" w:rsidRDefault="00DF66D5" w:rsidP="006633A8">
      <w:pPr>
        <w:autoSpaceDE w:val="0"/>
        <w:autoSpaceDN w:val="0"/>
        <w:adjustRightInd w:val="0"/>
        <w:snapToGrid w:val="0"/>
        <w:jc w:val="both"/>
        <w:rPr>
          <w:rFonts w:eastAsia="Batang"/>
          <w:sz w:val="22"/>
          <w:szCs w:val="22"/>
          <w:lang w:eastAsia="ko-KR"/>
        </w:rPr>
      </w:pPr>
    </w:p>
    <w:p w14:paraId="2099A401" w14:textId="77777777" w:rsidR="007F268C" w:rsidRPr="004635E5" w:rsidRDefault="005D5CB6"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The </w:t>
      </w:r>
      <w:r w:rsidR="00356076" w:rsidRPr="004635E5">
        <w:rPr>
          <w:rFonts w:eastAsia="Batang"/>
          <w:sz w:val="22"/>
          <w:szCs w:val="22"/>
          <w:lang w:val="en-NZ" w:eastAsia="ko-KR"/>
        </w:rPr>
        <w:t>EU</w:t>
      </w:r>
      <w:r w:rsidR="007F268C" w:rsidRPr="004635E5">
        <w:rPr>
          <w:rFonts w:eastAsia="Batang"/>
          <w:sz w:val="22"/>
          <w:szCs w:val="22"/>
          <w:lang w:val="en-NZ" w:eastAsia="ko-KR"/>
        </w:rPr>
        <w:t xml:space="preserve"> noted that it often </w:t>
      </w:r>
      <w:r w:rsidR="00356076" w:rsidRPr="004635E5">
        <w:rPr>
          <w:rFonts w:eastAsia="Batang"/>
          <w:sz w:val="22"/>
          <w:szCs w:val="22"/>
          <w:lang w:val="en-NZ" w:eastAsia="ko-KR"/>
        </w:rPr>
        <w:t>takes some y</w:t>
      </w:r>
      <w:r w:rsidR="007F268C" w:rsidRPr="004635E5">
        <w:rPr>
          <w:rFonts w:eastAsia="Batang"/>
          <w:sz w:val="22"/>
          <w:szCs w:val="22"/>
          <w:lang w:val="en-NZ" w:eastAsia="ko-KR"/>
        </w:rPr>
        <w:t>ea</w:t>
      </w:r>
      <w:r w:rsidR="00356076" w:rsidRPr="004635E5">
        <w:rPr>
          <w:rFonts w:eastAsia="Batang"/>
          <w:sz w:val="22"/>
          <w:szCs w:val="22"/>
          <w:lang w:val="en-NZ" w:eastAsia="ko-KR"/>
        </w:rPr>
        <w:t xml:space="preserve">rs before </w:t>
      </w:r>
      <w:r w:rsidR="007F268C" w:rsidRPr="004635E5">
        <w:rPr>
          <w:rFonts w:eastAsia="Batang"/>
          <w:sz w:val="22"/>
          <w:szCs w:val="22"/>
          <w:lang w:val="en-NZ" w:eastAsia="ko-KR"/>
        </w:rPr>
        <w:t xml:space="preserve">a </w:t>
      </w:r>
      <w:r w:rsidR="00356076" w:rsidRPr="004635E5">
        <w:rPr>
          <w:rFonts w:eastAsia="Batang"/>
          <w:sz w:val="22"/>
          <w:szCs w:val="22"/>
          <w:lang w:val="en-NZ" w:eastAsia="ko-KR"/>
        </w:rPr>
        <w:t>y</w:t>
      </w:r>
      <w:r w:rsidR="007F268C" w:rsidRPr="004635E5">
        <w:rPr>
          <w:rFonts w:eastAsia="Batang"/>
          <w:sz w:val="22"/>
          <w:szCs w:val="22"/>
          <w:lang w:val="en-NZ" w:eastAsia="ko-KR"/>
        </w:rPr>
        <w:t>ea</w:t>
      </w:r>
      <w:r w:rsidR="00356076" w:rsidRPr="004635E5">
        <w:rPr>
          <w:rFonts w:eastAsia="Batang"/>
          <w:sz w:val="22"/>
          <w:szCs w:val="22"/>
          <w:lang w:val="en-NZ" w:eastAsia="ko-KR"/>
        </w:rPr>
        <w:t>r class is deter</w:t>
      </w:r>
      <w:r w:rsidR="007F268C" w:rsidRPr="004635E5">
        <w:rPr>
          <w:rFonts w:eastAsia="Batang"/>
          <w:sz w:val="22"/>
          <w:szCs w:val="22"/>
          <w:lang w:val="en-NZ" w:eastAsia="ko-KR"/>
        </w:rPr>
        <w:t xml:space="preserve">mined </w:t>
      </w:r>
      <w:r w:rsidR="00356076" w:rsidRPr="004635E5">
        <w:rPr>
          <w:rFonts w:eastAsia="Batang"/>
          <w:sz w:val="22"/>
          <w:szCs w:val="22"/>
          <w:lang w:val="en-NZ" w:eastAsia="ko-KR"/>
        </w:rPr>
        <w:t>w</w:t>
      </w:r>
      <w:r w:rsidR="007F268C" w:rsidRPr="004635E5">
        <w:rPr>
          <w:rFonts w:eastAsia="Batang"/>
          <w:sz w:val="22"/>
          <w:szCs w:val="22"/>
          <w:lang w:val="en-NZ" w:eastAsia="ko-KR"/>
        </w:rPr>
        <w:t>ith</w:t>
      </w:r>
      <w:r w:rsidR="00356076" w:rsidRPr="004635E5">
        <w:rPr>
          <w:rFonts w:eastAsia="Batang"/>
          <w:sz w:val="22"/>
          <w:szCs w:val="22"/>
          <w:lang w:val="en-NZ" w:eastAsia="ko-KR"/>
        </w:rPr>
        <w:t xml:space="preserve"> p</w:t>
      </w:r>
      <w:r w:rsidR="007F268C" w:rsidRPr="004635E5">
        <w:rPr>
          <w:rFonts w:eastAsia="Batang"/>
          <w:sz w:val="22"/>
          <w:szCs w:val="22"/>
          <w:lang w:val="en-NZ" w:eastAsia="ko-KR"/>
        </w:rPr>
        <w:t>r</w:t>
      </w:r>
      <w:r w:rsidR="00356076" w:rsidRPr="004635E5">
        <w:rPr>
          <w:rFonts w:eastAsia="Batang"/>
          <w:sz w:val="22"/>
          <w:szCs w:val="22"/>
          <w:lang w:val="en-NZ" w:eastAsia="ko-KR"/>
        </w:rPr>
        <w:t>ecision</w:t>
      </w:r>
      <w:r w:rsidR="007F268C" w:rsidRPr="004635E5">
        <w:rPr>
          <w:rFonts w:eastAsia="Batang"/>
          <w:sz w:val="22"/>
          <w:szCs w:val="22"/>
          <w:lang w:val="en-NZ" w:eastAsia="ko-KR"/>
        </w:rPr>
        <w:t xml:space="preserve">, </w:t>
      </w:r>
      <w:r w:rsidRPr="004635E5">
        <w:rPr>
          <w:rFonts w:eastAsia="Batang"/>
          <w:sz w:val="22"/>
          <w:szCs w:val="22"/>
          <w:lang w:val="en-NZ" w:eastAsia="ko-KR"/>
        </w:rPr>
        <w:t xml:space="preserve">and </w:t>
      </w:r>
      <w:r w:rsidR="007F268C" w:rsidRPr="004635E5">
        <w:rPr>
          <w:rFonts w:eastAsia="Batang"/>
          <w:sz w:val="22"/>
          <w:szCs w:val="22"/>
          <w:lang w:val="en-NZ" w:eastAsia="ko-KR"/>
        </w:rPr>
        <w:t xml:space="preserve">some </w:t>
      </w:r>
      <w:r w:rsidR="00356076" w:rsidRPr="004635E5">
        <w:rPr>
          <w:rFonts w:eastAsia="Batang"/>
          <w:sz w:val="22"/>
          <w:szCs w:val="22"/>
          <w:lang w:val="en-NZ" w:eastAsia="ko-KR"/>
        </w:rPr>
        <w:t>past y</w:t>
      </w:r>
      <w:r w:rsidR="007F268C" w:rsidRPr="004635E5">
        <w:rPr>
          <w:rFonts w:eastAsia="Batang"/>
          <w:sz w:val="22"/>
          <w:szCs w:val="22"/>
          <w:lang w:val="en-NZ" w:eastAsia="ko-KR"/>
        </w:rPr>
        <w:t>ea</w:t>
      </w:r>
      <w:r w:rsidR="00356076" w:rsidRPr="004635E5">
        <w:rPr>
          <w:rFonts w:eastAsia="Batang"/>
          <w:sz w:val="22"/>
          <w:szCs w:val="22"/>
          <w:lang w:val="en-NZ" w:eastAsia="ko-KR"/>
        </w:rPr>
        <w:t>r cla</w:t>
      </w:r>
      <w:r w:rsidR="007F268C" w:rsidRPr="004635E5">
        <w:rPr>
          <w:rFonts w:eastAsia="Batang"/>
          <w:sz w:val="22"/>
          <w:szCs w:val="22"/>
          <w:lang w:val="en-NZ" w:eastAsia="ko-KR"/>
        </w:rPr>
        <w:t>s</w:t>
      </w:r>
      <w:r w:rsidR="00356076" w:rsidRPr="004635E5">
        <w:rPr>
          <w:rFonts w:eastAsia="Batang"/>
          <w:sz w:val="22"/>
          <w:szCs w:val="22"/>
          <w:lang w:val="en-NZ" w:eastAsia="ko-KR"/>
        </w:rPr>
        <w:t xml:space="preserve">ses have been overestimated. </w:t>
      </w:r>
      <w:r w:rsidRPr="004635E5">
        <w:rPr>
          <w:rFonts w:eastAsia="Batang"/>
          <w:sz w:val="22"/>
          <w:szCs w:val="22"/>
          <w:lang w:val="en-NZ" w:eastAsia="ko-KR"/>
        </w:rPr>
        <w:t xml:space="preserve">The EU </w:t>
      </w:r>
      <w:r w:rsidR="007F268C" w:rsidRPr="004635E5">
        <w:rPr>
          <w:rFonts w:eastAsia="Batang"/>
          <w:sz w:val="22"/>
          <w:szCs w:val="22"/>
          <w:lang w:val="en-NZ" w:eastAsia="ko-KR"/>
        </w:rPr>
        <w:t>queried whether there was a</w:t>
      </w:r>
      <w:r w:rsidR="00F81447">
        <w:rPr>
          <w:rFonts w:eastAsia="Batang" w:hint="eastAsia"/>
          <w:sz w:val="22"/>
          <w:szCs w:val="22"/>
          <w:lang w:val="en-NZ" w:eastAsia="ko-KR"/>
        </w:rPr>
        <w:t>n</w:t>
      </w:r>
      <w:r w:rsidR="007F268C" w:rsidRPr="004635E5">
        <w:rPr>
          <w:rFonts w:eastAsia="Batang"/>
          <w:sz w:val="22"/>
          <w:szCs w:val="22"/>
          <w:lang w:val="en-NZ" w:eastAsia="ko-KR"/>
        </w:rPr>
        <w:t xml:space="preserve"> over</w:t>
      </w:r>
      <w:r w:rsidR="00356076" w:rsidRPr="004635E5">
        <w:rPr>
          <w:rFonts w:eastAsia="Batang"/>
          <w:sz w:val="22"/>
          <w:szCs w:val="22"/>
          <w:lang w:val="en-NZ" w:eastAsia="ko-KR"/>
        </w:rPr>
        <w:t xml:space="preserve">emphasis on </w:t>
      </w:r>
      <w:r w:rsidR="007F268C" w:rsidRPr="004635E5">
        <w:rPr>
          <w:rFonts w:eastAsia="Batang"/>
          <w:sz w:val="22"/>
          <w:szCs w:val="22"/>
          <w:lang w:val="en-NZ" w:eastAsia="ko-KR"/>
        </w:rPr>
        <w:t xml:space="preserve">the </w:t>
      </w:r>
      <w:r w:rsidR="00356076" w:rsidRPr="004635E5">
        <w:rPr>
          <w:rFonts w:eastAsia="Batang"/>
          <w:sz w:val="22"/>
          <w:szCs w:val="22"/>
          <w:lang w:val="en-NZ" w:eastAsia="ko-KR"/>
        </w:rPr>
        <w:t>2016 y</w:t>
      </w:r>
      <w:r w:rsidR="007F268C" w:rsidRPr="004635E5">
        <w:rPr>
          <w:rFonts w:eastAsia="Batang"/>
          <w:sz w:val="22"/>
          <w:szCs w:val="22"/>
          <w:lang w:val="en-NZ" w:eastAsia="ko-KR"/>
        </w:rPr>
        <w:t>ea</w:t>
      </w:r>
      <w:r w:rsidR="00356076" w:rsidRPr="004635E5">
        <w:rPr>
          <w:rFonts w:eastAsia="Batang"/>
          <w:sz w:val="22"/>
          <w:szCs w:val="22"/>
          <w:lang w:val="en-NZ" w:eastAsia="ko-KR"/>
        </w:rPr>
        <w:t>r class estimation</w:t>
      </w:r>
      <w:r w:rsidR="007F268C" w:rsidRPr="004635E5">
        <w:rPr>
          <w:rFonts w:eastAsia="Batang"/>
          <w:sz w:val="22"/>
          <w:szCs w:val="22"/>
          <w:lang w:val="en-NZ" w:eastAsia="ko-KR"/>
        </w:rPr>
        <w:t>, and wh</w:t>
      </w:r>
      <w:r w:rsidR="002477AE" w:rsidRPr="004635E5">
        <w:rPr>
          <w:rFonts w:eastAsia="Batang"/>
          <w:sz w:val="22"/>
          <w:szCs w:val="22"/>
          <w:lang w:val="en-NZ" w:eastAsia="ko-KR"/>
        </w:rPr>
        <w:t>e</w:t>
      </w:r>
      <w:r w:rsidR="007F268C" w:rsidRPr="004635E5">
        <w:rPr>
          <w:rFonts w:eastAsia="Batang"/>
          <w:sz w:val="22"/>
          <w:szCs w:val="22"/>
          <w:lang w:val="en-NZ" w:eastAsia="ko-KR"/>
        </w:rPr>
        <w:t xml:space="preserve">ther </w:t>
      </w:r>
      <w:r w:rsidR="00AC15B7" w:rsidRPr="004635E5">
        <w:rPr>
          <w:rFonts w:eastAsia="Batang"/>
          <w:sz w:val="22"/>
          <w:szCs w:val="22"/>
          <w:lang w:val="en-NZ" w:eastAsia="ko-KR"/>
        </w:rPr>
        <w:t>a</w:t>
      </w:r>
      <w:r w:rsidR="00375222" w:rsidRPr="004635E5">
        <w:rPr>
          <w:rFonts w:eastAsia="Batang"/>
          <w:sz w:val="22"/>
          <w:szCs w:val="22"/>
          <w:lang w:val="en-NZ" w:eastAsia="ko-KR"/>
        </w:rPr>
        <w:t xml:space="preserve"> </w:t>
      </w:r>
      <w:r w:rsidR="00270656" w:rsidRPr="004635E5">
        <w:rPr>
          <w:rFonts w:eastAsia="Batang"/>
          <w:sz w:val="22"/>
          <w:szCs w:val="22"/>
          <w:lang w:val="en-NZ" w:eastAsia="ko-KR"/>
        </w:rPr>
        <w:t xml:space="preserve">reference point </w:t>
      </w:r>
      <w:r w:rsidR="00375222" w:rsidRPr="004635E5">
        <w:rPr>
          <w:rFonts w:eastAsia="Batang"/>
          <w:sz w:val="22"/>
          <w:szCs w:val="22"/>
          <w:lang w:val="en-NZ" w:eastAsia="ko-KR"/>
        </w:rPr>
        <w:t xml:space="preserve">that </w:t>
      </w:r>
      <w:r w:rsidR="00356076" w:rsidRPr="004635E5">
        <w:rPr>
          <w:rFonts w:eastAsia="Batang"/>
          <w:sz w:val="22"/>
          <w:szCs w:val="22"/>
          <w:lang w:val="en-NZ" w:eastAsia="ko-KR"/>
        </w:rPr>
        <w:t>diff</w:t>
      </w:r>
      <w:r w:rsidR="00375222" w:rsidRPr="004635E5">
        <w:rPr>
          <w:rFonts w:eastAsia="Batang"/>
          <w:sz w:val="22"/>
          <w:szCs w:val="22"/>
          <w:lang w:val="en-NZ" w:eastAsia="ko-KR"/>
        </w:rPr>
        <w:t>ered</w:t>
      </w:r>
      <w:r w:rsidR="00356076" w:rsidRPr="004635E5">
        <w:rPr>
          <w:rFonts w:eastAsia="Batang"/>
          <w:sz w:val="22"/>
          <w:szCs w:val="22"/>
          <w:lang w:val="en-NZ" w:eastAsia="ko-KR"/>
        </w:rPr>
        <w:t xml:space="preserve"> </w:t>
      </w:r>
      <w:r w:rsidRPr="004635E5">
        <w:rPr>
          <w:rFonts w:eastAsia="Batang"/>
          <w:sz w:val="22"/>
          <w:szCs w:val="22"/>
          <w:lang w:val="en-NZ" w:eastAsia="ko-KR"/>
        </w:rPr>
        <w:t xml:space="preserve">significantly </w:t>
      </w:r>
      <w:r w:rsidR="00356076" w:rsidRPr="004635E5">
        <w:rPr>
          <w:rFonts w:eastAsia="Batang"/>
          <w:sz w:val="22"/>
          <w:szCs w:val="22"/>
          <w:lang w:val="en-NZ" w:eastAsia="ko-KR"/>
        </w:rPr>
        <w:t xml:space="preserve">from those for other stocks in the </w:t>
      </w:r>
      <w:r w:rsidR="00375222" w:rsidRPr="004635E5">
        <w:rPr>
          <w:rFonts w:eastAsia="Batang"/>
          <w:sz w:val="22"/>
          <w:szCs w:val="22"/>
          <w:lang w:val="en-NZ" w:eastAsia="ko-KR"/>
        </w:rPr>
        <w:t>area was appropriate</w:t>
      </w:r>
      <w:r w:rsidR="00356076" w:rsidRPr="004635E5">
        <w:rPr>
          <w:rFonts w:eastAsia="Batang"/>
          <w:sz w:val="22"/>
          <w:szCs w:val="22"/>
          <w:lang w:val="en-NZ" w:eastAsia="ko-KR"/>
        </w:rPr>
        <w:t xml:space="preserve">. </w:t>
      </w:r>
      <w:r w:rsidR="00270656" w:rsidRPr="004635E5">
        <w:rPr>
          <w:rFonts w:eastAsia="Batang"/>
          <w:sz w:val="22"/>
          <w:szCs w:val="22"/>
          <w:lang w:val="en-NZ" w:eastAsia="ko-KR"/>
        </w:rPr>
        <w:t xml:space="preserve">S. Nakatsuka </w:t>
      </w:r>
      <w:r w:rsidR="00375222" w:rsidRPr="004635E5">
        <w:rPr>
          <w:rFonts w:eastAsia="Batang"/>
          <w:sz w:val="22"/>
          <w:szCs w:val="22"/>
          <w:lang w:val="en-NZ" w:eastAsia="ko-KR"/>
        </w:rPr>
        <w:t>not</w:t>
      </w:r>
      <w:r w:rsidRPr="004635E5">
        <w:rPr>
          <w:rFonts w:eastAsia="Batang"/>
          <w:sz w:val="22"/>
          <w:szCs w:val="22"/>
          <w:lang w:val="en-NZ" w:eastAsia="ko-KR"/>
        </w:rPr>
        <w:t>ed</w:t>
      </w:r>
      <w:r w:rsidR="00375222" w:rsidRPr="004635E5">
        <w:rPr>
          <w:rFonts w:eastAsia="Batang"/>
          <w:sz w:val="22"/>
          <w:szCs w:val="22"/>
          <w:lang w:val="en-NZ" w:eastAsia="ko-KR"/>
        </w:rPr>
        <w:t xml:space="preserve"> </w:t>
      </w:r>
      <w:r w:rsidRPr="004635E5">
        <w:rPr>
          <w:rFonts w:eastAsia="Batang"/>
          <w:sz w:val="22"/>
          <w:szCs w:val="22"/>
          <w:lang w:val="en-NZ" w:eastAsia="ko-KR"/>
        </w:rPr>
        <w:t>that</w:t>
      </w:r>
      <w:r w:rsidR="00356076" w:rsidRPr="004635E5">
        <w:rPr>
          <w:rFonts w:eastAsia="Batang"/>
          <w:sz w:val="22"/>
          <w:szCs w:val="22"/>
          <w:lang w:val="en-NZ" w:eastAsia="ko-KR"/>
        </w:rPr>
        <w:t xml:space="preserve"> </w:t>
      </w:r>
      <w:r w:rsidR="00025593" w:rsidRPr="004635E5">
        <w:rPr>
          <w:rFonts w:eastAsia="Batang"/>
          <w:sz w:val="22"/>
          <w:szCs w:val="22"/>
          <w:lang w:val="en-NZ" w:eastAsia="ko-KR"/>
        </w:rPr>
        <w:t xml:space="preserve">bluefin tuna </w:t>
      </w:r>
      <w:r w:rsidR="00356076" w:rsidRPr="004635E5">
        <w:rPr>
          <w:rFonts w:eastAsia="Batang"/>
          <w:sz w:val="22"/>
          <w:szCs w:val="22"/>
          <w:lang w:val="en-NZ" w:eastAsia="ko-KR"/>
        </w:rPr>
        <w:t>d</w:t>
      </w:r>
      <w:r w:rsidR="00375222" w:rsidRPr="004635E5">
        <w:rPr>
          <w:rFonts w:eastAsia="Batang"/>
          <w:sz w:val="22"/>
          <w:szCs w:val="22"/>
          <w:lang w:val="en-NZ" w:eastAsia="ko-KR"/>
        </w:rPr>
        <w:t>id</w:t>
      </w:r>
      <w:r w:rsidR="00356076" w:rsidRPr="004635E5">
        <w:rPr>
          <w:rFonts w:eastAsia="Batang"/>
          <w:sz w:val="22"/>
          <w:szCs w:val="22"/>
          <w:lang w:val="en-NZ" w:eastAsia="ko-KR"/>
        </w:rPr>
        <w:t xml:space="preserve"> not have </w:t>
      </w:r>
      <w:r w:rsidR="00CC4B66">
        <w:rPr>
          <w:rFonts w:eastAsia="Batang"/>
          <w:sz w:val="22"/>
          <w:szCs w:val="22"/>
          <w:lang w:val="en-NZ" w:eastAsia="ko-KR"/>
        </w:rPr>
        <w:t>an agreed upon limit</w:t>
      </w:r>
      <w:r w:rsidR="00CC4B66" w:rsidRPr="004635E5">
        <w:rPr>
          <w:rFonts w:eastAsia="Batang"/>
          <w:sz w:val="22"/>
          <w:szCs w:val="22"/>
          <w:lang w:val="en-NZ" w:eastAsia="ko-KR"/>
        </w:rPr>
        <w:t xml:space="preserve"> reference point </w:t>
      </w:r>
      <w:r w:rsidR="00356076" w:rsidRPr="004635E5">
        <w:rPr>
          <w:rFonts w:eastAsia="Batang"/>
          <w:sz w:val="22"/>
          <w:szCs w:val="22"/>
          <w:lang w:val="en-NZ" w:eastAsia="ko-KR"/>
        </w:rPr>
        <w:t>yet</w:t>
      </w:r>
      <w:r w:rsidR="00375222" w:rsidRPr="004635E5">
        <w:rPr>
          <w:rFonts w:eastAsia="Batang"/>
          <w:sz w:val="22"/>
          <w:szCs w:val="22"/>
          <w:lang w:val="en-NZ" w:eastAsia="ko-KR"/>
        </w:rPr>
        <w:t xml:space="preserve">, and that a </w:t>
      </w:r>
      <w:r w:rsidR="00356076" w:rsidRPr="004635E5">
        <w:rPr>
          <w:rFonts w:eastAsia="Batang"/>
          <w:sz w:val="22"/>
          <w:szCs w:val="22"/>
          <w:lang w:val="en-NZ" w:eastAsia="ko-KR"/>
        </w:rPr>
        <w:t>rebuilding target</w:t>
      </w:r>
      <w:r w:rsidR="00375222" w:rsidRPr="004635E5">
        <w:rPr>
          <w:rFonts w:eastAsia="Batang"/>
          <w:sz w:val="22"/>
          <w:szCs w:val="22"/>
          <w:lang w:val="en-NZ" w:eastAsia="ko-KR"/>
        </w:rPr>
        <w:t xml:space="preserve"> was currently</w:t>
      </w:r>
      <w:r w:rsidRPr="004635E5">
        <w:rPr>
          <w:rFonts w:eastAsia="Batang"/>
          <w:sz w:val="22"/>
          <w:szCs w:val="22"/>
          <w:lang w:val="en-NZ" w:eastAsia="ko-KR"/>
        </w:rPr>
        <w:t xml:space="preserve"> in place, with </w:t>
      </w:r>
      <w:r w:rsidR="00375222" w:rsidRPr="004635E5">
        <w:rPr>
          <w:rFonts w:eastAsia="Batang"/>
          <w:sz w:val="22"/>
          <w:szCs w:val="22"/>
          <w:lang w:val="en-NZ" w:eastAsia="ko-KR"/>
        </w:rPr>
        <w:t xml:space="preserve">WCPFC considering </w:t>
      </w:r>
      <w:r w:rsidR="00356076" w:rsidRPr="004635E5">
        <w:rPr>
          <w:rFonts w:eastAsia="Batang"/>
          <w:sz w:val="22"/>
          <w:szCs w:val="22"/>
          <w:lang w:val="en-NZ" w:eastAsia="ko-KR"/>
        </w:rPr>
        <w:t xml:space="preserve">the </w:t>
      </w:r>
      <w:r w:rsidR="00375222" w:rsidRPr="004635E5">
        <w:rPr>
          <w:rFonts w:eastAsia="Batang"/>
          <w:sz w:val="22"/>
          <w:szCs w:val="22"/>
          <w:lang w:val="en-NZ" w:eastAsia="ko-KR"/>
        </w:rPr>
        <w:t xml:space="preserve">correct </w:t>
      </w:r>
      <w:r w:rsidR="00356076" w:rsidRPr="004635E5">
        <w:rPr>
          <w:rFonts w:eastAsia="Batang"/>
          <w:sz w:val="22"/>
          <w:szCs w:val="22"/>
          <w:lang w:val="en-NZ" w:eastAsia="ko-KR"/>
        </w:rPr>
        <w:t>ref</w:t>
      </w:r>
      <w:r w:rsidR="00375222" w:rsidRPr="004635E5">
        <w:rPr>
          <w:rFonts w:eastAsia="Batang"/>
          <w:sz w:val="22"/>
          <w:szCs w:val="22"/>
          <w:lang w:val="en-NZ" w:eastAsia="ko-KR"/>
        </w:rPr>
        <w:t>erence</w:t>
      </w:r>
      <w:r w:rsidR="00356076" w:rsidRPr="004635E5">
        <w:rPr>
          <w:rFonts w:eastAsia="Batang"/>
          <w:sz w:val="22"/>
          <w:szCs w:val="22"/>
          <w:lang w:val="en-NZ" w:eastAsia="ko-KR"/>
        </w:rPr>
        <w:t xml:space="preserve"> point. </w:t>
      </w:r>
      <w:r w:rsidR="00375222" w:rsidRPr="004635E5">
        <w:rPr>
          <w:rFonts w:eastAsia="Batang"/>
          <w:sz w:val="22"/>
          <w:szCs w:val="22"/>
          <w:lang w:val="en-NZ" w:eastAsia="ko-KR"/>
        </w:rPr>
        <w:t xml:space="preserve">Generally, </w:t>
      </w:r>
      <w:r w:rsidR="00270656" w:rsidRPr="004635E5">
        <w:rPr>
          <w:rFonts w:eastAsia="Batang"/>
          <w:sz w:val="22"/>
          <w:szCs w:val="22"/>
          <w:lang w:val="en-NZ" w:eastAsia="ko-KR"/>
        </w:rPr>
        <w:t xml:space="preserve">reference point </w:t>
      </w:r>
      <w:r w:rsidR="00356076" w:rsidRPr="004635E5">
        <w:rPr>
          <w:rFonts w:eastAsia="Batang"/>
          <w:sz w:val="22"/>
          <w:szCs w:val="22"/>
          <w:lang w:val="en-NZ" w:eastAsia="ko-KR"/>
        </w:rPr>
        <w:t xml:space="preserve">need not be same everywhere, </w:t>
      </w:r>
      <w:r w:rsidRPr="004635E5">
        <w:rPr>
          <w:rFonts w:eastAsia="Batang"/>
          <w:sz w:val="22"/>
          <w:szCs w:val="22"/>
          <w:lang w:val="en-NZ" w:eastAsia="ko-KR"/>
        </w:rPr>
        <w:t xml:space="preserve">otherwise all would be set at 20% </w:t>
      </w:r>
      <w:r w:rsidR="00356076" w:rsidRPr="004635E5">
        <w:rPr>
          <w:rFonts w:eastAsia="Batang"/>
          <w:sz w:val="22"/>
          <w:szCs w:val="22"/>
          <w:lang w:val="en-NZ" w:eastAsia="ko-KR"/>
        </w:rPr>
        <w:t>regardless of info</w:t>
      </w:r>
      <w:r w:rsidR="00375222" w:rsidRPr="004635E5">
        <w:rPr>
          <w:rFonts w:eastAsia="Batang"/>
          <w:sz w:val="22"/>
          <w:szCs w:val="22"/>
          <w:lang w:val="en-NZ" w:eastAsia="ko-KR"/>
        </w:rPr>
        <w:t>rmation</w:t>
      </w:r>
      <w:r w:rsidR="00356076" w:rsidRPr="004635E5">
        <w:rPr>
          <w:rFonts w:eastAsia="Batang"/>
          <w:sz w:val="22"/>
          <w:szCs w:val="22"/>
          <w:lang w:val="en-NZ" w:eastAsia="ko-KR"/>
        </w:rPr>
        <w:t xml:space="preserve"> or </w:t>
      </w:r>
      <w:r w:rsidR="00375222" w:rsidRPr="004635E5">
        <w:rPr>
          <w:rFonts w:eastAsia="Batang"/>
          <w:sz w:val="22"/>
          <w:szCs w:val="22"/>
          <w:lang w:val="en-NZ" w:eastAsia="ko-KR"/>
        </w:rPr>
        <w:t>biology</w:t>
      </w:r>
      <w:r w:rsidR="00356076" w:rsidRPr="004635E5">
        <w:rPr>
          <w:rFonts w:eastAsia="Batang"/>
          <w:sz w:val="22"/>
          <w:szCs w:val="22"/>
          <w:lang w:val="en-NZ" w:eastAsia="ko-KR"/>
        </w:rPr>
        <w:t>. In some cases (</w:t>
      </w:r>
      <w:r w:rsidR="00375222" w:rsidRPr="004635E5">
        <w:rPr>
          <w:rFonts w:eastAsia="Batang"/>
          <w:sz w:val="22"/>
          <w:szCs w:val="22"/>
          <w:lang w:val="en-NZ" w:eastAsia="ko-KR"/>
        </w:rPr>
        <w:t xml:space="preserve">e.g., </w:t>
      </w:r>
      <w:r w:rsidR="002D5D17" w:rsidRPr="004635E5">
        <w:rPr>
          <w:rFonts w:eastAsia="Batang"/>
          <w:sz w:val="22"/>
          <w:szCs w:val="22"/>
          <w:lang w:val="en-NZ" w:eastAsia="ko-KR"/>
        </w:rPr>
        <w:t>North Pacific</w:t>
      </w:r>
      <w:r w:rsidR="00356076" w:rsidRPr="004635E5">
        <w:rPr>
          <w:rFonts w:eastAsia="Batang"/>
          <w:sz w:val="22"/>
          <w:szCs w:val="22"/>
          <w:lang w:val="en-NZ" w:eastAsia="ko-KR"/>
        </w:rPr>
        <w:t xml:space="preserve"> </w:t>
      </w:r>
      <w:r w:rsidR="002D5D17" w:rsidRPr="004635E5">
        <w:rPr>
          <w:rFonts w:eastAsia="Batang"/>
          <w:sz w:val="22"/>
          <w:szCs w:val="22"/>
          <w:lang w:val="en-NZ" w:eastAsia="ko-KR"/>
        </w:rPr>
        <w:t>albacore</w:t>
      </w:r>
      <w:r w:rsidR="00356076" w:rsidRPr="004635E5">
        <w:rPr>
          <w:rFonts w:eastAsia="Batang"/>
          <w:sz w:val="22"/>
          <w:szCs w:val="22"/>
          <w:lang w:val="en-NZ" w:eastAsia="ko-KR"/>
        </w:rPr>
        <w:t xml:space="preserve">) </w:t>
      </w:r>
      <w:r w:rsidR="00375222" w:rsidRPr="004635E5">
        <w:rPr>
          <w:rFonts w:eastAsia="Batang"/>
          <w:sz w:val="22"/>
          <w:szCs w:val="22"/>
          <w:lang w:val="en-NZ" w:eastAsia="ko-KR"/>
        </w:rPr>
        <w:t>B</w:t>
      </w:r>
      <w:r w:rsidRPr="004635E5">
        <w:rPr>
          <w:rFonts w:eastAsia="Batang"/>
          <w:sz w:val="22"/>
          <w:szCs w:val="22"/>
          <w:vertAlign w:val="subscript"/>
          <w:lang w:val="en-NZ" w:eastAsia="ko-KR"/>
        </w:rPr>
        <w:t>MSY</w:t>
      </w:r>
      <w:r w:rsidR="00356076" w:rsidRPr="004635E5">
        <w:rPr>
          <w:rFonts w:eastAsia="Batang"/>
          <w:sz w:val="22"/>
          <w:szCs w:val="22"/>
          <w:lang w:val="en-NZ" w:eastAsia="ko-KR"/>
        </w:rPr>
        <w:t xml:space="preserve"> </w:t>
      </w:r>
      <w:r w:rsidR="00375222" w:rsidRPr="004635E5">
        <w:rPr>
          <w:rFonts w:eastAsia="Batang"/>
          <w:sz w:val="22"/>
          <w:szCs w:val="22"/>
          <w:lang w:val="en-NZ" w:eastAsia="ko-KR"/>
        </w:rPr>
        <w:t xml:space="preserve">was </w:t>
      </w:r>
      <w:r w:rsidR="00356076" w:rsidRPr="004635E5">
        <w:rPr>
          <w:rFonts w:eastAsia="Batang"/>
          <w:sz w:val="22"/>
          <w:szCs w:val="22"/>
          <w:lang w:val="en-NZ" w:eastAsia="ko-KR"/>
        </w:rPr>
        <w:t>est</w:t>
      </w:r>
      <w:r w:rsidR="00375222" w:rsidRPr="004635E5">
        <w:rPr>
          <w:rFonts w:eastAsia="Batang"/>
          <w:sz w:val="22"/>
          <w:szCs w:val="22"/>
          <w:lang w:val="en-NZ" w:eastAsia="ko-KR"/>
        </w:rPr>
        <w:t>imated</w:t>
      </w:r>
      <w:r w:rsidR="00356076" w:rsidRPr="004635E5">
        <w:rPr>
          <w:rFonts w:eastAsia="Batang"/>
          <w:sz w:val="22"/>
          <w:szCs w:val="22"/>
          <w:lang w:val="en-NZ" w:eastAsia="ko-KR"/>
        </w:rPr>
        <w:t xml:space="preserve"> </w:t>
      </w:r>
      <w:r w:rsidR="00375222" w:rsidRPr="004635E5">
        <w:rPr>
          <w:rFonts w:eastAsia="Batang"/>
          <w:sz w:val="22"/>
          <w:szCs w:val="22"/>
          <w:lang w:val="en-NZ" w:eastAsia="ko-KR"/>
        </w:rPr>
        <w:t xml:space="preserve">as </w:t>
      </w:r>
      <w:r w:rsidR="00356076" w:rsidRPr="004635E5">
        <w:rPr>
          <w:rFonts w:eastAsia="Batang"/>
          <w:sz w:val="22"/>
          <w:szCs w:val="22"/>
          <w:lang w:val="en-NZ" w:eastAsia="ko-KR"/>
        </w:rPr>
        <w:t xml:space="preserve">14% but </w:t>
      </w:r>
      <w:r w:rsidR="00375222" w:rsidRPr="004635E5">
        <w:rPr>
          <w:rFonts w:eastAsia="Batang"/>
          <w:sz w:val="22"/>
          <w:szCs w:val="22"/>
          <w:lang w:val="en-NZ" w:eastAsia="ko-KR"/>
        </w:rPr>
        <w:t xml:space="preserve">the </w:t>
      </w:r>
      <w:r w:rsidR="00356076" w:rsidRPr="004635E5">
        <w:rPr>
          <w:rFonts w:eastAsia="Batang"/>
          <w:sz w:val="22"/>
          <w:szCs w:val="22"/>
          <w:lang w:val="en-NZ" w:eastAsia="ko-KR"/>
        </w:rPr>
        <w:t xml:space="preserve">LRP used by </w:t>
      </w:r>
      <w:r w:rsidR="00375222" w:rsidRPr="004635E5">
        <w:rPr>
          <w:rFonts w:eastAsia="Batang"/>
          <w:sz w:val="22"/>
          <w:szCs w:val="22"/>
          <w:lang w:val="en-NZ" w:eastAsia="ko-KR"/>
        </w:rPr>
        <w:t xml:space="preserve">the </w:t>
      </w:r>
      <w:r w:rsidR="00356076" w:rsidRPr="004635E5">
        <w:rPr>
          <w:rFonts w:eastAsia="Batang"/>
          <w:sz w:val="22"/>
          <w:szCs w:val="22"/>
          <w:lang w:val="en-NZ" w:eastAsia="ko-KR"/>
        </w:rPr>
        <w:t>Comm</w:t>
      </w:r>
      <w:r w:rsidR="00375222" w:rsidRPr="004635E5">
        <w:rPr>
          <w:rFonts w:eastAsia="Batang"/>
          <w:sz w:val="22"/>
          <w:szCs w:val="22"/>
          <w:lang w:val="en-NZ" w:eastAsia="ko-KR"/>
        </w:rPr>
        <w:t>ission</w:t>
      </w:r>
      <w:r w:rsidR="00E65B14" w:rsidRPr="004635E5">
        <w:rPr>
          <w:rFonts w:eastAsia="Batang"/>
          <w:sz w:val="22"/>
          <w:szCs w:val="22"/>
          <w:lang w:val="en-NZ" w:eastAsia="ko-KR"/>
        </w:rPr>
        <w:t xml:space="preserve"> is 20%. He agreed that the lack of confirmation from </w:t>
      </w:r>
      <w:r w:rsidR="00356076" w:rsidRPr="004635E5">
        <w:rPr>
          <w:rFonts w:eastAsia="Batang"/>
          <w:sz w:val="22"/>
          <w:szCs w:val="22"/>
          <w:lang w:val="en-NZ" w:eastAsia="ko-KR"/>
        </w:rPr>
        <w:t>other sources</w:t>
      </w:r>
      <w:r w:rsidR="00E65B14" w:rsidRPr="004635E5">
        <w:rPr>
          <w:rFonts w:eastAsia="Batang"/>
          <w:sz w:val="22"/>
          <w:szCs w:val="22"/>
          <w:lang w:val="en-NZ" w:eastAsia="ko-KR"/>
        </w:rPr>
        <w:t xml:space="preserve"> introduced </w:t>
      </w:r>
      <w:r w:rsidR="00A81E2C" w:rsidRPr="004635E5">
        <w:rPr>
          <w:rFonts w:eastAsia="Batang"/>
          <w:sz w:val="22"/>
          <w:szCs w:val="22"/>
          <w:lang w:val="en-NZ" w:eastAsia="ko-KR"/>
        </w:rPr>
        <w:t xml:space="preserve">uncertainty. </w:t>
      </w:r>
      <w:r w:rsidR="00E65B14" w:rsidRPr="004635E5">
        <w:rPr>
          <w:rFonts w:eastAsia="Batang"/>
          <w:sz w:val="22"/>
          <w:szCs w:val="22"/>
          <w:lang w:val="en-NZ" w:eastAsia="ko-KR"/>
        </w:rPr>
        <w:t xml:space="preserve">He noted </w:t>
      </w:r>
      <w:r w:rsidR="00A81E2C" w:rsidRPr="004635E5">
        <w:rPr>
          <w:rFonts w:eastAsia="Batang"/>
          <w:sz w:val="22"/>
          <w:szCs w:val="22"/>
          <w:lang w:val="en-NZ" w:eastAsia="ko-KR"/>
        </w:rPr>
        <w:t>lag differences between recruitment scenarios</w:t>
      </w:r>
      <w:r w:rsidRPr="004635E5">
        <w:rPr>
          <w:rFonts w:eastAsia="Batang"/>
          <w:sz w:val="22"/>
          <w:szCs w:val="22"/>
          <w:lang w:val="en-NZ" w:eastAsia="ko-KR"/>
        </w:rPr>
        <w:t>, and that i</w:t>
      </w:r>
      <w:r w:rsidR="00E65B14" w:rsidRPr="004635E5">
        <w:rPr>
          <w:rFonts w:eastAsia="Batang"/>
          <w:sz w:val="22"/>
          <w:szCs w:val="22"/>
          <w:lang w:val="en-NZ" w:eastAsia="ko-KR"/>
        </w:rPr>
        <w:t>ncluding the 2016 recr</w:t>
      </w:r>
      <w:r w:rsidR="00A81E2C" w:rsidRPr="004635E5">
        <w:rPr>
          <w:rFonts w:eastAsia="Batang"/>
          <w:sz w:val="22"/>
          <w:szCs w:val="22"/>
          <w:lang w:val="en-NZ" w:eastAsia="ko-KR"/>
        </w:rPr>
        <w:t>uitment was a judgement</w:t>
      </w:r>
      <w:r w:rsidRPr="004635E5">
        <w:rPr>
          <w:rFonts w:eastAsia="Batang"/>
          <w:sz w:val="22"/>
          <w:szCs w:val="22"/>
          <w:lang w:val="en-NZ" w:eastAsia="ko-KR"/>
        </w:rPr>
        <w:t xml:space="preserve"> call</w:t>
      </w:r>
      <w:r w:rsidR="00A81E2C" w:rsidRPr="004635E5">
        <w:rPr>
          <w:rFonts w:eastAsia="Batang"/>
          <w:sz w:val="22"/>
          <w:szCs w:val="22"/>
          <w:lang w:val="en-NZ" w:eastAsia="ko-KR"/>
        </w:rPr>
        <w:t xml:space="preserve">. </w:t>
      </w:r>
    </w:p>
    <w:p w14:paraId="41358B36" w14:textId="77777777" w:rsidR="00DF66D5" w:rsidRPr="004635E5" w:rsidRDefault="00DF66D5" w:rsidP="006633A8">
      <w:pPr>
        <w:autoSpaceDE w:val="0"/>
        <w:autoSpaceDN w:val="0"/>
        <w:adjustRightInd w:val="0"/>
        <w:snapToGrid w:val="0"/>
        <w:jc w:val="both"/>
        <w:rPr>
          <w:rFonts w:eastAsia="Batang"/>
          <w:sz w:val="22"/>
          <w:szCs w:val="22"/>
          <w:lang w:val="en-NZ" w:eastAsia="ko-KR"/>
        </w:rPr>
      </w:pPr>
    </w:p>
    <w:p w14:paraId="3E2A7015" w14:textId="77777777" w:rsidR="00DC6D05" w:rsidRPr="004635E5" w:rsidRDefault="007F268C"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A</w:t>
      </w:r>
      <w:r w:rsidR="00A81E2C" w:rsidRPr="004635E5">
        <w:rPr>
          <w:rFonts w:eastAsia="Batang"/>
          <w:sz w:val="22"/>
          <w:szCs w:val="22"/>
          <w:lang w:val="en-NZ" w:eastAsia="ko-KR"/>
        </w:rPr>
        <w:t>us</w:t>
      </w:r>
      <w:r w:rsidR="00E65B14" w:rsidRPr="004635E5">
        <w:rPr>
          <w:rFonts w:eastAsia="Batang"/>
          <w:sz w:val="22"/>
          <w:szCs w:val="22"/>
          <w:lang w:val="en-NZ" w:eastAsia="ko-KR"/>
        </w:rPr>
        <w:t xml:space="preserve">tralia </w:t>
      </w:r>
      <w:r w:rsidR="00A81E2C" w:rsidRPr="004635E5">
        <w:rPr>
          <w:rFonts w:eastAsia="Batang"/>
          <w:sz w:val="22"/>
          <w:szCs w:val="22"/>
          <w:lang w:val="en-NZ" w:eastAsia="ko-KR"/>
        </w:rPr>
        <w:t>share</w:t>
      </w:r>
      <w:r w:rsidR="00E65B14" w:rsidRPr="004635E5">
        <w:rPr>
          <w:rFonts w:eastAsia="Batang"/>
          <w:sz w:val="22"/>
          <w:szCs w:val="22"/>
          <w:lang w:val="en-NZ" w:eastAsia="ko-KR"/>
        </w:rPr>
        <w:t>d</w:t>
      </w:r>
      <w:r w:rsidR="00A81E2C" w:rsidRPr="004635E5">
        <w:rPr>
          <w:rFonts w:eastAsia="Batang"/>
          <w:sz w:val="22"/>
          <w:szCs w:val="22"/>
          <w:lang w:val="en-NZ" w:eastAsia="ko-KR"/>
        </w:rPr>
        <w:t xml:space="preserve"> </w:t>
      </w:r>
      <w:r w:rsidR="00E65B14" w:rsidRPr="004635E5">
        <w:rPr>
          <w:rFonts w:eastAsia="Batang"/>
          <w:sz w:val="22"/>
          <w:szCs w:val="22"/>
          <w:lang w:val="en-NZ" w:eastAsia="ko-KR"/>
        </w:rPr>
        <w:t xml:space="preserve">the </w:t>
      </w:r>
      <w:r w:rsidR="00A81E2C" w:rsidRPr="004635E5">
        <w:rPr>
          <w:rFonts w:eastAsia="Batang"/>
          <w:sz w:val="22"/>
          <w:szCs w:val="22"/>
          <w:lang w:val="en-NZ" w:eastAsia="ko-KR"/>
        </w:rPr>
        <w:t>EU</w:t>
      </w:r>
      <w:r w:rsidR="00E65B14" w:rsidRPr="004635E5">
        <w:rPr>
          <w:rFonts w:eastAsia="Batang"/>
          <w:sz w:val="22"/>
          <w:szCs w:val="22"/>
          <w:lang w:val="en-NZ" w:eastAsia="ko-KR"/>
        </w:rPr>
        <w:t>’s concerns</w:t>
      </w:r>
      <w:r w:rsidR="00A81E2C" w:rsidRPr="004635E5">
        <w:rPr>
          <w:rFonts w:eastAsia="Batang"/>
          <w:sz w:val="22"/>
          <w:szCs w:val="22"/>
          <w:lang w:val="en-NZ" w:eastAsia="ko-KR"/>
        </w:rPr>
        <w:t xml:space="preserve">, </w:t>
      </w:r>
      <w:r w:rsidR="00E65B14" w:rsidRPr="004635E5">
        <w:rPr>
          <w:rFonts w:eastAsia="Batang"/>
          <w:sz w:val="22"/>
          <w:szCs w:val="22"/>
          <w:lang w:val="en-NZ" w:eastAsia="ko-KR"/>
        </w:rPr>
        <w:t>observing the current projection</w:t>
      </w:r>
      <w:r w:rsidR="00A81E2C" w:rsidRPr="004635E5">
        <w:rPr>
          <w:rFonts w:eastAsia="Batang"/>
          <w:sz w:val="22"/>
          <w:szCs w:val="22"/>
          <w:lang w:val="en-NZ" w:eastAsia="ko-KR"/>
        </w:rPr>
        <w:t xml:space="preserve"> </w:t>
      </w:r>
      <w:r w:rsidR="00E65B14" w:rsidRPr="004635E5">
        <w:rPr>
          <w:rFonts w:eastAsia="Batang"/>
          <w:sz w:val="22"/>
          <w:szCs w:val="22"/>
          <w:lang w:val="en-NZ" w:eastAsia="ko-KR"/>
        </w:rPr>
        <w:t xml:space="preserve">was </w:t>
      </w:r>
      <w:r w:rsidR="00A81E2C" w:rsidRPr="004635E5">
        <w:rPr>
          <w:rFonts w:eastAsia="Batang"/>
          <w:sz w:val="22"/>
          <w:szCs w:val="22"/>
          <w:lang w:val="en-NZ" w:eastAsia="ko-KR"/>
        </w:rPr>
        <w:t>very depende</w:t>
      </w:r>
      <w:r w:rsidR="00E65B14" w:rsidRPr="004635E5">
        <w:rPr>
          <w:rFonts w:eastAsia="Batang"/>
          <w:sz w:val="22"/>
          <w:szCs w:val="22"/>
          <w:lang w:val="en-NZ" w:eastAsia="ko-KR"/>
        </w:rPr>
        <w:t>nt on the good recruitme</w:t>
      </w:r>
      <w:r w:rsidR="00A81E2C" w:rsidRPr="004635E5">
        <w:rPr>
          <w:rFonts w:eastAsia="Batang"/>
          <w:sz w:val="22"/>
          <w:szCs w:val="22"/>
          <w:lang w:val="en-NZ" w:eastAsia="ko-KR"/>
        </w:rPr>
        <w:t>nt obs</w:t>
      </w:r>
      <w:r w:rsidR="00E65B14" w:rsidRPr="004635E5">
        <w:rPr>
          <w:rFonts w:eastAsia="Batang"/>
          <w:sz w:val="22"/>
          <w:szCs w:val="22"/>
          <w:lang w:val="en-NZ" w:eastAsia="ko-KR"/>
        </w:rPr>
        <w:t>erved</w:t>
      </w:r>
      <w:r w:rsidR="00A81E2C" w:rsidRPr="004635E5">
        <w:rPr>
          <w:rFonts w:eastAsia="Batang"/>
          <w:sz w:val="22"/>
          <w:szCs w:val="22"/>
          <w:lang w:val="en-NZ" w:eastAsia="ko-KR"/>
        </w:rPr>
        <w:t xml:space="preserve"> in 2016</w:t>
      </w:r>
      <w:r w:rsidR="002D2E85" w:rsidRPr="004635E5">
        <w:rPr>
          <w:rFonts w:eastAsia="Batang"/>
          <w:sz w:val="22"/>
          <w:szCs w:val="22"/>
          <w:lang w:val="en-NZ" w:eastAsia="ko-KR"/>
        </w:rPr>
        <w:t xml:space="preserve">, and that the </w:t>
      </w:r>
      <w:r w:rsidR="00656FD8" w:rsidRPr="004635E5">
        <w:rPr>
          <w:rFonts w:eastAsia="Batang"/>
          <w:sz w:val="22"/>
          <w:szCs w:val="22"/>
          <w:lang w:val="en-NZ" w:eastAsia="ko-KR"/>
        </w:rPr>
        <w:t>stock assessment</w:t>
      </w:r>
      <w:r w:rsidR="00270656" w:rsidRPr="004635E5">
        <w:rPr>
          <w:rFonts w:eastAsia="Batang"/>
          <w:sz w:val="22"/>
          <w:szCs w:val="22"/>
          <w:lang w:val="en-NZ" w:eastAsia="ko-KR"/>
        </w:rPr>
        <w:t xml:space="preserve"> used</w:t>
      </w:r>
      <w:r w:rsidR="00A81E2C" w:rsidRPr="004635E5">
        <w:rPr>
          <w:rFonts w:eastAsia="Batang"/>
          <w:sz w:val="22"/>
          <w:szCs w:val="22"/>
          <w:lang w:val="en-NZ" w:eastAsia="ko-KR"/>
        </w:rPr>
        <w:t xml:space="preserve"> </w:t>
      </w:r>
      <w:r w:rsidR="002D2E85" w:rsidRPr="004635E5">
        <w:rPr>
          <w:rFonts w:eastAsia="Batang"/>
          <w:sz w:val="22"/>
          <w:szCs w:val="22"/>
          <w:lang w:val="en-NZ" w:eastAsia="ko-KR"/>
        </w:rPr>
        <w:t xml:space="preserve">a </w:t>
      </w:r>
      <w:r w:rsidR="00A81E2C" w:rsidRPr="004635E5">
        <w:rPr>
          <w:rFonts w:eastAsia="Batang"/>
          <w:sz w:val="22"/>
          <w:szCs w:val="22"/>
          <w:lang w:val="en-NZ" w:eastAsia="ko-KR"/>
        </w:rPr>
        <w:t>steepness value of .999, which make</w:t>
      </w:r>
      <w:r w:rsidR="002D2E85" w:rsidRPr="004635E5">
        <w:rPr>
          <w:rFonts w:eastAsia="Batang"/>
          <w:sz w:val="22"/>
          <w:szCs w:val="22"/>
          <w:lang w:val="en-NZ" w:eastAsia="ko-KR"/>
        </w:rPr>
        <w:t>s</w:t>
      </w:r>
      <w:r w:rsidR="00A81E2C" w:rsidRPr="004635E5">
        <w:rPr>
          <w:rFonts w:eastAsia="Batang"/>
          <w:sz w:val="22"/>
          <w:szCs w:val="22"/>
          <w:lang w:val="en-NZ" w:eastAsia="ko-KR"/>
        </w:rPr>
        <w:t xml:space="preserve"> outcomes optimistic. </w:t>
      </w:r>
      <w:r w:rsidR="00270656" w:rsidRPr="004635E5">
        <w:rPr>
          <w:rFonts w:eastAsia="Batang"/>
          <w:sz w:val="22"/>
          <w:szCs w:val="22"/>
          <w:lang w:val="en-NZ" w:eastAsia="ko-KR"/>
        </w:rPr>
        <w:t xml:space="preserve">They </w:t>
      </w:r>
      <w:r w:rsidR="002D2E85" w:rsidRPr="004635E5">
        <w:rPr>
          <w:rFonts w:eastAsia="Batang"/>
          <w:sz w:val="22"/>
          <w:szCs w:val="22"/>
          <w:lang w:val="en-NZ" w:eastAsia="ko-KR"/>
        </w:rPr>
        <w:t>inquired whether the working gr</w:t>
      </w:r>
      <w:r w:rsidR="00A81E2C" w:rsidRPr="004635E5">
        <w:rPr>
          <w:rFonts w:eastAsia="Batang"/>
          <w:sz w:val="22"/>
          <w:szCs w:val="22"/>
          <w:lang w:val="en-NZ" w:eastAsia="ko-KR"/>
        </w:rPr>
        <w:t>oup look</w:t>
      </w:r>
      <w:r w:rsidR="002D2E85" w:rsidRPr="004635E5">
        <w:rPr>
          <w:rFonts w:eastAsia="Batang"/>
          <w:sz w:val="22"/>
          <w:szCs w:val="22"/>
          <w:lang w:val="en-NZ" w:eastAsia="ko-KR"/>
        </w:rPr>
        <w:t>ed</w:t>
      </w:r>
      <w:r w:rsidR="00A81E2C" w:rsidRPr="004635E5">
        <w:rPr>
          <w:rFonts w:eastAsia="Batang"/>
          <w:sz w:val="22"/>
          <w:szCs w:val="22"/>
          <w:lang w:val="en-NZ" w:eastAsia="ko-KR"/>
        </w:rPr>
        <w:t xml:space="preserve"> at other values</w:t>
      </w:r>
      <w:r w:rsidR="00270656" w:rsidRPr="004635E5">
        <w:rPr>
          <w:rFonts w:eastAsia="Batang"/>
          <w:sz w:val="22"/>
          <w:szCs w:val="22"/>
          <w:lang w:val="en-NZ" w:eastAsia="ko-KR"/>
        </w:rPr>
        <w:t xml:space="preserve">, </w:t>
      </w:r>
      <w:r w:rsidR="009526C7" w:rsidRPr="004635E5">
        <w:rPr>
          <w:rFonts w:eastAsia="Batang"/>
          <w:sz w:val="22"/>
          <w:szCs w:val="22"/>
          <w:lang w:val="en-NZ" w:eastAsia="ko-KR"/>
        </w:rPr>
        <w:t xml:space="preserve">and noted </w:t>
      </w:r>
      <w:r w:rsidR="002D2E85" w:rsidRPr="004635E5">
        <w:rPr>
          <w:rFonts w:eastAsia="Batang"/>
          <w:sz w:val="22"/>
          <w:szCs w:val="22"/>
          <w:lang w:val="en-NZ" w:eastAsia="ko-KR"/>
        </w:rPr>
        <w:t xml:space="preserve">that </w:t>
      </w:r>
      <w:r w:rsidR="009526C7" w:rsidRPr="004635E5">
        <w:rPr>
          <w:rFonts w:eastAsia="Batang"/>
          <w:sz w:val="22"/>
          <w:szCs w:val="22"/>
          <w:lang w:val="en-NZ" w:eastAsia="ko-KR"/>
        </w:rPr>
        <w:t xml:space="preserve">while </w:t>
      </w:r>
      <w:r w:rsidR="002D2E85" w:rsidRPr="004635E5">
        <w:rPr>
          <w:rFonts w:eastAsia="Batang"/>
          <w:sz w:val="22"/>
          <w:szCs w:val="22"/>
          <w:lang w:val="en-NZ" w:eastAsia="ko-KR"/>
        </w:rPr>
        <w:t xml:space="preserve">the </w:t>
      </w:r>
      <w:r w:rsidR="00A81E2C" w:rsidRPr="004635E5">
        <w:rPr>
          <w:rFonts w:eastAsia="Batang"/>
          <w:sz w:val="22"/>
          <w:szCs w:val="22"/>
          <w:lang w:val="en-NZ" w:eastAsia="ko-KR"/>
        </w:rPr>
        <w:t>CMM allows increased cat</w:t>
      </w:r>
      <w:r w:rsidR="002D2E85" w:rsidRPr="004635E5">
        <w:rPr>
          <w:rFonts w:eastAsia="Batang"/>
          <w:sz w:val="22"/>
          <w:szCs w:val="22"/>
          <w:lang w:val="en-NZ" w:eastAsia="ko-KR"/>
        </w:rPr>
        <w:t>c</w:t>
      </w:r>
      <w:r w:rsidR="00A81E2C" w:rsidRPr="004635E5">
        <w:rPr>
          <w:rFonts w:eastAsia="Batang"/>
          <w:sz w:val="22"/>
          <w:szCs w:val="22"/>
          <w:lang w:val="en-NZ" w:eastAsia="ko-KR"/>
        </w:rPr>
        <w:t xml:space="preserve">hes given those probabilities, </w:t>
      </w:r>
      <w:r w:rsidR="009526C7" w:rsidRPr="004635E5">
        <w:rPr>
          <w:rFonts w:eastAsia="Batang"/>
          <w:sz w:val="22"/>
          <w:szCs w:val="22"/>
          <w:lang w:val="en-NZ" w:eastAsia="ko-KR"/>
        </w:rPr>
        <w:t xml:space="preserve">because the </w:t>
      </w:r>
      <w:r w:rsidR="002D2E85" w:rsidRPr="004635E5">
        <w:rPr>
          <w:rFonts w:eastAsia="Batang"/>
          <w:sz w:val="22"/>
          <w:szCs w:val="22"/>
          <w:lang w:val="en-NZ" w:eastAsia="ko-KR"/>
        </w:rPr>
        <w:t xml:space="preserve">stock </w:t>
      </w:r>
      <w:r w:rsidR="009526C7" w:rsidRPr="004635E5">
        <w:rPr>
          <w:rFonts w:eastAsia="Batang"/>
          <w:sz w:val="22"/>
          <w:szCs w:val="22"/>
          <w:lang w:val="en-NZ" w:eastAsia="ko-KR"/>
        </w:rPr>
        <w:t xml:space="preserve">is </w:t>
      </w:r>
      <w:r w:rsidR="002D2E85" w:rsidRPr="004635E5">
        <w:rPr>
          <w:rFonts w:eastAsia="Batang"/>
          <w:sz w:val="22"/>
          <w:szCs w:val="22"/>
          <w:lang w:val="en-NZ" w:eastAsia="ko-KR"/>
        </w:rPr>
        <w:t xml:space="preserve">thought to </w:t>
      </w:r>
      <w:r w:rsidR="009526C7" w:rsidRPr="004635E5">
        <w:rPr>
          <w:rFonts w:eastAsia="Batang"/>
          <w:sz w:val="22"/>
          <w:szCs w:val="22"/>
          <w:lang w:val="en-NZ" w:eastAsia="ko-KR"/>
        </w:rPr>
        <w:t xml:space="preserve">be </w:t>
      </w:r>
      <w:r w:rsidR="00270656" w:rsidRPr="004635E5">
        <w:rPr>
          <w:rFonts w:eastAsia="Batang"/>
          <w:sz w:val="22"/>
          <w:szCs w:val="22"/>
          <w:lang w:val="en-NZ" w:eastAsia="ko-KR"/>
        </w:rPr>
        <w:t xml:space="preserve">in very critical condition, </w:t>
      </w:r>
      <w:r w:rsidR="002D2E85" w:rsidRPr="004635E5">
        <w:rPr>
          <w:rFonts w:eastAsia="Batang"/>
          <w:sz w:val="22"/>
          <w:szCs w:val="22"/>
          <w:lang w:val="en-NZ" w:eastAsia="ko-KR"/>
        </w:rPr>
        <w:t>delaying an increase</w:t>
      </w:r>
      <w:r w:rsidR="00A81E2C" w:rsidRPr="004635E5">
        <w:rPr>
          <w:rFonts w:eastAsia="Batang"/>
          <w:sz w:val="22"/>
          <w:szCs w:val="22"/>
          <w:lang w:val="en-NZ" w:eastAsia="ko-KR"/>
        </w:rPr>
        <w:t xml:space="preserve"> </w:t>
      </w:r>
      <w:r w:rsidR="002D2E85" w:rsidRPr="004635E5">
        <w:rPr>
          <w:rFonts w:eastAsia="Batang"/>
          <w:sz w:val="22"/>
          <w:szCs w:val="22"/>
          <w:lang w:val="en-NZ" w:eastAsia="ko-KR"/>
        </w:rPr>
        <w:t xml:space="preserve">in </w:t>
      </w:r>
      <w:r w:rsidR="00A81E2C" w:rsidRPr="004635E5">
        <w:rPr>
          <w:rFonts w:eastAsia="Batang"/>
          <w:sz w:val="22"/>
          <w:szCs w:val="22"/>
          <w:lang w:val="en-NZ" w:eastAsia="ko-KR"/>
        </w:rPr>
        <w:t>the catch</w:t>
      </w:r>
      <w:r w:rsidR="002D2E85" w:rsidRPr="004635E5">
        <w:rPr>
          <w:rFonts w:eastAsia="Batang"/>
          <w:sz w:val="22"/>
          <w:szCs w:val="22"/>
          <w:lang w:val="en-NZ" w:eastAsia="ko-KR"/>
        </w:rPr>
        <w:t xml:space="preserve"> until there was a reasonable increase in the stock could be prudent</w:t>
      </w:r>
      <w:r w:rsidR="00A81E2C" w:rsidRPr="004635E5">
        <w:rPr>
          <w:rFonts w:eastAsia="Batang"/>
          <w:sz w:val="22"/>
          <w:szCs w:val="22"/>
          <w:lang w:val="en-NZ" w:eastAsia="ko-KR"/>
        </w:rPr>
        <w:t xml:space="preserve">. </w:t>
      </w:r>
      <w:r w:rsidR="009526C7" w:rsidRPr="004635E5">
        <w:rPr>
          <w:rFonts w:eastAsia="Batang"/>
          <w:sz w:val="22"/>
          <w:szCs w:val="22"/>
          <w:lang w:val="en-NZ" w:eastAsia="ko-KR"/>
        </w:rPr>
        <w:t>R</w:t>
      </w:r>
      <w:r w:rsidR="005D5CB6" w:rsidRPr="004635E5">
        <w:rPr>
          <w:rFonts w:eastAsia="Batang"/>
          <w:sz w:val="22"/>
          <w:szCs w:val="22"/>
          <w:lang w:val="en-NZ" w:eastAsia="ko-KR"/>
        </w:rPr>
        <w:t xml:space="preserve">egarding </w:t>
      </w:r>
      <w:r w:rsidR="005D5CB6" w:rsidRPr="004635E5">
        <w:rPr>
          <w:rFonts w:eastAsia="Batang"/>
          <w:sz w:val="22"/>
          <w:szCs w:val="22"/>
          <w:lang w:eastAsia="ko-KR"/>
        </w:rPr>
        <w:t xml:space="preserve">steepness, </w:t>
      </w:r>
      <w:r w:rsidR="009526C7" w:rsidRPr="004635E5">
        <w:rPr>
          <w:rFonts w:eastAsia="Batang"/>
          <w:sz w:val="22"/>
          <w:szCs w:val="22"/>
          <w:lang w:eastAsia="ko-KR"/>
        </w:rPr>
        <w:t>S. Nakatsuka</w:t>
      </w:r>
      <w:r w:rsidR="009526C7" w:rsidRPr="004635E5">
        <w:rPr>
          <w:rFonts w:eastAsia="Batang"/>
          <w:sz w:val="22"/>
          <w:szCs w:val="22"/>
          <w:lang w:val="en-NZ" w:eastAsia="ko-KR"/>
        </w:rPr>
        <w:t xml:space="preserve"> stated that </w:t>
      </w:r>
      <w:r w:rsidR="005D5CB6" w:rsidRPr="004635E5">
        <w:rPr>
          <w:rFonts w:eastAsia="Batang"/>
          <w:sz w:val="22"/>
          <w:szCs w:val="22"/>
          <w:lang w:eastAsia="ko-KR"/>
        </w:rPr>
        <w:t xml:space="preserve">this was an assessment update so did not evaluate other possibilities, </w:t>
      </w:r>
      <w:r w:rsidR="009526C7" w:rsidRPr="004635E5">
        <w:rPr>
          <w:rFonts w:eastAsia="Batang"/>
          <w:sz w:val="22"/>
          <w:szCs w:val="22"/>
          <w:lang w:eastAsia="ko-KR"/>
        </w:rPr>
        <w:t xml:space="preserve">but these </w:t>
      </w:r>
      <w:r w:rsidR="005D5CB6" w:rsidRPr="004635E5">
        <w:rPr>
          <w:rFonts w:eastAsia="Batang"/>
          <w:sz w:val="22"/>
          <w:szCs w:val="22"/>
          <w:lang w:eastAsia="ko-KR"/>
        </w:rPr>
        <w:t xml:space="preserve">will be considered in the future. </w:t>
      </w:r>
      <w:r w:rsidR="00AC15B7">
        <w:rPr>
          <w:rFonts w:eastAsia="Batang" w:hint="eastAsia"/>
          <w:sz w:val="22"/>
          <w:szCs w:val="22"/>
          <w:lang w:eastAsia="ko-KR"/>
        </w:rPr>
        <w:t>Inclusion</w:t>
      </w:r>
      <w:r w:rsidR="00A81E2C" w:rsidRPr="004635E5">
        <w:rPr>
          <w:rFonts w:eastAsia="Batang"/>
          <w:sz w:val="22"/>
          <w:szCs w:val="22"/>
          <w:lang w:val="en-NZ" w:eastAsia="ko-KR"/>
        </w:rPr>
        <w:t xml:space="preserve"> of </w:t>
      </w:r>
      <w:r w:rsidR="00270656" w:rsidRPr="004635E5">
        <w:rPr>
          <w:rFonts w:eastAsia="Batang"/>
          <w:sz w:val="22"/>
          <w:szCs w:val="22"/>
          <w:lang w:val="en-NZ" w:eastAsia="ko-KR"/>
        </w:rPr>
        <w:t xml:space="preserve">the </w:t>
      </w:r>
      <w:r w:rsidR="00A81E2C" w:rsidRPr="004635E5">
        <w:rPr>
          <w:rFonts w:eastAsia="Batang"/>
          <w:sz w:val="22"/>
          <w:szCs w:val="22"/>
          <w:lang w:val="en-NZ" w:eastAsia="ko-KR"/>
        </w:rPr>
        <w:t xml:space="preserve">2016 </w:t>
      </w:r>
      <w:r w:rsidR="002D2E85" w:rsidRPr="004635E5">
        <w:rPr>
          <w:rFonts w:eastAsia="Batang"/>
          <w:sz w:val="22"/>
          <w:szCs w:val="22"/>
          <w:lang w:val="en-NZ" w:eastAsia="ko-KR"/>
        </w:rPr>
        <w:t>recruitment would not be repeated</w:t>
      </w:r>
      <w:r w:rsidR="00A81E2C" w:rsidRPr="004635E5">
        <w:rPr>
          <w:rFonts w:eastAsia="Batang"/>
          <w:sz w:val="22"/>
          <w:szCs w:val="22"/>
          <w:lang w:val="en-NZ" w:eastAsia="ko-KR"/>
        </w:rPr>
        <w:t xml:space="preserve">; </w:t>
      </w:r>
      <w:r w:rsidR="005D5CB6" w:rsidRPr="004635E5">
        <w:rPr>
          <w:rFonts w:eastAsia="Batang"/>
          <w:sz w:val="22"/>
          <w:szCs w:val="22"/>
          <w:lang w:val="en-NZ" w:eastAsia="ko-KR"/>
        </w:rPr>
        <w:t>t</w:t>
      </w:r>
      <w:r w:rsidR="00080C99" w:rsidRPr="004635E5">
        <w:rPr>
          <w:rFonts w:eastAsia="Batang"/>
          <w:sz w:val="22"/>
          <w:szCs w:val="22"/>
          <w:lang w:val="en-NZ" w:eastAsia="ko-KR"/>
        </w:rPr>
        <w:t xml:space="preserve">his </w:t>
      </w:r>
      <w:r w:rsidR="00656FD8" w:rsidRPr="004635E5">
        <w:rPr>
          <w:rFonts w:eastAsia="Batang"/>
          <w:sz w:val="22"/>
          <w:szCs w:val="22"/>
          <w:lang w:val="en-NZ" w:eastAsia="ko-KR"/>
        </w:rPr>
        <w:t>stock assessment</w:t>
      </w:r>
      <w:r w:rsidR="00080C99" w:rsidRPr="004635E5">
        <w:rPr>
          <w:rFonts w:eastAsia="Batang"/>
          <w:sz w:val="22"/>
          <w:szCs w:val="22"/>
          <w:lang w:val="en-NZ" w:eastAsia="ko-KR"/>
        </w:rPr>
        <w:t xml:space="preserve"> used a </w:t>
      </w:r>
      <w:r w:rsidR="0062333E" w:rsidRPr="004635E5">
        <w:rPr>
          <w:rFonts w:eastAsia="Batang"/>
          <w:sz w:val="22"/>
          <w:szCs w:val="22"/>
          <w:lang w:val="en-NZ" w:eastAsia="ko-KR"/>
        </w:rPr>
        <w:t>recruit</w:t>
      </w:r>
      <w:r w:rsidR="00270656" w:rsidRPr="004635E5">
        <w:rPr>
          <w:rFonts w:eastAsia="Batang"/>
          <w:sz w:val="22"/>
          <w:szCs w:val="22"/>
          <w:lang w:val="en-NZ" w:eastAsia="ko-KR"/>
        </w:rPr>
        <w:t>ment</w:t>
      </w:r>
      <w:r w:rsidR="0062333E" w:rsidRPr="004635E5">
        <w:rPr>
          <w:rFonts w:eastAsia="Batang"/>
          <w:sz w:val="22"/>
          <w:szCs w:val="22"/>
          <w:lang w:val="en-NZ" w:eastAsia="ko-KR"/>
        </w:rPr>
        <w:t xml:space="preserve"> deviation </w:t>
      </w:r>
      <w:r w:rsidR="00270656" w:rsidRPr="004635E5">
        <w:rPr>
          <w:rFonts w:eastAsia="Batang"/>
          <w:sz w:val="22"/>
          <w:szCs w:val="22"/>
          <w:lang w:val="en-NZ" w:eastAsia="ko-KR"/>
        </w:rPr>
        <w:t xml:space="preserve">estimate </w:t>
      </w:r>
      <w:r w:rsidR="0062333E" w:rsidRPr="004635E5">
        <w:rPr>
          <w:rFonts w:eastAsia="Batang"/>
          <w:sz w:val="22"/>
          <w:szCs w:val="22"/>
          <w:lang w:val="en-NZ" w:eastAsia="ko-KR"/>
        </w:rPr>
        <w:t>of 0</w:t>
      </w:r>
      <w:r w:rsidR="0041181D" w:rsidRPr="004635E5">
        <w:rPr>
          <w:rFonts w:eastAsia="Batang"/>
          <w:sz w:val="22"/>
          <w:szCs w:val="22"/>
          <w:lang w:val="en-NZ" w:eastAsia="ko-KR"/>
        </w:rPr>
        <w:t xml:space="preserve">.6, future </w:t>
      </w:r>
      <w:r w:rsidR="00270656" w:rsidRPr="004635E5">
        <w:rPr>
          <w:rFonts w:eastAsia="Batang"/>
          <w:sz w:val="22"/>
          <w:szCs w:val="22"/>
          <w:lang w:val="en-NZ" w:eastAsia="ko-KR"/>
        </w:rPr>
        <w:t xml:space="preserve">projections </w:t>
      </w:r>
      <w:r w:rsidR="00080C99" w:rsidRPr="004635E5">
        <w:rPr>
          <w:rFonts w:eastAsia="Batang"/>
          <w:sz w:val="22"/>
          <w:szCs w:val="22"/>
          <w:lang w:val="en-NZ" w:eastAsia="ko-KR"/>
        </w:rPr>
        <w:t xml:space="preserve">would </w:t>
      </w:r>
      <w:r w:rsidR="005D5CB6" w:rsidRPr="004635E5">
        <w:rPr>
          <w:rFonts w:eastAsia="Batang"/>
          <w:sz w:val="22"/>
          <w:szCs w:val="22"/>
          <w:lang w:val="en-NZ" w:eastAsia="ko-KR"/>
        </w:rPr>
        <w:t>sample</w:t>
      </w:r>
      <w:r w:rsidR="0041181D" w:rsidRPr="004635E5">
        <w:rPr>
          <w:rFonts w:eastAsia="Batang"/>
          <w:sz w:val="22"/>
          <w:szCs w:val="22"/>
          <w:lang w:val="en-NZ" w:eastAsia="ko-KR"/>
        </w:rPr>
        <w:t xml:space="preserve"> from </w:t>
      </w:r>
      <w:r w:rsidR="00080C99" w:rsidRPr="004635E5">
        <w:rPr>
          <w:rFonts w:eastAsia="Batang"/>
          <w:sz w:val="22"/>
          <w:szCs w:val="22"/>
          <w:lang w:val="en-NZ" w:eastAsia="ko-KR"/>
        </w:rPr>
        <w:t xml:space="preserve">the </w:t>
      </w:r>
      <w:r w:rsidR="0041181D" w:rsidRPr="004635E5">
        <w:rPr>
          <w:rFonts w:eastAsia="Batang"/>
          <w:sz w:val="22"/>
          <w:szCs w:val="22"/>
          <w:lang w:val="en-NZ" w:eastAsia="ko-KR"/>
        </w:rPr>
        <w:t>hist</w:t>
      </w:r>
      <w:r w:rsidR="00080C99" w:rsidRPr="004635E5">
        <w:rPr>
          <w:rFonts w:eastAsia="Batang"/>
          <w:sz w:val="22"/>
          <w:szCs w:val="22"/>
          <w:lang w:val="en-NZ" w:eastAsia="ko-KR"/>
        </w:rPr>
        <w:t>orical</w:t>
      </w:r>
      <w:r w:rsidR="0041181D" w:rsidRPr="004635E5">
        <w:rPr>
          <w:rFonts w:eastAsia="Batang"/>
          <w:sz w:val="22"/>
          <w:szCs w:val="22"/>
          <w:lang w:val="en-NZ" w:eastAsia="ko-KR"/>
        </w:rPr>
        <w:t xml:space="preserve"> record</w:t>
      </w:r>
      <w:r w:rsidR="00270656" w:rsidRPr="004635E5">
        <w:rPr>
          <w:rFonts w:eastAsia="Batang"/>
          <w:sz w:val="22"/>
          <w:szCs w:val="22"/>
          <w:lang w:val="en-NZ" w:eastAsia="ko-KR"/>
        </w:rPr>
        <w:t xml:space="preserve"> and thereby account</w:t>
      </w:r>
      <w:r w:rsidR="0041181D" w:rsidRPr="004635E5">
        <w:rPr>
          <w:rFonts w:eastAsia="Batang"/>
          <w:sz w:val="22"/>
          <w:szCs w:val="22"/>
          <w:lang w:val="en-NZ" w:eastAsia="ko-KR"/>
        </w:rPr>
        <w:t xml:space="preserve"> for declining</w:t>
      </w:r>
      <w:r w:rsidR="005D5CB6" w:rsidRPr="004635E5">
        <w:rPr>
          <w:rFonts w:eastAsia="Batang"/>
          <w:sz w:val="22"/>
          <w:szCs w:val="22"/>
          <w:lang w:val="en-NZ" w:eastAsia="ko-KR"/>
        </w:rPr>
        <w:t xml:space="preserve"> recruitment</w:t>
      </w:r>
      <w:r w:rsidR="0041181D" w:rsidRPr="004635E5">
        <w:rPr>
          <w:rFonts w:eastAsia="Batang"/>
          <w:sz w:val="22"/>
          <w:szCs w:val="22"/>
          <w:lang w:val="en-NZ" w:eastAsia="ko-KR"/>
        </w:rPr>
        <w:t xml:space="preserve">. </w:t>
      </w:r>
      <w:r w:rsidR="005D5CB6" w:rsidRPr="004635E5">
        <w:rPr>
          <w:rFonts w:eastAsia="Batang"/>
          <w:sz w:val="22"/>
          <w:szCs w:val="22"/>
          <w:lang w:val="en-NZ" w:eastAsia="ko-KR"/>
        </w:rPr>
        <w:t xml:space="preserve">It is </w:t>
      </w:r>
      <w:r w:rsidR="0041181D" w:rsidRPr="004635E5">
        <w:rPr>
          <w:rFonts w:eastAsia="Batang"/>
          <w:sz w:val="22"/>
          <w:szCs w:val="22"/>
          <w:lang w:val="en-NZ" w:eastAsia="ko-KR"/>
        </w:rPr>
        <w:t>hard to est</w:t>
      </w:r>
      <w:r w:rsidR="005D5CB6" w:rsidRPr="004635E5">
        <w:rPr>
          <w:rFonts w:eastAsia="Batang"/>
          <w:sz w:val="22"/>
          <w:szCs w:val="22"/>
          <w:lang w:val="en-NZ" w:eastAsia="ko-KR"/>
        </w:rPr>
        <w:t>imate</w:t>
      </w:r>
      <w:r w:rsidR="0041181D" w:rsidRPr="004635E5">
        <w:rPr>
          <w:rFonts w:eastAsia="Batang"/>
          <w:sz w:val="22"/>
          <w:szCs w:val="22"/>
          <w:lang w:val="en-NZ" w:eastAsia="ko-KR"/>
        </w:rPr>
        <w:t xml:space="preserve"> future recruitment, </w:t>
      </w:r>
      <w:r w:rsidR="00270656" w:rsidRPr="004635E5">
        <w:rPr>
          <w:rFonts w:eastAsia="Batang"/>
          <w:sz w:val="22"/>
          <w:szCs w:val="22"/>
          <w:lang w:val="en-NZ" w:eastAsia="ko-KR"/>
        </w:rPr>
        <w:t xml:space="preserve">and </w:t>
      </w:r>
      <w:r w:rsidR="009526C7" w:rsidRPr="004635E5">
        <w:rPr>
          <w:rFonts w:eastAsia="Batang"/>
          <w:sz w:val="22"/>
          <w:szCs w:val="22"/>
          <w:lang w:val="en-NZ" w:eastAsia="ko-KR"/>
        </w:rPr>
        <w:t xml:space="preserve">thus </w:t>
      </w:r>
      <w:r w:rsidR="0041181D" w:rsidRPr="004635E5">
        <w:rPr>
          <w:rFonts w:eastAsia="Batang"/>
          <w:sz w:val="22"/>
          <w:szCs w:val="22"/>
          <w:lang w:val="en-NZ" w:eastAsia="ko-KR"/>
        </w:rPr>
        <w:t xml:space="preserve">some </w:t>
      </w:r>
      <w:r w:rsidR="00080C99" w:rsidRPr="004635E5">
        <w:rPr>
          <w:rFonts w:eastAsia="Batang"/>
          <w:sz w:val="22"/>
          <w:szCs w:val="22"/>
          <w:lang w:val="en-NZ" w:eastAsia="ko-KR"/>
        </w:rPr>
        <w:t>recruitment</w:t>
      </w:r>
      <w:r w:rsidR="009526C7" w:rsidRPr="004635E5">
        <w:rPr>
          <w:rFonts w:eastAsia="Batang"/>
          <w:sz w:val="22"/>
          <w:szCs w:val="22"/>
          <w:lang w:val="en-NZ" w:eastAsia="ko-KR"/>
        </w:rPr>
        <w:t xml:space="preserve"> risk is included</w:t>
      </w:r>
      <w:r w:rsidR="0041181D" w:rsidRPr="004635E5">
        <w:rPr>
          <w:rFonts w:eastAsia="Batang"/>
          <w:sz w:val="22"/>
          <w:szCs w:val="22"/>
          <w:lang w:val="en-NZ" w:eastAsia="ko-KR"/>
        </w:rPr>
        <w:t xml:space="preserve">. </w:t>
      </w:r>
      <w:r w:rsidR="00DC6D05" w:rsidRPr="004635E5">
        <w:rPr>
          <w:rFonts w:eastAsia="Batang"/>
          <w:sz w:val="22"/>
          <w:szCs w:val="22"/>
          <w:lang w:val="en-NZ" w:eastAsia="ko-KR"/>
        </w:rPr>
        <w:t>Regarding increased fishing mort</w:t>
      </w:r>
      <w:r w:rsidR="005D5CB6" w:rsidRPr="004635E5">
        <w:rPr>
          <w:rFonts w:eastAsia="Batang"/>
          <w:sz w:val="22"/>
          <w:szCs w:val="22"/>
          <w:lang w:val="en-NZ" w:eastAsia="ko-KR"/>
        </w:rPr>
        <w:t>a</w:t>
      </w:r>
      <w:r w:rsidR="00DC6D05" w:rsidRPr="004635E5">
        <w:rPr>
          <w:rFonts w:eastAsia="Batang"/>
          <w:sz w:val="22"/>
          <w:szCs w:val="22"/>
          <w:lang w:val="en-NZ" w:eastAsia="ko-KR"/>
        </w:rPr>
        <w:t xml:space="preserve">lity, the </w:t>
      </w:r>
      <w:r w:rsidR="0041181D" w:rsidRPr="004635E5">
        <w:rPr>
          <w:rFonts w:eastAsia="Batang"/>
          <w:sz w:val="22"/>
          <w:szCs w:val="22"/>
          <w:lang w:val="en-NZ" w:eastAsia="ko-KR"/>
        </w:rPr>
        <w:t xml:space="preserve">CMM </w:t>
      </w:r>
      <w:r w:rsidR="00DC6D05" w:rsidRPr="004635E5">
        <w:rPr>
          <w:rFonts w:eastAsia="Batang"/>
          <w:sz w:val="22"/>
          <w:szCs w:val="22"/>
          <w:lang w:val="en-NZ" w:eastAsia="ko-KR"/>
        </w:rPr>
        <w:t xml:space="preserve">indicates that </w:t>
      </w:r>
      <w:r w:rsidR="0041181D" w:rsidRPr="004635E5">
        <w:rPr>
          <w:rFonts w:eastAsia="Batang"/>
          <w:sz w:val="22"/>
          <w:szCs w:val="22"/>
          <w:lang w:val="en-NZ" w:eastAsia="ko-KR"/>
        </w:rPr>
        <w:t xml:space="preserve">if some criteria </w:t>
      </w:r>
      <w:r w:rsidR="00DC6D05" w:rsidRPr="004635E5">
        <w:rPr>
          <w:rFonts w:eastAsia="Batang"/>
          <w:sz w:val="22"/>
          <w:szCs w:val="22"/>
          <w:lang w:val="en-NZ" w:eastAsia="ko-KR"/>
        </w:rPr>
        <w:t xml:space="preserve">are </w:t>
      </w:r>
      <w:r w:rsidR="0041181D" w:rsidRPr="004635E5">
        <w:rPr>
          <w:rFonts w:eastAsia="Batang"/>
          <w:sz w:val="22"/>
          <w:szCs w:val="22"/>
          <w:lang w:val="en-NZ" w:eastAsia="ko-KR"/>
        </w:rPr>
        <w:t xml:space="preserve">met, </w:t>
      </w:r>
      <w:r w:rsidR="00DC6D05" w:rsidRPr="004635E5">
        <w:rPr>
          <w:rFonts w:eastAsia="Batang"/>
          <w:sz w:val="22"/>
          <w:szCs w:val="22"/>
          <w:lang w:val="en-NZ" w:eastAsia="ko-KR"/>
        </w:rPr>
        <w:t>the C</w:t>
      </w:r>
      <w:r w:rsidR="0041181D" w:rsidRPr="004635E5">
        <w:rPr>
          <w:rFonts w:eastAsia="Batang"/>
          <w:sz w:val="22"/>
          <w:szCs w:val="22"/>
          <w:lang w:val="en-NZ" w:eastAsia="ko-KR"/>
        </w:rPr>
        <w:t>omm</w:t>
      </w:r>
      <w:r w:rsidR="00DC6D05" w:rsidRPr="004635E5">
        <w:rPr>
          <w:rFonts w:eastAsia="Batang"/>
          <w:sz w:val="22"/>
          <w:szCs w:val="22"/>
          <w:lang w:val="en-NZ" w:eastAsia="ko-KR"/>
        </w:rPr>
        <w:t>ission</w:t>
      </w:r>
      <w:r w:rsidR="0041181D" w:rsidRPr="004635E5">
        <w:rPr>
          <w:rFonts w:eastAsia="Batang"/>
          <w:sz w:val="22"/>
          <w:szCs w:val="22"/>
          <w:lang w:val="en-NZ" w:eastAsia="ko-KR"/>
        </w:rPr>
        <w:t xml:space="preserve"> can consider</w:t>
      </w:r>
      <w:r w:rsidR="00DC6D05" w:rsidRPr="004635E5">
        <w:rPr>
          <w:rFonts w:eastAsia="Batang"/>
          <w:sz w:val="22"/>
          <w:szCs w:val="22"/>
          <w:lang w:val="en-NZ" w:eastAsia="ko-KR"/>
        </w:rPr>
        <w:t xml:space="preserve"> it, although </w:t>
      </w:r>
      <w:r w:rsidR="0041181D" w:rsidRPr="004635E5">
        <w:rPr>
          <w:rFonts w:eastAsia="Batang"/>
          <w:sz w:val="22"/>
          <w:szCs w:val="22"/>
          <w:lang w:val="en-NZ" w:eastAsia="ko-KR"/>
        </w:rPr>
        <w:t xml:space="preserve">some countries </w:t>
      </w:r>
      <w:r w:rsidR="00DC6D05" w:rsidRPr="004635E5">
        <w:rPr>
          <w:rFonts w:eastAsia="Batang"/>
          <w:sz w:val="22"/>
          <w:szCs w:val="22"/>
          <w:lang w:val="en-NZ" w:eastAsia="ko-KR"/>
        </w:rPr>
        <w:t xml:space="preserve">are known to not favor this. </w:t>
      </w:r>
      <w:r w:rsidR="009526C7" w:rsidRPr="004635E5">
        <w:rPr>
          <w:rFonts w:eastAsia="Batang"/>
          <w:sz w:val="22"/>
          <w:szCs w:val="22"/>
          <w:lang w:val="en-NZ" w:eastAsia="ko-KR"/>
        </w:rPr>
        <w:t xml:space="preserve">He stated that </w:t>
      </w:r>
      <w:r w:rsidR="0041181D" w:rsidRPr="004635E5">
        <w:rPr>
          <w:rFonts w:eastAsia="Batang"/>
          <w:sz w:val="22"/>
          <w:szCs w:val="22"/>
          <w:lang w:val="en-NZ" w:eastAsia="ko-KR"/>
        </w:rPr>
        <w:t>allow</w:t>
      </w:r>
      <w:r w:rsidR="009526C7" w:rsidRPr="004635E5">
        <w:rPr>
          <w:rFonts w:eastAsia="Batang"/>
          <w:sz w:val="22"/>
          <w:szCs w:val="22"/>
          <w:lang w:val="en-NZ" w:eastAsia="ko-KR"/>
        </w:rPr>
        <w:t>ing</w:t>
      </w:r>
      <w:r w:rsidR="0041181D" w:rsidRPr="004635E5">
        <w:rPr>
          <w:rFonts w:eastAsia="Batang"/>
          <w:sz w:val="22"/>
          <w:szCs w:val="22"/>
          <w:lang w:val="en-NZ" w:eastAsia="ko-KR"/>
        </w:rPr>
        <w:t xml:space="preserve"> some reward to fishermen </w:t>
      </w:r>
      <w:r w:rsidR="005D5CB6" w:rsidRPr="004635E5">
        <w:rPr>
          <w:rFonts w:eastAsia="Batang"/>
          <w:sz w:val="22"/>
          <w:szCs w:val="22"/>
          <w:lang w:val="en-NZ" w:eastAsia="ko-KR"/>
        </w:rPr>
        <w:t>through a s</w:t>
      </w:r>
      <w:r w:rsidR="0041181D" w:rsidRPr="004635E5">
        <w:rPr>
          <w:rFonts w:eastAsia="Batang"/>
          <w:sz w:val="22"/>
          <w:szCs w:val="22"/>
          <w:lang w:val="en-NZ" w:eastAsia="ko-KR"/>
        </w:rPr>
        <w:t xml:space="preserve">mall increase </w:t>
      </w:r>
      <w:r w:rsidR="005D5CB6" w:rsidRPr="004635E5">
        <w:rPr>
          <w:rFonts w:eastAsia="Batang"/>
          <w:sz w:val="22"/>
          <w:szCs w:val="22"/>
          <w:lang w:val="en-NZ" w:eastAsia="ko-KR"/>
        </w:rPr>
        <w:t xml:space="preserve">in fishing </w:t>
      </w:r>
      <w:r w:rsidR="0041181D" w:rsidRPr="004635E5">
        <w:rPr>
          <w:rFonts w:eastAsia="Batang"/>
          <w:sz w:val="22"/>
          <w:szCs w:val="22"/>
          <w:lang w:val="en-NZ" w:eastAsia="ko-KR"/>
        </w:rPr>
        <w:t>may be beneficial.</w:t>
      </w:r>
    </w:p>
    <w:p w14:paraId="7D1AAAD2" w14:textId="77777777" w:rsidR="00DF66D5" w:rsidRPr="004635E5" w:rsidRDefault="00DF66D5" w:rsidP="006633A8">
      <w:pPr>
        <w:autoSpaceDE w:val="0"/>
        <w:autoSpaceDN w:val="0"/>
        <w:adjustRightInd w:val="0"/>
        <w:snapToGrid w:val="0"/>
        <w:jc w:val="both"/>
        <w:rPr>
          <w:rFonts w:eastAsia="Batang"/>
          <w:sz w:val="22"/>
          <w:szCs w:val="22"/>
          <w:lang w:val="en-NZ" w:eastAsia="ko-KR"/>
        </w:rPr>
      </w:pPr>
    </w:p>
    <w:p w14:paraId="0318284A" w14:textId="77777777" w:rsidR="00DE1D84" w:rsidRPr="004635E5" w:rsidRDefault="0041181D"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Korea</w:t>
      </w:r>
      <w:r w:rsidR="001F1DC4" w:rsidRPr="004635E5">
        <w:rPr>
          <w:rFonts w:eastAsia="Batang"/>
          <w:sz w:val="22"/>
          <w:szCs w:val="22"/>
          <w:lang w:val="en-NZ" w:eastAsia="ko-KR"/>
        </w:rPr>
        <w:t xml:space="preserve"> noted that catch </w:t>
      </w:r>
      <w:r w:rsidR="005D5CB6" w:rsidRPr="004635E5">
        <w:rPr>
          <w:rFonts w:eastAsia="Batang"/>
          <w:sz w:val="22"/>
          <w:szCs w:val="22"/>
          <w:lang w:val="en-NZ" w:eastAsia="ko-KR"/>
        </w:rPr>
        <w:t xml:space="preserve">of small </w:t>
      </w:r>
      <w:r w:rsidR="00025593" w:rsidRPr="004635E5">
        <w:rPr>
          <w:rFonts w:eastAsia="Batang"/>
          <w:sz w:val="22"/>
          <w:szCs w:val="22"/>
          <w:lang w:val="en-NZ" w:eastAsia="ko-KR"/>
        </w:rPr>
        <w:t xml:space="preserve">bluefin tuna </w:t>
      </w:r>
      <w:r w:rsidR="001F1DC4" w:rsidRPr="004635E5">
        <w:rPr>
          <w:rFonts w:eastAsia="Batang"/>
          <w:sz w:val="22"/>
          <w:szCs w:val="22"/>
          <w:lang w:val="en-NZ" w:eastAsia="ko-KR"/>
        </w:rPr>
        <w:t>on K</w:t>
      </w:r>
      <w:r w:rsidRPr="004635E5">
        <w:rPr>
          <w:rFonts w:eastAsia="Batang"/>
          <w:sz w:val="22"/>
          <w:szCs w:val="22"/>
          <w:lang w:val="en-NZ" w:eastAsia="ko-KR"/>
        </w:rPr>
        <w:t>orea</w:t>
      </w:r>
      <w:r w:rsidR="001F1DC4" w:rsidRPr="004635E5">
        <w:rPr>
          <w:rFonts w:eastAsia="Batang"/>
          <w:sz w:val="22"/>
          <w:szCs w:val="22"/>
          <w:lang w:val="en-NZ" w:eastAsia="ko-KR"/>
        </w:rPr>
        <w:t>’s</w:t>
      </w:r>
      <w:r w:rsidR="00270656" w:rsidRPr="004635E5">
        <w:rPr>
          <w:rFonts w:eastAsia="Batang"/>
          <w:sz w:val="22"/>
          <w:szCs w:val="22"/>
          <w:lang w:val="en-NZ" w:eastAsia="ko-KR"/>
        </w:rPr>
        <w:t xml:space="preserve"> east coast had</w:t>
      </w:r>
      <w:r w:rsidRPr="004635E5">
        <w:rPr>
          <w:rFonts w:eastAsia="Batang"/>
          <w:sz w:val="22"/>
          <w:szCs w:val="22"/>
          <w:lang w:val="en-NZ" w:eastAsia="ko-KR"/>
        </w:rPr>
        <w:t xml:space="preserve"> grad</w:t>
      </w:r>
      <w:r w:rsidR="001F1DC4" w:rsidRPr="004635E5">
        <w:rPr>
          <w:rFonts w:eastAsia="Batang"/>
          <w:sz w:val="22"/>
          <w:szCs w:val="22"/>
          <w:lang w:val="en-NZ" w:eastAsia="ko-KR"/>
        </w:rPr>
        <w:t>ually</w:t>
      </w:r>
      <w:r w:rsidRPr="004635E5">
        <w:rPr>
          <w:rFonts w:eastAsia="Batang"/>
          <w:sz w:val="22"/>
          <w:szCs w:val="22"/>
          <w:lang w:val="en-NZ" w:eastAsia="ko-KR"/>
        </w:rPr>
        <w:t xml:space="preserve"> </w:t>
      </w:r>
      <w:r w:rsidR="005D5CB6" w:rsidRPr="004635E5">
        <w:rPr>
          <w:rFonts w:eastAsia="Batang"/>
          <w:sz w:val="22"/>
          <w:szCs w:val="22"/>
          <w:lang w:val="en-NZ" w:eastAsia="ko-KR"/>
        </w:rPr>
        <w:t>de</w:t>
      </w:r>
      <w:r w:rsidRPr="004635E5">
        <w:rPr>
          <w:rFonts w:eastAsia="Batang"/>
          <w:sz w:val="22"/>
          <w:szCs w:val="22"/>
          <w:lang w:val="en-NZ" w:eastAsia="ko-KR"/>
        </w:rPr>
        <w:t>creased</w:t>
      </w:r>
      <w:r w:rsidR="001F1DC4" w:rsidRPr="004635E5">
        <w:rPr>
          <w:rFonts w:eastAsia="Batang"/>
          <w:sz w:val="22"/>
          <w:szCs w:val="22"/>
          <w:lang w:val="en-NZ" w:eastAsia="ko-KR"/>
        </w:rPr>
        <w:t xml:space="preserve">, </w:t>
      </w:r>
      <w:r w:rsidR="005D5CB6" w:rsidRPr="004635E5">
        <w:rPr>
          <w:rFonts w:eastAsia="Batang"/>
          <w:sz w:val="22"/>
          <w:szCs w:val="22"/>
          <w:lang w:val="en-NZ" w:eastAsia="ko-KR"/>
        </w:rPr>
        <w:t xml:space="preserve">with the fishery closed in March, </w:t>
      </w:r>
      <w:r w:rsidR="00270656" w:rsidRPr="004635E5">
        <w:rPr>
          <w:rFonts w:eastAsia="Batang"/>
          <w:sz w:val="22"/>
          <w:szCs w:val="22"/>
          <w:lang w:val="en-NZ" w:eastAsia="ko-KR"/>
        </w:rPr>
        <w:t xml:space="preserve">and </w:t>
      </w:r>
      <w:r w:rsidR="005D5CB6" w:rsidRPr="004635E5">
        <w:rPr>
          <w:rFonts w:eastAsia="Batang"/>
          <w:sz w:val="22"/>
          <w:szCs w:val="22"/>
          <w:lang w:val="en-NZ" w:eastAsia="ko-KR"/>
        </w:rPr>
        <w:t xml:space="preserve">small </w:t>
      </w:r>
      <w:r w:rsidR="00025593" w:rsidRPr="004635E5">
        <w:rPr>
          <w:rFonts w:eastAsia="Batang"/>
          <w:sz w:val="22"/>
          <w:szCs w:val="22"/>
          <w:lang w:val="en-NZ" w:eastAsia="ko-KR"/>
        </w:rPr>
        <w:t xml:space="preserve">bluefin tuna </w:t>
      </w:r>
      <w:r w:rsidR="005D5CB6" w:rsidRPr="004635E5">
        <w:rPr>
          <w:rFonts w:eastAsia="Batang"/>
          <w:sz w:val="22"/>
          <w:szCs w:val="22"/>
          <w:lang w:val="en-NZ" w:eastAsia="ko-KR"/>
        </w:rPr>
        <w:t>discarded. E</w:t>
      </w:r>
      <w:r w:rsidR="001F1DC4" w:rsidRPr="004635E5">
        <w:rPr>
          <w:rFonts w:eastAsia="Batang"/>
          <w:sz w:val="22"/>
          <w:szCs w:val="22"/>
          <w:lang w:val="en-NZ" w:eastAsia="ko-KR"/>
        </w:rPr>
        <w:t xml:space="preserve">nvironmental changes could be impacting the fishery. </w:t>
      </w:r>
      <w:r w:rsidR="005D5CB6" w:rsidRPr="004635E5">
        <w:rPr>
          <w:rFonts w:eastAsia="Batang"/>
          <w:sz w:val="22"/>
          <w:szCs w:val="22"/>
          <w:lang w:val="en-NZ" w:eastAsia="ko-KR"/>
        </w:rPr>
        <w:t xml:space="preserve">Korea requested an </w:t>
      </w:r>
      <w:r w:rsidRPr="004635E5">
        <w:rPr>
          <w:rFonts w:eastAsia="Batang"/>
          <w:sz w:val="22"/>
          <w:szCs w:val="22"/>
          <w:lang w:val="en-NZ" w:eastAsia="ko-KR"/>
        </w:rPr>
        <w:t>anal</w:t>
      </w:r>
      <w:r w:rsidR="005D5CB6" w:rsidRPr="004635E5">
        <w:rPr>
          <w:rFonts w:eastAsia="Batang"/>
          <w:sz w:val="22"/>
          <w:szCs w:val="22"/>
          <w:lang w:val="en-NZ" w:eastAsia="ko-KR"/>
        </w:rPr>
        <w:t>ysis of</w:t>
      </w:r>
      <w:r w:rsidR="00F81EF0">
        <w:rPr>
          <w:rFonts w:eastAsia="Batang"/>
          <w:sz w:val="22"/>
          <w:szCs w:val="22"/>
          <w:lang w:val="en-NZ" w:eastAsia="ko-KR"/>
        </w:rPr>
        <w:t xml:space="preserve"> </w:t>
      </w:r>
      <w:r w:rsidR="005D5CB6" w:rsidRPr="004635E5">
        <w:rPr>
          <w:rFonts w:eastAsia="Batang"/>
          <w:sz w:val="22"/>
          <w:szCs w:val="22"/>
          <w:lang w:val="en-NZ" w:eastAsia="ko-KR"/>
        </w:rPr>
        <w:t xml:space="preserve">the </w:t>
      </w:r>
      <w:r w:rsidRPr="004635E5">
        <w:rPr>
          <w:rFonts w:eastAsia="Batang"/>
          <w:sz w:val="22"/>
          <w:szCs w:val="22"/>
          <w:lang w:val="en-NZ" w:eastAsia="ko-KR"/>
        </w:rPr>
        <w:t>cause</w:t>
      </w:r>
      <w:r w:rsidR="005D5CB6" w:rsidRPr="004635E5">
        <w:rPr>
          <w:rFonts w:eastAsia="Batang"/>
          <w:sz w:val="22"/>
          <w:szCs w:val="22"/>
          <w:lang w:val="en-NZ" w:eastAsia="ko-KR"/>
        </w:rPr>
        <w:t>s, so that appropriate management measures could be adopted</w:t>
      </w:r>
      <w:r w:rsidRPr="004635E5">
        <w:rPr>
          <w:rFonts w:eastAsia="Batang"/>
          <w:sz w:val="22"/>
          <w:szCs w:val="22"/>
          <w:lang w:val="en-NZ" w:eastAsia="ko-KR"/>
        </w:rPr>
        <w:t xml:space="preserve">. </w:t>
      </w:r>
      <w:r w:rsidR="00270656" w:rsidRPr="004635E5">
        <w:rPr>
          <w:rFonts w:eastAsia="Batang"/>
          <w:sz w:val="22"/>
          <w:szCs w:val="22"/>
          <w:lang w:val="en-NZ" w:eastAsia="ko-KR"/>
        </w:rPr>
        <w:t xml:space="preserve">S. Nakatsuka indicated he would </w:t>
      </w:r>
      <w:r w:rsidR="00DE1D84" w:rsidRPr="004635E5">
        <w:rPr>
          <w:rFonts w:eastAsia="Batang"/>
          <w:sz w:val="22"/>
          <w:szCs w:val="22"/>
          <w:lang w:val="en-NZ" w:eastAsia="ko-KR"/>
        </w:rPr>
        <w:t>review ISC’s advice</w:t>
      </w:r>
      <w:r w:rsidR="00270656" w:rsidRPr="004635E5">
        <w:rPr>
          <w:rFonts w:eastAsia="Batang"/>
          <w:sz w:val="22"/>
          <w:szCs w:val="22"/>
          <w:lang w:val="en-NZ" w:eastAsia="ko-KR"/>
        </w:rPr>
        <w:t xml:space="preserve"> with Korea, bearing in mind the need to be cautious regarding </w:t>
      </w:r>
      <w:r w:rsidR="00DE1D84" w:rsidRPr="004635E5">
        <w:rPr>
          <w:rFonts w:eastAsia="Batang"/>
          <w:sz w:val="22"/>
          <w:szCs w:val="22"/>
          <w:lang w:val="en-NZ" w:eastAsia="ko-KR"/>
        </w:rPr>
        <w:t xml:space="preserve">inclusion of </w:t>
      </w:r>
      <w:r w:rsidR="00270656" w:rsidRPr="004635E5">
        <w:rPr>
          <w:rFonts w:eastAsia="Batang"/>
          <w:sz w:val="22"/>
          <w:szCs w:val="22"/>
          <w:lang w:val="en-NZ" w:eastAsia="ko-KR"/>
        </w:rPr>
        <w:t xml:space="preserve">the </w:t>
      </w:r>
      <w:r w:rsidR="00DE1D84" w:rsidRPr="004635E5">
        <w:rPr>
          <w:rFonts w:eastAsia="Batang"/>
          <w:sz w:val="22"/>
          <w:szCs w:val="22"/>
          <w:lang w:val="en-NZ" w:eastAsia="ko-KR"/>
        </w:rPr>
        <w:t xml:space="preserve">2016 recruitment. </w:t>
      </w:r>
    </w:p>
    <w:p w14:paraId="50CE44DF" w14:textId="77777777" w:rsidR="00DF66D5" w:rsidRPr="004635E5" w:rsidRDefault="00DF66D5" w:rsidP="006633A8">
      <w:pPr>
        <w:autoSpaceDE w:val="0"/>
        <w:autoSpaceDN w:val="0"/>
        <w:adjustRightInd w:val="0"/>
        <w:snapToGrid w:val="0"/>
        <w:jc w:val="both"/>
        <w:rPr>
          <w:rFonts w:eastAsia="Batang"/>
          <w:sz w:val="22"/>
          <w:szCs w:val="22"/>
          <w:lang w:val="en-NZ" w:eastAsia="ko-KR"/>
        </w:rPr>
      </w:pPr>
    </w:p>
    <w:p w14:paraId="1434FC61" w14:textId="77777777" w:rsidR="00FB1756" w:rsidRPr="004635E5" w:rsidRDefault="00DE1D84"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Indonesia</w:t>
      </w:r>
      <w:r w:rsidR="001F1DC4" w:rsidRPr="004635E5">
        <w:rPr>
          <w:rFonts w:eastAsia="Batang"/>
          <w:sz w:val="22"/>
          <w:szCs w:val="22"/>
          <w:lang w:val="en-NZ" w:eastAsia="ko-KR"/>
        </w:rPr>
        <w:t xml:space="preserve"> inquired about data </w:t>
      </w:r>
      <w:r w:rsidRPr="004635E5">
        <w:rPr>
          <w:rFonts w:eastAsia="Batang"/>
          <w:sz w:val="22"/>
          <w:szCs w:val="22"/>
          <w:lang w:val="en-NZ" w:eastAsia="ko-KR"/>
        </w:rPr>
        <w:t xml:space="preserve">informing </w:t>
      </w:r>
      <w:r w:rsidR="001F1DC4" w:rsidRPr="004635E5">
        <w:rPr>
          <w:rFonts w:eastAsia="Batang"/>
          <w:sz w:val="22"/>
          <w:szCs w:val="22"/>
          <w:lang w:val="en-NZ" w:eastAsia="ko-KR"/>
        </w:rPr>
        <w:t>the ratio</w:t>
      </w:r>
      <w:r w:rsidRPr="004635E5">
        <w:rPr>
          <w:rFonts w:eastAsia="Batang"/>
          <w:sz w:val="22"/>
          <w:szCs w:val="22"/>
          <w:lang w:val="en-NZ" w:eastAsia="ko-KR"/>
        </w:rPr>
        <w:t xml:space="preserve"> of fishing mortality</w:t>
      </w:r>
      <w:r w:rsidR="001F1DC4" w:rsidRPr="004635E5">
        <w:rPr>
          <w:rFonts w:eastAsia="Batang"/>
          <w:sz w:val="22"/>
          <w:szCs w:val="22"/>
          <w:lang w:val="en-NZ" w:eastAsia="ko-KR"/>
        </w:rPr>
        <w:t xml:space="preserve"> and </w:t>
      </w:r>
      <w:r w:rsidR="00A33A0A" w:rsidRPr="004635E5">
        <w:rPr>
          <w:rFonts w:eastAsia="Batang"/>
          <w:sz w:val="22"/>
          <w:szCs w:val="22"/>
          <w:lang w:val="en-NZ" w:eastAsia="ko-KR"/>
        </w:rPr>
        <w:t xml:space="preserve">the impact of catching large vs. </w:t>
      </w:r>
      <w:r w:rsidRPr="004635E5">
        <w:rPr>
          <w:rFonts w:eastAsia="Batang"/>
          <w:sz w:val="22"/>
          <w:szCs w:val="22"/>
          <w:lang w:val="en-NZ" w:eastAsia="ko-KR"/>
        </w:rPr>
        <w:t xml:space="preserve">small fish, </w:t>
      </w:r>
      <w:r w:rsidR="005D5CB6" w:rsidRPr="004635E5">
        <w:rPr>
          <w:rFonts w:eastAsia="Batang"/>
          <w:sz w:val="22"/>
          <w:szCs w:val="22"/>
          <w:lang w:val="en-NZ" w:eastAsia="ko-KR"/>
        </w:rPr>
        <w:t xml:space="preserve">which is </w:t>
      </w:r>
      <w:r w:rsidRPr="004635E5">
        <w:rPr>
          <w:rFonts w:eastAsia="Batang"/>
          <w:sz w:val="22"/>
          <w:szCs w:val="22"/>
          <w:lang w:val="en-NZ" w:eastAsia="ko-KR"/>
        </w:rPr>
        <w:t>imp</w:t>
      </w:r>
      <w:r w:rsidR="005D5CB6" w:rsidRPr="004635E5">
        <w:rPr>
          <w:rFonts w:eastAsia="Batang"/>
          <w:sz w:val="22"/>
          <w:szCs w:val="22"/>
          <w:lang w:val="en-NZ" w:eastAsia="ko-KR"/>
        </w:rPr>
        <w:t xml:space="preserve">ortant for a </w:t>
      </w:r>
      <w:r w:rsidR="00270656" w:rsidRPr="004635E5">
        <w:rPr>
          <w:rFonts w:eastAsia="Batang"/>
          <w:sz w:val="22"/>
          <w:szCs w:val="22"/>
          <w:lang w:val="en-NZ" w:eastAsia="ko-KR"/>
        </w:rPr>
        <w:t>harvest strategy</w:t>
      </w:r>
      <w:r w:rsidRPr="004635E5">
        <w:rPr>
          <w:rFonts w:eastAsia="Batang"/>
          <w:sz w:val="22"/>
          <w:szCs w:val="22"/>
          <w:lang w:val="en-NZ" w:eastAsia="ko-KR"/>
        </w:rPr>
        <w:t xml:space="preserve">. </w:t>
      </w:r>
      <w:r w:rsidR="005D5CB6" w:rsidRPr="004635E5">
        <w:rPr>
          <w:rFonts w:eastAsia="Batang"/>
          <w:sz w:val="22"/>
          <w:szCs w:val="22"/>
          <w:lang w:val="en-NZ" w:eastAsia="ko-KR"/>
        </w:rPr>
        <w:t xml:space="preserve">S. Nakatsuka </w:t>
      </w:r>
      <w:r w:rsidR="00A33A0A" w:rsidRPr="004635E5">
        <w:rPr>
          <w:rFonts w:eastAsia="Batang"/>
          <w:sz w:val="22"/>
          <w:szCs w:val="22"/>
          <w:lang w:val="en-NZ" w:eastAsia="ko-KR"/>
        </w:rPr>
        <w:t xml:space="preserve">noted that it was </w:t>
      </w:r>
      <w:r w:rsidRPr="004635E5">
        <w:rPr>
          <w:rFonts w:eastAsia="Batang"/>
          <w:sz w:val="22"/>
          <w:szCs w:val="22"/>
          <w:lang w:val="en-NZ" w:eastAsia="ko-KR"/>
        </w:rPr>
        <w:t xml:space="preserve">hard to compare fishing </w:t>
      </w:r>
      <w:r w:rsidR="00A33A0A" w:rsidRPr="004635E5">
        <w:rPr>
          <w:rFonts w:eastAsia="Batang"/>
          <w:sz w:val="22"/>
          <w:szCs w:val="22"/>
          <w:lang w:val="en-NZ" w:eastAsia="ko-KR"/>
        </w:rPr>
        <w:t>m</w:t>
      </w:r>
      <w:r w:rsidRPr="004635E5">
        <w:rPr>
          <w:rFonts w:eastAsia="Batang"/>
          <w:sz w:val="22"/>
          <w:szCs w:val="22"/>
          <w:lang w:val="en-NZ" w:eastAsia="ko-KR"/>
        </w:rPr>
        <w:t>ortal</w:t>
      </w:r>
      <w:r w:rsidR="00A33A0A" w:rsidRPr="004635E5">
        <w:rPr>
          <w:rFonts w:eastAsia="Batang"/>
          <w:sz w:val="22"/>
          <w:szCs w:val="22"/>
          <w:lang w:val="en-NZ" w:eastAsia="ko-KR"/>
        </w:rPr>
        <w:t>ity</w:t>
      </w:r>
      <w:r w:rsidRPr="004635E5">
        <w:rPr>
          <w:rFonts w:eastAsia="Batang"/>
          <w:sz w:val="22"/>
          <w:szCs w:val="22"/>
          <w:lang w:val="en-NZ" w:eastAsia="ko-KR"/>
        </w:rPr>
        <w:t xml:space="preserve"> when selectivity </w:t>
      </w:r>
      <w:r w:rsidR="00A33A0A" w:rsidRPr="004635E5">
        <w:rPr>
          <w:rFonts w:eastAsia="Batang"/>
          <w:sz w:val="22"/>
          <w:szCs w:val="22"/>
          <w:lang w:val="en-NZ" w:eastAsia="ko-KR"/>
        </w:rPr>
        <w:t xml:space="preserve">was </w:t>
      </w:r>
      <w:r w:rsidRPr="004635E5">
        <w:rPr>
          <w:rFonts w:eastAsia="Batang"/>
          <w:sz w:val="22"/>
          <w:szCs w:val="22"/>
          <w:lang w:val="en-NZ" w:eastAsia="ko-KR"/>
        </w:rPr>
        <w:t xml:space="preserve">changing. </w:t>
      </w:r>
      <w:r w:rsidR="00270656" w:rsidRPr="004635E5">
        <w:rPr>
          <w:rFonts w:eastAsia="Batang"/>
          <w:sz w:val="22"/>
          <w:szCs w:val="22"/>
          <w:lang w:val="en-NZ" w:eastAsia="ko-KR"/>
        </w:rPr>
        <w:t xml:space="preserve">SPR is the </w:t>
      </w:r>
      <w:r w:rsidR="00270656" w:rsidRPr="004635E5">
        <w:rPr>
          <w:rFonts w:eastAsia="Batang"/>
          <w:sz w:val="22"/>
          <w:szCs w:val="22"/>
          <w:lang w:eastAsia="ko-KR"/>
        </w:rPr>
        <w:t>ratio of the cumulative spawning biomass that an average recruit is expected to produce over its lifetime when the stock is fished at the current intensity to the cumulative spawning biomass that could be produced by an average recruit over its lifetime if the stock was unfished. SPR is often used as a measure of fishing intensity when selectivity changes substantially over time, as is the case with Pacific bluefin tuna</w:t>
      </w:r>
      <w:r w:rsidRPr="004635E5">
        <w:rPr>
          <w:rFonts w:eastAsia="Batang"/>
          <w:sz w:val="22"/>
          <w:szCs w:val="22"/>
          <w:lang w:val="en-NZ" w:eastAsia="ko-KR"/>
        </w:rPr>
        <w:t xml:space="preserve">. </w:t>
      </w:r>
      <w:r w:rsidR="00A33A0A" w:rsidRPr="004635E5">
        <w:rPr>
          <w:rFonts w:eastAsia="Batang"/>
          <w:sz w:val="22"/>
          <w:szCs w:val="22"/>
          <w:lang w:val="en-NZ" w:eastAsia="ko-KR"/>
        </w:rPr>
        <w:t xml:space="preserve">The </w:t>
      </w:r>
      <w:r w:rsidR="00656FD8" w:rsidRPr="004635E5">
        <w:rPr>
          <w:rFonts w:eastAsia="Batang"/>
          <w:sz w:val="22"/>
          <w:szCs w:val="22"/>
          <w:lang w:val="en-NZ" w:eastAsia="ko-KR"/>
        </w:rPr>
        <w:t>stock assessment</w:t>
      </w:r>
      <w:r w:rsidR="00A33A0A" w:rsidRPr="004635E5">
        <w:rPr>
          <w:rFonts w:eastAsia="Batang"/>
          <w:sz w:val="22"/>
          <w:szCs w:val="22"/>
          <w:lang w:val="en-NZ" w:eastAsia="ko-KR"/>
        </w:rPr>
        <w:t xml:space="preserve"> used </w:t>
      </w:r>
      <w:r w:rsidR="00FB1756" w:rsidRPr="004635E5">
        <w:rPr>
          <w:rFonts w:eastAsia="Batang"/>
          <w:sz w:val="22"/>
          <w:szCs w:val="22"/>
          <w:lang w:val="en-NZ" w:eastAsia="ko-KR"/>
        </w:rPr>
        <w:t>S</w:t>
      </w:r>
      <w:r w:rsidR="005D5CB6" w:rsidRPr="004635E5">
        <w:rPr>
          <w:rFonts w:eastAsia="Batang"/>
          <w:sz w:val="22"/>
          <w:szCs w:val="22"/>
          <w:lang w:val="en-NZ" w:eastAsia="ko-KR"/>
        </w:rPr>
        <w:t>P</w:t>
      </w:r>
      <w:r w:rsidR="00FB1756" w:rsidRPr="004635E5">
        <w:rPr>
          <w:rFonts w:eastAsia="Batang"/>
          <w:sz w:val="22"/>
          <w:szCs w:val="22"/>
          <w:lang w:val="en-NZ" w:eastAsia="ko-KR"/>
        </w:rPr>
        <w:t xml:space="preserve">R as </w:t>
      </w:r>
      <w:r w:rsidR="00A33A0A" w:rsidRPr="004635E5">
        <w:rPr>
          <w:rFonts w:eastAsia="Batang"/>
          <w:sz w:val="22"/>
          <w:szCs w:val="22"/>
          <w:lang w:val="en-NZ" w:eastAsia="ko-KR"/>
        </w:rPr>
        <w:t>a synonym for fish</w:t>
      </w:r>
      <w:r w:rsidR="00FB1756" w:rsidRPr="004635E5">
        <w:rPr>
          <w:rFonts w:eastAsia="Batang"/>
          <w:sz w:val="22"/>
          <w:szCs w:val="22"/>
          <w:lang w:val="en-NZ" w:eastAsia="ko-KR"/>
        </w:rPr>
        <w:t xml:space="preserve">ing mortality. </w:t>
      </w:r>
      <w:r w:rsidR="00A33A0A" w:rsidRPr="004635E5">
        <w:rPr>
          <w:rFonts w:eastAsia="Batang"/>
          <w:sz w:val="22"/>
          <w:szCs w:val="22"/>
          <w:lang w:val="en-NZ" w:eastAsia="ko-KR"/>
        </w:rPr>
        <w:t xml:space="preserve">The </w:t>
      </w:r>
      <w:r w:rsidR="00FB1756" w:rsidRPr="004635E5">
        <w:rPr>
          <w:rFonts w:eastAsia="Batang"/>
          <w:sz w:val="22"/>
          <w:szCs w:val="22"/>
          <w:lang w:val="en-NZ" w:eastAsia="ko-KR"/>
        </w:rPr>
        <w:t>d</w:t>
      </w:r>
      <w:r w:rsidR="00A33A0A" w:rsidRPr="004635E5">
        <w:rPr>
          <w:rFonts w:eastAsia="Batang"/>
          <w:sz w:val="22"/>
          <w:szCs w:val="22"/>
          <w:lang w:val="en-NZ" w:eastAsia="ko-KR"/>
        </w:rPr>
        <w:t>efinition</w:t>
      </w:r>
      <w:r w:rsidR="00FB1756" w:rsidRPr="004635E5">
        <w:rPr>
          <w:rFonts w:eastAsia="Batang"/>
          <w:sz w:val="22"/>
          <w:szCs w:val="22"/>
          <w:lang w:val="en-NZ" w:eastAsia="ko-KR"/>
        </w:rPr>
        <w:t xml:space="preserve"> </w:t>
      </w:r>
      <w:r w:rsidR="00A33A0A" w:rsidRPr="004635E5">
        <w:rPr>
          <w:rFonts w:eastAsia="Batang"/>
          <w:sz w:val="22"/>
          <w:szCs w:val="22"/>
          <w:lang w:val="en-NZ" w:eastAsia="ko-KR"/>
        </w:rPr>
        <w:t xml:space="preserve">of </w:t>
      </w:r>
      <w:r w:rsidR="00FB1756" w:rsidRPr="004635E5">
        <w:rPr>
          <w:rFonts w:eastAsia="Batang"/>
          <w:sz w:val="22"/>
          <w:szCs w:val="22"/>
          <w:lang w:val="en-NZ" w:eastAsia="ko-KR"/>
        </w:rPr>
        <w:t>small and l</w:t>
      </w:r>
      <w:r w:rsidR="00A33A0A" w:rsidRPr="004635E5">
        <w:rPr>
          <w:rFonts w:eastAsia="Batang"/>
          <w:sz w:val="22"/>
          <w:szCs w:val="22"/>
          <w:lang w:val="en-NZ" w:eastAsia="ko-KR"/>
        </w:rPr>
        <w:t>arge</w:t>
      </w:r>
      <w:r w:rsidR="00FB1756" w:rsidRPr="004635E5">
        <w:rPr>
          <w:rFonts w:eastAsia="Batang"/>
          <w:sz w:val="22"/>
          <w:szCs w:val="22"/>
          <w:lang w:val="en-NZ" w:eastAsia="ko-KR"/>
        </w:rPr>
        <w:t xml:space="preserve"> fish is </w:t>
      </w:r>
      <w:r w:rsidR="00A33A0A" w:rsidRPr="004635E5">
        <w:rPr>
          <w:rFonts w:eastAsia="Batang"/>
          <w:sz w:val="22"/>
          <w:szCs w:val="22"/>
          <w:lang w:val="en-NZ" w:eastAsia="ko-KR"/>
        </w:rPr>
        <w:t>determined by the C</w:t>
      </w:r>
      <w:r w:rsidR="00FB1756" w:rsidRPr="004635E5">
        <w:rPr>
          <w:rFonts w:eastAsia="Batang"/>
          <w:sz w:val="22"/>
          <w:szCs w:val="22"/>
          <w:lang w:val="en-NZ" w:eastAsia="ko-KR"/>
        </w:rPr>
        <w:t>MM</w:t>
      </w:r>
      <w:r w:rsidR="00A33A0A" w:rsidRPr="004635E5">
        <w:rPr>
          <w:rFonts w:eastAsia="Batang"/>
          <w:sz w:val="22"/>
          <w:szCs w:val="22"/>
          <w:lang w:val="en-NZ" w:eastAsia="ko-KR"/>
        </w:rPr>
        <w:t xml:space="preserve"> (</w:t>
      </w:r>
      <w:r w:rsidR="00FB1756" w:rsidRPr="004635E5">
        <w:rPr>
          <w:rFonts w:eastAsia="Batang"/>
          <w:sz w:val="22"/>
          <w:szCs w:val="22"/>
          <w:lang w:val="en-NZ" w:eastAsia="ko-KR"/>
        </w:rPr>
        <w:t xml:space="preserve">less than 30 kg </w:t>
      </w:r>
      <w:r w:rsidR="00CB3B16" w:rsidRPr="004635E5">
        <w:rPr>
          <w:rFonts w:eastAsia="Batang"/>
          <w:sz w:val="22"/>
          <w:szCs w:val="22"/>
          <w:lang w:val="en-NZ" w:eastAsia="ko-KR"/>
        </w:rPr>
        <w:t xml:space="preserve">are </w:t>
      </w:r>
      <w:r w:rsidR="00FB1756" w:rsidRPr="004635E5">
        <w:rPr>
          <w:rFonts w:eastAsia="Batang"/>
          <w:sz w:val="22"/>
          <w:szCs w:val="22"/>
          <w:lang w:val="en-NZ" w:eastAsia="ko-KR"/>
        </w:rPr>
        <w:t xml:space="preserve">small, over 30 </w:t>
      </w:r>
      <w:r w:rsidR="009526C7" w:rsidRPr="004635E5">
        <w:rPr>
          <w:rFonts w:eastAsia="Batang"/>
          <w:sz w:val="22"/>
          <w:szCs w:val="22"/>
          <w:lang w:val="en-NZ" w:eastAsia="ko-KR"/>
        </w:rPr>
        <w:t xml:space="preserve">kg </w:t>
      </w:r>
      <w:r w:rsidR="00CB3B16" w:rsidRPr="004635E5">
        <w:rPr>
          <w:rFonts w:eastAsia="Batang"/>
          <w:sz w:val="22"/>
          <w:szCs w:val="22"/>
          <w:lang w:val="en-NZ" w:eastAsia="ko-KR"/>
        </w:rPr>
        <w:t>are large</w:t>
      </w:r>
      <w:r w:rsidR="00A33A0A" w:rsidRPr="004635E5">
        <w:rPr>
          <w:rFonts w:eastAsia="Batang"/>
          <w:sz w:val="22"/>
          <w:szCs w:val="22"/>
          <w:lang w:val="en-NZ" w:eastAsia="ko-KR"/>
        </w:rPr>
        <w:t>). Regarding w</w:t>
      </w:r>
      <w:r w:rsidR="00FB1756" w:rsidRPr="004635E5">
        <w:rPr>
          <w:rFonts w:eastAsia="Batang"/>
          <w:sz w:val="22"/>
          <w:szCs w:val="22"/>
          <w:lang w:val="en-NZ" w:eastAsia="ko-KR"/>
        </w:rPr>
        <w:t xml:space="preserve">hich fish to protect: </w:t>
      </w:r>
      <w:r w:rsidR="00A33A0A" w:rsidRPr="004635E5">
        <w:rPr>
          <w:rFonts w:eastAsia="Batang"/>
          <w:sz w:val="22"/>
          <w:szCs w:val="22"/>
          <w:lang w:val="en-NZ" w:eastAsia="ko-KR"/>
        </w:rPr>
        <w:t>c</w:t>
      </w:r>
      <w:r w:rsidR="00FB1756" w:rsidRPr="004635E5">
        <w:rPr>
          <w:rFonts w:eastAsia="Batang"/>
          <w:sz w:val="22"/>
          <w:szCs w:val="22"/>
          <w:lang w:val="en-NZ" w:eastAsia="ko-KR"/>
        </w:rPr>
        <w:t>urrent</w:t>
      </w:r>
      <w:r w:rsidR="00CB3B16" w:rsidRPr="004635E5">
        <w:rPr>
          <w:rFonts w:eastAsia="Batang"/>
          <w:sz w:val="22"/>
          <w:szCs w:val="22"/>
          <w:lang w:val="en-NZ" w:eastAsia="ko-KR"/>
        </w:rPr>
        <w:t>ly</w:t>
      </w:r>
      <w:r w:rsidR="00FB1756" w:rsidRPr="004635E5">
        <w:rPr>
          <w:rFonts w:eastAsia="Batang"/>
          <w:sz w:val="22"/>
          <w:szCs w:val="22"/>
          <w:lang w:val="en-NZ" w:eastAsia="ko-KR"/>
        </w:rPr>
        <w:t xml:space="preserve"> SB is 3.3% of </w:t>
      </w:r>
      <w:r w:rsidR="00270656" w:rsidRPr="004635E5">
        <w:rPr>
          <w:rFonts w:eastAsia="Batang"/>
          <w:sz w:val="22"/>
          <w:szCs w:val="22"/>
          <w:lang w:val="en-NZ" w:eastAsia="ko-KR"/>
        </w:rPr>
        <w:t xml:space="preserve">the </w:t>
      </w:r>
      <w:r w:rsidR="00CB3B16" w:rsidRPr="004635E5">
        <w:rPr>
          <w:rFonts w:eastAsia="Batang"/>
          <w:sz w:val="22"/>
          <w:szCs w:val="22"/>
          <w:lang w:val="en-NZ" w:eastAsia="ko-KR"/>
        </w:rPr>
        <w:t>estimated un</w:t>
      </w:r>
      <w:r w:rsidR="00FB1756" w:rsidRPr="004635E5">
        <w:rPr>
          <w:rFonts w:eastAsia="Batang"/>
          <w:sz w:val="22"/>
          <w:szCs w:val="22"/>
          <w:lang w:val="en-NZ" w:eastAsia="ko-KR"/>
        </w:rPr>
        <w:t xml:space="preserve">fished level. </w:t>
      </w:r>
      <w:r w:rsidR="00A33A0A" w:rsidRPr="004635E5">
        <w:rPr>
          <w:rFonts w:eastAsia="Batang"/>
          <w:sz w:val="22"/>
          <w:szCs w:val="22"/>
          <w:lang w:val="en-NZ" w:eastAsia="ko-KR"/>
        </w:rPr>
        <w:t>E</w:t>
      </w:r>
      <w:r w:rsidR="00FB1756" w:rsidRPr="004635E5">
        <w:rPr>
          <w:rFonts w:eastAsia="Batang"/>
          <w:sz w:val="22"/>
          <w:szCs w:val="22"/>
          <w:lang w:val="en-NZ" w:eastAsia="ko-KR"/>
        </w:rPr>
        <w:t>stimate</w:t>
      </w:r>
      <w:r w:rsidR="00CB3B16" w:rsidRPr="004635E5">
        <w:rPr>
          <w:rFonts w:eastAsia="Batang"/>
          <w:sz w:val="22"/>
          <w:szCs w:val="22"/>
          <w:lang w:val="en-NZ" w:eastAsia="ko-KR"/>
        </w:rPr>
        <w:t>d BO</w:t>
      </w:r>
      <w:r w:rsidR="00FB1756" w:rsidRPr="004635E5">
        <w:rPr>
          <w:rFonts w:eastAsia="Batang"/>
          <w:sz w:val="22"/>
          <w:szCs w:val="22"/>
          <w:lang w:val="en-NZ" w:eastAsia="ko-KR"/>
        </w:rPr>
        <w:t xml:space="preserve"> </w:t>
      </w:r>
      <w:r w:rsidR="00A33A0A" w:rsidRPr="004635E5">
        <w:rPr>
          <w:rFonts w:eastAsia="Batang"/>
          <w:sz w:val="22"/>
          <w:szCs w:val="22"/>
          <w:lang w:val="en-NZ" w:eastAsia="ko-KR"/>
        </w:rPr>
        <w:t xml:space="preserve">was </w:t>
      </w:r>
      <w:r w:rsidR="00FB1756" w:rsidRPr="004635E5">
        <w:rPr>
          <w:rFonts w:eastAsia="Batang"/>
          <w:sz w:val="22"/>
          <w:szCs w:val="22"/>
          <w:lang w:val="en-NZ" w:eastAsia="ko-KR"/>
        </w:rPr>
        <w:t xml:space="preserve">never observed historically. </w:t>
      </w:r>
      <w:r w:rsidR="00A33A0A" w:rsidRPr="004635E5">
        <w:rPr>
          <w:rFonts w:eastAsia="Batang"/>
          <w:sz w:val="22"/>
          <w:szCs w:val="22"/>
          <w:lang w:val="en-NZ" w:eastAsia="ko-KR"/>
        </w:rPr>
        <w:t>There is n</w:t>
      </w:r>
      <w:r w:rsidR="00FB1756" w:rsidRPr="004635E5">
        <w:rPr>
          <w:rFonts w:eastAsia="Batang"/>
          <w:sz w:val="22"/>
          <w:szCs w:val="22"/>
          <w:lang w:val="en-NZ" w:eastAsia="ko-KR"/>
        </w:rPr>
        <w:t>o est</w:t>
      </w:r>
      <w:r w:rsidR="00A33A0A" w:rsidRPr="004635E5">
        <w:rPr>
          <w:rFonts w:eastAsia="Batang"/>
          <w:sz w:val="22"/>
          <w:szCs w:val="22"/>
          <w:lang w:val="en-NZ" w:eastAsia="ko-KR"/>
        </w:rPr>
        <w:t xml:space="preserve">ablished </w:t>
      </w:r>
      <w:r w:rsidR="00FB1756" w:rsidRPr="004635E5">
        <w:rPr>
          <w:rFonts w:eastAsia="Batang"/>
          <w:sz w:val="22"/>
          <w:szCs w:val="22"/>
          <w:lang w:val="en-NZ" w:eastAsia="ko-KR"/>
        </w:rPr>
        <w:t xml:space="preserve">rule </w:t>
      </w:r>
      <w:r w:rsidR="00A33A0A" w:rsidRPr="004635E5">
        <w:rPr>
          <w:rFonts w:eastAsia="Batang"/>
          <w:sz w:val="22"/>
          <w:szCs w:val="22"/>
          <w:lang w:val="en-NZ" w:eastAsia="ko-KR"/>
        </w:rPr>
        <w:t xml:space="preserve">regarding </w:t>
      </w:r>
      <w:r w:rsidR="00FB1756" w:rsidRPr="004635E5">
        <w:rPr>
          <w:rFonts w:eastAsia="Batang"/>
          <w:sz w:val="22"/>
          <w:szCs w:val="22"/>
          <w:lang w:val="en-NZ" w:eastAsia="ko-KR"/>
        </w:rPr>
        <w:t xml:space="preserve">how </w:t>
      </w:r>
      <w:r w:rsidR="00A33A0A" w:rsidRPr="004635E5">
        <w:rPr>
          <w:rFonts w:eastAsia="Batang"/>
          <w:sz w:val="22"/>
          <w:szCs w:val="22"/>
          <w:lang w:val="en-NZ" w:eastAsia="ko-KR"/>
        </w:rPr>
        <w:t xml:space="preserve">to </w:t>
      </w:r>
      <w:r w:rsidR="00FB1756" w:rsidRPr="004635E5">
        <w:rPr>
          <w:rFonts w:eastAsia="Batang"/>
          <w:sz w:val="22"/>
          <w:szCs w:val="22"/>
          <w:lang w:val="en-NZ" w:eastAsia="ko-KR"/>
        </w:rPr>
        <w:t>restore a stock</w:t>
      </w:r>
      <w:r w:rsidR="00F703AF" w:rsidRPr="004635E5">
        <w:rPr>
          <w:rFonts w:eastAsia="Batang"/>
          <w:sz w:val="22"/>
          <w:szCs w:val="22"/>
          <w:lang w:val="en-NZ" w:eastAsia="ko-KR"/>
        </w:rPr>
        <w:t xml:space="preserve">; allowing </w:t>
      </w:r>
      <w:r w:rsidR="00FB1756" w:rsidRPr="004635E5">
        <w:rPr>
          <w:rFonts w:eastAsia="Batang"/>
          <w:sz w:val="22"/>
          <w:szCs w:val="22"/>
          <w:lang w:val="en-NZ" w:eastAsia="ko-KR"/>
        </w:rPr>
        <w:t>some fisheries</w:t>
      </w:r>
      <w:r w:rsidR="00F703AF" w:rsidRPr="004635E5">
        <w:rPr>
          <w:rFonts w:eastAsia="Batang"/>
          <w:sz w:val="22"/>
          <w:szCs w:val="22"/>
          <w:lang w:val="en-NZ" w:eastAsia="ko-KR"/>
        </w:rPr>
        <w:t xml:space="preserve"> will delay recovery</w:t>
      </w:r>
      <w:r w:rsidR="00FB1756" w:rsidRPr="004635E5">
        <w:rPr>
          <w:rFonts w:eastAsia="Batang"/>
          <w:sz w:val="22"/>
          <w:szCs w:val="22"/>
          <w:lang w:val="en-NZ" w:eastAsia="ko-KR"/>
        </w:rPr>
        <w:t xml:space="preserve">. </w:t>
      </w:r>
      <w:r w:rsidR="00270656" w:rsidRPr="004635E5">
        <w:rPr>
          <w:rFonts w:eastAsia="Batang"/>
          <w:sz w:val="22"/>
          <w:szCs w:val="22"/>
          <w:lang w:val="en-NZ" w:eastAsia="ko-KR"/>
        </w:rPr>
        <w:t xml:space="preserve">An </w:t>
      </w:r>
      <w:r w:rsidR="00F703AF" w:rsidRPr="004635E5">
        <w:rPr>
          <w:rFonts w:eastAsia="Batang"/>
          <w:sz w:val="22"/>
          <w:szCs w:val="22"/>
          <w:lang w:val="en-NZ" w:eastAsia="ko-KR"/>
        </w:rPr>
        <w:t>a</w:t>
      </w:r>
      <w:r w:rsidR="00FB1756" w:rsidRPr="004635E5">
        <w:rPr>
          <w:rFonts w:eastAsia="Batang"/>
          <w:sz w:val="22"/>
          <w:szCs w:val="22"/>
          <w:lang w:val="en-NZ" w:eastAsia="ko-KR"/>
        </w:rPr>
        <w:t xml:space="preserve">nalysis </w:t>
      </w:r>
      <w:r w:rsidR="00270656" w:rsidRPr="004635E5">
        <w:rPr>
          <w:rFonts w:eastAsia="Batang"/>
          <w:sz w:val="22"/>
          <w:szCs w:val="22"/>
          <w:lang w:val="en-NZ" w:eastAsia="ko-KR"/>
        </w:rPr>
        <w:t xml:space="preserve">showed that a </w:t>
      </w:r>
      <w:r w:rsidR="00CB3B16" w:rsidRPr="004635E5">
        <w:rPr>
          <w:rFonts w:eastAsia="Batang"/>
          <w:sz w:val="22"/>
          <w:szCs w:val="22"/>
          <w:lang w:val="en-NZ" w:eastAsia="ko-KR"/>
        </w:rPr>
        <w:t>10</w:t>
      </w:r>
      <w:r w:rsidR="00FB1756" w:rsidRPr="004635E5">
        <w:rPr>
          <w:rFonts w:eastAsia="Batang"/>
          <w:sz w:val="22"/>
          <w:szCs w:val="22"/>
          <w:lang w:val="en-NZ" w:eastAsia="ko-KR"/>
        </w:rPr>
        <w:t>% red</w:t>
      </w:r>
      <w:r w:rsidR="00F703AF" w:rsidRPr="004635E5">
        <w:rPr>
          <w:rFonts w:eastAsia="Batang"/>
          <w:sz w:val="22"/>
          <w:szCs w:val="22"/>
          <w:lang w:val="en-NZ" w:eastAsia="ko-KR"/>
        </w:rPr>
        <w:t>uction</w:t>
      </w:r>
      <w:r w:rsidR="00FB1756" w:rsidRPr="004635E5">
        <w:rPr>
          <w:rFonts w:eastAsia="Batang"/>
          <w:sz w:val="22"/>
          <w:szCs w:val="22"/>
          <w:lang w:val="en-NZ" w:eastAsia="ko-KR"/>
        </w:rPr>
        <w:t xml:space="preserve"> </w:t>
      </w:r>
      <w:r w:rsidR="00270656" w:rsidRPr="004635E5">
        <w:rPr>
          <w:rFonts w:eastAsia="Batang"/>
          <w:sz w:val="22"/>
          <w:szCs w:val="22"/>
          <w:lang w:val="en-NZ" w:eastAsia="ko-KR"/>
        </w:rPr>
        <w:t xml:space="preserve">in the catch of </w:t>
      </w:r>
      <w:r w:rsidR="00FB1756" w:rsidRPr="004635E5">
        <w:rPr>
          <w:rFonts w:eastAsia="Batang"/>
          <w:sz w:val="22"/>
          <w:szCs w:val="22"/>
          <w:lang w:val="en-NZ" w:eastAsia="ko-KR"/>
        </w:rPr>
        <w:t xml:space="preserve">small fish had </w:t>
      </w:r>
      <w:r w:rsidR="00F703AF" w:rsidRPr="004635E5">
        <w:rPr>
          <w:rFonts w:eastAsia="Batang"/>
          <w:sz w:val="22"/>
          <w:szCs w:val="22"/>
          <w:lang w:val="en-NZ" w:eastAsia="ko-KR"/>
        </w:rPr>
        <w:t xml:space="preserve">a </w:t>
      </w:r>
      <w:r w:rsidR="00FB1756" w:rsidRPr="004635E5">
        <w:rPr>
          <w:rFonts w:eastAsia="Batang"/>
          <w:sz w:val="22"/>
          <w:szCs w:val="22"/>
          <w:lang w:val="en-NZ" w:eastAsia="ko-KR"/>
        </w:rPr>
        <w:t>much larger benefit</w:t>
      </w:r>
      <w:r w:rsidR="00270656" w:rsidRPr="004635E5">
        <w:rPr>
          <w:rFonts w:eastAsia="Batang"/>
          <w:sz w:val="22"/>
          <w:szCs w:val="22"/>
          <w:lang w:val="en-NZ" w:eastAsia="ko-KR"/>
        </w:rPr>
        <w:t xml:space="preserve"> than a 10% reduction in the catch of large fish</w:t>
      </w:r>
      <w:r w:rsidR="00FB1756" w:rsidRPr="004635E5">
        <w:rPr>
          <w:rFonts w:eastAsia="Batang"/>
          <w:sz w:val="22"/>
          <w:szCs w:val="22"/>
          <w:lang w:val="en-NZ" w:eastAsia="ko-KR"/>
        </w:rPr>
        <w:t xml:space="preserve">. </w:t>
      </w:r>
    </w:p>
    <w:p w14:paraId="4FC2C5CB" w14:textId="77777777" w:rsidR="00DF66D5" w:rsidRPr="004635E5" w:rsidRDefault="00DF66D5" w:rsidP="006633A8">
      <w:pPr>
        <w:autoSpaceDE w:val="0"/>
        <w:autoSpaceDN w:val="0"/>
        <w:adjustRightInd w:val="0"/>
        <w:snapToGrid w:val="0"/>
        <w:jc w:val="both"/>
        <w:rPr>
          <w:rFonts w:eastAsia="Batang"/>
          <w:sz w:val="22"/>
          <w:szCs w:val="22"/>
          <w:lang w:val="en-NZ" w:eastAsia="ko-KR"/>
        </w:rPr>
      </w:pPr>
    </w:p>
    <w:p w14:paraId="7E2ACB31" w14:textId="77777777" w:rsidR="0028788E" w:rsidRPr="004635E5" w:rsidRDefault="00F703AF"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SPC </w:t>
      </w:r>
      <w:r w:rsidR="006C4301" w:rsidRPr="004635E5">
        <w:rPr>
          <w:rFonts w:eastAsia="Batang"/>
          <w:sz w:val="22"/>
          <w:szCs w:val="22"/>
          <w:lang w:val="en-NZ" w:eastAsia="ko-KR"/>
        </w:rPr>
        <w:t xml:space="preserve">referenced the </w:t>
      </w:r>
      <w:r w:rsidRPr="004635E5">
        <w:rPr>
          <w:rFonts w:eastAsia="Batang"/>
          <w:sz w:val="22"/>
          <w:szCs w:val="22"/>
          <w:lang w:val="en-NZ" w:eastAsia="ko-KR"/>
        </w:rPr>
        <w:t>likelih</w:t>
      </w:r>
      <w:r w:rsidR="00FB1756" w:rsidRPr="004635E5">
        <w:rPr>
          <w:rFonts w:eastAsia="Batang"/>
          <w:sz w:val="22"/>
          <w:szCs w:val="22"/>
          <w:lang w:val="en-NZ" w:eastAsia="ko-KR"/>
        </w:rPr>
        <w:t>o</w:t>
      </w:r>
      <w:r w:rsidRPr="004635E5">
        <w:rPr>
          <w:rFonts w:eastAsia="Batang"/>
          <w:sz w:val="22"/>
          <w:szCs w:val="22"/>
          <w:lang w:val="en-NZ" w:eastAsia="ko-KR"/>
        </w:rPr>
        <w:t>o</w:t>
      </w:r>
      <w:r w:rsidR="00FB1756" w:rsidRPr="004635E5">
        <w:rPr>
          <w:rFonts w:eastAsia="Batang"/>
          <w:sz w:val="22"/>
          <w:szCs w:val="22"/>
          <w:lang w:val="en-NZ" w:eastAsia="ko-KR"/>
        </w:rPr>
        <w:t>d profile</w:t>
      </w:r>
      <w:r w:rsidR="006C4301" w:rsidRPr="004635E5">
        <w:rPr>
          <w:rFonts w:eastAsia="Batang"/>
          <w:sz w:val="22"/>
          <w:szCs w:val="22"/>
          <w:lang w:val="en-NZ" w:eastAsia="ko-KR"/>
        </w:rPr>
        <w:t>, noting</w:t>
      </w:r>
      <w:r w:rsidR="00FB1756" w:rsidRPr="004635E5">
        <w:rPr>
          <w:rFonts w:eastAsia="Batang"/>
          <w:sz w:val="22"/>
          <w:szCs w:val="22"/>
          <w:lang w:val="en-NZ" w:eastAsia="ko-KR"/>
        </w:rPr>
        <w:t xml:space="preserve"> </w:t>
      </w:r>
      <w:r w:rsidR="006C4301" w:rsidRPr="004635E5">
        <w:rPr>
          <w:rFonts w:eastAsia="Batang"/>
          <w:sz w:val="22"/>
          <w:szCs w:val="22"/>
          <w:lang w:val="en-NZ" w:eastAsia="ko-KR"/>
        </w:rPr>
        <w:t xml:space="preserve">that </w:t>
      </w:r>
      <w:r w:rsidR="00FB1756" w:rsidRPr="004635E5">
        <w:rPr>
          <w:rFonts w:eastAsia="Batang"/>
          <w:sz w:val="22"/>
          <w:szCs w:val="22"/>
          <w:lang w:val="en-NZ" w:eastAsia="ko-KR"/>
        </w:rPr>
        <w:t xml:space="preserve">recruitment </w:t>
      </w:r>
      <w:r w:rsidR="006C4301" w:rsidRPr="004635E5">
        <w:rPr>
          <w:rFonts w:eastAsia="Batang"/>
          <w:sz w:val="22"/>
          <w:szCs w:val="22"/>
          <w:lang w:val="en-NZ" w:eastAsia="ko-KR"/>
        </w:rPr>
        <w:t xml:space="preserve">was estimated </w:t>
      </w:r>
      <w:r w:rsidR="00FB1756" w:rsidRPr="004635E5">
        <w:rPr>
          <w:rFonts w:eastAsia="Batang"/>
          <w:sz w:val="22"/>
          <w:szCs w:val="22"/>
          <w:lang w:val="en-NZ" w:eastAsia="ko-KR"/>
        </w:rPr>
        <w:t xml:space="preserve">in </w:t>
      </w:r>
      <w:r w:rsidR="006C4301" w:rsidRPr="004635E5">
        <w:rPr>
          <w:rFonts w:eastAsia="Batang"/>
          <w:sz w:val="22"/>
          <w:szCs w:val="22"/>
          <w:lang w:val="en-NZ" w:eastAsia="ko-KR"/>
        </w:rPr>
        <w:t xml:space="preserve">an </w:t>
      </w:r>
      <w:r w:rsidR="00FB1756" w:rsidRPr="004635E5">
        <w:rPr>
          <w:rFonts w:eastAsia="Batang"/>
          <w:sz w:val="22"/>
          <w:szCs w:val="22"/>
          <w:lang w:val="en-NZ" w:eastAsia="ko-KR"/>
        </w:rPr>
        <w:t xml:space="preserve">unconstrained </w:t>
      </w:r>
      <w:r w:rsidR="006C4301" w:rsidRPr="004635E5">
        <w:rPr>
          <w:rFonts w:eastAsia="Batang"/>
          <w:sz w:val="22"/>
          <w:szCs w:val="22"/>
          <w:lang w:val="en-NZ" w:eastAsia="ko-KR"/>
        </w:rPr>
        <w:t>manner</w:t>
      </w:r>
      <w:r w:rsidR="00FB1756" w:rsidRPr="004635E5">
        <w:rPr>
          <w:rFonts w:eastAsia="Batang"/>
          <w:sz w:val="22"/>
          <w:szCs w:val="22"/>
          <w:lang w:val="en-NZ" w:eastAsia="ko-KR"/>
        </w:rPr>
        <w:t xml:space="preserve">, but </w:t>
      </w:r>
      <w:r w:rsidR="006C4301" w:rsidRPr="004635E5">
        <w:rPr>
          <w:rFonts w:eastAsia="Batang"/>
          <w:sz w:val="22"/>
          <w:szCs w:val="22"/>
          <w:lang w:val="en-NZ" w:eastAsia="ko-KR"/>
        </w:rPr>
        <w:t xml:space="preserve">that the </w:t>
      </w:r>
      <w:r w:rsidR="00270656" w:rsidRPr="004635E5">
        <w:rPr>
          <w:rFonts w:eastAsia="Batang"/>
          <w:sz w:val="22"/>
          <w:szCs w:val="22"/>
          <w:lang w:val="en-NZ" w:eastAsia="ko-KR"/>
        </w:rPr>
        <w:t xml:space="preserve">likelihood </w:t>
      </w:r>
      <w:r w:rsidR="00FB1756" w:rsidRPr="004635E5">
        <w:rPr>
          <w:rFonts w:eastAsia="Batang"/>
          <w:sz w:val="22"/>
          <w:szCs w:val="22"/>
          <w:lang w:val="en-NZ" w:eastAsia="ko-KR"/>
        </w:rPr>
        <w:t>profile suggest</w:t>
      </w:r>
      <w:r w:rsidR="00270656" w:rsidRPr="004635E5">
        <w:rPr>
          <w:rFonts w:eastAsia="Batang"/>
          <w:sz w:val="22"/>
          <w:szCs w:val="22"/>
          <w:lang w:val="en-NZ" w:eastAsia="ko-KR"/>
        </w:rPr>
        <w:t>ed</w:t>
      </w:r>
      <w:r w:rsidR="00FB1756" w:rsidRPr="004635E5">
        <w:rPr>
          <w:rFonts w:eastAsia="Batang"/>
          <w:sz w:val="22"/>
          <w:szCs w:val="22"/>
          <w:lang w:val="en-NZ" w:eastAsia="ko-KR"/>
        </w:rPr>
        <w:t xml:space="preserve"> otherwise. </w:t>
      </w:r>
      <w:r w:rsidR="006C4301" w:rsidRPr="004635E5">
        <w:rPr>
          <w:rFonts w:eastAsia="Batang"/>
          <w:sz w:val="22"/>
          <w:szCs w:val="22"/>
          <w:lang w:val="en-NZ" w:eastAsia="ko-KR"/>
        </w:rPr>
        <w:t>The assumptions about recr</w:t>
      </w:r>
      <w:r w:rsidR="00FB1756" w:rsidRPr="004635E5">
        <w:rPr>
          <w:rFonts w:eastAsia="Batang"/>
          <w:sz w:val="22"/>
          <w:szCs w:val="22"/>
          <w:lang w:val="en-NZ" w:eastAsia="ko-KR"/>
        </w:rPr>
        <w:t xml:space="preserve">uitment variability are limiting </w:t>
      </w:r>
      <w:r w:rsidR="006C4301" w:rsidRPr="004635E5">
        <w:rPr>
          <w:rFonts w:eastAsia="Batang"/>
          <w:sz w:val="22"/>
          <w:szCs w:val="22"/>
          <w:lang w:val="en-NZ" w:eastAsia="ko-KR"/>
        </w:rPr>
        <w:t xml:space="preserve">the </w:t>
      </w:r>
      <w:r w:rsidR="00FB1756" w:rsidRPr="004635E5">
        <w:rPr>
          <w:rFonts w:eastAsia="Batang"/>
          <w:sz w:val="22"/>
          <w:szCs w:val="22"/>
          <w:lang w:val="en-NZ" w:eastAsia="ko-KR"/>
        </w:rPr>
        <w:t xml:space="preserve">model </w:t>
      </w:r>
      <w:r w:rsidR="006C4301" w:rsidRPr="004635E5">
        <w:rPr>
          <w:rFonts w:eastAsia="Batang"/>
          <w:sz w:val="22"/>
          <w:szCs w:val="22"/>
          <w:lang w:val="en-NZ" w:eastAsia="ko-KR"/>
        </w:rPr>
        <w:t>results</w:t>
      </w:r>
      <w:r w:rsidR="00FB1756" w:rsidRPr="004635E5">
        <w:rPr>
          <w:rFonts w:eastAsia="Batang"/>
          <w:sz w:val="22"/>
          <w:szCs w:val="22"/>
          <w:lang w:val="en-NZ" w:eastAsia="ko-KR"/>
        </w:rPr>
        <w:t>, esp</w:t>
      </w:r>
      <w:r w:rsidR="006C4301" w:rsidRPr="004635E5">
        <w:rPr>
          <w:rFonts w:eastAsia="Batang"/>
          <w:sz w:val="22"/>
          <w:szCs w:val="22"/>
          <w:lang w:val="en-NZ" w:eastAsia="ko-KR"/>
        </w:rPr>
        <w:t>ecially</w:t>
      </w:r>
      <w:r w:rsidR="00FB1756" w:rsidRPr="004635E5">
        <w:rPr>
          <w:rFonts w:eastAsia="Batang"/>
          <w:sz w:val="22"/>
          <w:szCs w:val="22"/>
          <w:lang w:val="en-NZ" w:eastAsia="ko-KR"/>
        </w:rPr>
        <w:t xml:space="preserve"> </w:t>
      </w:r>
      <w:r w:rsidR="006C4301" w:rsidRPr="004635E5">
        <w:rPr>
          <w:rFonts w:eastAsia="Batang"/>
          <w:sz w:val="22"/>
          <w:szCs w:val="22"/>
          <w:lang w:val="en-NZ" w:eastAsia="ko-KR"/>
        </w:rPr>
        <w:t xml:space="preserve">in terms of the </w:t>
      </w:r>
      <w:r w:rsidR="00FB1756" w:rsidRPr="004635E5">
        <w:rPr>
          <w:rFonts w:eastAsia="Batang"/>
          <w:sz w:val="22"/>
          <w:szCs w:val="22"/>
          <w:lang w:val="en-NZ" w:eastAsia="ko-KR"/>
        </w:rPr>
        <w:t>downside</w:t>
      </w:r>
      <w:r w:rsidR="00270656" w:rsidRPr="004635E5">
        <w:rPr>
          <w:rFonts w:eastAsia="Batang"/>
          <w:sz w:val="22"/>
          <w:szCs w:val="22"/>
          <w:lang w:val="en-NZ" w:eastAsia="ko-KR"/>
        </w:rPr>
        <w:t xml:space="preserve"> results</w:t>
      </w:r>
      <w:r w:rsidR="00FB1756" w:rsidRPr="004635E5">
        <w:rPr>
          <w:rFonts w:eastAsia="Batang"/>
          <w:sz w:val="22"/>
          <w:szCs w:val="22"/>
          <w:lang w:val="en-NZ" w:eastAsia="ko-KR"/>
        </w:rPr>
        <w:t xml:space="preserve">. </w:t>
      </w:r>
      <w:r w:rsidR="006C4301" w:rsidRPr="004635E5">
        <w:rPr>
          <w:rFonts w:eastAsia="Batang"/>
          <w:sz w:val="22"/>
          <w:szCs w:val="22"/>
          <w:lang w:val="en-NZ" w:eastAsia="ko-KR"/>
        </w:rPr>
        <w:t xml:space="preserve">A review of the </w:t>
      </w:r>
      <w:r w:rsidR="004421B3" w:rsidRPr="004635E5">
        <w:rPr>
          <w:rFonts w:eastAsia="Batang"/>
          <w:sz w:val="22"/>
          <w:szCs w:val="22"/>
          <w:lang w:val="en-NZ" w:eastAsia="ko-KR"/>
        </w:rPr>
        <w:t>bigeye tuna</w:t>
      </w:r>
      <w:r w:rsidR="006C4301" w:rsidRPr="004635E5">
        <w:rPr>
          <w:rFonts w:eastAsia="Batang"/>
          <w:sz w:val="22"/>
          <w:szCs w:val="22"/>
          <w:lang w:val="en-NZ" w:eastAsia="ko-KR"/>
        </w:rPr>
        <w:t xml:space="preserve"> </w:t>
      </w:r>
      <w:r w:rsidR="00656FD8" w:rsidRPr="004635E5">
        <w:rPr>
          <w:rFonts w:eastAsia="Batang"/>
          <w:sz w:val="22"/>
          <w:szCs w:val="22"/>
          <w:lang w:val="en-NZ" w:eastAsia="ko-KR"/>
        </w:rPr>
        <w:t>stock assessment</w:t>
      </w:r>
      <w:r w:rsidR="006C4301" w:rsidRPr="004635E5">
        <w:rPr>
          <w:rFonts w:eastAsia="Batang"/>
          <w:sz w:val="22"/>
          <w:szCs w:val="22"/>
          <w:lang w:val="en-NZ" w:eastAsia="ko-KR"/>
        </w:rPr>
        <w:t xml:space="preserve"> a few years ago recommended that </w:t>
      </w:r>
      <w:r w:rsidR="00270656" w:rsidRPr="004635E5">
        <w:rPr>
          <w:rFonts w:eastAsia="Batang"/>
          <w:sz w:val="22"/>
          <w:szCs w:val="22"/>
          <w:lang w:val="en-NZ" w:eastAsia="ko-KR"/>
        </w:rPr>
        <w:t>sigma-</w:t>
      </w:r>
      <w:r w:rsidR="0028788E" w:rsidRPr="004635E5">
        <w:rPr>
          <w:rFonts w:eastAsia="Batang"/>
          <w:sz w:val="22"/>
          <w:szCs w:val="22"/>
          <w:lang w:val="en-NZ" w:eastAsia="ko-KR"/>
        </w:rPr>
        <w:t xml:space="preserve">r </w:t>
      </w:r>
      <w:r w:rsidR="006C4301" w:rsidRPr="004635E5">
        <w:rPr>
          <w:rFonts w:eastAsia="Batang"/>
          <w:sz w:val="22"/>
          <w:szCs w:val="22"/>
          <w:lang w:val="en-NZ" w:eastAsia="ko-KR"/>
        </w:rPr>
        <w:t xml:space="preserve">be set as </w:t>
      </w:r>
      <w:r w:rsidR="0028788E" w:rsidRPr="004635E5">
        <w:rPr>
          <w:rFonts w:eastAsia="Batang"/>
          <w:sz w:val="22"/>
          <w:szCs w:val="22"/>
          <w:lang w:val="en-NZ" w:eastAsia="ko-KR"/>
        </w:rPr>
        <w:t>high as poss</w:t>
      </w:r>
      <w:r w:rsidR="006C4301" w:rsidRPr="004635E5">
        <w:rPr>
          <w:rFonts w:eastAsia="Batang"/>
          <w:sz w:val="22"/>
          <w:szCs w:val="22"/>
          <w:lang w:val="en-NZ" w:eastAsia="ko-KR"/>
        </w:rPr>
        <w:t>ible</w:t>
      </w:r>
      <w:r w:rsidR="00270656" w:rsidRPr="004635E5">
        <w:rPr>
          <w:rFonts w:eastAsia="Batang"/>
          <w:sz w:val="22"/>
          <w:szCs w:val="22"/>
          <w:lang w:val="en-NZ" w:eastAsia="ko-KR"/>
        </w:rPr>
        <w:t xml:space="preserve"> (</w:t>
      </w:r>
      <w:r w:rsidR="0028788E" w:rsidRPr="004635E5">
        <w:rPr>
          <w:rFonts w:eastAsia="Batang"/>
          <w:sz w:val="22"/>
          <w:szCs w:val="22"/>
          <w:lang w:val="en-NZ" w:eastAsia="ko-KR"/>
        </w:rPr>
        <w:t>at least 1.5</w:t>
      </w:r>
      <w:r w:rsidR="00270656" w:rsidRPr="004635E5">
        <w:rPr>
          <w:rFonts w:eastAsia="Batang"/>
          <w:sz w:val="22"/>
          <w:szCs w:val="22"/>
          <w:lang w:val="en-NZ" w:eastAsia="ko-KR"/>
        </w:rPr>
        <w:t>), while i</w:t>
      </w:r>
      <w:r w:rsidR="0028788E" w:rsidRPr="004635E5">
        <w:rPr>
          <w:rFonts w:eastAsia="Batang"/>
          <w:sz w:val="22"/>
          <w:szCs w:val="22"/>
          <w:lang w:val="en-NZ" w:eastAsia="ko-KR"/>
        </w:rPr>
        <w:t xml:space="preserve">n SPC assessments </w:t>
      </w:r>
      <w:r w:rsidR="006C4301" w:rsidRPr="004635E5">
        <w:rPr>
          <w:rFonts w:eastAsia="Batang"/>
          <w:sz w:val="22"/>
          <w:szCs w:val="22"/>
          <w:lang w:val="en-NZ" w:eastAsia="ko-KR"/>
        </w:rPr>
        <w:t>s</w:t>
      </w:r>
      <w:r w:rsidR="00270656" w:rsidRPr="004635E5">
        <w:rPr>
          <w:rFonts w:eastAsia="Batang"/>
          <w:sz w:val="22"/>
          <w:szCs w:val="22"/>
          <w:lang w:val="en-NZ" w:eastAsia="ko-KR"/>
        </w:rPr>
        <w:t>igma-</w:t>
      </w:r>
      <w:r w:rsidR="0028788E" w:rsidRPr="004635E5">
        <w:rPr>
          <w:rFonts w:eastAsia="Batang"/>
          <w:sz w:val="22"/>
          <w:szCs w:val="22"/>
          <w:lang w:val="en-NZ" w:eastAsia="ko-KR"/>
        </w:rPr>
        <w:t xml:space="preserve">r </w:t>
      </w:r>
      <w:r w:rsidR="00270656" w:rsidRPr="004635E5">
        <w:rPr>
          <w:rFonts w:eastAsia="Batang"/>
          <w:sz w:val="22"/>
          <w:szCs w:val="22"/>
          <w:lang w:val="en-NZ" w:eastAsia="ko-KR"/>
        </w:rPr>
        <w:t xml:space="preserve">was set at </w:t>
      </w:r>
      <w:r w:rsidR="0028788E" w:rsidRPr="004635E5">
        <w:rPr>
          <w:rFonts w:eastAsia="Batang"/>
          <w:sz w:val="22"/>
          <w:szCs w:val="22"/>
          <w:lang w:val="en-NZ" w:eastAsia="ko-KR"/>
        </w:rPr>
        <w:t xml:space="preserve">2.2, </w:t>
      </w:r>
      <w:r w:rsidR="00270656" w:rsidRPr="004635E5">
        <w:rPr>
          <w:rFonts w:eastAsia="Batang"/>
          <w:sz w:val="22"/>
          <w:szCs w:val="22"/>
          <w:lang w:val="en-NZ" w:eastAsia="ko-KR"/>
        </w:rPr>
        <w:t xml:space="preserve">and produces </w:t>
      </w:r>
      <w:r w:rsidR="0028788E" w:rsidRPr="004635E5">
        <w:rPr>
          <w:rFonts w:eastAsia="Batang"/>
          <w:sz w:val="22"/>
          <w:szCs w:val="22"/>
          <w:lang w:val="en-NZ" w:eastAsia="ko-KR"/>
        </w:rPr>
        <w:t xml:space="preserve">stable estimates of </w:t>
      </w:r>
      <w:r w:rsidR="006C4301" w:rsidRPr="004635E5">
        <w:rPr>
          <w:rFonts w:eastAsia="Batang"/>
          <w:sz w:val="22"/>
          <w:szCs w:val="22"/>
          <w:lang w:eastAsia="ko-KR"/>
        </w:rPr>
        <w:t xml:space="preserve">asymptotic recruitment. SPC inquired whether the committee had considered how this may </w:t>
      </w:r>
      <w:r w:rsidR="009526C7" w:rsidRPr="004635E5">
        <w:rPr>
          <w:rFonts w:eastAsia="Batang"/>
          <w:sz w:val="22"/>
          <w:szCs w:val="22"/>
          <w:lang w:eastAsia="ko-KR"/>
        </w:rPr>
        <w:t>influence</w:t>
      </w:r>
      <w:r w:rsidR="006C4301" w:rsidRPr="004635E5">
        <w:rPr>
          <w:rFonts w:eastAsia="Batang"/>
          <w:sz w:val="22"/>
          <w:szCs w:val="22"/>
          <w:lang w:eastAsia="ko-KR"/>
        </w:rPr>
        <w:t xml:space="preserve"> the results.</w:t>
      </w:r>
      <w:r w:rsidR="006C4301" w:rsidRPr="004635E5">
        <w:rPr>
          <w:rFonts w:eastAsia="Batang"/>
          <w:sz w:val="22"/>
          <w:szCs w:val="22"/>
          <w:lang w:val="en-NZ" w:eastAsia="ko-KR"/>
        </w:rPr>
        <w:t xml:space="preserve"> </w:t>
      </w:r>
      <w:r w:rsidR="00A3528A" w:rsidRPr="004635E5">
        <w:rPr>
          <w:rFonts w:eastAsia="Batang"/>
          <w:sz w:val="22"/>
          <w:szCs w:val="22"/>
          <w:lang w:val="en-NZ" w:eastAsia="ko-KR"/>
        </w:rPr>
        <w:t xml:space="preserve">Japan noted the subcommittee found the recruitment estimates to be very robust. </w:t>
      </w:r>
    </w:p>
    <w:p w14:paraId="4AC21DD2" w14:textId="77777777" w:rsidR="00DF66D5" w:rsidRPr="004635E5" w:rsidRDefault="00DF66D5" w:rsidP="006633A8">
      <w:pPr>
        <w:autoSpaceDE w:val="0"/>
        <w:autoSpaceDN w:val="0"/>
        <w:adjustRightInd w:val="0"/>
        <w:snapToGrid w:val="0"/>
        <w:jc w:val="both"/>
        <w:rPr>
          <w:rFonts w:eastAsia="Batang"/>
          <w:sz w:val="22"/>
          <w:szCs w:val="22"/>
          <w:lang w:val="en-NZ" w:eastAsia="ko-KR"/>
        </w:rPr>
      </w:pPr>
    </w:p>
    <w:p w14:paraId="13FEE76B" w14:textId="77777777" w:rsidR="007567A9" w:rsidRPr="004635E5" w:rsidRDefault="00A3528A"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SPC noted that the penalty in the </w:t>
      </w:r>
      <w:r w:rsidR="0028788E" w:rsidRPr="004635E5">
        <w:rPr>
          <w:rFonts w:eastAsia="Batang"/>
          <w:sz w:val="22"/>
          <w:szCs w:val="22"/>
          <w:lang w:val="en-NZ" w:eastAsia="ko-KR"/>
        </w:rPr>
        <w:t xml:space="preserve">deviation of initial recruitment from Log 0 that is driving the </w:t>
      </w:r>
      <w:r w:rsidRPr="004635E5">
        <w:rPr>
          <w:rFonts w:eastAsia="Batang"/>
          <w:sz w:val="22"/>
          <w:szCs w:val="22"/>
          <w:lang w:val="en-NZ" w:eastAsia="ko-KR"/>
        </w:rPr>
        <w:t>likelihood profile</w:t>
      </w:r>
      <w:r w:rsidR="0028788E" w:rsidRPr="004635E5">
        <w:rPr>
          <w:rFonts w:eastAsia="Batang"/>
          <w:sz w:val="22"/>
          <w:szCs w:val="22"/>
          <w:lang w:val="en-NZ" w:eastAsia="ko-KR"/>
        </w:rPr>
        <w:t xml:space="preserve"> limit</w:t>
      </w:r>
      <w:r w:rsidRPr="004635E5">
        <w:rPr>
          <w:rFonts w:eastAsia="Batang"/>
          <w:sz w:val="22"/>
          <w:szCs w:val="22"/>
          <w:lang w:val="en-NZ" w:eastAsia="ko-KR"/>
        </w:rPr>
        <w:t>s</w:t>
      </w:r>
      <w:r w:rsidR="0028788E" w:rsidRPr="004635E5">
        <w:rPr>
          <w:rFonts w:eastAsia="Batang"/>
          <w:sz w:val="22"/>
          <w:szCs w:val="22"/>
          <w:lang w:val="en-NZ" w:eastAsia="ko-KR"/>
        </w:rPr>
        <w:t xml:space="preserve"> </w:t>
      </w:r>
      <w:r w:rsidRPr="004635E5">
        <w:rPr>
          <w:rFonts w:eastAsia="Batang"/>
          <w:sz w:val="22"/>
          <w:szCs w:val="22"/>
          <w:lang w:val="en-NZ" w:eastAsia="ko-KR"/>
        </w:rPr>
        <w:t>the lower end of pop</w:t>
      </w:r>
      <w:r w:rsidR="00270656" w:rsidRPr="004635E5">
        <w:rPr>
          <w:rFonts w:eastAsia="Batang"/>
          <w:sz w:val="22"/>
          <w:szCs w:val="22"/>
          <w:lang w:val="en-NZ" w:eastAsia="ko-KR"/>
        </w:rPr>
        <w:t>ulation</w:t>
      </w:r>
      <w:r w:rsidRPr="004635E5">
        <w:rPr>
          <w:rFonts w:eastAsia="Batang"/>
          <w:sz w:val="22"/>
          <w:szCs w:val="22"/>
          <w:lang w:val="en-NZ" w:eastAsia="ko-KR"/>
        </w:rPr>
        <w:t xml:space="preserve"> scal</w:t>
      </w:r>
      <w:r w:rsidR="0028788E" w:rsidRPr="004635E5">
        <w:rPr>
          <w:rFonts w:eastAsia="Batang"/>
          <w:sz w:val="22"/>
          <w:szCs w:val="22"/>
          <w:lang w:val="en-NZ" w:eastAsia="ko-KR"/>
        </w:rPr>
        <w:t>ing</w:t>
      </w:r>
      <w:r w:rsidRPr="004635E5">
        <w:rPr>
          <w:rFonts w:eastAsia="Batang"/>
          <w:sz w:val="22"/>
          <w:szCs w:val="22"/>
          <w:lang w:val="en-NZ" w:eastAsia="ko-KR"/>
        </w:rPr>
        <w:t xml:space="preserve"> with regard to</w:t>
      </w:r>
      <w:r w:rsidR="0028788E" w:rsidRPr="004635E5">
        <w:rPr>
          <w:rFonts w:eastAsia="Batang"/>
          <w:sz w:val="22"/>
          <w:szCs w:val="22"/>
          <w:lang w:val="en-NZ" w:eastAsia="ko-KR"/>
        </w:rPr>
        <w:t xml:space="preserve"> projections and final e</w:t>
      </w:r>
      <w:r w:rsidRPr="004635E5">
        <w:rPr>
          <w:rFonts w:eastAsia="Batang"/>
          <w:sz w:val="22"/>
          <w:szCs w:val="22"/>
          <w:lang w:val="en-NZ" w:eastAsia="ko-KR"/>
        </w:rPr>
        <w:t>stimates</w:t>
      </w:r>
      <w:r w:rsidR="0028788E" w:rsidRPr="004635E5">
        <w:rPr>
          <w:rFonts w:eastAsia="Batang"/>
          <w:sz w:val="22"/>
          <w:szCs w:val="22"/>
          <w:lang w:val="en-NZ" w:eastAsia="ko-KR"/>
        </w:rPr>
        <w:t xml:space="preserve"> of recruitment. </w:t>
      </w:r>
      <w:r w:rsidRPr="004635E5">
        <w:rPr>
          <w:rFonts w:eastAsia="Batang"/>
          <w:sz w:val="22"/>
          <w:szCs w:val="22"/>
          <w:lang w:val="en-NZ" w:eastAsia="ko-KR"/>
        </w:rPr>
        <w:t xml:space="preserve">SPC inquired how representative the recruitment index based on </w:t>
      </w:r>
      <w:r w:rsidR="0028788E" w:rsidRPr="004635E5">
        <w:rPr>
          <w:rFonts w:eastAsia="Batang"/>
          <w:sz w:val="22"/>
          <w:szCs w:val="22"/>
          <w:lang w:val="en-NZ" w:eastAsia="ko-KR"/>
        </w:rPr>
        <w:t>Japan</w:t>
      </w:r>
      <w:r w:rsidRPr="004635E5">
        <w:rPr>
          <w:rFonts w:eastAsia="Batang"/>
          <w:sz w:val="22"/>
          <w:szCs w:val="22"/>
          <w:lang w:val="en-NZ" w:eastAsia="ko-KR"/>
        </w:rPr>
        <w:t>’s</w:t>
      </w:r>
      <w:r w:rsidR="0028788E" w:rsidRPr="004635E5">
        <w:rPr>
          <w:rFonts w:eastAsia="Batang"/>
          <w:sz w:val="22"/>
          <w:szCs w:val="22"/>
          <w:lang w:val="en-NZ" w:eastAsia="ko-KR"/>
        </w:rPr>
        <w:t xml:space="preserve"> troll fishery</w:t>
      </w:r>
      <w:r w:rsidRPr="004635E5">
        <w:rPr>
          <w:rFonts w:eastAsia="Batang"/>
          <w:sz w:val="22"/>
          <w:szCs w:val="22"/>
          <w:lang w:val="en-NZ" w:eastAsia="ko-KR"/>
        </w:rPr>
        <w:t xml:space="preserve"> (</w:t>
      </w:r>
      <w:r w:rsidR="0028788E" w:rsidRPr="004635E5">
        <w:rPr>
          <w:rFonts w:eastAsia="Batang"/>
          <w:sz w:val="22"/>
          <w:szCs w:val="22"/>
          <w:lang w:val="en-NZ" w:eastAsia="ko-KR"/>
        </w:rPr>
        <w:t>which is spatially constrained</w:t>
      </w:r>
      <w:r w:rsidRPr="004635E5">
        <w:rPr>
          <w:rFonts w:eastAsia="Batang"/>
          <w:sz w:val="22"/>
          <w:szCs w:val="22"/>
          <w:lang w:val="en-NZ" w:eastAsia="ko-KR"/>
        </w:rPr>
        <w:t xml:space="preserve">) was </w:t>
      </w:r>
      <w:r w:rsidR="0028788E" w:rsidRPr="004635E5">
        <w:rPr>
          <w:rFonts w:eastAsia="Batang"/>
          <w:sz w:val="22"/>
          <w:szCs w:val="22"/>
          <w:lang w:val="en-NZ" w:eastAsia="ko-KR"/>
        </w:rPr>
        <w:t xml:space="preserve">for </w:t>
      </w:r>
      <w:r w:rsidRPr="004635E5">
        <w:rPr>
          <w:rFonts w:eastAsia="Batang"/>
          <w:sz w:val="22"/>
          <w:szCs w:val="22"/>
          <w:lang w:val="en-NZ" w:eastAsia="ko-KR"/>
        </w:rPr>
        <w:t>a Pacific-</w:t>
      </w:r>
      <w:r w:rsidR="0028788E" w:rsidRPr="004635E5">
        <w:rPr>
          <w:rFonts w:eastAsia="Batang"/>
          <w:sz w:val="22"/>
          <w:szCs w:val="22"/>
          <w:lang w:val="en-NZ" w:eastAsia="ko-KR"/>
        </w:rPr>
        <w:t>wide stock</w:t>
      </w:r>
      <w:r w:rsidRPr="004635E5">
        <w:rPr>
          <w:rFonts w:eastAsia="Batang"/>
          <w:sz w:val="22"/>
          <w:szCs w:val="22"/>
          <w:lang w:val="en-NZ" w:eastAsia="ko-KR"/>
        </w:rPr>
        <w:t>.</w:t>
      </w:r>
      <w:r w:rsidR="0028788E" w:rsidRPr="004635E5">
        <w:rPr>
          <w:rFonts w:eastAsia="Batang"/>
          <w:sz w:val="22"/>
          <w:szCs w:val="22"/>
          <w:lang w:val="en-NZ" w:eastAsia="ko-KR"/>
        </w:rPr>
        <w:t xml:space="preserve"> </w:t>
      </w:r>
      <w:r w:rsidRPr="004635E5">
        <w:rPr>
          <w:rFonts w:eastAsia="Batang"/>
          <w:sz w:val="22"/>
          <w:szCs w:val="22"/>
          <w:lang w:val="en-NZ" w:eastAsia="ko-KR"/>
        </w:rPr>
        <w:t>S. Nakatsuka</w:t>
      </w:r>
      <w:r w:rsidR="0028788E" w:rsidRPr="004635E5">
        <w:rPr>
          <w:rFonts w:eastAsia="Batang"/>
          <w:sz w:val="22"/>
          <w:szCs w:val="22"/>
          <w:lang w:val="en-NZ" w:eastAsia="ko-KR"/>
        </w:rPr>
        <w:t xml:space="preserve"> not</w:t>
      </w:r>
      <w:r w:rsidRPr="004635E5">
        <w:rPr>
          <w:rFonts w:eastAsia="Batang"/>
          <w:sz w:val="22"/>
          <w:szCs w:val="22"/>
          <w:lang w:val="en-NZ" w:eastAsia="ko-KR"/>
        </w:rPr>
        <w:t>ed</w:t>
      </w:r>
      <w:r w:rsidR="0028788E" w:rsidRPr="004635E5">
        <w:rPr>
          <w:rFonts w:eastAsia="Batang"/>
          <w:sz w:val="22"/>
          <w:szCs w:val="22"/>
          <w:lang w:val="en-NZ" w:eastAsia="ko-KR"/>
        </w:rPr>
        <w:t xml:space="preserve"> </w:t>
      </w:r>
      <w:r w:rsidRPr="004635E5">
        <w:rPr>
          <w:rFonts w:eastAsia="Batang"/>
          <w:sz w:val="22"/>
          <w:szCs w:val="22"/>
          <w:lang w:val="en-NZ" w:eastAsia="ko-KR"/>
        </w:rPr>
        <w:t xml:space="preserve">it was not the </w:t>
      </w:r>
      <w:r w:rsidR="0028788E" w:rsidRPr="004635E5">
        <w:rPr>
          <w:rFonts w:eastAsia="Batang"/>
          <w:sz w:val="22"/>
          <w:szCs w:val="22"/>
          <w:lang w:val="en-NZ" w:eastAsia="ko-KR"/>
        </w:rPr>
        <w:t>only info</w:t>
      </w:r>
      <w:r w:rsidRPr="004635E5">
        <w:rPr>
          <w:rFonts w:eastAsia="Batang"/>
          <w:sz w:val="22"/>
          <w:szCs w:val="22"/>
          <w:lang w:val="en-NZ" w:eastAsia="ko-KR"/>
        </w:rPr>
        <w:t xml:space="preserve">rmation source, with data on </w:t>
      </w:r>
      <w:r w:rsidR="007567A9" w:rsidRPr="004635E5">
        <w:rPr>
          <w:rFonts w:eastAsia="Batang"/>
          <w:sz w:val="22"/>
          <w:szCs w:val="22"/>
          <w:lang w:val="en-NZ" w:eastAsia="ko-KR"/>
        </w:rPr>
        <w:t>size</w:t>
      </w:r>
      <w:r w:rsidRPr="004635E5">
        <w:rPr>
          <w:rFonts w:eastAsia="Batang"/>
          <w:sz w:val="22"/>
          <w:szCs w:val="22"/>
          <w:lang w:val="en-NZ" w:eastAsia="ko-KR"/>
        </w:rPr>
        <w:t xml:space="preserve"> indicating the </w:t>
      </w:r>
      <w:r w:rsidR="00656FD8" w:rsidRPr="004635E5">
        <w:rPr>
          <w:rFonts w:eastAsia="Batang"/>
          <w:sz w:val="22"/>
          <w:szCs w:val="22"/>
          <w:lang w:val="en-NZ" w:eastAsia="ko-KR"/>
        </w:rPr>
        <w:t>stock assessment</w:t>
      </w:r>
      <w:r w:rsidRPr="004635E5">
        <w:rPr>
          <w:rFonts w:eastAsia="Batang"/>
          <w:sz w:val="22"/>
          <w:szCs w:val="22"/>
          <w:lang w:val="en-NZ" w:eastAsia="ko-KR"/>
        </w:rPr>
        <w:t xml:space="preserve"> model is stable regardless of inclusion of the index. F</w:t>
      </w:r>
      <w:r w:rsidR="007567A9" w:rsidRPr="004635E5">
        <w:rPr>
          <w:rFonts w:eastAsia="Batang"/>
          <w:sz w:val="22"/>
          <w:szCs w:val="22"/>
          <w:lang w:val="en-NZ" w:eastAsia="ko-KR"/>
        </w:rPr>
        <w:t xml:space="preserve">rom </w:t>
      </w:r>
      <w:r w:rsidRPr="004635E5">
        <w:rPr>
          <w:rFonts w:eastAsia="Batang"/>
          <w:sz w:val="22"/>
          <w:szCs w:val="22"/>
          <w:lang w:val="en-NZ" w:eastAsia="ko-KR"/>
        </w:rPr>
        <w:t xml:space="preserve">a biological </w:t>
      </w:r>
      <w:r w:rsidR="007567A9" w:rsidRPr="004635E5">
        <w:rPr>
          <w:rFonts w:eastAsia="Batang"/>
          <w:sz w:val="22"/>
          <w:szCs w:val="22"/>
          <w:lang w:val="en-NZ" w:eastAsia="ko-KR"/>
        </w:rPr>
        <w:t xml:space="preserve">perspective, </w:t>
      </w:r>
      <w:r w:rsidR="009526C7" w:rsidRPr="004635E5">
        <w:rPr>
          <w:rFonts w:eastAsia="Batang"/>
          <w:sz w:val="22"/>
          <w:szCs w:val="22"/>
          <w:lang w:val="en-NZ" w:eastAsia="ko-KR"/>
        </w:rPr>
        <w:t xml:space="preserve">bluefin tuna </w:t>
      </w:r>
      <w:r w:rsidR="007567A9" w:rsidRPr="004635E5">
        <w:rPr>
          <w:rFonts w:eastAsia="Batang"/>
          <w:sz w:val="22"/>
          <w:szCs w:val="22"/>
          <w:lang w:val="en-NZ" w:eastAsia="ko-KR"/>
        </w:rPr>
        <w:t xml:space="preserve">has </w:t>
      </w:r>
      <w:r w:rsidR="00270656" w:rsidRPr="004635E5">
        <w:rPr>
          <w:rFonts w:eastAsia="Batang"/>
          <w:sz w:val="22"/>
          <w:szCs w:val="22"/>
          <w:lang w:val="en-NZ" w:eastAsia="ko-KR"/>
        </w:rPr>
        <w:t xml:space="preserve">two </w:t>
      </w:r>
      <w:r w:rsidR="007567A9" w:rsidRPr="004635E5">
        <w:rPr>
          <w:rFonts w:eastAsia="Batang"/>
          <w:sz w:val="22"/>
          <w:szCs w:val="22"/>
          <w:lang w:val="en-NZ" w:eastAsia="ko-KR"/>
        </w:rPr>
        <w:t xml:space="preserve">spawning grounds, this index comes from </w:t>
      </w:r>
      <w:r w:rsidR="00270656" w:rsidRPr="004635E5">
        <w:rPr>
          <w:rFonts w:eastAsia="Batang"/>
          <w:sz w:val="22"/>
          <w:szCs w:val="22"/>
          <w:lang w:val="en-NZ" w:eastAsia="ko-KR"/>
        </w:rPr>
        <w:t xml:space="preserve">one </w:t>
      </w:r>
      <w:r w:rsidR="007567A9" w:rsidRPr="004635E5">
        <w:rPr>
          <w:rFonts w:eastAsia="Batang"/>
          <w:sz w:val="22"/>
          <w:szCs w:val="22"/>
          <w:lang w:val="en-NZ" w:eastAsia="ko-KR"/>
        </w:rPr>
        <w:t>area around</w:t>
      </w:r>
      <w:r w:rsidR="00270656" w:rsidRPr="004635E5">
        <w:rPr>
          <w:rFonts w:eastAsia="Batang"/>
          <w:sz w:val="22"/>
          <w:szCs w:val="22"/>
          <w:lang w:val="en-NZ" w:eastAsia="ko-KR"/>
        </w:rPr>
        <w:t xml:space="preserve"> Japan</w:t>
      </w:r>
      <w:r w:rsidRPr="004635E5">
        <w:rPr>
          <w:rFonts w:eastAsia="Batang"/>
          <w:sz w:val="22"/>
          <w:szCs w:val="22"/>
          <w:lang w:val="en-NZ" w:eastAsia="ko-KR"/>
        </w:rPr>
        <w:t xml:space="preserve">, but </w:t>
      </w:r>
      <w:r w:rsidR="007567A9" w:rsidRPr="004635E5">
        <w:rPr>
          <w:rFonts w:eastAsia="Batang"/>
          <w:sz w:val="22"/>
          <w:szCs w:val="22"/>
          <w:lang w:val="en-NZ" w:eastAsia="ko-KR"/>
        </w:rPr>
        <w:t xml:space="preserve">recruitment </w:t>
      </w:r>
      <w:r w:rsidRPr="004635E5">
        <w:rPr>
          <w:rFonts w:eastAsia="Batang"/>
          <w:sz w:val="22"/>
          <w:szCs w:val="22"/>
          <w:lang w:val="en-NZ" w:eastAsia="ko-KR"/>
        </w:rPr>
        <w:t xml:space="preserve">is </w:t>
      </w:r>
      <w:r w:rsidR="007567A9" w:rsidRPr="004635E5">
        <w:rPr>
          <w:rFonts w:eastAsia="Batang"/>
          <w:sz w:val="22"/>
          <w:szCs w:val="22"/>
          <w:lang w:val="en-NZ" w:eastAsia="ko-KR"/>
        </w:rPr>
        <w:t xml:space="preserve">from both </w:t>
      </w:r>
      <w:r w:rsidRPr="004635E5">
        <w:rPr>
          <w:rFonts w:eastAsia="Batang"/>
          <w:sz w:val="22"/>
          <w:szCs w:val="22"/>
          <w:lang w:val="en-NZ" w:eastAsia="ko-KR"/>
        </w:rPr>
        <w:t>s</w:t>
      </w:r>
      <w:r w:rsidR="007567A9" w:rsidRPr="004635E5">
        <w:rPr>
          <w:rFonts w:eastAsia="Batang"/>
          <w:sz w:val="22"/>
          <w:szCs w:val="22"/>
          <w:lang w:val="en-NZ" w:eastAsia="ko-KR"/>
        </w:rPr>
        <w:t xml:space="preserve">pawning </w:t>
      </w:r>
      <w:r w:rsidRPr="004635E5">
        <w:rPr>
          <w:rFonts w:eastAsia="Batang"/>
          <w:sz w:val="22"/>
          <w:szCs w:val="22"/>
          <w:lang w:val="en-NZ" w:eastAsia="ko-KR"/>
        </w:rPr>
        <w:t xml:space="preserve">grounds. </w:t>
      </w:r>
      <w:r w:rsidR="009526C7" w:rsidRPr="004635E5">
        <w:rPr>
          <w:rFonts w:eastAsia="Batang"/>
          <w:sz w:val="22"/>
          <w:szCs w:val="22"/>
          <w:lang w:val="en-NZ" w:eastAsia="ko-KR"/>
        </w:rPr>
        <w:t>He noted r</w:t>
      </w:r>
      <w:r w:rsidRPr="004635E5">
        <w:rPr>
          <w:rFonts w:eastAsia="Batang"/>
          <w:sz w:val="22"/>
          <w:szCs w:val="22"/>
          <w:lang w:val="en-NZ" w:eastAsia="ko-KR"/>
        </w:rPr>
        <w:t xml:space="preserve">esults are </w:t>
      </w:r>
      <w:r w:rsidR="007567A9" w:rsidRPr="004635E5">
        <w:rPr>
          <w:rFonts w:eastAsia="Batang"/>
          <w:sz w:val="22"/>
          <w:szCs w:val="22"/>
          <w:lang w:val="en-NZ" w:eastAsia="ko-KR"/>
        </w:rPr>
        <w:t>consistent</w:t>
      </w:r>
      <w:r w:rsidRPr="004635E5">
        <w:rPr>
          <w:rFonts w:eastAsia="Batang"/>
          <w:sz w:val="22"/>
          <w:szCs w:val="22"/>
          <w:lang w:val="en-NZ" w:eastAsia="ko-KR"/>
        </w:rPr>
        <w:t>, if not perfect</w:t>
      </w:r>
      <w:r w:rsidR="007567A9" w:rsidRPr="004635E5">
        <w:rPr>
          <w:rFonts w:eastAsia="Batang"/>
          <w:sz w:val="22"/>
          <w:szCs w:val="22"/>
          <w:lang w:val="en-NZ" w:eastAsia="ko-KR"/>
        </w:rPr>
        <w:t xml:space="preserve">. </w:t>
      </w:r>
      <w:r w:rsidRPr="004635E5">
        <w:rPr>
          <w:rFonts w:eastAsia="Batang"/>
          <w:sz w:val="22"/>
          <w:szCs w:val="22"/>
          <w:lang w:val="en-NZ" w:eastAsia="ko-KR"/>
        </w:rPr>
        <w:t>L</w:t>
      </w:r>
      <w:r w:rsidR="007567A9" w:rsidRPr="004635E5">
        <w:rPr>
          <w:rFonts w:eastAsia="Batang"/>
          <w:sz w:val="22"/>
          <w:szCs w:val="22"/>
          <w:lang w:val="en-NZ" w:eastAsia="ko-KR"/>
        </w:rPr>
        <w:t xml:space="preserve">abs </w:t>
      </w:r>
      <w:r w:rsidRPr="004635E5">
        <w:rPr>
          <w:rFonts w:eastAsia="Batang"/>
          <w:sz w:val="22"/>
          <w:szCs w:val="22"/>
          <w:lang w:val="en-NZ" w:eastAsia="ko-KR"/>
        </w:rPr>
        <w:t xml:space="preserve">are </w:t>
      </w:r>
      <w:r w:rsidR="007567A9" w:rsidRPr="004635E5">
        <w:rPr>
          <w:rFonts w:eastAsia="Batang"/>
          <w:sz w:val="22"/>
          <w:szCs w:val="22"/>
          <w:lang w:val="en-NZ" w:eastAsia="ko-KR"/>
        </w:rPr>
        <w:t>assess</w:t>
      </w:r>
      <w:r w:rsidRPr="004635E5">
        <w:rPr>
          <w:rFonts w:eastAsia="Batang"/>
          <w:sz w:val="22"/>
          <w:szCs w:val="22"/>
          <w:lang w:val="en-NZ" w:eastAsia="ko-KR"/>
        </w:rPr>
        <w:t>ing</w:t>
      </w:r>
      <w:r w:rsidR="007567A9" w:rsidRPr="004635E5">
        <w:rPr>
          <w:rFonts w:eastAsia="Batang"/>
          <w:sz w:val="22"/>
          <w:szCs w:val="22"/>
          <w:lang w:val="en-NZ" w:eastAsia="ko-KR"/>
        </w:rPr>
        <w:t xml:space="preserve"> info</w:t>
      </w:r>
      <w:r w:rsidRPr="004635E5">
        <w:rPr>
          <w:rFonts w:eastAsia="Batang"/>
          <w:sz w:val="22"/>
          <w:szCs w:val="22"/>
          <w:lang w:val="en-NZ" w:eastAsia="ko-KR"/>
        </w:rPr>
        <w:t>rmation</w:t>
      </w:r>
      <w:r w:rsidR="007567A9" w:rsidRPr="004635E5">
        <w:rPr>
          <w:rFonts w:eastAsia="Batang"/>
          <w:sz w:val="22"/>
          <w:szCs w:val="22"/>
          <w:lang w:val="en-NZ" w:eastAsia="ko-KR"/>
        </w:rPr>
        <w:t xml:space="preserve"> from other ar</w:t>
      </w:r>
      <w:r w:rsidRPr="004635E5">
        <w:rPr>
          <w:rFonts w:eastAsia="Batang"/>
          <w:sz w:val="22"/>
          <w:szCs w:val="22"/>
          <w:lang w:val="en-NZ" w:eastAsia="ko-KR"/>
        </w:rPr>
        <w:t>e</w:t>
      </w:r>
      <w:r w:rsidR="007567A9" w:rsidRPr="004635E5">
        <w:rPr>
          <w:rFonts w:eastAsia="Batang"/>
          <w:sz w:val="22"/>
          <w:szCs w:val="22"/>
          <w:lang w:val="en-NZ" w:eastAsia="ko-KR"/>
        </w:rPr>
        <w:t>as</w:t>
      </w:r>
      <w:r w:rsidRPr="004635E5">
        <w:rPr>
          <w:rFonts w:eastAsia="Batang"/>
          <w:sz w:val="22"/>
          <w:szCs w:val="22"/>
          <w:lang w:val="en-NZ" w:eastAsia="ko-KR"/>
        </w:rPr>
        <w:t xml:space="preserve"> and </w:t>
      </w:r>
      <w:r w:rsidR="007567A9" w:rsidRPr="004635E5">
        <w:rPr>
          <w:rFonts w:eastAsia="Batang"/>
          <w:sz w:val="22"/>
          <w:szCs w:val="22"/>
          <w:lang w:val="en-NZ" w:eastAsia="ko-KR"/>
        </w:rPr>
        <w:t>wil</w:t>
      </w:r>
      <w:r w:rsidRPr="004635E5">
        <w:rPr>
          <w:rFonts w:eastAsia="Batang"/>
          <w:sz w:val="22"/>
          <w:szCs w:val="22"/>
          <w:lang w:val="en-NZ" w:eastAsia="ko-KR"/>
        </w:rPr>
        <w:t>l consider other recruitment in</w:t>
      </w:r>
      <w:r w:rsidR="007567A9" w:rsidRPr="004635E5">
        <w:rPr>
          <w:rFonts w:eastAsia="Batang"/>
          <w:sz w:val="22"/>
          <w:szCs w:val="22"/>
          <w:lang w:val="en-NZ" w:eastAsia="ko-KR"/>
        </w:rPr>
        <w:t>dices in</w:t>
      </w:r>
      <w:r w:rsidRPr="004635E5">
        <w:rPr>
          <w:rFonts w:eastAsia="Batang"/>
          <w:sz w:val="22"/>
          <w:szCs w:val="22"/>
          <w:lang w:val="en-NZ" w:eastAsia="ko-KR"/>
        </w:rPr>
        <w:t xml:space="preserve"> the </w:t>
      </w:r>
      <w:r w:rsidR="007567A9" w:rsidRPr="004635E5">
        <w:rPr>
          <w:rFonts w:eastAsia="Batang"/>
          <w:sz w:val="22"/>
          <w:szCs w:val="22"/>
          <w:lang w:val="en-NZ" w:eastAsia="ko-KR"/>
        </w:rPr>
        <w:t>future.</w:t>
      </w:r>
    </w:p>
    <w:p w14:paraId="3500BD74" w14:textId="77777777" w:rsidR="00DF66D5" w:rsidRPr="004635E5" w:rsidRDefault="00DF66D5" w:rsidP="006633A8">
      <w:pPr>
        <w:autoSpaceDE w:val="0"/>
        <w:autoSpaceDN w:val="0"/>
        <w:adjustRightInd w:val="0"/>
        <w:snapToGrid w:val="0"/>
        <w:jc w:val="both"/>
        <w:rPr>
          <w:rFonts w:eastAsia="Batang"/>
          <w:sz w:val="22"/>
          <w:szCs w:val="22"/>
          <w:lang w:val="en-NZ" w:eastAsia="ko-KR"/>
        </w:rPr>
      </w:pPr>
    </w:p>
    <w:p w14:paraId="7870CCDA" w14:textId="77777777" w:rsidR="00820A06" w:rsidRPr="004635E5" w:rsidRDefault="00A3528A"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SPC noted that regarding the </w:t>
      </w:r>
      <w:r w:rsidR="007567A9" w:rsidRPr="004635E5">
        <w:rPr>
          <w:rFonts w:eastAsia="Batang"/>
          <w:sz w:val="22"/>
          <w:szCs w:val="22"/>
          <w:lang w:val="en-NZ" w:eastAsia="ko-KR"/>
        </w:rPr>
        <w:t>prob</w:t>
      </w:r>
      <w:r w:rsidRPr="004635E5">
        <w:rPr>
          <w:rFonts w:eastAsia="Batang"/>
          <w:sz w:val="22"/>
          <w:szCs w:val="22"/>
          <w:lang w:val="en-NZ" w:eastAsia="ko-KR"/>
        </w:rPr>
        <w:t xml:space="preserve">ability of </w:t>
      </w:r>
      <w:r w:rsidR="007567A9" w:rsidRPr="004635E5">
        <w:rPr>
          <w:rFonts w:eastAsia="Batang"/>
          <w:sz w:val="22"/>
          <w:szCs w:val="22"/>
          <w:lang w:val="en-NZ" w:eastAsia="ko-KR"/>
        </w:rPr>
        <w:t xml:space="preserve">meeting </w:t>
      </w:r>
      <w:r w:rsidRPr="004635E5">
        <w:rPr>
          <w:rFonts w:eastAsia="Batang"/>
          <w:sz w:val="22"/>
          <w:szCs w:val="22"/>
          <w:lang w:val="en-NZ" w:eastAsia="ko-KR"/>
        </w:rPr>
        <w:t>the rebuil</w:t>
      </w:r>
      <w:r w:rsidR="007567A9" w:rsidRPr="004635E5">
        <w:rPr>
          <w:rFonts w:eastAsia="Batang"/>
          <w:sz w:val="22"/>
          <w:szCs w:val="22"/>
          <w:lang w:val="en-NZ" w:eastAsia="ko-KR"/>
        </w:rPr>
        <w:t xml:space="preserve">ding </w:t>
      </w:r>
      <w:r w:rsidRPr="004635E5">
        <w:rPr>
          <w:rFonts w:eastAsia="Batang"/>
          <w:sz w:val="22"/>
          <w:szCs w:val="22"/>
          <w:lang w:val="en-NZ" w:eastAsia="ko-KR"/>
        </w:rPr>
        <w:t xml:space="preserve">target, it was </w:t>
      </w:r>
      <w:r w:rsidR="007567A9" w:rsidRPr="004635E5">
        <w:rPr>
          <w:rFonts w:eastAsia="Batang"/>
          <w:sz w:val="22"/>
          <w:szCs w:val="22"/>
          <w:lang w:val="en-NZ" w:eastAsia="ko-KR"/>
        </w:rPr>
        <w:t>imp</w:t>
      </w:r>
      <w:r w:rsidRPr="004635E5">
        <w:rPr>
          <w:rFonts w:eastAsia="Batang"/>
          <w:sz w:val="22"/>
          <w:szCs w:val="22"/>
          <w:lang w:val="en-NZ" w:eastAsia="ko-KR"/>
        </w:rPr>
        <w:t>ortant</w:t>
      </w:r>
      <w:r w:rsidR="007567A9" w:rsidRPr="004635E5">
        <w:rPr>
          <w:rFonts w:eastAsia="Batang"/>
          <w:sz w:val="22"/>
          <w:szCs w:val="22"/>
          <w:lang w:val="en-NZ" w:eastAsia="ko-KR"/>
        </w:rPr>
        <w:t xml:space="preserve"> to have </w:t>
      </w:r>
      <w:r w:rsidRPr="004635E5">
        <w:rPr>
          <w:rFonts w:eastAsia="Batang"/>
          <w:sz w:val="22"/>
          <w:szCs w:val="22"/>
          <w:lang w:val="en-NZ" w:eastAsia="ko-KR"/>
        </w:rPr>
        <w:t xml:space="preserve">probabilities </w:t>
      </w:r>
      <w:r w:rsidR="007567A9" w:rsidRPr="004635E5">
        <w:rPr>
          <w:rFonts w:eastAsia="Batang"/>
          <w:sz w:val="22"/>
          <w:szCs w:val="22"/>
          <w:lang w:val="en-NZ" w:eastAsia="ko-KR"/>
        </w:rPr>
        <w:t>refl</w:t>
      </w:r>
      <w:r w:rsidRPr="004635E5">
        <w:rPr>
          <w:rFonts w:eastAsia="Batang"/>
          <w:sz w:val="22"/>
          <w:szCs w:val="22"/>
          <w:lang w:val="en-NZ" w:eastAsia="ko-KR"/>
        </w:rPr>
        <w:t>e</w:t>
      </w:r>
      <w:r w:rsidR="007567A9" w:rsidRPr="004635E5">
        <w:rPr>
          <w:rFonts w:eastAsia="Batang"/>
          <w:sz w:val="22"/>
          <w:szCs w:val="22"/>
          <w:lang w:val="en-NZ" w:eastAsia="ko-KR"/>
        </w:rPr>
        <w:t>ct reaso</w:t>
      </w:r>
      <w:r w:rsidRPr="004635E5">
        <w:rPr>
          <w:rFonts w:eastAsia="Batang"/>
          <w:sz w:val="22"/>
          <w:szCs w:val="22"/>
          <w:lang w:val="en-NZ" w:eastAsia="ko-KR"/>
        </w:rPr>
        <w:t xml:space="preserve">nable </w:t>
      </w:r>
      <w:r w:rsidR="007567A9" w:rsidRPr="004635E5">
        <w:rPr>
          <w:rFonts w:eastAsia="Batang"/>
          <w:sz w:val="22"/>
          <w:szCs w:val="22"/>
          <w:lang w:val="en-NZ" w:eastAsia="ko-KR"/>
        </w:rPr>
        <w:t>charac</w:t>
      </w:r>
      <w:r w:rsidRPr="004635E5">
        <w:rPr>
          <w:rFonts w:eastAsia="Batang"/>
          <w:sz w:val="22"/>
          <w:szCs w:val="22"/>
          <w:lang w:val="en-NZ" w:eastAsia="ko-KR"/>
        </w:rPr>
        <w:t xml:space="preserve">teristics </w:t>
      </w:r>
      <w:r w:rsidR="007567A9" w:rsidRPr="004635E5">
        <w:rPr>
          <w:rFonts w:eastAsia="Batang"/>
          <w:sz w:val="22"/>
          <w:szCs w:val="22"/>
          <w:lang w:val="en-NZ" w:eastAsia="ko-KR"/>
        </w:rPr>
        <w:t>of uncert</w:t>
      </w:r>
      <w:r w:rsidRPr="004635E5">
        <w:rPr>
          <w:rFonts w:eastAsia="Batang"/>
          <w:sz w:val="22"/>
          <w:szCs w:val="22"/>
          <w:lang w:val="en-NZ" w:eastAsia="ko-KR"/>
        </w:rPr>
        <w:t>ainties</w:t>
      </w:r>
      <w:r w:rsidR="007567A9" w:rsidRPr="004635E5">
        <w:rPr>
          <w:rFonts w:eastAsia="Batang"/>
          <w:sz w:val="22"/>
          <w:szCs w:val="22"/>
          <w:lang w:val="en-NZ" w:eastAsia="ko-KR"/>
        </w:rPr>
        <w:t xml:space="preserve"> in pop</w:t>
      </w:r>
      <w:r w:rsidRPr="004635E5">
        <w:rPr>
          <w:rFonts w:eastAsia="Batang"/>
          <w:sz w:val="22"/>
          <w:szCs w:val="22"/>
          <w:lang w:val="en-NZ" w:eastAsia="ko-KR"/>
        </w:rPr>
        <w:t>ulation</w:t>
      </w:r>
      <w:r w:rsidR="007567A9" w:rsidRPr="004635E5">
        <w:rPr>
          <w:rFonts w:eastAsia="Batang"/>
          <w:sz w:val="22"/>
          <w:szCs w:val="22"/>
          <w:lang w:val="en-NZ" w:eastAsia="ko-KR"/>
        </w:rPr>
        <w:t xml:space="preserve"> dynamics overall. Recruit</w:t>
      </w:r>
      <w:r w:rsidRPr="004635E5">
        <w:rPr>
          <w:rFonts w:eastAsia="Batang"/>
          <w:sz w:val="22"/>
          <w:szCs w:val="22"/>
          <w:lang w:val="en-NZ" w:eastAsia="ko-KR"/>
        </w:rPr>
        <w:t>ment</w:t>
      </w:r>
      <w:r w:rsidR="007567A9" w:rsidRPr="004635E5">
        <w:rPr>
          <w:rFonts w:eastAsia="Batang"/>
          <w:sz w:val="22"/>
          <w:szCs w:val="22"/>
          <w:lang w:val="en-NZ" w:eastAsia="ko-KR"/>
        </w:rPr>
        <w:t xml:space="preserve"> is </w:t>
      </w:r>
      <w:r w:rsidRPr="004635E5">
        <w:rPr>
          <w:rFonts w:eastAsia="Batang"/>
          <w:sz w:val="22"/>
          <w:szCs w:val="22"/>
          <w:lang w:val="en-NZ" w:eastAsia="ko-KR"/>
        </w:rPr>
        <w:t xml:space="preserve">the </w:t>
      </w:r>
      <w:r w:rsidR="007567A9" w:rsidRPr="004635E5">
        <w:rPr>
          <w:rFonts w:eastAsia="Batang"/>
          <w:sz w:val="22"/>
          <w:szCs w:val="22"/>
          <w:lang w:val="en-NZ" w:eastAsia="ko-KR"/>
        </w:rPr>
        <w:t>only uncert</w:t>
      </w:r>
      <w:r w:rsidRPr="004635E5">
        <w:rPr>
          <w:rFonts w:eastAsia="Batang"/>
          <w:sz w:val="22"/>
          <w:szCs w:val="22"/>
          <w:lang w:val="en-NZ" w:eastAsia="ko-KR"/>
        </w:rPr>
        <w:t xml:space="preserve">ainty </w:t>
      </w:r>
      <w:r w:rsidR="007567A9" w:rsidRPr="004635E5">
        <w:rPr>
          <w:rFonts w:eastAsia="Batang"/>
          <w:sz w:val="22"/>
          <w:szCs w:val="22"/>
          <w:lang w:val="en-NZ" w:eastAsia="ko-KR"/>
        </w:rPr>
        <w:t>in the model</w:t>
      </w:r>
      <w:r w:rsidRPr="004635E5">
        <w:rPr>
          <w:rFonts w:eastAsia="Batang"/>
          <w:sz w:val="22"/>
          <w:szCs w:val="22"/>
          <w:lang w:val="en-NZ" w:eastAsia="ko-KR"/>
        </w:rPr>
        <w:t>:</w:t>
      </w:r>
      <w:r w:rsidR="007567A9" w:rsidRPr="004635E5">
        <w:rPr>
          <w:rFonts w:eastAsia="Batang"/>
          <w:sz w:val="22"/>
          <w:szCs w:val="22"/>
          <w:lang w:val="en-NZ" w:eastAsia="ko-KR"/>
        </w:rPr>
        <w:t xml:space="preserve"> </w:t>
      </w:r>
      <w:r w:rsidRPr="004635E5">
        <w:rPr>
          <w:rFonts w:eastAsia="Batang"/>
          <w:sz w:val="22"/>
          <w:szCs w:val="22"/>
          <w:lang w:val="en-NZ" w:eastAsia="ko-KR"/>
        </w:rPr>
        <w:t xml:space="preserve">there is </w:t>
      </w:r>
      <w:r w:rsidR="007567A9" w:rsidRPr="004635E5">
        <w:rPr>
          <w:rFonts w:eastAsia="Batang"/>
          <w:sz w:val="22"/>
          <w:szCs w:val="22"/>
          <w:lang w:val="en-NZ" w:eastAsia="ko-KR"/>
        </w:rPr>
        <w:t>no uncert</w:t>
      </w:r>
      <w:r w:rsidRPr="004635E5">
        <w:rPr>
          <w:rFonts w:eastAsia="Batang"/>
          <w:sz w:val="22"/>
          <w:szCs w:val="22"/>
          <w:lang w:val="en-NZ" w:eastAsia="ko-KR"/>
        </w:rPr>
        <w:t>ainty</w:t>
      </w:r>
      <w:r w:rsidR="007567A9" w:rsidRPr="004635E5">
        <w:rPr>
          <w:rFonts w:eastAsia="Batang"/>
          <w:sz w:val="22"/>
          <w:szCs w:val="22"/>
          <w:lang w:val="en-NZ" w:eastAsia="ko-KR"/>
        </w:rPr>
        <w:t xml:space="preserve"> in nat</w:t>
      </w:r>
      <w:r w:rsidRPr="004635E5">
        <w:rPr>
          <w:rFonts w:eastAsia="Batang"/>
          <w:sz w:val="22"/>
          <w:szCs w:val="22"/>
          <w:lang w:val="en-NZ" w:eastAsia="ko-KR"/>
        </w:rPr>
        <w:t>ural</w:t>
      </w:r>
      <w:r w:rsidR="007567A9" w:rsidRPr="004635E5">
        <w:rPr>
          <w:rFonts w:eastAsia="Batang"/>
          <w:sz w:val="22"/>
          <w:szCs w:val="22"/>
          <w:lang w:val="en-NZ" w:eastAsia="ko-KR"/>
        </w:rPr>
        <w:t xml:space="preserve"> mortal</w:t>
      </w:r>
      <w:r w:rsidRPr="004635E5">
        <w:rPr>
          <w:rFonts w:eastAsia="Batang"/>
          <w:sz w:val="22"/>
          <w:szCs w:val="22"/>
          <w:lang w:val="en-NZ" w:eastAsia="ko-KR"/>
        </w:rPr>
        <w:t>ity, steepn</w:t>
      </w:r>
      <w:r w:rsidR="007567A9" w:rsidRPr="004635E5">
        <w:rPr>
          <w:rFonts w:eastAsia="Batang"/>
          <w:sz w:val="22"/>
          <w:szCs w:val="22"/>
          <w:lang w:val="en-NZ" w:eastAsia="ko-KR"/>
        </w:rPr>
        <w:t>e</w:t>
      </w:r>
      <w:r w:rsidRPr="004635E5">
        <w:rPr>
          <w:rFonts w:eastAsia="Batang"/>
          <w:sz w:val="22"/>
          <w:szCs w:val="22"/>
          <w:lang w:val="en-NZ" w:eastAsia="ko-KR"/>
        </w:rPr>
        <w:t>s</w:t>
      </w:r>
      <w:r w:rsidR="007567A9" w:rsidRPr="004635E5">
        <w:rPr>
          <w:rFonts w:eastAsia="Batang"/>
          <w:sz w:val="22"/>
          <w:szCs w:val="22"/>
          <w:lang w:val="en-NZ" w:eastAsia="ko-KR"/>
        </w:rPr>
        <w:t xml:space="preserve">s, </w:t>
      </w:r>
      <w:r w:rsidRPr="004635E5">
        <w:rPr>
          <w:rFonts w:eastAsia="Batang"/>
          <w:sz w:val="22"/>
          <w:szCs w:val="22"/>
          <w:lang w:val="en-NZ" w:eastAsia="ko-KR"/>
        </w:rPr>
        <w:t xml:space="preserve">or </w:t>
      </w:r>
      <w:r w:rsidR="007567A9" w:rsidRPr="004635E5">
        <w:rPr>
          <w:rFonts w:eastAsia="Batang"/>
          <w:sz w:val="22"/>
          <w:szCs w:val="22"/>
          <w:lang w:val="en-NZ" w:eastAsia="ko-KR"/>
        </w:rPr>
        <w:t xml:space="preserve">growth, which </w:t>
      </w:r>
      <w:r w:rsidR="00270656" w:rsidRPr="004635E5">
        <w:rPr>
          <w:rFonts w:eastAsia="Batang"/>
          <w:sz w:val="22"/>
          <w:szCs w:val="22"/>
          <w:lang w:val="en-NZ" w:eastAsia="ko-KR"/>
        </w:rPr>
        <w:t xml:space="preserve">SPC </w:t>
      </w:r>
      <w:r w:rsidR="007567A9" w:rsidRPr="004635E5">
        <w:rPr>
          <w:rFonts w:eastAsia="Batang"/>
          <w:sz w:val="22"/>
          <w:szCs w:val="22"/>
          <w:lang w:val="en-NZ" w:eastAsia="ko-KR"/>
        </w:rPr>
        <w:t>normally express</w:t>
      </w:r>
      <w:r w:rsidR="00270656" w:rsidRPr="004635E5">
        <w:rPr>
          <w:rFonts w:eastAsia="Batang"/>
          <w:sz w:val="22"/>
          <w:szCs w:val="22"/>
          <w:lang w:val="en-NZ" w:eastAsia="ko-KR"/>
        </w:rPr>
        <w:t>es</w:t>
      </w:r>
      <w:r w:rsidR="007567A9" w:rsidRPr="004635E5">
        <w:rPr>
          <w:rFonts w:eastAsia="Batang"/>
          <w:sz w:val="22"/>
          <w:szCs w:val="22"/>
          <w:lang w:val="en-NZ" w:eastAsia="ko-KR"/>
        </w:rPr>
        <w:t xml:space="preserve"> as a grid of models</w:t>
      </w:r>
      <w:r w:rsidRPr="004635E5">
        <w:rPr>
          <w:rFonts w:eastAsia="Batang"/>
          <w:sz w:val="22"/>
          <w:szCs w:val="22"/>
          <w:lang w:val="en-NZ" w:eastAsia="ko-KR"/>
        </w:rPr>
        <w:t xml:space="preserve">. This </w:t>
      </w:r>
      <w:r w:rsidR="007567A9" w:rsidRPr="004635E5">
        <w:rPr>
          <w:rFonts w:eastAsia="Batang"/>
          <w:sz w:val="22"/>
          <w:szCs w:val="22"/>
          <w:lang w:val="en-NZ" w:eastAsia="ko-KR"/>
        </w:rPr>
        <w:t>is an inadequacy</w:t>
      </w:r>
      <w:r w:rsidRPr="004635E5">
        <w:rPr>
          <w:rFonts w:eastAsia="Batang"/>
          <w:sz w:val="22"/>
          <w:szCs w:val="22"/>
          <w:lang w:val="en-NZ" w:eastAsia="ko-KR"/>
        </w:rPr>
        <w:t xml:space="preserve"> in that respect</w:t>
      </w:r>
      <w:r w:rsidR="007567A9" w:rsidRPr="004635E5">
        <w:rPr>
          <w:rFonts w:eastAsia="Batang"/>
          <w:sz w:val="22"/>
          <w:szCs w:val="22"/>
          <w:lang w:val="en-NZ" w:eastAsia="ko-KR"/>
        </w:rPr>
        <w:t>, esp</w:t>
      </w:r>
      <w:r w:rsidRPr="004635E5">
        <w:rPr>
          <w:rFonts w:eastAsia="Batang"/>
          <w:sz w:val="22"/>
          <w:szCs w:val="22"/>
          <w:lang w:val="en-NZ" w:eastAsia="ko-KR"/>
        </w:rPr>
        <w:t xml:space="preserve">ecially when using </w:t>
      </w:r>
      <w:r w:rsidR="007567A9" w:rsidRPr="004635E5">
        <w:rPr>
          <w:rFonts w:eastAsia="Batang"/>
          <w:sz w:val="22"/>
          <w:szCs w:val="22"/>
          <w:lang w:val="en-NZ" w:eastAsia="ko-KR"/>
        </w:rPr>
        <w:t xml:space="preserve">these models to drive </w:t>
      </w:r>
      <w:r w:rsidRPr="004635E5">
        <w:rPr>
          <w:rFonts w:eastAsia="Batang"/>
          <w:sz w:val="22"/>
          <w:szCs w:val="22"/>
          <w:lang w:val="en-NZ" w:eastAsia="ko-KR"/>
        </w:rPr>
        <w:t xml:space="preserve">management action. S. Nakatsuka noted that Bootstrap was used to model </w:t>
      </w:r>
      <w:r w:rsidR="007567A9" w:rsidRPr="004635E5">
        <w:rPr>
          <w:rFonts w:eastAsia="Batang"/>
          <w:sz w:val="22"/>
          <w:szCs w:val="22"/>
          <w:lang w:val="en-NZ" w:eastAsia="ko-KR"/>
        </w:rPr>
        <w:t>uncert</w:t>
      </w:r>
      <w:r w:rsidRPr="004635E5">
        <w:rPr>
          <w:rFonts w:eastAsia="Batang"/>
          <w:sz w:val="22"/>
          <w:szCs w:val="22"/>
          <w:lang w:val="en-NZ" w:eastAsia="ko-KR"/>
        </w:rPr>
        <w:t xml:space="preserve">ainty via variance </w:t>
      </w:r>
      <w:r w:rsidR="007567A9" w:rsidRPr="004635E5">
        <w:rPr>
          <w:rFonts w:eastAsia="Batang"/>
          <w:sz w:val="22"/>
          <w:szCs w:val="22"/>
          <w:lang w:val="en-NZ" w:eastAsia="ko-KR"/>
        </w:rPr>
        <w:t xml:space="preserve">in the CPUE and </w:t>
      </w:r>
      <w:r w:rsidR="00270656" w:rsidRPr="004635E5">
        <w:rPr>
          <w:rFonts w:eastAsia="Batang"/>
          <w:sz w:val="22"/>
          <w:szCs w:val="22"/>
          <w:lang w:val="en-NZ" w:eastAsia="ko-KR"/>
        </w:rPr>
        <w:t>c</w:t>
      </w:r>
      <w:r w:rsidRPr="004635E5">
        <w:rPr>
          <w:rFonts w:eastAsia="Batang"/>
          <w:sz w:val="22"/>
          <w:szCs w:val="22"/>
          <w:lang w:val="en-NZ" w:eastAsia="ko-KR"/>
        </w:rPr>
        <w:t>a</w:t>
      </w:r>
      <w:r w:rsidR="007567A9" w:rsidRPr="004635E5">
        <w:rPr>
          <w:rFonts w:eastAsia="Batang"/>
          <w:sz w:val="22"/>
          <w:szCs w:val="22"/>
          <w:lang w:val="en-NZ" w:eastAsia="ko-KR"/>
        </w:rPr>
        <w:t>t</w:t>
      </w:r>
      <w:r w:rsidRPr="004635E5">
        <w:rPr>
          <w:rFonts w:eastAsia="Batang"/>
          <w:sz w:val="22"/>
          <w:szCs w:val="22"/>
          <w:lang w:val="en-NZ" w:eastAsia="ko-KR"/>
        </w:rPr>
        <w:t>c</w:t>
      </w:r>
      <w:r w:rsidR="007567A9" w:rsidRPr="004635E5">
        <w:rPr>
          <w:rFonts w:eastAsia="Batang"/>
          <w:sz w:val="22"/>
          <w:szCs w:val="22"/>
          <w:lang w:val="en-NZ" w:eastAsia="ko-KR"/>
        </w:rPr>
        <w:t>h</w:t>
      </w:r>
      <w:r w:rsidR="00025593" w:rsidRPr="004635E5">
        <w:rPr>
          <w:rFonts w:eastAsia="Batang"/>
          <w:sz w:val="22"/>
          <w:szCs w:val="22"/>
          <w:lang w:val="en-NZ" w:eastAsia="ko-KR"/>
        </w:rPr>
        <w:t>,</w:t>
      </w:r>
      <w:r w:rsidR="007567A9" w:rsidRPr="004635E5">
        <w:rPr>
          <w:rFonts w:eastAsia="Batang"/>
          <w:sz w:val="22"/>
          <w:szCs w:val="22"/>
          <w:lang w:val="en-NZ" w:eastAsia="ko-KR"/>
        </w:rPr>
        <w:t xml:space="preserve"> </w:t>
      </w:r>
      <w:r w:rsidRPr="004635E5">
        <w:rPr>
          <w:rFonts w:eastAsia="Batang"/>
          <w:sz w:val="22"/>
          <w:szCs w:val="22"/>
          <w:lang w:val="en-NZ" w:eastAsia="ko-KR"/>
        </w:rPr>
        <w:t xml:space="preserve">and resampling of </w:t>
      </w:r>
      <w:r w:rsidR="007567A9" w:rsidRPr="004635E5">
        <w:rPr>
          <w:rFonts w:eastAsia="Batang"/>
          <w:sz w:val="22"/>
          <w:szCs w:val="22"/>
          <w:lang w:val="en-NZ" w:eastAsia="ko-KR"/>
        </w:rPr>
        <w:t>recruitment. Some uncert</w:t>
      </w:r>
      <w:r w:rsidRPr="004635E5">
        <w:rPr>
          <w:rFonts w:eastAsia="Batang"/>
          <w:sz w:val="22"/>
          <w:szCs w:val="22"/>
          <w:lang w:val="en-NZ" w:eastAsia="ko-KR"/>
        </w:rPr>
        <w:t>ainty</w:t>
      </w:r>
      <w:r w:rsidR="007567A9" w:rsidRPr="004635E5">
        <w:rPr>
          <w:rFonts w:eastAsia="Batang"/>
          <w:sz w:val="22"/>
          <w:szCs w:val="22"/>
          <w:lang w:val="en-NZ" w:eastAsia="ko-KR"/>
        </w:rPr>
        <w:t xml:space="preserve"> may not be fully incorporated. </w:t>
      </w:r>
      <w:r w:rsidRPr="004635E5">
        <w:rPr>
          <w:rFonts w:eastAsia="Batang"/>
          <w:sz w:val="22"/>
          <w:szCs w:val="22"/>
          <w:lang w:val="en-NZ" w:eastAsia="ko-KR"/>
        </w:rPr>
        <w:t xml:space="preserve">The current approach uses </w:t>
      </w:r>
      <w:r w:rsidR="007567A9" w:rsidRPr="004635E5">
        <w:rPr>
          <w:rFonts w:eastAsia="Batang"/>
          <w:sz w:val="22"/>
          <w:szCs w:val="22"/>
          <w:lang w:val="en-NZ" w:eastAsia="ko-KR"/>
        </w:rPr>
        <w:t>low recruit</w:t>
      </w:r>
      <w:r w:rsidRPr="004635E5">
        <w:rPr>
          <w:rFonts w:eastAsia="Batang"/>
          <w:sz w:val="22"/>
          <w:szCs w:val="22"/>
          <w:lang w:val="en-NZ" w:eastAsia="ko-KR"/>
        </w:rPr>
        <w:t>ment, wh</w:t>
      </w:r>
      <w:r w:rsidR="007567A9" w:rsidRPr="004635E5">
        <w:rPr>
          <w:rFonts w:eastAsia="Batang"/>
          <w:sz w:val="22"/>
          <w:szCs w:val="22"/>
          <w:lang w:val="en-NZ" w:eastAsia="ko-KR"/>
        </w:rPr>
        <w:t xml:space="preserve">ich </w:t>
      </w:r>
      <w:r w:rsidR="00025593" w:rsidRPr="004635E5">
        <w:rPr>
          <w:rFonts w:eastAsia="Batang"/>
          <w:sz w:val="22"/>
          <w:szCs w:val="22"/>
          <w:lang w:val="en-NZ" w:eastAsia="ko-KR"/>
        </w:rPr>
        <w:t xml:space="preserve">he stated is </w:t>
      </w:r>
      <w:r w:rsidRPr="004635E5">
        <w:rPr>
          <w:rFonts w:eastAsia="Batang"/>
          <w:sz w:val="22"/>
          <w:szCs w:val="22"/>
          <w:lang w:val="en-NZ" w:eastAsia="ko-KR"/>
        </w:rPr>
        <w:t xml:space="preserve">one way </w:t>
      </w:r>
      <w:r w:rsidR="00025593" w:rsidRPr="004635E5">
        <w:rPr>
          <w:rFonts w:eastAsia="Batang"/>
          <w:sz w:val="22"/>
          <w:szCs w:val="22"/>
          <w:lang w:val="en-NZ" w:eastAsia="ko-KR"/>
        </w:rPr>
        <w:t xml:space="preserve">of </w:t>
      </w:r>
      <w:r w:rsidRPr="004635E5">
        <w:rPr>
          <w:rFonts w:eastAsia="Batang"/>
          <w:sz w:val="22"/>
          <w:szCs w:val="22"/>
          <w:lang w:val="en-NZ" w:eastAsia="ko-KR"/>
        </w:rPr>
        <w:t>address</w:t>
      </w:r>
      <w:r w:rsidR="00025593" w:rsidRPr="004635E5">
        <w:rPr>
          <w:rFonts w:eastAsia="Batang"/>
          <w:sz w:val="22"/>
          <w:szCs w:val="22"/>
          <w:lang w:val="en-NZ" w:eastAsia="ko-KR"/>
        </w:rPr>
        <w:t>ing</w:t>
      </w:r>
      <w:r w:rsidRPr="004635E5">
        <w:rPr>
          <w:rFonts w:eastAsia="Batang"/>
          <w:sz w:val="22"/>
          <w:szCs w:val="22"/>
          <w:lang w:val="en-NZ" w:eastAsia="ko-KR"/>
        </w:rPr>
        <w:t xml:space="preserve"> the issue</w:t>
      </w:r>
      <w:r w:rsidRPr="004635E5">
        <w:rPr>
          <w:rFonts w:eastAsia="Batang"/>
          <w:sz w:val="22"/>
          <w:szCs w:val="22"/>
          <w:lang w:eastAsia="ko-KR"/>
        </w:rPr>
        <w:t>.</w:t>
      </w:r>
    </w:p>
    <w:p w14:paraId="1A6FAC80" w14:textId="77777777" w:rsidR="00DF66D5" w:rsidRPr="004635E5" w:rsidRDefault="00DF66D5" w:rsidP="006633A8">
      <w:pPr>
        <w:autoSpaceDE w:val="0"/>
        <w:autoSpaceDN w:val="0"/>
        <w:adjustRightInd w:val="0"/>
        <w:snapToGrid w:val="0"/>
        <w:jc w:val="both"/>
        <w:rPr>
          <w:rFonts w:eastAsia="Batang"/>
          <w:sz w:val="22"/>
          <w:szCs w:val="22"/>
          <w:lang w:val="en-NZ" w:eastAsia="ko-KR"/>
        </w:rPr>
      </w:pPr>
    </w:p>
    <w:p w14:paraId="49397427" w14:textId="77777777" w:rsidR="00820A06" w:rsidRPr="004635E5" w:rsidRDefault="002E39E9"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New Zealand</w:t>
      </w:r>
      <w:r w:rsidR="00A3528A" w:rsidRPr="004635E5">
        <w:rPr>
          <w:rFonts w:eastAsia="Batang"/>
          <w:sz w:val="22"/>
          <w:szCs w:val="22"/>
          <w:lang w:val="en-NZ" w:eastAsia="ko-KR"/>
        </w:rPr>
        <w:t xml:space="preserve"> noted the </w:t>
      </w:r>
      <w:r w:rsidR="00025593" w:rsidRPr="004635E5">
        <w:rPr>
          <w:rFonts w:eastAsia="Batang"/>
          <w:sz w:val="22"/>
          <w:szCs w:val="22"/>
          <w:lang w:val="en-NZ" w:eastAsia="ko-KR"/>
        </w:rPr>
        <w:t xml:space="preserve">bluefin </w:t>
      </w:r>
      <w:r w:rsidR="00A3528A" w:rsidRPr="004635E5">
        <w:rPr>
          <w:rFonts w:eastAsia="Batang"/>
          <w:sz w:val="22"/>
          <w:szCs w:val="22"/>
          <w:lang w:val="en-NZ" w:eastAsia="ko-KR"/>
        </w:rPr>
        <w:t xml:space="preserve">stock was </w:t>
      </w:r>
      <w:r w:rsidR="00820A06" w:rsidRPr="004635E5">
        <w:rPr>
          <w:rFonts w:eastAsia="Batang"/>
          <w:sz w:val="22"/>
          <w:szCs w:val="22"/>
          <w:lang w:val="en-NZ" w:eastAsia="ko-KR"/>
        </w:rPr>
        <w:t xml:space="preserve">rebuilding, </w:t>
      </w:r>
      <w:r w:rsidR="00A3528A" w:rsidRPr="004635E5">
        <w:rPr>
          <w:rFonts w:eastAsia="Batang"/>
          <w:sz w:val="22"/>
          <w:szCs w:val="22"/>
          <w:lang w:val="en-NZ" w:eastAsia="ko-KR"/>
        </w:rPr>
        <w:t xml:space="preserve">but still at a very low level, as pointed out by </w:t>
      </w:r>
      <w:r w:rsidR="00025593" w:rsidRPr="004635E5">
        <w:rPr>
          <w:rFonts w:eastAsia="Batang"/>
          <w:sz w:val="22"/>
          <w:szCs w:val="22"/>
          <w:lang w:val="en-NZ" w:eastAsia="ko-KR"/>
        </w:rPr>
        <w:t xml:space="preserve">the </w:t>
      </w:r>
      <w:r w:rsidR="00A3528A" w:rsidRPr="004635E5">
        <w:rPr>
          <w:rFonts w:eastAsia="Batang"/>
          <w:sz w:val="22"/>
          <w:szCs w:val="22"/>
          <w:lang w:val="en-NZ" w:eastAsia="ko-KR"/>
        </w:rPr>
        <w:t xml:space="preserve">EU and </w:t>
      </w:r>
      <w:r w:rsidR="00025593" w:rsidRPr="004635E5">
        <w:rPr>
          <w:rFonts w:eastAsia="Batang"/>
          <w:sz w:val="22"/>
          <w:szCs w:val="22"/>
          <w:lang w:val="en-NZ" w:eastAsia="ko-KR"/>
        </w:rPr>
        <w:t>Australia</w:t>
      </w:r>
      <w:r w:rsidR="00A3528A" w:rsidRPr="004635E5">
        <w:rPr>
          <w:rFonts w:eastAsia="Batang"/>
          <w:sz w:val="22"/>
          <w:szCs w:val="22"/>
          <w:lang w:val="en-NZ" w:eastAsia="ko-KR"/>
        </w:rPr>
        <w:t xml:space="preserve">. </w:t>
      </w:r>
      <w:r w:rsidRPr="004635E5">
        <w:rPr>
          <w:rFonts w:eastAsia="Batang"/>
          <w:sz w:val="22"/>
          <w:szCs w:val="22"/>
          <w:lang w:val="en-NZ" w:eastAsia="ko-KR"/>
        </w:rPr>
        <w:t>New Zealand</w:t>
      </w:r>
      <w:r w:rsidR="00A3528A" w:rsidRPr="004635E5">
        <w:rPr>
          <w:rFonts w:eastAsia="Batang"/>
          <w:sz w:val="22"/>
          <w:szCs w:val="22"/>
          <w:lang w:val="en-NZ" w:eastAsia="ko-KR"/>
        </w:rPr>
        <w:t xml:space="preserve"> stated </w:t>
      </w:r>
      <w:r w:rsidR="00A3528A" w:rsidRPr="004635E5">
        <w:rPr>
          <w:rFonts w:eastAsia="Batang"/>
          <w:sz w:val="22"/>
          <w:szCs w:val="22"/>
          <w:lang w:eastAsia="ko-KR"/>
        </w:rPr>
        <w:t xml:space="preserve">CCSBT was instructive for deliberations — in 2011, CCSBT approved a management procedure, when stock size was SB = 3%-5% and recruitment uncertain. With a 70% probability of exceeding the initial rebuilding target, it indicated an increase in TAC was available from 2012-2014, but CCSBT advised a precautionary report, and the </w:t>
      </w:r>
      <w:r w:rsidR="002F7711">
        <w:rPr>
          <w:rFonts w:eastAsia="Batang"/>
          <w:sz w:val="22"/>
          <w:szCs w:val="22"/>
          <w:lang w:eastAsia="ko-KR"/>
        </w:rPr>
        <w:t>C</w:t>
      </w:r>
      <w:r w:rsidR="00A3528A" w:rsidRPr="004635E5">
        <w:rPr>
          <w:rFonts w:eastAsia="Batang"/>
          <w:sz w:val="22"/>
          <w:szCs w:val="22"/>
          <w:lang w:eastAsia="ko-KR"/>
        </w:rPr>
        <w:t xml:space="preserve">ommission increased in TAC a step-wise manner. </w:t>
      </w:r>
      <w:r w:rsidRPr="004635E5">
        <w:rPr>
          <w:rFonts w:eastAsia="Batang"/>
          <w:sz w:val="22"/>
          <w:szCs w:val="22"/>
          <w:lang w:eastAsia="ko-KR"/>
        </w:rPr>
        <w:t>New Zealand</w:t>
      </w:r>
      <w:r w:rsidR="00A3528A" w:rsidRPr="004635E5">
        <w:rPr>
          <w:rFonts w:eastAsia="Batang"/>
          <w:sz w:val="22"/>
          <w:szCs w:val="22"/>
          <w:lang w:eastAsia="ko-KR"/>
        </w:rPr>
        <w:t xml:space="preserve"> stated rebuilding PBF could benefit from similar precautionary approach, and urged WCPFC to take a precautionary approach when approving catch increases given the low stock size and uncertain recruitment size. </w:t>
      </w:r>
      <w:r w:rsidR="00A3528A" w:rsidRPr="004635E5">
        <w:rPr>
          <w:rFonts w:eastAsia="Batang"/>
          <w:sz w:val="22"/>
          <w:szCs w:val="22"/>
          <w:lang w:val="en-NZ" w:eastAsia="ko-KR"/>
        </w:rPr>
        <w:t xml:space="preserve">S. Nakatsuka noted that </w:t>
      </w:r>
      <w:r w:rsidR="00820A06" w:rsidRPr="004635E5">
        <w:rPr>
          <w:rFonts w:eastAsia="Batang"/>
          <w:sz w:val="22"/>
          <w:szCs w:val="22"/>
          <w:lang w:val="en-NZ" w:eastAsia="ko-KR"/>
        </w:rPr>
        <w:t xml:space="preserve">recruitment </w:t>
      </w:r>
      <w:r w:rsidR="00A3528A" w:rsidRPr="004635E5">
        <w:rPr>
          <w:rFonts w:eastAsia="Batang"/>
          <w:sz w:val="22"/>
          <w:szCs w:val="22"/>
          <w:lang w:val="en-NZ" w:eastAsia="ko-KR"/>
        </w:rPr>
        <w:t xml:space="preserve">was </w:t>
      </w:r>
      <w:r w:rsidR="00F703AF" w:rsidRPr="004635E5">
        <w:rPr>
          <w:rFonts w:eastAsia="Batang"/>
          <w:sz w:val="22"/>
          <w:szCs w:val="22"/>
          <w:lang w:val="en-NZ" w:eastAsia="ko-KR"/>
        </w:rPr>
        <w:t>always uncertain</w:t>
      </w:r>
      <w:r w:rsidR="00A3528A" w:rsidRPr="004635E5">
        <w:rPr>
          <w:rFonts w:eastAsia="Batang"/>
          <w:sz w:val="22"/>
          <w:szCs w:val="22"/>
          <w:lang w:val="en-NZ" w:eastAsia="ko-KR"/>
        </w:rPr>
        <w:t>, and the projection used</w:t>
      </w:r>
      <w:r w:rsidR="00820A06" w:rsidRPr="004635E5">
        <w:rPr>
          <w:rFonts w:eastAsia="Batang"/>
          <w:sz w:val="22"/>
          <w:szCs w:val="22"/>
          <w:lang w:val="en-NZ" w:eastAsia="ko-KR"/>
        </w:rPr>
        <w:t xml:space="preserve"> </w:t>
      </w:r>
      <w:r w:rsidR="00F703AF" w:rsidRPr="004635E5">
        <w:rPr>
          <w:rFonts w:eastAsia="Batang"/>
          <w:sz w:val="22"/>
          <w:szCs w:val="22"/>
          <w:lang w:val="en-NZ" w:eastAsia="ko-KR"/>
        </w:rPr>
        <w:t xml:space="preserve">a </w:t>
      </w:r>
      <w:r w:rsidR="00820A06" w:rsidRPr="004635E5">
        <w:rPr>
          <w:rFonts w:eastAsia="Batang"/>
          <w:sz w:val="22"/>
          <w:szCs w:val="22"/>
          <w:lang w:val="en-NZ" w:eastAsia="ko-KR"/>
        </w:rPr>
        <w:t xml:space="preserve">30% decrease in </w:t>
      </w:r>
      <w:r w:rsidR="00F703AF" w:rsidRPr="004635E5">
        <w:rPr>
          <w:rFonts w:eastAsia="Batang"/>
          <w:sz w:val="22"/>
          <w:szCs w:val="22"/>
          <w:lang w:val="en-NZ" w:eastAsia="ko-KR"/>
        </w:rPr>
        <w:t xml:space="preserve">the </w:t>
      </w:r>
      <w:r w:rsidR="00820A06" w:rsidRPr="004635E5">
        <w:rPr>
          <w:rFonts w:eastAsia="Batang"/>
          <w:sz w:val="22"/>
          <w:szCs w:val="22"/>
          <w:lang w:val="en-NZ" w:eastAsia="ko-KR"/>
        </w:rPr>
        <w:t>ave</w:t>
      </w:r>
      <w:r w:rsidR="00F703AF" w:rsidRPr="004635E5">
        <w:rPr>
          <w:rFonts w:eastAsia="Batang"/>
          <w:sz w:val="22"/>
          <w:szCs w:val="22"/>
          <w:lang w:val="en-NZ" w:eastAsia="ko-KR"/>
        </w:rPr>
        <w:t>rage</w:t>
      </w:r>
      <w:r w:rsidR="00DF66D5" w:rsidRPr="004635E5">
        <w:rPr>
          <w:rFonts w:eastAsia="Batang"/>
          <w:sz w:val="22"/>
          <w:szCs w:val="22"/>
          <w:lang w:val="en-NZ" w:eastAsia="ko-KR"/>
        </w:rPr>
        <w:t xml:space="preserve"> to be precautionary.</w:t>
      </w:r>
    </w:p>
    <w:p w14:paraId="3C29EB36" w14:textId="77777777" w:rsidR="00DF66D5" w:rsidRPr="004635E5" w:rsidRDefault="00DF66D5" w:rsidP="006633A8">
      <w:pPr>
        <w:autoSpaceDE w:val="0"/>
        <w:autoSpaceDN w:val="0"/>
        <w:adjustRightInd w:val="0"/>
        <w:snapToGrid w:val="0"/>
        <w:jc w:val="both"/>
        <w:rPr>
          <w:rFonts w:eastAsia="Batang"/>
          <w:sz w:val="22"/>
          <w:szCs w:val="22"/>
          <w:lang w:val="en-NZ" w:eastAsia="ko-KR"/>
        </w:rPr>
      </w:pPr>
    </w:p>
    <w:p w14:paraId="2F3157CD" w14:textId="77777777" w:rsidR="00820A06" w:rsidRPr="004635E5" w:rsidRDefault="00820A06"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Vanuatu on behalf of FFA members</w:t>
      </w:r>
      <w:r w:rsidR="007B57EB" w:rsidRPr="004635E5">
        <w:rPr>
          <w:rFonts w:eastAsia="Batang"/>
          <w:sz w:val="22"/>
          <w:szCs w:val="22"/>
          <w:lang w:val="en-NZ" w:eastAsia="ko-KR"/>
        </w:rPr>
        <w:t xml:space="preserve"> thank</w:t>
      </w:r>
      <w:r w:rsidR="00270656" w:rsidRPr="004635E5">
        <w:rPr>
          <w:rFonts w:eastAsia="Batang"/>
          <w:sz w:val="22"/>
          <w:szCs w:val="22"/>
          <w:lang w:val="en-NZ" w:eastAsia="ko-KR"/>
        </w:rPr>
        <w:t>ed</w:t>
      </w:r>
      <w:r w:rsidR="007B57EB" w:rsidRPr="004635E5">
        <w:rPr>
          <w:rFonts w:eastAsia="Batang"/>
          <w:sz w:val="22"/>
          <w:szCs w:val="22"/>
          <w:lang w:val="en-NZ" w:eastAsia="ko-KR"/>
        </w:rPr>
        <w:t xml:space="preserve"> ISC for providing </w:t>
      </w:r>
      <w:r w:rsidR="00270656" w:rsidRPr="004635E5">
        <w:rPr>
          <w:rFonts w:eastAsia="Batang"/>
          <w:sz w:val="22"/>
          <w:szCs w:val="22"/>
          <w:lang w:val="en-NZ" w:eastAsia="ko-KR"/>
        </w:rPr>
        <w:t xml:space="preserve">the </w:t>
      </w:r>
      <w:r w:rsidR="007B57EB" w:rsidRPr="004635E5">
        <w:rPr>
          <w:rFonts w:eastAsia="Batang"/>
          <w:sz w:val="22"/>
          <w:szCs w:val="22"/>
          <w:lang w:val="en-NZ" w:eastAsia="ko-KR"/>
        </w:rPr>
        <w:t>update, noting the provision</w:t>
      </w:r>
      <w:r w:rsidR="00270656" w:rsidRPr="004635E5">
        <w:rPr>
          <w:rFonts w:eastAsia="Batang"/>
          <w:sz w:val="22"/>
          <w:szCs w:val="22"/>
          <w:lang w:val="en-NZ" w:eastAsia="ko-KR"/>
        </w:rPr>
        <w:t xml:space="preserve"> </w:t>
      </w:r>
      <w:r w:rsidR="007B57EB" w:rsidRPr="004635E5">
        <w:rPr>
          <w:rFonts w:eastAsia="Batang"/>
          <w:sz w:val="22"/>
          <w:szCs w:val="22"/>
          <w:lang w:val="en-NZ" w:eastAsia="ko-KR"/>
        </w:rPr>
        <w:t xml:space="preserve">under the current </w:t>
      </w:r>
      <w:r w:rsidR="00270656" w:rsidRPr="004635E5">
        <w:rPr>
          <w:rFonts w:eastAsia="Batang"/>
          <w:sz w:val="22"/>
          <w:szCs w:val="22"/>
          <w:lang w:val="en-NZ" w:eastAsia="ko-KR"/>
        </w:rPr>
        <w:t xml:space="preserve">harvest strategy </w:t>
      </w:r>
      <w:r w:rsidR="007B57EB" w:rsidRPr="004635E5">
        <w:rPr>
          <w:rFonts w:eastAsia="Batang"/>
          <w:sz w:val="22"/>
          <w:szCs w:val="22"/>
          <w:lang w:val="en-NZ" w:eastAsia="ko-KR"/>
        </w:rPr>
        <w:t xml:space="preserve">to increase catch limits under certain stock rebuilding parameters. </w:t>
      </w:r>
      <w:r w:rsidR="00270656" w:rsidRPr="004635E5">
        <w:rPr>
          <w:rFonts w:eastAsia="Batang"/>
          <w:sz w:val="22"/>
          <w:szCs w:val="22"/>
          <w:lang w:val="en-NZ" w:eastAsia="ko-KR"/>
        </w:rPr>
        <w:t xml:space="preserve">They sought an </w:t>
      </w:r>
      <w:r w:rsidR="007B57EB" w:rsidRPr="004635E5">
        <w:rPr>
          <w:rFonts w:eastAsia="Batang"/>
          <w:sz w:val="22"/>
          <w:szCs w:val="22"/>
          <w:lang w:val="en-NZ" w:eastAsia="ko-KR"/>
        </w:rPr>
        <w:t xml:space="preserve">indication if increases </w:t>
      </w:r>
      <w:r w:rsidR="00270656" w:rsidRPr="004635E5">
        <w:rPr>
          <w:rFonts w:eastAsia="Batang"/>
          <w:sz w:val="22"/>
          <w:szCs w:val="22"/>
          <w:lang w:val="en-NZ" w:eastAsia="ko-KR"/>
        </w:rPr>
        <w:t xml:space="preserve">were </w:t>
      </w:r>
      <w:r w:rsidR="007B57EB" w:rsidRPr="004635E5">
        <w:rPr>
          <w:rFonts w:eastAsia="Batang"/>
          <w:sz w:val="22"/>
          <w:szCs w:val="22"/>
          <w:lang w:val="en-NZ" w:eastAsia="ko-KR"/>
        </w:rPr>
        <w:t xml:space="preserve">being considered, given the cautionary language in the paper </w:t>
      </w:r>
      <w:r w:rsidR="00270656" w:rsidRPr="004635E5">
        <w:rPr>
          <w:rFonts w:eastAsia="Batang"/>
          <w:sz w:val="22"/>
          <w:szCs w:val="22"/>
          <w:lang w:val="en-NZ" w:eastAsia="ko-KR"/>
        </w:rPr>
        <w:t xml:space="preserve">regarding </w:t>
      </w:r>
      <w:r w:rsidR="007B57EB" w:rsidRPr="004635E5">
        <w:rPr>
          <w:rFonts w:eastAsia="Batang"/>
          <w:sz w:val="22"/>
          <w:szCs w:val="22"/>
          <w:lang w:val="en-NZ" w:eastAsia="ko-KR"/>
        </w:rPr>
        <w:t xml:space="preserve">the high uncertainties around the 2016 recruitment and noting </w:t>
      </w:r>
      <w:r w:rsidR="00270656" w:rsidRPr="004635E5">
        <w:rPr>
          <w:rFonts w:eastAsia="Batang"/>
          <w:sz w:val="22"/>
          <w:szCs w:val="22"/>
          <w:lang w:val="en-NZ" w:eastAsia="ko-KR"/>
        </w:rPr>
        <w:t>how far below any potential LRPs</w:t>
      </w:r>
      <w:r w:rsidR="007B57EB" w:rsidRPr="004635E5">
        <w:rPr>
          <w:rFonts w:eastAsia="Batang"/>
          <w:sz w:val="22"/>
          <w:szCs w:val="22"/>
          <w:lang w:val="en-NZ" w:eastAsia="ko-KR"/>
        </w:rPr>
        <w:t xml:space="preserve"> the stock remains. While noting that an increase is allowed within the rebuilding plan, FFA members recommend a precautionary approach to catch limit increases.</w:t>
      </w:r>
      <w:r w:rsidRPr="004635E5">
        <w:rPr>
          <w:rFonts w:eastAsia="Batang"/>
          <w:sz w:val="22"/>
          <w:szCs w:val="22"/>
          <w:lang w:val="en-NZ" w:eastAsia="ko-KR"/>
        </w:rPr>
        <w:t xml:space="preserve"> Japan</w:t>
      </w:r>
      <w:r w:rsidR="00B10F53" w:rsidRPr="004635E5">
        <w:rPr>
          <w:rFonts w:eastAsia="Batang"/>
          <w:sz w:val="22"/>
          <w:szCs w:val="22"/>
          <w:lang w:val="en-NZ" w:eastAsia="ko-KR"/>
        </w:rPr>
        <w:t xml:space="preserve"> </w:t>
      </w:r>
      <w:r w:rsidRPr="004635E5">
        <w:rPr>
          <w:rFonts w:eastAsia="Batang"/>
          <w:sz w:val="22"/>
          <w:szCs w:val="22"/>
          <w:lang w:val="en-NZ" w:eastAsia="ko-KR"/>
        </w:rPr>
        <w:t>comment</w:t>
      </w:r>
      <w:r w:rsidR="00B10F53" w:rsidRPr="004635E5">
        <w:rPr>
          <w:rFonts w:eastAsia="Batang"/>
          <w:sz w:val="22"/>
          <w:szCs w:val="22"/>
          <w:lang w:val="en-NZ" w:eastAsia="ko-KR"/>
        </w:rPr>
        <w:t>ed</w:t>
      </w:r>
      <w:r w:rsidRPr="004635E5">
        <w:rPr>
          <w:rFonts w:eastAsia="Batang"/>
          <w:sz w:val="22"/>
          <w:szCs w:val="22"/>
          <w:lang w:val="en-NZ" w:eastAsia="ko-KR"/>
        </w:rPr>
        <w:t xml:space="preserve"> on recruitment estimates</w:t>
      </w:r>
      <w:r w:rsidR="00B10F53" w:rsidRPr="004635E5">
        <w:rPr>
          <w:rFonts w:eastAsia="Batang"/>
          <w:sz w:val="22"/>
          <w:szCs w:val="22"/>
          <w:lang w:val="en-NZ" w:eastAsia="ko-KR"/>
        </w:rPr>
        <w:t>, noting ISG disc</w:t>
      </w:r>
      <w:r w:rsidRPr="004635E5">
        <w:rPr>
          <w:rFonts w:eastAsia="Batang"/>
          <w:sz w:val="22"/>
          <w:szCs w:val="22"/>
          <w:lang w:val="en-NZ" w:eastAsia="ko-KR"/>
        </w:rPr>
        <w:t>ussed recruitment index</w:t>
      </w:r>
      <w:r w:rsidR="00B10F53" w:rsidRPr="004635E5">
        <w:rPr>
          <w:rFonts w:eastAsia="Batang"/>
          <w:sz w:val="22"/>
          <w:szCs w:val="22"/>
          <w:lang w:val="en-NZ" w:eastAsia="ko-KR"/>
        </w:rPr>
        <w:t xml:space="preserve"> variability</w:t>
      </w:r>
      <w:r w:rsidRPr="004635E5">
        <w:rPr>
          <w:rFonts w:eastAsia="Batang"/>
          <w:sz w:val="22"/>
          <w:szCs w:val="22"/>
          <w:lang w:val="en-NZ" w:eastAsia="ko-KR"/>
        </w:rPr>
        <w:t xml:space="preserve"> that infl</w:t>
      </w:r>
      <w:r w:rsidR="00B10F53" w:rsidRPr="004635E5">
        <w:rPr>
          <w:rFonts w:eastAsia="Batang"/>
          <w:sz w:val="22"/>
          <w:szCs w:val="22"/>
          <w:lang w:val="en-NZ" w:eastAsia="ko-KR"/>
        </w:rPr>
        <w:t>ated</w:t>
      </w:r>
      <w:r w:rsidRPr="004635E5">
        <w:rPr>
          <w:rFonts w:eastAsia="Batang"/>
          <w:sz w:val="22"/>
          <w:szCs w:val="22"/>
          <w:lang w:val="en-NZ" w:eastAsia="ko-KR"/>
        </w:rPr>
        <w:t xml:space="preserve"> recruitment est</w:t>
      </w:r>
      <w:r w:rsidR="00B10F53" w:rsidRPr="004635E5">
        <w:rPr>
          <w:rFonts w:eastAsia="Batang"/>
          <w:sz w:val="22"/>
          <w:szCs w:val="22"/>
          <w:lang w:val="en-NZ" w:eastAsia="ko-KR"/>
        </w:rPr>
        <w:t>imates</w:t>
      </w:r>
      <w:r w:rsidRPr="004635E5">
        <w:rPr>
          <w:rFonts w:eastAsia="Batang"/>
          <w:sz w:val="22"/>
          <w:szCs w:val="22"/>
          <w:lang w:val="en-NZ" w:eastAsia="ko-KR"/>
        </w:rPr>
        <w:t>.</w:t>
      </w:r>
      <w:r w:rsidR="00A3528A" w:rsidRPr="004635E5">
        <w:rPr>
          <w:rFonts w:eastAsia="Batang"/>
          <w:sz w:val="22"/>
          <w:szCs w:val="22"/>
          <w:lang w:val="en-NZ" w:eastAsia="ko-KR"/>
        </w:rPr>
        <w:t xml:space="preserve"> They noted they had confirmed consistency among the recruitment indices — </w:t>
      </w:r>
      <w:r w:rsidR="00A3528A" w:rsidRPr="004635E5">
        <w:rPr>
          <w:rFonts w:eastAsia="Batang"/>
          <w:sz w:val="22"/>
          <w:szCs w:val="22"/>
          <w:lang w:eastAsia="ko-KR"/>
        </w:rPr>
        <w:t xml:space="preserve">2016 had slightly larger estimation error, and that was incorporated in the projection. The management information only provided those projections that the </w:t>
      </w:r>
      <w:r w:rsidR="002F7711">
        <w:rPr>
          <w:rFonts w:eastAsia="Batang"/>
          <w:sz w:val="22"/>
          <w:szCs w:val="22"/>
          <w:lang w:eastAsia="ko-KR"/>
        </w:rPr>
        <w:t>C</w:t>
      </w:r>
      <w:r w:rsidR="00A3528A" w:rsidRPr="004635E5">
        <w:rPr>
          <w:rFonts w:eastAsia="Batang"/>
          <w:sz w:val="22"/>
          <w:szCs w:val="22"/>
          <w:lang w:eastAsia="ko-KR"/>
        </w:rPr>
        <w:t>ommission could consider (to limit catch or not)</w:t>
      </w:r>
      <w:r w:rsidR="00A16680" w:rsidRPr="004635E5">
        <w:rPr>
          <w:rFonts w:eastAsia="Batang"/>
          <w:sz w:val="22"/>
          <w:szCs w:val="22"/>
          <w:lang w:eastAsia="ko-KR"/>
        </w:rPr>
        <w:t xml:space="preserve">. </w:t>
      </w:r>
      <w:r w:rsidR="00E00949" w:rsidRPr="004635E5">
        <w:rPr>
          <w:rFonts w:eastAsia="Batang"/>
          <w:sz w:val="22"/>
          <w:szCs w:val="22"/>
          <w:lang w:val="en-NZ" w:eastAsia="ko-KR"/>
        </w:rPr>
        <w:t xml:space="preserve">  </w:t>
      </w:r>
    </w:p>
    <w:p w14:paraId="13021D81" w14:textId="77777777" w:rsidR="00DF66D5" w:rsidRPr="004635E5" w:rsidRDefault="00DF66D5" w:rsidP="006633A8">
      <w:pPr>
        <w:autoSpaceDE w:val="0"/>
        <w:autoSpaceDN w:val="0"/>
        <w:adjustRightInd w:val="0"/>
        <w:snapToGrid w:val="0"/>
        <w:jc w:val="both"/>
        <w:rPr>
          <w:rFonts w:eastAsia="Batang"/>
          <w:sz w:val="22"/>
          <w:szCs w:val="22"/>
          <w:lang w:val="en-NZ" w:eastAsia="ko-KR"/>
        </w:rPr>
      </w:pPr>
    </w:p>
    <w:p w14:paraId="5332A305" w14:textId="77777777" w:rsidR="00B10F53" w:rsidRPr="004635E5" w:rsidRDefault="00270656" w:rsidP="00580EA4">
      <w:pPr>
        <w:numPr>
          <w:ilvl w:val="0"/>
          <w:numId w:val="18"/>
        </w:numPr>
        <w:autoSpaceDE w:val="0"/>
        <w:autoSpaceDN w:val="0"/>
        <w:adjustRightInd w:val="0"/>
        <w:snapToGrid w:val="0"/>
        <w:ind w:left="0" w:firstLine="0"/>
        <w:jc w:val="both"/>
        <w:rPr>
          <w:rFonts w:eastAsia="Batang"/>
          <w:b/>
          <w:sz w:val="22"/>
          <w:szCs w:val="22"/>
          <w:lang w:val="en-NZ" w:eastAsia="ko-KR"/>
        </w:rPr>
      </w:pPr>
      <w:r w:rsidRPr="004635E5">
        <w:rPr>
          <w:rFonts w:eastAsia="Batang"/>
          <w:sz w:val="22"/>
          <w:szCs w:val="22"/>
          <w:lang w:val="en-NZ" w:eastAsia="ko-KR"/>
        </w:rPr>
        <w:t xml:space="preserve">Marshall Islands, on behalf of </w:t>
      </w:r>
      <w:r w:rsidR="000A3D35" w:rsidRPr="004635E5">
        <w:rPr>
          <w:rFonts w:eastAsia="Batang"/>
          <w:sz w:val="22"/>
          <w:szCs w:val="22"/>
          <w:lang w:val="en-NZ" w:eastAsia="ko-KR"/>
        </w:rPr>
        <w:t>PNA members</w:t>
      </w:r>
      <w:r w:rsidRPr="004635E5">
        <w:rPr>
          <w:rFonts w:eastAsia="Batang"/>
          <w:sz w:val="22"/>
          <w:szCs w:val="22"/>
          <w:lang w:val="en-NZ" w:eastAsia="ko-KR"/>
        </w:rPr>
        <w:t>,</w:t>
      </w:r>
      <w:r w:rsidR="000A3D35" w:rsidRPr="004635E5">
        <w:rPr>
          <w:rFonts w:eastAsia="Batang"/>
          <w:sz w:val="22"/>
          <w:szCs w:val="22"/>
          <w:lang w:val="en-NZ" w:eastAsia="ko-KR"/>
        </w:rPr>
        <w:t xml:space="preserve"> support</w:t>
      </w:r>
      <w:r w:rsidRPr="004635E5">
        <w:rPr>
          <w:rFonts w:eastAsia="Batang"/>
          <w:sz w:val="22"/>
          <w:szCs w:val="22"/>
          <w:lang w:val="en-NZ" w:eastAsia="ko-KR"/>
        </w:rPr>
        <w:t>ed</w:t>
      </w:r>
      <w:r w:rsidR="000A3D35" w:rsidRPr="004635E5">
        <w:rPr>
          <w:rFonts w:eastAsia="Batang"/>
          <w:sz w:val="22"/>
          <w:szCs w:val="22"/>
          <w:lang w:val="en-NZ" w:eastAsia="ko-KR"/>
        </w:rPr>
        <w:t xml:space="preserve"> implement</w:t>
      </w:r>
      <w:r w:rsidRPr="004635E5">
        <w:rPr>
          <w:rFonts w:eastAsia="Batang"/>
          <w:sz w:val="22"/>
          <w:szCs w:val="22"/>
          <w:lang w:val="en-NZ" w:eastAsia="ko-KR"/>
        </w:rPr>
        <w:t>ation of</w:t>
      </w:r>
      <w:r w:rsidR="000A3D35" w:rsidRPr="004635E5">
        <w:rPr>
          <w:rFonts w:eastAsia="Batang"/>
          <w:sz w:val="22"/>
          <w:szCs w:val="22"/>
          <w:lang w:val="en-NZ" w:eastAsia="ko-KR"/>
        </w:rPr>
        <w:t xml:space="preserve"> the harvest strategy for </w:t>
      </w:r>
      <w:r w:rsidRPr="004635E5">
        <w:rPr>
          <w:rFonts w:eastAsia="Batang"/>
          <w:sz w:val="22"/>
          <w:szCs w:val="22"/>
          <w:lang w:val="en-NZ" w:eastAsia="ko-KR"/>
        </w:rPr>
        <w:t>b</w:t>
      </w:r>
      <w:r w:rsidR="000A3D35" w:rsidRPr="004635E5">
        <w:rPr>
          <w:rFonts w:eastAsia="Batang"/>
          <w:sz w:val="22"/>
          <w:szCs w:val="22"/>
          <w:lang w:val="en-NZ" w:eastAsia="ko-KR"/>
        </w:rPr>
        <w:t xml:space="preserve">luefin that was agreed to </w:t>
      </w:r>
      <w:r w:rsidRPr="004635E5">
        <w:rPr>
          <w:rFonts w:eastAsia="Batang"/>
          <w:sz w:val="22"/>
          <w:szCs w:val="22"/>
          <w:lang w:val="en-NZ" w:eastAsia="ko-KR"/>
        </w:rPr>
        <w:t>by WCPFC14</w:t>
      </w:r>
      <w:r w:rsidR="000A3D35" w:rsidRPr="004635E5">
        <w:rPr>
          <w:rFonts w:eastAsia="Batang"/>
          <w:sz w:val="22"/>
          <w:szCs w:val="22"/>
          <w:lang w:val="en-NZ" w:eastAsia="ko-KR"/>
        </w:rPr>
        <w:t>. </w:t>
      </w:r>
      <w:r w:rsidRPr="004635E5">
        <w:rPr>
          <w:rFonts w:eastAsia="Batang"/>
          <w:sz w:val="22"/>
          <w:szCs w:val="22"/>
          <w:lang w:val="en-NZ" w:eastAsia="ko-KR"/>
        </w:rPr>
        <w:t xml:space="preserve">They </w:t>
      </w:r>
      <w:r w:rsidR="000A3D35" w:rsidRPr="004635E5">
        <w:rPr>
          <w:rFonts w:eastAsia="Batang"/>
          <w:sz w:val="22"/>
          <w:szCs w:val="22"/>
          <w:lang w:val="en-NZ" w:eastAsia="ko-KR"/>
        </w:rPr>
        <w:t>encourage</w:t>
      </w:r>
      <w:r w:rsidRPr="004635E5">
        <w:rPr>
          <w:rFonts w:eastAsia="Batang"/>
          <w:sz w:val="22"/>
          <w:szCs w:val="22"/>
          <w:lang w:val="en-NZ" w:eastAsia="ko-KR"/>
        </w:rPr>
        <w:t>d</w:t>
      </w:r>
      <w:r w:rsidR="000A3D35" w:rsidRPr="004635E5">
        <w:rPr>
          <w:rFonts w:eastAsia="Batang"/>
          <w:sz w:val="22"/>
          <w:szCs w:val="22"/>
          <w:lang w:val="en-NZ" w:eastAsia="ko-KR"/>
        </w:rPr>
        <w:t xml:space="preserve"> the NC to exercise greater caution than the harvest strategy allows. In addition, PNA members note</w:t>
      </w:r>
      <w:r w:rsidRPr="004635E5">
        <w:rPr>
          <w:rFonts w:eastAsia="Batang"/>
          <w:sz w:val="22"/>
          <w:szCs w:val="22"/>
          <w:lang w:val="en-NZ" w:eastAsia="ko-KR"/>
        </w:rPr>
        <w:t>d</w:t>
      </w:r>
      <w:r w:rsidR="000A3D35" w:rsidRPr="004635E5">
        <w:rPr>
          <w:rFonts w:eastAsia="Batang"/>
          <w:sz w:val="22"/>
          <w:szCs w:val="22"/>
          <w:lang w:val="en-NZ" w:eastAsia="ko-KR"/>
        </w:rPr>
        <w:t xml:space="preserve"> the </w:t>
      </w:r>
      <w:r w:rsidRPr="004635E5">
        <w:rPr>
          <w:rFonts w:eastAsia="Batang"/>
          <w:sz w:val="22"/>
          <w:szCs w:val="22"/>
          <w:lang w:val="en-NZ" w:eastAsia="ko-KR"/>
        </w:rPr>
        <w:t xml:space="preserve">very </w:t>
      </w:r>
      <w:r w:rsidR="000A3D35" w:rsidRPr="004635E5">
        <w:rPr>
          <w:rFonts w:eastAsia="Batang"/>
          <w:sz w:val="22"/>
          <w:szCs w:val="22"/>
          <w:lang w:val="en-NZ" w:eastAsia="ko-KR"/>
        </w:rPr>
        <w:t xml:space="preserve">different standards </w:t>
      </w:r>
      <w:r w:rsidRPr="004635E5">
        <w:rPr>
          <w:rFonts w:eastAsia="Batang"/>
          <w:sz w:val="22"/>
          <w:szCs w:val="22"/>
          <w:lang w:val="en-NZ" w:eastAsia="ko-KR"/>
        </w:rPr>
        <w:t xml:space="preserve">by which the </w:t>
      </w:r>
      <w:r w:rsidR="000A3D35" w:rsidRPr="004635E5">
        <w:rPr>
          <w:rFonts w:eastAsia="Batang"/>
          <w:sz w:val="22"/>
          <w:szCs w:val="22"/>
          <w:lang w:val="en-NZ" w:eastAsia="ko-KR"/>
        </w:rPr>
        <w:t xml:space="preserve">stock </w:t>
      </w:r>
      <w:r w:rsidRPr="004635E5">
        <w:rPr>
          <w:rFonts w:eastAsia="Batang"/>
          <w:sz w:val="22"/>
          <w:szCs w:val="22"/>
          <w:lang w:val="en-NZ" w:eastAsia="ko-KR"/>
        </w:rPr>
        <w:t xml:space="preserve">was </w:t>
      </w:r>
      <w:r w:rsidR="000A3D35" w:rsidRPr="004635E5">
        <w:rPr>
          <w:rFonts w:eastAsia="Batang"/>
          <w:sz w:val="22"/>
          <w:szCs w:val="22"/>
          <w:lang w:val="en-NZ" w:eastAsia="ko-KR"/>
        </w:rPr>
        <w:t xml:space="preserve">assessed and managed compared to the tropical stocks important for </w:t>
      </w:r>
      <w:r w:rsidRPr="004635E5">
        <w:rPr>
          <w:rFonts w:eastAsia="Batang"/>
          <w:sz w:val="22"/>
          <w:szCs w:val="22"/>
          <w:lang w:val="en-NZ" w:eastAsia="ko-KR"/>
        </w:rPr>
        <w:t xml:space="preserve">the </w:t>
      </w:r>
      <w:r w:rsidR="000A3D35" w:rsidRPr="004635E5">
        <w:rPr>
          <w:rFonts w:eastAsia="Batang"/>
          <w:sz w:val="22"/>
          <w:szCs w:val="22"/>
          <w:lang w:val="en-NZ" w:eastAsia="ko-KR"/>
        </w:rPr>
        <w:t>PNA</w:t>
      </w:r>
      <w:r w:rsidRPr="004635E5">
        <w:rPr>
          <w:rFonts w:eastAsia="Batang"/>
          <w:sz w:val="22"/>
          <w:szCs w:val="22"/>
          <w:lang w:val="en-NZ" w:eastAsia="ko-KR"/>
        </w:rPr>
        <w:t>, noting their</w:t>
      </w:r>
      <w:r w:rsidR="000A3D35" w:rsidRPr="004635E5">
        <w:rPr>
          <w:rFonts w:eastAsia="Batang"/>
          <w:sz w:val="22"/>
          <w:szCs w:val="22"/>
          <w:lang w:val="en-NZ" w:eastAsia="ko-KR"/>
        </w:rPr>
        <w:t xml:space="preserve"> understand</w:t>
      </w:r>
      <w:r w:rsidRPr="004635E5">
        <w:rPr>
          <w:rFonts w:eastAsia="Batang"/>
          <w:sz w:val="22"/>
          <w:szCs w:val="22"/>
          <w:lang w:val="en-NZ" w:eastAsia="ko-KR"/>
        </w:rPr>
        <w:t>ing of</w:t>
      </w:r>
      <w:r w:rsidR="000A3D35" w:rsidRPr="004635E5">
        <w:rPr>
          <w:rFonts w:eastAsia="Batang"/>
          <w:sz w:val="22"/>
          <w:szCs w:val="22"/>
          <w:lang w:val="en-NZ" w:eastAsia="ko-KR"/>
        </w:rPr>
        <w:t xml:space="preserve"> why this </w:t>
      </w:r>
      <w:r w:rsidRPr="004635E5">
        <w:rPr>
          <w:rFonts w:eastAsia="Batang"/>
          <w:sz w:val="22"/>
          <w:szCs w:val="22"/>
          <w:lang w:val="en-NZ" w:eastAsia="ko-KR"/>
        </w:rPr>
        <w:t xml:space="preserve">was </w:t>
      </w:r>
      <w:r w:rsidR="000A3D35" w:rsidRPr="004635E5">
        <w:rPr>
          <w:rFonts w:eastAsia="Batang"/>
          <w:sz w:val="22"/>
          <w:szCs w:val="22"/>
          <w:lang w:val="en-NZ" w:eastAsia="ko-KR"/>
        </w:rPr>
        <w:t>important to various NC members</w:t>
      </w:r>
      <w:r w:rsidRPr="004635E5">
        <w:rPr>
          <w:rFonts w:eastAsia="Batang"/>
          <w:sz w:val="22"/>
          <w:szCs w:val="22"/>
          <w:lang w:val="en-NZ" w:eastAsia="ko-KR"/>
        </w:rPr>
        <w:t>;</w:t>
      </w:r>
      <w:r w:rsidR="000A3D35" w:rsidRPr="004635E5">
        <w:rPr>
          <w:rFonts w:eastAsia="Batang"/>
          <w:sz w:val="22"/>
          <w:szCs w:val="22"/>
          <w:lang w:val="en-NZ" w:eastAsia="ko-KR"/>
        </w:rPr>
        <w:t xml:space="preserve"> </w:t>
      </w:r>
      <w:r w:rsidRPr="004635E5">
        <w:rPr>
          <w:rFonts w:eastAsia="Batang"/>
          <w:sz w:val="22"/>
          <w:szCs w:val="22"/>
          <w:lang w:val="en-NZ" w:eastAsia="ko-KR"/>
        </w:rPr>
        <w:t xml:space="preserve">they sought </w:t>
      </w:r>
      <w:r w:rsidR="000A3D35" w:rsidRPr="004635E5">
        <w:rPr>
          <w:rFonts w:eastAsia="Batang"/>
          <w:sz w:val="22"/>
          <w:szCs w:val="22"/>
          <w:lang w:val="en-NZ" w:eastAsia="ko-KR"/>
        </w:rPr>
        <w:t xml:space="preserve">a compatible level of understanding from those members when </w:t>
      </w:r>
      <w:r w:rsidRPr="004635E5">
        <w:rPr>
          <w:rFonts w:eastAsia="Batang"/>
          <w:sz w:val="22"/>
          <w:szCs w:val="22"/>
          <w:lang w:val="en-NZ" w:eastAsia="ko-KR"/>
        </w:rPr>
        <w:t xml:space="preserve">making </w:t>
      </w:r>
      <w:r w:rsidR="000A3D35" w:rsidRPr="004635E5">
        <w:rPr>
          <w:rFonts w:eastAsia="Batang"/>
          <w:sz w:val="22"/>
          <w:szCs w:val="22"/>
          <w:lang w:val="en-NZ" w:eastAsia="ko-KR"/>
        </w:rPr>
        <w:t>management decision</w:t>
      </w:r>
      <w:r w:rsidRPr="004635E5">
        <w:rPr>
          <w:rFonts w:eastAsia="Batang"/>
          <w:sz w:val="22"/>
          <w:szCs w:val="22"/>
          <w:lang w:val="en-NZ" w:eastAsia="ko-KR"/>
        </w:rPr>
        <w:t>s</w:t>
      </w:r>
      <w:r w:rsidR="000A3D35" w:rsidRPr="004635E5">
        <w:rPr>
          <w:rFonts w:eastAsia="Batang"/>
          <w:sz w:val="22"/>
          <w:szCs w:val="22"/>
          <w:lang w:val="en-NZ" w:eastAsia="ko-KR"/>
        </w:rPr>
        <w:t xml:space="preserve"> making on tropical stocks. </w:t>
      </w:r>
    </w:p>
    <w:p w14:paraId="58A4E9C1" w14:textId="77777777" w:rsidR="00DF66D5" w:rsidRPr="004635E5" w:rsidRDefault="00DF66D5" w:rsidP="006633A8">
      <w:pPr>
        <w:autoSpaceDE w:val="0"/>
        <w:autoSpaceDN w:val="0"/>
        <w:adjustRightInd w:val="0"/>
        <w:snapToGrid w:val="0"/>
        <w:jc w:val="both"/>
        <w:rPr>
          <w:rFonts w:eastAsia="Batang"/>
          <w:b/>
          <w:sz w:val="22"/>
          <w:szCs w:val="22"/>
          <w:lang w:val="en-NZ" w:eastAsia="ko-KR"/>
        </w:rPr>
      </w:pPr>
    </w:p>
    <w:p w14:paraId="49A88361" w14:textId="77777777" w:rsidR="00073DD2" w:rsidRPr="00AC15B7" w:rsidRDefault="00073DD2" w:rsidP="00580EA4">
      <w:pPr>
        <w:pStyle w:val="SC3"/>
        <w:numPr>
          <w:ilvl w:val="3"/>
          <w:numId w:val="161"/>
        </w:numPr>
        <w:spacing w:after="0"/>
        <w:rPr>
          <w:rFonts w:eastAsia="Batang"/>
          <w:lang w:eastAsia="ko-KR"/>
        </w:rPr>
      </w:pPr>
      <w:r w:rsidRPr="00AC15B7">
        <w:rPr>
          <w:rFonts w:eastAsia="Batang"/>
          <w:lang w:eastAsia="ko-KR"/>
        </w:rPr>
        <w:t>Provision of scientific information</w:t>
      </w:r>
    </w:p>
    <w:p w14:paraId="60C4FA27" w14:textId="77777777" w:rsidR="00DF66D5" w:rsidRPr="00AC15B7" w:rsidRDefault="00DF66D5" w:rsidP="006633A8">
      <w:pPr>
        <w:pStyle w:val="SC3"/>
        <w:numPr>
          <w:ilvl w:val="0"/>
          <w:numId w:val="0"/>
        </w:numPr>
        <w:spacing w:after="0"/>
        <w:ind w:left="1800"/>
        <w:rPr>
          <w:rFonts w:eastAsia="Batang"/>
          <w:lang w:eastAsia="ko-KR"/>
        </w:rPr>
      </w:pPr>
    </w:p>
    <w:p w14:paraId="7FBD82CE" w14:textId="77777777" w:rsidR="00DF66D5" w:rsidRPr="00AC15B7" w:rsidRDefault="005625C8" w:rsidP="00BD29C2">
      <w:pPr>
        <w:pStyle w:val="SCa"/>
        <w:tabs>
          <w:tab w:val="clear" w:pos="1080"/>
        </w:tabs>
        <w:spacing w:after="0"/>
        <w:ind w:left="0"/>
        <w:rPr>
          <w:lang w:val="en-NZ"/>
        </w:rPr>
      </w:pPr>
      <w:r w:rsidRPr="00AC15B7">
        <w:rPr>
          <w:lang w:val="en-NZ"/>
        </w:rPr>
        <w:t>a.</w:t>
      </w:r>
      <w:r w:rsidRPr="00AC15B7">
        <w:rPr>
          <w:lang w:val="en-NZ"/>
        </w:rPr>
        <w:tab/>
      </w:r>
      <w:r w:rsidR="00CB1BA6" w:rsidRPr="00AC15B7">
        <w:rPr>
          <w:lang w:val="en-NZ"/>
        </w:rPr>
        <w:t>Stock status and trends</w:t>
      </w:r>
    </w:p>
    <w:p w14:paraId="24501478" w14:textId="77777777" w:rsidR="00DF66D5" w:rsidRPr="00AC15B7" w:rsidRDefault="00DF66D5" w:rsidP="006633A8">
      <w:pPr>
        <w:pStyle w:val="SCa"/>
        <w:spacing w:after="0"/>
        <w:rPr>
          <w:lang w:val="en-NZ"/>
        </w:rPr>
      </w:pPr>
    </w:p>
    <w:p w14:paraId="2F2E0E58" w14:textId="77777777" w:rsidR="00CB1BA6" w:rsidRPr="00AC15B7" w:rsidRDefault="00CB1BA6" w:rsidP="00580EA4">
      <w:pPr>
        <w:numPr>
          <w:ilvl w:val="0"/>
          <w:numId w:val="18"/>
        </w:numPr>
        <w:autoSpaceDE w:val="0"/>
        <w:autoSpaceDN w:val="0"/>
        <w:adjustRightInd w:val="0"/>
        <w:snapToGrid w:val="0"/>
        <w:ind w:left="0" w:firstLine="0"/>
        <w:jc w:val="both"/>
        <w:rPr>
          <w:rFonts w:eastAsia="MS Mincho"/>
          <w:b/>
          <w:sz w:val="22"/>
          <w:szCs w:val="22"/>
          <w:lang w:val="en-NZ" w:eastAsia="en-NZ"/>
        </w:rPr>
      </w:pPr>
      <w:r w:rsidRPr="00AC15B7">
        <w:rPr>
          <w:rFonts w:eastAsia="MS Mincho"/>
          <w:b/>
          <w:sz w:val="22"/>
          <w:szCs w:val="22"/>
          <w:lang w:eastAsia="ja-JP"/>
        </w:rPr>
        <w:t>SC14</w:t>
      </w:r>
      <w:r w:rsidRPr="00AC15B7">
        <w:rPr>
          <w:rFonts w:eastAsia="MS Mincho"/>
          <w:b/>
          <w:sz w:val="22"/>
          <w:szCs w:val="22"/>
          <w:lang w:val="en-NZ" w:eastAsia="en-NZ"/>
        </w:rPr>
        <w:t xml:space="preserve"> noted that ISC provided the following conclusions on the stock status of Pacific bluefin tuna.</w:t>
      </w:r>
    </w:p>
    <w:p w14:paraId="14E91C24" w14:textId="77777777" w:rsidR="00DF66D5" w:rsidRPr="00AC15B7" w:rsidRDefault="00DF66D5" w:rsidP="006633A8">
      <w:pPr>
        <w:autoSpaceDE w:val="0"/>
        <w:autoSpaceDN w:val="0"/>
        <w:adjustRightInd w:val="0"/>
        <w:snapToGrid w:val="0"/>
        <w:jc w:val="both"/>
        <w:rPr>
          <w:rFonts w:eastAsia="MS Mincho"/>
          <w:sz w:val="22"/>
          <w:szCs w:val="22"/>
          <w:lang w:val="en-NZ" w:eastAsia="en-NZ"/>
        </w:rPr>
      </w:pPr>
    </w:p>
    <w:p w14:paraId="4DE94035" w14:textId="55439F62" w:rsidR="00270656" w:rsidRPr="004635E5" w:rsidRDefault="00270656" w:rsidP="006633A8">
      <w:pPr>
        <w:autoSpaceDE w:val="0"/>
        <w:autoSpaceDN w:val="0"/>
        <w:adjustRightInd w:val="0"/>
        <w:snapToGrid w:val="0"/>
        <w:ind w:left="720"/>
        <w:jc w:val="both"/>
        <w:rPr>
          <w:rFonts w:eastAsia="MS Mincho"/>
          <w:sz w:val="22"/>
          <w:szCs w:val="22"/>
          <w:lang w:eastAsia="en-NZ"/>
        </w:rPr>
      </w:pPr>
      <w:r w:rsidRPr="00AC15B7">
        <w:rPr>
          <w:rFonts w:eastAsia="MS Mincho"/>
          <w:sz w:val="22"/>
          <w:szCs w:val="22"/>
          <w:lang w:eastAsia="en-NZ"/>
        </w:rPr>
        <w:t>The base-case model results show that: (1) SSB fluctuated throughout the assessment period, (2) SSB steadily declined from 1996 to 2010; and (3) the slow increase of the stock continues since 2011 including the most recent two years (2015-2016). Based on the model diagnostics, the</w:t>
      </w:r>
      <w:r w:rsidRPr="004635E5">
        <w:rPr>
          <w:rFonts w:eastAsia="MS Mincho"/>
          <w:sz w:val="22"/>
          <w:szCs w:val="22"/>
          <w:lang w:eastAsia="en-NZ"/>
        </w:rPr>
        <w:t xml:space="preserve"> estimated biomass trend for the last 30 years is considered robust although SSB prior to the 1980s is uncertain due to data limitations. Using the base-case model, the 2016 SSB (terminal year) was estimated to be around 21,000 t in the 2018 assessment, which is an increase from 19,000 t in 2014 (</w:t>
      </w:r>
      <w:r w:rsidR="00472973" w:rsidRPr="004635E5">
        <w:rPr>
          <w:rFonts w:eastAsia="MS Mincho"/>
          <w:sz w:val="22"/>
          <w:szCs w:val="22"/>
          <w:lang w:eastAsia="en-NZ"/>
        </w:rPr>
        <w:fldChar w:fldCharType="begin"/>
      </w:r>
      <w:r w:rsidRPr="004635E5">
        <w:rPr>
          <w:rFonts w:eastAsia="MS Mincho"/>
          <w:sz w:val="22"/>
          <w:szCs w:val="22"/>
          <w:lang w:eastAsia="en-NZ"/>
        </w:rPr>
        <w:instrText xml:space="preserve"> REF _Ref519184275 \h </w:instrText>
      </w:r>
      <w:r w:rsidR="004635E5" w:rsidRPr="004635E5">
        <w:rPr>
          <w:rFonts w:eastAsia="MS Mincho"/>
          <w:sz w:val="22"/>
          <w:szCs w:val="22"/>
          <w:lang w:eastAsia="en-NZ"/>
        </w:rPr>
        <w:instrText xml:space="preserve"> \* MERGEFORMAT </w:instrText>
      </w:r>
      <w:r w:rsidR="00472973" w:rsidRPr="004635E5">
        <w:rPr>
          <w:rFonts w:eastAsia="MS Mincho"/>
          <w:sz w:val="22"/>
          <w:szCs w:val="22"/>
          <w:lang w:eastAsia="en-NZ"/>
        </w:rPr>
      </w:r>
      <w:r w:rsidR="00472973" w:rsidRPr="004635E5">
        <w:rPr>
          <w:rFonts w:eastAsia="MS Mincho"/>
          <w:sz w:val="22"/>
          <w:szCs w:val="22"/>
          <w:lang w:eastAsia="en-NZ"/>
        </w:rPr>
        <w:fldChar w:fldCharType="separate"/>
      </w:r>
      <w:r w:rsidR="00117A6F" w:rsidRPr="004635E5">
        <w:rPr>
          <w:rFonts w:eastAsia="MS Mincho"/>
          <w:b/>
          <w:bCs/>
          <w:sz w:val="22"/>
          <w:szCs w:val="22"/>
          <w:lang w:eastAsia="en-NZ"/>
        </w:rPr>
        <w:t>Table PBF</w:t>
      </w:r>
      <w:r w:rsidR="00117A6F" w:rsidRPr="004635E5">
        <w:rPr>
          <w:rFonts w:eastAsia="MS Mincho"/>
          <w:b/>
          <w:bCs/>
          <w:sz w:val="22"/>
          <w:szCs w:val="22"/>
          <w:lang w:eastAsia="en-NZ"/>
        </w:rPr>
        <w:noBreakHyphen/>
        <w:t>1</w:t>
      </w:r>
      <w:r w:rsidR="00472973" w:rsidRPr="004635E5">
        <w:rPr>
          <w:rFonts w:eastAsia="MS Mincho"/>
          <w:sz w:val="22"/>
          <w:szCs w:val="22"/>
          <w:lang w:val="en-NZ" w:eastAsia="en-NZ"/>
        </w:rPr>
        <w:fldChar w:fldCharType="end"/>
      </w:r>
      <w:r w:rsidRPr="004635E5">
        <w:rPr>
          <w:rFonts w:eastAsia="MS Mincho"/>
          <w:sz w:val="22"/>
          <w:szCs w:val="22"/>
          <w:lang w:eastAsia="en-NZ"/>
        </w:rPr>
        <w:t xml:space="preserve"> and </w:t>
      </w:r>
      <w:r w:rsidR="00472973" w:rsidRPr="004635E5">
        <w:rPr>
          <w:rFonts w:eastAsia="MS Mincho"/>
          <w:sz w:val="22"/>
          <w:szCs w:val="22"/>
          <w:lang w:eastAsia="en-NZ"/>
        </w:rPr>
        <w:fldChar w:fldCharType="begin"/>
      </w:r>
      <w:r w:rsidRPr="004635E5">
        <w:rPr>
          <w:rFonts w:eastAsia="MS Mincho"/>
          <w:sz w:val="22"/>
          <w:szCs w:val="22"/>
          <w:lang w:eastAsia="en-NZ"/>
        </w:rPr>
        <w:instrText xml:space="preserve"> REF _Ref519184300 \h </w:instrText>
      </w:r>
      <w:r w:rsidR="004635E5" w:rsidRPr="004635E5">
        <w:rPr>
          <w:rFonts w:eastAsia="MS Mincho"/>
          <w:sz w:val="22"/>
          <w:szCs w:val="22"/>
          <w:lang w:eastAsia="en-NZ"/>
        </w:rPr>
        <w:instrText xml:space="preserve"> \* MERGEFORMAT </w:instrText>
      </w:r>
      <w:r w:rsidR="00472973" w:rsidRPr="004635E5">
        <w:rPr>
          <w:rFonts w:eastAsia="MS Mincho"/>
          <w:sz w:val="22"/>
          <w:szCs w:val="22"/>
          <w:lang w:eastAsia="en-NZ"/>
        </w:rPr>
      </w:r>
      <w:r w:rsidR="00472973" w:rsidRPr="004635E5">
        <w:rPr>
          <w:rFonts w:eastAsia="MS Mincho"/>
          <w:sz w:val="22"/>
          <w:szCs w:val="22"/>
          <w:lang w:eastAsia="en-NZ"/>
        </w:rPr>
        <w:fldChar w:fldCharType="separate"/>
      </w:r>
      <w:r w:rsidR="00117A6F" w:rsidRPr="004635E5">
        <w:rPr>
          <w:rFonts w:eastAsia="MS Mincho"/>
          <w:b/>
          <w:bCs/>
          <w:sz w:val="22"/>
          <w:szCs w:val="22"/>
          <w:lang w:eastAsia="en-NZ"/>
        </w:rPr>
        <w:t>Figure PBF-1</w:t>
      </w:r>
      <w:r w:rsidR="00472973" w:rsidRPr="004635E5">
        <w:rPr>
          <w:rFonts w:eastAsia="MS Mincho"/>
          <w:sz w:val="22"/>
          <w:szCs w:val="22"/>
          <w:lang w:val="en-NZ" w:eastAsia="en-NZ"/>
        </w:rPr>
        <w:fldChar w:fldCharType="end"/>
      </w:r>
      <w:r w:rsidR="00122DC5" w:rsidRPr="004635E5">
        <w:rPr>
          <w:rFonts w:eastAsia="MS Mincho"/>
          <w:sz w:val="22"/>
          <w:szCs w:val="22"/>
          <w:lang w:val="en-NZ" w:eastAsia="en-NZ"/>
        </w:rPr>
        <w:t>1</w:t>
      </w:r>
      <w:r w:rsidRPr="004635E5">
        <w:rPr>
          <w:rFonts w:eastAsia="MS Mincho"/>
          <w:sz w:val="22"/>
          <w:szCs w:val="22"/>
          <w:lang w:eastAsia="en-NZ"/>
        </w:rPr>
        <w:t xml:space="preserve">). </w:t>
      </w:r>
    </w:p>
    <w:p w14:paraId="085114C3" w14:textId="77777777" w:rsidR="00826141" w:rsidRPr="004635E5" w:rsidRDefault="00826141" w:rsidP="006633A8">
      <w:pPr>
        <w:autoSpaceDE w:val="0"/>
        <w:autoSpaceDN w:val="0"/>
        <w:adjustRightInd w:val="0"/>
        <w:snapToGrid w:val="0"/>
        <w:ind w:left="720"/>
        <w:jc w:val="both"/>
        <w:rPr>
          <w:rFonts w:eastAsia="MS Mincho"/>
          <w:sz w:val="22"/>
          <w:szCs w:val="22"/>
          <w:lang w:eastAsia="en-NZ"/>
        </w:rPr>
      </w:pPr>
    </w:p>
    <w:p w14:paraId="299638B6" w14:textId="2BB174C2" w:rsidR="00270656" w:rsidRPr="004635E5" w:rsidRDefault="00270656"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Historical recruitment estimates have fluctuated since 1952 without an apparent trend. The low recruitment levels estimated in 2010-2014 were a concern in the 2016 assessment. The 2015 recruitment estimate is lower than the historical average while the 2016 recruitment estimate (15.988 million fish) is higher than the historical average (13.402 million fish) (</w:t>
      </w:r>
      <w:r w:rsidR="00472973" w:rsidRPr="004635E5">
        <w:rPr>
          <w:rFonts w:eastAsia="MS Mincho"/>
          <w:sz w:val="22"/>
          <w:szCs w:val="22"/>
          <w:lang w:eastAsia="en-NZ"/>
        </w:rPr>
        <w:fldChar w:fldCharType="begin"/>
      </w:r>
      <w:r w:rsidRPr="004635E5">
        <w:rPr>
          <w:rFonts w:eastAsia="MS Mincho"/>
          <w:sz w:val="22"/>
          <w:szCs w:val="22"/>
          <w:lang w:eastAsia="en-NZ"/>
        </w:rPr>
        <w:instrText xml:space="preserve"> REF _Ref519184437 \h </w:instrText>
      </w:r>
      <w:r w:rsidR="004635E5" w:rsidRPr="004635E5">
        <w:rPr>
          <w:rFonts w:eastAsia="MS Mincho"/>
          <w:sz w:val="22"/>
          <w:szCs w:val="22"/>
          <w:lang w:eastAsia="en-NZ"/>
        </w:rPr>
        <w:instrText xml:space="preserve"> \* MERGEFORMAT </w:instrText>
      </w:r>
      <w:r w:rsidR="00472973" w:rsidRPr="004635E5">
        <w:rPr>
          <w:rFonts w:eastAsia="MS Mincho"/>
          <w:sz w:val="22"/>
          <w:szCs w:val="22"/>
          <w:lang w:eastAsia="en-NZ"/>
        </w:rPr>
      </w:r>
      <w:r w:rsidR="00472973" w:rsidRPr="004635E5">
        <w:rPr>
          <w:rFonts w:eastAsia="MS Mincho"/>
          <w:sz w:val="22"/>
          <w:szCs w:val="22"/>
          <w:lang w:eastAsia="en-NZ"/>
        </w:rPr>
        <w:fldChar w:fldCharType="separate"/>
      </w:r>
      <w:r w:rsidR="00117A6F" w:rsidRPr="004635E5">
        <w:rPr>
          <w:rFonts w:eastAsia="MS Mincho"/>
          <w:b/>
          <w:bCs/>
          <w:sz w:val="22"/>
          <w:szCs w:val="22"/>
          <w:lang w:eastAsia="en-NZ"/>
        </w:rPr>
        <w:t>Figure PBF-4</w:t>
      </w:r>
      <w:r w:rsidR="00472973" w:rsidRPr="004635E5">
        <w:rPr>
          <w:rFonts w:eastAsia="MS Mincho"/>
          <w:sz w:val="22"/>
          <w:szCs w:val="22"/>
          <w:lang w:val="en-NZ" w:eastAsia="en-NZ"/>
        </w:rPr>
        <w:fldChar w:fldCharType="end"/>
      </w:r>
      <w:r w:rsidRPr="004635E5">
        <w:rPr>
          <w:rFonts w:eastAsia="MS Mincho"/>
          <w:sz w:val="22"/>
          <w:szCs w:val="22"/>
          <w:lang w:eastAsia="en-NZ"/>
        </w:rPr>
        <w:t xml:space="preserve">, </w:t>
      </w:r>
      <w:r w:rsidR="00472973" w:rsidRPr="004635E5">
        <w:rPr>
          <w:rFonts w:eastAsia="MS Mincho"/>
          <w:sz w:val="22"/>
          <w:szCs w:val="22"/>
          <w:lang w:eastAsia="en-NZ"/>
        </w:rPr>
        <w:fldChar w:fldCharType="begin"/>
      </w:r>
      <w:r w:rsidRPr="004635E5">
        <w:rPr>
          <w:rFonts w:eastAsia="MS Mincho"/>
          <w:sz w:val="22"/>
          <w:szCs w:val="22"/>
          <w:lang w:eastAsia="en-NZ"/>
        </w:rPr>
        <w:instrText xml:space="preserve"> REF _Ref519184275 \h </w:instrText>
      </w:r>
      <w:r w:rsidR="004635E5" w:rsidRPr="004635E5">
        <w:rPr>
          <w:rFonts w:eastAsia="MS Mincho"/>
          <w:sz w:val="22"/>
          <w:szCs w:val="22"/>
          <w:lang w:eastAsia="en-NZ"/>
        </w:rPr>
        <w:instrText xml:space="preserve"> \* MERGEFORMAT </w:instrText>
      </w:r>
      <w:r w:rsidR="00472973" w:rsidRPr="004635E5">
        <w:rPr>
          <w:rFonts w:eastAsia="MS Mincho"/>
          <w:sz w:val="22"/>
          <w:szCs w:val="22"/>
          <w:lang w:eastAsia="en-NZ"/>
        </w:rPr>
      </w:r>
      <w:r w:rsidR="00472973" w:rsidRPr="004635E5">
        <w:rPr>
          <w:rFonts w:eastAsia="MS Mincho"/>
          <w:sz w:val="22"/>
          <w:szCs w:val="22"/>
          <w:lang w:eastAsia="en-NZ"/>
        </w:rPr>
        <w:fldChar w:fldCharType="separate"/>
      </w:r>
      <w:r w:rsidR="00117A6F" w:rsidRPr="004635E5">
        <w:rPr>
          <w:rFonts w:eastAsia="MS Mincho"/>
          <w:b/>
          <w:bCs/>
          <w:sz w:val="22"/>
          <w:szCs w:val="22"/>
          <w:lang w:eastAsia="en-NZ"/>
        </w:rPr>
        <w:t>Table PBF</w:t>
      </w:r>
      <w:r w:rsidR="00117A6F" w:rsidRPr="004635E5">
        <w:rPr>
          <w:rFonts w:eastAsia="MS Mincho"/>
          <w:b/>
          <w:bCs/>
          <w:sz w:val="22"/>
          <w:szCs w:val="22"/>
          <w:lang w:eastAsia="en-NZ"/>
        </w:rPr>
        <w:noBreakHyphen/>
        <w:t>1</w:t>
      </w:r>
      <w:r w:rsidR="00472973" w:rsidRPr="004635E5">
        <w:rPr>
          <w:rFonts w:eastAsia="MS Mincho"/>
          <w:sz w:val="22"/>
          <w:szCs w:val="22"/>
          <w:lang w:val="en-NZ" w:eastAsia="en-NZ"/>
        </w:rPr>
        <w:fldChar w:fldCharType="end"/>
      </w:r>
      <w:r w:rsidR="00122DC5" w:rsidRPr="004635E5">
        <w:rPr>
          <w:rFonts w:eastAsia="MS Mincho"/>
          <w:sz w:val="22"/>
          <w:szCs w:val="22"/>
          <w:lang w:val="en-NZ" w:eastAsia="en-NZ"/>
        </w:rPr>
        <w:t>-1</w:t>
      </w:r>
      <w:r w:rsidRPr="004635E5">
        <w:rPr>
          <w:rFonts w:eastAsia="MS Mincho"/>
          <w:sz w:val="22"/>
          <w:szCs w:val="22"/>
          <w:lang w:eastAsia="en-NZ"/>
        </w:rPr>
        <w:t>). The uncertainty of the 2016 recruitment estimate is higher than in previous years because it occurs in the terminal year of the assessment and is mainly informed by one observation from the troll age-0 CPUE index. The troll CPUE series has been shown to be a good predictor of recruitment, with no apparent retrospective error in the recruitment estimates of the terminal year given the current model construction. As the 2016 recruits grow and are observed by other fleets, the magnitude of this year class will be more precisely estimated in the next stock assessment. The above average recruitment estimated in 2016 had a positive impact on the projection results. </w:t>
      </w:r>
    </w:p>
    <w:p w14:paraId="030A569E" w14:textId="77777777" w:rsidR="00DF66D5" w:rsidRPr="004635E5" w:rsidRDefault="00DF66D5" w:rsidP="006633A8">
      <w:pPr>
        <w:autoSpaceDE w:val="0"/>
        <w:autoSpaceDN w:val="0"/>
        <w:adjustRightInd w:val="0"/>
        <w:snapToGrid w:val="0"/>
        <w:ind w:left="720"/>
        <w:jc w:val="both"/>
        <w:rPr>
          <w:rFonts w:eastAsia="MS Mincho"/>
          <w:sz w:val="22"/>
          <w:szCs w:val="22"/>
          <w:lang w:eastAsia="en-NZ"/>
        </w:rPr>
      </w:pPr>
    </w:p>
    <w:p w14:paraId="3EA99D3A" w14:textId="2AC16C9D" w:rsidR="00270656" w:rsidRPr="004635E5" w:rsidRDefault="00270656"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Estimated age-specific fishing mortalities (F) on the stock during the periods 2012-2014 and 2015</w:t>
      </w:r>
      <w:r w:rsidRPr="004635E5">
        <w:rPr>
          <w:rFonts w:eastAsia="MS Mincho"/>
          <w:sz w:val="22"/>
          <w:szCs w:val="22"/>
          <w:lang w:eastAsia="en-NZ"/>
        </w:rPr>
        <w:noBreakHyphen/>
        <w:t xml:space="preserve">2016 compared with 2002-2004 estimates (the base period for the WCPFC Conservation and Management Measure) are presented in </w:t>
      </w:r>
      <w:r w:rsidR="00472973" w:rsidRPr="004635E5">
        <w:rPr>
          <w:rFonts w:eastAsia="MS Mincho"/>
          <w:sz w:val="22"/>
          <w:szCs w:val="22"/>
          <w:lang w:eastAsia="en-NZ"/>
        </w:rPr>
        <w:fldChar w:fldCharType="begin"/>
      </w:r>
      <w:r w:rsidRPr="004635E5">
        <w:rPr>
          <w:rFonts w:eastAsia="MS Mincho"/>
          <w:sz w:val="22"/>
          <w:szCs w:val="22"/>
          <w:lang w:eastAsia="en-NZ"/>
        </w:rPr>
        <w:instrText xml:space="preserve"> REF _Ref519184399 \h </w:instrText>
      </w:r>
      <w:r w:rsidR="004635E5" w:rsidRPr="004635E5">
        <w:rPr>
          <w:rFonts w:eastAsia="MS Mincho"/>
          <w:sz w:val="22"/>
          <w:szCs w:val="22"/>
          <w:lang w:eastAsia="en-NZ"/>
        </w:rPr>
        <w:instrText xml:space="preserve"> \* MERGEFORMAT </w:instrText>
      </w:r>
      <w:r w:rsidR="00472973" w:rsidRPr="004635E5">
        <w:rPr>
          <w:rFonts w:eastAsia="MS Mincho"/>
          <w:sz w:val="22"/>
          <w:szCs w:val="22"/>
          <w:lang w:eastAsia="en-NZ"/>
        </w:rPr>
      </w:r>
      <w:r w:rsidR="00472973" w:rsidRPr="004635E5">
        <w:rPr>
          <w:rFonts w:eastAsia="MS Mincho"/>
          <w:sz w:val="22"/>
          <w:szCs w:val="22"/>
          <w:lang w:eastAsia="en-NZ"/>
        </w:rPr>
        <w:fldChar w:fldCharType="separate"/>
      </w:r>
      <w:r w:rsidR="00117A6F" w:rsidRPr="004635E5">
        <w:rPr>
          <w:rFonts w:eastAsia="MS Mincho"/>
          <w:b/>
          <w:bCs/>
          <w:sz w:val="22"/>
          <w:szCs w:val="22"/>
          <w:lang w:eastAsia="en-NZ"/>
        </w:rPr>
        <w:t>Figure PBF-2</w:t>
      </w:r>
      <w:r w:rsidR="00472973" w:rsidRPr="004635E5">
        <w:rPr>
          <w:rFonts w:eastAsia="MS Mincho"/>
          <w:sz w:val="22"/>
          <w:szCs w:val="22"/>
          <w:lang w:val="en-NZ" w:eastAsia="en-NZ"/>
        </w:rPr>
        <w:fldChar w:fldCharType="end"/>
      </w:r>
      <w:r w:rsidRPr="004635E5">
        <w:rPr>
          <w:rFonts w:eastAsia="MS Mincho"/>
          <w:sz w:val="22"/>
          <w:szCs w:val="22"/>
          <w:lang w:eastAsia="en-NZ"/>
        </w:rPr>
        <w:t>. A substantial decrease in estimated F is observed in ages 0-2 in 2015-2016 from the previous years. Note that stricter management measures in the WCPFC and IATTC have been in place since 2015.</w:t>
      </w:r>
    </w:p>
    <w:p w14:paraId="0C018BE6" w14:textId="77777777" w:rsidR="00DC52CB" w:rsidRPr="004635E5" w:rsidRDefault="00DC52CB" w:rsidP="006633A8">
      <w:pPr>
        <w:pStyle w:val="ListParagraph"/>
        <w:adjustRightInd w:val="0"/>
        <w:snapToGrid w:val="0"/>
        <w:ind w:left="1440"/>
        <w:rPr>
          <w:rFonts w:eastAsia="MS Mincho"/>
          <w:sz w:val="22"/>
          <w:szCs w:val="22"/>
          <w:lang w:eastAsia="en-NZ"/>
        </w:rPr>
      </w:pPr>
    </w:p>
    <w:p w14:paraId="5483276C" w14:textId="77777777" w:rsidR="00117A6F" w:rsidRPr="004635E5" w:rsidRDefault="00DC52CB" w:rsidP="00041D2E">
      <w:pPr>
        <w:autoSpaceDE w:val="0"/>
        <w:autoSpaceDN w:val="0"/>
        <w:adjustRightInd w:val="0"/>
        <w:snapToGrid w:val="0"/>
        <w:ind w:left="720"/>
        <w:jc w:val="both"/>
        <w:rPr>
          <w:rFonts w:eastAsia="MS Mincho"/>
          <w:b/>
          <w:bCs/>
          <w:sz w:val="22"/>
          <w:szCs w:val="22"/>
          <w:lang w:eastAsia="en-NZ"/>
        </w:rPr>
      </w:pPr>
      <w:r w:rsidRPr="004635E5">
        <w:rPr>
          <w:rFonts w:eastAsia="MS Mincho"/>
          <w:sz w:val="22"/>
          <w:szCs w:val="22"/>
          <w:lang w:eastAsia="en-NZ"/>
        </w:rPr>
        <w:t>The WCPFC adopted an initial rebuilding biomass target (the median SSB estimated for the period 1952 through 2014) and a second rebuilding biomass target (20%SSB</w:t>
      </w:r>
      <w:r w:rsidRPr="004635E5">
        <w:rPr>
          <w:rFonts w:eastAsia="MS Mincho"/>
          <w:sz w:val="22"/>
          <w:szCs w:val="22"/>
          <w:vertAlign w:val="subscript"/>
          <w:lang w:eastAsia="en-NZ"/>
        </w:rPr>
        <w:t>F=0</w:t>
      </w:r>
      <w:r w:rsidRPr="004635E5">
        <w:rPr>
          <w:rFonts w:eastAsia="MS Mincho"/>
          <w:sz w:val="22"/>
          <w:szCs w:val="22"/>
          <w:lang w:eastAsia="en-NZ"/>
        </w:rPr>
        <w:t xml:space="preserve"> under average recruitment), without specifying a fishing mortality reference level.</w:t>
      </w:r>
      <w:r w:rsidRPr="004635E5">
        <w:rPr>
          <w:rFonts w:eastAsia="MS Mincho"/>
          <w:sz w:val="22"/>
          <w:szCs w:val="22"/>
          <w:vertAlign w:val="superscript"/>
          <w:lang w:eastAsia="en-NZ"/>
        </w:rPr>
        <w:footnoteReference w:id="3"/>
      </w:r>
      <w:r w:rsidRPr="004635E5">
        <w:rPr>
          <w:rFonts w:eastAsia="MS Mincho"/>
          <w:sz w:val="22"/>
          <w:szCs w:val="22"/>
          <w:lang w:eastAsia="en-NZ"/>
        </w:rPr>
        <w:t xml:space="preserve"> The 2018 assessment estimated the initial rebuilding biomass target to be 6.7%SSB</w:t>
      </w:r>
      <w:r w:rsidRPr="004635E5">
        <w:rPr>
          <w:rFonts w:eastAsia="MS Mincho"/>
          <w:sz w:val="22"/>
          <w:szCs w:val="22"/>
          <w:vertAlign w:val="subscript"/>
          <w:lang w:eastAsia="en-NZ"/>
        </w:rPr>
        <w:t>F=0</w:t>
      </w:r>
      <w:r w:rsidRPr="004635E5">
        <w:rPr>
          <w:rFonts w:eastAsia="MS Mincho"/>
          <w:sz w:val="22"/>
          <w:szCs w:val="22"/>
          <w:lang w:eastAsia="en-NZ"/>
        </w:rPr>
        <w:t xml:space="preserve"> and the corresponding fishing mortality expressed as SPR of F</w:t>
      </w:r>
      <w:r w:rsidRPr="004635E5">
        <w:rPr>
          <w:rFonts w:eastAsia="MS Mincho"/>
          <w:sz w:val="22"/>
          <w:szCs w:val="22"/>
          <w:vertAlign w:val="subscript"/>
          <w:lang w:eastAsia="en-NZ"/>
        </w:rPr>
        <w:t xml:space="preserve">6.7%SPR </w:t>
      </w:r>
      <w:r w:rsidRPr="004635E5">
        <w:rPr>
          <w:rFonts w:eastAsia="MS Mincho"/>
          <w:sz w:val="22"/>
          <w:szCs w:val="22"/>
          <w:lang w:eastAsia="en-NZ"/>
        </w:rPr>
        <w:t>(</w:t>
      </w:r>
      <w:r w:rsidRPr="004635E5">
        <w:rPr>
          <w:rFonts w:eastAsia="MS Mincho"/>
          <w:sz w:val="22"/>
          <w:szCs w:val="22"/>
          <w:lang w:eastAsia="en-NZ"/>
        </w:rPr>
        <w:fldChar w:fldCharType="begin"/>
      </w:r>
      <w:r w:rsidRPr="004635E5">
        <w:rPr>
          <w:rFonts w:eastAsia="MS Mincho"/>
          <w:sz w:val="22"/>
          <w:szCs w:val="22"/>
          <w:lang w:eastAsia="en-NZ"/>
        </w:rPr>
        <w:instrText xml:space="preserve"> REF _Ref519184699 \h </w:instrText>
      </w:r>
      <w:r w:rsidR="004635E5" w:rsidRPr="004635E5">
        <w:rPr>
          <w:rFonts w:eastAsia="MS Mincho"/>
          <w:sz w:val="22"/>
          <w:szCs w:val="22"/>
          <w:lang w:eastAsia="en-NZ"/>
        </w:rPr>
        <w:instrText xml:space="preserve"> \* MERGEFORMAT </w:instrText>
      </w:r>
      <w:r w:rsidRPr="004635E5">
        <w:rPr>
          <w:rFonts w:eastAsia="MS Mincho"/>
          <w:sz w:val="22"/>
          <w:szCs w:val="22"/>
          <w:lang w:eastAsia="en-NZ"/>
        </w:rPr>
      </w:r>
      <w:r w:rsidRPr="004635E5">
        <w:rPr>
          <w:rFonts w:eastAsia="MS Mincho"/>
          <w:sz w:val="22"/>
          <w:szCs w:val="22"/>
          <w:lang w:eastAsia="en-NZ"/>
        </w:rPr>
        <w:fldChar w:fldCharType="separate"/>
      </w:r>
      <w:r w:rsidR="00117A6F" w:rsidRPr="004635E5">
        <w:rPr>
          <w:rFonts w:eastAsia="MS Mincho"/>
          <w:b/>
          <w:bCs/>
          <w:sz w:val="22"/>
          <w:szCs w:val="22"/>
          <w:lang w:eastAsia="en-NZ"/>
        </w:rPr>
        <w:t>Table PBF-2</w:t>
      </w:r>
      <w:r w:rsidRPr="004635E5">
        <w:rPr>
          <w:rFonts w:eastAsia="MS Mincho"/>
          <w:sz w:val="22"/>
          <w:szCs w:val="22"/>
          <w:lang w:val="en-NZ" w:eastAsia="en-NZ"/>
        </w:rPr>
        <w:fldChar w:fldCharType="end"/>
      </w:r>
      <w:r w:rsidRPr="004635E5">
        <w:rPr>
          <w:rFonts w:eastAsia="MS Mincho"/>
          <w:sz w:val="22"/>
          <w:szCs w:val="22"/>
          <w:lang w:eastAsia="en-NZ"/>
        </w:rPr>
        <w:t>). SPR is the ratio of the cumulative spawning biomass that an average recruit is expected to produce over its lifetime when the stock is fished at the current intensity to the cumulative spawning biomass that could be produced by an average recruit over its lifetime if the stock was unfished. Because the projections include catch limits, fishing mortality is expected to decline, i.e., F</w:t>
      </w:r>
      <w:r w:rsidRPr="004635E5">
        <w:rPr>
          <w:rFonts w:eastAsia="MS Mincho"/>
          <w:sz w:val="22"/>
          <w:szCs w:val="22"/>
          <w:vertAlign w:val="subscript"/>
          <w:lang w:eastAsia="en-NZ"/>
        </w:rPr>
        <w:t>x%SPR</w:t>
      </w:r>
      <w:r w:rsidRPr="004635E5">
        <w:rPr>
          <w:rFonts w:eastAsia="MS Mincho"/>
          <w:sz w:val="22"/>
          <w:szCs w:val="22"/>
          <w:lang w:eastAsia="en-NZ"/>
        </w:rPr>
        <w:t xml:space="preserve"> will increase, as biomass increases. The Kobe plot shows that the point estimate of the SSB</w:t>
      </w:r>
      <w:r w:rsidRPr="004635E5">
        <w:rPr>
          <w:rFonts w:eastAsia="MS Mincho"/>
          <w:sz w:val="22"/>
          <w:szCs w:val="22"/>
          <w:vertAlign w:val="subscript"/>
          <w:lang w:eastAsia="en-NZ"/>
        </w:rPr>
        <w:t>2016</w:t>
      </w:r>
      <w:r w:rsidRPr="004635E5">
        <w:rPr>
          <w:rFonts w:eastAsia="MS Mincho"/>
          <w:sz w:val="22"/>
          <w:szCs w:val="22"/>
          <w:lang w:eastAsia="en-NZ"/>
        </w:rPr>
        <w:t xml:space="preserve"> was 3.3%SSB</w:t>
      </w:r>
      <w:r w:rsidRPr="004635E5">
        <w:rPr>
          <w:rFonts w:eastAsia="MS Mincho"/>
          <w:sz w:val="22"/>
          <w:szCs w:val="22"/>
          <w:vertAlign w:val="subscript"/>
          <w:lang w:eastAsia="en-NZ"/>
        </w:rPr>
        <w:t>F=0</w:t>
      </w:r>
      <w:r w:rsidRPr="004635E5">
        <w:rPr>
          <w:rFonts w:eastAsia="MS Mincho"/>
          <w:sz w:val="22"/>
          <w:szCs w:val="22"/>
          <w:lang w:eastAsia="en-NZ"/>
        </w:rPr>
        <w:t xml:space="preserve"> and the 2016 fishing mortality corresponds to F</w:t>
      </w:r>
      <w:r w:rsidRPr="004635E5">
        <w:rPr>
          <w:rFonts w:eastAsia="MS Mincho"/>
          <w:sz w:val="22"/>
          <w:szCs w:val="22"/>
          <w:vertAlign w:val="subscript"/>
          <w:lang w:eastAsia="en-NZ"/>
        </w:rPr>
        <w:t>6.7%SPR</w:t>
      </w:r>
      <w:r w:rsidRPr="004635E5">
        <w:rPr>
          <w:rFonts w:eastAsia="MS Mincho"/>
          <w:sz w:val="22"/>
          <w:szCs w:val="22"/>
          <w:lang w:eastAsia="en-NZ"/>
        </w:rPr>
        <w:t xml:space="preserve"> (</w:t>
      </w:r>
      <w:r w:rsidRPr="004635E5">
        <w:rPr>
          <w:rFonts w:eastAsia="MS Mincho"/>
          <w:sz w:val="22"/>
          <w:szCs w:val="22"/>
          <w:lang w:eastAsia="en-NZ"/>
        </w:rPr>
        <w:fldChar w:fldCharType="begin"/>
      </w:r>
      <w:r w:rsidRPr="004635E5">
        <w:rPr>
          <w:rFonts w:eastAsia="MS Mincho"/>
          <w:sz w:val="22"/>
          <w:szCs w:val="22"/>
          <w:lang w:eastAsia="en-NZ"/>
        </w:rPr>
        <w:instrText xml:space="preserve"> REF _Ref519184637 \h </w:instrText>
      </w:r>
      <w:r w:rsidR="004635E5" w:rsidRPr="004635E5">
        <w:rPr>
          <w:rFonts w:eastAsia="MS Mincho"/>
          <w:sz w:val="22"/>
          <w:szCs w:val="22"/>
          <w:lang w:eastAsia="en-NZ"/>
        </w:rPr>
        <w:instrText xml:space="preserve"> \* MERGEFORMAT </w:instrText>
      </w:r>
      <w:r w:rsidRPr="004635E5">
        <w:rPr>
          <w:rFonts w:eastAsia="MS Mincho"/>
          <w:sz w:val="22"/>
          <w:szCs w:val="22"/>
          <w:lang w:eastAsia="en-NZ"/>
        </w:rPr>
      </w:r>
      <w:r w:rsidRPr="004635E5">
        <w:rPr>
          <w:rFonts w:eastAsia="MS Mincho"/>
          <w:sz w:val="22"/>
          <w:szCs w:val="22"/>
          <w:lang w:eastAsia="en-NZ"/>
        </w:rPr>
        <w:fldChar w:fldCharType="separate"/>
      </w:r>
      <w:r w:rsidR="00117A6F" w:rsidRPr="004635E5">
        <w:rPr>
          <w:rFonts w:eastAsia="MS Mincho"/>
          <w:b/>
          <w:bCs/>
          <w:sz w:val="22"/>
          <w:szCs w:val="22"/>
          <w:lang w:eastAsia="en-NZ"/>
        </w:rPr>
        <w:t>Figure PBF-3</w:t>
      </w:r>
      <w:r w:rsidRPr="004635E5">
        <w:rPr>
          <w:rFonts w:eastAsia="MS Mincho"/>
          <w:sz w:val="22"/>
          <w:szCs w:val="22"/>
          <w:lang w:val="en-NZ" w:eastAsia="en-NZ"/>
        </w:rPr>
        <w:fldChar w:fldCharType="end"/>
      </w:r>
      <w:r w:rsidRPr="004635E5">
        <w:rPr>
          <w:rFonts w:eastAsia="MS Mincho"/>
          <w:sz w:val="22"/>
          <w:szCs w:val="22"/>
          <w:lang w:eastAsia="en-NZ"/>
        </w:rPr>
        <w:t>).</w:t>
      </w:r>
      <w:r w:rsidR="00AB4B25" w:rsidRPr="004635E5">
        <w:rPr>
          <w:rFonts w:eastAsia="MS Mincho"/>
          <w:sz w:val="22"/>
          <w:szCs w:val="22"/>
          <w:lang w:eastAsia="en-NZ"/>
        </w:rPr>
        <w:t xml:space="preserve"> </w:t>
      </w:r>
      <w:r w:rsidR="00472973" w:rsidRPr="004635E5">
        <w:rPr>
          <w:rFonts w:eastAsia="MS Mincho"/>
          <w:sz w:val="22"/>
          <w:szCs w:val="22"/>
          <w:lang w:eastAsia="en-NZ"/>
        </w:rPr>
        <w:fldChar w:fldCharType="begin"/>
      </w:r>
      <w:r w:rsidR="00270656" w:rsidRPr="004635E5">
        <w:rPr>
          <w:rFonts w:eastAsia="MS Mincho"/>
          <w:sz w:val="22"/>
          <w:szCs w:val="22"/>
          <w:lang w:eastAsia="en-NZ"/>
        </w:rPr>
        <w:instrText xml:space="preserve"> REF _Ref519447180 \h </w:instrText>
      </w:r>
      <w:r w:rsidR="004635E5" w:rsidRPr="004635E5">
        <w:rPr>
          <w:rFonts w:eastAsia="MS Mincho"/>
          <w:sz w:val="22"/>
          <w:szCs w:val="22"/>
          <w:lang w:eastAsia="en-NZ"/>
        </w:rPr>
        <w:instrText xml:space="preserve"> \* MERGEFORMAT </w:instrText>
      </w:r>
      <w:r w:rsidR="00472973" w:rsidRPr="004635E5">
        <w:rPr>
          <w:rFonts w:eastAsia="MS Mincho"/>
          <w:sz w:val="22"/>
          <w:szCs w:val="22"/>
          <w:lang w:eastAsia="en-NZ"/>
        </w:rPr>
      </w:r>
      <w:r w:rsidR="00472973" w:rsidRPr="004635E5">
        <w:rPr>
          <w:rFonts w:eastAsia="MS Mincho"/>
          <w:sz w:val="22"/>
          <w:szCs w:val="22"/>
          <w:lang w:eastAsia="en-NZ"/>
        </w:rPr>
        <w:fldChar w:fldCharType="separate"/>
      </w:r>
    </w:p>
    <w:p w14:paraId="468C307A" w14:textId="77777777" w:rsidR="00117A6F" w:rsidRPr="004635E5" w:rsidRDefault="00117A6F" w:rsidP="00041D2E">
      <w:pPr>
        <w:autoSpaceDE w:val="0"/>
        <w:autoSpaceDN w:val="0"/>
        <w:adjustRightInd w:val="0"/>
        <w:snapToGrid w:val="0"/>
        <w:ind w:left="720"/>
        <w:jc w:val="both"/>
        <w:rPr>
          <w:rFonts w:eastAsia="MS Mincho"/>
          <w:b/>
          <w:bCs/>
          <w:sz w:val="22"/>
          <w:szCs w:val="22"/>
          <w:lang w:eastAsia="en-NZ"/>
        </w:rPr>
      </w:pPr>
    </w:p>
    <w:p w14:paraId="00599DE5" w14:textId="121A75D0" w:rsidR="00270656" w:rsidRPr="004635E5" w:rsidRDefault="00117A6F" w:rsidP="006633A8">
      <w:pPr>
        <w:autoSpaceDE w:val="0"/>
        <w:autoSpaceDN w:val="0"/>
        <w:adjustRightInd w:val="0"/>
        <w:snapToGrid w:val="0"/>
        <w:ind w:left="720"/>
        <w:jc w:val="both"/>
        <w:rPr>
          <w:rFonts w:eastAsia="MS Mincho"/>
          <w:b/>
          <w:bCs/>
          <w:sz w:val="22"/>
          <w:szCs w:val="22"/>
          <w:lang w:eastAsia="en-NZ"/>
        </w:rPr>
      </w:pPr>
      <w:r w:rsidRPr="004635E5">
        <w:rPr>
          <w:rFonts w:eastAsia="MS Mincho"/>
          <w:b/>
          <w:bCs/>
          <w:sz w:val="22"/>
          <w:szCs w:val="22"/>
          <w:lang w:eastAsia="en-NZ"/>
        </w:rPr>
        <w:t>Table PBF-3</w:t>
      </w:r>
      <w:r w:rsidR="00472973" w:rsidRPr="004635E5">
        <w:rPr>
          <w:rFonts w:eastAsia="MS Mincho"/>
          <w:sz w:val="22"/>
          <w:szCs w:val="22"/>
          <w:lang w:val="en-NZ" w:eastAsia="en-NZ"/>
        </w:rPr>
        <w:fldChar w:fldCharType="end"/>
      </w:r>
      <w:r w:rsidR="00270656" w:rsidRPr="004635E5">
        <w:rPr>
          <w:rFonts w:eastAsia="MS Mincho"/>
          <w:sz w:val="22"/>
          <w:szCs w:val="22"/>
          <w:lang w:eastAsia="en-NZ"/>
        </w:rPr>
        <w:t xml:space="preserve"> provides an evaluation of stock status against some common reference points. It shows that the PBF stock is overfished relative to biomass-based limit reference points adopted for other species in WCPFC (20%SSB</w:t>
      </w:r>
      <w:r w:rsidR="00270656" w:rsidRPr="004635E5">
        <w:rPr>
          <w:rFonts w:eastAsia="MS Mincho"/>
          <w:sz w:val="22"/>
          <w:szCs w:val="22"/>
          <w:vertAlign w:val="subscript"/>
          <w:lang w:eastAsia="en-NZ"/>
        </w:rPr>
        <w:t>F=0</w:t>
      </w:r>
      <w:r w:rsidR="00270656" w:rsidRPr="004635E5">
        <w:rPr>
          <w:rFonts w:eastAsia="MS Mincho"/>
          <w:sz w:val="22"/>
          <w:szCs w:val="22"/>
          <w:lang w:eastAsia="en-NZ"/>
        </w:rPr>
        <w:t xml:space="preserve">) and is subject to overfishing relative to most of the common fishing intensity-based reference points. </w:t>
      </w:r>
    </w:p>
    <w:p w14:paraId="090AF8B1" w14:textId="77777777" w:rsidR="00DF66D5" w:rsidRPr="004635E5" w:rsidRDefault="00DF66D5" w:rsidP="006633A8">
      <w:pPr>
        <w:autoSpaceDE w:val="0"/>
        <w:autoSpaceDN w:val="0"/>
        <w:adjustRightInd w:val="0"/>
        <w:snapToGrid w:val="0"/>
        <w:ind w:left="720"/>
        <w:jc w:val="both"/>
        <w:rPr>
          <w:rFonts w:eastAsia="MS Mincho"/>
          <w:sz w:val="22"/>
          <w:szCs w:val="22"/>
          <w:lang w:eastAsia="en-NZ"/>
        </w:rPr>
      </w:pPr>
    </w:p>
    <w:p w14:paraId="04F34F02" w14:textId="48239329" w:rsidR="00270656" w:rsidRPr="004635E5" w:rsidRDefault="00472973"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fldChar w:fldCharType="begin"/>
      </w:r>
      <w:r w:rsidR="00270656" w:rsidRPr="004635E5">
        <w:rPr>
          <w:rFonts w:eastAsia="MS Mincho"/>
          <w:sz w:val="22"/>
          <w:szCs w:val="22"/>
          <w:lang w:eastAsia="en-NZ"/>
        </w:rPr>
        <w:instrText xml:space="preserve"> REF _Ref519184437 \h </w:instrText>
      </w:r>
      <w:r w:rsidR="004635E5" w:rsidRPr="004635E5">
        <w:rPr>
          <w:rFonts w:eastAsia="MS Mincho"/>
          <w:sz w:val="22"/>
          <w:szCs w:val="22"/>
          <w:lang w:eastAsia="en-NZ"/>
        </w:rPr>
        <w:instrText xml:space="preserve"> \* MERGEFORMAT </w:instrText>
      </w:r>
      <w:r w:rsidRPr="004635E5">
        <w:rPr>
          <w:rFonts w:eastAsia="MS Mincho"/>
          <w:sz w:val="22"/>
          <w:szCs w:val="22"/>
          <w:lang w:eastAsia="en-NZ"/>
        </w:rPr>
      </w:r>
      <w:r w:rsidRPr="004635E5">
        <w:rPr>
          <w:rFonts w:eastAsia="MS Mincho"/>
          <w:sz w:val="22"/>
          <w:szCs w:val="22"/>
          <w:lang w:eastAsia="en-NZ"/>
        </w:rPr>
        <w:fldChar w:fldCharType="separate"/>
      </w:r>
      <w:r w:rsidR="00117A6F" w:rsidRPr="004635E5">
        <w:rPr>
          <w:rFonts w:eastAsia="MS Mincho"/>
          <w:b/>
          <w:bCs/>
          <w:sz w:val="22"/>
          <w:szCs w:val="22"/>
          <w:lang w:eastAsia="en-NZ"/>
        </w:rPr>
        <w:t>Figure PBF-4</w:t>
      </w:r>
      <w:r w:rsidRPr="004635E5">
        <w:rPr>
          <w:rFonts w:eastAsia="MS Mincho"/>
          <w:sz w:val="22"/>
          <w:szCs w:val="22"/>
          <w:lang w:val="en-NZ" w:eastAsia="en-NZ"/>
        </w:rPr>
        <w:fldChar w:fldCharType="end"/>
      </w:r>
      <w:r w:rsidR="00270656" w:rsidRPr="004635E5">
        <w:rPr>
          <w:rFonts w:eastAsia="MS Mincho"/>
          <w:sz w:val="22"/>
          <w:szCs w:val="22"/>
          <w:lang w:eastAsia="en-NZ"/>
        </w:rPr>
        <w:t xml:space="preserve"> depicts the historical impacts of the fleets on the PBF stock, showing the estimated biomass when fishing mortality from respective fleets is zero. Historically, the WPO coastal fisheries group has had the greatest impact on the PBF stock, but since about the early 1990s the WPO purse seine fleets, in particular those targeting small fish (ages 0-1), have had a greater impact, and the effect of these fleets in 2016 was greater than any of the other fishery groups. The impact of the EPO fishery was large before the mid-1980s, decreasing significantly thereafter. The WPO longline fleet has had a limited effect on the stock throughout the analysis period, because the impact of a fishery on a stock depends on both the number and size of the fish caught by each fleet; i.e., catching a high number of smaller juvenile fish can have a greater impact on future spawning stock biomass than catching the same weight of larger mature fish.</w:t>
      </w:r>
    </w:p>
    <w:p w14:paraId="052AC421" w14:textId="77777777" w:rsidR="00DF66D5" w:rsidRPr="004635E5" w:rsidRDefault="00DF66D5" w:rsidP="006633A8">
      <w:pPr>
        <w:autoSpaceDE w:val="0"/>
        <w:autoSpaceDN w:val="0"/>
        <w:adjustRightInd w:val="0"/>
        <w:snapToGrid w:val="0"/>
        <w:jc w:val="both"/>
        <w:rPr>
          <w:rFonts w:eastAsia="MS Mincho"/>
          <w:sz w:val="22"/>
          <w:szCs w:val="22"/>
          <w:lang w:eastAsia="en-NZ"/>
        </w:rPr>
      </w:pPr>
    </w:p>
    <w:p w14:paraId="54B2EA5A" w14:textId="77777777" w:rsidR="00270656" w:rsidRPr="004635E5" w:rsidRDefault="00270656" w:rsidP="00580EA4">
      <w:pPr>
        <w:numPr>
          <w:ilvl w:val="0"/>
          <w:numId w:val="18"/>
        </w:numPr>
        <w:autoSpaceDE w:val="0"/>
        <w:autoSpaceDN w:val="0"/>
        <w:adjustRightInd w:val="0"/>
        <w:snapToGrid w:val="0"/>
        <w:ind w:left="0" w:firstLine="0"/>
        <w:jc w:val="both"/>
        <w:rPr>
          <w:rFonts w:eastAsia="MS Mincho"/>
          <w:b/>
          <w:sz w:val="22"/>
          <w:szCs w:val="22"/>
          <w:lang w:eastAsia="en-NZ"/>
        </w:rPr>
      </w:pPr>
      <w:r w:rsidRPr="004635E5">
        <w:rPr>
          <w:rFonts w:eastAsia="MS Mincho"/>
          <w:b/>
          <w:sz w:val="22"/>
          <w:szCs w:val="22"/>
          <w:lang w:eastAsia="en-NZ"/>
        </w:rPr>
        <w:t xml:space="preserve">SC14 noted the </w:t>
      </w:r>
      <w:r w:rsidR="00DF66D5" w:rsidRPr="004635E5">
        <w:rPr>
          <w:rFonts w:eastAsia="MS Mincho"/>
          <w:b/>
          <w:sz w:val="22"/>
          <w:szCs w:val="22"/>
          <w:lang w:eastAsia="en-NZ"/>
        </w:rPr>
        <w:t>following stock status from ISC:</w:t>
      </w:r>
    </w:p>
    <w:p w14:paraId="6ED552C1" w14:textId="77777777" w:rsidR="00DF66D5" w:rsidRPr="004635E5" w:rsidRDefault="00DF66D5" w:rsidP="006633A8">
      <w:pPr>
        <w:autoSpaceDE w:val="0"/>
        <w:autoSpaceDN w:val="0"/>
        <w:adjustRightInd w:val="0"/>
        <w:snapToGrid w:val="0"/>
        <w:jc w:val="both"/>
        <w:rPr>
          <w:rFonts w:eastAsia="MS Mincho"/>
          <w:sz w:val="22"/>
          <w:szCs w:val="22"/>
          <w:lang w:eastAsia="en-NZ"/>
        </w:rPr>
      </w:pPr>
    </w:p>
    <w:p w14:paraId="08D49F64" w14:textId="77777777" w:rsidR="00270656" w:rsidRPr="004635E5" w:rsidRDefault="00270656"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Based on these findings, the following information on the status of the Pacific bluefin tuna stock is provided:</w:t>
      </w:r>
    </w:p>
    <w:p w14:paraId="5FF37ABF" w14:textId="77777777" w:rsidR="000B0F63" w:rsidRPr="004635E5" w:rsidRDefault="000B0F63" w:rsidP="006633A8">
      <w:pPr>
        <w:autoSpaceDE w:val="0"/>
        <w:autoSpaceDN w:val="0"/>
        <w:adjustRightInd w:val="0"/>
        <w:snapToGrid w:val="0"/>
        <w:ind w:left="720"/>
        <w:jc w:val="both"/>
        <w:rPr>
          <w:rFonts w:eastAsia="MS Mincho"/>
          <w:sz w:val="22"/>
          <w:szCs w:val="22"/>
          <w:lang w:eastAsia="en-NZ"/>
        </w:rPr>
      </w:pPr>
    </w:p>
    <w:p w14:paraId="1AB8CCCD" w14:textId="1C26625D" w:rsidR="00270656" w:rsidRPr="004635E5" w:rsidRDefault="00270656" w:rsidP="00580EA4">
      <w:pPr>
        <w:numPr>
          <w:ilvl w:val="0"/>
          <w:numId w:val="141"/>
        </w:numPr>
        <w:autoSpaceDE w:val="0"/>
        <w:autoSpaceDN w:val="0"/>
        <w:adjustRightInd w:val="0"/>
        <w:snapToGrid w:val="0"/>
        <w:ind w:left="1080"/>
        <w:jc w:val="both"/>
        <w:rPr>
          <w:rFonts w:eastAsia="MS Mincho"/>
          <w:b/>
          <w:sz w:val="22"/>
          <w:szCs w:val="22"/>
          <w:lang w:eastAsia="en-NZ"/>
        </w:rPr>
      </w:pPr>
      <w:r w:rsidRPr="004635E5">
        <w:rPr>
          <w:rFonts w:eastAsia="MS Mincho"/>
          <w:b/>
          <w:sz w:val="22"/>
          <w:szCs w:val="22"/>
          <w:lang w:eastAsia="en-NZ"/>
        </w:rPr>
        <w:t>No biomass-based limit or target reference points have been adopted to evaluate the overfished status for PBF. However, the PBF stock is overfished relative to the potential biomass-based reference points evaluated (SSB</w:t>
      </w:r>
      <w:r w:rsidRPr="004635E5">
        <w:rPr>
          <w:rFonts w:eastAsia="MS Mincho"/>
          <w:b/>
          <w:sz w:val="22"/>
          <w:szCs w:val="22"/>
          <w:vertAlign w:val="subscript"/>
          <w:lang w:eastAsia="en-NZ"/>
        </w:rPr>
        <w:t>MED</w:t>
      </w:r>
      <w:r w:rsidRPr="004635E5">
        <w:rPr>
          <w:rFonts w:eastAsia="MS Mincho"/>
          <w:b/>
          <w:sz w:val="22"/>
          <w:szCs w:val="22"/>
          <w:lang w:eastAsia="en-NZ"/>
        </w:rPr>
        <w:t xml:space="preserve"> and 20%SSB</w:t>
      </w:r>
      <w:r w:rsidRPr="004635E5">
        <w:rPr>
          <w:rFonts w:eastAsia="MS Mincho"/>
          <w:b/>
          <w:sz w:val="22"/>
          <w:szCs w:val="22"/>
          <w:vertAlign w:val="subscript"/>
          <w:lang w:eastAsia="en-NZ"/>
        </w:rPr>
        <w:t>F=0</w:t>
      </w:r>
      <w:r w:rsidRPr="004635E5">
        <w:rPr>
          <w:rFonts w:eastAsia="MS Mincho"/>
          <w:b/>
          <w:sz w:val="22"/>
          <w:szCs w:val="22"/>
          <w:lang w:eastAsia="en-NZ"/>
        </w:rPr>
        <w:t>, Table PBF</w:t>
      </w:r>
      <w:r w:rsidR="00122DC5" w:rsidRPr="004635E5">
        <w:rPr>
          <w:rFonts w:eastAsia="MS Mincho"/>
          <w:b/>
          <w:sz w:val="22"/>
          <w:szCs w:val="22"/>
          <w:lang w:eastAsia="en-NZ"/>
        </w:rPr>
        <w:t>-3</w:t>
      </w:r>
      <w:r w:rsidRPr="004635E5">
        <w:rPr>
          <w:rFonts w:eastAsia="MS Mincho"/>
          <w:b/>
          <w:sz w:val="22"/>
          <w:szCs w:val="22"/>
          <w:lang w:eastAsia="en-NZ"/>
        </w:rPr>
        <w:t xml:space="preserve"> and </w:t>
      </w:r>
      <w:r w:rsidR="00620AFF" w:rsidRPr="004635E5">
        <w:rPr>
          <w:sz w:val="22"/>
          <w:szCs w:val="22"/>
        </w:rPr>
        <w:fldChar w:fldCharType="begin"/>
      </w:r>
      <w:r w:rsidR="00620AFF" w:rsidRPr="004635E5">
        <w:rPr>
          <w:sz w:val="22"/>
          <w:szCs w:val="22"/>
        </w:rPr>
        <w:instrText xml:space="preserve"> REF _Ref519184637 \h  \* MERGEFORMAT </w:instrText>
      </w:r>
      <w:r w:rsidR="00620AFF" w:rsidRPr="004635E5">
        <w:rPr>
          <w:sz w:val="22"/>
          <w:szCs w:val="22"/>
        </w:rPr>
      </w:r>
      <w:r w:rsidR="00620AFF" w:rsidRPr="004635E5">
        <w:rPr>
          <w:sz w:val="22"/>
          <w:szCs w:val="22"/>
        </w:rPr>
        <w:fldChar w:fldCharType="separate"/>
      </w:r>
      <w:r w:rsidR="00117A6F" w:rsidRPr="00041D2E">
        <w:rPr>
          <w:rFonts w:eastAsia="MS Mincho"/>
          <w:b/>
          <w:sz w:val="22"/>
          <w:szCs w:val="22"/>
          <w:lang w:eastAsia="en-NZ"/>
        </w:rPr>
        <w:t>Figure PBF-3</w:t>
      </w:r>
      <w:r w:rsidR="00620AFF" w:rsidRPr="004635E5">
        <w:rPr>
          <w:sz w:val="22"/>
          <w:szCs w:val="22"/>
        </w:rPr>
        <w:fldChar w:fldCharType="end"/>
      </w:r>
      <w:r w:rsidRPr="004635E5">
        <w:rPr>
          <w:rFonts w:eastAsia="MS Mincho"/>
          <w:b/>
          <w:sz w:val="22"/>
          <w:szCs w:val="22"/>
          <w:lang w:eastAsia="en-NZ"/>
        </w:rPr>
        <w:t>).</w:t>
      </w:r>
    </w:p>
    <w:p w14:paraId="3E959F07" w14:textId="07984D4D" w:rsidR="00270656" w:rsidRPr="004635E5" w:rsidRDefault="00270656" w:rsidP="00580EA4">
      <w:pPr>
        <w:numPr>
          <w:ilvl w:val="0"/>
          <w:numId w:val="141"/>
        </w:numPr>
        <w:autoSpaceDE w:val="0"/>
        <w:autoSpaceDN w:val="0"/>
        <w:adjustRightInd w:val="0"/>
        <w:snapToGrid w:val="0"/>
        <w:ind w:left="1080"/>
        <w:jc w:val="both"/>
        <w:rPr>
          <w:rFonts w:eastAsia="MS Mincho"/>
          <w:b/>
          <w:sz w:val="22"/>
          <w:szCs w:val="22"/>
          <w:lang w:eastAsia="en-NZ"/>
        </w:rPr>
      </w:pPr>
      <w:r w:rsidRPr="004635E5">
        <w:rPr>
          <w:rFonts w:eastAsia="MS Mincho"/>
          <w:b/>
          <w:sz w:val="22"/>
          <w:szCs w:val="22"/>
          <w:lang w:eastAsia="en-NZ"/>
        </w:rPr>
        <w:t>No fishing intensity-based limit or target reference points have been adopted to evaluate overfishing for PBF. However, the PBF stock is subject to overfishing relative to most of potential fishing intensity-based reference points evaluated (Table PBF</w:t>
      </w:r>
      <w:r w:rsidR="00122DC5" w:rsidRPr="004635E5">
        <w:rPr>
          <w:rFonts w:eastAsia="MS Mincho"/>
          <w:b/>
          <w:sz w:val="22"/>
          <w:szCs w:val="22"/>
          <w:lang w:eastAsia="en-NZ"/>
        </w:rPr>
        <w:t xml:space="preserve">-3 </w:t>
      </w:r>
      <w:r w:rsidRPr="004635E5">
        <w:rPr>
          <w:rFonts w:eastAsia="MS Mincho"/>
          <w:b/>
          <w:sz w:val="22"/>
          <w:szCs w:val="22"/>
          <w:lang w:eastAsia="en-NZ"/>
        </w:rPr>
        <w:t xml:space="preserve">and </w:t>
      </w:r>
      <w:r w:rsidR="00620AFF" w:rsidRPr="004635E5">
        <w:rPr>
          <w:sz w:val="22"/>
          <w:szCs w:val="22"/>
        </w:rPr>
        <w:fldChar w:fldCharType="begin"/>
      </w:r>
      <w:r w:rsidR="00620AFF" w:rsidRPr="004635E5">
        <w:rPr>
          <w:sz w:val="22"/>
          <w:szCs w:val="22"/>
        </w:rPr>
        <w:instrText xml:space="preserve"> REF _Ref519184637 \h  \* MERGEFORMAT </w:instrText>
      </w:r>
      <w:r w:rsidR="00620AFF" w:rsidRPr="004635E5">
        <w:rPr>
          <w:sz w:val="22"/>
          <w:szCs w:val="22"/>
        </w:rPr>
      </w:r>
      <w:r w:rsidR="00620AFF" w:rsidRPr="004635E5">
        <w:rPr>
          <w:sz w:val="22"/>
          <w:szCs w:val="22"/>
        </w:rPr>
        <w:fldChar w:fldCharType="separate"/>
      </w:r>
      <w:r w:rsidR="00117A6F" w:rsidRPr="00041D2E">
        <w:rPr>
          <w:rFonts w:eastAsia="MS Mincho"/>
          <w:b/>
          <w:sz w:val="22"/>
          <w:szCs w:val="22"/>
          <w:lang w:eastAsia="en-NZ"/>
        </w:rPr>
        <w:t>Figure PBF-3</w:t>
      </w:r>
      <w:r w:rsidR="00620AFF" w:rsidRPr="004635E5">
        <w:rPr>
          <w:sz w:val="22"/>
          <w:szCs w:val="22"/>
        </w:rPr>
        <w:fldChar w:fldCharType="end"/>
      </w:r>
      <w:r w:rsidRPr="004635E5">
        <w:rPr>
          <w:rFonts w:eastAsia="MS Mincho"/>
          <w:b/>
          <w:sz w:val="22"/>
          <w:szCs w:val="22"/>
          <w:lang w:eastAsia="en-NZ"/>
        </w:rPr>
        <w:t>).</w:t>
      </w:r>
    </w:p>
    <w:p w14:paraId="0D029F1F" w14:textId="77777777" w:rsidR="00DF66D5" w:rsidRPr="004635E5" w:rsidRDefault="00DF66D5" w:rsidP="006633A8">
      <w:pPr>
        <w:autoSpaceDE w:val="0"/>
        <w:autoSpaceDN w:val="0"/>
        <w:adjustRightInd w:val="0"/>
        <w:snapToGrid w:val="0"/>
        <w:jc w:val="both"/>
        <w:rPr>
          <w:rFonts w:eastAsia="MS Mincho"/>
          <w:b/>
          <w:bCs/>
          <w:sz w:val="22"/>
          <w:szCs w:val="22"/>
          <w:lang w:val="en-NZ" w:eastAsia="en-NZ"/>
        </w:rPr>
      </w:pPr>
    </w:p>
    <w:p w14:paraId="389F17FE" w14:textId="77777777" w:rsidR="00270656" w:rsidRPr="004635E5" w:rsidRDefault="00270656" w:rsidP="00580EA4">
      <w:pPr>
        <w:numPr>
          <w:ilvl w:val="0"/>
          <w:numId w:val="18"/>
        </w:numPr>
        <w:autoSpaceDE w:val="0"/>
        <w:autoSpaceDN w:val="0"/>
        <w:adjustRightInd w:val="0"/>
        <w:snapToGrid w:val="0"/>
        <w:ind w:left="0" w:firstLine="0"/>
        <w:jc w:val="both"/>
        <w:rPr>
          <w:rFonts w:eastAsia="MS Mincho"/>
          <w:b/>
          <w:bCs/>
          <w:sz w:val="22"/>
          <w:szCs w:val="22"/>
          <w:lang w:val="en-AU" w:eastAsia="en-NZ"/>
        </w:rPr>
      </w:pPr>
      <w:r w:rsidRPr="004635E5">
        <w:rPr>
          <w:rFonts w:eastAsia="MS Mincho"/>
          <w:b/>
          <w:bCs/>
          <w:sz w:val="22"/>
          <w:szCs w:val="22"/>
          <w:lang w:val="en-NZ" w:eastAsia="en-NZ"/>
        </w:rPr>
        <w:t xml:space="preserve">SC14 noted that the </w:t>
      </w:r>
      <w:r w:rsidRPr="004635E5">
        <w:rPr>
          <w:rFonts w:eastAsia="MS Mincho"/>
          <w:b/>
          <w:bCs/>
          <w:sz w:val="22"/>
          <w:szCs w:val="22"/>
          <w:lang w:val="en-AU" w:eastAsia="en-NZ"/>
        </w:rPr>
        <w:t xml:space="preserve">total PBF catch in 2017 was 14,707 mt, 11% increase from 2016 and 9% increase from the average 2012-2016. PBF is caught by various fishing gears including purse seine, longline, set net, troll, pole-and-line, handline and recreational fisheries. The detailed catch information by fishery is available in ISC 2018 stock assessment (SC14-SA-WP-06). </w:t>
      </w:r>
    </w:p>
    <w:p w14:paraId="4A6839CC" w14:textId="77777777" w:rsidR="00DF66D5" w:rsidRPr="004635E5" w:rsidRDefault="00DF66D5" w:rsidP="006633A8">
      <w:pPr>
        <w:autoSpaceDE w:val="0"/>
        <w:autoSpaceDN w:val="0"/>
        <w:adjustRightInd w:val="0"/>
        <w:snapToGrid w:val="0"/>
        <w:jc w:val="both"/>
        <w:rPr>
          <w:rFonts w:eastAsia="MS Mincho"/>
          <w:sz w:val="22"/>
          <w:szCs w:val="22"/>
          <w:lang w:eastAsia="en-NZ"/>
        </w:rPr>
      </w:pPr>
    </w:p>
    <w:p w14:paraId="1B7E2EBD" w14:textId="77777777" w:rsidR="00270656" w:rsidRPr="004635E5" w:rsidRDefault="00270656" w:rsidP="00BD29C2">
      <w:pPr>
        <w:pStyle w:val="SCa"/>
        <w:tabs>
          <w:tab w:val="clear" w:pos="1080"/>
        </w:tabs>
        <w:spacing w:after="0"/>
        <w:ind w:left="0"/>
        <w:rPr>
          <w:lang w:val="en-NZ"/>
        </w:rPr>
      </w:pPr>
      <w:r w:rsidRPr="004635E5">
        <w:rPr>
          <w:lang w:val="en-NZ"/>
        </w:rPr>
        <w:t>b.</w:t>
      </w:r>
      <w:r w:rsidRPr="004635E5">
        <w:rPr>
          <w:lang w:val="en-NZ"/>
        </w:rPr>
        <w:tab/>
        <w:t>Management advice and implications</w:t>
      </w:r>
    </w:p>
    <w:p w14:paraId="52D3C427" w14:textId="77777777" w:rsidR="00DF66D5" w:rsidRPr="004635E5" w:rsidRDefault="00DF66D5" w:rsidP="006633A8">
      <w:pPr>
        <w:pStyle w:val="SCa"/>
        <w:spacing w:after="0"/>
        <w:rPr>
          <w:lang w:val="en-NZ"/>
        </w:rPr>
      </w:pPr>
    </w:p>
    <w:p w14:paraId="2118EE8D" w14:textId="77777777" w:rsidR="00270656" w:rsidRPr="004635E5" w:rsidRDefault="00270656" w:rsidP="00580EA4">
      <w:pPr>
        <w:numPr>
          <w:ilvl w:val="0"/>
          <w:numId w:val="18"/>
        </w:numPr>
        <w:autoSpaceDE w:val="0"/>
        <w:autoSpaceDN w:val="0"/>
        <w:adjustRightInd w:val="0"/>
        <w:snapToGrid w:val="0"/>
        <w:ind w:left="0" w:firstLine="0"/>
        <w:jc w:val="both"/>
        <w:rPr>
          <w:rFonts w:eastAsia="MS Mincho"/>
          <w:b/>
          <w:sz w:val="22"/>
          <w:szCs w:val="22"/>
          <w:lang w:eastAsia="en-NZ"/>
        </w:rPr>
      </w:pPr>
      <w:r w:rsidRPr="004635E5">
        <w:rPr>
          <w:rFonts w:eastAsia="MS Mincho"/>
          <w:b/>
          <w:sz w:val="22"/>
          <w:szCs w:val="22"/>
          <w:lang w:eastAsia="en-NZ"/>
        </w:rPr>
        <w:t xml:space="preserve">SC14 advises the </w:t>
      </w:r>
      <w:r w:rsidR="00826141" w:rsidRPr="004635E5">
        <w:rPr>
          <w:rFonts w:eastAsia="MS Mincho"/>
          <w:b/>
          <w:sz w:val="22"/>
          <w:szCs w:val="22"/>
          <w:lang w:eastAsia="en-NZ"/>
        </w:rPr>
        <w:t>C</w:t>
      </w:r>
      <w:r w:rsidRPr="004635E5">
        <w:rPr>
          <w:rFonts w:eastAsia="MS Mincho"/>
          <w:b/>
          <w:sz w:val="22"/>
          <w:szCs w:val="22"/>
          <w:lang w:eastAsia="en-NZ"/>
        </w:rPr>
        <w:t>ommission to note the current very low level of spawning biomass (3.3% B</w:t>
      </w:r>
      <w:r w:rsidRPr="004635E5">
        <w:rPr>
          <w:rFonts w:eastAsia="MS Mincho"/>
          <w:b/>
          <w:sz w:val="22"/>
          <w:szCs w:val="22"/>
          <w:vertAlign w:val="subscript"/>
          <w:lang w:eastAsia="en-NZ"/>
        </w:rPr>
        <w:t>0</w:t>
      </w:r>
      <w:r w:rsidRPr="004635E5">
        <w:rPr>
          <w:rFonts w:eastAsia="MS Mincho"/>
          <w:b/>
          <w:sz w:val="22"/>
          <w:szCs w:val="22"/>
          <w:lang w:eastAsia="en-NZ"/>
        </w:rPr>
        <w:t xml:space="preserve">), the current level of overfishing, and that the projections are strongly influenced by the inclusion of a relatively high but uncertain recruitment in 2016. The majority of CCMs recommended a precautionary approach to the management of Pacific Bluefin tuna, especially in relation to the timing of increasing catch levels, until the rebuilding of the stock to higher biomass levels is achieved. </w:t>
      </w:r>
    </w:p>
    <w:p w14:paraId="54845DA8" w14:textId="77777777" w:rsidR="00DF66D5" w:rsidRPr="004635E5" w:rsidRDefault="00DF66D5" w:rsidP="006633A8">
      <w:pPr>
        <w:autoSpaceDE w:val="0"/>
        <w:autoSpaceDN w:val="0"/>
        <w:adjustRightInd w:val="0"/>
        <w:snapToGrid w:val="0"/>
        <w:jc w:val="both"/>
        <w:rPr>
          <w:rFonts w:eastAsia="MS Mincho"/>
          <w:b/>
          <w:sz w:val="22"/>
          <w:szCs w:val="22"/>
          <w:lang w:eastAsia="en-NZ"/>
        </w:rPr>
      </w:pPr>
    </w:p>
    <w:p w14:paraId="7509C5FA" w14:textId="77777777" w:rsidR="00270656" w:rsidRPr="004635E5" w:rsidRDefault="00270656" w:rsidP="00580EA4">
      <w:pPr>
        <w:numPr>
          <w:ilvl w:val="0"/>
          <w:numId w:val="18"/>
        </w:numPr>
        <w:autoSpaceDE w:val="0"/>
        <w:autoSpaceDN w:val="0"/>
        <w:adjustRightInd w:val="0"/>
        <w:snapToGrid w:val="0"/>
        <w:ind w:left="0" w:firstLine="0"/>
        <w:jc w:val="both"/>
        <w:rPr>
          <w:rFonts w:eastAsia="MS Mincho"/>
          <w:b/>
          <w:sz w:val="22"/>
          <w:szCs w:val="22"/>
          <w:lang w:val="en-NZ" w:eastAsia="en-NZ"/>
        </w:rPr>
      </w:pPr>
      <w:r w:rsidRPr="004635E5">
        <w:rPr>
          <w:rFonts w:eastAsia="MS Mincho"/>
          <w:b/>
          <w:sz w:val="22"/>
          <w:szCs w:val="22"/>
          <w:lang w:val="en-NZ" w:eastAsia="en-NZ"/>
        </w:rPr>
        <w:t>SC14 noted the following conservation advice from ISC:</w:t>
      </w:r>
    </w:p>
    <w:p w14:paraId="12FD00C2" w14:textId="77777777" w:rsidR="00DF66D5" w:rsidRPr="004635E5" w:rsidRDefault="00DF66D5" w:rsidP="006633A8">
      <w:pPr>
        <w:autoSpaceDE w:val="0"/>
        <w:autoSpaceDN w:val="0"/>
        <w:adjustRightInd w:val="0"/>
        <w:snapToGrid w:val="0"/>
        <w:jc w:val="both"/>
        <w:rPr>
          <w:rFonts w:eastAsia="MS Mincho"/>
          <w:b/>
          <w:sz w:val="22"/>
          <w:szCs w:val="22"/>
          <w:lang w:val="en-NZ" w:eastAsia="en-NZ"/>
        </w:rPr>
      </w:pPr>
    </w:p>
    <w:p w14:paraId="0F12CC8D" w14:textId="77777777" w:rsidR="00270656" w:rsidRPr="004635E5" w:rsidRDefault="00270656"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After the steady decline in SSB from 1995 to the historical low level in 2010, the PBF stock appears to have started recovering slowly. The 2016 stock biomass is below the two biomass rebuilding targets adopted by the WCPFC while the 2015-2016 fishing intensity (spawning potential ratio) is at a level corresponding to</w:t>
      </w:r>
      <w:r w:rsidR="00DF66D5" w:rsidRPr="004635E5">
        <w:rPr>
          <w:rFonts w:eastAsia="MS Mincho"/>
          <w:sz w:val="22"/>
          <w:szCs w:val="22"/>
          <w:lang w:eastAsia="en-NZ"/>
        </w:rPr>
        <w:t xml:space="preserve"> the initial rebuilding target.</w:t>
      </w:r>
    </w:p>
    <w:p w14:paraId="5F3DE7EE" w14:textId="77777777" w:rsidR="00DF66D5" w:rsidRPr="004635E5" w:rsidRDefault="00DF66D5" w:rsidP="006633A8">
      <w:pPr>
        <w:autoSpaceDE w:val="0"/>
        <w:autoSpaceDN w:val="0"/>
        <w:adjustRightInd w:val="0"/>
        <w:snapToGrid w:val="0"/>
        <w:ind w:left="720"/>
        <w:jc w:val="both"/>
        <w:rPr>
          <w:rFonts w:eastAsia="MS Mincho"/>
          <w:sz w:val="22"/>
          <w:szCs w:val="22"/>
          <w:lang w:eastAsia="en-NZ"/>
        </w:rPr>
      </w:pPr>
    </w:p>
    <w:p w14:paraId="64F783D4" w14:textId="77777777" w:rsidR="00270656" w:rsidRPr="004635E5" w:rsidRDefault="00270656"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 xml:space="preserve">The 2018 base case assessment results are consistent with the 2016 model results. However, the 2018 projection results are more optimistic than the 2016 projections, mainly due to the inclusion of the relatively good recruitment in 2016, which is above the historical average level (119%) and twice as high as the median of the low recruitment scenario (which occurred 1980-1989). </w:t>
      </w:r>
    </w:p>
    <w:p w14:paraId="06894B37" w14:textId="77777777" w:rsidR="00DF66D5" w:rsidRPr="004635E5" w:rsidRDefault="00DF66D5" w:rsidP="006633A8">
      <w:pPr>
        <w:autoSpaceDE w:val="0"/>
        <w:autoSpaceDN w:val="0"/>
        <w:adjustRightInd w:val="0"/>
        <w:snapToGrid w:val="0"/>
        <w:ind w:left="720"/>
        <w:jc w:val="both"/>
        <w:rPr>
          <w:rFonts w:eastAsia="MS Mincho"/>
          <w:sz w:val="22"/>
          <w:szCs w:val="22"/>
          <w:lang w:eastAsia="en-NZ"/>
        </w:rPr>
      </w:pPr>
    </w:p>
    <w:p w14:paraId="5C171F5F" w14:textId="77777777" w:rsidR="00270656" w:rsidRPr="004635E5" w:rsidRDefault="00270656"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Based on these results, the following conservation information is provided:</w:t>
      </w:r>
    </w:p>
    <w:p w14:paraId="7E1B67A9" w14:textId="77777777" w:rsidR="00DF66D5" w:rsidRPr="004635E5" w:rsidRDefault="00DF66D5" w:rsidP="006633A8">
      <w:pPr>
        <w:autoSpaceDE w:val="0"/>
        <w:autoSpaceDN w:val="0"/>
        <w:adjustRightInd w:val="0"/>
        <w:snapToGrid w:val="0"/>
        <w:ind w:left="720"/>
        <w:jc w:val="both"/>
        <w:rPr>
          <w:rFonts w:eastAsia="MS Mincho"/>
          <w:sz w:val="22"/>
          <w:szCs w:val="22"/>
          <w:lang w:eastAsia="en-NZ"/>
        </w:rPr>
      </w:pPr>
    </w:p>
    <w:p w14:paraId="7C64AAAA" w14:textId="77777777" w:rsidR="00F200D8" w:rsidRPr="004635E5" w:rsidRDefault="00F200D8" w:rsidP="006633A8">
      <w:pPr>
        <w:autoSpaceDE w:val="0"/>
        <w:autoSpaceDN w:val="0"/>
        <w:adjustRightInd w:val="0"/>
        <w:snapToGrid w:val="0"/>
        <w:ind w:left="1440"/>
        <w:jc w:val="both"/>
        <w:rPr>
          <w:rFonts w:eastAsia="MS Mincho"/>
          <w:b/>
          <w:sz w:val="22"/>
          <w:szCs w:val="22"/>
          <w:lang w:eastAsia="en-NZ"/>
        </w:rPr>
      </w:pPr>
      <w:r w:rsidRPr="004635E5">
        <w:rPr>
          <w:rFonts w:eastAsia="MS Mincho"/>
          <w:b/>
          <w:sz w:val="22"/>
          <w:szCs w:val="22"/>
          <w:lang w:eastAsia="en-NZ"/>
        </w:rPr>
        <w:t>1.</w:t>
      </w:r>
      <w:r w:rsidRPr="004635E5">
        <w:rPr>
          <w:rFonts w:eastAsia="MS Mincho"/>
          <w:b/>
          <w:sz w:val="22"/>
          <w:szCs w:val="22"/>
          <w:lang w:eastAsia="en-NZ"/>
        </w:rPr>
        <w:tab/>
        <w:t xml:space="preserve">The projection based on the base-case model mimicking the current management measures by the WCPFC (CMM 2017-08) and IATTC (C-16-08) under the low recruitment scenario resulted in an estimated 98% probability of achieving the initial biomass rebuilding target (6.7%SSBF=0) by 2024. This estimated probability is above the threshold (75% or above in 2024) prescribed by the WCPFC Harvest Strategy (Harvest Strategy 2017-02) (scenario 0 of Table PBF-4; see also Figure PBF-5 and Figure PBF-6). The low recruitment scenario is more precautionary than the recent 10 years recruitment scenario. </w:t>
      </w:r>
    </w:p>
    <w:p w14:paraId="3CF427BB" w14:textId="77777777" w:rsidR="00F200D8" w:rsidRPr="004635E5" w:rsidRDefault="00F200D8" w:rsidP="006633A8">
      <w:pPr>
        <w:autoSpaceDE w:val="0"/>
        <w:autoSpaceDN w:val="0"/>
        <w:adjustRightInd w:val="0"/>
        <w:snapToGrid w:val="0"/>
        <w:ind w:left="1440"/>
        <w:jc w:val="both"/>
        <w:rPr>
          <w:rFonts w:eastAsia="MS Mincho"/>
          <w:b/>
          <w:sz w:val="22"/>
          <w:szCs w:val="22"/>
          <w:lang w:eastAsia="en-NZ"/>
        </w:rPr>
      </w:pPr>
    </w:p>
    <w:p w14:paraId="7DA50107" w14:textId="77777777" w:rsidR="002134AF" w:rsidRPr="004635E5" w:rsidRDefault="00F200D8" w:rsidP="006633A8">
      <w:pPr>
        <w:autoSpaceDE w:val="0"/>
        <w:autoSpaceDN w:val="0"/>
        <w:adjustRightInd w:val="0"/>
        <w:snapToGrid w:val="0"/>
        <w:ind w:left="1440"/>
        <w:jc w:val="both"/>
        <w:rPr>
          <w:rFonts w:eastAsia="MS Mincho"/>
          <w:b/>
          <w:sz w:val="22"/>
          <w:szCs w:val="22"/>
          <w:lang w:eastAsia="en-NZ"/>
        </w:rPr>
      </w:pPr>
      <w:r w:rsidRPr="004635E5">
        <w:rPr>
          <w:rFonts w:eastAsia="MS Mincho"/>
          <w:b/>
          <w:sz w:val="22"/>
          <w:szCs w:val="22"/>
          <w:lang w:eastAsia="en-NZ"/>
        </w:rPr>
        <w:t>2.</w:t>
      </w:r>
      <w:r w:rsidRPr="004635E5">
        <w:rPr>
          <w:rFonts w:eastAsia="MS Mincho"/>
          <w:b/>
          <w:sz w:val="22"/>
          <w:szCs w:val="22"/>
          <w:lang w:eastAsia="en-NZ"/>
        </w:rPr>
        <w:tab/>
        <w:t>The Harvest Strategy specifies that recruitment switches from the low recruitment scenario to the average recruitment scenario beginning in the year after achieving the initial rebuilding target. The estimated probability of achieving the second biomass rebuilding target (20%SSBF=0) 10 years after the achievement of the initial rebuilding target or by 2034, whichever is earlier, is 96% (scenario 1 of Table PBF-3, Table PBF-4, and Table PBF-5; Figure PBF-5 and Figure PBF-6). This estimate is above the threshold (60% or above in 2034) prescribed by the WCPFC Harvest Strategy. However, it should be recognized that these projection results are strongly influenced by the inclusion of the relatively high, but uncertain recruitment estimate for 2016.</w:t>
      </w:r>
    </w:p>
    <w:p w14:paraId="3E25706A" w14:textId="77777777" w:rsidR="00F200D8" w:rsidRPr="004635E5" w:rsidRDefault="00F200D8" w:rsidP="006633A8">
      <w:pPr>
        <w:autoSpaceDE w:val="0"/>
        <w:autoSpaceDN w:val="0"/>
        <w:adjustRightInd w:val="0"/>
        <w:snapToGrid w:val="0"/>
        <w:ind w:left="720"/>
        <w:jc w:val="both"/>
        <w:rPr>
          <w:rFonts w:eastAsia="MS Mincho"/>
          <w:sz w:val="22"/>
          <w:szCs w:val="22"/>
          <w:lang w:eastAsia="en-NZ"/>
        </w:rPr>
      </w:pPr>
    </w:p>
    <w:p w14:paraId="3D566A8D" w14:textId="77777777" w:rsidR="00270656" w:rsidRPr="004635E5" w:rsidRDefault="00270656" w:rsidP="006633A8">
      <w:pPr>
        <w:autoSpaceDE w:val="0"/>
        <w:autoSpaceDN w:val="0"/>
        <w:adjustRightInd w:val="0"/>
        <w:snapToGrid w:val="0"/>
        <w:ind w:left="720"/>
        <w:jc w:val="both"/>
        <w:rPr>
          <w:rFonts w:eastAsia="MS Mincho"/>
          <w:b/>
          <w:sz w:val="22"/>
          <w:szCs w:val="22"/>
          <w:lang w:eastAsia="en-NZ"/>
        </w:rPr>
      </w:pPr>
      <w:r w:rsidRPr="004635E5">
        <w:rPr>
          <w:rFonts w:eastAsia="MS Mincho"/>
          <w:sz w:val="22"/>
          <w:szCs w:val="22"/>
          <w:lang w:eastAsia="en-NZ"/>
        </w:rPr>
        <w:t xml:space="preserve">The Harvest Strategy adopted by WCPFC (Harvest Strategy 2017-02) guided projections conducted by ISC to provide catch reduction options if the projection results indicate that the initial rebuilding target will not be achieved or to provide relevant information for potential increase in catch if the probability of achieving the initial rebuilding target exceeds 75%. The projection results showed that the probability of achieving the initial rebuilding target was above the level (75% or above in 2024) prescribed in the WCPFC Harvest Strategy. </w:t>
      </w:r>
      <w:r w:rsidRPr="004635E5">
        <w:rPr>
          <w:rFonts w:eastAsia="MS Mincho"/>
          <w:b/>
          <w:sz w:val="22"/>
          <w:szCs w:val="22"/>
          <w:lang w:eastAsia="en-NZ"/>
        </w:rPr>
        <w:t>Accordingly, the ISC examined some optional scenarios with higher catch limits, which can be found in Appendix 1 of the PBF 2018 stock assessment report (SC14-SA-WP-06).</w:t>
      </w:r>
    </w:p>
    <w:p w14:paraId="3742671C" w14:textId="77777777" w:rsidR="004B2390" w:rsidRPr="004635E5" w:rsidRDefault="004B2390" w:rsidP="006633A8">
      <w:pPr>
        <w:autoSpaceDE w:val="0"/>
        <w:autoSpaceDN w:val="0"/>
        <w:adjustRightInd w:val="0"/>
        <w:snapToGrid w:val="0"/>
        <w:ind w:left="720"/>
        <w:jc w:val="both"/>
        <w:rPr>
          <w:rFonts w:eastAsiaTheme="minorEastAsia"/>
          <w:sz w:val="22"/>
          <w:szCs w:val="22"/>
          <w:lang w:eastAsia="ko-KR"/>
        </w:rPr>
      </w:pPr>
    </w:p>
    <w:p w14:paraId="097A6661" w14:textId="77777777" w:rsidR="004B2390" w:rsidRPr="004635E5" w:rsidRDefault="004B2390" w:rsidP="00BD29C2">
      <w:pPr>
        <w:pStyle w:val="SCa"/>
        <w:tabs>
          <w:tab w:val="clear" w:pos="1080"/>
        </w:tabs>
        <w:spacing w:after="0"/>
        <w:ind w:left="720"/>
      </w:pPr>
      <w:r w:rsidRPr="004635E5">
        <w:t>Research needs</w:t>
      </w:r>
    </w:p>
    <w:p w14:paraId="37B65C79" w14:textId="77777777" w:rsidR="004B2390" w:rsidRPr="004635E5" w:rsidRDefault="004B2390" w:rsidP="006633A8">
      <w:pPr>
        <w:pStyle w:val="SCa"/>
        <w:spacing w:after="0"/>
        <w:ind w:left="1800"/>
      </w:pPr>
    </w:p>
    <w:p w14:paraId="6A066180" w14:textId="77777777" w:rsidR="004B2390" w:rsidRPr="004635E5" w:rsidRDefault="004B2390"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 xml:space="preserve">Given the low SSB, the uncertainty in future recruitment, and the influence of recruitment on stock biomass, monitoring of recruitment and SSB should be strengthened so that the recruitment trends can be understood in a timely manner. </w:t>
      </w:r>
    </w:p>
    <w:p w14:paraId="11D759A6" w14:textId="77777777" w:rsidR="004B2390" w:rsidRPr="004635E5" w:rsidRDefault="004B2390" w:rsidP="006633A8">
      <w:pPr>
        <w:autoSpaceDE w:val="0"/>
        <w:autoSpaceDN w:val="0"/>
        <w:adjustRightInd w:val="0"/>
        <w:snapToGrid w:val="0"/>
        <w:jc w:val="both"/>
        <w:rPr>
          <w:rFonts w:eastAsia="MS Mincho"/>
          <w:sz w:val="22"/>
          <w:szCs w:val="22"/>
          <w:lang w:eastAsia="en-NZ"/>
        </w:rPr>
        <w:sectPr w:rsidR="004B2390" w:rsidRPr="004635E5" w:rsidSect="00436E03">
          <w:type w:val="continuous"/>
          <w:pgSz w:w="12240" w:h="15840" w:code="1"/>
          <w:pgMar w:top="1440" w:right="1440" w:bottom="1440" w:left="1440" w:header="720" w:footer="720" w:gutter="0"/>
          <w:cols w:space="720"/>
          <w:docGrid w:linePitch="360"/>
        </w:sectPr>
      </w:pPr>
    </w:p>
    <w:p w14:paraId="0D96E93C" w14:textId="77777777" w:rsidR="00270656" w:rsidRPr="004635E5" w:rsidRDefault="00270656" w:rsidP="006633A8">
      <w:pPr>
        <w:autoSpaceDE w:val="0"/>
        <w:autoSpaceDN w:val="0"/>
        <w:adjustRightInd w:val="0"/>
        <w:snapToGrid w:val="0"/>
        <w:jc w:val="both"/>
        <w:rPr>
          <w:rFonts w:eastAsia="MS Mincho"/>
          <w:bCs/>
          <w:sz w:val="22"/>
          <w:szCs w:val="22"/>
          <w:lang w:eastAsia="en-NZ"/>
        </w:rPr>
      </w:pPr>
      <w:bookmarkStart w:id="88" w:name="_Ref519184275"/>
      <w:bookmarkStart w:id="89" w:name="_Toc520790138"/>
      <w:r w:rsidRPr="004635E5">
        <w:rPr>
          <w:rFonts w:eastAsia="MS Mincho"/>
          <w:b/>
          <w:bCs/>
          <w:sz w:val="22"/>
          <w:szCs w:val="22"/>
          <w:lang w:eastAsia="en-NZ"/>
        </w:rPr>
        <w:t>Table PBF</w:t>
      </w:r>
      <w:r w:rsidRPr="004635E5">
        <w:rPr>
          <w:rFonts w:eastAsia="MS Mincho"/>
          <w:b/>
          <w:bCs/>
          <w:sz w:val="22"/>
          <w:szCs w:val="22"/>
          <w:lang w:eastAsia="en-NZ"/>
        </w:rPr>
        <w:noBreakHyphen/>
      </w:r>
      <w:r w:rsidR="00122DC5" w:rsidRPr="004635E5">
        <w:rPr>
          <w:rFonts w:eastAsia="MS Mincho"/>
          <w:b/>
          <w:bCs/>
          <w:sz w:val="22"/>
          <w:szCs w:val="22"/>
          <w:lang w:eastAsia="en-NZ"/>
        </w:rPr>
        <w:t>1</w:t>
      </w:r>
      <w:bookmarkEnd w:id="88"/>
      <w:r w:rsidRPr="004635E5">
        <w:rPr>
          <w:rFonts w:eastAsia="MS Mincho"/>
          <w:bCs/>
          <w:sz w:val="22"/>
          <w:szCs w:val="22"/>
          <w:lang w:eastAsia="en-NZ"/>
        </w:rPr>
        <w:t>. Total biomass, spawning stock biomass and recruitment of Pacific bluefin tuna (</w:t>
      </w:r>
      <w:r w:rsidRPr="004635E5">
        <w:rPr>
          <w:rFonts w:eastAsia="MS Mincho"/>
          <w:bCs/>
          <w:i/>
          <w:sz w:val="22"/>
          <w:szCs w:val="22"/>
          <w:lang w:eastAsia="en-NZ"/>
        </w:rPr>
        <w:t>Thunnus orientalis</w:t>
      </w:r>
      <w:r w:rsidRPr="004635E5">
        <w:rPr>
          <w:rFonts w:eastAsia="MS Mincho"/>
          <w:bCs/>
          <w:sz w:val="22"/>
          <w:szCs w:val="22"/>
          <w:lang w:eastAsia="en-NZ"/>
        </w:rPr>
        <w:t>) estimated by the base-case model, where coefficient of variation (CV) measures relative variability defined as the ratio of the standard deviation to the mean.</w:t>
      </w:r>
      <w:bookmarkEnd w:id="89"/>
      <w:r w:rsidRPr="004635E5">
        <w:rPr>
          <w:rFonts w:eastAsia="MS Mincho"/>
          <w:bCs/>
          <w:sz w:val="22"/>
          <w:szCs w:val="22"/>
          <w:lang w:eastAsia="en-NZ"/>
        </w:rPr>
        <w:t xml:space="preserve"> </w:t>
      </w:r>
    </w:p>
    <w:p w14:paraId="717E518D" w14:textId="77777777" w:rsidR="00270656" w:rsidRPr="004635E5" w:rsidRDefault="00292054" w:rsidP="006633A8">
      <w:pPr>
        <w:autoSpaceDE w:val="0"/>
        <w:autoSpaceDN w:val="0"/>
        <w:adjustRightInd w:val="0"/>
        <w:snapToGrid w:val="0"/>
        <w:jc w:val="both"/>
        <w:rPr>
          <w:rFonts w:eastAsia="MS Mincho"/>
          <w:sz w:val="22"/>
          <w:szCs w:val="22"/>
          <w:lang w:eastAsia="en-NZ"/>
        </w:rPr>
      </w:pPr>
      <w:r w:rsidRPr="004635E5">
        <w:rPr>
          <w:rFonts w:eastAsia="MS Mincho"/>
          <w:noProof/>
          <w:sz w:val="22"/>
          <w:szCs w:val="22"/>
          <w:lang w:eastAsia="zh-CN" w:bidi="mn-Mong-CN"/>
        </w:rPr>
        <w:drawing>
          <wp:inline distT="0" distB="0" distL="0" distR="0" wp14:anchorId="633300FD" wp14:editId="36B9DB94">
            <wp:extent cx="4428308" cy="7674716"/>
            <wp:effectExtent l="0" t="0" r="0" b="2540"/>
            <wp:docPr id="1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25759" cy="7670298"/>
                    </a:xfrm>
                    <a:prstGeom prst="rect">
                      <a:avLst/>
                    </a:prstGeom>
                    <a:noFill/>
                    <a:ln>
                      <a:noFill/>
                    </a:ln>
                  </pic:spPr>
                </pic:pic>
              </a:graphicData>
            </a:graphic>
          </wp:inline>
        </w:drawing>
      </w:r>
    </w:p>
    <w:p w14:paraId="160B7540" w14:textId="77777777" w:rsidR="00270656" w:rsidRPr="004635E5" w:rsidRDefault="00270656" w:rsidP="006633A8">
      <w:pPr>
        <w:autoSpaceDE w:val="0"/>
        <w:autoSpaceDN w:val="0"/>
        <w:adjustRightInd w:val="0"/>
        <w:snapToGrid w:val="0"/>
        <w:jc w:val="both"/>
        <w:rPr>
          <w:rFonts w:eastAsia="MS Mincho"/>
          <w:bCs/>
          <w:sz w:val="22"/>
          <w:szCs w:val="22"/>
          <w:lang w:eastAsia="en-NZ"/>
        </w:rPr>
      </w:pPr>
      <w:bookmarkStart w:id="90" w:name="_Ref519184699"/>
      <w:bookmarkStart w:id="91" w:name="_Toc520790139"/>
      <w:r w:rsidRPr="004635E5">
        <w:rPr>
          <w:rFonts w:eastAsia="MS Mincho"/>
          <w:b/>
          <w:bCs/>
          <w:sz w:val="22"/>
          <w:szCs w:val="22"/>
          <w:lang w:eastAsia="en-NZ"/>
        </w:rPr>
        <w:t>Table PBF</w:t>
      </w:r>
      <w:r w:rsidR="00122DC5" w:rsidRPr="004635E5">
        <w:rPr>
          <w:rFonts w:eastAsia="MS Mincho"/>
          <w:b/>
          <w:bCs/>
          <w:sz w:val="22"/>
          <w:szCs w:val="22"/>
          <w:lang w:eastAsia="en-NZ"/>
        </w:rPr>
        <w:t>-2</w:t>
      </w:r>
      <w:bookmarkEnd w:id="90"/>
      <w:r w:rsidRPr="004635E5">
        <w:rPr>
          <w:rFonts w:eastAsia="MS Mincho"/>
          <w:b/>
          <w:bCs/>
          <w:sz w:val="22"/>
          <w:szCs w:val="22"/>
          <w:lang w:eastAsia="en-NZ"/>
        </w:rPr>
        <w:t>.</w:t>
      </w:r>
      <w:r w:rsidRPr="004635E5">
        <w:rPr>
          <w:rFonts w:eastAsia="MS Mincho"/>
          <w:bCs/>
          <w:sz w:val="22"/>
          <w:szCs w:val="22"/>
          <w:lang w:eastAsia="en-NZ"/>
        </w:rPr>
        <w:t xml:space="preserve"> Spawning stock biomass and fishing intensity of Pacific bluefin tuna (</w:t>
      </w:r>
      <w:r w:rsidRPr="004635E5">
        <w:rPr>
          <w:rFonts w:eastAsia="MS Mincho"/>
          <w:bCs/>
          <w:i/>
          <w:sz w:val="22"/>
          <w:szCs w:val="22"/>
          <w:lang w:eastAsia="en-NZ"/>
        </w:rPr>
        <w:t>Thunnus orientalis</w:t>
      </w:r>
      <w:r w:rsidRPr="004635E5">
        <w:rPr>
          <w:rFonts w:eastAsia="MS Mincho"/>
          <w:bCs/>
          <w:sz w:val="22"/>
          <w:szCs w:val="22"/>
          <w:lang w:eastAsia="en-NZ"/>
        </w:rPr>
        <w:t>) in 1995 (recent high biomass), 2002-2004 (WCPFC reference year biomass), 2011 (biomass 5 years ago), and 2016 (latest) to those of the adopted WCPFC biomass rebuilding targets. SPR is used as a measure of fishing intensity; the lower the number the higher the fishing intensity that year.</w:t>
      </w:r>
      <w:bookmarkEnd w:id="91"/>
    </w:p>
    <w:tbl>
      <w:tblPr>
        <w:tblStyle w:val="TableGrid"/>
        <w:tblW w:w="0" w:type="auto"/>
        <w:tblLook w:val="04A0" w:firstRow="1" w:lastRow="0" w:firstColumn="1" w:lastColumn="0" w:noHBand="0" w:noVBand="1"/>
      </w:tblPr>
      <w:tblGrid>
        <w:gridCol w:w="1576"/>
        <w:gridCol w:w="1578"/>
        <w:gridCol w:w="1525"/>
        <w:gridCol w:w="1144"/>
        <w:gridCol w:w="1426"/>
        <w:gridCol w:w="1067"/>
        <w:gridCol w:w="1260"/>
      </w:tblGrid>
      <w:tr w:rsidR="00270656" w:rsidRPr="004635E5" w14:paraId="13825FD5" w14:textId="77777777" w:rsidTr="00F32B86">
        <w:tc>
          <w:tcPr>
            <w:tcW w:w="1885" w:type="dxa"/>
          </w:tcPr>
          <w:p w14:paraId="509DE8CC" w14:textId="77777777" w:rsidR="00270656" w:rsidRPr="004635E5" w:rsidRDefault="00270656" w:rsidP="006633A8">
            <w:pPr>
              <w:autoSpaceDE w:val="0"/>
              <w:autoSpaceDN w:val="0"/>
              <w:adjustRightInd w:val="0"/>
              <w:snapToGrid w:val="0"/>
              <w:spacing w:after="0"/>
              <w:jc w:val="both"/>
              <w:rPr>
                <w:rFonts w:eastAsia="MS Mincho"/>
                <w:b/>
                <w:sz w:val="22"/>
                <w:szCs w:val="22"/>
                <w:lang w:eastAsia="en-NZ"/>
              </w:rPr>
            </w:pPr>
          </w:p>
        </w:tc>
        <w:tc>
          <w:tcPr>
            <w:tcW w:w="1800" w:type="dxa"/>
          </w:tcPr>
          <w:p w14:paraId="54F8BE10" w14:textId="77777777" w:rsidR="00270656" w:rsidRPr="004635E5" w:rsidRDefault="00270656" w:rsidP="006633A8">
            <w:pPr>
              <w:autoSpaceDE w:val="0"/>
              <w:autoSpaceDN w:val="0"/>
              <w:adjustRightInd w:val="0"/>
              <w:snapToGrid w:val="0"/>
              <w:spacing w:after="0"/>
              <w:jc w:val="both"/>
              <w:rPr>
                <w:rFonts w:eastAsia="MS Mincho"/>
                <w:b/>
                <w:sz w:val="22"/>
                <w:szCs w:val="22"/>
                <w:lang w:eastAsia="en-NZ"/>
              </w:rPr>
            </w:pPr>
            <w:r w:rsidRPr="004635E5">
              <w:rPr>
                <w:rFonts w:eastAsia="MS Mincho"/>
                <w:b/>
                <w:sz w:val="22"/>
                <w:szCs w:val="22"/>
                <w:lang w:eastAsia="en-NZ"/>
              </w:rPr>
              <w:t>Initial rebuilding target</w:t>
            </w:r>
          </w:p>
        </w:tc>
        <w:tc>
          <w:tcPr>
            <w:tcW w:w="1890" w:type="dxa"/>
          </w:tcPr>
          <w:p w14:paraId="65A0517D" w14:textId="77777777" w:rsidR="00270656" w:rsidRPr="004635E5" w:rsidRDefault="00270656" w:rsidP="006633A8">
            <w:pPr>
              <w:autoSpaceDE w:val="0"/>
              <w:autoSpaceDN w:val="0"/>
              <w:adjustRightInd w:val="0"/>
              <w:snapToGrid w:val="0"/>
              <w:spacing w:after="0"/>
              <w:jc w:val="both"/>
              <w:rPr>
                <w:rFonts w:eastAsia="MS Mincho"/>
                <w:b/>
                <w:sz w:val="22"/>
                <w:szCs w:val="22"/>
                <w:lang w:eastAsia="en-NZ"/>
              </w:rPr>
            </w:pPr>
            <w:r w:rsidRPr="004635E5">
              <w:rPr>
                <w:rFonts w:eastAsia="MS Mincho"/>
                <w:b/>
                <w:sz w:val="22"/>
                <w:szCs w:val="22"/>
                <w:lang w:eastAsia="en-NZ"/>
              </w:rPr>
              <w:t>Second rebuilding target</w:t>
            </w:r>
          </w:p>
        </w:tc>
        <w:tc>
          <w:tcPr>
            <w:tcW w:w="1440" w:type="dxa"/>
          </w:tcPr>
          <w:p w14:paraId="526314E8" w14:textId="77777777" w:rsidR="00270656" w:rsidRPr="004635E5" w:rsidRDefault="00270656" w:rsidP="006633A8">
            <w:pPr>
              <w:autoSpaceDE w:val="0"/>
              <w:autoSpaceDN w:val="0"/>
              <w:adjustRightInd w:val="0"/>
              <w:snapToGrid w:val="0"/>
              <w:spacing w:after="0"/>
              <w:jc w:val="both"/>
              <w:rPr>
                <w:rFonts w:eastAsia="MS Mincho"/>
                <w:b/>
                <w:sz w:val="22"/>
                <w:szCs w:val="22"/>
                <w:lang w:eastAsia="en-NZ"/>
              </w:rPr>
            </w:pPr>
            <w:r w:rsidRPr="004635E5">
              <w:rPr>
                <w:rFonts w:eastAsia="MS Mincho"/>
                <w:b/>
                <w:sz w:val="22"/>
                <w:szCs w:val="22"/>
                <w:lang w:eastAsia="en-NZ"/>
              </w:rPr>
              <w:t xml:space="preserve">1995 </w:t>
            </w:r>
            <w:r w:rsidRPr="004635E5">
              <w:rPr>
                <w:rFonts w:eastAsia="MS Mincho"/>
                <w:b/>
                <w:sz w:val="22"/>
                <w:szCs w:val="22"/>
                <w:lang w:eastAsia="en-NZ"/>
              </w:rPr>
              <w:br/>
              <w:t>(recent high)</w:t>
            </w:r>
          </w:p>
        </w:tc>
        <w:tc>
          <w:tcPr>
            <w:tcW w:w="1710" w:type="dxa"/>
          </w:tcPr>
          <w:p w14:paraId="3E25E2B8" w14:textId="77777777" w:rsidR="00270656" w:rsidRPr="004635E5" w:rsidRDefault="00270656" w:rsidP="006633A8">
            <w:pPr>
              <w:autoSpaceDE w:val="0"/>
              <w:autoSpaceDN w:val="0"/>
              <w:adjustRightInd w:val="0"/>
              <w:snapToGrid w:val="0"/>
              <w:spacing w:after="0"/>
              <w:jc w:val="both"/>
              <w:rPr>
                <w:rFonts w:eastAsia="MS Mincho"/>
                <w:b/>
                <w:sz w:val="22"/>
                <w:szCs w:val="22"/>
                <w:lang w:eastAsia="en-NZ"/>
              </w:rPr>
            </w:pPr>
            <w:r w:rsidRPr="004635E5">
              <w:rPr>
                <w:rFonts w:eastAsia="MS Mincho"/>
                <w:b/>
                <w:sz w:val="22"/>
                <w:szCs w:val="22"/>
                <w:lang w:eastAsia="en-NZ"/>
              </w:rPr>
              <w:t>2002-2004 (reference year)</w:t>
            </w:r>
          </w:p>
        </w:tc>
        <w:tc>
          <w:tcPr>
            <w:tcW w:w="1453" w:type="dxa"/>
          </w:tcPr>
          <w:p w14:paraId="4E778FE6" w14:textId="77777777" w:rsidR="00270656" w:rsidRPr="004635E5" w:rsidRDefault="00270656" w:rsidP="006633A8">
            <w:pPr>
              <w:autoSpaceDE w:val="0"/>
              <w:autoSpaceDN w:val="0"/>
              <w:adjustRightInd w:val="0"/>
              <w:snapToGrid w:val="0"/>
              <w:spacing w:after="0"/>
              <w:jc w:val="both"/>
              <w:rPr>
                <w:rFonts w:eastAsia="MS Mincho"/>
                <w:b/>
                <w:sz w:val="22"/>
                <w:szCs w:val="22"/>
                <w:lang w:eastAsia="en-NZ"/>
              </w:rPr>
            </w:pPr>
            <w:r w:rsidRPr="004635E5">
              <w:rPr>
                <w:rFonts w:eastAsia="MS Mincho"/>
                <w:b/>
                <w:sz w:val="22"/>
                <w:szCs w:val="22"/>
                <w:lang w:eastAsia="en-NZ"/>
              </w:rPr>
              <w:t xml:space="preserve">2011 </w:t>
            </w:r>
            <w:r w:rsidRPr="004635E5">
              <w:rPr>
                <w:rFonts w:eastAsia="MS Mincho"/>
                <w:b/>
                <w:sz w:val="22"/>
                <w:szCs w:val="22"/>
                <w:lang w:eastAsia="en-NZ"/>
              </w:rPr>
              <w:br/>
              <w:t>(5 years ago)</w:t>
            </w:r>
          </w:p>
        </w:tc>
        <w:tc>
          <w:tcPr>
            <w:tcW w:w="1697" w:type="dxa"/>
          </w:tcPr>
          <w:p w14:paraId="5BD84956" w14:textId="77777777" w:rsidR="00270656" w:rsidRPr="004635E5" w:rsidRDefault="00270656" w:rsidP="006633A8">
            <w:pPr>
              <w:autoSpaceDE w:val="0"/>
              <w:autoSpaceDN w:val="0"/>
              <w:adjustRightInd w:val="0"/>
              <w:snapToGrid w:val="0"/>
              <w:spacing w:after="0"/>
              <w:jc w:val="both"/>
              <w:rPr>
                <w:rFonts w:eastAsia="MS Mincho"/>
                <w:b/>
                <w:sz w:val="22"/>
                <w:szCs w:val="22"/>
                <w:lang w:eastAsia="en-NZ"/>
              </w:rPr>
            </w:pPr>
            <w:r w:rsidRPr="004635E5">
              <w:rPr>
                <w:rFonts w:eastAsia="MS Mincho"/>
                <w:b/>
                <w:sz w:val="22"/>
                <w:szCs w:val="22"/>
                <w:lang w:eastAsia="en-NZ"/>
              </w:rPr>
              <w:t xml:space="preserve">2016 </w:t>
            </w:r>
            <w:r w:rsidRPr="004635E5">
              <w:rPr>
                <w:rFonts w:eastAsia="MS Mincho"/>
                <w:b/>
                <w:sz w:val="22"/>
                <w:szCs w:val="22"/>
                <w:lang w:eastAsia="en-NZ"/>
              </w:rPr>
              <w:br/>
              <w:t>(latest)</w:t>
            </w:r>
          </w:p>
        </w:tc>
      </w:tr>
      <w:tr w:rsidR="00270656" w:rsidRPr="004635E5" w14:paraId="6A87E1AA" w14:textId="77777777" w:rsidTr="00F32B86">
        <w:trPr>
          <w:trHeight w:val="512"/>
        </w:trPr>
        <w:tc>
          <w:tcPr>
            <w:tcW w:w="1885" w:type="dxa"/>
            <w:vAlign w:val="center"/>
          </w:tcPr>
          <w:p w14:paraId="0BA31DF6" w14:textId="77777777"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Biomass (%SSBF=0)</w:t>
            </w:r>
          </w:p>
        </w:tc>
        <w:tc>
          <w:tcPr>
            <w:tcW w:w="1800" w:type="dxa"/>
            <w:vAlign w:val="center"/>
          </w:tcPr>
          <w:p w14:paraId="0BC126F5" w14:textId="77777777"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SSB median1952-2014 = 6.7%</w:t>
            </w:r>
          </w:p>
        </w:tc>
        <w:tc>
          <w:tcPr>
            <w:tcW w:w="1890" w:type="dxa"/>
            <w:vAlign w:val="center"/>
          </w:tcPr>
          <w:p w14:paraId="0C004E83" w14:textId="77777777"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20%</w:t>
            </w:r>
          </w:p>
        </w:tc>
        <w:tc>
          <w:tcPr>
            <w:tcW w:w="1440" w:type="dxa"/>
            <w:vAlign w:val="center"/>
          </w:tcPr>
          <w:p w14:paraId="02D0B256" w14:textId="77777777"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10.4%</w:t>
            </w:r>
          </w:p>
        </w:tc>
        <w:tc>
          <w:tcPr>
            <w:tcW w:w="1710" w:type="dxa"/>
            <w:vAlign w:val="center"/>
          </w:tcPr>
          <w:p w14:paraId="1B56504E" w14:textId="77777777"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7.1%</w:t>
            </w:r>
          </w:p>
        </w:tc>
        <w:tc>
          <w:tcPr>
            <w:tcW w:w="1453" w:type="dxa"/>
            <w:vAlign w:val="center"/>
          </w:tcPr>
          <w:p w14:paraId="5953899E" w14:textId="77777777"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2.1%</w:t>
            </w:r>
          </w:p>
        </w:tc>
        <w:tc>
          <w:tcPr>
            <w:tcW w:w="1697" w:type="dxa"/>
            <w:vAlign w:val="center"/>
          </w:tcPr>
          <w:p w14:paraId="74D3559A" w14:textId="77777777"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3.3%</w:t>
            </w:r>
          </w:p>
        </w:tc>
      </w:tr>
      <w:tr w:rsidR="00270656" w:rsidRPr="004635E5" w14:paraId="07821CC6" w14:textId="77777777" w:rsidTr="00F32B86">
        <w:tc>
          <w:tcPr>
            <w:tcW w:w="1885" w:type="dxa"/>
            <w:vAlign w:val="center"/>
          </w:tcPr>
          <w:p w14:paraId="79E9262C" w14:textId="77777777"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SPR</w:t>
            </w:r>
          </w:p>
        </w:tc>
        <w:tc>
          <w:tcPr>
            <w:tcW w:w="1800" w:type="dxa"/>
            <w:vAlign w:val="center"/>
          </w:tcPr>
          <w:p w14:paraId="006A6A03" w14:textId="77777777"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6.7%</w:t>
            </w:r>
          </w:p>
        </w:tc>
        <w:tc>
          <w:tcPr>
            <w:tcW w:w="1890" w:type="dxa"/>
            <w:vAlign w:val="center"/>
          </w:tcPr>
          <w:p w14:paraId="0D71AAAB" w14:textId="77777777"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20%</w:t>
            </w:r>
          </w:p>
        </w:tc>
        <w:tc>
          <w:tcPr>
            <w:tcW w:w="1440" w:type="dxa"/>
            <w:vAlign w:val="center"/>
          </w:tcPr>
          <w:p w14:paraId="5CAD10BA" w14:textId="77777777"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5.1%</w:t>
            </w:r>
          </w:p>
        </w:tc>
        <w:tc>
          <w:tcPr>
            <w:tcW w:w="1710" w:type="dxa"/>
            <w:vAlign w:val="center"/>
          </w:tcPr>
          <w:p w14:paraId="76679429" w14:textId="77777777"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3.4%</w:t>
            </w:r>
          </w:p>
        </w:tc>
        <w:tc>
          <w:tcPr>
            <w:tcW w:w="1453" w:type="dxa"/>
            <w:vAlign w:val="center"/>
          </w:tcPr>
          <w:p w14:paraId="7EABD04B" w14:textId="77777777"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4.9%</w:t>
            </w:r>
          </w:p>
        </w:tc>
        <w:tc>
          <w:tcPr>
            <w:tcW w:w="1697" w:type="dxa"/>
            <w:vAlign w:val="center"/>
          </w:tcPr>
          <w:p w14:paraId="2062C090" w14:textId="77777777"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6.7%</w:t>
            </w:r>
          </w:p>
        </w:tc>
      </w:tr>
    </w:tbl>
    <w:p w14:paraId="25967DD8" w14:textId="77777777" w:rsidR="00270656" w:rsidRPr="004635E5" w:rsidRDefault="00270656" w:rsidP="006633A8">
      <w:pPr>
        <w:autoSpaceDE w:val="0"/>
        <w:autoSpaceDN w:val="0"/>
        <w:adjustRightInd w:val="0"/>
        <w:snapToGrid w:val="0"/>
        <w:jc w:val="both"/>
        <w:rPr>
          <w:rFonts w:eastAsia="MS Mincho"/>
          <w:b/>
          <w:bCs/>
          <w:sz w:val="22"/>
          <w:szCs w:val="22"/>
          <w:lang w:eastAsia="en-NZ"/>
        </w:rPr>
      </w:pPr>
      <w:bookmarkStart w:id="92" w:name="_Ref519447180"/>
      <w:bookmarkStart w:id="93" w:name="_Toc520790140"/>
    </w:p>
    <w:p w14:paraId="19669DDD" w14:textId="77777777" w:rsidR="00270656" w:rsidRPr="004635E5" w:rsidRDefault="00270656" w:rsidP="006633A8">
      <w:pPr>
        <w:autoSpaceDE w:val="0"/>
        <w:autoSpaceDN w:val="0"/>
        <w:adjustRightInd w:val="0"/>
        <w:snapToGrid w:val="0"/>
        <w:jc w:val="both"/>
        <w:rPr>
          <w:rFonts w:eastAsia="MS Mincho"/>
          <w:b/>
          <w:bCs/>
          <w:sz w:val="22"/>
          <w:szCs w:val="22"/>
          <w:lang w:eastAsia="en-NZ"/>
        </w:rPr>
      </w:pPr>
    </w:p>
    <w:p w14:paraId="10C2EB53" w14:textId="77777777" w:rsidR="00270656" w:rsidRPr="004635E5" w:rsidRDefault="00270656" w:rsidP="006633A8">
      <w:pPr>
        <w:autoSpaceDE w:val="0"/>
        <w:autoSpaceDN w:val="0"/>
        <w:adjustRightInd w:val="0"/>
        <w:snapToGrid w:val="0"/>
        <w:jc w:val="both"/>
        <w:rPr>
          <w:rFonts w:eastAsia="MS Mincho"/>
          <w:bCs/>
          <w:sz w:val="22"/>
          <w:szCs w:val="22"/>
          <w:lang w:eastAsia="en-NZ"/>
        </w:rPr>
      </w:pPr>
      <w:r w:rsidRPr="004635E5">
        <w:rPr>
          <w:rFonts w:eastAsia="MS Mincho"/>
          <w:b/>
          <w:bCs/>
          <w:sz w:val="22"/>
          <w:szCs w:val="22"/>
          <w:lang w:eastAsia="en-NZ"/>
        </w:rPr>
        <w:t>Table PBF</w:t>
      </w:r>
      <w:r w:rsidR="00122DC5" w:rsidRPr="004635E5">
        <w:rPr>
          <w:rFonts w:eastAsia="MS Mincho"/>
          <w:b/>
          <w:bCs/>
          <w:sz w:val="22"/>
          <w:szCs w:val="22"/>
          <w:lang w:eastAsia="en-NZ"/>
        </w:rPr>
        <w:t>-3</w:t>
      </w:r>
      <w:bookmarkEnd w:id="92"/>
      <w:r w:rsidRPr="004635E5">
        <w:rPr>
          <w:rFonts w:eastAsia="MS Mincho"/>
          <w:b/>
          <w:bCs/>
          <w:sz w:val="22"/>
          <w:szCs w:val="22"/>
          <w:lang w:eastAsia="en-NZ"/>
        </w:rPr>
        <w:t>.</w:t>
      </w:r>
      <w:r w:rsidRPr="004635E5">
        <w:rPr>
          <w:rFonts w:eastAsia="MS Mincho"/>
          <w:bCs/>
          <w:sz w:val="22"/>
          <w:szCs w:val="22"/>
          <w:lang w:eastAsia="en-NZ"/>
        </w:rPr>
        <w:t xml:space="preserve"> Ratios of the estimated fishing intensities mortalities (Fs and 1-SPRs for 2002-04, 2012-14, 2015-16) relative to potential fishing intensity-based reference points, and terminal year SSB (t) for each reference period, and depletion ratios for the terminal year of the reference period for Pacific bluefin tuna (</w:t>
      </w:r>
      <w:r w:rsidRPr="004635E5">
        <w:rPr>
          <w:rFonts w:eastAsia="MS Mincho"/>
          <w:bCs/>
          <w:i/>
          <w:sz w:val="22"/>
          <w:szCs w:val="22"/>
          <w:lang w:eastAsia="en-NZ"/>
        </w:rPr>
        <w:t>Thunnus orientalis</w:t>
      </w:r>
      <w:r w:rsidRPr="004635E5">
        <w:rPr>
          <w:rFonts w:eastAsia="MS Mincho"/>
          <w:bCs/>
          <w:sz w:val="22"/>
          <w:szCs w:val="22"/>
          <w:lang w:eastAsia="en-NZ"/>
        </w:rPr>
        <w:t>).</w:t>
      </w:r>
      <w:bookmarkEnd w:id="93"/>
    </w:p>
    <w:p w14:paraId="20CA7FEF" w14:textId="77777777" w:rsidR="00270656" w:rsidRPr="004635E5" w:rsidRDefault="00292054" w:rsidP="006633A8">
      <w:pPr>
        <w:autoSpaceDE w:val="0"/>
        <w:autoSpaceDN w:val="0"/>
        <w:adjustRightInd w:val="0"/>
        <w:snapToGrid w:val="0"/>
        <w:jc w:val="both"/>
        <w:rPr>
          <w:rFonts w:eastAsia="MS Mincho"/>
          <w:sz w:val="22"/>
          <w:szCs w:val="22"/>
          <w:lang w:eastAsia="en-NZ"/>
        </w:rPr>
      </w:pPr>
      <w:r w:rsidRPr="004635E5">
        <w:rPr>
          <w:rFonts w:eastAsia="MS Mincho"/>
          <w:b/>
          <w:noProof/>
          <w:sz w:val="22"/>
          <w:szCs w:val="22"/>
          <w:lang w:eastAsia="zh-CN" w:bidi="mn-Mong-CN"/>
        </w:rPr>
        <w:drawing>
          <wp:inline distT="0" distB="0" distL="0" distR="0" wp14:anchorId="1329854D" wp14:editId="3AEB87DB">
            <wp:extent cx="5943600" cy="1198880"/>
            <wp:effectExtent l="0" t="0" r="0" b="0"/>
            <wp:docPr id="1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1198880"/>
                    </a:xfrm>
                    <a:prstGeom prst="rect">
                      <a:avLst/>
                    </a:prstGeom>
                    <a:noFill/>
                    <a:ln>
                      <a:noFill/>
                    </a:ln>
                  </pic:spPr>
                </pic:pic>
              </a:graphicData>
            </a:graphic>
          </wp:inline>
        </w:drawing>
      </w:r>
    </w:p>
    <w:p w14:paraId="139AB0D2" w14:textId="77777777" w:rsidR="00270656" w:rsidRPr="004635E5" w:rsidRDefault="00270656" w:rsidP="00580EA4">
      <w:pPr>
        <w:numPr>
          <w:ilvl w:val="0"/>
          <w:numId w:val="18"/>
        </w:numPr>
        <w:autoSpaceDE w:val="0"/>
        <w:autoSpaceDN w:val="0"/>
        <w:adjustRightInd w:val="0"/>
        <w:snapToGrid w:val="0"/>
        <w:ind w:left="0" w:firstLine="0"/>
        <w:jc w:val="both"/>
        <w:rPr>
          <w:rFonts w:eastAsia="MS Mincho"/>
          <w:sz w:val="22"/>
          <w:szCs w:val="22"/>
          <w:lang w:eastAsia="en-NZ"/>
        </w:rPr>
        <w:sectPr w:rsidR="00270656" w:rsidRPr="004635E5" w:rsidSect="00436E03">
          <w:pgSz w:w="12240" w:h="15840" w:code="1"/>
          <w:pgMar w:top="1440" w:right="1440" w:bottom="1440" w:left="1440" w:header="720" w:footer="720" w:gutter="0"/>
          <w:cols w:space="720"/>
          <w:docGrid w:linePitch="360"/>
        </w:sectPr>
      </w:pPr>
    </w:p>
    <w:p w14:paraId="307E1639" w14:textId="77777777" w:rsidR="00270656" w:rsidRPr="004635E5" w:rsidRDefault="00270656" w:rsidP="006633A8">
      <w:pPr>
        <w:autoSpaceDE w:val="0"/>
        <w:autoSpaceDN w:val="0"/>
        <w:adjustRightInd w:val="0"/>
        <w:snapToGrid w:val="0"/>
        <w:jc w:val="both"/>
        <w:rPr>
          <w:rFonts w:eastAsia="MS Mincho"/>
          <w:bCs/>
          <w:sz w:val="22"/>
          <w:szCs w:val="22"/>
          <w:lang w:eastAsia="en-NZ"/>
        </w:rPr>
      </w:pPr>
      <w:bookmarkStart w:id="94" w:name="_Ref519184491"/>
      <w:bookmarkStart w:id="95" w:name="_Toc520790141"/>
      <w:r w:rsidRPr="004635E5">
        <w:rPr>
          <w:rFonts w:eastAsia="MS Mincho"/>
          <w:b/>
          <w:bCs/>
          <w:sz w:val="22"/>
          <w:szCs w:val="22"/>
          <w:lang w:eastAsia="en-NZ"/>
        </w:rPr>
        <w:t>Table PBF</w:t>
      </w:r>
      <w:r w:rsidR="00122DC5" w:rsidRPr="004635E5">
        <w:rPr>
          <w:rFonts w:eastAsia="MS Mincho"/>
          <w:b/>
          <w:bCs/>
          <w:sz w:val="22"/>
          <w:szCs w:val="22"/>
          <w:lang w:eastAsia="en-NZ"/>
        </w:rPr>
        <w:t>-4</w:t>
      </w:r>
      <w:bookmarkEnd w:id="94"/>
      <w:r w:rsidRPr="004635E5">
        <w:rPr>
          <w:rFonts w:eastAsia="MS Mincho"/>
          <w:b/>
          <w:bCs/>
          <w:sz w:val="22"/>
          <w:szCs w:val="22"/>
          <w:lang w:eastAsia="en-NZ"/>
        </w:rPr>
        <w:t>.</w:t>
      </w:r>
      <w:r w:rsidRPr="004635E5">
        <w:rPr>
          <w:rFonts w:eastAsia="MS Mincho"/>
          <w:bCs/>
          <w:sz w:val="22"/>
          <w:szCs w:val="22"/>
          <w:lang w:eastAsia="en-NZ"/>
        </w:rPr>
        <w:t xml:space="preserve"> Future projection scenarios for Pacific bluefin tuna (</w:t>
      </w:r>
      <w:r w:rsidRPr="004635E5">
        <w:rPr>
          <w:rFonts w:eastAsia="MS Mincho"/>
          <w:bCs/>
          <w:i/>
          <w:sz w:val="22"/>
          <w:szCs w:val="22"/>
          <w:lang w:eastAsia="en-NZ"/>
        </w:rPr>
        <w:t>Thunnus orientalis</w:t>
      </w:r>
      <w:r w:rsidRPr="004635E5">
        <w:rPr>
          <w:rFonts w:eastAsia="MS Mincho"/>
          <w:bCs/>
          <w:sz w:val="22"/>
          <w:szCs w:val="22"/>
          <w:lang w:eastAsia="en-NZ"/>
        </w:rPr>
        <w:t>).</w:t>
      </w:r>
      <w:bookmarkEnd w:id="95"/>
    </w:p>
    <w:p w14:paraId="70274971" w14:textId="77777777" w:rsidR="00270656" w:rsidRPr="004635E5" w:rsidRDefault="00292054" w:rsidP="006633A8">
      <w:pPr>
        <w:autoSpaceDE w:val="0"/>
        <w:autoSpaceDN w:val="0"/>
        <w:adjustRightInd w:val="0"/>
        <w:snapToGrid w:val="0"/>
        <w:jc w:val="both"/>
        <w:rPr>
          <w:rFonts w:eastAsia="MS Mincho"/>
          <w:sz w:val="22"/>
          <w:szCs w:val="22"/>
          <w:lang w:eastAsia="en-NZ"/>
        </w:rPr>
      </w:pPr>
      <w:r w:rsidRPr="004635E5">
        <w:rPr>
          <w:rFonts w:eastAsia="MS Mincho"/>
          <w:b/>
          <w:noProof/>
          <w:sz w:val="22"/>
          <w:szCs w:val="22"/>
          <w:lang w:eastAsia="zh-CN" w:bidi="mn-Mong-CN"/>
        </w:rPr>
        <w:drawing>
          <wp:inline distT="0" distB="0" distL="0" distR="0" wp14:anchorId="78C7AED4" wp14:editId="1F8AE5CA">
            <wp:extent cx="7277100" cy="1323975"/>
            <wp:effectExtent l="0" t="0" r="0" b="9525"/>
            <wp:docPr id="1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277100" cy="1323975"/>
                    </a:xfrm>
                    <a:prstGeom prst="rect">
                      <a:avLst/>
                    </a:prstGeom>
                    <a:noFill/>
                    <a:ln>
                      <a:noFill/>
                    </a:ln>
                  </pic:spPr>
                </pic:pic>
              </a:graphicData>
            </a:graphic>
          </wp:inline>
        </w:drawing>
      </w:r>
    </w:p>
    <w:p w14:paraId="2E3971DB" w14:textId="77777777" w:rsidR="00270656" w:rsidRPr="004635E5" w:rsidRDefault="00270656" w:rsidP="006633A8">
      <w:pPr>
        <w:autoSpaceDE w:val="0"/>
        <w:autoSpaceDN w:val="0"/>
        <w:adjustRightInd w:val="0"/>
        <w:snapToGrid w:val="0"/>
        <w:jc w:val="both"/>
        <w:rPr>
          <w:rFonts w:eastAsia="MS Mincho"/>
          <w:sz w:val="22"/>
          <w:szCs w:val="22"/>
          <w:lang w:eastAsia="en-NZ"/>
        </w:rPr>
      </w:pPr>
      <w:r w:rsidRPr="004635E5">
        <w:rPr>
          <w:rFonts w:eastAsia="MS Mincho"/>
          <w:sz w:val="22"/>
          <w:szCs w:val="22"/>
          <w:lang w:eastAsia="en-NZ"/>
        </w:rPr>
        <w:t xml:space="preserve">*1 </w:t>
      </w:r>
      <w:r w:rsidRPr="004635E5">
        <w:rPr>
          <w:rFonts w:eastAsia="MS Mincho"/>
          <w:sz w:val="22"/>
          <w:szCs w:val="22"/>
          <w:lang w:eastAsia="en-NZ"/>
        </w:rPr>
        <w:tab/>
        <w:t>F indicates the geometric mean values of quarterly age-specific fishing mortality during 2002-2004.</w:t>
      </w:r>
    </w:p>
    <w:p w14:paraId="6CD1B77F" w14:textId="77777777" w:rsidR="00270656" w:rsidRPr="004635E5" w:rsidRDefault="00270656" w:rsidP="006633A8">
      <w:pPr>
        <w:autoSpaceDE w:val="0"/>
        <w:autoSpaceDN w:val="0"/>
        <w:adjustRightInd w:val="0"/>
        <w:snapToGrid w:val="0"/>
        <w:jc w:val="both"/>
        <w:rPr>
          <w:rFonts w:eastAsia="MS Mincho"/>
          <w:sz w:val="22"/>
          <w:szCs w:val="22"/>
          <w:lang w:eastAsia="en-NZ"/>
        </w:rPr>
      </w:pPr>
      <w:r w:rsidRPr="004635E5">
        <w:rPr>
          <w:rFonts w:eastAsia="MS Mincho"/>
          <w:sz w:val="22"/>
          <w:szCs w:val="22"/>
          <w:lang w:eastAsia="en-NZ"/>
        </w:rPr>
        <w:t xml:space="preserve">*2 </w:t>
      </w:r>
      <w:r w:rsidRPr="004635E5">
        <w:rPr>
          <w:rFonts w:eastAsia="MS Mincho"/>
          <w:sz w:val="22"/>
          <w:szCs w:val="22"/>
          <w:lang w:eastAsia="en-NZ"/>
        </w:rPr>
        <w:tab/>
        <w:t>The Japanese unilateral measure (transferring 250 mt of catch upper limit from that for small PBF to that for large PBF during 2017-2020) would be reflected.</w:t>
      </w:r>
    </w:p>
    <w:p w14:paraId="44797447" w14:textId="77777777" w:rsidR="00270656" w:rsidRPr="004635E5" w:rsidRDefault="00270656" w:rsidP="006633A8">
      <w:pPr>
        <w:autoSpaceDE w:val="0"/>
        <w:autoSpaceDN w:val="0"/>
        <w:adjustRightInd w:val="0"/>
        <w:snapToGrid w:val="0"/>
        <w:jc w:val="both"/>
        <w:rPr>
          <w:rFonts w:eastAsia="MS Mincho"/>
          <w:sz w:val="22"/>
          <w:szCs w:val="22"/>
          <w:lang w:eastAsia="en-NZ"/>
        </w:rPr>
      </w:pPr>
      <w:r w:rsidRPr="004635E5">
        <w:rPr>
          <w:rFonts w:eastAsia="MS Mincho"/>
          <w:sz w:val="22"/>
          <w:szCs w:val="22"/>
          <w:lang w:eastAsia="en-NZ"/>
        </w:rPr>
        <w:t xml:space="preserve">*3 </w:t>
      </w:r>
      <w:r w:rsidRPr="004635E5">
        <w:rPr>
          <w:rFonts w:eastAsia="MS Mincho"/>
          <w:sz w:val="22"/>
          <w:szCs w:val="22"/>
          <w:lang w:eastAsia="en-NZ"/>
        </w:rPr>
        <w:tab/>
        <w:t>Fishing mortality for the EPO commercial fishery was assumed to be high enough to fulfill its catch upper limit (F multiplied by two). The fishing mortality for the EPO recreational fishery was assumed to be the F2009-11 average level.</w:t>
      </w:r>
    </w:p>
    <w:p w14:paraId="026EAC6D" w14:textId="77777777" w:rsidR="00270656" w:rsidRPr="004635E5" w:rsidRDefault="00270656" w:rsidP="006633A8">
      <w:pPr>
        <w:autoSpaceDE w:val="0"/>
        <w:autoSpaceDN w:val="0"/>
        <w:adjustRightInd w:val="0"/>
        <w:snapToGrid w:val="0"/>
        <w:jc w:val="both"/>
        <w:rPr>
          <w:rFonts w:eastAsia="MS Mincho"/>
          <w:sz w:val="22"/>
          <w:szCs w:val="22"/>
          <w:lang w:eastAsia="en-NZ"/>
        </w:rPr>
      </w:pPr>
      <w:r w:rsidRPr="004635E5">
        <w:rPr>
          <w:rFonts w:eastAsia="MS Mincho"/>
          <w:sz w:val="22"/>
          <w:szCs w:val="22"/>
          <w:lang w:eastAsia="en-NZ"/>
        </w:rPr>
        <w:t xml:space="preserve">*4 </w:t>
      </w:r>
      <w:r w:rsidRPr="004635E5">
        <w:rPr>
          <w:rFonts w:eastAsia="MS Mincho"/>
          <w:sz w:val="22"/>
          <w:szCs w:val="22"/>
          <w:lang w:eastAsia="en-NZ"/>
        </w:rPr>
        <w:tab/>
        <w:t>In scenario 0, the future recruitment</w:t>
      </w:r>
      <w:r w:rsidR="00AC15B7">
        <w:rPr>
          <w:rFonts w:eastAsiaTheme="minorEastAsia" w:hint="eastAsia"/>
          <w:sz w:val="22"/>
          <w:szCs w:val="22"/>
          <w:lang w:eastAsia="ko-KR"/>
        </w:rPr>
        <w:t>s</w:t>
      </w:r>
      <w:r w:rsidRPr="004635E5">
        <w:rPr>
          <w:rFonts w:eastAsia="MS Mincho"/>
          <w:sz w:val="22"/>
          <w:szCs w:val="22"/>
          <w:lang w:eastAsia="en-NZ"/>
        </w:rPr>
        <w:t xml:space="preserve"> were assumed to be the low recruitment (1980-1989) level forever. In other scenarios, recruitment was switched from low recruitment to average recruitment from the next year of achieving the initial rebuilding target. </w:t>
      </w:r>
    </w:p>
    <w:p w14:paraId="6AD982E6" w14:textId="77777777" w:rsidR="00270656" w:rsidRPr="004635E5" w:rsidRDefault="00270656" w:rsidP="006633A8">
      <w:pPr>
        <w:autoSpaceDE w:val="0"/>
        <w:autoSpaceDN w:val="0"/>
        <w:adjustRightInd w:val="0"/>
        <w:snapToGrid w:val="0"/>
        <w:jc w:val="both"/>
        <w:rPr>
          <w:rFonts w:eastAsia="MS Mincho"/>
          <w:sz w:val="22"/>
          <w:szCs w:val="22"/>
          <w:lang w:eastAsia="en-NZ"/>
        </w:rPr>
      </w:pPr>
    </w:p>
    <w:p w14:paraId="357F9F54" w14:textId="77777777" w:rsidR="00270656" w:rsidRPr="004635E5" w:rsidRDefault="00270656" w:rsidP="006633A8">
      <w:pPr>
        <w:autoSpaceDE w:val="0"/>
        <w:autoSpaceDN w:val="0"/>
        <w:adjustRightInd w:val="0"/>
        <w:snapToGrid w:val="0"/>
        <w:jc w:val="both"/>
        <w:rPr>
          <w:rFonts w:eastAsia="MS Mincho"/>
          <w:bCs/>
          <w:sz w:val="22"/>
          <w:szCs w:val="22"/>
          <w:lang w:eastAsia="en-NZ"/>
        </w:rPr>
      </w:pPr>
      <w:bookmarkStart w:id="96" w:name="_Ref519184503"/>
      <w:bookmarkStart w:id="97" w:name="_Toc520790142"/>
      <w:r w:rsidRPr="004635E5">
        <w:rPr>
          <w:rFonts w:eastAsia="MS Mincho"/>
          <w:b/>
          <w:bCs/>
          <w:sz w:val="22"/>
          <w:szCs w:val="22"/>
          <w:lang w:eastAsia="en-NZ"/>
        </w:rPr>
        <w:t>Table PBF</w:t>
      </w:r>
      <w:r w:rsidR="00122DC5" w:rsidRPr="004635E5">
        <w:rPr>
          <w:rFonts w:eastAsia="MS Mincho"/>
          <w:b/>
          <w:bCs/>
          <w:sz w:val="22"/>
          <w:szCs w:val="22"/>
          <w:lang w:eastAsia="en-NZ"/>
        </w:rPr>
        <w:t>-5</w:t>
      </w:r>
      <w:bookmarkEnd w:id="96"/>
      <w:r w:rsidRPr="004635E5">
        <w:rPr>
          <w:rFonts w:eastAsia="MS Mincho"/>
          <w:bCs/>
          <w:sz w:val="22"/>
          <w:szCs w:val="22"/>
          <w:lang w:eastAsia="en-NZ"/>
        </w:rPr>
        <w:t>. Future projection scenarios for Pacific bluefin tuna (</w:t>
      </w:r>
      <w:r w:rsidRPr="004635E5">
        <w:rPr>
          <w:rFonts w:eastAsia="MS Mincho"/>
          <w:bCs/>
          <w:i/>
          <w:sz w:val="22"/>
          <w:szCs w:val="22"/>
          <w:lang w:eastAsia="en-NZ"/>
        </w:rPr>
        <w:t>Thunnus orientalis</w:t>
      </w:r>
      <w:r w:rsidRPr="004635E5">
        <w:rPr>
          <w:rFonts w:eastAsia="MS Mincho"/>
          <w:bCs/>
          <w:sz w:val="22"/>
          <w:szCs w:val="22"/>
          <w:lang w:eastAsia="en-NZ"/>
        </w:rPr>
        <w:t>) and their probability of achieving various target levels by various time schedules based on the base-case model.</w:t>
      </w:r>
      <w:bookmarkEnd w:id="97"/>
    </w:p>
    <w:p w14:paraId="7C1027F6" w14:textId="77777777" w:rsidR="00270656" w:rsidRPr="004635E5" w:rsidRDefault="00292054" w:rsidP="006633A8">
      <w:pPr>
        <w:autoSpaceDE w:val="0"/>
        <w:autoSpaceDN w:val="0"/>
        <w:adjustRightInd w:val="0"/>
        <w:snapToGrid w:val="0"/>
        <w:jc w:val="both"/>
        <w:rPr>
          <w:rFonts w:eastAsia="MS Mincho"/>
          <w:sz w:val="22"/>
          <w:szCs w:val="22"/>
          <w:lang w:eastAsia="en-NZ"/>
        </w:rPr>
      </w:pPr>
      <w:r w:rsidRPr="004635E5">
        <w:rPr>
          <w:rFonts w:eastAsia="MS Mincho"/>
          <w:b/>
          <w:noProof/>
          <w:sz w:val="22"/>
          <w:szCs w:val="22"/>
          <w:lang w:eastAsia="zh-CN" w:bidi="mn-Mong-CN"/>
        </w:rPr>
        <w:drawing>
          <wp:inline distT="0" distB="0" distL="0" distR="0" wp14:anchorId="2E9E4A14" wp14:editId="098CB6FD">
            <wp:extent cx="8229600" cy="1245235"/>
            <wp:effectExtent l="0" t="0" r="0" b="0"/>
            <wp:docPr id="20"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229600" cy="1245235"/>
                    </a:xfrm>
                    <a:prstGeom prst="rect">
                      <a:avLst/>
                    </a:prstGeom>
                    <a:noFill/>
                    <a:ln>
                      <a:noFill/>
                    </a:ln>
                  </pic:spPr>
                </pic:pic>
              </a:graphicData>
            </a:graphic>
          </wp:inline>
        </w:drawing>
      </w:r>
    </w:p>
    <w:p w14:paraId="12DA0F64" w14:textId="77777777" w:rsidR="00270656" w:rsidRPr="004635E5" w:rsidRDefault="00270656" w:rsidP="006633A8">
      <w:pPr>
        <w:autoSpaceDE w:val="0"/>
        <w:autoSpaceDN w:val="0"/>
        <w:adjustRightInd w:val="0"/>
        <w:snapToGrid w:val="0"/>
        <w:jc w:val="both"/>
        <w:rPr>
          <w:rFonts w:eastAsia="MS Mincho"/>
          <w:sz w:val="22"/>
          <w:szCs w:val="22"/>
          <w:lang w:eastAsia="en-NZ"/>
        </w:rPr>
      </w:pPr>
      <w:r w:rsidRPr="004635E5">
        <w:rPr>
          <w:rFonts w:eastAsia="MS Mincho"/>
          <w:sz w:val="22"/>
          <w:szCs w:val="22"/>
          <w:lang w:eastAsia="en-NZ"/>
        </w:rPr>
        <w:t xml:space="preserve">*1 </w:t>
      </w:r>
      <w:r w:rsidRPr="004635E5">
        <w:rPr>
          <w:rFonts w:eastAsia="MS Mincho"/>
          <w:sz w:val="22"/>
          <w:szCs w:val="22"/>
          <w:lang w:eastAsia="en-NZ"/>
        </w:rPr>
        <w:tab/>
        <w:t>In scenario 0, the future recruitment</w:t>
      </w:r>
      <w:r w:rsidR="00AC15B7">
        <w:rPr>
          <w:rFonts w:eastAsiaTheme="minorEastAsia" w:hint="eastAsia"/>
          <w:sz w:val="22"/>
          <w:szCs w:val="22"/>
          <w:lang w:eastAsia="ko-KR"/>
        </w:rPr>
        <w:t>s</w:t>
      </w:r>
      <w:r w:rsidRPr="004635E5">
        <w:rPr>
          <w:rFonts w:eastAsia="MS Mincho"/>
          <w:sz w:val="22"/>
          <w:szCs w:val="22"/>
          <w:lang w:eastAsia="en-NZ"/>
        </w:rPr>
        <w:t xml:space="preserve"> were assumed to be the low recruitment (1980-1989) level forever. In other scenarios, recruitment was switched from low recruitment to average recruitment from the next year of achieving the initial rebuilding target. </w:t>
      </w:r>
    </w:p>
    <w:p w14:paraId="528D2F17" w14:textId="77777777" w:rsidR="00270656" w:rsidRPr="004635E5" w:rsidRDefault="00270656" w:rsidP="006633A8">
      <w:pPr>
        <w:adjustRightInd w:val="0"/>
        <w:snapToGrid w:val="0"/>
        <w:rPr>
          <w:rFonts w:eastAsia="MS Mincho"/>
          <w:b/>
          <w:bCs/>
          <w:sz w:val="22"/>
          <w:szCs w:val="22"/>
          <w:lang w:eastAsia="en-NZ"/>
        </w:rPr>
      </w:pPr>
      <w:bookmarkStart w:id="98" w:name="_Ref519184514"/>
      <w:bookmarkStart w:id="99" w:name="_Toc520790143"/>
      <w:r w:rsidRPr="004635E5">
        <w:rPr>
          <w:rFonts w:eastAsia="MS Mincho"/>
          <w:b/>
          <w:bCs/>
          <w:sz w:val="22"/>
          <w:szCs w:val="22"/>
          <w:lang w:eastAsia="en-NZ"/>
        </w:rPr>
        <w:br w:type="page"/>
      </w:r>
    </w:p>
    <w:p w14:paraId="0D54754D" w14:textId="77777777" w:rsidR="006633A8" w:rsidRDefault="006633A8" w:rsidP="006633A8">
      <w:pPr>
        <w:autoSpaceDE w:val="0"/>
        <w:autoSpaceDN w:val="0"/>
        <w:adjustRightInd w:val="0"/>
        <w:snapToGrid w:val="0"/>
        <w:jc w:val="both"/>
        <w:rPr>
          <w:rFonts w:eastAsia="MS Mincho"/>
          <w:b/>
          <w:bCs/>
          <w:sz w:val="22"/>
          <w:szCs w:val="22"/>
          <w:lang w:eastAsia="en-NZ"/>
        </w:rPr>
        <w:sectPr w:rsidR="006633A8" w:rsidSect="006633A8">
          <w:pgSz w:w="15840" w:h="12240" w:orient="landscape" w:code="1"/>
          <w:pgMar w:top="1440" w:right="1440" w:bottom="1440" w:left="1440" w:header="720" w:footer="720" w:gutter="0"/>
          <w:cols w:space="720"/>
          <w:docGrid w:linePitch="360"/>
        </w:sectPr>
      </w:pPr>
    </w:p>
    <w:p w14:paraId="7C24CCAE" w14:textId="77777777" w:rsidR="00270656" w:rsidRPr="004635E5" w:rsidRDefault="00270656" w:rsidP="006633A8">
      <w:pPr>
        <w:autoSpaceDE w:val="0"/>
        <w:autoSpaceDN w:val="0"/>
        <w:adjustRightInd w:val="0"/>
        <w:snapToGrid w:val="0"/>
        <w:jc w:val="both"/>
        <w:rPr>
          <w:rFonts w:eastAsia="MS Mincho"/>
          <w:bCs/>
          <w:sz w:val="22"/>
          <w:szCs w:val="22"/>
          <w:lang w:eastAsia="en-NZ"/>
        </w:rPr>
      </w:pPr>
      <w:r w:rsidRPr="004635E5">
        <w:rPr>
          <w:rFonts w:eastAsia="MS Mincho"/>
          <w:b/>
          <w:bCs/>
          <w:sz w:val="22"/>
          <w:szCs w:val="22"/>
          <w:lang w:eastAsia="en-NZ"/>
        </w:rPr>
        <w:t>Table PBF</w:t>
      </w:r>
      <w:r w:rsidR="00122DC5" w:rsidRPr="004635E5">
        <w:rPr>
          <w:rFonts w:eastAsia="MS Mincho"/>
          <w:b/>
          <w:bCs/>
          <w:sz w:val="22"/>
          <w:szCs w:val="22"/>
          <w:lang w:eastAsia="en-NZ"/>
        </w:rPr>
        <w:t>-6</w:t>
      </w:r>
      <w:bookmarkEnd w:id="98"/>
      <w:r w:rsidRPr="004635E5">
        <w:rPr>
          <w:rFonts w:eastAsia="MS Mincho"/>
          <w:b/>
          <w:bCs/>
          <w:sz w:val="22"/>
          <w:szCs w:val="22"/>
          <w:lang w:eastAsia="en-NZ"/>
        </w:rPr>
        <w:t>.</w:t>
      </w:r>
      <w:r w:rsidRPr="004635E5">
        <w:rPr>
          <w:rFonts w:eastAsia="MS Mincho"/>
          <w:bCs/>
          <w:sz w:val="22"/>
          <w:szCs w:val="22"/>
          <w:lang w:eastAsia="en-NZ"/>
        </w:rPr>
        <w:t xml:space="preserve"> Expected yield for Pacific bluefin tuna (</w:t>
      </w:r>
      <w:r w:rsidRPr="004635E5">
        <w:rPr>
          <w:rFonts w:eastAsia="MS Mincho"/>
          <w:bCs/>
          <w:i/>
          <w:sz w:val="22"/>
          <w:szCs w:val="22"/>
          <w:lang w:eastAsia="en-NZ"/>
        </w:rPr>
        <w:t>Thunnus orientalis</w:t>
      </w:r>
      <w:r w:rsidRPr="004635E5">
        <w:rPr>
          <w:rFonts w:eastAsia="MS Mincho"/>
          <w:bCs/>
          <w:sz w:val="22"/>
          <w:szCs w:val="22"/>
          <w:lang w:eastAsia="en-NZ"/>
        </w:rPr>
        <w:t>) under various harvesting scenarios based on the base-case model.</w:t>
      </w:r>
      <w:bookmarkEnd w:id="99"/>
    </w:p>
    <w:p w14:paraId="2ACD3AE1" w14:textId="77777777" w:rsidR="00270656" w:rsidRPr="004635E5" w:rsidRDefault="00292054" w:rsidP="006633A8">
      <w:pPr>
        <w:autoSpaceDE w:val="0"/>
        <w:autoSpaceDN w:val="0"/>
        <w:adjustRightInd w:val="0"/>
        <w:snapToGrid w:val="0"/>
        <w:jc w:val="both"/>
        <w:rPr>
          <w:rFonts w:eastAsia="MS Mincho"/>
          <w:sz w:val="22"/>
          <w:szCs w:val="22"/>
          <w:lang w:eastAsia="en-NZ"/>
        </w:rPr>
      </w:pPr>
      <w:r w:rsidRPr="004635E5">
        <w:rPr>
          <w:rFonts w:eastAsia="MS Mincho"/>
          <w:noProof/>
          <w:sz w:val="22"/>
          <w:szCs w:val="22"/>
          <w:lang w:eastAsia="zh-CN" w:bidi="mn-Mong-CN"/>
        </w:rPr>
        <w:drawing>
          <wp:inline distT="0" distB="0" distL="0" distR="0" wp14:anchorId="7654B397" wp14:editId="2A7AA417">
            <wp:extent cx="8229600" cy="1162685"/>
            <wp:effectExtent l="0" t="0" r="0" b="0"/>
            <wp:docPr id="2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229600" cy="1162685"/>
                    </a:xfrm>
                    <a:prstGeom prst="rect">
                      <a:avLst/>
                    </a:prstGeom>
                    <a:noFill/>
                    <a:ln>
                      <a:noFill/>
                    </a:ln>
                  </pic:spPr>
                </pic:pic>
              </a:graphicData>
            </a:graphic>
          </wp:inline>
        </w:drawing>
      </w:r>
    </w:p>
    <w:p w14:paraId="1E589365" w14:textId="77777777" w:rsidR="00270656" w:rsidRPr="004635E5" w:rsidRDefault="00270656" w:rsidP="00580EA4">
      <w:pPr>
        <w:numPr>
          <w:ilvl w:val="0"/>
          <w:numId w:val="18"/>
        </w:numPr>
        <w:autoSpaceDE w:val="0"/>
        <w:autoSpaceDN w:val="0"/>
        <w:adjustRightInd w:val="0"/>
        <w:snapToGrid w:val="0"/>
        <w:ind w:left="0" w:firstLine="0"/>
        <w:jc w:val="both"/>
        <w:rPr>
          <w:rFonts w:eastAsia="MS Mincho"/>
          <w:sz w:val="22"/>
          <w:szCs w:val="22"/>
          <w:lang w:eastAsia="en-NZ"/>
        </w:rPr>
        <w:sectPr w:rsidR="00270656" w:rsidRPr="004635E5" w:rsidSect="006633A8">
          <w:pgSz w:w="15840" w:h="12240" w:orient="landscape" w:code="1"/>
          <w:pgMar w:top="1440" w:right="1440" w:bottom="1440" w:left="1440" w:header="720" w:footer="720" w:gutter="0"/>
          <w:cols w:space="720"/>
          <w:docGrid w:linePitch="360"/>
        </w:sectPr>
      </w:pPr>
    </w:p>
    <w:p w14:paraId="471B525F" w14:textId="77777777" w:rsidR="00270656" w:rsidRPr="004635E5" w:rsidRDefault="008D3D49" w:rsidP="006633A8">
      <w:pPr>
        <w:autoSpaceDE w:val="0"/>
        <w:autoSpaceDN w:val="0"/>
        <w:adjustRightInd w:val="0"/>
        <w:snapToGrid w:val="0"/>
        <w:jc w:val="both"/>
        <w:rPr>
          <w:rFonts w:eastAsia="MS Mincho"/>
          <w:sz w:val="22"/>
          <w:szCs w:val="22"/>
          <w:lang w:eastAsia="en-NZ"/>
        </w:rPr>
      </w:pPr>
      <w:r>
        <w:rPr>
          <w:rFonts w:eastAsia="MS Mincho"/>
          <w:noProof/>
          <w:sz w:val="22"/>
          <w:szCs w:val="22"/>
          <w:lang w:eastAsia="zh-CN" w:bidi="mn-Mong-CN"/>
        </w:rPr>
        <mc:AlternateContent>
          <mc:Choice Requires="wpg">
            <w:drawing>
              <wp:inline distT="0" distB="0" distL="0" distR="0" wp14:anchorId="3DF5C020" wp14:editId="17D86731">
                <wp:extent cx="5943600" cy="7383145"/>
                <wp:effectExtent l="0" t="0" r="0" b="0"/>
                <wp:docPr id="13"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7383145"/>
                          <a:chOff x="0" y="0"/>
                          <a:chExt cx="60432" cy="75069"/>
                        </a:xfrm>
                      </wpg:grpSpPr>
                      <pic:pic xmlns:pic="http://schemas.openxmlformats.org/drawingml/2006/picture">
                        <pic:nvPicPr>
                          <pic:cNvPr id="29" name="図 21" descr="Totalstock_qt1_rev"/>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0432" cy="237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図 17" descr="SSB_rev"/>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24384"/>
                            <a:ext cx="60432" cy="250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図 22" descr="recruitment_rev"/>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50577"/>
                            <a:ext cx="60426" cy="244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B090C9F" id="グループ化 18" o:spid="_x0000_s1026" style="width:468pt;height:581.35pt;mso-position-horizontal-relative:char;mso-position-vertical-relative:line" coordsize="60432,750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Gz/6pq+aP+CO3/KNT4Pf9iXa/wAq&#10;+l5/9U1fNH/BHb/lGp8Hv+xLtf5UAfTNFFFABRRRQAUUUUAFFFFABRRRQAV8+3//AClJ0f8A7IHq&#10;X/p7sa+gq+fb/wD5Sk6P/wBkD1L/ANPdjQB9B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DZ/8AVNXzR/wR2/5RqfB7/sS7X+VfS8/+qavmj/gjt/yjU+D3/Yl2&#10;v8qAPpmiiigAooooAKKKKACiijNABRSbl/vCl3D1oAK+fb//AJSk6P8A9kD1L/092NfQWQehr59v&#10;/wDlKTo//ZA9S/8AT3Y0AfQV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&#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">
                <v:shape id="図 21" o:spid="_x0000_s1027" type="#_x0000_t75" alt="Totalstock_qt1_rev" style="position:absolute;width:60432;height:23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">
                  <v:imagedata r:id="rId101" o:title="Totalstock_qt1_rev"/>
                </v:shape>
                <v:shape id="図 17" o:spid="_x0000_s1028" type="#_x0000_t75" alt="SSB_rev" style="position:absolute;top:24384;width:60432;height:25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">
                  <v:imagedata r:id="rId102" o:title="SSB_rev"/>
                </v:shape>
                <v:shape id="図 22" o:spid="_x0000_s1029" type="#_x0000_t75" alt="recruitment_rev" style="position:absolute;top:50577;width:60426;height:24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">
                  <v:imagedata r:id="rId103" o:title="recruitment_rev"/>
                </v:shape>
                <w10:anchorlock/>
              </v:group>
            </w:pict>
          </mc:Fallback>
        </mc:AlternateContent>
      </w:r>
    </w:p>
    <w:p w14:paraId="7E33E7B1" w14:textId="77777777" w:rsidR="00270656" w:rsidRPr="004635E5" w:rsidRDefault="00270656" w:rsidP="006633A8">
      <w:pPr>
        <w:autoSpaceDE w:val="0"/>
        <w:autoSpaceDN w:val="0"/>
        <w:adjustRightInd w:val="0"/>
        <w:snapToGrid w:val="0"/>
        <w:jc w:val="both"/>
        <w:rPr>
          <w:rFonts w:eastAsiaTheme="minorEastAsia"/>
          <w:bCs/>
          <w:sz w:val="22"/>
          <w:szCs w:val="22"/>
          <w:lang w:eastAsia="ko-KR"/>
        </w:rPr>
      </w:pPr>
      <w:bookmarkStart w:id="100" w:name="_Ref519184300"/>
      <w:bookmarkStart w:id="101" w:name="_Toc520790161"/>
      <w:r w:rsidRPr="004635E5">
        <w:rPr>
          <w:rFonts w:eastAsia="MS Mincho"/>
          <w:b/>
          <w:bCs/>
          <w:sz w:val="22"/>
          <w:szCs w:val="22"/>
          <w:lang w:eastAsia="en-NZ"/>
        </w:rPr>
        <w:t>Figure PBF</w:t>
      </w:r>
      <w:r w:rsidR="00122DC5" w:rsidRPr="004635E5">
        <w:rPr>
          <w:rFonts w:eastAsia="MS Mincho"/>
          <w:b/>
          <w:bCs/>
          <w:sz w:val="22"/>
          <w:szCs w:val="22"/>
          <w:lang w:eastAsia="en-NZ"/>
        </w:rPr>
        <w:t>-1</w:t>
      </w:r>
      <w:bookmarkEnd w:id="100"/>
      <w:r w:rsidRPr="004635E5">
        <w:rPr>
          <w:rFonts w:eastAsia="MS Mincho"/>
          <w:b/>
          <w:bCs/>
          <w:sz w:val="22"/>
          <w:szCs w:val="22"/>
          <w:lang w:eastAsia="en-NZ"/>
        </w:rPr>
        <w:t>.</w:t>
      </w:r>
      <w:r w:rsidRPr="004635E5">
        <w:rPr>
          <w:rFonts w:eastAsia="MS Mincho"/>
          <w:bCs/>
          <w:sz w:val="22"/>
          <w:szCs w:val="22"/>
          <w:lang w:eastAsia="en-NZ"/>
        </w:rPr>
        <w:t xml:space="preserve"> Total stock biomass (top), spawning stock biomass (middle) and recruitment (bottom) of</w:t>
      </w:r>
      <w:r w:rsidRPr="004635E5">
        <w:rPr>
          <w:rFonts w:eastAsia="MS Mincho"/>
          <w:bCs/>
          <w:i/>
          <w:sz w:val="22"/>
          <w:szCs w:val="22"/>
          <w:lang w:eastAsia="en-NZ"/>
        </w:rPr>
        <w:t xml:space="preserve"> </w:t>
      </w:r>
      <w:r w:rsidRPr="004635E5">
        <w:rPr>
          <w:rFonts w:eastAsia="MS Mincho"/>
          <w:bCs/>
          <w:sz w:val="22"/>
          <w:szCs w:val="22"/>
          <w:lang w:eastAsia="en-NZ"/>
        </w:rPr>
        <w:t>Pacific bluefin tuna (</w:t>
      </w:r>
      <w:r w:rsidRPr="004635E5">
        <w:rPr>
          <w:rFonts w:eastAsia="MS Mincho"/>
          <w:bCs/>
          <w:i/>
          <w:sz w:val="22"/>
          <w:szCs w:val="22"/>
          <w:lang w:eastAsia="en-NZ"/>
        </w:rPr>
        <w:t>Thunnus orientalis</w:t>
      </w:r>
      <w:r w:rsidRPr="004635E5">
        <w:rPr>
          <w:rFonts w:eastAsia="MS Mincho"/>
          <w:bCs/>
          <w:sz w:val="22"/>
          <w:szCs w:val="22"/>
          <w:lang w:eastAsia="en-NZ"/>
        </w:rPr>
        <w:t>) from the base-case model. The solid lines indicate point estimates and the dashed lines indicate the 90% confidence intervals.</w:t>
      </w:r>
      <w:bookmarkEnd w:id="101"/>
    </w:p>
    <w:p w14:paraId="284C61B2" w14:textId="77777777" w:rsidR="00F9010A" w:rsidRPr="004635E5" w:rsidRDefault="00F9010A" w:rsidP="006633A8">
      <w:pPr>
        <w:autoSpaceDE w:val="0"/>
        <w:autoSpaceDN w:val="0"/>
        <w:adjustRightInd w:val="0"/>
        <w:snapToGrid w:val="0"/>
        <w:jc w:val="both"/>
        <w:rPr>
          <w:rFonts w:eastAsiaTheme="minorEastAsia"/>
          <w:bCs/>
          <w:sz w:val="22"/>
          <w:szCs w:val="22"/>
          <w:lang w:eastAsia="ko-KR"/>
        </w:rPr>
      </w:pPr>
    </w:p>
    <w:p w14:paraId="154CAED3" w14:textId="77777777" w:rsidR="00270656" w:rsidRPr="004635E5" w:rsidRDefault="00F9010A" w:rsidP="006633A8">
      <w:pPr>
        <w:autoSpaceDE w:val="0"/>
        <w:autoSpaceDN w:val="0"/>
        <w:adjustRightInd w:val="0"/>
        <w:snapToGrid w:val="0"/>
        <w:jc w:val="both"/>
        <w:rPr>
          <w:rFonts w:eastAsia="MS Mincho"/>
          <w:sz w:val="22"/>
          <w:szCs w:val="22"/>
          <w:lang w:eastAsia="en-NZ"/>
        </w:rPr>
      </w:pPr>
      <w:r w:rsidRPr="004635E5">
        <w:rPr>
          <w:rFonts w:eastAsia="MS Mincho"/>
          <w:noProof/>
          <w:sz w:val="22"/>
          <w:szCs w:val="22"/>
          <w:lang w:eastAsia="zh-CN" w:bidi="mn-Mong-CN"/>
        </w:rPr>
        <w:drawing>
          <wp:inline distT="0" distB="0" distL="0" distR="0" wp14:anchorId="63FB74ED" wp14:editId="40C195CB">
            <wp:extent cx="4526280" cy="2709482"/>
            <wp:effectExtent l="0" t="0" r="0" b="0"/>
            <wp:docPr id="23" name="図 30" descr="C:\Users\Shuya Nakatsuka\AppData\Local\Microsoft\Windows\INetCache\Content.Word\FAA_new_2018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huya Nakatsuka\AppData\Local\Microsoft\Windows\INetCache\Content.Word\FAA_new_2018 (3).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32927" cy="2713461"/>
                    </a:xfrm>
                    <a:prstGeom prst="rect">
                      <a:avLst/>
                    </a:prstGeom>
                    <a:noFill/>
                    <a:ln>
                      <a:noFill/>
                    </a:ln>
                  </pic:spPr>
                </pic:pic>
              </a:graphicData>
            </a:graphic>
          </wp:inline>
        </w:drawing>
      </w:r>
    </w:p>
    <w:p w14:paraId="39DBA13B" w14:textId="77777777" w:rsidR="00270656" w:rsidRPr="004635E5" w:rsidRDefault="00270656" w:rsidP="006633A8">
      <w:pPr>
        <w:autoSpaceDE w:val="0"/>
        <w:autoSpaceDN w:val="0"/>
        <w:adjustRightInd w:val="0"/>
        <w:snapToGrid w:val="0"/>
        <w:jc w:val="both"/>
        <w:rPr>
          <w:rFonts w:eastAsia="MS Mincho"/>
          <w:bCs/>
          <w:sz w:val="22"/>
          <w:szCs w:val="22"/>
          <w:lang w:eastAsia="en-NZ"/>
        </w:rPr>
      </w:pPr>
      <w:bookmarkStart w:id="102" w:name="_Ref519184399"/>
      <w:bookmarkStart w:id="103" w:name="_Toc520790162"/>
      <w:r w:rsidRPr="004635E5">
        <w:rPr>
          <w:rFonts w:eastAsia="MS Mincho"/>
          <w:b/>
          <w:bCs/>
          <w:sz w:val="22"/>
          <w:szCs w:val="22"/>
          <w:lang w:eastAsia="en-NZ"/>
        </w:rPr>
        <w:t>Figure PBF</w:t>
      </w:r>
      <w:r w:rsidR="00122DC5" w:rsidRPr="004635E5">
        <w:rPr>
          <w:rFonts w:eastAsia="MS Mincho"/>
          <w:b/>
          <w:bCs/>
          <w:sz w:val="22"/>
          <w:szCs w:val="22"/>
          <w:lang w:eastAsia="en-NZ"/>
        </w:rPr>
        <w:t>-2</w:t>
      </w:r>
      <w:bookmarkEnd w:id="102"/>
      <w:r w:rsidRPr="004635E5">
        <w:rPr>
          <w:rFonts w:eastAsia="MS Mincho"/>
          <w:b/>
          <w:bCs/>
          <w:sz w:val="22"/>
          <w:szCs w:val="22"/>
          <w:lang w:eastAsia="en-NZ"/>
        </w:rPr>
        <w:t>.</w:t>
      </w:r>
      <w:r w:rsidRPr="004635E5">
        <w:rPr>
          <w:rFonts w:eastAsia="MS Mincho"/>
          <w:bCs/>
          <w:sz w:val="22"/>
          <w:szCs w:val="22"/>
          <w:lang w:eastAsia="en-NZ"/>
        </w:rPr>
        <w:t xml:space="preserve"> Geometric means of annual age-specific</w:t>
      </w:r>
      <w:r w:rsidRPr="004635E5">
        <w:rPr>
          <w:rFonts w:eastAsia="MS Mincho"/>
          <w:bCs/>
          <w:i/>
          <w:sz w:val="22"/>
          <w:szCs w:val="22"/>
          <w:lang w:eastAsia="en-NZ"/>
        </w:rPr>
        <w:t xml:space="preserve"> </w:t>
      </w:r>
      <w:r w:rsidRPr="004635E5">
        <w:rPr>
          <w:rFonts w:eastAsia="MS Mincho"/>
          <w:bCs/>
          <w:sz w:val="22"/>
          <w:szCs w:val="22"/>
          <w:lang w:eastAsia="en-NZ"/>
        </w:rPr>
        <w:t>fishing mortalities of Pacific bluefin tuna (</w:t>
      </w:r>
      <w:r w:rsidRPr="004635E5">
        <w:rPr>
          <w:rFonts w:eastAsia="MS Mincho"/>
          <w:bCs/>
          <w:i/>
          <w:sz w:val="22"/>
          <w:szCs w:val="22"/>
          <w:lang w:eastAsia="en-NZ"/>
        </w:rPr>
        <w:t>Thunnus orientalis</w:t>
      </w:r>
      <w:r w:rsidRPr="004635E5">
        <w:rPr>
          <w:rFonts w:eastAsia="MS Mincho"/>
          <w:bCs/>
          <w:sz w:val="22"/>
          <w:szCs w:val="22"/>
          <w:lang w:eastAsia="en-NZ"/>
        </w:rPr>
        <w:t>) in 2002-2004 (dotted line), 2012-2014 (dashed line), and 2015-2016 (solid line).</w:t>
      </w:r>
      <w:bookmarkEnd w:id="103"/>
    </w:p>
    <w:p w14:paraId="39C52056" w14:textId="77777777" w:rsidR="00992821" w:rsidRPr="004635E5" w:rsidRDefault="00992821" w:rsidP="006633A8">
      <w:pPr>
        <w:autoSpaceDE w:val="0"/>
        <w:autoSpaceDN w:val="0"/>
        <w:adjustRightInd w:val="0"/>
        <w:snapToGrid w:val="0"/>
        <w:jc w:val="both"/>
        <w:rPr>
          <w:rFonts w:eastAsia="MS Mincho"/>
          <w:bCs/>
          <w:sz w:val="22"/>
          <w:szCs w:val="22"/>
          <w:lang w:eastAsia="en-NZ"/>
        </w:rPr>
      </w:pPr>
    </w:p>
    <w:p w14:paraId="5A765D28" w14:textId="77777777" w:rsidR="00992821" w:rsidRPr="004635E5" w:rsidRDefault="00992821" w:rsidP="006633A8">
      <w:pPr>
        <w:autoSpaceDE w:val="0"/>
        <w:autoSpaceDN w:val="0"/>
        <w:adjustRightInd w:val="0"/>
        <w:snapToGrid w:val="0"/>
        <w:jc w:val="both"/>
        <w:rPr>
          <w:rFonts w:eastAsia="MS Mincho"/>
          <w:bCs/>
          <w:sz w:val="22"/>
          <w:szCs w:val="22"/>
          <w:lang w:eastAsia="en-NZ"/>
        </w:rPr>
      </w:pPr>
      <w:r w:rsidRPr="004635E5">
        <w:rPr>
          <w:rFonts w:eastAsia="MS Mincho"/>
          <w:noProof/>
          <w:sz w:val="22"/>
          <w:szCs w:val="22"/>
          <w:lang w:eastAsia="zh-CN" w:bidi="mn-Mong-CN"/>
        </w:rPr>
        <w:drawing>
          <wp:inline distT="0" distB="0" distL="0" distR="0" wp14:anchorId="5D9C6396" wp14:editId="53A55F56">
            <wp:extent cx="2765985" cy="2520950"/>
            <wp:effectExtent l="0" t="0" r="0" b="0"/>
            <wp:docPr id="24"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16"/>
                    <pic:cNvPicPr>
                      <a:picLocks noChangeAspect="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765985" cy="2520950"/>
                    </a:xfrm>
                    <a:prstGeom prst="rect">
                      <a:avLst/>
                    </a:prstGeom>
                    <a:noFill/>
                    <a:ln>
                      <a:noFill/>
                    </a:ln>
                  </pic:spPr>
                </pic:pic>
              </a:graphicData>
            </a:graphic>
          </wp:inline>
        </w:drawing>
      </w:r>
      <w:r w:rsidRPr="004635E5">
        <w:rPr>
          <w:rFonts w:eastAsia="MS Mincho"/>
          <w:noProof/>
          <w:sz w:val="22"/>
          <w:szCs w:val="22"/>
          <w:lang w:eastAsia="zh-CN" w:bidi="mn-Mong-CN"/>
        </w:rPr>
        <w:drawing>
          <wp:inline distT="0" distB="0" distL="0" distR="0" wp14:anchorId="0A474B06" wp14:editId="6C15E46B">
            <wp:extent cx="2997195" cy="2679700"/>
            <wp:effectExtent l="0" t="0" r="0" b="6350"/>
            <wp:docPr id="25" name="図 1" descr="C:\Users\Shuya Nakatsuka\AppData\Local\Microsoft\Windows\INetCache\Content.Word\expande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1" descr="C:\Users\Shuya Nakatsuka\AppData\Local\Microsoft\Windows\INetCache\Content.Word\expanded4.png"/>
                    <pic:cNvPicPr>
                      <a:picLocks noChangeAspect="1"/>
                    </pic:cNvPicPr>
                  </pic:nvPicPr>
                  <pic:blipFill rotWithShape="1">
                    <a:blip r:embed="rId105" cstate="print">
                      <a:extLst>
                        <a:ext uri="{28A0092B-C50C-407E-A947-70E740481C1C}">
                          <a14:useLocalDpi xmlns:a14="http://schemas.microsoft.com/office/drawing/2010/main" val="0"/>
                        </a:ext>
                      </a:extLst>
                    </a:blip>
                    <a:srcRect l="11171" t="15758" r="15216" b="18426"/>
                    <a:stretch/>
                  </pic:blipFill>
                  <pic:spPr bwMode="auto">
                    <a:xfrm>
                      <a:off x="0" y="0"/>
                      <a:ext cx="2997200" cy="2679704"/>
                    </a:xfrm>
                    <a:prstGeom prst="rect">
                      <a:avLst/>
                    </a:prstGeom>
                    <a:noFill/>
                    <a:ln>
                      <a:noFill/>
                    </a:ln>
                    <a:extLst>
                      <a:ext uri="{53640926-AAD7-44D8-BBD7-CCE9431645EC}">
                        <a14:shadowObscured xmlns:a14="http://schemas.microsoft.com/office/drawing/2010/main"/>
                      </a:ext>
                    </a:extLst>
                  </pic:spPr>
                </pic:pic>
              </a:graphicData>
            </a:graphic>
          </wp:inline>
        </w:drawing>
      </w:r>
    </w:p>
    <w:p w14:paraId="09E0A02D" w14:textId="77777777" w:rsidR="00992821" w:rsidRPr="004635E5" w:rsidRDefault="00992821" w:rsidP="006633A8">
      <w:pPr>
        <w:autoSpaceDE w:val="0"/>
        <w:autoSpaceDN w:val="0"/>
        <w:adjustRightInd w:val="0"/>
        <w:snapToGrid w:val="0"/>
        <w:jc w:val="both"/>
        <w:rPr>
          <w:rFonts w:eastAsia="MS Mincho"/>
          <w:bCs/>
          <w:sz w:val="22"/>
          <w:szCs w:val="22"/>
          <w:lang w:eastAsia="en-NZ"/>
        </w:rPr>
      </w:pPr>
    </w:p>
    <w:p w14:paraId="096D8D42" w14:textId="77777777" w:rsidR="00270656" w:rsidRPr="004635E5" w:rsidRDefault="00270656" w:rsidP="006633A8">
      <w:pPr>
        <w:autoSpaceDE w:val="0"/>
        <w:autoSpaceDN w:val="0"/>
        <w:adjustRightInd w:val="0"/>
        <w:snapToGrid w:val="0"/>
        <w:jc w:val="both"/>
        <w:rPr>
          <w:rFonts w:eastAsia="MS Mincho"/>
          <w:bCs/>
          <w:sz w:val="22"/>
          <w:szCs w:val="22"/>
          <w:lang w:eastAsia="en-NZ"/>
        </w:rPr>
      </w:pPr>
      <w:bookmarkStart w:id="104" w:name="_Ref519184637"/>
      <w:bookmarkStart w:id="105" w:name="_Toc520790163"/>
      <w:r w:rsidRPr="004635E5">
        <w:rPr>
          <w:rFonts w:eastAsia="MS Mincho"/>
          <w:b/>
          <w:bCs/>
          <w:sz w:val="22"/>
          <w:szCs w:val="22"/>
          <w:lang w:eastAsia="en-NZ"/>
        </w:rPr>
        <w:t>Figure PBF</w:t>
      </w:r>
      <w:r w:rsidR="00122DC5" w:rsidRPr="004635E5">
        <w:rPr>
          <w:rFonts w:eastAsia="MS Mincho"/>
          <w:b/>
          <w:bCs/>
          <w:sz w:val="22"/>
          <w:szCs w:val="22"/>
          <w:lang w:eastAsia="en-NZ"/>
        </w:rPr>
        <w:t>-3</w:t>
      </w:r>
      <w:bookmarkEnd w:id="104"/>
      <w:r w:rsidRPr="004635E5">
        <w:rPr>
          <w:rFonts w:eastAsia="MS Mincho"/>
          <w:b/>
          <w:bCs/>
          <w:sz w:val="22"/>
          <w:szCs w:val="22"/>
          <w:lang w:eastAsia="en-NZ"/>
        </w:rPr>
        <w:t>.</w:t>
      </w:r>
      <w:r w:rsidRPr="004635E5">
        <w:rPr>
          <w:rFonts w:eastAsia="MS Mincho"/>
          <w:bCs/>
          <w:sz w:val="22"/>
          <w:szCs w:val="22"/>
          <w:lang w:eastAsia="en-NZ"/>
        </w:rPr>
        <w:t xml:space="preserve"> Kobe plots for Pacific bluefin tuna (</w:t>
      </w:r>
      <w:r w:rsidRPr="004635E5">
        <w:rPr>
          <w:rFonts w:eastAsia="MS Mincho"/>
          <w:bCs/>
          <w:i/>
          <w:sz w:val="22"/>
          <w:szCs w:val="22"/>
          <w:lang w:eastAsia="en-NZ"/>
        </w:rPr>
        <w:t>Thunnus orientalis</w:t>
      </w:r>
      <w:r w:rsidRPr="004635E5">
        <w:rPr>
          <w:rFonts w:eastAsia="MS Mincho"/>
          <w:bCs/>
          <w:sz w:val="22"/>
          <w:szCs w:val="22"/>
          <w:lang w:eastAsia="en-NZ"/>
        </w:rPr>
        <w:t>). X axis shows the annual SSB relative to 20%SSB</w:t>
      </w:r>
      <w:r w:rsidRPr="004635E5">
        <w:rPr>
          <w:rFonts w:eastAsia="MS Mincho"/>
          <w:bCs/>
          <w:sz w:val="22"/>
          <w:szCs w:val="22"/>
          <w:vertAlign w:val="subscript"/>
          <w:lang w:eastAsia="en-NZ"/>
        </w:rPr>
        <w:t>F=0</w:t>
      </w:r>
      <w:r w:rsidRPr="004635E5">
        <w:rPr>
          <w:rFonts w:eastAsia="MS Mincho"/>
          <w:bCs/>
          <w:sz w:val="22"/>
          <w:szCs w:val="22"/>
          <w:lang w:eastAsia="en-NZ"/>
        </w:rPr>
        <w:t xml:space="preserve"> and the Y axis shows the spawning potential ratio as a measure of fishing intensity. Solid vertical and horizontal lines in the left figure show 20%SSB</w:t>
      </w:r>
      <w:r w:rsidRPr="004635E5">
        <w:rPr>
          <w:rFonts w:eastAsia="MS Mincho"/>
          <w:bCs/>
          <w:sz w:val="22"/>
          <w:szCs w:val="22"/>
          <w:vertAlign w:val="subscript"/>
          <w:lang w:eastAsia="en-NZ"/>
        </w:rPr>
        <w:t>F=0</w:t>
      </w:r>
      <w:r w:rsidRPr="004635E5">
        <w:rPr>
          <w:rFonts w:eastAsia="MS Mincho"/>
          <w:bCs/>
          <w:sz w:val="22"/>
          <w:szCs w:val="22"/>
          <w:lang w:eastAsia="en-NZ"/>
        </w:rPr>
        <w:t xml:space="preserve"> (which corresponds to the second biomass rebuilding target) and the corresponding fishing intensity, respectively. Dashed vertical and horizontal lines in both figures show the initial biomass rebuilding target (SSB</w:t>
      </w:r>
      <w:r w:rsidRPr="004635E5">
        <w:rPr>
          <w:rFonts w:eastAsia="MS Mincho"/>
          <w:bCs/>
          <w:sz w:val="22"/>
          <w:szCs w:val="22"/>
          <w:vertAlign w:val="subscript"/>
          <w:lang w:eastAsia="en-NZ"/>
        </w:rPr>
        <w:t>MED</w:t>
      </w:r>
      <w:r w:rsidRPr="004635E5">
        <w:rPr>
          <w:rFonts w:eastAsia="MS Mincho"/>
          <w:bCs/>
          <w:sz w:val="22"/>
          <w:szCs w:val="22"/>
          <w:lang w:eastAsia="en-NZ"/>
        </w:rPr>
        <w:t xml:space="preserve"> = 6.7%SSB</w:t>
      </w:r>
      <w:r w:rsidRPr="004635E5">
        <w:rPr>
          <w:rFonts w:eastAsia="MS Mincho"/>
          <w:bCs/>
          <w:sz w:val="22"/>
          <w:szCs w:val="22"/>
          <w:vertAlign w:val="subscript"/>
          <w:lang w:eastAsia="en-NZ"/>
        </w:rPr>
        <w:t>F=0</w:t>
      </w:r>
      <w:r w:rsidRPr="004635E5">
        <w:rPr>
          <w:rFonts w:eastAsia="MS Mincho"/>
          <w:bCs/>
          <w:sz w:val="22"/>
          <w:szCs w:val="22"/>
          <w:lang w:eastAsia="en-NZ"/>
        </w:rPr>
        <w:t>) and the corresponding fishing intensity, respectively. SSB</w:t>
      </w:r>
      <w:r w:rsidRPr="004635E5">
        <w:rPr>
          <w:rFonts w:eastAsia="MS Mincho"/>
          <w:bCs/>
          <w:sz w:val="22"/>
          <w:szCs w:val="22"/>
          <w:vertAlign w:val="subscript"/>
          <w:lang w:eastAsia="en-NZ"/>
        </w:rPr>
        <w:t>MED</w:t>
      </w:r>
      <w:r w:rsidRPr="004635E5">
        <w:rPr>
          <w:rFonts w:eastAsia="MS Mincho"/>
          <w:bCs/>
          <w:sz w:val="22"/>
          <w:szCs w:val="22"/>
          <w:lang w:eastAsia="en-NZ"/>
        </w:rPr>
        <w:t xml:space="preserve"> is calculated as the median of estimated SSB over 1952-2014. The left figure shows the historical trajectory, where the open circle indicates the first year of the assessment (1952) while solid circles indicate the last five years of the assessment (2012-2016). The right figure shows the trajectory of the last 30 years, where grey dots indicate the uncertainty of the terminal year.</w:t>
      </w:r>
      <w:bookmarkEnd w:id="105"/>
    </w:p>
    <w:p w14:paraId="4AD0C536" w14:textId="77777777" w:rsidR="00270656" w:rsidRPr="004635E5" w:rsidRDefault="00992821" w:rsidP="006633A8">
      <w:pPr>
        <w:autoSpaceDE w:val="0"/>
        <w:autoSpaceDN w:val="0"/>
        <w:adjustRightInd w:val="0"/>
        <w:snapToGrid w:val="0"/>
        <w:jc w:val="both"/>
        <w:rPr>
          <w:rFonts w:eastAsia="MS Mincho"/>
          <w:sz w:val="22"/>
          <w:szCs w:val="22"/>
          <w:lang w:eastAsia="en-NZ"/>
        </w:rPr>
      </w:pPr>
      <w:r w:rsidRPr="004635E5">
        <w:rPr>
          <w:rFonts w:eastAsia="MS Mincho"/>
          <w:noProof/>
          <w:sz w:val="22"/>
          <w:szCs w:val="22"/>
          <w:lang w:eastAsia="zh-CN" w:bidi="mn-Mong-CN"/>
        </w:rPr>
        <w:drawing>
          <wp:inline distT="0" distB="0" distL="0" distR="0" wp14:anchorId="1EE8C267" wp14:editId="6276A1B0">
            <wp:extent cx="5472332" cy="4417256"/>
            <wp:effectExtent l="0" t="0" r="0" b="2540"/>
            <wp:docPr id="2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a:stretch/>
                  </pic:blipFill>
                  <pic:spPr bwMode="auto">
                    <a:xfrm>
                      <a:off x="0" y="0"/>
                      <a:ext cx="5484624" cy="4427178"/>
                    </a:xfrm>
                    <a:prstGeom prst="rect">
                      <a:avLst/>
                    </a:prstGeom>
                    <a:noFill/>
                    <a:ln>
                      <a:noFill/>
                    </a:ln>
                    <a:extLst>
                      <a:ext uri="{53640926-AAD7-44D8-BBD7-CCE9431645EC}">
                        <a14:shadowObscured xmlns:a14="http://schemas.microsoft.com/office/drawing/2010/main"/>
                      </a:ext>
                    </a:extLst>
                  </pic:spPr>
                </pic:pic>
              </a:graphicData>
            </a:graphic>
          </wp:inline>
        </w:drawing>
      </w:r>
    </w:p>
    <w:p w14:paraId="462A9736" w14:textId="77777777" w:rsidR="00270656" w:rsidRPr="004635E5" w:rsidRDefault="00270656" w:rsidP="006633A8">
      <w:pPr>
        <w:autoSpaceDE w:val="0"/>
        <w:autoSpaceDN w:val="0"/>
        <w:adjustRightInd w:val="0"/>
        <w:snapToGrid w:val="0"/>
        <w:jc w:val="both"/>
        <w:rPr>
          <w:rFonts w:eastAsia="MS Mincho"/>
          <w:bCs/>
          <w:sz w:val="22"/>
          <w:szCs w:val="22"/>
          <w:lang w:eastAsia="en-NZ"/>
        </w:rPr>
      </w:pPr>
      <w:bookmarkStart w:id="106" w:name="_Ref519184437"/>
      <w:bookmarkStart w:id="107" w:name="_Toc520790164"/>
      <w:r w:rsidRPr="004635E5">
        <w:rPr>
          <w:rFonts w:eastAsia="MS Mincho"/>
          <w:b/>
          <w:bCs/>
          <w:sz w:val="22"/>
          <w:szCs w:val="22"/>
          <w:lang w:eastAsia="en-NZ"/>
        </w:rPr>
        <w:t>Figure PBF</w:t>
      </w:r>
      <w:r w:rsidR="00122DC5" w:rsidRPr="004635E5">
        <w:rPr>
          <w:rFonts w:eastAsia="MS Mincho"/>
          <w:b/>
          <w:bCs/>
          <w:sz w:val="22"/>
          <w:szCs w:val="22"/>
          <w:lang w:eastAsia="en-NZ"/>
        </w:rPr>
        <w:t>-4</w:t>
      </w:r>
      <w:bookmarkEnd w:id="106"/>
      <w:r w:rsidRPr="004635E5">
        <w:rPr>
          <w:rFonts w:eastAsia="MS Mincho"/>
          <w:b/>
          <w:bCs/>
          <w:sz w:val="22"/>
          <w:szCs w:val="22"/>
          <w:lang w:eastAsia="en-NZ"/>
        </w:rPr>
        <w:t>.</w:t>
      </w:r>
      <w:r w:rsidRPr="004635E5">
        <w:rPr>
          <w:rFonts w:eastAsia="MS Mincho"/>
          <w:bCs/>
          <w:sz w:val="22"/>
          <w:szCs w:val="22"/>
          <w:lang w:eastAsia="en-NZ"/>
        </w:rPr>
        <w:t xml:space="preserve"> Trajectory of the spawning stock biomass of a simulated population of Pacific bluefin tuna (</w:t>
      </w:r>
      <w:r w:rsidRPr="004635E5">
        <w:rPr>
          <w:rFonts w:eastAsia="MS Mincho"/>
          <w:bCs/>
          <w:i/>
          <w:sz w:val="22"/>
          <w:szCs w:val="22"/>
          <w:lang w:eastAsia="en-NZ"/>
        </w:rPr>
        <w:t>Thunnus orientalis</w:t>
      </w:r>
      <w:r w:rsidRPr="004635E5">
        <w:rPr>
          <w:rFonts w:eastAsia="MS Mincho"/>
          <w:bCs/>
          <w:sz w:val="22"/>
          <w:szCs w:val="22"/>
          <w:lang w:eastAsia="en-NZ"/>
        </w:rPr>
        <w:t>) when zero fishing mortality is assumed, estimated by the base-case model (top: absolute impact, bottom: relative impact). Fleet definition; WPO longline: F1, F12, F17. WPO purse seine for small fish: F2, F3, F18. WPO purse seine: F4, F5. WPO coastal fisheries: F6-11, F16, F19. EPO fisheries: F13, F14, F15.</w:t>
      </w:r>
      <w:bookmarkEnd w:id="107"/>
    </w:p>
    <w:p w14:paraId="6AF7D05A" w14:textId="77777777" w:rsidR="00270656" w:rsidRPr="004635E5" w:rsidRDefault="00992821" w:rsidP="006633A8">
      <w:pPr>
        <w:autoSpaceDE w:val="0"/>
        <w:autoSpaceDN w:val="0"/>
        <w:adjustRightInd w:val="0"/>
        <w:snapToGrid w:val="0"/>
        <w:jc w:val="center"/>
        <w:rPr>
          <w:rFonts w:eastAsia="MS Mincho"/>
          <w:sz w:val="22"/>
          <w:szCs w:val="22"/>
          <w:lang w:eastAsia="en-NZ"/>
        </w:rPr>
      </w:pPr>
      <w:r w:rsidRPr="004635E5">
        <w:rPr>
          <w:rFonts w:eastAsia="MS Mincho"/>
          <w:noProof/>
          <w:sz w:val="22"/>
          <w:szCs w:val="22"/>
          <w:lang w:eastAsia="zh-CN" w:bidi="mn-Mong-CN"/>
        </w:rPr>
        <w:drawing>
          <wp:inline distT="0" distB="0" distL="0" distR="0" wp14:anchorId="7C25C695" wp14:editId="504046AD">
            <wp:extent cx="4781068" cy="3421117"/>
            <wp:effectExtent l="0" t="0" r="635" b="8255"/>
            <wp:docPr id="27" name="図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796926" cy="3432464"/>
                    </a:xfrm>
                    <a:prstGeom prst="rect">
                      <a:avLst/>
                    </a:prstGeom>
                    <a:noFill/>
                    <a:ln>
                      <a:noFill/>
                    </a:ln>
                  </pic:spPr>
                </pic:pic>
              </a:graphicData>
            </a:graphic>
          </wp:inline>
        </w:drawing>
      </w:r>
    </w:p>
    <w:p w14:paraId="4000EF73" w14:textId="77777777" w:rsidR="000B0F63" w:rsidRPr="004635E5" w:rsidRDefault="00270656" w:rsidP="006633A8">
      <w:pPr>
        <w:autoSpaceDE w:val="0"/>
        <w:autoSpaceDN w:val="0"/>
        <w:adjustRightInd w:val="0"/>
        <w:snapToGrid w:val="0"/>
        <w:jc w:val="both"/>
        <w:rPr>
          <w:rFonts w:eastAsia="MS Mincho"/>
          <w:bCs/>
          <w:sz w:val="22"/>
          <w:szCs w:val="22"/>
          <w:lang w:eastAsia="en-NZ"/>
        </w:rPr>
      </w:pPr>
      <w:bookmarkStart w:id="108" w:name="_Ref519447094"/>
      <w:bookmarkStart w:id="109" w:name="_Toc520790165"/>
      <w:r w:rsidRPr="004635E5">
        <w:rPr>
          <w:rFonts w:eastAsia="MS Mincho"/>
          <w:b/>
          <w:bCs/>
          <w:sz w:val="22"/>
          <w:szCs w:val="22"/>
          <w:lang w:eastAsia="en-NZ"/>
        </w:rPr>
        <w:t>Figure PBF</w:t>
      </w:r>
      <w:r w:rsidR="00122DC5" w:rsidRPr="004635E5">
        <w:rPr>
          <w:rFonts w:eastAsia="MS Mincho"/>
          <w:b/>
          <w:bCs/>
          <w:sz w:val="22"/>
          <w:szCs w:val="22"/>
          <w:lang w:eastAsia="en-NZ"/>
        </w:rPr>
        <w:t>-5</w:t>
      </w:r>
      <w:bookmarkEnd w:id="108"/>
      <w:r w:rsidRPr="004635E5">
        <w:rPr>
          <w:rFonts w:eastAsia="MS Mincho"/>
          <w:b/>
          <w:bCs/>
          <w:sz w:val="22"/>
          <w:szCs w:val="22"/>
          <w:lang w:eastAsia="en-NZ"/>
        </w:rPr>
        <w:t>.</w:t>
      </w:r>
      <w:r w:rsidRPr="004635E5">
        <w:rPr>
          <w:rFonts w:eastAsia="MS Mincho"/>
          <w:bCs/>
          <w:sz w:val="22"/>
          <w:szCs w:val="22"/>
          <w:lang w:eastAsia="en-NZ"/>
        </w:rPr>
        <w:t xml:space="preserve"> Comparison of future SSB of Pacific bluefin tuna (</w:t>
      </w:r>
      <w:r w:rsidRPr="004635E5">
        <w:rPr>
          <w:rFonts w:eastAsia="MS Mincho"/>
          <w:bCs/>
          <w:i/>
          <w:sz w:val="22"/>
          <w:szCs w:val="22"/>
          <w:lang w:eastAsia="en-NZ"/>
        </w:rPr>
        <w:t>Thunnus orientalis</w:t>
      </w:r>
      <w:r w:rsidRPr="004635E5">
        <w:rPr>
          <w:rFonts w:eastAsia="MS Mincho"/>
          <w:bCs/>
          <w:sz w:val="22"/>
          <w:szCs w:val="22"/>
          <w:lang w:eastAsia="en-NZ"/>
        </w:rPr>
        <w:t>) under the current management measures assuming low recruitment using the 2016 assessment (scenario 2016 lowR), assuming low recruitment using the 2018 assessment (scenario 0), and assuming a shift of the recruitment scenario from low to average after achieving the initial rebuilding target using the 2018 assessment (scenario 1).</w:t>
      </w:r>
      <w:bookmarkEnd w:id="109"/>
    </w:p>
    <w:p w14:paraId="7EEEF833" w14:textId="77777777" w:rsidR="000B0F63" w:rsidRPr="004635E5" w:rsidRDefault="000B0F63" w:rsidP="006633A8">
      <w:pPr>
        <w:adjustRightInd w:val="0"/>
        <w:snapToGrid w:val="0"/>
        <w:rPr>
          <w:rFonts w:eastAsia="MS Mincho"/>
          <w:bCs/>
          <w:sz w:val="22"/>
          <w:szCs w:val="22"/>
          <w:lang w:eastAsia="en-NZ"/>
        </w:rPr>
      </w:pPr>
      <w:r w:rsidRPr="004635E5">
        <w:rPr>
          <w:rFonts w:eastAsia="MS Mincho"/>
          <w:bCs/>
          <w:sz w:val="22"/>
          <w:szCs w:val="22"/>
          <w:lang w:eastAsia="en-NZ"/>
        </w:rPr>
        <w:br w:type="page"/>
      </w:r>
    </w:p>
    <w:p w14:paraId="30B4AC2C" w14:textId="77777777" w:rsidR="00270656" w:rsidRPr="004635E5" w:rsidRDefault="00270656" w:rsidP="006633A8">
      <w:pPr>
        <w:autoSpaceDE w:val="0"/>
        <w:autoSpaceDN w:val="0"/>
        <w:adjustRightInd w:val="0"/>
        <w:snapToGrid w:val="0"/>
        <w:jc w:val="both"/>
        <w:rPr>
          <w:rFonts w:eastAsia="MS Mincho"/>
          <w:bCs/>
          <w:sz w:val="22"/>
          <w:szCs w:val="22"/>
          <w:lang w:eastAsia="en-NZ"/>
        </w:rPr>
      </w:pPr>
    </w:p>
    <w:p w14:paraId="1E3DE057" w14:textId="77777777" w:rsidR="00270656" w:rsidRPr="004635E5" w:rsidRDefault="00992821" w:rsidP="006633A8">
      <w:pPr>
        <w:autoSpaceDE w:val="0"/>
        <w:autoSpaceDN w:val="0"/>
        <w:adjustRightInd w:val="0"/>
        <w:snapToGrid w:val="0"/>
        <w:jc w:val="both"/>
        <w:rPr>
          <w:rFonts w:eastAsia="MS Mincho"/>
          <w:sz w:val="22"/>
          <w:szCs w:val="22"/>
          <w:lang w:eastAsia="en-NZ"/>
        </w:rPr>
      </w:pPr>
      <w:r w:rsidRPr="004635E5">
        <w:rPr>
          <w:rFonts w:eastAsia="MS Mincho"/>
          <w:b/>
          <w:noProof/>
          <w:sz w:val="22"/>
          <w:szCs w:val="22"/>
          <w:lang w:eastAsia="zh-CN" w:bidi="mn-Mong-CN"/>
        </w:rPr>
        <w:drawing>
          <wp:inline distT="0" distB="0" distL="0" distR="0" wp14:anchorId="4CE44120" wp14:editId="6BA34024">
            <wp:extent cx="4311650" cy="3797300"/>
            <wp:effectExtent l="0" t="0" r="0" b="0"/>
            <wp:docPr id="28" name="図 11" descr="C:\Users\Shuya Nakatsuka\AppData\Local\Microsoft\Windows\INetCache\Content.Word\scenario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uya Nakatsuka\AppData\Local\Microsoft\Windows\INetCache\Content.Word\scenario1 (2).png"/>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10344" t="15244" r="15723" b="19643"/>
                    <a:stretch/>
                  </pic:blipFill>
                  <pic:spPr bwMode="auto">
                    <a:xfrm>
                      <a:off x="0" y="0"/>
                      <a:ext cx="4311650" cy="3797300"/>
                    </a:xfrm>
                    <a:prstGeom prst="rect">
                      <a:avLst/>
                    </a:prstGeom>
                    <a:noFill/>
                    <a:ln>
                      <a:noFill/>
                    </a:ln>
                    <a:extLst>
                      <a:ext uri="{53640926-AAD7-44D8-BBD7-CCE9431645EC}">
                        <a14:shadowObscured xmlns:a14="http://schemas.microsoft.com/office/drawing/2010/main"/>
                      </a:ext>
                    </a:extLst>
                  </pic:spPr>
                </pic:pic>
              </a:graphicData>
            </a:graphic>
          </wp:inline>
        </w:drawing>
      </w:r>
    </w:p>
    <w:p w14:paraId="46D4209A" w14:textId="77777777" w:rsidR="00270656" w:rsidRPr="004635E5" w:rsidRDefault="00270656" w:rsidP="006633A8">
      <w:pPr>
        <w:autoSpaceDE w:val="0"/>
        <w:autoSpaceDN w:val="0"/>
        <w:adjustRightInd w:val="0"/>
        <w:snapToGrid w:val="0"/>
        <w:jc w:val="both"/>
        <w:rPr>
          <w:rFonts w:eastAsia="MS Mincho"/>
          <w:bCs/>
          <w:sz w:val="22"/>
          <w:szCs w:val="22"/>
          <w:lang w:eastAsia="en-NZ"/>
        </w:rPr>
      </w:pPr>
      <w:bookmarkStart w:id="110" w:name="_Ref519447104"/>
      <w:bookmarkStart w:id="111" w:name="_Toc520790166"/>
      <w:r w:rsidRPr="004635E5">
        <w:rPr>
          <w:rFonts w:eastAsia="MS Mincho"/>
          <w:b/>
          <w:bCs/>
          <w:sz w:val="22"/>
          <w:szCs w:val="22"/>
          <w:lang w:eastAsia="en-NZ"/>
        </w:rPr>
        <w:t>Figure PBF</w:t>
      </w:r>
      <w:r w:rsidR="00122DC5" w:rsidRPr="004635E5">
        <w:rPr>
          <w:rFonts w:eastAsia="MS Mincho"/>
          <w:b/>
          <w:bCs/>
          <w:sz w:val="22"/>
          <w:szCs w:val="22"/>
          <w:lang w:eastAsia="en-NZ"/>
        </w:rPr>
        <w:t>-6</w:t>
      </w:r>
      <w:bookmarkEnd w:id="110"/>
      <w:r w:rsidRPr="004635E5">
        <w:rPr>
          <w:rFonts w:eastAsia="MS Mincho"/>
          <w:bCs/>
          <w:sz w:val="22"/>
          <w:szCs w:val="22"/>
          <w:lang w:eastAsia="en-NZ"/>
        </w:rPr>
        <w:t xml:space="preserve">. A projection result (scenario 1 from Table </w:t>
      </w:r>
      <w:r w:rsidR="00C573EF" w:rsidRPr="004635E5">
        <w:rPr>
          <w:rFonts w:eastAsia="MS Mincho"/>
          <w:bCs/>
          <w:sz w:val="22"/>
          <w:szCs w:val="22"/>
          <w:lang w:eastAsia="en-NZ"/>
        </w:rPr>
        <w:t>PBF-</w:t>
      </w:r>
      <w:r w:rsidRPr="004635E5">
        <w:rPr>
          <w:rFonts w:eastAsia="MS Mincho"/>
          <w:bCs/>
          <w:sz w:val="22"/>
          <w:szCs w:val="22"/>
          <w:lang w:eastAsia="en-NZ"/>
        </w:rPr>
        <w:t>4) for Pacific bluefin tuna (</w:t>
      </w:r>
      <w:r w:rsidRPr="004635E5">
        <w:rPr>
          <w:rFonts w:eastAsia="MS Mincho"/>
          <w:bCs/>
          <w:i/>
          <w:sz w:val="22"/>
          <w:szCs w:val="22"/>
          <w:lang w:eastAsia="en-NZ"/>
        </w:rPr>
        <w:t>Thunnus orientalis</w:t>
      </w:r>
      <w:r w:rsidRPr="004635E5">
        <w:rPr>
          <w:rFonts w:eastAsia="MS Mincho"/>
          <w:bCs/>
          <w:sz w:val="22"/>
          <w:szCs w:val="22"/>
          <w:lang w:eastAsia="en-NZ"/>
        </w:rPr>
        <w:t>) in a form of Kobe plot. The X axis shows the SSB value relative to 20%SSB</w:t>
      </w:r>
      <w:r w:rsidRPr="004635E5">
        <w:rPr>
          <w:rFonts w:eastAsia="MS Mincho"/>
          <w:bCs/>
          <w:sz w:val="22"/>
          <w:szCs w:val="22"/>
          <w:vertAlign w:val="subscript"/>
          <w:lang w:eastAsia="en-NZ"/>
        </w:rPr>
        <w:t>F=0</w:t>
      </w:r>
      <w:r w:rsidRPr="004635E5">
        <w:rPr>
          <w:rFonts w:eastAsia="MS Mincho"/>
          <w:bCs/>
          <w:sz w:val="22"/>
          <w:szCs w:val="22"/>
          <w:lang w:eastAsia="en-NZ"/>
        </w:rPr>
        <w:t xml:space="preserve"> (second rebuilding target) and the Y axis shows the spawning potential ratio as a measure of fishing intensity. Vertical and horizontal solid lines indicate the second rebuilding target (20%SSB</w:t>
      </w:r>
      <w:r w:rsidRPr="004635E5">
        <w:rPr>
          <w:rFonts w:eastAsia="MS Mincho"/>
          <w:bCs/>
          <w:sz w:val="22"/>
          <w:szCs w:val="22"/>
          <w:vertAlign w:val="subscript"/>
          <w:lang w:eastAsia="en-NZ"/>
        </w:rPr>
        <w:t>F=0</w:t>
      </w:r>
      <w:r w:rsidRPr="004635E5">
        <w:rPr>
          <w:rFonts w:eastAsia="MS Mincho"/>
          <w:bCs/>
          <w:sz w:val="22"/>
          <w:szCs w:val="22"/>
          <w:lang w:eastAsia="en-NZ"/>
        </w:rPr>
        <w:t>) and the corresponding fishing intensity, respectively, while vertical and horizontal dashed lines indicate the initial rebuilding target (SSB</w:t>
      </w:r>
      <w:r w:rsidRPr="004635E5">
        <w:rPr>
          <w:rFonts w:eastAsia="MS Mincho"/>
          <w:bCs/>
          <w:sz w:val="22"/>
          <w:szCs w:val="22"/>
          <w:vertAlign w:val="subscript"/>
          <w:lang w:eastAsia="en-NZ"/>
        </w:rPr>
        <w:t>MED</w:t>
      </w:r>
      <w:r w:rsidRPr="004635E5">
        <w:rPr>
          <w:rFonts w:eastAsia="MS Mincho"/>
          <w:bCs/>
          <w:sz w:val="22"/>
          <w:szCs w:val="22"/>
          <w:lang w:eastAsia="en-NZ"/>
        </w:rPr>
        <w:t xml:space="preserve"> = 6.7%SSB</w:t>
      </w:r>
      <w:r w:rsidRPr="004635E5">
        <w:rPr>
          <w:rFonts w:eastAsia="MS Mincho"/>
          <w:bCs/>
          <w:sz w:val="22"/>
          <w:szCs w:val="22"/>
          <w:vertAlign w:val="subscript"/>
          <w:lang w:eastAsia="en-NZ"/>
        </w:rPr>
        <w:t>F=0</w:t>
      </w:r>
      <w:r w:rsidRPr="004635E5">
        <w:rPr>
          <w:rFonts w:eastAsia="MS Mincho"/>
          <w:bCs/>
          <w:sz w:val="22"/>
          <w:szCs w:val="22"/>
          <w:lang w:eastAsia="en-NZ"/>
        </w:rPr>
        <w:t>) and the corresponding fishing intensity, respectively.</w:t>
      </w:r>
      <w:bookmarkEnd w:id="111"/>
    </w:p>
    <w:p w14:paraId="52F39A39" w14:textId="77777777" w:rsidR="000B0F63" w:rsidRPr="004635E5" w:rsidRDefault="000B0F63" w:rsidP="006633A8">
      <w:pPr>
        <w:autoSpaceDE w:val="0"/>
        <w:autoSpaceDN w:val="0"/>
        <w:adjustRightInd w:val="0"/>
        <w:snapToGrid w:val="0"/>
        <w:jc w:val="both"/>
        <w:rPr>
          <w:rFonts w:eastAsia="MS Mincho"/>
          <w:bCs/>
          <w:sz w:val="22"/>
          <w:szCs w:val="22"/>
          <w:lang w:eastAsia="en-NZ"/>
        </w:rPr>
      </w:pPr>
    </w:p>
    <w:p w14:paraId="66705439" w14:textId="77777777" w:rsidR="005625C8" w:rsidRPr="004635E5" w:rsidRDefault="00073DD2" w:rsidP="00580EA4">
      <w:pPr>
        <w:pStyle w:val="SC3"/>
        <w:numPr>
          <w:ilvl w:val="2"/>
          <w:numId w:val="161"/>
        </w:numPr>
        <w:spacing w:after="0"/>
        <w:rPr>
          <w:rFonts w:eastAsia="Batang"/>
          <w:lang w:eastAsia="ko-KR"/>
        </w:rPr>
      </w:pPr>
      <w:r w:rsidRPr="004635E5">
        <w:rPr>
          <w:rFonts w:eastAsia="Batang"/>
          <w:lang w:eastAsia="ko-KR"/>
        </w:rPr>
        <w:t>North Pacific swordfish</w:t>
      </w:r>
      <w:r w:rsidR="00807662" w:rsidRPr="004635E5">
        <w:rPr>
          <w:rFonts w:eastAsia="Batang"/>
          <w:lang w:eastAsia="ko-KR"/>
        </w:rPr>
        <w:t xml:space="preserve"> (</w:t>
      </w:r>
      <w:r w:rsidR="00807662" w:rsidRPr="004635E5">
        <w:rPr>
          <w:rFonts w:eastAsia="Batang"/>
          <w:i/>
          <w:lang w:eastAsia="ko-KR"/>
        </w:rPr>
        <w:t>Xiphias gladius</w:t>
      </w:r>
      <w:r w:rsidR="00807662" w:rsidRPr="004635E5">
        <w:rPr>
          <w:rFonts w:eastAsia="Batang"/>
          <w:lang w:eastAsia="ko-KR"/>
        </w:rPr>
        <w:t>)</w:t>
      </w:r>
    </w:p>
    <w:p w14:paraId="7E5BEE89" w14:textId="77777777" w:rsidR="000B0F63" w:rsidRPr="004635E5" w:rsidRDefault="000B0F63" w:rsidP="006633A8">
      <w:pPr>
        <w:pStyle w:val="SC3"/>
        <w:numPr>
          <w:ilvl w:val="0"/>
          <w:numId w:val="0"/>
        </w:numPr>
        <w:spacing w:after="0"/>
        <w:ind w:left="1440"/>
        <w:rPr>
          <w:rFonts w:eastAsia="Batang"/>
          <w:lang w:eastAsia="ko-KR"/>
        </w:rPr>
      </w:pPr>
    </w:p>
    <w:p w14:paraId="27DB0A30" w14:textId="77777777" w:rsidR="00073DD2" w:rsidRPr="004635E5" w:rsidRDefault="009B2729" w:rsidP="00580EA4">
      <w:pPr>
        <w:pStyle w:val="SC3"/>
        <w:numPr>
          <w:ilvl w:val="3"/>
          <w:numId w:val="161"/>
        </w:numPr>
        <w:spacing w:after="0"/>
        <w:rPr>
          <w:rFonts w:eastAsia="Batang"/>
          <w:lang w:eastAsia="ko-KR"/>
        </w:rPr>
      </w:pPr>
      <w:r w:rsidRPr="004635E5">
        <w:rPr>
          <w:rFonts w:eastAsia="Batang"/>
          <w:lang w:eastAsia="ko-KR"/>
        </w:rPr>
        <w:t>R</w:t>
      </w:r>
      <w:r w:rsidR="00073DD2" w:rsidRPr="004635E5">
        <w:rPr>
          <w:rFonts w:eastAsia="Batang"/>
          <w:lang w:eastAsia="ko-KR"/>
        </w:rPr>
        <w:t>esearch and information</w:t>
      </w:r>
    </w:p>
    <w:p w14:paraId="19229634" w14:textId="77777777" w:rsidR="000B0F63" w:rsidRPr="004635E5" w:rsidRDefault="000B0F63" w:rsidP="006633A8">
      <w:pPr>
        <w:pStyle w:val="SC3"/>
        <w:numPr>
          <w:ilvl w:val="0"/>
          <w:numId w:val="0"/>
        </w:numPr>
        <w:spacing w:after="0"/>
        <w:ind w:left="1800"/>
        <w:rPr>
          <w:rFonts w:eastAsia="Batang"/>
          <w:lang w:eastAsia="ko-KR"/>
        </w:rPr>
      </w:pPr>
    </w:p>
    <w:p w14:paraId="5EE8F64C" w14:textId="77777777" w:rsidR="003B4777" w:rsidRPr="004635E5" w:rsidRDefault="00BE27B1" w:rsidP="00580EA4">
      <w:pPr>
        <w:numPr>
          <w:ilvl w:val="0"/>
          <w:numId w:val="18"/>
        </w:numPr>
        <w:autoSpaceDE w:val="0"/>
        <w:autoSpaceDN w:val="0"/>
        <w:adjustRightInd w:val="0"/>
        <w:snapToGrid w:val="0"/>
        <w:ind w:left="0" w:firstLine="0"/>
        <w:jc w:val="both"/>
        <w:rPr>
          <w:rFonts w:eastAsia="Calibri"/>
          <w:sz w:val="22"/>
          <w:szCs w:val="22"/>
        </w:rPr>
      </w:pPr>
      <w:r w:rsidRPr="004635E5">
        <w:rPr>
          <w:sz w:val="22"/>
          <w:szCs w:val="22"/>
          <w:lang w:val="en-NZ"/>
        </w:rPr>
        <w:t>M. Scull</w:t>
      </w:r>
      <w:r w:rsidR="00CC4B66">
        <w:rPr>
          <w:sz w:val="22"/>
          <w:szCs w:val="22"/>
          <w:lang w:val="en-NZ"/>
        </w:rPr>
        <w:t>e</w:t>
      </w:r>
      <w:r w:rsidRPr="004635E5">
        <w:rPr>
          <w:sz w:val="22"/>
          <w:szCs w:val="22"/>
          <w:lang w:val="en-NZ"/>
        </w:rPr>
        <w:t xml:space="preserve">y </w:t>
      </w:r>
      <w:r w:rsidR="002B13D6">
        <w:rPr>
          <w:sz w:val="22"/>
          <w:szCs w:val="22"/>
          <w:lang w:val="en-NZ"/>
        </w:rPr>
        <w:t xml:space="preserve">presented </w:t>
      </w:r>
      <w:r w:rsidR="007B57EB" w:rsidRPr="004635E5">
        <w:rPr>
          <w:sz w:val="22"/>
          <w:szCs w:val="22"/>
          <w:lang w:val="en-NZ"/>
        </w:rPr>
        <w:t xml:space="preserve">SC14-SA-WP-07 </w:t>
      </w:r>
      <w:r w:rsidR="002B13D6" w:rsidRPr="00D10883">
        <w:rPr>
          <w:rFonts w:eastAsia="Calibri"/>
          <w:sz w:val="22"/>
          <w:szCs w:val="22"/>
        </w:rPr>
        <w:t>(</w:t>
      </w:r>
      <w:r w:rsidR="007B57EB" w:rsidRPr="004635E5">
        <w:rPr>
          <w:rFonts w:eastAsia="Calibri"/>
          <w:i/>
          <w:sz w:val="22"/>
          <w:szCs w:val="22"/>
        </w:rPr>
        <w:t>Stock assessment for swordfish (Xiphias gladius) in the western and central north Pacific Ocean through 2016</w:t>
      </w:r>
      <w:r w:rsidR="002B13D6" w:rsidRPr="00D10883">
        <w:rPr>
          <w:rFonts w:eastAsia="Calibri"/>
          <w:sz w:val="22"/>
          <w:szCs w:val="22"/>
        </w:rPr>
        <w:t>)</w:t>
      </w:r>
      <w:r w:rsidR="003B4777" w:rsidRPr="004635E5">
        <w:rPr>
          <w:rFonts w:eastAsia="Calibri"/>
          <w:sz w:val="22"/>
          <w:szCs w:val="22"/>
        </w:rPr>
        <w:t>. The Western and Central North Pacific swordfish (</w:t>
      </w:r>
      <w:r w:rsidR="003B4777" w:rsidRPr="004635E5">
        <w:rPr>
          <w:rFonts w:eastAsia="Calibri"/>
          <w:i/>
          <w:sz w:val="22"/>
          <w:szCs w:val="22"/>
        </w:rPr>
        <w:t>Xiphias gladius</w:t>
      </w:r>
      <w:r w:rsidR="003B4777" w:rsidRPr="004635E5">
        <w:rPr>
          <w:rFonts w:eastAsia="Calibri"/>
          <w:sz w:val="22"/>
          <w:szCs w:val="22"/>
        </w:rPr>
        <w:t xml:space="preserve">) stock area consisted of waters of the North Pacific Ocean contained in the boundaries north of the equator and west of the diagonal purple line in Figure </w:t>
      </w:r>
      <w:r w:rsidR="00C15D3F" w:rsidRPr="004635E5">
        <w:rPr>
          <w:rFonts w:eastAsia="Calibri"/>
          <w:sz w:val="22"/>
          <w:szCs w:val="22"/>
        </w:rPr>
        <w:t xml:space="preserve">NPS-1 </w:t>
      </w:r>
      <w:r w:rsidR="003B4777" w:rsidRPr="004635E5">
        <w:rPr>
          <w:rFonts w:eastAsia="Calibri"/>
          <w:sz w:val="22"/>
          <w:szCs w:val="22"/>
        </w:rPr>
        <w:t>labeled stock area 1. All available fishery data from this area were used for the stock assessment. For the purpose of modeling observations of CPUE and size composition data, it was assumed that there was an instantaneous mixing of fish throughout the stock area on a quarterly basis.</w:t>
      </w:r>
    </w:p>
    <w:p w14:paraId="2A3D9E4C" w14:textId="77777777" w:rsidR="000B0F63" w:rsidRPr="004635E5" w:rsidRDefault="000B0F63" w:rsidP="006633A8">
      <w:pPr>
        <w:autoSpaceDE w:val="0"/>
        <w:autoSpaceDN w:val="0"/>
        <w:adjustRightInd w:val="0"/>
        <w:snapToGrid w:val="0"/>
        <w:jc w:val="both"/>
        <w:rPr>
          <w:rFonts w:eastAsia="Calibri"/>
          <w:sz w:val="22"/>
          <w:szCs w:val="22"/>
        </w:rPr>
      </w:pPr>
    </w:p>
    <w:p w14:paraId="18EE978A" w14:textId="77777777" w:rsidR="003B4777" w:rsidRPr="004635E5" w:rsidRDefault="003B4777" w:rsidP="00580EA4">
      <w:pPr>
        <w:numPr>
          <w:ilvl w:val="0"/>
          <w:numId w:val="18"/>
        </w:numPr>
        <w:autoSpaceDE w:val="0"/>
        <w:autoSpaceDN w:val="0"/>
        <w:adjustRightInd w:val="0"/>
        <w:snapToGrid w:val="0"/>
        <w:ind w:left="0" w:firstLine="0"/>
        <w:jc w:val="both"/>
        <w:rPr>
          <w:rFonts w:eastAsia="Calibri"/>
          <w:sz w:val="22"/>
          <w:szCs w:val="22"/>
        </w:rPr>
      </w:pPr>
      <w:r w:rsidRPr="004635E5">
        <w:rPr>
          <w:rFonts w:eastAsia="Calibri"/>
          <w:sz w:val="22"/>
          <w:szCs w:val="22"/>
        </w:rPr>
        <w:t>North Pacific swordfish catches exhibited a variable trend from the 1970s to the 1990s, was stable in the 2000s and thereafter decreased to the present. Overall, the catch by Japanese and Chinese Taipei fleets decreased while the catch by the US</w:t>
      </w:r>
      <w:r w:rsidR="00270656" w:rsidRPr="004635E5">
        <w:rPr>
          <w:rFonts w:eastAsia="Calibri"/>
          <w:sz w:val="22"/>
          <w:szCs w:val="22"/>
        </w:rPr>
        <w:t>A</w:t>
      </w:r>
      <w:r w:rsidRPr="004635E5">
        <w:rPr>
          <w:rFonts w:eastAsia="Calibri"/>
          <w:sz w:val="22"/>
          <w:szCs w:val="22"/>
        </w:rPr>
        <w:t xml:space="preserve"> and other WCPFC and IATTC countries increased (Figure S2). Longline gear has accounted for the vast majority of Western and Central North Pacific swordfish catches since the 1970’s.</w:t>
      </w:r>
    </w:p>
    <w:p w14:paraId="14383904" w14:textId="77777777" w:rsidR="000B0F63" w:rsidRPr="004635E5" w:rsidRDefault="000B0F63" w:rsidP="006633A8">
      <w:pPr>
        <w:autoSpaceDE w:val="0"/>
        <w:autoSpaceDN w:val="0"/>
        <w:adjustRightInd w:val="0"/>
        <w:snapToGrid w:val="0"/>
        <w:jc w:val="both"/>
        <w:rPr>
          <w:rFonts w:eastAsia="Calibri"/>
          <w:sz w:val="22"/>
          <w:szCs w:val="22"/>
        </w:rPr>
      </w:pPr>
    </w:p>
    <w:p w14:paraId="4BF0048D" w14:textId="77777777" w:rsidR="003B4777" w:rsidRPr="004635E5" w:rsidRDefault="003B4777" w:rsidP="00580EA4">
      <w:pPr>
        <w:numPr>
          <w:ilvl w:val="0"/>
          <w:numId w:val="18"/>
        </w:numPr>
        <w:autoSpaceDE w:val="0"/>
        <w:autoSpaceDN w:val="0"/>
        <w:adjustRightInd w:val="0"/>
        <w:snapToGrid w:val="0"/>
        <w:ind w:left="0" w:firstLine="0"/>
        <w:jc w:val="both"/>
        <w:rPr>
          <w:rFonts w:eastAsia="Calibri"/>
          <w:sz w:val="22"/>
          <w:szCs w:val="22"/>
        </w:rPr>
      </w:pPr>
      <w:r w:rsidRPr="004635E5">
        <w:rPr>
          <w:rFonts w:eastAsia="Calibri"/>
          <w:sz w:val="22"/>
          <w:szCs w:val="22"/>
        </w:rPr>
        <w:t xml:space="preserve">Catch and size composition data were collected from ISC countries (Japan, Taiwan, and USA), IATTC member countries, and the WCPFC (Table </w:t>
      </w:r>
      <w:r w:rsidR="00270656" w:rsidRPr="004635E5">
        <w:rPr>
          <w:rFonts w:eastAsia="Calibri"/>
          <w:sz w:val="22"/>
          <w:szCs w:val="22"/>
        </w:rPr>
        <w:t xml:space="preserve">S-1 in </w:t>
      </w:r>
      <w:r w:rsidR="00797E2B">
        <w:rPr>
          <w:rFonts w:eastAsia="Batang"/>
          <w:sz w:val="22"/>
          <w:szCs w:val="22"/>
          <w:lang w:eastAsia="ko-KR"/>
        </w:rPr>
        <w:t>SC14-</w:t>
      </w:r>
      <w:r w:rsidR="00270656" w:rsidRPr="004635E5">
        <w:rPr>
          <w:rFonts w:eastAsia="Calibri"/>
          <w:sz w:val="22"/>
          <w:szCs w:val="22"/>
          <w:lang w:val="en-NZ"/>
        </w:rPr>
        <w:t>SA-WP-07</w:t>
      </w:r>
      <w:r w:rsidRPr="004635E5">
        <w:rPr>
          <w:rFonts w:eastAsia="Calibri"/>
          <w:sz w:val="22"/>
          <w:szCs w:val="22"/>
        </w:rPr>
        <w:t xml:space="preserve">). Standardized </w:t>
      </w:r>
      <w:r w:rsidR="00C15D3F" w:rsidRPr="004635E5">
        <w:rPr>
          <w:rFonts w:eastAsia="Calibri"/>
          <w:sz w:val="22"/>
          <w:szCs w:val="22"/>
        </w:rPr>
        <w:t xml:space="preserve">CPUE </w:t>
      </w:r>
      <w:r w:rsidRPr="004635E5">
        <w:rPr>
          <w:rFonts w:eastAsia="Calibri"/>
          <w:sz w:val="22"/>
          <w:szCs w:val="22"/>
        </w:rPr>
        <w:t>data used to measure trends in relative abundance were provided by Japan, USA, and Chinese Taipei. The Western and Central North Pacific swordfish stock was assessed using an age-, length-, and sex-structured assessment Stock Synthesis model fit to time serie</w:t>
      </w:r>
      <w:r w:rsidR="00C15D3F" w:rsidRPr="004635E5">
        <w:rPr>
          <w:rFonts w:eastAsia="Calibri"/>
          <w:sz w:val="22"/>
          <w:szCs w:val="22"/>
        </w:rPr>
        <w:t>s of standardized CPUE and size-</w:t>
      </w:r>
      <w:r w:rsidRPr="004635E5">
        <w:rPr>
          <w:rFonts w:eastAsia="Calibri"/>
          <w:sz w:val="22"/>
          <w:szCs w:val="22"/>
        </w:rPr>
        <w:t xml:space="preserve">composition data. Sex-specific growth curves and natural mortality rates were used to account for the sexual dimorphism of adult swordfish. The value for stock-recruitment steepness used for the base case model was </w:t>
      </w:r>
      <w:r w:rsidRPr="004635E5">
        <w:rPr>
          <w:rFonts w:eastAsia="Calibri"/>
          <w:i/>
          <w:sz w:val="22"/>
          <w:szCs w:val="22"/>
        </w:rPr>
        <w:t>h</w:t>
      </w:r>
      <w:r w:rsidRPr="004635E5">
        <w:rPr>
          <w:rFonts w:eastAsia="Calibri"/>
          <w:sz w:val="22"/>
          <w:szCs w:val="22"/>
        </w:rPr>
        <w:t xml:space="preserve"> = 0.9. The assessment model was fit to relative abundance indices and size composition data in a likelihood-based statistical framework. Maximum likelihood estimates of model parameters, derived outputs, and their variances were used to characterize stock status and to develop stock projections. Several sensitivity analyses were conducted to evaluate the effects of changes in model parameters, including the natural mortality rate, the stock-recruitment steepness, the growth curve parameters, and the female age at 50% maturity. </w:t>
      </w:r>
    </w:p>
    <w:p w14:paraId="51EB749B" w14:textId="77777777" w:rsidR="000B0F63" w:rsidRPr="004635E5" w:rsidRDefault="000B0F63" w:rsidP="006633A8">
      <w:pPr>
        <w:autoSpaceDE w:val="0"/>
        <w:autoSpaceDN w:val="0"/>
        <w:adjustRightInd w:val="0"/>
        <w:snapToGrid w:val="0"/>
        <w:jc w:val="both"/>
        <w:rPr>
          <w:rFonts w:eastAsia="Calibri"/>
          <w:sz w:val="22"/>
          <w:szCs w:val="22"/>
        </w:rPr>
      </w:pPr>
    </w:p>
    <w:p w14:paraId="50E540EA" w14:textId="77777777" w:rsidR="00556E1A" w:rsidRPr="004635E5" w:rsidRDefault="005625C8" w:rsidP="006633A8">
      <w:pPr>
        <w:pStyle w:val="ListParagraph"/>
        <w:adjustRightInd w:val="0"/>
        <w:snapToGrid w:val="0"/>
        <w:ind w:left="0"/>
        <w:jc w:val="both"/>
        <w:rPr>
          <w:rFonts w:eastAsia="Calibri"/>
          <w:b/>
          <w:sz w:val="22"/>
          <w:szCs w:val="22"/>
        </w:rPr>
      </w:pPr>
      <w:r w:rsidRPr="004635E5">
        <w:rPr>
          <w:rFonts w:eastAsia="Calibri"/>
          <w:b/>
          <w:sz w:val="22"/>
          <w:szCs w:val="22"/>
        </w:rPr>
        <w:t>Discussion</w:t>
      </w:r>
    </w:p>
    <w:p w14:paraId="05F82C59" w14:textId="77777777" w:rsidR="000B0F63" w:rsidRPr="004635E5" w:rsidRDefault="000B0F63" w:rsidP="006633A8">
      <w:pPr>
        <w:pStyle w:val="ListParagraph"/>
        <w:adjustRightInd w:val="0"/>
        <w:snapToGrid w:val="0"/>
        <w:ind w:left="0"/>
        <w:jc w:val="both"/>
        <w:rPr>
          <w:rFonts w:eastAsia="Calibri"/>
          <w:b/>
          <w:sz w:val="22"/>
          <w:szCs w:val="22"/>
        </w:rPr>
      </w:pPr>
    </w:p>
    <w:p w14:paraId="1CCA15EB" w14:textId="77777777" w:rsidR="00E739D8" w:rsidRPr="004635E5" w:rsidRDefault="00556E1A"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RMI</w:t>
      </w:r>
      <w:r w:rsidR="00C15D3F" w:rsidRPr="004635E5">
        <w:rPr>
          <w:rFonts w:eastAsia="Batang"/>
          <w:sz w:val="22"/>
          <w:szCs w:val="22"/>
          <w:lang w:val="en-NZ" w:eastAsia="ko-KR"/>
        </w:rPr>
        <w:t>,</w:t>
      </w:r>
      <w:r w:rsidR="00E739D8" w:rsidRPr="004635E5">
        <w:rPr>
          <w:rFonts w:eastAsia="Batang"/>
          <w:sz w:val="22"/>
          <w:szCs w:val="22"/>
          <w:lang w:val="en-NZ" w:eastAsia="ko-KR"/>
        </w:rPr>
        <w:t xml:space="preserve"> on behalf of FFA members</w:t>
      </w:r>
      <w:r w:rsidR="00C15D3F" w:rsidRPr="004635E5">
        <w:rPr>
          <w:rFonts w:eastAsia="Batang"/>
          <w:sz w:val="22"/>
          <w:szCs w:val="22"/>
          <w:lang w:val="en-NZ" w:eastAsia="ko-KR"/>
        </w:rPr>
        <w:t>,</w:t>
      </w:r>
      <w:r w:rsidR="00E739D8" w:rsidRPr="004635E5">
        <w:rPr>
          <w:rFonts w:eastAsia="Batang"/>
          <w:sz w:val="22"/>
          <w:szCs w:val="22"/>
          <w:lang w:val="en-NZ" w:eastAsia="ko-KR"/>
        </w:rPr>
        <w:t xml:space="preserve"> thanked ISC for the new stock assessment for swordfish in the North Pacific and note</w:t>
      </w:r>
      <w:r w:rsidR="00270656" w:rsidRPr="004635E5">
        <w:rPr>
          <w:rFonts w:eastAsia="Batang"/>
          <w:sz w:val="22"/>
          <w:szCs w:val="22"/>
          <w:lang w:val="en-NZ" w:eastAsia="ko-KR"/>
        </w:rPr>
        <w:t>d</w:t>
      </w:r>
      <w:r w:rsidR="00E739D8" w:rsidRPr="004635E5">
        <w:rPr>
          <w:rFonts w:eastAsia="Batang"/>
          <w:sz w:val="22"/>
          <w:szCs w:val="22"/>
          <w:lang w:val="en-NZ" w:eastAsia="ko-KR"/>
        </w:rPr>
        <w:t xml:space="preserve"> that it </w:t>
      </w:r>
      <w:r w:rsidR="00270656" w:rsidRPr="004635E5">
        <w:rPr>
          <w:rFonts w:eastAsia="Batang"/>
          <w:sz w:val="22"/>
          <w:szCs w:val="22"/>
          <w:lang w:val="en-NZ" w:eastAsia="ko-KR"/>
        </w:rPr>
        <w:t xml:space="preserve">was </w:t>
      </w:r>
      <w:r w:rsidR="00E739D8" w:rsidRPr="004635E5">
        <w:rPr>
          <w:rFonts w:eastAsia="Batang"/>
          <w:sz w:val="22"/>
          <w:szCs w:val="22"/>
          <w:lang w:val="en-NZ" w:eastAsia="ko-KR"/>
        </w:rPr>
        <w:t xml:space="preserve">difficult to distinguish if the outcomes are more optimistic compared to the last stock assessment for swordfish in the North Pacific presented in 2014 because the advice is presented against different stock status indicators. </w:t>
      </w:r>
      <w:r w:rsidR="00270656" w:rsidRPr="004635E5">
        <w:rPr>
          <w:rFonts w:eastAsia="Batang"/>
          <w:sz w:val="22"/>
          <w:szCs w:val="22"/>
          <w:lang w:val="en-NZ" w:eastAsia="ko-KR"/>
        </w:rPr>
        <w:t xml:space="preserve">They </w:t>
      </w:r>
      <w:r w:rsidR="00E739D8" w:rsidRPr="004635E5">
        <w:rPr>
          <w:rFonts w:eastAsia="Batang"/>
          <w:sz w:val="22"/>
          <w:szCs w:val="22"/>
          <w:lang w:val="en-NZ" w:eastAsia="ko-KR"/>
        </w:rPr>
        <w:t>acknowledge</w:t>
      </w:r>
      <w:r w:rsidR="00270656" w:rsidRPr="004635E5">
        <w:rPr>
          <w:rFonts w:eastAsia="Batang"/>
          <w:sz w:val="22"/>
          <w:szCs w:val="22"/>
          <w:lang w:val="en-NZ" w:eastAsia="ko-KR"/>
        </w:rPr>
        <w:t>d</w:t>
      </w:r>
      <w:r w:rsidR="00E739D8" w:rsidRPr="004635E5">
        <w:rPr>
          <w:rFonts w:eastAsia="Batang"/>
          <w:sz w:val="22"/>
          <w:szCs w:val="22"/>
          <w:lang w:val="en-NZ" w:eastAsia="ko-KR"/>
        </w:rPr>
        <w:t xml:space="preserve"> and thank</w:t>
      </w:r>
      <w:r w:rsidR="00270656" w:rsidRPr="004635E5">
        <w:rPr>
          <w:rFonts w:eastAsia="Batang"/>
          <w:sz w:val="22"/>
          <w:szCs w:val="22"/>
          <w:lang w:val="en-NZ" w:eastAsia="ko-KR"/>
        </w:rPr>
        <w:t>ed</w:t>
      </w:r>
      <w:r w:rsidR="00E739D8" w:rsidRPr="004635E5">
        <w:rPr>
          <w:rFonts w:eastAsia="Batang"/>
          <w:sz w:val="22"/>
          <w:szCs w:val="22"/>
          <w:lang w:val="en-NZ" w:eastAsia="ko-KR"/>
        </w:rPr>
        <w:t xml:space="preserve"> the ISC for providing </w:t>
      </w:r>
      <w:r w:rsidR="00270656" w:rsidRPr="004635E5">
        <w:rPr>
          <w:rFonts w:eastAsia="Batang"/>
          <w:sz w:val="22"/>
          <w:szCs w:val="22"/>
          <w:lang w:val="en-NZ" w:eastAsia="ko-KR"/>
        </w:rPr>
        <w:t>T</w:t>
      </w:r>
      <w:r w:rsidR="00E739D8" w:rsidRPr="004635E5">
        <w:rPr>
          <w:rFonts w:eastAsia="Batang"/>
          <w:sz w:val="22"/>
          <w:szCs w:val="22"/>
          <w:lang w:val="en-NZ" w:eastAsia="ko-KR"/>
        </w:rPr>
        <w:t xml:space="preserve">able </w:t>
      </w:r>
      <w:r w:rsidR="00270656" w:rsidRPr="004635E5">
        <w:rPr>
          <w:rFonts w:eastAsia="Batang"/>
          <w:sz w:val="22"/>
          <w:szCs w:val="22"/>
          <w:lang w:val="en-NZ" w:eastAsia="ko-KR"/>
        </w:rPr>
        <w:t>1</w:t>
      </w:r>
      <w:r w:rsidR="00E739D8" w:rsidRPr="004635E5">
        <w:rPr>
          <w:rFonts w:eastAsia="Batang"/>
          <w:sz w:val="22"/>
          <w:szCs w:val="22"/>
          <w:lang w:val="en-NZ" w:eastAsia="ko-KR"/>
        </w:rPr>
        <w:t>1 for the swordfish assessment that allows some reference to depletion reference points adopted for other WCPFC stocks. FFA members note</w:t>
      </w:r>
      <w:r w:rsidR="00270656" w:rsidRPr="004635E5">
        <w:rPr>
          <w:rFonts w:eastAsia="Batang"/>
          <w:sz w:val="22"/>
          <w:szCs w:val="22"/>
          <w:lang w:val="en-NZ" w:eastAsia="ko-KR"/>
        </w:rPr>
        <w:t>d</w:t>
      </w:r>
      <w:r w:rsidR="00E739D8" w:rsidRPr="004635E5">
        <w:rPr>
          <w:rFonts w:eastAsia="Batang"/>
          <w:sz w:val="22"/>
          <w:szCs w:val="22"/>
          <w:lang w:val="en-NZ" w:eastAsia="ko-KR"/>
        </w:rPr>
        <w:t xml:space="preserve"> that despite the recent drop in total catch, the swordfish stock in the North Pacific is at current estimates, at a depletion level of 0.3 SSB</w:t>
      </w:r>
      <w:r w:rsidR="00E739D8" w:rsidRPr="00D10883">
        <w:rPr>
          <w:rFonts w:eastAsia="Batang"/>
          <w:sz w:val="22"/>
          <w:szCs w:val="22"/>
          <w:vertAlign w:val="subscript"/>
          <w:lang w:val="en-NZ" w:eastAsia="ko-KR"/>
        </w:rPr>
        <w:t>2016</w:t>
      </w:r>
      <w:r w:rsidR="00E739D8" w:rsidRPr="004635E5">
        <w:rPr>
          <w:rFonts w:eastAsia="Batang"/>
          <w:sz w:val="22"/>
          <w:szCs w:val="22"/>
          <w:lang w:val="en-NZ" w:eastAsia="ko-KR"/>
        </w:rPr>
        <w:t>/SSB</w:t>
      </w:r>
      <w:r w:rsidR="00E739D8" w:rsidRPr="00D10883">
        <w:rPr>
          <w:rFonts w:eastAsia="Batang"/>
          <w:sz w:val="22"/>
          <w:szCs w:val="22"/>
          <w:vertAlign w:val="subscript"/>
          <w:lang w:val="en-NZ" w:eastAsia="ko-KR"/>
        </w:rPr>
        <w:t>F=0</w:t>
      </w:r>
      <w:r w:rsidR="00E739D8" w:rsidRPr="004635E5">
        <w:rPr>
          <w:rFonts w:eastAsia="Batang"/>
          <w:sz w:val="22"/>
          <w:szCs w:val="22"/>
          <w:lang w:val="en-NZ" w:eastAsia="ko-KR"/>
        </w:rPr>
        <w:t>.</w:t>
      </w:r>
      <w:r w:rsidR="00270656" w:rsidRPr="004635E5">
        <w:rPr>
          <w:rFonts w:eastAsia="Batang"/>
          <w:sz w:val="22"/>
          <w:szCs w:val="22"/>
          <w:lang w:val="en-NZ" w:eastAsia="ko-KR"/>
        </w:rPr>
        <w:t xml:space="preserve"> </w:t>
      </w:r>
      <w:r w:rsidR="00E739D8" w:rsidRPr="004635E5">
        <w:rPr>
          <w:rFonts w:eastAsia="Batang"/>
          <w:sz w:val="22"/>
          <w:szCs w:val="22"/>
          <w:lang w:val="en-NZ" w:eastAsia="ko-KR"/>
        </w:rPr>
        <w:t>FFA members note</w:t>
      </w:r>
      <w:r w:rsidR="00270656" w:rsidRPr="004635E5">
        <w:rPr>
          <w:rFonts w:eastAsia="Batang"/>
          <w:sz w:val="22"/>
          <w:szCs w:val="22"/>
          <w:lang w:val="en-NZ" w:eastAsia="ko-KR"/>
        </w:rPr>
        <w:t>d</w:t>
      </w:r>
      <w:r w:rsidR="00E739D8" w:rsidRPr="004635E5">
        <w:rPr>
          <w:rFonts w:eastAsia="Batang"/>
          <w:sz w:val="22"/>
          <w:szCs w:val="22"/>
          <w:lang w:val="en-NZ" w:eastAsia="ko-KR"/>
        </w:rPr>
        <w:t xml:space="preserve"> that the stock assessment indicated that the WCNPO swordfish stock is not likely overfished and not likely experiencing overfishing. The sensitivity run for the 0.81 steepness value indicates a much more optimistic state than the base case value of 0.9</w:t>
      </w:r>
      <w:r w:rsidR="00270656" w:rsidRPr="004635E5">
        <w:rPr>
          <w:rFonts w:eastAsia="Batang"/>
          <w:sz w:val="22"/>
          <w:szCs w:val="22"/>
          <w:lang w:val="en-NZ" w:eastAsia="ko-KR"/>
        </w:rPr>
        <w:t xml:space="preserve">, and they sought </w:t>
      </w:r>
      <w:r w:rsidR="00E739D8" w:rsidRPr="004635E5">
        <w:rPr>
          <w:rFonts w:eastAsia="Batang"/>
          <w:sz w:val="22"/>
          <w:szCs w:val="22"/>
          <w:lang w:val="en-NZ" w:eastAsia="ko-KR"/>
        </w:rPr>
        <w:t>clarification from the ISC representative for a possible explanation.</w:t>
      </w:r>
      <w:r w:rsidR="00270656" w:rsidRPr="004635E5">
        <w:rPr>
          <w:rFonts w:eastAsia="Batang"/>
          <w:sz w:val="22"/>
          <w:szCs w:val="22"/>
          <w:lang w:val="en-NZ" w:eastAsia="ko-KR"/>
        </w:rPr>
        <w:t xml:space="preserve"> </w:t>
      </w:r>
      <w:r w:rsidR="00E739D8" w:rsidRPr="004635E5">
        <w:rPr>
          <w:rFonts w:eastAsia="Batang"/>
          <w:sz w:val="22"/>
          <w:szCs w:val="22"/>
          <w:lang w:val="en-NZ" w:eastAsia="ko-KR"/>
        </w:rPr>
        <w:t xml:space="preserve">Given the recent increase in catch for swordfish in the North Pacific, the level of depletion estimated from the latest stock assessment and no formal reference points being agreed for swordfish in the North Pacific, </w:t>
      </w:r>
      <w:r w:rsidR="00270656" w:rsidRPr="004635E5">
        <w:rPr>
          <w:rFonts w:eastAsia="Batang"/>
          <w:sz w:val="22"/>
          <w:szCs w:val="22"/>
          <w:lang w:val="en-NZ" w:eastAsia="ko-KR"/>
        </w:rPr>
        <w:t xml:space="preserve">they </w:t>
      </w:r>
      <w:r w:rsidR="00E739D8" w:rsidRPr="004635E5">
        <w:rPr>
          <w:rFonts w:eastAsia="Batang"/>
          <w:sz w:val="22"/>
          <w:szCs w:val="22"/>
          <w:lang w:val="en-NZ" w:eastAsia="ko-KR"/>
        </w:rPr>
        <w:t>recommend</w:t>
      </w:r>
      <w:r w:rsidR="00270656" w:rsidRPr="004635E5">
        <w:rPr>
          <w:rFonts w:eastAsia="Batang"/>
          <w:sz w:val="22"/>
          <w:szCs w:val="22"/>
          <w:lang w:val="en-NZ" w:eastAsia="ko-KR"/>
        </w:rPr>
        <w:t>ed</w:t>
      </w:r>
      <w:r w:rsidR="00E739D8" w:rsidRPr="004635E5">
        <w:rPr>
          <w:rFonts w:eastAsia="Batang"/>
          <w:sz w:val="22"/>
          <w:szCs w:val="22"/>
          <w:lang w:val="en-NZ" w:eastAsia="ko-KR"/>
        </w:rPr>
        <w:t xml:space="preserve"> no further increases in fishing pressure.</w:t>
      </w:r>
    </w:p>
    <w:p w14:paraId="0FB7AC12" w14:textId="77777777" w:rsidR="000B0F63" w:rsidRPr="004635E5" w:rsidRDefault="000B0F63" w:rsidP="006633A8">
      <w:pPr>
        <w:autoSpaceDE w:val="0"/>
        <w:autoSpaceDN w:val="0"/>
        <w:adjustRightInd w:val="0"/>
        <w:snapToGrid w:val="0"/>
        <w:jc w:val="both"/>
        <w:rPr>
          <w:rFonts w:eastAsia="Batang"/>
          <w:sz w:val="22"/>
          <w:szCs w:val="22"/>
          <w:lang w:val="en-NZ" w:eastAsia="ko-KR"/>
        </w:rPr>
      </w:pPr>
    </w:p>
    <w:p w14:paraId="1450DDE6" w14:textId="77777777" w:rsidR="00457221" w:rsidRPr="004635E5" w:rsidRDefault="00457221"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A</w:t>
      </w:r>
      <w:r w:rsidR="00B10F53" w:rsidRPr="004635E5">
        <w:rPr>
          <w:rFonts w:eastAsia="Batang"/>
          <w:sz w:val="22"/>
          <w:szCs w:val="22"/>
          <w:lang w:val="en-NZ" w:eastAsia="ko-KR"/>
        </w:rPr>
        <w:t xml:space="preserve">ustralia noted some inconsistencies in the 10 CPUE time series by fleet, </w:t>
      </w:r>
      <w:r w:rsidR="004F3004" w:rsidRPr="004635E5">
        <w:rPr>
          <w:rFonts w:eastAsia="Batang"/>
          <w:sz w:val="22"/>
          <w:szCs w:val="22"/>
          <w:lang w:val="en-NZ" w:eastAsia="ko-KR"/>
        </w:rPr>
        <w:t xml:space="preserve">and inquired whether </w:t>
      </w:r>
      <w:r w:rsidR="00B10F53" w:rsidRPr="004635E5">
        <w:rPr>
          <w:rFonts w:eastAsia="Batang"/>
          <w:sz w:val="22"/>
          <w:szCs w:val="22"/>
          <w:lang w:val="en-NZ" w:eastAsia="ko-KR"/>
        </w:rPr>
        <w:t>some</w:t>
      </w:r>
      <w:r w:rsidRPr="004635E5">
        <w:rPr>
          <w:rFonts w:eastAsia="Batang"/>
          <w:sz w:val="22"/>
          <w:szCs w:val="22"/>
          <w:lang w:val="en-NZ" w:eastAsia="ko-KR"/>
        </w:rPr>
        <w:t xml:space="preserve"> wer</w:t>
      </w:r>
      <w:r w:rsidR="004F3004" w:rsidRPr="004635E5">
        <w:rPr>
          <w:rFonts w:eastAsia="Batang"/>
          <w:sz w:val="22"/>
          <w:szCs w:val="22"/>
          <w:lang w:val="en-NZ" w:eastAsia="ko-KR"/>
        </w:rPr>
        <w:t>e</w:t>
      </w:r>
      <w:r w:rsidRPr="004635E5">
        <w:rPr>
          <w:rFonts w:eastAsia="Batang"/>
          <w:sz w:val="22"/>
          <w:szCs w:val="22"/>
          <w:lang w:val="en-NZ" w:eastAsia="ko-KR"/>
        </w:rPr>
        <w:t xml:space="preserve"> given greater weight. </w:t>
      </w:r>
      <w:r w:rsidR="00270656" w:rsidRPr="004635E5">
        <w:rPr>
          <w:rFonts w:eastAsia="Batang"/>
          <w:sz w:val="22"/>
          <w:szCs w:val="22"/>
          <w:lang w:val="en-NZ" w:eastAsia="ko-KR"/>
        </w:rPr>
        <w:t xml:space="preserve">M. </w:t>
      </w:r>
      <w:r w:rsidR="002B13D6">
        <w:rPr>
          <w:rFonts w:eastAsia="Batang"/>
          <w:sz w:val="22"/>
          <w:szCs w:val="22"/>
          <w:lang w:val="en-NZ" w:eastAsia="ko-KR"/>
        </w:rPr>
        <w:t>Sculley</w:t>
      </w:r>
      <w:r w:rsidR="00270656" w:rsidRPr="004635E5">
        <w:rPr>
          <w:rFonts w:eastAsia="Batang"/>
          <w:sz w:val="22"/>
          <w:szCs w:val="22"/>
          <w:lang w:val="en-NZ" w:eastAsia="ko-KR"/>
        </w:rPr>
        <w:t xml:space="preserve"> </w:t>
      </w:r>
      <w:r w:rsidR="00A3528A" w:rsidRPr="004635E5">
        <w:rPr>
          <w:rFonts w:eastAsia="Batang"/>
          <w:sz w:val="22"/>
          <w:szCs w:val="22"/>
          <w:lang w:eastAsia="ko-KR"/>
        </w:rPr>
        <w:t xml:space="preserve">stated that the discrepancies were recognized </w:t>
      </w:r>
      <w:r w:rsidR="00270656" w:rsidRPr="004635E5">
        <w:rPr>
          <w:rFonts w:eastAsia="Batang"/>
          <w:sz w:val="22"/>
          <w:szCs w:val="22"/>
          <w:lang w:eastAsia="ko-KR"/>
        </w:rPr>
        <w:t>but inconsistencies</w:t>
      </w:r>
      <w:r w:rsidR="00A3528A" w:rsidRPr="004635E5">
        <w:rPr>
          <w:rFonts w:eastAsia="Batang"/>
          <w:sz w:val="22"/>
          <w:szCs w:val="22"/>
          <w:lang w:eastAsia="ko-KR"/>
        </w:rPr>
        <w:t xml:space="preserve"> between the Hawaii </w:t>
      </w:r>
      <w:r w:rsidR="004421B3" w:rsidRPr="004635E5">
        <w:rPr>
          <w:rFonts w:eastAsia="Batang"/>
          <w:sz w:val="22"/>
          <w:szCs w:val="22"/>
          <w:lang w:eastAsia="ko-KR"/>
        </w:rPr>
        <w:t>longline</w:t>
      </w:r>
      <w:r w:rsidR="00A3528A" w:rsidRPr="004635E5">
        <w:rPr>
          <w:rFonts w:eastAsia="Batang"/>
          <w:sz w:val="22"/>
          <w:szCs w:val="22"/>
          <w:lang w:eastAsia="ko-KR"/>
        </w:rPr>
        <w:t xml:space="preserve"> deep set and Japanese </w:t>
      </w:r>
      <w:r w:rsidR="004421B3" w:rsidRPr="004635E5">
        <w:rPr>
          <w:rFonts w:eastAsia="Batang"/>
          <w:sz w:val="22"/>
          <w:szCs w:val="22"/>
          <w:lang w:eastAsia="ko-KR"/>
        </w:rPr>
        <w:t>longline</w:t>
      </w:r>
      <w:r w:rsidR="00A3528A" w:rsidRPr="004635E5">
        <w:rPr>
          <w:rFonts w:eastAsia="Batang"/>
          <w:sz w:val="22"/>
          <w:szCs w:val="22"/>
          <w:lang w:eastAsia="ko-KR"/>
        </w:rPr>
        <w:t xml:space="preserve"> fleet in area 1 were mostly caused by difference</w:t>
      </w:r>
      <w:r w:rsidR="00270656" w:rsidRPr="004635E5">
        <w:rPr>
          <w:rFonts w:eastAsia="Batang"/>
          <w:sz w:val="22"/>
          <w:szCs w:val="22"/>
          <w:lang w:eastAsia="ko-KR"/>
        </w:rPr>
        <w:t>s</w:t>
      </w:r>
      <w:r w:rsidR="00A3528A" w:rsidRPr="004635E5">
        <w:rPr>
          <w:rFonts w:eastAsia="Batang"/>
          <w:sz w:val="22"/>
          <w:szCs w:val="22"/>
          <w:lang w:eastAsia="ko-KR"/>
        </w:rPr>
        <w:t xml:space="preserve"> in the time series. The working group included all possible CPUEs (equally weighted) because analysis showed no inconsistency between CPUEs and other data sources. There was no time to conduct </w:t>
      </w:r>
      <w:r w:rsidR="00270656" w:rsidRPr="004635E5">
        <w:rPr>
          <w:rFonts w:eastAsia="Batang"/>
          <w:sz w:val="22"/>
          <w:szCs w:val="22"/>
          <w:lang w:eastAsia="ko-KR"/>
        </w:rPr>
        <w:t>a sensitivity</w:t>
      </w:r>
      <w:r w:rsidR="00A3528A" w:rsidRPr="004635E5">
        <w:rPr>
          <w:rFonts w:eastAsia="Batang"/>
          <w:sz w:val="22"/>
          <w:szCs w:val="22"/>
          <w:lang w:eastAsia="ko-KR"/>
        </w:rPr>
        <w:t xml:space="preserve"> analysis that excluded one of the CPUEs.</w:t>
      </w:r>
    </w:p>
    <w:p w14:paraId="7D5D6C3C" w14:textId="77777777" w:rsidR="000B0F63" w:rsidRPr="004635E5" w:rsidRDefault="000B0F63" w:rsidP="006633A8">
      <w:pPr>
        <w:autoSpaceDE w:val="0"/>
        <w:autoSpaceDN w:val="0"/>
        <w:adjustRightInd w:val="0"/>
        <w:snapToGrid w:val="0"/>
        <w:jc w:val="both"/>
        <w:rPr>
          <w:rFonts w:eastAsia="Batang"/>
          <w:sz w:val="22"/>
          <w:szCs w:val="22"/>
          <w:lang w:val="en-NZ" w:eastAsia="ko-KR"/>
        </w:rPr>
      </w:pPr>
    </w:p>
    <w:p w14:paraId="040E3608" w14:textId="77777777" w:rsidR="00D05186" w:rsidRPr="004635E5" w:rsidRDefault="00457221"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SPC</w:t>
      </w:r>
      <w:r w:rsidR="00A3528A" w:rsidRPr="004635E5">
        <w:rPr>
          <w:rFonts w:eastAsia="Batang"/>
          <w:sz w:val="22"/>
          <w:szCs w:val="22"/>
          <w:lang w:val="en-NZ" w:eastAsia="ko-KR"/>
        </w:rPr>
        <w:t xml:space="preserve"> inquired regarding use of the </w:t>
      </w:r>
      <w:r w:rsidR="00C15D3F" w:rsidRPr="004635E5">
        <w:rPr>
          <w:rFonts w:eastAsia="Batang"/>
          <w:sz w:val="22"/>
          <w:szCs w:val="22"/>
          <w:lang w:val="en-NZ" w:eastAsia="ko-KR"/>
        </w:rPr>
        <w:t xml:space="preserve">Hawaii </w:t>
      </w:r>
      <w:r w:rsidR="004421B3" w:rsidRPr="004635E5">
        <w:rPr>
          <w:rFonts w:eastAsia="Batang"/>
          <w:sz w:val="22"/>
          <w:szCs w:val="22"/>
          <w:lang w:val="en-NZ" w:eastAsia="ko-KR"/>
        </w:rPr>
        <w:t>longline</w:t>
      </w:r>
      <w:r w:rsidRPr="004635E5">
        <w:rPr>
          <w:rFonts w:eastAsia="Batang"/>
          <w:sz w:val="22"/>
          <w:szCs w:val="22"/>
          <w:lang w:val="en-NZ" w:eastAsia="ko-KR"/>
        </w:rPr>
        <w:t xml:space="preserve"> </w:t>
      </w:r>
      <w:r w:rsidR="00A3528A" w:rsidRPr="004635E5">
        <w:rPr>
          <w:rFonts w:eastAsia="Batang"/>
          <w:sz w:val="22"/>
          <w:szCs w:val="22"/>
          <w:lang w:val="en-NZ" w:eastAsia="ko-KR"/>
        </w:rPr>
        <w:t>d</w:t>
      </w:r>
      <w:r w:rsidRPr="004635E5">
        <w:rPr>
          <w:rFonts w:eastAsia="Batang"/>
          <w:sz w:val="22"/>
          <w:szCs w:val="22"/>
          <w:lang w:val="en-NZ" w:eastAsia="ko-KR"/>
        </w:rPr>
        <w:t>eep</w:t>
      </w:r>
      <w:r w:rsidR="00A3528A" w:rsidRPr="004635E5">
        <w:rPr>
          <w:rFonts w:eastAsia="Batang"/>
          <w:sz w:val="22"/>
          <w:szCs w:val="22"/>
          <w:lang w:val="en-NZ" w:eastAsia="ko-KR"/>
        </w:rPr>
        <w:t xml:space="preserve"> set index, whether it </w:t>
      </w:r>
      <w:r w:rsidRPr="004635E5">
        <w:rPr>
          <w:rFonts w:eastAsia="Batang"/>
          <w:sz w:val="22"/>
          <w:szCs w:val="22"/>
          <w:lang w:val="en-NZ" w:eastAsia="ko-KR"/>
        </w:rPr>
        <w:t>assume</w:t>
      </w:r>
      <w:r w:rsidR="00A3528A" w:rsidRPr="004635E5">
        <w:rPr>
          <w:rFonts w:eastAsia="Batang"/>
          <w:sz w:val="22"/>
          <w:szCs w:val="22"/>
          <w:lang w:val="en-NZ" w:eastAsia="ko-KR"/>
        </w:rPr>
        <w:t>s</w:t>
      </w:r>
      <w:r w:rsidRPr="004635E5">
        <w:rPr>
          <w:rFonts w:eastAsia="Batang"/>
          <w:sz w:val="22"/>
          <w:szCs w:val="22"/>
          <w:lang w:val="en-NZ" w:eastAsia="ko-KR"/>
        </w:rPr>
        <w:t xml:space="preserve"> </w:t>
      </w:r>
      <w:r w:rsidR="00A3528A" w:rsidRPr="004635E5">
        <w:rPr>
          <w:rFonts w:eastAsia="Batang"/>
          <w:sz w:val="22"/>
          <w:szCs w:val="22"/>
          <w:lang w:val="en-NZ" w:eastAsia="ko-KR"/>
        </w:rPr>
        <w:t>s</w:t>
      </w:r>
      <w:r w:rsidRPr="004635E5">
        <w:rPr>
          <w:rFonts w:eastAsia="Batang"/>
          <w:sz w:val="22"/>
          <w:szCs w:val="22"/>
          <w:lang w:val="en-NZ" w:eastAsia="ko-KR"/>
        </w:rPr>
        <w:t>el</w:t>
      </w:r>
      <w:r w:rsidR="00A3528A" w:rsidRPr="004635E5">
        <w:rPr>
          <w:rFonts w:eastAsia="Batang"/>
          <w:sz w:val="22"/>
          <w:szCs w:val="22"/>
          <w:lang w:val="en-NZ" w:eastAsia="ko-KR"/>
        </w:rPr>
        <w:t>e</w:t>
      </w:r>
      <w:r w:rsidRPr="004635E5">
        <w:rPr>
          <w:rFonts w:eastAsia="Batang"/>
          <w:sz w:val="22"/>
          <w:szCs w:val="22"/>
          <w:lang w:val="en-NZ" w:eastAsia="ko-KR"/>
        </w:rPr>
        <w:t xml:space="preserve">ctivity </w:t>
      </w:r>
      <w:r w:rsidR="00A3528A" w:rsidRPr="004635E5">
        <w:rPr>
          <w:rFonts w:eastAsia="Batang"/>
          <w:sz w:val="22"/>
          <w:szCs w:val="22"/>
          <w:lang w:val="en-NZ" w:eastAsia="ko-KR"/>
        </w:rPr>
        <w:t xml:space="preserve">of </w:t>
      </w:r>
      <w:r w:rsidRPr="004635E5">
        <w:rPr>
          <w:rFonts w:eastAsia="Batang"/>
          <w:sz w:val="22"/>
          <w:szCs w:val="22"/>
          <w:lang w:val="en-NZ" w:eastAsia="ko-KR"/>
        </w:rPr>
        <w:t xml:space="preserve">1 and 0 for all other age classes. </w:t>
      </w:r>
      <w:r w:rsidR="00270656" w:rsidRPr="004635E5">
        <w:rPr>
          <w:rFonts w:eastAsia="Batang"/>
          <w:sz w:val="22"/>
          <w:szCs w:val="22"/>
          <w:lang w:val="en-NZ" w:eastAsia="ko-KR"/>
        </w:rPr>
        <w:t xml:space="preserve">M. </w:t>
      </w:r>
      <w:r w:rsidR="002B13D6">
        <w:rPr>
          <w:rFonts w:eastAsia="Batang"/>
          <w:sz w:val="22"/>
          <w:szCs w:val="22"/>
          <w:lang w:val="en-NZ" w:eastAsia="ko-KR"/>
        </w:rPr>
        <w:t>Sculley</w:t>
      </w:r>
      <w:r w:rsidR="00270656" w:rsidRPr="004635E5">
        <w:rPr>
          <w:rFonts w:eastAsia="Batang"/>
          <w:sz w:val="22"/>
          <w:szCs w:val="22"/>
          <w:lang w:val="en-NZ" w:eastAsia="ko-KR"/>
        </w:rPr>
        <w:t xml:space="preserve"> </w:t>
      </w:r>
      <w:r w:rsidR="00A3528A" w:rsidRPr="004635E5">
        <w:rPr>
          <w:rFonts w:eastAsia="Batang"/>
          <w:sz w:val="22"/>
          <w:szCs w:val="22"/>
          <w:lang w:val="en-NZ" w:eastAsia="ko-KR"/>
        </w:rPr>
        <w:t xml:space="preserve">noted </w:t>
      </w:r>
      <w:r w:rsidRPr="004635E5">
        <w:rPr>
          <w:rFonts w:eastAsia="Batang"/>
          <w:sz w:val="22"/>
          <w:szCs w:val="22"/>
          <w:lang w:val="en-NZ" w:eastAsia="ko-KR"/>
        </w:rPr>
        <w:t xml:space="preserve">almost all catch </w:t>
      </w:r>
      <w:r w:rsidR="00A3528A" w:rsidRPr="004635E5">
        <w:rPr>
          <w:rFonts w:eastAsia="Batang"/>
          <w:sz w:val="22"/>
          <w:szCs w:val="22"/>
          <w:lang w:val="en-NZ" w:eastAsia="ko-KR"/>
        </w:rPr>
        <w:t xml:space="preserve">was </w:t>
      </w:r>
      <w:r w:rsidR="00270656" w:rsidRPr="004635E5">
        <w:rPr>
          <w:rFonts w:eastAsia="Batang"/>
          <w:sz w:val="22"/>
          <w:szCs w:val="22"/>
          <w:lang w:val="en-NZ" w:eastAsia="ko-KR"/>
        </w:rPr>
        <w:t>&lt;</w:t>
      </w:r>
      <w:r w:rsidRPr="004635E5">
        <w:rPr>
          <w:rFonts w:eastAsia="Batang"/>
          <w:sz w:val="22"/>
          <w:szCs w:val="22"/>
          <w:lang w:val="en-NZ" w:eastAsia="ko-KR"/>
        </w:rPr>
        <w:t xml:space="preserve">100 cm, </w:t>
      </w:r>
      <w:r w:rsidR="00183A62" w:rsidRPr="004635E5">
        <w:rPr>
          <w:rFonts w:eastAsia="Batang"/>
          <w:sz w:val="22"/>
          <w:szCs w:val="22"/>
          <w:lang w:val="en-NZ" w:eastAsia="ko-KR"/>
        </w:rPr>
        <w:t xml:space="preserve">and it </w:t>
      </w:r>
      <w:r w:rsidRPr="004635E5">
        <w:rPr>
          <w:rFonts w:eastAsia="Batang"/>
          <w:sz w:val="22"/>
          <w:szCs w:val="22"/>
          <w:lang w:val="en-NZ" w:eastAsia="ko-KR"/>
        </w:rPr>
        <w:t xml:space="preserve">could </w:t>
      </w:r>
      <w:r w:rsidR="00183A62" w:rsidRPr="004635E5">
        <w:rPr>
          <w:rFonts w:eastAsia="Batang"/>
          <w:sz w:val="22"/>
          <w:szCs w:val="22"/>
          <w:lang w:val="en-NZ" w:eastAsia="ko-KR"/>
        </w:rPr>
        <w:t xml:space="preserve">be </w:t>
      </w:r>
      <w:r w:rsidRPr="004635E5">
        <w:rPr>
          <w:rFonts w:eastAsia="Batang"/>
          <w:sz w:val="22"/>
          <w:szCs w:val="22"/>
          <w:lang w:val="en-NZ" w:eastAsia="ko-KR"/>
        </w:rPr>
        <w:t>assume</w:t>
      </w:r>
      <w:r w:rsidR="00183A62" w:rsidRPr="004635E5">
        <w:rPr>
          <w:rFonts w:eastAsia="Batang"/>
          <w:sz w:val="22"/>
          <w:szCs w:val="22"/>
          <w:lang w:val="en-NZ" w:eastAsia="ko-KR"/>
        </w:rPr>
        <w:t>d</w:t>
      </w:r>
      <w:r w:rsidRPr="004635E5">
        <w:rPr>
          <w:rFonts w:eastAsia="Batang"/>
          <w:sz w:val="22"/>
          <w:szCs w:val="22"/>
          <w:lang w:val="en-NZ" w:eastAsia="ko-KR"/>
        </w:rPr>
        <w:t xml:space="preserve"> </w:t>
      </w:r>
      <w:r w:rsidR="00183A62" w:rsidRPr="004635E5">
        <w:rPr>
          <w:rFonts w:eastAsia="Batang"/>
          <w:sz w:val="22"/>
          <w:szCs w:val="22"/>
          <w:lang w:val="en-NZ" w:eastAsia="ko-KR"/>
        </w:rPr>
        <w:t>this reflected</w:t>
      </w:r>
      <w:r w:rsidRPr="004635E5">
        <w:rPr>
          <w:rFonts w:eastAsia="Batang"/>
          <w:sz w:val="22"/>
          <w:szCs w:val="22"/>
          <w:lang w:val="en-NZ" w:eastAsia="ko-KR"/>
        </w:rPr>
        <w:t xml:space="preserve"> actual recruitment</w:t>
      </w:r>
      <w:r w:rsidR="00183A62" w:rsidRPr="004635E5">
        <w:rPr>
          <w:rFonts w:eastAsia="Batang"/>
          <w:sz w:val="22"/>
          <w:szCs w:val="22"/>
          <w:lang w:val="en-NZ" w:eastAsia="ko-KR"/>
        </w:rPr>
        <w:t>. S</w:t>
      </w:r>
      <w:r w:rsidRPr="004635E5">
        <w:rPr>
          <w:rFonts w:eastAsia="Batang"/>
          <w:sz w:val="22"/>
          <w:szCs w:val="22"/>
          <w:lang w:val="en-NZ" w:eastAsia="ko-KR"/>
        </w:rPr>
        <w:t xml:space="preserve">electivity for </w:t>
      </w:r>
      <w:r w:rsidR="00270656" w:rsidRPr="004635E5">
        <w:rPr>
          <w:rFonts w:eastAsia="Batang"/>
          <w:sz w:val="22"/>
          <w:szCs w:val="22"/>
          <w:lang w:val="en-NZ" w:eastAsia="ko-KR"/>
        </w:rPr>
        <w:t>catch &lt;</w:t>
      </w:r>
      <w:r w:rsidRPr="004635E5">
        <w:rPr>
          <w:rFonts w:eastAsia="Batang"/>
          <w:sz w:val="22"/>
          <w:szCs w:val="22"/>
          <w:lang w:val="en-NZ" w:eastAsia="ko-KR"/>
        </w:rPr>
        <w:t>1</w:t>
      </w:r>
      <w:r w:rsidR="00270656" w:rsidRPr="004635E5">
        <w:rPr>
          <w:rFonts w:eastAsia="Batang"/>
          <w:sz w:val="22"/>
          <w:szCs w:val="22"/>
          <w:lang w:val="en-NZ" w:eastAsia="ko-KR"/>
        </w:rPr>
        <w:t>00 cm was 1</w:t>
      </w:r>
      <w:r w:rsidRPr="004635E5">
        <w:rPr>
          <w:rFonts w:eastAsia="Batang"/>
          <w:sz w:val="22"/>
          <w:szCs w:val="22"/>
          <w:lang w:val="en-NZ" w:eastAsia="ko-KR"/>
        </w:rPr>
        <w:t>, all others 0. SPC</w:t>
      </w:r>
      <w:r w:rsidR="00183A62" w:rsidRPr="004635E5">
        <w:rPr>
          <w:rFonts w:eastAsia="Batang"/>
          <w:sz w:val="22"/>
          <w:szCs w:val="22"/>
          <w:lang w:val="en-NZ" w:eastAsia="ko-KR"/>
        </w:rPr>
        <w:t xml:space="preserve"> noted different </w:t>
      </w:r>
      <w:r w:rsidRPr="004635E5">
        <w:rPr>
          <w:rFonts w:eastAsia="Batang"/>
          <w:sz w:val="22"/>
          <w:szCs w:val="22"/>
          <w:lang w:val="en-NZ" w:eastAsia="ko-KR"/>
        </w:rPr>
        <w:t>CPUE</w:t>
      </w:r>
      <w:r w:rsidR="00183A62" w:rsidRPr="004635E5">
        <w:rPr>
          <w:rFonts w:eastAsia="Batang"/>
          <w:sz w:val="22"/>
          <w:szCs w:val="22"/>
          <w:lang w:val="en-NZ" w:eastAsia="ko-KR"/>
        </w:rPr>
        <w:t xml:space="preserve"> trends (</w:t>
      </w:r>
      <w:r w:rsidRPr="004635E5">
        <w:rPr>
          <w:rFonts w:eastAsia="Batang"/>
          <w:sz w:val="22"/>
          <w:szCs w:val="22"/>
          <w:lang w:val="en-NZ" w:eastAsia="ko-KR"/>
        </w:rPr>
        <w:t xml:space="preserve">declining </w:t>
      </w:r>
      <w:r w:rsidR="00183A62" w:rsidRPr="004635E5">
        <w:rPr>
          <w:rFonts w:eastAsia="Batang"/>
          <w:sz w:val="22"/>
          <w:szCs w:val="22"/>
          <w:lang w:val="en-NZ" w:eastAsia="ko-KR"/>
        </w:rPr>
        <w:t xml:space="preserve">vs. </w:t>
      </w:r>
      <w:r w:rsidRPr="004635E5">
        <w:rPr>
          <w:rFonts w:eastAsia="Batang"/>
          <w:sz w:val="22"/>
          <w:szCs w:val="22"/>
          <w:lang w:val="en-NZ" w:eastAsia="ko-KR"/>
        </w:rPr>
        <w:t>increasing</w:t>
      </w:r>
      <w:r w:rsidR="00183A62" w:rsidRPr="004635E5">
        <w:rPr>
          <w:rFonts w:eastAsia="Batang"/>
          <w:sz w:val="22"/>
          <w:szCs w:val="22"/>
          <w:lang w:val="en-NZ" w:eastAsia="ko-KR"/>
        </w:rPr>
        <w:t xml:space="preserve">), and asked how model addressed this given no </w:t>
      </w:r>
      <w:r w:rsidRPr="004635E5">
        <w:rPr>
          <w:rFonts w:eastAsia="Batang"/>
          <w:sz w:val="22"/>
          <w:szCs w:val="22"/>
          <w:lang w:val="en-NZ" w:eastAsia="ko-KR"/>
        </w:rPr>
        <w:t xml:space="preserve">spatial structure. </w:t>
      </w:r>
      <w:r w:rsidR="00270656" w:rsidRPr="004635E5">
        <w:rPr>
          <w:rFonts w:eastAsia="Batang"/>
          <w:sz w:val="22"/>
          <w:szCs w:val="22"/>
          <w:lang w:val="en-NZ" w:eastAsia="ko-KR"/>
        </w:rPr>
        <w:t xml:space="preserve">M. </w:t>
      </w:r>
      <w:r w:rsidR="002B13D6">
        <w:rPr>
          <w:rFonts w:eastAsia="Batang"/>
          <w:sz w:val="22"/>
          <w:szCs w:val="22"/>
          <w:lang w:val="en-NZ" w:eastAsia="ko-KR"/>
        </w:rPr>
        <w:t>Sculley</w:t>
      </w:r>
      <w:r w:rsidR="00270656" w:rsidRPr="004635E5">
        <w:rPr>
          <w:rFonts w:eastAsia="Batang"/>
          <w:sz w:val="22"/>
          <w:szCs w:val="22"/>
          <w:lang w:val="en-NZ" w:eastAsia="ko-KR"/>
        </w:rPr>
        <w:t xml:space="preserve"> </w:t>
      </w:r>
      <w:r w:rsidR="00183A62" w:rsidRPr="004635E5">
        <w:rPr>
          <w:rFonts w:eastAsia="Batang"/>
          <w:sz w:val="22"/>
          <w:szCs w:val="22"/>
          <w:lang w:val="en-NZ" w:eastAsia="ko-KR"/>
        </w:rPr>
        <w:t xml:space="preserve">responded these were </w:t>
      </w:r>
      <w:r w:rsidRPr="004635E5">
        <w:rPr>
          <w:rFonts w:eastAsia="Batang"/>
          <w:sz w:val="22"/>
          <w:szCs w:val="22"/>
          <w:lang w:val="en-NZ" w:eastAsia="ko-KR"/>
        </w:rPr>
        <w:t>most</w:t>
      </w:r>
      <w:r w:rsidR="00183A62" w:rsidRPr="004635E5">
        <w:rPr>
          <w:rFonts w:eastAsia="Batang"/>
          <w:sz w:val="22"/>
          <w:szCs w:val="22"/>
          <w:lang w:val="en-NZ" w:eastAsia="ko-KR"/>
        </w:rPr>
        <w:t>ly</w:t>
      </w:r>
      <w:r w:rsidRPr="004635E5">
        <w:rPr>
          <w:rFonts w:eastAsia="Batang"/>
          <w:sz w:val="22"/>
          <w:szCs w:val="22"/>
          <w:lang w:val="en-NZ" w:eastAsia="ko-KR"/>
        </w:rPr>
        <w:t xml:space="preserve"> in diff</w:t>
      </w:r>
      <w:r w:rsidR="00183A62" w:rsidRPr="004635E5">
        <w:rPr>
          <w:rFonts w:eastAsia="Batang"/>
          <w:sz w:val="22"/>
          <w:szCs w:val="22"/>
          <w:lang w:val="en-NZ" w:eastAsia="ko-KR"/>
        </w:rPr>
        <w:t>e</w:t>
      </w:r>
      <w:r w:rsidR="005D68C8" w:rsidRPr="004635E5">
        <w:rPr>
          <w:rFonts w:eastAsia="Batang"/>
          <w:sz w:val="22"/>
          <w:szCs w:val="22"/>
          <w:lang w:val="en-NZ" w:eastAsia="ko-KR"/>
        </w:rPr>
        <w:t>r</w:t>
      </w:r>
      <w:r w:rsidR="00183A62" w:rsidRPr="004635E5">
        <w:rPr>
          <w:rFonts w:eastAsia="Batang"/>
          <w:sz w:val="22"/>
          <w:szCs w:val="22"/>
          <w:lang w:val="en-NZ" w:eastAsia="ko-KR"/>
        </w:rPr>
        <w:t>ent</w:t>
      </w:r>
      <w:r w:rsidRPr="004635E5">
        <w:rPr>
          <w:rFonts w:eastAsia="Batang"/>
          <w:sz w:val="22"/>
          <w:szCs w:val="22"/>
          <w:lang w:val="en-NZ" w:eastAsia="ko-KR"/>
        </w:rPr>
        <w:t xml:space="preserve"> time periods</w:t>
      </w:r>
      <w:r w:rsidR="00183A62" w:rsidRPr="004635E5">
        <w:rPr>
          <w:rFonts w:eastAsia="Batang"/>
          <w:sz w:val="22"/>
          <w:szCs w:val="22"/>
          <w:lang w:val="en-NZ" w:eastAsia="ko-KR"/>
        </w:rPr>
        <w:t xml:space="preserve">, and those CPUEs not used. </w:t>
      </w:r>
      <w:r w:rsidR="008C60CA" w:rsidRPr="004635E5">
        <w:rPr>
          <w:rFonts w:eastAsia="Batang"/>
          <w:sz w:val="22"/>
          <w:szCs w:val="22"/>
          <w:lang w:val="en-NZ" w:eastAsia="ko-KR"/>
        </w:rPr>
        <w:t>SPC</w:t>
      </w:r>
      <w:r w:rsidR="00183A62" w:rsidRPr="004635E5">
        <w:rPr>
          <w:rFonts w:eastAsia="Batang"/>
          <w:sz w:val="22"/>
          <w:szCs w:val="22"/>
          <w:lang w:val="en-NZ" w:eastAsia="ko-KR"/>
        </w:rPr>
        <w:t xml:space="preserve"> referenced </w:t>
      </w:r>
      <w:r w:rsidR="008C60CA" w:rsidRPr="004635E5">
        <w:rPr>
          <w:rFonts w:eastAsia="Batang"/>
          <w:sz w:val="22"/>
          <w:szCs w:val="22"/>
          <w:lang w:val="en-NZ" w:eastAsia="ko-KR"/>
        </w:rPr>
        <w:t xml:space="preserve">Fig 7.1 in </w:t>
      </w:r>
      <w:r w:rsidR="00183A62" w:rsidRPr="004635E5">
        <w:rPr>
          <w:rFonts w:eastAsia="Batang"/>
          <w:sz w:val="22"/>
          <w:szCs w:val="22"/>
          <w:lang w:val="en-NZ" w:eastAsia="ko-KR"/>
        </w:rPr>
        <w:t xml:space="preserve">the </w:t>
      </w:r>
      <w:r w:rsidR="008C60CA" w:rsidRPr="004635E5">
        <w:rPr>
          <w:rFonts w:eastAsia="Batang"/>
          <w:sz w:val="22"/>
          <w:szCs w:val="22"/>
          <w:lang w:val="en-NZ" w:eastAsia="ko-KR"/>
        </w:rPr>
        <w:t>assessment report</w:t>
      </w:r>
      <w:r w:rsidR="005D68C8" w:rsidRPr="004635E5">
        <w:rPr>
          <w:rFonts w:eastAsia="Batang"/>
          <w:sz w:val="22"/>
          <w:szCs w:val="22"/>
          <w:lang w:val="en-NZ" w:eastAsia="ko-KR"/>
        </w:rPr>
        <w:t xml:space="preserve"> regarding </w:t>
      </w:r>
      <w:r w:rsidR="005D68C8" w:rsidRPr="004635E5">
        <w:rPr>
          <w:rFonts w:eastAsia="Batang"/>
          <w:sz w:val="22"/>
          <w:szCs w:val="22"/>
          <w:lang w:eastAsia="ko-KR"/>
        </w:rPr>
        <w:t>likelihood profiles of CPUE and length</w:t>
      </w:r>
      <w:r w:rsidR="00270656" w:rsidRPr="004635E5">
        <w:rPr>
          <w:rFonts w:eastAsia="Batang"/>
          <w:sz w:val="22"/>
          <w:szCs w:val="22"/>
          <w:lang w:eastAsia="ko-KR"/>
        </w:rPr>
        <w:t xml:space="preserve">, noting length </w:t>
      </w:r>
      <w:r w:rsidR="00D05186" w:rsidRPr="004635E5">
        <w:rPr>
          <w:rFonts w:eastAsia="Batang"/>
          <w:sz w:val="22"/>
          <w:szCs w:val="22"/>
          <w:lang w:eastAsia="ko-KR"/>
        </w:rPr>
        <w:t>composition has some influence</w:t>
      </w:r>
      <w:r w:rsidR="005D68C8" w:rsidRPr="004635E5">
        <w:rPr>
          <w:rFonts w:eastAsia="Batang"/>
          <w:sz w:val="22"/>
          <w:szCs w:val="22"/>
          <w:lang w:eastAsia="ko-KR"/>
        </w:rPr>
        <w:t xml:space="preserve"> </w:t>
      </w:r>
      <w:r w:rsidR="00D05186" w:rsidRPr="004635E5">
        <w:rPr>
          <w:rFonts w:eastAsia="Batang"/>
          <w:sz w:val="22"/>
          <w:szCs w:val="22"/>
          <w:lang w:eastAsia="ko-KR"/>
        </w:rPr>
        <w:t xml:space="preserve">on </w:t>
      </w:r>
      <w:r w:rsidR="005D68C8" w:rsidRPr="004635E5">
        <w:rPr>
          <w:rFonts w:eastAsia="Batang"/>
          <w:sz w:val="22"/>
          <w:szCs w:val="22"/>
          <w:lang w:eastAsia="ko-KR"/>
        </w:rPr>
        <w:t xml:space="preserve">estimation of biomass scale that may be due to the effective sample size of length composition. </w:t>
      </w:r>
      <w:r w:rsidR="00270656" w:rsidRPr="004635E5">
        <w:rPr>
          <w:rFonts w:eastAsia="Batang"/>
          <w:sz w:val="22"/>
          <w:szCs w:val="22"/>
          <w:lang w:eastAsia="ko-KR"/>
        </w:rPr>
        <w:t xml:space="preserve">M. </w:t>
      </w:r>
      <w:r w:rsidR="002B13D6">
        <w:rPr>
          <w:rFonts w:eastAsia="Batang"/>
          <w:sz w:val="22"/>
          <w:szCs w:val="22"/>
          <w:lang w:eastAsia="ko-KR"/>
        </w:rPr>
        <w:t>Sculley</w:t>
      </w:r>
      <w:r w:rsidR="00270656" w:rsidRPr="004635E5">
        <w:rPr>
          <w:rFonts w:eastAsia="Batang"/>
          <w:sz w:val="22"/>
          <w:szCs w:val="22"/>
          <w:lang w:eastAsia="ko-KR"/>
        </w:rPr>
        <w:t xml:space="preserve"> </w:t>
      </w:r>
      <w:r w:rsidR="005D68C8" w:rsidRPr="004635E5">
        <w:rPr>
          <w:rFonts w:eastAsia="Batang"/>
          <w:sz w:val="22"/>
          <w:szCs w:val="22"/>
          <w:lang w:eastAsia="ko-KR"/>
        </w:rPr>
        <w:t xml:space="preserve">responded that the </w:t>
      </w:r>
      <w:r w:rsidR="00D05186" w:rsidRPr="004635E5">
        <w:rPr>
          <w:rFonts w:eastAsia="Batang"/>
          <w:sz w:val="22"/>
          <w:szCs w:val="22"/>
          <w:lang w:eastAsia="ko-KR"/>
        </w:rPr>
        <w:t xml:space="preserve">working group </w:t>
      </w:r>
      <w:r w:rsidR="005D68C8" w:rsidRPr="004635E5">
        <w:rPr>
          <w:rFonts w:eastAsia="Batang"/>
          <w:sz w:val="22"/>
          <w:szCs w:val="22"/>
          <w:lang w:eastAsia="ko-KR"/>
        </w:rPr>
        <w:t xml:space="preserve">tested several effective sample sizes, but they found </w:t>
      </w:r>
      <w:r w:rsidR="00D05186" w:rsidRPr="004635E5">
        <w:rPr>
          <w:rFonts w:eastAsia="Batang"/>
          <w:sz w:val="22"/>
          <w:szCs w:val="22"/>
          <w:lang w:val="en-NZ" w:eastAsia="ko-KR"/>
        </w:rPr>
        <w:t>found that esti</w:t>
      </w:r>
      <w:r w:rsidR="00270656" w:rsidRPr="004635E5">
        <w:rPr>
          <w:rFonts w:eastAsia="Batang"/>
          <w:sz w:val="22"/>
          <w:szCs w:val="22"/>
          <w:lang w:val="en-NZ" w:eastAsia="ko-KR"/>
        </w:rPr>
        <w:t>m</w:t>
      </w:r>
      <w:r w:rsidR="00D05186" w:rsidRPr="004635E5">
        <w:rPr>
          <w:rFonts w:eastAsia="Batang"/>
          <w:sz w:val="22"/>
          <w:szCs w:val="22"/>
          <w:lang w:val="en-NZ" w:eastAsia="ko-KR"/>
        </w:rPr>
        <w:t>ated biomass and derived parameters were very consistent for all model runs.</w:t>
      </w:r>
      <w:r w:rsidR="00D05186" w:rsidRPr="004635E5">
        <w:rPr>
          <w:rFonts w:eastAsia="Batang"/>
          <w:sz w:val="22"/>
          <w:szCs w:val="22"/>
          <w:lang w:eastAsia="ko-KR"/>
        </w:rPr>
        <w:t xml:space="preserve"> The working group </w:t>
      </w:r>
      <w:r w:rsidR="005D68C8" w:rsidRPr="004635E5">
        <w:rPr>
          <w:rFonts w:eastAsia="Batang"/>
          <w:sz w:val="22"/>
          <w:szCs w:val="22"/>
          <w:lang w:eastAsia="ko-KR"/>
        </w:rPr>
        <w:t xml:space="preserve">set the effective sample size </w:t>
      </w:r>
      <w:r w:rsidR="00D05186" w:rsidRPr="004635E5">
        <w:rPr>
          <w:rFonts w:eastAsia="Batang"/>
          <w:sz w:val="22"/>
          <w:szCs w:val="22"/>
          <w:lang w:eastAsia="ko-KR"/>
        </w:rPr>
        <w:t xml:space="preserve">at </w:t>
      </w:r>
      <w:r w:rsidR="005D68C8" w:rsidRPr="004635E5">
        <w:rPr>
          <w:rFonts w:eastAsia="Batang"/>
          <w:sz w:val="22"/>
          <w:szCs w:val="22"/>
          <w:lang w:eastAsia="ko-KR"/>
        </w:rPr>
        <w:t xml:space="preserve">25, which is </w:t>
      </w:r>
      <w:r w:rsidR="00F81447">
        <w:rPr>
          <w:rFonts w:eastAsia="Batang" w:hint="eastAsia"/>
          <w:sz w:val="22"/>
          <w:szCs w:val="22"/>
          <w:lang w:eastAsia="ko-KR"/>
        </w:rPr>
        <w:t xml:space="preserve">a </w:t>
      </w:r>
      <w:r w:rsidR="005D68C8" w:rsidRPr="004635E5">
        <w:rPr>
          <w:rFonts w:eastAsia="Batang"/>
          <w:sz w:val="22"/>
          <w:szCs w:val="22"/>
          <w:lang w:eastAsia="ko-KR"/>
        </w:rPr>
        <w:t xml:space="preserve">very low effective sample size compared to the actual observations. </w:t>
      </w:r>
      <w:r w:rsidR="00D05186" w:rsidRPr="004635E5">
        <w:rPr>
          <w:rFonts w:eastAsia="Batang"/>
          <w:sz w:val="22"/>
          <w:szCs w:val="22"/>
          <w:lang w:eastAsia="ko-KR"/>
        </w:rPr>
        <w:t xml:space="preserve">The </w:t>
      </w:r>
      <w:r w:rsidR="001F4E5D">
        <w:rPr>
          <w:rFonts w:eastAsia="Batang" w:hint="eastAsia"/>
          <w:sz w:val="22"/>
          <w:szCs w:val="22"/>
          <w:lang w:eastAsia="ko-KR"/>
        </w:rPr>
        <w:t>actual</w:t>
      </w:r>
      <w:r w:rsidR="00D05186" w:rsidRPr="004635E5">
        <w:rPr>
          <w:rFonts w:eastAsia="Batang"/>
          <w:sz w:val="22"/>
          <w:szCs w:val="22"/>
          <w:lang w:val="en-NZ" w:eastAsia="ko-KR"/>
        </w:rPr>
        <w:t xml:space="preserve"> uncertainty of the stock may</w:t>
      </w:r>
      <w:r w:rsidR="00C15D3F" w:rsidRPr="004635E5">
        <w:rPr>
          <w:rFonts w:eastAsia="Batang"/>
          <w:sz w:val="22"/>
          <w:szCs w:val="22"/>
          <w:lang w:val="en-NZ" w:eastAsia="ko-KR"/>
        </w:rPr>
        <w:t xml:space="preserve"> </w:t>
      </w:r>
      <w:r w:rsidR="00D05186" w:rsidRPr="004635E5">
        <w:rPr>
          <w:rFonts w:eastAsia="Batang"/>
          <w:sz w:val="22"/>
          <w:szCs w:val="22"/>
          <w:lang w:val="en-NZ" w:eastAsia="ko-KR"/>
        </w:rPr>
        <w:t>be larger than presented.</w:t>
      </w:r>
    </w:p>
    <w:p w14:paraId="303B8AAD" w14:textId="77777777" w:rsidR="000B0F63" w:rsidRPr="004635E5" w:rsidRDefault="000B0F63" w:rsidP="006633A8">
      <w:pPr>
        <w:autoSpaceDE w:val="0"/>
        <w:autoSpaceDN w:val="0"/>
        <w:adjustRightInd w:val="0"/>
        <w:snapToGrid w:val="0"/>
        <w:jc w:val="both"/>
        <w:rPr>
          <w:rFonts w:eastAsia="Batang"/>
          <w:sz w:val="22"/>
          <w:szCs w:val="22"/>
          <w:lang w:val="en-NZ" w:eastAsia="ko-KR"/>
        </w:rPr>
      </w:pPr>
    </w:p>
    <w:p w14:paraId="7743EA68" w14:textId="77777777" w:rsidR="00457221" w:rsidRPr="004635E5" w:rsidRDefault="00D05186"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In response to a comment by the </w:t>
      </w:r>
      <w:r w:rsidR="008C60CA" w:rsidRPr="004635E5">
        <w:rPr>
          <w:rFonts w:eastAsia="Batang"/>
          <w:sz w:val="22"/>
          <w:szCs w:val="22"/>
          <w:lang w:val="en-NZ" w:eastAsia="ko-KR"/>
        </w:rPr>
        <w:t>EU</w:t>
      </w:r>
      <w:r w:rsidRPr="004635E5">
        <w:rPr>
          <w:rFonts w:eastAsia="Batang"/>
          <w:sz w:val="22"/>
          <w:szCs w:val="22"/>
          <w:lang w:val="en-NZ" w:eastAsia="ko-KR"/>
        </w:rPr>
        <w:t xml:space="preserve"> the presenter noted MSY had been recognized as the </w:t>
      </w:r>
      <w:r w:rsidR="00B172C6" w:rsidRPr="004635E5">
        <w:rPr>
          <w:rFonts w:eastAsia="Batang"/>
          <w:sz w:val="22"/>
          <w:szCs w:val="22"/>
          <w:lang w:val="en-NZ" w:eastAsia="ko-KR"/>
        </w:rPr>
        <w:t>default ref</w:t>
      </w:r>
      <w:r w:rsidRPr="004635E5">
        <w:rPr>
          <w:rFonts w:eastAsia="Batang"/>
          <w:sz w:val="22"/>
          <w:szCs w:val="22"/>
          <w:lang w:val="en-NZ" w:eastAsia="ko-KR"/>
        </w:rPr>
        <w:t xml:space="preserve">erence </w:t>
      </w:r>
      <w:r w:rsidR="00270656" w:rsidRPr="004635E5">
        <w:rPr>
          <w:rFonts w:eastAsia="Batang"/>
          <w:sz w:val="22"/>
          <w:szCs w:val="22"/>
          <w:lang w:val="en-NZ" w:eastAsia="ko-KR"/>
        </w:rPr>
        <w:t>point</w:t>
      </w:r>
      <w:r w:rsidRPr="004635E5">
        <w:rPr>
          <w:rFonts w:eastAsia="Batang"/>
          <w:sz w:val="22"/>
          <w:szCs w:val="22"/>
          <w:lang w:val="en-NZ" w:eastAsia="ko-KR"/>
        </w:rPr>
        <w:t xml:space="preserve">, in accordance with the Convention. </w:t>
      </w:r>
    </w:p>
    <w:p w14:paraId="038496A4" w14:textId="77777777" w:rsidR="000B0F63" w:rsidRPr="004635E5" w:rsidRDefault="000B0F63" w:rsidP="006633A8">
      <w:pPr>
        <w:autoSpaceDE w:val="0"/>
        <w:autoSpaceDN w:val="0"/>
        <w:adjustRightInd w:val="0"/>
        <w:snapToGrid w:val="0"/>
        <w:jc w:val="both"/>
        <w:rPr>
          <w:rFonts w:eastAsia="Batang"/>
          <w:sz w:val="22"/>
          <w:szCs w:val="22"/>
          <w:lang w:val="en-NZ" w:eastAsia="ko-KR"/>
        </w:rPr>
      </w:pPr>
    </w:p>
    <w:p w14:paraId="1093B2A0" w14:textId="77777777" w:rsidR="00073DD2" w:rsidRPr="004635E5" w:rsidRDefault="00073DD2" w:rsidP="00580EA4">
      <w:pPr>
        <w:pStyle w:val="SC3"/>
        <w:numPr>
          <w:ilvl w:val="3"/>
          <w:numId w:val="161"/>
        </w:numPr>
        <w:spacing w:after="0"/>
        <w:rPr>
          <w:rFonts w:eastAsia="Batang"/>
          <w:lang w:eastAsia="ko-KR"/>
        </w:rPr>
      </w:pPr>
      <w:r w:rsidRPr="004635E5">
        <w:rPr>
          <w:rFonts w:eastAsia="Batang"/>
          <w:lang w:eastAsia="ko-KR"/>
        </w:rPr>
        <w:t>Provision of scientific information</w:t>
      </w:r>
    </w:p>
    <w:p w14:paraId="0D385B93" w14:textId="77777777" w:rsidR="000B0F63" w:rsidRPr="004635E5" w:rsidRDefault="000B0F63" w:rsidP="006633A8">
      <w:pPr>
        <w:pStyle w:val="SC3"/>
        <w:numPr>
          <w:ilvl w:val="0"/>
          <w:numId w:val="0"/>
        </w:numPr>
        <w:spacing w:after="0"/>
        <w:ind w:left="1800"/>
        <w:rPr>
          <w:rFonts w:eastAsia="Batang"/>
          <w:lang w:eastAsia="ko-KR"/>
        </w:rPr>
      </w:pPr>
    </w:p>
    <w:p w14:paraId="461DD9C3" w14:textId="77777777" w:rsidR="00AD29CD" w:rsidRPr="004635E5" w:rsidRDefault="005625C8" w:rsidP="00BD29C2">
      <w:pPr>
        <w:pStyle w:val="SCa"/>
        <w:tabs>
          <w:tab w:val="clear" w:pos="1080"/>
        </w:tabs>
        <w:spacing w:after="0"/>
        <w:ind w:left="0"/>
        <w:rPr>
          <w:lang w:val="en-NZ"/>
        </w:rPr>
      </w:pPr>
      <w:r w:rsidRPr="004635E5">
        <w:rPr>
          <w:lang w:val="en-NZ"/>
        </w:rPr>
        <w:t>a.</w:t>
      </w:r>
      <w:r w:rsidRPr="004635E5">
        <w:rPr>
          <w:lang w:val="en-NZ"/>
        </w:rPr>
        <w:tab/>
      </w:r>
      <w:r w:rsidR="00073DD2" w:rsidRPr="004635E5">
        <w:rPr>
          <w:lang w:val="en-NZ"/>
        </w:rPr>
        <w:t xml:space="preserve">Status and trends </w:t>
      </w:r>
    </w:p>
    <w:p w14:paraId="0237F2FF" w14:textId="77777777" w:rsidR="000B0F63" w:rsidRPr="004635E5" w:rsidRDefault="000B0F63" w:rsidP="006633A8">
      <w:pPr>
        <w:pStyle w:val="SCa"/>
        <w:spacing w:after="0"/>
        <w:rPr>
          <w:lang w:val="en-NZ"/>
        </w:rPr>
      </w:pPr>
    </w:p>
    <w:p w14:paraId="3771DC5B" w14:textId="77777777" w:rsidR="0019514F" w:rsidRPr="004635E5" w:rsidRDefault="00AD29CD" w:rsidP="00580EA4">
      <w:pPr>
        <w:numPr>
          <w:ilvl w:val="0"/>
          <w:numId w:val="18"/>
        </w:numPr>
        <w:autoSpaceDE w:val="0"/>
        <w:autoSpaceDN w:val="0"/>
        <w:adjustRightInd w:val="0"/>
        <w:snapToGrid w:val="0"/>
        <w:ind w:left="0" w:firstLine="0"/>
        <w:jc w:val="both"/>
        <w:rPr>
          <w:rFonts w:eastAsia="Batang"/>
          <w:b/>
          <w:bCs/>
          <w:sz w:val="22"/>
          <w:szCs w:val="22"/>
          <w:lang w:eastAsia="ko-KR"/>
        </w:rPr>
      </w:pPr>
      <w:r w:rsidRPr="004635E5">
        <w:rPr>
          <w:rFonts w:eastAsia="Batang"/>
          <w:b/>
          <w:bCs/>
          <w:sz w:val="22"/>
          <w:szCs w:val="22"/>
          <w:lang w:eastAsia="ko-KR"/>
        </w:rPr>
        <w:t>SC14 noted that ISC provided the following conclusions on the stock status of Western and Central North Pacific Swordfish in the Pacific Ocean in 2017 presented in SC14-SA-WP-07 (Stock Assessment for Swordfish (</w:t>
      </w:r>
      <w:r w:rsidRPr="004635E5">
        <w:rPr>
          <w:rFonts w:eastAsia="Batang"/>
          <w:b/>
          <w:bCs/>
          <w:i/>
          <w:sz w:val="22"/>
          <w:szCs w:val="22"/>
          <w:lang w:eastAsia="ko-KR"/>
        </w:rPr>
        <w:t>Xiphias gladius</w:t>
      </w:r>
      <w:r w:rsidRPr="004635E5">
        <w:rPr>
          <w:rFonts w:eastAsia="Batang"/>
          <w:b/>
          <w:bCs/>
          <w:sz w:val="22"/>
          <w:szCs w:val="22"/>
          <w:lang w:eastAsia="ko-KR"/>
        </w:rPr>
        <w:t>) in the Western and Central No</w:t>
      </w:r>
      <w:r w:rsidR="00C15D3F" w:rsidRPr="004635E5">
        <w:rPr>
          <w:rFonts w:eastAsia="Batang"/>
          <w:b/>
          <w:bCs/>
          <w:sz w:val="22"/>
          <w:szCs w:val="22"/>
          <w:lang w:eastAsia="ko-KR"/>
        </w:rPr>
        <w:t xml:space="preserve">rth Pacific Ocean through 2016). </w:t>
      </w:r>
    </w:p>
    <w:p w14:paraId="261F5FFC" w14:textId="77777777" w:rsidR="0019514F" w:rsidRPr="004635E5" w:rsidRDefault="0019514F" w:rsidP="006633A8">
      <w:pPr>
        <w:autoSpaceDE w:val="0"/>
        <w:autoSpaceDN w:val="0"/>
        <w:adjustRightInd w:val="0"/>
        <w:snapToGrid w:val="0"/>
        <w:jc w:val="both"/>
        <w:rPr>
          <w:rFonts w:eastAsia="Batang"/>
          <w:bCs/>
          <w:sz w:val="22"/>
          <w:szCs w:val="22"/>
          <w:lang w:eastAsia="ko-KR"/>
        </w:rPr>
      </w:pPr>
    </w:p>
    <w:p w14:paraId="1CB2179F" w14:textId="77777777" w:rsidR="009B24F3" w:rsidRPr="004635E5" w:rsidRDefault="00AD29CD" w:rsidP="006633A8">
      <w:pPr>
        <w:autoSpaceDE w:val="0"/>
        <w:autoSpaceDN w:val="0"/>
        <w:adjustRightInd w:val="0"/>
        <w:snapToGrid w:val="0"/>
        <w:ind w:left="720"/>
        <w:jc w:val="both"/>
        <w:rPr>
          <w:rFonts w:eastAsia="Batang"/>
          <w:bCs/>
          <w:sz w:val="22"/>
          <w:szCs w:val="22"/>
          <w:lang w:eastAsia="ko-KR"/>
        </w:rPr>
      </w:pPr>
      <w:r w:rsidRPr="004635E5">
        <w:rPr>
          <w:rFonts w:eastAsia="Batang"/>
          <w:sz w:val="22"/>
          <w:szCs w:val="22"/>
          <w:lang w:eastAsia="ko-KR"/>
        </w:rPr>
        <w:t xml:space="preserve">Estimates of total stock biomass show a relatively stable population, with a slight decline until the mid-1990s followed by a slight increase since 2000. Population biomass (age-1 and older) averaged roughly 97,919 t in 1974-1978, the first 5 years of the assessment time frame, and has declined by only 20% to 71,979 t in 2016 (Figure </w:t>
      </w:r>
      <w:r w:rsidR="00C15D3F" w:rsidRPr="004635E5">
        <w:rPr>
          <w:rFonts w:eastAsia="Batang"/>
          <w:sz w:val="22"/>
          <w:szCs w:val="22"/>
          <w:lang w:eastAsia="ko-KR"/>
        </w:rPr>
        <w:t>NPS-3</w:t>
      </w:r>
      <w:r w:rsidRPr="004635E5">
        <w:rPr>
          <w:rFonts w:eastAsia="Batang"/>
          <w:sz w:val="22"/>
          <w:szCs w:val="22"/>
          <w:lang w:eastAsia="ko-KR"/>
        </w:rPr>
        <w:t>). Female spawning stock biomass was estimated to be 29,403 t in 2016, or about 90% above SSB</w:t>
      </w:r>
      <w:r w:rsidRPr="004635E5">
        <w:rPr>
          <w:rFonts w:eastAsia="Batang"/>
          <w:sz w:val="22"/>
          <w:szCs w:val="22"/>
          <w:vertAlign w:val="subscript"/>
          <w:lang w:eastAsia="ko-KR"/>
        </w:rPr>
        <w:t>MSY</w:t>
      </w:r>
      <w:r w:rsidRPr="004635E5">
        <w:rPr>
          <w:rFonts w:eastAsia="Batang"/>
          <w:sz w:val="22"/>
          <w:szCs w:val="22"/>
          <w:lang w:eastAsia="ko-KR"/>
        </w:rPr>
        <w:t xml:space="preserve"> (Table </w:t>
      </w:r>
      <w:r w:rsidR="00270656" w:rsidRPr="004635E5">
        <w:rPr>
          <w:rFonts w:eastAsia="Batang"/>
          <w:sz w:val="22"/>
          <w:szCs w:val="22"/>
          <w:lang w:eastAsia="ko-KR"/>
        </w:rPr>
        <w:t>NPS</w:t>
      </w:r>
      <w:r w:rsidR="00C15D3F" w:rsidRPr="004635E5">
        <w:rPr>
          <w:rFonts w:eastAsia="Batang"/>
          <w:sz w:val="22"/>
          <w:szCs w:val="22"/>
          <w:lang w:eastAsia="ko-KR"/>
        </w:rPr>
        <w:t xml:space="preserve">-1 </w:t>
      </w:r>
      <w:r w:rsidRPr="004635E5">
        <w:rPr>
          <w:rFonts w:eastAsia="Batang"/>
          <w:sz w:val="22"/>
          <w:szCs w:val="22"/>
          <w:lang w:eastAsia="ko-KR"/>
        </w:rPr>
        <w:t xml:space="preserve">and </w:t>
      </w:r>
      <w:r w:rsidR="00C15D3F" w:rsidRPr="004635E5">
        <w:rPr>
          <w:rFonts w:eastAsia="Batang"/>
          <w:sz w:val="22"/>
          <w:szCs w:val="22"/>
          <w:lang w:eastAsia="ko-KR"/>
        </w:rPr>
        <w:t xml:space="preserve">Table </w:t>
      </w:r>
      <w:r w:rsidR="00270656" w:rsidRPr="004635E5">
        <w:rPr>
          <w:rFonts w:eastAsia="Batang"/>
          <w:sz w:val="22"/>
          <w:szCs w:val="22"/>
          <w:lang w:eastAsia="ko-KR"/>
        </w:rPr>
        <w:t>NPS</w:t>
      </w:r>
      <w:r w:rsidR="00C15D3F" w:rsidRPr="004635E5">
        <w:rPr>
          <w:rFonts w:eastAsia="Batang"/>
          <w:sz w:val="22"/>
          <w:szCs w:val="22"/>
          <w:lang w:eastAsia="ko-KR"/>
        </w:rPr>
        <w:t>-2</w:t>
      </w:r>
      <w:r w:rsidRPr="004635E5">
        <w:rPr>
          <w:rFonts w:eastAsia="Batang"/>
          <w:sz w:val="22"/>
          <w:szCs w:val="22"/>
          <w:lang w:eastAsia="ko-KR"/>
        </w:rPr>
        <w:t>).</w:t>
      </w:r>
      <w:r w:rsidR="0019514F" w:rsidRPr="004635E5">
        <w:rPr>
          <w:rFonts w:eastAsia="Batang"/>
          <w:sz w:val="22"/>
          <w:szCs w:val="22"/>
          <w:lang w:eastAsia="ko-KR"/>
        </w:rPr>
        <w:t xml:space="preserve"> </w:t>
      </w:r>
      <w:r w:rsidRPr="004635E5">
        <w:rPr>
          <w:rFonts w:eastAsia="Batang"/>
          <w:sz w:val="22"/>
          <w:szCs w:val="22"/>
          <w:lang w:eastAsia="ko-KR"/>
        </w:rPr>
        <w:t>Fishing mortality on the stock (average F, ages 1 – 10) averaged roughly F = 0.08 yr</w:t>
      </w:r>
      <w:r w:rsidRPr="00D10883">
        <w:rPr>
          <w:rFonts w:eastAsia="Batang"/>
          <w:sz w:val="22"/>
          <w:szCs w:val="22"/>
          <w:vertAlign w:val="superscript"/>
          <w:lang w:eastAsia="ko-KR"/>
        </w:rPr>
        <w:t>-1</w:t>
      </w:r>
      <w:r w:rsidRPr="004635E5">
        <w:rPr>
          <w:rFonts w:eastAsia="Batang"/>
          <w:sz w:val="22"/>
          <w:szCs w:val="22"/>
          <w:lang w:eastAsia="ko-KR"/>
        </w:rPr>
        <w:t xml:space="preserve"> during 2013-2015, or about 45% below F</w:t>
      </w:r>
      <w:r w:rsidRPr="004635E5">
        <w:rPr>
          <w:rFonts w:eastAsia="Batang"/>
          <w:sz w:val="22"/>
          <w:szCs w:val="22"/>
          <w:vertAlign w:val="subscript"/>
          <w:lang w:eastAsia="ko-KR"/>
        </w:rPr>
        <w:t>MSY</w:t>
      </w:r>
      <w:r w:rsidRPr="004635E5">
        <w:rPr>
          <w:rFonts w:eastAsia="Batang"/>
          <w:sz w:val="22"/>
          <w:szCs w:val="22"/>
          <w:lang w:eastAsia="ko-KR"/>
        </w:rPr>
        <w:t>. The estimated SPR (the predicted spawning output at the current F as a fraction of unfished spawning output) is currently SPR</w:t>
      </w:r>
      <w:r w:rsidRPr="00D10883">
        <w:rPr>
          <w:rFonts w:eastAsia="Batang"/>
          <w:sz w:val="22"/>
          <w:szCs w:val="22"/>
          <w:vertAlign w:val="subscript"/>
          <w:lang w:eastAsia="ko-KR"/>
        </w:rPr>
        <w:t>2016</w:t>
      </w:r>
      <w:r w:rsidRPr="004635E5">
        <w:rPr>
          <w:rFonts w:eastAsia="Batang"/>
          <w:sz w:val="22"/>
          <w:szCs w:val="22"/>
          <w:lang w:eastAsia="ko-KR"/>
        </w:rPr>
        <w:t xml:space="preserve"> = 45%. Annual recruitment averaged about 717,000 recruits during 2012-2016, and no long-term trend in recruitment was apparent. Overall, the time series of spawning stock biomass and recruitment estimates indicate a stable spawning stock biomass and suggest a fluctuating pattern without trend for recruitment (Figure </w:t>
      </w:r>
      <w:r w:rsidR="00270656" w:rsidRPr="004635E5">
        <w:rPr>
          <w:rFonts w:eastAsia="Batang"/>
          <w:sz w:val="22"/>
          <w:szCs w:val="22"/>
          <w:lang w:eastAsia="ko-KR"/>
        </w:rPr>
        <w:t>NPS</w:t>
      </w:r>
      <w:r w:rsidR="00C15D3F" w:rsidRPr="004635E5">
        <w:rPr>
          <w:rFonts w:eastAsia="Batang"/>
          <w:sz w:val="22"/>
          <w:szCs w:val="22"/>
          <w:lang w:eastAsia="ko-KR"/>
        </w:rPr>
        <w:t>-3</w:t>
      </w:r>
      <w:r w:rsidRPr="004635E5">
        <w:rPr>
          <w:rFonts w:eastAsia="Batang"/>
          <w:sz w:val="22"/>
          <w:szCs w:val="22"/>
          <w:lang w:eastAsia="ko-KR"/>
        </w:rPr>
        <w:t xml:space="preserve">). The Kobe plot depicts the stock status relative to MSY-based reference points for the base case model (Figure </w:t>
      </w:r>
      <w:r w:rsidR="00270656" w:rsidRPr="004635E5">
        <w:rPr>
          <w:rFonts w:eastAsia="Batang"/>
          <w:sz w:val="22"/>
          <w:szCs w:val="22"/>
          <w:lang w:eastAsia="ko-KR"/>
        </w:rPr>
        <w:t>NPS</w:t>
      </w:r>
      <w:r w:rsidR="00C15D3F" w:rsidRPr="004635E5">
        <w:rPr>
          <w:rFonts w:eastAsia="Batang"/>
          <w:sz w:val="22"/>
          <w:szCs w:val="22"/>
          <w:lang w:eastAsia="ko-KR"/>
        </w:rPr>
        <w:t>-4</w:t>
      </w:r>
      <w:r w:rsidRPr="004635E5">
        <w:rPr>
          <w:rFonts w:eastAsia="Batang"/>
          <w:sz w:val="22"/>
          <w:szCs w:val="22"/>
          <w:lang w:eastAsia="ko-KR"/>
        </w:rPr>
        <w:t>) and shows that spawning stock biomass declined to almost the MSY level in the mid-1990s, but SSB has remained above SSB</w:t>
      </w:r>
      <w:r w:rsidRPr="004635E5">
        <w:rPr>
          <w:rFonts w:eastAsia="Batang"/>
          <w:sz w:val="22"/>
          <w:szCs w:val="22"/>
          <w:vertAlign w:val="subscript"/>
          <w:lang w:eastAsia="ko-KR"/>
        </w:rPr>
        <w:t>MSY</w:t>
      </w:r>
      <w:r w:rsidRPr="004635E5">
        <w:rPr>
          <w:rFonts w:eastAsia="Batang"/>
          <w:sz w:val="22"/>
          <w:szCs w:val="22"/>
          <w:lang w:eastAsia="ko-KR"/>
        </w:rPr>
        <w:t xml:space="preserve"> throughout the time series (Figure </w:t>
      </w:r>
      <w:r w:rsidR="00C15D3F" w:rsidRPr="004635E5">
        <w:rPr>
          <w:rFonts w:eastAsia="Batang"/>
          <w:sz w:val="22"/>
          <w:szCs w:val="22"/>
          <w:lang w:eastAsia="ko-KR"/>
        </w:rPr>
        <w:t>NPS-3</w:t>
      </w:r>
      <w:r w:rsidRPr="004635E5">
        <w:rPr>
          <w:rFonts w:eastAsia="Batang"/>
          <w:sz w:val="22"/>
          <w:szCs w:val="22"/>
          <w:lang w:eastAsia="ko-KR"/>
        </w:rPr>
        <w:t>B).</w:t>
      </w:r>
    </w:p>
    <w:p w14:paraId="7740F6C4" w14:textId="77777777" w:rsidR="000B0F63" w:rsidRPr="004635E5" w:rsidRDefault="000B0F63" w:rsidP="006633A8">
      <w:pPr>
        <w:autoSpaceDE w:val="0"/>
        <w:autoSpaceDN w:val="0"/>
        <w:adjustRightInd w:val="0"/>
        <w:snapToGrid w:val="0"/>
        <w:ind w:left="720"/>
        <w:jc w:val="both"/>
        <w:rPr>
          <w:rFonts w:eastAsia="Batang"/>
          <w:bCs/>
          <w:sz w:val="22"/>
          <w:szCs w:val="22"/>
          <w:lang w:eastAsia="ko-KR"/>
        </w:rPr>
      </w:pPr>
    </w:p>
    <w:p w14:paraId="1247AC66" w14:textId="77777777" w:rsidR="00AD29CD" w:rsidRPr="004635E5" w:rsidRDefault="00AD29CD" w:rsidP="006633A8">
      <w:pPr>
        <w:autoSpaceDE w:val="0"/>
        <w:autoSpaceDN w:val="0"/>
        <w:adjustRightInd w:val="0"/>
        <w:snapToGrid w:val="0"/>
        <w:ind w:left="720"/>
        <w:jc w:val="both"/>
        <w:rPr>
          <w:rFonts w:eastAsia="Batang"/>
          <w:bCs/>
          <w:sz w:val="22"/>
          <w:szCs w:val="22"/>
          <w:lang w:eastAsia="ko-KR"/>
        </w:rPr>
      </w:pPr>
      <w:r w:rsidRPr="004635E5">
        <w:rPr>
          <w:rFonts w:eastAsia="Batang"/>
          <w:sz w:val="22"/>
          <w:szCs w:val="22"/>
          <w:lang w:eastAsia="ko-KR"/>
        </w:rPr>
        <w:t>For this 2018 benchmark assessment, note that biomass status is based on female spawning stock biomass, whereas for the 2014 update assessment, biomass status was based on exploitable biomass (effectively age-2+ biomass). It is also important to note that there are no currently agreed upon reference points for the WCNPO swordfish stock and that retrospective analyses show that the assessment model appears to underestimate spawning stock biomass in recent years.</w:t>
      </w:r>
    </w:p>
    <w:p w14:paraId="62AD8DCF" w14:textId="77777777" w:rsidR="000B0F63" w:rsidRPr="004635E5" w:rsidRDefault="000B0F63" w:rsidP="006633A8">
      <w:pPr>
        <w:autoSpaceDE w:val="0"/>
        <w:autoSpaceDN w:val="0"/>
        <w:adjustRightInd w:val="0"/>
        <w:snapToGrid w:val="0"/>
        <w:ind w:left="720"/>
        <w:jc w:val="both"/>
        <w:rPr>
          <w:rFonts w:eastAsia="Batang"/>
          <w:bCs/>
          <w:sz w:val="22"/>
          <w:szCs w:val="22"/>
          <w:lang w:eastAsia="ko-KR"/>
        </w:rPr>
      </w:pPr>
    </w:p>
    <w:p w14:paraId="3726265A" w14:textId="77777777" w:rsidR="00AD29CD" w:rsidRPr="004635E5" w:rsidRDefault="00AD29CD" w:rsidP="006633A8">
      <w:pPr>
        <w:autoSpaceDE w:val="0"/>
        <w:autoSpaceDN w:val="0"/>
        <w:adjustRightInd w:val="0"/>
        <w:snapToGrid w:val="0"/>
        <w:ind w:left="720"/>
        <w:jc w:val="both"/>
        <w:rPr>
          <w:rFonts w:eastAsia="Batang"/>
          <w:sz w:val="22"/>
          <w:szCs w:val="22"/>
          <w:lang w:eastAsia="ko-KR"/>
        </w:rPr>
      </w:pPr>
      <w:r w:rsidRPr="004635E5">
        <w:rPr>
          <w:rFonts w:eastAsia="Batang"/>
          <w:sz w:val="22"/>
          <w:szCs w:val="22"/>
          <w:lang w:eastAsia="ko-KR"/>
        </w:rPr>
        <w:t>Based on these findings, the following information on the status of the WCNPO SWO stock is provided:</w:t>
      </w:r>
    </w:p>
    <w:p w14:paraId="4D9A109A" w14:textId="77777777" w:rsidR="000B0F63" w:rsidRPr="004635E5" w:rsidRDefault="000B0F63" w:rsidP="006633A8">
      <w:pPr>
        <w:autoSpaceDE w:val="0"/>
        <w:autoSpaceDN w:val="0"/>
        <w:adjustRightInd w:val="0"/>
        <w:snapToGrid w:val="0"/>
        <w:ind w:left="720"/>
        <w:jc w:val="both"/>
        <w:rPr>
          <w:rFonts w:eastAsia="Batang"/>
          <w:sz w:val="22"/>
          <w:szCs w:val="22"/>
          <w:lang w:eastAsia="ko-KR"/>
        </w:rPr>
      </w:pPr>
    </w:p>
    <w:p w14:paraId="2A7BCFD8" w14:textId="77777777" w:rsidR="00AD29CD" w:rsidRPr="004635E5" w:rsidRDefault="00AD29CD" w:rsidP="00580EA4">
      <w:pPr>
        <w:pStyle w:val="ListParagraph"/>
        <w:numPr>
          <w:ilvl w:val="1"/>
          <w:numId w:val="39"/>
        </w:numPr>
        <w:adjustRightInd w:val="0"/>
        <w:snapToGrid w:val="0"/>
        <w:ind w:left="1540"/>
        <w:jc w:val="both"/>
        <w:rPr>
          <w:rFonts w:eastAsia="Batang"/>
          <w:b/>
          <w:bCs/>
          <w:sz w:val="22"/>
          <w:szCs w:val="22"/>
          <w:lang w:eastAsia="ko-KR"/>
        </w:rPr>
      </w:pPr>
      <w:r w:rsidRPr="004635E5">
        <w:rPr>
          <w:rFonts w:eastAsia="Batang"/>
          <w:b/>
          <w:bCs/>
          <w:sz w:val="22"/>
          <w:szCs w:val="22"/>
          <w:lang w:eastAsia="ko-KR"/>
        </w:rPr>
        <w:t>The WCNPO swordfish stock has produced annual yields of around 10,200 t per year since 2012, or about 2/3 of the MSY catch amount.</w:t>
      </w:r>
    </w:p>
    <w:p w14:paraId="6AE15A86" w14:textId="77777777" w:rsidR="00277F1B" w:rsidRPr="004635E5" w:rsidRDefault="00277F1B" w:rsidP="00580EA4">
      <w:pPr>
        <w:pStyle w:val="ListParagraph"/>
        <w:numPr>
          <w:ilvl w:val="1"/>
          <w:numId w:val="39"/>
        </w:numPr>
        <w:adjustRightInd w:val="0"/>
        <w:snapToGrid w:val="0"/>
        <w:ind w:left="1540"/>
        <w:jc w:val="both"/>
        <w:rPr>
          <w:rFonts w:eastAsia="Batang"/>
          <w:b/>
          <w:bCs/>
          <w:sz w:val="22"/>
          <w:szCs w:val="22"/>
          <w:lang w:eastAsia="ko-KR"/>
        </w:rPr>
      </w:pPr>
      <w:r w:rsidRPr="004635E5">
        <w:rPr>
          <w:rFonts w:eastAsia="Batang"/>
          <w:b/>
          <w:sz w:val="22"/>
          <w:szCs w:val="22"/>
          <w:lang w:eastAsia="ko-KR"/>
        </w:rPr>
        <w:t>There is no evidence of excess fishing mortality above F</w:t>
      </w:r>
      <w:r w:rsidRPr="004E1B05">
        <w:rPr>
          <w:rFonts w:eastAsia="Batang"/>
          <w:b/>
          <w:sz w:val="22"/>
          <w:szCs w:val="22"/>
          <w:vertAlign w:val="subscript"/>
          <w:lang w:eastAsia="ko-KR"/>
        </w:rPr>
        <w:t>MSY</w:t>
      </w:r>
      <w:r w:rsidR="00F81EF0">
        <w:rPr>
          <w:rFonts w:eastAsia="Batang"/>
          <w:b/>
          <w:sz w:val="22"/>
          <w:szCs w:val="22"/>
          <w:lang w:eastAsia="ko-KR"/>
        </w:rPr>
        <w:t xml:space="preserve"> </w:t>
      </w:r>
      <w:r w:rsidRPr="004635E5">
        <w:rPr>
          <w:rFonts w:eastAsia="Batang"/>
          <w:b/>
          <w:sz w:val="22"/>
          <w:szCs w:val="22"/>
          <w:lang w:eastAsia="ko-KR"/>
        </w:rPr>
        <w:t>(F</w:t>
      </w:r>
      <w:r w:rsidRPr="004E1B05">
        <w:rPr>
          <w:rFonts w:eastAsia="Batang"/>
          <w:b/>
          <w:sz w:val="22"/>
          <w:szCs w:val="22"/>
          <w:vertAlign w:val="subscript"/>
          <w:lang w:eastAsia="ko-KR"/>
        </w:rPr>
        <w:t>2013-2015</w:t>
      </w:r>
      <w:r w:rsidRPr="004635E5">
        <w:rPr>
          <w:rFonts w:eastAsia="Batang"/>
          <w:b/>
          <w:sz w:val="22"/>
          <w:szCs w:val="22"/>
          <w:lang w:eastAsia="ko-KR"/>
        </w:rPr>
        <w:t xml:space="preserve"> is 45% of F</w:t>
      </w:r>
      <w:r w:rsidRPr="004635E5">
        <w:rPr>
          <w:rFonts w:eastAsia="Batang"/>
          <w:b/>
          <w:sz w:val="22"/>
          <w:szCs w:val="22"/>
          <w:vertAlign w:val="subscript"/>
          <w:lang w:eastAsia="ko-KR"/>
        </w:rPr>
        <w:t>MSY</w:t>
      </w:r>
      <w:r w:rsidRPr="004635E5">
        <w:rPr>
          <w:rFonts w:eastAsia="Batang"/>
          <w:b/>
          <w:sz w:val="22"/>
          <w:szCs w:val="22"/>
          <w:lang w:eastAsia="ko-KR"/>
        </w:rPr>
        <w:t>) or substantial depletion of spawning potential (SSB</w:t>
      </w:r>
      <w:r w:rsidRPr="004635E5">
        <w:rPr>
          <w:rFonts w:eastAsia="Batang"/>
          <w:b/>
          <w:sz w:val="22"/>
          <w:szCs w:val="22"/>
          <w:vertAlign w:val="subscript"/>
          <w:lang w:eastAsia="ko-KR"/>
        </w:rPr>
        <w:t>2016</w:t>
      </w:r>
      <w:r w:rsidR="00F81EF0">
        <w:rPr>
          <w:rFonts w:eastAsia="Batang"/>
          <w:b/>
          <w:sz w:val="22"/>
          <w:szCs w:val="22"/>
          <w:lang w:eastAsia="ko-KR"/>
        </w:rPr>
        <w:t xml:space="preserve"> </w:t>
      </w:r>
      <w:r w:rsidRPr="004635E5">
        <w:rPr>
          <w:rFonts w:eastAsia="Batang"/>
          <w:b/>
          <w:sz w:val="22"/>
          <w:szCs w:val="22"/>
          <w:lang w:eastAsia="ko-KR"/>
        </w:rPr>
        <w:t>is 87% above SSB</w:t>
      </w:r>
      <w:r w:rsidRPr="004635E5">
        <w:rPr>
          <w:rFonts w:eastAsia="Batang"/>
          <w:b/>
          <w:sz w:val="22"/>
          <w:szCs w:val="22"/>
          <w:vertAlign w:val="subscript"/>
          <w:lang w:eastAsia="ko-KR"/>
        </w:rPr>
        <w:t>MSY</w:t>
      </w:r>
      <w:r w:rsidRPr="004635E5">
        <w:rPr>
          <w:rFonts w:eastAsia="Batang"/>
          <w:b/>
          <w:sz w:val="22"/>
          <w:szCs w:val="22"/>
          <w:lang w:eastAsia="ko-KR"/>
        </w:rPr>
        <w:t>).</w:t>
      </w:r>
    </w:p>
    <w:p w14:paraId="625AA457" w14:textId="77777777" w:rsidR="00AD29CD" w:rsidRPr="004635E5" w:rsidRDefault="00277F1B" w:rsidP="00580EA4">
      <w:pPr>
        <w:pStyle w:val="ListParagraph"/>
        <w:numPr>
          <w:ilvl w:val="1"/>
          <w:numId w:val="39"/>
        </w:numPr>
        <w:adjustRightInd w:val="0"/>
        <w:snapToGrid w:val="0"/>
        <w:ind w:left="1540"/>
        <w:jc w:val="both"/>
        <w:rPr>
          <w:rFonts w:eastAsia="Batang"/>
          <w:b/>
          <w:sz w:val="22"/>
          <w:szCs w:val="22"/>
          <w:lang w:eastAsia="ko-KR"/>
        </w:rPr>
      </w:pPr>
      <w:r w:rsidRPr="004635E5">
        <w:rPr>
          <w:rFonts w:eastAsia="Batang"/>
          <w:b/>
          <w:sz w:val="22"/>
          <w:szCs w:val="22"/>
          <w:lang w:eastAsia="ko-KR"/>
        </w:rPr>
        <w:t>Overall, the WCNPO swordfish stock is not likely overfished and is not likely experiencing overfishing relative to MSY-based or 20% of unfished spawning biomass-based reference points.</w:t>
      </w:r>
    </w:p>
    <w:p w14:paraId="4A5F798B" w14:textId="77777777" w:rsidR="000B0F63" w:rsidRPr="004635E5" w:rsidRDefault="000B0F63" w:rsidP="006633A8">
      <w:pPr>
        <w:pStyle w:val="SCa"/>
        <w:spacing w:after="0"/>
        <w:rPr>
          <w:lang w:val="en-NZ"/>
        </w:rPr>
      </w:pPr>
    </w:p>
    <w:p w14:paraId="4BC69E77" w14:textId="77777777" w:rsidR="00073DD2" w:rsidRPr="004635E5" w:rsidRDefault="005625C8" w:rsidP="00BD29C2">
      <w:pPr>
        <w:pStyle w:val="SCa"/>
        <w:tabs>
          <w:tab w:val="clear" w:pos="1080"/>
        </w:tabs>
        <w:spacing w:after="0"/>
        <w:ind w:left="0"/>
        <w:rPr>
          <w:lang w:val="en-NZ"/>
        </w:rPr>
      </w:pPr>
      <w:r w:rsidRPr="004635E5">
        <w:rPr>
          <w:lang w:val="en-NZ"/>
        </w:rPr>
        <w:t>b.</w:t>
      </w:r>
      <w:r w:rsidRPr="004635E5">
        <w:rPr>
          <w:lang w:val="en-NZ"/>
        </w:rPr>
        <w:tab/>
      </w:r>
      <w:r w:rsidR="00073DD2" w:rsidRPr="004635E5">
        <w:rPr>
          <w:lang w:val="en-NZ"/>
        </w:rPr>
        <w:t xml:space="preserve">Management advice and implications </w:t>
      </w:r>
    </w:p>
    <w:p w14:paraId="1DBA1453" w14:textId="77777777" w:rsidR="000B0F63" w:rsidRPr="004635E5" w:rsidRDefault="000B0F63" w:rsidP="006633A8">
      <w:pPr>
        <w:pStyle w:val="SCa"/>
        <w:spacing w:after="0"/>
        <w:rPr>
          <w:lang w:val="en-NZ"/>
        </w:rPr>
      </w:pPr>
    </w:p>
    <w:p w14:paraId="06AA6682" w14:textId="77777777" w:rsidR="00C72994" w:rsidRPr="004635E5" w:rsidRDefault="009B24F3" w:rsidP="00580EA4">
      <w:pPr>
        <w:numPr>
          <w:ilvl w:val="0"/>
          <w:numId w:val="18"/>
        </w:numPr>
        <w:autoSpaceDE w:val="0"/>
        <w:autoSpaceDN w:val="0"/>
        <w:adjustRightInd w:val="0"/>
        <w:snapToGrid w:val="0"/>
        <w:ind w:left="0" w:firstLine="0"/>
        <w:jc w:val="both"/>
        <w:rPr>
          <w:rFonts w:eastAsia="Batang"/>
          <w:b/>
          <w:bCs/>
          <w:sz w:val="22"/>
          <w:szCs w:val="22"/>
          <w:lang w:eastAsia="ko-KR"/>
        </w:rPr>
      </w:pPr>
      <w:r w:rsidRPr="004635E5">
        <w:rPr>
          <w:rFonts w:eastAsia="Batang"/>
          <w:b/>
          <w:bCs/>
          <w:sz w:val="22"/>
          <w:szCs w:val="22"/>
          <w:lang w:eastAsia="ko-KR"/>
        </w:rPr>
        <w:t>SC14 noted the following conservation advice from ISC:</w:t>
      </w:r>
      <w:r w:rsidR="005625C8" w:rsidRPr="004635E5">
        <w:rPr>
          <w:rFonts w:eastAsia="Batang"/>
          <w:b/>
          <w:bCs/>
          <w:sz w:val="22"/>
          <w:szCs w:val="22"/>
          <w:lang w:eastAsia="ko-KR"/>
        </w:rPr>
        <w:t xml:space="preserve"> </w:t>
      </w:r>
    </w:p>
    <w:p w14:paraId="522B3F19" w14:textId="77777777" w:rsidR="00C72994" w:rsidRPr="004635E5" w:rsidRDefault="00C72994" w:rsidP="006633A8">
      <w:pPr>
        <w:autoSpaceDE w:val="0"/>
        <w:autoSpaceDN w:val="0"/>
        <w:adjustRightInd w:val="0"/>
        <w:snapToGrid w:val="0"/>
        <w:jc w:val="both"/>
        <w:rPr>
          <w:rFonts w:eastAsia="Batang"/>
          <w:bCs/>
          <w:sz w:val="22"/>
          <w:szCs w:val="22"/>
          <w:lang w:eastAsia="ko-KR"/>
        </w:rPr>
      </w:pPr>
    </w:p>
    <w:p w14:paraId="602092EC" w14:textId="77777777" w:rsidR="009B24F3" w:rsidRPr="004635E5" w:rsidRDefault="00C72994" w:rsidP="006633A8">
      <w:pPr>
        <w:autoSpaceDE w:val="0"/>
        <w:autoSpaceDN w:val="0"/>
        <w:adjustRightInd w:val="0"/>
        <w:snapToGrid w:val="0"/>
        <w:ind w:left="720"/>
        <w:jc w:val="both"/>
        <w:rPr>
          <w:rFonts w:eastAsia="Batang"/>
          <w:bCs/>
          <w:sz w:val="22"/>
          <w:szCs w:val="22"/>
          <w:lang w:eastAsia="ko-KR"/>
        </w:rPr>
      </w:pPr>
      <w:r w:rsidRPr="004635E5">
        <w:rPr>
          <w:rFonts w:eastAsia="Batang"/>
          <w:bCs/>
          <w:sz w:val="22"/>
          <w:szCs w:val="22"/>
          <w:lang w:eastAsia="ko-KR"/>
        </w:rPr>
        <w:t>S</w:t>
      </w:r>
      <w:r w:rsidR="009B24F3" w:rsidRPr="004635E5">
        <w:rPr>
          <w:rFonts w:eastAsia="Batang"/>
          <w:sz w:val="22"/>
          <w:szCs w:val="22"/>
          <w:lang w:eastAsia="ko-KR"/>
        </w:rPr>
        <w:t>tock projections were conducted using a two-gender projection model. The five stock projection scenarios were: (1) F status quo, (2) F</w:t>
      </w:r>
      <w:r w:rsidR="009B24F3" w:rsidRPr="004E1B05">
        <w:rPr>
          <w:rFonts w:eastAsia="Batang"/>
          <w:sz w:val="22"/>
          <w:szCs w:val="22"/>
          <w:vertAlign w:val="subscript"/>
          <w:lang w:eastAsia="ko-KR"/>
        </w:rPr>
        <w:t>MSY</w:t>
      </w:r>
      <w:r w:rsidR="009B24F3" w:rsidRPr="004635E5">
        <w:rPr>
          <w:rFonts w:eastAsia="Batang"/>
          <w:sz w:val="22"/>
          <w:szCs w:val="22"/>
          <w:lang w:eastAsia="ko-KR"/>
        </w:rPr>
        <w:t>, (3) F at 0.2*SSB</w:t>
      </w:r>
      <w:r w:rsidR="009B24F3" w:rsidRPr="004E1B05">
        <w:rPr>
          <w:rFonts w:eastAsia="Batang"/>
          <w:sz w:val="22"/>
          <w:szCs w:val="22"/>
          <w:vertAlign w:val="subscript"/>
          <w:lang w:eastAsia="ko-KR"/>
        </w:rPr>
        <w:t>F=0</w:t>
      </w:r>
      <w:r w:rsidR="009B24F3" w:rsidRPr="004635E5">
        <w:rPr>
          <w:rFonts w:eastAsia="Batang"/>
          <w:sz w:val="22"/>
          <w:szCs w:val="22"/>
          <w:lang w:eastAsia="ko-KR"/>
        </w:rPr>
        <w:t>, (4) F</w:t>
      </w:r>
      <w:r w:rsidR="009B24F3" w:rsidRPr="004E1B05">
        <w:rPr>
          <w:rFonts w:eastAsia="Batang"/>
          <w:sz w:val="22"/>
          <w:szCs w:val="22"/>
          <w:vertAlign w:val="subscript"/>
          <w:lang w:eastAsia="ko-KR"/>
        </w:rPr>
        <w:t>20%</w:t>
      </w:r>
      <w:r w:rsidR="009B24F3" w:rsidRPr="004635E5">
        <w:rPr>
          <w:rFonts w:eastAsia="Batang"/>
          <w:sz w:val="22"/>
          <w:szCs w:val="22"/>
          <w:lang w:eastAsia="ko-KR"/>
        </w:rPr>
        <w:t>, and (5) F</w:t>
      </w:r>
      <w:r w:rsidR="009B24F3" w:rsidRPr="004E1B05">
        <w:rPr>
          <w:rFonts w:eastAsia="Batang"/>
          <w:sz w:val="22"/>
          <w:szCs w:val="22"/>
          <w:vertAlign w:val="subscript"/>
          <w:lang w:eastAsia="ko-KR"/>
        </w:rPr>
        <w:t>50%</w:t>
      </w:r>
      <w:r w:rsidR="009B24F3" w:rsidRPr="004635E5">
        <w:rPr>
          <w:rFonts w:eastAsia="Batang"/>
          <w:sz w:val="22"/>
          <w:szCs w:val="22"/>
          <w:lang w:eastAsia="ko-KR"/>
        </w:rPr>
        <w:t xml:space="preserve"> (Figure </w:t>
      </w:r>
      <w:r w:rsidR="00C15D3F" w:rsidRPr="004635E5">
        <w:rPr>
          <w:rFonts w:eastAsia="Batang"/>
          <w:sz w:val="22"/>
          <w:szCs w:val="22"/>
          <w:lang w:eastAsia="ko-KR"/>
        </w:rPr>
        <w:t xml:space="preserve">NPS-5). </w:t>
      </w:r>
      <w:r w:rsidR="009B24F3" w:rsidRPr="004635E5">
        <w:rPr>
          <w:rFonts w:eastAsia="Batang"/>
          <w:sz w:val="22"/>
          <w:szCs w:val="22"/>
          <w:lang w:eastAsia="ko-KR"/>
        </w:rPr>
        <w:t>These projection scenarios were applied to the base case model results to evaluate the impact of alternative levels of fishing intensity on future spawning biomass and yield for swordfish in the Western and Central North Pacific Ocean. The projected recruitment pattern was generated by stochastically sampling the estimated stock-recruitment model from the base case model. The projection calculations employed model estimates for the multi-fleet, multi- season, size- and age-selectivity, and structural complexity in the assessment model to produce consistent results.</w:t>
      </w:r>
    </w:p>
    <w:p w14:paraId="5CB156B4" w14:textId="77777777" w:rsidR="000B0F63" w:rsidRPr="004635E5" w:rsidRDefault="000B0F63" w:rsidP="006633A8">
      <w:pPr>
        <w:autoSpaceDE w:val="0"/>
        <w:autoSpaceDN w:val="0"/>
        <w:adjustRightInd w:val="0"/>
        <w:snapToGrid w:val="0"/>
        <w:ind w:left="720"/>
        <w:jc w:val="both"/>
        <w:rPr>
          <w:rFonts w:eastAsia="Batang"/>
          <w:bCs/>
          <w:sz w:val="22"/>
          <w:szCs w:val="22"/>
          <w:lang w:eastAsia="ko-KR"/>
        </w:rPr>
      </w:pPr>
    </w:p>
    <w:p w14:paraId="1A58119B" w14:textId="77777777" w:rsidR="009B24F3" w:rsidRPr="004635E5" w:rsidRDefault="009B24F3" w:rsidP="006633A8">
      <w:pPr>
        <w:autoSpaceDE w:val="0"/>
        <w:autoSpaceDN w:val="0"/>
        <w:adjustRightInd w:val="0"/>
        <w:snapToGrid w:val="0"/>
        <w:ind w:left="720"/>
        <w:jc w:val="both"/>
        <w:rPr>
          <w:rFonts w:eastAsia="Batang"/>
          <w:bCs/>
          <w:sz w:val="22"/>
          <w:szCs w:val="22"/>
          <w:lang w:eastAsia="ko-KR"/>
        </w:rPr>
      </w:pPr>
      <w:r w:rsidRPr="004635E5">
        <w:rPr>
          <w:rFonts w:eastAsia="Batang"/>
          <w:bCs/>
          <w:sz w:val="22"/>
          <w:szCs w:val="22"/>
          <w:lang w:eastAsia="ko-KR"/>
        </w:rPr>
        <w:t>Based on these findings, the following conservation information is provided:</w:t>
      </w:r>
    </w:p>
    <w:p w14:paraId="3FA83576" w14:textId="77777777" w:rsidR="009B24F3" w:rsidRPr="004635E5" w:rsidRDefault="009B24F3" w:rsidP="00580EA4">
      <w:pPr>
        <w:pStyle w:val="ListParagraph"/>
        <w:numPr>
          <w:ilvl w:val="0"/>
          <w:numId w:val="40"/>
        </w:numPr>
        <w:adjustRightInd w:val="0"/>
        <w:snapToGrid w:val="0"/>
        <w:ind w:left="1540"/>
        <w:jc w:val="both"/>
        <w:rPr>
          <w:rFonts w:eastAsia="Batang"/>
          <w:b/>
          <w:sz w:val="22"/>
          <w:szCs w:val="22"/>
          <w:lang w:eastAsia="ko-KR"/>
        </w:rPr>
      </w:pPr>
      <w:r w:rsidRPr="004635E5">
        <w:rPr>
          <w:rFonts w:eastAsia="Batang"/>
          <w:b/>
          <w:sz w:val="22"/>
          <w:szCs w:val="22"/>
          <w:lang w:eastAsia="ko-KR"/>
        </w:rPr>
        <w:t>The results show that projected female spawning biomass is expected to remain above SSB</w:t>
      </w:r>
      <w:r w:rsidRPr="004635E5">
        <w:rPr>
          <w:rFonts w:eastAsia="Batang"/>
          <w:b/>
          <w:sz w:val="22"/>
          <w:szCs w:val="22"/>
          <w:vertAlign w:val="subscript"/>
          <w:lang w:eastAsia="ko-KR"/>
        </w:rPr>
        <w:t>MSY</w:t>
      </w:r>
      <w:r w:rsidRPr="004635E5">
        <w:rPr>
          <w:rFonts w:eastAsia="Batang"/>
          <w:b/>
          <w:sz w:val="22"/>
          <w:szCs w:val="22"/>
          <w:lang w:eastAsia="ko-KR"/>
        </w:rPr>
        <w:t xml:space="preserve"> under all of the harvest scenarios (Table </w:t>
      </w:r>
      <w:r w:rsidR="00C15D3F" w:rsidRPr="004635E5">
        <w:rPr>
          <w:rFonts w:eastAsia="Batang"/>
          <w:b/>
          <w:sz w:val="22"/>
          <w:szCs w:val="22"/>
          <w:lang w:eastAsia="ko-KR"/>
        </w:rPr>
        <w:t>NPS-3</w:t>
      </w:r>
      <w:r w:rsidRPr="004635E5">
        <w:rPr>
          <w:rFonts w:eastAsia="Batang"/>
          <w:b/>
          <w:sz w:val="22"/>
          <w:szCs w:val="22"/>
          <w:lang w:eastAsia="ko-KR"/>
        </w:rPr>
        <w:t xml:space="preserve"> and Figure </w:t>
      </w:r>
      <w:r w:rsidR="00C15D3F" w:rsidRPr="004635E5">
        <w:rPr>
          <w:rFonts w:eastAsia="Batang"/>
          <w:b/>
          <w:sz w:val="22"/>
          <w:szCs w:val="22"/>
          <w:lang w:eastAsia="ko-KR"/>
        </w:rPr>
        <w:t>NPS-5</w:t>
      </w:r>
      <w:r w:rsidRPr="004635E5">
        <w:rPr>
          <w:rFonts w:eastAsia="Batang"/>
          <w:b/>
          <w:sz w:val="22"/>
          <w:szCs w:val="22"/>
          <w:lang w:eastAsia="ko-KR"/>
        </w:rPr>
        <w:t>), with increases in spawning biomass expected under lower fishing mortality rates.</w:t>
      </w:r>
    </w:p>
    <w:p w14:paraId="3317B4A7" w14:textId="77777777" w:rsidR="009B24F3" w:rsidRPr="004635E5" w:rsidRDefault="009B24F3" w:rsidP="00580EA4">
      <w:pPr>
        <w:pStyle w:val="ListParagraph"/>
        <w:numPr>
          <w:ilvl w:val="0"/>
          <w:numId w:val="40"/>
        </w:numPr>
        <w:adjustRightInd w:val="0"/>
        <w:snapToGrid w:val="0"/>
        <w:ind w:left="1540"/>
        <w:jc w:val="both"/>
        <w:rPr>
          <w:rFonts w:eastAsia="Batang"/>
          <w:b/>
          <w:sz w:val="22"/>
          <w:szCs w:val="22"/>
          <w:lang w:eastAsia="ko-KR"/>
        </w:rPr>
      </w:pPr>
      <w:r w:rsidRPr="004635E5">
        <w:rPr>
          <w:rFonts w:eastAsia="Batang"/>
          <w:b/>
          <w:sz w:val="22"/>
          <w:szCs w:val="22"/>
          <w:lang w:eastAsia="ko-KR"/>
        </w:rPr>
        <w:t xml:space="preserve">Similarly, projected catch is expected to increase under each of the five harvest scenarios, with greater increases expected under higher fishing mortality rates (Table </w:t>
      </w:r>
      <w:r w:rsidR="00C15D3F" w:rsidRPr="004635E5">
        <w:rPr>
          <w:rFonts w:eastAsia="Batang"/>
          <w:b/>
          <w:sz w:val="22"/>
          <w:szCs w:val="22"/>
          <w:lang w:eastAsia="ko-KR"/>
        </w:rPr>
        <w:t>NPS-3</w:t>
      </w:r>
      <w:r w:rsidRPr="004635E5">
        <w:rPr>
          <w:rFonts w:eastAsia="Batang"/>
          <w:b/>
          <w:sz w:val="22"/>
          <w:szCs w:val="22"/>
          <w:lang w:eastAsia="ko-KR"/>
        </w:rPr>
        <w:t xml:space="preserve"> and Figure </w:t>
      </w:r>
      <w:r w:rsidR="00C15D3F" w:rsidRPr="004635E5">
        <w:rPr>
          <w:rFonts w:eastAsia="Batang"/>
          <w:b/>
          <w:sz w:val="22"/>
          <w:szCs w:val="22"/>
          <w:lang w:eastAsia="ko-KR"/>
        </w:rPr>
        <w:t>NPS-5</w:t>
      </w:r>
      <w:r w:rsidRPr="004635E5">
        <w:rPr>
          <w:rFonts w:eastAsia="Batang"/>
          <w:b/>
          <w:sz w:val="22"/>
          <w:szCs w:val="22"/>
          <w:lang w:eastAsia="ko-KR"/>
        </w:rPr>
        <w:t>).</w:t>
      </w:r>
    </w:p>
    <w:p w14:paraId="2F7A3AC5" w14:textId="77777777" w:rsidR="00C15D3F" w:rsidRPr="004635E5" w:rsidRDefault="00C15D3F" w:rsidP="006633A8">
      <w:pPr>
        <w:pStyle w:val="ListParagraph"/>
        <w:adjustRightInd w:val="0"/>
        <w:snapToGrid w:val="0"/>
        <w:ind w:left="1540"/>
        <w:jc w:val="both"/>
        <w:rPr>
          <w:rFonts w:eastAsia="Batang"/>
          <w:b/>
          <w:sz w:val="22"/>
          <w:szCs w:val="22"/>
          <w:lang w:eastAsia="ko-KR"/>
        </w:rPr>
      </w:pPr>
    </w:p>
    <w:p w14:paraId="7F2D51B5" w14:textId="77777777" w:rsidR="00C72994" w:rsidRPr="004635E5" w:rsidRDefault="00C72994" w:rsidP="006633A8">
      <w:pPr>
        <w:pStyle w:val="SCa"/>
        <w:spacing w:after="0"/>
        <w:ind w:left="720"/>
      </w:pPr>
      <w:r w:rsidRPr="004635E5">
        <w:t>Research needs</w:t>
      </w:r>
    </w:p>
    <w:p w14:paraId="08A48B29" w14:textId="77777777" w:rsidR="00BD29C2" w:rsidRDefault="00BD29C2" w:rsidP="006633A8">
      <w:pPr>
        <w:autoSpaceDE w:val="0"/>
        <w:autoSpaceDN w:val="0"/>
        <w:adjustRightInd w:val="0"/>
        <w:snapToGrid w:val="0"/>
        <w:ind w:left="720"/>
        <w:jc w:val="both"/>
        <w:rPr>
          <w:rFonts w:eastAsiaTheme="minorEastAsia"/>
          <w:sz w:val="22"/>
          <w:szCs w:val="22"/>
          <w:lang w:eastAsia="ko-KR"/>
        </w:rPr>
      </w:pPr>
    </w:p>
    <w:p w14:paraId="2B7B67DB" w14:textId="77777777" w:rsidR="00C72994" w:rsidRPr="004635E5" w:rsidRDefault="00C72994" w:rsidP="006633A8">
      <w:pPr>
        <w:autoSpaceDE w:val="0"/>
        <w:autoSpaceDN w:val="0"/>
        <w:adjustRightInd w:val="0"/>
        <w:snapToGrid w:val="0"/>
        <w:ind w:left="720"/>
        <w:jc w:val="both"/>
        <w:rPr>
          <w:rFonts w:eastAsia="Batang"/>
          <w:sz w:val="22"/>
          <w:szCs w:val="22"/>
          <w:lang w:val="en-NZ" w:eastAsia="ko-KR"/>
        </w:rPr>
      </w:pPr>
      <w:r w:rsidRPr="004635E5">
        <w:rPr>
          <w:sz w:val="22"/>
          <w:szCs w:val="22"/>
        </w:rPr>
        <w:t>The lack of sex-specific size composition data and the simplified treatment of the spatial structure of swordfish population dynamics remained as two important sources of uncertainty for this benchmark assessment</w:t>
      </w:r>
    </w:p>
    <w:p w14:paraId="384C0CBC" w14:textId="77777777" w:rsidR="000B0F63" w:rsidRPr="004635E5" w:rsidRDefault="000B0F63" w:rsidP="006633A8">
      <w:pPr>
        <w:pStyle w:val="ListParagraph"/>
        <w:adjustRightInd w:val="0"/>
        <w:snapToGrid w:val="0"/>
        <w:ind w:left="820"/>
        <w:jc w:val="both"/>
        <w:rPr>
          <w:rFonts w:eastAsia="Batang"/>
          <w:b/>
          <w:sz w:val="22"/>
          <w:szCs w:val="22"/>
          <w:lang w:eastAsia="ko-KR"/>
        </w:rPr>
      </w:pPr>
    </w:p>
    <w:p w14:paraId="58914969" w14:textId="77777777" w:rsidR="009B24F3" w:rsidRDefault="009B24F3" w:rsidP="006633A8">
      <w:pPr>
        <w:pStyle w:val="WCPFC"/>
        <w:numPr>
          <w:ilvl w:val="0"/>
          <w:numId w:val="0"/>
        </w:numPr>
        <w:adjustRightInd w:val="0"/>
        <w:spacing w:after="0"/>
        <w:ind w:left="360"/>
        <w:rPr>
          <w:rFonts w:cs="Times New Roman"/>
          <w:lang w:eastAsia="ko-KR"/>
        </w:rPr>
      </w:pPr>
      <w:r w:rsidRPr="004635E5">
        <w:rPr>
          <w:rFonts w:cs="Times New Roman"/>
          <w:b/>
        </w:rPr>
        <w:t xml:space="preserve">Table </w:t>
      </w:r>
      <w:r w:rsidR="00270656" w:rsidRPr="004635E5">
        <w:rPr>
          <w:rFonts w:cs="Times New Roman"/>
          <w:b/>
        </w:rPr>
        <w:t>NPS</w:t>
      </w:r>
      <w:r w:rsidR="00C15D3F" w:rsidRPr="004635E5">
        <w:rPr>
          <w:rFonts w:cs="Times New Roman"/>
          <w:b/>
        </w:rPr>
        <w:t>-1</w:t>
      </w:r>
      <w:r w:rsidRPr="004635E5">
        <w:rPr>
          <w:rFonts w:cs="Times New Roman"/>
        </w:rPr>
        <w:t>. Reported catch (</w:t>
      </w:r>
      <w:r w:rsidR="001245DB">
        <w:rPr>
          <w:rFonts w:cs="Times New Roman" w:hint="eastAsia"/>
          <w:lang w:eastAsia="ko-KR"/>
        </w:rPr>
        <w:t>m</w:t>
      </w:r>
      <w:r w:rsidRPr="004635E5">
        <w:rPr>
          <w:rFonts w:cs="Times New Roman"/>
        </w:rPr>
        <w:t>t) used in the stock assessment along with annual estimates of population biomass (age-1 and older, mt), female spawning biomass (mt), relative female spawning biomass (</w:t>
      </w:r>
      <w:r w:rsidRPr="004635E5">
        <w:rPr>
          <w:rFonts w:cs="Times New Roman"/>
          <w:i/>
        </w:rPr>
        <w:t>SSB/SSB</w:t>
      </w:r>
      <w:r w:rsidRPr="001245DB">
        <w:rPr>
          <w:rFonts w:cs="Times New Roman"/>
          <w:i/>
          <w:position w:val="-2"/>
          <w:vertAlign w:val="subscript"/>
        </w:rPr>
        <w:t>MSY</w:t>
      </w:r>
      <w:r w:rsidRPr="004635E5">
        <w:rPr>
          <w:rFonts w:cs="Times New Roman"/>
        </w:rPr>
        <w:t>), recruitment (thousands of age-0 fish), fishing mortality (average F, ages 1 to 10), relative fishing mortality (</w:t>
      </w:r>
      <w:r w:rsidRPr="004635E5">
        <w:rPr>
          <w:rFonts w:cs="Times New Roman"/>
          <w:i/>
        </w:rPr>
        <w:t>F/F</w:t>
      </w:r>
      <w:r w:rsidRPr="001245DB">
        <w:rPr>
          <w:rFonts w:cs="Times New Roman"/>
          <w:i/>
          <w:position w:val="-2"/>
          <w:vertAlign w:val="subscript"/>
        </w:rPr>
        <w:t>MSY</w:t>
      </w:r>
      <w:r w:rsidRPr="004635E5">
        <w:rPr>
          <w:rFonts w:cs="Times New Roman"/>
        </w:rPr>
        <w:t xml:space="preserve">), and spawning potential ratio of </w:t>
      </w:r>
      <w:r w:rsidR="001245DB" w:rsidRPr="00CA435B">
        <w:t xml:space="preserve">Western and Central North Pacific Ocean </w:t>
      </w:r>
      <w:r w:rsidRPr="004635E5">
        <w:rPr>
          <w:rFonts w:cs="Times New Roman"/>
        </w:rPr>
        <w:t>swordfish.</w:t>
      </w:r>
    </w:p>
    <w:tbl>
      <w:tblPr>
        <w:tblStyle w:val="PlainTable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749"/>
        <w:gridCol w:w="749"/>
        <w:gridCol w:w="749"/>
        <w:gridCol w:w="749"/>
        <w:gridCol w:w="749"/>
        <w:gridCol w:w="749"/>
        <w:gridCol w:w="749"/>
        <w:gridCol w:w="749"/>
        <w:gridCol w:w="749"/>
        <w:gridCol w:w="747"/>
      </w:tblGrid>
      <w:tr w:rsidR="001245DB" w:rsidRPr="001245DB" w14:paraId="7806DF32" w14:textId="77777777" w:rsidTr="002F7E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58BA1510" w14:textId="77777777" w:rsidR="001245DB" w:rsidRPr="001245DB" w:rsidRDefault="001245DB" w:rsidP="001245DB">
            <w:pPr>
              <w:adjustRightInd w:val="0"/>
              <w:snapToGrid w:val="0"/>
              <w:jc w:val="both"/>
              <w:rPr>
                <w:rFonts w:ascii="Times New Roman" w:hAnsi="Times New Roman" w:cs="Times New Roman"/>
                <w:b w:val="0"/>
                <w:sz w:val="18"/>
                <w:szCs w:val="18"/>
              </w:rPr>
            </w:pPr>
            <w:r w:rsidRPr="001245DB">
              <w:rPr>
                <w:rFonts w:ascii="Times New Roman" w:hAnsi="Times New Roman" w:cs="Times New Roman"/>
                <w:sz w:val="18"/>
                <w:szCs w:val="18"/>
              </w:rPr>
              <w:t>Year</w:t>
            </w:r>
          </w:p>
        </w:tc>
        <w:tc>
          <w:tcPr>
            <w:tcW w:w="391" w:type="pct"/>
            <w:shd w:val="clear" w:color="auto" w:fill="auto"/>
            <w:hideMark/>
          </w:tcPr>
          <w:p w14:paraId="75C6F16F" w14:textId="77777777"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2010</w:t>
            </w:r>
          </w:p>
        </w:tc>
        <w:tc>
          <w:tcPr>
            <w:tcW w:w="391" w:type="pct"/>
            <w:shd w:val="clear" w:color="auto" w:fill="auto"/>
            <w:hideMark/>
          </w:tcPr>
          <w:p w14:paraId="6C291B5E" w14:textId="77777777"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2011</w:t>
            </w:r>
          </w:p>
        </w:tc>
        <w:tc>
          <w:tcPr>
            <w:tcW w:w="391" w:type="pct"/>
            <w:shd w:val="clear" w:color="auto" w:fill="auto"/>
            <w:hideMark/>
          </w:tcPr>
          <w:p w14:paraId="000BE2A8" w14:textId="77777777"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2012</w:t>
            </w:r>
          </w:p>
        </w:tc>
        <w:tc>
          <w:tcPr>
            <w:tcW w:w="391" w:type="pct"/>
            <w:shd w:val="clear" w:color="auto" w:fill="auto"/>
            <w:hideMark/>
          </w:tcPr>
          <w:p w14:paraId="63030419" w14:textId="77777777"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2013</w:t>
            </w:r>
          </w:p>
        </w:tc>
        <w:tc>
          <w:tcPr>
            <w:tcW w:w="391" w:type="pct"/>
            <w:shd w:val="clear" w:color="auto" w:fill="auto"/>
            <w:hideMark/>
          </w:tcPr>
          <w:p w14:paraId="05C10E5A" w14:textId="77777777"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2014</w:t>
            </w:r>
          </w:p>
        </w:tc>
        <w:tc>
          <w:tcPr>
            <w:tcW w:w="391" w:type="pct"/>
            <w:shd w:val="clear" w:color="auto" w:fill="auto"/>
            <w:hideMark/>
          </w:tcPr>
          <w:p w14:paraId="5A503696" w14:textId="77777777"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2015</w:t>
            </w:r>
          </w:p>
        </w:tc>
        <w:tc>
          <w:tcPr>
            <w:tcW w:w="391" w:type="pct"/>
            <w:shd w:val="clear" w:color="auto" w:fill="auto"/>
            <w:hideMark/>
          </w:tcPr>
          <w:p w14:paraId="524AF28E" w14:textId="77777777"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2016</w:t>
            </w:r>
          </w:p>
        </w:tc>
        <w:tc>
          <w:tcPr>
            <w:tcW w:w="391" w:type="pct"/>
            <w:shd w:val="clear" w:color="auto" w:fill="auto"/>
            <w:hideMark/>
          </w:tcPr>
          <w:p w14:paraId="2048182A" w14:textId="77777777"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Mean</w:t>
            </w:r>
            <w:r w:rsidRPr="001245DB">
              <w:rPr>
                <w:rFonts w:ascii="Times New Roman" w:hAnsi="Times New Roman" w:cs="Times New Roman"/>
                <w:sz w:val="18"/>
                <w:szCs w:val="18"/>
                <w:vertAlign w:val="superscript"/>
              </w:rPr>
              <w:t>1</w:t>
            </w:r>
          </w:p>
        </w:tc>
        <w:tc>
          <w:tcPr>
            <w:tcW w:w="391" w:type="pct"/>
            <w:shd w:val="clear" w:color="auto" w:fill="auto"/>
            <w:hideMark/>
          </w:tcPr>
          <w:p w14:paraId="08D3D04A" w14:textId="77777777"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Min</w:t>
            </w:r>
            <w:r w:rsidRPr="001245DB">
              <w:rPr>
                <w:rFonts w:ascii="Times New Roman" w:hAnsi="Times New Roman" w:cs="Times New Roman"/>
                <w:sz w:val="18"/>
                <w:szCs w:val="18"/>
                <w:vertAlign w:val="superscript"/>
              </w:rPr>
              <w:t>1</w:t>
            </w:r>
          </w:p>
        </w:tc>
        <w:tc>
          <w:tcPr>
            <w:tcW w:w="390" w:type="pct"/>
            <w:shd w:val="clear" w:color="auto" w:fill="auto"/>
            <w:hideMark/>
          </w:tcPr>
          <w:p w14:paraId="40EA4FDE" w14:textId="77777777"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Max</w:t>
            </w:r>
            <w:r w:rsidRPr="001245DB">
              <w:rPr>
                <w:rFonts w:ascii="Times New Roman" w:hAnsi="Times New Roman" w:cs="Times New Roman"/>
                <w:sz w:val="18"/>
                <w:szCs w:val="18"/>
                <w:vertAlign w:val="superscript"/>
              </w:rPr>
              <w:t>1</w:t>
            </w:r>
          </w:p>
        </w:tc>
      </w:tr>
      <w:tr w:rsidR="001245DB" w:rsidRPr="001245DB" w14:paraId="44F9D989" w14:textId="77777777" w:rsidTr="002F7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3AAD826B" w14:textId="77777777"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Reported Catch</w:t>
            </w:r>
          </w:p>
        </w:tc>
        <w:tc>
          <w:tcPr>
            <w:tcW w:w="391" w:type="pct"/>
            <w:shd w:val="clear" w:color="auto" w:fill="auto"/>
            <w:hideMark/>
          </w:tcPr>
          <w:p w14:paraId="2D710316"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12,716</w:t>
            </w:r>
          </w:p>
        </w:tc>
        <w:tc>
          <w:tcPr>
            <w:tcW w:w="391" w:type="pct"/>
            <w:shd w:val="clear" w:color="auto" w:fill="auto"/>
            <w:hideMark/>
          </w:tcPr>
          <w:p w14:paraId="63903004"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9,971</w:t>
            </w:r>
          </w:p>
        </w:tc>
        <w:tc>
          <w:tcPr>
            <w:tcW w:w="391" w:type="pct"/>
            <w:shd w:val="clear" w:color="auto" w:fill="auto"/>
            <w:hideMark/>
          </w:tcPr>
          <w:p w14:paraId="2D8EFF2B"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10,608</w:t>
            </w:r>
          </w:p>
        </w:tc>
        <w:tc>
          <w:tcPr>
            <w:tcW w:w="391" w:type="pct"/>
            <w:shd w:val="clear" w:color="auto" w:fill="auto"/>
            <w:hideMark/>
          </w:tcPr>
          <w:p w14:paraId="61DFD5CF"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9,241</w:t>
            </w:r>
          </w:p>
        </w:tc>
        <w:tc>
          <w:tcPr>
            <w:tcW w:w="391" w:type="pct"/>
            <w:shd w:val="clear" w:color="auto" w:fill="auto"/>
            <w:hideMark/>
          </w:tcPr>
          <w:p w14:paraId="631A4116"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9,211</w:t>
            </w:r>
          </w:p>
        </w:tc>
        <w:tc>
          <w:tcPr>
            <w:tcW w:w="391" w:type="pct"/>
            <w:shd w:val="clear" w:color="auto" w:fill="auto"/>
            <w:hideMark/>
          </w:tcPr>
          <w:p w14:paraId="013FCF80"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11,672</w:t>
            </w:r>
          </w:p>
        </w:tc>
        <w:tc>
          <w:tcPr>
            <w:tcW w:w="391" w:type="pct"/>
            <w:shd w:val="clear" w:color="auto" w:fill="auto"/>
            <w:hideMark/>
          </w:tcPr>
          <w:p w14:paraId="08080133"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10,068</w:t>
            </w:r>
          </w:p>
        </w:tc>
        <w:tc>
          <w:tcPr>
            <w:tcW w:w="391" w:type="pct"/>
            <w:shd w:val="clear" w:color="auto" w:fill="auto"/>
            <w:hideMark/>
          </w:tcPr>
          <w:p w14:paraId="3622AEA3"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12,863</w:t>
            </w:r>
          </w:p>
        </w:tc>
        <w:tc>
          <w:tcPr>
            <w:tcW w:w="391" w:type="pct"/>
            <w:shd w:val="clear" w:color="auto" w:fill="auto"/>
            <w:hideMark/>
          </w:tcPr>
          <w:p w14:paraId="6B926F87"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9,211</w:t>
            </w:r>
          </w:p>
        </w:tc>
        <w:tc>
          <w:tcPr>
            <w:tcW w:w="390" w:type="pct"/>
            <w:shd w:val="clear" w:color="auto" w:fill="auto"/>
            <w:hideMark/>
          </w:tcPr>
          <w:p w14:paraId="6BCD7B23"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17,793</w:t>
            </w:r>
          </w:p>
        </w:tc>
      </w:tr>
      <w:tr w:rsidR="001245DB" w:rsidRPr="001245DB" w14:paraId="329560CE" w14:textId="77777777" w:rsidTr="002F7E92">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401B454B" w14:textId="77777777"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Population Biomass</w:t>
            </w:r>
          </w:p>
        </w:tc>
        <w:tc>
          <w:tcPr>
            <w:tcW w:w="391" w:type="pct"/>
            <w:shd w:val="clear" w:color="auto" w:fill="auto"/>
          </w:tcPr>
          <w:p w14:paraId="713E36FE"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66,417</w:t>
            </w:r>
          </w:p>
        </w:tc>
        <w:tc>
          <w:tcPr>
            <w:tcW w:w="391" w:type="pct"/>
            <w:shd w:val="clear" w:color="auto" w:fill="auto"/>
          </w:tcPr>
          <w:p w14:paraId="7AD0ABED"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sz w:val="18"/>
                <w:szCs w:val="18"/>
              </w:rPr>
              <w:t>66,087</w:t>
            </w:r>
          </w:p>
        </w:tc>
        <w:tc>
          <w:tcPr>
            <w:tcW w:w="391" w:type="pct"/>
            <w:shd w:val="clear" w:color="auto" w:fill="auto"/>
          </w:tcPr>
          <w:p w14:paraId="32609477"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sz w:val="18"/>
                <w:szCs w:val="18"/>
              </w:rPr>
              <w:t>68,117</w:t>
            </w:r>
          </w:p>
        </w:tc>
        <w:tc>
          <w:tcPr>
            <w:tcW w:w="391" w:type="pct"/>
            <w:shd w:val="clear" w:color="auto" w:fill="auto"/>
          </w:tcPr>
          <w:p w14:paraId="3E2C6C54"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sz w:val="18"/>
                <w:szCs w:val="18"/>
              </w:rPr>
              <w:t>67,885</w:t>
            </w:r>
          </w:p>
        </w:tc>
        <w:tc>
          <w:tcPr>
            <w:tcW w:w="391" w:type="pct"/>
            <w:shd w:val="clear" w:color="auto" w:fill="auto"/>
          </w:tcPr>
          <w:p w14:paraId="494496DA"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sz w:val="18"/>
                <w:szCs w:val="18"/>
              </w:rPr>
              <w:t>69,560</w:t>
            </w:r>
          </w:p>
        </w:tc>
        <w:tc>
          <w:tcPr>
            <w:tcW w:w="391" w:type="pct"/>
            <w:shd w:val="clear" w:color="auto" w:fill="auto"/>
          </w:tcPr>
          <w:p w14:paraId="675BF5D8"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sz w:val="18"/>
                <w:szCs w:val="18"/>
              </w:rPr>
              <w:t>71,951</w:t>
            </w:r>
          </w:p>
        </w:tc>
        <w:tc>
          <w:tcPr>
            <w:tcW w:w="391" w:type="pct"/>
            <w:shd w:val="clear" w:color="auto" w:fill="auto"/>
          </w:tcPr>
          <w:p w14:paraId="4DF358B4"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sz w:val="18"/>
                <w:szCs w:val="18"/>
              </w:rPr>
              <w:t>71,979</w:t>
            </w:r>
          </w:p>
        </w:tc>
        <w:tc>
          <w:tcPr>
            <w:tcW w:w="391" w:type="pct"/>
            <w:shd w:val="clear" w:color="auto" w:fill="auto"/>
          </w:tcPr>
          <w:p w14:paraId="0B9EC730"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67,487</w:t>
            </w:r>
          </w:p>
        </w:tc>
        <w:tc>
          <w:tcPr>
            <w:tcW w:w="391" w:type="pct"/>
            <w:shd w:val="clear" w:color="auto" w:fill="auto"/>
          </w:tcPr>
          <w:p w14:paraId="654C2F16"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sz w:val="18"/>
                <w:szCs w:val="18"/>
              </w:rPr>
              <w:t>51,856</w:t>
            </w:r>
          </w:p>
        </w:tc>
        <w:tc>
          <w:tcPr>
            <w:tcW w:w="390" w:type="pct"/>
            <w:shd w:val="clear" w:color="auto" w:fill="auto"/>
          </w:tcPr>
          <w:p w14:paraId="36B7571A"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97,919</w:t>
            </w:r>
          </w:p>
        </w:tc>
      </w:tr>
      <w:tr w:rsidR="001245DB" w:rsidRPr="001245DB" w14:paraId="494E1093" w14:textId="77777777" w:rsidTr="002F7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27AF88F1" w14:textId="77777777"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Spawning Biomass</w:t>
            </w:r>
          </w:p>
        </w:tc>
        <w:tc>
          <w:tcPr>
            <w:tcW w:w="391" w:type="pct"/>
            <w:shd w:val="clear" w:color="auto" w:fill="auto"/>
            <w:hideMark/>
          </w:tcPr>
          <w:p w14:paraId="142551AE"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26,136</w:t>
            </w:r>
          </w:p>
        </w:tc>
        <w:tc>
          <w:tcPr>
            <w:tcW w:w="391" w:type="pct"/>
            <w:shd w:val="clear" w:color="auto" w:fill="auto"/>
            <w:hideMark/>
          </w:tcPr>
          <w:p w14:paraId="76BB48AA"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26,448</w:t>
            </w:r>
          </w:p>
        </w:tc>
        <w:tc>
          <w:tcPr>
            <w:tcW w:w="391" w:type="pct"/>
            <w:shd w:val="clear" w:color="auto" w:fill="auto"/>
            <w:hideMark/>
          </w:tcPr>
          <w:p w14:paraId="09DF9467"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26,569</w:t>
            </w:r>
          </w:p>
        </w:tc>
        <w:tc>
          <w:tcPr>
            <w:tcW w:w="391" w:type="pct"/>
            <w:shd w:val="clear" w:color="auto" w:fill="auto"/>
            <w:hideMark/>
          </w:tcPr>
          <w:p w14:paraId="614CE398"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27,546</w:t>
            </w:r>
          </w:p>
        </w:tc>
        <w:tc>
          <w:tcPr>
            <w:tcW w:w="391" w:type="pct"/>
            <w:shd w:val="clear" w:color="auto" w:fill="auto"/>
            <w:hideMark/>
          </w:tcPr>
          <w:p w14:paraId="5DC4368D"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28,580</w:t>
            </w:r>
          </w:p>
        </w:tc>
        <w:tc>
          <w:tcPr>
            <w:tcW w:w="391" w:type="pct"/>
            <w:shd w:val="clear" w:color="auto" w:fill="auto"/>
            <w:hideMark/>
          </w:tcPr>
          <w:p w14:paraId="4B6DB47C"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28,865</w:t>
            </w:r>
          </w:p>
        </w:tc>
        <w:tc>
          <w:tcPr>
            <w:tcW w:w="391" w:type="pct"/>
            <w:shd w:val="clear" w:color="auto" w:fill="auto"/>
            <w:hideMark/>
          </w:tcPr>
          <w:p w14:paraId="4AB1DD27"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29,404</w:t>
            </w:r>
          </w:p>
        </w:tc>
        <w:tc>
          <w:tcPr>
            <w:tcW w:w="391" w:type="pct"/>
            <w:shd w:val="clear" w:color="auto" w:fill="auto"/>
            <w:hideMark/>
          </w:tcPr>
          <w:p w14:paraId="247DEE6C"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24,442</w:t>
            </w:r>
          </w:p>
        </w:tc>
        <w:tc>
          <w:tcPr>
            <w:tcW w:w="391" w:type="pct"/>
            <w:shd w:val="clear" w:color="auto" w:fill="auto"/>
            <w:hideMark/>
          </w:tcPr>
          <w:p w14:paraId="0E306321"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17,191</w:t>
            </w:r>
          </w:p>
        </w:tc>
        <w:tc>
          <w:tcPr>
            <w:tcW w:w="390" w:type="pct"/>
            <w:shd w:val="clear" w:color="auto" w:fill="auto"/>
            <w:hideMark/>
          </w:tcPr>
          <w:p w14:paraId="71579DCF"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44,100</w:t>
            </w:r>
          </w:p>
        </w:tc>
      </w:tr>
      <w:tr w:rsidR="001245DB" w:rsidRPr="001245DB" w14:paraId="2F161032" w14:textId="77777777" w:rsidTr="002F7E92">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52DEB357" w14:textId="77777777"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Relative Spawning Biomass</w:t>
            </w:r>
          </w:p>
        </w:tc>
        <w:tc>
          <w:tcPr>
            <w:tcW w:w="391" w:type="pct"/>
            <w:shd w:val="clear" w:color="auto" w:fill="auto"/>
            <w:hideMark/>
          </w:tcPr>
          <w:p w14:paraId="4492E593"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1.66</w:t>
            </w:r>
          </w:p>
        </w:tc>
        <w:tc>
          <w:tcPr>
            <w:tcW w:w="391" w:type="pct"/>
            <w:shd w:val="clear" w:color="auto" w:fill="auto"/>
            <w:hideMark/>
          </w:tcPr>
          <w:p w14:paraId="527E117E"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1.68</w:t>
            </w:r>
          </w:p>
        </w:tc>
        <w:tc>
          <w:tcPr>
            <w:tcW w:w="391" w:type="pct"/>
            <w:shd w:val="clear" w:color="auto" w:fill="auto"/>
            <w:hideMark/>
          </w:tcPr>
          <w:p w14:paraId="4971E77D"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1.69</w:t>
            </w:r>
          </w:p>
        </w:tc>
        <w:tc>
          <w:tcPr>
            <w:tcW w:w="391" w:type="pct"/>
            <w:shd w:val="clear" w:color="auto" w:fill="auto"/>
            <w:hideMark/>
          </w:tcPr>
          <w:p w14:paraId="31CA82A6"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1.75</w:t>
            </w:r>
          </w:p>
        </w:tc>
        <w:tc>
          <w:tcPr>
            <w:tcW w:w="391" w:type="pct"/>
            <w:shd w:val="clear" w:color="auto" w:fill="auto"/>
            <w:hideMark/>
          </w:tcPr>
          <w:p w14:paraId="4102E4C9"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1.82</w:t>
            </w:r>
          </w:p>
        </w:tc>
        <w:tc>
          <w:tcPr>
            <w:tcW w:w="391" w:type="pct"/>
            <w:shd w:val="clear" w:color="auto" w:fill="auto"/>
            <w:hideMark/>
          </w:tcPr>
          <w:p w14:paraId="270FBBA0"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1.84</w:t>
            </w:r>
          </w:p>
        </w:tc>
        <w:tc>
          <w:tcPr>
            <w:tcW w:w="391" w:type="pct"/>
            <w:shd w:val="clear" w:color="auto" w:fill="auto"/>
            <w:hideMark/>
          </w:tcPr>
          <w:p w14:paraId="219DC357"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1.87</w:t>
            </w:r>
          </w:p>
        </w:tc>
        <w:tc>
          <w:tcPr>
            <w:tcW w:w="391" w:type="pct"/>
            <w:shd w:val="clear" w:color="auto" w:fill="auto"/>
            <w:hideMark/>
          </w:tcPr>
          <w:p w14:paraId="3C5BAEC2"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1.56</w:t>
            </w:r>
          </w:p>
        </w:tc>
        <w:tc>
          <w:tcPr>
            <w:tcW w:w="391" w:type="pct"/>
            <w:shd w:val="clear" w:color="auto" w:fill="auto"/>
            <w:hideMark/>
          </w:tcPr>
          <w:p w14:paraId="244C0D43"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1.09</w:t>
            </w:r>
          </w:p>
        </w:tc>
        <w:tc>
          <w:tcPr>
            <w:tcW w:w="390" w:type="pct"/>
            <w:shd w:val="clear" w:color="auto" w:fill="auto"/>
            <w:hideMark/>
          </w:tcPr>
          <w:p w14:paraId="14A59371"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2.81</w:t>
            </w:r>
          </w:p>
        </w:tc>
      </w:tr>
      <w:tr w:rsidR="001245DB" w:rsidRPr="001245DB" w14:paraId="2EF497E8" w14:textId="77777777" w:rsidTr="002F7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7C782634" w14:textId="77777777"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Recruitment (age 0)</w:t>
            </w:r>
          </w:p>
        </w:tc>
        <w:tc>
          <w:tcPr>
            <w:tcW w:w="391" w:type="pct"/>
            <w:shd w:val="clear" w:color="auto" w:fill="auto"/>
            <w:hideMark/>
          </w:tcPr>
          <w:p w14:paraId="285E8324"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789</w:t>
            </w:r>
          </w:p>
        </w:tc>
        <w:tc>
          <w:tcPr>
            <w:tcW w:w="391" w:type="pct"/>
            <w:shd w:val="clear" w:color="auto" w:fill="auto"/>
            <w:hideMark/>
          </w:tcPr>
          <w:p w14:paraId="4CD9C56F"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565</w:t>
            </w:r>
          </w:p>
        </w:tc>
        <w:tc>
          <w:tcPr>
            <w:tcW w:w="391" w:type="pct"/>
            <w:shd w:val="clear" w:color="auto" w:fill="auto"/>
            <w:hideMark/>
          </w:tcPr>
          <w:p w14:paraId="5978067E"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671</w:t>
            </w:r>
          </w:p>
        </w:tc>
        <w:tc>
          <w:tcPr>
            <w:tcW w:w="391" w:type="pct"/>
            <w:shd w:val="clear" w:color="auto" w:fill="auto"/>
            <w:hideMark/>
          </w:tcPr>
          <w:p w14:paraId="6C9E0170"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710</w:t>
            </w:r>
          </w:p>
        </w:tc>
        <w:tc>
          <w:tcPr>
            <w:tcW w:w="391" w:type="pct"/>
            <w:shd w:val="clear" w:color="auto" w:fill="auto"/>
            <w:hideMark/>
          </w:tcPr>
          <w:p w14:paraId="04AA1496"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683</w:t>
            </w:r>
          </w:p>
        </w:tc>
        <w:tc>
          <w:tcPr>
            <w:tcW w:w="391" w:type="pct"/>
            <w:shd w:val="clear" w:color="auto" w:fill="auto"/>
            <w:hideMark/>
          </w:tcPr>
          <w:p w14:paraId="0BE46B61"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742</w:t>
            </w:r>
          </w:p>
        </w:tc>
        <w:tc>
          <w:tcPr>
            <w:tcW w:w="391" w:type="pct"/>
            <w:shd w:val="clear" w:color="auto" w:fill="auto"/>
            <w:hideMark/>
          </w:tcPr>
          <w:p w14:paraId="54F81425"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781</w:t>
            </w:r>
          </w:p>
        </w:tc>
        <w:tc>
          <w:tcPr>
            <w:tcW w:w="391" w:type="pct"/>
            <w:shd w:val="clear" w:color="auto" w:fill="auto"/>
            <w:hideMark/>
          </w:tcPr>
          <w:p w14:paraId="4C29BA37"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761</w:t>
            </w:r>
          </w:p>
        </w:tc>
        <w:tc>
          <w:tcPr>
            <w:tcW w:w="391" w:type="pct"/>
            <w:shd w:val="clear" w:color="auto" w:fill="auto"/>
            <w:hideMark/>
          </w:tcPr>
          <w:p w14:paraId="77D9A399"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401</w:t>
            </w:r>
          </w:p>
        </w:tc>
        <w:tc>
          <w:tcPr>
            <w:tcW w:w="390" w:type="pct"/>
            <w:shd w:val="clear" w:color="auto" w:fill="auto"/>
            <w:hideMark/>
          </w:tcPr>
          <w:p w14:paraId="736619B1"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1241</w:t>
            </w:r>
          </w:p>
        </w:tc>
      </w:tr>
      <w:tr w:rsidR="001245DB" w:rsidRPr="001245DB" w14:paraId="293E7A5C" w14:textId="77777777" w:rsidTr="002F7E92">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78747BD1" w14:textId="77777777"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Fishing Mortality</w:t>
            </w:r>
          </w:p>
        </w:tc>
        <w:tc>
          <w:tcPr>
            <w:tcW w:w="391" w:type="pct"/>
            <w:shd w:val="clear" w:color="auto" w:fill="auto"/>
            <w:noWrap/>
            <w:hideMark/>
          </w:tcPr>
          <w:p w14:paraId="27BEE748"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0.10</w:t>
            </w:r>
          </w:p>
        </w:tc>
        <w:tc>
          <w:tcPr>
            <w:tcW w:w="391" w:type="pct"/>
            <w:shd w:val="clear" w:color="auto" w:fill="auto"/>
            <w:noWrap/>
            <w:hideMark/>
          </w:tcPr>
          <w:p w14:paraId="61BB6D6D"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0.08</w:t>
            </w:r>
          </w:p>
        </w:tc>
        <w:tc>
          <w:tcPr>
            <w:tcW w:w="391" w:type="pct"/>
            <w:shd w:val="clear" w:color="auto" w:fill="auto"/>
            <w:noWrap/>
            <w:hideMark/>
          </w:tcPr>
          <w:p w14:paraId="6E61D83E"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0.09</w:t>
            </w:r>
          </w:p>
        </w:tc>
        <w:tc>
          <w:tcPr>
            <w:tcW w:w="391" w:type="pct"/>
            <w:shd w:val="clear" w:color="auto" w:fill="auto"/>
            <w:noWrap/>
            <w:hideMark/>
          </w:tcPr>
          <w:p w14:paraId="3AB1C712"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0.07</w:t>
            </w:r>
          </w:p>
        </w:tc>
        <w:tc>
          <w:tcPr>
            <w:tcW w:w="391" w:type="pct"/>
            <w:shd w:val="clear" w:color="auto" w:fill="auto"/>
            <w:noWrap/>
            <w:hideMark/>
          </w:tcPr>
          <w:p w14:paraId="512EE3D1"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0.07</w:t>
            </w:r>
          </w:p>
        </w:tc>
        <w:tc>
          <w:tcPr>
            <w:tcW w:w="391" w:type="pct"/>
            <w:shd w:val="clear" w:color="auto" w:fill="auto"/>
            <w:noWrap/>
            <w:hideMark/>
          </w:tcPr>
          <w:p w14:paraId="0EE6A072"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0.09</w:t>
            </w:r>
          </w:p>
        </w:tc>
        <w:tc>
          <w:tcPr>
            <w:tcW w:w="391" w:type="pct"/>
            <w:shd w:val="clear" w:color="auto" w:fill="auto"/>
            <w:noWrap/>
            <w:hideMark/>
          </w:tcPr>
          <w:p w14:paraId="40A5EEE2"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0.07</w:t>
            </w:r>
          </w:p>
        </w:tc>
        <w:tc>
          <w:tcPr>
            <w:tcW w:w="391" w:type="pct"/>
            <w:shd w:val="clear" w:color="auto" w:fill="auto"/>
            <w:hideMark/>
          </w:tcPr>
          <w:p w14:paraId="38CA3A28"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0.12</w:t>
            </w:r>
          </w:p>
        </w:tc>
        <w:tc>
          <w:tcPr>
            <w:tcW w:w="391" w:type="pct"/>
            <w:shd w:val="clear" w:color="auto" w:fill="auto"/>
            <w:hideMark/>
          </w:tcPr>
          <w:p w14:paraId="4125D325"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0.07</w:t>
            </w:r>
          </w:p>
        </w:tc>
        <w:tc>
          <w:tcPr>
            <w:tcW w:w="390" w:type="pct"/>
            <w:shd w:val="clear" w:color="auto" w:fill="auto"/>
            <w:hideMark/>
          </w:tcPr>
          <w:p w14:paraId="6321F846"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0.18</w:t>
            </w:r>
          </w:p>
        </w:tc>
      </w:tr>
      <w:tr w:rsidR="001245DB" w:rsidRPr="001245DB" w14:paraId="1457206B" w14:textId="77777777" w:rsidTr="002F7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5CE8E899" w14:textId="77777777"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Relative Fishing Mortality</w:t>
            </w:r>
          </w:p>
        </w:tc>
        <w:tc>
          <w:tcPr>
            <w:tcW w:w="391" w:type="pct"/>
            <w:shd w:val="clear" w:color="auto" w:fill="auto"/>
            <w:noWrap/>
            <w:hideMark/>
          </w:tcPr>
          <w:p w14:paraId="6E3012DE"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0.57</w:t>
            </w:r>
          </w:p>
        </w:tc>
        <w:tc>
          <w:tcPr>
            <w:tcW w:w="391" w:type="pct"/>
            <w:shd w:val="clear" w:color="auto" w:fill="auto"/>
            <w:noWrap/>
            <w:hideMark/>
          </w:tcPr>
          <w:p w14:paraId="4550ADF5"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0.46</w:t>
            </w:r>
          </w:p>
        </w:tc>
        <w:tc>
          <w:tcPr>
            <w:tcW w:w="391" w:type="pct"/>
            <w:shd w:val="clear" w:color="auto" w:fill="auto"/>
            <w:noWrap/>
            <w:hideMark/>
          </w:tcPr>
          <w:p w14:paraId="432E6BA4"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0.51</w:t>
            </w:r>
          </w:p>
        </w:tc>
        <w:tc>
          <w:tcPr>
            <w:tcW w:w="391" w:type="pct"/>
            <w:shd w:val="clear" w:color="auto" w:fill="auto"/>
            <w:noWrap/>
            <w:hideMark/>
          </w:tcPr>
          <w:p w14:paraId="66E45209"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0.44</w:t>
            </w:r>
          </w:p>
        </w:tc>
        <w:tc>
          <w:tcPr>
            <w:tcW w:w="391" w:type="pct"/>
            <w:shd w:val="clear" w:color="auto" w:fill="auto"/>
            <w:noWrap/>
            <w:hideMark/>
          </w:tcPr>
          <w:p w14:paraId="602C0CD8"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0.40</w:t>
            </w:r>
          </w:p>
        </w:tc>
        <w:tc>
          <w:tcPr>
            <w:tcW w:w="391" w:type="pct"/>
            <w:shd w:val="clear" w:color="auto" w:fill="auto"/>
            <w:noWrap/>
            <w:hideMark/>
          </w:tcPr>
          <w:p w14:paraId="14F591B0"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0.51</w:t>
            </w:r>
          </w:p>
        </w:tc>
        <w:tc>
          <w:tcPr>
            <w:tcW w:w="391" w:type="pct"/>
            <w:shd w:val="clear" w:color="auto" w:fill="auto"/>
            <w:noWrap/>
            <w:hideMark/>
          </w:tcPr>
          <w:p w14:paraId="2BE2D0E6"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0.44</w:t>
            </w:r>
          </w:p>
        </w:tc>
        <w:tc>
          <w:tcPr>
            <w:tcW w:w="391" w:type="pct"/>
            <w:shd w:val="clear" w:color="auto" w:fill="auto"/>
            <w:hideMark/>
          </w:tcPr>
          <w:p w14:paraId="3774D7BB"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0.72</w:t>
            </w:r>
          </w:p>
        </w:tc>
        <w:tc>
          <w:tcPr>
            <w:tcW w:w="391" w:type="pct"/>
            <w:shd w:val="clear" w:color="auto" w:fill="auto"/>
            <w:hideMark/>
          </w:tcPr>
          <w:p w14:paraId="1884E20D"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0.40</w:t>
            </w:r>
          </w:p>
        </w:tc>
        <w:tc>
          <w:tcPr>
            <w:tcW w:w="390" w:type="pct"/>
            <w:shd w:val="clear" w:color="auto" w:fill="auto"/>
            <w:hideMark/>
          </w:tcPr>
          <w:p w14:paraId="3CE0BA48" w14:textId="77777777"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1.05</w:t>
            </w:r>
          </w:p>
        </w:tc>
      </w:tr>
      <w:tr w:rsidR="001245DB" w:rsidRPr="001245DB" w14:paraId="539AF3C9" w14:textId="77777777" w:rsidTr="002F7E92">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6D836E8D" w14:textId="77777777"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Spawning Potential Ratio</w:t>
            </w:r>
          </w:p>
        </w:tc>
        <w:tc>
          <w:tcPr>
            <w:tcW w:w="391" w:type="pct"/>
            <w:shd w:val="clear" w:color="auto" w:fill="auto"/>
            <w:noWrap/>
            <w:hideMark/>
          </w:tcPr>
          <w:p w14:paraId="66351493"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38%</w:t>
            </w:r>
          </w:p>
        </w:tc>
        <w:tc>
          <w:tcPr>
            <w:tcW w:w="391" w:type="pct"/>
            <w:shd w:val="clear" w:color="auto" w:fill="auto"/>
            <w:noWrap/>
            <w:hideMark/>
          </w:tcPr>
          <w:p w14:paraId="1D634743"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41%</w:t>
            </w:r>
          </w:p>
        </w:tc>
        <w:tc>
          <w:tcPr>
            <w:tcW w:w="391" w:type="pct"/>
            <w:shd w:val="clear" w:color="auto" w:fill="auto"/>
            <w:noWrap/>
            <w:hideMark/>
          </w:tcPr>
          <w:p w14:paraId="04B1927C"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39%</w:t>
            </w:r>
          </w:p>
        </w:tc>
        <w:tc>
          <w:tcPr>
            <w:tcW w:w="391" w:type="pct"/>
            <w:shd w:val="clear" w:color="auto" w:fill="auto"/>
            <w:noWrap/>
            <w:hideMark/>
          </w:tcPr>
          <w:p w14:paraId="2B4D5AEB"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45%</w:t>
            </w:r>
          </w:p>
        </w:tc>
        <w:tc>
          <w:tcPr>
            <w:tcW w:w="391" w:type="pct"/>
            <w:shd w:val="clear" w:color="auto" w:fill="auto"/>
            <w:noWrap/>
            <w:hideMark/>
          </w:tcPr>
          <w:p w14:paraId="51A5A1DE"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47%</w:t>
            </w:r>
          </w:p>
        </w:tc>
        <w:tc>
          <w:tcPr>
            <w:tcW w:w="391" w:type="pct"/>
            <w:shd w:val="clear" w:color="auto" w:fill="auto"/>
            <w:noWrap/>
            <w:hideMark/>
          </w:tcPr>
          <w:p w14:paraId="5A3F99D6"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39%</w:t>
            </w:r>
          </w:p>
        </w:tc>
        <w:tc>
          <w:tcPr>
            <w:tcW w:w="391" w:type="pct"/>
            <w:shd w:val="clear" w:color="auto" w:fill="auto"/>
            <w:noWrap/>
            <w:hideMark/>
          </w:tcPr>
          <w:p w14:paraId="54FD9EED"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45%</w:t>
            </w:r>
          </w:p>
        </w:tc>
        <w:tc>
          <w:tcPr>
            <w:tcW w:w="391" w:type="pct"/>
            <w:shd w:val="clear" w:color="auto" w:fill="auto"/>
            <w:hideMark/>
          </w:tcPr>
          <w:p w14:paraId="20C6D16D"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29%</w:t>
            </w:r>
          </w:p>
        </w:tc>
        <w:tc>
          <w:tcPr>
            <w:tcW w:w="391" w:type="pct"/>
            <w:shd w:val="clear" w:color="auto" w:fill="auto"/>
            <w:hideMark/>
          </w:tcPr>
          <w:p w14:paraId="065D0896"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17%</w:t>
            </w:r>
          </w:p>
        </w:tc>
        <w:tc>
          <w:tcPr>
            <w:tcW w:w="390" w:type="pct"/>
            <w:shd w:val="clear" w:color="auto" w:fill="auto"/>
            <w:hideMark/>
          </w:tcPr>
          <w:p w14:paraId="3A1F08A2" w14:textId="77777777"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47%</w:t>
            </w:r>
          </w:p>
        </w:tc>
      </w:tr>
    </w:tbl>
    <w:p w14:paraId="7A87440D" w14:textId="77777777" w:rsidR="001245DB" w:rsidRPr="00CA435B" w:rsidRDefault="001245DB" w:rsidP="001245DB">
      <w:pPr>
        <w:rPr>
          <w:b/>
        </w:rPr>
      </w:pPr>
      <w:r w:rsidRPr="00CA435B">
        <w:rPr>
          <w:sz w:val="16"/>
          <w:szCs w:val="16"/>
          <w:vertAlign w:val="superscript"/>
        </w:rPr>
        <w:t xml:space="preserve">1 </w:t>
      </w:r>
      <w:r w:rsidRPr="00CA435B">
        <w:rPr>
          <w:sz w:val="16"/>
          <w:szCs w:val="16"/>
        </w:rPr>
        <w:t>During 1975-2016</w:t>
      </w:r>
    </w:p>
    <w:p w14:paraId="324AA55A" w14:textId="77777777" w:rsidR="001245DB" w:rsidRDefault="001245DB" w:rsidP="006633A8">
      <w:pPr>
        <w:pStyle w:val="WCPFC"/>
        <w:numPr>
          <w:ilvl w:val="0"/>
          <w:numId w:val="0"/>
        </w:numPr>
        <w:adjustRightInd w:val="0"/>
        <w:spacing w:after="0"/>
        <w:ind w:left="360"/>
        <w:rPr>
          <w:rFonts w:cs="Times New Roman"/>
          <w:lang w:eastAsia="ko-KR"/>
        </w:rPr>
      </w:pPr>
    </w:p>
    <w:p w14:paraId="74B646A2" w14:textId="77777777" w:rsidR="00270656" w:rsidRPr="004635E5" w:rsidRDefault="00270656" w:rsidP="006633A8">
      <w:pPr>
        <w:adjustRightInd w:val="0"/>
        <w:snapToGrid w:val="0"/>
        <w:rPr>
          <w:rFonts w:eastAsiaTheme="minorEastAsia"/>
          <w:color w:val="000000"/>
          <w:sz w:val="22"/>
          <w:szCs w:val="22"/>
          <w:lang w:val="en-NZ" w:eastAsia="en-NZ"/>
        </w:rPr>
      </w:pPr>
      <w:bookmarkStart w:id="112" w:name="_bookmark31"/>
      <w:bookmarkEnd w:id="112"/>
      <w:r w:rsidRPr="004635E5">
        <w:rPr>
          <w:sz w:val="22"/>
          <w:szCs w:val="22"/>
        </w:rPr>
        <w:br w:type="page"/>
      </w:r>
    </w:p>
    <w:p w14:paraId="0FC0A5FF" w14:textId="77777777" w:rsidR="009B24F3" w:rsidRPr="004635E5" w:rsidRDefault="009B24F3" w:rsidP="00D10883">
      <w:pPr>
        <w:pStyle w:val="WCPFC"/>
        <w:numPr>
          <w:ilvl w:val="0"/>
          <w:numId w:val="0"/>
        </w:numPr>
        <w:adjustRightInd w:val="0"/>
        <w:spacing w:after="0"/>
        <w:ind w:left="270"/>
        <w:rPr>
          <w:rFonts w:cs="Times New Roman"/>
        </w:rPr>
      </w:pPr>
      <w:r w:rsidRPr="004635E5">
        <w:rPr>
          <w:rFonts w:cs="Times New Roman"/>
          <w:b/>
        </w:rPr>
        <w:t xml:space="preserve">Table </w:t>
      </w:r>
      <w:r w:rsidR="00270656" w:rsidRPr="004635E5">
        <w:rPr>
          <w:rFonts w:cs="Times New Roman"/>
          <w:b/>
        </w:rPr>
        <w:t>NPS</w:t>
      </w:r>
      <w:r w:rsidR="00C15D3F" w:rsidRPr="004635E5">
        <w:rPr>
          <w:rFonts w:cs="Times New Roman"/>
          <w:b/>
        </w:rPr>
        <w:t>-2</w:t>
      </w:r>
      <w:r w:rsidRPr="004635E5">
        <w:rPr>
          <w:rFonts w:cs="Times New Roman"/>
        </w:rPr>
        <w:t>. Estimates of biological reference points along with estimates of fishing mortality (F), spawning stock biomass (SSB), recent average yield (C), and SPR of WCNPO swordfish, derived from the base case model assessment model, where “MSY” indicates reference points based on maximum sustainable yield.</w:t>
      </w:r>
    </w:p>
    <w:tbl>
      <w:tblPr>
        <w:tblW w:w="0" w:type="auto"/>
        <w:tblInd w:w="36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050"/>
        <w:gridCol w:w="2430"/>
      </w:tblGrid>
      <w:tr w:rsidR="009B24F3" w:rsidRPr="004635E5" w14:paraId="5A8F900C" w14:textId="77777777" w:rsidTr="001249ED">
        <w:tc>
          <w:tcPr>
            <w:tcW w:w="4050" w:type="dxa"/>
            <w:tcBorders>
              <w:top w:val="single" w:sz="8" w:space="0" w:color="000000"/>
              <w:bottom w:val="single" w:sz="4" w:space="0" w:color="000000"/>
            </w:tcBorders>
            <w:vAlign w:val="center"/>
          </w:tcPr>
          <w:p w14:paraId="6CACE5E6" w14:textId="77777777" w:rsidR="009B24F3" w:rsidRPr="004635E5" w:rsidRDefault="009B24F3" w:rsidP="00000C9D">
            <w:pPr>
              <w:pStyle w:val="TableParagraph"/>
              <w:adjustRightInd w:val="0"/>
              <w:snapToGrid w:val="0"/>
              <w:spacing w:before="20" w:after="20" w:line="240" w:lineRule="auto"/>
              <w:ind w:left="821" w:right="644"/>
              <w:jc w:val="center"/>
              <w:rPr>
                <w:b/>
              </w:rPr>
            </w:pPr>
            <w:r w:rsidRPr="004635E5">
              <w:rPr>
                <w:b/>
              </w:rPr>
              <w:t>Reference Point</w:t>
            </w:r>
          </w:p>
        </w:tc>
        <w:tc>
          <w:tcPr>
            <w:tcW w:w="2430" w:type="dxa"/>
            <w:tcBorders>
              <w:top w:val="single" w:sz="8" w:space="0" w:color="000000"/>
              <w:bottom w:val="single" w:sz="4" w:space="0" w:color="000000"/>
            </w:tcBorders>
            <w:vAlign w:val="center"/>
          </w:tcPr>
          <w:p w14:paraId="3FFCA696" w14:textId="77777777" w:rsidR="009B24F3" w:rsidRPr="004635E5" w:rsidRDefault="009B24F3" w:rsidP="00000C9D">
            <w:pPr>
              <w:pStyle w:val="TableParagraph"/>
              <w:adjustRightInd w:val="0"/>
              <w:snapToGrid w:val="0"/>
              <w:spacing w:before="20" w:after="20" w:line="240" w:lineRule="auto"/>
              <w:ind w:right="542"/>
              <w:jc w:val="center"/>
              <w:rPr>
                <w:b/>
              </w:rPr>
            </w:pPr>
            <w:r w:rsidRPr="004635E5">
              <w:rPr>
                <w:b/>
              </w:rPr>
              <w:t>Estimate</w:t>
            </w:r>
          </w:p>
        </w:tc>
      </w:tr>
      <w:tr w:rsidR="009B24F3" w:rsidRPr="004635E5" w14:paraId="75205DC8" w14:textId="77777777" w:rsidTr="001249ED">
        <w:tc>
          <w:tcPr>
            <w:tcW w:w="4050" w:type="dxa"/>
            <w:tcBorders>
              <w:top w:val="single" w:sz="4" w:space="0" w:color="000000"/>
            </w:tcBorders>
            <w:vAlign w:val="center"/>
          </w:tcPr>
          <w:p w14:paraId="5096081B" w14:textId="77777777" w:rsidR="009B24F3" w:rsidRPr="004635E5" w:rsidRDefault="009B24F3" w:rsidP="00000C9D">
            <w:pPr>
              <w:pStyle w:val="TableParagraph"/>
              <w:adjustRightInd w:val="0"/>
              <w:snapToGrid w:val="0"/>
              <w:spacing w:before="20" w:after="20" w:line="240" w:lineRule="auto"/>
              <w:ind w:left="818" w:right="644"/>
              <w:jc w:val="center"/>
            </w:pPr>
            <w:r w:rsidRPr="004635E5">
              <w:rPr>
                <w:position w:val="3"/>
              </w:rPr>
              <w:t>F</w:t>
            </w:r>
            <w:r w:rsidRPr="004635E5">
              <w:t>MSY</w:t>
            </w:r>
          </w:p>
        </w:tc>
        <w:tc>
          <w:tcPr>
            <w:tcW w:w="2430" w:type="dxa"/>
            <w:tcBorders>
              <w:top w:val="single" w:sz="4" w:space="0" w:color="000000"/>
            </w:tcBorders>
            <w:vAlign w:val="center"/>
          </w:tcPr>
          <w:p w14:paraId="26C1D54B" w14:textId="77777777" w:rsidR="009B24F3" w:rsidRPr="004635E5" w:rsidRDefault="009B24F3" w:rsidP="00000C9D">
            <w:pPr>
              <w:pStyle w:val="TableParagraph"/>
              <w:adjustRightInd w:val="0"/>
              <w:snapToGrid w:val="0"/>
              <w:spacing w:before="20" w:after="20" w:line="240" w:lineRule="auto"/>
              <w:ind w:right="578"/>
              <w:jc w:val="center"/>
            </w:pPr>
            <w:r w:rsidRPr="004635E5">
              <w:t>0.17 yr</w:t>
            </w:r>
            <w:r w:rsidRPr="004635E5">
              <w:rPr>
                <w:position w:val="10"/>
              </w:rPr>
              <w:t>-1</w:t>
            </w:r>
          </w:p>
        </w:tc>
      </w:tr>
      <w:tr w:rsidR="009B24F3" w:rsidRPr="004635E5" w14:paraId="7A23ACCD" w14:textId="77777777" w:rsidTr="001249ED">
        <w:tc>
          <w:tcPr>
            <w:tcW w:w="4050" w:type="dxa"/>
            <w:vAlign w:val="center"/>
          </w:tcPr>
          <w:p w14:paraId="75BAC30E" w14:textId="77777777" w:rsidR="009B24F3" w:rsidRPr="004635E5" w:rsidRDefault="009B24F3" w:rsidP="00000C9D">
            <w:pPr>
              <w:pStyle w:val="TableParagraph"/>
              <w:adjustRightInd w:val="0"/>
              <w:snapToGrid w:val="0"/>
              <w:spacing w:before="20" w:after="20" w:line="240" w:lineRule="auto"/>
              <w:ind w:left="815" w:right="644"/>
              <w:jc w:val="center"/>
            </w:pPr>
            <w:r w:rsidRPr="004635E5">
              <w:rPr>
                <w:position w:val="3"/>
              </w:rPr>
              <w:t>F</w:t>
            </w:r>
            <w:r w:rsidRPr="004635E5">
              <w:t>0.2*SSB(F=0)</w:t>
            </w:r>
          </w:p>
        </w:tc>
        <w:tc>
          <w:tcPr>
            <w:tcW w:w="2430" w:type="dxa"/>
            <w:vAlign w:val="center"/>
          </w:tcPr>
          <w:p w14:paraId="18D9E49A" w14:textId="77777777" w:rsidR="009B24F3" w:rsidRPr="004635E5" w:rsidRDefault="009B24F3" w:rsidP="00000C9D">
            <w:pPr>
              <w:pStyle w:val="TableParagraph"/>
              <w:adjustRightInd w:val="0"/>
              <w:snapToGrid w:val="0"/>
              <w:spacing w:before="20" w:after="20" w:line="240" w:lineRule="auto"/>
              <w:ind w:right="578"/>
              <w:jc w:val="center"/>
            </w:pPr>
            <w:r w:rsidRPr="004635E5">
              <w:t>0.16 yr</w:t>
            </w:r>
            <w:r w:rsidRPr="004635E5">
              <w:rPr>
                <w:position w:val="10"/>
              </w:rPr>
              <w:t>-1</w:t>
            </w:r>
          </w:p>
        </w:tc>
      </w:tr>
      <w:tr w:rsidR="009B24F3" w:rsidRPr="004635E5" w14:paraId="317E137E" w14:textId="77777777" w:rsidTr="001249ED">
        <w:tc>
          <w:tcPr>
            <w:tcW w:w="4050" w:type="dxa"/>
            <w:vAlign w:val="center"/>
          </w:tcPr>
          <w:p w14:paraId="45A931E7" w14:textId="77777777" w:rsidR="009B24F3" w:rsidRPr="004635E5" w:rsidRDefault="009B24F3" w:rsidP="00000C9D">
            <w:pPr>
              <w:pStyle w:val="TableParagraph"/>
              <w:adjustRightInd w:val="0"/>
              <w:snapToGrid w:val="0"/>
              <w:spacing w:before="20" w:after="20" w:line="240" w:lineRule="auto"/>
              <w:ind w:left="815" w:right="644"/>
              <w:jc w:val="center"/>
            </w:pPr>
            <w:r w:rsidRPr="004635E5">
              <w:rPr>
                <w:position w:val="3"/>
              </w:rPr>
              <w:t>F</w:t>
            </w:r>
            <w:r w:rsidRPr="004635E5">
              <w:t>2013-2015</w:t>
            </w:r>
          </w:p>
        </w:tc>
        <w:tc>
          <w:tcPr>
            <w:tcW w:w="2430" w:type="dxa"/>
            <w:vAlign w:val="center"/>
          </w:tcPr>
          <w:p w14:paraId="06EC4775" w14:textId="77777777" w:rsidR="009B24F3" w:rsidRPr="004635E5" w:rsidRDefault="009B24F3" w:rsidP="00000C9D">
            <w:pPr>
              <w:pStyle w:val="TableParagraph"/>
              <w:adjustRightInd w:val="0"/>
              <w:snapToGrid w:val="0"/>
              <w:spacing w:before="20" w:after="20" w:line="240" w:lineRule="auto"/>
              <w:ind w:right="578"/>
              <w:jc w:val="center"/>
            </w:pPr>
            <w:r w:rsidRPr="004635E5">
              <w:t>0.08 yr</w:t>
            </w:r>
            <w:r w:rsidRPr="004635E5">
              <w:rPr>
                <w:position w:val="10"/>
              </w:rPr>
              <w:t>-1</w:t>
            </w:r>
          </w:p>
        </w:tc>
      </w:tr>
      <w:tr w:rsidR="009B24F3" w:rsidRPr="004635E5" w14:paraId="6EC0C85D" w14:textId="77777777" w:rsidTr="001249ED">
        <w:tc>
          <w:tcPr>
            <w:tcW w:w="4050" w:type="dxa"/>
            <w:vAlign w:val="center"/>
          </w:tcPr>
          <w:p w14:paraId="4CBEA742" w14:textId="77777777" w:rsidR="009B24F3" w:rsidRPr="004635E5" w:rsidRDefault="009B24F3" w:rsidP="00000C9D">
            <w:pPr>
              <w:pStyle w:val="TableParagraph"/>
              <w:adjustRightInd w:val="0"/>
              <w:snapToGrid w:val="0"/>
              <w:spacing w:before="20" w:after="20" w:line="240" w:lineRule="auto"/>
              <w:ind w:left="818" w:right="644"/>
              <w:jc w:val="center"/>
            </w:pPr>
            <w:r w:rsidRPr="004635E5">
              <w:t>SSB</w:t>
            </w:r>
            <w:r w:rsidRPr="004635E5">
              <w:rPr>
                <w:position w:val="-2"/>
              </w:rPr>
              <w:t>MSY</w:t>
            </w:r>
          </w:p>
        </w:tc>
        <w:tc>
          <w:tcPr>
            <w:tcW w:w="2430" w:type="dxa"/>
            <w:vAlign w:val="center"/>
          </w:tcPr>
          <w:p w14:paraId="49236AB0" w14:textId="77777777" w:rsidR="009B24F3" w:rsidRPr="004635E5" w:rsidRDefault="009B24F3" w:rsidP="00000C9D">
            <w:pPr>
              <w:pStyle w:val="TableParagraph"/>
              <w:adjustRightInd w:val="0"/>
              <w:snapToGrid w:val="0"/>
              <w:spacing w:before="20" w:after="20" w:line="240" w:lineRule="auto"/>
              <w:ind w:right="489"/>
              <w:jc w:val="center"/>
            </w:pPr>
            <w:r w:rsidRPr="004635E5">
              <w:t>15,702 mt</w:t>
            </w:r>
          </w:p>
        </w:tc>
      </w:tr>
      <w:tr w:rsidR="009B24F3" w:rsidRPr="004635E5" w14:paraId="55C3C05E" w14:textId="77777777" w:rsidTr="001249ED">
        <w:tc>
          <w:tcPr>
            <w:tcW w:w="4050" w:type="dxa"/>
            <w:vAlign w:val="center"/>
          </w:tcPr>
          <w:p w14:paraId="74D37D3C" w14:textId="77777777" w:rsidR="009B24F3" w:rsidRPr="004635E5" w:rsidRDefault="009B24F3" w:rsidP="00000C9D">
            <w:pPr>
              <w:pStyle w:val="TableParagraph"/>
              <w:adjustRightInd w:val="0"/>
              <w:snapToGrid w:val="0"/>
              <w:spacing w:before="20" w:after="20" w:line="240" w:lineRule="auto"/>
              <w:ind w:left="817" w:right="644"/>
              <w:jc w:val="center"/>
            </w:pPr>
            <w:r w:rsidRPr="004635E5">
              <w:rPr>
                <w:position w:val="3"/>
              </w:rPr>
              <w:t>SSB</w:t>
            </w:r>
            <w:r w:rsidRPr="004635E5">
              <w:t>2016</w:t>
            </w:r>
          </w:p>
        </w:tc>
        <w:tc>
          <w:tcPr>
            <w:tcW w:w="2430" w:type="dxa"/>
            <w:vAlign w:val="center"/>
          </w:tcPr>
          <w:p w14:paraId="707864E6" w14:textId="77777777" w:rsidR="009B24F3" w:rsidRPr="004635E5" w:rsidRDefault="009B24F3" w:rsidP="00000C9D">
            <w:pPr>
              <w:pStyle w:val="TableParagraph"/>
              <w:adjustRightInd w:val="0"/>
              <w:snapToGrid w:val="0"/>
              <w:spacing w:before="20" w:after="20" w:line="240" w:lineRule="auto"/>
              <w:ind w:right="489"/>
              <w:jc w:val="center"/>
            </w:pPr>
            <w:r w:rsidRPr="004635E5">
              <w:t>29,403 mt</w:t>
            </w:r>
          </w:p>
        </w:tc>
      </w:tr>
      <w:tr w:rsidR="009B24F3" w:rsidRPr="004635E5" w14:paraId="7C0C9175" w14:textId="77777777" w:rsidTr="001249ED">
        <w:tc>
          <w:tcPr>
            <w:tcW w:w="4050" w:type="dxa"/>
            <w:vAlign w:val="center"/>
          </w:tcPr>
          <w:p w14:paraId="51B7B6E1" w14:textId="77777777" w:rsidR="009B24F3" w:rsidRPr="004635E5" w:rsidRDefault="009B24F3" w:rsidP="00000C9D">
            <w:pPr>
              <w:pStyle w:val="TableParagraph"/>
              <w:adjustRightInd w:val="0"/>
              <w:snapToGrid w:val="0"/>
              <w:spacing w:before="20" w:after="20" w:line="240" w:lineRule="auto"/>
              <w:ind w:left="817" w:right="644"/>
              <w:jc w:val="center"/>
            </w:pPr>
            <w:r w:rsidRPr="004635E5">
              <w:t>SSB</w:t>
            </w:r>
            <w:r w:rsidRPr="004635E5">
              <w:rPr>
                <w:position w:val="-2"/>
              </w:rPr>
              <w:t>F=0</w:t>
            </w:r>
          </w:p>
        </w:tc>
        <w:tc>
          <w:tcPr>
            <w:tcW w:w="2430" w:type="dxa"/>
            <w:vAlign w:val="center"/>
          </w:tcPr>
          <w:p w14:paraId="0FEFC2B0" w14:textId="77777777" w:rsidR="009B24F3" w:rsidRPr="004635E5" w:rsidRDefault="009B24F3" w:rsidP="00000C9D">
            <w:pPr>
              <w:pStyle w:val="TableParagraph"/>
              <w:adjustRightInd w:val="0"/>
              <w:snapToGrid w:val="0"/>
              <w:spacing w:before="20" w:after="20" w:line="240" w:lineRule="auto"/>
              <w:ind w:right="489"/>
              <w:jc w:val="center"/>
            </w:pPr>
            <w:r w:rsidRPr="004635E5">
              <w:t>97,286 mt</w:t>
            </w:r>
          </w:p>
        </w:tc>
      </w:tr>
      <w:tr w:rsidR="009B24F3" w:rsidRPr="004635E5" w14:paraId="495DB99F" w14:textId="77777777" w:rsidTr="001249ED">
        <w:tc>
          <w:tcPr>
            <w:tcW w:w="4050" w:type="dxa"/>
            <w:vAlign w:val="center"/>
          </w:tcPr>
          <w:p w14:paraId="09352633" w14:textId="77777777" w:rsidR="009B24F3" w:rsidRPr="004635E5" w:rsidRDefault="009B24F3" w:rsidP="00000C9D">
            <w:pPr>
              <w:pStyle w:val="TableParagraph"/>
              <w:adjustRightInd w:val="0"/>
              <w:snapToGrid w:val="0"/>
              <w:spacing w:before="20" w:after="20" w:line="240" w:lineRule="auto"/>
              <w:ind w:left="819" w:right="644"/>
              <w:jc w:val="center"/>
            </w:pPr>
            <w:r w:rsidRPr="004635E5">
              <w:t>MSY</w:t>
            </w:r>
          </w:p>
        </w:tc>
        <w:tc>
          <w:tcPr>
            <w:tcW w:w="2430" w:type="dxa"/>
            <w:vAlign w:val="center"/>
          </w:tcPr>
          <w:p w14:paraId="57072D32" w14:textId="77777777" w:rsidR="009B24F3" w:rsidRPr="004635E5" w:rsidRDefault="009B24F3" w:rsidP="00000C9D">
            <w:pPr>
              <w:pStyle w:val="TableParagraph"/>
              <w:adjustRightInd w:val="0"/>
              <w:snapToGrid w:val="0"/>
              <w:spacing w:before="20" w:after="20" w:line="240" w:lineRule="auto"/>
              <w:ind w:right="489"/>
              <w:jc w:val="center"/>
            </w:pPr>
            <w:r w:rsidRPr="004635E5">
              <w:t>14,941 mt</w:t>
            </w:r>
          </w:p>
        </w:tc>
      </w:tr>
      <w:tr w:rsidR="009B24F3" w:rsidRPr="004635E5" w14:paraId="62657FF0" w14:textId="77777777" w:rsidTr="001249ED">
        <w:tc>
          <w:tcPr>
            <w:tcW w:w="4050" w:type="dxa"/>
            <w:vAlign w:val="center"/>
          </w:tcPr>
          <w:p w14:paraId="2BA6D62A" w14:textId="77777777" w:rsidR="009B24F3" w:rsidRPr="004635E5" w:rsidRDefault="009B24F3" w:rsidP="00000C9D">
            <w:pPr>
              <w:pStyle w:val="TableParagraph"/>
              <w:adjustRightInd w:val="0"/>
              <w:snapToGrid w:val="0"/>
              <w:spacing w:before="20" w:after="20" w:line="240" w:lineRule="auto"/>
              <w:ind w:left="815" w:right="644"/>
              <w:jc w:val="center"/>
            </w:pPr>
            <w:r w:rsidRPr="004635E5">
              <w:rPr>
                <w:position w:val="3"/>
              </w:rPr>
              <w:t>C</w:t>
            </w:r>
            <w:r w:rsidRPr="004635E5">
              <w:t>2012-2016</w:t>
            </w:r>
          </w:p>
        </w:tc>
        <w:tc>
          <w:tcPr>
            <w:tcW w:w="2430" w:type="dxa"/>
            <w:vAlign w:val="center"/>
          </w:tcPr>
          <w:p w14:paraId="3A72D516" w14:textId="77777777" w:rsidR="009B24F3" w:rsidRPr="004635E5" w:rsidRDefault="009B24F3" w:rsidP="00000C9D">
            <w:pPr>
              <w:pStyle w:val="TableParagraph"/>
              <w:adjustRightInd w:val="0"/>
              <w:snapToGrid w:val="0"/>
              <w:spacing w:before="20" w:after="20" w:line="240" w:lineRule="auto"/>
              <w:ind w:right="489"/>
              <w:jc w:val="center"/>
            </w:pPr>
            <w:r w:rsidRPr="004635E5">
              <w:t>10,160 mt</w:t>
            </w:r>
          </w:p>
        </w:tc>
      </w:tr>
      <w:tr w:rsidR="009B24F3" w:rsidRPr="004635E5" w14:paraId="01A1732F" w14:textId="77777777" w:rsidTr="001249ED">
        <w:tc>
          <w:tcPr>
            <w:tcW w:w="4050" w:type="dxa"/>
            <w:vAlign w:val="center"/>
          </w:tcPr>
          <w:p w14:paraId="6AE9F6F2" w14:textId="77777777" w:rsidR="009B24F3" w:rsidRPr="004635E5" w:rsidRDefault="009B24F3" w:rsidP="00000C9D">
            <w:pPr>
              <w:pStyle w:val="TableParagraph"/>
              <w:adjustRightInd w:val="0"/>
              <w:snapToGrid w:val="0"/>
              <w:spacing w:before="20" w:after="20" w:line="240" w:lineRule="auto"/>
              <w:ind w:left="821" w:right="642"/>
              <w:jc w:val="center"/>
            </w:pPr>
            <w:r w:rsidRPr="004635E5">
              <w:t>SPR</w:t>
            </w:r>
            <w:r w:rsidRPr="004635E5">
              <w:rPr>
                <w:position w:val="-2"/>
              </w:rPr>
              <w:t>MSY</w:t>
            </w:r>
          </w:p>
        </w:tc>
        <w:tc>
          <w:tcPr>
            <w:tcW w:w="2430" w:type="dxa"/>
            <w:vAlign w:val="center"/>
          </w:tcPr>
          <w:p w14:paraId="2CB39D2C" w14:textId="77777777" w:rsidR="009B24F3" w:rsidRPr="004635E5" w:rsidRDefault="009B24F3" w:rsidP="00000C9D">
            <w:pPr>
              <w:pStyle w:val="TableParagraph"/>
              <w:adjustRightInd w:val="0"/>
              <w:snapToGrid w:val="0"/>
              <w:spacing w:before="20" w:after="20" w:line="240" w:lineRule="auto"/>
              <w:ind w:left="909" w:right="738"/>
              <w:jc w:val="center"/>
            </w:pPr>
            <w:r w:rsidRPr="004635E5">
              <w:t>18%</w:t>
            </w:r>
          </w:p>
        </w:tc>
      </w:tr>
      <w:tr w:rsidR="009B24F3" w:rsidRPr="004635E5" w14:paraId="55CA908A" w14:textId="77777777" w:rsidTr="001249ED">
        <w:tc>
          <w:tcPr>
            <w:tcW w:w="4050" w:type="dxa"/>
            <w:tcBorders>
              <w:bottom w:val="single" w:sz="8" w:space="0" w:color="000000"/>
            </w:tcBorders>
            <w:vAlign w:val="center"/>
          </w:tcPr>
          <w:p w14:paraId="29CC8F84" w14:textId="77777777" w:rsidR="009B24F3" w:rsidRPr="004635E5" w:rsidRDefault="009B24F3" w:rsidP="00000C9D">
            <w:pPr>
              <w:pStyle w:val="TableParagraph"/>
              <w:adjustRightInd w:val="0"/>
              <w:snapToGrid w:val="0"/>
              <w:spacing w:before="20" w:after="20" w:line="240" w:lineRule="auto"/>
              <w:ind w:left="817" w:right="644"/>
              <w:jc w:val="center"/>
            </w:pPr>
            <w:r w:rsidRPr="004635E5">
              <w:rPr>
                <w:position w:val="3"/>
              </w:rPr>
              <w:t>SPR</w:t>
            </w:r>
            <w:r w:rsidRPr="004635E5">
              <w:t>2016</w:t>
            </w:r>
          </w:p>
        </w:tc>
        <w:tc>
          <w:tcPr>
            <w:tcW w:w="2430" w:type="dxa"/>
            <w:tcBorders>
              <w:bottom w:val="single" w:sz="8" w:space="0" w:color="000000"/>
            </w:tcBorders>
            <w:vAlign w:val="center"/>
          </w:tcPr>
          <w:p w14:paraId="27AA92B2" w14:textId="77777777" w:rsidR="009B24F3" w:rsidRPr="004635E5" w:rsidRDefault="009B24F3" w:rsidP="00000C9D">
            <w:pPr>
              <w:pStyle w:val="TableParagraph"/>
              <w:adjustRightInd w:val="0"/>
              <w:snapToGrid w:val="0"/>
              <w:spacing w:before="20" w:after="20" w:line="240" w:lineRule="auto"/>
              <w:ind w:left="909" w:right="738"/>
              <w:jc w:val="center"/>
            </w:pPr>
            <w:r w:rsidRPr="004635E5">
              <w:t>45%</w:t>
            </w:r>
          </w:p>
        </w:tc>
      </w:tr>
    </w:tbl>
    <w:p w14:paraId="5717E678" w14:textId="77777777" w:rsidR="00EE6F55" w:rsidRDefault="00EE6F55" w:rsidP="006633A8">
      <w:pPr>
        <w:pStyle w:val="WCPFC"/>
        <w:numPr>
          <w:ilvl w:val="0"/>
          <w:numId w:val="0"/>
        </w:numPr>
        <w:adjustRightInd w:val="0"/>
        <w:spacing w:after="0"/>
        <w:ind w:left="360"/>
        <w:rPr>
          <w:rFonts w:cs="Times New Roman"/>
        </w:rPr>
      </w:pPr>
    </w:p>
    <w:p w14:paraId="4AF17424" w14:textId="77777777" w:rsidR="009777E6" w:rsidRDefault="009777E6" w:rsidP="006633A8">
      <w:pPr>
        <w:pStyle w:val="WCPFC"/>
        <w:numPr>
          <w:ilvl w:val="0"/>
          <w:numId w:val="0"/>
        </w:numPr>
        <w:adjustRightInd w:val="0"/>
        <w:spacing w:after="0"/>
        <w:ind w:left="360"/>
        <w:rPr>
          <w:rFonts w:cs="Times New Roman"/>
        </w:rPr>
      </w:pPr>
    </w:p>
    <w:p w14:paraId="2C016E28" w14:textId="77777777" w:rsidR="00000C9D" w:rsidRDefault="00000C9D" w:rsidP="00000C9D">
      <w:pPr>
        <w:pStyle w:val="WCPFC"/>
        <w:numPr>
          <w:ilvl w:val="0"/>
          <w:numId w:val="0"/>
        </w:numPr>
        <w:adjustRightInd w:val="0"/>
        <w:spacing w:after="0"/>
        <w:rPr>
          <w:rFonts w:cs="Times New Roman"/>
          <w:b/>
        </w:rPr>
      </w:pPr>
    </w:p>
    <w:p w14:paraId="4DEBCFA5" w14:textId="77777777" w:rsidR="00C52929" w:rsidRPr="004635E5" w:rsidRDefault="00C52929" w:rsidP="00D10883">
      <w:pPr>
        <w:pStyle w:val="WCPFC"/>
        <w:numPr>
          <w:ilvl w:val="0"/>
          <w:numId w:val="0"/>
        </w:numPr>
        <w:adjustRightInd w:val="0"/>
        <w:spacing w:after="0"/>
        <w:rPr>
          <w:rFonts w:cs="Times New Roman"/>
        </w:rPr>
      </w:pPr>
      <w:r w:rsidRPr="004635E5">
        <w:rPr>
          <w:rFonts w:cs="Times New Roman"/>
          <w:b/>
        </w:rPr>
        <w:t>Table NPS-3</w:t>
      </w:r>
      <w:r w:rsidRPr="004635E5">
        <w:rPr>
          <w:rFonts w:cs="Times New Roman"/>
        </w:rPr>
        <w:t>. Projected values of WCNPO swordfish spawning stock biomass (SSB, mt) and catch (mt) under five constant fishing mortality rate (F, yr</w:t>
      </w:r>
      <w:r w:rsidRPr="004635E5">
        <w:rPr>
          <w:rFonts w:cs="Times New Roman"/>
          <w:position w:val="9"/>
        </w:rPr>
        <w:t>-1</w:t>
      </w:r>
      <w:r w:rsidRPr="004635E5">
        <w:rPr>
          <w:rFonts w:cs="Times New Roman"/>
        </w:rPr>
        <w:t>) scenarios during 2017-2026.</w:t>
      </w:r>
    </w:p>
    <w:tbl>
      <w:tblPr>
        <w:tblpPr w:leftFromText="180" w:rightFromText="180" w:vertAnchor="text" w:horzAnchor="margin" w:tblpY="166"/>
        <w:tblW w:w="959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94"/>
        <w:gridCol w:w="932"/>
        <w:gridCol w:w="876"/>
        <w:gridCol w:w="878"/>
        <w:gridCol w:w="877"/>
        <w:gridCol w:w="877"/>
        <w:gridCol w:w="877"/>
        <w:gridCol w:w="876"/>
        <w:gridCol w:w="878"/>
        <w:gridCol w:w="877"/>
        <w:gridCol w:w="850"/>
      </w:tblGrid>
      <w:tr w:rsidR="00C52929" w:rsidRPr="004635E5" w14:paraId="3ABDE0B7" w14:textId="77777777" w:rsidTr="00C52929">
        <w:trPr>
          <w:trHeight w:val="20"/>
        </w:trPr>
        <w:tc>
          <w:tcPr>
            <w:tcW w:w="794" w:type="dxa"/>
            <w:tcBorders>
              <w:top w:val="single" w:sz="8" w:space="0" w:color="000000"/>
              <w:bottom w:val="single" w:sz="8" w:space="0" w:color="000000"/>
            </w:tcBorders>
          </w:tcPr>
          <w:p w14:paraId="6A89C1FC" w14:textId="77777777" w:rsidR="00C52929" w:rsidRPr="004635E5" w:rsidRDefault="00C52929" w:rsidP="00D10883">
            <w:pPr>
              <w:pStyle w:val="TableParagraph"/>
              <w:adjustRightInd w:val="0"/>
              <w:snapToGrid w:val="0"/>
              <w:spacing w:line="240" w:lineRule="auto"/>
              <w:ind w:left="0"/>
              <w:rPr>
                <w:b/>
              </w:rPr>
            </w:pPr>
            <w:r w:rsidRPr="004635E5">
              <w:rPr>
                <w:b/>
              </w:rPr>
              <w:t>Year</w:t>
            </w:r>
          </w:p>
        </w:tc>
        <w:tc>
          <w:tcPr>
            <w:tcW w:w="932" w:type="dxa"/>
            <w:tcBorders>
              <w:top w:val="single" w:sz="8" w:space="0" w:color="000000"/>
              <w:bottom w:val="single" w:sz="8" w:space="0" w:color="000000"/>
            </w:tcBorders>
          </w:tcPr>
          <w:p w14:paraId="41E3C09B" w14:textId="77777777" w:rsidR="00C52929" w:rsidRPr="004635E5" w:rsidRDefault="00C52929" w:rsidP="00D10883">
            <w:pPr>
              <w:pStyle w:val="TableParagraph"/>
              <w:adjustRightInd w:val="0"/>
              <w:snapToGrid w:val="0"/>
              <w:spacing w:line="240" w:lineRule="auto"/>
              <w:ind w:left="106"/>
              <w:jc w:val="right"/>
              <w:rPr>
                <w:b/>
              </w:rPr>
            </w:pPr>
            <w:r w:rsidRPr="004635E5">
              <w:rPr>
                <w:b/>
              </w:rPr>
              <w:t>2017</w:t>
            </w:r>
          </w:p>
        </w:tc>
        <w:tc>
          <w:tcPr>
            <w:tcW w:w="876" w:type="dxa"/>
            <w:tcBorders>
              <w:top w:val="single" w:sz="8" w:space="0" w:color="000000"/>
              <w:bottom w:val="single" w:sz="8" w:space="0" w:color="000000"/>
            </w:tcBorders>
          </w:tcPr>
          <w:p w14:paraId="5960CEE7" w14:textId="77777777" w:rsidR="00C52929" w:rsidRPr="004635E5" w:rsidRDefault="00C52929" w:rsidP="00D10883">
            <w:pPr>
              <w:pStyle w:val="TableParagraph"/>
              <w:adjustRightInd w:val="0"/>
              <w:snapToGrid w:val="0"/>
              <w:spacing w:line="240" w:lineRule="auto"/>
              <w:ind w:left="0"/>
              <w:jc w:val="right"/>
              <w:rPr>
                <w:b/>
              </w:rPr>
            </w:pPr>
            <w:r w:rsidRPr="004635E5">
              <w:rPr>
                <w:b/>
              </w:rPr>
              <w:t>2018</w:t>
            </w:r>
          </w:p>
        </w:tc>
        <w:tc>
          <w:tcPr>
            <w:tcW w:w="878" w:type="dxa"/>
            <w:tcBorders>
              <w:top w:val="single" w:sz="8" w:space="0" w:color="000000"/>
              <w:bottom w:val="single" w:sz="8" w:space="0" w:color="000000"/>
            </w:tcBorders>
          </w:tcPr>
          <w:p w14:paraId="71EE5087" w14:textId="77777777" w:rsidR="00C52929" w:rsidRPr="004635E5" w:rsidRDefault="00C52929" w:rsidP="00D10883">
            <w:pPr>
              <w:pStyle w:val="TableParagraph"/>
              <w:adjustRightInd w:val="0"/>
              <w:snapToGrid w:val="0"/>
              <w:spacing w:line="240" w:lineRule="auto"/>
              <w:ind w:left="0"/>
              <w:jc w:val="right"/>
              <w:rPr>
                <w:b/>
              </w:rPr>
            </w:pPr>
            <w:r w:rsidRPr="004635E5">
              <w:rPr>
                <w:b/>
              </w:rPr>
              <w:t>2019</w:t>
            </w:r>
          </w:p>
        </w:tc>
        <w:tc>
          <w:tcPr>
            <w:tcW w:w="877" w:type="dxa"/>
            <w:tcBorders>
              <w:top w:val="single" w:sz="8" w:space="0" w:color="000000"/>
              <w:bottom w:val="single" w:sz="8" w:space="0" w:color="000000"/>
            </w:tcBorders>
          </w:tcPr>
          <w:p w14:paraId="5E94385D" w14:textId="77777777" w:rsidR="00C52929" w:rsidRPr="004635E5" w:rsidRDefault="00C52929" w:rsidP="00D10883">
            <w:pPr>
              <w:pStyle w:val="TableParagraph"/>
              <w:adjustRightInd w:val="0"/>
              <w:snapToGrid w:val="0"/>
              <w:spacing w:line="240" w:lineRule="auto"/>
              <w:ind w:left="30"/>
              <w:jc w:val="right"/>
              <w:rPr>
                <w:b/>
              </w:rPr>
            </w:pPr>
            <w:r w:rsidRPr="004635E5">
              <w:rPr>
                <w:b/>
              </w:rPr>
              <w:t>2020</w:t>
            </w:r>
          </w:p>
        </w:tc>
        <w:tc>
          <w:tcPr>
            <w:tcW w:w="877" w:type="dxa"/>
            <w:tcBorders>
              <w:top w:val="single" w:sz="8" w:space="0" w:color="000000"/>
              <w:bottom w:val="single" w:sz="8" w:space="0" w:color="000000"/>
            </w:tcBorders>
          </w:tcPr>
          <w:p w14:paraId="77432238" w14:textId="77777777" w:rsidR="00C52929" w:rsidRPr="004635E5" w:rsidRDefault="00C52929" w:rsidP="00D10883">
            <w:pPr>
              <w:pStyle w:val="TableParagraph"/>
              <w:adjustRightInd w:val="0"/>
              <w:snapToGrid w:val="0"/>
              <w:spacing w:line="240" w:lineRule="auto"/>
              <w:ind w:left="0"/>
              <w:jc w:val="right"/>
              <w:rPr>
                <w:b/>
              </w:rPr>
            </w:pPr>
            <w:r w:rsidRPr="004635E5">
              <w:rPr>
                <w:b/>
              </w:rPr>
              <w:t>2021</w:t>
            </w:r>
          </w:p>
        </w:tc>
        <w:tc>
          <w:tcPr>
            <w:tcW w:w="877" w:type="dxa"/>
            <w:tcBorders>
              <w:top w:val="single" w:sz="8" w:space="0" w:color="000000"/>
              <w:bottom w:val="single" w:sz="8" w:space="0" w:color="000000"/>
            </w:tcBorders>
          </w:tcPr>
          <w:p w14:paraId="6584C7C3" w14:textId="77777777" w:rsidR="00C52929" w:rsidRPr="004635E5" w:rsidRDefault="00C52929" w:rsidP="00D10883">
            <w:pPr>
              <w:pStyle w:val="TableParagraph"/>
              <w:adjustRightInd w:val="0"/>
              <w:snapToGrid w:val="0"/>
              <w:spacing w:line="240" w:lineRule="auto"/>
              <w:ind w:left="0"/>
              <w:jc w:val="right"/>
              <w:rPr>
                <w:b/>
              </w:rPr>
            </w:pPr>
            <w:r w:rsidRPr="004635E5">
              <w:rPr>
                <w:b/>
              </w:rPr>
              <w:t>2022</w:t>
            </w:r>
          </w:p>
        </w:tc>
        <w:tc>
          <w:tcPr>
            <w:tcW w:w="876" w:type="dxa"/>
            <w:tcBorders>
              <w:top w:val="single" w:sz="8" w:space="0" w:color="000000"/>
              <w:bottom w:val="single" w:sz="8" w:space="0" w:color="000000"/>
            </w:tcBorders>
          </w:tcPr>
          <w:p w14:paraId="31F062C6" w14:textId="77777777" w:rsidR="00C52929" w:rsidRPr="004635E5" w:rsidRDefault="00C52929" w:rsidP="00D10883">
            <w:pPr>
              <w:pStyle w:val="TableParagraph"/>
              <w:adjustRightInd w:val="0"/>
              <w:snapToGrid w:val="0"/>
              <w:spacing w:line="240" w:lineRule="auto"/>
              <w:ind w:left="0"/>
              <w:jc w:val="right"/>
              <w:rPr>
                <w:b/>
              </w:rPr>
            </w:pPr>
            <w:r w:rsidRPr="004635E5">
              <w:rPr>
                <w:b/>
              </w:rPr>
              <w:t>2023</w:t>
            </w:r>
          </w:p>
        </w:tc>
        <w:tc>
          <w:tcPr>
            <w:tcW w:w="878" w:type="dxa"/>
            <w:tcBorders>
              <w:top w:val="single" w:sz="8" w:space="0" w:color="000000"/>
              <w:bottom w:val="single" w:sz="8" w:space="0" w:color="000000"/>
            </w:tcBorders>
          </w:tcPr>
          <w:p w14:paraId="6E0A2516" w14:textId="77777777" w:rsidR="00C52929" w:rsidRPr="004635E5" w:rsidRDefault="00C52929" w:rsidP="00D10883">
            <w:pPr>
              <w:pStyle w:val="TableParagraph"/>
              <w:adjustRightInd w:val="0"/>
              <w:snapToGrid w:val="0"/>
              <w:spacing w:line="240" w:lineRule="auto"/>
              <w:ind w:left="0"/>
              <w:jc w:val="right"/>
              <w:rPr>
                <w:b/>
              </w:rPr>
            </w:pPr>
            <w:r w:rsidRPr="004635E5">
              <w:rPr>
                <w:b/>
              </w:rPr>
              <w:t>2024</w:t>
            </w:r>
          </w:p>
        </w:tc>
        <w:tc>
          <w:tcPr>
            <w:tcW w:w="877" w:type="dxa"/>
            <w:tcBorders>
              <w:top w:val="single" w:sz="8" w:space="0" w:color="000000"/>
              <w:bottom w:val="single" w:sz="8" w:space="0" w:color="000000"/>
            </w:tcBorders>
          </w:tcPr>
          <w:p w14:paraId="163DB10F" w14:textId="77777777" w:rsidR="00C52929" w:rsidRPr="004635E5" w:rsidRDefault="00C52929" w:rsidP="00D10883">
            <w:pPr>
              <w:pStyle w:val="TableParagraph"/>
              <w:adjustRightInd w:val="0"/>
              <w:snapToGrid w:val="0"/>
              <w:spacing w:line="240" w:lineRule="auto"/>
              <w:ind w:left="0"/>
              <w:jc w:val="right"/>
              <w:rPr>
                <w:b/>
              </w:rPr>
            </w:pPr>
            <w:r w:rsidRPr="004635E5">
              <w:rPr>
                <w:b/>
              </w:rPr>
              <w:t>2025</w:t>
            </w:r>
          </w:p>
        </w:tc>
        <w:tc>
          <w:tcPr>
            <w:tcW w:w="850" w:type="dxa"/>
            <w:tcBorders>
              <w:top w:val="single" w:sz="8" w:space="0" w:color="000000"/>
              <w:bottom w:val="single" w:sz="8" w:space="0" w:color="000000"/>
            </w:tcBorders>
          </w:tcPr>
          <w:p w14:paraId="57BE4DDC" w14:textId="77777777" w:rsidR="00C52929" w:rsidRPr="004635E5" w:rsidRDefault="00C52929" w:rsidP="00D10883">
            <w:pPr>
              <w:pStyle w:val="TableParagraph"/>
              <w:adjustRightInd w:val="0"/>
              <w:snapToGrid w:val="0"/>
              <w:spacing w:line="240" w:lineRule="auto"/>
              <w:ind w:left="-12"/>
              <w:jc w:val="right"/>
              <w:rPr>
                <w:b/>
              </w:rPr>
            </w:pPr>
            <w:r w:rsidRPr="004635E5">
              <w:rPr>
                <w:b/>
              </w:rPr>
              <w:t>2026</w:t>
            </w:r>
          </w:p>
        </w:tc>
      </w:tr>
      <w:tr w:rsidR="00C52929" w:rsidRPr="004635E5" w14:paraId="609EE8F1" w14:textId="77777777" w:rsidTr="00C52929">
        <w:trPr>
          <w:trHeight w:val="20"/>
        </w:trPr>
        <w:tc>
          <w:tcPr>
            <w:tcW w:w="9592" w:type="dxa"/>
            <w:gridSpan w:val="11"/>
            <w:tcBorders>
              <w:top w:val="single" w:sz="8" w:space="0" w:color="000000"/>
            </w:tcBorders>
          </w:tcPr>
          <w:p w14:paraId="2162A69F" w14:textId="77777777" w:rsidR="00C52929" w:rsidRPr="004635E5" w:rsidRDefault="00C52929" w:rsidP="00C52929">
            <w:pPr>
              <w:pStyle w:val="TableParagraph"/>
              <w:adjustRightInd w:val="0"/>
              <w:snapToGrid w:val="0"/>
              <w:spacing w:line="240" w:lineRule="auto"/>
              <w:ind w:left="-12"/>
              <w:rPr>
                <w:b/>
              </w:rPr>
            </w:pPr>
            <w:r w:rsidRPr="004635E5">
              <w:rPr>
                <w:b/>
                <w:u w:val="single"/>
              </w:rPr>
              <w:t>Scenario 1: F = F</w:t>
            </w:r>
            <w:r w:rsidRPr="004635E5">
              <w:rPr>
                <w:b/>
                <w:position w:val="-2"/>
                <w:u w:val="single"/>
              </w:rPr>
              <w:t>2013-2015</w:t>
            </w:r>
          </w:p>
        </w:tc>
      </w:tr>
      <w:tr w:rsidR="00C52929" w:rsidRPr="004635E5" w14:paraId="271A58EA" w14:textId="77777777" w:rsidTr="00C52929">
        <w:trPr>
          <w:trHeight w:val="20"/>
        </w:trPr>
        <w:tc>
          <w:tcPr>
            <w:tcW w:w="794" w:type="dxa"/>
          </w:tcPr>
          <w:p w14:paraId="4B5B54D2" w14:textId="77777777" w:rsidR="00C52929" w:rsidRPr="004635E5" w:rsidRDefault="00C52929" w:rsidP="00C52929">
            <w:pPr>
              <w:pStyle w:val="TableParagraph"/>
              <w:adjustRightInd w:val="0"/>
              <w:snapToGrid w:val="0"/>
              <w:spacing w:line="240" w:lineRule="auto"/>
              <w:ind w:left="0"/>
            </w:pPr>
            <w:r w:rsidRPr="004635E5">
              <w:t>SSB</w:t>
            </w:r>
          </w:p>
        </w:tc>
        <w:tc>
          <w:tcPr>
            <w:tcW w:w="932" w:type="dxa"/>
          </w:tcPr>
          <w:p w14:paraId="09D1CC04" w14:textId="77777777" w:rsidR="00C52929" w:rsidRPr="004635E5" w:rsidRDefault="00C52929" w:rsidP="00000C9D">
            <w:pPr>
              <w:pStyle w:val="TableParagraph"/>
              <w:adjustRightInd w:val="0"/>
              <w:snapToGrid w:val="0"/>
              <w:spacing w:line="240" w:lineRule="auto"/>
              <w:ind w:left="0" w:right="16"/>
              <w:jc w:val="right"/>
            </w:pPr>
            <w:r w:rsidRPr="004635E5">
              <w:rPr>
                <w:w w:val="95"/>
              </w:rPr>
              <w:t>32,118</w:t>
            </w:r>
          </w:p>
        </w:tc>
        <w:tc>
          <w:tcPr>
            <w:tcW w:w="876" w:type="dxa"/>
          </w:tcPr>
          <w:p w14:paraId="508C731E" w14:textId="77777777" w:rsidR="00C52929" w:rsidRPr="004635E5" w:rsidRDefault="00C52929" w:rsidP="00000C9D">
            <w:pPr>
              <w:pStyle w:val="TableParagraph"/>
              <w:adjustRightInd w:val="0"/>
              <w:snapToGrid w:val="0"/>
              <w:spacing w:line="240" w:lineRule="auto"/>
              <w:ind w:left="0" w:right="16"/>
              <w:jc w:val="right"/>
            </w:pPr>
            <w:r w:rsidRPr="004635E5">
              <w:t>33,207</w:t>
            </w:r>
          </w:p>
        </w:tc>
        <w:tc>
          <w:tcPr>
            <w:tcW w:w="878" w:type="dxa"/>
          </w:tcPr>
          <w:p w14:paraId="3729328C" w14:textId="77777777" w:rsidR="00C52929" w:rsidRPr="004635E5" w:rsidRDefault="00C52929" w:rsidP="00000C9D">
            <w:pPr>
              <w:pStyle w:val="TableParagraph"/>
              <w:adjustRightInd w:val="0"/>
              <w:snapToGrid w:val="0"/>
              <w:spacing w:line="240" w:lineRule="auto"/>
              <w:ind w:left="0" w:right="16"/>
              <w:jc w:val="right"/>
            </w:pPr>
            <w:r w:rsidRPr="004635E5">
              <w:t>34,599</w:t>
            </w:r>
          </w:p>
        </w:tc>
        <w:tc>
          <w:tcPr>
            <w:tcW w:w="877" w:type="dxa"/>
          </w:tcPr>
          <w:p w14:paraId="4284E6DF" w14:textId="77777777" w:rsidR="00C52929" w:rsidRPr="004635E5" w:rsidRDefault="00C52929" w:rsidP="00000C9D">
            <w:pPr>
              <w:pStyle w:val="TableParagraph"/>
              <w:adjustRightInd w:val="0"/>
              <w:snapToGrid w:val="0"/>
              <w:spacing w:line="240" w:lineRule="auto"/>
              <w:ind w:left="0" w:right="16"/>
              <w:jc w:val="right"/>
            </w:pPr>
            <w:r w:rsidRPr="004635E5">
              <w:t>35,476</w:t>
            </w:r>
          </w:p>
        </w:tc>
        <w:tc>
          <w:tcPr>
            <w:tcW w:w="877" w:type="dxa"/>
          </w:tcPr>
          <w:p w14:paraId="7F99D3D2" w14:textId="77777777" w:rsidR="00C52929" w:rsidRPr="004635E5" w:rsidRDefault="00C52929" w:rsidP="00000C9D">
            <w:pPr>
              <w:pStyle w:val="TableParagraph"/>
              <w:adjustRightInd w:val="0"/>
              <w:snapToGrid w:val="0"/>
              <w:spacing w:line="240" w:lineRule="auto"/>
              <w:ind w:left="0" w:right="16"/>
              <w:jc w:val="right"/>
            </w:pPr>
            <w:r w:rsidRPr="004635E5">
              <w:t>36,270</w:t>
            </w:r>
          </w:p>
        </w:tc>
        <w:tc>
          <w:tcPr>
            <w:tcW w:w="877" w:type="dxa"/>
          </w:tcPr>
          <w:p w14:paraId="4B602530" w14:textId="77777777" w:rsidR="00C52929" w:rsidRPr="004635E5" w:rsidRDefault="00C52929" w:rsidP="00000C9D">
            <w:pPr>
              <w:pStyle w:val="TableParagraph"/>
              <w:adjustRightInd w:val="0"/>
              <w:snapToGrid w:val="0"/>
              <w:spacing w:line="240" w:lineRule="auto"/>
              <w:ind w:left="0" w:right="16"/>
              <w:jc w:val="right"/>
            </w:pPr>
            <w:r w:rsidRPr="004635E5">
              <w:t>37,082</w:t>
            </w:r>
          </w:p>
        </w:tc>
        <w:tc>
          <w:tcPr>
            <w:tcW w:w="876" w:type="dxa"/>
          </w:tcPr>
          <w:p w14:paraId="427F6CB1" w14:textId="77777777" w:rsidR="00C52929" w:rsidRPr="004635E5" w:rsidRDefault="00C52929" w:rsidP="00000C9D">
            <w:pPr>
              <w:pStyle w:val="TableParagraph"/>
              <w:adjustRightInd w:val="0"/>
              <w:snapToGrid w:val="0"/>
              <w:spacing w:line="240" w:lineRule="auto"/>
              <w:ind w:left="0" w:right="16"/>
              <w:jc w:val="right"/>
            </w:pPr>
            <w:r w:rsidRPr="004635E5">
              <w:t>37,951</w:t>
            </w:r>
          </w:p>
        </w:tc>
        <w:tc>
          <w:tcPr>
            <w:tcW w:w="878" w:type="dxa"/>
          </w:tcPr>
          <w:p w14:paraId="2D799C5E" w14:textId="77777777" w:rsidR="00C52929" w:rsidRPr="004635E5" w:rsidRDefault="00C52929" w:rsidP="00000C9D">
            <w:pPr>
              <w:pStyle w:val="TableParagraph"/>
              <w:adjustRightInd w:val="0"/>
              <w:snapToGrid w:val="0"/>
              <w:spacing w:line="240" w:lineRule="auto"/>
              <w:ind w:left="0" w:right="16"/>
              <w:jc w:val="right"/>
            </w:pPr>
            <w:r w:rsidRPr="004635E5">
              <w:t>38,967</w:t>
            </w:r>
          </w:p>
        </w:tc>
        <w:tc>
          <w:tcPr>
            <w:tcW w:w="877" w:type="dxa"/>
          </w:tcPr>
          <w:p w14:paraId="2D70825D" w14:textId="77777777" w:rsidR="00C52929" w:rsidRPr="004635E5" w:rsidRDefault="00C52929" w:rsidP="00000C9D">
            <w:pPr>
              <w:pStyle w:val="TableParagraph"/>
              <w:adjustRightInd w:val="0"/>
              <w:snapToGrid w:val="0"/>
              <w:spacing w:line="240" w:lineRule="auto"/>
              <w:ind w:left="0" w:right="16"/>
              <w:jc w:val="right"/>
            </w:pPr>
            <w:r w:rsidRPr="004635E5">
              <w:t>40,083</w:t>
            </w:r>
          </w:p>
        </w:tc>
        <w:tc>
          <w:tcPr>
            <w:tcW w:w="850" w:type="dxa"/>
          </w:tcPr>
          <w:p w14:paraId="5045F6D0" w14:textId="77777777" w:rsidR="00C52929" w:rsidRPr="004635E5" w:rsidRDefault="00C52929" w:rsidP="00000C9D">
            <w:pPr>
              <w:pStyle w:val="TableParagraph"/>
              <w:adjustRightInd w:val="0"/>
              <w:snapToGrid w:val="0"/>
              <w:spacing w:line="240" w:lineRule="auto"/>
              <w:ind w:left="0" w:right="16"/>
              <w:jc w:val="right"/>
            </w:pPr>
            <w:r w:rsidRPr="004635E5">
              <w:rPr>
                <w:w w:val="95"/>
              </w:rPr>
              <w:t>41,087</w:t>
            </w:r>
          </w:p>
        </w:tc>
      </w:tr>
      <w:tr w:rsidR="00C52929" w:rsidRPr="004635E5" w14:paraId="60283A1D" w14:textId="77777777" w:rsidTr="00C52929">
        <w:trPr>
          <w:trHeight w:val="20"/>
        </w:trPr>
        <w:tc>
          <w:tcPr>
            <w:tcW w:w="794" w:type="dxa"/>
          </w:tcPr>
          <w:p w14:paraId="38D1CA32" w14:textId="77777777" w:rsidR="00C52929" w:rsidRPr="004635E5" w:rsidRDefault="00C52929" w:rsidP="00C52929">
            <w:pPr>
              <w:pStyle w:val="TableParagraph"/>
              <w:adjustRightInd w:val="0"/>
              <w:snapToGrid w:val="0"/>
              <w:spacing w:line="240" w:lineRule="auto"/>
              <w:ind w:left="0"/>
            </w:pPr>
            <w:r w:rsidRPr="004635E5">
              <w:t>Catch</w:t>
            </w:r>
          </w:p>
        </w:tc>
        <w:tc>
          <w:tcPr>
            <w:tcW w:w="932" w:type="dxa"/>
          </w:tcPr>
          <w:p w14:paraId="6346BB0D" w14:textId="77777777" w:rsidR="00C52929" w:rsidRPr="004635E5" w:rsidRDefault="00C52929" w:rsidP="00000C9D">
            <w:pPr>
              <w:pStyle w:val="TableParagraph"/>
              <w:adjustRightInd w:val="0"/>
              <w:snapToGrid w:val="0"/>
              <w:spacing w:line="240" w:lineRule="auto"/>
              <w:ind w:left="0" w:right="16"/>
              <w:jc w:val="right"/>
            </w:pPr>
            <w:r w:rsidRPr="004635E5">
              <w:t>8,851</w:t>
            </w:r>
          </w:p>
        </w:tc>
        <w:tc>
          <w:tcPr>
            <w:tcW w:w="876" w:type="dxa"/>
          </w:tcPr>
          <w:p w14:paraId="2B82C83A" w14:textId="77777777" w:rsidR="00C52929" w:rsidRPr="004635E5" w:rsidRDefault="00C52929" w:rsidP="00000C9D">
            <w:pPr>
              <w:pStyle w:val="TableParagraph"/>
              <w:adjustRightInd w:val="0"/>
              <w:snapToGrid w:val="0"/>
              <w:spacing w:line="240" w:lineRule="auto"/>
              <w:ind w:left="0" w:right="16"/>
              <w:jc w:val="right"/>
            </w:pPr>
            <w:r w:rsidRPr="004635E5">
              <w:t>9,135</w:t>
            </w:r>
          </w:p>
        </w:tc>
        <w:tc>
          <w:tcPr>
            <w:tcW w:w="878" w:type="dxa"/>
          </w:tcPr>
          <w:p w14:paraId="53481F21" w14:textId="77777777" w:rsidR="00C52929" w:rsidRPr="004635E5" w:rsidRDefault="00C52929" w:rsidP="00000C9D">
            <w:pPr>
              <w:pStyle w:val="TableParagraph"/>
              <w:adjustRightInd w:val="0"/>
              <w:snapToGrid w:val="0"/>
              <w:spacing w:line="240" w:lineRule="auto"/>
              <w:ind w:left="0" w:right="16"/>
              <w:jc w:val="right"/>
            </w:pPr>
            <w:r w:rsidRPr="004635E5">
              <w:t>9,407</w:t>
            </w:r>
          </w:p>
        </w:tc>
        <w:tc>
          <w:tcPr>
            <w:tcW w:w="877" w:type="dxa"/>
          </w:tcPr>
          <w:p w14:paraId="10DF0876" w14:textId="77777777" w:rsidR="00C52929" w:rsidRPr="004635E5" w:rsidRDefault="00C52929" w:rsidP="00000C9D">
            <w:pPr>
              <w:pStyle w:val="TableParagraph"/>
              <w:adjustRightInd w:val="0"/>
              <w:snapToGrid w:val="0"/>
              <w:spacing w:line="240" w:lineRule="auto"/>
              <w:ind w:left="0" w:right="16"/>
              <w:jc w:val="right"/>
            </w:pPr>
            <w:r w:rsidRPr="004635E5">
              <w:t>9,599</w:t>
            </w:r>
          </w:p>
        </w:tc>
        <w:tc>
          <w:tcPr>
            <w:tcW w:w="877" w:type="dxa"/>
          </w:tcPr>
          <w:p w14:paraId="575457AE" w14:textId="77777777" w:rsidR="00C52929" w:rsidRPr="004635E5" w:rsidRDefault="00C52929" w:rsidP="00000C9D">
            <w:pPr>
              <w:pStyle w:val="TableParagraph"/>
              <w:adjustRightInd w:val="0"/>
              <w:snapToGrid w:val="0"/>
              <w:spacing w:line="240" w:lineRule="auto"/>
              <w:ind w:left="0" w:right="16"/>
              <w:jc w:val="right"/>
            </w:pPr>
            <w:r w:rsidRPr="004635E5">
              <w:t>9,794</w:t>
            </w:r>
          </w:p>
        </w:tc>
        <w:tc>
          <w:tcPr>
            <w:tcW w:w="877" w:type="dxa"/>
          </w:tcPr>
          <w:p w14:paraId="59B48C9F" w14:textId="77777777" w:rsidR="00C52929" w:rsidRPr="004635E5" w:rsidRDefault="00C52929" w:rsidP="00000C9D">
            <w:pPr>
              <w:pStyle w:val="TableParagraph"/>
              <w:adjustRightInd w:val="0"/>
              <w:snapToGrid w:val="0"/>
              <w:spacing w:line="240" w:lineRule="auto"/>
              <w:ind w:left="0" w:right="16"/>
              <w:jc w:val="right"/>
            </w:pPr>
            <w:r w:rsidRPr="004635E5">
              <w:t>10,022</w:t>
            </w:r>
          </w:p>
        </w:tc>
        <w:tc>
          <w:tcPr>
            <w:tcW w:w="876" w:type="dxa"/>
          </w:tcPr>
          <w:p w14:paraId="7E838481" w14:textId="77777777" w:rsidR="00C52929" w:rsidRPr="004635E5" w:rsidRDefault="00C52929" w:rsidP="00000C9D">
            <w:pPr>
              <w:pStyle w:val="TableParagraph"/>
              <w:adjustRightInd w:val="0"/>
              <w:snapToGrid w:val="0"/>
              <w:spacing w:line="240" w:lineRule="auto"/>
              <w:ind w:left="0" w:right="16"/>
              <w:jc w:val="right"/>
            </w:pPr>
            <w:r w:rsidRPr="004635E5">
              <w:t>10,275</w:t>
            </w:r>
          </w:p>
        </w:tc>
        <w:tc>
          <w:tcPr>
            <w:tcW w:w="878" w:type="dxa"/>
          </w:tcPr>
          <w:p w14:paraId="167F336A" w14:textId="77777777" w:rsidR="00C52929" w:rsidRPr="004635E5" w:rsidRDefault="00C52929" w:rsidP="00000C9D">
            <w:pPr>
              <w:pStyle w:val="TableParagraph"/>
              <w:adjustRightInd w:val="0"/>
              <w:snapToGrid w:val="0"/>
              <w:spacing w:line="240" w:lineRule="auto"/>
              <w:ind w:left="0" w:right="16"/>
              <w:jc w:val="right"/>
            </w:pPr>
            <w:r w:rsidRPr="004635E5">
              <w:t>10,595</w:t>
            </w:r>
          </w:p>
        </w:tc>
        <w:tc>
          <w:tcPr>
            <w:tcW w:w="877" w:type="dxa"/>
          </w:tcPr>
          <w:p w14:paraId="28E42860" w14:textId="77777777" w:rsidR="00C52929" w:rsidRPr="004635E5" w:rsidRDefault="00C52929" w:rsidP="00000C9D">
            <w:pPr>
              <w:pStyle w:val="TableParagraph"/>
              <w:adjustRightInd w:val="0"/>
              <w:snapToGrid w:val="0"/>
              <w:spacing w:line="240" w:lineRule="auto"/>
              <w:ind w:left="0" w:right="16"/>
              <w:jc w:val="right"/>
            </w:pPr>
            <w:r w:rsidRPr="004635E5">
              <w:t>11,053</w:t>
            </w:r>
          </w:p>
        </w:tc>
        <w:tc>
          <w:tcPr>
            <w:tcW w:w="850" w:type="dxa"/>
          </w:tcPr>
          <w:p w14:paraId="53EDAD8F" w14:textId="77777777" w:rsidR="00C52929" w:rsidRPr="004635E5" w:rsidRDefault="00C52929" w:rsidP="00000C9D">
            <w:pPr>
              <w:pStyle w:val="TableParagraph"/>
              <w:adjustRightInd w:val="0"/>
              <w:snapToGrid w:val="0"/>
              <w:spacing w:line="240" w:lineRule="auto"/>
              <w:ind w:left="0" w:right="16"/>
              <w:jc w:val="right"/>
            </w:pPr>
            <w:r w:rsidRPr="004635E5">
              <w:rPr>
                <w:w w:val="95"/>
              </w:rPr>
              <w:t>11,142</w:t>
            </w:r>
          </w:p>
        </w:tc>
      </w:tr>
      <w:tr w:rsidR="00C52929" w:rsidRPr="004635E5" w14:paraId="77393C84" w14:textId="77777777" w:rsidTr="00C52929">
        <w:trPr>
          <w:trHeight w:val="20"/>
        </w:trPr>
        <w:tc>
          <w:tcPr>
            <w:tcW w:w="9592" w:type="dxa"/>
            <w:gridSpan w:val="11"/>
          </w:tcPr>
          <w:p w14:paraId="024A4B59" w14:textId="77777777" w:rsidR="00C52929" w:rsidRPr="004635E5" w:rsidRDefault="00C52929" w:rsidP="00C52929">
            <w:pPr>
              <w:pStyle w:val="TableParagraph"/>
              <w:adjustRightInd w:val="0"/>
              <w:snapToGrid w:val="0"/>
              <w:spacing w:line="240" w:lineRule="auto"/>
              <w:ind w:left="-12"/>
              <w:rPr>
                <w:b/>
              </w:rPr>
            </w:pPr>
            <w:r w:rsidRPr="004635E5">
              <w:rPr>
                <w:b/>
                <w:u w:val="single"/>
              </w:rPr>
              <w:t>Scenario 2: F = F</w:t>
            </w:r>
            <w:r w:rsidRPr="004635E5">
              <w:rPr>
                <w:b/>
                <w:position w:val="-2"/>
                <w:u w:val="single"/>
              </w:rPr>
              <w:t>MSY</w:t>
            </w:r>
          </w:p>
        </w:tc>
      </w:tr>
      <w:tr w:rsidR="00C52929" w:rsidRPr="004635E5" w14:paraId="4EF13C5A" w14:textId="77777777" w:rsidTr="00C52929">
        <w:trPr>
          <w:trHeight w:val="20"/>
        </w:trPr>
        <w:tc>
          <w:tcPr>
            <w:tcW w:w="794" w:type="dxa"/>
          </w:tcPr>
          <w:p w14:paraId="69D39415" w14:textId="77777777" w:rsidR="00C52929" w:rsidRPr="004635E5" w:rsidRDefault="00C52929" w:rsidP="00C52929">
            <w:pPr>
              <w:pStyle w:val="TableParagraph"/>
              <w:adjustRightInd w:val="0"/>
              <w:snapToGrid w:val="0"/>
              <w:spacing w:line="240" w:lineRule="auto"/>
              <w:ind w:left="0"/>
            </w:pPr>
            <w:r w:rsidRPr="004635E5">
              <w:t>SSB</w:t>
            </w:r>
          </w:p>
        </w:tc>
        <w:tc>
          <w:tcPr>
            <w:tcW w:w="932" w:type="dxa"/>
          </w:tcPr>
          <w:p w14:paraId="74E4CB68" w14:textId="77777777" w:rsidR="00C52929" w:rsidRPr="004635E5" w:rsidRDefault="00C52929" w:rsidP="00000C9D">
            <w:pPr>
              <w:pStyle w:val="TableParagraph"/>
              <w:adjustRightInd w:val="0"/>
              <w:snapToGrid w:val="0"/>
              <w:spacing w:line="240" w:lineRule="auto"/>
              <w:ind w:left="16" w:right="16"/>
              <w:jc w:val="right"/>
            </w:pPr>
            <w:r w:rsidRPr="004635E5">
              <w:rPr>
                <w:w w:val="95"/>
              </w:rPr>
              <w:t>28,267</w:t>
            </w:r>
          </w:p>
        </w:tc>
        <w:tc>
          <w:tcPr>
            <w:tcW w:w="876" w:type="dxa"/>
          </w:tcPr>
          <w:p w14:paraId="085C5690" w14:textId="77777777" w:rsidR="00C52929" w:rsidRPr="004635E5" w:rsidRDefault="00C52929" w:rsidP="00000C9D">
            <w:pPr>
              <w:pStyle w:val="TableParagraph"/>
              <w:adjustRightInd w:val="0"/>
              <w:snapToGrid w:val="0"/>
              <w:spacing w:line="240" w:lineRule="auto"/>
              <w:ind w:left="16" w:right="16"/>
              <w:jc w:val="right"/>
            </w:pPr>
            <w:r w:rsidRPr="004635E5">
              <w:t>23,963</w:t>
            </w:r>
          </w:p>
        </w:tc>
        <w:tc>
          <w:tcPr>
            <w:tcW w:w="878" w:type="dxa"/>
          </w:tcPr>
          <w:p w14:paraId="59717680" w14:textId="77777777" w:rsidR="00C52929" w:rsidRPr="004635E5" w:rsidRDefault="00C52929" w:rsidP="00000C9D">
            <w:pPr>
              <w:pStyle w:val="TableParagraph"/>
              <w:adjustRightInd w:val="0"/>
              <w:snapToGrid w:val="0"/>
              <w:spacing w:line="240" w:lineRule="auto"/>
              <w:ind w:left="16" w:right="16"/>
              <w:jc w:val="right"/>
            </w:pPr>
            <w:r w:rsidRPr="004635E5">
              <w:t>21,443</w:t>
            </w:r>
          </w:p>
        </w:tc>
        <w:tc>
          <w:tcPr>
            <w:tcW w:w="877" w:type="dxa"/>
          </w:tcPr>
          <w:p w14:paraId="70DC026F" w14:textId="77777777" w:rsidR="00C52929" w:rsidRPr="004635E5" w:rsidRDefault="00C52929" w:rsidP="00000C9D">
            <w:pPr>
              <w:pStyle w:val="TableParagraph"/>
              <w:adjustRightInd w:val="0"/>
              <w:snapToGrid w:val="0"/>
              <w:spacing w:line="240" w:lineRule="auto"/>
              <w:ind w:left="16" w:right="16"/>
              <w:jc w:val="right"/>
            </w:pPr>
            <w:r w:rsidRPr="004635E5">
              <w:t>19,458</w:t>
            </w:r>
          </w:p>
        </w:tc>
        <w:tc>
          <w:tcPr>
            <w:tcW w:w="877" w:type="dxa"/>
          </w:tcPr>
          <w:p w14:paraId="435658C8" w14:textId="77777777" w:rsidR="00C52929" w:rsidRPr="004635E5" w:rsidRDefault="00C52929" w:rsidP="00000C9D">
            <w:pPr>
              <w:pStyle w:val="TableParagraph"/>
              <w:adjustRightInd w:val="0"/>
              <w:snapToGrid w:val="0"/>
              <w:spacing w:line="240" w:lineRule="auto"/>
              <w:ind w:left="16" w:right="16"/>
              <w:jc w:val="right"/>
            </w:pPr>
            <w:r w:rsidRPr="004635E5">
              <w:t>18,303</w:t>
            </w:r>
          </w:p>
        </w:tc>
        <w:tc>
          <w:tcPr>
            <w:tcW w:w="877" w:type="dxa"/>
          </w:tcPr>
          <w:p w14:paraId="6298BF41" w14:textId="77777777" w:rsidR="00C52929" w:rsidRPr="004635E5" w:rsidRDefault="00C52929" w:rsidP="00000C9D">
            <w:pPr>
              <w:pStyle w:val="TableParagraph"/>
              <w:adjustRightInd w:val="0"/>
              <w:snapToGrid w:val="0"/>
              <w:spacing w:line="240" w:lineRule="auto"/>
              <w:ind w:left="16" w:right="16"/>
              <w:jc w:val="right"/>
            </w:pPr>
            <w:r w:rsidRPr="004635E5">
              <w:t>17,618</w:t>
            </w:r>
          </w:p>
        </w:tc>
        <w:tc>
          <w:tcPr>
            <w:tcW w:w="876" w:type="dxa"/>
          </w:tcPr>
          <w:p w14:paraId="18EE0F36" w14:textId="77777777" w:rsidR="00C52929" w:rsidRPr="004635E5" w:rsidRDefault="00C52929" w:rsidP="00000C9D">
            <w:pPr>
              <w:pStyle w:val="TableParagraph"/>
              <w:adjustRightInd w:val="0"/>
              <w:snapToGrid w:val="0"/>
              <w:spacing w:line="240" w:lineRule="auto"/>
              <w:ind w:left="16" w:right="16"/>
              <w:jc w:val="right"/>
            </w:pPr>
            <w:r w:rsidRPr="004635E5">
              <w:t>17,293</w:t>
            </w:r>
          </w:p>
        </w:tc>
        <w:tc>
          <w:tcPr>
            <w:tcW w:w="878" w:type="dxa"/>
          </w:tcPr>
          <w:p w14:paraId="7FCA41FC" w14:textId="77777777" w:rsidR="00C52929" w:rsidRPr="004635E5" w:rsidRDefault="00C52929" w:rsidP="00000C9D">
            <w:pPr>
              <w:pStyle w:val="TableParagraph"/>
              <w:adjustRightInd w:val="0"/>
              <w:snapToGrid w:val="0"/>
              <w:spacing w:line="240" w:lineRule="auto"/>
              <w:ind w:left="16" w:right="16"/>
              <w:jc w:val="right"/>
            </w:pPr>
            <w:r w:rsidRPr="004635E5">
              <w:t>17,197</w:t>
            </w:r>
          </w:p>
        </w:tc>
        <w:tc>
          <w:tcPr>
            <w:tcW w:w="877" w:type="dxa"/>
          </w:tcPr>
          <w:p w14:paraId="0D5269AB" w14:textId="77777777" w:rsidR="00C52929" w:rsidRPr="004635E5" w:rsidRDefault="00C52929" w:rsidP="00000C9D">
            <w:pPr>
              <w:pStyle w:val="TableParagraph"/>
              <w:adjustRightInd w:val="0"/>
              <w:snapToGrid w:val="0"/>
              <w:spacing w:line="240" w:lineRule="auto"/>
              <w:ind w:left="16" w:right="16"/>
              <w:jc w:val="right"/>
            </w:pPr>
            <w:r w:rsidRPr="004635E5">
              <w:rPr>
                <w:w w:val="95"/>
              </w:rPr>
              <w:t>17,253</w:t>
            </w:r>
          </w:p>
        </w:tc>
        <w:tc>
          <w:tcPr>
            <w:tcW w:w="850" w:type="dxa"/>
          </w:tcPr>
          <w:p w14:paraId="2DAC882F" w14:textId="77777777" w:rsidR="00C52929" w:rsidRPr="004635E5" w:rsidRDefault="00C52929" w:rsidP="00000C9D">
            <w:pPr>
              <w:pStyle w:val="TableParagraph"/>
              <w:adjustRightInd w:val="0"/>
              <w:snapToGrid w:val="0"/>
              <w:spacing w:line="240" w:lineRule="auto"/>
              <w:ind w:left="16" w:right="16"/>
              <w:jc w:val="right"/>
            </w:pPr>
            <w:r w:rsidRPr="004635E5">
              <w:rPr>
                <w:w w:val="95"/>
              </w:rPr>
              <w:t>17,263</w:t>
            </w:r>
          </w:p>
        </w:tc>
      </w:tr>
      <w:tr w:rsidR="00C52929" w:rsidRPr="004635E5" w14:paraId="2700CF36" w14:textId="77777777" w:rsidTr="00C52929">
        <w:trPr>
          <w:trHeight w:val="20"/>
        </w:trPr>
        <w:tc>
          <w:tcPr>
            <w:tcW w:w="794" w:type="dxa"/>
          </w:tcPr>
          <w:p w14:paraId="17A53B43" w14:textId="77777777" w:rsidR="00C52929" w:rsidRPr="004635E5" w:rsidRDefault="00C52929" w:rsidP="00C52929">
            <w:pPr>
              <w:pStyle w:val="TableParagraph"/>
              <w:adjustRightInd w:val="0"/>
              <w:snapToGrid w:val="0"/>
              <w:spacing w:line="240" w:lineRule="auto"/>
              <w:ind w:left="0"/>
            </w:pPr>
            <w:r w:rsidRPr="004635E5">
              <w:t>Catch</w:t>
            </w:r>
          </w:p>
        </w:tc>
        <w:tc>
          <w:tcPr>
            <w:tcW w:w="932" w:type="dxa"/>
          </w:tcPr>
          <w:p w14:paraId="38DF48C4" w14:textId="77777777" w:rsidR="00C52929" w:rsidRPr="004635E5" w:rsidRDefault="00C52929" w:rsidP="00000C9D">
            <w:pPr>
              <w:pStyle w:val="TableParagraph"/>
              <w:adjustRightInd w:val="0"/>
              <w:snapToGrid w:val="0"/>
              <w:spacing w:line="240" w:lineRule="auto"/>
              <w:ind w:left="16" w:right="16"/>
              <w:jc w:val="right"/>
            </w:pPr>
            <w:r w:rsidRPr="004635E5">
              <w:rPr>
                <w:w w:val="95"/>
              </w:rPr>
              <w:t>20,885</w:t>
            </w:r>
          </w:p>
        </w:tc>
        <w:tc>
          <w:tcPr>
            <w:tcW w:w="876" w:type="dxa"/>
          </w:tcPr>
          <w:p w14:paraId="68F74F5B" w14:textId="77777777" w:rsidR="00C52929" w:rsidRPr="004635E5" w:rsidRDefault="00C52929" w:rsidP="00000C9D">
            <w:pPr>
              <w:pStyle w:val="TableParagraph"/>
              <w:adjustRightInd w:val="0"/>
              <w:snapToGrid w:val="0"/>
              <w:spacing w:line="240" w:lineRule="auto"/>
              <w:ind w:left="16" w:right="16"/>
              <w:jc w:val="right"/>
            </w:pPr>
            <w:r w:rsidRPr="004635E5">
              <w:t>18,323</w:t>
            </w:r>
          </w:p>
        </w:tc>
        <w:tc>
          <w:tcPr>
            <w:tcW w:w="878" w:type="dxa"/>
          </w:tcPr>
          <w:p w14:paraId="72AC5330" w14:textId="77777777" w:rsidR="00C52929" w:rsidRPr="004635E5" w:rsidRDefault="00C52929" w:rsidP="00000C9D">
            <w:pPr>
              <w:pStyle w:val="TableParagraph"/>
              <w:adjustRightInd w:val="0"/>
              <w:snapToGrid w:val="0"/>
              <w:spacing w:line="240" w:lineRule="auto"/>
              <w:ind w:left="16" w:right="16"/>
              <w:jc w:val="right"/>
            </w:pPr>
            <w:r w:rsidRPr="004635E5">
              <w:t>16,509</w:t>
            </w:r>
          </w:p>
        </w:tc>
        <w:tc>
          <w:tcPr>
            <w:tcW w:w="877" w:type="dxa"/>
          </w:tcPr>
          <w:p w14:paraId="58003F50" w14:textId="77777777" w:rsidR="00C52929" w:rsidRPr="004635E5" w:rsidRDefault="00C52929" w:rsidP="00000C9D">
            <w:pPr>
              <w:pStyle w:val="TableParagraph"/>
              <w:adjustRightInd w:val="0"/>
              <w:snapToGrid w:val="0"/>
              <w:spacing w:line="240" w:lineRule="auto"/>
              <w:ind w:left="16" w:right="16"/>
              <w:jc w:val="right"/>
            </w:pPr>
            <w:r w:rsidRPr="004635E5">
              <w:t>15,294</w:t>
            </w:r>
          </w:p>
        </w:tc>
        <w:tc>
          <w:tcPr>
            <w:tcW w:w="877" w:type="dxa"/>
          </w:tcPr>
          <w:p w14:paraId="1C89C90A" w14:textId="77777777" w:rsidR="00C52929" w:rsidRPr="004635E5" w:rsidRDefault="00C52929" w:rsidP="00000C9D">
            <w:pPr>
              <w:pStyle w:val="TableParagraph"/>
              <w:adjustRightInd w:val="0"/>
              <w:snapToGrid w:val="0"/>
              <w:spacing w:line="240" w:lineRule="auto"/>
              <w:ind w:left="16" w:right="16"/>
              <w:jc w:val="right"/>
            </w:pPr>
            <w:r w:rsidRPr="004635E5">
              <w:t>14,666</w:t>
            </w:r>
          </w:p>
        </w:tc>
        <w:tc>
          <w:tcPr>
            <w:tcW w:w="877" w:type="dxa"/>
          </w:tcPr>
          <w:p w14:paraId="6CF24A77" w14:textId="77777777" w:rsidR="00C52929" w:rsidRPr="004635E5" w:rsidRDefault="00C52929" w:rsidP="00000C9D">
            <w:pPr>
              <w:pStyle w:val="TableParagraph"/>
              <w:adjustRightInd w:val="0"/>
              <w:snapToGrid w:val="0"/>
              <w:spacing w:line="240" w:lineRule="auto"/>
              <w:ind w:left="16" w:right="16"/>
              <w:jc w:val="right"/>
            </w:pPr>
            <w:r w:rsidRPr="004635E5">
              <w:t>14,353</w:t>
            </w:r>
          </w:p>
        </w:tc>
        <w:tc>
          <w:tcPr>
            <w:tcW w:w="876" w:type="dxa"/>
          </w:tcPr>
          <w:p w14:paraId="261F9C29" w14:textId="77777777" w:rsidR="00C52929" w:rsidRPr="004635E5" w:rsidRDefault="00C52929" w:rsidP="00000C9D">
            <w:pPr>
              <w:pStyle w:val="TableParagraph"/>
              <w:adjustRightInd w:val="0"/>
              <w:snapToGrid w:val="0"/>
              <w:spacing w:line="240" w:lineRule="auto"/>
              <w:ind w:left="16" w:right="16"/>
              <w:jc w:val="right"/>
            </w:pPr>
            <w:r w:rsidRPr="004635E5">
              <w:t>14,308</w:t>
            </w:r>
          </w:p>
        </w:tc>
        <w:tc>
          <w:tcPr>
            <w:tcW w:w="878" w:type="dxa"/>
          </w:tcPr>
          <w:p w14:paraId="25B69E26" w14:textId="77777777" w:rsidR="00C52929" w:rsidRPr="004635E5" w:rsidRDefault="00C52929" w:rsidP="00000C9D">
            <w:pPr>
              <w:pStyle w:val="TableParagraph"/>
              <w:adjustRightInd w:val="0"/>
              <w:snapToGrid w:val="0"/>
              <w:spacing w:line="240" w:lineRule="auto"/>
              <w:ind w:left="16" w:right="16"/>
              <w:jc w:val="right"/>
            </w:pPr>
            <w:r w:rsidRPr="004635E5">
              <w:t>14,520</w:t>
            </w:r>
          </w:p>
        </w:tc>
        <w:tc>
          <w:tcPr>
            <w:tcW w:w="877" w:type="dxa"/>
          </w:tcPr>
          <w:p w14:paraId="69DDD5B1" w14:textId="77777777" w:rsidR="00C52929" w:rsidRPr="004635E5" w:rsidRDefault="00C52929" w:rsidP="00000C9D">
            <w:pPr>
              <w:pStyle w:val="TableParagraph"/>
              <w:adjustRightInd w:val="0"/>
              <w:snapToGrid w:val="0"/>
              <w:spacing w:line="240" w:lineRule="auto"/>
              <w:ind w:left="16" w:right="16"/>
              <w:jc w:val="right"/>
            </w:pPr>
            <w:r w:rsidRPr="004635E5">
              <w:rPr>
                <w:w w:val="95"/>
              </w:rPr>
              <w:t>14,650</w:t>
            </w:r>
          </w:p>
        </w:tc>
        <w:tc>
          <w:tcPr>
            <w:tcW w:w="850" w:type="dxa"/>
          </w:tcPr>
          <w:p w14:paraId="7E5BE8D9" w14:textId="77777777" w:rsidR="00C52929" w:rsidRPr="004635E5" w:rsidRDefault="00C52929" w:rsidP="00000C9D">
            <w:pPr>
              <w:pStyle w:val="TableParagraph"/>
              <w:adjustRightInd w:val="0"/>
              <w:snapToGrid w:val="0"/>
              <w:spacing w:line="240" w:lineRule="auto"/>
              <w:ind w:left="16" w:right="16"/>
              <w:jc w:val="right"/>
            </w:pPr>
            <w:r w:rsidRPr="004635E5">
              <w:rPr>
                <w:w w:val="95"/>
              </w:rPr>
              <w:t>14,348</w:t>
            </w:r>
          </w:p>
        </w:tc>
      </w:tr>
      <w:tr w:rsidR="00C52929" w:rsidRPr="004635E5" w14:paraId="31862CC5" w14:textId="77777777" w:rsidTr="00C52929">
        <w:trPr>
          <w:trHeight w:val="20"/>
        </w:trPr>
        <w:tc>
          <w:tcPr>
            <w:tcW w:w="9592" w:type="dxa"/>
            <w:gridSpan w:val="11"/>
          </w:tcPr>
          <w:p w14:paraId="651A0030" w14:textId="77777777" w:rsidR="00C52929" w:rsidRPr="004635E5" w:rsidRDefault="00C52929" w:rsidP="00C52929">
            <w:pPr>
              <w:pStyle w:val="TableParagraph"/>
              <w:adjustRightInd w:val="0"/>
              <w:snapToGrid w:val="0"/>
              <w:spacing w:line="240" w:lineRule="auto"/>
              <w:ind w:left="-12"/>
              <w:rPr>
                <w:b/>
              </w:rPr>
            </w:pPr>
            <w:r w:rsidRPr="004635E5">
              <w:rPr>
                <w:b/>
                <w:u w:val="single"/>
              </w:rPr>
              <w:t>Scenario 3: F = F20%SSB(F=0)</w:t>
            </w:r>
          </w:p>
        </w:tc>
      </w:tr>
      <w:tr w:rsidR="00C52929" w:rsidRPr="004635E5" w14:paraId="2D729436" w14:textId="77777777" w:rsidTr="00C52929">
        <w:trPr>
          <w:trHeight w:val="20"/>
        </w:trPr>
        <w:tc>
          <w:tcPr>
            <w:tcW w:w="794" w:type="dxa"/>
          </w:tcPr>
          <w:p w14:paraId="03705AA9" w14:textId="77777777" w:rsidR="00C52929" w:rsidRPr="004635E5" w:rsidRDefault="00C52929" w:rsidP="00C52929">
            <w:pPr>
              <w:pStyle w:val="TableParagraph"/>
              <w:adjustRightInd w:val="0"/>
              <w:snapToGrid w:val="0"/>
              <w:spacing w:line="240" w:lineRule="auto"/>
              <w:ind w:left="0"/>
            </w:pPr>
            <w:r w:rsidRPr="004635E5">
              <w:t>SSB</w:t>
            </w:r>
          </w:p>
        </w:tc>
        <w:tc>
          <w:tcPr>
            <w:tcW w:w="932" w:type="dxa"/>
          </w:tcPr>
          <w:p w14:paraId="0852B7C0" w14:textId="77777777" w:rsidR="00C52929" w:rsidRPr="004635E5" w:rsidRDefault="00C52929" w:rsidP="00000C9D">
            <w:pPr>
              <w:pStyle w:val="TableParagraph"/>
              <w:adjustRightInd w:val="0"/>
              <w:snapToGrid w:val="0"/>
              <w:spacing w:line="240" w:lineRule="auto"/>
              <w:ind w:left="16" w:right="16"/>
              <w:jc w:val="right"/>
            </w:pPr>
            <w:r w:rsidRPr="004635E5">
              <w:rPr>
                <w:w w:val="95"/>
              </w:rPr>
              <w:t>28,425</w:t>
            </w:r>
          </w:p>
        </w:tc>
        <w:tc>
          <w:tcPr>
            <w:tcW w:w="876" w:type="dxa"/>
          </w:tcPr>
          <w:p w14:paraId="685FF69F" w14:textId="77777777" w:rsidR="00C52929" w:rsidRPr="004635E5" w:rsidRDefault="00C52929" w:rsidP="00000C9D">
            <w:pPr>
              <w:pStyle w:val="TableParagraph"/>
              <w:adjustRightInd w:val="0"/>
              <w:snapToGrid w:val="0"/>
              <w:spacing w:line="240" w:lineRule="auto"/>
              <w:ind w:left="16" w:right="16"/>
              <w:jc w:val="right"/>
            </w:pPr>
            <w:r w:rsidRPr="004635E5">
              <w:t>24,384</w:t>
            </w:r>
          </w:p>
        </w:tc>
        <w:tc>
          <w:tcPr>
            <w:tcW w:w="878" w:type="dxa"/>
          </w:tcPr>
          <w:p w14:paraId="4485229B" w14:textId="77777777" w:rsidR="00C52929" w:rsidRPr="004635E5" w:rsidRDefault="00C52929" w:rsidP="00000C9D">
            <w:pPr>
              <w:pStyle w:val="TableParagraph"/>
              <w:adjustRightInd w:val="0"/>
              <w:snapToGrid w:val="0"/>
              <w:spacing w:line="240" w:lineRule="auto"/>
              <w:ind w:left="16" w:right="16"/>
              <w:jc w:val="right"/>
            </w:pPr>
            <w:r w:rsidRPr="004635E5">
              <w:t>21,800</w:t>
            </w:r>
          </w:p>
        </w:tc>
        <w:tc>
          <w:tcPr>
            <w:tcW w:w="877" w:type="dxa"/>
          </w:tcPr>
          <w:p w14:paraId="428D5CEA" w14:textId="77777777" w:rsidR="00C52929" w:rsidRPr="004635E5" w:rsidRDefault="00C52929" w:rsidP="00000C9D">
            <w:pPr>
              <w:pStyle w:val="TableParagraph"/>
              <w:adjustRightInd w:val="0"/>
              <w:snapToGrid w:val="0"/>
              <w:spacing w:line="240" w:lineRule="auto"/>
              <w:ind w:left="16" w:right="16"/>
              <w:jc w:val="right"/>
            </w:pPr>
            <w:r w:rsidRPr="004635E5">
              <w:t>19,735</w:t>
            </w:r>
          </w:p>
        </w:tc>
        <w:tc>
          <w:tcPr>
            <w:tcW w:w="877" w:type="dxa"/>
          </w:tcPr>
          <w:p w14:paraId="44325739" w14:textId="77777777" w:rsidR="00C52929" w:rsidRPr="004635E5" w:rsidRDefault="00C52929" w:rsidP="00000C9D">
            <w:pPr>
              <w:pStyle w:val="TableParagraph"/>
              <w:adjustRightInd w:val="0"/>
              <w:snapToGrid w:val="0"/>
              <w:spacing w:line="240" w:lineRule="auto"/>
              <w:ind w:left="16" w:right="16"/>
              <w:jc w:val="right"/>
            </w:pPr>
            <w:r w:rsidRPr="004635E5">
              <w:t>18,530</w:t>
            </w:r>
          </w:p>
        </w:tc>
        <w:tc>
          <w:tcPr>
            <w:tcW w:w="877" w:type="dxa"/>
          </w:tcPr>
          <w:p w14:paraId="5A48F3DB" w14:textId="77777777" w:rsidR="00C52929" w:rsidRPr="004635E5" w:rsidRDefault="00C52929" w:rsidP="00000C9D">
            <w:pPr>
              <w:pStyle w:val="TableParagraph"/>
              <w:adjustRightInd w:val="0"/>
              <w:snapToGrid w:val="0"/>
              <w:spacing w:line="240" w:lineRule="auto"/>
              <w:ind w:left="16" w:right="16"/>
              <w:jc w:val="right"/>
            </w:pPr>
            <w:r w:rsidRPr="004635E5">
              <w:t>17,874</w:t>
            </w:r>
          </w:p>
        </w:tc>
        <w:tc>
          <w:tcPr>
            <w:tcW w:w="876" w:type="dxa"/>
          </w:tcPr>
          <w:p w14:paraId="3BC003B5" w14:textId="77777777" w:rsidR="00C52929" w:rsidRPr="004635E5" w:rsidRDefault="00C52929" w:rsidP="00000C9D">
            <w:pPr>
              <w:pStyle w:val="TableParagraph"/>
              <w:adjustRightInd w:val="0"/>
              <w:snapToGrid w:val="0"/>
              <w:spacing w:line="240" w:lineRule="auto"/>
              <w:ind w:left="16" w:right="16"/>
              <w:jc w:val="right"/>
            </w:pPr>
            <w:r w:rsidRPr="004635E5">
              <w:t>17,496</w:t>
            </w:r>
          </w:p>
        </w:tc>
        <w:tc>
          <w:tcPr>
            <w:tcW w:w="878" w:type="dxa"/>
          </w:tcPr>
          <w:p w14:paraId="505B06DA" w14:textId="77777777" w:rsidR="00C52929" w:rsidRPr="004635E5" w:rsidRDefault="00C52929" w:rsidP="00000C9D">
            <w:pPr>
              <w:pStyle w:val="TableParagraph"/>
              <w:adjustRightInd w:val="0"/>
              <w:snapToGrid w:val="0"/>
              <w:spacing w:line="240" w:lineRule="auto"/>
              <w:ind w:left="16" w:right="16"/>
              <w:jc w:val="right"/>
            </w:pPr>
            <w:r w:rsidRPr="004635E5">
              <w:t>17,586</w:t>
            </w:r>
          </w:p>
        </w:tc>
        <w:tc>
          <w:tcPr>
            <w:tcW w:w="877" w:type="dxa"/>
          </w:tcPr>
          <w:p w14:paraId="4F22B9B4" w14:textId="77777777" w:rsidR="00C52929" w:rsidRPr="004635E5" w:rsidRDefault="00C52929" w:rsidP="00000C9D">
            <w:pPr>
              <w:pStyle w:val="TableParagraph"/>
              <w:adjustRightInd w:val="0"/>
              <w:snapToGrid w:val="0"/>
              <w:spacing w:line="240" w:lineRule="auto"/>
              <w:ind w:left="16" w:right="16"/>
              <w:jc w:val="right"/>
            </w:pPr>
            <w:r w:rsidRPr="004635E5">
              <w:rPr>
                <w:w w:val="95"/>
              </w:rPr>
              <w:t>17,818</w:t>
            </w:r>
          </w:p>
        </w:tc>
        <w:tc>
          <w:tcPr>
            <w:tcW w:w="850" w:type="dxa"/>
          </w:tcPr>
          <w:p w14:paraId="023B066F" w14:textId="77777777" w:rsidR="00C52929" w:rsidRPr="004635E5" w:rsidRDefault="00C52929" w:rsidP="00000C9D">
            <w:pPr>
              <w:pStyle w:val="TableParagraph"/>
              <w:adjustRightInd w:val="0"/>
              <w:snapToGrid w:val="0"/>
              <w:spacing w:line="240" w:lineRule="auto"/>
              <w:ind w:left="16" w:right="16"/>
              <w:jc w:val="right"/>
            </w:pPr>
            <w:r w:rsidRPr="004635E5">
              <w:rPr>
                <w:w w:val="95"/>
              </w:rPr>
              <w:t>17,779</w:t>
            </w:r>
          </w:p>
        </w:tc>
      </w:tr>
      <w:tr w:rsidR="00C52929" w:rsidRPr="004635E5" w14:paraId="5D5B24B6" w14:textId="77777777" w:rsidTr="00C52929">
        <w:trPr>
          <w:trHeight w:val="20"/>
        </w:trPr>
        <w:tc>
          <w:tcPr>
            <w:tcW w:w="794" w:type="dxa"/>
          </w:tcPr>
          <w:p w14:paraId="1FACA4D4" w14:textId="77777777" w:rsidR="00C52929" w:rsidRPr="004635E5" w:rsidRDefault="00C52929" w:rsidP="00C52929">
            <w:pPr>
              <w:pStyle w:val="TableParagraph"/>
              <w:adjustRightInd w:val="0"/>
              <w:snapToGrid w:val="0"/>
              <w:spacing w:line="240" w:lineRule="auto"/>
              <w:ind w:left="0"/>
            </w:pPr>
            <w:r w:rsidRPr="004635E5">
              <w:t>Catch</w:t>
            </w:r>
          </w:p>
        </w:tc>
        <w:tc>
          <w:tcPr>
            <w:tcW w:w="932" w:type="dxa"/>
          </w:tcPr>
          <w:p w14:paraId="3D3C0EE4" w14:textId="77777777" w:rsidR="00C52929" w:rsidRPr="004635E5" w:rsidRDefault="00C52929" w:rsidP="00000C9D">
            <w:pPr>
              <w:pStyle w:val="TableParagraph"/>
              <w:adjustRightInd w:val="0"/>
              <w:snapToGrid w:val="0"/>
              <w:spacing w:line="240" w:lineRule="auto"/>
              <w:ind w:left="16" w:right="16"/>
              <w:jc w:val="right"/>
            </w:pPr>
            <w:r w:rsidRPr="004635E5">
              <w:rPr>
                <w:w w:val="95"/>
              </w:rPr>
              <w:t>20,691</w:t>
            </w:r>
          </w:p>
        </w:tc>
        <w:tc>
          <w:tcPr>
            <w:tcW w:w="876" w:type="dxa"/>
          </w:tcPr>
          <w:p w14:paraId="44140B4F" w14:textId="77777777" w:rsidR="00C52929" w:rsidRPr="004635E5" w:rsidRDefault="00C52929" w:rsidP="00000C9D">
            <w:pPr>
              <w:pStyle w:val="TableParagraph"/>
              <w:adjustRightInd w:val="0"/>
              <w:snapToGrid w:val="0"/>
              <w:spacing w:line="240" w:lineRule="auto"/>
              <w:ind w:left="16" w:right="16"/>
              <w:jc w:val="right"/>
            </w:pPr>
            <w:r w:rsidRPr="004635E5">
              <w:t>18,122</w:t>
            </w:r>
          </w:p>
        </w:tc>
        <w:tc>
          <w:tcPr>
            <w:tcW w:w="878" w:type="dxa"/>
          </w:tcPr>
          <w:p w14:paraId="50029E4E" w14:textId="77777777" w:rsidR="00C52929" w:rsidRPr="004635E5" w:rsidRDefault="00C52929" w:rsidP="00000C9D">
            <w:pPr>
              <w:pStyle w:val="TableParagraph"/>
              <w:adjustRightInd w:val="0"/>
              <w:snapToGrid w:val="0"/>
              <w:spacing w:line="240" w:lineRule="auto"/>
              <w:ind w:left="16" w:right="16"/>
              <w:jc w:val="right"/>
            </w:pPr>
            <w:r w:rsidRPr="004635E5">
              <w:t>16,454</w:t>
            </w:r>
          </w:p>
        </w:tc>
        <w:tc>
          <w:tcPr>
            <w:tcW w:w="877" w:type="dxa"/>
          </w:tcPr>
          <w:p w14:paraId="0F7FF08E" w14:textId="77777777" w:rsidR="00C52929" w:rsidRPr="004635E5" w:rsidRDefault="00C52929" w:rsidP="00000C9D">
            <w:pPr>
              <w:pStyle w:val="TableParagraph"/>
              <w:adjustRightInd w:val="0"/>
              <w:snapToGrid w:val="0"/>
              <w:spacing w:line="240" w:lineRule="auto"/>
              <w:ind w:left="16" w:right="16"/>
              <w:jc w:val="right"/>
            </w:pPr>
            <w:r w:rsidRPr="004635E5">
              <w:t>15,261</w:t>
            </w:r>
          </w:p>
        </w:tc>
        <w:tc>
          <w:tcPr>
            <w:tcW w:w="877" w:type="dxa"/>
          </w:tcPr>
          <w:p w14:paraId="3A3C1F60" w14:textId="77777777" w:rsidR="00C52929" w:rsidRPr="004635E5" w:rsidRDefault="00C52929" w:rsidP="00000C9D">
            <w:pPr>
              <w:pStyle w:val="TableParagraph"/>
              <w:adjustRightInd w:val="0"/>
              <w:snapToGrid w:val="0"/>
              <w:spacing w:line="240" w:lineRule="auto"/>
              <w:ind w:left="16" w:right="16"/>
              <w:jc w:val="right"/>
            </w:pPr>
            <w:r w:rsidRPr="004635E5">
              <w:t>14,653</w:t>
            </w:r>
          </w:p>
        </w:tc>
        <w:tc>
          <w:tcPr>
            <w:tcW w:w="877" w:type="dxa"/>
          </w:tcPr>
          <w:p w14:paraId="2F8C6AA9" w14:textId="77777777" w:rsidR="00C52929" w:rsidRPr="004635E5" w:rsidRDefault="00C52929" w:rsidP="00000C9D">
            <w:pPr>
              <w:pStyle w:val="TableParagraph"/>
              <w:adjustRightInd w:val="0"/>
              <w:snapToGrid w:val="0"/>
              <w:spacing w:line="240" w:lineRule="auto"/>
              <w:ind w:left="16" w:right="16"/>
              <w:jc w:val="right"/>
            </w:pPr>
            <w:r w:rsidRPr="004635E5">
              <w:t>14,361</w:t>
            </w:r>
          </w:p>
        </w:tc>
        <w:tc>
          <w:tcPr>
            <w:tcW w:w="876" w:type="dxa"/>
          </w:tcPr>
          <w:p w14:paraId="38E4A57E" w14:textId="77777777" w:rsidR="00C52929" w:rsidRPr="004635E5" w:rsidRDefault="00C52929" w:rsidP="00000C9D">
            <w:pPr>
              <w:pStyle w:val="TableParagraph"/>
              <w:adjustRightInd w:val="0"/>
              <w:snapToGrid w:val="0"/>
              <w:spacing w:line="240" w:lineRule="auto"/>
              <w:ind w:left="16" w:right="16"/>
              <w:jc w:val="right"/>
            </w:pPr>
            <w:r w:rsidRPr="004635E5">
              <w:t>14,319</w:t>
            </w:r>
          </w:p>
        </w:tc>
        <w:tc>
          <w:tcPr>
            <w:tcW w:w="878" w:type="dxa"/>
          </w:tcPr>
          <w:p w14:paraId="36ADB348" w14:textId="77777777" w:rsidR="00C52929" w:rsidRPr="004635E5" w:rsidRDefault="00C52929" w:rsidP="00000C9D">
            <w:pPr>
              <w:pStyle w:val="TableParagraph"/>
              <w:adjustRightInd w:val="0"/>
              <w:snapToGrid w:val="0"/>
              <w:spacing w:line="240" w:lineRule="auto"/>
              <w:ind w:left="16" w:right="16"/>
              <w:jc w:val="right"/>
            </w:pPr>
            <w:r w:rsidRPr="004635E5">
              <w:t>14,554</w:t>
            </w:r>
          </w:p>
        </w:tc>
        <w:tc>
          <w:tcPr>
            <w:tcW w:w="877" w:type="dxa"/>
          </w:tcPr>
          <w:p w14:paraId="40C3A933" w14:textId="77777777" w:rsidR="00C52929" w:rsidRPr="004635E5" w:rsidRDefault="00C52929" w:rsidP="00000C9D">
            <w:pPr>
              <w:pStyle w:val="TableParagraph"/>
              <w:adjustRightInd w:val="0"/>
              <w:snapToGrid w:val="0"/>
              <w:spacing w:line="240" w:lineRule="auto"/>
              <w:ind w:left="16" w:right="16"/>
              <w:jc w:val="right"/>
            </w:pPr>
            <w:r w:rsidRPr="004635E5">
              <w:rPr>
                <w:w w:val="95"/>
              </w:rPr>
              <w:t>14,665</w:t>
            </w:r>
          </w:p>
        </w:tc>
        <w:tc>
          <w:tcPr>
            <w:tcW w:w="850" w:type="dxa"/>
          </w:tcPr>
          <w:p w14:paraId="2D3ECD6A" w14:textId="77777777" w:rsidR="00C52929" w:rsidRPr="004635E5" w:rsidRDefault="00C52929" w:rsidP="00000C9D">
            <w:pPr>
              <w:pStyle w:val="TableParagraph"/>
              <w:adjustRightInd w:val="0"/>
              <w:snapToGrid w:val="0"/>
              <w:spacing w:line="240" w:lineRule="auto"/>
              <w:ind w:left="16" w:right="16"/>
              <w:jc w:val="right"/>
            </w:pPr>
            <w:r w:rsidRPr="004635E5">
              <w:rPr>
                <w:w w:val="95"/>
              </w:rPr>
              <w:t>14,384</w:t>
            </w:r>
          </w:p>
        </w:tc>
      </w:tr>
      <w:tr w:rsidR="00C52929" w:rsidRPr="004635E5" w14:paraId="622B5106" w14:textId="77777777" w:rsidTr="00C52929">
        <w:trPr>
          <w:trHeight w:val="20"/>
        </w:trPr>
        <w:tc>
          <w:tcPr>
            <w:tcW w:w="9592" w:type="dxa"/>
            <w:gridSpan w:val="11"/>
          </w:tcPr>
          <w:p w14:paraId="0C9C45B8" w14:textId="77777777" w:rsidR="00C52929" w:rsidRPr="004635E5" w:rsidRDefault="00C52929" w:rsidP="00C52929">
            <w:pPr>
              <w:pStyle w:val="TableParagraph"/>
              <w:adjustRightInd w:val="0"/>
              <w:snapToGrid w:val="0"/>
              <w:spacing w:line="240" w:lineRule="auto"/>
              <w:ind w:left="-12"/>
              <w:rPr>
                <w:b/>
              </w:rPr>
            </w:pPr>
            <w:r w:rsidRPr="004635E5">
              <w:rPr>
                <w:b/>
                <w:u w:val="single"/>
              </w:rPr>
              <w:t>Scenario 4: F = F</w:t>
            </w:r>
            <w:r w:rsidRPr="004635E5">
              <w:rPr>
                <w:b/>
                <w:position w:val="-2"/>
                <w:u w:val="single"/>
              </w:rPr>
              <w:t>20%</w:t>
            </w:r>
          </w:p>
        </w:tc>
      </w:tr>
      <w:tr w:rsidR="00C52929" w:rsidRPr="004635E5" w14:paraId="2A8592F7" w14:textId="77777777" w:rsidTr="00C52929">
        <w:trPr>
          <w:trHeight w:val="20"/>
        </w:trPr>
        <w:tc>
          <w:tcPr>
            <w:tcW w:w="794" w:type="dxa"/>
          </w:tcPr>
          <w:p w14:paraId="32D04153" w14:textId="77777777" w:rsidR="00C52929" w:rsidRPr="004635E5" w:rsidRDefault="00C52929" w:rsidP="00C52929">
            <w:pPr>
              <w:pStyle w:val="TableParagraph"/>
              <w:adjustRightInd w:val="0"/>
              <w:snapToGrid w:val="0"/>
              <w:spacing w:line="240" w:lineRule="auto"/>
              <w:ind w:left="0"/>
            </w:pPr>
            <w:r w:rsidRPr="004635E5">
              <w:t>SSB</w:t>
            </w:r>
          </w:p>
        </w:tc>
        <w:tc>
          <w:tcPr>
            <w:tcW w:w="932" w:type="dxa"/>
          </w:tcPr>
          <w:p w14:paraId="7A66E770" w14:textId="77777777" w:rsidR="00C52929" w:rsidRPr="004635E5" w:rsidRDefault="00C52929" w:rsidP="00000C9D">
            <w:pPr>
              <w:pStyle w:val="TableParagraph"/>
              <w:adjustRightInd w:val="0"/>
              <w:snapToGrid w:val="0"/>
              <w:spacing w:line="240" w:lineRule="auto"/>
              <w:ind w:left="16" w:right="16"/>
              <w:jc w:val="right"/>
            </w:pPr>
            <w:r w:rsidRPr="004635E5">
              <w:rPr>
                <w:w w:val="95"/>
              </w:rPr>
              <w:t>29,007</w:t>
            </w:r>
          </w:p>
        </w:tc>
        <w:tc>
          <w:tcPr>
            <w:tcW w:w="876" w:type="dxa"/>
          </w:tcPr>
          <w:p w14:paraId="58C9AF2B" w14:textId="77777777" w:rsidR="00C52929" w:rsidRPr="004635E5" w:rsidRDefault="00C52929" w:rsidP="00000C9D">
            <w:pPr>
              <w:pStyle w:val="TableParagraph"/>
              <w:adjustRightInd w:val="0"/>
              <w:snapToGrid w:val="0"/>
              <w:spacing w:line="240" w:lineRule="auto"/>
              <w:ind w:left="16" w:right="16"/>
              <w:jc w:val="right"/>
            </w:pPr>
            <w:r w:rsidRPr="004635E5">
              <w:t>25,431</w:t>
            </w:r>
          </w:p>
        </w:tc>
        <w:tc>
          <w:tcPr>
            <w:tcW w:w="878" w:type="dxa"/>
          </w:tcPr>
          <w:p w14:paraId="4C51EBA6" w14:textId="77777777" w:rsidR="00C52929" w:rsidRPr="004635E5" w:rsidRDefault="00C52929" w:rsidP="00000C9D">
            <w:pPr>
              <w:pStyle w:val="TableParagraph"/>
              <w:adjustRightInd w:val="0"/>
              <w:snapToGrid w:val="0"/>
              <w:spacing w:line="240" w:lineRule="auto"/>
              <w:ind w:left="16" w:right="16"/>
              <w:jc w:val="right"/>
            </w:pPr>
            <w:r w:rsidRPr="004635E5">
              <w:t>23,527</w:t>
            </w:r>
          </w:p>
        </w:tc>
        <w:tc>
          <w:tcPr>
            <w:tcW w:w="877" w:type="dxa"/>
          </w:tcPr>
          <w:p w14:paraId="7DCA0FC6" w14:textId="77777777" w:rsidR="00C52929" w:rsidRPr="004635E5" w:rsidRDefault="00C52929" w:rsidP="00000C9D">
            <w:pPr>
              <w:pStyle w:val="TableParagraph"/>
              <w:adjustRightInd w:val="0"/>
              <w:snapToGrid w:val="0"/>
              <w:spacing w:line="240" w:lineRule="auto"/>
              <w:ind w:left="16" w:right="16"/>
              <w:jc w:val="right"/>
            </w:pPr>
            <w:r w:rsidRPr="004635E5">
              <w:t>21,763</w:t>
            </w:r>
          </w:p>
        </w:tc>
        <w:tc>
          <w:tcPr>
            <w:tcW w:w="877" w:type="dxa"/>
          </w:tcPr>
          <w:p w14:paraId="4BCC2247" w14:textId="77777777" w:rsidR="00C52929" w:rsidRPr="004635E5" w:rsidRDefault="00C52929" w:rsidP="00000C9D">
            <w:pPr>
              <w:pStyle w:val="TableParagraph"/>
              <w:adjustRightInd w:val="0"/>
              <w:snapToGrid w:val="0"/>
              <w:spacing w:line="240" w:lineRule="auto"/>
              <w:ind w:left="16" w:right="16"/>
              <w:jc w:val="right"/>
            </w:pPr>
            <w:r w:rsidRPr="004635E5">
              <w:t>20,736</w:t>
            </w:r>
          </w:p>
        </w:tc>
        <w:tc>
          <w:tcPr>
            <w:tcW w:w="877" w:type="dxa"/>
          </w:tcPr>
          <w:p w14:paraId="714BE7AA" w14:textId="77777777" w:rsidR="00C52929" w:rsidRPr="004635E5" w:rsidRDefault="00C52929" w:rsidP="00000C9D">
            <w:pPr>
              <w:pStyle w:val="TableParagraph"/>
              <w:adjustRightInd w:val="0"/>
              <w:snapToGrid w:val="0"/>
              <w:spacing w:line="240" w:lineRule="auto"/>
              <w:ind w:left="16" w:right="16"/>
              <w:jc w:val="right"/>
            </w:pPr>
            <w:r w:rsidRPr="004635E5">
              <w:t>20,131</w:t>
            </w:r>
          </w:p>
        </w:tc>
        <w:tc>
          <w:tcPr>
            <w:tcW w:w="876" w:type="dxa"/>
          </w:tcPr>
          <w:p w14:paraId="080357DA" w14:textId="77777777" w:rsidR="00C52929" w:rsidRPr="004635E5" w:rsidRDefault="00C52929" w:rsidP="00000C9D">
            <w:pPr>
              <w:pStyle w:val="TableParagraph"/>
              <w:adjustRightInd w:val="0"/>
              <w:snapToGrid w:val="0"/>
              <w:spacing w:line="240" w:lineRule="auto"/>
              <w:ind w:left="16" w:right="16"/>
              <w:jc w:val="right"/>
            </w:pPr>
            <w:r w:rsidRPr="004635E5">
              <w:t>19,893</w:t>
            </w:r>
          </w:p>
        </w:tc>
        <w:tc>
          <w:tcPr>
            <w:tcW w:w="878" w:type="dxa"/>
          </w:tcPr>
          <w:p w14:paraId="034DF9AD" w14:textId="77777777" w:rsidR="00C52929" w:rsidRPr="004635E5" w:rsidRDefault="00C52929" w:rsidP="00000C9D">
            <w:pPr>
              <w:pStyle w:val="TableParagraph"/>
              <w:adjustRightInd w:val="0"/>
              <w:snapToGrid w:val="0"/>
              <w:spacing w:line="240" w:lineRule="auto"/>
              <w:ind w:left="16" w:right="16"/>
              <w:jc w:val="right"/>
            </w:pPr>
            <w:r w:rsidRPr="004635E5">
              <w:t>19,883</w:t>
            </w:r>
          </w:p>
        </w:tc>
        <w:tc>
          <w:tcPr>
            <w:tcW w:w="877" w:type="dxa"/>
          </w:tcPr>
          <w:p w14:paraId="61700D28" w14:textId="77777777" w:rsidR="00C52929" w:rsidRPr="004635E5" w:rsidRDefault="00C52929" w:rsidP="00000C9D">
            <w:pPr>
              <w:pStyle w:val="TableParagraph"/>
              <w:adjustRightInd w:val="0"/>
              <w:snapToGrid w:val="0"/>
              <w:spacing w:line="240" w:lineRule="auto"/>
              <w:ind w:left="16" w:right="16"/>
              <w:jc w:val="right"/>
            </w:pPr>
            <w:r w:rsidRPr="004635E5">
              <w:rPr>
                <w:w w:val="95"/>
              </w:rPr>
              <w:t>19,981</w:t>
            </w:r>
          </w:p>
        </w:tc>
        <w:tc>
          <w:tcPr>
            <w:tcW w:w="850" w:type="dxa"/>
          </w:tcPr>
          <w:p w14:paraId="22B590ED" w14:textId="77777777" w:rsidR="00C52929" w:rsidRPr="004635E5" w:rsidRDefault="00C52929" w:rsidP="00000C9D">
            <w:pPr>
              <w:pStyle w:val="TableParagraph"/>
              <w:adjustRightInd w:val="0"/>
              <w:snapToGrid w:val="0"/>
              <w:spacing w:line="240" w:lineRule="auto"/>
              <w:ind w:left="16" w:right="16"/>
              <w:jc w:val="right"/>
            </w:pPr>
            <w:r w:rsidRPr="004635E5">
              <w:rPr>
                <w:w w:val="95"/>
              </w:rPr>
              <w:t>20,066</w:t>
            </w:r>
          </w:p>
        </w:tc>
      </w:tr>
      <w:tr w:rsidR="00C52929" w:rsidRPr="004635E5" w14:paraId="5A01EA9E" w14:textId="77777777" w:rsidTr="00C52929">
        <w:trPr>
          <w:trHeight w:val="20"/>
        </w:trPr>
        <w:tc>
          <w:tcPr>
            <w:tcW w:w="794" w:type="dxa"/>
          </w:tcPr>
          <w:p w14:paraId="6163D06A" w14:textId="77777777" w:rsidR="00C52929" w:rsidRPr="004635E5" w:rsidRDefault="00C52929" w:rsidP="00C52929">
            <w:pPr>
              <w:pStyle w:val="TableParagraph"/>
              <w:adjustRightInd w:val="0"/>
              <w:snapToGrid w:val="0"/>
              <w:spacing w:line="240" w:lineRule="auto"/>
              <w:ind w:left="0"/>
            </w:pPr>
            <w:r w:rsidRPr="004635E5">
              <w:t>Catch</w:t>
            </w:r>
          </w:p>
        </w:tc>
        <w:tc>
          <w:tcPr>
            <w:tcW w:w="932" w:type="dxa"/>
          </w:tcPr>
          <w:p w14:paraId="4D3F65AC" w14:textId="77777777" w:rsidR="00C52929" w:rsidRPr="004635E5" w:rsidRDefault="00C52929" w:rsidP="00000C9D">
            <w:pPr>
              <w:pStyle w:val="TableParagraph"/>
              <w:adjustRightInd w:val="0"/>
              <w:snapToGrid w:val="0"/>
              <w:spacing w:line="240" w:lineRule="auto"/>
              <w:ind w:left="16" w:right="16"/>
              <w:jc w:val="right"/>
            </w:pPr>
            <w:r w:rsidRPr="004635E5">
              <w:rPr>
                <w:w w:val="95"/>
              </w:rPr>
              <w:t>18,680</w:t>
            </w:r>
          </w:p>
        </w:tc>
        <w:tc>
          <w:tcPr>
            <w:tcW w:w="876" w:type="dxa"/>
          </w:tcPr>
          <w:p w14:paraId="142C584B" w14:textId="77777777" w:rsidR="00C52929" w:rsidRPr="004635E5" w:rsidRDefault="00C52929" w:rsidP="00000C9D">
            <w:pPr>
              <w:pStyle w:val="TableParagraph"/>
              <w:adjustRightInd w:val="0"/>
              <w:snapToGrid w:val="0"/>
              <w:spacing w:line="240" w:lineRule="auto"/>
              <w:ind w:left="16" w:right="16"/>
              <w:jc w:val="right"/>
            </w:pPr>
            <w:r w:rsidRPr="004635E5">
              <w:t>16,933</w:t>
            </w:r>
          </w:p>
        </w:tc>
        <w:tc>
          <w:tcPr>
            <w:tcW w:w="878" w:type="dxa"/>
          </w:tcPr>
          <w:p w14:paraId="044402CD" w14:textId="77777777" w:rsidR="00C52929" w:rsidRPr="004635E5" w:rsidRDefault="00C52929" w:rsidP="00000C9D">
            <w:pPr>
              <w:pStyle w:val="TableParagraph"/>
              <w:adjustRightInd w:val="0"/>
              <w:snapToGrid w:val="0"/>
              <w:spacing w:line="240" w:lineRule="auto"/>
              <w:ind w:left="16" w:right="16"/>
              <w:jc w:val="right"/>
            </w:pPr>
            <w:r w:rsidRPr="004635E5">
              <w:t>15,657</w:t>
            </w:r>
          </w:p>
        </w:tc>
        <w:tc>
          <w:tcPr>
            <w:tcW w:w="877" w:type="dxa"/>
          </w:tcPr>
          <w:p w14:paraId="402C25E0" w14:textId="77777777" w:rsidR="00C52929" w:rsidRPr="004635E5" w:rsidRDefault="00C52929" w:rsidP="00000C9D">
            <w:pPr>
              <w:pStyle w:val="TableParagraph"/>
              <w:adjustRightInd w:val="0"/>
              <w:snapToGrid w:val="0"/>
              <w:spacing w:line="240" w:lineRule="auto"/>
              <w:ind w:left="16" w:right="16"/>
              <w:jc w:val="right"/>
            </w:pPr>
            <w:r w:rsidRPr="004635E5">
              <w:t>14,726</w:t>
            </w:r>
          </w:p>
        </w:tc>
        <w:tc>
          <w:tcPr>
            <w:tcW w:w="877" w:type="dxa"/>
          </w:tcPr>
          <w:p w14:paraId="78B5CD13" w14:textId="77777777" w:rsidR="00C52929" w:rsidRPr="004635E5" w:rsidRDefault="00C52929" w:rsidP="00000C9D">
            <w:pPr>
              <w:pStyle w:val="TableParagraph"/>
              <w:adjustRightInd w:val="0"/>
              <w:snapToGrid w:val="0"/>
              <w:spacing w:line="240" w:lineRule="auto"/>
              <w:ind w:left="16" w:right="16"/>
              <w:jc w:val="right"/>
            </w:pPr>
            <w:r w:rsidRPr="004635E5">
              <w:t>14,242</w:t>
            </w:r>
          </w:p>
        </w:tc>
        <w:tc>
          <w:tcPr>
            <w:tcW w:w="877" w:type="dxa"/>
          </w:tcPr>
          <w:p w14:paraId="718955C6" w14:textId="77777777" w:rsidR="00C52929" w:rsidRPr="004635E5" w:rsidRDefault="00C52929" w:rsidP="00000C9D">
            <w:pPr>
              <w:pStyle w:val="TableParagraph"/>
              <w:adjustRightInd w:val="0"/>
              <w:snapToGrid w:val="0"/>
              <w:spacing w:line="240" w:lineRule="auto"/>
              <w:ind w:left="16" w:right="16"/>
              <w:jc w:val="right"/>
            </w:pPr>
            <w:r w:rsidRPr="004635E5">
              <w:t>14,033</w:t>
            </w:r>
          </w:p>
        </w:tc>
        <w:tc>
          <w:tcPr>
            <w:tcW w:w="876" w:type="dxa"/>
          </w:tcPr>
          <w:p w14:paraId="3CAC8125" w14:textId="77777777" w:rsidR="00C52929" w:rsidRPr="004635E5" w:rsidRDefault="00C52929" w:rsidP="00000C9D">
            <w:pPr>
              <w:pStyle w:val="TableParagraph"/>
              <w:adjustRightInd w:val="0"/>
              <w:snapToGrid w:val="0"/>
              <w:spacing w:line="240" w:lineRule="auto"/>
              <w:ind w:left="16" w:right="16"/>
              <w:jc w:val="right"/>
            </w:pPr>
            <w:r w:rsidRPr="004635E5">
              <w:t>14,050</w:t>
            </w:r>
          </w:p>
        </w:tc>
        <w:tc>
          <w:tcPr>
            <w:tcW w:w="878" w:type="dxa"/>
          </w:tcPr>
          <w:p w14:paraId="40E337CA" w14:textId="77777777" w:rsidR="00C52929" w:rsidRPr="004635E5" w:rsidRDefault="00C52929" w:rsidP="00000C9D">
            <w:pPr>
              <w:pStyle w:val="TableParagraph"/>
              <w:adjustRightInd w:val="0"/>
              <w:snapToGrid w:val="0"/>
              <w:spacing w:line="240" w:lineRule="auto"/>
              <w:ind w:left="16" w:right="16"/>
              <w:jc w:val="right"/>
            </w:pPr>
            <w:r w:rsidRPr="004635E5">
              <w:t>14,292</w:t>
            </w:r>
          </w:p>
        </w:tc>
        <w:tc>
          <w:tcPr>
            <w:tcW w:w="877" w:type="dxa"/>
          </w:tcPr>
          <w:p w14:paraId="67E027EE" w14:textId="77777777" w:rsidR="00C52929" w:rsidRPr="004635E5" w:rsidRDefault="00C52929" w:rsidP="00000C9D">
            <w:pPr>
              <w:pStyle w:val="TableParagraph"/>
              <w:adjustRightInd w:val="0"/>
              <w:snapToGrid w:val="0"/>
              <w:spacing w:line="240" w:lineRule="auto"/>
              <w:ind w:left="16" w:right="16"/>
              <w:jc w:val="right"/>
            </w:pPr>
            <w:r w:rsidRPr="004635E5">
              <w:rPr>
                <w:w w:val="95"/>
              </w:rPr>
              <w:t>14,496</w:t>
            </w:r>
          </w:p>
        </w:tc>
        <w:tc>
          <w:tcPr>
            <w:tcW w:w="850" w:type="dxa"/>
          </w:tcPr>
          <w:p w14:paraId="1D68D6B7" w14:textId="77777777" w:rsidR="00C52929" w:rsidRPr="004635E5" w:rsidRDefault="00C52929" w:rsidP="00000C9D">
            <w:pPr>
              <w:pStyle w:val="TableParagraph"/>
              <w:adjustRightInd w:val="0"/>
              <w:snapToGrid w:val="0"/>
              <w:spacing w:line="240" w:lineRule="auto"/>
              <w:ind w:left="16" w:right="16"/>
              <w:jc w:val="right"/>
            </w:pPr>
            <w:r w:rsidRPr="004635E5">
              <w:rPr>
                <w:w w:val="95"/>
              </w:rPr>
              <w:t>14,253</w:t>
            </w:r>
          </w:p>
        </w:tc>
      </w:tr>
      <w:tr w:rsidR="00C52929" w:rsidRPr="004635E5" w14:paraId="11709AC3" w14:textId="77777777" w:rsidTr="00C52929">
        <w:trPr>
          <w:trHeight w:val="20"/>
        </w:trPr>
        <w:tc>
          <w:tcPr>
            <w:tcW w:w="9592" w:type="dxa"/>
            <w:gridSpan w:val="11"/>
          </w:tcPr>
          <w:p w14:paraId="16929BD3" w14:textId="77777777" w:rsidR="00C52929" w:rsidRPr="004635E5" w:rsidRDefault="00C52929" w:rsidP="00C52929">
            <w:pPr>
              <w:pStyle w:val="TableParagraph"/>
              <w:adjustRightInd w:val="0"/>
              <w:snapToGrid w:val="0"/>
              <w:spacing w:line="240" w:lineRule="auto"/>
              <w:ind w:left="-12"/>
              <w:rPr>
                <w:b/>
              </w:rPr>
            </w:pPr>
            <w:r w:rsidRPr="004635E5">
              <w:rPr>
                <w:b/>
                <w:u w:val="single"/>
              </w:rPr>
              <w:t>Scenario 5: F = F</w:t>
            </w:r>
            <w:r w:rsidRPr="004635E5">
              <w:rPr>
                <w:b/>
                <w:position w:val="-2"/>
                <w:u w:val="single"/>
              </w:rPr>
              <w:t>50%</w:t>
            </w:r>
          </w:p>
        </w:tc>
      </w:tr>
      <w:tr w:rsidR="00C52929" w:rsidRPr="004635E5" w14:paraId="64E55C9F" w14:textId="77777777" w:rsidTr="00C52929">
        <w:trPr>
          <w:trHeight w:val="20"/>
        </w:trPr>
        <w:tc>
          <w:tcPr>
            <w:tcW w:w="794" w:type="dxa"/>
          </w:tcPr>
          <w:p w14:paraId="27EDEBA8" w14:textId="77777777" w:rsidR="00C52929" w:rsidRPr="004635E5" w:rsidRDefault="00C52929" w:rsidP="00C52929">
            <w:pPr>
              <w:pStyle w:val="TableParagraph"/>
              <w:adjustRightInd w:val="0"/>
              <w:snapToGrid w:val="0"/>
              <w:spacing w:line="240" w:lineRule="auto"/>
              <w:ind w:left="0"/>
            </w:pPr>
            <w:r w:rsidRPr="004635E5">
              <w:t>SSB</w:t>
            </w:r>
          </w:p>
        </w:tc>
        <w:tc>
          <w:tcPr>
            <w:tcW w:w="932" w:type="dxa"/>
          </w:tcPr>
          <w:p w14:paraId="6D764413" w14:textId="77777777" w:rsidR="00C52929" w:rsidRPr="004635E5" w:rsidRDefault="00C52929" w:rsidP="00000C9D">
            <w:pPr>
              <w:pStyle w:val="TableParagraph"/>
              <w:adjustRightInd w:val="0"/>
              <w:snapToGrid w:val="0"/>
              <w:spacing w:line="240" w:lineRule="auto"/>
              <w:ind w:left="16" w:right="16"/>
              <w:jc w:val="right"/>
            </w:pPr>
            <w:r w:rsidRPr="004635E5">
              <w:rPr>
                <w:w w:val="95"/>
              </w:rPr>
              <w:t>32,559</w:t>
            </w:r>
          </w:p>
        </w:tc>
        <w:tc>
          <w:tcPr>
            <w:tcW w:w="876" w:type="dxa"/>
          </w:tcPr>
          <w:p w14:paraId="6D1E8802" w14:textId="77777777" w:rsidR="00C52929" w:rsidRPr="004635E5" w:rsidRDefault="00C52929" w:rsidP="00000C9D">
            <w:pPr>
              <w:pStyle w:val="TableParagraph"/>
              <w:adjustRightInd w:val="0"/>
              <w:snapToGrid w:val="0"/>
              <w:spacing w:line="240" w:lineRule="auto"/>
              <w:ind w:left="16" w:right="16"/>
              <w:jc w:val="right"/>
            </w:pPr>
            <w:r w:rsidRPr="004635E5">
              <w:t>34,334</w:t>
            </w:r>
          </w:p>
        </w:tc>
        <w:tc>
          <w:tcPr>
            <w:tcW w:w="878" w:type="dxa"/>
          </w:tcPr>
          <w:p w14:paraId="47549F59" w14:textId="77777777" w:rsidR="00C52929" w:rsidRPr="004635E5" w:rsidRDefault="00C52929" w:rsidP="00000C9D">
            <w:pPr>
              <w:pStyle w:val="TableParagraph"/>
              <w:adjustRightInd w:val="0"/>
              <w:snapToGrid w:val="0"/>
              <w:spacing w:line="240" w:lineRule="auto"/>
              <w:ind w:left="16" w:right="16"/>
              <w:jc w:val="right"/>
            </w:pPr>
            <w:r w:rsidRPr="004635E5">
              <w:t>36,290</w:t>
            </w:r>
          </w:p>
        </w:tc>
        <w:tc>
          <w:tcPr>
            <w:tcW w:w="877" w:type="dxa"/>
          </w:tcPr>
          <w:p w14:paraId="14720575" w14:textId="77777777" w:rsidR="00C52929" w:rsidRPr="004635E5" w:rsidRDefault="00C52929" w:rsidP="00000C9D">
            <w:pPr>
              <w:pStyle w:val="TableParagraph"/>
              <w:adjustRightInd w:val="0"/>
              <w:snapToGrid w:val="0"/>
              <w:spacing w:line="240" w:lineRule="auto"/>
              <w:ind w:left="16" w:right="16"/>
              <w:jc w:val="right"/>
            </w:pPr>
            <w:r w:rsidRPr="004635E5">
              <w:t>37,666</w:t>
            </w:r>
          </w:p>
        </w:tc>
        <w:tc>
          <w:tcPr>
            <w:tcW w:w="877" w:type="dxa"/>
          </w:tcPr>
          <w:p w14:paraId="75481119" w14:textId="77777777" w:rsidR="00C52929" w:rsidRPr="004635E5" w:rsidRDefault="00C52929" w:rsidP="00000C9D">
            <w:pPr>
              <w:pStyle w:val="TableParagraph"/>
              <w:adjustRightInd w:val="0"/>
              <w:snapToGrid w:val="0"/>
              <w:spacing w:line="240" w:lineRule="auto"/>
              <w:ind w:left="16" w:right="16"/>
              <w:jc w:val="right"/>
            </w:pPr>
            <w:r w:rsidRPr="004635E5">
              <w:t>38,836</w:t>
            </w:r>
          </w:p>
        </w:tc>
        <w:tc>
          <w:tcPr>
            <w:tcW w:w="877" w:type="dxa"/>
          </w:tcPr>
          <w:p w14:paraId="68C4E3BE" w14:textId="77777777" w:rsidR="00C52929" w:rsidRPr="004635E5" w:rsidRDefault="00C52929" w:rsidP="00000C9D">
            <w:pPr>
              <w:pStyle w:val="TableParagraph"/>
              <w:adjustRightInd w:val="0"/>
              <w:snapToGrid w:val="0"/>
              <w:spacing w:line="240" w:lineRule="auto"/>
              <w:ind w:left="16" w:right="16"/>
              <w:jc w:val="right"/>
            </w:pPr>
            <w:r w:rsidRPr="004635E5">
              <w:t>39,984</w:t>
            </w:r>
          </w:p>
        </w:tc>
        <w:tc>
          <w:tcPr>
            <w:tcW w:w="876" w:type="dxa"/>
          </w:tcPr>
          <w:p w14:paraId="6461CD02" w14:textId="77777777" w:rsidR="00C52929" w:rsidRPr="004635E5" w:rsidRDefault="00C52929" w:rsidP="00000C9D">
            <w:pPr>
              <w:pStyle w:val="TableParagraph"/>
              <w:adjustRightInd w:val="0"/>
              <w:snapToGrid w:val="0"/>
              <w:spacing w:line="240" w:lineRule="auto"/>
              <w:ind w:left="16" w:right="16"/>
              <w:jc w:val="right"/>
            </w:pPr>
            <w:r w:rsidRPr="004635E5">
              <w:t>41,148</w:t>
            </w:r>
          </w:p>
        </w:tc>
        <w:tc>
          <w:tcPr>
            <w:tcW w:w="878" w:type="dxa"/>
          </w:tcPr>
          <w:p w14:paraId="1702AF87" w14:textId="77777777" w:rsidR="00C52929" w:rsidRPr="004635E5" w:rsidRDefault="00C52929" w:rsidP="00000C9D">
            <w:pPr>
              <w:pStyle w:val="TableParagraph"/>
              <w:adjustRightInd w:val="0"/>
              <w:snapToGrid w:val="0"/>
              <w:spacing w:line="240" w:lineRule="auto"/>
              <w:ind w:left="16" w:right="16"/>
              <w:jc w:val="right"/>
            </w:pPr>
            <w:r w:rsidRPr="004635E5">
              <w:t>42,490</w:t>
            </w:r>
          </w:p>
        </w:tc>
        <w:tc>
          <w:tcPr>
            <w:tcW w:w="877" w:type="dxa"/>
          </w:tcPr>
          <w:p w14:paraId="5D1493CD" w14:textId="77777777" w:rsidR="00C52929" w:rsidRPr="004635E5" w:rsidRDefault="00C52929" w:rsidP="00000C9D">
            <w:pPr>
              <w:pStyle w:val="TableParagraph"/>
              <w:adjustRightInd w:val="0"/>
              <w:snapToGrid w:val="0"/>
              <w:spacing w:line="240" w:lineRule="auto"/>
              <w:ind w:left="16" w:right="16"/>
              <w:jc w:val="right"/>
            </w:pPr>
            <w:r w:rsidRPr="004635E5">
              <w:t>44,049</w:t>
            </w:r>
          </w:p>
        </w:tc>
        <w:tc>
          <w:tcPr>
            <w:tcW w:w="850" w:type="dxa"/>
          </w:tcPr>
          <w:p w14:paraId="7976FD6E" w14:textId="77777777" w:rsidR="00C52929" w:rsidRPr="004635E5" w:rsidRDefault="00C52929" w:rsidP="00000C9D">
            <w:pPr>
              <w:pStyle w:val="TableParagraph"/>
              <w:adjustRightInd w:val="0"/>
              <w:snapToGrid w:val="0"/>
              <w:spacing w:line="240" w:lineRule="auto"/>
              <w:ind w:left="16" w:right="16"/>
              <w:jc w:val="right"/>
            </w:pPr>
            <w:r w:rsidRPr="004635E5">
              <w:rPr>
                <w:w w:val="95"/>
              </w:rPr>
              <w:t>45,625</w:t>
            </w:r>
          </w:p>
        </w:tc>
      </w:tr>
      <w:tr w:rsidR="00C52929" w:rsidRPr="004635E5" w14:paraId="0CB42BF0" w14:textId="77777777" w:rsidTr="00C52929">
        <w:trPr>
          <w:trHeight w:val="20"/>
        </w:trPr>
        <w:tc>
          <w:tcPr>
            <w:tcW w:w="794" w:type="dxa"/>
            <w:tcBorders>
              <w:bottom w:val="single" w:sz="4" w:space="0" w:color="auto"/>
            </w:tcBorders>
          </w:tcPr>
          <w:p w14:paraId="4E1F1CBF" w14:textId="77777777" w:rsidR="00C52929" w:rsidRPr="004635E5" w:rsidRDefault="00C52929" w:rsidP="00C52929">
            <w:pPr>
              <w:pStyle w:val="TableParagraph"/>
              <w:adjustRightInd w:val="0"/>
              <w:snapToGrid w:val="0"/>
              <w:spacing w:line="240" w:lineRule="auto"/>
              <w:ind w:left="0"/>
            </w:pPr>
            <w:r w:rsidRPr="004635E5">
              <w:t>Catch</w:t>
            </w:r>
          </w:p>
        </w:tc>
        <w:tc>
          <w:tcPr>
            <w:tcW w:w="932" w:type="dxa"/>
            <w:tcBorders>
              <w:bottom w:val="single" w:sz="4" w:space="0" w:color="auto"/>
            </w:tcBorders>
          </w:tcPr>
          <w:p w14:paraId="1A9EB530" w14:textId="77777777" w:rsidR="00C52929" w:rsidRPr="004635E5" w:rsidRDefault="00C52929" w:rsidP="00000C9D">
            <w:pPr>
              <w:pStyle w:val="TableParagraph"/>
              <w:adjustRightInd w:val="0"/>
              <w:snapToGrid w:val="0"/>
              <w:spacing w:line="240" w:lineRule="auto"/>
              <w:ind w:left="16" w:right="16"/>
              <w:jc w:val="right"/>
            </w:pPr>
            <w:r w:rsidRPr="004635E5">
              <w:rPr>
                <w:w w:val="95"/>
              </w:rPr>
              <w:t>7,556</w:t>
            </w:r>
          </w:p>
        </w:tc>
        <w:tc>
          <w:tcPr>
            <w:tcW w:w="876" w:type="dxa"/>
            <w:tcBorders>
              <w:bottom w:val="single" w:sz="4" w:space="0" w:color="auto"/>
            </w:tcBorders>
          </w:tcPr>
          <w:p w14:paraId="5599B832" w14:textId="77777777" w:rsidR="00C52929" w:rsidRPr="004635E5" w:rsidRDefault="00C52929" w:rsidP="00000C9D">
            <w:pPr>
              <w:pStyle w:val="TableParagraph"/>
              <w:adjustRightInd w:val="0"/>
              <w:snapToGrid w:val="0"/>
              <w:spacing w:line="240" w:lineRule="auto"/>
              <w:ind w:left="16" w:right="16"/>
              <w:jc w:val="right"/>
            </w:pPr>
            <w:r w:rsidRPr="004635E5">
              <w:t>7,973</w:t>
            </w:r>
          </w:p>
        </w:tc>
        <w:tc>
          <w:tcPr>
            <w:tcW w:w="878" w:type="dxa"/>
            <w:tcBorders>
              <w:bottom w:val="single" w:sz="4" w:space="0" w:color="auto"/>
            </w:tcBorders>
          </w:tcPr>
          <w:p w14:paraId="053C3421" w14:textId="77777777" w:rsidR="00C52929" w:rsidRPr="004635E5" w:rsidRDefault="00C52929" w:rsidP="00000C9D">
            <w:pPr>
              <w:pStyle w:val="TableParagraph"/>
              <w:adjustRightInd w:val="0"/>
              <w:snapToGrid w:val="0"/>
              <w:spacing w:line="240" w:lineRule="auto"/>
              <w:ind w:left="16" w:right="16"/>
              <w:jc w:val="right"/>
            </w:pPr>
            <w:r w:rsidRPr="004635E5">
              <w:t>8,343</w:t>
            </w:r>
          </w:p>
        </w:tc>
        <w:tc>
          <w:tcPr>
            <w:tcW w:w="877" w:type="dxa"/>
            <w:tcBorders>
              <w:bottom w:val="single" w:sz="4" w:space="0" w:color="auto"/>
            </w:tcBorders>
          </w:tcPr>
          <w:p w14:paraId="71A880EB" w14:textId="77777777" w:rsidR="00C52929" w:rsidRPr="004635E5" w:rsidRDefault="00C52929" w:rsidP="00000C9D">
            <w:pPr>
              <w:pStyle w:val="TableParagraph"/>
              <w:adjustRightInd w:val="0"/>
              <w:snapToGrid w:val="0"/>
              <w:spacing w:line="240" w:lineRule="auto"/>
              <w:ind w:left="16" w:right="16"/>
              <w:jc w:val="right"/>
            </w:pPr>
            <w:r w:rsidRPr="004635E5">
              <w:t>8,605</w:t>
            </w:r>
          </w:p>
        </w:tc>
        <w:tc>
          <w:tcPr>
            <w:tcW w:w="877" w:type="dxa"/>
            <w:tcBorders>
              <w:bottom w:val="single" w:sz="4" w:space="0" w:color="auto"/>
            </w:tcBorders>
          </w:tcPr>
          <w:p w14:paraId="6866BAA5" w14:textId="77777777" w:rsidR="00C52929" w:rsidRPr="004635E5" w:rsidRDefault="00C52929" w:rsidP="00000C9D">
            <w:pPr>
              <w:pStyle w:val="TableParagraph"/>
              <w:adjustRightInd w:val="0"/>
              <w:snapToGrid w:val="0"/>
              <w:spacing w:line="240" w:lineRule="auto"/>
              <w:ind w:left="16" w:right="16"/>
              <w:jc w:val="right"/>
            </w:pPr>
            <w:r w:rsidRPr="004635E5">
              <w:t>8,847</w:t>
            </w:r>
          </w:p>
        </w:tc>
        <w:tc>
          <w:tcPr>
            <w:tcW w:w="877" w:type="dxa"/>
            <w:tcBorders>
              <w:bottom w:val="single" w:sz="4" w:space="0" w:color="auto"/>
            </w:tcBorders>
          </w:tcPr>
          <w:p w14:paraId="48132EC6" w14:textId="77777777" w:rsidR="00C52929" w:rsidRPr="004635E5" w:rsidRDefault="00C52929" w:rsidP="00000C9D">
            <w:pPr>
              <w:pStyle w:val="TableParagraph"/>
              <w:adjustRightInd w:val="0"/>
              <w:snapToGrid w:val="0"/>
              <w:spacing w:line="240" w:lineRule="auto"/>
              <w:ind w:left="16" w:right="16"/>
              <w:jc w:val="right"/>
            </w:pPr>
            <w:r w:rsidRPr="004635E5">
              <w:t>9,101</w:t>
            </w:r>
          </w:p>
        </w:tc>
        <w:tc>
          <w:tcPr>
            <w:tcW w:w="876" w:type="dxa"/>
            <w:tcBorders>
              <w:bottom w:val="single" w:sz="4" w:space="0" w:color="auto"/>
            </w:tcBorders>
          </w:tcPr>
          <w:p w14:paraId="22F62BD0" w14:textId="77777777" w:rsidR="00C52929" w:rsidRPr="004635E5" w:rsidRDefault="00C52929" w:rsidP="00000C9D">
            <w:pPr>
              <w:pStyle w:val="TableParagraph"/>
              <w:adjustRightInd w:val="0"/>
              <w:snapToGrid w:val="0"/>
              <w:spacing w:line="240" w:lineRule="auto"/>
              <w:ind w:left="16" w:right="16"/>
              <w:jc w:val="right"/>
            </w:pPr>
            <w:r w:rsidRPr="004635E5">
              <w:t>9,366</w:t>
            </w:r>
          </w:p>
        </w:tc>
        <w:tc>
          <w:tcPr>
            <w:tcW w:w="878" w:type="dxa"/>
            <w:tcBorders>
              <w:bottom w:val="single" w:sz="4" w:space="0" w:color="auto"/>
            </w:tcBorders>
          </w:tcPr>
          <w:p w14:paraId="58FB81C9" w14:textId="77777777" w:rsidR="00C52929" w:rsidRPr="004635E5" w:rsidRDefault="00C52929" w:rsidP="00000C9D">
            <w:pPr>
              <w:pStyle w:val="TableParagraph"/>
              <w:adjustRightInd w:val="0"/>
              <w:snapToGrid w:val="0"/>
              <w:spacing w:line="240" w:lineRule="auto"/>
              <w:ind w:left="16" w:right="16"/>
              <w:jc w:val="right"/>
            </w:pPr>
            <w:r w:rsidRPr="004635E5">
              <w:t>9,692</w:t>
            </w:r>
          </w:p>
        </w:tc>
        <w:tc>
          <w:tcPr>
            <w:tcW w:w="877" w:type="dxa"/>
            <w:tcBorders>
              <w:bottom w:val="single" w:sz="4" w:space="0" w:color="auto"/>
            </w:tcBorders>
          </w:tcPr>
          <w:p w14:paraId="43AED0D7" w14:textId="77777777" w:rsidR="00C52929" w:rsidRPr="004635E5" w:rsidRDefault="00C52929" w:rsidP="00000C9D">
            <w:pPr>
              <w:pStyle w:val="TableParagraph"/>
              <w:adjustRightInd w:val="0"/>
              <w:snapToGrid w:val="0"/>
              <w:spacing w:line="240" w:lineRule="auto"/>
              <w:ind w:left="16" w:right="16"/>
              <w:jc w:val="right"/>
            </w:pPr>
            <w:r w:rsidRPr="004635E5">
              <w:rPr>
                <w:w w:val="95"/>
              </w:rPr>
              <w:t>10,087</w:t>
            </w:r>
          </w:p>
        </w:tc>
        <w:tc>
          <w:tcPr>
            <w:tcW w:w="850" w:type="dxa"/>
            <w:tcBorders>
              <w:bottom w:val="single" w:sz="4" w:space="0" w:color="auto"/>
            </w:tcBorders>
          </w:tcPr>
          <w:p w14:paraId="248E9343" w14:textId="77777777" w:rsidR="00C52929" w:rsidRPr="004635E5" w:rsidRDefault="00C52929" w:rsidP="00000C9D">
            <w:pPr>
              <w:pStyle w:val="TableParagraph"/>
              <w:adjustRightInd w:val="0"/>
              <w:snapToGrid w:val="0"/>
              <w:spacing w:line="240" w:lineRule="auto"/>
              <w:ind w:left="16" w:right="16"/>
              <w:jc w:val="right"/>
            </w:pPr>
            <w:r w:rsidRPr="004635E5">
              <w:rPr>
                <w:w w:val="95"/>
              </w:rPr>
              <w:t>10,223</w:t>
            </w:r>
          </w:p>
        </w:tc>
      </w:tr>
    </w:tbl>
    <w:p w14:paraId="77064B4F" w14:textId="77777777" w:rsidR="000B0F63" w:rsidRPr="004635E5" w:rsidRDefault="000B0F63" w:rsidP="006633A8">
      <w:pPr>
        <w:pStyle w:val="WCPFC"/>
        <w:numPr>
          <w:ilvl w:val="0"/>
          <w:numId w:val="0"/>
        </w:numPr>
        <w:adjustRightInd w:val="0"/>
        <w:spacing w:after="0"/>
        <w:ind w:left="360"/>
        <w:rPr>
          <w:rFonts w:cs="Times New Roman"/>
        </w:rPr>
      </w:pPr>
    </w:p>
    <w:p w14:paraId="47840D96" w14:textId="77777777" w:rsidR="000B0F63" w:rsidRPr="004635E5" w:rsidRDefault="000B0F63" w:rsidP="006633A8">
      <w:pPr>
        <w:pStyle w:val="WCPFC"/>
        <w:numPr>
          <w:ilvl w:val="0"/>
          <w:numId w:val="0"/>
        </w:numPr>
        <w:adjustRightInd w:val="0"/>
        <w:spacing w:after="0"/>
        <w:ind w:left="360"/>
        <w:rPr>
          <w:rFonts w:cs="Times New Roman"/>
        </w:rPr>
      </w:pPr>
    </w:p>
    <w:p w14:paraId="3009FEF2" w14:textId="77777777" w:rsidR="009B24F3" w:rsidRPr="004635E5" w:rsidRDefault="009B24F3" w:rsidP="00C52929">
      <w:pPr>
        <w:pStyle w:val="WCPFC"/>
        <w:numPr>
          <w:ilvl w:val="0"/>
          <w:numId w:val="0"/>
        </w:numPr>
        <w:adjustRightInd w:val="0"/>
        <w:spacing w:after="0"/>
        <w:ind w:left="180"/>
        <w:rPr>
          <w:rFonts w:cs="Times New Roman"/>
        </w:rPr>
      </w:pPr>
    </w:p>
    <w:p w14:paraId="0A866063" w14:textId="77777777" w:rsidR="00F06AEF" w:rsidRPr="004635E5" w:rsidRDefault="00F06AEF" w:rsidP="006633A8">
      <w:pPr>
        <w:pStyle w:val="WCPFC"/>
        <w:numPr>
          <w:ilvl w:val="0"/>
          <w:numId w:val="0"/>
        </w:numPr>
        <w:adjustRightInd w:val="0"/>
        <w:spacing w:after="0"/>
        <w:ind w:left="360"/>
        <w:jc w:val="center"/>
        <w:rPr>
          <w:rFonts w:cs="Times New Roman"/>
        </w:rPr>
      </w:pPr>
    </w:p>
    <w:tbl>
      <w:tblPr>
        <w:tblStyle w:val="TableGrid"/>
        <w:tblW w:w="9230" w:type="dxa"/>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
        <w:gridCol w:w="9216"/>
        <w:gridCol w:w="7"/>
      </w:tblGrid>
      <w:tr w:rsidR="000B0F63" w:rsidRPr="004635E5" w14:paraId="613C47E4" w14:textId="77777777" w:rsidTr="000B0F63">
        <w:trPr>
          <w:gridBefore w:val="1"/>
          <w:gridAfter w:val="1"/>
          <w:wBefore w:w="7" w:type="dxa"/>
          <w:wAfter w:w="7" w:type="dxa"/>
        </w:trPr>
        <w:tc>
          <w:tcPr>
            <w:tcW w:w="9216" w:type="dxa"/>
          </w:tcPr>
          <w:p w14:paraId="602C5A9A" w14:textId="77777777" w:rsidR="000B0F63" w:rsidRPr="004635E5" w:rsidRDefault="006B5EBE" w:rsidP="006633A8">
            <w:pPr>
              <w:pStyle w:val="WCPFC"/>
              <w:numPr>
                <w:ilvl w:val="0"/>
                <w:numId w:val="0"/>
              </w:numPr>
              <w:adjustRightInd w:val="0"/>
              <w:spacing w:after="0"/>
              <w:jc w:val="center"/>
              <w:rPr>
                <w:rFonts w:cs="Times New Roman"/>
              </w:rPr>
            </w:pPr>
            <w:r w:rsidRPr="004635E5">
              <w:rPr>
                <w:rFonts w:cs="Times New Roman"/>
                <w:noProof/>
                <w:lang w:val="en-US" w:eastAsia="zh-CN" w:bidi="mn-Mong-CN"/>
              </w:rPr>
              <w:drawing>
                <wp:inline distT="0" distB="0" distL="0" distR="0" wp14:anchorId="70E084E9" wp14:editId="7057C4C5">
                  <wp:extent cx="4918129" cy="3707476"/>
                  <wp:effectExtent l="19050" t="0" r="0" b="0"/>
                  <wp:docPr id="24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55" cstate="print"/>
                          <a:stretch>
                            <a:fillRect/>
                          </a:stretch>
                        </pic:blipFill>
                        <pic:spPr>
                          <a:xfrm>
                            <a:off x="0" y="0"/>
                            <a:ext cx="4928941" cy="3715626"/>
                          </a:xfrm>
                          <a:prstGeom prst="rect">
                            <a:avLst/>
                          </a:prstGeom>
                        </pic:spPr>
                      </pic:pic>
                    </a:graphicData>
                  </a:graphic>
                </wp:inline>
              </w:drawing>
            </w:r>
          </w:p>
          <w:p w14:paraId="209CBF55" w14:textId="77777777" w:rsidR="000B0F63" w:rsidRPr="004635E5" w:rsidRDefault="000B0F63" w:rsidP="006633A8">
            <w:pPr>
              <w:pStyle w:val="WCPFC"/>
              <w:numPr>
                <w:ilvl w:val="0"/>
                <w:numId w:val="0"/>
              </w:numPr>
              <w:adjustRightInd w:val="0"/>
              <w:spacing w:after="0"/>
              <w:jc w:val="center"/>
              <w:rPr>
                <w:rFonts w:cs="Times New Roman"/>
                <w:lang w:val="en-US"/>
              </w:rPr>
            </w:pPr>
            <w:r w:rsidRPr="004635E5">
              <w:rPr>
                <w:rFonts w:cs="Times New Roman"/>
                <w:b/>
                <w:lang w:val="en-US"/>
              </w:rPr>
              <w:t>Figure NPS-1</w:t>
            </w:r>
            <w:r w:rsidRPr="004635E5">
              <w:rPr>
                <w:rFonts w:cs="Times New Roman"/>
                <w:lang w:val="en-US"/>
              </w:rPr>
              <w:t>. Stock boundaries used for this assessment of North Pacific Ocean swordfish: purple lines indicate stock area divisions; stock area 1 was assessed as the WCNPO stock, stock area 2 contains the Eastern Pacific Ocean stock, the green line indicates Western Central Pacific Fisheries Commission convention area, blue dashed line indicates IATTC convention area.</w:t>
            </w:r>
          </w:p>
          <w:p w14:paraId="3864DD3F" w14:textId="77777777" w:rsidR="000B0F63" w:rsidRPr="004635E5" w:rsidRDefault="000B0F63" w:rsidP="006633A8">
            <w:pPr>
              <w:pStyle w:val="WCPFC"/>
              <w:numPr>
                <w:ilvl w:val="0"/>
                <w:numId w:val="0"/>
              </w:numPr>
              <w:adjustRightInd w:val="0"/>
              <w:spacing w:after="0"/>
              <w:jc w:val="center"/>
              <w:rPr>
                <w:rFonts w:cs="Times New Roman"/>
                <w:lang w:val="en-US"/>
              </w:rPr>
            </w:pPr>
          </w:p>
          <w:p w14:paraId="10888AAA" w14:textId="77777777" w:rsidR="000B0F63" w:rsidRPr="004635E5" w:rsidRDefault="000B0F63" w:rsidP="006633A8">
            <w:pPr>
              <w:pStyle w:val="WCPFC"/>
              <w:numPr>
                <w:ilvl w:val="0"/>
                <w:numId w:val="0"/>
              </w:numPr>
              <w:adjustRightInd w:val="0"/>
              <w:spacing w:after="0"/>
              <w:jc w:val="center"/>
              <w:rPr>
                <w:rFonts w:cs="Times New Roman"/>
              </w:rPr>
            </w:pPr>
          </w:p>
        </w:tc>
      </w:tr>
      <w:tr w:rsidR="00631513" w:rsidRPr="004635E5" w14:paraId="477D85B3" w14:textId="77777777" w:rsidTr="000B0F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6"/>
        </w:trPr>
        <w:tc>
          <w:tcPr>
            <w:tcW w:w="9230" w:type="dxa"/>
            <w:gridSpan w:val="3"/>
            <w:tcBorders>
              <w:top w:val="nil"/>
              <w:left w:val="nil"/>
              <w:bottom w:val="nil"/>
              <w:right w:val="nil"/>
            </w:tcBorders>
          </w:tcPr>
          <w:p w14:paraId="609ECF24" w14:textId="77777777" w:rsidR="00631513" w:rsidRPr="004635E5" w:rsidRDefault="006B5EBE" w:rsidP="006633A8">
            <w:pPr>
              <w:pStyle w:val="WCPFC"/>
              <w:numPr>
                <w:ilvl w:val="0"/>
                <w:numId w:val="0"/>
              </w:numPr>
              <w:adjustRightInd w:val="0"/>
              <w:spacing w:after="0"/>
              <w:rPr>
                <w:rFonts w:cs="Times New Roman"/>
              </w:rPr>
            </w:pPr>
            <w:r w:rsidRPr="004635E5">
              <w:rPr>
                <w:rFonts w:cs="Times New Roman"/>
                <w:b/>
                <w:noProof/>
                <w:lang w:val="en-US" w:eastAsia="zh-CN" w:bidi="mn-Mong-CN"/>
              </w:rPr>
              <w:drawing>
                <wp:anchor distT="0" distB="0" distL="0" distR="0" simplePos="0" relativeHeight="251656192" behindDoc="1" locked="0" layoutInCell="1" allowOverlap="1" wp14:anchorId="7224A995" wp14:editId="038AA840">
                  <wp:simplePos x="0" y="0"/>
                  <wp:positionH relativeFrom="page">
                    <wp:posOffset>152400</wp:posOffset>
                  </wp:positionH>
                  <wp:positionV relativeFrom="paragraph">
                    <wp:posOffset>48260</wp:posOffset>
                  </wp:positionV>
                  <wp:extent cx="5443220" cy="3079750"/>
                  <wp:effectExtent l="19050" t="0" r="5080" b="0"/>
                  <wp:wrapTight wrapText="bothSides">
                    <wp:wrapPolygon edited="0">
                      <wp:start x="-76" y="0"/>
                      <wp:lineTo x="-76" y="21511"/>
                      <wp:lineTo x="21620" y="21511"/>
                      <wp:lineTo x="21620" y="0"/>
                      <wp:lineTo x="-76" y="0"/>
                    </wp:wrapPolygon>
                  </wp:wrapTight>
                  <wp:docPr id="25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56" cstate="print"/>
                          <a:stretch>
                            <a:fillRect/>
                          </a:stretch>
                        </pic:blipFill>
                        <pic:spPr>
                          <a:xfrm>
                            <a:off x="0" y="0"/>
                            <a:ext cx="5443220" cy="3079750"/>
                          </a:xfrm>
                          <a:prstGeom prst="rect">
                            <a:avLst/>
                          </a:prstGeom>
                        </pic:spPr>
                      </pic:pic>
                    </a:graphicData>
                  </a:graphic>
                </wp:anchor>
              </w:drawing>
            </w:r>
          </w:p>
        </w:tc>
      </w:tr>
      <w:tr w:rsidR="00A14BBB" w:rsidRPr="004635E5" w14:paraId="0C03C2B9" w14:textId="77777777" w:rsidTr="000B0F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Pr>
        <w:tc>
          <w:tcPr>
            <w:tcW w:w="9223" w:type="dxa"/>
            <w:gridSpan w:val="2"/>
            <w:tcBorders>
              <w:top w:val="nil"/>
              <w:left w:val="nil"/>
              <w:bottom w:val="nil"/>
              <w:right w:val="nil"/>
            </w:tcBorders>
          </w:tcPr>
          <w:p w14:paraId="357EF3E7" w14:textId="77777777" w:rsidR="00A14BBB" w:rsidRPr="004635E5" w:rsidRDefault="00A14BBB" w:rsidP="006633A8">
            <w:pPr>
              <w:pStyle w:val="WCPFC"/>
              <w:numPr>
                <w:ilvl w:val="0"/>
                <w:numId w:val="0"/>
              </w:numPr>
              <w:adjustRightInd w:val="0"/>
              <w:spacing w:after="0"/>
              <w:ind w:left="360"/>
              <w:rPr>
                <w:rFonts w:cs="Times New Roman"/>
              </w:rPr>
            </w:pPr>
            <w:r w:rsidRPr="004635E5">
              <w:rPr>
                <w:rFonts w:cs="Times New Roman"/>
                <w:b/>
              </w:rPr>
              <w:t xml:space="preserve">Figure </w:t>
            </w:r>
            <w:r w:rsidR="00270656" w:rsidRPr="004635E5">
              <w:rPr>
                <w:rFonts w:cs="Times New Roman"/>
                <w:b/>
              </w:rPr>
              <w:t>NPS</w:t>
            </w:r>
            <w:r w:rsidR="00C15D3F" w:rsidRPr="004635E5">
              <w:rPr>
                <w:rFonts w:cs="Times New Roman"/>
                <w:b/>
              </w:rPr>
              <w:t>-2</w:t>
            </w:r>
            <w:r w:rsidRPr="004635E5">
              <w:rPr>
                <w:rFonts w:cs="Times New Roman"/>
              </w:rPr>
              <w:t>. Annual catch biomass (t) of WCNPO swordfish (</w:t>
            </w:r>
            <w:r w:rsidRPr="004635E5">
              <w:rPr>
                <w:rFonts w:cs="Times New Roman"/>
                <w:i/>
              </w:rPr>
              <w:t>Xiphias gladius</w:t>
            </w:r>
            <w:r w:rsidRPr="004635E5">
              <w:rPr>
                <w:rFonts w:cs="Times New Roman"/>
              </w:rPr>
              <w:t>) by country for</w:t>
            </w:r>
            <w:r w:rsidR="00F81EF0">
              <w:rPr>
                <w:rFonts w:cs="Times New Roman"/>
              </w:rPr>
              <w:t xml:space="preserve"> </w:t>
            </w:r>
            <w:r w:rsidRPr="004635E5">
              <w:rPr>
                <w:rFonts w:cs="Times New Roman"/>
              </w:rPr>
              <w:t>Japan, Chinese Taipei, the U.S.A., and all other countries during 1975-2016.</w:t>
            </w:r>
          </w:p>
          <w:p w14:paraId="625FB085" w14:textId="77777777" w:rsidR="00A14BBB" w:rsidRPr="004635E5" w:rsidRDefault="00A14BBB" w:rsidP="006633A8">
            <w:pPr>
              <w:pStyle w:val="WCPFC"/>
              <w:widowControl w:val="0"/>
              <w:numPr>
                <w:ilvl w:val="0"/>
                <w:numId w:val="0"/>
              </w:numPr>
              <w:adjustRightInd w:val="0"/>
              <w:spacing w:after="0"/>
              <w:rPr>
                <w:rFonts w:cs="Times New Roman"/>
              </w:rPr>
            </w:pPr>
          </w:p>
        </w:tc>
      </w:tr>
    </w:tbl>
    <w:p w14:paraId="0751F5F9" w14:textId="77777777" w:rsidR="009B24F3" w:rsidRPr="004635E5" w:rsidRDefault="006B5EBE" w:rsidP="006633A8">
      <w:pPr>
        <w:pStyle w:val="WCPFC"/>
        <w:numPr>
          <w:ilvl w:val="0"/>
          <w:numId w:val="0"/>
        </w:numPr>
        <w:adjustRightInd w:val="0"/>
        <w:spacing w:after="0"/>
        <w:ind w:left="360"/>
        <w:rPr>
          <w:rFonts w:cs="Times New Roman"/>
        </w:rPr>
      </w:pPr>
      <w:bookmarkStart w:id="113" w:name="_bookmark33"/>
      <w:bookmarkStart w:id="114" w:name="_bookmark34"/>
      <w:bookmarkEnd w:id="113"/>
      <w:bookmarkEnd w:id="114"/>
      <w:r w:rsidRPr="004635E5">
        <w:rPr>
          <w:rFonts w:cs="Times New Roman"/>
          <w:noProof/>
          <w:lang w:val="en-US" w:eastAsia="zh-CN" w:bidi="mn-Mong-CN"/>
        </w:rPr>
        <w:drawing>
          <wp:inline distT="0" distB="0" distL="0" distR="0" wp14:anchorId="7965611C" wp14:editId="414B6269">
            <wp:extent cx="5796199" cy="3703320"/>
            <wp:effectExtent l="0" t="0" r="0" b="0"/>
            <wp:docPr id="24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57" cstate="print"/>
                    <a:stretch>
                      <a:fillRect/>
                    </a:stretch>
                  </pic:blipFill>
                  <pic:spPr>
                    <a:xfrm>
                      <a:off x="0" y="0"/>
                      <a:ext cx="5796199" cy="3703320"/>
                    </a:xfrm>
                    <a:prstGeom prst="rect">
                      <a:avLst/>
                    </a:prstGeom>
                  </pic:spPr>
                </pic:pic>
              </a:graphicData>
            </a:graphic>
          </wp:inline>
        </w:drawing>
      </w:r>
    </w:p>
    <w:p w14:paraId="6E55FEDC" w14:textId="77777777" w:rsidR="009B24F3" w:rsidRPr="004635E5" w:rsidRDefault="009B24F3" w:rsidP="006633A8">
      <w:pPr>
        <w:pStyle w:val="WCPFC"/>
        <w:numPr>
          <w:ilvl w:val="0"/>
          <w:numId w:val="0"/>
        </w:numPr>
        <w:adjustRightInd w:val="0"/>
        <w:spacing w:after="0"/>
        <w:ind w:left="360"/>
        <w:rPr>
          <w:rFonts w:cs="Times New Roman"/>
        </w:rPr>
      </w:pPr>
      <w:bookmarkStart w:id="115" w:name="_bookmark35"/>
      <w:bookmarkEnd w:id="115"/>
      <w:r w:rsidRPr="004635E5">
        <w:rPr>
          <w:rFonts w:cs="Times New Roman"/>
          <w:b/>
        </w:rPr>
        <w:t xml:space="preserve">Figure </w:t>
      </w:r>
      <w:r w:rsidR="00270656" w:rsidRPr="004635E5">
        <w:rPr>
          <w:rFonts w:cs="Times New Roman"/>
          <w:b/>
        </w:rPr>
        <w:t>NPS</w:t>
      </w:r>
      <w:r w:rsidR="00C15D3F" w:rsidRPr="004635E5">
        <w:rPr>
          <w:rFonts w:cs="Times New Roman"/>
          <w:b/>
        </w:rPr>
        <w:t>-3</w:t>
      </w:r>
      <w:r w:rsidRPr="004635E5">
        <w:rPr>
          <w:rFonts w:cs="Times New Roman"/>
        </w:rPr>
        <w:t>. Time series of estimates of (a) population biomass (age 1+) (first point in time series represents unfished biomass), (b) spawning biomass, (c) recruitment (age-0 fish), and (d) instantaneous fishing mortality (average for ages 1 to 10, yr</w:t>
      </w:r>
      <w:r w:rsidRPr="004635E5">
        <w:rPr>
          <w:rFonts w:cs="Times New Roman"/>
          <w:position w:val="9"/>
        </w:rPr>
        <w:t>-1</w:t>
      </w:r>
      <w:r w:rsidRPr="004635E5">
        <w:rPr>
          <w:rFonts w:cs="Times New Roman"/>
        </w:rPr>
        <w:t>) for WCNPO swordfish (</w:t>
      </w:r>
      <w:r w:rsidRPr="004635E5">
        <w:rPr>
          <w:rFonts w:cs="Times New Roman"/>
          <w:i/>
        </w:rPr>
        <w:t>Xiphias gladius</w:t>
      </w:r>
      <w:r w:rsidRPr="004635E5">
        <w:rPr>
          <w:rFonts w:cs="Times New Roman"/>
        </w:rPr>
        <w:t>) derived from the 2018 stock assessment. The solid circles are the maximum likelihood estimates by year for each quantity and the error bars represent the uncertainty of the estimates (80% confidence intervals), green dashed lines indicate B</w:t>
      </w:r>
      <w:r w:rsidRPr="004635E5">
        <w:rPr>
          <w:rFonts w:cs="Times New Roman"/>
          <w:position w:val="-2"/>
        </w:rPr>
        <w:t>MSY</w:t>
      </w:r>
      <w:r w:rsidRPr="004635E5">
        <w:rPr>
          <w:rFonts w:cs="Times New Roman"/>
        </w:rPr>
        <w:t>, equilibrium recruitment, and F</w:t>
      </w:r>
      <w:r w:rsidRPr="004E1B05">
        <w:rPr>
          <w:rFonts w:cs="Times New Roman"/>
          <w:position w:val="-2"/>
          <w:vertAlign w:val="subscript"/>
        </w:rPr>
        <w:t>MSY</w:t>
      </w:r>
      <w:r w:rsidRPr="004635E5">
        <w:rPr>
          <w:rFonts w:cs="Times New Roman"/>
          <w:position w:val="-2"/>
        </w:rPr>
        <w:t xml:space="preserve"> </w:t>
      </w:r>
      <w:r w:rsidRPr="004635E5">
        <w:rPr>
          <w:rFonts w:cs="Times New Roman"/>
        </w:rPr>
        <w:t>except for the population biomass time series.</w:t>
      </w:r>
    </w:p>
    <w:p w14:paraId="741F40F8" w14:textId="77777777" w:rsidR="009B24F3" w:rsidRPr="004635E5" w:rsidRDefault="009B24F3" w:rsidP="006633A8">
      <w:pPr>
        <w:pStyle w:val="WCPFC"/>
        <w:adjustRightInd w:val="0"/>
        <w:spacing w:after="0"/>
        <w:rPr>
          <w:rFonts w:cs="Times New Roman"/>
        </w:rPr>
        <w:sectPr w:rsidR="009B24F3" w:rsidRPr="004635E5" w:rsidSect="006633A8">
          <w:footerReference w:type="default" r:id="rId108"/>
          <w:pgSz w:w="12240" w:h="15840" w:code="1"/>
          <w:pgMar w:top="1440" w:right="1440" w:bottom="1440" w:left="1440" w:header="727" w:footer="1498" w:gutter="0"/>
          <w:cols w:space="720"/>
        </w:sectPr>
      </w:pPr>
    </w:p>
    <w:p w14:paraId="6E0C5E74" w14:textId="77777777" w:rsidR="009B24F3" w:rsidRPr="004635E5" w:rsidRDefault="006B5EBE"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drawing>
          <wp:inline distT="0" distB="0" distL="0" distR="0" wp14:anchorId="040B3E13" wp14:editId="3E590FE8">
            <wp:extent cx="4572000" cy="4572000"/>
            <wp:effectExtent l="0" t="0" r="0" b="0"/>
            <wp:docPr id="24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58" cstate="print"/>
                    <a:stretch>
                      <a:fillRect/>
                    </a:stretch>
                  </pic:blipFill>
                  <pic:spPr>
                    <a:xfrm>
                      <a:off x="0" y="0"/>
                      <a:ext cx="4572000" cy="4572000"/>
                    </a:xfrm>
                    <a:prstGeom prst="rect">
                      <a:avLst/>
                    </a:prstGeom>
                  </pic:spPr>
                </pic:pic>
              </a:graphicData>
            </a:graphic>
          </wp:inline>
        </w:drawing>
      </w:r>
    </w:p>
    <w:p w14:paraId="6B908BCA" w14:textId="77777777" w:rsidR="009B24F3" w:rsidRPr="004635E5" w:rsidRDefault="009B24F3" w:rsidP="006633A8">
      <w:pPr>
        <w:pStyle w:val="WCPFC"/>
        <w:numPr>
          <w:ilvl w:val="0"/>
          <w:numId w:val="0"/>
        </w:numPr>
        <w:adjustRightInd w:val="0"/>
        <w:spacing w:after="0"/>
        <w:ind w:left="360"/>
        <w:rPr>
          <w:rFonts w:cs="Times New Roman"/>
        </w:rPr>
      </w:pPr>
    </w:p>
    <w:p w14:paraId="234FA3C5" w14:textId="77777777" w:rsidR="009B24F3" w:rsidRPr="004635E5" w:rsidRDefault="009B24F3" w:rsidP="006633A8">
      <w:pPr>
        <w:pStyle w:val="WCPFC"/>
        <w:numPr>
          <w:ilvl w:val="0"/>
          <w:numId w:val="0"/>
        </w:numPr>
        <w:adjustRightInd w:val="0"/>
        <w:spacing w:after="0"/>
        <w:ind w:left="360"/>
        <w:rPr>
          <w:rFonts w:cs="Times New Roman"/>
        </w:rPr>
      </w:pPr>
      <w:bookmarkStart w:id="116" w:name="_bookmark36"/>
      <w:bookmarkEnd w:id="116"/>
      <w:r w:rsidRPr="004635E5">
        <w:rPr>
          <w:rFonts w:cs="Times New Roman"/>
          <w:b/>
        </w:rPr>
        <w:t xml:space="preserve">Figure </w:t>
      </w:r>
      <w:r w:rsidR="00270656" w:rsidRPr="004635E5">
        <w:rPr>
          <w:rFonts w:cs="Times New Roman"/>
          <w:b/>
        </w:rPr>
        <w:t>NPS</w:t>
      </w:r>
      <w:r w:rsidR="00C15D3F" w:rsidRPr="004635E5">
        <w:rPr>
          <w:rFonts w:cs="Times New Roman"/>
          <w:b/>
        </w:rPr>
        <w:t>-4</w:t>
      </w:r>
      <w:r w:rsidRPr="004635E5">
        <w:rPr>
          <w:rFonts w:cs="Times New Roman"/>
        </w:rPr>
        <w:t>. Kobe plot of the time series of estimates of relative fishing mortality (average of ages 1-10) and relative spawning stock biomass of WCNPO swordfish (</w:t>
      </w:r>
      <w:r w:rsidRPr="004635E5">
        <w:rPr>
          <w:rFonts w:cs="Times New Roman"/>
          <w:i/>
        </w:rPr>
        <w:t>Xiphias gladius</w:t>
      </w:r>
      <w:r w:rsidRPr="004635E5">
        <w:rPr>
          <w:rFonts w:cs="Times New Roman"/>
        </w:rPr>
        <w:t>) during 1975-2016. The white circle denotes the first year (1975) and the yellow circle denotes the last year (2016) of the assessment time horizon. The dashed lines represent the 95% confidence intervals around the 2016 estimate.</w:t>
      </w:r>
    </w:p>
    <w:p w14:paraId="414A78E2" w14:textId="77777777" w:rsidR="009B24F3" w:rsidRPr="004635E5" w:rsidRDefault="009B24F3" w:rsidP="006633A8">
      <w:pPr>
        <w:pStyle w:val="WCPFC"/>
        <w:numPr>
          <w:ilvl w:val="0"/>
          <w:numId w:val="0"/>
        </w:numPr>
        <w:adjustRightInd w:val="0"/>
        <w:spacing w:after="0"/>
        <w:ind w:left="360"/>
        <w:rPr>
          <w:rFonts w:cs="Times New Roman"/>
        </w:rPr>
      </w:pPr>
    </w:p>
    <w:p w14:paraId="610C5868" w14:textId="77777777" w:rsidR="009B24F3" w:rsidRPr="004635E5" w:rsidRDefault="009B24F3" w:rsidP="006633A8">
      <w:pPr>
        <w:pStyle w:val="WCPFC"/>
        <w:numPr>
          <w:ilvl w:val="0"/>
          <w:numId w:val="0"/>
        </w:numPr>
        <w:adjustRightInd w:val="0"/>
        <w:spacing w:after="0"/>
        <w:ind w:left="360"/>
        <w:rPr>
          <w:rFonts w:cs="Times New Roman"/>
        </w:rPr>
      </w:pPr>
    </w:p>
    <w:p w14:paraId="31A8739C" w14:textId="77777777" w:rsidR="009B24F3" w:rsidRPr="004635E5" w:rsidRDefault="006B5EBE"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drawing>
          <wp:inline distT="0" distB="0" distL="0" distR="0" wp14:anchorId="79C4092D" wp14:editId="70A0F1A4">
            <wp:extent cx="5620013" cy="4663440"/>
            <wp:effectExtent l="0" t="0" r="0" b="0"/>
            <wp:docPr id="248"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59" cstate="print"/>
                    <a:stretch>
                      <a:fillRect/>
                    </a:stretch>
                  </pic:blipFill>
                  <pic:spPr>
                    <a:xfrm>
                      <a:off x="0" y="0"/>
                      <a:ext cx="5620013" cy="4663440"/>
                    </a:xfrm>
                    <a:prstGeom prst="rect">
                      <a:avLst/>
                    </a:prstGeom>
                  </pic:spPr>
                </pic:pic>
              </a:graphicData>
            </a:graphic>
          </wp:inline>
        </w:drawing>
      </w:r>
    </w:p>
    <w:p w14:paraId="2667FBBE" w14:textId="77777777" w:rsidR="009B24F3" w:rsidRPr="004635E5" w:rsidRDefault="009B24F3" w:rsidP="006633A8">
      <w:pPr>
        <w:pStyle w:val="WCPFC"/>
        <w:numPr>
          <w:ilvl w:val="0"/>
          <w:numId w:val="0"/>
        </w:numPr>
        <w:adjustRightInd w:val="0"/>
        <w:spacing w:after="0"/>
        <w:ind w:left="360"/>
        <w:rPr>
          <w:rFonts w:cs="Times New Roman"/>
        </w:rPr>
      </w:pPr>
      <w:bookmarkStart w:id="117" w:name="_bookmark37"/>
      <w:bookmarkEnd w:id="117"/>
      <w:r w:rsidRPr="004635E5">
        <w:rPr>
          <w:rFonts w:cs="Times New Roman"/>
          <w:b/>
        </w:rPr>
        <w:t xml:space="preserve">Figure </w:t>
      </w:r>
      <w:r w:rsidR="00270656" w:rsidRPr="004635E5">
        <w:rPr>
          <w:rFonts w:cs="Times New Roman"/>
          <w:b/>
        </w:rPr>
        <w:t>NPS</w:t>
      </w:r>
      <w:r w:rsidR="00C15D3F" w:rsidRPr="004635E5">
        <w:rPr>
          <w:rFonts w:cs="Times New Roman"/>
          <w:b/>
        </w:rPr>
        <w:t>-5</w:t>
      </w:r>
      <w:r w:rsidRPr="004635E5">
        <w:rPr>
          <w:rFonts w:cs="Times New Roman"/>
        </w:rPr>
        <w:t>. Historical and projected trajectories of (a) spawning stock biomass and (b) total catch from the WCNPO swordfish base case model. Stock projection results are shown for S1 = the status quo or average fishing intensity during 2013-2015 (</w:t>
      </w:r>
      <w:r w:rsidRPr="004635E5">
        <w:rPr>
          <w:rFonts w:ascii="Cambria Math" w:eastAsia="Cambria Math" w:hAnsi="Cambria Math" w:cs="Cambria Math"/>
        </w:rPr>
        <w:t>𝐹</w:t>
      </w:r>
      <w:r w:rsidRPr="004E1B05">
        <w:rPr>
          <w:rFonts w:cs="Times New Roman"/>
          <w:position w:val="-2"/>
          <w:vertAlign w:val="subscript"/>
        </w:rPr>
        <w:t>2013−2015</w:t>
      </w:r>
      <w:r w:rsidRPr="004635E5">
        <w:rPr>
          <w:rFonts w:cs="Times New Roman"/>
        </w:rPr>
        <w:t xml:space="preserve">= </w:t>
      </w:r>
      <w:r w:rsidRPr="004635E5">
        <w:rPr>
          <w:rFonts w:ascii="Cambria Math" w:eastAsia="Cambria Math" w:hAnsi="Cambria Math" w:cs="Cambria Math"/>
        </w:rPr>
        <w:t>𝐹</w:t>
      </w:r>
      <w:r w:rsidRPr="004E1B05">
        <w:rPr>
          <w:rFonts w:cs="Times New Roman"/>
          <w:position w:val="-2"/>
          <w:vertAlign w:val="subscript"/>
        </w:rPr>
        <w:t>43%</w:t>
      </w:r>
      <w:r w:rsidRPr="004635E5">
        <w:rPr>
          <w:rFonts w:cs="Times New Roman"/>
        </w:rPr>
        <w:t>); S2 = F</w:t>
      </w:r>
      <w:r w:rsidRPr="004E1B05">
        <w:rPr>
          <w:rFonts w:cs="Times New Roman"/>
          <w:position w:val="-2"/>
          <w:vertAlign w:val="subscript"/>
        </w:rPr>
        <w:t>MSY</w:t>
      </w:r>
      <w:r w:rsidRPr="004635E5">
        <w:rPr>
          <w:rFonts w:cs="Times New Roman"/>
          <w:position w:val="-2"/>
        </w:rPr>
        <w:t xml:space="preserve"> </w:t>
      </w:r>
      <w:r w:rsidRPr="004635E5">
        <w:rPr>
          <w:rFonts w:cs="Times New Roman"/>
        </w:rPr>
        <w:t>(</w:t>
      </w:r>
      <w:r w:rsidRPr="004635E5">
        <w:rPr>
          <w:rFonts w:ascii="Cambria Math" w:eastAsia="Cambria Math" w:hAnsi="Cambria Math" w:cs="Cambria Math"/>
        </w:rPr>
        <w:t>𝐹</w:t>
      </w:r>
      <w:r w:rsidRPr="004E1B05">
        <w:rPr>
          <w:rFonts w:cs="Times New Roman"/>
          <w:position w:val="-2"/>
          <w:vertAlign w:val="subscript"/>
        </w:rPr>
        <w:t>18%</w:t>
      </w:r>
      <w:r w:rsidRPr="004635E5">
        <w:rPr>
          <w:rFonts w:cs="Times New Roman"/>
        </w:rPr>
        <w:t>); S3 = F to produce 20% of unfished spawning stock biomass or F</w:t>
      </w:r>
      <w:r w:rsidRPr="004E1B05">
        <w:rPr>
          <w:rFonts w:cs="Times New Roman"/>
          <w:position w:val="-2"/>
          <w:vertAlign w:val="subscript"/>
        </w:rPr>
        <w:t>0.2</w:t>
      </w:r>
      <w:r w:rsidRPr="004635E5">
        <w:rPr>
          <w:rFonts w:cs="Times New Roman"/>
          <w:position w:val="-2"/>
        </w:rPr>
        <w:t>*SSB</w:t>
      </w:r>
      <w:r w:rsidRPr="004E1B05">
        <w:rPr>
          <w:rFonts w:cs="Times New Roman"/>
          <w:position w:val="-2"/>
          <w:vertAlign w:val="subscript"/>
        </w:rPr>
        <w:t>F=0</w:t>
      </w:r>
      <w:r w:rsidRPr="004635E5">
        <w:rPr>
          <w:rFonts w:cs="Times New Roman"/>
          <w:position w:val="-2"/>
        </w:rPr>
        <w:t xml:space="preserve"> </w:t>
      </w:r>
      <w:r w:rsidRPr="004635E5">
        <w:rPr>
          <w:rFonts w:cs="Times New Roman"/>
        </w:rPr>
        <w:t>(</w:t>
      </w:r>
      <w:r w:rsidRPr="004635E5">
        <w:rPr>
          <w:rFonts w:ascii="Cambria Math" w:eastAsia="Cambria Math" w:hAnsi="Cambria Math" w:cs="Cambria Math"/>
        </w:rPr>
        <w:t>𝐹</w:t>
      </w:r>
      <w:r w:rsidRPr="004E1B05">
        <w:rPr>
          <w:rFonts w:cs="Times New Roman"/>
          <w:position w:val="-2"/>
          <w:vertAlign w:val="subscript"/>
        </w:rPr>
        <w:t>22%</w:t>
      </w:r>
      <w:r w:rsidRPr="004635E5">
        <w:rPr>
          <w:rFonts w:cs="Times New Roman"/>
        </w:rPr>
        <w:t>); S4 = the highest 3-year average F during 1975-2016 or High F (F</w:t>
      </w:r>
      <w:r w:rsidRPr="004E1B05">
        <w:rPr>
          <w:rFonts w:cs="Times New Roman"/>
          <w:position w:val="-2"/>
          <w:vertAlign w:val="subscript"/>
        </w:rPr>
        <w:t>20%</w:t>
      </w:r>
      <w:r w:rsidRPr="004635E5">
        <w:rPr>
          <w:rFonts w:cs="Times New Roman"/>
        </w:rPr>
        <w:t>); S5 = Low F (F</w:t>
      </w:r>
      <w:r w:rsidRPr="004E1B05">
        <w:rPr>
          <w:rFonts w:cs="Times New Roman"/>
          <w:position w:val="-2"/>
          <w:vertAlign w:val="subscript"/>
        </w:rPr>
        <w:t>50%</w:t>
      </w:r>
      <w:r w:rsidRPr="004635E5">
        <w:rPr>
          <w:rFonts w:cs="Times New Roman"/>
        </w:rPr>
        <w:t>).</w:t>
      </w:r>
    </w:p>
    <w:p w14:paraId="7E317A37" w14:textId="77777777" w:rsidR="00F46AB9" w:rsidRPr="004635E5" w:rsidRDefault="00F46AB9" w:rsidP="006633A8">
      <w:pPr>
        <w:pStyle w:val="WCPFC"/>
        <w:numPr>
          <w:ilvl w:val="0"/>
          <w:numId w:val="0"/>
        </w:numPr>
        <w:adjustRightInd w:val="0"/>
        <w:spacing w:after="0"/>
        <w:ind w:left="360"/>
        <w:rPr>
          <w:rFonts w:cs="Times New Roman"/>
        </w:rPr>
      </w:pPr>
    </w:p>
    <w:p w14:paraId="4B2A9A26" w14:textId="77777777" w:rsidR="00F46AB9" w:rsidRPr="004635E5" w:rsidRDefault="00F46AB9" w:rsidP="006633A8">
      <w:pPr>
        <w:pStyle w:val="WCPFC"/>
        <w:numPr>
          <w:ilvl w:val="0"/>
          <w:numId w:val="0"/>
        </w:numPr>
        <w:adjustRightInd w:val="0"/>
        <w:spacing w:after="0"/>
        <w:ind w:left="360"/>
        <w:rPr>
          <w:rFonts w:cs="Times New Roman"/>
        </w:rPr>
      </w:pPr>
    </w:p>
    <w:p w14:paraId="3C687B8C" w14:textId="77777777" w:rsidR="00F46AB9" w:rsidRPr="004635E5" w:rsidRDefault="00F46AB9" w:rsidP="006633A8">
      <w:pPr>
        <w:pStyle w:val="WCPFC"/>
        <w:numPr>
          <w:ilvl w:val="0"/>
          <w:numId w:val="0"/>
        </w:numPr>
        <w:adjustRightInd w:val="0"/>
        <w:spacing w:after="0"/>
        <w:ind w:left="360"/>
        <w:rPr>
          <w:rFonts w:cs="Times New Roman"/>
        </w:rPr>
      </w:pPr>
    </w:p>
    <w:p w14:paraId="0F58783D" w14:textId="77777777" w:rsidR="000E7A4C" w:rsidRPr="004635E5" w:rsidRDefault="000E7A4C" w:rsidP="006633A8">
      <w:pPr>
        <w:adjustRightInd w:val="0"/>
        <w:snapToGrid w:val="0"/>
        <w:rPr>
          <w:rFonts w:eastAsia="Batang"/>
          <w:sz w:val="22"/>
          <w:szCs w:val="22"/>
          <w:lang w:val="en-NZ" w:eastAsia="ko-KR"/>
        </w:rPr>
      </w:pPr>
      <w:r w:rsidRPr="004635E5">
        <w:rPr>
          <w:rFonts w:eastAsia="Batang"/>
          <w:sz w:val="22"/>
          <w:szCs w:val="22"/>
          <w:lang w:val="en-NZ" w:eastAsia="ko-KR"/>
        </w:rPr>
        <w:br w:type="page"/>
      </w:r>
    </w:p>
    <w:p w14:paraId="50096F7C" w14:textId="77777777" w:rsidR="00073DD2" w:rsidRPr="004635E5" w:rsidRDefault="00073DD2" w:rsidP="00580EA4">
      <w:pPr>
        <w:pStyle w:val="SC2"/>
        <w:numPr>
          <w:ilvl w:val="1"/>
          <w:numId w:val="161"/>
        </w:numPr>
        <w:spacing w:after="0"/>
        <w:ind w:left="0" w:firstLine="0"/>
        <w:rPr>
          <w:rFonts w:eastAsia="Batang"/>
          <w:bCs/>
          <w:lang w:eastAsia="ko-KR"/>
        </w:rPr>
      </w:pPr>
      <w:r w:rsidRPr="004635E5">
        <w:t>WCPO sharks</w:t>
      </w:r>
    </w:p>
    <w:p w14:paraId="1506D226" w14:textId="77777777" w:rsidR="00252B01" w:rsidRPr="004635E5" w:rsidRDefault="00252B01" w:rsidP="006633A8">
      <w:pPr>
        <w:pStyle w:val="SC2"/>
        <w:numPr>
          <w:ilvl w:val="0"/>
          <w:numId w:val="0"/>
        </w:numPr>
        <w:spacing w:after="0"/>
        <w:ind w:left="720"/>
        <w:rPr>
          <w:rFonts w:eastAsia="Batang"/>
          <w:bCs/>
          <w:lang w:eastAsia="ko-KR"/>
        </w:rPr>
      </w:pPr>
    </w:p>
    <w:p w14:paraId="41B8B713" w14:textId="77777777" w:rsidR="00334B07" w:rsidRPr="004635E5" w:rsidRDefault="00334B07" w:rsidP="006633A8">
      <w:pPr>
        <w:pStyle w:val="ListParagraph"/>
        <w:adjustRightInd w:val="0"/>
        <w:snapToGrid w:val="0"/>
        <w:jc w:val="both"/>
        <w:rPr>
          <w:b/>
          <w:vanish/>
          <w:sz w:val="22"/>
          <w:szCs w:val="22"/>
          <w:lang w:val="en-NZ"/>
        </w:rPr>
      </w:pPr>
    </w:p>
    <w:p w14:paraId="66542160" w14:textId="77777777" w:rsidR="00F721DF" w:rsidRPr="004635E5" w:rsidRDefault="00073DD2" w:rsidP="00580EA4">
      <w:pPr>
        <w:pStyle w:val="SC3"/>
        <w:numPr>
          <w:ilvl w:val="2"/>
          <w:numId w:val="161"/>
        </w:numPr>
        <w:spacing w:after="0"/>
      </w:pPr>
      <w:r w:rsidRPr="004635E5">
        <w:t>Oceanic whitetip shark</w:t>
      </w:r>
      <w:r w:rsidR="00807662" w:rsidRPr="004635E5">
        <w:rPr>
          <w:rFonts w:eastAsiaTheme="minorEastAsia"/>
          <w:lang w:eastAsia="ko-KR"/>
        </w:rPr>
        <w:t xml:space="preserve"> </w:t>
      </w:r>
      <w:r w:rsidR="00807662" w:rsidRPr="004635E5">
        <w:t>(</w:t>
      </w:r>
      <w:r w:rsidR="00807662" w:rsidRPr="004635E5">
        <w:rPr>
          <w:i/>
        </w:rPr>
        <w:t>Carcharhinus longimanus</w:t>
      </w:r>
      <w:r w:rsidR="00F41281">
        <w:rPr>
          <w:rFonts w:eastAsiaTheme="minorEastAsia" w:hint="eastAsia"/>
          <w:iCs/>
          <w:lang w:eastAsia="ko-KR"/>
        </w:rPr>
        <w:t>)</w:t>
      </w:r>
    </w:p>
    <w:p w14:paraId="44915909" w14:textId="77777777" w:rsidR="00F46AB9" w:rsidRPr="004635E5" w:rsidRDefault="00F46AB9" w:rsidP="006633A8">
      <w:pPr>
        <w:pStyle w:val="SC3"/>
        <w:numPr>
          <w:ilvl w:val="0"/>
          <w:numId w:val="0"/>
        </w:numPr>
        <w:spacing w:after="0"/>
        <w:ind w:left="1440"/>
      </w:pPr>
    </w:p>
    <w:p w14:paraId="17117D19" w14:textId="77777777" w:rsidR="00073DD2" w:rsidRPr="004635E5" w:rsidRDefault="00334B07" w:rsidP="00580EA4">
      <w:pPr>
        <w:pStyle w:val="SC3"/>
        <w:numPr>
          <w:ilvl w:val="3"/>
          <w:numId w:val="161"/>
        </w:numPr>
        <w:spacing w:after="0"/>
      </w:pPr>
      <w:r w:rsidRPr="004635E5">
        <w:rPr>
          <w:bCs/>
        </w:rPr>
        <w:t>R</w:t>
      </w:r>
      <w:r w:rsidR="00073DD2" w:rsidRPr="004635E5">
        <w:rPr>
          <w:bCs/>
        </w:rPr>
        <w:t>esearch and information</w:t>
      </w:r>
    </w:p>
    <w:p w14:paraId="14F8DEDC" w14:textId="77777777" w:rsidR="00F46AB9" w:rsidRPr="004635E5" w:rsidRDefault="00F46AB9" w:rsidP="006633A8">
      <w:pPr>
        <w:pStyle w:val="SC3"/>
        <w:numPr>
          <w:ilvl w:val="0"/>
          <w:numId w:val="0"/>
        </w:numPr>
        <w:spacing w:after="0"/>
        <w:ind w:left="1800"/>
      </w:pPr>
    </w:p>
    <w:p w14:paraId="2A8A48EF" w14:textId="77777777" w:rsidR="00C536FA" w:rsidRPr="004635E5" w:rsidRDefault="00C536FA"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The last stock assessment was conducted in 2012, no stock assessment has been conducted since and there was no new information. </w:t>
      </w:r>
    </w:p>
    <w:p w14:paraId="161CB658" w14:textId="77777777" w:rsidR="00F46AB9" w:rsidRPr="004635E5" w:rsidRDefault="00F46AB9" w:rsidP="006633A8">
      <w:pPr>
        <w:autoSpaceDE w:val="0"/>
        <w:autoSpaceDN w:val="0"/>
        <w:adjustRightInd w:val="0"/>
        <w:snapToGrid w:val="0"/>
        <w:jc w:val="both"/>
        <w:rPr>
          <w:sz w:val="22"/>
          <w:szCs w:val="22"/>
          <w:lang w:val="en-AU"/>
        </w:rPr>
      </w:pPr>
    </w:p>
    <w:p w14:paraId="668C0650" w14:textId="77777777" w:rsidR="00073DD2" w:rsidRPr="004635E5" w:rsidRDefault="00073DD2" w:rsidP="00580EA4">
      <w:pPr>
        <w:pStyle w:val="SC3"/>
        <w:numPr>
          <w:ilvl w:val="3"/>
          <w:numId w:val="161"/>
        </w:numPr>
        <w:spacing w:after="0"/>
        <w:rPr>
          <w:rFonts w:eastAsia="Batang"/>
        </w:rPr>
      </w:pPr>
      <w:r w:rsidRPr="004635E5">
        <w:t>Provision of scientific information</w:t>
      </w:r>
    </w:p>
    <w:p w14:paraId="24DB1BAF" w14:textId="77777777" w:rsidR="00F46AB9" w:rsidRPr="004635E5" w:rsidRDefault="00F46AB9" w:rsidP="006633A8">
      <w:pPr>
        <w:pStyle w:val="SC3"/>
        <w:numPr>
          <w:ilvl w:val="0"/>
          <w:numId w:val="0"/>
        </w:numPr>
        <w:spacing w:after="0"/>
        <w:ind w:left="1800"/>
        <w:rPr>
          <w:rFonts w:eastAsia="Batang"/>
        </w:rPr>
      </w:pPr>
    </w:p>
    <w:p w14:paraId="04C1BC47" w14:textId="77777777" w:rsidR="00F46AB9" w:rsidRPr="004635E5" w:rsidRDefault="00F721DF" w:rsidP="00132438">
      <w:pPr>
        <w:pStyle w:val="SCa"/>
        <w:tabs>
          <w:tab w:val="clear" w:pos="1080"/>
        </w:tabs>
        <w:spacing w:after="0"/>
        <w:ind w:left="0"/>
      </w:pPr>
      <w:r w:rsidRPr="004635E5">
        <w:t>a.</w:t>
      </w:r>
      <w:r w:rsidRPr="004635E5">
        <w:tab/>
      </w:r>
      <w:r w:rsidR="00675A1A" w:rsidRPr="004635E5">
        <w:t xml:space="preserve">Status and trends </w:t>
      </w:r>
    </w:p>
    <w:p w14:paraId="1760B002" w14:textId="77777777" w:rsidR="00F46AB9" w:rsidRPr="004635E5" w:rsidRDefault="00F46AB9" w:rsidP="006633A8">
      <w:pPr>
        <w:pStyle w:val="SCa"/>
        <w:spacing w:after="0"/>
      </w:pPr>
    </w:p>
    <w:p w14:paraId="734D09C0" w14:textId="77777777" w:rsidR="00675A1A" w:rsidRPr="004635E5" w:rsidRDefault="00675A1A"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noted that no stock assessments were conducted for oceanic whitetip shark in 2018. Therefore, the stock status descriptions from SC8 are still current for oceanic whitetip shark. Updated information on catches was not compiled for and reviewed by</w:t>
      </w:r>
      <w:r w:rsidRPr="004635E5">
        <w:rPr>
          <w:b/>
          <w:spacing w:val="-19"/>
          <w:sz w:val="22"/>
          <w:szCs w:val="22"/>
        </w:rPr>
        <w:t xml:space="preserve"> </w:t>
      </w:r>
      <w:r w:rsidRPr="004635E5">
        <w:rPr>
          <w:b/>
          <w:sz w:val="22"/>
          <w:szCs w:val="22"/>
        </w:rPr>
        <w:t xml:space="preserve">SC14. </w:t>
      </w:r>
    </w:p>
    <w:p w14:paraId="6D7C0076" w14:textId="77777777" w:rsidR="00F46AB9" w:rsidRPr="004635E5" w:rsidRDefault="00F46AB9" w:rsidP="006633A8">
      <w:pPr>
        <w:autoSpaceDE w:val="0"/>
        <w:autoSpaceDN w:val="0"/>
        <w:adjustRightInd w:val="0"/>
        <w:snapToGrid w:val="0"/>
        <w:jc w:val="both"/>
        <w:rPr>
          <w:b/>
          <w:sz w:val="22"/>
          <w:szCs w:val="22"/>
        </w:rPr>
      </w:pPr>
    </w:p>
    <w:p w14:paraId="492A967E" w14:textId="77777777" w:rsidR="00675A1A" w:rsidRPr="004635E5" w:rsidRDefault="00F721DF" w:rsidP="00132438">
      <w:pPr>
        <w:pStyle w:val="SCa"/>
        <w:tabs>
          <w:tab w:val="clear" w:pos="1080"/>
        </w:tabs>
        <w:spacing w:after="0"/>
        <w:ind w:left="0"/>
      </w:pPr>
      <w:r w:rsidRPr="004635E5">
        <w:t>b.</w:t>
      </w:r>
      <w:r w:rsidRPr="004635E5">
        <w:tab/>
      </w:r>
      <w:r w:rsidR="00675A1A" w:rsidRPr="004635E5">
        <w:t>Management advice and implications</w:t>
      </w:r>
    </w:p>
    <w:p w14:paraId="01DC41B5" w14:textId="77777777" w:rsidR="00F46AB9" w:rsidRPr="004635E5" w:rsidRDefault="00F46AB9" w:rsidP="006633A8">
      <w:pPr>
        <w:pStyle w:val="SCa"/>
        <w:spacing w:after="0"/>
      </w:pPr>
    </w:p>
    <w:p w14:paraId="79D17FBD" w14:textId="77777777" w:rsidR="00675A1A" w:rsidRPr="004635E5" w:rsidRDefault="00675A1A" w:rsidP="00580EA4">
      <w:pPr>
        <w:numPr>
          <w:ilvl w:val="0"/>
          <w:numId w:val="18"/>
        </w:numPr>
        <w:autoSpaceDE w:val="0"/>
        <w:autoSpaceDN w:val="0"/>
        <w:adjustRightInd w:val="0"/>
        <w:snapToGrid w:val="0"/>
        <w:ind w:left="0" w:firstLine="0"/>
        <w:jc w:val="both"/>
        <w:rPr>
          <w:rStyle w:val="Hyperlink"/>
          <w:b/>
          <w:color w:val="auto"/>
          <w:sz w:val="22"/>
          <w:szCs w:val="22"/>
          <w:u w:val="none"/>
        </w:rPr>
      </w:pPr>
      <w:r w:rsidRPr="004635E5">
        <w:rPr>
          <w:b/>
          <w:sz w:val="22"/>
          <w:szCs w:val="22"/>
        </w:rPr>
        <w:t xml:space="preserve">SC14 noted that no management advice has been provided since SC8 for oceanic whitetip shark. Therefore, previous advice should be maintained, pending a new assessment or other new information. </w:t>
      </w:r>
      <w:r w:rsidRPr="004635E5">
        <w:rPr>
          <w:b/>
          <w:bCs/>
          <w:sz w:val="22"/>
          <w:szCs w:val="22"/>
          <w:lang w:val="en-AU"/>
        </w:rPr>
        <w:t>For further information on the management advice and implications from SC8, please see</w:t>
      </w:r>
      <w:r w:rsidRPr="004635E5">
        <w:rPr>
          <w:b/>
          <w:bCs/>
          <w:sz w:val="22"/>
          <w:szCs w:val="22"/>
          <w:lang w:val="en-AU" w:eastAsia="ko-KR"/>
        </w:rPr>
        <w:t xml:space="preserve"> </w:t>
      </w:r>
      <w:hyperlink r:id="rId109" w:history="1">
        <w:r w:rsidR="00F576DD" w:rsidRPr="004635E5">
          <w:rPr>
            <w:rStyle w:val="Hyperlink"/>
            <w:b/>
            <w:sz w:val="22"/>
            <w:szCs w:val="22"/>
          </w:rPr>
          <w:t>https://www.wcpfc.int/node/3396</w:t>
        </w:r>
      </w:hyperlink>
      <w:r w:rsidRPr="004635E5">
        <w:rPr>
          <w:rStyle w:val="Hyperlink"/>
          <w:b/>
          <w:bCs/>
          <w:sz w:val="22"/>
          <w:szCs w:val="22"/>
          <w:lang w:val="en-AU" w:eastAsia="ko-KR"/>
        </w:rPr>
        <w:t xml:space="preserve"> </w:t>
      </w:r>
    </w:p>
    <w:p w14:paraId="751E5E56" w14:textId="77777777" w:rsidR="00F46AB9" w:rsidRPr="004635E5" w:rsidRDefault="00F46AB9" w:rsidP="006633A8">
      <w:pPr>
        <w:autoSpaceDE w:val="0"/>
        <w:autoSpaceDN w:val="0"/>
        <w:adjustRightInd w:val="0"/>
        <w:snapToGrid w:val="0"/>
        <w:jc w:val="both"/>
        <w:rPr>
          <w:b/>
          <w:sz w:val="22"/>
          <w:szCs w:val="22"/>
        </w:rPr>
      </w:pPr>
    </w:p>
    <w:p w14:paraId="2915F092" w14:textId="77777777" w:rsidR="00F721DF" w:rsidRPr="004635E5" w:rsidRDefault="00073DD2" w:rsidP="00580EA4">
      <w:pPr>
        <w:pStyle w:val="SC3"/>
        <w:numPr>
          <w:ilvl w:val="2"/>
          <w:numId w:val="161"/>
        </w:numPr>
        <w:spacing w:after="0"/>
        <w:rPr>
          <w:rFonts w:eastAsia="Batang"/>
        </w:rPr>
      </w:pPr>
      <w:r w:rsidRPr="004635E5">
        <w:rPr>
          <w:rFonts w:eastAsia="Batang"/>
        </w:rPr>
        <w:t>Silky shark</w:t>
      </w:r>
      <w:r w:rsidR="00807662" w:rsidRPr="004635E5">
        <w:rPr>
          <w:rFonts w:eastAsia="Batang"/>
        </w:rPr>
        <w:t xml:space="preserve"> (</w:t>
      </w:r>
      <w:r w:rsidR="00807662" w:rsidRPr="004635E5">
        <w:rPr>
          <w:rFonts w:eastAsia="Batang"/>
          <w:i/>
        </w:rPr>
        <w:t>Carcharhinus falciformis</w:t>
      </w:r>
      <w:r w:rsidR="00807662" w:rsidRPr="004635E5">
        <w:rPr>
          <w:rFonts w:eastAsia="Batang"/>
        </w:rPr>
        <w:t>)</w:t>
      </w:r>
    </w:p>
    <w:p w14:paraId="49BAD719" w14:textId="77777777" w:rsidR="00F46AB9" w:rsidRPr="004635E5" w:rsidRDefault="00F46AB9" w:rsidP="006633A8">
      <w:pPr>
        <w:pStyle w:val="SC3"/>
        <w:numPr>
          <w:ilvl w:val="0"/>
          <w:numId w:val="0"/>
        </w:numPr>
        <w:spacing w:after="0"/>
        <w:ind w:left="1440"/>
        <w:rPr>
          <w:rFonts w:eastAsia="Batang"/>
        </w:rPr>
      </w:pPr>
    </w:p>
    <w:p w14:paraId="1FDAAD8E" w14:textId="77777777" w:rsidR="00073DD2" w:rsidRPr="004635E5" w:rsidRDefault="00334B07" w:rsidP="00580EA4">
      <w:pPr>
        <w:pStyle w:val="SC3"/>
        <w:numPr>
          <w:ilvl w:val="3"/>
          <w:numId w:val="161"/>
        </w:numPr>
        <w:spacing w:after="0"/>
        <w:rPr>
          <w:rFonts w:eastAsia="Batang"/>
        </w:rPr>
      </w:pPr>
      <w:r w:rsidRPr="004635E5">
        <w:rPr>
          <w:rFonts w:eastAsia="Batang"/>
          <w:lang w:eastAsia="ko-KR"/>
        </w:rPr>
        <w:t>R</w:t>
      </w:r>
      <w:r w:rsidR="00073DD2" w:rsidRPr="004635E5">
        <w:rPr>
          <w:rFonts w:eastAsia="Batang"/>
          <w:lang w:eastAsia="ko-KR"/>
        </w:rPr>
        <w:t>esearch and information</w:t>
      </w:r>
    </w:p>
    <w:p w14:paraId="2340E167" w14:textId="77777777" w:rsidR="00F46AB9" w:rsidRPr="004635E5" w:rsidRDefault="00F46AB9" w:rsidP="006633A8">
      <w:pPr>
        <w:pStyle w:val="SC3"/>
        <w:numPr>
          <w:ilvl w:val="0"/>
          <w:numId w:val="0"/>
        </w:numPr>
        <w:spacing w:after="0"/>
        <w:ind w:left="1800"/>
        <w:rPr>
          <w:rFonts w:eastAsia="Batang"/>
        </w:rPr>
      </w:pPr>
    </w:p>
    <w:p w14:paraId="0B13E478" w14:textId="77777777" w:rsidR="004B3CEF" w:rsidRPr="004635E5" w:rsidRDefault="007C5E6C" w:rsidP="00580EA4">
      <w:pPr>
        <w:numPr>
          <w:ilvl w:val="0"/>
          <w:numId w:val="18"/>
        </w:numPr>
        <w:autoSpaceDE w:val="0"/>
        <w:autoSpaceDN w:val="0"/>
        <w:adjustRightInd w:val="0"/>
        <w:snapToGrid w:val="0"/>
        <w:ind w:left="0" w:firstLine="0"/>
        <w:jc w:val="both"/>
        <w:rPr>
          <w:rFonts w:eastAsia="Yu Mincho"/>
          <w:color w:val="00000A"/>
          <w:sz w:val="22"/>
          <w:szCs w:val="22"/>
          <w:lang w:val="en-NZ"/>
        </w:rPr>
      </w:pPr>
      <w:r w:rsidRPr="004635E5">
        <w:rPr>
          <w:rFonts w:eastAsia="Batang"/>
          <w:sz w:val="22"/>
          <w:szCs w:val="22"/>
          <w:lang w:val="en-AU" w:eastAsia="ko-KR"/>
        </w:rPr>
        <w:t xml:space="preserve">S. Clarke (Common Oceans (ABNJ) Tuna Project) and A. Langley presented </w:t>
      </w:r>
      <w:r w:rsidR="00EA7D21" w:rsidRPr="004635E5">
        <w:rPr>
          <w:rFonts w:eastAsia="Batang"/>
          <w:sz w:val="22"/>
          <w:szCs w:val="22"/>
          <w:lang w:val="en-AU" w:eastAsia="ko-KR"/>
        </w:rPr>
        <w:t>SC14-</w:t>
      </w:r>
      <w:r w:rsidRPr="004635E5">
        <w:rPr>
          <w:rFonts w:eastAsia="Batang"/>
          <w:sz w:val="22"/>
          <w:szCs w:val="22"/>
          <w:lang w:val="en-AU" w:eastAsia="ko-KR"/>
        </w:rPr>
        <w:t>SA-WP-08 and its Addendum on Pacific-wide Silky Shark (</w:t>
      </w:r>
      <w:r w:rsidRPr="004635E5">
        <w:rPr>
          <w:rFonts w:eastAsia="Batang"/>
          <w:i/>
          <w:sz w:val="22"/>
          <w:szCs w:val="22"/>
          <w:lang w:val="en-AU" w:eastAsia="ko-KR"/>
        </w:rPr>
        <w:t>Carcharhinus falciformis</w:t>
      </w:r>
      <w:r w:rsidRPr="004635E5">
        <w:rPr>
          <w:rFonts w:eastAsia="Batang"/>
          <w:sz w:val="22"/>
          <w:szCs w:val="22"/>
          <w:lang w:val="en-AU" w:eastAsia="ko-KR"/>
        </w:rPr>
        <w:t>) Stock Status Assessment</w:t>
      </w:r>
      <w:r w:rsidRPr="004635E5">
        <w:rPr>
          <w:rFonts w:eastAsia="Batang"/>
          <w:i/>
          <w:iCs/>
          <w:sz w:val="22"/>
          <w:szCs w:val="22"/>
          <w:lang w:val="en-AU" w:eastAsia="ko-KR"/>
        </w:rPr>
        <w:t>.</w:t>
      </w:r>
      <w:r w:rsidR="00A16680" w:rsidRPr="004635E5">
        <w:rPr>
          <w:color w:val="00000A"/>
          <w:sz w:val="22"/>
          <w:szCs w:val="22"/>
          <w:lang w:val="en-AU"/>
        </w:rPr>
        <w:t xml:space="preserve"> </w:t>
      </w:r>
    </w:p>
    <w:p w14:paraId="15307DFA" w14:textId="77777777" w:rsidR="00F46AB9" w:rsidRPr="004635E5" w:rsidRDefault="00F46AB9" w:rsidP="006633A8">
      <w:pPr>
        <w:autoSpaceDE w:val="0"/>
        <w:autoSpaceDN w:val="0"/>
        <w:adjustRightInd w:val="0"/>
        <w:snapToGrid w:val="0"/>
        <w:jc w:val="both"/>
        <w:rPr>
          <w:rFonts w:eastAsia="Yu Mincho"/>
          <w:color w:val="00000A"/>
          <w:sz w:val="22"/>
          <w:szCs w:val="22"/>
          <w:lang w:val="en-NZ"/>
        </w:rPr>
      </w:pPr>
    </w:p>
    <w:p w14:paraId="005DA402" w14:textId="77777777" w:rsidR="002C5A25" w:rsidRPr="004635E5" w:rsidRDefault="002C5A25"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Initially, the spatial domain of the model encompassed the entire Pacific Ocean, partitioned into two regions (EPO and WCPO)</w:t>
      </w:r>
      <w:r w:rsidR="00A16680" w:rsidRPr="004635E5">
        <w:rPr>
          <w:rFonts w:eastAsia="Batang"/>
          <w:sz w:val="22"/>
          <w:szCs w:val="22"/>
          <w:lang w:val="en-NZ" w:eastAsia="ko-KR"/>
        </w:rPr>
        <w:t xml:space="preserve">. </w:t>
      </w:r>
      <w:r w:rsidRPr="004635E5">
        <w:rPr>
          <w:rFonts w:eastAsia="Batang"/>
          <w:sz w:val="22"/>
          <w:szCs w:val="22"/>
          <w:lang w:val="en-NZ" w:eastAsia="ko-KR"/>
        </w:rPr>
        <w:t xml:space="preserve">However, the model results were unsatisfactory as it was not possible to simultaneously fit the two sets of area-specific CPUE indices and, on that basis, the Pacific wide model was rejected. The stock assessment model was then configured for the WCPO region only. The assessment incorporated a new time-series of annual catches (1995-2016) and a primary CPUE index derived from observer data collected from the longline fishery (2003-2016). These data sets differ considerably from those included in </w:t>
      </w:r>
      <w:r w:rsidR="00270656" w:rsidRPr="004635E5">
        <w:rPr>
          <w:rFonts w:eastAsia="Batang"/>
          <w:sz w:val="22"/>
          <w:szCs w:val="22"/>
          <w:lang w:val="en-NZ" w:eastAsia="ko-KR"/>
        </w:rPr>
        <w:t>the previous (2013) assessment.</w:t>
      </w:r>
      <w:r w:rsidRPr="004635E5">
        <w:rPr>
          <w:rFonts w:eastAsia="Batang"/>
          <w:sz w:val="22"/>
          <w:szCs w:val="22"/>
          <w:lang w:val="en-NZ" w:eastAsia="ko-KR"/>
        </w:rPr>
        <w:t xml:space="preserve"> The main biological parameters included in the assessment were equivalent to those included in the reference model from the previous assessment</w:t>
      </w:r>
      <w:r w:rsidR="00A16680" w:rsidRPr="004635E5">
        <w:rPr>
          <w:rFonts w:eastAsia="Batang"/>
          <w:sz w:val="22"/>
          <w:szCs w:val="22"/>
          <w:lang w:val="en-NZ" w:eastAsia="ko-KR"/>
        </w:rPr>
        <w:t xml:space="preserve">. </w:t>
      </w:r>
      <w:r w:rsidRPr="004635E5">
        <w:rPr>
          <w:rFonts w:eastAsia="Batang"/>
          <w:sz w:val="22"/>
          <w:szCs w:val="22"/>
          <w:lang w:val="en-NZ" w:eastAsia="ko-KR"/>
        </w:rPr>
        <w:t xml:space="preserve">The longline CPUE indices </w:t>
      </w:r>
      <w:r w:rsidR="00270656" w:rsidRPr="004635E5">
        <w:rPr>
          <w:rFonts w:eastAsia="Batang"/>
          <w:sz w:val="22"/>
          <w:szCs w:val="22"/>
          <w:lang w:val="en-NZ" w:eastAsia="ko-KR"/>
        </w:rPr>
        <w:t xml:space="preserve">were </w:t>
      </w:r>
      <w:r w:rsidRPr="004635E5">
        <w:rPr>
          <w:rFonts w:eastAsia="Batang"/>
          <w:sz w:val="22"/>
          <w:szCs w:val="22"/>
          <w:lang w:val="en-NZ" w:eastAsia="ko-KR"/>
        </w:rPr>
        <w:t>correlated with prevailing oceanographic conditions in the equatorial WCPO</w:t>
      </w:r>
      <w:r w:rsidR="00A16680" w:rsidRPr="004635E5">
        <w:rPr>
          <w:rFonts w:eastAsia="Batang"/>
          <w:sz w:val="22"/>
          <w:szCs w:val="22"/>
          <w:lang w:val="en-NZ" w:eastAsia="ko-KR"/>
        </w:rPr>
        <w:t xml:space="preserve">. </w:t>
      </w:r>
      <w:r w:rsidRPr="004635E5">
        <w:rPr>
          <w:rFonts w:eastAsia="Batang"/>
          <w:sz w:val="22"/>
          <w:szCs w:val="22"/>
          <w:lang w:val="en-NZ" w:eastAsia="ko-KR"/>
        </w:rPr>
        <w:t>To adequately fit the time series of CPUE indices in the assessment model it was necessary to incorporate temporal variation in longline catchability via an environmental covariate (model CPUEqdev)</w:t>
      </w:r>
      <w:r w:rsidR="00A16680" w:rsidRPr="004635E5">
        <w:rPr>
          <w:rFonts w:eastAsia="Batang"/>
          <w:sz w:val="22"/>
          <w:szCs w:val="22"/>
          <w:lang w:val="en-NZ" w:eastAsia="ko-KR"/>
        </w:rPr>
        <w:t xml:space="preserve">. </w:t>
      </w:r>
      <w:r w:rsidRPr="004635E5">
        <w:rPr>
          <w:rFonts w:eastAsia="Batang"/>
          <w:sz w:val="22"/>
          <w:szCs w:val="22"/>
          <w:lang w:val="en-NZ" w:eastAsia="ko-KR"/>
        </w:rPr>
        <w:t>The current assessment is considered to represent an improvement on the previous (2013) assessment on the basis that the model incorporates the best available estimates of annual catch and provides a good fit to the longline CPUE indices</w:t>
      </w:r>
      <w:r w:rsidR="00A16680" w:rsidRPr="004635E5">
        <w:rPr>
          <w:rFonts w:eastAsia="Batang"/>
          <w:sz w:val="22"/>
          <w:szCs w:val="22"/>
          <w:lang w:val="en-NZ" w:eastAsia="ko-KR"/>
        </w:rPr>
        <w:t xml:space="preserve">. </w:t>
      </w:r>
      <w:r w:rsidRPr="004635E5">
        <w:rPr>
          <w:rFonts w:eastAsia="Batang"/>
          <w:sz w:val="22"/>
          <w:szCs w:val="22"/>
          <w:lang w:val="en-NZ" w:eastAsia="ko-KR"/>
        </w:rPr>
        <w:t>Nevertheless, as in the previous assessment, the model is unable to simultaneously fit other available sets of CPUE indices and temporal variation in the length composition data</w:t>
      </w:r>
      <w:r w:rsidR="00A16680" w:rsidRPr="004635E5">
        <w:rPr>
          <w:rFonts w:eastAsia="Batang"/>
          <w:sz w:val="22"/>
          <w:szCs w:val="22"/>
          <w:lang w:val="en-NZ" w:eastAsia="ko-KR"/>
        </w:rPr>
        <w:t xml:space="preserve">. </w:t>
      </w:r>
      <w:r w:rsidRPr="004635E5">
        <w:rPr>
          <w:rFonts w:eastAsia="Batang"/>
          <w:sz w:val="22"/>
          <w:szCs w:val="22"/>
          <w:lang w:val="en-NZ" w:eastAsia="ko-KR"/>
        </w:rPr>
        <w:t>The reliability of these other data sets is unknown</w:t>
      </w:r>
      <w:r w:rsidR="00A16680" w:rsidRPr="004635E5">
        <w:rPr>
          <w:rFonts w:eastAsia="Batang"/>
          <w:sz w:val="22"/>
          <w:szCs w:val="22"/>
          <w:lang w:val="en-NZ" w:eastAsia="ko-KR"/>
        </w:rPr>
        <w:t xml:space="preserve">. </w:t>
      </w:r>
      <w:r w:rsidRPr="004635E5">
        <w:rPr>
          <w:rFonts w:eastAsia="Batang"/>
          <w:sz w:val="22"/>
          <w:szCs w:val="22"/>
          <w:lang w:val="en-NZ" w:eastAsia="ko-KR"/>
        </w:rPr>
        <w:t>The WCPO-only CPUEqdev model estimates of current stock status show high uncertainty reflecting the low precision of estimates of key model parameters (overall recruitment, selectivity, initial fishing mortality, and the parameter linking catchability and the environmental variable)</w:t>
      </w:r>
      <w:r w:rsidR="00A16680" w:rsidRPr="004635E5">
        <w:rPr>
          <w:rFonts w:eastAsia="Batang"/>
          <w:sz w:val="22"/>
          <w:szCs w:val="22"/>
          <w:lang w:val="en-NZ" w:eastAsia="ko-KR"/>
        </w:rPr>
        <w:t xml:space="preserve">. </w:t>
      </w:r>
      <w:r w:rsidRPr="004635E5">
        <w:rPr>
          <w:rFonts w:eastAsia="Batang"/>
          <w:sz w:val="22"/>
          <w:szCs w:val="22"/>
          <w:lang w:val="en-NZ" w:eastAsia="ko-KR"/>
        </w:rPr>
        <w:t>There are also additional sources of uncertainty that were not incorporated in the assessment</w:t>
      </w:r>
      <w:r w:rsidR="00A16680" w:rsidRPr="004635E5">
        <w:rPr>
          <w:rFonts w:eastAsia="Batang"/>
          <w:sz w:val="22"/>
          <w:szCs w:val="22"/>
          <w:lang w:val="en-NZ" w:eastAsia="ko-KR"/>
        </w:rPr>
        <w:t xml:space="preserve">. </w:t>
      </w:r>
      <w:r w:rsidRPr="004635E5">
        <w:rPr>
          <w:rFonts w:eastAsia="Batang"/>
          <w:sz w:val="22"/>
          <w:szCs w:val="22"/>
          <w:lang w:val="en-NZ" w:eastAsia="ko-KR"/>
        </w:rPr>
        <w:t>Potential sources of uncertainty relate to the reliability of the key input data (especially the overall magnitude of the annual catches) and structural assumptions of the model, including the nature of the stock-recruitment relationship, the spatial structure of the WCPO population, key biological parameters (growth, natural mortality), and the relationship between longline catchability and oceanographic conditions</w:t>
      </w:r>
      <w:r w:rsidR="00A16680" w:rsidRPr="004635E5">
        <w:rPr>
          <w:rFonts w:eastAsia="Batang"/>
          <w:sz w:val="22"/>
          <w:szCs w:val="22"/>
          <w:lang w:val="en-NZ" w:eastAsia="ko-KR"/>
        </w:rPr>
        <w:t xml:space="preserve">. </w:t>
      </w:r>
    </w:p>
    <w:p w14:paraId="23699F72" w14:textId="77777777" w:rsidR="00F46AB9" w:rsidRPr="004635E5" w:rsidRDefault="00F46AB9" w:rsidP="006633A8">
      <w:pPr>
        <w:autoSpaceDE w:val="0"/>
        <w:autoSpaceDN w:val="0"/>
        <w:adjustRightInd w:val="0"/>
        <w:snapToGrid w:val="0"/>
        <w:jc w:val="both"/>
        <w:rPr>
          <w:rFonts w:eastAsia="Batang"/>
          <w:sz w:val="22"/>
          <w:szCs w:val="22"/>
          <w:lang w:val="en-NZ" w:eastAsia="ko-KR"/>
        </w:rPr>
      </w:pPr>
    </w:p>
    <w:p w14:paraId="26168D2B" w14:textId="77777777" w:rsidR="001023CE" w:rsidRPr="004635E5" w:rsidRDefault="001023CE" w:rsidP="006633A8">
      <w:pPr>
        <w:pStyle w:val="ListParagraph"/>
        <w:adjustRightInd w:val="0"/>
        <w:snapToGrid w:val="0"/>
        <w:ind w:hanging="720"/>
        <w:jc w:val="both"/>
        <w:rPr>
          <w:b/>
          <w:sz w:val="22"/>
          <w:szCs w:val="22"/>
          <w:lang w:val="en-NZ"/>
        </w:rPr>
      </w:pPr>
      <w:r w:rsidRPr="004635E5">
        <w:rPr>
          <w:b/>
          <w:sz w:val="22"/>
          <w:szCs w:val="22"/>
          <w:lang w:val="en-NZ"/>
        </w:rPr>
        <w:t>Discussion</w:t>
      </w:r>
      <w:r w:rsidR="00E41D98" w:rsidRPr="004635E5">
        <w:rPr>
          <w:b/>
          <w:sz w:val="22"/>
          <w:szCs w:val="22"/>
          <w:lang w:val="en-NZ"/>
        </w:rPr>
        <w:t xml:space="preserve"> </w:t>
      </w:r>
    </w:p>
    <w:p w14:paraId="4A3267B0" w14:textId="77777777" w:rsidR="00F46AB9" w:rsidRPr="004635E5" w:rsidRDefault="00F46AB9" w:rsidP="006633A8">
      <w:pPr>
        <w:pStyle w:val="ListParagraph"/>
        <w:adjustRightInd w:val="0"/>
        <w:snapToGrid w:val="0"/>
        <w:ind w:hanging="720"/>
        <w:jc w:val="both"/>
        <w:rPr>
          <w:b/>
          <w:sz w:val="22"/>
          <w:szCs w:val="22"/>
          <w:lang w:val="en-NZ"/>
        </w:rPr>
      </w:pPr>
    </w:p>
    <w:p w14:paraId="0AC0A634" w14:textId="77777777" w:rsidR="00610A49" w:rsidRPr="004635E5" w:rsidRDefault="00610A49" w:rsidP="00580EA4">
      <w:pPr>
        <w:numPr>
          <w:ilvl w:val="0"/>
          <w:numId w:val="18"/>
        </w:numPr>
        <w:autoSpaceDE w:val="0"/>
        <w:autoSpaceDN w:val="0"/>
        <w:adjustRightInd w:val="0"/>
        <w:snapToGrid w:val="0"/>
        <w:ind w:left="0" w:firstLine="0"/>
        <w:jc w:val="both"/>
        <w:rPr>
          <w:sz w:val="22"/>
          <w:szCs w:val="22"/>
        </w:rPr>
      </w:pPr>
      <w:r w:rsidRPr="004635E5">
        <w:rPr>
          <w:sz w:val="22"/>
          <w:szCs w:val="22"/>
        </w:rPr>
        <w:t>Japan stated that the life history parameter natural mortality was important and highly uncertain, and need</w:t>
      </w:r>
      <w:r w:rsidR="00DB7566" w:rsidRPr="004635E5">
        <w:rPr>
          <w:sz w:val="22"/>
          <w:szCs w:val="22"/>
        </w:rPr>
        <w:t>ed to be analyzed in</w:t>
      </w:r>
      <w:r w:rsidRPr="004635E5">
        <w:rPr>
          <w:sz w:val="22"/>
          <w:szCs w:val="22"/>
        </w:rPr>
        <w:t xml:space="preserve"> sensitivity runs. The Ricker model for stock recruitment should be considered as it might be more appropriate (flexible) for sharks. They suggest</w:t>
      </w:r>
      <w:r w:rsidR="00270656" w:rsidRPr="004635E5">
        <w:rPr>
          <w:sz w:val="22"/>
          <w:szCs w:val="22"/>
        </w:rPr>
        <w:t>ed</w:t>
      </w:r>
      <w:r w:rsidRPr="004635E5">
        <w:rPr>
          <w:sz w:val="22"/>
          <w:szCs w:val="22"/>
        </w:rPr>
        <w:t xml:space="preserve"> using the Kai</w:t>
      </w:r>
      <w:r w:rsidR="00706531" w:rsidRPr="004635E5">
        <w:rPr>
          <w:sz w:val="22"/>
          <w:szCs w:val="22"/>
        </w:rPr>
        <w:t>-Fuj</w:t>
      </w:r>
      <w:r w:rsidRPr="004635E5">
        <w:rPr>
          <w:sz w:val="22"/>
          <w:szCs w:val="22"/>
        </w:rPr>
        <w:t>inami</w:t>
      </w:r>
      <w:r w:rsidR="00706531" w:rsidRPr="004635E5">
        <w:rPr>
          <w:sz w:val="22"/>
          <w:szCs w:val="22"/>
        </w:rPr>
        <w:t xml:space="preserve"> </w:t>
      </w:r>
      <w:r w:rsidRPr="004635E5">
        <w:rPr>
          <w:sz w:val="22"/>
          <w:szCs w:val="22"/>
        </w:rPr>
        <w:t xml:space="preserve">2018 </w:t>
      </w:r>
      <w:r w:rsidR="00706531" w:rsidRPr="004635E5">
        <w:rPr>
          <w:sz w:val="22"/>
          <w:szCs w:val="22"/>
        </w:rPr>
        <w:t xml:space="preserve">analysis </w:t>
      </w:r>
      <w:r w:rsidRPr="004635E5">
        <w:rPr>
          <w:sz w:val="22"/>
          <w:szCs w:val="22"/>
        </w:rPr>
        <w:t xml:space="preserve">method </w:t>
      </w:r>
      <w:r w:rsidR="00706531" w:rsidRPr="004635E5">
        <w:rPr>
          <w:sz w:val="22"/>
          <w:szCs w:val="22"/>
        </w:rPr>
        <w:t>(</w:t>
      </w:r>
      <w:r w:rsidRPr="004635E5">
        <w:rPr>
          <w:sz w:val="22"/>
          <w:szCs w:val="22"/>
        </w:rPr>
        <w:t>published in Fisheries Research and accepted by SPC for other assessments</w:t>
      </w:r>
      <w:r w:rsidR="00706531" w:rsidRPr="004635E5">
        <w:rPr>
          <w:sz w:val="22"/>
          <w:szCs w:val="22"/>
        </w:rPr>
        <w:t xml:space="preserve"> of </w:t>
      </w:r>
      <w:r w:rsidR="00270656" w:rsidRPr="004635E5">
        <w:rPr>
          <w:sz w:val="22"/>
          <w:szCs w:val="22"/>
        </w:rPr>
        <w:t>North Pacific stocks</w:t>
      </w:r>
      <w:r w:rsidR="00706531" w:rsidRPr="004635E5">
        <w:rPr>
          <w:sz w:val="22"/>
          <w:szCs w:val="22"/>
        </w:rPr>
        <w:t xml:space="preserve">), which estimated steepness and examined a variety of </w:t>
      </w:r>
      <w:r w:rsidR="00270656" w:rsidRPr="004635E5">
        <w:rPr>
          <w:sz w:val="22"/>
          <w:szCs w:val="22"/>
        </w:rPr>
        <w:t xml:space="preserve">stock recruitment </w:t>
      </w:r>
      <w:r w:rsidR="00706531" w:rsidRPr="004635E5">
        <w:rPr>
          <w:sz w:val="22"/>
          <w:szCs w:val="22"/>
        </w:rPr>
        <w:t>relationships, and indicated high and low productivities</w:t>
      </w:r>
      <w:r w:rsidRPr="004635E5">
        <w:rPr>
          <w:sz w:val="22"/>
          <w:szCs w:val="22"/>
        </w:rPr>
        <w:t xml:space="preserve">. They </w:t>
      </w:r>
      <w:r w:rsidR="00270656" w:rsidRPr="004635E5">
        <w:rPr>
          <w:sz w:val="22"/>
          <w:szCs w:val="22"/>
        </w:rPr>
        <w:t>inquired regarding concerns with the no-</w:t>
      </w:r>
      <w:r w:rsidRPr="004635E5">
        <w:rPr>
          <w:sz w:val="22"/>
          <w:szCs w:val="22"/>
        </w:rPr>
        <w:t xml:space="preserve">retention measure and the deterioration of the data available </w:t>
      </w:r>
      <w:r w:rsidR="00270656" w:rsidRPr="004635E5">
        <w:rPr>
          <w:sz w:val="22"/>
          <w:szCs w:val="22"/>
        </w:rPr>
        <w:t>as a result</w:t>
      </w:r>
      <w:r w:rsidRPr="004635E5">
        <w:rPr>
          <w:sz w:val="22"/>
          <w:szCs w:val="22"/>
        </w:rPr>
        <w:t xml:space="preserve">. S. Clarke </w:t>
      </w:r>
      <w:r w:rsidRPr="004635E5">
        <w:rPr>
          <w:sz w:val="22"/>
          <w:szCs w:val="22"/>
          <w:lang w:val="en-NZ"/>
        </w:rPr>
        <w:t xml:space="preserve">stated that </w:t>
      </w:r>
      <w:r w:rsidR="00743599" w:rsidRPr="004635E5">
        <w:rPr>
          <w:sz w:val="22"/>
          <w:szCs w:val="22"/>
          <w:lang w:val="en-NZ"/>
        </w:rPr>
        <w:t xml:space="preserve">the research </w:t>
      </w:r>
      <w:r w:rsidR="00743599" w:rsidRPr="004635E5">
        <w:rPr>
          <w:sz w:val="22"/>
          <w:szCs w:val="22"/>
        </w:rPr>
        <w:t>team considered no-retention to be a good first option</w:t>
      </w:r>
      <w:r w:rsidRPr="004635E5">
        <w:rPr>
          <w:sz w:val="22"/>
          <w:szCs w:val="22"/>
        </w:rPr>
        <w:t xml:space="preserve">, </w:t>
      </w:r>
      <w:r w:rsidR="00743599" w:rsidRPr="004635E5">
        <w:rPr>
          <w:sz w:val="22"/>
          <w:szCs w:val="22"/>
        </w:rPr>
        <w:t xml:space="preserve">which </w:t>
      </w:r>
      <w:r w:rsidR="00DB7566" w:rsidRPr="004635E5">
        <w:rPr>
          <w:sz w:val="22"/>
          <w:szCs w:val="22"/>
        </w:rPr>
        <w:t>ideally would be retained, while working to improve</w:t>
      </w:r>
      <w:r w:rsidRPr="004635E5">
        <w:rPr>
          <w:sz w:val="22"/>
          <w:szCs w:val="22"/>
        </w:rPr>
        <w:t xml:space="preserve"> </w:t>
      </w:r>
      <w:r w:rsidR="00743599" w:rsidRPr="004635E5">
        <w:rPr>
          <w:sz w:val="22"/>
          <w:szCs w:val="22"/>
        </w:rPr>
        <w:t xml:space="preserve">species identification (and thus </w:t>
      </w:r>
      <w:r w:rsidRPr="004635E5">
        <w:rPr>
          <w:sz w:val="22"/>
          <w:szCs w:val="22"/>
        </w:rPr>
        <w:t>data quality</w:t>
      </w:r>
      <w:r w:rsidR="00743599" w:rsidRPr="004635E5">
        <w:rPr>
          <w:sz w:val="22"/>
          <w:szCs w:val="22"/>
        </w:rPr>
        <w:t>) through revised guidelines</w:t>
      </w:r>
      <w:r w:rsidRPr="004635E5">
        <w:rPr>
          <w:sz w:val="22"/>
          <w:szCs w:val="22"/>
        </w:rPr>
        <w:t xml:space="preserve">. </w:t>
      </w:r>
      <w:r w:rsidR="00743599" w:rsidRPr="004635E5">
        <w:rPr>
          <w:sz w:val="22"/>
          <w:szCs w:val="22"/>
        </w:rPr>
        <w:t xml:space="preserve">She noted the decision was </w:t>
      </w:r>
      <w:r w:rsidRPr="004635E5">
        <w:rPr>
          <w:sz w:val="22"/>
          <w:szCs w:val="22"/>
        </w:rPr>
        <w:t xml:space="preserve">a management issue and up to the </w:t>
      </w:r>
      <w:r w:rsidR="00DB7566" w:rsidRPr="004635E5">
        <w:rPr>
          <w:sz w:val="22"/>
          <w:szCs w:val="22"/>
        </w:rPr>
        <w:t>C</w:t>
      </w:r>
      <w:r w:rsidR="00F46AB9" w:rsidRPr="004635E5">
        <w:rPr>
          <w:sz w:val="22"/>
          <w:szCs w:val="22"/>
        </w:rPr>
        <w:t>ommission.</w:t>
      </w:r>
    </w:p>
    <w:p w14:paraId="1BB4D583" w14:textId="77777777" w:rsidR="00F46AB9" w:rsidRPr="004635E5" w:rsidRDefault="00F46AB9" w:rsidP="006633A8">
      <w:pPr>
        <w:autoSpaceDE w:val="0"/>
        <w:autoSpaceDN w:val="0"/>
        <w:adjustRightInd w:val="0"/>
        <w:snapToGrid w:val="0"/>
        <w:jc w:val="both"/>
        <w:rPr>
          <w:sz w:val="22"/>
          <w:szCs w:val="22"/>
        </w:rPr>
      </w:pPr>
    </w:p>
    <w:p w14:paraId="036FB40C" w14:textId="77777777" w:rsidR="001023CE" w:rsidRPr="004635E5" w:rsidRDefault="00DB7566"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The </w:t>
      </w:r>
      <w:r w:rsidR="001D3BF9" w:rsidRPr="004635E5">
        <w:rPr>
          <w:sz w:val="22"/>
          <w:szCs w:val="22"/>
          <w:lang w:val="en-NZ"/>
        </w:rPr>
        <w:t>USA</w:t>
      </w:r>
      <w:r w:rsidR="00E41D98" w:rsidRPr="004635E5">
        <w:rPr>
          <w:sz w:val="22"/>
          <w:szCs w:val="22"/>
          <w:lang w:val="en-NZ"/>
        </w:rPr>
        <w:t xml:space="preserve"> noted that the </w:t>
      </w:r>
      <w:r w:rsidR="001D3BF9" w:rsidRPr="004635E5">
        <w:rPr>
          <w:sz w:val="22"/>
          <w:szCs w:val="22"/>
          <w:lang w:val="en-NZ"/>
        </w:rPr>
        <w:t>in</w:t>
      </w:r>
      <w:r w:rsidR="00E41D98" w:rsidRPr="004635E5">
        <w:rPr>
          <w:sz w:val="22"/>
          <w:szCs w:val="22"/>
          <w:lang w:val="en-NZ"/>
        </w:rPr>
        <w:t>i</w:t>
      </w:r>
      <w:r w:rsidR="001D3BF9" w:rsidRPr="004635E5">
        <w:rPr>
          <w:sz w:val="22"/>
          <w:szCs w:val="22"/>
          <w:lang w:val="en-NZ"/>
        </w:rPr>
        <w:t xml:space="preserve">tial conditions in </w:t>
      </w:r>
      <w:r w:rsidR="00E41D98" w:rsidRPr="004635E5">
        <w:rPr>
          <w:sz w:val="22"/>
          <w:szCs w:val="22"/>
          <w:lang w:val="en-NZ"/>
        </w:rPr>
        <w:t xml:space="preserve">the WCPO </w:t>
      </w:r>
      <w:r w:rsidR="001D3BF9" w:rsidRPr="004635E5">
        <w:rPr>
          <w:sz w:val="22"/>
          <w:szCs w:val="22"/>
          <w:lang w:val="en-NZ"/>
        </w:rPr>
        <w:t>model ass</w:t>
      </w:r>
      <w:r w:rsidR="00E41D98" w:rsidRPr="004635E5">
        <w:rPr>
          <w:sz w:val="22"/>
          <w:szCs w:val="22"/>
          <w:lang w:val="en-NZ"/>
        </w:rPr>
        <w:t>umed</w:t>
      </w:r>
      <w:r w:rsidR="001D3BF9" w:rsidRPr="004635E5">
        <w:rPr>
          <w:sz w:val="22"/>
          <w:szCs w:val="22"/>
          <w:lang w:val="en-NZ"/>
        </w:rPr>
        <w:t xml:space="preserve"> cat</w:t>
      </w:r>
      <w:r w:rsidR="00E41D98" w:rsidRPr="004635E5">
        <w:rPr>
          <w:sz w:val="22"/>
          <w:szCs w:val="22"/>
          <w:lang w:val="en-NZ"/>
        </w:rPr>
        <w:t>c</w:t>
      </w:r>
      <w:r w:rsidR="001D3BF9" w:rsidRPr="004635E5">
        <w:rPr>
          <w:sz w:val="22"/>
          <w:szCs w:val="22"/>
          <w:lang w:val="en-NZ"/>
        </w:rPr>
        <w:t xml:space="preserve">h </w:t>
      </w:r>
      <w:r w:rsidR="00E41D98" w:rsidRPr="004635E5">
        <w:rPr>
          <w:sz w:val="22"/>
          <w:szCs w:val="22"/>
          <w:lang w:val="en-NZ"/>
        </w:rPr>
        <w:t xml:space="preserve">as of </w:t>
      </w:r>
      <w:r w:rsidR="001D3BF9" w:rsidRPr="004635E5">
        <w:rPr>
          <w:sz w:val="22"/>
          <w:szCs w:val="22"/>
          <w:lang w:val="en-NZ"/>
        </w:rPr>
        <w:t xml:space="preserve">1995, </w:t>
      </w:r>
      <w:r w:rsidR="00E41D98" w:rsidRPr="004635E5">
        <w:rPr>
          <w:sz w:val="22"/>
          <w:szCs w:val="22"/>
          <w:lang w:val="en-NZ"/>
        </w:rPr>
        <w:t xml:space="preserve">and asked whether an effort was made </w:t>
      </w:r>
      <w:r w:rsidR="001D3BF9" w:rsidRPr="004635E5">
        <w:rPr>
          <w:sz w:val="22"/>
          <w:szCs w:val="22"/>
          <w:lang w:val="en-NZ"/>
        </w:rPr>
        <w:t xml:space="preserve">to </w:t>
      </w:r>
      <w:r w:rsidRPr="004635E5">
        <w:rPr>
          <w:sz w:val="22"/>
          <w:szCs w:val="22"/>
          <w:lang w:val="en-NZ"/>
        </w:rPr>
        <w:t xml:space="preserve">estimate the </w:t>
      </w:r>
      <w:r w:rsidR="001D3BF9" w:rsidRPr="004635E5">
        <w:rPr>
          <w:sz w:val="22"/>
          <w:szCs w:val="22"/>
          <w:lang w:val="en-NZ"/>
        </w:rPr>
        <w:t xml:space="preserve">initial conditions </w:t>
      </w:r>
      <w:r w:rsidR="00076B6E" w:rsidRPr="004635E5">
        <w:rPr>
          <w:sz w:val="22"/>
          <w:szCs w:val="22"/>
          <w:lang w:val="en-NZ"/>
        </w:rPr>
        <w:t>inside the model. A. Langley</w:t>
      </w:r>
      <w:r w:rsidR="00E41D98" w:rsidRPr="004635E5">
        <w:rPr>
          <w:sz w:val="22"/>
          <w:szCs w:val="22"/>
          <w:lang w:val="en-NZ"/>
        </w:rPr>
        <w:t xml:space="preserve"> noted that </w:t>
      </w:r>
      <w:r w:rsidR="001D3BF9" w:rsidRPr="004635E5">
        <w:rPr>
          <w:sz w:val="22"/>
          <w:szCs w:val="22"/>
          <w:lang w:val="en-NZ"/>
        </w:rPr>
        <w:t>stock syntheses</w:t>
      </w:r>
      <w:r w:rsidR="00E41D98" w:rsidRPr="004635E5">
        <w:rPr>
          <w:sz w:val="22"/>
          <w:szCs w:val="22"/>
          <w:lang w:val="en-NZ"/>
        </w:rPr>
        <w:t xml:space="preserve"> have </w:t>
      </w:r>
      <w:r w:rsidR="001D3BF9" w:rsidRPr="004635E5">
        <w:rPr>
          <w:sz w:val="22"/>
          <w:szCs w:val="22"/>
          <w:lang w:val="en-NZ"/>
        </w:rPr>
        <w:t>a few factors that influence initial cond</w:t>
      </w:r>
      <w:r w:rsidR="00E41D98" w:rsidRPr="004635E5">
        <w:rPr>
          <w:sz w:val="22"/>
          <w:szCs w:val="22"/>
          <w:lang w:val="en-NZ"/>
        </w:rPr>
        <w:t>ition</w:t>
      </w:r>
      <w:r w:rsidR="001D3BF9" w:rsidRPr="004635E5">
        <w:rPr>
          <w:sz w:val="22"/>
          <w:szCs w:val="22"/>
          <w:lang w:val="en-NZ"/>
        </w:rPr>
        <w:t xml:space="preserve">: assumed catch, assumed error, and fishing </w:t>
      </w:r>
      <w:r w:rsidR="00E41D98" w:rsidRPr="004635E5">
        <w:rPr>
          <w:sz w:val="22"/>
          <w:szCs w:val="22"/>
          <w:lang w:val="en-NZ"/>
        </w:rPr>
        <w:t>m</w:t>
      </w:r>
      <w:r w:rsidR="001D3BF9" w:rsidRPr="004635E5">
        <w:rPr>
          <w:sz w:val="22"/>
          <w:szCs w:val="22"/>
          <w:lang w:val="en-NZ"/>
        </w:rPr>
        <w:t>ortal</w:t>
      </w:r>
      <w:r w:rsidR="00E41D98" w:rsidRPr="004635E5">
        <w:rPr>
          <w:sz w:val="22"/>
          <w:szCs w:val="22"/>
          <w:lang w:val="en-NZ"/>
        </w:rPr>
        <w:t xml:space="preserve">ity. The </w:t>
      </w:r>
      <w:r w:rsidR="001D3BF9" w:rsidRPr="004635E5">
        <w:rPr>
          <w:sz w:val="22"/>
          <w:szCs w:val="22"/>
          <w:lang w:val="en-NZ"/>
        </w:rPr>
        <w:t>fish</w:t>
      </w:r>
      <w:r w:rsidR="00E41D98" w:rsidRPr="004635E5">
        <w:rPr>
          <w:sz w:val="22"/>
          <w:szCs w:val="22"/>
          <w:lang w:val="en-NZ"/>
        </w:rPr>
        <w:t>ing</w:t>
      </w:r>
      <w:r w:rsidR="001D3BF9" w:rsidRPr="004635E5">
        <w:rPr>
          <w:sz w:val="22"/>
          <w:szCs w:val="22"/>
          <w:lang w:val="en-NZ"/>
        </w:rPr>
        <w:t xml:space="preserve"> mortal</w:t>
      </w:r>
      <w:r w:rsidR="00E41D98" w:rsidRPr="004635E5">
        <w:rPr>
          <w:sz w:val="22"/>
          <w:szCs w:val="22"/>
          <w:lang w:val="en-NZ"/>
        </w:rPr>
        <w:t>ity</w:t>
      </w:r>
      <w:r w:rsidR="001D3BF9" w:rsidRPr="004635E5">
        <w:rPr>
          <w:sz w:val="22"/>
          <w:szCs w:val="22"/>
          <w:lang w:val="en-NZ"/>
        </w:rPr>
        <w:t xml:space="preserve"> of those fi</w:t>
      </w:r>
      <w:r w:rsidR="00E41D98" w:rsidRPr="004635E5">
        <w:rPr>
          <w:sz w:val="22"/>
          <w:szCs w:val="22"/>
          <w:lang w:val="en-NZ"/>
        </w:rPr>
        <w:t>sheries for</w:t>
      </w:r>
      <w:r w:rsidR="001D3BF9" w:rsidRPr="004635E5">
        <w:rPr>
          <w:sz w:val="22"/>
          <w:szCs w:val="22"/>
          <w:lang w:val="en-NZ"/>
        </w:rPr>
        <w:t xml:space="preserve"> the in</w:t>
      </w:r>
      <w:r w:rsidR="00E41D98" w:rsidRPr="004635E5">
        <w:rPr>
          <w:sz w:val="22"/>
          <w:szCs w:val="22"/>
          <w:lang w:val="en-NZ"/>
        </w:rPr>
        <w:t>i</w:t>
      </w:r>
      <w:r w:rsidR="001D3BF9" w:rsidRPr="004635E5">
        <w:rPr>
          <w:sz w:val="22"/>
          <w:szCs w:val="22"/>
          <w:lang w:val="en-NZ"/>
        </w:rPr>
        <w:t>tial model ass</w:t>
      </w:r>
      <w:r w:rsidR="00E41D98" w:rsidRPr="004635E5">
        <w:rPr>
          <w:sz w:val="22"/>
          <w:szCs w:val="22"/>
          <w:lang w:val="en-NZ"/>
        </w:rPr>
        <w:t>ume</w:t>
      </w:r>
      <w:r w:rsidR="00270656" w:rsidRPr="004635E5">
        <w:rPr>
          <w:sz w:val="22"/>
          <w:szCs w:val="22"/>
          <w:lang w:val="en-NZ"/>
        </w:rPr>
        <w:t>d</w:t>
      </w:r>
      <w:r w:rsidR="00E41D98" w:rsidRPr="004635E5">
        <w:rPr>
          <w:sz w:val="22"/>
          <w:szCs w:val="22"/>
          <w:lang w:val="en-NZ"/>
        </w:rPr>
        <w:t xml:space="preserve"> a high level of error. The mo</w:t>
      </w:r>
      <w:r w:rsidR="001D3BF9" w:rsidRPr="004635E5">
        <w:rPr>
          <w:sz w:val="22"/>
          <w:szCs w:val="22"/>
          <w:lang w:val="en-NZ"/>
        </w:rPr>
        <w:t xml:space="preserve">del estimates fishing </w:t>
      </w:r>
      <w:r w:rsidR="00E41D98" w:rsidRPr="004635E5">
        <w:rPr>
          <w:sz w:val="22"/>
          <w:szCs w:val="22"/>
          <w:lang w:val="en-NZ"/>
        </w:rPr>
        <w:t xml:space="preserve">mortality </w:t>
      </w:r>
      <w:r w:rsidR="001D3BF9" w:rsidRPr="004635E5">
        <w:rPr>
          <w:sz w:val="22"/>
          <w:szCs w:val="22"/>
          <w:lang w:val="en-NZ"/>
        </w:rPr>
        <w:t xml:space="preserve">rates </w:t>
      </w:r>
      <w:r w:rsidR="00E41D98" w:rsidRPr="004635E5">
        <w:rPr>
          <w:sz w:val="22"/>
          <w:szCs w:val="22"/>
          <w:lang w:val="en-NZ"/>
        </w:rPr>
        <w:t xml:space="preserve">as </w:t>
      </w:r>
      <w:r w:rsidR="001D3BF9" w:rsidRPr="004635E5">
        <w:rPr>
          <w:sz w:val="22"/>
          <w:szCs w:val="22"/>
          <w:lang w:val="en-NZ"/>
        </w:rPr>
        <w:t>fai</w:t>
      </w:r>
      <w:r w:rsidR="00E41D98" w:rsidRPr="004635E5">
        <w:rPr>
          <w:sz w:val="22"/>
          <w:szCs w:val="22"/>
          <w:lang w:val="en-NZ"/>
        </w:rPr>
        <w:t>rly low a</w:t>
      </w:r>
      <w:r w:rsidR="001D3BF9" w:rsidRPr="004635E5">
        <w:rPr>
          <w:sz w:val="22"/>
          <w:szCs w:val="22"/>
          <w:lang w:val="en-NZ"/>
        </w:rPr>
        <w:t xml:space="preserve">t </w:t>
      </w:r>
      <w:r w:rsidR="00E41D98" w:rsidRPr="004635E5">
        <w:rPr>
          <w:sz w:val="22"/>
          <w:szCs w:val="22"/>
          <w:lang w:val="en-NZ"/>
        </w:rPr>
        <w:t>the o</w:t>
      </w:r>
      <w:r w:rsidR="001D3BF9" w:rsidRPr="004635E5">
        <w:rPr>
          <w:sz w:val="22"/>
          <w:szCs w:val="22"/>
          <w:lang w:val="en-NZ"/>
        </w:rPr>
        <w:t xml:space="preserve">utset. But </w:t>
      </w:r>
      <w:r w:rsidR="00E41D98" w:rsidRPr="004635E5">
        <w:rPr>
          <w:sz w:val="22"/>
          <w:szCs w:val="22"/>
          <w:lang w:val="en-NZ"/>
        </w:rPr>
        <w:t xml:space="preserve">this is not </w:t>
      </w:r>
      <w:r w:rsidR="001D3BF9" w:rsidRPr="004635E5">
        <w:rPr>
          <w:sz w:val="22"/>
          <w:szCs w:val="22"/>
          <w:lang w:val="en-NZ"/>
        </w:rPr>
        <w:t xml:space="preserve">well informed by the data set, so </w:t>
      </w:r>
      <w:r w:rsidR="00076B6E" w:rsidRPr="004635E5">
        <w:rPr>
          <w:sz w:val="22"/>
          <w:szCs w:val="22"/>
          <w:lang w:val="en-NZ"/>
        </w:rPr>
        <w:t xml:space="preserve">is </w:t>
      </w:r>
      <w:r w:rsidR="00270656" w:rsidRPr="004635E5">
        <w:rPr>
          <w:sz w:val="22"/>
          <w:szCs w:val="22"/>
          <w:lang w:val="en-NZ"/>
        </w:rPr>
        <w:t xml:space="preserve">highly </w:t>
      </w:r>
      <w:r w:rsidR="00E41D98" w:rsidRPr="004635E5">
        <w:rPr>
          <w:sz w:val="22"/>
          <w:szCs w:val="22"/>
          <w:lang w:val="en-NZ"/>
        </w:rPr>
        <w:t>un</w:t>
      </w:r>
      <w:r w:rsidR="001D3BF9" w:rsidRPr="004635E5">
        <w:rPr>
          <w:sz w:val="22"/>
          <w:szCs w:val="22"/>
          <w:lang w:val="en-NZ"/>
        </w:rPr>
        <w:t>cert</w:t>
      </w:r>
      <w:r w:rsidR="00270656" w:rsidRPr="004635E5">
        <w:rPr>
          <w:sz w:val="22"/>
          <w:szCs w:val="22"/>
          <w:lang w:val="en-NZ"/>
        </w:rPr>
        <w:t>ain</w:t>
      </w:r>
      <w:r w:rsidR="00E41D98" w:rsidRPr="004635E5">
        <w:rPr>
          <w:sz w:val="22"/>
          <w:szCs w:val="22"/>
          <w:lang w:val="en-NZ"/>
        </w:rPr>
        <w:t>.</w:t>
      </w:r>
      <w:r w:rsidR="001D3BF9" w:rsidRPr="004635E5">
        <w:rPr>
          <w:sz w:val="22"/>
          <w:szCs w:val="22"/>
          <w:lang w:val="en-NZ"/>
        </w:rPr>
        <w:t xml:space="preserve"> </w:t>
      </w:r>
    </w:p>
    <w:p w14:paraId="6F5ADF56" w14:textId="77777777" w:rsidR="00F46AB9" w:rsidRPr="004635E5" w:rsidRDefault="00F46AB9" w:rsidP="006633A8">
      <w:pPr>
        <w:autoSpaceDE w:val="0"/>
        <w:autoSpaceDN w:val="0"/>
        <w:adjustRightInd w:val="0"/>
        <w:snapToGrid w:val="0"/>
        <w:jc w:val="both"/>
        <w:rPr>
          <w:sz w:val="22"/>
          <w:szCs w:val="22"/>
          <w:lang w:val="en-NZ"/>
        </w:rPr>
      </w:pPr>
    </w:p>
    <w:p w14:paraId="0C36E22D" w14:textId="77777777" w:rsidR="001D3BF9" w:rsidRPr="004635E5" w:rsidRDefault="00E41D98"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Chinese Taipei noted that the CPUE </w:t>
      </w:r>
      <w:r w:rsidR="009D70E6" w:rsidRPr="004635E5">
        <w:rPr>
          <w:sz w:val="22"/>
          <w:szCs w:val="22"/>
          <w:lang w:val="en-NZ"/>
        </w:rPr>
        <w:t xml:space="preserve">indices </w:t>
      </w:r>
      <w:r w:rsidRPr="004635E5">
        <w:rPr>
          <w:sz w:val="22"/>
          <w:szCs w:val="22"/>
          <w:lang w:val="en-NZ"/>
        </w:rPr>
        <w:t xml:space="preserve">were </w:t>
      </w:r>
      <w:r w:rsidR="009D70E6" w:rsidRPr="004635E5">
        <w:rPr>
          <w:sz w:val="22"/>
          <w:szCs w:val="22"/>
          <w:lang w:val="en-NZ"/>
        </w:rPr>
        <w:t>quite varied</w:t>
      </w:r>
      <w:r w:rsidR="00076B6E" w:rsidRPr="004635E5">
        <w:rPr>
          <w:sz w:val="22"/>
          <w:szCs w:val="22"/>
          <w:lang w:val="en-NZ"/>
        </w:rPr>
        <w:t xml:space="preserve">, </w:t>
      </w:r>
      <w:r w:rsidR="00076B6E" w:rsidRPr="004635E5">
        <w:rPr>
          <w:sz w:val="22"/>
          <w:szCs w:val="22"/>
        </w:rPr>
        <w:t xml:space="preserve">and questioned why the relationships between the CPUE indices and the El Niño 3.4 SST </w:t>
      </w:r>
      <w:r w:rsidR="00270656" w:rsidRPr="004635E5">
        <w:rPr>
          <w:sz w:val="22"/>
          <w:szCs w:val="22"/>
        </w:rPr>
        <w:t xml:space="preserve">were </w:t>
      </w:r>
      <w:r w:rsidR="00076B6E" w:rsidRPr="004635E5">
        <w:rPr>
          <w:sz w:val="22"/>
          <w:szCs w:val="22"/>
        </w:rPr>
        <w:t>not consistent within the same region</w:t>
      </w:r>
      <w:r w:rsidR="009D70E6" w:rsidRPr="004635E5">
        <w:rPr>
          <w:sz w:val="22"/>
          <w:szCs w:val="22"/>
          <w:lang w:val="en-NZ"/>
        </w:rPr>
        <w:t>. A</w:t>
      </w:r>
      <w:r w:rsidR="00076B6E" w:rsidRPr="004635E5">
        <w:rPr>
          <w:sz w:val="22"/>
          <w:szCs w:val="22"/>
          <w:lang w:val="en-NZ"/>
        </w:rPr>
        <w:t xml:space="preserve">. Langley </w:t>
      </w:r>
      <w:r w:rsidRPr="004635E5">
        <w:rPr>
          <w:sz w:val="22"/>
          <w:szCs w:val="22"/>
          <w:lang w:val="en-NZ"/>
        </w:rPr>
        <w:t xml:space="preserve">indicated he shared </w:t>
      </w:r>
      <w:r w:rsidR="009D70E6" w:rsidRPr="004635E5">
        <w:rPr>
          <w:sz w:val="22"/>
          <w:szCs w:val="22"/>
          <w:lang w:val="en-NZ"/>
        </w:rPr>
        <w:t>those concerns</w:t>
      </w:r>
      <w:r w:rsidRPr="004635E5">
        <w:rPr>
          <w:sz w:val="22"/>
          <w:szCs w:val="22"/>
          <w:lang w:val="en-NZ"/>
        </w:rPr>
        <w:t>, and noted the two sets of C</w:t>
      </w:r>
      <w:r w:rsidR="009D70E6" w:rsidRPr="004635E5">
        <w:rPr>
          <w:sz w:val="22"/>
          <w:szCs w:val="22"/>
          <w:lang w:val="en-NZ"/>
        </w:rPr>
        <w:t>PUE are somewhat spatially distinct</w:t>
      </w:r>
      <w:r w:rsidRPr="004635E5">
        <w:rPr>
          <w:sz w:val="22"/>
          <w:szCs w:val="22"/>
          <w:lang w:val="en-NZ"/>
        </w:rPr>
        <w:t xml:space="preserve">. There could </w:t>
      </w:r>
      <w:r w:rsidR="009D70E6" w:rsidRPr="004635E5">
        <w:rPr>
          <w:sz w:val="22"/>
          <w:szCs w:val="22"/>
          <w:lang w:val="en-NZ"/>
        </w:rPr>
        <w:t>be diff</w:t>
      </w:r>
      <w:r w:rsidRPr="004635E5">
        <w:rPr>
          <w:sz w:val="22"/>
          <w:szCs w:val="22"/>
          <w:lang w:val="en-NZ"/>
        </w:rPr>
        <w:t>erent</w:t>
      </w:r>
      <w:r w:rsidR="009D70E6" w:rsidRPr="004635E5">
        <w:rPr>
          <w:sz w:val="22"/>
          <w:szCs w:val="22"/>
          <w:lang w:val="en-NZ"/>
        </w:rPr>
        <w:t xml:space="preserve"> sup</w:t>
      </w:r>
      <w:r w:rsidRPr="004635E5">
        <w:rPr>
          <w:sz w:val="22"/>
          <w:szCs w:val="22"/>
          <w:lang w:val="en-NZ"/>
        </w:rPr>
        <w:t xml:space="preserve">porting </w:t>
      </w:r>
      <w:r w:rsidR="009D70E6" w:rsidRPr="004635E5">
        <w:rPr>
          <w:sz w:val="22"/>
          <w:szCs w:val="22"/>
          <w:lang w:val="en-NZ"/>
        </w:rPr>
        <w:t>pop</w:t>
      </w:r>
      <w:r w:rsidRPr="004635E5">
        <w:rPr>
          <w:sz w:val="22"/>
          <w:szCs w:val="22"/>
          <w:lang w:val="en-NZ"/>
        </w:rPr>
        <w:t>ulation</w:t>
      </w:r>
      <w:r w:rsidR="009D70E6" w:rsidRPr="004635E5">
        <w:rPr>
          <w:sz w:val="22"/>
          <w:szCs w:val="22"/>
          <w:lang w:val="en-NZ"/>
        </w:rPr>
        <w:t>s, or differing influences</w:t>
      </w:r>
      <w:r w:rsidRPr="004635E5">
        <w:rPr>
          <w:sz w:val="22"/>
          <w:szCs w:val="22"/>
          <w:lang w:val="en-NZ"/>
        </w:rPr>
        <w:t xml:space="preserve">; one </w:t>
      </w:r>
      <w:r w:rsidR="00837078" w:rsidRPr="004635E5">
        <w:rPr>
          <w:sz w:val="22"/>
          <w:szCs w:val="22"/>
          <w:lang w:val="en-NZ"/>
        </w:rPr>
        <w:t>purse seine</w:t>
      </w:r>
      <w:r w:rsidRPr="004635E5">
        <w:rPr>
          <w:sz w:val="22"/>
          <w:szCs w:val="22"/>
          <w:lang w:val="en-NZ"/>
        </w:rPr>
        <w:t xml:space="preserve"> </w:t>
      </w:r>
      <w:r w:rsidR="009D70E6" w:rsidRPr="004635E5">
        <w:rPr>
          <w:sz w:val="22"/>
          <w:szCs w:val="22"/>
          <w:lang w:val="en-NZ"/>
        </w:rPr>
        <w:t xml:space="preserve">fishery and </w:t>
      </w:r>
      <w:r w:rsidRPr="004635E5">
        <w:rPr>
          <w:sz w:val="22"/>
          <w:szCs w:val="22"/>
          <w:lang w:val="en-NZ"/>
        </w:rPr>
        <w:t xml:space="preserve">one </w:t>
      </w:r>
      <w:r w:rsidR="004421B3" w:rsidRPr="004635E5">
        <w:rPr>
          <w:sz w:val="22"/>
          <w:szCs w:val="22"/>
          <w:lang w:val="en-NZ"/>
        </w:rPr>
        <w:t>longline</w:t>
      </w:r>
      <w:r w:rsidR="009D70E6" w:rsidRPr="004635E5">
        <w:rPr>
          <w:sz w:val="22"/>
          <w:szCs w:val="22"/>
          <w:lang w:val="en-NZ"/>
        </w:rPr>
        <w:t xml:space="preserve"> fishery, or local enviro</w:t>
      </w:r>
      <w:r w:rsidRPr="004635E5">
        <w:rPr>
          <w:sz w:val="22"/>
          <w:szCs w:val="22"/>
          <w:lang w:val="en-NZ"/>
        </w:rPr>
        <w:t>nmental</w:t>
      </w:r>
      <w:r w:rsidR="009D70E6" w:rsidRPr="004635E5">
        <w:rPr>
          <w:sz w:val="22"/>
          <w:szCs w:val="22"/>
          <w:lang w:val="en-NZ"/>
        </w:rPr>
        <w:t xml:space="preserve"> influences that differ in equatorial and </w:t>
      </w:r>
      <w:r w:rsidRPr="004635E5">
        <w:rPr>
          <w:sz w:val="22"/>
          <w:szCs w:val="22"/>
          <w:lang w:val="en-NZ"/>
        </w:rPr>
        <w:t>subtropical</w:t>
      </w:r>
      <w:r w:rsidR="00076B6E" w:rsidRPr="004635E5">
        <w:rPr>
          <w:sz w:val="22"/>
          <w:szCs w:val="22"/>
          <w:lang w:val="en-NZ"/>
        </w:rPr>
        <w:t xml:space="preserve"> areas</w:t>
      </w:r>
      <w:r w:rsidR="009D70E6" w:rsidRPr="004635E5">
        <w:rPr>
          <w:sz w:val="22"/>
          <w:szCs w:val="22"/>
          <w:lang w:val="en-NZ"/>
        </w:rPr>
        <w:t xml:space="preserve">. </w:t>
      </w:r>
      <w:r w:rsidRPr="004635E5">
        <w:rPr>
          <w:sz w:val="22"/>
          <w:szCs w:val="22"/>
          <w:lang w:val="en-NZ"/>
        </w:rPr>
        <w:t xml:space="preserve">There is a need to resolve </w:t>
      </w:r>
      <w:r w:rsidR="009D70E6" w:rsidRPr="004635E5">
        <w:rPr>
          <w:sz w:val="22"/>
          <w:szCs w:val="22"/>
          <w:lang w:val="en-NZ"/>
        </w:rPr>
        <w:t xml:space="preserve">some of these </w:t>
      </w:r>
      <w:r w:rsidRPr="004635E5">
        <w:rPr>
          <w:sz w:val="22"/>
          <w:szCs w:val="22"/>
          <w:lang w:val="en-NZ"/>
        </w:rPr>
        <w:t xml:space="preserve">issues </w:t>
      </w:r>
      <w:r w:rsidR="009D70E6" w:rsidRPr="004635E5">
        <w:rPr>
          <w:sz w:val="22"/>
          <w:szCs w:val="22"/>
          <w:lang w:val="en-NZ"/>
        </w:rPr>
        <w:t xml:space="preserve">if </w:t>
      </w:r>
      <w:r w:rsidRPr="004635E5">
        <w:rPr>
          <w:sz w:val="22"/>
          <w:szCs w:val="22"/>
          <w:lang w:val="en-NZ"/>
        </w:rPr>
        <w:t xml:space="preserve">this is considered as a single </w:t>
      </w:r>
      <w:r w:rsidR="009D70E6" w:rsidRPr="004635E5">
        <w:rPr>
          <w:sz w:val="22"/>
          <w:szCs w:val="22"/>
          <w:lang w:val="en-NZ"/>
        </w:rPr>
        <w:t xml:space="preserve">region, which the model assumes. </w:t>
      </w:r>
      <w:r w:rsidR="00F81447">
        <w:rPr>
          <w:rFonts w:eastAsiaTheme="minorEastAsia" w:hint="eastAsia"/>
          <w:sz w:val="22"/>
          <w:szCs w:val="22"/>
          <w:lang w:val="en-NZ" w:eastAsia="ko-KR"/>
        </w:rPr>
        <w:t>S. Clarke</w:t>
      </w:r>
      <w:r w:rsidR="00F81447" w:rsidRPr="004635E5">
        <w:rPr>
          <w:sz w:val="22"/>
          <w:szCs w:val="22"/>
          <w:lang w:val="en-NZ"/>
        </w:rPr>
        <w:t xml:space="preserve"> </w:t>
      </w:r>
      <w:r w:rsidRPr="004635E5">
        <w:rPr>
          <w:sz w:val="22"/>
          <w:szCs w:val="22"/>
          <w:lang w:val="en-NZ"/>
        </w:rPr>
        <w:t xml:space="preserve">noted that </w:t>
      </w:r>
      <w:r w:rsidR="00743599" w:rsidRPr="004635E5">
        <w:rPr>
          <w:sz w:val="22"/>
          <w:szCs w:val="22"/>
        </w:rPr>
        <w:t xml:space="preserve">the size of shark caught in the EPO differed from that in the WCPO, and was affected differently by environmental impacts. Within the WCPO, </w:t>
      </w:r>
      <w:r w:rsidR="00837078" w:rsidRPr="004635E5">
        <w:rPr>
          <w:sz w:val="22"/>
          <w:szCs w:val="22"/>
        </w:rPr>
        <w:t>purse seine</w:t>
      </w:r>
      <w:r w:rsidR="00743599" w:rsidRPr="004635E5">
        <w:rPr>
          <w:sz w:val="22"/>
          <w:szCs w:val="22"/>
        </w:rPr>
        <w:t xml:space="preserve"> captured juveniles, and </w:t>
      </w:r>
      <w:r w:rsidR="004421B3" w:rsidRPr="004635E5">
        <w:rPr>
          <w:sz w:val="22"/>
          <w:szCs w:val="22"/>
        </w:rPr>
        <w:t>longline</w:t>
      </w:r>
      <w:r w:rsidR="00743599" w:rsidRPr="004635E5">
        <w:rPr>
          <w:sz w:val="22"/>
          <w:szCs w:val="22"/>
        </w:rPr>
        <w:t xml:space="preserve"> large adult, which may contribute to the difference in impacts.</w:t>
      </w:r>
      <w:r w:rsidR="009D70E6" w:rsidRPr="004635E5">
        <w:rPr>
          <w:sz w:val="22"/>
          <w:szCs w:val="22"/>
          <w:lang w:val="en-NZ"/>
        </w:rPr>
        <w:t xml:space="preserve"> </w:t>
      </w:r>
      <w:r w:rsidRPr="004635E5">
        <w:rPr>
          <w:sz w:val="22"/>
          <w:szCs w:val="22"/>
          <w:lang w:val="en-NZ"/>
        </w:rPr>
        <w:t xml:space="preserve">Japan asked whether the </w:t>
      </w:r>
      <w:r w:rsidR="009D70E6" w:rsidRPr="004635E5">
        <w:rPr>
          <w:sz w:val="22"/>
          <w:szCs w:val="22"/>
          <w:lang w:val="en-NZ"/>
        </w:rPr>
        <w:t xml:space="preserve">current CMM </w:t>
      </w:r>
      <w:r w:rsidRPr="004635E5">
        <w:rPr>
          <w:sz w:val="22"/>
          <w:szCs w:val="22"/>
          <w:lang w:val="en-NZ"/>
        </w:rPr>
        <w:t xml:space="preserve">was </w:t>
      </w:r>
      <w:r w:rsidR="009D70E6" w:rsidRPr="004635E5">
        <w:rPr>
          <w:sz w:val="22"/>
          <w:szCs w:val="22"/>
          <w:lang w:val="en-NZ"/>
        </w:rPr>
        <w:t>adequate and based on best av</w:t>
      </w:r>
      <w:r w:rsidRPr="004635E5">
        <w:rPr>
          <w:sz w:val="22"/>
          <w:szCs w:val="22"/>
          <w:lang w:val="en-NZ"/>
        </w:rPr>
        <w:t>a</w:t>
      </w:r>
      <w:r w:rsidR="009D70E6" w:rsidRPr="004635E5">
        <w:rPr>
          <w:sz w:val="22"/>
          <w:szCs w:val="22"/>
          <w:lang w:val="en-NZ"/>
        </w:rPr>
        <w:t>il</w:t>
      </w:r>
      <w:r w:rsidRPr="004635E5">
        <w:rPr>
          <w:sz w:val="22"/>
          <w:szCs w:val="22"/>
          <w:lang w:val="en-NZ"/>
        </w:rPr>
        <w:t>able</w:t>
      </w:r>
      <w:r w:rsidR="009D70E6" w:rsidRPr="004635E5">
        <w:rPr>
          <w:sz w:val="22"/>
          <w:szCs w:val="22"/>
          <w:lang w:val="en-NZ"/>
        </w:rPr>
        <w:t xml:space="preserve"> info</w:t>
      </w:r>
      <w:r w:rsidR="00270656" w:rsidRPr="004635E5">
        <w:rPr>
          <w:sz w:val="22"/>
          <w:szCs w:val="22"/>
          <w:lang w:val="en-NZ"/>
        </w:rPr>
        <w:t>rmation. S. Clarke</w:t>
      </w:r>
      <w:r w:rsidRPr="004635E5">
        <w:rPr>
          <w:sz w:val="22"/>
          <w:szCs w:val="22"/>
          <w:lang w:val="en-NZ"/>
        </w:rPr>
        <w:t xml:space="preserve"> replied that there were </w:t>
      </w:r>
      <w:r w:rsidR="009D70E6" w:rsidRPr="004635E5">
        <w:rPr>
          <w:sz w:val="22"/>
          <w:szCs w:val="22"/>
          <w:lang w:val="en-NZ"/>
        </w:rPr>
        <w:t>iss</w:t>
      </w:r>
      <w:r w:rsidRPr="004635E5">
        <w:rPr>
          <w:sz w:val="22"/>
          <w:szCs w:val="22"/>
          <w:lang w:val="en-NZ"/>
        </w:rPr>
        <w:t>u</w:t>
      </w:r>
      <w:r w:rsidR="009D70E6" w:rsidRPr="004635E5">
        <w:rPr>
          <w:sz w:val="22"/>
          <w:szCs w:val="22"/>
          <w:lang w:val="en-NZ"/>
        </w:rPr>
        <w:t>es with data qual</w:t>
      </w:r>
      <w:r w:rsidRPr="004635E5">
        <w:rPr>
          <w:sz w:val="22"/>
          <w:szCs w:val="22"/>
          <w:lang w:val="en-NZ"/>
        </w:rPr>
        <w:t>ity</w:t>
      </w:r>
      <w:r w:rsidR="009D70E6" w:rsidRPr="004635E5">
        <w:rPr>
          <w:sz w:val="22"/>
          <w:szCs w:val="22"/>
          <w:lang w:val="en-NZ"/>
        </w:rPr>
        <w:t xml:space="preserve"> arising from the CMM, </w:t>
      </w:r>
      <w:r w:rsidR="00270656" w:rsidRPr="004635E5">
        <w:rPr>
          <w:sz w:val="22"/>
          <w:szCs w:val="22"/>
          <w:lang w:val="en-NZ"/>
        </w:rPr>
        <w:t xml:space="preserve">and </w:t>
      </w:r>
      <w:r w:rsidR="009D70E6" w:rsidRPr="004635E5">
        <w:rPr>
          <w:sz w:val="22"/>
          <w:szCs w:val="22"/>
          <w:lang w:val="en-NZ"/>
        </w:rPr>
        <w:t>maybe some post-rel</w:t>
      </w:r>
      <w:r w:rsidRPr="004635E5">
        <w:rPr>
          <w:sz w:val="22"/>
          <w:szCs w:val="22"/>
          <w:lang w:val="en-NZ"/>
        </w:rPr>
        <w:t>e</w:t>
      </w:r>
      <w:r w:rsidR="009D70E6" w:rsidRPr="004635E5">
        <w:rPr>
          <w:sz w:val="22"/>
          <w:szCs w:val="22"/>
          <w:lang w:val="en-NZ"/>
        </w:rPr>
        <w:t>ase mortal</w:t>
      </w:r>
      <w:r w:rsidRPr="004635E5">
        <w:rPr>
          <w:sz w:val="22"/>
          <w:szCs w:val="22"/>
          <w:lang w:val="en-NZ"/>
        </w:rPr>
        <w:t>ity</w:t>
      </w:r>
      <w:r w:rsidR="009D70E6" w:rsidRPr="004635E5">
        <w:rPr>
          <w:sz w:val="22"/>
          <w:szCs w:val="22"/>
          <w:lang w:val="en-NZ"/>
        </w:rPr>
        <w:t xml:space="preserve">, but </w:t>
      </w:r>
      <w:r w:rsidRPr="004635E5">
        <w:rPr>
          <w:sz w:val="22"/>
          <w:szCs w:val="22"/>
          <w:lang w:val="en-NZ"/>
        </w:rPr>
        <w:t xml:space="preserve">the </w:t>
      </w:r>
      <w:r w:rsidR="009D70E6" w:rsidRPr="004635E5">
        <w:rPr>
          <w:sz w:val="22"/>
          <w:szCs w:val="22"/>
          <w:lang w:val="en-NZ"/>
        </w:rPr>
        <w:t>no-retention</w:t>
      </w:r>
      <w:r w:rsidRPr="004635E5">
        <w:rPr>
          <w:sz w:val="22"/>
          <w:szCs w:val="22"/>
          <w:lang w:val="en-NZ"/>
        </w:rPr>
        <w:t xml:space="preserve"> policy was reducing F</w:t>
      </w:r>
      <w:r w:rsidR="009D70E6" w:rsidRPr="004635E5">
        <w:rPr>
          <w:sz w:val="22"/>
          <w:szCs w:val="22"/>
          <w:lang w:val="en-NZ"/>
        </w:rPr>
        <w:t xml:space="preserve">. </w:t>
      </w:r>
      <w:r w:rsidRPr="004635E5">
        <w:rPr>
          <w:sz w:val="22"/>
          <w:szCs w:val="22"/>
          <w:lang w:val="en-NZ"/>
        </w:rPr>
        <w:t xml:space="preserve">The CMM </w:t>
      </w:r>
      <w:r w:rsidR="009D70E6" w:rsidRPr="004635E5">
        <w:rPr>
          <w:sz w:val="22"/>
          <w:szCs w:val="22"/>
          <w:lang w:val="en-NZ"/>
        </w:rPr>
        <w:t>is supported by the new info</w:t>
      </w:r>
      <w:r w:rsidRPr="004635E5">
        <w:rPr>
          <w:sz w:val="22"/>
          <w:szCs w:val="22"/>
          <w:lang w:val="en-NZ"/>
        </w:rPr>
        <w:t>rmation</w:t>
      </w:r>
      <w:r w:rsidR="009D70E6" w:rsidRPr="004635E5">
        <w:rPr>
          <w:sz w:val="22"/>
          <w:szCs w:val="22"/>
          <w:lang w:val="en-NZ"/>
        </w:rPr>
        <w:t xml:space="preserve">, </w:t>
      </w:r>
      <w:r w:rsidRPr="004635E5">
        <w:rPr>
          <w:sz w:val="22"/>
          <w:szCs w:val="22"/>
          <w:lang w:val="en-NZ"/>
        </w:rPr>
        <w:t xml:space="preserve">and its continuance is </w:t>
      </w:r>
      <w:r w:rsidR="009D70E6" w:rsidRPr="004635E5">
        <w:rPr>
          <w:sz w:val="22"/>
          <w:szCs w:val="22"/>
          <w:lang w:val="en-NZ"/>
        </w:rPr>
        <w:t>rec</w:t>
      </w:r>
      <w:r w:rsidRPr="004635E5">
        <w:rPr>
          <w:sz w:val="22"/>
          <w:szCs w:val="22"/>
          <w:lang w:val="en-NZ"/>
        </w:rPr>
        <w:t xml:space="preserve">ommended </w:t>
      </w:r>
      <w:r w:rsidR="009D70E6" w:rsidRPr="004635E5">
        <w:rPr>
          <w:sz w:val="22"/>
          <w:szCs w:val="22"/>
          <w:lang w:val="en-NZ"/>
        </w:rPr>
        <w:t>by the study team.</w:t>
      </w:r>
    </w:p>
    <w:p w14:paraId="308F9C9C" w14:textId="77777777" w:rsidR="00F46AB9" w:rsidRPr="004635E5" w:rsidRDefault="00F46AB9" w:rsidP="006633A8">
      <w:pPr>
        <w:autoSpaceDE w:val="0"/>
        <w:autoSpaceDN w:val="0"/>
        <w:adjustRightInd w:val="0"/>
        <w:snapToGrid w:val="0"/>
        <w:jc w:val="both"/>
        <w:rPr>
          <w:sz w:val="22"/>
          <w:szCs w:val="22"/>
          <w:lang w:val="en-NZ"/>
        </w:rPr>
      </w:pPr>
    </w:p>
    <w:p w14:paraId="1077D25C" w14:textId="77777777" w:rsidR="004F16B7" w:rsidRPr="004635E5" w:rsidRDefault="00610A49"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Australia expressed concern that the </w:t>
      </w:r>
      <w:r w:rsidR="009D70E6" w:rsidRPr="004635E5">
        <w:rPr>
          <w:sz w:val="22"/>
          <w:szCs w:val="22"/>
          <w:lang w:val="en-NZ"/>
        </w:rPr>
        <w:t>WCP</w:t>
      </w:r>
      <w:r w:rsidRPr="004635E5">
        <w:rPr>
          <w:sz w:val="22"/>
          <w:szCs w:val="22"/>
          <w:lang w:val="en-NZ"/>
        </w:rPr>
        <w:t>O</w:t>
      </w:r>
      <w:r w:rsidR="009D70E6" w:rsidRPr="004635E5">
        <w:rPr>
          <w:sz w:val="22"/>
          <w:szCs w:val="22"/>
          <w:lang w:val="en-NZ"/>
        </w:rPr>
        <w:t xml:space="preserve"> component had mult</w:t>
      </w:r>
      <w:r w:rsidRPr="004635E5">
        <w:rPr>
          <w:sz w:val="22"/>
          <w:szCs w:val="22"/>
          <w:lang w:val="en-NZ"/>
        </w:rPr>
        <w:t>iple</w:t>
      </w:r>
      <w:r w:rsidR="009D70E6" w:rsidRPr="004635E5">
        <w:rPr>
          <w:sz w:val="22"/>
          <w:szCs w:val="22"/>
          <w:lang w:val="en-NZ"/>
        </w:rPr>
        <w:t xml:space="preserve"> CPUE ind</w:t>
      </w:r>
      <w:r w:rsidRPr="004635E5">
        <w:rPr>
          <w:sz w:val="22"/>
          <w:szCs w:val="22"/>
          <w:lang w:val="en-NZ"/>
        </w:rPr>
        <w:t xml:space="preserve">ices </w:t>
      </w:r>
      <w:r w:rsidR="009D70E6" w:rsidRPr="004635E5">
        <w:rPr>
          <w:sz w:val="22"/>
          <w:szCs w:val="22"/>
          <w:lang w:val="en-NZ"/>
        </w:rPr>
        <w:t xml:space="preserve">and </w:t>
      </w:r>
      <w:r w:rsidRPr="004635E5">
        <w:rPr>
          <w:sz w:val="22"/>
          <w:szCs w:val="22"/>
          <w:lang w:val="en-NZ"/>
        </w:rPr>
        <w:t xml:space="preserve">sample </w:t>
      </w:r>
      <w:r w:rsidR="009D70E6" w:rsidRPr="004635E5">
        <w:rPr>
          <w:sz w:val="22"/>
          <w:szCs w:val="22"/>
          <w:lang w:val="en-NZ"/>
        </w:rPr>
        <w:t>length</w:t>
      </w:r>
      <w:r w:rsidRPr="004635E5">
        <w:rPr>
          <w:sz w:val="22"/>
          <w:szCs w:val="22"/>
          <w:lang w:val="en-NZ"/>
        </w:rPr>
        <w:t>s</w:t>
      </w:r>
      <w:r w:rsidR="009D70E6" w:rsidRPr="004635E5">
        <w:rPr>
          <w:sz w:val="22"/>
          <w:szCs w:val="22"/>
          <w:lang w:val="en-NZ"/>
        </w:rPr>
        <w:t xml:space="preserve">, </w:t>
      </w:r>
      <w:r w:rsidR="00076B6E" w:rsidRPr="004635E5">
        <w:rPr>
          <w:sz w:val="22"/>
          <w:szCs w:val="22"/>
          <w:lang w:val="en-NZ"/>
        </w:rPr>
        <w:t xml:space="preserve">and </w:t>
      </w:r>
      <w:r w:rsidR="009D70E6" w:rsidRPr="004635E5">
        <w:rPr>
          <w:sz w:val="22"/>
          <w:szCs w:val="22"/>
          <w:lang w:val="en-NZ"/>
        </w:rPr>
        <w:t xml:space="preserve">couldn’t get </w:t>
      </w:r>
      <w:r w:rsidR="00076B6E" w:rsidRPr="004635E5">
        <w:rPr>
          <w:sz w:val="22"/>
          <w:szCs w:val="22"/>
          <w:lang w:val="en-NZ"/>
        </w:rPr>
        <w:t xml:space="preserve">a </w:t>
      </w:r>
      <w:r w:rsidR="009D70E6" w:rsidRPr="004635E5">
        <w:rPr>
          <w:sz w:val="22"/>
          <w:szCs w:val="22"/>
          <w:lang w:val="en-NZ"/>
        </w:rPr>
        <w:t>good fit wi</w:t>
      </w:r>
      <w:r w:rsidR="00270656" w:rsidRPr="004635E5">
        <w:rPr>
          <w:sz w:val="22"/>
          <w:szCs w:val="22"/>
          <w:lang w:val="en-NZ"/>
        </w:rPr>
        <w:t xml:space="preserve">th a number of the CPUE series </w:t>
      </w:r>
      <w:r w:rsidR="009D70E6" w:rsidRPr="004635E5">
        <w:rPr>
          <w:sz w:val="22"/>
          <w:szCs w:val="22"/>
          <w:lang w:val="en-NZ"/>
        </w:rPr>
        <w:t>and len</w:t>
      </w:r>
      <w:r w:rsidR="00076B6E" w:rsidRPr="004635E5">
        <w:rPr>
          <w:sz w:val="22"/>
          <w:szCs w:val="22"/>
          <w:lang w:val="en-NZ"/>
        </w:rPr>
        <w:t>g</w:t>
      </w:r>
      <w:r w:rsidR="009D70E6" w:rsidRPr="004635E5">
        <w:rPr>
          <w:sz w:val="22"/>
          <w:szCs w:val="22"/>
          <w:lang w:val="en-NZ"/>
        </w:rPr>
        <w:t xml:space="preserve">th samples, </w:t>
      </w:r>
      <w:r w:rsidR="00270656" w:rsidRPr="004635E5">
        <w:rPr>
          <w:sz w:val="22"/>
          <w:szCs w:val="22"/>
          <w:lang w:val="en-NZ"/>
        </w:rPr>
        <w:t xml:space="preserve">possibly </w:t>
      </w:r>
      <w:r w:rsidR="009D70E6" w:rsidRPr="004635E5">
        <w:rPr>
          <w:sz w:val="22"/>
          <w:szCs w:val="22"/>
          <w:lang w:val="en-NZ"/>
        </w:rPr>
        <w:t xml:space="preserve">because of </w:t>
      </w:r>
      <w:r w:rsidR="00076B6E" w:rsidRPr="004635E5">
        <w:rPr>
          <w:sz w:val="22"/>
          <w:szCs w:val="22"/>
          <w:lang w:val="en-NZ"/>
        </w:rPr>
        <w:t>c</w:t>
      </w:r>
      <w:r w:rsidR="009D70E6" w:rsidRPr="004635E5">
        <w:rPr>
          <w:sz w:val="22"/>
          <w:szCs w:val="22"/>
          <w:lang w:val="en-NZ"/>
        </w:rPr>
        <w:t>h</w:t>
      </w:r>
      <w:r w:rsidR="00076B6E" w:rsidRPr="004635E5">
        <w:rPr>
          <w:sz w:val="22"/>
          <w:szCs w:val="22"/>
          <w:lang w:val="en-NZ"/>
        </w:rPr>
        <w:t>a</w:t>
      </w:r>
      <w:r w:rsidR="009D70E6" w:rsidRPr="004635E5">
        <w:rPr>
          <w:sz w:val="22"/>
          <w:szCs w:val="22"/>
          <w:lang w:val="en-NZ"/>
        </w:rPr>
        <w:t>nges in sampling regi</w:t>
      </w:r>
      <w:r w:rsidR="00076B6E" w:rsidRPr="004635E5">
        <w:rPr>
          <w:sz w:val="22"/>
          <w:szCs w:val="22"/>
          <w:lang w:val="en-NZ"/>
        </w:rPr>
        <w:t>m</w:t>
      </w:r>
      <w:r w:rsidR="009D70E6" w:rsidRPr="004635E5">
        <w:rPr>
          <w:sz w:val="22"/>
          <w:szCs w:val="22"/>
          <w:lang w:val="en-NZ"/>
        </w:rPr>
        <w:t xml:space="preserve">es over time. </w:t>
      </w:r>
      <w:r w:rsidR="00270656" w:rsidRPr="004635E5">
        <w:rPr>
          <w:sz w:val="22"/>
          <w:szCs w:val="22"/>
          <w:lang w:val="en-NZ"/>
        </w:rPr>
        <w:t xml:space="preserve">They </w:t>
      </w:r>
      <w:r w:rsidR="00076B6E" w:rsidRPr="004635E5">
        <w:rPr>
          <w:sz w:val="22"/>
          <w:szCs w:val="22"/>
          <w:lang w:val="en-NZ"/>
        </w:rPr>
        <w:t xml:space="preserve">noted the potential benefit of having </w:t>
      </w:r>
      <w:r w:rsidR="009D70E6" w:rsidRPr="004635E5">
        <w:rPr>
          <w:sz w:val="22"/>
          <w:szCs w:val="22"/>
          <w:lang w:val="en-NZ"/>
        </w:rPr>
        <w:t>time hist</w:t>
      </w:r>
      <w:r w:rsidR="00076B6E" w:rsidRPr="004635E5">
        <w:rPr>
          <w:sz w:val="22"/>
          <w:szCs w:val="22"/>
          <w:lang w:val="en-NZ"/>
        </w:rPr>
        <w:t>ory</w:t>
      </w:r>
      <w:r w:rsidR="009D70E6" w:rsidRPr="004635E5">
        <w:rPr>
          <w:sz w:val="22"/>
          <w:szCs w:val="22"/>
          <w:lang w:val="en-NZ"/>
        </w:rPr>
        <w:t xml:space="preserve"> </w:t>
      </w:r>
      <w:r w:rsidR="00076B6E" w:rsidRPr="004635E5">
        <w:rPr>
          <w:sz w:val="22"/>
          <w:szCs w:val="22"/>
          <w:lang w:val="en-NZ"/>
        </w:rPr>
        <w:t xml:space="preserve">required by regulation, as </w:t>
      </w:r>
      <w:r w:rsidR="009D70E6" w:rsidRPr="004635E5">
        <w:rPr>
          <w:sz w:val="22"/>
          <w:szCs w:val="22"/>
          <w:lang w:val="en-NZ"/>
        </w:rPr>
        <w:t>analyst</w:t>
      </w:r>
      <w:r w:rsidR="00076B6E" w:rsidRPr="004635E5">
        <w:rPr>
          <w:sz w:val="22"/>
          <w:szCs w:val="22"/>
          <w:lang w:val="en-NZ"/>
        </w:rPr>
        <w:t>s</w:t>
      </w:r>
      <w:r w:rsidR="009D70E6" w:rsidRPr="004635E5">
        <w:rPr>
          <w:sz w:val="22"/>
          <w:szCs w:val="22"/>
          <w:lang w:val="en-NZ"/>
        </w:rPr>
        <w:t xml:space="preserve"> </w:t>
      </w:r>
      <w:r w:rsidR="00076B6E" w:rsidRPr="004635E5">
        <w:rPr>
          <w:sz w:val="22"/>
          <w:szCs w:val="22"/>
          <w:lang w:val="en-NZ"/>
        </w:rPr>
        <w:t xml:space="preserve">would then know </w:t>
      </w:r>
      <w:r w:rsidR="009D70E6" w:rsidRPr="004635E5">
        <w:rPr>
          <w:sz w:val="22"/>
          <w:szCs w:val="22"/>
          <w:lang w:val="en-NZ"/>
        </w:rPr>
        <w:t>how data was collected</w:t>
      </w:r>
      <w:r w:rsidR="00270656" w:rsidRPr="004635E5">
        <w:rPr>
          <w:sz w:val="22"/>
          <w:szCs w:val="22"/>
          <w:lang w:val="en-NZ"/>
        </w:rPr>
        <w:t xml:space="preserve">, and </w:t>
      </w:r>
      <w:r w:rsidR="00076B6E" w:rsidRPr="004635E5">
        <w:rPr>
          <w:sz w:val="22"/>
          <w:szCs w:val="22"/>
          <w:lang w:val="en-NZ"/>
        </w:rPr>
        <w:t xml:space="preserve">inquired if the authors saw utility in this approach. </w:t>
      </w:r>
      <w:r w:rsidR="009D70E6" w:rsidRPr="004635E5">
        <w:rPr>
          <w:sz w:val="22"/>
          <w:szCs w:val="22"/>
          <w:lang w:val="en-NZ"/>
        </w:rPr>
        <w:t>S</w:t>
      </w:r>
      <w:r w:rsidR="00076B6E" w:rsidRPr="004635E5">
        <w:rPr>
          <w:sz w:val="22"/>
          <w:szCs w:val="22"/>
          <w:lang w:val="en-NZ"/>
        </w:rPr>
        <w:t>. Clarke stated this would be a benefit</w:t>
      </w:r>
      <w:r w:rsidR="009D70E6" w:rsidRPr="004635E5">
        <w:rPr>
          <w:sz w:val="22"/>
          <w:szCs w:val="22"/>
          <w:lang w:val="en-NZ"/>
        </w:rPr>
        <w:t xml:space="preserve">, </w:t>
      </w:r>
      <w:r w:rsidR="00076B6E" w:rsidRPr="004635E5">
        <w:rPr>
          <w:sz w:val="22"/>
          <w:szCs w:val="22"/>
          <w:lang w:val="en-NZ"/>
        </w:rPr>
        <w:t xml:space="preserve">and </w:t>
      </w:r>
      <w:r w:rsidR="009D70E6" w:rsidRPr="004635E5">
        <w:rPr>
          <w:sz w:val="22"/>
          <w:szCs w:val="22"/>
          <w:lang w:val="en-NZ"/>
        </w:rPr>
        <w:t xml:space="preserve">would have </w:t>
      </w:r>
      <w:r w:rsidR="00076B6E" w:rsidRPr="004635E5">
        <w:rPr>
          <w:sz w:val="22"/>
          <w:szCs w:val="22"/>
          <w:lang w:val="en-NZ"/>
        </w:rPr>
        <w:t xml:space="preserve">aided the </w:t>
      </w:r>
      <w:r w:rsidR="00656FD8" w:rsidRPr="004635E5">
        <w:rPr>
          <w:sz w:val="22"/>
          <w:szCs w:val="22"/>
          <w:lang w:val="en-NZ"/>
        </w:rPr>
        <w:t>stock assessment</w:t>
      </w:r>
      <w:r w:rsidR="00076B6E" w:rsidRPr="004635E5">
        <w:rPr>
          <w:sz w:val="22"/>
          <w:szCs w:val="22"/>
          <w:lang w:val="en-NZ"/>
        </w:rPr>
        <w:t xml:space="preserve"> for silky sharks</w:t>
      </w:r>
      <w:r w:rsidR="009D70E6" w:rsidRPr="004635E5">
        <w:rPr>
          <w:sz w:val="22"/>
          <w:szCs w:val="22"/>
          <w:lang w:val="en-NZ"/>
        </w:rPr>
        <w:t xml:space="preserve">. </w:t>
      </w:r>
      <w:r w:rsidR="00076B6E" w:rsidRPr="004635E5">
        <w:rPr>
          <w:sz w:val="22"/>
          <w:szCs w:val="22"/>
          <w:lang w:val="en-NZ"/>
        </w:rPr>
        <w:t xml:space="preserve">A Langley </w:t>
      </w:r>
      <w:r w:rsidR="009D70E6" w:rsidRPr="004635E5">
        <w:rPr>
          <w:sz w:val="22"/>
          <w:szCs w:val="22"/>
          <w:lang w:val="en-NZ"/>
        </w:rPr>
        <w:t>agree</w:t>
      </w:r>
      <w:r w:rsidR="00076B6E" w:rsidRPr="004635E5">
        <w:rPr>
          <w:sz w:val="22"/>
          <w:szCs w:val="22"/>
          <w:lang w:val="en-NZ"/>
        </w:rPr>
        <w:t xml:space="preserve">d, noting the </w:t>
      </w:r>
      <w:r w:rsidR="009D70E6" w:rsidRPr="004635E5">
        <w:rPr>
          <w:sz w:val="22"/>
          <w:szCs w:val="22"/>
          <w:lang w:val="en-NZ"/>
        </w:rPr>
        <w:t>overlay w</w:t>
      </w:r>
      <w:r w:rsidR="00076B6E" w:rsidRPr="004635E5">
        <w:rPr>
          <w:sz w:val="22"/>
          <w:szCs w:val="22"/>
          <w:lang w:val="en-NZ"/>
        </w:rPr>
        <w:t>ith</w:t>
      </w:r>
      <w:r w:rsidR="009D70E6" w:rsidRPr="004635E5">
        <w:rPr>
          <w:sz w:val="22"/>
          <w:szCs w:val="22"/>
          <w:lang w:val="en-NZ"/>
        </w:rPr>
        <w:t xml:space="preserve"> obs</w:t>
      </w:r>
      <w:r w:rsidR="00076B6E" w:rsidRPr="004635E5">
        <w:rPr>
          <w:sz w:val="22"/>
          <w:szCs w:val="22"/>
          <w:lang w:val="en-NZ"/>
        </w:rPr>
        <w:t>erver</w:t>
      </w:r>
      <w:r w:rsidR="009D70E6" w:rsidRPr="004635E5">
        <w:rPr>
          <w:sz w:val="22"/>
          <w:szCs w:val="22"/>
          <w:lang w:val="en-NZ"/>
        </w:rPr>
        <w:t xml:space="preserve"> coverage, which is quite variable over time</w:t>
      </w:r>
      <w:r w:rsidR="00076B6E" w:rsidRPr="004635E5">
        <w:rPr>
          <w:sz w:val="22"/>
          <w:szCs w:val="22"/>
          <w:lang w:val="en-NZ"/>
        </w:rPr>
        <w:t>;</w:t>
      </w:r>
      <w:r w:rsidR="009D70E6" w:rsidRPr="004635E5">
        <w:rPr>
          <w:sz w:val="22"/>
          <w:szCs w:val="22"/>
          <w:lang w:val="en-NZ"/>
        </w:rPr>
        <w:t xml:space="preserve"> changes in </w:t>
      </w:r>
      <w:r w:rsidR="00076B6E" w:rsidRPr="004635E5">
        <w:rPr>
          <w:sz w:val="22"/>
          <w:szCs w:val="22"/>
          <w:lang w:val="en-NZ"/>
        </w:rPr>
        <w:t xml:space="preserve">geographic </w:t>
      </w:r>
      <w:r w:rsidR="009D70E6" w:rsidRPr="004635E5">
        <w:rPr>
          <w:sz w:val="22"/>
          <w:szCs w:val="22"/>
          <w:lang w:val="en-NZ"/>
        </w:rPr>
        <w:t>allocation of obs</w:t>
      </w:r>
      <w:r w:rsidR="00076B6E" w:rsidRPr="004635E5">
        <w:rPr>
          <w:sz w:val="22"/>
          <w:szCs w:val="22"/>
          <w:lang w:val="en-NZ"/>
        </w:rPr>
        <w:t>ervers</w:t>
      </w:r>
      <w:r w:rsidR="009D70E6" w:rsidRPr="004635E5">
        <w:rPr>
          <w:sz w:val="22"/>
          <w:szCs w:val="22"/>
          <w:lang w:val="en-NZ"/>
        </w:rPr>
        <w:t xml:space="preserve"> </w:t>
      </w:r>
      <w:r w:rsidR="00076B6E" w:rsidRPr="004635E5">
        <w:rPr>
          <w:sz w:val="22"/>
          <w:szCs w:val="22"/>
          <w:lang w:val="en-NZ"/>
        </w:rPr>
        <w:t xml:space="preserve">could have a large impact </w:t>
      </w:r>
      <w:r w:rsidR="009D70E6" w:rsidRPr="004635E5">
        <w:rPr>
          <w:sz w:val="22"/>
          <w:szCs w:val="22"/>
          <w:lang w:val="en-NZ"/>
        </w:rPr>
        <w:t>on data sets</w:t>
      </w:r>
      <w:r w:rsidR="00270656" w:rsidRPr="004635E5">
        <w:rPr>
          <w:sz w:val="22"/>
          <w:szCs w:val="22"/>
          <w:lang w:val="en-NZ"/>
        </w:rPr>
        <w:t xml:space="preserve">, which should </w:t>
      </w:r>
      <w:r w:rsidR="009D70E6" w:rsidRPr="004635E5">
        <w:rPr>
          <w:sz w:val="22"/>
          <w:szCs w:val="22"/>
          <w:lang w:val="en-NZ"/>
        </w:rPr>
        <w:t>be kept in mind when looking at non-comm</w:t>
      </w:r>
      <w:r w:rsidR="00076B6E" w:rsidRPr="004635E5">
        <w:rPr>
          <w:sz w:val="22"/>
          <w:szCs w:val="22"/>
          <w:lang w:val="en-NZ"/>
        </w:rPr>
        <w:t>ercial</w:t>
      </w:r>
      <w:r w:rsidR="009D70E6" w:rsidRPr="004635E5">
        <w:rPr>
          <w:sz w:val="22"/>
          <w:szCs w:val="22"/>
          <w:lang w:val="en-NZ"/>
        </w:rPr>
        <w:t xml:space="preserve"> species. </w:t>
      </w:r>
      <w:r w:rsidR="00076B6E" w:rsidRPr="004635E5">
        <w:rPr>
          <w:sz w:val="22"/>
          <w:szCs w:val="22"/>
          <w:lang w:val="en-NZ"/>
        </w:rPr>
        <w:t>I</w:t>
      </w:r>
      <w:r w:rsidR="00743599" w:rsidRPr="004635E5">
        <w:rPr>
          <w:sz w:val="22"/>
          <w:szCs w:val="22"/>
          <w:lang w:val="en-NZ"/>
        </w:rPr>
        <w:t>n</w:t>
      </w:r>
      <w:r w:rsidR="00076B6E" w:rsidRPr="004635E5">
        <w:rPr>
          <w:sz w:val="22"/>
          <w:szCs w:val="22"/>
          <w:lang w:val="en-NZ"/>
        </w:rPr>
        <w:t xml:space="preserve"> response to further queries from Australia, S</w:t>
      </w:r>
      <w:r w:rsidR="00270656" w:rsidRPr="004635E5">
        <w:rPr>
          <w:sz w:val="22"/>
          <w:szCs w:val="22"/>
          <w:lang w:val="en-NZ"/>
        </w:rPr>
        <w:t>.</w:t>
      </w:r>
      <w:r w:rsidR="00076B6E" w:rsidRPr="004635E5">
        <w:rPr>
          <w:sz w:val="22"/>
          <w:szCs w:val="22"/>
          <w:lang w:val="en-NZ"/>
        </w:rPr>
        <w:t xml:space="preserve"> Clarke noted that the </w:t>
      </w:r>
      <w:r w:rsidR="00270656" w:rsidRPr="004635E5">
        <w:rPr>
          <w:sz w:val="22"/>
          <w:szCs w:val="22"/>
          <w:lang w:val="en-NZ"/>
        </w:rPr>
        <w:t xml:space="preserve">South Pacific </w:t>
      </w:r>
      <w:r w:rsidR="004421B3" w:rsidRPr="004635E5">
        <w:rPr>
          <w:sz w:val="22"/>
          <w:szCs w:val="22"/>
          <w:lang w:val="en-NZ"/>
        </w:rPr>
        <w:t>longline</w:t>
      </w:r>
      <w:r w:rsidR="009D70E6" w:rsidRPr="004635E5">
        <w:rPr>
          <w:sz w:val="22"/>
          <w:szCs w:val="22"/>
          <w:lang w:val="en-NZ"/>
        </w:rPr>
        <w:t xml:space="preserve"> series </w:t>
      </w:r>
      <w:r w:rsidR="00076B6E" w:rsidRPr="004635E5">
        <w:rPr>
          <w:sz w:val="22"/>
          <w:szCs w:val="22"/>
          <w:lang w:val="en-NZ"/>
        </w:rPr>
        <w:t xml:space="preserve">was </w:t>
      </w:r>
      <w:r w:rsidR="009D70E6" w:rsidRPr="004635E5">
        <w:rPr>
          <w:sz w:val="22"/>
          <w:szCs w:val="22"/>
          <w:lang w:val="en-NZ"/>
        </w:rPr>
        <w:t>based on 6 countries</w:t>
      </w:r>
      <w:r w:rsidR="00076B6E" w:rsidRPr="004635E5">
        <w:rPr>
          <w:sz w:val="22"/>
          <w:szCs w:val="22"/>
          <w:lang w:val="en-NZ"/>
        </w:rPr>
        <w:t>’</w:t>
      </w:r>
      <w:r w:rsidR="009D70E6" w:rsidRPr="004635E5">
        <w:rPr>
          <w:sz w:val="22"/>
          <w:szCs w:val="22"/>
          <w:lang w:val="en-NZ"/>
        </w:rPr>
        <w:t xml:space="preserve"> obs</w:t>
      </w:r>
      <w:r w:rsidR="00076B6E" w:rsidRPr="004635E5">
        <w:rPr>
          <w:sz w:val="22"/>
          <w:szCs w:val="22"/>
          <w:lang w:val="en-NZ"/>
        </w:rPr>
        <w:t>erver</w:t>
      </w:r>
      <w:r w:rsidR="009D70E6" w:rsidRPr="004635E5">
        <w:rPr>
          <w:sz w:val="22"/>
          <w:szCs w:val="22"/>
          <w:lang w:val="en-NZ"/>
        </w:rPr>
        <w:t xml:space="preserve"> data</w:t>
      </w:r>
      <w:r w:rsidR="00743599" w:rsidRPr="004635E5">
        <w:rPr>
          <w:sz w:val="22"/>
          <w:szCs w:val="22"/>
          <w:lang w:val="en-NZ"/>
        </w:rPr>
        <w:t>,</w:t>
      </w:r>
      <w:r w:rsidR="00076B6E" w:rsidRPr="004635E5">
        <w:rPr>
          <w:sz w:val="22"/>
          <w:szCs w:val="22"/>
          <w:lang w:val="en-NZ"/>
        </w:rPr>
        <w:t xml:space="preserve"> all </w:t>
      </w:r>
      <w:r w:rsidR="00270656" w:rsidRPr="004635E5">
        <w:rPr>
          <w:sz w:val="22"/>
          <w:szCs w:val="22"/>
          <w:lang w:val="en-NZ"/>
        </w:rPr>
        <w:t xml:space="preserve">of which </w:t>
      </w:r>
      <w:r w:rsidR="004F16B7" w:rsidRPr="004635E5">
        <w:rPr>
          <w:sz w:val="22"/>
          <w:szCs w:val="22"/>
          <w:lang w:val="en-NZ"/>
        </w:rPr>
        <w:t>had data for each year of the series</w:t>
      </w:r>
      <w:r w:rsidR="00076B6E" w:rsidRPr="004635E5">
        <w:rPr>
          <w:sz w:val="22"/>
          <w:szCs w:val="22"/>
          <w:lang w:val="en-NZ"/>
        </w:rPr>
        <w:t xml:space="preserve">; some </w:t>
      </w:r>
      <w:r w:rsidR="00C05721" w:rsidRPr="004635E5">
        <w:rPr>
          <w:sz w:val="22"/>
          <w:szCs w:val="22"/>
          <w:lang w:val="en-NZ"/>
        </w:rPr>
        <w:t xml:space="preserve">(unpublished) </w:t>
      </w:r>
      <w:r w:rsidR="004F16B7" w:rsidRPr="004635E5">
        <w:rPr>
          <w:sz w:val="22"/>
          <w:szCs w:val="22"/>
          <w:lang w:val="en-NZ"/>
        </w:rPr>
        <w:t xml:space="preserve">archival </w:t>
      </w:r>
      <w:r w:rsidR="00076B6E" w:rsidRPr="004635E5">
        <w:rPr>
          <w:sz w:val="22"/>
          <w:szCs w:val="22"/>
          <w:lang w:val="en-NZ"/>
        </w:rPr>
        <w:t xml:space="preserve">tag </w:t>
      </w:r>
      <w:r w:rsidR="004F16B7" w:rsidRPr="004635E5">
        <w:rPr>
          <w:sz w:val="22"/>
          <w:szCs w:val="22"/>
          <w:lang w:val="en-NZ"/>
        </w:rPr>
        <w:t>data</w:t>
      </w:r>
      <w:r w:rsidR="00076B6E" w:rsidRPr="004635E5">
        <w:rPr>
          <w:sz w:val="22"/>
          <w:szCs w:val="22"/>
          <w:lang w:val="en-NZ"/>
        </w:rPr>
        <w:t xml:space="preserve"> </w:t>
      </w:r>
      <w:r w:rsidR="004F16B7" w:rsidRPr="004635E5">
        <w:rPr>
          <w:sz w:val="22"/>
          <w:szCs w:val="22"/>
          <w:lang w:val="en-NZ"/>
        </w:rPr>
        <w:t>exist</w:t>
      </w:r>
      <w:r w:rsidR="00076B6E" w:rsidRPr="004635E5">
        <w:rPr>
          <w:sz w:val="22"/>
          <w:szCs w:val="22"/>
          <w:lang w:val="en-NZ"/>
        </w:rPr>
        <w:t xml:space="preserve">s for the </w:t>
      </w:r>
      <w:r w:rsidR="004F16B7" w:rsidRPr="004635E5">
        <w:rPr>
          <w:sz w:val="22"/>
          <w:szCs w:val="22"/>
          <w:lang w:val="en-NZ"/>
        </w:rPr>
        <w:t xml:space="preserve">EPO, </w:t>
      </w:r>
      <w:r w:rsidR="00076B6E" w:rsidRPr="004635E5">
        <w:rPr>
          <w:sz w:val="22"/>
          <w:szCs w:val="22"/>
          <w:lang w:val="en-NZ"/>
        </w:rPr>
        <w:t xml:space="preserve">but the </w:t>
      </w:r>
      <w:r w:rsidR="004F16B7" w:rsidRPr="004635E5">
        <w:rPr>
          <w:sz w:val="22"/>
          <w:szCs w:val="22"/>
          <w:lang w:val="en-NZ"/>
        </w:rPr>
        <w:t>WCPO</w:t>
      </w:r>
      <w:r w:rsidR="00076B6E" w:rsidRPr="004635E5">
        <w:rPr>
          <w:sz w:val="22"/>
          <w:szCs w:val="22"/>
          <w:lang w:val="en-NZ"/>
        </w:rPr>
        <w:t xml:space="preserve"> lacks a </w:t>
      </w:r>
      <w:r w:rsidR="004F16B7" w:rsidRPr="004635E5">
        <w:rPr>
          <w:sz w:val="22"/>
          <w:szCs w:val="22"/>
          <w:lang w:val="en-NZ"/>
        </w:rPr>
        <w:t xml:space="preserve">dedicated archival tagging </w:t>
      </w:r>
      <w:r w:rsidR="00076B6E" w:rsidRPr="004635E5">
        <w:rPr>
          <w:sz w:val="22"/>
          <w:szCs w:val="22"/>
          <w:lang w:val="en-NZ"/>
        </w:rPr>
        <w:t>program</w:t>
      </w:r>
      <w:r w:rsidR="004F16B7" w:rsidRPr="004635E5">
        <w:rPr>
          <w:sz w:val="22"/>
          <w:szCs w:val="22"/>
          <w:lang w:val="en-NZ"/>
        </w:rPr>
        <w:t>.</w:t>
      </w:r>
    </w:p>
    <w:p w14:paraId="5FCDC40C" w14:textId="77777777" w:rsidR="00F46AB9" w:rsidRPr="004635E5" w:rsidRDefault="00F46AB9" w:rsidP="006633A8">
      <w:pPr>
        <w:autoSpaceDE w:val="0"/>
        <w:autoSpaceDN w:val="0"/>
        <w:adjustRightInd w:val="0"/>
        <w:snapToGrid w:val="0"/>
        <w:jc w:val="both"/>
        <w:rPr>
          <w:sz w:val="22"/>
          <w:szCs w:val="22"/>
          <w:lang w:val="en-NZ"/>
        </w:rPr>
      </w:pPr>
    </w:p>
    <w:p w14:paraId="73E6FC23" w14:textId="77777777" w:rsidR="00C05721" w:rsidRPr="004635E5" w:rsidRDefault="004F16B7"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Indonesia</w:t>
      </w:r>
      <w:r w:rsidR="00C05721" w:rsidRPr="004635E5">
        <w:rPr>
          <w:sz w:val="22"/>
          <w:szCs w:val="22"/>
          <w:lang w:val="en-NZ"/>
        </w:rPr>
        <w:t xml:space="preserve"> asked how the </w:t>
      </w:r>
      <w:r w:rsidR="00270656" w:rsidRPr="004635E5">
        <w:rPr>
          <w:sz w:val="22"/>
          <w:szCs w:val="22"/>
          <w:lang w:val="en-NZ"/>
        </w:rPr>
        <w:t xml:space="preserve">significant </w:t>
      </w:r>
      <w:r w:rsidRPr="004635E5">
        <w:rPr>
          <w:sz w:val="22"/>
          <w:szCs w:val="22"/>
          <w:lang w:val="en-NZ"/>
        </w:rPr>
        <w:t>move</w:t>
      </w:r>
      <w:r w:rsidR="00C05721" w:rsidRPr="004635E5">
        <w:rPr>
          <w:sz w:val="22"/>
          <w:szCs w:val="22"/>
          <w:lang w:val="en-NZ"/>
        </w:rPr>
        <w:t>ment</w:t>
      </w:r>
      <w:r w:rsidRPr="004635E5">
        <w:rPr>
          <w:sz w:val="22"/>
          <w:szCs w:val="22"/>
          <w:lang w:val="en-NZ"/>
        </w:rPr>
        <w:t xml:space="preserve"> between </w:t>
      </w:r>
      <w:r w:rsidR="00C05721" w:rsidRPr="004635E5">
        <w:rPr>
          <w:sz w:val="22"/>
          <w:szCs w:val="22"/>
          <w:lang w:val="en-NZ"/>
        </w:rPr>
        <w:t xml:space="preserve">the </w:t>
      </w:r>
      <w:r w:rsidRPr="004635E5">
        <w:rPr>
          <w:sz w:val="22"/>
          <w:szCs w:val="22"/>
          <w:lang w:val="en-NZ"/>
        </w:rPr>
        <w:t>WCPO and EPO</w:t>
      </w:r>
      <w:r w:rsidR="00C05721" w:rsidRPr="004635E5">
        <w:rPr>
          <w:sz w:val="22"/>
          <w:szCs w:val="22"/>
          <w:lang w:val="en-NZ"/>
        </w:rPr>
        <w:t xml:space="preserve"> </w:t>
      </w:r>
      <w:r w:rsidRPr="004635E5">
        <w:rPr>
          <w:sz w:val="22"/>
          <w:szCs w:val="22"/>
          <w:lang w:val="en-NZ"/>
        </w:rPr>
        <w:t xml:space="preserve">is considered in </w:t>
      </w:r>
      <w:r w:rsidR="00C05721" w:rsidRPr="004635E5">
        <w:rPr>
          <w:sz w:val="22"/>
          <w:szCs w:val="22"/>
          <w:lang w:val="en-NZ"/>
        </w:rPr>
        <w:t xml:space="preserve">the </w:t>
      </w:r>
      <w:r w:rsidRPr="004635E5">
        <w:rPr>
          <w:sz w:val="22"/>
          <w:szCs w:val="22"/>
          <w:lang w:val="en-NZ"/>
        </w:rPr>
        <w:t xml:space="preserve">WCPO model </w:t>
      </w:r>
      <w:r w:rsidR="00C05721" w:rsidRPr="004635E5">
        <w:rPr>
          <w:sz w:val="22"/>
          <w:szCs w:val="22"/>
          <w:lang w:val="en-NZ"/>
        </w:rPr>
        <w:t xml:space="preserve">that excludes EPO data. A Langley stated that the WCPO–EPO linkage is not well understood; model-estimated </w:t>
      </w:r>
      <w:r w:rsidR="00270656" w:rsidRPr="004635E5">
        <w:rPr>
          <w:sz w:val="22"/>
          <w:szCs w:val="22"/>
          <w:lang w:val="en-NZ"/>
        </w:rPr>
        <w:t xml:space="preserve">movement </w:t>
      </w:r>
      <w:r w:rsidR="00C05721" w:rsidRPr="004635E5">
        <w:rPr>
          <w:sz w:val="22"/>
          <w:szCs w:val="22"/>
          <w:lang w:val="en-NZ"/>
        </w:rPr>
        <w:t xml:space="preserve">is high because this is how the how model fits the data, but it is not based on actual movement, and may not be accurate. Indonesia further asked about the </w:t>
      </w:r>
      <w:r w:rsidRPr="004635E5">
        <w:rPr>
          <w:sz w:val="22"/>
          <w:szCs w:val="22"/>
          <w:lang w:val="en-NZ"/>
        </w:rPr>
        <w:t>status of tagging studies for silky sharks</w:t>
      </w:r>
      <w:r w:rsidR="00C05721" w:rsidRPr="004635E5">
        <w:rPr>
          <w:sz w:val="22"/>
          <w:szCs w:val="22"/>
          <w:lang w:val="en-NZ"/>
        </w:rPr>
        <w:t>, length/composition data, and conversion factors (total length/fork length) for size distribution.</w:t>
      </w:r>
      <w:r w:rsidRPr="004635E5">
        <w:rPr>
          <w:sz w:val="22"/>
          <w:szCs w:val="22"/>
          <w:lang w:val="en-NZ"/>
        </w:rPr>
        <w:t xml:space="preserve"> </w:t>
      </w:r>
      <w:r w:rsidR="00C05721" w:rsidRPr="004635E5">
        <w:rPr>
          <w:sz w:val="22"/>
          <w:szCs w:val="22"/>
          <w:lang w:val="en-NZ"/>
        </w:rPr>
        <w:t>S. Clarke replied that t</w:t>
      </w:r>
      <w:r w:rsidR="00C05721" w:rsidRPr="004635E5">
        <w:rPr>
          <w:sz w:val="22"/>
          <w:szCs w:val="22"/>
        </w:rPr>
        <w:t>here are post-release mortality studies on silky sharks from tagging data but movement data relies on the IATTC tagging data;</w:t>
      </w:r>
      <w:r w:rsidR="00F81EF0">
        <w:rPr>
          <w:sz w:val="22"/>
          <w:szCs w:val="22"/>
        </w:rPr>
        <w:t xml:space="preserve"> </w:t>
      </w:r>
      <w:r w:rsidR="00C05721" w:rsidRPr="004635E5">
        <w:rPr>
          <w:sz w:val="22"/>
          <w:szCs w:val="22"/>
        </w:rPr>
        <w:t>she encouraged collection of more length data by observers, and noted the length conversion factor published by Joung et al 2008 was used, which is specific to the WCPO.</w:t>
      </w:r>
      <w:r w:rsidR="004334BB" w:rsidRPr="004635E5">
        <w:rPr>
          <w:rStyle w:val="FootnoteReference"/>
          <w:sz w:val="22"/>
          <w:szCs w:val="22"/>
        </w:rPr>
        <w:footnoteReference w:id="4"/>
      </w:r>
    </w:p>
    <w:p w14:paraId="7F63CD9C" w14:textId="77777777" w:rsidR="00F46AB9" w:rsidRPr="004635E5" w:rsidRDefault="00F46AB9" w:rsidP="006633A8">
      <w:pPr>
        <w:autoSpaceDE w:val="0"/>
        <w:autoSpaceDN w:val="0"/>
        <w:adjustRightInd w:val="0"/>
        <w:snapToGrid w:val="0"/>
        <w:jc w:val="both"/>
        <w:rPr>
          <w:sz w:val="22"/>
          <w:szCs w:val="22"/>
          <w:lang w:val="en-NZ"/>
        </w:rPr>
      </w:pPr>
    </w:p>
    <w:p w14:paraId="32D3E677" w14:textId="77777777" w:rsidR="009D70E6" w:rsidRPr="004635E5" w:rsidRDefault="00C05721" w:rsidP="00580EA4">
      <w:pPr>
        <w:numPr>
          <w:ilvl w:val="0"/>
          <w:numId w:val="18"/>
        </w:numPr>
        <w:autoSpaceDE w:val="0"/>
        <w:autoSpaceDN w:val="0"/>
        <w:adjustRightInd w:val="0"/>
        <w:snapToGrid w:val="0"/>
        <w:ind w:left="0" w:firstLine="0"/>
        <w:jc w:val="both"/>
        <w:rPr>
          <w:sz w:val="22"/>
          <w:szCs w:val="22"/>
        </w:rPr>
      </w:pPr>
      <w:r w:rsidRPr="004635E5">
        <w:rPr>
          <w:sz w:val="22"/>
          <w:szCs w:val="22"/>
        </w:rPr>
        <w:t>SPC inquired regarding the dynamics of the WCPO model</w:t>
      </w:r>
      <w:r w:rsidR="00270656" w:rsidRPr="004635E5">
        <w:rPr>
          <w:sz w:val="22"/>
          <w:szCs w:val="22"/>
        </w:rPr>
        <w:t>,</w:t>
      </w:r>
      <w:r w:rsidRPr="004635E5">
        <w:rPr>
          <w:sz w:val="22"/>
          <w:szCs w:val="22"/>
        </w:rPr>
        <w:t xml:space="preserve"> where catchability in a year is dependent on the environmental index in the next year. A Langley indicated a delay in the oceanographic process moving across the Pacific could cause a lag in the environmental impact on catchability. </w:t>
      </w:r>
      <w:r w:rsidR="00BF1476" w:rsidRPr="004635E5">
        <w:rPr>
          <w:sz w:val="22"/>
          <w:szCs w:val="22"/>
        </w:rPr>
        <w:t>SPC stated that the hypothesis that movement is responsible for catchability was interesting and should be further explored, and suggested using a Pacific-wide model with separate stock recruitment dynamics in the EPO and WCPO regions could be worthwhile</w:t>
      </w:r>
      <w:r w:rsidR="00E43D0F" w:rsidRPr="004635E5">
        <w:rPr>
          <w:sz w:val="22"/>
          <w:szCs w:val="22"/>
          <w:lang w:val="en-NZ"/>
        </w:rPr>
        <w:t>. A</w:t>
      </w:r>
      <w:r w:rsidR="00BF1476" w:rsidRPr="004635E5">
        <w:rPr>
          <w:sz w:val="22"/>
          <w:szCs w:val="22"/>
          <w:lang w:val="en-NZ"/>
        </w:rPr>
        <w:t xml:space="preserve">. Langley noted that the </w:t>
      </w:r>
      <w:r w:rsidR="00E43D0F" w:rsidRPr="004635E5">
        <w:rPr>
          <w:sz w:val="22"/>
          <w:szCs w:val="22"/>
          <w:lang w:val="en-NZ"/>
        </w:rPr>
        <w:t>Pac</w:t>
      </w:r>
      <w:r w:rsidR="00BF1476" w:rsidRPr="004635E5">
        <w:rPr>
          <w:sz w:val="22"/>
          <w:szCs w:val="22"/>
          <w:lang w:val="en-NZ"/>
        </w:rPr>
        <w:t>ific-</w:t>
      </w:r>
      <w:r w:rsidR="00E43D0F" w:rsidRPr="004635E5">
        <w:rPr>
          <w:sz w:val="22"/>
          <w:szCs w:val="22"/>
          <w:lang w:val="en-NZ"/>
        </w:rPr>
        <w:t xml:space="preserve">wide model </w:t>
      </w:r>
      <w:r w:rsidR="00BF1476" w:rsidRPr="004635E5">
        <w:rPr>
          <w:sz w:val="22"/>
          <w:szCs w:val="22"/>
          <w:lang w:val="en-NZ"/>
        </w:rPr>
        <w:t xml:space="preserve">was </w:t>
      </w:r>
      <w:r w:rsidR="00E43D0F" w:rsidRPr="004635E5">
        <w:rPr>
          <w:sz w:val="22"/>
          <w:szCs w:val="22"/>
          <w:lang w:val="en-NZ"/>
        </w:rPr>
        <w:t>too coarse</w:t>
      </w:r>
      <w:r w:rsidR="00BF1476" w:rsidRPr="004635E5">
        <w:rPr>
          <w:sz w:val="22"/>
          <w:szCs w:val="22"/>
          <w:lang w:val="en-NZ"/>
        </w:rPr>
        <w:t>,</w:t>
      </w:r>
      <w:r w:rsidR="00E43D0F" w:rsidRPr="004635E5">
        <w:rPr>
          <w:sz w:val="22"/>
          <w:szCs w:val="22"/>
          <w:lang w:val="en-NZ"/>
        </w:rPr>
        <w:t xml:space="preserve"> assuming </w:t>
      </w:r>
      <w:r w:rsidR="00270656" w:rsidRPr="004635E5">
        <w:rPr>
          <w:sz w:val="22"/>
          <w:szCs w:val="22"/>
          <w:lang w:val="en-NZ"/>
        </w:rPr>
        <w:t xml:space="preserve">two </w:t>
      </w:r>
      <w:r w:rsidR="00E43D0F" w:rsidRPr="004635E5">
        <w:rPr>
          <w:sz w:val="22"/>
          <w:szCs w:val="22"/>
          <w:lang w:val="en-NZ"/>
        </w:rPr>
        <w:t>distin</w:t>
      </w:r>
      <w:r w:rsidR="00BF1476" w:rsidRPr="004635E5">
        <w:rPr>
          <w:sz w:val="22"/>
          <w:szCs w:val="22"/>
          <w:lang w:val="en-NZ"/>
        </w:rPr>
        <w:t>c</w:t>
      </w:r>
      <w:r w:rsidR="00E43D0F" w:rsidRPr="004635E5">
        <w:rPr>
          <w:sz w:val="22"/>
          <w:szCs w:val="22"/>
          <w:lang w:val="en-NZ"/>
        </w:rPr>
        <w:t>t homogenous pop</w:t>
      </w:r>
      <w:r w:rsidR="00CD59FC">
        <w:rPr>
          <w:rFonts w:eastAsiaTheme="minorEastAsia" w:hint="eastAsia"/>
          <w:sz w:val="22"/>
          <w:szCs w:val="22"/>
          <w:lang w:val="en-NZ" w:eastAsia="ko-KR"/>
        </w:rPr>
        <w:t>ulation</w:t>
      </w:r>
      <w:r w:rsidR="00E43D0F" w:rsidRPr="004635E5">
        <w:rPr>
          <w:sz w:val="22"/>
          <w:szCs w:val="22"/>
          <w:lang w:val="en-NZ"/>
        </w:rPr>
        <w:t>s link</w:t>
      </w:r>
      <w:r w:rsidR="00BF1476" w:rsidRPr="004635E5">
        <w:rPr>
          <w:sz w:val="22"/>
          <w:szCs w:val="22"/>
          <w:lang w:val="en-NZ"/>
        </w:rPr>
        <w:t>e</w:t>
      </w:r>
      <w:r w:rsidR="00E43D0F" w:rsidRPr="004635E5">
        <w:rPr>
          <w:sz w:val="22"/>
          <w:szCs w:val="22"/>
          <w:lang w:val="en-NZ"/>
        </w:rPr>
        <w:t xml:space="preserve">d across </w:t>
      </w:r>
      <w:r w:rsidR="00270656" w:rsidRPr="004635E5">
        <w:rPr>
          <w:sz w:val="22"/>
          <w:szCs w:val="22"/>
          <w:lang w:val="en-NZ"/>
        </w:rPr>
        <w:t xml:space="preserve">a single </w:t>
      </w:r>
      <w:r w:rsidR="00E43D0F" w:rsidRPr="004635E5">
        <w:rPr>
          <w:sz w:val="22"/>
          <w:szCs w:val="22"/>
          <w:lang w:val="en-NZ"/>
        </w:rPr>
        <w:t xml:space="preserve">boundary, </w:t>
      </w:r>
      <w:r w:rsidR="00BF1476" w:rsidRPr="004635E5">
        <w:rPr>
          <w:sz w:val="22"/>
          <w:szCs w:val="22"/>
          <w:lang w:val="en-NZ"/>
        </w:rPr>
        <w:t xml:space="preserve">as there is likely </w:t>
      </w:r>
      <w:r w:rsidR="00E43D0F" w:rsidRPr="004635E5">
        <w:rPr>
          <w:sz w:val="22"/>
          <w:szCs w:val="22"/>
          <w:lang w:val="en-NZ"/>
        </w:rPr>
        <w:t>a</w:t>
      </w:r>
      <w:r w:rsidR="00BF1476" w:rsidRPr="004635E5">
        <w:rPr>
          <w:sz w:val="22"/>
          <w:szCs w:val="22"/>
          <w:lang w:val="en-NZ"/>
        </w:rPr>
        <w:t xml:space="preserve"> </w:t>
      </w:r>
      <w:r w:rsidR="00E43D0F" w:rsidRPr="004635E5">
        <w:rPr>
          <w:sz w:val="22"/>
          <w:szCs w:val="22"/>
          <w:lang w:val="en-NZ"/>
        </w:rPr>
        <w:t xml:space="preserve">gradient. </w:t>
      </w:r>
      <w:r w:rsidR="00270656" w:rsidRPr="004635E5">
        <w:rPr>
          <w:sz w:val="22"/>
          <w:szCs w:val="22"/>
          <w:lang w:val="en-NZ"/>
        </w:rPr>
        <w:t xml:space="preserve">Hawaii </w:t>
      </w:r>
      <w:r w:rsidR="004421B3" w:rsidRPr="004635E5">
        <w:rPr>
          <w:sz w:val="22"/>
          <w:szCs w:val="22"/>
          <w:lang w:val="en-NZ"/>
        </w:rPr>
        <w:t>longline</w:t>
      </w:r>
      <w:r w:rsidR="00E43D0F" w:rsidRPr="004635E5">
        <w:rPr>
          <w:sz w:val="22"/>
          <w:szCs w:val="22"/>
          <w:lang w:val="en-NZ"/>
        </w:rPr>
        <w:t xml:space="preserve"> CPUE </w:t>
      </w:r>
      <w:r w:rsidR="00BF1476" w:rsidRPr="004635E5">
        <w:rPr>
          <w:sz w:val="22"/>
          <w:szCs w:val="22"/>
          <w:lang w:val="en-NZ"/>
        </w:rPr>
        <w:t xml:space="preserve">data </w:t>
      </w:r>
      <w:r w:rsidR="00E43D0F" w:rsidRPr="004635E5">
        <w:rPr>
          <w:sz w:val="22"/>
          <w:szCs w:val="22"/>
          <w:lang w:val="en-NZ"/>
        </w:rPr>
        <w:t xml:space="preserve">could help in resolving these issues. </w:t>
      </w:r>
    </w:p>
    <w:p w14:paraId="063D2266" w14:textId="77777777" w:rsidR="00F46AB9" w:rsidRPr="004635E5" w:rsidRDefault="00F46AB9" w:rsidP="006633A8">
      <w:pPr>
        <w:autoSpaceDE w:val="0"/>
        <w:autoSpaceDN w:val="0"/>
        <w:adjustRightInd w:val="0"/>
        <w:snapToGrid w:val="0"/>
        <w:jc w:val="both"/>
        <w:rPr>
          <w:sz w:val="22"/>
          <w:szCs w:val="22"/>
        </w:rPr>
      </w:pPr>
    </w:p>
    <w:p w14:paraId="725D5B40" w14:textId="77777777" w:rsidR="009E62E2" w:rsidRPr="004635E5" w:rsidRDefault="009E62E2"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The </w:t>
      </w:r>
      <w:r w:rsidR="0039429B" w:rsidRPr="004635E5">
        <w:rPr>
          <w:sz w:val="22"/>
          <w:szCs w:val="22"/>
          <w:lang w:val="en-NZ"/>
        </w:rPr>
        <w:t>EU</w:t>
      </w:r>
      <w:r w:rsidRPr="004635E5">
        <w:rPr>
          <w:sz w:val="22"/>
          <w:szCs w:val="22"/>
          <w:lang w:val="en-NZ"/>
        </w:rPr>
        <w:t xml:space="preserve"> inquired </w:t>
      </w:r>
      <w:r w:rsidR="00F81447">
        <w:rPr>
          <w:rFonts w:eastAsiaTheme="minorEastAsia" w:hint="eastAsia"/>
          <w:sz w:val="22"/>
          <w:szCs w:val="22"/>
          <w:lang w:val="en-NZ" w:eastAsia="ko-KR"/>
        </w:rPr>
        <w:t>about consideration of</w:t>
      </w:r>
      <w:r w:rsidR="0039429B" w:rsidRPr="004635E5">
        <w:rPr>
          <w:sz w:val="22"/>
          <w:szCs w:val="22"/>
          <w:lang w:val="en-NZ"/>
        </w:rPr>
        <w:t xml:space="preserve"> </w:t>
      </w:r>
      <w:r w:rsidRPr="004635E5">
        <w:rPr>
          <w:sz w:val="22"/>
          <w:szCs w:val="22"/>
          <w:lang w:val="en-NZ"/>
        </w:rPr>
        <w:t xml:space="preserve">the potentially negative </w:t>
      </w:r>
      <w:r w:rsidR="0039429B" w:rsidRPr="004635E5">
        <w:rPr>
          <w:sz w:val="22"/>
          <w:szCs w:val="22"/>
          <w:lang w:val="en-NZ"/>
        </w:rPr>
        <w:t xml:space="preserve">and </w:t>
      </w:r>
      <w:r w:rsidRPr="004635E5">
        <w:rPr>
          <w:sz w:val="22"/>
          <w:szCs w:val="22"/>
          <w:lang w:val="en-NZ"/>
        </w:rPr>
        <w:t xml:space="preserve">positive </w:t>
      </w:r>
      <w:r w:rsidR="0039429B" w:rsidRPr="004635E5">
        <w:rPr>
          <w:sz w:val="22"/>
          <w:szCs w:val="22"/>
          <w:lang w:val="en-NZ"/>
        </w:rPr>
        <w:t xml:space="preserve">effects of </w:t>
      </w:r>
      <w:r w:rsidRPr="004635E5">
        <w:rPr>
          <w:sz w:val="22"/>
          <w:szCs w:val="22"/>
          <w:lang w:val="en-NZ"/>
        </w:rPr>
        <w:t>the no-</w:t>
      </w:r>
      <w:r w:rsidR="0039429B" w:rsidRPr="004635E5">
        <w:rPr>
          <w:sz w:val="22"/>
          <w:szCs w:val="22"/>
          <w:lang w:val="en-NZ"/>
        </w:rPr>
        <w:t>retention measure</w:t>
      </w:r>
      <w:r w:rsidRPr="004635E5">
        <w:rPr>
          <w:sz w:val="22"/>
          <w:szCs w:val="22"/>
          <w:lang w:val="en-NZ"/>
        </w:rPr>
        <w:t xml:space="preserve"> that applies</w:t>
      </w:r>
      <w:r w:rsidR="0039429B" w:rsidRPr="004635E5">
        <w:rPr>
          <w:sz w:val="22"/>
          <w:szCs w:val="22"/>
          <w:lang w:val="en-NZ"/>
        </w:rPr>
        <w:t xml:space="preserve"> to </w:t>
      </w:r>
      <w:r w:rsidR="00270656" w:rsidRPr="004635E5">
        <w:rPr>
          <w:sz w:val="22"/>
          <w:szCs w:val="22"/>
          <w:lang w:val="en-NZ"/>
        </w:rPr>
        <w:t>silky shark</w:t>
      </w:r>
      <w:r w:rsidRPr="004635E5">
        <w:rPr>
          <w:sz w:val="22"/>
          <w:szCs w:val="22"/>
          <w:lang w:val="en-NZ"/>
        </w:rPr>
        <w:t xml:space="preserve">, noting </w:t>
      </w:r>
      <w:r w:rsidR="0039429B" w:rsidRPr="004635E5">
        <w:rPr>
          <w:sz w:val="22"/>
          <w:szCs w:val="22"/>
          <w:lang w:val="en-NZ"/>
        </w:rPr>
        <w:t>p</w:t>
      </w:r>
      <w:r w:rsidRPr="004635E5">
        <w:rPr>
          <w:sz w:val="22"/>
          <w:szCs w:val="22"/>
          <w:lang w:val="en-NZ"/>
        </w:rPr>
        <w:t>r</w:t>
      </w:r>
      <w:r w:rsidR="0039429B" w:rsidRPr="004635E5">
        <w:rPr>
          <w:sz w:val="22"/>
          <w:szCs w:val="22"/>
          <w:lang w:val="en-NZ"/>
        </w:rPr>
        <w:t xml:space="preserve">oblems with </w:t>
      </w:r>
      <w:r w:rsidR="00270656" w:rsidRPr="004635E5">
        <w:rPr>
          <w:sz w:val="22"/>
          <w:szCs w:val="22"/>
          <w:lang w:val="en-NZ"/>
        </w:rPr>
        <w:t xml:space="preserve">identification </w:t>
      </w:r>
      <w:r w:rsidR="0039429B" w:rsidRPr="004635E5">
        <w:rPr>
          <w:sz w:val="22"/>
          <w:szCs w:val="22"/>
          <w:lang w:val="en-NZ"/>
        </w:rPr>
        <w:t>and reporting</w:t>
      </w:r>
      <w:r w:rsidRPr="004635E5">
        <w:rPr>
          <w:sz w:val="22"/>
          <w:szCs w:val="22"/>
          <w:lang w:val="en-NZ"/>
        </w:rPr>
        <w:t xml:space="preserve"> could </w:t>
      </w:r>
      <w:r w:rsidR="0039429B" w:rsidRPr="004635E5">
        <w:rPr>
          <w:sz w:val="22"/>
          <w:szCs w:val="22"/>
          <w:lang w:val="en-NZ"/>
        </w:rPr>
        <w:t>neg</w:t>
      </w:r>
      <w:r w:rsidRPr="004635E5">
        <w:rPr>
          <w:sz w:val="22"/>
          <w:szCs w:val="22"/>
          <w:lang w:val="en-NZ"/>
        </w:rPr>
        <w:t>atively impact</w:t>
      </w:r>
      <w:r w:rsidR="0039429B" w:rsidRPr="004635E5">
        <w:rPr>
          <w:sz w:val="22"/>
          <w:szCs w:val="22"/>
          <w:lang w:val="en-NZ"/>
        </w:rPr>
        <w:t xml:space="preserve"> CPUE estimation</w:t>
      </w:r>
      <w:r w:rsidRPr="004635E5">
        <w:rPr>
          <w:sz w:val="22"/>
          <w:szCs w:val="22"/>
          <w:lang w:val="en-NZ"/>
        </w:rPr>
        <w:t xml:space="preserve">, while there could be </w:t>
      </w:r>
      <w:r w:rsidR="0039429B" w:rsidRPr="004635E5">
        <w:rPr>
          <w:sz w:val="22"/>
          <w:szCs w:val="22"/>
          <w:lang w:val="en-NZ"/>
        </w:rPr>
        <w:t xml:space="preserve">positive effects from </w:t>
      </w:r>
      <w:r w:rsidRPr="004635E5">
        <w:rPr>
          <w:sz w:val="22"/>
          <w:szCs w:val="22"/>
          <w:lang w:val="en-NZ"/>
        </w:rPr>
        <w:t xml:space="preserve">the </w:t>
      </w:r>
      <w:r w:rsidR="00270656" w:rsidRPr="004635E5">
        <w:rPr>
          <w:sz w:val="22"/>
          <w:szCs w:val="22"/>
          <w:lang w:val="en-NZ"/>
        </w:rPr>
        <w:t>no-</w:t>
      </w:r>
      <w:r w:rsidR="0039429B" w:rsidRPr="004635E5">
        <w:rPr>
          <w:sz w:val="22"/>
          <w:szCs w:val="22"/>
          <w:lang w:val="en-NZ"/>
        </w:rPr>
        <w:t>ret</w:t>
      </w:r>
      <w:r w:rsidRPr="004635E5">
        <w:rPr>
          <w:sz w:val="22"/>
          <w:szCs w:val="22"/>
          <w:lang w:val="en-NZ"/>
        </w:rPr>
        <w:t xml:space="preserve">ention policy associated with </w:t>
      </w:r>
      <w:r w:rsidR="0039429B" w:rsidRPr="004635E5">
        <w:rPr>
          <w:sz w:val="22"/>
          <w:szCs w:val="22"/>
          <w:lang w:val="en-NZ"/>
        </w:rPr>
        <w:t>survival of sharks released</w:t>
      </w:r>
      <w:r w:rsidRPr="004635E5">
        <w:rPr>
          <w:sz w:val="22"/>
          <w:szCs w:val="22"/>
          <w:lang w:val="en-NZ"/>
        </w:rPr>
        <w:t>. S. Clarke stated these issues had been examined. Sharp declines in 2012-2015 occurred in conjunction with the onset of no-retention policies (including national policies), but this was correlated with environmental indices and CPUE trend</w:t>
      </w:r>
      <w:r w:rsidR="00593ED3" w:rsidRPr="004635E5">
        <w:rPr>
          <w:sz w:val="22"/>
          <w:szCs w:val="22"/>
          <w:lang w:val="en-NZ"/>
        </w:rPr>
        <w:t>s</w:t>
      </w:r>
      <w:r w:rsidRPr="004635E5">
        <w:rPr>
          <w:sz w:val="22"/>
          <w:szCs w:val="22"/>
          <w:lang w:val="en-NZ"/>
        </w:rPr>
        <w:t xml:space="preserve"> </w:t>
      </w:r>
      <w:r w:rsidR="00593ED3" w:rsidRPr="004635E5">
        <w:rPr>
          <w:sz w:val="22"/>
          <w:szCs w:val="22"/>
          <w:lang w:val="en-NZ"/>
        </w:rPr>
        <w:t xml:space="preserve">over </w:t>
      </w:r>
      <w:r w:rsidRPr="004635E5">
        <w:rPr>
          <w:sz w:val="22"/>
          <w:szCs w:val="22"/>
          <w:lang w:val="en-NZ"/>
        </w:rPr>
        <w:t xml:space="preserve">that period. </w:t>
      </w:r>
      <w:r w:rsidR="00593ED3" w:rsidRPr="004635E5">
        <w:rPr>
          <w:sz w:val="22"/>
          <w:szCs w:val="22"/>
          <w:lang w:val="en-NZ"/>
        </w:rPr>
        <w:t>T</w:t>
      </w:r>
      <w:r w:rsidRPr="004635E5">
        <w:rPr>
          <w:sz w:val="22"/>
          <w:szCs w:val="22"/>
          <w:lang w:val="en-NZ"/>
        </w:rPr>
        <w:t>otal removals</w:t>
      </w:r>
      <w:r w:rsidR="003E0684" w:rsidRPr="004635E5">
        <w:rPr>
          <w:sz w:val="22"/>
          <w:szCs w:val="22"/>
          <w:lang w:val="en-NZ"/>
        </w:rPr>
        <w:t xml:space="preserve"> were calculated based on </w:t>
      </w:r>
      <w:r w:rsidRPr="004635E5">
        <w:rPr>
          <w:sz w:val="22"/>
          <w:szCs w:val="22"/>
          <w:lang w:val="en-NZ"/>
        </w:rPr>
        <w:t>the shark fin trade</w:t>
      </w:r>
      <w:r w:rsidR="0019369B" w:rsidRPr="004635E5">
        <w:rPr>
          <w:sz w:val="22"/>
          <w:szCs w:val="22"/>
          <w:lang w:val="en-NZ"/>
        </w:rPr>
        <w:t>, which would account for silky sharks that survive post-release, but the no-</w:t>
      </w:r>
      <w:r w:rsidRPr="004635E5">
        <w:rPr>
          <w:sz w:val="22"/>
          <w:szCs w:val="22"/>
          <w:lang w:val="en-NZ"/>
        </w:rPr>
        <w:t>retention policy is an issue</w:t>
      </w:r>
      <w:r w:rsidR="0019369B" w:rsidRPr="004635E5">
        <w:rPr>
          <w:sz w:val="22"/>
          <w:szCs w:val="22"/>
          <w:lang w:val="en-NZ"/>
        </w:rPr>
        <w:t xml:space="preserve"> from a data standpoint</w:t>
      </w:r>
      <w:r w:rsidRPr="004635E5">
        <w:rPr>
          <w:sz w:val="22"/>
          <w:szCs w:val="22"/>
          <w:lang w:val="en-NZ"/>
        </w:rPr>
        <w:t>.</w:t>
      </w:r>
    </w:p>
    <w:p w14:paraId="028288EF" w14:textId="77777777" w:rsidR="00F46AB9" w:rsidRPr="004635E5" w:rsidRDefault="00F46AB9" w:rsidP="006633A8">
      <w:pPr>
        <w:autoSpaceDE w:val="0"/>
        <w:autoSpaceDN w:val="0"/>
        <w:adjustRightInd w:val="0"/>
        <w:snapToGrid w:val="0"/>
        <w:jc w:val="both"/>
        <w:rPr>
          <w:sz w:val="22"/>
          <w:szCs w:val="22"/>
          <w:lang w:val="en-NZ"/>
        </w:rPr>
      </w:pPr>
    </w:p>
    <w:p w14:paraId="64CBF4D7" w14:textId="77777777" w:rsidR="00AE69D4" w:rsidRPr="004635E5" w:rsidRDefault="009E62E2"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 </w:t>
      </w:r>
      <w:r w:rsidR="0019369B" w:rsidRPr="004635E5">
        <w:rPr>
          <w:sz w:val="22"/>
          <w:szCs w:val="22"/>
          <w:lang w:val="en-NZ"/>
        </w:rPr>
        <w:t xml:space="preserve">The EU inquired regarding the </w:t>
      </w:r>
      <w:r w:rsidR="0039429B" w:rsidRPr="004635E5">
        <w:rPr>
          <w:sz w:val="22"/>
          <w:szCs w:val="22"/>
          <w:lang w:val="en-NZ"/>
        </w:rPr>
        <w:t>infl</w:t>
      </w:r>
      <w:r w:rsidR="0019369B" w:rsidRPr="004635E5">
        <w:rPr>
          <w:sz w:val="22"/>
          <w:szCs w:val="22"/>
          <w:lang w:val="en-NZ"/>
        </w:rPr>
        <w:t>uence of</w:t>
      </w:r>
      <w:r w:rsidR="0039429B" w:rsidRPr="004635E5">
        <w:rPr>
          <w:sz w:val="22"/>
          <w:szCs w:val="22"/>
          <w:lang w:val="en-NZ"/>
        </w:rPr>
        <w:t xml:space="preserve"> oceanogra</w:t>
      </w:r>
      <w:r w:rsidR="0019369B" w:rsidRPr="004635E5">
        <w:rPr>
          <w:sz w:val="22"/>
          <w:szCs w:val="22"/>
          <w:lang w:val="en-NZ"/>
        </w:rPr>
        <w:t>p</w:t>
      </w:r>
      <w:r w:rsidR="0039429B" w:rsidRPr="004635E5">
        <w:rPr>
          <w:sz w:val="22"/>
          <w:szCs w:val="22"/>
          <w:lang w:val="en-NZ"/>
        </w:rPr>
        <w:t>hic elements</w:t>
      </w:r>
      <w:r w:rsidR="0019369B" w:rsidRPr="004635E5">
        <w:rPr>
          <w:sz w:val="22"/>
          <w:szCs w:val="22"/>
          <w:lang w:val="en-NZ"/>
        </w:rPr>
        <w:t xml:space="preserve">, noting that the effect of </w:t>
      </w:r>
      <w:r w:rsidR="0039429B" w:rsidRPr="004635E5">
        <w:rPr>
          <w:sz w:val="22"/>
          <w:szCs w:val="22"/>
          <w:lang w:val="en-NZ"/>
        </w:rPr>
        <w:t>ENSO</w:t>
      </w:r>
      <w:r w:rsidR="0019369B" w:rsidRPr="004635E5">
        <w:rPr>
          <w:sz w:val="22"/>
          <w:szCs w:val="22"/>
          <w:lang w:val="en-NZ"/>
        </w:rPr>
        <w:t xml:space="preserve"> </w:t>
      </w:r>
      <w:r w:rsidR="0039429B" w:rsidRPr="004635E5">
        <w:rPr>
          <w:sz w:val="22"/>
          <w:szCs w:val="22"/>
          <w:lang w:val="en-NZ"/>
        </w:rPr>
        <w:t xml:space="preserve">may vary </w:t>
      </w:r>
      <w:r w:rsidR="0019369B" w:rsidRPr="004635E5">
        <w:rPr>
          <w:sz w:val="22"/>
          <w:szCs w:val="22"/>
          <w:lang w:val="en-NZ"/>
        </w:rPr>
        <w:t xml:space="preserve">significantly. A </w:t>
      </w:r>
      <w:r w:rsidR="0039429B" w:rsidRPr="004635E5">
        <w:rPr>
          <w:sz w:val="22"/>
          <w:szCs w:val="22"/>
          <w:lang w:val="en-NZ"/>
        </w:rPr>
        <w:t xml:space="preserve">strong </w:t>
      </w:r>
      <w:r w:rsidR="0019369B" w:rsidRPr="004635E5">
        <w:rPr>
          <w:sz w:val="22"/>
          <w:szCs w:val="22"/>
          <w:lang w:val="en-NZ"/>
        </w:rPr>
        <w:t>E</w:t>
      </w:r>
      <w:r w:rsidR="0039429B" w:rsidRPr="004635E5">
        <w:rPr>
          <w:sz w:val="22"/>
          <w:szCs w:val="22"/>
          <w:lang w:val="en-NZ"/>
        </w:rPr>
        <w:t xml:space="preserve">l </w:t>
      </w:r>
      <w:r w:rsidR="0019369B" w:rsidRPr="004635E5">
        <w:rPr>
          <w:sz w:val="22"/>
          <w:szCs w:val="22"/>
          <w:lang w:val="en-NZ"/>
        </w:rPr>
        <w:t>Nino may deepen the thermoc</w:t>
      </w:r>
      <w:r w:rsidR="0039429B" w:rsidRPr="004635E5">
        <w:rPr>
          <w:sz w:val="22"/>
          <w:szCs w:val="22"/>
          <w:lang w:val="en-NZ"/>
        </w:rPr>
        <w:t>l</w:t>
      </w:r>
      <w:r w:rsidR="0019369B" w:rsidRPr="004635E5">
        <w:rPr>
          <w:sz w:val="22"/>
          <w:szCs w:val="22"/>
          <w:lang w:val="en-NZ"/>
        </w:rPr>
        <w:t xml:space="preserve">ine and reduce </w:t>
      </w:r>
      <w:r w:rsidR="0039429B" w:rsidRPr="004635E5">
        <w:rPr>
          <w:sz w:val="22"/>
          <w:szCs w:val="22"/>
          <w:lang w:val="en-NZ"/>
        </w:rPr>
        <w:t>c</w:t>
      </w:r>
      <w:r w:rsidR="0019369B" w:rsidRPr="004635E5">
        <w:rPr>
          <w:sz w:val="22"/>
          <w:szCs w:val="22"/>
          <w:lang w:val="en-NZ"/>
        </w:rPr>
        <w:t>at</w:t>
      </w:r>
      <w:r w:rsidR="0039429B" w:rsidRPr="004635E5">
        <w:rPr>
          <w:sz w:val="22"/>
          <w:szCs w:val="22"/>
          <w:lang w:val="en-NZ"/>
        </w:rPr>
        <w:t>c</w:t>
      </w:r>
      <w:r w:rsidR="0019369B" w:rsidRPr="004635E5">
        <w:rPr>
          <w:sz w:val="22"/>
          <w:szCs w:val="22"/>
          <w:lang w:val="en-NZ"/>
        </w:rPr>
        <w:t>ha</w:t>
      </w:r>
      <w:r w:rsidR="0039429B" w:rsidRPr="004635E5">
        <w:rPr>
          <w:sz w:val="22"/>
          <w:szCs w:val="22"/>
          <w:lang w:val="en-NZ"/>
        </w:rPr>
        <w:t>bility</w:t>
      </w:r>
      <w:r w:rsidR="0019369B" w:rsidRPr="004635E5">
        <w:rPr>
          <w:sz w:val="22"/>
          <w:szCs w:val="22"/>
          <w:lang w:val="en-NZ"/>
        </w:rPr>
        <w:t xml:space="preserve"> in some areas</w:t>
      </w:r>
      <w:r w:rsidR="0039429B" w:rsidRPr="004635E5">
        <w:rPr>
          <w:sz w:val="22"/>
          <w:szCs w:val="22"/>
          <w:lang w:val="en-NZ"/>
        </w:rPr>
        <w:t xml:space="preserve">, but </w:t>
      </w:r>
      <w:r w:rsidR="0019369B" w:rsidRPr="004635E5">
        <w:rPr>
          <w:sz w:val="22"/>
          <w:szCs w:val="22"/>
          <w:lang w:val="en-NZ"/>
        </w:rPr>
        <w:t xml:space="preserve">produce a shallower </w:t>
      </w:r>
      <w:r w:rsidR="0039429B" w:rsidRPr="004635E5">
        <w:rPr>
          <w:sz w:val="22"/>
          <w:szCs w:val="22"/>
          <w:lang w:val="en-NZ"/>
        </w:rPr>
        <w:t xml:space="preserve">thermocline in </w:t>
      </w:r>
      <w:r w:rsidR="0019369B" w:rsidRPr="004635E5">
        <w:rPr>
          <w:sz w:val="22"/>
          <w:szCs w:val="22"/>
          <w:lang w:val="en-NZ"/>
        </w:rPr>
        <w:t xml:space="preserve">others </w:t>
      </w:r>
      <w:r w:rsidR="0039429B" w:rsidRPr="004635E5">
        <w:rPr>
          <w:sz w:val="22"/>
          <w:szCs w:val="22"/>
          <w:lang w:val="en-NZ"/>
        </w:rPr>
        <w:t>(e</w:t>
      </w:r>
      <w:r w:rsidR="00270656" w:rsidRPr="004635E5">
        <w:rPr>
          <w:sz w:val="22"/>
          <w:szCs w:val="22"/>
          <w:lang w:val="en-NZ"/>
        </w:rPr>
        <w:t>.</w:t>
      </w:r>
      <w:r w:rsidR="0039429B" w:rsidRPr="004635E5">
        <w:rPr>
          <w:sz w:val="22"/>
          <w:szCs w:val="22"/>
          <w:lang w:val="en-NZ"/>
        </w:rPr>
        <w:t>g.</w:t>
      </w:r>
      <w:r w:rsidR="00270656" w:rsidRPr="004635E5">
        <w:rPr>
          <w:sz w:val="22"/>
          <w:szCs w:val="22"/>
          <w:lang w:val="en-NZ"/>
        </w:rPr>
        <w:t>,</w:t>
      </w:r>
      <w:r w:rsidR="0039429B" w:rsidRPr="004635E5">
        <w:rPr>
          <w:sz w:val="22"/>
          <w:szCs w:val="22"/>
          <w:lang w:val="en-NZ"/>
        </w:rPr>
        <w:t xml:space="preserve"> </w:t>
      </w:r>
      <w:r w:rsidR="0019369B" w:rsidRPr="004635E5">
        <w:rPr>
          <w:sz w:val="22"/>
          <w:szCs w:val="22"/>
          <w:lang w:val="en-NZ"/>
        </w:rPr>
        <w:t>Hawaii</w:t>
      </w:r>
      <w:r w:rsidR="0039429B" w:rsidRPr="004635E5">
        <w:rPr>
          <w:sz w:val="22"/>
          <w:szCs w:val="22"/>
          <w:lang w:val="en-NZ"/>
        </w:rPr>
        <w:t xml:space="preserve">). </w:t>
      </w:r>
      <w:r w:rsidR="0019369B" w:rsidRPr="004635E5">
        <w:rPr>
          <w:sz w:val="22"/>
          <w:szCs w:val="22"/>
          <w:lang w:val="en-NZ"/>
        </w:rPr>
        <w:t xml:space="preserve">They queried whether using SST anomalies rather than the SOI would </w:t>
      </w:r>
      <w:r w:rsidR="0039429B" w:rsidRPr="004635E5">
        <w:rPr>
          <w:sz w:val="22"/>
          <w:szCs w:val="22"/>
          <w:lang w:val="en-NZ"/>
        </w:rPr>
        <w:t>help in reconciling this</w:t>
      </w:r>
      <w:r w:rsidR="0019369B" w:rsidRPr="004635E5">
        <w:rPr>
          <w:sz w:val="22"/>
          <w:szCs w:val="22"/>
          <w:lang w:val="en-NZ"/>
        </w:rPr>
        <w:t xml:space="preserve">. A. Langley noted that </w:t>
      </w:r>
      <w:r w:rsidR="0039429B" w:rsidRPr="004635E5">
        <w:rPr>
          <w:sz w:val="22"/>
          <w:szCs w:val="22"/>
          <w:lang w:val="en-NZ"/>
        </w:rPr>
        <w:t>SST an</w:t>
      </w:r>
      <w:r w:rsidR="0019369B" w:rsidRPr="004635E5">
        <w:rPr>
          <w:sz w:val="22"/>
          <w:szCs w:val="22"/>
          <w:lang w:val="en-NZ"/>
        </w:rPr>
        <w:t xml:space="preserve">omalies </w:t>
      </w:r>
      <w:r w:rsidR="0039429B" w:rsidRPr="004635E5">
        <w:rPr>
          <w:sz w:val="22"/>
          <w:szCs w:val="22"/>
          <w:lang w:val="en-NZ"/>
        </w:rPr>
        <w:t xml:space="preserve">are an expression </w:t>
      </w:r>
      <w:r w:rsidR="0019369B" w:rsidRPr="004635E5">
        <w:rPr>
          <w:sz w:val="22"/>
          <w:szCs w:val="22"/>
          <w:lang w:val="en-NZ"/>
        </w:rPr>
        <w:t xml:space="preserve">of </w:t>
      </w:r>
      <w:r w:rsidR="0039429B" w:rsidRPr="004635E5">
        <w:rPr>
          <w:sz w:val="22"/>
          <w:szCs w:val="22"/>
          <w:lang w:val="en-NZ"/>
        </w:rPr>
        <w:t>the change in ENSO across the Pacific</w:t>
      </w:r>
      <w:r w:rsidR="0019369B" w:rsidRPr="004635E5">
        <w:rPr>
          <w:sz w:val="22"/>
          <w:szCs w:val="22"/>
          <w:lang w:val="en-NZ"/>
        </w:rPr>
        <w:t>, and that ENSO affected not just temperature but oceanographic conditions more broadly</w:t>
      </w:r>
      <w:r w:rsidR="00743599" w:rsidRPr="004635E5">
        <w:rPr>
          <w:sz w:val="22"/>
          <w:szCs w:val="22"/>
          <w:lang w:val="en-NZ"/>
        </w:rPr>
        <w:t xml:space="preserve">, and this </w:t>
      </w:r>
      <w:r w:rsidR="0039429B" w:rsidRPr="004635E5">
        <w:rPr>
          <w:sz w:val="22"/>
          <w:szCs w:val="22"/>
          <w:lang w:val="en-NZ"/>
        </w:rPr>
        <w:t>may affect cat</w:t>
      </w:r>
      <w:r w:rsidR="0019369B" w:rsidRPr="004635E5">
        <w:rPr>
          <w:sz w:val="22"/>
          <w:szCs w:val="22"/>
          <w:lang w:val="en-NZ"/>
        </w:rPr>
        <w:t>c</w:t>
      </w:r>
      <w:r w:rsidR="0039429B" w:rsidRPr="004635E5">
        <w:rPr>
          <w:sz w:val="22"/>
          <w:szCs w:val="22"/>
          <w:lang w:val="en-NZ"/>
        </w:rPr>
        <w:t xml:space="preserve">hability. </w:t>
      </w:r>
      <w:r w:rsidR="00743599" w:rsidRPr="004635E5">
        <w:rPr>
          <w:sz w:val="22"/>
          <w:szCs w:val="22"/>
          <w:lang w:val="en-NZ"/>
        </w:rPr>
        <w:t>To unders</w:t>
      </w:r>
      <w:r w:rsidR="0019369B" w:rsidRPr="004635E5">
        <w:rPr>
          <w:sz w:val="22"/>
          <w:szCs w:val="22"/>
          <w:lang w:val="en-NZ"/>
        </w:rPr>
        <w:t>tand the process</w:t>
      </w:r>
      <w:r w:rsidR="00F81447">
        <w:rPr>
          <w:rFonts w:eastAsiaTheme="minorEastAsia" w:hint="eastAsia"/>
          <w:sz w:val="22"/>
          <w:szCs w:val="22"/>
          <w:lang w:val="en-NZ" w:eastAsia="ko-KR"/>
        </w:rPr>
        <w:t>,</w:t>
      </w:r>
      <w:r w:rsidR="0019369B" w:rsidRPr="004635E5">
        <w:rPr>
          <w:sz w:val="22"/>
          <w:szCs w:val="22"/>
          <w:lang w:val="en-NZ"/>
        </w:rPr>
        <w:t xml:space="preserve"> it would </w:t>
      </w:r>
      <w:r w:rsidR="0039429B" w:rsidRPr="004635E5">
        <w:rPr>
          <w:sz w:val="22"/>
          <w:szCs w:val="22"/>
          <w:lang w:val="en-NZ"/>
        </w:rPr>
        <w:t xml:space="preserve">be </w:t>
      </w:r>
      <w:r w:rsidR="0019369B" w:rsidRPr="004635E5">
        <w:rPr>
          <w:sz w:val="22"/>
          <w:szCs w:val="22"/>
          <w:lang w:val="en-NZ"/>
        </w:rPr>
        <w:t>beneficial to know species</w:t>
      </w:r>
      <w:r w:rsidR="00270656" w:rsidRPr="004635E5">
        <w:rPr>
          <w:sz w:val="22"/>
          <w:szCs w:val="22"/>
          <w:lang w:val="en-NZ"/>
        </w:rPr>
        <w:t>’</w:t>
      </w:r>
      <w:r w:rsidR="0019369B" w:rsidRPr="004635E5">
        <w:rPr>
          <w:sz w:val="22"/>
          <w:szCs w:val="22"/>
          <w:lang w:val="en-NZ"/>
        </w:rPr>
        <w:t xml:space="preserve"> </w:t>
      </w:r>
      <w:r w:rsidR="0039429B" w:rsidRPr="004635E5">
        <w:rPr>
          <w:sz w:val="22"/>
          <w:szCs w:val="22"/>
          <w:lang w:val="en-NZ"/>
        </w:rPr>
        <w:t>temp</w:t>
      </w:r>
      <w:r w:rsidR="0019369B" w:rsidRPr="004635E5">
        <w:rPr>
          <w:sz w:val="22"/>
          <w:szCs w:val="22"/>
          <w:lang w:val="en-NZ"/>
        </w:rPr>
        <w:t xml:space="preserve">erature </w:t>
      </w:r>
      <w:r w:rsidR="0039429B" w:rsidRPr="004635E5">
        <w:rPr>
          <w:sz w:val="22"/>
          <w:szCs w:val="22"/>
          <w:lang w:val="en-NZ"/>
        </w:rPr>
        <w:t>and habitat</w:t>
      </w:r>
      <w:r w:rsidR="0019369B" w:rsidRPr="004635E5">
        <w:rPr>
          <w:sz w:val="22"/>
          <w:szCs w:val="22"/>
          <w:lang w:val="en-NZ"/>
        </w:rPr>
        <w:t xml:space="preserve"> preferences</w:t>
      </w:r>
      <w:r w:rsidR="0039429B" w:rsidRPr="004635E5">
        <w:rPr>
          <w:sz w:val="22"/>
          <w:szCs w:val="22"/>
          <w:lang w:val="en-NZ"/>
        </w:rPr>
        <w:t xml:space="preserve">. </w:t>
      </w:r>
      <w:r w:rsidR="0019369B" w:rsidRPr="004635E5">
        <w:rPr>
          <w:sz w:val="22"/>
          <w:szCs w:val="22"/>
          <w:lang w:val="en-NZ"/>
        </w:rPr>
        <w:t xml:space="preserve">He noted ENSO </w:t>
      </w:r>
      <w:r w:rsidR="00270656" w:rsidRPr="004635E5">
        <w:rPr>
          <w:sz w:val="22"/>
          <w:szCs w:val="22"/>
          <w:lang w:val="en-NZ"/>
        </w:rPr>
        <w:t>impacts extend</w:t>
      </w:r>
      <w:r w:rsidR="0019369B" w:rsidRPr="004635E5">
        <w:rPr>
          <w:sz w:val="22"/>
          <w:szCs w:val="22"/>
          <w:lang w:val="en-NZ"/>
        </w:rPr>
        <w:t xml:space="preserve"> </w:t>
      </w:r>
      <w:r w:rsidR="00AE69D4" w:rsidRPr="004635E5">
        <w:rPr>
          <w:sz w:val="22"/>
          <w:szCs w:val="22"/>
          <w:lang w:val="en-NZ"/>
        </w:rPr>
        <w:t xml:space="preserve">beyond </w:t>
      </w:r>
      <w:r w:rsidR="0019369B" w:rsidRPr="004635E5">
        <w:rPr>
          <w:sz w:val="22"/>
          <w:szCs w:val="22"/>
          <w:lang w:val="en-NZ"/>
        </w:rPr>
        <w:t xml:space="preserve">the </w:t>
      </w:r>
      <w:r w:rsidR="00AE69D4" w:rsidRPr="004635E5">
        <w:rPr>
          <w:sz w:val="22"/>
          <w:szCs w:val="22"/>
          <w:lang w:val="en-NZ"/>
        </w:rPr>
        <w:t xml:space="preserve">equatorial area, into </w:t>
      </w:r>
      <w:r w:rsidR="0019369B" w:rsidRPr="004635E5">
        <w:rPr>
          <w:sz w:val="22"/>
          <w:szCs w:val="22"/>
          <w:lang w:val="en-NZ"/>
        </w:rPr>
        <w:t xml:space="preserve">the </w:t>
      </w:r>
      <w:r w:rsidR="00AE69D4" w:rsidRPr="004635E5">
        <w:rPr>
          <w:sz w:val="22"/>
          <w:szCs w:val="22"/>
          <w:lang w:val="en-NZ"/>
        </w:rPr>
        <w:t xml:space="preserve">SW </w:t>
      </w:r>
      <w:r w:rsidR="0019369B" w:rsidRPr="004635E5">
        <w:rPr>
          <w:sz w:val="22"/>
          <w:szCs w:val="22"/>
          <w:lang w:val="en-NZ"/>
        </w:rPr>
        <w:t xml:space="preserve">Pacific, </w:t>
      </w:r>
      <w:r w:rsidR="00270656" w:rsidRPr="004635E5">
        <w:rPr>
          <w:sz w:val="22"/>
          <w:szCs w:val="22"/>
          <w:lang w:val="en-NZ"/>
        </w:rPr>
        <w:t>with contraction of</w:t>
      </w:r>
      <w:r w:rsidR="00AE69D4" w:rsidRPr="004635E5">
        <w:rPr>
          <w:sz w:val="22"/>
          <w:szCs w:val="22"/>
          <w:lang w:val="en-NZ"/>
        </w:rPr>
        <w:t xml:space="preserve"> </w:t>
      </w:r>
      <w:r w:rsidR="0019369B" w:rsidRPr="004635E5">
        <w:rPr>
          <w:sz w:val="22"/>
          <w:szCs w:val="22"/>
          <w:lang w:val="en-NZ"/>
        </w:rPr>
        <w:t xml:space="preserve">the warm </w:t>
      </w:r>
      <w:r w:rsidR="00AE69D4" w:rsidRPr="004635E5">
        <w:rPr>
          <w:sz w:val="22"/>
          <w:szCs w:val="22"/>
          <w:lang w:val="en-NZ"/>
        </w:rPr>
        <w:t xml:space="preserve">pool to </w:t>
      </w:r>
      <w:r w:rsidR="0019369B" w:rsidRPr="004635E5">
        <w:rPr>
          <w:sz w:val="22"/>
          <w:szCs w:val="22"/>
          <w:lang w:val="en-NZ"/>
        </w:rPr>
        <w:t xml:space="preserve">the </w:t>
      </w:r>
      <w:r w:rsidR="00AE69D4" w:rsidRPr="004635E5">
        <w:rPr>
          <w:sz w:val="22"/>
          <w:szCs w:val="22"/>
          <w:lang w:val="en-NZ"/>
        </w:rPr>
        <w:t>western side</w:t>
      </w:r>
      <w:r w:rsidR="0019369B" w:rsidRPr="004635E5">
        <w:rPr>
          <w:sz w:val="22"/>
          <w:szCs w:val="22"/>
          <w:lang w:val="en-NZ"/>
        </w:rPr>
        <w:t xml:space="preserve">, and </w:t>
      </w:r>
      <w:r w:rsidR="00AE69D4" w:rsidRPr="004635E5">
        <w:rPr>
          <w:sz w:val="22"/>
          <w:szCs w:val="22"/>
          <w:lang w:val="en-NZ"/>
        </w:rPr>
        <w:t xml:space="preserve">affects </w:t>
      </w:r>
      <w:r w:rsidR="00270656" w:rsidRPr="004635E5">
        <w:rPr>
          <w:sz w:val="22"/>
          <w:szCs w:val="22"/>
          <w:lang w:val="en-NZ"/>
        </w:rPr>
        <w:t xml:space="preserve">on </w:t>
      </w:r>
      <w:r w:rsidR="00AE69D4" w:rsidRPr="004635E5">
        <w:rPr>
          <w:sz w:val="22"/>
          <w:szCs w:val="22"/>
          <w:lang w:val="en-NZ"/>
        </w:rPr>
        <w:t xml:space="preserve">isotherms in </w:t>
      </w:r>
      <w:r w:rsidR="0019369B" w:rsidRPr="004635E5">
        <w:rPr>
          <w:sz w:val="22"/>
          <w:szCs w:val="22"/>
          <w:lang w:val="en-NZ"/>
        </w:rPr>
        <w:t>the southern area.</w:t>
      </w:r>
      <w:r w:rsidR="00AE69D4" w:rsidRPr="004635E5">
        <w:rPr>
          <w:sz w:val="22"/>
          <w:szCs w:val="22"/>
          <w:lang w:val="en-NZ"/>
        </w:rPr>
        <w:t xml:space="preserve"> </w:t>
      </w:r>
    </w:p>
    <w:p w14:paraId="7F7CC8E6" w14:textId="77777777" w:rsidR="00F46AB9" w:rsidRPr="004635E5" w:rsidRDefault="00F46AB9" w:rsidP="006633A8">
      <w:pPr>
        <w:autoSpaceDE w:val="0"/>
        <w:autoSpaceDN w:val="0"/>
        <w:adjustRightInd w:val="0"/>
        <w:snapToGrid w:val="0"/>
        <w:jc w:val="both"/>
        <w:rPr>
          <w:sz w:val="22"/>
          <w:szCs w:val="22"/>
          <w:lang w:val="en-NZ"/>
        </w:rPr>
      </w:pPr>
    </w:p>
    <w:p w14:paraId="71342CDE" w14:textId="77777777" w:rsidR="00AE69D4" w:rsidRPr="004635E5" w:rsidRDefault="00AE69D4"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RMI</w:t>
      </w:r>
      <w:r w:rsidR="0019369B" w:rsidRPr="004635E5">
        <w:rPr>
          <w:sz w:val="22"/>
          <w:szCs w:val="22"/>
          <w:lang w:val="en-NZ"/>
        </w:rPr>
        <w:t xml:space="preserve"> on behalf of </w:t>
      </w:r>
      <w:r w:rsidR="00731153" w:rsidRPr="004635E5">
        <w:rPr>
          <w:sz w:val="22"/>
          <w:szCs w:val="22"/>
          <w:lang w:val="en-NZ"/>
        </w:rPr>
        <w:t xml:space="preserve">FFA </w:t>
      </w:r>
      <w:r w:rsidR="0019369B" w:rsidRPr="004635E5">
        <w:rPr>
          <w:sz w:val="22"/>
          <w:szCs w:val="22"/>
          <w:lang w:val="en-NZ"/>
        </w:rPr>
        <w:t>m</w:t>
      </w:r>
      <w:r w:rsidR="00731153" w:rsidRPr="004635E5">
        <w:rPr>
          <w:sz w:val="22"/>
          <w:szCs w:val="22"/>
          <w:lang w:val="en-NZ"/>
        </w:rPr>
        <w:t>embers thank</w:t>
      </w:r>
      <w:r w:rsidR="0019369B" w:rsidRPr="004635E5">
        <w:rPr>
          <w:sz w:val="22"/>
          <w:szCs w:val="22"/>
          <w:lang w:val="en-NZ"/>
        </w:rPr>
        <w:t>ed</w:t>
      </w:r>
      <w:r w:rsidR="00731153" w:rsidRPr="004635E5">
        <w:rPr>
          <w:sz w:val="22"/>
          <w:szCs w:val="22"/>
          <w:lang w:val="en-NZ"/>
        </w:rPr>
        <w:t xml:space="preserve"> the team for the Pacific-wide assessment</w:t>
      </w:r>
      <w:r w:rsidR="00270656" w:rsidRPr="004635E5">
        <w:rPr>
          <w:sz w:val="22"/>
          <w:szCs w:val="22"/>
          <w:lang w:val="en-NZ"/>
        </w:rPr>
        <w:t>, noting</w:t>
      </w:r>
      <w:r w:rsidR="00731153" w:rsidRPr="004635E5">
        <w:rPr>
          <w:sz w:val="22"/>
          <w:szCs w:val="22"/>
          <w:lang w:val="en-NZ"/>
        </w:rPr>
        <w:t xml:space="preserve"> the advice in the paper that </w:t>
      </w:r>
      <w:r w:rsidR="00270656" w:rsidRPr="004635E5">
        <w:rPr>
          <w:sz w:val="22"/>
          <w:szCs w:val="22"/>
          <w:lang w:val="en-NZ"/>
        </w:rPr>
        <w:t>Pacific-</w:t>
      </w:r>
      <w:r w:rsidR="00731153" w:rsidRPr="004635E5">
        <w:rPr>
          <w:sz w:val="22"/>
          <w:szCs w:val="22"/>
          <w:lang w:val="en-NZ"/>
        </w:rPr>
        <w:t xml:space="preserve">wide new assessment results </w:t>
      </w:r>
      <w:r w:rsidR="00270656" w:rsidRPr="004635E5">
        <w:rPr>
          <w:sz w:val="22"/>
          <w:szCs w:val="22"/>
          <w:lang w:val="en-NZ"/>
        </w:rPr>
        <w:t xml:space="preserve">were </w:t>
      </w:r>
      <w:r w:rsidR="00731153" w:rsidRPr="004635E5">
        <w:rPr>
          <w:sz w:val="22"/>
          <w:szCs w:val="22"/>
          <w:lang w:val="en-NZ"/>
        </w:rPr>
        <w:t>unreliable</w:t>
      </w:r>
      <w:r w:rsidR="00270656" w:rsidRPr="004635E5">
        <w:rPr>
          <w:sz w:val="22"/>
          <w:szCs w:val="22"/>
          <w:lang w:val="en-NZ"/>
        </w:rPr>
        <w:t>,</w:t>
      </w:r>
      <w:r w:rsidR="00731153" w:rsidRPr="004635E5">
        <w:rPr>
          <w:sz w:val="22"/>
          <w:szCs w:val="22"/>
          <w:lang w:val="en-NZ"/>
        </w:rPr>
        <w:t xml:space="preserve"> and the authors </w:t>
      </w:r>
      <w:r w:rsidR="00270656" w:rsidRPr="004635E5">
        <w:rPr>
          <w:sz w:val="22"/>
          <w:szCs w:val="22"/>
          <w:lang w:val="en-NZ"/>
        </w:rPr>
        <w:t xml:space="preserve">were </w:t>
      </w:r>
      <w:r w:rsidR="00731153" w:rsidRPr="004635E5">
        <w:rPr>
          <w:sz w:val="22"/>
          <w:szCs w:val="22"/>
          <w:lang w:val="en-NZ"/>
        </w:rPr>
        <w:t>therefore unable to reach conclusions on stock status and management advice</w:t>
      </w:r>
      <w:r w:rsidR="00A16680" w:rsidRPr="004635E5">
        <w:rPr>
          <w:sz w:val="22"/>
          <w:szCs w:val="22"/>
          <w:lang w:val="en-NZ"/>
        </w:rPr>
        <w:t xml:space="preserve">. </w:t>
      </w:r>
      <w:r w:rsidR="00731153" w:rsidRPr="004635E5">
        <w:rPr>
          <w:sz w:val="22"/>
          <w:szCs w:val="22"/>
          <w:lang w:val="en-NZ"/>
        </w:rPr>
        <w:t>However</w:t>
      </w:r>
      <w:r w:rsidR="00270656" w:rsidRPr="004635E5">
        <w:rPr>
          <w:sz w:val="22"/>
          <w:szCs w:val="22"/>
          <w:lang w:val="en-NZ"/>
        </w:rPr>
        <w:t>,</w:t>
      </w:r>
      <w:r w:rsidR="00731153" w:rsidRPr="004635E5">
        <w:rPr>
          <w:sz w:val="22"/>
          <w:szCs w:val="22"/>
          <w:lang w:val="en-NZ"/>
        </w:rPr>
        <w:t xml:space="preserve"> the WCPO-only </w:t>
      </w:r>
      <w:r w:rsidR="00270656" w:rsidRPr="004635E5">
        <w:rPr>
          <w:sz w:val="22"/>
          <w:szCs w:val="22"/>
          <w:lang w:val="en-NZ"/>
        </w:rPr>
        <w:t xml:space="preserve">2018 </w:t>
      </w:r>
      <w:r w:rsidR="00731153" w:rsidRPr="004635E5">
        <w:rPr>
          <w:sz w:val="22"/>
          <w:szCs w:val="22"/>
          <w:lang w:val="en-NZ"/>
        </w:rPr>
        <w:t xml:space="preserve">assessment </w:t>
      </w:r>
      <w:r w:rsidR="00270656" w:rsidRPr="004635E5">
        <w:rPr>
          <w:sz w:val="22"/>
          <w:szCs w:val="22"/>
          <w:lang w:val="en-NZ"/>
        </w:rPr>
        <w:t xml:space="preserve">is </w:t>
      </w:r>
      <w:r w:rsidR="00731153" w:rsidRPr="004635E5">
        <w:rPr>
          <w:sz w:val="22"/>
          <w:szCs w:val="22"/>
          <w:lang w:val="en-NZ"/>
        </w:rPr>
        <w:t xml:space="preserve">less pessimistic </w:t>
      </w:r>
      <w:r w:rsidR="00270656" w:rsidRPr="004635E5">
        <w:rPr>
          <w:sz w:val="22"/>
          <w:szCs w:val="22"/>
          <w:lang w:val="en-NZ"/>
        </w:rPr>
        <w:t xml:space="preserve">regarding </w:t>
      </w:r>
      <w:r w:rsidR="00731153" w:rsidRPr="004635E5">
        <w:rPr>
          <w:sz w:val="22"/>
          <w:szCs w:val="22"/>
          <w:lang w:val="en-NZ"/>
        </w:rPr>
        <w:t xml:space="preserve">WCPO silky shark stock status compared to the 2013 assessments. </w:t>
      </w:r>
      <w:r w:rsidR="00270656" w:rsidRPr="004635E5">
        <w:rPr>
          <w:sz w:val="22"/>
          <w:szCs w:val="22"/>
          <w:lang w:val="en-NZ"/>
        </w:rPr>
        <w:t xml:space="preserve">They suggested </w:t>
      </w:r>
      <w:r w:rsidR="00731153" w:rsidRPr="004635E5">
        <w:rPr>
          <w:sz w:val="22"/>
          <w:szCs w:val="22"/>
          <w:lang w:val="en-NZ"/>
        </w:rPr>
        <w:t xml:space="preserve">the slight improvement in the stock status </w:t>
      </w:r>
      <w:r w:rsidR="00270656" w:rsidRPr="004635E5">
        <w:rPr>
          <w:sz w:val="22"/>
          <w:szCs w:val="22"/>
          <w:lang w:val="en-NZ"/>
        </w:rPr>
        <w:t xml:space="preserve">had </w:t>
      </w:r>
      <w:r w:rsidR="00731153" w:rsidRPr="004635E5">
        <w:rPr>
          <w:sz w:val="22"/>
          <w:szCs w:val="22"/>
          <w:lang w:val="en-NZ"/>
        </w:rPr>
        <w:t xml:space="preserve">little to do with </w:t>
      </w:r>
      <w:r w:rsidR="00270656" w:rsidRPr="004635E5">
        <w:rPr>
          <w:sz w:val="22"/>
          <w:szCs w:val="22"/>
          <w:lang w:val="en-NZ"/>
        </w:rPr>
        <w:t xml:space="preserve">the impact of </w:t>
      </w:r>
      <w:r w:rsidR="00731153" w:rsidRPr="004635E5">
        <w:rPr>
          <w:sz w:val="22"/>
          <w:szCs w:val="22"/>
          <w:lang w:val="en-NZ"/>
        </w:rPr>
        <w:t>CMM</w:t>
      </w:r>
      <w:r w:rsidR="00BF33C5">
        <w:rPr>
          <w:rFonts w:eastAsiaTheme="minorEastAsia" w:hint="eastAsia"/>
          <w:sz w:val="22"/>
          <w:szCs w:val="22"/>
          <w:lang w:val="en-NZ" w:eastAsia="ko-KR"/>
        </w:rPr>
        <w:t xml:space="preserve"> </w:t>
      </w:r>
      <w:r w:rsidR="00731153" w:rsidRPr="004635E5">
        <w:rPr>
          <w:sz w:val="22"/>
          <w:szCs w:val="22"/>
          <w:lang w:val="en-NZ"/>
        </w:rPr>
        <w:t>2013-0</w:t>
      </w:r>
      <w:r w:rsidR="00BF33C5">
        <w:rPr>
          <w:rFonts w:eastAsiaTheme="minorEastAsia" w:hint="eastAsia"/>
          <w:sz w:val="22"/>
          <w:szCs w:val="22"/>
          <w:lang w:val="en-NZ" w:eastAsia="ko-KR"/>
        </w:rPr>
        <w:t>8</w:t>
      </w:r>
      <w:r w:rsidR="00731153" w:rsidRPr="004635E5">
        <w:rPr>
          <w:sz w:val="22"/>
          <w:szCs w:val="22"/>
          <w:lang w:val="en-NZ"/>
        </w:rPr>
        <w:t>.</w:t>
      </w:r>
      <w:r w:rsidR="0019369B" w:rsidRPr="004635E5">
        <w:rPr>
          <w:sz w:val="22"/>
          <w:szCs w:val="22"/>
          <w:lang w:val="en-NZ"/>
        </w:rPr>
        <w:t xml:space="preserve"> </w:t>
      </w:r>
      <w:r w:rsidR="00270656" w:rsidRPr="004635E5">
        <w:rPr>
          <w:sz w:val="22"/>
          <w:szCs w:val="22"/>
          <w:lang w:val="en-NZ"/>
        </w:rPr>
        <w:t xml:space="preserve">They </w:t>
      </w:r>
      <w:r w:rsidR="00731153" w:rsidRPr="004635E5">
        <w:rPr>
          <w:sz w:val="22"/>
          <w:szCs w:val="22"/>
          <w:lang w:val="en-NZ"/>
        </w:rPr>
        <w:t>note</w:t>
      </w:r>
      <w:r w:rsidR="00270656" w:rsidRPr="004635E5">
        <w:rPr>
          <w:sz w:val="22"/>
          <w:szCs w:val="22"/>
          <w:lang w:val="en-NZ"/>
        </w:rPr>
        <w:t>d</w:t>
      </w:r>
      <w:r w:rsidR="00731153" w:rsidRPr="004635E5">
        <w:rPr>
          <w:sz w:val="22"/>
          <w:szCs w:val="22"/>
          <w:lang w:val="en-NZ"/>
        </w:rPr>
        <w:t xml:space="preserve"> the conclusion that </w:t>
      </w:r>
      <w:r w:rsidR="00270656" w:rsidRPr="004635E5">
        <w:rPr>
          <w:sz w:val="22"/>
          <w:szCs w:val="22"/>
          <w:lang w:val="en-NZ"/>
        </w:rPr>
        <w:t>s</w:t>
      </w:r>
      <w:r w:rsidR="00731153" w:rsidRPr="004635E5">
        <w:rPr>
          <w:sz w:val="22"/>
          <w:szCs w:val="22"/>
          <w:lang w:val="en-NZ"/>
        </w:rPr>
        <w:t xml:space="preserve">ilky shark is not overfished in the WCPO relative to MSY, and that overfishing is occurring, following </w:t>
      </w:r>
      <w:r w:rsidR="004334BB" w:rsidRPr="004635E5">
        <w:rPr>
          <w:sz w:val="22"/>
          <w:szCs w:val="22"/>
          <w:lang w:val="en-NZ"/>
        </w:rPr>
        <w:t>SC14-</w:t>
      </w:r>
      <w:r w:rsidR="00731153" w:rsidRPr="004635E5">
        <w:rPr>
          <w:sz w:val="22"/>
          <w:szCs w:val="22"/>
          <w:lang w:val="en-NZ"/>
        </w:rPr>
        <w:t>SA-WP</w:t>
      </w:r>
      <w:r w:rsidR="004334BB" w:rsidRPr="004635E5">
        <w:rPr>
          <w:sz w:val="22"/>
          <w:szCs w:val="22"/>
          <w:lang w:val="en-NZ"/>
        </w:rPr>
        <w:t>-</w:t>
      </w:r>
      <w:r w:rsidR="00731153" w:rsidRPr="004635E5">
        <w:rPr>
          <w:sz w:val="22"/>
          <w:szCs w:val="22"/>
          <w:lang w:val="en-NZ"/>
        </w:rPr>
        <w:t>08a</w:t>
      </w:r>
      <w:r w:rsidR="00A16680" w:rsidRPr="004635E5">
        <w:rPr>
          <w:sz w:val="22"/>
          <w:szCs w:val="22"/>
          <w:lang w:val="en-NZ"/>
        </w:rPr>
        <w:t xml:space="preserve">. </w:t>
      </w:r>
      <w:r w:rsidR="00731153" w:rsidRPr="004635E5">
        <w:rPr>
          <w:sz w:val="22"/>
          <w:szCs w:val="22"/>
          <w:lang w:val="en-NZ"/>
        </w:rPr>
        <w:t xml:space="preserve">However, </w:t>
      </w:r>
      <w:r w:rsidR="00270656" w:rsidRPr="004635E5">
        <w:rPr>
          <w:sz w:val="22"/>
          <w:szCs w:val="22"/>
          <w:lang w:val="en-NZ"/>
        </w:rPr>
        <w:t xml:space="preserve">irrespective of </w:t>
      </w:r>
      <w:r w:rsidR="00731153" w:rsidRPr="004635E5">
        <w:rPr>
          <w:sz w:val="22"/>
          <w:szCs w:val="22"/>
          <w:lang w:val="en-NZ"/>
        </w:rPr>
        <w:t xml:space="preserve">the uncertainty and related challenges of the new Pacific-wide assessment, FFA members believe that an inconclusive new assessment </w:t>
      </w:r>
      <w:r w:rsidR="00270656" w:rsidRPr="004635E5">
        <w:rPr>
          <w:sz w:val="22"/>
          <w:szCs w:val="22"/>
          <w:lang w:val="en-NZ"/>
        </w:rPr>
        <w:t xml:space="preserve">did </w:t>
      </w:r>
      <w:r w:rsidR="00731153" w:rsidRPr="004635E5">
        <w:rPr>
          <w:sz w:val="22"/>
          <w:szCs w:val="22"/>
          <w:lang w:val="en-NZ"/>
        </w:rPr>
        <w:t xml:space="preserve">not necessarily mean that there should be no new advice. FFA members believe that the SC can advise the Commission on the basis of emerging trends in fishing effort and catch in the WCPO since the </w:t>
      </w:r>
      <w:r w:rsidR="00270656" w:rsidRPr="004635E5">
        <w:rPr>
          <w:sz w:val="22"/>
          <w:szCs w:val="22"/>
          <w:lang w:val="en-NZ"/>
        </w:rPr>
        <w:t xml:space="preserve">prior </w:t>
      </w:r>
      <w:r w:rsidR="00731153" w:rsidRPr="004635E5">
        <w:rPr>
          <w:sz w:val="22"/>
          <w:szCs w:val="22"/>
          <w:lang w:val="en-NZ"/>
        </w:rPr>
        <w:t>assessment</w:t>
      </w:r>
      <w:r w:rsidR="00270656" w:rsidRPr="004635E5">
        <w:rPr>
          <w:sz w:val="22"/>
          <w:szCs w:val="22"/>
          <w:lang w:val="en-NZ"/>
        </w:rPr>
        <w:t>,</w:t>
      </w:r>
      <w:r w:rsidR="00731153" w:rsidRPr="004635E5">
        <w:rPr>
          <w:sz w:val="22"/>
          <w:szCs w:val="22"/>
          <w:lang w:val="en-NZ"/>
        </w:rPr>
        <w:t xml:space="preserve"> and </w:t>
      </w:r>
      <w:r w:rsidR="00270656" w:rsidRPr="004635E5">
        <w:rPr>
          <w:sz w:val="22"/>
          <w:szCs w:val="22"/>
          <w:lang w:val="en-NZ"/>
        </w:rPr>
        <w:t xml:space="preserve">advise </w:t>
      </w:r>
      <w:r w:rsidR="00731153" w:rsidRPr="004635E5">
        <w:rPr>
          <w:sz w:val="22"/>
          <w:szCs w:val="22"/>
          <w:lang w:val="en-NZ"/>
        </w:rPr>
        <w:t>on the benefits, if any, of the current silky shark CMM.</w:t>
      </w:r>
      <w:r w:rsidR="0019369B" w:rsidRPr="004635E5">
        <w:rPr>
          <w:sz w:val="22"/>
          <w:szCs w:val="22"/>
          <w:lang w:val="en-NZ"/>
        </w:rPr>
        <w:t xml:space="preserve"> </w:t>
      </w:r>
      <w:r w:rsidR="00731153" w:rsidRPr="004635E5">
        <w:rPr>
          <w:sz w:val="22"/>
          <w:szCs w:val="22"/>
          <w:lang w:val="en-NZ"/>
        </w:rPr>
        <w:t>Despite</w:t>
      </w:r>
      <w:r w:rsidR="00731153" w:rsidRPr="004635E5">
        <w:rPr>
          <w:sz w:val="22"/>
          <w:szCs w:val="22"/>
        </w:rPr>
        <w:t xml:space="preserve"> the results, WCPO silky shark remain in poor shape, and continue</w:t>
      </w:r>
      <w:r w:rsidR="00270656" w:rsidRPr="004635E5">
        <w:rPr>
          <w:sz w:val="22"/>
          <w:szCs w:val="22"/>
        </w:rPr>
        <w:t>s</w:t>
      </w:r>
      <w:r w:rsidR="00731153" w:rsidRPr="004635E5">
        <w:rPr>
          <w:sz w:val="22"/>
          <w:szCs w:val="22"/>
        </w:rPr>
        <w:t xml:space="preserve"> to be</w:t>
      </w:r>
      <w:r w:rsidR="00F81EF0">
        <w:rPr>
          <w:sz w:val="22"/>
          <w:szCs w:val="22"/>
        </w:rPr>
        <w:t xml:space="preserve"> </w:t>
      </w:r>
      <w:r w:rsidR="00731153" w:rsidRPr="004635E5">
        <w:rPr>
          <w:sz w:val="22"/>
          <w:szCs w:val="22"/>
        </w:rPr>
        <w:t>the one of the two dominant bycatch shark species in WCPO tuna fisheries</w:t>
      </w:r>
      <w:r w:rsidR="00270656" w:rsidRPr="004635E5">
        <w:rPr>
          <w:sz w:val="22"/>
          <w:szCs w:val="22"/>
        </w:rPr>
        <w:t xml:space="preserve">, making </w:t>
      </w:r>
      <w:r w:rsidR="00731153" w:rsidRPr="004635E5">
        <w:rPr>
          <w:sz w:val="22"/>
          <w:szCs w:val="22"/>
        </w:rPr>
        <w:t xml:space="preserve">up nearly 90% of </w:t>
      </w:r>
      <w:r w:rsidR="00270656" w:rsidRPr="004635E5">
        <w:rPr>
          <w:sz w:val="22"/>
          <w:szCs w:val="22"/>
        </w:rPr>
        <w:t xml:space="preserve">shark </w:t>
      </w:r>
      <w:r w:rsidR="00731153" w:rsidRPr="004635E5">
        <w:rPr>
          <w:sz w:val="22"/>
          <w:szCs w:val="22"/>
        </w:rPr>
        <w:t>bycatch in WCPFC purse seine fisheries</w:t>
      </w:r>
      <w:r w:rsidR="00270656" w:rsidRPr="004635E5">
        <w:rPr>
          <w:sz w:val="22"/>
          <w:szCs w:val="22"/>
        </w:rPr>
        <w:t xml:space="preserve"> in 2017, and apparently </w:t>
      </w:r>
      <w:r w:rsidR="00771709">
        <w:rPr>
          <w:rFonts w:eastAsiaTheme="minorEastAsia" w:hint="eastAsia"/>
          <w:sz w:val="22"/>
          <w:szCs w:val="22"/>
          <w:lang w:eastAsia="ko-KR"/>
        </w:rPr>
        <w:t>remaining</w:t>
      </w:r>
      <w:r w:rsidR="00771709" w:rsidRPr="004635E5">
        <w:rPr>
          <w:sz w:val="22"/>
          <w:szCs w:val="22"/>
        </w:rPr>
        <w:t xml:space="preserve"> </w:t>
      </w:r>
      <w:r w:rsidR="00731153" w:rsidRPr="004635E5">
        <w:rPr>
          <w:sz w:val="22"/>
          <w:szCs w:val="22"/>
        </w:rPr>
        <w:t xml:space="preserve">dominant in the catch </w:t>
      </w:r>
      <w:r w:rsidR="00270656" w:rsidRPr="004635E5">
        <w:rPr>
          <w:sz w:val="22"/>
          <w:szCs w:val="22"/>
        </w:rPr>
        <w:t>in 2018</w:t>
      </w:r>
      <w:r w:rsidR="00731153" w:rsidRPr="004635E5">
        <w:rPr>
          <w:sz w:val="22"/>
          <w:szCs w:val="22"/>
        </w:rPr>
        <w:t>, according to Part 1 reports.</w:t>
      </w:r>
      <w:r w:rsidR="003E0684" w:rsidRPr="004635E5">
        <w:rPr>
          <w:sz w:val="22"/>
          <w:szCs w:val="22"/>
        </w:rPr>
        <w:t xml:space="preserve"> </w:t>
      </w:r>
      <w:r w:rsidR="00731153" w:rsidRPr="004635E5">
        <w:rPr>
          <w:sz w:val="22"/>
          <w:szCs w:val="22"/>
          <w:lang w:val="en-NZ"/>
        </w:rPr>
        <w:t>FFA members agree</w:t>
      </w:r>
      <w:r w:rsidR="00270656" w:rsidRPr="004635E5">
        <w:rPr>
          <w:sz w:val="22"/>
          <w:szCs w:val="22"/>
          <w:lang w:val="en-NZ"/>
        </w:rPr>
        <w:t>d</w:t>
      </w:r>
      <w:r w:rsidR="00731153" w:rsidRPr="004635E5">
        <w:rPr>
          <w:sz w:val="22"/>
          <w:szCs w:val="22"/>
          <w:lang w:val="en-NZ"/>
        </w:rPr>
        <w:t xml:space="preserve"> with the suggestion in the paper that precautionary management actions should be taken on the basis of the previous stock assessment, and note</w:t>
      </w:r>
      <w:r w:rsidR="00270656" w:rsidRPr="004635E5">
        <w:rPr>
          <w:sz w:val="22"/>
          <w:szCs w:val="22"/>
          <w:lang w:val="en-NZ"/>
        </w:rPr>
        <w:t>d</w:t>
      </w:r>
      <w:r w:rsidR="00731153" w:rsidRPr="004635E5">
        <w:rPr>
          <w:sz w:val="22"/>
          <w:szCs w:val="22"/>
          <w:lang w:val="en-NZ"/>
        </w:rPr>
        <w:t xml:space="preserve"> that, because this assessment was inconclusive, the previous advice from SC9 should be maintained. </w:t>
      </w:r>
      <w:r w:rsidR="00270656" w:rsidRPr="004635E5">
        <w:rPr>
          <w:sz w:val="22"/>
          <w:szCs w:val="22"/>
          <w:lang w:val="en-NZ"/>
        </w:rPr>
        <w:t xml:space="preserve">In response, </w:t>
      </w:r>
      <w:r w:rsidR="0019369B" w:rsidRPr="004635E5">
        <w:rPr>
          <w:sz w:val="22"/>
          <w:szCs w:val="22"/>
          <w:lang w:val="en-NZ"/>
        </w:rPr>
        <w:t xml:space="preserve">S. Clarke clarified that the </w:t>
      </w:r>
      <w:r w:rsidRPr="004635E5">
        <w:rPr>
          <w:sz w:val="22"/>
          <w:szCs w:val="22"/>
          <w:lang w:val="en-NZ"/>
        </w:rPr>
        <w:t>assessment suggest</w:t>
      </w:r>
      <w:r w:rsidR="0019369B" w:rsidRPr="004635E5">
        <w:rPr>
          <w:sz w:val="22"/>
          <w:szCs w:val="22"/>
          <w:lang w:val="en-NZ"/>
        </w:rPr>
        <w:t>ed</w:t>
      </w:r>
      <w:r w:rsidRPr="004635E5">
        <w:rPr>
          <w:sz w:val="22"/>
          <w:szCs w:val="22"/>
          <w:lang w:val="en-NZ"/>
        </w:rPr>
        <w:t xml:space="preserve"> </w:t>
      </w:r>
      <w:r w:rsidR="0019369B" w:rsidRPr="004635E5">
        <w:rPr>
          <w:sz w:val="22"/>
          <w:szCs w:val="22"/>
          <w:lang w:val="en-NZ"/>
        </w:rPr>
        <w:t>the no-</w:t>
      </w:r>
      <w:r w:rsidRPr="004635E5">
        <w:rPr>
          <w:sz w:val="22"/>
          <w:szCs w:val="22"/>
          <w:lang w:val="en-NZ"/>
        </w:rPr>
        <w:t>retention measure be mai</w:t>
      </w:r>
      <w:r w:rsidR="0019369B" w:rsidRPr="004635E5">
        <w:rPr>
          <w:sz w:val="22"/>
          <w:szCs w:val="22"/>
          <w:lang w:val="en-NZ"/>
        </w:rPr>
        <w:t>n</w:t>
      </w:r>
      <w:r w:rsidRPr="004635E5">
        <w:rPr>
          <w:sz w:val="22"/>
          <w:szCs w:val="22"/>
          <w:lang w:val="en-NZ"/>
        </w:rPr>
        <w:t>ta</w:t>
      </w:r>
      <w:r w:rsidR="0019369B" w:rsidRPr="004635E5">
        <w:rPr>
          <w:sz w:val="22"/>
          <w:szCs w:val="22"/>
          <w:lang w:val="en-NZ"/>
        </w:rPr>
        <w:t>i</w:t>
      </w:r>
      <w:r w:rsidRPr="004635E5">
        <w:rPr>
          <w:sz w:val="22"/>
          <w:szCs w:val="22"/>
          <w:lang w:val="en-NZ"/>
        </w:rPr>
        <w:t xml:space="preserve">ned, </w:t>
      </w:r>
      <w:r w:rsidR="0019369B" w:rsidRPr="004635E5">
        <w:rPr>
          <w:sz w:val="22"/>
          <w:szCs w:val="22"/>
          <w:lang w:val="en-NZ"/>
        </w:rPr>
        <w:t>and F be reduced</w:t>
      </w:r>
      <w:r w:rsidRPr="004635E5">
        <w:rPr>
          <w:sz w:val="22"/>
          <w:szCs w:val="22"/>
          <w:lang w:val="en-NZ"/>
        </w:rPr>
        <w:t>, because fishing</w:t>
      </w:r>
      <w:r w:rsidR="00771709">
        <w:rPr>
          <w:rFonts w:eastAsiaTheme="minorEastAsia" w:hint="eastAsia"/>
          <w:sz w:val="22"/>
          <w:szCs w:val="22"/>
          <w:lang w:val="en-NZ" w:eastAsia="ko-KR"/>
        </w:rPr>
        <w:t xml:space="preserve"> mortality</w:t>
      </w:r>
      <w:r w:rsidRPr="004635E5">
        <w:rPr>
          <w:sz w:val="22"/>
          <w:szCs w:val="22"/>
          <w:lang w:val="en-NZ"/>
        </w:rPr>
        <w:t xml:space="preserve"> is unsustainable.</w:t>
      </w:r>
    </w:p>
    <w:p w14:paraId="79AA30AA" w14:textId="77777777" w:rsidR="00F46AB9" w:rsidRPr="004635E5" w:rsidRDefault="00F46AB9" w:rsidP="006633A8">
      <w:pPr>
        <w:autoSpaceDE w:val="0"/>
        <w:autoSpaceDN w:val="0"/>
        <w:adjustRightInd w:val="0"/>
        <w:snapToGrid w:val="0"/>
        <w:jc w:val="both"/>
        <w:rPr>
          <w:sz w:val="22"/>
          <w:szCs w:val="22"/>
          <w:lang w:val="en-NZ"/>
        </w:rPr>
      </w:pPr>
    </w:p>
    <w:p w14:paraId="1119D8E1" w14:textId="77777777" w:rsidR="00AE69D4" w:rsidRPr="004635E5" w:rsidRDefault="0019369B"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In response to a comment from the </w:t>
      </w:r>
      <w:r w:rsidR="00AE69D4" w:rsidRPr="004635E5">
        <w:rPr>
          <w:sz w:val="22"/>
          <w:szCs w:val="22"/>
          <w:lang w:val="en-NZ"/>
        </w:rPr>
        <w:t>USA</w:t>
      </w:r>
      <w:r w:rsidRPr="004635E5">
        <w:rPr>
          <w:sz w:val="22"/>
          <w:szCs w:val="22"/>
          <w:lang w:val="en-NZ"/>
        </w:rPr>
        <w:t xml:space="preserve">, S. Clarke noted the project examined but did not use data from Hawaii’s </w:t>
      </w:r>
      <w:r w:rsidR="00AE69D4" w:rsidRPr="004635E5">
        <w:rPr>
          <w:sz w:val="22"/>
          <w:szCs w:val="22"/>
          <w:lang w:val="en-NZ"/>
        </w:rPr>
        <w:t>de</w:t>
      </w:r>
      <w:r w:rsidRPr="004635E5">
        <w:rPr>
          <w:sz w:val="22"/>
          <w:szCs w:val="22"/>
          <w:lang w:val="en-NZ"/>
        </w:rPr>
        <w:t>epset fishery operating</w:t>
      </w:r>
      <w:r w:rsidR="00AE69D4" w:rsidRPr="004635E5">
        <w:rPr>
          <w:sz w:val="22"/>
          <w:szCs w:val="22"/>
          <w:lang w:val="en-NZ"/>
        </w:rPr>
        <w:t xml:space="preserve"> </w:t>
      </w:r>
      <w:r w:rsidRPr="004635E5">
        <w:rPr>
          <w:sz w:val="22"/>
          <w:szCs w:val="22"/>
          <w:lang w:val="en-NZ"/>
        </w:rPr>
        <w:t xml:space="preserve">N </w:t>
      </w:r>
      <w:r w:rsidR="00AE69D4" w:rsidRPr="004635E5">
        <w:rPr>
          <w:sz w:val="22"/>
          <w:szCs w:val="22"/>
          <w:lang w:val="en-NZ"/>
        </w:rPr>
        <w:t>of 15</w:t>
      </w:r>
      <w:r w:rsidRPr="004635E5">
        <w:rPr>
          <w:sz w:val="22"/>
          <w:szCs w:val="22"/>
          <w:lang w:val="en-NZ"/>
        </w:rPr>
        <w:t xml:space="preserve">° </w:t>
      </w:r>
      <w:r w:rsidR="00AE69D4" w:rsidRPr="004635E5">
        <w:rPr>
          <w:sz w:val="22"/>
          <w:szCs w:val="22"/>
          <w:lang w:val="en-NZ"/>
        </w:rPr>
        <w:t>N.</w:t>
      </w:r>
    </w:p>
    <w:p w14:paraId="27A1F19A" w14:textId="77777777" w:rsidR="00F46AB9" w:rsidRPr="004635E5" w:rsidRDefault="00F46AB9" w:rsidP="006633A8">
      <w:pPr>
        <w:autoSpaceDE w:val="0"/>
        <w:autoSpaceDN w:val="0"/>
        <w:adjustRightInd w:val="0"/>
        <w:snapToGrid w:val="0"/>
        <w:jc w:val="both"/>
        <w:rPr>
          <w:sz w:val="22"/>
          <w:szCs w:val="22"/>
          <w:lang w:val="en-NZ"/>
        </w:rPr>
      </w:pPr>
    </w:p>
    <w:p w14:paraId="0ABE6DD3" w14:textId="77777777" w:rsidR="001023CE" w:rsidRPr="004635E5" w:rsidRDefault="0019369B"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The </w:t>
      </w:r>
      <w:r w:rsidR="00AE69D4" w:rsidRPr="004635E5">
        <w:rPr>
          <w:sz w:val="22"/>
          <w:szCs w:val="22"/>
          <w:lang w:val="en-NZ"/>
        </w:rPr>
        <w:t xml:space="preserve">EU </w:t>
      </w:r>
      <w:r w:rsidR="008C1958" w:rsidRPr="004635E5">
        <w:rPr>
          <w:sz w:val="22"/>
          <w:szCs w:val="22"/>
          <w:lang w:val="en-NZ"/>
        </w:rPr>
        <w:t xml:space="preserve">noted that </w:t>
      </w:r>
      <w:r w:rsidR="005D2E4D" w:rsidRPr="004635E5">
        <w:rPr>
          <w:sz w:val="22"/>
          <w:szCs w:val="22"/>
          <w:lang w:val="en-NZ"/>
        </w:rPr>
        <w:t xml:space="preserve">the no-retention measure was passed in 2012, but </w:t>
      </w:r>
      <w:r w:rsidRPr="004635E5">
        <w:rPr>
          <w:sz w:val="22"/>
          <w:szCs w:val="22"/>
          <w:lang w:val="en-NZ"/>
        </w:rPr>
        <w:t xml:space="preserve">the </w:t>
      </w:r>
      <w:r w:rsidR="005D2E4D" w:rsidRPr="004635E5">
        <w:rPr>
          <w:sz w:val="22"/>
          <w:szCs w:val="22"/>
          <w:lang w:val="en-NZ"/>
        </w:rPr>
        <w:t xml:space="preserve">figures indicate significant </w:t>
      </w:r>
      <w:r w:rsidR="00AE69D4" w:rsidRPr="004635E5">
        <w:rPr>
          <w:sz w:val="22"/>
          <w:szCs w:val="22"/>
          <w:lang w:val="en-NZ"/>
        </w:rPr>
        <w:t xml:space="preserve">silky shark </w:t>
      </w:r>
      <w:r w:rsidR="005D2E4D" w:rsidRPr="004635E5">
        <w:rPr>
          <w:sz w:val="22"/>
          <w:szCs w:val="22"/>
          <w:lang w:val="en-NZ"/>
        </w:rPr>
        <w:t xml:space="preserve">landings are continuing. He inquired whether these sharks were from the </w:t>
      </w:r>
      <w:r w:rsidR="00AE69D4" w:rsidRPr="004635E5">
        <w:rPr>
          <w:sz w:val="22"/>
          <w:szCs w:val="22"/>
          <w:lang w:val="en-NZ"/>
        </w:rPr>
        <w:t>WCPFC, or just traded in the area. S</w:t>
      </w:r>
      <w:r w:rsidR="005D2E4D" w:rsidRPr="004635E5">
        <w:rPr>
          <w:sz w:val="22"/>
          <w:szCs w:val="22"/>
          <w:lang w:val="en-NZ"/>
        </w:rPr>
        <w:t xml:space="preserve"> Clarke noted the figures were </w:t>
      </w:r>
      <w:r w:rsidR="00AE69D4" w:rsidRPr="004635E5">
        <w:rPr>
          <w:sz w:val="22"/>
          <w:szCs w:val="22"/>
          <w:lang w:val="en-NZ"/>
        </w:rPr>
        <w:t xml:space="preserve">based on a </w:t>
      </w:r>
      <w:r w:rsidR="00783FEB" w:rsidRPr="004635E5">
        <w:rPr>
          <w:sz w:val="22"/>
          <w:szCs w:val="22"/>
          <w:lang w:val="en-NZ"/>
        </w:rPr>
        <w:t xml:space="preserve">species composition </w:t>
      </w:r>
      <w:r w:rsidR="00AE69D4" w:rsidRPr="004635E5">
        <w:rPr>
          <w:sz w:val="22"/>
          <w:szCs w:val="22"/>
          <w:lang w:val="en-NZ"/>
        </w:rPr>
        <w:t>study from 2000</w:t>
      </w:r>
      <w:r w:rsidR="005D2E4D" w:rsidRPr="004635E5">
        <w:rPr>
          <w:sz w:val="22"/>
          <w:szCs w:val="22"/>
          <w:lang w:val="en-NZ"/>
        </w:rPr>
        <w:t xml:space="preserve">, which </w:t>
      </w:r>
      <w:r w:rsidR="00AE69D4" w:rsidRPr="004635E5">
        <w:rPr>
          <w:sz w:val="22"/>
          <w:szCs w:val="22"/>
          <w:lang w:val="en-NZ"/>
        </w:rPr>
        <w:t xml:space="preserve">does not account for </w:t>
      </w:r>
      <w:r w:rsidR="005D2E4D" w:rsidRPr="004635E5">
        <w:rPr>
          <w:sz w:val="22"/>
          <w:szCs w:val="22"/>
          <w:lang w:val="en-NZ"/>
        </w:rPr>
        <w:t xml:space="preserve">the </w:t>
      </w:r>
      <w:r w:rsidR="00AE69D4" w:rsidRPr="004635E5">
        <w:rPr>
          <w:sz w:val="22"/>
          <w:szCs w:val="22"/>
          <w:lang w:val="en-NZ"/>
        </w:rPr>
        <w:t xml:space="preserve">non-retention policy. </w:t>
      </w:r>
      <w:r w:rsidR="005D2E4D" w:rsidRPr="004635E5">
        <w:rPr>
          <w:sz w:val="22"/>
          <w:szCs w:val="22"/>
          <w:lang w:val="en-NZ"/>
        </w:rPr>
        <w:t xml:space="preserve">However, </w:t>
      </w:r>
      <w:r w:rsidR="00783FEB" w:rsidRPr="004635E5">
        <w:rPr>
          <w:sz w:val="22"/>
          <w:szCs w:val="22"/>
          <w:lang w:val="en-NZ"/>
        </w:rPr>
        <w:t xml:space="preserve">catch is ongoing — </w:t>
      </w:r>
      <w:r w:rsidR="005D2E4D" w:rsidRPr="004635E5">
        <w:rPr>
          <w:sz w:val="22"/>
          <w:szCs w:val="22"/>
          <w:lang w:val="en-NZ"/>
        </w:rPr>
        <w:t>o</w:t>
      </w:r>
      <w:r w:rsidR="00AE69D4" w:rsidRPr="004635E5">
        <w:rPr>
          <w:sz w:val="22"/>
          <w:szCs w:val="22"/>
          <w:lang w:val="en-NZ"/>
        </w:rPr>
        <w:t xml:space="preserve">ne RFMO </w:t>
      </w:r>
      <w:r w:rsidR="005D2E4D" w:rsidRPr="004635E5">
        <w:rPr>
          <w:sz w:val="22"/>
          <w:szCs w:val="22"/>
          <w:lang w:val="en-NZ"/>
        </w:rPr>
        <w:t xml:space="preserve">lacks </w:t>
      </w:r>
      <w:r w:rsidR="00AE69D4" w:rsidRPr="004635E5">
        <w:rPr>
          <w:sz w:val="22"/>
          <w:szCs w:val="22"/>
          <w:lang w:val="en-NZ"/>
        </w:rPr>
        <w:t>a no</w:t>
      </w:r>
      <w:r w:rsidR="005D2E4D" w:rsidRPr="004635E5">
        <w:rPr>
          <w:sz w:val="22"/>
          <w:szCs w:val="22"/>
          <w:lang w:val="en-NZ"/>
        </w:rPr>
        <w:t>-</w:t>
      </w:r>
      <w:r w:rsidR="00AE69D4" w:rsidRPr="004635E5">
        <w:rPr>
          <w:sz w:val="22"/>
          <w:szCs w:val="22"/>
          <w:lang w:val="en-NZ"/>
        </w:rPr>
        <w:t>reten</w:t>
      </w:r>
      <w:r w:rsidR="005D2E4D" w:rsidRPr="004635E5">
        <w:rPr>
          <w:sz w:val="22"/>
          <w:szCs w:val="22"/>
          <w:lang w:val="en-NZ"/>
        </w:rPr>
        <w:t>t</w:t>
      </w:r>
      <w:r w:rsidR="00AE69D4" w:rsidRPr="004635E5">
        <w:rPr>
          <w:sz w:val="22"/>
          <w:szCs w:val="22"/>
          <w:lang w:val="en-NZ"/>
        </w:rPr>
        <w:t>ion measure for silky</w:t>
      </w:r>
      <w:r w:rsidR="005D2E4D" w:rsidRPr="004635E5">
        <w:rPr>
          <w:sz w:val="22"/>
          <w:szCs w:val="22"/>
          <w:lang w:val="en-NZ"/>
        </w:rPr>
        <w:t xml:space="preserve"> shark</w:t>
      </w:r>
      <w:r w:rsidR="00AE69D4" w:rsidRPr="004635E5">
        <w:rPr>
          <w:sz w:val="22"/>
          <w:szCs w:val="22"/>
          <w:lang w:val="en-NZ"/>
        </w:rPr>
        <w:t>, and impl</w:t>
      </w:r>
      <w:r w:rsidR="005D2E4D" w:rsidRPr="004635E5">
        <w:rPr>
          <w:sz w:val="22"/>
          <w:szCs w:val="22"/>
          <w:lang w:val="en-NZ"/>
        </w:rPr>
        <w:t>ementation is imperfect</w:t>
      </w:r>
      <w:r w:rsidR="00AE69D4" w:rsidRPr="004635E5">
        <w:rPr>
          <w:sz w:val="22"/>
          <w:szCs w:val="22"/>
          <w:lang w:val="en-NZ"/>
        </w:rPr>
        <w:t xml:space="preserve">. </w:t>
      </w:r>
      <w:r w:rsidR="00783FEB" w:rsidRPr="004635E5">
        <w:rPr>
          <w:sz w:val="22"/>
          <w:szCs w:val="22"/>
          <w:lang w:val="en-NZ"/>
        </w:rPr>
        <w:t xml:space="preserve">In addition, a </w:t>
      </w:r>
      <w:r w:rsidR="005D2E4D" w:rsidRPr="004635E5">
        <w:rPr>
          <w:sz w:val="22"/>
          <w:szCs w:val="22"/>
          <w:lang w:val="en-NZ"/>
        </w:rPr>
        <w:t xml:space="preserve">paper published in 2017 </w:t>
      </w:r>
      <w:r w:rsidR="00AE69D4" w:rsidRPr="004635E5">
        <w:rPr>
          <w:sz w:val="22"/>
          <w:szCs w:val="22"/>
          <w:lang w:val="en-NZ"/>
        </w:rPr>
        <w:t xml:space="preserve">used </w:t>
      </w:r>
      <w:r w:rsidR="00783FEB" w:rsidRPr="004635E5">
        <w:rPr>
          <w:sz w:val="22"/>
          <w:szCs w:val="22"/>
          <w:lang w:val="en-NZ"/>
        </w:rPr>
        <w:t xml:space="preserve">a </w:t>
      </w:r>
      <w:r w:rsidR="005D2E4D" w:rsidRPr="004635E5">
        <w:rPr>
          <w:sz w:val="22"/>
          <w:szCs w:val="22"/>
          <w:lang w:val="en-NZ"/>
        </w:rPr>
        <w:t>s</w:t>
      </w:r>
      <w:r w:rsidR="00AE69D4" w:rsidRPr="004635E5">
        <w:rPr>
          <w:sz w:val="22"/>
          <w:szCs w:val="22"/>
          <w:lang w:val="en-NZ"/>
        </w:rPr>
        <w:t>lightly diff</w:t>
      </w:r>
      <w:r w:rsidR="005D2E4D" w:rsidRPr="004635E5">
        <w:rPr>
          <w:sz w:val="22"/>
          <w:szCs w:val="22"/>
          <w:lang w:val="en-NZ"/>
        </w:rPr>
        <w:t>erent</w:t>
      </w:r>
      <w:r w:rsidR="00270656" w:rsidRPr="004635E5">
        <w:rPr>
          <w:sz w:val="22"/>
          <w:szCs w:val="22"/>
          <w:lang w:val="en-NZ"/>
        </w:rPr>
        <w:t xml:space="preserve"> method to estimate percentage</w:t>
      </w:r>
      <w:r w:rsidR="00AE69D4" w:rsidRPr="004635E5">
        <w:rPr>
          <w:sz w:val="22"/>
          <w:szCs w:val="22"/>
          <w:lang w:val="en-NZ"/>
        </w:rPr>
        <w:t xml:space="preserve"> comp</w:t>
      </w:r>
      <w:r w:rsidR="00270656" w:rsidRPr="004635E5">
        <w:rPr>
          <w:sz w:val="22"/>
          <w:szCs w:val="22"/>
          <w:lang w:val="en-NZ"/>
        </w:rPr>
        <w:t>osition</w:t>
      </w:r>
      <w:r w:rsidR="00AE69D4" w:rsidRPr="004635E5">
        <w:rPr>
          <w:sz w:val="22"/>
          <w:szCs w:val="22"/>
          <w:lang w:val="en-NZ"/>
        </w:rPr>
        <w:t xml:space="preserve"> of </w:t>
      </w:r>
      <w:r w:rsidR="00270656" w:rsidRPr="004635E5">
        <w:rPr>
          <w:sz w:val="22"/>
          <w:szCs w:val="22"/>
          <w:lang w:val="en-NZ"/>
        </w:rPr>
        <w:t>silk</w:t>
      </w:r>
      <w:r w:rsidR="00771709">
        <w:rPr>
          <w:rFonts w:eastAsiaTheme="minorEastAsia" w:hint="eastAsia"/>
          <w:sz w:val="22"/>
          <w:szCs w:val="22"/>
          <w:lang w:val="en-NZ" w:eastAsia="ko-KR"/>
        </w:rPr>
        <w:t>y</w:t>
      </w:r>
      <w:r w:rsidR="00270656" w:rsidRPr="004635E5">
        <w:rPr>
          <w:sz w:val="22"/>
          <w:szCs w:val="22"/>
          <w:lang w:val="en-NZ"/>
        </w:rPr>
        <w:t xml:space="preserve"> shark </w:t>
      </w:r>
      <w:r w:rsidR="00AE69D4" w:rsidRPr="004635E5">
        <w:rPr>
          <w:sz w:val="22"/>
          <w:szCs w:val="22"/>
          <w:lang w:val="en-NZ"/>
        </w:rPr>
        <w:t>in the sh</w:t>
      </w:r>
      <w:r w:rsidR="005D2E4D" w:rsidRPr="004635E5">
        <w:rPr>
          <w:sz w:val="22"/>
          <w:szCs w:val="22"/>
          <w:lang w:val="en-NZ"/>
        </w:rPr>
        <w:t>a</w:t>
      </w:r>
      <w:r w:rsidR="00AE69D4" w:rsidRPr="004635E5">
        <w:rPr>
          <w:sz w:val="22"/>
          <w:szCs w:val="22"/>
          <w:lang w:val="en-NZ"/>
        </w:rPr>
        <w:t>rk fin trade (</w:t>
      </w:r>
      <w:r w:rsidR="005D2E4D" w:rsidRPr="004635E5">
        <w:rPr>
          <w:sz w:val="22"/>
          <w:szCs w:val="22"/>
          <w:lang w:val="en-NZ"/>
        </w:rPr>
        <w:t xml:space="preserve">during </w:t>
      </w:r>
      <w:r w:rsidR="00AE69D4" w:rsidRPr="004635E5">
        <w:rPr>
          <w:sz w:val="22"/>
          <w:szCs w:val="22"/>
          <w:lang w:val="en-NZ"/>
        </w:rPr>
        <w:t>2014-</w:t>
      </w:r>
      <w:r w:rsidR="00771709">
        <w:rPr>
          <w:rFonts w:eastAsiaTheme="minorEastAsia" w:hint="eastAsia"/>
          <w:sz w:val="22"/>
          <w:szCs w:val="22"/>
          <w:lang w:val="en-NZ" w:eastAsia="ko-KR"/>
        </w:rPr>
        <w:t>2</w:t>
      </w:r>
      <w:r w:rsidR="00AE69D4" w:rsidRPr="004635E5">
        <w:rPr>
          <w:sz w:val="22"/>
          <w:szCs w:val="22"/>
          <w:lang w:val="en-NZ"/>
        </w:rPr>
        <w:t>016)</w:t>
      </w:r>
      <w:r w:rsidR="00783FEB" w:rsidRPr="004635E5">
        <w:rPr>
          <w:sz w:val="22"/>
          <w:szCs w:val="22"/>
          <w:lang w:val="en-NZ"/>
        </w:rPr>
        <w:t xml:space="preserve">, and confirmed substantial numbers </w:t>
      </w:r>
      <w:r w:rsidR="00AE69D4" w:rsidRPr="004635E5">
        <w:rPr>
          <w:sz w:val="22"/>
          <w:szCs w:val="22"/>
          <w:lang w:val="en-NZ"/>
        </w:rPr>
        <w:t xml:space="preserve">of </w:t>
      </w:r>
      <w:r w:rsidR="00270656" w:rsidRPr="004635E5">
        <w:rPr>
          <w:sz w:val="22"/>
          <w:szCs w:val="22"/>
          <w:lang w:val="en-NZ"/>
        </w:rPr>
        <w:t xml:space="preserve">silk shark </w:t>
      </w:r>
      <w:r w:rsidR="00783FEB" w:rsidRPr="004635E5">
        <w:rPr>
          <w:sz w:val="22"/>
          <w:szCs w:val="22"/>
          <w:lang w:val="en-NZ"/>
        </w:rPr>
        <w:t>are still being ca</w:t>
      </w:r>
      <w:r w:rsidR="00AE69D4" w:rsidRPr="004635E5">
        <w:rPr>
          <w:sz w:val="22"/>
          <w:szCs w:val="22"/>
          <w:lang w:val="en-NZ"/>
        </w:rPr>
        <w:t xml:space="preserve">ught </w:t>
      </w:r>
      <w:r w:rsidR="00270656" w:rsidRPr="004635E5">
        <w:rPr>
          <w:sz w:val="22"/>
          <w:szCs w:val="22"/>
          <w:lang w:val="en-NZ"/>
        </w:rPr>
        <w:t>globally</w:t>
      </w:r>
      <w:r w:rsidR="00AE69D4" w:rsidRPr="004635E5">
        <w:rPr>
          <w:sz w:val="22"/>
          <w:szCs w:val="22"/>
          <w:lang w:val="en-NZ"/>
        </w:rPr>
        <w:t xml:space="preserve">. </w:t>
      </w:r>
    </w:p>
    <w:p w14:paraId="4687F911" w14:textId="77777777" w:rsidR="00F46AB9" w:rsidRPr="004635E5" w:rsidRDefault="00F46AB9" w:rsidP="006633A8">
      <w:pPr>
        <w:autoSpaceDE w:val="0"/>
        <w:autoSpaceDN w:val="0"/>
        <w:adjustRightInd w:val="0"/>
        <w:snapToGrid w:val="0"/>
        <w:jc w:val="both"/>
        <w:rPr>
          <w:sz w:val="22"/>
          <w:szCs w:val="22"/>
          <w:lang w:val="en-NZ"/>
        </w:rPr>
      </w:pPr>
    </w:p>
    <w:p w14:paraId="696ACA9A" w14:textId="77777777" w:rsidR="00731153" w:rsidRPr="004635E5" w:rsidRDefault="00AE69D4"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Fiji</w:t>
      </w:r>
      <w:r w:rsidR="002C5A25" w:rsidRPr="004635E5">
        <w:rPr>
          <w:sz w:val="22"/>
          <w:szCs w:val="22"/>
          <w:lang w:val="en-NZ"/>
        </w:rPr>
        <w:t xml:space="preserve"> supported</w:t>
      </w:r>
      <w:r w:rsidR="00731153" w:rsidRPr="004635E5">
        <w:rPr>
          <w:sz w:val="22"/>
          <w:szCs w:val="22"/>
          <w:lang w:val="en-NZ"/>
        </w:rPr>
        <w:t xml:space="preserve"> </w:t>
      </w:r>
      <w:r w:rsidR="002C5A25" w:rsidRPr="004635E5">
        <w:rPr>
          <w:sz w:val="22"/>
          <w:szCs w:val="22"/>
          <w:lang w:val="en-NZ"/>
        </w:rPr>
        <w:t xml:space="preserve">the </w:t>
      </w:r>
      <w:r w:rsidR="00731153" w:rsidRPr="004635E5">
        <w:rPr>
          <w:sz w:val="22"/>
          <w:szCs w:val="22"/>
          <w:lang w:val="en-NZ"/>
        </w:rPr>
        <w:t>statement by RMI</w:t>
      </w:r>
      <w:r w:rsidR="00270656" w:rsidRPr="004635E5">
        <w:rPr>
          <w:sz w:val="22"/>
          <w:szCs w:val="22"/>
          <w:lang w:val="en-NZ"/>
        </w:rPr>
        <w:t xml:space="preserve">, noting the assessment indicated </w:t>
      </w:r>
      <w:r w:rsidR="00731153" w:rsidRPr="004635E5">
        <w:rPr>
          <w:sz w:val="22"/>
          <w:szCs w:val="22"/>
          <w:lang w:val="en-NZ"/>
        </w:rPr>
        <w:t xml:space="preserve">the situation across the broader Pacific </w:t>
      </w:r>
      <w:r w:rsidR="00270656" w:rsidRPr="004635E5">
        <w:rPr>
          <w:sz w:val="22"/>
          <w:szCs w:val="22"/>
          <w:lang w:val="en-NZ"/>
        </w:rPr>
        <w:t xml:space="preserve">was </w:t>
      </w:r>
      <w:r w:rsidR="00731153" w:rsidRPr="004635E5">
        <w:rPr>
          <w:sz w:val="22"/>
          <w:szCs w:val="22"/>
          <w:lang w:val="en-NZ"/>
        </w:rPr>
        <w:t>more complicated and uncertain than previously thought, based on the data available at the time for the WCPO.</w:t>
      </w:r>
      <w:r w:rsidR="00783FEB" w:rsidRPr="004635E5">
        <w:rPr>
          <w:sz w:val="22"/>
          <w:szCs w:val="22"/>
          <w:lang w:val="en-NZ"/>
        </w:rPr>
        <w:t xml:space="preserve"> </w:t>
      </w:r>
      <w:r w:rsidR="00731153" w:rsidRPr="004635E5">
        <w:rPr>
          <w:sz w:val="22"/>
          <w:szCs w:val="22"/>
          <w:lang w:val="en-NZ"/>
        </w:rPr>
        <w:t>FFA members recognise</w:t>
      </w:r>
      <w:r w:rsidR="00270656" w:rsidRPr="004635E5">
        <w:rPr>
          <w:sz w:val="22"/>
          <w:szCs w:val="22"/>
          <w:lang w:val="en-NZ"/>
        </w:rPr>
        <w:t>d</w:t>
      </w:r>
      <w:r w:rsidR="00731153" w:rsidRPr="004635E5">
        <w:rPr>
          <w:sz w:val="22"/>
          <w:szCs w:val="22"/>
          <w:lang w:val="en-NZ"/>
        </w:rPr>
        <w:t xml:space="preserve"> several issues outlined in the paper, which </w:t>
      </w:r>
      <w:r w:rsidR="00270656" w:rsidRPr="004635E5">
        <w:rPr>
          <w:sz w:val="22"/>
          <w:szCs w:val="22"/>
          <w:lang w:val="en-NZ"/>
        </w:rPr>
        <w:t xml:space="preserve">were </w:t>
      </w:r>
      <w:r w:rsidR="00731153" w:rsidRPr="004635E5">
        <w:rPr>
          <w:sz w:val="22"/>
          <w:szCs w:val="22"/>
          <w:lang w:val="en-NZ"/>
        </w:rPr>
        <w:t>largely related to data inputs, and to a lesser extent to the model configuration and assumptions</w:t>
      </w:r>
      <w:r w:rsidR="00A16680" w:rsidRPr="004635E5">
        <w:rPr>
          <w:sz w:val="22"/>
          <w:szCs w:val="22"/>
          <w:lang w:val="en-NZ"/>
        </w:rPr>
        <w:t xml:space="preserve">. </w:t>
      </w:r>
      <w:r w:rsidR="00731153" w:rsidRPr="004635E5">
        <w:rPr>
          <w:sz w:val="22"/>
          <w:szCs w:val="22"/>
          <w:lang w:val="en-NZ"/>
        </w:rPr>
        <w:t xml:space="preserve">This includes changes in silky shark CPUE being easier to correlate with oceanographic conditions but not with fishing; there are conflicts in regional catch rates between the WCPO and EPO; and the data are not sufficiently robust to estimate management quantities. </w:t>
      </w:r>
      <w:r w:rsidR="00270656" w:rsidRPr="004635E5">
        <w:rPr>
          <w:sz w:val="22"/>
          <w:szCs w:val="22"/>
          <w:lang w:val="en-NZ"/>
        </w:rPr>
        <w:t>T</w:t>
      </w:r>
      <w:r w:rsidR="00731153" w:rsidRPr="004635E5">
        <w:rPr>
          <w:sz w:val="22"/>
          <w:szCs w:val="22"/>
          <w:lang w:val="en-NZ"/>
        </w:rPr>
        <w:t xml:space="preserve">hese constraints </w:t>
      </w:r>
      <w:r w:rsidR="00270656" w:rsidRPr="004635E5">
        <w:rPr>
          <w:sz w:val="22"/>
          <w:szCs w:val="22"/>
          <w:lang w:val="en-NZ"/>
        </w:rPr>
        <w:t xml:space="preserve">are </w:t>
      </w:r>
      <w:r w:rsidR="00731153" w:rsidRPr="004635E5">
        <w:rPr>
          <w:sz w:val="22"/>
          <w:szCs w:val="22"/>
          <w:lang w:val="en-NZ"/>
        </w:rPr>
        <w:t xml:space="preserve">also experienced in the WCPO-only assessment, </w:t>
      </w:r>
      <w:r w:rsidR="00270656" w:rsidRPr="004635E5">
        <w:rPr>
          <w:sz w:val="22"/>
          <w:szCs w:val="22"/>
          <w:lang w:val="en-NZ"/>
        </w:rPr>
        <w:t xml:space="preserve">although </w:t>
      </w:r>
      <w:r w:rsidR="00731153" w:rsidRPr="004635E5">
        <w:rPr>
          <w:sz w:val="22"/>
          <w:szCs w:val="22"/>
          <w:lang w:val="en-NZ"/>
        </w:rPr>
        <w:t>to a lesser extent.</w:t>
      </w:r>
      <w:r w:rsidR="00783FEB" w:rsidRPr="004635E5">
        <w:rPr>
          <w:sz w:val="22"/>
          <w:szCs w:val="22"/>
          <w:lang w:val="en-NZ"/>
        </w:rPr>
        <w:t xml:space="preserve"> </w:t>
      </w:r>
      <w:r w:rsidR="004334BB" w:rsidRPr="004635E5">
        <w:rPr>
          <w:sz w:val="22"/>
          <w:szCs w:val="22"/>
          <w:lang w:val="en-NZ"/>
        </w:rPr>
        <w:t>SC14-</w:t>
      </w:r>
      <w:r w:rsidR="00731153" w:rsidRPr="004635E5">
        <w:rPr>
          <w:sz w:val="22"/>
          <w:szCs w:val="22"/>
          <w:lang w:val="en-NZ"/>
        </w:rPr>
        <w:t>EB-IP-04 note</w:t>
      </w:r>
      <w:r w:rsidR="00270656" w:rsidRPr="004635E5">
        <w:rPr>
          <w:sz w:val="22"/>
          <w:szCs w:val="22"/>
          <w:lang w:val="en-NZ"/>
        </w:rPr>
        <w:t>s</w:t>
      </w:r>
      <w:r w:rsidR="00731153" w:rsidRPr="004635E5">
        <w:rPr>
          <w:sz w:val="22"/>
          <w:szCs w:val="22"/>
          <w:lang w:val="en-NZ"/>
        </w:rPr>
        <w:t xml:space="preserve"> there may be several different silky shark populations in the Pacific Ocean</w:t>
      </w:r>
      <w:r w:rsidR="00270656" w:rsidRPr="004635E5">
        <w:rPr>
          <w:sz w:val="22"/>
          <w:szCs w:val="22"/>
          <w:lang w:val="en-NZ"/>
        </w:rPr>
        <w:t>;</w:t>
      </w:r>
      <w:r w:rsidR="00731153" w:rsidRPr="004635E5">
        <w:rPr>
          <w:sz w:val="22"/>
          <w:szCs w:val="22"/>
          <w:lang w:val="en-NZ"/>
        </w:rPr>
        <w:t xml:space="preserve"> while </w:t>
      </w:r>
      <w:r w:rsidR="00270656" w:rsidRPr="004635E5">
        <w:rPr>
          <w:sz w:val="22"/>
          <w:szCs w:val="22"/>
          <w:lang w:val="en-NZ"/>
        </w:rPr>
        <w:t>results are preliminary, these</w:t>
      </w:r>
      <w:r w:rsidR="00731153" w:rsidRPr="004635E5">
        <w:rPr>
          <w:sz w:val="22"/>
          <w:szCs w:val="22"/>
          <w:lang w:val="en-NZ"/>
        </w:rPr>
        <w:t xml:space="preserve"> indicate that a </w:t>
      </w:r>
      <w:r w:rsidR="00270656" w:rsidRPr="004635E5">
        <w:rPr>
          <w:sz w:val="22"/>
          <w:szCs w:val="22"/>
          <w:lang w:val="en-NZ"/>
        </w:rPr>
        <w:t>P</w:t>
      </w:r>
      <w:r w:rsidR="00731153" w:rsidRPr="004635E5">
        <w:rPr>
          <w:sz w:val="22"/>
          <w:szCs w:val="22"/>
          <w:lang w:val="en-NZ"/>
        </w:rPr>
        <w:t>acific-wide assessment may not be the best way to assess this stock or stocks.</w:t>
      </w:r>
      <w:r w:rsidR="00783FEB" w:rsidRPr="004635E5">
        <w:rPr>
          <w:sz w:val="22"/>
          <w:szCs w:val="22"/>
          <w:lang w:val="en-NZ"/>
        </w:rPr>
        <w:t xml:space="preserve"> </w:t>
      </w:r>
      <w:r w:rsidR="00731153" w:rsidRPr="004635E5">
        <w:rPr>
          <w:sz w:val="22"/>
          <w:szCs w:val="22"/>
          <w:lang w:val="en-NZ"/>
        </w:rPr>
        <w:t xml:space="preserve">FFA members support further exploration of the uncertainties and improve data inputs into the model such as catch history and CPUE indices, and the treatment of the main CPUE index in the modelling framework accounting for environmental variation in catchability. </w:t>
      </w:r>
      <w:r w:rsidR="00270656" w:rsidRPr="004635E5">
        <w:rPr>
          <w:sz w:val="22"/>
          <w:szCs w:val="22"/>
          <w:lang w:val="en-NZ"/>
        </w:rPr>
        <w:t xml:space="preserve">They </w:t>
      </w:r>
      <w:r w:rsidR="00731153" w:rsidRPr="004635E5">
        <w:rPr>
          <w:sz w:val="22"/>
          <w:szCs w:val="22"/>
          <w:lang w:val="en-NZ"/>
        </w:rPr>
        <w:t>also suggest</w:t>
      </w:r>
      <w:r w:rsidR="00270656" w:rsidRPr="004635E5">
        <w:rPr>
          <w:sz w:val="22"/>
          <w:szCs w:val="22"/>
          <w:lang w:val="en-NZ"/>
        </w:rPr>
        <w:t>ed</w:t>
      </w:r>
      <w:r w:rsidR="00731153" w:rsidRPr="004635E5">
        <w:rPr>
          <w:sz w:val="22"/>
          <w:szCs w:val="22"/>
          <w:lang w:val="en-NZ"/>
        </w:rPr>
        <w:t xml:space="preserve"> that, when starting a new assessment, it would be good to </w:t>
      </w:r>
      <w:r w:rsidR="00270656" w:rsidRPr="004635E5">
        <w:rPr>
          <w:sz w:val="22"/>
          <w:szCs w:val="22"/>
          <w:lang w:val="en-NZ"/>
        </w:rPr>
        <w:t xml:space="preserve">first </w:t>
      </w:r>
      <w:r w:rsidR="00731153" w:rsidRPr="004635E5">
        <w:rPr>
          <w:sz w:val="22"/>
          <w:szCs w:val="22"/>
          <w:lang w:val="en-NZ"/>
        </w:rPr>
        <w:t xml:space="preserve">try and replicate what was done before, to </w:t>
      </w:r>
      <w:r w:rsidR="00270656" w:rsidRPr="004635E5">
        <w:rPr>
          <w:sz w:val="22"/>
          <w:szCs w:val="22"/>
          <w:lang w:val="en-NZ"/>
        </w:rPr>
        <w:t xml:space="preserve">examine </w:t>
      </w:r>
      <w:r w:rsidR="00731153" w:rsidRPr="004635E5">
        <w:rPr>
          <w:sz w:val="22"/>
          <w:szCs w:val="22"/>
          <w:lang w:val="en-NZ"/>
        </w:rPr>
        <w:t>comparab</w:t>
      </w:r>
      <w:r w:rsidR="00270656" w:rsidRPr="004635E5">
        <w:rPr>
          <w:sz w:val="22"/>
          <w:szCs w:val="22"/>
          <w:lang w:val="en-NZ"/>
        </w:rPr>
        <w:t xml:space="preserve">ility of </w:t>
      </w:r>
      <w:r w:rsidR="00731153" w:rsidRPr="004635E5">
        <w:rPr>
          <w:sz w:val="22"/>
          <w:szCs w:val="22"/>
          <w:lang w:val="en-NZ"/>
        </w:rPr>
        <w:t xml:space="preserve">the assessment, and then add information about stock structure and </w:t>
      </w:r>
      <w:r w:rsidR="00270656" w:rsidRPr="004635E5">
        <w:rPr>
          <w:sz w:val="22"/>
          <w:szCs w:val="22"/>
          <w:lang w:val="en-NZ"/>
        </w:rPr>
        <w:t xml:space="preserve">monitor </w:t>
      </w:r>
      <w:r w:rsidR="00731153" w:rsidRPr="004635E5">
        <w:rPr>
          <w:sz w:val="22"/>
          <w:szCs w:val="22"/>
          <w:lang w:val="en-NZ"/>
        </w:rPr>
        <w:t xml:space="preserve">changes. </w:t>
      </w:r>
      <w:r w:rsidR="00270656" w:rsidRPr="004635E5">
        <w:rPr>
          <w:sz w:val="22"/>
          <w:szCs w:val="22"/>
          <w:lang w:val="en-NZ"/>
        </w:rPr>
        <w:t>T</w:t>
      </w:r>
      <w:r w:rsidR="00731153" w:rsidRPr="004635E5">
        <w:rPr>
          <w:sz w:val="22"/>
          <w:szCs w:val="22"/>
          <w:lang w:val="en-NZ"/>
        </w:rPr>
        <w:t>his was not done</w:t>
      </w:r>
      <w:r w:rsidR="00270656" w:rsidRPr="004635E5">
        <w:rPr>
          <w:sz w:val="22"/>
          <w:szCs w:val="22"/>
          <w:lang w:val="en-NZ"/>
        </w:rPr>
        <w:t>, making</w:t>
      </w:r>
      <w:r w:rsidR="00731153" w:rsidRPr="004635E5">
        <w:rPr>
          <w:sz w:val="22"/>
          <w:szCs w:val="22"/>
          <w:lang w:val="en-NZ"/>
        </w:rPr>
        <w:t xml:space="preserve"> </w:t>
      </w:r>
      <w:r w:rsidR="00270656" w:rsidRPr="004635E5">
        <w:rPr>
          <w:sz w:val="22"/>
          <w:szCs w:val="22"/>
          <w:lang w:val="en-NZ"/>
        </w:rPr>
        <w:t xml:space="preserve">it </w:t>
      </w:r>
      <w:r w:rsidR="00731153" w:rsidRPr="004635E5">
        <w:rPr>
          <w:sz w:val="22"/>
          <w:szCs w:val="22"/>
          <w:lang w:val="en-NZ"/>
        </w:rPr>
        <w:t xml:space="preserve">difficult to say why </w:t>
      </w:r>
      <w:r w:rsidR="00270656" w:rsidRPr="004635E5">
        <w:rPr>
          <w:sz w:val="22"/>
          <w:szCs w:val="22"/>
          <w:lang w:val="en-NZ"/>
        </w:rPr>
        <w:t xml:space="preserve">the </w:t>
      </w:r>
      <w:r w:rsidR="00731153" w:rsidRPr="004635E5">
        <w:rPr>
          <w:sz w:val="22"/>
          <w:szCs w:val="22"/>
          <w:lang w:val="en-NZ"/>
        </w:rPr>
        <w:t>model is not working</w:t>
      </w:r>
      <w:r w:rsidR="00270656" w:rsidRPr="004635E5">
        <w:rPr>
          <w:sz w:val="22"/>
          <w:szCs w:val="22"/>
          <w:lang w:val="en-NZ"/>
        </w:rPr>
        <w:t>,</w:t>
      </w:r>
      <w:r w:rsidR="00731153" w:rsidRPr="004635E5">
        <w:rPr>
          <w:sz w:val="22"/>
          <w:szCs w:val="22"/>
          <w:lang w:val="en-NZ"/>
        </w:rPr>
        <w:t xml:space="preserve"> </w:t>
      </w:r>
      <w:r w:rsidR="00270656" w:rsidRPr="004635E5">
        <w:rPr>
          <w:sz w:val="22"/>
          <w:szCs w:val="22"/>
          <w:lang w:val="en-NZ"/>
        </w:rPr>
        <w:t xml:space="preserve">while </w:t>
      </w:r>
      <w:r w:rsidR="00731153" w:rsidRPr="004635E5">
        <w:rPr>
          <w:sz w:val="22"/>
          <w:szCs w:val="22"/>
          <w:lang w:val="en-NZ"/>
        </w:rPr>
        <w:t>the previous one did.</w:t>
      </w:r>
      <w:r w:rsidR="00783FEB" w:rsidRPr="004635E5">
        <w:rPr>
          <w:sz w:val="22"/>
          <w:szCs w:val="22"/>
          <w:lang w:val="en-NZ"/>
        </w:rPr>
        <w:t xml:space="preserve"> </w:t>
      </w:r>
      <w:r w:rsidR="00731153" w:rsidRPr="004635E5">
        <w:rPr>
          <w:sz w:val="22"/>
          <w:szCs w:val="22"/>
          <w:lang w:val="en-NZ"/>
        </w:rPr>
        <w:t xml:space="preserve">Given the above, FFA members also support the continuation of tagging and genetic work and recommend that the next assessment </w:t>
      </w:r>
      <w:r w:rsidR="00270656" w:rsidRPr="004635E5">
        <w:rPr>
          <w:sz w:val="22"/>
          <w:szCs w:val="22"/>
          <w:lang w:val="en-NZ"/>
        </w:rPr>
        <w:t xml:space="preserve">be </w:t>
      </w:r>
      <w:r w:rsidR="00731153" w:rsidRPr="004635E5">
        <w:rPr>
          <w:sz w:val="22"/>
          <w:szCs w:val="22"/>
          <w:lang w:val="en-NZ"/>
        </w:rPr>
        <w:t xml:space="preserve">restricted to the WCPO. </w:t>
      </w:r>
      <w:r w:rsidR="00771709">
        <w:rPr>
          <w:sz w:val="22"/>
          <w:szCs w:val="22"/>
          <w:lang w:val="en-NZ"/>
        </w:rPr>
        <w:t>S. Clarke replied that the new assessment did try to replicate the previous assessment but was unable to do so.</w:t>
      </w:r>
    </w:p>
    <w:p w14:paraId="40EB7673" w14:textId="77777777" w:rsidR="00F46AB9" w:rsidRPr="004635E5" w:rsidRDefault="00F46AB9" w:rsidP="006633A8">
      <w:pPr>
        <w:autoSpaceDE w:val="0"/>
        <w:autoSpaceDN w:val="0"/>
        <w:adjustRightInd w:val="0"/>
        <w:snapToGrid w:val="0"/>
        <w:jc w:val="both"/>
        <w:rPr>
          <w:sz w:val="22"/>
          <w:szCs w:val="22"/>
          <w:lang w:val="en-NZ"/>
        </w:rPr>
      </w:pPr>
    </w:p>
    <w:p w14:paraId="242BE0F6" w14:textId="77777777" w:rsidR="00AE69D4" w:rsidRPr="00112951" w:rsidRDefault="00AE69D4"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China </w:t>
      </w:r>
      <w:r w:rsidR="001C6100" w:rsidRPr="004635E5">
        <w:rPr>
          <w:sz w:val="22"/>
          <w:szCs w:val="22"/>
          <w:lang w:val="en-NZ"/>
        </w:rPr>
        <w:t xml:space="preserve">recommended continuation of the current no-retention policy, and requested clarification on how shark </w:t>
      </w:r>
      <w:r w:rsidRPr="004635E5">
        <w:rPr>
          <w:sz w:val="22"/>
          <w:szCs w:val="22"/>
          <w:lang w:val="en-NZ"/>
        </w:rPr>
        <w:t xml:space="preserve">species </w:t>
      </w:r>
      <w:r w:rsidR="001C6100" w:rsidRPr="004635E5">
        <w:rPr>
          <w:sz w:val="22"/>
          <w:szCs w:val="22"/>
          <w:lang w:val="en-NZ"/>
        </w:rPr>
        <w:t xml:space="preserve">and harvest </w:t>
      </w:r>
      <w:r w:rsidRPr="004635E5">
        <w:rPr>
          <w:sz w:val="22"/>
          <w:szCs w:val="22"/>
          <w:lang w:val="en-NZ"/>
        </w:rPr>
        <w:t xml:space="preserve">area </w:t>
      </w:r>
      <w:r w:rsidR="00270656" w:rsidRPr="004635E5">
        <w:rPr>
          <w:sz w:val="22"/>
          <w:szCs w:val="22"/>
          <w:lang w:val="en-NZ"/>
        </w:rPr>
        <w:t xml:space="preserve">were </w:t>
      </w:r>
      <w:r w:rsidR="001C6100" w:rsidRPr="004635E5">
        <w:rPr>
          <w:sz w:val="22"/>
          <w:szCs w:val="22"/>
          <w:lang w:val="en-NZ"/>
        </w:rPr>
        <w:t xml:space="preserve">determined </w:t>
      </w:r>
      <w:r w:rsidRPr="004635E5">
        <w:rPr>
          <w:sz w:val="22"/>
          <w:szCs w:val="22"/>
          <w:lang w:val="en-NZ"/>
        </w:rPr>
        <w:t>from fins</w:t>
      </w:r>
      <w:r w:rsidR="001C6100" w:rsidRPr="004635E5">
        <w:rPr>
          <w:sz w:val="22"/>
          <w:szCs w:val="22"/>
          <w:lang w:val="en-NZ"/>
        </w:rPr>
        <w:t xml:space="preserve">, and how this was translated to the estimated proportion </w:t>
      </w:r>
      <w:r w:rsidRPr="004635E5">
        <w:rPr>
          <w:sz w:val="22"/>
          <w:szCs w:val="22"/>
          <w:lang w:val="en-NZ"/>
        </w:rPr>
        <w:t xml:space="preserve">from </w:t>
      </w:r>
      <w:r w:rsidR="001C6100" w:rsidRPr="004635E5">
        <w:rPr>
          <w:sz w:val="22"/>
          <w:szCs w:val="22"/>
          <w:lang w:val="en-NZ"/>
        </w:rPr>
        <w:t xml:space="preserve">the </w:t>
      </w:r>
      <w:r w:rsidRPr="004635E5">
        <w:rPr>
          <w:sz w:val="22"/>
          <w:szCs w:val="22"/>
          <w:lang w:val="en-NZ"/>
        </w:rPr>
        <w:t>WCPF</w:t>
      </w:r>
      <w:r w:rsidR="00771709">
        <w:rPr>
          <w:rFonts w:eastAsiaTheme="minorEastAsia" w:hint="eastAsia"/>
          <w:sz w:val="22"/>
          <w:szCs w:val="22"/>
          <w:lang w:val="en-NZ" w:eastAsia="ko-KR"/>
        </w:rPr>
        <w:t>C</w:t>
      </w:r>
      <w:r w:rsidRPr="004635E5">
        <w:rPr>
          <w:sz w:val="22"/>
          <w:szCs w:val="22"/>
          <w:lang w:val="en-NZ"/>
        </w:rPr>
        <w:t xml:space="preserve"> area</w:t>
      </w:r>
      <w:r w:rsidR="001C6100" w:rsidRPr="004635E5">
        <w:rPr>
          <w:sz w:val="22"/>
          <w:szCs w:val="22"/>
          <w:lang w:val="en-NZ"/>
        </w:rPr>
        <w:t>.</w:t>
      </w:r>
      <w:r w:rsidRPr="004635E5">
        <w:rPr>
          <w:sz w:val="22"/>
          <w:szCs w:val="22"/>
          <w:lang w:val="en-NZ"/>
        </w:rPr>
        <w:t xml:space="preserve"> S</w:t>
      </w:r>
      <w:r w:rsidR="001C6100" w:rsidRPr="004635E5">
        <w:rPr>
          <w:sz w:val="22"/>
          <w:szCs w:val="22"/>
          <w:lang w:val="en-NZ"/>
        </w:rPr>
        <w:t xml:space="preserve">. Clarke noted that a study </w:t>
      </w:r>
      <w:r w:rsidRPr="004635E5">
        <w:rPr>
          <w:sz w:val="22"/>
          <w:szCs w:val="22"/>
          <w:lang w:val="en-NZ"/>
        </w:rPr>
        <w:t xml:space="preserve">in </w:t>
      </w:r>
      <w:r w:rsidR="001C6100" w:rsidRPr="004635E5">
        <w:rPr>
          <w:sz w:val="22"/>
          <w:szCs w:val="22"/>
          <w:lang w:val="en-NZ"/>
        </w:rPr>
        <w:t xml:space="preserve">the </w:t>
      </w:r>
      <w:r w:rsidRPr="004635E5">
        <w:rPr>
          <w:sz w:val="22"/>
          <w:szCs w:val="22"/>
          <w:lang w:val="en-NZ"/>
        </w:rPr>
        <w:t xml:space="preserve">early 2000s </w:t>
      </w:r>
      <w:r w:rsidR="001C6100" w:rsidRPr="004635E5">
        <w:rPr>
          <w:sz w:val="22"/>
          <w:szCs w:val="22"/>
          <w:lang w:val="en-NZ"/>
        </w:rPr>
        <w:t xml:space="preserve">used </w:t>
      </w:r>
      <w:r w:rsidRPr="004635E5">
        <w:rPr>
          <w:sz w:val="22"/>
          <w:szCs w:val="22"/>
          <w:lang w:val="en-NZ"/>
        </w:rPr>
        <w:t xml:space="preserve">DNA and auction analysis using trade names. </w:t>
      </w:r>
      <w:r w:rsidR="001C6100" w:rsidRPr="004635E5">
        <w:rPr>
          <w:sz w:val="22"/>
          <w:szCs w:val="22"/>
          <w:lang w:val="en-NZ"/>
        </w:rPr>
        <w:t xml:space="preserve">She stated the </w:t>
      </w:r>
      <w:r w:rsidRPr="004635E5">
        <w:rPr>
          <w:sz w:val="22"/>
          <w:szCs w:val="22"/>
          <w:lang w:val="en-NZ"/>
        </w:rPr>
        <w:t>info</w:t>
      </w:r>
      <w:r w:rsidR="001C6100" w:rsidRPr="004635E5">
        <w:rPr>
          <w:sz w:val="22"/>
          <w:szCs w:val="22"/>
          <w:lang w:val="en-NZ"/>
        </w:rPr>
        <w:t>rmation</w:t>
      </w:r>
      <w:r w:rsidRPr="004635E5">
        <w:rPr>
          <w:sz w:val="22"/>
          <w:szCs w:val="22"/>
          <w:lang w:val="en-NZ"/>
        </w:rPr>
        <w:t xml:space="preserve"> was updated </w:t>
      </w:r>
      <w:r w:rsidR="001C6100" w:rsidRPr="004635E5">
        <w:rPr>
          <w:sz w:val="22"/>
          <w:szCs w:val="22"/>
          <w:lang w:val="en-NZ"/>
        </w:rPr>
        <w:t xml:space="preserve">in 2017, and thus </w:t>
      </w:r>
      <w:r w:rsidRPr="004635E5">
        <w:rPr>
          <w:sz w:val="22"/>
          <w:szCs w:val="22"/>
          <w:lang w:val="en-NZ"/>
        </w:rPr>
        <w:t>although customs data don</w:t>
      </w:r>
      <w:r w:rsidR="001C6100" w:rsidRPr="004635E5">
        <w:rPr>
          <w:sz w:val="22"/>
          <w:szCs w:val="22"/>
          <w:lang w:val="en-NZ"/>
        </w:rPr>
        <w:t>’</w:t>
      </w:r>
      <w:r w:rsidRPr="004635E5">
        <w:rPr>
          <w:sz w:val="22"/>
          <w:szCs w:val="22"/>
          <w:lang w:val="en-NZ"/>
        </w:rPr>
        <w:t xml:space="preserve">t record by species, </w:t>
      </w:r>
      <w:r w:rsidR="001C6100" w:rsidRPr="004635E5">
        <w:rPr>
          <w:sz w:val="22"/>
          <w:szCs w:val="22"/>
          <w:lang w:val="en-NZ"/>
        </w:rPr>
        <w:t xml:space="preserve">the study’s findings were applied </w:t>
      </w:r>
      <w:r w:rsidRPr="004635E5">
        <w:rPr>
          <w:sz w:val="22"/>
          <w:szCs w:val="22"/>
          <w:lang w:val="en-NZ"/>
        </w:rPr>
        <w:t xml:space="preserve">to </w:t>
      </w:r>
      <w:r w:rsidR="00696DFB" w:rsidRPr="004635E5">
        <w:rPr>
          <w:sz w:val="22"/>
          <w:szCs w:val="22"/>
          <w:lang w:val="en-NZ"/>
        </w:rPr>
        <w:t xml:space="preserve">determine the proportion of silky shark fins. </w:t>
      </w:r>
    </w:p>
    <w:p w14:paraId="42620646" w14:textId="77777777" w:rsidR="00112951" w:rsidRDefault="00112951" w:rsidP="00112951">
      <w:pPr>
        <w:pStyle w:val="ListParagraph"/>
        <w:rPr>
          <w:sz w:val="22"/>
          <w:szCs w:val="22"/>
          <w:lang w:val="en-NZ"/>
        </w:rPr>
      </w:pPr>
    </w:p>
    <w:p w14:paraId="45977B27" w14:textId="77777777" w:rsidR="00AE69D4" w:rsidRPr="004635E5" w:rsidRDefault="00270656"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Australia</w:t>
      </w:r>
      <w:r w:rsidR="00696DFB" w:rsidRPr="004635E5">
        <w:rPr>
          <w:sz w:val="22"/>
          <w:szCs w:val="22"/>
          <w:lang w:val="en-NZ"/>
        </w:rPr>
        <w:t xml:space="preserve"> inquired if there was </w:t>
      </w:r>
      <w:r w:rsidR="00AE69D4" w:rsidRPr="004635E5">
        <w:rPr>
          <w:sz w:val="22"/>
          <w:szCs w:val="22"/>
          <w:lang w:val="en-NZ"/>
        </w:rPr>
        <w:t xml:space="preserve">utility </w:t>
      </w:r>
      <w:r w:rsidR="00696DFB" w:rsidRPr="004635E5">
        <w:rPr>
          <w:sz w:val="22"/>
          <w:szCs w:val="22"/>
          <w:lang w:val="en-NZ"/>
        </w:rPr>
        <w:t>in doing esti</w:t>
      </w:r>
      <w:r w:rsidR="00AE69D4" w:rsidRPr="004635E5">
        <w:rPr>
          <w:sz w:val="22"/>
          <w:szCs w:val="22"/>
          <w:lang w:val="en-NZ"/>
        </w:rPr>
        <w:t xml:space="preserve">mates of sensitivity to </w:t>
      </w:r>
      <w:r w:rsidR="00696DFB" w:rsidRPr="004635E5">
        <w:rPr>
          <w:sz w:val="22"/>
          <w:szCs w:val="22"/>
          <w:lang w:val="en-NZ"/>
        </w:rPr>
        <w:t xml:space="preserve">uncertainty in the catch series. </w:t>
      </w:r>
      <w:r w:rsidRPr="004635E5">
        <w:rPr>
          <w:sz w:val="22"/>
          <w:szCs w:val="22"/>
          <w:lang w:val="en-NZ"/>
        </w:rPr>
        <w:t>The author</w:t>
      </w:r>
      <w:r w:rsidR="009537EC" w:rsidRPr="004635E5">
        <w:rPr>
          <w:sz w:val="22"/>
          <w:szCs w:val="22"/>
          <w:lang w:val="en-NZ"/>
        </w:rPr>
        <w:t xml:space="preserve">s commented that the </w:t>
      </w:r>
      <w:r w:rsidR="00AE69D4" w:rsidRPr="004635E5">
        <w:rPr>
          <w:sz w:val="22"/>
          <w:szCs w:val="22"/>
          <w:lang w:val="en-NZ"/>
        </w:rPr>
        <w:t>assessment assumed the catch series</w:t>
      </w:r>
      <w:r w:rsidR="009537EC" w:rsidRPr="004635E5">
        <w:rPr>
          <w:sz w:val="22"/>
          <w:szCs w:val="22"/>
          <w:lang w:val="en-NZ"/>
        </w:rPr>
        <w:t xml:space="preserve"> </w:t>
      </w:r>
      <w:r w:rsidRPr="004635E5">
        <w:rPr>
          <w:sz w:val="22"/>
          <w:szCs w:val="22"/>
          <w:lang w:val="en-NZ"/>
        </w:rPr>
        <w:t xml:space="preserve">was </w:t>
      </w:r>
      <w:r w:rsidR="009537EC" w:rsidRPr="004635E5">
        <w:rPr>
          <w:sz w:val="22"/>
          <w:szCs w:val="22"/>
          <w:lang w:val="en-NZ"/>
        </w:rPr>
        <w:t xml:space="preserve">known, </w:t>
      </w:r>
      <w:r w:rsidR="00AE69D4" w:rsidRPr="004635E5">
        <w:rPr>
          <w:sz w:val="22"/>
          <w:szCs w:val="22"/>
          <w:lang w:val="en-NZ"/>
        </w:rPr>
        <w:t>w</w:t>
      </w:r>
      <w:r w:rsidR="009537EC" w:rsidRPr="004635E5">
        <w:rPr>
          <w:sz w:val="22"/>
          <w:szCs w:val="22"/>
          <w:lang w:val="en-NZ"/>
        </w:rPr>
        <w:t>hich comprises a sig</w:t>
      </w:r>
      <w:r w:rsidRPr="004635E5">
        <w:rPr>
          <w:sz w:val="22"/>
          <w:szCs w:val="22"/>
          <w:lang w:val="en-NZ"/>
        </w:rPr>
        <w:t>nificant</w:t>
      </w:r>
      <w:r w:rsidR="009537EC" w:rsidRPr="004635E5">
        <w:rPr>
          <w:sz w:val="22"/>
          <w:szCs w:val="22"/>
          <w:lang w:val="en-NZ"/>
        </w:rPr>
        <w:t xml:space="preserve"> uncertainty</w:t>
      </w:r>
      <w:r w:rsidR="00AE69D4" w:rsidRPr="004635E5">
        <w:rPr>
          <w:sz w:val="22"/>
          <w:szCs w:val="22"/>
          <w:lang w:val="en-NZ"/>
        </w:rPr>
        <w:t xml:space="preserve">. </w:t>
      </w:r>
      <w:r w:rsidR="00692BD2" w:rsidRPr="004635E5">
        <w:rPr>
          <w:sz w:val="22"/>
          <w:szCs w:val="22"/>
          <w:lang w:val="en-NZ"/>
        </w:rPr>
        <w:t xml:space="preserve">The </w:t>
      </w:r>
      <w:r w:rsidR="00AE69D4" w:rsidRPr="004635E5">
        <w:rPr>
          <w:sz w:val="22"/>
          <w:szCs w:val="22"/>
          <w:lang w:val="en-NZ"/>
        </w:rPr>
        <w:t>foc</w:t>
      </w:r>
      <w:r w:rsidR="00692BD2" w:rsidRPr="004635E5">
        <w:rPr>
          <w:sz w:val="22"/>
          <w:szCs w:val="22"/>
          <w:lang w:val="en-NZ"/>
        </w:rPr>
        <w:t xml:space="preserve">us was on fitting the model to the CPUE; the fit is far better than for the </w:t>
      </w:r>
      <w:r w:rsidR="00AE69D4" w:rsidRPr="004635E5">
        <w:rPr>
          <w:sz w:val="22"/>
          <w:szCs w:val="22"/>
          <w:lang w:val="en-NZ"/>
        </w:rPr>
        <w:t>prev</w:t>
      </w:r>
      <w:r w:rsidR="00692BD2" w:rsidRPr="004635E5">
        <w:rPr>
          <w:sz w:val="22"/>
          <w:szCs w:val="22"/>
          <w:lang w:val="en-NZ"/>
        </w:rPr>
        <w:t>ious</w:t>
      </w:r>
      <w:r w:rsidR="00AE69D4" w:rsidRPr="004635E5">
        <w:rPr>
          <w:sz w:val="22"/>
          <w:szCs w:val="22"/>
          <w:lang w:val="en-NZ"/>
        </w:rPr>
        <w:t xml:space="preserve"> assessment</w:t>
      </w:r>
      <w:r w:rsidR="00692BD2" w:rsidRPr="004635E5">
        <w:rPr>
          <w:sz w:val="22"/>
          <w:szCs w:val="22"/>
          <w:lang w:val="en-NZ"/>
        </w:rPr>
        <w:t>.</w:t>
      </w:r>
    </w:p>
    <w:p w14:paraId="5F5C6B32" w14:textId="77777777" w:rsidR="00F46AB9" w:rsidRPr="004635E5" w:rsidRDefault="00F46AB9" w:rsidP="006633A8">
      <w:pPr>
        <w:autoSpaceDE w:val="0"/>
        <w:autoSpaceDN w:val="0"/>
        <w:adjustRightInd w:val="0"/>
        <w:snapToGrid w:val="0"/>
        <w:jc w:val="both"/>
        <w:rPr>
          <w:sz w:val="22"/>
          <w:szCs w:val="22"/>
          <w:lang w:val="en-NZ"/>
        </w:rPr>
      </w:pPr>
    </w:p>
    <w:p w14:paraId="778949CF" w14:textId="77777777" w:rsidR="00270656" w:rsidRPr="004635E5" w:rsidRDefault="00692BD2"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The </w:t>
      </w:r>
      <w:r w:rsidR="00AE69D4" w:rsidRPr="004635E5">
        <w:rPr>
          <w:sz w:val="22"/>
          <w:szCs w:val="22"/>
          <w:lang w:val="en-NZ"/>
        </w:rPr>
        <w:t xml:space="preserve">USA </w:t>
      </w:r>
      <w:r w:rsidRPr="004635E5">
        <w:rPr>
          <w:sz w:val="22"/>
          <w:szCs w:val="22"/>
          <w:lang w:val="en-NZ"/>
        </w:rPr>
        <w:t xml:space="preserve">noted the work done, and reflected on the significant </w:t>
      </w:r>
      <w:r w:rsidR="00AE69D4" w:rsidRPr="004635E5">
        <w:rPr>
          <w:sz w:val="22"/>
          <w:szCs w:val="22"/>
          <w:lang w:val="en-NZ"/>
        </w:rPr>
        <w:t>prob</w:t>
      </w:r>
      <w:r w:rsidRPr="004635E5">
        <w:rPr>
          <w:sz w:val="22"/>
          <w:szCs w:val="22"/>
          <w:lang w:val="en-NZ"/>
        </w:rPr>
        <w:t>lem</w:t>
      </w:r>
      <w:r w:rsidR="00AE69D4" w:rsidRPr="004635E5">
        <w:rPr>
          <w:sz w:val="22"/>
          <w:szCs w:val="22"/>
          <w:lang w:val="en-NZ"/>
        </w:rPr>
        <w:t xml:space="preserve">s </w:t>
      </w:r>
      <w:r w:rsidRPr="004635E5">
        <w:rPr>
          <w:sz w:val="22"/>
          <w:szCs w:val="22"/>
          <w:lang w:val="en-NZ"/>
        </w:rPr>
        <w:t xml:space="preserve">that were identified </w:t>
      </w:r>
      <w:r w:rsidR="00AE69D4" w:rsidRPr="004635E5">
        <w:rPr>
          <w:sz w:val="22"/>
          <w:szCs w:val="22"/>
          <w:lang w:val="en-NZ"/>
        </w:rPr>
        <w:t>with the avail</w:t>
      </w:r>
      <w:r w:rsidRPr="004635E5">
        <w:rPr>
          <w:sz w:val="22"/>
          <w:szCs w:val="22"/>
          <w:lang w:val="en-NZ"/>
        </w:rPr>
        <w:t>able</w:t>
      </w:r>
      <w:r w:rsidR="00AE69D4" w:rsidRPr="004635E5">
        <w:rPr>
          <w:sz w:val="22"/>
          <w:szCs w:val="22"/>
          <w:lang w:val="en-NZ"/>
        </w:rPr>
        <w:t xml:space="preserve"> data for </w:t>
      </w:r>
      <w:r w:rsidRPr="004635E5">
        <w:rPr>
          <w:sz w:val="22"/>
          <w:szCs w:val="22"/>
          <w:lang w:val="en-NZ"/>
        </w:rPr>
        <w:t>silky shark</w:t>
      </w:r>
      <w:r w:rsidR="00AE69D4" w:rsidRPr="004635E5">
        <w:rPr>
          <w:sz w:val="22"/>
          <w:szCs w:val="22"/>
          <w:lang w:val="en-NZ"/>
        </w:rPr>
        <w:t xml:space="preserve">. </w:t>
      </w:r>
      <w:r w:rsidR="00F4221B" w:rsidRPr="004635E5">
        <w:rPr>
          <w:sz w:val="22"/>
          <w:szCs w:val="22"/>
          <w:lang w:val="en-NZ"/>
        </w:rPr>
        <w:t xml:space="preserve">They stated the USA supported SC’s consideration of the </w:t>
      </w:r>
      <w:r w:rsidR="00AE69D4" w:rsidRPr="004635E5">
        <w:rPr>
          <w:sz w:val="22"/>
          <w:szCs w:val="22"/>
          <w:lang w:val="en-NZ"/>
        </w:rPr>
        <w:t xml:space="preserve">assessment </w:t>
      </w:r>
      <w:r w:rsidR="00771709" w:rsidRPr="004635E5">
        <w:rPr>
          <w:sz w:val="22"/>
          <w:szCs w:val="22"/>
          <w:lang w:val="en-NZ"/>
        </w:rPr>
        <w:t xml:space="preserve">as </w:t>
      </w:r>
      <w:r w:rsidR="00771709">
        <w:rPr>
          <w:sz w:val="22"/>
          <w:szCs w:val="22"/>
          <w:lang w:val="en-NZ"/>
        </w:rPr>
        <w:t xml:space="preserve">the </w:t>
      </w:r>
      <w:r w:rsidR="00771709" w:rsidRPr="004635E5">
        <w:rPr>
          <w:sz w:val="22"/>
          <w:szCs w:val="22"/>
          <w:lang w:val="en-NZ"/>
        </w:rPr>
        <w:t>B</w:t>
      </w:r>
      <w:r w:rsidR="00771709">
        <w:rPr>
          <w:sz w:val="22"/>
          <w:szCs w:val="22"/>
          <w:lang w:val="en-NZ"/>
        </w:rPr>
        <w:t xml:space="preserve">est </w:t>
      </w:r>
      <w:r w:rsidR="00771709" w:rsidRPr="004635E5">
        <w:rPr>
          <w:sz w:val="22"/>
          <w:szCs w:val="22"/>
          <w:lang w:val="en-NZ"/>
        </w:rPr>
        <w:t>S</w:t>
      </w:r>
      <w:r w:rsidR="00771709">
        <w:rPr>
          <w:sz w:val="22"/>
          <w:szCs w:val="22"/>
          <w:lang w:val="en-NZ"/>
        </w:rPr>
        <w:t xml:space="preserve">cientific </w:t>
      </w:r>
      <w:r w:rsidR="00771709" w:rsidRPr="004635E5">
        <w:rPr>
          <w:sz w:val="22"/>
          <w:szCs w:val="22"/>
          <w:lang w:val="en-NZ"/>
        </w:rPr>
        <w:t>I</w:t>
      </w:r>
      <w:r w:rsidR="00771709">
        <w:rPr>
          <w:sz w:val="22"/>
          <w:szCs w:val="22"/>
          <w:lang w:val="en-NZ"/>
        </w:rPr>
        <w:t xml:space="preserve">nformation </w:t>
      </w:r>
      <w:r w:rsidR="00771709" w:rsidRPr="004635E5">
        <w:rPr>
          <w:sz w:val="22"/>
          <w:szCs w:val="22"/>
          <w:lang w:val="en-NZ"/>
        </w:rPr>
        <w:t>A</w:t>
      </w:r>
      <w:r w:rsidR="00771709">
        <w:rPr>
          <w:sz w:val="22"/>
          <w:szCs w:val="22"/>
          <w:lang w:val="en-NZ"/>
        </w:rPr>
        <w:t>vailable (BSIA)</w:t>
      </w:r>
      <w:r w:rsidR="00771709" w:rsidRPr="004635E5">
        <w:rPr>
          <w:sz w:val="22"/>
          <w:szCs w:val="22"/>
          <w:lang w:val="en-NZ"/>
        </w:rPr>
        <w:t xml:space="preserve"> for</w:t>
      </w:r>
      <w:r w:rsidR="00771709">
        <w:rPr>
          <w:sz w:val="22"/>
          <w:szCs w:val="22"/>
          <w:lang w:val="en-NZ"/>
        </w:rPr>
        <w:t xml:space="preserve"> silky shark</w:t>
      </w:r>
      <w:r w:rsidR="00F4221B" w:rsidRPr="004635E5">
        <w:rPr>
          <w:sz w:val="22"/>
          <w:szCs w:val="22"/>
          <w:lang w:val="en-NZ"/>
        </w:rPr>
        <w:t xml:space="preserve">, but that given the uncertainty in </w:t>
      </w:r>
      <w:r w:rsidR="00AE69D4" w:rsidRPr="004635E5">
        <w:rPr>
          <w:sz w:val="22"/>
          <w:szCs w:val="22"/>
          <w:lang w:val="en-NZ"/>
        </w:rPr>
        <w:t>key life hist</w:t>
      </w:r>
      <w:r w:rsidR="00F4221B" w:rsidRPr="004635E5">
        <w:rPr>
          <w:sz w:val="22"/>
          <w:szCs w:val="22"/>
          <w:lang w:val="en-NZ"/>
        </w:rPr>
        <w:t>ory</w:t>
      </w:r>
      <w:r w:rsidR="00AE69D4" w:rsidRPr="004635E5">
        <w:rPr>
          <w:sz w:val="22"/>
          <w:szCs w:val="22"/>
          <w:lang w:val="en-NZ"/>
        </w:rPr>
        <w:t xml:space="preserve"> parameters propose</w:t>
      </w:r>
      <w:r w:rsidR="00F4221B" w:rsidRPr="004635E5">
        <w:rPr>
          <w:sz w:val="22"/>
          <w:szCs w:val="22"/>
          <w:lang w:val="en-NZ"/>
        </w:rPr>
        <w:t>d</w:t>
      </w:r>
      <w:r w:rsidR="00AE69D4" w:rsidRPr="004635E5">
        <w:rPr>
          <w:sz w:val="22"/>
          <w:szCs w:val="22"/>
          <w:lang w:val="en-NZ"/>
        </w:rPr>
        <w:t xml:space="preserve"> </w:t>
      </w:r>
      <w:r w:rsidR="00F4221B" w:rsidRPr="004635E5">
        <w:rPr>
          <w:sz w:val="22"/>
          <w:szCs w:val="22"/>
          <w:lang w:val="en-NZ"/>
        </w:rPr>
        <w:t xml:space="preserve">SC </w:t>
      </w:r>
      <w:r w:rsidR="00AE69D4" w:rsidRPr="004635E5">
        <w:rPr>
          <w:sz w:val="22"/>
          <w:szCs w:val="22"/>
          <w:lang w:val="en-NZ"/>
        </w:rPr>
        <w:t xml:space="preserve">consider </w:t>
      </w:r>
      <w:r w:rsidR="00270656" w:rsidRPr="004635E5">
        <w:rPr>
          <w:sz w:val="22"/>
          <w:szCs w:val="22"/>
          <w:lang w:val="en-NZ"/>
        </w:rPr>
        <w:t xml:space="preserve">silky shark </w:t>
      </w:r>
      <w:r w:rsidR="00F4221B" w:rsidRPr="004635E5">
        <w:rPr>
          <w:sz w:val="22"/>
          <w:szCs w:val="22"/>
          <w:lang w:val="en-NZ"/>
        </w:rPr>
        <w:t>status as “undetermined” rather than “overfishing is occurring</w:t>
      </w:r>
      <w:r w:rsidR="00AE69D4" w:rsidRPr="004635E5">
        <w:rPr>
          <w:sz w:val="22"/>
          <w:szCs w:val="22"/>
          <w:lang w:val="en-NZ"/>
        </w:rPr>
        <w:t>”</w:t>
      </w:r>
      <w:r w:rsidR="00F4221B" w:rsidRPr="004635E5">
        <w:rPr>
          <w:sz w:val="22"/>
          <w:szCs w:val="22"/>
          <w:lang w:val="en-NZ"/>
        </w:rPr>
        <w:t>.</w:t>
      </w:r>
      <w:r w:rsidR="00AE69D4" w:rsidRPr="004635E5">
        <w:rPr>
          <w:sz w:val="22"/>
          <w:szCs w:val="22"/>
          <w:lang w:val="en-NZ"/>
        </w:rPr>
        <w:t xml:space="preserve"> C</w:t>
      </w:r>
      <w:r w:rsidR="00F4221B" w:rsidRPr="004635E5">
        <w:rPr>
          <w:sz w:val="22"/>
          <w:szCs w:val="22"/>
          <w:lang w:val="en-NZ"/>
        </w:rPr>
        <w:t xml:space="preserve">hinese Taipei </w:t>
      </w:r>
      <w:r w:rsidR="00AE69D4" w:rsidRPr="004635E5">
        <w:rPr>
          <w:sz w:val="22"/>
          <w:szCs w:val="22"/>
          <w:lang w:val="en-NZ"/>
        </w:rPr>
        <w:t>note</w:t>
      </w:r>
      <w:r w:rsidR="00F4221B" w:rsidRPr="004635E5">
        <w:rPr>
          <w:sz w:val="22"/>
          <w:szCs w:val="22"/>
          <w:lang w:val="en-NZ"/>
        </w:rPr>
        <w:t>d that catch may</w:t>
      </w:r>
      <w:r w:rsidR="00AE69D4" w:rsidRPr="004635E5">
        <w:rPr>
          <w:sz w:val="22"/>
          <w:szCs w:val="22"/>
          <w:lang w:val="en-NZ"/>
        </w:rPr>
        <w:t xml:space="preserve"> be overestimated,</w:t>
      </w:r>
      <w:r w:rsidR="00AE1BB3" w:rsidRPr="004635E5">
        <w:rPr>
          <w:sz w:val="22"/>
          <w:szCs w:val="22"/>
          <w:lang w:val="en-NZ"/>
        </w:rPr>
        <w:t xml:space="preserve"> could stock s</w:t>
      </w:r>
      <w:r w:rsidR="00AE69D4" w:rsidRPr="004635E5">
        <w:rPr>
          <w:sz w:val="22"/>
          <w:szCs w:val="22"/>
          <w:lang w:val="en-NZ"/>
        </w:rPr>
        <w:t xml:space="preserve">tatus be “overfished </w:t>
      </w:r>
      <w:r w:rsidR="00AE1BB3" w:rsidRPr="004635E5">
        <w:rPr>
          <w:sz w:val="22"/>
          <w:szCs w:val="22"/>
          <w:lang w:val="en-NZ"/>
        </w:rPr>
        <w:t xml:space="preserve">based on current assessment”. </w:t>
      </w:r>
    </w:p>
    <w:p w14:paraId="68E17292" w14:textId="77777777" w:rsidR="00F46AB9" w:rsidRPr="004635E5" w:rsidRDefault="00F46AB9" w:rsidP="006633A8">
      <w:pPr>
        <w:autoSpaceDE w:val="0"/>
        <w:autoSpaceDN w:val="0"/>
        <w:adjustRightInd w:val="0"/>
        <w:snapToGrid w:val="0"/>
        <w:jc w:val="both"/>
        <w:rPr>
          <w:sz w:val="22"/>
          <w:szCs w:val="22"/>
          <w:lang w:val="en-NZ"/>
        </w:rPr>
      </w:pPr>
    </w:p>
    <w:p w14:paraId="2BF54C4B" w14:textId="77777777" w:rsidR="004B3CEF" w:rsidRPr="004635E5" w:rsidRDefault="004B3CEF" w:rsidP="00580EA4">
      <w:pPr>
        <w:numPr>
          <w:ilvl w:val="0"/>
          <w:numId w:val="18"/>
        </w:numPr>
        <w:autoSpaceDE w:val="0"/>
        <w:autoSpaceDN w:val="0"/>
        <w:adjustRightInd w:val="0"/>
        <w:snapToGrid w:val="0"/>
        <w:ind w:left="0" w:firstLine="0"/>
        <w:jc w:val="both"/>
        <w:rPr>
          <w:sz w:val="22"/>
          <w:szCs w:val="22"/>
          <w:lang w:val="en-NZ"/>
        </w:rPr>
      </w:pPr>
      <w:r w:rsidRPr="004635E5">
        <w:rPr>
          <w:b/>
          <w:sz w:val="22"/>
          <w:szCs w:val="22"/>
          <w:lang w:val="en-NZ"/>
        </w:rPr>
        <w:t xml:space="preserve">The SC accepts the WCPO silky shark stock assessment as best available science for this </w:t>
      </w:r>
      <w:r w:rsidR="00771709">
        <w:rPr>
          <w:rFonts w:eastAsiaTheme="minorEastAsia" w:hint="eastAsia"/>
          <w:b/>
          <w:sz w:val="22"/>
          <w:szCs w:val="22"/>
          <w:lang w:val="en-NZ" w:eastAsia="ko-KR"/>
        </w:rPr>
        <w:t>stock</w:t>
      </w:r>
      <w:r w:rsidRPr="004635E5">
        <w:rPr>
          <w:b/>
          <w:sz w:val="22"/>
          <w:szCs w:val="22"/>
          <w:lang w:val="en-NZ"/>
        </w:rPr>
        <w:t xml:space="preserve">. </w:t>
      </w:r>
    </w:p>
    <w:p w14:paraId="7C7C9962" w14:textId="77777777" w:rsidR="00F46AB9" w:rsidRPr="004635E5" w:rsidRDefault="00F46AB9" w:rsidP="006633A8">
      <w:pPr>
        <w:autoSpaceDE w:val="0"/>
        <w:autoSpaceDN w:val="0"/>
        <w:adjustRightInd w:val="0"/>
        <w:snapToGrid w:val="0"/>
        <w:jc w:val="both"/>
        <w:rPr>
          <w:sz w:val="22"/>
          <w:szCs w:val="22"/>
          <w:lang w:val="en-NZ"/>
        </w:rPr>
      </w:pPr>
    </w:p>
    <w:p w14:paraId="53153106" w14:textId="77777777" w:rsidR="00F721DF" w:rsidRPr="004635E5" w:rsidRDefault="00F721DF" w:rsidP="00580EA4">
      <w:pPr>
        <w:pStyle w:val="SC3"/>
        <w:numPr>
          <w:ilvl w:val="3"/>
          <w:numId w:val="161"/>
        </w:numPr>
        <w:spacing w:after="0"/>
      </w:pPr>
      <w:r w:rsidRPr="004635E5">
        <w:t xml:space="preserve">Provision of scientific information </w:t>
      </w:r>
    </w:p>
    <w:p w14:paraId="6F0686B9" w14:textId="77777777" w:rsidR="00F46AB9" w:rsidRPr="004635E5" w:rsidRDefault="00F46AB9" w:rsidP="006633A8">
      <w:pPr>
        <w:pStyle w:val="SC3"/>
        <w:numPr>
          <w:ilvl w:val="0"/>
          <w:numId w:val="0"/>
        </w:numPr>
        <w:spacing w:after="0"/>
        <w:ind w:left="1800"/>
      </w:pPr>
    </w:p>
    <w:p w14:paraId="686B5559" w14:textId="77777777" w:rsidR="007C5E6C" w:rsidRPr="00146B98" w:rsidRDefault="007C5E6C" w:rsidP="00580EA4">
      <w:pPr>
        <w:pStyle w:val="WCPFC"/>
        <w:numPr>
          <w:ilvl w:val="0"/>
          <w:numId w:val="52"/>
        </w:numPr>
        <w:adjustRightInd w:val="0"/>
        <w:spacing w:after="0"/>
        <w:ind w:left="0" w:firstLine="0"/>
        <w:rPr>
          <w:rFonts w:cs="Times New Roman"/>
        </w:rPr>
      </w:pPr>
      <w:r w:rsidRPr="004635E5">
        <w:rPr>
          <w:rFonts w:cs="Times New Roman"/>
          <w:color w:val="00000A"/>
          <w:lang w:val="en-AU"/>
        </w:rPr>
        <w:t>SC14 reviewed the report Pacific-wide Silky Shark (</w:t>
      </w:r>
      <w:r w:rsidRPr="004635E5">
        <w:rPr>
          <w:rFonts w:cs="Times New Roman"/>
          <w:i/>
          <w:color w:val="00000A"/>
          <w:lang w:val="en-AU"/>
        </w:rPr>
        <w:t>Carcharhinus falciformis</w:t>
      </w:r>
      <w:r w:rsidRPr="004635E5">
        <w:rPr>
          <w:rFonts w:cs="Times New Roman"/>
          <w:color w:val="00000A"/>
          <w:lang w:val="en-AU"/>
        </w:rPr>
        <w:t>) stock status assessment (SC14</w:t>
      </w:r>
      <w:r w:rsidR="00797E2B">
        <w:rPr>
          <w:rFonts w:cs="Times New Roman"/>
          <w:color w:val="00000A"/>
          <w:lang w:val="en-AU"/>
        </w:rPr>
        <w:t>-</w:t>
      </w:r>
      <w:r w:rsidRPr="004635E5">
        <w:rPr>
          <w:rFonts w:cs="Times New Roman"/>
          <w:color w:val="00000A"/>
          <w:lang w:val="en-AU"/>
        </w:rPr>
        <w:t xml:space="preserve">SA-WP-08 and Addendum) </w:t>
      </w:r>
      <w:r w:rsidRPr="004635E5">
        <w:rPr>
          <w:rFonts w:cs="Times New Roman"/>
          <w:color w:val="00000A"/>
          <w:lang w:val="en-AU" w:eastAsia="ko-KR"/>
        </w:rPr>
        <w:t>presented by S. Clarke and A. Langley</w:t>
      </w:r>
      <w:r w:rsidRPr="004635E5">
        <w:rPr>
          <w:rFonts w:cs="Times New Roman"/>
          <w:color w:val="00000A"/>
          <w:lang w:val="en-AU"/>
        </w:rPr>
        <w:t xml:space="preserve">.  The assessment presented the development of </w:t>
      </w:r>
      <w:r w:rsidR="00B76C74">
        <w:rPr>
          <w:rFonts w:cs="Times New Roman" w:hint="eastAsia"/>
          <w:color w:val="00000A"/>
          <w:lang w:val="en-AU" w:eastAsia="ko-KR"/>
        </w:rPr>
        <w:t xml:space="preserve">a </w:t>
      </w:r>
      <w:r w:rsidRPr="004635E5">
        <w:rPr>
          <w:rFonts w:cs="Times New Roman"/>
          <w:color w:val="00000A"/>
          <w:lang w:val="en-AU"/>
        </w:rPr>
        <w:t xml:space="preserve">Pacific-wide model as well as a WCPO-only model of stock status which updates and refines the previous assessment presented to SC8.  </w:t>
      </w:r>
    </w:p>
    <w:p w14:paraId="78B63821" w14:textId="77777777" w:rsidR="00375849" w:rsidRPr="004635E5" w:rsidRDefault="00375849" w:rsidP="00375849">
      <w:pPr>
        <w:pStyle w:val="WCPFC"/>
        <w:numPr>
          <w:ilvl w:val="0"/>
          <w:numId w:val="0"/>
        </w:numPr>
        <w:adjustRightInd w:val="0"/>
        <w:spacing w:after="0"/>
        <w:rPr>
          <w:rFonts w:cs="Times New Roman"/>
        </w:rPr>
      </w:pPr>
    </w:p>
    <w:p w14:paraId="01945369" w14:textId="77777777" w:rsidR="00F46AB9" w:rsidRPr="004635E5" w:rsidRDefault="00F721DF" w:rsidP="00132438">
      <w:pPr>
        <w:pStyle w:val="SCa"/>
        <w:tabs>
          <w:tab w:val="clear" w:pos="1080"/>
        </w:tabs>
        <w:spacing w:after="0"/>
        <w:ind w:left="0"/>
      </w:pPr>
      <w:r w:rsidRPr="004635E5">
        <w:t>a.</w:t>
      </w:r>
      <w:r w:rsidRPr="004635E5">
        <w:tab/>
      </w:r>
      <w:r w:rsidR="002C5A25" w:rsidRPr="004635E5">
        <w:t>Stock status and trends</w:t>
      </w:r>
    </w:p>
    <w:p w14:paraId="32509BB7" w14:textId="77777777" w:rsidR="00F46AB9" w:rsidRPr="004635E5" w:rsidRDefault="00F46AB9" w:rsidP="006633A8">
      <w:pPr>
        <w:pStyle w:val="SCa"/>
        <w:spacing w:after="0"/>
      </w:pPr>
    </w:p>
    <w:p w14:paraId="59729AA4" w14:textId="77777777" w:rsidR="002C5A25" w:rsidRPr="004635E5" w:rsidRDefault="002C5A25" w:rsidP="00580EA4">
      <w:pPr>
        <w:numPr>
          <w:ilvl w:val="0"/>
          <w:numId w:val="18"/>
        </w:numPr>
        <w:autoSpaceDE w:val="0"/>
        <w:autoSpaceDN w:val="0"/>
        <w:adjustRightInd w:val="0"/>
        <w:snapToGrid w:val="0"/>
        <w:ind w:left="0" w:firstLine="0"/>
        <w:jc w:val="both"/>
        <w:rPr>
          <w:b/>
          <w:sz w:val="22"/>
          <w:szCs w:val="22"/>
          <w:lang w:val="en-AU"/>
        </w:rPr>
      </w:pPr>
      <w:r w:rsidRPr="004635E5">
        <w:rPr>
          <w:b/>
          <w:sz w:val="22"/>
          <w:szCs w:val="22"/>
          <w:lang w:val="en-AU"/>
        </w:rPr>
        <w:t>SC14 noted given the inherent uncertainty in the current assessment the current estimates of stock status should be considered indicative only</w:t>
      </w:r>
      <w:r w:rsidR="00A16680" w:rsidRPr="004635E5">
        <w:rPr>
          <w:b/>
          <w:sz w:val="22"/>
          <w:szCs w:val="22"/>
          <w:lang w:val="en-AU"/>
        </w:rPr>
        <w:t xml:space="preserve">. </w:t>
      </w:r>
      <w:r w:rsidRPr="004635E5">
        <w:rPr>
          <w:b/>
          <w:sz w:val="22"/>
          <w:szCs w:val="22"/>
          <w:lang w:val="en-AU"/>
        </w:rPr>
        <w:t>Although these estimates are not considered a reliable basis for management decision-making they represent progress since the 2013 assessment and the best available science concerning the status of silky sharks in the WCPO</w:t>
      </w:r>
      <w:r w:rsidR="00A16680" w:rsidRPr="004635E5">
        <w:rPr>
          <w:b/>
          <w:sz w:val="22"/>
          <w:szCs w:val="22"/>
          <w:lang w:val="en-AU"/>
        </w:rPr>
        <w:t xml:space="preserve">. </w:t>
      </w:r>
      <w:r w:rsidRPr="004635E5">
        <w:rPr>
          <w:b/>
          <w:sz w:val="22"/>
          <w:szCs w:val="22"/>
          <w:lang w:val="en-AU"/>
        </w:rPr>
        <w:t>Therefore, as part of its ongoing review of the established conservation and management measure for silky sharks (CMM 2013-08), the Commission may wish to consider these indicative results until such time as better estimates become available</w:t>
      </w:r>
      <w:r w:rsidR="00A16680" w:rsidRPr="004635E5">
        <w:rPr>
          <w:b/>
          <w:sz w:val="22"/>
          <w:szCs w:val="22"/>
          <w:lang w:val="en-AU"/>
        </w:rPr>
        <w:t xml:space="preserve">. </w:t>
      </w:r>
    </w:p>
    <w:p w14:paraId="1CA35EC8" w14:textId="77777777" w:rsidR="00F46AB9" w:rsidRPr="004635E5" w:rsidRDefault="00F46AB9" w:rsidP="006633A8">
      <w:pPr>
        <w:autoSpaceDE w:val="0"/>
        <w:autoSpaceDN w:val="0"/>
        <w:adjustRightInd w:val="0"/>
        <w:snapToGrid w:val="0"/>
        <w:jc w:val="both"/>
        <w:rPr>
          <w:b/>
          <w:sz w:val="22"/>
          <w:szCs w:val="22"/>
          <w:lang w:val="en-AU"/>
        </w:rPr>
      </w:pPr>
    </w:p>
    <w:p w14:paraId="4277EEAE" w14:textId="77777777" w:rsidR="002C5A25" w:rsidRPr="004635E5" w:rsidRDefault="002C5A25" w:rsidP="00580EA4">
      <w:pPr>
        <w:numPr>
          <w:ilvl w:val="0"/>
          <w:numId w:val="18"/>
        </w:numPr>
        <w:autoSpaceDE w:val="0"/>
        <w:autoSpaceDN w:val="0"/>
        <w:adjustRightInd w:val="0"/>
        <w:snapToGrid w:val="0"/>
        <w:ind w:left="0" w:firstLine="0"/>
        <w:jc w:val="both"/>
        <w:rPr>
          <w:b/>
          <w:sz w:val="22"/>
          <w:szCs w:val="22"/>
          <w:lang w:val="en-AU"/>
        </w:rPr>
      </w:pPr>
      <w:r w:rsidRPr="004635E5">
        <w:rPr>
          <w:b/>
          <w:sz w:val="22"/>
          <w:szCs w:val="22"/>
          <w:lang w:val="en-AU"/>
        </w:rPr>
        <w:t>SC14 noted that indications from the 2018 WCPO model show that the stock declined steadily over the model period (1995-2016) (Figure FAL-1)</w:t>
      </w:r>
      <w:r w:rsidR="00A16680" w:rsidRPr="004635E5">
        <w:rPr>
          <w:b/>
          <w:sz w:val="22"/>
          <w:szCs w:val="22"/>
          <w:lang w:val="en-AU"/>
        </w:rPr>
        <w:t xml:space="preserve">. </w:t>
      </w:r>
      <w:r w:rsidRPr="004635E5">
        <w:rPr>
          <w:b/>
          <w:sz w:val="22"/>
          <w:szCs w:val="22"/>
          <w:lang w:val="en-AU"/>
        </w:rPr>
        <w:t>The assessment model estimates spawning biomass in 2016 to have been at 47% of the unexploited level (SB</w:t>
      </w:r>
      <w:r w:rsidRPr="004635E5">
        <w:rPr>
          <w:b/>
          <w:sz w:val="22"/>
          <w:szCs w:val="22"/>
          <w:vertAlign w:val="subscript"/>
          <w:lang w:val="en-AU"/>
        </w:rPr>
        <w:t>2016</w:t>
      </w:r>
      <w:r w:rsidRPr="004635E5">
        <w:rPr>
          <w:b/>
          <w:sz w:val="22"/>
          <w:szCs w:val="22"/>
          <w:lang w:val="en-AU"/>
        </w:rPr>
        <w:t>/SB</w:t>
      </w:r>
      <w:r w:rsidRPr="004635E5">
        <w:rPr>
          <w:b/>
          <w:sz w:val="22"/>
          <w:szCs w:val="22"/>
          <w:vertAlign w:val="subscript"/>
          <w:lang w:val="en-AU"/>
        </w:rPr>
        <w:t>0</w:t>
      </w:r>
      <w:r w:rsidRPr="004635E5">
        <w:rPr>
          <w:b/>
          <w:sz w:val="22"/>
          <w:szCs w:val="22"/>
          <w:lang w:val="en-AU"/>
        </w:rPr>
        <w:t xml:space="preserve"> = 0.469)</w:t>
      </w:r>
      <w:r w:rsidR="00A16680" w:rsidRPr="004635E5">
        <w:rPr>
          <w:b/>
          <w:sz w:val="22"/>
          <w:szCs w:val="22"/>
          <w:lang w:val="en-AU"/>
        </w:rPr>
        <w:t xml:space="preserve">. </w:t>
      </w:r>
      <w:r w:rsidRPr="004635E5">
        <w:rPr>
          <w:b/>
          <w:sz w:val="22"/>
          <w:szCs w:val="22"/>
          <w:lang w:val="en-AU"/>
        </w:rPr>
        <w:t>Current biomass is estimated to be above the MSY reference biomass level; however, there is considerable uncertainty associated with the estimate of stock status (SB</w:t>
      </w:r>
      <w:r w:rsidRPr="004635E5">
        <w:rPr>
          <w:b/>
          <w:sz w:val="22"/>
          <w:szCs w:val="22"/>
          <w:vertAlign w:val="subscript"/>
          <w:lang w:val="en-AU"/>
        </w:rPr>
        <w:t>2016</w:t>
      </w:r>
      <w:r w:rsidRPr="004635E5">
        <w:rPr>
          <w:b/>
          <w:sz w:val="22"/>
          <w:szCs w:val="22"/>
          <w:lang w:val="en-AU"/>
        </w:rPr>
        <w:t>/SB</w:t>
      </w:r>
      <w:r w:rsidRPr="004635E5">
        <w:rPr>
          <w:b/>
          <w:sz w:val="22"/>
          <w:szCs w:val="22"/>
          <w:vertAlign w:val="subscript"/>
          <w:lang w:val="en-AU"/>
        </w:rPr>
        <w:t>MSY</w:t>
      </w:r>
      <w:r w:rsidRPr="004635E5">
        <w:rPr>
          <w:b/>
          <w:sz w:val="22"/>
          <w:szCs w:val="22"/>
          <w:lang w:val="en-AU"/>
        </w:rPr>
        <w:t xml:space="preserve"> = 1.178 95% CI </w:t>
      </w:r>
      <w:r w:rsidRPr="004635E5">
        <w:rPr>
          <w:rFonts w:eastAsia="Yu Mincho"/>
          <w:b/>
          <w:bCs/>
          <w:sz w:val="22"/>
          <w:szCs w:val="22"/>
          <w:lang w:val="en-GB" w:eastAsia="ja-JP"/>
        </w:rPr>
        <w:t>0.590-1.770</w:t>
      </w:r>
      <w:r w:rsidRPr="004635E5">
        <w:rPr>
          <w:b/>
          <w:sz w:val="22"/>
          <w:szCs w:val="22"/>
          <w:lang w:val="en-AU"/>
        </w:rPr>
        <w:t>) (Table FAL-1)</w:t>
      </w:r>
      <w:r w:rsidR="00A16680" w:rsidRPr="004635E5">
        <w:rPr>
          <w:b/>
          <w:sz w:val="22"/>
          <w:szCs w:val="22"/>
          <w:lang w:val="en-AU"/>
        </w:rPr>
        <w:t xml:space="preserve">. </w:t>
      </w:r>
      <w:r w:rsidRPr="004635E5">
        <w:rPr>
          <w:b/>
          <w:sz w:val="22"/>
          <w:szCs w:val="22"/>
          <w:lang w:val="en-AU"/>
        </w:rPr>
        <w:t>On balance, the stock is not considered to be overfished, i.e. there is a 78% probability that SB</w:t>
      </w:r>
      <w:r w:rsidRPr="004635E5">
        <w:rPr>
          <w:b/>
          <w:sz w:val="22"/>
          <w:szCs w:val="22"/>
          <w:vertAlign w:val="subscript"/>
          <w:lang w:val="en-AU"/>
        </w:rPr>
        <w:t>2016</w:t>
      </w:r>
      <w:r w:rsidRPr="004635E5">
        <w:rPr>
          <w:b/>
          <w:sz w:val="22"/>
          <w:szCs w:val="22"/>
          <w:lang w:val="en-AU"/>
        </w:rPr>
        <w:t xml:space="preserve"> is greater than SB</w:t>
      </w:r>
      <w:r w:rsidRPr="004635E5">
        <w:rPr>
          <w:b/>
          <w:sz w:val="22"/>
          <w:szCs w:val="22"/>
          <w:vertAlign w:val="subscript"/>
          <w:lang w:val="en-AU"/>
        </w:rPr>
        <w:t>MSY</w:t>
      </w:r>
      <w:r w:rsidRPr="004635E5">
        <w:rPr>
          <w:b/>
          <w:sz w:val="22"/>
          <w:szCs w:val="22"/>
          <w:lang w:val="en-AU"/>
        </w:rPr>
        <w:t xml:space="preserve"> (Table FAL-1)</w:t>
      </w:r>
      <w:r w:rsidR="00A16680" w:rsidRPr="004635E5">
        <w:rPr>
          <w:b/>
          <w:sz w:val="22"/>
          <w:szCs w:val="22"/>
          <w:lang w:val="en-AU"/>
        </w:rPr>
        <w:t xml:space="preserve">. </w:t>
      </w:r>
    </w:p>
    <w:p w14:paraId="0E0C62C1" w14:textId="77777777" w:rsidR="002C5A25" w:rsidRPr="004635E5" w:rsidRDefault="002C5A25" w:rsidP="006633A8">
      <w:pPr>
        <w:adjustRightInd w:val="0"/>
        <w:snapToGrid w:val="0"/>
        <w:ind w:left="567"/>
        <w:jc w:val="both"/>
        <w:rPr>
          <w:b/>
          <w:sz w:val="22"/>
          <w:szCs w:val="22"/>
          <w:lang w:val="en-AU"/>
        </w:rPr>
      </w:pPr>
    </w:p>
    <w:p w14:paraId="0C353BEA" w14:textId="77777777" w:rsidR="002C5A25" w:rsidRPr="004635E5" w:rsidRDefault="006B5EBE" w:rsidP="006633A8">
      <w:pPr>
        <w:adjustRightInd w:val="0"/>
        <w:snapToGrid w:val="0"/>
        <w:jc w:val="center"/>
        <w:rPr>
          <w:rFonts w:eastAsia="Yu Mincho"/>
          <w:color w:val="00000A"/>
          <w:sz w:val="22"/>
          <w:szCs w:val="22"/>
          <w:lang w:val="en-NZ"/>
        </w:rPr>
      </w:pPr>
      <w:r w:rsidRPr="004635E5">
        <w:rPr>
          <w:rFonts w:eastAsia="Yu Mincho"/>
          <w:noProof/>
          <w:color w:val="00000A"/>
          <w:sz w:val="22"/>
          <w:szCs w:val="22"/>
          <w:lang w:eastAsia="zh-CN" w:bidi="mn-Mong-CN"/>
        </w:rPr>
        <w:drawing>
          <wp:inline distT="0" distB="0" distL="0" distR="0" wp14:anchorId="696308CD" wp14:editId="175593CA">
            <wp:extent cx="3825240" cy="38252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Bbase.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825240" cy="3825240"/>
                    </a:xfrm>
                    <a:prstGeom prst="rect">
                      <a:avLst/>
                    </a:prstGeom>
                  </pic:spPr>
                </pic:pic>
              </a:graphicData>
            </a:graphic>
          </wp:inline>
        </w:drawing>
      </w:r>
    </w:p>
    <w:p w14:paraId="71484384" w14:textId="77777777" w:rsidR="002C5A25" w:rsidRPr="004635E5" w:rsidRDefault="002C5A25" w:rsidP="006633A8">
      <w:pPr>
        <w:adjustRightInd w:val="0"/>
        <w:snapToGrid w:val="0"/>
        <w:jc w:val="both"/>
        <w:rPr>
          <w:rFonts w:eastAsia="Yu Mincho"/>
          <w:b/>
          <w:color w:val="00000A"/>
          <w:sz w:val="22"/>
          <w:szCs w:val="22"/>
          <w:lang w:val="en-GB"/>
        </w:rPr>
      </w:pPr>
      <w:r w:rsidRPr="004635E5">
        <w:rPr>
          <w:rFonts w:eastAsia="Yu Mincho"/>
          <w:b/>
          <w:color w:val="00000A"/>
          <w:sz w:val="22"/>
          <w:szCs w:val="22"/>
          <w:lang w:val="en-GB"/>
        </w:rPr>
        <w:t xml:space="preserve">Figure FAL-1: </w:t>
      </w:r>
      <w:r w:rsidRPr="004635E5">
        <w:rPr>
          <w:rFonts w:eastAsia="Yu Mincho"/>
          <w:color w:val="00000A"/>
          <w:sz w:val="22"/>
          <w:szCs w:val="22"/>
          <w:lang w:val="en-GB"/>
        </w:rPr>
        <w:t>Estimated spawning biomass relative to unexploited biomass (SB</w:t>
      </w:r>
      <w:r w:rsidRPr="004635E5">
        <w:rPr>
          <w:rFonts w:eastAsia="Yu Mincho"/>
          <w:color w:val="00000A"/>
          <w:sz w:val="22"/>
          <w:szCs w:val="22"/>
          <w:vertAlign w:val="subscript"/>
          <w:lang w:val="en-GB"/>
        </w:rPr>
        <w:t>0</w:t>
      </w:r>
      <w:r w:rsidRPr="004635E5">
        <w:rPr>
          <w:rFonts w:eastAsia="Yu Mincho"/>
          <w:color w:val="00000A"/>
          <w:sz w:val="22"/>
          <w:szCs w:val="22"/>
          <w:lang w:val="en-GB"/>
        </w:rPr>
        <w:t>) for the WCPO assessment model (CPUEqdev).</w:t>
      </w:r>
    </w:p>
    <w:p w14:paraId="7C53120A" w14:textId="77777777" w:rsidR="002C5A25" w:rsidRPr="004635E5" w:rsidRDefault="002C5A25" w:rsidP="006633A8">
      <w:pPr>
        <w:adjustRightInd w:val="0"/>
        <w:snapToGrid w:val="0"/>
        <w:ind w:left="567"/>
        <w:jc w:val="both"/>
        <w:rPr>
          <w:sz w:val="22"/>
          <w:szCs w:val="22"/>
          <w:lang w:val="en-GB"/>
        </w:rPr>
      </w:pPr>
    </w:p>
    <w:p w14:paraId="19E809D6" w14:textId="77777777" w:rsidR="002C5A25" w:rsidRPr="004635E5" w:rsidRDefault="002C5A25" w:rsidP="006633A8">
      <w:pPr>
        <w:adjustRightInd w:val="0"/>
        <w:snapToGrid w:val="0"/>
        <w:rPr>
          <w:rFonts w:eastAsia="Yu Mincho"/>
          <w:sz w:val="22"/>
          <w:szCs w:val="22"/>
          <w:lang w:eastAsia="ja-JP"/>
        </w:rPr>
      </w:pPr>
      <w:r w:rsidRPr="004635E5">
        <w:rPr>
          <w:rFonts w:eastAsia="Yu Mincho"/>
          <w:b/>
          <w:sz w:val="22"/>
          <w:szCs w:val="22"/>
          <w:lang w:val="en-GB" w:eastAsia="ja-JP"/>
        </w:rPr>
        <w:t xml:space="preserve">Table FAL-1: </w:t>
      </w:r>
      <w:r w:rsidRPr="004635E5">
        <w:rPr>
          <w:rFonts w:eastAsia="Yu Mincho"/>
          <w:bCs/>
          <w:sz w:val="22"/>
          <w:szCs w:val="22"/>
          <w:lang w:val="en-GB" w:eastAsia="ja-JP"/>
        </w:rPr>
        <w:t>Management quantities (and 95% confidence intervals) for the WCPO assessment model (</w:t>
      </w:r>
      <w:r w:rsidRPr="004635E5">
        <w:rPr>
          <w:rFonts w:eastAsia="Yu Mincho"/>
          <w:bCs/>
          <w:i/>
          <w:sz w:val="22"/>
          <w:szCs w:val="22"/>
          <w:lang w:val="en-GB" w:eastAsia="ja-JP"/>
        </w:rPr>
        <w:t>CPUEqdev</w:t>
      </w:r>
      <w:r w:rsidRPr="004635E5">
        <w:rPr>
          <w:rFonts w:eastAsia="Yu Mincho"/>
          <w:bCs/>
          <w:sz w:val="22"/>
          <w:szCs w:val="22"/>
          <w:lang w:val="en-GB" w:eastAsia="ja-JP"/>
        </w:rPr>
        <w:t>).</w:t>
      </w:r>
    </w:p>
    <w:tbl>
      <w:tblPr>
        <w:tblStyle w:val="TableGrid2"/>
        <w:tblW w:w="0" w:type="auto"/>
        <w:tblLook w:val="04A0" w:firstRow="1" w:lastRow="0" w:firstColumn="1" w:lastColumn="0" w:noHBand="0" w:noVBand="1"/>
      </w:tblPr>
      <w:tblGrid>
        <w:gridCol w:w="3116"/>
        <w:gridCol w:w="2549"/>
        <w:gridCol w:w="2694"/>
      </w:tblGrid>
      <w:tr w:rsidR="002C5A25" w:rsidRPr="004635E5" w14:paraId="5BCB805A" w14:textId="77777777" w:rsidTr="00E419FB">
        <w:tc>
          <w:tcPr>
            <w:tcW w:w="3116" w:type="dxa"/>
          </w:tcPr>
          <w:p w14:paraId="75CE287C" w14:textId="77777777" w:rsidR="002C5A25" w:rsidRPr="004635E5" w:rsidRDefault="002C5A25" w:rsidP="006633A8">
            <w:pPr>
              <w:adjustRightInd w:val="0"/>
              <w:snapToGrid w:val="0"/>
              <w:rPr>
                <w:rFonts w:ascii="Times New Roman" w:eastAsia="Yu Mincho" w:hAnsi="Times New Roman" w:cs="Times New Roman"/>
                <w:lang w:eastAsia="ja-JP"/>
              </w:rPr>
            </w:pPr>
            <w:r w:rsidRPr="004635E5">
              <w:rPr>
                <w:rFonts w:ascii="Times New Roman" w:eastAsia="Yu Mincho" w:hAnsi="Times New Roman" w:cs="Times New Roman"/>
                <w:lang w:eastAsia="ja-JP"/>
              </w:rPr>
              <w:t>Management quantity</w:t>
            </w:r>
          </w:p>
        </w:tc>
        <w:tc>
          <w:tcPr>
            <w:tcW w:w="2549" w:type="dxa"/>
          </w:tcPr>
          <w:p w14:paraId="00F423C6" w14:textId="77777777"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Value</w:t>
            </w:r>
          </w:p>
        </w:tc>
        <w:tc>
          <w:tcPr>
            <w:tcW w:w="2694" w:type="dxa"/>
          </w:tcPr>
          <w:p w14:paraId="310D06D2" w14:textId="77777777" w:rsidR="002C5A25" w:rsidRPr="004635E5" w:rsidRDefault="002C5A25" w:rsidP="006633A8">
            <w:pPr>
              <w:adjustRightInd w:val="0"/>
              <w:snapToGrid w:val="0"/>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Confidence interval (95%)</w:t>
            </w:r>
          </w:p>
        </w:tc>
      </w:tr>
      <w:tr w:rsidR="002C5A25" w:rsidRPr="004635E5" w14:paraId="23ED02D1" w14:textId="77777777" w:rsidTr="00E419FB">
        <w:tc>
          <w:tcPr>
            <w:tcW w:w="3116" w:type="dxa"/>
          </w:tcPr>
          <w:p w14:paraId="2907EEC6" w14:textId="77777777"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0</w:t>
            </w:r>
          </w:p>
        </w:tc>
        <w:tc>
          <w:tcPr>
            <w:tcW w:w="2549" w:type="dxa"/>
          </w:tcPr>
          <w:p w14:paraId="305FFDA5" w14:textId="77777777"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11,865</w:t>
            </w:r>
          </w:p>
        </w:tc>
        <w:tc>
          <w:tcPr>
            <w:tcW w:w="2694" w:type="dxa"/>
          </w:tcPr>
          <w:p w14:paraId="6D926301" w14:textId="77777777"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6,412-17,318</w:t>
            </w:r>
          </w:p>
        </w:tc>
      </w:tr>
      <w:tr w:rsidR="002C5A25" w:rsidRPr="004635E5" w14:paraId="36BB12C0" w14:textId="77777777" w:rsidTr="00E419FB">
        <w:tc>
          <w:tcPr>
            <w:tcW w:w="3116" w:type="dxa"/>
          </w:tcPr>
          <w:p w14:paraId="5691E3AA" w14:textId="77777777"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1995</w:t>
            </w:r>
          </w:p>
        </w:tc>
        <w:tc>
          <w:tcPr>
            <w:tcW w:w="2549" w:type="dxa"/>
          </w:tcPr>
          <w:p w14:paraId="35D7E57F" w14:textId="77777777"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8,552</w:t>
            </w:r>
          </w:p>
        </w:tc>
        <w:tc>
          <w:tcPr>
            <w:tcW w:w="2694" w:type="dxa"/>
          </w:tcPr>
          <w:p w14:paraId="368C12D4" w14:textId="77777777"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2,590-14,513</w:t>
            </w:r>
          </w:p>
        </w:tc>
      </w:tr>
      <w:tr w:rsidR="002C5A25" w:rsidRPr="004635E5" w14:paraId="0A1898A4" w14:textId="77777777" w:rsidTr="00E419FB">
        <w:tc>
          <w:tcPr>
            <w:tcW w:w="3116" w:type="dxa"/>
          </w:tcPr>
          <w:p w14:paraId="41CB3162" w14:textId="77777777"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MSY</w:t>
            </w:r>
          </w:p>
        </w:tc>
        <w:tc>
          <w:tcPr>
            <w:tcW w:w="2549" w:type="dxa"/>
          </w:tcPr>
          <w:p w14:paraId="2B324A14" w14:textId="77777777"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4,721</w:t>
            </w:r>
          </w:p>
        </w:tc>
        <w:tc>
          <w:tcPr>
            <w:tcW w:w="2694" w:type="dxa"/>
          </w:tcPr>
          <w:p w14:paraId="4350B410" w14:textId="77777777"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2,560-6,882</w:t>
            </w:r>
          </w:p>
        </w:tc>
      </w:tr>
      <w:tr w:rsidR="002C5A25" w:rsidRPr="004635E5" w14:paraId="6A542F9C" w14:textId="77777777" w:rsidTr="00E419FB">
        <w:tc>
          <w:tcPr>
            <w:tcW w:w="3116" w:type="dxa"/>
          </w:tcPr>
          <w:p w14:paraId="6CA48259" w14:textId="77777777"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MSY</w:t>
            </w: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0</w:t>
            </w:r>
          </w:p>
        </w:tc>
        <w:tc>
          <w:tcPr>
            <w:tcW w:w="2549" w:type="dxa"/>
          </w:tcPr>
          <w:p w14:paraId="7E298810" w14:textId="77777777"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0.398</w:t>
            </w:r>
          </w:p>
        </w:tc>
        <w:tc>
          <w:tcPr>
            <w:tcW w:w="2694" w:type="dxa"/>
          </w:tcPr>
          <w:p w14:paraId="1A55D835" w14:textId="77777777"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0.397-0.399</w:t>
            </w:r>
          </w:p>
        </w:tc>
      </w:tr>
      <w:tr w:rsidR="002C5A25" w:rsidRPr="004635E5" w14:paraId="49C3015A" w14:textId="77777777" w:rsidTr="00E419FB">
        <w:tc>
          <w:tcPr>
            <w:tcW w:w="3116" w:type="dxa"/>
          </w:tcPr>
          <w:p w14:paraId="3AB36304" w14:textId="77777777"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2016</w:t>
            </w:r>
          </w:p>
        </w:tc>
        <w:tc>
          <w:tcPr>
            <w:tcW w:w="2549" w:type="dxa"/>
          </w:tcPr>
          <w:p w14:paraId="0EEA6726" w14:textId="77777777"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5,560</w:t>
            </w:r>
          </w:p>
        </w:tc>
        <w:tc>
          <w:tcPr>
            <w:tcW w:w="2694" w:type="dxa"/>
          </w:tcPr>
          <w:p w14:paraId="5183D659" w14:textId="77777777"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301-10,819</w:t>
            </w:r>
          </w:p>
        </w:tc>
      </w:tr>
      <w:tr w:rsidR="002C5A25" w:rsidRPr="004635E5" w14:paraId="62A3D315" w14:textId="77777777" w:rsidTr="00E419FB">
        <w:tc>
          <w:tcPr>
            <w:tcW w:w="3116" w:type="dxa"/>
          </w:tcPr>
          <w:p w14:paraId="5917BE8C" w14:textId="77777777"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2016</w:t>
            </w: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0</w:t>
            </w:r>
          </w:p>
        </w:tc>
        <w:tc>
          <w:tcPr>
            <w:tcW w:w="2549" w:type="dxa"/>
          </w:tcPr>
          <w:p w14:paraId="7EF5ED6D" w14:textId="77777777"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0.469</w:t>
            </w:r>
          </w:p>
        </w:tc>
        <w:tc>
          <w:tcPr>
            <w:tcW w:w="2694" w:type="dxa"/>
          </w:tcPr>
          <w:p w14:paraId="3BA2765E" w14:textId="77777777"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0.229-0.729</w:t>
            </w:r>
          </w:p>
        </w:tc>
      </w:tr>
      <w:tr w:rsidR="002C5A25" w:rsidRPr="004635E5" w14:paraId="48C97A57" w14:textId="77777777" w:rsidTr="00E419FB">
        <w:tc>
          <w:tcPr>
            <w:tcW w:w="3116" w:type="dxa"/>
          </w:tcPr>
          <w:p w14:paraId="41E5ABCA" w14:textId="77777777"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2016</w:t>
            </w: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MSY</w:t>
            </w:r>
          </w:p>
        </w:tc>
        <w:tc>
          <w:tcPr>
            <w:tcW w:w="2549" w:type="dxa"/>
          </w:tcPr>
          <w:p w14:paraId="22FC3216" w14:textId="77777777"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 xml:space="preserve">1.178 </w:t>
            </w:r>
          </w:p>
        </w:tc>
        <w:tc>
          <w:tcPr>
            <w:tcW w:w="2694" w:type="dxa"/>
          </w:tcPr>
          <w:p w14:paraId="401A3754" w14:textId="77777777"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0.590-1.77</w:t>
            </w:r>
          </w:p>
        </w:tc>
      </w:tr>
      <w:tr w:rsidR="002C5A25" w:rsidRPr="004635E5" w14:paraId="6581B2A9" w14:textId="77777777" w:rsidTr="00E419FB">
        <w:tc>
          <w:tcPr>
            <w:tcW w:w="3116" w:type="dxa"/>
          </w:tcPr>
          <w:p w14:paraId="746739DD" w14:textId="77777777"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lang w:eastAsia="ja-JP"/>
              </w:rPr>
              <w:t>Pr(</w:t>
            </w: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2016</w:t>
            </w:r>
            <w:r w:rsidRPr="004635E5">
              <w:rPr>
                <w:rFonts w:ascii="Times New Roman" w:eastAsia="Yu Mincho" w:hAnsi="Times New Roman" w:cs="Times New Roman"/>
                <w:i/>
                <w:lang w:eastAsia="ja-JP"/>
              </w:rPr>
              <w:t xml:space="preserve"> &gt; SB</w:t>
            </w:r>
            <w:r w:rsidRPr="004635E5">
              <w:rPr>
                <w:rFonts w:ascii="Times New Roman" w:eastAsia="Yu Mincho" w:hAnsi="Times New Roman" w:cs="Times New Roman"/>
                <w:i/>
                <w:vertAlign w:val="subscript"/>
                <w:lang w:eastAsia="ja-JP"/>
              </w:rPr>
              <w:t>MSY</w:t>
            </w:r>
            <w:r w:rsidRPr="004635E5">
              <w:rPr>
                <w:rFonts w:ascii="Times New Roman" w:eastAsia="Yu Mincho" w:hAnsi="Times New Roman" w:cs="Times New Roman"/>
                <w:lang w:eastAsia="ja-JP"/>
              </w:rPr>
              <w:t>)</w:t>
            </w:r>
          </w:p>
        </w:tc>
        <w:tc>
          <w:tcPr>
            <w:tcW w:w="2549" w:type="dxa"/>
          </w:tcPr>
          <w:p w14:paraId="3723C075" w14:textId="77777777"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0.78</w:t>
            </w:r>
          </w:p>
        </w:tc>
        <w:tc>
          <w:tcPr>
            <w:tcW w:w="2694" w:type="dxa"/>
          </w:tcPr>
          <w:p w14:paraId="719B1501" w14:textId="77777777" w:rsidR="002C5A25" w:rsidRPr="004635E5" w:rsidRDefault="002C5A25" w:rsidP="006633A8">
            <w:pPr>
              <w:adjustRightInd w:val="0"/>
              <w:snapToGrid w:val="0"/>
              <w:jc w:val="center"/>
              <w:rPr>
                <w:rFonts w:ascii="Times New Roman" w:eastAsia="Yu Mincho" w:hAnsi="Times New Roman" w:cs="Times New Roman"/>
                <w:bCs/>
                <w:lang w:val="en-GB" w:eastAsia="ja-JP"/>
              </w:rPr>
            </w:pPr>
          </w:p>
        </w:tc>
      </w:tr>
      <w:tr w:rsidR="002C5A25" w:rsidRPr="004635E5" w14:paraId="4FE8DB20" w14:textId="77777777" w:rsidTr="00E419FB">
        <w:tc>
          <w:tcPr>
            <w:tcW w:w="3116" w:type="dxa"/>
          </w:tcPr>
          <w:p w14:paraId="3BAFDB6E" w14:textId="77777777"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F</w:t>
            </w:r>
            <w:r w:rsidRPr="004635E5">
              <w:rPr>
                <w:rFonts w:ascii="Times New Roman" w:eastAsia="Yu Mincho" w:hAnsi="Times New Roman" w:cs="Times New Roman"/>
                <w:i/>
                <w:vertAlign w:val="subscript"/>
                <w:lang w:eastAsia="ja-JP"/>
              </w:rPr>
              <w:t>2016</w:t>
            </w:r>
            <w:r w:rsidRPr="004635E5">
              <w:rPr>
                <w:rFonts w:ascii="Times New Roman" w:eastAsia="Yu Mincho" w:hAnsi="Times New Roman" w:cs="Times New Roman"/>
                <w:i/>
                <w:lang w:eastAsia="ja-JP"/>
              </w:rPr>
              <w:t>/F</w:t>
            </w:r>
            <w:r w:rsidRPr="004635E5">
              <w:rPr>
                <w:rFonts w:ascii="Times New Roman" w:eastAsia="Yu Mincho" w:hAnsi="Times New Roman" w:cs="Times New Roman"/>
                <w:i/>
                <w:vertAlign w:val="subscript"/>
                <w:lang w:eastAsia="ja-JP"/>
              </w:rPr>
              <w:t>MSY</w:t>
            </w:r>
          </w:p>
        </w:tc>
        <w:tc>
          <w:tcPr>
            <w:tcW w:w="2549" w:type="dxa"/>
          </w:tcPr>
          <w:p w14:paraId="6481E339" w14:textId="77777777"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1.607</w:t>
            </w:r>
          </w:p>
        </w:tc>
        <w:tc>
          <w:tcPr>
            <w:tcW w:w="2694" w:type="dxa"/>
          </w:tcPr>
          <w:p w14:paraId="65F700DC" w14:textId="77777777"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0.316-2.810</w:t>
            </w:r>
          </w:p>
        </w:tc>
      </w:tr>
      <w:tr w:rsidR="002C5A25" w:rsidRPr="004635E5" w14:paraId="28362D06" w14:textId="77777777" w:rsidTr="00E419FB">
        <w:tc>
          <w:tcPr>
            <w:tcW w:w="3116" w:type="dxa"/>
          </w:tcPr>
          <w:p w14:paraId="332B4759" w14:textId="77777777"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lang w:eastAsia="ja-JP"/>
              </w:rPr>
              <w:t>Pr(</w:t>
            </w:r>
            <w:r w:rsidRPr="004635E5">
              <w:rPr>
                <w:rFonts w:ascii="Times New Roman" w:eastAsia="Yu Mincho" w:hAnsi="Times New Roman" w:cs="Times New Roman"/>
                <w:i/>
                <w:lang w:eastAsia="ja-JP"/>
              </w:rPr>
              <w:t>F</w:t>
            </w:r>
            <w:r w:rsidRPr="004635E5">
              <w:rPr>
                <w:rFonts w:ascii="Times New Roman" w:eastAsia="Yu Mincho" w:hAnsi="Times New Roman" w:cs="Times New Roman"/>
                <w:i/>
                <w:vertAlign w:val="subscript"/>
                <w:lang w:eastAsia="ja-JP"/>
              </w:rPr>
              <w:t>2016</w:t>
            </w:r>
            <w:r w:rsidRPr="004635E5">
              <w:rPr>
                <w:rFonts w:ascii="Times New Roman" w:eastAsia="Yu Mincho" w:hAnsi="Times New Roman" w:cs="Times New Roman"/>
                <w:i/>
                <w:lang w:eastAsia="ja-JP"/>
              </w:rPr>
              <w:t xml:space="preserve"> &gt; F</w:t>
            </w:r>
            <w:r w:rsidRPr="004635E5">
              <w:rPr>
                <w:rFonts w:ascii="Times New Roman" w:eastAsia="Yu Mincho" w:hAnsi="Times New Roman" w:cs="Times New Roman"/>
                <w:i/>
                <w:vertAlign w:val="subscript"/>
                <w:lang w:eastAsia="ja-JP"/>
              </w:rPr>
              <w:t>MSY</w:t>
            </w:r>
            <w:r w:rsidRPr="004635E5">
              <w:rPr>
                <w:rFonts w:ascii="Times New Roman" w:eastAsia="Yu Mincho" w:hAnsi="Times New Roman" w:cs="Times New Roman"/>
                <w:i/>
                <w:lang w:eastAsia="ja-JP"/>
              </w:rPr>
              <w:t>)</w:t>
            </w:r>
          </w:p>
        </w:tc>
        <w:tc>
          <w:tcPr>
            <w:tcW w:w="2549" w:type="dxa"/>
          </w:tcPr>
          <w:p w14:paraId="1E5CEA51" w14:textId="77777777"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0.84</w:t>
            </w:r>
          </w:p>
        </w:tc>
        <w:tc>
          <w:tcPr>
            <w:tcW w:w="2694" w:type="dxa"/>
          </w:tcPr>
          <w:p w14:paraId="6D95D5C1" w14:textId="77777777" w:rsidR="002C5A25" w:rsidRPr="004635E5" w:rsidRDefault="002C5A25" w:rsidP="006633A8">
            <w:pPr>
              <w:adjustRightInd w:val="0"/>
              <w:snapToGrid w:val="0"/>
              <w:jc w:val="center"/>
              <w:rPr>
                <w:rFonts w:ascii="Times New Roman" w:eastAsia="Yu Mincho" w:hAnsi="Times New Roman" w:cs="Times New Roman"/>
                <w:bCs/>
                <w:lang w:val="en-GB" w:eastAsia="ja-JP"/>
              </w:rPr>
            </w:pPr>
          </w:p>
        </w:tc>
      </w:tr>
      <w:tr w:rsidR="002C5A25" w:rsidRPr="004635E5" w14:paraId="0F9A6CCB" w14:textId="77777777" w:rsidTr="00E419FB">
        <w:tc>
          <w:tcPr>
            <w:tcW w:w="3116" w:type="dxa"/>
          </w:tcPr>
          <w:p w14:paraId="416A05D6" w14:textId="77777777"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F</w:t>
            </w:r>
            <w:r w:rsidRPr="004635E5">
              <w:rPr>
                <w:rFonts w:ascii="Times New Roman" w:eastAsia="Yu Mincho" w:hAnsi="Times New Roman" w:cs="Times New Roman"/>
                <w:i/>
                <w:vertAlign w:val="subscript"/>
                <w:lang w:eastAsia="ja-JP"/>
              </w:rPr>
              <w:t>2016</w:t>
            </w:r>
          </w:p>
        </w:tc>
        <w:tc>
          <w:tcPr>
            <w:tcW w:w="2549" w:type="dxa"/>
          </w:tcPr>
          <w:p w14:paraId="1B6EC799" w14:textId="77777777"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0.313</w:t>
            </w:r>
          </w:p>
        </w:tc>
        <w:tc>
          <w:tcPr>
            <w:tcW w:w="2694" w:type="dxa"/>
          </w:tcPr>
          <w:p w14:paraId="03EBFECB" w14:textId="77777777" w:rsidR="002C5A25" w:rsidRPr="004635E5" w:rsidRDefault="002C5A25" w:rsidP="006633A8">
            <w:pPr>
              <w:adjustRightInd w:val="0"/>
              <w:snapToGrid w:val="0"/>
              <w:jc w:val="center"/>
              <w:rPr>
                <w:rFonts w:ascii="Times New Roman" w:eastAsia="Yu Mincho" w:hAnsi="Times New Roman" w:cs="Times New Roman"/>
                <w:bCs/>
                <w:lang w:val="en-GB" w:eastAsia="ja-JP"/>
              </w:rPr>
            </w:pPr>
          </w:p>
        </w:tc>
      </w:tr>
      <w:tr w:rsidR="002C5A25" w:rsidRPr="004635E5" w14:paraId="352FD981" w14:textId="77777777" w:rsidTr="00E419FB">
        <w:tc>
          <w:tcPr>
            <w:tcW w:w="3116" w:type="dxa"/>
          </w:tcPr>
          <w:p w14:paraId="324C6051" w14:textId="77777777"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MSY</w:t>
            </w:r>
          </w:p>
        </w:tc>
        <w:tc>
          <w:tcPr>
            <w:tcW w:w="2549" w:type="dxa"/>
          </w:tcPr>
          <w:p w14:paraId="3717E296" w14:textId="77777777"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12,162</w:t>
            </w:r>
          </w:p>
        </w:tc>
        <w:tc>
          <w:tcPr>
            <w:tcW w:w="2694" w:type="dxa"/>
          </w:tcPr>
          <w:p w14:paraId="2A5C6232" w14:textId="77777777"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6,711-17,615</w:t>
            </w:r>
          </w:p>
        </w:tc>
      </w:tr>
      <w:tr w:rsidR="002C5A25" w:rsidRPr="004635E5" w14:paraId="38042EDA" w14:textId="77777777" w:rsidTr="00E419FB">
        <w:tc>
          <w:tcPr>
            <w:tcW w:w="3116" w:type="dxa"/>
          </w:tcPr>
          <w:p w14:paraId="07B7EC54" w14:textId="77777777" w:rsidR="002C5A25" w:rsidRPr="004635E5" w:rsidRDefault="002C5A25" w:rsidP="006633A8">
            <w:pPr>
              <w:adjustRightInd w:val="0"/>
              <w:snapToGrid w:val="0"/>
              <w:rPr>
                <w:rFonts w:ascii="Times New Roman" w:eastAsia="Yu Mincho" w:hAnsi="Times New Roman" w:cs="Times New Roman"/>
                <w:lang w:eastAsia="ja-JP"/>
              </w:rPr>
            </w:pPr>
            <w:r w:rsidRPr="004635E5">
              <w:rPr>
                <w:rFonts w:ascii="Times New Roman" w:eastAsia="Yu Mincho" w:hAnsi="Times New Roman" w:cs="Times New Roman"/>
                <w:lang w:eastAsia="ja-JP"/>
              </w:rPr>
              <w:t>Catch 2016 (mt)</w:t>
            </w:r>
          </w:p>
        </w:tc>
        <w:tc>
          <w:tcPr>
            <w:tcW w:w="2549" w:type="dxa"/>
          </w:tcPr>
          <w:p w14:paraId="35F20A6A" w14:textId="77777777"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22,503</w:t>
            </w:r>
          </w:p>
        </w:tc>
        <w:tc>
          <w:tcPr>
            <w:tcW w:w="2694" w:type="dxa"/>
          </w:tcPr>
          <w:p w14:paraId="21864B51" w14:textId="77777777" w:rsidR="002C5A25" w:rsidRPr="004635E5" w:rsidRDefault="002C5A25" w:rsidP="006633A8">
            <w:pPr>
              <w:adjustRightInd w:val="0"/>
              <w:snapToGrid w:val="0"/>
              <w:jc w:val="center"/>
              <w:rPr>
                <w:rFonts w:ascii="Times New Roman" w:eastAsia="Yu Mincho" w:hAnsi="Times New Roman" w:cs="Times New Roman"/>
                <w:bCs/>
                <w:lang w:val="en-GB" w:eastAsia="ja-JP"/>
              </w:rPr>
            </w:pPr>
          </w:p>
        </w:tc>
      </w:tr>
    </w:tbl>
    <w:p w14:paraId="13864587" w14:textId="77777777" w:rsidR="002C5A25" w:rsidRPr="004635E5" w:rsidRDefault="002C5A25" w:rsidP="006633A8">
      <w:pPr>
        <w:adjustRightInd w:val="0"/>
        <w:snapToGrid w:val="0"/>
        <w:rPr>
          <w:rFonts w:eastAsia="Yu Mincho"/>
          <w:sz w:val="22"/>
          <w:szCs w:val="22"/>
          <w:lang w:eastAsia="ja-JP"/>
        </w:rPr>
      </w:pPr>
    </w:p>
    <w:p w14:paraId="212607D7" w14:textId="77777777" w:rsidR="002C5A25" w:rsidRPr="004635E5" w:rsidRDefault="002C5A25" w:rsidP="00580EA4">
      <w:pPr>
        <w:numPr>
          <w:ilvl w:val="0"/>
          <w:numId w:val="18"/>
        </w:numPr>
        <w:autoSpaceDE w:val="0"/>
        <w:autoSpaceDN w:val="0"/>
        <w:adjustRightInd w:val="0"/>
        <w:snapToGrid w:val="0"/>
        <w:ind w:left="0" w:firstLine="0"/>
        <w:jc w:val="both"/>
        <w:rPr>
          <w:b/>
          <w:bCs/>
          <w:sz w:val="22"/>
          <w:szCs w:val="22"/>
          <w:lang w:val="en-AU"/>
        </w:rPr>
      </w:pPr>
      <w:r w:rsidRPr="004635E5">
        <w:rPr>
          <w:b/>
          <w:sz w:val="22"/>
          <w:szCs w:val="22"/>
          <w:lang w:val="en-AU"/>
        </w:rPr>
        <w:t>Fishing mortality is estimated to be above F</w:t>
      </w:r>
      <w:r w:rsidRPr="004635E5">
        <w:rPr>
          <w:b/>
          <w:sz w:val="22"/>
          <w:szCs w:val="22"/>
          <w:vertAlign w:val="subscript"/>
          <w:lang w:val="en-AU"/>
        </w:rPr>
        <w:t>MSY</w:t>
      </w:r>
      <w:r w:rsidRPr="004635E5">
        <w:rPr>
          <w:b/>
          <w:sz w:val="22"/>
          <w:szCs w:val="22"/>
          <w:lang w:val="en-AU"/>
        </w:rPr>
        <w:t xml:space="preserve"> (F</w:t>
      </w:r>
      <w:r w:rsidRPr="004635E5">
        <w:rPr>
          <w:b/>
          <w:sz w:val="22"/>
          <w:szCs w:val="22"/>
          <w:vertAlign w:val="subscript"/>
          <w:lang w:val="en-AU"/>
        </w:rPr>
        <w:t>2016</w:t>
      </w:r>
      <w:r w:rsidRPr="004635E5">
        <w:rPr>
          <w:b/>
          <w:sz w:val="22"/>
          <w:szCs w:val="22"/>
          <w:lang w:val="en-AU"/>
        </w:rPr>
        <w:t>/F</w:t>
      </w:r>
      <w:r w:rsidRPr="004635E5">
        <w:rPr>
          <w:b/>
          <w:sz w:val="22"/>
          <w:szCs w:val="22"/>
          <w:vertAlign w:val="subscript"/>
          <w:lang w:val="en-AU"/>
        </w:rPr>
        <w:t>MSY</w:t>
      </w:r>
      <w:r w:rsidRPr="004635E5">
        <w:rPr>
          <w:b/>
          <w:sz w:val="22"/>
          <w:szCs w:val="22"/>
          <w:lang w:val="en-AU"/>
        </w:rPr>
        <w:t xml:space="preserve"> = 1.607, Pr(F</w:t>
      </w:r>
      <w:r w:rsidRPr="004635E5">
        <w:rPr>
          <w:b/>
          <w:sz w:val="22"/>
          <w:szCs w:val="22"/>
          <w:vertAlign w:val="subscript"/>
          <w:lang w:val="en-AU"/>
        </w:rPr>
        <w:t>2016</w:t>
      </w:r>
      <w:r w:rsidRPr="004635E5">
        <w:rPr>
          <w:b/>
          <w:sz w:val="22"/>
          <w:szCs w:val="22"/>
          <w:lang w:val="en-AU"/>
        </w:rPr>
        <w:t xml:space="preserve"> &gt; F</w:t>
      </w:r>
      <w:r w:rsidRPr="004635E5">
        <w:rPr>
          <w:b/>
          <w:sz w:val="22"/>
          <w:szCs w:val="22"/>
          <w:vertAlign w:val="subscript"/>
          <w:lang w:val="en-AU"/>
        </w:rPr>
        <w:t>MSY</w:t>
      </w:r>
      <w:r w:rsidRPr="004635E5">
        <w:rPr>
          <w:b/>
          <w:sz w:val="22"/>
          <w:szCs w:val="22"/>
          <w:lang w:val="en-AU"/>
        </w:rPr>
        <w:t>) = 84%)</w:t>
      </w:r>
      <w:r w:rsidR="00A16680" w:rsidRPr="004635E5">
        <w:rPr>
          <w:b/>
          <w:sz w:val="22"/>
          <w:szCs w:val="22"/>
          <w:lang w:val="en-AU"/>
        </w:rPr>
        <w:t xml:space="preserve">. </w:t>
      </w:r>
      <w:r w:rsidRPr="004635E5">
        <w:rPr>
          <w:b/>
          <w:sz w:val="22"/>
          <w:szCs w:val="22"/>
          <w:lang w:val="en-AU"/>
        </w:rPr>
        <w:t>The current level of catch is substantially higher than the MSY</w:t>
      </w:r>
      <w:r w:rsidR="00A16680" w:rsidRPr="004635E5">
        <w:rPr>
          <w:b/>
          <w:sz w:val="22"/>
          <w:szCs w:val="22"/>
          <w:lang w:val="en-AU"/>
        </w:rPr>
        <w:t xml:space="preserve">. </w:t>
      </w:r>
      <w:r w:rsidRPr="004635E5">
        <w:rPr>
          <w:b/>
          <w:sz w:val="22"/>
          <w:szCs w:val="22"/>
          <w:lang w:val="en-AU"/>
        </w:rPr>
        <w:t>If catches remain at the current level there is a high probability that the biomass will decline to below the SB</w:t>
      </w:r>
      <w:r w:rsidRPr="004635E5">
        <w:rPr>
          <w:b/>
          <w:sz w:val="22"/>
          <w:szCs w:val="22"/>
          <w:vertAlign w:val="subscript"/>
          <w:lang w:val="en-AU"/>
        </w:rPr>
        <w:t>MSY</w:t>
      </w:r>
      <w:r w:rsidRPr="004635E5">
        <w:rPr>
          <w:b/>
          <w:sz w:val="22"/>
          <w:szCs w:val="22"/>
          <w:lang w:val="en-AU"/>
        </w:rPr>
        <w:t xml:space="preserve"> level in the foreseeable future (~ 5 years). </w:t>
      </w:r>
    </w:p>
    <w:p w14:paraId="4B0774A2" w14:textId="77777777" w:rsidR="002C5A25" w:rsidRPr="004635E5" w:rsidRDefault="002C5A25" w:rsidP="006633A8">
      <w:pPr>
        <w:adjustRightInd w:val="0"/>
        <w:snapToGrid w:val="0"/>
        <w:ind w:left="567"/>
        <w:jc w:val="both"/>
        <w:rPr>
          <w:b/>
          <w:bCs/>
          <w:sz w:val="22"/>
          <w:szCs w:val="22"/>
          <w:lang w:val="en-AU"/>
        </w:rPr>
      </w:pPr>
    </w:p>
    <w:p w14:paraId="78124729" w14:textId="77777777" w:rsidR="002C5A25" w:rsidRPr="004635E5" w:rsidRDefault="006B5EBE" w:rsidP="006633A8">
      <w:pPr>
        <w:adjustRightInd w:val="0"/>
        <w:snapToGrid w:val="0"/>
        <w:jc w:val="both"/>
        <w:rPr>
          <w:b/>
          <w:bCs/>
          <w:color w:val="00000A"/>
          <w:sz w:val="22"/>
          <w:szCs w:val="22"/>
          <w:lang w:val="en-AU"/>
        </w:rPr>
      </w:pPr>
      <w:r w:rsidRPr="004635E5">
        <w:rPr>
          <w:rFonts w:eastAsia="Yu Mincho"/>
          <w:noProof/>
          <w:color w:val="00000A"/>
          <w:sz w:val="22"/>
          <w:szCs w:val="22"/>
          <w:lang w:eastAsia="zh-CN" w:bidi="mn-Mong-CN"/>
        </w:rPr>
        <w:drawing>
          <wp:inline distT="0" distB="0" distL="0" distR="0" wp14:anchorId="491374C3" wp14:editId="0A734884">
            <wp:extent cx="4648200" cy="464820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bePlot.pn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4648200" cy="4648200"/>
                    </a:xfrm>
                    <a:prstGeom prst="rect">
                      <a:avLst/>
                    </a:prstGeom>
                  </pic:spPr>
                </pic:pic>
              </a:graphicData>
            </a:graphic>
          </wp:inline>
        </w:drawing>
      </w:r>
    </w:p>
    <w:p w14:paraId="7040E7B4" w14:textId="77777777" w:rsidR="002C5A25" w:rsidRPr="004635E5" w:rsidRDefault="002C5A25" w:rsidP="006633A8">
      <w:pPr>
        <w:adjustRightInd w:val="0"/>
        <w:snapToGrid w:val="0"/>
        <w:jc w:val="both"/>
        <w:rPr>
          <w:rFonts w:eastAsia="Yu Mincho"/>
          <w:bCs/>
          <w:color w:val="00000A"/>
          <w:sz w:val="22"/>
          <w:szCs w:val="22"/>
          <w:lang w:val="en-GB"/>
        </w:rPr>
      </w:pPr>
      <w:r w:rsidRPr="004635E5">
        <w:rPr>
          <w:rFonts w:eastAsia="Yu Mincho"/>
          <w:b/>
          <w:color w:val="00000A"/>
          <w:sz w:val="22"/>
          <w:szCs w:val="22"/>
          <w:lang w:val="en-GB"/>
        </w:rPr>
        <w:t xml:space="preserve">Figure FAL-2: </w:t>
      </w:r>
      <w:r w:rsidRPr="004635E5">
        <w:rPr>
          <w:rFonts w:eastAsia="Yu Mincho"/>
          <w:bCs/>
          <w:color w:val="00000A"/>
          <w:sz w:val="22"/>
          <w:szCs w:val="22"/>
          <w:lang w:val="en-GB"/>
        </w:rPr>
        <w:t>Kobe plot for the WCPO assessment model (</w:t>
      </w:r>
      <w:r w:rsidRPr="004635E5">
        <w:rPr>
          <w:rFonts w:eastAsia="Yu Mincho"/>
          <w:bCs/>
          <w:i/>
          <w:color w:val="00000A"/>
          <w:sz w:val="22"/>
          <w:szCs w:val="22"/>
          <w:lang w:val="en-GB"/>
        </w:rPr>
        <w:t>CPUEqdev</w:t>
      </w:r>
      <w:r w:rsidRPr="004635E5">
        <w:rPr>
          <w:rFonts w:eastAsia="Yu Mincho"/>
          <w:bCs/>
          <w:color w:val="00000A"/>
          <w:sz w:val="22"/>
          <w:szCs w:val="22"/>
          <w:lang w:val="en-GB"/>
        </w:rPr>
        <w:t>).</w:t>
      </w:r>
    </w:p>
    <w:p w14:paraId="0505CF51" w14:textId="77777777" w:rsidR="002C5A25" w:rsidRPr="004635E5" w:rsidRDefault="002C5A25" w:rsidP="006633A8">
      <w:pPr>
        <w:adjustRightInd w:val="0"/>
        <w:snapToGrid w:val="0"/>
        <w:rPr>
          <w:rFonts w:eastAsia="Yu Mincho"/>
          <w:sz w:val="22"/>
          <w:szCs w:val="22"/>
          <w:lang w:val="en-GB" w:eastAsia="en-NZ"/>
        </w:rPr>
      </w:pPr>
    </w:p>
    <w:p w14:paraId="4AEF11B2" w14:textId="77777777" w:rsidR="00F46AB9" w:rsidRPr="004635E5" w:rsidRDefault="00F721DF" w:rsidP="00132438">
      <w:pPr>
        <w:pStyle w:val="SCa"/>
        <w:tabs>
          <w:tab w:val="clear" w:pos="1080"/>
        </w:tabs>
        <w:spacing w:after="0"/>
        <w:ind w:left="0"/>
        <w:rPr>
          <w:lang w:val="en-NZ"/>
        </w:rPr>
      </w:pPr>
      <w:r w:rsidRPr="004635E5">
        <w:rPr>
          <w:lang w:val="en-NZ"/>
        </w:rPr>
        <w:t>b.</w:t>
      </w:r>
      <w:r w:rsidRPr="004635E5">
        <w:rPr>
          <w:lang w:val="en-NZ"/>
        </w:rPr>
        <w:tab/>
      </w:r>
      <w:r w:rsidR="002C5A25" w:rsidRPr="004635E5">
        <w:rPr>
          <w:lang w:val="en-NZ"/>
        </w:rPr>
        <w:t>Management advice and implications</w:t>
      </w:r>
    </w:p>
    <w:p w14:paraId="5086A724" w14:textId="77777777" w:rsidR="00F46AB9" w:rsidRPr="004635E5" w:rsidRDefault="00F46AB9" w:rsidP="006633A8">
      <w:pPr>
        <w:pStyle w:val="SCa"/>
        <w:spacing w:after="0"/>
        <w:rPr>
          <w:lang w:val="en-NZ"/>
        </w:rPr>
      </w:pPr>
    </w:p>
    <w:p w14:paraId="58C6E2DF" w14:textId="77777777" w:rsidR="002C5A25" w:rsidRPr="00BF58EA" w:rsidRDefault="002C5A25" w:rsidP="00580EA4">
      <w:pPr>
        <w:numPr>
          <w:ilvl w:val="0"/>
          <w:numId w:val="18"/>
        </w:numPr>
        <w:autoSpaceDE w:val="0"/>
        <w:autoSpaceDN w:val="0"/>
        <w:adjustRightInd w:val="0"/>
        <w:snapToGrid w:val="0"/>
        <w:ind w:left="0" w:firstLine="0"/>
        <w:jc w:val="both"/>
        <w:rPr>
          <w:b/>
          <w:sz w:val="22"/>
          <w:szCs w:val="22"/>
          <w:lang w:val="en-AU"/>
        </w:rPr>
      </w:pPr>
      <w:r w:rsidRPr="004635E5">
        <w:rPr>
          <w:b/>
          <w:sz w:val="22"/>
          <w:szCs w:val="22"/>
          <w:lang w:val="en-AU"/>
        </w:rPr>
        <w:t xml:space="preserve">SC14 concludes that on the basis of the best available science, and pending the availability of less uncertain stock status indicators, </w:t>
      </w:r>
      <w:r w:rsidRPr="00BF58EA">
        <w:rPr>
          <w:b/>
          <w:sz w:val="22"/>
          <w:szCs w:val="22"/>
          <w:lang w:val="en-AU"/>
        </w:rPr>
        <w:t xml:space="preserve">the stock is </w:t>
      </w:r>
      <w:r w:rsidR="00BF58EA" w:rsidRPr="000C1F4C">
        <w:rPr>
          <w:b/>
          <w:bCs/>
          <w:sz w:val="22"/>
          <w:szCs w:val="22"/>
          <w:lang w:val="en-AU"/>
        </w:rPr>
        <w:t>not overfished, but is subject to overfishing</w:t>
      </w:r>
      <w:r w:rsidR="00BF58EA" w:rsidRPr="00BF58EA">
        <w:rPr>
          <w:b/>
          <w:bCs/>
          <w:sz w:val="22"/>
          <w:szCs w:val="22"/>
          <w:u w:val="single"/>
          <w:lang w:val="en-AU"/>
        </w:rPr>
        <w:t xml:space="preserve"> </w:t>
      </w:r>
      <w:r w:rsidRPr="00BF58EA">
        <w:rPr>
          <w:b/>
          <w:sz w:val="22"/>
          <w:szCs w:val="22"/>
          <w:lang w:val="en-AU"/>
        </w:rPr>
        <w:t>(Figure FAL-2)</w:t>
      </w:r>
      <w:r w:rsidR="00A16680" w:rsidRPr="00BF58EA">
        <w:rPr>
          <w:b/>
          <w:sz w:val="22"/>
          <w:szCs w:val="22"/>
          <w:lang w:val="en-AU"/>
        </w:rPr>
        <w:t xml:space="preserve">. </w:t>
      </w:r>
    </w:p>
    <w:p w14:paraId="60FA7A33" w14:textId="77777777" w:rsidR="007C3D16" w:rsidRPr="004635E5" w:rsidRDefault="007C3D16" w:rsidP="006633A8">
      <w:pPr>
        <w:autoSpaceDE w:val="0"/>
        <w:autoSpaceDN w:val="0"/>
        <w:adjustRightInd w:val="0"/>
        <w:snapToGrid w:val="0"/>
        <w:jc w:val="both"/>
        <w:rPr>
          <w:b/>
          <w:sz w:val="22"/>
          <w:szCs w:val="22"/>
          <w:lang w:val="en-AU"/>
        </w:rPr>
      </w:pPr>
    </w:p>
    <w:p w14:paraId="042ED3AB" w14:textId="77777777" w:rsidR="002C5A25" w:rsidRPr="004635E5" w:rsidRDefault="002C5A25" w:rsidP="00580EA4">
      <w:pPr>
        <w:numPr>
          <w:ilvl w:val="0"/>
          <w:numId w:val="18"/>
        </w:numPr>
        <w:autoSpaceDE w:val="0"/>
        <w:autoSpaceDN w:val="0"/>
        <w:adjustRightInd w:val="0"/>
        <w:snapToGrid w:val="0"/>
        <w:ind w:left="0" w:firstLine="0"/>
        <w:jc w:val="both"/>
        <w:rPr>
          <w:b/>
          <w:sz w:val="22"/>
          <w:szCs w:val="22"/>
          <w:lang w:val="en-AU"/>
        </w:rPr>
      </w:pPr>
      <w:r w:rsidRPr="004635E5">
        <w:rPr>
          <w:b/>
          <w:sz w:val="22"/>
          <w:szCs w:val="22"/>
          <w:lang w:val="en-AU"/>
        </w:rPr>
        <w:t xml:space="preserve">SC14 recommends, given that the WCPO silky shark stock continues </w:t>
      </w:r>
      <w:r w:rsidRPr="00BF58EA">
        <w:rPr>
          <w:b/>
          <w:sz w:val="22"/>
          <w:szCs w:val="22"/>
          <w:lang w:val="en-AU"/>
        </w:rPr>
        <w:t xml:space="preserve">to be </w:t>
      </w:r>
      <w:r w:rsidR="00BF58EA" w:rsidRPr="000C1F4C">
        <w:rPr>
          <w:b/>
          <w:bCs/>
          <w:sz w:val="22"/>
          <w:szCs w:val="22"/>
          <w:lang w:val="en-AU"/>
        </w:rPr>
        <w:t>subject to overfishing</w:t>
      </w:r>
      <w:r w:rsidRPr="00BF58EA">
        <w:rPr>
          <w:b/>
          <w:sz w:val="22"/>
          <w:szCs w:val="22"/>
          <w:lang w:val="en-AU"/>
        </w:rPr>
        <w:t>, that CMM 2013-08 be maintained as a precautionary m</w:t>
      </w:r>
      <w:r w:rsidRPr="004635E5">
        <w:rPr>
          <w:b/>
          <w:sz w:val="22"/>
          <w:szCs w:val="22"/>
          <w:lang w:val="en-AU"/>
        </w:rPr>
        <w:t>easure</w:t>
      </w:r>
      <w:r w:rsidR="00A16680" w:rsidRPr="004635E5">
        <w:rPr>
          <w:b/>
          <w:sz w:val="22"/>
          <w:szCs w:val="22"/>
          <w:lang w:val="en-AU"/>
        </w:rPr>
        <w:t xml:space="preserve">. </w:t>
      </w:r>
    </w:p>
    <w:p w14:paraId="137AF222" w14:textId="77777777" w:rsidR="00F46AB9" w:rsidRPr="004635E5" w:rsidRDefault="00F46AB9" w:rsidP="006633A8">
      <w:pPr>
        <w:autoSpaceDE w:val="0"/>
        <w:autoSpaceDN w:val="0"/>
        <w:adjustRightInd w:val="0"/>
        <w:snapToGrid w:val="0"/>
        <w:jc w:val="both"/>
        <w:rPr>
          <w:b/>
          <w:sz w:val="22"/>
          <w:szCs w:val="22"/>
          <w:lang w:val="en-AU"/>
        </w:rPr>
      </w:pPr>
    </w:p>
    <w:p w14:paraId="6EA7BFDD" w14:textId="77777777" w:rsidR="00F721DF" w:rsidRPr="004635E5" w:rsidRDefault="00073DD2" w:rsidP="00580EA4">
      <w:pPr>
        <w:pStyle w:val="SC3"/>
        <w:numPr>
          <w:ilvl w:val="2"/>
          <w:numId w:val="161"/>
        </w:numPr>
        <w:spacing w:after="0"/>
        <w:rPr>
          <w:rFonts w:eastAsia="Batang"/>
          <w:lang w:eastAsia="ko-KR"/>
        </w:rPr>
      </w:pPr>
      <w:r w:rsidRPr="004635E5">
        <w:rPr>
          <w:rFonts w:eastAsia="Batang"/>
          <w:lang w:eastAsia="ko-KR"/>
        </w:rPr>
        <w:t>South Pacific blue shark</w:t>
      </w:r>
      <w:r w:rsidR="00807662" w:rsidRPr="004635E5">
        <w:rPr>
          <w:rFonts w:eastAsia="Batang"/>
          <w:lang w:eastAsia="ko-KR"/>
        </w:rPr>
        <w:t xml:space="preserve"> (</w:t>
      </w:r>
      <w:r w:rsidR="00807662" w:rsidRPr="004635E5">
        <w:rPr>
          <w:rFonts w:eastAsia="Batang"/>
          <w:i/>
          <w:lang w:eastAsia="ko-KR"/>
        </w:rPr>
        <w:t>Prionace glauca</w:t>
      </w:r>
      <w:r w:rsidR="00807662" w:rsidRPr="004635E5">
        <w:rPr>
          <w:rFonts w:eastAsia="Batang"/>
          <w:lang w:eastAsia="ko-KR"/>
        </w:rPr>
        <w:t>)</w:t>
      </w:r>
    </w:p>
    <w:p w14:paraId="3478865C" w14:textId="77777777" w:rsidR="00F46AB9" w:rsidRPr="004635E5" w:rsidRDefault="00F46AB9" w:rsidP="006633A8">
      <w:pPr>
        <w:pStyle w:val="SC3"/>
        <w:numPr>
          <w:ilvl w:val="0"/>
          <w:numId w:val="0"/>
        </w:numPr>
        <w:spacing w:after="0"/>
        <w:ind w:left="1440"/>
        <w:rPr>
          <w:rFonts w:eastAsia="Batang"/>
          <w:lang w:eastAsia="ko-KR"/>
        </w:rPr>
      </w:pPr>
    </w:p>
    <w:p w14:paraId="0EC741AE" w14:textId="77777777" w:rsidR="00DD1523" w:rsidRPr="004635E5" w:rsidRDefault="00334B07" w:rsidP="00580EA4">
      <w:pPr>
        <w:pStyle w:val="SC3"/>
        <w:numPr>
          <w:ilvl w:val="3"/>
          <w:numId w:val="161"/>
        </w:numPr>
        <w:spacing w:after="0"/>
        <w:rPr>
          <w:rFonts w:eastAsia="Batang"/>
          <w:lang w:eastAsia="ko-KR"/>
        </w:rPr>
      </w:pPr>
      <w:r w:rsidRPr="004635E5">
        <w:rPr>
          <w:rFonts w:eastAsia="Batang"/>
          <w:lang w:eastAsia="ko-KR"/>
        </w:rPr>
        <w:t>R</w:t>
      </w:r>
      <w:r w:rsidR="00073DD2" w:rsidRPr="004635E5">
        <w:rPr>
          <w:rFonts w:eastAsia="Batang"/>
          <w:lang w:eastAsia="ko-KR"/>
        </w:rPr>
        <w:t>esearch and information</w:t>
      </w:r>
    </w:p>
    <w:p w14:paraId="0D2F63EA" w14:textId="77777777" w:rsidR="00F46AB9" w:rsidRPr="004635E5" w:rsidRDefault="00F46AB9" w:rsidP="006633A8">
      <w:pPr>
        <w:pStyle w:val="SC3"/>
        <w:numPr>
          <w:ilvl w:val="0"/>
          <w:numId w:val="0"/>
        </w:numPr>
        <w:spacing w:after="0"/>
        <w:ind w:left="1800"/>
        <w:rPr>
          <w:rFonts w:eastAsia="Batang"/>
          <w:lang w:eastAsia="ko-KR"/>
        </w:rPr>
      </w:pPr>
    </w:p>
    <w:p w14:paraId="6E18C838" w14:textId="77777777" w:rsidR="00DD1523" w:rsidRPr="004635E5" w:rsidRDefault="00DD1523"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sz w:val="22"/>
          <w:szCs w:val="22"/>
          <w:lang w:val="en-AU"/>
        </w:rPr>
        <w:t>The last stock assessment was conducted in 2016</w:t>
      </w:r>
      <w:r w:rsidR="00A16680" w:rsidRPr="004635E5">
        <w:rPr>
          <w:sz w:val="22"/>
          <w:szCs w:val="22"/>
          <w:lang w:val="en-AU"/>
        </w:rPr>
        <w:t xml:space="preserve">. </w:t>
      </w:r>
      <w:r w:rsidRPr="004635E5">
        <w:rPr>
          <w:sz w:val="22"/>
          <w:szCs w:val="22"/>
          <w:lang w:val="en-AU"/>
        </w:rPr>
        <w:t>SC</w:t>
      </w:r>
      <w:r w:rsidR="00270656" w:rsidRPr="004635E5">
        <w:rPr>
          <w:sz w:val="22"/>
          <w:szCs w:val="22"/>
          <w:lang w:val="en-AU"/>
        </w:rPr>
        <w:t>14</w:t>
      </w:r>
      <w:r w:rsidRPr="004635E5">
        <w:rPr>
          <w:sz w:val="22"/>
          <w:szCs w:val="22"/>
          <w:lang w:val="en-AU"/>
        </w:rPr>
        <w:t xml:space="preserve"> did not receive any updated information</w:t>
      </w:r>
      <w:r w:rsidR="00A16680" w:rsidRPr="004635E5">
        <w:rPr>
          <w:sz w:val="22"/>
          <w:szCs w:val="22"/>
          <w:lang w:val="en-AU"/>
        </w:rPr>
        <w:t xml:space="preserve">. </w:t>
      </w:r>
    </w:p>
    <w:p w14:paraId="47C5FFBC" w14:textId="77777777" w:rsidR="00F46AB9" w:rsidRPr="004635E5" w:rsidRDefault="00F46AB9" w:rsidP="006633A8">
      <w:pPr>
        <w:autoSpaceDE w:val="0"/>
        <w:autoSpaceDN w:val="0"/>
        <w:adjustRightInd w:val="0"/>
        <w:snapToGrid w:val="0"/>
        <w:jc w:val="both"/>
        <w:rPr>
          <w:rFonts w:eastAsia="Batang"/>
          <w:sz w:val="22"/>
          <w:szCs w:val="22"/>
          <w:lang w:val="en-NZ" w:eastAsia="ko-KR"/>
        </w:rPr>
      </w:pPr>
    </w:p>
    <w:p w14:paraId="11F09EA6" w14:textId="77777777" w:rsidR="00F721DF" w:rsidRPr="004635E5" w:rsidRDefault="006851CC" w:rsidP="00580EA4">
      <w:pPr>
        <w:pStyle w:val="SC3"/>
        <w:numPr>
          <w:ilvl w:val="3"/>
          <w:numId w:val="161"/>
        </w:numPr>
        <w:spacing w:after="0"/>
        <w:rPr>
          <w:rFonts w:eastAsia="Batang"/>
          <w:lang w:eastAsia="ko-KR"/>
        </w:rPr>
      </w:pPr>
      <w:r w:rsidRPr="004635E5">
        <w:rPr>
          <w:rFonts w:eastAsia="Batang"/>
          <w:lang w:eastAsia="ko-KR"/>
        </w:rPr>
        <w:t>Provision of scient</w:t>
      </w:r>
      <w:r w:rsidR="00F721DF" w:rsidRPr="004635E5">
        <w:rPr>
          <w:rFonts w:eastAsia="Batang"/>
          <w:lang w:eastAsia="ko-KR"/>
        </w:rPr>
        <w:t>ific information</w:t>
      </w:r>
    </w:p>
    <w:p w14:paraId="5703077E" w14:textId="77777777" w:rsidR="00F46AB9" w:rsidRPr="004635E5" w:rsidRDefault="00F46AB9" w:rsidP="006633A8">
      <w:pPr>
        <w:pStyle w:val="SC3"/>
        <w:numPr>
          <w:ilvl w:val="0"/>
          <w:numId w:val="0"/>
        </w:numPr>
        <w:spacing w:after="0"/>
        <w:ind w:left="1800"/>
        <w:rPr>
          <w:rFonts w:eastAsia="Batang"/>
          <w:lang w:eastAsia="ko-KR"/>
        </w:rPr>
      </w:pPr>
    </w:p>
    <w:p w14:paraId="2A4347AA" w14:textId="77777777" w:rsidR="00E4310B" w:rsidRPr="004635E5" w:rsidRDefault="00F721DF" w:rsidP="00132438">
      <w:pPr>
        <w:pStyle w:val="SCa"/>
        <w:tabs>
          <w:tab w:val="clear" w:pos="1080"/>
        </w:tabs>
        <w:spacing w:after="0"/>
        <w:ind w:left="0"/>
        <w:rPr>
          <w:lang w:val="en-NZ"/>
        </w:rPr>
      </w:pPr>
      <w:r w:rsidRPr="004635E5">
        <w:rPr>
          <w:lang w:val="en-NZ"/>
        </w:rPr>
        <w:t>a.</w:t>
      </w:r>
      <w:r w:rsidRPr="004635E5">
        <w:rPr>
          <w:lang w:val="en-NZ"/>
        </w:rPr>
        <w:tab/>
      </w:r>
      <w:r w:rsidR="00073DD2" w:rsidRPr="004635E5">
        <w:rPr>
          <w:lang w:val="en-NZ"/>
        </w:rPr>
        <w:t xml:space="preserve">Status and trends </w:t>
      </w:r>
    </w:p>
    <w:p w14:paraId="722104E5" w14:textId="77777777" w:rsidR="00F46AB9" w:rsidRPr="004635E5" w:rsidRDefault="00F46AB9" w:rsidP="006633A8">
      <w:pPr>
        <w:pStyle w:val="SCa"/>
        <w:spacing w:after="0"/>
        <w:rPr>
          <w:lang w:val="en-NZ"/>
        </w:rPr>
      </w:pPr>
    </w:p>
    <w:p w14:paraId="77C5B19C" w14:textId="77777777" w:rsidR="00E4310B" w:rsidRPr="004635E5" w:rsidRDefault="00E4310B" w:rsidP="00580EA4">
      <w:pPr>
        <w:numPr>
          <w:ilvl w:val="0"/>
          <w:numId w:val="18"/>
        </w:numPr>
        <w:autoSpaceDE w:val="0"/>
        <w:autoSpaceDN w:val="0"/>
        <w:adjustRightInd w:val="0"/>
        <w:snapToGrid w:val="0"/>
        <w:ind w:left="0" w:firstLine="0"/>
        <w:jc w:val="both"/>
        <w:rPr>
          <w:b/>
          <w:sz w:val="22"/>
          <w:szCs w:val="22"/>
          <w:lang w:val="en-AU"/>
        </w:rPr>
      </w:pPr>
      <w:r w:rsidRPr="004635E5">
        <w:rPr>
          <w:b/>
          <w:sz w:val="22"/>
          <w:szCs w:val="22"/>
          <w:lang w:val="en-AU"/>
        </w:rPr>
        <w:t xml:space="preserve">SC14 noted that no stock assessments were conducted for South Pacific blue shark in 2018. Therefore, the stock status descriptions from SC13 are still current for South Pacific blue shark. Updated information on catches was not compiled for and reviewed by SC14. </w:t>
      </w:r>
    </w:p>
    <w:p w14:paraId="763BA794" w14:textId="77777777" w:rsidR="00AE5E0E" w:rsidRPr="004635E5" w:rsidRDefault="00AE5E0E" w:rsidP="006633A8">
      <w:pPr>
        <w:autoSpaceDE w:val="0"/>
        <w:autoSpaceDN w:val="0"/>
        <w:adjustRightInd w:val="0"/>
        <w:snapToGrid w:val="0"/>
        <w:jc w:val="both"/>
        <w:rPr>
          <w:b/>
          <w:sz w:val="22"/>
          <w:szCs w:val="22"/>
          <w:lang w:val="en-AU"/>
        </w:rPr>
      </w:pPr>
    </w:p>
    <w:p w14:paraId="6998C6FC" w14:textId="77777777" w:rsidR="00F46AB9" w:rsidRPr="004635E5" w:rsidRDefault="00810E61" w:rsidP="00132438">
      <w:pPr>
        <w:pStyle w:val="SCa"/>
        <w:tabs>
          <w:tab w:val="clear" w:pos="1080"/>
        </w:tabs>
        <w:spacing w:after="0"/>
        <w:ind w:left="0"/>
      </w:pPr>
      <w:r w:rsidRPr="004635E5">
        <w:rPr>
          <w:lang w:val="en-AU"/>
        </w:rPr>
        <w:t>b.</w:t>
      </w:r>
      <w:r w:rsidRPr="004635E5">
        <w:rPr>
          <w:lang w:val="en-AU"/>
        </w:rPr>
        <w:tab/>
      </w:r>
      <w:r w:rsidR="00E4310B" w:rsidRPr="004635E5">
        <w:t xml:space="preserve">Management </w:t>
      </w:r>
      <w:r w:rsidR="006851CC" w:rsidRPr="004635E5">
        <w:t>a</w:t>
      </w:r>
      <w:r w:rsidR="00E4310B" w:rsidRPr="004635E5">
        <w:t>dvice</w:t>
      </w:r>
      <w:r w:rsidR="00AE5E0E" w:rsidRPr="004635E5">
        <w:t xml:space="preserve"> and implications</w:t>
      </w:r>
    </w:p>
    <w:p w14:paraId="251692E1" w14:textId="77777777" w:rsidR="00F46AB9" w:rsidRPr="004635E5" w:rsidRDefault="00F46AB9" w:rsidP="006633A8">
      <w:pPr>
        <w:pStyle w:val="SCa"/>
        <w:spacing w:after="0"/>
      </w:pPr>
    </w:p>
    <w:p w14:paraId="6E0D99B4" w14:textId="77777777" w:rsidR="00E4310B" w:rsidRPr="004635E5" w:rsidRDefault="00E4310B" w:rsidP="00580EA4">
      <w:pPr>
        <w:numPr>
          <w:ilvl w:val="0"/>
          <w:numId w:val="18"/>
        </w:numPr>
        <w:autoSpaceDE w:val="0"/>
        <w:autoSpaceDN w:val="0"/>
        <w:adjustRightInd w:val="0"/>
        <w:snapToGrid w:val="0"/>
        <w:ind w:left="0" w:firstLine="0"/>
        <w:jc w:val="both"/>
        <w:rPr>
          <w:b/>
          <w:sz w:val="22"/>
          <w:szCs w:val="22"/>
          <w:lang w:val="en-AU"/>
        </w:rPr>
      </w:pPr>
      <w:r w:rsidRPr="004635E5">
        <w:rPr>
          <w:b/>
          <w:sz w:val="22"/>
          <w:szCs w:val="22"/>
          <w:lang w:val="en-AU"/>
        </w:rPr>
        <w:t xml:space="preserve">SC14 noted that no management advice has been provided for South Pacific blue shark. </w:t>
      </w:r>
    </w:p>
    <w:p w14:paraId="1ACE71AC" w14:textId="77777777" w:rsidR="00F46AB9" w:rsidRPr="004635E5" w:rsidRDefault="00F46AB9" w:rsidP="006633A8">
      <w:pPr>
        <w:autoSpaceDE w:val="0"/>
        <w:autoSpaceDN w:val="0"/>
        <w:adjustRightInd w:val="0"/>
        <w:snapToGrid w:val="0"/>
        <w:jc w:val="both"/>
        <w:rPr>
          <w:b/>
          <w:sz w:val="22"/>
          <w:szCs w:val="22"/>
          <w:lang w:val="en-AU"/>
        </w:rPr>
      </w:pPr>
    </w:p>
    <w:p w14:paraId="7CEBA0E2" w14:textId="77777777" w:rsidR="00810E61" w:rsidRPr="004635E5" w:rsidRDefault="00073DD2" w:rsidP="00580EA4">
      <w:pPr>
        <w:pStyle w:val="SC3"/>
        <w:numPr>
          <w:ilvl w:val="2"/>
          <w:numId w:val="161"/>
        </w:numPr>
        <w:spacing w:after="0"/>
        <w:rPr>
          <w:rFonts w:eastAsia="Batang"/>
          <w:lang w:eastAsia="ko-KR"/>
        </w:rPr>
      </w:pPr>
      <w:r w:rsidRPr="004635E5">
        <w:rPr>
          <w:rFonts w:eastAsia="Batang"/>
          <w:lang w:eastAsia="ko-KR"/>
        </w:rPr>
        <w:t>North Pacific blue shark</w:t>
      </w:r>
      <w:r w:rsidR="00807662" w:rsidRPr="004635E5">
        <w:rPr>
          <w:rFonts w:eastAsia="Batang"/>
          <w:lang w:eastAsia="ko-KR"/>
        </w:rPr>
        <w:t xml:space="preserve"> (</w:t>
      </w:r>
      <w:r w:rsidR="00807662" w:rsidRPr="004635E5">
        <w:rPr>
          <w:rFonts w:eastAsia="Batang"/>
          <w:i/>
          <w:lang w:eastAsia="ko-KR"/>
        </w:rPr>
        <w:t>Prionace glauca</w:t>
      </w:r>
      <w:r w:rsidR="00807662" w:rsidRPr="004635E5">
        <w:rPr>
          <w:rFonts w:eastAsia="Batang"/>
          <w:lang w:eastAsia="ko-KR"/>
        </w:rPr>
        <w:t>)</w:t>
      </w:r>
    </w:p>
    <w:p w14:paraId="7687F04A" w14:textId="77777777" w:rsidR="00F46AB9" w:rsidRPr="004635E5" w:rsidRDefault="00F46AB9" w:rsidP="006633A8">
      <w:pPr>
        <w:pStyle w:val="SC3"/>
        <w:numPr>
          <w:ilvl w:val="0"/>
          <w:numId w:val="0"/>
        </w:numPr>
        <w:spacing w:after="0"/>
        <w:ind w:left="1440"/>
        <w:rPr>
          <w:rFonts w:eastAsia="Batang"/>
          <w:lang w:eastAsia="ko-KR"/>
        </w:rPr>
      </w:pPr>
    </w:p>
    <w:p w14:paraId="581A4031" w14:textId="77777777" w:rsidR="00073DD2" w:rsidRPr="004635E5" w:rsidRDefault="00334B07" w:rsidP="00580EA4">
      <w:pPr>
        <w:pStyle w:val="SC3"/>
        <w:numPr>
          <w:ilvl w:val="3"/>
          <w:numId w:val="161"/>
        </w:numPr>
        <w:spacing w:after="0"/>
        <w:rPr>
          <w:rFonts w:eastAsia="Batang"/>
          <w:lang w:eastAsia="ko-KR"/>
        </w:rPr>
      </w:pPr>
      <w:r w:rsidRPr="004635E5">
        <w:rPr>
          <w:rFonts w:eastAsia="Batang"/>
          <w:lang w:eastAsia="ko-KR"/>
        </w:rPr>
        <w:t>R</w:t>
      </w:r>
      <w:r w:rsidR="00073DD2" w:rsidRPr="004635E5">
        <w:rPr>
          <w:rFonts w:eastAsia="Batang"/>
          <w:lang w:eastAsia="ko-KR"/>
        </w:rPr>
        <w:t>esearch and information</w:t>
      </w:r>
    </w:p>
    <w:p w14:paraId="021D74A4" w14:textId="77777777" w:rsidR="00F46AB9" w:rsidRPr="004635E5" w:rsidRDefault="00F46AB9" w:rsidP="006633A8">
      <w:pPr>
        <w:pStyle w:val="SC3"/>
        <w:numPr>
          <w:ilvl w:val="0"/>
          <w:numId w:val="0"/>
        </w:numPr>
        <w:spacing w:after="0"/>
        <w:ind w:left="1800"/>
        <w:rPr>
          <w:rFonts w:eastAsia="Batang"/>
          <w:lang w:eastAsia="ko-KR"/>
        </w:rPr>
      </w:pPr>
    </w:p>
    <w:p w14:paraId="3F106D14" w14:textId="77777777" w:rsidR="004B3CEF" w:rsidRPr="004635E5" w:rsidRDefault="00810E61" w:rsidP="00132438">
      <w:pPr>
        <w:pStyle w:val="SCa"/>
        <w:tabs>
          <w:tab w:val="clear" w:pos="1080"/>
        </w:tabs>
        <w:spacing w:after="0"/>
        <w:ind w:left="0"/>
      </w:pPr>
      <w:r w:rsidRPr="004635E5">
        <w:t>a.</w:t>
      </w:r>
      <w:r w:rsidRPr="004635E5">
        <w:tab/>
      </w:r>
      <w:r w:rsidR="004B3CEF" w:rsidRPr="004635E5">
        <w:t xml:space="preserve">Designation of </w:t>
      </w:r>
      <w:r w:rsidR="00270656" w:rsidRPr="004635E5">
        <w:t>North Pacific</w:t>
      </w:r>
      <w:r w:rsidR="004B3CEF" w:rsidRPr="004635E5">
        <w:t xml:space="preserve"> Blue Shark as a northern stock</w:t>
      </w:r>
      <w:r w:rsidR="004B3CEF" w:rsidRPr="004635E5">
        <w:tab/>
      </w:r>
    </w:p>
    <w:p w14:paraId="74356644" w14:textId="77777777" w:rsidR="00F46AB9" w:rsidRPr="004635E5" w:rsidRDefault="00F46AB9" w:rsidP="006633A8">
      <w:pPr>
        <w:pStyle w:val="SCa"/>
        <w:spacing w:after="0"/>
      </w:pPr>
    </w:p>
    <w:p w14:paraId="3FA132EB" w14:textId="77777777" w:rsidR="006203CC" w:rsidRPr="004635E5" w:rsidRDefault="00767630" w:rsidP="00580EA4">
      <w:pPr>
        <w:numPr>
          <w:ilvl w:val="0"/>
          <w:numId w:val="18"/>
        </w:numPr>
        <w:autoSpaceDE w:val="0"/>
        <w:autoSpaceDN w:val="0"/>
        <w:adjustRightInd w:val="0"/>
        <w:snapToGrid w:val="0"/>
        <w:ind w:left="0" w:firstLine="0"/>
        <w:jc w:val="both"/>
        <w:rPr>
          <w:rFonts w:eastAsia="Batang"/>
          <w:sz w:val="22"/>
          <w:szCs w:val="22"/>
          <w:lang w:val="en-AU" w:eastAsia="ko-KR"/>
        </w:rPr>
      </w:pPr>
      <w:r w:rsidRPr="004635E5">
        <w:rPr>
          <w:rFonts w:eastAsia="Batang"/>
          <w:sz w:val="22"/>
          <w:szCs w:val="22"/>
          <w:lang w:val="en-AU" w:eastAsia="ko-KR"/>
        </w:rPr>
        <w:t>John Hampton (SPC) presented SC14-SA-WP</w:t>
      </w:r>
      <w:r w:rsidR="00797E2B">
        <w:rPr>
          <w:rFonts w:eastAsia="Batang"/>
          <w:sz w:val="22"/>
          <w:szCs w:val="22"/>
          <w:lang w:val="en-AU" w:eastAsia="ko-KR"/>
        </w:rPr>
        <w:t>-</w:t>
      </w:r>
      <w:r w:rsidRPr="004635E5">
        <w:rPr>
          <w:rFonts w:eastAsia="Batang"/>
          <w:sz w:val="22"/>
          <w:szCs w:val="22"/>
          <w:lang w:val="en-AU" w:eastAsia="ko-KR"/>
        </w:rPr>
        <w:t xml:space="preserve">09, </w:t>
      </w:r>
      <w:r w:rsidR="006851CC" w:rsidRPr="004635E5">
        <w:rPr>
          <w:rFonts w:eastAsia="Batang"/>
          <w:i/>
          <w:sz w:val="22"/>
          <w:szCs w:val="22"/>
          <w:lang w:eastAsia="ko-KR"/>
        </w:rPr>
        <w:t>Indicators of the spatial distribution of blue shark (Prionace glauca) in the North Pacific</w:t>
      </w:r>
      <w:r w:rsidR="006851CC" w:rsidRPr="004635E5">
        <w:rPr>
          <w:rFonts w:eastAsia="Batang"/>
          <w:sz w:val="22"/>
          <w:szCs w:val="22"/>
          <w:lang w:eastAsia="ko-KR"/>
        </w:rPr>
        <w:t>,</w:t>
      </w:r>
      <w:r w:rsidR="006851CC" w:rsidRPr="004635E5">
        <w:rPr>
          <w:rFonts w:eastAsia="Batang"/>
          <w:sz w:val="22"/>
          <w:szCs w:val="22"/>
          <w:lang w:val="en-AU" w:eastAsia="ko-KR"/>
        </w:rPr>
        <w:t xml:space="preserve"> </w:t>
      </w:r>
      <w:r w:rsidRPr="004635E5">
        <w:rPr>
          <w:rFonts w:eastAsia="Batang"/>
          <w:sz w:val="22"/>
          <w:szCs w:val="22"/>
          <w:lang w:val="en-AU" w:eastAsia="ko-KR"/>
        </w:rPr>
        <w:t>noting that WCPFC14 (paragraph 378, WCPFC14 Summary Report) requested the Scientific Committee to provide advice as to whether blue shark in the North Pacific should be designated as a “northern stock”, defined as those stocks “which occur mostly in the area north of the 20</w:t>
      </w:r>
      <w:r w:rsidRPr="004635E5">
        <w:rPr>
          <w:rFonts w:eastAsia="Batang"/>
          <w:sz w:val="22"/>
          <w:szCs w:val="22"/>
          <w:lang w:val="en-AU" w:eastAsia="ko-KR"/>
        </w:rPr>
        <w:sym w:font="Symbol" w:char="F0B0"/>
      </w:r>
      <w:r w:rsidRPr="004635E5">
        <w:rPr>
          <w:rFonts w:eastAsia="Batang"/>
          <w:sz w:val="22"/>
          <w:szCs w:val="22"/>
          <w:lang w:val="en-AU" w:eastAsia="ko-KR"/>
        </w:rPr>
        <w:t xml:space="preserve"> north parallel”. </w:t>
      </w:r>
    </w:p>
    <w:p w14:paraId="262B30B9" w14:textId="77777777" w:rsidR="00F46AB9" w:rsidRPr="004635E5" w:rsidRDefault="00F46AB9" w:rsidP="006633A8">
      <w:pPr>
        <w:autoSpaceDE w:val="0"/>
        <w:autoSpaceDN w:val="0"/>
        <w:adjustRightInd w:val="0"/>
        <w:snapToGrid w:val="0"/>
        <w:jc w:val="both"/>
        <w:rPr>
          <w:rFonts w:eastAsia="Batang"/>
          <w:sz w:val="22"/>
          <w:szCs w:val="22"/>
          <w:lang w:val="en-AU" w:eastAsia="ko-KR"/>
        </w:rPr>
      </w:pPr>
    </w:p>
    <w:p w14:paraId="61F8EA65" w14:textId="77777777" w:rsidR="006203CC" w:rsidRPr="004635E5" w:rsidRDefault="00767630" w:rsidP="00580EA4">
      <w:pPr>
        <w:numPr>
          <w:ilvl w:val="0"/>
          <w:numId w:val="18"/>
        </w:numPr>
        <w:autoSpaceDE w:val="0"/>
        <w:autoSpaceDN w:val="0"/>
        <w:adjustRightInd w:val="0"/>
        <w:snapToGrid w:val="0"/>
        <w:ind w:left="0" w:firstLine="0"/>
        <w:jc w:val="both"/>
        <w:rPr>
          <w:rFonts w:eastAsia="Batang"/>
          <w:sz w:val="22"/>
          <w:szCs w:val="22"/>
          <w:lang w:val="en-AU" w:eastAsia="ko-KR"/>
        </w:rPr>
      </w:pPr>
      <w:r w:rsidRPr="004635E5">
        <w:rPr>
          <w:rFonts w:eastAsia="Batang"/>
          <w:sz w:val="22"/>
          <w:szCs w:val="22"/>
          <w:lang w:val="en-AU" w:eastAsia="ko-KR"/>
        </w:rPr>
        <w:t>Blue shark comprise a single stock in the North Pacific, and occur widely from the Equator to at least 57</w:t>
      </w:r>
      <w:r w:rsidRPr="004635E5">
        <w:rPr>
          <w:rFonts w:eastAsia="Batang"/>
          <w:sz w:val="22"/>
          <w:szCs w:val="22"/>
          <w:lang w:val="en-AU" w:eastAsia="ko-KR"/>
        </w:rPr>
        <w:sym w:font="Symbol" w:char="F0B0"/>
      </w:r>
      <w:r w:rsidRPr="004635E5">
        <w:rPr>
          <w:rFonts w:eastAsia="Batang"/>
          <w:sz w:val="22"/>
          <w:szCs w:val="22"/>
          <w:lang w:val="en-AU" w:eastAsia="ko-KR"/>
        </w:rPr>
        <w:t xml:space="preserve">N. They mate in subtropical and tropical waters during the summer, </w:t>
      </w:r>
      <w:r w:rsidRPr="004635E5">
        <w:rPr>
          <w:rFonts w:eastAsia="Batang"/>
          <w:sz w:val="22"/>
          <w:szCs w:val="22"/>
          <w:lang w:val="en-GB" w:eastAsia="ko-KR"/>
        </w:rPr>
        <w:t>after which females migrate northwards, giving birth in the following year between 30</w:t>
      </w:r>
      <w:r w:rsidR="004334BB" w:rsidRPr="004635E5">
        <w:rPr>
          <w:rFonts w:eastAsia="Batang"/>
          <w:sz w:val="22"/>
          <w:szCs w:val="22"/>
          <w:lang w:val="en-GB" w:eastAsia="ko-KR"/>
        </w:rPr>
        <w:t>°</w:t>
      </w:r>
      <w:r w:rsidRPr="004635E5">
        <w:rPr>
          <w:rFonts w:eastAsia="Batang"/>
          <w:sz w:val="22"/>
          <w:szCs w:val="22"/>
          <w:lang w:val="en-GB" w:eastAsia="ko-KR"/>
        </w:rPr>
        <w:t>-40</w:t>
      </w:r>
      <w:r w:rsidR="004334BB" w:rsidRPr="004635E5">
        <w:rPr>
          <w:rFonts w:eastAsia="Batang"/>
          <w:sz w:val="22"/>
          <w:szCs w:val="22"/>
          <w:lang w:val="en-GB" w:eastAsia="ko-KR"/>
        </w:rPr>
        <w:t>°</w:t>
      </w:r>
      <w:r w:rsidRPr="004635E5">
        <w:rPr>
          <w:rFonts w:eastAsia="Batang"/>
          <w:sz w:val="22"/>
          <w:szCs w:val="22"/>
          <w:lang w:val="en-GB" w:eastAsia="ko-KR"/>
        </w:rPr>
        <w:t>N. The area south of 20</w:t>
      </w:r>
      <w:r w:rsidRPr="004635E5">
        <w:rPr>
          <w:rFonts w:eastAsia="Batang"/>
          <w:sz w:val="22"/>
          <w:szCs w:val="22"/>
          <w:lang w:val="en-GB" w:eastAsia="ko-KR"/>
        </w:rPr>
        <w:sym w:font="Symbol" w:char="F0B0"/>
      </w:r>
      <w:r w:rsidRPr="004635E5">
        <w:rPr>
          <w:rFonts w:eastAsia="Batang"/>
          <w:sz w:val="22"/>
          <w:szCs w:val="22"/>
          <w:lang w:val="en-GB" w:eastAsia="ko-KR"/>
        </w:rPr>
        <w:t>N is an important part of the blue shark distribution in the North Pacific, particularly for adults. Furthermore, the area may be part of the breeding ground, and/or post-breeding area for pregnant females.</w:t>
      </w:r>
      <w:r w:rsidRPr="004635E5">
        <w:rPr>
          <w:rFonts w:eastAsia="Batang"/>
          <w:sz w:val="22"/>
          <w:szCs w:val="22"/>
          <w:lang w:val="en-AU" w:eastAsia="ko-KR"/>
        </w:rPr>
        <w:t xml:space="preserve"> </w:t>
      </w:r>
    </w:p>
    <w:p w14:paraId="2544FF95" w14:textId="77777777" w:rsidR="00F46AB9" w:rsidRPr="004635E5" w:rsidRDefault="00F46AB9" w:rsidP="006633A8">
      <w:pPr>
        <w:autoSpaceDE w:val="0"/>
        <w:autoSpaceDN w:val="0"/>
        <w:adjustRightInd w:val="0"/>
        <w:snapToGrid w:val="0"/>
        <w:jc w:val="both"/>
        <w:rPr>
          <w:rFonts w:eastAsia="Batang"/>
          <w:sz w:val="22"/>
          <w:szCs w:val="22"/>
          <w:lang w:val="en-AU" w:eastAsia="ko-KR"/>
        </w:rPr>
      </w:pPr>
    </w:p>
    <w:p w14:paraId="630DB744" w14:textId="77777777" w:rsidR="006203CC" w:rsidRPr="004635E5" w:rsidRDefault="00767630" w:rsidP="00580EA4">
      <w:pPr>
        <w:numPr>
          <w:ilvl w:val="0"/>
          <w:numId w:val="18"/>
        </w:numPr>
        <w:autoSpaceDE w:val="0"/>
        <w:autoSpaceDN w:val="0"/>
        <w:adjustRightInd w:val="0"/>
        <w:snapToGrid w:val="0"/>
        <w:ind w:left="0" w:firstLine="0"/>
        <w:jc w:val="both"/>
        <w:rPr>
          <w:rFonts w:eastAsia="Batang"/>
          <w:sz w:val="22"/>
          <w:szCs w:val="22"/>
          <w:lang w:val="en-AU" w:eastAsia="ko-KR"/>
        </w:rPr>
      </w:pPr>
      <w:r w:rsidRPr="004635E5">
        <w:rPr>
          <w:rFonts w:eastAsia="Batang"/>
          <w:sz w:val="22"/>
          <w:szCs w:val="22"/>
          <w:lang w:val="en-GB" w:eastAsia="ko-KR"/>
        </w:rPr>
        <w:t>Catch and CPUE data from several fisheries and research cruises were examined for indications of relative distribution of blue shark north and south of 20</w:t>
      </w:r>
      <w:r w:rsidRPr="004635E5">
        <w:rPr>
          <w:rFonts w:eastAsia="Batang"/>
          <w:sz w:val="22"/>
          <w:szCs w:val="22"/>
          <w:lang w:val="en-GB" w:eastAsia="ko-KR"/>
        </w:rPr>
        <w:sym w:font="Symbol" w:char="F0B0"/>
      </w:r>
      <w:r w:rsidRPr="004635E5">
        <w:rPr>
          <w:rFonts w:eastAsia="Batang"/>
          <w:sz w:val="22"/>
          <w:szCs w:val="22"/>
          <w:lang w:val="en-GB" w:eastAsia="ko-KR"/>
        </w:rPr>
        <w:t>N. Japanese research cruise data indicated that blue shark CPUE is higher in the northern area. Other data sets examined –</w:t>
      </w:r>
      <w:r w:rsidR="00F81EF0">
        <w:rPr>
          <w:rFonts w:eastAsia="Batang"/>
          <w:sz w:val="22"/>
          <w:szCs w:val="22"/>
          <w:lang w:val="en-GB" w:eastAsia="ko-KR"/>
        </w:rPr>
        <w:t xml:space="preserve"> </w:t>
      </w:r>
      <w:r w:rsidRPr="004635E5">
        <w:rPr>
          <w:rFonts w:eastAsia="Batang"/>
          <w:sz w:val="22"/>
          <w:szCs w:val="22"/>
          <w:lang w:val="en-GB" w:eastAsia="ko-KR"/>
        </w:rPr>
        <w:t xml:space="preserve">Chinese Taipei large-scale tuna longline and Hawaii-based deep-set longline – indicated similar levels of CPUE in both northern and southern areas. It is acknowledged that such spatial comparisons may be confounded by possibly </w:t>
      </w:r>
      <w:r w:rsidRPr="004635E5">
        <w:rPr>
          <w:rFonts w:eastAsia="Batang"/>
          <w:sz w:val="22"/>
          <w:szCs w:val="22"/>
          <w:lang w:val="en-AU" w:eastAsia="ko-KR"/>
        </w:rPr>
        <w:t>different depth distributions that blue shark occupy in the northern temperate and southern tropical regions of the North Pacific, and the depths that longline gear fish in these regions. Nevertheless, it is clear from the available data that the tropical region of the North Pacific south of 20</w:t>
      </w:r>
      <w:r w:rsidRPr="004635E5">
        <w:rPr>
          <w:rFonts w:eastAsia="Batang"/>
          <w:sz w:val="22"/>
          <w:szCs w:val="22"/>
          <w:lang w:val="en-AU" w:eastAsia="ko-KR"/>
        </w:rPr>
        <w:sym w:font="Symbol" w:char="F0B0"/>
      </w:r>
      <w:r w:rsidRPr="004635E5">
        <w:rPr>
          <w:rFonts w:eastAsia="Batang"/>
          <w:sz w:val="22"/>
          <w:szCs w:val="22"/>
          <w:lang w:val="en-AU" w:eastAsia="ko-KR"/>
        </w:rPr>
        <w:t>N is an important component of the blue shark distribution. This is also supported by conventional and electronic tagging data.</w:t>
      </w:r>
    </w:p>
    <w:p w14:paraId="203C9820" w14:textId="77777777" w:rsidR="00F46AB9" w:rsidRPr="004635E5" w:rsidRDefault="00F46AB9" w:rsidP="006633A8">
      <w:pPr>
        <w:autoSpaceDE w:val="0"/>
        <w:autoSpaceDN w:val="0"/>
        <w:adjustRightInd w:val="0"/>
        <w:snapToGrid w:val="0"/>
        <w:jc w:val="both"/>
        <w:rPr>
          <w:rFonts w:eastAsia="Batang"/>
          <w:sz w:val="22"/>
          <w:szCs w:val="22"/>
          <w:lang w:val="en-AU" w:eastAsia="ko-KR"/>
        </w:rPr>
      </w:pPr>
    </w:p>
    <w:p w14:paraId="4FA4D718" w14:textId="77777777" w:rsidR="00F46AB9" w:rsidRPr="004635E5" w:rsidRDefault="00767630" w:rsidP="00580EA4">
      <w:pPr>
        <w:numPr>
          <w:ilvl w:val="0"/>
          <w:numId w:val="18"/>
        </w:numPr>
        <w:autoSpaceDE w:val="0"/>
        <w:autoSpaceDN w:val="0"/>
        <w:adjustRightInd w:val="0"/>
        <w:snapToGrid w:val="0"/>
        <w:ind w:left="0" w:firstLine="0"/>
        <w:jc w:val="both"/>
        <w:rPr>
          <w:rFonts w:eastAsia="Batang"/>
          <w:sz w:val="22"/>
          <w:szCs w:val="22"/>
          <w:lang w:val="en-AU" w:eastAsia="ko-KR"/>
        </w:rPr>
      </w:pPr>
      <w:r w:rsidRPr="004635E5">
        <w:rPr>
          <w:rFonts w:eastAsia="Batang"/>
          <w:sz w:val="22"/>
          <w:szCs w:val="22"/>
          <w:lang w:val="en-GB" w:eastAsia="ko-KR"/>
        </w:rPr>
        <w:t xml:space="preserve">The question: </w:t>
      </w:r>
      <w:r w:rsidRPr="004635E5">
        <w:rPr>
          <w:rFonts w:eastAsia="Batang"/>
          <w:i/>
          <w:sz w:val="22"/>
          <w:szCs w:val="22"/>
          <w:lang w:val="en-GB" w:eastAsia="ko-KR"/>
        </w:rPr>
        <w:t xml:space="preserve">do blue shark occur mostly north of </w:t>
      </w:r>
      <w:r w:rsidRPr="004635E5">
        <w:rPr>
          <w:rFonts w:eastAsia="Batang"/>
          <w:i/>
          <w:sz w:val="22"/>
          <w:szCs w:val="22"/>
          <w:lang w:val="en-AU" w:eastAsia="ko-KR"/>
        </w:rPr>
        <w:t>20</w:t>
      </w:r>
      <w:r w:rsidRPr="004635E5">
        <w:rPr>
          <w:rFonts w:eastAsia="Batang"/>
          <w:i/>
          <w:sz w:val="22"/>
          <w:szCs w:val="22"/>
          <w:lang w:val="en-AU" w:eastAsia="ko-KR"/>
        </w:rPr>
        <w:sym w:font="Symbol" w:char="F0B0"/>
      </w:r>
      <w:r w:rsidRPr="004635E5">
        <w:rPr>
          <w:rFonts w:eastAsia="Batang"/>
          <w:i/>
          <w:sz w:val="22"/>
          <w:szCs w:val="22"/>
          <w:lang w:val="en-AU" w:eastAsia="ko-KR"/>
        </w:rPr>
        <w:t>N?</w:t>
      </w:r>
      <w:r w:rsidRPr="004635E5">
        <w:rPr>
          <w:rFonts w:eastAsia="Batang"/>
          <w:sz w:val="22"/>
          <w:szCs w:val="22"/>
          <w:lang w:val="en-AU" w:eastAsia="ko-KR"/>
        </w:rPr>
        <w:t xml:space="preserve"> – is difficult to answer scientifically because of the qualitative nature of the question. Based on nominal CPUE spatial comparisons, we would judge that blue shark has a tropical component at 0-20</w:t>
      </w:r>
      <w:r w:rsidRPr="004635E5">
        <w:rPr>
          <w:rFonts w:eastAsia="Batang"/>
          <w:sz w:val="22"/>
          <w:szCs w:val="22"/>
          <w:lang w:val="en-AU" w:eastAsia="ko-KR"/>
        </w:rPr>
        <w:sym w:font="Symbol" w:char="F0B0"/>
      </w:r>
      <w:r w:rsidRPr="004635E5">
        <w:rPr>
          <w:rFonts w:eastAsia="Batang"/>
          <w:sz w:val="22"/>
          <w:szCs w:val="22"/>
          <w:lang w:val="en-AU" w:eastAsia="ko-KR"/>
        </w:rPr>
        <w:t>N similar to some already-designated northern stocks. Comparisons of swordfish, albacore and blue shark nominal CPUE in the Hawaii-based deep-set longline fishery show similar ratios north and south of 20</w:t>
      </w:r>
      <w:r w:rsidRPr="004635E5">
        <w:rPr>
          <w:rFonts w:eastAsia="Batang"/>
          <w:sz w:val="22"/>
          <w:szCs w:val="22"/>
          <w:lang w:val="en-AU" w:eastAsia="ko-KR"/>
        </w:rPr>
        <w:sym w:font="Symbol" w:char="F0B0"/>
      </w:r>
      <w:r w:rsidRPr="004635E5">
        <w:rPr>
          <w:rFonts w:eastAsia="Batang"/>
          <w:sz w:val="22"/>
          <w:szCs w:val="22"/>
          <w:lang w:val="en-AU" w:eastAsia="ko-KR"/>
        </w:rPr>
        <w:t>N for all three species, indicating that, at least in the area of this fishery, swordfish, albacore and blue shark all have significant parts of their distributions south of 20</w:t>
      </w:r>
      <w:r w:rsidRPr="004635E5">
        <w:rPr>
          <w:rFonts w:eastAsia="Batang"/>
          <w:sz w:val="22"/>
          <w:szCs w:val="22"/>
          <w:lang w:val="en-AU" w:eastAsia="ko-KR"/>
        </w:rPr>
        <w:sym w:font="Symbol" w:char="F0B0"/>
      </w:r>
      <w:r w:rsidRPr="004635E5">
        <w:rPr>
          <w:rFonts w:eastAsia="Batang"/>
          <w:sz w:val="22"/>
          <w:szCs w:val="22"/>
          <w:lang w:val="en-AU" w:eastAsia="ko-KR"/>
        </w:rPr>
        <w:t>N.</w:t>
      </w:r>
    </w:p>
    <w:p w14:paraId="01DC9AE6" w14:textId="77777777" w:rsidR="00F46AB9" w:rsidRPr="004635E5" w:rsidRDefault="00F46AB9" w:rsidP="006633A8">
      <w:pPr>
        <w:autoSpaceDE w:val="0"/>
        <w:autoSpaceDN w:val="0"/>
        <w:adjustRightInd w:val="0"/>
        <w:snapToGrid w:val="0"/>
        <w:jc w:val="both"/>
        <w:rPr>
          <w:rFonts w:eastAsia="Batang"/>
          <w:sz w:val="22"/>
          <w:szCs w:val="22"/>
          <w:lang w:val="en-AU" w:eastAsia="ko-KR"/>
        </w:rPr>
      </w:pPr>
    </w:p>
    <w:p w14:paraId="072F219B" w14:textId="77777777" w:rsidR="006203CC" w:rsidRPr="004635E5" w:rsidRDefault="00767630" w:rsidP="00580EA4">
      <w:pPr>
        <w:numPr>
          <w:ilvl w:val="0"/>
          <w:numId w:val="18"/>
        </w:numPr>
        <w:autoSpaceDE w:val="0"/>
        <w:autoSpaceDN w:val="0"/>
        <w:adjustRightInd w:val="0"/>
        <w:snapToGrid w:val="0"/>
        <w:ind w:left="0" w:firstLine="0"/>
        <w:jc w:val="both"/>
        <w:rPr>
          <w:rFonts w:eastAsia="Batang"/>
          <w:sz w:val="22"/>
          <w:szCs w:val="22"/>
          <w:lang w:val="en-AU" w:eastAsia="ko-KR"/>
        </w:rPr>
      </w:pPr>
      <w:r w:rsidRPr="004635E5">
        <w:rPr>
          <w:rFonts w:eastAsia="Batang"/>
          <w:sz w:val="22"/>
          <w:szCs w:val="22"/>
          <w:lang w:val="en-AU" w:eastAsia="ko-KR"/>
        </w:rPr>
        <w:t xml:space="preserve">In order to provide more specific advice, the Commission needs to clarify, and ideally quantify, what is meant by </w:t>
      </w:r>
      <w:r w:rsidRPr="004635E5">
        <w:rPr>
          <w:rFonts w:eastAsia="Batang"/>
          <w:i/>
          <w:sz w:val="22"/>
          <w:szCs w:val="22"/>
          <w:lang w:val="en-AU" w:eastAsia="ko-KR"/>
        </w:rPr>
        <w:t>mostly north of 20</w:t>
      </w:r>
      <w:r w:rsidRPr="004635E5">
        <w:rPr>
          <w:rFonts w:eastAsia="Batang"/>
          <w:i/>
          <w:sz w:val="22"/>
          <w:szCs w:val="22"/>
          <w:lang w:val="en-AU" w:eastAsia="ko-KR"/>
        </w:rPr>
        <w:sym w:font="Symbol" w:char="F0B0"/>
      </w:r>
      <w:r w:rsidRPr="004635E5">
        <w:rPr>
          <w:rFonts w:eastAsia="Batang"/>
          <w:i/>
          <w:sz w:val="22"/>
          <w:szCs w:val="22"/>
          <w:lang w:val="en-AU" w:eastAsia="ko-KR"/>
        </w:rPr>
        <w:t>N</w:t>
      </w:r>
      <w:r w:rsidRPr="004635E5">
        <w:rPr>
          <w:rFonts w:eastAsia="Batang"/>
          <w:sz w:val="22"/>
          <w:szCs w:val="22"/>
          <w:lang w:val="en-AU" w:eastAsia="ko-KR"/>
        </w:rPr>
        <w:t>. If this can be done, indicators of the spatial distribution of candidate northern stocks, or indeed existing northern stocks, could be more objectively evaluated.</w:t>
      </w:r>
    </w:p>
    <w:p w14:paraId="3628E5B1" w14:textId="77777777" w:rsidR="00F46AB9" w:rsidRPr="004635E5" w:rsidRDefault="00F46AB9" w:rsidP="006633A8">
      <w:pPr>
        <w:autoSpaceDE w:val="0"/>
        <w:autoSpaceDN w:val="0"/>
        <w:adjustRightInd w:val="0"/>
        <w:snapToGrid w:val="0"/>
        <w:jc w:val="both"/>
        <w:rPr>
          <w:rFonts w:eastAsia="Batang"/>
          <w:sz w:val="22"/>
          <w:szCs w:val="22"/>
          <w:lang w:val="en-AU" w:eastAsia="ko-KR"/>
        </w:rPr>
      </w:pPr>
    </w:p>
    <w:p w14:paraId="5A00927A" w14:textId="77777777" w:rsidR="00767630" w:rsidRPr="004635E5" w:rsidRDefault="00767630" w:rsidP="00580EA4">
      <w:pPr>
        <w:numPr>
          <w:ilvl w:val="0"/>
          <w:numId w:val="18"/>
        </w:numPr>
        <w:autoSpaceDE w:val="0"/>
        <w:autoSpaceDN w:val="0"/>
        <w:adjustRightInd w:val="0"/>
        <w:snapToGrid w:val="0"/>
        <w:ind w:left="0" w:firstLine="0"/>
        <w:jc w:val="both"/>
        <w:rPr>
          <w:rFonts w:eastAsia="Batang"/>
          <w:sz w:val="22"/>
          <w:szCs w:val="22"/>
          <w:lang w:val="en-AU" w:eastAsia="ko-KR"/>
        </w:rPr>
      </w:pPr>
      <w:r w:rsidRPr="004635E5">
        <w:rPr>
          <w:rFonts w:eastAsia="Batang"/>
          <w:sz w:val="22"/>
          <w:szCs w:val="22"/>
          <w:lang w:val="en-AU" w:eastAsia="ko-KR"/>
        </w:rPr>
        <w:t xml:space="preserve">Recommendations for further research that could improve the indicators of spatial distribution of blue shark include: </w:t>
      </w:r>
    </w:p>
    <w:p w14:paraId="63004569" w14:textId="77777777" w:rsidR="00F46AB9" w:rsidRPr="004635E5" w:rsidRDefault="00F46AB9" w:rsidP="006633A8">
      <w:pPr>
        <w:autoSpaceDE w:val="0"/>
        <w:autoSpaceDN w:val="0"/>
        <w:adjustRightInd w:val="0"/>
        <w:snapToGrid w:val="0"/>
        <w:jc w:val="both"/>
        <w:rPr>
          <w:rFonts w:eastAsia="Batang"/>
          <w:sz w:val="22"/>
          <w:szCs w:val="22"/>
          <w:lang w:val="en-AU" w:eastAsia="ko-KR"/>
        </w:rPr>
      </w:pPr>
    </w:p>
    <w:p w14:paraId="1C73A6FC" w14:textId="77777777" w:rsidR="00767630" w:rsidRPr="004635E5" w:rsidRDefault="00767630" w:rsidP="00580EA4">
      <w:pPr>
        <w:pStyle w:val="ListParagraph"/>
        <w:numPr>
          <w:ilvl w:val="0"/>
          <w:numId w:val="26"/>
        </w:numPr>
        <w:adjustRightInd w:val="0"/>
        <w:snapToGrid w:val="0"/>
        <w:rPr>
          <w:rFonts w:eastAsia="Batang"/>
          <w:sz w:val="22"/>
          <w:szCs w:val="22"/>
          <w:lang w:val="en-AU" w:eastAsia="ko-KR"/>
        </w:rPr>
      </w:pPr>
      <w:r w:rsidRPr="004635E5">
        <w:rPr>
          <w:rFonts w:eastAsia="Batang"/>
          <w:sz w:val="22"/>
          <w:szCs w:val="22"/>
          <w:lang w:val="en-AU" w:eastAsia="ko-KR"/>
        </w:rPr>
        <w:t>The further collection and analysis of observer data for longliners fishing in the North Pacific;</w:t>
      </w:r>
    </w:p>
    <w:p w14:paraId="1BD9E339" w14:textId="77777777" w:rsidR="00767630" w:rsidRPr="004635E5" w:rsidRDefault="00767630" w:rsidP="00580EA4">
      <w:pPr>
        <w:pStyle w:val="ListParagraph"/>
        <w:numPr>
          <w:ilvl w:val="0"/>
          <w:numId w:val="26"/>
        </w:numPr>
        <w:adjustRightInd w:val="0"/>
        <w:snapToGrid w:val="0"/>
        <w:rPr>
          <w:rFonts w:eastAsia="Batang"/>
          <w:sz w:val="22"/>
          <w:szCs w:val="22"/>
          <w:lang w:val="en-AU" w:eastAsia="ko-KR"/>
        </w:rPr>
      </w:pPr>
      <w:r w:rsidRPr="004635E5">
        <w:rPr>
          <w:rFonts w:eastAsia="Batang"/>
          <w:sz w:val="22"/>
          <w:szCs w:val="22"/>
          <w:lang w:val="en-AU" w:eastAsia="ko-KR"/>
        </w:rPr>
        <w:t>The development of spatially-structured population models;</w:t>
      </w:r>
    </w:p>
    <w:p w14:paraId="10EEB4BD" w14:textId="77777777" w:rsidR="00767630" w:rsidRPr="004635E5" w:rsidRDefault="00767630" w:rsidP="00580EA4">
      <w:pPr>
        <w:pStyle w:val="ListParagraph"/>
        <w:numPr>
          <w:ilvl w:val="0"/>
          <w:numId w:val="26"/>
        </w:numPr>
        <w:adjustRightInd w:val="0"/>
        <w:snapToGrid w:val="0"/>
        <w:rPr>
          <w:rFonts w:eastAsia="Batang"/>
          <w:sz w:val="22"/>
          <w:szCs w:val="22"/>
          <w:lang w:val="en-AU" w:eastAsia="ko-KR"/>
        </w:rPr>
      </w:pPr>
      <w:r w:rsidRPr="004635E5">
        <w:rPr>
          <w:rFonts w:eastAsia="Batang"/>
          <w:sz w:val="22"/>
          <w:szCs w:val="22"/>
          <w:lang w:val="en-AU" w:eastAsia="ko-KR"/>
        </w:rPr>
        <w:t>The collection and analysis of electronic tagging data to estimate patterns of vertical habitat use in the North Pacific and;</w:t>
      </w:r>
    </w:p>
    <w:p w14:paraId="30985E86" w14:textId="77777777" w:rsidR="001521F6" w:rsidRPr="004635E5" w:rsidRDefault="00767630" w:rsidP="00580EA4">
      <w:pPr>
        <w:pStyle w:val="ListParagraph"/>
        <w:numPr>
          <w:ilvl w:val="0"/>
          <w:numId w:val="26"/>
        </w:numPr>
        <w:adjustRightInd w:val="0"/>
        <w:snapToGrid w:val="0"/>
        <w:rPr>
          <w:rFonts w:eastAsia="Batang"/>
          <w:sz w:val="22"/>
          <w:szCs w:val="22"/>
          <w:lang w:val="en-AU" w:eastAsia="ko-KR"/>
        </w:rPr>
      </w:pPr>
      <w:r w:rsidRPr="004635E5">
        <w:rPr>
          <w:rFonts w:eastAsia="Batang"/>
          <w:sz w:val="22"/>
          <w:szCs w:val="22"/>
          <w:lang w:val="en-AU" w:eastAsia="ko-KR"/>
        </w:rPr>
        <w:t>Analyses to estimate effective effort and standardised CPUE that simultaneously take into account patterns of blue shark habitat use, and the fishing depth and other characteristics of longline gear.</w:t>
      </w:r>
    </w:p>
    <w:p w14:paraId="606F066E" w14:textId="77777777" w:rsidR="00F46AB9" w:rsidRPr="004635E5" w:rsidRDefault="00F46AB9" w:rsidP="006633A8">
      <w:pPr>
        <w:pStyle w:val="ListParagraph"/>
        <w:adjustRightInd w:val="0"/>
        <w:snapToGrid w:val="0"/>
        <w:rPr>
          <w:rFonts w:eastAsia="Batang"/>
          <w:sz w:val="22"/>
          <w:szCs w:val="22"/>
          <w:lang w:val="en-AU" w:eastAsia="ko-KR"/>
        </w:rPr>
      </w:pPr>
    </w:p>
    <w:p w14:paraId="1E569C4E" w14:textId="77777777" w:rsidR="00714B1C" w:rsidRPr="004635E5" w:rsidRDefault="00714B1C" w:rsidP="006633A8">
      <w:pPr>
        <w:pStyle w:val="ListParagraph"/>
        <w:adjustRightInd w:val="0"/>
        <w:snapToGrid w:val="0"/>
        <w:ind w:left="0"/>
        <w:jc w:val="both"/>
        <w:rPr>
          <w:rFonts w:eastAsia="Batang"/>
          <w:b/>
          <w:sz w:val="22"/>
          <w:szCs w:val="22"/>
          <w:lang w:val="en-NZ" w:eastAsia="ko-KR"/>
        </w:rPr>
      </w:pPr>
      <w:r w:rsidRPr="004635E5">
        <w:rPr>
          <w:rFonts w:eastAsia="Batang"/>
          <w:b/>
          <w:sz w:val="22"/>
          <w:szCs w:val="22"/>
          <w:lang w:val="en-NZ" w:eastAsia="ko-KR"/>
        </w:rPr>
        <w:t xml:space="preserve">Discussion </w:t>
      </w:r>
    </w:p>
    <w:p w14:paraId="7BB716DA" w14:textId="77777777" w:rsidR="00F46AB9" w:rsidRPr="004635E5" w:rsidRDefault="00F46AB9" w:rsidP="006633A8">
      <w:pPr>
        <w:pStyle w:val="ListParagraph"/>
        <w:adjustRightInd w:val="0"/>
        <w:snapToGrid w:val="0"/>
        <w:ind w:left="0"/>
        <w:jc w:val="both"/>
        <w:rPr>
          <w:rFonts w:eastAsia="Batang"/>
          <w:b/>
          <w:sz w:val="22"/>
          <w:szCs w:val="22"/>
          <w:lang w:val="en-NZ" w:eastAsia="ko-KR"/>
        </w:rPr>
      </w:pPr>
    </w:p>
    <w:p w14:paraId="39F4A414" w14:textId="77777777" w:rsidR="00714B1C" w:rsidRPr="004635E5" w:rsidRDefault="00F35E14"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Japan </w:t>
      </w:r>
      <w:r w:rsidR="00714B1C" w:rsidRPr="004635E5">
        <w:rPr>
          <w:rFonts w:eastAsia="Batang"/>
          <w:sz w:val="22"/>
          <w:szCs w:val="22"/>
          <w:lang w:val="en-NZ" w:eastAsia="ko-KR"/>
        </w:rPr>
        <w:t>support</w:t>
      </w:r>
      <w:r w:rsidRPr="004635E5">
        <w:rPr>
          <w:rFonts w:eastAsia="Batang"/>
          <w:sz w:val="22"/>
          <w:szCs w:val="22"/>
          <w:lang w:val="en-NZ" w:eastAsia="ko-KR"/>
        </w:rPr>
        <w:t>ed</w:t>
      </w:r>
      <w:r w:rsidR="00714B1C" w:rsidRPr="004635E5">
        <w:rPr>
          <w:rFonts w:eastAsia="Batang"/>
          <w:sz w:val="22"/>
          <w:szCs w:val="22"/>
          <w:lang w:val="en-NZ" w:eastAsia="ko-KR"/>
        </w:rPr>
        <w:t xml:space="preserve"> the conc</w:t>
      </w:r>
      <w:r w:rsidR="00A52BE1" w:rsidRPr="004635E5">
        <w:rPr>
          <w:rFonts w:eastAsia="Batang"/>
          <w:sz w:val="22"/>
          <w:szCs w:val="22"/>
          <w:lang w:val="en-NZ" w:eastAsia="ko-KR"/>
        </w:rPr>
        <w:t>l</w:t>
      </w:r>
      <w:r w:rsidR="00714B1C" w:rsidRPr="004635E5">
        <w:rPr>
          <w:rFonts w:eastAsia="Batang"/>
          <w:sz w:val="22"/>
          <w:szCs w:val="22"/>
          <w:lang w:val="en-NZ" w:eastAsia="ko-KR"/>
        </w:rPr>
        <w:t xml:space="preserve">usion that </w:t>
      </w:r>
      <w:r w:rsidRPr="004635E5">
        <w:rPr>
          <w:rFonts w:eastAsia="Batang"/>
          <w:sz w:val="22"/>
          <w:szCs w:val="22"/>
          <w:lang w:val="en-NZ" w:eastAsia="ko-KR"/>
        </w:rPr>
        <w:t xml:space="preserve">the </w:t>
      </w:r>
      <w:r w:rsidR="00714B1C" w:rsidRPr="004635E5">
        <w:rPr>
          <w:rFonts w:eastAsia="Batang"/>
          <w:sz w:val="22"/>
          <w:szCs w:val="22"/>
          <w:lang w:val="en-NZ" w:eastAsia="ko-KR"/>
        </w:rPr>
        <w:t>Comm</w:t>
      </w:r>
      <w:r w:rsidRPr="004635E5">
        <w:rPr>
          <w:rFonts w:eastAsia="Batang"/>
          <w:sz w:val="22"/>
          <w:szCs w:val="22"/>
          <w:lang w:val="en-NZ" w:eastAsia="ko-KR"/>
        </w:rPr>
        <w:t>ission</w:t>
      </w:r>
      <w:r w:rsidR="00714B1C" w:rsidRPr="004635E5">
        <w:rPr>
          <w:rFonts w:eastAsia="Batang"/>
          <w:sz w:val="22"/>
          <w:szCs w:val="22"/>
          <w:lang w:val="en-NZ" w:eastAsia="ko-KR"/>
        </w:rPr>
        <w:t xml:space="preserve"> needs to clarify what is m</w:t>
      </w:r>
      <w:r w:rsidRPr="004635E5">
        <w:rPr>
          <w:rFonts w:eastAsia="Batang"/>
          <w:sz w:val="22"/>
          <w:szCs w:val="22"/>
          <w:lang w:val="en-NZ" w:eastAsia="ko-KR"/>
        </w:rPr>
        <w:t>e</w:t>
      </w:r>
      <w:r w:rsidR="00714B1C" w:rsidRPr="004635E5">
        <w:rPr>
          <w:rFonts w:eastAsia="Batang"/>
          <w:sz w:val="22"/>
          <w:szCs w:val="22"/>
          <w:lang w:val="en-NZ" w:eastAsia="ko-KR"/>
        </w:rPr>
        <w:t>ant by “mostly N of 20 degrees N”</w:t>
      </w:r>
      <w:r w:rsidR="00270656" w:rsidRPr="004635E5">
        <w:rPr>
          <w:rFonts w:eastAsia="Batang"/>
          <w:sz w:val="22"/>
          <w:szCs w:val="22"/>
          <w:lang w:val="en-NZ" w:eastAsia="ko-KR"/>
        </w:rPr>
        <w:t>, stating</w:t>
      </w:r>
      <w:r w:rsidR="00714B1C" w:rsidRPr="004635E5">
        <w:rPr>
          <w:rFonts w:eastAsia="Batang"/>
          <w:sz w:val="22"/>
          <w:szCs w:val="22"/>
          <w:lang w:val="en-NZ" w:eastAsia="ko-KR"/>
        </w:rPr>
        <w:t xml:space="preserve"> this </w:t>
      </w:r>
      <w:r w:rsidR="00270656" w:rsidRPr="004635E5">
        <w:rPr>
          <w:rFonts w:eastAsia="Batang"/>
          <w:sz w:val="22"/>
          <w:szCs w:val="22"/>
          <w:lang w:val="en-NZ" w:eastAsia="ko-KR"/>
        </w:rPr>
        <w:t xml:space="preserve">was a </w:t>
      </w:r>
      <w:r w:rsidR="00714B1C" w:rsidRPr="004635E5">
        <w:rPr>
          <w:rFonts w:eastAsia="Batang"/>
          <w:sz w:val="22"/>
          <w:szCs w:val="22"/>
          <w:lang w:val="en-NZ" w:eastAsia="ko-KR"/>
        </w:rPr>
        <w:t xml:space="preserve">political matter, not </w:t>
      </w:r>
      <w:r w:rsidRPr="004635E5">
        <w:rPr>
          <w:rFonts w:eastAsia="Batang"/>
          <w:sz w:val="22"/>
          <w:szCs w:val="22"/>
          <w:lang w:val="en-NZ" w:eastAsia="ko-KR"/>
        </w:rPr>
        <w:t xml:space="preserve">a </w:t>
      </w:r>
      <w:r w:rsidR="00714B1C" w:rsidRPr="004635E5">
        <w:rPr>
          <w:rFonts w:eastAsia="Batang"/>
          <w:sz w:val="22"/>
          <w:szCs w:val="22"/>
          <w:lang w:val="en-NZ" w:eastAsia="ko-KR"/>
        </w:rPr>
        <w:t>sci</w:t>
      </w:r>
      <w:r w:rsidRPr="004635E5">
        <w:rPr>
          <w:rFonts w:eastAsia="Batang"/>
          <w:sz w:val="22"/>
          <w:szCs w:val="22"/>
          <w:lang w:val="en-NZ" w:eastAsia="ko-KR"/>
        </w:rPr>
        <w:t xml:space="preserve">entific </w:t>
      </w:r>
      <w:r w:rsidR="00714B1C" w:rsidRPr="004635E5">
        <w:rPr>
          <w:rFonts w:eastAsia="Batang"/>
          <w:sz w:val="22"/>
          <w:szCs w:val="22"/>
          <w:lang w:val="en-NZ" w:eastAsia="ko-KR"/>
        </w:rPr>
        <w:t>issue</w:t>
      </w:r>
      <w:r w:rsidRPr="004635E5">
        <w:rPr>
          <w:rFonts w:eastAsia="Batang"/>
          <w:sz w:val="22"/>
          <w:szCs w:val="22"/>
          <w:lang w:val="en-NZ" w:eastAsia="ko-KR"/>
        </w:rPr>
        <w:t xml:space="preserve">, and asked </w:t>
      </w:r>
      <w:r w:rsidR="00714B1C" w:rsidRPr="004635E5">
        <w:rPr>
          <w:rFonts w:eastAsia="Batang"/>
          <w:sz w:val="22"/>
          <w:szCs w:val="22"/>
          <w:lang w:val="en-NZ" w:eastAsia="ko-KR"/>
        </w:rPr>
        <w:t xml:space="preserve">for clarification from </w:t>
      </w:r>
      <w:r w:rsidRPr="004635E5">
        <w:rPr>
          <w:rFonts w:eastAsia="Batang"/>
          <w:sz w:val="22"/>
          <w:szCs w:val="22"/>
          <w:lang w:val="en-NZ" w:eastAsia="ko-KR"/>
        </w:rPr>
        <w:t xml:space="preserve">the </w:t>
      </w:r>
      <w:r w:rsidR="00714B1C" w:rsidRPr="004635E5">
        <w:rPr>
          <w:rFonts w:eastAsia="Batang"/>
          <w:sz w:val="22"/>
          <w:szCs w:val="22"/>
          <w:lang w:val="en-NZ" w:eastAsia="ko-KR"/>
        </w:rPr>
        <w:t>Comm</w:t>
      </w:r>
      <w:r w:rsidRPr="004635E5">
        <w:rPr>
          <w:rFonts w:eastAsia="Batang"/>
          <w:sz w:val="22"/>
          <w:szCs w:val="22"/>
          <w:lang w:val="en-NZ" w:eastAsia="ko-KR"/>
        </w:rPr>
        <w:t>ission</w:t>
      </w:r>
      <w:r w:rsidR="00714B1C" w:rsidRPr="004635E5">
        <w:rPr>
          <w:rFonts w:eastAsia="Batang"/>
          <w:sz w:val="22"/>
          <w:szCs w:val="22"/>
          <w:lang w:val="en-NZ" w:eastAsia="ko-KR"/>
        </w:rPr>
        <w:t>.</w:t>
      </w:r>
    </w:p>
    <w:p w14:paraId="794768E8" w14:textId="77777777" w:rsidR="00F46AB9" w:rsidRPr="004635E5" w:rsidRDefault="00F46AB9" w:rsidP="006633A8">
      <w:pPr>
        <w:autoSpaceDE w:val="0"/>
        <w:autoSpaceDN w:val="0"/>
        <w:adjustRightInd w:val="0"/>
        <w:snapToGrid w:val="0"/>
        <w:jc w:val="both"/>
        <w:rPr>
          <w:rFonts w:eastAsia="Batang"/>
          <w:sz w:val="22"/>
          <w:szCs w:val="22"/>
          <w:lang w:val="en-NZ" w:eastAsia="ko-KR"/>
        </w:rPr>
      </w:pPr>
    </w:p>
    <w:p w14:paraId="43907DB9" w14:textId="77777777" w:rsidR="006203CC" w:rsidRPr="004635E5" w:rsidRDefault="00270656"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FSM </w:t>
      </w:r>
      <w:r w:rsidR="006A2168" w:rsidRPr="004635E5">
        <w:rPr>
          <w:rFonts w:eastAsia="Batang"/>
          <w:sz w:val="22"/>
          <w:szCs w:val="22"/>
          <w:lang w:val="en-NZ" w:eastAsia="ko-KR"/>
        </w:rPr>
        <w:t>stated that FFA members</w:t>
      </w:r>
      <w:r w:rsidR="006A2168" w:rsidRPr="004635E5">
        <w:rPr>
          <w:rFonts w:eastAsia="Batang"/>
          <w:sz w:val="22"/>
          <w:szCs w:val="22"/>
          <w:lang w:eastAsia="ko-KR"/>
        </w:rPr>
        <w:t xml:space="preserve"> have long regarded the population of blue sharks to comprise a single stock in the Pacific. They thanked SPC for providing </w:t>
      </w:r>
      <w:r w:rsidR="004334BB" w:rsidRPr="004635E5">
        <w:rPr>
          <w:rFonts w:eastAsia="Batang"/>
          <w:sz w:val="22"/>
          <w:szCs w:val="22"/>
          <w:lang w:eastAsia="ko-KR"/>
        </w:rPr>
        <w:t>SC14-</w:t>
      </w:r>
      <w:r w:rsidR="006A2168" w:rsidRPr="004635E5">
        <w:rPr>
          <w:rFonts w:eastAsia="Batang"/>
          <w:sz w:val="22"/>
          <w:szCs w:val="22"/>
          <w:lang w:eastAsia="ko-KR"/>
        </w:rPr>
        <w:t>SA-WP-09, which highlighted the difficulties in assessing CPUE trends for fisheries where gear differs spatially, and for species that may use the pelagic environment differently across the Pacific. These spatial differences cannot be resolved without good observer data and a detailed understanding of how blue sharks use the pelagic environment. However, it is clear from the available data blue sharks have a significant part of their distribution south of 20° N. They noted the lack of clarification for the definition of what constitutes “most of a stock” for the designation of a northern stock and stated that the Commission should clarify this prior to the SC making recommendations regarding the designation of this stock. </w:t>
      </w:r>
    </w:p>
    <w:p w14:paraId="1933FC59" w14:textId="77777777" w:rsidR="00F46AB9" w:rsidRPr="004635E5" w:rsidRDefault="00F46AB9" w:rsidP="006633A8">
      <w:pPr>
        <w:autoSpaceDE w:val="0"/>
        <w:autoSpaceDN w:val="0"/>
        <w:adjustRightInd w:val="0"/>
        <w:snapToGrid w:val="0"/>
        <w:jc w:val="both"/>
        <w:rPr>
          <w:rFonts w:eastAsia="Batang"/>
          <w:sz w:val="22"/>
          <w:szCs w:val="22"/>
          <w:lang w:val="en-NZ" w:eastAsia="ko-KR"/>
        </w:rPr>
      </w:pPr>
    </w:p>
    <w:p w14:paraId="7A64A983" w14:textId="77777777" w:rsidR="006203CC" w:rsidRPr="004635E5" w:rsidRDefault="00A52BE1"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China</w:t>
      </w:r>
      <w:r w:rsidR="006203CC" w:rsidRPr="004635E5">
        <w:rPr>
          <w:rFonts w:eastAsia="Batang"/>
          <w:sz w:val="22"/>
          <w:szCs w:val="22"/>
          <w:lang w:val="en-NZ" w:eastAsia="ko-KR"/>
        </w:rPr>
        <w:t xml:space="preserve"> noted changes in </w:t>
      </w:r>
      <w:r w:rsidRPr="004635E5">
        <w:rPr>
          <w:rFonts w:eastAsia="Batang"/>
          <w:sz w:val="22"/>
          <w:szCs w:val="22"/>
          <w:lang w:val="en-NZ" w:eastAsia="ko-KR"/>
        </w:rPr>
        <w:t>fishing gear</w:t>
      </w:r>
      <w:r w:rsidR="006203CC" w:rsidRPr="004635E5">
        <w:rPr>
          <w:rFonts w:eastAsia="Batang"/>
          <w:sz w:val="22"/>
          <w:szCs w:val="22"/>
          <w:lang w:val="en-NZ" w:eastAsia="ko-KR"/>
        </w:rPr>
        <w:t xml:space="preserve"> that affected shark survival, and inquired whether it was possible to </w:t>
      </w:r>
      <w:r w:rsidRPr="004635E5">
        <w:rPr>
          <w:rFonts w:eastAsia="Batang"/>
          <w:sz w:val="22"/>
          <w:szCs w:val="22"/>
          <w:lang w:val="en-NZ" w:eastAsia="ko-KR"/>
        </w:rPr>
        <w:t>analyze catch made before CMMs</w:t>
      </w:r>
      <w:r w:rsidR="006203CC" w:rsidRPr="004635E5">
        <w:rPr>
          <w:rFonts w:eastAsia="Batang"/>
          <w:sz w:val="22"/>
          <w:szCs w:val="22"/>
          <w:lang w:val="en-NZ" w:eastAsia="ko-KR"/>
        </w:rPr>
        <w:t xml:space="preserve"> were in place</w:t>
      </w:r>
      <w:r w:rsidRPr="004635E5">
        <w:rPr>
          <w:rFonts w:eastAsia="Batang"/>
          <w:sz w:val="22"/>
          <w:szCs w:val="22"/>
          <w:lang w:val="en-NZ" w:eastAsia="ko-KR"/>
        </w:rPr>
        <w:t>?</w:t>
      </w:r>
      <w:r w:rsidR="00F81EF0">
        <w:rPr>
          <w:rFonts w:eastAsia="Batang"/>
          <w:sz w:val="22"/>
          <w:szCs w:val="22"/>
          <w:lang w:val="en-NZ" w:eastAsia="ko-KR"/>
        </w:rPr>
        <w:t xml:space="preserve"> </w:t>
      </w:r>
      <w:r w:rsidR="00F35E14" w:rsidRPr="004635E5">
        <w:rPr>
          <w:rFonts w:eastAsia="Batang"/>
          <w:sz w:val="22"/>
          <w:szCs w:val="22"/>
          <w:lang w:val="en-NZ" w:eastAsia="ko-KR"/>
        </w:rPr>
        <w:t>J. Hampton (</w:t>
      </w:r>
      <w:r w:rsidRPr="004635E5">
        <w:rPr>
          <w:rFonts w:eastAsia="Batang"/>
          <w:sz w:val="22"/>
          <w:szCs w:val="22"/>
          <w:lang w:val="en-NZ" w:eastAsia="ko-KR"/>
        </w:rPr>
        <w:t>SPC</w:t>
      </w:r>
      <w:r w:rsidR="00F35E14" w:rsidRPr="004635E5">
        <w:rPr>
          <w:rFonts w:eastAsia="Batang"/>
          <w:sz w:val="22"/>
          <w:szCs w:val="22"/>
          <w:lang w:val="en-NZ" w:eastAsia="ko-KR"/>
        </w:rPr>
        <w:t xml:space="preserve">) noted that there are </w:t>
      </w:r>
      <w:r w:rsidRPr="004635E5">
        <w:rPr>
          <w:rFonts w:eastAsia="Batang"/>
          <w:sz w:val="22"/>
          <w:szCs w:val="22"/>
          <w:lang w:val="en-NZ" w:eastAsia="ko-KR"/>
        </w:rPr>
        <w:t>many issues that warrant more investigation w</w:t>
      </w:r>
      <w:r w:rsidR="00F81447">
        <w:rPr>
          <w:rFonts w:eastAsia="Batang" w:hint="eastAsia"/>
          <w:sz w:val="22"/>
          <w:szCs w:val="22"/>
          <w:lang w:val="en-NZ" w:eastAsia="ko-KR"/>
        </w:rPr>
        <w:t>ith</w:t>
      </w:r>
      <w:r w:rsidRPr="004635E5">
        <w:rPr>
          <w:rFonts w:eastAsia="Batang"/>
          <w:sz w:val="22"/>
          <w:szCs w:val="22"/>
          <w:lang w:val="en-NZ" w:eastAsia="ko-KR"/>
        </w:rPr>
        <w:t xml:space="preserve"> respect to mitigation</w:t>
      </w:r>
      <w:r w:rsidR="00F35E14" w:rsidRPr="004635E5">
        <w:rPr>
          <w:rFonts w:eastAsia="Batang"/>
          <w:sz w:val="22"/>
          <w:szCs w:val="22"/>
          <w:lang w:val="en-NZ" w:eastAsia="ko-KR"/>
        </w:rPr>
        <w:t>,</w:t>
      </w:r>
      <w:r w:rsidRPr="004635E5">
        <w:rPr>
          <w:rFonts w:eastAsia="Batang"/>
          <w:sz w:val="22"/>
          <w:szCs w:val="22"/>
          <w:lang w:val="en-NZ" w:eastAsia="ko-KR"/>
        </w:rPr>
        <w:t xml:space="preserve"> </w:t>
      </w:r>
      <w:r w:rsidR="00E35E8D">
        <w:rPr>
          <w:rFonts w:eastAsia="Batang" w:hint="eastAsia"/>
          <w:sz w:val="22"/>
          <w:szCs w:val="22"/>
          <w:lang w:val="en-NZ" w:eastAsia="ko-KR"/>
        </w:rPr>
        <w:t xml:space="preserve">and </w:t>
      </w:r>
      <w:r w:rsidR="00F35E14" w:rsidRPr="004635E5">
        <w:rPr>
          <w:rFonts w:eastAsia="Batang"/>
          <w:sz w:val="22"/>
          <w:szCs w:val="22"/>
          <w:lang w:val="en-NZ" w:eastAsia="ko-KR"/>
        </w:rPr>
        <w:t xml:space="preserve">using observer </w:t>
      </w:r>
      <w:r w:rsidRPr="004635E5">
        <w:rPr>
          <w:rFonts w:eastAsia="Batang"/>
          <w:sz w:val="22"/>
          <w:szCs w:val="22"/>
          <w:lang w:val="en-NZ" w:eastAsia="ko-KR"/>
        </w:rPr>
        <w:t>info</w:t>
      </w:r>
      <w:r w:rsidR="00F35E14" w:rsidRPr="004635E5">
        <w:rPr>
          <w:rFonts w:eastAsia="Batang"/>
          <w:sz w:val="22"/>
          <w:szCs w:val="22"/>
          <w:lang w:val="en-NZ" w:eastAsia="ko-KR"/>
        </w:rPr>
        <w:t>rmation</w:t>
      </w:r>
      <w:r w:rsidRPr="004635E5">
        <w:rPr>
          <w:rFonts w:eastAsia="Batang"/>
          <w:sz w:val="22"/>
          <w:szCs w:val="22"/>
          <w:lang w:val="en-NZ" w:eastAsia="ko-KR"/>
        </w:rPr>
        <w:t xml:space="preserve">, both </w:t>
      </w:r>
      <w:r w:rsidR="00F35E14" w:rsidRPr="004635E5">
        <w:rPr>
          <w:rFonts w:eastAsia="Batang"/>
          <w:sz w:val="22"/>
          <w:szCs w:val="22"/>
          <w:lang w:val="en-NZ" w:eastAsia="ko-KR"/>
        </w:rPr>
        <w:t xml:space="preserve">the Hawaii </w:t>
      </w:r>
      <w:r w:rsidRPr="004635E5">
        <w:rPr>
          <w:rFonts w:eastAsia="Batang"/>
          <w:sz w:val="22"/>
          <w:szCs w:val="22"/>
          <w:lang w:val="en-NZ" w:eastAsia="ko-KR"/>
        </w:rPr>
        <w:t>and Chi</w:t>
      </w:r>
      <w:r w:rsidR="00F35E14" w:rsidRPr="004635E5">
        <w:rPr>
          <w:rFonts w:eastAsia="Batang"/>
          <w:sz w:val="22"/>
          <w:szCs w:val="22"/>
          <w:lang w:val="en-NZ" w:eastAsia="ko-KR"/>
        </w:rPr>
        <w:t>nese Taipei</w:t>
      </w:r>
      <w:r w:rsidR="00F81EF0">
        <w:rPr>
          <w:rFonts w:eastAsia="Batang"/>
          <w:sz w:val="22"/>
          <w:szCs w:val="22"/>
          <w:lang w:val="en-NZ" w:eastAsia="ko-KR"/>
        </w:rPr>
        <w:t xml:space="preserve"> </w:t>
      </w:r>
      <w:r w:rsidR="00F35E14" w:rsidRPr="004635E5">
        <w:rPr>
          <w:rFonts w:eastAsia="Batang"/>
          <w:sz w:val="22"/>
          <w:szCs w:val="22"/>
          <w:lang w:val="en-NZ" w:eastAsia="ko-KR"/>
        </w:rPr>
        <w:t xml:space="preserve">analyses in the paper </w:t>
      </w:r>
      <w:r w:rsidRPr="004635E5">
        <w:rPr>
          <w:rFonts w:eastAsia="Batang"/>
          <w:sz w:val="22"/>
          <w:szCs w:val="22"/>
          <w:lang w:val="en-NZ" w:eastAsia="ko-KR"/>
        </w:rPr>
        <w:t>were based on obs</w:t>
      </w:r>
      <w:r w:rsidR="00F35E14" w:rsidRPr="004635E5">
        <w:rPr>
          <w:rFonts w:eastAsia="Batang"/>
          <w:sz w:val="22"/>
          <w:szCs w:val="22"/>
          <w:lang w:val="en-NZ" w:eastAsia="ko-KR"/>
        </w:rPr>
        <w:t>erver</w:t>
      </w:r>
      <w:r w:rsidRPr="004635E5">
        <w:rPr>
          <w:rFonts w:eastAsia="Batang"/>
          <w:sz w:val="22"/>
          <w:szCs w:val="22"/>
          <w:lang w:val="en-NZ" w:eastAsia="ko-KR"/>
        </w:rPr>
        <w:t xml:space="preserve"> data, not l</w:t>
      </w:r>
      <w:r w:rsidR="00F35E14" w:rsidRPr="004635E5">
        <w:rPr>
          <w:rFonts w:eastAsia="Batang"/>
          <w:sz w:val="22"/>
          <w:szCs w:val="22"/>
          <w:lang w:val="en-NZ" w:eastAsia="ko-KR"/>
        </w:rPr>
        <w:t>o</w:t>
      </w:r>
      <w:r w:rsidRPr="004635E5">
        <w:rPr>
          <w:rFonts w:eastAsia="Batang"/>
          <w:sz w:val="22"/>
          <w:szCs w:val="22"/>
          <w:lang w:val="en-NZ" w:eastAsia="ko-KR"/>
        </w:rPr>
        <w:t>gs</w:t>
      </w:r>
      <w:r w:rsidR="00F35E14" w:rsidRPr="004635E5">
        <w:rPr>
          <w:rFonts w:eastAsia="Batang"/>
          <w:sz w:val="22"/>
          <w:szCs w:val="22"/>
          <w:lang w:val="en-NZ" w:eastAsia="ko-KR"/>
        </w:rPr>
        <w:t>h</w:t>
      </w:r>
      <w:r w:rsidRPr="004635E5">
        <w:rPr>
          <w:rFonts w:eastAsia="Batang"/>
          <w:sz w:val="22"/>
          <w:szCs w:val="22"/>
          <w:lang w:val="en-NZ" w:eastAsia="ko-KR"/>
        </w:rPr>
        <w:t xml:space="preserve">eets. Thus these were verified catches recorded by observers. </w:t>
      </w:r>
    </w:p>
    <w:p w14:paraId="02C7F5DD" w14:textId="77777777" w:rsidR="00F46AB9" w:rsidRPr="004635E5" w:rsidRDefault="00F46AB9" w:rsidP="006633A8">
      <w:pPr>
        <w:autoSpaceDE w:val="0"/>
        <w:autoSpaceDN w:val="0"/>
        <w:adjustRightInd w:val="0"/>
        <w:snapToGrid w:val="0"/>
        <w:jc w:val="both"/>
        <w:rPr>
          <w:rFonts w:eastAsia="Batang"/>
          <w:sz w:val="22"/>
          <w:szCs w:val="22"/>
          <w:lang w:val="en-NZ" w:eastAsia="ko-KR"/>
        </w:rPr>
      </w:pPr>
    </w:p>
    <w:p w14:paraId="4C2FC8B8" w14:textId="77777777" w:rsidR="00E040BF" w:rsidRPr="004635E5" w:rsidRDefault="00C70889"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The </w:t>
      </w:r>
      <w:r w:rsidR="00A52BE1" w:rsidRPr="004635E5">
        <w:rPr>
          <w:rFonts w:eastAsia="Batang"/>
          <w:sz w:val="22"/>
          <w:szCs w:val="22"/>
          <w:lang w:val="en-NZ" w:eastAsia="ko-KR"/>
        </w:rPr>
        <w:t>EU</w:t>
      </w:r>
      <w:r w:rsidRPr="004635E5">
        <w:rPr>
          <w:rFonts w:eastAsia="Batang"/>
          <w:sz w:val="22"/>
          <w:szCs w:val="22"/>
          <w:lang w:val="en-NZ" w:eastAsia="ko-KR"/>
        </w:rPr>
        <w:t xml:space="preserve"> noted the situation in the A</w:t>
      </w:r>
      <w:r w:rsidR="000905F9" w:rsidRPr="004635E5">
        <w:rPr>
          <w:rFonts w:eastAsia="Batang"/>
          <w:sz w:val="22"/>
          <w:szCs w:val="22"/>
          <w:lang w:val="en-NZ" w:eastAsia="ko-KR"/>
        </w:rPr>
        <w:t>tlantic and Indian ocean</w:t>
      </w:r>
      <w:r w:rsidRPr="004635E5">
        <w:rPr>
          <w:rFonts w:eastAsia="Batang"/>
          <w:sz w:val="22"/>
          <w:szCs w:val="22"/>
          <w:lang w:val="en-NZ" w:eastAsia="ko-KR"/>
        </w:rPr>
        <w:t xml:space="preserve">s, where the </w:t>
      </w:r>
      <w:r w:rsidR="00270656" w:rsidRPr="004635E5">
        <w:rPr>
          <w:rFonts w:eastAsia="Batang"/>
          <w:sz w:val="22"/>
          <w:szCs w:val="22"/>
          <w:lang w:val="en-NZ" w:eastAsia="ko-KR"/>
        </w:rPr>
        <w:t xml:space="preserve">blue shark </w:t>
      </w:r>
      <w:r w:rsidRPr="004635E5">
        <w:rPr>
          <w:rFonts w:eastAsia="Batang"/>
          <w:sz w:val="22"/>
          <w:szCs w:val="22"/>
          <w:lang w:val="en-NZ" w:eastAsia="ko-KR"/>
        </w:rPr>
        <w:t>occurs in both equa</w:t>
      </w:r>
      <w:r w:rsidR="000905F9" w:rsidRPr="004635E5">
        <w:rPr>
          <w:rFonts w:eastAsia="Batang"/>
          <w:sz w:val="22"/>
          <w:szCs w:val="22"/>
          <w:lang w:val="en-NZ" w:eastAsia="ko-KR"/>
        </w:rPr>
        <w:t>torial</w:t>
      </w:r>
      <w:r w:rsidR="00E35E8D">
        <w:rPr>
          <w:rFonts w:eastAsia="Batang" w:hint="eastAsia"/>
          <w:sz w:val="22"/>
          <w:szCs w:val="22"/>
          <w:lang w:val="en-NZ" w:eastAsia="ko-KR"/>
        </w:rPr>
        <w:t xml:space="preserve">, </w:t>
      </w:r>
      <w:r w:rsidR="000905F9" w:rsidRPr="004635E5">
        <w:rPr>
          <w:rFonts w:eastAsia="Batang"/>
          <w:sz w:val="22"/>
          <w:szCs w:val="22"/>
          <w:lang w:val="en-NZ" w:eastAsia="ko-KR"/>
        </w:rPr>
        <w:t>trop</w:t>
      </w:r>
      <w:r w:rsidRPr="004635E5">
        <w:rPr>
          <w:rFonts w:eastAsia="Batang"/>
          <w:sz w:val="22"/>
          <w:szCs w:val="22"/>
          <w:lang w:val="en-NZ" w:eastAsia="ko-KR"/>
        </w:rPr>
        <w:t>ical</w:t>
      </w:r>
      <w:r w:rsidR="000905F9" w:rsidRPr="004635E5">
        <w:rPr>
          <w:rFonts w:eastAsia="Batang"/>
          <w:sz w:val="22"/>
          <w:szCs w:val="22"/>
          <w:lang w:val="en-NZ" w:eastAsia="ko-KR"/>
        </w:rPr>
        <w:t xml:space="preserve"> and temperate waters, with clear size segregation. In those oceans species </w:t>
      </w:r>
      <w:r w:rsidRPr="004635E5">
        <w:rPr>
          <w:rFonts w:eastAsia="Batang"/>
          <w:sz w:val="22"/>
          <w:szCs w:val="22"/>
          <w:lang w:val="en-NZ" w:eastAsia="ko-KR"/>
        </w:rPr>
        <w:t xml:space="preserve">such as blue shark </w:t>
      </w:r>
      <w:r w:rsidR="000905F9" w:rsidRPr="004635E5">
        <w:rPr>
          <w:rFonts w:eastAsia="Batang"/>
          <w:sz w:val="22"/>
          <w:szCs w:val="22"/>
          <w:lang w:val="en-NZ" w:eastAsia="ko-KR"/>
        </w:rPr>
        <w:t xml:space="preserve">clearly need all habitats for </w:t>
      </w:r>
      <w:r w:rsidRPr="004635E5">
        <w:rPr>
          <w:rFonts w:eastAsia="Batang"/>
          <w:sz w:val="22"/>
          <w:szCs w:val="22"/>
          <w:lang w:val="en-NZ" w:eastAsia="ko-KR"/>
        </w:rPr>
        <w:t>their life cyc</w:t>
      </w:r>
      <w:r w:rsidR="000905F9" w:rsidRPr="004635E5">
        <w:rPr>
          <w:rFonts w:eastAsia="Batang"/>
          <w:sz w:val="22"/>
          <w:szCs w:val="22"/>
          <w:lang w:val="en-NZ" w:eastAsia="ko-KR"/>
        </w:rPr>
        <w:t xml:space="preserve">le. </w:t>
      </w:r>
      <w:r w:rsidR="00270656" w:rsidRPr="004635E5">
        <w:rPr>
          <w:rFonts w:eastAsia="Batang"/>
          <w:sz w:val="22"/>
          <w:szCs w:val="22"/>
          <w:lang w:val="en-NZ" w:eastAsia="ko-KR"/>
        </w:rPr>
        <w:t>They f</w:t>
      </w:r>
      <w:r w:rsidR="000905F9" w:rsidRPr="004635E5">
        <w:rPr>
          <w:rFonts w:eastAsia="Batang"/>
          <w:sz w:val="22"/>
          <w:szCs w:val="22"/>
          <w:lang w:val="en-NZ" w:eastAsia="ko-KR"/>
        </w:rPr>
        <w:t>ully agree</w:t>
      </w:r>
      <w:r w:rsidRPr="004635E5">
        <w:rPr>
          <w:rFonts w:eastAsia="Batang"/>
          <w:sz w:val="22"/>
          <w:szCs w:val="22"/>
          <w:lang w:val="en-NZ" w:eastAsia="ko-KR"/>
        </w:rPr>
        <w:t>d</w:t>
      </w:r>
      <w:r w:rsidR="000905F9" w:rsidRPr="004635E5">
        <w:rPr>
          <w:rFonts w:eastAsia="Batang"/>
          <w:sz w:val="22"/>
          <w:szCs w:val="22"/>
          <w:lang w:val="en-NZ" w:eastAsia="ko-KR"/>
        </w:rPr>
        <w:t xml:space="preserve"> </w:t>
      </w:r>
      <w:r w:rsidRPr="004635E5">
        <w:rPr>
          <w:rFonts w:eastAsia="Batang"/>
          <w:sz w:val="22"/>
          <w:szCs w:val="22"/>
          <w:lang w:val="en-NZ" w:eastAsia="ko-KR"/>
        </w:rPr>
        <w:t xml:space="preserve">on the </w:t>
      </w:r>
      <w:r w:rsidR="000905F9" w:rsidRPr="004635E5">
        <w:rPr>
          <w:rFonts w:eastAsia="Batang"/>
          <w:sz w:val="22"/>
          <w:szCs w:val="22"/>
          <w:lang w:val="en-NZ" w:eastAsia="ko-KR"/>
        </w:rPr>
        <w:t xml:space="preserve">need </w:t>
      </w:r>
      <w:r w:rsidRPr="004635E5">
        <w:rPr>
          <w:rFonts w:eastAsia="Batang"/>
          <w:sz w:val="22"/>
          <w:szCs w:val="22"/>
          <w:lang w:val="en-NZ" w:eastAsia="ko-KR"/>
        </w:rPr>
        <w:t xml:space="preserve">for </w:t>
      </w:r>
      <w:r w:rsidR="000905F9" w:rsidRPr="004635E5">
        <w:rPr>
          <w:rFonts w:eastAsia="Batang"/>
          <w:sz w:val="22"/>
          <w:szCs w:val="22"/>
          <w:lang w:val="en-NZ" w:eastAsia="ko-KR"/>
        </w:rPr>
        <w:t xml:space="preserve">clarification from </w:t>
      </w:r>
      <w:r w:rsidRPr="004635E5">
        <w:rPr>
          <w:rFonts w:eastAsia="Batang"/>
          <w:sz w:val="22"/>
          <w:szCs w:val="22"/>
          <w:lang w:val="en-NZ" w:eastAsia="ko-KR"/>
        </w:rPr>
        <w:t xml:space="preserve">the </w:t>
      </w:r>
      <w:r w:rsidR="000905F9" w:rsidRPr="004635E5">
        <w:rPr>
          <w:rFonts w:eastAsia="Batang"/>
          <w:sz w:val="22"/>
          <w:szCs w:val="22"/>
          <w:lang w:val="en-NZ" w:eastAsia="ko-KR"/>
        </w:rPr>
        <w:t>Comm</w:t>
      </w:r>
      <w:r w:rsidRPr="004635E5">
        <w:rPr>
          <w:rFonts w:eastAsia="Batang"/>
          <w:sz w:val="22"/>
          <w:szCs w:val="22"/>
          <w:lang w:val="en-NZ" w:eastAsia="ko-KR"/>
        </w:rPr>
        <w:t>ission regarding the term “mostly</w:t>
      </w:r>
      <w:r w:rsidR="00E46825" w:rsidRPr="004635E5">
        <w:rPr>
          <w:rFonts w:eastAsia="Batang"/>
          <w:sz w:val="22"/>
          <w:szCs w:val="22"/>
          <w:lang w:val="en-NZ" w:eastAsia="ko-KR"/>
        </w:rPr>
        <w:t xml:space="preserve">”. This was echoed by Japan, who also stated the consideration that as a practical matter, the NC could more rapidly address the issue; </w:t>
      </w:r>
      <w:r w:rsidR="000905F9" w:rsidRPr="004635E5">
        <w:rPr>
          <w:rFonts w:eastAsia="Batang"/>
          <w:sz w:val="22"/>
          <w:szCs w:val="22"/>
          <w:lang w:val="en-NZ" w:eastAsia="ko-KR"/>
        </w:rPr>
        <w:t xml:space="preserve">most catch is taken </w:t>
      </w:r>
      <w:r w:rsidR="00E46825" w:rsidRPr="004635E5">
        <w:rPr>
          <w:rFonts w:eastAsia="Batang"/>
          <w:sz w:val="22"/>
          <w:szCs w:val="22"/>
          <w:lang w:val="en-NZ" w:eastAsia="ko-KR"/>
        </w:rPr>
        <w:t xml:space="preserve">in the north, </w:t>
      </w:r>
      <w:r w:rsidR="000905F9" w:rsidRPr="004635E5">
        <w:rPr>
          <w:rFonts w:eastAsia="Batang"/>
          <w:sz w:val="22"/>
          <w:szCs w:val="22"/>
          <w:lang w:val="en-NZ" w:eastAsia="ko-KR"/>
        </w:rPr>
        <w:t xml:space="preserve">and most countries </w:t>
      </w:r>
      <w:r w:rsidR="00E46825" w:rsidRPr="004635E5">
        <w:rPr>
          <w:rFonts w:eastAsia="Batang"/>
          <w:sz w:val="22"/>
          <w:szCs w:val="22"/>
          <w:lang w:val="en-NZ" w:eastAsia="ko-KR"/>
        </w:rPr>
        <w:t xml:space="preserve">affected </w:t>
      </w:r>
      <w:r w:rsidR="000905F9" w:rsidRPr="004635E5">
        <w:rPr>
          <w:rFonts w:eastAsia="Batang"/>
          <w:sz w:val="22"/>
          <w:szCs w:val="22"/>
          <w:lang w:val="en-NZ" w:eastAsia="ko-KR"/>
        </w:rPr>
        <w:t xml:space="preserve">are </w:t>
      </w:r>
      <w:r w:rsidR="00E46825" w:rsidRPr="004635E5">
        <w:rPr>
          <w:rFonts w:eastAsia="Batang"/>
          <w:sz w:val="22"/>
          <w:szCs w:val="22"/>
          <w:lang w:val="en-NZ" w:eastAsia="ko-KR"/>
        </w:rPr>
        <w:t>p</w:t>
      </w:r>
      <w:r w:rsidR="000905F9" w:rsidRPr="004635E5">
        <w:rPr>
          <w:rFonts w:eastAsia="Batang"/>
          <w:sz w:val="22"/>
          <w:szCs w:val="22"/>
          <w:lang w:val="en-NZ" w:eastAsia="ko-KR"/>
        </w:rPr>
        <w:t>resent</w:t>
      </w:r>
      <w:r w:rsidR="00E46825" w:rsidRPr="004635E5">
        <w:rPr>
          <w:rFonts w:eastAsia="Batang"/>
          <w:sz w:val="22"/>
          <w:szCs w:val="22"/>
          <w:lang w:val="en-NZ" w:eastAsia="ko-KR"/>
        </w:rPr>
        <w:t xml:space="preserve"> in the NC.</w:t>
      </w:r>
      <w:r w:rsidR="000905F9" w:rsidRPr="004635E5">
        <w:rPr>
          <w:rFonts w:eastAsia="Batang"/>
          <w:sz w:val="22"/>
          <w:szCs w:val="22"/>
          <w:lang w:val="en-NZ" w:eastAsia="ko-KR"/>
        </w:rPr>
        <w:t xml:space="preserve"> In looking at other northern species, </w:t>
      </w:r>
      <w:r w:rsidR="00E46825" w:rsidRPr="004635E5">
        <w:rPr>
          <w:rFonts w:eastAsia="Batang"/>
          <w:sz w:val="22"/>
          <w:szCs w:val="22"/>
          <w:lang w:val="en-NZ" w:eastAsia="ko-KR"/>
        </w:rPr>
        <w:t xml:space="preserve">Japan saw no </w:t>
      </w:r>
      <w:r w:rsidR="000905F9" w:rsidRPr="004635E5">
        <w:rPr>
          <w:rFonts w:eastAsia="Batang"/>
          <w:sz w:val="22"/>
          <w:szCs w:val="22"/>
          <w:lang w:val="en-NZ" w:eastAsia="ko-KR"/>
        </w:rPr>
        <w:t xml:space="preserve">reason why </w:t>
      </w:r>
      <w:r w:rsidR="00270656" w:rsidRPr="004635E5">
        <w:rPr>
          <w:rFonts w:eastAsia="Batang"/>
          <w:sz w:val="22"/>
          <w:szCs w:val="22"/>
          <w:lang w:val="en-NZ" w:eastAsia="ko-KR"/>
        </w:rPr>
        <w:t xml:space="preserve">North Pacific blue shark could not </w:t>
      </w:r>
      <w:r w:rsidR="00E46825" w:rsidRPr="004635E5">
        <w:rPr>
          <w:rFonts w:eastAsia="Batang"/>
          <w:sz w:val="22"/>
          <w:szCs w:val="22"/>
          <w:lang w:val="en-NZ" w:eastAsia="ko-KR"/>
        </w:rPr>
        <w:t>be designated a northern species</w:t>
      </w:r>
      <w:r w:rsidR="00A16680" w:rsidRPr="004635E5">
        <w:rPr>
          <w:rFonts w:eastAsia="Batang"/>
          <w:sz w:val="22"/>
          <w:szCs w:val="22"/>
          <w:lang w:val="en-NZ" w:eastAsia="ko-KR"/>
        </w:rPr>
        <w:t xml:space="preserve">. </w:t>
      </w:r>
    </w:p>
    <w:p w14:paraId="603425D8" w14:textId="77777777" w:rsidR="00F46AB9" w:rsidRPr="004635E5" w:rsidRDefault="00F46AB9" w:rsidP="006633A8">
      <w:pPr>
        <w:autoSpaceDE w:val="0"/>
        <w:autoSpaceDN w:val="0"/>
        <w:adjustRightInd w:val="0"/>
        <w:snapToGrid w:val="0"/>
        <w:jc w:val="both"/>
        <w:rPr>
          <w:rFonts w:eastAsia="Batang"/>
          <w:sz w:val="22"/>
          <w:szCs w:val="22"/>
          <w:lang w:val="en-NZ" w:eastAsia="ko-KR"/>
        </w:rPr>
      </w:pPr>
    </w:p>
    <w:p w14:paraId="4B9CA8A2" w14:textId="77777777" w:rsidR="006851CC" w:rsidRPr="004635E5" w:rsidRDefault="006851CC" w:rsidP="00580EA4">
      <w:pPr>
        <w:pStyle w:val="SC3"/>
        <w:numPr>
          <w:ilvl w:val="3"/>
          <w:numId w:val="161"/>
        </w:numPr>
        <w:spacing w:after="0"/>
        <w:rPr>
          <w:rFonts w:eastAsia="Batang"/>
          <w:lang w:eastAsia="ko-KR"/>
        </w:rPr>
      </w:pPr>
      <w:r w:rsidRPr="004635E5">
        <w:rPr>
          <w:rFonts w:eastAsia="Batang"/>
          <w:lang w:eastAsia="ko-KR"/>
        </w:rPr>
        <w:t>Provision of scientific information</w:t>
      </w:r>
    </w:p>
    <w:p w14:paraId="53FE2E89" w14:textId="77777777" w:rsidR="00F46AB9" w:rsidRPr="004635E5" w:rsidRDefault="00F46AB9" w:rsidP="006633A8">
      <w:pPr>
        <w:pStyle w:val="SC3"/>
        <w:numPr>
          <w:ilvl w:val="0"/>
          <w:numId w:val="0"/>
        </w:numPr>
        <w:spacing w:after="0"/>
        <w:ind w:left="1800"/>
        <w:rPr>
          <w:rFonts w:eastAsia="Batang"/>
          <w:lang w:eastAsia="ko-KR"/>
        </w:rPr>
      </w:pPr>
    </w:p>
    <w:p w14:paraId="594C15E2" w14:textId="77777777" w:rsidR="00F46AB9" w:rsidRPr="004635E5" w:rsidRDefault="00810E61" w:rsidP="00132438">
      <w:pPr>
        <w:pStyle w:val="SCa"/>
        <w:tabs>
          <w:tab w:val="clear" w:pos="1080"/>
        </w:tabs>
        <w:spacing w:after="0"/>
        <w:ind w:left="0"/>
        <w:rPr>
          <w:lang w:val="en-NZ"/>
        </w:rPr>
      </w:pPr>
      <w:r w:rsidRPr="004635E5">
        <w:rPr>
          <w:lang w:val="en-NZ"/>
        </w:rPr>
        <w:t>a.</w:t>
      </w:r>
      <w:r w:rsidRPr="004635E5">
        <w:rPr>
          <w:lang w:val="en-NZ"/>
        </w:rPr>
        <w:tab/>
      </w:r>
      <w:r w:rsidR="00073DD2" w:rsidRPr="004635E5">
        <w:rPr>
          <w:lang w:val="en-NZ"/>
        </w:rPr>
        <w:t xml:space="preserve">Status and trends </w:t>
      </w:r>
    </w:p>
    <w:p w14:paraId="56F07051" w14:textId="77777777" w:rsidR="00F46AB9" w:rsidRPr="004635E5" w:rsidRDefault="00F46AB9" w:rsidP="006633A8">
      <w:pPr>
        <w:pStyle w:val="SCa"/>
        <w:spacing w:after="0"/>
        <w:rPr>
          <w:lang w:val="en-NZ"/>
        </w:rPr>
      </w:pPr>
    </w:p>
    <w:p w14:paraId="6111BEDF" w14:textId="77777777" w:rsidR="002669E4" w:rsidRPr="004635E5" w:rsidRDefault="002669E4"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noted that no stock assessments were conducted for north Pacific blue shark in 2018. Therefore, the stock status descriptions from SC13 are still current for north Pacific blue shark. Updated information on catches was not compiled for and reviewed by</w:t>
      </w:r>
      <w:r w:rsidRPr="004635E5">
        <w:rPr>
          <w:b/>
          <w:spacing w:val="-19"/>
          <w:sz w:val="22"/>
          <w:szCs w:val="22"/>
        </w:rPr>
        <w:t xml:space="preserve"> </w:t>
      </w:r>
      <w:r w:rsidRPr="004635E5">
        <w:rPr>
          <w:b/>
          <w:sz w:val="22"/>
          <w:szCs w:val="22"/>
        </w:rPr>
        <w:t xml:space="preserve">SC14. </w:t>
      </w:r>
    </w:p>
    <w:p w14:paraId="00D45CFD" w14:textId="77777777" w:rsidR="00F46AB9" w:rsidRPr="004635E5" w:rsidRDefault="00F46AB9" w:rsidP="006633A8">
      <w:pPr>
        <w:autoSpaceDE w:val="0"/>
        <w:autoSpaceDN w:val="0"/>
        <w:adjustRightInd w:val="0"/>
        <w:snapToGrid w:val="0"/>
        <w:jc w:val="both"/>
        <w:rPr>
          <w:b/>
          <w:sz w:val="22"/>
          <w:szCs w:val="22"/>
        </w:rPr>
      </w:pPr>
    </w:p>
    <w:p w14:paraId="6DFFFF91" w14:textId="77777777" w:rsidR="00F46AB9" w:rsidRPr="004635E5" w:rsidRDefault="00810E61" w:rsidP="00132438">
      <w:pPr>
        <w:pStyle w:val="SCa"/>
        <w:tabs>
          <w:tab w:val="clear" w:pos="1080"/>
        </w:tabs>
        <w:spacing w:after="0"/>
        <w:ind w:left="0"/>
        <w:rPr>
          <w:lang w:val="en-NZ"/>
        </w:rPr>
      </w:pPr>
      <w:r w:rsidRPr="004635E5">
        <w:rPr>
          <w:lang w:val="en-NZ"/>
        </w:rPr>
        <w:t>b.</w:t>
      </w:r>
      <w:r w:rsidRPr="004635E5">
        <w:rPr>
          <w:lang w:val="en-NZ"/>
        </w:rPr>
        <w:tab/>
      </w:r>
      <w:r w:rsidR="00073DD2" w:rsidRPr="004635E5">
        <w:rPr>
          <w:lang w:val="en-NZ"/>
        </w:rPr>
        <w:t xml:space="preserve">Management advice and implications </w:t>
      </w:r>
    </w:p>
    <w:p w14:paraId="10FC5D95" w14:textId="77777777" w:rsidR="00F46AB9" w:rsidRPr="004635E5" w:rsidRDefault="00F46AB9" w:rsidP="006633A8">
      <w:pPr>
        <w:pStyle w:val="SCa"/>
        <w:spacing w:after="0"/>
        <w:rPr>
          <w:lang w:val="en-NZ"/>
        </w:rPr>
      </w:pPr>
    </w:p>
    <w:p w14:paraId="3C9EDE8B" w14:textId="77777777" w:rsidR="002669E4" w:rsidRPr="004635E5" w:rsidRDefault="002669E4" w:rsidP="00580EA4">
      <w:pPr>
        <w:numPr>
          <w:ilvl w:val="0"/>
          <w:numId w:val="18"/>
        </w:numPr>
        <w:autoSpaceDE w:val="0"/>
        <w:autoSpaceDN w:val="0"/>
        <w:adjustRightInd w:val="0"/>
        <w:snapToGrid w:val="0"/>
        <w:ind w:left="0" w:firstLine="0"/>
        <w:jc w:val="both"/>
        <w:rPr>
          <w:rStyle w:val="Hyperlink"/>
          <w:b/>
          <w:color w:val="auto"/>
          <w:sz w:val="22"/>
          <w:szCs w:val="22"/>
          <w:u w:val="none"/>
        </w:rPr>
      </w:pPr>
      <w:r w:rsidRPr="004635E5">
        <w:rPr>
          <w:b/>
          <w:sz w:val="22"/>
          <w:szCs w:val="22"/>
        </w:rPr>
        <w:t xml:space="preserve">SC14 noted that no management advice has been provided since SC13 for north Pacific blue shark. Therefore, previous advice should be maintained, pending a new assessment or other new information. </w:t>
      </w:r>
      <w:r w:rsidRPr="004635E5">
        <w:rPr>
          <w:b/>
          <w:bCs/>
          <w:sz w:val="22"/>
          <w:szCs w:val="22"/>
          <w:lang w:val="en-AU"/>
        </w:rPr>
        <w:t>For further information on the management advice and implications from SC13, please see</w:t>
      </w:r>
      <w:r w:rsidRPr="004635E5">
        <w:rPr>
          <w:b/>
          <w:bCs/>
          <w:sz w:val="22"/>
          <w:szCs w:val="22"/>
          <w:lang w:val="en-AU" w:eastAsia="ko-KR"/>
        </w:rPr>
        <w:t xml:space="preserve"> </w:t>
      </w:r>
      <w:hyperlink r:id="rId111" w:history="1">
        <w:r w:rsidR="004A07CA" w:rsidRPr="004635E5">
          <w:rPr>
            <w:rStyle w:val="Hyperlink"/>
            <w:b/>
            <w:sz w:val="22"/>
            <w:szCs w:val="22"/>
          </w:rPr>
          <w:t>https://www.wcpfc.int/node/29904</w:t>
        </w:r>
      </w:hyperlink>
      <w:r w:rsidRPr="004635E5">
        <w:rPr>
          <w:rStyle w:val="Hyperlink"/>
          <w:b/>
          <w:bCs/>
          <w:sz w:val="22"/>
          <w:szCs w:val="22"/>
          <w:highlight w:val="yellow"/>
          <w:lang w:val="en-AU" w:eastAsia="ko-KR"/>
        </w:rPr>
        <w:t xml:space="preserve"> </w:t>
      </w:r>
    </w:p>
    <w:p w14:paraId="35CC43ED" w14:textId="77777777" w:rsidR="00F46AB9" w:rsidRPr="004635E5" w:rsidRDefault="00F46AB9" w:rsidP="006633A8">
      <w:pPr>
        <w:autoSpaceDE w:val="0"/>
        <w:autoSpaceDN w:val="0"/>
        <w:adjustRightInd w:val="0"/>
        <w:snapToGrid w:val="0"/>
        <w:jc w:val="both"/>
        <w:rPr>
          <w:b/>
          <w:sz w:val="22"/>
          <w:szCs w:val="22"/>
        </w:rPr>
      </w:pPr>
    </w:p>
    <w:p w14:paraId="7856B53C" w14:textId="77777777" w:rsidR="002669E4" w:rsidRPr="004635E5" w:rsidRDefault="00810E61" w:rsidP="00132438">
      <w:pPr>
        <w:pStyle w:val="SCa"/>
        <w:tabs>
          <w:tab w:val="clear" w:pos="1080"/>
        </w:tabs>
        <w:spacing w:after="0"/>
        <w:ind w:left="0"/>
      </w:pPr>
      <w:r w:rsidRPr="004635E5">
        <w:t>c.</w:t>
      </w:r>
      <w:r w:rsidRPr="004635E5">
        <w:tab/>
      </w:r>
      <w:r w:rsidR="002669E4" w:rsidRPr="004635E5">
        <w:t>Recommendations</w:t>
      </w:r>
      <w:r w:rsidR="004A07CA" w:rsidRPr="004635E5">
        <w:t xml:space="preserve"> on </w:t>
      </w:r>
      <w:r w:rsidR="004A07CA" w:rsidRPr="004635E5">
        <w:rPr>
          <w:rFonts w:eastAsia="MS PMincho"/>
        </w:rPr>
        <w:t>the designation of North Pacific blue shark as a Northern Stock</w:t>
      </w:r>
    </w:p>
    <w:p w14:paraId="3173AC58" w14:textId="77777777" w:rsidR="00F46AB9" w:rsidRPr="004635E5" w:rsidRDefault="00F46AB9" w:rsidP="006633A8">
      <w:pPr>
        <w:pStyle w:val="SCa"/>
        <w:spacing w:after="0"/>
      </w:pPr>
    </w:p>
    <w:p w14:paraId="3DA77506" w14:textId="77777777" w:rsidR="002669E4" w:rsidRPr="004635E5" w:rsidRDefault="002669E4" w:rsidP="00580EA4">
      <w:pPr>
        <w:numPr>
          <w:ilvl w:val="0"/>
          <w:numId w:val="18"/>
        </w:numPr>
        <w:autoSpaceDE w:val="0"/>
        <w:autoSpaceDN w:val="0"/>
        <w:adjustRightInd w:val="0"/>
        <w:snapToGrid w:val="0"/>
        <w:ind w:left="0" w:firstLine="0"/>
        <w:jc w:val="both"/>
        <w:rPr>
          <w:rFonts w:eastAsia="MS PMincho"/>
          <w:b/>
          <w:sz w:val="22"/>
          <w:szCs w:val="22"/>
        </w:rPr>
      </w:pPr>
      <w:r w:rsidRPr="004635E5">
        <w:rPr>
          <w:rFonts w:eastAsia="MS PMincho"/>
          <w:b/>
          <w:sz w:val="22"/>
          <w:szCs w:val="22"/>
        </w:rPr>
        <w:t>Regarding the issue of the designation of North Pacific blue shark as a Northern Stock (</w:t>
      </w:r>
      <w:r w:rsidRPr="004635E5">
        <w:rPr>
          <w:rFonts w:eastAsia="MS PMincho"/>
          <w:b/>
          <w:sz w:val="22"/>
          <w:szCs w:val="22"/>
          <w:lang w:eastAsia="ko-KR"/>
        </w:rPr>
        <w:t>WCPFC14 Report, Para 378</w:t>
      </w:r>
      <w:r w:rsidRPr="004635E5">
        <w:rPr>
          <w:rFonts w:eastAsia="MS PMincho"/>
          <w:b/>
          <w:sz w:val="22"/>
          <w:szCs w:val="22"/>
        </w:rPr>
        <w:t>), SC14 provides the following recommendations:</w:t>
      </w:r>
    </w:p>
    <w:p w14:paraId="5C4144D7" w14:textId="77777777" w:rsidR="00F46AB9" w:rsidRPr="004635E5" w:rsidRDefault="00F46AB9" w:rsidP="006633A8">
      <w:pPr>
        <w:autoSpaceDE w:val="0"/>
        <w:autoSpaceDN w:val="0"/>
        <w:adjustRightInd w:val="0"/>
        <w:snapToGrid w:val="0"/>
        <w:jc w:val="both"/>
        <w:rPr>
          <w:rFonts w:eastAsia="MS PMincho"/>
          <w:b/>
          <w:sz w:val="22"/>
          <w:szCs w:val="22"/>
        </w:rPr>
      </w:pPr>
    </w:p>
    <w:p w14:paraId="4EFAC7E4" w14:textId="77777777" w:rsidR="002669E4" w:rsidRPr="004635E5" w:rsidRDefault="002669E4" w:rsidP="00580EA4">
      <w:pPr>
        <w:widowControl w:val="0"/>
        <w:numPr>
          <w:ilvl w:val="0"/>
          <w:numId w:val="41"/>
        </w:numPr>
        <w:autoSpaceDE w:val="0"/>
        <w:autoSpaceDN w:val="0"/>
        <w:adjustRightInd w:val="0"/>
        <w:snapToGrid w:val="0"/>
        <w:jc w:val="both"/>
        <w:rPr>
          <w:b/>
          <w:sz w:val="22"/>
          <w:szCs w:val="22"/>
        </w:rPr>
      </w:pPr>
      <w:r w:rsidRPr="004635E5">
        <w:rPr>
          <w:b/>
          <w:sz w:val="22"/>
          <w:szCs w:val="22"/>
        </w:rPr>
        <w:t>SC14 recommends that the Commission clarify and quantify what is meant by “</w:t>
      </w:r>
      <w:r w:rsidRPr="004635E5">
        <w:rPr>
          <w:b/>
          <w:i/>
          <w:sz w:val="22"/>
          <w:szCs w:val="22"/>
        </w:rPr>
        <w:t>mostly north of 20 degrees N</w:t>
      </w:r>
      <w:r w:rsidRPr="004635E5">
        <w:rPr>
          <w:b/>
          <w:sz w:val="22"/>
          <w:szCs w:val="22"/>
        </w:rPr>
        <w:t xml:space="preserve">”. </w:t>
      </w:r>
    </w:p>
    <w:p w14:paraId="05D3633A" w14:textId="77777777" w:rsidR="002669E4" w:rsidRPr="004635E5" w:rsidRDefault="002669E4" w:rsidP="00580EA4">
      <w:pPr>
        <w:widowControl w:val="0"/>
        <w:numPr>
          <w:ilvl w:val="0"/>
          <w:numId w:val="41"/>
        </w:numPr>
        <w:autoSpaceDE w:val="0"/>
        <w:autoSpaceDN w:val="0"/>
        <w:adjustRightInd w:val="0"/>
        <w:snapToGrid w:val="0"/>
        <w:jc w:val="both"/>
        <w:rPr>
          <w:b/>
          <w:sz w:val="22"/>
          <w:szCs w:val="22"/>
        </w:rPr>
      </w:pPr>
      <w:r w:rsidRPr="004635E5">
        <w:rPr>
          <w:b/>
          <w:sz w:val="22"/>
          <w:szCs w:val="22"/>
        </w:rPr>
        <w:t xml:space="preserve">In relation to paragraph 1, SC14 recommends that a check-list of benchmark scientific information for North Pacific blue shark be developed to support the Commission’s deliberations in determining the designation of a northern stock. As such, the following draft checklist is forwarded for the Commission’s consideration. </w:t>
      </w:r>
    </w:p>
    <w:p w14:paraId="1992630B" w14:textId="77777777" w:rsidR="002669E4" w:rsidRPr="004635E5" w:rsidRDefault="002669E4" w:rsidP="006633A8">
      <w:pPr>
        <w:widowControl w:val="0"/>
        <w:autoSpaceDE w:val="0"/>
        <w:autoSpaceDN w:val="0"/>
        <w:adjustRightInd w:val="0"/>
        <w:snapToGrid w:val="0"/>
        <w:ind w:left="720"/>
        <w:jc w:val="both"/>
        <w:rPr>
          <w:sz w:val="22"/>
          <w:szCs w:val="22"/>
        </w:rPr>
      </w:pPr>
    </w:p>
    <w:tbl>
      <w:tblPr>
        <w:tblStyle w:val="TableGrid4"/>
        <w:tblW w:w="0" w:type="auto"/>
        <w:tblLook w:val="04A0" w:firstRow="1" w:lastRow="0" w:firstColumn="1" w:lastColumn="0" w:noHBand="0" w:noVBand="1"/>
      </w:tblPr>
      <w:tblGrid>
        <w:gridCol w:w="510"/>
        <w:gridCol w:w="3186"/>
        <w:gridCol w:w="2125"/>
        <w:gridCol w:w="3529"/>
      </w:tblGrid>
      <w:tr w:rsidR="002669E4" w:rsidRPr="004635E5" w14:paraId="122FA856" w14:textId="77777777" w:rsidTr="007C3D16">
        <w:trPr>
          <w:trHeight w:val="106"/>
        </w:trPr>
        <w:tc>
          <w:tcPr>
            <w:tcW w:w="510" w:type="dxa"/>
            <w:shd w:val="clear" w:color="auto" w:fill="D9D9D9" w:themeFill="background1" w:themeFillShade="D9"/>
            <w:hideMark/>
          </w:tcPr>
          <w:p w14:paraId="1FEE4E9A" w14:textId="77777777" w:rsidR="002669E4" w:rsidRPr="004635E5" w:rsidRDefault="002669E4" w:rsidP="006633A8">
            <w:pPr>
              <w:adjustRightInd w:val="0"/>
              <w:snapToGrid w:val="0"/>
              <w:jc w:val="center"/>
              <w:rPr>
                <w:rFonts w:eastAsia="MS PMincho"/>
                <w:b/>
                <w:bCs/>
                <w:sz w:val="22"/>
                <w:lang w:eastAsia="ja-JP"/>
              </w:rPr>
            </w:pPr>
            <w:r w:rsidRPr="004635E5">
              <w:rPr>
                <w:rFonts w:eastAsia="MS PMincho"/>
                <w:b/>
                <w:bCs/>
                <w:sz w:val="22"/>
                <w:lang w:eastAsia="ja-JP"/>
              </w:rPr>
              <w:t>No</w:t>
            </w:r>
          </w:p>
        </w:tc>
        <w:tc>
          <w:tcPr>
            <w:tcW w:w="3186" w:type="dxa"/>
            <w:shd w:val="clear" w:color="auto" w:fill="D9D9D9" w:themeFill="background1" w:themeFillShade="D9"/>
            <w:hideMark/>
          </w:tcPr>
          <w:p w14:paraId="144A26DD" w14:textId="77777777" w:rsidR="002669E4" w:rsidRPr="004635E5" w:rsidRDefault="002669E4" w:rsidP="006633A8">
            <w:pPr>
              <w:adjustRightInd w:val="0"/>
              <w:snapToGrid w:val="0"/>
              <w:jc w:val="center"/>
              <w:rPr>
                <w:rFonts w:eastAsia="MS PMincho"/>
                <w:b/>
                <w:bCs/>
                <w:sz w:val="22"/>
                <w:lang w:eastAsia="ja-JP"/>
              </w:rPr>
            </w:pPr>
            <w:r w:rsidRPr="004635E5">
              <w:rPr>
                <w:rFonts w:eastAsia="MS PMincho"/>
                <w:b/>
                <w:bCs/>
                <w:sz w:val="22"/>
                <w:lang w:eastAsia="ja-JP"/>
              </w:rPr>
              <w:t>Criteria</w:t>
            </w:r>
          </w:p>
        </w:tc>
        <w:tc>
          <w:tcPr>
            <w:tcW w:w="2125" w:type="dxa"/>
            <w:shd w:val="clear" w:color="auto" w:fill="D9D9D9" w:themeFill="background1" w:themeFillShade="D9"/>
            <w:hideMark/>
          </w:tcPr>
          <w:p w14:paraId="7BC1B99C" w14:textId="77777777" w:rsidR="002669E4" w:rsidRPr="004635E5" w:rsidRDefault="002669E4" w:rsidP="006633A8">
            <w:pPr>
              <w:adjustRightInd w:val="0"/>
              <w:snapToGrid w:val="0"/>
              <w:jc w:val="center"/>
              <w:rPr>
                <w:rFonts w:eastAsia="MS PMincho"/>
                <w:b/>
                <w:bCs/>
                <w:sz w:val="22"/>
                <w:lang w:eastAsia="ja-JP"/>
              </w:rPr>
            </w:pPr>
            <w:r w:rsidRPr="004635E5">
              <w:rPr>
                <w:rFonts w:eastAsia="MS PMincho"/>
                <w:b/>
                <w:bCs/>
                <w:sz w:val="22"/>
                <w:lang w:eastAsia="ja-JP"/>
              </w:rPr>
              <w:t>Response</w:t>
            </w:r>
          </w:p>
        </w:tc>
        <w:tc>
          <w:tcPr>
            <w:tcW w:w="3529" w:type="dxa"/>
            <w:shd w:val="clear" w:color="auto" w:fill="D9D9D9" w:themeFill="background1" w:themeFillShade="D9"/>
            <w:hideMark/>
          </w:tcPr>
          <w:p w14:paraId="51FA80E5" w14:textId="77777777" w:rsidR="002669E4" w:rsidRPr="004635E5" w:rsidRDefault="002669E4" w:rsidP="006633A8">
            <w:pPr>
              <w:adjustRightInd w:val="0"/>
              <w:snapToGrid w:val="0"/>
              <w:jc w:val="center"/>
              <w:rPr>
                <w:rFonts w:eastAsia="MS PMincho"/>
                <w:b/>
                <w:bCs/>
                <w:sz w:val="22"/>
                <w:lang w:eastAsia="ja-JP"/>
              </w:rPr>
            </w:pPr>
            <w:r w:rsidRPr="004635E5">
              <w:rPr>
                <w:rFonts w:eastAsia="MS PMincho"/>
                <w:b/>
                <w:bCs/>
                <w:sz w:val="22"/>
                <w:lang w:eastAsia="ja-JP"/>
              </w:rPr>
              <w:t>Comments</w:t>
            </w:r>
          </w:p>
        </w:tc>
      </w:tr>
      <w:tr w:rsidR="002669E4" w:rsidRPr="004635E5" w14:paraId="4E25C2C7" w14:textId="77777777" w:rsidTr="0041235F">
        <w:trPr>
          <w:trHeight w:val="960"/>
        </w:trPr>
        <w:tc>
          <w:tcPr>
            <w:tcW w:w="510" w:type="dxa"/>
            <w:hideMark/>
          </w:tcPr>
          <w:p w14:paraId="4959A83C" w14:textId="77777777" w:rsidR="002669E4" w:rsidRPr="004635E5" w:rsidRDefault="002669E4" w:rsidP="006633A8">
            <w:pPr>
              <w:adjustRightInd w:val="0"/>
              <w:snapToGrid w:val="0"/>
              <w:rPr>
                <w:rFonts w:eastAsia="MS PMincho"/>
                <w:b/>
                <w:bCs/>
                <w:sz w:val="22"/>
                <w:lang w:eastAsia="ja-JP"/>
              </w:rPr>
            </w:pPr>
            <w:r w:rsidRPr="004635E5">
              <w:rPr>
                <w:rFonts w:eastAsia="MS PMincho"/>
                <w:b/>
                <w:bCs/>
                <w:sz w:val="22"/>
                <w:lang w:eastAsia="ja-JP"/>
              </w:rPr>
              <w:t>1</w:t>
            </w:r>
          </w:p>
        </w:tc>
        <w:tc>
          <w:tcPr>
            <w:tcW w:w="3186" w:type="dxa"/>
            <w:hideMark/>
          </w:tcPr>
          <w:p w14:paraId="0F97DA18"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What proportion of the total estimated stock biomass occurs on average north of 20</w:t>
            </w:r>
            <w:r w:rsidRPr="004635E5">
              <w:rPr>
                <w:rFonts w:eastAsia="MS PMincho"/>
                <w:sz w:val="22"/>
                <w:vertAlign w:val="superscript"/>
                <w:lang w:eastAsia="ja-JP"/>
              </w:rPr>
              <w:t>o</w:t>
            </w:r>
            <w:r w:rsidRPr="004635E5">
              <w:rPr>
                <w:rFonts w:eastAsia="MS PMincho"/>
                <w:sz w:val="22"/>
                <w:lang w:eastAsia="ja-JP"/>
              </w:rPr>
              <w:t>N?</w:t>
            </w:r>
          </w:p>
        </w:tc>
        <w:tc>
          <w:tcPr>
            <w:tcW w:w="2125" w:type="dxa"/>
            <w:hideMark/>
          </w:tcPr>
          <w:p w14:paraId="4F968B75"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Unknown</w:t>
            </w:r>
          </w:p>
        </w:tc>
        <w:tc>
          <w:tcPr>
            <w:tcW w:w="3529" w:type="dxa"/>
            <w:hideMark/>
          </w:tcPr>
          <w:p w14:paraId="5D70DEF2" w14:textId="77777777" w:rsidR="002669E4" w:rsidRPr="004635E5" w:rsidRDefault="002669E4" w:rsidP="00B76C74">
            <w:pPr>
              <w:adjustRightInd w:val="0"/>
              <w:snapToGrid w:val="0"/>
              <w:rPr>
                <w:rFonts w:eastAsia="MS PMincho"/>
                <w:sz w:val="22"/>
                <w:lang w:eastAsia="ja-JP"/>
              </w:rPr>
            </w:pPr>
            <w:r w:rsidRPr="004635E5">
              <w:rPr>
                <w:rFonts w:eastAsia="MS PMincho"/>
                <w:sz w:val="22"/>
                <w:lang w:eastAsia="ja-JP"/>
              </w:rPr>
              <w:t>Current assessment model does not include population spatial structure. Nominal CPUE may be biased and could be overestimated in the north unless the effects of fishing time, depth and depth distribution of blue sharks are accounted for.</w:t>
            </w:r>
          </w:p>
        </w:tc>
      </w:tr>
      <w:tr w:rsidR="002669E4" w:rsidRPr="004635E5" w14:paraId="531084E5" w14:textId="77777777" w:rsidTr="0041235F">
        <w:trPr>
          <w:trHeight w:val="630"/>
        </w:trPr>
        <w:tc>
          <w:tcPr>
            <w:tcW w:w="510" w:type="dxa"/>
            <w:hideMark/>
          </w:tcPr>
          <w:p w14:paraId="19AE3678" w14:textId="77777777" w:rsidR="002669E4" w:rsidRPr="004635E5" w:rsidRDefault="002669E4" w:rsidP="006633A8">
            <w:pPr>
              <w:adjustRightInd w:val="0"/>
              <w:snapToGrid w:val="0"/>
              <w:rPr>
                <w:rFonts w:eastAsia="MS PMincho"/>
                <w:b/>
                <w:bCs/>
                <w:sz w:val="22"/>
                <w:lang w:eastAsia="ja-JP"/>
              </w:rPr>
            </w:pPr>
            <w:r w:rsidRPr="004635E5">
              <w:rPr>
                <w:rFonts w:eastAsia="MS PMincho"/>
                <w:b/>
                <w:bCs/>
                <w:sz w:val="22"/>
                <w:lang w:eastAsia="ja-JP"/>
              </w:rPr>
              <w:t>2</w:t>
            </w:r>
          </w:p>
        </w:tc>
        <w:tc>
          <w:tcPr>
            <w:tcW w:w="3186" w:type="dxa"/>
            <w:hideMark/>
          </w:tcPr>
          <w:p w14:paraId="4B6C5BD4"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Does all of the breeding/spawning area(s) occur north of 20</w:t>
            </w:r>
            <w:r w:rsidRPr="004635E5">
              <w:rPr>
                <w:rFonts w:eastAsia="MS PMincho"/>
                <w:sz w:val="22"/>
                <w:vertAlign w:val="superscript"/>
                <w:lang w:eastAsia="ja-JP"/>
              </w:rPr>
              <w:t xml:space="preserve"> o</w:t>
            </w:r>
            <w:r w:rsidRPr="004635E5">
              <w:rPr>
                <w:rFonts w:eastAsia="MS PMincho"/>
                <w:sz w:val="22"/>
                <w:lang w:eastAsia="ja-JP"/>
              </w:rPr>
              <w:t>N?</w:t>
            </w:r>
          </w:p>
        </w:tc>
        <w:tc>
          <w:tcPr>
            <w:tcW w:w="2125" w:type="dxa"/>
            <w:hideMark/>
          </w:tcPr>
          <w:p w14:paraId="170BC3BD"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No</w:t>
            </w:r>
          </w:p>
        </w:tc>
        <w:tc>
          <w:tcPr>
            <w:tcW w:w="3529" w:type="dxa"/>
            <w:hideMark/>
          </w:tcPr>
          <w:p w14:paraId="3960D678"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Breeding area is mainly north of 20</w:t>
            </w:r>
            <w:r w:rsidRPr="004635E5">
              <w:rPr>
                <w:rFonts w:eastAsia="MS PMincho"/>
                <w:sz w:val="22"/>
                <w:vertAlign w:val="superscript"/>
                <w:lang w:eastAsia="ja-JP"/>
              </w:rPr>
              <w:t xml:space="preserve"> o</w:t>
            </w:r>
            <w:r w:rsidRPr="004635E5">
              <w:rPr>
                <w:rFonts w:eastAsia="MS PMincho"/>
                <w:sz w:val="22"/>
                <w:lang w:eastAsia="ja-JP"/>
              </w:rPr>
              <w:t>N but may overlap areas south of 20</w:t>
            </w:r>
            <w:r w:rsidRPr="004635E5">
              <w:rPr>
                <w:rFonts w:eastAsia="MS PMincho"/>
                <w:sz w:val="22"/>
                <w:vertAlign w:val="superscript"/>
                <w:lang w:eastAsia="ja-JP"/>
              </w:rPr>
              <w:t xml:space="preserve"> o</w:t>
            </w:r>
            <w:r w:rsidRPr="004635E5">
              <w:rPr>
                <w:rFonts w:eastAsia="MS PMincho"/>
                <w:sz w:val="22"/>
                <w:lang w:eastAsia="ja-JP"/>
              </w:rPr>
              <w:t>N</w:t>
            </w:r>
          </w:p>
        </w:tc>
      </w:tr>
      <w:tr w:rsidR="002669E4" w:rsidRPr="004635E5" w14:paraId="76ED42EA" w14:textId="77777777" w:rsidTr="0041235F">
        <w:trPr>
          <w:trHeight w:val="570"/>
        </w:trPr>
        <w:tc>
          <w:tcPr>
            <w:tcW w:w="510" w:type="dxa"/>
            <w:hideMark/>
          </w:tcPr>
          <w:p w14:paraId="3BC73416" w14:textId="77777777" w:rsidR="002669E4" w:rsidRPr="004635E5" w:rsidRDefault="002669E4" w:rsidP="006633A8">
            <w:pPr>
              <w:adjustRightInd w:val="0"/>
              <w:snapToGrid w:val="0"/>
              <w:rPr>
                <w:rFonts w:eastAsia="MS PMincho"/>
                <w:b/>
                <w:bCs/>
                <w:sz w:val="22"/>
                <w:lang w:eastAsia="ja-JP"/>
              </w:rPr>
            </w:pPr>
            <w:r w:rsidRPr="004635E5">
              <w:rPr>
                <w:rFonts w:eastAsia="MS PMincho"/>
                <w:b/>
                <w:bCs/>
                <w:sz w:val="22"/>
                <w:lang w:eastAsia="ja-JP"/>
              </w:rPr>
              <w:t>3</w:t>
            </w:r>
          </w:p>
        </w:tc>
        <w:tc>
          <w:tcPr>
            <w:tcW w:w="3186" w:type="dxa"/>
            <w:hideMark/>
          </w:tcPr>
          <w:p w14:paraId="6426033C"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Does all of the nursery area(s) occur north of 20</w:t>
            </w:r>
            <w:r w:rsidRPr="004635E5">
              <w:rPr>
                <w:rFonts w:eastAsia="MS PMincho"/>
                <w:sz w:val="22"/>
                <w:vertAlign w:val="superscript"/>
                <w:lang w:eastAsia="ja-JP"/>
              </w:rPr>
              <w:t xml:space="preserve"> o</w:t>
            </w:r>
            <w:r w:rsidRPr="004635E5">
              <w:rPr>
                <w:rFonts w:eastAsia="MS PMincho"/>
                <w:sz w:val="22"/>
                <w:lang w:eastAsia="ja-JP"/>
              </w:rPr>
              <w:t>N</w:t>
            </w:r>
          </w:p>
        </w:tc>
        <w:tc>
          <w:tcPr>
            <w:tcW w:w="2125" w:type="dxa"/>
            <w:hideMark/>
          </w:tcPr>
          <w:p w14:paraId="21570D6F"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Yes</w:t>
            </w:r>
          </w:p>
        </w:tc>
        <w:tc>
          <w:tcPr>
            <w:tcW w:w="3529" w:type="dxa"/>
            <w:hideMark/>
          </w:tcPr>
          <w:p w14:paraId="23AB1FBC"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Mostly in the area 30-40</w:t>
            </w:r>
            <w:r w:rsidRPr="004635E5">
              <w:rPr>
                <w:rFonts w:eastAsia="MS PMincho"/>
                <w:sz w:val="22"/>
                <w:vertAlign w:val="superscript"/>
                <w:lang w:eastAsia="ja-JP"/>
              </w:rPr>
              <w:t xml:space="preserve"> o</w:t>
            </w:r>
            <w:r w:rsidRPr="004635E5">
              <w:rPr>
                <w:rFonts w:eastAsia="MS PMincho"/>
                <w:sz w:val="22"/>
                <w:lang w:eastAsia="ja-JP"/>
              </w:rPr>
              <w:t>N</w:t>
            </w:r>
          </w:p>
        </w:tc>
      </w:tr>
      <w:tr w:rsidR="002669E4" w:rsidRPr="004635E5" w14:paraId="5BACFD60" w14:textId="77777777" w:rsidTr="0041235F">
        <w:trPr>
          <w:trHeight w:val="660"/>
        </w:trPr>
        <w:tc>
          <w:tcPr>
            <w:tcW w:w="510" w:type="dxa"/>
            <w:hideMark/>
          </w:tcPr>
          <w:p w14:paraId="072D0020" w14:textId="77777777" w:rsidR="002669E4" w:rsidRPr="004635E5" w:rsidRDefault="002669E4" w:rsidP="006633A8">
            <w:pPr>
              <w:adjustRightInd w:val="0"/>
              <w:snapToGrid w:val="0"/>
              <w:rPr>
                <w:rFonts w:eastAsia="MS PMincho"/>
                <w:b/>
                <w:bCs/>
                <w:sz w:val="22"/>
                <w:lang w:eastAsia="ja-JP"/>
              </w:rPr>
            </w:pPr>
            <w:r w:rsidRPr="004635E5">
              <w:rPr>
                <w:rFonts w:eastAsia="MS PMincho"/>
                <w:b/>
                <w:bCs/>
                <w:sz w:val="22"/>
                <w:lang w:eastAsia="ja-JP"/>
              </w:rPr>
              <w:t>4</w:t>
            </w:r>
          </w:p>
        </w:tc>
        <w:tc>
          <w:tcPr>
            <w:tcW w:w="3186" w:type="dxa"/>
            <w:hideMark/>
          </w:tcPr>
          <w:p w14:paraId="646A7B81"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Do any other important life history stages occur south of 20</w:t>
            </w:r>
            <w:r w:rsidRPr="004635E5">
              <w:rPr>
                <w:rFonts w:eastAsia="MS PMincho"/>
                <w:sz w:val="22"/>
                <w:vertAlign w:val="superscript"/>
                <w:lang w:eastAsia="ja-JP"/>
              </w:rPr>
              <w:t xml:space="preserve"> o</w:t>
            </w:r>
            <w:r w:rsidRPr="004635E5">
              <w:rPr>
                <w:rFonts w:eastAsia="MS PMincho"/>
                <w:sz w:val="22"/>
                <w:lang w:eastAsia="ja-JP"/>
              </w:rPr>
              <w:t>N?</w:t>
            </w:r>
          </w:p>
        </w:tc>
        <w:tc>
          <w:tcPr>
            <w:tcW w:w="2125" w:type="dxa"/>
            <w:hideMark/>
          </w:tcPr>
          <w:p w14:paraId="6410E053"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Yes</w:t>
            </w:r>
          </w:p>
        </w:tc>
        <w:tc>
          <w:tcPr>
            <w:tcW w:w="3529" w:type="dxa"/>
            <w:hideMark/>
          </w:tcPr>
          <w:p w14:paraId="767AAF88"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Pregnant females are commonly found south of 20</w:t>
            </w:r>
            <w:r w:rsidRPr="004635E5">
              <w:rPr>
                <w:rFonts w:eastAsia="MS PMincho"/>
                <w:sz w:val="22"/>
                <w:vertAlign w:val="superscript"/>
                <w:lang w:eastAsia="ja-JP"/>
              </w:rPr>
              <w:t xml:space="preserve"> o</w:t>
            </w:r>
            <w:r w:rsidRPr="004635E5">
              <w:rPr>
                <w:rFonts w:eastAsia="MS PMincho"/>
                <w:sz w:val="22"/>
                <w:lang w:eastAsia="ja-JP"/>
              </w:rPr>
              <w:t>N</w:t>
            </w:r>
          </w:p>
        </w:tc>
      </w:tr>
      <w:tr w:rsidR="002669E4" w:rsidRPr="004635E5" w14:paraId="34E46D5A" w14:textId="77777777" w:rsidTr="0041235F">
        <w:trPr>
          <w:trHeight w:val="660"/>
        </w:trPr>
        <w:tc>
          <w:tcPr>
            <w:tcW w:w="510" w:type="dxa"/>
            <w:hideMark/>
          </w:tcPr>
          <w:p w14:paraId="16812737" w14:textId="77777777" w:rsidR="002669E4" w:rsidRPr="004635E5" w:rsidRDefault="002669E4" w:rsidP="006633A8">
            <w:pPr>
              <w:adjustRightInd w:val="0"/>
              <w:snapToGrid w:val="0"/>
              <w:rPr>
                <w:rFonts w:eastAsia="MS PMincho"/>
                <w:b/>
                <w:bCs/>
                <w:sz w:val="22"/>
                <w:lang w:eastAsia="ja-JP"/>
              </w:rPr>
            </w:pPr>
            <w:r w:rsidRPr="004635E5">
              <w:rPr>
                <w:rFonts w:eastAsia="MS PMincho"/>
                <w:b/>
                <w:bCs/>
                <w:sz w:val="22"/>
                <w:lang w:eastAsia="ja-JP"/>
              </w:rPr>
              <w:t>5</w:t>
            </w:r>
          </w:p>
        </w:tc>
        <w:tc>
          <w:tcPr>
            <w:tcW w:w="3186" w:type="dxa"/>
            <w:hideMark/>
          </w:tcPr>
          <w:p w14:paraId="73CA2C90"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What proportion of the total annual estimated catch occurs north of 20</w:t>
            </w:r>
            <w:r w:rsidRPr="004635E5">
              <w:rPr>
                <w:rFonts w:eastAsia="MS PMincho"/>
                <w:sz w:val="22"/>
                <w:vertAlign w:val="superscript"/>
                <w:lang w:eastAsia="ja-JP"/>
              </w:rPr>
              <w:t xml:space="preserve"> o</w:t>
            </w:r>
            <w:r w:rsidRPr="004635E5">
              <w:rPr>
                <w:rFonts w:eastAsia="MS PMincho"/>
                <w:sz w:val="22"/>
                <w:lang w:eastAsia="ja-JP"/>
              </w:rPr>
              <w:t>N?</w:t>
            </w:r>
          </w:p>
        </w:tc>
        <w:tc>
          <w:tcPr>
            <w:tcW w:w="2125" w:type="dxa"/>
            <w:hideMark/>
          </w:tcPr>
          <w:p w14:paraId="2E1C8A5F"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0.88 on average</w:t>
            </w:r>
          </w:p>
        </w:tc>
        <w:tc>
          <w:tcPr>
            <w:tcW w:w="3529" w:type="dxa"/>
            <w:hideMark/>
          </w:tcPr>
          <w:p w14:paraId="17F5344F"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Based on raised, aggregated (5x5 degree) longline data 2014-2017 submitted to WCPFC (Operational data would provide better resolution than aggregated data)</w:t>
            </w:r>
          </w:p>
        </w:tc>
      </w:tr>
      <w:tr w:rsidR="002669E4" w:rsidRPr="004635E5" w14:paraId="3F2318F2" w14:textId="77777777" w:rsidTr="0041235F">
        <w:trPr>
          <w:trHeight w:val="1185"/>
        </w:trPr>
        <w:tc>
          <w:tcPr>
            <w:tcW w:w="510" w:type="dxa"/>
            <w:vMerge w:val="restart"/>
            <w:hideMark/>
          </w:tcPr>
          <w:p w14:paraId="3A43E771" w14:textId="77777777" w:rsidR="002669E4" w:rsidRPr="004635E5" w:rsidRDefault="002669E4" w:rsidP="006633A8">
            <w:pPr>
              <w:adjustRightInd w:val="0"/>
              <w:snapToGrid w:val="0"/>
              <w:rPr>
                <w:rFonts w:eastAsia="MS PMincho"/>
                <w:b/>
                <w:bCs/>
                <w:sz w:val="22"/>
                <w:lang w:eastAsia="ja-JP"/>
              </w:rPr>
            </w:pPr>
            <w:r w:rsidRPr="004635E5">
              <w:rPr>
                <w:rFonts w:eastAsia="MS PMincho"/>
                <w:b/>
                <w:bCs/>
                <w:sz w:val="22"/>
                <w:lang w:eastAsia="ja-JP"/>
              </w:rPr>
              <w:t>6</w:t>
            </w:r>
          </w:p>
        </w:tc>
        <w:tc>
          <w:tcPr>
            <w:tcW w:w="3186" w:type="dxa"/>
            <w:vMerge w:val="restart"/>
            <w:hideMark/>
          </w:tcPr>
          <w:p w14:paraId="5A12BA68"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Is fishery catch-per-unit-effort demonstrably higher north of 20</w:t>
            </w:r>
            <w:r w:rsidRPr="004635E5">
              <w:rPr>
                <w:rFonts w:eastAsia="MS PMincho"/>
                <w:sz w:val="22"/>
                <w:vertAlign w:val="superscript"/>
                <w:lang w:eastAsia="ja-JP"/>
              </w:rPr>
              <w:t xml:space="preserve"> o</w:t>
            </w:r>
            <w:r w:rsidRPr="004635E5">
              <w:rPr>
                <w:rFonts w:eastAsia="MS PMincho"/>
                <w:sz w:val="22"/>
                <w:lang w:eastAsia="ja-JP"/>
              </w:rPr>
              <w:t>N for comparable fisheries?</w:t>
            </w:r>
          </w:p>
        </w:tc>
        <w:tc>
          <w:tcPr>
            <w:tcW w:w="2125" w:type="dxa"/>
            <w:vMerge w:val="restart"/>
            <w:hideMark/>
          </w:tcPr>
          <w:p w14:paraId="1B861840"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(i) Similar CPUE observed north and south of 20</w:t>
            </w:r>
            <w:r w:rsidRPr="004635E5">
              <w:rPr>
                <w:rFonts w:eastAsia="MS PMincho"/>
                <w:sz w:val="22"/>
                <w:vertAlign w:val="superscript"/>
                <w:lang w:eastAsia="ja-JP"/>
              </w:rPr>
              <w:t xml:space="preserve"> o</w:t>
            </w:r>
            <w:r w:rsidRPr="004635E5">
              <w:rPr>
                <w:rFonts w:eastAsia="MS PMincho"/>
                <w:sz w:val="22"/>
                <w:lang w:eastAsia="ja-JP"/>
              </w:rPr>
              <w:t xml:space="preserve">N in Chinese Taipei LSTLL fishery and Hawaii deep-set LL fishery    </w:t>
            </w:r>
          </w:p>
          <w:p w14:paraId="025D1B62"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(ii) CPUE higher north of 20</w:t>
            </w:r>
            <w:r w:rsidRPr="004635E5">
              <w:rPr>
                <w:rFonts w:eastAsia="MS PMincho"/>
                <w:sz w:val="22"/>
                <w:vertAlign w:val="superscript"/>
                <w:lang w:eastAsia="ja-JP"/>
              </w:rPr>
              <w:t xml:space="preserve"> o</w:t>
            </w:r>
            <w:r w:rsidRPr="004635E5">
              <w:rPr>
                <w:rFonts w:eastAsia="MS PMincho"/>
                <w:sz w:val="22"/>
                <w:lang w:eastAsia="ja-JP"/>
              </w:rPr>
              <w:t>N in Japan shallow set research</w:t>
            </w:r>
            <w:r w:rsidR="00F81EF0">
              <w:rPr>
                <w:rFonts w:eastAsia="MS PMincho"/>
                <w:sz w:val="22"/>
                <w:lang w:eastAsia="ja-JP"/>
              </w:rPr>
              <w:t xml:space="preserve"> </w:t>
            </w:r>
            <w:r w:rsidRPr="004635E5">
              <w:rPr>
                <w:rFonts w:eastAsia="MS PMincho"/>
                <w:sz w:val="22"/>
                <w:lang w:eastAsia="ja-JP"/>
              </w:rPr>
              <w:t>survey</w:t>
            </w:r>
          </w:p>
        </w:tc>
        <w:tc>
          <w:tcPr>
            <w:tcW w:w="3529" w:type="dxa"/>
            <w:vMerge w:val="restart"/>
            <w:hideMark/>
          </w:tcPr>
          <w:p w14:paraId="48F020B2"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CPUE comparisons may be biased by different depth distribution of blue shark north and south of 20</w:t>
            </w:r>
            <w:r w:rsidRPr="004635E5">
              <w:rPr>
                <w:rFonts w:eastAsia="MS PMincho"/>
                <w:sz w:val="22"/>
                <w:vertAlign w:val="superscript"/>
                <w:lang w:eastAsia="ja-JP"/>
              </w:rPr>
              <w:t xml:space="preserve"> o</w:t>
            </w:r>
            <w:r w:rsidRPr="004635E5">
              <w:rPr>
                <w:rFonts w:eastAsia="MS PMincho"/>
                <w:sz w:val="22"/>
                <w:lang w:eastAsia="ja-JP"/>
              </w:rPr>
              <w:t>N.</w:t>
            </w:r>
          </w:p>
        </w:tc>
      </w:tr>
      <w:tr w:rsidR="002669E4" w:rsidRPr="004635E5" w14:paraId="50704EA5" w14:textId="77777777" w:rsidTr="0041235F">
        <w:trPr>
          <w:trHeight w:val="915"/>
        </w:trPr>
        <w:tc>
          <w:tcPr>
            <w:tcW w:w="510" w:type="dxa"/>
            <w:vMerge/>
            <w:hideMark/>
          </w:tcPr>
          <w:p w14:paraId="4080C2F2" w14:textId="77777777" w:rsidR="002669E4" w:rsidRPr="004635E5" w:rsidRDefault="002669E4" w:rsidP="006633A8">
            <w:pPr>
              <w:adjustRightInd w:val="0"/>
              <w:snapToGrid w:val="0"/>
              <w:rPr>
                <w:rFonts w:eastAsia="MS PMincho"/>
                <w:b/>
                <w:bCs/>
                <w:sz w:val="22"/>
                <w:lang w:eastAsia="ja-JP"/>
              </w:rPr>
            </w:pPr>
          </w:p>
        </w:tc>
        <w:tc>
          <w:tcPr>
            <w:tcW w:w="3186" w:type="dxa"/>
            <w:vMerge/>
            <w:hideMark/>
          </w:tcPr>
          <w:p w14:paraId="26C39F3F" w14:textId="77777777" w:rsidR="002669E4" w:rsidRPr="004635E5" w:rsidRDefault="002669E4" w:rsidP="006633A8">
            <w:pPr>
              <w:adjustRightInd w:val="0"/>
              <w:snapToGrid w:val="0"/>
              <w:rPr>
                <w:rFonts w:eastAsia="MS PMincho"/>
                <w:sz w:val="22"/>
                <w:lang w:eastAsia="ja-JP"/>
              </w:rPr>
            </w:pPr>
          </w:p>
        </w:tc>
        <w:tc>
          <w:tcPr>
            <w:tcW w:w="2125" w:type="dxa"/>
            <w:vMerge/>
            <w:hideMark/>
          </w:tcPr>
          <w:p w14:paraId="39C10BDA" w14:textId="77777777" w:rsidR="002669E4" w:rsidRPr="004635E5" w:rsidRDefault="002669E4" w:rsidP="006633A8">
            <w:pPr>
              <w:adjustRightInd w:val="0"/>
              <w:snapToGrid w:val="0"/>
              <w:rPr>
                <w:rFonts w:eastAsia="MS PMincho"/>
                <w:sz w:val="22"/>
                <w:lang w:eastAsia="ja-JP"/>
              </w:rPr>
            </w:pPr>
          </w:p>
        </w:tc>
        <w:tc>
          <w:tcPr>
            <w:tcW w:w="3529" w:type="dxa"/>
            <w:vMerge/>
            <w:hideMark/>
          </w:tcPr>
          <w:p w14:paraId="3DF08D7A" w14:textId="77777777" w:rsidR="002669E4" w:rsidRPr="004635E5" w:rsidRDefault="002669E4" w:rsidP="006633A8">
            <w:pPr>
              <w:adjustRightInd w:val="0"/>
              <w:snapToGrid w:val="0"/>
              <w:rPr>
                <w:rFonts w:eastAsia="MS PMincho"/>
                <w:sz w:val="22"/>
                <w:lang w:eastAsia="ja-JP"/>
              </w:rPr>
            </w:pPr>
          </w:p>
        </w:tc>
      </w:tr>
      <w:tr w:rsidR="002669E4" w:rsidRPr="004635E5" w14:paraId="5907A45E" w14:textId="77777777" w:rsidTr="0041235F">
        <w:trPr>
          <w:trHeight w:val="915"/>
        </w:trPr>
        <w:tc>
          <w:tcPr>
            <w:tcW w:w="510" w:type="dxa"/>
          </w:tcPr>
          <w:p w14:paraId="7F85FB29" w14:textId="77777777" w:rsidR="002669E4" w:rsidRPr="004635E5" w:rsidRDefault="002669E4" w:rsidP="006633A8">
            <w:pPr>
              <w:adjustRightInd w:val="0"/>
              <w:snapToGrid w:val="0"/>
              <w:rPr>
                <w:rFonts w:eastAsia="MS PMincho"/>
                <w:b/>
                <w:bCs/>
                <w:sz w:val="22"/>
                <w:lang w:eastAsia="ja-JP"/>
              </w:rPr>
            </w:pPr>
            <w:r w:rsidRPr="004635E5">
              <w:rPr>
                <w:rFonts w:eastAsia="MS PMincho"/>
                <w:b/>
                <w:bCs/>
                <w:sz w:val="22"/>
                <w:lang w:eastAsia="ja-JP"/>
              </w:rPr>
              <w:t>7</w:t>
            </w:r>
          </w:p>
        </w:tc>
        <w:tc>
          <w:tcPr>
            <w:tcW w:w="3186" w:type="dxa"/>
          </w:tcPr>
          <w:p w14:paraId="52015153"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Is there sufficient information about fish movement between the areas north and south of</w:t>
            </w:r>
            <w:r w:rsidR="00F81EF0">
              <w:rPr>
                <w:rFonts w:eastAsia="MS PMincho"/>
                <w:sz w:val="22"/>
                <w:lang w:eastAsia="ja-JP"/>
              </w:rPr>
              <w:t xml:space="preserve"> </w:t>
            </w:r>
            <w:r w:rsidRPr="004635E5">
              <w:rPr>
                <w:rFonts w:eastAsia="MS PMincho"/>
                <w:sz w:val="22"/>
                <w:lang w:eastAsia="ja-JP"/>
              </w:rPr>
              <w:t>20</w:t>
            </w:r>
            <w:r w:rsidRPr="004635E5">
              <w:rPr>
                <w:rFonts w:eastAsia="MS PMincho"/>
                <w:sz w:val="22"/>
                <w:vertAlign w:val="superscript"/>
                <w:lang w:eastAsia="ja-JP"/>
              </w:rPr>
              <w:t xml:space="preserve"> o</w:t>
            </w:r>
            <w:r w:rsidRPr="004635E5">
              <w:rPr>
                <w:rFonts w:eastAsia="MS PMincho"/>
                <w:sz w:val="22"/>
                <w:lang w:eastAsia="ja-JP"/>
              </w:rPr>
              <w:t>N?</w:t>
            </w:r>
          </w:p>
        </w:tc>
        <w:tc>
          <w:tcPr>
            <w:tcW w:w="2125" w:type="dxa"/>
          </w:tcPr>
          <w:p w14:paraId="1799B9B1"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Yes</w:t>
            </w:r>
          </w:p>
        </w:tc>
        <w:tc>
          <w:tcPr>
            <w:tcW w:w="3529" w:type="dxa"/>
          </w:tcPr>
          <w:p w14:paraId="7F757B49" w14:textId="77777777"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Conventional tagging data shows that the maximum range of movements suggests at least northern and southern sub-populations of blue shark, as demarked by the equator.</w:t>
            </w:r>
          </w:p>
        </w:tc>
      </w:tr>
    </w:tbl>
    <w:p w14:paraId="153985F0" w14:textId="77777777" w:rsidR="00F74EEE" w:rsidRPr="004635E5" w:rsidRDefault="00F74EEE" w:rsidP="006633A8">
      <w:pPr>
        <w:pStyle w:val="ListParagraph"/>
        <w:adjustRightInd w:val="0"/>
        <w:snapToGrid w:val="0"/>
        <w:ind w:left="0"/>
        <w:jc w:val="both"/>
        <w:rPr>
          <w:rFonts w:eastAsia="Batang"/>
          <w:sz w:val="22"/>
          <w:szCs w:val="22"/>
          <w:lang w:val="en-NZ" w:eastAsia="ko-KR"/>
        </w:rPr>
      </w:pPr>
    </w:p>
    <w:p w14:paraId="5AD40F38" w14:textId="77777777" w:rsidR="00810E61" w:rsidRPr="004635E5" w:rsidRDefault="000B636C" w:rsidP="00580EA4">
      <w:pPr>
        <w:pStyle w:val="SC3"/>
        <w:numPr>
          <w:ilvl w:val="2"/>
          <w:numId w:val="161"/>
        </w:numPr>
        <w:spacing w:after="0"/>
        <w:rPr>
          <w:rFonts w:eastAsia="Batang"/>
          <w:lang w:eastAsia="ko-KR"/>
        </w:rPr>
      </w:pPr>
      <w:r w:rsidRPr="004635E5">
        <w:rPr>
          <w:rFonts w:eastAsia="Batang"/>
          <w:lang w:eastAsia="ko-KR"/>
        </w:rPr>
        <w:t>North Pacific shortfin mako</w:t>
      </w:r>
      <w:r w:rsidR="008557D6" w:rsidRPr="004635E5">
        <w:rPr>
          <w:rFonts w:eastAsia="Batang"/>
          <w:lang w:eastAsia="ko-KR"/>
        </w:rPr>
        <w:t xml:space="preserve"> shark</w:t>
      </w:r>
      <w:r w:rsidRPr="004635E5">
        <w:rPr>
          <w:rFonts w:eastAsiaTheme="minorEastAsia"/>
          <w:lang w:eastAsia="ko-KR"/>
        </w:rPr>
        <w:t xml:space="preserve"> </w:t>
      </w:r>
      <w:r w:rsidRPr="004635E5">
        <w:rPr>
          <w:rFonts w:eastAsia="MS Mincho"/>
          <w:lang w:eastAsia="ja-JP"/>
        </w:rPr>
        <w:t>(</w:t>
      </w:r>
      <w:r w:rsidRPr="004635E5">
        <w:rPr>
          <w:rFonts w:eastAsia="MS Mincho"/>
          <w:i/>
          <w:lang w:eastAsia="ja-JP"/>
        </w:rPr>
        <w:t>Isurus oxyrinchus</w:t>
      </w:r>
      <w:r w:rsidRPr="004635E5">
        <w:rPr>
          <w:rFonts w:eastAsia="MS Mincho"/>
          <w:lang w:eastAsia="ja-JP"/>
        </w:rPr>
        <w:t>)</w:t>
      </w:r>
    </w:p>
    <w:p w14:paraId="1458B8AE" w14:textId="77777777" w:rsidR="00F46AB9" w:rsidRPr="004635E5" w:rsidRDefault="00F46AB9" w:rsidP="006633A8">
      <w:pPr>
        <w:pStyle w:val="SC3"/>
        <w:numPr>
          <w:ilvl w:val="0"/>
          <w:numId w:val="0"/>
        </w:numPr>
        <w:spacing w:after="0"/>
        <w:ind w:left="1440"/>
        <w:rPr>
          <w:rFonts w:eastAsia="Batang"/>
          <w:lang w:eastAsia="ko-KR"/>
        </w:rPr>
      </w:pPr>
    </w:p>
    <w:p w14:paraId="2AB19CD1" w14:textId="77777777" w:rsidR="00807662" w:rsidRPr="004635E5" w:rsidRDefault="00334B07" w:rsidP="00580EA4">
      <w:pPr>
        <w:pStyle w:val="SC3"/>
        <w:numPr>
          <w:ilvl w:val="3"/>
          <w:numId w:val="161"/>
        </w:numPr>
        <w:spacing w:after="0"/>
        <w:rPr>
          <w:rFonts w:eastAsia="Batang"/>
          <w:lang w:eastAsia="ko-KR"/>
        </w:rPr>
      </w:pPr>
      <w:r w:rsidRPr="004635E5">
        <w:rPr>
          <w:rFonts w:eastAsia="Batang"/>
          <w:bCs/>
          <w:lang w:eastAsia="ko-KR"/>
        </w:rPr>
        <w:t>R</w:t>
      </w:r>
      <w:r w:rsidR="000B636C" w:rsidRPr="004635E5">
        <w:rPr>
          <w:rFonts w:eastAsia="Batang"/>
          <w:bCs/>
          <w:lang w:eastAsia="ko-KR"/>
        </w:rPr>
        <w:t>esearch and information</w:t>
      </w:r>
      <w:r w:rsidR="000B636C" w:rsidRPr="004635E5" w:rsidDel="000B636C">
        <w:rPr>
          <w:rFonts w:eastAsia="Batang"/>
          <w:bCs/>
          <w:lang w:eastAsia="ko-KR"/>
        </w:rPr>
        <w:t xml:space="preserve"> </w:t>
      </w:r>
    </w:p>
    <w:p w14:paraId="7AD9BAD7" w14:textId="77777777" w:rsidR="00F46AB9" w:rsidRPr="004635E5" w:rsidRDefault="00F46AB9" w:rsidP="006633A8">
      <w:pPr>
        <w:pStyle w:val="SC3"/>
        <w:numPr>
          <w:ilvl w:val="0"/>
          <w:numId w:val="0"/>
        </w:numPr>
        <w:spacing w:after="0"/>
        <w:ind w:left="1800"/>
        <w:rPr>
          <w:rFonts w:eastAsia="Batang"/>
          <w:lang w:eastAsia="ko-KR"/>
        </w:rPr>
      </w:pPr>
    </w:p>
    <w:p w14:paraId="0DE1BDCC" w14:textId="77777777" w:rsidR="008107AA" w:rsidRPr="004635E5" w:rsidRDefault="00810E61" w:rsidP="00132438">
      <w:pPr>
        <w:pStyle w:val="SCa"/>
        <w:tabs>
          <w:tab w:val="clear" w:pos="1080"/>
        </w:tabs>
        <w:spacing w:after="0"/>
        <w:ind w:left="0"/>
        <w:rPr>
          <w:lang w:val="en-NZ"/>
        </w:rPr>
      </w:pPr>
      <w:r w:rsidRPr="004635E5">
        <w:rPr>
          <w:lang w:val="en-NZ"/>
        </w:rPr>
        <w:t>a.</w:t>
      </w:r>
      <w:r w:rsidRPr="004635E5">
        <w:rPr>
          <w:lang w:val="en-NZ"/>
        </w:rPr>
        <w:tab/>
      </w:r>
      <w:r w:rsidR="00334B07" w:rsidRPr="004635E5">
        <w:rPr>
          <w:lang w:val="en-NZ"/>
        </w:rPr>
        <w:t xml:space="preserve">Review of 2018 North Pacific shortfin mako </w:t>
      </w:r>
      <w:r w:rsidR="008557D6" w:rsidRPr="004635E5">
        <w:rPr>
          <w:lang w:val="en-NZ"/>
        </w:rPr>
        <w:t xml:space="preserve">shark </w:t>
      </w:r>
      <w:r w:rsidR="00334B07" w:rsidRPr="004635E5">
        <w:rPr>
          <w:lang w:val="en-NZ"/>
        </w:rPr>
        <w:t>stock assessment</w:t>
      </w:r>
    </w:p>
    <w:p w14:paraId="283AFFF8" w14:textId="77777777" w:rsidR="00F46AB9" w:rsidRPr="004635E5" w:rsidRDefault="00F46AB9" w:rsidP="006633A8">
      <w:pPr>
        <w:pStyle w:val="SCa"/>
        <w:spacing w:after="0"/>
        <w:rPr>
          <w:lang w:val="en-NZ"/>
        </w:rPr>
      </w:pPr>
    </w:p>
    <w:p w14:paraId="7A7AA428" w14:textId="77777777" w:rsidR="003C41B9" w:rsidRPr="004635E5" w:rsidRDefault="00270656" w:rsidP="00580EA4">
      <w:pPr>
        <w:numPr>
          <w:ilvl w:val="0"/>
          <w:numId w:val="18"/>
        </w:numPr>
        <w:autoSpaceDE w:val="0"/>
        <w:autoSpaceDN w:val="0"/>
        <w:adjustRightInd w:val="0"/>
        <w:snapToGrid w:val="0"/>
        <w:ind w:left="0" w:firstLine="0"/>
        <w:jc w:val="both"/>
        <w:rPr>
          <w:sz w:val="22"/>
          <w:szCs w:val="22"/>
        </w:rPr>
      </w:pPr>
      <w:r w:rsidRPr="004635E5">
        <w:rPr>
          <w:sz w:val="22"/>
          <w:szCs w:val="22"/>
        </w:rPr>
        <w:t>F. Carvalho</w:t>
      </w:r>
      <w:r w:rsidR="008557D6" w:rsidRPr="004635E5">
        <w:rPr>
          <w:sz w:val="22"/>
          <w:szCs w:val="22"/>
        </w:rPr>
        <w:t xml:space="preserve"> </w:t>
      </w:r>
      <w:r w:rsidR="006B1ADD" w:rsidRPr="004635E5">
        <w:rPr>
          <w:sz w:val="22"/>
          <w:szCs w:val="22"/>
        </w:rPr>
        <w:t>presented</w:t>
      </w:r>
      <w:r w:rsidR="00650CB4" w:rsidRPr="004635E5">
        <w:rPr>
          <w:rFonts w:eastAsia="MS Mincho"/>
          <w:sz w:val="22"/>
          <w:szCs w:val="22"/>
        </w:rPr>
        <w:t xml:space="preserve"> </w:t>
      </w:r>
      <w:r w:rsidR="00797E2B">
        <w:rPr>
          <w:rFonts w:eastAsia="MS Mincho"/>
          <w:sz w:val="22"/>
          <w:szCs w:val="22"/>
        </w:rPr>
        <w:t>SC14-</w:t>
      </w:r>
      <w:r w:rsidR="0048775B" w:rsidRPr="00797E2B">
        <w:rPr>
          <w:bCs/>
          <w:sz w:val="22"/>
          <w:szCs w:val="22"/>
          <w:lang w:val="en-NZ"/>
        </w:rPr>
        <w:t>SA-WP-11</w:t>
      </w:r>
      <w:r w:rsidR="0048775B" w:rsidRPr="004635E5">
        <w:rPr>
          <w:b/>
          <w:sz w:val="22"/>
          <w:szCs w:val="22"/>
          <w:lang w:val="en-NZ"/>
        </w:rPr>
        <w:t xml:space="preserve"> </w:t>
      </w:r>
      <w:r w:rsidR="0048775B" w:rsidRPr="004635E5">
        <w:rPr>
          <w:i/>
          <w:sz w:val="22"/>
          <w:szCs w:val="22"/>
        </w:rPr>
        <w:t>ISC Shark Working Group. Stock Assessment of Shortfin Mako Shark in the North Pacific Ocean through 2016</w:t>
      </w:r>
      <w:r w:rsidR="0048775B" w:rsidRPr="004635E5">
        <w:rPr>
          <w:sz w:val="22"/>
          <w:szCs w:val="22"/>
        </w:rPr>
        <w:t>.</w:t>
      </w:r>
      <w:r w:rsidR="003C30CA" w:rsidRPr="004635E5">
        <w:rPr>
          <w:sz w:val="22"/>
          <w:szCs w:val="22"/>
        </w:rPr>
        <w:t xml:space="preserve"> </w:t>
      </w:r>
      <w:r w:rsidR="003C30CA" w:rsidRPr="004635E5">
        <w:rPr>
          <w:rFonts w:eastAsia="Batang"/>
          <w:sz w:val="22"/>
          <w:szCs w:val="22"/>
          <w:lang w:val="en-NZ" w:eastAsia="ko-KR"/>
        </w:rPr>
        <w:t xml:space="preserve">The ISC SHARKWG’s first full stock assessment of shortfin mako shark </w:t>
      </w:r>
      <w:r w:rsidR="003C30CA" w:rsidRPr="00146B98">
        <w:rPr>
          <w:rFonts w:eastAsia="Batang"/>
          <w:sz w:val="22"/>
          <w:szCs w:val="22"/>
          <w:lang w:val="en-NZ" w:eastAsia="ko-KR"/>
        </w:rPr>
        <w:t>(SFM,</w:t>
      </w:r>
      <w:r w:rsidR="003C30CA" w:rsidRPr="004635E5">
        <w:rPr>
          <w:rFonts w:eastAsia="Batang"/>
          <w:sz w:val="22"/>
          <w:szCs w:val="22"/>
          <w:lang w:val="en-NZ" w:eastAsia="ko-KR"/>
        </w:rPr>
        <w:t xml:space="preserve"> </w:t>
      </w:r>
      <w:r w:rsidR="003C30CA" w:rsidRPr="004635E5">
        <w:rPr>
          <w:rFonts w:eastAsia="Batang"/>
          <w:i/>
          <w:sz w:val="22"/>
          <w:szCs w:val="22"/>
          <w:lang w:val="en-NZ" w:eastAsia="ko-KR"/>
        </w:rPr>
        <w:t>Isurus oxyrinchus</w:t>
      </w:r>
      <w:r w:rsidR="003C30CA" w:rsidRPr="004635E5">
        <w:rPr>
          <w:rFonts w:eastAsia="Batang"/>
          <w:sz w:val="22"/>
          <w:szCs w:val="22"/>
          <w:lang w:val="en-NZ" w:eastAsia="ko-KR"/>
        </w:rPr>
        <w:t xml:space="preserve">) in the North Pacific Ocean (NPO) was conducted in 2018. Due to a lack of biological and fisheries information, an indicator-based analysis was conducted in 2015. For the present analysis, time-series of catch, relative abundance, and sex-specific length composition from multiple fisheries were developed for the modeling period (1975 – 2016). In addition, new biological information, and research into parameterization of the Beverton-Holt stock recruitment relationship enabled the development of a size-based, age-structured model using the Stock Synthesis modeling platform. </w:t>
      </w:r>
    </w:p>
    <w:p w14:paraId="4DF89548" w14:textId="77777777" w:rsidR="00F46AB9" w:rsidRPr="004635E5" w:rsidRDefault="00F46AB9" w:rsidP="006633A8">
      <w:pPr>
        <w:autoSpaceDE w:val="0"/>
        <w:autoSpaceDN w:val="0"/>
        <w:adjustRightInd w:val="0"/>
        <w:snapToGrid w:val="0"/>
        <w:jc w:val="both"/>
        <w:rPr>
          <w:sz w:val="22"/>
          <w:szCs w:val="22"/>
        </w:rPr>
      </w:pPr>
    </w:p>
    <w:p w14:paraId="5483C3A5" w14:textId="77777777" w:rsidR="003C41B9" w:rsidRPr="004635E5" w:rsidRDefault="0041235F"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SFMs are distributed throughout the pelagic, temperate NPO. Nursery areas are found along the continental margins in both the western and eastern Pacific Ocean (WPO and EPO), and larger subadults and adults are observed in greater proportions in the Central Pacific Ocean (CPO). A single stock of SFMs is assumed in the NPO based on evidence from genetics, tagging studies, and lower catch rates of SFM near the equator compared to temperate areas. However, within the NPO some regional substructure is apparent as the majority of tagged SFMs have been recaptured within the same region where they were originally tagged, and examination of catch records by size and sex demonstrates some regional and seasonal segregation across the NPO. </w:t>
      </w:r>
    </w:p>
    <w:p w14:paraId="5DF57EA3" w14:textId="77777777" w:rsidR="003C41B9" w:rsidRPr="004635E5" w:rsidRDefault="003C41B9" w:rsidP="006633A8">
      <w:pPr>
        <w:autoSpaceDE w:val="0"/>
        <w:autoSpaceDN w:val="0"/>
        <w:adjustRightInd w:val="0"/>
        <w:snapToGrid w:val="0"/>
        <w:jc w:val="both"/>
        <w:rPr>
          <w:rFonts w:eastAsia="Batang"/>
          <w:sz w:val="22"/>
          <w:szCs w:val="22"/>
          <w:lang w:val="en-NZ" w:eastAsia="ko-KR"/>
        </w:rPr>
      </w:pPr>
    </w:p>
    <w:p w14:paraId="2E080A0F" w14:textId="77777777" w:rsidR="0041235F" w:rsidRPr="004635E5" w:rsidRDefault="0041235F"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Catch data for this stock could be divided into early (1975 – 1993) and late (1994 – 2016) periods</w:t>
      </w:r>
      <w:r w:rsidR="00A16680" w:rsidRPr="004635E5">
        <w:rPr>
          <w:rFonts w:eastAsia="Batang"/>
          <w:sz w:val="22"/>
          <w:szCs w:val="22"/>
          <w:lang w:val="en-NZ" w:eastAsia="ko-KR"/>
        </w:rPr>
        <w:t xml:space="preserve">. </w:t>
      </w:r>
      <w:r w:rsidRPr="004635E5">
        <w:rPr>
          <w:rFonts w:eastAsia="Batang"/>
          <w:sz w:val="22"/>
          <w:szCs w:val="22"/>
          <w:lang w:val="en-NZ" w:eastAsia="ko-KR"/>
        </w:rPr>
        <w:t xml:space="preserve">The catch for the early period (1975-1993) was highly uncertain because species-specific SFM catch was not reported for major fisheries, and were instead estimated from blue shark catch using </w:t>
      </w:r>
      <w:r w:rsidR="00153D6E" w:rsidRPr="004635E5">
        <w:rPr>
          <w:rFonts w:eastAsia="Batang"/>
          <w:sz w:val="22"/>
          <w:szCs w:val="22"/>
          <w:lang w:val="en-NZ" w:eastAsia="ko-KR"/>
        </w:rPr>
        <w:t xml:space="preserve">blue shark </w:t>
      </w:r>
      <w:r w:rsidRPr="004635E5">
        <w:rPr>
          <w:rFonts w:eastAsia="Batang"/>
          <w:sz w:val="22"/>
          <w:szCs w:val="22"/>
          <w:lang w:val="en-NZ" w:eastAsia="ko-KR"/>
        </w:rPr>
        <w:t xml:space="preserve">to SFM ratios. On the other hand, species-specific SFM catch was available for all major fisheries after 1993. The total estimated catch of North Pacific SFMs reached a peak of 7,068 mt in 1981 and then declined in the early 1990s, with catches fluctuating between 1,948 mt and 2,395 mt since the early 1990s (Figure </w:t>
      </w:r>
      <w:r w:rsidR="00F256DB">
        <w:rPr>
          <w:rFonts w:eastAsia="Batang"/>
          <w:sz w:val="22"/>
          <w:szCs w:val="22"/>
          <w:lang w:val="en-NZ" w:eastAsia="ko-KR"/>
        </w:rPr>
        <w:t>SFM-</w:t>
      </w:r>
      <w:r w:rsidR="00F256DB" w:rsidRPr="004635E5">
        <w:rPr>
          <w:rFonts w:eastAsia="Batang"/>
          <w:sz w:val="22"/>
          <w:szCs w:val="22"/>
          <w:lang w:val="en-NZ" w:eastAsia="ko-KR"/>
        </w:rPr>
        <w:t>1</w:t>
      </w:r>
      <w:r w:rsidRPr="004635E5">
        <w:rPr>
          <w:rFonts w:eastAsia="Batang"/>
          <w:sz w:val="22"/>
          <w:szCs w:val="22"/>
          <w:lang w:val="en-NZ" w:eastAsia="ko-KR"/>
        </w:rPr>
        <w:t>). Drift gill nets accounted for the highest catches of SFM during the early period but the catches have been predominantly from longline fisheries since 1993.</w:t>
      </w:r>
    </w:p>
    <w:p w14:paraId="0576A8EF" w14:textId="77777777" w:rsidR="003C41B9" w:rsidRPr="004635E5" w:rsidRDefault="003C41B9" w:rsidP="006633A8">
      <w:pPr>
        <w:autoSpaceDE w:val="0"/>
        <w:autoSpaceDN w:val="0"/>
        <w:adjustRightInd w:val="0"/>
        <w:snapToGrid w:val="0"/>
        <w:jc w:val="both"/>
        <w:rPr>
          <w:rFonts w:eastAsia="Batang"/>
          <w:sz w:val="22"/>
          <w:szCs w:val="22"/>
          <w:lang w:val="en-NZ" w:eastAsia="ko-KR"/>
        </w:rPr>
      </w:pPr>
    </w:p>
    <w:p w14:paraId="343B973E" w14:textId="77777777" w:rsidR="0041235F" w:rsidRPr="004635E5" w:rsidRDefault="0041235F"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Annual catch estimates were derived for a variety of fisheries by nation and gear. Catch and size composition data were grouped into 17 fisheries. Standardized catch-per-unit-effort (CPUE) data used to represent trends in relative abundance were provided by Japan, USA, Taiwan, and Mexico. The North Pacific SFM stock was assessed using a length-based statistical catch-at-age Stock Synthesis model (SS Version 3.24U), that was fit to time series of standardized CPUE and sex-specific size composition data. Sex-specific growth curves and weight-at-length were used to account for the sexual dimorphism of SFMs. A Beverton-Holt stock recruitment relationship was used to characterize productivity of the stock based on plausible life history information available for North Pacific SFMs. Models were fit to relative abundance indices and size composition data in a likelihood-based statistical framework. Maximum likelihood estimates of model parameters, derived outputs, and their variances of the base case model were used to characterize stock status. </w:t>
      </w:r>
    </w:p>
    <w:p w14:paraId="6D25E4C3" w14:textId="77777777" w:rsidR="003C41B9" w:rsidRPr="004635E5" w:rsidRDefault="003C41B9" w:rsidP="006633A8">
      <w:pPr>
        <w:autoSpaceDE w:val="0"/>
        <w:autoSpaceDN w:val="0"/>
        <w:adjustRightInd w:val="0"/>
        <w:snapToGrid w:val="0"/>
        <w:jc w:val="both"/>
        <w:rPr>
          <w:rFonts w:eastAsia="Batang"/>
          <w:sz w:val="22"/>
          <w:szCs w:val="22"/>
          <w:lang w:val="en-NZ" w:eastAsia="ko-KR"/>
        </w:rPr>
      </w:pPr>
    </w:p>
    <w:p w14:paraId="61C5F25E" w14:textId="77777777" w:rsidR="0041235F" w:rsidRPr="004635E5" w:rsidRDefault="0041235F"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Input parameter values and model structure for the base case model were chosen based on the best available information regarding the life history of SFMs, knowledge of the historical catch time series and existing fishery data, and model fit and diagnostic (Figure </w:t>
      </w:r>
      <w:r w:rsidR="00937EEE">
        <w:rPr>
          <w:rFonts w:eastAsia="Batang"/>
          <w:sz w:val="22"/>
          <w:szCs w:val="22"/>
          <w:lang w:val="en-NZ" w:eastAsia="ko-KR"/>
        </w:rPr>
        <w:t>SFM-2</w:t>
      </w:r>
      <w:r w:rsidRPr="004635E5">
        <w:rPr>
          <w:rFonts w:eastAsia="Batang"/>
          <w:sz w:val="22"/>
          <w:szCs w:val="22"/>
          <w:lang w:val="en-NZ" w:eastAsia="ko-KR"/>
        </w:rPr>
        <w:t>). Due to uncertainty in the input data and life history parameters, multiple models were run with alternative data and/or parameters including the abundance indices used in the analyses, initial catch level, natural mortality schedule, and the stock recruitment relationship. Numerous models representing different combinations of input datasets and structural model hypotheses were used to assess the influence of these uncertainties on biomass trends and fishing intensity levels for the North Pacific SFM. The key uncertainties in this assessment were related to the catch time series, especially in the early period (1975-1993), the precision of the early Japan shallow-set CPUE index (1975-1993), initial conditions, and the stock recruitment relationship. Six models representing these key uncertainties were developed to examine the status of the North Pacific SFM stock under alternative states of nature:</w:t>
      </w:r>
    </w:p>
    <w:p w14:paraId="01EFDEC9" w14:textId="77777777" w:rsidR="00F46AB9" w:rsidRPr="004635E5" w:rsidRDefault="00F46AB9" w:rsidP="006633A8">
      <w:pPr>
        <w:autoSpaceDE w:val="0"/>
        <w:autoSpaceDN w:val="0"/>
        <w:adjustRightInd w:val="0"/>
        <w:snapToGrid w:val="0"/>
        <w:jc w:val="both"/>
        <w:rPr>
          <w:rFonts w:eastAsia="Batang"/>
          <w:sz w:val="22"/>
          <w:szCs w:val="22"/>
          <w:lang w:val="en-NZ" w:eastAsia="ko-KR"/>
        </w:rPr>
      </w:pPr>
    </w:p>
    <w:p w14:paraId="6A42884E" w14:textId="77777777" w:rsidR="0041235F" w:rsidRPr="004635E5" w:rsidRDefault="0041235F" w:rsidP="00580EA4">
      <w:pPr>
        <w:numPr>
          <w:ilvl w:val="0"/>
          <w:numId w:val="42"/>
        </w:numPr>
        <w:adjustRightInd w:val="0"/>
        <w:snapToGrid w:val="0"/>
        <w:ind w:left="720"/>
        <w:jc w:val="both"/>
        <w:rPr>
          <w:rFonts w:eastAsia="MS Mincho"/>
          <w:sz w:val="22"/>
          <w:szCs w:val="22"/>
        </w:rPr>
      </w:pPr>
      <w:r w:rsidRPr="004635E5">
        <w:rPr>
          <w:rFonts w:eastAsia="MS Mincho"/>
          <w:sz w:val="22"/>
          <w:szCs w:val="22"/>
        </w:rPr>
        <w:t>Higher catch: Total catch is 50% and 20% higher for the early (1975-1993) and late (1993-2016) periods, respectively;</w:t>
      </w:r>
    </w:p>
    <w:p w14:paraId="1573F687" w14:textId="77777777" w:rsidR="0041235F" w:rsidRPr="004635E5" w:rsidRDefault="0041235F" w:rsidP="00580EA4">
      <w:pPr>
        <w:numPr>
          <w:ilvl w:val="0"/>
          <w:numId w:val="42"/>
        </w:numPr>
        <w:adjustRightInd w:val="0"/>
        <w:snapToGrid w:val="0"/>
        <w:ind w:left="720"/>
        <w:jc w:val="both"/>
        <w:rPr>
          <w:rFonts w:eastAsia="MS Mincho"/>
          <w:sz w:val="22"/>
          <w:szCs w:val="22"/>
        </w:rPr>
      </w:pPr>
      <w:r w:rsidRPr="004635E5">
        <w:rPr>
          <w:rFonts w:eastAsia="MS Mincho"/>
          <w:sz w:val="22"/>
          <w:szCs w:val="22"/>
        </w:rPr>
        <w:t>Lower catch: Total catch is 50% and 20% lower for the early (1975-1993) and late (1993-2016) periods, respectively;</w:t>
      </w:r>
    </w:p>
    <w:p w14:paraId="1CC54986" w14:textId="77777777" w:rsidR="0041235F" w:rsidRPr="004635E5" w:rsidRDefault="0041235F" w:rsidP="00580EA4">
      <w:pPr>
        <w:numPr>
          <w:ilvl w:val="0"/>
          <w:numId w:val="42"/>
        </w:numPr>
        <w:adjustRightInd w:val="0"/>
        <w:snapToGrid w:val="0"/>
        <w:ind w:left="720"/>
        <w:jc w:val="both"/>
        <w:rPr>
          <w:rFonts w:eastAsia="MS Mincho"/>
          <w:sz w:val="22"/>
          <w:szCs w:val="22"/>
        </w:rPr>
      </w:pPr>
      <w:r w:rsidRPr="004635E5">
        <w:rPr>
          <w:rFonts w:eastAsia="MS Mincho"/>
          <w:sz w:val="22"/>
          <w:szCs w:val="22"/>
        </w:rPr>
        <w:t>Higher uncertainty on index: Average CV of Japan shallow-set CPUE index (1975-1993) is 0.3;</w:t>
      </w:r>
    </w:p>
    <w:p w14:paraId="57A26129" w14:textId="77777777" w:rsidR="0041235F" w:rsidRPr="004635E5" w:rsidRDefault="0041235F" w:rsidP="00580EA4">
      <w:pPr>
        <w:numPr>
          <w:ilvl w:val="0"/>
          <w:numId w:val="42"/>
        </w:numPr>
        <w:adjustRightInd w:val="0"/>
        <w:snapToGrid w:val="0"/>
        <w:ind w:left="720"/>
        <w:jc w:val="both"/>
        <w:rPr>
          <w:rFonts w:eastAsia="MS Mincho"/>
          <w:sz w:val="22"/>
          <w:szCs w:val="22"/>
        </w:rPr>
      </w:pPr>
      <w:r w:rsidRPr="004635E5">
        <w:rPr>
          <w:rFonts w:eastAsia="MS Mincho"/>
          <w:sz w:val="22"/>
          <w:szCs w:val="22"/>
        </w:rPr>
        <w:t>Initial conditions: Initial conditions were estimated without fitting to initial equilibrium catch estimated outside the model, and fit to S9_JPN_SS_I and S1_US_SS indices;</w:t>
      </w:r>
    </w:p>
    <w:p w14:paraId="0B7646AD" w14:textId="77777777" w:rsidR="0041235F" w:rsidRPr="004635E5" w:rsidRDefault="0041235F" w:rsidP="00580EA4">
      <w:pPr>
        <w:numPr>
          <w:ilvl w:val="0"/>
          <w:numId w:val="42"/>
        </w:numPr>
        <w:adjustRightInd w:val="0"/>
        <w:snapToGrid w:val="0"/>
        <w:ind w:left="720"/>
        <w:jc w:val="both"/>
        <w:rPr>
          <w:rFonts w:eastAsia="MS Mincho"/>
          <w:sz w:val="22"/>
          <w:szCs w:val="22"/>
        </w:rPr>
      </w:pPr>
      <w:r w:rsidRPr="004635E5">
        <w:rPr>
          <w:rFonts w:eastAsia="MS Mincho"/>
          <w:sz w:val="22"/>
          <w:szCs w:val="22"/>
        </w:rPr>
        <w:t>Lower steepness: A lower value was assumed for the steepness parameter (0.260);</w:t>
      </w:r>
    </w:p>
    <w:p w14:paraId="53821A16" w14:textId="77777777" w:rsidR="0041235F" w:rsidRPr="004635E5" w:rsidRDefault="0041235F" w:rsidP="00580EA4">
      <w:pPr>
        <w:numPr>
          <w:ilvl w:val="0"/>
          <w:numId w:val="42"/>
        </w:numPr>
        <w:adjustRightInd w:val="0"/>
        <w:snapToGrid w:val="0"/>
        <w:ind w:left="720"/>
        <w:jc w:val="both"/>
        <w:rPr>
          <w:rFonts w:eastAsia="MS Mincho"/>
          <w:sz w:val="22"/>
          <w:szCs w:val="22"/>
        </w:rPr>
      </w:pPr>
      <w:r w:rsidRPr="004635E5">
        <w:rPr>
          <w:rFonts w:eastAsia="MS Mincho"/>
          <w:sz w:val="22"/>
          <w:szCs w:val="22"/>
        </w:rPr>
        <w:t>Higher steepness: A higher value was assumed for the steepness parameter (0.372).</w:t>
      </w:r>
    </w:p>
    <w:p w14:paraId="412FA385" w14:textId="77777777" w:rsidR="0041235F" w:rsidRPr="004635E5" w:rsidRDefault="0041235F" w:rsidP="006633A8">
      <w:pPr>
        <w:adjustRightInd w:val="0"/>
        <w:snapToGrid w:val="0"/>
        <w:jc w:val="both"/>
        <w:rPr>
          <w:rFonts w:eastAsia="MS Mincho"/>
          <w:sz w:val="22"/>
          <w:szCs w:val="22"/>
        </w:rPr>
      </w:pPr>
    </w:p>
    <w:p w14:paraId="5BA103E0" w14:textId="77777777" w:rsidR="0041235F" w:rsidRPr="004635E5" w:rsidRDefault="0041235F"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The current assessment provides the best scientific information available on North Pacific shortfin mako shark stock status. Results from this assessment should be considered with respect to the management objectives of the Western and Central Pacific Fisheries Commission (WCPFC) and the Inter-American Tropical Tuna Commission (IATTC), the organizations responsible for management of pelagic sharks caught in international fisheries for tuna and tuna-like species in the Pacific Ocean. Target and limit reference points have not been established for pelagic sharks in the Pacific Ocean. In this assessment, stock status is reported in relation to maximum sustainable yield (MSY). </w:t>
      </w:r>
    </w:p>
    <w:p w14:paraId="4B1E8B0E" w14:textId="77777777" w:rsidR="00270656" w:rsidRPr="004635E5" w:rsidRDefault="00270656" w:rsidP="006633A8">
      <w:pPr>
        <w:autoSpaceDE w:val="0"/>
        <w:autoSpaceDN w:val="0"/>
        <w:adjustRightInd w:val="0"/>
        <w:snapToGrid w:val="0"/>
        <w:jc w:val="both"/>
        <w:rPr>
          <w:rFonts w:eastAsia="Batang"/>
          <w:sz w:val="22"/>
          <w:szCs w:val="22"/>
          <w:lang w:val="en-NZ" w:eastAsia="ko-KR"/>
        </w:rPr>
      </w:pPr>
    </w:p>
    <w:p w14:paraId="6DC97A64" w14:textId="77777777" w:rsidR="0041235F" w:rsidRPr="004635E5" w:rsidRDefault="0041235F"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In this assessment, the reproductive capacity of this population was calculated as spawning abundance (SA; i.e. number of mature female sharks) rather than spawning biomass, because the size of mature female sharks did not appear to affect the number of pups produced (i.e., larger female sharks did not produce more pups). Spawning potential ratio (SPR) was used to describe the impact of fishing on this stock. The SPR of this population is the ratio of SA per recruit under fishing to the SA per recruit under virgin (or unfished) conditions. Therefore, 1-SPR is the reduction in the SA per recruit due to fishing and can be used to describe the overall impact of fishing on a fish stock.</w:t>
      </w:r>
    </w:p>
    <w:p w14:paraId="65693427" w14:textId="77777777" w:rsidR="00656FD8" w:rsidRPr="004635E5" w:rsidRDefault="00656FD8" w:rsidP="006633A8">
      <w:pPr>
        <w:autoSpaceDE w:val="0"/>
        <w:autoSpaceDN w:val="0"/>
        <w:adjustRightInd w:val="0"/>
        <w:snapToGrid w:val="0"/>
        <w:jc w:val="both"/>
        <w:rPr>
          <w:rFonts w:eastAsia="Batang"/>
          <w:sz w:val="22"/>
          <w:szCs w:val="22"/>
          <w:lang w:val="en-NZ" w:eastAsia="ko-KR"/>
        </w:rPr>
      </w:pPr>
    </w:p>
    <w:p w14:paraId="1002B6AE" w14:textId="77777777" w:rsidR="0041235F" w:rsidRPr="004635E5" w:rsidRDefault="0041235F"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Recruitment was estimated on average to be 1.1 million age-0 sharks during the modeling timeframe (1975-2016) (Figure </w:t>
      </w:r>
      <w:r w:rsidR="00937EEE">
        <w:rPr>
          <w:rFonts w:eastAsia="Batang"/>
          <w:sz w:val="22"/>
          <w:szCs w:val="22"/>
          <w:lang w:val="en-NZ" w:eastAsia="ko-KR"/>
        </w:rPr>
        <w:t>SFM-3</w:t>
      </w:r>
      <w:r w:rsidRPr="004635E5">
        <w:rPr>
          <w:rFonts w:eastAsia="Batang"/>
          <w:sz w:val="22"/>
          <w:szCs w:val="22"/>
          <w:lang w:val="en-NZ" w:eastAsia="ko-KR"/>
        </w:rPr>
        <w:t>). During the same period, the SA was estimated, on average, to be 910,000 sharks (</w:t>
      </w:r>
      <w:r w:rsidR="00937EEE">
        <w:rPr>
          <w:rFonts w:eastAsia="Batang"/>
          <w:sz w:val="22"/>
          <w:szCs w:val="22"/>
          <w:lang w:val="en-NZ" w:eastAsia="ko-KR"/>
        </w:rPr>
        <w:t>Figure SFM-4</w:t>
      </w:r>
      <w:r w:rsidRPr="004635E5">
        <w:rPr>
          <w:rFonts w:eastAsia="Batang"/>
          <w:sz w:val="22"/>
          <w:szCs w:val="22"/>
          <w:lang w:val="en-NZ" w:eastAsia="ko-KR"/>
        </w:rPr>
        <w:t xml:space="preserve">). The current SA (SA2016) was estimated to be 860,200 sharks (CV=46%) (Table </w:t>
      </w:r>
      <w:r w:rsidR="00937EEE">
        <w:rPr>
          <w:rFonts w:eastAsia="Batang"/>
          <w:sz w:val="22"/>
          <w:szCs w:val="22"/>
          <w:lang w:val="en-NZ" w:eastAsia="ko-KR"/>
        </w:rPr>
        <w:t>SFM-1</w:t>
      </w:r>
      <w:r w:rsidRPr="004635E5">
        <w:rPr>
          <w:rFonts w:eastAsia="Batang"/>
          <w:sz w:val="22"/>
          <w:szCs w:val="22"/>
          <w:lang w:val="en-NZ" w:eastAsia="ko-KR"/>
        </w:rPr>
        <w:t xml:space="preserve">) and was 36% (CV=30%) higher than the estimated SA at MSY (SAMSY) (Table </w:t>
      </w:r>
      <w:r w:rsidR="00937EEE">
        <w:rPr>
          <w:rFonts w:eastAsia="Batang"/>
          <w:sz w:val="22"/>
          <w:szCs w:val="22"/>
          <w:lang w:val="en-NZ" w:eastAsia="ko-KR"/>
        </w:rPr>
        <w:t>SFM-2</w:t>
      </w:r>
      <w:r w:rsidRPr="004635E5">
        <w:rPr>
          <w:rFonts w:eastAsia="Batang"/>
          <w:sz w:val="22"/>
          <w:szCs w:val="22"/>
          <w:lang w:val="en-NZ" w:eastAsia="ko-KR"/>
        </w:rPr>
        <w:t xml:space="preserve">, </w:t>
      </w:r>
      <w:r w:rsidR="00937EEE">
        <w:rPr>
          <w:rFonts w:eastAsia="Batang"/>
          <w:sz w:val="22"/>
          <w:szCs w:val="22"/>
          <w:lang w:val="en-NZ" w:eastAsia="ko-KR"/>
        </w:rPr>
        <w:t>Figure SFM-4</w:t>
      </w:r>
      <w:r w:rsidRPr="004635E5">
        <w:rPr>
          <w:rFonts w:eastAsia="Batang"/>
          <w:sz w:val="22"/>
          <w:szCs w:val="22"/>
          <w:lang w:val="en-NZ" w:eastAsia="ko-KR"/>
        </w:rPr>
        <w:t xml:space="preserve">). The recent annual fishing intensity (1-SPR2013-2015) was estimated to be 0.16 (CV=38%) and was 62% (CV=38%) of fishing intensity at MSY (1-SPRMSY; 0.26) (Table </w:t>
      </w:r>
      <w:r w:rsidR="00937EEE">
        <w:rPr>
          <w:rFonts w:eastAsia="Batang"/>
          <w:sz w:val="22"/>
          <w:szCs w:val="22"/>
          <w:lang w:val="en-NZ" w:eastAsia="ko-KR"/>
        </w:rPr>
        <w:t>SFM-2</w:t>
      </w:r>
      <w:r w:rsidRPr="004635E5">
        <w:rPr>
          <w:rFonts w:eastAsia="Batang"/>
          <w:sz w:val="22"/>
          <w:szCs w:val="22"/>
          <w:lang w:val="en-NZ" w:eastAsia="ko-KR"/>
        </w:rPr>
        <w:t xml:space="preserve">; </w:t>
      </w:r>
      <w:r w:rsidR="00937EEE">
        <w:rPr>
          <w:rFonts w:eastAsia="Batang"/>
          <w:sz w:val="22"/>
          <w:szCs w:val="22"/>
          <w:lang w:val="en-NZ" w:eastAsia="ko-KR"/>
        </w:rPr>
        <w:t>Figure SFM-5</w:t>
      </w:r>
      <w:r w:rsidRPr="004635E5">
        <w:rPr>
          <w:rFonts w:eastAsia="Batang"/>
          <w:sz w:val="22"/>
          <w:szCs w:val="22"/>
          <w:lang w:val="en-NZ" w:eastAsia="ko-KR"/>
        </w:rPr>
        <w:t xml:space="preserve">). The results from the base case model show that, relative to MSY, the North Pacific shortfin mako stock is likely (&gt;50%) not in an overfished condition (i.e. </w:t>
      </w:r>
      <m:oMath>
        <m:f>
          <m:fPr>
            <m:ctrlPr>
              <w:rPr>
                <w:rFonts w:ascii="Cambria Math" w:eastAsia="Batang" w:hAnsi="Cambria Math"/>
                <w:sz w:val="22"/>
                <w:szCs w:val="22"/>
                <w:lang w:val="en-NZ" w:eastAsia="ko-KR"/>
              </w:rPr>
            </m:ctrlPr>
          </m:fPr>
          <m:num>
            <m:sSub>
              <m:sSubPr>
                <m:ctrlPr>
                  <w:rPr>
                    <w:rFonts w:ascii="Cambria Math" w:eastAsia="Batang" w:hAnsi="Cambria Math"/>
                    <w:sz w:val="22"/>
                    <w:szCs w:val="22"/>
                    <w:lang w:val="en-NZ" w:eastAsia="ko-KR"/>
                  </w:rPr>
                </m:ctrlPr>
              </m:sSubPr>
              <m:e>
                <m:r>
                  <m:rPr>
                    <m:sty m:val="p"/>
                  </m:rPr>
                  <w:rPr>
                    <w:rFonts w:ascii="Cambria Math" w:eastAsia="Batang" w:hAnsi="Cambria Math"/>
                    <w:sz w:val="22"/>
                    <w:szCs w:val="22"/>
                    <w:lang w:val="en-NZ" w:eastAsia="ko-KR"/>
                  </w:rPr>
                  <m:t>SA</m:t>
                </m:r>
              </m:e>
              <m:sub>
                <m:r>
                  <m:rPr>
                    <m:sty m:val="p"/>
                  </m:rPr>
                  <w:rPr>
                    <w:rFonts w:ascii="Cambria Math" w:eastAsia="Batang" w:hAnsi="Cambria Math"/>
                    <w:sz w:val="22"/>
                    <w:szCs w:val="22"/>
                    <w:lang w:val="en-NZ" w:eastAsia="ko-KR"/>
                  </w:rPr>
                  <m:t>2016</m:t>
                </m:r>
              </m:sub>
            </m:sSub>
          </m:num>
          <m:den>
            <m:sSub>
              <m:sSubPr>
                <m:ctrlPr>
                  <w:rPr>
                    <w:rFonts w:ascii="Cambria Math" w:eastAsia="Batang" w:hAnsi="Cambria Math"/>
                    <w:sz w:val="22"/>
                    <w:szCs w:val="22"/>
                    <w:lang w:val="en-NZ" w:eastAsia="ko-KR"/>
                  </w:rPr>
                </m:ctrlPr>
              </m:sSubPr>
              <m:e>
                <m:r>
                  <m:rPr>
                    <m:sty m:val="p"/>
                  </m:rPr>
                  <w:rPr>
                    <w:rFonts w:ascii="Cambria Math" w:eastAsia="Batang" w:hAnsi="Cambria Math"/>
                    <w:sz w:val="22"/>
                    <w:szCs w:val="22"/>
                    <w:lang w:val="en-NZ" w:eastAsia="ko-KR"/>
                  </w:rPr>
                  <m:t>SA</m:t>
                </m:r>
              </m:e>
              <m:sub>
                <m:r>
                  <m:rPr>
                    <m:sty m:val="p"/>
                  </m:rPr>
                  <w:rPr>
                    <w:rFonts w:ascii="Cambria Math" w:eastAsia="Batang" w:hAnsi="Cambria Math"/>
                    <w:sz w:val="22"/>
                    <w:szCs w:val="22"/>
                    <w:lang w:val="en-NZ" w:eastAsia="ko-KR"/>
                  </w:rPr>
                  <m:t>MSY</m:t>
                </m:r>
              </m:sub>
            </m:sSub>
          </m:den>
        </m:f>
      </m:oMath>
      <w:r w:rsidRPr="004635E5">
        <w:rPr>
          <w:rFonts w:eastAsia="Batang"/>
          <w:sz w:val="22"/>
          <w:szCs w:val="22"/>
          <w:lang w:val="en-NZ" w:eastAsia="ko-KR"/>
        </w:rPr>
        <w:t xml:space="preserve"> &gt; 1) and overfishing is likely (&gt;50%) not occurring</w:t>
      </w:r>
      <w:r w:rsidR="00F81EF0">
        <w:rPr>
          <w:rFonts w:eastAsia="Batang"/>
          <w:sz w:val="22"/>
          <w:szCs w:val="22"/>
          <w:lang w:val="en-NZ" w:eastAsia="ko-KR"/>
        </w:rPr>
        <w:t xml:space="preserve"> </w:t>
      </w:r>
      <w:r w:rsidRPr="004635E5">
        <w:rPr>
          <w:rFonts w:eastAsia="Batang"/>
          <w:sz w:val="22"/>
          <w:szCs w:val="22"/>
          <w:lang w:val="en-NZ" w:eastAsia="ko-KR"/>
        </w:rPr>
        <w:t xml:space="preserve">(i.e. </w:t>
      </w:r>
      <m:oMath>
        <m:f>
          <m:fPr>
            <m:ctrlPr>
              <w:rPr>
                <w:rFonts w:ascii="Cambria Math" w:eastAsia="Batang" w:hAnsi="Cambria Math"/>
                <w:sz w:val="22"/>
                <w:szCs w:val="22"/>
                <w:lang w:val="en-NZ" w:eastAsia="ko-KR"/>
              </w:rPr>
            </m:ctrlPr>
          </m:fPr>
          <m:num>
            <m:sSub>
              <m:sSubPr>
                <m:ctrlPr>
                  <w:rPr>
                    <w:rFonts w:ascii="Cambria Math" w:eastAsia="Batang" w:hAnsi="Cambria Math"/>
                    <w:sz w:val="22"/>
                    <w:szCs w:val="22"/>
                    <w:lang w:val="en-NZ" w:eastAsia="ko-KR"/>
                  </w:rPr>
                </m:ctrlPr>
              </m:sSubPr>
              <m:e>
                <m:r>
                  <m:rPr>
                    <m:sty m:val="p"/>
                  </m:rPr>
                  <w:rPr>
                    <w:rFonts w:ascii="Cambria Math" w:eastAsia="Batang" w:hAnsi="Cambria Math"/>
                    <w:sz w:val="22"/>
                    <w:szCs w:val="22"/>
                    <w:lang w:val="en-NZ" w:eastAsia="ko-KR"/>
                  </w:rPr>
                  <m:t>1-SPR</m:t>
                </m:r>
              </m:e>
              <m:sub>
                <m:r>
                  <m:rPr>
                    <m:sty m:val="p"/>
                  </m:rPr>
                  <w:rPr>
                    <w:rFonts w:ascii="Cambria Math" w:eastAsia="Batang" w:hAnsi="Cambria Math"/>
                    <w:sz w:val="22"/>
                    <w:szCs w:val="22"/>
                    <w:lang w:val="en-NZ" w:eastAsia="ko-KR"/>
                  </w:rPr>
                  <m:t>2013-2015</m:t>
                </m:r>
              </m:sub>
            </m:sSub>
          </m:num>
          <m:den>
            <m:sSub>
              <m:sSubPr>
                <m:ctrlPr>
                  <w:rPr>
                    <w:rFonts w:ascii="Cambria Math" w:eastAsia="Batang" w:hAnsi="Cambria Math"/>
                    <w:sz w:val="22"/>
                    <w:szCs w:val="22"/>
                    <w:lang w:val="en-NZ" w:eastAsia="ko-KR"/>
                  </w:rPr>
                </m:ctrlPr>
              </m:sSubPr>
              <m:e>
                <m:r>
                  <m:rPr>
                    <m:sty m:val="p"/>
                  </m:rPr>
                  <w:rPr>
                    <w:rFonts w:ascii="Cambria Math" w:eastAsia="Batang" w:hAnsi="Cambria Math"/>
                    <w:sz w:val="22"/>
                    <w:szCs w:val="22"/>
                    <w:lang w:val="en-NZ" w:eastAsia="ko-KR"/>
                  </w:rPr>
                  <m:t>1-SPR</m:t>
                </m:r>
              </m:e>
              <m:sub>
                <m:r>
                  <m:rPr>
                    <m:sty m:val="p"/>
                  </m:rPr>
                  <w:rPr>
                    <w:rFonts w:ascii="Cambria Math" w:eastAsia="Batang" w:hAnsi="Cambria Math"/>
                    <w:sz w:val="22"/>
                    <w:szCs w:val="22"/>
                    <w:lang w:val="en-NZ" w:eastAsia="ko-KR"/>
                  </w:rPr>
                  <m:t>MSY</m:t>
                </m:r>
              </m:sub>
            </m:sSub>
          </m:den>
        </m:f>
      </m:oMath>
      <w:r w:rsidRPr="004635E5">
        <w:rPr>
          <w:rFonts w:eastAsia="Batang"/>
          <w:sz w:val="22"/>
          <w:szCs w:val="22"/>
          <w:lang w:val="en-NZ" w:eastAsia="ko-KR"/>
        </w:rPr>
        <w:t xml:space="preserve"> &lt; 1) (</w:t>
      </w:r>
      <w:r w:rsidR="00937EEE">
        <w:rPr>
          <w:rFonts w:eastAsia="Batang"/>
          <w:sz w:val="22"/>
          <w:szCs w:val="22"/>
          <w:lang w:val="en-NZ" w:eastAsia="ko-KR"/>
        </w:rPr>
        <w:t>Figure SFM-6</w:t>
      </w:r>
      <w:r w:rsidRPr="004635E5">
        <w:rPr>
          <w:rFonts w:eastAsia="Batang"/>
          <w:sz w:val="22"/>
          <w:szCs w:val="22"/>
          <w:lang w:val="en-NZ" w:eastAsia="ko-KR"/>
        </w:rPr>
        <w:t>).</w:t>
      </w:r>
    </w:p>
    <w:p w14:paraId="5326E403" w14:textId="77777777" w:rsidR="00153D6E" w:rsidRPr="004635E5" w:rsidRDefault="00153D6E" w:rsidP="006633A8">
      <w:pPr>
        <w:autoSpaceDE w:val="0"/>
        <w:autoSpaceDN w:val="0"/>
        <w:adjustRightInd w:val="0"/>
        <w:snapToGrid w:val="0"/>
        <w:jc w:val="both"/>
        <w:rPr>
          <w:rFonts w:eastAsia="Batang"/>
          <w:sz w:val="22"/>
          <w:szCs w:val="22"/>
          <w:lang w:val="en-NZ" w:eastAsia="ko-KR"/>
        </w:rPr>
      </w:pPr>
    </w:p>
    <w:p w14:paraId="160626C7" w14:textId="77777777" w:rsidR="0041235F" w:rsidRPr="004635E5" w:rsidRDefault="0041235F"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Besides the base case model, stock status was also examined under the six alternative states of nature outlined above, which represent the most important sources of uncertainty in the assessment. Results of these models with alternative states of nature were consistent with the base case model and showed that, relative to MSY, the stock is likely (&gt;50%) not in an overfished condition and overfishing is likely (&gt;50%) not occurring (</w:t>
      </w:r>
      <w:r w:rsidR="002740AE">
        <w:rPr>
          <w:rFonts w:eastAsia="Batang"/>
          <w:sz w:val="22"/>
          <w:szCs w:val="22"/>
          <w:lang w:val="en-NZ" w:eastAsia="ko-KR"/>
        </w:rPr>
        <w:t>Figure SFM-7</w:t>
      </w:r>
      <w:r w:rsidRPr="004635E5">
        <w:rPr>
          <w:rFonts w:eastAsia="Batang"/>
          <w:sz w:val="22"/>
          <w:szCs w:val="22"/>
          <w:lang w:val="en-NZ" w:eastAsia="ko-KR"/>
        </w:rPr>
        <w:t xml:space="preserve">, Table </w:t>
      </w:r>
      <w:r w:rsidR="00937EEE">
        <w:rPr>
          <w:rFonts w:eastAsia="Batang"/>
          <w:sz w:val="22"/>
          <w:szCs w:val="22"/>
          <w:lang w:val="en-NZ" w:eastAsia="ko-KR"/>
        </w:rPr>
        <w:t>SFM-3</w:t>
      </w:r>
      <w:r w:rsidRPr="004635E5">
        <w:rPr>
          <w:rFonts w:eastAsia="Batang"/>
          <w:sz w:val="22"/>
          <w:szCs w:val="22"/>
          <w:lang w:val="en-NZ" w:eastAsia="ko-KR"/>
        </w:rPr>
        <w:t>).</w:t>
      </w:r>
    </w:p>
    <w:p w14:paraId="050A520D" w14:textId="77777777" w:rsidR="00EE6CCB" w:rsidRPr="004635E5" w:rsidRDefault="00EE6CCB" w:rsidP="006633A8">
      <w:pPr>
        <w:autoSpaceDE w:val="0"/>
        <w:autoSpaceDN w:val="0"/>
        <w:adjustRightInd w:val="0"/>
        <w:snapToGrid w:val="0"/>
        <w:jc w:val="both"/>
        <w:rPr>
          <w:rFonts w:eastAsia="Batang"/>
          <w:sz w:val="22"/>
          <w:szCs w:val="22"/>
          <w:lang w:val="en-NZ" w:eastAsia="ko-KR"/>
        </w:rPr>
      </w:pPr>
    </w:p>
    <w:p w14:paraId="77FA6136" w14:textId="77777777" w:rsidR="0041235F" w:rsidRPr="004635E5" w:rsidRDefault="0041235F" w:rsidP="00580EA4">
      <w:pPr>
        <w:numPr>
          <w:ilvl w:val="0"/>
          <w:numId w:val="18"/>
        </w:numPr>
        <w:autoSpaceDE w:val="0"/>
        <w:autoSpaceDN w:val="0"/>
        <w:adjustRightInd w:val="0"/>
        <w:snapToGrid w:val="0"/>
        <w:ind w:left="0" w:firstLine="0"/>
        <w:jc w:val="both"/>
        <w:rPr>
          <w:rFonts w:eastAsia="MS Mincho"/>
          <w:sz w:val="22"/>
          <w:szCs w:val="22"/>
        </w:rPr>
      </w:pPr>
      <w:r w:rsidRPr="004635E5">
        <w:rPr>
          <w:rFonts w:eastAsia="Batang"/>
          <w:sz w:val="22"/>
          <w:szCs w:val="22"/>
          <w:lang w:val="en-NZ" w:eastAsia="ko-KR"/>
        </w:rPr>
        <w:t>Future projections over a 10-year period (2017-2026) were performed under three constant fishing intensity scenarios: 1) average of 2013-2015 (F</w:t>
      </w:r>
      <w:r w:rsidRPr="004635E5">
        <w:rPr>
          <w:rFonts w:eastAsia="Batang"/>
          <w:sz w:val="22"/>
          <w:szCs w:val="22"/>
          <w:vertAlign w:val="subscript"/>
          <w:lang w:val="en-NZ" w:eastAsia="ko-KR"/>
        </w:rPr>
        <w:t>2013-2015</w:t>
      </w:r>
      <w:r w:rsidRPr="004635E5">
        <w:rPr>
          <w:rFonts w:eastAsia="Batang"/>
          <w:sz w:val="22"/>
          <w:szCs w:val="22"/>
          <w:lang w:val="en-NZ" w:eastAsia="ko-KR"/>
        </w:rPr>
        <w:t>); 2) F</w:t>
      </w:r>
      <w:r w:rsidRPr="004635E5">
        <w:rPr>
          <w:rFonts w:eastAsia="Batang"/>
          <w:sz w:val="22"/>
          <w:szCs w:val="22"/>
          <w:vertAlign w:val="subscript"/>
          <w:lang w:val="en-NZ" w:eastAsia="ko-KR"/>
        </w:rPr>
        <w:t>2013-2015</w:t>
      </w:r>
      <w:r w:rsidRPr="004635E5">
        <w:rPr>
          <w:rFonts w:eastAsia="Batang"/>
          <w:sz w:val="22"/>
          <w:szCs w:val="22"/>
          <w:lang w:val="en-NZ" w:eastAsia="ko-KR"/>
        </w:rPr>
        <w:t xml:space="preserve"> + 20%; and 3) F</w:t>
      </w:r>
      <w:r w:rsidRPr="004635E5">
        <w:rPr>
          <w:rFonts w:eastAsia="Batang"/>
          <w:sz w:val="22"/>
          <w:szCs w:val="22"/>
          <w:vertAlign w:val="subscript"/>
          <w:lang w:val="en-NZ" w:eastAsia="ko-KR"/>
        </w:rPr>
        <w:t>2013-2015</w:t>
      </w:r>
      <w:r w:rsidRPr="004635E5">
        <w:rPr>
          <w:rFonts w:eastAsia="Batang"/>
          <w:sz w:val="22"/>
          <w:szCs w:val="22"/>
          <w:lang w:val="en-NZ" w:eastAsia="ko-KR"/>
        </w:rPr>
        <w:t xml:space="preserve"> - 20%</w:t>
      </w:r>
      <w:r w:rsidR="00A16680" w:rsidRPr="004635E5">
        <w:rPr>
          <w:rFonts w:eastAsia="Batang"/>
          <w:sz w:val="22"/>
          <w:szCs w:val="22"/>
          <w:lang w:val="en-NZ" w:eastAsia="ko-KR"/>
        </w:rPr>
        <w:t xml:space="preserve">. </w:t>
      </w:r>
      <w:r w:rsidRPr="004635E5">
        <w:rPr>
          <w:rFonts w:eastAsia="Batang"/>
          <w:sz w:val="22"/>
          <w:szCs w:val="22"/>
          <w:lang w:val="en-NZ" w:eastAsia="ko-KR"/>
        </w:rPr>
        <w:t>Based on these future projections, the SA is expected to increase gradually under scenarios 1 and 3, however, in scenario 2, the SA drops in the final years of the projection (</w:t>
      </w:r>
      <w:r w:rsidR="002740AE">
        <w:rPr>
          <w:rFonts w:eastAsia="Batang"/>
          <w:sz w:val="22"/>
          <w:szCs w:val="22"/>
          <w:lang w:val="en-NZ" w:eastAsia="ko-KR"/>
        </w:rPr>
        <w:t>Figure SFM-8</w:t>
      </w:r>
      <w:r w:rsidRPr="004635E5">
        <w:rPr>
          <w:rFonts w:eastAsia="Batang"/>
          <w:sz w:val="22"/>
          <w:szCs w:val="22"/>
          <w:lang w:val="en-NZ" w:eastAsia="ko-KR"/>
        </w:rPr>
        <w:t>). Based on these results, the SA is expected to increase gradually if fishing intensity remains constant or is decreased moderately relative to 2013-2015 levels. However, given the</w:t>
      </w:r>
      <w:r w:rsidRPr="004635E5">
        <w:rPr>
          <w:rFonts w:eastAsia="MS Mincho"/>
          <w:sz w:val="22"/>
          <w:szCs w:val="22"/>
        </w:rPr>
        <w:t xml:space="preserve"> uncertainty in fishery data and key biological processes within the model, especially the stock recruitment relationship, the models’ ability to project into the future is highly uncertain.</w:t>
      </w:r>
    </w:p>
    <w:p w14:paraId="5B704010" w14:textId="77777777" w:rsidR="00EE6CCB" w:rsidRPr="004635E5" w:rsidRDefault="00EE6CCB" w:rsidP="006633A8">
      <w:pPr>
        <w:adjustRightInd w:val="0"/>
        <w:snapToGrid w:val="0"/>
        <w:jc w:val="both"/>
        <w:rPr>
          <w:b/>
          <w:color w:val="000000"/>
          <w:sz w:val="22"/>
          <w:szCs w:val="22"/>
        </w:rPr>
      </w:pPr>
    </w:p>
    <w:p w14:paraId="7C5691EE" w14:textId="77777777" w:rsidR="0041235F" w:rsidRPr="004635E5" w:rsidRDefault="0041235F" w:rsidP="00580EA4">
      <w:pPr>
        <w:numPr>
          <w:ilvl w:val="0"/>
          <w:numId w:val="18"/>
        </w:numPr>
        <w:autoSpaceDE w:val="0"/>
        <w:autoSpaceDN w:val="0"/>
        <w:adjustRightInd w:val="0"/>
        <w:snapToGrid w:val="0"/>
        <w:ind w:left="0" w:firstLine="0"/>
        <w:jc w:val="both"/>
        <w:rPr>
          <w:color w:val="000000"/>
          <w:sz w:val="22"/>
          <w:szCs w:val="22"/>
        </w:rPr>
      </w:pPr>
      <w:r w:rsidRPr="004635E5">
        <w:rPr>
          <w:rFonts w:eastAsia="MS Mincho"/>
          <w:sz w:val="22"/>
          <w:szCs w:val="22"/>
        </w:rPr>
        <w:t>There is substantial uncertainty</w:t>
      </w:r>
      <w:r w:rsidRPr="004635E5">
        <w:rPr>
          <w:color w:val="000000"/>
          <w:sz w:val="22"/>
          <w:szCs w:val="22"/>
        </w:rPr>
        <w:t xml:space="preserve"> in the estimated historical catches of SFMs. Substantial time and effort was spent on estimating historical catch and more work remains to be conducted. In particular, the SHARKWG identified two future improvements that are critical: 1) identify all fisheries that catch SFMs in the NPO, such as are there any fisheries that catch SFM that may not have been identified by the SHARKWG; and 2) methods to estimate SFM catches should be improved, especially for the early period from 1975 to 1993.</w:t>
      </w:r>
    </w:p>
    <w:p w14:paraId="20295BC9" w14:textId="77777777" w:rsidR="009241FB" w:rsidRPr="004635E5" w:rsidRDefault="009241FB" w:rsidP="006633A8">
      <w:pPr>
        <w:autoSpaceDE w:val="0"/>
        <w:autoSpaceDN w:val="0"/>
        <w:adjustRightInd w:val="0"/>
        <w:snapToGrid w:val="0"/>
        <w:jc w:val="both"/>
        <w:rPr>
          <w:color w:val="000000"/>
          <w:sz w:val="22"/>
          <w:szCs w:val="22"/>
        </w:rPr>
      </w:pPr>
    </w:p>
    <w:p w14:paraId="6DB2FF77" w14:textId="77777777" w:rsidR="0041235F" w:rsidRPr="004635E5" w:rsidRDefault="006B5EBE" w:rsidP="006633A8">
      <w:pPr>
        <w:adjustRightInd w:val="0"/>
        <w:snapToGrid w:val="0"/>
        <w:jc w:val="both"/>
        <w:rPr>
          <w:rFonts w:eastAsia="MS Mincho"/>
          <w:b/>
          <w:sz w:val="22"/>
          <w:szCs w:val="22"/>
        </w:rPr>
      </w:pPr>
      <w:r w:rsidRPr="004635E5">
        <w:rPr>
          <w:rFonts w:eastAsia="MS Mincho"/>
          <w:b/>
          <w:noProof/>
          <w:sz w:val="22"/>
          <w:szCs w:val="22"/>
          <w:lang w:eastAsia="zh-CN" w:bidi="mn-Mong-CN"/>
        </w:rPr>
        <w:drawing>
          <wp:inline distT="0" distB="0" distL="0" distR="0" wp14:anchorId="03B1A41B" wp14:editId="50F16378">
            <wp:extent cx="5600700" cy="5670550"/>
            <wp:effectExtent l="0" t="0" r="0" b="6350"/>
            <wp:docPr id="26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tch2 landings stacked.png"/>
                    <pic:cNvPicPr/>
                  </pic:nvPicPr>
                  <pic:blipFill rotWithShape="1">
                    <a:blip r:embed="rId112" cstate="print">
                      <a:extLst>
                        <a:ext uri="{28A0092B-C50C-407E-A947-70E740481C1C}">
                          <a14:useLocalDpi xmlns:a14="http://schemas.microsoft.com/office/drawing/2010/main" val="0"/>
                        </a:ext>
                      </a:extLst>
                    </a:blip>
                    <a:srcRect t="4594" r="5769"/>
                    <a:stretch/>
                  </pic:blipFill>
                  <pic:spPr bwMode="auto">
                    <a:xfrm>
                      <a:off x="0" y="0"/>
                      <a:ext cx="5600700" cy="5670550"/>
                    </a:xfrm>
                    <a:prstGeom prst="rect">
                      <a:avLst/>
                    </a:prstGeom>
                    <a:ln>
                      <a:noFill/>
                    </a:ln>
                    <a:extLst>
                      <a:ext uri="{53640926-AAD7-44D8-BBD7-CCE9431645EC}">
                        <a14:shadowObscured xmlns:a14="http://schemas.microsoft.com/office/drawing/2010/main"/>
                      </a:ext>
                    </a:extLst>
                  </pic:spPr>
                </pic:pic>
              </a:graphicData>
            </a:graphic>
          </wp:inline>
        </w:drawing>
      </w:r>
      <w:r w:rsidR="0041235F" w:rsidRPr="004635E5">
        <w:rPr>
          <w:rFonts w:eastAsia="MS Mincho"/>
          <w:b/>
          <w:sz w:val="22"/>
          <w:szCs w:val="22"/>
        </w:rPr>
        <w:t xml:space="preserve">Figure </w:t>
      </w:r>
      <w:r w:rsidR="00937EEE">
        <w:rPr>
          <w:rFonts w:eastAsia="MS Mincho"/>
          <w:b/>
          <w:sz w:val="22"/>
          <w:szCs w:val="22"/>
        </w:rPr>
        <w:t>SFM-1</w:t>
      </w:r>
      <w:r w:rsidR="0041235F" w:rsidRPr="004635E5">
        <w:rPr>
          <w:rFonts w:eastAsia="MS Mincho"/>
          <w:sz w:val="22"/>
          <w:szCs w:val="22"/>
        </w:rPr>
        <w:t>. Total catch (total dead removals) of North Pacific shortfin mako shark by fishery (1975-2016).</w:t>
      </w:r>
    </w:p>
    <w:p w14:paraId="06FF6315" w14:textId="77777777" w:rsidR="0041235F" w:rsidRPr="004635E5" w:rsidRDefault="0041235F" w:rsidP="006633A8">
      <w:pPr>
        <w:adjustRightInd w:val="0"/>
        <w:snapToGrid w:val="0"/>
        <w:jc w:val="both"/>
        <w:rPr>
          <w:rFonts w:eastAsia="MS Mincho"/>
          <w:b/>
          <w:sz w:val="22"/>
          <w:szCs w:val="22"/>
        </w:rPr>
      </w:pPr>
    </w:p>
    <w:p w14:paraId="0E88D102" w14:textId="77777777" w:rsidR="0041235F" w:rsidRPr="004635E5" w:rsidRDefault="0041235F" w:rsidP="006633A8">
      <w:pPr>
        <w:adjustRightInd w:val="0"/>
        <w:snapToGrid w:val="0"/>
        <w:jc w:val="both"/>
        <w:rPr>
          <w:rFonts w:eastAsia="MS Mincho"/>
          <w:sz w:val="22"/>
          <w:szCs w:val="22"/>
        </w:rPr>
      </w:pPr>
      <w:r w:rsidRPr="004635E5">
        <w:rPr>
          <w:rFonts w:eastAsia="MS Mincho"/>
          <w:sz w:val="22"/>
          <w:szCs w:val="22"/>
        </w:rPr>
        <w:br w:type="page"/>
      </w:r>
    </w:p>
    <w:p w14:paraId="31C6EBEE" w14:textId="77777777" w:rsidR="0041235F" w:rsidRPr="004635E5" w:rsidRDefault="0041235F" w:rsidP="006633A8">
      <w:pPr>
        <w:adjustRightInd w:val="0"/>
        <w:snapToGrid w:val="0"/>
        <w:jc w:val="both"/>
        <w:rPr>
          <w:rFonts w:eastAsia="MS Mincho"/>
          <w:b/>
          <w:sz w:val="22"/>
          <w:szCs w:val="22"/>
        </w:rPr>
      </w:pPr>
      <w:r w:rsidRPr="004635E5">
        <w:rPr>
          <w:rFonts w:eastAsia="MS Mincho"/>
          <w:noProof/>
          <w:sz w:val="22"/>
          <w:szCs w:val="22"/>
          <w:lang w:eastAsia="zh-CN" w:bidi="mn-Mong-CN"/>
        </w:rPr>
        <w:drawing>
          <wp:inline distT="0" distB="0" distL="0" distR="0" wp14:anchorId="5781CD42" wp14:editId="29AC2E93">
            <wp:extent cx="5943600" cy="4016375"/>
            <wp:effectExtent l="0" t="0" r="0" b="3175"/>
            <wp:docPr id="270"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3755D7C3" w14:textId="77777777" w:rsidR="0041235F" w:rsidRPr="004635E5" w:rsidRDefault="0041235F" w:rsidP="006633A8">
      <w:pPr>
        <w:autoSpaceDE w:val="0"/>
        <w:autoSpaceDN w:val="0"/>
        <w:adjustRightInd w:val="0"/>
        <w:snapToGrid w:val="0"/>
        <w:jc w:val="both"/>
        <w:rPr>
          <w:rFonts w:eastAsia="PMingLiU"/>
          <w:b/>
          <w:sz w:val="22"/>
          <w:szCs w:val="22"/>
          <w:lang w:eastAsia="zh-TW"/>
        </w:rPr>
      </w:pPr>
      <w:bookmarkStart w:id="118" w:name="_Toc513541692"/>
      <w:bookmarkStart w:id="119" w:name="_Toc513542165"/>
    </w:p>
    <w:p w14:paraId="7343268F" w14:textId="77777777" w:rsidR="0041235F" w:rsidRPr="004635E5" w:rsidRDefault="0041235F" w:rsidP="006633A8">
      <w:pPr>
        <w:autoSpaceDE w:val="0"/>
        <w:autoSpaceDN w:val="0"/>
        <w:adjustRightInd w:val="0"/>
        <w:snapToGrid w:val="0"/>
        <w:jc w:val="both"/>
        <w:rPr>
          <w:rFonts w:eastAsia="PMingLiU"/>
          <w:sz w:val="22"/>
          <w:szCs w:val="22"/>
          <w:lang w:eastAsia="zh-TW"/>
        </w:rPr>
      </w:pPr>
      <w:r w:rsidRPr="004635E5">
        <w:rPr>
          <w:rFonts w:eastAsia="PMingLiU"/>
          <w:b/>
          <w:sz w:val="22"/>
          <w:szCs w:val="22"/>
          <w:lang w:eastAsia="zh-TW"/>
        </w:rPr>
        <w:t xml:space="preserve">Figure </w:t>
      </w:r>
      <w:r w:rsidR="00937EEE">
        <w:rPr>
          <w:rFonts w:eastAsia="PMingLiU"/>
          <w:b/>
          <w:sz w:val="22"/>
          <w:szCs w:val="22"/>
          <w:lang w:eastAsia="zh-TW"/>
        </w:rPr>
        <w:t>SFM-2</w:t>
      </w:r>
      <w:r w:rsidRPr="004635E5">
        <w:rPr>
          <w:rFonts w:eastAsia="PMingLiU"/>
          <w:sz w:val="22"/>
          <w:szCs w:val="22"/>
          <w:lang w:eastAsia="zh-TW"/>
        </w:rPr>
        <w:t xml:space="preserve">. Yearly changes in standardized CPUE of North Pacific shortfin mako shark (1975-2016) used in the base case stock assessment model. All indices are normalized to a mean value of </w:t>
      </w:r>
      <w:bookmarkEnd w:id="118"/>
      <w:bookmarkEnd w:id="119"/>
      <w:r w:rsidRPr="004635E5">
        <w:rPr>
          <w:rFonts w:eastAsia="PMingLiU"/>
          <w:sz w:val="22"/>
          <w:szCs w:val="22"/>
          <w:lang w:eastAsia="zh-TW"/>
        </w:rPr>
        <w:t xml:space="preserve">one </w:t>
      </w:r>
      <w:r w:rsidRPr="004635E5">
        <w:rPr>
          <w:rFonts w:eastAsia="MS Mincho"/>
          <w:sz w:val="22"/>
          <w:szCs w:val="22"/>
          <w:lang w:eastAsia="ja-JP"/>
        </w:rPr>
        <w:t>(horizontal dotted line)</w:t>
      </w:r>
      <w:r w:rsidRPr="004635E5">
        <w:rPr>
          <w:rFonts w:eastAsia="PMingLiU"/>
          <w:sz w:val="22"/>
          <w:szCs w:val="22"/>
          <w:lang w:eastAsia="zh-TW"/>
        </w:rPr>
        <w:t>. S1_US_SS (Hawaii longline shallow-set fleet), S3_TWN_LRG (Taiwan large scale longline fleet), S5_JPN_RTV (Japan research and training vessels), S8_MEX (Mexico longline fleet), and S9_JPN_SS_I (Japan longline shallow-set fleet).</w:t>
      </w:r>
    </w:p>
    <w:p w14:paraId="722B2A2A" w14:textId="77777777" w:rsidR="0041235F" w:rsidRPr="004635E5" w:rsidRDefault="0041235F" w:rsidP="006633A8">
      <w:pPr>
        <w:adjustRightInd w:val="0"/>
        <w:snapToGrid w:val="0"/>
        <w:rPr>
          <w:rFonts w:eastAsia="PMingLiU"/>
          <w:sz w:val="22"/>
          <w:szCs w:val="22"/>
          <w:lang w:eastAsia="zh-TW"/>
        </w:rPr>
      </w:pPr>
      <w:r w:rsidRPr="004635E5">
        <w:rPr>
          <w:rFonts w:eastAsia="MS Mincho"/>
          <w:sz w:val="22"/>
          <w:szCs w:val="22"/>
        </w:rPr>
        <w:br w:type="page"/>
      </w:r>
    </w:p>
    <w:p w14:paraId="7CFD94F3" w14:textId="77777777" w:rsidR="0041235F" w:rsidRPr="004635E5" w:rsidRDefault="006B5EBE" w:rsidP="006633A8">
      <w:pPr>
        <w:adjustRightInd w:val="0"/>
        <w:snapToGrid w:val="0"/>
        <w:jc w:val="both"/>
        <w:rPr>
          <w:rFonts w:eastAsia="MS Mincho"/>
          <w:sz w:val="22"/>
          <w:szCs w:val="22"/>
        </w:rPr>
      </w:pPr>
      <w:r w:rsidRPr="004635E5">
        <w:rPr>
          <w:rFonts w:eastAsia="MS Mincho"/>
          <w:noProof/>
          <w:sz w:val="22"/>
          <w:szCs w:val="22"/>
          <w:lang w:eastAsia="zh-CN" w:bidi="mn-Mong-CN"/>
        </w:rPr>
        <w:drawing>
          <wp:inline distT="0" distB="0" distL="0" distR="0" wp14:anchorId="4D838FD3" wp14:editId="4B316400">
            <wp:extent cx="5943600" cy="5575300"/>
            <wp:effectExtent l="0" t="0" r="0" b="0"/>
            <wp:docPr id="27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s11_Age-0_recruits_(1000s)_with_95_asymptotic_intervals.png"/>
                    <pic:cNvPicPr/>
                  </pic:nvPicPr>
                  <pic:blipFill rotWithShape="1">
                    <a:blip r:embed="rId114" cstate="print">
                      <a:extLst>
                        <a:ext uri="{28A0092B-C50C-407E-A947-70E740481C1C}">
                          <a14:useLocalDpi xmlns:a14="http://schemas.microsoft.com/office/drawing/2010/main" val="0"/>
                        </a:ext>
                      </a:extLst>
                    </a:blip>
                    <a:srcRect t="6197"/>
                    <a:stretch/>
                  </pic:blipFill>
                  <pic:spPr bwMode="auto">
                    <a:xfrm>
                      <a:off x="0" y="0"/>
                      <a:ext cx="5943600" cy="5575300"/>
                    </a:xfrm>
                    <a:prstGeom prst="rect">
                      <a:avLst/>
                    </a:prstGeom>
                    <a:ln>
                      <a:noFill/>
                    </a:ln>
                    <a:extLst>
                      <a:ext uri="{53640926-AAD7-44D8-BBD7-CCE9431645EC}">
                        <a14:shadowObscured xmlns:a14="http://schemas.microsoft.com/office/drawing/2010/main"/>
                      </a:ext>
                    </a:extLst>
                  </pic:spPr>
                </pic:pic>
              </a:graphicData>
            </a:graphic>
          </wp:inline>
        </w:drawing>
      </w:r>
    </w:p>
    <w:p w14:paraId="27482CAF" w14:textId="77777777" w:rsidR="0041235F" w:rsidRPr="004635E5" w:rsidRDefault="0041235F" w:rsidP="006633A8">
      <w:pPr>
        <w:adjustRightInd w:val="0"/>
        <w:snapToGrid w:val="0"/>
        <w:rPr>
          <w:rFonts w:eastAsia="MS Mincho"/>
          <w:sz w:val="22"/>
          <w:szCs w:val="22"/>
        </w:rPr>
      </w:pPr>
      <w:r w:rsidRPr="004635E5">
        <w:rPr>
          <w:rFonts w:eastAsia="MS Mincho"/>
          <w:b/>
          <w:sz w:val="22"/>
          <w:szCs w:val="22"/>
        </w:rPr>
        <w:t xml:space="preserve">Figure </w:t>
      </w:r>
      <w:r w:rsidR="00937EEE">
        <w:rPr>
          <w:rFonts w:eastAsia="MS Mincho"/>
          <w:b/>
          <w:sz w:val="22"/>
          <w:szCs w:val="22"/>
        </w:rPr>
        <w:t>SFM-3</w:t>
      </w:r>
      <w:r w:rsidRPr="004635E5">
        <w:rPr>
          <w:rFonts w:eastAsia="MS Mincho"/>
          <w:b/>
          <w:sz w:val="22"/>
          <w:szCs w:val="22"/>
        </w:rPr>
        <w:t xml:space="preserve">. </w:t>
      </w:r>
      <w:r w:rsidRPr="004635E5">
        <w:rPr>
          <w:rFonts w:eastAsia="MS Mincho"/>
          <w:sz w:val="22"/>
          <w:szCs w:val="22"/>
        </w:rPr>
        <w:t>Estimated age-0 recruitment in the base case model. Error bars indicate the 95% confidence intervals; the closed circle indicates recruitment under unfished conditions.</w:t>
      </w:r>
    </w:p>
    <w:p w14:paraId="16E6F989" w14:textId="77777777" w:rsidR="0041235F" w:rsidRPr="004635E5" w:rsidRDefault="0041235F" w:rsidP="006633A8">
      <w:pPr>
        <w:autoSpaceDE w:val="0"/>
        <w:autoSpaceDN w:val="0"/>
        <w:adjustRightInd w:val="0"/>
        <w:snapToGrid w:val="0"/>
        <w:jc w:val="both"/>
        <w:rPr>
          <w:rFonts w:eastAsia="PMingLiU"/>
          <w:sz w:val="22"/>
          <w:szCs w:val="22"/>
          <w:lang w:eastAsia="zh-TW"/>
        </w:rPr>
      </w:pPr>
    </w:p>
    <w:p w14:paraId="35FFCCF2" w14:textId="77777777" w:rsidR="0041235F" w:rsidRPr="004635E5" w:rsidRDefault="0041235F" w:rsidP="006633A8">
      <w:pPr>
        <w:adjustRightInd w:val="0"/>
        <w:snapToGrid w:val="0"/>
        <w:jc w:val="both"/>
        <w:rPr>
          <w:rFonts w:eastAsia="MS Mincho"/>
          <w:b/>
          <w:sz w:val="22"/>
          <w:szCs w:val="22"/>
        </w:rPr>
      </w:pPr>
    </w:p>
    <w:p w14:paraId="31662107" w14:textId="77777777" w:rsidR="0041235F" w:rsidRPr="004635E5" w:rsidRDefault="006B5EBE" w:rsidP="006633A8">
      <w:pPr>
        <w:adjustRightInd w:val="0"/>
        <w:snapToGrid w:val="0"/>
        <w:jc w:val="both"/>
        <w:rPr>
          <w:rFonts w:eastAsia="MS Mincho"/>
          <w:b/>
          <w:sz w:val="22"/>
          <w:szCs w:val="22"/>
        </w:rPr>
      </w:pPr>
      <w:r w:rsidRPr="004635E5">
        <w:rPr>
          <w:rFonts w:eastAsia="MS Mincho"/>
          <w:b/>
          <w:noProof/>
          <w:sz w:val="22"/>
          <w:szCs w:val="22"/>
          <w:lang w:eastAsia="zh-CN" w:bidi="mn-Mong-CN"/>
        </w:rPr>
        <w:drawing>
          <wp:inline distT="0" distB="0" distL="0" distR="0" wp14:anchorId="40D61F61" wp14:editId="717E9BBC">
            <wp:extent cx="5943600" cy="5139690"/>
            <wp:effectExtent l="0" t="0" r="0" b="0"/>
            <wp:docPr id="2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_Trajectory.tiff"/>
                    <pic:cNvPicPr/>
                  </pic:nvPicPr>
                  <pic:blipFill rotWithShape="1">
                    <a:blip r:embed="rId115" cstate="print">
                      <a:extLst>
                        <a:ext uri="{28A0092B-C50C-407E-A947-70E740481C1C}">
                          <a14:useLocalDpi xmlns:a14="http://schemas.microsoft.com/office/drawing/2010/main" val="0"/>
                        </a:ext>
                      </a:extLst>
                    </a:blip>
                    <a:srcRect t="9630"/>
                    <a:stretch/>
                  </pic:blipFill>
                  <pic:spPr bwMode="auto">
                    <a:xfrm>
                      <a:off x="0" y="0"/>
                      <a:ext cx="5943600" cy="5139690"/>
                    </a:xfrm>
                    <a:prstGeom prst="rect">
                      <a:avLst/>
                    </a:prstGeom>
                    <a:ln>
                      <a:noFill/>
                    </a:ln>
                    <a:extLst>
                      <a:ext uri="{53640926-AAD7-44D8-BBD7-CCE9431645EC}">
                        <a14:shadowObscured xmlns:a14="http://schemas.microsoft.com/office/drawing/2010/main"/>
                      </a:ext>
                    </a:extLst>
                  </pic:spPr>
                </pic:pic>
              </a:graphicData>
            </a:graphic>
          </wp:inline>
        </w:drawing>
      </w:r>
    </w:p>
    <w:p w14:paraId="360DDD77" w14:textId="77777777" w:rsidR="0041235F" w:rsidRPr="004635E5" w:rsidRDefault="00937EEE" w:rsidP="006633A8">
      <w:pPr>
        <w:adjustRightInd w:val="0"/>
        <w:snapToGrid w:val="0"/>
        <w:jc w:val="both"/>
        <w:rPr>
          <w:rFonts w:eastAsia="MS Mincho"/>
          <w:b/>
          <w:sz w:val="22"/>
          <w:szCs w:val="22"/>
        </w:rPr>
      </w:pPr>
      <w:r>
        <w:rPr>
          <w:rFonts w:eastAsia="MS Mincho"/>
          <w:b/>
          <w:sz w:val="22"/>
          <w:szCs w:val="22"/>
        </w:rPr>
        <w:t>Figure SFM-4</w:t>
      </w:r>
      <w:r w:rsidR="0041235F" w:rsidRPr="004635E5">
        <w:rPr>
          <w:rFonts w:eastAsia="MS Mincho"/>
          <w:b/>
          <w:sz w:val="22"/>
          <w:szCs w:val="22"/>
        </w:rPr>
        <w:t xml:space="preserve">. </w:t>
      </w:r>
      <w:r w:rsidR="0041235F" w:rsidRPr="004635E5">
        <w:rPr>
          <w:rFonts w:eastAsia="MS Mincho"/>
          <w:sz w:val="22"/>
          <w:szCs w:val="22"/>
        </w:rPr>
        <w:t>Estimated spawning abundance (SA; number of mature female sharks) of shortfin mako sharks in the North Pacific Ocean during the modeling time frame (1975-2016). Dashed lines indicate 95% confidence intervals; and closed circle and error bars indicate the estimated SA and 95% confidence intervals under unfished conditions (SA</w:t>
      </w:r>
      <w:r w:rsidR="0041235F" w:rsidRPr="004635E5">
        <w:rPr>
          <w:rFonts w:eastAsia="MS Mincho"/>
          <w:sz w:val="22"/>
          <w:szCs w:val="22"/>
          <w:vertAlign w:val="subscript"/>
        </w:rPr>
        <w:t>0</w:t>
      </w:r>
      <w:r w:rsidR="0041235F" w:rsidRPr="004635E5">
        <w:rPr>
          <w:rFonts w:eastAsia="MS Mincho"/>
          <w:sz w:val="22"/>
          <w:szCs w:val="22"/>
        </w:rPr>
        <w:t>). Blue solid line indicates the estimate of SA at maximum sustainable yield (MSY) (SA</w:t>
      </w:r>
      <w:r w:rsidR="0041235F" w:rsidRPr="004635E5">
        <w:rPr>
          <w:rFonts w:eastAsia="MS Mincho"/>
          <w:sz w:val="22"/>
          <w:szCs w:val="22"/>
          <w:vertAlign w:val="subscript"/>
        </w:rPr>
        <w:t>MSY</w:t>
      </w:r>
      <w:r w:rsidR="0041235F" w:rsidRPr="004635E5">
        <w:rPr>
          <w:rFonts w:eastAsia="MS Mincho"/>
          <w:sz w:val="22"/>
          <w:szCs w:val="22"/>
        </w:rPr>
        <w:t>).</w:t>
      </w:r>
    </w:p>
    <w:p w14:paraId="4CF5E27D" w14:textId="77777777" w:rsidR="0041235F" w:rsidRPr="004635E5" w:rsidRDefault="0041235F" w:rsidP="006633A8">
      <w:pPr>
        <w:adjustRightInd w:val="0"/>
        <w:snapToGrid w:val="0"/>
        <w:jc w:val="both"/>
        <w:rPr>
          <w:rFonts w:eastAsia="MS Mincho"/>
          <w:sz w:val="22"/>
          <w:szCs w:val="22"/>
        </w:rPr>
      </w:pPr>
    </w:p>
    <w:p w14:paraId="0FFEC176" w14:textId="77777777" w:rsidR="0041235F" w:rsidRPr="004635E5" w:rsidRDefault="0041235F" w:rsidP="006633A8">
      <w:pPr>
        <w:adjustRightInd w:val="0"/>
        <w:snapToGrid w:val="0"/>
        <w:jc w:val="both"/>
        <w:rPr>
          <w:rFonts w:eastAsia="MS Mincho"/>
          <w:sz w:val="22"/>
          <w:szCs w:val="22"/>
        </w:rPr>
      </w:pPr>
    </w:p>
    <w:p w14:paraId="3B507C7F" w14:textId="77777777" w:rsidR="0041235F" w:rsidRPr="004635E5" w:rsidRDefault="0041235F" w:rsidP="006633A8">
      <w:pPr>
        <w:adjustRightInd w:val="0"/>
        <w:snapToGrid w:val="0"/>
        <w:jc w:val="both"/>
        <w:rPr>
          <w:rFonts w:eastAsia="MS Mincho"/>
          <w:sz w:val="22"/>
          <w:szCs w:val="22"/>
        </w:rPr>
      </w:pPr>
    </w:p>
    <w:p w14:paraId="19C4E98F" w14:textId="77777777" w:rsidR="0041235F" w:rsidRPr="004635E5" w:rsidRDefault="006B5EBE" w:rsidP="006633A8">
      <w:pPr>
        <w:adjustRightInd w:val="0"/>
        <w:snapToGrid w:val="0"/>
        <w:jc w:val="both"/>
        <w:rPr>
          <w:rFonts w:eastAsia="MS Mincho"/>
          <w:sz w:val="22"/>
          <w:szCs w:val="22"/>
        </w:rPr>
      </w:pPr>
      <w:r w:rsidRPr="004635E5">
        <w:rPr>
          <w:rFonts w:eastAsia="MS Mincho"/>
          <w:noProof/>
          <w:sz w:val="22"/>
          <w:szCs w:val="22"/>
          <w:lang w:eastAsia="zh-CN" w:bidi="mn-Mong-CN"/>
        </w:rPr>
        <w:drawing>
          <wp:inline distT="0" distB="0" distL="0" distR="0" wp14:anchorId="212970C9" wp14:editId="4DD8A1AA">
            <wp:extent cx="5943600" cy="5166995"/>
            <wp:effectExtent l="0" t="0" r="0" b="0"/>
            <wp:docPr id="27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SPR_Trajectory.tiff"/>
                    <pic:cNvPicPr/>
                  </pic:nvPicPr>
                  <pic:blipFill rotWithShape="1">
                    <a:blip r:embed="rId116" cstate="print">
                      <a:extLst>
                        <a:ext uri="{28A0092B-C50C-407E-A947-70E740481C1C}">
                          <a14:useLocalDpi xmlns:a14="http://schemas.microsoft.com/office/drawing/2010/main" val="0"/>
                        </a:ext>
                      </a:extLst>
                    </a:blip>
                    <a:srcRect t="9152"/>
                    <a:stretch/>
                  </pic:blipFill>
                  <pic:spPr bwMode="auto">
                    <a:xfrm>
                      <a:off x="0" y="0"/>
                      <a:ext cx="5943600" cy="5166995"/>
                    </a:xfrm>
                    <a:prstGeom prst="rect">
                      <a:avLst/>
                    </a:prstGeom>
                    <a:ln>
                      <a:noFill/>
                    </a:ln>
                    <a:extLst>
                      <a:ext uri="{53640926-AAD7-44D8-BBD7-CCE9431645EC}">
                        <a14:shadowObscured xmlns:a14="http://schemas.microsoft.com/office/drawing/2010/main"/>
                      </a:ext>
                    </a:extLst>
                  </pic:spPr>
                </pic:pic>
              </a:graphicData>
            </a:graphic>
          </wp:inline>
        </w:drawing>
      </w:r>
    </w:p>
    <w:p w14:paraId="3240C920" w14:textId="77777777" w:rsidR="0041235F" w:rsidRPr="004635E5" w:rsidRDefault="00937EEE" w:rsidP="006633A8">
      <w:pPr>
        <w:adjustRightInd w:val="0"/>
        <w:snapToGrid w:val="0"/>
        <w:jc w:val="both"/>
        <w:rPr>
          <w:rFonts w:eastAsia="MS Mincho"/>
          <w:b/>
          <w:sz w:val="22"/>
          <w:szCs w:val="22"/>
        </w:rPr>
      </w:pPr>
      <w:r>
        <w:rPr>
          <w:rFonts w:eastAsia="MS Mincho"/>
          <w:b/>
          <w:sz w:val="22"/>
          <w:szCs w:val="22"/>
        </w:rPr>
        <w:t>Figure SFM-5</w:t>
      </w:r>
      <w:r w:rsidR="0041235F" w:rsidRPr="004635E5">
        <w:rPr>
          <w:rFonts w:eastAsia="MS Mincho"/>
          <w:b/>
          <w:sz w:val="22"/>
          <w:szCs w:val="22"/>
        </w:rPr>
        <w:t>.</w:t>
      </w:r>
      <w:r w:rsidR="0041235F" w:rsidRPr="004635E5">
        <w:rPr>
          <w:rFonts w:eastAsia="MS Mincho"/>
          <w:sz w:val="22"/>
          <w:szCs w:val="22"/>
        </w:rPr>
        <w:t xml:space="preserve"> Estimated fishing intensity (1-SPR) on the North Pacific </w:t>
      </w:r>
      <w:r w:rsidR="0041235F" w:rsidRPr="004635E5">
        <w:rPr>
          <w:rFonts w:eastAsia="MS Mincho"/>
          <w:sz w:val="22"/>
          <w:szCs w:val="22"/>
          <w:lang w:eastAsia="ja-JP"/>
        </w:rPr>
        <w:t xml:space="preserve">shortfin </w:t>
      </w:r>
      <w:r w:rsidR="0041235F" w:rsidRPr="004635E5">
        <w:rPr>
          <w:rFonts w:eastAsia="MS Mincho"/>
          <w:sz w:val="22"/>
          <w:szCs w:val="22"/>
        </w:rPr>
        <w:t>mako shark stock. Dashed lines indicate 95% confidence intervals. Blue solid line indicates the estimate of (1-SPR) at maximum sustainable yield (MSY) (1-SPR</w:t>
      </w:r>
      <w:r w:rsidR="0041235F" w:rsidRPr="004635E5">
        <w:rPr>
          <w:rFonts w:eastAsia="MS Mincho"/>
          <w:sz w:val="22"/>
          <w:szCs w:val="22"/>
          <w:vertAlign w:val="subscript"/>
        </w:rPr>
        <w:t>MSY</w:t>
      </w:r>
      <w:r w:rsidR="0041235F" w:rsidRPr="004635E5">
        <w:rPr>
          <w:rFonts w:eastAsia="MS Mincho"/>
          <w:sz w:val="22"/>
          <w:szCs w:val="22"/>
        </w:rPr>
        <w:t>).</w:t>
      </w:r>
    </w:p>
    <w:p w14:paraId="7A70909C" w14:textId="77777777" w:rsidR="0041235F" w:rsidRPr="004635E5" w:rsidRDefault="0041235F" w:rsidP="006633A8">
      <w:pPr>
        <w:adjustRightInd w:val="0"/>
        <w:snapToGrid w:val="0"/>
        <w:jc w:val="both"/>
        <w:rPr>
          <w:rFonts w:eastAsia="MS Mincho"/>
          <w:sz w:val="22"/>
          <w:szCs w:val="22"/>
        </w:rPr>
      </w:pPr>
    </w:p>
    <w:p w14:paraId="4B68B585" w14:textId="77777777" w:rsidR="0041235F" w:rsidRPr="004635E5" w:rsidRDefault="006B5EBE" w:rsidP="006633A8">
      <w:pPr>
        <w:adjustRightInd w:val="0"/>
        <w:snapToGrid w:val="0"/>
        <w:rPr>
          <w:rFonts w:eastAsia="MS Mincho"/>
          <w:b/>
          <w:sz w:val="22"/>
          <w:szCs w:val="22"/>
        </w:rPr>
      </w:pPr>
      <w:r w:rsidRPr="004635E5">
        <w:rPr>
          <w:rFonts w:eastAsia="MS Mincho"/>
          <w:b/>
          <w:noProof/>
          <w:sz w:val="22"/>
          <w:szCs w:val="22"/>
          <w:lang w:eastAsia="zh-CN" w:bidi="mn-Mong-CN"/>
        </w:rPr>
        <w:drawing>
          <wp:inline distT="0" distB="0" distL="0" distR="0" wp14:anchorId="0ABEDE03" wp14:editId="5757D81A">
            <wp:extent cx="5943600" cy="5194935"/>
            <wp:effectExtent l="0" t="0" r="0" b="0"/>
            <wp:docPr id="2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j.tiff"/>
                    <pic:cNvPicPr/>
                  </pic:nvPicPr>
                  <pic:blipFill rotWithShape="1">
                    <a:blip r:embed="rId117" cstate="print">
                      <a:extLst>
                        <a:ext uri="{28A0092B-C50C-407E-A947-70E740481C1C}">
                          <a14:useLocalDpi xmlns:a14="http://schemas.microsoft.com/office/drawing/2010/main" val="0"/>
                        </a:ext>
                      </a:extLst>
                    </a:blip>
                    <a:srcRect t="9963"/>
                    <a:stretch/>
                  </pic:blipFill>
                  <pic:spPr bwMode="auto">
                    <a:xfrm>
                      <a:off x="0" y="0"/>
                      <a:ext cx="5943600" cy="5194935"/>
                    </a:xfrm>
                    <a:prstGeom prst="rect">
                      <a:avLst/>
                    </a:prstGeom>
                    <a:ln>
                      <a:noFill/>
                    </a:ln>
                    <a:extLst>
                      <a:ext uri="{53640926-AAD7-44D8-BBD7-CCE9431645EC}">
                        <a14:shadowObscured xmlns:a14="http://schemas.microsoft.com/office/drawing/2010/main"/>
                      </a:ext>
                    </a:extLst>
                  </pic:spPr>
                </pic:pic>
              </a:graphicData>
            </a:graphic>
          </wp:inline>
        </w:drawing>
      </w:r>
    </w:p>
    <w:p w14:paraId="0B088B1B" w14:textId="77777777" w:rsidR="0041235F" w:rsidRPr="004635E5" w:rsidRDefault="00937EEE" w:rsidP="006633A8">
      <w:pPr>
        <w:tabs>
          <w:tab w:val="left" w:pos="2150"/>
        </w:tabs>
        <w:adjustRightInd w:val="0"/>
        <w:snapToGrid w:val="0"/>
        <w:jc w:val="both"/>
        <w:rPr>
          <w:rFonts w:eastAsia="MS Mincho"/>
          <w:sz w:val="22"/>
          <w:szCs w:val="22"/>
        </w:rPr>
      </w:pPr>
      <w:r>
        <w:rPr>
          <w:rFonts w:eastAsia="MS Mincho"/>
          <w:b/>
          <w:sz w:val="22"/>
          <w:szCs w:val="22"/>
        </w:rPr>
        <w:t>Figure SFM-6</w:t>
      </w:r>
      <w:r w:rsidR="0041235F" w:rsidRPr="004635E5">
        <w:rPr>
          <w:rFonts w:eastAsia="MS Mincho"/>
          <w:b/>
          <w:sz w:val="22"/>
          <w:szCs w:val="22"/>
        </w:rPr>
        <w:t xml:space="preserve">. </w:t>
      </w:r>
      <w:r w:rsidR="0041235F" w:rsidRPr="004635E5">
        <w:rPr>
          <w:rFonts w:eastAsia="MS Mincho"/>
          <w:sz w:val="22"/>
          <w:szCs w:val="22"/>
        </w:rPr>
        <w:t>Kobe time series plot of shortfin mako sharks in the North Pacific Ocean indicating the ratio of spawning abundance (SA; number of mature female sharks) relative to SA at maximum sustainable yield (SA</w:t>
      </w:r>
      <w:r w:rsidR="0041235F" w:rsidRPr="004635E5">
        <w:rPr>
          <w:rFonts w:eastAsia="MS Mincho"/>
          <w:sz w:val="22"/>
          <w:szCs w:val="22"/>
          <w:vertAlign w:val="subscript"/>
        </w:rPr>
        <w:t>MSY</w:t>
      </w:r>
      <w:r w:rsidR="0041235F" w:rsidRPr="004635E5">
        <w:rPr>
          <w:rFonts w:eastAsia="MS Mincho"/>
          <w:sz w:val="22"/>
          <w:szCs w:val="22"/>
        </w:rPr>
        <w:t>), and the ratio of fishing intensity (1-SPR) relative to fishing intensity at maximum sustainable yield (1-SPR</w:t>
      </w:r>
      <w:r w:rsidR="0041235F" w:rsidRPr="004635E5">
        <w:rPr>
          <w:rFonts w:eastAsia="MS Mincho"/>
          <w:sz w:val="22"/>
          <w:szCs w:val="22"/>
          <w:vertAlign w:val="subscript"/>
        </w:rPr>
        <w:t>MSY</w:t>
      </w:r>
      <w:r w:rsidR="0041235F" w:rsidRPr="004635E5">
        <w:rPr>
          <w:rFonts w:eastAsia="MS Mincho"/>
          <w:sz w:val="22"/>
          <w:szCs w:val="22"/>
        </w:rPr>
        <w:t>) for the base case model. Values for the start (1975) and end (2016) years are indicated by the blue triangle and black circle, respectively. Black error bars indicate 95% confidence intervals. Gray numbers indicate selected years.</w:t>
      </w:r>
    </w:p>
    <w:p w14:paraId="61CD51D7" w14:textId="77777777" w:rsidR="0041235F" w:rsidRPr="004635E5" w:rsidRDefault="0041235F" w:rsidP="006633A8">
      <w:pPr>
        <w:tabs>
          <w:tab w:val="left" w:pos="2150"/>
        </w:tabs>
        <w:adjustRightInd w:val="0"/>
        <w:snapToGrid w:val="0"/>
        <w:jc w:val="both"/>
        <w:rPr>
          <w:rFonts w:eastAsia="MS Mincho"/>
          <w:sz w:val="22"/>
          <w:szCs w:val="22"/>
        </w:rPr>
      </w:pPr>
    </w:p>
    <w:p w14:paraId="1CC98671" w14:textId="77777777" w:rsidR="0041235F" w:rsidRPr="004635E5" w:rsidRDefault="0041235F" w:rsidP="006633A8">
      <w:pPr>
        <w:tabs>
          <w:tab w:val="left" w:pos="2150"/>
        </w:tabs>
        <w:adjustRightInd w:val="0"/>
        <w:snapToGrid w:val="0"/>
        <w:jc w:val="both"/>
        <w:rPr>
          <w:rFonts w:eastAsia="MS Mincho"/>
          <w:sz w:val="22"/>
          <w:szCs w:val="22"/>
        </w:rPr>
      </w:pPr>
    </w:p>
    <w:p w14:paraId="7A374EA6" w14:textId="77777777" w:rsidR="0041235F" w:rsidRPr="004635E5" w:rsidRDefault="0041235F" w:rsidP="006633A8">
      <w:pPr>
        <w:tabs>
          <w:tab w:val="left" w:pos="2150"/>
        </w:tabs>
        <w:adjustRightInd w:val="0"/>
        <w:snapToGrid w:val="0"/>
        <w:jc w:val="both"/>
        <w:rPr>
          <w:rFonts w:eastAsia="MS Mincho"/>
          <w:sz w:val="22"/>
          <w:szCs w:val="22"/>
        </w:rPr>
      </w:pPr>
    </w:p>
    <w:p w14:paraId="36D13FF3" w14:textId="77777777" w:rsidR="0041235F" w:rsidRPr="004635E5" w:rsidRDefault="0041235F" w:rsidP="006633A8">
      <w:pPr>
        <w:tabs>
          <w:tab w:val="left" w:pos="2150"/>
        </w:tabs>
        <w:adjustRightInd w:val="0"/>
        <w:snapToGrid w:val="0"/>
        <w:jc w:val="both"/>
        <w:rPr>
          <w:rFonts w:eastAsia="MS Mincho"/>
          <w:sz w:val="22"/>
          <w:szCs w:val="22"/>
        </w:rPr>
      </w:pPr>
    </w:p>
    <w:p w14:paraId="148F1AAE" w14:textId="77777777" w:rsidR="0041235F" w:rsidRPr="004635E5" w:rsidRDefault="006B5EBE" w:rsidP="006633A8">
      <w:pPr>
        <w:tabs>
          <w:tab w:val="left" w:pos="2150"/>
        </w:tabs>
        <w:adjustRightInd w:val="0"/>
        <w:snapToGrid w:val="0"/>
        <w:jc w:val="both"/>
        <w:rPr>
          <w:rFonts w:eastAsia="MS Mincho"/>
          <w:b/>
          <w:sz w:val="22"/>
          <w:szCs w:val="22"/>
        </w:rPr>
      </w:pPr>
      <w:r w:rsidRPr="004635E5">
        <w:rPr>
          <w:rFonts w:eastAsia="MS Mincho"/>
          <w:b/>
          <w:noProof/>
          <w:sz w:val="22"/>
          <w:szCs w:val="22"/>
          <w:lang w:eastAsia="zh-CN" w:bidi="mn-Mong-CN"/>
        </w:rPr>
        <w:drawing>
          <wp:inline distT="0" distB="0" distL="0" distR="0" wp14:anchorId="600A546E" wp14:editId="0755EAE3">
            <wp:extent cx="5943600" cy="3959225"/>
            <wp:effectExtent l="0" t="0" r="0" b="0"/>
            <wp:docPr id="27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_kobe_sensitivity_endpt.tiff"/>
                    <pic:cNvPicPr/>
                  </pic:nvPicPr>
                  <pic:blipFill rotWithShape="1">
                    <a:blip r:embed="rId118" cstate="print">
                      <a:extLst>
                        <a:ext uri="{28A0092B-C50C-407E-A947-70E740481C1C}">
                          <a14:useLocalDpi xmlns:a14="http://schemas.microsoft.com/office/drawing/2010/main" val="0"/>
                        </a:ext>
                      </a:extLst>
                    </a:blip>
                    <a:srcRect t="11171"/>
                    <a:stretch/>
                  </pic:blipFill>
                  <pic:spPr bwMode="auto">
                    <a:xfrm>
                      <a:off x="0" y="0"/>
                      <a:ext cx="5943600" cy="3959225"/>
                    </a:xfrm>
                    <a:prstGeom prst="rect">
                      <a:avLst/>
                    </a:prstGeom>
                    <a:ln>
                      <a:noFill/>
                    </a:ln>
                    <a:extLst>
                      <a:ext uri="{53640926-AAD7-44D8-BBD7-CCE9431645EC}">
                        <a14:shadowObscured xmlns:a14="http://schemas.microsoft.com/office/drawing/2010/main"/>
                      </a:ext>
                    </a:extLst>
                  </pic:spPr>
                </pic:pic>
              </a:graphicData>
            </a:graphic>
          </wp:inline>
        </w:drawing>
      </w:r>
    </w:p>
    <w:p w14:paraId="50FF510A" w14:textId="77777777" w:rsidR="0041235F" w:rsidRPr="004635E5" w:rsidRDefault="002740AE" w:rsidP="006633A8">
      <w:pPr>
        <w:tabs>
          <w:tab w:val="left" w:pos="2150"/>
        </w:tabs>
        <w:adjustRightInd w:val="0"/>
        <w:snapToGrid w:val="0"/>
        <w:jc w:val="both"/>
        <w:rPr>
          <w:rFonts w:eastAsia="MS Mincho"/>
          <w:sz w:val="22"/>
          <w:szCs w:val="22"/>
        </w:rPr>
      </w:pPr>
      <w:r>
        <w:rPr>
          <w:rFonts w:eastAsia="MS Mincho"/>
          <w:b/>
          <w:sz w:val="22"/>
          <w:szCs w:val="22"/>
        </w:rPr>
        <w:t>Figure SFM-7</w:t>
      </w:r>
      <w:r w:rsidR="0041235F" w:rsidRPr="004635E5">
        <w:rPr>
          <w:rFonts w:eastAsia="MS Mincho"/>
          <w:b/>
          <w:sz w:val="22"/>
          <w:szCs w:val="22"/>
        </w:rPr>
        <w:t xml:space="preserve">. </w:t>
      </w:r>
      <w:r w:rsidR="0041235F" w:rsidRPr="004635E5">
        <w:rPr>
          <w:rFonts w:eastAsia="MS Mincho"/>
          <w:sz w:val="22"/>
          <w:szCs w:val="22"/>
        </w:rPr>
        <w:t>Kobe plot of shortfin mako sharks in the North Pacific Ocean indicating the ratio of spawning abundance (SA; number of mature female sharks) relative to SA at maximum sustainable yield (MSY) (SA</w:t>
      </w:r>
      <w:r w:rsidR="0041235F" w:rsidRPr="004635E5">
        <w:rPr>
          <w:rFonts w:eastAsia="MS Mincho"/>
          <w:sz w:val="22"/>
          <w:szCs w:val="22"/>
          <w:vertAlign w:val="subscript"/>
        </w:rPr>
        <w:t>MSY</w:t>
      </w:r>
      <w:r w:rsidR="0041235F" w:rsidRPr="004635E5">
        <w:rPr>
          <w:rFonts w:eastAsia="MS Mincho"/>
          <w:sz w:val="22"/>
          <w:szCs w:val="22"/>
        </w:rPr>
        <w:t>), and the ratio of fishing intensity (1-SPR) relative to fishing intensity at MSY (1-SPR</w:t>
      </w:r>
      <w:r w:rsidR="0041235F" w:rsidRPr="004635E5">
        <w:rPr>
          <w:rFonts w:eastAsia="MS Mincho"/>
          <w:sz w:val="22"/>
          <w:szCs w:val="22"/>
          <w:vertAlign w:val="subscript"/>
        </w:rPr>
        <w:t>MSY</w:t>
      </w:r>
      <w:r w:rsidR="0041235F" w:rsidRPr="004635E5">
        <w:rPr>
          <w:rFonts w:eastAsia="MS Mincho"/>
          <w:sz w:val="22"/>
          <w:szCs w:val="22"/>
        </w:rPr>
        <w:t>) for the end year (2016) of the base case model and six alternative states of nature: Alternative_1) higher catch, Alternative_2) lower catch; Alternative_3) higher uncertainty on Japan shallow-set CPUE index (1975-1993) (CV=0.3); Alternative_4) fit to Japan offshore distant water longline shallow-set fleet (JPN_SS_I; 1975-2016) and Hawaii longline shallow-set fleet (US_SS; 2005-2016), and no fit to initial equilibrium catch; Alternative_5) low steepness, h=0.260; and Alternative_6) high steepness, h=0.372. Solid lines indicate 95% confidence intervals.</w:t>
      </w:r>
    </w:p>
    <w:p w14:paraId="6DD4BF93" w14:textId="77777777" w:rsidR="0041235F" w:rsidRPr="004635E5" w:rsidRDefault="0041235F" w:rsidP="006633A8">
      <w:pPr>
        <w:tabs>
          <w:tab w:val="left" w:pos="2150"/>
        </w:tabs>
        <w:adjustRightInd w:val="0"/>
        <w:snapToGrid w:val="0"/>
        <w:jc w:val="both"/>
        <w:rPr>
          <w:rFonts w:eastAsia="MS Mincho"/>
          <w:sz w:val="22"/>
          <w:szCs w:val="22"/>
        </w:rPr>
      </w:pPr>
    </w:p>
    <w:p w14:paraId="15C66D88" w14:textId="77777777" w:rsidR="0041235F" w:rsidRPr="004635E5" w:rsidRDefault="0041235F" w:rsidP="006633A8">
      <w:pPr>
        <w:tabs>
          <w:tab w:val="left" w:pos="2150"/>
        </w:tabs>
        <w:adjustRightInd w:val="0"/>
        <w:snapToGrid w:val="0"/>
        <w:jc w:val="both"/>
        <w:rPr>
          <w:rFonts w:eastAsia="MS Mincho"/>
          <w:sz w:val="22"/>
          <w:szCs w:val="22"/>
        </w:rPr>
      </w:pPr>
    </w:p>
    <w:p w14:paraId="7864A915" w14:textId="77777777" w:rsidR="0041235F" w:rsidRPr="004635E5" w:rsidRDefault="0041235F" w:rsidP="006633A8">
      <w:pPr>
        <w:tabs>
          <w:tab w:val="left" w:pos="2150"/>
        </w:tabs>
        <w:adjustRightInd w:val="0"/>
        <w:snapToGrid w:val="0"/>
        <w:jc w:val="both"/>
        <w:rPr>
          <w:rFonts w:eastAsia="MS Mincho"/>
          <w:sz w:val="22"/>
          <w:szCs w:val="22"/>
        </w:rPr>
      </w:pPr>
    </w:p>
    <w:p w14:paraId="48B7910D" w14:textId="77777777" w:rsidR="0041235F" w:rsidRPr="004635E5" w:rsidRDefault="0041235F" w:rsidP="006633A8">
      <w:pPr>
        <w:tabs>
          <w:tab w:val="left" w:pos="2150"/>
        </w:tabs>
        <w:adjustRightInd w:val="0"/>
        <w:snapToGrid w:val="0"/>
        <w:jc w:val="both"/>
        <w:rPr>
          <w:rFonts w:eastAsia="MS Mincho"/>
          <w:sz w:val="22"/>
          <w:szCs w:val="22"/>
        </w:rPr>
      </w:pPr>
    </w:p>
    <w:p w14:paraId="45447477" w14:textId="77777777" w:rsidR="0041235F" w:rsidRPr="004635E5" w:rsidRDefault="0041235F" w:rsidP="006633A8">
      <w:pPr>
        <w:tabs>
          <w:tab w:val="left" w:pos="2150"/>
        </w:tabs>
        <w:adjustRightInd w:val="0"/>
        <w:snapToGrid w:val="0"/>
        <w:jc w:val="both"/>
        <w:rPr>
          <w:rFonts w:eastAsia="MS Mincho"/>
          <w:sz w:val="22"/>
          <w:szCs w:val="22"/>
        </w:rPr>
      </w:pPr>
    </w:p>
    <w:p w14:paraId="6E34E3C7" w14:textId="77777777" w:rsidR="0041235F" w:rsidRPr="004635E5" w:rsidRDefault="0041235F" w:rsidP="006633A8">
      <w:pPr>
        <w:tabs>
          <w:tab w:val="left" w:pos="2150"/>
        </w:tabs>
        <w:adjustRightInd w:val="0"/>
        <w:snapToGrid w:val="0"/>
        <w:jc w:val="both"/>
        <w:rPr>
          <w:rFonts w:eastAsia="MS Mincho"/>
          <w:sz w:val="22"/>
          <w:szCs w:val="22"/>
        </w:rPr>
      </w:pPr>
    </w:p>
    <w:p w14:paraId="7E132E5E" w14:textId="77777777" w:rsidR="0041235F" w:rsidRPr="004635E5" w:rsidRDefault="0041235F" w:rsidP="006633A8">
      <w:pPr>
        <w:tabs>
          <w:tab w:val="left" w:pos="2150"/>
        </w:tabs>
        <w:adjustRightInd w:val="0"/>
        <w:snapToGrid w:val="0"/>
        <w:jc w:val="both"/>
        <w:rPr>
          <w:rFonts w:eastAsia="MS Mincho"/>
          <w:sz w:val="22"/>
          <w:szCs w:val="22"/>
        </w:rPr>
      </w:pPr>
    </w:p>
    <w:p w14:paraId="40E6CDB3" w14:textId="77777777" w:rsidR="0041235F" w:rsidRPr="004635E5" w:rsidRDefault="0041235F" w:rsidP="006633A8">
      <w:pPr>
        <w:tabs>
          <w:tab w:val="left" w:pos="2150"/>
        </w:tabs>
        <w:adjustRightInd w:val="0"/>
        <w:snapToGrid w:val="0"/>
        <w:jc w:val="both"/>
        <w:rPr>
          <w:rFonts w:eastAsia="MS Mincho"/>
          <w:b/>
          <w:sz w:val="22"/>
          <w:szCs w:val="22"/>
        </w:rPr>
      </w:pPr>
      <w:r w:rsidRPr="004635E5">
        <w:rPr>
          <w:rFonts w:eastAsia="MS Mincho"/>
          <w:noProof/>
          <w:sz w:val="22"/>
          <w:szCs w:val="22"/>
          <w:lang w:eastAsia="zh-CN" w:bidi="mn-Mong-CN"/>
        </w:rPr>
        <w:drawing>
          <wp:inline distT="0" distB="0" distL="0" distR="0" wp14:anchorId="0620C1A9" wp14:editId="31B236E7">
            <wp:extent cx="5943600" cy="3834765"/>
            <wp:effectExtent l="0" t="0" r="0" b="13335"/>
            <wp:docPr id="276"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716E281D" w14:textId="77777777" w:rsidR="0041235F" w:rsidRPr="004635E5" w:rsidRDefault="002740AE" w:rsidP="006633A8">
      <w:pPr>
        <w:tabs>
          <w:tab w:val="left" w:pos="2150"/>
        </w:tabs>
        <w:adjustRightInd w:val="0"/>
        <w:snapToGrid w:val="0"/>
        <w:jc w:val="both"/>
        <w:rPr>
          <w:rFonts w:eastAsia="MS Mincho"/>
          <w:b/>
          <w:sz w:val="22"/>
          <w:szCs w:val="22"/>
        </w:rPr>
      </w:pPr>
      <w:r>
        <w:rPr>
          <w:rFonts w:eastAsia="MS Mincho"/>
          <w:b/>
          <w:sz w:val="22"/>
          <w:szCs w:val="22"/>
        </w:rPr>
        <w:t>Figure SFM-8</w:t>
      </w:r>
      <w:r w:rsidR="0041235F" w:rsidRPr="004635E5">
        <w:rPr>
          <w:rFonts w:eastAsia="MS Mincho"/>
          <w:b/>
          <w:sz w:val="22"/>
          <w:szCs w:val="22"/>
        </w:rPr>
        <w:t xml:space="preserve">. </w:t>
      </w:r>
      <w:r w:rsidR="0041235F" w:rsidRPr="004635E5">
        <w:rPr>
          <w:rFonts w:eastAsia="MS Mincho"/>
          <w:bCs/>
          <w:sz w:val="22"/>
          <w:szCs w:val="22"/>
        </w:rPr>
        <w:t>F</w:t>
      </w:r>
      <w:r w:rsidR="0041235F" w:rsidRPr="004635E5">
        <w:rPr>
          <w:rFonts w:eastAsia="MS Mincho"/>
          <w:bCs/>
          <w:sz w:val="22"/>
          <w:szCs w:val="22"/>
          <w:lang w:eastAsia="ja-JP"/>
        </w:rPr>
        <w:t>uture projections of spawning abundance for shortfin mako sharks in the North Pacific Ocean from 2017 to 2026 under</w:t>
      </w:r>
      <w:r w:rsidR="0041235F" w:rsidRPr="004635E5">
        <w:rPr>
          <w:rFonts w:eastAsia="MS Mincho"/>
          <w:bCs/>
          <w:sz w:val="22"/>
          <w:szCs w:val="22"/>
        </w:rPr>
        <w:t xml:space="preserve"> </w:t>
      </w:r>
      <w:r w:rsidR="0041235F" w:rsidRPr="004635E5">
        <w:rPr>
          <w:rFonts w:eastAsia="MS Mincho"/>
          <w:bCs/>
          <w:sz w:val="22"/>
          <w:szCs w:val="22"/>
          <w:lang w:eastAsia="ja-JP"/>
        </w:rPr>
        <w:t>three constant fishing intensity (</w:t>
      </w:r>
      <w:r w:rsidR="0041235F" w:rsidRPr="004635E5">
        <w:rPr>
          <w:rFonts w:eastAsia="MS Mincho"/>
          <w:bCs/>
          <w:i/>
          <w:sz w:val="22"/>
          <w:szCs w:val="22"/>
          <w:lang w:eastAsia="ja-JP"/>
        </w:rPr>
        <w:t>F</w:t>
      </w:r>
      <w:r w:rsidR="0041235F" w:rsidRPr="004635E5">
        <w:rPr>
          <w:rFonts w:eastAsia="MS Mincho"/>
          <w:bCs/>
          <w:sz w:val="22"/>
          <w:szCs w:val="22"/>
          <w:lang w:eastAsia="ja-JP"/>
        </w:rPr>
        <w:t>)</w:t>
      </w:r>
      <w:r w:rsidR="0041235F" w:rsidRPr="004635E5">
        <w:rPr>
          <w:rFonts w:eastAsia="MS Mincho"/>
          <w:bCs/>
          <w:i/>
          <w:sz w:val="22"/>
          <w:szCs w:val="22"/>
          <w:lang w:eastAsia="ja-JP"/>
        </w:rPr>
        <w:t xml:space="preserve"> </w:t>
      </w:r>
      <w:r w:rsidR="0041235F" w:rsidRPr="004635E5">
        <w:rPr>
          <w:rFonts w:eastAsia="MS Mincho"/>
          <w:bCs/>
          <w:sz w:val="22"/>
          <w:szCs w:val="22"/>
          <w:lang w:eastAsia="ja-JP"/>
        </w:rPr>
        <w:t>harvest scenarios (F</w:t>
      </w:r>
      <w:r w:rsidR="0041235F" w:rsidRPr="004635E5">
        <w:rPr>
          <w:rFonts w:eastAsia="MS Mincho"/>
          <w:bCs/>
          <w:sz w:val="22"/>
          <w:szCs w:val="22"/>
          <w:vertAlign w:val="subscript"/>
          <w:lang w:eastAsia="ja-JP"/>
        </w:rPr>
        <w:t>2013-2015</w:t>
      </w:r>
      <w:r w:rsidR="0041235F" w:rsidRPr="004635E5">
        <w:rPr>
          <w:rFonts w:eastAsia="MS Mincho"/>
          <w:bCs/>
          <w:sz w:val="22"/>
          <w:szCs w:val="22"/>
          <w:lang w:eastAsia="ja-JP"/>
        </w:rPr>
        <w:t>, F</w:t>
      </w:r>
      <w:r w:rsidR="0041235F" w:rsidRPr="004635E5">
        <w:rPr>
          <w:rFonts w:eastAsia="MS Mincho"/>
          <w:bCs/>
          <w:sz w:val="22"/>
          <w:szCs w:val="22"/>
          <w:vertAlign w:val="subscript"/>
          <w:lang w:eastAsia="ja-JP"/>
        </w:rPr>
        <w:t>2013-2015</w:t>
      </w:r>
      <w:r w:rsidR="0041235F" w:rsidRPr="004635E5">
        <w:rPr>
          <w:rFonts w:eastAsia="MS Mincho"/>
          <w:bCs/>
          <w:sz w:val="22"/>
          <w:szCs w:val="22"/>
          <w:lang w:eastAsia="ja-JP"/>
        </w:rPr>
        <w:t>+20%, F</w:t>
      </w:r>
      <w:r w:rsidR="0041235F" w:rsidRPr="004635E5">
        <w:rPr>
          <w:rFonts w:eastAsia="MS Mincho"/>
          <w:bCs/>
          <w:sz w:val="22"/>
          <w:szCs w:val="22"/>
          <w:vertAlign w:val="subscript"/>
          <w:lang w:eastAsia="ja-JP"/>
        </w:rPr>
        <w:t>2013-2015</w:t>
      </w:r>
      <w:r w:rsidR="0041235F" w:rsidRPr="004635E5">
        <w:rPr>
          <w:rFonts w:eastAsia="MS Mincho"/>
          <w:bCs/>
          <w:sz w:val="22"/>
          <w:szCs w:val="22"/>
          <w:lang w:eastAsia="ja-JP"/>
        </w:rPr>
        <w:t xml:space="preserve">-20%) using the base case model. </w:t>
      </w:r>
    </w:p>
    <w:p w14:paraId="2A05C371" w14:textId="77777777" w:rsidR="0041235F" w:rsidRPr="004635E5" w:rsidRDefault="0041235F" w:rsidP="006633A8">
      <w:pPr>
        <w:tabs>
          <w:tab w:val="left" w:pos="2150"/>
        </w:tabs>
        <w:adjustRightInd w:val="0"/>
        <w:snapToGrid w:val="0"/>
        <w:jc w:val="both"/>
        <w:rPr>
          <w:rFonts w:eastAsia="MS Mincho"/>
          <w:b/>
          <w:sz w:val="22"/>
          <w:szCs w:val="22"/>
        </w:rPr>
      </w:pPr>
      <w:r w:rsidRPr="004635E5">
        <w:rPr>
          <w:rFonts w:eastAsia="MS Mincho"/>
          <w:b/>
          <w:sz w:val="22"/>
          <w:szCs w:val="22"/>
        </w:rPr>
        <w:t xml:space="preserve"> </w:t>
      </w:r>
    </w:p>
    <w:p w14:paraId="3A2796E6" w14:textId="77777777" w:rsidR="00EE6CCB" w:rsidRPr="004635E5" w:rsidRDefault="00EE6CCB" w:rsidP="006633A8">
      <w:pPr>
        <w:tabs>
          <w:tab w:val="left" w:pos="2150"/>
        </w:tabs>
        <w:adjustRightInd w:val="0"/>
        <w:snapToGrid w:val="0"/>
        <w:jc w:val="both"/>
        <w:rPr>
          <w:rFonts w:eastAsia="MS Mincho"/>
          <w:b/>
          <w:sz w:val="22"/>
          <w:szCs w:val="22"/>
        </w:rPr>
      </w:pPr>
    </w:p>
    <w:p w14:paraId="1BD4CF06" w14:textId="77777777" w:rsidR="004313F8" w:rsidRDefault="004313F8" w:rsidP="006633A8">
      <w:pPr>
        <w:adjustRightInd w:val="0"/>
        <w:snapToGrid w:val="0"/>
        <w:rPr>
          <w:b/>
          <w:sz w:val="22"/>
          <w:szCs w:val="22"/>
        </w:rPr>
      </w:pPr>
      <w:r>
        <w:rPr>
          <w:b/>
          <w:sz w:val="22"/>
          <w:szCs w:val="22"/>
        </w:rPr>
        <w:br w:type="page"/>
      </w:r>
    </w:p>
    <w:p w14:paraId="4E16C802" w14:textId="77777777" w:rsidR="0041235F" w:rsidRPr="004635E5" w:rsidRDefault="0041235F" w:rsidP="006633A8">
      <w:pPr>
        <w:adjustRightInd w:val="0"/>
        <w:snapToGrid w:val="0"/>
        <w:jc w:val="both"/>
        <w:rPr>
          <w:sz w:val="22"/>
          <w:szCs w:val="22"/>
        </w:rPr>
      </w:pPr>
      <w:r w:rsidRPr="004635E5">
        <w:rPr>
          <w:b/>
          <w:sz w:val="22"/>
          <w:szCs w:val="22"/>
        </w:rPr>
        <w:t xml:space="preserve">Table </w:t>
      </w:r>
      <w:r w:rsidR="00937EEE">
        <w:rPr>
          <w:b/>
          <w:sz w:val="22"/>
          <w:szCs w:val="22"/>
        </w:rPr>
        <w:t>SFM-1</w:t>
      </w:r>
      <w:r w:rsidRPr="004635E5">
        <w:rPr>
          <w:sz w:val="22"/>
          <w:szCs w:val="22"/>
        </w:rPr>
        <w:t>. Recent estimates of catch, biomass, and spawning abundance (SA; number of mature female sharks), recruitment estimated, and fishing intensity (1-SPR) in the base case model.</w:t>
      </w:r>
    </w:p>
    <w:tbl>
      <w:tblPr>
        <w:tblStyle w:val="Simplescience11"/>
        <w:tblW w:w="7747" w:type="dxa"/>
        <w:tblBorders>
          <w:bottom w:val="none" w:sz="0" w:space="0" w:color="auto"/>
        </w:tblBorders>
        <w:tblLook w:val="04A0" w:firstRow="1" w:lastRow="0" w:firstColumn="1" w:lastColumn="0" w:noHBand="0" w:noVBand="1"/>
      </w:tblPr>
      <w:tblGrid>
        <w:gridCol w:w="720"/>
        <w:gridCol w:w="1620"/>
        <w:gridCol w:w="2340"/>
        <w:gridCol w:w="2160"/>
        <w:gridCol w:w="907"/>
      </w:tblGrid>
      <w:tr w:rsidR="0041235F" w:rsidRPr="004635E5" w14:paraId="3699DAF2" w14:textId="77777777" w:rsidTr="0041235F">
        <w:trPr>
          <w:cnfStyle w:val="100000000000" w:firstRow="1" w:lastRow="0" w:firstColumn="0" w:lastColumn="0" w:oddVBand="0" w:evenVBand="0" w:oddHBand="0" w:evenHBand="0" w:firstRowFirstColumn="0" w:firstRowLastColumn="0" w:lastRowFirstColumn="0" w:lastRowLastColumn="0"/>
          <w:trHeight w:val="575"/>
        </w:trPr>
        <w:tc>
          <w:tcPr>
            <w:tcW w:w="720" w:type="dxa"/>
            <w:tcBorders>
              <w:top w:val="single" w:sz="4" w:space="0" w:color="auto"/>
              <w:bottom w:val="single" w:sz="4" w:space="0" w:color="auto"/>
            </w:tcBorders>
          </w:tcPr>
          <w:p w14:paraId="5B03E2B8"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Year</w:t>
            </w:r>
          </w:p>
        </w:tc>
        <w:tc>
          <w:tcPr>
            <w:tcW w:w="1620" w:type="dxa"/>
            <w:tcBorders>
              <w:top w:val="single" w:sz="4" w:space="0" w:color="auto"/>
              <w:bottom w:val="single" w:sz="4" w:space="0" w:color="auto"/>
            </w:tcBorders>
          </w:tcPr>
          <w:p w14:paraId="3F1D9F8F"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Estimated catch (mt)</w:t>
            </w:r>
          </w:p>
        </w:tc>
        <w:tc>
          <w:tcPr>
            <w:tcW w:w="2340" w:type="dxa"/>
            <w:tcBorders>
              <w:top w:val="single" w:sz="4" w:space="0" w:color="auto"/>
              <w:bottom w:val="single" w:sz="4" w:space="0" w:color="auto"/>
            </w:tcBorders>
          </w:tcPr>
          <w:p w14:paraId="6E7F0E4F"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Spawning abundance (1000s)</w:t>
            </w:r>
          </w:p>
        </w:tc>
        <w:tc>
          <w:tcPr>
            <w:tcW w:w="2160" w:type="dxa"/>
            <w:tcBorders>
              <w:top w:val="single" w:sz="4" w:space="0" w:color="auto"/>
              <w:bottom w:val="single" w:sz="4" w:space="0" w:color="auto"/>
            </w:tcBorders>
          </w:tcPr>
          <w:p w14:paraId="1B54D2FB"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Number of recruits (1000s)</w:t>
            </w:r>
          </w:p>
        </w:tc>
        <w:tc>
          <w:tcPr>
            <w:tcW w:w="907" w:type="dxa"/>
            <w:tcBorders>
              <w:top w:val="single" w:sz="4" w:space="0" w:color="auto"/>
              <w:bottom w:val="single" w:sz="4" w:space="0" w:color="auto"/>
            </w:tcBorders>
          </w:tcPr>
          <w:p w14:paraId="202E986A"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1-SPR</w:t>
            </w:r>
          </w:p>
        </w:tc>
      </w:tr>
      <w:tr w:rsidR="0041235F" w:rsidRPr="004635E5" w14:paraId="7926C0A6" w14:textId="77777777" w:rsidTr="0041235F">
        <w:trPr>
          <w:trHeight w:val="297"/>
        </w:trPr>
        <w:tc>
          <w:tcPr>
            <w:tcW w:w="720" w:type="dxa"/>
            <w:tcBorders>
              <w:top w:val="single" w:sz="4" w:space="0" w:color="auto"/>
            </w:tcBorders>
          </w:tcPr>
          <w:p w14:paraId="477157D8"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2007</w:t>
            </w:r>
          </w:p>
        </w:tc>
        <w:tc>
          <w:tcPr>
            <w:tcW w:w="1620" w:type="dxa"/>
            <w:tcBorders>
              <w:top w:val="single" w:sz="4" w:space="0" w:color="auto"/>
            </w:tcBorders>
            <w:shd w:val="clear" w:color="auto" w:fill="auto"/>
          </w:tcPr>
          <w:p w14:paraId="6243E2D1"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2882.4</w:t>
            </w:r>
          </w:p>
        </w:tc>
        <w:tc>
          <w:tcPr>
            <w:tcW w:w="2340" w:type="dxa"/>
            <w:tcBorders>
              <w:top w:val="nil"/>
              <w:left w:val="nil"/>
              <w:bottom w:val="nil"/>
              <w:right w:val="nil"/>
            </w:tcBorders>
            <w:shd w:val="clear" w:color="auto" w:fill="auto"/>
          </w:tcPr>
          <w:p w14:paraId="61615499"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847.3</w:t>
            </w:r>
          </w:p>
        </w:tc>
        <w:tc>
          <w:tcPr>
            <w:tcW w:w="2160" w:type="dxa"/>
            <w:tcBorders>
              <w:top w:val="single" w:sz="4" w:space="0" w:color="auto"/>
              <w:left w:val="nil"/>
              <w:bottom w:val="nil"/>
              <w:right w:val="nil"/>
            </w:tcBorders>
            <w:shd w:val="clear" w:color="auto" w:fill="auto"/>
          </w:tcPr>
          <w:p w14:paraId="6DF76844"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1020.6</w:t>
            </w:r>
          </w:p>
        </w:tc>
        <w:tc>
          <w:tcPr>
            <w:tcW w:w="907" w:type="dxa"/>
            <w:tcBorders>
              <w:top w:val="nil"/>
              <w:left w:val="nil"/>
              <w:bottom w:val="nil"/>
              <w:right w:val="nil"/>
            </w:tcBorders>
            <w:shd w:val="clear" w:color="auto" w:fill="auto"/>
          </w:tcPr>
          <w:p w14:paraId="4767EE1E"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0.17</w:t>
            </w:r>
          </w:p>
        </w:tc>
      </w:tr>
      <w:tr w:rsidR="0041235F" w:rsidRPr="004635E5" w14:paraId="36CC5A67" w14:textId="77777777" w:rsidTr="0041235F">
        <w:trPr>
          <w:trHeight w:val="297"/>
        </w:trPr>
        <w:tc>
          <w:tcPr>
            <w:tcW w:w="720" w:type="dxa"/>
          </w:tcPr>
          <w:p w14:paraId="5EB992A5"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2008</w:t>
            </w:r>
          </w:p>
        </w:tc>
        <w:tc>
          <w:tcPr>
            <w:tcW w:w="1620" w:type="dxa"/>
            <w:shd w:val="clear" w:color="auto" w:fill="auto"/>
          </w:tcPr>
          <w:p w14:paraId="103BA4FA"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2506.5</w:t>
            </w:r>
          </w:p>
        </w:tc>
        <w:tc>
          <w:tcPr>
            <w:tcW w:w="2340" w:type="dxa"/>
            <w:tcBorders>
              <w:top w:val="nil"/>
              <w:left w:val="nil"/>
              <w:bottom w:val="nil"/>
              <w:right w:val="nil"/>
            </w:tcBorders>
            <w:shd w:val="clear" w:color="auto" w:fill="auto"/>
          </w:tcPr>
          <w:p w14:paraId="5B34C6E9"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850.4</w:t>
            </w:r>
          </w:p>
        </w:tc>
        <w:tc>
          <w:tcPr>
            <w:tcW w:w="2160" w:type="dxa"/>
            <w:tcBorders>
              <w:top w:val="nil"/>
              <w:left w:val="nil"/>
              <w:bottom w:val="nil"/>
              <w:right w:val="nil"/>
            </w:tcBorders>
            <w:shd w:val="clear" w:color="auto" w:fill="auto"/>
          </w:tcPr>
          <w:p w14:paraId="12BFCC69"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1112.8</w:t>
            </w:r>
          </w:p>
        </w:tc>
        <w:tc>
          <w:tcPr>
            <w:tcW w:w="907" w:type="dxa"/>
            <w:tcBorders>
              <w:top w:val="nil"/>
              <w:left w:val="nil"/>
              <w:bottom w:val="nil"/>
              <w:right w:val="nil"/>
            </w:tcBorders>
            <w:shd w:val="clear" w:color="auto" w:fill="auto"/>
          </w:tcPr>
          <w:p w14:paraId="6311A3F8"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0.15</w:t>
            </w:r>
          </w:p>
        </w:tc>
      </w:tr>
      <w:tr w:rsidR="0041235F" w:rsidRPr="004635E5" w14:paraId="75DD3A74" w14:textId="77777777" w:rsidTr="0041235F">
        <w:trPr>
          <w:trHeight w:val="307"/>
        </w:trPr>
        <w:tc>
          <w:tcPr>
            <w:tcW w:w="720" w:type="dxa"/>
          </w:tcPr>
          <w:p w14:paraId="58B4FE2E"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2009</w:t>
            </w:r>
          </w:p>
        </w:tc>
        <w:tc>
          <w:tcPr>
            <w:tcW w:w="1620" w:type="dxa"/>
            <w:shd w:val="clear" w:color="auto" w:fill="auto"/>
          </w:tcPr>
          <w:p w14:paraId="3287FF9B"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2704.6</w:t>
            </w:r>
          </w:p>
        </w:tc>
        <w:tc>
          <w:tcPr>
            <w:tcW w:w="2340" w:type="dxa"/>
            <w:tcBorders>
              <w:top w:val="nil"/>
              <w:left w:val="nil"/>
              <w:bottom w:val="nil"/>
              <w:right w:val="nil"/>
            </w:tcBorders>
            <w:shd w:val="clear" w:color="auto" w:fill="auto"/>
          </w:tcPr>
          <w:p w14:paraId="2665AF6F"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853.7</w:t>
            </w:r>
          </w:p>
        </w:tc>
        <w:tc>
          <w:tcPr>
            <w:tcW w:w="2160" w:type="dxa"/>
            <w:tcBorders>
              <w:top w:val="nil"/>
              <w:left w:val="nil"/>
              <w:bottom w:val="nil"/>
              <w:right w:val="nil"/>
            </w:tcBorders>
            <w:shd w:val="clear" w:color="auto" w:fill="auto"/>
          </w:tcPr>
          <w:p w14:paraId="2607EBCD"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1153.6</w:t>
            </w:r>
          </w:p>
        </w:tc>
        <w:tc>
          <w:tcPr>
            <w:tcW w:w="907" w:type="dxa"/>
            <w:tcBorders>
              <w:top w:val="nil"/>
              <w:left w:val="nil"/>
              <w:bottom w:val="nil"/>
              <w:right w:val="nil"/>
            </w:tcBorders>
            <w:shd w:val="clear" w:color="auto" w:fill="auto"/>
          </w:tcPr>
          <w:p w14:paraId="18EDCCF9"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0.16</w:t>
            </w:r>
          </w:p>
        </w:tc>
      </w:tr>
      <w:tr w:rsidR="0041235F" w:rsidRPr="004635E5" w14:paraId="163CED23" w14:textId="77777777" w:rsidTr="0041235F">
        <w:trPr>
          <w:trHeight w:val="297"/>
        </w:trPr>
        <w:tc>
          <w:tcPr>
            <w:tcW w:w="720" w:type="dxa"/>
          </w:tcPr>
          <w:p w14:paraId="431877B7"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2010</w:t>
            </w:r>
          </w:p>
        </w:tc>
        <w:tc>
          <w:tcPr>
            <w:tcW w:w="1620" w:type="dxa"/>
            <w:shd w:val="clear" w:color="auto" w:fill="auto"/>
          </w:tcPr>
          <w:p w14:paraId="1CB57FD3"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2824.6</w:t>
            </w:r>
          </w:p>
        </w:tc>
        <w:tc>
          <w:tcPr>
            <w:tcW w:w="2340" w:type="dxa"/>
            <w:tcBorders>
              <w:top w:val="nil"/>
              <w:left w:val="nil"/>
              <w:bottom w:val="nil"/>
              <w:right w:val="nil"/>
            </w:tcBorders>
            <w:shd w:val="clear" w:color="auto" w:fill="auto"/>
          </w:tcPr>
          <w:p w14:paraId="79F57B0B"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856.8</w:t>
            </w:r>
          </w:p>
        </w:tc>
        <w:tc>
          <w:tcPr>
            <w:tcW w:w="2160" w:type="dxa"/>
            <w:tcBorders>
              <w:top w:val="nil"/>
              <w:left w:val="nil"/>
              <w:bottom w:val="nil"/>
              <w:right w:val="nil"/>
            </w:tcBorders>
            <w:shd w:val="clear" w:color="auto" w:fill="auto"/>
          </w:tcPr>
          <w:p w14:paraId="597E5A71"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1152.3</w:t>
            </w:r>
          </w:p>
        </w:tc>
        <w:tc>
          <w:tcPr>
            <w:tcW w:w="907" w:type="dxa"/>
            <w:tcBorders>
              <w:top w:val="nil"/>
              <w:left w:val="nil"/>
              <w:bottom w:val="nil"/>
              <w:right w:val="nil"/>
            </w:tcBorders>
            <w:shd w:val="clear" w:color="auto" w:fill="auto"/>
          </w:tcPr>
          <w:p w14:paraId="5F608E38"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0.17</w:t>
            </w:r>
          </w:p>
        </w:tc>
      </w:tr>
      <w:tr w:rsidR="0041235F" w:rsidRPr="004635E5" w14:paraId="0E92E446" w14:textId="77777777" w:rsidTr="0041235F">
        <w:trPr>
          <w:trHeight w:val="297"/>
        </w:trPr>
        <w:tc>
          <w:tcPr>
            <w:tcW w:w="720" w:type="dxa"/>
          </w:tcPr>
          <w:p w14:paraId="3A6215AE"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2011</w:t>
            </w:r>
          </w:p>
        </w:tc>
        <w:tc>
          <w:tcPr>
            <w:tcW w:w="1620" w:type="dxa"/>
            <w:shd w:val="clear" w:color="auto" w:fill="auto"/>
          </w:tcPr>
          <w:p w14:paraId="5FE6965E"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2646.1</w:t>
            </w:r>
          </w:p>
        </w:tc>
        <w:tc>
          <w:tcPr>
            <w:tcW w:w="2340" w:type="dxa"/>
            <w:tcBorders>
              <w:top w:val="nil"/>
              <w:left w:val="nil"/>
              <w:bottom w:val="nil"/>
              <w:right w:val="nil"/>
            </w:tcBorders>
            <w:shd w:val="clear" w:color="auto" w:fill="auto"/>
          </w:tcPr>
          <w:p w14:paraId="2C236C0A"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858.9</w:t>
            </w:r>
          </w:p>
        </w:tc>
        <w:tc>
          <w:tcPr>
            <w:tcW w:w="2160" w:type="dxa"/>
            <w:tcBorders>
              <w:top w:val="nil"/>
              <w:left w:val="nil"/>
              <w:bottom w:val="nil"/>
              <w:right w:val="nil"/>
            </w:tcBorders>
            <w:shd w:val="clear" w:color="auto" w:fill="auto"/>
          </w:tcPr>
          <w:p w14:paraId="65F497F1"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1099.0</w:t>
            </w:r>
          </w:p>
        </w:tc>
        <w:tc>
          <w:tcPr>
            <w:tcW w:w="907" w:type="dxa"/>
            <w:tcBorders>
              <w:top w:val="nil"/>
              <w:left w:val="nil"/>
              <w:bottom w:val="nil"/>
              <w:right w:val="nil"/>
            </w:tcBorders>
            <w:shd w:val="clear" w:color="auto" w:fill="auto"/>
          </w:tcPr>
          <w:p w14:paraId="7375F05C"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0.16</w:t>
            </w:r>
          </w:p>
        </w:tc>
      </w:tr>
      <w:tr w:rsidR="0041235F" w:rsidRPr="004635E5" w14:paraId="3DD202AA" w14:textId="77777777" w:rsidTr="0041235F">
        <w:trPr>
          <w:trHeight w:val="307"/>
        </w:trPr>
        <w:tc>
          <w:tcPr>
            <w:tcW w:w="720" w:type="dxa"/>
          </w:tcPr>
          <w:p w14:paraId="344C05CE"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2012</w:t>
            </w:r>
          </w:p>
        </w:tc>
        <w:tc>
          <w:tcPr>
            <w:tcW w:w="1620" w:type="dxa"/>
            <w:shd w:val="clear" w:color="auto" w:fill="auto"/>
          </w:tcPr>
          <w:p w14:paraId="63878866"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2545.0</w:t>
            </w:r>
          </w:p>
        </w:tc>
        <w:tc>
          <w:tcPr>
            <w:tcW w:w="2340" w:type="dxa"/>
            <w:tcBorders>
              <w:top w:val="nil"/>
              <w:left w:val="nil"/>
              <w:bottom w:val="nil"/>
              <w:right w:val="nil"/>
            </w:tcBorders>
            <w:shd w:val="clear" w:color="auto" w:fill="auto"/>
          </w:tcPr>
          <w:p w14:paraId="6188A5B7"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860.0</w:t>
            </w:r>
          </w:p>
        </w:tc>
        <w:tc>
          <w:tcPr>
            <w:tcW w:w="2160" w:type="dxa"/>
            <w:tcBorders>
              <w:top w:val="nil"/>
              <w:left w:val="nil"/>
              <w:bottom w:val="nil"/>
              <w:right w:val="nil"/>
            </w:tcBorders>
            <w:shd w:val="clear" w:color="auto" w:fill="auto"/>
          </w:tcPr>
          <w:p w14:paraId="524A5690"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1169.0</w:t>
            </w:r>
          </w:p>
        </w:tc>
        <w:tc>
          <w:tcPr>
            <w:tcW w:w="907" w:type="dxa"/>
            <w:tcBorders>
              <w:top w:val="nil"/>
              <w:left w:val="nil"/>
              <w:bottom w:val="nil"/>
              <w:right w:val="nil"/>
            </w:tcBorders>
            <w:shd w:val="clear" w:color="auto" w:fill="auto"/>
          </w:tcPr>
          <w:p w14:paraId="08E7C089"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0.15</w:t>
            </w:r>
          </w:p>
        </w:tc>
      </w:tr>
      <w:tr w:rsidR="0041235F" w:rsidRPr="004635E5" w14:paraId="263910B1" w14:textId="77777777" w:rsidTr="0041235F">
        <w:trPr>
          <w:trHeight w:val="297"/>
        </w:trPr>
        <w:tc>
          <w:tcPr>
            <w:tcW w:w="720" w:type="dxa"/>
          </w:tcPr>
          <w:p w14:paraId="3CBD04C1"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2013</w:t>
            </w:r>
          </w:p>
        </w:tc>
        <w:tc>
          <w:tcPr>
            <w:tcW w:w="1620" w:type="dxa"/>
            <w:shd w:val="clear" w:color="auto" w:fill="auto"/>
          </w:tcPr>
          <w:p w14:paraId="3A6C4784"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2329.1</w:t>
            </w:r>
          </w:p>
        </w:tc>
        <w:tc>
          <w:tcPr>
            <w:tcW w:w="2340" w:type="dxa"/>
            <w:tcBorders>
              <w:top w:val="nil"/>
              <w:left w:val="nil"/>
              <w:bottom w:val="nil"/>
              <w:right w:val="nil"/>
            </w:tcBorders>
            <w:shd w:val="clear" w:color="auto" w:fill="auto"/>
          </w:tcPr>
          <w:p w14:paraId="67005FE7"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860.4</w:t>
            </w:r>
          </w:p>
        </w:tc>
        <w:tc>
          <w:tcPr>
            <w:tcW w:w="2160" w:type="dxa"/>
            <w:tcBorders>
              <w:top w:val="nil"/>
              <w:left w:val="nil"/>
              <w:bottom w:val="nil"/>
              <w:right w:val="nil"/>
            </w:tcBorders>
            <w:shd w:val="clear" w:color="auto" w:fill="auto"/>
          </w:tcPr>
          <w:p w14:paraId="146C0FAA"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1151.8</w:t>
            </w:r>
          </w:p>
        </w:tc>
        <w:tc>
          <w:tcPr>
            <w:tcW w:w="907" w:type="dxa"/>
            <w:tcBorders>
              <w:top w:val="nil"/>
              <w:left w:val="nil"/>
              <w:bottom w:val="nil"/>
              <w:right w:val="nil"/>
            </w:tcBorders>
            <w:shd w:val="clear" w:color="auto" w:fill="auto"/>
          </w:tcPr>
          <w:p w14:paraId="10A1B212"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0.13</w:t>
            </w:r>
          </w:p>
        </w:tc>
      </w:tr>
      <w:tr w:rsidR="0041235F" w:rsidRPr="004635E5" w14:paraId="20D03A6F" w14:textId="77777777" w:rsidTr="0041235F">
        <w:trPr>
          <w:trHeight w:val="297"/>
        </w:trPr>
        <w:tc>
          <w:tcPr>
            <w:tcW w:w="720" w:type="dxa"/>
          </w:tcPr>
          <w:p w14:paraId="764219F5"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2014</w:t>
            </w:r>
          </w:p>
        </w:tc>
        <w:tc>
          <w:tcPr>
            <w:tcW w:w="1620" w:type="dxa"/>
            <w:shd w:val="clear" w:color="auto" w:fill="auto"/>
          </w:tcPr>
          <w:p w14:paraId="60EACD07"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2460.3</w:t>
            </w:r>
          </w:p>
        </w:tc>
        <w:tc>
          <w:tcPr>
            <w:tcW w:w="2340" w:type="dxa"/>
            <w:tcBorders>
              <w:top w:val="nil"/>
              <w:left w:val="nil"/>
              <w:bottom w:val="nil"/>
              <w:right w:val="nil"/>
            </w:tcBorders>
            <w:shd w:val="clear" w:color="auto" w:fill="auto"/>
          </w:tcPr>
          <w:p w14:paraId="2AC87DA8"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860.3</w:t>
            </w:r>
          </w:p>
        </w:tc>
        <w:tc>
          <w:tcPr>
            <w:tcW w:w="2160" w:type="dxa"/>
            <w:tcBorders>
              <w:top w:val="nil"/>
              <w:left w:val="nil"/>
              <w:bottom w:val="nil"/>
              <w:right w:val="nil"/>
            </w:tcBorders>
            <w:shd w:val="clear" w:color="auto" w:fill="auto"/>
          </w:tcPr>
          <w:p w14:paraId="68895006"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1141.7</w:t>
            </w:r>
          </w:p>
        </w:tc>
        <w:tc>
          <w:tcPr>
            <w:tcW w:w="907" w:type="dxa"/>
            <w:tcBorders>
              <w:top w:val="nil"/>
              <w:left w:val="nil"/>
              <w:bottom w:val="nil"/>
              <w:right w:val="nil"/>
            </w:tcBorders>
            <w:shd w:val="clear" w:color="auto" w:fill="auto"/>
          </w:tcPr>
          <w:p w14:paraId="76CFE6A5"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0.17</w:t>
            </w:r>
          </w:p>
        </w:tc>
      </w:tr>
      <w:tr w:rsidR="0041235F" w:rsidRPr="004635E5" w14:paraId="1CC46800" w14:textId="77777777" w:rsidTr="0041235F">
        <w:trPr>
          <w:trHeight w:val="307"/>
        </w:trPr>
        <w:tc>
          <w:tcPr>
            <w:tcW w:w="720" w:type="dxa"/>
          </w:tcPr>
          <w:p w14:paraId="6F5E7CC7"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2015</w:t>
            </w:r>
          </w:p>
        </w:tc>
        <w:tc>
          <w:tcPr>
            <w:tcW w:w="1620" w:type="dxa"/>
            <w:shd w:val="clear" w:color="auto" w:fill="auto"/>
          </w:tcPr>
          <w:p w14:paraId="16E5D0F0"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2519.9</w:t>
            </w:r>
          </w:p>
        </w:tc>
        <w:tc>
          <w:tcPr>
            <w:tcW w:w="2340" w:type="dxa"/>
            <w:tcBorders>
              <w:top w:val="nil"/>
              <w:left w:val="nil"/>
              <w:right w:val="nil"/>
            </w:tcBorders>
            <w:shd w:val="clear" w:color="auto" w:fill="auto"/>
          </w:tcPr>
          <w:p w14:paraId="098D375F"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859.9</w:t>
            </w:r>
          </w:p>
        </w:tc>
        <w:tc>
          <w:tcPr>
            <w:tcW w:w="2160" w:type="dxa"/>
            <w:tcBorders>
              <w:top w:val="nil"/>
              <w:left w:val="nil"/>
              <w:right w:val="nil"/>
            </w:tcBorders>
            <w:shd w:val="clear" w:color="auto" w:fill="auto"/>
          </w:tcPr>
          <w:p w14:paraId="0991E320"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1087.9</w:t>
            </w:r>
          </w:p>
        </w:tc>
        <w:tc>
          <w:tcPr>
            <w:tcW w:w="907" w:type="dxa"/>
            <w:tcBorders>
              <w:top w:val="nil"/>
              <w:left w:val="nil"/>
              <w:bottom w:val="nil"/>
              <w:right w:val="nil"/>
            </w:tcBorders>
            <w:shd w:val="clear" w:color="auto" w:fill="auto"/>
          </w:tcPr>
          <w:p w14:paraId="3CC2EB29"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0.19</w:t>
            </w:r>
          </w:p>
        </w:tc>
      </w:tr>
      <w:tr w:rsidR="0041235F" w:rsidRPr="004635E5" w14:paraId="67EFC4C3" w14:textId="77777777" w:rsidTr="0041235F">
        <w:trPr>
          <w:trHeight w:val="297"/>
        </w:trPr>
        <w:tc>
          <w:tcPr>
            <w:tcW w:w="720" w:type="dxa"/>
            <w:tcBorders>
              <w:bottom w:val="single" w:sz="4" w:space="0" w:color="auto"/>
            </w:tcBorders>
          </w:tcPr>
          <w:p w14:paraId="35D69541"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2016</w:t>
            </w:r>
          </w:p>
        </w:tc>
        <w:tc>
          <w:tcPr>
            <w:tcW w:w="1620" w:type="dxa"/>
            <w:tcBorders>
              <w:bottom w:val="single" w:sz="4" w:space="0" w:color="auto"/>
            </w:tcBorders>
            <w:shd w:val="clear" w:color="auto" w:fill="auto"/>
          </w:tcPr>
          <w:p w14:paraId="04289C82"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2346.8</w:t>
            </w:r>
          </w:p>
        </w:tc>
        <w:tc>
          <w:tcPr>
            <w:tcW w:w="2340" w:type="dxa"/>
            <w:tcBorders>
              <w:top w:val="nil"/>
              <w:left w:val="nil"/>
              <w:bottom w:val="single" w:sz="4" w:space="0" w:color="auto"/>
              <w:right w:val="nil"/>
            </w:tcBorders>
            <w:shd w:val="clear" w:color="auto" w:fill="auto"/>
          </w:tcPr>
          <w:p w14:paraId="2508DC0E"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860.2</w:t>
            </w:r>
          </w:p>
        </w:tc>
        <w:tc>
          <w:tcPr>
            <w:tcW w:w="2160" w:type="dxa"/>
            <w:tcBorders>
              <w:top w:val="nil"/>
              <w:left w:val="nil"/>
              <w:bottom w:val="single" w:sz="4" w:space="0" w:color="auto"/>
              <w:right w:val="nil"/>
            </w:tcBorders>
            <w:shd w:val="clear" w:color="auto" w:fill="auto"/>
          </w:tcPr>
          <w:p w14:paraId="5FEEBABC"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1122.0</w:t>
            </w:r>
          </w:p>
        </w:tc>
        <w:tc>
          <w:tcPr>
            <w:tcW w:w="907" w:type="dxa"/>
            <w:tcBorders>
              <w:top w:val="nil"/>
              <w:left w:val="nil"/>
              <w:bottom w:val="single" w:sz="4" w:space="0" w:color="auto"/>
              <w:right w:val="nil"/>
            </w:tcBorders>
            <w:shd w:val="clear" w:color="auto" w:fill="auto"/>
          </w:tcPr>
          <w:p w14:paraId="647E9A3B" w14:textId="77777777" w:rsidR="0041235F" w:rsidRPr="004635E5" w:rsidRDefault="0041235F" w:rsidP="006633A8">
            <w:pPr>
              <w:adjustRightInd w:val="0"/>
              <w:snapToGrid w:val="0"/>
              <w:jc w:val="right"/>
              <w:rPr>
                <w:rFonts w:ascii="Times New Roman" w:eastAsia="MS Mincho" w:hAnsi="Times New Roman"/>
                <w:sz w:val="22"/>
                <w:szCs w:val="22"/>
                <w:lang w:eastAsia="zh-CN" w:bidi="th-TH"/>
              </w:rPr>
            </w:pPr>
            <w:r w:rsidRPr="004635E5">
              <w:rPr>
                <w:rFonts w:ascii="Times New Roman" w:eastAsia="MS Mincho" w:hAnsi="Times New Roman"/>
                <w:color w:val="000000"/>
                <w:sz w:val="22"/>
                <w:szCs w:val="22"/>
                <w:lang w:eastAsia="zh-CN" w:bidi="th-TH"/>
              </w:rPr>
              <w:t>0.14</w:t>
            </w:r>
          </w:p>
        </w:tc>
      </w:tr>
    </w:tbl>
    <w:p w14:paraId="745C6C4A" w14:textId="77777777" w:rsidR="007C3D16" w:rsidRDefault="007C3D16" w:rsidP="006633A8">
      <w:pPr>
        <w:adjustRightInd w:val="0"/>
        <w:snapToGrid w:val="0"/>
        <w:jc w:val="both"/>
        <w:rPr>
          <w:b/>
          <w:sz w:val="22"/>
          <w:szCs w:val="22"/>
        </w:rPr>
      </w:pPr>
    </w:p>
    <w:p w14:paraId="18B351F7" w14:textId="77777777" w:rsidR="009777E6" w:rsidRDefault="009777E6" w:rsidP="006633A8">
      <w:pPr>
        <w:adjustRightInd w:val="0"/>
        <w:snapToGrid w:val="0"/>
        <w:jc w:val="both"/>
        <w:rPr>
          <w:b/>
          <w:sz w:val="22"/>
          <w:szCs w:val="22"/>
        </w:rPr>
      </w:pPr>
    </w:p>
    <w:p w14:paraId="325C269B" w14:textId="77777777" w:rsidR="009777E6" w:rsidRPr="004635E5" w:rsidRDefault="009777E6" w:rsidP="006633A8">
      <w:pPr>
        <w:adjustRightInd w:val="0"/>
        <w:snapToGrid w:val="0"/>
        <w:jc w:val="both"/>
        <w:rPr>
          <w:b/>
          <w:sz w:val="22"/>
          <w:szCs w:val="22"/>
        </w:rPr>
      </w:pPr>
    </w:p>
    <w:p w14:paraId="1441D2CA" w14:textId="77777777" w:rsidR="0041235F" w:rsidRPr="004635E5" w:rsidRDefault="0041235F" w:rsidP="006633A8">
      <w:pPr>
        <w:adjustRightInd w:val="0"/>
        <w:snapToGrid w:val="0"/>
        <w:jc w:val="both"/>
        <w:rPr>
          <w:sz w:val="22"/>
          <w:szCs w:val="22"/>
        </w:rPr>
      </w:pPr>
      <w:r w:rsidRPr="004635E5">
        <w:rPr>
          <w:b/>
          <w:sz w:val="22"/>
          <w:szCs w:val="22"/>
        </w:rPr>
        <w:t xml:space="preserve">Table </w:t>
      </w:r>
      <w:r w:rsidR="00937EEE">
        <w:rPr>
          <w:b/>
          <w:sz w:val="22"/>
          <w:szCs w:val="22"/>
        </w:rPr>
        <w:t>SFM-2</w:t>
      </w:r>
      <w:r w:rsidRPr="004635E5">
        <w:rPr>
          <w:sz w:val="22"/>
          <w:szCs w:val="22"/>
        </w:rPr>
        <w:t xml:space="preserve">. Estimated reference points for the base case model. </w:t>
      </w:r>
    </w:p>
    <w:tbl>
      <w:tblPr>
        <w:tblStyle w:val="Simplescience11"/>
        <w:tblpPr w:leftFromText="180" w:rightFromText="180" w:vertAnchor="text" w:horzAnchor="margin" w:tblpY="32"/>
        <w:tblW w:w="0" w:type="auto"/>
        <w:tblBorders>
          <w:bottom w:val="none" w:sz="0" w:space="0" w:color="auto"/>
        </w:tblBorders>
        <w:tblLook w:val="04A0" w:firstRow="1" w:lastRow="0" w:firstColumn="1" w:lastColumn="0" w:noHBand="0" w:noVBand="1"/>
      </w:tblPr>
      <w:tblGrid>
        <w:gridCol w:w="3510"/>
        <w:gridCol w:w="1168"/>
        <w:gridCol w:w="1843"/>
        <w:gridCol w:w="2268"/>
      </w:tblGrid>
      <w:tr w:rsidR="0041235F" w:rsidRPr="004635E5" w14:paraId="625EA65D" w14:textId="77777777" w:rsidTr="0041235F">
        <w:trPr>
          <w:cnfStyle w:val="100000000000" w:firstRow="1" w:lastRow="0" w:firstColumn="0" w:lastColumn="0" w:oddVBand="0" w:evenVBand="0" w:oddHBand="0" w:evenHBand="0" w:firstRowFirstColumn="0" w:firstRowLastColumn="0" w:lastRowFirstColumn="0" w:lastRowLastColumn="0"/>
        </w:trPr>
        <w:tc>
          <w:tcPr>
            <w:tcW w:w="3510" w:type="dxa"/>
            <w:tcBorders>
              <w:top w:val="single" w:sz="4" w:space="0" w:color="auto"/>
              <w:bottom w:val="single" w:sz="4" w:space="0" w:color="auto"/>
            </w:tcBorders>
          </w:tcPr>
          <w:p w14:paraId="3C4057FD" w14:textId="77777777" w:rsidR="0041235F" w:rsidRPr="004635E5" w:rsidRDefault="0041235F" w:rsidP="006633A8">
            <w:pPr>
              <w:adjustRightInd w:val="0"/>
              <w:snapToGrid w:val="0"/>
              <w:jc w:val="both"/>
              <w:rPr>
                <w:rFonts w:ascii="Times New Roman" w:eastAsia="Yu Mincho" w:hAnsi="Times New Roman"/>
                <w:sz w:val="22"/>
                <w:szCs w:val="22"/>
                <w:lang w:eastAsia="ja-JP" w:bidi="th-TH"/>
              </w:rPr>
            </w:pPr>
            <w:r w:rsidRPr="004635E5">
              <w:rPr>
                <w:rFonts w:ascii="Times New Roman" w:eastAsia="Yu Mincho" w:hAnsi="Times New Roman"/>
                <w:sz w:val="22"/>
                <w:szCs w:val="22"/>
                <w:lang w:eastAsia="ja-JP" w:bidi="th-TH"/>
              </w:rPr>
              <w:t>Reference points</w:t>
            </w:r>
          </w:p>
        </w:tc>
        <w:tc>
          <w:tcPr>
            <w:tcW w:w="1168" w:type="dxa"/>
            <w:tcBorders>
              <w:top w:val="single" w:sz="4" w:space="0" w:color="auto"/>
              <w:bottom w:val="single" w:sz="4" w:space="0" w:color="auto"/>
            </w:tcBorders>
          </w:tcPr>
          <w:p w14:paraId="0B7C5F21" w14:textId="77777777" w:rsidR="0041235F" w:rsidRPr="004635E5" w:rsidRDefault="0041235F" w:rsidP="006633A8">
            <w:pPr>
              <w:adjustRightInd w:val="0"/>
              <w:snapToGrid w:val="0"/>
              <w:jc w:val="both"/>
              <w:rPr>
                <w:rFonts w:ascii="Times New Roman" w:eastAsia="Yu Mincho" w:hAnsi="Times New Roman"/>
                <w:sz w:val="22"/>
                <w:szCs w:val="22"/>
                <w:lang w:eastAsia="ja-JP" w:bidi="th-TH"/>
              </w:rPr>
            </w:pPr>
            <w:r w:rsidRPr="004635E5">
              <w:rPr>
                <w:rFonts w:ascii="Times New Roman" w:eastAsia="Yu Mincho" w:hAnsi="Times New Roman"/>
                <w:sz w:val="22"/>
                <w:szCs w:val="22"/>
                <w:lang w:eastAsia="ja-JP" w:bidi="th-TH"/>
              </w:rPr>
              <w:t>Symbol</w:t>
            </w:r>
          </w:p>
        </w:tc>
        <w:tc>
          <w:tcPr>
            <w:tcW w:w="1843" w:type="dxa"/>
            <w:tcBorders>
              <w:top w:val="single" w:sz="4" w:space="0" w:color="auto"/>
              <w:bottom w:val="single" w:sz="4" w:space="0" w:color="auto"/>
            </w:tcBorders>
          </w:tcPr>
          <w:p w14:paraId="3D5A1CC7"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Estimate (CV)</w:t>
            </w:r>
          </w:p>
        </w:tc>
        <w:tc>
          <w:tcPr>
            <w:tcW w:w="2268" w:type="dxa"/>
            <w:tcBorders>
              <w:top w:val="single" w:sz="4" w:space="0" w:color="auto"/>
              <w:bottom w:val="single" w:sz="4" w:space="0" w:color="auto"/>
            </w:tcBorders>
          </w:tcPr>
          <w:p w14:paraId="450EC314"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Units</w:t>
            </w:r>
          </w:p>
        </w:tc>
      </w:tr>
      <w:tr w:rsidR="0041235F" w:rsidRPr="004635E5" w14:paraId="41C4D83D" w14:textId="77777777" w:rsidTr="0041235F">
        <w:tc>
          <w:tcPr>
            <w:tcW w:w="3510" w:type="dxa"/>
            <w:tcBorders>
              <w:top w:val="single" w:sz="4" w:space="0" w:color="auto"/>
            </w:tcBorders>
          </w:tcPr>
          <w:p w14:paraId="64211E4A" w14:textId="77777777" w:rsidR="0041235F" w:rsidRPr="004635E5" w:rsidRDefault="0041235F" w:rsidP="006633A8">
            <w:pPr>
              <w:adjustRightInd w:val="0"/>
              <w:snapToGrid w:val="0"/>
              <w:rPr>
                <w:rFonts w:ascii="Times New Roman" w:hAnsi="Times New Roman"/>
                <w:b/>
                <w:sz w:val="22"/>
                <w:szCs w:val="22"/>
                <w:lang w:eastAsia="zh-CN" w:bidi="th-TH"/>
              </w:rPr>
            </w:pPr>
            <w:r w:rsidRPr="004635E5">
              <w:rPr>
                <w:rFonts w:ascii="Times New Roman" w:hAnsi="Times New Roman"/>
                <w:b/>
                <w:sz w:val="22"/>
                <w:szCs w:val="22"/>
                <w:lang w:eastAsia="zh-CN" w:bidi="th-TH"/>
              </w:rPr>
              <w:t>Unfished conditions</w:t>
            </w:r>
          </w:p>
        </w:tc>
        <w:tc>
          <w:tcPr>
            <w:tcW w:w="1168" w:type="dxa"/>
            <w:tcBorders>
              <w:top w:val="single" w:sz="4" w:space="0" w:color="auto"/>
            </w:tcBorders>
          </w:tcPr>
          <w:p w14:paraId="6593FB49" w14:textId="77777777" w:rsidR="0041235F" w:rsidRPr="004635E5" w:rsidRDefault="0041235F" w:rsidP="006633A8">
            <w:pPr>
              <w:adjustRightInd w:val="0"/>
              <w:snapToGrid w:val="0"/>
              <w:jc w:val="both"/>
              <w:rPr>
                <w:rFonts w:ascii="Times New Roman" w:hAnsi="Times New Roman"/>
                <w:sz w:val="22"/>
                <w:szCs w:val="22"/>
                <w:lang w:eastAsia="zh-CN" w:bidi="th-TH"/>
              </w:rPr>
            </w:pPr>
          </w:p>
        </w:tc>
        <w:tc>
          <w:tcPr>
            <w:tcW w:w="1843" w:type="dxa"/>
            <w:tcBorders>
              <w:top w:val="single" w:sz="4" w:space="0" w:color="auto"/>
            </w:tcBorders>
          </w:tcPr>
          <w:p w14:paraId="791C09C4" w14:textId="77777777" w:rsidR="0041235F" w:rsidRPr="004635E5" w:rsidRDefault="0041235F" w:rsidP="006633A8">
            <w:pPr>
              <w:adjustRightInd w:val="0"/>
              <w:snapToGrid w:val="0"/>
              <w:jc w:val="both"/>
              <w:rPr>
                <w:rFonts w:ascii="Times New Roman" w:hAnsi="Times New Roman"/>
                <w:sz w:val="22"/>
                <w:szCs w:val="22"/>
                <w:lang w:eastAsia="zh-CN" w:bidi="th-TH"/>
              </w:rPr>
            </w:pPr>
          </w:p>
        </w:tc>
        <w:tc>
          <w:tcPr>
            <w:tcW w:w="2268" w:type="dxa"/>
            <w:tcBorders>
              <w:top w:val="single" w:sz="4" w:space="0" w:color="auto"/>
            </w:tcBorders>
          </w:tcPr>
          <w:p w14:paraId="43AF93C5" w14:textId="77777777" w:rsidR="0041235F" w:rsidRPr="004635E5" w:rsidRDefault="0041235F" w:rsidP="006633A8">
            <w:pPr>
              <w:adjustRightInd w:val="0"/>
              <w:snapToGrid w:val="0"/>
              <w:jc w:val="both"/>
              <w:rPr>
                <w:rFonts w:ascii="Times New Roman" w:hAnsi="Times New Roman"/>
                <w:sz w:val="22"/>
                <w:szCs w:val="22"/>
                <w:lang w:eastAsia="zh-CN" w:bidi="th-TH"/>
              </w:rPr>
            </w:pPr>
          </w:p>
        </w:tc>
      </w:tr>
      <w:tr w:rsidR="0041235F" w:rsidRPr="004635E5" w14:paraId="53FE3705" w14:textId="77777777" w:rsidTr="0041235F">
        <w:tc>
          <w:tcPr>
            <w:tcW w:w="3510" w:type="dxa"/>
          </w:tcPr>
          <w:p w14:paraId="37A876AD"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Spawning abundance (number of mature female sharks)</w:t>
            </w:r>
          </w:p>
        </w:tc>
        <w:tc>
          <w:tcPr>
            <w:tcW w:w="1168" w:type="dxa"/>
          </w:tcPr>
          <w:p w14:paraId="54DD8E82" w14:textId="77777777" w:rsidR="0041235F" w:rsidRPr="004635E5" w:rsidRDefault="0041235F" w:rsidP="006633A8">
            <w:pPr>
              <w:adjustRightInd w:val="0"/>
              <w:snapToGrid w:val="0"/>
              <w:jc w:val="both"/>
              <w:rPr>
                <w:rFonts w:ascii="Times New Roman" w:eastAsia="MS Mincho" w:hAnsi="Times New Roman"/>
                <w:sz w:val="22"/>
                <w:szCs w:val="22"/>
                <w:lang w:eastAsia="zh-CN" w:bidi="th-TH"/>
              </w:rPr>
            </w:pPr>
            <w:r w:rsidRPr="004635E5">
              <w:rPr>
                <w:rFonts w:ascii="Times New Roman" w:hAnsi="Times New Roman"/>
                <w:sz w:val="22"/>
                <w:szCs w:val="22"/>
                <w:lang w:eastAsia="zh-CN" w:bidi="th-TH"/>
              </w:rPr>
              <w:t>SA</w:t>
            </w:r>
            <w:r w:rsidRPr="004635E5">
              <w:rPr>
                <w:rFonts w:ascii="Times New Roman" w:hAnsi="Times New Roman"/>
                <w:sz w:val="22"/>
                <w:szCs w:val="22"/>
                <w:vertAlign w:val="subscript"/>
                <w:lang w:eastAsia="zh-CN" w:bidi="th-TH"/>
              </w:rPr>
              <w:t>0</w:t>
            </w:r>
          </w:p>
        </w:tc>
        <w:tc>
          <w:tcPr>
            <w:tcW w:w="1843" w:type="dxa"/>
          </w:tcPr>
          <w:p w14:paraId="52B0EBE4" w14:textId="77777777" w:rsidR="0041235F" w:rsidRPr="004635E5" w:rsidRDefault="0041235F" w:rsidP="006633A8">
            <w:pPr>
              <w:adjustRightInd w:val="0"/>
              <w:snapToGrid w:val="0"/>
              <w:jc w:val="both"/>
              <w:rPr>
                <w:rFonts w:ascii="Times New Roman" w:eastAsia="MS Mincho" w:hAnsi="Times New Roman"/>
                <w:sz w:val="22"/>
                <w:szCs w:val="22"/>
                <w:lang w:eastAsia="zh-CN" w:bidi="th-TH"/>
              </w:rPr>
            </w:pPr>
            <w:r w:rsidRPr="004635E5">
              <w:rPr>
                <w:rFonts w:ascii="Times New Roman" w:eastAsia="MS Mincho" w:hAnsi="Times New Roman"/>
                <w:sz w:val="22"/>
                <w:szCs w:val="22"/>
                <w:lang w:eastAsia="zh-CN" w:bidi="th-TH"/>
              </w:rPr>
              <w:t>1465.8</w:t>
            </w:r>
            <w:r w:rsidRPr="004635E5">
              <w:rPr>
                <w:rFonts w:ascii="Times New Roman" w:hAnsi="Times New Roman"/>
                <w:sz w:val="22"/>
                <w:szCs w:val="22"/>
                <w:lang w:eastAsia="zh-CN" w:bidi="th-TH"/>
              </w:rPr>
              <w:t xml:space="preserve"> (23.3%)</w:t>
            </w:r>
          </w:p>
        </w:tc>
        <w:tc>
          <w:tcPr>
            <w:tcW w:w="2268" w:type="dxa"/>
          </w:tcPr>
          <w:p w14:paraId="68565B6C"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1000s of sharks</w:t>
            </w:r>
          </w:p>
        </w:tc>
      </w:tr>
      <w:tr w:rsidR="0041235F" w:rsidRPr="004635E5" w14:paraId="362A22F5" w14:textId="77777777" w:rsidTr="0041235F">
        <w:tc>
          <w:tcPr>
            <w:tcW w:w="3510" w:type="dxa"/>
          </w:tcPr>
          <w:p w14:paraId="5A918D29"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Recruitment at age-0</w:t>
            </w:r>
          </w:p>
        </w:tc>
        <w:tc>
          <w:tcPr>
            <w:tcW w:w="1168" w:type="dxa"/>
          </w:tcPr>
          <w:p w14:paraId="1CE14FA3"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R</w:t>
            </w:r>
            <w:r w:rsidRPr="004635E5">
              <w:rPr>
                <w:rFonts w:ascii="Times New Roman" w:hAnsi="Times New Roman"/>
                <w:sz w:val="22"/>
                <w:szCs w:val="22"/>
                <w:vertAlign w:val="subscript"/>
                <w:lang w:eastAsia="zh-CN" w:bidi="th-TH"/>
              </w:rPr>
              <w:t>0</w:t>
            </w:r>
          </w:p>
        </w:tc>
        <w:tc>
          <w:tcPr>
            <w:tcW w:w="1843" w:type="dxa"/>
          </w:tcPr>
          <w:p w14:paraId="0AB8EFB8"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1520.4 (23.3%)</w:t>
            </w:r>
          </w:p>
        </w:tc>
        <w:tc>
          <w:tcPr>
            <w:tcW w:w="2268" w:type="dxa"/>
          </w:tcPr>
          <w:p w14:paraId="73D10E9A"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1000s of sharks</w:t>
            </w:r>
          </w:p>
        </w:tc>
      </w:tr>
      <w:tr w:rsidR="0041235F" w:rsidRPr="004635E5" w14:paraId="2574A289" w14:textId="77777777" w:rsidTr="0041235F">
        <w:tc>
          <w:tcPr>
            <w:tcW w:w="3510" w:type="dxa"/>
          </w:tcPr>
          <w:p w14:paraId="098BD1F8"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b/>
                <w:sz w:val="22"/>
                <w:szCs w:val="22"/>
                <w:lang w:eastAsia="zh-CN" w:bidi="th-TH"/>
              </w:rPr>
              <w:t>MSY-based reference points</w:t>
            </w:r>
          </w:p>
        </w:tc>
        <w:tc>
          <w:tcPr>
            <w:tcW w:w="1168" w:type="dxa"/>
          </w:tcPr>
          <w:p w14:paraId="5402DD13" w14:textId="77777777" w:rsidR="0041235F" w:rsidRPr="004635E5" w:rsidRDefault="0041235F" w:rsidP="006633A8">
            <w:pPr>
              <w:adjustRightInd w:val="0"/>
              <w:snapToGrid w:val="0"/>
              <w:jc w:val="both"/>
              <w:rPr>
                <w:rFonts w:ascii="Times New Roman" w:hAnsi="Times New Roman"/>
                <w:sz w:val="22"/>
                <w:szCs w:val="22"/>
                <w:lang w:eastAsia="zh-CN" w:bidi="th-TH"/>
              </w:rPr>
            </w:pPr>
          </w:p>
        </w:tc>
        <w:tc>
          <w:tcPr>
            <w:tcW w:w="1843" w:type="dxa"/>
          </w:tcPr>
          <w:p w14:paraId="0CE814C5" w14:textId="77777777" w:rsidR="0041235F" w:rsidRPr="004635E5" w:rsidRDefault="0041235F" w:rsidP="006633A8">
            <w:pPr>
              <w:adjustRightInd w:val="0"/>
              <w:snapToGrid w:val="0"/>
              <w:jc w:val="both"/>
              <w:rPr>
                <w:rFonts w:ascii="Times New Roman" w:hAnsi="Times New Roman"/>
                <w:sz w:val="22"/>
                <w:szCs w:val="22"/>
                <w:lang w:eastAsia="zh-CN" w:bidi="th-TH"/>
              </w:rPr>
            </w:pPr>
          </w:p>
        </w:tc>
        <w:tc>
          <w:tcPr>
            <w:tcW w:w="2268" w:type="dxa"/>
          </w:tcPr>
          <w:p w14:paraId="3E718E80" w14:textId="77777777" w:rsidR="0041235F" w:rsidRPr="004635E5" w:rsidRDefault="0041235F" w:rsidP="006633A8">
            <w:pPr>
              <w:adjustRightInd w:val="0"/>
              <w:snapToGrid w:val="0"/>
              <w:jc w:val="both"/>
              <w:rPr>
                <w:rFonts w:ascii="Times New Roman" w:hAnsi="Times New Roman"/>
                <w:sz w:val="22"/>
                <w:szCs w:val="22"/>
                <w:lang w:eastAsia="zh-CN" w:bidi="th-TH"/>
              </w:rPr>
            </w:pPr>
          </w:p>
        </w:tc>
      </w:tr>
      <w:tr w:rsidR="0041235F" w:rsidRPr="004635E5" w14:paraId="3B1B1262" w14:textId="77777777" w:rsidTr="0041235F">
        <w:tc>
          <w:tcPr>
            <w:tcW w:w="3510" w:type="dxa"/>
          </w:tcPr>
          <w:p w14:paraId="068C3A0A"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Maximum Sustainable Yield (MSY)</w:t>
            </w:r>
          </w:p>
        </w:tc>
        <w:tc>
          <w:tcPr>
            <w:tcW w:w="1168" w:type="dxa"/>
          </w:tcPr>
          <w:p w14:paraId="4C9B440F"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C</w:t>
            </w:r>
            <w:r w:rsidRPr="004635E5">
              <w:rPr>
                <w:rFonts w:ascii="Times New Roman" w:hAnsi="Times New Roman"/>
                <w:sz w:val="22"/>
                <w:szCs w:val="22"/>
                <w:vertAlign w:val="subscript"/>
                <w:lang w:eastAsia="zh-CN" w:bidi="th-TH"/>
              </w:rPr>
              <w:t>MSY</w:t>
            </w:r>
          </w:p>
        </w:tc>
        <w:tc>
          <w:tcPr>
            <w:tcW w:w="1843" w:type="dxa"/>
          </w:tcPr>
          <w:p w14:paraId="7B8ED6A7"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3127.1 (22.2%)</w:t>
            </w:r>
          </w:p>
        </w:tc>
        <w:tc>
          <w:tcPr>
            <w:tcW w:w="2268" w:type="dxa"/>
          </w:tcPr>
          <w:p w14:paraId="31CDB164"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Metric tons</w:t>
            </w:r>
          </w:p>
        </w:tc>
      </w:tr>
      <w:tr w:rsidR="0041235F" w:rsidRPr="004635E5" w14:paraId="7C0E8CC4" w14:textId="77777777" w:rsidTr="0041235F">
        <w:tc>
          <w:tcPr>
            <w:tcW w:w="3510" w:type="dxa"/>
          </w:tcPr>
          <w:p w14:paraId="189D1744" w14:textId="77777777" w:rsidR="0041235F" w:rsidRPr="004635E5" w:rsidRDefault="0041235F" w:rsidP="006633A8">
            <w:pPr>
              <w:adjustRightInd w:val="0"/>
              <w:snapToGrid w:val="0"/>
              <w:jc w:val="both"/>
              <w:rPr>
                <w:rFonts w:ascii="Times New Roman" w:hAnsi="Times New Roman"/>
                <w:b/>
                <w:sz w:val="22"/>
                <w:szCs w:val="22"/>
                <w:lang w:eastAsia="zh-CN" w:bidi="th-TH"/>
              </w:rPr>
            </w:pPr>
            <w:r w:rsidRPr="004635E5">
              <w:rPr>
                <w:rFonts w:ascii="Times New Roman" w:hAnsi="Times New Roman"/>
                <w:sz w:val="22"/>
                <w:szCs w:val="22"/>
                <w:lang w:eastAsia="zh-CN" w:bidi="th-TH"/>
              </w:rPr>
              <w:t>Spawning abundance at MSY</w:t>
            </w:r>
          </w:p>
        </w:tc>
        <w:tc>
          <w:tcPr>
            <w:tcW w:w="1168" w:type="dxa"/>
          </w:tcPr>
          <w:p w14:paraId="5D924120" w14:textId="77777777" w:rsidR="0041235F" w:rsidRPr="004635E5" w:rsidRDefault="0041235F" w:rsidP="006633A8">
            <w:pPr>
              <w:adjustRightInd w:val="0"/>
              <w:snapToGrid w:val="0"/>
              <w:jc w:val="both"/>
              <w:rPr>
                <w:rFonts w:ascii="Times New Roman" w:hAnsi="Times New Roman"/>
                <w:sz w:val="22"/>
                <w:szCs w:val="22"/>
                <w:vertAlign w:val="subscript"/>
                <w:lang w:eastAsia="ja-JP" w:bidi="th-TH"/>
              </w:rPr>
            </w:pPr>
            <w:r w:rsidRPr="004635E5">
              <w:rPr>
                <w:rFonts w:ascii="Times New Roman" w:hAnsi="Times New Roman"/>
                <w:sz w:val="22"/>
                <w:szCs w:val="22"/>
                <w:lang w:eastAsia="zh-CN" w:bidi="th-TH"/>
              </w:rPr>
              <w:t>SA</w:t>
            </w:r>
            <w:r w:rsidRPr="004635E5">
              <w:rPr>
                <w:rFonts w:ascii="Times New Roman" w:hAnsi="Times New Roman"/>
                <w:sz w:val="22"/>
                <w:szCs w:val="22"/>
                <w:vertAlign w:val="subscript"/>
                <w:lang w:eastAsia="zh-CN" w:bidi="th-TH"/>
              </w:rPr>
              <w:t>MSY</w:t>
            </w:r>
          </w:p>
        </w:tc>
        <w:tc>
          <w:tcPr>
            <w:tcW w:w="1843" w:type="dxa"/>
          </w:tcPr>
          <w:p w14:paraId="4ED95605"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633.7 (23.3%)</w:t>
            </w:r>
          </w:p>
        </w:tc>
        <w:tc>
          <w:tcPr>
            <w:tcW w:w="2268" w:type="dxa"/>
          </w:tcPr>
          <w:p w14:paraId="02C5DF27"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1000s of sharks</w:t>
            </w:r>
          </w:p>
        </w:tc>
      </w:tr>
      <w:tr w:rsidR="0041235F" w:rsidRPr="004635E5" w14:paraId="2344D559" w14:textId="77777777" w:rsidTr="0041235F">
        <w:tc>
          <w:tcPr>
            <w:tcW w:w="3510" w:type="dxa"/>
            <w:tcBorders>
              <w:bottom w:val="single" w:sz="4" w:space="0" w:color="auto"/>
            </w:tcBorders>
          </w:tcPr>
          <w:p w14:paraId="553B44D9"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Fishing intensity at MSY</w:t>
            </w:r>
          </w:p>
        </w:tc>
        <w:tc>
          <w:tcPr>
            <w:tcW w:w="1168" w:type="dxa"/>
            <w:tcBorders>
              <w:bottom w:val="single" w:sz="4" w:space="0" w:color="auto"/>
            </w:tcBorders>
          </w:tcPr>
          <w:p w14:paraId="5DCD1D29"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1-SPR</w:t>
            </w:r>
            <w:r w:rsidRPr="004635E5">
              <w:rPr>
                <w:rFonts w:ascii="Times New Roman" w:hAnsi="Times New Roman"/>
                <w:sz w:val="22"/>
                <w:szCs w:val="22"/>
                <w:vertAlign w:val="subscript"/>
                <w:lang w:eastAsia="zh-CN" w:bidi="th-TH"/>
              </w:rPr>
              <w:t>MSY</w:t>
            </w:r>
          </w:p>
        </w:tc>
        <w:tc>
          <w:tcPr>
            <w:tcW w:w="1843" w:type="dxa"/>
            <w:tcBorders>
              <w:bottom w:val="single" w:sz="4" w:space="0" w:color="auto"/>
            </w:tcBorders>
          </w:tcPr>
          <w:p w14:paraId="20E4900E"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0.26</w:t>
            </w:r>
          </w:p>
        </w:tc>
        <w:tc>
          <w:tcPr>
            <w:tcW w:w="2268" w:type="dxa"/>
            <w:tcBorders>
              <w:bottom w:val="single" w:sz="4" w:space="0" w:color="auto"/>
            </w:tcBorders>
          </w:tcPr>
          <w:p w14:paraId="7B771A9C" w14:textId="77777777" w:rsidR="0041235F" w:rsidRPr="004635E5" w:rsidRDefault="0041235F" w:rsidP="006633A8">
            <w:pPr>
              <w:adjustRightInd w:val="0"/>
              <w:snapToGrid w:val="0"/>
              <w:jc w:val="both"/>
              <w:rPr>
                <w:rFonts w:ascii="Times New Roman" w:hAnsi="Times New Roman"/>
                <w:sz w:val="22"/>
                <w:szCs w:val="22"/>
                <w:lang w:eastAsia="zh-CN" w:bidi="th-TH"/>
              </w:rPr>
            </w:pPr>
            <w:r w:rsidRPr="004635E5">
              <w:rPr>
                <w:rFonts w:ascii="Times New Roman" w:hAnsi="Times New Roman"/>
                <w:sz w:val="22"/>
                <w:szCs w:val="22"/>
                <w:lang w:eastAsia="zh-CN" w:bidi="th-TH"/>
              </w:rPr>
              <w:t>NA</w:t>
            </w:r>
          </w:p>
        </w:tc>
      </w:tr>
    </w:tbl>
    <w:p w14:paraId="22B988C8" w14:textId="77777777" w:rsidR="0041235F" w:rsidRPr="004635E5" w:rsidRDefault="0041235F" w:rsidP="006633A8">
      <w:pPr>
        <w:adjustRightInd w:val="0"/>
        <w:snapToGrid w:val="0"/>
        <w:jc w:val="both"/>
        <w:rPr>
          <w:rFonts w:eastAsia="MS Mincho"/>
          <w:sz w:val="22"/>
          <w:szCs w:val="22"/>
        </w:rPr>
      </w:pPr>
    </w:p>
    <w:p w14:paraId="42C12524" w14:textId="77777777" w:rsidR="0041235F" w:rsidRPr="004635E5" w:rsidRDefault="0041235F" w:rsidP="006633A8">
      <w:pPr>
        <w:adjustRightInd w:val="0"/>
        <w:snapToGrid w:val="0"/>
        <w:jc w:val="both"/>
        <w:rPr>
          <w:b/>
          <w:sz w:val="22"/>
          <w:szCs w:val="22"/>
        </w:rPr>
      </w:pPr>
    </w:p>
    <w:p w14:paraId="06BAB0AC" w14:textId="77777777" w:rsidR="0041235F" w:rsidRPr="004635E5" w:rsidRDefault="0041235F" w:rsidP="006633A8">
      <w:pPr>
        <w:tabs>
          <w:tab w:val="left" w:pos="2150"/>
        </w:tabs>
        <w:adjustRightInd w:val="0"/>
        <w:snapToGrid w:val="0"/>
        <w:jc w:val="both"/>
        <w:rPr>
          <w:rFonts w:eastAsia="MS Mincho"/>
          <w:b/>
          <w:sz w:val="22"/>
          <w:szCs w:val="22"/>
        </w:rPr>
      </w:pPr>
    </w:p>
    <w:p w14:paraId="43185AC0" w14:textId="77777777" w:rsidR="0041235F" w:rsidRPr="004635E5" w:rsidRDefault="0041235F" w:rsidP="006633A8">
      <w:pPr>
        <w:tabs>
          <w:tab w:val="left" w:pos="2150"/>
        </w:tabs>
        <w:adjustRightInd w:val="0"/>
        <w:snapToGrid w:val="0"/>
        <w:jc w:val="both"/>
        <w:rPr>
          <w:rFonts w:eastAsia="MS Mincho"/>
          <w:b/>
          <w:sz w:val="22"/>
          <w:szCs w:val="22"/>
        </w:rPr>
      </w:pPr>
    </w:p>
    <w:p w14:paraId="185E4E4C" w14:textId="77777777" w:rsidR="0041235F" w:rsidRPr="004635E5" w:rsidRDefault="0041235F" w:rsidP="006633A8">
      <w:pPr>
        <w:tabs>
          <w:tab w:val="left" w:pos="2150"/>
        </w:tabs>
        <w:adjustRightInd w:val="0"/>
        <w:snapToGrid w:val="0"/>
        <w:jc w:val="both"/>
        <w:rPr>
          <w:rFonts w:eastAsia="MS Mincho"/>
          <w:b/>
          <w:sz w:val="22"/>
          <w:szCs w:val="22"/>
        </w:rPr>
      </w:pPr>
    </w:p>
    <w:p w14:paraId="74EE6537" w14:textId="77777777" w:rsidR="0041235F" w:rsidRPr="004635E5" w:rsidRDefault="0041235F" w:rsidP="006633A8">
      <w:pPr>
        <w:tabs>
          <w:tab w:val="left" w:pos="2150"/>
        </w:tabs>
        <w:adjustRightInd w:val="0"/>
        <w:snapToGrid w:val="0"/>
        <w:jc w:val="both"/>
        <w:rPr>
          <w:rFonts w:eastAsia="MS Mincho"/>
          <w:b/>
          <w:sz w:val="22"/>
          <w:szCs w:val="22"/>
        </w:rPr>
      </w:pPr>
    </w:p>
    <w:p w14:paraId="78ADE43D" w14:textId="77777777" w:rsidR="0041235F" w:rsidRPr="004635E5" w:rsidRDefault="0041235F" w:rsidP="006633A8">
      <w:pPr>
        <w:tabs>
          <w:tab w:val="left" w:pos="2150"/>
        </w:tabs>
        <w:adjustRightInd w:val="0"/>
        <w:snapToGrid w:val="0"/>
        <w:jc w:val="both"/>
        <w:rPr>
          <w:rFonts w:eastAsia="MS Mincho"/>
          <w:b/>
          <w:sz w:val="22"/>
          <w:szCs w:val="22"/>
        </w:rPr>
      </w:pPr>
    </w:p>
    <w:p w14:paraId="421A02B4" w14:textId="77777777" w:rsidR="0041235F" w:rsidRPr="004635E5" w:rsidRDefault="0041235F" w:rsidP="006633A8">
      <w:pPr>
        <w:tabs>
          <w:tab w:val="left" w:pos="2150"/>
        </w:tabs>
        <w:adjustRightInd w:val="0"/>
        <w:snapToGrid w:val="0"/>
        <w:jc w:val="both"/>
        <w:rPr>
          <w:rFonts w:eastAsia="MS Mincho"/>
          <w:b/>
          <w:sz w:val="22"/>
          <w:szCs w:val="22"/>
        </w:rPr>
      </w:pPr>
    </w:p>
    <w:p w14:paraId="7AE687AF" w14:textId="77777777" w:rsidR="0041235F" w:rsidRPr="004635E5" w:rsidRDefault="0041235F" w:rsidP="006633A8">
      <w:pPr>
        <w:adjustRightInd w:val="0"/>
        <w:snapToGrid w:val="0"/>
        <w:jc w:val="both"/>
        <w:rPr>
          <w:rFonts w:eastAsia="MS Mincho"/>
          <w:sz w:val="22"/>
          <w:szCs w:val="22"/>
        </w:rPr>
      </w:pPr>
    </w:p>
    <w:p w14:paraId="78F02BAC" w14:textId="77777777" w:rsidR="0041235F" w:rsidRPr="004635E5" w:rsidRDefault="0041235F" w:rsidP="006633A8">
      <w:pPr>
        <w:adjustRightInd w:val="0"/>
        <w:snapToGrid w:val="0"/>
        <w:jc w:val="both"/>
        <w:rPr>
          <w:rFonts w:eastAsia="MS Mincho"/>
          <w:sz w:val="22"/>
          <w:szCs w:val="22"/>
        </w:rPr>
      </w:pPr>
    </w:p>
    <w:p w14:paraId="30C8634A" w14:textId="77777777" w:rsidR="0041235F" w:rsidRPr="004635E5" w:rsidRDefault="0041235F" w:rsidP="006633A8">
      <w:pPr>
        <w:adjustRightInd w:val="0"/>
        <w:snapToGrid w:val="0"/>
        <w:jc w:val="both"/>
        <w:rPr>
          <w:rFonts w:eastAsia="MS Mincho"/>
          <w:sz w:val="22"/>
          <w:szCs w:val="22"/>
        </w:rPr>
      </w:pPr>
    </w:p>
    <w:p w14:paraId="1295E6D3" w14:textId="77777777" w:rsidR="0041235F" w:rsidRPr="004635E5" w:rsidRDefault="0041235F" w:rsidP="006633A8">
      <w:pPr>
        <w:adjustRightInd w:val="0"/>
        <w:snapToGrid w:val="0"/>
        <w:jc w:val="both"/>
        <w:rPr>
          <w:rFonts w:eastAsia="MS Mincho"/>
          <w:sz w:val="22"/>
          <w:szCs w:val="22"/>
        </w:rPr>
      </w:pPr>
    </w:p>
    <w:p w14:paraId="1BC4F76F" w14:textId="77777777" w:rsidR="0041235F" w:rsidRPr="004635E5" w:rsidRDefault="0041235F" w:rsidP="006633A8">
      <w:pPr>
        <w:adjustRightInd w:val="0"/>
        <w:snapToGrid w:val="0"/>
        <w:jc w:val="both"/>
        <w:rPr>
          <w:rFonts w:eastAsia="MS Mincho"/>
          <w:sz w:val="22"/>
          <w:szCs w:val="22"/>
        </w:rPr>
      </w:pPr>
    </w:p>
    <w:p w14:paraId="6E551B70" w14:textId="77777777" w:rsidR="0041235F" w:rsidRPr="004635E5" w:rsidRDefault="0041235F" w:rsidP="006633A8">
      <w:pPr>
        <w:adjustRightInd w:val="0"/>
        <w:snapToGrid w:val="0"/>
        <w:jc w:val="both"/>
        <w:rPr>
          <w:rFonts w:eastAsia="MS Mincho"/>
          <w:sz w:val="22"/>
          <w:szCs w:val="22"/>
        </w:rPr>
      </w:pPr>
    </w:p>
    <w:p w14:paraId="520A87C8" w14:textId="77777777" w:rsidR="0041235F" w:rsidRPr="004635E5" w:rsidRDefault="0041235F" w:rsidP="006633A8">
      <w:pPr>
        <w:adjustRightInd w:val="0"/>
        <w:snapToGrid w:val="0"/>
        <w:jc w:val="both"/>
        <w:rPr>
          <w:rFonts w:eastAsia="MS Mincho"/>
          <w:sz w:val="22"/>
          <w:szCs w:val="22"/>
        </w:rPr>
      </w:pPr>
    </w:p>
    <w:p w14:paraId="7907D34D" w14:textId="77777777" w:rsidR="0041235F" w:rsidRPr="004635E5" w:rsidRDefault="0041235F" w:rsidP="006633A8">
      <w:pPr>
        <w:adjustRightInd w:val="0"/>
        <w:snapToGrid w:val="0"/>
        <w:jc w:val="both"/>
        <w:rPr>
          <w:rFonts w:eastAsia="MS Mincho"/>
          <w:sz w:val="22"/>
          <w:szCs w:val="22"/>
        </w:rPr>
      </w:pPr>
    </w:p>
    <w:p w14:paraId="3C423466" w14:textId="77777777" w:rsidR="0041235F" w:rsidRPr="004635E5" w:rsidRDefault="0041235F" w:rsidP="006633A8">
      <w:pPr>
        <w:adjustRightInd w:val="0"/>
        <w:snapToGrid w:val="0"/>
        <w:jc w:val="both"/>
        <w:rPr>
          <w:rFonts w:eastAsia="MS Mincho"/>
          <w:sz w:val="22"/>
          <w:szCs w:val="22"/>
        </w:rPr>
      </w:pPr>
    </w:p>
    <w:p w14:paraId="52E0F79C" w14:textId="77777777" w:rsidR="0041235F" w:rsidRPr="004635E5" w:rsidRDefault="0041235F" w:rsidP="006633A8">
      <w:pPr>
        <w:adjustRightInd w:val="0"/>
        <w:snapToGrid w:val="0"/>
        <w:jc w:val="both"/>
        <w:rPr>
          <w:rFonts w:eastAsia="MS Mincho"/>
          <w:sz w:val="22"/>
          <w:szCs w:val="22"/>
        </w:rPr>
      </w:pPr>
    </w:p>
    <w:p w14:paraId="1B87EB40" w14:textId="77777777" w:rsidR="0041235F" w:rsidRPr="004635E5" w:rsidRDefault="0041235F" w:rsidP="006633A8">
      <w:pPr>
        <w:adjustRightInd w:val="0"/>
        <w:snapToGrid w:val="0"/>
        <w:jc w:val="both"/>
        <w:rPr>
          <w:rFonts w:eastAsia="MS Mincho"/>
          <w:sz w:val="22"/>
          <w:szCs w:val="22"/>
        </w:rPr>
        <w:sectPr w:rsidR="0041235F" w:rsidRPr="004635E5" w:rsidSect="00436E03">
          <w:headerReference w:type="default" r:id="rId120"/>
          <w:footerReference w:type="default" r:id="rId121"/>
          <w:type w:val="continuous"/>
          <w:pgSz w:w="12240" w:h="15840" w:code="1"/>
          <w:pgMar w:top="1440" w:right="1440" w:bottom="1440" w:left="1440" w:header="720" w:footer="720" w:gutter="0"/>
          <w:cols w:space="720"/>
          <w:docGrid w:linePitch="360"/>
        </w:sectPr>
      </w:pPr>
    </w:p>
    <w:p w14:paraId="4858A5FB" w14:textId="77777777" w:rsidR="0041235F" w:rsidRPr="004635E5" w:rsidRDefault="0041235F" w:rsidP="006633A8">
      <w:pPr>
        <w:adjustRightInd w:val="0"/>
        <w:snapToGrid w:val="0"/>
        <w:jc w:val="both"/>
        <w:rPr>
          <w:rFonts w:eastAsia="MS Mincho"/>
          <w:sz w:val="22"/>
          <w:szCs w:val="22"/>
        </w:rPr>
      </w:pPr>
      <w:r w:rsidRPr="004635E5">
        <w:rPr>
          <w:b/>
          <w:sz w:val="22"/>
          <w:szCs w:val="22"/>
        </w:rPr>
        <w:t xml:space="preserve">Table </w:t>
      </w:r>
      <w:r w:rsidR="00937EEE">
        <w:rPr>
          <w:b/>
          <w:sz w:val="22"/>
          <w:szCs w:val="22"/>
        </w:rPr>
        <w:t>SFM-3</w:t>
      </w:r>
      <w:r w:rsidRPr="004635E5">
        <w:rPr>
          <w:sz w:val="22"/>
          <w:szCs w:val="22"/>
        </w:rPr>
        <w:t>. Summary of reference points and management quantities for the base case and six alternative states of nature</w:t>
      </w:r>
      <w:r w:rsidRPr="004635E5">
        <w:rPr>
          <w:rFonts w:eastAsia="MS Mincho"/>
          <w:sz w:val="22"/>
          <w:szCs w:val="22"/>
        </w:rPr>
        <w:t>: Alternative_1) higher catch, Alternative_2) lower catch; Alternative_3) higher uncertainty on Japan shallow-set CPUE index (1975-1993) (CV=0.3); Alternative_4) fit to Japan offshore distant water longline shallow-set fleet (JPN_SS_I; 1975-2016) and Hawaii longline shallow-set fleet (US_SS; 2005-2016), and no fit to initial equilibrium catch; Alternative_5) low steepness, h=0.260; and Alternative_6) high steepness, h=0.372</w:t>
      </w:r>
      <w:r w:rsidRPr="004635E5">
        <w:rPr>
          <w:sz w:val="22"/>
          <w:szCs w:val="22"/>
        </w:rPr>
        <w:t xml:space="preserve">. Values in parentheses represent the coefficient of variation (CV) when available. </w:t>
      </w:r>
    </w:p>
    <w:tbl>
      <w:tblPr>
        <w:tblStyle w:val="Simplescience11"/>
        <w:tblpPr w:leftFromText="180" w:rightFromText="180" w:vertAnchor="text" w:horzAnchor="margin" w:tblpY="32"/>
        <w:tblW w:w="13298" w:type="dxa"/>
        <w:tblBorders>
          <w:bottom w:val="none" w:sz="0" w:space="0" w:color="auto"/>
        </w:tblBorders>
        <w:tblLayout w:type="fixed"/>
        <w:tblLook w:val="04A0" w:firstRow="1" w:lastRow="0" w:firstColumn="1" w:lastColumn="0" w:noHBand="0" w:noVBand="1"/>
      </w:tblPr>
      <w:tblGrid>
        <w:gridCol w:w="3078"/>
        <w:gridCol w:w="1350"/>
        <w:gridCol w:w="925"/>
        <w:gridCol w:w="1143"/>
        <w:gridCol w:w="1125"/>
        <w:gridCol w:w="1134"/>
        <w:gridCol w:w="1134"/>
        <w:gridCol w:w="1109"/>
        <w:gridCol w:w="25"/>
        <w:gridCol w:w="1134"/>
        <w:gridCol w:w="1141"/>
      </w:tblGrid>
      <w:tr w:rsidR="0041235F" w:rsidRPr="00E541FE" w14:paraId="756AE786" w14:textId="77777777" w:rsidTr="00E541FE">
        <w:trPr>
          <w:cnfStyle w:val="100000000000" w:firstRow="1" w:lastRow="0" w:firstColumn="0" w:lastColumn="0" w:oddVBand="0" w:evenVBand="0" w:oddHBand="0" w:evenHBand="0" w:firstRowFirstColumn="0" w:firstRowLastColumn="0" w:lastRowFirstColumn="0" w:lastRowLastColumn="0"/>
          <w:trHeight w:val="20"/>
        </w:trPr>
        <w:tc>
          <w:tcPr>
            <w:tcW w:w="3078" w:type="dxa"/>
            <w:tcBorders>
              <w:top w:val="single" w:sz="4" w:space="0" w:color="auto"/>
              <w:bottom w:val="single" w:sz="4" w:space="0" w:color="auto"/>
            </w:tcBorders>
            <w:shd w:val="clear" w:color="auto" w:fill="D9D9D9" w:themeFill="background1" w:themeFillShade="D9"/>
            <w:vAlign w:val="center"/>
          </w:tcPr>
          <w:p w14:paraId="0BE45CB6" w14:textId="77777777" w:rsidR="0041235F" w:rsidRPr="00E541FE" w:rsidRDefault="0041235F" w:rsidP="00E541FE">
            <w:pPr>
              <w:adjustRightInd w:val="0"/>
              <w:snapToGrid w:val="0"/>
              <w:jc w:val="center"/>
              <w:rPr>
                <w:rFonts w:ascii="Times New Roman" w:eastAsia="Yu Mincho" w:hAnsi="Times New Roman"/>
                <w:sz w:val="16"/>
                <w:szCs w:val="16"/>
                <w:lang w:eastAsia="ja-JP" w:bidi="th-TH"/>
              </w:rPr>
            </w:pPr>
            <w:r w:rsidRPr="00E541FE">
              <w:rPr>
                <w:rFonts w:ascii="Times New Roman" w:eastAsia="Yu Mincho" w:hAnsi="Times New Roman"/>
                <w:sz w:val="16"/>
                <w:szCs w:val="16"/>
                <w:lang w:eastAsia="ja-JP" w:bidi="th-TH"/>
              </w:rPr>
              <w:t>Reference points</w:t>
            </w:r>
          </w:p>
        </w:tc>
        <w:tc>
          <w:tcPr>
            <w:tcW w:w="1350" w:type="dxa"/>
            <w:tcBorders>
              <w:top w:val="single" w:sz="4" w:space="0" w:color="auto"/>
              <w:bottom w:val="single" w:sz="4" w:space="0" w:color="auto"/>
            </w:tcBorders>
            <w:shd w:val="clear" w:color="auto" w:fill="D9D9D9" w:themeFill="background1" w:themeFillShade="D9"/>
            <w:vAlign w:val="center"/>
          </w:tcPr>
          <w:p w14:paraId="52C57361" w14:textId="77777777" w:rsidR="0041235F" w:rsidRPr="00E541FE" w:rsidRDefault="0041235F" w:rsidP="00E541FE">
            <w:pPr>
              <w:adjustRightInd w:val="0"/>
              <w:snapToGrid w:val="0"/>
              <w:jc w:val="center"/>
              <w:rPr>
                <w:rFonts w:ascii="Times New Roman" w:eastAsia="Yu Mincho" w:hAnsi="Times New Roman"/>
                <w:sz w:val="16"/>
                <w:szCs w:val="16"/>
                <w:lang w:eastAsia="ja-JP" w:bidi="th-TH"/>
              </w:rPr>
            </w:pPr>
            <w:r w:rsidRPr="00E541FE">
              <w:rPr>
                <w:rFonts w:ascii="Times New Roman" w:eastAsia="Yu Mincho" w:hAnsi="Times New Roman"/>
                <w:sz w:val="16"/>
                <w:szCs w:val="16"/>
                <w:lang w:eastAsia="ja-JP" w:bidi="th-TH"/>
              </w:rPr>
              <w:t>Symbol</w:t>
            </w:r>
          </w:p>
        </w:tc>
        <w:tc>
          <w:tcPr>
            <w:tcW w:w="925" w:type="dxa"/>
            <w:tcBorders>
              <w:top w:val="single" w:sz="4" w:space="0" w:color="auto"/>
              <w:bottom w:val="single" w:sz="4" w:space="0" w:color="auto"/>
            </w:tcBorders>
            <w:shd w:val="clear" w:color="auto" w:fill="D9D9D9" w:themeFill="background1" w:themeFillShade="D9"/>
            <w:vAlign w:val="center"/>
          </w:tcPr>
          <w:p w14:paraId="7BE83217" w14:textId="77777777" w:rsidR="0041235F" w:rsidRPr="00E541FE" w:rsidRDefault="0041235F" w:rsidP="00E541FE">
            <w:pPr>
              <w:adjustRightInd w:val="0"/>
              <w:snapToGrid w:val="0"/>
              <w:jc w:val="center"/>
              <w:rPr>
                <w:rFonts w:ascii="Times New Roman" w:hAnsi="Times New Roman"/>
                <w:sz w:val="16"/>
                <w:szCs w:val="16"/>
                <w:lang w:eastAsia="zh-CN" w:bidi="th-TH"/>
              </w:rPr>
            </w:pPr>
            <w:r w:rsidRPr="00E541FE">
              <w:rPr>
                <w:rFonts w:ascii="Times New Roman" w:hAnsi="Times New Roman"/>
                <w:sz w:val="16"/>
                <w:szCs w:val="16"/>
                <w:lang w:eastAsia="zh-CN" w:bidi="th-TH"/>
              </w:rPr>
              <w:t>Units</w:t>
            </w:r>
          </w:p>
        </w:tc>
        <w:tc>
          <w:tcPr>
            <w:tcW w:w="1143" w:type="dxa"/>
            <w:tcBorders>
              <w:top w:val="single" w:sz="4" w:space="0" w:color="auto"/>
              <w:bottom w:val="single" w:sz="4" w:space="0" w:color="auto"/>
            </w:tcBorders>
            <w:shd w:val="clear" w:color="auto" w:fill="D9D9D9" w:themeFill="background1" w:themeFillShade="D9"/>
            <w:vAlign w:val="center"/>
          </w:tcPr>
          <w:p w14:paraId="15D6A51A" w14:textId="77777777" w:rsidR="0041235F" w:rsidRPr="00E541FE" w:rsidRDefault="0041235F" w:rsidP="00E541FE">
            <w:pPr>
              <w:adjustRightInd w:val="0"/>
              <w:snapToGrid w:val="0"/>
              <w:jc w:val="center"/>
              <w:rPr>
                <w:rFonts w:ascii="Times New Roman" w:hAnsi="Times New Roman"/>
                <w:sz w:val="16"/>
                <w:szCs w:val="16"/>
                <w:lang w:eastAsia="zh-CN" w:bidi="th-TH"/>
              </w:rPr>
            </w:pPr>
            <w:r w:rsidRPr="00E541FE">
              <w:rPr>
                <w:rFonts w:ascii="Times New Roman" w:hAnsi="Times New Roman"/>
                <w:sz w:val="16"/>
                <w:szCs w:val="16"/>
                <w:lang w:eastAsia="zh-CN" w:bidi="th-TH"/>
              </w:rPr>
              <w:t>Base-case</w:t>
            </w:r>
          </w:p>
        </w:tc>
        <w:tc>
          <w:tcPr>
            <w:tcW w:w="1125" w:type="dxa"/>
            <w:tcBorders>
              <w:top w:val="single" w:sz="4" w:space="0" w:color="auto"/>
              <w:bottom w:val="single" w:sz="4" w:space="0" w:color="auto"/>
            </w:tcBorders>
            <w:shd w:val="clear" w:color="auto" w:fill="D9D9D9" w:themeFill="background1" w:themeFillShade="D9"/>
            <w:vAlign w:val="center"/>
          </w:tcPr>
          <w:p w14:paraId="66889CF3" w14:textId="77777777" w:rsidR="0041235F" w:rsidRPr="00E541FE" w:rsidRDefault="0041235F" w:rsidP="00E541FE">
            <w:pPr>
              <w:adjustRightInd w:val="0"/>
              <w:snapToGrid w:val="0"/>
              <w:jc w:val="center"/>
              <w:rPr>
                <w:rFonts w:ascii="Times New Roman" w:hAnsi="Times New Roman"/>
                <w:sz w:val="16"/>
                <w:szCs w:val="16"/>
                <w:lang w:eastAsia="zh-CN" w:bidi="th-TH"/>
              </w:rPr>
            </w:pPr>
            <w:r w:rsidRPr="00E541FE">
              <w:rPr>
                <w:rFonts w:ascii="Times New Roman" w:hAnsi="Times New Roman"/>
                <w:sz w:val="16"/>
                <w:szCs w:val="16"/>
                <w:lang w:eastAsia="zh-CN" w:bidi="th-TH"/>
              </w:rPr>
              <w:t>Alternative_1</w:t>
            </w:r>
          </w:p>
        </w:tc>
        <w:tc>
          <w:tcPr>
            <w:tcW w:w="1134" w:type="dxa"/>
            <w:tcBorders>
              <w:top w:val="single" w:sz="4" w:space="0" w:color="auto"/>
              <w:bottom w:val="single" w:sz="4" w:space="0" w:color="auto"/>
            </w:tcBorders>
            <w:shd w:val="clear" w:color="auto" w:fill="D9D9D9" w:themeFill="background1" w:themeFillShade="D9"/>
            <w:vAlign w:val="center"/>
          </w:tcPr>
          <w:p w14:paraId="21FA138F" w14:textId="77777777" w:rsidR="0041235F" w:rsidRPr="00E541FE" w:rsidRDefault="0041235F" w:rsidP="00E541FE">
            <w:pPr>
              <w:adjustRightInd w:val="0"/>
              <w:snapToGrid w:val="0"/>
              <w:jc w:val="center"/>
              <w:rPr>
                <w:rFonts w:ascii="Times New Roman" w:hAnsi="Times New Roman"/>
                <w:sz w:val="16"/>
                <w:szCs w:val="16"/>
                <w:lang w:eastAsia="zh-CN" w:bidi="th-TH"/>
              </w:rPr>
            </w:pPr>
            <w:r w:rsidRPr="00E541FE">
              <w:rPr>
                <w:rFonts w:ascii="Times New Roman" w:hAnsi="Times New Roman"/>
                <w:sz w:val="16"/>
                <w:szCs w:val="16"/>
                <w:lang w:eastAsia="zh-CN" w:bidi="th-TH"/>
              </w:rPr>
              <w:t>Alternative_2</w:t>
            </w:r>
          </w:p>
        </w:tc>
        <w:tc>
          <w:tcPr>
            <w:tcW w:w="1134" w:type="dxa"/>
            <w:tcBorders>
              <w:top w:val="single" w:sz="4" w:space="0" w:color="auto"/>
              <w:bottom w:val="single" w:sz="4" w:space="0" w:color="auto"/>
            </w:tcBorders>
            <w:shd w:val="clear" w:color="auto" w:fill="D9D9D9" w:themeFill="background1" w:themeFillShade="D9"/>
            <w:vAlign w:val="center"/>
          </w:tcPr>
          <w:p w14:paraId="11CD2367" w14:textId="77777777" w:rsidR="0041235F" w:rsidRPr="00E541FE" w:rsidRDefault="0041235F" w:rsidP="00E541FE">
            <w:pPr>
              <w:adjustRightInd w:val="0"/>
              <w:snapToGrid w:val="0"/>
              <w:jc w:val="center"/>
              <w:rPr>
                <w:rFonts w:ascii="Times New Roman" w:hAnsi="Times New Roman"/>
                <w:sz w:val="16"/>
                <w:szCs w:val="16"/>
                <w:lang w:eastAsia="zh-CN" w:bidi="th-TH"/>
              </w:rPr>
            </w:pPr>
            <w:r w:rsidRPr="00E541FE">
              <w:rPr>
                <w:rFonts w:ascii="Times New Roman" w:hAnsi="Times New Roman"/>
                <w:sz w:val="16"/>
                <w:szCs w:val="16"/>
                <w:lang w:eastAsia="zh-CN" w:bidi="th-TH"/>
              </w:rPr>
              <w:t>Alternative_3</w:t>
            </w:r>
          </w:p>
        </w:tc>
        <w:tc>
          <w:tcPr>
            <w:tcW w:w="1134" w:type="dxa"/>
            <w:gridSpan w:val="2"/>
            <w:tcBorders>
              <w:top w:val="single" w:sz="4" w:space="0" w:color="auto"/>
              <w:bottom w:val="single" w:sz="4" w:space="0" w:color="auto"/>
            </w:tcBorders>
            <w:shd w:val="clear" w:color="auto" w:fill="D9D9D9" w:themeFill="background1" w:themeFillShade="D9"/>
            <w:vAlign w:val="center"/>
          </w:tcPr>
          <w:p w14:paraId="05D3E0B7" w14:textId="77777777" w:rsidR="0041235F" w:rsidRPr="00E541FE" w:rsidRDefault="0041235F" w:rsidP="00E541FE">
            <w:pPr>
              <w:adjustRightInd w:val="0"/>
              <w:snapToGrid w:val="0"/>
              <w:jc w:val="center"/>
              <w:rPr>
                <w:rFonts w:ascii="Times New Roman" w:hAnsi="Times New Roman"/>
                <w:sz w:val="16"/>
                <w:szCs w:val="16"/>
                <w:lang w:eastAsia="zh-CN" w:bidi="th-TH"/>
              </w:rPr>
            </w:pPr>
            <w:r w:rsidRPr="00E541FE">
              <w:rPr>
                <w:rFonts w:ascii="Times New Roman" w:hAnsi="Times New Roman"/>
                <w:sz w:val="16"/>
                <w:szCs w:val="16"/>
                <w:lang w:eastAsia="zh-CN" w:bidi="th-TH"/>
              </w:rPr>
              <w:t>Alternative_4</w:t>
            </w:r>
          </w:p>
        </w:tc>
        <w:tc>
          <w:tcPr>
            <w:tcW w:w="1134" w:type="dxa"/>
            <w:tcBorders>
              <w:top w:val="single" w:sz="4" w:space="0" w:color="auto"/>
              <w:bottom w:val="single" w:sz="4" w:space="0" w:color="auto"/>
            </w:tcBorders>
            <w:shd w:val="clear" w:color="auto" w:fill="D9D9D9" w:themeFill="background1" w:themeFillShade="D9"/>
            <w:vAlign w:val="center"/>
          </w:tcPr>
          <w:p w14:paraId="2C608C19" w14:textId="77777777" w:rsidR="0041235F" w:rsidRPr="00E541FE" w:rsidRDefault="0041235F" w:rsidP="00E541FE">
            <w:pPr>
              <w:adjustRightInd w:val="0"/>
              <w:snapToGrid w:val="0"/>
              <w:jc w:val="center"/>
              <w:rPr>
                <w:rFonts w:ascii="Times New Roman" w:hAnsi="Times New Roman"/>
                <w:sz w:val="16"/>
                <w:szCs w:val="16"/>
                <w:lang w:eastAsia="zh-CN" w:bidi="th-TH"/>
              </w:rPr>
            </w:pPr>
            <w:r w:rsidRPr="00E541FE">
              <w:rPr>
                <w:rFonts w:ascii="Times New Roman" w:hAnsi="Times New Roman"/>
                <w:sz w:val="16"/>
                <w:szCs w:val="16"/>
                <w:lang w:eastAsia="zh-CN" w:bidi="th-TH"/>
              </w:rPr>
              <w:t>Alternative_5</w:t>
            </w:r>
          </w:p>
        </w:tc>
        <w:tc>
          <w:tcPr>
            <w:tcW w:w="1141" w:type="dxa"/>
            <w:tcBorders>
              <w:top w:val="single" w:sz="4" w:space="0" w:color="auto"/>
              <w:bottom w:val="single" w:sz="4" w:space="0" w:color="auto"/>
            </w:tcBorders>
            <w:shd w:val="clear" w:color="auto" w:fill="D9D9D9" w:themeFill="background1" w:themeFillShade="D9"/>
            <w:vAlign w:val="center"/>
          </w:tcPr>
          <w:p w14:paraId="0EEB56BA" w14:textId="77777777" w:rsidR="0041235F" w:rsidRPr="00E541FE" w:rsidRDefault="0041235F" w:rsidP="00E541FE">
            <w:pPr>
              <w:adjustRightInd w:val="0"/>
              <w:snapToGrid w:val="0"/>
              <w:jc w:val="center"/>
              <w:rPr>
                <w:rFonts w:ascii="Times New Roman" w:hAnsi="Times New Roman"/>
                <w:sz w:val="16"/>
                <w:szCs w:val="16"/>
                <w:lang w:eastAsia="zh-CN" w:bidi="th-TH"/>
              </w:rPr>
            </w:pPr>
            <w:r w:rsidRPr="00E541FE">
              <w:rPr>
                <w:rFonts w:ascii="Times New Roman" w:hAnsi="Times New Roman"/>
                <w:sz w:val="16"/>
                <w:szCs w:val="16"/>
                <w:lang w:eastAsia="zh-CN" w:bidi="th-TH"/>
              </w:rPr>
              <w:t>Alternative_6</w:t>
            </w:r>
          </w:p>
        </w:tc>
      </w:tr>
      <w:tr w:rsidR="0041235F" w:rsidRPr="00E541FE" w14:paraId="5D0CFD85" w14:textId="77777777" w:rsidTr="00E541FE">
        <w:trPr>
          <w:trHeight w:val="20"/>
        </w:trPr>
        <w:tc>
          <w:tcPr>
            <w:tcW w:w="3078" w:type="dxa"/>
            <w:tcBorders>
              <w:top w:val="single" w:sz="4" w:space="0" w:color="auto"/>
            </w:tcBorders>
          </w:tcPr>
          <w:p w14:paraId="2140E43C" w14:textId="77777777" w:rsidR="0041235F" w:rsidRPr="00E541FE" w:rsidRDefault="0041235F" w:rsidP="00E541FE">
            <w:pPr>
              <w:adjustRightInd w:val="0"/>
              <w:snapToGrid w:val="0"/>
              <w:spacing w:before="60" w:after="60"/>
              <w:rPr>
                <w:rFonts w:ascii="Times New Roman" w:hAnsi="Times New Roman"/>
                <w:sz w:val="20"/>
                <w:szCs w:val="20"/>
                <w:lang w:eastAsia="zh-CN" w:bidi="th-TH"/>
              </w:rPr>
            </w:pPr>
            <w:r w:rsidRPr="00E541FE">
              <w:rPr>
                <w:rFonts w:ascii="Times New Roman" w:hAnsi="Times New Roman"/>
                <w:sz w:val="20"/>
                <w:szCs w:val="20"/>
                <w:lang w:eastAsia="zh-CN" w:bidi="th-TH"/>
              </w:rPr>
              <w:t>Spawning abundance (number of mature female sharks)</w:t>
            </w:r>
          </w:p>
        </w:tc>
        <w:tc>
          <w:tcPr>
            <w:tcW w:w="1350" w:type="dxa"/>
            <w:tcBorders>
              <w:top w:val="single" w:sz="4" w:space="0" w:color="auto"/>
            </w:tcBorders>
          </w:tcPr>
          <w:p w14:paraId="5180A2A5" w14:textId="77777777" w:rsidR="0041235F" w:rsidRPr="00E541FE" w:rsidRDefault="0041235F" w:rsidP="00E541FE">
            <w:pPr>
              <w:adjustRightInd w:val="0"/>
              <w:snapToGrid w:val="0"/>
              <w:spacing w:before="60" w:after="60"/>
              <w:jc w:val="both"/>
              <w:rPr>
                <w:rFonts w:ascii="Times New Roman" w:eastAsia="MS Mincho" w:hAnsi="Times New Roman"/>
                <w:sz w:val="20"/>
                <w:szCs w:val="20"/>
                <w:lang w:eastAsia="zh-CN" w:bidi="th-TH"/>
              </w:rPr>
            </w:pPr>
            <w:r w:rsidRPr="00E541FE">
              <w:rPr>
                <w:rFonts w:ascii="Times New Roman" w:hAnsi="Times New Roman"/>
                <w:sz w:val="20"/>
                <w:szCs w:val="20"/>
                <w:lang w:eastAsia="zh-CN" w:bidi="th-TH"/>
              </w:rPr>
              <w:t>SA</w:t>
            </w:r>
            <w:r w:rsidRPr="00E541FE">
              <w:rPr>
                <w:rFonts w:ascii="Times New Roman" w:hAnsi="Times New Roman"/>
                <w:sz w:val="20"/>
                <w:szCs w:val="20"/>
                <w:vertAlign w:val="subscript"/>
                <w:lang w:eastAsia="zh-CN" w:bidi="th-TH"/>
              </w:rPr>
              <w:t>0</w:t>
            </w:r>
          </w:p>
        </w:tc>
        <w:tc>
          <w:tcPr>
            <w:tcW w:w="925" w:type="dxa"/>
            <w:tcBorders>
              <w:top w:val="single" w:sz="4" w:space="0" w:color="auto"/>
            </w:tcBorders>
          </w:tcPr>
          <w:p w14:paraId="4EEC6D68"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1000s of sharks</w:t>
            </w:r>
          </w:p>
        </w:tc>
        <w:tc>
          <w:tcPr>
            <w:tcW w:w="1143" w:type="dxa"/>
            <w:tcBorders>
              <w:top w:val="single" w:sz="4" w:space="0" w:color="auto"/>
            </w:tcBorders>
          </w:tcPr>
          <w:p w14:paraId="5F2E03F9"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eastAsia="MS Mincho" w:hAnsi="Times New Roman"/>
                <w:sz w:val="20"/>
                <w:szCs w:val="20"/>
                <w:lang w:eastAsia="zh-CN" w:bidi="th-TH"/>
              </w:rPr>
              <w:t>1465.8</w:t>
            </w:r>
            <w:r w:rsidRPr="00E541FE">
              <w:rPr>
                <w:rFonts w:ascii="Times New Roman" w:hAnsi="Times New Roman"/>
                <w:sz w:val="20"/>
                <w:szCs w:val="20"/>
                <w:lang w:eastAsia="zh-CN" w:bidi="th-TH"/>
              </w:rPr>
              <w:t xml:space="preserve"> (23.3%)</w:t>
            </w:r>
          </w:p>
        </w:tc>
        <w:tc>
          <w:tcPr>
            <w:tcW w:w="1125" w:type="dxa"/>
            <w:tcBorders>
              <w:top w:val="single" w:sz="4" w:space="0" w:color="auto"/>
            </w:tcBorders>
          </w:tcPr>
          <w:p w14:paraId="035B5575"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 xml:space="preserve">1898.8 </w:t>
            </w:r>
          </w:p>
          <w:p w14:paraId="61EA0F7E"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(14.6%)</w:t>
            </w:r>
          </w:p>
        </w:tc>
        <w:tc>
          <w:tcPr>
            <w:tcW w:w="1134" w:type="dxa"/>
            <w:tcBorders>
              <w:top w:val="single" w:sz="4" w:space="0" w:color="auto"/>
            </w:tcBorders>
          </w:tcPr>
          <w:p w14:paraId="6B613222"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826.8</w:t>
            </w:r>
          </w:p>
          <w:p w14:paraId="0ACD28A2"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(27.5%)</w:t>
            </w:r>
          </w:p>
        </w:tc>
        <w:tc>
          <w:tcPr>
            <w:tcW w:w="1134" w:type="dxa"/>
            <w:tcBorders>
              <w:top w:val="single" w:sz="4" w:space="0" w:color="auto"/>
            </w:tcBorders>
          </w:tcPr>
          <w:p w14:paraId="7B9C8013"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1240.6</w:t>
            </w:r>
          </w:p>
          <w:p w14:paraId="3DEA6611"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(70%)</w:t>
            </w:r>
          </w:p>
        </w:tc>
        <w:tc>
          <w:tcPr>
            <w:tcW w:w="1109" w:type="dxa"/>
            <w:tcBorders>
              <w:top w:val="single" w:sz="4" w:space="0" w:color="auto"/>
            </w:tcBorders>
          </w:tcPr>
          <w:p w14:paraId="645A7C1B"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1727.6</w:t>
            </w:r>
          </w:p>
          <w:p w14:paraId="7E580127"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(32%)</w:t>
            </w:r>
          </w:p>
        </w:tc>
        <w:tc>
          <w:tcPr>
            <w:tcW w:w="1159" w:type="dxa"/>
            <w:gridSpan w:val="2"/>
            <w:tcBorders>
              <w:top w:val="single" w:sz="4" w:space="0" w:color="auto"/>
            </w:tcBorders>
          </w:tcPr>
          <w:p w14:paraId="11314436"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 xml:space="preserve">2366.5 </w:t>
            </w:r>
          </w:p>
          <w:p w14:paraId="2A1275A7"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(30%)</w:t>
            </w:r>
          </w:p>
        </w:tc>
        <w:tc>
          <w:tcPr>
            <w:tcW w:w="1141" w:type="dxa"/>
            <w:tcBorders>
              <w:top w:val="single" w:sz="4" w:space="0" w:color="auto"/>
            </w:tcBorders>
          </w:tcPr>
          <w:p w14:paraId="21385DB0"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1327.1</w:t>
            </w:r>
          </w:p>
          <w:p w14:paraId="0A6EF07F"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(32%)</w:t>
            </w:r>
          </w:p>
        </w:tc>
      </w:tr>
      <w:tr w:rsidR="0041235F" w:rsidRPr="00E541FE" w14:paraId="402378C9" w14:textId="77777777" w:rsidTr="0041235F">
        <w:trPr>
          <w:trHeight w:val="20"/>
        </w:trPr>
        <w:tc>
          <w:tcPr>
            <w:tcW w:w="3078" w:type="dxa"/>
          </w:tcPr>
          <w:p w14:paraId="5666B8CC" w14:textId="77777777" w:rsidR="0041235F" w:rsidRPr="00E541FE" w:rsidRDefault="0041235F" w:rsidP="00E541FE">
            <w:pPr>
              <w:adjustRightInd w:val="0"/>
              <w:snapToGrid w:val="0"/>
              <w:spacing w:before="60" w:after="60"/>
              <w:rPr>
                <w:rFonts w:ascii="Times New Roman" w:hAnsi="Times New Roman"/>
                <w:sz w:val="20"/>
                <w:szCs w:val="20"/>
                <w:lang w:eastAsia="zh-CN" w:bidi="th-TH"/>
              </w:rPr>
            </w:pPr>
            <w:r w:rsidRPr="00E541FE">
              <w:rPr>
                <w:rFonts w:ascii="Times New Roman" w:hAnsi="Times New Roman"/>
                <w:sz w:val="20"/>
                <w:szCs w:val="20"/>
                <w:lang w:eastAsia="zh-CN" w:bidi="th-TH"/>
              </w:rPr>
              <w:t>Maximum Sustainable Yield (MSY)</w:t>
            </w:r>
          </w:p>
        </w:tc>
        <w:tc>
          <w:tcPr>
            <w:tcW w:w="1350" w:type="dxa"/>
          </w:tcPr>
          <w:p w14:paraId="3DCC5003" w14:textId="77777777" w:rsidR="0041235F" w:rsidRPr="00E541FE" w:rsidRDefault="0041235F" w:rsidP="00E541FE">
            <w:pPr>
              <w:adjustRightInd w:val="0"/>
              <w:snapToGrid w:val="0"/>
              <w:spacing w:before="60" w:after="60"/>
              <w:jc w:val="both"/>
              <w:rPr>
                <w:rFonts w:ascii="Times New Roman" w:hAnsi="Times New Roman"/>
                <w:sz w:val="20"/>
                <w:szCs w:val="20"/>
                <w:lang w:eastAsia="zh-CN" w:bidi="th-TH"/>
              </w:rPr>
            </w:pPr>
            <w:r w:rsidRPr="00E541FE">
              <w:rPr>
                <w:rFonts w:ascii="Times New Roman" w:hAnsi="Times New Roman"/>
                <w:sz w:val="20"/>
                <w:szCs w:val="20"/>
                <w:lang w:eastAsia="zh-CN" w:bidi="th-TH"/>
              </w:rPr>
              <w:t>C</w:t>
            </w:r>
            <w:r w:rsidRPr="00E541FE">
              <w:rPr>
                <w:rFonts w:ascii="Times New Roman" w:hAnsi="Times New Roman"/>
                <w:sz w:val="20"/>
                <w:szCs w:val="20"/>
                <w:vertAlign w:val="subscript"/>
                <w:lang w:eastAsia="zh-CN" w:bidi="th-TH"/>
              </w:rPr>
              <w:t>MSY</w:t>
            </w:r>
          </w:p>
        </w:tc>
        <w:tc>
          <w:tcPr>
            <w:tcW w:w="925" w:type="dxa"/>
          </w:tcPr>
          <w:p w14:paraId="62265E20"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Metric tons</w:t>
            </w:r>
          </w:p>
        </w:tc>
        <w:tc>
          <w:tcPr>
            <w:tcW w:w="1143" w:type="dxa"/>
          </w:tcPr>
          <w:p w14:paraId="74F5E610"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3127.1 (22.2%)</w:t>
            </w:r>
          </w:p>
        </w:tc>
        <w:tc>
          <w:tcPr>
            <w:tcW w:w="1125" w:type="dxa"/>
          </w:tcPr>
          <w:p w14:paraId="1887D7FF"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 xml:space="preserve">3951.8 </w:t>
            </w:r>
          </w:p>
          <w:p w14:paraId="2E75FF92"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(13.0%)</w:t>
            </w:r>
          </w:p>
        </w:tc>
        <w:tc>
          <w:tcPr>
            <w:tcW w:w="1134" w:type="dxa"/>
          </w:tcPr>
          <w:p w14:paraId="7FDA44C6"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 xml:space="preserve">1725.4 </w:t>
            </w:r>
          </w:p>
          <w:p w14:paraId="738D5DBB"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(26%)</w:t>
            </w:r>
          </w:p>
        </w:tc>
        <w:tc>
          <w:tcPr>
            <w:tcW w:w="1134" w:type="dxa"/>
          </w:tcPr>
          <w:p w14:paraId="1151CE3D"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2558.2</w:t>
            </w:r>
          </w:p>
          <w:p w14:paraId="0A61C504"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(68%)</w:t>
            </w:r>
          </w:p>
        </w:tc>
        <w:tc>
          <w:tcPr>
            <w:tcW w:w="1109" w:type="dxa"/>
          </w:tcPr>
          <w:p w14:paraId="63CFEF89"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3175.3</w:t>
            </w:r>
          </w:p>
          <w:p w14:paraId="3B2546BE"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(31%)</w:t>
            </w:r>
          </w:p>
        </w:tc>
        <w:tc>
          <w:tcPr>
            <w:tcW w:w="1159" w:type="dxa"/>
            <w:gridSpan w:val="2"/>
          </w:tcPr>
          <w:p w14:paraId="2017B70D"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 xml:space="preserve">2731 </w:t>
            </w:r>
          </w:p>
          <w:p w14:paraId="48D620E6"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(29%)</w:t>
            </w:r>
          </w:p>
        </w:tc>
        <w:tc>
          <w:tcPr>
            <w:tcW w:w="1141" w:type="dxa"/>
          </w:tcPr>
          <w:p w14:paraId="59B8F3B7"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3759</w:t>
            </w:r>
          </w:p>
          <w:p w14:paraId="276A9D5B"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(28%)</w:t>
            </w:r>
          </w:p>
        </w:tc>
      </w:tr>
      <w:tr w:rsidR="0041235F" w:rsidRPr="00E541FE" w14:paraId="21ACDE2B" w14:textId="77777777" w:rsidTr="0041235F">
        <w:trPr>
          <w:trHeight w:val="20"/>
        </w:trPr>
        <w:tc>
          <w:tcPr>
            <w:tcW w:w="3078" w:type="dxa"/>
          </w:tcPr>
          <w:p w14:paraId="2BDD90DC" w14:textId="77777777" w:rsidR="0041235F" w:rsidRPr="00E541FE" w:rsidRDefault="0041235F" w:rsidP="00E541FE">
            <w:pPr>
              <w:adjustRightInd w:val="0"/>
              <w:snapToGrid w:val="0"/>
              <w:spacing w:before="60" w:after="60"/>
              <w:rPr>
                <w:rFonts w:ascii="Times New Roman" w:hAnsi="Times New Roman"/>
                <w:b/>
                <w:sz w:val="20"/>
                <w:szCs w:val="20"/>
                <w:lang w:eastAsia="zh-CN" w:bidi="th-TH"/>
              </w:rPr>
            </w:pPr>
            <w:r w:rsidRPr="00E541FE">
              <w:rPr>
                <w:rFonts w:ascii="Times New Roman" w:hAnsi="Times New Roman"/>
                <w:sz w:val="20"/>
                <w:szCs w:val="20"/>
                <w:lang w:eastAsia="zh-CN" w:bidi="th-TH"/>
              </w:rPr>
              <w:t>Spawning abundance at MSY</w:t>
            </w:r>
          </w:p>
        </w:tc>
        <w:tc>
          <w:tcPr>
            <w:tcW w:w="1350" w:type="dxa"/>
          </w:tcPr>
          <w:p w14:paraId="6E0B1997" w14:textId="77777777" w:rsidR="0041235F" w:rsidRPr="00E541FE" w:rsidRDefault="0041235F" w:rsidP="00E541FE">
            <w:pPr>
              <w:adjustRightInd w:val="0"/>
              <w:snapToGrid w:val="0"/>
              <w:spacing w:before="60" w:after="60"/>
              <w:jc w:val="both"/>
              <w:rPr>
                <w:rFonts w:ascii="Times New Roman" w:hAnsi="Times New Roman"/>
                <w:sz w:val="20"/>
                <w:szCs w:val="20"/>
                <w:vertAlign w:val="subscript"/>
                <w:lang w:eastAsia="ja-JP" w:bidi="th-TH"/>
              </w:rPr>
            </w:pPr>
            <w:r w:rsidRPr="00E541FE">
              <w:rPr>
                <w:rFonts w:ascii="Times New Roman" w:hAnsi="Times New Roman"/>
                <w:sz w:val="20"/>
                <w:szCs w:val="20"/>
                <w:lang w:eastAsia="zh-CN" w:bidi="th-TH"/>
              </w:rPr>
              <w:t>SA</w:t>
            </w:r>
            <w:r w:rsidRPr="00E541FE">
              <w:rPr>
                <w:rFonts w:ascii="Times New Roman" w:hAnsi="Times New Roman"/>
                <w:sz w:val="20"/>
                <w:szCs w:val="20"/>
                <w:vertAlign w:val="subscript"/>
                <w:lang w:eastAsia="zh-CN" w:bidi="th-TH"/>
              </w:rPr>
              <w:t>MSY</w:t>
            </w:r>
          </w:p>
        </w:tc>
        <w:tc>
          <w:tcPr>
            <w:tcW w:w="925" w:type="dxa"/>
          </w:tcPr>
          <w:p w14:paraId="3AE1B59C"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1000s of sharks</w:t>
            </w:r>
          </w:p>
        </w:tc>
        <w:tc>
          <w:tcPr>
            <w:tcW w:w="1143" w:type="dxa"/>
          </w:tcPr>
          <w:p w14:paraId="0000EFFA"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 xml:space="preserve">633.7 </w:t>
            </w:r>
          </w:p>
          <w:p w14:paraId="3F02F62E"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(23.3%)</w:t>
            </w:r>
          </w:p>
        </w:tc>
        <w:tc>
          <w:tcPr>
            <w:tcW w:w="1125" w:type="dxa"/>
          </w:tcPr>
          <w:p w14:paraId="6FAB0A91"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821.3</w:t>
            </w:r>
          </w:p>
          <w:p w14:paraId="0FC14BB9"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(14.1%)</w:t>
            </w:r>
          </w:p>
        </w:tc>
        <w:tc>
          <w:tcPr>
            <w:tcW w:w="1134" w:type="dxa"/>
          </w:tcPr>
          <w:p w14:paraId="0582B32E"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371.5</w:t>
            </w:r>
          </w:p>
          <w:p w14:paraId="02209D51"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(27%)</w:t>
            </w:r>
          </w:p>
        </w:tc>
        <w:tc>
          <w:tcPr>
            <w:tcW w:w="1134" w:type="dxa"/>
          </w:tcPr>
          <w:p w14:paraId="383FE958"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536.6</w:t>
            </w:r>
          </w:p>
          <w:p w14:paraId="06E7A24D"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(70%)</w:t>
            </w:r>
          </w:p>
        </w:tc>
        <w:tc>
          <w:tcPr>
            <w:tcW w:w="1109" w:type="dxa"/>
          </w:tcPr>
          <w:p w14:paraId="7F4A1978"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759</w:t>
            </w:r>
          </w:p>
          <w:p w14:paraId="58C004F5"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(32%)</w:t>
            </w:r>
          </w:p>
        </w:tc>
        <w:tc>
          <w:tcPr>
            <w:tcW w:w="1159" w:type="dxa"/>
            <w:gridSpan w:val="2"/>
          </w:tcPr>
          <w:p w14:paraId="598B084A"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 xml:space="preserve">1095 </w:t>
            </w:r>
          </w:p>
          <w:p w14:paraId="45C9DE31"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(30%)</w:t>
            </w:r>
          </w:p>
        </w:tc>
        <w:tc>
          <w:tcPr>
            <w:tcW w:w="1141" w:type="dxa"/>
          </w:tcPr>
          <w:p w14:paraId="6C5DD970"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539.8</w:t>
            </w:r>
          </w:p>
          <w:p w14:paraId="676B7D25"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(30%)</w:t>
            </w:r>
          </w:p>
        </w:tc>
      </w:tr>
      <w:tr w:rsidR="0041235F" w:rsidRPr="00E541FE" w14:paraId="4CD865BD" w14:textId="77777777" w:rsidTr="0041235F">
        <w:trPr>
          <w:trHeight w:val="20"/>
        </w:trPr>
        <w:tc>
          <w:tcPr>
            <w:tcW w:w="3078" w:type="dxa"/>
          </w:tcPr>
          <w:p w14:paraId="7FD3D668" w14:textId="77777777" w:rsidR="0041235F" w:rsidRPr="00E541FE" w:rsidRDefault="0041235F" w:rsidP="00E541FE">
            <w:pPr>
              <w:adjustRightInd w:val="0"/>
              <w:snapToGrid w:val="0"/>
              <w:spacing w:before="60" w:after="60"/>
              <w:rPr>
                <w:rFonts w:ascii="Times New Roman" w:hAnsi="Times New Roman"/>
                <w:sz w:val="20"/>
                <w:szCs w:val="20"/>
                <w:lang w:eastAsia="zh-CN" w:bidi="th-TH"/>
              </w:rPr>
            </w:pPr>
            <w:r w:rsidRPr="00E541FE">
              <w:rPr>
                <w:rFonts w:ascii="Times New Roman" w:hAnsi="Times New Roman"/>
                <w:sz w:val="20"/>
                <w:szCs w:val="20"/>
                <w:lang w:eastAsia="zh-CN" w:bidi="th-TH"/>
              </w:rPr>
              <w:t>Fishing intensity at MSY</w:t>
            </w:r>
          </w:p>
        </w:tc>
        <w:tc>
          <w:tcPr>
            <w:tcW w:w="1350" w:type="dxa"/>
          </w:tcPr>
          <w:p w14:paraId="7CD55C39" w14:textId="77777777" w:rsidR="0041235F" w:rsidRPr="00E541FE" w:rsidRDefault="0041235F" w:rsidP="00E541FE">
            <w:pPr>
              <w:adjustRightInd w:val="0"/>
              <w:snapToGrid w:val="0"/>
              <w:spacing w:before="60" w:after="60"/>
              <w:jc w:val="both"/>
              <w:rPr>
                <w:rFonts w:ascii="Times New Roman" w:hAnsi="Times New Roman"/>
                <w:sz w:val="20"/>
                <w:szCs w:val="20"/>
                <w:lang w:eastAsia="zh-CN" w:bidi="th-TH"/>
              </w:rPr>
            </w:pPr>
            <w:r w:rsidRPr="00E541FE">
              <w:rPr>
                <w:rFonts w:ascii="Times New Roman" w:hAnsi="Times New Roman"/>
                <w:sz w:val="20"/>
                <w:szCs w:val="20"/>
                <w:lang w:eastAsia="zh-CN" w:bidi="th-TH"/>
              </w:rPr>
              <w:t>1-SPR</w:t>
            </w:r>
            <w:r w:rsidRPr="00E541FE">
              <w:rPr>
                <w:rFonts w:ascii="Times New Roman" w:hAnsi="Times New Roman"/>
                <w:sz w:val="20"/>
                <w:szCs w:val="20"/>
                <w:vertAlign w:val="subscript"/>
                <w:lang w:eastAsia="zh-CN" w:bidi="th-TH"/>
              </w:rPr>
              <w:t>MSY</w:t>
            </w:r>
          </w:p>
        </w:tc>
        <w:tc>
          <w:tcPr>
            <w:tcW w:w="925" w:type="dxa"/>
          </w:tcPr>
          <w:p w14:paraId="203FEE12"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NA</w:t>
            </w:r>
          </w:p>
        </w:tc>
        <w:tc>
          <w:tcPr>
            <w:tcW w:w="1143" w:type="dxa"/>
          </w:tcPr>
          <w:p w14:paraId="4F9CE9A7"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0.26</w:t>
            </w:r>
          </w:p>
        </w:tc>
        <w:tc>
          <w:tcPr>
            <w:tcW w:w="1125" w:type="dxa"/>
          </w:tcPr>
          <w:p w14:paraId="51BC7F96"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0.26</w:t>
            </w:r>
          </w:p>
        </w:tc>
        <w:tc>
          <w:tcPr>
            <w:tcW w:w="1134" w:type="dxa"/>
          </w:tcPr>
          <w:p w14:paraId="4777881D"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0.26</w:t>
            </w:r>
          </w:p>
        </w:tc>
        <w:tc>
          <w:tcPr>
            <w:tcW w:w="1134" w:type="dxa"/>
          </w:tcPr>
          <w:p w14:paraId="4FADAC95"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0.26</w:t>
            </w:r>
          </w:p>
        </w:tc>
        <w:tc>
          <w:tcPr>
            <w:tcW w:w="1109" w:type="dxa"/>
          </w:tcPr>
          <w:p w14:paraId="54C2A71F"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0.24</w:t>
            </w:r>
          </w:p>
        </w:tc>
        <w:tc>
          <w:tcPr>
            <w:tcW w:w="1159" w:type="dxa"/>
            <w:gridSpan w:val="2"/>
          </w:tcPr>
          <w:p w14:paraId="4A9225AE"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0.16</w:t>
            </w:r>
          </w:p>
        </w:tc>
        <w:tc>
          <w:tcPr>
            <w:tcW w:w="1141" w:type="dxa"/>
          </w:tcPr>
          <w:p w14:paraId="63BC60BF"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0.34</w:t>
            </w:r>
          </w:p>
        </w:tc>
      </w:tr>
      <w:tr w:rsidR="0041235F" w:rsidRPr="00E541FE" w14:paraId="2DB04CFF" w14:textId="77777777" w:rsidTr="0041235F">
        <w:trPr>
          <w:trHeight w:val="20"/>
        </w:trPr>
        <w:tc>
          <w:tcPr>
            <w:tcW w:w="3078" w:type="dxa"/>
          </w:tcPr>
          <w:p w14:paraId="24C3E226" w14:textId="77777777" w:rsidR="0041235F" w:rsidRPr="00E541FE" w:rsidRDefault="0041235F" w:rsidP="00E541FE">
            <w:pPr>
              <w:adjustRightInd w:val="0"/>
              <w:snapToGrid w:val="0"/>
              <w:spacing w:before="60" w:after="60"/>
              <w:rPr>
                <w:rFonts w:ascii="Times New Roman" w:hAnsi="Times New Roman"/>
                <w:sz w:val="20"/>
                <w:szCs w:val="20"/>
                <w:lang w:eastAsia="zh-CN" w:bidi="th-TH"/>
              </w:rPr>
            </w:pPr>
            <w:r w:rsidRPr="00E541FE">
              <w:rPr>
                <w:rFonts w:ascii="Times New Roman" w:hAnsi="Times New Roman"/>
                <w:sz w:val="20"/>
                <w:szCs w:val="20"/>
                <w:lang w:eastAsia="zh-CN" w:bidi="th-TH"/>
              </w:rPr>
              <w:t>Current spawning abundance relative to MSY</w:t>
            </w:r>
          </w:p>
        </w:tc>
        <w:tc>
          <w:tcPr>
            <w:tcW w:w="1350" w:type="dxa"/>
          </w:tcPr>
          <w:p w14:paraId="09C78128" w14:textId="77777777" w:rsidR="0041235F" w:rsidRPr="00E541FE" w:rsidRDefault="0041235F" w:rsidP="00E541FE">
            <w:pPr>
              <w:adjustRightInd w:val="0"/>
              <w:snapToGrid w:val="0"/>
              <w:spacing w:before="60" w:after="60"/>
              <w:jc w:val="both"/>
              <w:rPr>
                <w:rFonts w:ascii="Times New Roman" w:hAnsi="Times New Roman"/>
                <w:sz w:val="20"/>
                <w:szCs w:val="20"/>
                <w:lang w:eastAsia="zh-CN" w:bidi="th-TH"/>
              </w:rPr>
            </w:pPr>
            <w:r w:rsidRPr="00E541FE">
              <w:rPr>
                <w:rFonts w:ascii="Times New Roman" w:hAnsi="Times New Roman"/>
                <w:sz w:val="20"/>
                <w:szCs w:val="20"/>
                <w:lang w:eastAsia="zh-CN" w:bidi="th-TH"/>
              </w:rPr>
              <w:t>SA</w:t>
            </w:r>
            <w:r w:rsidRPr="00E541FE">
              <w:rPr>
                <w:rFonts w:ascii="Times New Roman" w:hAnsi="Times New Roman"/>
                <w:sz w:val="20"/>
                <w:szCs w:val="20"/>
                <w:vertAlign w:val="subscript"/>
                <w:lang w:eastAsia="zh-CN" w:bidi="th-TH"/>
              </w:rPr>
              <w:t>2016</w:t>
            </w:r>
            <w:r w:rsidRPr="00E541FE">
              <w:rPr>
                <w:rFonts w:ascii="Times New Roman" w:hAnsi="Times New Roman"/>
                <w:sz w:val="20"/>
                <w:szCs w:val="20"/>
                <w:lang w:eastAsia="zh-CN" w:bidi="th-TH"/>
              </w:rPr>
              <w:t>/SA</w:t>
            </w:r>
            <w:r w:rsidRPr="00E541FE">
              <w:rPr>
                <w:rFonts w:ascii="Times New Roman" w:hAnsi="Times New Roman"/>
                <w:sz w:val="20"/>
                <w:szCs w:val="20"/>
                <w:vertAlign w:val="subscript"/>
                <w:lang w:eastAsia="zh-CN" w:bidi="th-TH"/>
              </w:rPr>
              <w:t>MSY</w:t>
            </w:r>
          </w:p>
        </w:tc>
        <w:tc>
          <w:tcPr>
            <w:tcW w:w="925" w:type="dxa"/>
          </w:tcPr>
          <w:p w14:paraId="45B29B98"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NA</w:t>
            </w:r>
          </w:p>
        </w:tc>
        <w:tc>
          <w:tcPr>
            <w:tcW w:w="1143" w:type="dxa"/>
          </w:tcPr>
          <w:p w14:paraId="7007FBAB"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1.36</w:t>
            </w:r>
          </w:p>
        </w:tc>
        <w:tc>
          <w:tcPr>
            <w:tcW w:w="1125" w:type="dxa"/>
          </w:tcPr>
          <w:p w14:paraId="7D4ECD12"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1.16</w:t>
            </w:r>
          </w:p>
        </w:tc>
        <w:tc>
          <w:tcPr>
            <w:tcW w:w="1134" w:type="dxa"/>
          </w:tcPr>
          <w:p w14:paraId="531E38C7"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1.34</w:t>
            </w:r>
          </w:p>
        </w:tc>
        <w:tc>
          <w:tcPr>
            <w:tcW w:w="1134" w:type="dxa"/>
          </w:tcPr>
          <w:p w14:paraId="49751344"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1.57</w:t>
            </w:r>
          </w:p>
        </w:tc>
        <w:tc>
          <w:tcPr>
            <w:tcW w:w="1109" w:type="dxa"/>
          </w:tcPr>
          <w:p w14:paraId="2B7103E7"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1.40</w:t>
            </w:r>
          </w:p>
        </w:tc>
        <w:tc>
          <w:tcPr>
            <w:tcW w:w="1159" w:type="dxa"/>
            <w:gridSpan w:val="2"/>
          </w:tcPr>
          <w:p w14:paraId="29AF737C"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1.26</w:t>
            </w:r>
          </w:p>
        </w:tc>
        <w:tc>
          <w:tcPr>
            <w:tcW w:w="1141" w:type="dxa"/>
          </w:tcPr>
          <w:p w14:paraId="4AEE2939"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1.59</w:t>
            </w:r>
          </w:p>
        </w:tc>
      </w:tr>
      <w:tr w:rsidR="0041235F" w:rsidRPr="00E541FE" w14:paraId="45FA352E" w14:textId="77777777" w:rsidTr="0041235F">
        <w:trPr>
          <w:trHeight w:val="20"/>
        </w:trPr>
        <w:tc>
          <w:tcPr>
            <w:tcW w:w="3078" w:type="dxa"/>
          </w:tcPr>
          <w:p w14:paraId="5F868B95" w14:textId="77777777" w:rsidR="0041235F" w:rsidRPr="00E541FE" w:rsidRDefault="0041235F" w:rsidP="00E541FE">
            <w:pPr>
              <w:adjustRightInd w:val="0"/>
              <w:snapToGrid w:val="0"/>
              <w:spacing w:before="60" w:after="60"/>
              <w:rPr>
                <w:rFonts w:ascii="Times New Roman" w:hAnsi="Times New Roman"/>
                <w:sz w:val="20"/>
                <w:szCs w:val="20"/>
                <w:lang w:eastAsia="zh-CN" w:bidi="th-TH"/>
              </w:rPr>
            </w:pPr>
            <w:r w:rsidRPr="00E541FE">
              <w:rPr>
                <w:rFonts w:ascii="Times New Roman" w:hAnsi="Times New Roman"/>
                <w:sz w:val="20"/>
                <w:szCs w:val="20"/>
                <w:lang w:eastAsia="zh-CN" w:bidi="th-TH"/>
              </w:rPr>
              <w:t>Current spawning abundance relative to unfished level</w:t>
            </w:r>
          </w:p>
        </w:tc>
        <w:tc>
          <w:tcPr>
            <w:tcW w:w="1350" w:type="dxa"/>
          </w:tcPr>
          <w:p w14:paraId="47A5AEC4" w14:textId="77777777" w:rsidR="0041235F" w:rsidRPr="00E541FE" w:rsidRDefault="0041235F" w:rsidP="00E541FE">
            <w:pPr>
              <w:adjustRightInd w:val="0"/>
              <w:snapToGrid w:val="0"/>
              <w:spacing w:before="60" w:after="60"/>
              <w:jc w:val="both"/>
              <w:rPr>
                <w:rFonts w:ascii="Times New Roman" w:hAnsi="Times New Roman"/>
                <w:sz w:val="20"/>
                <w:szCs w:val="20"/>
                <w:lang w:eastAsia="zh-CN" w:bidi="th-TH"/>
              </w:rPr>
            </w:pPr>
            <w:r w:rsidRPr="00E541FE">
              <w:rPr>
                <w:rFonts w:ascii="Times New Roman" w:hAnsi="Times New Roman"/>
                <w:sz w:val="20"/>
                <w:szCs w:val="20"/>
                <w:lang w:eastAsia="zh-CN" w:bidi="th-TH"/>
              </w:rPr>
              <w:t>SA</w:t>
            </w:r>
            <w:r w:rsidRPr="00E541FE">
              <w:rPr>
                <w:rFonts w:ascii="Times New Roman" w:hAnsi="Times New Roman"/>
                <w:sz w:val="20"/>
                <w:szCs w:val="20"/>
                <w:vertAlign w:val="subscript"/>
                <w:lang w:eastAsia="zh-CN" w:bidi="th-TH"/>
              </w:rPr>
              <w:t>2016</w:t>
            </w:r>
            <w:r w:rsidRPr="00E541FE">
              <w:rPr>
                <w:rFonts w:ascii="Times New Roman" w:hAnsi="Times New Roman"/>
                <w:sz w:val="20"/>
                <w:szCs w:val="20"/>
                <w:lang w:eastAsia="zh-CN" w:bidi="th-TH"/>
              </w:rPr>
              <w:t>/SA</w:t>
            </w:r>
            <w:r w:rsidRPr="00E541FE">
              <w:rPr>
                <w:rFonts w:ascii="Times New Roman" w:hAnsi="Times New Roman"/>
                <w:sz w:val="20"/>
                <w:szCs w:val="20"/>
                <w:vertAlign w:val="subscript"/>
                <w:lang w:eastAsia="zh-CN" w:bidi="th-TH"/>
              </w:rPr>
              <w:t>0</w:t>
            </w:r>
          </w:p>
        </w:tc>
        <w:tc>
          <w:tcPr>
            <w:tcW w:w="925" w:type="dxa"/>
          </w:tcPr>
          <w:p w14:paraId="3A2E74AA"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NA</w:t>
            </w:r>
          </w:p>
        </w:tc>
        <w:tc>
          <w:tcPr>
            <w:tcW w:w="1143" w:type="dxa"/>
          </w:tcPr>
          <w:p w14:paraId="233E60F8"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0.58</w:t>
            </w:r>
          </w:p>
        </w:tc>
        <w:tc>
          <w:tcPr>
            <w:tcW w:w="1125" w:type="dxa"/>
          </w:tcPr>
          <w:p w14:paraId="2B1AE150"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0.51</w:t>
            </w:r>
          </w:p>
        </w:tc>
        <w:tc>
          <w:tcPr>
            <w:tcW w:w="1134" w:type="dxa"/>
          </w:tcPr>
          <w:p w14:paraId="41427E06"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0.58</w:t>
            </w:r>
          </w:p>
        </w:tc>
        <w:tc>
          <w:tcPr>
            <w:tcW w:w="1134" w:type="dxa"/>
          </w:tcPr>
          <w:p w14:paraId="2EE97C5B"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0.68</w:t>
            </w:r>
          </w:p>
        </w:tc>
        <w:tc>
          <w:tcPr>
            <w:tcW w:w="1109" w:type="dxa"/>
          </w:tcPr>
          <w:p w14:paraId="4E54702C"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0.61</w:t>
            </w:r>
          </w:p>
        </w:tc>
        <w:tc>
          <w:tcPr>
            <w:tcW w:w="1159" w:type="dxa"/>
            <w:gridSpan w:val="2"/>
          </w:tcPr>
          <w:p w14:paraId="18601BE8"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0.59</w:t>
            </w:r>
          </w:p>
        </w:tc>
        <w:tc>
          <w:tcPr>
            <w:tcW w:w="1141" w:type="dxa"/>
          </w:tcPr>
          <w:p w14:paraId="3A1B578B"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0.64</w:t>
            </w:r>
          </w:p>
        </w:tc>
      </w:tr>
      <w:tr w:rsidR="0041235F" w:rsidRPr="00E541FE" w14:paraId="38F94191" w14:textId="77777777" w:rsidTr="00E541FE">
        <w:trPr>
          <w:trHeight w:val="588"/>
        </w:trPr>
        <w:tc>
          <w:tcPr>
            <w:tcW w:w="3078" w:type="dxa"/>
            <w:tcBorders>
              <w:bottom w:val="single" w:sz="4" w:space="0" w:color="auto"/>
            </w:tcBorders>
          </w:tcPr>
          <w:p w14:paraId="2AD6FCB4" w14:textId="77777777" w:rsidR="0041235F" w:rsidRPr="00E541FE" w:rsidRDefault="0041235F" w:rsidP="00E541FE">
            <w:pPr>
              <w:adjustRightInd w:val="0"/>
              <w:snapToGrid w:val="0"/>
              <w:spacing w:before="60" w:after="60"/>
              <w:rPr>
                <w:rFonts w:ascii="Times New Roman" w:hAnsi="Times New Roman"/>
                <w:sz w:val="20"/>
                <w:szCs w:val="20"/>
                <w:lang w:eastAsia="zh-CN" w:bidi="th-TH"/>
              </w:rPr>
            </w:pPr>
            <w:r w:rsidRPr="00E541FE">
              <w:rPr>
                <w:rFonts w:ascii="Times New Roman" w:hAnsi="Times New Roman"/>
                <w:sz w:val="20"/>
                <w:szCs w:val="20"/>
                <w:lang w:eastAsia="zh-CN" w:bidi="th-TH"/>
              </w:rPr>
              <w:t>Recent fishing intensity</w:t>
            </w:r>
          </w:p>
          <w:p w14:paraId="14A95AD0" w14:textId="77777777" w:rsidR="0041235F" w:rsidRPr="00E541FE" w:rsidRDefault="0041235F" w:rsidP="00E541FE">
            <w:pPr>
              <w:adjustRightInd w:val="0"/>
              <w:snapToGrid w:val="0"/>
              <w:spacing w:before="60" w:after="60"/>
              <w:rPr>
                <w:rFonts w:ascii="Times New Roman" w:hAnsi="Times New Roman"/>
                <w:sz w:val="20"/>
                <w:szCs w:val="20"/>
                <w:lang w:eastAsia="zh-CN" w:bidi="th-TH"/>
              </w:rPr>
            </w:pPr>
            <w:r w:rsidRPr="00E541FE">
              <w:rPr>
                <w:rFonts w:ascii="Times New Roman" w:hAnsi="Times New Roman"/>
                <w:sz w:val="20"/>
                <w:szCs w:val="20"/>
                <w:lang w:eastAsia="zh-CN" w:bidi="th-TH"/>
              </w:rPr>
              <w:t>relative to MSY</w:t>
            </w:r>
          </w:p>
        </w:tc>
        <w:tc>
          <w:tcPr>
            <w:tcW w:w="1350" w:type="dxa"/>
            <w:tcBorders>
              <w:bottom w:val="single" w:sz="4" w:space="0" w:color="auto"/>
            </w:tcBorders>
          </w:tcPr>
          <w:p w14:paraId="400D93BC" w14:textId="77777777" w:rsidR="0041235F" w:rsidRPr="00E541FE" w:rsidRDefault="00BC5151" w:rsidP="00E541FE">
            <w:pPr>
              <w:adjustRightInd w:val="0"/>
              <w:snapToGrid w:val="0"/>
              <w:spacing w:before="60" w:after="60"/>
              <w:rPr>
                <w:rFonts w:ascii="Times New Roman" w:hAnsi="Times New Roman"/>
                <w:sz w:val="20"/>
                <w:szCs w:val="20"/>
                <w:lang w:eastAsia="zh-CN" w:bidi="th-TH"/>
              </w:rPr>
            </w:pPr>
            <m:oMathPara>
              <m:oMath>
                <m:f>
                  <m:fPr>
                    <m:ctrlPr>
                      <w:rPr>
                        <w:rFonts w:ascii="Cambria Math" w:hAnsi="Cambria Math"/>
                        <w:i/>
                        <w:sz w:val="20"/>
                        <w:szCs w:val="20"/>
                        <w:lang w:eastAsia="zh-CN" w:bidi="th-TH"/>
                      </w:rPr>
                    </m:ctrlPr>
                  </m:fPr>
                  <m:num>
                    <m:sSub>
                      <m:sSubPr>
                        <m:ctrlPr>
                          <w:rPr>
                            <w:rFonts w:ascii="Cambria Math" w:hAnsi="Cambria Math"/>
                            <w:i/>
                            <w:sz w:val="20"/>
                            <w:szCs w:val="20"/>
                            <w:lang w:eastAsia="zh-CN" w:bidi="th-TH"/>
                          </w:rPr>
                        </m:ctrlPr>
                      </m:sSubPr>
                      <m:e>
                        <m:r>
                          <w:rPr>
                            <w:rFonts w:ascii="Cambria Math" w:hAnsi="Cambria Math"/>
                            <w:sz w:val="20"/>
                            <w:szCs w:val="20"/>
                            <w:lang w:eastAsia="zh-CN" w:bidi="th-TH"/>
                          </w:rPr>
                          <m:t>1-SPR</m:t>
                        </m:r>
                      </m:e>
                      <m:sub>
                        <m:r>
                          <w:rPr>
                            <w:rFonts w:ascii="Cambria Math" w:hAnsi="Cambria Math"/>
                            <w:sz w:val="20"/>
                            <w:szCs w:val="20"/>
                            <w:lang w:eastAsia="zh-CN" w:bidi="th-TH"/>
                          </w:rPr>
                          <m:t>2013-2015</m:t>
                        </m:r>
                      </m:sub>
                    </m:sSub>
                  </m:num>
                  <m:den>
                    <m:sSub>
                      <m:sSubPr>
                        <m:ctrlPr>
                          <w:rPr>
                            <w:rFonts w:ascii="Cambria Math" w:hAnsi="Cambria Math"/>
                            <w:i/>
                            <w:sz w:val="20"/>
                            <w:szCs w:val="20"/>
                            <w:lang w:eastAsia="zh-CN" w:bidi="th-TH"/>
                          </w:rPr>
                        </m:ctrlPr>
                      </m:sSubPr>
                      <m:e>
                        <m:r>
                          <w:rPr>
                            <w:rFonts w:ascii="Cambria Math" w:hAnsi="Cambria Math"/>
                            <w:sz w:val="20"/>
                            <w:szCs w:val="20"/>
                            <w:lang w:eastAsia="zh-CN" w:bidi="th-TH"/>
                          </w:rPr>
                          <m:t>1-SPR</m:t>
                        </m:r>
                      </m:e>
                      <m:sub>
                        <m:r>
                          <w:rPr>
                            <w:rFonts w:ascii="Cambria Math" w:hAnsi="Cambria Math"/>
                            <w:sz w:val="20"/>
                            <w:szCs w:val="20"/>
                            <w:lang w:eastAsia="zh-CN" w:bidi="th-TH"/>
                          </w:rPr>
                          <m:t>MSY</m:t>
                        </m:r>
                      </m:sub>
                    </m:sSub>
                  </m:den>
                </m:f>
              </m:oMath>
            </m:oMathPara>
          </w:p>
        </w:tc>
        <w:tc>
          <w:tcPr>
            <w:tcW w:w="925" w:type="dxa"/>
            <w:tcBorders>
              <w:bottom w:val="single" w:sz="4" w:space="0" w:color="auto"/>
            </w:tcBorders>
          </w:tcPr>
          <w:p w14:paraId="63E979A6"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NA</w:t>
            </w:r>
          </w:p>
        </w:tc>
        <w:tc>
          <w:tcPr>
            <w:tcW w:w="1143" w:type="dxa"/>
            <w:tcBorders>
              <w:bottom w:val="single" w:sz="4" w:space="0" w:color="auto"/>
            </w:tcBorders>
          </w:tcPr>
          <w:p w14:paraId="0EECB3CB"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0.62</w:t>
            </w:r>
          </w:p>
        </w:tc>
        <w:tc>
          <w:tcPr>
            <w:tcW w:w="1125" w:type="dxa"/>
            <w:tcBorders>
              <w:bottom w:val="single" w:sz="4" w:space="0" w:color="auto"/>
            </w:tcBorders>
          </w:tcPr>
          <w:p w14:paraId="29BA2819"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0.66</w:t>
            </w:r>
          </w:p>
        </w:tc>
        <w:tc>
          <w:tcPr>
            <w:tcW w:w="1134" w:type="dxa"/>
            <w:tcBorders>
              <w:bottom w:val="single" w:sz="4" w:space="0" w:color="auto"/>
            </w:tcBorders>
          </w:tcPr>
          <w:p w14:paraId="65A10725"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0.53</w:t>
            </w:r>
          </w:p>
        </w:tc>
        <w:tc>
          <w:tcPr>
            <w:tcW w:w="1134" w:type="dxa"/>
            <w:tcBorders>
              <w:bottom w:val="single" w:sz="4" w:space="0" w:color="auto"/>
            </w:tcBorders>
          </w:tcPr>
          <w:p w14:paraId="6D9BFBE4"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0.68</w:t>
            </w:r>
          </w:p>
        </w:tc>
        <w:tc>
          <w:tcPr>
            <w:tcW w:w="1109" w:type="dxa"/>
            <w:tcBorders>
              <w:bottom w:val="single" w:sz="4" w:space="0" w:color="auto"/>
            </w:tcBorders>
          </w:tcPr>
          <w:p w14:paraId="141B57C9"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0.57</w:t>
            </w:r>
          </w:p>
        </w:tc>
        <w:tc>
          <w:tcPr>
            <w:tcW w:w="1159" w:type="dxa"/>
            <w:gridSpan w:val="2"/>
            <w:tcBorders>
              <w:bottom w:val="single" w:sz="4" w:space="0" w:color="auto"/>
            </w:tcBorders>
          </w:tcPr>
          <w:p w14:paraId="78037A88"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0.69</w:t>
            </w:r>
          </w:p>
        </w:tc>
        <w:tc>
          <w:tcPr>
            <w:tcW w:w="1141" w:type="dxa"/>
            <w:tcBorders>
              <w:bottom w:val="single" w:sz="4" w:space="0" w:color="auto"/>
            </w:tcBorders>
          </w:tcPr>
          <w:p w14:paraId="38809C4E" w14:textId="77777777" w:rsidR="0041235F" w:rsidRPr="00E541FE" w:rsidRDefault="0041235F" w:rsidP="00E541FE">
            <w:pPr>
              <w:adjustRightInd w:val="0"/>
              <w:snapToGrid w:val="0"/>
              <w:spacing w:before="60" w:after="60"/>
              <w:jc w:val="right"/>
              <w:rPr>
                <w:rFonts w:ascii="Times New Roman" w:hAnsi="Times New Roman"/>
                <w:sz w:val="20"/>
                <w:szCs w:val="20"/>
                <w:lang w:eastAsia="zh-CN" w:bidi="th-TH"/>
              </w:rPr>
            </w:pPr>
            <w:r w:rsidRPr="00E541FE">
              <w:rPr>
                <w:rFonts w:ascii="Times New Roman" w:hAnsi="Times New Roman"/>
                <w:sz w:val="20"/>
                <w:szCs w:val="20"/>
                <w:lang w:eastAsia="zh-CN" w:bidi="th-TH"/>
              </w:rPr>
              <w:t>0.47</w:t>
            </w:r>
          </w:p>
        </w:tc>
      </w:tr>
    </w:tbl>
    <w:p w14:paraId="4D551A5D" w14:textId="77777777" w:rsidR="0041235F" w:rsidRPr="004635E5" w:rsidRDefault="0041235F" w:rsidP="006633A8">
      <w:pPr>
        <w:adjustRightInd w:val="0"/>
        <w:snapToGrid w:val="0"/>
        <w:rPr>
          <w:rFonts w:eastAsiaTheme="minorHAnsi"/>
          <w:sz w:val="22"/>
          <w:szCs w:val="22"/>
        </w:rPr>
      </w:pPr>
    </w:p>
    <w:p w14:paraId="54E12E96" w14:textId="77777777" w:rsidR="00EE6CCB" w:rsidRPr="004635E5" w:rsidRDefault="00EE6CCB" w:rsidP="006633A8">
      <w:pPr>
        <w:adjustRightInd w:val="0"/>
        <w:snapToGrid w:val="0"/>
        <w:jc w:val="both"/>
        <w:rPr>
          <w:rFonts w:eastAsiaTheme="minorHAnsi"/>
          <w:sz w:val="22"/>
          <w:szCs w:val="22"/>
        </w:rPr>
        <w:sectPr w:rsidR="00EE6CCB" w:rsidRPr="004635E5" w:rsidSect="007C29E5">
          <w:headerReference w:type="default" r:id="rId122"/>
          <w:footerReference w:type="even" r:id="rId123"/>
          <w:footerReference w:type="default" r:id="rId124"/>
          <w:headerReference w:type="first" r:id="rId125"/>
          <w:pgSz w:w="15840" w:h="12240" w:orient="landscape" w:code="1"/>
          <w:pgMar w:top="1440" w:right="1440" w:bottom="1440" w:left="1440" w:header="720" w:footer="720" w:gutter="0"/>
          <w:cols w:space="720"/>
          <w:docGrid w:linePitch="360"/>
        </w:sectPr>
      </w:pPr>
    </w:p>
    <w:p w14:paraId="5DC5114C" w14:textId="77777777" w:rsidR="00EE6CCB" w:rsidRPr="004635E5" w:rsidRDefault="00EE6CCB" w:rsidP="006633A8">
      <w:pPr>
        <w:adjustRightInd w:val="0"/>
        <w:snapToGrid w:val="0"/>
        <w:jc w:val="both"/>
        <w:rPr>
          <w:b/>
          <w:sz w:val="22"/>
          <w:szCs w:val="22"/>
        </w:rPr>
      </w:pPr>
      <w:r w:rsidRPr="004635E5">
        <w:rPr>
          <w:b/>
          <w:sz w:val="22"/>
          <w:szCs w:val="22"/>
        </w:rPr>
        <w:t>Discussion</w:t>
      </w:r>
    </w:p>
    <w:p w14:paraId="6C358485" w14:textId="77777777" w:rsidR="009241FB" w:rsidRPr="004635E5" w:rsidRDefault="009241FB" w:rsidP="006633A8">
      <w:pPr>
        <w:adjustRightInd w:val="0"/>
        <w:snapToGrid w:val="0"/>
        <w:jc w:val="both"/>
        <w:rPr>
          <w:b/>
          <w:sz w:val="22"/>
          <w:szCs w:val="22"/>
        </w:rPr>
      </w:pPr>
    </w:p>
    <w:p w14:paraId="5C29E271" w14:textId="77777777" w:rsidR="00EE6CCB" w:rsidRPr="004635E5" w:rsidRDefault="00EE6CCB"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Cook Islands</w:t>
      </w:r>
      <w:r w:rsidR="00270656" w:rsidRPr="004635E5">
        <w:rPr>
          <w:rFonts w:eastAsia="Batang"/>
          <w:sz w:val="22"/>
          <w:szCs w:val="22"/>
          <w:lang w:val="en-NZ" w:eastAsia="ko-KR"/>
        </w:rPr>
        <w:t xml:space="preserve">, on behalf of </w:t>
      </w:r>
      <w:r w:rsidRPr="004635E5">
        <w:rPr>
          <w:rFonts w:eastAsia="Batang"/>
          <w:sz w:val="22"/>
          <w:szCs w:val="22"/>
          <w:lang w:val="en-NZ" w:eastAsia="ko-KR"/>
        </w:rPr>
        <w:t>FFA members</w:t>
      </w:r>
      <w:r w:rsidR="00270656" w:rsidRPr="004635E5">
        <w:rPr>
          <w:rFonts w:eastAsia="Batang"/>
          <w:sz w:val="22"/>
          <w:szCs w:val="22"/>
          <w:lang w:val="en-NZ" w:eastAsia="ko-KR"/>
        </w:rPr>
        <w:t>,</w:t>
      </w:r>
      <w:r w:rsidRPr="004635E5">
        <w:rPr>
          <w:rFonts w:eastAsia="Batang"/>
          <w:sz w:val="22"/>
          <w:szCs w:val="22"/>
          <w:lang w:val="en-NZ" w:eastAsia="ko-KR"/>
        </w:rPr>
        <w:t xml:space="preserve"> support</w:t>
      </w:r>
      <w:r w:rsidR="00270656" w:rsidRPr="004635E5">
        <w:rPr>
          <w:rFonts w:eastAsia="Batang"/>
          <w:sz w:val="22"/>
          <w:szCs w:val="22"/>
          <w:lang w:val="en-NZ" w:eastAsia="ko-KR"/>
        </w:rPr>
        <w:t>ed</w:t>
      </w:r>
      <w:r w:rsidRPr="004635E5">
        <w:rPr>
          <w:rFonts w:eastAsia="Batang"/>
          <w:sz w:val="22"/>
          <w:szCs w:val="22"/>
          <w:lang w:val="en-NZ" w:eastAsia="ko-KR"/>
        </w:rPr>
        <w:t xml:space="preserve"> the improvement of the collection of catch </w:t>
      </w:r>
      <w:r w:rsidR="00270656" w:rsidRPr="004635E5">
        <w:rPr>
          <w:rFonts w:eastAsia="Batang"/>
          <w:sz w:val="22"/>
          <w:szCs w:val="22"/>
          <w:lang w:val="en-NZ" w:eastAsia="ko-KR"/>
        </w:rPr>
        <w:t xml:space="preserve">data </w:t>
      </w:r>
      <w:r w:rsidRPr="004635E5">
        <w:rPr>
          <w:rFonts w:eastAsia="Batang"/>
          <w:sz w:val="22"/>
          <w:szCs w:val="22"/>
          <w:lang w:val="en-NZ" w:eastAsia="ko-KR"/>
        </w:rPr>
        <w:t xml:space="preserve">for </w:t>
      </w:r>
      <w:r w:rsidR="00270656" w:rsidRPr="004635E5">
        <w:rPr>
          <w:rFonts w:eastAsia="Batang"/>
          <w:sz w:val="22"/>
          <w:szCs w:val="22"/>
          <w:lang w:val="en-NZ" w:eastAsia="ko-KR"/>
        </w:rPr>
        <w:t xml:space="preserve">the </w:t>
      </w:r>
      <w:r w:rsidRPr="004635E5">
        <w:rPr>
          <w:rFonts w:eastAsia="Batang"/>
          <w:sz w:val="22"/>
          <w:szCs w:val="22"/>
          <w:lang w:val="en-NZ" w:eastAsia="ko-KR"/>
        </w:rPr>
        <w:t>fishery</w:t>
      </w:r>
      <w:r w:rsidR="00270656" w:rsidRPr="004635E5">
        <w:rPr>
          <w:rFonts w:eastAsia="Batang"/>
          <w:sz w:val="22"/>
          <w:szCs w:val="22"/>
          <w:lang w:val="en-NZ" w:eastAsia="ko-KR"/>
        </w:rPr>
        <w:t>.</w:t>
      </w:r>
      <w:r w:rsidRPr="004635E5">
        <w:rPr>
          <w:rFonts w:eastAsia="Batang"/>
          <w:sz w:val="22"/>
          <w:szCs w:val="22"/>
          <w:lang w:val="en-NZ" w:eastAsia="ko-KR"/>
        </w:rPr>
        <w:t xml:space="preserve"> </w:t>
      </w:r>
    </w:p>
    <w:p w14:paraId="4DE0FA44" w14:textId="77777777" w:rsidR="005749BD" w:rsidRPr="004635E5" w:rsidRDefault="005749BD" w:rsidP="006633A8">
      <w:pPr>
        <w:autoSpaceDE w:val="0"/>
        <w:autoSpaceDN w:val="0"/>
        <w:adjustRightInd w:val="0"/>
        <w:snapToGrid w:val="0"/>
        <w:jc w:val="both"/>
        <w:rPr>
          <w:rFonts w:eastAsia="Batang"/>
          <w:sz w:val="22"/>
          <w:szCs w:val="22"/>
          <w:lang w:val="en-NZ" w:eastAsia="ko-KR"/>
        </w:rPr>
      </w:pPr>
    </w:p>
    <w:p w14:paraId="4AEDEE26" w14:textId="77777777" w:rsidR="00EE6CCB" w:rsidRPr="004635E5" w:rsidRDefault="00EE6CCB"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Australia noted that there were inconsistencies in the indices and asked if sensitivity analysis of CPUE indices had been used to include or exclude indices. </w:t>
      </w:r>
      <w:r w:rsidR="00270656" w:rsidRPr="004635E5">
        <w:rPr>
          <w:rFonts w:eastAsia="Batang"/>
          <w:sz w:val="22"/>
          <w:szCs w:val="22"/>
          <w:lang w:val="en-NZ" w:eastAsia="ko-KR"/>
        </w:rPr>
        <w:t xml:space="preserve">F. Carvalho stated </w:t>
      </w:r>
      <w:r w:rsidRPr="004635E5">
        <w:rPr>
          <w:rFonts w:eastAsia="Batang"/>
          <w:sz w:val="22"/>
          <w:szCs w:val="22"/>
          <w:lang w:val="en-NZ" w:eastAsia="ko-KR"/>
        </w:rPr>
        <w:t xml:space="preserve">that they first reviewed which indices were available, and ran individual sensitivity analyses without criteria to down weight or exclude any indices. The model was consistent under each, and all were retained. </w:t>
      </w:r>
    </w:p>
    <w:p w14:paraId="24D613C7" w14:textId="77777777" w:rsidR="005749BD" w:rsidRPr="004635E5" w:rsidRDefault="005749BD" w:rsidP="006633A8">
      <w:pPr>
        <w:autoSpaceDE w:val="0"/>
        <w:autoSpaceDN w:val="0"/>
        <w:adjustRightInd w:val="0"/>
        <w:snapToGrid w:val="0"/>
        <w:jc w:val="both"/>
        <w:rPr>
          <w:rFonts w:eastAsia="Batang"/>
          <w:sz w:val="22"/>
          <w:szCs w:val="22"/>
          <w:lang w:val="en-NZ" w:eastAsia="ko-KR"/>
        </w:rPr>
      </w:pPr>
    </w:p>
    <w:p w14:paraId="43C18951" w14:textId="77777777" w:rsidR="00EE6CCB" w:rsidRPr="004635E5" w:rsidRDefault="00270656"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SPC noted that Fig 10 indicated </w:t>
      </w:r>
      <w:r w:rsidR="00EE6CCB" w:rsidRPr="004635E5">
        <w:rPr>
          <w:rFonts w:eastAsia="Batang"/>
          <w:sz w:val="22"/>
          <w:szCs w:val="22"/>
          <w:lang w:val="en-NZ" w:eastAsia="ko-KR"/>
        </w:rPr>
        <w:t xml:space="preserve">exploitation for </w:t>
      </w:r>
      <w:r w:rsidRPr="004635E5">
        <w:rPr>
          <w:rFonts w:eastAsia="Batang"/>
          <w:sz w:val="22"/>
          <w:szCs w:val="22"/>
          <w:lang w:val="en-NZ" w:eastAsia="ko-KR"/>
        </w:rPr>
        <w:t xml:space="preserve">the </w:t>
      </w:r>
      <w:r w:rsidR="00EE6CCB" w:rsidRPr="004635E5">
        <w:rPr>
          <w:rFonts w:eastAsia="Batang"/>
          <w:sz w:val="22"/>
          <w:szCs w:val="22"/>
          <w:lang w:val="en-NZ" w:eastAsia="ko-KR"/>
        </w:rPr>
        <w:t xml:space="preserve">largest sharks </w:t>
      </w:r>
      <w:r w:rsidRPr="004635E5">
        <w:rPr>
          <w:rFonts w:eastAsia="Batang"/>
          <w:sz w:val="22"/>
          <w:szCs w:val="22"/>
          <w:lang w:val="en-NZ" w:eastAsia="ko-KR"/>
        </w:rPr>
        <w:t xml:space="preserve">was </w:t>
      </w:r>
      <w:r w:rsidR="00EE6CCB" w:rsidRPr="004635E5">
        <w:rPr>
          <w:rFonts w:eastAsia="Batang"/>
          <w:sz w:val="22"/>
          <w:szCs w:val="22"/>
          <w:lang w:val="en-NZ" w:eastAsia="ko-KR"/>
        </w:rPr>
        <w:t>very low, and thus some biomass effect was evident, and inquired if a selectivity analysis was used. The presenter found no differences in logistics curves</w:t>
      </w:r>
      <w:r w:rsidR="005749BD" w:rsidRPr="004635E5">
        <w:rPr>
          <w:rFonts w:eastAsia="Batang"/>
          <w:sz w:val="22"/>
          <w:szCs w:val="22"/>
          <w:lang w:val="en-NZ" w:eastAsia="ko-KR"/>
        </w:rPr>
        <w:t>.</w:t>
      </w:r>
      <w:r w:rsidR="00EE6CCB" w:rsidRPr="004635E5">
        <w:rPr>
          <w:rFonts w:eastAsia="Batang"/>
          <w:sz w:val="22"/>
          <w:szCs w:val="22"/>
          <w:lang w:val="en-NZ" w:eastAsia="ko-KR"/>
        </w:rPr>
        <w:t xml:space="preserve"> </w:t>
      </w:r>
    </w:p>
    <w:p w14:paraId="72BDC1F6" w14:textId="77777777" w:rsidR="005749BD" w:rsidRPr="004635E5" w:rsidRDefault="005749BD" w:rsidP="006633A8">
      <w:pPr>
        <w:autoSpaceDE w:val="0"/>
        <w:autoSpaceDN w:val="0"/>
        <w:adjustRightInd w:val="0"/>
        <w:snapToGrid w:val="0"/>
        <w:jc w:val="both"/>
        <w:rPr>
          <w:rFonts w:eastAsia="Batang"/>
          <w:sz w:val="22"/>
          <w:szCs w:val="22"/>
          <w:lang w:val="en-NZ" w:eastAsia="ko-KR"/>
        </w:rPr>
      </w:pPr>
    </w:p>
    <w:p w14:paraId="74C6FCE4" w14:textId="77777777" w:rsidR="00EE6CCB" w:rsidRPr="004635E5" w:rsidRDefault="00EE6CCB"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Batang"/>
          <w:sz w:val="22"/>
          <w:szCs w:val="22"/>
          <w:lang w:val="en-NZ" w:eastAsia="ko-KR"/>
        </w:rPr>
        <w:t xml:space="preserve">In response to a query from FAO regarding indications of reduction in fishing effort or environmental effect the presenter noted the ISC WG did not focus on Pacific-wide trends. There was some spatial structure evident in the data, but the </w:t>
      </w:r>
      <w:r w:rsidR="00656FD8" w:rsidRPr="004635E5">
        <w:rPr>
          <w:rFonts w:eastAsia="Batang"/>
          <w:sz w:val="22"/>
          <w:szCs w:val="22"/>
          <w:lang w:val="en-NZ" w:eastAsia="ko-KR"/>
        </w:rPr>
        <w:t>stock assessment</w:t>
      </w:r>
      <w:r w:rsidRPr="004635E5">
        <w:rPr>
          <w:rFonts w:eastAsia="Batang"/>
          <w:sz w:val="22"/>
          <w:szCs w:val="22"/>
          <w:lang w:val="en-NZ" w:eastAsia="ko-KR"/>
        </w:rPr>
        <w:t xml:space="preserve"> is a one-area model. There are plans to build a spatially structured model,</w:t>
      </w:r>
      <w:r w:rsidR="00270656" w:rsidRPr="004635E5">
        <w:rPr>
          <w:rFonts w:eastAsia="Batang"/>
          <w:sz w:val="22"/>
          <w:szCs w:val="22"/>
          <w:lang w:val="en-NZ" w:eastAsia="ko-KR"/>
        </w:rPr>
        <w:t xml:space="preserve"> and</w:t>
      </w:r>
      <w:r w:rsidRPr="004635E5">
        <w:rPr>
          <w:rFonts w:eastAsia="Batang"/>
          <w:sz w:val="22"/>
          <w:szCs w:val="22"/>
          <w:lang w:val="en-NZ" w:eastAsia="ko-KR"/>
        </w:rPr>
        <w:t xml:space="preserve"> look at trends and the potential impact of environmental covariates in these indices. </w:t>
      </w:r>
    </w:p>
    <w:p w14:paraId="10E0A0DB" w14:textId="77777777" w:rsidR="005749BD" w:rsidRPr="004635E5" w:rsidRDefault="005749BD" w:rsidP="006633A8">
      <w:pPr>
        <w:autoSpaceDE w:val="0"/>
        <w:autoSpaceDN w:val="0"/>
        <w:adjustRightInd w:val="0"/>
        <w:snapToGrid w:val="0"/>
        <w:jc w:val="both"/>
        <w:rPr>
          <w:rFonts w:eastAsiaTheme="minorEastAsia"/>
          <w:b/>
          <w:sz w:val="22"/>
          <w:szCs w:val="22"/>
          <w:lang w:eastAsia="ko-KR"/>
        </w:rPr>
      </w:pPr>
    </w:p>
    <w:p w14:paraId="1487A5F0" w14:textId="77777777" w:rsidR="00EE6CCB" w:rsidRPr="004635E5" w:rsidRDefault="00167C2C" w:rsidP="00580EA4">
      <w:pPr>
        <w:pStyle w:val="SC3"/>
        <w:numPr>
          <w:ilvl w:val="3"/>
          <w:numId w:val="161"/>
        </w:numPr>
        <w:spacing w:after="0"/>
        <w:rPr>
          <w:rFonts w:eastAsiaTheme="minorHAnsi"/>
        </w:rPr>
      </w:pPr>
      <w:r w:rsidRPr="004635E5">
        <w:rPr>
          <w:rFonts w:eastAsiaTheme="minorHAnsi"/>
        </w:rPr>
        <w:t xml:space="preserve">Provision of Scientific Information  </w:t>
      </w:r>
    </w:p>
    <w:p w14:paraId="32F59A64" w14:textId="77777777" w:rsidR="005749BD" w:rsidRPr="004635E5" w:rsidRDefault="005749BD" w:rsidP="006633A8">
      <w:pPr>
        <w:pStyle w:val="SC3"/>
        <w:numPr>
          <w:ilvl w:val="0"/>
          <w:numId w:val="0"/>
        </w:numPr>
        <w:spacing w:after="0"/>
        <w:ind w:left="1800"/>
        <w:rPr>
          <w:rFonts w:eastAsiaTheme="minorHAnsi"/>
        </w:rPr>
      </w:pPr>
    </w:p>
    <w:p w14:paraId="1330BCA2" w14:textId="77777777" w:rsidR="00167C2C" w:rsidRPr="004635E5" w:rsidRDefault="00167C2C" w:rsidP="00132438">
      <w:pPr>
        <w:pStyle w:val="SCa"/>
        <w:tabs>
          <w:tab w:val="clear" w:pos="1080"/>
        </w:tabs>
        <w:spacing w:after="0"/>
        <w:ind w:left="0"/>
      </w:pPr>
      <w:r w:rsidRPr="004635E5">
        <w:t>a.</w:t>
      </w:r>
      <w:r w:rsidR="00810E61" w:rsidRPr="004635E5">
        <w:tab/>
      </w:r>
      <w:r w:rsidRPr="004635E5">
        <w:t xml:space="preserve"> Stock status</w:t>
      </w:r>
      <w:r w:rsidR="002441B4" w:rsidRPr="004635E5">
        <w:t xml:space="preserve"> and trends</w:t>
      </w:r>
    </w:p>
    <w:p w14:paraId="4FC13F35" w14:textId="77777777" w:rsidR="005749BD" w:rsidRPr="004635E5" w:rsidRDefault="005749BD" w:rsidP="006633A8">
      <w:pPr>
        <w:pStyle w:val="SCa"/>
        <w:spacing w:after="0"/>
      </w:pPr>
    </w:p>
    <w:p w14:paraId="43A2C279" w14:textId="77777777" w:rsidR="00167C2C" w:rsidRPr="004635E5" w:rsidRDefault="00167C2C" w:rsidP="00580EA4">
      <w:pPr>
        <w:numPr>
          <w:ilvl w:val="0"/>
          <w:numId w:val="18"/>
        </w:numPr>
        <w:autoSpaceDE w:val="0"/>
        <w:autoSpaceDN w:val="0"/>
        <w:adjustRightInd w:val="0"/>
        <w:snapToGrid w:val="0"/>
        <w:ind w:left="0" w:firstLine="0"/>
        <w:jc w:val="both"/>
        <w:rPr>
          <w:rFonts w:eastAsia="Calibri"/>
          <w:b/>
          <w:sz w:val="22"/>
          <w:szCs w:val="22"/>
        </w:rPr>
      </w:pPr>
      <w:r w:rsidRPr="004635E5">
        <w:rPr>
          <w:rFonts w:eastAsia="Calibri"/>
          <w:b/>
          <w:sz w:val="22"/>
          <w:szCs w:val="22"/>
        </w:rPr>
        <w:t>SC14 noted that ISC provided the following conclusions on the stock status of North Pacific Shortfin Mako Shark in the Pacific Ocean in 2017</w:t>
      </w:r>
      <w:r w:rsidR="00270656" w:rsidRPr="004635E5">
        <w:rPr>
          <w:rFonts w:eastAsia="Calibri"/>
          <w:b/>
          <w:sz w:val="22"/>
          <w:szCs w:val="22"/>
        </w:rPr>
        <w:t>, as</w:t>
      </w:r>
      <w:r w:rsidRPr="004635E5">
        <w:rPr>
          <w:rFonts w:eastAsia="Calibri"/>
          <w:b/>
          <w:sz w:val="22"/>
          <w:szCs w:val="22"/>
        </w:rPr>
        <w:t xml:space="preserve"> presented in SC14-SA-WP-11 (Stock Assessment of Shortfin Mako Shark in the North Pacific Ocean Through 2016)</w:t>
      </w:r>
      <w:r w:rsidR="00270656" w:rsidRPr="004635E5">
        <w:rPr>
          <w:rFonts w:eastAsia="Calibri"/>
          <w:b/>
          <w:sz w:val="22"/>
          <w:szCs w:val="22"/>
        </w:rPr>
        <w:t>.</w:t>
      </w:r>
    </w:p>
    <w:p w14:paraId="560B7D37" w14:textId="77777777" w:rsidR="005749BD" w:rsidRPr="004635E5" w:rsidRDefault="005749BD" w:rsidP="006633A8">
      <w:pPr>
        <w:autoSpaceDE w:val="0"/>
        <w:autoSpaceDN w:val="0"/>
        <w:adjustRightInd w:val="0"/>
        <w:snapToGrid w:val="0"/>
        <w:jc w:val="both"/>
        <w:rPr>
          <w:rFonts w:eastAsia="Calibri"/>
          <w:sz w:val="22"/>
          <w:szCs w:val="22"/>
        </w:rPr>
      </w:pPr>
    </w:p>
    <w:p w14:paraId="11CF77FB" w14:textId="77777777" w:rsidR="00167C2C" w:rsidRPr="004635E5" w:rsidRDefault="00167C2C" w:rsidP="006633A8">
      <w:pPr>
        <w:autoSpaceDE w:val="0"/>
        <w:autoSpaceDN w:val="0"/>
        <w:adjustRightInd w:val="0"/>
        <w:snapToGrid w:val="0"/>
        <w:ind w:left="720"/>
        <w:jc w:val="both"/>
        <w:rPr>
          <w:rFonts w:eastAsia="Calibri"/>
          <w:sz w:val="22"/>
          <w:szCs w:val="22"/>
        </w:rPr>
      </w:pPr>
      <w:r w:rsidRPr="004635E5">
        <w:rPr>
          <w:rFonts w:eastAsia="Calibri"/>
          <w:sz w:val="22"/>
          <w:szCs w:val="22"/>
        </w:rPr>
        <w:t xml:space="preserve">Based on these findings, the following information on the status of the </w:t>
      </w:r>
      <w:r w:rsidR="00937EEE">
        <w:rPr>
          <w:rFonts w:eastAsia="Calibri"/>
          <w:sz w:val="22"/>
          <w:szCs w:val="22"/>
        </w:rPr>
        <w:t>SFM</w:t>
      </w:r>
      <w:r w:rsidR="00937EEE" w:rsidRPr="004635E5">
        <w:rPr>
          <w:rFonts w:eastAsia="Calibri"/>
          <w:sz w:val="22"/>
          <w:szCs w:val="22"/>
        </w:rPr>
        <w:t xml:space="preserve"> </w:t>
      </w:r>
      <w:r w:rsidRPr="004635E5">
        <w:rPr>
          <w:rFonts w:eastAsia="Calibri"/>
          <w:sz w:val="22"/>
          <w:szCs w:val="22"/>
        </w:rPr>
        <w:t>stock is provided:</w:t>
      </w:r>
    </w:p>
    <w:p w14:paraId="5F3A9938" w14:textId="77777777" w:rsidR="00167C2C" w:rsidRPr="004635E5" w:rsidRDefault="00167C2C" w:rsidP="00580EA4">
      <w:pPr>
        <w:numPr>
          <w:ilvl w:val="0"/>
          <w:numId w:val="43"/>
        </w:numPr>
        <w:adjustRightInd w:val="0"/>
        <w:snapToGrid w:val="0"/>
        <w:ind w:left="1440"/>
        <w:jc w:val="both"/>
        <w:rPr>
          <w:rFonts w:eastAsia="Calibri"/>
          <w:b/>
          <w:sz w:val="22"/>
          <w:szCs w:val="22"/>
        </w:rPr>
      </w:pPr>
      <w:r w:rsidRPr="004635E5">
        <w:rPr>
          <w:rFonts w:eastAsia="Calibri"/>
          <w:b/>
          <w:sz w:val="22"/>
          <w:szCs w:val="22"/>
        </w:rPr>
        <w:t>Target and limit reference points have not been established for pelagic sharks in the Pacific Ocean. Stock status is reported in relation to MSY.</w:t>
      </w:r>
    </w:p>
    <w:p w14:paraId="6614ECA8" w14:textId="77777777" w:rsidR="00167C2C" w:rsidRPr="004635E5" w:rsidRDefault="00167C2C" w:rsidP="00580EA4">
      <w:pPr>
        <w:numPr>
          <w:ilvl w:val="0"/>
          <w:numId w:val="43"/>
        </w:numPr>
        <w:adjustRightInd w:val="0"/>
        <w:snapToGrid w:val="0"/>
        <w:ind w:left="1440"/>
        <w:jc w:val="both"/>
        <w:rPr>
          <w:rFonts w:eastAsia="Calibri"/>
          <w:b/>
          <w:sz w:val="22"/>
          <w:szCs w:val="22"/>
        </w:rPr>
      </w:pPr>
      <w:r w:rsidRPr="004635E5">
        <w:rPr>
          <w:rFonts w:eastAsia="Calibri"/>
          <w:b/>
          <w:sz w:val="22"/>
          <w:szCs w:val="22"/>
        </w:rPr>
        <w:t>The results from the base case model show that, relative to MSY, the North Pacific shortfin mako stock is likely (&gt;50%) not in an overfished condition and</w:t>
      </w:r>
      <w:r w:rsidRPr="004635E5">
        <w:rPr>
          <w:rFonts w:eastAsia="Calibri"/>
          <w:b/>
          <w:spacing w:val="-20"/>
          <w:sz w:val="22"/>
          <w:szCs w:val="22"/>
        </w:rPr>
        <w:t xml:space="preserve"> </w:t>
      </w:r>
      <w:r w:rsidRPr="004635E5">
        <w:rPr>
          <w:rFonts w:eastAsia="Calibri"/>
          <w:b/>
          <w:sz w:val="22"/>
          <w:szCs w:val="22"/>
        </w:rPr>
        <w:t>overfishing is likely (&gt;50%) not occurring relative to MSY-based abundance and fishing intensity reference points (</w:t>
      </w:r>
      <w:r w:rsidR="00937EEE">
        <w:rPr>
          <w:rFonts w:eastAsia="Calibri"/>
          <w:b/>
          <w:sz w:val="22"/>
          <w:szCs w:val="22"/>
        </w:rPr>
        <w:t>Table SFM-4</w:t>
      </w:r>
      <w:r w:rsidRPr="004635E5">
        <w:rPr>
          <w:rFonts w:eastAsia="Calibri"/>
          <w:b/>
          <w:sz w:val="22"/>
          <w:szCs w:val="22"/>
        </w:rPr>
        <w:t xml:space="preserve">; </w:t>
      </w:r>
      <w:r w:rsidR="002740AE">
        <w:rPr>
          <w:rFonts w:eastAsia="Calibri"/>
          <w:b/>
          <w:sz w:val="22"/>
          <w:szCs w:val="22"/>
        </w:rPr>
        <w:t>Figure SFM-9</w:t>
      </w:r>
      <w:r w:rsidRPr="004635E5">
        <w:rPr>
          <w:rFonts w:eastAsia="Calibri"/>
          <w:b/>
          <w:sz w:val="22"/>
          <w:szCs w:val="22"/>
        </w:rPr>
        <w:t>A).</w:t>
      </w:r>
    </w:p>
    <w:p w14:paraId="4BC7D7C6" w14:textId="77777777" w:rsidR="00270656" w:rsidRPr="004635E5" w:rsidRDefault="00270656" w:rsidP="006633A8">
      <w:pPr>
        <w:adjustRightInd w:val="0"/>
        <w:snapToGrid w:val="0"/>
        <w:ind w:left="1440"/>
        <w:jc w:val="both"/>
        <w:rPr>
          <w:rFonts w:eastAsia="Calibri"/>
          <w:b/>
          <w:sz w:val="22"/>
          <w:szCs w:val="22"/>
        </w:rPr>
      </w:pPr>
    </w:p>
    <w:p w14:paraId="4CADB29A" w14:textId="77777777" w:rsidR="00167C2C" w:rsidRPr="004635E5" w:rsidRDefault="00167C2C" w:rsidP="006633A8">
      <w:pPr>
        <w:autoSpaceDE w:val="0"/>
        <w:autoSpaceDN w:val="0"/>
        <w:adjustRightInd w:val="0"/>
        <w:snapToGrid w:val="0"/>
        <w:ind w:left="720"/>
        <w:jc w:val="both"/>
        <w:rPr>
          <w:rFonts w:eastAsia="Calibri"/>
          <w:b/>
          <w:sz w:val="22"/>
          <w:szCs w:val="22"/>
        </w:rPr>
      </w:pPr>
      <w:r w:rsidRPr="004635E5">
        <w:rPr>
          <w:rFonts w:eastAsia="Calibri"/>
          <w:b/>
          <w:sz w:val="22"/>
          <w:szCs w:val="22"/>
        </w:rPr>
        <w:t>Stock status was also examined under six alternative states of nature that represented the most important sources of uncertainty in the assessment. Results of these models with alternative states of nature were consistent with the base case model and showed that, relative to MSY, the North Pacific shortfin mako shark stock is likely (&gt;50%) not in an overfished condition and overfishing is likel</w:t>
      </w:r>
      <w:r w:rsidR="00270656" w:rsidRPr="004635E5">
        <w:rPr>
          <w:rFonts w:eastAsia="Calibri"/>
          <w:b/>
          <w:sz w:val="22"/>
          <w:szCs w:val="22"/>
        </w:rPr>
        <w:t>y (&gt;50%) not occurring (</w:t>
      </w:r>
      <w:r w:rsidR="002740AE">
        <w:rPr>
          <w:rFonts w:eastAsia="Calibri"/>
          <w:b/>
          <w:sz w:val="22"/>
          <w:szCs w:val="22"/>
        </w:rPr>
        <w:t>Figure SFM-9</w:t>
      </w:r>
      <w:r w:rsidRPr="004635E5">
        <w:rPr>
          <w:rFonts w:eastAsia="Calibri"/>
          <w:b/>
          <w:sz w:val="22"/>
          <w:szCs w:val="22"/>
        </w:rPr>
        <w:t>B).</w:t>
      </w:r>
    </w:p>
    <w:p w14:paraId="3EA99876" w14:textId="77777777" w:rsidR="005749BD" w:rsidRPr="004635E5" w:rsidRDefault="005749BD" w:rsidP="006633A8">
      <w:pPr>
        <w:autoSpaceDE w:val="0"/>
        <w:autoSpaceDN w:val="0"/>
        <w:adjustRightInd w:val="0"/>
        <w:snapToGrid w:val="0"/>
        <w:jc w:val="both"/>
        <w:rPr>
          <w:rFonts w:eastAsia="Calibri"/>
          <w:b/>
          <w:sz w:val="22"/>
          <w:szCs w:val="22"/>
        </w:rPr>
      </w:pPr>
    </w:p>
    <w:p w14:paraId="0B4AAA88" w14:textId="77777777" w:rsidR="005749BD" w:rsidRPr="004635E5" w:rsidRDefault="00810E61" w:rsidP="00132438">
      <w:pPr>
        <w:pStyle w:val="SCa"/>
        <w:tabs>
          <w:tab w:val="clear" w:pos="1080"/>
        </w:tabs>
        <w:spacing w:after="0"/>
        <w:ind w:left="0"/>
      </w:pPr>
      <w:r w:rsidRPr="004635E5">
        <w:t>b.</w:t>
      </w:r>
      <w:r w:rsidRPr="004635E5">
        <w:tab/>
      </w:r>
      <w:r w:rsidR="00167C2C" w:rsidRPr="004635E5">
        <w:t>Management Advice</w:t>
      </w:r>
      <w:r w:rsidR="00AE5E0E" w:rsidRPr="004635E5">
        <w:t xml:space="preserve"> and implications</w:t>
      </w:r>
    </w:p>
    <w:p w14:paraId="4A7CD7B5" w14:textId="77777777" w:rsidR="005749BD" w:rsidRPr="004635E5" w:rsidRDefault="005749BD" w:rsidP="006633A8">
      <w:pPr>
        <w:pStyle w:val="SCa"/>
        <w:spacing w:after="0"/>
      </w:pPr>
    </w:p>
    <w:p w14:paraId="326C0C5A" w14:textId="77777777" w:rsidR="00167C2C" w:rsidRPr="004635E5" w:rsidRDefault="00167C2C" w:rsidP="00580EA4">
      <w:pPr>
        <w:numPr>
          <w:ilvl w:val="0"/>
          <w:numId w:val="18"/>
        </w:numPr>
        <w:autoSpaceDE w:val="0"/>
        <w:autoSpaceDN w:val="0"/>
        <w:adjustRightInd w:val="0"/>
        <w:snapToGrid w:val="0"/>
        <w:ind w:left="0" w:firstLine="0"/>
        <w:jc w:val="both"/>
        <w:rPr>
          <w:rFonts w:eastAsia="Calibri"/>
          <w:b/>
          <w:sz w:val="22"/>
          <w:szCs w:val="22"/>
        </w:rPr>
      </w:pPr>
      <w:r w:rsidRPr="004635E5">
        <w:rPr>
          <w:rFonts w:eastAsia="Calibri"/>
          <w:b/>
          <w:sz w:val="22"/>
          <w:szCs w:val="22"/>
        </w:rPr>
        <w:t>SC14 noted the following conservation advice from ISC:</w:t>
      </w:r>
    </w:p>
    <w:p w14:paraId="7622AB1D" w14:textId="77777777" w:rsidR="005749BD" w:rsidRPr="004635E5" w:rsidRDefault="005749BD" w:rsidP="006633A8">
      <w:pPr>
        <w:autoSpaceDE w:val="0"/>
        <w:autoSpaceDN w:val="0"/>
        <w:adjustRightInd w:val="0"/>
        <w:snapToGrid w:val="0"/>
        <w:jc w:val="both"/>
        <w:rPr>
          <w:rFonts w:eastAsia="Calibri"/>
          <w:sz w:val="22"/>
          <w:szCs w:val="22"/>
        </w:rPr>
      </w:pPr>
    </w:p>
    <w:p w14:paraId="2B0B703F" w14:textId="77777777" w:rsidR="005749BD" w:rsidRPr="004635E5" w:rsidRDefault="00167C2C" w:rsidP="006633A8">
      <w:pPr>
        <w:autoSpaceDE w:val="0"/>
        <w:autoSpaceDN w:val="0"/>
        <w:adjustRightInd w:val="0"/>
        <w:snapToGrid w:val="0"/>
        <w:ind w:left="720"/>
        <w:jc w:val="both"/>
        <w:rPr>
          <w:rFonts w:eastAsia="Calibri"/>
          <w:sz w:val="22"/>
          <w:szCs w:val="22"/>
        </w:rPr>
      </w:pPr>
      <w:r w:rsidRPr="004635E5">
        <w:rPr>
          <w:rFonts w:eastAsia="Calibri"/>
          <w:sz w:val="22"/>
          <w:szCs w:val="22"/>
        </w:rPr>
        <w:t>Stock projections of biomass and catch of North Pacific shortfin mako from 2017 to 2026 were performed assuming three alternative constant fishing mortality scenarios: 1) status quo, average of 2013-2015 (F</w:t>
      </w:r>
      <w:r w:rsidRPr="004635E5">
        <w:rPr>
          <w:rFonts w:eastAsia="Calibri"/>
          <w:sz w:val="22"/>
          <w:szCs w:val="22"/>
          <w:vertAlign w:val="subscript"/>
        </w:rPr>
        <w:t>2013</w:t>
      </w:r>
      <w:r w:rsidRPr="004635E5">
        <w:rPr>
          <w:rFonts w:eastAsia="Calibri"/>
          <w:sz w:val="22"/>
          <w:szCs w:val="22"/>
        </w:rPr>
        <w:t>-</w:t>
      </w:r>
      <w:r w:rsidRPr="004635E5">
        <w:rPr>
          <w:rFonts w:eastAsia="Calibri"/>
          <w:sz w:val="22"/>
          <w:szCs w:val="22"/>
          <w:vertAlign w:val="subscript"/>
        </w:rPr>
        <w:t>2015</w:t>
      </w:r>
      <w:r w:rsidRPr="004635E5">
        <w:rPr>
          <w:rFonts w:eastAsia="Calibri"/>
          <w:sz w:val="22"/>
          <w:szCs w:val="22"/>
        </w:rPr>
        <w:t>); 2) F</w:t>
      </w:r>
      <w:r w:rsidRPr="004635E5">
        <w:rPr>
          <w:rFonts w:eastAsia="Calibri"/>
          <w:sz w:val="22"/>
          <w:szCs w:val="22"/>
          <w:vertAlign w:val="subscript"/>
        </w:rPr>
        <w:t xml:space="preserve">2013-2015 </w:t>
      </w:r>
      <w:r w:rsidRPr="004635E5">
        <w:rPr>
          <w:rFonts w:eastAsia="Calibri"/>
          <w:sz w:val="22"/>
          <w:szCs w:val="22"/>
        </w:rPr>
        <w:t>+ 20%; and 3) F</w:t>
      </w:r>
      <w:r w:rsidRPr="004635E5">
        <w:rPr>
          <w:rFonts w:eastAsia="Calibri"/>
          <w:sz w:val="22"/>
          <w:szCs w:val="22"/>
          <w:vertAlign w:val="subscript"/>
        </w:rPr>
        <w:t xml:space="preserve">2013-2015 </w:t>
      </w:r>
      <w:r w:rsidRPr="004635E5">
        <w:rPr>
          <w:rFonts w:eastAsia="Calibri"/>
          <w:sz w:val="22"/>
          <w:szCs w:val="22"/>
        </w:rPr>
        <w:t>- 20% (</w:t>
      </w:r>
      <w:r w:rsidR="002740AE">
        <w:rPr>
          <w:rFonts w:eastAsia="Calibri"/>
          <w:sz w:val="22"/>
          <w:szCs w:val="22"/>
        </w:rPr>
        <w:t>Figure SFM-10</w:t>
      </w:r>
      <w:r w:rsidRPr="004635E5">
        <w:rPr>
          <w:rFonts w:eastAsia="Calibri"/>
          <w:sz w:val="22"/>
          <w:szCs w:val="22"/>
        </w:rPr>
        <w:t>).</w:t>
      </w:r>
    </w:p>
    <w:p w14:paraId="70DDEC56" w14:textId="77777777" w:rsidR="005749BD" w:rsidRPr="004635E5" w:rsidRDefault="005749BD" w:rsidP="006633A8">
      <w:pPr>
        <w:autoSpaceDE w:val="0"/>
        <w:autoSpaceDN w:val="0"/>
        <w:adjustRightInd w:val="0"/>
        <w:snapToGrid w:val="0"/>
        <w:ind w:left="720"/>
        <w:jc w:val="both"/>
        <w:rPr>
          <w:rFonts w:eastAsia="Calibri"/>
          <w:sz w:val="22"/>
          <w:szCs w:val="22"/>
        </w:rPr>
      </w:pPr>
    </w:p>
    <w:p w14:paraId="0CC09C14" w14:textId="77777777" w:rsidR="005749BD" w:rsidRPr="004635E5" w:rsidRDefault="00167C2C" w:rsidP="006633A8">
      <w:pPr>
        <w:tabs>
          <w:tab w:val="left" w:pos="821"/>
        </w:tabs>
        <w:adjustRightInd w:val="0"/>
        <w:snapToGrid w:val="0"/>
        <w:ind w:left="720" w:right="337"/>
        <w:jc w:val="both"/>
        <w:rPr>
          <w:rFonts w:eastAsia="Calibri"/>
          <w:sz w:val="22"/>
          <w:szCs w:val="22"/>
        </w:rPr>
      </w:pPr>
      <w:r w:rsidRPr="004635E5">
        <w:rPr>
          <w:rFonts w:eastAsia="Calibri"/>
          <w:sz w:val="22"/>
          <w:szCs w:val="22"/>
        </w:rPr>
        <w:t>Based on these future projections, the following conservation information is provided:</w:t>
      </w:r>
    </w:p>
    <w:p w14:paraId="5430500E" w14:textId="77777777" w:rsidR="00167C2C" w:rsidRPr="004635E5" w:rsidRDefault="00167C2C" w:rsidP="00580EA4">
      <w:pPr>
        <w:numPr>
          <w:ilvl w:val="0"/>
          <w:numId w:val="44"/>
        </w:numPr>
        <w:tabs>
          <w:tab w:val="left" w:pos="821"/>
        </w:tabs>
        <w:adjustRightInd w:val="0"/>
        <w:snapToGrid w:val="0"/>
        <w:ind w:left="1440" w:right="337"/>
        <w:jc w:val="both"/>
        <w:rPr>
          <w:rFonts w:eastAsia="Calibri"/>
          <w:b/>
          <w:sz w:val="22"/>
          <w:szCs w:val="22"/>
        </w:rPr>
      </w:pPr>
      <w:r w:rsidRPr="004635E5">
        <w:rPr>
          <w:rFonts w:eastAsia="Calibri"/>
          <w:b/>
          <w:sz w:val="22"/>
          <w:szCs w:val="22"/>
        </w:rPr>
        <w:t>If fishing mortality remains constant at F2013-15 or is decreased 20%, then the Stock Abundance is expected to increase gradually;</w:t>
      </w:r>
    </w:p>
    <w:p w14:paraId="5C7C0A0B" w14:textId="77777777" w:rsidR="00167C2C" w:rsidRPr="004635E5" w:rsidRDefault="00167C2C" w:rsidP="00580EA4">
      <w:pPr>
        <w:numPr>
          <w:ilvl w:val="0"/>
          <w:numId w:val="44"/>
        </w:numPr>
        <w:tabs>
          <w:tab w:val="left" w:pos="821"/>
        </w:tabs>
        <w:adjustRightInd w:val="0"/>
        <w:snapToGrid w:val="0"/>
        <w:ind w:left="1440" w:right="337"/>
        <w:jc w:val="both"/>
        <w:rPr>
          <w:rFonts w:eastAsia="Calibri"/>
          <w:b/>
          <w:sz w:val="22"/>
          <w:szCs w:val="22"/>
        </w:rPr>
      </w:pPr>
      <w:r w:rsidRPr="004635E5">
        <w:rPr>
          <w:rFonts w:eastAsia="Calibri"/>
          <w:b/>
          <w:sz w:val="22"/>
          <w:szCs w:val="22"/>
        </w:rPr>
        <w:t>If fishing mortality is increased 20% relative to F2013-2015, then the Stock Abundance is expected to decrease in the final years of the projection.</w:t>
      </w:r>
    </w:p>
    <w:p w14:paraId="1D9A237C" w14:textId="77777777" w:rsidR="00167C2C" w:rsidRPr="004635E5" w:rsidRDefault="00167C2C" w:rsidP="00580EA4">
      <w:pPr>
        <w:numPr>
          <w:ilvl w:val="0"/>
          <w:numId w:val="44"/>
        </w:numPr>
        <w:tabs>
          <w:tab w:val="left" w:pos="821"/>
        </w:tabs>
        <w:adjustRightInd w:val="0"/>
        <w:snapToGrid w:val="0"/>
        <w:ind w:left="1440" w:right="337"/>
        <w:jc w:val="both"/>
        <w:rPr>
          <w:rFonts w:eastAsia="Calibri"/>
          <w:b/>
          <w:sz w:val="22"/>
          <w:szCs w:val="22"/>
        </w:rPr>
      </w:pPr>
      <w:r w:rsidRPr="004635E5">
        <w:rPr>
          <w:rFonts w:eastAsia="Calibri"/>
          <w:b/>
          <w:sz w:val="22"/>
          <w:szCs w:val="22"/>
        </w:rPr>
        <w:t>It should be noted that, given the uncertainty in fishery data and key biological processes within the model, especially the stock recruitment relationship, the models’ ability to project into the future is highly uncertain.</w:t>
      </w:r>
    </w:p>
    <w:p w14:paraId="3D501D92" w14:textId="77777777" w:rsidR="00B16FD5" w:rsidRPr="004635E5" w:rsidRDefault="00B16FD5" w:rsidP="006633A8">
      <w:pPr>
        <w:adjustRightInd w:val="0"/>
        <w:snapToGrid w:val="0"/>
        <w:ind w:right="337"/>
        <w:jc w:val="both"/>
        <w:rPr>
          <w:rFonts w:eastAsiaTheme="minorEastAsia"/>
          <w:b/>
          <w:sz w:val="22"/>
          <w:szCs w:val="22"/>
          <w:lang w:eastAsia="ko-KR"/>
        </w:rPr>
      </w:pPr>
    </w:p>
    <w:p w14:paraId="458B357E" w14:textId="77777777" w:rsidR="008A5F85" w:rsidRPr="004635E5" w:rsidRDefault="008A5F85" w:rsidP="006633A8">
      <w:pPr>
        <w:pStyle w:val="SCa"/>
        <w:spacing w:after="0"/>
        <w:ind w:left="720"/>
      </w:pPr>
      <w:r w:rsidRPr="004635E5">
        <w:t>Research Needs</w:t>
      </w:r>
    </w:p>
    <w:p w14:paraId="088FF93F" w14:textId="77777777" w:rsidR="008A5F85" w:rsidRPr="004635E5" w:rsidRDefault="008A5F85" w:rsidP="006633A8">
      <w:pPr>
        <w:pStyle w:val="SCa"/>
        <w:spacing w:after="0"/>
        <w:ind w:left="1800"/>
      </w:pPr>
    </w:p>
    <w:p w14:paraId="16598A88" w14:textId="77777777" w:rsidR="008A5F85" w:rsidRPr="004635E5" w:rsidRDefault="008A5F85" w:rsidP="006633A8">
      <w:pPr>
        <w:autoSpaceDE w:val="0"/>
        <w:autoSpaceDN w:val="0"/>
        <w:adjustRightInd w:val="0"/>
        <w:snapToGrid w:val="0"/>
        <w:ind w:left="720"/>
        <w:jc w:val="both"/>
        <w:rPr>
          <w:rFonts w:eastAsia="Calibri"/>
          <w:sz w:val="22"/>
          <w:szCs w:val="22"/>
        </w:rPr>
      </w:pPr>
      <w:r w:rsidRPr="004635E5">
        <w:rPr>
          <w:rFonts w:eastAsia="Calibri"/>
          <w:sz w:val="22"/>
          <w:szCs w:val="22"/>
        </w:rPr>
        <w:t xml:space="preserve">There is uncertainty in the estimated historical catches of North Pacific shortfin mako shark. Substantial time and effort was spent on estimating historical catch and more work remains to be conducted. In particular, the SHARKWG identified two future improvements that are critical: 1) identify all fisheries that catch shortfin mako shark in the NPO, including fisheries that were not previously identified by the SHARKWG; and 2) methods to estimate shortfin mako shark catches should be improved, especially for the early period from 1975 to 1993. </w:t>
      </w:r>
    </w:p>
    <w:p w14:paraId="04243011" w14:textId="77777777" w:rsidR="005167A9" w:rsidRPr="004635E5" w:rsidRDefault="005167A9" w:rsidP="006633A8">
      <w:pPr>
        <w:tabs>
          <w:tab w:val="left" w:pos="821"/>
        </w:tabs>
        <w:adjustRightInd w:val="0"/>
        <w:snapToGrid w:val="0"/>
        <w:ind w:left="720" w:right="337"/>
        <w:jc w:val="both"/>
        <w:rPr>
          <w:rFonts w:eastAsiaTheme="minorEastAsia"/>
          <w:b/>
          <w:sz w:val="22"/>
          <w:szCs w:val="22"/>
          <w:lang w:eastAsia="ko-KR"/>
        </w:rPr>
      </w:pPr>
    </w:p>
    <w:tbl>
      <w:tblPr>
        <w:tblW w:w="9411" w:type="dxa"/>
        <w:tblInd w:w="1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356"/>
        <w:gridCol w:w="2268"/>
        <w:gridCol w:w="1985"/>
        <w:gridCol w:w="1802"/>
      </w:tblGrid>
      <w:tr w:rsidR="00167C2C" w:rsidRPr="004635E5" w14:paraId="7C5EDA44" w14:textId="77777777" w:rsidTr="00E25891">
        <w:trPr>
          <w:trHeight w:val="20"/>
        </w:trPr>
        <w:tc>
          <w:tcPr>
            <w:tcW w:w="9411" w:type="dxa"/>
            <w:gridSpan w:val="4"/>
            <w:tcBorders>
              <w:bottom w:val="single" w:sz="4" w:space="0" w:color="000000"/>
            </w:tcBorders>
          </w:tcPr>
          <w:p w14:paraId="7B54B98A" w14:textId="77777777" w:rsidR="00167C2C" w:rsidRPr="004635E5" w:rsidRDefault="00937EEE" w:rsidP="006633A8">
            <w:pPr>
              <w:widowControl w:val="0"/>
              <w:autoSpaceDE w:val="0"/>
              <w:autoSpaceDN w:val="0"/>
              <w:adjustRightInd w:val="0"/>
              <w:snapToGrid w:val="0"/>
              <w:ind w:left="122"/>
              <w:rPr>
                <w:b/>
                <w:sz w:val="22"/>
                <w:szCs w:val="22"/>
              </w:rPr>
            </w:pPr>
            <w:r>
              <w:rPr>
                <w:b/>
                <w:sz w:val="22"/>
                <w:szCs w:val="22"/>
              </w:rPr>
              <w:t>Table SFM-4</w:t>
            </w:r>
            <w:r w:rsidR="00167C2C" w:rsidRPr="004635E5">
              <w:rPr>
                <w:b/>
                <w:sz w:val="22"/>
                <w:szCs w:val="22"/>
              </w:rPr>
              <w:t xml:space="preserve">. </w:t>
            </w:r>
            <w:r w:rsidR="00167C2C" w:rsidRPr="004635E5">
              <w:rPr>
                <w:sz w:val="22"/>
                <w:szCs w:val="22"/>
              </w:rPr>
              <w:t>Summary of reference points and management quantities for the shortfin mako shark (</w:t>
            </w:r>
            <w:r w:rsidR="00167C2C" w:rsidRPr="004635E5">
              <w:rPr>
                <w:i/>
                <w:sz w:val="22"/>
                <w:szCs w:val="22"/>
              </w:rPr>
              <w:t>Isurus oxyrinchus</w:t>
            </w:r>
            <w:r w:rsidR="00167C2C" w:rsidRPr="004635E5">
              <w:rPr>
                <w:sz w:val="22"/>
                <w:szCs w:val="22"/>
              </w:rPr>
              <w:t>) base case model. The percentages in brackets are the CV of the estimated quantity in the base case model.</w:t>
            </w:r>
          </w:p>
        </w:tc>
      </w:tr>
      <w:tr w:rsidR="00167C2C" w:rsidRPr="004635E5" w14:paraId="62D3F2E2" w14:textId="77777777" w:rsidTr="00653A60">
        <w:trPr>
          <w:trHeight w:val="20"/>
        </w:trPr>
        <w:tc>
          <w:tcPr>
            <w:tcW w:w="3356" w:type="dxa"/>
            <w:tcBorders>
              <w:top w:val="single" w:sz="4" w:space="0" w:color="000000"/>
              <w:bottom w:val="single" w:sz="4" w:space="0" w:color="000000"/>
            </w:tcBorders>
          </w:tcPr>
          <w:p w14:paraId="5DE85BB6" w14:textId="77777777" w:rsidR="00167C2C" w:rsidRPr="004635E5" w:rsidRDefault="00167C2C" w:rsidP="006633A8">
            <w:pPr>
              <w:widowControl w:val="0"/>
              <w:autoSpaceDE w:val="0"/>
              <w:autoSpaceDN w:val="0"/>
              <w:adjustRightInd w:val="0"/>
              <w:snapToGrid w:val="0"/>
              <w:ind w:left="122"/>
              <w:rPr>
                <w:b/>
                <w:sz w:val="22"/>
                <w:szCs w:val="22"/>
              </w:rPr>
            </w:pPr>
            <w:r w:rsidRPr="004635E5">
              <w:rPr>
                <w:b/>
                <w:sz w:val="22"/>
                <w:szCs w:val="22"/>
              </w:rPr>
              <w:t>Management Quantity</w:t>
            </w:r>
          </w:p>
        </w:tc>
        <w:tc>
          <w:tcPr>
            <w:tcW w:w="2268" w:type="dxa"/>
            <w:tcBorders>
              <w:top w:val="single" w:sz="4" w:space="0" w:color="000000"/>
              <w:bottom w:val="single" w:sz="4" w:space="0" w:color="000000"/>
            </w:tcBorders>
          </w:tcPr>
          <w:p w14:paraId="36133C72" w14:textId="77777777" w:rsidR="00167C2C" w:rsidRPr="004635E5" w:rsidRDefault="00167C2C" w:rsidP="006633A8">
            <w:pPr>
              <w:widowControl w:val="0"/>
              <w:autoSpaceDE w:val="0"/>
              <w:autoSpaceDN w:val="0"/>
              <w:adjustRightInd w:val="0"/>
              <w:snapToGrid w:val="0"/>
              <w:ind w:left="362" w:right="353"/>
              <w:jc w:val="center"/>
              <w:rPr>
                <w:b/>
                <w:sz w:val="22"/>
                <w:szCs w:val="22"/>
              </w:rPr>
            </w:pPr>
            <w:r w:rsidRPr="004635E5">
              <w:rPr>
                <w:b/>
                <w:sz w:val="22"/>
                <w:szCs w:val="22"/>
              </w:rPr>
              <w:t>Symbol</w:t>
            </w:r>
          </w:p>
        </w:tc>
        <w:tc>
          <w:tcPr>
            <w:tcW w:w="1985" w:type="dxa"/>
            <w:tcBorders>
              <w:top w:val="single" w:sz="4" w:space="0" w:color="000000"/>
              <w:bottom w:val="single" w:sz="4" w:space="0" w:color="000000"/>
            </w:tcBorders>
          </w:tcPr>
          <w:p w14:paraId="1B02A766" w14:textId="77777777" w:rsidR="00167C2C" w:rsidRPr="004635E5" w:rsidRDefault="00167C2C" w:rsidP="006633A8">
            <w:pPr>
              <w:widowControl w:val="0"/>
              <w:autoSpaceDE w:val="0"/>
              <w:autoSpaceDN w:val="0"/>
              <w:adjustRightInd w:val="0"/>
              <w:snapToGrid w:val="0"/>
              <w:ind w:left="271" w:right="125"/>
              <w:jc w:val="center"/>
              <w:rPr>
                <w:b/>
                <w:sz w:val="22"/>
                <w:szCs w:val="22"/>
              </w:rPr>
            </w:pPr>
            <w:r w:rsidRPr="004635E5">
              <w:rPr>
                <w:b/>
                <w:sz w:val="22"/>
                <w:szCs w:val="22"/>
              </w:rPr>
              <w:t>Units</w:t>
            </w:r>
          </w:p>
        </w:tc>
        <w:tc>
          <w:tcPr>
            <w:tcW w:w="1802" w:type="dxa"/>
            <w:tcBorders>
              <w:top w:val="single" w:sz="4" w:space="0" w:color="000000"/>
              <w:bottom w:val="single" w:sz="4" w:space="0" w:color="000000"/>
            </w:tcBorders>
          </w:tcPr>
          <w:p w14:paraId="4FDCC08E" w14:textId="77777777" w:rsidR="00167C2C" w:rsidRPr="004635E5" w:rsidRDefault="00167C2C" w:rsidP="006633A8">
            <w:pPr>
              <w:widowControl w:val="0"/>
              <w:autoSpaceDE w:val="0"/>
              <w:autoSpaceDN w:val="0"/>
              <w:adjustRightInd w:val="0"/>
              <w:snapToGrid w:val="0"/>
              <w:ind w:left="128" w:right="129"/>
              <w:jc w:val="center"/>
              <w:rPr>
                <w:b/>
                <w:sz w:val="22"/>
                <w:szCs w:val="22"/>
              </w:rPr>
            </w:pPr>
            <w:r w:rsidRPr="004635E5">
              <w:rPr>
                <w:b/>
                <w:sz w:val="22"/>
                <w:szCs w:val="22"/>
              </w:rPr>
              <w:t>Base</w:t>
            </w:r>
            <w:r w:rsidR="000C78F2" w:rsidRPr="004635E5">
              <w:rPr>
                <w:rFonts w:eastAsiaTheme="minorEastAsia"/>
                <w:b/>
                <w:sz w:val="22"/>
                <w:szCs w:val="22"/>
                <w:lang w:eastAsia="ko-KR"/>
              </w:rPr>
              <w:t xml:space="preserve"> </w:t>
            </w:r>
            <w:r w:rsidRPr="004635E5">
              <w:rPr>
                <w:b/>
                <w:sz w:val="22"/>
                <w:szCs w:val="22"/>
              </w:rPr>
              <w:t>case</w:t>
            </w:r>
          </w:p>
        </w:tc>
      </w:tr>
      <w:tr w:rsidR="00167C2C" w:rsidRPr="004635E5" w14:paraId="61E8602B" w14:textId="77777777" w:rsidTr="00653A60">
        <w:trPr>
          <w:trHeight w:val="20"/>
        </w:trPr>
        <w:tc>
          <w:tcPr>
            <w:tcW w:w="3356" w:type="dxa"/>
            <w:tcBorders>
              <w:top w:val="single" w:sz="4" w:space="0" w:color="000000"/>
            </w:tcBorders>
          </w:tcPr>
          <w:p w14:paraId="7819A622" w14:textId="77777777" w:rsidR="00167C2C" w:rsidRPr="004635E5" w:rsidRDefault="00167C2C" w:rsidP="006633A8">
            <w:pPr>
              <w:widowControl w:val="0"/>
              <w:autoSpaceDE w:val="0"/>
              <w:autoSpaceDN w:val="0"/>
              <w:adjustRightInd w:val="0"/>
              <w:snapToGrid w:val="0"/>
              <w:ind w:left="122" w:right="295"/>
              <w:rPr>
                <w:sz w:val="22"/>
                <w:szCs w:val="22"/>
              </w:rPr>
            </w:pPr>
            <w:r w:rsidRPr="004635E5">
              <w:rPr>
                <w:sz w:val="22"/>
                <w:szCs w:val="22"/>
              </w:rPr>
              <w:t>Spawning abundance (number of mature female sharks</w:t>
            </w:r>
          </w:p>
        </w:tc>
        <w:tc>
          <w:tcPr>
            <w:tcW w:w="2268" w:type="dxa"/>
            <w:tcBorders>
              <w:top w:val="single" w:sz="4" w:space="0" w:color="000000"/>
            </w:tcBorders>
          </w:tcPr>
          <w:p w14:paraId="0B0764FC" w14:textId="77777777" w:rsidR="00167C2C" w:rsidRPr="004635E5" w:rsidRDefault="00167C2C" w:rsidP="006633A8">
            <w:pPr>
              <w:widowControl w:val="0"/>
              <w:autoSpaceDE w:val="0"/>
              <w:autoSpaceDN w:val="0"/>
              <w:adjustRightInd w:val="0"/>
              <w:snapToGrid w:val="0"/>
              <w:ind w:left="362" w:right="353"/>
              <w:jc w:val="center"/>
              <w:rPr>
                <w:sz w:val="22"/>
                <w:szCs w:val="22"/>
              </w:rPr>
            </w:pPr>
            <w:r w:rsidRPr="004635E5">
              <w:rPr>
                <w:sz w:val="22"/>
                <w:szCs w:val="22"/>
              </w:rPr>
              <w:t>SA</w:t>
            </w:r>
            <w:r w:rsidRPr="004635E5">
              <w:rPr>
                <w:position w:val="-2"/>
                <w:sz w:val="22"/>
                <w:szCs w:val="22"/>
              </w:rPr>
              <w:t>0</w:t>
            </w:r>
          </w:p>
        </w:tc>
        <w:tc>
          <w:tcPr>
            <w:tcW w:w="1985" w:type="dxa"/>
            <w:tcBorders>
              <w:top w:val="single" w:sz="4" w:space="0" w:color="000000"/>
            </w:tcBorders>
          </w:tcPr>
          <w:p w14:paraId="35B9CA20" w14:textId="77777777" w:rsidR="00167C2C" w:rsidRPr="004635E5" w:rsidRDefault="00167C2C" w:rsidP="006633A8">
            <w:pPr>
              <w:widowControl w:val="0"/>
              <w:autoSpaceDE w:val="0"/>
              <w:autoSpaceDN w:val="0"/>
              <w:adjustRightInd w:val="0"/>
              <w:snapToGrid w:val="0"/>
              <w:rPr>
                <w:sz w:val="22"/>
                <w:szCs w:val="22"/>
              </w:rPr>
            </w:pPr>
          </w:p>
          <w:p w14:paraId="338BF868" w14:textId="77777777" w:rsidR="00167C2C" w:rsidRPr="004635E5" w:rsidRDefault="00167C2C" w:rsidP="006633A8">
            <w:pPr>
              <w:widowControl w:val="0"/>
              <w:autoSpaceDE w:val="0"/>
              <w:autoSpaceDN w:val="0"/>
              <w:adjustRightInd w:val="0"/>
              <w:snapToGrid w:val="0"/>
              <w:ind w:left="271" w:right="127"/>
              <w:jc w:val="center"/>
              <w:rPr>
                <w:sz w:val="22"/>
                <w:szCs w:val="22"/>
              </w:rPr>
            </w:pPr>
            <w:r w:rsidRPr="004635E5">
              <w:rPr>
                <w:sz w:val="22"/>
                <w:szCs w:val="22"/>
              </w:rPr>
              <w:t>1000s of sharks</w:t>
            </w:r>
          </w:p>
        </w:tc>
        <w:tc>
          <w:tcPr>
            <w:tcW w:w="1802" w:type="dxa"/>
            <w:tcBorders>
              <w:top w:val="single" w:sz="4" w:space="0" w:color="000000"/>
            </w:tcBorders>
          </w:tcPr>
          <w:p w14:paraId="1BC56BE6" w14:textId="77777777" w:rsidR="00167C2C" w:rsidRPr="004635E5" w:rsidRDefault="00167C2C" w:rsidP="006633A8">
            <w:pPr>
              <w:widowControl w:val="0"/>
              <w:autoSpaceDE w:val="0"/>
              <w:autoSpaceDN w:val="0"/>
              <w:adjustRightInd w:val="0"/>
              <w:snapToGrid w:val="0"/>
              <w:rPr>
                <w:sz w:val="22"/>
                <w:szCs w:val="22"/>
              </w:rPr>
            </w:pPr>
          </w:p>
          <w:p w14:paraId="7FC92048" w14:textId="77777777" w:rsidR="00167C2C" w:rsidRPr="004635E5" w:rsidRDefault="00167C2C" w:rsidP="006633A8">
            <w:pPr>
              <w:widowControl w:val="0"/>
              <w:autoSpaceDE w:val="0"/>
              <w:autoSpaceDN w:val="0"/>
              <w:adjustRightInd w:val="0"/>
              <w:snapToGrid w:val="0"/>
              <w:ind w:left="128" w:right="129"/>
              <w:jc w:val="center"/>
              <w:rPr>
                <w:sz w:val="22"/>
                <w:szCs w:val="22"/>
              </w:rPr>
            </w:pPr>
            <w:r w:rsidRPr="004635E5">
              <w:rPr>
                <w:sz w:val="22"/>
                <w:szCs w:val="22"/>
              </w:rPr>
              <w:t>1465.8 (23%)</w:t>
            </w:r>
          </w:p>
        </w:tc>
      </w:tr>
      <w:tr w:rsidR="00167C2C" w:rsidRPr="004635E5" w14:paraId="1F942D91" w14:textId="77777777" w:rsidTr="00653A60">
        <w:trPr>
          <w:trHeight w:val="20"/>
        </w:trPr>
        <w:tc>
          <w:tcPr>
            <w:tcW w:w="3356" w:type="dxa"/>
          </w:tcPr>
          <w:p w14:paraId="2ABE2EC2" w14:textId="77777777" w:rsidR="00167C2C" w:rsidRPr="004635E5" w:rsidRDefault="00167C2C" w:rsidP="006633A8">
            <w:pPr>
              <w:widowControl w:val="0"/>
              <w:autoSpaceDE w:val="0"/>
              <w:autoSpaceDN w:val="0"/>
              <w:adjustRightInd w:val="0"/>
              <w:snapToGrid w:val="0"/>
              <w:ind w:left="122" w:right="454"/>
              <w:rPr>
                <w:sz w:val="22"/>
                <w:szCs w:val="22"/>
              </w:rPr>
            </w:pPr>
            <w:r w:rsidRPr="004635E5">
              <w:rPr>
                <w:sz w:val="22"/>
                <w:szCs w:val="22"/>
              </w:rPr>
              <w:t>Maximum Sustainable Yield (MSY)</w:t>
            </w:r>
          </w:p>
        </w:tc>
        <w:tc>
          <w:tcPr>
            <w:tcW w:w="2268" w:type="dxa"/>
          </w:tcPr>
          <w:p w14:paraId="5D1499D9" w14:textId="77777777" w:rsidR="00167C2C" w:rsidRPr="004635E5" w:rsidRDefault="00167C2C" w:rsidP="006633A8">
            <w:pPr>
              <w:widowControl w:val="0"/>
              <w:autoSpaceDE w:val="0"/>
              <w:autoSpaceDN w:val="0"/>
              <w:adjustRightInd w:val="0"/>
              <w:snapToGrid w:val="0"/>
              <w:rPr>
                <w:sz w:val="22"/>
                <w:szCs w:val="22"/>
              </w:rPr>
            </w:pPr>
          </w:p>
          <w:p w14:paraId="7A5EFDB5" w14:textId="77777777" w:rsidR="00167C2C" w:rsidRPr="004635E5" w:rsidRDefault="00167C2C" w:rsidP="006633A8">
            <w:pPr>
              <w:widowControl w:val="0"/>
              <w:autoSpaceDE w:val="0"/>
              <w:autoSpaceDN w:val="0"/>
              <w:adjustRightInd w:val="0"/>
              <w:snapToGrid w:val="0"/>
              <w:ind w:left="364" w:right="353"/>
              <w:jc w:val="center"/>
              <w:rPr>
                <w:sz w:val="22"/>
                <w:szCs w:val="22"/>
              </w:rPr>
            </w:pPr>
            <w:r w:rsidRPr="004635E5">
              <w:rPr>
                <w:position w:val="3"/>
                <w:sz w:val="22"/>
                <w:szCs w:val="22"/>
              </w:rPr>
              <w:t>C</w:t>
            </w:r>
            <w:r w:rsidRPr="004635E5">
              <w:rPr>
                <w:sz w:val="22"/>
                <w:szCs w:val="22"/>
              </w:rPr>
              <w:t>MSY</w:t>
            </w:r>
          </w:p>
        </w:tc>
        <w:tc>
          <w:tcPr>
            <w:tcW w:w="1985" w:type="dxa"/>
          </w:tcPr>
          <w:p w14:paraId="29380DD4" w14:textId="77777777" w:rsidR="00167C2C" w:rsidRPr="004635E5" w:rsidRDefault="00167C2C" w:rsidP="00375849">
            <w:pPr>
              <w:widowControl w:val="0"/>
              <w:autoSpaceDE w:val="0"/>
              <w:autoSpaceDN w:val="0"/>
              <w:adjustRightInd w:val="0"/>
              <w:snapToGrid w:val="0"/>
              <w:ind w:left="933" w:right="216" w:hanging="550"/>
              <w:rPr>
                <w:sz w:val="22"/>
                <w:szCs w:val="22"/>
              </w:rPr>
            </w:pPr>
            <w:r w:rsidRPr="004635E5">
              <w:rPr>
                <w:sz w:val="22"/>
                <w:szCs w:val="22"/>
              </w:rPr>
              <w:t>Metric tons (t)</w:t>
            </w:r>
          </w:p>
        </w:tc>
        <w:tc>
          <w:tcPr>
            <w:tcW w:w="1802" w:type="dxa"/>
          </w:tcPr>
          <w:p w14:paraId="66774844" w14:textId="77777777" w:rsidR="00167C2C" w:rsidRPr="004635E5" w:rsidRDefault="00167C2C" w:rsidP="006633A8">
            <w:pPr>
              <w:widowControl w:val="0"/>
              <w:autoSpaceDE w:val="0"/>
              <w:autoSpaceDN w:val="0"/>
              <w:adjustRightInd w:val="0"/>
              <w:snapToGrid w:val="0"/>
              <w:rPr>
                <w:sz w:val="22"/>
                <w:szCs w:val="22"/>
              </w:rPr>
            </w:pPr>
          </w:p>
          <w:p w14:paraId="091C5922" w14:textId="77777777" w:rsidR="00167C2C" w:rsidRPr="004635E5" w:rsidRDefault="00167C2C" w:rsidP="006633A8">
            <w:pPr>
              <w:widowControl w:val="0"/>
              <w:autoSpaceDE w:val="0"/>
              <w:autoSpaceDN w:val="0"/>
              <w:adjustRightInd w:val="0"/>
              <w:snapToGrid w:val="0"/>
              <w:ind w:left="128" w:right="129"/>
              <w:jc w:val="center"/>
              <w:rPr>
                <w:sz w:val="22"/>
                <w:szCs w:val="22"/>
              </w:rPr>
            </w:pPr>
            <w:r w:rsidRPr="004635E5">
              <w:rPr>
                <w:sz w:val="22"/>
                <w:szCs w:val="22"/>
              </w:rPr>
              <w:t>3127.1 (22%)</w:t>
            </w:r>
          </w:p>
        </w:tc>
      </w:tr>
      <w:tr w:rsidR="00167C2C" w:rsidRPr="004635E5" w14:paraId="199A775E" w14:textId="77777777" w:rsidTr="00653A60">
        <w:trPr>
          <w:trHeight w:val="20"/>
        </w:trPr>
        <w:tc>
          <w:tcPr>
            <w:tcW w:w="3356" w:type="dxa"/>
          </w:tcPr>
          <w:p w14:paraId="12A4E0B5" w14:textId="77777777" w:rsidR="00167C2C" w:rsidRPr="004635E5" w:rsidRDefault="00167C2C" w:rsidP="006633A8">
            <w:pPr>
              <w:widowControl w:val="0"/>
              <w:autoSpaceDE w:val="0"/>
              <w:autoSpaceDN w:val="0"/>
              <w:adjustRightInd w:val="0"/>
              <w:snapToGrid w:val="0"/>
              <w:ind w:left="122"/>
              <w:rPr>
                <w:sz w:val="22"/>
                <w:szCs w:val="22"/>
              </w:rPr>
            </w:pPr>
            <w:r w:rsidRPr="004635E5">
              <w:rPr>
                <w:sz w:val="22"/>
                <w:szCs w:val="22"/>
              </w:rPr>
              <w:t>Spawning Abundance at MSY</w:t>
            </w:r>
          </w:p>
        </w:tc>
        <w:tc>
          <w:tcPr>
            <w:tcW w:w="2268" w:type="dxa"/>
          </w:tcPr>
          <w:p w14:paraId="5A4D28BD" w14:textId="77777777" w:rsidR="00167C2C" w:rsidRPr="004635E5" w:rsidRDefault="00167C2C" w:rsidP="006633A8">
            <w:pPr>
              <w:widowControl w:val="0"/>
              <w:autoSpaceDE w:val="0"/>
              <w:autoSpaceDN w:val="0"/>
              <w:adjustRightInd w:val="0"/>
              <w:snapToGrid w:val="0"/>
              <w:ind w:left="367" w:right="353"/>
              <w:jc w:val="center"/>
              <w:rPr>
                <w:sz w:val="22"/>
                <w:szCs w:val="22"/>
              </w:rPr>
            </w:pPr>
            <w:r w:rsidRPr="004635E5">
              <w:rPr>
                <w:position w:val="3"/>
                <w:sz w:val="22"/>
                <w:szCs w:val="22"/>
              </w:rPr>
              <w:t>SA</w:t>
            </w:r>
            <w:r w:rsidRPr="004635E5">
              <w:rPr>
                <w:sz w:val="22"/>
                <w:szCs w:val="22"/>
              </w:rPr>
              <w:t>MSY</w:t>
            </w:r>
          </w:p>
        </w:tc>
        <w:tc>
          <w:tcPr>
            <w:tcW w:w="1985" w:type="dxa"/>
          </w:tcPr>
          <w:p w14:paraId="5D20C236" w14:textId="77777777" w:rsidR="00167C2C" w:rsidRPr="004635E5" w:rsidRDefault="00167C2C" w:rsidP="006633A8">
            <w:pPr>
              <w:widowControl w:val="0"/>
              <w:autoSpaceDE w:val="0"/>
              <w:autoSpaceDN w:val="0"/>
              <w:adjustRightInd w:val="0"/>
              <w:snapToGrid w:val="0"/>
              <w:ind w:left="271" w:right="127"/>
              <w:jc w:val="center"/>
              <w:rPr>
                <w:sz w:val="22"/>
                <w:szCs w:val="22"/>
              </w:rPr>
            </w:pPr>
            <w:r w:rsidRPr="004635E5">
              <w:rPr>
                <w:sz w:val="22"/>
                <w:szCs w:val="22"/>
              </w:rPr>
              <w:t>1000s of sharks</w:t>
            </w:r>
          </w:p>
        </w:tc>
        <w:tc>
          <w:tcPr>
            <w:tcW w:w="1802" w:type="dxa"/>
          </w:tcPr>
          <w:p w14:paraId="4CC76C81" w14:textId="77777777" w:rsidR="00167C2C" w:rsidRPr="004635E5" w:rsidRDefault="00167C2C" w:rsidP="006633A8">
            <w:pPr>
              <w:widowControl w:val="0"/>
              <w:autoSpaceDE w:val="0"/>
              <w:autoSpaceDN w:val="0"/>
              <w:adjustRightInd w:val="0"/>
              <w:snapToGrid w:val="0"/>
              <w:ind w:left="128" w:right="129"/>
              <w:jc w:val="center"/>
              <w:rPr>
                <w:sz w:val="22"/>
                <w:szCs w:val="22"/>
              </w:rPr>
            </w:pPr>
            <w:r w:rsidRPr="004635E5">
              <w:rPr>
                <w:sz w:val="22"/>
                <w:szCs w:val="22"/>
              </w:rPr>
              <w:t>633.7 (23%)</w:t>
            </w:r>
          </w:p>
        </w:tc>
      </w:tr>
      <w:tr w:rsidR="00167C2C" w:rsidRPr="004635E5" w14:paraId="7D8718D5" w14:textId="77777777" w:rsidTr="00653A60">
        <w:trPr>
          <w:trHeight w:val="20"/>
        </w:trPr>
        <w:tc>
          <w:tcPr>
            <w:tcW w:w="3356" w:type="dxa"/>
          </w:tcPr>
          <w:p w14:paraId="55E21735" w14:textId="77777777" w:rsidR="00167C2C" w:rsidRPr="004635E5" w:rsidRDefault="00167C2C" w:rsidP="006633A8">
            <w:pPr>
              <w:widowControl w:val="0"/>
              <w:autoSpaceDE w:val="0"/>
              <w:autoSpaceDN w:val="0"/>
              <w:adjustRightInd w:val="0"/>
              <w:snapToGrid w:val="0"/>
              <w:ind w:left="122"/>
              <w:rPr>
                <w:sz w:val="22"/>
                <w:szCs w:val="22"/>
              </w:rPr>
            </w:pPr>
            <w:r w:rsidRPr="004635E5">
              <w:rPr>
                <w:sz w:val="22"/>
                <w:szCs w:val="22"/>
              </w:rPr>
              <w:t>Fishing Intensity at MSY</w:t>
            </w:r>
          </w:p>
        </w:tc>
        <w:tc>
          <w:tcPr>
            <w:tcW w:w="2268" w:type="dxa"/>
          </w:tcPr>
          <w:p w14:paraId="5DA11FB9" w14:textId="77777777" w:rsidR="00167C2C" w:rsidRPr="004635E5" w:rsidRDefault="00167C2C" w:rsidP="006633A8">
            <w:pPr>
              <w:widowControl w:val="0"/>
              <w:autoSpaceDE w:val="0"/>
              <w:autoSpaceDN w:val="0"/>
              <w:adjustRightInd w:val="0"/>
              <w:snapToGrid w:val="0"/>
              <w:ind w:left="367" w:right="353"/>
              <w:jc w:val="center"/>
              <w:rPr>
                <w:sz w:val="22"/>
                <w:szCs w:val="22"/>
              </w:rPr>
            </w:pPr>
            <w:r w:rsidRPr="004635E5">
              <w:rPr>
                <w:sz w:val="22"/>
                <w:szCs w:val="22"/>
              </w:rPr>
              <w:t>1-SPR</w:t>
            </w:r>
            <w:r w:rsidRPr="004635E5">
              <w:rPr>
                <w:position w:val="-2"/>
                <w:sz w:val="22"/>
                <w:szCs w:val="22"/>
              </w:rPr>
              <w:t>MSY</w:t>
            </w:r>
          </w:p>
        </w:tc>
        <w:tc>
          <w:tcPr>
            <w:tcW w:w="1985" w:type="dxa"/>
          </w:tcPr>
          <w:p w14:paraId="094AE363" w14:textId="77777777" w:rsidR="00167C2C" w:rsidRPr="004635E5" w:rsidRDefault="00167C2C" w:rsidP="006633A8">
            <w:pPr>
              <w:widowControl w:val="0"/>
              <w:autoSpaceDE w:val="0"/>
              <w:autoSpaceDN w:val="0"/>
              <w:adjustRightInd w:val="0"/>
              <w:snapToGrid w:val="0"/>
              <w:ind w:left="271" w:right="125"/>
              <w:jc w:val="center"/>
              <w:rPr>
                <w:sz w:val="22"/>
                <w:szCs w:val="22"/>
              </w:rPr>
            </w:pPr>
            <w:r w:rsidRPr="004635E5">
              <w:rPr>
                <w:sz w:val="22"/>
                <w:szCs w:val="22"/>
              </w:rPr>
              <w:t>NA</w:t>
            </w:r>
          </w:p>
        </w:tc>
        <w:tc>
          <w:tcPr>
            <w:tcW w:w="1802" w:type="dxa"/>
          </w:tcPr>
          <w:p w14:paraId="19020504" w14:textId="77777777" w:rsidR="00167C2C" w:rsidRPr="004635E5" w:rsidRDefault="00167C2C" w:rsidP="006633A8">
            <w:pPr>
              <w:widowControl w:val="0"/>
              <w:autoSpaceDE w:val="0"/>
              <w:autoSpaceDN w:val="0"/>
              <w:adjustRightInd w:val="0"/>
              <w:snapToGrid w:val="0"/>
              <w:ind w:left="128" w:right="129"/>
              <w:jc w:val="center"/>
              <w:rPr>
                <w:sz w:val="22"/>
                <w:szCs w:val="22"/>
              </w:rPr>
            </w:pPr>
            <w:r w:rsidRPr="004635E5">
              <w:rPr>
                <w:sz w:val="22"/>
                <w:szCs w:val="22"/>
              </w:rPr>
              <w:t>0.26</w:t>
            </w:r>
          </w:p>
        </w:tc>
      </w:tr>
      <w:tr w:rsidR="00167C2C" w:rsidRPr="004635E5" w14:paraId="0DE4AAF9" w14:textId="77777777" w:rsidTr="00653A60">
        <w:trPr>
          <w:trHeight w:val="20"/>
        </w:trPr>
        <w:tc>
          <w:tcPr>
            <w:tcW w:w="3356" w:type="dxa"/>
          </w:tcPr>
          <w:p w14:paraId="42D08DED" w14:textId="77777777" w:rsidR="00167C2C" w:rsidRPr="004635E5" w:rsidRDefault="00167C2C" w:rsidP="006633A8">
            <w:pPr>
              <w:widowControl w:val="0"/>
              <w:autoSpaceDE w:val="0"/>
              <w:autoSpaceDN w:val="0"/>
              <w:adjustRightInd w:val="0"/>
              <w:snapToGrid w:val="0"/>
              <w:ind w:left="122" w:right="415"/>
              <w:rPr>
                <w:sz w:val="22"/>
                <w:szCs w:val="22"/>
              </w:rPr>
            </w:pPr>
            <w:r w:rsidRPr="004635E5">
              <w:rPr>
                <w:sz w:val="22"/>
                <w:szCs w:val="22"/>
              </w:rPr>
              <w:t>Current spawning abundance relative to MSY</w:t>
            </w:r>
          </w:p>
        </w:tc>
        <w:tc>
          <w:tcPr>
            <w:tcW w:w="2268" w:type="dxa"/>
          </w:tcPr>
          <w:p w14:paraId="55E1A253" w14:textId="77777777" w:rsidR="00167C2C" w:rsidRPr="004635E5" w:rsidRDefault="00167C2C" w:rsidP="006633A8">
            <w:pPr>
              <w:widowControl w:val="0"/>
              <w:autoSpaceDE w:val="0"/>
              <w:autoSpaceDN w:val="0"/>
              <w:adjustRightInd w:val="0"/>
              <w:snapToGrid w:val="0"/>
              <w:ind w:left="367" w:right="353"/>
              <w:jc w:val="center"/>
              <w:rPr>
                <w:sz w:val="22"/>
                <w:szCs w:val="22"/>
              </w:rPr>
            </w:pPr>
            <w:r w:rsidRPr="004635E5">
              <w:rPr>
                <w:sz w:val="22"/>
                <w:szCs w:val="22"/>
              </w:rPr>
              <w:t>SA2016/SA</w:t>
            </w:r>
            <w:r w:rsidRPr="004635E5">
              <w:rPr>
                <w:position w:val="-2"/>
                <w:sz w:val="22"/>
                <w:szCs w:val="22"/>
              </w:rPr>
              <w:t>MSY</w:t>
            </w:r>
          </w:p>
        </w:tc>
        <w:tc>
          <w:tcPr>
            <w:tcW w:w="1985" w:type="dxa"/>
          </w:tcPr>
          <w:p w14:paraId="4C1D3334" w14:textId="77777777" w:rsidR="00167C2C" w:rsidRPr="004635E5" w:rsidRDefault="00167C2C" w:rsidP="006633A8">
            <w:pPr>
              <w:widowControl w:val="0"/>
              <w:autoSpaceDE w:val="0"/>
              <w:autoSpaceDN w:val="0"/>
              <w:adjustRightInd w:val="0"/>
              <w:snapToGrid w:val="0"/>
              <w:rPr>
                <w:sz w:val="22"/>
                <w:szCs w:val="22"/>
              </w:rPr>
            </w:pPr>
          </w:p>
          <w:p w14:paraId="17421EB2" w14:textId="77777777" w:rsidR="00167C2C" w:rsidRPr="004635E5" w:rsidRDefault="00167C2C" w:rsidP="006633A8">
            <w:pPr>
              <w:widowControl w:val="0"/>
              <w:autoSpaceDE w:val="0"/>
              <w:autoSpaceDN w:val="0"/>
              <w:adjustRightInd w:val="0"/>
              <w:snapToGrid w:val="0"/>
              <w:ind w:left="271" w:right="125"/>
              <w:jc w:val="center"/>
              <w:rPr>
                <w:sz w:val="22"/>
                <w:szCs w:val="22"/>
              </w:rPr>
            </w:pPr>
            <w:r w:rsidRPr="004635E5">
              <w:rPr>
                <w:sz w:val="22"/>
                <w:szCs w:val="22"/>
              </w:rPr>
              <w:t>NA</w:t>
            </w:r>
          </w:p>
        </w:tc>
        <w:tc>
          <w:tcPr>
            <w:tcW w:w="1802" w:type="dxa"/>
          </w:tcPr>
          <w:p w14:paraId="5EA04D1B" w14:textId="77777777" w:rsidR="00167C2C" w:rsidRPr="004635E5" w:rsidRDefault="00167C2C" w:rsidP="006633A8">
            <w:pPr>
              <w:widowControl w:val="0"/>
              <w:autoSpaceDE w:val="0"/>
              <w:autoSpaceDN w:val="0"/>
              <w:adjustRightInd w:val="0"/>
              <w:snapToGrid w:val="0"/>
              <w:rPr>
                <w:sz w:val="22"/>
                <w:szCs w:val="22"/>
              </w:rPr>
            </w:pPr>
          </w:p>
          <w:p w14:paraId="46BAF8B9" w14:textId="77777777" w:rsidR="00167C2C" w:rsidRPr="004635E5" w:rsidRDefault="00167C2C" w:rsidP="006633A8">
            <w:pPr>
              <w:widowControl w:val="0"/>
              <w:autoSpaceDE w:val="0"/>
              <w:autoSpaceDN w:val="0"/>
              <w:adjustRightInd w:val="0"/>
              <w:snapToGrid w:val="0"/>
              <w:ind w:left="128" w:right="129"/>
              <w:jc w:val="center"/>
              <w:rPr>
                <w:sz w:val="22"/>
                <w:szCs w:val="22"/>
              </w:rPr>
            </w:pPr>
            <w:r w:rsidRPr="004635E5">
              <w:rPr>
                <w:sz w:val="22"/>
                <w:szCs w:val="22"/>
              </w:rPr>
              <w:t>1.36</w:t>
            </w:r>
          </w:p>
        </w:tc>
      </w:tr>
      <w:tr w:rsidR="00167C2C" w:rsidRPr="004635E5" w14:paraId="38BD4C69" w14:textId="77777777" w:rsidTr="00653A60">
        <w:trPr>
          <w:trHeight w:val="20"/>
        </w:trPr>
        <w:tc>
          <w:tcPr>
            <w:tcW w:w="3356" w:type="dxa"/>
          </w:tcPr>
          <w:p w14:paraId="187FDD2A" w14:textId="77777777" w:rsidR="00167C2C" w:rsidRPr="004635E5" w:rsidRDefault="00167C2C" w:rsidP="006633A8">
            <w:pPr>
              <w:widowControl w:val="0"/>
              <w:autoSpaceDE w:val="0"/>
              <w:autoSpaceDN w:val="0"/>
              <w:adjustRightInd w:val="0"/>
              <w:snapToGrid w:val="0"/>
              <w:ind w:left="122" w:right="415"/>
              <w:rPr>
                <w:sz w:val="22"/>
                <w:szCs w:val="22"/>
              </w:rPr>
            </w:pPr>
            <w:r w:rsidRPr="004635E5">
              <w:rPr>
                <w:sz w:val="22"/>
                <w:szCs w:val="22"/>
              </w:rPr>
              <w:t>Current spawning abundance relative to unfished level</w:t>
            </w:r>
          </w:p>
        </w:tc>
        <w:tc>
          <w:tcPr>
            <w:tcW w:w="2268" w:type="dxa"/>
          </w:tcPr>
          <w:p w14:paraId="7C544B67" w14:textId="77777777" w:rsidR="00167C2C" w:rsidRPr="004635E5" w:rsidRDefault="00167C2C" w:rsidP="006633A8">
            <w:pPr>
              <w:widowControl w:val="0"/>
              <w:autoSpaceDE w:val="0"/>
              <w:autoSpaceDN w:val="0"/>
              <w:adjustRightInd w:val="0"/>
              <w:snapToGrid w:val="0"/>
              <w:ind w:left="365" w:right="353"/>
              <w:jc w:val="center"/>
              <w:rPr>
                <w:sz w:val="22"/>
                <w:szCs w:val="22"/>
              </w:rPr>
            </w:pPr>
            <w:r w:rsidRPr="004635E5">
              <w:rPr>
                <w:sz w:val="22"/>
                <w:szCs w:val="22"/>
              </w:rPr>
              <w:t>SA</w:t>
            </w:r>
            <w:r w:rsidRPr="004635E5">
              <w:rPr>
                <w:position w:val="-2"/>
                <w:sz w:val="22"/>
                <w:szCs w:val="22"/>
              </w:rPr>
              <w:t>2016</w:t>
            </w:r>
            <w:r w:rsidRPr="004635E5">
              <w:rPr>
                <w:sz w:val="22"/>
                <w:szCs w:val="22"/>
              </w:rPr>
              <w:t>/SA</w:t>
            </w:r>
            <w:r w:rsidRPr="004635E5">
              <w:rPr>
                <w:position w:val="-2"/>
                <w:sz w:val="22"/>
                <w:szCs w:val="22"/>
              </w:rPr>
              <w:t>0</w:t>
            </w:r>
          </w:p>
        </w:tc>
        <w:tc>
          <w:tcPr>
            <w:tcW w:w="1985" w:type="dxa"/>
          </w:tcPr>
          <w:p w14:paraId="48DDA2A2" w14:textId="77777777" w:rsidR="00167C2C" w:rsidRPr="004635E5" w:rsidRDefault="00167C2C" w:rsidP="006633A8">
            <w:pPr>
              <w:widowControl w:val="0"/>
              <w:autoSpaceDE w:val="0"/>
              <w:autoSpaceDN w:val="0"/>
              <w:adjustRightInd w:val="0"/>
              <w:snapToGrid w:val="0"/>
              <w:rPr>
                <w:sz w:val="22"/>
                <w:szCs w:val="22"/>
              </w:rPr>
            </w:pPr>
          </w:p>
          <w:p w14:paraId="79B4F033" w14:textId="77777777" w:rsidR="00167C2C" w:rsidRPr="004635E5" w:rsidRDefault="00167C2C" w:rsidP="006633A8">
            <w:pPr>
              <w:widowControl w:val="0"/>
              <w:autoSpaceDE w:val="0"/>
              <w:autoSpaceDN w:val="0"/>
              <w:adjustRightInd w:val="0"/>
              <w:snapToGrid w:val="0"/>
              <w:ind w:left="271" w:right="125"/>
              <w:jc w:val="center"/>
              <w:rPr>
                <w:sz w:val="22"/>
                <w:szCs w:val="22"/>
              </w:rPr>
            </w:pPr>
            <w:r w:rsidRPr="004635E5">
              <w:rPr>
                <w:sz w:val="22"/>
                <w:szCs w:val="22"/>
              </w:rPr>
              <w:t>NA</w:t>
            </w:r>
          </w:p>
        </w:tc>
        <w:tc>
          <w:tcPr>
            <w:tcW w:w="1802" w:type="dxa"/>
          </w:tcPr>
          <w:p w14:paraId="2D6FBC14" w14:textId="77777777" w:rsidR="00167C2C" w:rsidRPr="004635E5" w:rsidRDefault="00167C2C" w:rsidP="006633A8">
            <w:pPr>
              <w:widowControl w:val="0"/>
              <w:autoSpaceDE w:val="0"/>
              <w:autoSpaceDN w:val="0"/>
              <w:adjustRightInd w:val="0"/>
              <w:snapToGrid w:val="0"/>
              <w:rPr>
                <w:sz w:val="22"/>
                <w:szCs w:val="22"/>
              </w:rPr>
            </w:pPr>
          </w:p>
          <w:p w14:paraId="328F264E" w14:textId="77777777" w:rsidR="00167C2C" w:rsidRPr="004635E5" w:rsidRDefault="00167C2C" w:rsidP="006633A8">
            <w:pPr>
              <w:widowControl w:val="0"/>
              <w:autoSpaceDE w:val="0"/>
              <w:autoSpaceDN w:val="0"/>
              <w:adjustRightInd w:val="0"/>
              <w:snapToGrid w:val="0"/>
              <w:ind w:left="128" w:right="129"/>
              <w:jc w:val="center"/>
              <w:rPr>
                <w:sz w:val="22"/>
                <w:szCs w:val="22"/>
              </w:rPr>
            </w:pPr>
            <w:r w:rsidRPr="004635E5">
              <w:rPr>
                <w:sz w:val="22"/>
                <w:szCs w:val="22"/>
              </w:rPr>
              <w:t>0.58</w:t>
            </w:r>
          </w:p>
        </w:tc>
      </w:tr>
      <w:tr w:rsidR="00167C2C" w:rsidRPr="004635E5" w14:paraId="32913F2C" w14:textId="77777777" w:rsidTr="00653A60">
        <w:trPr>
          <w:trHeight w:val="20"/>
        </w:trPr>
        <w:tc>
          <w:tcPr>
            <w:tcW w:w="3356" w:type="dxa"/>
            <w:tcBorders>
              <w:bottom w:val="single" w:sz="4" w:space="0" w:color="000000"/>
            </w:tcBorders>
          </w:tcPr>
          <w:p w14:paraId="51293C53" w14:textId="77777777" w:rsidR="00167C2C" w:rsidRPr="004635E5" w:rsidRDefault="00167C2C" w:rsidP="006633A8">
            <w:pPr>
              <w:widowControl w:val="0"/>
              <w:autoSpaceDE w:val="0"/>
              <w:autoSpaceDN w:val="0"/>
              <w:adjustRightInd w:val="0"/>
              <w:snapToGrid w:val="0"/>
              <w:ind w:left="122" w:right="921"/>
              <w:rPr>
                <w:sz w:val="22"/>
                <w:szCs w:val="22"/>
              </w:rPr>
            </w:pPr>
            <w:r w:rsidRPr="004635E5">
              <w:rPr>
                <w:sz w:val="22"/>
                <w:szCs w:val="22"/>
              </w:rPr>
              <w:t>Recent fishing Intensity relative to MSY</w:t>
            </w:r>
          </w:p>
        </w:tc>
        <w:tc>
          <w:tcPr>
            <w:tcW w:w="2268" w:type="dxa"/>
            <w:tcBorders>
              <w:bottom w:val="single" w:sz="4" w:space="0" w:color="000000"/>
            </w:tcBorders>
          </w:tcPr>
          <w:p w14:paraId="35FC105F" w14:textId="77777777" w:rsidR="00167C2C" w:rsidRPr="004635E5" w:rsidRDefault="00167C2C" w:rsidP="006633A8">
            <w:pPr>
              <w:widowControl w:val="0"/>
              <w:autoSpaceDE w:val="0"/>
              <w:autoSpaceDN w:val="0"/>
              <w:adjustRightInd w:val="0"/>
              <w:snapToGrid w:val="0"/>
              <w:ind w:left="712" w:right="275" w:hanging="406"/>
              <w:rPr>
                <w:sz w:val="22"/>
                <w:szCs w:val="22"/>
              </w:rPr>
            </w:pPr>
            <w:r w:rsidRPr="004635E5">
              <w:rPr>
                <w:sz w:val="22"/>
                <w:szCs w:val="22"/>
              </w:rPr>
              <w:t>(1-SPR</w:t>
            </w:r>
            <w:r w:rsidRPr="004635E5">
              <w:rPr>
                <w:position w:val="-2"/>
                <w:sz w:val="22"/>
                <w:szCs w:val="22"/>
              </w:rPr>
              <w:t>2013-15</w:t>
            </w:r>
            <w:r w:rsidRPr="004635E5">
              <w:rPr>
                <w:sz w:val="22"/>
                <w:szCs w:val="22"/>
              </w:rPr>
              <w:t>)/(1- SPR</w:t>
            </w:r>
            <w:r w:rsidRPr="004635E5">
              <w:rPr>
                <w:position w:val="-2"/>
                <w:sz w:val="22"/>
                <w:szCs w:val="22"/>
              </w:rPr>
              <w:t>MSY</w:t>
            </w:r>
            <w:r w:rsidRPr="004635E5">
              <w:rPr>
                <w:sz w:val="22"/>
                <w:szCs w:val="22"/>
              </w:rPr>
              <w:t>)</w:t>
            </w:r>
          </w:p>
        </w:tc>
        <w:tc>
          <w:tcPr>
            <w:tcW w:w="1985" w:type="dxa"/>
            <w:tcBorders>
              <w:bottom w:val="single" w:sz="4" w:space="0" w:color="000000"/>
            </w:tcBorders>
          </w:tcPr>
          <w:p w14:paraId="220CECA6" w14:textId="77777777" w:rsidR="00167C2C" w:rsidRPr="004635E5" w:rsidRDefault="00167C2C" w:rsidP="006633A8">
            <w:pPr>
              <w:widowControl w:val="0"/>
              <w:autoSpaceDE w:val="0"/>
              <w:autoSpaceDN w:val="0"/>
              <w:adjustRightInd w:val="0"/>
              <w:snapToGrid w:val="0"/>
              <w:rPr>
                <w:sz w:val="22"/>
                <w:szCs w:val="22"/>
              </w:rPr>
            </w:pPr>
          </w:p>
          <w:p w14:paraId="64DF5180" w14:textId="77777777" w:rsidR="00167C2C" w:rsidRPr="004635E5" w:rsidRDefault="00167C2C" w:rsidP="006633A8">
            <w:pPr>
              <w:widowControl w:val="0"/>
              <w:autoSpaceDE w:val="0"/>
              <w:autoSpaceDN w:val="0"/>
              <w:adjustRightInd w:val="0"/>
              <w:snapToGrid w:val="0"/>
              <w:ind w:left="271" w:right="127"/>
              <w:jc w:val="center"/>
              <w:rPr>
                <w:sz w:val="22"/>
                <w:szCs w:val="22"/>
              </w:rPr>
            </w:pPr>
            <w:r w:rsidRPr="004635E5">
              <w:rPr>
                <w:sz w:val="22"/>
                <w:szCs w:val="22"/>
              </w:rPr>
              <w:t>MSY</w:t>
            </w:r>
          </w:p>
        </w:tc>
        <w:tc>
          <w:tcPr>
            <w:tcW w:w="1802" w:type="dxa"/>
            <w:tcBorders>
              <w:bottom w:val="single" w:sz="4" w:space="0" w:color="000000"/>
            </w:tcBorders>
          </w:tcPr>
          <w:p w14:paraId="66469A5A" w14:textId="77777777" w:rsidR="00167C2C" w:rsidRPr="004635E5" w:rsidRDefault="00167C2C" w:rsidP="006633A8">
            <w:pPr>
              <w:widowControl w:val="0"/>
              <w:autoSpaceDE w:val="0"/>
              <w:autoSpaceDN w:val="0"/>
              <w:adjustRightInd w:val="0"/>
              <w:snapToGrid w:val="0"/>
              <w:rPr>
                <w:sz w:val="22"/>
                <w:szCs w:val="22"/>
              </w:rPr>
            </w:pPr>
          </w:p>
          <w:p w14:paraId="3D9C5C64" w14:textId="77777777" w:rsidR="00167C2C" w:rsidRPr="004635E5" w:rsidRDefault="00167C2C" w:rsidP="006633A8">
            <w:pPr>
              <w:widowControl w:val="0"/>
              <w:autoSpaceDE w:val="0"/>
              <w:autoSpaceDN w:val="0"/>
              <w:adjustRightInd w:val="0"/>
              <w:snapToGrid w:val="0"/>
              <w:ind w:left="128" w:right="129"/>
              <w:jc w:val="center"/>
              <w:rPr>
                <w:sz w:val="22"/>
                <w:szCs w:val="22"/>
              </w:rPr>
            </w:pPr>
            <w:r w:rsidRPr="004635E5">
              <w:rPr>
                <w:sz w:val="22"/>
                <w:szCs w:val="22"/>
              </w:rPr>
              <w:t>0.62</w:t>
            </w:r>
          </w:p>
        </w:tc>
      </w:tr>
    </w:tbl>
    <w:p w14:paraId="09314278" w14:textId="77777777" w:rsidR="005749BD" w:rsidRPr="004635E5" w:rsidRDefault="005749BD" w:rsidP="006633A8">
      <w:pPr>
        <w:tabs>
          <w:tab w:val="left" w:pos="821"/>
        </w:tabs>
        <w:adjustRightInd w:val="0"/>
        <w:snapToGrid w:val="0"/>
        <w:ind w:right="337"/>
        <w:jc w:val="both"/>
        <w:rPr>
          <w:rFonts w:eastAsia="Calibri"/>
          <w:b/>
          <w:sz w:val="22"/>
          <w:szCs w:val="22"/>
        </w:rPr>
      </w:pPr>
    </w:p>
    <w:p w14:paraId="41CFB402" w14:textId="77777777" w:rsidR="00167C2C" w:rsidRPr="004635E5" w:rsidRDefault="002740AE" w:rsidP="006633A8">
      <w:pPr>
        <w:tabs>
          <w:tab w:val="left" w:pos="821"/>
        </w:tabs>
        <w:adjustRightInd w:val="0"/>
        <w:snapToGrid w:val="0"/>
        <w:ind w:right="337"/>
        <w:jc w:val="both"/>
        <w:rPr>
          <w:rFonts w:eastAsia="Calibri"/>
          <w:b/>
          <w:sz w:val="22"/>
          <w:szCs w:val="22"/>
        </w:rPr>
      </w:pPr>
      <w:r>
        <w:rPr>
          <w:rFonts w:eastAsia="Calibri"/>
          <w:b/>
          <w:sz w:val="22"/>
          <w:szCs w:val="22"/>
        </w:rPr>
        <w:t>Figure SFM-9</w:t>
      </w:r>
      <w:r w:rsidR="00167C2C" w:rsidRPr="004635E5">
        <w:rPr>
          <w:rFonts w:eastAsia="Calibri"/>
          <w:b/>
          <w:sz w:val="22"/>
          <w:szCs w:val="22"/>
        </w:rPr>
        <w:t xml:space="preserve">. </w:t>
      </w:r>
      <w:r w:rsidR="00167C2C" w:rsidRPr="004635E5">
        <w:rPr>
          <w:rFonts w:eastAsia="Calibri"/>
          <w:sz w:val="22"/>
          <w:szCs w:val="22"/>
        </w:rPr>
        <w:t>Kobe plots of shortfin mako shark in the North Pacific Ocean showing. A) The time series of the ratio of SA to SA at MSY (SA</w:t>
      </w:r>
      <w:r w:rsidR="00167C2C" w:rsidRPr="004635E5">
        <w:rPr>
          <w:rFonts w:eastAsia="Calibri"/>
          <w:position w:val="-2"/>
          <w:sz w:val="22"/>
          <w:szCs w:val="22"/>
          <w:vertAlign w:val="subscript"/>
        </w:rPr>
        <w:t>MSY</w:t>
      </w:r>
      <w:r w:rsidR="00167C2C" w:rsidRPr="004635E5">
        <w:rPr>
          <w:rFonts w:eastAsia="Calibri"/>
          <w:sz w:val="22"/>
          <w:szCs w:val="22"/>
        </w:rPr>
        <w:t>) and fishing intensity to fishing intensity at MSY (1-SPR</w:t>
      </w:r>
      <w:r w:rsidR="00167C2C" w:rsidRPr="004635E5">
        <w:rPr>
          <w:rFonts w:eastAsia="Calibri"/>
          <w:position w:val="-2"/>
          <w:sz w:val="22"/>
          <w:szCs w:val="22"/>
          <w:vertAlign w:val="subscript"/>
        </w:rPr>
        <w:t>MSY</w:t>
      </w:r>
      <w:r w:rsidR="00167C2C" w:rsidRPr="004635E5">
        <w:rPr>
          <w:rFonts w:eastAsia="Calibri"/>
          <w:sz w:val="22"/>
          <w:szCs w:val="22"/>
        </w:rPr>
        <w:t>), and B) the same ratios for the terminal year (2016) for six alternative states of nature. SA is spawning abundance measured as the number of mature females. Fishing intensity is estimated as 1-SPR. Values for the start (1975) and end (2016) years in the time series (A) are indicated by the blue triangle and black circle, respectively. Gray numbers indicate selected years. Alternative states of nature in B) include: Alternative_1) higher catch, Alternative_2) lower catch; Alternative_3) higher uncertainty on Japan shallow-set CPUE index (1975-1993) (CV=0.3); Alternative_4) fit to Japan offshore distant water longline shallow-set fleet (JPN_SS_I; 1975-2016) and Hawaii longline shallow-set fleet (US_SS; 2005-2016), and no fit</w:t>
      </w:r>
      <w:r w:rsidR="00167C2C" w:rsidRPr="004635E5">
        <w:rPr>
          <w:rFonts w:eastAsia="Calibri"/>
          <w:spacing w:val="-2"/>
          <w:sz w:val="22"/>
          <w:szCs w:val="22"/>
        </w:rPr>
        <w:t xml:space="preserve"> </w:t>
      </w:r>
      <w:r w:rsidR="00167C2C" w:rsidRPr="004635E5">
        <w:rPr>
          <w:rFonts w:eastAsia="Calibri"/>
          <w:sz w:val="22"/>
          <w:szCs w:val="22"/>
        </w:rPr>
        <w:t>to</w:t>
      </w:r>
      <w:r w:rsidR="00167C2C" w:rsidRPr="004635E5">
        <w:rPr>
          <w:rFonts w:eastAsia="Calibri"/>
          <w:spacing w:val="-1"/>
          <w:sz w:val="22"/>
          <w:szCs w:val="22"/>
        </w:rPr>
        <w:t xml:space="preserve"> </w:t>
      </w:r>
      <w:r w:rsidR="00167C2C" w:rsidRPr="004635E5">
        <w:rPr>
          <w:rFonts w:eastAsia="Calibri"/>
          <w:sz w:val="22"/>
          <w:szCs w:val="22"/>
        </w:rPr>
        <w:t>initial</w:t>
      </w:r>
      <w:r w:rsidR="00167C2C" w:rsidRPr="004635E5">
        <w:rPr>
          <w:rFonts w:eastAsia="Calibri"/>
          <w:spacing w:val="-3"/>
          <w:sz w:val="22"/>
          <w:szCs w:val="22"/>
        </w:rPr>
        <w:t xml:space="preserve"> </w:t>
      </w:r>
      <w:r w:rsidR="00167C2C" w:rsidRPr="004635E5">
        <w:rPr>
          <w:rFonts w:eastAsia="Calibri"/>
          <w:sz w:val="22"/>
          <w:szCs w:val="22"/>
        </w:rPr>
        <w:t>equilibrium</w:t>
      </w:r>
      <w:r w:rsidR="00167C2C" w:rsidRPr="004635E5">
        <w:rPr>
          <w:rFonts w:eastAsia="Calibri"/>
          <w:spacing w:val="-5"/>
          <w:sz w:val="22"/>
          <w:szCs w:val="22"/>
        </w:rPr>
        <w:t xml:space="preserve"> </w:t>
      </w:r>
      <w:r w:rsidR="00167C2C" w:rsidRPr="004635E5">
        <w:rPr>
          <w:rFonts w:eastAsia="Calibri"/>
          <w:sz w:val="22"/>
          <w:szCs w:val="22"/>
        </w:rPr>
        <w:t>catch;</w:t>
      </w:r>
      <w:r w:rsidR="00167C2C" w:rsidRPr="004635E5">
        <w:rPr>
          <w:rFonts w:eastAsia="Calibri"/>
          <w:spacing w:val="-2"/>
          <w:sz w:val="22"/>
          <w:szCs w:val="22"/>
        </w:rPr>
        <w:t xml:space="preserve"> </w:t>
      </w:r>
      <w:r w:rsidR="00167C2C" w:rsidRPr="004635E5">
        <w:rPr>
          <w:rFonts w:eastAsia="Calibri"/>
          <w:sz w:val="22"/>
          <w:szCs w:val="22"/>
        </w:rPr>
        <w:t>Alternative_5)</w:t>
      </w:r>
      <w:r w:rsidR="00167C2C" w:rsidRPr="004635E5">
        <w:rPr>
          <w:rFonts w:eastAsia="Calibri"/>
          <w:spacing w:val="-2"/>
          <w:sz w:val="22"/>
          <w:szCs w:val="22"/>
        </w:rPr>
        <w:t xml:space="preserve"> </w:t>
      </w:r>
      <w:r w:rsidR="00167C2C" w:rsidRPr="004635E5">
        <w:rPr>
          <w:rFonts w:eastAsia="Calibri"/>
          <w:sz w:val="22"/>
          <w:szCs w:val="22"/>
        </w:rPr>
        <w:t>low</w:t>
      </w:r>
      <w:r w:rsidR="00167C2C" w:rsidRPr="004635E5">
        <w:rPr>
          <w:rFonts w:eastAsia="Calibri"/>
          <w:spacing w:val="-2"/>
          <w:sz w:val="22"/>
          <w:szCs w:val="22"/>
        </w:rPr>
        <w:t xml:space="preserve"> </w:t>
      </w:r>
      <w:r w:rsidR="00167C2C" w:rsidRPr="004635E5">
        <w:rPr>
          <w:rFonts w:eastAsia="Calibri"/>
          <w:sz w:val="22"/>
          <w:szCs w:val="22"/>
        </w:rPr>
        <w:t>steepness,</w:t>
      </w:r>
      <w:r w:rsidR="00167C2C" w:rsidRPr="004635E5">
        <w:rPr>
          <w:rFonts w:eastAsia="Calibri"/>
          <w:spacing w:val="-2"/>
          <w:sz w:val="22"/>
          <w:szCs w:val="22"/>
        </w:rPr>
        <w:t xml:space="preserve"> </w:t>
      </w:r>
      <w:r w:rsidR="00167C2C" w:rsidRPr="004635E5">
        <w:rPr>
          <w:rFonts w:eastAsia="Calibri"/>
          <w:sz w:val="22"/>
          <w:szCs w:val="22"/>
        </w:rPr>
        <w:t>h=0.26;</w:t>
      </w:r>
      <w:r w:rsidR="00167C2C" w:rsidRPr="004635E5">
        <w:rPr>
          <w:rFonts w:eastAsia="Calibri"/>
          <w:spacing w:val="-2"/>
          <w:sz w:val="22"/>
          <w:szCs w:val="22"/>
        </w:rPr>
        <w:t xml:space="preserve"> </w:t>
      </w:r>
      <w:r w:rsidR="00167C2C" w:rsidRPr="004635E5">
        <w:rPr>
          <w:rFonts w:eastAsia="Calibri"/>
          <w:sz w:val="22"/>
          <w:szCs w:val="22"/>
        </w:rPr>
        <w:t>and</w:t>
      </w:r>
      <w:r w:rsidR="00167C2C" w:rsidRPr="004635E5">
        <w:rPr>
          <w:rFonts w:eastAsia="Calibri"/>
          <w:spacing w:val="-3"/>
          <w:sz w:val="22"/>
          <w:szCs w:val="22"/>
        </w:rPr>
        <w:t xml:space="preserve"> </w:t>
      </w:r>
      <w:r w:rsidR="00167C2C" w:rsidRPr="004635E5">
        <w:rPr>
          <w:rFonts w:eastAsia="Calibri"/>
          <w:sz w:val="22"/>
          <w:szCs w:val="22"/>
        </w:rPr>
        <w:t>Alternative_6)</w:t>
      </w:r>
      <w:r w:rsidR="00167C2C" w:rsidRPr="004635E5">
        <w:rPr>
          <w:rFonts w:eastAsia="Calibri"/>
          <w:spacing w:val="-2"/>
          <w:sz w:val="22"/>
          <w:szCs w:val="22"/>
        </w:rPr>
        <w:t xml:space="preserve"> </w:t>
      </w:r>
      <w:r w:rsidR="00167C2C" w:rsidRPr="004635E5">
        <w:rPr>
          <w:rFonts w:eastAsia="Calibri"/>
          <w:sz w:val="22"/>
          <w:szCs w:val="22"/>
        </w:rPr>
        <w:t>high</w:t>
      </w:r>
      <w:r w:rsidR="00167C2C" w:rsidRPr="004635E5">
        <w:rPr>
          <w:rFonts w:eastAsia="Calibri"/>
          <w:spacing w:val="-3"/>
          <w:sz w:val="22"/>
          <w:szCs w:val="22"/>
        </w:rPr>
        <w:t xml:space="preserve"> </w:t>
      </w:r>
      <w:r w:rsidR="00167C2C" w:rsidRPr="004635E5">
        <w:rPr>
          <w:rFonts w:eastAsia="Calibri"/>
          <w:sz w:val="22"/>
          <w:szCs w:val="22"/>
        </w:rPr>
        <w:t>steepness,</w:t>
      </w:r>
      <w:r w:rsidR="00167C2C" w:rsidRPr="004635E5">
        <w:rPr>
          <w:rFonts w:eastAsia="Calibri"/>
          <w:spacing w:val="-2"/>
          <w:sz w:val="22"/>
          <w:szCs w:val="22"/>
        </w:rPr>
        <w:t xml:space="preserve"> </w:t>
      </w:r>
      <w:r w:rsidR="00167C2C" w:rsidRPr="004635E5">
        <w:rPr>
          <w:rFonts w:eastAsia="Calibri"/>
          <w:sz w:val="22"/>
          <w:szCs w:val="22"/>
        </w:rPr>
        <w:t>h=0.37.</w:t>
      </w:r>
      <w:r w:rsidR="00167C2C" w:rsidRPr="004635E5">
        <w:rPr>
          <w:rFonts w:eastAsia="Calibri"/>
          <w:spacing w:val="-4"/>
          <w:sz w:val="22"/>
          <w:szCs w:val="22"/>
        </w:rPr>
        <w:t xml:space="preserve"> </w:t>
      </w:r>
      <w:r w:rsidR="00167C2C" w:rsidRPr="004635E5">
        <w:rPr>
          <w:rFonts w:eastAsia="Calibri"/>
          <w:sz w:val="22"/>
          <w:szCs w:val="22"/>
        </w:rPr>
        <w:t>Solid</w:t>
      </w:r>
      <w:r w:rsidR="00167C2C" w:rsidRPr="004635E5">
        <w:rPr>
          <w:rFonts w:eastAsia="Calibri"/>
          <w:spacing w:val="-3"/>
          <w:sz w:val="22"/>
          <w:szCs w:val="22"/>
        </w:rPr>
        <w:t xml:space="preserve"> </w:t>
      </w:r>
      <w:r w:rsidR="00167C2C" w:rsidRPr="004635E5">
        <w:rPr>
          <w:rFonts w:eastAsia="Calibri"/>
          <w:spacing w:val="2"/>
          <w:sz w:val="22"/>
          <w:szCs w:val="22"/>
        </w:rPr>
        <w:t>lines</w:t>
      </w:r>
      <w:r w:rsidR="00167C2C" w:rsidRPr="004635E5">
        <w:rPr>
          <w:rFonts w:eastAsia="Calibri"/>
          <w:spacing w:val="-3"/>
          <w:sz w:val="22"/>
          <w:szCs w:val="22"/>
        </w:rPr>
        <w:t xml:space="preserve"> </w:t>
      </w:r>
      <w:r w:rsidR="00167C2C" w:rsidRPr="004635E5">
        <w:rPr>
          <w:rFonts w:eastAsia="Calibri"/>
          <w:sz w:val="22"/>
          <w:szCs w:val="22"/>
        </w:rPr>
        <w:t>indicate</w:t>
      </w:r>
      <w:r w:rsidR="00167C2C" w:rsidRPr="004635E5">
        <w:rPr>
          <w:rFonts w:eastAsia="Calibri"/>
          <w:spacing w:val="-2"/>
          <w:sz w:val="22"/>
          <w:szCs w:val="22"/>
        </w:rPr>
        <w:t xml:space="preserve"> </w:t>
      </w:r>
      <w:r w:rsidR="00167C2C" w:rsidRPr="004635E5">
        <w:rPr>
          <w:rFonts w:eastAsia="Calibri"/>
          <w:sz w:val="22"/>
          <w:szCs w:val="22"/>
        </w:rPr>
        <w:t>95%</w:t>
      </w:r>
      <w:r w:rsidR="00167C2C" w:rsidRPr="004635E5">
        <w:rPr>
          <w:rFonts w:eastAsia="Calibri"/>
          <w:spacing w:val="-2"/>
          <w:sz w:val="22"/>
          <w:szCs w:val="22"/>
        </w:rPr>
        <w:t xml:space="preserve"> </w:t>
      </w:r>
      <w:r w:rsidR="00167C2C" w:rsidRPr="004635E5">
        <w:rPr>
          <w:rFonts w:eastAsia="Calibri"/>
          <w:sz w:val="22"/>
          <w:szCs w:val="22"/>
        </w:rPr>
        <w:t>confidence</w:t>
      </w:r>
      <w:r w:rsidR="00167C2C" w:rsidRPr="004635E5">
        <w:rPr>
          <w:rFonts w:eastAsia="Calibri"/>
          <w:spacing w:val="-2"/>
          <w:sz w:val="22"/>
          <w:szCs w:val="22"/>
        </w:rPr>
        <w:t xml:space="preserve"> </w:t>
      </w:r>
      <w:r w:rsidR="00167C2C" w:rsidRPr="004635E5">
        <w:rPr>
          <w:rFonts w:eastAsia="Calibri"/>
          <w:sz w:val="22"/>
          <w:szCs w:val="22"/>
        </w:rPr>
        <w:t>intervals.</w:t>
      </w:r>
      <w:r w:rsidR="008D3D49">
        <w:rPr>
          <w:rFonts w:eastAsia="Calibri"/>
          <w:b/>
          <w:noProof/>
          <w:sz w:val="22"/>
          <w:szCs w:val="22"/>
          <w:lang w:eastAsia="zh-CN" w:bidi="mn-Mong-CN"/>
        </w:rPr>
        <mc:AlternateContent>
          <mc:Choice Requires="wpg">
            <w:drawing>
              <wp:anchor distT="0" distB="0" distL="114300" distR="114300" simplePos="0" relativeHeight="251648000" behindDoc="0" locked="0" layoutInCell="1" allowOverlap="1" wp14:anchorId="1CF112D6" wp14:editId="676C6A31">
                <wp:simplePos x="0" y="0"/>
                <wp:positionH relativeFrom="column">
                  <wp:posOffset>0</wp:posOffset>
                </wp:positionH>
                <wp:positionV relativeFrom="paragraph">
                  <wp:posOffset>0</wp:posOffset>
                </wp:positionV>
                <wp:extent cx="6230620" cy="2904490"/>
                <wp:effectExtent l="0" t="0" r="0" b="635"/>
                <wp:wrapSquare wrapText="bothSides"/>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0620" cy="2904490"/>
                          <a:chOff x="0" y="0"/>
                          <a:chExt cx="62306" cy="29044"/>
                        </a:xfrm>
                      </wpg:grpSpPr>
                      <wpg:grpSp>
                        <wpg:cNvPr id="4" name="Group 4"/>
                        <wpg:cNvGrpSpPr>
                          <a:grpSpLocks/>
                        </wpg:cNvGrpSpPr>
                        <wpg:grpSpPr bwMode="auto">
                          <a:xfrm>
                            <a:off x="0" y="0"/>
                            <a:ext cx="29527" cy="29044"/>
                            <a:chOff x="0" y="0"/>
                            <a:chExt cx="29527" cy="29044"/>
                          </a:xfrm>
                        </wpg:grpSpPr>
                        <pic:pic xmlns:pic="http://schemas.openxmlformats.org/drawingml/2006/picture">
                          <pic:nvPicPr>
                            <pic:cNvPr id="5" name="Picture 56"/>
                            <pic:cNvPicPr>
                              <a:picLocks noChangeAspect="1" noChangeArrowheads="1"/>
                            </pic:cNvPicPr>
                          </pic:nvPicPr>
                          <pic:blipFill>
                            <a:blip r:embed="rId126">
                              <a:extLst>
                                <a:ext uri="{28A0092B-C50C-407E-A947-70E740481C1C}">
                                  <a14:useLocalDpi xmlns:a14="http://schemas.microsoft.com/office/drawing/2010/main" val="0"/>
                                </a:ext>
                              </a:extLst>
                            </a:blip>
                            <a:srcRect t="9962"/>
                            <a:stretch>
                              <a:fillRect/>
                            </a:stretch>
                          </pic:blipFill>
                          <pic:spPr bwMode="auto">
                            <a:xfrm>
                              <a:off x="0" y="3238"/>
                              <a:ext cx="29527" cy="25806"/>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2"/>
                          <wps:cNvSpPr txBox="1">
                            <a:spLocks noChangeArrowheads="1"/>
                          </wps:cNvSpPr>
                          <wps:spPr bwMode="auto">
                            <a:xfrm>
                              <a:off x="2667" y="0"/>
                              <a:ext cx="2857" cy="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9E047" w14:textId="77777777" w:rsidR="009F30CE" w:rsidRPr="00570DA5" w:rsidRDefault="009F30CE" w:rsidP="00167C2C">
                                <w:pPr>
                                  <w:rPr>
                                    <w:sz w:val="32"/>
                                    <w:szCs w:val="32"/>
                                  </w:rPr>
                                </w:pPr>
                                <w:r w:rsidRPr="00570DA5">
                                  <w:rPr>
                                    <w:sz w:val="32"/>
                                    <w:szCs w:val="32"/>
                                  </w:rPr>
                                  <w:t>A</w:t>
                                </w:r>
                              </w:p>
                            </w:txbxContent>
                          </wps:txbx>
                          <wps:bodyPr rot="0" vert="horz" wrap="square" lIns="91440" tIns="45720" rIns="91440" bIns="45720" anchor="t" anchorCtr="0" upright="1">
                            <a:noAutofit/>
                          </wps:bodyPr>
                        </wps:wsp>
                      </wpg:grpSp>
                      <wpg:grpSp>
                        <wpg:cNvPr id="9" name="Group 3"/>
                        <wpg:cNvGrpSpPr>
                          <a:grpSpLocks/>
                        </wpg:cNvGrpSpPr>
                        <wpg:grpSpPr bwMode="auto">
                          <a:xfrm>
                            <a:off x="28384" y="476"/>
                            <a:ext cx="33922" cy="25241"/>
                            <a:chOff x="0" y="0"/>
                            <a:chExt cx="33921" cy="25241"/>
                          </a:xfrm>
                        </wpg:grpSpPr>
                        <pic:pic xmlns:pic="http://schemas.openxmlformats.org/drawingml/2006/picture">
                          <pic:nvPicPr>
                            <pic:cNvPr id="10" name="Picture 58"/>
                            <pic:cNvPicPr>
                              <a:picLocks noChangeAspect="1" noChangeArrowheads="1"/>
                            </pic:cNvPicPr>
                          </pic:nvPicPr>
                          <pic:blipFill>
                            <a:blip r:embed="rId127">
                              <a:extLst>
                                <a:ext uri="{28A0092B-C50C-407E-A947-70E740481C1C}">
                                  <a14:useLocalDpi xmlns:a14="http://schemas.microsoft.com/office/drawing/2010/main" val="0"/>
                                </a:ext>
                              </a:extLst>
                            </a:blip>
                            <a:srcRect t="12389"/>
                            <a:stretch>
                              <a:fillRect/>
                            </a:stretch>
                          </pic:blipFill>
                          <pic:spPr bwMode="auto">
                            <a:xfrm>
                              <a:off x="0" y="2952"/>
                              <a:ext cx="33921" cy="22289"/>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2"/>
                          <wps:cNvSpPr txBox="1">
                            <a:spLocks noChangeArrowheads="1"/>
                          </wps:cNvSpPr>
                          <wps:spPr bwMode="auto">
                            <a:xfrm>
                              <a:off x="2476" y="0"/>
                              <a:ext cx="2858" cy="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41F15" w14:textId="77777777" w:rsidR="009F30CE" w:rsidRPr="00570DA5" w:rsidRDefault="009F30CE" w:rsidP="00167C2C">
                                <w:pPr>
                                  <w:rPr>
                                    <w:sz w:val="32"/>
                                    <w:szCs w:val="32"/>
                                  </w:rPr>
                                </w:pPr>
                                <w:r>
                                  <w:rPr>
                                    <w:sz w:val="32"/>
                                    <w:szCs w:val="32"/>
                                  </w:rPr>
                                  <w:t>B</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F112D6" id="_x0000_s1033" style="position:absolute;left:0;text-align:left;margin-left:0;margin-top:0;width:490.6pt;height:228.7pt;z-index:251648000" coordsize="62306,29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">
                <v:group id="Group 4" o:spid="_x0000_s1034" style="position:absolute;width:29527;height:29044" coordsize="29527,2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Picture 56" o:spid="_x0000_s1035" type="#_x0000_t75" style="position:absolute;top:3238;width:29527;height:25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">
                    <v:imagedata r:id="rId128" o:title="" croptop="6529f"/>
                  </v:shape>
                  <v:shape id="Text Box 2" o:spid="_x0000_s1036" type="#_x0000_t202" style="position:absolute;left:2667;width:285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2059E047" w14:textId="77777777" w:rsidR="009F30CE" w:rsidRPr="00570DA5" w:rsidRDefault="009F30CE" w:rsidP="00167C2C">
                          <w:pPr>
                            <w:rPr>
                              <w:sz w:val="32"/>
                              <w:szCs w:val="32"/>
                            </w:rPr>
                          </w:pPr>
                          <w:r w:rsidRPr="00570DA5">
                            <w:rPr>
                              <w:sz w:val="32"/>
                              <w:szCs w:val="32"/>
                            </w:rPr>
                            <w:t>A</w:t>
                          </w:r>
                        </w:p>
                      </w:txbxContent>
                    </v:textbox>
                  </v:shape>
                </v:group>
                <v:group id="Group 3" o:spid="_x0000_s1037" style="position:absolute;left:28384;top:476;width:33922;height:25241" coordsize="33921,2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Picture 58" o:spid="_x0000_s1038" type="#_x0000_t75" style="position:absolute;top:2952;width:33921;height:22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">
                    <v:imagedata r:id="rId129" o:title="" croptop="8119f"/>
                  </v:shape>
                  <v:shape id="Text Box 2" o:spid="_x0000_s1039" type="#_x0000_t202" style="position:absolute;left:2476;width:285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4AD41F15" w14:textId="77777777" w:rsidR="009F30CE" w:rsidRPr="00570DA5" w:rsidRDefault="009F30CE" w:rsidP="00167C2C">
                          <w:pPr>
                            <w:rPr>
                              <w:sz w:val="32"/>
                              <w:szCs w:val="32"/>
                            </w:rPr>
                          </w:pPr>
                          <w:r>
                            <w:rPr>
                              <w:sz w:val="32"/>
                              <w:szCs w:val="32"/>
                            </w:rPr>
                            <w:t>B</w:t>
                          </w:r>
                        </w:p>
                      </w:txbxContent>
                    </v:textbox>
                  </v:shape>
                </v:group>
                <w10:wrap type="square"/>
              </v:group>
            </w:pict>
          </mc:Fallback>
        </mc:AlternateContent>
      </w:r>
    </w:p>
    <w:p w14:paraId="58399654" w14:textId="77777777" w:rsidR="00167C2C" w:rsidRPr="004635E5" w:rsidRDefault="00167C2C" w:rsidP="006633A8">
      <w:pPr>
        <w:tabs>
          <w:tab w:val="left" w:pos="821"/>
        </w:tabs>
        <w:adjustRightInd w:val="0"/>
        <w:snapToGrid w:val="0"/>
        <w:ind w:right="337"/>
        <w:jc w:val="both"/>
        <w:rPr>
          <w:rFonts w:eastAsia="Calibri"/>
          <w:b/>
          <w:sz w:val="22"/>
          <w:szCs w:val="22"/>
        </w:rPr>
      </w:pPr>
    </w:p>
    <w:p w14:paraId="3448FA0B" w14:textId="77777777" w:rsidR="00167C2C" w:rsidRPr="004635E5" w:rsidRDefault="00167C2C" w:rsidP="006633A8">
      <w:pPr>
        <w:tabs>
          <w:tab w:val="left" w:pos="821"/>
        </w:tabs>
        <w:adjustRightInd w:val="0"/>
        <w:snapToGrid w:val="0"/>
        <w:ind w:right="337"/>
        <w:jc w:val="both"/>
        <w:rPr>
          <w:rFonts w:eastAsia="Calibri"/>
          <w:b/>
          <w:sz w:val="22"/>
          <w:szCs w:val="22"/>
        </w:rPr>
      </w:pPr>
    </w:p>
    <w:p w14:paraId="6EAD568E" w14:textId="77777777" w:rsidR="00167C2C" w:rsidRPr="004635E5" w:rsidRDefault="00167C2C" w:rsidP="006633A8">
      <w:pPr>
        <w:tabs>
          <w:tab w:val="left" w:pos="821"/>
        </w:tabs>
        <w:adjustRightInd w:val="0"/>
        <w:snapToGrid w:val="0"/>
        <w:ind w:right="337"/>
        <w:jc w:val="both"/>
        <w:rPr>
          <w:rFonts w:eastAsia="Calibri"/>
          <w:b/>
          <w:sz w:val="22"/>
          <w:szCs w:val="22"/>
        </w:rPr>
      </w:pPr>
    </w:p>
    <w:p w14:paraId="0ADE6845" w14:textId="77777777" w:rsidR="00167C2C" w:rsidRPr="004635E5" w:rsidRDefault="00167C2C" w:rsidP="006633A8">
      <w:pPr>
        <w:tabs>
          <w:tab w:val="left" w:pos="821"/>
        </w:tabs>
        <w:adjustRightInd w:val="0"/>
        <w:snapToGrid w:val="0"/>
        <w:ind w:right="337"/>
        <w:jc w:val="both"/>
        <w:rPr>
          <w:rFonts w:eastAsia="Calibri"/>
          <w:b/>
          <w:sz w:val="22"/>
          <w:szCs w:val="22"/>
        </w:rPr>
      </w:pPr>
    </w:p>
    <w:p w14:paraId="1152DB16" w14:textId="77777777" w:rsidR="00167C2C" w:rsidRPr="004635E5" w:rsidRDefault="00167C2C" w:rsidP="006633A8">
      <w:pPr>
        <w:tabs>
          <w:tab w:val="left" w:pos="821"/>
        </w:tabs>
        <w:adjustRightInd w:val="0"/>
        <w:snapToGrid w:val="0"/>
        <w:ind w:right="337"/>
        <w:jc w:val="both"/>
        <w:rPr>
          <w:rFonts w:eastAsia="Calibri"/>
          <w:b/>
          <w:sz w:val="22"/>
          <w:szCs w:val="22"/>
        </w:rPr>
      </w:pPr>
    </w:p>
    <w:p w14:paraId="32ABA16D" w14:textId="77777777" w:rsidR="00167C2C" w:rsidRPr="004635E5" w:rsidRDefault="00167C2C" w:rsidP="006633A8">
      <w:pPr>
        <w:tabs>
          <w:tab w:val="left" w:pos="821"/>
        </w:tabs>
        <w:adjustRightInd w:val="0"/>
        <w:snapToGrid w:val="0"/>
        <w:ind w:right="337"/>
        <w:jc w:val="both"/>
        <w:rPr>
          <w:rFonts w:eastAsia="Calibri"/>
          <w:b/>
          <w:sz w:val="22"/>
          <w:szCs w:val="22"/>
        </w:rPr>
      </w:pPr>
    </w:p>
    <w:p w14:paraId="7D5CA28B" w14:textId="77777777" w:rsidR="00167C2C" w:rsidRPr="004635E5" w:rsidRDefault="00167C2C" w:rsidP="006633A8">
      <w:pPr>
        <w:tabs>
          <w:tab w:val="left" w:pos="821"/>
        </w:tabs>
        <w:adjustRightInd w:val="0"/>
        <w:snapToGrid w:val="0"/>
        <w:ind w:right="337"/>
        <w:jc w:val="both"/>
        <w:rPr>
          <w:rFonts w:eastAsia="Calibri"/>
          <w:b/>
          <w:sz w:val="22"/>
          <w:szCs w:val="22"/>
        </w:rPr>
      </w:pPr>
    </w:p>
    <w:p w14:paraId="65D4A76E" w14:textId="77777777" w:rsidR="00167C2C" w:rsidRPr="004635E5" w:rsidRDefault="00167C2C" w:rsidP="006633A8">
      <w:pPr>
        <w:tabs>
          <w:tab w:val="left" w:pos="821"/>
        </w:tabs>
        <w:adjustRightInd w:val="0"/>
        <w:snapToGrid w:val="0"/>
        <w:ind w:right="337"/>
        <w:jc w:val="both"/>
        <w:rPr>
          <w:rFonts w:eastAsia="Calibri"/>
          <w:b/>
          <w:sz w:val="22"/>
          <w:szCs w:val="22"/>
        </w:rPr>
      </w:pPr>
    </w:p>
    <w:p w14:paraId="2A280765" w14:textId="77777777" w:rsidR="00167C2C" w:rsidRPr="004635E5" w:rsidRDefault="005A2897" w:rsidP="006633A8">
      <w:pPr>
        <w:widowControl w:val="0"/>
        <w:autoSpaceDE w:val="0"/>
        <w:autoSpaceDN w:val="0"/>
        <w:adjustRightInd w:val="0"/>
        <w:snapToGrid w:val="0"/>
        <w:ind w:left="100"/>
        <w:rPr>
          <w:sz w:val="22"/>
          <w:szCs w:val="22"/>
        </w:rPr>
      </w:pPr>
      <w:r w:rsidRPr="004635E5">
        <w:rPr>
          <w:noProof/>
          <w:sz w:val="22"/>
          <w:szCs w:val="22"/>
          <w:lang w:eastAsia="zh-CN" w:bidi="mn-Mong-CN"/>
        </w:rPr>
        <w:drawing>
          <wp:inline distT="0" distB="0" distL="0" distR="0" wp14:anchorId="4532BA75" wp14:editId="4628007B">
            <wp:extent cx="5269528" cy="3248215"/>
            <wp:effectExtent l="0" t="0" r="0" b="0"/>
            <wp:docPr id="28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68" cstate="print"/>
                    <a:stretch>
                      <a:fillRect/>
                    </a:stretch>
                  </pic:blipFill>
                  <pic:spPr>
                    <a:xfrm>
                      <a:off x="0" y="0"/>
                      <a:ext cx="5269528" cy="3248215"/>
                    </a:xfrm>
                    <a:prstGeom prst="rect">
                      <a:avLst/>
                    </a:prstGeom>
                  </pic:spPr>
                </pic:pic>
              </a:graphicData>
            </a:graphic>
          </wp:inline>
        </w:drawing>
      </w:r>
    </w:p>
    <w:p w14:paraId="5CB07EC3" w14:textId="77777777" w:rsidR="00167C2C" w:rsidRPr="004635E5" w:rsidRDefault="00167C2C" w:rsidP="006633A8">
      <w:pPr>
        <w:widowControl w:val="0"/>
        <w:autoSpaceDE w:val="0"/>
        <w:autoSpaceDN w:val="0"/>
        <w:adjustRightInd w:val="0"/>
        <w:snapToGrid w:val="0"/>
        <w:jc w:val="both"/>
        <w:rPr>
          <w:sz w:val="22"/>
          <w:szCs w:val="22"/>
        </w:rPr>
      </w:pPr>
    </w:p>
    <w:p w14:paraId="79FBED35" w14:textId="77777777" w:rsidR="00167C2C" w:rsidRPr="004635E5" w:rsidRDefault="002740AE" w:rsidP="006633A8">
      <w:pPr>
        <w:adjustRightInd w:val="0"/>
        <w:snapToGrid w:val="0"/>
        <w:ind w:left="100" w:right="427"/>
        <w:jc w:val="both"/>
        <w:rPr>
          <w:rFonts w:eastAsia="Calibri"/>
          <w:sz w:val="22"/>
          <w:szCs w:val="22"/>
        </w:rPr>
      </w:pPr>
      <w:bookmarkStart w:id="120" w:name="_bookmark27"/>
      <w:bookmarkEnd w:id="120"/>
      <w:r>
        <w:rPr>
          <w:rFonts w:eastAsia="Calibri"/>
          <w:b/>
          <w:sz w:val="22"/>
          <w:szCs w:val="22"/>
        </w:rPr>
        <w:t>Figure SFM-10</w:t>
      </w:r>
      <w:r w:rsidR="00167C2C" w:rsidRPr="004635E5">
        <w:rPr>
          <w:rFonts w:eastAsia="Calibri"/>
          <w:b/>
          <w:sz w:val="22"/>
          <w:szCs w:val="22"/>
        </w:rPr>
        <w:t xml:space="preserve">. </w:t>
      </w:r>
      <w:r w:rsidR="00167C2C" w:rsidRPr="004635E5">
        <w:rPr>
          <w:rFonts w:eastAsia="Calibri"/>
          <w:sz w:val="22"/>
          <w:szCs w:val="22"/>
        </w:rPr>
        <w:t>Comparison of future projected North Pacific shortfin mako (</w:t>
      </w:r>
      <w:r w:rsidR="00167C2C" w:rsidRPr="004635E5">
        <w:rPr>
          <w:rFonts w:eastAsia="Calibri"/>
          <w:i/>
          <w:sz w:val="22"/>
          <w:szCs w:val="22"/>
        </w:rPr>
        <w:t>Isurus oxyrinchus</w:t>
      </w:r>
      <w:r w:rsidR="00167C2C" w:rsidRPr="004635E5">
        <w:rPr>
          <w:rFonts w:eastAsia="Calibri"/>
          <w:sz w:val="22"/>
          <w:szCs w:val="22"/>
        </w:rPr>
        <w:t xml:space="preserve">) spawning abundance under different F harvest policies (Constant F </w:t>
      </w:r>
      <w:r w:rsidR="00167C2C" w:rsidRPr="004635E5">
        <w:rPr>
          <w:rFonts w:eastAsia="Calibri"/>
          <w:position w:val="-2"/>
          <w:sz w:val="22"/>
          <w:szCs w:val="22"/>
        </w:rPr>
        <w:t>2013-2015</w:t>
      </w:r>
      <w:r w:rsidR="00167C2C" w:rsidRPr="004635E5">
        <w:rPr>
          <w:rFonts w:eastAsia="Calibri"/>
          <w:sz w:val="22"/>
          <w:szCs w:val="22"/>
        </w:rPr>
        <w:t>, +20%, -20%) using the base case model. Constant F was based on the average from 2013-2015.</w:t>
      </w:r>
    </w:p>
    <w:p w14:paraId="50C7F972" w14:textId="77777777" w:rsidR="00A61B2B" w:rsidRPr="004635E5" w:rsidRDefault="00A61B2B" w:rsidP="006633A8">
      <w:pPr>
        <w:adjustRightInd w:val="0"/>
        <w:snapToGrid w:val="0"/>
        <w:ind w:left="100" w:right="427"/>
        <w:jc w:val="both"/>
        <w:rPr>
          <w:rFonts w:eastAsia="Calibri"/>
          <w:b/>
          <w:sz w:val="22"/>
          <w:szCs w:val="22"/>
        </w:rPr>
      </w:pPr>
    </w:p>
    <w:p w14:paraId="22B97989" w14:textId="77777777" w:rsidR="00810E61" w:rsidRPr="004635E5" w:rsidRDefault="008C108B" w:rsidP="00580EA4">
      <w:pPr>
        <w:pStyle w:val="SC3"/>
        <w:numPr>
          <w:ilvl w:val="2"/>
          <w:numId w:val="161"/>
        </w:numPr>
        <w:spacing w:after="0"/>
        <w:rPr>
          <w:rFonts w:eastAsia="Batang"/>
          <w:bCs/>
          <w:lang w:eastAsia="ko-KR"/>
        </w:rPr>
      </w:pPr>
      <w:r w:rsidRPr="004635E5">
        <w:rPr>
          <w:rFonts w:eastAsiaTheme="minorEastAsia"/>
          <w:lang w:eastAsia="ko-KR"/>
        </w:rPr>
        <w:t xml:space="preserve">Pacific </w:t>
      </w:r>
      <w:r w:rsidRPr="004635E5">
        <w:t>bigeye thresher shark</w:t>
      </w:r>
      <w:r w:rsidRPr="004635E5">
        <w:rPr>
          <w:rFonts w:eastAsiaTheme="minorEastAsia"/>
          <w:lang w:eastAsia="ko-KR"/>
        </w:rPr>
        <w:t xml:space="preserve"> (</w:t>
      </w:r>
      <w:r w:rsidRPr="004635E5">
        <w:rPr>
          <w:i/>
          <w:iCs/>
        </w:rPr>
        <w:t>Alopias superciliosus</w:t>
      </w:r>
      <w:r w:rsidRPr="004635E5">
        <w:rPr>
          <w:rFonts w:eastAsiaTheme="minorEastAsia"/>
          <w:iCs/>
          <w:lang w:eastAsia="ko-KR"/>
        </w:rPr>
        <w:t>)</w:t>
      </w:r>
    </w:p>
    <w:p w14:paraId="40783E8F" w14:textId="77777777" w:rsidR="00A61B2B" w:rsidRPr="004635E5" w:rsidRDefault="00A61B2B" w:rsidP="006633A8">
      <w:pPr>
        <w:pStyle w:val="SC3"/>
        <w:numPr>
          <w:ilvl w:val="0"/>
          <w:numId w:val="0"/>
        </w:numPr>
        <w:spacing w:after="0"/>
        <w:ind w:left="1440"/>
        <w:rPr>
          <w:rFonts w:eastAsia="Batang"/>
          <w:bCs/>
          <w:lang w:eastAsia="ko-KR"/>
        </w:rPr>
      </w:pPr>
    </w:p>
    <w:p w14:paraId="6004B9DB" w14:textId="77777777" w:rsidR="000B636C" w:rsidRPr="004635E5" w:rsidRDefault="003734A2" w:rsidP="00580EA4">
      <w:pPr>
        <w:pStyle w:val="SC3"/>
        <w:numPr>
          <w:ilvl w:val="3"/>
          <w:numId w:val="161"/>
        </w:numPr>
        <w:spacing w:after="0"/>
        <w:rPr>
          <w:rFonts w:eastAsia="Batang"/>
          <w:bCs/>
          <w:lang w:eastAsia="ko-KR"/>
        </w:rPr>
      </w:pPr>
      <w:r w:rsidRPr="004635E5">
        <w:rPr>
          <w:rFonts w:eastAsia="Batang"/>
          <w:bCs/>
          <w:lang w:eastAsia="ko-KR"/>
        </w:rPr>
        <w:t>R</w:t>
      </w:r>
      <w:r w:rsidR="000B636C" w:rsidRPr="004635E5">
        <w:rPr>
          <w:rFonts w:eastAsia="Batang"/>
          <w:bCs/>
          <w:lang w:eastAsia="ko-KR"/>
        </w:rPr>
        <w:t>esearch and information</w:t>
      </w:r>
    </w:p>
    <w:p w14:paraId="305AF275" w14:textId="77777777" w:rsidR="00A61B2B" w:rsidRPr="004635E5" w:rsidRDefault="00A61B2B" w:rsidP="006633A8">
      <w:pPr>
        <w:pStyle w:val="SC3"/>
        <w:numPr>
          <w:ilvl w:val="0"/>
          <w:numId w:val="0"/>
        </w:numPr>
        <w:spacing w:after="0"/>
        <w:ind w:left="1800"/>
        <w:rPr>
          <w:rFonts w:eastAsia="Batang"/>
          <w:bCs/>
          <w:lang w:eastAsia="ko-KR"/>
        </w:rPr>
      </w:pPr>
    </w:p>
    <w:p w14:paraId="2C143B8F" w14:textId="77777777" w:rsidR="008C108B" w:rsidRPr="004635E5" w:rsidRDefault="003734A2"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A Pacific-wide sustainability risk assessment of bigeye thresher shark was conducted in 2017</w:t>
      </w:r>
      <w:r w:rsidR="00B16FD5" w:rsidRPr="004635E5">
        <w:rPr>
          <w:rFonts w:eastAsia="Batang"/>
          <w:sz w:val="22"/>
          <w:szCs w:val="22"/>
          <w:lang w:val="en-NZ" w:eastAsia="ko-KR"/>
        </w:rPr>
        <w:t>.</w:t>
      </w:r>
      <w:r w:rsidR="0068521D" w:rsidRPr="004635E5">
        <w:rPr>
          <w:rFonts w:eastAsia="Batang"/>
          <w:sz w:val="22"/>
          <w:szCs w:val="22"/>
          <w:lang w:val="en-NZ" w:eastAsia="ko-KR"/>
        </w:rPr>
        <w:t xml:space="preserve"> </w:t>
      </w:r>
      <w:r w:rsidR="00B16FD5" w:rsidRPr="004635E5">
        <w:rPr>
          <w:rFonts w:eastAsia="Batang"/>
          <w:sz w:val="22"/>
          <w:szCs w:val="22"/>
          <w:lang w:val="en-NZ" w:eastAsia="ko-KR"/>
        </w:rPr>
        <w:t xml:space="preserve">SC14 received no new information. </w:t>
      </w:r>
    </w:p>
    <w:p w14:paraId="1F3DBA9D" w14:textId="77777777" w:rsidR="00A61B2B" w:rsidRPr="004635E5" w:rsidRDefault="00A61B2B" w:rsidP="006633A8">
      <w:pPr>
        <w:autoSpaceDE w:val="0"/>
        <w:autoSpaceDN w:val="0"/>
        <w:adjustRightInd w:val="0"/>
        <w:snapToGrid w:val="0"/>
        <w:jc w:val="both"/>
        <w:rPr>
          <w:rFonts w:eastAsia="Batang"/>
          <w:sz w:val="22"/>
          <w:szCs w:val="22"/>
          <w:lang w:val="en-NZ" w:eastAsia="ko-KR"/>
        </w:rPr>
      </w:pPr>
    </w:p>
    <w:p w14:paraId="1E2CCE76" w14:textId="77777777" w:rsidR="00D6480D" w:rsidRPr="004635E5" w:rsidRDefault="00D6480D" w:rsidP="00580EA4">
      <w:pPr>
        <w:pStyle w:val="SC3"/>
        <w:numPr>
          <w:ilvl w:val="3"/>
          <w:numId w:val="161"/>
        </w:numPr>
        <w:spacing w:after="0"/>
        <w:rPr>
          <w:rFonts w:eastAsiaTheme="minorEastAsia"/>
          <w:bCs/>
          <w:lang w:eastAsia="ko-KR"/>
        </w:rPr>
      </w:pPr>
      <w:r w:rsidRPr="004635E5">
        <w:rPr>
          <w:rFonts w:eastAsiaTheme="minorEastAsia"/>
          <w:bCs/>
          <w:lang w:eastAsia="ko-KR"/>
        </w:rPr>
        <w:t>Provision of scientific information</w:t>
      </w:r>
    </w:p>
    <w:p w14:paraId="37F94BE6" w14:textId="77777777" w:rsidR="00A61B2B" w:rsidRPr="004635E5" w:rsidRDefault="00A61B2B" w:rsidP="006633A8">
      <w:pPr>
        <w:pStyle w:val="SC3"/>
        <w:numPr>
          <w:ilvl w:val="0"/>
          <w:numId w:val="0"/>
        </w:numPr>
        <w:spacing w:after="0"/>
        <w:ind w:left="1800"/>
        <w:rPr>
          <w:rFonts w:eastAsiaTheme="minorEastAsia"/>
          <w:bCs/>
          <w:lang w:eastAsia="ko-KR"/>
        </w:rPr>
      </w:pPr>
    </w:p>
    <w:p w14:paraId="71E197E2" w14:textId="77777777" w:rsidR="00D6480D" w:rsidRPr="004635E5" w:rsidRDefault="00810E61" w:rsidP="00132438">
      <w:pPr>
        <w:pStyle w:val="SCa"/>
        <w:tabs>
          <w:tab w:val="clear" w:pos="1080"/>
        </w:tabs>
        <w:spacing w:after="0"/>
        <w:ind w:left="0"/>
        <w:rPr>
          <w:lang w:val="en-NZ"/>
        </w:rPr>
      </w:pPr>
      <w:r w:rsidRPr="004635E5">
        <w:rPr>
          <w:lang w:val="en-NZ"/>
        </w:rPr>
        <w:t>a.</w:t>
      </w:r>
      <w:r w:rsidRPr="004635E5">
        <w:rPr>
          <w:lang w:val="en-NZ"/>
        </w:rPr>
        <w:tab/>
      </w:r>
      <w:r w:rsidR="00D6480D" w:rsidRPr="004635E5">
        <w:rPr>
          <w:lang w:val="en-NZ"/>
        </w:rPr>
        <w:t xml:space="preserve">Status and trends </w:t>
      </w:r>
    </w:p>
    <w:p w14:paraId="768CB76D" w14:textId="77777777" w:rsidR="00A61B2B" w:rsidRPr="004635E5" w:rsidRDefault="00A61B2B" w:rsidP="006633A8">
      <w:pPr>
        <w:pStyle w:val="SCa"/>
        <w:spacing w:after="0"/>
        <w:rPr>
          <w:lang w:val="en-NZ"/>
        </w:rPr>
      </w:pPr>
    </w:p>
    <w:p w14:paraId="0F65DA65" w14:textId="77777777" w:rsidR="00B16FD5" w:rsidRDefault="00B16FD5" w:rsidP="00580EA4">
      <w:pPr>
        <w:numPr>
          <w:ilvl w:val="0"/>
          <w:numId w:val="18"/>
        </w:numPr>
        <w:autoSpaceDE w:val="0"/>
        <w:autoSpaceDN w:val="0"/>
        <w:adjustRightInd w:val="0"/>
        <w:snapToGrid w:val="0"/>
        <w:ind w:left="0" w:firstLine="0"/>
        <w:jc w:val="both"/>
        <w:rPr>
          <w:rFonts w:eastAsia="Batang"/>
          <w:b/>
          <w:sz w:val="22"/>
          <w:szCs w:val="22"/>
          <w:lang w:val="en-NZ" w:eastAsia="ko-KR"/>
        </w:rPr>
      </w:pPr>
      <w:r w:rsidRPr="004635E5">
        <w:rPr>
          <w:rFonts w:eastAsia="Batang"/>
          <w:b/>
          <w:sz w:val="22"/>
          <w:szCs w:val="22"/>
          <w:lang w:val="en-NZ" w:eastAsia="ko-KR"/>
        </w:rPr>
        <w:t xml:space="preserve">SC14 noted that no stock assessments were conducted for Pacific bigeye thresher shark in 2018. Therefore, the stock status descriptions from SC13 are still current for Pacific bigeye thresher shark respectively. Updated information on catches was not compiled for and reviewed by SC14. </w:t>
      </w:r>
    </w:p>
    <w:p w14:paraId="517809AA" w14:textId="77777777" w:rsidR="00132438" w:rsidRPr="004635E5" w:rsidRDefault="00132438" w:rsidP="00132438">
      <w:pPr>
        <w:autoSpaceDE w:val="0"/>
        <w:autoSpaceDN w:val="0"/>
        <w:adjustRightInd w:val="0"/>
        <w:snapToGrid w:val="0"/>
        <w:jc w:val="both"/>
        <w:rPr>
          <w:rFonts w:eastAsia="Batang"/>
          <w:b/>
          <w:sz w:val="22"/>
          <w:szCs w:val="22"/>
          <w:lang w:val="en-NZ" w:eastAsia="ko-KR"/>
        </w:rPr>
      </w:pPr>
    </w:p>
    <w:p w14:paraId="0517A8B6" w14:textId="77777777" w:rsidR="00D6480D" w:rsidRPr="004635E5" w:rsidRDefault="00810E61" w:rsidP="00132438">
      <w:pPr>
        <w:pStyle w:val="SCa"/>
        <w:tabs>
          <w:tab w:val="clear" w:pos="1080"/>
        </w:tabs>
        <w:spacing w:after="0"/>
        <w:ind w:left="0"/>
        <w:rPr>
          <w:lang w:val="en-NZ"/>
        </w:rPr>
      </w:pPr>
      <w:r w:rsidRPr="004635E5">
        <w:rPr>
          <w:lang w:val="en-NZ"/>
        </w:rPr>
        <w:t>b.</w:t>
      </w:r>
      <w:r w:rsidRPr="004635E5">
        <w:rPr>
          <w:lang w:val="en-NZ"/>
        </w:rPr>
        <w:tab/>
      </w:r>
      <w:r w:rsidR="00D6480D" w:rsidRPr="004635E5">
        <w:rPr>
          <w:lang w:val="en-NZ"/>
        </w:rPr>
        <w:t xml:space="preserve">Management advice and implications </w:t>
      </w:r>
    </w:p>
    <w:p w14:paraId="77AFFB72" w14:textId="77777777" w:rsidR="00A61B2B" w:rsidRPr="004635E5" w:rsidRDefault="00A61B2B" w:rsidP="006633A8">
      <w:pPr>
        <w:pStyle w:val="SCa"/>
        <w:spacing w:after="0"/>
        <w:rPr>
          <w:lang w:val="en-NZ"/>
        </w:rPr>
      </w:pPr>
    </w:p>
    <w:p w14:paraId="354E407F" w14:textId="77777777" w:rsidR="00B16FD5" w:rsidRPr="004635E5" w:rsidRDefault="00B16FD5" w:rsidP="00580EA4">
      <w:pPr>
        <w:numPr>
          <w:ilvl w:val="0"/>
          <w:numId w:val="18"/>
        </w:numPr>
        <w:autoSpaceDE w:val="0"/>
        <w:autoSpaceDN w:val="0"/>
        <w:adjustRightInd w:val="0"/>
        <w:snapToGrid w:val="0"/>
        <w:ind w:left="0" w:firstLine="0"/>
        <w:jc w:val="both"/>
        <w:rPr>
          <w:rStyle w:val="Hyperlink"/>
          <w:b/>
          <w:bCs/>
          <w:color w:val="auto"/>
          <w:sz w:val="22"/>
          <w:szCs w:val="22"/>
          <w:u w:val="none"/>
          <w:lang w:val="en-AU"/>
        </w:rPr>
      </w:pPr>
      <w:r w:rsidRPr="004635E5">
        <w:rPr>
          <w:b/>
          <w:bCs/>
          <w:sz w:val="22"/>
          <w:szCs w:val="22"/>
          <w:lang w:val="en-AU"/>
        </w:rPr>
        <w:t xml:space="preserve">SC14 noted that no management advice has been provided since SC13 for </w:t>
      </w:r>
      <w:r w:rsidRPr="004635E5">
        <w:rPr>
          <w:b/>
          <w:sz w:val="22"/>
          <w:szCs w:val="22"/>
          <w:lang w:val="en-AU"/>
        </w:rPr>
        <w:t>Pacific bigeye thresher</w:t>
      </w:r>
      <w:r w:rsidRPr="004635E5">
        <w:rPr>
          <w:b/>
          <w:bCs/>
          <w:sz w:val="22"/>
          <w:szCs w:val="22"/>
          <w:lang w:val="en-AU"/>
        </w:rPr>
        <w:t xml:space="preserve"> shark. Therefore, previous advice should be maintained, pending a new assessment or other new information. </w:t>
      </w:r>
      <w:r w:rsidRPr="004635E5">
        <w:rPr>
          <w:b/>
          <w:sz w:val="22"/>
          <w:szCs w:val="22"/>
        </w:rPr>
        <w:t xml:space="preserve">For further information on the management advice and implications from SC13, please see </w:t>
      </w:r>
      <w:hyperlink r:id="rId130" w:history="1">
        <w:r w:rsidR="004A07CA" w:rsidRPr="004635E5">
          <w:rPr>
            <w:rStyle w:val="Hyperlink"/>
            <w:b/>
            <w:sz w:val="22"/>
            <w:szCs w:val="22"/>
          </w:rPr>
          <w:t>https://www.wcpfc.int/node/29904</w:t>
        </w:r>
      </w:hyperlink>
      <w:r w:rsidRPr="004635E5">
        <w:rPr>
          <w:rStyle w:val="Hyperlink"/>
          <w:b/>
          <w:sz w:val="22"/>
          <w:szCs w:val="22"/>
        </w:rPr>
        <w:t xml:space="preserve"> </w:t>
      </w:r>
    </w:p>
    <w:p w14:paraId="160D1A30" w14:textId="77777777" w:rsidR="00A61B2B" w:rsidRPr="004635E5" w:rsidRDefault="00A61B2B" w:rsidP="006633A8">
      <w:pPr>
        <w:autoSpaceDE w:val="0"/>
        <w:autoSpaceDN w:val="0"/>
        <w:adjustRightInd w:val="0"/>
        <w:snapToGrid w:val="0"/>
        <w:jc w:val="both"/>
        <w:rPr>
          <w:b/>
          <w:bCs/>
          <w:sz w:val="22"/>
          <w:szCs w:val="22"/>
          <w:lang w:val="en-AU"/>
        </w:rPr>
      </w:pPr>
    </w:p>
    <w:p w14:paraId="0FB252F2" w14:textId="77777777" w:rsidR="00810E61" w:rsidRPr="004635E5" w:rsidRDefault="003B0747" w:rsidP="00580EA4">
      <w:pPr>
        <w:pStyle w:val="SC3"/>
        <w:numPr>
          <w:ilvl w:val="2"/>
          <w:numId w:val="161"/>
        </w:numPr>
        <w:spacing w:after="0"/>
        <w:rPr>
          <w:rFonts w:eastAsia="Batang"/>
          <w:bCs/>
          <w:lang w:eastAsia="ko-KR"/>
        </w:rPr>
      </w:pPr>
      <w:r w:rsidRPr="004635E5">
        <w:rPr>
          <w:rFonts w:eastAsiaTheme="minorEastAsia"/>
          <w:lang w:eastAsia="ko-KR"/>
        </w:rPr>
        <w:t>P</w:t>
      </w:r>
      <w:r w:rsidRPr="004635E5">
        <w:t>orbeagle shark</w:t>
      </w:r>
      <w:r w:rsidRPr="004635E5">
        <w:rPr>
          <w:rFonts w:eastAsiaTheme="minorEastAsia"/>
          <w:lang w:eastAsia="ko-KR"/>
        </w:rPr>
        <w:t xml:space="preserve"> (</w:t>
      </w:r>
      <w:r w:rsidRPr="004635E5">
        <w:rPr>
          <w:i/>
          <w:iCs/>
          <w:color w:val="222222"/>
          <w:shd w:val="clear" w:color="auto" w:fill="FFFFFF"/>
        </w:rPr>
        <w:t>Lamna nasus</w:t>
      </w:r>
      <w:r w:rsidRPr="004635E5">
        <w:rPr>
          <w:rFonts w:eastAsiaTheme="minorEastAsia"/>
          <w:iCs/>
          <w:lang w:eastAsia="ko-KR"/>
        </w:rPr>
        <w:t>)</w:t>
      </w:r>
    </w:p>
    <w:p w14:paraId="4724C789" w14:textId="77777777" w:rsidR="00A61B2B" w:rsidRPr="004635E5" w:rsidRDefault="00A61B2B" w:rsidP="006633A8">
      <w:pPr>
        <w:pStyle w:val="SC3"/>
        <w:numPr>
          <w:ilvl w:val="0"/>
          <w:numId w:val="0"/>
        </w:numPr>
        <w:spacing w:after="0"/>
        <w:ind w:left="1440"/>
        <w:rPr>
          <w:rFonts w:eastAsia="Batang"/>
          <w:bCs/>
          <w:lang w:eastAsia="ko-KR"/>
        </w:rPr>
      </w:pPr>
    </w:p>
    <w:p w14:paraId="6907A065" w14:textId="77777777" w:rsidR="003B0747" w:rsidRPr="004635E5" w:rsidRDefault="003734A2" w:rsidP="00580EA4">
      <w:pPr>
        <w:pStyle w:val="SC3"/>
        <w:numPr>
          <w:ilvl w:val="3"/>
          <w:numId w:val="161"/>
        </w:numPr>
        <w:spacing w:after="0"/>
        <w:rPr>
          <w:rFonts w:eastAsia="Batang"/>
          <w:bCs/>
          <w:lang w:eastAsia="ko-KR"/>
        </w:rPr>
      </w:pPr>
      <w:r w:rsidRPr="004635E5">
        <w:rPr>
          <w:rFonts w:eastAsia="Batang"/>
          <w:bCs/>
          <w:lang w:eastAsia="ko-KR"/>
        </w:rPr>
        <w:t>R</w:t>
      </w:r>
      <w:r w:rsidR="003B0747" w:rsidRPr="004635E5">
        <w:rPr>
          <w:rFonts w:eastAsia="Batang"/>
          <w:bCs/>
          <w:lang w:eastAsia="ko-KR"/>
        </w:rPr>
        <w:t>esearch and information</w:t>
      </w:r>
    </w:p>
    <w:p w14:paraId="64A1236C" w14:textId="77777777" w:rsidR="00A61B2B" w:rsidRPr="004635E5" w:rsidRDefault="00A61B2B" w:rsidP="006633A8">
      <w:pPr>
        <w:pStyle w:val="SC3"/>
        <w:numPr>
          <w:ilvl w:val="0"/>
          <w:numId w:val="0"/>
        </w:numPr>
        <w:spacing w:after="0"/>
        <w:ind w:left="1800"/>
        <w:rPr>
          <w:rFonts w:eastAsia="Batang"/>
          <w:bCs/>
          <w:lang w:eastAsia="ko-KR"/>
        </w:rPr>
      </w:pPr>
    </w:p>
    <w:p w14:paraId="14D8D32F" w14:textId="77777777" w:rsidR="003B0747" w:rsidRPr="004635E5" w:rsidRDefault="00B16FD5"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A </w:t>
      </w:r>
      <w:r w:rsidR="00E35E8D" w:rsidRPr="004635E5">
        <w:rPr>
          <w:rFonts w:eastAsia="Batang"/>
          <w:sz w:val="22"/>
          <w:szCs w:val="22"/>
          <w:lang w:val="en-NZ" w:eastAsia="ko-KR"/>
        </w:rPr>
        <w:t>So</w:t>
      </w:r>
      <w:r w:rsidR="00B76C74">
        <w:rPr>
          <w:rFonts w:eastAsia="Batang" w:hint="eastAsia"/>
          <w:sz w:val="22"/>
          <w:szCs w:val="22"/>
          <w:lang w:val="en-NZ" w:eastAsia="ko-KR"/>
        </w:rPr>
        <w:t>u</w:t>
      </w:r>
      <w:r w:rsidR="00E35E8D" w:rsidRPr="004635E5">
        <w:rPr>
          <w:rFonts w:eastAsia="Batang"/>
          <w:sz w:val="22"/>
          <w:szCs w:val="22"/>
          <w:lang w:val="en-NZ" w:eastAsia="ko-KR"/>
        </w:rPr>
        <w:t>thern</w:t>
      </w:r>
      <w:r w:rsidR="008E7272" w:rsidRPr="004635E5">
        <w:rPr>
          <w:rFonts w:eastAsia="Batang"/>
          <w:sz w:val="22"/>
          <w:szCs w:val="22"/>
          <w:lang w:val="en-NZ" w:eastAsia="ko-KR"/>
        </w:rPr>
        <w:t xml:space="preserve"> Hemisphere </w:t>
      </w:r>
      <w:r w:rsidRPr="004635E5">
        <w:rPr>
          <w:rFonts w:eastAsia="Batang"/>
          <w:sz w:val="22"/>
          <w:szCs w:val="22"/>
          <w:lang w:val="en-NZ" w:eastAsia="ko-KR"/>
        </w:rPr>
        <w:t xml:space="preserve">stock status assessment </w:t>
      </w:r>
      <w:r w:rsidR="008E7272" w:rsidRPr="004635E5">
        <w:rPr>
          <w:rFonts w:eastAsia="Batang"/>
          <w:sz w:val="22"/>
          <w:szCs w:val="22"/>
          <w:lang w:val="en-NZ" w:eastAsia="ko-KR"/>
        </w:rPr>
        <w:t>of porbeagle shark was undertaken in 2017. SC 14 received no new information.</w:t>
      </w:r>
    </w:p>
    <w:p w14:paraId="5D2A6998" w14:textId="77777777" w:rsidR="00A61B2B" w:rsidRPr="004635E5" w:rsidRDefault="00A61B2B" w:rsidP="006633A8">
      <w:pPr>
        <w:autoSpaceDE w:val="0"/>
        <w:autoSpaceDN w:val="0"/>
        <w:adjustRightInd w:val="0"/>
        <w:snapToGrid w:val="0"/>
        <w:jc w:val="both"/>
        <w:rPr>
          <w:rFonts w:eastAsia="Batang"/>
          <w:sz w:val="22"/>
          <w:szCs w:val="22"/>
          <w:lang w:val="en-NZ" w:eastAsia="ko-KR"/>
        </w:rPr>
      </w:pPr>
    </w:p>
    <w:p w14:paraId="3F21DCE9" w14:textId="77777777" w:rsidR="00D6480D" w:rsidRPr="004635E5" w:rsidRDefault="00D6480D" w:rsidP="00580EA4">
      <w:pPr>
        <w:pStyle w:val="SC3"/>
        <w:numPr>
          <w:ilvl w:val="3"/>
          <w:numId w:val="161"/>
        </w:numPr>
        <w:spacing w:after="0"/>
        <w:rPr>
          <w:rFonts w:eastAsiaTheme="minorEastAsia"/>
          <w:bCs/>
          <w:lang w:eastAsia="ko-KR"/>
        </w:rPr>
      </w:pPr>
      <w:r w:rsidRPr="004635E5">
        <w:rPr>
          <w:rFonts w:eastAsiaTheme="minorEastAsia"/>
          <w:bCs/>
          <w:lang w:eastAsia="ko-KR"/>
        </w:rPr>
        <w:t>Provision of scientific information</w:t>
      </w:r>
    </w:p>
    <w:p w14:paraId="1124B7AE" w14:textId="77777777" w:rsidR="00A61B2B" w:rsidRPr="004635E5" w:rsidRDefault="00A61B2B" w:rsidP="006633A8">
      <w:pPr>
        <w:pStyle w:val="SC3"/>
        <w:numPr>
          <w:ilvl w:val="0"/>
          <w:numId w:val="0"/>
        </w:numPr>
        <w:spacing w:after="0"/>
        <w:ind w:left="1800"/>
        <w:rPr>
          <w:rFonts w:eastAsiaTheme="minorEastAsia"/>
          <w:bCs/>
          <w:lang w:eastAsia="ko-KR"/>
        </w:rPr>
      </w:pPr>
    </w:p>
    <w:p w14:paraId="48A74A4E" w14:textId="77777777" w:rsidR="00D6480D" w:rsidRPr="004635E5" w:rsidRDefault="00810E61" w:rsidP="00132438">
      <w:pPr>
        <w:pStyle w:val="SCa"/>
        <w:tabs>
          <w:tab w:val="clear" w:pos="1080"/>
        </w:tabs>
        <w:spacing w:after="0"/>
        <w:ind w:left="0"/>
        <w:rPr>
          <w:lang w:val="en-NZ"/>
        </w:rPr>
      </w:pPr>
      <w:r w:rsidRPr="004635E5">
        <w:rPr>
          <w:lang w:val="en-NZ"/>
        </w:rPr>
        <w:t>a.</w:t>
      </w:r>
      <w:r w:rsidRPr="004635E5">
        <w:rPr>
          <w:lang w:val="en-NZ"/>
        </w:rPr>
        <w:tab/>
      </w:r>
      <w:r w:rsidR="00D6480D" w:rsidRPr="004635E5">
        <w:rPr>
          <w:lang w:val="en-NZ"/>
        </w:rPr>
        <w:t xml:space="preserve">Status and trends </w:t>
      </w:r>
    </w:p>
    <w:p w14:paraId="54DA5FBC" w14:textId="77777777" w:rsidR="00A61B2B" w:rsidRPr="004635E5" w:rsidRDefault="00A61B2B" w:rsidP="006633A8">
      <w:pPr>
        <w:pStyle w:val="SCa"/>
        <w:spacing w:after="0"/>
        <w:rPr>
          <w:lang w:val="en-NZ"/>
        </w:rPr>
      </w:pPr>
    </w:p>
    <w:p w14:paraId="5897A17D" w14:textId="77777777" w:rsidR="00FA2B00" w:rsidRPr="004635E5" w:rsidRDefault="00FA2B00"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noted that no stock assessments were conducted for southern porbeagle shark in 2018. Therefore, the stock status descriptions from SC13 are still current for southern porbeagle shark. Updated information on catches was not compiled for and reviewed by</w:t>
      </w:r>
      <w:r w:rsidRPr="004635E5">
        <w:rPr>
          <w:b/>
          <w:spacing w:val="-19"/>
          <w:sz w:val="22"/>
          <w:szCs w:val="22"/>
        </w:rPr>
        <w:t xml:space="preserve"> </w:t>
      </w:r>
      <w:r w:rsidRPr="004635E5">
        <w:rPr>
          <w:b/>
          <w:sz w:val="22"/>
          <w:szCs w:val="22"/>
        </w:rPr>
        <w:t xml:space="preserve">SC14. </w:t>
      </w:r>
    </w:p>
    <w:p w14:paraId="4C1B0B5B" w14:textId="77777777" w:rsidR="00A61B2B" w:rsidRPr="004635E5" w:rsidRDefault="00A61B2B" w:rsidP="006633A8">
      <w:pPr>
        <w:autoSpaceDE w:val="0"/>
        <w:autoSpaceDN w:val="0"/>
        <w:adjustRightInd w:val="0"/>
        <w:snapToGrid w:val="0"/>
        <w:jc w:val="both"/>
        <w:rPr>
          <w:b/>
          <w:sz w:val="22"/>
          <w:szCs w:val="22"/>
        </w:rPr>
      </w:pPr>
    </w:p>
    <w:p w14:paraId="448F7ED2" w14:textId="77777777" w:rsidR="00D6480D" w:rsidRPr="004635E5" w:rsidRDefault="00810E61" w:rsidP="00132438">
      <w:pPr>
        <w:pStyle w:val="SCa"/>
        <w:tabs>
          <w:tab w:val="clear" w:pos="1080"/>
        </w:tabs>
        <w:spacing w:after="0"/>
        <w:ind w:left="0"/>
        <w:rPr>
          <w:lang w:val="en-NZ"/>
        </w:rPr>
      </w:pPr>
      <w:r w:rsidRPr="004635E5">
        <w:rPr>
          <w:lang w:val="en-NZ"/>
        </w:rPr>
        <w:t>b.</w:t>
      </w:r>
      <w:r w:rsidRPr="004635E5">
        <w:rPr>
          <w:lang w:val="en-NZ"/>
        </w:rPr>
        <w:tab/>
      </w:r>
      <w:r w:rsidR="00D6480D" w:rsidRPr="004635E5">
        <w:rPr>
          <w:lang w:val="en-NZ"/>
        </w:rPr>
        <w:t xml:space="preserve">Management advice and implications </w:t>
      </w:r>
    </w:p>
    <w:p w14:paraId="5001132F" w14:textId="77777777" w:rsidR="00A61B2B" w:rsidRPr="004635E5" w:rsidRDefault="00A61B2B" w:rsidP="006633A8">
      <w:pPr>
        <w:pStyle w:val="SCa"/>
        <w:spacing w:after="0"/>
        <w:rPr>
          <w:lang w:val="en-NZ"/>
        </w:rPr>
      </w:pPr>
    </w:p>
    <w:p w14:paraId="5449C432" w14:textId="77777777" w:rsidR="00FA2B00" w:rsidRPr="004635E5" w:rsidRDefault="00FA2B00" w:rsidP="00580EA4">
      <w:pPr>
        <w:numPr>
          <w:ilvl w:val="0"/>
          <w:numId w:val="18"/>
        </w:numPr>
        <w:autoSpaceDE w:val="0"/>
        <w:autoSpaceDN w:val="0"/>
        <w:adjustRightInd w:val="0"/>
        <w:snapToGrid w:val="0"/>
        <w:ind w:left="0" w:firstLine="0"/>
        <w:jc w:val="both"/>
        <w:rPr>
          <w:rStyle w:val="Hyperlink"/>
          <w:b/>
          <w:color w:val="auto"/>
          <w:sz w:val="22"/>
          <w:szCs w:val="22"/>
          <w:u w:val="none"/>
        </w:rPr>
      </w:pPr>
      <w:r w:rsidRPr="004635E5">
        <w:rPr>
          <w:b/>
          <w:sz w:val="22"/>
          <w:szCs w:val="22"/>
        </w:rPr>
        <w:t xml:space="preserve">SC14 noted that no management advice has been provided since SC13 for southern porbeagle shark. Therefore, previous advice should be maintained, pending a new assessment or other new information. </w:t>
      </w:r>
      <w:r w:rsidRPr="004635E5">
        <w:rPr>
          <w:b/>
          <w:bCs/>
          <w:sz w:val="22"/>
          <w:szCs w:val="22"/>
          <w:lang w:val="en-AU"/>
        </w:rPr>
        <w:t>For further information on the management advice and implications from SC13, please see</w:t>
      </w:r>
      <w:r w:rsidRPr="004635E5">
        <w:rPr>
          <w:b/>
          <w:bCs/>
          <w:sz w:val="22"/>
          <w:szCs w:val="22"/>
          <w:lang w:val="en-AU" w:eastAsia="ko-KR"/>
        </w:rPr>
        <w:t xml:space="preserve"> </w:t>
      </w:r>
      <w:hyperlink r:id="rId131" w:history="1">
        <w:r w:rsidR="004A07CA" w:rsidRPr="004635E5">
          <w:rPr>
            <w:rStyle w:val="Hyperlink"/>
            <w:b/>
            <w:sz w:val="22"/>
            <w:szCs w:val="22"/>
          </w:rPr>
          <w:t>https://www.wcpfc.int/node/29904</w:t>
        </w:r>
      </w:hyperlink>
      <w:r w:rsidRPr="004635E5">
        <w:rPr>
          <w:rStyle w:val="Hyperlink"/>
          <w:b/>
          <w:bCs/>
          <w:sz w:val="22"/>
          <w:szCs w:val="22"/>
          <w:highlight w:val="yellow"/>
          <w:lang w:val="en-AU" w:eastAsia="ko-KR"/>
        </w:rPr>
        <w:t xml:space="preserve"> </w:t>
      </w:r>
    </w:p>
    <w:p w14:paraId="2CF88F00" w14:textId="77777777" w:rsidR="00A61B2B" w:rsidRPr="004635E5" w:rsidRDefault="00A61B2B" w:rsidP="006633A8">
      <w:pPr>
        <w:autoSpaceDE w:val="0"/>
        <w:autoSpaceDN w:val="0"/>
        <w:adjustRightInd w:val="0"/>
        <w:snapToGrid w:val="0"/>
        <w:jc w:val="both"/>
        <w:rPr>
          <w:b/>
          <w:sz w:val="22"/>
          <w:szCs w:val="22"/>
        </w:rPr>
      </w:pPr>
    </w:p>
    <w:p w14:paraId="5692CEDC" w14:textId="77777777" w:rsidR="00810E61" w:rsidRPr="004635E5" w:rsidRDefault="00810E61" w:rsidP="00580EA4">
      <w:pPr>
        <w:pStyle w:val="SC3"/>
        <w:numPr>
          <w:ilvl w:val="2"/>
          <w:numId w:val="161"/>
        </w:numPr>
        <w:spacing w:after="0"/>
        <w:rPr>
          <w:rFonts w:eastAsiaTheme="minorEastAsia"/>
          <w:lang w:eastAsia="ko-KR"/>
        </w:rPr>
      </w:pPr>
      <w:r w:rsidRPr="004635E5">
        <w:rPr>
          <w:rFonts w:eastAsiaTheme="minorEastAsia"/>
          <w:lang w:eastAsia="ko-KR"/>
        </w:rPr>
        <w:t>W</w:t>
      </w:r>
      <w:r w:rsidR="0025641A" w:rsidRPr="004635E5">
        <w:rPr>
          <w:rFonts w:eastAsiaTheme="minorEastAsia"/>
          <w:lang w:eastAsia="ko-KR"/>
        </w:rPr>
        <w:t>hale shark (</w:t>
      </w:r>
      <w:r w:rsidR="0025641A" w:rsidRPr="004635E5">
        <w:rPr>
          <w:rStyle w:val="w8qarf"/>
          <w:bCs/>
          <w:color w:val="222222"/>
          <w:shd w:val="clear" w:color="auto" w:fill="FFFFFF"/>
        </w:rPr>
        <w:t> </w:t>
      </w:r>
      <w:r w:rsidR="0025641A" w:rsidRPr="004635E5">
        <w:rPr>
          <w:rStyle w:val="lrzxr"/>
          <w:i/>
          <w:color w:val="222222"/>
          <w:shd w:val="clear" w:color="auto" w:fill="FFFFFF"/>
        </w:rPr>
        <w:t>Rhincodon typus</w:t>
      </w:r>
      <w:r w:rsidR="0025641A" w:rsidRPr="004635E5">
        <w:rPr>
          <w:rFonts w:eastAsiaTheme="minorEastAsia"/>
          <w:lang w:eastAsia="ko-KR"/>
        </w:rPr>
        <w:t>)</w:t>
      </w:r>
    </w:p>
    <w:p w14:paraId="5916C249" w14:textId="77777777" w:rsidR="00A61B2B" w:rsidRPr="004635E5" w:rsidRDefault="00A61B2B" w:rsidP="006633A8">
      <w:pPr>
        <w:pStyle w:val="SC3"/>
        <w:numPr>
          <w:ilvl w:val="0"/>
          <w:numId w:val="0"/>
        </w:numPr>
        <w:spacing w:after="0"/>
        <w:ind w:left="1440"/>
        <w:rPr>
          <w:rFonts w:eastAsiaTheme="minorEastAsia"/>
          <w:lang w:eastAsia="ko-KR"/>
        </w:rPr>
      </w:pPr>
    </w:p>
    <w:p w14:paraId="592847BB" w14:textId="77777777" w:rsidR="00C23E6C" w:rsidRPr="004635E5" w:rsidRDefault="00C23E6C" w:rsidP="00580EA4">
      <w:pPr>
        <w:pStyle w:val="SC3"/>
        <w:numPr>
          <w:ilvl w:val="3"/>
          <w:numId w:val="161"/>
        </w:numPr>
        <w:spacing w:after="0"/>
        <w:rPr>
          <w:rFonts w:eastAsiaTheme="minorEastAsia"/>
          <w:lang w:eastAsia="ko-KR"/>
        </w:rPr>
      </w:pPr>
      <w:r w:rsidRPr="004635E5">
        <w:rPr>
          <w:rFonts w:eastAsiaTheme="minorEastAsia"/>
          <w:bCs/>
          <w:lang w:eastAsia="ko-KR"/>
        </w:rPr>
        <w:t>Review of research and information</w:t>
      </w:r>
    </w:p>
    <w:p w14:paraId="7954A945" w14:textId="77777777" w:rsidR="00A61B2B" w:rsidRPr="004635E5" w:rsidRDefault="00A61B2B" w:rsidP="006633A8">
      <w:pPr>
        <w:pStyle w:val="SC3"/>
        <w:numPr>
          <w:ilvl w:val="0"/>
          <w:numId w:val="0"/>
        </w:numPr>
        <w:spacing w:after="0"/>
        <w:ind w:left="1800"/>
        <w:rPr>
          <w:rFonts w:eastAsiaTheme="minorEastAsia"/>
          <w:lang w:eastAsia="ko-KR"/>
        </w:rPr>
      </w:pPr>
    </w:p>
    <w:p w14:paraId="3FEEC230" w14:textId="77777777" w:rsidR="00653A60" w:rsidRPr="004635E5" w:rsidRDefault="00CA542E"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color w:val="00000A"/>
          <w:sz w:val="22"/>
          <w:szCs w:val="22"/>
          <w:lang w:val="en-AU"/>
        </w:rPr>
        <w:t>P. Neubauer (Dragonfly Data Science), Y. Richard (Dragonfly Data Science), and S</w:t>
      </w:r>
      <w:r w:rsidRPr="004635E5">
        <w:rPr>
          <w:color w:val="00000A"/>
          <w:sz w:val="22"/>
          <w:szCs w:val="22"/>
          <w:lang w:val="en-AU" w:eastAsia="ko-KR"/>
        </w:rPr>
        <w:t>.</w:t>
      </w:r>
      <w:r w:rsidRPr="004635E5">
        <w:rPr>
          <w:color w:val="00000A"/>
          <w:sz w:val="22"/>
          <w:szCs w:val="22"/>
          <w:lang w:val="en-AU"/>
        </w:rPr>
        <w:t xml:space="preserve"> Clarke (Common Oceans (ABNJ) Tuna Project), presented SC14-SA-WP-12 </w:t>
      </w:r>
      <w:r w:rsidRPr="004635E5">
        <w:rPr>
          <w:color w:val="00000A"/>
          <w:sz w:val="22"/>
          <w:szCs w:val="22"/>
          <w:lang w:val="en-AU" w:eastAsia="ko-KR"/>
        </w:rPr>
        <w:t>(</w:t>
      </w:r>
      <w:r w:rsidRPr="004635E5">
        <w:rPr>
          <w:color w:val="00000A"/>
          <w:sz w:val="22"/>
          <w:szCs w:val="22"/>
          <w:lang w:val="en-AU"/>
        </w:rPr>
        <w:t>Rev 1</w:t>
      </w:r>
      <w:r w:rsidRPr="004635E5">
        <w:rPr>
          <w:color w:val="00000A"/>
          <w:sz w:val="22"/>
          <w:szCs w:val="22"/>
          <w:lang w:val="en-AU" w:eastAsia="ko-KR"/>
        </w:rPr>
        <w:t>)</w:t>
      </w:r>
      <w:r w:rsidRPr="004635E5">
        <w:rPr>
          <w:color w:val="00000A"/>
          <w:sz w:val="22"/>
          <w:szCs w:val="22"/>
          <w:lang w:val="en-AU"/>
        </w:rPr>
        <w:t xml:space="preserve"> </w:t>
      </w:r>
      <w:r w:rsidRPr="004635E5">
        <w:rPr>
          <w:i/>
          <w:iCs/>
          <w:color w:val="00000A"/>
          <w:sz w:val="22"/>
          <w:szCs w:val="22"/>
          <w:lang w:val="en-AU"/>
        </w:rPr>
        <w:t>Risk to the Indo-Pacific whale shark (Rhincodon typus) population from interactions with Pacific purse seine fisheries.</w:t>
      </w:r>
      <w:r w:rsidR="00653A60" w:rsidRPr="004635E5">
        <w:rPr>
          <w:i/>
          <w:iCs/>
          <w:color w:val="00000A"/>
          <w:sz w:val="22"/>
          <w:szCs w:val="22"/>
          <w:lang w:val="en-AU"/>
        </w:rPr>
        <w:t xml:space="preserve"> </w:t>
      </w:r>
    </w:p>
    <w:p w14:paraId="459C8AAC" w14:textId="77777777" w:rsidR="00A61B2B" w:rsidRPr="004635E5" w:rsidRDefault="00A61B2B" w:rsidP="006633A8">
      <w:pPr>
        <w:autoSpaceDE w:val="0"/>
        <w:autoSpaceDN w:val="0"/>
        <w:adjustRightInd w:val="0"/>
        <w:snapToGrid w:val="0"/>
        <w:jc w:val="both"/>
        <w:rPr>
          <w:rFonts w:eastAsia="Batang"/>
          <w:sz w:val="22"/>
          <w:szCs w:val="22"/>
          <w:lang w:val="en-NZ" w:eastAsia="ko-KR"/>
        </w:rPr>
      </w:pPr>
    </w:p>
    <w:p w14:paraId="2180BD28" w14:textId="77777777" w:rsidR="00CA542E" w:rsidRPr="004635E5" w:rsidRDefault="00CA542E" w:rsidP="00580EA4">
      <w:pPr>
        <w:numPr>
          <w:ilvl w:val="0"/>
          <w:numId w:val="18"/>
        </w:numPr>
        <w:autoSpaceDE w:val="0"/>
        <w:autoSpaceDN w:val="0"/>
        <w:adjustRightInd w:val="0"/>
        <w:snapToGrid w:val="0"/>
        <w:ind w:left="0" w:firstLine="0"/>
        <w:jc w:val="both"/>
        <w:rPr>
          <w:color w:val="00000A"/>
          <w:sz w:val="22"/>
          <w:szCs w:val="22"/>
          <w:lang w:val="en-AU"/>
        </w:rPr>
      </w:pPr>
      <w:r w:rsidRPr="004635E5">
        <w:rPr>
          <w:color w:val="00000A"/>
          <w:sz w:val="22"/>
          <w:szCs w:val="22"/>
          <w:lang w:val="en-AU"/>
        </w:rPr>
        <w:t>Western and Central Pacific Ocean tropical purse-seine fishery observer data was used to describe whale shark interactions and trends within that fishery</w:t>
      </w:r>
      <w:r w:rsidR="00A16680" w:rsidRPr="004635E5">
        <w:rPr>
          <w:color w:val="00000A"/>
          <w:sz w:val="22"/>
          <w:szCs w:val="22"/>
          <w:lang w:val="en-AU"/>
        </w:rPr>
        <w:t xml:space="preserve">. </w:t>
      </w:r>
      <w:r w:rsidRPr="004635E5">
        <w:rPr>
          <w:color w:val="00000A"/>
          <w:sz w:val="22"/>
          <w:szCs w:val="22"/>
          <w:lang w:val="en-AU"/>
        </w:rPr>
        <w:t>Fishery interaction data w</w:t>
      </w:r>
      <w:r w:rsidR="00270656" w:rsidRPr="004635E5">
        <w:rPr>
          <w:color w:val="00000A"/>
          <w:sz w:val="22"/>
          <w:szCs w:val="22"/>
          <w:lang w:val="en-AU"/>
        </w:rPr>
        <w:t>ere</w:t>
      </w:r>
      <w:r w:rsidRPr="004635E5">
        <w:rPr>
          <w:color w:val="00000A"/>
          <w:sz w:val="22"/>
          <w:szCs w:val="22"/>
          <w:lang w:val="en-AU"/>
        </w:rPr>
        <w:t xml:space="preserve"> standardized to investigate whether fluctuations in oceanographic conditions (described by sea surface temperature and chlorophyll a) can explain temporal patterns in interactions</w:t>
      </w:r>
      <w:r w:rsidR="00A16680" w:rsidRPr="004635E5">
        <w:rPr>
          <w:color w:val="00000A"/>
          <w:sz w:val="22"/>
          <w:szCs w:val="22"/>
          <w:lang w:val="en-AU"/>
        </w:rPr>
        <w:t xml:space="preserve">. </w:t>
      </w:r>
      <w:r w:rsidRPr="004635E5">
        <w:rPr>
          <w:color w:val="00000A"/>
          <w:sz w:val="22"/>
          <w:szCs w:val="22"/>
          <w:lang w:val="en-AU"/>
        </w:rPr>
        <w:t>Although changes in oceanic habitat variables could not account for the temporal shifts in interaction rates, estimated environmental effects on spatial interaction rates produced estimates of spatial habitat suitability that appeared consistent with available information</w:t>
      </w:r>
      <w:r w:rsidR="00A16680" w:rsidRPr="004635E5">
        <w:rPr>
          <w:color w:val="00000A"/>
          <w:sz w:val="22"/>
          <w:szCs w:val="22"/>
          <w:lang w:val="en-AU"/>
        </w:rPr>
        <w:t xml:space="preserve">. </w:t>
      </w:r>
      <w:r w:rsidRPr="004635E5">
        <w:rPr>
          <w:color w:val="00000A"/>
          <w:sz w:val="22"/>
          <w:szCs w:val="22"/>
          <w:lang w:val="en-AU"/>
        </w:rPr>
        <w:t xml:space="preserve">Maps of predicted habitat suitability were used to define the overlap between Pacific Ocean (WCPFC and IATTC) tuna fisheries and whale sharks, and to estimate total mortalities expected within these fisheries. </w:t>
      </w:r>
      <w:r w:rsidR="00270656" w:rsidRPr="004635E5">
        <w:rPr>
          <w:color w:val="00000A"/>
          <w:sz w:val="22"/>
          <w:szCs w:val="22"/>
          <w:lang w:val="en-AU"/>
        </w:rPr>
        <w:t xml:space="preserve">The authors </w:t>
      </w:r>
      <w:r w:rsidRPr="004635E5">
        <w:rPr>
          <w:color w:val="00000A"/>
          <w:sz w:val="22"/>
          <w:szCs w:val="22"/>
          <w:lang w:val="en-AU"/>
        </w:rPr>
        <w:t>also used life-history information and life-history theory to estimate risk for the Indo-Pacific Ocean whale shark population from Pacific Ocean purse-seine fisheries</w:t>
      </w:r>
      <w:r w:rsidR="00A16680" w:rsidRPr="004635E5">
        <w:rPr>
          <w:color w:val="00000A"/>
          <w:sz w:val="22"/>
          <w:szCs w:val="22"/>
          <w:lang w:val="en-AU"/>
        </w:rPr>
        <w:t xml:space="preserve">. </w:t>
      </w:r>
      <w:r w:rsidRPr="004635E5">
        <w:rPr>
          <w:color w:val="00000A"/>
          <w:sz w:val="22"/>
          <w:szCs w:val="22"/>
          <w:lang w:val="en-AU"/>
        </w:rPr>
        <w:t xml:space="preserve">To estimate the unobservable post-release mortality, </w:t>
      </w:r>
      <w:r w:rsidR="00270656" w:rsidRPr="004635E5">
        <w:rPr>
          <w:color w:val="00000A"/>
          <w:sz w:val="22"/>
          <w:szCs w:val="22"/>
          <w:lang w:val="en-AU"/>
        </w:rPr>
        <w:t xml:space="preserve">the authors </w:t>
      </w:r>
      <w:r w:rsidRPr="004635E5">
        <w:rPr>
          <w:color w:val="00000A"/>
          <w:sz w:val="22"/>
          <w:szCs w:val="22"/>
          <w:lang w:val="en-AU"/>
        </w:rPr>
        <w:t>conducted a Delphi survey of experts, and summarized the information using a statistical model</w:t>
      </w:r>
      <w:r w:rsidR="00A16680" w:rsidRPr="004635E5">
        <w:rPr>
          <w:color w:val="00000A"/>
          <w:sz w:val="22"/>
          <w:szCs w:val="22"/>
          <w:lang w:val="en-AU"/>
        </w:rPr>
        <w:t xml:space="preserve">. </w:t>
      </w:r>
      <w:r w:rsidRPr="004635E5">
        <w:rPr>
          <w:color w:val="00000A"/>
          <w:sz w:val="22"/>
          <w:szCs w:val="22"/>
          <w:lang w:val="en-AU"/>
        </w:rPr>
        <w:t>The risk assessment model suggested that the risk from Pacific Ocean fisheries alone is moderate to low, but not insignificant given potential other sources of mortality and uncertainty</w:t>
      </w:r>
      <w:r w:rsidR="00A16680" w:rsidRPr="004635E5">
        <w:rPr>
          <w:color w:val="00000A"/>
          <w:sz w:val="22"/>
          <w:szCs w:val="22"/>
          <w:lang w:val="en-AU"/>
        </w:rPr>
        <w:t xml:space="preserve">. </w:t>
      </w:r>
      <w:r w:rsidRPr="004635E5">
        <w:rPr>
          <w:color w:val="00000A"/>
          <w:sz w:val="22"/>
          <w:szCs w:val="22"/>
          <w:lang w:val="en-AU"/>
        </w:rPr>
        <w:t>In accordance with suggestions from the experts in the Delphi survey, it was suggested that development and strict application of best practice release protocols can significantly reduce post-release mortality and, therefore, risk for whale shark populations</w:t>
      </w:r>
      <w:r w:rsidR="00A16680" w:rsidRPr="004635E5">
        <w:rPr>
          <w:color w:val="00000A"/>
          <w:sz w:val="22"/>
          <w:szCs w:val="22"/>
          <w:lang w:val="en-AU"/>
        </w:rPr>
        <w:t xml:space="preserve">. </w:t>
      </w:r>
    </w:p>
    <w:p w14:paraId="62E564BF" w14:textId="77777777" w:rsidR="00A61B2B" w:rsidRPr="004635E5" w:rsidRDefault="00A61B2B" w:rsidP="006633A8">
      <w:pPr>
        <w:autoSpaceDE w:val="0"/>
        <w:autoSpaceDN w:val="0"/>
        <w:adjustRightInd w:val="0"/>
        <w:snapToGrid w:val="0"/>
        <w:jc w:val="both"/>
        <w:rPr>
          <w:color w:val="00000A"/>
          <w:sz w:val="22"/>
          <w:szCs w:val="22"/>
          <w:lang w:val="en-AU"/>
        </w:rPr>
      </w:pPr>
    </w:p>
    <w:p w14:paraId="1556DC97" w14:textId="77777777" w:rsidR="002E39E9" w:rsidRPr="004635E5" w:rsidRDefault="008806F6" w:rsidP="006633A8">
      <w:pPr>
        <w:pStyle w:val="ListParagraph"/>
        <w:adjustRightInd w:val="0"/>
        <w:snapToGrid w:val="0"/>
        <w:ind w:left="0"/>
        <w:jc w:val="both"/>
        <w:rPr>
          <w:rFonts w:eastAsiaTheme="minorEastAsia"/>
          <w:b/>
          <w:bCs/>
          <w:sz w:val="22"/>
          <w:szCs w:val="22"/>
          <w:lang w:eastAsia="ko-KR"/>
        </w:rPr>
      </w:pPr>
      <w:r w:rsidRPr="004635E5">
        <w:rPr>
          <w:rFonts w:eastAsiaTheme="minorEastAsia"/>
          <w:b/>
          <w:bCs/>
          <w:sz w:val="22"/>
          <w:szCs w:val="22"/>
          <w:lang w:eastAsia="ko-KR"/>
        </w:rPr>
        <w:t xml:space="preserve">Discussion </w:t>
      </w:r>
    </w:p>
    <w:p w14:paraId="4059413B" w14:textId="77777777" w:rsidR="009241FB" w:rsidRPr="004635E5" w:rsidRDefault="009241FB" w:rsidP="006633A8">
      <w:pPr>
        <w:pStyle w:val="ListParagraph"/>
        <w:adjustRightInd w:val="0"/>
        <w:snapToGrid w:val="0"/>
        <w:ind w:left="0"/>
        <w:jc w:val="both"/>
        <w:rPr>
          <w:rFonts w:eastAsiaTheme="minorEastAsia"/>
          <w:b/>
          <w:bCs/>
          <w:sz w:val="22"/>
          <w:szCs w:val="22"/>
          <w:lang w:eastAsia="ko-KR"/>
        </w:rPr>
      </w:pPr>
    </w:p>
    <w:p w14:paraId="3B284D00" w14:textId="77777777" w:rsidR="00DE2F40" w:rsidRPr="004635E5" w:rsidRDefault="00B01252"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 xml:space="preserve">RMI, on behalf of </w:t>
      </w:r>
      <w:r w:rsidR="00402087" w:rsidRPr="004635E5">
        <w:rPr>
          <w:rFonts w:eastAsiaTheme="minorEastAsia"/>
          <w:bCs/>
          <w:sz w:val="22"/>
          <w:szCs w:val="22"/>
          <w:lang w:eastAsia="ko-KR"/>
        </w:rPr>
        <w:t>PNA members thank</w:t>
      </w:r>
      <w:r w:rsidR="00270656" w:rsidRPr="004635E5">
        <w:rPr>
          <w:rFonts w:eastAsiaTheme="minorEastAsia"/>
          <w:bCs/>
          <w:sz w:val="22"/>
          <w:szCs w:val="22"/>
          <w:lang w:eastAsia="ko-KR"/>
        </w:rPr>
        <w:t>ed</w:t>
      </w:r>
      <w:r w:rsidR="00402087" w:rsidRPr="004635E5">
        <w:rPr>
          <w:rFonts w:eastAsiaTheme="minorEastAsia"/>
          <w:bCs/>
          <w:sz w:val="22"/>
          <w:szCs w:val="22"/>
          <w:lang w:eastAsia="ko-KR"/>
        </w:rPr>
        <w:t xml:space="preserve"> the presenters for </w:t>
      </w:r>
      <w:r w:rsidR="00270656" w:rsidRPr="004635E5">
        <w:rPr>
          <w:rFonts w:eastAsiaTheme="minorEastAsia"/>
          <w:bCs/>
          <w:sz w:val="22"/>
          <w:szCs w:val="22"/>
          <w:lang w:eastAsia="ko-KR"/>
        </w:rPr>
        <w:t xml:space="preserve">their </w:t>
      </w:r>
      <w:r w:rsidR="00402087" w:rsidRPr="004635E5">
        <w:rPr>
          <w:rFonts w:eastAsiaTheme="minorEastAsia"/>
          <w:bCs/>
          <w:sz w:val="22"/>
          <w:szCs w:val="22"/>
          <w:lang w:eastAsia="ko-KR"/>
        </w:rPr>
        <w:t>comprehensive work</w:t>
      </w:r>
      <w:r w:rsidR="00270656" w:rsidRPr="004635E5">
        <w:rPr>
          <w:rFonts w:eastAsiaTheme="minorEastAsia"/>
          <w:bCs/>
          <w:sz w:val="22"/>
          <w:szCs w:val="22"/>
          <w:lang w:eastAsia="ko-KR"/>
        </w:rPr>
        <w:t xml:space="preserve">, stating it was </w:t>
      </w:r>
      <w:r w:rsidR="00402087" w:rsidRPr="004635E5">
        <w:rPr>
          <w:rFonts w:eastAsiaTheme="minorEastAsia"/>
          <w:bCs/>
          <w:sz w:val="22"/>
          <w:szCs w:val="22"/>
          <w:lang w:eastAsia="ko-KR"/>
        </w:rPr>
        <w:t xml:space="preserve">encouraging to see innovative ways </w:t>
      </w:r>
      <w:r w:rsidR="00270656" w:rsidRPr="004635E5">
        <w:rPr>
          <w:rFonts w:eastAsiaTheme="minorEastAsia"/>
          <w:bCs/>
          <w:sz w:val="22"/>
          <w:szCs w:val="22"/>
          <w:lang w:eastAsia="ko-KR"/>
        </w:rPr>
        <w:t xml:space="preserve">of </w:t>
      </w:r>
      <w:r w:rsidR="00402087" w:rsidRPr="004635E5">
        <w:rPr>
          <w:rFonts w:eastAsiaTheme="minorEastAsia"/>
          <w:bCs/>
          <w:sz w:val="22"/>
          <w:szCs w:val="22"/>
          <w:lang w:eastAsia="ko-KR"/>
        </w:rPr>
        <w:t>assess</w:t>
      </w:r>
      <w:r w:rsidR="00270656" w:rsidRPr="004635E5">
        <w:rPr>
          <w:rFonts w:eastAsiaTheme="minorEastAsia"/>
          <w:bCs/>
          <w:sz w:val="22"/>
          <w:szCs w:val="22"/>
          <w:lang w:eastAsia="ko-KR"/>
        </w:rPr>
        <w:t>ing data-</w:t>
      </w:r>
      <w:r w:rsidR="00402087" w:rsidRPr="004635E5">
        <w:rPr>
          <w:rFonts w:eastAsiaTheme="minorEastAsia"/>
          <w:bCs/>
          <w:sz w:val="22"/>
          <w:szCs w:val="22"/>
          <w:lang w:eastAsia="ko-KR"/>
        </w:rPr>
        <w:t>poor stocks.</w:t>
      </w:r>
      <w:r w:rsidR="009244AD" w:rsidRPr="004635E5">
        <w:rPr>
          <w:rFonts w:eastAsiaTheme="minorEastAsia"/>
          <w:bCs/>
          <w:sz w:val="22"/>
          <w:szCs w:val="22"/>
          <w:lang w:eastAsia="ko-KR"/>
        </w:rPr>
        <w:t xml:space="preserve"> </w:t>
      </w:r>
      <w:r w:rsidR="00270656" w:rsidRPr="004635E5">
        <w:rPr>
          <w:rFonts w:eastAsiaTheme="minorEastAsia"/>
          <w:bCs/>
          <w:sz w:val="22"/>
          <w:szCs w:val="22"/>
          <w:lang w:eastAsia="ko-KR"/>
        </w:rPr>
        <w:t xml:space="preserve">They </w:t>
      </w:r>
      <w:r w:rsidR="00402087" w:rsidRPr="004635E5">
        <w:rPr>
          <w:rFonts w:eastAsiaTheme="minorEastAsia"/>
          <w:bCs/>
          <w:sz w:val="22"/>
          <w:szCs w:val="22"/>
          <w:lang w:eastAsia="ko-KR"/>
        </w:rPr>
        <w:t>support</w:t>
      </w:r>
      <w:r w:rsidR="00270656" w:rsidRPr="004635E5">
        <w:rPr>
          <w:rFonts w:eastAsiaTheme="minorEastAsia"/>
          <w:bCs/>
          <w:sz w:val="22"/>
          <w:szCs w:val="22"/>
          <w:lang w:eastAsia="ko-KR"/>
        </w:rPr>
        <w:t>ed</w:t>
      </w:r>
      <w:r w:rsidR="00402087" w:rsidRPr="004635E5">
        <w:rPr>
          <w:rFonts w:eastAsiaTheme="minorEastAsia"/>
          <w:bCs/>
          <w:sz w:val="22"/>
          <w:szCs w:val="22"/>
          <w:lang w:eastAsia="ko-KR"/>
        </w:rPr>
        <w:t xml:space="preserve"> providing a recommendation to the Commission based on </w:t>
      </w:r>
      <w:r w:rsidR="00270656" w:rsidRPr="004635E5">
        <w:rPr>
          <w:rFonts w:eastAsiaTheme="minorEastAsia"/>
          <w:bCs/>
          <w:sz w:val="22"/>
          <w:szCs w:val="22"/>
          <w:lang w:eastAsia="ko-KR"/>
        </w:rPr>
        <w:t xml:space="preserve">the assessment’s </w:t>
      </w:r>
      <w:r w:rsidR="00402087" w:rsidRPr="004635E5">
        <w:rPr>
          <w:rFonts w:eastAsiaTheme="minorEastAsia"/>
          <w:bCs/>
          <w:sz w:val="22"/>
          <w:szCs w:val="22"/>
          <w:lang w:eastAsia="ko-KR"/>
        </w:rPr>
        <w:t>findings</w:t>
      </w:r>
      <w:r w:rsidR="00270656" w:rsidRPr="004635E5">
        <w:rPr>
          <w:rFonts w:eastAsiaTheme="minorEastAsia"/>
          <w:bCs/>
          <w:sz w:val="22"/>
          <w:szCs w:val="22"/>
          <w:lang w:eastAsia="ko-KR"/>
        </w:rPr>
        <w:t xml:space="preserve">, but </w:t>
      </w:r>
      <w:r w:rsidR="00402087" w:rsidRPr="004635E5">
        <w:rPr>
          <w:rFonts w:eastAsiaTheme="minorEastAsia"/>
          <w:bCs/>
          <w:iCs/>
          <w:sz w:val="22"/>
          <w:szCs w:val="22"/>
          <w:lang w:eastAsia="ko-KR"/>
        </w:rPr>
        <w:t>request</w:t>
      </w:r>
      <w:r w:rsidR="00270656" w:rsidRPr="004635E5">
        <w:rPr>
          <w:rFonts w:eastAsiaTheme="minorEastAsia"/>
          <w:bCs/>
          <w:iCs/>
          <w:sz w:val="22"/>
          <w:szCs w:val="22"/>
          <w:lang w:eastAsia="ko-KR"/>
        </w:rPr>
        <w:t>ed</w:t>
      </w:r>
      <w:r w:rsidR="00402087" w:rsidRPr="004635E5">
        <w:rPr>
          <w:rFonts w:eastAsiaTheme="minorEastAsia"/>
          <w:bCs/>
          <w:iCs/>
          <w:sz w:val="22"/>
          <w:szCs w:val="22"/>
          <w:lang w:eastAsia="ko-KR"/>
        </w:rPr>
        <w:t xml:space="preserve"> that any such recommendation be accompanied by a clear description of the range of uncertainties around the work.</w:t>
      </w:r>
      <w:r w:rsidR="009244AD" w:rsidRPr="004635E5">
        <w:rPr>
          <w:rFonts w:eastAsiaTheme="minorEastAsia"/>
          <w:bCs/>
          <w:i/>
          <w:iCs/>
          <w:sz w:val="22"/>
          <w:szCs w:val="22"/>
          <w:lang w:eastAsia="ko-KR"/>
        </w:rPr>
        <w:t xml:space="preserve"> </w:t>
      </w:r>
      <w:r w:rsidR="00270656" w:rsidRPr="004635E5">
        <w:rPr>
          <w:rFonts w:eastAsiaTheme="minorEastAsia"/>
          <w:bCs/>
          <w:sz w:val="22"/>
          <w:szCs w:val="22"/>
          <w:lang w:eastAsia="ko-KR"/>
        </w:rPr>
        <w:t xml:space="preserve">They </w:t>
      </w:r>
      <w:r w:rsidR="00402087" w:rsidRPr="004635E5">
        <w:rPr>
          <w:rFonts w:eastAsiaTheme="minorEastAsia"/>
          <w:bCs/>
          <w:sz w:val="22"/>
          <w:szCs w:val="22"/>
          <w:lang w:eastAsia="ko-KR"/>
        </w:rPr>
        <w:t>reiterate</w:t>
      </w:r>
      <w:r w:rsidR="00270656" w:rsidRPr="004635E5">
        <w:rPr>
          <w:rFonts w:eastAsiaTheme="minorEastAsia"/>
          <w:bCs/>
          <w:sz w:val="22"/>
          <w:szCs w:val="22"/>
          <w:lang w:eastAsia="ko-KR"/>
        </w:rPr>
        <w:t>d</w:t>
      </w:r>
      <w:r w:rsidR="00402087" w:rsidRPr="004635E5">
        <w:rPr>
          <w:rFonts w:eastAsiaTheme="minorEastAsia"/>
          <w:bCs/>
          <w:sz w:val="22"/>
          <w:szCs w:val="22"/>
          <w:lang w:eastAsia="ko-KR"/>
        </w:rPr>
        <w:t xml:space="preserve"> advice that PNA</w:t>
      </w:r>
      <w:r w:rsidR="00270656" w:rsidRPr="004635E5">
        <w:rPr>
          <w:rFonts w:eastAsiaTheme="minorEastAsia"/>
          <w:bCs/>
          <w:sz w:val="22"/>
          <w:szCs w:val="22"/>
          <w:lang w:eastAsia="ko-KR"/>
        </w:rPr>
        <w:t xml:space="preserve"> and </w:t>
      </w:r>
      <w:r w:rsidR="00402087" w:rsidRPr="004635E5">
        <w:rPr>
          <w:rFonts w:eastAsiaTheme="minorEastAsia"/>
          <w:bCs/>
          <w:sz w:val="22"/>
          <w:szCs w:val="22"/>
          <w:lang w:eastAsia="ko-KR"/>
        </w:rPr>
        <w:t>FFA members have provided on shark reference points</w:t>
      </w:r>
      <w:r w:rsidR="00270656" w:rsidRPr="004635E5">
        <w:rPr>
          <w:rFonts w:eastAsiaTheme="minorEastAsia"/>
          <w:bCs/>
          <w:sz w:val="22"/>
          <w:szCs w:val="22"/>
          <w:lang w:eastAsia="ko-KR"/>
        </w:rPr>
        <w:t xml:space="preserve">: that they could not </w:t>
      </w:r>
      <w:r w:rsidR="00402087" w:rsidRPr="004635E5">
        <w:rPr>
          <w:rFonts w:eastAsiaTheme="minorEastAsia"/>
          <w:bCs/>
          <w:sz w:val="22"/>
          <w:szCs w:val="22"/>
          <w:lang w:eastAsia="ko-KR"/>
        </w:rPr>
        <w:t>ag</w:t>
      </w:r>
      <w:r w:rsidR="00270656" w:rsidRPr="004635E5">
        <w:rPr>
          <w:rFonts w:eastAsiaTheme="minorEastAsia"/>
          <w:bCs/>
          <w:sz w:val="22"/>
          <w:szCs w:val="22"/>
          <w:lang w:eastAsia="ko-KR"/>
        </w:rPr>
        <w:t>ree to any stock advice for non-</w:t>
      </w:r>
      <w:r w:rsidR="00402087" w:rsidRPr="004635E5">
        <w:rPr>
          <w:rFonts w:eastAsiaTheme="minorEastAsia"/>
          <w:bCs/>
          <w:sz w:val="22"/>
          <w:szCs w:val="22"/>
          <w:lang w:eastAsia="ko-KR"/>
        </w:rPr>
        <w:t xml:space="preserve">target sharks </w:t>
      </w:r>
      <w:r w:rsidR="00270656" w:rsidRPr="004635E5">
        <w:rPr>
          <w:rFonts w:eastAsiaTheme="minorEastAsia"/>
          <w:bCs/>
          <w:sz w:val="22"/>
          <w:szCs w:val="22"/>
          <w:lang w:eastAsia="ko-KR"/>
        </w:rPr>
        <w:t xml:space="preserve">such as </w:t>
      </w:r>
      <w:r w:rsidR="00402087" w:rsidRPr="004635E5">
        <w:rPr>
          <w:rFonts w:eastAsiaTheme="minorEastAsia"/>
          <w:bCs/>
          <w:sz w:val="22"/>
          <w:szCs w:val="22"/>
          <w:lang w:eastAsia="ko-KR"/>
        </w:rPr>
        <w:t>whale shark</w:t>
      </w:r>
      <w:r w:rsidR="00270656" w:rsidRPr="004635E5">
        <w:rPr>
          <w:rFonts w:eastAsiaTheme="minorEastAsia"/>
          <w:bCs/>
          <w:sz w:val="22"/>
          <w:szCs w:val="22"/>
          <w:lang w:eastAsia="ko-KR"/>
        </w:rPr>
        <w:t>s that include</w:t>
      </w:r>
      <w:r w:rsidR="00402087" w:rsidRPr="004635E5">
        <w:rPr>
          <w:rFonts w:eastAsiaTheme="minorEastAsia"/>
          <w:bCs/>
          <w:sz w:val="22"/>
          <w:szCs w:val="22"/>
          <w:lang w:eastAsia="ko-KR"/>
        </w:rPr>
        <w:t xml:space="preserve"> </w:t>
      </w:r>
      <w:r w:rsidR="00270656" w:rsidRPr="004635E5">
        <w:rPr>
          <w:rFonts w:eastAsiaTheme="minorEastAsia"/>
          <w:bCs/>
          <w:sz w:val="22"/>
          <w:szCs w:val="22"/>
          <w:lang w:eastAsia="ko-KR"/>
        </w:rPr>
        <w:t xml:space="preserve">an </w:t>
      </w:r>
      <w:r w:rsidR="00402087" w:rsidRPr="004635E5">
        <w:rPr>
          <w:rFonts w:eastAsiaTheme="minorEastAsia"/>
          <w:bCs/>
          <w:sz w:val="22"/>
          <w:szCs w:val="22"/>
          <w:lang w:eastAsia="ko-KR"/>
        </w:rPr>
        <w:t>F</w:t>
      </w:r>
      <w:r w:rsidR="00402087" w:rsidRPr="004635E5">
        <w:rPr>
          <w:rFonts w:eastAsiaTheme="minorEastAsia"/>
          <w:bCs/>
          <w:sz w:val="22"/>
          <w:szCs w:val="22"/>
          <w:vertAlign w:val="subscript"/>
          <w:lang w:eastAsia="ko-KR"/>
        </w:rPr>
        <w:t>MSM</w:t>
      </w:r>
      <w:r w:rsidR="00402087" w:rsidRPr="004635E5">
        <w:rPr>
          <w:rFonts w:eastAsiaTheme="minorEastAsia"/>
          <w:bCs/>
          <w:sz w:val="22"/>
          <w:szCs w:val="22"/>
          <w:lang w:eastAsia="ko-KR"/>
        </w:rPr>
        <w:t xml:space="preserve"> reference point, as this is inconsistent with the Convention guidance for such stocks and therefore paints an inappropriately pessimistic picture.</w:t>
      </w:r>
      <w:r w:rsidR="009244AD" w:rsidRPr="004635E5">
        <w:rPr>
          <w:rFonts w:eastAsiaTheme="minorEastAsia"/>
          <w:bCs/>
          <w:sz w:val="22"/>
          <w:szCs w:val="22"/>
          <w:lang w:eastAsia="ko-KR"/>
        </w:rPr>
        <w:t xml:space="preserve"> </w:t>
      </w:r>
      <w:r w:rsidR="00270656" w:rsidRPr="004635E5">
        <w:rPr>
          <w:rFonts w:eastAsiaTheme="minorEastAsia"/>
          <w:bCs/>
          <w:sz w:val="22"/>
          <w:szCs w:val="22"/>
          <w:lang w:eastAsia="ko-KR"/>
        </w:rPr>
        <w:t xml:space="preserve">They noted </w:t>
      </w:r>
      <w:r w:rsidR="00402087" w:rsidRPr="004635E5">
        <w:rPr>
          <w:rFonts w:eastAsiaTheme="minorEastAsia"/>
          <w:bCs/>
          <w:sz w:val="22"/>
          <w:szCs w:val="22"/>
          <w:lang w:eastAsia="ko-KR"/>
        </w:rPr>
        <w:t xml:space="preserve">the presentation </w:t>
      </w:r>
      <w:r w:rsidR="00270656" w:rsidRPr="004635E5">
        <w:rPr>
          <w:rFonts w:eastAsiaTheme="minorEastAsia"/>
          <w:bCs/>
          <w:sz w:val="22"/>
          <w:szCs w:val="22"/>
          <w:lang w:eastAsia="ko-KR"/>
        </w:rPr>
        <w:t xml:space="preserve">stated </w:t>
      </w:r>
      <w:r w:rsidR="00402087" w:rsidRPr="004635E5">
        <w:rPr>
          <w:rFonts w:eastAsiaTheme="minorEastAsia"/>
          <w:bCs/>
          <w:sz w:val="22"/>
          <w:szCs w:val="22"/>
          <w:lang w:eastAsia="ko-KR"/>
        </w:rPr>
        <w:t xml:space="preserve">the median probability across years and reference points </w:t>
      </w:r>
      <w:r w:rsidR="00270656" w:rsidRPr="004635E5">
        <w:rPr>
          <w:rFonts w:eastAsiaTheme="minorEastAsia"/>
          <w:bCs/>
          <w:sz w:val="22"/>
          <w:szCs w:val="22"/>
          <w:lang w:eastAsia="ko-KR"/>
        </w:rPr>
        <w:t xml:space="preserve">was </w:t>
      </w:r>
      <w:r w:rsidR="00402087" w:rsidRPr="004635E5">
        <w:rPr>
          <w:rFonts w:eastAsiaTheme="minorEastAsia"/>
          <w:bCs/>
          <w:sz w:val="22"/>
          <w:szCs w:val="22"/>
          <w:lang w:eastAsia="ko-KR"/>
        </w:rPr>
        <w:t>about 20%</w:t>
      </w:r>
      <w:r w:rsidR="00270656" w:rsidRPr="004635E5">
        <w:rPr>
          <w:rFonts w:eastAsiaTheme="minorEastAsia"/>
          <w:bCs/>
          <w:sz w:val="22"/>
          <w:szCs w:val="22"/>
          <w:lang w:eastAsia="ko-KR"/>
        </w:rPr>
        <w:t xml:space="preserve">, and asked </w:t>
      </w:r>
      <w:r w:rsidR="00402087" w:rsidRPr="004635E5">
        <w:rPr>
          <w:rFonts w:eastAsiaTheme="minorEastAsia"/>
          <w:bCs/>
          <w:sz w:val="22"/>
          <w:szCs w:val="22"/>
          <w:lang w:eastAsia="ko-KR"/>
        </w:rPr>
        <w:t xml:space="preserve">what the median probability </w:t>
      </w:r>
      <w:r w:rsidR="00270656" w:rsidRPr="004635E5">
        <w:rPr>
          <w:rFonts w:eastAsiaTheme="minorEastAsia"/>
          <w:bCs/>
          <w:sz w:val="22"/>
          <w:szCs w:val="22"/>
          <w:lang w:eastAsia="ko-KR"/>
        </w:rPr>
        <w:t xml:space="preserve">would be </w:t>
      </w:r>
      <w:r w:rsidR="00402087" w:rsidRPr="004635E5">
        <w:rPr>
          <w:rFonts w:eastAsiaTheme="minorEastAsia"/>
          <w:bCs/>
          <w:sz w:val="22"/>
          <w:szCs w:val="22"/>
          <w:lang w:eastAsia="ko-KR"/>
        </w:rPr>
        <w:t>if only the F-</w:t>
      </w:r>
      <w:r w:rsidR="00402087" w:rsidRPr="004635E5">
        <w:rPr>
          <w:rFonts w:eastAsiaTheme="minorEastAsia"/>
          <w:bCs/>
          <w:sz w:val="22"/>
          <w:szCs w:val="22"/>
          <w:vertAlign w:val="subscript"/>
          <w:lang w:eastAsia="ko-KR"/>
        </w:rPr>
        <w:t xml:space="preserve">LIM </w:t>
      </w:r>
      <w:r w:rsidR="00402087" w:rsidRPr="004635E5">
        <w:rPr>
          <w:rFonts w:eastAsiaTheme="minorEastAsia"/>
          <w:bCs/>
          <w:sz w:val="22"/>
          <w:szCs w:val="22"/>
          <w:lang w:eastAsia="ko-KR"/>
        </w:rPr>
        <w:t>and F</w:t>
      </w:r>
      <w:r w:rsidR="00402087" w:rsidRPr="004635E5">
        <w:rPr>
          <w:rFonts w:eastAsiaTheme="minorEastAsia"/>
          <w:bCs/>
          <w:sz w:val="22"/>
          <w:szCs w:val="22"/>
          <w:vertAlign w:val="subscript"/>
          <w:lang w:eastAsia="ko-KR"/>
        </w:rPr>
        <w:t>CRASH</w:t>
      </w:r>
      <w:r w:rsidR="00402087" w:rsidRPr="004635E5">
        <w:rPr>
          <w:rFonts w:eastAsiaTheme="minorEastAsia"/>
          <w:bCs/>
          <w:sz w:val="22"/>
          <w:szCs w:val="22"/>
          <w:lang w:eastAsia="ko-KR"/>
        </w:rPr>
        <w:t xml:space="preserve"> reference points </w:t>
      </w:r>
      <w:r w:rsidR="00270656" w:rsidRPr="004635E5">
        <w:rPr>
          <w:rFonts w:eastAsiaTheme="minorEastAsia"/>
          <w:bCs/>
          <w:sz w:val="22"/>
          <w:szCs w:val="22"/>
          <w:lang w:eastAsia="ko-KR"/>
        </w:rPr>
        <w:t xml:space="preserve">were </w:t>
      </w:r>
      <w:r w:rsidR="00402087" w:rsidRPr="004635E5">
        <w:rPr>
          <w:rFonts w:eastAsiaTheme="minorEastAsia"/>
          <w:bCs/>
          <w:sz w:val="22"/>
          <w:szCs w:val="22"/>
          <w:lang w:eastAsia="ko-KR"/>
        </w:rPr>
        <w:t>used?</w:t>
      </w:r>
      <w:r w:rsidR="009244AD" w:rsidRPr="004635E5">
        <w:rPr>
          <w:rFonts w:eastAsiaTheme="minorEastAsia"/>
          <w:bCs/>
          <w:sz w:val="22"/>
          <w:szCs w:val="22"/>
          <w:lang w:eastAsia="ko-KR"/>
        </w:rPr>
        <w:t xml:space="preserve"> P. Neubauer replied </w:t>
      </w:r>
      <w:r w:rsidR="00DE2F40" w:rsidRPr="004635E5">
        <w:rPr>
          <w:rFonts w:eastAsiaTheme="minorEastAsia"/>
          <w:bCs/>
          <w:sz w:val="22"/>
          <w:szCs w:val="22"/>
          <w:lang w:eastAsia="ko-KR"/>
        </w:rPr>
        <w:t>the median prob</w:t>
      </w:r>
      <w:r w:rsidR="00270656" w:rsidRPr="004635E5">
        <w:rPr>
          <w:rFonts w:eastAsiaTheme="minorEastAsia"/>
          <w:bCs/>
          <w:sz w:val="22"/>
          <w:szCs w:val="22"/>
          <w:lang w:eastAsia="ko-KR"/>
        </w:rPr>
        <w:t>ability if excluding</w:t>
      </w:r>
      <w:r w:rsidR="00DE2F40" w:rsidRPr="004635E5">
        <w:rPr>
          <w:rFonts w:eastAsiaTheme="minorEastAsia"/>
          <w:bCs/>
          <w:sz w:val="22"/>
          <w:szCs w:val="22"/>
          <w:lang w:eastAsia="ko-KR"/>
        </w:rPr>
        <w:t xml:space="preserve"> </w:t>
      </w:r>
      <w:r w:rsidR="00270656" w:rsidRPr="004635E5">
        <w:rPr>
          <w:rFonts w:eastAsiaTheme="minorEastAsia"/>
          <w:bCs/>
          <w:sz w:val="22"/>
          <w:szCs w:val="22"/>
          <w:lang w:eastAsia="ko-KR"/>
        </w:rPr>
        <w:t xml:space="preserve">the </w:t>
      </w:r>
      <w:r w:rsidR="00DE2F40" w:rsidRPr="004635E5">
        <w:rPr>
          <w:rFonts w:eastAsiaTheme="minorEastAsia"/>
          <w:bCs/>
          <w:sz w:val="22"/>
          <w:szCs w:val="22"/>
          <w:lang w:eastAsia="ko-KR"/>
        </w:rPr>
        <w:t>F</w:t>
      </w:r>
      <w:r w:rsidR="00270656" w:rsidRPr="004635E5">
        <w:rPr>
          <w:rFonts w:eastAsiaTheme="minorEastAsia"/>
          <w:bCs/>
          <w:sz w:val="22"/>
          <w:szCs w:val="22"/>
          <w:vertAlign w:val="subscript"/>
          <w:lang w:eastAsia="ko-KR"/>
        </w:rPr>
        <w:t>MSM</w:t>
      </w:r>
      <w:r w:rsidR="00270656" w:rsidRPr="004635E5">
        <w:rPr>
          <w:rFonts w:eastAsiaTheme="minorEastAsia"/>
          <w:bCs/>
          <w:sz w:val="22"/>
          <w:szCs w:val="22"/>
          <w:lang w:eastAsia="ko-KR"/>
        </w:rPr>
        <w:t xml:space="preserve"> </w:t>
      </w:r>
      <w:r w:rsidR="00DE2F40" w:rsidRPr="004635E5">
        <w:rPr>
          <w:rFonts w:eastAsiaTheme="minorEastAsia"/>
          <w:bCs/>
          <w:sz w:val="22"/>
          <w:szCs w:val="22"/>
          <w:lang w:eastAsia="ko-KR"/>
        </w:rPr>
        <w:t>ref</w:t>
      </w:r>
      <w:r w:rsidR="00270656" w:rsidRPr="004635E5">
        <w:rPr>
          <w:rFonts w:eastAsiaTheme="minorEastAsia"/>
          <w:bCs/>
          <w:sz w:val="22"/>
          <w:szCs w:val="22"/>
          <w:lang w:eastAsia="ko-KR"/>
        </w:rPr>
        <w:t>erence</w:t>
      </w:r>
      <w:r w:rsidR="00DE2F40" w:rsidRPr="004635E5">
        <w:rPr>
          <w:rFonts w:eastAsiaTheme="minorEastAsia"/>
          <w:bCs/>
          <w:sz w:val="22"/>
          <w:szCs w:val="22"/>
          <w:lang w:eastAsia="ko-KR"/>
        </w:rPr>
        <w:t xml:space="preserve"> point</w:t>
      </w:r>
      <w:r w:rsidR="00270656" w:rsidRPr="004635E5">
        <w:rPr>
          <w:rFonts w:eastAsiaTheme="minorEastAsia"/>
          <w:bCs/>
          <w:sz w:val="22"/>
          <w:szCs w:val="22"/>
          <w:lang w:eastAsia="ko-KR"/>
        </w:rPr>
        <w:t xml:space="preserve"> was </w:t>
      </w:r>
      <w:r w:rsidR="00DE2F40" w:rsidRPr="004635E5">
        <w:rPr>
          <w:rFonts w:eastAsiaTheme="minorEastAsia"/>
          <w:bCs/>
          <w:sz w:val="22"/>
          <w:szCs w:val="22"/>
          <w:lang w:eastAsia="ko-KR"/>
        </w:rPr>
        <w:t>prob</w:t>
      </w:r>
      <w:r w:rsidR="00270656" w:rsidRPr="004635E5">
        <w:rPr>
          <w:rFonts w:eastAsiaTheme="minorEastAsia"/>
          <w:bCs/>
          <w:sz w:val="22"/>
          <w:szCs w:val="22"/>
          <w:lang w:eastAsia="ko-KR"/>
        </w:rPr>
        <w:t>ably</w:t>
      </w:r>
      <w:r w:rsidR="00DE2F40" w:rsidRPr="004635E5">
        <w:rPr>
          <w:rFonts w:eastAsiaTheme="minorEastAsia"/>
          <w:bCs/>
          <w:sz w:val="22"/>
          <w:szCs w:val="22"/>
          <w:lang w:eastAsia="ko-KR"/>
        </w:rPr>
        <w:t xml:space="preserve"> below 10% of the LRP; 6% for the F</w:t>
      </w:r>
      <w:r w:rsidR="00270656" w:rsidRPr="004635E5">
        <w:rPr>
          <w:rFonts w:eastAsiaTheme="minorEastAsia"/>
          <w:bCs/>
          <w:sz w:val="22"/>
          <w:szCs w:val="22"/>
          <w:vertAlign w:val="subscript"/>
          <w:lang w:eastAsia="ko-KR"/>
        </w:rPr>
        <w:t>CRASH</w:t>
      </w:r>
      <w:r w:rsidR="00270656" w:rsidRPr="004635E5">
        <w:rPr>
          <w:rFonts w:eastAsiaTheme="minorEastAsia"/>
          <w:bCs/>
          <w:sz w:val="22"/>
          <w:szCs w:val="22"/>
          <w:lang w:eastAsia="ko-KR"/>
        </w:rPr>
        <w:t xml:space="preserve"> </w:t>
      </w:r>
      <w:r w:rsidR="00DE2F40" w:rsidRPr="004635E5">
        <w:rPr>
          <w:rFonts w:eastAsiaTheme="minorEastAsia"/>
          <w:bCs/>
          <w:sz w:val="22"/>
          <w:szCs w:val="22"/>
          <w:lang w:eastAsia="ko-KR"/>
        </w:rPr>
        <w:t>by memory.</w:t>
      </w:r>
      <w:r w:rsidR="00270656" w:rsidRPr="004635E5">
        <w:rPr>
          <w:rFonts w:eastAsiaTheme="minorEastAsia"/>
          <w:bCs/>
          <w:sz w:val="22"/>
          <w:szCs w:val="22"/>
          <w:lang w:eastAsia="ko-KR"/>
        </w:rPr>
        <w:t xml:space="preserve"> </w:t>
      </w:r>
      <w:r w:rsidR="00DE2F40" w:rsidRPr="004635E5">
        <w:rPr>
          <w:rFonts w:eastAsiaTheme="minorEastAsia"/>
          <w:bCs/>
          <w:sz w:val="22"/>
          <w:szCs w:val="22"/>
          <w:lang w:eastAsia="ko-KR"/>
        </w:rPr>
        <w:t xml:space="preserve">Japan </w:t>
      </w:r>
      <w:r w:rsidR="009244AD" w:rsidRPr="004635E5">
        <w:rPr>
          <w:rFonts w:eastAsiaTheme="minorEastAsia"/>
          <w:bCs/>
          <w:sz w:val="22"/>
          <w:szCs w:val="22"/>
          <w:lang w:eastAsia="ko-KR"/>
        </w:rPr>
        <w:t xml:space="preserve">noted the comment </w:t>
      </w:r>
      <w:r w:rsidR="00DE2F40" w:rsidRPr="004635E5">
        <w:rPr>
          <w:rFonts w:eastAsiaTheme="minorEastAsia"/>
          <w:bCs/>
          <w:sz w:val="22"/>
          <w:szCs w:val="22"/>
          <w:lang w:eastAsia="ko-KR"/>
        </w:rPr>
        <w:t>from PNA</w:t>
      </w:r>
      <w:r w:rsidR="009244AD" w:rsidRPr="004635E5">
        <w:rPr>
          <w:rFonts w:eastAsiaTheme="minorEastAsia"/>
          <w:bCs/>
          <w:sz w:val="22"/>
          <w:szCs w:val="22"/>
          <w:lang w:eastAsia="ko-KR"/>
        </w:rPr>
        <w:t xml:space="preserve"> members</w:t>
      </w:r>
      <w:r w:rsidR="00DE2F40" w:rsidRPr="004635E5">
        <w:rPr>
          <w:rFonts w:eastAsiaTheme="minorEastAsia"/>
          <w:bCs/>
          <w:sz w:val="22"/>
          <w:szCs w:val="22"/>
          <w:lang w:eastAsia="ko-KR"/>
        </w:rPr>
        <w:t xml:space="preserve">, </w:t>
      </w:r>
      <w:r w:rsidR="009244AD" w:rsidRPr="004635E5">
        <w:rPr>
          <w:rFonts w:eastAsiaTheme="minorEastAsia"/>
          <w:bCs/>
          <w:sz w:val="22"/>
          <w:szCs w:val="22"/>
          <w:lang w:eastAsia="ko-KR"/>
        </w:rPr>
        <w:t>and that the risk-</w:t>
      </w:r>
      <w:r w:rsidR="00DE2F40" w:rsidRPr="004635E5">
        <w:rPr>
          <w:rFonts w:eastAsiaTheme="minorEastAsia"/>
          <w:bCs/>
          <w:sz w:val="22"/>
          <w:szCs w:val="22"/>
          <w:lang w:eastAsia="ko-KR"/>
        </w:rPr>
        <w:t xml:space="preserve">based </w:t>
      </w:r>
      <w:r w:rsidR="009244AD" w:rsidRPr="004635E5">
        <w:rPr>
          <w:rFonts w:eastAsiaTheme="minorEastAsia"/>
          <w:bCs/>
          <w:sz w:val="22"/>
          <w:szCs w:val="22"/>
          <w:lang w:eastAsia="ko-KR"/>
        </w:rPr>
        <w:t xml:space="preserve">approach </w:t>
      </w:r>
      <w:r w:rsidR="00270656" w:rsidRPr="004635E5">
        <w:rPr>
          <w:rFonts w:eastAsiaTheme="minorEastAsia"/>
          <w:bCs/>
          <w:sz w:val="22"/>
          <w:szCs w:val="22"/>
          <w:lang w:eastAsia="ko-KR"/>
        </w:rPr>
        <w:t xml:space="preserve">was </w:t>
      </w:r>
      <w:r w:rsidR="00DE2F40" w:rsidRPr="004635E5">
        <w:rPr>
          <w:rFonts w:eastAsiaTheme="minorEastAsia"/>
          <w:bCs/>
          <w:sz w:val="22"/>
          <w:szCs w:val="22"/>
          <w:lang w:eastAsia="ko-KR"/>
        </w:rPr>
        <w:t xml:space="preserve">new. </w:t>
      </w:r>
      <w:r w:rsidR="009244AD" w:rsidRPr="004635E5">
        <w:rPr>
          <w:rFonts w:eastAsiaTheme="minorEastAsia"/>
          <w:bCs/>
          <w:sz w:val="22"/>
          <w:szCs w:val="22"/>
          <w:lang w:eastAsia="ko-KR"/>
        </w:rPr>
        <w:t xml:space="preserve">They </w:t>
      </w:r>
      <w:r w:rsidR="00DE2F40" w:rsidRPr="004635E5">
        <w:rPr>
          <w:rFonts w:eastAsiaTheme="minorEastAsia"/>
          <w:bCs/>
          <w:sz w:val="22"/>
          <w:szCs w:val="22"/>
          <w:lang w:eastAsia="ko-KR"/>
        </w:rPr>
        <w:t>support</w:t>
      </w:r>
      <w:r w:rsidR="009244AD" w:rsidRPr="004635E5">
        <w:rPr>
          <w:rFonts w:eastAsiaTheme="minorEastAsia"/>
          <w:bCs/>
          <w:sz w:val="22"/>
          <w:szCs w:val="22"/>
          <w:lang w:eastAsia="ko-KR"/>
        </w:rPr>
        <w:t xml:space="preserve">ed deletion of the </w:t>
      </w:r>
      <w:r w:rsidR="00DE2F40" w:rsidRPr="004635E5">
        <w:rPr>
          <w:rFonts w:eastAsiaTheme="minorEastAsia"/>
          <w:bCs/>
          <w:sz w:val="22"/>
          <w:szCs w:val="22"/>
          <w:lang w:eastAsia="ko-KR"/>
        </w:rPr>
        <w:t>ref</w:t>
      </w:r>
      <w:r w:rsidR="009244AD" w:rsidRPr="004635E5">
        <w:rPr>
          <w:rFonts w:eastAsiaTheme="minorEastAsia"/>
          <w:bCs/>
          <w:sz w:val="22"/>
          <w:szCs w:val="22"/>
          <w:lang w:eastAsia="ko-KR"/>
        </w:rPr>
        <w:t xml:space="preserve">erence </w:t>
      </w:r>
      <w:r w:rsidR="00DE2F40" w:rsidRPr="004635E5">
        <w:rPr>
          <w:rFonts w:eastAsiaTheme="minorEastAsia"/>
          <w:bCs/>
          <w:sz w:val="22"/>
          <w:szCs w:val="22"/>
          <w:lang w:eastAsia="ko-KR"/>
        </w:rPr>
        <w:t>to LRP using F</w:t>
      </w:r>
      <w:r w:rsidR="005842F3" w:rsidRPr="004635E5">
        <w:rPr>
          <w:rFonts w:eastAsiaTheme="minorEastAsia"/>
          <w:bCs/>
          <w:sz w:val="22"/>
          <w:szCs w:val="22"/>
          <w:vertAlign w:val="subscript"/>
          <w:lang w:eastAsia="ko-KR"/>
        </w:rPr>
        <w:t>M</w:t>
      </w:r>
      <w:r w:rsidR="00DE2F40" w:rsidRPr="004635E5">
        <w:rPr>
          <w:rFonts w:eastAsiaTheme="minorEastAsia"/>
          <w:bCs/>
          <w:sz w:val="22"/>
          <w:szCs w:val="22"/>
          <w:vertAlign w:val="subscript"/>
          <w:lang w:eastAsia="ko-KR"/>
        </w:rPr>
        <w:t>SM</w:t>
      </w:r>
      <w:r w:rsidR="00DE2F40" w:rsidRPr="004635E5">
        <w:rPr>
          <w:rFonts w:eastAsiaTheme="minorEastAsia"/>
          <w:bCs/>
          <w:sz w:val="22"/>
          <w:szCs w:val="22"/>
          <w:lang w:eastAsia="ko-KR"/>
        </w:rPr>
        <w:t xml:space="preserve">. </w:t>
      </w:r>
      <w:r w:rsidR="005842F3" w:rsidRPr="004635E5">
        <w:rPr>
          <w:rFonts w:eastAsiaTheme="minorEastAsia"/>
          <w:bCs/>
          <w:sz w:val="22"/>
          <w:szCs w:val="22"/>
          <w:lang w:eastAsia="ko-KR"/>
        </w:rPr>
        <w:t xml:space="preserve">He noted the </w:t>
      </w:r>
      <w:r w:rsidR="00DE2F40" w:rsidRPr="004635E5">
        <w:rPr>
          <w:rFonts w:eastAsiaTheme="minorEastAsia"/>
          <w:bCs/>
          <w:sz w:val="22"/>
          <w:szCs w:val="22"/>
          <w:lang w:eastAsia="ko-KR"/>
        </w:rPr>
        <w:t>ref</w:t>
      </w:r>
      <w:r w:rsidR="005842F3" w:rsidRPr="004635E5">
        <w:rPr>
          <w:rFonts w:eastAsiaTheme="minorEastAsia"/>
          <w:bCs/>
          <w:sz w:val="22"/>
          <w:szCs w:val="22"/>
          <w:lang w:eastAsia="ko-KR"/>
        </w:rPr>
        <w:t>erence</w:t>
      </w:r>
      <w:r w:rsidR="00DE2F40" w:rsidRPr="004635E5">
        <w:rPr>
          <w:rFonts w:eastAsiaTheme="minorEastAsia"/>
          <w:bCs/>
          <w:sz w:val="22"/>
          <w:szCs w:val="22"/>
          <w:lang w:eastAsia="ko-KR"/>
        </w:rPr>
        <w:t xml:space="preserve"> point </w:t>
      </w:r>
      <w:r w:rsidR="00270656" w:rsidRPr="004635E5">
        <w:rPr>
          <w:rFonts w:eastAsiaTheme="minorEastAsia"/>
          <w:bCs/>
          <w:sz w:val="22"/>
          <w:szCs w:val="22"/>
          <w:lang w:eastAsia="ko-KR"/>
        </w:rPr>
        <w:t xml:space="preserve">was </w:t>
      </w:r>
      <w:r w:rsidR="005842F3" w:rsidRPr="004635E5">
        <w:rPr>
          <w:rFonts w:eastAsiaTheme="minorEastAsia"/>
          <w:bCs/>
          <w:sz w:val="22"/>
          <w:szCs w:val="22"/>
          <w:lang w:eastAsia="ko-KR"/>
        </w:rPr>
        <w:t xml:space="preserve">the </w:t>
      </w:r>
      <w:r w:rsidR="00DE2F40" w:rsidRPr="004635E5">
        <w:rPr>
          <w:rFonts w:eastAsiaTheme="minorEastAsia"/>
          <w:bCs/>
          <w:sz w:val="22"/>
          <w:szCs w:val="22"/>
          <w:lang w:eastAsia="ko-KR"/>
        </w:rPr>
        <w:t xml:space="preserve">key point for </w:t>
      </w:r>
      <w:r w:rsidR="005842F3" w:rsidRPr="004635E5">
        <w:rPr>
          <w:rFonts w:eastAsiaTheme="minorEastAsia"/>
          <w:bCs/>
          <w:sz w:val="22"/>
          <w:szCs w:val="22"/>
          <w:lang w:eastAsia="ko-KR"/>
        </w:rPr>
        <w:t xml:space="preserve">the </w:t>
      </w:r>
      <w:r w:rsidR="00DE2F40" w:rsidRPr="004635E5">
        <w:rPr>
          <w:rFonts w:eastAsiaTheme="minorEastAsia"/>
          <w:bCs/>
          <w:sz w:val="22"/>
          <w:szCs w:val="22"/>
          <w:lang w:eastAsia="ko-KR"/>
        </w:rPr>
        <w:t>risk assessment. F</w:t>
      </w:r>
      <w:r w:rsidR="00DE2F40" w:rsidRPr="004635E5">
        <w:rPr>
          <w:rFonts w:eastAsiaTheme="minorEastAsia"/>
          <w:bCs/>
          <w:sz w:val="22"/>
          <w:szCs w:val="22"/>
          <w:vertAlign w:val="subscript"/>
          <w:lang w:eastAsia="ko-KR"/>
        </w:rPr>
        <w:t>MSM</w:t>
      </w:r>
      <w:r w:rsidR="00DE2F40" w:rsidRPr="004635E5">
        <w:rPr>
          <w:rFonts w:eastAsiaTheme="minorEastAsia"/>
          <w:bCs/>
          <w:sz w:val="22"/>
          <w:szCs w:val="22"/>
          <w:lang w:eastAsia="ko-KR"/>
        </w:rPr>
        <w:t xml:space="preserve"> is equiv</w:t>
      </w:r>
      <w:r w:rsidR="005842F3" w:rsidRPr="004635E5">
        <w:rPr>
          <w:rFonts w:eastAsiaTheme="minorEastAsia"/>
          <w:bCs/>
          <w:sz w:val="22"/>
          <w:szCs w:val="22"/>
          <w:lang w:eastAsia="ko-KR"/>
        </w:rPr>
        <w:t>alent</w:t>
      </w:r>
      <w:r w:rsidR="00DE2F40" w:rsidRPr="004635E5">
        <w:rPr>
          <w:rFonts w:eastAsiaTheme="minorEastAsia"/>
          <w:bCs/>
          <w:sz w:val="22"/>
          <w:szCs w:val="22"/>
          <w:lang w:eastAsia="ko-KR"/>
        </w:rPr>
        <w:t xml:space="preserve"> to F</w:t>
      </w:r>
      <w:r w:rsidR="00DE2F40" w:rsidRPr="004635E5">
        <w:rPr>
          <w:rFonts w:eastAsiaTheme="minorEastAsia"/>
          <w:bCs/>
          <w:sz w:val="22"/>
          <w:szCs w:val="22"/>
          <w:vertAlign w:val="subscript"/>
          <w:lang w:eastAsia="ko-KR"/>
        </w:rPr>
        <w:t>MSY</w:t>
      </w:r>
      <w:r w:rsidR="00DE2F40" w:rsidRPr="004635E5">
        <w:rPr>
          <w:rFonts w:eastAsiaTheme="minorEastAsia"/>
          <w:bCs/>
          <w:sz w:val="22"/>
          <w:szCs w:val="22"/>
          <w:lang w:eastAsia="ko-KR"/>
        </w:rPr>
        <w:t xml:space="preserve">, </w:t>
      </w:r>
      <w:r w:rsidR="005842F3" w:rsidRPr="004635E5">
        <w:rPr>
          <w:rFonts w:eastAsiaTheme="minorEastAsia"/>
          <w:bCs/>
          <w:sz w:val="22"/>
          <w:szCs w:val="22"/>
          <w:lang w:eastAsia="ko-KR"/>
        </w:rPr>
        <w:t xml:space="preserve">but the </w:t>
      </w:r>
      <w:r w:rsidR="00DE2F40" w:rsidRPr="004635E5">
        <w:rPr>
          <w:rFonts w:eastAsiaTheme="minorEastAsia"/>
          <w:bCs/>
          <w:sz w:val="22"/>
          <w:szCs w:val="22"/>
          <w:lang w:eastAsia="ko-KR"/>
        </w:rPr>
        <w:t>value differs by sha</w:t>
      </w:r>
      <w:r w:rsidR="005842F3" w:rsidRPr="004635E5">
        <w:rPr>
          <w:rFonts w:eastAsiaTheme="minorEastAsia"/>
          <w:bCs/>
          <w:sz w:val="22"/>
          <w:szCs w:val="22"/>
          <w:lang w:eastAsia="ko-KR"/>
        </w:rPr>
        <w:t>r</w:t>
      </w:r>
      <w:r w:rsidR="00DE2F40" w:rsidRPr="004635E5">
        <w:rPr>
          <w:rFonts w:eastAsiaTheme="minorEastAsia"/>
          <w:bCs/>
          <w:sz w:val="22"/>
          <w:szCs w:val="22"/>
          <w:lang w:eastAsia="ko-KR"/>
        </w:rPr>
        <w:t>k species and is diff</w:t>
      </w:r>
      <w:r w:rsidR="005842F3" w:rsidRPr="004635E5">
        <w:rPr>
          <w:rFonts w:eastAsiaTheme="minorEastAsia"/>
          <w:bCs/>
          <w:sz w:val="22"/>
          <w:szCs w:val="22"/>
          <w:lang w:eastAsia="ko-KR"/>
        </w:rPr>
        <w:t>icult</w:t>
      </w:r>
      <w:r w:rsidR="00DE2F40" w:rsidRPr="004635E5">
        <w:rPr>
          <w:rFonts w:eastAsiaTheme="minorEastAsia"/>
          <w:bCs/>
          <w:sz w:val="22"/>
          <w:szCs w:val="22"/>
          <w:lang w:eastAsia="ko-KR"/>
        </w:rPr>
        <w:t xml:space="preserve"> to est</w:t>
      </w:r>
      <w:r w:rsidR="005842F3" w:rsidRPr="004635E5">
        <w:rPr>
          <w:rFonts w:eastAsiaTheme="minorEastAsia"/>
          <w:bCs/>
          <w:sz w:val="22"/>
          <w:szCs w:val="22"/>
          <w:lang w:eastAsia="ko-KR"/>
        </w:rPr>
        <w:t>imate</w:t>
      </w:r>
      <w:r w:rsidR="00DE2F40" w:rsidRPr="004635E5">
        <w:rPr>
          <w:rFonts w:eastAsiaTheme="minorEastAsia"/>
          <w:bCs/>
          <w:sz w:val="22"/>
          <w:szCs w:val="22"/>
          <w:lang w:eastAsia="ko-KR"/>
        </w:rPr>
        <w:t xml:space="preserve">. </w:t>
      </w:r>
      <w:r w:rsidR="005842F3" w:rsidRPr="004635E5">
        <w:rPr>
          <w:rFonts w:eastAsiaTheme="minorEastAsia"/>
          <w:bCs/>
          <w:sz w:val="22"/>
          <w:szCs w:val="22"/>
          <w:lang w:eastAsia="ko-KR"/>
        </w:rPr>
        <w:t xml:space="preserve">The </w:t>
      </w:r>
      <w:r w:rsidR="00DE2F40" w:rsidRPr="004635E5">
        <w:rPr>
          <w:rFonts w:eastAsiaTheme="minorEastAsia"/>
          <w:bCs/>
          <w:sz w:val="22"/>
          <w:szCs w:val="22"/>
          <w:lang w:eastAsia="ko-KR"/>
        </w:rPr>
        <w:t>uncert</w:t>
      </w:r>
      <w:r w:rsidR="005842F3" w:rsidRPr="004635E5">
        <w:rPr>
          <w:rFonts w:eastAsiaTheme="minorEastAsia"/>
          <w:bCs/>
          <w:sz w:val="22"/>
          <w:szCs w:val="22"/>
          <w:lang w:eastAsia="ko-KR"/>
        </w:rPr>
        <w:t>ainty</w:t>
      </w:r>
      <w:r w:rsidR="00DE2F40" w:rsidRPr="004635E5">
        <w:rPr>
          <w:rFonts w:eastAsiaTheme="minorEastAsia"/>
          <w:bCs/>
          <w:sz w:val="22"/>
          <w:szCs w:val="22"/>
          <w:lang w:eastAsia="ko-KR"/>
        </w:rPr>
        <w:t xml:space="preserve"> of F</w:t>
      </w:r>
      <w:r w:rsidR="00DE2F40" w:rsidRPr="004635E5">
        <w:rPr>
          <w:rFonts w:eastAsiaTheme="minorEastAsia"/>
          <w:bCs/>
          <w:sz w:val="22"/>
          <w:szCs w:val="22"/>
          <w:vertAlign w:val="subscript"/>
          <w:lang w:eastAsia="ko-KR"/>
        </w:rPr>
        <w:t>MSM</w:t>
      </w:r>
      <w:r w:rsidR="00DE2F40" w:rsidRPr="004635E5">
        <w:rPr>
          <w:rFonts w:eastAsiaTheme="minorEastAsia"/>
          <w:bCs/>
          <w:sz w:val="22"/>
          <w:szCs w:val="22"/>
          <w:lang w:eastAsia="ko-KR"/>
        </w:rPr>
        <w:t xml:space="preserve"> </w:t>
      </w:r>
      <w:r w:rsidR="005842F3" w:rsidRPr="004635E5">
        <w:rPr>
          <w:rFonts w:eastAsiaTheme="minorEastAsia"/>
          <w:bCs/>
          <w:sz w:val="22"/>
          <w:szCs w:val="22"/>
          <w:lang w:eastAsia="ko-KR"/>
        </w:rPr>
        <w:t xml:space="preserve">should be included, and thus the </w:t>
      </w:r>
      <w:r w:rsidR="00DE2F40" w:rsidRPr="004635E5">
        <w:rPr>
          <w:rFonts w:eastAsiaTheme="minorEastAsia"/>
          <w:bCs/>
          <w:sz w:val="22"/>
          <w:szCs w:val="22"/>
          <w:lang w:eastAsia="ko-KR"/>
        </w:rPr>
        <w:t>LRP also has uncert</w:t>
      </w:r>
      <w:r w:rsidR="005842F3" w:rsidRPr="004635E5">
        <w:rPr>
          <w:rFonts w:eastAsiaTheme="minorEastAsia"/>
          <w:bCs/>
          <w:sz w:val="22"/>
          <w:szCs w:val="22"/>
          <w:lang w:eastAsia="ko-KR"/>
        </w:rPr>
        <w:t>ainty</w:t>
      </w:r>
      <w:r w:rsidR="00DE2F40" w:rsidRPr="004635E5">
        <w:rPr>
          <w:rFonts w:eastAsiaTheme="minorEastAsia"/>
          <w:bCs/>
          <w:sz w:val="22"/>
          <w:szCs w:val="22"/>
          <w:lang w:eastAsia="ko-KR"/>
        </w:rPr>
        <w:t xml:space="preserve">. </w:t>
      </w:r>
    </w:p>
    <w:p w14:paraId="141EC74E" w14:textId="77777777" w:rsidR="00A61B2B" w:rsidRPr="004635E5" w:rsidRDefault="00A61B2B" w:rsidP="006633A8">
      <w:pPr>
        <w:autoSpaceDE w:val="0"/>
        <w:autoSpaceDN w:val="0"/>
        <w:adjustRightInd w:val="0"/>
        <w:snapToGrid w:val="0"/>
        <w:jc w:val="both"/>
        <w:rPr>
          <w:rFonts w:eastAsiaTheme="minorEastAsia"/>
          <w:bCs/>
          <w:sz w:val="22"/>
          <w:szCs w:val="22"/>
          <w:lang w:eastAsia="ko-KR"/>
        </w:rPr>
      </w:pPr>
    </w:p>
    <w:p w14:paraId="7BD0A7B1" w14:textId="77777777" w:rsidR="00DE2F40" w:rsidRPr="004635E5" w:rsidRDefault="00CD59FC"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 xml:space="preserve">SPC commented that the presentation indicated precautionary assumptions were made, and observed this was not </w:t>
      </w:r>
      <w:r>
        <w:rPr>
          <w:rFonts w:eastAsiaTheme="minorEastAsia"/>
          <w:bCs/>
          <w:sz w:val="22"/>
          <w:szCs w:val="22"/>
          <w:lang w:eastAsia="ko-KR"/>
        </w:rPr>
        <w:t>the approach taken</w:t>
      </w:r>
      <w:r w:rsidRPr="004635E5">
        <w:rPr>
          <w:rFonts w:eastAsiaTheme="minorEastAsia"/>
          <w:bCs/>
          <w:sz w:val="22"/>
          <w:szCs w:val="22"/>
          <w:lang w:eastAsia="ko-KR"/>
        </w:rPr>
        <w:t xml:space="preserve"> in regular </w:t>
      </w:r>
      <w:r>
        <w:rPr>
          <w:rFonts w:eastAsiaTheme="minorEastAsia"/>
          <w:bCs/>
          <w:sz w:val="22"/>
          <w:szCs w:val="22"/>
          <w:lang w:eastAsia="ko-KR"/>
        </w:rPr>
        <w:t>stock assessment</w:t>
      </w:r>
      <w:r w:rsidRPr="004635E5">
        <w:rPr>
          <w:rFonts w:eastAsiaTheme="minorEastAsia"/>
          <w:bCs/>
          <w:sz w:val="22"/>
          <w:szCs w:val="22"/>
          <w:lang w:eastAsia="ko-KR"/>
        </w:rPr>
        <w:t xml:space="preserve">s, especially when trying to evaluate </w:t>
      </w:r>
      <w:r>
        <w:rPr>
          <w:rFonts w:eastAsiaTheme="minorEastAsia"/>
          <w:bCs/>
          <w:sz w:val="22"/>
          <w:szCs w:val="22"/>
          <w:lang w:eastAsia="ko-KR"/>
        </w:rPr>
        <w:t xml:space="preserve">using </w:t>
      </w:r>
      <w:r w:rsidRPr="004635E5">
        <w:rPr>
          <w:rFonts w:eastAsiaTheme="minorEastAsia"/>
          <w:bCs/>
          <w:sz w:val="22"/>
          <w:szCs w:val="22"/>
          <w:lang w:eastAsia="ko-KR"/>
        </w:rPr>
        <w:t>a risk-based approach</w:t>
      </w:r>
      <w:r w:rsidR="00DE2F40" w:rsidRPr="004635E5">
        <w:rPr>
          <w:rFonts w:eastAsiaTheme="minorEastAsia"/>
          <w:bCs/>
          <w:sz w:val="22"/>
          <w:szCs w:val="22"/>
          <w:lang w:eastAsia="ko-KR"/>
        </w:rPr>
        <w:t xml:space="preserve">. </w:t>
      </w:r>
      <w:r w:rsidR="005842F3" w:rsidRPr="004635E5">
        <w:rPr>
          <w:rFonts w:eastAsiaTheme="minorEastAsia"/>
          <w:bCs/>
          <w:sz w:val="22"/>
          <w:szCs w:val="22"/>
          <w:lang w:eastAsia="ko-KR"/>
        </w:rPr>
        <w:t xml:space="preserve">SPC suggested this </w:t>
      </w:r>
      <w:r w:rsidR="00DE2F40" w:rsidRPr="004635E5">
        <w:rPr>
          <w:rFonts w:eastAsiaTheme="minorEastAsia"/>
          <w:bCs/>
          <w:sz w:val="22"/>
          <w:szCs w:val="22"/>
          <w:lang w:eastAsia="ko-KR"/>
        </w:rPr>
        <w:t xml:space="preserve">be made clear in the recommendations, and some consideration given </w:t>
      </w:r>
      <w:r w:rsidR="005842F3" w:rsidRPr="004635E5">
        <w:rPr>
          <w:rFonts w:eastAsiaTheme="minorEastAsia"/>
          <w:bCs/>
          <w:sz w:val="22"/>
          <w:szCs w:val="22"/>
          <w:lang w:eastAsia="ko-KR"/>
        </w:rPr>
        <w:t xml:space="preserve">to using </w:t>
      </w:r>
      <w:r w:rsidR="00DE2F40" w:rsidRPr="004635E5">
        <w:rPr>
          <w:rFonts w:eastAsiaTheme="minorEastAsia"/>
          <w:bCs/>
          <w:sz w:val="22"/>
          <w:szCs w:val="22"/>
          <w:lang w:eastAsia="ko-KR"/>
        </w:rPr>
        <w:t>best estimates</w:t>
      </w:r>
      <w:r w:rsidR="005842F3" w:rsidRPr="004635E5">
        <w:rPr>
          <w:rFonts w:eastAsiaTheme="minorEastAsia"/>
          <w:bCs/>
          <w:sz w:val="22"/>
          <w:szCs w:val="22"/>
          <w:lang w:eastAsia="ko-KR"/>
        </w:rPr>
        <w:t xml:space="preserve">, as the use of precautionary assumptions made </w:t>
      </w:r>
      <w:r w:rsidR="00DE2F40" w:rsidRPr="004635E5">
        <w:rPr>
          <w:rFonts w:eastAsiaTheme="minorEastAsia"/>
          <w:bCs/>
          <w:sz w:val="22"/>
          <w:szCs w:val="22"/>
          <w:lang w:eastAsia="ko-KR"/>
        </w:rPr>
        <w:t>it diff</w:t>
      </w:r>
      <w:r w:rsidR="005842F3" w:rsidRPr="004635E5">
        <w:rPr>
          <w:rFonts w:eastAsiaTheme="minorEastAsia"/>
          <w:bCs/>
          <w:sz w:val="22"/>
          <w:szCs w:val="22"/>
          <w:lang w:eastAsia="ko-KR"/>
        </w:rPr>
        <w:t>icult</w:t>
      </w:r>
      <w:r w:rsidR="00DE2F40" w:rsidRPr="004635E5">
        <w:rPr>
          <w:rFonts w:eastAsiaTheme="minorEastAsia"/>
          <w:bCs/>
          <w:sz w:val="22"/>
          <w:szCs w:val="22"/>
          <w:lang w:eastAsia="ko-KR"/>
        </w:rPr>
        <w:t xml:space="preserve"> to evaluate </w:t>
      </w:r>
      <w:r w:rsidR="005842F3" w:rsidRPr="004635E5">
        <w:rPr>
          <w:rFonts w:eastAsiaTheme="minorEastAsia"/>
          <w:bCs/>
          <w:sz w:val="22"/>
          <w:szCs w:val="22"/>
          <w:lang w:eastAsia="ko-KR"/>
        </w:rPr>
        <w:t xml:space="preserve">results (e.g., </w:t>
      </w:r>
      <w:r w:rsidR="00DE2F40" w:rsidRPr="004635E5">
        <w:rPr>
          <w:rFonts w:eastAsiaTheme="minorEastAsia"/>
          <w:bCs/>
          <w:sz w:val="22"/>
          <w:szCs w:val="22"/>
          <w:lang w:eastAsia="ko-KR"/>
        </w:rPr>
        <w:t>w</w:t>
      </w:r>
      <w:r w:rsidR="005842F3" w:rsidRPr="004635E5">
        <w:rPr>
          <w:rFonts w:eastAsiaTheme="minorEastAsia"/>
          <w:bCs/>
          <w:sz w:val="22"/>
          <w:szCs w:val="22"/>
          <w:lang w:eastAsia="ko-KR"/>
        </w:rPr>
        <w:t>ith</w:t>
      </w:r>
      <w:r w:rsidR="00DE2F40" w:rsidRPr="004635E5">
        <w:rPr>
          <w:rFonts w:eastAsiaTheme="minorEastAsia"/>
          <w:bCs/>
          <w:sz w:val="22"/>
          <w:szCs w:val="22"/>
          <w:lang w:eastAsia="ko-KR"/>
        </w:rPr>
        <w:t xml:space="preserve"> regard to ref</w:t>
      </w:r>
      <w:r w:rsidR="00270656" w:rsidRPr="004635E5">
        <w:rPr>
          <w:rFonts w:eastAsiaTheme="minorEastAsia"/>
          <w:bCs/>
          <w:sz w:val="22"/>
          <w:szCs w:val="22"/>
          <w:lang w:eastAsia="ko-KR"/>
        </w:rPr>
        <w:t>erence</w:t>
      </w:r>
      <w:r w:rsidR="00DE2F40" w:rsidRPr="004635E5">
        <w:rPr>
          <w:rFonts w:eastAsiaTheme="minorEastAsia"/>
          <w:bCs/>
          <w:sz w:val="22"/>
          <w:szCs w:val="22"/>
          <w:lang w:eastAsia="ko-KR"/>
        </w:rPr>
        <w:t xml:space="preserve"> points</w:t>
      </w:r>
      <w:r w:rsidR="005842F3" w:rsidRPr="004635E5">
        <w:rPr>
          <w:rFonts w:eastAsiaTheme="minorEastAsia"/>
          <w:bCs/>
          <w:sz w:val="22"/>
          <w:szCs w:val="22"/>
          <w:lang w:eastAsia="ko-KR"/>
        </w:rPr>
        <w:t>)</w:t>
      </w:r>
      <w:r w:rsidR="00DE2F40" w:rsidRPr="004635E5">
        <w:rPr>
          <w:rFonts w:eastAsiaTheme="minorEastAsia"/>
          <w:bCs/>
          <w:sz w:val="22"/>
          <w:szCs w:val="22"/>
          <w:lang w:eastAsia="ko-KR"/>
        </w:rPr>
        <w:t xml:space="preserve">. </w:t>
      </w:r>
    </w:p>
    <w:p w14:paraId="0EBE1F86" w14:textId="77777777" w:rsidR="00A61B2B" w:rsidRPr="004635E5" w:rsidRDefault="00A61B2B" w:rsidP="006633A8">
      <w:pPr>
        <w:autoSpaceDE w:val="0"/>
        <w:autoSpaceDN w:val="0"/>
        <w:adjustRightInd w:val="0"/>
        <w:snapToGrid w:val="0"/>
        <w:jc w:val="both"/>
        <w:rPr>
          <w:rFonts w:eastAsiaTheme="minorEastAsia"/>
          <w:bCs/>
          <w:sz w:val="22"/>
          <w:szCs w:val="22"/>
          <w:lang w:eastAsia="ko-KR"/>
        </w:rPr>
      </w:pPr>
    </w:p>
    <w:p w14:paraId="2ECC12A6" w14:textId="77777777" w:rsidR="00DE2F40" w:rsidRPr="004635E5" w:rsidRDefault="005842F3"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 xml:space="preserve">The </w:t>
      </w:r>
      <w:r w:rsidR="00DE2F40" w:rsidRPr="004635E5">
        <w:rPr>
          <w:rFonts w:eastAsiaTheme="minorEastAsia"/>
          <w:bCs/>
          <w:sz w:val="22"/>
          <w:szCs w:val="22"/>
          <w:lang w:eastAsia="ko-KR"/>
        </w:rPr>
        <w:t xml:space="preserve">Cook Islands </w:t>
      </w:r>
      <w:r w:rsidRPr="004635E5">
        <w:rPr>
          <w:rFonts w:eastAsiaTheme="minorEastAsia"/>
          <w:bCs/>
          <w:sz w:val="22"/>
          <w:szCs w:val="22"/>
          <w:lang w:eastAsia="ko-KR"/>
        </w:rPr>
        <w:t>commented that they</w:t>
      </w:r>
      <w:r w:rsidR="00DE2F40" w:rsidRPr="004635E5">
        <w:rPr>
          <w:rFonts w:eastAsiaTheme="minorEastAsia"/>
          <w:bCs/>
          <w:sz w:val="22"/>
          <w:szCs w:val="22"/>
          <w:lang w:eastAsia="ko-KR"/>
        </w:rPr>
        <w:t xml:space="preserve"> welcome</w:t>
      </w:r>
      <w:r w:rsidRPr="004635E5">
        <w:rPr>
          <w:rFonts w:eastAsiaTheme="minorEastAsia"/>
          <w:bCs/>
          <w:sz w:val="22"/>
          <w:szCs w:val="22"/>
          <w:lang w:eastAsia="ko-KR"/>
        </w:rPr>
        <w:t>d</w:t>
      </w:r>
      <w:r w:rsidR="00DE2F40" w:rsidRPr="004635E5">
        <w:rPr>
          <w:rFonts w:eastAsiaTheme="minorEastAsia"/>
          <w:bCs/>
          <w:sz w:val="22"/>
          <w:szCs w:val="22"/>
          <w:lang w:eastAsia="ko-KR"/>
        </w:rPr>
        <w:t xml:space="preserve"> the use</w:t>
      </w:r>
      <w:r w:rsidR="00270656" w:rsidRPr="004635E5">
        <w:rPr>
          <w:rFonts w:eastAsiaTheme="minorEastAsia"/>
          <w:bCs/>
          <w:sz w:val="22"/>
          <w:szCs w:val="22"/>
          <w:lang w:eastAsia="ko-KR"/>
        </w:rPr>
        <w:t xml:space="preserve"> of indicator-</w:t>
      </w:r>
      <w:r w:rsidR="00DE2F40" w:rsidRPr="004635E5">
        <w:rPr>
          <w:rFonts w:eastAsiaTheme="minorEastAsia"/>
          <w:bCs/>
          <w:sz w:val="22"/>
          <w:szCs w:val="22"/>
          <w:lang w:eastAsia="ko-KR"/>
        </w:rPr>
        <w:t xml:space="preserve">based analyses to </w:t>
      </w:r>
      <w:r w:rsidR="00270656" w:rsidRPr="004635E5">
        <w:rPr>
          <w:rFonts w:eastAsiaTheme="minorEastAsia"/>
          <w:bCs/>
          <w:sz w:val="22"/>
          <w:szCs w:val="22"/>
          <w:lang w:eastAsia="ko-KR"/>
        </w:rPr>
        <w:t>characterize</w:t>
      </w:r>
      <w:r w:rsidR="00DE2F40" w:rsidRPr="004635E5">
        <w:rPr>
          <w:rFonts w:eastAsiaTheme="minorEastAsia"/>
          <w:bCs/>
          <w:sz w:val="22"/>
          <w:szCs w:val="22"/>
          <w:lang w:eastAsia="ko-KR"/>
        </w:rPr>
        <w:t xml:space="preserve"> fishery impact, particularly where limited by data deficiencies. The risk analysis provides a useful basis to determine the impact of purse seine fisheries on the Pacific whale shark population, particularly in the WCPO, and to identify where additional work is needed to address knowledge gaps, and inform potential management options.</w:t>
      </w:r>
      <w:r w:rsidRPr="004635E5">
        <w:rPr>
          <w:rFonts w:eastAsiaTheme="minorEastAsia"/>
          <w:bCs/>
          <w:sz w:val="22"/>
          <w:szCs w:val="22"/>
          <w:lang w:eastAsia="ko-KR"/>
        </w:rPr>
        <w:t xml:space="preserve"> </w:t>
      </w:r>
      <w:r w:rsidR="00270656" w:rsidRPr="004635E5">
        <w:rPr>
          <w:rFonts w:eastAsiaTheme="minorEastAsia"/>
          <w:bCs/>
          <w:sz w:val="22"/>
          <w:szCs w:val="22"/>
          <w:lang w:eastAsia="ko-KR"/>
        </w:rPr>
        <w:t xml:space="preserve">They </w:t>
      </w:r>
      <w:r w:rsidRPr="004635E5">
        <w:rPr>
          <w:rFonts w:eastAsiaTheme="minorEastAsia"/>
          <w:bCs/>
          <w:sz w:val="22"/>
          <w:szCs w:val="22"/>
          <w:lang w:eastAsia="ko-KR"/>
        </w:rPr>
        <w:t>recogniz</w:t>
      </w:r>
      <w:r w:rsidR="00DE2F40" w:rsidRPr="004635E5">
        <w:rPr>
          <w:rFonts w:eastAsiaTheme="minorEastAsia"/>
          <w:bCs/>
          <w:sz w:val="22"/>
          <w:szCs w:val="22"/>
          <w:lang w:eastAsia="ko-KR"/>
        </w:rPr>
        <w:t>e</w:t>
      </w:r>
      <w:r w:rsidR="00270656" w:rsidRPr="004635E5">
        <w:rPr>
          <w:rFonts w:eastAsiaTheme="minorEastAsia"/>
          <w:bCs/>
          <w:sz w:val="22"/>
          <w:szCs w:val="22"/>
          <w:lang w:eastAsia="ko-KR"/>
        </w:rPr>
        <w:t>d</w:t>
      </w:r>
      <w:r w:rsidR="00DE2F40" w:rsidRPr="004635E5">
        <w:rPr>
          <w:rFonts w:eastAsiaTheme="minorEastAsia"/>
          <w:bCs/>
          <w:sz w:val="22"/>
          <w:szCs w:val="22"/>
          <w:lang w:eastAsia="ko-KR"/>
        </w:rPr>
        <w:t xml:space="preserve"> that additional measures </w:t>
      </w:r>
      <w:r w:rsidR="00270656" w:rsidRPr="004635E5">
        <w:rPr>
          <w:rFonts w:eastAsiaTheme="minorEastAsia"/>
          <w:bCs/>
          <w:sz w:val="22"/>
          <w:szCs w:val="22"/>
          <w:lang w:eastAsia="ko-KR"/>
        </w:rPr>
        <w:t>could be taken to improve post-</w:t>
      </w:r>
      <w:r w:rsidR="00DE2F40" w:rsidRPr="004635E5">
        <w:rPr>
          <w:rFonts w:eastAsiaTheme="minorEastAsia"/>
          <w:bCs/>
          <w:sz w:val="22"/>
          <w:szCs w:val="22"/>
          <w:lang w:eastAsia="ko-KR"/>
        </w:rPr>
        <w:t xml:space="preserve">release survival of whale sharks, as well as more work to improve estimates of survival rates. </w:t>
      </w:r>
      <w:r w:rsidR="00270656" w:rsidRPr="004635E5">
        <w:rPr>
          <w:rFonts w:eastAsiaTheme="minorEastAsia"/>
          <w:bCs/>
          <w:sz w:val="22"/>
          <w:szCs w:val="22"/>
          <w:lang w:eastAsia="ko-KR"/>
        </w:rPr>
        <w:t xml:space="preserve">They stated they </w:t>
      </w:r>
      <w:r w:rsidR="00DE2F40" w:rsidRPr="004635E5">
        <w:rPr>
          <w:rFonts w:eastAsiaTheme="minorEastAsia"/>
          <w:bCs/>
          <w:sz w:val="22"/>
          <w:szCs w:val="22"/>
          <w:lang w:eastAsia="ko-KR"/>
        </w:rPr>
        <w:t>would like to see the Commission take more proactive measures to ensure that proscribed measures are avoided by all fleets.</w:t>
      </w:r>
      <w:r w:rsidRPr="004635E5">
        <w:rPr>
          <w:rFonts w:eastAsiaTheme="minorEastAsia"/>
          <w:bCs/>
          <w:sz w:val="22"/>
          <w:szCs w:val="22"/>
          <w:lang w:eastAsia="ko-KR"/>
        </w:rPr>
        <w:t xml:space="preserve"> </w:t>
      </w:r>
      <w:r w:rsidR="00270656" w:rsidRPr="004635E5">
        <w:rPr>
          <w:rFonts w:eastAsiaTheme="minorEastAsia"/>
          <w:bCs/>
          <w:sz w:val="22"/>
          <w:szCs w:val="22"/>
          <w:lang w:eastAsia="ko-KR"/>
        </w:rPr>
        <w:t xml:space="preserve">They </w:t>
      </w:r>
      <w:r w:rsidR="00DE2F40" w:rsidRPr="004635E5">
        <w:rPr>
          <w:rFonts w:eastAsiaTheme="minorEastAsia"/>
          <w:bCs/>
          <w:sz w:val="22"/>
          <w:szCs w:val="22"/>
          <w:lang w:eastAsia="ko-KR"/>
        </w:rPr>
        <w:t>note</w:t>
      </w:r>
      <w:r w:rsidR="00270656" w:rsidRPr="004635E5">
        <w:rPr>
          <w:rFonts w:eastAsiaTheme="minorEastAsia"/>
          <w:bCs/>
          <w:sz w:val="22"/>
          <w:szCs w:val="22"/>
          <w:lang w:eastAsia="ko-KR"/>
        </w:rPr>
        <w:t>d the analysis concluded</w:t>
      </w:r>
      <w:r w:rsidR="00DE2F40" w:rsidRPr="004635E5">
        <w:rPr>
          <w:rFonts w:eastAsiaTheme="minorEastAsia"/>
          <w:bCs/>
          <w:sz w:val="22"/>
          <w:szCs w:val="22"/>
          <w:lang w:eastAsia="ko-KR"/>
        </w:rPr>
        <w:t xml:space="preserve"> that there </w:t>
      </w:r>
      <w:r w:rsidR="00270656" w:rsidRPr="004635E5">
        <w:rPr>
          <w:rFonts w:eastAsiaTheme="minorEastAsia"/>
          <w:bCs/>
          <w:sz w:val="22"/>
          <w:szCs w:val="22"/>
          <w:lang w:eastAsia="ko-KR"/>
        </w:rPr>
        <w:t xml:space="preserve">was </w:t>
      </w:r>
      <w:r w:rsidR="00DE2F40" w:rsidRPr="004635E5">
        <w:rPr>
          <w:rFonts w:eastAsiaTheme="minorEastAsia"/>
          <w:bCs/>
          <w:sz w:val="22"/>
          <w:szCs w:val="22"/>
          <w:lang w:eastAsia="ko-KR"/>
        </w:rPr>
        <w:t xml:space="preserve">a moderate to low probability of risk from tropical purse seine fisheries, and would generally agree with this based on some of the outputs within the analysis. However, </w:t>
      </w:r>
      <w:r w:rsidR="00270656" w:rsidRPr="004635E5">
        <w:rPr>
          <w:rFonts w:eastAsiaTheme="minorEastAsia"/>
          <w:bCs/>
          <w:sz w:val="22"/>
          <w:szCs w:val="22"/>
          <w:lang w:eastAsia="ko-KR"/>
        </w:rPr>
        <w:t xml:space="preserve">they </w:t>
      </w:r>
      <w:r w:rsidR="00DE2F40" w:rsidRPr="004635E5">
        <w:rPr>
          <w:rFonts w:eastAsiaTheme="minorEastAsia"/>
          <w:bCs/>
          <w:sz w:val="22"/>
          <w:szCs w:val="22"/>
          <w:lang w:eastAsia="ko-KR"/>
        </w:rPr>
        <w:t>note</w:t>
      </w:r>
      <w:r w:rsidR="00270656" w:rsidRPr="004635E5">
        <w:rPr>
          <w:rFonts w:eastAsiaTheme="minorEastAsia"/>
          <w:bCs/>
          <w:sz w:val="22"/>
          <w:szCs w:val="22"/>
          <w:lang w:eastAsia="ko-KR"/>
        </w:rPr>
        <w:t>d</w:t>
      </w:r>
      <w:r w:rsidR="00DE2F40" w:rsidRPr="004635E5">
        <w:rPr>
          <w:rFonts w:eastAsiaTheme="minorEastAsia"/>
          <w:bCs/>
          <w:sz w:val="22"/>
          <w:szCs w:val="22"/>
          <w:lang w:eastAsia="ko-KR"/>
        </w:rPr>
        <w:t xml:space="preserve"> that the use of the reference points (F</w:t>
      </w:r>
      <w:r w:rsidR="00270656" w:rsidRPr="004635E5">
        <w:rPr>
          <w:rFonts w:eastAsiaTheme="minorEastAsia"/>
          <w:bCs/>
          <w:sz w:val="22"/>
          <w:szCs w:val="22"/>
          <w:vertAlign w:val="subscript"/>
          <w:lang w:eastAsia="ko-KR"/>
        </w:rPr>
        <w:t>LIM</w:t>
      </w:r>
      <w:r w:rsidR="00DE2F40" w:rsidRPr="004635E5">
        <w:rPr>
          <w:rFonts w:eastAsiaTheme="minorEastAsia"/>
          <w:bCs/>
          <w:sz w:val="22"/>
          <w:szCs w:val="22"/>
          <w:lang w:eastAsia="ko-KR"/>
        </w:rPr>
        <w:t>, F</w:t>
      </w:r>
      <w:r w:rsidR="00DE2F40" w:rsidRPr="004635E5">
        <w:rPr>
          <w:rFonts w:eastAsiaTheme="minorEastAsia"/>
          <w:bCs/>
          <w:sz w:val="22"/>
          <w:szCs w:val="22"/>
          <w:vertAlign w:val="subscript"/>
          <w:lang w:eastAsia="ko-KR"/>
        </w:rPr>
        <w:t>MSM</w:t>
      </w:r>
      <w:r w:rsidR="00DE2F40" w:rsidRPr="004635E5">
        <w:rPr>
          <w:rFonts w:eastAsiaTheme="minorEastAsia"/>
          <w:bCs/>
          <w:sz w:val="22"/>
          <w:szCs w:val="22"/>
          <w:lang w:eastAsia="ko-KR"/>
        </w:rPr>
        <w:t>, F</w:t>
      </w:r>
      <w:r w:rsidR="00270656" w:rsidRPr="004635E5">
        <w:rPr>
          <w:rFonts w:eastAsiaTheme="minorEastAsia"/>
          <w:bCs/>
          <w:sz w:val="22"/>
          <w:szCs w:val="22"/>
          <w:vertAlign w:val="subscript"/>
          <w:lang w:eastAsia="ko-KR"/>
        </w:rPr>
        <w:t>CRASH</w:t>
      </w:r>
      <w:r w:rsidR="00DE2F40" w:rsidRPr="004635E5">
        <w:rPr>
          <w:rFonts w:eastAsiaTheme="minorEastAsia"/>
          <w:bCs/>
          <w:sz w:val="22"/>
          <w:szCs w:val="22"/>
          <w:lang w:eastAsia="ko-KR"/>
        </w:rPr>
        <w:t xml:space="preserve">) to characterise risk levels in </w:t>
      </w:r>
      <w:r w:rsidR="00270656" w:rsidRPr="004635E5">
        <w:rPr>
          <w:rFonts w:eastAsiaTheme="minorEastAsia"/>
          <w:bCs/>
          <w:sz w:val="22"/>
          <w:szCs w:val="22"/>
          <w:lang w:eastAsia="ko-KR"/>
        </w:rPr>
        <w:t xml:space="preserve">the </w:t>
      </w:r>
      <w:r w:rsidR="00DE2F40" w:rsidRPr="004635E5">
        <w:rPr>
          <w:rFonts w:eastAsiaTheme="minorEastAsia"/>
          <w:bCs/>
          <w:sz w:val="22"/>
          <w:szCs w:val="22"/>
          <w:lang w:eastAsia="ko-KR"/>
        </w:rPr>
        <w:t>study</w:t>
      </w:r>
      <w:r w:rsidR="00270656" w:rsidRPr="004635E5">
        <w:rPr>
          <w:rFonts w:eastAsiaTheme="minorEastAsia"/>
          <w:bCs/>
          <w:sz w:val="22"/>
          <w:szCs w:val="22"/>
          <w:lang w:eastAsia="ko-KR"/>
        </w:rPr>
        <w:t xml:space="preserve"> were </w:t>
      </w:r>
      <w:r w:rsidR="00DE2F40" w:rsidRPr="004635E5">
        <w:rPr>
          <w:rFonts w:eastAsiaTheme="minorEastAsia"/>
          <w:bCs/>
          <w:sz w:val="22"/>
          <w:szCs w:val="22"/>
          <w:lang w:eastAsia="ko-KR"/>
        </w:rPr>
        <w:t xml:space="preserve">part of wider discussions and ongoing work that the SC </w:t>
      </w:r>
      <w:r w:rsidR="00270656" w:rsidRPr="004635E5">
        <w:rPr>
          <w:rFonts w:eastAsiaTheme="minorEastAsia"/>
          <w:bCs/>
          <w:sz w:val="22"/>
          <w:szCs w:val="22"/>
          <w:lang w:eastAsia="ko-KR"/>
        </w:rPr>
        <w:t xml:space="preserve">was </w:t>
      </w:r>
      <w:r w:rsidR="00DE2F40" w:rsidRPr="004635E5">
        <w:rPr>
          <w:rFonts w:eastAsiaTheme="minorEastAsia"/>
          <w:bCs/>
          <w:sz w:val="22"/>
          <w:szCs w:val="22"/>
          <w:lang w:eastAsia="ko-KR"/>
        </w:rPr>
        <w:t>considering in relation to determining appropriate reference points for sharks, and therefore would prefer that any use of reference points be considered as part of that work.</w:t>
      </w:r>
    </w:p>
    <w:p w14:paraId="65F44245" w14:textId="77777777" w:rsidR="00A61B2B" w:rsidRPr="004635E5" w:rsidRDefault="00A61B2B" w:rsidP="006633A8">
      <w:pPr>
        <w:autoSpaceDE w:val="0"/>
        <w:autoSpaceDN w:val="0"/>
        <w:adjustRightInd w:val="0"/>
        <w:snapToGrid w:val="0"/>
        <w:jc w:val="both"/>
        <w:rPr>
          <w:rFonts w:eastAsiaTheme="minorEastAsia"/>
          <w:bCs/>
          <w:sz w:val="22"/>
          <w:szCs w:val="22"/>
          <w:lang w:eastAsia="ko-KR"/>
        </w:rPr>
      </w:pPr>
    </w:p>
    <w:p w14:paraId="669F3458" w14:textId="77777777" w:rsidR="00402087" w:rsidRPr="000933A4" w:rsidRDefault="00DE2F40"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Palau</w:t>
      </w:r>
      <w:r w:rsidR="005842F3" w:rsidRPr="004635E5">
        <w:rPr>
          <w:rFonts w:eastAsiaTheme="minorEastAsia"/>
          <w:bCs/>
          <w:sz w:val="22"/>
          <w:szCs w:val="22"/>
          <w:lang w:eastAsia="ko-KR"/>
        </w:rPr>
        <w:t xml:space="preserve"> noted that </w:t>
      </w:r>
      <w:r w:rsidR="00402087" w:rsidRPr="004635E5">
        <w:rPr>
          <w:rFonts w:eastAsiaTheme="minorEastAsia"/>
          <w:bCs/>
          <w:sz w:val="22"/>
          <w:szCs w:val="22"/>
          <w:lang w:eastAsia="ko-KR"/>
        </w:rPr>
        <w:t xml:space="preserve">PNA </w:t>
      </w:r>
      <w:r w:rsidR="005842F3" w:rsidRPr="004635E5">
        <w:rPr>
          <w:rFonts w:eastAsiaTheme="minorEastAsia"/>
          <w:bCs/>
          <w:sz w:val="22"/>
          <w:szCs w:val="22"/>
          <w:lang w:eastAsia="ko-KR"/>
        </w:rPr>
        <w:t xml:space="preserve">members were </w:t>
      </w:r>
      <w:r w:rsidR="00402087" w:rsidRPr="004635E5">
        <w:rPr>
          <w:rFonts w:eastAsiaTheme="minorEastAsia"/>
          <w:bCs/>
          <w:sz w:val="22"/>
          <w:szCs w:val="22"/>
          <w:lang w:eastAsia="ko-KR"/>
        </w:rPr>
        <w:t xml:space="preserve">prepared to support </w:t>
      </w:r>
      <w:r w:rsidR="005842F3" w:rsidRPr="004635E5">
        <w:rPr>
          <w:rFonts w:eastAsiaTheme="minorEastAsia"/>
          <w:bCs/>
          <w:sz w:val="22"/>
          <w:szCs w:val="22"/>
          <w:lang w:eastAsia="ko-KR"/>
        </w:rPr>
        <w:t xml:space="preserve">the following </w:t>
      </w:r>
      <w:r w:rsidR="00402087" w:rsidRPr="004635E5">
        <w:rPr>
          <w:rFonts w:eastAsiaTheme="minorEastAsia"/>
          <w:bCs/>
          <w:sz w:val="22"/>
          <w:szCs w:val="22"/>
          <w:lang w:eastAsia="ko-KR"/>
        </w:rPr>
        <w:t>recommendation:</w:t>
      </w:r>
      <w:r w:rsidR="005842F3" w:rsidRPr="004635E5">
        <w:rPr>
          <w:rFonts w:eastAsiaTheme="minorEastAsia"/>
          <w:bCs/>
          <w:sz w:val="22"/>
          <w:szCs w:val="22"/>
          <w:lang w:eastAsia="ko-KR"/>
        </w:rPr>
        <w:t xml:space="preserve"> </w:t>
      </w:r>
      <w:r w:rsidR="00402087" w:rsidRPr="004635E5">
        <w:rPr>
          <w:rFonts w:eastAsiaTheme="minorEastAsia"/>
          <w:bCs/>
          <w:i/>
          <w:sz w:val="22"/>
          <w:szCs w:val="22"/>
          <w:lang w:eastAsia="ko-KR"/>
        </w:rPr>
        <w:t xml:space="preserve">there is a low probability that the Indo-Pacific whale shark is at risk from Pacific purse seine fisheries (median probability of </w:t>
      </w:r>
      <w:r w:rsidR="00E35E8D">
        <w:rPr>
          <w:rFonts w:eastAsiaTheme="minorEastAsia" w:hint="eastAsia"/>
          <w:bCs/>
          <w:i/>
          <w:sz w:val="22"/>
          <w:szCs w:val="22"/>
          <w:lang w:eastAsia="ko-KR"/>
        </w:rPr>
        <w:t>less than 8</w:t>
      </w:r>
      <w:r w:rsidR="00402087" w:rsidRPr="004635E5">
        <w:rPr>
          <w:rFonts w:eastAsiaTheme="minorEastAsia"/>
          <w:bCs/>
          <w:i/>
          <w:sz w:val="22"/>
          <w:szCs w:val="22"/>
          <w:lang w:eastAsia="ko-KR"/>
        </w:rPr>
        <w:t>% that current risk levels exceed life history-based notional reference points</w:t>
      </w:r>
      <w:r w:rsidR="00F3604B" w:rsidRPr="00F3604B">
        <w:rPr>
          <w:i/>
          <w:iCs/>
          <w:lang w:val="en-GB"/>
        </w:rPr>
        <w:t xml:space="preserve"> </w:t>
      </w:r>
      <w:r w:rsidR="00F3604B">
        <w:rPr>
          <w:i/>
          <w:iCs/>
          <w:lang w:val="en-GB"/>
        </w:rPr>
        <w:t>F</w:t>
      </w:r>
      <w:r w:rsidR="00F3604B">
        <w:rPr>
          <w:rFonts w:eastAsiaTheme="minorEastAsia" w:hint="eastAsia"/>
          <w:i/>
          <w:iCs/>
          <w:lang w:val="en-GB" w:eastAsia="ko-KR"/>
        </w:rPr>
        <w:t>l</w:t>
      </w:r>
      <w:r w:rsidR="00F3604B">
        <w:rPr>
          <w:i/>
          <w:iCs/>
          <w:lang w:val="en-GB"/>
        </w:rPr>
        <w:t>im and Fcrash)</w:t>
      </w:r>
    </w:p>
    <w:p w14:paraId="04A807A9" w14:textId="77777777" w:rsidR="000933A4" w:rsidRDefault="000933A4" w:rsidP="000933A4">
      <w:pPr>
        <w:pStyle w:val="ListParagraph"/>
        <w:rPr>
          <w:rFonts w:eastAsiaTheme="minorEastAsia"/>
          <w:bCs/>
          <w:sz w:val="22"/>
          <w:szCs w:val="22"/>
          <w:lang w:eastAsia="ko-KR"/>
        </w:rPr>
      </w:pPr>
    </w:p>
    <w:p w14:paraId="3D3AA341" w14:textId="77777777" w:rsidR="00A6667F" w:rsidRDefault="00B01252"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 xml:space="preserve">The </w:t>
      </w:r>
      <w:r w:rsidR="00DE2F40" w:rsidRPr="004635E5">
        <w:rPr>
          <w:rFonts w:eastAsiaTheme="minorEastAsia"/>
          <w:bCs/>
          <w:sz w:val="22"/>
          <w:szCs w:val="22"/>
          <w:lang w:eastAsia="ko-KR"/>
        </w:rPr>
        <w:t>EU</w:t>
      </w:r>
      <w:r w:rsidRPr="004635E5">
        <w:rPr>
          <w:rFonts w:eastAsiaTheme="minorEastAsia"/>
          <w:bCs/>
          <w:sz w:val="22"/>
          <w:szCs w:val="22"/>
          <w:lang w:eastAsia="ko-KR"/>
        </w:rPr>
        <w:t xml:space="preserve"> asked for clarification regarding data indicating intentional sets on whale sharks. </w:t>
      </w:r>
      <w:r w:rsidR="00DE2F40" w:rsidRPr="004635E5">
        <w:rPr>
          <w:rFonts w:eastAsiaTheme="minorEastAsia"/>
          <w:bCs/>
          <w:sz w:val="22"/>
          <w:szCs w:val="22"/>
          <w:lang w:eastAsia="ko-KR"/>
        </w:rPr>
        <w:t>SPC</w:t>
      </w:r>
      <w:r w:rsidRPr="004635E5">
        <w:rPr>
          <w:rFonts w:eastAsiaTheme="minorEastAsia"/>
          <w:bCs/>
          <w:sz w:val="22"/>
          <w:szCs w:val="22"/>
          <w:lang w:eastAsia="ko-KR"/>
        </w:rPr>
        <w:t xml:space="preserve"> noted that the data would have to be reviewed, but that </w:t>
      </w:r>
      <w:r w:rsidR="00DE2F40" w:rsidRPr="004635E5">
        <w:rPr>
          <w:rFonts w:eastAsiaTheme="minorEastAsia"/>
          <w:bCs/>
          <w:sz w:val="22"/>
          <w:szCs w:val="22"/>
          <w:lang w:eastAsia="ko-KR"/>
        </w:rPr>
        <w:t xml:space="preserve">what observers </w:t>
      </w:r>
      <w:r w:rsidRPr="004635E5">
        <w:rPr>
          <w:rFonts w:eastAsiaTheme="minorEastAsia"/>
          <w:bCs/>
          <w:sz w:val="22"/>
          <w:szCs w:val="22"/>
          <w:lang w:eastAsia="ko-KR"/>
        </w:rPr>
        <w:t xml:space="preserve">were </w:t>
      </w:r>
      <w:r w:rsidR="00DE2F40" w:rsidRPr="004635E5">
        <w:rPr>
          <w:rFonts w:eastAsiaTheme="minorEastAsia"/>
          <w:bCs/>
          <w:sz w:val="22"/>
          <w:szCs w:val="22"/>
          <w:lang w:eastAsia="ko-KR"/>
        </w:rPr>
        <w:t xml:space="preserve">asked to do is record </w:t>
      </w:r>
      <w:r w:rsidRPr="004635E5">
        <w:rPr>
          <w:rFonts w:eastAsiaTheme="minorEastAsia"/>
          <w:bCs/>
          <w:sz w:val="22"/>
          <w:szCs w:val="22"/>
          <w:lang w:eastAsia="ko-KR"/>
        </w:rPr>
        <w:t xml:space="preserve">the </w:t>
      </w:r>
      <w:r w:rsidR="00DE2F40" w:rsidRPr="004635E5">
        <w:rPr>
          <w:rFonts w:eastAsiaTheme="minorEastAsia"/>
          <w:bCs/>
          <w:sz w:val="22"/>
          <w:szCs w:val="22"/>
          <w:lang w:eastAsia="ko-KR"/>
        </w:rPr>
        <w:t>orig</w:t>
      </w:r>
      <w:r w:rsidRPr="004635E5">
        <w:rPr>
          <w:rFonts w:eastAsiaTheme="minorEastAsia"/>
          <w:bCs/>
          <w:sz w:val="22"/>
          <w:szCs w:val="22"/>
          <w:lang w:eastAsia="ko-KR"/>
        </w:rPr>
        <w:t>inal</w:t>
      </w:r>
      <w:r w:rsidR="00DE2F40" w:rsidRPr="004635E5">
        <w:rPr>
          <w:rFonts w:eastAsiaTheme="minorEastAsia"/>
          <w:bCs/>
          <w:sz w:val="22"/>
          <w:szCs w:val="22"/>
          <w:lang w:eastAsia="ko-KR"/>
        </w:rPr>
        <w:t xml:space="preserve"> set type when </w:t>
      </w:r>
      <w:r w:rsidRPr="004635E5">
        <w:rPr>
          <w:rFonts w:eastAsiaTheme="minorEastAsia"/>
          <w:bCs/>
          <w:sz w:val="22"/>
          <w:szCs w:val="22"/>
          <w:lang w:eastAsia="ko-KR"/>
        </w:rPr>
        <w:t xml:space="preserve">a </w:t>
      </w:r>
      <w:r w:rsidR="00DE2F40" w:rsidRPr="004635E5">
        <w:rPr>
          <w:rFonts w:eastAsiaTheme="minorEastAsia"/>
          <w:bCs/>
          <w:sz w:val="22"/>
          <w:szCs w:val="22"/>
          <w:lang w:eastAsia="ko-KR"/>
        </w:rPr>
        <w:t xml:space="preserve">school is detected. </w:t>
      </w:r>
      <w:r w:rsidRPr="004635E5">
        <w:rPr>
          <w:rFonts w:eastAsiaTheme="minorEastAsia"/>
          <w:bCs/>
          <w:sz w:val="22"/>
          <w:szCs w:val="22"/>
          <w:lang w:eastAsia="ko-KR"/>
        </w:rPr>
        <w:t xml:space="preserve">If it </w:t>
      </w:r>
      <w:r w:rsidR="00270656" w:rsidRPr="004635E5">
        <w:rPr>
          <w:rFonts w:eastAsiaTheme="minorEastAsia"/>
          <w:bCs/>
          <w:sz w:val="22"/>
          <w:szCs w:val="22"/>
          <w:lang w:eastAsia="ko-KR"/>
        </w:rPr>
        <w:t xml:space="preserve">was </w:t>
      </w:r>
      <w:r w:rsidRPr="004635E5">
        <w:rPr>
          <w:rFonts w:eastAsiaTheme="minorEastAsia"/>
          <w:bCs/>
          <w:sz w:val="22"/>
          <w:szCs w:val="22"/>
          <w:lang w:eastAsia="ko-KR"/>
        </w:rPr>
        <w:t>subsequently found</w:t>
      </w:r>
      <w:r w:rsidR="00DE2F40" w:rsidRPr="004635E5">
        <w:rPr>
          <w:rFonts w:eastAsiaTheme="minorEastAsia"/>
          <w:bCs/>
          <w:sz w:val="22"/>
          <w:szCs w:val="22"/>
          <w:lang w:eastAsia="ko-KR"/>
        </w:rPr>
        <w:t xml:space="preserve"> </w:t>
      </w:r>
      <w:r w:rsidRPr="004635E5">
        <w:rPr>
          <w:rFonts w:eastAsiaTheme="minorEastAsia"/>
          <w:bCs/>
          <w:sz w:val="22"/>
          <w:szCs w:val="22"/>
          <w:lang w:eastAsia="ko-KR"/>
        </w:rPr>
        <w:t>that a</w:t>
      </w:r>
      <w:r w:rsidR="00DE2F40" w:rsidRPr="004635E5">
        <w:rPr>
          <w:rFonts w:eastAsiaTheme="minorEastAsia"/>
          <w:bCs/>
          <w:sz w:val="22"/>
          <w:szCs w:val="22"/>
          <w:lang w:eastAsia="ko-KR"/>
        </w:rPr>
        <w:t xml:space="preserve"> whale shark </w:t>
      </w:r>
      <w:r w:rsidR="00270656" w:rsidRPr="004635E5">
        <w:rPr>
          <w:rFonts w:eastAsiaTheme="minorEastAsia"/>
          <w:bCs/>
          <w:sz w:val="22"/>
          <w:szCs w:val="22"/>
          <w:lang w:eastAsia="ko-KR"/>
        </w:rPr>
        <w:t xml:space="preserve">was </w:t>
      </w:r>
      <w:r w:rsidR="00DE2F40" w:rsidRPr="004635E5">
        <w:rPr>
          <w:rFonts w:eastAsiaTheme="minorEastAsia"/>
          <w:bCs/>
          <w:sz w:val="22"/>
          <w:szCs w:val="22"/>
          <w:lang w:eastAsia="ko-KR"/>
        </w:rPr>
        <w:t>present</w:t>
      </w:r>
      <w:r w:rsidRPr="004635E5">
        <w:rPr>
          <w:rFonts w:eastAsiaTheme="minorEastAsia"/>
          <w:bCs/>
          <w:sz w:val="22"/>
          <w:szCs w:val="22"/>
          <w:lang w:eastAsia="ko-KR"/>
        </w:rPr>
        <w:t>,</w:t>
      </w:r>
      <w:r w:rsidR="00DE2F40" w:rsidRPr="004635E5">
        <w:rPr>
          <w:rFonts w:eastAsiaTheme="minorEastAsia"/>
          <w:bCs/>
          <w:sz w:val="22"/>
          <w:szCs w:val="22"/>
          <w:lang w:eastAsia="ko-KR"/>
        </w:rPr>
        <w:t xml:space="preserve"> the free s</w:t>
      </w:r>
      <w:r w:rsidRPr="004635E5">
        <w:rPr>
          <w:rFonts w:eastAsiaTheme="minorEastAsia"/>
          <w:bCs/>
          <w:sz w:val="22"/>
          <w:szCs w:val="22"/>
          <w:lang w:eastAsia="ko-KR"/>
        </w:rPr>
        <w:t>c</w:t>
      </w:r>
      <w:r w:rsidR="00DE2F40" w:rsidRPr="004635E5">
        <w:rPr>
          <w:rFonts w:eastAsiaTheme="minorEastAsia"/>
          <w:bCs/>
          <w:sz w:val="22"/>
          <w:szCs w:val="22"/>
          <w:lang w:eastAsia="ko-KR"/>
        </w:rPr>
        <w:t>h</w:t>
      </w:r>
      <w:r w:rsidRPr="004635E5">
        <w:rPr>
          <w:rFonts w:eastAsiaTheme="minorEastAsia"/>
          <w:bCs/>
          <w:sz w:val="22"/>
          <w:szCs w:val="22"/>
          <w:lang w:eastAsia="ko-KR"/>
        </w:rPr>
        <w:t>oo</w:t>
      </w:r>
      <w:r w:rsidR="00DE2F40" w:rsidRPr="004635E5">
        <w:rPr>
          <w:rFonts w:eastAsiaTheme="minorEastAsia"/>
          <w:bCs/>
          <w:sz w:val="22"/>
          <w:szCs w:val="22"/>
          <w:lang w:eastAsia="ko-KR"/>
        </w:rPr>
        <w:t xml:space="preserve">l </w:t>
      </w:r>
      <w:r w:rsidRPr="004635E5">
        <w:rPr>
          <w:rFonts w:eastAsiaTheme="minorEastAsia"/>
          <w:bCs/>
          <w:sz w:val="22"/>
          <w:szCs w:val="22"/>
          <w:lang w:eastAsia="ko-KR"/>
        </w:rPr>
        <w:t xml:space="preserve">notation </w:t>
      </w:r>
      <w:r w:rsidR="00270656" w:rsidRPr="004635E5">
        <w:rPr>
          <w:rFonts w:eastAsiaTheme="minorEastAsia"/>
          <w:bCs/>
          <w:sz w:val="22"/>
          <w:szCs w:val="22"/>
          <w:lang w:eastAsia="ko-KR"/>
        </w:rPr>
        <w:t xml:space="preserve">was </w:t>
      </w:r>
      <w:r w:rsidR="00DE2F40" w:rsidRPr="004635E5">
        <w:rPr>
          <w:rFonts w:eastAsiaTheme="minorEastAsia"/>
          <w:bCs/>
          <w:sz w:val="22"/>
          <w:szCs w:val="22"/>
          <w:lang w:eastAsia="ko-KR"/>
        </w:rPr>
        <w:t>reta</w:t>
      </w:r>
      <w:r w:rsidRPr="004635E5">
        <w:rPr>
          <w:rFonts w:eastAsiaTheme="minorEastAsia"/>
          <w:bCs/>
          <w:sz w:val="22"/>
          <w:szCs w:val="22"/>
          <w:lang w:eastAsia="ko-KR"/>
        </w:rPr>
        <w:t>i</w:t>
      </w:r>
      <w:r w:rsidR="00DE2F40" w:rsidRPr="004635E5">
        <w:rPr>
          <w:rFonts w:eastAsiaTheme="minorEastAsia"/>
          <w:bCs/>
          <w:sz w:val="22"/>
          <w:szCs w:val="22"/>
          <w:lang w:eastAsia="ko-KR"/>
        </w:rPr>
        <w:t>ned, and the whale shar</w:t>
      </w:r>
      <w:r w:rsidRPr="004635E5">
        <w:rPr>
          <w:rFonts w:eastAsiaTheme="minorEastAsia"/>
          <w:bCs/>
          <w:sz w:val="22"/>
          <w:szCs w:val="22"/>
          <w:lang w:eastAsia="ko-KR"/>
        </w:rPr>
        <w:t>k</w:t>
      </w:r>
      <w:r w:rsidR="00DE2F40" w:rsidRPr="004635E5">
        <w:rPr>
          <w:rFonts w:eastAsiaTheme="minorEastAsia"/>
          <w:bCs/>
          <w:sz w:val="22"/>
          <w:szCs w:val="22"/>
          <w:lang w:eastAsia="ko-KR"/>
        </w:rPr>
        <w:t xml:space="preserve"> presence recorded. </w:t>
      </w:r>
      <w:r w:rsidRPr="004635E5">
        <w:rPr>
          <w:rFonts w:eastAsiaTheme="minorEastAsia"/>
          <w:bCs/>
          <w:sz w:val="22"/>
          <w:szCs w:val="22"/>
          <w:lang w:eastAsia="ko-KR"/>
        </w:rPr>
        <w:t>There is a s</w:t>
      </w:r>
      <w:r w:rsidR="00DE2F40" w:rsidRPr="004635E5">
        <w:rPr>
          <w:rFonts w:eastAsiaTheme="minorEastAsia"/>
          <w:bCs/>
          <w:sz w:val="22"/>
          <w:szCs w:val="22"/>
          <w:lang w:eastAsia="ko-KR"/>
        </w:rPr>
        <w:t>p</w:t>
      </w:r>
      <w:r w:rsidRPr="004635E5">
        <w:rPr>
          <w:rFonts w:eastAsiaTheme="minorEastAsia"/>
          <w:bCs/>
          <w:sz w:val="22"/>
          <w:szCs w:val="22"/>
          <w:lang w:eastAsia="ko-KR"/>
        </w:rPr>
        <w:t>e</w:t>
      </w:r>
      <w:r w:rsidR="00DE2F40" w:rsidRPr="004635E5">
        <w:rPr>
          <w:rFonts w:eastAsiaTheme="minorEastAsia"/>
          <w:bCs/>
          <w:sz w:val="22"/>
          <w:szCs w:val="22"/>
          <w:lang w:eastAsia="ko-KR"/>
        </w:rPr>
        <w:t>cif</w:t>
      </w:r>
      <w:r w:rsidRPr="004635E5">
        <w:rPr>
          <w:rFonts w:eastAsiaTheme="minorEastAsia"/>
          <w:bCs/>
          <w:sz w:val="22"/>
          <w:szCs w:val="22"/>
          <w:lang w:eastAsia="ko-KR"/>
        </w:rPr>
        <w:t>i</w:t>
      </w:r>
      <w:r w:rsidR="00DE2F40" w:rsidRPr="004635E5">
        <w:rPr>
          <w:rFonts w:eastAsiaTheme="minorEastAsia"/>
          <w:bCs/>
          <w:sz w:val="22"/>
          <w:szCs w:val="22"/>
          <w:lang w:eastAsia="ko-KR"/>
        </w:rPr>
        <w:t>c cat</w:t>
      </w:r>
      <w:r w:rsidRPr="004635E5">
        <w:rPr>
          <w:rFonts w:eastAsiaTheme="minorEastAsia"/>
          <w:bCs/>
          <w:sz w:val="22"/>
          <w:szCs w:val="22"/>
          <w:lang w:eastAsia="ko-KR"/>
        </w:rPr>
        <w:t>egory</w:t>
      </w:r>
      <w:r w:rsidR="00DE2F40" w:rsidRPr="004635E5">
        <w:rPr>
          <w:rFonts w:eastAsiaTheme="minorEastAsia"/>
          <w:bCs/>
          <w:sz w:val="22"/>
          <w:szCs w:val="22"/>
          <w:lang w:eastAsia="ko-KR"/>
        </w:rPr>
        <w:t xml:space="preserve"> for whale shark assoc</w:t>
      </w:r>
      <w:r w:rsidRPr="004635E5">
        <w:rPr>
          <w:rFonts w:eastAsiaTheme="minorEastAsia"/>
          <w:bCs/>
          <w:sz w:val="22"/>
          <w:szCs w:val="22"/>
          <w:lang w:eastAsia="ko-KR"/>
        </w:rPr>
        <w:t>iated</w:t>
      </w:r>
      <w:r w:rsidR="00DE2F40" w:rsidRPr="004635E5">
        <w:rPr>
          <w:rFonts w:eastAsiaTheme="minorEastAsia"/>
          <w:bCs/>
          <w:sz w:val="22"/>
          <w:szCs w:val="22"/>
          <w:lang w:eastAsia="ko-KR"/>
        </w:rPr>
        <w:t xml:space="preserve"> sets when they are targeted.</w:t>
      </w:r>
      <w:r w:rsidRPr="004635E5">
        <w:rPr>
          <w:rFonts w:eastAsiaTheme="minorEastAsia"/>
          <w:bCs/>
          <w:sz w:val="22"/>
          <w:szCs w:val="22"/>
          <w:lang w:eastAsia="ko-KR"/>
        </w:rPr>
        <w:t xml:space="preserve"> </w:t>
      </w:r>
    </w:p>
    <w:p w14:paraId="0D95CBAF" w14:textId="77777777" w:rsidR="00A6667F" w:rsidRDefault="00A6667F" w:rsidP="00C85CA7">
      <w:pPr>
        <w:pStyle w:val="ListParagraph"/>
        <w:rPr>
          <w:rFonts w:eastAsiaTheme="minorEastAsia"/>
          <w:bCs/>
          <w:sz w:val="22"/>
          <w:szCs w:val="22"/>
          <w:lang w:eastAsia="ko-KR"/>
        </w:rPr>
      </w:pPr>
    </w:p>
    <w:p w14:paraId="46B3AE99" w14:textId="77777777" w:rsidR="00DE2F40" w:rsidRPr="004635E5" w:rsidRDefault="00B01252" w:rsidP="00580EA4">
      <w:pPr>
        <w:numPr>
          <w:ilvl w:val="0"/>
          <w:numId w:val="18"/>
        </w:numPr>
        <w:autoSpaceDE w:val="0"/>
        <w:autoSpaceDN w:val="0"/>
        <w:adjustRightInd w:val="0"/>
        <w:snapToGrid w:val="0"/>
        <w:ind w:left="0" w:firstLine="0"/>
        <w:jc w:val="both"/>
        <w:rPr>
          <w:rFonts w:eastAsiaTheme="minorEastAsia"/>
          <w:bCs/>
          <w:sz w:val="22"/>
          <w:szCs w:val="22"/>
          <w:lang w:eastAsia="ko-KR"/>
        </w:rPr>
      </w:pPr>
      <w:r w:rsidRPr="004635E5">
        <w:rPr>
          <w:rFonts w:eastAsiaTheme="minorEastAsia"/>
          <w:bCs/>
          <w:sz w:val="22"/>
          <w:szCs w:val="22"/>
          <w:lang w:eastAsia="ko-KR"/>
        </w:rPr>
        <w:t xml:space="preserve">The </w:t>
      </w:r>
      <w:r w:rsidR="00DE2F40" w:rsidRPr="004635E5">
        <w:rPr>
          <w:rFonts w:eastAsiaTheme="minorEastAsia"/>
          <w:bCs/>
          <w:sz w:val="22"/>
          <w:szCs w:val="22"/>
          <w:lang w:eastAsia="ko-KR"/>
        </w:rPr>
        <w:t>EU</w:t>
      </w:r>
      <w:r w:rsidRPr="004635E5">
        <w:rPr>
          <w:rFonts w:eastAsiaTheme="minorEastAsia"/>
          <w:bCs/>
          <w:sz w:val="22"/>
          <w:szCs w:val="22"/>
          <w:lang w:eastAsia="ko-KR"/>
        </w:rPr>
        <w:t xml:space="preserve"> also inquired regarding the need for development of best </w:t>
      </w:r>
      <w:r w:rsidR="00DE2F40" w:rsidRPr="004635E5">
        <w:rPr>
          <w:rFonts w:eastAsiaTheme="minorEastAsia"/>
          <w:bCs/>
          <w:sz w:val="22"/>
          <w:szCs w:val="22"/>
          <w:lang w:eastAsia="ko-KR"/>
        </w:rPr>
        <w:t>practice safe release</w:t>
      </w:r>
      <w:r w:rsidRPr="004635E5">
        <w:rPr>
          <w:rFonts w:eastAsiaTheme="minorEastAsia"/>
          <w:bCs/>
          <w:sz w:val="22"/>
          <w:szCs w:val="22"/>
          <w:lang w:eastAsia="ko-KR"/>
        </w:rPr>
        <w:t xml:space="preserve"> guidelines for whale sharks, noting that </w:t>
      </w:r>
      <w:r w:rsidR="00DE2F40" w:rsidRPr="004635E5">
        <w:rPr>
          <w:rFonts w:eastAsiaTheme="minorEastAsia"/>
          <w:bCs/>
          <w:sz w:val="22"/>
          <w:szCs w:val="22"/>
          <w:lang w:eastAsia="ko-KR"/>
        </w:rPr>
        <w:t xml:space="preserve">guidelines </w:t>
      </w:r>
      <w:r w:rsidRPr="004635E5">
        <w:rPr>
          <w:rFonts w:eastAsiaTheme="minorEastAsia"/>
          <w:bCs/>
          <w:sz w:val="22"/>
          <w:szCs w:val="22"/>
          <w:lang w:eastAsia="ko-KR"/>
        </w:rPr>
        <w:t xml:space="preserve">exist, and asking if they need to be revised. S. Clarke indicated that existing </w:t>
      </w:r>
      <w:r w:rsidR="00270656" w:rsidRPr="004635E5">
        <w:rPr>
          <w:rFonts w:eastAsiaTheme="minorEastAsia"/>
          <w:bCs/>
          <w:sz w:val="22"/>
          <w:szCs w:val="22"/>
          <w:lang w:eastAsia="ko-KR"/>
        </w:rPr>
        <w:t xml:space="preserve">safe release </w:t>
      </w:r>
      <w:r w:rsidR="00DE2F40" w:rsidRPr="004635E5">
        <w:rPr>
          <w:rFonts w:eastAsiaTheme="minorEastAsia"/>
          <w:bCs/>
          <w:sz w:val="22"/>
          <w:szCs w:val="22"/>
          <w:lang w:eastAsia="ko-KR"/>
        </w:rPr>
        <w:t>guidelines</w:t>
      </w:r>
      <w:r w:rsidRPr="004635E5">
        <w:rPr>
          <w:rFonts w:eastAsiaTheme="minorEastAsia"/>
          <w:bCs/>
          <w:sz w:val="22"/>
          <w:szCs w:val="22"/>
          <w:lang w:eastAsia="ko-KR"/>
        </w:rPr>
        <w:t xml:space="preserve"> were strictly negative (</w:t>
      </w:r>
      <w:r w:rsidR="00DE2F40" w:rsidRPr="004635E5">
        <w:rPr>
          <w:rFonts w:eastAsiaTheme="minorEastAsia"/>
          <w:bCs/>
          <w:sz w:val="22"/>
          <w:szCs w:val="22"/>
          <w:lang w:eastAsia="ko-KR"/>
        </w:rPr>
        <w:t>“do nots”</w:t>
      </w:r>
      <w:r w:rsidRPr="004635E5">
        <w:rPr>
          <w:rFonts w:eastAsiaTheme="minorEastAsia"/>
          <w:bCs/>
          <w:sz w:val="22"/>
          <w:szCs w:val="22"/>
          <w:lang w:eastAsia="ko-KR"/>
        </w:rPr>
        <w:t xml:space="preserve">), with no </w:t>
      </w:r>
      <w:r w:rsidR="00DE2F40" w:rsidRPr="004635E5">
        <w:rPr>
          <w:rFonts w:eastAsiaTheme="minorEastAsia"/>
          <w:bCs/>
          <w:sz w:val="22"/>
          <w:szCs w:val="22"/>
          <w:lang w:eastAsia="ko-KR"/>
        </w:rPr>
        <w:t>rec</w:t>
      </w:r>
      <w:r w:rsidRPr="004635E5">
        <w:rPr>
          <w:rFonts w:eastAsiaTheme="minorEastAsia"/>
          <w:bCs/>
          <w:sz w:val="22"/>
          <w:szCs w:val="22"/>
          <w:lang w:eastAsia="ko-KR"/>
        </w:rPr>
        <w:t>ommendation</w:t>
      </w:r>
      <w:r w:rsidR="00DE2F40" w:rsidRPr="004635E5">
        <w:rPr>
          <w:rFonts w:eastAsiaTheme="minorEastAsia"/>
          <w:bCs/>
          <w:sz w:val="22"/>
          <w:szCs w:val="22"/>
          <w:lang w:eastAsia="ko-KR"/>
        </w:rPr>
        <w:t>s for how to</w:t>
      </w:r>
      <w:r w:rsidRPr="004635E5">
        <w:rPr>
          <w:rFonts w:eastAsiaTheme="minorEastAsia"/>
          <w:bCs/>
          <w:sz w:val="22"/>
          <w:szCs w:val="22"/>
          <w:lang w:eastAsia="ko-KR"/>
        </w:rPr>
        <w:t xml:space="preserve"> safely release, </w:t>
      </w:r>
      <w:r w:rsidR="00270656" w:rsidRPr="004635E5">
        <w:rPr>
          <w:rFonts w:eastAsiaTheme="minorEastAsia"/>
          <w:bCs/>
          <w:sz w:val="22"/>
          <w:szCs w:val="22"/>
          <w:lang w:eastAsia="ko-KR"/>
        </w:rPr>
        <w:t xml:space="preserve">and </w:t>
      </w:r>
      <w:r w:rsidRPr="004635E5">
        <w:rPr>
          <w:rFonts w:eastAsiaTheme="minorEastAsia"/>
          <w:bCs/>
          <w:sz w:val="22"/>
          <w:szCs w:val="22"/>
          <w:lang w:eastAsia="ko-KR"/>
        </w:rPr>
        <w:t xml:space="preserve">thus </w:t>
      </w:r>
      <w:r w:rsidR="00DE2F40" w:rsidRPr="004635E5">
        <w:rPr>
          <w:rFonts w:eastAsiaTheme="minorEastAsia"/>
          <w:bCs/>
          <w:sz w:val="22"/>
          <w:szCs w:val="22"/>
          <w:lang w:eastAsia="ko-KR"/>
        </w:rPr>
        <w:t xml:space="preserve">work </w:t>
      </w:r>
      <w:r w:rsidRPr="004635E5">
        <w:rPr>
          <w:rFonts w:eastAsiaTheme="minorEastAsia"/>
          <w:bCs/>
          <w:sz w:val="22"/>
          <w:szCs w:val="22"/>
          <w:lang w:eastAsia="ko-KR"/>
        </w:rPr>
        <w:t>was needed.</w:t>
      </w:r>
      <w:r w:rsidR="00DE2F40" w:rsidRPr="004635E5">
        <w:rPr>
          <w:rFonts w:eastAsiaTheme="minorEastAsia"/>
          <w:bCs/>
          <w:sz w:val="22"/>
          <w:szCs w:val="22"/>
          <w:lang w:eastAsia="ko-KR"/>
        </w:rPr>
        <w:t xml:space="preserve"> </w:t>
      </w:r>
      <w:r w:rsidRPr="004635E5">
        <w:rPr>
          <w:rFonts w:eastAsiaTheme="minorEastAsia"/>
          <w:bCs/>
          <w:sz w:val="22"/>
          <w:szCs w:val="22"/>
          <w:lang w:eastAsia="ko-KR"/>
        </w:rPr>
        <w:t xml:space="preserve">In response to a final query regarding </w:t>
      </w:r>
      <w:r w:rsidR="00DE2F40" w:rsidRPr="004635E5">
        <w:rPr>
          <w:rFonts w:eastAsiaTheme="minorEastAsia"/>
          <w:bCs/>
          <w:sz w:val="22"/>
          <w:szCs w:val="22"/>
          <w:lang w:eastAsia="ko-KR"/>
        </w:rPr>
        <w:t>quantif</w:t>
      </w:r>
      <w:r w:rsidRPr="004635E5">
        <w:rPr>
          <w:rFonts w:eastAsiaTheme="minorEastAsia"/>
          <w:bCs/>
          <w:sz w:val="22"/>
          <w:szCs w:val="22"/>
          <w:lang w:eastAsia="ko-KR"/>
        </w:rPr>
        <w:t>ication</w:t>
      </w:r>
      <w:r w:rsidR="00DE2F40" w:rsidRPr="004635E5">
        <w:rPr>
          <w:rFonts w:eastAsiaTheme="minorEastAsia"/>
          <w:bCs/>
          <w:sz w:val="22"/>
          <w:szCs w:val="22"/>
          <w:lang w:eastAsia="ko-KR"/>
        </w:rPr>
        <w:t xml:space="preserve"> </w:t>
      </w:r>
      <w:r w:rsidRPr="004635E5">
        <w:rPr>
          <w:rFonts w:eastAsiaTheme="minorEastAsia"/>
          <w:bCs/>
          <w:sz w:val="22"/>
          <w:szCs w:val="22"/>
          <w:lang w:eastAsia="ko-KR"/>
        </w:rPr>
        <w:t>of post-</w:t>
      </w:r>
      <w:r w:rsidR="00DE2F40" w:rsidRPr="004635E5">
        <w:rPr>
          <w:rFonts w:eastAsiaTheme="minorEastAsia"/>
          <w:bCs/>
          <w:sz w:val="22"/>
          <w:szCs w:val="22"/>
          <w:lang w:eastAsia="ko-KR"/>
        </w:rPr>
        <w:t>r</w:t>
      </w:r>
      <w:r w:rsidRPr="004635E5">
        <w:rPr>
          <w:rFonts w:eastAsiaTheme="minorEastAsia"/>
          <w:bCs/>
          <w:sz w:val="22"/>
          <w:szCs w:val="22"/>
          <w:lang w:eastAsia="ko-KR"/>
        </w:rPr>
        <w:t>e</w:t>
      </w:r>
      <w:r w:rsidR="00DE2F40" w:rsidRPr="004635E5">
        <w:rPr>
          <w:rFonts w:eastAsiaTheme="minorEastAsia"/>
          <w:bCs/>
          <w:sz w:val="22"/>
          <w:szCs w:val="22"/>
          <w:lang w:eastAsia="ko-KR"/>
        </w:rPr>
        <w:t xml:space="preserve">lease mortality, </w:t>
      </w:r>
      <w:r w:rsidRPr="004635E5">
        <w:rPr>
          <w:rFonts w:eastAsiaTheme="minorEastAsia"/>
          <w:bCs/>
          <w:sz w:val="22"/>
          <w:szCs w:val="22"/>
          <w:lang w:eastAsia="ko-KR"/>
        </w:rPr>
        <w:t xml:space="preserve">S. Clarke indicated that existing </w:t>
      </w:r>
      <w:r w:rsidR="00DE2F40" w:rsidRPr="004635E5">
        <w:rPr>
          <w:rFonts w:eastAsiaTheme="minorEastAsia"/>
          <w:bCs/>
          <w:sz w:val="22"/>
          <w:szCs w:val="22"/>
          <w:lang w:eastAsia="ko-KR"/>
        </w:rPr>
        <w:t xml:space="preserve">studies </w:t>
      </w:r>
      <w:r w:rsidRPr="004635E5">
        <w:rPr>
          <w:rFonts w:eastAsiaTheme="minorEastAsia"/>
          <w:bCs/>
          <w:sz w:val="22"/>
          <w:szCs w:val="22"/>
          <w:lang w:eastAsia="ko-KR"/>
        </w:rPr>
        <w:t xml:space="preserve">were </w:t>
      </w:r>
      <w:r w:rsidR="00DE2F40" w:rsidRPr="004635E5">
        <w:rPr>
          <w:rFonts w:eastAsiaTheme="minorEastAsia"/>
          <w:bCs/>
          <w:sz w:val="22"/>
          <w:szCs w:val="22"/>
          <w:lang w:eastAsia="ko-KR"/>
        </w:rPr>
        <w:t xml:space="preserve">done in other oceans, </w:t>
      </w:r>
      <w:r w:rsidRPr="004635E5">
        <w:rPr>
          <w:rFonts w:eastAsiaTheme="minorEastAsia"/>
          <w:bCs/>
          <w:sz w:val="22"/>
          <w:szCs w:val="22"/>
          <w:lang w:eastAsia="ko-KR"/>
        </w:rPr>
        <w:t xml:space="preserve">and that there was a need to </w:t>
      </w:r>
      <w:r w:rsidR="00DE2F40" w:rsidRPr="004635E5">
        <w:rPr>
          <w:rFonts w:eastAsiaTheme="minorEastAsia"/>
          <w:bCs/>
          <w:sz w:val="22"/>
          <w:szCs w:val="22"/>
          <w:lang w:eastAsia="ko-KR"/>
        </w:rPr>
        <w:t xml:space="preserve">understand how practices in </w:t>
      </w:r>
      <w:r w:rsidRPr="004635E5">
        <w:rPr>
          <w:rFonts w:eastAsiaTheme="minorEastAsia"/>
          <w:bCs/>
          <w:sz w:val="22"/>
          <w:szCs w:val="22"/>
          <w:lang w:eastAsia="ko-KR"/>
        </w:rPr>
        <w:t xml:space="preserve">the WCPO </w:t>
      </w:r>
      <w:r w:rsidR="00DE2F40" w:rsidRPr="004635E5">
        <w:rPr>
          <w:rFonts w:eastAsiaTheme="minorEastAsia"/>
          <w:bCs/>
          <w:sz w:val="22"/>
          <w:szCs w:val="22"/>
          <w:lang w:eastAsia="ko-KR"/>
        </w:rPr>
        <w:t xml:space="preserve">might relate to those in other ocean, and </w:t>
      </w:r>
      <w:r w:rsidRPr="004635E5">
        <w:rPr>
          <w:rFonts w:eastAsiaTheme="minorEastAsia"/>
          <w:bCs/>
          <w:sz w:val="22"/>
          <w:szCs w:val="22"/>
          <w:lang w:eastAsia="ko-KR"/>
        </w:rPr>
        <w:t>to quan</w:t>
      </w:r>
      <w:r w:rsidR="00DE2F40" w:rsidRPr="004635E5">
        <w:rPr>
          <w:rFonts w:eastAsiaTheme="minorEastAsia"/>
          <w:bCs/>
          <w:sz w:val="22"/>
          <w:szCs w:val="22"/>
          <w:lang w:eastAsia="ko-KR"/>
        </w:rPr>
        <w:t>t</w:t>
      </w:r>
      <w:r w:rsidRPr="004635E5">
        <w:rPr>
          <w:rFonts w:eastAsiaTheme="minorEastAsia"/>
          <w:bCs/>
          <w:sz w:val="22"/>
          <w:szCs w:val="22"/>
          <w:lang w:eastAsia="ko-KR"/>
        </w:rPr>
        <w:t>if</w:t>
      </w:r>
      <w:r w:rsidR="00DE2F40" w:rsidRPr="004635E5">
        <w:rPr>
          <w:rFonts w:eastAsiaTheme="minorEastAsia"/>
          <w:bCs/>
          <w:sz w:val="22"/>
          <w:szCs w:val="22"/>
          <w:lang w:eastAsia="ko-KR"/>
        </w:rPr>
        <w:t xml:space="preserve">y that relationship. </w:t>
      </w:r>
    </w:p>
    <w:p w14:paraId="763DFBFF" w14:textId="77777777" w:rsidR="00A61B2B" w:rsidRPr="004635E5" w:rsidRDefault="00A61B2B" w:rsidP="006633A8">
      <w:pPr>
        <w:autoSpaceDE w:val="0"/>
        <w:autoSpaceDN w:val="0"/>
        <w:adjustRightInd w:val="0"/>
        <w:snapToGrid w:val="0"/>
        <w:jc w:val="both"/>
        <w:rPr>
          <w:rFonts w:eastAsiaTheme="minorEastAsia"/>
          <w:bCs/>
          <w:sz w:val="22"/>
          <w:szCs w:val="22"/>
          <w:lang w:eastAsia="ko-KR"/>
        </w:rPr>
      </w:pPr>
    </w:p>
    <w:p w14:paraId="42F94C5D" w14:textId="77777777" w:rsidR="0025641A" w:rsidRPr="004635E5" w:rsidRDefault="0025641A" w:rsidP="00580EA4">
      <w:pPr>
        <w:pStyle w:val="SC3"/>
        <w:numPr>
          <w:ilvl w:val="3"/>
          <w:numId w:val="161"/>
        </w:numPr>
        <w:spacing w:after="0"/>
        <w:rPr>
          <w:rFonts w:eastAsiaTheme="minorEastAsia"/>
          <w:lang w:eastAsia="ko-KR"/>
        </w:rPr>
      </w:pPr>
      <w:r w:rsidRPr="004635E5">
        <w:rPr>
          <w:rFonts w:eastAsiaTheme="minorEastAsia"/>
          <w:lang w:eastAsia="ko-KR"/>
        </w:rPr>
        <w:t>Provision of scientific information</w:t>
      </w:r>
    </w:p>
    <w:p w14:paraId="70F366D2" w14:textId="77777777" w:rsidR="00A61B2B" w:rsidRPr="004635E5" w:rsidRDefault="00A61B2B" w:rsidP="006633A8">
      <w:pPr>
        <w:pStyle w:val="SC3"/>
        <w:numPr>
          <w:ilvl w:val="0"/>
          <w:numId w:val="0"/>
        </w:numPr>
        <w:spacing w:after="0"/>
        <w:rPr>
          <w:rFonts w:eastAsiaTheme="minorEastAsia"/>
          <w:lang w:eastAsia="ko-KR"/>
        </w:rPr>
      </w:pPr>
    </w:p>
    <w:p w14:paraId="44BC7ABA" w14:textId="77777777" w:rsidR="004261D8" w:rsidRPr="00791D65" w:rsidRDefault="004261D8" w:rsidP="00580EA4">
      <w:pPr>
        <w:pStyle w:val="WCPFC"/>
        <w:numPr>
          <w:ilvl w:val="0"/>
          <w:numId w:val="52"/>
        </w:numPr>
        <w:adjustRightInd w:val="0"/>
        <w:spacing w:after="0"/>
        <w:ind w:left="0" w:firstLine="0"/>
        <w:rPr>
          <w:rFonts w:cs="Times New Roman"/>
        </w:rPr>
      </w:pPr>
      <w:r w:rsidRPr="004635E5">
        <w:rPr>
          <w:rFonts w:eastAsia="Times New Roman" w:cs="Times New Roman"/>
          <w:lang w:val="en-AU"/>
        </w:rPr>
        <w:t xml:space="preserve">SC14 reviewed the report </w:t>
      </w:r>
      <w:r w:rsidRPr="004635E5">
        <w:rPr>
          <w:rFonts w:eastAsia="Times New Roman" w:cs="Times New Roman"/>
          <w:i/>
          <w:iCs/>
          <w:lang w:val="en-AU"/>
        </w:rPr>
        <w:t>Risk to the Indo-Pacific whale shark (Rhincodon typus) population from interactions with Pacific purse seine fisheries</w:t>
      </w:r>
      <w:r w:rsidRPr="004635E5">
        <w:rPr>
          <w:rFonts w:eastAsia="Times New Roman" w:cs="Times New Roman"/>
          <w:lang w:val="en-AU"/>
        </w:rPr>
        <w:t xml:space="preserve"> (SC14-SA-WP-12).</w:t>
      </w:r>
      <w:r w:rsidR="00F81EF0">
        <w:rPr>
          <w:rFonts w:eastAsia="Times New Roman" w:cs="Times New Roman"/>
          <w:lang w:val="en-AU"/>
        </w:rPr>
        <w:t xml:space="preserve"> </w:t>
      </w:r>
      <w:r w:rsidRPr="004635E5">
        <w:rPr>
          <w:rFonts w:eastAsia="Times New Roman" w:cs="Times New Roman"/>
          <w:lang w:val="en-AU"/>
        </w:rPr>
        <w:t>The analysis estimated the risk of overfishing the Indo-Pacific whale sharks by overlaying predicted spatial abundance of whale sharks with Pacific-wide fishing effort to estimate total fishing mortality relative to limit reference points.</w:t>
      </w:r>
    </w:p>
    <w:p w14:paraId="0DBD15E7" w14:textId="77777777" w:rsidR="00791D65" w:rsidRPr="004635E5" w:rsidRDefault="00791D65" w:rsidP="00791D65">
      <w:pPr>
        <w:pStyle w:val="WCPFC"/>
        <w:numPr>
          <w:ilvl w:val="0"/>
          <w:numId w:val="0"/>
        </w:numPr>
        <w:adjustRightInd w:val="0"/>
        <w:spacing w:after="0"/>
        <w:rPr>
          <w:rFonts w:cs="Times New Roman"/>
        </w:rPr>
      </w:pPr>
    </w:p>
    <w:p w14:paraId="29FDFAB6" w14:textId="77777777" w:rsidR="00C23E6C" w:rsidRPr="004635E5" w:rsidRDefault="00810E61" w:rsidP="00132438">
      <w:pPr>
        <w:pStyle w:val="SCa"/>
        <w:tabs>
          <w:tab w:val="clear" w:pos="1080"/>
        </w:tabs>
        <w:spacing w:after="0"/>
        <w:ind w:left="0"/>
        <w:rPr>
          <w:lang w:val="en-NZ"/>
        </w:rPr>
      </w:pPr>
      <w:r w:rsidRPr="004635E5">
        <w:rPr>
          <w:lang w:val="en-NZ"/>
        </w:rPr>
        <w:t>a.</w:t>
      </w:r>
      <w:r w:rsidRPr="004635E5">
        <w:rPr>
          <w:lang w:val="en-NZ"/>
        </w:rPr>
        <w:tab/>
      </w:r>
      <w:r w:rsidR="00C23E6C" w:rsidRPr="004635E5">
        <w:rPr>
          <w:lang w:val="en-NZ"/>
        </w:rPr>
        <w:t>Stock status and trends</w:t>
      </w:r>
    </w:p>
    <w:p w14:paraId="0F87F003" w14:textId="77777777" w:rsidR="00A61B2B" w:rsidRPr="004635E5" w:rsidRDefault="00A61B2B" w:rsidP="006633A8">
      <w:pPr>
        <w:pStyle w:val="SCa"/>
        <w:spacing w:after="0"/>
        <w:rPr>
          <w:lang w:val="en-NZ"/>
        </w:rPr>
      </w:pPr>
    </w:p>
    <w:p w14:paraId="6D0F5909" w14:textId="77777777" w:rsidR="00C23E6C" w:rsidRPr="004635E5" w:rsidRDefault="00C23E6C" w:rsidP="00580EA4">
      <w:pPr>
        <w:numPr>
          <w:ilvl w:val="0"/>
          <w:numId w:val="18"/>
        </w:numPr>
        <w:autoSpaceDE w:val="0"/>
        <w:autoSpaceDN w:val="0"/>
        <w:adjustRightInd w:val="0"/>
        <w:snapToGrid w:val="0"/>
        <w:ind w:left="0" w:firstLine="0"/>
        <w:jc w:val="both"/>
        <w:rPr>
          <w:rFonts w:eastAsia="Batang"/>
          <w:b/>
          <w:sz w:val="22"/>
          <w:szCs w:val="22"/>
          <w:lang w:val="en-AU" w:eastAsia="ko-KR"/>
        </w:rPr>
      </w:pPr>
      <w:r w:rsidRPr="004635E5">
        <w:rPr>
          <w:rFonts w:eastAsia="Batang"/>
          <w:b/>
          <w:sz w:val="22"/>
          <w:szCs w:val="22"/>
          <w:lang w:val="en-AU" w:eastAsia="ko-KR"/>
        </w:rPr>
        <w:t>A nominal trend of high interactions in 2006-2008, followed by lower rates thereafter was not altered by standardization (Figure RHN-1), and is consistent with trends found in the Eastern Pacific Ocean by Román et al. 2018</w:t>
      </w:r>
      <w:r w:rsidR="00A16680" w:rsidRPr="004635E5">
        <w:rPr>
          <w:rFonts w:eastAsia="Batang"/>
          <w:b/>
          <w:sz w:val="22"/>
          <w:szCs w:val="22"/>
          <w:lang w:val="en-AU" w:eastAsia="ko-KR"/>
        </w:rPr>
        <w:t xml:space="preserve">. </w:t>
      </w:r>
      <w:r w:rsidRPr="004635E5">
        <w:rPr>
          <w:rFonts w:eastAsia="Batang"/>
          <w:b/>
          <w:sz w:val="22"/>
          <w:szCs w:val="22"/>
          <w:lang w:val="en-AU" w:eastAsia="ko-KR"/>
        </w:rPr>
        <w:t>These decreasing annual trends in interactions do not appear to result from management measures as prohibitions on intentional setting of purse seines on whale sharks were adopted by the PNA in 2010, by the WCPFC in 2012 and by the IATTC in 2015. Furthermore, the trends may have been influenced by low WCPO purse seine observer coverage rates prior to 2010.</w:t>
      </w:r>
    </w:p>
    <w:p w14:paraId="00D7A616" w14:textId="77777777" w:rsidR="00C23E6C" w:rsidRPr="004635E5" w:rsidRDefault="005A2897" w:rsidP="006633A8">
      <w:pPr>
        <w:pStyle w:val="ListParagraph"/>
        <w:adjustRightInd w:val="0"/>
        <w:snapToGrid w:val="0"/>
        <w:jc w:val="both"/>
        <w:rPr>
          <w:rFonts w:eastAsia="Batang"/>
          <w:sz w:val="22"/>
          <w:szCs w:val="22"/>
          <w:lang w:val="en-NZ" w:eastAsia="ko-KR"/>
        </w:rPr>
      </w:pPr>
      <w:r w:rsidRPr="004635E5">
        <w:rPr>
          <w:rFonts w:eastAsia="Batang"/>
          <w:noProof/>
          <w:sz w:val="22"/>
          <w:szCs w:val="22"/>
          <w:lang w:eastAsia="zh-CN" w:bidi="mn-Mong-CN"/>
        </w:rPr>
        <w:drawing>
          <wp:inline distT="0" distB="0" distL="0" distR="0" wp14:anchorId="07A750B2" wp14:editId="38CF6041">
            <wp:extent cx="3657600" cy="4572000"/>
            <wp:effectExtent l="0" t="0" r="0" b="0"/>
            <wp:docPr id="1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71" cstate="print"/>
                    <a:stretch>
                      <a:fillRect/>
                    </a:stretch>
                  </pic:blipFill>
                  <pic:spPr bwMode="auto">
                    <a:xfrm>
                      <a:off x="0" y="0"/>
                      <a:ext cx="3657600" cy="4572000"/>
                    </a:xfrm>
                    <a:prstGeom prst="rect">
                      <a:avLst/>
                    </a:prstGeom>
                  </pic:spPr>
                </pic:pic>
              </a:graphicData>
            </a:graphic>
          </wp:inline>
        </w:drawing>
      </w:r>
    </w:p>
    <w:p w14:paraId="6C0B3830" w14:textId="77777777" w:rsidR="00C23E6C" w:rsidRPr="004635E5" w:rsidRDefault="00C23E6C" w:rsidP="006633A8">
      <w:pPr>
        <w:adjustRightInd w:val="0"/>
        <w:snapToGrid w:val="0"/>
        <w:jc w:val="both"/>
        <w:rPr>
          <w:rFonts w:eastAsia="Batang"/>
          <w:sz w:val="22"/>
          <w:szCs w:val="22"/>
          <w:lang w:val="en-NZ" w:eastAsia="ko-KR"/>
        </w:rPr>
      </w:pPr>
      <w:r w:rsidRPr="004635E5">
        <w:rPr>
          <w:rFonts w:eastAsia="Batang"/>
          <w:b/>
          <w:sz w:val="22"/>
          <w:szCs w:val="22"/>
          <w:lang w:val="en-AU" w:eastAsia="ko-KR"/>
        </w:rPr>
        <w:t>Figure RHN-1</w:t>
      </w:r>
      <w:r w:rsidR="002E39E9" w:rsidRPr="004635E5">
        <w:rPr>
          <w:rFonts w:eastAsia="Batang"/>
          <w:b/>
          <w:sz w:val="22"/>
          <w:szCs w:val="22"/>
          <w:lang w:val="en-AU" w:eastAsia="ko-KR"/>
        </w:rPr>
        <w:t>.</w:t>
      </w:r>
      <w:r w:rsidRPr="004635E5">
        <w:rPr>
          <w:rFonts w:eastAsia="Batang"/>
          <w:sz w:val="22"/>
          <w:szCs w:val="22"/>
          <w:lang w:val="en-AU" w:eastAsia="ko-KR"/>
        </w:rPr>
        <w:tab/>
        <w:t>Estimated temporal index of interactions based on a) the full observer dataset, b) the full dataset without whale- and whale shark associated sets, and c) free-school sets only</w:t>
      </w:r>
      <w:r w:rsidR="00A16680" w:rsidRPr="004635E5">
        <w:rPr>
          <w:rFonts w:eastAsia="Batang"/>
          <w:sz w:val="22"/>
          <w:szCs w:val="22"/>
          <w:lang w:val="en-AU" w:eastAsia="ko-KR"/>
        </w:rPr>
        <w:t xml:space="preserve">. </w:t>
      </w:r>
      <w:r w:rsidRPr="004635E5">
        <w:rPr>
          <w:rFonts w:eastAsia="Batang"/>
          <w:sz w:val="22"/>
          <w:szCs w:val="22"/>
          <w:lang w:val="en-AU" w:eastAsia="ko-KR"/>
        </w:rPr>
        <w:t>The rationale behind the different effort subsets is given in section 2.2.2 of SC14</w:t>
      </w:r>
      <w:r w:rsidR="008A4AED" w:rsidRPr="004635E5">
        <w:rPr>
          <w:rFonts w:eastAsia="Batang"/>
          <w:sz w:val="22"/>
          <w:szCs w:val="22"/>
          <w:lang w:val="en-AU" w:eastAsia="ko-KR"/>
        </w:rPr>
        <w:t>-</w:t>
      </w:r>
      <w:r w:rsidRPr="004635E5">
        <w:rPr>
          <w:rFonts w:eastAsia="Batang"/>
          <w:sz w:val="22"/>
          <w:szCs w:val="22"/>
          <w:lang w:val="en-AU" w:eastAsia="ko-KR"/>
        </w:rPr>
        <w:t>SA-WP-12</w:t>
      </w:r>
      <w:r w:rsidR="00A16680" w:rsidRPr="004635E5">
        <w:rPr>
          <w:rFonts w:eastAsia="Batang"/>
          <w:sz w:val="22"/>
          <w:szCs w:val="22"/>
          <w:lang w:val="en-AU" w:eastAsia="ko-KR"/>
        </w:rPr>
        <w:t xml:space="preserve">. </w:t>
      </w:r>
      <w:r w:rsidRPr="004635E5">
        <w:rPr>
          <w:rFonts w:eastAsia="Batang"/>
          <w:sz w:val="22"/>
          <w:szCs w:val="22"/>
          <w:lang w:val="en-AU" w:eastAsia="ko-KR"/>
        </w:rPr>
        <w:t>The index is centred to have a geometric mean of one and is therefore unit-less.</w:t>
      </w:r>
    </w:p>
    <w:p w14:paraId="05776B00" w14:textId="77777777" w:rsidR="00C23E6C" w:rsidRPr="004635E5" w:rsidRDefault="00C23E6C" w:rsidP="006633A8">
      <w:pPr>
        <w:pStyle w:val="ListParagraph"/>
        <w:adjustRightInd w:val="0"/>
        <w:snapToGrid w:val="0"/>
        <w:jc w:val="both"/>
        <w:rPr>
          <w:rFonts w:eastAsia="Batang"/>
          <w:sz w:val="22"/>
          <w:szCs w:val="22"/>
          <w:lang w:val="en-AU" w:eastAsia="ko-KR"/>
        </w:rPr>
      </w:pPr>
    </w:p>
    <w:p w14:paraId="51508AAF" w14:textId="77777777" w:rsidR="00C23E6C" w:rsidRPr="004635E5" w:rsidRDefault="00C23E6C" w:rsidP="00580EA4">
      <w:pPr>
        <w:numPr>
          <w:ilvl w:val="0"/>
          <w:numId w:val="18"/>
        </w:numPr>
        <w:autoSpaceDE w:val="0"/>
        <w:autoSpaceDN w:val="0"/>
        <w:adjustRightInd w:val="0"/>
        <w:snapToGrid w:val="0"/>
        <w:ind w:left="0" w:firstLine="0"/>
        <w:jc w:val="both"/>
        <w:rPr>
          <w:rFonts w:eastAsia="Batang"/>
          <w:b/>
          <w:sz w:val="22"/>
          <w:szCs w:val="22"/>
          <w:lang w:val="en-NZ" w:eastAsia="ko-KR"/>
        </w:rPr>
      </w:pPr>
      <w:r w:rsidRPr="004635E5">
        <w:rPr>
          <w:rFonts w:eastAsia="Batang"/>
          <w:b/>
          <w:sz w:val="22"/>
          <w:szCs w:val="22"/>
          <w:lang w:val="en-AU" w:eastAsia="ko-KR"/>
        </w:rPr>
        <w:t xml:space="preserve">SC14 noted that over a range of notional reference points, and in accordance with expert-elicited post-mortality rates of ~10%, median sustainability risk from Pacific Ocean fisheries alone for the 2006-2016 period ranged between (Figure RHN-2):  </w:t>
      </w:r>
    </w:p>
    <w:p w14:paraId="19E53172" w14:textId="77777777" w:rsidR="00C23E6C" w:rsidRPr="004635E5" w:rsidRDefault="00C23E6C" w:rsidP="00580EA4">
      <w:pPr>
        <w:pStyle w:val="ListParagraph"/>
        <w:numPr>
          <w:ilvl w:val="1"/>
          <w:numId w:val="36"/>
        </w:numPr>
        <w:adjustRightInd w:val="0"/>
        <w:snapToGrid w:val="0"/>
        <w:rPr>
          <w:rFonts w:eastAsia="Batang"/>
          <w:b/>
          <w:sz w:val="22"/>
          <w:szCs w:val="22"/>
          <w:lang w:val="en-NZ" w:eastAsia="ko-KR"/>
        </w:rPr>
      </w:pPr>
      <w:r w:rsidRPr="004635E5">
        <w:rPr>
          <w:rFonts w:eastAsia="Batang"/>
          <w:b/>
          <w:sz w:val="22"/>
          <w:szCs w:val="22"/>
          <w:lang w:val="en-AU" w:eastAsia="ko-KR"/>
        </w:rPr>
        <w:t>3-12% of the limit risk level based on 0.5</w:t>
      </w:r>
      <w:r w:rsidRPr="004635E5">
        <w:rPr>
          <w:rFonts w:eastAsia="Batang"/>
          <w:b/>
          <w:i/>
          <w:iCs/>
          <w:sz w:val="22"/>
          <w:szCs w:val="22"/>
          <w:lang w:val="en-AU" w:eastAsia="ko-KR"/>
        </w:rPr>
        <w:t>r</w:t>
      </w:r>
      <w:bookmarkStart w:id="121" w:name="__DdeLink__5461_3852414457"/>
      <w:r w:rsidRPr="004635E5">
        <w:rPr>
          <w:rFonts w:eastAsia="Batang"/>
          <w:b/>
          <w:i/>
          <w:iCs/>
          <w:sz w:val="22"/>
          <w:szCs w:val="22"/>
          <w:vertAlign w:val="subscript"/>
          <w:lang w:val="en-AU" w:eastAsia="ko-KR"/>
        </w:rPr>
        <w:t>max</w:t>
      </w:r>
      <w:bookmarkEnd w:id="121"/>
      <w:r w:rsidRPr="004635E5">
        <w:rPr>
          <w:rFonts w:eastAsia="Batang"/>
          <w:b/>
          <w:iCs/>
          <w:sz w:val="22"/>
          <w:szCs w:val="22"/>
          <w:lang w:val="en-AU" w:eastAsia="ko-KR"/>
        </w:rPr>
        <w:t xml:space="preserve"> (F</w:t>
      </w:r>
      <w:r w:rsidRPr="004635E5">
        <w:rPr>
          <w:rFonts w:eastAsia="Batang"/>
          <w:b/>
          <w:iCs/>
          <w:sz w:val="22"/>
          <w:szCs w:val="22"/>
          <w:vertAlign w:val="subscript"/>
          <w:lang w:val="en-AU" w:eastAsia="ko-KR"/>
        </w:rPr>
        <w:t>msm</w:t>
      </w:r>
      <w:r w:rsidRPr="004635E5">
        <w:rPr>
          <w:rFonts w:eastAsia="Batang"/>
          <w:b/>
          <w:iCs/>
          <w:sz w:val="22"/>
          <w:szCs w:val="22"/>
          <w:lang w:val="en-AU" w:eastAsia="ko-KR"/>
        </w:rPr>
        <w:t>)</w:t>
      </w:r>
      <w:r w:rsidRPr="004635E5">
        <w:rPr>
          <w:rFonts w:eastAsia="Batang"/>
          <w:b/>
          <w:sz w:val="22"/>
          <w:szCs w:val="22"/>
          <w:lang w:val="en-AU" w:eastAsia="ko-KR"/>
        </w:rPr>
        <w:t xml:space="preserve">, </w:t>
      </w:r>
    </w:p>
    <w:p w14:paraId="08A69C0A" w14:textId="77777777" w:rsidR="00C23E6C" w:rsidRPr="004635E5" w:rsidRDefault="00C23E6C" w:rsidP="00580EA4">
      <w:pPr>
        <w:pStyle w:val="ListParagraph"/>
        <w:numPr>
          <w:ilvl w:val="1"/>
          <w:numId w:val="36"/>
        </w:numPr>
        <w:adjustRightInd w:val="0"/>
        <w:snapToGrid w:val="0"/>
        <w:rPr>
          <w:rFonts w:eastAsia="Batang"/>
          <w:b/>
          <w:sz w:val="22"/>
          <w:szCs w:val="22"/>
          <w:lang w:val="en-NZ" w:eastAsia="ko-KR"/>
        </w:rPr>
      </w:pPr>
      <w:r w:rsidRPr="004635E5">
        <w:rPr>
          <w:rFonts w:eastAsia="Batang"/>
          <w:b/>
          <w:sz w:val="22"/>
          <w:szCs w:val="22"/>
          <w:lang w:val="en-AU" w:eastAsia="ko-KR"/>
        </w:rPr>
        <w:t>2-8% of the limit risk level based on 0.75</w:t>
      </w:r>
      <w:r w:rsidRPr="004635E5">
        <w:rPr>
          <w:rFonts w:eastAsia="Batang"/>
          <w:b/>
          <w:i/>
          <w:iCs/>
          <w:sz w:val="22"/>
          <w:szCs w:val="22"/>
          <w:lang w:val="en-AU" w:eastAsia="ko-KR"/>
        </w:rPr>
        <w:t>r</w:t>
      </w:r>
      <w:r w:rsidRPr="004635E5">
        <w:rPr>
          <w:rFonts w:eastAsia="Batang"/>
          <w:b/>
          <w:i/>
          <w:iCs/>
          <w:sz w:val="22"/>
          <w:szCs w:val="22"/>
          <w:vertAlign w:val="subscript"/>
          <w:lang w:val="en-AU" w:eastAsia="ko-KR"/>
        </w:rPr>
        <w:t>max</w:t>
      </w:r>
      <w:r w:rsidRPr="004635E5">
        <w:rPr>
          <w:rFonts w:eastAsia="Batang"/>
          <w:b/>
          <w:i/>
          <w:iCs/>
          <w:sz w:val="22"/>
          <w:szCs w:val="22"/>
          <w:lang w:val="en-AU" w:eastAsia="ko-KR"/>
        </w:rPr>
        <w:t xml:space="preserve"> </w:t>
      </w:r>
      <w:r w:rsidRPr="004635E5">
        <w:rPr>
          <w:rFonts w:eastAsia="Batang"/>
          <w:b/>
          <w:iCs/>
          <w:sz w:val="22"/>
          <w:szCs w:val="22"/>
          <w:lang w:val="en-AU" w:eastAsia="ko-KR"/>
        </w:rPr>
        <w:t>(F</w:t>
      </w:r>
      <w:r w:rsidRPr="004635E5">
        <w:rPr>
          <w:rFonts w:eastAsia="Batang"/>
          <w:b/>
          <w:iCs/>
          <w:sz w:val="22"/>
          <w:szCs w:val="22"/>
          <w:vertAlign w:val="subscript"/>
          <w:lang w:val="en-AU" w:eastAsia="ko-KR"/>
        </w:rPr>
        <w:t>lim</w:t>
      </w:r>
      <w:r w:rsidRPr="004635E5">
        <w:rPr>
          <w:rFonts w:eastAsia="Batang"/>
          <w:b/>
          <w:iCs/>
          <w:sz w:val="22"/>
          <w:szCs w:val="22"/>
          <w:lang w:val="en-AU" w:eastAsia="ko-KR"/>
        </w:rPr>
        <w:t>)</w:t>
      </w:r>
      <w:r w:rsidRPr="004635E5">
        <w:rPr>
          <w:rFonts w:eastAsia="Batang"/>
          <w:b/>
          <w:sz w:val="22"/>
          <w:szCs w:val="22"/>
          <w:lang w:val="en-AU" w:eastAsia="ko-KR"/>
        </w:rPr>
        <w:t xml:space="preserve">, and </w:t>
      </w:r>
    </w:p>
    <w:p w14:paraId="7ABCD2E4" w14:textId="77777777" w:rsidR="00C23E6C" w:rsidRPr="004635E5" w:rsidRDefault="00C23E6C" w:rsidP="00580EA4">
      <w:pPr>
        <w:pStyle w:val="ListParagraph"/>
        <w:numPr>
          <w:ilvl w:val="1"/>
          <w:numId w:val="36"/>
        </w:numPr>
        <w:adjustRightInd w:val="0"/>
        <w:snapToGrid w:val="0"/>
        <w:rPr>
          <w:rFonts w:eastAsia="Batang"/>
          <w:b/>
          <w:sz w:val="22"/>
          <w:szCs w:val="22"/>
          <w:lang w:val="en-NZ" w:eastAsia="ko-KR"/>
        </w:rPr>
      </w:pPr>
      <w:r w:rsidRPr="004635E5">
        <w:rPr>
          <w:rFonts w:eastAsia="Batang"/>
          <w:b/>
          <w:sz w:val="22"/>
          <w:szCs w:val="22"/>
          <w:lang w:val="en-AU" w:eastAsia="ko-KR"/>
        </w:rPr>
        <w:t xml:space="preserve">2-6% of the limit risk level based on </w:t>
      </w:r>
      <w:r w:rsidRPr="004635E5">
        <w:rPr>
          <w:rFonts w:eastAsia="Batang"/>
          <w:b/>
          <w:i/>
          <w:iCs/>
          <w:sz w:val="22"/>
          <w:szCs w:val="22"/>
          <w:lang w:val="en-AU" w:eastAsia="ko-KR"/>
        </w:rPr>
        <w:t>r</w:t>
      </w:r>
      <w:r w:rsidRPr="004635E5">
        <w:rPr>
          <w:rFonts w:eastAsia="Batang"/>
          <w:b/>
          <w:i/>
          <w:iCs/>
          <w:sz w:val="22"/>
          <w:szCs w:val="22"/>
          <w:vertAlign w:val="subscript"/>
          <w:lang w:val="en-AU" w:eastAsia="ko-KR"/>
        </w:rPr>
        <w:t>max</w:t>
      </w:r>
      <w:r w:rsidRPr="004635E5">
        <w:rPr>
          <w:rFonts w:eastAsia="Batang"/>
          <w:b/>
          <w:i/>
          <w:iCs/>
          <w:sz w:val="22"/>
          <w:szCs w:val="22"/>
          <w:lang w:val="en-AU" w:eastAsia="ko-KR"/>
        </w:rPr>
        <w:t xml:space="preserve"> </w:t>
      </w:r>
      <w:r w:rsidRPr="004635E5">
        <w:rPr>
          <w:rFonts w:eastAsia="Batang"/>
          <w:b/>
          <w:iCs/>
          <w:sz w:val="22"/>
          <w:szCs w:val="22"/>
          <w:lang w:val="en-AU" w:eastAsia="ko-KR"/>
        </w:rPr>
        <w:t>(F</w:t>
      </w:r>
      <w:r w:rsidRPr="004635E5">
        <w:rPr>
          <w:rFonts w:eastAsia="Batang"/>
          <w:b/>
          <w:iCs/>
          <w:sz w:val="22"/>
          <w:szCs w:val="22"/>
          <w:vertAlign w:val="subscript"/>
          <w:lang w:val="en-AU" w:eastAsia="ko-KR"/>
        </w:rPr>
        <w:t>crash</w:t>
      </w:r>
      <w:r w:rsidRPr="004635E5">
        <w:rPr>
          <w:rFonts w:eastAsia="Batang"/>
          <w:b/>
          <w:iCs/>
          <w:sz w:val="22"/>
          <w:szCs w:val="22"/>
          <w:lang w:val="en-AU" w:eastAsia="ko-KR"/>
        </w:rPr>
        <w:t>)</w:t>
      </w:r>
      <w:r w:rsidRPr="004635E5">
        <w:rPr>
          <w:rFonts w:eastAsia="Batang"/>
          <w:b/>
          <w:i/>
          <w:iCs/>
          <w:sz w:val="22"/>
          <w:szCs w:val="22"/>
          <w:lang w:val="en-AU" w:eastAsia="ko-KR"/>
        </w:rPr>
        <w:t xml:space="preserve">, </w:t>
      </w:r>
      <w:r w:rsidRPr="004635E5">
        <w:rPr>
          <w:rFonts w:eastAsia="Batang"/>
          <w:b/>
          <w:sz w:val="22"/>
          <w:szCs w:val="22"/>
          <w:lang w:val="en-AU" w:eastAsia="ko-KR"/>
        </w:rPr>
        <w:t>where</w:t>
      </w:r>
      <w:r w:rsidRPr="004635E5">
        <w:rPr>
          <w:rFonts w:eastAsia="Batang"/>
          <w:b/>
          <w:i/>
          <w:iCs/>
          <w:sz w:val="22"/>
          <w:szCs w:val="22"/>
          <w:lang w:val="en-AU" w:eastAsia="ko-KR"/>
        </w:rPr>
        <w:t xml:space="preserve"> r</w:t>
      </w:r>
      <w:r w:rsidRPr="004635E5">
        <w:rPr>
          <w:rFonts w:eastAsia="Batang"/>
          <w:b/>
          <w:i/>
          <w:iCs/>
          <w:sz w:val="22"/>
          <w:szCs w:val="22"/>
          <w:vertAlign w:val="subscript"/>
          <w:lang w:val="en-AU" w:eastAsia="ko-KR"/>
        </w:rPr>
        <w:t>max</w:t>
      </w:r>
      <w:r w:rsidRPr="004635E5">
        <w:rPr>
          <w:rFonts w:eastAsia="Batang"/>
          <w:b/>
          <w:i/>
          <w:iCs/>
          <w:sz w:val="22"/>
          <w:szCs w:val="22"/>
          <w:lang w:val="en-AU" w:eastAsia="ko-KR"/>
        </w:rPr>
        <w:t xml:space="preserve"> </w:t>
      </w:r>
      <w:r w:rsidRPr="004635E5">
        <w:rPr>
          <w:rFonts w:eastAsia="Batang"/>
          <w:b/>
          <w:sz w:val="22"/>
          <w:szCs w:val="22"/>
          <w:lang w:val="en-AU" w:eastAsia="ko-KR"/>
        </w:rPr>
        <w:t>is the maximum population growth rate</w:t>
      </w:r>
      <w:r w:rsidR="00A16680" w:rsidRPr="004635E5">
        <w:rPr>
          <w:rFonts w:eastAsia="Batang"/>
          <w:b/>
          <w:sz w:val="22"/>
          <w:szCs w:val="22"/>
          <w:lang w:val="en-AU" w:eastAsia="ko-KR"/>
        </w:rPr>
        <w:t xml:space="preserve">. </w:t>
      </w:r>
    </w:p>
    <w:p w14:paraId="38F37BED" w14:textId="77777777" w:rsidR="00C23E6C" w:rsidRPr="004635E5" w:rsidRDefault="00C23E6C" w:rsidP="006633A8">
      <w:pPr>
        <w:pStyle w:val="ListParagraph"/>
        <w:adjustRightInd w:val="0"/>
        <w:snapToGrid w:val="0"/>
        <w:rPr>
          <w:rFonts w:eastAsia="Batang"/>
          <w:sz w:val="22"/>
          <w:szCs w:val="22"/>
          <w:lang w:val="en-NZ" w:eastAsia="ko-KR"/>
        </w:rPr>
      </w:pPr>
    </w:p>
    <w:p w14:paraId="6FE5F9C1" w14:textId="77777777" w:rsidR="00C23E6C" w:rsidRPr="004635E5" w:rsidRDefault="005A2897" w:rsidP="006633A8">
      <w:pPr>
        <w:pStyle w:val="ListParagraph"/>
        <w:adjustRightInd w:val="0"/>
        <w:snapToGrid w:val="0"/>
        <w:rPr>
          <w:rFonts w:eastAsia="Batang"/>
          <w:sz w:val="22"/>
          <w:szCs w:val="22"/>
          <w:lang w:val="en-NZ" w:eastAsia="ko-KR"/>
        </w:rPr>
      </w:pPr>
      <w:r w:rsidRPr="004635E5">
        <w:rPr>
          <w:rFonts w:eastAsia="Batang"/>
          <w:noProof/>
          <w:sz w:val="22"/>
          <w:szCs w:val="22"/>
          <w:lang w:eastAsia="zh-CN" w:bidi="mn-Mong-CN"/>
        </w:rPr>
        <w:drawing>
          <wp:inline distT="0" distB="5080" distL="0" distR="0" wp14:anchorId="06AC822C" wp14:editId="230A7C52">
            <wp:extent cx="5085340" cy="2165684"/>
            <wp:effectExtent l="0" t="0" r="0" b="0"/>
            <wp:docPr id="1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72" cstate="print"/>
                    <a:srcRect t="65939"/>
                    <a:stretch>
                      <a:fillRect/>
                    </a:stretch>
                  </pic:blipFill>
                  <pic:spPr bwMode="auto">
                    <a:xfrm>
                      <a:off x="0" y="0"/>
                      <a:ext cx="5090474" cy="2167870"/>
                    </a:xfrm>
                    <a:prstGeom prst="rect">
                      <a:avLst/>
                    </a:prstGeom>
                  </pic:spPr>
                </pic:pic>
              </a:graphicData>
            </a:graphic>
          </wp:inline>
        </w:drawing>
      </w:r>
    </w:p>
    <w:p w14:paraId="64AB45F7" w14:textId="77777777" w:rsidR="00C23E6C" w:rsidRPr="004635E5" w:rsidRDefault="00C23E6C" w:rsidP="006633A8">
      <w:pPr>
        <w:adjustRightInd w:val="0"/>
        <w:snapToGrid w:val="0"/>
        <w:rPr>
          <w:rFonts w:eastAsia="Batang"/>
          <w:sz w:val="22"/>
          <w:szCs w:val="22"/>
          <w:lang w:val="en-NZ" w:eastAsia="ko-KR"/>
        </w:rPr>
      </w:pPr>
      <w:r w:rsidRPr="004635E5">
        <w:rPr>
          <w:rFonts w:eastAsia="Batang"/>
          <w:b/>
          <w:sz w:val="22"/>
          <w:szCs w:val="22"/>
          <w:lang w:val="en-AU" w:eastAsia="ko-KR"/>
        </w:rPr>
        <w:t>Figure RHN-2</w:t>
      </w:r>
      <w:r w:rsidR="002E39E9" w:rsidRPr="004635E5">
        <w:rPr>
          <w:rFonts w:eastAsia="Batang"/>
          <w:b/>
          <w:sz w:val="22"/>
          <w:szCs w:val="22"/>
          <w:lang w:val="en-AU" w:eastAsia="ko-KR"/>
        </w:rPr>
        <w:t xml:space="preserve">. </w:t>
      </w:r>
      <w:r w:rsidRPr="004635E5">
        <w:rPr>
          <w:rFonts w:eastAsia="Batang"/>
          <w:sz w:val="22"/>
          <w:szCs w:val="22"/>
          <w:lang w:val="en-AU" w:eastAsia="ko-KR"/>
        </w:rPr>
        <w:t>Risk that mortality exceeds either of three limit reference points (RR_crash (F</w:t>
      </w:r>
      <w:r w:rsidRPr="004635E5">
        <w:rPr>
          <w:rFonts w:eastAsia="Batang"/>
          <w:sz w:val="22"/>
          <w:szCs w:val="22"/>
          <w:vertAlign w:val="subscript"/>
          <w:lang w:val="en-AU" w:eastAsia="ko-KR"/>
        </w:rPr>
        <w:t>MSM</w:t>
      </w:r>
      <w:r w:rsidRPr="004635E5">
        <w:rPr>
          <w:rFonts w:eastAsia="Batang"/>
          <w:sz w:val="22"/>
          <w:szCs w:val="22"/>
          <w:lang w:val="en-AU" w:eastAsia="ko-KR"/>
        </w:rPr>
        <w:t>:</w:t>
      </w:r>
      <w:r w:rsidR="00F81EF0">
        <w:rPr>
          <w:rFonts w:eastAsia="Batang"/>
          <w:sz w:val="22"/>
          <w:szCs w:val="22"/>
          <w:lang w:val="en-AU" w:eastAsia="ko-KR"/>
        </w:rPr>
        <w:t xml:space="preserve"> </w:t>
      </w:r>
      <w:r w:rsidRPr="004635E5">
        <w:rPr>
          <w:rFonts w:eastAsia="Batang"/>
          <w:sz w:val="22"/>
          <w:szCs w:val="22"/>
          <w:lang w:val="en-AU" w:eastAsia="ko-KR"/>
        </w:rPr>
        <w:t>0.5</w:t>
      </w:r>
      <w:r w:rsidRPr="004635E5">
        <w:rPr>
          <w:rFonts w:eastAsia="Batang"/>
          <w:i/>
          <w:iCs/>
          <w:sz w:val="22"/>
          <w:szCs w:val="22"/>
          <w:lang w:val="en-AU" w:eastAsia="ko-KR"/>
        </w:rPr>
        <w:t>r</w:t>
      </w:r>
      <w:r w:rsidRPr="004635E5">
        <w:rPr>
          <w:rFonts w:eastAsia="Batang"/>
          <w:sz w:val="22"/>
          <w:szCs w:val="22"/>
          <w:vertAlign w:val="subscript"/>
          <w:lang w:val="en-AU" w:eastAsia="ko-KR"/>
        </w:rPr>
        <w:t>max</w:t>
      </w:r>
      <w:r w:rsidRPr="004635E5">
        <w:rPr>
          <w:rFonts w:eastAsia="Batang"/>
          <w:sz w:val="22"/>
          <w:szCs w:val="22"/>
          <w:lang w:val="en-AU" w:eastAsia="ko-KR"/>
        </w:rPr>
        <w:t>), RR_lim (F</w:t>
      </w:r>
      <w:r w:rsidRPr="004635E5">
        <w:rPr>
          <w:rFonts w:eastAsia="Batang"/>
          <w:sz w:val="22"/>
          <w:szCs w:val="22"/>
          <w:vertAlign w:val="subscript"/>
          <w:lang w:val="en-AU" w:eastAsia="ko-KR"/>
        </w:rPr>
        <w:t>Lim</w:t>
      </w:r>
      <w:r w:rsidRPr="004635E5">
        <w:rPr>
          <w:rFonts w:eastAsia="Batang"/>
          <w:sz w:val="22"/>
          <w:szCs w:val="22"/>
          <w:lang w:val="en-AU" w:eastAsia="ko-KR"/>
        </w:rPr>
        <w:t>:</w:t>
      </w:r>
      <w:r w:rsidR="00F81EF0">
        <w:rPr>
          <w:rFonts w:eastAsia="Batang"/>
          <w:sz w:val="22"/>
          <w:szCs w:val="22"/>
          <w:lang w:val="en-AU" w:eastAsia="ko-KR"/>
        </w:rPr>
        <w:t xml:space="preserve"> </w:t>
      </w:r>
      <w:r w:rsidRPr="004635E5">
        <w:rPr>
          <w:rFonts w:eastAsia="Batang"/>
          <w:sz w:val="22"/>
          <w:szCs w:val="22"/>
          <w:lang w:val="en-AU" w:eastAsia="ko-KR"/>
        </w:rPr>
        <w:t>0.75</w:t>
      </w:r>
      <w:r w:rsidRPr="004635E5">
        <w:rPr>
          <w:rFonts w:eastAsia="Batang"/>
          <w:i/>
          <w:iCs/>
          <w:sz w:val="22"/>
          <w:szCs w:val="22"/>
          <w:lang w:val="en-AU" w:eastAsia="ko-KR"/>
        </w:rPr>
        <w:t>r</w:t>
      </w:r>
      <w:r w:rsidRPr="004635E5">
        <w:rPr>
          <w:rFonts w:eastAsia="Batang"/>
          <w:sz w:val="22"/>
          <w:szCs w:val="22"/>
          <w:vertAlign w:val="subscript"/>
          <w:lang w:val="en-AU" w:eastAsia="ko-KR"/>
        </w:rPr>
        <w:t>max</w:t>
      </w:r>
      <w:r w:rsidRPr="004635E5">
        <w:rPr>
          <w:rFonts w:eastAsia="Batang"/>
          <w:sz w:val="22"/>
          <w:szCs w:val="22"/>
          <w:lang w:val="en-AU" w:eastAsia="ko-KR"/>
        </w:rPr>
        <w:t>)</w:t>
      </w:r>
      <w:r w:rsidRPr="004635E5">
        <w:rPr>
          <w:rFonts w:eastAsia="Batang"/>
          <w:sz w:val="22"/>
          <w:szCs w:val="22"/>
          <w:vertAlign w:val="subscript"/>
          <w:lang w:val="en-AU" w:eastAsia="ko-KR"/>
        </w:rPr>
        <w:t>,</w:t>
      </w:r>
      <w:r w:rsidRPr="004635E5">
        <w:rPr>
          <w:rFonts w:eastAsia="Batang"/>
          <w:sz w:val="22"/>
          <w:szCs w:val="22"/>
          <w:lang w:val="en-AU" w:eastAsia="ko-KR"/>
        </w:rPr>
        <w:t xml:space="preserve"> RR_crash (F</w:t>
      </w:r>
      <w:r w:rsidRPr="004635E5">
        <w:rPr>
          <w:rFonts w:eastAsia="Batang"/>
          <w:sz w:val="22"/>
          <w:szCs w:val="22"/>
          <w:vertAlign w:val="subscript"/>
          <w:lang w:val="en-AU" w:eastAsia="ko-KR"/>
        </w:rPr>
        <w:t>crash</w:t>
      </w:r>
      <w:r w:rsidRPr="004635E5">
        <w:rPr>
          <w:rFonts w:eastAsia="Batang"/>
          <w:sz w:val="22"/>
          <w:szCs w:val="22"/>
          <w:lang w:val="en-AU" w:eastAsia="ko-KR"/>
        </w:rPr>
        <w:t>:</w:t>
      </w:r>
      <w:r w:rsidR="00F81EF0">
        <w:rPr>
          <w:rFonts w:eastAsia="Batang"/>
          <w:sz w:val="22"/>
          <w:szCs w:val="22"/>
          <w:lang w:val="en-AU" w:eastAsia="ko-KR"/>
        </w:rPr>
        <w:t xml:space="preserve"> </w:t>
      </w:r>
      <w:r w:rsidRPr="004635E5">
        <w:rPr>
          <w:rFonts w:eastAsia="Batang"/>
          <w:i/>
          <w:iCs/>
          <w:sz w:val="22"/>
          <w:szCs w:val="22"/>
          <w:lang w:val="en-AU" w:eastAsia="ko-KR"/>
        </w:rPr>
        <w:t>r</w:t>
      </w:r>
      <w:r w:rsidRPr="004635E5">
        <w:rPr>
          <w:rFonts w:eastAsia="Batang"/>
          <w:sz w:val="22"/>
          <w:szCs w:val="22"/>
          <w:vertAlign w:val="subscript"/>
          <w:lang w:val="en-AU" w:eastAsia="ko-KR"/>
        </w:rPr>
        <w:t>max</w:t>
      </w:r>
      <w:r w:rsidRPr="004635E5">
        <w:rPr>
          <w:rFonts w:eastAsia="Batang"/>
          <w:sz w:val="22"/>
          <w:szCs w:val="22"/>
          <w:lang w:val="en-AU" w:eastAsia="ko-KR"/>
        </w:rPr>
        <w:t xml:space="preserve">)). </w:t>
      </w:r>
    </w:p>
    <w:p w14:paraId="19A80174" w14:textId="77777777" w:rsidR="00C23E6C" w:rsidRPr="004635E5" w:rsidRDefault="00C23E6C" w:rsidP="006633A8">
      <w:pPr>
        <w:pStyle w:val="ListParagraph"/>
        <w:adjustRightInd w:val="0"/>
        <w:snapToGrid w:val="0"/>
        <w:rPr>
          <w:rFonts w:eastAsia="Batang"/>
          <w:sz w:val="22"/>
          <w:szCs w:val="22"/>
          <w:lang w:val="en-AU" w:eastAsia="ko-KR"/>
        </w:rPr>
      </w:pPr>
    </w:p>
    <w:p w14:paraId="5D4C881F" w14:textId="77777777" w:rsidR="002F21EE" w:rsidRPr="004635E5" w:rsidRDefault="00C23E6C" w:rsidP="00580EA4">
      <w:pPr>
        <w:numPr>
          <w:ilvl w:val="0"/>
          <w:numId w:val="18"/>
        </w:numPr>
        <w:autoSpaceDE w:val="0"/>
        <w:autoSpaceDN w:val="0"/>
        <w:adjustRightInd w:val="0"/>
        <w:snapToGrid w:val="0"/>
        <w:ind w:left="0" w:firstLine="0"/>
        <w:jc w:val="both"/>
        <w:rPr>
          <w:rFonts w:eastAsia="Batang"/>
          <w:b/>
          <w:sz w:val="22"/>
          <w:szCs w:val="22"/>
          <w:lang w:val="en-AU" w:eastAsia="ko-KR"/>
        </w:rPr>
      </w:pPr>
      <w:r w:rsidRPr="004635E5">
        <w:rPr>
          <w:rFonts w:eastAsia="Batang"/>
          <w:b/>
          <w:sz w:val="22"/>
          <w:szCs w:val="22"/>
          <w:lang w:val="en-NZ" w:eastAsia="ko-KR"/>
        </w:rPr>
        <w:t>SC14 noted the report’s findings that understanding and reducing post-release mortality is recommended as one of most effective approaches to maintaining acceptable risk levels</w:t>
      </w:r>
      <w:r w:rsidR="00A16680" w:rsidRPr="004635E5">
        <w:rPr>
          <w:rFonts w:eastAsia="Batang"/>
          <w:b/>
          <w:sz w:val="22"/>
          <w:szCs w:val="22"/>
          <w:lang w:val="en-NZ" w:eastAsia="ko-KR"/>
        </w:rPr>
        <w:t xml:space="preserve">. </w:t>
      </w:r>
    </w:p>
    <w:p w14:paraId="5C0EE3F4" w14:textId="77777777" w:rsidR="00A61B2B" w:rsidRPr="004635E5" w:rsidRDefault="00A61B2B" w:rsidP="006633A8">
      <w:pPr>
        <w:autoSpaceDE w:val="0"/>
        <w:autoSpaceDN w:val="0"/>
        <w:adjustRightInd w:val="0"/>
        <w:snapToGrid w:val="0"/>
        <w:jc w:val="both"/>
        <w:rPr>
          <w:rFonts w:eastAsia="Batang"/>
          <w:b/>
          <w:sz w:val="22"/>
          <w:szCs w:val="22"/>
          <w:lang w:val="en-AU" w:eastAsia="ko-KR"/>
        </w:rPr>
      </w:pPr>
    </w:p>
    <w:p w14:paraId="424BE78D" w14:textId="77777777" w:rsidR="002F21EE" w:rsidRPr="004635E5" w:rsidRDefault="00C23E6C" w:rsidP="00580EA4">
      <w:pPr>
        <w:numPr>
          <w:ilvl w:val="0"/>
          <w:numId w:val="18"/>
        </w:numPr>
        <w:autoSpaceDE w:val="0"/>
        <w:autoSpaceDN w:val="0"/>
        <w:adjustRightInd w:val="0"/>
        <w:snapToGrid w:val="0"/>
        <w:ind w:left="0" w:firstLine="0"/>
        <w:jc w:val="both"/>
        <w:rPr>
          <w:rFonts w:eastAsia="Batang"/>
          <w:b/>
          <w:sz w:val="22"/>
          <w:szCs w:val="22"/>
          <w:lang w:val="en-AU" w:eastAsia="ko-KR"/>
        </w:rPr>
      </w:pPr>
      <w:r w:rsidRPr="004635E5">
        <w:rPr>
          <w:rFonts w:eastAsia="Batang"/>
          <w:b/>
          <w:sz w:val="22"/>
          <w:szCs w:val="22"/>
          <w:lang w:val="en-AU" w:eastAsia="ko-KR"/>
        </w:rPr>
        <w:t xml:space="preserve">SC14 also noted the report’s findings that the </w:t>
      </w:r>
      <w:r w:rsidRPr="004635E5">
        <w:rPr>
          <w:rFonts w:eastAsia="Batang"/>
          <w:b/>
          <w:sz w:val="22"/>
          <w:szCs w:val="22"/>
          <w:lang w:val="en-NZ" w:eastAsia="ko-KR"/>
        </w:rPr>
        <w:t xml:space="preserve">total risk to the </w:t>
      </w:r>
      <w:r w:rsidRPr="004635E5">
        <w:rPr>
          <w:rFonts w:eastAsia="Batang"/>
          <w:b/>
          <w:sz w:val="22"/>
          <w:szCs w:val="22"/>
          <w:lang w:val="en-AU" w:eastAsia="ko-KR"/>
        </w:rPr>
        <w:t>Indo-Pacific whale shark population may be higher if there are differential impacts to more vulnerable population segments within the Pacific and/or higher fishing mortalities outside of the region (e.g. the Indian Ocean)</w:t>
      </w:r>
      <w:r w:rsidR="00A16680" w:rsidRPr="004635E5">
        <w:rPr>
          <w:rFonts w:eastAsia="Batang"/>
          <w:b/>
          <w:sz w:val="22"/>
          <w:szCs w:val="22"/>
          <w:lang w:val="en-AU" w:eastAsia="ko-KR"/>
        </w:rPr>
        <w:t xml:space="preserve">. </w:t>
      </w:r>
    </w:p>
    <w:p w14:paraId="74FED2E1" w14:textId="77777777" w:rsidR="00A61B2B" w:rsidRPr="004635E5" w:rsidRDefault="00A61B2B" w:rsidP="006633A8">
      <w:pPr>
        <w:autoSpaceDE w:val="0"/>
        <w:autoSpaceDN w:val="0"/>
        <w:adjustRightInd w:val="0"/>
        <w:snapToGrid w:val="0"/>
        <w:jc w:val="both"/>
        <w:rPr>
          <w:rFonts w:eastAsia="Batang"/>
          <w:b/>
          <w:sz w:val="22"/>
          <w:szCs w:val="22"/>
          <w:lang w:val="en-AU" w:eastAsia="ko-KR"/>
        </w:rPr>
      </w:pPr>
    </w:p>
    <w:p w14:paraId="6EECE697" w14:textId="77777777" w:rsidR="00C23E6C" w:rsidRPr="004635E5" w:rsidRDefault="00C23E6C" w:rsidP="00580EA4">
      <w:pPr>
        <w:numPr>
          <w:ilvl w:val="0"/>
          <w:numId w:val="18"/>
        </w:numPr>
        <w:autoSpaceDE w:val="0"/>
        <w:autoSpaceDN w:val="0"/>
        <w:adjustRightInd w:val="0"/>
        <w:snapToGrid w:val="0"/>
        <w:ind w:left="0" w:firstLine="0"/>
        <w:jc w:val="both"/>
        <w:rPr>
          <w:rFonts w:eastAsia="Batang"/>
          <w:b/>
          <w:sz w:val="22"/>
          <w:szCs w:val="22"/>
          <w:lang w:val="en-AU" w:eastAsia="ko-KR"/>
        </w:rPr>
      </w:pPr>
      <w:r w:rsidRPr="004635E5">
        <w:rPr>
          <w:rFonts w:eastAsia="Batang"/>
          <w:b/>
          <w:sz w:val="22"/>
          <w:szCs w:val="22"/>
          <w:lang w:val="en-NZ" w:eastAsia="ko-KR"/>
        </w:rPr>
        <w:t>SC14 considered the use of precautionary risk assessment model inputs</w:t>
      </w:r>
      <w:r w:rsidR="00A16680" w:rsidRPr="004635E5">
        <w:rPr>
          <w:rFonts w:eastAsia="Batang"/>
          <w:b/>
          <w:sz w:val="22"/>
          <w:szCs w:val="22"/>
          <w:lang w:val="en-NZ" w:eastAsia="ko-KR"/>
        </w:rPr>
        <w:t xml:space="preserve">. </w:t>
      </w:r>
      <w:r w:rsidRPr="004635E5">
        <w:rPr>
          <w:rFonts w:eastAsia="Batang"/>
          <w:b/>
          <w:sz w:val="22"/>
          <w:szCs w:val="22"/>
          <w:lang w:val="en-NZ" w:eastAsia="ko-KR"/>
        </w:rPr>
        <w:t>It was noted that input parameters to the risk assessment were drawn from the best available data, but in some cases where the data were uninformative about the probability distributions of the parameters of interest the methodology put more weight on precautionary values</w:t>
      </w:r>
      <w:r w:rsidR="00A16680" w:rsidRPr="004635E5">
        <w:rPr>
          <w:rFonts w:eastAsia="Batang"/>
          <w:b/>
          <w:sz w:val="22"/>
          <w:szCs w:val="22"/>
          <w:lang w:val="en-NZ" w:eastAsia="ko-KR"/>
        </w:rPr>
        <w:t xml:space="preserve">. </w:t>
      </w:r>
    </w:p>
    <w:p w14:paraId="11571B94" w14:textId="77777777" w:rsidR="00A61B2B" w:rsidRPr="004635E5" w:rsidRDefault="00A61B2B" w:rsidP="006633A8">
      <w:pPr>
        <w:autoSpaceDE w:val="0"/>
        <w:autoSpaceDN w:val="0"/>
        <w:adjustRightInd w:val="0"/>
        <w:snapToGrid w:val="0"/>
        <w:jc w:val="both"/>
        <w:rPr>
          <w:rFonts w:eastAsia="Batang"/>
          <w:sz w:val="22"/>
          <w:szCs w:val="22"/>
          <w:lang w:val="en-AU" w:eastAsia="ko-KR"/>
        </w:rPr>
      </w:pPr>
    </w:p>
    <w:p w14:paraId="55C9C5D2" w14:textId="77777777" w:rsidR="00A61B2B" w:rsidRPr="004635E5" w:rsidRDefault="00810E61" w:rsidP="00132438">
      <w:pPr>
        <w:pStyle w:val="SCa"/>
        <w:tabs>
          <w:tab w:val="clear" w:pos="1080"/>
        </w:tabs>
        <w:spacing w:after="0"/>
        <w:ind w:left="90"/>
        <w:rPr>
          <w:lang w:val="en-NZ"/>
        </w:rPr>
      </w:pPr>
      <w:r w:rsidRPr="004635E5">
        <w:rPr>
          <w:lang w:val="en-NZ"/>
        </w:rPr>
        <w:t>b.</w:t>
      </w:r>
      <w:r w:rsidRPr="004635E5">
        <w:rPr>
          <w:lang w:val="en-NZ"/>
        </w:rPr>
        <w:tab/>
      </w:r>
      <w:r w:rsidR="00C23E6C" w:rsidRPr="004635E5">
        <w:rPr>
          <w:lang w:val="en-NZ"/>
        </w:rPr>
        <w:t>Management advice and implications</w:t>
      </w:r>
    </w:p>
    <w:p w14:paraId="38B6E6F3" w14:textId="77777777" w:rsidR="00A61B2B" w:rsidRPr="004635E5" w:rsidRDefault="00A61B2B" w:rsidP="006633A8">
      <w:pPr>
        <w:pStyle w:val="SCa"/>
        <w:spacing w:after="0"/>
        <w:rPr>
          <w:lang w:val="en-NZ"/>
        </w:rPr>
      </w:pPr>
    </w:p>
    <w:p w14:paraId="5BC6D410" w14:textId="77777777" w:rsidR="002F21EE" w:rsidRPr="004635E5" w:rsidRDefault="00C23E6C" w:rsidP="00580EA4">
      <w:pPr>
        <w:numPr>
          <w:ilvl w:val="0"/>
          <w:numId w:val="18"/>
        </w:numPr>
        <w:autoSpaceDE w:val="0"/>
        <w:autoSpaceDN w:val="0"/>
        <w:adjustRightInd w:val="0"/>
        <w:snapToGrid w:val="0"/>
        <w:ind w:left="0" w:firstLine="0"/>
        <w:jc w:val="both"/>
        <w:rPr>
          <w:rFonts w:eastAsia="Batang"/>
          <w:b/>
          <w:sz w:val="22"/>
          <w:szCs w:val="22"/>
          <w:lang w:val="en-AU" w:eastAsia="ko-KR"/>
        </w:rPr>
      </w:pPr>
      <w:r w:rsidRPr="004635E5">
        <w:rPr>
          <w:rFonts w:eastAsia="Batang"/>
          <w:b/>
          <w:sz w:val="22"/>
          <w:szCs w:val="22"/>
          <w:lang w:val="en-AU" w:eastAsia="ko-KR"/>
        </w:rPr>
        <w:t xml:space="preserve">SC14 considers </w:t>
      </w:r>
      <w:r w:rsidRPr="004635E5">
        <w:rPr>
          <w:rFonts w:eastAsia="Batang"/>
          <w:b/>
          <w:iCs/>
          <w:sz w:val="22"/>
          <w:szCs w:val="22"/>
          <w:lang w:val="en-NZ" w:eastAsia="ko-KR"/>
        </w:rPr>
        <w:t>there is a low probability that the Indo-Pacific whale shark is at risk from Pacific purse seine fisheries (median probability of less than 8% that current risk levels exceed life history-based notional reference points F</w:t>
      </w:r>
      <w:r w:rsidRPr="004635E5">
        <w:rPr>
          <w:rFonts w:eastAsia="Batang"/>
          <w:b/>
          <w:iCs/>
          <w:sz w:val="22"/>
          <w:szCs w:val="22"/>
          <w:vertAlign w:val="subscript"/>
          <w:lang w:val="en-NZ" w:eastAsia="ko-KR"/>
        </w:rPr>
        <w:t>Lim</w:t>
      </w:r>
      <w:r w:rsidRPr="004635E5">
        <w:rPr>
          <w:rFonts w:eastAsia="Batang"/>
          <w:b/>
          <w:iCs/>
          <w:sz w:val="22"/>
          <w:szCs w:val="22"/>
          <w:lang w:val="en-NZ" w:eastAsia="ko-KR"/>
        </w:rPr>
        <w:t xml:space="preserve"> and F</w:t>
      </w:r>
      <w:r w:rsidRPr="004635E5">
        <w:rPr>
          <w:rFonts w:eastAsia="Batang"/>
          <w:b/>
          <w:iCs/>
          <w:sz w:val="22"/>
          <w:szCs w:val="22"/>
          <w:vertAlign w:val="subscript"/>
          <w:lang w:val="en-NZ" w:eastAsia="ko-KR"/>
        </w:rPr>
        <w:t>crash</w:t>
      </w:r>
      <w:r w:rsidRPr="004635E5">
        <w:rPr>
          <w:rFonts w:eastAsia="Batang"/>
          <w:b/>
          <w:iCs/>
          <w:sz w:val="22"/>
          <w:szCs w:val="22"/>
          <w:lang w:val="en-NZ" w:eastAsia="ko-KR"/>
        </w:rPr>
        <w:t>)</w:t>
      </w:r>
      <w:r w:rsidR="00A16680" w:rsidRPr="004635E5">
        <w:rPr>
          <w:rFonts w:eastAsia="Batang"/>
          <w:b/>
          <w:iCs/>
          <w:sz w:val="22"/>
          <w:szCs w:val="22"/>
          <w:lang w:val="en-NZ" w:eastAsia="ko-KR"/>
        </w:rPr>
        <w:t xml:space="preserve">. </w:t>
      </w:r>
    </w:p>
    <w:p w14:paraId="75C25734" w14:textId="77777777" w:rsidR="00A61B2B" w:rsidRPr="004635E5" w:rsidRDefault="00A61B2B" w:rsidP="006633A8">
      <w:pPr>
        <w:autoSpaceDE w:val="0"/>
        <w:autoSpaceDN w:val="0"/>
        <w:adjustRightInd w:val="0"/>
        <w:snapToGrid w:val="0"/>
        <w:jc w:val="both"/>
        <w:rPr>
          <w:rFonts w:eastAsia="Batang"/>
          <w:b/>
          <w:sz w:val="22"/>
          <w:szCs w:val="22"/>
          <w:lang w:val="en-AU" w:eastAsia="ko-KR"/>
        </w:rPr>
      </w:pPr>
    </w:p>
    <w:p w14:paraId="3B986D96" w14:textId="77777777" w:rsidR="002F21EE" w:rsidRPr="004635E5" w:rsidRDefault="00C23E6C" w:rsidP="00580EA4">
      <w:pPr>
        <w:numPr>
          <w:ilvl w:val="0"/>
          <w:numId w:val="18"/>
        </w:numPr>
        <w:autoSpaceDE w:val="0"/>
        <w:autoSpaceDN w:val="0"/>
        <w:adjustRightInd w:val="0"/>
        <w:snapToGrid w:val="0"/>
        <w:ind w:left="0" w:firstLine="0"/>
        <w:jc w:val="both"/>
        <w:rPr>
          <w:rFonts w:eastAsia="Batang"/>
          <w:b/>
          <w:sz w:val="22"/>
          <w:szCs w:val="22"/>
          <w:lang w:val="en-AU" w:eastAsia="ko-KR"/>
        </w:rPr>
      </w:pPr>
      <w:r w:rsidRPr="004635E5">
        <w:rPr>
          <w:rFonts w:eastAsia="Batang"/>
          <w:b/>
          <w:sz w:val="22"/>
          <w:szCs w:val="22"/>
          <w:lang w:val="en-AU" w:eastAsia="ko-KR"/>
        </w:rPr>
        <w:t>SC14 recommends that the WCPFC initiate concerted efforts to identify and promote best practice safe release methods for whale sharks</w:t>
      </w:r>
      <w:r w:rsidR="00A16680" w:rsidRPr="004635E5">
        <w:rPr>
          <w:rFonts w:eastAsia="Batang"/>
          <w:b/>
          <w:sz w:val="22"/>
          <w:szCs w:val="22"/>
          <w:lang w:val="en-AU" w:eastAsia="ko-KR"/>
        </w:rPr>
        <w:t xml:space="preserve">. </w:t>
      </w:r>
    </w:p>
    <w:p w14:paraId="61B0EB88" w14:textId="77777777" w:rsidR="00A61B2B" w:rsidRPr="004635E5" w:rsidRDefault="00A61B2B" w:rsidP="006633A8">
      <w:pPr>
        <w:autoSpaceDE w:val="0"/>
        <w:autoSpaceDN w:val="0"/>
        <w:adjustRightInd w:val="0"/>
        <w:snapToGrid w:val="0"/>
        <w:jc w:val="both"/>
        <w:rPr>
          <w:rFonts w:eastAsia="Batang"/>
          <w:b/>
          <w:sz w:val="22"/>
          <w:szCs w:val="22"/>
          <w:lang w:val="en-AU" w:eastAsia="ko-KR"/>
        </w:rPr>
      </w:pPr>
    </w:p>
    <w:p w14:paraId="5B48AAA7" w14:textId="77777777" w:rsidR="00C23E6C" w:rsidRPr="004635E5" w:rsidRDefault="00C23E6C" w:rsidP="00580EA4">
      <w:pPr>
        <w:numPr>
          <w:ilvl w:val="0"/>
          <w:numId w:val="18"/>
        </w:numPr>
        <w:autoSpaceDE w:val="0"/>
        <w:autoSpaceDN w:val="0"/>
        <w:adjustRightInd w:val="0"/>
        <w:snapToGrid w:val="0"/>
        <w:ind w:left="0" w:firstLine="0"/>
        <w:jc w:val="both"/>
        <w:rPr>
          <w:rFonts w:eastAsia="Batang"/>
          <w:b/>
          <w:sz w:val="22"/>
          <w:szCs w:val="22"/>
          <w:lang w:val="en-AU" w:eastAsia="ko-KR"/>
        </w:rPr>
      </w:pPr>
      <w:r w:rsidRPr="004635E5">
        <w:rPr>
          <w:rFonts w:eastAsia="Batang"/>
          <w:b/>
          <w:sz w:val="22"/>
          <w:szCs w:val="22"/>
          <w:lang w:val="en-AU" w:eastAsia="ko-KR"/>
        </w:rPr>
        <w:t>SC14 recommends that research be undertaken to quantify post-release mortality rates under a variety of release scenarios</w:t>
      </w:r>
      <w:r w:rsidR="00A16680" w:rsidRPr="004635E5">
        <w:rPr>
          <w:rFonts w:eastAsia="Batang"/>
          <w:b/>
          <w:sz w:val="22"/>
          <w:szCs w:val="22"/>
          <w:lang w:val="en-AU" w:eastAsia="ko-KR"/>
        </w:rPr>
        <w:t xml:space="preserve">. </w:t>
      </w:r>
    </w:p>
    <w:p w14:paraId="0DC7B83D" w14:textId="77777777" w:rsidR="00A61B2B" w:rsidRPr="004635E5" w:rsidRDefault="00A61B2B" w:rsidP="006633A8">
      <w:pPr>
        <w:autoSpaceDE w:val="0"/>
        <w:autoSpaceDN w:val="0"/>
        <w:adjustRightInd w:val="0"/>
        <w:snapToGrid w:val="0"/>
        <w:jc w:val="both"/>
        <w:rPr>
          <w:rFonts w:eastAsia="Batang"/>
          <w:b/>
          <w:sz w:val="22"/>
          <w:szCs w:val="22"/>
          <w:lang w:val="en-AU" w:eastAsia="ko-KR"/>
        </w:rPr>
      </w:pPr>
    </w:p>
    <w:p w14:paraId="41F3C165" w14:textId="77777777" w:rsidR="00A61B2B" w:rsidRPr="004635E5" w:rsidRDefault="00762BC2" w:rsidP="00580EA4">
      <w:pPr>
        <w:pStyle w:val="ListParagraph"/>
        <w:numPr>
          <w:ilvl w:val="1"/>
          <w:numId w:val="13"/>
        </w:numPr>
        <w:adjustRightInd w:val="0"/>
        <w:snapToGrid w:val="0"/>
        <w:jc w:val="both"/>
        <w:rPr>
          <w:rFonts w:eastAsia="Batang"/>
          <w:b/>
          <w:bCs/>
          <w:sz w:val="22"/>
          <w:szCs w:val="22"/>
          <w:lang w:val="en-NZ" w:eastAsia="ko-KR"/>
        </w:rPr>
      </w:pPr>
      <w:r w:rsidRPr="004635E5">
        <w:rPr>
          <w:rFonts w:eastAsia="Batang"/>
          <w:b/>
          <w:bCs/>
          <w:sz w:val="22"/>
          <w:szCs w:val="22"/>
          <w:lang w:val="en-NZ" w:eastAsia="ko-KR"/>
        </w:rPr>
        <w:t>WCPO billfishes</w:t>
      </w:r>
    </w:p>
    <w:p w14:paraId="3F4F133D" w14:textId="77777777" w:rsidR="00506C88" w:rsidRPr="004635E5" w:rsidRDefault="00506C88" w:rsidP="006633A8">
      <w:pPr>
        <w:pStyle w:val="ListParagraph"/>
        <w:adjustRightInd w:val="0"/>
        <w:snapToGrid w:val="0"/>
        <w:jc w:val="both"/>
        <w:rPr>
          <w:rFonts w:eastAsia="Batang"/>
          <w:b/>
          <w:bCs/>
          <w:sz w:val="22"/>
          <w:szCs w:val="22"/>
          <w:lang w:val="en-NZ" w:eastAsia="ko-KR"/>
        </w:rPr>
      </w:pPr>
    </w:p>
    <w:p w14:paraId="57A1D2F1" w14:textId="77777777" w:rsidR="00E50786" w:rsidRPr="00E50786" w:rsidRDefault="00E50786" w:rsidP="00580EA4">
      <w:pPr>
        <w:pStyle w:val="ListParagraph"/>
        <w:keepNext/>
        <w:numPr>
          <w:ilvl w:val="1"/>
          <w:numId w:val="143"/>
        </w:numPr>
        <w:suppressLineNumbers/>
        <w:adjustRightInd w:val="0"/>
        <w:snapToGrid w:val="0"/>
        <w:spacing w:after="220"/>
        <w:jc w:val="both"/>
        <w:rPr>
          <w:rFonts w:eastAsiaTheme="minorEastAsia"/>
          <w:b/>
          <w:vanish/>
          <w:sz w:val="22"/>
          <w:szCs w:val="22"/>
          <w:lang w:val="en-NZ" w:eastAsia="ko-KR"/>
        </w:rPr>
      </w:pPr>
    </w:p>
    <w:p w14:paraId="762641D6" w14:textId="77777777" w:rsidR="00132438" w:rsidRPr="00132438" w:rsidRDefault="00132438" w:rsidP="00580EA4">
      <w:pPr>
        <w:pStyle w:val="ListParagraph"/>
        <w:keepNext/>
        <w:numPr>
          <w:ilvl w:val="1"/>
          <w:numId w:val="161"/>
        </w:numPr>
        <w:suppressLineNumbers/>
        <w:adjustRightInd w:val="0"/>
        <w:snapToGrid w:val="0"/>
        <w:jc w:val="both"/>
        <w:rPr>
          <w:rFonts w:eastAsiaTheme="minorEastAsia"/>
          <w:b/>
          <w:vanish/>
          <w:sz w:val="22"/>
          <w:szCs w:val="22"/>
          <w:lang w:val="en-NZ" w:eastAsia="ko-KR"/>
        </w:rPr>
      </w:pPr>
    </w:p>
    <w:p w14:paraId="34B8AA3A" w14:textId="77777777" w:rsidR="00506C88" w:rsidRPr="004635E5" w:rsidRDefault="00506C88" w:rsidP="00580EA4">
      <w:pPr>
        <w:pStyle w:val="SC3"/>
        <w:numPr>
          <w:ilvl w:val="2"/>
          <w:numId w:val="161"/>
        </w:numPr>
        <w:spacing w:after="0"/>
        <w:rPr>
          <w:rFonts w:eastAsiaTheme="minorEastAsia"/>
          <w:lang w:eastAsia="ko-KR"/>
        </w:rPr>
      </w:pPr>
      <w:r w:rsidRPr="004635E5">
        <w:rPr>
          <w:rFonts w:eastAsiaTheme="minorEastAsia"/>
          <w:lang w:eastAsia="ko-KR"/>
        </w:rPr>
        <w:t>South Pacific swordfish (</w:t>
      </w:r>
      <w:r w:rsidRPr="004635E5">
        <w:rPr>
          <w:rFonts w:eastAsiaTheme="minorEastAsia"/>
          <w:i/>
          <w:lang w:eastAsia="ko-KR"/>
        </w:rPr>
        <w:t>Xiphias gladius</w:t>
      </w:r>
      <w:r w:rsidRPr="004635E5">
        <w:rPr>
          <w:rFonts w:eastAsiaTheme="minorEastAsia"/>
          <w:lang w:eastAsia="ko-KR"/>
        </w:rPr>
        <w:t>)</w:t>
      </w:r>
    </w:p>
    <w:p w14:paraId="2B6733BC" w14:textId="77777777" w:rsidR="00506C88" w:rsidRPr="004635E5" w:rsidRDefault="00506C88" w:rsidP="006633A8">
      <w:pPr>
        <w:pStyle w:val="ListParagraph"/>
        <w:adjustRightInd w:val="0"/>
        <w:snapToGrid w:val="0"/>
        <w:jc w:val="both"/>
        <w:rPr>
          <w:rFonts w:eastAsia="Batang"/>
          <w:b/>
          <w:bCs/>
          <w:sz w:val="22"/>
          <w:szCs w:val="22"/>
          <w:lang w:val="en-NZ" w:eastAsia="ko-KR"/>
        </w:rPr>
      </w:pPr>
    </w:p>
    <w:p w14:paraId="313883C5" w14:textId="77777777" w:rsidR="00810E61" w:rsidRPr="004635E5" w:rsidRDefault="00810E61" w:rsidP="00580EA4">
      <w:pPr>
        <w:pStyle w:val="ListParagraph"/>
        <w:numPr>
          <w:ilvl w:val="0"/>
          <w:numId w:val="144"/>
        </w:numPr>
        <w:adjustRightInd w:val="0"/>
        <w:snapToGrid w:val="0"/>
        <w:jc w:val="both"/>
        <w:rPr>
          <w:rFonts w:eastAsia="Batang"/>
          <w:b/>
          <w:vanish/>
          <w:sz w:val="22"/>
          <w:szCs w:val="22"/>
          <w:lang w:val="en-NZ" w:eastAsia="ko-KR"/>
        </w:rPr>
      </w:pPr>
    </w:p>
    <w:p w14:paraId="6023F98D" w14:textId="77777777" w:rsidR="00AF5DF2" w:rsidRPr="004635E5" w:rsidRDefault="003734A2" w:rsidP="00580EA4">
      <w:pPr>
        <w:pStyle w:val="SC3"/>
        <w:numPr>
          <w:ilvl w:val="3"/>
          <w:numId w:val="157"/>
        </w:numPr>
        <w:spacing w:after="0"/>
        <w:ind w:left="0" w:firstLine="0"/>
        <w:rPr>
          <w:rFonts w:eastAsia="Batang"/>
          <w:bCs/>
          <w:lang w:eastAsia="ko-KR"/>
        </w:rPr>
      </w:pPr>
      <w:r w:rsidRPr="004635E5">
        <w:rPr>
          <w:rFonts w:eastAsia="Batang"/>
          <w:lang w:eastAsia="ko-KR"/>
        </w:rPr>
        <w:t>R</w:t>
      </w:r>
      <w:r w:rsidR="00AF5DF2" w:rsidRPr="004635E5">
        <w:rPr>
          <w:rFonts w:eastAsia="Batang"/>
          <w:lang w:eastAsia="ko-KR"/>
        </w:rPr>
        <w:t>esearch and information</w:t>
      </w:r>
    </w:p>
    <w:p w14:paraId="5F298005" w14:textId="77777777" w:rsidR="00A61B2B" w:rsidRPr="004635E5" w:rsidRDefault="00A61B2B" w:rsidP="006633A8">
      <w:pPr>
        <w:pStyle w:val="SC3"/>
        <w:numPr>
          <w:ilvl w:val="0"/>
          <w:numId w:val="0"/>
        </w:numPr>
        <w:spacing w:after="0"/>
        <w:ind w:left="1800"/>
        <w:rPr>
          <w:rFonts w:eastAsia="Batang"/>
          <w:bCs/>
          <w:lang w:eastAsia="ko-KR"/>
        </w:rPr>
      </w:pPr>
    </w:p>
    <w:p w14:paraId="56212BF0" w14:textId="77777777" w:rsidR="00DA1BEC" w:rsidRPr="004635E5" w:rsidRDefault="00A23B6B"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Batang"/>
          <w:sz w:val="22"/>
          <w:szCs w:val="22"/>
          <w:lang w:val="en-NZ" w:eastAsia="ko-KR"/>
        </w:rPr>
        <w:t>SC14</w:t>
      </w:r>
      <w:r w:rsidR="00F81EF0">
        <w:rPr>
          <w:rFonts w:eastAsia="Batang"/>
          <w:sz w:val="22"/>
          <w:szCs w:val="22"/>
          <w:lang w:val="en-NZ" w:eastAsia="ko-KR"/>
        </w:rPr>
        <w:t xml:space="preserve"> </w:t>
      </w:r>
      <w:r w:rsidRPr="004635E5">
        <w:rPr>
          <w:rFonts w:eastAsia="Batang"/>
          <w:sz w:val="22"/>
          <w:szCs w:val="22"/>
          <w:lang w:val="en-NZ" w:eastAsia="ko-KR"/>
        </w:rPr>
        <w:t xml:space="preserve">noted that the </w:t>
      </w:r>
      <w:r w:rsidR="009B2729" w:rsidRPr="004635E5">
        <w:rPr>
          <w:rFonts w:eastAsia="Batang"/>
          <w:sz w:val="22"/>
          <w:szCs w:val="22"/>
          <w:lang w:val="en-NZ" w:eastAsia="ko-KR"/>
        </w:rPr>
        <w:t xml:space="preserve">last </w:t>
      </w:r>
      <w:r w:rsidR="003734A2" w:rsidRPr="004635E5">
        <w:rPr>
          <w:rFonts w:eastAsia="Batang"/>
          <w:sz w:val="22"/>
          <w:szCs w:val="22"/>
          <w:lang w:val="en-NZ" w:eastAsia="ko-KR"/>
        </w:rPr>
        <w:t>South Pacific swordfish stock assessment was conducted in 2017</w:t>
      </w:r>
      <w:r w:rsidRPr="004635E5">
        <w:rPr>
          <w:rFonts w:eastAsia="Batang"/>
          <w:sz w:val="22"/>
          <w:szCs w:val="22"/>
          <w:lang w:val="en-NZ" w:eastAsia="ko-KR"/>
        </w:rPr>
        <w:t xml:space="preserve">. </w:t>
      </w:r>
    </w:p>
    <w:p w14:paraId="519F7426" w14:textId="77777777" w:rsidR="00A61B2B" w:rsidRPr="004635E5" w:rsidRDefault="00A61B2B" w:rsidP="006633A8">
      <w:pPr>
        <w:autoSpaceDE w:val="0"/>
        <w:autoSpaceDN w:val="0"/>
        <w:adjustRightInd w:val="0"/>
        <w:snapToGrid w:val="0"/>
        <w:jc w:val="both"/>
        <w:rPr>
          <w:rFonts w:eastAsiaTheme="minorEastAsia"/>
          <w:sz w:val="22"/>
          <w:szCs w:val="22"/>
          <w:lang w:eastAsia="ko-KR"/>
        </w:rPr>
      </w:pPr>
    </w:p>
    <w:p w14:paraId="6D37A719" w14:textId="77777777" w:rsidR="00270656" w:rsidRPr="004635E5" w:rsidRDefault="00270656"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SC14 noted </w:t>
      </w:r>
      <w:r w:rsidR="00A23B6B" w:rsidRPr="004635E5">
        <w:rPr>
          <w:rFonts w:eastAsia="Batang"/>
          <w:sz w:val="22"/>
          <w:szCs w:val="22"/>
          <w:lang w:val="en-NZ" w:eastAsia="ko-KR"/>
        </w:rPr>
        <w:t>SC14-SA-IP-10</w:t>
      </w:r>
      <w:r w:rsidR="00711BBB" w:rsidRPr="004635E5">
        <w:rPr>
          <w:rFonts w:eastAsia="Batang"/>
          <w:sz w:val="22"/>
          <w:szCs w:val="22"/>
          <w:lang w:val="en-NZ" w:eastAsia="ko-KR"/>
        </w:rPr>
        <w:t xml:space="preserve"> </w:t>
      </w:r>
      <w:r w:rsidR="00A23B6B" w:rsidRPr="004E1B05">
        <w:rPr>
          <w:rFonts w:eastAsia="Batang"/>
          <w:i/>
          <w:iCs/>
          <w:sz w:val="22"/>
          <w:szCs w:val="22"/>
          <w:lang w:val="en-NZ" w:eastAsia="ko-KR"/>
        </w:rPr>
        <w:t>Testing MULTIFAN-CL developments for multispecies/</w:t>
      </w:r>
      <w:r w:rsidR="00711BBB" w:rsidRPr="004E1B05">
        <w:rPr>
          <w:rFonts w:eastAsia="Batang"/>
          <w:i/>
          <w:iCs/>
          <w:sz w:val="22"/>
          <w:szCs w:val="22"/>
          <w:lang w:val="en-NZ" w:eastAsia="ko-KR"/>
        </w:rPr>
        <w:t xml:space="preserve"> </w:t>
      </w:r>
      <w:r w:rsidR="00A23B6B" w:rsidRPr="004E1B05">
        <w:rPr>
          <w:rFonts w:eastAsia="Batang"/>
          <w:i/>
          <w:iCs/>
          <w:sz w:val="22"/>
          <w:szCs w:val="22"/>
          <w:lang w:val="en-NZ" w:eastAsia="ko-KR"/>
        </w:rPr>
        <w:t>multi-sex assessments, using SW Pacific swordfish</w:t>
      </w:r>
      <w:r w:rsidRPr="004635E5">
        <w:rPr>
          <w:rFonts w:eastAsia="Batang"/>
          <w:sz w:val="22"/>
          <w:szCs w:val="22"/>
          <w:lang w:val="en-NZ" w:eastAsia="ko-KR"/>
        </w:rPr>
        <w:t xml:space="preserve">. The paper summarizes the current developments to the multi-species/multi-sex functionality of MULTIFAN-CL. These developments are used to implement a preliminary sex-disaggregated MULTIFAN-CL model for swordfish in the southwest Pacific Ocean. A specific subset of results from that evaluation are presented and compared to the diagnostic case model from the 2017 sex-aggregated assessment for this stock. Management quantities such as the depletion of female spawning biomass from the sex-disaggregated model are very similar to those developed for the sex-aggregated 2017 diagnostic case. Despite that overall similarity, there are model-specific differences. For example, the pattern of recruitment by model region is notably different in the two-sex model estimates, with the majority of recruits occurring in Region 2 (eastern region). Estimated selectivity of key fleets </w:t>
      </w:r>
      <w:r w:rsidR="00375849">
        <w:rPr>
          <w:rFonts w:eastAsia="Batang" w:hint="eastAsia"/>
          <w:sz w:val="22"/>
          <w:szCs w:val="22"/>
          <w:lang w:val="en-NZ" w:eastAsia="ko-KR"/>
        </w:rPr>
        <w:t>is</w:t>
      </w:r>
      <w:r w:rsidR="00375849" w:rsidRPr="004635E5">
        <w:rPr>
          <w:rFonts w:eastAsia="Batang"/>
          <w:sz w:val="22"/>
          <w:szCs w:val="22"/>
          <w:lang w:val="en-NZ" w:eastAsia="ko-KR"/>
        </w:rPr>
        <w:t xml:space="preserve"> </w:t>
      </w:r>
      <w:r w:rsidRPr="004635E5">
        <w:rPr>
          <w:rFonts w:eastAsia="Batang"/>
          <w:sz w:val="22"/>
          <w:szCs w:val="22"/>
          <w:lang w:val="en-NZ" w:eastAsia="ko-KR"/>
        </w:rPr>
        <w:t>also different in this region. Several potential future improvements for the model are suggested, and should be considered prior to the application of two-sex population dynamics within WCPO assessments.</w:t>
      </w:r>
      <w:r w:rsidR="00A23B6B" w:rsidRPr="004635E5">
        <w:rPr>
          <w:rFonts w:eastAsia="Batang"/>
          <w:sz w:val="22"/>
          <w:szCs w:val="22"/>
          <w:lang w:val="en-NZ" w:eastAsia="ko-KR"/>
        </w:rPr>
        <w:t xml:space="preserve"> </w:t>
      </w:r>
    </w:p>
    <w:p w14:paraId="0B126D5C" w14:textId="77777777" w:rsidR="00A61B2B" w:rsidRPr="004635E5" w:rsidRDefault="00A61B2B" w:rsidP="006633A8">
      <w:pPr>
        <w:autoSpaceDE w:val="0"/>
        <w:autoSpaceDN w:val="0"/>
        <w:adjustRightInd w:val="0"/>
        <w:snapToGrid w:val="0"/>
        <w:jc w:val="both"/>
        <w:rPr>
          <w:rFonts w:eastAsia="Batang"/>
          <w:sz w:val="22"/>
          <w:szCs w:val="22"/>
          <w:lang w:val="en-NZ" w:eastAsia="ko-KR"/>
        </w:rPr>
      </w:pPr>
    </w:p>
    <w:p w14:paraId="5CFA1EE3" w14:textId="77777777" w:rsidR="003734A2" w:rsidRPr="004635E5" w:rsidRDefault="00A23B6B"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SPC indicated that work on this model was progressing and that their intention was to use the model described in </w:t>
      </w:r>
      <w:r w:rsidR="00797E2B">
        <w:rPr>
          <w:rFonts w:eastAsia="Batang"/>
          <w:sz w:val="22"/>
          <w:szCs w:val="22"/>
          <w:lang w:eastAsia="ko-KR"/>
        </w:rPr>
        <w:t>SC14-</w:t>
      </w:r>
      <w:r w:rsidRPr="004635E5">
        <w:rPr>
          <w:rFonts w:eastAsia="Batang"/>
          <w:sz w:val="22"/>
          <w:szCs w:val="22"/>
          <w:lang w:val="en-NZ" w:eastAsia="ko-KR"/>
        </w:rPr>
        <w:t xml:space="preserve">SA-IP-10 for future assessments. </w:t>
      </w:r>
    </w:p>
    <w:p w14:paraId="027FDAB6" w14:textId="77777777" w:rsidR="00A61B2B" w:rsidRPr="004635E5" w:rsidRDefault="00A61B2B" w:rsidP="006633A8">
      <w:pPr>
        <w:autoSpaceDE w:val="0"/>
        <w:autoSpaceDN w:val="0"/>
        <w:adjustRightInd w:val="0"/>
        <w:snapToGrid w:val="0"/>
        <w:jc w:val="both"/>
        <w:rPr>
          <w:rFonts w:eastAsia="Batang"/>
          <w:sz w:val="22"/>
          <w:szCs w:val="22"/>
          <w:lang w:val="en-NZ" w:eastAsia="ko-KR"/>
        </w:rPr>
      </w:pPr>
    </w:p>
    <w:p w14:paraId="7DF62F56" w14:textId="77777777" w:rsidR="00D37097" w:rsidRPr="004635E5" w:rsidRDefault="00D37097" w:rsidP="00580EA4">
      <w:pPr>
        <w:pStyle w:val="ListParagraph"/>
        <w:keepNext/>
        <w:numPr>
          <w:ilvl w:val="0"/>
          <w:numId w:val="142"/>
        </w:numPr>
        <w:suppressLineNumbers/>
        <w:adjustRightInd w:val="0"/>
        <w:snapToGrid w:val="0"/>
        <w:jc w:val="both"/>
        <w:rPr>
          <w:rFonts w:eastAsia="Batang"/>
          <w:b/>
          <w:vanish/>
          <w:sz w:val="22"/>
          <w:szCs w:val="22"/>
          <w:lang w:val="en-NZ" w:eastAsia="ko-KR"/>
        </w:rPr>
      </w:pPr>
    </w:p>
    <w:p w14:paraId="6882F16D" w14:textId="77777777" w:rsidR="00D37097" w:rsidRPr="004635E5" w:rsidRDefault="00D37097" w:rsidP="00580EA4">
      <w:pPr>
        <w:pStyle w:val="ListParagraph"/>
        <w:keepNext/>
        <w:numPr>
          <w:ilvl w:val="3"/>
          <w:numId w:val="142"/>
        </w:numPr>
        <w:suppressLineNumbers/>
        <w:adjustRightInd w:val="0"/>
        <w:snapToGrid w:val="0"/>
        <w:jc w:val="both"/>
        <w:rPr>
          <w:rFonts w:eastAsia="Batang"/>
          <w:b/>
          <w:vanish/>
          <w:sz w:val="22"/>
          <w:szCs w:val="22"/>
          <w:lang w:val="en-NZ" w:eastAsia="ko-KR"/>
        </w:rPr>
      </w:pPr>
    </w:p>
    <w:p w14:paraId="0274C4D5" w14:textId="77777777" w:rsidR="00AF5DF2" w:rsidRPr="004635E5" w:rsidRDefault="00AF5DF2" w:rsidP="00580EA4">
      <w:pPr>
        <w:pStyle w:val="SC3"/>
        <w:numPr>
          <w:ilvl w:val="3"/>
          <w:numId w:val="142"/>
        </w:numPr>
        <w:spacing w:after="0"/>
        <w:ind w:left="0" w:firstLine="0"/>
        <w:rPr>
          <w:rFonts w:eastAsia="Batang"/>
          <w:lang w:eastAsia="ko-KR"/>
        </w:rPr>
      </w:pPr>
      <w:r w:rsidRPr="004635E5">
        <w:rPr>
          <w:rFonts w:eastAsia="Batang"/>
          <w:lang w:eastAsia="ko-KR"/>
        </w:rPr>
        <w:t>Provision of scientific information</w:t>
      </w:r>
    </w:p>
    <w:p w14:paraId="54AFD7E0" w14:textId="77777777" w:rsidR="00A61B2B" w:rsidRPr="004635E5" w:rsidRDefault="00A61B2B" w:rsidP="006633A8">
      <w:pPr>
        <w:pStyle w:val="SC3"/>
        <w:numPr>
          <w:ilvl w:val="0"/>
          <w:numId w:val="0"/>
        </w:numPr>
        <w:spacing w:after="0"/>
        <w:ind w:left="1800"/>
        <w:rPr>
          <w:rFonts w:eastAsia="Batang"/>
          <w:lang w:eastAsia="ko-KR"/>
        </w:rPr>
      </w:pPr>
    </w:p>
    <w:p w14:paraId="78F98491" w14:textId="77777777" w:rsidR="00A61B2B" w:rsidRPr="004635E5" w:rsidRDefault="00810E61" w:rsidP="00132438">
      <w:pPr>
        <w:pStyle w:val="SCa"/>
        <w:tabs>
          <w:tab w:val="clear" w:pos="1080"/>
        </w:tabs>
        <w:spacing w:after="0"/>
        <w:ind w:left="0"/>
      </w:pPr>
      <w:r w:rsidRPr="004635E5">
        <w:t>a.</w:t>
      </w:r>
      <w:r w:rsidRPr="004635E5">
        <w:tab/>
      </w:r>
      <w:r w:rsidR="00FA2B00" w:rsidRPr="004635E5">
        <w:t xml:space="preserve"> Stock status</w:t>
      </w:r>
      <w:r w:rsidR="00AE5E0E" w:rsidRPr="004635E5">
        <w:t xml:space="preserve"> and trends</w:t>
      </w:r>
    </w:p>
    <w:p w14:paraId="175F9781" w14:textId="77777777" w:rsidR="00A61B2B" w:rsidRPr="004635E5" w:rsidRDefault="00A61B2B" w:rsidP="006633A8">
      <w:pPr>
        <w:pStyle w:val="SCa"/>
        <w:spacing w:after="0"/>
      </w:pPr>
    </w:p>
    <w:p w14:paraId="4943E7D6" w14:textId="77777777" w:rsidR="00FA2B00" w:rsidRPr="004635E5" w:rsidRDefault="00FA2B00" w:rsidP="00580EA4">
      <w:pPr>
        <w:numPr>
          <w:ilvl w:val="0"/>
          <w:numId w:val="18"/>
        </w:numPr>
        <w:autoSpaceDE w:val="0"/>
        <w:autoSpaceDN w:val="0"/>
        <w:adjustRightInd w:val="0"/>
        <w:snapToGrid w:val="0"/>
        <w:ind w:left="0" w:firstLine="0"/>
        <w:jc w:val="both"/>
        <w:rPr>
          <w:b/>
          <w:sz w:val="22"/>
          <w:szCs w:val="22"/>
        </w:rPr>
      </w:pPr>
      <w:r w:rsidRPr="004635E5">
        <w:rPr>
          <w:b/>
          <w:sz w:val="22"/>
          <w:szCs w:val="22"/>
        </w:rPr>
        <w:t>SC14 noted that no stock assessments were conducted for south Pacific swordfish in 2018. Therefore, the stock status descriptions from SC13 are still current for south Pacific swordfish. Updated information on catches was compiled but not reviewed by</w:t>
      </w:r>
      <w:r w:rsidRPr="004635E5">
        <w:rPr>
          <w:b/>
          <w:spacing w:val="-19"/>
          <w:sz w:val="22"/>
          <w:szCs w:val="22"/>
        </w:rPr>
        <w:t xml:space="preserve"> </w:t>
      </w:r>
      <w:r w:rsidRPr="004635E5">
        <w:rPr>
          <w:b/>
          <w:sz w:val="22"/>
          <w:szCs w:val="22"/>
        </w:rPr>
        <w:t xml:space="preserve">SC14. </w:t>
      </w:r>
    </w:p>
    <w:p w14:paraId="4D21CA84" w14:textId="77777777" w:rsidR="00A61B2B" w:rsidRPr="004635E5" w:rsidRDefault="00A61B2B" w:rsidP="006633A8">
      <w:pPr>
        <w:autoSpaceDE w:val="0"/>
        <w:autoSpaceDN w:val="0"/>
        <w:adjustRightInd w:val="0"/>
        <w:snapToGrid w:val="0"/>
        <w:jc w:val="both"/>
        <w:rPr>
          <w:b/>
          <w:sz w:val="22"/>
          <w:szCs w:val="22"/>
        </w:rPr>
      </w:pPr>
    </w:p>
    <w:p w14:paraId="246318A0" w14:textId="77777777" w:rsidR="00FA2B00" w:rsidRPr="004635E5" w:rsidRDefault="00FA2B00" w:rsidP="00132438">
      <w:pPr>
        <w:pStyle w:val="SCa"/>
        <w:tabs>
          <w:tab w:val="clear" w:pos="1080"/>
        </w:tabs>
        <w:spacing w:after="0"/>
        <w:ind w:left="0"/>
      </w:pPr>
      <w:r w:rsidRPr="004635E5">
        <w:t>b.</w:t>
      </w:r>
      <w:r w:rsidR="00810E61" w:rsidRPr="004635E5">
        <w:tab/>
      </w:r>
      <w:r w:rsidRPr="004635E5">
        <w:t xml:space="preserve">Management advice </w:t>
      </w:r>
      <w:r w:rsidR="00AE5E0E" w:rsidRPr="004635E5">
        <w:t>and implications</w:t>
      </w:r>
    </w:p>
    <w:p w14:paraId="08B47078" w14:textId="77777777" w:rsidR="00A61B2B" w:rsidRPr="004635E5" w:rsidRDefault="00A61B2B" w:rsidP="006633A8">
      <w:pPr>
        <w:pStyle w:val="SCa"/>
        <w:spacing w:after="0"/>
      </w:pPr>
    </w:p>
    <w:p w14:paraId="0D4B63DE" w14:textId="77777777" w:rsidR="00FA2B00" w:rsidRPr="004635E5" w:rsidRDefault="00FA2B00" w:rsidP="00580EA4">
      <w:pPr>
        <w:numPr>
          <w:ilvl w:val="0"/>
          <w:numId w:val="18"/>
        </w:numPr>
        <w:autoSpaceDE w:val="0"/>
        <w:autoSpaceDN w:val="0"/>
        <w:adjustRightInd w:val="0"/>
        <w:snapToGrid w:val="0"/>
        <w:ind w:left="0" w:firstLine="0"/>
        <w:jc w:val="both"/>
        <w:rPr>
          <w:rFonts w:eastAsia="Batang"/>
          <w:b/>
          <w:sz w:val="22"/>
          <w:szCs w:val="22"/>
          <w:lang w:eastAsia="ko-KR"/>
        </w:rPr>
      </w:pPr>
      <w:r w:rsidRPr="004635E5">
        <w:rPr>
          <w:rFonts w:eastAsia="Batang"/>
          <w:sz w:val="22"/>
          <w:szCs w:val="22"/>
          <w:lang w:val="en-NZ" w:eastAsia="ko-KR"/>
        </w:rPr>
        <w:tab/>
      </w:r>
      <w:r w:rsidRPr="004635E5">
        <w:rPr>
          <w:rFonts w:eastAsia="Batang"/>
          <w:b/>
          <w:sz w:val="22"/>
          <w:szCs w:val="22"/>
          <w:lang w:eastAsia="ko-KR"/>
        </w:rPr>
        <w:t xml:space="preserve">SC14 noted that no management advice has been provided since SC13 for south Pacific swordfish. Therefore, previous advice should be maintained, pending a new assessment or other new information. </w:t>
      </w:r>
      <w:r w:rsidRPr="004635E5">
        <w:rPr>
          <w:rFonts w:eastAsia="Batang"/>
          <w:b/>
          <w:bCs/>
          <w:sz w:val="22"/>
          <w:szCs w:val="22"/>
          <w:lang w:val="en-AU" w:eastAsia="ko-KR"/>
        </w:rPr>
        <w:t xml:space="preserve">For further information on the management advice and implications from SC13, please see </w:t>
      </w:r>
      <w:hyperlink r:id="rId132" w:history="1">
        <w:r w:rsidR="004A07CA" w:rsidRPr="004635E5">
          <w:rPr>
            <w:rStyle w:val="Hyperlink"/>
            <w:b/>
            <w:sz w:val="22"/>
            <w:szCs w:val="22"/>
          </w:rPr>
          <w:t>https://www.wcpfc.int/node/29904</w:t>
        </w:r>
      </w:hyperlink>
      <w:r w:rsidR="00711BBB" w:rsidRPr="004635E5">
        <w:rPr>
          <w:rStyle w:val="Hyperlink"/>
          <w:rFonts w:eastAsiaTheme="minorEastAsia"/>
          <w:b/>
          <w:sz w:val="22"/>
          <w:szCs w:val="22"/>
          <w:lang w:eastAsia="ko-KR"/>
        </w:rPr>
        <w:t xml:space="preserve"> </w:t>
      </w:r>
      <w:r w:rsidRPr="004635E5">
        <w:rPr>
          <w:rFonts w:eastAsia="Batang"/>
          <w:b/>
          <w:bCs/>
          <w:sz w:val="22"/>
          <w:szCs w:val="22"/>
          <w:u w:val="single"/>
          <w:lang w:val="en-AU" w:eastAsia="ko-KR"/>
        </w:rPr>
        <w:t xml:space="preserve"> </w:t>
      </w:r>
    </w:p>
    <w:p w14:paraId="2042FEF0" w14:textId="77777777" w:rsidR="00A61B2B" w:rsidRPr="004635E5" w:rsidRDefault="00A61B2B" w:rsidP="006633A8">
      <w:pPr>
        <w:autoSpaceDE w:val="0"/>
        <w:autoSpaceDN w:val="0"/>
        <w:adjustRightInd w:val="0"/>
        <w:snapToGrid w:val="0"/>
        <w:jc w:val="both"/>
        <w:rPr>
          <w:rFonts w:eastAsia="Batang"/>
          <w:b/>
          <w:sz w:val="22"/>
          <w:szCs w:val="22"/>
          <w:lang w:eastAsia="ko-KR"/>
        </w:rPr>
      </w:pPr>
    </w:p>
    <w:p w14:paraId="453AF502" w14:textId="77777777" w:rsidR="00AF5DF2" w:rsidRPr="004635E5" w:rsidRDefault="00AF5DF2" w:rsidP="00580EA4">
      <w:pPr>
        <w:pStyle w:val="SC3"/>
        <w:numPr>
          <w:ilvl w:val="2"/>
          <w:numId w:val="161"/>
        </w:numPr>
        <w:spacing w:after="0"/>
        <w:rPr>
          <w:rFonts w:eastAsia="Batang"/>
        </w:rPr>
      </w:pPr>
      <w:r w:rsidRPr="004635E5">
        <w:rPr>
          <w:rFonts w:eastAsia="Batang"/>
        </w:rPr>
        <w:t>Southwest Pacific striped marlin</w:t>
      </w:r>
      <w:r w:rsidR="00807662" w:rsidRPr="004635E5">
        <w:rPr>
          <w:rFonts w:eastAsia="Batang"/>
        </w:rPr>
        <w:t xml:space="preserve"> (</w:t>
      </w:r>
      <w:r w:rsidR="00807662" w:rsidRPr="004635E5">
        <w:rPr>
          <w:rFonts w:eastAsia="Batang"/>
          <w:i/>
        </w:rPr>
        <w:t>Kajikia audax</w:t>
      </w:r>
      <w:r w:rsidR="00807662" w:rsidRPr="004635E5">
        <w:rPr>
          <w:rFonts w:eastAsia="Batang"/>
        </w:rPr>
        <w:t>)</w:t>
      </w:r>
    </w:p>
    <w:p w14:paraId="01D633EF" w14:textId="77777777" w:rsidR="00A61B2B" w:rsidRPr="004635E5" w:rsidRDefault="00A61B2B" w:rsidP="006633A8">
      <w:pPr>
        <w:pStyle w:val="SC3"/>
        <w:numPr>
          <w:ilvl w:val="0"/>
          <w:numId w:val="0"/>
        </w:numPr>
        <w:spacing w:after="0"/>
        <w:ind w:left="1440"/>
        <w:rPr>
          <w:rFonts w:eastAsia="Batang"/>
        </w:rPr>
      </w:pPr>
    </w:p>
    <w:p w14:paraId="11930203" w14:textId="77777777" w:rsidR="00AF5DF2" w:rsidRPr="004635E5" w:rsidRDefault="003734A2" w:rsidP="00580EA4">
      <w:pPr>
        <w:pStyle w:val="SC3"/>
        <w:numPr>
          <w:ilvl w:val="3"/>
          <w:numId w:val="161"/>
        </w:numPr>
        <w:spacing w:after="0"/>
        <w:rPr>
          <w:rFonts w:eastAsia="Batang"/>
          <w:lang w:eastAsia="ko-KR"/>
        </w:rPr>
      </w:pPr>
      <w:r w:rsidRPr="004635E5">
        <w:rPr>
          <w:rFonts w:eastAsia="Batang"/>
          <w:lang w:eastAsia="ko-KR"/>
        </w:rPr>
        <w:t>R</w:t>
      </w:r>
      <w:r w:rsidR="00AF5DF2" w:rsidRPr="004635E5">
        <w:rPr>
          <w:rFonts w:eastAsia="Batang"/>
          <w:lang w:eastAsia="ko-KR"/>
        </w:rPr>
        <w:t>esearch and information</w:t>
      </w:r>
    </w:p>
    <w:p w14:paraId="4FC0EAAF" w14:textId="77777777" w:rsidR="00A61B2B" w:rsidRPr="004635E5" w:rsidRDefault="00A61B2B" w:rsidP="006633A8">
      <w:pPr>
        <w:pStyle w:val="SC3"/>
        <w:numPr>
          <w:ilvl w:val="0"/>
          <w:numId w:val="0"/>
        </w:numPr>
        <w:spacing w:after="0"/>
        <w:ind w:left="1800"/>
        <w:rPr>
          <w:rFonts w:eastAsia="Batang"/>
          <w:lang w:eastAsia="ko-KR"/>
        </w:rPr>
      </w:pPr>
    </w:p>
    <w:p w14:paraId="36F811E4" w14:textId="77777777" w:rsidR="00FA4C93" w:rsidRPr="004635E5" w:rsidRDefault="009B2729"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The last Southwest Pacific striped marlin</w:t>
      </w:r>
      <w:r w:rsidRPr="004635E5">
        <w:rPr>
          <w:rFonts w:eastAsia="Batang"/>
          <w:b/>
          <w:bCs/>
          <w:sz w:val="22"/>
          <w:szCs w:val="22"/>
          <w:lang w:val="en-NZ" w:eastAsia="ko-KR"/>
        </w:rPr>
        <w:t xml:space="preserve"> </w:t>
      </w:r>
      <w:r w:rsidRPr="004635E5">
        <w:rPr>
          <w:rFonts w:eastAsia="Batang"/>
          <w:sz w:val="22"/>
          <w:szCs w:val="22"/>
          <w:lang w:val="en-NZ" w:eastAsia="ko-KR"/>
        </w:rPr>
        <w:t>stock assessment was conducted in</w:t>
      </w:r>
      <w:r w:rsidR="006472A4" w:rsidRPr="004635E5">
        <w:rPr>
          <w:rFonts w:eastAsia="Batang"/>
          <w:sz w:val="22"/>
          <w:szCs w:val="22"/>
          <w:lang w:val="en-NZ" w:eastAsia="ko-KR"/>
        </w:rPr>
        <w:t xml:space="preserve"> 2011</w:t>
      </w:r>
      <w:r w:rsidR="00FA4C93" w:rsidRPr="004635E5">
        <w:rPr>
          <w:rFonts w:eastAsia="Batang"/>
          <w:sz w:val="22"/>
          <w:szCs w:val="22"/>
          <w:lang w:val="en-NZ" w:eastAsia="ko-KR"/>
        </w:rPr>
        <w:t xml:space="preserve">. </w:t>
      </w:r>
      <w:r w:rsidR="00270656" w:rsidRPr="004635E5">
        <w:rPr>
          <w:rFonts w:eastAsia="Batang"/>
          <w:sz w:val="22"/>
          <w:szCs w:val="22"/>
          <w:lang w:val="en-NZ" w:eastAsia="ko-KR"/>
        </w:rPr>
        <w:t xml:space="preserve">SC14 received no new information. </w:t>
      </w:r>
    </w:p>
    <w:p w14:paraId="65D33B42" w14:textId="77777777" w:rsidR="00A61B2B" w:rsidRPr="004635E5" w:rsidRDefault="00A61B2B" w:rsidP="006633A8">
      <w:pPr>
        <w:autoSpaceDE w:val="0"/>
        <w:autoSpaceDN w:val="0"/>
        <w:adjustRightInd w:val="0"/>
        <w:snapToGrid w:val="0"/>
        <w:jc w:val="both"/>
        <w:rPr>
          <w:rFonts w:eastAsia="Batang"/>
          <w:sz w:val="22"/>
          <w:szCs w:val="22"/>
          <w:lang w:val="en-NZ" w:eastAsia="ko-KR"/>
        </w:rPr>
      </w:pPr>
    </w:p>
    <w:p w14:paraId="73952E3D" w14:textId="77777777" w:rsidR="00AF5DF2" w:rsidRPr="004635E5" w:rsidRDefault="00AF5DF2" w:rsidP="00580EA4">
      <w:pPr>
        <w:pStyle w:val="SC3"/>
        <w:numPr>
          <w:ilvl w:val="3"/>
          <w:numId w:val="161"/>
        </w:numPr>
        <w:spacing w:after="0"/>
        <w:rPr>
          <w:rFonts w:eastAsia="Batang"/>
          <w:lang w:eastAsia="ko-KR"/>
        </w:rPr>
      </w:pPr>
      <w:r w:rsidRPr="004635E5">
        <w:rPr>
          <w:rFonts w:eastAsia="Batang"/>
          <w:lang w:eastAsia="ko-KR"/>
        </w:rPr>
        <w:t>Provision of scientific information</w:t>
      </w:r>
    </w:p>
    <w:p w14:paraId="3D1BBD24" w14:textId="77777777" w:rsidR="00A61B2B" w:rsidRPr="004635E5" w:rsidRDefault="00A61B2B" w:rsidP="006633A8">
      <w:pPr>
        <w:pStyle w:val="SC3"/>
        <w:numPr>
          <w:ilvl w:val="0"/>
          <w:numId w:val="0"/>
        </w:numPr>
        <w:spacing w:after="0"/>
        <w:ind w:left="1800"/>
        <w:rPr>
          <w:rFonts w:eastAsia="Batang"/>
          <w:lang w:eastAsia="ko-KR"/>
        </w:rPr>
      </w:pPr>
    </w:p>
    <w:p w14:paraId="6C33E5F7" w14:textId="77777777" w:rsidR="00A61B2B" w:rsidRPr="004635E5" w:rsidRDefault="001A1C9A" w:rsidP="00132438">
      <w:pPr>
        <w:pStyle w:val="SCa"/>
        <w:tabs>
          <w:tab w:val="clear" w:pos="1080"/>
        </w:tabs>
        <w:spacing w:after="0"/>
        <w:ind w:left="0"/>
      </w:pPr>
      <w:r w:rsidRPr="004635E5">
        <w:t>a.</w:t>
      </w:r>
      <w:r w:rsidRPr="004635E5">
        <w:tab/>
      </w:r>
      <w:r w:rsidR="00DA1BEC" w:rsidRPr="004635E5">
        <w:t xml:space="preserve">Stock </w:t>
      </w:r>
      <w:r w:rsidR="008A4AED" w:rsidRPr="004635E5">
        <w:t>s</w:t>
      </w:r>
      <w:r w:rsidR="00DA1BEC" w:rsidRPr="004635E5">
        <w:t>tatus</w:t>
      </w:r>
      <w:r w:rsidR="008A4AED" w:rsidRPr="004635E5">
        <w:t xml:space="preserve"> and trends</w:t>
      </w:r>
    </w:p>
    <w:p w14:paraId="1E0A3768" w14:textId="77777777" w:rsidR="00A61B2B" w:rsidRPr="004635E5" w:rsidRDefault="00A61B2B" w:rsidP="006633A8">
      <w:pPr>
        <w:pStyle w:val="SCa"/>
        <w:spacing w:after="0"/>
      </w:pPr>
    </w:p>
    <w:p w14:paraId="08FC623B" w14:textId="77777777" w:rsidR="00DA1BEC" w:rsidRPr="004635E5" w:rsidRDefault="00DA1BEC" w:rsidP="00580EA4">
      <w:pPr>
        <w:numPr>
          <w:ilvl w:val="0"/>
          <w:numId w:val="18"/>
        </w:numPr>
        <w:autoSpaceDE w:val="0"/>
        <w:autoSpaceDN w:val="0"/>
        <w:adjustRightInd w:val="0"/>
        <w:snapToGrid w:val="0"/>
        <w:ind w:left="0" w:firstLine="0"/>
        <w:jc w:val="both"/>
        <w:rPr>
          <w:rFonts w:eastAsia="Batang"/>
          <w:b/>
          <w:sz w:val="22"/>
          <w:szCs w:val="22"/>
          <w:lang w:eastAsia="ko-KR"/>
        </w:rPr>
      </w:pPr>
      <w:r w:rsidRPr="004635E5">
        <w:rPr>
          <w:rFonts w:eastAsia="Batang"/>
          <w:b/>
          <w:sz w:val="22"/>
          <w:szCs w:val="22"/>
          <w:lang w:val="en-NZ" w:eastAsia="ko-KR"/>
        </w:rPr>
        <w:t>SC14</w:t>
      </w:r>
      <w:r w:rsidRPr="004635E5">
        <w:rPr>
          <w:rFonts w:eastAsia="Batang"/>
          <w:b/>
          <w:sz w:val="22"/>
          <w:szCs w:val="22"/>
          <w:lang w:eastAsia="ko-KR"/>
        </w:rPr>
        <w:t xml:space="preserve"> noted that no stock assessments were conducted for southwest Pacific striped marlin in 2018. Therefore, the stock status descriptions from SC8 are still current for southwest Pacific striped marlin. Updated information on catches was compiled but not reviewed by SC14. </w:t>
      </w:r>
    </w:p>
    <w:p w14:paraId="555135EB" w14:textId="77777777" w:rsidR="00A61B2B" w:rsidRPr="004635E5" w:rsidRDefault="00A61B2B" w:rsidP="006633A8">
      <w:pPr>
        <w:autoSpaceDE w:val="0"/>
        <w:autoSpaceDN w:val="0"/>
        <w:adjustRightInd w:val="0"/>
        <w:snapToGrid w:val="0"/>
        <w:jc w:val="both"/>
        <w:rPr>
          <w:rFonts w:eastAsia="Batang"/>
          <w:b/>
          <w:sz w:val="22"/>
          <w:szCs w:val="22"/>
          <w:lang w:eastAsia="ko-KR"/>
        </w:rPr>
      </w:pPr>
    </w:p>
    <w:p w14:paraId="278E52F6" w14:textId="77777777" w:rsidR="00A61B2B" w:rsidRPr="004635E5" w:rsidRDefault="001A1C9A" w:rsidP="00132438">
      <w:pPr>
        <w:pStyle w:val="SCa"/>
        <w:tabs>
          <w:tab w:val="clear" w:pos="1080"/>
        </w:tabs>
        <w:spacing w:after="0"/>
        <w:ind w:left="0"/>
      </w:pPr>
      <w:r w:rsidRPr="004635E5">
        <w:t>b.</w:t>
      </w:r>
      <w:r w:rsidRPr="004635E5">
        <w:tab/>
      </w:r>
      <w:r w:rsidR="00DA1BEC" w:rsidRPr="004635E5">
        <w:t>Management Advice</w:t>
      </w:r>
      <w:r w:rsidR="008A4AED" w:rsidRPr="004635E5">
        <w:t xml:space="preserve"> and implications</w:t>
      </w:r>
    </w:p>
    <w:p w14:paraId="1A117200" w14:textId="77777777" w:rsidR="00A61B2B" w:rsidRPr="004635E5" w:rsidRDefault="00A61B2B" w:rsidP="006633A8">
      <w:pPr>
        <w:pStyle w:val="SCa"/>
        <w:spacing w:after="0"/>
      </w:pPr>
    </w:p>
    <w:p w14:paraId="2A4F1A2E" w14:textId="77777777" w:rsidR="00DA1BEC" w:rsidRPr="004635E5" w:rsidRDefault="00DA1BEC" w:rsidP="00580EA4">
      <w:pPr>
        <w:numPr>
          <w:ilvl w:val="0"/>
          <w:numId w:val="18"/>
        </w:numPr>
        <w:autoSpaceDE w:val="0"/>
        <w:autoSpaceDN w:val="0"/>
        <w:adjustRightInd w:val="0"/>
        <w:snapToGrid w:val="0"/>
        <w:ind w:left="0" w:firstLine="0"/>
        <w:jc w:val="both"/>
        <w:rPr>
          <w:rFonts w:eastAsia="Batang"/>
          <w:b/>
          <w:sz w:val="22"/>
          <w:szCs w:val="22"/>
          <w:lang w:eastAsia="ko-KR"/>
        </w:rPr>
      </w:pPr>
      <w:r w:rsidRPr="004635E5">
        <w:rPr>
          <w:rFonts w:eastAsia="Batang"/>
          <w:b/>
          <w:sz w:val="22"/>
          <w:szCs w:val="22"/>
          <w:lang w:eastAsia="ko-KR"/>
        </w:rPr>
        <w:t xml:space="preserve">SC14 noted that no management advice has been provided since SC8 for southwest Pacific striped marlin. Therefore, previous advice should be maintained, pending a new assessment or other new information. </w:t>
      </w:r>
      <w:r w:rsidRPr="004635E5">
        <w:rPr>
          <w:rFonts w:eastAsia="Batang"/>
          <w:b/>
          <w:bCs/>
          <w:sz w:val="22"/>
          <w:szCs w:val="22"/>
          <w:lang w:val="en-AU" w:eastAsia="ko-KR"/>
        </w:rPr>
        <w:t xml:space="preserve">For further information on the management advice and implications from SC8, please see </w:t>
      </w:r>
      <w:hyperlink r:id="rId133" w:history="1">
        <w:r w:rsidR="004A07CA" w:rsidRPr="004635E5">
          <w:rPr>
            <w:rStyle w:val="Hyperlink"/>
            <w:b/>
            <w:sz w:val="22"/>
            <w:szCs w:val="22"/>
          </w:rPr>
          <w:t>https://www.wcpfc.int/node/3396</w:t>
        </w:r>
      </w:hyperlink>
      <w:r w:rsidRPr="004635E5">
        <w:rPr>
          <w:rFonts w:eastAsia="Batang"/>
          <w:b/>
          <w:bCs/>
          <w:sz w:val="22"/>
          <w:szCs w:val="22"/>
          <w:u w:val="single"/>
          <w:lang w:val="en-AU" w:eastAsia="ko-KR"/>
        </w:rPr>
        <w:t xml:space="preserve"> </w:t>
      </w:r>
    </w:p>
    <w:p w14:paraId="37AC28AF" w14:textId="77777777" w:rsidR="008A4AED" w:rsidRPr="004635E5" w:rsidRDefault="008A4AED" w:rsidP="006633A8">
      <w:pPr>
        <w:autoSpaceDE w:val="0"/>
        <w:autoSpaceDN w:val="0"/>
        <w:adjustRightInd w:val="0"/>
        <w:snapToGrid w:val="0"/>
        <w:jc w:val="both"/>
        <w:rPr>
          <w:rFonts w:eastAsia="Batang"/>
          <w:b/>
          <w:sz w:val="22"/>
          <w:szCs w:val="22"/>
          <w:lang w:eastAsia="ko-KR"/>
        </w:rPr>
      </w:pPr>
    </w:p>
    <w:p w14:paraId="62A19079" w14:textId="77777777" w:rsidR="001A1C9A" w:rsidRPr="004635E5" w:rsidRDefault="0005624B" w:rsidP="00580EA4">
      <w:pPr>
        <w:pStyle w:val="SC3"/>
        <w:numPr>
          <w:ilvl w:val="2"/>
          <w:numId w:val="161"/>
        </w:numPr>
        <w:spacing w:after="0"/>
        <w:rPr>
          <w:rFonts w:eastAsia="Batang"/>
        </w:rPr>
      </w:pPr>
      <w:r w:rsidRPr="004635E5">
        <w:rPr>
          <w:rFonts w:eastAsia="Batang"/>
        </w:rPr>
        <w:t>North Pacific striped marlin</w:t>
      </w:r>
      <w:r w:rsidR="00807662" w:rsidRPr="004635E5">
        <w:rPr>
          <w:rFonts w:eastAsia="Batang"/>
        </w:rPr>
        <w:t xml:space="preserve"> (</w:t>
      </w:r>
      <w:r w:rsidR="00807662" w:rsidRPr="004635E5">
        <w:rPr>
          <w:rFonts w:eastAsia="Batang"/>
          <w:i/>
        </w:rPr>
        <w:t>Kajikia audax</w:t>
      </w:r>
      <w:r w:rsidR="00807662" w:rsidRPr="004635E5">
        <w:rPr>
          <w:rFonts w:eastAsia="Batang"/>
        </w:rPr>
        <w:t>)</w:t>
      </w:r>
    </w:p>
    <w:p w14:paraId="6B30560F" w14:textId="77777777" w:rsidR="00A61B2B" w:rsidRPr="004635E5" w:rsidRDefault="00A61B2B" w:rsidP="006633A8">
      <w:pPr>
        <w:pStyle w:val="SC3"/>
        <w:numPr>
          <w:ilvl w:val="0"/>
          <w:numId w:val="0"/>
        </w:numPr>
        <w:spacing w:after="0"/>
        <w:ind w:left="1440"/>
        <w:rPr>
          <w:rFonts w:eastAsia="Batang"/>
        </w:rPr>
      </w:pPr>
    </w:p>
    <w:p w14:paraId="38627110" w14:textId="77777777" w:rsidR="00132438" w:rsidRPr="00132438" w:rsidRDefault="00132438" w:rsidP="00580EA4">
      <w:pPr>
        <w:pStyle w:val="ListParagraph"/>
        <w:keepNext/>
        <w:numPr>
          <w:ilvl w:val="2"/>
          <w:numId w:val="56"/>
        </w:numPr>
        <w:suppressLineNumbers/>
        <w:adjustRightInd w:val="0"/>
        <w:snapToGrid w:val="0"/>
        <w:spacing w:after="220"/>
        <w:jc w:val="both"/>
        <w:rPr>
          <w:rFonts w:eastAsia="Batang"/>
          <w:b/>
          <w:vanish/>
          <w:sz w:val="22"/>
          <w:szCs w:val="22"/>
          <w:lang w:val="en-NZ" w:eastAsia="ko-KR"/>
        </w:rPr>
      </w:pPr>
    </w:p>
    <w:p w14:paraId="33985724" w14:textId="77777777" w:rsidR="00132438" w:rsidRPr="00132438" w:rsidRDefault="00132438" w:rsidP="00580EA4">
      <w:pPr>
        <w:pStyle w:val="ListParagraph"/>
        <w:keepNext/>
        <w:numPr>
          <w:ilvl w:val="2"/>
          <w:numId w:val="56"/>
        </w:numPr>
        <w:suppressLineNumbers/>
        <w:adjustRightInd w:val="0"/>
        <w:snapToGrid w:val="0"/>
        <w:spacing w:after="220"/>
        <w:jc w:val="both"/>
        <w:rPr>
          <w:rFonts w:eastAsia="Batang"/>
          <w:b/>
          <w:vanish/>
          <w:sz w:val="22"/>
          <w:szCs w:val="22"/>
          <w:lang w:val="en-NZ" w:eastAsia="ko-KR"/>
        </w:rPr>
      </w:pPr>
    </w:p>
    <w:p w14:paraId="7653E23B" w14:textId="77777777" w:rsidR="00132438" w:rsidRPr="00132438" w:rsidRDefault="00132438" w:rsidP="00580EA4">
      <w:pPr>
        <w:pStyle w:val="ListParagraph"/>
        <w:keepNext/>
        <w:numPr>
          <w:ilvl w:val="2"/>
          <w:numId w:val="56"/>
        </w:numPr>
        <w:suppressLineNumbers/>
        <w:adjustRightInd w:val="0"/>
        <w:snapToGrid w:val="0"/>
        <w:spacing w:after="220"/>
        <w:jc w:val="both"/>
        <w:rPr>
          <w:rFonts w:eastAsia="Batang"/>
          <w:b/>
          <w:vanish/>
          <w:sz w:val="22"/>
          <w:szCs w:val="22"/>
          <w:lang w:val="en-NZ" w:eastAsia="ko-KR"/>
        </w:rPr>
      </w:pPr>
    </w:p>
    <w:p w14:paraId="0B1AEFB1" w14:textId="77777777" w:rsidR="0005624B" w:rsidRPr="004635E5" w:rsidRDefault="003734A2" w:rsidP="00580EA4">
      <w:pPr>
        <w:pStyle w:val="SC3"/>
        <w:numPr>
          <w:ilvl w:val="3"/>
          <w:numId w:val="161"/>
        </w:numPr>
        <w:rPr>
          <w:rFonts w:eastAsia="Batang"/>
        </w:rPr>
      </w:pPr>
      <w:r w:rsidRPr="004635E5">
        <w:rPr>
          <w:rFonts w:eastAsia="Batang"/>
          <w:lang w:eastAsia="ko-KR"/>
        </w:rPr>
        <w:t>R</w:t>
      </w:r>
      <w:r w:rsidR="0005624B" w:rsidRPr="004635E5">
        <w:rPr>
          <w:rFonts w:eastAsia="Batang"/>
          <w:lang w:eastAsia="ko-KR"/>
        </w:rPr>
        <w:t>esearch and information</w:t>
      </w:r>
    </w:p>
    <w:p w14:paraId="236A0F53" w14:textId="77777777" w:rsidR="00A61B2B" w:rsidRPr="004635E5" w:rsidRDefault="00A61B2B" w:rsidP="006633A8">
      <w:pPr>
        <w:pStyle w:val="SC3"/>
        <w:numPr>
          <w:ilvl w:val="0"/>
          <w:numId w:val="0"/>
        </w:numPr>
        <w:spacing w:after="0"/>
        <w:ind w:left="1800"/>
        <w:rPr>
          <w:rFonts w:eastAsia="Batang"/>
        </w:rPr>
      </w:pPr>
    </w:p>
    <w:p w14:paraId="36DABB92" w14:textId="77777777" w:rsidR="00270656" w:rsidRPr="004635E5" w:rsidRDefault="00C74A51" w:rsidP="00580EA4">
      <w:pPr>
        <w:numPr>
          <w:ilvl w:val="0"/>
          <w:numId w:val="18"/>
        </w:numPr>
        <w:autoSpaceDE w:val="0"/>
        <w:autoSpaceDN w:val="0"/>
        <w:adjustRightInd w:val="0"/>
        <w:snapToGrid w:val="0"/>
        <w:ind w:left="0" w:firstLine="0"/>
        <w:jc w:val="both"/>
        <w:rPr>
          <w:rFonts w:eastAsia="Batang"/>
          <w:bCs/>
          <w:sz w:val="22"/>
          <w:szCs w:val="22"/>
          <w:lang w:eastAsia="ko-KR"/>
        </w:rPr>
      </w:pPr>
      <w:r w:rsidRPr="004635E5">
        <w:rPr>
          <w:rFonts w:eastAsia="Batang"/>
          <w:sz w:val="22"/>
          <w:szCs w:val="22"/>
          <w:lang w:val="en-NZ" w:eastAsia="ko-KR"/>
        </w:rPr>
        <w:t xml:space="preserve">The </w:t>
      </w:r>
      <w:r w:rsidR="002E39E9" w:rsidRPr="004635E5">
        <w:rPr>
          <w:rFonts w:eastAsia="Batang"/>
          <w:sz w:val="22"/>
          <w:szCs w:val="22"/>
          <w:lang w:val="en-NZ" w:eastAsia="ko-KR"/>
        </w:rPr>
        <w:t>theme c</w:t>
      </w:r>
      <w:r w:rsidRPr="004635E5">
        <w:rPr>
          <w:rFonts w:eastAsia="Batang"/>
          <w:sz w:val="22"/>
          <w:szCs w:val="22"/>
          <w:lang w:val="en-NZ" w:eastAsia="ko-KR"/>
        </w:rPr>
        <w:t xml:space="preserve">onvener </w:t>
      </w:r>
      <w:r w:rsidR="00A23B6B" w:rsidRPr="004635E5">
        <w:rPr>
          <w:rFonts w:eastAsia="Batang"/>
          <w:sz w:val="22"/>
          <w:szCs w:val="22"/>
          <w:lang w:val="en-NZ" w:eastAsia="ko-KR"/>
        </w:rPr>
        <w:t xml:space="preserve">noted </w:t>
      </w:r>
      <w:r w:rsidRPr="004635E5">
        <w:rPr>
          <w:rFonts w:eastAsia="Batang"/>
          <w:sz w:val="22"/>
          <w:szCs w:val="22"/>
          <w:lang w:val="en-NZ" w:eastAsia="ko-KR"/>
        </w:rPr>
        <w:t xml:space="preserve">that SC14 was to review relevant papers to evaluate the </w:t>
      </w:r>
      <w:r w:rsidRPr="004635E5">
        <w:rPr>
          <w:rFonts w:eastAsia="Batang"/>
          <w:sz w:val="22"/>
          <w:szCs w:val="22"/>
          <w:lang w:eastAsia="ko-KR"/>
        </w:rPr>
        <w:t>North Pacific striped marlin stock as a northern stock (Paragraph 378, WCPFC14 Summary Report). ISG-1, facilitated by Japan, considered the issue.</w:t>
      </w:r>
    </w:p>
    <w:p w14:paraId="005A9068" w14:textId="77777777" w:rsidR="00A61B2B" w:rsidRPr="004635E5" w:rsidRDefault="00A61B2B" w:rsidP="006633A8">
      <w:pPr>
        <w:autoSpaceDE w:val="0"/>
        <w:autoSpaceDN w:val="0"/>
        <w:adjustRightInd w:val="0"/>
        <w:snapToGrid w:val="0"/>
        <w:jc w:val="both"/>
        <w:rPr>
          <w:rFonts w:eastAsia="Batang"/>
          <w:bCs/>
          <w:sz w:val="22"/>
          <w:szCs w:val="22"/>
          <w:lang w:eastAsia="ko-KR"/>
        </w:rPr>
      </w:pPr>
    </w:p>
    <w:p w14:paraId="2D629A62" w14:textId="77777777" w:rsidR="00402087" w:rsidRPr="004635E5" w:rsidRDefault="00C74A51" w:rsidP="00580EA4">
      <w:pPr>
        <w:numPr>
          <w:ilvl w:val="0"/>
          <w:numId w:val="18"/>
        </w:numPr>
        <w:autoSpaceDE w:val="0"/>
        <w:autoSpaceDN w:val="0"/>
        <w:adjustRightInd w:val="0"/>
        <w:snapToGrid w:val="0"/>
        <w:ind w:left="0" w:firstLine="0"/>
        <w:jc w:val="both"/>
        <w:rPr>
          <w:rFonts w:eastAsia="Batang"/>
          <w:bCs/>
          <w:sz w:val="22"/>
          <w:szCs w:val="22"/>
          <w:lang w:eastAsia="ko-KR"/>
        </w:rPr>
      </w:pPr>
      <w:r w:rsidRPr="004635E5">
        <w:rPr>
          <w:rFonts w:eastAsia="Batang"/>
          <w:sz w:val="22"/>
          <w:szCs w:val="22"/>
          <w:lang w:val="en-NZ" w:eastAsia="ko-KR"/>
        </w:rPr>
        <w:t xml:space="preserve">The </w:t>
      </w:r>
      <w:r w:rsidR="002E39E9" w:rsidRPr="004635E5">
        <w:rPr>
          <w:rFonts w:eastAsia="Batang"/>
          <w:sz w:val="22"/>
          <w:szCs w:val="22"/>
          <w:lang w:val="en-NZ" w:eastAsia="ko-KR"/>
        </w:rPr>
        <w:t>theme c</w:t>
      </w:r>
      <w:r w:rsidRPr="004635E5">
        <w:rPr>
          <w:rFonts w:eastAsia="Batang"/>
          <w:sz w:val="22"/>
          <w:szCs w:val="22"/>
          <w:lang w:val="en-NZ" w:eastAsia="ko-KR"/>
        </w:rPr>
        <w:t xml:space="preserve">onvener noted </w:t>
      </w:r>
      <w:r w:rsidR="00402087" w:rsidRPr="004635E5">
        <w:rPr>
          <w:rFonts w:eastAsia="Batang"/>
          <w:sz w:val="22"/>
          <w:szCs w:val="22"/>
          <w:lang w:val="en-NZ" w:eastAsia="ko-KR"/>
        </w:rPr>
        <w:t>SC14-SA-</w:t>
      </w:r>
      <w:r w:rsidR="00A23B6B" w:rsidRPr="004635E5">
        <w:rPr>
          <w:rFonts w:eastAsia="Batang"/>
          <w:sz w:val="22"/>
          <w:szCs w:val="22"/>
          <w:lang w:val="en-NZ" w:eastAsia="ko-KR"/>
        </w:rPr>
        <w:t>IP-</w:t>
      </w:r>
      <w:r w:rsidR="00402087" w:rsidRPr="004635E5">
        <w:rPr>
          <w:rFonts w:eastAsia="Batang"/>
          <w:sz w:val="22"/>
          <w:szCs w:val="22"/>
          <w:lang w:val="en-NZ" w:eastAsia="ko-KR"/>
        </w:rPr>
        <w:t>1</w:t>
      </w:r>
      <w:r w:rsidRPr="004635E5">
        <w:rPr>
          <w:rFonts w:eastAsia="Batang"/>
          <w:sz w:val="22"/>
          <w:szCs w:val="22"/>
          <w:lang w:val="en-NZ" w:eastAsia="ko-KR"/>
        </w:rPr>
        <w:t xml:space="preserve">1 </w:t>
      </w:r>
      <w:r w:rsidRPr="004635E5">
        <w:rPr>
          <w:rFonts w:eastAsia="Batang"/>
          <w:bCs/>
          <w:i/>
          <w:sz w:val="22"/>
          <w:szCs w:val="22"/>
          <w:lang w:eastAsia="ko-KR"/>
        </w:rPr>
        <w:t>Estimation of the ratio of spawning biomass of striped marlin above 20°N in the Central and Western North Pacific Ocean using the Japanese Distant Water Longline Fleet and the 2007 Stock Assessment</w:t>
      </w:r>
      <w:r w:rsidRPr="004635E5">
        <w:rPr>
          <w:rFonts w:eastAsia="Batang"/>
          <w:bCs/>
          <w:sz w:val="22"/>
          <w:szCs w:val="22"/>
          <w:lang w:eastAsia="ko-KR"/>
        </w:rPr>
        <w:t>, which used results of the 2007 stock assessment of striped marlin to estimate the ratio of spawning biomass north of 20°N. Estimates of population number-at-age and selectivity patterns and CPUE catchability coefficients from the Japanese distant water longline fleet were used in the analysis. Results indicate that a majority of striped marlin in the western and central north Pacific occur north of 20°N, which is consistent with the distribution of fishery catches since the 1960s.</w:t>
      </w:r>
    </w:p>
    <w:p w14:paraId="3AC968B6" w14:textId="77777777" w:rsidR="00A61B2B" w:rsidRPr="004635E5" w:rsidRDefault="00A61B2B" w:rsidP="006633A8">
      <w:pPr>
        <w:autoSpaceDE w:val="0"/>
        <w:autoSpaceDN w:val="0"/>
        <w:adjustRightInd w:val="0"/>
        <w:snapToGrid w:val="0"/>
        <w:jc w:val="both"/>
        <w:rPr>
          <w:rFonts w:eastAsia="Batang"/>
          <w:bCs/>
          <w:sz w:val="22"/>
          <w:szCs w:val="22"/>
          <w:lang w:eastAsia="ko-KR"/>
        </w:rPr>
      </w:pPr>
    </w:p>
    <w:p w14:paraId="5BC2DE70" w14:textId="77777777" w:rsidR="00C74A51" w:rsidRPr="004635E5" w:rsidRDefault="00C74A51" w:rsidP="006633A8">
      <w:pPr>
        <w:pStyle w:val="ListParagraph"/>
        <w:adjustRightInd w:val="0"/>
        <w:snapToGrid w:val="0"/>
        <w:ind w:left="0"/>
        <w:jc w:val="both"/>
        <w:rPr>
          <w:rFonts w:eastAsia="Batang"/>
          <w:sz w:val="22"/>
          <w:szCs w:val="22"/>
          <w:lang w:val="en-NZ" w:eastAsia="ko-KR"/>
        </w:rPr>
      </w:pPr>
      <w:r w:rsidRPr="004635E5">
        <w:rPr>
          <w:rFonts w:eastAsia="Batang"/>
          <w:b/>
          <w:sz w:val="22"/>
          <w:szCs w:val="22"/>
          <w:lang w:val="en-NZ" w:eastAsia="ko-KR"/>
        </w:rPr>
        <w:t>Discussion</w:t>
      </w:r>
      <w:r w:rsidRPr="004635E5">
        <w:rPr>
          <w:rFonts w:eastAsia="Batang"/>
          <w:sz w:val="22"/>
          <w:szCs w:val="22"/>
          <w:lang w:val="en-NZ" w:eastAsia="ko-KR"/>
        </w:rPr>
        <w:t xml:space="preserve"> </w:t>
      </w:r>
    </w:p>
    <w:p w14:paraId="5DDC6419" w14:textId="77777777" w:rsidR="00A61B2B" w:rsidRPr="004635E5" w:rsidRDefault="00A61B2B" w:rsidP="006633A8">
      <w:pPr>
        <w:pStyle w:val="ListParagraph"/>
        <w:adjustRightInd w:val="0"/>
        <w:snapToGrid w:val="0"/>
        <w:ind w:left="0"/>
        <w:jc w:val="both"/>
        <w:rPr>
          <w:rFonts w:eastAsia="Batang"/>
          <w:sz w:val="22"/>
          <w:szCs w:val="22"/>
          <w:lang w:val="en-NZ" w:eastAsia="ko-KR"/>
        </w:rPr>
      </w:pPr>
    </w:p>
    <w:p w14:paraId="6AF9051F" w14:textId="77777777" w:rsidR="00402087" w:rsidRPr="004635E5" w:rsidRDefault="00C74A51"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Japan stated that </w:t>
      </w:r>
      <w:r w:rsidR="00402087" w:rsidRPr="004635E5">
        <w:rPr>
          <w:rFonts w:eastAsia="Batang"/>
          <w:sz w:val="22"/>
          <w:szCs w:val="22"/>
          <w:lang w:val="en-NZ" w:eastAsia="ko-KR"/>
        </w:rPr>
        <w:t>ISG-01</w:t>
      </w:r>
      <w:r w:rsidRPr="004635E5">
        <w:rPr>
          <w:rFonts w:eastAsia="Batang"/>
          <w:sz w:val="22"/>
          <w:szCs w:val="22"/>
          <w:lang w:val="en-NZ" w:eastAsia="ko-KR"/>
        </w:rPr>
        <w:t xml:space="preserve"> had developed two recommendations: (i) that the Commission more precisely define what constitutes a northern </w:t>
      </w:r>
      <w:r w:rsidR="00402087" w:rsidRPr="004635E5">
        <w:rPr>
          <w:rFonts w:eastAsia="Batang"/>
          <w:sz w:val="22"/>
          <w:szCs w:val="22"/>
          <w:lang w:val="en-NZ" w:eastAsia="ko-KR"/>
        </w:rPr>
        <w:t>stock</w:t>
      </w:r>
      <w:r w:rsidR="00270656" w:rsidRPr="004635E5">
        <w:rPr>
          <w:rFonts w:eastAsia="Batang"/>
          <w:sz w:val="22"/>
          <w:szCs w:val="22"/>
          <w:lang w:val="en-NZ" w:eastAsia="ko-KR"/>
        </w:rPr>
        <w:t xml:space="preserve">, and (ii) </w:t>
      </w:r>
      <w:r w:rsidR="00402087" w:rsidRPr="004635E5">
        <w:rPr>
          <w:rFonts w:eastAsia="Batang"/>
          <w:sz w:val="22"/>
          <w:szCs w:val="22"/>
          <w:lang w:val="en-NZ" w:eastAsia="ko-KR"/>
        </w:rPr>
        <w:t xml:space="preserve">request </w:t>
      </w:r>
      <w:r w:rsidR="00270656" w:rsidRPr="004635E5">
        <w:rPr>
          <w:rFonts w:eastAsia="Batang"/>
          <w:sz w:val="22"/>
          <w:szCs w:val="22"/>
          <w:lang w:val="en-NZ" w:eastAsia="ko-KR"/>
        </w:rPr>
        <w:t>the C</w:t>
      </w:r>
      <w:r w:rsidR="00402087" w:rsidRPr="004635E5">
        <w:rPr>
          <w:rFonts w:eastAsia="Batang"/>
          <w:sz w:val="22"/>
          <w:szCs w:val="22"/>
          <w:lang w:val="en-NZ" w:eastAsia="ko-KR"/>
        </w:rPr>
        <w:t>omm</w:t>
      </w:r>
      <w:r w:rsidR="00270656" w:rsidRPr="004635E5">
        <w:rPr>
          <w:rFonts w:eastAsia="Batang"/>
          <w:sz w:val="22"/>
          <w:szCs w:val="22"/>
          <w:lang w:val="en-NZ" w:eastAsia="ko-KR"/>
        </w:rPr>
        <w:t xml:space="preserve">ission </w:t>
      </w:r>
      <w:r w:rsidR="00402087" w:rsidRPr="004635E5">
        <w:rPr>
          <w:rFonts w:eastAsia="Batang"/>
          <w:sz w:val="22"/>
          <w:szCs w:val="22"/>
          <w:lang w:val="en-NZ" w:eastAsia="ko-KR"/>
        </w:rPr>
        <w:t xml:space="preserve">use </w:t>
      </w:r>
      <w:r w:rsidR="00270656" w:rsidRPr="004635E5">
        <w:rPr>
          <w:rFonts w:eastAsia="Batang"/>
          <w:sz w:val="22"/>
          <w:szCs w:val="22"/>
          <w:lang w:val="en-NZ" w:eastAsia="ko-KR"/>
        </w:rPr>
        <w:t xml:space="preserve">a </w:t>
      </w:r>
      <w:r w:rsidR="00402087" w:rsidRPr="004635E5">
        <w:rPr>
          <w:rFonts w:eastAsia="Batang"/>
          <w:sz w:val="22"/>
          <w:szCs w:val="22"/>
          <w:lang w:val="en-NZ" w:eastAsia="ko-KR"/>
        </w:rPr>
        <w:t xml:space="preserve">checklist when </w:t>
      </w:r>
      <w:r w:rsidR="00270656" w:rsidRPr="004635E5">
        <w:rPr>
          <w:rFonts w:eastAsia="Batang"/>
          <w:sz w:val="22"/>
          <w:szCs w:val="22"/>
          <w:lang w:val="en-NZ" w:eastAsia="ko-KR"/>
        </w:rPr>
        <w:t>evaluating whether to classify a stock as a n</w:t>
      </w:r>
      <w:r w:rsidR="00402087" w:rsidRPr="004635E5">
        <w:rPr>
          <w:rFonts w:eastAsia="Batang"/>
          <w:sz w:val="22"/>
          <w:szCs w:val="22"/>
          <w:lang w:val="en-NZ" w:eastAsia="ko-KR"/>
        </w:rPr>
        <w:t xml:space="preserve">orthern stock. </w:t>
      </w:r>
    </w:p>
    <w:p w14:paraId="6E4661A2" w14:textId="77777777" w:rsidR="00270656" w:rsidRPr="004635E5" w:rsidRDefault="00270656" w:rsidP="006633A8">
      <w:pPr>
        <w:autoSpaceDE w:val="0"/>
        <w:autoSpaceDN w:val="0"/>
        <w:adjustRightInd w:val="0"/>
        <w:snapToGrid w:val="0"/>
        <w:jc w:val="both"/>
        <w:rPr>
          <w:rFonts w:eastAsia="Batang"/>
          <w:sz w:val="22"/>
          <w:szCs w:val="22"/>
          <w:lang w:val="en-NZ" w:eastAsia="ko-KR"/>
        </w:rPr>
      </w:pPr>
    </w:p>
    <w:p w14:paraId="1D1C68EF" w14:textId="77777777" w:rsidR="00566C68" w:rsidRPr="004635E5" w:rsidRDefault="00C74A51"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The </w:t>
      </w:r>
      <w:r w:rsidR="002E39E9" w:rsidRPr="004635E5">
        <w:rPr>
          <w:rFonts w:eastAsia="Batang"/>
          <w:sz w:val="22"/>
          <w:szCs w:val="22"/>
          <w:lang w:val="en-NZ" w:eastAsia="ko-KR"/>
        </w:rPr>
        <w:t>theme c</w:t>
      </w:r>
      <w:r w:rsidR="00402087" w:rsidRPr="004635E5">
        <w:rPr>
          <w:rFonts w:eastAsia="Batang"/>
          <w:sz w:val="22"/>
          <w:szCs w:val="22"/>
          <w:lang w:val="en-NZ" w:eastAsia="ko-KR"/>
        </w:rPr>
        <w:t>onvener</w:t>
      </w:r>
      <w:r w:rsidRPr="004635E5">
        <w:rPr>
          <w:rFonts w:eastAsia="Batang"/>
          <w:sz w:val="22"/>
          <w:szCs w:val="22"/>
          <w:lang w:val="en-NZ" w:eastAsia="ko-KR"/>
        </w:rPr>
        <w:t xml:space="preserve"> inquired whether there was any </w:t>
      </w:r>
      <w:r w:rsidR="00402087" w:rsidRPr="004635E5">
        <w:rPr>
          <w:rFonts w:eastAsia="Batang"/>
          <w:sz w:val="22"/>
          <w:szCs w:val="22"/>
          <w:lang w:val="en-NZ" w:eastAsia="ko-KR"/>
        </w:rPr>
        <w:t>indication of ambiguity regarding wh</w:t>
      </w:r>
      <w:r w:rsidRPr="004635E5">
        <w:rPr>
          <w:rFonts w:eastAsia="Batang"/>
          <w:sz w:val="22"/>
          <w:szCs w:val="22"/>
          <w:lang w:val="en-NZ" w:eastAsia="ko-KR"/>
        </w:rPr>
        <w:t>e</w:t>
      </w:r>
      <w:r w:rsidR="00402087" w:rsidRPr="004635E5">
        <w:rPr>
          <w:rFonts w:eastAsia="Batang"/>
          <w:sz w:val="22"/>
          <w:szCs w:val="22"/>
          <w:lang w:val="en-NZ" w:eastAsia="ko-KR"/>
        </w:rPr>
        <w:t xml:space="preserve">ther these </w:t>
      </w:r>
      <w:r w:rsidRPr="004635E5">
        <w:rPr>
          <w:rFonts w:eastAsia="Batang"/>
          <w:sz w:val="22"/>
          <w:szCs w:val="22"/>
          <w:lang w:val="en-NZ" w:eastAsia="ko-KR"/>
        </w:rPr>
        <w:t xml:space="preserve">were </w:t>
      </w:r>
      <w:r w:rsidR="00402087" w:rsidRPr="004635E5">
        <w:rPr>
          <w:rFonts w:eastAsia="Batang"/>
          <w:sz w:val="22"/>
          <w:szCs w:val="22"/>
          <w:lang w:val="en-NZ" w:eastAsia="ko-KR"/>
        </w:rPr>
        <w:t>northern stocks.</w:t>
      </w:r>
      <w:r w:rsidR="00270656" w:rsidRPr="004635E5">
        <w:rPr>
          <w:rFonts w:eastAsia="Batang"/>
          <w:sz w:val="22"/>
          <w:szCs w:val="22"/>
          <w:lang w:val="en-NZ" w:eastAsia="ko-KR"/>
        </w:rPr>
        <w:t xml:space="preserve"> </w:t>
      </w:r>
      <w:r w:rsidR="00566C68" w:rsidRPr="004635E5">
        <w:rPr>
          <w:rFonts w:eastAsia="Batang"/>
          <w:sz w:val="22"/>
          <w:szCs w:val="22"/>
          <w:lang w:val="en-NZ" w:eastAsia="ko-KR"/>
        </w:rPr>
        <w:t>Vanuatu</w:t>
      </w:r>
      <w:r w:rsidR="00977B49" w:rsidRPr="004635E5">
        <w:rPr>
          <w:rFonts w:eastAsia="Batang"/>
          <w:sz w:val="22"/>
          <w:szCs w:val="22"/>
          <w:lang w:val="en-NZ" w:eastAsia="ko-KR"/>
        </w:rPr>
        <w:t>, on behalf of FFA members, stated that t</w:t>
      </w:r>
      <w:r w:rsidRPr="004635E5">
        <w:rPr>
          <w:rFonts w:eastAsia="Batang"/>
          <w:sz w:val="22"/>
          <w:szCs w:val="22"/>
          <w:lang w:val="en-NZ" w:eastAsia="ko-KR"/>
        </w:rPr>
        <w:t>he Commission had</w:t>
      </w:r>
      <w:r w:rsidR="00566C68" w:rsidRPr="004635E5">
        <w:rPr>
          <w:rFonts w:eastAsia="Batang"/>
          <w:sz w:val="22"/>
          <w:szCs w:val="22"/>
          <w:lang w:val="en-NZ" w:eastAsia="ko-KR"/>
        </w:rPr>
        <w:t xml:space="preserve"> tasked the SC with prioritising the determination of whether north Pacific striped marlin should be designated as a northern stock. </w:t>
      </w:r>
      <w:r w:rsidRPr="004635E5">
        <w:rPr>
          <w:rFonts w:eastAsia="Batang"/>
          <w:sz w:val="22"/>
          <w:szCs w:val="22"/>
          <w:lang w:val="en-NZ" w:eastAsia="ko-KR"/>
        </w:rPr>
        <w:t xml:space="preserve">They </w:t>
      </w:r>
      <w:r w:rsidR="00566C68" w:rsidRPr="004635E5">
        <w:rPr>
          <w:rFonts w:eastAsia="Batang"/>
          <w:sz w:val="22"/>
          <w:szCs w:val="22"/>
          <w:lang w:val="en-NZ" w:eastAsia="ko-KR"/>
        </w:rPr>
        <w:t>note</w:t>
      </w:r>
      <w:r w:rsidRPr="004635E5">
        <w:rPr>
          <w:rFonts w:eastAsia="Batang"/>
          <w:sz w:val="22"/>
          <w:szCs w:val="22"/>
          <w:lang w:val="en-NZ" w:eastAsia="ko-KR"/>
        </w:rPr>
        <w:t>d</w:t>
      </w:r>
      <w:r w:rsidR="00566C68" w:rsidRPr="004635E5">
        <w:rPr>
          <w:rFonts w:eastAsia="Batang"/>
          <w:sz w:val="22"/>
          <w:szCs w:val="22"/>
          <w:lang w:val="en-NZ" w:eastAsia="ko-KR"/>
        </w:rPr>
        <w:t xml:space="preserve"> that the available </w:t>
      </w:r>
      <w:r w:rsidR="00270656" w:rsidRPr="004635E5">
        <w:rPr>
          <w:rFonts w:eastAsia="Batang"/>
          <w:sz w:val="22"/>
          <w:szCs w:val="22"/>
          <w:lang w:val="en-NZ" w:eastAsia="ko-KR"/>
        </w:rPr>
        <w:t xml:space="preserve">information was </w:t>
      </w:r>
      <w:r w:rsidR="00566C68" w:rsidRPr="004635E5">
        <w:rPr>
          <w:rFonts w:eastAsia="Batang"/>
          <w:sz w:val="22"/>
          <w:szCs w:val="22"/>
          <w:lang w:val="en-NZ" w:eastAsia="ko-KR"/>
        </w:rPr>
        <w:t xml:space="preserve">in the form of </w:t>
      </w:r>
      <w:r w:rsidR="00270656" w:rsidRPr="004635E5">
        <w:rPr>
          <w:rFonts w:eastAsia="Batang"/>
          <w:sz w:val="22"/>
          <w:szCs w:val="22"/>
          <w:lang w:val="en-NZ" w:eastAsia="ko-KR"/>
        </w:rPr>
        <w:t>SC14-SA-IP-11</w:t>
      </w:r>
      <w:r w:rsidR="00566C68" w:rsidRPr="004635E5">
        <w:rPr>
          <w:rFonts w:eastAsia="Batang"/>
          <w:sz w:val="22"/>
          <w:szCs w:val="22"/>
          <w:lang w:val="en-NZ" w:eastAsia="ko-KR"/>
        </w:rPr>
        <w:t xml:space="preserve">, </w:t>
      </w:r>
      <w:r w:rsidR="00270656" w:rsidRPr="004635E5">
        <w:rPr>
          <w:rFonts w:eastAsia="Batang"/>
          <w:sz w:val="22"/>
          <w:szCs w:val="22"/>
          <w:lang w:val="en-NZ" w:eastAsia="ko-KR"/>
        </w:rPr>
        <w:t xml:space="preserve">which contained </w:t>
      </w:r>
      <w:r w:rsidR="00566C68" w:rsidRPr="004635E5">
        <w:rPr>
          <w:rFonts w:eastAsia="Batang"/>
          <w:sz w:val="22"/>
          <w:szCs w:val="22"/>
          <w:lang w:val="en-NZ" w:eastAsia="ko-KR"/>
        </w:rPr>
        <w:t>the same information that was presented and considered by SC4</w:t>
      </w:r>
      <w:r w:rsidR="00270656" w:rsidRPr="004635E5">
        <w:rPr>
          <w:rFonts w:eastAsia="Batang"/>
          <w:sz w:val="22"/>
          <w:szCs w:val="22"/>
          <w:lang w:val="en-NZ" w:eastAsia="ko-KR"/>
        </w:rPr>
        <w:t>,</w:t>
      </w:r>
      <w:r w:rsidR="00566C68" w:rsidRPr="004635E5">
        <w:rPr>
          <w:rFonts w:eastAsia="Batang"/>
          <w:sz w:val="22"/>
          <w:szCs w:val="22"/>
          <w:lang w:val="en-NZ" w:eastAsia="ko-KR"/>
        </w:rPr>
        <w:t xml:space="preserve"> which </w:t>
      </w:r>
      <w:r w:rsidR="00270656" w:rsidRPr="004635E5">
        <w:rPr>
          <w:rFonts w:eastAsia="Batang"/>
          <w:sz w:val="22"/>
          <w:szCs w:val="22"/>
          <w:lang w:val="en-NZ" w:eastAsia="ko-KR"/>
        </w:rPr>
        <w:t xml:space="preserve">itself </w:t>
      </w:r>
      <w:r w:rsidR="00566C68" w:rsidRPr="004635E5">
        <w:rPr>
          <w:rFonts w:eastAsia="Batang"/>
          <w:sz w:val="22"/>
          <w:szCs w:val="22"/>
          <w:lang w:val="en-NZ" w:eastAsia="ko-KR"/>
        </w:rPr>
        <w:t xml:space="preserve">deemed this </w:t>
      </w:r>
      <w:r w:rsidR="00270656" w:rsidRPr="004635E5">
        <w:rPr>
          <w:rFonts w:eastAsia="Batang"/>
          <w:sz w:val="22"/>
          <w:szCs w:val="22"/>
          <w:lang w:val="en-NZ" w:eastAsia="ko-KR"/>
        </w:rPr>
        <w:t xml:space="preserve">to be </w:t>
      </w:r>
      <w:r w:rsidR="00566C68" w:rsidRPr="004635E5">
        <w:rPr>
          <w:rFonts w:eastAsia="Batang"/>
          <w:sz w:val="22"/>
          <w:szCs w:val="22"/>
          <w:lang w:val="en-NZ" w:eastAsia="ko-KR"/>
        </w:rPr>
        <w:t xml:space="preserve">insufficient information. Furthermore, SC4 outlined additional work for north Pacific striped marlin that should have been undertaken, </w:t>
      </w:r>
      <w:r w:rsidR="00270656" w:rsidRPr="004635E5">
        <w:rPr>
          <w:rFonts w:eastAsia="Batang"/>
          <w:sz w:val="22"/>
          <w:szCs w:val="22"/>
          <w:lang w:val="en-NZ" w:eastAsia="ko-KR"/>
        </w:rPr>
        <w:t xml:space="preserve">but which did not </w:t>
      </w:r>
      <w:r w:rsidR="00566C68" w:rsidRPr="004635E5">
        <w:rPr>
          <w:rFonts w:eastAsia="Batang"/>
          <w:sz w:val="22"/>
          <w:szCs w:val="22"/>
          <w:lang w:val="en-NZ" w:eastAsia="ko-KR"/>
        </w:rPr>
        <w:t xml:space="preserve">seem to have progressed. </w:t>
      </w:r>
      <w:r w:rsidR="00270656" w:rsidRPr="004635E5">
        <w:rPr>
          <w:rFonts w:eastAsia="Batang"/>
          <w:sz w:val="22"/>
          <w:szCs w:val="22"/>
          <w:lang w:val="en-NZ" w:eastAsia="ko-KR"/>
        </w:rPr>
        <w:t xml:space="preserve">They noted this left </w:t>
      </w:r>
      <w:r w:rsidR="00566C68" w:rsidRPr="004635E5">
        <w:rPr>
          <w:rFonts w:eastAsia="Batang"/>
          <w:sz w:val="22"/>
          <w:szCs w:val="22"/>
          <w:lang w:val="en-NZ" w:eastAsia="ko-KR"/>
        </w:rPr>
        <w:t xml:space="preserve">the SC in the same position </w:t>
      </w:r>
      <w:r w:rsidR="00270656" w:rsidRPr="004635E5">
        <w:rPr>
          <w:rFonts w:eastAsia="Batang"/>
          <w:sz w:val="22"/>
          <w:szCs w:val="22"/>
          <w:lang w:val="en-NZ" w:eastAsia="ko-KR"/>
        </w:rPr>
        <w:t xml:space="preserve">as it </w:t>
      </w:r>
      <w:r w:rsidR="00566C68" w:rsidRPr="004635E5">
        <w:rPr>
          <w:rFonts w:eastAsia="Batang"/>
          <w:sz w:val="22"/>
          <w:szCs w:val="22"/>
          <w:lang w:val="en-NZ" w:eastAsia="ko-KR"/>
        </w:rPr>
        <w:t>was in 10 years ago, where a lack of information hinders the ability to progress these discussions.</w:t>
      </w:r>
    </w:p>
    <w:p w14:paraId="65F24DA6" w14:textId="77777777" w:rsidR="00270656" w:rsidRPr="004635E5" w:rsidRDefault="00270656" w:rsidP="006633A8">
      <w:pPr>
        <w:autoSpaceDE w:val="0"/>
        <w:autoSpaceDN w:val="0"/>
        <w:adjustRightInd w:val="0"/>
        <w:snapToGrid w:val="0"/>
        <w:jc w:val="both"/>
        <w:rPr>
          <w:rFonts w:eastAsia="Batang"/>
          <w:sz w:val="22"/>
          <w:szCs w:val="22"/>
          <w:lang w:val="en-NZ" w:eastAsia="ko-KR"/>
        </w:rPr>
      </w:pPr>
    </w:p>
    <w:p w14:paraId="1B99B552" w14:textId="77777777" w:rsidR="00270656" w:rsidRPr="004635E5" w:rsidRDefault="00402087"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Japan</w:t>
      </w:r>
      <w:r w:rsidR="00C74A51" w:rsidRPr="004635E5">
        <w:rPr>
          <w:rFonts w:eastAsia="Batang"/>
          <w:sz w:val="22"/>
          <w:szCs w:val="22"/>
          <w:lang w:val="en-NZ" w:eastAsia="ko-KR"/>
        </w:rPr>
        <w:t xml:space="preserve"> noted that in the absence of a </w:t>
      </w:r>
      <w:r w:rsidRPr="004635E5">
        <w:rPr>
          <w:rFonts w:eastAsia="Batang"/>
          <w:sz w:val="22"/>
          <w:szCs w:val="22"/>
          <w:lang w:val="en-NZ" w:eastAsia="ko-KR"/>
        </w:rPr>
        <w:t>new assessment</w:t>
      </w:r>
      <w:r w:rsidR="00C74A51" w:rsidRPr="004635E5">
        <w:rPr>
          <w:rFonts w:eastAsia="Batang"/>
          <w:sz w:val="22"/>
          <w:szCs w:val="22"/>
          <w:lang w:val="en-NZ" w:eastAsia="ko-KR"/>
        </w:rPr>
        <w:t xml:space="preserve">, SC normally referred to the most recent recommendations. The </w:t>
      </w:r>
      <w:r w:rsidR="00656FD8" w:rsidRPr="004635E5">
        <w:rPr>
          <w:rFonts w:eastAsia="Batang"/>
          <w:sz w:val="22"/>
          <w:szCs w:val="22"/>
          <w:lang w:val="en-NZ" w:eastAsia="ko-KR"/>
        </w:rPr>
        <w:t>stock assessment</w:t>
      </w:r>
      <w:r w:rsidR="00C74A51" w:rsidRPr="004635E5">
        <w:rPr>
          <w:rFonts w:eastAsia="Batang"/>
          <w:sz w:val="22"/>
          <w:szCs w:val="22"/>
          <w:lang w:val="en-NZ" w:eastAsia="ko-KR"/>
        </w:rPr>
        <w:t xml:space="preserve"> discussed by </w:t>
      </w:r>
      <w:r w:rsidRPr="004635E5">
        <w:rPr>
          <w:rFonts w:eastAsia="Batang"/>
          <w:sz w:val="22"/>
          <w:szCs w:val="22"/>
          <w:lang w:val="en-NZ" w:eastAsia="ko-KR"/>
        </w:rPr>
        <w:t>SC11</w:t>
      </w:r>
      <w:r w:rsidR="00C74A51" w:rsidRPr="004635E5">
        <w:rPr>
          <w:rFonts w:eastAsia="Batang"/>
          <w:sz w:val="22"/>
          <w:szCs w:val="22"/>
          <w:lang w:val="en-NZ" w:eastAsia="ko-KR"/>
        </w:rPr>
        <w:t xml:space="preserve"> </w:t>
      </w:r>
      <w:r w:rsidRPr="004635E5">
        <w:rPr>
          <w:rFonts w:eastAsia="Batang"/>
          <w:sz w:val="22"/>
          <w:szCs w:val="22"/>
          <w:lang w:val="en-NZ" w:eastAsia="ko-KR"/>
        </w:rPr>
        <w:t xml:space="preserve">concluded </w:t>
      </w:r>
      <w:r w:rsidR="00C74A51" w:rsidRPr="004635E5">
        <w:rPr>
          <w:rFonts w:eastAsia="Batang"/>
          <w:sz w:val="22"/>
          <w:szCs w:val="22"/>
          <w:lang w:val="en-NZ" w:eastAsia="ko-KR"/>
        </w:rPr>
        <w:t xml:space="preserve">the stock </w:t>
      </w:r>
      <w:r w:rsidR="00270656" w:rsidRPr="004635E5">
        <w:rPr>
          <w:rFonts w:eastAsia="Batang"/>
          <w:sz w:val="22"/>
          <w:szCs w:val="22"/>
          <w:lang w:val="en-NZ" w:eastAsia="ko-KR"/>
        </w:rPr>
        <w:t xml:space="preserve">is </w:t>
      </w:r>
      <w:r w:rsidR="00C74A51" w:rsidRPr="004635E5">
        <w:rPr>
          <w:rFonts w:eastAsia="Batang"/>
          <w:sz w:val="22"/>
          <w:szCs w:val="22"/>
          <w:lang w:val="en-NZ" w:eastAsia="ko-KR"/>
        </w:rPr>
        <w:t>overfished and overf</w:t>
      </w:r>
      <w:r w:rsidRPr="004635E5">
        <w:rPr>
          <w:rFonts w:eastAsia="Batang"/>
          <w:sz w:val="22"/>
          <w:szCs w:val="22"/>
          <w:lang w:val="en-NZ" w:eastAsia="ko-KR"/>
        </w:rPr>
        <w:t xml:space="preserve">ishing is occurring. </w:t>
      </w:r>
      <w:r w:rsidR="00C74A51" w:rsidRPr="004635E5">
        <w:rPr>
          <w:rFonts w:eastAsia="Batang"/>
          <w:sz w:val="22"/>
          <w:szCs w:val="22"/>
          <w:lang w:val="en-NZ" w:eastAsia="ko-KR"/>
        </w:rPr>
        <w:t xml:space="preserve">Japan proposed that SC </w:t>
      </w:r>
      <w:r w:rsidRPr="004635E5">
        <w:rPr>
          <w:rFonts w:eastAsia="Batang"/>
          <w:sz w:val="22"/>
          <w:szCs w:val="22"/>
          <w:lang w:val="en-NZ" w:eastAsia="ko-KR"/>
        </w:rPr>
        <w:t xml:space="preserve">repeat the </w:t>
      </w:r>
      <w:r w:rsidR="00C74A51" w:rsidRPr="004635E5">
        <w:rPr>
          <w:rFonts w:eastAsia="Batang"/>
          <w:sz w:val="22"/>
          <w:szCs w:val="22"/>
          <w:lang w:val="en-NZ" w:eastAsia="ko-KR"/>
        </w:rPr>
        <w:t xml:space="preserve">recommendations from that </w:t>
      </w:r>
      <w:r w:rsidRPr="004635E5">
        <w:rPr>
          <w:rFonts w:eastAsia="Batang"/>
          <w:sz w:val="22"/>
          <w:szCs w:val="22"/>
          <w:lang w:val="en-NZ" w:eastAsia="ko-KR"/>
        </w:rPr>
        <w:t>ass</w:t>
      </w:r>
      <w:r w:rsidR="00C74A51" w:rsidRPr="004635E5">
        <w:rPr>
          <w:rFonts w:eastAsia="Batang"/>
          <w:sz w:val="22"/>
          <w:szCs w:val="22"/>
          <w:lang w:val="en-NZ" w:eastAsia="ko-KR"/>
        </w:rPr>
        <w:t xml:space="preserve">essment, </w:t>
      </w:r>
      <w:r w:rsidRPr="004635E5">
        <w:rPr>
          <w:rFonts w:eastAsia="Batang"/>
          <w:sz w:val="22"/>
          <w:szCs w:val="22"/>
          <w:lang w:val="en-NZ" w:eastAsia="ko-KR"/>
        </w:rPr>
        <w:t>refer</w:t>
      </w:r>
      <w:r w:rsidR="00C74A51" w:rsidRPr="004635E5">
        <w:rPr>
          <w:rFonts w:eastAsia="Batang"/>
          <w:sz w:val="22"/>
          <w:szCs w:val="22"/>
          <w:lang w:val="en-NZ" w:eastAsia="ko-KR"/>
        </w:rPr>
        <w:t>ring</w:t>
      </w:r>
      <w:r w:rsidRPr="004635E5">
        <w:rPr>
          <w:rFonts w:eastAsia="Batang"/>
          <w:sz w:val="22"/>
          <w:szCs w:val="22"/>
          <w:lang w:val="en-NZ" w:eastAsia="ko-KR"/>
        </w:rPr>
        <w:t xml:space="preserve"> specially to the summary</w:t>
      </w:r>
      <w:r w:rsidR="00C74A51" w:rsidRPr="004635E5">
        <w:rPr>
          <w:rFonts w:eastAsia="Batang"/>
          <w:sz w:val="22"/>
          <w:szCs w:val="22"/>
          <w:lang w:val="en-NZ" w:eastAsia="ko-KR"/>
        </w:rPr>
        <w:t xml:space="preserve"> that the stock is </w:t>
      </w:r>
      <w:r w:rsidRPr="004635E5">
        <w:rPr>
          <w:rFonts w:eastAsia="Batang"/>
          <w:sz w:val="22"/>
          <w:szCs w:val="22"/>
          <w:lang w:val="en-NZ" w:eastAsia="ko-KR"/>
        </w:rPr>
        <w:t>overfished and ove</w:t>
      </w:r>
      <w:r w:rsidR="00C74A51" w:rsidRPr="004635E5">
        <w:rPr>
          <w:rFonts w:eastAsia="Batang"/>
          <w:sz w:val="22"/>
          <w:szCs w:val="22"/>
          <w:lang w:val="en-NZ" w:eastAsia="ko-KR"/>
        </w:rPr>
        <w:t>r</w:t>
      </w:r>
      <w:r w:rsidRPr="004635E5">
        <w:rPr>
          <w:rFonts w:eastAsia="Batang"/>
          <w:sz w:val="22"/>
          <w:szCs w:val="22"/>
          <w:lang w:val="en-NZ" w:eastAsia="ko-KR"/>
        </w:rPr>
        <w:t>fishing i</w:t>
      </w:r>
      <w:r w:rsidR="00C74A51" w:rsidRPr="004635E5">
        <w:rPr>
          <w:rFonts w:eastAsia="Batang"/>
          <w:sz w:val="22"/>
          <w:szCs w:val="22"/>
          <w:lang w:val="en-NZ" w:eastAsia="ko-KR"/>
        </w:rPr>
        <w:t>s</w:t>
      </w:r>
      <w:r w:rsidRPr="004635E5">
        <w:rPr>
          <w:rFonts w:eastAsia="Batang"/>
          <w:sz w:val="22"/>
          <w:szCs w:val="22"/>
          <w:lang w:val="en-NZ" w:eastAsia="ko-KR"/>
        </w:rPr>
        <w:t xml:space="preserve"> occurring, and that SC11 rec</w:t>
      </w:r>
      <w:r w:rsidR="00C74A51" w:rsidRPr="004635E5">
        <w:rPr>
          <w:rFonts w:eastAsia="Batang"/>
          <w:sz w:val="22"/>
          <w:szCs w:val="22"/>
          <w:lang w:val="en-NZ" w:eastAsia="ko-KR"/>
        </w:rPr>
        <w:t xml:space="preserve">ommended </w:t>
      </w:r>
      <w:r w:rsidRPr="004635E5">
        <w:rPr>
          <w:rFonts w:eastAsia="Batang"/>
          <w:sz w:val="22"/>
          <w:szCs w:val="22"/>
          <w:lang w:val="en-NZ" w:eastAsia="ko-KR"/>
        </w:rPr>
        <w:t>a rebu</w:t>
      </w:r>
      <w:r w:rsidR="00C74A51" w:rsidRPr="004635E5">
        <w:rPr>
          <w:rFonts w:eastAsia="Batang"/>
          <w:sz w:val="22"/>
          <w:szCs w:val="22"/>
          <w:lang w:val="en-NZ" w:eastAsia="ko-KR"/>
        </w:rPr>
        <w:t>i</w:t>
      </w:r>
      <w:r w:rsidRPr="004635E5">
        <w:rPr>
          <w:rFonts w:eastAsia="Batang"/>
          <w:sz w:val="22"/>
          <w:szCs w:val="22"/>
          <w:lang w:val="en-NZ" w:eastAsia="ko-KR"/>
        </w:rPr>
        <w:t>ld</w:t>
      </w:r>
      <w:r w:rsidR="00C74A51" w:rsidRPr="004635E5">
        <w:rPr>
          <w:rFonts w:eastAsia="Batang"/>
          <w:sz w:val="22"/>
          <w:szCs w:val="22"/>
          <w:lang w:val="en-NZ" w:eastAsia="ko-KR"/>
        </w:rPr>
        <w:t>i</w:t>
      </w:r>
      <w:r w:rsidRPr="004635E5">
        <w:rPr>
          <w:rFonts w:eastAsia="Batang"/>
          <w:sz w:val="22"/>
          <w:szCs w:val="22"/>
          <w:lang w:val="en-NZ" w:eastAsia="ko-KR"/>
        </w:rPr>
        <w:t>ng plan.</w:t>
      </w:r>
      <w:r w:rsidR="00270656" w:rsidRPr="004635E5">
        <w:rPr>
          <w:rFonts w:eastAsia="Batang"/>
          <w:sz w:val="22"/>
          <w:szCs w:val="22"/>
          <w:lang w:val="en-NZ" w:eastAsia="ko-KR"/>
        </w:rPr>
        <w:t xml:space="preserve"> </w:t>
      </w:r>
      <w:r w:rsidR="006B73C2" w:rsidRPr="004635E5">
        <w:rPr>
          <w:rFonts w:eastAsia="Batang"/>
          <w:sz w:val="22"/>
          <w:szCs w:val="22"/>
          <w:lang w:val="en-NZ" w:eastAsia="ko-KR"/>
        </w:rPr>
        <w:t xml:space="preserve">The </w:t>
      </w:r>
      <w:r w:rsidRPr="004635E5">
        <w:rPr>
          <w:rFonts w:eastAsia="Batang"/>
          <w:sz w:val="22"/>
          <w:szCs w:val="22"/>
          <w:lang w:val="en-NZ" w:eastAsia="ko-KR"/>
        </w:rPr>
        <w:t>EU</w:t>
      </w:r>
      <w:r w:rsidR="006B73C2" w:rsidRPr="004635E5">
        <w:rPr>
          <w:rFonts w:eastAsia="Batang"/>
          <w:sz w:val="22"/>
          <w:szCs w:val="22"/>
          <w:lang w:val="en-NZ" w:eastAsia="ko-KR"/>
        </w:rPr>
        <w:t xml:space="preserve"> stated their </w:t>
      </w:r>
      <w:r w:rsidRPr="004635E5">
        <w:rPr>
          <w:rFonts w:eastAsia="Batang"/>
          <w:sz w:val="22"/>
          <w:szCs w:val="22"/>
          <w:lang w:val="en-NZ" w:eastAsia="ko-KR"/>
        </w:rPr>
        <w:t>understand</w:t>
      </w:r>
      <w:r w:rsidR="006B73C2" w:rsidRPr="004635E5">
        <w:rPr>
          <w:rFonts w:eastAsia="Batang"/>
          <w:sz w:val="22"/>
          <w:szCs w:val="22"/>
          <w:lang w:val="en-NZ" w:eastAsia="ko-KR"/>
        </w:rPr>
        <w:t>ing</w:t>
      </w:r>
      <w:r w:rsidRPr="004635E5">
        <w:rPr>
          <w:rFonts w:eastAsia="Batang"/>
          <w:sz w:val="22"/>
          <w:szCs w:val="22"/>
          <w:lang w:val="en-NZ" w:eastAsia="ko-KR"/>
        </w:rPr>
        <w:t xml:space="preserve"> that </w:t>
      </w:r>
      <w:r w:rsidR="006B73C2" w:rsidRPr="004635E5">
        <w:rPr>
          <w:rFonts w:eastAsia="Batang"/>
          <w:sz w:val="22"/>
          <w:szCs w:val="22"/>
          <w:lang w:val="en-NZ" w:eastAsia="ko-KR"/>
        </w:rPr>
        <w:t xml:space="preserve">WCPFC14 </w:t>
      </w:r>
      <w:r w:rsidRPr="004635E5">
        <w:rPr>
          <w:rFonts w:eastAsia="Batang"/>
          <w:sz w:val="22"/>
          <w:szCs w:val="22"/>
          <w:lang w:val="en-NZ" w:eastAsia="ko-KR"/>
        </w:rPr>
        <w:t>disc</w:t>
      </w:r>
      <w:r w:rsidR="006B73C2" w:rsidRPr="004635E5">
        <w:rPr>
          <w:rFonts w:eastAsia="Batang"/>
          <w:sz w:val="22"/>
          <w:szCs w:val="22"/>
          <w:lang w:val="en-NZ" w:eastAsia="ko-KR"/>
        </w:rPr>
        <w:t>ussed</w:t>
      </w:r>
      <w:r w:rsidRPr="004635E5">
        <w:rPr>
          <w:rFonts w:eastAsia="Batang"/>
          <w:sz w:val="22"/>
          <w:szCs w:val="22"/>
          <w:lang w:val="en-NZ" w:eastAsia="ko-KR"/>
        </w:rPr>
        <w:t xml:space="preserve"> </w:t>
      </w:r>
      <w:r w:rsidR="006B73C2" w:rsidRPr="004635E5">
        <w:rPr>
          <w:rFonts w:eastAsia="Batang"/>
          <w:sz w:val="22"/>
          <w:szCs w:val="22"/>
          <w:lang w:val="en-NZ" w:eastAsia="ko-KR"/>
        </w:rPr>
        <w:t xml:space="preserve">the issue </w:t>
      </w:r>
      <w:r w:rsidRPr="004635E5">
        <w:rPr>
          <w:rFonts w:eastAsia="Batang"/>
          <w:sz w:val="22"/>
          <w:szCs w:val="22"/>
          <w:lang w:val="en-NZ" w:eastAsia="ko-KR"/>
        </w:rPr>
        <w:t xml:space="preserve">and </w:t>
      </w:r>
      <w:r w:rsidR="006B73C2" w:rsidRPr="004635E5">
        <w:rPr>
          <w:rFonts w:eastAsia="Batang"/>
          <w:sz w:val="22"/>
          <w:szCs w:val="22"/>
          <w:lang w:val="en-NZ" w:eastAsia="ko-KR"/>
        </w:rPr>
        <w:t xml:space="preserve">that there was an </w:t>
      </w:r>
      <w:r w:rsidRPr="004635E5">
        <w:rPr>
          <w:rFonts w:eastAsia="Batang"/>
          <w:sz w:val="22"/>
          <w:szCs w:val="22"/>
          <w:lang w:val="en-NZ" w:eastAsia="ko-KR"/>
        </w:rPr>
        <w:t xml:space="preserve">expectation from </w:t>
      </w:r>
      <w:r w:rsidR="006B73C2" w:rsidRPr="004635E5">
        <w:rPr>
          <w:rFonts w:eastAsia="Batang"/>
          <w:sz w:val="22"/>
          <w:szCs w:val="22"/>
          <w:lang w:val="en-NZ" w:eastAsia="ko-KR"/>
        </w:rPr>
        <w:t xml:space="preserve">the </w:t>
      </w:r>
      <w:r w:rsidRPr="004635E5">
        <w:rPr>
          <w:rFonts w:eastAsia="Batang"/>
          <w:sz w:val="22"/>
          <w:szCs w:val="22"/>
          <w:lang w:val="en-NZ" w:eastAsia="ko-KR"/>
        </w:rPr>
        <w:t>Comm</w:t>
      </w:r>
      <w:r w:rsidR="006B73C2" w:rsidRPr="004635E5">
        <w:rPr>
          <w:rFonts w:eastAsia="Batang"/>
          <w:sz w:val="22"/>
          <w:szCs w:val="22"/>
          <w:lang w:val="en-NZ" w:eastAsia="ko-KR"/>
        </w:rPr>
        <w:t>ission</w:t>
      </w:r>
      <w:r w:rsidRPr="004635E5">
        <w:rPr>
          <w:rFonts w:eastAsia="Batang"/>
          <w:sz w:val="22"/>
          <w:szCs w:val="22"/>
          <w:lang w:val="en-NZ" w:eastAsia="ko-KR"/>
        </w:rPr>
        <w:t xml:space="preserve"> that </w:t>
      </w:r>
      <w:r w:rsidR="006B73C2" w:rsidRPr="004635E5">
        <w:rPr>
          <w:rFonts w:eastAsia="Batang"/>
          <w:sz w:val="22"/>
          <w:szCs w:val="22"/>
          <w:lang w:val="en-NZ" w:eastAsia="ko-KR"/>
        </w:rPr>
        <w:t xml:space="preserve">the </w:t>
      </w:r>
      <w:r w:rsidRPr="004635E5">
        <w:rPr>
          <w:rFonts w:eastAsia="Batang"/>
          <w:sz w:val="22"/>
          <w:szCs w:val="22"/>
          <w:lang w:val="en-NZ" w:eastAsia="ko-KR"/>
        </w:rPr>
        <w:t>SC would look at poss</w:t>
      </w:r>
      <w:r w:rsidR="006B73C2" w:rsidRPr="004635E5">
        <w:rPr>
          <w:rFonts w:eastAsia="Batang"/>
          <w:sz w:val="22"/>
          <w:szCs w:val="22"/>
          <w:lang w:val="en-NZ" w:eastAsia="ko-KR"/>
        </w:rPr>
        <w:t xml:space="preserve">ibilities </w:t>
      </w:r>
      <w:r w:rsidRPr="004635E5">
        <w:rPr>
          <w:rFonts w:eastAsia="Batang"/>
          <w:sz w:val="22"/>
          <w:szCs w:val="22"/>
          <w:lang w:val="en-NZ" w:eastAsia="ko-KR"/>
        </w:rPr>
        <w:t xml:space="preserve">or options for a rebuilding plan. </w:t>
      </w:r>
      <w:r w:rsidR="006B73C2" w:rsidRPr="004635E5">
        <w:rPr>
          <w:rFonts w:eastAsia="Batang"/>
          <w:sz w:val="22"/>
          <w:szCs w:val="22"/>
          <w:lang w:val="en-NZ" w:eastAsia="ko-KR"/>
        </w:rPr>
        <w:t xml:space="preserve">They inquired whether more information could be provided </w:t>
      </w:r>
      <w:r w:rsidRPr="004635E5">
        <w:rPr>
          <w:rFonts w:eastAsia="Batang"/>
          <w:sz w:val="22"/>
          <w:szCs w:val="22"/>
          <w:lang w:val="en-NZ" w:eastAsia="ko-KR"/>
        </w:rPr>
        <w:t xml:space="preserve">to </w:t>
      </w:r>
      <w:r w:rsidR="006B73C2" w:rsidRPr="004635E5">
        <w:rPr>
          <w:rFonts w:eastAsia="Batang"/>
          <w:sz w:val="22"/>
          <w:szCs w:val="22"/>
          <w:lang w:val="en-NZ" w:eastAsia="ko-KR"/>
        </w:rPr>
        <w:t>the C</w:t>
      </w:r>
      <w:r w:rsidRPr="004635E5">
        <w:rPr>
          <w:rFonts w:eastAsia="Batang"/>
          <w:sz w:val="22"/>
          <w:szCs w:val="22"/>
          <w:lang w:val="en-NZ" w:eastAsia="ko-KR"/>
        </w:rPr>
        <w:t>omm</w:t>
      </w:r>
      <w:r w:rsidR="006B73C2" w:rsidRPr="004635E5">
        <w:rPr>
          <w:rFonts w:eastAsia="Batang"/>
          <w:sz w:val="22"/>
          <w:szCs w:val="22"/>
          <w:lang w:val="en-NZ" w:eastAsia="ko-KR"/>
        </w:rPr>
        <w:t>ission</w:t>
      </w:r>
      <w:r w:rsidRPr="004635E5">
        <w:rPr>
          <w:rFonts w:eastAsia="Batang"/>
          <w:sz w:val="22"/>
          <w:szCs w:val="22"/>
          <w:lang w:val="en-NZ" w:eastAsia="ko-KR"/>
        </w:rPr>
        <w:t xml:space="preserve"> while </w:t>
      </w:r>
      <w:r w:rsidR="006B73C2" w:rsidRPr="004635E5">
        <w:rPr>
          <w:rFonts w:eastAsia="Batang"/>
          <w:sz w:val="22"/>
          <w:szCs w:val="22"/>
          <w:lang w:val="en-NZ" w:eastAsia="ko-KR"/>
        </w:rPr>
        <w:t>a</w:t>
      </w:r>
      <w:r w:rsidRPr="004635E5">
        <w:rPr>
          <w:rFonts w:eastAsia="Batang"/>
          <w:sz w:val="22"/>
          <w:szCs w:val="22"/>
          <w:lang w:val="en-NZ" w:eastAsia="ko-KR"/>
        </w:rPr>
        <w:t xml:space="preserve">waiting </w:t>
      </w:r>
      <w:r w:rsidR="006B73C2" w:rsidRPr="004635E5">
        <w:rPr>
          <w:rFonts w:eastAsia="Batang"/>
          <w:sz w:val="22"/>
          <w:szCs w:val="22"/>
          <w:lang w:val="en-NZ" w:eastAsia="ko-KR"/>
        </w:rPr>
        <w:t xml:space="preserve">another </w:t>
      </w:r>
      <w:r w:rsidR="00656FD8" w:rsidRPr="004635E5">
        <w:rPr>
          <w:rFonts w:eastAsia="Batang"/>
          <w:sz w:val="22"/>
          <w:szCs w:val="22"/>
          <w:lang w:val="en-NZ" w:eastAsia="ko-KR"/>
        </w:rPr>
        <w:t>stock assessment</w:t>
      </w:r>
      <w:r w:rsidRPr="004635E5">
        <w:rPr>
          <w:rFonts w:eastAsia="Batang"/>
          <w:sz w:val="22"/>
          <w:szCs w:val="22"/>
          <w:lang w:val="en-NZ" w:eastAsia="ko-KR"/>
        </w:rPr>
        <w:t xml:space="preserve">. </w:t>
      </w:r>
      <w:r w:rsidR="006B73C2" w:rsidRPr="004635E5">
        <w:rPr>
          <w:rFonts w:eastAsia="Batang"/>
          <w:sz w:val="22"/>
          <w:szCs w:val="22"/>
          <w:lang w:val="en-NZ" w:eastAsia="ko-KR"/>
        </w:rPr>
        <w:t xml:space="preserve">The </w:t>
      </w:r>
      <w:r w:rsidR="002E39E9" w:rsidRPr="004635E5">
        <w:rPr>
          <w:rFonts w:eastAsia="Batang"/>
          <w:sz w:val="22"/>
          <w:szCs w:val="22"/>
          <w:lang w:val="en-NZ" w:eastAsia="ko-KR"/>
        </w:rPr>
        <w:t>theme convener</w:t>
      </w:r>
      <w:r w:rsidR="006B73C2" w:rsidRPr="004635E5">
        <w:rPr>
          <w:rFonts w:eastAsia="Batang"/>
          <w:sz w:val="22"/>
          <w:szCs w:val="22"/>
          <w:lang w:val="en-NZ" w:eastAsia="ko-KR"/>
        </w:rPr>
        <w:t xml:space="preserve"> noted the components needed in a </w:t>
      </w:r>
      <w:r w:rsidRPr="004635E5">
        <w:rPr>
          <w:rFonts w:eastAsia="Batang"/>
          <w:sz w:val="22"/>
          <w:szCs w:val="22"/>
          <w:lang w:val="en-NZ" w:eastAsia="ko-KR"/>
        </w:rPr>
        <w:t xml:space="preserve">rebuilding plan </w:t>
      </w:r>
      <w:r w:rsidR="006B73C2" w:rsidRPr="004635E5">
        <w:rPr>
          <w:rFonts w:eastAsia="Batang"/>
          <w:sz w:val="22"/>
          <w:szCs w:val="22"/>
          <w:lang w:val="en-NZ" w:eastAsia="ko-KR"/>
        </w:rPr>
        <w:t>and that ISC reports indicate</w:t>
      </w:r>
      <w:r w:rsidR="00270656" w:rsidRPr="004635E5">
        <w:rPr>
          <w:rFonts w:eastAsia="Batang"/>
          <w:sz w:val="22"/>
          <w:szCs w:val="22"/>
          <w:lang w:val="en-NZ" w:eastAsia="ko-KR"/>
        </w:rPr>
        <w:t>d</w:t>
      </w:r>
      <w:r w:rsidR="006B73C2" w:rsidRPr="004635E5">
        <w:rPr>
          <w:rFonts w:eastAsia="Batang"/>
          <w:sz w:val="22"/>
          <w:szCs w:val="22"/>
          <w:lang w:val="en-NZ" w:eastAsia="ko-KR"/>
        </w:rPr>
        <w:t xml:space="preserve"> the situation with </w:t>
      </w:r>
      <w:r w:rsidR="00270656" w:rsidRPr="004635E5">
        <w:rPr>
          <w:rFonts w:eastAsia="Batang"/>
          <w:sz w:val="22"/>
          <w:szCs w:val="22"/>
          <w:lang w:val="en-NZ" w:eastAsia="ko-KR"/>
        </w:rPr>
        <w:t xml:space="preserve">the </w:t>
      </w:r>
      <w:r w:rsidR="006B73C2" w:rsidRPr="004635E5">
        <w:rPr>
          <w:rFonts w:eastAsia="Batang"/>
          <w:sz w:val="22"/>
          <w:szCs w:val="22"/>
          <w:lang w:val="en-NZ" w:eastAsia="ko-KR"/>
        </w:rPr>
        <w:t xml:space="preserve">stock </w:t>
      </w:r>
      <w:r w:rsidR="00270656" w:rsidRPr="004635E5">
        <w:rPr>
          <w:rFonts w:eastAsia="Batang"/>
          <w:sz w:val="22"/>
          <w:szCs w:val="22"/>
          <w:lang w:val="en-NZ" w:eastAsia="ko-KR"/>
        </w:rPr>
        <w:t xml:space="preserve">was </w:t>
      </w:r>
      <w:r w:rsidRPr="004635E5">
        <w:rPr>
          <w:rFonts w:eastAsia="Batang"/>
          <w:sz w:val="22"/>
          <w:szCs w:val="22"/>
          <w:lang w:val="en-NZ" w:eastAsia="ko-KR"/>
        </w:rPr>
        <w:t>consistent.</w:t>
      </w:r>
      <w:r w:rsidR="00D5018D" w:rsidRPr="004635E5">
        <w:rPr>
          <w:rFonts w:eastAsia="Batang"/>
          <w:sz w:val="22"/>
          <w:szCs w:val="22"/>
          <w:lang w:val="en-NZ" w:eastAsia="ko-KR"/>
        </w:rPr>
        <w:t xml:space="preserve"> The </w:t>
      </w:r>
      <w:r w:rsidR="002E39E9" w:rsidRPr="004635E5">
        <w:rPr>
          <w:rFonts w:eastAsia="Batang"/>
          <w:sz w:val="22"/>
          <w:szCs w:val="22"/>
          <w:lang w:val="en-NZ" w:eastAsia="ko-KR"/>
        </w:rPr>
        <w:t>theme convener</w:t>
      </w:r>
      <w:r w:rsidR="00D5018D" w:rsidRPr="004635E5">
        <w:rPr>
          <w:rFonts w:eastAsia="Batang"/>
          <w:sz w:val="22"/>
          <w:szCs w:val="22"/>
          <w:lang w:val="en-NZ" w:eastAsia="ko-KR"/>
        </w:rPr>
        <w:t xml:space="preserve"> </w:t>
      </w:r>
      <w:r w:rsidR="00270656" w:rsidRPr="004635E5">
        <w:rPr>
          <w:rFonts w:eastAsia="Batang"/>
          <w:sz w:val="22"/>
          <w:szCs w:val="22"/>
          <w:lang w:val="en-NZ" w:eastAsia="ko-KR"/>
        </w:rPr>
        <w:t xml:space="preserve">further stated </w:t>
      </w:r>
      <w:r w:rsidR="00D5018D" w:rsidRPr="004635E5">
        <w:rPr>
          <w:rFonts w:eastAsia="Batang"/>
          <w:sz w:val="22"/>
          <w:szCs w:val="22"/>
          <w:lang w:val="en-NZ" w:eastAsia="ko-KR"/>
        </w:rPr>
        <w:t xml:space="preserve">that </w:t>
      </w:r>
      <w:r w:rsidRPr="004635E5">
        <w:rPr>
          <w:rFonts w:eastAsia="Batang"/>
          <w:sz w:val="22"/>
          <w:szCs w:val="22"/>
          <w:lang w:val="en-NZ" w:eastAsia="ko-KR"/>
        </w:rPr>
        <w:t xml:space="preserve">ISC </w:t>
      </w:r>
      <w:r w:rsidR="00D5018D" w:rsidRPr="004635E5">
        <w:rPr>
          <w:rFonts w:eastAsia="Batang"/>
          <w:sz w:val="22"/>
          <w:szCs w:val="22"/>
          <w:lang w:val="en-NZ" w:eastAsia="ko-KR"/>
        </w:rPr>
        <w:t xml:space="preserve">would undertake </w:t>
      </w:r>
      <w:r w:rsidRPr="004635E5">
        <w:rPr>
          <w:rFonts w:eastAsia="Batang"/>
          <w:sz w:val="22"/>
          <w:szCs w:val="22"/>
          <w:lang w:val="en-NZ" w:eastAsia="ko-KR"/>
        </w:rPr>
        <w:t xml:space="preserve">a benchmark </w:t>
      </w:r>
      <w:r w:rsidR="00656FD8" w:rsidRPr="004635E5">
        <w:rPr>
          <w:rFonts w:eastAsia="Batang"/>
          <w:sz w:val="22"/>
          <w:szCs w:val="22"/>
          <w:lang w:val="en-NZ" w:eastAsia="ko-KR"/>
        </w:rPr>
        <w:t>stock assessment</w:t>
      </w:r>
      <w:r w:rsidRPr="004635E5">
        <w:rPr>
          <w:rFonts w:eastAsia="Batang"/>
          <w:sz w:val="22"/>
          <w:szCs w:val="22"/>
          <w:lang w:val="en-NZ" w:eastAsia="ko-KR"/>
        </w:rPr>
        <w:t xml:space="preserve"> of </w:t>
      </w:r>
      <w:r w:rsidR="00270656" w:rsidRPr="004635E5">
        <w:rPr>
          <w:rFonts w:eastAsia="Batang"/>
          <w:sz w:val="22"/>
          <w:szCs w:val="22"/>
          <w:lang w:val="en-NZ" w:eastAsia="ko-KR"/>
        </w:rPr>
        <w:t>North Pacific s</w:t>
      </w:r>
      <w:r w:rsidRPr="004635E5">
        <w:rPr>
          <w:rFonts w:eastAsia="Batang"/>
          <w:sz w:val="22"/>
          <w:szCs w:val="22"/>
          <w:lang w:val="en-NZ" w:eastAsia="ko-KR"/>
        </w:rPr>
        <w:t xml:space="preserve">triped marlin. Assuming a robust assessment (and results </w:t>
      </w:r>
      <w:r w:rsidR="00270656" w:rsidRPr="004635E5">
        <w:rPr>
          <w:rFonts w:eastAsia="Batang"/>
          <w:sz w:val="22"/>
          <w:szCs w:val="22"/>
          <w:lang w:val="en-NZ" w:eastAsia="ko-KR"/>
        </w:rPr>
        <w:t xml:space="preserve">would </w:t>
      </w:r>
      <w:r w:rsidRPr="004635E5">
        <w:rPr>
          <w:rFonts w:eastAsia="Batang"/>
          <w:sz w:val="22"/>
          <w:szCs w:val="22"/>
          <w:lang w:val="en-NZ" w:eastAsia="ko-KR"/>
        </w:rPr>
        <w:t xml:space="preserve">likely be similar to </w:t>
      </w:r>
      <w:r w:rsidR="00D5018D" w:rsidRPr="004635E5">
        <w:rPr>
          <w:rFonts w:eastAsia="Batang"/>
          <w:sz w:val="22"/>
          <w:szCs w:val="22"/>
          <w:lang w:val="en-NZ" w:eastAsia="ko-KR"/>
        </w:rPr>
        <w:t xml:space="preserve">the last </w:t>
      </w:r>
      <w:r w:rsidRPr="004635E5">
        <w:rPr>
          <w:rFonts w:eastAsia="Batang"/>
          <w:sz w:val="22"/>
          <w:szCs w:val="22"/>
          <w:lang w:val="en-NZ" w:eastAsia="ko-KR"/>
        </w:rPr>
        <w:t>assessment)</w:t>
      </w:r>
      <w:r w:rsidR="00270656" w:rsidRPr="004635E5">
        <w:rPr>
          <w:rFonts w:eastAsia="Batang"/>
          <w:sz w:val="22"/>
          <w:szCs w:val="22"/>
          <w:lang w:val="en-NZ" w:eastAsia="ko-KR"/>
        </w:rPr>
        <w:t>,</w:t>
      </w:r>
      <w:r w:rsidRPr="004635E5">
        <w:rPr>
          <w:rFonts w:eastAsia="Batang"/>
          <w:sz w:val="22"/>
          <w:szCs w:val="22"/>
          <w:lang w:val="en-NZ" w:eastAsia="ko-KR"/>
        </w:rPr>
        <w:t xml:space="preserve"> the results </w:t>
      </w:r>
      <w:r w:rsidR="00270656" w:rsidRPr="004635E5">
        <w:rPr>
          <w:rFonts w:eastAsia="Batang"/>
          <w:sz w:val="22"/>
          <w:szCs w:val="22"/>
          <w:lang w:val="en-NZ" w:eastAsia="ko-KR"/>
        </w:rPr>
        <w:t xml:space="preserve">could be used as inputs for </w:t>
      </w:r>
      <w:r w:rsidRPr="004635E5">
        <w:rPr>
          <w:rFonts w:eastAsia="Batang"/>
          <w:sz w:val="22"/>
          <w:szCs w:val="22"/>
          <w:lang w:val="en-NZ" w:eastAsia="ko-KR"/>
        </w:rPr>
        <w:t>stock rebuilding plan softwar</w:t>
      </w:r>
      <w:r w:rsidR="00270656" w:rsidRPr="004635E5">
        <w:rPr>
          <w:rFonts w:eastAsia="Batang"/>
          <w:sz w:val="22"/>
          <w:szCs w:val="22"/>
          <w:lang w:val="en-NZ" w:eastAsia="ko-KR"/>
        </w:rPr>
        <w:t>e</w:t>
      </w:r>
      <w:r w:rsidRPr="004635E5">
        <w:rPr>
          <w:rFonts w:eastAsia="Batang"/>
          <w:sz w:val="22"/>
          <w:szCs w:val="22"/>
          <w:lang w:val="en-NZ" w:eastAsia="ko-KR"/>
        </w:rPr>
        <w:t>.</w:t>
      </w:r>
    </w:p>
    <w:p w14:paraId="72CDC05C" w14:textId="77777777" w:rsidR="00402087" w:rsidRPr="004635E5" w:rsidRDefault="00402087" w:rsidP="006633A8">
      <w:pPr>
        <w:autoSpaceDE w:val="0"/>
        <w:autoSpaceDN w:val="0"/>
        <w:adjustRightInd w:val="0"/>
        <w:snapToGrid w:val="0"/>
        <w:jc w:val="both"/>
        <w:rPr>
          <w:rFonts w:eastAsia="Batang"/>
          <w:sz w:val="22"/>
          <w:szCs w:val="22"/>
          <w:lang w:val="en-NZ" w:eastAsia="ko-KR"/>
        </w:rPr>
      </w:pPr>
      <w:r w:rsidRPr="004635E5">
        <w:rPr>
          <w:rFonts w:eastAsia="Batang"/>
          <w:sz w:val="22"/>
          <w:szCs w:val="22"/>
          <w:lang w:val="en-NZ" w:eastAsia="ko-KR"/>
        </w:rPr>
        <w:t xml:space="preserve"> </w:t>
      </w:r>
    </w:p>
    <w:p w14:paraId="5A5984C1" w14:textId="77777777" w:rsidR="00566C68" w:rsidRPr="004635E5" w:rsidRDefault="00D5018D"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Kiribati, on behalf of FFA members, noted that </w:t>
      </w:r>
      <w:r w:rsidR="00797E2B">
        <w:rPr>
          <w:rFonts w:eastAsia="Batang"/>
          <w:sz w:val="22"/>
          <w:szCs w:val="22"/>
          <w:lang w:eastAsia="ko-KR"/>
        </w:rPr>
        <w:t>SC14-</w:t>
      </w:r>
      <w:r w:rsidR="00566C68" w:rsidRPr="004635E5">
        <w:rPr>
          <w:rFonts w:eastAsia="Batang"/>
          <w:sz w:val="22"/>
          <w:szCs w:val="22"/>
          <w:lang w:val="en-NZ" w:eastAsia="ko-KR"/>
        </w:rPr>
        <w:t xml:space="preserve">SA-IP-11 </w:t>
      </w:r>
      <w:r w:rsidRPr="004635E5">
        <w:rPr>
          <w:rFonts w:eastAsia="Batang"/>
          <w:sz w:val="22"/>
          <w:szCs w:val="22"/>
          <w:lang w:val="en-NZ" w:eastAsia="ko-KR"/>
        </w:rPr>
        <w:t xml:space="preserve">was </w:t>
      </w:r>
      <w:r w:rsidR="00566C68" w:rsidRPr="004635E5">
        <w:rPr>
          <w:rFonts w:eastAsia="Batang"/>
          <w:sz w:val="22"/>
          <w:szCs w:val="22"/>
          <w:lang w:val="en-NZ" w:eastAsia="ko-KR"/>
        </w:rPr>
        <w:t xml:space="preserve">based on a 2007 assessment that </w:t>
      </w:r>
      <w:r w:rsidR="00270656" w:rsidRPr="004635E5">
        <w:rPr>
          <w:rFonts w:eastAsia="Batang"/>
          <w:sz w:val="22"/>
          <w:szCs w:val="22"/>
          <w:lang w:val="en-NZ" w:eastAsia="ko-KR"/>
        </w:rPr>
        <w:t xml:space="preserve">was </w:t>
      </w:r>
      <w:r w:rsidR="00566C68" w:rsidRPr="004635E5">
        <w:rPr>
          <w:rFonts w:eastAsia="Batang"/>
          <w:sz w:val="22"/>
          <w:szCs w:val="22"/>
          <w:lang w:val="en-NZ" w:eastAsia="ko-KR"/>
        </w:rPr>
        <w:t xml:space="preserve">not designed to address the spatial distribution of biomass, </w:t>
      </w:r>
      <w:r w:rsidR="00270656" w:rsidRPr="004635E5">
        <w:rPr>
          <w:rFonts w:eastAsia="Batang"/>
          <w:sz w:val="22"/>
          <w:szCs w:val="22"/>
          <w:lang w:val="en-NZ" w:eastAsia="ko-KR"/>
        </w:rPr>
        <w:t xml:space="preserve">or </w:t>
      </w:r>
      <w:r w:rsidR="00566C68" w:rsidRPr="004635E5">
        <w:rPr>
          <w:rFonts w:eastAsia="Batang"/>
          <w:sz w:val="22"/>
          <w:szCs w:val="22"/>
          <w:lang w:val="en-NZ" w:eastAsia="ko-KR"/>
        </w:rPr>
        <w:t xml:space="preserve">estimate regional </w:t>
      </w:r>
      <w:r w:rsidR="00270656" w:rsidRPr="004635E5">
        <w:rPr>
          <w:rFonts w:eastAsia="Batang"/>
          <w:sz w:val="22"/>
          <w:szCs w:val="22"/>
          <w:lang w:val="en-NZ" w:eastAsia="ko-KR"/>
        </w:rPr>
        <w:t xml:space="preserve">stock </w:t>
      </w:r>
      <w:r w:rsidR="00566C68" w:rsidRPr="004635E5">
        <w:rPr>
          <w:rFonts w:eastAsia="Batang"/>
          <w:sz w:val="22"/>
          <w:szCs w:val="22"/>
          <w:lang w:val="en-NZ" w:eastAsia="ko-KR"/>
        </w:rPr>
        <w:t xml:space="preserve">dynamics. In addition, it </w:t>
      </w:r>
      <w:r w:rsidR="00270656" w:rsidRPr="004635E5">
        <w:rPr>
          <w:rFonts w:eastAsia="Batang"/>
          <w:sz w:val="22"/>
          <w:szCs w:val="22"/>
          <w:lang w:val="en-NZ" w:eastAsia="ko-KR"/>
        </w:rPr>
        <w:t xml:space="preserve">was </w:t>
      </w:r>
      <w:r w:rsidR="00566C68" w:rsidRPr="004635E5">
        <w:rPr>
          <w:rFonts w:eastAsia="Batang"/>
          <w:sz w:val="22"/>
          <w:szCs w:val="22"/>
          <w:lang w:val="en-NZ" w:eastAsia="ko-KR"/>
        </w:rPr>
        <w:t xml:space="preserve">unclear what available data informed </w:t>
      </w:r>
      <w:r w:rsidR="00270656" w:rsidRPr="004635E5">
        <w:rPr>
          <w:rFonts w:eastAsia="Batang"/>
          <w:sz w:val="22"/>
          <w:szCs w:val="22"/>
          <w:lang w:val="en-NZ" w:eastAsia="ko-KR"/>
        </w:rPr>
        <w:t xml:space="preserve">the </w:t>
      </w:r>
      <w:r w:rsidR="00566C68" w:rsidRPr="004635E5">
        <w:rPr>
          <w:rFonts w:eastAsia="Batang"/>
          <w:sz w:val="22"/>
          <w:szCs w:val="22"/>
          <w:lang w:val="en-NZ" w:eastAsia="ko-KR"/>
        </w:rPr>
        <w:t xml:space="preserve">work, </w:t>
      </w:r>
      <w:r w:rsidR="00270656" w:rsidRPr="004635E5">
        <w:rPr>
          <w:rFonts w:eastAsia="Batang"/>
          <w:sz w:val="22"/>
          <w:szCs w:val="22"/>
          <w:lang w:val="en-NZ" w:eastAsia="ko-KR"/>
        </w:rPr>
        <w:t xml:space="preserve">with </w:t>
      </w:r>
      <w:r w:rsidR="00566C68" w:rsidRPr="004635E5">
        <w:rPr>
          <w:rFonts w:eastAsia="Batang"/>
          <w:sz w:val="22"/>
          <w:szCs w:val="22"/>
          <w:lang w:val="en-NZ" w:eastAsia="ko-KR"/>
        </w:rPr>
        <w:t>some figures suggest</w:t>
      </w:r>
      <w:r w:rsidR="00270656" w:rsidRPr="004635E5">
        <w:rPr>
          <w:rFonts w:eastAsia="Batang"/>
          <w:sz w:val="22"/>
          <w:szCs w:val="22"/>
          <w:lang w:val="en-NZ" w:eastAsia="ko-KR"/>
        </w:rPr>
        <w:t>ing</w:t>
      </w:r>
      <w:r w:rsidR="00566C68" w:rsidRPr="004635E5">
        <w:rPr>
          <w:rFonts w:eastAsia="Batang"/>
          <w:sz w:val="22"/>
          <w:szCs w:val="22"/>
          <w:lang w:val="en-NZ" w:eastAsia="ko-KR"/>
        </w:rPr>
        <w:t xml:space="preserve"> data from as far b</w:t>
      </w:r>
      <w:r w:rsidR="00270656" w:rsidRPr="004635E5">
        <w:rPr>
          <w:rFonts w:eastAsia="Batang"/>
          <w:sz w:val="22"/>
          <w:szCs w:val="22"/>
          <w:lang w:val="en-NZ" w:eastAsia="ko-KR"/>
        </w:rPr>
        <w:t>ack as 2003. The paper estimated</w:t>
      </w:r>
      <w:r w:rsidR="00566C68" w:rsidRPr="004635E5">
        <w:rPr>
          <w:rFonts w:eastAsia="Batang"/>
          <w:sz w:val="22"/>
          <w:szCs w:val="22"/>
          <w:lang w:val="en-NZ" w:eastAsia="ko-KR"/>
        </w:rPr>
        <w:t xml:space="preserve"> higher catchability in the north relative to the south for the older age classes, in which different fisheries occur. There is a lack of recent information, no differential standardised CPUE analyses and no consideration of fish movement patterns</w:t>
      </w:r>
      <w:r w:rsidR="00A16680" w:rsidRPr="004635E5">
        <w:rPr>
          <w:rFonts w:eastAsia="Batang"/>
          <w:sz w:val="22"/>
          <w:szCs w:val="22"/>
          <w:lang w:val="en-NZ" w:eastAsia="ko-KR"/>
        </w:rPr>
        <w:t xml:space="preserve">. </w:t>
      </w:r>
      <w:r w:rsidR="00566C68" w:rsidRPr="004635E5">
        <w:rPr>
          <w:rFonts w:eastAsia="Batang"/>
          <w:sz w:val="22"/>
          <w:szCs w:val="22"/>
          <w:lang w:val="en-NZ" w:eastAsia="ko-KR"/>
        </w:rPr>
        <w:t>As a non-target species</w:t>
      </w:r>
      <w:r w:rsidR="00270656" w:rsidRPr="004635E5">
        <w:rPr>
          <w:rFonts w:eastAsia="Batang"/>
          <w:sz w:val="22"/>
          <w:szCs w:val="22"/>
          <w:lang w:val="en-NZ" w:eastAsia="ko-KR"/>
        </w:rPr>
        <w:t>,</w:t>
      </w:r>
      <w:r w:rsidR="00566C68" w:rsidRPr="004635E5">
        <w:rPr>
          <w:rFonts w:eastAsia="Batang"/>
          <w:sz w:val="22"/>
          <w:szCs w:val="22"/>
          <w:lang w:val="en-NZ" w:eastAsia="ko-KR"/>
        </w:rPr>
        <w:t xml:space="preserve"> reporting deficiencies would undoubtedly be a key issue impacting the ability to undertake comprehensive assessments for this stock. Notably in the last few years, improvements in Vietnamese catch and effort reporting indicate that they have significant catches of north Pacific striped marlin, presumably in their EEZ, which raises the question about how much underreporting takes place and raising uncertainty in the distribution of biomass across the north Pacific. The WCPFC tuna year book shows that Vietnamese catches account</w:t>
      </w:r>
      <w:r w:rsidR="00270656" w:rsidRPr="004635E5">
        <w:rPr>
          <w:rFonts w:eastAsia="Batang"/>
          <w:sz w:val="22"/>
          <w:szCs w:val="22"/>
          <w:lang w:val="en-NZ" w:eastAsia="ko-KR"/>
        </w:rPr>
        <w:t>ed</w:t>
      </w:r>
      <w:r w:rsidR="00566C68" w:rsidRPr="004635E5">
        <w:rPr>
          <w:rFonts w:eastAsia="Batang"/>
          <w:sz w:val="22"/>
          <w:szCs w:val="22"/>
          <w:lang w:val="en-NZ" w:eastAsia="ko-KR"/>
        </w:rPr>
        <w:t xml:space="preserve"> for approximately 15% of total striped marlin catches in the north Pacific between 2014-2016, with much of their EEZ based in the area south of 20</w:t>
      </w:r>
      <w:r w:rsidR="00375849" w:rsidRPr="004635E5">
        <w:rPr>
          <w:rFonts w:eastAsia="Batang"/>
          <w:bCs/>
          <w:sz w:val="22"/>
          <w:szCs w:val="22"/>
          <w:lang w:eastAsia="ko-KR"/>
        </w:rPr>
        <w:t>°</w:t>
      </w:r>
      <w:r w:rsidR="00566C68" w:rsidRPr="004635E5">
        <w:rPr>
          <w:rFonts w:eastAsia="Batang"/>
          <w:sz w:val="22"/>
          <w:szCs w:val="22"/>
          <w:lang w:val="en-NZ" w:eastAsia="ko-KR"/>
        </w:rPr>
        <w:t xml:space="preserve">N. Furthermore, this raises questions about the potential magnitude of striped marlin catches taken in Indonesia </w:t>
      </w:r>
      <w:r w:rsidR="00270656" w:rsidRPr="004635E5">
        <w:rPr>
          <w:rFonts w:eastAsia="Batang"/>
          <w:sz w:val="22"/>
          <w:szCs w:val="22"/>
          <w:lang w:val="en-NZ" w:eastAsia="ko-KR"/>
        </w:rPr>
        <w:t>and Philippine</w:t>
      </w:r>
      <w:r w:rsidR="00566C68" w:rsidRPr="004635E5">
        <w:rPr>
          <w:rFonts w:eastAsia="Batang"/>
          <w:sz w:val="22"/>
          <w:szCs w:val="22"/>
          <w:lang w:val="en-NZ" w:eastAsia="ko-KR"/>
        </w:rPr>
        <w:t xml:space="preserve"> fisheries</w:t>
      </w:r>
      <w:r w:rsidR="00270656" w:rsidRPr="004635E5">
        <w:rPr>
          <w:rFonts w:eastAsia="Batang"/>
          <w:sz w:val="22"/>
          <w:szCs w:val="22"/>
          <w:lang w:val="en-NZ" w:eastAsia="ko-KR"/>
        </w:rPr>
        <w:t>,</w:t>
      </w:r>
      <w:r w:rsidR="00566C68" w:rsidRPr="004635E5">
        <w:rPr>
          <w:rFonts w:eastAsia="Batang"/>
          <w:sz w:val="22"/>
          <w:szCs w:val="22"/>
          <w:lang w:val="en-NZ" w:eastAsia="ko-KR"/>
        </w:rPr>
        <w:t xml:space="preserve"> where data collection programs </w:t>
      </w:r>
      <w:r w:rsidR="00270656" w:rsidRPr="004635E5">
        <w:rPr>
          <w:rFonts w:eastAsia="Batang"/>
          <w:sz w:val="22"/>
          <w:szCs w:val="22"/>
          <w:lang w:val="en-NZ" w:eastAsia="ko-KR"/>
        </w:rPr>
        <w:t xml:space="preserve">still </w:t>
      </w:r>
      <w:r w:rsidR="00566C68" w:rsidRPr="004635E5">
        <w:rPr>
          <w:rFonts w:eastAsia="Batang"/>
          <w:sz w:val="22"/>
          <w:szCs w:val="22"/>
          <w:lang w:val="en-NZ" w:eastAsia="ko-KR"/>
        </w:rPr>
        <w:t>improving</w:t>
      </w:r>
      <w:r w:rsidR="00A16680" w:rsidRPr="004635E5">
        <w:rPr>
          <w:rFonts w:eastAsia="Batang"/>
          <w:sz w:val="22"/>
          <w:szCs w:val="22"/>
          <w:lang w:val="en-NZ" w:eastAsia="ko-KR"/>
        </w:rPr>
        <w:t xml:space="preserve">. </w:t>
      </w:r>
      <w:r w:rsidR="00270656" w:rsidRPr="004635E5">
        <w:rPr>
          <w:rFonts w:eastAsia="Batang"/>
          <w:sz w:val="22"/>
          <w:szCs w:val="22"/>
          <w:lang w:val="en-NZ" w:eastAsia="ko-KR"/>
        </w:rPr>
        <w:t>In light of the situation</w:t>
      </w:r>
      <w:r w:rsidR="00566C68" w:rsidRPr="004635E5">
        <w:rPr>
          <w:rFonts w:eastAsia="Batang"/>
          <w:sz w:val="22"/>
          <w:szCs w:val="22"/>
          <w:lang w:val="en-NZ" w:eastAsia="ko-KR"/>
        </w:rPr>
        <w:t xml:space="preserve">, FFA members </w:t>
      </w:r>
      <w:r w:rsidR="00270656" w:rsidRPr="004635E5">
        <w:rPr>
          <w:rFonts w:eastAsia="Batang"/>
          <w:sz w:val="22"/>
          <w:szCs w:val="22"/>
          <w:lang w:val="en-NZ" w:eastAsia="ko-KR"/>
        </w:rPr>
        <w:t xml:space="preserve">noted </w:t>
      </w:r>
      <w:r w:rsidR="00566C68" w:rsidRPr="004635E5">
        <w:rPr>
          <w:rFonts w:eastAsia="Batang"/>
          <w:sz w:val="22"/>
          <w:szCs w:val="22"/>
          <w:lang w:val="en-NZ" w:eastAsia="ko-KR"/>
        </w:rPr>
        <w:t xml:space="preserve">that further studies </w:t>
      </w:r>
      <w:r w:rsidR="00270656" w:rsidRPr="004635E5">
        <w:rPr>
          <w:rFonts w:eastAsia="Batang"/>
          <w:sz w:val="22"/>
          <w:szCs w:val="22"/>
          <w:lang w:val="en-NZ" w:eastAsia="ko-KR"/>
        </w:rPr>
        <w:t xml:space="preserve">were </w:t>
      </w:r>
      <w:r w:rsidR="00566C68" w:rsidRPr="004635E5">
        <w:rPr>
          <w:rFonts w:eastAsia="Batang"/>
          <w:sz w:val="22"/>
          <w:szCs w:val="22"/>
          <w:lang w:val="en-NZ" w:eastAsia="ko-KR"/>
        </w:rPr>
        <w:t xml:space="preserve">needed before the SC </w:t>
      </w:r>
      <w:r w:rsidR="00270656" w:rsidRPr="004635E5">
        <w:rPr>
          <w:rFonts w:eastAsia="Batang"/>
          <w:sz w:val="22"/>
          <w:szCs w:val="22"/>
          <w:lang w:val="en-NZ" w:eastAsia="ko-KR"/>
        </w:rPr>
        <w:t xml:space="preserve">could make </w:t>
      </w:r>
      <w:r w:rsidR="00566C68" w:rsidRPr="004635E5">
        <w:rPr>
          <w:rFonts w:eastAsia="Batang"/>
          <w:sz w:val="22"/>
          <w:szCs w:val="22"/>
          <w:lang w:val="en-NZ" w:eastAsia="ko-KR"/>
        </w:rPr>
        <w:t>a decision or recommendation to the Commission on the designation of striped marlin as a northern stock</w:t>
      </w:r>
      <w:r w:rsidR="00A16680" w:rsidRPr="004635E5">
        <w:rPr>
          <w:rFonts w:eastAsia="Batang"/>
          <w:sz w:val="22"/>
          <w:szCs w:val="22"/>
          <w:lang w:val="en-NZ" w:eastAsia="ko-KR"/>
        </w:rPr>
        <w:t xml:space="preserve">. </w:t>
      </w:r>
      <w:r w:rsidR="00566C68" w:rsidRPr="004635E5">
        <w:rPr>
          <w:rFonts w:eastAsia="Batang"/>
          <w:sz w:val="22"/>
          <w:szCs w:val="22"/>
          <w:lang w:val="en-NZ" w:eastAsia="ko-KR"/>
        </w:rPr>
        <w:t xml:space="preserve">It further highlights the need for CCMs to </w:t>
      </w:r>
      <w:r w:rsidR="00270656" w:rsidRPr="004635E5">
        <w:rPr>
          <w:rFonts w:eastAsia="Batang"/>
          <w:sz w:val="22"/>
          <w:szCs w:val="22"/>
          <w:lang w:val="en-NZ" w:eastAsia="ko-KR"/>
        </w:rPr>
        <w:t>collect and provide operational-</w:t>
      </w:r>
      <w:r w:rsidR="00566C68" w:rsidRPr="004635E5">
        <w:rPr>
          <w:rFonts w:eastAsia="Batang"/>
          <w:sz w:val="22"/>
          <w:szCs w:val="22"/>
          <w:lang w:val="en-NZ" w:eastAsia="ko-KR"/>
        </w:rPr>
        <w:t>level data to inform assessments, as well as undertake studies to characteri</w:t>
      </w:r>
      <w:r w:rsidR="00270656" w:rsidRPr="004635E5">
        <w:rPr>
          <w:rFonts w:eastAsia="Batang"/>
          <w:sz w:val="22"/>
          <w:szCs w:val="22"/>
          <w:lang w:val="en-NZ" w:eastAsia="ko-KR"/>
        </w:rPr>
        <w:t>z</w:t>
      </w:r>
      <w:r w:rsidR="00566C68" w:rsidRPr="004635E5">
        <w:rPr>
          <w:rFonts w:eastAsia="Batang"/>
          <w:sz w:val="22"/>
          <w:szCs w:val="22"/>
          <w:lang w:val="en-NZ" w:eastAsia="ko-KR"/>
        </w:rPr>
        <w:t xml:space="preserve">e stock structure, and ensure that the SC is provided with the </w:t>
      </w:r>
      <w:r w:rsidR="00270656" w:rsidRPr="004635E5">
        <w:rPr>
          <w:rFonts w:eastAsia="Batang"/>
          <w:sz w:val="22"/>
          <w:szCs w:val="22"/>
          <w:lang w:val="en-NZ" w:eastAsia="ko-KR"/>
        </w:rPr>
        <w:t xml:space="preserve">needed </w:t>
      </w:r>
      <w:r w:rsidR="00566C68" w:rsidRPr="004635E5">
        <w:rPr>
          <w:rFonts w:eastAsia="Batang"/>
          <w:sz w:val="22"/>
          <w:szCs w:val="22"/>
          <w:lang w:val="en-NZ" w:eastAsia="ko-KR"/>
        </w:rPr>
        <w:t>information to provide reliable advice to the Commission.</w:t>
      </w:r>
    </w:p>
    <w:p w14:paraId="3746B95B" w14:textId="77777777" w:rsidR="00270656" w:rsidRPr="004635E5" w:rsidRDefault="00270656" w:rsidP="006633A8">
      <w:pPr>
        <w:autoSpaceDE w:val="0"/>
        <w:autoSpaceDN w:val="0"/>
        <w:adjustRightInd w:val="0"/>
        <w:snapToGrid w:val="0"/>
        <w:jc w:val="both"/>
        <w:rPr>
          <w:rFonts w:eastAsia="Batang"/>
          <w:sz w:val="22"/>
          <w:szCs w:val="22"/>
          <w:lang w:val="en-NZ" w:eastAsia="ko-KR"/>
        </w:rPr>
      </w:pPr>
    </w:p>
    <w:p w14:paraId="2F419859" w14:textId="77777777" w:rsidR="00771634" w:rsidRPr="004635E5" w:rsidRDefault="00D5018D"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The </w:t>
      </w:r>
      <w:r w:rsidR="002E39E9" w:rsidRPr="004635E5">
        <w:rPr>
          <w:rFonts w:eastAsia="Batang"/>
          <w:sz w:val="22"/>
          <w:szCs w:val="22"/>
          <w:lang w:val="en-NZ" w:eastAsia="ko-KR"/>
        </w:rPr>
        <w:t>theme convener</w:t>
      </w:r>
      <w:r w:rsidRPr="004635E5">
        <w:rPr>
          <w:rFonts w:eastAsia="Batang"/>
          <w:sz w:val="22"/>
          <w:szCs w:val="22"/>
          <w:lang w:val="en-NZ" w:eastAsia="ko-KR"/>
        </w:rPr>
        <w:t xml:space="preserve"> confirmed that </w:t>
      </w:r>
      <w:r w:rsidR="00771634" w:rsidRPr="004635E5">
        <w:rPr>
          <w:rFonts w:eastAsia="Batang"/>
          <w:sz w:val="22"/>
          <w:szCs w:val="22"/>
          <w:lang w:val="en-NZ" w:eastAsia="ko-KR"/>
        </w:rPr>
        <w:t xml:space="preserve">more </w:t>
      </w:r>
      <w:r w:rsidRPr="004635E5">
        <w:rPr>
          <w:rFonts w:eastAsia="Batang"/>
          <w:sz w:val="22"/>
          <w:szCs w:val="22"/>
          <w:lang w:val="en-NZ" w:eastAsia="ko-KR"/>
        </w:rPr>
        <w:t xml:space="preserve">information was </w:t>
      </w:r>
      <w:r w:rsidR="00771634" w:rsidRPr="004635E5">
        <w:rPr>
          <w:rFonts w:eastAsia="Batang"/>
          <w:sz w:val="22"/>
          <w:szCs w:val="22"/>
          <w:lang w:val="en-NZ" w:eastAsia="ko-KR"/>
        </w:rPr>
        <w:t xml:space="preserve">available, </w:t>
      </w:r>
      <w:r w:rsidR="00270656" w:rsidRPr="004635E5">
        <w:rPr>
          <w:rFonts w:eastAsia="Batang"/>
          <w:sz w:val="22"/>
          <w:szCs w:val="22"/>
          <w:lang w:val="en-NZ" w:eastAsia="ko-KR"/>
        </w:rPr>
        <w:t xml:space="preserve">and </w:t>
      </w:r>
      <w:r w:rsidRPr="004635E5">
        <w:rPr>
          <w:rFonts w:eastAsia="Batang"/>
          <w:sz w:val="22"/>
          <w:szCs w:val="22"/>
          <w:lang w:val="en-NZ" w:eastAsia="ko-KR"/>
        </w:rPr>
        <w:t xml:space="preserve">that the </w:t>
      </w:r>
      <w:r w:rsidR="00270656" w:rsidRPr="004635E5">
        <w:rPr>
          <w:rFonts w:eastAsia="Batang"/>
          <w:sz w:val="22"/>
          <w:szCs w:val="22"/>
          <w:lang w:val="en-NZ" w:eastAsia="ko-KR"/>
        </w:rPr>
        <w:t xml:space="preserve">ISC </w:t>
      </w:r>
      <w:r w:rsidR="00656FD8" w:rsidRPr="004635E5">
        <w:rPr>
          <w:rFonts w:eastAsia="Batang"/>
          <w:sz w:val="22"/>
          <w:szCs w:val="22"/>
          <w:lang w:val="en-NZ" w:eastAsia="ko-KR"/>
        </w:rPr>
        <w:t>stock assessment</w:t>
      </w:r>
      <w:r w:rsidRPr="004635E5">
        <w:rPr>
          <w:rFonts w:eastAsia="Batang"/>
          <w:sz w:val="22"/>
          <w:szCs w:val="22"/>
          <w:lang w:val="en-NZ" w:eastAsia="ko-KR"/>
        </w:rPr>
        <w:t xml:space="preserve"> would examine catches by Vietnam and Indonesia, and include</w:t>
      </w:r>
      <w:r w:rsidR="00375849">
        <w:rPr>
          <w:rFonts w:eastAsia="Batang" w:hint="eastAsia"/>
          <w:sz w:val="22"/>
          <w:szCs w:val="22"/>
          <w:lang w:val="en-NZ" w:eastAsia="ko-KR"/>
        </w:rPr>
        <w:t>s</w:t>
      </w:r>
      <w:r w:rsidRPr="004635E5">
        <w:rPr>
          <w:rFonts w:eastAsia="Batang"/>
          <w:sz w:val="22"/>
          <w:szCs w:val="22"/>
          <w:lang w:val="en-NZ" w:eastAsia="ko-KR"/>
        </w:rPr>
        <w:t xml:space="preserve"> these data in the </w:t>
      </w:r>
      <w:r w:rsidR="00656FD8" w:rsidRPr="004635E5">
        <w:rPr>
          <w:rFonts w:eastAsia="Batang"/>
          <w:sz w:val="22"/>
          <w:szCs w:val="22"/>
          <w:lang w:val="en-NZ" w:eastAsia="ko-KR"/>
        </w:rPr>
        <w:t>stock assessment</w:t>
      </w:r>
      <w:r w:rsidRPr="004635E5">
        <w:rPr>
          <w:rFonts w:eastAsia="Batang"/>
          <w:sz w:val="22"/>
          <w:szCs w:val="22"/>
          <w:lang w:val="en-NZ" w:eastAsia="ko-KR"/>
        </w:rPr>
        <w:t xml:space="preserve"> if present in the </w:t>
      </w:r>
      <w:r w:rsidR="00771634" w:rsidRPr="004635E5">
        <w:rPr>
          <w:rFonts w:eastAsia="Batang"/>
          <w:sz w:val="22"/>
          <w:szCs w:val="22"/>
          <w:lang w:val="en-NZ" w:eastAsia="ko-KR"/>
        </w:rPr>
        <w:t>WCPO database</w:t>
      </w:r>
      <w:r w:rsidRPr="004635E5">
        <w:rPr>
          <w:rFonts w:eastAsia="Batang"/>
          <w:sz w:val="22"/>
          <w:szCs w:val="22"/>
          <w:lang w:val="en-NZ" w:eastAsia="ko-KR"/>
        </w:rPr>
        <w:t>.</w:t>
      </w:r>
    </w:p>
    <w:p w14:paraId="027E6255" w14:textId="77777777" w:rsidR="00270656" w:rsidRPr="004635E5" w:rsidRDefault="00270656" w:rsidP="006633A8">
      <w:pPr>
        <w:autoSpaceDE w:val="0"/>
        <w:autoSpaceDN w:val="0"/>
        <w:adjustRightInd w:val="0"/>
        <w:snapToGrid w:val="0"/>
        <w:jc w:val="both"/>
        <w:rPr>
          <w:rFonts w:eastAsia="Batang"/>
          <w:sz w:val="22"/>
          <w:szCs w:val="22"/>
          <w:lang w:val="en-NZ" w:eastAsia="ko-KR"/>
        </w:rPr>
      </w:pPr>
    </w:p>
    <w:p w14:paraId="458EFBBE" w14:textId="77777777" w:rsidR="0005624B" w:rsidRPr="004635E5" w:rsidRDefault="00D5018D"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 xml:space="preserve">Palau, on behalf of FFA members, </w:t>
      </w:r>
      <w:r w:rsidR="00566C68" w:rsidRPr="004635E5">
        <w:rPr>
          <w:rFonts w:eastAsia="Batang"/>
          <w:sz w:val="22"/>
          <w:szCs w:val="22"/>
          <w:lang w:val="en-NZ" w:eastAsia="ko-KR"/>
        </w:rPr>
        <w:t>note</w:t>
      </w:r>
      <w:r w:rsidRPr="004635E5">
        <w:rPr>
          <w:rFonts w:eastAsia="Batang"/>
          <w:sz w:val="22"/>
          <w:szCs w:val="22"/>
          <w:lang w:val="en-NZ" w:eastAsia="ko-KR"/>
        </w:rPr>
        <w:t>d</w:t>
      </w:r>
      <w:r w:rsidR="00566C68" w:rsidRPr="004635E5">
        <w:rPr>
          <w:rFonts w:eastAsia="Batang"/>
          <w:sz w:val="22"/>
          <w:szCs w:val="22"/>
          <w:lang w:val="en-NZ" w:eastAsia="ko-KR"/>
        </w:rPr>
        <w:t xml:space="preserve"> that a new assessment for </w:t>
      </w:r>
      <w:r w:rsidR="00270656" w:rsidRPr="004635E5">
        <w:rPr>
          <w:rFonts w:eastAsia="Batang"/>
          <w:sz w:val="22"/>
          <w:szCs w:val="22"/>
          <w:lang w:val="en-NZ" w:eastAsia="ko-KR"/>
        </w:rPr>
        <w:t>n</w:t>
      </w:r>
      <w:r w:rsidR="00566C68" w:rsidRPr="004635E5">
        <w:rPr>
          <w:rFonts w:eastAsia="Batang"/>
          <w:sz w:val="22"/>
          <w:szCs w:val="22"/>
          <w:lang w:val="en-NZ" w:eastAsia="ko-KR"/>
        </w:rPr>
        <w:t xml:space="preserve">orthwest Pacific striped marlin </w:t>
      </w:r>
      <w:r w:rsidR="00270656" w:rsidRPr="004635E5">
        <w:rPr>
          <w:rFonts w:eastAsia="Batang"/>
          <w:sz w:val="22"/>
          <w:szCs w:val="22"/>
          <w:lang w:val="en-NZ" w:eastAsia="ko-KR"/>
        </w:rPr>
        <w:t xml:space="preserve">was </w:t>
      </w:r>
      <w:r w:rsidR="00566C68" w:rsidRPr="004635E5">
        <w:rPr>
          <w:rFonts w:eastAsia="Batang"/>
          <w:sz w:val="22"/>
          <w:szCs w:val="22"/>
          <w:lang w:val="en-NZ" w:eastAsia="ko-KR"/>
        </w:rPr>
        <w:t>schedule</w:t>
      </w:r>
      <w:r w:rsidR="00270656" w:rsidRPr="004635E5">
        <w:rPr>
          <w:rFonts w:eastAsia="Batang"/>
          <w:sz w:val="22"/>
          <w:szCs w:val="22"/>
          <w:lang w:val="en-NZ" w:eastAsia="ko-KR"/>
        </w:rPr>
        <w:t>d</w:t>
      </w:r>
      <w:r w:rsidR="00566C68" w:rsidRPr="004635E5">
        <w:rPr>
          <w:rFonts w:eastAsia="Batang"/>
          <w:sz w:val="22"/>
          <w:szCs w:val="22"/>
          <w:lang w:val="en-NZ" w:eastAsia="ko-KR"/>
        </w:rPr>
        <w:t xml:space="preserve"> for 2019, and given the lack of more recent information, suggest</w:t>
      </w:r>
      <w:r w:rsidR="00270656" w:rsidRPr="004635E5">
        <w:rPr>
          <w:rFonts w:eastAsia="Batang"/>
          <w:sz w:val="22"/>
          <w:szCs w:val="22"/>
          <w:lang w:val="en-NZ" w:eastAsia="ko-KR"/>
        </w:rPr>
        <w:t>ed</w:t>
      </w:r>
      <w:r w:rsidR="00566C68" w:rsidRPr="004635E5">
        <w:rPr>
          <w:rFonts w:eastAsia="Batang"/>
          <w:sz w:val="22"/>
          <w:szCs w:val="22"/>
          <w:lang w:val="en-NZ" w:eastAsia="ko-KR"/>
        </w:rPr>
        <w:t xml:space="preserve"> that SC await the outcomes of that assessment. In addition, FFA members suggest</w:t>
      </w:r>
      <w:r w:rsidR="00270656" w:rsidRPr="004635E5">
        <w:rPr>
          <w:rFonts w:eastAsia="Batang"/>
          <w:sz w:val="22"/>
          <w:szCs w:val="22"/>
          <w:lang w:val="en-NZ" w:eastAsia="ko-KR"/>
        </w:rPr>
        <w:t>ed</w:t>
      </w:r>
      <w:r w:rsidR="00566C68" w:rsidRPr="004635E5">
        <w:rPr>
          <w:rFonts w:eastAsia="Batang"/>
          <w:sz w:val="22"/>
          <w:szCs w:val="22"/>
          <w:lang w:val="en-NZ" w:eastAsia="ko-KR"/>
        </w:rPr>
        <w:t xml:space="preserve"> that a spatially disaggregated model be used, and like the previous assessment use the regional structure from the 2007 assessment but omit region 5 when considering this stock as a northern stock, as there </w:t>
      </w:r>
      <w:r w:rsidR="00270656" w:rsidRPr="004635E5">
        <w:rPr>
          <w:rFonts w:eastAsia="Batang"/>
          <w:sz w:val="22"/>
          <w:szCs w:val="22"/>
          <w:lang w:val="en-NZ" w:eastAsia="ko-KR"/>
        </w:rPr>
        <w:t xml:space="preserve">was </w:t>
      </w:r>
      <w:r w:rsidR="00566C68" w:rsidRPr="004635E5">
        <w:rPr>
          <w:rFonts w:eastAsia="Batang"/>
          <w:sz w:val="22"/>
          <w:szCs w:val="22"/>
          <w:lang w:val="en-NZ" w:eastAsia="ko-KR"/>
        </w:rPr>
        <w:t>some evidence that the stock structure in the east Pacific crosses the equator but it may not in the west.</w:t>
      </w:r>
      <w:r w:rsidR="00270656" w:rsidRPr="004635E5">
        <w:rPr>
          <w:rFonts w:eastAsia="Batang"/>
          <w:sz w:val="22"/>
          <w:szCs w:val="22"/>
          <w:lang w:val="en-NZ" w:eastAsia="ko-KR"/>
        </w:rPr>
        <w:t xml:space="preserve"> </w:t>
      </w:r>
    </w:p>
    <w:p w14:paraId="195C8FF4" w14:textId="77777777" w:rsidR="00270656" w:rsidRPr="004635E5" w:rsidRDefault="00270656" w:rsidP="006633A8">
      <w:pPr>
        <w:autoSpaceDE w:val="0"/>
        <w:autoSpaceDN w:val="0"/>
        <w:adjustRightInd w:val="0"/>
        <w:snapToGrid w:val="0"/>
        <w:jc w:val="both"/>
        <w:rPr>
          <w:rFonts w:eastAsia="Batang"/>
          <w:sz w:val="22"/>
          <w:szCs w:val="22"/>
          <w:lang w:val="en-NZ" w:eastAsia="ko-KR"/>
        </w:rPr>
      </w:pPr>
    </w:p>
    <w:p w14:paraId="0F0B4BA6" w14:textId="77777777" w:rsidR="0005624B" w:rsidRPr="004635E5" w:rsidRDefault="0005624B" w:rsidP="00580EA4">
      <w:pPr>
        <w:pStyle w:val="SC3"/>
        <w:numPr>
          <w:ilvl w:val="3"/>
          <w:numId w:val="161"/>
        </w:numPr>
        <w:spacing w:after="0"/>
        <w:rPr>
          <w:rFonts w:eastAsia="Batang"/>
          <w:lang w:eastAsia="ko-KR"/>
        </w:rPr>
      </w:pPr>
      <w:r w:rsidRPr="004635E5">
        <w:rPr>
          <w:rFonts w:eastAsia="Batang"/>
          <w:lang w:eastAsia="ko-KR"/>
        </w:rPr>
        <w:t>Provision of scientific information</w:t>
      </w:r>
    </w:p>
    <w:p w14:paraId="3F61E823" w14:textId="77777777" w:rsidR="009241FB" w:rsidRPr="004635E5" w:rsidRDefault="009241FB" w:rsidP="006633A8">
      <w:pPr>
        <w:pStyle w:val="SC3"/>
        <w:numPr>
          <w:ilvl w:val="0"/>
          <w:numId w:val="0"/>
        </w:numPr>
        <w:spacing w:after="0"/>
        <w:ind w:left="1800"/>
        <w:rPr>
          <w:rFonts w:eastAsia="Batang"/>
          <w:lang w:eastAsia="ko-KR"/>
        </w:rPr>
      </w:pPr>
    </w:p>
    <w:p w14:paraId="2A134F79" w14:textId="77777777" w:rsidR="0005624B" w:rsidRPr="004635E5" w:rsidRDefault="0005624B" w:rsidP="00580EA4">
      <w:pPr>
        <w:pStyle w:val="SCa"/>
        <w:numPr>
          <w:ilvl w:val="5"/>
          <w:numId w:val="18"/>
        </w:numPr>
        <w:tabs>
          <w:tab w:val="clear" w:pos="1080"/>
        </w:tabs>
        <w:spacing w:after="0"/>
        <w:ind w:left="0" w:firstLine="0"/>
        <w:rPr>
          <w:lang w:val="en-NZ"/>
        </w:rPr>
      </w:pPr>
      <w:r w:rsidRPr="004635E5">
        <w:rPr>
          <w:lang w:val="en-NZ"/>
        </w:rPr>
        <w:t>Status and trends</w:t>
      </w:r>
      <w:r w:rsidR="00EC2690" w:rsidRPr="004635E5">
        <w:rPr>
          <w:lang w:val="en-NZ"/>
        </w:rPr>
        <w:t xml:space="preserve"> </w:t>
      </w:r>
    </w:p>
    <w:p w14:paraId="41DC96BF" w14:textId="77777777" w:rsidR="00A61B2B" w:rsidRPr="004635E5" w:rsidRDefault="00A61B2B" w:rsidP="006633A8">
      <w:pPr>
        <w:pStyle w:val="SCa"/>
        <w:spacing w:after="0"/>
        <w:rPr>
          <w:lang w:val="en-NZ"/>
        </w:rPr>
      </w:pPr>
    </w:p>
    <w:p w14:paraId="468FE34B" w14:textId="77777777" w:rsidR="00270656" w:rsidRPr="004635E5" w:rsidRDefault="00270656" w:rsidP="00580EA4">
      <w:pPr>
        <w:numPr>
          <w:ilvl w:val="0"/>
          <w:numId w:val="18"/>
        </w:numPr>
        <w:autoSpaceDE w:val="0"/>
        <w:autoSpaceDN w:val="0"/>
        <w:adjustRightInd w:val="0"/>
        <w:snapToGrid w:val="0"/>
        <w:ind w:left="0" w:firstLine="0"/>
        <w:jc w:val="both"/>
        <w:rPr>
          <w:rFonts w:eastAsia="Batang"/>
          <w:b/>
          <w:sz w:val="22"/>
          <w:szCs w:val="22"/>
          <w:lang w:val="en-NZ" w:eastAsia="ko-KR"/>
        </w:rPr>
      </w:pPr>
      <w:r w:rsidRPr="004635E5">
        <w:rPr>
          <w:rFonts w:eastAsia="Batang"/>
          <w:b/>
          <w:sz w:val="22"/>
          <w:szCs w:val="22"/>
          <w:lang w:val="en-NZ" w:eastAsia="ko-KR"/>
        </w:rPr>
        <w:t>SC14 noted that no stock assessments were conducted for North Pacific striped marlin in 2018. Therefore, the stock status descriptions from SC11 are still current for North Pacific striped marlin. Updated information on catches was not compiled for and reviewed by SC14.</w:t>
      </w:r>
    </w:p>
    <w:p w14:paraId="190FA025" w14:textId="77777777" w:rsidR="00270656" w:rsidRPr="004635E5" w:rsidRDefault="00270656" w:rsidP="006633A8">
      <w:pPr>
        <w:autoSpaceDE w:val="0"/>
        <w:autoSpaceDN w:val="0"/>
        <w:adjustRightInd w:val="0"/>
        <w:snapToGrid w:val="0"/>
        <w:jc w:val="both"/>
        <w:rPr>
          <w:rFonts w:eastAsia="Batang"/>
          <w:sz w:val="22"/>
          <w:szCs w:val="22"/>
          <w:lang w:val="en-NZ" w:eastAsia="ko-KR"/>
        </w:rPr>
      </w:pPr>
    </w:p>
    <w:p w14:paraId="077F7480" w14:textId="77777777" w:rsidR="00270656" w:rsidRPr="004635E5" w:rsidRDefault="00270656" w:rsidP="00580EA4">
      <w:pPr>
        <w:numPr>
          <w:ilvl w:val="0"/>
          <w:numId w:val="18"/>
        </w:numPr>
        <w:autoSpaceDE w:val="0"/>
        <w:autoSpaceDN w:val="0"/>
        <w:adjustRightInd w:val="0"/>
        <w:snapToGrid w:val="0"/>
        <w:ind w:left="0" w:firstLine="0"/>
        <w:jc w:val="both"/>
        <w:rPr>
          <w:rFonts w:eastAsia="Batang"/>
          <w:b/>
          <w:sz w:val="22"/>
          <w:szCs w:val="22"/>
          <w:lang w:val="en-NZ" w:eastAsia="ko-KR"/>
        </w:rPr>
      </w:pPr>
      <w:r w:rsidRPr="004635E5">
        <w:rPr>
          <w:rFonts w:eastAsia="Batang"/>
          <w:b/>
          <w:sz w:val="22"/>
          <w:szCs w:val="22"/>
          <w:lang w:val="en-NZ" w:eastAsia="ko-KR"/>
        </w:rPr>
        <w:t>To emphasize the importance of developing a stock rebuilding plan for North Pacific striped marlin, SC14 reiterated the ISC15 stock status information, excerpted from SC11:</w:t>
      </w:r>
    </w:p>
    <w:p w14:paraId="3FA509CC" w14:textId="77777777" w:rsidR="00270656" w:rsidRPr="004635E5" w:rsidRDefault="00270656" w:rsidP="006633A8">
      <w:pPr>
        <w:pStyle w:val="Heading3"/>
        <w:adjustRightInd w:val="0"/>
        <w:snapToGrid w:val="0"/>
        <w:spacing w:before="0"/>
        <w:ind w:left="720"/>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 xml:space="preserve">“Estimates of population biomass of the Western and Central North Pacific (WCNPO) striped marlin stock (Kajikia audax) exhibit a long-term decline (Table </w:t>
      </w:r>
      <w:r w:rsidR="00C573EF" w:rsidRPr="004635E5">
        <w:rPr>
          <w:rFonts w:ascii="Times New Roman" w:hAnsi="Times New Roman" w:cs="Times New Roman"/>
          <w:b w:val="0"/>
          <w:color w:val="auto"/>
          <w:sz w:val="22"/>
          <w:szCs w:val="22"/>
        </w:rPr>
        <w:t>S</w:t>
      </w:r>
      <w:r w:rsidRPr="004635E5">
        <w:rPr>
          <w:rFonts w:ascii="Times New Roman" w:hAnsi="Times New Roman" w:cs="Times New Roman"/>
          <w:b w:val="0"/>
          <w:color w:val="auto"/>
          <w:sz w:val="22"/>
          <w:szCs w:val="22"/>
        </w:rPr>
        <w:t>1). Population biomass (age-1 and older) averaged roughly 20,513 mt, or 46% of unfished biomass during 1975-1979, the first 5 years of the assessment time frame, and declined to 6,819 mt, or 15% of unfished biomass in 2013. Spawning stock biomass is estimated to be 1,094 mt in 2013 (39% of SSB</w:t>
      </w:r>
      <w:r w:rsidRPr="004635E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the spawning stock biomass to produce MSY). Fishing mortality on the stock (average F on ages 3 and older) is currently high and averaged roughly F =0.94 during 2010-2012, or 49% above F</w:t>
      </w:r>
      <w:r w:rsidRPr="004635E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The predicted value of the spawning potential ratio (SPR, the predicted spawning output at current F as a fraction of unfished spawning output) is currently SPR</w:t>
      </w:r>
      <w:r w:rsidRPr="004635E5">
        <w:rPr>
          <w:rFonts w:ascii="Times New Roman" w:hAnsi="Times New Roman" w:cs="Times New Roman"/>
          <w:b w:val="0"/>
          <w:color w:val="auto"/>
          <w:sz w:val="22"/>
          <w:szCs w:val="22"/>
          <w:vertAlign w:val="subscript"/>
        </w:rPr>
        <w:t>2010-2012</w:t>
      </w:r>
      <w:r w:rsidRPr="004635E5">
        <w:rPr>
          <w:rFonts w:ascii="Times New Roman" w:hAnsi="Times New Roman" w:cs="Times New Roman"/>
          <w:b w:val="0"/>
          <w:color w:val="auto"/>
          <w:sz w:val="22"/>
          <w:szCs w:val="22"/>
        </w:rPr>
        <w:t xml:space="preserve"> = 12% which is 33% below the level of SPR required to produce MSY. Recruitment averaged about 308 thousand recruits during 1994-2011, which was 25% below the 1975-2013 average. No target or limit reference points have been established for the WCNPO striped marlin stock under the auspices of the WCPFC. </w:t>
      </w:r>
    </w:p>
    <w:p w14:paraId="3975B2E6" w14:textId="77777777" w:rsidR="00270656" w:rsidRPr="004635E5" w:rsidRDefault="00270656" w:rsidP="006633A8">
      <w:pPr>
        <w:pStyle w:val="BodyText"/>
        <w:adjustRightInd w:val="0"/>
        <w:snapToGrid w:val="0"/>
        <w:ind w:left="720"/>
        <w:rPr>
          <w:b/>
          <w:i/>
          <w:sz w:val="22"/>
          <w:szCs w:val="22"/>
        </w:rPr>
      </w:pPr>
    </w:p>
    <w:p w14:paraId="735CE895" w14:textId="77777777" w:rsidR="00270656" w:rsidRPr="004635E5" w:rsidRDefault="00270656" w:rsidP="006633A8">
      <w:pPr>
        <w:pStyle w:val="Heading3"/>
        <w:adjustRightInd w:val="0"/>
        <w:snapToGrid w:val="0"/>
        <w:spacing w:before="0"/>
        <w:ind w:left="720" w:right="221"/>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The WCNPO striped marlin stock is expected to be highly productive due to its rapid growth and high resilience to reductions in spawning potential. The status of the stock is highly dependent on the magnitude of recruitment, which has been below its long-term average since 2007, with the exception of 2010 (Table S1). Changes in recent size composition data in comparison to the previous assessment resulted in changes in fishery selectivity estimates and also affected recruitment estimates. This, in turn, affected the scaling of biomass and fishing mortality to reference levels.</w:t>
      </w:r>
    </w:p>
    <w:p w14:paraId="4E53A3D3" w14:textId="77777777" w:rsidR="00A61B2B" w:rsidRPr="004635E5" w:rsidRDefault="00A61B2B" w:rsidP="006633A8">
      <w:pPr>
        <w:adjustRightInd w:val="0"/>
        <w:snapToGrid w:val="0"/>
        <w:rPr>
          <w:sz w:val="22"/>
          <w:szCs w:val="22"/>
        </w:rPr>
      </w:pPr>
    </w:p>
    <w:p w14:paraId="79C0ADB1" w14:textId="77777777" w:rsidR="00270656" w:rsidRPr="004635E5" w:rsidRDefault="00270656" w:rsidP="006633A8">
      <w:pPr>
        <w:pStyle w:val="BodyText"/>
        <w:adjustRightInd w:val="0"/>
        <w:snapToGrid w:val="0"/>
        <w:ind w:left="120" w:right="117"/>
        <w:jc w:val="both"/>
        <w:rPr>
          <w:sz w:val="22"/>
          <w:szCs w:val="22"/>
        </w:rPr>
      </w:pPr>
      <w:r w:rsidRPr="004635E5">
        <w:rPr>
          <w:sz w:val="22"/>
          <w:szCs w:val="22"/>
        </w:rPr>
        <w:t xml:space="preserve">Table S1: Reported annual values of catch (mt), </w:t>
      </w:r>
      <w:r w:rsidR="00375849" w:rsidRPr="004635E5">
        <w:rPr>
          <w:sz w:val="22"/>
          <w:szCs w:val="22"/>
        </w:rPr>
        <w:t>population</w:t>
      </w:r>
      <w:r w:rsidRPr="004635E5">
        <w:rPr>
          <w:sz w:val="22"/>
          <w:szCs w:val="22"/>
        </w:rPr>
        <w:t xml:space="preserve"> biomass (mt), spawning stock biomass (mt), </w:t>
      </w:r>
      <w:r w:rsidRPr="004635E5">
        <w:rPr>
          <w:position w:val="2"/>
          <w:sz w:val="22"/>
          <w:szCs w:val="22"/>
        </w:rPr>
        <w:t>relative</w:t>
      </w:r>
      <w:r w:rsidRPr="004635E5">
        <w:rPr>
          <w:spacing w:val="-3"/>
          <w:position w:val="2"/>
          <w:sz w:val="22"/>
          <w:szCs w:val="22"/>
        </w:rPr>
        <w:t xml:space="preserve"> spawning stock </w:t>
      </w:r>
      <w:r w:rsidRPr="004635E5">
        <w:rPr>
          <w:position w:val="2"/>
          <w:sz w:val="22"/>
          <w:szCs w:val="22"/>
        </w:rPr>
        <w:t>biomass</w:t>
      </w:r>
      <w:r w:rsidRPr="004635E5">
        <w:rPr>
          <w:spacing w:val="-3"/>
          <w:position w:val="2"/>
          <w:sz w:val="22"/>
          <w:szCs w:val="22"/>
        </w:rPr>
        <w:t xml:space="preserve"> </w:t>
      </w:r>
      <w:r w:rsidRPr="004635E5">
        <w:rPr>
          <w:i/>
          <w:position w:val="2"/>
          <w:sz w:val="22"/>
          <w:szCs w:val="22"/>
        </w:rPr>
        <w:t>SSB/SSB</w:t>
      </w:r>
      <w:r w:rsidRPr="004635E5">
        <w:rPr>
          <w:i/>
          <w:sz w:val="22"/>
          <w:szCs w:val="22"/>
        </w:rPr>
        <w:t>MSY</w:t>
      </w:r>
      <w:r w:rsidRPr="004635E5">
        <w:rPr>
          <w:position w:val="2"/>
          <w:sz w:val="22"/>
          <w:szCs w:val="22"/>
        </w:rPr>
        <w:t>),</w:t>
      </w:r>
      <w:r w:rsidRPr="004635E5">
        <w:rPr>
          <w:spacing w:val="-3"/>
          <w:position w:val="2"/>
          <w:sz w:val="22"/>
          <w:szCs w:val="22"/>
        </w:rPr>
        <w:t xml:space="preserve"> recruitment (000s), </w:t>
      </w:r>
      <w:r w:rsidRPr="004635E5">
        <w:rPr>
          <w:position w:val="2"/>
          <w:sz w:val="22"/>
          <w:szCs w:val="22"/>
        </w:rPr>
        <w:t>fishing mortality,</w:t>
      </w:r>
      <w:r w:rsidRPr="004635E5">
        <w:rPr>
          <w:spacing w:val="-6"/>
          <w:position w:val="2"/>
          <w:sz w:val="22"/>
          <w:szCs w:val="22"/>
        </w:rPr>
        <w:t xml:space="preserve"> </w:t>
      </w:r>
      <w:r w:rsidRPr="004635E5">
        <w:rPr>
          <w:position w:val="2"/>
          <w:sz w:val="22"/>
          <w:szCs w:val="22"/>
        </w:rPr>
        <w:t>relative</w:t>
      </w:r>
      <w:r w:rsidRPr="004635E5">
        <w:rPr>
          <w:spacing w:val="-5"/>
          <w:position w:val="2"/>
          <w:sz w:val="22"/>
          <w:szCs w:val="22"/>
        </w:rPr>
        <w:t xml:space="preserve"> </w:t>
      </w:r>
      <w:r w:rsidRPr="004635E5">
        <w:rPr>
          <w:position w:val="2"/>
          <w:sz w:val="22"/>
          <w:szCs w:val="22"/>
        </w:rPr>
        <w:t>fishing mortality</w:t>
      </w:r>
      <w:r w:rsidRPr="004635E5">
        <w:rPr>
          <w:spacing w:val="-5"/>
          <w:position w:val="2"/>
          <w:sz w:val="22"/>
          <w:szCs w:val="22"/>
        </w:rPr>
        <w:t xml:space="preserve"> </w:t>
      </w:r>
      <w:r w:rsidRPr="004635E5">
        <w:rPr>
          <w:position w:val="2"/>
          <w:sz w:val="22"/>
          <w:szCs w:val="22"/>
        </w:rPr>
        <w:t>(</w:t>
      </w:r>
      <w:r w:rsidRPr="004635E5">
        <w:rPr>
          <w:i/>
          <w:position w:val="2"/>
          <w:sz w:val="22"/>
          <w:szCs w:val="22"/>
        </w:rPr>
        <w:t>F/F</w:t>
      </w:r>
      <w:r w:rsidRPr="004E1B05">
        <w:rPr>
          <w:i/>
          <w:sz w:val="22"/>
          <w:szCs w:val="22"/>
          <w:vertAlign w:val="subscript"/>
        </w:rPr>
        <w:t>MSY</w:t>
      </w:r>
      <w:r w:rsidRPr="004635E5">
        <w:rPr>
          <w:position w:val="2"/>
          <w:sz w:val="22"/>
          <w:szCs w:val="22"/>
        </w:rPr>
        <w:t>),</w:t>
      </w:r>
      <w:r w:rsidRPr="004635E5">
        <w:rPr>
          <w:spacing w:val="-3"/>
          <w:position w:val="2"/>
          <w:sz w:val="22"/>
          <w:szCs w:val="22"/>
        </w:rPr>
        <w:t xml:space="preserve"> exploitation rate, </w:t>
      </w:r>
      <w:r w:rsidRPr="004635E5">
        <w:rPr>
          <w:position w:val="2"/>
          <w:sz w:val="22"/>
          <w:szCs w:val="22"/>
        </w:rPr>
        <w:t>and spawning potential ration for the WCNPO striped marlin stock.</w:t>
      </w:r>
    </w:p>
    <w:tbl>
      <w:tblPr>
        <w:tblW w:w="0" w:type="auto"/>
        <w:tblInd w:w="11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5"/>
        <w:gridCol w:w="735"/>
        <w:gridCol w:w="704"/>
        <w:gridCol w:w="706"/>
        <w:gridCol w:w="706"/>
        <w:gridCol w:w="703"/>
        <w:gridCol w:w="703"/>
        <w:gridCol w:w="673"/>
        <w:gridCol w:w="743"/>
        <w:gridCol w:w="697"/>
        <w:gridCol w:w="682"/>
      </w:tblGrid>
      <w:tr w:rsidR="00270656" w:rsidRPr="004635E5" w14:paraId="32C7C160" w14:textId="77777777" w:rsidTr="00F32B86">
        <w:trPr>
          <w:trHeight w:hRule="exact" w:val="214"/>
        </w:trPr>
        <w:tc>
          <w:tcPr>
            <w:tcW w:w="2305" w:type="dxa"/>
            <w:tcBorders>
              <w:top w:val="single" w:sz="3" w:space="0" w:color="000000"/>
              <w:bottom w:val="single" w:sz="3" w:space="0" w:color="000000"/>
            </w:tcBorders>
            <w:shd w:val="clear" w:color="auto" w:fill="D8D8D8"/>
          </w:tcPr>
          <w:p w14:paraId="6FD4498C" w14:textId="77777777" w:rsidR="00270656" w:rsidRPr="004635E5" w:rsidRDefault="00270656" w:rsidP="006633A8">
            <w:pPr>
              <w:pStyle w:val="TableParagraph"/>
              <w:adjustRightInd w:val="0"/>
              <w:snapToGrid w:val="0"/>
              <w:spacing w:line="240" w:lineRule="auto"/>
              <w:ind w:left="942" w:right="942"/>
              <w:jc w:val="center"/>
              <w:rPr>
                <w:b/>
              </w:rPr>
            </w:pPr>
            <w:r w:rsidRPr="004635E5">
              <w:rPr>
                <w:b/>
              </w:rPr>
              <w:t>Year</w:t>
            </w:r>
          </w:p>
        </w:tc>
        <w:tc>
          <w:tcPr>
            <w:tcW w:w="735" w:type="dxa"/>
            <w:tcBorders>
              <w:top w:val="single" w:sz="3" w:space="0" w:color="000000"/>
              <w:bottom w:val="single" w:sz="3" w:space="0" w:color="000000"/>
            </w:tcBorders>
            <w:shd w:val="clear" w:color="auto" w:fill="D8D8D8"/>
          </w:tcPr>
          <w:p w14:paraId="3E166F94" w14:textId="77777777" w:rsidR="00270656" w:rsidRPr="004635E5" w:rsidRDefault="00270656" w:rsidP="006633A8">
            <w:pPr>
              <w:pStyle w:val="TableParagraph"/>
              <w:adjustRightInd w:val="0"/>
              <w:snapToGrid w:val="0"/>
              <w:spacing w:line="240" w:lineRule="auto"/>
              <w:ind w:left="169"/>
              <w:rPr>
                <w:b/>
              </w:rPr>
            </w:pPr>
            <w:r w:rsidRPr="004635E5">
              <w:rPr>
                <w:b/>
              </w:rPr>
              <w:t>2007</w:t>
            </w:r>
          </w:p>
        </w:tc>
        <w:tc>
          <w:tcPr>
            <w:tcW w:w="704" w:type="dxa"/>
            <w:tcBorders>
              <w:top w:val="single" w:sz="3" w:space="0" w:color="000000"/>
              <w:bottom w:val="single" w:sz="3" w:space="0" w:color="000000"/>
            </w:tcBorders>
            <w:shd w:val="clear" w:color="auto" w:fill="D8D8D8"/>
          </w:tcPr>
          <w:p w14:paraId="7DC35402" w14:textId="77777777" w:rsidR="00270656" w:rsidRPr="004635E5" w:rsidRDefault="00270656" w:rsidP="006633A8">
            <w:pPr>
              <w:pStyle w:val="TableParagraph"/>
              <w:adjustRightInd w:val="0"/>
              <w:snapToGrid w:val="0"/>
              <w:spacing w:line="240" w:lineRule="auto"/>
              <w:ind w:left="137"/>
              <w:rPr>
                <w:b/>
              </w:rPr>
            </w:pPr>
            <w:r w:rsidRPr="004635E5">
              <w:rPr>
                <w:b/>
              </w:rPr>
              <w:t>2008</w:t>
            </w:r>
          </w:p>
        </w:tc>
        <w:tc>
          <w:tcPr>
            <w:tcW w:w="706" w:type="dxa"/>
            <w:tcBorders>
              <w:top w:val="single" w:sz="3" w:space="0" w:color="000000"/>
              <w:bottom w:val="single" w:sz="3" w:space="0" w:color="000000"/>
            </w:tcBorders>
            <w:shd w:val="clear" w:color="auto" w:fill="D8D8D8"/>
          </w:tcPr>
          <w:p w14:paraId="497AC95C" w14:textId="77777777" w:rsidR="00270656" w:rsidRPr="004635E5" w:rsidRDefault="00270656" w:rsidP="006633A8">
            <w:pPr>
              <w:pStyle w:val="TableParagraph"/>
              <w:adjustRightInd w:val="0"/>
              <w:snapToGrid w:val="0"/>
              <w:spacing w:line="240" w:lineRule="auto"/>
              <w:ind w:right="203"/>
              <w:rPr>
                <w:b/>
              </w:rPr>
            </w:pPr>
            <w:r w:rsidRPr="004635E5">
              <w:rPr>
                <w:b/>
              </w:rPr>
              <w:t>2009</w:t>
            </w:r>
          </w:p>
        </w:tc>
        <w:tc>
          <w:tcPr>
            <w:tcW w:w="706" w:type="dxa"/>
            <w:tcBorders>
              <w:top w:val="single" w:sz="3" w:space="0" w:color="000000"/>
              <w:bottom w:val="single" w:sz="3" w:space="0" w:color="000000"/>
            </w:tcBorders>
            <w:shd w:val="clear" w:color="auto" w:fill="D8D8D8"/>
          </w:tcPr>
          <w:p w14:paraId="068BB959" w14:textId="77777777" w:rsidR="00270656" w:rsidRPr="004635E5" w:rsidRDefault="00270656" w:rsidP="006633A8">
            <w:pPr>
              <w:pStyle w:val="TableParagraph"/>
              <w:adjustRightInd w:val="0"/>
              <w:snapToGrid w:val="0"/>
              <w:spacing w:line="240" w:lineRule="auto"/>
              <w:ind w:left="55" w:right="119"/>
              <w:jc w:val="center"/>
              <w:rPr>
                <w:b/>
              </w:rPr>
            </w:pPr>
            <w:r w:rsidRPr="004635E5">
              <w:rPr>
                <w:b/>
              </w:rPr>
              <w:t>2010</w:t>
            </w:r>
          </w:p>
        </w:tc>
        <w:tc>
          <w:tcPr>
            <w:tcW w:w="703" w:type="dxa"/>
            <w:tcBorders>
              <w:top w:val="single" w:sz="3" w:space="0" w:color="000000"/>
              <w:bottom w:val="single" w:sz="3" w:space="0" w:color="000000"/>
            </w:tcBorders>
            <w:shd w:val="clear" w:color="auto" w:fill="D8D8D8"/>
          </w:tcPr>
          <w:p w14:paraId="39524687" w14:textId="77777777" w:rsidR="00270656" w:rsidRPr="004635E5" w:rsidRDefault="00270656" w:rsidP="006633A8">
            <w:pPr>
              <w:pStyle w:val="TableParagraph"/>
              <w:adjustRightInd w:val="0"/>
              <w:snapToGrid w:val="0"/>
              <w:spacing w:line="240" w:lineRule="auto"/>
              <w:ind w:left="138"/>
              <w:rPr>
                <w:b/>
              </w:rPr>
            </w:pPr>
            <w:r w:rsidRPr="004635E5">
              <w:rPr>
                <w:b/>
              </w:rPr>
              <w:t>2011</w:t>
            </w:r>
          </w:p>
        </w:tc>
        <w:tc>
          <w:tcPr>
            <w:tcW w:w="703" w:type="dxa"/>
            <w:tcBorders>
              <w:top w:val="single" w:sz="3" w:space="0" w:color="000000"/>
              <w:bottom w:val="single" w:sz="3" w:space="0" w:color="000000"/>
            </w:tcBorders>
            <w:shd w:val="clear" w:color="auto" w:fill="D8D8D8"/>
          </w:tcPr>
          <w:p w14:paraId="24686F8D" w14:textId="77777777" w:rsidR="00270656" w:rsidRPr="004635E5" w:rsidRDefault="00270656" w:rsidP="006633A8">
            <w:pPr>
              <w:pStyle w:val="TableParagraph"/>
              <w:adjustRightInd w:val="0"/>
              <w:snapToGrid w:val="0"/>
              <w:spacing w:line="240" w:lineRule="auto"/>
              <w:ind w:left="136"/>
              <w:rPr>
                <w:b/>
              </w:rPr>
            </w:pPr>
            <w:r w:rsidRPr="004635E5">
              <w:rPr>
                <w:b/>
              </w:rPr>
              <w:t>2012</w:t>
            </w:r>
          </w:p>
        </w:tc>
        <w:tc>
          <w:tcPr>
            <w:tcW w:w="673" w:type="dxa"/>
            <w:tcBorders>
              <w:top w:val="single" w:sz="3" w:space="0" w:color="000000"/>
              <w:bottom w:val="single" w:sz="3" w:space="0" w:color="000000"/>
            </w:tcBorders>
            <w:shd w:val="clear" w:color="auto" w:fill="D8D8D8"/>
          </w:tcPr>
          <w:p w14:paraId="558C4B23" w14:textId="77777777" w:rsidR="00270656" w:rsidRPr="004635E5" w:rsidRDefault="00270656" w:rsidP="006633A8">
            <w:pPr>
              <w:pStyle w:val="TableParagraph"/>
              <w:adjustRightInd w:val="0"/>
              <w:snapToGrid w:val="0"/>
              <w:spacing w:line="240" w:lineRule="auto"/>
              <w:ind w:left="138"/>
              <w:rPr>
                <w:b/>
              </w:rPr>
            </w:pPr>
            <w:r w:rsidRPr="004635E5">
              <w:rPr>
                <w:b/>
              </w:rPr>
              <w:t>2013</w:t>
            </w:r>
          </w:p>
        </w:tc>
        <w:tc>
          <w:tcPr>
            <w:tcW w:w="743" w:type="dxa"/>
            <w:tcBorders>
              <w:top w:val="single" w:sz="3" w:space="0" w:color="000000"/>
              <w:bottom w:val="single" w:sz="3" w:space="0" w:color="000000"/>
            </w:tcBorders>
            <w:shd w:val="clear" w:color="auto" w:fill="D8D8D8"/>
          </w:tcPr>
          <w:p w14:paraId="022B7288" w14:textId="77777777" w:rsidR="00270656" w:rsidRPr="004635E5" w:rsidRDefault="00270656" w:rsidP="006633A8">
            <w:pPr>
              <w:pStyle w:val="TableParagraph"/>
              <w:adjustRightInd w:val="0"/>
              <w:snapToGrid w:val="0"/>
              <w:spacing w:line="240" w:lineRule="auto"/>
              <w:ind w:right="135"/>
              <w:rPr>
                <w:b/>
              </w:rPr>
            </w:pPr>
            <w:r w:rsidRPr="004635E5">
              <w:rPr>
                <w:b/>
              </w:rPr>
              <w:t>Mean</w:t>
            </w:r>
            <w:r w:rsidRPr="004635E5">
              <w:rPr>
                <w:b/>
                <w:position w:val="6"/>
              </w:rPr>
              <w:t>1</w:t>
            </w:r>
          </w:p>
        </w:tc>
        <w:tc>
          <w:tcPr>
            <w:tcW w:w="697" w:type="dxa"/>
            <w:tcBorders>
              <w:top w:val="single" w:sz="3" w:space="0" w:color="000000"/>
              <w:bottom w:val="single" w:sz="3" w:space="0" w:color="000000"/>
            </w:tcBorders>
            <w:shd w:val="clear" w:color="auto" w:fill="D8D8D8"/>
          </w:tcPr>
          <w:p w14:paraId="57D585B3" w14:textId="77777777" w:rsidR="00270656" w:rsidRPr="004635E5" w:rsidRDefault="00270656" w:rsidP="006633A8">
            <w:pPr>
              <w:pStyle w:val="TableParagraph"/>
              <w:adjustRightInd w:val="0"/>
              <w:snapToGrid w:val="0"/>
              <w:spacing w:line="240" w:lineRule="auto"/>
              <w:ind w:right="179"/>
              <w:rPr>
                <w:b/>
              </w:rPr>
            </w:pPr>
            <w:r w:rsidRPr="004635E5">
              <w:rPr>
                <w:b/>
              </w:rPr>
              <w:t>Min</w:t>
            </w:r>
            <w:r w:rsidRPr="004635E5">
              <w:rPr>
                <w:b/>
                <w:position w:val="6"/>
              </w:rPr>
              <w:t>1</w:t>
            </w:r>
          </w:p>
        </w:tc>
        <w:tc>
          <w:tcPr>
            <w:tcW w:w="682" w:type="dxa"/>
            <w:tcBorders>
              <w:top w:val="single" w:sz="3" w:space="0" w:color="000000"/>
              <w:bottom w:val="single" w:sz="3" w:space="0" w:color="000000"/>
            </w:tcBorders>
            <w:shd w:val="clear" w:color="auto" w:fill="D8D8D8"/>
          </w:tcPr>
          <w:p w14:paraId="35770A02" w14:textId="77777777" w:rsidR="00270656" w:rsidRPr="004635E5" w:rsidRDefault="00270656" w:rsidP="006633A8">
            <w:pPr>
              <w:pStyle w:val="TableParagraph"/>
              <w:adjustRightInd w:val="0"/>
              <w:snapToGrid w:val="0"/>
              <w:spacing w:line="240" w:lineRule="auto"/>
              <w:ind w:left="67" w:right="83"/>
              <w:jc w:val="center"/>
              <w:rPr>
                <w:b/>
              </w:rPr>
            </w:pPr>
            <w:r w:rsidRPr="004635E5">
              <w:rPr>
                <w:b/>
              </w:rPr>
              <w:t>Max</w:t>
            </w:r>
            <w:r w:rsidRPr="004635E5">
              <w:rPr>
                <w:b/>
                <w:position w:val="6"/>
              </w:rPr>
              <w:t>1</w:t>
            </w:r>
          </w:p>
        </w:tc>
      </w:tr>
      <w:tr w:rsidR="00270656" w:rsidRPr="004635E5" w14:paraId="7BA074FE" w14:textId="77777777" w:rsidTr="00F32B86">
        <w:trPr>
          <w:trHeight w:hRule="exact" w:val="219"/>
        </w:trPr>
        <w:tc>
          <w:tcPr>
            <w:tcW w:w="2305" w:type="dxa"/>
            <w:tcBorders>
              <w:top w:val="single" w:sz="3" w:space="0" w:color="000000"/>
            </w:tcBorders>
          </w:tcPr>
          <w:p w14:paraId="345240C4" w14:textId="77777777" w:rsidR="00270656" w:rsidRPr="004635E5" w:rsidRDefault="00270656" w:rsidP="006633A8">
            <w:pPr>
              <w:pStyle w:val="TableParagraph"/>
              <w:adjustRightInd w:val="0"/>
              <w:snapToGrid w:val="0"/>
              <w:spacing w:line="240" w:lineRule="auto"/>
              <w:ind w:left="107"/>
            </w:pPr>
            <w:r w:rsidRPr="004635E5">
              <w:t>Reported Catch</w:t>
            </w:r>
          </w:p>
        </w:tc>
        <w:tc>
          <w:tcPr>
            <w:tcW w:w="735" w:type="dxa"/>
            <w:tcBorders>
              <w:top w:val="single" w:sz="3" w:space="0" w:color="000000"/>
            </w:tcBorders>
          </w:tcPr>
          <w:p w14:paraId="528B5E38" w14:textId="77777777" w:rsidR="00270656" w:rsidRPr="004635E5" w:rsidRDefault="00270656" w:rsidP="006633A8">
            <w:pPr>
              <w:pStyle w:val="TableParagraph"/>
              <w:adjustRightInd w:val="0"/>
              <w:snapToGrid w:val="0"/>
              <w:spacing w:line="240" w:lineRule="auto"/>
              <w:ind w:right="137"/>
            </w:pPr>
            <w:r w:rsidRPr="004635E5">
              <w:t>3084</w:t>
            </w:r>
          </w:p>
        </w:tc>
        <w:tc>
          <w:tcPr>
            <w:tcW w:w="704" w:type="dxa"/>
            <w:tcBorders>
              <w:top w:val="single" w:sz="3" w:space="0" w:color="000000"/>
            </w:tcBorders>
          </w:tcPr>
          <w:p w14:paraId="47AA5AF7" w14:textId="77777777" w:rsidR="00270656" w:rsidRPr="004635E5" w:rsidRDefault="00270656" w:rsidP="006633A8">
            <w:pPr>
              <w:pStyle w:val="TableParagraph"/>
              <w:adjustRightInd w:val="0"/>
              <w:snapToGrid w:val="0"/>
              <w:spacing w:line="240" w:lineRule="auto"/>
              <w:ind w:right="140"/>
            </w:pPr>
            <w:r w:rsidRPr="004635E5">
              <w:t>3503</w:t>
            </w:r>
          </w:p>
        </w:tc>
        <w:tc>
          <w:tcPr>
            <w:tcW w:w="706" w:type="dxa"/>
            <w:tcBorders>
              <w:top w:val="single" w:sz="3" w:space="0" w:color="000000"/>
            </w:tcBorders>
          </w:tcPr>
          <w:p w14:paraId="6D70A0A7" w14:textId="77777777" w:rsidR="00270656" w:rsidRPr="004635E5" w:rsidRDefault="00270656" w:rsidP="006633A8">
            <w:pPr>
              <w:pStyle w:val="TableParagraph"/>
              <w:adjustRightInd w:val="0"/>
              <w:snapToGrid w:val="0"/>
              <w:spacing w:line="240" w:lineRule="auto"/>
              <w:ind w:right="140"/>
            </w:pPr>
            <w:r w:rsidRPr="004635E5">
              <w:t>2468</w:t>
            </w:r>
          </w:p>
        </w:tc>
        <w:tc>
          <w:tcPr>
            <w:tcW w:w="706" w:type="dxa"/>
            <w:tcBorders>
              <w:top w:val="single" w:sz="3" w:space="0" w:color="000000"/>
            </w:tcBorders>
          </w:tcPr>
          <w:p w14:paraId="14D0083A" w14:textId="77777777" w:rsidR="00270656" w:rsidRPr="004635E5" w:rsidRDefault="00270656" w:rsidP="006633A8">
            <w:pPr>
              <w:pStyle w:val="TableParagraph"/>
              <w:adjustRightInd w:val="0"/>
              <w:snapToGrid w:val="0"/>
              <w:spacing w:line="240" w:lineRule="auto"/>
              <w:ind w:left="120" w:right="58"/>
              <w:jc w:val="center"/>
            </w:pPr>
            <w:r w:rsidRPr="004635E5">
              <w:t>2852</w:t>
            </w:r>
          </w:p>
        </w:tc>
        <w:tc>
          <w:tcPr>
            <w:tcW w:w="703" w:type="dxa"/>
            <w:tcBorders>
              <w:top w:val="single" w:sz="3" w:space="0" w:color="000000"/>
            </w:tcBorders>
          </w:tcPr>
          <w:p w14:paraId="0BD85FBB" w14:textId="77777777" w:rsidR="00270656" w:rsidRPr="004635E5" w:rsidRDefault="00270656" w:rsidP="006633A8">
            <w:pPr>
              <w:pStyle w:val="TableParagraph"/>
              <w:adjustRightInd w:val="0"/>
              <w:snapToGrid w:val="0"/>
              <w:spacing w:line="240" w:lineRule="auto"/>
              <w:ind w:right="136"/>
            </w:pPr>
            <w:r w:rsidRPr="004635E5">
              <w:t>3125</w:t>
            </w:r>
          </w:p>
        </w:tc>
        <w:tc>
          <w:tcPr>
            <w:tcW w:w="703" w:type="dxa"/>
            <w:tcBorders>
              <w:top w:val="single" w:sz="3" w:space="0" w:color="000000"/>
            </w:tcBorders>
          </w:tcPr>
          <w:p w14:paraId="06DD476D" w14:textId="77777777" w:rsidR="00270656" w:rsidRPr="004635E5" w:rsidRDefault="00270656" w:rsidP="006633A8">
            <w:pPr>
              <w:pStyle w:val="TableParagraph"/>
              <w:adjustRightInd w:val="0"/>
              <w:snapToGrid w:val="0"/>
              <w:spacing w:line="240" w:lineRule="auto"/>
              <w:ind w:right="140"/>
            </w:pPr>
            <w:r w:rsidRPr="004635E5">
              <w:t>3521</w:t>
            </w:r>
          </w:p>
        </w:tc>
        <w:tc>
          <w:tcPr>
            <w:tcW w:w="673" w:type="dxa"/>
            <w:tcBorders>
              <w:top w:val="single" w:sz="3" w:space="0" w:color="000000"/>
            </w:tcBorders>
          </w:tcPr>
          <w:p w14:paraId="7209E6CE" w14:textId="77777777" w:rsidR="00270656" w:rsidRPr="004635E5" w:rsidRDefault="00270656" w:rsidP="006633A8">
            <w:pPr>
              <w:pStyle w:val="TableParagraph"/>
              <w:adjustRightInd w:val="0"/>
              <w:snapToGrid w:val="0"/>
              <w:spacing w:line="240" w:lineRule="auto"/>
              <w:ind w:right="106"/>
            </w:pPr>
            <w:r w:rsidRPr="004635E5">
              <w:t>2984</w:t>
            </w:r>
          </w:p>
        </w:tc>
        <w:tc>
          <w:tcPr>
            <w:tcW w:w="743" w:type="dxa"/>
            <w:tcBorders>
              <w:top w:val="single" w:sz="3" w:space="0" w:color="000000"/>
            </w:tcBorders>
          </w:tcPr>
          <w:p w14:paraId="00E84E3F" w14:textId="77777777" w:rsidR="00270656" w:rsidRPr="004635E5" w:rsidRDefault="00270656" w:rsidP="006633A8">
            <w:pPr>
              <w:pStyle w:val="TableParagraph"/>
              <w:adjustRightInd w:val="0"/>
              <w:snapToGrid w:val="0"/>
              <w:spacing w:line="240" w:lineRule="auto"/>
              <w:ind w:right="134"/>
            </w:pPr>
            <w:r w:rsidRPr="004635E5">
              <w:t>5822</w:t>
            </w:r>
          </w:p>
        </w:tc>
        <w:tc>
          <w:tcPr>
            <w:tcW w:w="697" w:type="dxa"/>
            <w:tcBorders>
              <w:top w:val="single" w:sz="3" w:space="0" w:color="000000"/>
            </w:tcBorders>
          </w:tcPr>
          <w:p w14:paraId="6B0E7F75" w14:textId="77777777" w:rsidR="00270656" w:rsidRPr="004635E5" w:rsidRDefault="00270656" w:rsidP="006633A8">
            <w:pPr>
              <w:pStyle w:val="TableParagraph"/>
              <w:adjustRightInd w:val="0"/>
              <w:snapToGrid w:val="0"/>
              <w:spacing w:line="240" w:lineRule="auto"/>
              <w:ind w:right="125"/>
            </w:pPr>
            <w:r w:rsidRPr="004635E5">
              <w:t>2468</w:t>
            </w:r>
          </w:p>
        </w:tc>
        <w:tc>
          <w:tcPr>
            <w:tcW w:w="682" w:type="dxa"/>
            <w:tcBorders>
              <w:top w:val="single" w:sz="3" w:space="0" w:color="000000"/>
            </w:tcBorders>
          </w:tcPr>
          <w:p w14:paraId="263C8AAA" w14:textId="77777777" w:rsidR="00270656" w:rsidRPr="004635E5" w:rsidRDefault="00270656" w:rsidP="006633A8">
            <w:pPr>
              <w:pStyle w:val="TableParagraph"/>
              <w:adjustRightInd w:val="0"/>
              <w:snapToGrid w:val="0"/>
              <w:spacing w:line="240" w:lineRule="auto"/>
              <w:ind w:left="103" w:right="83"/>
              <w:jc w:val="center"/>
            </w:pPr>
            <w:r w:rsidRPr="004635E5">
              <w:t>10594</w:t>
            </w:r>
          </w:p>
        </w:tc>
      </w:tr>
      <w:tr w:rsidR="00270656" w:rsidRPr="004635E5" w14:paraId="71839A3F" w14:textId="77777777" w:rsidTr="00F32B86">
        <w:trPr>
          <w:trHeight w:hRule="exact" w:val="208"/>
        </w:trPr>
        <w:tc>
          <w:tcPr>
            <w:tcW w:w="2305" w:type="dxa"/>
          </w:tcPr>
          <w:p w14:paraId="55B5414A" w14:textId="77777777" w:rsidR="00270656" w:rsidRPr="004635E5" w:rsidRDefault="00270656" w:rsidP="006633A8">
            <w:pPr>
              <w:pStyle w:val="TableParagraph"/>
              <w:adjustRightInd w:val="0"/>
              <w:snapToGrid w:val="0"/>
              <w:spacing w:line="240" w:lineRule="auto"/>
              <w:ind w:left="107"/>
            </w:pPr>
            <w:r w:rsidRPr="004635E5">
              <w:t>Population Biomass</w:t>
            </w:r>
          </w:p>
        </w:tc>
        <w:tc>
          <w:tcPr>
            <w:tcW w:w="735" w:type="dxa"/>
          </w:tcPr>
          <w:p w14:paraId="25968807" w14:textId="77777777" w:rsidR="00270656" w:rsidRPr="004635E5" w:rsidRDefault="00270656" w:rsidP="006633A8">
            <w:pPr>
              <w:pStyle w:val="TableParagraph"/>
              <w:adjustRightInd w:val="0"/>
              <w:snapToGrid w:val="0"/>
              <w:spacing w:line="240" w:lineRule="auto"/>
              <w:ind w:right="137"/>
            </w:pPr>
            <w:r w:rsidRPr="004635E5">
              <w:t>6915</w:t>
            </w:r>
          </w:p>
        </w:tc>
        <w:tc>
          <w:tcPr>
            <w:tcW w:w="704" w:type="dxa"/>
          </w:tcPr>
          <w:p w14:paraId="1AED4DB6" w14:textId="77777777" w:rsidR="00270656" w:rsidRPr="004635E5" w:rsidRDefault="00270656" w:rsidP="006633A8">
            <w:pPr>
              <w:pStyle w:val="TableParagraph"/>
              <w:adjustRightInd w:val="0"/>
              <w:snapToGrid w:val="0"/>
              <w:spacing w:line="240" w:lineRule="auto"/>
              <w:ind w:right="140"/>
            </w:pPr>
            <w:r w:rsidRPr="004635E5">
              <w:t>6773</w:t>
            </w:r>
          </w:p>
        </w:tc>
        <w:tc>
          <w:tcPr>
            <w:tcW w:w="706" w:type="dxa"/>
          </w:tcPr>
          <w:p w14:paraId="1CCAF871" w14:textId="77777777" w:rsidR="00270656" w:rsidRPr="004635E5" w:rsidRDefault="00270656" w:rsidP="006633A8">
            <w:pPr>
              <w:pStyle w:val="TableParagraph"/>
              <w:adjustRightInd w:val="0"/>
              <w:snapToGrid w:val="0"/>
              <w:spacing w:line="240" w:lineRule="auto"/>
              <w:ind w:right="140"/>
            </w:pPr>
            <w:r w:rsidRPr="004635E5">
              <w:t>6409</w:t>
            </w:r>
          </w:p>
        </w:tc>
        <w:tc>
          <w:tcPr>
            <w:tcW w:w="706" w:type="dxa"/>
          </w:tcPr>
          <w:p w14:paraId="31A9B8CE" w14:textId="77777777" w:rsidR="00270656" w:rsidRPr="004635E5" w:rsidRDefault="00270656" w:rsidP="006633A8">
            <w:pPr>
              <w:pStyle w:val="TableParagraph"/>
              <w:adjustRightInd w:val="0"/>
              <w:snapToGrid w:val="0"/>
              <w:spacing w:line="240" w:lineRule="auto"/>
              <w:ind w:left="120" w:right="58"/>
              <w:jc w:val="center"/>
            </w:pPr>
            <w:r w:rsidRPr="004635E5">
              <w:t>5156</w:t>
            </w:r>
          </w:p>
        </w:tc>
        <w:tc>
          <w:tcPr>
            <w:tcW w:w="703" w:type="dxa"/>
          </w:tcPr>
          <w:p w14:paraId="572381B0" w14:textId="77777777" w:rsidR="00270656" w:rsidRPr="004635E5" w:rsidRDefault="00270656" w:rsidP="006633A8">
            <w:pPr>
              <w:pStyle w:val="TableParagraph"/>
              <w:adjustRightInd w:val="0"/>
              <w:snapToGrid w:val="0"/>
              <w:spacing w:line="240" w:lineRule="auto"/>
              <w:ind w:right="136"/>
            </w:pPr>
            <w:r w:rsidRPr="004635E5">
              <w:t>7823</w:t>
            </w:r>
          </w:p>
        </w:tc>
        <w:tc>
          <w:tcPr>
            <w:tcW w:w="703" w:type="dxa"/>
          </w:tcPr>
          <w:p w14:paraId="08332863" w14:textId="77777777" w:rsidR="00270656" w:rsidRPr="004635E5" w:rsidRDefault="00270656" w:rsidP="006633A8">
            <w:pPr>
              <w:pStyle w:val="TableParagraph"/>
              <w:adjustRightInd w:val="0"/>
              <w:snapToGrid w:val="0"/>
              <w:spacing w:line="240" w:lineRule="auto"/>
              <w:ind w:right="140"/>
            </w:pPr>
            <w:r w:rsidRPr="004635E5">
              <w:t>7349</w:t>
            </w:r>
          </w:p>
        </w:tc>
        <w:tc>
          <w:tcPr>
            <w:tcW w:w="673" w:type="dxa"/>
          </w:tcPr>
          <w:p w14:paraId="2DA12393" w14:textId="77777777" w:rsidR="00270656" w:rsidRPr="004635E5" w:rsidRDefault="00270656" w:rsidP="006633A8">
            <w:pPr>
              <w:pStyle w:val="TableParagraph"/>
              <w:adjustRightInd w:val="0"/>
              <w:snapToGrid w:val="0"/>
              <w:spacing w:line="240" w:lineRule="auto"/>
              <w:ind w:right="106"/>
            </w:pPr>
            <w:r w:rsidRPr="004635E5">
              <w:t>6819</w:t>
            </w:r>
          </w:p>
        </w:tc>
        <w:tc>
          <w:tcPr>
            <w:tcW w:w="743" w:type="dxa"/>
          </w:tcPr>
          <w:p w14:paraId="19DE8E6E" w14:textId="77777777" w:rsidR="00270656" w:rsidRPr="004635E5" w:rsidRDefault="00270656" w:rsidP="006633A8">
            <w:pPr>
              <w:pStyle w:val="TableParagraph"/>
              <w:adjustRightInd w:val="0"/>
              <w:snapToGrid w:val="0"/>
              <w:spacing w:line="240" w:lineRule="auto"/>
              <w:ind w:right="134"/>
            </w:pPr>
            <w:r w:rsidRPr="004635E5">
              <w:t>12758</w:t>
            </w:r>
          </w:p>
        </w:tc>
        <w:tc>
          <w:tcPr>
            <w:tcW w:w="697" w:type="dxa"/>
          </w:tcPr>
          <w:p w14:paraId="0A0AC524" w14:textId="77777777" w:rsidR="00270656" w:rsidRPr="004635E5" w:rsidRDefault="00270656" w:rsidP="006633A8">
            <w:pPr>
              <w:pStyle w:val="TableParagraph"/>
              <w:adjustRightInd w:val="0"/>
              <w:snapToGrid w:val="0"/>
              <w:spacing w:line="240" w:lineRule="auto"/>
              <w:ind w:right="125"/>
            </w:pPr>
            <w:r w:rsidRPr="004635E5">
              <w:t>5156</w:t>
            </w:r>
          </w:p>
        </w:tc>
        <w:tc>
          <w:tcPr>
            <w:tcW w:w="682" w:type="dxa"/>
          </w:tcPr>
          <w:p w14:paraId="5A39ABE0" w14:textId="77777777" w:rsidR="00270656" w:rsidRPr="004635E5" w:rsidRDefault="00270656" w:rsidP="006633A8">
            <w:pPr>
              <w:pStyle w:val="TableParagraph"/>
              <w:adjustRightInd w:val="0"/>
              <w:snapToGrid w:val="0"/>
              <w:spacing w:line="240" w:lineRule="auto"/>
              <w:ind w:left="103" w:right="83"/>
              <w:jc w:val="center"/>
            </w:pPr>
            <w:r w:rsidRPr="004635E5">
              <w:t>28440</w:t>
            </w:r>
          </w:p>
        </w:tc>
      </w:tr>
      <w:tr w:rsidR="00270656" w:rsidRPr="004635E5" w14:paraId="3B858C8C" w14:textId="77777777" w:rsidTr="00F32B86">
        <w:trPr>
          <w:trHeight w:hRule="exact" w:val="206"/>
        </w:trPr>
        <w:tc>
          <w:tcPr>
            <w:tcW w:w="2305" w:type="dxa"/>
          </w:tcPr>
          <w:p w14:paraId="60C155FA" w14:textId="77777777" w:rsidR="00270656" w:rsidRPr="004635E5" w:rsidRDefault="00270656" w:rsidP="006633A8">
            <w:pPr>
              <w:pStyle w:val="TableParagraph"/>
              <w:adjustRightInd w:val="0"/>
              <w:snapToGrid w:val="0"/>
              <w:spacing w:line="240" w:lineRule="auto"/>
              <w:ind w:left="107"/>
            </w:pPr>
            <w:r w:rsidRPr="004635E5">
              <w:t>Spawning Stock Biomass</w:t>
            </w:r>
          </w:p>
        </w:tc>
        <w:tc>
          <w:tcPr>
            <w:tcW w:w="735" w:type="dxa"/>
          </w:tcPr>
          <w:p w14:paraId="740C31A8" w14:textId="77777777" w:rsidR="00270656" w:rsidRPr="004635E5" w:rsidRDefault="00270656" w:rsidP="006633A8">
            <w:pPr>
              <w:pStyle w:val="TableParagraph"/>
              <w:adjustRightInd w:val="0"/>
              <w:snapToGrid w:val="0"/>
              <w:spacing w:line="240" w:lineRule="auto"/>
              <w:ind w:right="137"/>
            </w:pPr>
            <w:r w:rsidRPr="004635E5">
              <w:t>1192</w:t>
            </w:r>
          </w:p>
        </w:tc>
        <w:tc>
          <w:tcPr>
            <w:tcW w:w="704" w:type="dxa"/>
          </w:tcPr>
          <w:p w14:paraId="12D9F212" w14:textId="77777777" w:rsidR="00270656" w:rsidRPr="004635E5" w:rsidRDefault="00270656" w:rsidP="006633A8">
            <w:pPr>
              <w:pStyle w:val="TableParagraph"/>
              <w:adjustRightInd w:val="0"/>
              <w:snapToGrid w:val="0"/>
              <w:spacing w:line="240" w:lineRule="auto"/>
              <w:ind w:right="140"/>
            </w:pPr>
            <w:r w:rsidRPr="004635E5">
              <w:t>1171</w:t>
            </w:r>
          </w:p>
        </w:tc>
        <w:tc>
          <w:tcPr>
            <w:tcW w:w="706" w:type="dxa"/>
          </w:tcPr>
          <w:p w14:paraId="4E284FB7" w14:textId="77777777" w:rsidR="00270656" w:rsidRPr="004635E5" w:rsidRDefault="00270656" w:rsidP="006633A8">
            <w:pPr>
              <w:pStyle w:val="TableParagraph"/>
              <w:adjustRightInd w:val="0"/>
              <w:snapToGrid w:val="0"/>
              <w:spacing w:line="240" w:lineRule="auto"/>
              <w:ind w:right="138"/>
            </w:pPr>
            <w:r w:rsidRPr="004635E5">
              <w:rPr>
                <w:w w:val="95"/>
              </w:rPr>
              <w:t>970</w:t>
            </w:r>
          </w:p>
        </w:tc>
        <w:tc>
          <w:tcPr>
            <w:tcW w:w="706" w:type="dxa"/>
          </w:tcPr>
          <w:p w14:paraId="7B86FBA4" w14:textId="77777777" w:rsidR="00270656" w:rsidRPr="004635E5" w:rsidRDefault="00270656" w:rsidP="006633A8">
            <w:pPr>
              <w:pStyle w:val="TableParagraph"/>
              <w:adjustRightInd w:val="0"/>
              <w:snapToGrid w:val="0"/>
              <w:spacing w:line="240" w:lineRule="auto"/>
              <w:ind w:left="273" w:right="119"/>
              <w:jc w:val="center"/>
            </w:pPr>
            <w:r w:rsidRPr="004635E5">
              <w:t>984</w:t>
            </w:r>
          </w:p>
        </w:tc>
        <w:tc>
          <w:tcPr>
            <w:tcW w:w="703" w:type="dxa"/>
          </w:tcPr>
          <w:p w14:paraId="0470AC75" w14:textId="77777777" w:rsidR="00270656" w:rsidRPr="004635E5" w:rsidRDefault="00270656" w:rsidP="006633A8">
            <w:pPr>
              <w:pStyle w:val="TableParagraph"/>
              <w:adjustRightInd w:val="0"/>
              <w:snapToGrid w:val="0"/>
              <w:spacing w:line="240" w:lineRule="auto"/>
              <w:ind w:right="136"/>
            </w:pPr>
            <w:r w:rsidRPr="004635E5">
              <w:rPr>
                <w:w w:val="95"/>
              </w:rPr>
              <w:t>873</w:t>
            </w:r>
          </w:p>
        </w:tc>
        <w:tc>
          <w:tcPr>
            <w:tcW w:w="703" w:type="dxa"/>
          </w:tcPr>
          <w:p w14:paraId="7194AAF0" w14:textId="77777777" w:rsidR="00270656" w:rsidRPr="004635E5" w:rsidRDefault="00270656" w:rsidP="006633A8">
            <w:pPr>
              <w:pStyle w:val="TableParagraph"/>
              <w:adjustRightInd w:val="0"/>
              <w:snapToGrid w:val="0"/>
              <w:spacing w:line="240" w:lineRule="auto"/>
              <w:ind w:right="140"/>
            </w:pPr>
            <w:r w:rsidRPr="004635E5">
              <w:t>1013</w:t>
            </w:r>
          </w:p>
        </w:tc>
        <w:tc>
          <w:tcPr>
            <w:tcW w:w="673" w:type="dxa"/>
          </w:tcPr>
          <w:p w14:paraId="6F6EC05B" w14:textId="77777777" w:rsidR="00270656" w:rsidRPr="004635E5" w:rsidRDefault="00270656" w:rsidP="006633A8">
            <w:pPr>
              <w:pStyle w:val="TableParagraph"/>
              <w:adjustRightInd w:val="0"/>
              <w:snapToGrid w:val="0"/>
              <w:spacing w:line="240" w:lineRule="auto"/>
              <w:ind w:right="106"/>
            </w:pPr>
            <w:r w:rsidRPr="004635E5">
              <w:t>1094</w:t>
            </w:r>
          </w:p>
        </w:tc>
        <w:tc>
          <w:tcPr>
            <w:tcW w:w="743" w:type="dxa"/>
          </w:tcPr>
          <w:p w14:paraId="06D656FA" w14:textId="77777777" w:rsidR="00270656" w:rsidRPr="004635E5" w:rsidRDefault="00270656" w:rsidP="006633A8">
            <w:pPr>
              <w:pStyle w:val="TableParagraph"/>
              <w:adjustRightInd w:val="0"/>
              <w:snapToGrid w:val="0"/>
              <w:spacing w:line="240" w:lineRule="auto"/>
              <w:ind w:right="134"/>
            </w:pPr>
            <w:r w:rsidRPr="004635E5">
              <w:t>2025</w:t>
            </w:r>
          </w:p>
        </w:tc>
        <w:tc>
          <w:tcPr>
            <w:tcW w:w="697" w:type="dxa"/>
          </w:tcPr>
          <w:p w14:paraId="67D3684B" w14:textId="77777777" w:rsidR="00270656" w:rsidRPr="004635E5" w:rsidRDefault="00270656" w:rsidP="006633A8">
            <w:pPr>
              <w:pStyle w:val="TableParagraph"/>
              <w:adjustRightInd w:val="0"/>
              <w:snapToGrid w:val="0"/>
              <w:spacing w:line="240" w:lineRule="auto"/>
              <w:ind w:right="125"/>
            </w:pPr>
            <w:r w:rsidRPr="004635E5">
              <w:rPr>
                <w:w w:val="95"/>
              </w:rPr>
              <w:t>815</w:t>
            </w:r>
          </w:p>
        </w:tc>
        <w:tc>
          <w:tcPr>
            <w:tcW w:w="682" w:type="dxa"/>
          </w:tcPr>
          <w:p w14:paraId="3454FD48" w14:textId="77777777" w:rsidR="00270656" w:rsidRPr="004635E5" w:rsidRDefault="00270656" w:rsidP="006633A8">
            <w:pPr>
              <w:pStyle w:val="TableParagraph"/>
              <w:adjustRightInd w:val="0"/>
              <w:snapToGrid w:val="0"/>
              <w:spacing w:line="240" w:lineRule="auto"/>
              <w:ind w:left="195" w:right="83"/>
              <w:jc w:val="center"/>
            </w:pPr>
            <w:r w:rsidRPr="004635E5">
              <w:t>6946</w:t>
            </w:r>
          </w:p>
        </w:tc>
      </w:tr>
      <w:tr w:rsidR="00270656" w:rsidRPr="004635E5" w14:paraId="7F5EC75F" w14:textId="77777777" w:rsidTr="00F32B86">
        <w:trPr>
          <w:trHeight w:hRule="exact" w:val="206"/>
        </w:trPr>
        <w:tc>
          <w:tcPr>
            <w:tcW w:w="2305" w:type="dxa"/>
          </w:tcPr>
          <w:p w14:paraId="0D6DA517" w14:textId="77777777" w:rsidR="00270656" w:rsidRPr="004635E5" w:rsidRDefault="00270656" w:rsidP="006633A8">
            <w:pPr>
              <w:pStyle w:val="TableParagraph"/>
              <w:adjustRightInd w:val="0"/>
              <w:snapToGrid w:val="0"/>
              <w:spacing w:line="240" w:lineRule="auto"/>
              <w:ind w:left="107"/>
            </w:pPr>
            <w:r w:rsidRPr="004635E5">
              <w:t>Relative Spawning Biomass</w:t>
            </w:r>
          </w:p>
        </w:tc>
        <w:tc>
          <w:tcPr>
            <w:tcW w:w="735" w:type="dxa"/>
          </w:tcPr>
          <w:p w14:paraId="426308BF" w14:textId="77777777" w:rsidR="00270656" w:rsidRPr="004635E5" w:rsidRDefault="00270656" w:rsidP="006633A8">
            <w:pPr>
              <w:pStyle w:val="TableParagraph"/>
              <w:adjustRightInd w:val="0"/>
              <w:snapToGrid w:val="0"/>
              <w:spacing w:line="240" w:lineRule="auto"/>
              <w:ind w:right="137"/>
            </w:pPr>
            <w:r w:rsidRPr="004635E5">
              <w:rPr>
                <w:w w:val="95"/>
              </w:rPr>
              <w:t>0.42</w:t>
            </w:r>
          </w:p>
        </w:tc>
        <w:tc>
          <w:tcPr>
            <w:tcW w:w="704" w:type="dxa"/>
          </w:tcPr>
          <w:p w14:paraId="6C53535D" w14:textId="77777777" w:rsidR="00270656" w:rsidRPr="004635E5" w:rsidRDefault="00270656" w:rsidP="006633A8">
            <w:pPr>
              <w:pStyle w:val="TableParagraph"/>
              <w:adjustRightInd w:val="0"/>
              <w:snapToGrid w:val="0"/>
              <w:spacing w:line="240" w:lineRule="auto"/>
              <w:ind w:right="139"/>
            </w:pPr>
            <w:r w:rsidRPr="004635E5">
              <w:rPr>
                <w:w w:val="95"/>
              </w:rPr>
              <w:t>0.42</w:t>
            </w:r>
          </w:p>
        </w:tc>
        <w:tc>
          <w:tcPr>
            <w:tcW w:w="706" w:type="dxa"/>
          </w:tcPr>
          <w:p w14:paraId="53B1F7AB" w14:textId="77777777" w:rsidR="00270656" w:rsidRPr="004635E5" w:rsidRDefault="00270656" w:rsidP="006633A8">
            <w:pPr>
              <w:pStyle w:val="TableParagraph"/>
              <w:adjustRightInd w:val="0"/>
              <w:snapToGrid w:val="0"/>
              <w:spacing w:line="240" w:lineRule="auto"/>
              <w:ind w:right="139"/>
            </w:pPr>
            <w:r w:rsidRPr="004635E5">
              <w:rPr>
                <w:w w:val="95"/>
              </w:rPr>
              <w:t>0.34</w:t>
            </w:r>
          </w:p>
        </w:tc>
        <w:tc>
          <w:tcPr>
            <w:tcW w:w="706" w:type="dxa"/>
          </w:tcPr>
          <w:p w14:paraId="6D772FB6" w14:textId="77777777" w:rsidR="00270656" w:rsidRPr="004635E5" w:rsidRDefault="00270656" w:rsidP="006633A8">
            <w:pPr>
              <w:pStyle w:val="TableParagraph"/>
              <w:adjustRightInd w:val="0"/>
              <w:snapToGrid w:val="0"/>
              <w:spacing w:line="240" w:lineRule="auto"/>
              <w:ind w:left="120" w:right="12"/>
              <w:jc w:val="center"/>
            </w:pPr>
            <w:r w:rsidRPr="004635E5">
              <w:t>0.35</w:t>
            </w:r>
          </w:p>
        </w:tc>
        <w:tc>
          <w:tcPr>
            <w:tcW w:w="703" w:type="dxa"/>
          </w:tcPr>
          <w:p w14:paraId="106E5C18" w14:textId="77777777" w:rsidR="00270656" w:rsidRPr="004635E5" w:rsidRDefault="00270656" w:rsidP="006633A8">
            <w:pPr>
              <w:pStyle w:val="TableParagraph"/>
              <w:adjustRightInd w:val="0"/>
              <w:snapToGrid w:val="0"/>
              <w:spacing w:line="240" w:lineRule="auto"/>
              <w:ind w:right="136"/>
            </w:pPr>
            <w:r w:rsidRPr="004635E5">
              <w:rPr>
                <w:w w:val="95"/>
              </w:rPr>
              <w:t>0.31</w:t>
            </w:r>
          </w:p>
        </w:tc>
        <w:tc>
          <w:tcPr>
            <w:tcW w:w="703" w:type="dxa"/>
          </w:tcPr>
          <w:p w14:paraId="74CFCBAC" w14:textId="77777777" w:rsidR="00270656" w:rsidRPr="004635E5" w:rsidRDefault="00270656" w:rsidP="006633A8">
            <w:pPr>
              <w:pStyle w:val="TableParagraph"/>
              <w:adjustRightInd w:val="0"/>
              <w:snapToGrid w:val="0"/>
              <w:spacing w:line="240" w:lineRule="auto"/>
              <w:ind w:right="139"/>
            </w:pPr>
            <w:r w:rsidRPr="004635E5">
              <w:rPr>
                <w:w w:val="95"/>
              </w:rPr>
              <w:t>0.36</w:t>
            </w:r>
          </w:p>
        </w:tc>
        <w:tc>
          <w:tcPr>
            <w:tcW w:w="673" w:type="dxa"/>
          </w:tcPr>
          <w:p w14:paraId="62C58636" w14:textId="77777777" w:rsidR="00270656" w:rsidRPr="004635E5" w:rsidRDefault="00270656" w:rsidP="006633A8">
            <w:pPr>
              <w:pStyle w:val="TableParagraph"/>
              <w:adjustRightInd w:val="0"/>
              <w:snapToGrid w:val="0"/>
              <w:spacing w:line="240" w:lineRule="auto"/>
              <w:ind w:right="106"/>
            </w:pPr>
            <w:r w:rsidRPr="004635E5">
              <w:rPr>
                <w:w w:val="95"/>
              </w:rPr>
              <w:t>0.39</w:t>
            </w:r>
          </w:p>
        </w:tc>
        <w:tc>
          <w:tcPr>
            <w:tcW w:w="743" w:type="dxa"/>
          </w:tcPr>
          <w:p w14:paraId="4EBAA1DA" w14:textId="77777777" w:rsidR="00270656" w:rsidRPr="004635E5" w:rsidRDefault="00270656" w:rsidP="006633A8">
            <w:pPr>
              <w:pStyle w:val="TableParagraph"/>
              <w:adjustRightInd w:val="0"/>
              <w:snapToGrid w:val="0"/>
              <w:spacing w:line="240" w:lineRule="auto"/>
              <w:ind w:right="134"/>
            </w:pPr>
            <w:r w:rsidRPr="004635E5">
              <w:rPr>
                <w:w w:val="95"/>
              </w:rPr>
              <w:t>0.75</w:t>
            </w:r>
          </w:p>
        </w:tc>
        <w:tc>
          <w:tcPr>
            <w:tcW w:w="697" w:type="dxa"/>
          </w:tcPr>
          <w:p w14:paraId="68E01909" w14:textId="77777777" w:rsidR="00270656" w:rsidRPr="004635E5" w:rsidRDefault="00270656" w:rsidP="006633A8">
            <w:pPr>
              <w:pStyle w:val="TableParagraph"/>
              <w:adjustRightInd w:val="0"/>
              <w:snapToGrid w:val="0"/>
              <w:spacing w:line="240" w:lineRule="auto"/>
              <w:ind w:right="125"/>
            </w:pPr>
            <w:r w:rsidRPr="004635E5">
              <w:rPr>
                <w:w w:val="95"/>
              </w:rPr>
              <w:t>0.29</w:t>
            </w:r>
          </w:p>
        </w:tc>
        <w:tc>
          <w:tcPr>
            <w:tcW w:w="682" w:type="dxa"/>
          </w:tcPr>
          <w:p w14:paraId="782D5D3C" w14:textId="77777777" w:rsidR="00270656" w:rsidRPr="004635E5" w:rsidRDefault="00270656" w:rsidP="006633A8">
            <w:pPr>
              <w:pStyle w:val="TableParagraph"/>
              <w:adjustRightInd w:val="0"/>
              <w:snapToGrid w:val="0"/>
              <w:spacing w:line="240" w:lineRule="auto"/>
              <w:ind w:left="197" w:right="40"/>
              <w:jc w:val="center"/>
            </w:pPr>
            <w:r w:rsidRPr="004635E5">
              <w:t>2.46</w:t>
            </w:r>
          </w:p>
        </w:tc>
      </w:tr>
      <w:tr w:rsidR="00270656" w:rsidRPr="004635E5" w14:paraId="14ACB037" w14:textId="77777777" w:rsidTr="00F32B86">
        <w:trPr>
          <w:trHeight w:hRule="exact" w:val="208"/>
        </w:trPr>
        <w:tc>
          <w:tcPr>
            <w:tcW w:w="2305" w:type="dxa"/>
          </w:tcPr>
          <w:p w14:paraId="72137C06" w14:textId="77777777" w:rsidR="00270656" w:rsidRPr="004635E5" w:rsidRDefault="00270656" w:rsidP="006633A8">
            <w:pPr>
              <w:pStyle w:val="TableParagraph"/>
              <w:adjustRightInd w:val="0"/>
              <w:snapToGrid w:val="0"/>
              <w:spacing w:line="240" w:lineRule="auto"/>
              <w:ind w:left="107"/>
            </w:pPr>
            <w:r w:rsidRPr="004635E5">
              <w:t>Recruitment (age 0)</w:t>
            </w:r>
          </w:p>
        </w:tc>
        <w:tc>
          <w:tcPr>
            <w:tcW w:w="735" w:type="dxa"/>
          </w:tcPr>
          <w:p w14:paraId="7089DD66" w14:textId="77777777" w:rsidR="00270656" w:rsidRPr="004635E5" w:rsidRDefault="00270656" w:rsidP="006633A8">
            <w:pPr>
              <w:pStyle w:val="TableParagraph"/>
              <w:adjustRightInd w:val="0"/>
              <w:snapToGrid w:val="0"/>
              <w:spacing w:line="240" w:lineRule="auto"/>
              <w:ind w:right="137"/>
            </w:pPr>
            <w:r w:rsidRPr="004635E5">
              <w:rPr>
                <w:w w:val="95"/>
              </w:rPr>
              <w:t>240</w:t>
            </w:r>
          </w:p>
        </w:tc>
        <w:tc>
          <w:tcPr>
            <w:tcW w:w="704" w:type="dxa"/>
          </w:tcPr>
          <w:p w14:paraId="73FF8F8F" w14:textId="77777777" w:rsidR="00270656" w:rsidRPr="004635E5" w:rsidRDefault="00270656" w:rsidP="006633A8">
            <w:pPr>
              <w:pStyle w:val="TableParagraph"/>
              <w:adjustRightInd w:val="0"/>
              <w:snapToGrid w:val="0"/>
              <w:spacing w:line="240" w:lineRule="auto"/>
              <w:ind w:right="138"/>
            </w:pPr>
            <w:r w:rsidRPr="004635E5">
              <w:rPr>
                <w:w w:val="95"/>
              </w:rPr>
              <w:t>242</w:t>
            </w:r>
          </w:p>
        </w:tc>
        <w:tc>
          <w:tcPr>
            <w:tcW w:w="706" w:type="dxa"/>
          </w:tcPr>
          <w:p w14:paraId="2E334461" w14:textId="77777777" w:rsidR="00270656" w:rsidRPr="004635E5" w:rsidRDefault="00270656" w:rsidP="006633A8">
            <w:pPr>
              <w:pStyle w:val="TableParagraph"/>
              <w:adjustRightInd w:val="0"/>
              <w:snapToGrid w:val="0"/>
              <w:spacing w:line="240" w:lineRule="auto"/>
              <w:ind w:right="138"/>
            </w:pPr>
            <w:r w:rsidRPr="004635E5">
              <w:t>63</w:t>
            </w:r>
          </w:p>
        </w:tc>
        <w:tc>
          <w:tcPr>
            <w:tcW w:w="706" w:type="dxa"/>
          </w:tcPr>
          <w:p w14:paraId="7FD31893" w14:textId="77777777" w:rsidR="00270656" w:rsidRPr="004635E5" w:rsidRDefault="00270656" w:rsidP="006633A8">
            <w:pPr>
              <w:pStyle w:val="TableParagraph"/>
              <w:adjustRightInd w:val="0"/>
              <w:snapToGrid w:val="0"/>
              <w:spacing w:line="240" w:lineRule="auto"/>
              <w:ind w:left="273" w:right="119"/>
              <w:jc w:val="center"/>
            </w:pPr>
            <w:r w:rsidRPr="004635E5">
              <w:t>496</w:t>
            </w:r>
          </w:p>
        </w:tc>
        <w:tc>
          <w:tcPr>
            <w:tcW w:w="703" w:type="dxa"/>
          </w:tcPr>
          <w:p w14:paraId="6062A959" w14:textId="77777777" w:rsidR="00270656" w:rsidRPr="004635E5" w:rsidRDefault="00270656" w:rsidP="006633A8">
            <w:pPr>
              <w:pStyle w:val="TableParagraph"/>
              <w:adjustRightInd w:val="0"/>
              <w:snapToGrid w:val="0"/>
              <w:spacing w:line="240" w:lineRule="auto"/>
              <w:ind w:right="136"/>
            </w:pPr>
            <w:r w:rsidRPr="004635E5">
              <w:rPr>
                <w:w w:val="95"/>
              </w:rPr>
              <w:t>155</w:t>
            </w:r>
          </w:p>
        </w:tc>
        <w:tc>
          <w:tcPr>
            <w:tcW w:w="703" w:type="dxa"/>
          </w:tcPr>
          <w:p w14:paraId="4407B58A" w14:textId="77777777" w:rsidR="00270656" w:rsidRPr="004635E5" w:rsidRDefault="00270656" w:rsidP="006633A8">
            <w:pPr>
              <w:pStyle w:val="TableParagraph"/>
              <w:adjustRightInd w:val="0"/>
              <w:snapToGrid w:val="0"/>
              <w:spacing w:line="240" w:lineRule="auto"/>
              <w:ind w:right="138"/>
            </w:pPr>
            <w:r w:rsidRPr="004635E5">
              <w:rPr>
                <w:w w:val="95"/>
              </w:rPr>
              <w:t>224</w:t>
            </w:r>
          </w:p>
        </w:tc>
        <w:tc>
          <w:tcPr>
            <w:tcW w:w="673" w:type="dxa"/>
          </w:tcPr>
          <w:p w14:paraId="76CC52C9" w14:textId="77777777" w:rsidR="00270656" w:rsidRPr="004635E5" w:rsidRDefault="00270656" w:rsidP="006633A8">
            <w:pPr>
              <w:pStyle w:val="TableParagraph"/>
              <w:adjustRightInd w:val="0"/>
              <w:snapToGrid w:val="0"/>
              <w:spacing w:line="240" w:lineRule="auto"/>
              <w:ind w:right="106"/>
            </w:pPr>
            <w:r w:rsidRPr="004635E5">
              <w:rPr>
                <w:w w:val="95"/>
              </w:rPr>
              <w:t>352</w:t>
            </w:r>
          </w:p>
        </w:tc>
        <w:tc>
          <w:tcPr>
            <w:tcW w:w="743" w:type="dxa"/>
          </w:tcPr>
          <w:p w14:paraId="1790D931" w14:textId="77777777" w:rsidR="00270656" w:rsidRPr="004635E5" w:rsidRDefault="00270656" w:rsidP="006633A8">
            <w:pPr>
              <w:pStyle w:val="TableParagraph"/>
              <w:adjustRightInd w:val="0"/>
              <w:snapToGrid w:val="0"/>
              <w:spacing w:line="240" w:lineRule="auto"/>
              <w:ind w:right="134"/>
            </w:pPr>
            <w:r w:rsidRPr="004635E5">
              <w:rPr>
                <w:w w:val="95"/>
              </w:rPr>
              <w:t>410</w:t>
            </w:r>
          </w:p>
        </w:tc>
        <w:tc>
          <w:tcPr>
            <w:tcW w:w="697" w:type="dxa"/>
          </w:tcPr>
          <w:p w14:paraId="2AE8DD22" w14:textId="77777777" w:rsidR="00270656" w:rsidRPr="004635E5" w:rsidRDefault="00270656" w:rsidP="006633A8">
            <w:pPr>
              <w:pStyle w:val="TableParagraph"/>
              <w:adjustRightInd w:val="0"/>
              <w:snapToGrid w:val="0"/>
              <w:spacing w:line="240" w:lineRule="auto"/>
              <w:ind w:right="125"/>
            </w:pPr>
            <w:r w:rsidRPr="004635E5">
              <w:t>63</w:t>
            </w:r>
          </w:p>
        </w:tc>
        <w:tc>
          <w:tcPr>
            <w:tcW w:w="682" w:type="dxa"/>
          </w:tcPr>
          <w:p w14:paraId="42781AE6" w14:textId="77777777" w:rsidR="00270656" w:rsidRPr="004635E5" w:rsidRDefault="00270656" w:rsidP="006633A8">
            <w:pPr>
              <w:pStyle w:val="TableParagraph"/>
              <w:adjustRightInd w:val="0"/>
              <w:snapToGrid w:val="0"/>
              <w:spacing w:line="240" w:lineRule="auto"/>
              <w:ind w:left="195" w:right="83"/>
              <w:jc w:val="center"/>
            </w:pPr>
            <w:r w:rsidRPr="004635E5">
              <w:t>1369</w:t>
            </w:r>
          </w:p>
        </w:tc>
      </w:tr>
      <w:tr w:rsidR="00270656" w:rsidRPr="004635E5" w14:paraId="09B4D47D" w14:textId="77777777" w:rsidTr="00F32B86">
        <w:trPr>
          <w:trHeight w:hRule="exact" w:val="208"/>
        </w:trPr>
        <w:tc>
          <w:tcPr>
            <w:tcW w:w="2305" w:type="dxa"/>
          </w:tcPr>
          <w:p w14:paraId="3FF0EC79" w14:textId="77777777" w:rsidR="00270656" w:rsidRPr="004635E5" w:rsidRDefault="00270656" w:rsidP="006633A8">
            <w:pPr>
              <w:pStyle w:val="TableParagraph"/>
              <w:adjustRightInd w:val="0"/>
              <w:snapToGrid w:val="0"/>
              <w:spacing w:line="240" w:lineRule="auto"/>
              <w:ind w:left="107"/>
            </w:pPr>
            <w:r w:rsidRPr="004635E5">
              <w:t>Fishing Mortality</w:t>
            </w:r>
          </w:p>
        </w:tc>
        <w:tc>
          <w:tcPr>
            <w:tcW w:w="735" w:type="dxa"/>
          </w:tcPr>
          <w:p w14:paraId="18ACA42B" w14:textId="77777777" w:rsidR="00270656" w:rsidRPr="004635E5" w:rsidRDefault="00270656" w:rsidP="006633A8">
            <w:pPr>
              <w:pStyle w:val="TableParagraph"/>
              <w:adjustRightInd w:val="0"/>
              <w:snapToGrid w:val="0"/>
              <w:spacing w:line="240" w:lineRule="auto"/>
              <w:ind w:right="137"/>
            </w:pPr>
            <w:r w:rsidRPr="004635E5">
              <w:rPr>
                <w:w w:val="95"/>
              </w:rPr>
              <w:t>0.82</w:t>
            </w:r>
          </w:p>
        </w:tc>
        <w:tc>
          <w:tcPr>
            <w:tcW w:w="704" w:type="dxa"/>
          </w:tcPr>
          <w:p w14:paraId="3222C0AA" w14:textId="77777777" w:rsidR="00270656" w:rsidRPr="004635E5" w:rsidRDefault="00270656" w:rsidP="006633A8">
            <w:pPr>
              <w:pStyle w:val="TableParagraph"/>
              <w:adjustRightInd w:val="0"/>
              <w:snapToGrid w:val="0"/>
              <w:spacing w:line="240" w:lineRule="auto"/>
              <w:ind w:right="139"/>
            </w:pPr>
            <w:r w:rsidRPr="004635E5">
              <w:rPr>
                <w:w w:val="95"/>
              </w:rPr>
              <w:t>0.99</w:t>
            </w:r>
          </w:p>
        </w:tc>
        <w:tc>
          <w:tcPr>
            <w:tcW w:w="706" w:type="dxa"/>
          </w:tcPr>
          <w:p w14:paraId="7A4618B0" w14:textId="77777777" w:rsidR="00270656" w:rsidRPr="004635E5" w:rsidRDefault="00270656" w:rsidP="006633A8">
            <w:pPr>
              <w:pStyle w:val="TableParagraph"/>
              <w:adjustRightInd w:val="0"/>
              <w:snapToGrid w:val="0"/>
              <w:spacing w:line="240" w:lineRule="auto"/>
              <w:ind w:right="139"/>
            </w:pPr>
            <w:r w:rsidRPr="004635E5">
              <w:rPr>
                <w:w w:val="95"/>
              </w:rPr>
              <w:t>0.80</w:t>
            </w:r>
          </w:p>
        </w:tc>
        <w:tc>
          <w:tcPr>
            <w:tcW w:w="706" w:type="dxa"/>
          </w:tcPr>
          <w:p w14:paraId="6E2E1D75" w14:textId="77777777" w:rsidR="00270656" w:rsidRPr="004635E5" w:rsidRDefault="00270656" w:rsidP="006633A8">
            <w:pPr>
              <w:pStyle w:val="TableParagraph"/>
              <w:adjustRightInd w:val="0"/>
              <w:snapToGrid w:val="0"/>
              <w:spacing w:line="240" w:lineRule="auto"/>
              <w:ind w:left="120" w:right="12"/>
              <w:jc w:val="center"/>
            </w:pPr>
            <w:r w:rsidRPr="004635E5">
              <w:t>0.96</w:t>
            </w:r>
          </w:p>
        </w:tc>
        <w:tc>
          <w:tcPr>
            <w:tcW w:w="703" w:type="dxa"/>
          </w:tcPr>
          <w:p w14:paraId="7A2D05B7" w14:textId="77777777" w:rsidR="00270656" w:rsidRPr="004635E5" w:rsidRDefault="00270656" w:rsidP="006633A8">
            <w:pPr>
              <w:pStyle w:val="TableParagraph"/>
              <w:adjustRightInd w:val="0"/>
              <w:snapToGrid w:val="0"/>
              <w:spacing w:line="240" w:lineRule="auto"/>
              <w:ind w:right="136"/>
            </w:pPr>
            <w:r w:rsidRPr="004635E5">
              <w:rPr>
                <w:w w:val="95"/>
              </w:rPr>
              <w:t>0.89</w:t>
            </w:r>
          </w:p>
        </w:tc>
        <w:tc>
          <w:tcPr>
            <w:tcW w:w="703" w:type="dxa"/>
          </w:tcPr>
          <w:p w14:paraId="2C413332" w14:textId="77777777" w:rsidR="00270656" w:rsidRPr="004635E5" w:rsidRDefault="00270656" w:rsidP="006633A8">
            <w:pPr>
              <w:pStyle w:val="TableParagraph"/>
              <w:adjustRightInd w:val="0"/>
              <w:snapToGrid w:val="0"/>
              <w:spacing w:line="240" w:lineRule="auto"/>
              <w:ind w:right="139"/>
            </w:pPr>
            <w:r w:rsidRPr="004635E5">
              <w:rPr>
                <w:w w:val="95"/>
              </w:rPr>
              <w:t>0.97</w:t>
            </w:r>
          </w:p>
        </w:tc>
        <w:tc>
          <w:tcPr>
            <w:tcW w:w="673" w:type="dxa"/>
          </w:tcPr>
          <w:p w14:paraId="5C55C66D" w14:textId="77777777" w:rsidR="00270656" w:rsidRPr="004635E5" w:rsidRDefault="00270656" w:rsidP="006633A8">
            <w:pPr>
              <w:pStyle w:val="TableParagraph"/>
              <w:adjustRightInd w:val="0"/>
              <w:snapToGrid w:val="0"/>
              <w:spacing w:line="240" w:lineRule="auto"/>
              <w:ind w:right="106"/>
            </w:pPr>
            <w:r w:rsidRPr="004635E5">
              <w:rPr>
                <w:w w:val="95"/>
              </w:rPr>
              <w:t>0.76</w:t>
            </w:r>
          </w:p>
        </w:tc>
        <w:tc>
          <w:tcPr>
            <w:tcW w:w="743" w:type="dxa"/>
          </w:tcPr>
          <w:p w14:paraId="61AA2574" w14:textId="77777777" w:rsidR="00270656" w:rsidRPr="004635E5" w:rsidRDefault="00270656" w:rsidP="006633A8">
            <w:pPr>
              <w:pStyle w:val="TableParagraph"/>
              <w:adjustRightInd w:val="0"/>
              <w:snapToGrid w:val="0"/>
              <w:spacing w:line="240" w:lineRule="auto"/>
              <w:ind w:right="134"/>
            </w:pPr>
            <w:r w:rsidRPr="004635E5">
              <w:rPr>
                <w:w w:val="95"/>
              </w:rPr>
              <w:t>0.95</w:t>
            </w:r>
          </w:p>
        </w:tc>
        <w:tc>
          <w:tcPr>
            <w:tcW w:w="697" w:type="dxa"/>
          </w:tcPr>
          <w:p w14:paraId="576BB585" w14:textId="77777777" w:rsidR="00270656" w:rsidRPr="004635E5" w:rsidRDefault="00270656" w:rsidP="006633A8">
            <w:pPr>
              <w:pStyle w:val="TableParagraph"/>
              <w:adjustRightInd w:val="0"/>
              <w:snapToGrid w:val="0"/>
              <w:spacing w:line="240" w:lineRule="auto"/>
              <w:ind w:right="125"/>
            </w:pPr>
            <w:r w:rsidRPr="004635E5">
              <w:rPr>
                <w:w w:val="95"/>
              </w:rPr>
              <w:t>0.47</w:t>
            </w:r>
          </w:p>
        </w:tc>
        <w:tc>
          <w:tcPr>
            <w:tcW w:w="682" w:type="dxa"/>
          </w:tcPr>
          <w:p w14:paraId="5A1F9C1C" w14:textId="77777777" w:rsidR="00270656" w:rsidRPr="004635E5" w:rsidRDefault="00270656" w:rsidP="006633A8">
            <w:pPr>
              <w:pStyle w:val="TableParagraph"/>
              <w:adjustRightInd w:val="0"/>
              <w:snapToGrid w:val="0"/>
              <w:spacing w:line="240" w:lineRule="auto"/>
              <w:ind w:left="197" w:right="40"/>
              <w:jc w:val="center"/>
            </w:pPr>
            <w:r w:rsidRPr="004635E5">
              <w:t>1.54</w:t>
            </w:r>
          </w:p>
        </w:tc>
      </w:tr>
      <w:tr w:rsidR="00270656" w:rsidRPr="004635E5" w14:paraId="2809D3DD" w14:textId="77777777" w:rsidTr="00F32B86">
        <w:trPr>
          <w:trHeight w:hRule="exact" w:val="206"/>
        </w:trPr>
        <w:tc>
          <w:tcPr>
            <w:tcW w:w="2305" w:type="dxa"/>
          </w:tcPr>
          <w:p w14:paraId="79486B9D" w14:textId="77777777" w:rsidR="00270656" w:rsidRPr="004635E5" w:rsidRDefault="00270656" w:rsidP="006633A8">
            <w:pPr>
              <w:pStyle w:val="TableParagraph"/>
              <w:adjustRightInd w:val="0"/>
              <w:snapToGrid w:val="0"/>
              <w:spacing w:line="240" w:lineRule="auto"/>
              <w:ind w:left="107"/>
            </w:pPr>
            <w:r w:rsidRPr="004635E5">
              <w:t>Relative Fishing Mortality</w:t>
            </w:r>
          </w:p>
        </w:tc>
        <w:tc>
          <w:tcPr>
            <w:tcW w:w="735" w:type="dxa"/>
          </w:tcPr>
          <w:p w14:paraId="6A556CAE" w14:textId="77777777" w:rsidR="00270656" w:rsidRPr="004635E5" w:rsidRDefault="00270656" w:rsidP="006633A8">
            <w:pPr>
              <w:pStyle w:val="TableParagraph"/>
              <w:adjustRightInd w:val="0"/>
              <w:snapToGrid w:val="0"/>
              <w:spacing w:line="240" w:lineRule="auto"/>
              <w:ind w:right="137"/>
            </w:pPr>
            <w:r w:rsidRPr="004635E5">
              <w:rPr>
                <w:w w:val="95"/>
              </w:rPr>
              <w:t>1.29</w:t>
            </w:r>
          </w:p>
        </w:tc>
        <w:tc>
          <w:tcPr>
            <w:tcW w:w="704" w:type="dxa"/>
          </w:tcPr>
          <w:p w14:paraId="6A3738C8" w14:textId="77777777" w:rsidR="00270656" w:rsidRPr="004635E5" w:rsidRDefault="00270656" w:rsidP="006633A8">
            <w:pPr>
              <w:pStyle w:val="TableParagraph"/>
              <w:adjustRightInd w:val="0"/>
              <w:snapToGrid w:val="0"/>
              <w:spacing w:line="240" w:lineRule="auto"/>
              <w:ind w:right="139"/>
            </w:pPr>
            <w:r w:rsidRPr="004635E5">
              <w:rPr>
                <w:w w:val="95"/>
              </w:rPr>
              <w:t>1.57</w:t>
            </w:r>
          </w:p>
        </w:tc>
        <w:tc>
          <w:tcPr>
            <w:tcW w:w="706" w:type="dxa"/>
          </w:tcPr>
          <w:p w14:paraId="638A4E3C" w14:textId="77777777" w:rsidR="00270656" w:rsidRPr="004635E5" w:rsidRDefault="00270656" w:rsidP="006633A8">
            <w:pPr>
              <w:pStyle w:val="TableParagraph"/>
              <w:adjustRightInd w:val="0"/>
              <w:snapToGrid w:val="0"/>
              <w:spacing w:line="240" w:lineRule="auto"/>
              <w:ind w:right="139"/>
            </w:pPr>
            <w:r w:rsidRPr="004635E5">
              <w:rPr>
                <w:w w:val="95"/>
              </w:rPr>
              <w:t>1.27</w:t>
            </w:r>
          </w:p>
        </w:tc>
        <w:tc>
          <w:tcPr>
            <w:tcW w:w="706" w:type="dxa"/>
          </w:tcPr>
          <w:p w14:paraId="4BE83E1F" w14:textId="77777777" w:rsidR="00270656" w:rsidRPr="004635E5" w:rsidRDefault="00270656" w:rsidP="006633A8">
            <w:pPr>
              <w:pStyle w:val="TableParagraph"/>
              <w:adjustRightInd w:val="0"/>
              <w:snapToGrid w:val="0"/>
              <w:spacing w:line="240" w:lineRule="auto"/>
              <w:ind w:left="120" w:right="12"/>
              <w:jc w:val="center"/>
            </w:pPr>
            <w:r w:rsidRPr="004635E5">
              <w:t>1.51</w:t>
            </w:r>
          </w:p>
        </w:tc>
        <w:tc>
          <w:tcPr>
            <w:tcW w:w="703" w:type="dxa"/>
          </w:tcPr>
          <w:p w14:paraId="27A3FB70" w14:textId="77777777" w:rsidR="00270656" w:rsidRPr="004635E5" w:rsidRDefault="00270656" w:rsidP="006633A8">
            <w:pPr>
              <w:pStyle w:val="TableParagraph"/>
              <w:adjustRightInd w:val="0"/>
              <w:snapToGrid w:val="0"/>
              <w:spacing w:line="240" w:lineRule="auto"/>
              <w:ind w:right="136"/>
            </w:pPr>
            <w:r w:rsidRPr="004635E5">
              <w:rPr>
                <w:w w:val="95"/>
              </w:rPr>
              <w:t>1.41</w:t>
            </w:r>
          </w:p>
        </w:tc>
        <w:tc>
          <w:tcPr>
            <w:tcW w:w="703" w:type="dxa"/>
          </w:tcPr>
          <w:p w14:paraId="58F1B8CD" w14:textId="77777777" w:rsidR="00270656" w:rsidRPr="004635E5" w:rsidRDefault="00270656" w:rsidP="006633A8">
            <w:pPr>
              <w:pStyle w:val="TableParagraph"/>
              <w:adjustRightInd w:val="0"/>
              <w:snapToGrid w:val="0"/>
              <w:spacing w:line="240" w:lineRule="auto"/>
              <w:ind w:right="139"/>
            </w:pPr>
            <w:r w:rsidRPr="004635E5">
              <w:rPr>
                <w:w w:val="95"/>
              </w:rPr>
              <w:t>1.53</w:t>
            </w:r>
          </w:p>
        </w:tc>
        <w:tc>
          <w:tcPr>
            <w:tcW w:w="673" w:type="dxa"/>
          </w:tcPr>
          <w:p w14:paraId="4C4B6464" w14:textId="77777777" w:rsidR="00270656" w:rsidRPr="004635E5" w:rsidRDefault="00270656" w:rsidP="006633A8">
            <w:pPr>
              <w:pStyle w:val="TableParagraph"/>
              <w:adjustRightInd w:val="0"/>
              <w:snapToGrid w:val="0"/>
              <w:spacing w:line="240" w:lineRule="auto"/>
              <w:ind w:right="106"/>
            </w:pPr>
            <w:r w:rsidRPr="004635E5">
              <w:rPr>
                <w:w w:val="95"/>
              </w:rPr>
              <w:t>1.20</w:t>
            </w:r>
          </w:p>
        </w:tc>
        <w:tc>
          <w:tcPr>
            <w:tcW w:w="743" w:type="dxa"/>
          </w:tcPr>
          <w:p w14:paraId="03573AF5" w14:textId="77777777" w:rsidR="00270656" w:rsidRPr="004635E5" w:rsidRDefault="00270656" w:rsidP="006633A8">
            <w:pPr>
              <w:pStyle w:val="TableParagraph"/>
              <w:adjustRightInd w:val="0"/>
              <w:snapToGrid w:val="0"/>
              <w:spacing w:line="240" w:lineRule="auto"/>
              <w:ind w:right="134"/>
            </w:pPr>
            <w:r w:rsidRPr="004635E5">
              <w:rPr>
                <w:w w:val="95"/>
              </w:rPr>
              <w:t>1.50</w:t>
            </w:r>
          </w:p>
        </w:tc>
        <w:tc>
          <w:tcPr>
            <w:tcW w:w="697" w:type="dxa"/>
          </w:tcPr>
          <w:p w14:paraId="447D6853" w14:textId="77777777" w:rsidR="00270656" w:rsidRPr="004635E5" w:rsidRDefault="00270656" w:rsidP="006633A8">
            <w:pPr>
              <w:pStyle w:val="TableParagraph"/>
              <w:adjustRightInd w:val="0"/>
              <w:snapToGrid w:val="0"/>
              <w:spacing w:line="240" w:lineRule="auto"/>
              <w:ind w:right="125"/>
            </w:pPr>
            <w:r w:rsidRPr="004635E5">
              <w:rPr>
                <w:w w:val="95"/>
              </w:rPr>
              <w:t>0.74</w:t>
            </w:r>
          </w:p>
        </w:tc>
        <w:tc>
          <w:tcPr>
            <w:tcW w:w="682" w:type="dxa"/>
          </w:tcPr>
          <w:p w14:paraId="1A180F26" w14:textId="77777777" w:rsidR="00270656" w:rsidRPr="004635E5" w:rsidRDefault="00270656" w:rsidP="006633A8">
            <w:pPr>
              <w:pStyle w:val="TableParagraph"/>
              <w:adjustRightInd w:val="0"/>
              <w:snapToGrid w:val="0"/>
              <w:spacing w:line="240" w:lineRule="auto"/>
              <w:ind w:left="197" w:right="40"/>
              <w:jc w:val="center"/>
            </w:pPr>
            <w:r w:rsidRPr="004635E5">
              <w:t>2.44</w:t>
            </w:r>
          </w:p>
        </w:tc>
      </w:tr>
      <w:tr w:rsidR="00270656" w:rsidRPr="004635E5" w14:paraId="01CAD754" w14:textId="77777777" w:rsidTr="00F32B86">
        <w:trPr>
          <w:trHeight w:hRule="exact" w:val="206"/>
        </w:trPr>
        <w:tc>
          <w:tcPr>
            <w:tcW w:w="2305" w:type="dxa"/>
          </w:tcPr>
          <w:p w14:paraId="1C117B76" w14:textId="77777777" w:rsidR="00270656" w:rsidRPr="004635E5" w:rsidRDefault="00270656" w:rsidP="006633A8">
            <w:pPr>
              <w:pStyle w:val="TableParagraph"/>
              <w:adjustRightInd w:val="0"/>
              <w:snapToGrid w:val="0"/>
              <w:spacing w:line="240" w:lineRule="auto"/>
              <w:ind w:left="107"/>
            </w:pPr>
            <w:r w:rsidRPr="004635E5">
              <w:t>Exploitation Rate</w:t>
            </w:r>
          </w:p>
        </w:tc>
        <w:tc>
          <w:tcPr>
            <w:tcW w:w="735" w:type="dxa"/>
          </w:tcPr>
          <w:p w14:paraId="65BA1DDB" w14:textId="77777777" w:rsidR="00270656" w:rsidRPr="004635E5" w:rsidRDefault="00270656" w:rsidP="006633A8">
            <w:pPr>
              <w:pStyle w:val="TableParagraph"/>
              <w:adjustRightInd w:val="0"/>
              <w:snapToGrid w:val="0"/>
              <w:spacing w:line="240" w:lineRule="auto"/>
              <w:ind w:right="135"/>
            </w:pPr>
            <w:r w:rsidRPr="004635E5">
              <w:t>45%</w:t>
            </w:r>
          </w:p>
        </w:tc>
        <w:tc>
          <w:tcPr>
            <w:tcW w:w="704" w:type="dxa"/>
          </w:tcPr>
          <w:p w14:paraId="3018390B" w14:textId="77777777" w:rsidR="00270656" w:rsidRPr="004635E5" w:rsidRDefault="00270656" w:rsidP="006633A8">
            <w:pPr>
              <w:pStyle w:val="TableParagraph"/>
              <w:adjustRightInd w:val="0"/>
              <w:snapToGrid w:val="0"/>
              <w:spacing w:line="240" w:lineRule="auto"/>
              <w:ind w:right="136"/>
            </w:pPr>
            <w:r w:rsidRPr="004635E5">
              <w:t>52%</w:t>
            </w:r>
          </w:p>
        </w:tc>
        <w:tc>
          <w:tcPr>
            <w:tcW w:w="706" w:type="dxa"/>
          </w:tcPr>
          <w:p w14:paraId="2C5136B6" w14:textId="77777777" w:rsidR="00270656" w:rsidRPr="004635E5" w:rsidRDefault="00270656" w:rsidP="006633A8">
            <w:pPr>
              <w:pStyle w:val="TableParagraph"/>
              <w:adjustRightInd w:val="0"/>
              <w:snapToGrid w:val="0"/>
              <w:spacing w:line="240" w:lineRule="auto"/>
              <w:ind w:right="136"/>
            </w:pPr>
            <w:r w:rsidRPr="004635E5">
              <w:t>39%</w:t>
            </w:r>
          </w:p>
        </w:tc>
        <w:tc>
          <w:tcPr>
            <w:tcW w:w="706" w:type="dxa"/>
          </w:tcPr>
          <w:p w14:paraId="42ACA42E" w14:textId="77777777" w:rsidR="00270656" w:rsidRPr="004635E5" w:rsidRDefault="00270656" w:rsidP="006633A8">
            <w:pPr>
              <w:pStyle w:val="TableParagraph"/>
              <w:adjustRightInd w:val="0"/>
              <w:snapToGrid w:val="0"/>
              <w:spacing w:line="240" w:lineRule="auto"/>
              <w:ind w:left="120" w:right="24"/>
              <w:jc w:val="center"/>
            </w:pPr>
            <w:r w:rsidRPr="004635E5">
              <w:t>55%</w:t>
            </w:r>
          </w:p>
        </w:tc>
        <w:tc>
          <w:tcPr>
            <w:tcW w:w="703" w:type="dxa"/>
          </w:tcPr>
          <w:p w14:paraId="74235E29" w14:textId="77777777" w:rsidR="00270656" w:rsidRPr="004635E5" w:rsidRDefault="00270656" w:rsidP="006633A8">
            <w:pPr>
              <w:pStyle w:val="TableParagraph"/>
              <w:adjustRightInd w:val="0"/>
              <w:snapToGrid w:val="0"/>
              <w:spacing w:line="240" w:lineRule="auto"/>
              <w:ind w:right="134"/>
            </w:pPr>
            <w:r w:rsidRPr="004635E5">
              <w:t>40%</w:t>
            </w:r>
          </w:p>
        </w:tc>
        <w:tc>
          <w:tcPr>
            <w:tcW w:w="703" w:type="dxa"/>
          </w:tcPr>
          <w:p w14:paraId="0BE048DA" w14:textId="77777777" w:rsidR="00270656" w:rsidRPr="004635E5" w:rsidRDefault="00270656" w:rsidP="006633A8">
            <w:pPr>
              <w:pStyle w:val="TableParagraph"/>
              <w:adjustRightInd w:val="0"/>
              <w:snapToGrid w:val="0"/>
              <w:spacing w:line="240" w:lineRule="auto"/>
              <w:ind w:right="136"/>
            </w:pPr>
            <w:r w:rsidRPr="004635E5">
              <w:t>48%</w:t>
            </w:r>
          </w:p>
        </w:tc>
        <w:tc>
          <w:tcPr>
            <w:tcW w:w="673" w:type="dxa"/>
          </w:tcPr>
          <w:p w14:paraId="365793B6" w14:textId="77777777" w:rsidR="00270656" w:rsidRPr="004635E5" w:rsidRDefault="00270656" w:rsidP="006633A8">
            <w:pPr>
              <w:pStyle w:val="TableParagraph"/>
              <w:adjustRightInd w:val="0"/>
              <w:snapToGrid w:val="0"/>
              <w:spacing w:line="240" w:lineRule="auto"/>
              <w:ind w:right="104"/>
            </w:pPr>
            <w:r w:rsidRPr="004635E5">
              <w:t>44%</w:t>
            </w:r>
          </w:p>
        </w:tc>
        <w:tc>
          <w:tcPr>
            <w:tcW w:w="743" w:type="dxa"/>
          </w:tcPr>
          <w:p w14:paraId="58CA6FA7" w14:textId="77777777" w:rsidR="00270656" w:rsidRPr="004635E5" w:rsidRDefault="00270656" w:rsidP="006633A8">
            <w:pPr>
              <w:pStyle w:val="TableParagraph"/>
              <w:adjustRightInd w:val="0"/>
              <w:snapToGrid w:val="0"/>
              <w:spacing w:line="240" w:lineRule="auto"/>
              <w:ind w:right="132"/>
            </w:pPr>
            <w:r w:rsidRPr="004635E5">
              <w:t>48%</w:t>
            </w:r>
          </w:p>
        </w:tc>
        <w:tc>
          <w:tcPr>
            <w:tcW w:w="697" w:type="dxa"/>
          </w:tcPr>
          <w:p w14:paraId="692A3EE5" w14:textId="77777777" w:rsidR="00270656" w:rsidRPr="004635E5" w:rsidRDefault="00270656" w:rsidP="006633A8">
            <w:pPr>
              <w:pStyle w:val="TableParagraph"/>
              <w:adjustRightInd w:val="0"/>
              <w:snapToGrid w:val="0"/>
              <w:spacing w:line="240" w:lineRule="auto"/>
              <w:ind w:right="123"/>
            </w:pPr>
            <w:r w:rsidRPr="004635E5">
              <w:t>32%</w:t>
            </w:r>
          </w:p>
        </w:tc>
        <w:tc>
          <w:tcPr>
            <w:tcW w:w="682" w:type="dxa"/>
          </w:tcPr>
          <w:p w14:paraId="14BBC03E" w14:textId="77777777" w:rsidR="00270656" w:rsidRPr="004635E5" w:rsidRDefault="00270656" w:rsidP="006633A8">
            <w:pPr>
              <w:pStyle w:val="TableParagraph"/>
              <w:adjustRightInd w:val="0"/>
              <w:snapToGrid w:val="0"/>
              <w:spacing w:line="240" w:lineRule="auto"/>
              <w:ind w:left="197" w:right="52"/>
              <w:jc w:val="center"/>
            </w:pPr>
            <w:r w:rsidRPr="004635E5">
              <w:t>65%</w:t>
            </w:r>
          </w:p>
        </w:tc>
      </w:tr>
      <w:tr w:rsidR="00270656" w:rsidRPr="004635E5" w14:paraId="4E476685" w14:textId="77777777" w:rsidTr="00F32B86">
        <w:trPr>
          <w:trHeight w:hRule="exact" w:val="208"/>
        </w:trPr>
        <w:tc>
          <w:tcPr>
            <w:tcW w:w="2305" w:type="dxa"/>
            <w:tcBorders>
              <w:bottom w:val="single" w:sz="3" w:space="0" w:color="000000"/>
            </w:tcBorders>
          </w:tcPr>
          <w:p w14:paraId="5DB36BF5" w14:textId="77777777" w:rsidR="00270656" w:rsidRPr="004635E5" w:rsidRDefault="00270656" w:rsidP="006633A8">
            <w:pPr>
              <w:pStyle w:val="TableParagraph"/>
              <w:adjustRightInd w:val="0"/>
              <w:snapToGrid w:val="0"/>
              <w:spacing w:line="240" w:lineRule="auto"/>
              <w:ind w:left="107"/>
            </w:pPr>
            <w:r w:rsidRPr="004635E5">
              <w:t>Spawning Potential Ratio</w:t>
            </w:r>
          </w:p>
        </w:tc>
        <w:tc>
          <w:tcPr>
            <w:tcW w:w="735" w:type="dxa"/>
            <w:tcBorders>
              <w:bottom w:val="single" w:sz="3" w:space="0" w:color="000000"/>
            </w:tcBorders>
          </w:tcPr>
          <w:p w14:paraId="474189EC" w14:textId="77777777" w:rsidR="00270656" w:rsidRPr="004635E5" w:rsidRDefault="00270656" w:rsidP="006633A8">
            <w:pPr>
              <w:pStyle w:val="TableParagraph"/>
              <w:adjustRightInd w:val="0"/>
              <w:snapToGrid w:val="0"/>
              <w:spacing w:line="240" w:lineRule="auto"/>
              <w:ind w:right="135"/>
            </w:pPr>
            <w:r w:rsidRPr="004635E5">
              <w:t>15%</w:t>
            </w:r>
          </w:p>
        </w:tc>
        <w:tc>
          <w:tcPr>
            <w:tcW w:w="704" w:type="dxa"/>
            <w:tcBorders>
              <w:bottom w:val="single" w:sz="3" w:space="0" w:color="000000"/>
            </w:tcBorders>
          </w:tcPr>
          <w:p w14:paraId="3854ED24" w14:textId="77777777" w:rsidR="00270656" w:rsidRPr="004635E5" w:rsidRDefault="00270656" w:rsidP="006633A8">
            <w:pPr>
              <w:pStyle w:val="TableParagraph"/>
              <w:adjustRightInd w:val="0"/>
              <w:snapToGrid w:val="0"/>
              <w:spacing w:line="240" w:lineRule="auto"/>
              <w:ind w:right="136"/>
            </w:pPr>
            <w:r w:rsidRPr="004635E5">
              <w:t>12%</w:t>
            </w:r>
          </w:p>
        </w:tc>
        <w:tc>
          <w:tcPr>
            <w:tcW w:w="706" w:type="dxa"/>
            <w:tcBorders>
              <w:bottom w:val="single" w:sz="3" w:space="0" w:color="000000"/>
            </w:tcBorders>
          </w:tcPr>
          <w:p w14:paraId="2D1A3FB7" w14:textId="77777777" w:rsidR="00270656" w:rsidRPr="004635E5" w:rsidRDefault="00270656" w:rsidP="006633A8">
            <w:pPr>
              <w:pStyle w:val="TableParagraph"/>
              <w:adjustRightInd w:val="0"/>
              <w:snapToGrid w:val="0"/>
              <w:spacing w:line="240" w:lineRule="auto"/>
              <w:ind w:right="136"/>
            </w:pPr>
            <w:r w:rsidRPr="004635E5">
              <w:t>16%</w:t>
            </w:r>
          </w:p>
        </w:tc>
        <w:tc>
          <w:tcPr>
            <w:tcW w:w="706" w:type="dxa"/>
            <w:tcBorders>
              <w:bottom w:val="single" w:sz="3" w:space="0" w:color="000000"/>
            </w:tcBorders>
          </w:tcPr>
          <w:p w14:paraId="630B2DD0" w14:textId="77777777" w:rsidR="00270656" w:rsidRPr="004635E5" w:rsidRDefault="00270656" w:rsidP="006633A8">
            <w:pPr>
              <w:pStyle w:val="TableParagraph"/>
              <w:adjustRightInd w:val="0"/>
              <w:snapToGrid w:val="0"/>
              <w:spacing w:line="240" w:lineRule="auto"/>
              <w:ind w:left="120" w:right="24"/>
              <w:jc w:val="center"/>
            </w:pPr>
            <w:r w:rsidRPr="004635E5">
              <w:t>13%</w:t>
            </w:r>
          </w:p>
        </w:tc>
        <w:tc>
          <w:tcPr>
            <w:tcW w:w="703" w:type="dxa"/>
            <w:tcBorders>
              <w:bottom w:val="single" w:sz="3" w:space="0" w:color="000000"/>
            </w:tcBorders>
          </w:tcPr>
          <w:p w14:paraId="3EE978B4" w14:textId="77777777" w:rsidR="00270656" w:rsidRPr="004635E5" w:rsidRDefault="00270656" w:rsidP="006633A8">
            <w:pPr>
              <w:pStyle w:val="TableParagraph"/>
              <w:adjustRightInd w:val="0"/>
              <w:snapToGrid w:val="0"/>
              <w:spacing w:line="240" w:lineRule="auto"/>
              <w:ind w:right="134"/>
            </w:pPr>
            <w:r w:rsidRPr="004635E5">
              <w:t>12%</w:t>
            </w:r>
          </w:p>
        </w:tc>
        <w:tc>
          <w:tcPr>
            <w:tcW w:w="703" w:type="dxa"/>
            <w:tcBorders>
              <w:bottom w:val="single" w:sz="3" w:space="0" w:color="000000"/>
            </w:tcBorders>
          </w:tcPr>
          <w:p w14:paraId="1DC859B3" w14:textId="77777777" w:rsidR="00270656" w:rsidRPr="004635E5" w:rsidRDefault="00270656" w:rsidP="006633A8">
            <w:pPr>
              <w:pStyle w:val="TableParagraph"/>
              <w:adjustRightInd w:val="0"/>
              <w:snapToGrid w:val="0"/>
              <w:spacing w:line="240" w:lineRule="auto"/>
              <w:ind w:right="136"/>
            </w:pPr>
            <w:r w:rsidRPr="004635E5">
              <w:t>12%</w:t>
            </w:r>
          </w:p>
        </w:tc>
        <w:tc>
          <w:tcPr>
            <w:tcW w:w="673" w:type="dxa"/>
            <w:tcBorders>
              <w:bottom w:val="single" w:sz="3" w:space="0" w:color="000000"/>
            </w:tcBorders>
          </w:tcPr>
          <w:p w14:paraId="2A25E65F" w14:textId="77777777" w:rsidR="00270656" w:rsidRPr="004635E5" w:rsidRDefault="00270656" w:rsidP="006633A8">
            <w:pPr>
              <w:pStyle w:val="TableParagraph"/>
              <w:adjustRightInd w:val="0"/>
              <w:snapToGrid w:val="0"/>
              <w:spacing w:line="240" w:lineRule="auto"/>
              <w:ind w:right="104"/>
            </w:pPr>
            <w:r w:rsidRPr="004635E5">
              <w:t>14%</w:t>
            </w:r>
          </w:p>
        </w:tc>
        <w:tc>
          <w:tcPr>
            <w:tcW w:w="743" w:type="dxa"/>
            <w:tcBorders>
              <w:bottom w:val="single" w:sz="3" w:space="0" w:color="000000"/>
            </w:tcBorders>
          </w:tcPr>
          <w:p w14:paraId="0B0382C9" w14:textId="77777777" w:rsidR="00270656" w:rsidRPr="004635E5" w:rsidRDefault="00270656" w:rsidP="006633A8">
            <w:pPr>
              <w:pStyle w:val="TableParagraph"/>
              <w:adjustRightInd w:val="0"/>
              <w:snapToGrid w:val="0"/>
              <w:spacing w:line="240" w:lineRule="auto"/>
              <w:ind w:right="132"/>
            </w:pPr>
            <w:r w:rsidRPr="004635E5">
              <w:t>13%</w:t>
            </w:r>
          </w:p>
        </w:tc>
        <w:tc>
          <w:tcPr>
            <w:tcW w:w="697" w:type="dxa"/>
            <w:tcBorders>
              <w:bottom w:val="single" w:sz="3" w:space="0" w:color="000000"/>
            </w:tcBorders>
          </w:tcPr>
          <w:p w14:paraId="20BD1C4F" w14:textId="77777777" w:rsidR="00270656" w:rsidRPr="004635E5" w:rsidRDefault="00270656" w:rsidP="006633A8">
            <w:pPr>
              <w:pStyle w:val="TableParagraph"/>
              <w:adjustRightInd w:val="0"/>
              <w:snapToGrid w:val="0"/>
              <w:spacing w:line="240" w:lineRule="auto"/>
              <w:ind w:right="123"/>
            </w:pPr>
            <w:r w:rsidRPr="004635E5">
              <w:t>7%</w:t>
            </w:r>
          </w:p>
        </w:tc>
        <w:tc>
          <w:tcPr>
            <w:tcW w:w="682" w:type="dxa"/>
            <w:tcBorders>
              <w:bottom w:val="single" w:sz="3" w:space="0" w:color="000000"/>
            </w:tcBorders>
          </w:tcPr>
          <w:p w14:paraId="11F3BA86" w14:textId="77777777" w:rsidR="00270656" w:rsidRPr="004635E5" w:rsidRDefault="00270656" w:rsidP="006633A8">
            <w:pPr>
              <w:pStyle w:val="TableParagraph"/>
              <w:adjustRightInd w:val="0"/>
              <w:snapToGrid w:val="0"/>
              <w:spacing w:line="240" w:lineRule="auto"/>
              <w:ind w:left="197" w:right="52"/>
              <w:jc w:val="center"/>
            </w:pPr>
            <w:r w:rsidRPr="004635E5">
              <w:t>24%</w:t>
            </w:r>
          </w:p>
        </w:tc>
      </w:tr>
    </w:tbl>
    <w:p w14:paraId="2434CCDE" w14:textId="77777777" w:rsidR="00270656" w:rsidRPr="004635E5" w:rsidRDefault="00270656" w:rsidP="006633A8">
      <w:pPr>
        <w:adjustRightInd w:val="0"/>
        <w:snapToGrid w:val="0"/>
        <w:ind w:left="120"/>
        <w:jc w:val="both"/>
        <w:rPr>
          <w:sz w:val="22"/>
          <w:szCs w:val="22"/>
        </w:rPr>
      </w:pPr>
      <w:r w:rsidRPr="004635E5">
        <w:rPr>
          <w:position w:val="6"/>
          <w:sz w:val="22"/>
          <w:szCs w:val="22"/>
        </w:rPr>
        <w:t xml:space="preserve">1 </w:t>
      </w:r>
      <w:r w:rsidRPr="004635E5">
        <w:rPr>
          <w:sz w:val="22"/>
          <w:szCs w:val="22"/>
        </w:rPr>
        <w:t>During 1975-2013</w:t>
      </w:r>
    </w:p>
    <w:p w14:paraId="18A41E3E" w14:textId="77777777" w:rsidR="00270656" w:rsidRPr="004635E5" w:rsidRDefault="00270656" w:rsidP="006633A8">
      <w:pPr>
        <w:pStyle w:val="BodyText"/>
        <w:adjustRightInd w:val="0"/>
        <w:snapToGrid w:val="0"/>
        <w:rPr>
          <w:b/>
          <w:i/>
          <w:sz w:val="22"/>
          <w:szCs w:val="22"/>
        </w:rPr>
      </w:pPr>
    </w:p>
    <w:p w14:paraId="6B28EFD6" w14:textId="77777777" w:rsidR="00270656" w:rsidRPr="004635E5" w:rsidRDefault="00270656" w:rsidP="006633A8">
      <w:pPr>
        <w:pStyle w:val="Heading3"/>
        <w:adjustRightInd w:val="0"/>
        <w:snapToGrid w:val="0"/>
        <w:spacing w:before="0"/>
        <w:ind w:left="720" w:right="154"/>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When the status of striped marlin is evaluated relative to MSY-based reference points, the 2013 spawning stock biomass is 61% below SSB</w:t>
      </w:r>
      <w:r w:rsidRPr="004635E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xml:space="preserve"> (2819 t) and the 2010-2012 fishing mortality exceeds F</w:t>
      </w:r>
      <w:r w:rsidRPr="004635E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xml:space="preserve"> by 49%. Therefore, overfishing is occurring relative to MSY-based reference points and the WCNPO striped marlin stock is overfished.”</w:t>
      </w:r>
    </w:p>
    <w:p w14:paraId="1C85D13E" w14:textId="77777777" w:rsidR="00270656" w:rsidRPr="004635E5" w:rsidRDefault="00270656" w:rsidP="006633A8">
      <w:pPr>
        <w:pStyle w:val="BodyText"/>
        <w:adjustRightInd w:val="0"/>
        <w:snapToGrid w:val="0"/>
        <w:rPr>
          <w:sz w:val="22"/>
          <w:szCs w:val="22"/>
        </w:rPr>
      </w:pPr>
    </w:p>
    <w:p w14:paraId="54B8EB99" w14:textId="77777777" w:rsidR="00270656" w:rsidRPr="00132438" w:rsidRDefault="00270656" w:rsidP="00580EA4">
      <w:pPr>
        <w:pStyle w:val="WCPFC"/>
        <w:numPr>
          <w:ilvl w:val="0"/>
          <w:numId w:val="162"/>
        </w:numPr>
        <w:ind w:left="0" w:firstLine="0"/>
        <w:rPr>
          <w:b/>
          <w:bCs/>
        </w:rPr>
      </w:pPr>
      <w:r w:rsidRPr="00132438">
        <w:rPr>
          <w:b/>
          <w:bCs/>
        </w:rPr>
        <w:t>Management advice and implications</w:t>
      </w:r>
    </w:p>
    <w:p w14:paraId="55332FA3" w14:textId="77777777" w:rsidR="00270656" w:rsidRPr="004635E5" w:rsidRDefault="00270656" w:rsidP="00580EA4">
      <w:pPr>
        <w:numPr>
          <w:ilvl w:val="0"/>
          <w:numId w:val="18"/>
        </w:numPr>
        <w:autoSpaceDE w:val="0"/>
        <w:autoSpaceDN w:val="0"/>
        <w:adjustRightInd w:val="0"/>
        <w:snapToGrid w:val="0"/>
        <w:ind w:left="0" w:firstLine="0"/>
        <w:jc w:val="both"/>
        <w:rPr>
          <w:rStyle w:val="Hyperlink"/>
          <w:b/>
          <w:bCs/>
          <w:sz w:val="22"/>
          <w:szCs w:val="22"/>
          <w:lang w:val="en-AU" w:eastAsia="ko-KR"/>
        </w:rPr>
      </w:pPr>
      <w:r w:rsidRPr="004635E5">
        <w:rPr>
          <w:b/>
          <w:sz w:val="22"/>
          <w:szCs w:val="22"/>
        </w:rPr>
        <w:t xml:space="preserve">SC14 noted that no management advice has been provided since SC11 for North Pacific striped marlin. Therefore, previous advice should be maintained, pending a new assessment or other new information. </w:t>
      </w:r>
      <w:r w:rsidRPr="004635E5">
        <w:rPr>
          <w:b/>
          <w:bCs/>
          <w:sz w:val="22"/>
          <w:szCs w:val="22"/>
          <w:lang w:val="en-AU"/>
        </w:rPr>
        <w:t>For further information on the management advice and implications from SC11, please see</w:t>
      </w:r>
      <w:r w:rsidRPr="004635E5">
        <w:rPr>
          <w:b/>
          <w:bCs/>
          <w:sz w:val="22"/>
          <w:szCs w:val="22"/>
          <w:lang w:val="en-AU" w:eastAsia="ko-KR"/>
        </w:rPr>
        <w:t xml:space="preserve"> </w:t>
      </w:r>
      <w:hyperlink r:id="rId134" w:history="1">
        <w:r w:rsidR="004A07CA" w:rsidRPr="004635E5">
          <w:rPr>
            <w:rStyle w:val="Hyperlink"/>
            <w:b/>
            <w:sz w:val="22"/>
            <w:szCs w:val="22"/>
          </w:rPr>
          <w:t>https://www.wcpfc.int/node/26922</w:t>
        </w:r>
      </w:hyperlink>
    </w:p>
    <w:p w14:paraId="27B75F00" w14:textId="77777777" w:rsidR="00270656" w:rsidRPr="004635E5" w:rsidRDefault="00270656" w:rsidP="006633A8">
      <w:pPr>
        <w:pStyle w:val="ListParagraph"/>
        <w:tabs>
          <w:tab w:val="left" w:pos="820"/>
        </w:tabs>
        <w:adjustRightInd w:val="0"/>
        <w:snapToGrid w:val="0"/>
        <w:ind w:right="117"/>
        <w:rPr>
          <w:b/>
          <w:sz w:val="22"/>
          <w:szCs w:val="22"/>
        </w:rPr>
      </w:pPr>
    </w:p>
    <w:p w14:paraId="40C45439" w14:textId="77777777" w:rsidR="00270656" w:rsidRPr="004635E5" w:rsidRDefault="00270656" w:rsidP="00580EA4">
      <w:pPr>
        <w:numPr>
          <w:ilvl w:val="0"/>
          <w:numId w:val="18"/>
        </w:numPr>
        <w:autoSpaceDE w:val="0"/>
        <w:autoSpaceDN w:val="0"/>
        <w:adjustRightInd w:val="0"/>
        <w:snapToGrid w:val="0"/>
        <w:ind w:left="0" w:firstLine="0"/>
        <w:jc w:val="both"/>
        <w:rPr>
          <w:b/>
          <w:sz w:val="22"/>
          <w:szCs w:val="22"/>
        </w:rPr>
      </w:pPr>
      <w:r w:rsidRPr="004635E5">
        <w:rPr>
          <w:b/>
          <w:sz w:val="22"/>
          <w:szCs w:val="22"/>
        </w:rPr>
        <w:t>To emphasize the importance of developing a stock rebuilding plan for North Pacific striped marlin, SC14 reiterated the following management advice and information, excerpted from SC11.</w:t>
      </w:r>
    </w:p>
    <w:p w14:paraId="46DFE4A6" w14:textId="77777777" w:rsidR="00270656" w:rsidRPr="004635E5" w:rsidRDefault="00270656" w:rsidP="006633A8">
      <w:pPr>
        <w:pStyle w:val="ListParagraph"/>
        <w:tabs>
          <w:tab w:val="left" w:pos="820"/>
        </w:tabs>
        <w:adjustRightInd w:val="0"/>
        <w:snapToGrid w:val="0"/>
        <w:ind w:right="116"/>
        <w:rPr>
          <w:b/>
          <w:sz w:val="22"/>
          <w:szCs w:val="22"/>
        </w:rPr>
      </w:pPr>
    </w:p>
    <w:p w14:paraId="16539B42" w14:textId="77777777" w:rsidR="00270656" w:rsidRPr="004635E5" w:rsidRDefault="00270656" w:rsidP="006633A8">
      <w:pPr>
        <w:pStyle w:val="ListParagraph"/>
        <w:adjustRightInd w:val="0"/>
        <w:snapToGrid w:val="0"/>
        <w:ind w:right="116"/>
        <w:jc w:val="both"/>
        <w:rPr>
          <w:b/>
          <w:bCs/>
          <w:sz w:val="22"/>
          <w:szCs w:val="22"/>
        </w:rPr>
      </w:pPr>
      <w:r w:rsidRPr="004635E5">
        <w:rPr>
          <w:b/>
          <w:bCs/>
          <w:sz w:val="22"/>
          <w:szCs w:val="22"/>
        </w:rPr>
        <w:t>“SC11 noted the following conservation advice from ISC.</w:t>
      </w:r>
    </w:p>
    <w:p w14:paraId="2077FC7C" w14:textId="77777777" w:rsidR="00A61B2B" w:rsidRPr="004635E5" w:rsidRDefault="00270656" w:rsidP="006633A8">
      <w:pPr>
        <w:pStyle w:val="Heading3"/>
        <w:adjustRightInd w:val="0"/>
        <w:snapToGrid w:val="0"/>
        <w:spacing w:before="0"/>
        <w:ind w:left="720" w:right="221"/>
        <w:jc w:val="both"/>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The stock has been in an overfished condition since 1977, with the exception of 1982 and 1983, and fishing appears to be impeding rebuilding especially if recent low recruitment levels persist.</w:t>
      </w:r>
    </w:p>
    <w:p w14:paraId="361DDBCB" w14:textId="77777777" w:rsidR="00270656" w:rsidRPr="004635E5" w:rsidRDefault="00270656" w:rsidP="006633A8">
      <w:pPr>
        <w:pStyle w:val="Heading3"/>
        <w:adjustRightInd w:val="0"/>
        <w:snapToGrid w:val="0"/>
        <w:spacing w:before="0"/>
        <w:ind w:left="720" w:right="221"/>
        <w:jc w:val="both"/>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Projection results show that fishing at F</w:t>
      </w:r>
      <w:r w:rsidRPr="004E1B0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xml:space="preserve"> could lead to median spawning biomass increases of 25%, 55%, and 95% from 2015 to 2020 under the recent recruitment, medium- term recruitment, and stock recruitment-curve scenarios.</w:t>
      </w:r>
    </w:p>
    <w:p w14:paraId="3285BDCF" w14:textId="77777777" w:rsidR="00270656" w:rsidRPr="004635E5" w:rsidRDefault="00270656" w:rsidP="006633A8">
      <w:pPr>
        <w:pStyle w:val="Heading3"/>
        <w:adjustRightInd w:val="0"/>
        <w:snapToGrid w:val="0"/>
        <w:spacing w:before="0"/>
        <w:ind w:left="750" w:right="214"/>
        <w:jc w:val="both"/>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Fishing at a constant catch of 2,850 t could lead to potential increases in spawning biomass of 19% to over 191% by 2020, depending upon the recruitment scenario.</w:t>
      </w:r>
    </w:p>
    <w:p w14:paraId="4FCF777A" w14:textId="77777777" w:rsidR="00270656" w:rsidRPr="004635E5" w:rsidRDefault="00270656" w:rsidP="006633A8">
      <w:pPr>
        <w:pStyle w:val="Heading3"/>
        <w:adjustRightInd w:val="0"/>
        <w:snapToGrid w:val="0"/>
        <w:spacing w:before="0"/>
        <w:ind w:left="750" w:right="136"/>
        <w:jc w:val="both"/>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In comparison, fishing at the 2010-2012 fishing mortality rate, which is 49% above F</w:t>
      </w:r>
      <w:r w:rsidRPr="004E1B0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could lead to changes in spawning stock biomass of -18% to +18% by 2020, while fishing at the average 2001-2003 fishing mortality rate (F2001-2003=1.15), which is 82% above F</w:t>
      </w:r>
      <w:r w:rsidRPr="004E1B0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could lead to spawning stock biomass decreases of -32% to -9% by 2020, depending upon the recruitment</w:t>
      </w:r>
      <w:r w:rsidRPr="004635E5">
        <w:rPr>
          <w:rFonts w:ascii="Times New Roman" w:hAnsi="Times New Roman" w:cs="Times New Roman"/>
          <w:b w:val="0"/>
          <w:color w:val="auto"/>
          <w:spacing w:val="-7"/>
          <w:sz w:val="22"/>
          <w:szCs w:val="22"/>
        </w:rPr>
        <w:t xml:space="preserve"> </w:t>
      </w:r>
      <w:r w:rsidRPr="004635E5">
        <w:rPr>
          <w:rFonts w:ascii="Times New Roman" w:hAnsi="Times New Roman" w:cs="Times New Roman"/>
          <w:b w:val="0"/>
          <w:color w:val="auto"/>
          <w:sz w:val="22"/>
          <w:szCs w:val="22"/>
        </w:rPr>
        <w:t>scenario.</w:t>
      </w:r>
    </w:p>
    <w:p w14:paraId="652775E2" w14:textId="77777777" w:rsidR="00270656" w:rsidRPr="004635E5" w:rsidRDefault="00270656" w:rsidP="006633A8">
      <w:pPr>
        <w:pStyle w:val="ListParagraph"/>
        <w:tabs>
          <w:tab w:val="left" w:pos="820"/>
        </w:tabs>
        <w:adjustRightInd w:val="0"/>
        <w:snapToGrid w:val="0"/>
        <w:ind w:left="750" w:right="117"/>
        <w:jc w:val="both"/>
        <w:rPr>
          <w:b/>
          <w:sz w:val="22"/>
          <w:szCs w:val="22"/>
        </w:rPr>
      </w:pPr>
    </w:p>
    <w:p w14:paraId="35E254E4" w14:textId="77777777" w:rsidR="00270656" w:rsidRPr="004635E5" w:rsidRDefault="00270656" w:rsidP="006633A8">
      <w:pPr>
        <w:adjustRightInd w:val="0"/>
        <w:snapToGrid w:val="0"/>
        <w:ind w:left="750"/>
        <w:jc w:val="both"/>
        <w:rPr>
          <w:b/>
          <w:bCs/>
          <w:sz w:val="22"/>
          <w:szCs w:val="22"/>
        </w:rPr>
      </w:pPr>
      <w:r w:rsidRPr="004635E5">
        <w:rPr>
          <w:b/>
          <w:bCs/>
          <w:sz w:val="22"/>
          <w:szCs w:val="22"/>
        </w:rPr>
        <w:t>SC11 expressed concerns about the updated stock status of WCNPO striped marlin, noting that the stock was overfished (SSB</w:t>
      </w:r>
      <w:r w:rsidRPr="004E1B05">
        <w:rPr>
          <w:b/>
          <w:bCs/>
          <w:sz w:val="22"/>
          <w:szCs w:val="22"/>
          <w:vertAlign w:val="subscript"/>
        </w:rPr>
        <w:t>2013</w:t>
      </w:r>
      <w:r w:rsidRPr="004635E5">
        <w:rPr>
          <w:b/>
          <w:bCs/>
          <w:sz w:val="22"/>
          <w:szCs w:val="22"/>
        </w:rPr>
        <w:t xml:space="preserve"> at 61% below SSB</w:t>
      </w:r>
      <w:r w:rsidRPr="004E1B05">
        <w:rPr>
          <w:b/>
          <w:bCs/>
          <w:sz w:val="22"/>
          <w:szCs w:val="22"/>
          <w:vertAlign w:val="subscript"/>
        </w:rPr>
        <w:t>MSY</w:t>
      </w:r>
      <w:r w:rsidRPr="004635E5">
        <w:rPr>
          <w:b/>
          <w:bCs/>
          <w:sz w:val="22"/>
          <w:szCs w:val="22"/>
        </w:rPr>
        <w:t>) and that overfishing was occurring (F</w:t>
      </w:r>
      <w:r w:rsidRPr="004E1B05">
        <w:rPr>
          <w:b/>
          <w:bCs/>
          <w:sz w:val="22"/>
          <w:szCs w:val="22"/>
          <w:vertAlign w:val="subscript"/>
        </w:rPr>
        <w:t>2010-2012</w:t>
      </w:r>
      <w:r w:rsidRPr="004635E5">
        <w:rPr>
          <w:b/>
          <w:bCs/>
          <w:sz w:val="22"/>
          <w:szCs w:val="22"/>
        </w:rPr>
        <w:t xml:space="preserve"> exceeds F</w:t>
      </w:r>
      <w:r w:rsidRPr="004E1B05">
        <w:rPr>
          <w:b/>
          <w:bCs/>
          <w:sz w:val="22"/>
          <w:szCs w:val="22"/>
          <w:vertAlign w:val="subscript"/>
        </w:rPr>
        <w:t>MSY</w:t>
      </w:r>
      <w:r w:rsidRPr="004635E5">
        <w:rPr>
          <w:b/>
          <w:bCs/>
          <w:sz w:val="22"/>
          <w:szCs w:val="22"/>
        </w:rPr>
        <w:t xml:space="preserve"> by 49%). Although a LRP for billfish species has not been adopted by the WCPFC, SC11 noted that SSB</w:t>
      </w:r>
      <w:r w:rsidRPr="004E1B05">
        <w:rPr>
          <w:b/>
          <w:bCs/>
          <w:sz w:val="22"/>
          <w:szCs w:val="22"/>
          <w:vertAlign w:val="subscript"/>
        </w:rPr>
        <w:t>current</w:t>
      </w:r>
      <w:r w:rsidRPr="004635E5">
        <w:rPr>
          <w:b/>
          <w:bCs/>
          <w:sz w:val="22"/>
          <w:szCs w:val="22"/>
        </w:rPr>
        <w:t>/SSB</w:t>
      </w:r>
      <w:r w:rsidRPr="004E1B05">
        <w:rPr>
          <w:b/>
          <w:bCs/>
          <w:sz w:val="22"/>
          <w:szCs w:val="22"/>
          <w:vertAlign w:val="subscript"/>
        </w:rPr>
        <w:t>current,F=0</w:t>
      </w:r>
      <w:r w:rsidRPr="004635E5">
        <w:rPr>
          <w:b/>
          <w:bCs/>
          <w:sz w:val="22"/>
          <w:szCs w:val="22"/>
        </w:rPr>
        <w:t>=0.12 and is below the LRP adopted for tunas. SC11 also noted that projections indicate that Prob(SSB</w:t>
      </w:r>
      <w:r w:rsidRPr="004E1B05">
        <w:rPr>
          <w:b/>
          <w:bCs/>
          <w:sz w:val="22"/>
          <w:szCs w:val="22"/>
          <w:vertAlign w:val="subscript"/>
        </w:rPr>
        <w:t>2020</w:t>
      </w:r>
      <w:r w:rsidRPr="004635E5">
        <w:rPr>
          <w:b/>
          <w:bCs/>
          <w:sz w:val="22"/>
          <w:szCs w:val="22"/>
        </w:rPr>
        <w:t>&gt;SSB</w:t>
      </w:r>
      <w:r w:rsidRPr="004E1B05">
        <w:rPr>
          <w:b/>
          <w:bCs/>
          <w:sz w:val="22"/>
          <w:szCs w:val="22"/>
          <w:vertAlign w:val="subscript"/>
        </w:rPr>
        <w:t>2015</w:t>
      </w:r>
      <w:r w:rsidRPr="004635E5">
        <w:rPr>
          <w:b/>
          <w:bCs/>
          <w:sz w:val="22"/>
          <w:szCs w:val="22"/>
        </w:rPr>
        <w:t>)&lt;50% for all constant catch scenarios over 2,850 mt (under the three recruitment hypotheses modelled), which means that in order to allow the spawning biomass to rebuild then catches need to be reduced to less than 2,850mt. SC11 recommends that the Commission develop a rebuilding plan for North Pacific striped marlin with subsequent revision of CMM 2010-01 in order to improve stock status.”</w:t>
      </w:r>
    </w:p>
    <w:p w14:paraId="46DF76FC" w14:textId="77777777" w:rsidR="00270656" w:rsidRPr="004635E5" w:rsidRDefault="00270656" w:rsidP="006633A8">
      <w:pPr>
        <w:adjustRightInd w:val="0"/>
        <w:snapToGrid w:val="0"/>
        <w:ind w:left="100"/>
        <w:rPr>
          <w:b/>
          <w:bCs/>
          <w:sz w:val="22"/>
          <w:szCs w:val="22"/>
        </w:rPr>
      </w:pPr>
    </w:p>
    <w:p w14:paraId="05E47851" w14:textId="77777777" w:rsidR="00270656" w:rsidRPr="00132438" w:rsidRDefault="00270656" w:rsidP="00580EA4">
      <w:pPr>
        <w:pStyle w:val="ListParagraph"/>
        <w:numPr>
          <w:ilvl w:val="0"/>
          <w:numId w:val="162"/>
        </w:numPr>
        <w:adjustRightInd w:val="0"/>
        <w:snapToGrid w:val="0"/>
        <w:ind w:left="0" w:firstLine="0"/>
        <w:rPr>
          <w:b/>
          <w:sz w:val="22"/>
          <w:szCs w:val="22"/>
        </w:rPr>
      </w:pPr>
      <w:r w:rsidRPr="00132438">
        <w:rPr>
          <w:b/>
          <w:sz w:val="22"/>
          <w:szCs w:val="22"/>
        </w:rPr>
        <w:t>Recommendations</w:t>
      </w:r>
      <w:r w:rsidR="007F7C94" w:rsidRPr="00132438">
        <w:rPr>
          <w:b/>
          <w:sz w:val="22"/>
          <w:szCs w:val="22"/>
        </w:rPr>
        <w:t xml:space="preserve"> on </w:t>
      </w:r>
      <w:r w:rsidR="007F7C94" w:rsidRPr="00132438">
        <w:rPr>
          <w:rFonts w:eastAsia="MS PMincho"/>
          <w:b/>
          <w:sz w:val="22"/>
          <w:szCs w:val="22"/>
        </w:rPr>
        <w:t xml:space="preserve">the designation of </w:t>
      </w:r>
      <w:r w:rsidR="007F7C94" w:rsidRPr="00132438">
        <w:rPr>
          <w:rFonts w:eastAsia="Batang"/>
          <w:b/>
          <w:sz w:val="22"/>
          <w:szCs w:val="22"/>
          <w:lang w:val="en-NZ" w:eastAsia="ko-KR"/>
        </w:rPr>
        <w:t>North Pacific striped marlin</w:t>
      </w:r>
      <w:r w:rsidR="007F7C94" w:rsidRPr="00132438">
        <w:rPr>
          <w:rFonts w:eastAsia="MS PMincho"/>
          <w:b/>
          <w:sz w:val="22"/>
          <w:szCs w:val="22"/>
        </w:rPr>
        <w:t xml:space="preserve"> as a Northern Stock</w:t>
      </w:r>
    </w:p>
    <w:p w14:paraId="28E87BF1" w14:textId="77777777" w:rsidR="002E39E9" w:rsidRPr="004635E5" w:rsidRDefault="002E39E9" w:rsidP="006633A8">
      <w:pPr>
        <w:tabs>
          <w:tab w:val="left" w:pos="820"/>
        </w:tabs>
        <w:adjustRightInd w:val="0"/>
        <w:snapToGrid w:val="0"/>
        <w:rPr>
          <w:b/>
          <w:sz w:val="22"/>
          <w:szCs w:val="22"/>
        </w:rPr>
      </w:pPr>
    </w:p>
    <w:p w14:paraId="79E78F15" w14:textId="77777777" w:rsidR="00270656" w:rsidRPr="004635E5" w:rsidRDefault="00270656" w:rsidP="00580EA4">
      <w:pPr>
        <w:numPr>
          <w:ilvl w:val="0"/>
          <w:numId w:val="18"/>
        </w:numPr>
        <w:autoSpaceDE w:val="0"/>
        <w:autoSpaceDN w:val="0"/>
        <w:adjustRightInd w:val="0"/>
        <w:snapToGrid w:val="0"/>
        <w:ind w:left="0" w:firstLine="0"/>
        <w:jc w:val="both"/>
        <w:rPr>
          <w:b/>
          <w:sz w:val="22"/>
          <w:szCs w:val="22"/>
        </w:rPr>
      </w:pPr>
      <w:r w:rsidRPr="004635E5">
        <w:rPr>
          <w:b/>
          <w:sz w:val="22"/>
          <w:szCs w:val="22"/>
        </w:rPr>
        <w:t>Regarding the issue of the designation of North Pacific striped marlin as a Northern Stock (</w:t>
      </w:r>
      <w:r w:rsidRPr="004635E5">
        <w:rPr>
          <w:b/>
          <w:sz w:val="22"/>
          <w:szCs w:val="22"/>
          <w:lang w:eastAsia="ko-KR"/>
        </w:rPr>
        <w:t>WCPFC14 Report, Para 378</w:t>
      </w:r>
      <w:r w:rsidRPr="004635E5">
        <w:rPr>
          <w:b/>
          <w:sz w:val="22"/>
          <w:szCs w:val="22"/>
        </w:rPr>
        <w:t>), SC14 provides the following recommendations:</w:t>
      </w:r>
    </w:p>
    <w:p w14:paraId="43692438" w14:textId="77777777" w:rsidR="00CF57C4" w:rsidRPr="004635E5" w:rsidRDefault="00CF57C4" w:rsidP="006633A8">
      <w:pPr>
        <w:autoSpaceDE w:val="0"/>
        <w:autoSpaceDN w:val="0"/>
        <w:adjustRightInd w:val="0"/>
        <w:snapToGrid w:val="0"/>
        <w:jc w:val="both"/>
        <w:rPr>
          <w:b/>
          <w:sz w:val="22"/>
          <w:szCs w:val="22"/>
        </w:rPr>
      </w:pPr>
    </w:p>
    <w:p w14:paraId="339F6178" w14:textId="77777777" w:rsidR="00270656" w:rsidRPr="004635E5" w:rsidRDefault="00270656" w:rsidP="00580EA4">
      <w:pPr>
        <w:pStyle w:val="ListParagraph"/>
        <w:widowControl w:val="0"/>
        <w:numPr>
          <w:ilvl w:val="0"/>
          <w:numId w:val="61"/>
        </w:numPr>
        <w:autoSpaceDE w:val="0"/>
        <w:autoSpaceDN w:val="0"/>
        <w:adjustRightInd w:val="0"/>
        <w:snapToGrid w:val="0"/>
        <w:jc w:val="both"/>
        <w:rPr>
          <w:b/>
          <w:sz w:val="22"/>
          <w:szCs w:val="22"/>
        </w:rPr>
      </w:pPr>
      <w:r w:rsidRPr="004635E5">
        <w:rPr>
          <w:b/>
          <w:sz w:val="22"/>
          <w:szCs w:val="22"/>
        </w:rPr>
        <w:t>SC14 recommends that the Commission clarify and quantify what is meant by “</w:t>
      </w:r>
      <w:r w:rsidRPr="004635E5">
        <w:rPr>
          <w:b/>
          <w:i/>
          <w:sz w:val="22"/>
          <w:szCs w:val="22"/>
        </w:rPr>
        <w:t>mostly north of 20 degrees N</w:t>
      </w:r>
      <w:r w:rsidRPr="004635E5">
        <w:rPr>
          <w:b/>
          <w:sz w:val="22"/>
          <w:szCs w:val="22"/>
        </w:rPr>
        <w:t>”.</w:t>
      </w:r>
    </w:p>
    <w:p w14:paraId="046B0C5E" w14:textId="77777777" w:rsidR="00A61B2B" w:rsidRPr="004635E5" w:rsidRDefault="00270656" w:rsidP="00580EA4">
      <w:pPr>
        <w:pStyle w:val="ListParagraph"/>
        <w:widowControl w:val="0"/>
        <w:numPr>
          <w:ilvl w:val="0"/>
          <w:numId w:val="61"/>
        </w:numPr>
        <w:autoSpaceDE w:val="0"/>
        <w:autoSpaceDN w:val="0"/>
        <w:adjustRightInd w:val="0"/>
        <w:snapToGrid w:val="0"/>
        <w:jc w:val="both"/>
        <w:rPr>
          <w:b/>
          <w:sz w:val="22"/>
          <w:szCs w:val="22"/>
        </w:rPr>
      </w:pPr>
      <w:r w:rsidRPr="004635E5">
        <w:rPr>
          <w:b/>
          <w:sz w:val="22"/>
          <w:szCs w:val="22"/>
        </w:rPr>
        <w:t>In relation to paragraph 1, SC14 recommends that a check-list of benchmark scientific information for North Pacific striped marlin be developed to support the Commission’s deliberations in determining the designation of a northern stock. As such, the following table is forwarded for the Commission’s consideration.</w:t>
      </w:r>
    </w:p>
    <w:p w14:paraId="19C62879" w14:textId="77777777" w:rsidR="00270656" w:rsidRPr="004635E5" w:rsidRDefault="00270656" w:rsidP="006633A8">
      <w:pPr>
        <w:pStyle w:val="ListParagraph"/>
        <w:adjustRightInd w:val="0"/>
        <w:snapToGrid w:val="0"/>
        <w:rPr>
          <w:sz w:val="22"/>
          <w:szCs w:val="22"/>
        </w:rPr>
      </w:pPr>
    </w:p>
    <w:tbl>
      <w:tblPr>
        <w:tblStyle w:val="TableGrid"/>
        <w:tblW w:w="0" w:type="auto"/>
        <w:tblLook w:val="04A0" w:firstRow="1" w:lastRow="0" w:firstColumn="1" w:lastColumn="0" w:noHBand="0" w:noVBand="1"/>
      </w:tblPr>
      <w:tblGrid>
        <w:gridCol w:w="549"/>
        <w:gridCol w:w="2910"/>
        <w:gridCol w:w="3136"/>
        <w:gridCol w:w="2755"/>
      </w:tblGrid>
      <w:tr w:rsidR="00270656" w:rsidRPr="004635E5" w14:paraId="2F61F851" w14:textId="77777777" w:rsidTr="00270656">
        <w:trPr>
          <w:trHeight w:val="300"/>
        </w:trPr>
        <w:tc>
          <w:tcPr>
            <w:tcW w:w="549" w:type="dxa"/>
            <w:noWrap/>
            <w:tcMar>
              <w:left w:w="115" w:type="dxa"/>
              <w:right w:w="115" w:type="dxa"/>
            </w:tcMar>
            <w:hideMark/>
          </w:tcPr>
          <w:p w14:paraId="620B77E1" w14:textId="77777777" w:rsidR="00270656" w:rsidRPr="004635E5" w:rsidRDefault="00270656" w:rsidP="006633A8">
            <w:pPr>
              <w:adjustRightInd w:val="0"/>
              <w:snapToGrid w:val="0"/>
              <w:spacing w:after="0"/>
              <w:rPr>
                <w:sz w:val="22"/>
                <w:szCs w:val="22"/>
              </w:rPr>
            </w:pPr>
            <w:r w:rsidRPr="004635E5">
              <w:rPr>
                <w:sz w:val="22"/>
                <w:szCs w:val="22"/>
              </w:rPr>
              <w:t>No</w:t>
            </w:r>
          </w:p>
        </w:tc>
        <w:tc>
          <w:tcPr>
            <w:tcW w:w="2910" w:type="dxa"/>
            <w:noWrap/>
            <w:tcMar>
              <w:left w:w="115" w:type="dxa"/>
              <w:right w:w="115" w:type="dxa"/>
            </w:tcMar>
            <w:hideMark/>
          </w:tcPr>
          <w:p w14:paraId="6D02EF57" w14:textId="77777777" w:rsidR="00270656" w:rsidRPr="004635E5" w:rsidRDefault="00270656" w:rsidP="006633A8">
            <w:pPr>
              <w:adjustRightInd w:val="0"/>
              <w:snapToGrid w:val="0"/>
              <w:spacing w:after="0"/>
              <w:rPr>
                <w:sz w:val="22"/>
                <w:szCs w:val="22"/>
              </w:rPr>
            </w:pPr>
            <w:r w:rsidRPr="004635E5">
              <w:rPr>
                <w:sz w:val="22"/>
                <w:szCs w:val="22"/>
              </w:rPr>
              <w:t>Criteria</w:t>
            </w:r>
          </w:p>
        </w:tc>
        <w:tc>
          <w:tcPr>
            <w:tcW w:w="3136" w:type="dxa"/>
            <w:noWrap/>
            <w:tcMar>
              <w:left w:w="115" w:type="dxa"/>
              <w:right w:w="115" w:type="dxa"/>
            </w:tcMar>
            <w:hideMark/>
          </w:tcPr>
          <w:p w14:paraId="24A4DF6F" w14:textId="77777777" w:rsidR="00270656" w:rsidRPr="004635E5" w:rsidRDefault="00270656" w:rsidP="006633A8">
            <w:pPr>
              <w:adjustRightInd w:val="0"/>
              <w:snapToGrid w:val="0"/>
              <w:spacing w:after="0"/>
              <w:rPr>
                <w:sz w:val="22"/>
                <w:szCs w:val="22"/>
              </w:rPr>
            </w:pPr>
            <w:r w:rsidRPr="004635E5">
              <w:rPr>
                <w:sz w:val="22"/>
                <w:szCs w:val="22"/>
              </w:rPr>
              <w:t>Response</w:t>
            </w:r>
          </w:p>
        </w:tc>
        <w:tc>
          <w:tcPr>
            <w:tcW w:w="2755" w:type="dxa"/>
            <w:noWrap/>
            <w:tcMar>
              <w:left w:w="115" w:type="dxa"/>
              <w:right w:w="115" w:type="dxa"/>
            </w:tcMar>
            <w:hideMark/>
          </w:tcPr>
          <w:p w14:paraId="641C5E7E" w14:textId="77777777" w:rsidR="00270656" w:rsidRPr="004635E5" w:rsidRDefault="00270656" w:rsidP="006633A8">
            <w:pPr>
              <w:adjustRightInd w:val="0"/>
              <w:snapToGrid w:val="0"/>
              <w:spacing w:after="0"/>
              <w:rPr>
                <w:sz w:val="22"/>
                <w:szCs w:val="22"/>
              </w:rPr>
            </w:pPr>
            <w:r w:rsidRPr="004635E5">
              <w:rPr>
                <w:sz w:val="22"/>
                <w:szCs w:val="22"/>
              </w:rPr>
              <w:t>Comments</w:t>
            </w:r>
          </w:p>
        </w:tc>
      </w:tr>
      <w:tr w:rsidR="00270656" w:rsidRPr="004635E5" w14:paraId="03685028" w14:textId="77777777" w:rsidTr="00270656">
        <w:trPr>
          <w:trHeight w:val="674"/>
        </w:trPr>
        <w:tc>
          <w:tcPr>
            <w:tcW w:w="549" w:type="dxa"/>
            <w:noWrap/>
            <w:tcMar>
              <w:left w:w="115" w:type="dxa"/>
              <w:right w:w="115" w:type="dxa"/>
            </w:tcMar>
            <w:hideMark/>
          </w:tcPr>
          <w:p w14:paraId="5C800E85" w14:textId="77777777" w:rsidR="00270656" w:rsidRPr="004635E5" w:rsidRDefault="00270656" w:rsidP="006633A8">
            <w:pPr>
              <w:adjustRightInd w:val="0"/>
              <w:snapToGrid w:val="0"/>
              <w:spacing w:after="0"/>
              <w:rPr>
                <w:sz w:val="22"/>
                <w:szCs w:val="22"/>
              </w:rPr>
            </w:pPr>
            <w:r w:rsidRPr="004635E5">
              <w:rPr>
                <w:sz w:val="22"/>
                <w:szCs w:val="22"/>
              </w:rPr>
              <w:t>1</w:t>
            </w:r>
          </w:p>
        </w:tc>
        <w:tc>
          <w:tcPr>
            <w:tcW w:w="2910" w:type="dxa"/>
            <w:tcMar>
              <w:left w:w="115" w:type="dxa"/>
              <w:right w:w="115" w:type="dxa"/>
            </w:tcMar>
            <w:hideMark/>
          </w:tcPr>
          <w:p w14:paraId="37B9EF04" w14:textId="77777777" w:rsidR="00270656" w:rsidRPr="004635E5" w:rsidRDefault="00270656" w:rsidP="006633A8">
            <w:pPr>
              <w:adjustRightInd w:val="0"/>
              <w:snapToGrid w:val="0"/>
              <w:spacing w:after="0"/>
              <w:rPr>
                <w:sz w:val="22"/>
                <w:szCs w:val="22"/>
              </w:rPr>
            </w:pPr>
            <w:r w:rsidRPr="004635E5">
              <w:rPr>
                <w:sz w:val="22"/>
                <w:szCs w:val="22"/>
              </w:rPr>
              <w:t>What proportion of the total estimated stock biomass occurs on average north of 20N?</w:t>
            </w:r>
          </w:p>
        </w:tc>
        <w:tc>
          <w:tcPr>
            <w:tcW w:w="3136" w:type="dxa"/>
            <w:tcMar>
              <w:left w:w="115" w:type="dxa"/>
              <w:right w:w="115" w:type="dxa"/>
            </w:tcMar>
            <w:hideMark/>
          </w:tcPr>
          <w:p w14:paraId="7313391A" w14:textId="77777777" w:rsidR="00270656" w:rsidRPr="004635E5" w:rsidRDefault="00270656" w:rsidP="006633A8">
            <w:pPr>
              <w:adjustRightInd w:val="0"/>
              <w:snapToGrid w:val="0"/>
              <w:spacing w:after="0"/>
              <w:rPr>
                <w:sz w:val="22"/>
                <w:szCs w:val="22"/>
              </w:rPr>
            </w:pPr>
            <w:r w:rsidRPr="004635E5">
              <w:rPr>
                <w:sz w:val="22"/>
                <w:szCs w:val="22"/>
              </w:rPr>
              <w:t>*Proportion of biomass above 20</w:t>
            </w:r>
            <w:r w:rsidRPr="004635E5">
              <w:rPr>
                <w:sz w:val="22"/>
                <w:szCs w:val="22"/>
                <w:vertAlign w:val="superscript"/>
              </w:rPr>
              <w:t xml:space="preserve"> o</w:t>
            </w:r>
            <w:r w:rsidRPr="004635E5">
              <w:rPr>
                <w:sz w:val="22"/>
                <w:szCs w:val="22"/>
              </w:rPr>
              <w:t>N is 2-4 times larger than the proportion of biomass south of</w:t>
            </w:r>
            <w:r w:rsidR="00F81EF0">
              <w:rPr>
                <w:sz w:val="22"/>
                <w:szCs w:val="22"/>
              </w:rPr>
              <w:t xml:space="preserve">  </w:t>
            </w:r>
            <w:r w:rsidRPr="004635E5">
              <w:rPr>
                <w:sz w:val="22"/>
                <w:szCs w:val="22"/>
              </w:rPr>
              <w:t xml:space="preserve"> 20</w:t>
            </w:r>
            <w:r w:rsidRPr="004635E5">
              <w:rPr>
                <w:sz w:val="22"/>
                <w:szCs w:val="22"/>
                <w:vertAlign w:val="superscript"/>
              </w:rPr>
              <w:t xml:space="preserve"> o</w:t>
            </w:r>
            <w:r w:rsidRPr="004635E5">
              <w:rPr>
                <w:sz w:val="22"/>
                <w:szCs w:val="22"/>
              </w:rPr>
              <w:t>N in the North Pacific</w:t>
            </w:r>
          </w:p>
        </w:tc>
        <w:tc>
          <w:tcPr>
            <w:tcW w:w="2755" w:type="dxa"/>
            <w:tcMar>
              <w:left w:w="115" w:type="dxa"/>
              <w:right w:w="115" w:type="dxa"/>
            </w:tcMar>
            <w:hideMark/>
          </w:tcPr>
          <w:p w14:paraId="438293AE" w14:textId="77777777" w:rsidR="00270656" w:rsidRPr="004635E5" w:rsidRDefault="008A4AED" w:rsidP="006633A8">
            <w:pPr>
              <w:adjustRightInd w:val="0"/>
              <w:snapToGrid w:val="0"/>
              <w:spacing w:after="0"/>
              <w:rPr>
                <w:sz w:val="22"/>
                <w:szCs w:val="22"/>
              </w:rPr>
            </w:pPr>
            <w:r w:rsidRPr="004635E5">
              <w:rPr>
                <w:sz w:val="22"/>
                <w:szCs w:val="22"/>
              </w:rPr>
              <w:t>SC14-</w:t>
            </w:r>
            <w:r w:rsidR="00270656" w:rsidRPr="004635E5">
              <w:rPr>
                <w:sz w:val="22"/>
                <w:szCs w:val="22"/>
              </w:rPr>
              <w:t xml:space="preserve">SA-IP-011 This value was estimated by stock assessment result in 2007. </w:t>
            </w:r>
          </w:p>
        </w:tc>
      </w:tr>
      <w:tr w:rsidR="00270656" w:rsidRPr="004635E5" w14:paraId="5BBBB9E7" w14:textId="77777777" w:rsidTr="00270656">
        <w:trPr>
          <w:trHeight w:val="585"/>
        </w:trPr>
        <w:tc>
          <w:tcPr>
            <w:tcW w:w="549" w:type="dxa"/>
            <w:noWrap/>
            <w:tcMar>
              <w:left w:w="115" w:type="dxa"/>
              <w:right w:w="115" w:type="dxa"/>
            </w:tcMar>
            <w:hideMark/>
          </w:tcPr>
          <w:p w14:paraId="53D7CF1E" w14:textId="77777777" w:rsidR="00270656" w:rsidRPr="004635E5" w:rsidRDefault="00270656" w:rsidP="006633A8">
            <w:pPr>
              <w:adjustRightInd w:val="0"/>
              <w:snapToGrid w:val="0"/>
              <w:spacing w:after="0"/>
              <w:rPr>
                <w:sz w:val="22"/>
                <w:szCs w:val="22"/>
              </w:rPr>
            </w:pPr>
            <w:r w:rsidRPr="004635E5">
              <w:rPr>
                <w:sz w:val="22"/>
                <w:szCs w:val="22"/>
              </w:rPr>
              <w:t>2</w:t>
            </w:r>
          </w:p>
        </w:tc>
        <w:tc>
          <w:tcPr>
            <w:tcW w:w="2910" w:type="dxa"/>
            <w:tcMar>
              <w:left w:w="115" w:type="dxa"/>
              <w:right w:w="115" w:type="dxa"/>
            </w:tcMar>
            <w:hideMark/>
          </w:tcPr>
          <w:p w14:paraId="1931A1C5" w14:textId="77777777" w:rsidR="00270656" w:rsidRPr="004635E5" w:rsidRDefault="00270656" w:rsidP="006633A8">
            <w:pPr>
              <w:adjustRightInd w:val="0"/>
              <w:snapToGrid w:val="0"/>
              <w:spacing w:after="0"/>
              <w:rPr>
                <w:sz w:val="22"/>
                <w:szCs w:val="22"/>
              </w:rPr>
            </w:pPr>
            <w:r w:rsidRPr="004635E5">
              <w:rPr>
                <w:sz w:val="22"/>
                <w:szCs w:val="22"/>
              </w:rPr>
              <w:t>Does all of the breeding/spawning area(s) occur north of 20</w:t>
            </w:r>
            <w:r w:rsidRPr="004635E5">
              <w:rPr>
                <w:sz w:val="22"/>
                <w:szCs w:val="22"/>
                <w:vertAlign w:val="superscript"/>
              </w:rPr>
              <w:t xml:space="preserve"> o</w:t>
            </w:r>
            <w:r w:rsidRPr="004635E5">
              <w:rPr>
                <w:sz w:val="22"/>
                <w:szCs w:val="22"/>
              </w:rPr>
              <w:t>N?</w:t>
            </w:r>
          </w:p>
        </w:tc>
        <w:tc>
          <w:tcPr>
            <w:tcW w:w="3136" w:type="dxa"/>
            <w:tcMar>
              <w:left w:w="115" w:type="dxa"/>
              <w:right w:w="115" w:type="dxa"/>
            </w:tcMar>
            <w:hideMark/>
          </w:tcPr>
          <w:p w14:paraId="2017BD50" w14:textId="77777777" w:rsidR="00270656" w:rsidRPr="004635E5" w:rsidRDefault="00270656" w:rsidP="006633A8">
            <w:pPr>
              <w:adjustRightInd w:val="0"/>
              <w:snapToGrid w:val="0"/>
              <w:spacing w:after="0"/>
              <w:rPr>
                <w:sz w:val="22"/>
                <w:szCs w:val="22"/>
              </w:rPr>
            </w:pPr>
            <w:r w:rsidRPr="004635E5">
              <w:rPr>
                <w:sz w:val="22"/>
                <w:szCs w:val="22"/>
              </w:rPr>
              <w:t>Unknown</w:t>
            </w:r>
          </w:p>
        </w:tc>
        <w:tc>
          <w:tcPr>
            <w:tcW w:w="2755" w:type="dxa"/>
            <w:tcMar>
              <w:left w:w="115" w:type="dxa"/>
              <w:right w:w="115" w:type="dxa"/>
            </w:tcMar>
            <w:hideMark/>
          </w:tcPr>
          <w:p w14:paraId="49C66920" w14:textId="77777777" w:rsidR="00270656" w:rsidRPr="004635E5" w:rsidRDefault="00270656" w:rsidP="006633A8">
            <w:pPr>
              <w:adjustRightInd w:val="0"/>
              <w:snapToGrid w:val="0"/>
              <w:spacing w:after="0"/>
              <w:rPr>
                <w:sz w:val="22"/>
                <w:szCs w:val="22"/>
              </w:rPr>
            </w:pPr>
            <w:r w:rsidRPr="004635E5">
              <w:rPr>
                <w:rFonts w:ascii="Batang" w:eastAsia="Batang" w:hAnsi="Batang" w:cs="Batang" w:hint="eastAsia"/>
                <w:sz w:val="22"/>
                <w:szCs w:val="22"/>
              </w:rPr>
              <w:t xml:space="preserve">　</w:t>
            </w:r>
          </w:p>
        </w:tc>
      </w:tr>
      <w:tr w:rsidR="00270656" w:rsidRPr="004635E5" w14:paraId="06800701" w14:textId="77777777" w:rsidTr="00270656">
        <w:trPr>
          <w:trHeight w:val="585"/>
        </w:trPr>
        <w:tc>
          <w:tcPr>
            <w:tcW w:w="549" w:type="dxa"/>
            <w:noWrap/>
            <w:tcMar>
              <w:left w:w="115" w:type="dxa"/>
              <w:right w:w="115" w:type="dxa"/>
            </w:tcMar>
            <w:hideMark/>
          </w:tcPr>
          <w:p w14:paraId="4BD7C57C" w14:textId="77777777" w:rsidR="00270656" w:rsidRPr="004635E5" w:rsidRDefault="00270656" w:rsidP="006633A8">
            <w:pPr>
              <w:adjustRightInd w:val="0"/>
              <w:snapToGrid w:val="0"/>
              <w:spacing w:after="0"/>
              <w:rPr>
                <w:sz w:val="22"/>
                <w:szCs w:val="22"/>
              </w:rPr>
            </w:pPr>
            <w:r w:rsidRPr="004635E5">
              <w:rPr>
                <w:sz w:val="22"/>
                <w:szCs w:val="22"/>
              </w:rPr>
              <w:t>3</w:t>
            </w:r>
          </w:p>
        </w:tc>
        <w:tc>
          <w:tcPr>
            <w:tcW w:w="2910" w:type="dxa"/>
            <w:tcMar>
              <w:left w:w="115" w:type="dxa"/>
              <w:right w:w="115" w:type="dxa"/>
            </w:tcMar>
            <w:hideMark/>
          </w:tcPr>
          <w:p w14:paraId="2FBFF579" w14:textId="77777777" w:rsidR="00270656" w:rsidRPr="004635E5" w:rsidRDefault="00270656" w:rsidP="006633A8">
            <w:pPr>
              <w:adjustRightInd w:val="0"/>
              <w:snapToGrid w:val="0"/>
              <w:spacing w:after="0"/>
              <w:rPr>
                <w:sz w:val="22"/>
                <w:szCs w:val="22"/>
              </w:rPr>
            </w:pPr>
            <w:r w:rsidRPr="004635E5">
              <w:rPr>
                <w:sz w:val="22"/>
                <w:szCs w:val="22"/>
              </w:rPr>
              <w:t>Does all of the nursery area(s) occur north of 20</w:t>
            </w:r>
            <w:r w:rsidRPr="004635E5">
              <w:rPr>
                <w:sz w:val="22"/>
                <w:szCs w:val="22"/>
                <w:vertAlign w:val="superscript"/>
              </w:rPr>
              <w:t xml:space="preserve"> o</w:t>
            </w:r>
            <w:r w:rsidRPr="004635E5">
              <w:rPr>
                <w:sz w:val="22"/>
                <w:szCs w:val="22"/>
              </w:rPr>
              <w:t>N</w:t>
            </w:r>
          </w:p>
        </w:tc>
        <w:tc>
          <w:tcPr>
            <w:tcW w:w="3136" w:type="dxa"/>
            <w:tcMar>
              <w:left w:w="115" w:type="dxa"/>
              <w:right w:w="115" w:type="dxa"/>
            </w:tcMar>
            <w:hideMark/>
          </w:tcPr>
          <w:p w14:paraId="7238EB1C" w14:textId="77777777" w:rsidR="00270656" w:rsidRPr="004635E5" w:rsidRDefault="00270656" w:rsidP="006633A8">
            <w:pPr>
              <w:adjustRightInd w:val="0"/>
              <w:snapToGrid w:val="0"/>
              <w:spacing w:after="0"/>
              <w:rPr>
                <w:sz w:val="22"/>
                <w:szCs w:val="22"/>
              </w:rPr>
            </w:pPr>
            <w:r w:rsidRPr="004635E5">
              <w:rPr>
                <w:sz w:val="22"/>
                <w:szCs w:val="22"/>
              </w:rPr>
              <w:t>Unknown</w:t>
            </w:r>
          </w:p>
        </w:tc>
        <w:tc>
          <w:tcPr>
            <w:tcW w:w="2755" w:type="dxa"/>
            <w:tcMar>
              <w:left w:w="115" w:type="dxa"/>
              <w:right w:w="115" w:type="dxa"/>
            </w:tcMar>
            <w:hideMark/>
          </w:tcPr>
          <w:p w14:paraId="0CA08E4E" w14:textId="77777777" w:rsidR="00270656" w:rsidRPr="004635E5" w:rsidRDefault="00270656" w:rsidP="006633A8">
            <w:pPr>
              <w:adjustRightInd w:val="0"/>
              <w:snapToGrid w:val="0"/>
              <w:spacing w:after="0"/>
              <w:rPr>
                <w:sz w:val="22"/>
                <w:szCs w:val="22"/>
              </w:rPr>
            </w:pPr>
            <w:r w:rsidRPr="004635E5">
              <w:rPr>
                <w:rFonts w:ascii="Batang" w:eastAsia="Batang" w:hAnsi="Batang" w:cs="Batang" w:hint="eastAsia"/>
                <w:sz w:val="22"/>
                <w:szCs w:val="22"/>
              </w:rPr>
              <w:t xml:space="preserve">　</w:t>
            </w:r>
          </w:p>
        </w:tc>
      </w:tr>
      <w:tr w:rsidR="00270656" w:rsidRPr="004635E5" w14:paraId="2D3F63FE" w14:textId="77777777" w:rsidTr="00270656">
        <w:trPr>
          <w:trHeight w:val="585"/>
        </w:trPr>
        <w:tc>
          <w:tcPr>
            <w:tcW w:w="549" w:type="dxa"/>
            <w:noWrap/>
            <w:tcMar>
              <w:left w:w="115" w:type="dxa"/>
              <w:right w:w="115" w:type="dxa"/>
            </w:tcMar>
            <w:hideMark/>
          </w:tcPr>
          <w:p w14:paraId="78995B78" w14:textId="77777777" w:rsidR="00270656" w:rsidRPr="004635E5" w:rsidRDefault="00270656" w:rsidP="006633A8">
            <w:pPr>
              <w:adjustRightInd w:val="0"/>
              <w:snapToGrid w:val="0"/>
              <w:spacing w:after="0"/>
              <w:rPr>
                <w:sz w:val="22"/>
                <w:szCs w:val="22"/>
              </w:rPr>
            </w:pPr>
            <w:r w:rsidRPr="004635E5">
              <w:rPr>
                <w:sz w:val="22"/>
                <w:szCs w:val="22"/>
              </w:rPr>
              <w:t>4</w:t>
            </w:r>
          </w:p>
        </w:tc>
        <w:tc>
          <w:tcPr>
            <w:tcW w:w="2910" w:type="dxa"/>
            <w:tcMar>
              <w:left w:w="115" w:type="dxa"/>
              <w:right w:w="115" w:type="dxa"/>
            </w:tcMar>
            <w:hideMark/>
          </w:tcPr>
          <w:p w14:paraId="2E570DF2" w14:textId="77777777" w:rsidR="00270656" w:rsidRPr="004635E5" w:rsidRDefault="00270656" w:rsidP="006633A8">
            <w:pPr>
              <w:adjustRightInd w:val="0"/>
              <w:snapToGrid w:val="0"/>
              <w:spacing w:after="0"/>
              <w:rPr>
                <w:sz w:val="22"/>
                <w:szCs w:val="22"/>
              </w:rPr>
            </w:pPr>
            <w:r w:rsidRPr="004635E5">
              <w:rPr>
                <w:sz w:val="22"/>
                <w:szCs w:val="22"/>
              </w:rPr>
              <w:t>Do any other important life history stages occur south of 20N?</w:t>
            </w:r>
          </w:p>
        </w:tc>
        <w:tc>
          <w:tcPr>
            <w:tcW w:w="3136" w:type="dxa"/>
            <w:tcMar>
              <w:left w:w="115" w:type="dxa"/>
              <w:right w:w="115" w:type="dxa"/>
            </w:tcMar>
            <w:hideMark/>
          </w:tcPr>
          <w:p w14:paraId="5CBEC06C" w14:textId="77777777" w:rsidR="00270656" w:rsidRPr="004635E5" w:rsidRDefault="00270656" w:rsidP="006633A8">
            <w:pPr>
              <w:adjustRightInd w:val="0"/>
              <w:snapToGrid w:val="0"/>
              <w:spacing w:after="0"/>
              <w:rPr>
                <w:sz w:val="22"/>
                <w:szCs w:val="22"/>
              </w:rPr>
            </w:pPr>
            <w:r w:rsidRPr="004635E5">
              <w:rPr>
                <w:sz w:val="22"/>
                <w:szCs w:val="22"/>
              </w:rPr>
              <w:t>Unknown</w:t>
            </w:r>
          </w:p>
        </w:tc>
        <w:tc>
          <w:tcPr>
            <w:tcW w:w="2755" w:type="dxa"/>
            <w:tcMar>
              <w:left w:w="115" w:type="dxa"/>
              <w:right w:w="115" w:type="dxa"/>
            </w:tcMar>
            <w:hideMark/>
          </w:tcPr>
          <w:p w14:paraId="1CE8E254" w14:textId="77777777" w:rsidR="00270656" w:rsidRPr="004635E5" w:rsidRDefault="00270656" w:rsidP="006633A8">
            <w:pPr>
              <w:adjustRightInd w:val="0"/>
              <w:snapToGrid w:val="0"/>
              <w:spacing w:after="0"/>
              <w:rPr>
                <w:sz w:val="22"/>
                <w:szCs w:val="22"/>
              </w:rPr>
            </w:pPr>
            <w:r w:rsidRPr="004635E5">
              <w:rPr>
                <w:rFonts w:ascii="Batang" w:eastAsia="Batang" w:hAnsi="Batang" w:cs="Batang" w:hint="eastAsia"/>
                <w:sz w:val="22"/>
                <w:szCs w:val="22"/>
              </w:rPr>
              <w:t xml:space="preserve">　</w:t>
            </w:r>
          </w:p>
        </w:tc>
      </w:tr>
      <w:tr w:rsidR="00270656" w:rsidRPr="004635E5" w14:paraId="3164790C" w14:textId="77777777" w:rsidTr="00270656">
        <w:trPr>
          <w:trHeight w:val="872"/>
        </w:trPr>
        <w:tc>
          <w:tcPr>
            <w:tcW w:w="549" w:type="dxa"/>
            <w:noWrap/>
            <w:tcMar>
              <w:left w:w="115" w:type="dxa"/>
              <w:right w:w="115" w:type="dxa"/>
            </w:tcMar>
            <w:hideMark/>
          </w:tcPr>
          <w:p w14:paraId="73EBD8F1" w14:textId="77777777" w:rsidR="00270656" w:rsidRPr="004635E5" w:rsidRDefault="00270656" w:rsidP="006633A8">
            <w:pPr>
              <w:adjustRightInd w:val="0"/>
              <w:snapToGrid w:val="0"/>
              <w:spacing w:after="0"/>
              <w:rPr>
                <w:sz w:val="22"/>
                <w:szCs w:val="22"/>
              </w:rPr>
            </w:pPr>
            <w:r w:rsidRPr="004635E5">
              <w:rPr>
                <w:sz w:val="22"/>
                <w:szCs w:val="22"/>
              </w:rPr>
              <w:t>5</w:t>
            </w:r>
          </w:p>
        </w:tc>
        <w:tc>
          <w:tcPr>
            <w:tcW w:w="2910" w:type="dxa"/>
            <w:tcMar>
              <w:left w:w="115" w:type="dxa"/>
              <w:right w:w="115" w:type="dxa"/>
            </w:tcMar>
            <w:hideMark/>
          </w:tcPr>
          <w:p w14:paraId="39EE954E" w14:textId="77777777" w:rsidR="00270656" w:rsidRPr="004635E5" w:rsidRDefault="00270656" w:rsidP="006633A8">
            <w:pPr>
              <w:adjustRightInd w:val="0"/>
              <w:snapToGrid w:val="0"/>
              <w:spacing w:after="0"/>
              <w:rPr>
                <w:sz w:val="22"/>
                <w:szCs w:val="22"/>
              </w:rPr>
            </w:pPr>
            <w:r w:rsidRPr="004635E5">
              <w:rPr>
                <w:sz w:val="22"/>
                <w:szCs w:val="22"/>
              </w:rPr>
              <w:t>What proportion of the total estimated catch occurs north of 20</w:t>
            </w:r>
            <w:r w:rsidRPr="004635E5">
              <w:rPr>
                <w:sz w:val="22"/>
                <w:szCs w:val="22"/>
                <w:vertAlign w:val="superscript"/>
              </w:rPr>
              <w:t xml:space="preserve"> o</w:t>
            </w:r>
            <w:r w:rsidRPr="004635E5">
              <w:rPr>
                <w:sz w:val="22"/>
                <w:szCs w:val="22"/>
              </w:rPr>
              <w:t>N?</w:t>
            </w:r>
          </w:p>
        </w:tc>
        <w:tc>
          <w:tcPr>
            <w:tcW w:w="3136" w:type="dxa"/>
            <w:tcMar>
              <w:left w:w="115" w:type="dxa"/>
              <w:right w:w="115" w:type="dxa"/>
            </w:tcMar>
            <w:hideMark/>
          </w:tcPr>
          <w:p w14:paraId="10E29FA4" w14:textId="77777777" w:rsidR="00270656" w:rsidRPr="004635E5" w:rsidRDefault="00270656" w:rsidP="006633A8">
            <w:pPr>
              <w:adjustRightInd w:val="0"/>
              <w:snapToGrid w:val="0"/>
              <w:spacing w:after="0"/>
              <w:rPr>
                <w:sz w:val="22"/>
                <w:szCs w:val="22"/>
              </w:rPr>
            </w:pPr>
            <w:r w:rsidRPr="004635E5">
              <w:rPr>
                <w:sz w:val="22"/>
                <w:szCs w:val="22"/>
              </w:rPr>
              <w:t>**Range of annual percentages of 66%-96% above 20</w:t>
            </w:r>
            <w:r w:rsidRPr="004635E5">
              <w:rPr>
                <w:sz w:val="22"/>
                <w:szCs w:val="22"/>
                <w:vertAlign w:val="superscript"/>
              </w:rPr>
              <w:t xml:space="preserve"> o</w:t>
            </w:r>
            <w:r w:rsidRPr="004635E5">
              <w:rPr>
                <w:sz w:val="22"/>
                <w:szCs w:val="22"/>
              </w:rPr>
              <w:t>N. During the 2000s the average percentage was 73% above 20</w:t>
            </w:r>
            <w:r w:rsidRPr="004635E5">
              <w:rPr>
                <w:sz w:val="22"/>
                <w:szCs w:val="22"/>
                <w:vertAlign w:val="superscript"/>
              </w:rPr>
              <w:t xml:space="preserve"> o</w:t>
            </w:r>
            <w:r w:rsidRPr="004635E5">
              <w:rPr>
                <w:sz w:val="22"/>
                <w:szCs w:val="22"/>
              </w:rPr>
              <w:t>N</w:t>
            </w:r>
          </w:p>
        </w:tc>
        <w:tc>
          <w:tcPr>
            <w:tcW w:w="2755" w:type="dxa"/>
            <w:tcMar>
              <w:left w:w="115" w:type="dxa"/>
              <w:right w:w="115" w:type="dxa"/>
            </w:tcMar>
            <w:hideMark/>
          </w:tcPr>
          <w:p w14:paraId="611302EF" w14:textId="77777777" w:rsidR="00270656" w:rsidRPr="004635E5" w:rsidRDefault="008A4AED" w:rsidP="006633A8">
            <w:pPr>
              <w:adjustRightInd w:val="0"/>
              <w:snapToGrid w:val="0"/>
              <w:spacing w:after="0"/>
              <w:rPr>
                <w:sz w:val="22"/>
                <w:szCs w:val="22"/>
              </w:rPr>
            </w:pPr>
            <w:r w:rsidRPr="004635E5">
              <w:rPr>
                <w:sz w:val="22"/>
                <w:szCs w:val="22"/>
              </w:rPr>
              <w:t>SC14-</w:t>
            </w:r>
            <w:r w:rsidR="00270656" w:rsidRPr="004635E5">
              <w:rPr>
                <w:sz w:val="22"/>
                <w:szCs w:val="22"/>
              </w:rPr>
              <w:t xml:space="preserve">SA-IP-11 These values were estimated from stock assessment results in 2007, but were not endorsed by SC3. </w:t>
            </w:r>
          </w:p>
        </w:tc>
      </w:tr>
      <w:tr w:rsidR="00270656" w:rsidRPr="004635E5" w14:paraId="41B37ED5" w14:textId="77777777" w:rsidTr="00270656">
        <w:trPr>
          <w:trHeight w:val="870"/>
        </w:trPr>
        <w:tc>
          <w:tcPr>
            <w:tcW w:w="549" w:type="dxa"/>
            <w:noWrap/>
            <w:tcMar>
              <w:left w:w="115" w:type="dxa"/>
              <w:right w:w="115" w:type="dxa"/>
            </w:tcMar>
            <w:hideMark/>
          </w:tcPr>
          <w:p w14:paraId="76847C40" w14:textId="77777777" w:rsidR="00270656" w:rsidRPr="004635E5" w:rsidRDefault="00270656" w:rsidP="006633A8">
            <w:pPr>
              <w:adjustRightInd w:val="0"/>
              <w:snapToGrid w:val="0"/>
              <w:spacing w:after="0"/>
              <w:rPr>
                <w:sz w:val="22"/>
                <w:szCs w:val="22"/>
              </w:rPr>
            </w:pPr>
            <w:r w:rsidRPr="004635E5">
              <w:rPr>
                <w:sz w:val="22"/>
                <w:szCs w:val="22"/>
              </w:rPr>
              <w:t>6</w:t>
            </w:r>
          </w:p>
        </w:tc>
        <w:tc>
          <w:tcPr>
            <w:tcW w:w="2910" w:type="dxa"/>
            <w:tcMar>
              <w:left w:w="115" w:type="dxa"/>
              <w:right w:w="115" w:type="dxa"/>
            </w:tcMar>
            <w:hideMark/>
          </w:tcPr>
          <w:p w14:paraId="539F9A9C" w14:textId="77777777" w:rsidR="00270656" w:rsidRPr="004635E5" w:rsidRDefault="00270656" w:rsidP="006633A8">
            <w:pPr>
              <w:adjustRightInd w:val="0"/>
              <w:snapToGrid w:val="0"/>
              <w:spacing w:after="0"/>
              <w:rPr>
                <w:sz w:val="22"/>
                <w:szCs w:val="22"/>
              </w:rPr>
            </w:pPr>
            <w:r w:rsidRPr="004635E5">
              <w:rPr>
                <w:sz w:val="22"/>
                <w:szCs w:val="22"/>
              </w:rPr>
              <w:t>Is fishery catch-per-unit-effort demonstrably higher north of 20</w:t>
            </w:r>
            <w:r w:rsidRPr="004635E5">
              <w:rPr>
                <w:sz w:val="22"/>
                <w:szCs w:val="22"/>
                <w:vertAlign w:val="superscript"/>
              </w:rPr>
              <w:t xml:space="preserve"> o</w:t>
            </w:r>
            <w:r w:rsidRPr="004635E5">
              <w:rPr>
                <w:sz w:val="22"/>
                <w:szCs w:val="22"/>
              </w:rPr>
              <w:t>N for comparable fisheries?</w:t>
            </w:r>
          </w:p>
        </w:tc>
        <w:tc>
          <w:tcPr>
            <w:tcW w:w="3136" w:type="dxa"/>
            <w:tcMar>
              <w:left w:w="115" w:type="dxa"/>
              <w:right w:w="115" w:type="dxa"/>
            </w:tcMar>
            <w:hideMark/>
          </w:tcPr>
          <w:p w14:paraId="2CFB3A26" w14:textId="77777777" w:rsidR="00270656" w:rsidRPr="004635E5" w:rsidRDefault="00270656" w:rsidP="006633A8">
            <w:pPr>
              <w:adjustRightInd w:val="0"/>
              <w:snapToGrid w:val="0"/>
              <w:spacing w:after="0"/>
              <w:rPr>
                <w:sz w:val="22"/>
                <w:szCs w:val="22"/>
              </w:rPr>
            </w:pPr>
            <w:r w:rsidRPr="004635E5">
              <w:rPr>
                <w:sz w:val="22"/>
                <w:szCs w:val="22"/>
              </w:rPr>
              <w:t>Unknown</w:t>
            </w:r>
          </w:p>
        </w:tc>
        <w:tc>
          <w:tcPr>
            <w:tcW w:w="2755" w:type="dxa"/>
            <w:noWrap/>
            <w:tcMar>
              <w:left w:w="115" w:type="dxa"/>
              <w:right w:w="115" w:type="dxa"/>
            </w:tcMar>
            <w:hideMark/>
          </w:tcPr>
          <w:p w14:paraId="3CF297BA" w14:textId="77777777" w:rsidR="00270656" w:rsidRPr="004635E5" w:rsidRDefault="00270656" w:rsidP="006633A8">
            <w:pPr>
              <w:adjustRightInd w:val="0"/>
              <w:snapToGrid w:val="0"/>
              <w:spacing w:after="0"/>
              <w:rPr>
                <w:sz w:val="22"/>
                <w:szCs w:val="22"/>
              </w:rPr>
            </w:pPr>
            <w:r w:rsidRPr="004635E5">
              <w:rPr>
                <w:rFonts w:ascii="Batang" w:eastAsia="Batang" w:hAnsi="Batang" w:cs="Batang" w:hint="eastAsia"/>
                <w:sz w:val="22"/>
                <w:szCs w:val="22"/>
              </w:rPr>
              <w:t xml:space="preserve">　</w:t>
            </w:r>
          </w:p>
        </w:tc>
      </w:tr>
      <w:tr w:rsidR="00270656" w:rsidRPr="004635E5" w14:paraId="26EC313C" w14:textId="77777777" w:rsidTr="00270656">
        <w:trPr>
          <w:trHeight w:val="870"/>
        </w:trPr>
        <w:tc>
          <w:tcPr>
            <w:tcW w:w="549" w:type="dxa"/>
            <w:noWrap/>
            <w:tcMar>
              <w:left w:w="115" w:type="dxa"/>
              <w:right w:w="115" w:type="dxa"/>
            </w:tcMar>
          </w:tcPr>
          <w:p w14:paraId="1E157711" w14:textId="77777777" w:rsidR="00270656" w:rsidRPr="004635E5" w:rsidRDefault="00270656" w:rsidP="006633A8">
            <w:pPr>
              <w:adjustRightInd w:val="0"/>
              <w:snapToGrid w:val="0"/>
              <w:spacing w:after="0"/>
              <w:rPr>
                <w:sz w:val="22"/>
                <w:szCs w:val="22"/>
              </w:rPr>
            </w:pPr>
            <w:r w:rsidRPr="004635E5">
              <w:rPr>
                <w:sz w:val="22"/>
                <w:szCs w:val="22"/>
              </w:rPr>
              <w:t>7</w:t>
            </w:r>
          </w:p>
        </w:tc>
        <w:tc>
          <w:tcPr>
            <w:tcW w:w="2910" w:type="dxa"/>
            <w:tcMar>
              <w:left w:w="115" w:type="dxa"/>
              <w:right w:w="115" w:type="dxa"/>
            </w:tcMar>
          </w:tcPr>
          <w:p w14:paraId="388577CE" w14:textId="77777777" w:rsidR="00270656" w:rsidRPr="004635E5" w:rsidRDefault="00270656" w:rsidP="006633A8">
            <w:pPr>
              <w:adjustRightInd w:val="0"/>
              <w:snapToGrid w:val="0"/>
              <w:spacing w:after="0"/>
              <w:rPr>
                <w:sz w:val="22"/>
                <w:szCs w:val="22"/>
              </w:rPr>
            </w:pPr>
            <w:r w:rsidRPr="004635E5">
              <w:rPr>
                <w:sz w:val="22"/>
                <w:szCs w:val="22"/>
              </w:rPr>
              <w:t>Is there sufficient information about fish movement between north and south of 20</w:t>
            </w:r>
            <w:r w:rsidRPr="004635E5">
              <w:rPr>
                <w:sz w:val="22"/>
                <w:szCs w:val="22"/>
                <w:vertAlign w:val="superscript"/>
              </w:rPr>
              <w:t xml:space="preserve"> o</w:t>
            </w:r>
            <w:r w:rsidRPr="004635E5">
              <w:rPr>
                <w:sz w:val="22"/>
                <w:szCs w:val="22"/>
              </w:rPr>
              <w:t>N?</w:t>
            </w:r>
          </w:p>
        </w:tc>
        <w:tc>
          <w:tcPr>
            <w:tcW w:w="3136" w:type="dxa"/>
            <w:tcMar>
              <w:left w:w="115" w:type="dxa"/>
              <w:right w:w="115" w:type="dxa"/>
            </w:tcMar>
          </w:tcPr>
          <w:p w14:paraId="7351EF40" w14:textId="77777777" w:rsidR="00270656" w:rsidRPr="004635E5" w:rsidRDefault="00270656" w:rsidP="006633A8">
            <w:pPr>
              <w:adjustRightInd w:val="0"/>
              <w:snapToGrid w:val="0"/>
              <w:spacing w:after="0"/>
              <w:rPr>
                <w:sz w:val="22"/>
                <w:szCs w:val="22"/>
              </w:rPr>
            </w:pPr>
            <w:r w:rsidRPr="004635E5">
              <w:rPr>
                <w:sz w:val="22"/>
                <w:szCs w:val="22"/>
              </w:rPr>
              <w:t>No</w:t>
            </w:r>
          </w:p>
        </w:tc>
        <w:tc>
          <w:tcPr>
            <w:tcW w:w="2755" w:type="dxa"/>
            <w:noWrap/>
            <w:tcMar>
              <w:left w:w="115" w:type="dxa"/>
              <w:right w:w="115" w:type="dxa"/>
            </w:tcMar>
          </w:tcPr>
          <w:p w14:paraId="29546D27" w14:textId="77777777" w:rsidR="00270656" w:rsidRPr="004635E5" w:rsidRDefault="00270656" w:rsidP="006633A8">
            <w:pPr>
              <w:adjustRightInd w:val="0"/>
              <w:snapToGrid w:val="0"/>
              <w:spacing w:after="0"/>
              <w:rPr>
                <w:sz w:val="22"/>
                <w:szCs w:val="22"/>
              </w:rPr>
            </w:pPr>
          </w:p>
        </w:tc>
      </w:tr>
    </w:tbl>
    <w:tbl>
      <w:tblPr>
        <w:tblW w:w="10481" w:type="dxa"/>
        <w:tblInd w:w="99" w:type="dxa"/>
        <w:tblCellMar>
          <w:left w:w="99" w:type="dxa"/>
          <w:right w:w="99" w:type="dxa"/>
        </w:tblCellMar>
        <w:tblLook w:val="04A0" w:firstRow="1" w:lastRow="0" w:firstColumn="1" w:lastColumn="0" w:noHBand="0" w:noVBand="1"/>
      </w:tblPr>
      <w:tblGrid>
        <w:gridCol w:w="10481"/>
      </w:tblGrid>
      <w:tr w:rsidR="00270656" w:rsidRPr="004635E5" w14:paraId="2A9BA10F" w14:textId="77777777" w:rsidTr="00F32B86">
        <w:trPr>
          <w:trHeight w:val="252"/>
        </w:trPr>
        <w:tc>
          <w:tcPr>
            <w:tcW w:w="10481" w:type="dxa"/>
            <w:tcBorders>
              <w:top w:val="nil"/>
              <w:left w:val="nil"/>
              <w:bottom w:val="nil"/>
              <w:right w:val="nil"/>
            </w:tcBorders>
            <w:shd w:val="clear" w:color="auto" w:fill="auto"/>
            <w:noWrap/>
            <w:vAlign w:val="center"/>
            <w:hideMark/>
          </w:tcPr>
          <w:p w14:paraId="4E2989E3" w14:textId="77777777" w:rsidR="00270656" w:rsidRPr="004635E5" w:rsidRDefault="00270656" w:rsidP="006633A8">
            <w:pPr>
              <w:adjustRightInd w:val="0"/>
              <w:snapToGrid w:val="0"/>
              <w:rPr>
                <w:rFonts w:eastAsia="MS PGothic"/>
                <w:color w:val="000000"/>
                <w:sz w:val="22"/>
                <w:szCs w:val="22"/>
              </w:rPr>
            </w:pPr>
            <w:r w:rsidRPr="004635E5">
              <w:rPr>
                <w:rFonts w:eastAsia="MS PGothic"/>
                <w:color w:val="000000"/>
                <w:sz w:val="22"/>
                <w:szCs w:val="22"/>
              </w:rPr>
              <w:t>*Proportion of biomass was calculated in 1964 and 1969 that is near the initial condition.</w:t>
            </w:r>
          </w:p>
        </w:tc>
      </w:tr>
    </w:tbl>
    <w:p w14:paraId="2F7E7CE4" w14:textId="77777777" w:rsidR="00270656" w:rsidRPr="004635E5" w:rsidRDefault="00270656" w:rsidP="006633A8">
      <w:pPr>
        <w:adjustRightInd w:val="0"/>
        <w:snapToGrid w:val="0"/>
        <w:ind w:firstLineChars="50" w:firstLine="110"/>
        <w:rPr>
          <w:rFonts w:eastAsia="MS PGothic"/>
          <w:color w:val="000000"/>
          <w:sz w:val="22"/>
          <w:szCs w:val="22"/>
        </w:rPr>
      </w:pPr>
      <w:r w:rsidRPr="004635E5">
        <w:rPr>
          <w:rFonts w:eastAsia="MS PGothic"/>
          <w:color w:val="000000"/>
          <w:sz w:val="22"/>
          <w:szCs w:val="22"/>
        </w:rPr>
        <w:t>**The average proportion of the total catch in numbers were calculated by decade (1950's-2000's).</w:t>
      </w:r>
    </w:p>
    <w:p w14:paraId="2289F266" w14:textId="77777777" w:rsidR="00A61B2B" w:rsidRPr="004635E5" w:rsidRDefault="00A61B2B" w:rsidP="006633A8">
      <w:pPr>
        <w:adjustRightInd w:val="0"/>
        <w:snapToGrid w:val="0"/>
        <w:ind w:firstLineChars="50" w:firstLine="110"/>
        <w:rPr>
          <w:sz w:val="22"/>
          <w:szCs w:val="22"/>
        </w:rPr>
      </w:pPr>
    </w:p>
    <w:p w14:paraId="2124F60B" w14:textId="77777777" w:rsidR="001A1C9A" w:rsidRPr="004635E5" w:rsidRDefault="0066474B" w:rsidP="00580EA4">
      <w:pPr>
        <w:pStyle w:val="SC3"/>
        <w:numPr>
          <w:ilvl w:val="2"/>
          <w:numId w:val="161"/>
        </w:numPr>
        <w:spacing w:after="0"/>
        <w:rPr>
          <w:rFonts w:eastAsia="Batang"/>
          <w:lang w:eastAsia="ko-KR"/>
        </w:rPr>
      </w:pPr>
      <w:r w:rsidRPr="004635E5">
        <w:rPr>
          <w:rFonts w:eastAsia="Batang"/>
          <w:lang w:val="en-AU" w:eastAsia="ko-KR"/>
        </w:rPr>
        <w:t>Pacific blue marlin</w:t>
      </w:r>
      <w:r w:rsidR="00F81EF0">
        <w:rPr>
          <w:rFonts w:eastAsia="Batang"/>
          <w:lang w:eastAsia="ko-KR"/>
        </w:rPr>
        <w:t xml:space="preserve"> </w:t>
      </w:r>
      <w:r w:rsidR="00807662" w:rsidRPr="004635E5">
        <w:rPr>
          <w:rFonts w:eastAsia="Batang"/>
          <w:lang w:eastAsia="ko-KR"/>
        </w:rPr>
        <w:t>(</w:t>
      </w:r>
      <w:r w:rsidR="00807662" w:rsidRPr="004635E5">
        <w:rPr>
          <w:rFonts w:eastAsia="Batang"/>
          <w:i/>
          <w:lang w:eastAsia="ko-KR"/>
        </w:rPr>
        <w:t>Makaira nigricans</w:t>
      </w:r>
      <w:r w:rsidR="00807662" w:rsidRPr="004635E5">
        <w:rPr>
          <w:rFonts w:eastAsia="Batang"/>
          <w:lang w:eastAsia="ko-KR"/>
        </w:rPr>
        <w:t>)</w:t>
      </w:r>
      <w:r w:rsidR="00FF2499" w:rsidRPr="004635E5">
        <w:rPr>
          <w:rFonts w:eastAsia="Batang"/>
          <w:lang w:eastAsia="ko-KR"/>
        </w:rPr>
        <w:t xml:space="preserve"> </w:t>
      </w:r>
    </w:p>
    <w:p w14:paraId="21FFC64F" w14:textId="77777777" w:rsidR="00A61B2B" w:rsidRPr="004635E5" w:rsidRDefault="00A61B2B" w:rsidP="006633A8">
      <w:pPr>
        <w:pStyle w:val="SC3"/>
        <w:numPr>
          <w:ilvl w:val="0"/>
          <w:numId w:val="0"/>
        </w:numPr>
        <w:spacing w:after="0"/>
        <w:ind w:left="1440"/>
        <w:rPr>
          <w:rFonts w:eastAsia="Batang"/>
          <w:lang w:eastAsia="ko-KR"/>
        </w:rPr>
      </w:pPr>
    </w:p>
    <w:p w14:paraId="6C679505" w14:textId="77777777" w:rsidR="0066474B" w:rsidRPr="004635E5" w:rsidRDefault="003734A2" w:rsidP="00580EA4">
      <w:pPr>
        <w:pStyle w:val="SC3"/>
        <w:numPr>
          <w:ilvl w:val="3"/>
          <w:numId w:val="161"/>
        </w:numPr>
        <w:spacing w:after="0"/>
        <w:rPr>
          <w:rFonts w:eastAsia="Batang"/>
          <w:lang w:eastAsia="ko-KR"/>
        </w:rPr>
      </w:pPr>
      <w:r w:rsidRPr="004635E5">
        <w:rPr>
          <w:rFonts w:eastAsia="Batang"/>
          <w:lang w:eastAsia="ko-KR"/>
        </w:rPr>
        <w:t>R</w:t>
      </w:r>
      <w:r w:rsidR="0066474B" w:rsidRPr="004635E5">
        <w:rPr>
          <w:rFonts w:eastAsia="Batang"/>
          <w:lang w:eastAsia="ko-KR"/>
        </w:rPr>
        <w:t>esearch and information</w:t>
      </w:r>
    </w:p>
    <w:p w14:paraId="5CCCD63A" w14:textId="77777777" w:rsidR="00A61B2B" w:rsidRPr="004635E5" w:rsidRDefault="00A61B2B" w:rsidP="006633A8">
      <w:pPr>
        <w:pStyle w:val="SC3"/>
        <w:numPr>
          <w:ilvl w:val="0"/>
          <w:numId w:val="0"/>
        </w:numPr>
        <w:spacing w:after="0"/>
        <w:ind w:left="1800"/>
        <w:rPr>
          <w:rFonts w:eastAsia="Batang"/>
          <w:lang w:eastAsia="ko-KR"/>
        </w:rPr>
      </w:pPr>
    </w:p>
    <w:p w14:paraId="39436130" w14:textId="77777777" w:rsidR="006B187A" w:rsidRPr="004635E5" w:rsidRDefault="004F611C" w:rsidP="00580EA4">
      <w:pPr>
        <w:numPr>
          <w:ilvl w:val="0"/>
          <w:numId w:val="18"/>
        </w:numPr>
        <w:autoSpaceDE w:val="0"/>
        <w:autoSpaceDN w:val="0"/>
        <w:adjustRightInd w:val="0"/>
        <w:snapToGrid w:val="0"/>
        <w:ind w:left="0" w:firstLine="0"/>
        <w:jc w:val="both"/>
        <w:rPr>
          <w:rFonts w:eastAsia="Batang"/>
          <w:sz w:val="22"/>
          <w:szCs w:val="22"/>
          <w:lang w:val="en-NZ" w:eastAsia="ko-KR"/>
        </w:rPr>
      </w:pPr>
      <w:r w:rsidRPr="004635E5">
        <w:rPr>
          <w:rFonts w:eastAsia="Batang"/>
          <w:sz w:val="22"/>
          <w:szCs w:val="22"/>
          <w:lang w:val="en-NZ" w:eastAsia="ko-KR"/>
        </w:rPr>
        <w:t>The last</w:t>
      </w:r>
      <w:r w:rsidR="000B636C" w:rsidRPr="004635E5">
        <w:rPr>
          <w:rFonts w:eastAsia="Batang"/>
          <w:sz w:val="22"/>
          <w:szCs w:val="22"/>
          <w:lang w:val="en-NZ" w:eastAsia="ko-KR"/>
        </w:rPr>
        <w:t xml:space="preserve"> </w:t>
      </w:r>
      <w:r w:rsidR="008A3275" w:rsidRPr="004635E5">
        <w:rPr>
          <w:rFonts w:eastAsia="Batang"/>
          <w:bCs/>
          <w:sz w:val="22"/>
          <w:szCs w:val="22"/>
          <w:lang w:val="en-AU" w:eastAsia="ko-KR"/>
        </w:rPr>
        <w:t>Pacific blue marlin</w:t>
      </w:r>
      <w:r w:rsidR="00F81EF0">
        <w:rPr>
          <w:rFonts w:eastAsia="Batang"/>
          <w:b/>
          <w:bCs/>
          <w:sz w:val="22"/>
          <w:szCs w:val="22"/>
          <w:lang w:val="en-NZ" w:eastAsia="ko-KR"/>
        </w:rPr>
        <w:t xml:space="preserve"> </w:t>
      </w:r>
      <w:r w:rsidR="000B636C" w:rsidRPr="004635E5">
        <w:rPr>
          <w:rFonts w:eastAsia="Batang"/>
          <w:sz w:val="22"/>
          <w:szCs w:val="22"/>
          <w:lang w:val="en-NZ" w:eastAsia="ko-KR"/>
        </w:rPr>
        <w:t>stock assessment was conducted in 2016</w:t>
      </w:r>
      <w:r w:rsidR="00FF2499" w:rsidRPr="004635E5">
        <w:rPr>
          <w:rFonts w:eastAsia="Batang"/>
          <w:sz w:val="22"/>
          <w:szCs w:val="22"/>
          <w:lang w:val="en-NZ" w:eastAsia="ko-KR"/>
        </w:rPr>
        <w:t xml:space="preserve">. </w:t>
      </w:r>
    </w:p>
    <w:p w14:paraId="68F43A6A" w14:textId="77777777" w:rsidR="00270656" w:rsidRPr="004635E5" w:rsidRDefault="00270656" w:rsidP="006633A8">
      <w:pPr>
        <w:autoSpaceDE w:val="0"/>
        <w:autoSpaceDN w:val="0"/>
        <w:adjustRightInd w:val="0"/>
        <w:snapToGrid w:val="0"/>
        <w:jc w:val="both"/>
        <w:rPr>
          <w:rFonts w:eastAsia="Batang"/>
          <w:sz w:val="22"/>
          <w:szCs w:val="22"/>
          <w:lang w:val="en-NZ" w:eastAsia="ko-KR"/>
        </w:rPr>
      </w:pPr>
    </w:p>
    <w:p w14:paraId="7C71D563" w14:textId="77777777" w:rsidR="0066474B" w:rsidRPr="004635E5" w:rsidRDefault="0066474B" w:rsidP="00580EA4">
      <w:pPr>
        <w:pStyle w:val="SC3"/>
        <w:numPr>
          <w:ilvl w:val="3"/>
          <w:numId w:val="161"/>
        </w:numPr>
        <w:spacing w:after="0"/>
        <w:rPr>
          <w:rFonts w:eastAsia="Batang"/>
          <w:lang w:eastAsia="ko-KR"/>
        </w:rPr>
      </w:pPr>
      <w:r w:rsidRPr="004635E5">
        <w:rPr>
          <w:rFonts w:eastAsia="Batang"/>
          <w:lang w:eastAsia="ko-KR"/>
        </w:rPr>
        <w:t>Provision of scientific information</w:t>
      </w:r>
    </w:p>
    <w:p w14:paraId="361431D9" w14:textId="77777777" w:rsidR="00011E50" w:rsidRDefault="00011E50" w:rsidP="006633A8">
      <w:pPr>
        <w:pStyle w:val="SCa"/>
        <w:spacing w:after="0"/>
        <w:rPr>
          <w:lang w:val="en-NZ"/>
        </w:rPr>
      </w:pPr>
    </w:p>
    <w:p w14:paraId="3FC9277A" w14:textId="77777777" w:rsidR="00E5155F" w:rsidRPr="004635E5" w:rsidRDefault="001A1C9A" w:rsidP="00132438">
      <w:pPr>
        <w:pStyle w:val="SCa"/>
        <w:tabs>
          <w:tab w:val="clear" w:pos="1080"/>
        </w:tabs>
        <w:spacing w:after="0"/>
        <w:ind w:left="0"/>
        <w:rPr>
          <w:lang w:val="en-NZ"/>
        </w:rPr>
      </w:pPr>
      <w:r w:rsidRPr="004635E5">
        <w:rPr>
          <w:lang w:val="en-NZ"/>
        </w:rPr>
        <w:t>a.</w:t>
      </w:r>
      <w:r w:rsidRPr="004635E5">
        <w:rPr>
          <w:lang w:val="en-NZ"/>
        </w:rPr>
        <w:tab/>
      </w:r>
      <w:r w:rsidR="00E5155F" w:rsidRPr="004635E5">
        <w:rPr>
          <w:lang w:val="en-NZ"/>
        </w:rPr>
        <w:t xml:space="preserve">Status and trends </w:t>
      </w:r>
    </w:p>
    <w:p w14:paraId="22FC3E67" w14:textId="77777777" w:rsidR="00A61B2B" w:rsidRPr="004635E5" w:rsidRDefault="00A61B2B" w:rsidP="006633A8">
      <w:pPr>
        <w:pStyle w:val="SCa"/>
        <w:spacing w:after="0"/>
        <w:rPr>
          <w:lang w:val="en-NZ"/>
        </w:rPr>
      </w:pPr>
    </w:p>
    <w:p w14:paraId="41F2A90B" w14:textId="77777777" w:rsidR="00270656" w:rsidRPr="004635E5" w:rsidRDefault="00270656" w:rsidP="00580EA4">
      <w:pPr>
        <w:numPr>
          <w:ilvl w:val="0"/>
          <w:numId w:val="18"/>
        </w:numPr>
        <w:autoSpaceDE w:val="0"/>
        <w:autoSpaceDN w:val="0"/>
        <w:adjustRightInd w:val="0"/>
        <w:snapToGrid w:val="0"/>
        <w:ind w:left="0" w:firstLine="0"/>
        <w:jc w:val="both"/>
        <w:rPr>
          <w:rFonts w:eastAsia="Batang"/>
          <w:b/>
          <w:sz w:val="22"/>
          <w:szCs w:val="22"/>
          <w:lang w:eastAsia="ko-KR"/>
        </w:rPr>
      </w:pPr>
      <w:r w:rsidRPr="004635E5">
        <w:rPr>
          <w:rFonts w:eastAsia="Batang"/>
          <w:b/>
          <w:sz w:val="22"/>
          <w:szCs w:val="22"/>
          <w:lang w:eastAsia="ko-KR"/>
        </w:rPr>
        <w:t xml:space="preserve">SC14 noted that no stock assessments were conducted for Pacific blue marlin in 2018. Therefore, the stock status descriptions from SC12 are still current for Pacific blue marlin. Updated information on catches was compiled but not reviewed by SC14. </w:t>
      </w:r>
    </w:p>
    <w:p w14:paraId="154BEA9C" w14:textId="77777777" w:rsidR="00270656" w:rsidRPr="004635E5" w:rsidRDefault="00270656" w:rsidP="006633A8">
      <w:pPr>
        <w:autoSpaceDE w:val="0"/>
        <w:autoSpaceDN w:val="0"/>
        <w:adjustRightInd w:val="0"/>
        <w:snapToGrid w:val="0"/>
        <w:jc w:val="both"/>
        <w:rPr>
          <w:rFonts w:eastAsia="Batang"/>
          <w:b/>
          <w:sz w:val="22"/>
          <w:szCs w:val="22"/>
          <w:lang w:eastAsia="ko-KR"/>
        </w:rPr>
      </w:pPr>
    </w:p>
    <w:p w14:paraId="1C740D75" w14:textId="77777777" w:rsidR="00270656" w:rsidRPr="004635E5" w:rsidRDefault="00270656" w:rsidP="00132438">
      <w:pPr>
        <w:pStyle w:val="SCa"/>
        <w:tabs>
          <w:tab w:val="clear" w:pos="1080"/>
        </w:tabs>
        <w:spacing w:after="0"/>
        <w:ind w:left="0"/>
      </w:pPr>
      <w:r w:rsidRPr="004635E5">
        <w:t>b.</w:t>
      </w:r>
      <w:r w:rsidRPr="004635E5">
        <w:tab/>
        <w:t>Management advice</w:t>
      </w:r>
      <w:r w:rsidR="00AE5E0E" w:rsidRPr="004635E5">
        <w:t xml:space="preserve"> and implications</w:t>
      </w:r>
    </w:p>
    <w:p w14:paraId="2B35107B" w14:textId="77777777" w:rsidR="00A61B2B" w:rsidRPr="004635E5" w:rsidRDefault="00A61B2B" w:rsidP="006633A8">
      <w:pPr>
        <w:pStyle w:val="SCa"/>
        <w:spacing w:after="0"/>
      </w:pPr>
    </w:p>
    <w:p w14:paraId="2DC60365" w14:textId="77777777" w:rsidR="00270656" w:rsidRPr="004635E5" w:rsidRDefault="00270656" w:rsidP="00580EA4">
      <w:pPr>
        <w:numPr>
          <w:ilvl w:val="0"/>
          <w:numId w:val="18"/>
        </w:numPr>
        <w:autoSpaceDE w:val="0"/>
        <w:autoSpaceDN w:val="0"/>
        <w:adjustRightInd w:val="0"/>
        <w:snapToGrid w:val="0"/>
        <w:ind w:left="0" w:firstLine="0"/>
        <w:jc w:val="both"/>
        <w:rPr>
          <w:rFonts w:eastAsia="Batang"/>
          <w:b/>
          <w:sz w:val="22"/>
          <w:szCs w:val="22"/>
          <w:lang w:eastAsia="ko-KR"/>
        </w:rPr>
      </w:pPr>
      <w:r w:rsidRPr="004635E5">
        <w:rPr>
          <w:rFonts w:eastAsia="Batang"/>
          <w:b/>
          <w:sz w:val="22"/>
          <w:szCs w:val="22"/>
          <w:lang w:eastAsia="ko-KR"/>
        </w:rPr>
        <w:t xml:space="preserve">SC14 noted that no management advice has been provided since SC12 for Pacific blue marlin. Therefore, previous advice should be maintained, pending a new assessment or other new information. </w:t>
      </w:r>
      <w:r w:rsidRPr="004635E5">
        <w:rPr>
          <w:rFonts w:eastAsia="Batang"/>
          <w:b/>
          <w:bCs/>
          <w:sz w:val="22"/>
          <w:szCs w:val="22"/>
          <w:lang w:val="en-AU" w:eastAsia="ko-KR"/>
        </w:rPr>
        <w:t xml:space="preserve">For further information on the management advice and implications from SC12, please see </w:t>
      </w:r>
      <w:hyperlink r:id="rId135" w:history="1">
        <w:r w:rsidR="0015043B" w:rsidRPr="004635E5">
          <w:rPr>
            <w:rStyle w:val="Hyperlink"/>
            <w:b/>
            <w:sz w:val="22"/>
            <w:szCs w:val="22"/>
          </w:rPr>
          <w:t>https://www.wcpfc.int/node/27769</w:t>
        </w:r>
      </w:hyperlink>
      <w:r w:rsidRPr="004635E5">
        <w:rPr>
          <w:rFonts w:eastAsia="Batang"/>
          <w:b/>
          <w:bCs/>
          <w:sz w:val="22"/>
          <w:szCs w:val="22"/>
          <w:u w:val="single"/>
          <w:lang w:val="en-AU" w:eastAsia="ko-KR"/>
        </w:rPr>
        <w:t xml:space="preserve"> </w:t>
      </w:r>
    </w:p>
    <w:p w14:paraId="207D02D3" w14:textId="77777777" w:rsidR="008A5F85" w:rsidRPr="004635E5" w:rsidRDefault="008A5F85" w:rsidP="006633A8">
      <w:pPr>
        <w:pStyle w:val="Heading1"/>
        <w:numPr>
          <w:ilvl w:val="0"/>
          <w:numId w:val="0"/>
        </w:numPr>
        <w:adjustRightInd w:val="0"/>
        <w:snapToGrid w:val="0"/>
        <w:spacing w:after="0"/>
        <w:ind w:left="720"/>
        <w:rPr>
          <w:lang w:eastAsia="ko-KR"/>
        </w:rPr>
      </w:pPr>
    </w:p>
    <w:p w14:paraId="76E216EA" w14:textId="77777777" w:rsidR="008A5F85" w:rsidRPr="004635E5" w:rsidRDefault="008A5F85" w:rsidP="006633A8">
      <w:pPr>
        <w:pStyle w:val="Heading1"/>
        <w:numPr>
          <w:ilvl w:val="0"/>
          <w:numId w:val="0"/>
        </w:numPr>
        <w:adjustRightInd w:val="0"/>
        <w:snapToGrid w:val="0"/>
        <w:spacing w:after="0"/>
        <w:ind w:left="720"/>
        <w:rPr>
          <w:lang w:eastAsia="ko-KR"/>
        </w:rPr>
      </w:pPr>
    </w:p>
    <w:p w14:paraId="5A960D09" w14:textId="77777777" w:rsidR="008A47BB" w:rsidRPr="004635E5" w:rsidRDefault="002E39E9" w:rsidP="006633A8">
      <w:pPr>
        <w:pStyle w:val="Heading1"/>
        <w:numPr>
          <w:ilvl w:val="0"/>
          <w:numId w:val="0"/>
        </w:numPr>
        <w:adjustRightInd w:val="0"/>
        <w:snapToGrid w:val="0"/>
        <w:spacing w:after="0"/>
        <w:ind w:left="720"/>
      </w:pPr>
      <w:r w:rsidRPr="004635E5">
        <w:t>AGENDA ITEM 5</w:t>
      </w:r>
      <w:r w:rsidR="00174FEF" w:rsidRPr="004635E5">
        <w:t xml:space="preserve"> — </w:t>
      </w:r>
      <w:r w:rsidR="008A47BB" w:rsidRPr="004635E5">
        <w:t>MANAGEMENT ISSUES THEME</w:t>
      </w:r>
      <w:r w:rsidR="00472973" w:rsidRPr="004635E5">
        <w:fldChar w:fldCharType="begin"/>
      </w:r>
      <w:r w:rsidRPr="004635E5">
        <w:instrText xml:space="preserve"> TC "</w:instrText>
      </w:r>
      <w:bookmarkStart w:id="122" w:name="_Toc522810366"/>
      <w:bookmarkStart w:id="123" w:name="_Toc16418019"/>
      <w:r w:rsidRPr="004635E5">
        <w:instrText>AGENDA ITEM 5 — MANAGEMENT ISSUES THEME</w:instrText>
      </w:r>
      <w:bookmarkEnd w:id="122"/>
      <w:bookmarkEnd w:id="123"/>
      <w:r w:rsidRPr="004635E5">
        <w:instrText xml:space="preserve">" \f C \l "1" </w:instrText>
      </w:r>
      <w:r w:rsidR="00472973" w:rsidRPr="004635E5">
        <w:fldChar w:fldCharType="end"/>
      </w:r>
    </w:p>
    <w:p w14:paraId="497F0030" w14:textId="77777777" w:rsidR="00A61B2B" w:rsidRPr="004635E5" w:rsidRDefault="00A61B2B" w:rsidP="006633A8">
      <w:pPr>
        <w:adjustRightInd w:val="0"/>
        <w:snapToGrid w:val="0"/>
        <w:rPr>
          <w:sz w:val="22"/>
          <w:szCs w:val="22"/>
          <w:lang w:val="en-NZ"/>
        </w:rPr>
      </w:pPr>
    </w:p>
    <w:p w14:paraId="28371D30" w14:textId="77777777" w:rsidR="00270656" w:rsidRPr="004635E5" w:rsidRDefault="00270656"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The Management Issues theme was convened by R. Campbell (Australia). The </w:t>
      </w:r>
      <w:r w:rsidR="002E39E9" w:rsidRPr="004635E5">
        <w:rPr>
          <w:rFonts w:eastAsiaTheme="minorEastAsia"/>
          <w:sz w:val="22"/>
          <w:szCs w:val="22"/>
          <w:lang w:val="en-NZ" w:eastAsia="ko-KR"/>
        </w:rPr>
        <w:t xml:space="preserve">theme convener </w:t>
      </w:r>
      <w:r w:rsidRPr="004635E5">
        <w:rPr>
          <w:rFonts w:eastAsiaTheme="minorEastAsia"/>
          <w:sz w:val="22"/>
          <w:szCs w:val="22"/>
          <w:lang w:val="en-NZ" w:eastAsia="ko-KR"/>
        </w:rPr>
        <w:t>informed the meeting that ten Working Papers would be presented during the seven sessions allocated to this Theme and that a further six Information Papers had also been prepared.</w:t>
      </w:r>
    </w:p>
    <w:p w14:paraId="6567758E" w14:textId="77777777" w:rsidR="00A61B2B" w:rsidRPr="004635E5" w:rsidRDefault="00A61B2B" w:rsidP="006633A8">
      <w:pPr>
        <w:autoSpaceDE w:val="0"/>
        <w:autoSpaceDN w:val="0"/>
        <w:adjustRightInd w:val="0"/>
        <w:snapToGrid w:val="0"/>
        <w:jc w:val="both"/>
        <w:rPr>
          <w:rFonts w:eastAsiaTheme="minorEastAsia"/>
          <w:sz w:val="22"/>
          <w:szCs w:val="22"/>
          <w:lang w:val="en-NZ" w:eastAsia="ko-KR"/>
        </w:rPr>
      </w:pPr>
    </w:p>
    <w:p w14:paraId="4D15AE7D" w14:textId="77777777" w:rsidR="007353E1" w:rsidRPr="004635E5" w:rsidRDefault="007353E1" w:rsidP="00580EA4">
      <w:pPr>
        <w:pStyle w:val="ListParagraph"/>
        <w:numPr>
          <w:ilvl w:val="0"/>
          <w:numId w:val="161"/>
        </w:numPr>
        <w:adjustRightInd w:val="0"/>
        <w:snapToGrid w:val="0"/>
        <w:jc w:val="both"/>
        <w:rPr>
          <w:rFonts w:eastAsiaTheme="minorEastAsia"/>
          <w:b/>
          <w:vanish/>
          <w:sz w:val="22"/>
          <w:szCs w:val="22"/>
          <w:lang w:val="en-NZ" w:eastAsia="ko-KR"/>
        </w:rPr>
      </w:pPr>
    </w:p>
    <w:p w14:paraId="53D3CC72" w14:textId="77777777" w:rsidR="007353E1" w:rsidRPr="004635E5" w:rsidRDefault="002F2864" w:rsidP="00580EA4">
      <w:pPr>
        <w:pStyle w:val="SC2"/>
        <w:numPr>
          <w:ilvl w:val="1"/>
          <w:numId w:val="161"/>
        </w:numPr>
        <w:spacing w:after="0"/>
        <w:ind w:left="0" w:firstLine="0"/>
      </w:pPr>
      <w:r w:rsidRPr="004635E5">
        <w:rPr>
          <w:rFonts w:eastAsiaTheme="minorEastAsia"/>
          <w:lang w:eastAsia="ko-KR"/>
        </w:rPr>
        <w:t>Development of harvest strategy framework</w:t>
      </w:r>
    </w:p>
    <w:p w14:paraId="7F5725D9" w14:textId="77777777" w:rsidR="00A61B2B" w:rsidRPr="004635E5" w:rsidRDefault="00A61B2B" w:rsidP="006633A8">
      <w:pPr>
        <w:pStyle w:val="SC2"/>
        <w:numPr>
          <w:ilvl w:val="0"/>
          <w:numId w:val="0"/>
        </w:numPr>
        <w:spacing w:after="0"/>
        <w:ind w:left="720"/>
      </w:pPr>
    </w:p>
    <w:p w14:paraId="4D540060" w14:textId="77777777" w:rsidR="00C46D5C" w:rsidRPr="004635E5" w:rsidRDefault="00BD5E40" w:rsidP="00580EA4">
      <w:pPr>
        <w:pStyle w:val="SC3"/>
        <w:numPr>
          <w:ilvl w:val="2"/>
          <w:numId w:val="161"/>
        </w:numPr>
        <w:spacing w:after="0"/>
      </w:pPr>
      <w:r w:rsidRPr="004635E5">
        <w:rPr>
          <w:rFonts w:eastAsiaTheme="minorEastAsia"/>
          <w:lang w:eastAsia="ko-KR"/>
        </w:rPr>
        <w:t xml:space="preserve">Progress of the </w:t>
      </w:r>
      <w:r w:rsidR="004E1CEC" w:rsidRPr="004635E5">
        <w:rPr>
          <w:rFonts w:eastAsiaTheme="minorEastAsia"/>
          <w:lang w:eastAsia="ko-KR"/>
        </w:rPr>
        <w:t>harvest strategy workplan</w:t>
      </w:r>
    </w:p>
    <w:p w14:paraId="2A9F372C" w14:textId="77777777" w:rsidR="00A61B2B" w:rsidRPr="004635E5" w:rsidRDefault="00A61B2B" w:rsidP="006633A8">
      <w:pPr>
        <w:pStyle w:val="SC3"/>
        <w:numPr>
          <w:ilvl w:val="0"/>
          <w:numId w:val="0"/>
        </w:numPr>
        <w:spacing w:after="0"/>
        <w:ind w:left="1440"/>
      </w:pPr>
    </w:p>
    <w:p w14:paraId="391453B9" w14:textId="77777777" w:rsidR="00A57786" w:rsidRPr="004635E5" w:rsidRDefault="00270656" w:rsidP="00580EA4">
      <w:pPr>
        <w:numPr>
          <w:ilvl w:val="0"/>
          <w:numId w:val="18"/>
        </w:numPr>
        <w:autoSpaceDE w:val="0"/>
        <w:autoSpaceDN w:val="0"/>
        <w:adjustRightInd w:val="0"/>
        <w:snapToGrid w:val="0"/>
        <w:ind w:left="0" w:firstLine="0"/>
        <w:jc w:val="both"/>
        <w:rPr>
          <w:sz w:val="22"/>
          <w:szCs w:val="22"/>
          <w:lang w:val="en-NZ"/>
        </w:rPr>
      </w:pPr>
      <w:r w:rsidRPr="004635E5">
        <w:rPr>
          <w:rFonts w:eastAsiaTheme="minorEastAsia"/>
          <w:sz w:val="22"/>
          <w:szCs w:val="22"/>
          <w:lang w:val="en-NZ" w:eastAsia="ko-KR"/>
        </w:rPr>
        <w:t xml:space="preserve">The theme convener provided a brief summary of progress-to-date the under the </w:t>
      </w:r>
      <w:r w:rsidRPr="004635E5">
        <w:rPr>
          <w:rFonts w:eastAsiaTheme="minorEastAsia"/>
          <w:sz w:val="22"/>
          <w:szCs w:val="22"/>
          <w:lang w:eastAsia="ko-KR"/>
        </w:rPr>
        <w:t xml:space="preserve">Work Plan for the Adoption of Harvest Strategies under CMM-2014-06 and informed the meeting of the updates to this work-plan agreed by WFCPF14 in December 2017 as outlined in Attached L of the WCPFC14 Summary Report (and provided as </w:t>
      </w:r>
      <w:r w:rsidRPr="004635E5">
        <w:rPr>
          <w:rFonts w:eastAsiaTheme="minorEastAsia"/>
          <w:sz w:val="22"/>
          <w:szCs w:val="22"/>
          <w:lang w:val="en-NZ" w:eastAsia="ko-KR"/>
        </w:rPr>
        <w:t xml:space="preserve">SC14-MI-IP-01). </w:t>
      </w:r>
      <w:r w:rsidRPr="004635E5">
        <w:rPr>
          <w:rFonts w:eastAsiaTheme="minorEastAsia"/>
          <w:sz w:val="22"/>
          <w:szCs w:val="22"/>
          <w:lang w:eastAsia="ko-KR"/>
        </w:rPr>
        <w:t xml:space="preserve">Also noting the outcomes from WCPFC14 that “The Commission agreed to reprioritise as needed the annual agenda of the Commission and Scientific Committee to allow sufficient additional time for consideration of harvest strategy issues. In addition, WCPFC recognised that there may also be a need for a dedicated science/management dialogue”, he informed the meeting that the Management-Issues Theme had been extended from four sessions at SC13 to seven sessions at SC14 and that draft Terms of Reference would be considered for a dedicated science/management dialogue under Working Paper SC14-MI-WP-06. </w:t>
      </w:r>
    </w:p>
    <w:p w14:paraId="5BDCB7A6" w14:textId="77777777" w:rsidR="00A61B2B" w:rsidRPr="004635E5" w:rsidRDefault="00A61B2B" w:rsidP="006633A8">
      <w:pPr>
        <w:autoSpaceDE w:val="0"/>
        <w:autoSpaceDN w:val="0"/>
        <w:adjustRightInd w:val="0"/>
        <w:snapToGrid w:val="0"/>
        <w:jc w:val="both"/>
        <w:rPr>
          <w:sz w:val="22"/>
          <w:szCs w:val="22"/>
          <w:lang w:val="en-NZ"/>
        </w:rPr>
      </w:pPr>
    </w:p>
    <w:p w14:paraId="3D7E342C" w14:textId="77777777" w:rsidR="002F2864" w:rsidRPr="004635E5" w:rsidRDefault="00FC1C9F" w:rsidP="00580EA4">
      <w:pPr>
        <w:pStyle w:val="SC3"/>
        <w:numPr>
          <w:ilvl w:val="2"/>
          <w:numId w:val="161"/>
        </w:numPr>
        <w:spacing w:after="0"/>
        <w:rPr>
          <w:rFonts w:eastAsiaTheme="minorEastAsia"/>
          <w:bCs/>
          <w:lang w:eastAsia="ko-KR"/>
        </w:rPr>
      </w:pPr>
      <w:r w:rsidRPr="004635E5">
        <w:rPr>
          <w:rFonts w:eastAsiaTheme="minorEastAsia"/>
          <w:bCs/>
          <w:lang w:eastAsia="ko-KR"/>
        </w:rPr>
        <w:t>Target r</w:t>
      </w:r>
      <w:r w:rsidR="005424BF" w:rsidRPr="004635E5">
        <w:rPr>
          <w:rFonts w:eastAsiaTheme="minorEastAsia"/>
          <w:bCs/>
          <w:lang w:eastAsia="ko-KR"/>
        </w:rPr>
        <w:t>eference points</w:t>
      </w:r>
    </w:p>
    <w:p w14:paraId="2DA43FCC" w14:textId="77777777" w:rsidR="00A61B2B" w:rsidRPr="004635E5" w:rsidRDefault="00A61B2B" w:rsidP="006633A8">
      <w:pPr>
        <w:pStyle w:val="SC3"/>
        <w:numPr>
          <w:ilvl w:val="0"/>
          <w:numId w:val="0"/>
        </w:numPr>
        <w:spacing w:after="0"/>
        <w:ind w:left="1440"/>
        <w:rPr>
          <w:rFonts w:eastAsiaTheme="minorEastAsia"/>
          <w:bCs/>
          <w:lang w:eastAsia="ko-KR"/>
        </w:rPr>
      </w:pPr>
    </w:p>
    <w:p w14:paraId="11303759" w14:textId="77777777" w:rsidR="00EA46E9" w:rsidRPr="004635E5" w:rsidRDefault="00EA46E9" w:rsidP="00580EA4">
      <w:pPr>
        <w:pStyle w:val="SCa"/>
        <w:numPr>
          <w:ilvl w:val="5"/>
          <w:numId w:val="18"/>
        </w:numPr>
        <w:tabs>
          <w:tab w:val="clear" w:pos="1080"/>
        </w:tabs>
        <w:spacing w:after="0"/>
        <w:ind w:left="0" w:firstLine="0"/>
        <w:rPr>
          <w:lang w:val="en-NZ"/>
        </w:rPr>
      </w:pPr>
      <w:r w:rsidRPr="004635E5">
        <w:rPr>
          <w:lang w:val="en-NZ"/>
        </w:rPr>
        <w:t xml:space="preserve">Yellowfin and </w:t>
      </w:r>
      <w:r w:rsidR="006664C2">
        <w:rPr>
          <w:lang w:val="en-NZ"/>
        </w:rPr>
        <w:t>b</w:t>
      </w:r>
      <w:r w:rsidRPr="004635E5">
        <w:rPr>
          <w:lang w:val="en-NZ"/>
        </w:rPr>
        <w:t xml:space="preserve">igeye </w:t>
      </w:r>
      <w:r w:rsidR="006664C2">
        <w:rPr>
          <w:lang w:val="en-NZ"/>
        </w:rPr>
        <w:t>t</w:t>
      </w:r>
      <w:r w:rsidRPr="004635E5">
        <w:rPr>
          <w:lang w:val="en-NZ"/>
        </w:rPr>
        <w:t>una</w:t>
      </w:r>
    </w:p>
    <w:p w14:paraId="01C81AB1" w14:textId="77777777" w:rsidR="00A61B2B" w:rsidRPr="004635E5" w:rsidRDefault="00A61B2B" w:rsidP="006633A8">
      <w:pPr>
        <w:pStyle w:val="SCa"/>
        <w:spacing w:after="0"/>
        <w:rPr>
          <w:lang w:val="en-NZ"/>
        </w:rPr>
      </w:pPr>
    </w:p>
    <w:p w14:paraId="74B4A51B" w14:textId="77777777" w:rsidR="00C56B49" w:rsidRPr="004635E5" w:rsidRDefault="00903D0D" w:rsidP="00580EA4">
      <w:pPr>
        <w:numPr>
          <w:ilvl w:val="0"/>
          <w:numId w:val="18"/>
        </w:numPr>
        <w:autoSpaceDE w:val="0"/>
        <w:autoSpaceDN w:val="0"/>
        <w:adjustRightInd w:val="0"/>
        <w:snapToGrid w:val="0"/>
        <w:ind w:left="0" w:firstLine="0"/>
        <w:jc w:val="both"/>
        <w:rPr>
          <w:rFonts w:eastAsiaTheme="minorEastAsia"/>
          <w:sz w:val="22"/>
          <w:szCs w:val="22"/>
          <w:lang w:val="en-AU" w:eastAsia="ko-KR"/>
        </w:rPr>
      </w:pPr>
      <w:r w:rsidRPr="00F51D4B">
        <w:rPr>
          <w:rFonts w:eastAsiaTheme="minorEastAsia"/>
          <w:sz w:val="22"/>
          <w:szCs w:val="22"/>
          <w:lang w:val="en-NZ" w:eastAsia="ko-KR"/>
        </w:rPr>
        <w:t>Y</w:t>
      </w:r>
      <w:r w:rsidR="00A16680" w:rsidRPr="00F51D4B">
        <w:rPr>
          <w:rFonts w:eastAsiaTheme="minorEastAsia"/>
          <w:sz w:val="22"/>
          <w:szCs w:val="22"/>
          <w:lang w:val="en-NZ" w:eastAsia="ko-KR"/>
        </w:rPr>
        <w:t xml:space="preserve">. </w:t>
      </w:r>
      <w:r w:rsidRPr="00F51D4B">
        <w:rPr>
          <w:rFonts w:eastAsiaTheme="minorEastAsia"/>
          <w:sz w:val="22"/>
          <w:szCs w:val="22"/>
          <w:lang w:val="en-NZ" w:eastAsia="ko-KR"/>
        </w:rPr>
        <w:t>Takeuchi</w:t>
      </w:r>
      <w:r w:rsidR="00F81EF0" w:rsidRPr="00F51D4B">
        <w:rPr>
          <w:rFonts w:eastAsiaTheme="minorEastAsia"/>
          <w:sz w:val="22"/>
          <w:szCs w:val="22"/>
          <w:lang w:val="en-NZ" w:eastAsia="ko-KR"/>
        </w:rPr>
        <w:t xml:space="preserve"> </w:t>
      </w:r>
      <w:r w:rsidR="00C85CA7" w:rsidRPr="00F51D4B">
        <w:rPr>
          <w:rFonts w:eastAsiaTheme="minorEastAsia"/>
          <w:sz w:val="22"/>
          <w:szCs w:val="22"/>
          <w:lang w:val="en-NZ" w:eastAsia="ko-KR"/>
        </w:rPr>
        <w:t xml:space="preserve">(SPC) </w:t>
      </w:r>
      <w:r w:rsidRPr="00F51D4B">
        <w:rPr>
          <w:rFonts w:eastAsiaTheme="minorEastAsia"/>
          <w:sz w:val="22"/>
          <w:szCs w:val="22"/>
          <w:lang w:val="en-NZ" w:eastAsia="ko-KR"/>
        </w:rPr>
        <w:t xml:space="preserve">introduced </w:t>
      </w:r>
      <w:r w:rsidR="005C3CE1">
        <w:rPr>
          <w:rFonts w:eastAsia="Calibri"/>
          <w:sz w:val="22"/>
          <w:szCs w:val="22"/>
          <w:lang w:val="en-AU"/>
        </w:rPr>
        <w:t>SC14-</w:t>
      </w:r>
      <w:r w:rsidR="00F55355" w:rsidRPr="00F51D4B">
        <w:rPr>
          <w:rFonts w:eastAsiaTheme="minorEastAsia"/>
          <w:sz w:val="22"/>
          <w:szCs w:val="22"/>
          <w:lang w:val="en-NZ" w:eastAsia="ko-KR"/>
        </w:rPr>
        <w:t>MI-WP-01</w:t>
      </w:r>
      <w:r w:rsidRPr="00F51D4B">
        <w:rPr>
          <w:rFonts w:eastAsiaTheme="minorEastAsia"/>
          <w:sz w:val="22"/>
          <w:szCs w:val="22"/>
          <w:lang w:val="en-NZ" w:eastAsia="ko-KR"/>
        </w:rPr>
        <w:t xml:space="preserve"> </w:t>
      </w:r>
      <w:r w:rsidR="00F55355" w:rsidRPr="00F51D4B">
        <w:rPr>
          <w:rFonts w:eastAsiaTheme="minorEastAsia"/>
          <w:i/>
          <w:sz w:val="22"/>
          <w:szCs w:val="22"/>
          <w:lang w:val="en-NZ" w:eastAsia="ko-KR"/>
        </w:rPr>
        <w:t>Minimum TRPs for WCPFC yellowfin consistent with alternative LRP risk levels.</w:t>
      </w:r>
      <w:r w:rsidR="00270656" w:rsidRPr="00F51D4B">
        <w:rPr>
          <w:rFonts w:eastAsiaTheme="minorEastAsia"/>
          <w:sz w:val="22"/>
          <w:szCs w:val="22"/>
          <w:lang w:val="en-NZ" w:eastAsia="ko-KR"/>
        </w:rPr>
        <w:t xml:space="preserve"> </w:t>
      </w:r>
      <w:r w:rsidRPr="00F51D4B">
        <w:rPr>
          <w:rFonts w:eastAsiaTheme="minorEastAsia"/>
          <w:sz w:val="22"/>
          <w:szCs w:val="22"/>
          <w:lang w:val="en-AU" w:eastAsia="ko-KR"/>
        </w:rPr>
        <w:t xml:space="preserve">The </w:t>
      </w:r>
      <w:r w:rsidR="00C56B49" w:rsidRPr="00F51D4B">
        <w:rPr>
          <w:rFonts w:eastAsiaTheme="minorEastAsia"/>
          <w:sz w:val="22"/>
          <w:szCs w:val="22"/>
          <w:lang w:val="en-AU" w:eastAsia="ko-KR"/>
        </w:rPr>
        <w:t>paper</w:t>
      </w:r>
      <w:r w:rsidRPr="00F51D4B">
        <w:rPr>
          <w:rFonts w:eastAsiaTheme="minorEastAsia"/>
          <w:sz w:val="22"/>
          <w:szCs w:val="22"/>
          <w:lang w:val="en-AU" w:eastAsia="ko-KR"/>
        </w:rPr>
        <w:t xml:space="preserve"> </w:t>
      </w:r>
      <w:r w:rsidR="00C56B49" w:rsidRPr="00F51D4B">
        <w:rPr>
          <w:rFonts w:eastAsiaTheme="minorEastAsia"/>
          <w:sz w:val="22"/>
          <w:szCs w:val="22"/>
          <w:lang w:val="en-AU" w:eastAsia="ko-KR"/>
        </w:rPr>
        <w:t>compute</w:t>
      </w:r>
      <w:r w:rsidRPr="00F51D4B">
        <w:rPr>
          <w:rFonts w:eastAsiaTheme="minorEastAsia"/>
          <w:sz w:val="22"/>
          <w:szCs w:val="22"/>
          <w:lang w:val="en-AU" w:eastAsia="ko-KR"/>
        </w:rPr>
        <w:t>s</w:t>
      </w:r>
      <w:r w:rsidR="00C56B49" w:rsidRPr="00F51D4B">
        <w:rPr>
          <w:rFonts w:eastAsiaTheme="minorEastAsia"/>
          <w:sz w:val="22"/>
          <w:szCs w:val="22"/>
          <w:lang w:val="en-AU" w:eastAsia="ko-KR"/>
        </w:rPr>
        <w:t xml:space="preserve"> median levels of spawning biomass depletion (SB/SB</w:t>
      </w:r>
      <w:r w:rsidR="00C56B49" w:rsidRPr="00602BAD">
        <w:rPr>
          <w:rFonts w:eastAsiaTheme="minorEastAsia"/>
          <w:sz w:val="22"/>
          <w:szCs w:val="22"/>
          <w:vertAlign w:val="subscript"/>
          <w:lang w:val="en-AU" w:eastAsia="ko-KR"/>
        </w:rPr>
        <w:t>F=0</w:t>
      </w:r>
      <w:r w:rsidR="00C56B49" w:rsidRPr="00F51D4B">
        <w:rPr>
          <w:rFonts w:eastAsiaTheme="minorEastAsia"/>
          <w:sz w:val="22"/>
          <w:szCs w:val="22"/>
          <w:lang w:val="en-AU" w:eastAsia="ko-KR"/>
        </w:rPr>
        <w:t>) and fishing mortality relative</w:t>
      </w:r>
      <w:r w:rsidR="00C56B49" w:rsidRPr="004635E5">
        <w:rPr>
          <w:rFonts w:eastAsiaTheme="minorEastAsia"/>
          <w:sz w:val="22"/>
          <w:szCs w:val="22"/>
          <w:lang w:val="en-AU" w:eastAsia="ko-KR"/>
        </w:rPr>
        <w:t xml:space="preserve"> to the fishing mortality at maximum sustainable yield (F/F</w:t>
      </w:r>
      <w:r w:rsidR="00C56B49" w:rsidRPr="00602BAD">
        <w:rPr>
          <w:rFonts w:eastAsiaTheme="minorEastAsia"/>
          <w:sz w:val="22"/>
          <w:szCs w:val="22"/>
          <w:vertAlign w:val="subscript"/>
          <w:lang w:val="en-AU" w:eastAsia="ko-KR"/>
        </w:rPr>
        <w:t>MSY</w:t>
      </w:r>
      <w:r w:rsidR="00C56B49" w:rsidRPr="004635E5">
        <w:rPr>
          <w:rFonts w:eastAsiaTheme="minorEastAsia"/>
          <w:sz w:val="22"/>
          <w:szCs w:val="22"/>
          <w:lang w:val="en-AU" w:eastAsia="ko-KR"/>
        </w:rPr>
        <w:t>) that are consistent with specified risk levels of breaching the limit reference point (LRP) of 0.2SB</w:t>
      </w:r>
      <w:r w:rsidR="00C56B49" w:rsidRPr="00602BAD">
        <w:rPr>
          <w:rFonts w:eastAsiaTheme="minorEastAsia"/>
          <w:sz w:val="22"/>
          <w:szCs w:val="22"/>
          <w:vertAlign w:val="subscript"/>
          <w:lang w:val="en-AU" w:eastAsia="ko-KR"/>
        </w:rPr>
        <w:t>F=0</w:t>
      </w:r>
      <w:r w:rsidR="00C56B49" w:rsidRPr="004635E5">
        <w:rPr>
          <w:rFonts w:eastAsiaTheme="minorEastAsia"/>
          <w:sz w:val="22"/>
          <w:szCs w:val="22"/>
          <w:lang w:val="en-AU" w:eastAsia="ko-KR"/>
        </w:rPr>
        <w:t xml:space="preserve">. To do this, </w:t>
      </w:r>
      <w:r w:rsidR="00270656" w:rsidRPr="004635E5">
        <w:rPr>
          <w:rFonts w:eastAsiaTheme="minorEastAsia"/>
          <w:sz w:val="22"/>
          <w:szCs w:val="22"/>
          <w:lang w:val="en-AU" w:eastAsia="ko-KR"/>
        </w:rPr>
        <w:t xml:space="preserve">the authors </w:t>
      </w:r>
      <w:r w:rsidR="00C56B49" w:rsidRPr="004635E5">
        <w:rPr>
          <w:rFonts w:eastAsiaTheme="minorEastAsia"/>
          <w:sz w:val="22"/>
          <w:szCs w:val="22"/>
          <w:lang w:val="en-AU" w:eastAsia="ko-KR"/>
        </w:rPr>
        <w:t xml:space="preserve">used the structural uncertainty grid of models used by SC13 for advice from the 2017 yellowfin tuna assessment to generate 30 year projections that included stochastic variability in future recruitment under a variety of fishing levels scaled to the 2013-2015 averages. The main results obtained are summarised in </w:t>
      </w:r>
      <w:r w:rsidR="00270656" w:rsidRPr="004635E5">
        <w:rPr>
          <w:rFonts w:eastAsiaTheme="minorEastAsia"/>
          <w:sz w:val="22"/>
          <w:szCs w:val="22"/>
          <w:lang w:val="en-AU" w:eastAsia="ko-KR"/>
        </w:rPr>
        <w:t>T</w:t>
      </w:r>
      <w:r w:rsidR="00C56B49" w:rsidRPr="004635E5">
        <w:rPr>
          <w:rFonts w:eastAsiaTheme="minorEastAsia"/>
          <w:sz w:val="22"/>
          <w:szCs w:val="22"/>
          <w:lang w:val="en-AU" w:eastAsia="ko-KR"/>
        </w:rPr>
        <w:t>able</w:t>
      </w:r>
      <w:r w:rsidR="00270656" w:rsidRPr="004635E5">
        <w:rPr>
          <w:rFonts w:eastAsiaTheme="minorEastAsia"/>
          <w:sz w:val="22"/>
          <w:szCs w:val="22"/>
          <w:lang w:val="en-AU" w:eastAsia="ko-KR"/>
        </w:rPr>
        <w:t xml:space="preserve"> TRP-1</w:t>
      </w:r>
      <w:r w:rsidR="00C56B49" w:rsidRPr="004635E5">
        <w:rPr>
          <w:rFonts w:eastAsiaTheme="minorEastAsia"/>
          <w:sz w:val="22"/>
          <w:szCs w:val="22"/>
          <w:lang w:val="en-AU" w:eastAsia="ko-KR"/>
        </w:rPr>
        <w:t>:</w:t>
      </w:r>
    </w:p>
    <w:p w14:paraId="512EEE7A" w14:textId="77777777" w:rsidR="00A61B2B" w:rsidRPr="004635E5" w:rsidRDefault="00A61B2B" w:rsidP="006633A8">
      <w:pPr>
        <w:autoSpaceDE w:val="0"/>
        <w:autoSpaceDN w:val="0"/>
        <w:adjustRightInd w:val="0"/>
        <w:snapToGrid w:val="0"/>
        <w:jc w:val="both"/>
        <w:rPr>
          <w:rFonts w:eastAsiaTheme="minorEastAsia"/>
          <w:sz w:val="22"/>
          <w:szCs w:val="22"/>
          <w:lang w:val="en-AU" w:eastAsia="ko-KR"/>
        </w:rPr>
      </w:pPr>
    </w:p>
    <w:p w14:paraId="107F9DDB" w14:textId="77777777" w:rsidR="00C56B49" w:rsidRPr="004635E5" w:rsidRDefault="007C29E5" w:rsidP="007C29E5">
      <w:pPr>
        <w:autoSpaceDE w:val="0"/>
        <w:autoSpaceDN w:val="0"/>
        <w:adjustRightInd w:val="0"/>
        <w:snapToGrid w:val="0"/>
        <w:ind w:right="-90"/>
        <w:jc w:val="both"/>
        <w:rPr>
          <w:rFonts w:eastAsiaTheme="minorEastAsia"/>
          <w:sz w:val="22"/>
          <w:szCs w:val="22"/>
          <w:lang w:val="en-AU" w:eastAsia="ko-KR"/>
        </w:rPr>
      </w:pPr>
      <w:r w:rsidRPr="007C29E5">
        <w:rPr>
          <w:rFonts w:eastAsiaTheme="minorEastAsia"/>
          <w:b/>
          <w:bCs/>
          <w:sz w:val="22"/>
          <w:szCs w:val="22"/>
          <w:lang w:val="en-AU" w:eastAsia="ko-KR"/>
        </w:rPr>
        <w:t xml:space="preserve">Table </w:t>
      </w:r>
      <w:r w:rsidR="00270656" w:rsidRPr="007C29E5">
        <w:rPr>
          <w:rFonts w:eastAsiaTheme="minorEastAsia"/>
          <w:b/>
          <w:bCs/>
          <w:sz w:val="22"/>
          <w:szCs w:val="22"/>
          <w:lang w:val="en-AU" w:eastAsia="ko-KR"/>
        </w:rPr>
        <w:t>TRP-1</w:t>
      </w:r>
      <w:r w:rsidR="00270656" w:rsidRPr="004635E5">
        <w:rPr>
          <w:rFonts w:eastAsiaTheme="minorEastAsia"/>
          <w:sz w:val="22"/>
          <w:szCs w:val="22"/>
          <w:lang w:val="en-AU" w:eastAsia="ko-KR"/>
        </w:rPr>
        <w:t xml:space="preserve">: </w:t>
      </w:r>
      <w:r w:rsidR="00C56B49" w:rsidRPr="004635E5">
        <w:rPr>
          <w:rFonts w:eastAsiaTheme="minorEastAsia"/>
          <w:sz w:val="22"/>
          <w:szCs w:val="22"/>
          <w:lang w:val="en-AU" w:eastAsia="ko-KR"/>
        </w:rPr>
        <w:t xml:space="preserve">Median levels of </w:t>
      </w:r>
      <w:r w:rsidR="00602BAD" w:rsidRPr="004635E5">
        <w:rPr>
          <w:rFonts w:eastAsiaTheme="minorEastAsia"/>
          <w:sz w:val="22"/>
          <w:szCs w:val="22"/>
          <w:lang w:val="en-AU" w:eastAsia="ko-KR"/>
        </w:rPr>
        <w:t>SB</w:t>
      </w:r>
      <w:r w:rsidR="00602BAD" w:rsidRPr="006540C6">
        <w:rPr>
          <w:rFonts w:eastAsiaTheme="minorEastAsia"/>
          <w:sz w:val="22"/>
          <w:szCs w:val="22"/>
          <w:vertAlign w:val="subscript"/>
          <w:lang w:val="en-AU" w:eastAsia="ko-KR"/>
        </w:rPr>
        <w:t>2045</w:t>
      </w:r>
      <w:r w:rsidR="00602BAD" w:rsidRPr="004635E5">
        <w:rPr>
          <w:rFonts w:eastAsiaTheme="minorEastAsia"/>
          <w:sz w:val="22"/>
          <w:szCs w:val="22"/>
          <w:lang w:val="en-AU" w:eastAsia="ko-KR"/>
        </w:rPr>
        <w:t>/SB</w:t>
      </w:r>
      <w:r w:rsidR="00602BAD" w:rsidRPr="006540C6">
        <w:rPr>
          <w:rFonts w:eastAsiaTheme="minorEastAsia"/>
          <w:sz w:val="22"/>
          <w:szCs w:val="22"/>
          <w:vertAlign w:val="subscript"/>
          <w:lang w:val="en-AU" w:eastAsia="ko-KR"/>
        </w:rPr>
        <w:t xml:space="preserve">F=0 </w:t>
      </w:r>
      <w:r w:rsidR="00602BAD" w:rsidRPr="004635E5">
        <w:rPr>
          <w:rFonts w:eastAsiaTheme="minorEastAsia"/>
          <w:sz w:val="22"/>
          <w:szCs w:val="22"/>
          <w:lang w:val="en-AU" w:eastAsia="ko-KR"/>
        </w:rPr>
        <w:t>and F</w:t>
      </w:r>
      <w:r w:rsidR="00602BAD" w:rsidRPr="006540C6">
        <w:rPr>
          <w:rFonts w:eastAsiaTheme="minorEastAsia"/>
          <w:sz w:val="22"/>
          <w:szCs w:val="22"/>
          <w:vertAlign w:val="subscript"/>
          <w:lang w:val="en-AU" w:eastAsia="ko-KR"/>
        </w:rPr>
        <w:t>2042-2045</w:t>
      </w:r>
      <w:r w:rsidR="00602BAD" w:rsidRPr="004635E5">
        <w:rPr>
          <w:rFonts w:eastAsiaTheme="minorEastAsia"/>
          <w:sz w:val="22"/>
          <w:szCs w:val="22"/>
          <w:lang w:val="en-AU" w:eastAsia="ko-KR"/>
        </w:rPr>
        <w:t>/F</w:t>
      </w:r>
      <w:r w:rsidR="00602BAD" w:rsidRPr="006540C6">
        <w:rPr>
          <w:rFonts w:eastAsiaTheme="minorEastAsia"/>
          <w:sz w:val="22"/>
          <w:szCs w:val="22"/>
          <w:vertAlign w:val="subscript"/>
          <w:lang w:val="en-AU" w:eastAsia="ko-KR"/>
        </w:rPr>
        <w:t>MSY</w:t>
      </w:r>
      <w:r w:rsidR="00602BAD" w:rsidRPr="004635E5">
        <w:rPr>
          <w:rFonts w:eastAsiaTheme="minorEastAsia"/>
          <w:sz w:val="22"/>
          <w:szCs w:val="22"/>
          <w:lang w:val="en-AU" w:eastAsia="ko-KR"/>
        </w:rPr>
        <w:t xml:space="preserve"> </w:t>
      </w:r>
      <w:r w:rsidR="00C56B49" w:rsidRPr="004635E5">
        <w:rPr>
          <w:rFonts w:eastAsiaTheme="minorEastAsia"/>
          <w:sz w:val="22"/>
          <w:szCs w:val="22"/>
          <w:lang w:val="en-AU" w:eastAsia="ko-KR"/>
        </w:rPr>
        <w:t xml:space="preserve">for the four nominated levels of risk of breaching the LRP. </w:t>
      </w:r>
    </w:p>
    <w:tbl>
      <w:tblPr>
        <w:tblStyle w:val="TableGrid"/>
        <w:tblW w:w="5000" w:type="pct"/>
        <w:tblLook w:val="04A0" w:firstRow="1" w:lastRow="0" w:firstColumn="1" w:lastColumn="0" w:noHBand="0" w:noVBand="1"/>
      </w:tblPr>
      <w:tblGrid>
        <w:gridCol w:w="1974"/>
        <w:gridCol w:w="3080"/>
        <w:gridCol w:w="2017"/>
        <w:gridCol w:w="2505"/>
      </w:tblGrid>
      <w:tr w:rsidR="00C56B49" w:rsidRPr="004635E5" w14:paraId="2A73CBDA" w14:textId="77777777" w:rsidTr="007C29E5">
        <w:trPr>
          <w:trHeight w:val="20"/>
        </w:trPr>
        <w:tc>
          <w:tcPr>
            <w:tcW w:w="1031" w:type="pct"/>
          </w:tcPr>
          <w:p w14:paraId="0AD7A4BE" w14:textId="77777777" w:rsidR="00C56B49" w:rsidRPr="007C29E5" w:rsidRDefault="00C56B49" w:rsidP="007C29E5">
            <w:pPr>
              <w:autoSpaceDE w:val="0"/>
              <w:autoSpaceDN w:val="0"/>
              <w:adjustRightInd w:val="0"/>
              <w:snapToGrid w:val="0"/>
              <w:spacing w:after="0"/>
              <w:ind w:left="5" w:hanging="67"/>
              <w:jc w:val="center"/>
              <w:rPr>
                <w:rFonts w:eastAsiaTheme="minorEastAsia"/>
                <w:b/>
                <w:bCs/>
                <w:sz w:val="22"/>
                <w:szCs w:val="22"/>
                <w:lang w:eastAsia="ko-KR"/>
              </w:rPr>
            </w:pPr>
            <w:r w:rsidRPr="007C29E5">
              <w:rPr>
                <w:rFonts w:eastAsiaTheme="minorEastAsia"/>
                <w:b/>
                <w:bCs/>
                <w:sz w:val="22"/>
                <w:szCs w:val="22"/>
                <w:lang w:eastAsia="ko-KR"/>
              </w:rPr>
              <w:t>Risk level</w:t>
            </w:r>
          </w:p>
        </w:tc>
        <w:tc>
          <w:tcPr>
            <w:tcW w:w="1608" w:type="pct"/>
          </w:tcPr>
          <w:p w14:paraId="0DD7B9C2" w14:textId="77777777" w:rsidR="00C56B49" w:rsidRPr="007C29E5" w:rsidRDefault="00C56B49" w:rsidP="007C29E5">
            <w:pPr>
              <w:autoSpaceDE w:val="0"/>
              <w:autoSpaceDN w:val="0"/>
              <w:adjustRightInd w:val="0"/>
              <w:snapToGrid w:val="0"/>
              <w:spacing w:after="0"/>
              <w:ind w:left="5" w:hanging="67"/>
              <w:jc w:val="center"/>
              <w:rPr>
                <w:rFonts w:eastAsiaTheme="minorEastAsia"/>
                <w:b/>
                <w:bCs/>
                <w:sz w:val="22"/>
                <w:szCs w:val="22"/>
                <w:lang w:eastAsia="ko-KR"/>
              </w:rPr>
            </w:pPr>
            <w:r w:rsidRPr="007C29E5">
              <w:rPr>
                <w:rFonts w:eastAsiaTheme="minorEastAsia"/>
                <w:b/>
                <w:bCs/>
                <w:sz w:val="22"/>
                <w:szCs w:val="22"/>
                <w:lang w:eastAsia="ko-KR"/>
              </w:rPr>
              <w:t>Scalar relative to 2013-2015</w:t>
            </w:r>
          </w:p>
        </w:tc>
        <w:tc>
          <w:tcPr>
            <w:tcW w:w="1053" w:type="pct"/>
          </w:tcPr>
          <w:p w14:paraId="27FE0BD0" w14:textId="77777777" w:rsidR="00C56B49" w:rsidRPr="007C29E5" w:rsidRDefault="00C56B49" w:rsidP="007C29E5">
            <w:pPr>
              <w:autoSpaceDE w:val="0"/>
              <w:autoSpaceDN w:val="0"/>
              <w:adjustRightInd w:val="0"/>
              <w:snapToGrid w:val="0"/>
              <w:spacing w:after="0"/>
              <w:ind w:left="5" w:hanging="67"/>
              <w:jc w:val="center"/>
              <w:rPr>
                <w:rFonts w:eastAsiaTheme="minorEastAsia"/>
                <w:b/>
                <w:bCs/>
                <w:sz w:val="22"/>
                <w:szCs w:val="22"/>
                <w:lang w:eastAsia="ko-KR"/>
              </w:rPr>
            </w:pPr>
            <w:r w:rsidRPr="007C29E5">
              <w:rPr>
                <w:rFonts w:eastAsiaTheme="minorEastAsia"/>
                <w:b/>
                <w:bCs/>
                <w:sz w:val="22"/>
                <w:szCs w:val="22"/>
                <w:lang w:eastAsia="ko-KR"/>
              </w:rPr>
              <w:t>SB</w:t>
            </w:r>
            <w:r w:rsidRPr="007C29E5">
              <w:rPr>
                <w:rFonts w:eastAsiaTheme="minorEastAsia"/>
                <w:b/>
                <w:bCs/>
                <w:sz w:val="22"/>
                <w:szCs w:val="22"/>
                <w:vertAlign w:val="subscript"/>
                <w:lang w:eastAsia="ko-KR"/>
              </w:rPr>
              <w:t>2045</w:t>
            </w:r>
            <w:r w:rsidRPr="007C29E5">
              <w:rPr>
                <w:rFonts w:eastAsiaTheme="minorEastAsia"/>
                <w:b/>
                <w:bCs/>
                <w:sz w:val="22"/>
                <w:szCs w:val="22"/>
                <w:lang w:eastAsia="ko-KR"/>
              </w:rPr>
              <w:t>/SB</w:t>
            </w:r>
            <w:r w:rsidRPr="007C29E5">
              <w:rPr>
                <w:rFonts w:eastAsiaTheme="minorEastAsia"/>
                <w:b/>
                <w:bCs/>
                <w:sz w:val="22"/>
                <w:szCs w:val="22"/>
                <w:vertAlign w:val="subscript"/>
                <w:lang w:eastAsia="ko-KR"/>
              </w:rPr>
              <w:t>F=0</w:t>
            </w:r>
          </w:p>
        </w:tc>
        <w:tc>
          <w:tcPr>
            <w:tcW w:w="1308" w:type="pct"/>
          </w:tcPr>
          <w:p w14:paraId="5817F737" w14:textId="77777777" w:rsidR="00C56B49" w:rsidRPr="007C29E5" w:rsidRDefault="00C56B49" w:rsidP="007C29E5">
            <w:pPr>
              <w:autoSpaceDE w:val="0"/>
              <w:autoSpaceDN w:val="0"/>
              <w:adjustRightInd w:val="0"/>
              <w:snapToGrid w:val="0"/>
              <w:spacing w:after="0"/>
              <w:ind w:left="5" w:hanging="67"/>
              <w:jc w:val="center"/>
              <w:rPr>
                <w:rFonts w:eastAsiaTheme="minorEastAsia"/>
                <w:b/>
                <w:bCs/>
                <w:sz w:val="22"/>
                <w:szCs w:val="22"/>
                <w:lang w:eastAsia="ko-KR"/>
              </w:rPr>
            </w:pPr>
            <w:r w:rsidRPr="007C29E5">
              <w:rPr>
                <w:rFonts w:eastAsiaTheme="minorEastAsia"/>
                <w:b/>
                <w:bCs/>
                <w:sz w:val="22"/>
                <w:szCs w:val="22"/>
                <w:lang w:eastAsia="ko-KR"/>
              </w:rPr>
              <w:t>F</w:t>
            </w:r>
            <w:r w:rsidRPr="007C29E5">
              <w:rPr>
                <w:rFonts w:eastAsiaTheme="minorEastAsia"/>
                <w:b/>
                <w:bCs/>
                <w:sz w:val="22"/>
                <w:szCs w:val="22"/>
                <w:vertAlign w:val="subscript"/>
                <w:lang w:eastAsia="ko-KR"/>
              </w:rPr>
              <w:t>2042-2045</w:t>
            </w:r>
            <w:r w:rsidRPr="007C29E5">
              <w:rPr>
                <w:rFonts w:eastAsiaTheme="minorEastAsia"/>
                <w:b/>
                <w:bCs/>
                <w:sz w:val="22"/>
                <w:szCs w:val="22"/>
                <w:lang w:eastAsia="ko-KR"/>
              </w:rPr>
              <w:t>/F</w:t>
            </w:r>
            <w:r w:rsidRPr="007C29E5">
              <w:rPr>
                <w:rFonts w:eastAsiaTheme="minorEastAsia"/>
                <w:b/>
                <w:bCs/>
                <w:sz w:val="22"/>
                <w:szCs w:val="22"/>
                <w:vertAlign w:val="subscript"/>
                <w:lang w:eastAsia="ko-KR"/>
              </w:rPr>
              <w:t>MSY</w:t>
            </w:r>
          </w:p>
        </w:tc>
      </w:tr>
      <w:tr w:rsidR="00C56B49" w:rsidRPr="004635E5" w14:paraId="08FE2220" w14:textId="77777777" w:rsidTr="007C29E5">
        <w:trPr>
          <w:trHeight w:val="20"/>
        </w:trPr>
        <w:tc>
          <w:tcPr>
            <w:tcW w:w="1031" w:type="pct"/>
          </w:tcPr>
          <w:p w14:paraId="37603FFD" w14:textId="77777777" w:rsidR="00C56B49" w:rsidRPr="004635E5" w:rsidRDefault="00C56B49" w:rsidP="007C29E5">
            <w:pPr>
              <w:autoSpaceDE w:val="0"/>
              <w:autoSpaceDN w:val="0"/>
              <w:adjustRightInd w:val="0"/>
              <w:snapToGrid w:val="0"/>
              <w:spacing w:after="0"/>
              <w:jc w:val="center"/>
              <w:rPr>
                <w:rFonts w:eastAsiaTheme="minorEastAsia"/>
                <w:sz w:val="22"/>
                <w:szCs w:val="22"/>
                <w:lang w:eastAsia="ko-KR"/>
              </w:rPr>
            </w:pPr>
            <w:r w:rsidRPr="004635E5">
              <w:rPr>
                <w:rFonts w:eastAsiaTheme="minorEastAsia"/>
                <w:sz w:val="22"/>
                <w:szCs w:val="22"/>
                <w:lang w:eastAsia="ko-KR"/>
              </w:rPr>
              <w:t>5%</w:t>
            </w:r>
          </w:p>
        </w:tc>
        <w:tc>
          <w:tcPr>
            <w:tcW w:w="1608" w:type="pct"/>
          </w:tcPr>
          <w:p w14:paraId="0283A5EE" w14:textId="77777777" w:rsidR="00C56B49" w:rsidRPr="004635E5" w:rsidRDefault="00C56B49" w:rsidP="007C29E5">
            <w:pPr>
              <w:autoSpaceDE w:val="0"/>
              <w:autoSpaceDN w:val="0"/>
              <w:adjustRightInd w:val="0"/>
              <w:snapToGrid w:val="0"/>
              <w:spacing w:after="0"/>
              <w:ind w:left="6"/>
              <w:jc w:val="center"/>
              <w:rPr>
                <w:rFonts w:eastAsiaTheme="minorEastAsia"/>
                <w:sz w:val="22"/>
                <w:szCs w:val="22"/>
                <w:lang w:eastAsia="ko-KR"/>
              </w:rPr>
            </w:pPr>
            <w:r w:rsidRPr="004635E5">
              <w:rPr>
                <w:rFonts w:eastAsiaTheme="minorEastAsia"/>
                <w:sz w:val="22"/>
                <w:szCs w:val="22"/>
                <w:lang w:eastAsia="ko-KR"/>
              </w:rPr>
              <w:t>1.180</w:t>
            </w:r>
          </w:p>
        </w:tc>
        <w:tc>
          <w:tcPr>
            <w:tcW w:w="1053" w:type="pct"/>
          </w:tcPr>
          <w:p w14:paraId="0F8146D9" w14:textId="77777777" w:rsidR="00C56B49" w:rsidRPr="004635E5" w:rsidRDefault="00C56B49" w:rsidP="007C29E5">
            <w:pPr>
              <w:autoSpaceDE w:val="0"/>
              <w:autoSpaceDN w:val="0"/>
              <w:adjustRightInd w:val="0"/>
              <w:snapToGrid w:val="0"/>
              <w:spacing w:after="0"/>
              <w:jc w:val="center"/>
              <w:rPr>
                <w:rFonts w:eastAsiaTheme="minorEastAsia"/>
                <w:sz w:val="22"/>
                <w:szCs w:val="22"/>
                <w:lang w:eastAsia="ko-KR"/>
              </w:rPr>
            </w:pPr>
            <w:r w:rsidRPr="004635E5">
              <w:rPr>
                <w:rFonts w:eastAsiaTheme="minorEastAsia"/>
                <w:sz w:val="22"/>
                <w:szCs w:val="22"/>
                <w:lang w:eastAsia="ko-KR"/>
              </w:rPr>
              <w:t>0.36</w:t>
            </w:r>
          </w:p>
        </w:tc>
        <w:tc>
          <w:tcPr>
            <w:tcW w:w="1308" w:type="pct"/>
          </w:tcPr>
          <w:p w14:paraId="6D87ACD4" w14:textId="77777777" w:rsidR="00C56B49" w:rsidRPr="004635E5" w:rsidRDefault="00C56B49" w:rsidP="007C29E5">
            <w:pPr>
              <w:autoSpaceDE w:val="0"/>
              <w:autoSpaceDN w:val="0"/>
              <w:adjustRightInd w:val="0"/>
              <w:snapToGrid w:val="0"/>
              <w:spacing w:after="0"/>
              <w:jc w:val="center"/>
              <w:rPr>
                <w:rFonts w:eastAsiaTheme="minorEastAsia"/>
                <w:sz w:val="22"/>
                <w:szCs w:val="22"/>
                <w:lang w:eastAsia="ko-KR"/>
              </w:rPr>
            </w:pPr>
            <w:r w:rsidRPr="004635E5">
              <w:rPr>
                <w:rFonts w:eastAsiaTheme="minorEastAsia"/>
                <w:sz w:val="22"/>
                <w:szCs w:val="22"/>
                <w:lang w:eastAsia="ko-KR"/>
              </w:rPr>
              <w:t>0.58</w:t>
            </w:r>
          </w:p>
        </w:tc>
      </w:tr>
      <w:tr w:rsidR="00C56B49" w:rsidRPr="004635E5" w14:paraId="16ECFFAE" w14:textId="77777777" w:rsidTr="007C29E5">
        <w:trPr>
          <w:trHeight w:val="20"/>
        </w:trPr>
        <w:tc>
          <w:tcPr>
            <w:tcW w:w="1031" w:type="pct"/>
          </w:tcPr>
          <w:p w14:paraId="186FE8B0" w14:textId="77777777" w:rsidR="00C56B49" w:rsidRPr="004635E5" w:rsidRDefault="00C56B49" w:rsidP="007C29E5">
            <w:pPr>
              <w:autoSpaceDE w:val="0"/>
              <w:autoSpaceDN w:val="0"/>
              <w:adjustRightInd w:val="0"/>
              <w:snapToGrid w:val="0"/>
              <w:spacing w:after="0"/>
              <w:jc w:val="center"/>
              <w:rPr>
                <w:rFonts w:eastAsiaTheme="minorEastAsia"/>
                <w:sz w:val="22"/>
                <w:szCs w:val="22"/>
                <w:lang w:eastAsia="ko-KR"/>
              </w:rPr>
            </w:pPr>
            <w:r w:rsidRPr="004635E5">
              <w:rPr>
                <w:rFonts w:eastAsiaTheme="minorEastAsia"/>
                <w:sz w:val="22"/>
                <w:szCs w:val="22"/>
                <w:lang w:eastAsia="ko-KR"/>
              </w:rPr>
              <w:t>10%</w:t>
            </w:r>
          </w:p>
        </w:tc>
        <w:tc>
          <w:tcPr>
            <w:tcW w:w="1608" w:type="pct"/>
          </w:tcPr>
          <w:p w14:paraId="183E7138" w14:textId="77777777" w:rsidR="00C56B49" w:rsidRPr="004635E5" w:rsidRDefault="00C56B49" w:rsidP="007C29E5">
            <w:pPr>
              <w:autoSpaceDE w:val="0"/>
              <w:autoSpaceDN w:val="0"/>
              <w:adjustRightInd w:val="0"/>
              <w:snapToGrid w:val="0"/>
              <w:spacing w:after="0"/>
              <w:ind w:left="6"/>
              <w:jc w:val="center"/>
              <w:rPr>
                <w:rFonts w:eastAsiaTheme="minorEastAsia"/>
                <w:sz w:val="22"/>
                <w:szCs w:val="22"/>
                <w:lang w:eastAsia="ko-KR"/>
              </w:rPr>
            </w:pPr>
            <w:r w:rsidRPr="004635E5">
              <w:rPr>
                <w:rFonts w:eastAsiaTheme="minorEastAsia"/>
                <w:sz w:val="22"/>
                <w:szCs w:val="22"/>
                <w:lang w:eastAsia="ko-KR"/>
              </w:rPr>
              <w:t>1.285</w:t>
            </w:r>
          </w:p>
        </w:tc>
        <w:tc>
          <w:tcPr>
            <w:tcW w:w="1053" w:type="pct"/>
          </w:tcPr>
          <w:p w14:paraId="2E8A3D8C" w14:textId="77777777" w:rsidR="00C56B49" w:rsidRPr="004635E5" w:rsidRDefault="00C56B49" w:rsidP="007C29E5">
            <w:pPr>
              <w:autoSpaceDE w:val="0"/>
              <w:autoSpaceDN w:val="0"/>
              <w:adjustRightInd w:val="0"/>
              <w:snapToGrid w:val="0"/>
              <w:spacing w:after="0"/>
              <w:jc w:val="center"/>
              <w:rPr>
                <w:rFonts w:eastAsiaTheme="minorEastAsia"/>
                <w:sz w:val="22"/>
                <w:szCs w:val="22"/>
                <w:lang w:eastAsia="ko-KR"/>
              </w:rPr>
            </w:pPr>
            <w:r w:rsidRPr="004635E5">
              <w:rPr>
                <w:rFonts w:eastAsiaTheme="minorEastAsia"/>
                <w:sz w:val="22"/>
                <w:szCs w:val="22"/>
                <w:lang w:eastAsia="ko-KR"/>
              </w:rPr>
              <w:t>0.34</w:t>
            </w:r>
          </w:p>
        </w:tc>
        <w:tc>
          <w:tcPr>
            <w:tcW w:w="1308" w:type="pct"/>
          </w:tcPr>
          <w:p w14:paraId="0867F349" w14:textId="77777777" w:rsidR="00C56B49" w:rsidRPr="004635E5" w:rsidRDefault="00C56B49" w:rsidP="007C29E5">
            <w:pPr>
              <w:autoSpaceDE w:val="0"/>
              <w:autoSpaceDN w:val="0"/>
              <w:adjustRightInd w:val="0"/>
              <w:snapToGrid w:val="0"/>
              <w:spacing w:after="0"/>
              <w:jc w:val="center"/>
              <w:rPr>
                <w:rFonts w:eastAsiaTheme="minorEastAsia"/>
                <w:sz w:val="22"/>
                <w:szCs w:val="22"/>
                <w:lang w:eastAsia="ko-KR"/>
              </w:rPr>
            </w:pPr>
            <w:r w:rsidRPr="004635E5">
              <w:rPr>
                <w:rFonts w:eastAsiaTheme="minorEastAsia"/>
                <w:sz w:val="22"/>
                <w:szCs w:val="22"/>
                <w:lang w:eastAsia="ko-KR"/>
              </w:rPr>
              <w:t>0.63</w:t>
            </w:r>
          </w:p>
        </w:tc>
      </w:tr>
      <w:tr w:rsidR="00C56B49" w:rsidRPr="004635E5" w14:paraId="19D6E942" w14:textId="77777777" w:rsidTr="007C29E5">
        <w:trPr>
          <w:trHeight w:val="20"/>
        </w:trPr>
        <w:tc>
          <w:tcPr>
            <w:tcW w:w="1031" w:type="pct"/>
          </w:tcPr>
          <w:p w14:paraId="1D19669E" w14:textId="77777777" w:rsidR="00C56B49" w:rsidRPr="004635E5" w:rsidRDefault="00C56B49" w:rsidP="007C29E5">
            <w:pPr>
              <w:autoSpaceDE w:val="0"/>
              <w:autoSpaceDN w:val="0"/>
              <w:adjustRightInd w:val="0"/>
              <w:snapToGrid w:val="0"/>
              <w:spacing w:after="0"/>
              <w:jc w:val="center"/>
              <w:rPr>
                <w:rFonts w:eastAsiaTheme="minorEastAsia"/>
                <w:sz w:val="22"/>
                <w:szCs w:val="22"/>
                <w:lang w:eastAsia="ko-KR"/>
              </w:rPr>
            </w:pPr>
            <w:r w:rsidRPr="004635E5">
              <w:rPr>
                <w:rFonts w:eastAsiaTheme="minorEastAsia"/>
                <w:sz w:val="22"/>
                <w:szCs w:val="22"/>
                <w:lang w:eastAsia="ko-KR"/>
              </w:rPr>
              <w:t>15%</w:t>
            </w:r>
          </w:p>
        </w:tc>
        <w:tc>
          <w:tcPr>
            <w:tcW w:w="1608" w:type="pct"/>
          </w:tcPr>
          <w:p w14:paraId="72827BE9" w14:textId="77777777" w:rsidR="00C56B49" w:rsidRPr="004635E5" w:rsidRDefault="00C56B49" w:rsidP="007C29E5">
            <w:pPr>
              <w:autoSpaceDE w:val="0"/>
              <w:autoSpaceDN w:val="0"/>
              <w:adjustRightInd w:val="0"/>
              <w:snapToGrid w:val="0"/>
              <w:spacing w:after="0"/>
              <w:ind w:left="6"/>
              <w:jc w:val="center"/>
              <w:rPr>
                <w:rFonts w:eastAsiaTheme="minorEastAsia"/>
                <w:sz w:val="22"/>
                <w:szCs w:val="22"/>
                <w:lang w:eastAsia="ko-KR"/>
              </w:rPr>
            </w:pPr>
            <w:r w:rsidRPr="004635E5">
              <w:rPr>
                <w:rFonts w:eastAsiaTheme="minorEastAsia"/>
                <w:sz w:val="22"/>
                <w:szCs w:val="22"/>
                <w:lang w:eastAsia="ko-KR"/>
              </w:rPr>
              <w:t>1.380</w:t>
            </w:r>
          </w:p>
        </w:tc>
        <w:tc>
          <w:tcPr>
            <w:tcW w:w="1053" w:type="pct"/>
          </w:tcPr>
          <w:p w14:paraId="12D8828C" w14:textId="77777777" w:rsidR="00C56B49" w:rsidRPr="004635E5" w:rsidRDefault="00C56B49" w:rsidP="007C29E5">
            <w:pPr>
              <w:autoSpaceDE w:val="0"/>
              <w:autoSpaceDN w:val="0"/>
              <w:adjustRightInd w:val="0"/>
              <w:snapToGrid w:val="0"/>
              <w:spacing w:after="0"/>
              <w:jc w:val="center"/>
              <w:rPr>
                <w:rFonts w:eastAsiaTheme="minorEastAsia"/>
                <w:sz w:val="22"/>
                <w:szCs w:val="22"/>
                <w:lang w:eastAsia="ko-KR"/>
              </w:rPr>
            </w:pPr>
            <w:r w:rsidRPr="004635E5">
              <w:rPr>
                <w:rFonts w:eastAsiaTheme="minorEastAsia"/>
                <w:sz w:val="22"/>
                <w:szCs w:val="22"/>
                <w:lang w:eastAsia="ko-KR"/>
              </w:rPr>
              <w:t>0.31</w:t>
            </w:r>
          </w:p>
        </w:tc>
        <w:tc>
          <w:tcPr>
            <w:tcW w:w="1308" w:type="pct"/>
          </w:tcPr>
          <w:p w14:paraId="1714F3BA" w14:textId="77777777" w:rsidR="00C56B49" w:rsidRPr="004635E5" w:rsidRDefault="00C56B49" w:rsidP="007C29E5">
            <w:pPr>
              <w:autoSpaceDE w:val="0"/>
              <w:autoSpaceDN w:val="0"/>
              <w:adjustRightInd w:val="0"/>
              <w:snapToGrid w:val="0"/>
              <w:spacing w:after="0"/>
              <w:jc w:val="center"/>
              <w:rPr>
                <w:rFonts w:eastAsiaTheme="minorEastAsia"/>
                <w:sz w:val="22"/>
                <w:szCs w:val="22"/>
                <w:lang w:eastAsia="ko-KR"/>
              </w:rPr>
            </w:pPr>
            <w:r w:rsidRPr="004635E5">
              <w:rPr>
                <w:rFonts w:eastAsiaTheme="minorEastAsia"/>
                <w:sz w:val="22"/>
                <w:szCs w:val="22"/>
                <w:lang w:eastAsia="ko-KR"/>
              </w:rPr>
              <w:t>0.67</w:t>
            </w:r>
          </w:p>
        </w:tc>
      </w:tr>
      <w:tr w:rsidR="00C56B49" w:rsidRPr="004635E5" w14:paraId="3AA3B01F" w14:textId="77777777" w:rsidTr="007C29E5">
        <w:trPr>
          <w:trHeight w:val="20"/>
        </w:trPr>
        <w:tc>
          <w:tcPr>
            <w:tcW w:w="1031" w:type="pct"/>
          </w:tcPr>
          <w:p w14:paraId="64BF55C7" w14:textId="77777777" w:rsidR="00C56B49" w:rsidRPr="004635E5" w:rsidRDefault="00C56B49" w:rsidP="007C29E5">
            <w:pPr>
              <w:autoSpaceDE w:val="0"/>
              <w:autoSpaceDN w:val="0"/>
              <w:adjustRightInd w:val="0"/>
              <w:snapToGrid w:val="0"/>
              <w:spacing w:after="0"/>
              <w:jc w:val="center"/>
              <w:rPr>
                <w:rFonts w:eastAsiaTheme="minorEastAsia"/>
                <w:sz w:val="22"/>
                <w:szCs w:val="22"/>
                <w:lang w:eastAsia="ko-KR"/>
              </w:rPr>
            </w:pPr>
            <w:r w:rsidRPr="004635E5">
              <w:rPr>
                <w:rFonts w:eastAsiaTheme="minorEastAsia"/>
                <w:sz w:val="22"/>
                <w:szCs w:val="22"/>
                <w:lang w:eastAsia="ko-KR"/>
              </w:rPr>
              <w:t>20%</w:t>
            </w:r>
          </w:p>
        </w:tc>
        <w:tc>
          <w:tcPr>
            <w:tcW w:w="1608" w:type="pct"/>
          </w:tcPr>
          <w:p w14:paraId="1B4A941A" w14:textId="77777777" w:rsidR="00C56B49" w:rsidRPr="004635E5" w:rsidRDefault="00C56B49" w:rsidP="007C29E5">
            <w:pPr>
              <w:autoSpaceDE w:val="0"/>
              <w:autoSpaceDN w:val="0"/>
              <w:adjustRightInd w:val="0"/>
              <w:snapToGrid w:val="0"/>
              <w:spacing w:after="0"/>
              <w:ind w:left="6"/>
              <w:jc w:val="center"/>
              <w:rPr>
                <w:rFonts w:eastAsiaTheme="minorEastAsia"/>
                <w:sz w:val="22"/>
                <w:szCs w:val="22"/>
                <w:lang w:eastAsia="ko-KR"/>
              </w:rPr>
            </w:pPr>
            <w:r w:rsidRPr="004635E5">
              <w:rPr>
                <w:rFonts w:eastAsiaTheme="minorEastAsia"/>
                <w:sz w:val="22"/>
                <w:szCs w:val="22"/>
                <w:lang w:eastAsia="ko-KR"/>
              </w:rPr>
              <w:t>1.465</w:t>
            </w:r>
          </w:p>
        </w:tc>
        <w:tc>
          <w:tcPr>
            <w:tcW w:w="1053" w:type="pct"/>
          </w:tcPr>
          <w:p w14:paraId="17207700" w14:textId="77777777" w:rsidR="00C56B49" w:rsidRPr="004635E5" w:rsidRDefault="00C56B49" w:rsidP="007C29E5">
            <w:pPr>
              <w:autoSpaceDE w:val="0"/>
              <w:autoSpaceDN w:val="0"/>
              <w:adjustRightInd w:val="0"/>
              <w:snapToGrid w:val="0"/>
              <w:spacing w:after="0"/>
              <w:jc w:val="center"/>
              <w:rPr>
                <w:rFonts w:eastAsiaTheme="minorEastAsia"/>
                <w:sz w:val="22"/>
                <w:szCs w:val="22"/>
                <w:lang w:eastAsia="ko-KR"/>
              </w:rPr>
            </w:pPr>
            <w:r w:rsidRPr="004635E5">
              <w:rPr>
                <w:rFonts w:eastAsiaTheme="minorEastAsia"/>
                <w:sz w:val="22"/>
                <w:szCs w:val="22"/>
                <w:lang w:eastAsia="ko-KR"/>
              </w:rPr>
              <w:t>0.29</w:t>
            </w:r>
          </w:p>
        </w:tc>
        <w:tc>
          <w:tcPr>
            <w:tcW w:w="1308" w:type="pct"/>
          </w:tcPr>
          <w:p w14:paraId="5381EE66" w14:textId="77777777" w:rsidR="00C56B49" w:rsidRPr="004635E5" w:rsidRDefault="00C56B49" w:rsidP="007C29E5">
            <w:pPr>
              <w:autoSpaceDE w:val="0"/>
              <w:autoSpaceDN w:val="0"/>
              <w:adjustRightInd w:val="0"/>
              <w:snapToGrid w:val="0"/>
              <w:spacing w:after="0"/>
              <w:jc w:val="center"/>
              <w:rPr>
                <w:rFonts w:eastAsiaTheme="minorEastAsia"/>
                <w:sz w:val="22"/>
                <w:szCs w:val="22"/>
                <w:lang w:eastAsia="ko-KR"/>
              </w:rPr>
            </w:pPr>
            <w:r w:rsidRPr="004635E5">
              <w:rPr>
                <w:rFonts w:eastAsiaTheme="minorEastAsia"/>
                <w:sz w:val="22"/>
                <w:szCs w:val="22"/>
                <w:lang w:eastAsia="ko-KR"/>
              </w:rPr>
              <w:t>0.70</w:t>
            </w:r>
          </w:p>
        </w:tc>
      </w:tr>
    </w:tbl>
    <w:p w14:paraId="34A872C6" w14:textId="77777777" w:rsidR="00C56B49" w:rsidRPr="004635E5" w:rsidRDefault="00C56B49" w:rsidP="007C29E5">
      <w:pPr>
        <w:autoSpaceDE w:val="0"/>
        <w:autoSpaceDN w:val="0"/>
        <w:adjustRightInd w:val="0"/>
        <w:snapToGrid w:val="0"/>
        <w:ind w:left="720"/>
        <w:jc w:val="both"/>
        <w:rPr>
          <w:rFonts w:eastAsiaTheme="minorEastAsia"/>
          <w:sz w:val="22"/>
          <w:szCs w:val="22"/>
          <w:lang w:val="en-AU" w:eastAsia="ko-KR"/>
        </w:rPr>
      </w:pPr>
    </w:p>
    <w:p w14:paraId="3D47E3C8" w14:textId="77777777" w:rsidR="004A3F6D" w:rsidRDefault="00C56B49" w:rsidP="00580EA4">
      <w:pPr>
        <w:numPr>
          <w:ilvl w:val="0"/>
          <w:numId w:val="18"/>
        </w:numPr>
        <w:autoSpaceDE w:val="0"/>
        <w:autoSpaceDN w:val="0"/>
        <w:adjustRightInd w:val="0"/>
        <w:snapToGrid w:val="0"/>
        <w:ind w:left="0" w:firstLine="0"/>
        <w:jc w:val="both"/>
        <w:rPr>
          <w:rFonts w:eastAsiaTheme="minorEastAsia"/>
          <w:sz w:val="22"/>
          <w:szCs w:val="22"/>
          <w:lang w:val="en-AU" w:eastAsia="ko-KR"/>
        </w:rPr>
      </w:pPr>
      <w:r w:rsidRPr="004635E5">
        <w:rPr>
          <w:rFonts w:eastAsiaTheme="minorEastAsia"/>
          <w:sz w:val="22"/>
          <w:szCs w:val="22"/>
          <w:lang w:val="en-AU" w:eastAsia="ko-KR"/>
        </w:rPr>
        <w:t>The values of SB/SB</w:t>
      </w:r>
      <w:r w:rsidRPr="00602BAD">
        <w:rPr>
          <w:rFonts w:eastAsiaTheme="minorEastAsia"/>
          <w:sz w:val="22"/>
          <w:szCs w:val="22"/>
          <w:vertAlign w:val="subscript"/>
          <w:lang w:val="en-AU" w:eastAsia="ko-KR"/>
        </w:rPr>
        <w:t>F=0</w:t>
      </w:r>
      <w:r w:rsidRPr="004635E5">
        <w:rPr>
          <w:rFonts w:eastAsiaTheme="minorEastAsia"/>
          <w:sz w:val="22"/>
          <w:szCs w:val="22"/>
          <w:lang w:val="en-AU" w:eastAsia="ko-KR"/>
        </w:rPr>
        <w:t xml:space="preserve"> and F/F</w:t>
      </w:r>
      <w:r w:rsidRPr="00602BAD">
        <w:rPr>
          <w:rFonts w:eastAsiaTheme="minorEastAsia"/>
          <w:sz w:val="22"/>
          <w:szCs w:val="22"/>
          <w:vertAlign w:val="subscript"/>
          <w:lang w:val="en-AU" w:eastAsia="ko-KR"/>
        </w:rPr>
        <w:t>MSY</w:t>
      </w:r>
      <w:r w:rsidRPr="004635E5">
        <w:rPr>
          <w:rFonts w:eastAsiaTheme="minorEastAsia"/>
          <w:sz w:val="22"/>
          <w:szCs w:val="22"/>
          <w:lang w:val="en-AU" w:eastAsia="ko-KR"/>
        </w:rPr>
        <w:t xml:space="preserve"> if achieved on average are predicted to result in the specified levels of risk of breaching the LRP, and thus may be interpreted as minimum levels of SB/SB</w:t>
      </w:r>
      <w:r w:rsidRPr="00602BAD">
        <w:rPr>
          <w:rFonts w:eastAsiaTheme="minorEastAsia"/>
          <w:sz w:val="22"/>
          <w:szCs w:val="22"/>
          <w:vertAlign w:val="subscript"/>
          <w:lang w:val="en-AU" w:eastAsia="ko-KR"/>
        </w:rPr>
        <w:t>F=0</w:t>
      </w:r>
      <w:r w:rsidRPr="004635E5">
        <w:rPr>
          <w:rFonts w:eastAsiaTheme="minorEastAsia"/>
          <w:sz w:val="22"/>
          <w:szCs w:val="22"/>
          <w:lang w:val="en-AU" w:eastAsia="ko-KR"/>
        </w:rPr>
        <w:t xml:space="preserve"> and maximum levels of F/F</w:t>
      </w:r>
      <w:r w:rsidRPr="00602BAD">
        <w:rPr>
          <w:rFonts w:eastAsiaTheme="minorEastAsia"/>
          <w:sz w:val="22"/>
          <w:szCs w:val="22"/>
          <w:vertAlign w:val="subscript"/>
          <w:lang w:val="en-AU" w:eastAsia="ko-KR"/>
        </w:rPr>
        <w:t>MSY</w:t>
      </w:r>
      <w:r w:rsidRPr="004635E5">
        <w:rPr>
          <w:rFonts w:eastAsiaTheme="minorEastAsia"/>
          <w:sz w:val="22"/>
          <w:szCs w:val="22"/>
          <w:lang w:val="en-AU" w:eastAsia="ko-KR"/>
        </w:rPr>
        <w:t xml:space="preserve"> consistent with those risk levels, under the current uncertainty framework.</w:t>
      </w:r>
    </w:p>
    <w:p w14:paraId="09FA3EEF" w14:textId="77777777" w:rsidR="007C29E5" w:rsidRPr="004635E5" w:rsidRDefault="007C29E5" w:rsidP="007C29E5">
      <w:pPr>
        <w:autoSpaceDE w:val="0"/>
        <w:autoSpaceDN w:val="0"/>
        <w:adjustRightInd w:val="0"/>
        <w:snapToGrid w:val="0"/>
        <w:jc w:val="both"/>
        <w:rPr>
          <w:rFonts w:eastAsiaTheme="minorEastAsia"/>
          <w:sz w:val="22"/>
          <w:szCs w:val="22"/>
          <w:lang w:val="en-AU" w:eastAsia="ko-KR"/>
        </w:rPr>
      </w:pPr>
    </w:p>
    <w:p w14:paraId="604D110B" w14:textId="77777777" w:rsidR="004A3F6D" w:rsidRPr="004635E5" w:rsidRDefault="00602BAD" w:rsidP="00580EA4">
      <w:pPr>
        <w:numPr>
          <w:ilvl w:val="0"/>
          <w:numId w:val="18"/>
        </w:numPr>
        <w:autoSpaceDE w:val="0"/>
        <w:autoSpaceDN w:val="0"/>
        <w:adjustRightInd w:val="0"/>
        <w:snapToGrid w:val="0"/>
        <w:ind w:left="0" w:firstLine="0"/>
        <w:jc w:val="both"/>
        <w:rPr>
          <w:rFonts w:eastAsiaTheme="minorEastAsia"/>
          <w:sz w:val="22"/>
          <w:szCs w:val="22"/>
          <w:lang w:val="en-AU" w:eastAsia="ko-KR"/>
        </w:rPr>
      </w:pPr>
      <w:r>
        <w:rPr>
          <w:rFonts w:eastAsiaTheme="minorEastAsia"/>
          <w:sz w:val="22"/>
          <w:szCs w:val="22"/>
          <w:u w:val="single"/>
          <w:lang w:val="en-AU" w:eastAsia="ko-KR"/>
        </w:rPr>
        <w:t>There is a n</w:t>
      </w:r>
      <w:r w:rsidRPr="004635E5">
        <w:rPr>
          <w:rFonts w:eastAsiaTheme="minorEastAsia"/>
          <w:sz w:val="22"/>
          <w:szCs w:val="22"/>
          <w:u w:val="single"/>
          <w:lang w:val="en-AU" w:eastAsia="ko-KR"/>
        </w:rPr>
        <w:t xml:space="preserve">eed </w:t>
      </w:r>
      <w:r>
        <w:rPr>
          <w:rFonts w:eastAsiaTheme="minorEastAsia"/>
          <w:sz w:val="22"/>
          <w:szCs w:val="22"/>
          <w:u w:val="single"/>
          <w:lang w:val="en-AU" w:eastAsia="ko-KR"/>
        </w:rPr>
        <w:t xml:space="preserve">for managers </w:t>
      </w:r>
      <w:r w:rsidRPr="004635E5">
        <w:rPr>
          <w:rFonts w:eastAsiaTheme="minorEastAsia"/>
          <w:sz w:val="22"/>
          <w:szCs w:val="22"/>
          <w:u w:val="single"/>
          <w:lang w:val="en-AU" w:eastAsia="ko-KR"/>
        </w:rPr>
        <w:t xml:space="preserve">to agree on </w:t>
      </w:r>
      <w:r>
        <w:rPr>
          <w:rFonts w:eastAsiaTheme="minorEastAsia"/>
          <w:sz w:val="22"/>
          <w:szCs w:val="22"/>
          <w:u w:val="single"/>
          <w:lang w:val="en-AU" w:eastAsia="ko-KR"/>
        </w:rPr>
        <w:t xml:space="preserve">an </w:t>
      </w:r>
      <w:r w:rsidRPr="004635E5">
        <w:rPr>
          <w:rFonts w:eastAsiaTheme="minorEastAsia"/>
          <w:sz w:val="22"/>
          <w:szCs w:val="22"/>
          <w:u w:val="single"/>
          <w:lang w:val="en-AU" w:eastAsia="ko-KR"/>
        </w:rPr>
        <w:t>acceptable level of risk of breaching LRP</w:t>
      </w:r>
      <w:r w:rsidRPr="004635E5">
        <w:rPr>
          <w:rFonts w:eastAsiaTheme="minorEastAsia"/>
          <w:sz w:val="22"/>
          <w:szCs w:val="22"/>
          <w:lang w:val="en-AU" w:eastAsia="ko-KR"/>
        </w:rPr>
        <w:t xml:space="preserve"> in order to define the minimum TRP</w:t>
      </w:r>
      <w:r>
        <w:rPr>
          <w:rFonts w:eastAsiaTheme="minorEastAsia"/>
          <w:sz w:val="22"/>
          <w:szCs w:val="22"/>
          <w:lang w:val="en-AU" w:eastAsia="ko-KR"/>
        </w:rPr>
        <w:t xml:space="preserve"> in this fashion</w:t>
      </w:r>
      <w:r w:rsidRPr="004635E5">
        <w:rPr>
          <w:rFonts w:eastAsiaTheme="minorEastAsia"/>
          <w:sz w:val="22"/>
          <w:szCs w:val="22"/>
          <w:lang w:val="en-AU" w:eastAsia="ko-KR"/>
        </w:rPr>
        <w:t xml:space="preserve">. </w:t>
      </w:r>
      <w:r>
        <w:rPr>
          <w:rFonts w:eastAsiaTheme="minorEastAsia"/>
          <w:sz w:val="22"/>
          <w:szCs w:val="22"/>
          <w:lang w:val="en-AU" w:eastAsia="ko-KR"/>
        </w:rPr>
        <w:t>In turn</w:t>
      </w:r>
      <w:r w:rsidRPr="004635E5">
        <w:rPr>
          <w:rFonts w:eastAsiaTheme="minorEastAsia"/>
          <w:sz w:val="22"/>
          <w:szCs w:val="22"/>
          <w:lang w:val="en-AU" w:eastAsia="ko-KR"/>
        </w:rPr>
        <w:t>, other ecological and socio-economic factors that might be relevant in recommending a more conservative limiting TRP</w:t>
      </w:r>
      <w:r>
        <w:rPr>
          <w:rFonts w:eastAsiaTheme="minorEastAsia"/>
          <w:sz w:val="22"/>
          <w:szCs w:val="22"/>
          <w:lang w:val="en-AU" w:eastAsia="ko-KR"/>
        </w:rPr>
        <w:t xml:space="preserve"> should also be considered. </w:t>
      </w:r>
    </w:p>
    <w:p w14:paraId="0793B202" w14:textId="77777777" w:rsidR="00A61B2B" w:rsidRPr="004635E5" w:rsidRDefault="00A61B2B" w:rsidP="006633A8">
      <w:pPr>
        <w:autoSpaceDE w:val="0"/>
        <w:autoSpaceDN w:val="0"/>
        <w:adjustRightInd w:val="0"/>
        <w:snapToGrid w:val="0"/>
        <w:ind w:left="720"/>
        <w:jc w:val="both"/>
        <w:rPr>
          <w:rFonts w:eastAsiaTheme="minorEastAsia"/>
          <w:sz w:val="22"/>
          <w:szCs w:val="22"/>
          <w:lang w:val="en-AU" w:eastAsia="ko-KR"/>
        </w:rPr>
      </w:pPr>
    </w:p>
    <w:p w14:paraId="4820B67E" w14:textId="77777777" w:rsidR="007B14DA" w:rsidRPr="004635E5" w:rsidRDefault="00B30C43" w:rsidP="006633A8">
      <w:pPr>
        <w:autoSpaceDE w:val="0"/>
        <w:autoSpaceDN w:val="0"/>
        <w:adjustRightInd w:val="0"/>
        <w:snapToGrid w:val="0"/>
        <w:jc w:val="both"/>
        <w:rPr>
          <w:rFonts w:eastAsiaTheme="minorEastAsia"/>
          <w:b/>
          <w:sz w:val="22"/>
          <w:szCs w:val="22"/>
          <w:lang w:val="en-NZ" w:eastAsia="ko-KR"/>
        </w:rPr>
      </w:pPr>
      <w:r w:rsidRPr="004635E5">
        <w:rPr>
          <w:rFonts w:eastAsiaTheme="minorEastAsia"/>
          <w:b/>
          <w:sz w:val="22"/>
          <w:szCs w:val="22"/>
          <w:lang w:val="en-NZ" w:eastAsia="ko-KR"/>
        </w:rPr>
        <w:t>D</w:t>
      </w:r>
      <w:r w:rsidR="00C4288B" w:rsidRPr="004635E5">
        <w:rPr>
          <w:rFonts w:eastAsiaTheme="minorEastAsia"/>
          <w:b/>
          <w:sz w:val="22"/>
          <w:szCs w:val="22"/>
          <w:lang w:val="en-NZ" w:eastAsia="ko-KR"/>
        </w:rPr>
        <w:t>iscussion</w:t>
      </w:r>
    </w:p>
    <w:p w14:paraId="2A05C95B" w14:textId="77777777" w:rsidR="00A61B2B" w:rsidRPr="004635E5" w:rsidRDefault="00A61B2B" w:rsidP="006633A8">
      <w:pPr>
        <w:autoSpaceDE w:val="0"/>
        <w:autoSpaceDN w:val="0"/>
        <w:adjustRightInd w:val="0"/>
        <w:snapToGrid w:val="0"/>
        <w:jc w:val="both"/>
        <w:rPr>
          <w:rFonts w:eastAsiaTheme="minorEastAsia"/>
          <w:b/>
          <w:sz w:val="22"/>
          <w:szCs w:val="22"/>
          <w:lang w:val="en-NZ" w:eastAsia="ko-KR"/>
        </w:rPr>
      </w:pPr>
    </w:p>
    <w:p w14:paraId="3B0A69C5" w14:textId="77777777" w:rsidR="00303BAE" w:rsidRPr="004635E5" w:rsidRDefault="002B135A"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Japan</w:t>
      </w:r>
      <w:r w:rsidR="00020DDF" w:rsidRPr="004635E5">
        <w:rPr>
          <w:rFonts w:eastAsiaTheme="minorEastAsia"/>
          <w:sz w:val="22"/>
          <w:szCs w:val="22"/>
          <w:lang w:val="en-NZ" w:eastAsia="ko-KR"/>
        </w:rPr>
        <w:t xml:space="preserve"> noted the </w:t>
      </w:r>
      <w:r w:rsidRPr="004635E5">
        <w:rPr>
          <w:rFonts w:eastAsiaTheme="minorEastAsia"/>
          <w:sz w:val="22"/>
          <w:szCs w:val="22"/>
          <w:lang w:val="en-NZ" w:eastAsia="ko-KR"/>
        </w:rPr>
        <w:t xml:space="preserve">approach of considering </w:t>
      </w:r>
      <w:r w:rsidR="00270656" w:rsidRPr="004635E5">
        <w:rPr>
          <w:rFonts w:eastAsiaTheme="minorEastAsia"/>
          <w:sz w:val="22"/>
          <w:szCs w:val="22"/>
          <w:lang w:val="en-NZ" w:eastAsia="ko-KR"/>
        </w:rPr>
        <w:t xml:space="preserve">a </w:t>
      </w:r>
      <w:r w:rsidRPr="004635E5">
        <w:rPr>
          <w:rFonts w:eastAsiaTheme="minorEastAsia"/>
          <w:sz w:val="22"/>
          <w:szCs w:val="22"/>
          <w:lang w:val="en-NZ" w:eastAsia="ko-KR"/>
        </w:rPr>
        <w:t xml:space="preserve">TRP </w:t>
      </w:r>
      <w:r w:rsidR="00020DDF" w:rsidRPr="004635E5">
        <w:rPr>
          <w:rFonts w:eastAsiaTheme="minorEastAsia"/>
          <w:sz w:val="22"/>
          <w:szCs w:val="22"/>
          <w:lang w:val="en-NZ" w:eastAsia="ko-KR"/>
        </w:rPr>
        <w:t xml:space="preserve">could be considered a </w:t>
      </w:r>
      <w:r w:rsidRPr="004635E5">
        <w:rPr>
          <w:rFonts w:eastAsiaTheme="minorEastAsia"/>
          <w:sz w:val="22"/>
          <w:szCs w:val="22"/>
          <w:lang w:val="en-NZ" w:eastAsia="ko-KR"/>
        </w:rPr>
        <w:t>buffer approach</w:t>
      </w:r>
      <w:r w:rsidR="00270656" w:rsidRPr="004635E5">
        <w:rPr>
          <w:rFonts w:eastAsiaTheme="minorEastAsia"/>
          <w:sz w:val="22"/>
          <w:szCs w:val="22"/>
          <w:lang w:val="en-NZ" w:eastAsia="ko-KR"/>
        </w:rPr>
        <w:t xml:space="preserve"> </w:t>
      </w:r>
      <w:r w:rsidR="00020DDF" w:rsidRPr="004635E5">
        <w:rPr>
          <w:rFonts w:eastAsiaTheme="minorEastAsia"/>
          <w:sz w:val="22"/>
          <w:szCs w:val="22"/>
          <w:lang w:val="en-NZ" w:eastAsia="ko-KR"/>
        </w:rPr>
        <w:t xml:space="preserve">— how large a </w:t>
      </w:r>
      <w:r w:rsidRPr="004635E5">
        <w:rPr>
          <w:rFonts w:eastAsiaTheme="minorEastAsia"/>
          <w:sz w:val="22"/>
          <w:szCs w:val="22"/>
          <w:lang w:val="en-NZ" w:eastAsia="ko-KR"/>
        </w:rPr>
        <w:t xml:space="preserve">buffer </w:t>
      </w:r>
      <w:r w:rsidR="00020DDF" w:rsidRPr="004635E5">
        <w:rPr>
          <w:rFonts w:eastAsiaTheme="minorEastAsia"/>
          <w:sz w:val="22"/>
          <w:szCs w:val="22"/>
          <w:lang w:val="en-NZ" w:eastAsia="ko-KR"/>
        </w:rPr>
        <w:t xml:space="preserve">was needed </w:t>
      </w:r>
      <w:r w:rsidRPr="004635E5">
        <w:rPr>
          <w:rFonts w:eastAsiaTheme="minorEastAsia"/>
          <w:sz w:val="22"/>
          <w:szCs w:val="22"/>
          <w:lang w:val="en-NZ" w:eastAsia="ko-KR"/>
        </w:rPr>
        <w:t>to avoid bre</w:t>
      </w:r>
      <w:r w:rsidR="00020DDF" w:rsidRPr="004635E5">
        <w:rPr>
          <w:rFonts w:eastAsiaTheme="minorEastAsia"/>
          <w:sz w:val="22"/>
          <w:szCs w:val="22"/>
          <w:lang w:val="en-NZ" w:eastAsia="ko-KR"/>
        </w:rPr>
        <w:t>a</w:t>
      </w:r>
      <w:r w:rsidRPr="004635E5">
        <w:rPr>
          <w:rFonts w:eastAsiaTheme="minorEastAsia"/>
          <w:sz w:val="22"/>
          <w:szCs w:val="22"/>
          <w:lang w:val="en-NZ" w:eastAsia="ko-KR"/>
        </w:rPr>
        <w:t>ch</w:t>
      </w:r>
      <w:r w:rsidR="00020DDF" w:rsidRPr="004635E5">
        <w:rPr>
          <w:rFonts w:eastAsiaTheme="minorEastAsia"/>
          <w:sz w:val="22"/>
          <w:szCs w:val="22"/>
          <w:lang w:val="en-NZ" w:eastAsia="ko-KR"/>
        </w:rPr>
        <w:t>ing</w:t>
      </w:r>
      <w:r w:rsidRPr="004635E5">
        <w:rPr>
          <w:rFonts w:eastAsiaTheme="minorEastAsia"/>
          <w:sz w:val="22"/>
          <w:szCs w:val="22"/>
          <w:lang w:val="en-NZ" w:eastAsia="ko-KR"/>
        </w:rPr>
        <w:t xml:space="preserve"> </w:t>
      </w:r>
      <w:r w:rsidR="00020DDF" w:rsidRPr="004635E5">
        <w:rPr>
          <w:rFonts w:eastAsiaTheme="minorEastAsia"/>
          <w:sz w:val="22"/>
          <w:szCs w:val="22"/>
          <w:lang w:val="en-NZ" w:eastAsia="ko-KR"/>
        </w:rPr>
        <w:t>the TRP. Ot</w:t>
      </w:r>
      <w:r w:rsidRPr="004635E5">
        <w:rPr>
          <w:rFonts w:eastAsiaTheme="minorEastAsia"/>
          <w:sz w:val="22"/>
          <w:szCs w:val="22"/>
          <w:lang w:val="en-NZ" w:eastAsia="ko-KR"/>
        </w:rPr>
        <w:t xml:space="preserve">her approaches for </w:t>
      </w:r>
      <w:r w:rsidR="00656FD8" w:rsidRPr="004635E5">
        <w:rPr>
          <w:rFonts w:eastAsiaTheme="minorEastAsia"/>
          <w:sz w:val="22"/>
          <w:szCs w:val="22"/>
          <w:lang w:val="en-NZ" w:eastAsia="ko-KR"/>
        </w:rPr>
        <w:t>skipjack</w:t>
      </w:r>
      <w:r w:rsidRPr="004635E5">
        <w:rPr>
          <w:rFonts w:eastAsiaTheme="minorEastAsia"/>
          <w:sz w:val="22"/>
          <w:szCs w:val="22"/>
          <w:lang w:val="en-NZ" w:eastAsia="ko-KR"/>
        </w:rPr>
        <w:t xml:space="preserve"> or </w:t>
      </w:r>
      <w:r w:rsidR="002D5D17" w:rsidRPr="004635E5">
        <w:rPr>
          <w:rFonts w:eastAsiaTheme="minorEastAsia"/>
          <w:sz w:val="22"/>
          <w:szCs w:val="22"/>
          <w:lang w:val="en-NZ" w:eastAsia="ko-KR"/>
        </w:rPr>
        <w:t>South Pacific</w:t>
      </w:r>
      <w:r w:rsidR="00020DDF" w:rsidRPr="004635E5">
        <w:rPr>
          <w:rFonts w:eastAsiaTheme="minorEastAsia"/>
          <w:sz w:val="22"/>
          <w:szCs w:val="22"/>
          <w:lang w:val="en-NZ" w:eastAsia="ko-KR"/>
        </w:rPr>
        <w:t xml:space="preserve"> </w:t>
      </w:r>
      <w:r w:rsidR="002D5D17" w:rsidRPr="004635E5">
        <w:rPr>
          <w:rFonts w:eastAsiaTheme="minorEastAsia"/>
          <w:sz w:val="22"/>
          <w:szCs w:val="22"/>
          <w:lang w:val="en-NZ" w:eastAsia="ko-KR"/>
        </w:rPr>
        <w:t>albacore</w:t>
      </w:r>
      <w:r w:rsidR="00020DDF" w:rsidRPr="004635E5">
        <w:rPr>
          <w:rFonts w:eastAsiaTheme="minorEastAsia"/>
          <w:sz w:val="22"/>
          <w:szCs w:val="22"/>
          <w:lang w:val="en-NZ" w:eastAsia="ko-KR"/>
        </w:rPr>
        <w:t xml:space="preserve"> were</w:t>
      </w:r>
      <w:r w:rsidRPr="004635E5">
        <w:rPr>
          <w:rFonts w:eastAsiaTheme="minorEastAsia"/>
          <w:sz w:val="22"/>
          <w:szCs w:val="22"/>
          <w:lang w:val="en-NZ" w:eastAsia="ko-KR"/>
        </w:rPr>
        <w:t xml:space="preserve"> more operational rather than risk-based. </w:t>
      </w:r>
      <w:r w:rsidR="00020DDF" w:rsidRPr="004635E5">
        <w:rPr>
          <w:rFonts w:eastAsiaTheme="minorEastAsia"/>
          <w:sz w:val="22"/>
          <w:szCs w:val="22"/>
          <w:lang w:val="en-NZ" w:eastAsia="ko-KR"/>
        </w:rPr>
        <w:t>R</w:t>
      </w:r>
      <w:r w:rsidRPr="004635E5">
        <w:rPr>
          <w:rFonts w:eastAsiaTheme="minorEastAsia"/>
          <w:sz w:val="22"/>
          <w:szCs w:val="22"/>
          <w:lang w:val="en-NZ" w:eastAsia="ko-KR"/>
        </w:rPr>
        <w:t xml:space="preserve">eporting must emphasize </w:t>
      </w:r>
      <w:r w:rsidR="00020DDF" w:rsidRPr="004635E5">
        <w:rPr>
          <w:rFonts w:eastAsiaTheme="minorEastAsia"/>
          <w:sz w:val="22"/>
          <w:szCs w:val="22"/>
          <w:lang w:val="en-NZ" w:eastAsia="ko-KR"/>
        </w:rPr>
        <w:t>this w</w:t>
      </w:r>
      <w:r w:rsidR="00270656" w:rsidRPr="004635E5">
        <w:rPr>
          <w:rFonts w:eastAsiaTheme="minorEastAsia"/>
          <w:sz w:val="22"/>
          <w:szCs w:val="22"/>
          <w:lang w:val="en-NZ" w:eastAsia="ko-KR"/>
        </w:rPr>
        <w:t>as just on</w:t>
      </w:r>
      <w:r w:rsidR="00020DDF" w:rsidRPr="004635E5">
        <w:rPr>
          <w:rFonts w:eastAsiaTheme="minorEastAsia"/>
          <w:sz w:val="22"/>
          <w:szCs w:val="22"/>
          <w:lang w:val="en-NZ" w:eastAsia="ko-KR"/>
        </w:rPr>
        <w:t>e possible approach</w:t>
      </w:r>
      <w:r w:rsidRPr="004635E5">
        <w:rPr>
          <w:rFonts w:eastAsiaTheme="minorEastAsia"/>
          <w:sz w:val="22"/>
          <w:szCs w:val="22"/>
          <w:lang w:val="en-NZ" w:eastAsia="ko-KR"/>
        </w:rPr>
        <w:t xml:space="preserve">. </w:t>
      </w:r>
      <w:r w:rsidR="008D09BA" w:rsidRPr="004635E5">
        <w:rPr>
          <w:rFonts w:eastAsiaTheme="minorEastAsia"/>
          <w:sz w:val="22"/>
          <w:szCs w:val="22"/>
          <w:lang w:val="en-AU" w:eastAsia="ko-KR"/>
        </w:rPr>
        <w:t>Japan noted that using the stock-recruitment relationship with a 10-year deviation was not one they had used before, and asked for clarification regarding the appropriateness.</w:t>
      </w:r>
      <w:r w:rsidR="00903D0D" w:rsidRPr="004635E5">
        <w:rPr>
          <w:rFonts w:eastAsiaTheme="minorEastAsia"/>
          <w:sz w:val="22"/>
          <w:szCs w:val="22"/>
          <w:lang w:val="en-NZ" w:eastAsia="ko-KR"/>
        </w:rPr>
        <w:t xml:space="preserve"> </w:t>
      </w:r>
      <w:r w:rsidR="00270656" w:rsidRPr="004635E5">
        <w:rPr>
          <w:rFonts w:eastAsiaTheme="minorEastAsia"/>
          <w:sz w:val="22"/>
          <w:szCs w:val="22"/>
          <w:lang w:val="en-NZ" w:eastAsia="ko-KR"/>
        </w:rPr>
        <w:t>Y</w:t>
      </w:r>
      <w:r w:rsidR="00903D0D" w:rsidRPr="004635E5">
        <w:rPr>
          <w:rFonts w:eastAsiaTheme="minorEastAsia"/>
          <w:sz w:val="22"/>
          <w:szCs w:val="22"/>
          <w:lang w:val="en-NZ" w:eastAsia="ko-KR"/>
        </w:rPr>
        <w:t>. Takeuchi noted this was a minimum</w:t>
      </w:r>
      <w:r w:rsidR="00F81EF0">
        <w:rPr>
          <w:rFonts w:eastAsiaTheme="minorEastAsia"/>
          <w:sz w:val="22"/>
          <w:szCs w:val="22"/>
          <w:lang w:val="en-NZ" w:eastAsia="ko-KR"/>
        </w:rPr>
        <w:t xml:space="preserve"> </w:t>
      </w:r>
      <w:r w:rsidRPr="004635E5">
        <w:rPr>
          <w:rFonts w:eastAsiaTheme="minorEastAsia"/>
          <w:sz w:val="22"/>
          <w:szCs w:val="22"/>
          <w:lang w:val="en-NZ" w:eastAsia="ko-KR"/>
        </w:rPr>
        <w:t xml:space="preserve">TRP </w:t>
      </w:r>
      <w:r w:rsidR="00903D0D" w:rsidRPr="004635E5">
        <w:rPr>
          <w:rFonts w:eastAsiaTheme="minorEastAsia"/>
          <w:sz w:val="22"/>
          <w:szCs w:val="22"/>
          <w:lang w:val="en-NZ" w:eastAsia="ko-KR"/>
        </w:rPr>
        <w:t xml:space="preserve">approach, and other factors should be considered </w:t>
      </w:r>
      <w:r w:rsidR="00602BAD">
        <w:rPr>
          <w:rFonts w:eastAsiaTheme="minorEastAsia"/>
          <w:sz w:val="22"/>
          <w:szCs w:val="22"/>
          <w:lang w:val="en-NZ" w:eastAsia="ko-KR"/>
        </w:rPr>
        <w:t>when</w:t>
      </w:r>
      <w:r w:rsidR="00602BAD" w:rsidRPr="004635E5">
        <w:rPr>
          <w:rFonts w:eastAsiaTheme="minorEastAsia"/>
          <w:sz w:val="22"/>
          <w:szCs w:val="22"/>
          <w:lang w:val="en-NZ" w:eastAsia="ko-KR"/>
        </w:rPr>
        <w:t xml:space="preserve"> </w:t>
      </w:r>
      <w:r w:rsidR="00903D0D" w:rsidRPr="004635E5">
        <w:rPr>
          <w:rFonts w:eastAsiaTheme="minorEastAsia"/>
          <w:sz w:val="22"/>
          <w:szCs w:val="22"/>
          <w:lang w:val="en-NZ" w:eastAsia="ko-KR"/>
        </w:rPr>
        <w:t xml:space="preserve">establishing a TRP. </w:t>
      </w:r>
      <w:r w:rsidRPr="004635E5">
        <w:rPr>
          <w:rFonts w:eastAsiaTheme="minorEastAsia"/>
          <w:sz w:val="22"/>
          <w:szCs w:val="22"/>
          <w:lang w:val="en-NZ" w:eastAsia="ko-KR"/>
        </w:rPr>
        <w:t>Re</w:t>
      </w:r>
      <w:r w:rsidR="00903D0D" w:rsidRPr="004635E5">
        <w:rPr>
          <w:rFonts w:eastAsiaTheme="minorEastAsia"/>
          <w:sz w:val="22"/>
          <w:szCs w:val="22"/>
          <w:lang w:val="en-NZ" w:eastAsia="ko-KR"/>
        </w:rPr>
        <w:t>garding</w:t>
      </w:r>
      <w:r w:rsidRPr="004635E5">
        <w:rPr>
          <w:rFonts w:eastAsiaTheme="minorEastAsia"/>
          <w:sz w:val="22"/>
          <w:szCs w:val="22"/>
          <w:lang w:val="en-NZ" w:eastAsia="ko-KR"/>
        </w:rPr>
        <w:t xml:space="preserve"> recruit</w:t>
      </w:r>
      <w:r w:rsidR="00903D0D" w:rsidRPr="004635E5">
        <w:rPr>
          <w:rFonts w:eastAsiaTheme="minorEastAsia"/>
          <w:sz w:val="22"/>
          <w:szCs w:val="22"/>
          <w:lang w:val="en-NZ" w:eastAsia="ko-KR"/>
        </w:rPr>
        <w:t>ment</w:t>
      </w:r>
      <w:r w:rsidR="00375849">
        <w:rPr>
          <w:rFonts w:eastAsiaTheme="minorEastAsia" w:hint="eastAsia"/>
          <w:sz w:val="22"/>
          <w:szCs w:val="22"/>
          <w:lang w:val="en-NZ" w:eastAsia="ko-KR"/>
        </w:rPr>
        <w:t>,</w:t>
      </w:r>
      <w:r w:rsidRPr="004635E5">
        <w:rPr>
          <w:rFonts w:eastAsiaTheme="minorEastAsia"/>
          <w:sz w:val="22"/>
          <w:szCs w:val="22"/>
          <w:lang w:val="en-NZ" w:eastAsia="ko-KR"/>
        </w:rPr>
        <w:t xml:space="preserve"> this is not </w:t>
      </w:r>
      <w:r w:rsidR="00903D0D" w:rsidRPr="004635E5">
        <w:rPr>
          <w:rFonts w:eastAsiaTheme="minorEastAsia"/>
          <w:sz w:val="22"/>
          <w:szCs w:val="22"/>
          <w:lang w:val="en-NZ" w:eastAsia="ko-KR"/>
        </w:rPr>
        <w:t xml:space="preserve">a </w:t>
      </w:r>
      <w:r w:rsidRPr="004635E5">
        <w:rPr>
          <w:rFonts w:eastAsiaTheme="minorEastAsia"/>
          <w:sz w:val="22"/>
          <w:szCs w:val="22"/>
          <w:lang w:val="en-NZ" w:eastAsia="ko-KR"/>
        </w:rPr>
        <w:t>new</w:t>
      </w:r>
      <w:r w:rsidR="00903D0D" w:rsidRPr="004635E5">
        <w:rPr>
          <w:rFonts w:eastAsiaTheme="minorEastAsia"/>
          <w:sz w:val="22"/>
          <w:szCs w:val="22"/>
          <w:lang w:val="en-NZ" w:eastAsia="ko-KR"/>
        </w:rPr>
        <w:t xml:space="preserve"> method, and the algorithm was</w:t>
      </w:r>
      <w:r w:rsidRPr="004635E5">
        <w:rPr>
          <w:rFonts w:eastAsiaTheme="minorEastAsia"/>
          <w:sz w:val="22"/>
          <w:szCs w:val="22"/>
          <w:lang w:val="en-NZ" w:eastAsia="ko-KR"/>
        </w:rPr>
        <w:t xml:space="preserve"> applied </w:t>
      </w:r>
      <w:r w:rsidR="00903D0D" w:rsidRPr="004635E5">
        <w:rPr>
          <w:rFonts w:eastAsiaTheme="minorEastAsia"/>
          <w:sz w:val="22"/>
          <w:szCs w:val="22"/>
          <w:lang w:val="en-NZ" w:eastAsia="ko-KR"/>
        </w:rPr>
        <w:t>in 2017</w:t>
      </w:r>
      <w:r w:rsidRPr="004635E5">
        <w:rPr>
          <w:rFonts w:eastAsiaTheme="minorEastAsia"/>
          <w:sz w:val="22"/>
          <w:szCs w:val="22"/>
          <w:lang w:val="en-NZ" w:eastAsia="ko-KR"/>
        </w:rPr>
        <w:t xml:space="preserve">. </w:t>
      </w:r>
      <w:r w:rsidR="00903D0D" w:rsidRPr="004635E5">
        <w:rPr>
          <w:rFonts w:eastAsiaTheme="minorEastAsia"/>
          <w:sz w:val="22"/>
          <w:szCs w:val="22"/>
          <w:lang w:val="en-NZ" w:eastAsia="ko-KR"/>
        </w:rPr>
        <w:t xml:space="preserve">Further details are presented in </w:t>
      </w:r>
      <w:r w:rsidR="005C3CE1">
        <w:rPr>
          <w:rFonts w:eastAsia="Calibri"/>
          <w:sz w:val="22"/>
          <w:szCs w:val="22"/>
          <w:lang w:val="en-AU"/>
        </w:rPr>
        <w:t>SC14-</w:t>
      </w:r>
      <w:r w:rsidR="00270656" w:rsidRPr="004635E5">
        <w:rPr>
          <w:rFonts w:eastAsiaTheme="minorEastAsia"/>
          <w:sz w:val="22"/>
          <w:szCs w:val="22"/>
          <w:lang w:val="en-NZ" w:eastAsia="ko-KR"/>
        </w:rPr>
        <w:t>MI-</w:t>
      </w:r>
      <w:r w:rsidR="00903D0D" w:rsidRPr="004635E5">
        <w:rPr>
          <w:rFonts w:eastAsiaTheme="minorEastAsia"/>
          <w:sz w:val="22"/>
          <w:szCs w:val="22"/>
          <w:lang w:val="en-NZ" w:eastAsia="ko-KR"/>
        </w:rPr>
        <w:t>WP</w:t>
      </w:r>
      <w:r w:rsidR="00270656" w:rsidRPr="004635E5">
        <w:rPr>
          <w:rFonts w:eastAsiaTheme="minorEastAsia"/>
          <w:sz w:val="22"/>
          <w:szCs w:val="22"/>
          <w:lang w:val="en-NZ" w:eastAsia="ko-KR"/>
        </w:rPr>
        <w:t>-01</w:t>
      </w:r>
      <w:r w:rsidRPr="004635E5">
        <w:rPr>
          <w:rFonts w:eastAsiaTheme="minorEastAsia"/>
          <w:sz w:val="22"/>
          <w:szCs w:val="22"/>
          <w:lang w:val="en-NZ" w:eastAsia="ko-KR"/>
        </w:rPr>
        <w:t>. Japan</w:t>
      </w:r>
      <w:r w:rsidR="00903D0D" w:rsidRPr="004635E5">
        <w:rPr>
          <w:rFonts w:eastAsiaTheme="minorEastAsia"/>
          <w:sz w:val="22"/>
          <w:szCs w:val="22"/>
          <w:lang w:val="en-NZ" w:eastAsia="ko-KR"/>
        </w:rPr>
        <w:t xml:space="preserve"> noted that (following discussion) the same approach would be endorsed for </w:t>
      </w:r>
      <w:r w:rsidR="004421B3" w:rsidRPr="004635E5">
        <w:rPr>
          <w:rFonts w:eastAsiaTheme="minorEastAsia"/>
          <w:sz w:val="22"/>
          <w:szCs w:val="22"/>
          <w:lang w:val="en-NZ" w:eastAsia="ko-KR"/>
        </w:rPr>
        <w:t>bigeye tuna</w:t>
      </w:r>
      <w:r w:rsidR="00903D0D" w:rsidRPr="004635E5">
        <w:rPr>
          <w:rFonts w:eastAsiaTheme="minorEastAsia"/>
          <w:sz w:val="22"/>
          <w:szCs w:val="22"/>
          <w:lang w:val="en-NZ" w:eastAsia="ko-KR"/>
        </w:rPr>
        <w:t xml:space="preserve">, so wanted clarity regarding what </w:t>
      </w:r>
      <w:r w:rsidRPr="004635E5">
        <w:rPr>
          <w:rFonts w:eastAsiaTheme="minorEastAsia"/>
          <w:sz w:val="22"/>
          <w:szCs w:val="22"/>
          <w:lang w:val="en-NZ" w:eastAsia="ko-KR"/>
        </w:rPr>
        <w:t>recruit</w:t>
      </w:r>
      <w:r w:rsidR="00903D0D" w:rsidRPr="004635E5">
        <w:rPr>
          <w:rFonts w:eastAsiaTheme="minorEastAsia"/>
          <w:sz w:val="22"/>
          <w:szCs w:val="22"/>
          <w:lang w:val="en-NZ" w:eastAsia="ko-KR"/>
        </w:rPr>
        <w:t>ment</w:t>
      </w:r>
      <w:r w:rsidRPr="004635E5">
        <w:rPr>
          <w:rFonts w:eastAsiaTheme="minorEastAsia"/>
          <w:sz w:val="22"/>
          <w:szCs w:val="22"/>
          <w:lang w:val="en-NZ" w:eastAsia="ko-KR"/>
        </w:rPr>
        <w:t xml:space="preserve"> applies for </w:t>
      </w:r>
      <w:r w:rsidR="004421B3" w:rsidRPr="004635E5">
        <w:rPr>
          <w:rFonts w:eastAsiaTheme="minorEastAsia"/>
          <w:sz w:val="22"/>
          <w:szCs w:val="22"/>
          <w:lang w:val="en-NZ" w:eastAsia="ko-KR"/>
        </w:rPr>
        <w:t>bigeye tuna</w:t>
      </w:r>
      <w:r w:rsidR="00903D0D" w:rsidRPr="004635E5">
        <w:rPr>
          <w:rFonts w:eastAsiaTheme="minorEastAsia"/>
          <w:sz w:val="22"/>
          <w:szCs w:val="22"/>
          <w:lang w:val="en-NZ" w:eastAsia="ko-KR"/>
        </w:rPr>
        <w:t xml:space="preserve">. There is little historical trend for </w:t>
      </w:r>
      <w:r w:rsidR="00656FD8" w:rsidRPr="004635E5">
        <w:rPr>
          <w:rFonts w:eastAsiaTheme="minorEastAsia"/>
          <w:sz w:val="22"/>
          <w:szCs w:val="22"/>
          <w:lang w:val="en-NZ" w:eastAsia="ko-KR"/>
        </w:rPr>
        <w:t>yellowfin</w:t>
      </w:r>
      <w:r w:rsidRPr="004635E5">
        <w:rPr>
          <w:rFonts w:eastAsiaTheme="minorEastAsia"/>
          <w:sz w:val="22"/>
          <w:szCs w:val="22"/>
          <w:lang w:val="en-NZ" w:eastAsia="ko-KR"/>
        </w:rPr>
        <w:t xml:space="preserve">, but </w:t>
      </w:r>
      <w:r w:rsidR="00903D0D" w:rsidRPr="004635E5">
        <w:rPr>
          <w:rFonts w:eastAsiaTheme="minorEastAsia"/>
          <w:sz w:val="22"/>
          <w:szCs w:val="22"/>
          <w:lang w:val="en-NZ" w:eastAsia="ko-KR"/>
        </w:rPr>
        <w:t xml:space="preserve">there </w:t>
      </w:r>
      <w:r w:rsidRPr="004635E5">
        <w:rPr>
          <w:rFonts w:eastAsiaTheme="minorEastAsia"/>
          <w:sz w:val="22"/>
          <w:szCs w:val="22"/>
          <w:lang w:val="en-NZ" w:eastAsia="ko-KR"/>
        </w:rPr>
        <w:t xml:space="preserve">is </w:t>
      </w:r>
      <w:r w:rsidR="00903D0D" w:rsidRPr="004635E5">
        <w:rPr>
          <w:rFonts w:eastAsiaTheme="minorEastAsia"/>
          <w:sz w:val="22"/>
          <w:szCs w:val="22"/>
          <w:lang w:val="en-NZ" w:eastAsia="ko-KR"/>
        </w:rPr>
        <w:t xml:space="preserve">a </w:t>
      </w:r>
      <w:r w:rsidRPr="004635E5">
        <w:rPr>
          <w:rFonts w:eastAsiaTheme="minorEastAsia"/>
          <w:sz w:val="22"/>
          <w:szCs w:val="22"/>
          <w:lang w:val="en-NZ" w:eastAsia="ko-KR"/>
        </w:rPr>
        <w:t xml:space="preserve">trend for </w:t>
      </w:r>
      <w:r w:rsidR="004421B3" w:rsidRPr="004635E5">
        <w:rPr>
          <w:rFonts w:eastAsiaTheme="minorEastAsia"/>
          <w:sz w:val="22"/>
          <w:szCs w:val="22"/>
          <w:lang w:val="en-NZ" w:eastAsia="ko-KR"/>
        </w:rPr>
        <w:t>bigeye tuna</w:t>
      </w:r>
      <w:r w:rsidRPr="004635E5">
        <w:rPr>
          <w:rFonts w:eastAsiaTheme="minorEastAsia"/>
          <w:sz w:val="22"/>
          <w:szCs w:val="22"/>
          <w:lang w:val="en-NZ" w:eastAsia="ko-KR"/>
        </w:rPr>
        <w:t xml:space="preserve">. </w:t>
      </w:r>
      <w:r w:rsidR="00903D0D" w:rsidRPr="004635E5">
        <w:rPr>
          <w:rFonts w:eastAsiaTheme="minorEastAsia"/>
          <w:sz w:val="22"/>
          <w:szCs w:val="22"/>
          <w:lang w:val="en-NZ" w:eastAsia="ko-KR"/>
        </w:rPr>
        <w:t>S</w:t>
      </w:r>
      <w:r w:rsidRPr="004635E5">
        <w:rPr>
          <w:rFonts w:eastAsiaTheme="minorEastAsia"/>
          <w:sz w:val="22"/>
          <w:szCs w:val="22"/>
          <w:lang w:val="en-NZ" w:eastAsia="ko-KR"/>
        </w:rPr>
        <w:t>ome pessimistic recruit</w:t>
      </w:r>
      <w:r w:rsidR="00903D0D" w:rsidRPr="004635E5">
        <w:rPr>
          <w:rFonts w:eastAsiaTheme="minorEastAsia"/>
          <w:sz w:val="22"/>
          <w:szCs w:val="22"/>
          <w:lang w:val="en-NZ" w:eastAsia="ko-KR"/>
        </w:rPr>
        <w:t>ment</w:t>
      </w:r>
      <w:r w:rsidRPr="004635E5">
        <w:rPr>
          <w:rFonts w:eastAsiaTheme="minorEastAsia"/>
          <w:sz w:val="22"/>
          <w:szCs w:val="22"/>
          <w:lang w:val="en-NZ" w:eastAsia="ko-KR"/>
        </w:rPr>
        <w:t xml:space="preserve"> scen</w:t>
      </w:r>
      <w:r w:rsidR="00903D0D" w:rsidRPr="004635E5">
        <w:rPr>
          <w:rFonts w:eastAsiaTheme="minorEastAsia"/>
          <w:sz w:val="22"/>
          <w:szCs w:val="22"/>
          <w:lang w:val="en-NZ" w:eastAsia="ko-KR"/>
        </w:rPr>
        <w:t>arios</w:t>
      </w:r>
      <w:r w:rsidRPr="004635E5">
        <w:rPr>
          <w:rFonts w:eastAsiaTheme="minorEastAsia"/>
          <w:sz w:val="22"/>
          <w:szCs w:val="22"/>
          <w:lang w:val="en-NZ" w:eastAsia="ko-KR"/>
        </w:rPr>
        <w:t xml:space="preserve"> </w:t>
      </w:r>
      <w:r w:rsidR="00903D0D" w:rsidRPr="004635E5">
        <w:rPr>
          <w:rFonts w:eastAsiaTheme="minorEastAsia"/>
          <w:sz w:val="22"/>
          <w:szCs w:val="22"/>
          <w:lang w:val="en-NZ" w:eastAsia="ko-KR"/>
        </w:rPr>
        <w:t>should perhaps be taken into account</w:t>
      </w:r>
      <w:r w:rsidRPr="004635E5">
        <w:rPr>
          <w:rFonts w:eastAsiaTheme="minorEastAsia"/>
          <w:sz w:val="22"/>
          <w:szCs w:val="22"/>
          <w:lang w:val="en-NZ" w:eastAsia="ko-KR"/>
        </w:rPr>
        <w:t xml:space="preserve">. </w:t>
      </w:r>
      <w:r w:rsidR="00A95475" w:rsidRPr="004635E5">
        <w:rPr>
          <w:rFonts w:eastAsiaTheme="minorEastAsia"/>
          <w:sz w:val="22"/>
          <w:szCs w:val="22"/>
          <w:lang w:val="en-NZ" w:eastAsia="ko-KR"/>
        </w:rPr>
        <w:t>SPC</w:t>
      </w:r>
      <w:r w:rsidR="00270656" w:rsidRPr="004635E5">
        <w:rPr>
          <w:rFonts w:eastAsiaTheme="minorEastAsia"/>
          <w:sz w:val="22"/>
          <w:szCs w:val="22"/>
          <w:lang w:val="en-NZ" w:eastAsia="ko-KR"/>
        </w:rPr>
        <w:t xml:space="preserve"> noted that </w:t>
      </w:r>
      <w:r w:rsidR="00903D0D" w:rsidRPr="004635E5">
        <w:rPr>
          <w:rFonts w:eastAsiaTheme="minorEastAsia"/>
          <w:sz w:val="22"/>
          <w:szCs w:val="22"/>
          <w:lang w:val="en-AU" w:eastAsia="ko-KR"/>
        </w:rPr>
        <w:t xml:space="preserve">the </w:t>
      </w:r>
      <w:r w:rsidR="00656FD8" w:rsidRPr="004635E5">
        <w:rPr>
          <w:rFonts w:eastAsiaTheme="minorEastAsia"/>
          <w:sz w:val="22"/>
          <w:szCs w:val="22"/>
          <w:lang w:val="en-AU" w:eastAsia="ko-KR"/>
        </w:rPr>
        <w:t>yellowfin</w:t>
      </w:r>
      <w:r w:rsidR="00903D0D" w:rsidRPr="004635E5">
        <w:rPr>
          <w:rFonts w:eastAsiaTheme="minorEastAsia"/>
          <w:sz w:val="22"/>
          <w:szCs w:val="22"/>
          <w:lang w:val="en-AU" w:eastAsia="ko-KR"/>
        </w:rPr>
        <w:t xml:space="preserve"> evaluation assumes future recruitment will follow the stock-recruitment relationship with future deviations around that relationship sampled from those estimated in the last 10 years of the stock assessment. This is equivalent to the 'recent recruitment' scenario in the tropical tuna CMM evaluations. Within that CMM </w:t>
      </w:r>
      <w:r w:rsidR="00270656" w:rsidRPr="004635E5">
        <w:rPr>
          <w:rFonts w:eastAsiaTheme="minorEastAsia"/>
          <w:sz w:val="22"/>
          <w:szCs w:val="22"/>
          <w:lang w:val="en-AU" w:eastAsia="ko-KR"/>
        </w:rPr>
        <w:t>e</w:t>
      </w:r>
      <w:r w:rsidR="00903D0D" w:rsidRPr="004635E5">
        <w:rPr>
          <w:rFonts w:eastAsiaTheme="minorEastAsia"/>
          <w:sz w:val="22"/>
          <w:szCs w:val="22"/>
          <w:lang w:val="en-AU" w:eastAsia="ko-KR"/>
        </w:rPr>
        <w:t xml:space="preserve">valuation, a long-term recruitment assumption was also evaluated for </w:t>
      </w:r>
      <w:r w:rsidR="004421B3" w:rsidRPr="004635E5">
        <w:rPr>
          <w:rFonts w:eastAsiaTheme="minorEastAsia"/>
          <w:sz w:val="22"/>
          <w:szCs w:val="22"/>
          <w:lang w:val="en-AU" w:eastAsia="ko-KR"/>
        </w:rPr>
        <w:t>bigeye tuna</w:t>
      </w:r>
      <w:r w:rsidR="00903D0D" w:rsidRPr="004635E5">
        <w:rPr>
          <w:rFonts w:eastAsiaTheme="minorEastAsia"/>
          <w:sz w:val="22"/>
          <w:szCs w:val="22"/>
          <w:lang w:val="en-AU" w:eastAsia="ko-KR"/>
        </w:rPr>
        <w:t>, with future deviations sampled from the longer-term historical period over which the stock recruitment relationship was estimated.</w:t>
      </w:r>
      <w:r w:rsidR="00A95475" w:rsidRPr="004635E5">
        <w:rPr>
          <w:rFonts w:eastAsiaTheme="minorEastAsia"/>
          <w:sz w:val="22"/>
          <w:szCs w:val="22"/>
          <w:lang w:val="en-NZ" w:eastAsia="ko-KR"/>
        </w:rPr>
        <w:t xml:space="preserve"> J</w:t>
      </w:r>
      <w:r w:rsidR="00903D0D" w:rsidRPr="004635E5">
        <w:rPr>
          <w:rFonts w:eastAsiaTheme="minorEastAsia"/>
          <w:sz w:val="22"/>
          <w:szCs w:val="22"/>
          <w:lang w:val="en-NZ" w:eastAsia="ko-KR"/>
        </w:rPr>
        <w:t>a</w:t>
      </w:r>
      <w:r w:rsidR="00A95475" w:rsidRPr="004635E5">
        <w:rPr>
          <w:rFonts w:eastAsiaTheme="minorEastAsia"/>
          <w:sz w:val="22"/>
          <w:szCs w:val="22"/>
          <w:lang w:val="en-NZ" w:eastAsia="ko-KR"/>
        </w:rPr>
        <w:t>pan</w:t>
      </w:r>
      <w:r w:rsidR="00903D0D" w:rsidRPr="004635E5">
        <w:rPr>
          <w:rFonts w:eastAsiaTheme="minorEastAsia"/>
          <w:sz w:val="22"/>
          <w:szCs w:val="22"/>
          <w:lang w:val="en-NZ" w:eastAsia="ko-KR"/>
        </w:rPr>
        <w:t xml:space="preserve"> requested that SPC conduct projections using both recent and long-term recruitment relationships </w:t>
      </w:r>
      <w:r w:rsidR="00A95475" w:rsidRPr="004635E5">
        <w:rPr>
          <w:rFonts w:eastAsiaTheme="minorEastAsia"/>
          <w:sz w:val="22"/>
          <w:szCs w:val="22"/>
          <w:lang w:val="en-NZ" w:eastAsia="ko-KR"/>
        </w:rPr>
        <w:t xml:space="preserve">for </w:t>
      </w:r>
      <w:r w:rsidR="004421B3" w:rsidRPr="004635E5">
        <w:rPr>
          <w:rFonts w:eastAsiaTheme="minorEastAsia"/>
          <w:sz w:val="22"/>
          <w:szCs w:val="22"/>
          <w:lang w:val="en-NZ" w:eastAsia="ko-KR"/>
        </w:rPr>
        <w:t>bigeye tuna</w:t>
      </w:r>
      <w:r w:rsidR="00903D0D" w:rsidRPr="004635E5">
        <w:rPr>
          <w:rFonts w:eastAsiaTheme="minorEastAsia"/>
          <w:sz w:val="22"/>
          <w:szCs w:val="22"/>
          <w:lang w:val="en-NZ" w:eastAsia="ko-KR"/>
        </w:rPr>
        <w:t>; SPC noted that would</w:t>
      </w:r>
      <w:r w:rsidR="00A95475" w:rsidRPr="004635E5">
        <w:rPr>
          <w:rFonts w:eastAsiaTheme="minorEastAsia"/>
          <w:sz w:val="22"/>
          <w:szCs w:val="22"/>
          <w:lang w:val="en-NZ" w:eastAsia="ko-KR"/>
        </w:rPr>
        <w:t xml:space="preserve"> </w:t>
      </w:r>
      <w:r w:rsidR="00903D0D" w:rsidRPr="004635E5">
        <w:rPr>
          <w:rFonts w:eastAsiaTheme="minorEastAsia"/>
          <w:sz w:val="22"/>
          <w:szCs w:val="22"/>
          <w:lang w:val="en-NZ" w:eastAsia="ko-KR"/>
        </w:rPr>
        <w:t xml:space="preserve">involve </w:t>
      </w:r>
      <w:r w:rsidR="00A95475" w:rsidRPr="004635E5">
        <w:rPr>
          <w:rFonts w:eastAsiaTheme="minorEastAsia"/>
          <w:sz w:val="22"/>
          <w:szCs w:val="22"/>
          <w:lang w:val="en-NZ" w:eastAsia="ko-KR"/>
        </w:rPr>
        <w:t xml:space="preserve">1000s of simulations </w:t>
      </w:r>
      <w:r w:rsidR="00903D0D" w:rsidRPr="004635E5">
        <w:rPr>
          <w:rFonts w:eastAsiaTheme="minorEastAsia"/>
          <w:sz w:val="22"/>
          <w:szCs w:val="22"/>
          <w:lang w:val="en-NZ" w:eastAsia="ko-KR"/>
        </w:rPr>
        <w:t xml:space="preserve">which could be done once SC had </w:t>
      </w:r>
      <w:r w:rsidR="00270656" w:rsidRPr="004635E5">
        <w:rPr>
          <w:rFonts w:eastAsiaTheme="minorEastAsia"/>
          <w:sz w:val="22"/>
          <w:szCs w:val="22"/>
          <w:lang w:val="en-NZ" w:eastAsia="ko-KR"/>
        </w:rPr>
        <w:t>agreed upon the uncertainty grid to be used</w:t>
      </w:r>
      <w:r w:rsidR="00A95475" w:rsidRPr="004635E5">
        <w:rPr>
          <w:rFonts w:eastAsiaTheme="minorEastAsia"/>
          <w:sz w:val="22"/>
          <w:szCs w:val="22"/>
          <w:lang w:val="en-NZ" w:eastAsia="ko-KR"/>
        </w:rPr>
        <w:t>.</w:t>
      </w:r>
    </w:p>
    <w:p w14:paraId="19888FDF" w14:textId="77777777" w:rsidR="00A61B2B" w:rsidRPr="004635E5" w:rsidRDefault="00A61B2B" w:rsidP="006633A8">
      <w:pPr>
        <w:autoSpaceDE w:val="0"/>
        <w:autoSpaceDN w:val="0"/>
        <w:adjustRightInd w:val="0"/>
        <w:snapToGrid w:val="0"/>
        <w:jc w:val="both"/>
        <w:rPr>
          <w:rFonts w:eastAsiaTheme="minorEastAsia"/>
          <w:sz w:val="22"/>
          <w:szCs w:val="22"/>
          <w:lang w:val="en-NZ" w:eastAsia="ko-KR"/>
        </w:rPr>
      </w:pPr>
    </w:p>
    <w:p w14:paraId="270427AB" w14:textId="77777777" w:rsidR="00303BAE" w:rsidRPr="004635E5" w:rsidRDefault="00903D0D"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Cook Islands</w:t>
      </w:r>
      <w:r w:rsidR="0004745E" w:rsidRPr="004635E5">
        <w:rPr>
          <w:rFonts w:eastAsiaTheme="minorEastAsia"/>
          <w:sz w:val="22"/>
          <w:szCs w:val="22"/>
          <w:lang w:eastAsia="ko-KR"/>
        </w:rPr>
        <w:t xml:space="preserve">, </w:t>
      </w:r>
      <w:r w:rsidR="008E4BB3" w:rsidRPr="004635E5">
        <w:rPr>
          <w:rFonts w:eastAsiaTheme="minorEastAsia"/>
          <w:sz w:val="22"/>
          <w:szCs w:val="22"/>
          <w:lang w:eastAsia="ko-KR"/>
        </w:rPr>
        <w:t xml:space="preserve">on behalf of </w:t>
      </w:r>
      <w:r w:rsidR="0004745E" w:rsidRPr="004635E5">
        <w:rPr>
          <w:rFonts w:eastAsiaTheme="minorEastAsia"/>
          <w:sz w:val="22"/>
          <w:szCs w:val="22"/>
          <w:lang w:eastAsia="ko-KR"/>
        </w:rPr>
        <w:t xml:space="preserve">FFA </w:t>
      </w:r>
      <w:r w:rsidR="008E4BB3" w:rsidRPr="004635E5">
        <w:rPr>
          <w:rFonts w:eastAsiaTheme="minorEastAsia"/>
          <w:sz w:val="22"/>
          <w:szCs w:val="22"/>
          <w:lang w:eastAsia="ko-KR"/>
        </w:rPr>
        <w:t>m</w:t>
      </w:r>
      <w:r w:rsidR="0004745E" w:rsidRPr="004635E5">
        <w:rPr>
          <w:rFonts w:eastAsiaTheme="minorEastAsia"/>
          <w:sz w:val="22"/>
          <w:szCs w:val="22"/>
          <w:lang w:eastAsia="ko-KR"/>
        </w:rPr>
        <w:t>embers</w:t>
      </w:r>
      <w:r w:rsidR="008E4BB3" w:rsidRPr="004635E5">
        <w:rPr>
          <w:rFonts w:eastAsiaTheme="minorEastAsia"/>
          <w:sz w:val="22"/>
          <w:szCs w:val="22"/>
          <w:lang w:eastAsia="ko-KR"/>
        </w:rPr>
        <w:t>,</w:t>
      </w:r>
      <w:r w:rsidR="0004745E" w:rsidRPr="004635E5">
        <w:rPr>
          <w:rFonts w:eastAsiaTheme="minorEastAsia"/>
          <w:sz w:val="22"/>
          <w:szCs w:val="22"/>
          <w:lang w:eastAsia="ko-KR"/>
        </w:rPr>
        <w:t xml:space="preserve"> thank</w:t>
      </w:r>
      <w:r w:rsidR="008E4BB3" w:rsidRPr="004635E5">
        <w:rPr>
          <w:rFonts w:eastAsiaTheme="minorEastAsia"/>
          <w:sz w:val="22"/>
          <w:szCs w:val="22"/>
          <w:lang w:eastAsia="ko-KR"/>
        </w:rPr>
        <w:t>ed</w:t>
      </w:r>
      <w:r w:rsidR="0004745E" w:rsidRPr="004635E5">
        <w:rPr>
          <w:rFonts w:eastAsiaTheme="minorEastAsia"/>
          <w:sz w:val="22"/>
          <w:szCs w:val="22"/>
          <w:lang w:eastAsia="ko-KR"/>
        </w:rPr>
        <w:t xml:space="preserve"> SPC for preparation of </w:t>
      </w:r>
      <w:r w:rsidR="008E4BB3" w:rsidRPr="004635E5">
        <w:rPr>
          <w:rFonts w:eastAsiaTheme="minorEastAsia"/>
          <w:sz w:val="22"/>
          <w:szCs w:val="22"/>
          <w:lang w:eastAsia="ko-KR"/>
        </w:rPr>
        <w:t xml:space="preserve">the </w:t>
      </w:r>
      <w:r w:rsidR="0004745E" w:rsidRPr="004635E5">
        <w:rPr>
          <w:rFonts w:eastAsiaTheme="minorEastAsia"/>
          <w:sz w:val="22"/>
          <w:szCs w:val="22"/>
          <w:lang w:eastAsia="ko-KR"/>
        </w:rPr>
        <w:t>paper which provides an informative overview of candidate target reference points and associated risk of breaching</w:t>
      </w:r>
      <w:r w:rsidR="00602BAD">
        <w:rPr>
          <w:rFonts w:eastAsiaTheme="minorEastAsia"/>
          <w:sz w:val="22"/>
          <w:szCs w:val="22"/>
          <w:lang w:eastAsia="ko-KR"/>
        </w:rPr>
        <w:t xml:space="preserve"> the</w:t>
      </w:r>
      <w:r w:rsidR="0004745E" w:rsidRPr="004635E5">
        <w:rPr>
          <w:rFonts w:eastAsiaTheme="minorEastAsia"/>
          <w:sz w:val="22"/>
          <w:szCs w:val="22"/>
          <w:lang w:eastAsia="ko-KR"/>
        </w:rPr>
        <w:t xml:space="preserve"> LRP. </w:t>
      </w:r>
      <w:r w:rsidR="00270656" w:rsidRPr="004635E5">
        <w:rPr>
          <w:rFonts w:eastAsiaTheme="minorEastAsia"/>
          <w:sz w:val="22"/>
          <w:szCs w:val="22"/>
          <w:lang w:eastAsia="ko-KR"/>
        </w:rPr>
        <w:t xml:space="preserve">They </w:t>
      </w:r>
      <w:r w:rsidR="0004745E" w:rsidRPr="004635E5">
        <w:rPr>
          <w:rFonts w:eastAsiaTheme="minorEastAsia"/>
          <w:sz w:val="22"/>
          <w:szCs w:val="22"/>
          <w:lang w:eastAsia="ko-KR"/>
        </w:rPr>
        <w:t>note</w:t>
      </w:r>
      <w:r w:rsidR="00270656" w:rsidRPr="004635E5">
        <w:rPr>
          <w:rFonts w:eastAsiaTheme="minorEastAsia"/>
          <w:sz w:val="22"/>
          <w:szCs w:val="22"/>
          <w:lang w:eastAsia="ko-KR"/>
        </w:rPr>
        <w:t>d</w:t>
      </w:r>
      <w:r w:rsidR="0004745E" w:rsidRPr="004635E5">
        <w:rPr>
          <w:rFonts w:eastAsiaTheme="minorEastAsia"/>
          <w:sz w:val="22"/>
          <w:szCs w:val="22"/>
          <w:lang w:eastAsia="ko-KR"/>
        </w:rPr>
        <w:t xml:space="preserve"> that this </w:t>
      </w:r>
      <w:r w:rsidR="00270656" w:rsidRPr="004635E5">
        <w:rPr>
          <w:rFonts w:eastAsiaTheme="minorEastAsia"/>
          <w:sz w:val="22"/>
          <w:szCs w:val="22"/>
          <w:lang w:eastAsia="ko-KR"/>
        </w:rPr>
        <w:t xml:space="preserve">was </w:t>
      </w:r>
      <w:r w:rsidR="0004745E" w:rsidRPr="004635E5">
        <w:rPr>
          <w:rFonts w:eastAsiaTheme="minorEastAsia"/>
          <w:sz w:val="22"/>
          <w:szCs w:val="22"/>
          <w:lang w:eastAsia="ko-KR"/>
        </w:rPr>
        <w:t xml:space="preserve">the first time a TRP </w:t>
      </w:r>
      <w:r w:rsidR="00270656" w:rsidRPr="004635E5">
        <w:rPr>
          <w:rFonts w:eastAsiaTheme="minorEastAsia"/>
          <w:sz w:val="22"/>
          <w:szCs w:val="22"/>
          <w:lang w:eastAsia="ko-KR"/>
        </w:rPr>
        <w:t xml:space="preserve">was </w:t>
      </w:r>
      <w:r w:rsidR="0004745E" w:rsidRPr="004635E5">
        <w:rPr>
          <w:rFonts w:eastAsiaTheme="minorEastAsia"/>
          <w:sz w:val="22"/>
          <w:szCs w:val="22"/>
          <w:lang w:eastAsia="ko-KR"/>
        </w:rPr>
        <w:t xml:space="preserve">being considered that </w:t>
      </w:r>
      <w:r w:rsidR="00270656" w:rsidRPr="004635E5">
        <w:rPr>
          <w:rFonts w:eastAsiaTheme="minorEastAsia"/>
          <w:sz w:val="22"/>
          <w:szCs w:val="22"/>
          <w:lang w:eastAsia="ko-KR"/>
        </w:rPr>
        <w:t xml:space="preserve">would </w:t>
      </w:r>
      <w:r w:rsidR="0004745E" w:rsidRPr="004635E5">
        <w:rPr>
          <w:rFonts w:eastAsiaTheme="minorEastAsia"/>
          <w:sz w:val="22"/>
          <w:szCs w:val="22"/>
          <w:lang w:eastAsia="ko-KR"/>
        </w:rPr>
        <w:t>have implications for both the longline and purse seine fisheries and suggest</w:t>
      </w:r>
      <w:r w:rsidR="00270656" w:rsidRPr="004635E5">
        <w:rPr>
          <w:rFonts w:eastAsiaTheme="minorEastAsia"/>
          <w:sz w:val="22"/>
          <w:szCs w:val="22"/>
          <w:lang w:eastAsia="ko-KR"/>
        </w:rPr>
        <w:t>ed</w:t>
      </w:r>
      <w:r w:rsidR="0004745E" w:rsidRPr="004635E5">
        <w:rPr>
          <w:rFonts w:eastAsiaTheme="minorEastAsia"/>
          <w:sz w:val="22"/>
          <w:szCs w:val="22"/>
          <w:lang w:eastAsia="ko-KR"/>
        </w:rPr>
        <w:t xml:space="preserve"> future papers may need to consider how this is framed in respect to both these fisheries and also in relation to </w:t>
      </w:r>
      <w:r w:rsidR="00270656" w:rsidRPr="004635E5">
        <w:rPr>
          <w:rFonts w:eastAsiaTheme="minorEastAsia"/>
          <w:sz w:val="22"/>
          <w:szCs w:val="22"/>
          <w:lang w:eastAsia="ko-KR"/>
        </w:rPr>
        <w:t xml:space="preserve">the </w:t>
      </w:r>
      <w:r w:rsidR="0004745E" w:rsidRPr="004635E5">
        <w:rPr>
          <w:rFonts w:eastAsiaTheme="minorEastAsia"/>
          <w:sz w:val="22"/>
          <w:szCs w:val="22"/>
          <w:lang w:eastAsia="ko-KR"/>
        </w:rPr>
        <w:t xml:space="preserve">risk level adopted for </w:t>
      </w:r>
      <w:r w:rsidR="00656FD8" w:rsidRPr="004635E5">
        <w:rPr>
          <w:rFonts w:eastAsiaTheme="minorEastAsia"/>
          <w:sz w:val="22"/>
          <w:szCs w:val="22"/>
          <w:lang w:eastAsia="ko-KR"/>
        </w:rPr>
        <w:t>skipjack</w:t>
      </w:r>
      <w:r w:rsidR="0004745E" w:rsidRPr="004635E5">
        <w:rPr>
          <w:rFonts w:eastAsiaTheme="minorEastAsia"/>
          <w:sz w:val="22"/>
          <w:szCs w:val="22"/>
          <w:lang w:eastAsia="ko-KR"/>
        </w:rPr>
        <w:t xml:space="preserve">. </w:t>
      </w:r>
      <w:r w:rsidR="00270656" w:rsidRPr="004635E5">
        <w:rPr>
          <w:rFonts w:eastAsiaTheme="minorEastAsia"/>
          <w:sz w:val="22"/>
          <w:szCs w:val="22"/>
          <w:lang w:eastAsia="ko-KR"/>
        </w:rPr>
        <w:t xml:space="preserve">They </w:t>
      </w:r>
      <w:r w:rsidR="0004745E" w:rsidRPr="004635E5">
        <w:rPr>
          <w:rFonts w:eastAsiaTheme="minorEastAsia"/>
          <w:sz w:val="22"/>
          <w:szCs w:val="22"/>
          <w:lang w:eastAsia="ko-KR"/>
        </w:rPr>
        <w:t>also note</w:t>
      </w:r>
      <w:r w:rsidR="00270656" w:rsidRPr="004635E5">
        <w:rPr>
          <w:rFonts w:eastAsiaTheme="minorEastAsia"/>
          <w:sz w:val="22"/>
          <w:szCs w:val="22"/>
          <w:lang w:eastAsia="ko-KR"/>
        </w:rPr>
        <w:t>d</w:t>
      </w:r>
      <w:r w:rsidR="0004745E" w:rsidRPr="004635E5">
        <w:rPr>
          <w:rFonts w:eastAsiaTheme="minorEastAsia"/>
          <w:sz w:val="22"/>
          <w:szCs w:val="22"/>
          <w:lang w:eastAsia="ko-KR"/>
        </w:rPr>
        <w:t xml:space="preserve"> that this presents a minimum TRP consistent with only an objective of stock sustainability</w:t>
      </w:r>
      <w:r w:rsidR="00270656" w:rsidRPr="004635E5">
        <w:rPr>
          <w:rFonts w:eastAsiaTheme="minorEastAsia"/>
          <w:sz w:val="22"/>
          <w:szCs w:val="22"/>
          <w:lang w:eastAsia="ko-KR"/>
        </w:rPr>
        <w:t>,</w:t>
      </w:r>
      <w:r w:rsidR="0004745E" w:rsidRPr="004635E5">
        <w:rPr>
          <w:rFonts w:eastAsiaTheme="minorEastAsia"/>
          <w:sz w:val="22"/>
          <w:szCs w:val="22"/>
          <w:lang w:eastAsia="ko-KR"/>
        </w:rPr>
        <w:t xml:space="preserve"> and welcome</w:t>
      </w:r>
      <w:r w:rsidR="00270656" w:rsidRPr="004635E5">
        <w:rPr>
          <w:rFonts w:eastAsiaTheme="minorEastAsia"/>
          <w:sz w:val="22"/>
          <w:szCs w:val="22"/>
          <w:lang w:eastAsia="ko-KR"/>
        </w:rPr>
        <w:t>d</w:t>
      </w:r>
      <w:r w:rsidR="0004745E" w:rsidRPr="004635E5">
        <w:rPr>
          <w:rFonts w:eastAsiaTheme="minorEastAsia"/>
          <w:sz w:val="22"/>
          <w:szCs w:val="22"/>
          <w:lang w:eastAsia="ko-KR"/>
        </w:rPr>
        <w:t xml:space="preserve"> </w:t>
      </w:r>
      <w:r w:rsidR="00270656" w:rsidRPr="004635E5">
        <w:rPr>
          <w:rFonts w:eastAsiaTheme="minorEastAsia"/>
          <w:sz w:val="22"/>
          <w:szCs w:val="22"/>
          <w:lang w:eastAsia="ko-KR"/>
        </w:rPr>
        <w:t xml:space="preserve">future </w:t>
      </w:r>
      <w:r w:rsidR="0004745E" w:rsidRPr="004635E5">
        <w:rPr>
          <w:rFonts w:eastAsiaTheme="minorEastAsia"/>
          <w:sz w:val="22"/>
          <w:szCs w:val="22"/>
          <w:lang w:eastAsia="ko-KR"/>
        </w:rPr>
        <w:t>consideration of other economic and social objectives for yellowfin tuna in the selection of a TRP.</w:t>
      </w:r>
    </w:p>
    <w:p w14:paraId="657293CD" w14:textId="77777777" w:rsidR="00A61B2B" w:rsidRPr="004635E5" w:rsidRDefault="00A61B2B" w:rsidP="006633A8">
      <w:pPr>
        <w:autoSpaceDE w:val="0"/>
        <w:autoSpaceDN w:val="0"/>
        <w:adjustRightInd w:val="0"/>
        <w:snapToGrid w:val="0"/>
        <w:jc w:val="both"/>
        <w:rPr>
          <w:rFonts w:eastAsiaTheme="minorEastAsia"/>
          <w:sz w:val="22"/>
          <w:szCs w:val="22"/>
          <w:lang w:val="en-NZ" w:eastAsia="ko-KR"/>
        </w:rPr>
      </w:pPr>
    </w:p>
    <w:p w14:paraId="779D00A7" w14:textId="77777777" w:rsidR="00303BAE" w:rsidRPr="004635E5" w:rsidRDefault="00020DDF"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The </w:t>
      </w:r>
      <w:r w:rsidR="00A95475" w:rsidRPr="004635E5">
        <w:rPr>
          <w:rFonts w:eastAsiaTheme="minorEastAsia"/>
          <w:sz w:val="22"/>
          <w:szCs w:val="22"/>
          <w:lang w:val="en-NZ" w:eastAsia="ko-KR"/>
        </w:rPr>
        <w:t>EU agree</w:t>
      </w:r>
      <w:r w:rsidRPr="004635E5">
        <w:rPr>
          <w:rFonts w:eastAsiaTheme="minorEastAsia"/>
          <w:sz w:val="22"/>
          <w:szCs w:val="22"/>
          <w:lang w:val="en-NZ" w:eastAsia="ko-KR"/>
        </w:rPr>
        <w:t>d</w:t>
      </w:r>
      <w:r w:rsidR="00A95475" w:rsidRPr="004635E5">
        <w:rPr>
          <w:rFonts w:eastAsiaTheme="minorEastAsia"/>
          <w:sz w:val="22"/>
          <w:szCs w:val="22"/>
          <w:lang w:val="en-NZ" w:eastAsia="ko-KR"/>
        </w:rPr>
        <w:t xml:space="preserve"> with prev</w:t>
      </w:r>
      <w:r w:rsidRPr="004635E5">
        <w:rPr>
          <w:rFonts w:eastAsiaTheme="minorEastAsia"/>
          <w:sz w:val="22"/>
          <w:szCs w:val="22"/>
          <w:lang w:val="en-NZ" w:eastAsia="ko-KR"/>
        </w:rPr>
        <w:t>ious</w:t>
      </w:r>
      <w:r w:rsidR="00A95475" w:rsidRPr="004635E5">
        <w:rPr>
          <w:rFonts w:eastAsiaTheme="minorEastAsia"/>
          <w:sz w:val="22"/>
          <w:szCs w:val="22"/>
          <w:lang w:val="en-NZ" w:eastAsia="ko-KR"/>
        </w:rPr>
        <w:t xml:space="preserve"> speakers in principle</w:t>
      </w:r>
      <w:r w:rsidR="00270656" w:rsidRPr="004635E5">
        <w:rPr>
          <w:rFonts w:eastAsiaTheme="minorEastAsia"/>
          <w:sz w:val="22"/>
          <w:szCs w:val="22"/>
          <w:lang w:val="en-NZ" w:eastAsia="ko-KR"/>
        </w:rPr>
        <w:t xml:space="preserve">, noting that this was a </w:t>
      </w:r>
      <w:r w:rsidR="00A95475" w:rsidRPr="004635E5">
        <w:rPr>
          <w:rFonts w:eastAsiaTheme="minorEastAsia"/>
          <w:sz w:val="22"/>
          <w:szCs w:val="22"/>
          <w:lang w:val="en-NZ" w:eastAsia="ko-KR"/>
        </w:rPr>
        <w:t>useful</w:t>
      </w:r>
      <w:r w:rsidR="00270656" w:rsidRPr="004635E5">
        <w:rPr>
          <w:rFonts w:eastAsiaTheme="minorEastAsia"/>
          <w:sz w:val="22"/>
          <w:szCs w:val="22"/>
          <w:lang w:val="en-NZ" w:eastAsia="ko-KR"/>
        </w:rPr>
        <w:t xml:space="preserve"> working paper and that </w:t>
      </w:r>
      <w:r w:rsidR="00A95475" w:rsidRPr="004635E5">
        <w:rPr>
          <w:rFonts w:eastAsiaTheme="minorEastAsia"/>
          <w:sz w:val="22"/>
          <w:szCs w:val="22"/>
          <w:lang w:val="en-NZ" w:eastAsia="ko-KR"/>
        </w:rPr>
        <w:t>risk-based TRPs are one poss</w:t>
      </w:r>
      <w:r w:rsidR="009B7457" w:rsidRPr="004635E5">
        <w:rPr>
          <w:rFonts w:eastAsiaTheme="minorEastAsia"/>
          <w:sz w:val="22"/>
          <w:szCs w:val="22"/>
          <w:lang w:val="en-NZ" w:eastAsia="ko-KR"/>
        </w:rPr>
        <w:t>ible</w:t>
      </w:r>
      <w:r w:rsidR="00A95475" w:rsidRPr="004635E5">
        <w:rPr>
          <w:rFonts w:eastAsiaTheme="minorEastAsia"/>
          <w:sz w:val="22"/>
          <w:szCs w:val="22"/>
          <w:lang w:val="en-NZ" w:eastAsia="ko-KR"/>
        </w:rPr>
        <w:t xml:space="preserve"> method</w:t>
      </w:r>
      <w:r w:rsidR="00270656" w:rsidRPr="004635E5">
        <w:rPr>
          <w:rFonts w:eastAsiaTheme="minorEastAsia"/>
          <w:sz w:val="22"/>
          <w:szCs w:val="22"/>
          <w:lang w:val="en-NZ" w:eastAsia="ko-KR"/>
        </w:rPr>
        <w:t xml:space="preserve"> or identifying TRPs</w:t>
      </w:r>
      <w:r w:rsidR="00A95475" w:rsidRPr="004635E5">
        <w:rPr>
          <w:rFonts w:eastAsiaTheme="minorEastAsia"/>
          <w:sz w:val="22"/>
          <w:szCs w:val="22"/>
          <w:lang w:val="en-NZ" w:eastAsia="ko-KR"/>
        </w:rPr>
        <w:t xml:space="preserve">. </w:t>
      </w:r>
      <w:r w:rsidR="00270656" w:rsidRPr="004635E5">
        <w:rPr>
          <w:rFonts w:eastAsiaTheme="minorEastAsia"/>
          <w:sz w:val="22"/>
          <w:szCs w:val="22"/>
          <w:lang w:val="en-NZ" w:eastAsia="ko-KR"/>
        </w:rPr>
        <w:t xml:space="preserve">They noted a </w:t>
      </w:r>
      <w:r w:rsidR="00A95475" w:rsidRPr="004635E5">
        <w:rPr>
          <w:rFonts w:eastAsiaTheme="minorEastAsia"/>
          <w:sz w:val="22"/>
          <w:szCs w:val="22"/>
          <w:lang w:val="en-NZ" w:eastAsia="ko-KR"/>
        </w:rPr>
        <w:t>TRP</w:t>
      </w:r>
      <w:r w:rsidR="009B7457" w:rsidRPr="004635E5">
        <w:rPr>
          <w:rFonts w:eastAsiaTheme="minorEastAsia"/>
          <w:sz w:val="22"/>
          <w:szCs w:val="22"/>
          <w:lang w:val="en-NZ" w:eastAsia="ko-KR"/>
        </w:rPr>
        <w:t xml:space="preserve"> is a </w:t>
      </w:r>
      <w:r w:rsidR="00A95475" w:rsidRPr="004635E5">
        <w:rPr>
          <w:rFonts w:eastAsiaTheme="minorEastAsia"/>
          <w:sz w:val="22"/>
          <w:szCs w:val="22"/>
          <w:lang w:val="en-NZ" w:eastAsia="ko-KR"/>
        </w:rPr>
        <w:t xml:space="preserve">metric to achieve </w:t>
      </w:r>
      <w:r w:rsidR="009B7457" w:rsidRPr="004635E5">
        <w:rPr>
          <w:rFonts w:eastAsiaTheme="minorEastAsia"/>
          <w:sz w:val="22"/>
          <w:szCs w:val="22"/>
          <w:lang w:val="en-NZ" w:eastAsia="ko-KR"/>
        </w:rPr>
        <w:t xml:space="preserve">a </w:t>
      </w:r>
      <w:r w:rsidR="00A95475" w:rsidRPr="004635E5">
        <w:rPr>
          <w:rFonts w:eastAsiaTheme="minorEastAsia"/>
          <w:sz w:val="22"/>
          <w:szCs w:val="22"/>
          <w:lang w:val="en-NZ" w:eastAsia="ko-KR"/>
        </w:rPr>
        <w:t>man</w:t>
      </w:r>
      <w:r w:rsidR="009B7457" w:rsidRPr="004635E5">
        <w:rPr>
          <w:rFonts w:eastAsiaTheme="minorEastAsia"/>
          <w:sz w:val="22"/>
          <w:szCs w:val="22"/>
          <w:lang w:val="en-NZ" w:eastAsia="ko-KR"/>
        </w:rPr>
        <w:t>agement</w:t>
      </w:r>
      <w:r w:rsidR="00A95475" w:rsidRPr="004635E5">
        <w:rPr>
          <w:rFonts w:eastAsiaTheme="minorEastAsia"/>
          <w:sz w:val="22"/>
          <w:szCs w:val="22"/>
          <w:lang w:val="en-NZ" w:eastAsia="ko-KR"/>
        </w:rPr>
        <w:t xml:space="preserve"> obj</w:t>
      </w:r>
      <w:r w:rsidR="009B7457" w:rsidRPr="004635E5">
        <w:rPr>
          <w:rFonts w:eastAsiaTheme="minorEastAsia"/>
          <w:sz w:val="22"/>
          <w:szCs w:val="22"/>
          <w:lang w:val="en-NZ" w:eastAsia="ko-KR"/>
        </w:rPr>
        <w:t>ective</w:t>
      </w:r>
      <w:r w:rsidR="00A95475" w:rsidRPr="004635E5">
        <w:rPr>
          <w:rFonts w:eastAsiaTheme="minorEastAsia"/>
          <w:sz w:val="22"/>
          <w:szCs w:val="22"/>
          <w:lang w:val="en-NZ" w:eastAsia="ko-KR"/>
        </w:rPr>
        <w:t xml:space="preserve"> that </w:t>
      </w:r>
      <w:r w:rsidR="00270656" w:rsidRPr="004635E5">
        <w:rPr>
          <w:rFonts w:eastAsiaTheme="minorEastAsia"/>
          <w:sz w:val="22"/>
          <w:szCs w:val="22"/>
          <w:lang w:val="en-NZ" w:eastAsia="ko-KR"/>
        </w:rPr>
        <w:t xml:space="preserve">must be defined by </w:t>
      </w:r>
      <w:r w:rsidR="009B7457" w:rsidRPr="004635E5">
        <w:rPr>
          <w:rFonts w:eastAsiaTheme="minorEastAsia"/>
          <w:sz w:val="22"/>
          <w:szCs w:val="22"/>
          <w:lang w:val="en-NZ" w:eastAsia="ko-KR"/>
        </w:rPr>
        <w:t xml:space="preserve">the </w:t>
      </w:r>
      <w:r w:rsidR="00270656" w:rsidRPr="004635E5">
        <w:rPr>
          <w:rFonts w:eastAsiaTheme="minorEastAsia"/>
          <w:sz w:val="22"/>
          <w:szCs w:val="22"/>
          <w:lang w:val="en-NZ" w:eastAsia="ko-KR"/>
        </w:rPr>
        <w:t>C</w:t>
      </w:r>
      <w:r w:rsidR="00A95475" w:rsidRPr="004635E5">
        <w:rPr>
          <w:rFonts w:eastAsiaTheme="minorEastAsia"/>
          <w:sz w:val="22"/>
          <w:szCs w:val="22"/>
          <w:lang w:val="en-NZ" w:eastAsia="ko-KR"/>
        </w:rPr>
        <w:t>omm</w:t>
      </w:r>
      <w:r w:rsidR="009B7457" w:rsidRPr="004635E5">
        <w:rPr>
          <w:rFonts w:eastAsiaTheme="minorEastAsia"/>
          <w:sz w:val="22"/>
          <w:szCs w:val="22"/>
          <w:lang w:val="en-NZ" w:eastAsia="ko-KR"/>
        </w:rPr>
        <w:t xml:space="preserve">ission; without </w:t>
      </w:r>
      <w:r w:rsidR="00270656" w:rsidRPr="004635E5">
        <w:rPr>
          <w:rFonts w:eastAsiaTheme="minorEastAsia"/>
          <w:sz w:val="22"/>
          <w:szCs w:val="22"/>
          <w:lang w:val="en-NZ" w:eastAsia="ko-KR"/>
        </w:rPr>
        <w:t>such an objective</w:t>
      </w:r>
      <w:r w:rsidR="009B7457" w:rsidRPr="004635E5">
        <w:rPr>
          <w:rFonts w:eastAsiaTheme="minorEastAsia"/>
          <w:sz w:val="22"/>
          <w:szCs w:val="22"/>
          <w:lang w:val="en-NZ" w:eastAsia="ko-KR"/>
        </w:rPr>
        <w:t xml:space="preserve">, it is </w:t>
      </w:r>
      <w:r w:rsidR="00A95475" w:rsidRPr="004635E5">
        <w:rPr>
          <w:rFonts w:eastAsiaTheme="minorEastAsia"/>
          <w:sz w:val="22"/>
          <w:szCs w:val="22"/>
          <w:lang w:val="en-NZ" w:eastAsia="ko-KR"/>
        </w:rPr>
        <w:t xml:space="preserve">hard to propose </w:t>
      </w:r>
      <w:r w:rsidR="00270656" w:rsidRPr="004635E5">
        <w:rPr>
          <w:rFonts w:eastAsiaTheme="minorEastAsia"/>
          <w:sz w:val="22"/>
          <w:szCs w:val="22"/>
          <w:lang w:val="en-NZ" w:eastAsia="ko-KR"/>
        </w:rPr>
        <w:t>an appropriate TRP</w:t>
      </w:r>
      <w:r w:rsidR="00A95475" w:rsidRPr="004635E5">
        <w:rPr>
          <w:rFonts w:eastAsiaTheme="minorEastAsia"/>
          <w:sz w:val="22"/>
          <w:szCs w:val="22"/>
          <w:lang w:val="en-NZ" w:eastAsia="ko-KR"/>
        </w:rPr>
        <w:t xml:space="preserve">. </w:t>
      </w:r>
      <w:r w:rsidR="00270656" w:rsidRPr="004635E5">
        <w:rPr>
          <w:rFonts w:eastAsiaTheme="minorEastAsia"/>
          <w:sz w:val="22"/>
          <w:szCs w:val="22"/>
          <w:lang w:val="en-NZ" w:eastAsia="ko-KR"/>
        </w:rPr>
        <w:t xml:space="preserve">They expressed the view </w:t>
      </w:r>
      <w:r w:rsidR="00812008" w:rsidRPr="004635E5">
        <w:rPr>
          <w:rFonts w:eastAsiaTheme="minorEastAsia"/>
          <w:sz w:val="22"/>
          <w:szCs w:val="22"/>
          <w:lang w:val="en-NZ" w:eastAsia="ko-KR"/>
        </w:rPr>
        <w:t xml:space="preserve">that the </w:t>
      </w:r>
      <w:r w:rsidR="00812008">
        <w:rPr>
          <w:rFonts w:eastAsiaTheme="minorEastAsia"/>
          <w:sz w:val="22"/>
          <w:szCs w:val="22"/>
          <w:lang w:val="en-NZ" w:eastAsia="ko-KR"/>
        </w:rPr>
        <w:t xml:space="preserve">TRPs identified in the working paper </w:t>
      </w:r>
      <w:r w:rsidR="00812008" w:rsidRPr="004635E5">
        <w:rPr>
          <w:rFonts w:eastAsiaTheme="minorEastAsia"/>
          <w:sz w:val="22"/>
          <w:szCs w:val="22"/>
          <w:lang w:val="en-NZ" w:eastAsia="ko-KR"/>
        </w:rPr>
        <w:t>are conservative, driven</w:t>
      </w:r>
      <w:r w:rsidR="00812008" w:rsidRPr="004635E5" w:rsidDel="00812008">
        <w:rPr>
          <w:rFonts w:eastAsiaTheme="minorEastAsia"/>
          <w:sz w:val="22"/>
          <w:szCs w:val="22"/>
          <w:lang w:val="en-NZ" w:eastAsia="ko-KR"/>
        </w:rPr>
        <w:t xml:space="preserve"> </w:t>
      </w:r>
      <w:r w:rsidR="00A95475" w:rsidRPr="004635E5">
        <w:rPr>
          <w:rFonts w:eastAsiaTheme="minorEastAsia"/>
          <w:sz w:val="22"/>
          <w:szCs w:val="22"/>
          <w:lang w:val="en-NZ" w:eastAsia="ko-KR"/>
        </w:rPr>
        <w:t xml:space="preserve">by </w:t>
      </w:r>
      <w:r w:rsidR="009B7457" w:rsidRPr="004635E5">
        <w:rPr>
          <w:rFonts w:eastAsiaTheme="minorEastAsia"/>
          <w:sz w:val="22"/>
          <w:szCs w:val="22"/>
          <w:lang w:val="en-NZ" w:eastAsia="ko-KR"/>
        </w:rPr>
        <w:t xml:space="preserve">a </w:t>
      </w:r>
      <w:r w:rsidR="00A95475" w:rsidRPr="004635E5">
        <w:rPr>
          <w:rFonts w:eastAsiaTheme="minorEastAsia"/>
          <w:sz w:val="22"/>
          <w:szCs w:val="22"/>
          <w:lang w:val="en-NZ" w:eastAsia="ko-KR"/>
        </w:rPr>
        <w:t>conservative LRP</w:t>
      </w:r>
      <w:r w:rsidR="009B7457" w:rsidRPr="004635E5">
        <w:rPr>
          <w:rFonts w:eastAsiaTheme="minorEastAsia"/>
          <w:sz w:val="22"/>
          <w:szCs w:val="22"/>
          <w:lang w:val="en-NZ" w:eastAsia="ko-KR"/>
        </w:rPr>
        <w:t xml:space="preserve">, and are </w:t>
      </w:r>
      <w:r w:rsidR="00B259B6" w:rsidRPr="004635E5">
        <w:rPr>
          <w:rFonts w:eastAsiaTheme="minorEastAsia"/>
          <w:sz w:val="22"/>
          <w:szCs w:val="22"/>
          <w:lang w:val="en-NZ" w:eastAsia="ko-KR"/>
        </w:rPr>
        <w:t>well above MSY</w:t>
      </w:r>
      <w:r w:rsidR="00270656" w:rsidRPr="004635E5">
        <w:rPr>
          <w:rFonts w:eastAsiaTheme="minorEastAsia"/>
          <w:sz w:val="22"/>
          <w:szCs w:val="22"/>
          <w:lang w:val="en-NZ" w:eastAsia="ko-KR"/>
        </w:rPr>
        <w:t xml:space="preserve">. Given that </w:t>
      </w:r>
      <w:r w:rsidR="00B259B6" w:rsidRPr="004635E5">
        <w:rPr>
          <w:rFonts w:eastAsiaTheme="minorEastAsia"/>
          <w:sz w:val="22"/>
          <w:szCs w:val="22"/>
          <w:lang w:val="en-NZ" w:eastAsia="ko-KR"/>
        </w:rPr>
        <w:t>other consider</w:t>
      </w:r>
      <w:r w:rsidR="009B7457" w:rsidRPr="004635E5">
        <w:rPr>
          <w:rFonts w:eastAsiaTheme="minorEastAsia"/>
          <w:sz w:val="22"/>
          <w:szCs w:val="22"/>
          <w:lang w:val="en-NZ" w:eastAsia="ko-KR"/>
        </w:rPr>
        <w:t>ations should be taken into account</w:t>
      </w:r>
      <w:r w:rsidR="00B259B6" w:rsidRPr="004635E5">
        <w:rPr>
          <w:rFonts w:eastAsiaTheme="minorEastAsia"/>
          <w:sz w:val="22"/>
          <w:szCs w:val="22"/>
          <w:lang w:val="en-NZ" w:eastAsia="ko-KR"/>
        </w:rPr>
        <w:t xml:space="preserve">, </w:t>
      </w:r>
      <w:r w:rsidR="00270656" w:rsidRPr="004635E5">
        <w:rPr>
          <w:rFonts w:eastAsiaTheme="minorEastAsia"/>
          <w:sz w:val="22"/>
          <w:szCs w:val="22"/>
          <w:lang w:val="en-NZ" w:eastAsia="ko-KR"/>
        </w:rPr>
        <w:t xml:space="preserve">they noted </w:t>
      </w:r>
      <w:r w:rsidR="009B7457" w:rsidRPr="004635E5">
        <w:rPr>
          <w:rFonts w:eastAsiaTheme="minorEastAsia"/>
          <w:sz w:val="22"/>
          <w:szCs w:val="22"/>
          <w:lang w:val="en-NZ" w:eastAsia="ko-KR"/>
        </w:rPr>
        <w:t>the C</w:t>
      </w:r>
      <w:r w:rsidR="00B259B6" w:rsidRPr="004635E5">
        <w:rPr>
          <w:rFonts w:eastAsiaTheme="minorEastAsia"/>
          <w:sz w:val="22"/>
          <w:szCs w:val="22"/>
          <w:lang w:val="en-NZ" w:eastAsia="ko-KR"/>
        </w:rPr>
        <w:t>omm</w:t>
      </w:r>
      <w:r w:rsidR="009B7457" w:rsidRPr="004635E5">
        <w:rPr>
          <w:rFonts w:eastAsiaTheme="minorEastAsia"/>
          <w:sz w:val="22"/>
          <w:szCs w:val="22"/>
          <w:lang w:val="en-NZ" w:eastAsia="ko-KR"/>
        </w:rPr>
        <w:t>ission</w:t>
      </w:r>
      <w:r w:rsidR="00B259B6" w:rsidRPr="004635E5">
        <w:rPr>
          <w:rFonts w:eastAsiaTheme="minorEastAsia"/>
          <w:sz w:val="22"/>
          <w:szCs w:val="22"/>
          <w:lang w:val="en-NZ" w:eastAsia="ko-KR"/>
        </w:rPr>
        <w:t xml:space="preserve"> should </w:t>
      </w:r>
      <w:r w:rsidR="009B7457" w:rsidRPr="004635E5">
        <w:rPr>
          <w:rFonts w:eastAsiaTheme="minorEastAsia"/>
          <w:sz w:val="22"/>
          <w:szCs w:val="22"/>
          <w:lang w:val="en-NZ" w:eastAsia="ko-KR"/>
        </w:rPr>
        <w:t xml:space="preserve">provide guidance </w:t>
      </w:r>
      <w:r w:rsidR="00B259B6" w:rsidRPr="004635E5">
        <w:rPr>
          <w:rFonts w:eastAsiaTheme="minorEastAsia"/>
          <w:sz w:val="22"/>
          <w:szCs w:val="22"/>
          <w:lang w:val="en-NZ" w:eastAsia="ko-KR"/>
        </w:rPr>
        <w:t>by adopting man</w:t>
      </w:r>
      <w:r w:rsidR="009B7457" w:rsidRPr="004635E5">
        <w:rPr>
          <w:rFonts w:eastAsiaTheme="minorEastAsia"/>
          <w:sz w:val="22"/>
          <w:szCs w:val="22"/>
          <w:lang w:val="en-NZ" w:eastAsia="ko-KR"/>
        </w:rPr>
        <w:t>agement</w:t>
      </w:r>
      <w:r w:rsidR="00B259B6" w:rsidRPr="004635E5">
        <w:rPr>
          <w:rFonts w:eastAsiaTheme="minorEastAsia"/>
          <w:sz w:val="22"/>
          <w:szCs w:val="22"/>
          <w:lang w:val="en-NZ" w:eastAsia="ko-KR"/>
        </w:rPr>
        <w:t xml:space="preserve"> objectives. </w:t>
      </w:r>
    </w:p>
    <w:p w14:paraId="5D2EF70F" w14:textId="77777777" w:rsidR="00A61B2B" w:rsidRPr="004635E5" w:rsidRDefault="00A61B2B" w:rsidP="006633A8">
      <w:pPr>
        <w:autoSpaceDE w:val="0"/>
        <w:autoSpaceDN w:val="0"/>
        <w:adjustRightInd w:val="0"/>
        <w:snapToGrid w:val="0"/>
        <w:jc w:val="both"/>
        <w:rPr>
          <w:rFonts w:eastAsiaTheme="minorEastAsia"/>
          <w:sz w:val="22"/>
          <w:szCs w:val="22"/>
          <w:lang w:val="en-NZ" w:eastAsia="ko-KR"/>
        </w:rPr>
      </w:pPr>
    </w:p>
    <w:p w14:paraId="6DC8E5F8" w14:textId="77777777" w:rsidR="00303BAE" w:rsidRPr="004635E5" w:rsidRDefault="009B7457"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The </w:t>
      </w:r>
      <w:r w:rsidR="002E39E9" w:rsidRPr="004635E5">
        <w:rPr>
          <w:rFonts w:eastAsiaTheme="minorEastAsia"/>
          <w:sz w:val="22"/>
          <w:szCs w:val="22"/>
          <w:lang w:val="en-NZ" w:eastAsia="ko-KR"/>
        </w:rPr>
        <w:t>theme convener</w:t>
      </w:r>
      <w:r w:rsidR="008E4BB3" w:rsidRPr="004635E5">
        <w:rPr>
          <w:rFonts w:eastAsiaTheme="minorEastAsia"/>
          <w:sz w:val="22"/>
          <w:szCs w:val="22"/>
          <w:lang w:val="en-NZ" w:eastAsia="ko-KR"/>
        </w:rPr>
        <w:t xml:space="preserve"> noted these </w:t>
      </w:r>
      <w:r w:rsidRPr="004635E5">
        <w:rPr>
          <w:rFonts w:eastAsiaTheme="minorEastAsia"/>
          <w:sz w:val="22"/>
          <w:szCs w:val="22"/>
          <w:lang w:val="en-NZ" w:eastAsia="ko-KR"/>
        </w:rPr>
        <w:t xml:space="preserve">were </w:t>
      </w:r>
      <w:r w:rsidR="00B259B6" w:rsidRPr="004635E5">
        <w:rPr>
          <w:rFonts w:eastAsiaTheme="minorEastAsia"/>
          <w:sz w:val="22"/>
          <w:szCs w:val="22"/>
          <w:lang w:val="en-NZ" w:eastAsia="ko-KR"/>
        </w:rPr>
        <w:t xml:space="preserve">not </w:t>
      </w:r>
      <w:r w:rsidR="00CD5663" w:rsidRPr="004635E5">
        <w:rPr>
          <w:rFonts w:eastAsiaTheme="minorEastAsia"/>
          <w:sz w:val="22"/>
          <w:szCs w:val="22"/>
          <w:lang w:val="en-NZ" w:eastAsia="ko-KR"/>
        </w:rPr>
        <w:t xml:space="preserve">the </w:t>
      </w:r>
      <w:r w:rsidR="00B259B6" w:rsidRPr="004635E5">
        <w:rPr>
          <w:rFonts w:eastAsiaTheme="minorEastAsia"/>
          <w:sz w:val="22"/>
          <w:szCs w:val="22"/>
          <w:lang w:val="en-NZ" w:eastAsia="ko-KR"/>
        </w:rPr>
        <w:t>only considerations to take into account</w:t>
      </w:r>
      <w:r w:rsidRPr="004635E5">
        <w:rPr>
          <w:rFonts w:eastAsiaTheme="minorEastAsia"/>
          <w:sz w:val="22"/>
          <w:szCs w:val="22"/>
          <w:lang w:val="en-NZ" w:eastAsia="ko-KR"/>
        </w:rPr>
        <w:t xml:space="preserve">, but rather </w:t>
      </w:r>
      <w:r w:rsidR="00B259B6" w:rsidRPr="004635E5">
        <w:rPr>
          <w:rFonts w:eastAsiaTheme="minorEastAsia"/>
          <w:sz w:val="22"/>
          <w:szCs w:val="22"/>
          <w:lang w:val="en-NZ" w:eastAsia="ko-KR"/>
        </w:rPr>
        <w:t xml:space="preserve">absolute minimums if the only objective is stock sustainability. </w:t>
      </w:r>
      <w:r w:rsidR="00270656" w:rsidRPr="004635E5">
        <w:rPr>
          <w:rFonts w:eastAsiaTheme="minorEastAsia"/>
          <w:sz w:val="22"/>
          <w:szCs w:val="22"/>
          <w:lang w:val="en-NZ" w:eastAsia="ko-KR"/>
        </w:rPr>
        <w:t>He also noted that t</w:t>
      </w:r>
      <w:r w:rsidR="00B259B6" w:rsidRPr="004635E5">
        <w:rPr>
          <w:rFonts w:eastAsiaTheme="minorEastAsia"/>
          <w:sz w:val="22"/>
          <w:szCs w:val="22"/>
          <w:lang w:val="en-NZ" w:eastAsia="ko-KR"/>
        </w:rPr>
        <w:t xml:space="preserve">he Commission has not </w:t>
      </w:r>
      <w:r w:rsidR="00270656" w:rsidRPr="004635E5">
        <w:rPr>
          <w:rFonts w:eastAsiaTheme="minorEastAsia"/>
          <w:sz w:val="22"/>
          <w:szCs w:val="22"/>
          <w:lang w:val="en-NZ" w:eastAsia="ko-KR"/>
        </w:rPr>
        <w:t xml:space="preserve">yet </w:t>
      </w:r>
      <w:r w:rsidR="00B259B6" w:rsidRPr="004635E5">
        <w:rPr>
          <w:rFonts w:eastAsiaTheme="minorEastAsia"/>
          <w:sz w:val="22"/>
          <w:szCs w:val="22"/>
          <w:lang w:val="en-NZ" w:eastAsia="ko-KR"/>
        </w:rPr>
        <w:t xml:space="preserve">defined an acceptable level of risk. </w:t>
      </w:r>
      <w:r w:rsidR="00270656" w:rsidRPr="004635E5">
        <w:rPr>
          <w:rFonts w:eastAsiaTheme="minorEastAsia"/>
          <w:sz w:val="22"/>
          <w:szCs w:val="22"/>
          <w:lang w:val="en-NZ" w:eastAsia="ko-KR"/>
        </w:rPr>
        <w:t xml:space="preserve">The </w:t>
      </w:r>
      <w:r w:rsidR="00B259B6" w:rsidRPr="004635E5">
        <w:rPr>
          <w:rFonts w:eastAsiaTheme="minorEastAsia"/>
          <w:sz w:val="22"/>
          <w:szCs w:val="22"/>
          <w:lang w:val="en-NZ" w:eastAsia="ko-KR"/>
        </w:rPr>
        <w:t>SC looks forward to feedback from the Commission so it can take other factors into account as well.</w:t>
      </w:r>
    </w:p>
    <w:p w14:paraId="4F2B4E08" w14:textId="77777777" w:rsidR="00A61B2B" w:rsidRPr="004635E5" w:rsidRDefault="00A61B2B" w:rsidP="006633A8">
      <w:pPr>
        <w:autoSpaceDE w:val="0"/>
        <w:autoSpaceDN w:val="0"/>
        <w:adjustRightInd w:val="0"/>
        <w:snapToGrid w:val="0"/>
        <w:jc w:val="both"/>
        <w:rPr>
          <w:rFonts w:eastAsiaTheme="minorEastAsia"/>
          <w:sz w:val="22"/>
          <w:szCs w:val="22"/>
          <w:lang w:val="en-NZ" w:eastAsia="ko-KR"/>
        </w:rPr>
      </w:pPr>
    </w:p>
    <w:p w14:paraId="4B5D7B52" w14:textId="77777777" w:rsidR="0004745E" w:rsidRPr="004635E5" w:rsidRDefault="00B259B6"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PNG</w:t>
      </w:r>
      <w:r w:rsidR="008E4BB3" w:rsidRPr="004635E5">
        <w:rPr>
          <w:rFonts w:eastAsiaTheme="minorEastAsia"/>
          <w:sz w:val="22"/>
          <w:szCs w:val="22"/>
          <w:lang w:val="en-NZ" w:eastAsia="ko-KR"/>
        </w:rPr>
        <w:t xml:space="preserve">, on behalf of PNA, </w:t>
      </w:r>
      <w:r w:rsidR="0004745E" w:rsidRPr="004635E5">
        <w:rPr>
          <w:rFonts w:eastAsiaTheme="minorEastAsia"/>
          <w:sz w:val="22"/>
          <w:szCs w:val="22"/>
          <w:lang w:val="en-NZ" w:eastAsia="ko-KR"/>
        </w:rPr>
        <w:t>note</w:t>
      </w:r>
      <w:r w:rsidR="008E4BB3" w:rsidRPr="004635E5">
        <w:rPr>
          <w:rFonts w:eastAsiaTheme="minorEastAsia"/>
          <w:sz w:val="22"/>
          <w:szCs w:val="22"/>
          <w:lang w:val="en-NZ" w:eastAsia="ko-KR"/>
        </w:rPr>
        <w:t>d</w:t>
      </w:r>
      <w:r w:rsidR="0004745E" w:rsidRPr="004635E5">
        <w:rPr>
          <w:rFonts w:eastAsiaTheme="minorEastAsia"/>
          <w:sz w:val="22"/>
          <w:szCs w:val="22"/>
          <w:lang w:val="en-NZ" w:eastAsia="ko-KR"/>
        </w:rPr>
        <w:t xml:space="preserve"> that the task before the Commission in 2018 with respect to yellowfin and bigeye is to agree on management objectives</w:t>
      </w:r>
      <w:r w:rsidR="00A16680" w:rsidRPr="004635E5">
        <w:rPr>
          <w:rFonts w:eastAsiaTheme="minorEastAsia"/>
          <w:sz w:val="22"/>
          <w:szCs w:val="22"/>
          <w:lang w:val="en-NZ" w:eastAsia="ko-KR"/>
        </w:rPr>
        <w:t xml:space="preserve">. </w:t>
      </w:r>
      <w:r w:rsidR="0004745E" w:rsidRPr="004635E5">
        <w:rPr>
          <w:rFonts w:eastAsiaTheme="minorEastAsia"/>
          <w:sz w:val="22"/>
          <w:szCs w:val="22"/>
          <w:lang w:val="en-NZ" w:eastAsia="ko-KR"/>
        </w:rPr>
        <w:t>This will inform discussions on target reference points for adoption in 2019</w:t>
      </w:r>
      <w:r w:rsidR="00A16680" w:rsidRPr="004635E5">
        <w:rPr>
          <w:rFonts w:eastAsiaTheme="minorEastAsia"/>
          <w:sz w:val="22"/>
          <w:szCs w:val="22"/>
          <w:lang w:val="en-NZ" w:eastAsia="ko-KR"/>
        </w:rPr>
        <w:t xml:space="preserve">. </w:t>
      </w:r>
      <w:r w:rsidR="0004745E" w:rsidRPr="004635E5">
        <w:rPr>
          <w:rFonts w:eastAsiaTheme="minorEastAsia"/>
          <w:sz w:val="22"/>
          <w:szCs w:val="22"/>
          <w:lang w:val="en-NZ" w:eastAsia="ko-KR"/>
        </w:rPr>
        <w:t xml:space="preserve">PNA </w:t>
      </w:r>
      <w:r w:rsidR="00270656" w:rsidRPr="004635E5">
        <w:rPr>
          <w:rFonts w:eastAsiaTheme="minorEastAsia"/>
          <w:sz w:val="22"/>
          <w:szCs w:val="22"/>
          <w:lang w:val="en-NZ" w:eastAsia="ko-KR"/>
        </w:rPr>
        <w:t>noted it</w:t>
      </w:r>
      <w:r w:rsidR="00602BAD">
        <w:rPr>
          <w:rFonts w:eastAsiaTheme="minorEastAsia"/>
          <w:sz w:val="22"/>
          <w:szCs w:val="22"/>
          <w:lang w:val="en-NZ" w:eastAsia="ko-KR"/>
        </w:rPr>
        <w:t>s</w:t>
      </w:r>
      <w:r w:rsidR="00270656" w:rsidRPr="004635E5">
        <w:rPr>
          <w:rFonts w:eastAsiaTheme="minorEastAsia"/>
          <w:sz w:val="22"/>
          <w:szCs w:val="22"/>
          <w:lang w:val="en-NZ" w:eastAsia="ko-KR"/>
        </w:rPr>
        <w:t xml:space="preserve"> members had </w:t>
      </w:r>
      <w:r w:rsidR="0004745E" w:rsidRPr="004635E5">
        <w:rPr>
          <w:rFonts w:eastAsiaTheme="minorEastAsia"/>
          <w:sz w:val="22"/>
          <w:szCs w:val="22"/>
          <w:lang w:val="en-NZ" w:eastAsia="ko-KR"/>
        </w:rPr>
        <w:t xml:space="preserve">reviewed the working paper </w:t>
      </w:r>
      <w:r w:rsidR="00812008">
        <w:rPr>
          <w:rFonts w:eastAsiaTheme="minorEastAsia" w:hint="eastAsia"/>
          <w:sz w:val="22"/>
          <w:szCs w:val="22"/>
          <w:lang w:val="en-NZ" w:eastAsia="ko-KR"/>
        </w:rPr>
        <w:t>which</w:t>
      </w:r>
      <w:r w:rsidR="00812008" w:rsidRPr="004635E5">
        <w:rPr>
          <w:rFonts w:eastAsiaTheme="minorEastAsia"/>
          <w:sz w:val="22"/>
          <w:szCs w:val="22"/>
          <w:lang w:val="en-NZ" w:eastAsia="ko-KR"/>
        </w:rPr>
        <w:t xml:space="preserve"> </w:t>
      </w:r>
      <w:r w:rsidR="0004745E" w:rsidRPr="004635E5">
        <w:rPr>
          <w:rFonts w:eastAsiaTheme="minorEastAsia"/>
          <w:sz w:val="22"/>
          <w:szCs w:val="22"/>
          <w:lang w:val="en-NZ" w:eastAsia="ko-KR"/>
        </w:rPr>
        <w:t xml:space="preserve">provides </w:t>
      </w:r>
      <w:r w:rsidR="00812008">
        <w:rPr>
          <w:rFonts w:eastAsiaTheme="minorEastAsia" w:hint="eastAsia"/>
          <w:sz w:val="22"/>
          <w:szCs w:val="22"/>
          <w:lang w:val="en-NZ" w:eastAsia="ko-KR"/>
        </w:rPr>
        <w:t xml:space="preserve">a </w:t>
      </w:r>
      <w:r w:rsidR="0004745E" w:rsidRPr="004635E5">
        <w:rPr>
          <w:rFonts w:eastAsiaTheme="minorEastAsia"/>
          <w:sz w:val="22"/>
          <w:szCs w:val="22"/>
          <w:lang w:val="en-NZ" w:eastAsia="ko-KR"/>
        </w:rPr>
        <w:t>good perspective on both objectives and TRPs</w:t>
      </w:r>
      <w:r w:rsidR="00270656" w:rsidRPr="004635E5">
        <w:rPr>
          <w:rFonts w:eastAsiaTheme="minorEastAsia"/>
          <w:sz w:val="22"/>
          <w:szCs w:val="22"/>
          <w:lang w:val="en-NZ" w:eastAsia="ko-KR"/>
        </w:rPr>
        <w:t>, and that d</w:t>
      </w:r>
      <w:r w:rsidR="0004745E" w:rsidRPr="004635E5">
        <w:rPr>
          <w:rFonts w:eastAsiaTheme="minorEastAsia"/>
          <w:sz w:val="22"/>
          <w:szCs w:val="22"/>
          <w:lang w:val="en-NZ" w:eastAsia="ko-KR"/>
        </w:rPr>
        <w:t xml:space="preserve">iscussing objectives and reference points for these stocks </w:t>
      </w:r>
      <w:r w:rsidR="00270656" w:rsidRPr="004635E5">
        <w:rPr>
          <w:rFonts w:eastAsiaTheme="minorEastAsia"/>
          <w:sz w:val="22"/>
          <w:szCs w:val="22"/>
          <w:lang w:val="en-NZ" w:eastAsia="ko-KR"/>
        </w:rPr>
        <w:t xml:space="preserve">was </w:t>
      </w:r>
      <w:r w:rsidR="0004745E" w:rsidRPr="004635E5">
        <w:rPr>
          <w:rFonts w:eastAsiaTheme="minorEastAsia"/>
          <w:sz w:val="22"/>
          <w:szCs w:val="22"/>
          <w:lang w:val="en-NZ" w:eastAsia="ko-KR"/>
        </w:rPr>
        <w:t xml:space="preserve">more complicated for PNA than similar discussions </w:t>
      </w:r>
      <w:r w:rsidR="00270656" w:rsidRPr="004635E5">
        <w:rPr>
          <w:rFonts w:eastAsiaTheme="minorEastAsia"/>
          <w:sz w:val="22"/>
          <w:szCs w:val="22"/>
          <w:lang w:val="en-NZ" w:eastAsia="ko-KR"/>
        </w:rPr>
        <w:t xml:space="preserve">held </w:t>
      </w:r>
      <w:r w:rsidR="0004745E" w:rsidRPr="004635E5">
        <w:rPr>
          <w:rFonts w:eastAsiaTheme="minorEastAsia"/>
          <w:sz w:val="22"/>
          <w:szCs w:val="22"/>
          <w:lang w:val="en-NZ" w:eastAsia="ko-KR"/>
        </w:rPr>
        <w:t>several years ago for skipjack. However, PNA members have developed the following draft objectives for the consideration of the Committee:</w:t>
      </w:r>
    </w:p>
    <w:p w14:paraId="5C50E0A3" w14:textId="77777777" w:rsidR="0004745E" w:rsidRPr="004635E5" w:rsidRDefault="0004745E" w:rsidP="00580EA4">
      <w:pPr>
        <w:numPr>
          <w:ilvl w:val="0"/>
          <w:numId w:val="27"/>
        </w:numPr>
        <w:autoSpaceDE w:val="0"/>
        <w:autoSpaceDN w:val="0"/>
        <w:adjustRightInd w:val="0"/>
        <w:snapToGrid w:val="0"/>
        <w:jc w:val="both"/>
        <w:rPr>
          <w:rFonts w:eastAsiaTheme="minorEastAsia"/>
          <w:sz w:val="22"/>
          <w:szCs w:val="22"/>
          <w:lang w:eastAsia="ko-KR"/>
        </w:rPr>
      </w:pPr>
      <w:r w:rsidRPr="004635E5">
        <w:rPr>
          <w:rFonts w:eastAsiaTheme="minorEastAsia"/>
          <w:sz w:val="22"/>
          <w:szCs w:val="22"/>
          <w:lang w:val="en-NZ" w:eastAsia="ko-KR"/>
        </w:rPr>
        <w:t>To maintain the stocks above levels where there is a very low risk of breaching the limit reference points consistent with the guidelines in the UN Fish Stocks Agreement; and</w:t>
      </w:r>
    </w:p>
    <w:p w14:paraId="25C6C3FA" w14:textId="77777777" w:rsidR="00303BAE" w:rsidRPr="004635E5" w:rsidRDefault="0004745E" w:rsidP="00580EA4">
      <w:pPr>
        <w:numPr>
          <w:ilvl w:val="0"/>
          <w:numId w:val="27"/>
        </w:numPr>
        <w:autoSpaceDE w:val="0"/>
        <w:autoSpaceDN w:val="0"/>
        <w:adjustRightInd w:val="0"/>
        <w:snapToGrid w:val="0"/>
        <w:jc w:val="both"/>
        <w:rPr>
          <w:rFonts w:eastAsiaTheme="minorEastAsia"/>
          <w:sz w:val="22"/>
          <w:szCs w:val="22"/>
          <w:lang w:eastAsia="ko-KR"/>
        </w:rPr>
      </w:pPr>
      <w:r w:rsidRPr="004635E5">
        <w:rPr>
          <w:rFonts w:eastAsiaTheme="minorEastAsia"/>
          <w:sz w:val="22"/>
          <w:szCs w:val="22"/>
          <w:lang w:val="en-NZ" w:eastAsia="ko-KR"/>
        </w:rPr>
        <w:t>To achieve modest increases to SB/SB</w:t>
      </w:r>
      <w:r w:rsidRPr="004635E5">
        <w:rPr>
          <w:rFonts w:eastAsiaTheme="minorEastAsia"/>
          <w:sz w:val="22"/>
          <w:szCs w:val="22"/>
          <w:vertAlign w:val="subscript"/>
          <w:lang w:val="en-NZ" w:eastAsia="ko-KR"/>
        </w:rPr>
        <w:t>F=0</w:t>
      </w:r>
      <w:r w:rsidRPr="004635E5">
        <w:rPr>
          <w:rFonts w:eastAsiaTheme="minorEastAsia"/>
          <w:sz w:val="22"/>
          <w:szCs w:val="22"/>
          <w:lang w:val="en-NZ" w:eastAsia="ko-KR"/>
        </w:rPr>
        <w:t> compared to recent levels in order to support ongoing economic management of the purse seine fishery and facilitate development opportunities for SIDS longline fisheries.</w:t>
      </w:r>
    </w:p>
    <w:p w14:paraId="555923D6" w14:textId="77777777" w:rsidR="00A2648C" w:rsidRPr="004635E5" w:rsidRDefault="0004745E" w:rsidP="006633A8">
      <w:pPr>
        <w:autoSpaceDE w:val="0"/>
        <w:autoSpaceDN w:val="0"/>
        <w:adjustRightInd w:val="0"/>
        <w:snapToGrid w:val="0"/>
        <w:jc w:val="both"/>
        <w:rPr>
          <w:rFonts w:eastAsiaTheme="minorEastAsia"/>
          <w:sz w:val="22"/>
          <w:szCs w:val="22"/>
          <w:lang w:val="en-NZ" w:eastAsia="ko-KR"/>
        </w:rPr>
      </w:pPr>
      <w:r w:rsidRPr="004635E5">
        <w:rPr>
          <w:rFonts w:eastAsiaTheme="minorEastAsia"/>
          <w:sz w:val="22"/>
          <w:szCs w:val="22"/>
          <w:lang w:val="en-NZ" w:eastAsia="ko-KR"/>
        </w:rPr>
        <w:t>Based on those proposed objectives and the information in the paper, PNA propose</w:t>
      </w:r>
      <w:r w:rsidR="00270656" w:rsidRPr="004635E5">
        <w:rPr>
          <w:rFonts w:eastAsiaTheme="minorEastAsia"/>
          <w:sz w:val="22"/>
          <w:szCs w:val="22"/>
          <w:lang w:val="en-NZ" w:eastAsia="ko-KR"/>
        </w:rPr>
        <w:t>d</w:t>
      </w:r>
      <w:r w:rsidRPr="004635E5">
        <w:rPr>
          <w:rFonts w:eastAsiaTheme="minorEastAsia"/>
          <w:sz w:val="22"/>
          <w:szCs w:val="22"/>
          <w:lang w:val="en-NZ" w:eastAsia="ko-KR"/>
        </w:rPr>
        <w:t xml:space="preserve"> a preliminary TRP of 36% of the spawning biomass in the absence of fishing</w:t>
      </w:r>
      <w:r w:rsidR="00A16680" w:rsidRPr="004635E5">
        <w:rPr>
          <w:rFonts w:eastAsiaTheme="minorEastAsia"/>
          <w:sz w:val="22"/>
          <w:szCs w:val="22"/>
          <w:lang w:val="en-NZ" w:eastAsia="ko-KR"/>
        </w:rPr>
        <w:t xml:space="preserve">. </w:t>
      </w:r>
      <w:r w:rsidRPr="004635E5">
        <w:rPr>
          <w:rFonts w:eastAsiaTheme="minorEastAsia"/>
          <w:sz w:val="22"/>
          <w:szCs w:val="22"/>
          <w:lang w:val="en-NZ" w:eastAsia="ko-KR"/>
        </w:rPr>
        <w:t xml:space="preserve">This </w:t>
      </w:r>
      <w:r w:rsidR="00270656" w:rsidRPr="004635E5">
        <w:rPr>
          <w:rFonts w:eastAsiaTheme="minorEastAsia"/>
          <w:sz w:val="22"/>
          <w:szCs w:val="22"/>
          <w:lang w:val="en-NZ" w:eastAsia="ko-KR"/>
        </w:rPr>
        <w:t>would allow</w:t>
      </w:r>
      <w:r w:rsidRPr="004635E5">
        <w:rPr>
          <w:rFonts w:eastAsiaTheme="minorEastAsia"/>
          <w:sz w:val="22"/>
          <w:szCs w:val="22"/>
          <w:lang w:val="en-NZ" w:eastAsia="ko-KR"/>
        </w:rPr>
        <w:t xml:space="preserve"> for a modest growt</w:t>
      </w:r>
      <w:r w:rsidR="00270656" w:rsidRPr="004635E5">
        <w:rPr>
          <w:rFonts w:eastAsiaTheme="minorEastAsia"/>
          <w:sz w:val="22"/>
          <w:szCs w:val="22"/>
          <w:lang w:val="en-NZ" w:eastAsia="ko-KR"/>
        </w:rPr>
        <w:t>h in catch or effort and ensure</w:t>
      </w:r>
      <w:r w:rsidRPr="004635E5">
        <w:rPr>
          <w:rFonts w:eastAsiaTheme="minorEastAsia"/>
          <w:sz w:val="22"/>
          <w:szCs w:val="22"/>
          <w:lang w:val="en-NZ" w:eastAsia="ko-KR"/>
        </w:rPr>
        <w:t xml:space="preserve"> </w:t>
      </w:r>
      <w:r w:rsidR="00270656" w:rsidRPr="004635E5">
        <w:rPr>
          <w:rFonts w:eastAsiaTheme="minorEastAsia"/>
          <w:sz w:val="22"/>
          <w:szCs w:val="22"/>
          <w:lang w:val="en-NZ" w:eastAsia="ko-KR"/>
        </w:rPr>
        <w:t xml:space="preserve">a </w:t>
      </w:r>
      <w:r w:rsidRPr="004635E5">
        <w:rPr>
          <w:rFonts w:eastAsiaTheme="minorEastAsia"/>
          <w:sz w:val="22"/>
          <w:szCs w:val="22"/>
          <w:lang w:val="en-NZ" w:eastAsia="ko-KR"/>
        </w:rPr>
        <w:t>very low probability of exceeding the LRP</w:t>
      </w:r>
      <w:r w:rsidR="00A16680" w:rsidRPr="004635E5">
        <w:rPr>
          <w:rFonts w:eastAsiaTheme="minorEastAsia"/>
          <w:sz w:val="22"/>
          <w:szCs w:val="22"/>
          <w:lang w:val="en-NZ" w:eastAsia="ko-KR"/>
        </w:rPr>
        <w:t xml:space="preserve">. </w:t>
      </w:r>
      <w:r w:rsidRPr="004635E5">
        <w:rPr>
          <w:rFonts w:eastAsiaTheme="minorEastAsia"/>
          <w:sz w:val="22"/>
          <w:szCs w:val="22"/>
          <w:lang w:val="en-NZ" w:eastAsia="ko-KR"/>
        </w:rPr>
        <w:t xml:space="preserve">Over time </w:t>
      </w:r>
      <w:r w:rsidR="00270656" w:rsidRPr="004635E5">
        <w:rPr>
          <w:rFonts w:eastAsiaTheme="minorEastAsia"/>
          <w:sz w:val="22"/>
          <w:szCs w:val="22"/>
          <w:lang w:val="en-NZ" w:eastAsia="ko-KR"/>
        </w:rPr>
        <w:t xml:space="preserve">PNA </w:t>
      </w:r>
      <w:r w:rsidRPr="004635E5">
        <w:rPr>
          <w:rFonts w:eastAsiaTheme="minorEastAsia"/>
          <w:sz w:val="22"/>
          <w:szCs w:val="22"/>
          <w:lang w:val="en-NZ" w:eastAsia="ko-KR"/>
        </w:rPr>
        <w:t>would appreciate additional advice from SPC as to the implications of managing the stock at that level in terms of catch, effort and catch rates.</w:t>
      </w:r>
      <w:r w:rsidR="00303BAE" w:rsidRPr="004635E5">
        <w:rPr>
          <w:rFonts w:eastAsiaTheme="minorEastAsia"/>
          <w:sz w:val="22"/>
          <w:szCs w:val="22"/>
          <w:lang w:val="en-NZ" w:eastAsia="ko-KR"/>
        </w:rPr>
        <w:t xml:space="preserve"> </w:t>
      </w:r>
      <w:r w:rsidR="00270656" w:rsidRPr="004635E5">
        <w:rPr>
          <w:rFonts w:eastAsiaTheme="minorEastAsia"/>
          <w:sz w:val="22"/>
          <w:szCs w:val="22"/>
          <w:lang w:val="en-NZ" w:eastAsia="ko-KR"/>
        </w:rPr>
        <w:t xml:space="preserve">They also </w:t>
      </w:r>
      <w:r w:rsidRPr="004635E5">
        <w:rPr>
          <w:rFonts w:eastAsiaTheme="minorEastAsia"/>
          <w:sz w:val="22"/>
          <w:szCs w:val="22"/>
          <w:lang w:val="en-NZ" w:eastAsia="ko-KR"/>
        </w:rPr>
        <w:t>look</w:t>
      </w:r>
      <w:r w:rsidR="00270656" w:rsidRPr="004635E5">
        <w:rPr>
          <w:rFonts w:eastAsiaTheme="minorEastAsia"/>
          <w:sz w:val="22"/>
          <w:szCs w:val="22"/>
          <w:lang w:val="en-NZ" w:eastAsia="ko-KR"/>
        </w:rPr>
        <w:t>ed</w:t>
      </w:r>
      <w:r w:rsidRPr="004635E5">
        <w:rPr>
          <w:rFonts w:eastAsiaTheme="minorEastAsia"/>
          <w:sz w:val="22"/>
          <w:szCs w:val="22"/>
          <w:lang w:val="en-NZ" w:eastAsia="ko-KR"/>
        </w:rPr>
        <w:t xml:space="preserve"> forward to feedback from other CCMs on </w:t>
      </w:r>
      <w:r w:rsidR="00270656" w:rsidRPr="004635E5">
        <w:rPr>
          <w:rFonts w:eastAsiaTheme="minorEastAsia"/>
          <w:sz w:val="22"/>
          <w:szCs w:val="22"/>
          <w:lang w:val="en-NZ" w:eastAsia="ko-KR"/>
        </w:rPr>
        <w:t xml:space="preserve">their </w:t>
      </w:r>
      <w:r w:rsidRPr="004635E5">
        <w:rPr>
          <w:rFonts w:eastAsiaTheme="minorEastAsia"/>
          <w:sz w:val="22"/>
          <w:szCs w:val="22"/>
          <w:lang w:val="en-NZ" w:eastAsia="ko-KR"/>
        </w:rPr>
        <w:t>suggestions and to receiving proposals from others.</w:t>
      </w:r>
    </w:p>
    <w:p w14:paraId="57C0B6A9"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172C5D25" w14:textId="77777777" w:rsidR="0004745E" w:rsidRPr="004635E5" w:rsidRDefault="00B259B6"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RMI</w:t>
      </w:r>
      <w:r w:rsidR="008E4BB3" w:rsidRPr="004635E5">
        <w:rPr>
          <w:rFonts w:eastAsiaTheme="minorEastAsia"/>
          <w:sz w:val="22"/>
          <w:szCs w:val="22"/>
          <w:lang w:val="en-NZ" w:eastAsia="ko-KR"/>
        </w:rPr>
        <w:t xml:space="preserve">, on behalf of </w:t>
      </w:r>
      <w:r w:rsidR="0004745E" w:rsidRPr="004635E5">
        <w:rPr>
          <w:rFonts w:eastAsiaTheme="minorEastAsia"/>
          <w:sz w:val="22"/>
          <w:szCs w:val="22"/>
          <w:lang w:val="en-NZ" w:eastAsia="ko-KR"/>
        </w:rPr>
        <w:t>PNA</w:t>
      </w:r>
      <w:r w:rsidR="008E4BB3" w:rsidRPr="004635E5">
        <w:rPr>
          <w:rFonts w:eastAsiaTheme="minorEastAsia"/>
          <w:sz w:val="22"/>
          <w:szCs w:val="22"/>
          <w:lang w:val="en-NZ" w:eastAsia="ko-KR"/>
        </w:rPr>
        <w:t>, stated they view</w:t>
      </w:r>
      <w:r w:rsidR="00270656" w:rsidRPr="004635E5">
        <w:rPr>
          <w:rFonts w:eastAsiaTheme="minorEastAsia"/>
          <w:sz w:val="22"/>
          <w:szCs w:val="22"/>
          <w:lang w:val="en-NZ" w:eastAsia="ko-KR"/>
        </w:rPr>
        <w:t>ed</w:t>
      </w:r>
      <w:r w:rsidR="0004745E" w:rsidRPr="004635E5">
        <w:rPr>
          <w:rFonts w:eastAsiaTheme="minorEastAsia"/>
          <w:sz w:val="22"/>
          <w:szCs w:val="22"/>
          <w:lang w:val="en-NZ" w:eastAsia="ko-KR"/>
        </w:rPr>
        <w:t xml:space="preserve"> management objectives and target reference points as economic decisions, </w:t>
      </w:r>
      <w:r w:rsidR="00270656" w:rsidRPr="004635E5">
        <w:rPr>
          <w:rFonts w:eastAsiaTheme="minorEastAsia"/>
          <w:sz w:val="22"/>
          <w:szCs w:val="22"/>
          <w:lang w:val="en-NZ" w:eastAsia="ko-KR"/>
        </w:rPr>
        <w:t>which could not be taken on a species-by-</w:t>
      </w:r>
      <w:r w:rsidR="0004745E" w:rsidRPr="004635E5">
        <w:rPr>
          <w:rFonts w:eastAsiaTheme="minorEastAsia"/>
          <w:sz w:val="22"/>
          <w:szCs w:val="22"/>
          <w:lang w:val="en-NZ" w:eastAsia="ko-KR"/>
        </w:rPr>
        <w:t xml:space="preserve">species basis in isolation. As PNG has outlined, the proposed objectives and yellowfin target reference point are based on </w:t>
      </w:r>
      <w:r w:rsidR="00270656" w:rsidRPr="004635E5">
        <w:rPr>
          <w:rFonts w:eastAsiaTheme="minorEastAsia"/>
          <w:sz w:val="22"/>
          <w:szCs w:val="22"/>
          <w:lang w:val="en-NZ" w:eastAsia="ko-KR"/>
        </w:rPr>
        <w:t xml:space="preserve">PNA’s </w:t>
      </w:r>
      <w:r w:rsidR="0004745E" w:rsidRPr="004635E5">
        <w:rPr>
          <w:rFonts w:eastAsiaTheme="minorEastAsia"/>
          <w:sz w:val="22"/>
          <w:szCs w:val="22"/>
          <w:lang w:val="en-NZ" w:eastAsia="ko-KR"/>
        </w:rPr>
        <w:t>economic objectives for tuna fisheries as a whole. To put this in context, the</w:t>
      </w:r>
      <w:r w:rsidR="00270656" w:rsidRPr="004635E5">
        <w:rPr>
          <w:rFonts w:eastAsiaTheme="minorEastAsia"/>
          <w:sz w:val="22"/>
          <w:szCs w:val="22"/>
          <w:lang w:val="en-NZ" w:eastAsia="ko-KR"/>
        </w:rPr>
        <w:t xml:space="preserve">y noted that the </w:t>
      </w:r>
      <w:r w:rsidR="0004745E" w:rsidRPr="004635E5">
        <w:rPr>
          <w:rFonts w:eastAsiaTheme="minorEastAsia"/>
          <w:sz w:val="22"/>
          <w:szCs w:val="22"/>
          <w:lang w:val="en-NZ" w:eastAsia="ko-KR"/>
        </w:rPr>
        <w:t xml:space="preserve">value of skipjack harvested in PNA waters is more than twice as high as the value of yellowfin. That doesn’t mean that yellowfin is not important, but it highlights the importance </w:t>
      </w:r>
      <w:r w:rsidR="00270656" w:rsidRPr="004635E5">
        <w:rPr>
          <w:rFonts w:eastAsiaTheme="minorEastAsia"/>
          <w:sz w:val="22"/>
          <w:szCs w:val="22"/>
          <w:lang w:val="en-NZ" w:eastAsia="ko-KR"/>
        </w:rPr>
        <w:t xml:space="preserve">they </w:t>
      </w:r>
      <w:r w:rsidR="0004745E" w:rsidRPr="004635E5">
        <w:rPr>
          <w:rFonts w:eastAsiaTheme="minorEastAsia"/>
          <w:sz w:val="22"/>
          <w:szCs w:val="22"/>
          <w:lang w:val="en-NZ" w:eastAsia="ko-KR"/>
        </w:rPr>
        <w:t>assign to optimising skipjack.</w:t>
      </w:r>
      <w:r w:rsidR="00303BAE" w:rsidRPr="004635E5">
        <w:rPr>
          <w:rFonts w:eastAsiaTheme="minorEastAsia"/>
          <w:sz w:val="22"/>
          <w:szCs w:val="22"/>
          <w:lang w:val="en-NZ" w:eastAsia="ko-KR"/>
        </w:rPr>
        <w:t xml:space="preserve"> </w:t>
      </w:r>
      <w:r w:rsidR="0004745E" w:rsidRPr="004635E5">
        <w:rPr>
          <w:rFonts w:eastAsiaTheme="minorEastAsia"/>
          <w:sz w:val="22"/>
          <w:szCs w:val="22"/>
          <w:lang w:val="en-NZ" w:eastAsia="ko-KR"/>
        </w:rPr>
        <w:t xml:space="preserve">The proposed objective and TRP both </w:t>
      </w:r>
      <w:r w:rsidR="00270656" w:rsidRPr="004635E5">
        <w:rPr>
          <w:rFonts w:eastAsiaTheme="minorEastAsia"/>
          <w:sz w:val="22"/>
          <w:szCs w:val="22"/>
          <w:lang w:val="en-NZ" w:eastAsia="ko-KR"/>
        </w:rPr>
        <w:t xml:space="preserve">need to </w:t>
      </w:r>
      <w:r w:rsidR="0004745E" w:rsidRPr="004635E5">
        <w:rPr>
          <w:rFonts w:eastAsiaTheme="minorEastAsia"/>
          <w:sz w:val="22"/>
          <w:szCs w:val="22"/>
          <w:lang w:val="en-NZ" w:eastAsia="ko-KR"/>
        </w:rPr>
        <w:t xml:space="preserve">ensure </w:t>
      </w:r>
      <w:r w:rsidR="00270656" w:rsidRPr="004635E5">
        <w:rPr>
          <w:rFonts w:eastAsiaTheme="minorEastAsia"/>
          <w:sz w:val="22"/>
          <w:szCs w:val="22"/>
          <w:lang w:val="en-NZ" w:eastAsia="ko-KR"/>
        </w:rPr>
        <w:t xml:space="preserve">a </w:t>
      </w:r>
      <w:r w:rsidR="0004745E" w:rsidRPr="004635E5">
        <w:rPr>
          <w:rFonts w:eastAsiaTheme="minorEastAsia"/>
          <w:sz w:val="22"/>
          <w:szCs w:val="22"/>
          <w:lang w:val="en-NZ" w:eastAsia="ko-KR"/>
        </w:rPr>
        <w:t xml:space="preserve">high </w:t>
      </w:r>
      <w:r w:rsidR="00270656" w:rsidRPr="004635E5">
        <w:rPr>
          <w:rFonts w:eastAsiaTheme="minorEastAsia"/>
          <w:sz w:val="22"/>
          <w:szCs w:val="22"/>
          <w:lang w:val="en-NZ" w:eastAsia="ko-KR"/>
        </w:rPr>
        <w:t>degree</w:t>
      </w:r>
      <w:r w:rsidR="0004745E" w:rsidRPr="004635E5">
        <w:rPr>
          <w:rFonts w:eastAsiaTheme="minorEastAsia"/>
          <w:sz w:val="22"/>
          <w:szCs w:val="22"/>
          <w:lang w:val="en-NZ" w:eastAsia="ko-KR"/>
        </w:rPr>
        <w:t xml:space="preserve"> of sustainability, with only a 5% chance of breaching the LRP</w:t>
      </w:r>
      <w:r w:rsidR="00270656" w:rsidRPr="004635E5">
        <w:rPr>
          <w:rFonts w:eastAsiaTheme="minorEastAsia"/>
          <w:sz w:val="22"/>
          <w:szCs w:val="22"/>
          <w:lang w:val="en-NZ" w:eastAsia="ko-KR"/>
        </w:rPr>
        <w:t>;</w:t>
      </w:r>
      <w:r w:rsidR="0004745E" w:rsidRPr="004635E5">
        <w:rPr>
          <w:rFonts w:eastAsiaTheme="minorEastAsia"/>
          <w:sz w:val="22"/>
          <w:szCs w:val="22"/>
          <w:lang w:val="en-NZ" w:eastAsia="ko-KR"/>
        </w:rPr>
        <w:t xml:space="preserve"> </w:t>
      </w:r>
      <w:r w:rsidR="00270656" w:rsidRPr="004635E5">
        <w:rPr>
          <w:rFonts w:eastAsiaTheme="minorEastAsia"/>
          <w:sz w:val="22"/>
          <w:szCs w:val="22"/>
          <w:lang w:val="en-NZ" w:eastAsia="ko-KR"/>
        </w:rPr>
        <w:t xml:space="preserve">should </w:t>
      </w:r>
      <w:r w:rsidR="0004745E" w:rsidRPr="004635E5">
        <w:rPr>
          <w:rFonts w:eastAsiaTheme="minorEastAsia"/>
          <w:sz w:val="22"/>
          <w:szCs w:val="22"/>
          <w:lang w:val="en-NZ" w:eastAsia="ko-KR"/>
        </w:rPr>
        <w:t>allow for rebuilding of the stock above current levels</w:t>
      </w:r>
      <w:r w:rsidR="00270656" w:rsidRPr="004635E5">
        <w:rPr>
          <w:rFonts w:eastAsiaTheme="minorEastAsia"/>
          <w:sz w:val="22"/>
          <w:szCs w:val="22"/>
          <w:lang w:val="en-NZ" w:eastAsia="ko-KR"/>
        </w:rPr>
        <w:t>; create</w:t>
      </w:r>
      <w:r w:rsidR="0004745E" w:rsidRPr="004635E5">
        <w:rPr>
          <w:rFonts w:eastAsiaTheme="minorEastAsia"/>
          <w:sz w:val="22"/>
          <w:szCs w:val="22"/>
          <w:lang w:val="en-NZ" w:eastAsia="ko-KR"/>
        </w:rPr>
        <w:t xml:space="preserve"> </w:t>
      </w:r>
      <w:r w:rsidR="00270656" w:rsidRPr="004635E5">
        <w:rPr>
          <w:rFonts w:eastAsiaTheme="minorEastAsia"/>
          <w:sz w:val="22"/>
          <w:szCs w:val="22"/>
          <w:lang w:val="en-NZ" w:eastAsia="ko-KR"/>
        </w:rPr>
        <w:t xml:space="preserve">better </w:t>
      </w:r>
      <w:r w:rsidR="0004745E" w:rsidRPr="004635E5">
        <w:rPr>
          <w:rFonts w:eastAsiaTheme="minorEastAsia"/>
          <w:sz w:val="22"/>
          <w:szCs w:val="22"/>
          <w:lang w:val="en-NZ" w:eastAsia="ko-KR"/>
        </w:rPr>
        <w:t>economic fishing conditions for yellowfin harvest, including in the longline fishery</w:t>
      </w:r>
      <w:r w:rsidR="00270656" w:rsidRPr="004635E5">
        <w:rPr>
          <w:rFonts w:eastAsiaTheme="minorEastAsia"/>
          <w:sz w:val="22"/>
          <w:szCs w:val="22"/>
          <w:lang w:val="en-NZ" w:eastAsia="ko-KR"/>
        </w:rPr>
        <w:t>;</w:t>
      </w:r>
      <w:r w:rsidR="0004745E" w:rsidRPr="004635E5">
        <w:rPr>
          <w:rFonts w:eastAsiaTheme="minorEastAsia"/>
          <w:sz w:val="22"/>
          <w:szCs w:val="22"/>
          <w:lang w:val="en-NZ" w:eastAsia="ko-KR"/>
        </w:rPr>
        <w:t xml:space="preserve"> </w:t>
      </w:r>
      <w:r w:rsidR="00270656" w:rsidRPr="004635E5">
        <w:rPr>
          <w:rFonts w:eastAsiaTheme="minorEastAsia"/>
          <w:sz w:val="22"/>
          <w:szCs w:val="22"/>
          <w:lang w:val="en-NZ" w:eastAsia="ko-KR"/>
        </w:rPr>
        <w:t>and avoid</w:t>
      </w:r>
      <w:r w:rsidR="0004745E" w:rsidRPr="004635E5">
        <w:rPr>
          <w:rFonts w:eastAsiaTheme="minorEastAsia"/>
          <w:sz w:val="22"/>
          <w:szCs w:val="22"/>
          <w:lang w:val="en-NZ" w:eastAsia="ko-KR"/>
        </w:rPr>
        <w:t xml:space="preserve"> </w:t>
      </w:r>
      <w:r w:rsidR="00812008">
        <w:rPr>
          <w:rFonts w:eastAsiaTheme="minorEastAsia" w:hint="eastAsia"/>
          <w:sz w:val="22"/>
          <w:szCs w:val="22"/>
          <w:lang w:val="en-NZ" w:eastAsia="ko-KR"/>
        </w:rPr>
        <w:t xml:space="preserve">placing </w:t>
      </w:r>
      <w:r w:rsidR="0004745E" w:rsidRPr="004635E5">
        <w:rPr>
          <w:rFonts w:eastAsiaTheme="minorEastAsia"/>
          <w:sz w:val="22"/>
          <w:szCs w:val="22"/>
          <w:lang w:val="en-NZ" w:eastAsia="ko-KR"/>
        </w:rPr>
        <w:t xml:space="preserve">undue constraint on </w:t>
      </w:r>
      <w:r w:rsidR="00270656" w:rsidRPr="004635E5">
        <w:rPr>
          <w:rFonts w:eastAsiaTheme="minorEastAsia"/>
          <w:sz w:val="22"/>
          <w:szCs w:val="22"/>
          <w:lang w:val="en-NZ" w:eastAsia="ko-KR"/>
        </w:rPr>
        <w:t xml:space="preserve">the </w:t>
      </w:r>
      <w:r w:rsidR="0004745E" w:rsidRPr="004635E5">
        <w:rPr>
          <w:rFonts w:eastAsiaTheme="minorEastAsia"/>
          <w:sz w:val="22"/>
          <w:szCs w:val="22"/>
          <w:lang w:val="en-NZ" w:eastAsia="ko-KR"/>
        </w:rPr>
        <w:t>skipjack harvest.</w:t>
      </w:r>
    </w:p>
    <w:p w14:paraId="1BFE0F90"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7CA7C6D9" w14:textId="77777777" w:rsidR="00B259B6" w:rsidRPr="004635E5" w:rsidRDefault="00270656"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The </w:t>
      </w:r>
      <w:r w:rsidR="00303BAE" w:rsidRPr="004635E5">
        <w:rPr>
          <w:rFonts w:eastAsiaTheme="minorEastAsia"/>
          <w:sz w:val="22"/>
          <w:szCs w:val="22"/>
          <w:lang w:val="en-NZ" w:eastAsia="ko-KR"/>
        </w:rPr>
        <w:t>USA</w:t>
      </w:r>
      <w:r w:rsidR="000628F1" w:rsidRPr="004635E5">
        <w:rPr>
          <w:rFonts w:eastAsiaTheme="minorEastAsia"/>
          <w:sz w:val="22"/>
          <w:szCs w:val="22"/>
          <w:lang w:val="en-NZ" w:eastAsia="ko-KR"/>
        </w:rPr>
        <w:t xml:space="preserve"> noted </w:t>
      </w:r>
      <w:r w:rsidRPr="004635E5">
        <w:rPr>
          <w:rFonts w:eastAsiaTheme="minorEastAsia"/>
          <w:sz w:val="22"/>
          <w:szCs w:val="22"/>
          <w:lang w:val="en-NZ" w:eastAsia="ko-KR"/>
        </w:rPr>
        <w:t xml:space="preserve">that </w:t>
      </w:r>
      <w:r w:rsidR="008E4BB3" w:rsidRPr="004635E5">
        <w:rPr>
          <w:rFonts w:eastAsiaTheme="minorEastAsia"/>
          <w:sz w:val="22"/>
          <w:szCs w:val="22"/>
          <w:lang w:val="en-NZ" w:eastAsia="ko-KR"/>
        </w:rPr>
        <w:t>a</w:t>
      </w:r>
      <w:r w:rsidR="00CD5663" w:rsidRPr="004635E5">
        <w:rPr>
          <w:rFonts w:eastAsiaTheme="minorEastAsia"/>
          <w:sz w:val="22"/>
          <w:szCs w:val="22"/>
          <w:lang w:val="en-NZ" w:eastAsia="ko-KR"/>
        </w:rPr>
        <w:t xml:space="preserve">ctual TRP </w:t>
      </w:r>
      <w:r w:rsidRPr="004635E5">
        <w:rPr>
          <w:rFonts w:eastAsiaTheme="minorEastAsia"/>
          <w:sz w:val="22"/>
          <w:szCs w:val="22"/>
          <w:lang w:val="en-NZ" w:eastAsia="ko-KR"/>
        </w:rPr>
        <w:t>should be higher than</w:t>
      </w:r>
      <w:r w:rsidR="00812008">
        <w:rPr>
          <w:rFonts w:eastAsiaTheme="minorEastAsia" w:hint="eastAsia"/>
          <w:sz w:val="22"/>
          <w:szCs w:val="22"/>
          <w:lang w:val="en-NZ" w:eastAsia="ko-KR"/>
        </w:rPr>
        <w:t xml:space="preserve"> the</w:t>
      </w:r>
      <w:r w:rsidRPr="004635E5">
        <w:rPr>
          <w:rFonts w:eastAsiaTheme="minorEastAsia"/>
          <w:sz w:val="22"/>
          <w:szCs w:val="22"/>
          <w:lang w:val="en-NZ" w:eastAsia="ko-KR"/>
        </w:rPr>
        <w:t xml:space="preserve"> limiting TRP</w:t>
      </w:r>
      <w:r w:rsidR="008E4BB3" w:rsidRPr="004635E5">
        <w:rPr>
          <w:rFonts w:eastAsiaTheme="minorEastAsia"/>
          <w:sz w:val="22"/>
          <w:szCs w:val="22"/>
          <w:lang w:val="en-NZ" w:eastAsia="ko-KR"/>
        </w:rPr>
        <w:t xml:space="preserve">; </w:t>
      </w:r>
      <w:r w:rsidRPr="004635E5">
        <w:rPr>
          <w:rFonts w:eastAsiaTheme="minorEastAsia"/>
          <w:sz w:val="22"/>
          <w:szCs w:val="22"/>
          <w:lang w:eastAsia="ko-KR"/>
        </w:rPr>
        <w:t xml:space="preserve">and noted the </w:t>
      </w:r>
      <w:r w:rsidRPr="004635E5">
        <w:rPr>
          <w:rFonts w:eastAsiaTheme="minorEastAsia"/>
          <w:sz w:val="22"/>
          <w:szCs w:val="22"/>
          <w:lang w:val="en-NZ" w:eastAsia="ko-KR"/>
        </w:rPr>
        <w:t>various risk levels associated with breaching the LRP</w:t>
      </w:r>
      <w:r w:rsidRPr="004635E5">
        <w:rPr>
          <w:rFonts w:eastAsiaTheme="minorEastAsia"/>
          <w:sz w:val="22"/>
          <w:szCs w:val="22"/>
          <w:lang w:eastAsia="ko-KR"/>
        </w:rPr>
        <w:t>. The example TRPs noted in the working paper should be seen as just a minimum we could use as a trigger or warning so we don’t breach the LRP.</w:t>
      </w:r>
    </w:p>
    <w:p w14:paraId="4B84743C"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336BEFF3" w14:textId="77777777" w:rsidR="0027474A" w:rsidRPr="004635E5" w:rsidRDefault="000628F1"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The </w:t>
      </w:r>
      <w:r w:rsidR="00CD5663" w:rsidRPr="004635E5">
        <w:rPr>
          <w:rFonts w:eastAsiaTheme="minorEastAsia"/>
          <w:sz w:val="22"/>
          <w:szCs w:val="22"/>
          <w:lang w:val="en-NZ" w:eastAsia="ko-KR"/>
        </w:rPr>
        <w:t>EU stress</w:t>
      </w:r>
      <w:r w:rsidRPr="004635E5">
        <w:rPr>
          <w:rFonts w:eastAsiaTheme="minorEastAsia"/>
          <w:sz w:val="22"/>
          <w:szCs w:val="22"/>
          <w:lang w:val="en-NZ" w:eastAsia="ko-KR"/>
        </w:rPr>
        <w:t>ed</w:t>
      </w:r>
      <w:r w:rsidR="00CD5663" w:rsidRPr="004635E5">
        <w:rPr>
          <w:rFonts w:eastAsiaTheme="minorEastAsia"/>
          <w:sz w:val="22"/>
          <w:szCs w:val="22"/>
          <w:lang w:val="en-NZ" w:eastAsia="ko-KR"/>
        </w:rPr>
        <w:t xml:space="preserve"> </w:t>
      </w:r>
      <w:r w:rsidRPr="004635E5">
        <w:rPr>
          <w:rFonts w:eastAsiaTheme="minorEastAsia"/>
          <w:sz w:val="22"/>
          <w:szCs w:val="22"/>
          <w:lang w:val="en-NZ" w:eastAsia="ko-KR"/>
        </w:rPr>
        <w:t xml:space="preserve">the </w:t>
      </w:r>
      <w:r w:rsidR="00CD5663" w:rsidRPr="004635E5">
        <w:rPr>
          <w:rFonts w:eastAsiaTheme="minorEastAsia"/>
          <w:sz w:val="22"/>
          <w:szCs w:val="22"/>
          <w:lang w:val="en-NZ" w:eastAsia="ko-KR"/>
        </w:rPr>
        <w:t>need to work to</w:t>
      </w:r>
      <w:r w:rsidR="00270656" w:rsidRPr="004635E5">
        <w:rPr>
          <w:rFonts w:eastAsiaTheme="minorEastAsia"/>
          <w:sz w:val="22"/>
          <w:szCs w:val="22"/>
          <w:lang w:val="en-NZ" w:eastAsia="ko-KR"/>
        </w:rPr>
        <w:t>wards</w:t>
      </w:r>
      <w:r w:rsidR="00CD5663" w:rsidRPr="004635E5">
        <w:rPr>
          <w:rFonts w:eastAsiaTheme="minorEastAsia"/>
          <w:sz w:val="22"/>
          <w:szCs w:val="22"/>
          <w:lang w:val="en-NZ" w:eastAsia="ko-KR"/>
        </w:rPr>
        <w:t xml:space="preserve"> a better </w:t>
      </w:r>
      <w:r w:rsidR="00303BAE" w:rsidRPr="004635E5">
        <w:rPr>
          <w:rFonts w:eastAsiaTheme="minorEastAsia"/>
          <w:sz w:val="22"/>
          <w:szCs w:val="22"/>
          <w:lang w:val="en-NZ" w:eastAsia="ko-KR"/>
        </w:rPr>
        <w:t>understanding</w:t>
      </w:r>
      <w:r w:rsidR="00CD5663" w:rsidRPr="004635E5">
        <w:rPr>
          <w:rFonts w:eastAsiaTheme="minorEastAsia"/>
          <w:sz w:val="22"/>
          <w:szCs w:val="22"/>
          <w:lang w:val="en-NZ" w:eastAsia="ko-KR"/>
        </w:rPr>
        <w:t xml:space="preserve"> of basic concepts. </w:t>
      </w:r>
      <w:r w:rsidRPr="004635E5">
        <w:rPr>
          <w:rFonts w:eastAsiaTheme="minorEastAsia"/>
          <w:sz w:val="22"/>
          <w:szCs w:val="22"/>
          <w:lang w:val="en-NZ" w:eastAsia="ko-KR"/>
        </w:rPr>
        <w:t>U</w:t>
      </w:r>
      <w:r w:rsidR="00CD5663" w:rsidRPr="004635E5">
        <w:rPr>
          <w:rFonts w:eastAsiaTheme="minorEastAsia"/>
          <w:sz w:val="22"/>
          <w:szCs w:val="22"/>
          <w:lang w:val="en-NZ" w:eastAsia="ko-KR"/>
        </w:rPr>
        <w:t xml:space="preserve">nder any of the TRPs proposed, </w:t>
      </w:r>
      <w:r w:rsidR="00270656" w:rsidRPr="004635E5">
        <w:rPr>
          <w:rFonts w:eastAsiaTheme="minorEastAsia"/>
          <w:sz w:val="22"/>
          <w:szCs w:val="22"/>
          <w:lang w:val="en-NZ" w:eastAsia="ko-KR"/>
        </w:rPr>
        <w:t xml:space="preserve">they queried whether </w:t>
      </w:r>
      <w:r w:rsidRPr="004635E5">
        <w:rPr>
          <w:rFonts w:eastAsiaTheme="minorEastAsia"/>
          <w:sz w:val="22"/>
          <w:szCs w:val="22"/>
          <w:lang w:val="en-NZ" w:eastAsia="ko-KR"/>
        </w:rPr>
        <w:t xml:space="preserve">it </w:t>
      </w:r>
      <w:r w:rsidR="00CD5663" w:rsidRPr="004635E5">
        <w:rPr>
          <w:rFonts w:eastAsiaTheme="minorEastAsia"/>
          <w:sz w:val="22"/>
          <w:szCs w:val="22"/>
          <w:lang w:val="en-NZ" w:eastAsia="ko-KR"/>
        </w:rPr>
        <w:t>would be nec</w:t>
      </w:r>
      <w:r w:rsidR="00303BAE" w:rsidRPr="004635E5">
        <w:rPr>
          <w:rFonts w:eastAsiaTheme="minorEastAsia"/>
          <w:sz w:val="22"/>
          <w:szCs w:val="22"/>
          <w:lang w:val="en-NZ" w:eastAsia="ko-KR"/>
        </w:rPr>
        <w:t>essary</w:t>
      </w:r>
      <w:r w:rsidR="00CD5663" w:rsidRPr="004635E5">
        <w:rPr>
          <w:rFonts w:eastAsiaTheme="minorEastAsia"/>
          <w:sz w:val="22"/>
          <w:szCs w:val="22"/>
          <w:lang w:val="en-NZ" w:eastAsia="ko-KR"/>
        </w:rPr>
        <w:t xml:space="preserve"> to redu</w:t>
      </w:r>
      <w:r w:rsidR="00303BAE" w:rsidRPr="004635E5">
        <w:rPr>
          <w:rFonts w:eastAsiaTheme="minorEastAsia"/>
          <w:sz w:val="22"/>
          <w:szCs w:val="22"/>
          <w:lang w:val="en-NZ" w:eastAsia="ko-KR"/>
        </w:rPr>
        <w:t>c</w:t>
      </w:r>
      <w:r w:rsidR="00CD5663" w:rsidRPr="004635E5">
        <w:rPr>
          <w:rFonts w:eastAsiaTheme="minorEastAsia"/>
          <w:sz w:val="22"/>
          <w:szCs w:val="22"/>
          <w:lang w:val="en-NZ" w:eastAsia="ko-KR"/>
        </w:rPr>
        <w:t xml:space="preserve">e fishing mortality, </w:t>
      </w:r>
      <w:r w:rsidR="00270656" w:rsidRPr="004635E5">
        <w:rPr>
          <w:rFonts w:eastAsiaTheme="minorEastAsia"/>
          <w:sz w:val="22"/>
          <w:szCs w:val="22"/>
          <w:lang w:val="en-NZ" w:eastAsia="ko-KR"/>
        </w:rPr>
        <w:t xml:space="preserve">noting that the </w:t>
      </w:r>
      <w:r w:rsidR="00656FD8" w:rsidRPr="004635E5">
        <w:rPr>
          <w:rFonts w:eastAsiaTheme="minorEastAsia"/>
          <w:sz w:val="22"/>
          <w:szCs w:val="22"/>
          <w:lang w:val="en-NZ" w:eastAsia="ko-KR"/>
        </w:rPr>
        <w:t>yellowfin</w:t>
      </w:r>
      <w:r w:rsidR="00270656" w:rsidRPr="004635E5">
        <w:rPr>
          <w:rFonts w:eastAsiaTheme="minorEastAsia"/>
          <w:sz w:val="22"/>
          <w:szCs w:val="22"/>
          <w:lang w:val="en-NZ" w:eastAsia="ko-KR"/>
        </w:rPr>
        <w:t xml:space="preserve"> </w:t>
      </w:r>
      <w:r w:rsidR="00303BAE" w:rsidRPr="004635E5">
        <w:rPr>
          <w:rFonts w:eastAsiaTheme="minorEastAsia"/>
          <w:sz w:val="22"/>
          <w:szCs w:val="22"/>
          <w:lang w:val="en-NZ" w:eastAsia="ko-KR"/>
        </w:rPr>
        <w:t xml:space="preserve">stock </w:t>
      </w:r>
      <w:r w:rsidR="00270656" w:rsidRPr="004635E5">
        <w:rPr>
          <w:rFonts w:eastAsiaTheme="minorEastAsia"/>
          <w:sz w:val="22"/>
          <w:szCs w:val="22"/>
          <w:lang w:val="en-NZ" w:eastAsia="ko-KR"/>
        </w:rPr>
        <w:t xml:space="preserve">was </w:t>
      </w:r>
      <w:r w:rsidR="00303BAE" w:rsidRPr="004635E5">
        <w:rPr>
          <w:rFonts w:eastAsiaTheme="minorEastAsia"/>
          <w:sz w:val="22"/>
          <w:szCs w:val="22"/>
          <w:lang w:val="en-NZ" w:eastAsia="ko-KR"/>
        </w:rPr>
        <w:t xml:space="preserve">considered to be at a safe </w:t>
      </w:r>
      <w:r w:rsidR="00CD5663" w:rsidRPr="004635E5">
        <w:rPr>
          <w:rFonts w:eastAsiaTheme="minorEastAsia"/>
          <w:sz w:val="22"/>
          <w:szCs w:val="22"/>
          <w:lang w:val="en-NZ" w:eastAsia="ko-KR"/>
        </w:rPr>
        <w:t>level</w:t>
      </w:r>
      <w:r w:rsidR="00303BAE" w:rsidRPr="004635E5">
        <w:rPr>
          <w:rFonts w:eastAsiaTheme="minorEastAsia"/>
          <w:sz w:val="22"/>
          <w:szCs w:val="22"/>
          <w:lang w:val="en-NZ" w:eastAsia="ko-KR"/>
        </w:rPr>
        <w:t xml:space="preserve"> biologically</w:t>
      </w:r>
      <w:r w:rsidR="00CD5663" w:rsidRPr="004635E5">
        <w:rPr>
          <w:rFonts w:eastAsiaTheme="minorEastAsia"/>
          <w:sz w:val="22"/>
          <w:szCs w:val="22"/>
          <w:lang w:val="en-NZ" w:eastAsia="ko-KR"/>
        </w:rPr>
        <w:t xml:space="preserve">. </w:t>
      </w:r>
      <w:r w:rsidR="00270656" w:rsidRPr="004635E5">
        <w:rPr>
          <w:rFonts w:eastAsiaTheme="minorEastAsia"/>
          <w:sz w:val="22"/>
          <w:szCs w:val="22"/>
          <w:lang w:val="en-NZ" w:eastAsia="ko-KR"/>
        </w:rPr>
        <w:t>They stated that i</w:t>
      </w:r>
      <w:r w:rsidR="00602BAD">
        <w:rPr>
          <w:rFonts w:eastAsiaTheme="minorEastAsia"/>
          <w:sz w:val="22"/>
          <w:szCs w:val="22"/>
          <w:lang w:val="en-NZ" w:eastAsia="ko-KR"/>
        </w:rPr>
        <w:t>f</w:t>
      </w:r>
      <w:r w:rsidR="00270656" w:rsidRPr="004635E5">
        <w:rPr>
          <w:rFonts w:eastAsiaTheme="minorEastAsia"/>
          <w:sz w:val="22"/>
          <w:szCs w:val="22"/>
          <w:lang w:val="en-NZ" w:eastAsia="ko-KR"/>
        </w:rPr>
        <w:t xml:space="preserve"> this was </w:t>
      </w:r>
      <w:r w:rsidR="00303BAE" w:rsidRPr="004635E5">
        <w:rPr>
          <w:rFonts w:eastAsiaTheme="minorEastAsia"/>
          <w:sz w:val="22"/>
          <w:szCs w:val="22"/>
          <w:lang w:val="en-NZ" w:eastAsia="ko-KR"/>
        </w:rPr>
        <w:t>correct</w:t>
      </w:r>
      <w:r w:rsidR="00270656" w:rsidRPr="004635E5">
        <w:rPr>
          <w:rFonts w:eastAsiaTheme="minorEastAsia"/>
          <w:sz w:val="22"/>
          <w:szCs w:val="22"/>
          <w:lang w:val="en-NZ" w:eastAsia="ko-KR"/>
        </w:rPr>
        <w:t>,</w:t>
      </w:r>
      <w:r w:rsidR="00303BAE" w:rsidRPr="004635E5">
        <w:rPr>
          <w:rFonts w:eastAsiaTheme="minorEastAsia"/>
          <w:sz w:val="22"/>
          <w:szCs w:val="22"/>
          <w:lang w:val="en-NZ" w:eastAsia="ko-KR"/>
        </w:rPr>
        <w:t xml:space="preserve"> it should be brought to the attention of the Comm</w:t>
      </w:r>
      <w:r w:rsidRPr="004635E5">
        <w:rPr>
          <w:rFonts w:eastAsiaTheme="minorEastAsia"/>
          <w:sz w:val="22"/>
          <w:szCs w:val="22"/>
          <w:lang w:val="en-NZ" w:eastAsia="ko-KR"/>
        </w:rPr>
        <w:t>ission</w:t>
      </w:r>
      <w:r w:rsidR="00303BAE" w:rsidRPr="004635E5">
        <w:rPr>
          <w:rFonts w:eastAsiaTheme="minorEastAsia"/>
          <w:sz w:val="22"/>
          <w:szCs w:val="22"/>
          <w:lang w:val="en-NZ" w:eastAsia="ko-KR"/>
        </w:rPr>
        <w:t xml:space="preserve">. </w:t>
      </w:r>
      <w:r w:rsidR="00270656" w:rsidRPr="004635E5">
        <w:rPr>
          <w:rFonts w:eastAsiaTheme="minorEastAsia"/>
          <w:sz w:val="22"/>
          <w:szCs w:val="22"/>
          <w:lang w:val="en-NZ" w:eastAsia="ko-KR"/>
        </w:rPr>
        <w:t xml:space="preserve">Y. Takeuchi </w:t>
      </w:r>
      <w:r w:rsidRPr="004635E5">
        <w:rPr>
          <w:rFonts w:eastAsiaTheme="minorEastAsia"/>
          <w:sz w:val="22"/>
          <w:szCs w:val="22"/>
          <w:lang w:val="en-NZ" w:eastAsia="ko-KR"/>
        </w:rPr>
        <w:t>noted the difficulty in relating</w:t>
      </w:r>
      <w:r w:rsidR="00CD5663" w:rsidRPr="004635E5">
        <w:rPr>
          <w:rFonts w:eastAsiaTheme="minorEastAsia"/>
          <w:sz w:val="22"/>
          <w:szCs w:val="22"/>
          <w:lang w:val="en-NZ" w:eastAsia="ko-KR"/>
        </w:rPr>
        <w:t xml:space="preserve"> </w:t>
      </w:r>
      <w:r w:rsidRPr="004635E5">
        <w:rPr>
          <w:rFonts w:eastAsiaTheme="minorEastAsia"/>
          <w:sz w:val="22"/>
          <w:szCs w:val="22"/>
          <w:lang w:val="en-NZ" w:eastAsia="ko-KR"/>
        </w:rPr>
        <w:t xml:space="preserve">the calculation </w:t>
      </w:r>
      <w:r w:rsidR="00CD5663" w:rsidRPr="004635E5">
        <w:rPr>
          <w:rFonts w:eastAsiaTheme="minorEastAsia"/>
          <w:sz w:val="22"/>
          <w:szCs w:val="22"/>
          <w:lang w:val="en-NZ" w:eastAsia="ko-KR"/>
        </w:rPr>
        <w:t xml:space="preserve">to future status that needs to be defined for </w:t>
      </w:r>
      <w:r w:rsidR="00692A30" w:rsidRPr="004635E5">
        <w:rPr>
          <w:rFonts w:eastAsiaTheme="minorEastAsia"/>
          <w:sz w:val="22"/>
          <w:szCs w:val="22"/>
          <w:lang w:val="en-NZ" w:eastAsia="ko-KR"/>
        </w:rPr>
        <w:t xml:space="preserve">the </w:t>
      </w:r>
      <w:r w:rsidR="00CD5663" w:rsidRPr="004635E5">
        <w:rPr>
          <w:rFonts w:eastAsiaTheme="minorEastAsia"/>
          <w:sz w:val="22"/>
          <w:szCs w:val="22"/>
          <w:lang w:val="en-NZ" w:eastAsia="ko-KR"/>
        </w:rPr>
        <w:t>TRP. Future catch can be defined</w:t>
      </w:r>
      <w:r w:rsidR="00692A30" w:rsidRPr="004635E5">
        <w:rPr>
          <w:rFonts w:eastAsiaTheme="minorEastAsia"/>
          <w:sz w:val="22"/>
          <w:szCs w:val="22"/>
          <w:lang w:val="en-NZ" w:eastAsia="ko-KR"/>
        </w:rPr>
        <w:t xml:space="preserve">, but it is hard </w:t>
      </w:r>
      <w:r w:rsidR="00CD5663" w:rsidRPr="004635E5">
        <w:rPr>
          <w:rFonts w:eastAsiaTheme="minorEastAsia"/>
          <w:sz w:val="22"/>
          <w:szCs w:val="22"/>
          <w:lang w:val="en-NZ" w:eastAsia="ko-KR"/>
        </w:rPr>
        <w:t>to compare c</w:t>
      </w:r>
      <w:r w:rsidR="00692A30" w:rsidRPr="004635E5">
        <w:rPr>
          <w:rFonts w:eastAsiaTheme="minorEastAsia"/>
          <w:sz w:val="22"/>
          <w:szCs w:val="22"/>
          <w:lang w:val="en-NZ" w:eastAsia="ko-KR"/>
        </w:rPr>
        <w:t>urrent st</w:t>
      </w:r>
      <w:r w:rsidR="00CD5663" w:rsidRPr="004635E5">
        <w:rPr>
          <w:rFonts w:eastAsiaTheme="minorEastAsia"/>
          <w:sz w:val="22"/>
          <w:szCs w:val="22"/>
          <w:lang w:val="en-NZ" w:eastAsia="ko-KR"/>
        </w:rPr>
        <w:t>o</w:t>
      </w:r>
      <w:r w:rsidR="00692A30" w:rsidRPr="004635E5">
        <w:rPr>
          <w:rFonts w:eastAsiaTheme="minorEastAsia"/>
          <w:sz w:val="22"/>
          <w:szCs w:val="22"/>
          <w:lang w:val="en-NZ" w:eastAsia="ko-KR"/>
        </w:rPr>
        <w:t>c</w:t>
      </w:r>
      <w:r w:rsidR="00CD5663" w:rsidRPr="004635E5">
        <w:rPr>
          <w:rFonts w:eastAsiaTheme="minorEastAsia"/>
          <w:sz w:val="22"/>
          <w:szCs w:val="22"/>
          <w:lang w:val="en-NZ" w:eastAsia="ko-KR"/>
        </w:rPr>
        <w:t>k s</w:t>
      </w:r>
      <w:r w:rsidR="00692A30" w:rsidRPr="004635E5">
        <w:rPr>
          <w:rFonts w:eastAsiaTheme="minorEastAsia"/>
          <w:sz w:val="22"/>
          <w:szCs w:val="22"/>
          <w:lang w:val="en-NZ" w:eastAsia="ko-KR"/>
        </w:rPr>
        <w:t>tatus</w:t>
      </w:r>
      <w:r w:rsidR="00CD5663" w:rsidRPr="004635E5">
        <w:rPr>
          <w:rFonts w:eastAsiaTheme="minorEastAsia"/>
          <w:sz w:val="22"/>
          <w:szCs w:val="22"/>
          <w:lang w:val="en-NZ" w:eastAsia="ko-KR"/>
        </w:rPr>
        <w:t xml:space="preserve">. </w:t>
      </w:r>
      <w:r w:rsidR="00270656" w:rsidRPr="004635E5">
        <w:rPr>
          <w:rFonts w:eastAsiaTheme="minorEastAsia"/>
          <w:sz w:val="22"/>
          <w:szCs w:val="22"/>
          <w:lang w:val="en-NZ" w:eastAsia="ko-KR"/>
        </w:rPr>
        <w:t xml:space="preserve">They </w:t>
      </w:r>
      <w:r w:rsidR="008E4BB3" w:rsidRPr="004635E5">
        <w:rPr>
          <w:rFonts w:eastAsiaTheme="minorEastAsia"/>
          <w:sz w:val="22"/>
          <w:szCs w:val="22"/>
          <w:lang w:val="en-NZ" w:eastAsia="ko-KR"/>
        </w:rPr>
        <w:t xml:space="preserve">noted it was </w:t>
      </w:r>
      <w:r w:rsidR="008E4BB3" w:rsidRPr="004635E5">
        <w:rPr>
          <w:rFonts w:eastAsiaTheme="minorEastAsia"/>
          <w:sz w:val="22"/>
          <w:szCs w:val="22"/>
          <w:lang w:val="en-AU" w:eastAsia="ko-KR"/>
        </w:rPr>
        <w:t xml:space="preserve">difficult to compare current stock status to terminal year stock status (future status). Under current levels of effort, the risk of breaching the LRP was less than 5%. </w:t>
      </w:r>
    </w:p>
    <w:p w14:paraId="4EE10210"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2918EFEA" w14:textId="77777777" w:rsidR="0027474A" w:rsidRPr="004635E5" w:rsidRDefault="00692A30"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Chinese Taipei </w:t>
      </w:r>
      <w:r w:rsidR="00270656" w:rsidRPr="004635E5">
        <w:rPr>
          <w:rFonts w:eastAsiaTheme="minorEastAsia"/>
          <w:sz w:val="22"/>
          <w:szCs w:val="22"/>
          <w:lang w:val="en-NZ" w:eastAsia="ko-KR"/>
        </w:rPr>
        <w:t xml:space="preserve">queried as to why the </w:t>
      </w:r>
      <w:r w:rsidRPr="004635E5">
        <w:rPr>
          <w:rFonts w:eastAsiaTheme="minorEastAsia"/>
          <w:sz w:val="22"/>
          <w:szCs w:val="22"/>
          <w:lang w:val="en-NZ" w:eastAsia="ko-KR"/>
        </w:rPr>
        <w:t xml:space="preserve">median value for the </w:t>
      </w:r>
      <w:r w:rsidR="0027474A" w:rsidRPr="004635E5">
        <w:rPr>
          <w:rFonts w:eastAsiaTheme="minorEastAsia"/>
          <w:sz w:val="22"/>
          <w:szCs w:val="22"/>
          <w:lang w:val="en-NZ" w:eastAsia="ko-KR"/>
        </w:rPr>
        <w:t>SSB ratio</w:t>
      </w:r>
      <w:r w:rsidRPr="004635E5">
        <w:rPr>
          <w:rFonts w:eastAsiaTheme="minorEastAsia"/>
          <w:sz w:val="22"/>
          <w:szCs w:val="22"/>
          <w:lang w:val="en-NZ" w:eastAsia="ko-KR"/>
        </w:rPr>
        <w:t xml:space="preserve"> </w:t>
      </w:r>
      <w:r w:rsidR="00270656" w:rsidRPr="004635E5">
        <w:rPr>
          <w:rFonts w:eastAsiaTheme="minorEastAsia"/>
          <w:sz w:val="22"/>
          <w:szCs w:val="22"/>
          <w:lang w:val="en-NZ" w:eastAsia="ko-KR"/>
        </w:rPr>
        <w:t xml:space="preserve">was used </w:t>
      </w:r>
      <w:r w:rsidRPr="004635E5">
        <w:rPr>
          <w:rFonts w:eastAsiaTheme="minorEastAsia"/>
          <w:sz w:val="22"/>
          <w:szCs w:val="22"/>
          <w:lang w:val="en-NZ" w:eastAsia="ko-KR"/>
        </w:rPr>
        <w:t xml:space="preserve">in the </w:t>
      </w:r>
      <w:r w:rsidR="0027474A" w:rsidRPr="004635E5">
        <w:rPr>
          <w:rFonts w:eastAsiaTheme="minorEastAsia"/>
          <w:sz w:val="22"/>
          <w:szCs w:val="22"/>
          <w:lang w:val="en-NZ" w:eastAsia="ko-KR"/>
        </w:rPr>
        <w:t xml:space="preserve">summary table. </w:t>
      </w:r>
      <w:r w:rsidR="00270656" w:rsidRPr="004635E5">
        <w:rPr>
          <w:rFonts w:eastAsiaTheme="minorEastAsia"/>
          <w:sz w:val="22"/>
          <w:szCs w:val="22"/>
          <w:lang w:val="en-NZ" w:eastAsia="ko-KR"/>
        </w:rPr>
        <w:t xml:space="preserve">Y. Takeuchi </w:t>
      </w:r>
      <w:r w:rsidRPr="004635E5">
        <w:rPr>
          <w:rFonts w:eastAsiaTheme="minorEastAsia"/>
          <w:sz w:val="22"/>
          <w:szCs w:val="22"/>
          <w:lang w:val="en-NZ" w:eastAsia="ko-KR"/>
        </w:rPr>
        <w:t xml:space="preserve">noted that </w:t>
      </w:r>
      <w:r w:rsidR="00270656" w:rsidRPr="004635E5">
        <w:rPr>
          <w:rFonts w:eastAsiaTheme="minorEastAsia"/>
          <w:sz w:val="22"/>
          <w:szCs w:val="22"/>
          <w:lang w:val="en-NZ" w:eastAsia="ko-KR"/>
        </w:rPr>
        <w:t xml:space="preserve">other values </w:t>
      </w:r>
      <w:r w:rsidRPr="004635E5">
        <w:rPr>
          <w:rFonts w:eastAsiaTheme="minorEastAsia"/>
          <w:sz w:val="22"/>
          <w:szCs w:val="22"/>
          <w:lang w:val="en-NZ" w:eastAsia="ko-KR"/>
        </w:rPr>
        <w:t xml:space="preserve">could be </w:t>
      </w:r>
      <w:r w:rsidR="00270656" w:rsidRPr="004635E5">
        <w:rPr>
          <w:rFonts w:eastAsiaTheme="minorEastAsia"/>
          <w:sz w:val="22"/>
          <w:szCs w:val="22"/>
          <w:lang w:val="en-NZ" w:eastAsia="ko-KR"/>
        </w:rPr>
        <w:t xml:space="preserve">used </w:t>
      </w:r>
      <w:r w:rsidRPr="004635E5">
        <w:rPr>
          <w:rFonts w:eastAsiaTheme="minorEastAsia"/>
          <w:sz w:val="22"/>
          <w:szCs w:val="22"/>
          <w:lang w:val="en-NZ" w:eastAsia="ko-KR"/>
        </w:rPr>
        <w:t xml:space="preserve">if desired by the </w:t>
      </w:r>
      <w:r w:rsidR="0027474A" w:rsidRPr="004635E5">
        <w:rPr>
          <w:rFonts w:eastAsiaTheme="minorEastAsia"/>
          <w:sz w:val="22"/>
          <w:szCs w:val="22"/>
          <w:lang w:val="en-NZ" w:eastAsia="ko-KR"/>
        </w:rPr>
        <w:t xml:space="preserve">SC, </w:t>
      </w:r>
      <w:r w:rsidR="00270656" w:rsidRPr="004635E5">
        <w:rPr>
          <w:rFonts w:eastAsiaTheme="minorEastAsia"/>
          <w:sz w:val="22"/>
          <w:szCs w:val="22"/>
          <w:lang w:val="en-NZ" w:eastAsia="ko-KR"/>
        </w:rPr>
        <w:t xml:space="preserve">but noted the SC normally used the </w:t>
      </w:r>
      <w:r w:rsidR="0027474A" w:rsidRPr="004635E5">
        <w:rPr>
          <w:rFonts w:eastAsiaTheme="minorEastAsia"/>
          <w:sz w:val="22"/>
          <w:szCs w:val="22"/>
          <w:lang w:val="en-NZ" w:eastAsia="ko-KR"/>
        </w:rPr>
        <w:t xml:space="preserve">median value </w:t>
      </w:r>
      <w:r w:rsidR="00270656" w:rsidRPr="004635E5">
        <w:rPr>
          <w:rFonts w:eastAsiaTheme="minorEastAsia"/>
          <w:sz w:val="22"/>
          <w:szCs w:val="22"/>
          <w:lang w:val="en-NZ" w:eastAsia="ko-KR"/>
        </w:rPr>
        <w:t xml:space="preserve">to present </w:t>
      </w:r>
      <w:r w:rsidR="0027474A" w:rsidRPr="004635E5">
        <w:rPr>
          <w:rFonts w:eastAsiaTheme="minorEastAsia"/>
          <w:sz w:val="22"/>
          <w:szCs w:val="22"/>
          <w:lang w:val="en-NZ" w:eastAsia="ko-KR"/>
        </w:rPr>
        <w:t xml:space="preserve">for </w:t>
      </w:r>
      <w:r w:rsidR="00270656" w:rsidRPr="004635E5">
        <w:rPr>
          <w:rFonts w:eastAsiaTheme="minorEastAsia"/>
          <w:sz w:val="22"/>
          <w:szCs w:val="22"/>
          <w:lang w:val="en-NZ" w:eastAsia="ko-KR"/>
        </w:rPr>
        <w:t>stock status information</w:t>
      </w:r>
      <w:r w:rsidR="0027474A" w:rsidRPr="004635E5">
        <w:rPr>
          <w:rFonts w:eastAsiaTheme="minorEastAsia"/>
          <w:sz w:val="22"/>
          <w:szCs w:val="22"/>
          <w:lang w:val="en-NZ" w:eastAsia="ko-KR"/>
        </w:rPr>
        <w:t xml:space="preserve">. </w:t>
      </w:r>
    </w:p>
    <w:p w14:paraId="3CB89E27"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11981636" w14:textId="77777777" w:rsidR="0004784B" w:rsidRPr="004635E5" w:rsidRDefault="0004784B" w:rsidP="00580EA4">
      <w:pPr>
        <w:numPr>
          <w:ilvl w:val="0"/>
          <w:numId w:val="18"/>
        </w:numPr>
        <w:autoSpaceDE w:val="0"/>
        <w:autoSpaceDN w:val="0"/>
        <w:adjustRightInd w:val="0"/>
        <w:snapToGrid w:val="0"/>
        <w:ind w:left="0" w:firstLine="0"/>
        <w:jc w:val="both"/>
        <w:rPr>
          <w:rFonts w:eastAsiaTheme="minorHAnsi"/>
          <w:b/>
          <w:sz w:val="22"/>
          <w:szCs w:val="22"/>
        </w:rPr>
      </w:pPr>
      <w:r w:rsidRPr="004635E5">
        <w:rPr>
          <w:b/>
          <w:color w:val="000000" w:themeColor="text1"/>
          <w:sz w:val="22"/>
          <w:szCs w:val="22"/>
        </w:rPr>
        <w:t xml:space="preserve">SC14 reviewed information on </w:t>
      </w:r>
      <w:r w:rsidRPr="004635E5">
        <w:rPr>
          <w:rFonts w:eastAsiaTheme="minorHAnsi"/>
          <w:b/>
          <w:sz w:val="22"/>
          <w:szCs w:val="22"/>
        </w:rPr>
        <w:t xml:space="preserve">what would be the minimum setting for a candidate spawning-biomass-depletion-based TRP (or maximum fishing-mortality-based TRP) for yellowfin tuna that avoids breaching the LRP with a specified level of probability </w:t>
      </w:r>
      <w:r w:rsidRPr="004635E5">
        <w:rPr>
          <w:b/>
          <w:color w:val="000000" w:themeColor="text1"/>
          <w:sz w:val="22"/>
          <w:szCs w:val="22"/>
        </w:rPr>
        <w:t>under the current uncertainty framework</w:t>
      </w:r>
      <w:r w:rsidRPr="004635E5">
        <w:rPr>
          <w:rFonts w:eastAsiaTheme="minorHAnsi"/>
          <w:b/>
          <w:sz w:val="22"/>
          <w:szCs w:val="22"/>
        </w:rPr>
        <w:t xml:space="preserve"> </w:t>
      </w:r>
      <w:r w:rsidRPr="004635E5">
        <w:rPr>
          <w:b/>
          <w:color w:val="000000" w:themeColor="text1"/>
          <w:sz w:val="22"/>
          <w:szCs w:val="22"/>
        </w:rPr>
        <w:t>(</w:t>
      </w:r>
      <w:r w:rsidR="00D5132F" w:rsidRPr="004635E5">
        <w:rPr>
          <w:b/>
          <w:color w:val="000000" w:themeColor="text1"/>
          <w:sz w:val="22"/>
          <w:szCs w:val="22"/>
          <w:lang w:eastAsia="ko-KR"/>
        </w:rPr>
        <w:t>SC14-</w:t>
      </w:r>
      <w:r w:rsidRPr="004635E5">
        <w:rPr>
          <w:b/>
          <w:color w:val="000000" w:themeColor="text1"/>
          <w:sz w:val="22"/>
          <w:szCs w:val="22"/>
        </w:rPr>
        <w:t>MI-WP-01)</w:t>
      </w:r>
      <w:r w:rsidRPr="004635E5">
        <w:rPr>
          <w:rFonts w:eastAsiaTheme="minorHAnsi"/>
          <w:b/>
          <w:sz w:val="22"/>
          <w:szCs w:val="22"/>
        </w:rPr>
        <w:t xml:space="preserve">. While SC14 noted that the main biological consideration for a TRP is that it should be sufficiently above the LRP, SC14 also noted that the choice of a TRP can be based on a combination of biological, ecological and socioeconomic considerations. In this regard </w:t>
      </w:r>
      <w:r w:rsidRPr="004635E5">
        <w:rPr>
          <w:b/>
          <w:sz w:val="22"/>
          <w:szCs w:val="22"/>
        </w:rPr>
        <w:t xml:space="preserve">consideration in future of other economic and social objectives for yellowfin tuna in the selection of </w:t>
      </w:r>
      <w:r w:rsidRPr="004635E5">
        <w:rPr>
          <w:rFonts w:eastAsiaTheme="minorHAnsi"/>
          <w:b/>
          <w:sz w:val="22"/>
          <w:szCs w:val="22"/>
        </w:rPr>
        <w:t>candidate</w:t>
      </w:r>
      <w:r w:rsidRPr="004635E5">
        <w:rPr>
          <w:b/>
          <w:sz w:val="22"/>
          <w:szCs w:val="22"/>
        </w:rPr>
        <w:t xml:space="preserve"> TRPs would be welcome. Several CCMs also viewed </w:t>
      </w:r>
      <w:r w:rsidRPr="004635E5">
        <w:rPr>
          <w:b/>
          <w:sz w:val="22"/>
          <w:szCs w:val="22"/>
          <w:lang w:eastAsia="ko-KR"/>
        </w:rPr>
        <w:t>management objectives and TRPs as economic decisions, and that in the context of a multi-species and multi-gear fishery they cannot be taken on a species by species basis in isolation.</w:t>
      </w:r>
      <w:r w:rsidRPr="004635E5">
        <w:rPr>
          <w:b/>
          <w:sz w:val="22"/>
          <w:szCs w:val="22"/>
        </w:rPr>
        <w:t xml:space="preserve"> </w:t>
      </w:r>
      <w:r w:rsidRPr="004635E5">
        <w:rPr>
          <w:rFonts w:eastAsiaTheme="minorHAnsi"/>
          <w:b/>
          <w:sz w:val="22"/>
          <w:szCs w:val="22"/>
        </w:rPr>
        <w:t xml:space="preserve">SC14 recommended that the analyses be repeated for bigeye tuna taking account of the updated 2018 bigeye stock assessment, and </w:t>
      </w:r>
      <w:r w:rsidRPr="004635E5">
        <w:rPr>
          <w:b/>
          <w:sz w:val="22"/>
          <w:szCs w:val="22"/>
        </w:rPr>
        <w:t>with both ‘recent’ and ‘long term’ recruitment assumptions</w:t>
      </w:r>
      <w:r w:rsidRPr="004635E5">
        <w:rPr>
          <w:rFonts w:eastAsiaTheme="minorHAnsi"/>
          <w:b/>
          <w:sz w:val="22"/>
          <w:szCs w:val="22"/>
        </w:rPr>
        <w:t xml:space="preserve">. </w:t>
      </w:r>
      <w:r w:rsidRPr="004635E5">
        <w:rPr>
          <w:b/>
          <w:sz w:val="22"/>
          <w:szCs w:val="22"/>
        </w:rPr>
        <w:t xml:space="preserve">SC14 recommends that WCPFC15 take note of these results in consideration of management objectives upon which any </w:t>
      </w:r>
      <w:r w:rsidRPr="004635E5">
        <w:rPr>
          <w:rFonts w:eastAsiaTheme="minorHAnsi"/>
          <w:b/>
          <w:sz w:val="22"/>
          <w:szCs w:val="22"/>
        </w:rPr>
        <w:t xml:space="preserve">candidate TRPs for yellowfin tuna and bigeye tuna should be based, and in so doing clarify the </w:t>
      </w:r>
      <w:r w:rsidRPr="004635E5">
        <w:rPr>
          <w:b/>
          <w:sz w:val="22"/>
          <w:szCs w:val="22"/>
        </w:rPr>
        <w:t xml:space="preserve">management objectives for these species (including the selection of risk levels) so that the additional work identified above can be undertaken. </w:t>
      </w:r>
    </w:p>
    <w:p w14:paraId="1298D981" w14:textId="77777777" w:rsidR="00A2648C" w:rsidRPr="004635E5" w:rsidRDefault="00A2648C" w:rsidP="006633A8">
      <w:pPr>
        <w:autoSpaceDE w:val="0"/>
        <w:autoSpaceDN w:val="0"/>
        <w:adjustRightInd w:val="0"/>
        <w:snapToGrid w:val="0"/>
        <w:jc w:val="both"/>
        <w:rPr>
          <w:rFonts w:eastAsiaTheme="minorHAnsi"/>
          <w:b/>
          <w:sz w:val="22"/>
          <w:szCs w:val="22"/>
        </w:rPr>
      </w:pPr>
    </w:p>
    <w:p w14:paraId="0CDCF312" w14:textId="77777777" w:rsidR="00EA46E9" w:rsidRPr="00671F09" w:rsidRDefault="00EA46E9" w:rsidP="00580EA4">
      <w:pPr>
        <w:pStyle w:val="WCPFC"/>
        <w:numPr>
          <w:ilvl w:val="1"/>
          <w:numId w:val="27"/>
        </w:numPr>
        <w:ind w:left="0" w:firstLine="0"/>
        <w:rPr>
          <w:b/>
          <w:bCs/>
          <w:lang w:bidi="mn-Mong-CN"/>
        </w:rPr>
      </w:pPr>
      <w:r w:rsidRPr="00671F09">
        <w:rPr>
          <w:b/>
          <w:bCs/>
          <w:lang w:bidi="mn-Mong-CN"/>
        </w:rPr>
        <w:t xml:space="preserve">South Pacific </w:t>
      </w:r>
      <w:r w:rsidR="006664C2" w:rsidRPr="00671F09">
        <w:rPr>
          <w:b/>
          <w:bCs/>
          <w:lang w:bidi="mn-Mong-CN"/>
        </w:rPr>
        <w:t>a</w:t>
      </w:r>
      <w:r w:rsidRPr="00671F09">
        <w:rPr>
          <w:b/>
          <w:bCs/>
          <w:lang w:bidi="mn-Mong-CN"/>
        </w:rPr>
        <w:t xml:space="preserve">lbacore </w:t>
      </w:r>
      <w:r w:rsidR="006664C2" w:rsidRPr="00671F09">
        <w:rPr>
          <w:b/>
          <w:bCs/>
          <w:lang w:bidi="mn-Mong-CN"/>
        </w:rPr>
        <w:t>t</w:t>
      </w:r>
      <w:r w:rsidRPr="00671F09">
        <w:rPr>
          <w:b/>
          <w:bCs/>
          <w:lang w:bidi="mn-Mong-CN"/>
        </w:rPr>
        <w:t>una</w:t>
      </w:r>
    </w:p>
    <w:p w14:paraId="1365BEC7" w14:textId="77777777" w:rsidR="007B14DA" w:rsidRPr="004635E5" w:rsidRDefault="00531178"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Batang"/>
          <w:sz w:val="22"/>
          <w:szCs w:val="22"/>
          <w:lang w:eastAsia="ko-KR" w:bidi="mn-Mong-CN"/>
        </w:rPr>
        <w:t xml:space="preserve">The </w:t>
      </w:r>
      <w:r w:rsidR="0041022C" w:rsidRPr="004635E5">
        <w:rPr>
          <w:rFonts w:eastAsia="Batang"/>
          <w:sz w:val="22"/>
          <w:szCs w:val="22"/>
          <w:lang w:eastAsia="ko-KR" w:bidi="mn-Mong-CN"/>
        </w:rPr>
        <w:t>c</w:t>
      </w:r>
      <w:r w:rsidRPr="004635E5">
        <w:rPr>
          <w:rFonts w:eastAsia="Batang"/>
          <w:sz w:val="22"/>
          <w:szCs w:val="22"/>
          <w:lang w:eastAsia="ko-KR" w:bidi="mn-Mong-CN"/>
        </w:rPr>
        <w:t xml:space="preserve">onvener </w:t>
      </w:r>
      <w:r w:rsidR="0041022C" w:rsidRPr="004635E5">
        <w:rPr>
          <w:rFonts w:eastAsia="Batang"/>
          <w:sz w:val="22"/>
          <w:szCs w:val="22"/>
          <w:lang w:eastAsia="ko-KR" w:bidi="mn-Mong-CN"/>
        </w:rPr>
        <w:t>noted</w:t>
      </w:r>
      <w:r w:rsidRPr="004635E5">
        <w:rPr>
          <w:rFonts w:eastAsia="Batang"/>
          <w:sz w:val="22"/>
          <w:szCs w:val="22"/>
          <w:lang w:eastAsia="ko-KR" w:bidi="mn-Mong-CN"/>
        </w:rPr>
        <w:t xml:space="preserve"> </w:t>
      </w:r>
      <w:r w:rsidR="00E53E7D" w:rsidRPr="004635E5">
        <w:rPr>
          <w:rFonts w:eastAsiaTheme="minorEastAsia"/>
          <w:sz w:val="22"/>
          <w:szCs w:val="22"/>
          <w:lang w:eastAsia="ko-KR"/>
        </w:rPr>
        <w:t xml:space="preserve">the </w:t>
      </w:r>
      <w:r w:rsidR="0096300B" w:rsidRPr="004635E5">
        <w:rPr>
          <w:rFonts w:eastAsiaTheme="minorEastAsia"/>
          <w:sz w:val="22"/>
          <w:szCs w:val="22"/>
          <w:lang w:eastAsia="ko-KR"/>
        </w:rPr>
        <w:t>Commission’s decision related to the adoption of target reference points (</w:t>
      </w:r>
      <w:r w:rsidR="007B14DA" w:rsidRPr="004635E5">
        <w:rPr>
          <w:rFonts w:eastAsiaTheme="minorEastAsia"/>
          <w:sz w:val="22"/>
          <w:szCs w:val="22"/>
          <w:lang w:eastAsia="ko-KR"/>
        </w:rPr>
        <w:t>Paragraph 188</w:t>
      </w:r>
      <w:r w:rsidR="0096300B" w:rsidRPr="004635E5">
        <w:rPr>
          <w:rFonts w:eastAsiaTheme="minorEastAsia"/>
          <w:sz w:val="22"/>
          <w:szCs w:val="22"/>
          <w:lang w:eastAsia="ko-KR"/>
        </w:rPr>
        <w:t>,</w:t>
      </w:r>
      <w:r w:rsidR="007B14DA" w:rsidRPr="004635E5">
        <w:rPr>
          <w:rFonts w:eastAsiaTheme="minorEastAsia"/>
          <w:sz w:val="22"/>
          <w:szCs w:val="22"/>
          <w:lang w:eastAsia="ko-KR"/>
        </w:rPr>
        <w:t xml:space="preserve"> WCPFC14 Summary Report</w:t>
      </w:r>
      <w:r w:rsidR="0096300B" w:rsidRPr="004635E5">
        <w:rPr>
          <w:rFonts w:eastAsiaTheme="minorEastAsia"/>
          <w:sz w:val="22"/>
          <w:szCs w:val="22"/>
          <w:lang w:eastAsia="ko-KR"/>
        </w:rPr>
        <w:t>)</w:t>
      </w:r>
      <w:r w:rsidR="00CD43EB" w:rsidRPr="004635E5">
        <w:rPr>
          <w:rFonts w:eastAsiaTheme="minorEastAsia"/>
          <w:sz w:val="22"/>
          <w:szCs w:val="22"/>
          <w:lang w:eastAsia="ko-KR"/>
        </w:rPr>
        <w:t xml:space="preserve">, and </w:t>
      </w:r>
      <w:r w:rsidR="0041022C" w:rsidRPr="004635E5">
        <w:rPr>
          <w:rFonts w:eastAsiaTheme="minorEastAsia"/>
          <w:sz w:val="22"/>
          <w:szCs w:val="22"/>
          <w:lang w:eastAsia="ko-KR"/>
        </w:rPr>
        <w:t>the request</w:t>
      </w:r>
      <w:r w:rsidR="00270656" w:rsidRPr="004635E5">
        <w:rPr>
          <w:rFonts w:eastAsiaTheme="minorEastAsia"/>
          <w:sz w:val="22"/>
          <w:szCs w:val="22"/>
          <w:lang w:eastAsia="ko-KR"/>
        </w:rPr>
        <w:t xml:space="preserve"> </w:t>
      </w:r>
      <w:r w:rsidR="0041022C" w:rsidRPr="004635E5">
        <w:rPr>
          <w:rFonts w:eastAsiaTheme="minorEastAsia"/>
          <w:sz w:val="22"/>
          <w:szCs w:val="22"/>
          <w:lang w:eastAsia="ko-KR"/>
        </w:rPr>
        <w:t xml:space="preserve">that </w:t>
      </w:r>
      <w:r w:rsidR="00270656" w:rsidRPr="004635E5">
        <w:rPr>
          <w:rFonts w:eastAsiaTheme="minorEastAsia"/>
          <w:sz w:val="22"/>
          <w:szCs w:val="22"/>
          <w:lang w:eastAsia="ko-KR"/>
        </w:rPr>
        <w:t xml:space="preserve">SC14 provide </w:t>
      </w:r>
      <w:r w:rsidR="00CD43EB" w:rsidRPr="004635E5">
        <w:rPr>
          <w:rFonts w:eastAsiaTheme="minorEastAsia"/>
          <w:sz w:val="22"/>
          <w:szCs w:val="22"/>
          <w:lang w:eastAsia="ko-KR"/>
        </w:rPr>
        <w:t>appropriate advice and recommendations to the Commission</w:t>
      </w:r>
      <w:r w:rsidR="007B14DA" w:rsidRPr="004635E5">
        <w:rPr>
          <w:rFonts w:eastAsiaTheme="minorEastAsia"/>
          <w:sz w:val="22"/>
          <w:szCs w:val="22"/>
          <w:lang w:eastAsia="ko-KR"/>
        </w:rPr>
        <w:t>:</w:t>
      </w:r>
    </w:p>
    <w:p w14:paraId="4154857A" w14:textId="77777777" w:rsidR="007B14DA" w:rsidRPr="004635E5" w:rsidRDefault="00E53E7D" w:rsidP="006633A8">
      <w:pPr>
        <w:autoSpaceDE w:val="0"/>
        <w:autoSpaceDN w:val="0"/>
        <w:adjustRightInd w:val="0"/>
        <w:snapToGrid w:val="0"/>
        <w:ind w:left="1080"/>
        <w:jc w:val="both"/>
        <w:rPr>
          <w:i/>
          <w:sz w:val="22"/>
          <w:szCs w:val="22"/>
          <w:lang w:eastAsia="ko-KR"/>
        </w:rPr>
      </w:pPr>
      <w:r w:rsidRPr="004635E5">
        <w:rPr>
          <w:i/>
          <w:sz w:val="22"/>
          <w:szCs w:val="22"/>
          <w:lang w:eastAsia="ko-KR"/>
        </w:rPr>
        <w:t>188.</w:t>
      </w:r>
      <w:r w:rsidRPr="004635E5">
        <w:rPr>
          <w:rFonts w:eastAsiaTheme="minorEastAsia"/>
          <w:i/>
          <w:sz w:val="22"/>
          <w:szCs w:val="22"/>
          <w:lang w:eastAsia="ko-KR"/>
        </w:rPr>
        <w:tab/>
      </w:r>
      <w:r w:rsidR="007B14DA" w:rsidRPr="004635E5">
        <w:rPr>
          <w:i/>
          <w:sz w:val="22"/>
          <w:szCs w:val="22"/>
          <w:lang w:eastAsia="ko-KR"/>
        </w:rPr>
        <w:t xml:space="preserve">The Commission agreed to prioritise the development and adoption of a </w:t>
      </w:r>
      <w:r w:rsidRPr="004635E5">
        <w:rPr>
          <w:rFonts w:eastAsiaTheme="minorEastAsia"/>
          <w:i/>
          <w:sz w:val="22"/>
          <w:szCs w:val="22"/>
          <w:lang w:eastAsia="ko-KR"/>
        </w:rPr>
        <w:t>T</w:t>
      </w:r>
      <w:r w:rsidRPr="004635E5">
        <w:rPr>
          <w:i/>
          <w:sz w:val="22"/>
          <w:szCs w:val="22"/>
          <w:lang w:eastAsia="ko-KR"/>
        </w:rPr>
        <w:t xml:space="preserve">arget </w:t>
      </w:r>
      <w:r w:rsidRPr="004635E5">
        <w:rPr>
          <w:rFonts w:eastAsiaTheme="minorEastAsia"/>
          <w:i/>
          <w:sz w:val="22"/>
          <w:szCs w:val="22"/>
          <w:lang w:eastAsia="ko-KR"/>
        </w:rPr>
        <w:t>R</w:t>
      </w:r>
      <w:r w:rsidRPr="004635E5">
        <w:rPr>
          <w:i/>
          <w:sz w:val="22"/>
          <w:szCs w:val="22"/>
          <w:lang w:eastAsia="ko-KR"/>
        </w:rPr>
        <w:t xml:space="preserve">eference </w:t>
      </w:r>
      <w:r w:rsidRPr="004635E5">
        <w:rPr>
          <w:rFonts w:eastAsiaTheme="minorEastAsia"/>
          <w:i/>
          <w:sz w:val="22"/>
          <w:szCs w:val="22"/>
          <w:lang w:eastAsia="ko-KR"/>
        </w:rPr>
        <w:t>P</w:t>
      </w:r>
      <w:r w:rsidR="007B14DA" w:rsidRPr="004635E5">
        <w:rPr>
          <w:i/>
          <w:sz w:val="22"/>
          <w:szCs w:val="22"/>
          <w:lang w:eastAsia="ko-KR"/>
        </w:rPr>
        <w:t xml:space="preserve">oint for South Pacific albacore through the following actions: </w:t>
      </w:r>
    </w:p>
    <w:p w14:paraId="6291611A" w14:textId="77777777" w:rsidR="007B14DA" w:rsidRPr="004635E5" w:rsidRDefault="007B14DA" w:rsidP="00580EA4">
      <w:pPr>
        <w:pStyle w:val="ListParagraph"/>
        <w:numPr>
          <w:ilvl w:val="0"/>
          <w:numId w:val="22"/>
        </w:numPr>
        <w:autoSpaceDE w:val="0"/>
        <w:autoSpaceDN w:val="0"/>
        <w:adjustRightInd w:val="0"/>
        <w:snapToGrid w:val="0"/>
        <w:ind w:left="1800"/>
        <w:jc w:val="both"/>
        <w:rPr>
          <w:i/>
          <w:sz w:val="22"/>
          <w:szCs w:val="22"/>
          <w:lang w:eastAsia="ko-KR"/>
        </w:rPr>
      </w:pPr>
      <w:r w:rsidRPr="004635E5">
        <w:rPr>
          <w:i/>
          <w:sz w:val="22"/>
          <w:szCs w:val="22"/>
          <w:lang w:eastAsia="ko-KR"/>
        </w:rPr>
        <w:t>All CCMs with an interest in the Southern albacore fishery jointly commit to review available scientific and economic information to inform their position about appropriate goals for the fishery and corresponding candidate target reference points;</w:t>
      </w:r>
    </w:p>
    <w:p w14:paraId="7E46FCBB" w14:textId="77777777" w:rsidR="007B14DA" w:rsidRPr="004635E5" w:rsidRDefault="007B14DA" w:rsidP="00580EA4">
      <w:pPr>
        <w:pStyle w:val="ListParagraph"/>
        <w:numPr>
          <w:ilvl w:val="0"/>
          <w:numId w:val="22"/>
        </w:numPr>
        <w:autoSpaceDE w:val="0"/>
        <w:autoSpaceDN w:val="0"/>
        <w:adjustRightInd w:val="0"/>
        <w:snapToGrid w:val="0"/>
        <w:ind w:left="1800"/>
        <w:jc w:val="both"/>
        <w:rPr>
          <w:i/>
          <w:sz w:val="22"/>
          <w:szCs w:val="22"/>
          <w:lang w:eastAsia="ko-KR"/>
        </w:rPr>
      </w:pPr>
      <w:r w:rsidRPr="004635E5">
        <w:rPr>
          <w:i/>
          <w:sz w:val="22"/>
          <w:szCs w:val="22"/>
          <w:lang w:eastAsia="ko-KR"/>
        </w:rPr>
        <w:t>Regardless of the results of the 2018 stock assessment and the management advice from SC14 to WCPFC15, SC14 shall dedicate sufficient time in the Management Issues Theme to develop advice for WCPFC15 on candidate target reference points</w:t>
      </w:r>
    </w:p>
    <w:p w14:paraId="045A8D6B" w14:textId="77777777" w:rsidR="007B14DA" w:rsidRPr="004635E5" w:rsidRDefault="007B14DA" w:rsidP="00580EA4">
      <w:pPr>
        <w:pStyle w:val="ListParagraph"/>
        <w:numPr>
          <w:ilvl w:val="0"/>
          <w:numId w:val="22"/>
        </w:numPr>
        <w:autoSpaceDE w:val="0"/>
        <w:autoSpaceDN w:val="0"/>
        <w:adjustRightInd w:val="0"/>
        <w:snapToGrid w:val="0"/>
        <w:ind w:left="1800"/>
        <w:jc w:val="both"/>
        <w:rPr>
          <w:i/>
          <w:sz w:val="22"/>
          <w:szCs w:val="22"/>
          <w:lang w:eastAsia="ko-KR"/>
        </w:rPr>
      </w:pPr>
      <w:r w:rsidRPr="004635E5">
        <w:rPr>
          <w:i/>
          <w:sz w:val="22"/>
          <w:szCs w:val="22"/>
          <w:lang w:eastAsia="ko-KR"/>
        </w:rPr>
        <w:t>CCMs will work together in advance of WCPFC15 to develop TRP proposals; and</w:t>
      </w:r>
    </w:p>
    <w:p w14:paraId="20F00289" w14:textId="77777777" w:rsidR="007B14DA" w:rsidRPr="004635E5" w:rsidRDefault="007B14DA" w:rsidP="00580EA4">
      <w:pPr>
        <w:pStyle w:val="ListParagraph"/>
        <w:numPr>
          <w:ilvl w:val="0"/>
          <w:numId w:val="22"/>
        </w:numPr>
        <w:adjustRightInd w:val="0"/>
        <w:snapToGrid w:val="0"/>
        <w:ind w:left="1800"/>
        <w:jc w:val="both"/>
        <w:rPr>
          <w:i/>
          <w:sz w:val="22"/>
          <w:szCs w:val="22"/>
          <w:lang w:eastAsia="ko-KR"/>
        </w:rPr>
      </w:pPr>
      <w:r w:rsidRPr="004635E5">
        <w:rPr>
          <w:i/>
          <w:sz w:val="22"/>
          <w:szCs w:val="22"/>
          <w:lang w:eastAsia="ko-KR"/>
        </w:rPr>
        <w:t>WCPFC15 shall adopt a Target Reference Point for South Pacific albacore.</w:t>
      </w:r>
    </w:p>
    <w:p w14:paraId="329E123E" w14:textId="77777777" w:rsidR="00A2648C" w:rsidRPr="004635E5" w:rsidRDefault="00A2648C" w:rsidP="006633A8">
      <w:pPr>
        <w:pStyle w:val="ListParagraph"/>
        <w:adjustRightInd w:val="0"/>
        <w:snapToGrid w:val="0"/>
        <w:ind w:left="1800"/>
        <w:jc w:val="both"/>
        <w:rPr>
          <w:i/>
          <w:sz w:val="22"/>
          <w:szCs w:val="22"/>
          <w:lang w:eastAsia="ko-KR"/>
        </w:rPr>
      </w:pPr>
    </w:p>
    <w:p w14:paraId="752EB182" w14:textId="77777777" w:rsidR="00634EEB" w:rsidRPr="004635E5" w:rsidRDefault="00634EEB" w:rsidP="006633A8">
      <w:pPr>
        <w:pStyle w:val="ListParagraph"/>
        <w:adjustRightInd w:val="0"/>
        <w:snapToGrid w:val="0"/>
        <w:ind w:left="0"/>
        <w:jc w:val="both"/>
        <w:rPr>
          <w:b/>
          <w:sz w:val="22"/>
          <w:szCs w:val="22"/>
          <w:lang w:eastAsia="ko-KR"/>
        </w:rPr>
      </w:pPr>
      <w:r w:rsidRPr="004635E5">
        <w:rPr>
          <w:b/>
          <w:sz w:val="22"/>
          <w:szCs w:val="22"/>
          <w:lang w:eastAsia="ko-KR"/>
        </w:rPr>
        <w:t xml:space="preserve">Discussion </w:t>
      </w:r>
    </w:p>
    <w:p w14:paraId="1B5CB207" w14:textId="77777777" w:rsidR="00A2648C" w:rsidRPr="004635E5" w:rsidRDefault="00A2648C" w:rsidP="006633A8">
      <w:pPr>
        <w:pStyle w:val="ListParagraph"/>
        <w:adjustRightInd w:val="0"/>
        <w:snapToGrid w:val="0"/>
        <w:ind w:left="0"/>
        <w:jc w:val="both"/>
        <w:rPr>
          <w:b/>
          <w:sz w:val="22"/>
          <w:szCs w:val="22"/>
          <w:lang w:eastAsia="ko-KR"/>
        </w:rPr>
      </w:pPr>
    </w:p>
    <w:p w14:paraId="4E267C4D" w14:textId="77777777" w:rsidR="001D39D7" w:rsidRPr="004635E5" w:rsidRDefault="00812008"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New Zealand offered to take the lead on the South Pacific albacore roadmap, which they noted was on the Commission’s agenda in 201</w:t>
      </w:r>
      <w:r>
        <w:rPr>
          <w:rFonts w:eastAsiaTheme="minorEastAsia"/>
          <w:sz w:val="22"/>
          <w:szCs w:val="22"/>
          <w:lang w:val="en-NZ" w:eastAsia="ko-KR"/>
        </w:rPr>
        <w:t>8</w:t>
      </w:r>
      <w:r w:rsidRPr="004635E5">
        <w:rPr>
          <w:rFonts w:eastAsiaTheme="minorEastAsia"/>
          <w:sz w:val="22"/>
          <w:szCs w:val="22"/>
          <w:lang w:val="en-NZ" w:eastAsia="ko-KR"/>
        </w:rPr>
        <w:t xml:space="preserve">. China suggested that the document </w:t>
      </w:r>
      <w:r>
        <w:rPr>
          <w:rFonts w:eastAsiaTheme="minorEastAsia"/>
          <w:sz w:val="22"/>
          <w:szCs w:val="22"/>
          <w:lang w:val="en-NZ" w:eastAsia="ko-KR"/>
        </w:rPr>
        <w:t xml:space="preserve">presented at SC13 in </w:t>
      </w:r>
      <w:r w:rsidRPr="004635E5">
        <w:rPr>
          <w:rFonts w:eastAsiaTheme="minorEastAsia"/>
          <w:sz w:val="22"/>
          <w:szCs w:val="22"/>
          <w:lang w:val="en-NZ" w:eastAsia="ko-KR"/>
        </w:rPr>
        <w:t xml:space="preserve"> 2017 </w:t>
      </w:r>
      <w:r>
        <w:rPr>
          <w:rFonts w:eastAsiaTheme="minorEastAsia"/>
          <w:sz w:val="22"/>
          <w:szCs w:val="22"/>
          <w:lang w:val="en-NZ" w:eastAsia="ko-KR"/>
        </w:rPr>
        <w:t xml:space="preserve">(SC13-MI-WP-01) </w:t>
      </w:r>
      <w:r w:rsidRPr="004635E5">
        <w:rPr>
          <w:rFonts w:eastAsiaTheme="minorEastAsia"/>
          <w:sz w:val="22"/>
          <w:szCs w:val="22"/>
          <w:lang w:val="en-NZ" w:eastAsia="ko-KR"/>
        </w:rPr>
        <w:t xml:space="preserve">provided a good way to move forward; they suggested the issue was not scientific, but political, and suggested deferring adoption of TRPs at SC14 on the basis of SC13-MI-WP-01. The theme convener noted that </w:t>
      </w:r>
      <w:r>
        <w:rPr>
          <w:rFonts w:eastAsiaTheme="minorEastAsia"/>
          <w:sz w:val="22"/>
          <w:szCs w:val="22"/>
          <w:lang w:val="en-NZ" w:eastAsia="ko-KR"/>
        </w:rPr>
        <w:t xml:space="preserve">the </w:t>
      </w:r>
      <w:r w:rsidRPr="004635E5">
        <w:rPr>
          <w:rFonts w:eastAsiaTheme="minorEastAsia"/>
          <w:sz w:val="22"/>
          <w:szCs w:val="22"/>
          <w:lang w:val="en-NZ" w:eastAsia="ko-KR"/>
        </w:rPr>
        <w:t>decision was up to the Commission, and that SC could refer to its previous scientific advice</w:t>
      </w:r>
      <w:r w:rsidR="00F403CE" w:rsidRPr="004635E5">
        <w:rPr>
          <w:rFonts w:eastAsiaTheme="minorEastAsia"/>
          <w:sz w:val="22"/>
          <w:szCs w:val="22"/>
          <w:lang w:val="en-NZ" w:eastAsia="ko-KR"/>
        </w:rPr>
        <w:t>.</w:t>
      </w:r>
    </w:p>
    <w:p w14:paraId="357B73EF"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5C1B691F" w14:textId="77777777" w:rsidR="00A2238C" w:rsidRPr="004635E5" w:rsidRDefault="00812008"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Australia noted that </w:t>
      </w:r>
      <w:r>
        <w:rPr>
          <w:rFonts w:eastAsiaTheme="minorEastAsia"/>
          <w:sz w:val="22"/>
          <w:szCs w:val="22"/>
          <w:lang w:val="en-NZ" w:eastAsia="ko-KR"/>
        </w:rPr>
        <w:t>HSW</w:t>
      </w:r>
      <w:r w:rsidRPr="004635E5">
        <w:rPr>
          <w:rFonts w:eastAsiaTheme="minorEastAsia"/>
          <w:sz w:val="22"/>
          <w:szCs w:val="22"/>
          <w:lang w:val="en-NZ" w:eastAsia="ko-KR"/>
        </w:rPr>
        <w:t xml:space="preserve">-WP-01 </w:t>
      </w:r>
      <w:r>
        <w:rPr>
          <w:rFonts w:eastAsiaTheme="minorEastAsia"/>
          <w:sz w:val="22"/>
          <w:szCs w:val="22"/>
          <w:lang w:val="en-NZ" w:eastAsia="ko-KR"/>
        </w:rPr>
        <w:t xml:space="preserve">presented to the WCPFC Harvest Strategy Workshop held in 2015 </w:t>
      </w:r>
      <w:r w:rsidRPr="004635E5">
        <w:rPr>
          <w:rFonts w:eastAsiaTheme="minorEastAsia"/>
          <w:sz w:val="22"/>
          <w:szCs w:val="22"/>
          <w:lang w:val="en-NZ" w:eastAsia="ko-KR"/>
        </w:rPr>
        <w:t>was very useful, and evaluated TRPs from both scientific and economic points of view</w:t>
      </w:r>
      <w:r w:rsidR="001D39D7" w:rsidRPr="004635E5">
        <w:rPr>
          <w:rFonts w:eastAsiaTheme="minorEastAsia"/>
          <w:sz w:val="22"/>
          <w:szCs w:val="22"/>
          <w:lang w:val="en-NZ" w:eastAsia="ko-KR"/>
        </w:rPr>
        <w:t xml:space="preserve">. </w:t>
      </w:r>
      <w:r w:rsidR="00F403CE" w:rsidRPr="004635E5">
        <w:rPr>
          <w:rFonts w:eastAsiaTheme="minorEastAsia"/>
          <w:sz w:val="22"/>
          <w:szCs w:val="22"/>
          <w:lang w:val="en-NZ" w:eastAsia="ko-KR"/>
        </w:rPr>
        <w:t>They p</w:t>
      </w:r>
      <w:r w:rsidR="001D39D7" w:rsidRPr="004635E5">
        <w:rPr>
          <w:rFonts w:eastAsiaTheme="minorEastAsia"/>
          <w:sz w:val="22"/>
          <w:szCs w:val="22"/>
          <w:lang w:val="en-NZ" w:eastAsia="ko-KR"/>
        </w:rPr>
        <w:t>ro</w:t>
      </w:r>
      <w:r w:rsidR="00F403CE" w:rsidRPr="004635E5">
        <w:rPr>
          <w:rFonts w:eastAsiaTheme="minorEastAsia"/>
          <w:sz w:val="22"/>
          <w:szCs w:val="22"/>
          <w:lang w:val="en-NZ" w:eastAsia="ko-KR"/>
        </w:rPr>
        <w:t xml:space="preserve">posed </w:t>
      </w:r>
      <w:r w:rsidR="001D39D7" w:rsidRPr="004635E5">
        <w:rPr>
          <w:rFonts w:eastAsiaTheme="minorEastAsia"/>
          <w:sz w:val="22"/>
          <w:szCs w:val="22"/>
          <w:lang w:val="en-NZ" w:eastAsia="ko-KR"/>
        </w:rPr>
        <w:t xml:space="preserve">that SPC perform a similar analysis based on the current </w:t>
      </w:r>
      <w:r w:rsidR="00656FD8" w:rsidRPr="004635E5">
        <w:rPr>
          <w:rFonts w:eastAsiaTheme="minorEastAsia"/>
          <w:sz w:val="22"/>
          <w:szCs w:val="22"/>
          <w:lang w:val="en-NZ" w:eastAsia="ko-KR"/>
        </w:rPr>
        <w:t>stock assessment</w:t>
      </w:r>
      <w:r w:rsidR="00F403CE" w:rsidRPr="004635E5">
        <w:rPr>
          <w:rFonts w:eastAsiaTheme="minorEastAsia"/>
          <w:sz w:val="22"/>
          <w:szCs w:val="22"/>
          <w:lang w:val="en-NZ" w:eastAsia="ko-KR"/>
        </w:rPr>
        <w:t xml:space="preserve">, and </w:t>
      </w:r>
      <w:r w:rsidR="001D39D7" w:rsidRPr="004635E5">
        <w:rPr>
          <w:rFonts w:eastAsiaTheme="minorEastAsia"/>
          <w:sz w:val="22"/>
          <w:szCs w:val="22"/>
          <w:lang w:val="en-NZ" w:eastAsia="ko-KR"/>
        </w:rPr>
        <w:t>perhaps have CCMs en</w:t>
      </w:r>
      <w:r w:rsidR="00F403CE" w:rsidRPr="004635E5">
        <w:rPr>
          <w:rFonts w:eastAsiaTheme="minorEastAsia"/>
          <w:sz w:val="22"/>
          <w:szCs w:val="22"/>
          <w:lang w:val="en-NZ" w:eastAsia="ko-KR"/>
        </w:rPr>
        <w:t>g</w:t>
      </w:r>
      <w:r w:rsidR="001D39D7" w:rsidRPr="004635E5">
        <w:rPr>
          <w:rFonts w:eastAsiaTheme="minorEastAsia"/>
          <w:sz w:val="22"/>
          <w:szCs w:val="22"/>
          <w:lang w:val="en-NZ" w:eastAsia="ko-KR"/>
        </w:rPr>
        <w:t>age on this and advise on the type of manageme</w:t>
      </w:r>
      <w:r w:rsidR="00F403CE" w:rsidRPr="004635E5">
        <w:rPr>
          <w:rFonts w:eastAsiaTheme="minorEastAsia"/>
          <w:sz w:val="22"/>
          <w:szCs w:val="22"/>
          <w:lang w:val="en-NZ" w:eastAsia="ko-KR"/>
        </w:rPr>
        <w:t>n</w:t>
      </w:r>
      <w:r w:rsidR="001D39D7" w:rsidRPr="004635E5">
        <w:rPr>
          <w:rFonts w:eastAsiaTheme="minorEastAsia"/>
          <w:sz w:val="22"/>
          <w:szCs w:val="22"/>
          <w:lang w:val="en-NZ" w:eastAsia="ko-KR"/>
        </w:rPr>
        <w:t>t strategy they woul</w:t>
      </w:r>
      <w:r w:rsidR="00F403CE" w:rsidRPr="004635E5">
        <w:rPr>
          <w:rFonts w:eastAsiaTheme="minorEastAsia"/>
          <w:sz w:val="22"/>
          <w:szCs w:val="22"/>
          <w:lang w:val="en-NZ" w:eastAsia="ko-KR"/>
        </w:rPr>
        <w:t>d</w:t>
      </w:r>
      <w:r w:rsidR="001D39D7" w:rsidRPr="004635E5">
        <w:rPr>
          <w:rFonts w:eastAsiaTheme="minorEastAsia"/>
          <w:sz w:val="22"/>
          <w:szCs w:val="22"/>
          <w:lang w:val="en-NZ" w:eastAsia="ko-KR"/>
        </w:rPr>
        <w:t xml:space="preserve"> like to see.</w:t>
      </w:r>
      <w:r w:rsidR="00F403CE" w:rsidRPr="004635E5">
        <w:rPr>
          <w:rFonts w:eastAsiaTheme="minorEastAsia"/>
          <w:sz w:val="22"/>
          <w:szCs w:val="22"/>
          <w:lang w:val="en-NZ" w:eastAsia="ko-KR"/>
        </w:rPr>
        <w:t xml:space="preserve"> </w:t>
      </w:r>
      <w:r w:rsidR="001D39D7" w:rsidRPr="004635E5">
        <w:rPr>
          <w:rFonts w:eastAsiaTheme="minorEastAsia"/>
          <w:sz w:val="22"/>
          <w:szCs w:val="22"/>
          <w:lang w:val="en-NZ" w:eastAsia="ko-KR"/>
        </w:rPr>
        <w:t>SPC</w:t>
      </w:r>
      <w:r w:rsidR="00F403CE" w:rsidRPr="004635E5">
        <w:rPr>
          <w:rFonts w:eastAsiaTheme="minorEastAsia"/>
          <w:sz w:val="22"/>
          <w:szCs w:val="22"/>
          <w:lang w:val="en-NZ" w:eastAsia="ko-KR"/>
        </w:rPr>
        <w:t xml:space="preserve"> indicated that </w:t>
      </w:r>
      <w:r w:rsidR="00A2238C" w:rsidRPr="004635E5">
        <w:rPr>
          <w:rFonts w:eastAsiaTheme="minorEastAsia"/>
          <w:sz w:val="22"/>
          <w:szCs w:val="22"/>
          <w:lang w:val="en-NZ" w:eastAsia="ko-KR"/>
        </w:rPr>
        <w:t xml:space="preserve">this </w:t>
      </w:r>
      <w:r w:rsidR="001D39D7" w:rsidRPr="004635E5">
        <w:rPr>
          <w:rFonts w:eastAsiaTheme="minorEastAsia"/>
          <w:sz w:val="22"/>
          <w:szCs w:val="22"/>
          <w:lang w:val="en-NZ" w:eastAsia="ko-KR"/>
        </w:rPr>
        <w:t xml:space="preserve">should be feasible, based on </w:t>
      </w:r>
      <w:r w:rsidR="00E1262C" w:rsidRPr="004635E5">
        <w:rPr>
          <w:rFonts w:eastAsiaTheme="minorEastAsia"/>
          <w:sz w:val="22"/>
          <w:szCs w:val="22"/>
          <w:lang w:val="en-NZ" w:eastAsia="ko-KR"/>
        </w:rPr>
        <w:t>projection</w:t>
      </w:r>
      <w:r w:rsidR="001D39D7" w:rsidRPr="004635E5">
        <w:rPr>
          <w:rFonts w:eastAsiaTheme="minorEastAsia"/>
          <w:sz w:val="22"/>
          <w:szCs w:val="22"/>
          <w:lang w:val="en-NZ" w:eastAsia="ko-KR"/>
        </w:rPr>
        <w:t xml:space="preserve"> runs, if limit</w:t>
      </w:r>
      <w:r w:rsidR="00A2238C" w:rsidRPr="004635E5">
        <w:rPr>
          <w:rFonts w:eastAsiaTheme="minorEastAsia"/>
          <w:sz w:val="22"/>
          <w:szCs w:val="22"/>
          <w:lang w:val="en-NZ" w:eastAsia="ko-KR"/>
        </w:rPr>
        <w:t>ed</w:t>
      </w:r>
      <w:r w:rsidR="001D39D7" w:rsidRPr="004635E5">
        <w:rPr>
          <w:rFonts w:eastAsiaTheme="minorEastAsia"/>
          <w:sz w:val="22"/>
          <w:szCs w:val="22"/>
          <w:lang w:val="en-NZ" w:eastAsia="ko-KR"/>
        </w:rPr>
        <w:t xml:space="preserve"> to </w:t>
      </w:r>
      <w:r w:rsidR="00A2238C" w:rsidRPr="004635E5">
        <w:rPr>
          <w:rFonts w:eastAsiaTheme="minorEastAsia"/>
          <w:sz w:val="22"/>
          <w:szCs w:val="22"/>
          <w:lang w:val="en-NZ" w:eastAsia="ko-KR"/>
        </w:rPr>
        <w:t xml:space="preserve">a </w:t>
      </w:r>
      <w:r w:rsidR="001D39D7" w:rsidRPr="004635E5">
        <w:rPr>
          <w:rFonts w:eastAsiaTheme="minorEastAsia"/>
          <w:sz w:val="22"/>
          <w:szCs w:val="22"/>
          <w:lang w:val="en-NZ" w:eastAsia="ko-KR"/>
        </w:rPr>
        <w:t xml:space="preserve">deterministic analysis </w:t>
      </w:r>
      <w:r w:rsidR="00A2238C" w:rsidRPr="004635E5">
        <w:rPr>
          <w:rFonts w:eastAsiaTheme="minorEastAsia"/>
          <w:sz w:val="22"/>
          <w:szCs w:val="22"/>
          <w:lang w:val="en-NZ" w:eastAsia="ko-KR"/>
        </w:rPr>
        <w:t xml:space="preserve">that </w:t>
      </w:r>
      <w:r w:rsidR="001D39D7" w:rsidRPr="004635E5">
        <w:rPr>
          <w:rFonts w:eastAsiaTheme="minorEastAsia"/>
          <w:sz w:val="22"/>
          <w:szCs w:val="22"/>
          <w:lang w:val="en-NZ" w:eastAsia="ko-KR"/>
        </w:rPr>
        <w:t xml:space="preserve">follows the approach </w:t>
      </w:r>
      <w:r w:rsidR="00A2238C" w:rsidRPr="004635E5">
        <w:rPr>
          <w:rFonts w:eastAsiaTheme="minorEastAsia"/>
          <w:sz w:val="22"/>
          <w:szCs w:val="22"/>
          <w:lang w:val="en-NZ" w:eastAsia="ko-KR"/>
        </w:rPr>
        <w:t xml:space="preserve">used </w:t>
      </w:r>
      <w:r w:rsidR="001D39D7" w:rsidRPr="004635E5">
        <w:rPr>
          <w:rFonts w:eastAsiaTheme="minorEastAsia"/>
          <w:sz w:val="22"/>
          <w:szCs w:val="22"/>
          <w:lang w:val="en-NZ" w:eastAsia="ko-KR"/>
        </w:rPr>
        <w:t>previously</w:t>
      </w:r>
      <w:r w:rsidR="00A2238C" w:rsidRPr="004635E5">
        <w:rPr>
          <w:rFonts w:eastAsiaTheme="minorEastAsia"/>
          <w:sz w:val="22"/>
          <w:szCs w:val="22"/>
          <w:lang w:val="en-NZ" w:eastAsia="ko-KR"/>
        </w:rPr>
        <w:t>, and could be prepared in a few months</w:t>
      </w:r>
      <w:r w:rsidR="001D39D7" w:rsidRPr="004635E5">
        <w:rPr>
          <w:rFonts w:eastAsiaTheme="minorEastAsia"/>
          <w:sz w:val="22"/>
          <w:szCs w:val="22"/>
          <w:lang w:val="en-NZ" w:eastAsia="ko-KR"/>
        </w:rPr>
        <w:t>.</w:t>
      </w:r>
      <w:r w:rsidR="00A2238C" w:rsidRPr="004635E5">
        <w:rPr>
          <w:rFonts w:eastAsiaTheme="minorEastAsia"/>
          <w:sz w:val="22"/>
          <w:szCs w:val="22"/>
          <w:lang w:val="en-NZ" w:eastAsia="ko-KR"/>
        </w:rPr>
        <w:t xml:space="preserve"> </w:t>
      </w:r>
      <w:r w:rsidR="00634EEB" w:rsidRPr="004635E5">
        <w:rPr>
          <w:rFonts w:eastAsiaTheme="minorEastAsia"/>
          <w:sz w:val="22"/>
          <w:szCs w:val="22"/>
          <w:lang w:val="en-NZ" w:eastAsia="ko-KR"/>
        </w:rPr>
        <w:t xml:space="preserve">The </w:t>
      </w:r>
      <w:r w:rsidR="002E39E9" w:rsidRPr="004635E5">
        <w:rPr>
          <w:rFonts w:eastAsiaTheme="minorEastAsia"/>
          <w:sz w:val="22"/>
          <w:szCs w:val="22"/>
          <w:lang w:val="en-NZ" w:eastAsia="ko-KR"/>
        </w:rPr>
        <w:t>theme convener</w:t>
      </w:r>
      <w:r w:rsidR="00634EEB" w:rsidRPr="004635E5">
        <w:rPr>
          <w:rFonts w:eastAsiaTheme="minorEastAsia"/>
          <w:sz w:val="22"/>
          <w:szCs w:val="22"/>
          <w:lang w:val="en-NZ" w:eastAsia="ko-KR"/>
        </w:rPr>
        <w:t xml:space="preserve"> confirmed that this </w:t>
      </w:r>
      <w:r w:rsidR="001D39D7" w:rsidRPr="004635E5">
        <w:rPr>
          <w:rFonts w:eastAsiaTheme="minorEastAsia"/>
          <w:sz w:val="22"/>
          <w:szCs w:val="22"/>
          <w:lang w:val="en-NZ" w:eastAsia="ko-KR"/>
        </w:rPr>
        <w:t xml:space="preserve">could be provided </w:t>
      </w:r>
      <w:r w:rsidR="00A2238C" w:rsidRPr="004635E5">
        <w:rPr>
          <w:rFonts w:eastAsiaTheme="minorEastAsia"/>
          <w:sz w:val="22"/>
          <w:szCs w:val="22"/>
          <w:lang w:val="en-NZ" w:eastAsia="ko-KR"/>
        </w:rPr>
        <w:t xml:space="preserve">by SPC </w:t>
      </w:r>
      <w:r w:rsidR="001D39D7" w:rsidRPr="004635E5">
        <w:rPr>
          <w:rFonts w:eastAsiaTheme="minorEastAsia"/>
          <w:sz w:val="22"/>
          <w:szCs w:val="22"/>
          <w:lang w:val="en-NZ" w:eastAsia="ko-KR"/>
        </w:rPr>
        <w:t xml:space="preserve">to CCMs working on the issue. </w:t>
      </w:r>
    </w:p>
    <w:p w14:paraId="229CA72D"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6EC625D0" w14:textId="77777777" w:rsidR="00754770" w:rsidRPr="004635E5" w:rsidRDefault="001D39D7"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Fiji</w:t>
      </w:r>
      <w:r w:rsidR="00A2238C" w:rsidRPr="004635E5">
        <w:rPr>
          <w:rFonts w:eastAsiaTheme="minorEastAsia"/>
          <w:sz w:val="22"/>
          <w:szCs w:val="22"/>
          <w:lang w:val="en-NZ" w:eastAsia="ko-KR"/>
        </w:rPr>
        <w:t xml:space="preserve"> stated that </w:t>
      </w:r>
      <w:r w:rsidR="00754770" w:rsidRPr="004635E5">
        <w:rPr>
          <w:rFonts w:eastAsiaTheme="minorEastAsia"/>
          <w:sz w:val="22"/>
          <w:szCs w:val="22"/>
          <w:lang w:val="en-NZ" w:eastAsia="ko-KR"/>
        </w:rPr>
        <w:t xml:space="preserve">FFA member countries </w:t>
      </w:r>
      <w:r w:rsidR="00A2238C" w:rsidRPr="004635E5">
        <w:rPr>
          <w:rFonts w:eastAsiaTheme="minorEastAsia"/>
          <w:sz w:val="22"/>
          <w:szCs w:val="22"/>
          <w:lang w:val="en-NZ" w:eastAsia="ko-KR"/>
        </w:rPr>
        <w:t xml:space="preserve">were </w:t>
      </w:r>
      <w:r w:rsidR="00754770" w:rsidRPr="004635E5">
        <w:rPr>
          <w:rFonts w:eastAsiaTheme="minorEastAsia"/>
          <w:sz w:val="22"/>
          <w:szCs w:val="22"/>
          <w:lang w:val="en-NZ" w:eastAsia="ko-KR"/>
        </w:rPr>
        <w:t xml:space="preserve">working on a TRP to accommodate some changes to the TRP put </w:t>
      </w:r>
      <w:r w:rsidR="00A2238C" w:rsidRPr="004635E5">
        <w:rPr>
          <w:rFonts w:eastAsiaTheme="minorEastAsia"/>
          <w:sz w:val="22"/>
          <w:szCs w:val="22"/>
          <w:lang w:val="en-NZ" w:eastAsia="ko-KR"/>
        </w:rPr>
        <w:t xml:space="preserve">forward in 2017, and would </w:t>
      </w:r>
      <w:r w:rsidR="00754770" w:rsidRPr="004635E5">
        <w:rPr>
          <w:rFonts w:eastAsiaTheme="minorEastAsia"/>
          <w:sz w:val="22"/>
          <w:szCs w:val="22"/>
          <w:lang w:val="en-NZ" w:eastAsia="ko-KR"/>
        </w:rPr>
        <w:t>like assistance from SPC on the details</w:t>
      </w:r>
      <w:r w:rsidR="00A2238C" w:rsidRPr="004635E5">
        <w:rPr>
          <w:rFonts w:eastAsiaTheme="minorEastAsia"/>
          <w:sz w:val="22"/>
          <w:szCs w:val="22"/>
          <w:lang w:val="en-NZ" w:eastAsia="ko-KR"/>
        </w:rPr>
        <w:t xml:space="preserve">, with a </w:t>
      </w:r>
      <w:r w:rsidR="00634EEB" w:rsidRPr="004635E5">
        <w:rPr>
          <w:rFonts w:eastAsiaTheme="minorEastAsia"/>
          <w:sz w:val="22"/>
          <w:szCs w:val="22"/>
          <w:lang w:val="en-NZ" w:eastAsia="ko-KR"/>
        </w:rPr>
        <w:t xml:space="preserve">view </w:t>
      </w:r>
      <w:r w:rsidR="00153EAA">
        <w:rPr>
          <w:rFonts w:eastAsiaTheme="minorEastAsia"/>
          <w:sz w:val="22"/>
          <w:szCs w:val="22"/>
          <w:lang w:val="en-NZ" w:eastAsia="ko-KR"/>
        </w:rPr>
        <w:t xml:space="preserve">to </w:t>
      </w:r>
      <w:r w:rsidR="00A2238C" w:rsidRPr="004635E5">
        <w:rPr>
          <w:rFonts w:eastAsiaTheme="minorEastAsia"/>
          <w:sz w:val="22"/>
          <w:szCs w:val="22"/>
          <w:lang w:val="en-NZ" w:eastAsia="ko-KR"/>
        </w:rPr>
        <w:t xml:space="preserve">developing a </w:t>
      </w:r>
      <w:r w:rsidR="00754770" w:rsidRPr="004635E5">
        <w:rPr>
          <w:rFonts w:eastAsiaTheme="minorEastAsia"/>
          <w:sz w:val="22"/>
          <w:szCs w:val="22"/>
          <w:lang w:val="en-NZ" w:eastAsia="ko-KR"/>
        </w:rPr>
        <w:t>TRP linked to spa</w:t>
      </w:r>
      <w:r w:rsidR="00A2238C" w:rsidRPr="004635E5">
        <w:rPr>
          <w:rFonts w:eastAsiaTheme="minorEastAsia"/>
          <w:sz w:val="22"/>
          <w:szCs w:val="22"/>
          <w:lang w:val="en-NZ" w:eastAsia="ko-KR"/>
        </w:rPr>
        <w:t xml:space="preserve">wning </w:t>
      </w:r>
      <w:r w:rsidR="00754770" w:rsidRPr="004635E5">
        <w:rPr>
          <w:rFonts w:eastAsiaTheme="minorEastAsia"/>
          <w:sz w:val="22"/>
          <w:szCs w:val="22"/>
          <w:lang w:val="en-NZ" w:eastAsia="ko-KR"/>
        </w:rPr>
        <w:t>biomass 10</w:t>
      </w:r>
      <w:r w:rsidR="0041022C" w:rsidRPr="004635E5">
        <w:rPr>
          <w:rFonts w:eastAsiaTheme="minorEastAsia"/>
          <w:sz w:val="22"/>
          <w:szCs w:val="22"/>
          <w:lang w:val="en-NZ" w:eastAsia="ko-KR"/>
        </w:rPr>
        <w:t xml:space="preserve">, </w:t>
      </w:r>
      <w:r w:rsidR="00754770" w:rsidRPr="004635E5">
        <w:rPr>
          <w:rFonts w:eastAsiaTheme="minorEastAsia"/>
          <w:sz w:val="22"/>
          <w:szCs w:val="22"/>
          <w:lang w:val="en-NZ" w:eastAsia="ko-KR"/>
        </w:rPr>
        <w:t>20</w:t>
      </w:r>
      <w:r w:rsidR="0041022C" w:rsidRPr="004635E5">
        <w:rPr>
          <w:rFonts w:eastAsiaTheme="minorEastAsia"/>
          <w:sz w:val="22"/>
          <w:szCs w:val="22"/>
          <w:lang w:val="en-NZ" w:eastAsia="ko-KR"/>
        </w:rPr>
        <w:t xml:space="preserve"> and </w:t>
      </w:r>
      <w:r w:rsidR="00754770" w:rsidRPr="004635E5">
        <w:rPr>
          <w:rFonts w:eastAsiaTheme="minorEastAsia"/>
          <w:sz w:val="22"/>
          <w:szCs w:val="22"/>
          <w:lang w:val="en-NZ" w:eastAsia="ko-KR"/>
        </w:rPr>
        <w:t xml:space="preserve">30 years </w:t>
      </w:r>
      <w:r w:rsidR="00A2238C" w:rsidRPr="004635E5">
        <w:rPr>
          <w:rFonts w:eastAsiaTheme="minorEastAsia"/>
          <w:sz w:val="22"/>
          <w:szCs w:val="22"/>
          <w:lang w:val="en-NZ" w:eastAsia="ko-KR"/>
        </w:rPr>
        <w:t>in the future</w:t>
      </w:r>
      <w:r w:rsidR="00754770" w:rsidRPr="004635E5">
        <w:rPr>
          <w:rFonts w:eastAsiaTheme="minorEastAsia"/>
          <w:sz w:val="22"/>
          <w:szCs w:val="22"/>
          <w:lang w:val="en-NZ" w:eastAsia="ko-KR"/>
        </w:rPr>
        <w:t xml:space="preserve">. </w:t>
      </w:r>
      <w:r w:rsidR="00A2238C" w:rsidRPr="004635E5">
        <w:rPr>
          <w:rFonts w:eastAsiaTheme="minorEastAsia"/>
          <w:sz w:val="22"/>
          <w:szCs w:val="22"/>
          <w:lang w:val="en-NZ" w:eastAsia="ko-KR"/>
        </w:rPr>
        <w:t xml:space="preserve">Chinese Taipei noted that </w:t>
      </w:r>
      <w:r w:rsidR="00754770" w:rsidRPr="004635E5">
        <w:rPr>
          <w:rFonts w:eastAsiaTheme="minorEastAsia"/>
          <w:sz w:val="22"/>
          <w:szCs w:val="22"/>
          <w:lang w:val="en-NZ" w:eastAsia="ko-KR"/>
        </w:rPr>
        <w:t>projections should consi</w:t>
      </w:r>
      <w:r w:rsidR="00A2238C" w:rsidRPr="004635E5">
        <w:rPr>
          <w:rFonts w:eastAsiaTheme="minorEastAsia"/>
          <w:sz w:val="22"/>
          <w:szCs w:val="22"/>
          <w:lang w:val="en-NZ" w:eastAsia="ko-KR"/>
        </w:rPr>
        <w:t>der the full range of uncertain</w:t>
      </w:r>
      <w:r w:rsidR="00754770" w:rsidRPr="004635E5">
        <w:rPr>
          <w:rFonts w:eastAsiaTheme="minorEastAsia"/>
          <w:sz w:val="22"/>
          <w:szCs w:val="22"/>
          <w:lang w:val="en-NZ" w:eastAsia="ko-KR"/>
        </w:rPr>
        <w:t>ty</w:t>
      </w:r>
      <w:r w:rsidR="00A2238C" w:rsidRPr="004635E5">
        <w:rPr>
          <w:rFonts w:eastAsiaTheme="minorEastAsia"/>
          <w:sz w:val="22"/>
          <w:szCs w:val="22"/>
          <w:lang w:val="en-NZ" w:eastAsia="ko-KR"/>
        </w:rPr>
        <w:t xml:space="preserve">, and SPC confirmed this </w:t>
      </w:r>
      <w:r w:rsidR="00754770" w:rsidRPr="004635E5">
        <w:rPr>
          <w:rFonts w:eastAsiaTheme="minorEastAsia"/>
          <w:sz w:val="22"/>
          <w:szCs w:val="22"/>
          <w:lang w:val="en-NZ" w:eastAsia="ko-KR"/>
        </w:rPr>
        <w:t>would be done.</w:t>
      </w:r>
    </w:p>
    <w:p w14:paraId="42A58CCE"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64179892" w14:textId="77777777" w:rsidR="002E39E9" w:rsidRPr="004635E5" w:rsidRDefault="002E39E9" w:rsidP="006633A8">
      <w:pPr>
        <w:autoSpaceDE w:val="0"/>
        <w:autoSpaceDN w:val="0"/>
        <w:adjustRightInd w:val="0"/>
        <w:snapToGrid w:val="0"/>
        <w:jc w:val="both"/>
        <w:rPr>
          <w:rFonts w:eastAsiaTheme="minorEastAsia"/>
          <w:b/>
          <w:sz w:val="22"/>
          <w:szCs w:val="22"/>
          <w:lang w:val="en-NZ" w:eastAsia="ko-KR"/>
        </w:rPr>
      </w:pPr>
      <w:r w:rsidRPr="004635E5">
        <w:rPr>
          <w:rFonts w:eastAsiaTheme="minorEastAsia"/>
          <w:b/>
          <w:sz w:val="22"/>
          <w:szCs w:val="22"/>
          <w:lang w:val="en-NZ" w:eastAsia="ko-KR"/>
        </w:rPr>
        <w:t>Recommendation</w:t>
      </w:r>
      <w:r w:rsidR="005B692A" w:rsidRPr="004635E5">
        <w:rPr>
          <w:rFonts w:eastAsiaTheme="minorEastAsia"/>
          <w:b/>
          <w:sz w:val="22"/>
          <w:szCs w:val="22"/>
          <w:lang w:val="en-NZ" w:eastAsia="ko-KR"/>
        </w:rPr>
        <w:t>s</w:t>
      </w:r>
    </w:p>
    <w:p w14:paraId="7844FBCB" w14:textId="77777777" w:rsidR="00A2648C" w:rsidRPr="004635E5" w:rsidRDefault="00A2648C" w:rsidP="006633A8">
      <w:pPr>
        <w:autoSpaceDE w:val="0"/>
        <w:autoSpaceDN w:val="0"/>
        <w:adjustRightInd w:val="0"/>
        <w:snapToGrid w:val="0"/>
        <w:jc w:val="both"/>
        <w:rPr>
          <w:rFonts w:eastAsiaTheme="minorEastAsia"/>
          <w:b/>
          <w:sz w:val="22"/>
          <w:szCs w:val="22"/>
          <w:lang w:val="en-NZ" w:eastAsia="ko-KR"/>
        </w:rPr>
      </w:pPr>
    </w:p>
    <w:p w14:paraId="097C8406" w14:textId="77777777" w:rsidR="00634EEB" w:rsidRPr="004635E5" w:rsidRDefault="00634EEB"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 xml:space="preserve">SC14 noted that WCPFC14 deferred the possible adoption of an interim TRP for the South Pacific albacore stock, which had originally been agreed to take place in 2015 under the Harvest Strategy Work Plan, until December 2018 at the latest. Recalling that it had previously reviewed a number of working papers and provided advice to the WCPFC over the past three years on this issue, SC14 reaffirms the previous recommendations made by SC13. In particular, SC14: </w:t>
      </w:r>
    </w:p>
    <w:p w14:paraId="08E1959A" w14:textId="77777777" w:rsidR="00634EEB" w:rsidRPr="004635E5" w:rsidRDefault="00634EEB" w:rsidP="00580EA4">
      <w:pPr>
        <w:numPr>
          <w:ilvl w:val="0"/>
          <w:numId w:val="48"/>
        </w:numPr>
        <w:autoSpaceDE w:val="0"/>
        <w:autoSpaceDN w:val="0"/>
        <w:adjustRightInd w:val="0"/>
        <w:snapToGrid w:val="0"/>
        <w:jc w:val="both"/>
        <w:rPr>
          <w:rFonts w:eastAsiaTheme="minorEastAsia"/>
          <w:b/>
          <w:sz w:val="22"/>
          <w:szCs w:val="22"/>
          <w:lang w:eastAsia="ko-KR"/>
        </w:rPr>
      </w:pPr>
      <w:r w:rsidRPr="004635E5">
        <w:rPr>
          <w:rFonts w:eastAsiaTheme="minorEastAsia"/>
          <w:b/>
          <w:sz w:val="22"/>
          <w:szCs w:val="22"/>
          <w:lang w:eastAsia="ko-KR"/>
        </w:rPr>
        <w:t xml:space="preserve">notes that FFA CCMs have communicated their objectives for the south Pacific albacore stock as taken by the southern longline fishery at various times, and have proposed (in WCPFC14-DP13) a TRP that would maintain or restore average longline albacore CPUE to 10% above its 2013 value by 2028, and to 17% above its 2013 level by 2038. </w:t>
      </w:r>
    </w:p>
    <w:p w14:paraId="5134E9FE" w14:textId="77777777" w:rsidR="00634EEB" w:rsidRPr="004635E5" w:rsidRDefault="00634EEB" w:rsidP="00580EA4">
      <w:pPr>
        <w:numPr>
          <w:ilvl w:val="0"/>
          <w:numId w:val="48"/>
        </w:numPr>
        <w:autoSpaceDE w:val="0"/>
        <w:autoSpaceDN w:val="0"/>
        <w:adjustRightInd w:val="0"/>
        <w:snapToGrid w:val="0"/>
        <w:jc w:val="both"/>
        <w:rPr>
          <w:rFonts w:eastAsiaTheme="minorEastAsia"/>
          <w:b/>
          <w:sz w:val="22"/>
          <w:szCs w:val="22"/>
          <w:lang w:eastAsia="ko-KR"/>
        </w:rPr>
      </w:pPr>
      <w:r w:rsidRPr="004635E5">
        <w:rPr>
          <w:rFonts w:eastAsiaTheme="minorEastAsia"/>
          <w:b/>
          <w:sz w:val="22"/>
          <w:szCs w:val="22"/>
          <w:lang w:eastAsia="ko-KR"/>
        </w:rPr>
        <w:t xml:space="preserve">encourages other CCMs to describe their objectives for the fishery as specified in the </w:t>
      </w:r>
      <w:r w:rsidRPr="004635E5">
        <w:rPr>
          <w:rFonts w:eastAsiaTheme="minorEastAsia"/>
          <w:b/>
          <w:iCs/>
          <w:sz w:val="22"/>
          <w:szCs w:val="22"/>
          <w:lang w:val="en-AU" w:eastAsia="ko-KR"/>
        </w:rPr>
        <w:t>Roadmap to implement the elements needed for the effective conservation and management for South Pacific albacore adopted by WCPFC14</w:t>
      </w:r>
      <w:r w:rsidRPr="004635E5">
        <w:rPr>
          <w:rFonts w:eastAsiaTheme="minorEastAsia"/>
          <w:b/>
          <w:sz w:val="22"/>
          <w:szCs w:val="22"/>
          <w:lang w:eastAsia="ko-KR"/>
        </w:rPr>
        <w:t xml:space="preserve">; </w:t>
      </w:r>
    </w:p>
    <w:p w14:paraId="7601A630" w14:textId="77777777" w:rsidR="00634EEB" w:rsidRPr="004635E5" w:rsidRDefault="00634EEB" w:rsidP="00580EA4">
      <w:pPr>
        <w:numPr>
          <w:ilvl w:val="0"/>
          <w:numId w:val="48"/>
        </w:numPr>
        <w:autoSpaceDE w:val="0"/>
        <w:autoSpaceDN w:val="0"/>
        <w:adjustRightInd w:val="0"/>
        <w:snapToGrid w:val="0"/>
        <w:jc w:val="both"/>
        <w:rPr>
          <w:rFonts w:eastAsiaTheme="minorEastAsia"/>
          <w:b/>
          <w:sz w:val="22"/>
          <w:szCs w:val="22"/>
          <w:lang w:eastAsia="ko-KR"/>
        </w:rPr>
      </w:pPr>
      <w:r w:rsidRPr="004635E5">
        <w:rPr>
          <w:rFonts w:eastAsiaTheme="minorEastAsia"/>
          <w:b/>
          <w:sz w:val="22"/>
          <w:szCs w:val="22"/>
          <w:lang w:eastAsia="ko-KR"/>
        </w:rPr>
        <w:t xml:space="preserve">draws the attention of WCPFC15 to the Limit Reference Point already adopted by the Commission for </w:t>
      </w:r>
      <w:r w:rsidRPr="004635E5">
        <w:rPr>
          <w:rFonts w:eastAsiaTheme="minorEastAsia"/>
          <w:b/>
          <w:bCs/>
          <w:sz w:val="22"/>
          <w:szCs w:val="22"/>
          <w:lang w:eastAsia="ko-KR"/>
        </w:rPr>
        <w:t xml:space="preserve">south Pacific </w:t>
      </w:r>
      <w:r w:rsidRPr="004635E5">
        <w:rPr>
          <w:rFonts w:eastAsiaTheme="minorEastAsia"/>
          <w:b/>
          <w:sz w:val="22"/>
          <w:szCs w:val="22"/>
          <w:lang w:eastAsia="ko-KR"/>
        </w:rPr>
        <w:t xml:space="preserve">albacore and the need to maintain the stock well above that limit; and, </w:t>
      </w:r>
    </w:p>
    <w:p w14:paraId="38517560" w14:textId="77777777" w:rsidR="00634EEB" w:rsidRPr="004635E5" w:rsidRDefault="00634EEB" w:rsidP="00580EA4">
      <w:pPr>
        <w:numPr>
          <w:ilvl w:val="0"/>
          <w:numId w:val="48"/>
        </w:numPr>
        <w:autoSpaceDE w:val="0"/>
        <w:autoSpaceDN w:val="0"/>
        <w:adjustRightInd w:val="0"/>
        <w:snapToGrid w:val="0"/>
        <w:jc w:val="both"/>
        <w:rPr>
          <w:rFonts w:eastAsiaTheme="minorEastAsia"/>
          <w:b/>
          <w:sz w:val="22"/>
          <w:szCs w:val="22"/>
          <w:lang w:eastAsia="ko-KR"/>
        </w:rPr>
      </w:pPr>
      <w:r w:rsidRPr="004635E5">
        <w:rPr>
          <w:rFonts w:eastAsiaTheme="minorEastAsia"/>
          <w:b/>
          <w:sz w:val="22"/>
          <w:szCs w:val="22"/>
          <w:lang w:eastAsia="ko-KR"/>
        </w:rPr>
        <w:t xml:space="preserve">draws attention to the need to identify a TRP at a level which best achieves the fisheries management objectives of CCMs with a real interest in this stock. </w:t>
      </w:r>
    </w:p>
    <w:p w14:paraId="2810BA1F" w14:textId="77777777" w:rsidR="00A2648C" w:rsidRPr="004635E5" w:rsidRDefault="00A2648C" w:rsidP="006633A8">
      <w:pPr>
        <w:autoSpaceDE w:val="0"/>
        <w:autoSpaceDN w:val="0"/>
        <w:adjustRightInd w:val="0"/>
        <w:snapToGrid w:val="0"/>
        <w:jc w:val="both"/>
        <w:rPr>
          <w:rFonts w:eastAsiaTheme="minorEastAsia"/>
          <w:b/>
          <w:sz w:val="22"/>
          <w:szCs w:val="22"/>
          <w:lang w:eastAsia="ko-KR"/>
        </w:rPr>
      </w:pPr>
    </w:p>
    <w:p w14:paraId="24C0ED5D" w14:textId="77777777" w:rsidR="00634EEB" w:rsidRPr="004635E5" w:rsidRDefault="00634EEB" w:rsidP="00580EA4">
      <w:pPr>
        <w:numPr>
          <w:ilvl w:val="0"/>
          <w:numId w:val="18"/>
        </w:numPr>
        <w:autoSpaceDE w:val="0"/>
        <w:autoSpaceDN w:val="0"/>
        <w:adjustRightInd w:val="0"/>
        <w:snapToGrid w:val="0"/>
        <w:ind w:left="0" w:firstLine="0"/>
        <w:jc w:val="both"/>
        <w:rPr>
          <w:rFonts w:eastAsiaTheme="minorEastAsia"/>
          <w:b/>
          <w:bCs/>
          <w:sz w:val="22"/>
          <w:szCs w:val="22"/>
          <w:lang w:val="en-AU" w:eastAsia="ko-KR"/>
        </w:rPr>
      </w:pPr>
      <w:r w:rsidRPr="004635E5">
        <w:rPr>
          <w:rFonts w:eastAsiaTheme="minorEastAsia"/>
          <w:b/>
          <w:sz w:val="22"/>
          <w:szCs w:val="22"/>
          <w:lang w:val="en-AU" w:eastAsia="ko-KR"/>
        </w:rPr>
        <w:t xml:space="preserve">SC14 also draws the attention of WCPFC15 to the updated assessment for south Pacific albacore reviewed by SC14 (described in </w:t>
      </w:r>
      <w:r w:rsidR="00D5132F" w:rsidRPr="004635E5">
        <w:rPr>
          <w:rFonts w:eastAsiaTheme="minorEastAsia"/>
          <w:b/>
          <w:sz w:val="22"/>
          <w:szCs w:val="22"/>
          <w:lang w:val="en-AU" w:eastAsia="ko-KR"/>
        </w:rPr>
        <w:t>SC14-</w:t>
      </w:r>
      <w:r w:rsidRPr="004635E5">
        <w:rPr>
          <w:rFonts w:eastAsiaTheme="minorEastAsia"/>
          <w:b/>
          <w:sz w:val="22"/>
          <w:szCs w:val="22"/>
          <w:lang w:val="en-AU" w:eastAsia="ko-KR"/>
        </w:rPr>
        <w:t>SA-WP-05) which indicates that the current status of this stock is well above the LRP (with the median value of SB</w:t>
      </w:r>
      <w:r w:rsidRPr="004635E5">
        <w:rPr>
          <w:rFonts w:eastAsiaTheme="minorEastAsia"/>
          <w:b/>
          <w:sz w:val="22"/>
          <w:szCs w:val="22"/>
          <w:vertAlign w:val="subscript"/>
          <w:lang w:val="en-AU" w:eastAsia="ko-KR"/>
        </w:rPr>
        <w:t>latest</w:t>
      </w:r>
      <w:r w:rsidRPr="004635E5">
        <w:rPr>
          <w:rFonts w:eastAsiaTheme="minorEastAsia"/>
          <w:b/>
          <w:sz w:val="22"/>
          <w:szCs w:val="22"/>
          <w:lang w:val="en-AU" w:eastAsia="ko-KR"/>
        </w:rPr>
        <w:t>/SB</w:t>
      </w:r>
      <w:r w:rsidRPr="004635E5">
        <w:rPr>
          <w:rFonts w:eastAsiaTheme="minorEastAsia"/>
          <w:b/>
          <w:sz w:val="22"/>
          <w:szCs w:val="22"/>
          <w:vertAlign w:val="subscript"/>
          <w:lang w:val="en-AU" w:eastAsia="ko-KR"/>
        </w:rPr>
        <w:t>F=0</w:t>
      </w:r>
      <w:r w:rsidRPr="004635E5">
        <w:rPr>
          <w:rFonts w:eastAsiaTheme="minorEastAsia"/>
          <w:b/>
          <w:sz w:val="22"/>
          <w:szCs w:val="22"/>
          <w:lang w:val="en-AU" w:eastAsia="ko-KR"/>
        </w:rPr>
        <w:t xml:space="preserve">=0.52). To assist CCMs in the identification and evaluation of an appropriate TRP for south Pacific albacore SC14 also recommends that the Scientific Services Provider provides to CCMs an updated analysis using an approach similar to working paper </w:t>
      </w:r>
      <w:r w:rsidRPr="004635E5">
        <w:rPr>
          <w:rFonts w:eastAsiaTheme="minorEastAsia"/>
          <w:b/>
          <w:bCs/>
          <w:sz w:val="22"/>
          <w:szCs w:val="22"/>
          <w:lang w:val="en-AU" w:eastAsia="ko-KR"/>
        </w:rPr>
        <w:t xml:space="preserve">HSW-WP-05 as presented to the WCPFC Harvest Strategy Workshop held in late November 2015. </w:t>
      </w:r>
    </w:p>
    <w:p w14:paraId="185EC1CF" w14:textId="77777777" w:rsidR="00A2648C" w:rsidRPr="004635E5" w:rsidRDefault="00A2648C" w:rsidP="006633A8">
      <w:pPr>
        <w:autoSpaceDE w:val="0"/>
        <w:autoSpaceDN w:val="0"/>
        <w:adjustRightInd w:val="0"/>
        <w:snapToGrid w:val="0"/>
        <w:jc w:val="both"/>
        <w:rPr>
          <w:rFonts w:eastAsiaTheme="minorEastAsia"/>
          <w:b/>
          <w:bCs/>
          <w:sz w:val="22"/>
          <w:szCs w:val="22"/>
          <w:lang w:val="en-AU" w:eastAsia="ko-KR"/>
        </w:rPr>
      </w:pPr>
    </w:p>
    <w:p w14:paraId="063DDE72" w14:textId="77777777" w:rsidR="00634EEB" w:rsidRPr="004635E5" w:rsidRDefault="00634EEB" w:rsidP="00580EA4">
      <w:pPr>
        <w:numPr>
          <w:ilvl w:val="0"/>
          <w:numId w:val="18"/>
        </w:numPr>
        <w:autoSpaceDE w:val="0"/>
        <w:autoSpaceDN w:val="0"/>
        <w:adjustRightInd w:val="0"/>
        <w:snapToGrid w:val="0"/>
        <w:ind w:left="0" w:firstLine="0"/>
        <w:jc w:val="both"/>
        <w:rPr>
          <w:rFonts w:eastAsiaTheme="minorEastAsia"/>
          <w:b/>
          <w:bCs/>
          <w:sz w:val="22"/>
          <w:szCs w:val="22"/>
          <w:lang w:val="en-AU" w:eastAsia="ko-KR"/>
        </w:rPr>
      </w:pPr>
      <w:r w:rsidRPr="004635E5">
        <w:rPr>
          <w:rFonts w:eastAsiaTheme="minorEastAsia"/>
          <w:b/>
          <w:sz w:val="22"/>
          <w:szCs w:val="22"/>
          <w:lang w:val="en-AU" w:eastAsia="ko-KR"/>
        </w:rPr>
        <w:t xml:space="preserve">In view of the decision by WCPFC14 that “CCMs will work together in advance of WCPFC15 to develop TRP proposals” this analysis may need to be provided and discussed at a meeting of the WCPFC South Pacific Albacore Roadmap Working Group in the margins of TCC14 or in conjunction with WCPFC15. </w:t>
      </w:r>
    </w:p>
    <w:p w14:paraId="0E8B7064" w14:textId="77777777" w:rsidR="00A2648C" w:rsidRPr="004635E5" w:rsidRDefault="00A2648C" w:rsidP="006633A8">
      <w:pPr>
        <w:autoSpaceDE w:val="0"/>
        <w:autoSpaceDN w:val="0"/>
        <w:adjustRightInd w:val="0"/>
        <w:snapToGrid w:val="0"/>
        <w:jc w:val="both"/>
        <w:rPr>
          <w:rFonts w:eastAsiaTheme="minorEastAsia"/>
          <w:b/>
          <w:bCs/>
          <w:sz w:val="22"/>
          <w:szCs w:val="22"/>
          <w:lang w:val="en-AU" w:eastAsia="ko-KR"/>
        </w:rPr>
      </w:pPr>
    </w:p>
    <w:p w14:paraId="16636FEB" w14:textId="77777777" w:rsidR="0007177E" w:rsidRPr="004635E5" w:rsidRDefault="0007177E" w:rsidP="00580EA4">
      <w:pPr>
        <w:pStyle w:val="SC3"/>
        <w:numPr>
          <w:ilvl w:val="2"/>
          <w:numId w:val="161"/>
        </w:numPr>
        <w:spacing w:after="0"/>
        <w:rPr>
          <w:rFonts w:eastAsiaTheme="minorEastAsia"/>
          <w:lang w:eastAsia="ko-KR"/>
        </w:rPr>
      </w:pPr>
      <w:r w:rsidRPr="004635E5">
        <w:rPr>
          <w:rFonts w:eastAsiaTheme="minorEastAsia"/>
          <w:lang w:eastAsia="ko-KR"/>
        </w:rPr>
        <w:t>Performance indicators</w:t>
      </w:r>
      <w:r w:rsidR="004B52B2" w:rsidRPr="004635E5">
        <w:rPr>
          <w:rFonts w:eastAsiaTheme="minorEastAsia"/>
          <w:lang w:eastAsia="ko-KR"/>
        </w:rPr>
        <w:t>,</w:t>
      </w:r>
      <w:r w:rsidR="00D53E35" w:rsidRPr="004635E5">
        <w:rPr>
          <w:rFonts w:eastAsiaTheme="minorEastAsia"/>
          <w:lang w:eastAsia="ko-KR"/>
        </w:rPr>
        <w:t xml:space="preserve"> monitoring strategies</w:t>
      </w:r>
      <w:r w:rsidR="004B52B2" w:rsidRPr="004635E5">
        <w:rPr>
          <w:rFonts w:eastAsiaTheme="minorEastAsia"/>
          <w:lang w:eastAsia="ko-KR"/>
        </w:rPr>
        <w:t xml:space="preserve"> and harvest control rules</w:t>
      </w:r>
    </w:p>
    <w:p w14:paraId="7FC937B3" w14:textId="77777777" w:rsidR="00A2648C" w:rsidRPr="004635E5" w:rsidRDefault="00A2648C" w:rsidP="006633A8">
      <w:pPr>
        <w:pStyle w:val="SC3"/>
        <w:numPr>
          <w:ilvl w:val="0"/>
          <w:numId w:val="0"/>
        </w:numPr>
        <w:spacing w:after="0"/>
        <w:ind w:left="1440"/>
        <w:rPr>
          <w:rFonts w:eastAsiaTheme="minorEastAsia"/>
          <w:lang w:eastAsia="ko-KR"/>
        </w:rPr>
      </w:pPr>
    </w:p>
    <w:p w14:paraId="656ACA1B" w14:textId="77777777" w:rsidR="0041022C" w:rsidRPr="004635E5" w:rsidRDefault="0041022C" w:rsidP="00580EA4">
      <w:pPr>
        <w:numPr>
          <w:ilvl w:val="0"/>
          <w:numId w:val="18"/>
        </w:numPr>
        <w:autoSpaceDE w:val="0"/>
        <w:autoSpaceDN w:val="0"/>
        <w:adjustRightInd w:val="0"/>
        <w:snapToGrid w:val="0"/>
        <w:ind w:left="0" w:firstLine="0"/>
        <w:jc w:val="both"/>
        <w:rPr>
          <w:rFonts w:eastAsia="Batang"/>
          <w:sz w:val="22"/>
          <w:szCs w:val="22"/>
          <w:lang w:eastAsia="ko-KR" w:bidi="mn-Mong-CN"/>
        </w:rPr>
      </w:pPr>
      <w:r w:rsidRPr="004635E5">
        <w:rPr>
          <w:rFonts w:eastAsiaTheme="minorEastAsia"/>
          <w:sz w:val="22"/>
          <w:szCs w:val="22"/>
          <w:lang w:val="en-NZ" w:eastAsia="ko-KR"/>
        </w:rPr>
        <w:t xml:space="preserve">With reference to the harvest strategy workplan the convenor noted that </w:t>
      </w:r>
      <w:r w:rsidRPr="004635E5">
        <w:rPr>
          <w:rFonts w:eastAsia="Batang"/>
          <w:sz w:val="22"/>
          <w:szCs w:val="22"/>
          <w:lang w:eastAsia="ko-KR" w:bidi="mn-Mong-CN"/>
        </w:rPr>
        <w:t>SC14 will provide advice on the performance of candidate harvest control rules for South Pacific albacore and skipjack tuna.</w:t>
      </w:r>
    </w:p>
    <w:p w14:paraId="4CD86638" w14:textId="77777777" w:rsidR="00A2648C" w:rsidRPr="004635E5" w:rsidRDefault="00A2648C" w:rsidP="006633A8">
      <w:pPr>
        <w:autoSpaceDE w:val="0"/>
        <w:autoSpaceDN w:val="0"/>
        <w:adjustRightInd w:val="0"/>
        <w:snapToGrid w:val="0"/>
        <w:jc w:val="both"/>
        <w:rPr>
          <w:rFonts w:eastAsia="Batang"/>
          <w:sz w:val="22"/>
          <w:szCs w:val="22"/>
          <w:lang w:eastAsia="ko-KR" w:bidi="mn-Mong-CN"/>
        </w:rPr>
      </w:pPr>
    </w:p>
    <w:p w14:paraId="24D64837" w14:textId="77777777" w:rsidR="00692A30" w:rsidRPr="004635E5" w:rsidRDefault="008E4BB3" w:rsidP="00580EA4">
      <w:pPr>
        <w:numPr>
          <w:ilvl w:val="0"/>
          <w:numId w:val="18"/>
        </w:numPr>
        <w:autoSpaceDE w:val="0"/>
        <w:autoSpaceDN w:val="0"/>
        <w:adjustRightInd w:val="0"/>
        <w:snapToGrid w:val="0"/>
        <w:ind w:left="0" w:firstLine="0"/>
        <w:jc w:val="both"/>
        <w:rPr>
          <w:b/>
          <w:sz w:val="22"/>
          <w:szCs w:val="22"/>
        </w:rPr>
      </w:pPr>
      <w:r w:rsidRPr="004635E5">
        <w:rPr>
          <w:sz w:val="22"/>
          <w:szCs w:val="22"/>
        </w:rPr>
        <w:t xml:space="preserve">G. Pilling (SPC) introduced </w:t>
      </w:r>
      <w:r w:rsidR="005C3CE1">
        <w:rPr>
          <w:rFonts w:eastAsia="Calibri"/>
          <w:sz w:val="22"/>
          <w:szCs w:val="22"/>
          <w:lang w:val="en-AU"/>
        </w:rPr>
        <w:t>SC14-</w:t>
      </w:r>
      <w:r w:rsidR="00B71E01" w:rsidRPr="004E1B05">
        <w:rPr>
          <w:bCs/>
          <w:sz w:val="22"/>
          <w:szCs w:val="22"/>
        </w:rPr>
        <w:t>MI-WP-02</w:t>
      </w:r>
      <w:r w:rsidR="00B71E01" w:rsidRPr="004635E5">
        <w:rPr>
          <w:b/>
          <w:sz w:val="22"/>
          <w:szCs w:val="22"/>
        </w:rPr>
        <w:t xml:space="preserve"> </w:t>
      </w:r>
      <w:r w:rsidR="00B71E01" w:rsidRPr="004635E5">
        <w:rPr>
          <w:i/>
          <w:sz w:val="22"/>
          <w:szCs w:val="22"/>
        </w:rPr>
        <w:t>Technical aspects of a potential South Pacific albacore harvest strategy</w:t>
      </w:r>
      <w:r w:rsidR="00B71E01" w:rsidRPr="004635E5">
        <w:rPr>
          <w:sz w:val="22"/>
          <w:szCs w:val="22"/>
        </w:rPr>
        <w:t>.</w:t>
      </w:r>
      <w:r w:rsidRPr="004635E5">
        <w:rPr>
          <w:sz w:val="22"/>
          <w:szCs w:val="22"/>
        </w:rPr>
        <w:t xml:space="preserve"> </w:t>
      </w:r>
      <w:r w:rsidR="00692A30" w:rsidRPr="004635E5">
        <w:rPr>
          <w:rFonts w:eastAsiaTheme="minorEastAsia"/>
          <w:sz w:val="22"/>
          <w:szCs w:val="22"/>
          <w:lang w:val="en-NZ" w:eastAsia="ko-KR"/>
        </w:rPr>
        <w:t>To support the Roadmap for south Pacific albacore management, SC14 was tasked to provide advice on technical aspects of the south Pacific albacore harvest strategy. This paper: reviews potential harvest strategy elements; details available information to inform selection of potential elements; and proposes SC14 recommendations for WCPFC15. A draft technical work plan for southern longline harvest strategy development is also presented for SC14 discussion.</w:t>
      </w:r>
    </w:p>
    <w:p w14:paraId="4B9D1F9A" w14:textId="77777777" w:rsidR="00A2648C" w:rsidRPr="004635E5" w:rsidRDefault="00A2648C" w:rsidP="006633A8">
      <w:pPr>
        <w:autoSpaceDE w:val="0"/>
        <w:autoSpaceDN w:val="0"/>
        <w:adjustRightInd w:val="0"/>
        <w:snapToGrid w:val="0"/>
        <w:jc w:val="both"/>
        <w:rPr>
          <w:b/>
          <w:sz w:val="22"/>
          <w:szCs w:val="22"/>
        </w:rPr>
      </w:pPr>
    </w:p>
    <w:p w14:paraId="65D22492" w14:textId="77777777" w:rsidR="00692A30" w:rsidRPr="004635E5" w:rsidRDefault="00692A30"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The harvest strategy ‘estimation method’ provides information on the level or trend in stock status to a harvest control rule (HCR). Both an empirical approach (the level or trend in CPUE) and model-based approach (e.g. a simple model) are recommended for evaluation, at least in the initial phases. Given the greater spatial and temporal coverage, longline CPUE is recommended as the primary source of information. Analyses are required to identify either a regional combined index, or a localised ‘reference’ fleet fishing a smaller spatial scale. The need to standardise the index to account for external drivers is discussed, as this would theoretically improve the signal for changes in underlying biomass, but potentially be less transparent for the wider stakeholder group.</w:t>
      </w:r>
    </w:p>
    <w:p w14:paraId="49D1D5C5"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1202D384" w14:textId="77777777" w:rsidR="00692A30" w:rsidRPr="004635E5" w:rsidRDefault="00692A30"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The estimation method informs the HCR, which pre-defines overall management action. Two key decisions are needed: 1) do managers wish all south Pacific albacore fisheries to be controlled; and 2) which mechanism (fishing effort or catch) should be used to control the fishery impact? These decisions will reduce the number of alternative forms of the HCR to be evaluated.</w:t>
      </w:r>
    </w:p>
    <w:p w14:paraId="1179267A"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6FC5E0A6" w14:textId="77777777" w:rsidR="00841AA3" w:rsidRPr="004635E5" w:rsidRDefault="00841AA3" w:rsidP="006633A8">
      <w:pPr>
        <w:autoSpaceDE w:val="0"/>
        <w:autoSpaceDN w:val="0"/>
        <w:adjustRightInd w:val="0"/>
        <w:snapToGrid w:val="0"/>
        <w:jc w:val="both"/>
        <w:rPr>
          <w:rFonts w:eastAsiaTheme="minorEastAsia"/>
          <w:b/>
          <w:sz w:val="22"/>
          <w:szCs w:val="22"/>
          <w:lang w:val="en-NZ" w:eastAsia="ko-KR"/>
        </w:rPr>
      </w:pPr>
      <w:r w:rsidRPr="004635E5">
        <w:rPr>
          <w:rFonts w:eastAsiaTheme="minorEastAsia"/>
          <w:b/>
          <w:sz w:val="22"/>
          <w:szCs w:val="22"/>
          <w:lang w:val="en-NZ" w:eastAsia="ko-KR"/>
        </w:rPr>
        <w:t>D</w:t>
      </w:r>
      <w:r w:rsidR="00C4288B" w:rsidRPr="004635E5">
        <w:rPr>
          <w:rFonts w:eastAsiaTheme="minorEastAsia"/>
          <w:b/>
          <w:sz w:val="22"/>
          <w:szCs w:val="22"/>
          <w:lang w:val="en-NZ" w:eastAsia="ko-KR"/>
        </w:rPr>
        <w:t>iscussion</w:t>
      </w:r>
    </w:p>
    <w:p w14:paraId="15482157" w14:textId="77777777" w:rsidR="00A2648C" w:rsidRPr="004635E5" w:rsidRDefault="00A2648C" w:rsidP="006633A8">
      <w:pPr>
        <w:autoSpaceDE w:val="0"/>
        <w:autoSpaceDN w:val="0"/>
        <w:adjustRightInd w:val="0"/>
        <w:snapToGrid w:val="0"/>
        <w:jc w:val="both"/>
        <w:rPr>
          <w:rFonts w:eastAsiaTheme="minorEastAsia"/>
          <w:b/>
          <w:sz w:val="22"/>
          <w:szCs w:val="22"/>
          <w:lang w:val="en-NZ" w:eastAsia="ko-KR"/>
        </w:rPr>
      </w:pPr>
    </w:p>
    <w:p w14:paraId="0B33C2C7" w14:textId="77777777" w:rsidR="00841AA3" w:rsidRPr="004635E5" w:rsidRDefault="00AC07F4"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Japan</w:t>
      </w:r>
      <w:r w:rsidR="000628F1" w:rsidRPr="004635E5">
        <w:rPr>
          <w:rFonts w:eastAsiaTheme="minorEastAsia"/>
          <w:sz w:val="22"/>
          <w:szCs w:val="22"/>
          <w:lang w:val="en-NZ" w:eastAsia="ko-KR"/>
        </w:rPr>
        <w:t xml:space="preserve"> noted </w:t>
      </w:r>
      <w:r w:rsidR="0041022C" w:rsidRPr="004635E5">
        <w:rPr>
          <w:rFonts w:eastAsiaTheme="minorEastAsia"/>
          <w:sz w:val="22"/>
          <w:szCs w:val="22"/>
          <w:lang w:eastAsia="ko-KR"/>
        </w:rPr>
        <w:t xml:space="preserve">noted that the terms Harvest Control Rules and Management Procedures were being used interchangeably, and that </w:t>
      </w:r>
      <w:r w:rsidRPr="004635E5">
        <w:rPr>
          <w:rFonts w:eastAsiaTheme="minorEastAsia"/>
          <w:sz w:val="22"/>
          <w:szCs w:val="22"/>
          <w:lang w:val="en-NZ" w:eastAsia="ko-KR"/>
        </w:rPr>
        <w:t>consist</w:t>
      </w:r>
      <w:r w:rsidR="000628F1" w:rsidRPr="004635E5">
        <w:rPr>
          <w:rFonts w:eastAsiaTheme="minorEastAsia"/>
          <w:sz w:val="22"/>
          <w:szCs w:val="22"/>
          <w:lang w:val="en-NZ" w:eastAsia="ko-KR"/>
        </w:rPr>
        <w:t>en</w:t>
      </w:r>
      <w:r w:rsidR="0041022C" w:rsidRPr="004635E5">
        <w:rPr>
          <w:rFonts w:eastAsiaTheme="minorEastAsia"/>
          <w:sz w:val="22"/>
          <w:szCs w:val="22"/>
          <w:lang w:val="en-NZ" w:eastAsia="ko-KR"/>
        </w:rPr>
        <w:t xml:space="preserve">cy was needed regarding the </w:t>
      </w:r>
      <w:r w:rsidRPr="004635E5">
        <w:rPr>
          <w:rFonts w:eastAsiaTheme="minorEastAsia"/>
          <w:sz w:val="22"/>
          <w:szCs w:val="22"/>
          <w:lang w:val="en-NZ" w:eastAsia="ko-KR"/>
        </w:rPr>
        <w:t>wording</w:t>
      </w:r>
      <w:r w:rsidR="00A16680" w:rsidRPr="004635E5">
        <w:rPr>
          <w:rFonts w:eastAsiaTheme="minorEastAsia"/>
          <w:sz w:val="22"/>
          <w:szCs w:val="22"/>
          <w:lang w:val="en-NZ" w:eastAsia="ko-KR"/>
        </w:rPr>
        <w:t xml:space="preserve">. </w:t>
      </w:r>
      <w:r w:rsidR="000628F1" w:rsidRPr="004635E5">
        <w:rPr>
          <w:rFonts w:eastAsiaTheme="minorEastAsia"/>
          <w:sz w:val="22"/>
          <w:szCs w:val="22"/>
          <w:lang w:val="en-NZ" w:eastAsia="ko-KR"/>
        </w:rPr>
        <w:t xml:space="preserve">They supported </w:t>
      </w:r>
      <w:r w:rsidRPr="004635E5">
        <w:rPr>
          <w:rFonts w:eastAsiaTheme="minorEastAsia"/>
          <w:sz w:val="22"/>
          <w:szCs w:val="22"/>
          <w:lang w:val="en-NZ" w:eastAsia="ko-KR"/>
        </w:rPr>
        <w:t>the rec</w:t>
      </w:r>
      <w:r w:rsidR="000628F1" w:rsidRPr="004635E5">
        <w:rPr>
          <w:rFonts w:eastAsiaTheme="minorEastAsia"/>
          <w:sz w:val="22"/>
          <w:szCs w:val="22"/>
          <w:lang w:val="en-NZ" w:eastAsia="ko-KR"/>
        </w:rPr>
        <w:t>ommendation</w:t>
      </w:r>
      <w:r w:rsidRPr="004635E5">
        <w:rPr>
          <w:rFonts w:eastAsiaTheme="minorEastAsia"/>
          <w:sz w:val="22"/>
          <w:szCs w:val="22"/>
          <w:lang w:val="en-NZ" w:eastAsia="ko-KR"/>
        </w:rPr>
        <w:t>s, esp</w:t>
      </w:r>
      <w:r w:rsidR="000628F1" w:rsidRPr="004635E5">
        <w:rPr>
          <w:rFonts w:eastAsiaTheme="minorEastAsia"/>
          <w:sz w:val="22"/>
          <w:szCs w:val="22"/>
          <w:lang w:val="en-NZ" w:eastAsia="ko-KR"/>
        </w:rPr>
        <w:t>ecially</w:t>
      </w:r>
      <w:r w:rsidRPr="004635E5">
        <w:rPr>
          <w:rFonts w:eastAsiaTheme="minorEastAsia"/>
          <w:sz w:val="22"/>
          <w:szCs w:val="22"/>
          <w:lang w:val="en-NZ" w:eastAsia="ko-KR"/>
        </w:rPr>
        <w:t xml:space="preserve"> </w:t>
      </w:r>
      <w:r w:rsidR="000628F1" w:rsidRPr="004635E5">
        <w:rPr>
          <w:rFonts w:eastAsiaTheme="minorEastAsia"/>
          <w:sz w:val="22"/>
          <w:szCs w:val="22"/>
          <w:lang w:val="en-NZ" w:eastAsia="ko-KR"/>
        </w:rPr>
        <w:t xml:space="preserve">the </w:t>
      </w:r>
      <w:r w:rsidR="0041022C" w:rsidRPr="004635E5">
        <w:rPr>
          <w:rFonts w:eastAsiaTheme="minorEastAsia"/>
          <w:sz w:val="22"/>
          <w:szCs w:val="22"/>
          <w:lang w:val="en-NZ" w:eastAsia="ko-KR"/>
        </w:rPr>
        <w:t xml:space="preserve">use of an empirical </w:t>
      </w:r>
      <w:r w:rsidRPr="004635E5">
        <w:rPr>
          <w:rFonts w:eastAsiaTheme="minorEastAsia"/>
          <w:sz w:val="22"/>
          <w:szCs w:val="22"/>
          <w:lang w:val="en-NZ" w:eastAsia="ko-KR"/>
        </w:rPr>
        <w:t>harve</w:t>
      </w:r>
      <w:r w:rsidR="000628F1" w:rsidRPr="004635E5">
        <w:rPr>
          <w:rFonts w:eastAsiaTheme="minorEastAsia"/>
          <w:sz w:val="22"/>
          <w:szCs w:val="22"/>
          <w:lang w:val="en-NZ" w:eastAsia="ko-KR"/>
        </w:rPr>
        <w:t>s</w:t>
      </w:r>
      <w:r w:rsidRPr="004635E5">
        <w:rPr>
          <w:rFonts w:eastAsiaTheme="minorEastAsia"/>
          <w:sz w:val="22"/>
          <w:szCs w:val="22"/>
          <w:lang w:val="en-NZ" w:eastAsia="ko-KR"/>
        </w:rPr>
        <w:t>t control rule using CPUE</w:t>
      </w:r>
      <w:r w:rsidR="0041022C" w:rsidRPr="004635E5">
        <w:rPr>
          <w:rFonts w:eastAsiaTheme="minorEastAsia"/>
          <w:sz w:val="22"/>
          <w:szCs w:val="22"/>
          <w:lang w:val="en-NZ" w:eastAsia="ko-KR"/>
        </w:rPr>
        <w:t xml:space="preserve">, but noted this would be new for many </w:t>
      </w:r>
      <w:r w:rsidRPr="004635E5">
        <w:rPr>
          <w:rFonts w:eastAsiaTheme="minorEastAsia"/>
          <w:sz w:val="22"/>
          <w:szCs w:val="22"/>
          <w:lang w:val="en-NZ" w:eastAsia="ko-KR"/>
        </w:rPr>
        <w:t>mangers. Re</w:t>
      </w:r>
      <w:r w:rsidR="000B3902" w:rsidRPr="004635E5">
        <w:rPr>
          <w:rFonts w:eastAsiaTheme="minorEastAsia"/>
          <w:sz w:val="22"/>
          <w:szCs w:val="22"/>
          <w:lang w:val="en-NZ" w:eastAsia="ko-KR"/>
        </w:rPr>
        <w:t xml:space="preserve">garding </w:t>
      </w:r>
      <w:r w:rsidR="0041022C" w:rsidRPr="004635E5">
        <w:rPr>
          <w:rFonts w:eastAsiaTheme="minorEastAsia"/>
          <w:sz w:val="22"/>
          <w:szCs w:val="22"/>
          <w:lang w:val="en-NZ" w:eastAsia="ko-KR"/>
        </w:rPr>
        <w:t xml:space="preserve">the </w:t>
      </w:r>
      <w:r w:rsidR="000B3902" w:rsidRPr="004635E5">
        <w:rPr>
          <w:rFonts w:eastAsiaTheme="minorEastAsia"/>
          <w:sz w:val="22"/>
          <w:szCs w:val="22"/>
          <w:lang w:val="en-NZ" w:eastAsia="ko-KR"/>
        </w:rPr>
        <w:t>choice of</w:t>
      </w:r>
      <w:r w:rsidRPr="004635E5">
        <w:rPr>
          <w:rFonts w:eastAsiaTheme="minorEastAsia"/>
          <w:sz w:val="22"/>
          <w:szCs w:val="22"/>
          <w:lang w:val="en-NZ" w:eastAsia="ko-KR"/>
        </w:rPr>
        <w:t xml:space="preserve"> CPUE, </w:t>
      </w:r>
      <w:r w:rsidR="0041022C" w:rsidRPr="004635E5">
        <w:rPr>
          <w:rFonts w:eastAsiaTheme="minorEastAsia"/>
          <w:sz w:val="22"/>
          <w:szCs w:val="22"/>
          <w:lang w:val="en-NZ" w:eastAsia="ko-KR"/>
        </w:rPr>
        <w:t xml:space="preserve">they </w:t>
      </w:r>
      <w:r w:rsidR="000B3902" w:rsidRPr="004635E5">
        <w:rPr>
          <w:rFonts w:eastAsiaTheme="minorEastAsia"/>
          <w:sz w:val="22"/>
          <w:szCs w:val="22"/>
          <w:lang w:val="en-NZ" w:eastAsia="ko-KR"/>
        </w:rPr>
        <w:t xml:space="preserve">noted the need to </w:t>
      </w:r>
      <w:r w:rsidR="0041022C" w:rsidRPr="004635E5">
        <w:rPr>
          <w:rFonts w:eastAsiaTheme="minorEastAsia"/>
          <w:sz w:val="22"/>
          <w:szCs w:val="22"/>
          <w:lang w:val="en-NZ" w:eastAsia="ko-KR"/>
        </w:rPr>
        <w:t xml:space="preserve">consider </w:t>
      </w:r>
      <w:r w:rsidRPr="004635E5">
        <w:rPr>
          <w:rFonts w:eastAsiaTheme="minorEastAsia"/>
          <w:sz w:val="22"/>
          <w:szCs w:val="22"/>
          <w:lang w:val="en-NZ" w:eastAsia="ko-KR"/>
        </w:rPr>
        <w:t>residual patter</w:t>
      </w:r>
      <w:r w:rsidR="00D23B14" w:rsidRPr="004635E5">
        <w:rPr>
          <w:rFonts w:eastAsiaTheme="minorEastAsia"/>
          <w:sz w:val="22"/>
          <w:szCs w:val="22"/>
          <w:lang w:val="en-NZ" w:eastAsia="ko-KR"/>
        </w:rPr>
        <w:t>ns</w:t>
      </w:r>
      <w:r w:rsidRPr="004635E5">
        <w:rPr>
          <w:rFonts w:eastAsiaTheme="minorEastAsia"/>
          <w:sz w:val="22"/>
          <w:szCs w:val="22"/>
          <w:lang w:val="en-NZ" w:eastAsia="ko-KR"/>
        </w:rPr>
        <w:t xml:space="preserve">. </w:t>
      </w:r>
      <w:r w:rsidR="00D23B14" w:rsidRPr="004635E5">
        <w:rPr>
          <w:rFonts w:eastAsiaTheme="minorEastAsia"/>
          <w:sz w:val="22"/>
          <w:szCs w:val="22"/>
          <w:lang w:val="en-NZ" w:eastAsia="ko-KR"/>
        </w:rPr>
        <w:t xml:space="preserve">SPC </w:t>
      </w:r>
      <w:r w:rsidR="000B3902" w:rsidRPr="004635E5">
        <w:rPr>
          <w:rFonts w:eastAsiaTheme="minorEastAsia"/>
          <w:sz w:val="22"/>
          <w:szCs w:val="22"/>
          <w:lang w:val="en-NZ" w:eastAsia="ko-KR"/>
        </w:rPr>
        <w:t xml:space="preserve">noted that </w:t>
      </w:r>
      <w:r w:rsidR="00D23B14" w:rsidRPr="004635E5">
        <w:rPr>
          <w:rFonts w:eastAsiaTheme="minorEastAsia"/>
          <w:sz w:val="22"/>
          <w:szCs w:val="22"/>
          <w:lang w:val="en-NZ" w:eastAsia="ko-KR"/>
        </w:rPr>
        <w:t xml:space="preserve">this would be done, and that </w:t>
      </w:r>
      <w:r w:rsidR="000B3902" w:rsidRPr="004635E5">
        <w:rPr>
          <w:rFonts w:eastAsiaTheme="minorEastAsia"/>
          <w:sz w:val="22"/>
          <w:szCs w:val="22"/>
          <w:lang w:val="en-NZ" w:eastAsia="ko-KR"/>
        </w:rPr>
        <w:t xml:space="preserve">the overall focus was </w:t>
      </w:r>
      <w:r w:rsidR="0041022C" w:rsidRPr="004635E5">
        <w:rPr>
          <w:rFonts w:eastAsiaTheme="minorEastAsia"/>
          <w:sz w:val="22"/>
          <w:szCs w:val="22"/>
          <w:lang w:val="en-NZ" w:eastAsia="ko-KR"/>
        </w:rPr>
        <w:t xml:space="preserve">on </w:t>
      </w:r>
      <w:r w:rsidR="000B3902" w:rsidRPr="004635E5">
        <w:rPr>
          <w:rFonts w:eastAsiaTheme="minorEastAsia"/>
          <w:sz w:val="22"/>
          <w:szCs w:val="22"/>
          <w:lang w:val="en-NZ" w:eastAsia="ko-KR"/>
        </w:rPr>
        <w:t>a management</w:t>
      </w:r>
      <w:r w:rsidRPr="004635E5">
        <w:rPr>
          <w:rFonts w:eastAsiaTheme="minorEastAsia"/>
          <w:sz w:val="22"/>
          <w:szCs w:val="22"/>
          <w:lang w:val="en-NZ" w:eastAsia="ko-KR"/>
        </w:rPr>
        <w:t xml:space="preserve"> procedure</w:t>
      </w:r>
      <w:r w:rsidR="000B3902" w:rsidRPr="004635E5">
        <w:rPr>
          <w:rFonts w:eastAsiaTheme="minorEastAsia"/>
          <w:sz w:val="22"/>
          <w:szCs w:val="22"/>
          <w:lang w:val="en-NZ" w:eastAsia="ko-KR"/>
        </w:rPr>
        <w:t xml:space="preserve">, with a </w:t>
      </w:r>
      <w:r w:rsidRPr="004635E5">
        <w:rPr>
          <w:rFonts w:eastAsiaTheme="minorEastAsia"/>
          <w:sz w:val="22"/>
          <w:szCs w:val="22"/>
          <w:lang w:val="en-NZ" w:eastAsia="ko-KR"/>
        </w:rPr>
        <w:t>harve</w:t>
      </w:r>
      <w:r w:rsidR="000B3902" w:rsidRPr="004635E5">
        <w:rPr>
          <w:rFonts w:eastAsiaTheme="minorEastAsia"/>
          <w:sz w:val="22"/>
          <w:szCs w:val="22"/>
          <w:lang w:val="en-NZ" w:eastAsia="ko-KR"/>
        </w:rPr>
        <w:t>s</w:t>
      </w:r>
      <w:r w:rsidRPr="004635E5">
        <w:rPr>
          <w:rFonts w:eastAsiaTheme="minorEastAsia"/>
          <w:sz w:val="22"/>
          <w:szCs w:val="22"/>
          <w:lang w:val="en-NZ" w:eastAsia="ko-KR"/>
        </w:rPr>
        <w:t xml:space="preserve">t control rule </w:t>
      </w:r>
      <w:r w:rsidR="000B3902" w:rsidRPr="004635E5">
        <w:rPr>
          <w:rFonts w:eastAsiaTheme="minorEastAsia"/>
          <w:sz w:val="22"/>
          <w:szCs w:val="22"/>
          <w:lang w:val="en-NZ" w:eastAsia="ko-KR"/>
        </w:rPr>
        <w:t xml:space="preserve">as </w:t>
      </w:r>
      <w:r w:rsidRPr="004635E5">
        <w:rPr>
          <w:rFonts w:eastAsiaTheme="minorEastAsia"/>
          <w:sz w:val="22"/>
          <w:szCs w:val="22"/>
          <w:lang w:val="en-NZ" w:eastAsia="ko-KR"/>
        </w:rPr>
        <w:t xml:space="preserve">one element. </w:t>
      </w:r>
    </w:p>
    <w:p w14:paraId="5BC3FA4C"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086623AF" w14:textId="77777777" w:rsidR="00AC07F4" w:rsidRPr="004635E5" w:rsidRDefault="00AC07F4"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Indo</w:t>
      </w:r>
      <w:r w:rsidR="00395A39" w:rsidRPr="004635E5">
        <w:rPr>
          <w:rFonts w:eastAsiaTheme="minorEastAsia"/>
          <w:sz w:val="22"/>
          <w:szCs w:val="22"/>
          <w:lang w:val="en-NZ" w:eastAsia="ko-KR"/>
        </w:rPr>
        <w:t xml:space="preserve">nesia inquired how, when simulating the true dynamics of a fishery, the model took into account </w:t>
      </w:r>
      <w:r w:rsidRPr="004635E5">
        <w:rPr>
          <w:rFonts w:eastAsiaTheme="minorEastAsia"/>
          <w:sz w:val="22"/>
          <w:szCs w:val="22"/>
          <w:lang w:val="en-NZ" w:eastAsia="ko-KR"/>
        </w:rPr>
        <w:t>diff</w:t>
      </w:r>
      <w:r w:rsidR="00395A39" w:rsidRPr="004635E5">
        <w:rPr>
          <w:rFonts w:eastAsiaTheme="minorEastAsia"/>
          <w:sz w:val="22"/>
          <w:szCs w:val="22"/>
          <w:lang w:val="en-NZ" w:eastAsia="ko-KR"/>
        </w:rPr>
        <w:t>erent</w:t>
      </w:r>
      <w:r w:rsidRPr="004635E5">
        <w:rPr>
          <w:rFonts w:eastAsiaTheme="minorEastAsia"/>
          <w:sz w:val="22"/>
          <w:szCs w:val="22"/>
          <w:lang w:val="en-NZ" w:eastAsia="ko-KR"/>
        </w:rPr>
        <w:t xml:space="preserve"> gears or fisheries</w:t>
      </w:r>
      <w:r w:rsidR="00395A39" w:rsidRPr="004635E5">
        <w:rPr>
          <w:rFonts w:eastAsiaTheme="minorEastAsia"/>
          <w:sz w:val="22"/>
          <w:szCs w:val="22"/>
          <w:lang w:val="en-NZ" w:eastAsia="ko-KR"/>
        </w:rPr>
        <w:t xml:space="preserve"> (e.</w:t>
      </w:r>
      <w:r w:rsidRPr="004635E5">
        <w:rPr>
          <w:rFonts w:eastAsiaTheme="minorEastAsia"/>
          <w:sz w:val="22"/>
          <w:szCs w:val="22"/>
          <w:lang w:val="en-NZ" w:eastAsia="ko-KR"/>
        </w:rPr>
        <w:t>g.</w:t>
      </w:r>
      <w:r w:rsidR="00395A39" w:rsidRPr="004635E5">
        <w:rPr>
          <w:rFonts w:eastAsiaTheme="minorEastAsia"/>
          <w:sz w:val="22"/>
          <w:szCs w:val="22"/>
          <w:lang w:val="en-NZ" w:eastAsia="ko-KR"/>
        </w:rPr>
        <w:t>,</w:t>
      </w:r>
      <w:r w:rsidRPr="004635E5">
        <w:rPr>
          <w:rFonts w:eastAsiaTheme="minorEastAsia"/>
          <w:sz w:val="22"/>
          <w:szCs w:val="22"/>
          <w:lang w:val="en-NZ" w:eastAsia="ko-KR"/>
        </w:rPr>
        <w:t xml:space="preserve"> </w:t>
      </w:r>
      <w:r w:rsidR="0041022C" w:rsidRPr="004635E5">
        <w:rPr>
          <w:rFonts w:eastAsiaTheme="minorEastAsia"/>
          <w:sz w:val="22"/>
          <w:szCs w:val="22"/>
          <w:lang w:val="en-NZ" w:eastAsia="ko-KR"/>
        </w:rPr>
        <w:t xml:space="preserve">pole and line </w:t>
      </w:r>
      <w:r w:rsidRPr="004635E5">
        <w:rPr>
          <w:rFonts w:eastAsiaTheme="minorEastAsia"/>
          <w:sz w:val="22"/>
          <w:szCs w:val="22"/>
          <w:lang w:val="en-NZ" w:eastAsia="ko-KR"/>
        </w:rPr>
        <w:t xml:space="preserve">or </w:t>
      </w:r>
      <w:r w:rsidR="0041022C" w:rsidRPr="004635E5">
        <w:rPr>
          <w:rFonts w:eastAsiaTheme="minorEastAsia"/>
          <w:sz w:val="22"/>
          <w:szCs w:val="22"/>
          <w:lang w:val="en-NZ" w:eastAsia="ko-KR"/>
        </w:rPr>
        <w:t>longline</w:t>
      </w:r>
      <w:r w:rsidR="00395A39" w:rsidRPr="004635E5">
        <w:rPr>
          <w:rFonts w:eastAsiaTheme="minorEastAsia"/>
          <w:sz w:val="22"/>
          <w:szCs w:val="22"/>
          <w:lang w:val="en-NZ" w:eastAsia="ko-KR"/>
        </w:rPr>
        <w:t>)</w:t>
      </w:r>
      <w:r w:rsidRPr="004635E5">
        <w:rPr>
          <w:rFonts w:eastAsiaTheme="minorEastAsia"/>
          <w:sz w:val="22"/>
          <w:szCs w:val="22"/>
          <w:lang w:val="en-NZ" w:eastAsia="ko-KR"/>
        </w:rPr>
        <w:t xml:space="preserve">, </w:t>
      </w:r>
      <w:r w:rsidR="00395A39" w:rsidRPr="004635E5">
        <w:rPr>
          <w:rFonts w:eastAsiaTheme="minorEastAsia"/>
          <w:sz w:val="22"/>
          <w:szCs w:val="22"/>
          <w:lang w:val="en-NZ" w:eastAsia="ko-KR"/>
        </w:rPr>
        <w:t xml:space="preserve">and </w:t>
      </w:r>
      <w:r w:rsidRPr="004635E5">
        <w:rPr>
          <w:rFonts w:eastAsiaTheme="minorEastAsia"/>
          <w:sz w:val="22"/>
          <w:szCs w:val="22"/>
          <w:lang w:val="en-NZ" w:eastAsia="ko-KR"/>
        </w:rPr>
        <w:t>gear interaction</w:t>
      </w:r>
      <w:r w:rsidR="00395A39" w:rsidRPr="004635E5">
        <w:rPr>
          <w:rFonts w:eastAsiaTheme="minorEastAsia"/>
          <w:sz w:val="22"/>
          <w:szCs w:val="22"/>
          <w:lang w:val="en-NZ" w:eastAsia="ko-KR"/>
        </w:rPr>
        <w:t>.</w:t>
      </w:r>
      <w:r w:rsidRPr="004635E5">
        <w:rPr>
          <w:rFonts w:eastAsiaTheme="minorEastAsia"/>
          <w:sz w:val="22"/>
          <w:szCs w:val="22"/>
          <w:lang w:val="en-NZ" w:eastAsia="ko-KR"/>
        </w:rPr>
        <w:t xml:space="preserve"> </w:t>
      </w:r>
      <w:r w:rsidR="00D23B14" w:rsidRPr="004635E5">
        <w:rPr>
          <w:rFonts w:eastAsiaTheme="minorEastAsia"/>
          <w:sz w:val="22"/>
          <w:szCs w:val="22"/>
          <w:lang w:val="en-NZ" w:eastAsia="ko-KR"/>
        </w:rPr>
        <w:t xml:space="preserve">SPC </w:t>
      </w:r>
      <w:r w:rsidR="00395A39" w:rsidRPr="004635E5">
        <w:rPr>
          <w:rFonts w:eastAsiaTheme="minorEastAsia"/>
          <w:sz w:val="22"/>
          <w:szCs w:val="22"/>
          <w:lang w:val="en-NZ" w:eastAsia="ko-KR"/>
        </w:rPr>
        <w:t xml:space="preserve">noted this occurred through the </w:t>
      </w:r>
      <w:r w:rsidR="00D23B14" w:rsidRPr="004635E5">
        <w:rPr>
          <w:rFonts w:eastAsiaTheme="minorEastAsia"/>
          <w:sz w:val="22"/>
          <w:szCs w:val="22"/>
          <w:lang w:val="en-NZ" w:eastAsia="ko-KR"/>
        </w:rPr>
        <w:t xml:space="preserve">fleet </w:t>
      </w:r>
      <w:r w:rsidRPr="004635E5">
        <w:rPr>
          <w:rFonts w:eastAsiaTheme="minorEastAsia"/>
          <w:sz w:val="22"/>
          <w:szCs w:val="22"/>
          <w:lang w:val="en-NZ" w:eastAsia="ko-KR"/>
        </w:rPr>
        <w:t>sel</w:t>
      </w:r>
      <w:r w:rsidR="00395A39" w:rsidRPr="004635E5">
        <w:rPr>
          <w:rFonts w:eastAsiaTheme="minorEastAsia"/>
          <w:sz w:val="22"/>
          <w:szCs w:val="22"/>
          <w:lang w:val="en-NZ" w:eastAsia="ko-KR"/>
        </w:rPr>
        <w:t>e</w:t>
      </w:r>
      <w:r w:rsidRPr="004635E5">
        <w:rPr>
          <w:rFonts w:eastAsiaTheme="minorEastAsia"/>
          <w:sz w:val="22"/>
          <w:szCs w:val="22"/>
          <w:lang w:val="en-NZ" w:eastAsia="ko-KR"/>
        </w:rPr>
        <w:t xml:space="preserve">ctivity and catchability </w:t>
      </w:r>
      <w:r w:rsidR="00D23B14" w:rsidRPr="004635E5">
        <w:rPr>
          <w:rFonts w:eastAsiaTheme="minorEastAsia"/>
          <w:sz w:val="22"/>
          <w:szCs w:val="22"/>
          <w:lang w:val="en-NZ" w:eastAsia="ko-KR"/>
        </w:rPr>
        <w:t>parameters</w:t>
      </w:r>
      <w:r w:rsidRPr="004635E5">
        <w:rPr>
          <w:rFonts w:eastAsiaTheme="minorEastAsia"/>
          <w:sz w:val="22"/>
          <w:szCs w:val="22"/>
          <w:lang w:val="en-NZ" w:eastAsia="ko-KR"/>
        </w:rPr>
        <w:t xml:space="preserve">. </w:t>
      </w:r>
      <w:r w:rsidR="00395A39" w:rsidRPr="004635E5">
        <w:rPr>
          <w:rFonts w:eastAsiaTheme="minorEastAsia"/>
          <w:sz w:val="22"/>
          <w:szCs w:val="22"/>
          <w:lang w:val="en-NZ" w:eastAsia="ko-KR"/>
        </w:rPr>
        <w:t xml:space="preserve">The </w:t>
      </w:r>
      <w:r w:rsidRPr="004635E5">
        <w:rPr>
          <w:rFonts w:eastAsiaTheme="minorEastAsia"/>
          <w:sz w:val="22"/>
          <w:szCs w:val="22"/>
          <w:lang w:val="en-NZ" w:eastAsia="ko-KR"/>
        </w:rPr>
        <w:t xml:space="preserve">models </w:t>
      </w:r>
      <w:r w:rsidR="00153EAA">
        <w:rPr>
          <w:rFonts w:eastAsiaTheme="minorEastAsia"/>
          <w:sz w:val="22"/>
          <w:szCs w:val="22"/>
          <w:lang w:val="en-NZ" w:eastAsia="ko-KR"/>
        </w:rPr>
        <w:t xml:space="preserve">that </w:t>
      </w:r>
      <w:r w:rsidR="00395A39" w:rsidRPr="004635E5">
        <w:rPr>
          <w:rFonts w:eastAsiaTheme="minorEastAsia"/>
          <w:sz w:val="22"/>
          <w:szCs w:val="22"/>
          <w:lang w:val="en-NZ" w:eastAsia="ko-KR"/>
        </w:rPr>
        <w:t>simulate the underlying b</w:t>
      </w:r>
      <w:r w:rsidRPr="004635E5">
        <w:rPr>
          <w:rFonts w:eastAsiaTheme="minorEastAsia"/>
          <w:sz w:val="22"/>
          <w:szCs w:val="22"/>
          <w:lang w:val="en-NZ" w:eastAsia="ko-KR"/>
        </w:rPr>
        <w:t>i</w:t>
      </w:r>
      <w:r w:rsidR="00395A39" w:rsidRPr="004635E5">
        <w:rPr>
          <w:rFonts w:eastAsiaTheme="minorEastAsia"/>
          <w:sz w:val="22"/>
          <w:szCs w:val="22"/>
          <w:lang w:val="en-NZ" w:eastAsia="ko-KR"/>
        </w:rPr>
        <w:t xml:space="preserve">ology </w:t>
      </w:r>
      <w:r w:rsidRPr="004635E5">
        <w:rPr>
          <w:rFonts w:eastAsiaTheme="minorEastAsia"/>
          <w:sz w:val="22"/>
          <w:szCs w:val="22"/>
          <w:lang w:val="en-NZ" w:eastAsia="ko-KR"/>
        </w:rPr>
        <w:t xml:space="preserve">and </w:t>
      </w:r>
      <w:r w:rsidR="00395A39" w:rsidRPr="004635E5">
        <w:rPr>
          <w:rFonts w:eastAsiaTheme="minorEastAsia"/>
          <w:sz w:val="22"/>
          <w:szCs w:val="22"/>
          <w:lang w:val="en-NZ" w:eastAsia="ko-KR"/>
        </w:rPr>
        <w:t>the fi</w:t>
      </w:r>
      <w:r w:rsidRPr="004635E5">
        <w:rPr>
          <w:rFonts w:eastAsiaTheme="minorEastAsia"/>
          <w:sz w:val="22"/>
          <w:szCs w:val="22"/>
          <w:lang w:val="en-NZ" w:eastAsia="ko-KR"/>
        </w:rPr>
        <w:t xml:space="preserve">shery </w:t>
      </w:r>
      <w:r w:rsidR="00153EAA">
        <w:rPr>
          <w:rFonts w:eastAsiaTheme="minorEastAsia"/>
          <w:sz w:val="22"/>
          <w:szCs w:val="22"/>
          <w:lang w:val="en-NZ" w:eastAsia="ko-KR"/>
        </w:rPr>
        <w:t>are</w:t>
      </w:r>
      <w:r w:rsidR="00153EAA" w:rsidRPr="004635E5">
        <w:rPr>
          <w:rFonts w:eastAsiaTheme="minorEastAsia"/>
          <w:sz w:val="22"/>
          <w:szCs w:val="22"/>
          <w:lang w:val="en-NZ" w:eastAsia="ko-KR"/>
        </w:rPr>
        <w:t xml:space="preserve"> </w:t>
      </w:r>
      <w:r w:rsidRPr="004635E5">
        <w:rPr>
          <w:rFonts w:eastAsiaTheme="minorEastAsia"/>
          <w:sz w:val="22"/>
          <w:szCs w:val="22"/>
          <w:lang w:val="en-NZ" w:eastAsia="ko-KR"/>
        </w:rPr>
        <w:t xml:space="preserve">based on </w:t>
      </w:r>
      <w:r w:rsidR="00AC6EE0" w:rsidRPr="004635E5">
        <w:rPr>
          <w:rFonts w:eastAsiaTheme="minorEastAsia"/>
          <w:sz w:val="22"/>
          <w:szCs w:val="22"/>
          <w:lang w:val="en-NZ" w:eastAsia="ko-KR"/>
        </w:rPr>
        <w:t xml:space="preserve">Multifan </w:t>
      </w:r>
      <w:r w:rsidRPr="004635E5">
        <w:rPr>
          <w:rFonts w:eastAsiaTheme="minorEastAsia"/>
          <w:sz w:val="22"/>
          <w:szCs w:val="22"/>
          <w:lang w:val="en-NZ" w:eastAsia="ko-KR"/>
        </w:rPr>
        <w:t>CL, which would capture these elements</w:t>
      </w:r>
      <w:r w:rsidR="00A2648C" w:rsidRPr="004635E5">
        <w:rPr>
          <w:rFonts w:eastAsiaTheme="minorEastAsia"/>
          <w:sz w:val="22"/>
          <w:szCs w:val="22"/>
          <w:lang w:val="en-NZ" w:eastAsia="ko-KR"/>
        </w:rPr>
        <w:t>.</w:t>
      </w:r>
    </w:p>
    <w:p w14:paraId="51739D88"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5B6F43A5" w14:textId="77777777" w:rsidR="00AC07F4" w:rsidRPr="004635E5" w:rsidRDefault="00AC07F4"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China</w:t>
      </w:r>
      <w:r w:rsidR="00AC6EE0" w:rsidRPr="004635E5">
        <w:rPr>
          <w:rFonts w:eastAsiaTheme="minorEastAsia"/>
          <w:sz w:val="22"/>
          <w:szCs w:val="22"/>
          <w:lang w:val="en-NZ" w:eastAsia="ko-KR"/>
        </w:rPr>
        <w:t xml:space="preserve"> supported the </w:t>
      </w:r>
      <w:r w:rsidR="005E01D0" w:rsidRPr="004635E5">
        <w:rPr>
          <w:rFonts w:eastAsiaTheme="minorEastAsia"/>
          <w:sz w:val="22"/>
          <w:szCs w:val="22"/>
          <w:lang w:val="en-NZ" w:eastAsia="ko-KR"/>
        </w:rPr>
        <w:t>rec</w:t>
      </w:r>
      <w:r w:rsidR="00AC6EE0" w:rsidRPr="004635E5">
        <w:rPr>
          <w:rFonts w:eastAsiaTheme="minorEastAsia"/>
          <w:sz w:val="22"/>
          <w:szCs w:val="22"/>
          <w:lang w:val="en-NZ" w:eastAsia="ko-KR"/>
        </w:rPr>
        <w:t>ommendation</w:t>
      </w:r>
      <w:r w:rsidR="005E01D0" w:rsidRPr="004635E5">
        <w:rPr>
          <w:rFonts w:eastAsiaTheme="minorEastAsia"/>
          <w:sz w:val="22"/>
          <w:szCs w:val="22"/>
          <w:lang w:val="en-NZ" w:eastAsia="ko-KR"/>
        </w:rPr>
        <w:t>s</w:t>
      </w:r>
      <w:r w:rsidR="00AC6EE0" w:rsidRPr="004635E5">
        <w:rPr>
          <w:rFonts w:eastAsiaTheme="minorEastAsia"/>
          <w:sz w:val="22"/>
          <w:szCs w:val="22"/>
          <w:lang w:val="en-NZ" w:eastAsia="ko-KR"/>
        </w:rPr>
        <w:t xml:space="preserve">, noting the need for guidelines from the </w:t>
      </w:r>
      <w:r w:rsidR="005E01D0" w:rsidRPr="004635E5">
        <w:rPr>
          <w:rFonts w:eastAsiaTheme="minorEastAsia"/>
          <w:sz w:val="22"/>
          <w:szCs w:val="22"/>
          <w:lang w:val="en-NZ" w:eastAsia="ko-KR"/>
        </w:rPr>
        <w:t>Comm</w:t>
      </w:r>
      <w:r w:rsidR="00AC6EE0" w:rsidRPr="004635E5">
        <w:rPr>
          <w:rFonts w:eastAsiaTheme="minorEastAsia"/>
          <w:sz w:val="22"/>
          <w:szCs w:val="22"/>
          <w:lang w:val="en-NZ" w:eastAsia="ko-KR"/>
        </w:rPr>
        <w:t>ission</w:t>
      </w:r>
      <w:r w:rsidR="005E01D0" w:rsidRPr="004635E5">
        <w:rPr>
          <w:rFonts w:eastAsiaTheme="minorEastAsia"/>
          <w:sz w:val="22"/>
          <w:szCs w:val="22"/>
          <w:lang w:val="en-NZ" w:eastAsia="ko-KR"/>
        </w:rPr>
        <w:t xml:space="preserve">. </w:t>
      </w:r>
    </w:p>
    <w:p w14:paraId="5682F798"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79615636" w14:textId="77777777" w:rsidR="005E01D0" w:rsidRPr="004635E5" w:rsidRDefault="005E01D0"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Aus</w:t>
      </w:r>
      <w:r w:rsidR="00AC6EE0" w:rsidRPr="004635E5">
        <w:rPr>
          <w:rFonts w:eastAsiaTheme="minorEastAsia"/>
          <w:sz w:val="22"/>
          <w:szCs w:val="22"/>
          <w:lang w:val="en-NZ" w:eastAsia="ko-KR"/>
        </w:rPr>
        <w:t xml:space="preserve">tralia supported the </w:t>
      </w:r>
      <w:r w:rsidRPr="004635E5">
        <w:rPr>
          <w:rFonts w:eastAsiaTheme="minorEastAsia"/>
          <w:sz w:val="22"/>
          <w:szCs w:val="22"/>
          <w:lang w:val="en-NZ" w:eastAsia="ko-KR"/>
        </w:rPr>
        <w:t xml:space="preserve">overall approach </w:t>
      </w:r>
      <w:r w:rsidR="00AC6EE0" w:rsidRPr="004635E5">
        <w:rPr>
          <w:rFonts w:eastAsiaTheme="minorEastAsia"/>
          <w:sz w:val="22"/>
          <w:szCs w:val="22"/>
          <w:lang w:val="en-NZ" w:eastAsia="ko-KR"/>
        </w:rPr>
        <w:t xml:space="preserve">and the </w:t>
      </w:r>
      <w:r w:rsidRPr="004635E5">
        <w:rPr>
          <w:rFonts w:eastAsiaTheme="minorEastAsia"/>
          <w:sz w:val="22"/>
          <w:szCs w:val="22"/>
          <w:lang w:val="en-NZ" w:eastAsia="ko-KR"/>
        </w:rPr>
        <w:t>rec</w:t>
      </w:r>
      <w:r w:rsidR="00AC6EE0" w:rsidRPr="004635E5">
        <w:rPr>
          <w:rFonts w:eastAsiaTheme="minorEastAsia"/>
          <w:sz w:val="22"/>
          <w:szCs w:val="22"/>
          <w:lang w:val="en-NZ" w:eastAsia="ko-KR"/>
        </w:rPr>
        <w:t>ommendation</w:t>
      </w:r>
      <w:r w:rsidRPr="004635E5">
        <w:rPr>
          <w:rFonts w:eastAsiaTheme="minorEastAsia"/>
          <w:sz w:val="22"/>
          <w:szCs w:val="22"/>
          <w:lang w:val="en-NZ" w:eastAsia="ko-KR"/>
        </w:rPr>
        <w:t xml:space="preserve">s. </w:t>
      </w:r>
      <w:r w:rsidR="00AC6EE0" w:rsidRPr="004635E5">
        <w:rPr>
          <w:rFonts w:eastAsiaTheme="minorEastAsia"/>
          <w:sz w:val="22"/>
          <w:szCs w:val="22"/>
          <w:lang w:val="en-NZ" w:eastAsia="ko-KR"/>
        </w:rPr>
        <w:t>They supported the use of</w:t>
      </w:r>
      <w:r w:rsidRPr="004635E5">
        <w:rPr>
          <w:rFonts w:eastAsiaTheme="minorEastAsia"/>
          <w:sz w:val="22"/>
          <w:szCs w:val="22"/>
          <w:lang w:val="en-NZ" w:eastAsia="ko-KR"/>
        </w:rPr>
        <w:t xml:space="preserve"> </w:t>
      </w:r>
      <w:r w:rsidR="004421B3" w:rsidRPr="004635E5">
        <w:rPr>
          <w:rFonts w:eastAsiaTheme="minorEastAsia"/>
          <w:sz w:val="22"/>
          <w:szCs w:val="22"/>
          <w:lang w:val="en-NZ" w:eastAsia="ko-KR"/>
        </w:rPr>
        <w:t>longline</w:t>
      </w:r>
      <w:r w:rsidRPr="004635E5">
        <w:rPr>
          <w:rFonts w:eastAsiaTheme="minorEastAsia"/>
          <w:sz w:val="22"/>
          <w:szCs w:val="22"/>
          <w:lang w:val="en-NZ" w:eastAsia="ko-KR"/>
        </w:rPr>
        <w:t xml:space="preserve"> CPUE</w:t>
      </w:r>
      <w:r w:rsidR="00AC6EE0" w:rsidRPr="004635E5">
        <w:rPr>
          <w:rFonts w:eastAsiaTheme="minorEastAsia"/>
          <w:sz w:val="22"/>
          <w:szCs w:val="22"/>
          <w:lang w:val="en-NZ" w:eastAsia="ko-KR"/>
        </w:rPr>
        <w:t>, and suggest</w:t>
      </w:r>
      <w:r w:rsidR="00890CA8" w:rsidRPr="004635E5">
        <w:rPr>
          <w:rFonts w:eastAsiaTheme="minorEastAsia"/>
          <w:sz w:val="22"/>
          <w:szCs w:val="22"/>
          <w:lang w:val="en-NZ" w:eastAsia="ko-KR"/>
        </w:rPr>
        <w:t>ed</w:t>
      </w:r>
      <w:r w:rsidR="00AC6EE0" w:rsidRPr="004635E5">
        <w:rPr>
          <w:rFonts w:eastAsiaTheme="minorEastAsia"/>
          <w:sz w:val="22"/>
          <w:szCs w:val="22"/>
          <w:lang w:val="en-NZ" w:eastAsia="ko-KR"/>
        </w:rPr>
        <w:t xml:space="preserve"> </w:t>
      </w:r>
      <w:r w:rsidRPr="004635E5">
        <w:rPr>
          <w:rFonts w:eastAsiaTheme="minorEastAsia"/>
          <w:sz w:val="22"/>
          <w:szCs w:val="22"/>
          <w:lang w:val="en-NZ" w:eastAsia="ko-KR"/>
        </w:rPr>
        <w:t>some CPUE smoothing</w:t>
      </w:r>
      <w:r w:rsidR="00AC6EE0" w:rsidRPr="004635E5">
        <w:rPr>
          <w:rFonts w:eastAsiaTheme="minorEastAsia"/>
          <w:sz w:val="22"/>
          <w:szCs w:val="22"/>
          <w:lang w:val="en-NZ" w:eastAsia="ko-KR"/>
        </w:rPr>
        <w:t xml:space="preserve"> </w:t>
      </w:r>
      <w:r w:rsidRPr="004635E5">
        <w:rPr>
          <w:rFonts w:eastAsiaTheme="minorEastAsia"/>
          <w:sz w:val="22"/>
          <w:szCs w:val="22"/>
          <w:lang w:val="en-NZ" w:eastAsia="ko-KR"/>
        </w:rPr>
        <w:t xml:space="preserve">and maybe </w:t>
      </w:r>
      <w:r w:rsidR="00AC6EE0" w:rsidRPr="004635E5">
        <w:rPr>
          <w:rFonts w:eastAsiaTheme="minorEastAsia"/>
          <w:sz w:val="22"/>
          <w:szCs w:val="22"/>
          <w:lang w:val="en-NZ" w:eastAsia="ko-KR"/>
        </w:rPr>
        <w:t xml:space="preserve">the use of </w:t>
      </w:r>
      <w:r w:rsidRPr="004635E5">
        <w:rPr>
          <w:rFonts w:eastAsiaTheme="minorEastAsia"/>
          <w:sz w:val="22"/>
          <w:szCs w:val="22"/>
          <w:lang w:val="en-NZ" w:eastAsia="ko-KR"/>
        </w:rPr>
        <w:t>an ensemble app</w:t>
      </w:r>
      <w:r w:rsidR="00AC6EE0" w:rsidRPr="004635E5">
        <w:rPr>
          <w:rFonts w:eastAsiaTheme="minorEastAsia"/>
          <w:sz w:val="22"/>
          <w:szCs w:val="22"/>
          <w:lang w:val="en-NZ" w:eastAsia="ko-KR"/>
        </w:rPr>
        <w:t xml:space="preserve">roach </w:t>
      </w:r>
      <w:r w:rsidRPr="004635E5">
        <w:rPr>
          <w:rFonts w:eastAsiaTheme="minorEastAsia"/>
          <w:sz w:val="22"/>
          <w:szCs w:val="22"/>
          <w:lang w:val="en-NZ" w:eastAsia="ko-KR"/>
        </w:rPr>
        <w:t>to derive a sin</w:t>
      </w:r>
      <w:r w:rsidR="00AC6EE0" w:rsidRPr="004635E5">
        <w:rPr>
          <w:rFonts w:eastAsiaTheme="minorEastAsia"/>
          <w:sz w:val="22"/>
          <w:szCs w:val="22"/>
          <w:lang w:val="en-NZ" w:eastAsia="ko-KR"/>
        </w:rPr>
        <w:t xml:space="preserve">gle </w:t>
      </w:r>
      <w:r w:rsidRPr="004635E5">
        <w:rPr>
          <w:rFonts w:eastAsiaTheme="minorEastAsia"/>
          <w:sz w:val="22"/>
          <w:szCs w:val="22"/>
          <w:lang w:val="en-NZ" w:eastAsia="ko-KR"/>
        </w:rPr>
        <w:t>CPU</w:t>
      </w:r>
      <w:r w:rsidR="0041022C" w:rsidRPr="004635E5">
        <w:rPr>
          <w:rFonts w:eastAsiaTheme="minorEastAsia"/>
          <w:sz w:val="22"/>
          <w:szCs w:val="22"/>
          <w:lang w:val="en-NZ" w:eastAsia="ko-KR"/>
        </w:rPr>
        <w:t>E</w:t>
      </w:r>
      <w:r w:rsidRPr="004635E5">
        <w:rPr>
          <w:rFonts w:eastAsiaTheme="minorEastAsia"/>
          <w:sz w:val="22"/>
          <w:szCs w:val="22"/>
          <w:lang w:val="en-NZ" w:eastAsia="ko-KR"/>
        </w:rPr>
        <w:t xml:space="preserve"> from an ensemble of CPUEs. </w:t>
      </w:r>
      <w:r w:rsidR="00890CA8" w:rsidRPr="004635E5">
        <w:rPr>
          <w:rFonts w:eastAsiaTheme="minorEastAsia"/>
          <w:sz w:val="22"/>
          <w:szCs w:val="22"/>
          <w:lang w:val="en-NZ" w:eastAsia="ko-KR"/>
        </w:rPr>
        <w:t xml:space="preserve">They noted the need to </w:t>
      </w:r>
      <w:r w:rsidRPr="004635E5">
        <w:rPr>
          <w:rFonts w:eastAsiaTheme="minorEastAsia"/>
          <w:sz w:val="22"/>
          <w:szCs w:val="22"/>
          <w:lang w:val="en-NZ" w:eastAsia="ko-KR"/>
        </w:rPr>
        <w:t xml:space="preserve">avoid </w:t>
      </w:r>
      <w:r w:rsidR="00890CA8" w:rsidRPr="004635E5">
        <w:rPr>
          <w:rFonts w:eastAsiaTheme="minorEastAsia"/>
          <w:sz w:val="22"/>
          <w:szCs w:val="22"/>
          <w:lang w:val="en-NZ" w:eastAsia="ko-KR"/>
        </w:rPr>
        <w:t xml:space="preserve">large </w:t>
      </w:r>
      <w:r w:rsidRPr="004635E5">
        <w:rPr>
          <w:rFonts w:eastAsiaTheme="minorEastAsia"/>
          <w:sz w:val="22"/>
          <w:szCs w:val="22"/>
          <w:lang w:val="en-NZ" w:eastAsia="ko-KR"/>
        </w:rPr>
        <w:t xml:space="preserve">discontinuities in </w:t>
      </w:r>
      <w:r w:rsidR="0041022C" w:rsidRPr="004635E5">
        <w:rPr>
          <w:rFonts w:eastAsiaTheme="minorEastAsia"/>
          <w:sz w:val="22"/>
          <w:szCs w:val="22"/>
          <w:lang w:val="en-NZ" w:eastAsia="ko-KR"/>
        </w:rPr>
        <w:t xml:space="preserve">the </w:t>
      </w:r>
      <w:r w:rsidRPr="004635E5">
        <w:rPr>
          <w:rFonts w:eastAsiaTheme="minorEastAsia"/>
          <w:sz w:val="22"/>
          <w:szCs w:val="22"/>
          <w:lang w:val="en-NZ" w:eastAsia="ko-KR"/>
        </w:rPr>
        <w:t>harve</w:t>
      </w:r>
      <w:r w:rsidR="00890CA8" w:rsidRPr="004635E5">
        <w:rPr>
          <w:rFonts w:eastAsiaTheme="minorEastAsia"/>
          <w:sz w:val="22"/>
          <w:szCs w:val="22"/>
          <w:lang w:val="en-NZ" w:eastAsia="ko-KR"/>
        </w:rPr>
        <w:t>s</w:t>
      </w:r>
      <w:r w:rsidRPr="004635E5">
        <w:rPr>
          <w:rFonts w:eastAsiaTheme="minorEastAsia"/>
          <w:sz w:val="22"/>
          <w:szCs w:val="22"/>
          <w:lang w:val="en-NZ" w:eastAsia="ko-KR"/>
        </w:rPr>
        <w:t xml:space="preserve">t </w:t>
      </w:r>
      <w:r w:rsidR="0041022C" w:rsidRPr="004635E5">
        <w:rPr>
          <w:rFonts w:eastAsiaTheme="minorEastAsia"/>
          <w:sz w:val="22"/>
          <w:szCs w:val="22"/>
          <w:lang w:val="en-NZ" w:eastAsia="ko-KR"/>
        </w:rPr>
        <w:t xml:space="preserve">control </w:t>
      </w:r>
      <w:r w:rsidRPr="004635E5">
        <w:rPr>
          <w:rFonts w:eastAsiaTheme="minorEastAsia"/>
          <w:sz w:val="22"/>
          <w:szCs w:val="22"/>
          <w:lang w:val="en-NZ" w:eastAsia="ko-KR"/>
        </w:rPr>
        <w:t xml:space="preserve">function. </w:t>
      </w:r>
      <w:r w:rsidR="00E739D8" w:rsidRPr="004635E5">
        <w:rPr>
          <w:rFonts w:eastAsiaTheme="minorEastAsia"/>
          <w:sz w:val="22"/>
          <w:szCs w:val="22"/>
          <w:lang w:val="en-NZ" w:eastAsia="ko-KR"/>
        </w:rPr>
        <w:t>A</w:t>
      </w:r>
      <w:r w:rsidRPr="004635E5">
        <w:rPr>
          <w:rFonts w:eastAsiaTheme="minorEastAsia"/>
          <w:sz w:val="22"/>
          <w:szCs w:val="22"/>
          <w:lang w:val="en-NZ" w:eastAsia="ko-KR"/>
        </w:rPr>
        <w:t>dd</w:t>
      </w:r>
      <w:r w:rsidR="00E739D8" w:rsidRPr="004635E5">
        <w:rPr>
          <w:rFonts w:eastAsiaTheme="minorEastAsia"/>
          <w:sz w:val="22"/>
          <w:szCs w:val="22"/>
          <w:lang w:val="en-NZ" w:eastAsia="ko-KR"/>
        </w:rPr>
        <w:t>i</w:t>
      </w:r>
      <w:r w:rsidRPr="004635E5">
        <w:rPr>
          <w:rFonts w:eastAsiaTheme="minorEastAsia"/>
          <w:sz w:val="22"/>
          <w:szCs w:val="22"/>
          <w:lang w:val="en-NZ" w:eastAsia="ko-KR"/>
        </w:rPr>
        <w:t>t</w:t>
      </w:r>
      <w:r w:rsidR="00890CA8" w:rsidRPr="004635E5">
        <w:rPr>
          <w:rFonts w:eastAsiaTheme="minorEastAsia"/>
          <w:sz w:val="22"/>
          <w:szCs w:val="22"/>
          <w:lang w:val="en-NZ" w:eastAsia="ko-KR"/>
        </w:rPr>
        <w:t>ional</w:t>
      </w:r>
      <w:r w:rsidRPr="004635E5">
        <w:rPr>
          <w:rFonts w:eastAsiaTheme="minorEastAsia"/>
          <w:sz w:val="22"/>
          <w:szCs w:val="22"/>
          <w:lang w:val="en-NZ" w:eastAsia="ko-KR"/>
        </w:rPr>
        <w:t xml:space="preserve"> rules, such as max</w:t>
      </w:r>
      <w:r w:rsidR="00E739D8" w:rsidRPr="004635E5">
        <w:rPr>
          <w:rFonts w:eastAsiaTheme="minorEastAsia"/>
          <w:sz w:val="22"/>
          <w:szCs w:val="22"/>
          <w:lang w:val="en-NZ" w:eastAsia="ko-KR"/>
        </w:rPr>
        <w:t>imum</w:t>
      </w:r>
      <w:r w:rsidRPr="004635E5">
        <w:rPr>
          <w:rFonts w:eastAsiaTheme="minorEastAsia"/>
          <w:sz w:val="22"/>
          <w:szCs w:val="22"/>
          <w:lang w:val="en-NZ" w:eastAsia="ko-KR"/>
        </w:rPr>
        <w:t xml:space="preserve"> or min</w:t>
      </w:r>
      <w:r w:rsidR="00E739D8" w:rsidRPr="004635E5">
        <w:rPr>
          <w:rFonts w:eastAsiaTheme="minorEastAsia"/>
          <w:sz w:val="22"/>
          <w:szCs w:val="22"/>
          <w:lang w:val="en-NZ" w:eastAsia="ko-KR"/>
        </w:rPr>
        <w:t>imum</w:t>
      </w:r>
      <w:r w:rsidRPr="004635E5">
        <w:rPr>
          <w:rFonts w:eastAsiaTheme="minorEastAsia"/>
          <w:sz w:val="22"/>
          <w:szCs w:val="22"/>
          <w:lang w:val="en-NZ" w:eastAsia="ko-KR"/>
        </w:rPr>
        <w:t xml:space="preserve"> changes, </w:t>
      </w:r>
      <w:r w:rsidR="00E739D8" w:rsidRPr="004635E5">
        <w:rPr>
          <w:rFonts w:eastAsiaTheme="minorEastAsia"/>
          <w:sz w:val="22"/>
          <w:szCs w:val="22"/>
          <w:lang w:val="en-NZ" w:eastAsia="ko-KR"/>
        </w:rPr>
        <w:t xml:space="preserve">would </w:t>
      </w:r>
      <w:r w:rsidR="0041022C" w:rsidRPr="004635E5">
        <w:rPr>
          <w:rFonts w:eastAsiaTheme="minorEastAsia"/>
          <w:sz w:val="22"/>
          <w:szCs w:val="22"/>
          <w:lang w:val="en-NZ" w:eastAsia="ko-KR"/>
        </w:rPr>
        <w:t xml:space="preserve">also </w:t>
      </w:r>
      <w:r w:rsidRPr="004635E5">
        <w:rPr>
          <w:rFonts w:eastAsiaTheme="minorEastAsia"/>
          <w:sz w:val="22"/>
          <w:szCs w:val="22"/>
          <w:lang w:val="en-NZ" w:eastAsia="ko-KR"/>
        </w:rPr>
        <w:t xml:space="preserve">need to be tested. </w:t>
      </w:r>
      <w:r w:rsidR="00E739D8" w:rsidRPr="004635E5">
        <w:rPr>
          <w:rFonts w:eastAsiaTheme="minorEastAsia"/>
          <w:sz w:val="22"/>
          <w:szCs w:val="22"/>
          <w:lang w:val="en-NZ" w:eastAsia="ko-KR"/>
        </w:rPr>
        <w:t>A s</w:t>
      </w:r>
      <w:r w:rsidRPr="004635E5">
        <w:rPr>
          <w:rFonts w:eastAsiaTheme="minorEastAsia"/>
          <w:sz w:val="22"/>
          <w:szCs w:val="22"/>
          <w:lang w:val="en-NZ" w:eastAsia="ko-KR"/>
        </w:rPr>
        <w:t>c</w:t>
      </w:r>
      <w:r w:rsidR="00E739D8" w:rsidRPr="004635E5">
        <w:rPr>
          <w:rFonts w:eastAsiaTheme="minorEastAsia"/>
          <w:sz w:val="22"/>
          <w:szCs w:val="22"/>
          <w:lang w:val="en-NZ" w:eastAsia="ko-KR"/>
        </w:rPr>
        <w:t>h</w:t>
      </w:r>
      <w:r w:rsidRPr="004635E5">
        <w:rPr>
          <w:rFonts w:eastAsiaTheme="minorEastAsia"/>
          <w:sz w:val="22"/>
          <w:szCs w:val="22"/>
          <w:lang w:val="en-NZ" w:eastAsia="ko-KR"/>
        </w:rPr>
        <w:t>e</w:t>
      </w:r>
      <w:r w:rsidR="00E739D8" w:rsidRPr="004635E5">
        <w:rPr>
          <w:rFonts w:eastAsiaTheme="minorEastAsia"/>
          <w:sz w:val="22"/>
          <w:szCs w:val="22"/>
          <w:lang w:val="en-NZ" w:eastAsia="ko-KR"/>
        </w:rPr>
        <w:t>d</w:t>
      </w:r>
      <w:r w:rsidRPr="004635E5">
        <w:rPr>
          <w:rFonts w:eastAsiaTheme="minorEastAsia"/>
          <w:sz w:val="22"/>
          <w:szCs w:val="22"/>
          <w:lang w:val="en-NZ" w:eastAsia="ko-KR"/>
        </w:rPr>
        <w:t>ule for tech</w:t>
      </w:r>
      <w:r w:rsidR="00E739D8" w:rsidRPr="004635E5">
        <w:rPr>
          <w:rFonts w:eastAsiaTheme="minorEastAsia"/>
          <w:sz w:val="22"/>
          <w:szCs w:val="22"/>
          <w:lang w:val="en-NZ" w:eastAsia="ko-KR"/>
        </w:rPr>
        <w:t>nical</w:t>
      </w:r>
      <w:r w:rsidRPr="004635E5">
        <w:rPr>
          <w:rFonts w:eastAsiaTheme="minorEastAsia"/>
          <w:sz w:val="22"/>
          <w:szCs w:val="22"/>
          <w:lang w:val="en-NZ" w:eastAsia="ko-KR"/>
        </w:rPr>
        <w:t xml:space="preserve"> work </w:t>
      </w:r>
      <w:r w:rsidR="00E739D8" w:rsidRPr="004635E5">
        <w:rPr>
          <w:rFonts w:eastAsiaTheme="minorEastAsia"/>
          <w:sz w:val="22"/>
          <w:szCs w:val="22"/>
          <w:lang w:val="en-NZ" w:eastAsia="ko-KR"/>
        </w:rPr>
        <w:t xml:space="preserve">would </w:t>
      </w:r>
      <w:r w:rsidRPr="004635E5">
        <w:rPr>
          <w:rFonts w:eastAsiaTheme="minorEastAsia"/>
          <w:sz w:val="22"/>
          <w:szCs w:val="22"/>
          <w:lang w:val="en-NZ" w:eastAsia="ko-KR"/>
        </w:rPr>
        <w:t xml:space="preserve">be very useful. </w:t>
      </w:r>
    </w:p>
    <w:p w14:paraId="26354736"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64F9A42D" w14:textId="77777777" w:rsidR="005E01D0" w:rsidRPr="004635E5" w:rsidRDefault="00E739D8"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The </w:t>
      </w:r>
      <w:r w:rsidR="005E01D0" w:rsidRPr="004635E5">
        <w:rPr>
          <w:rFonts w:eastAsiaTheme="minorEastAsia"/>
          <w:sz w:val="22"/>
          <w:szCs w:val="22"/>
          <w:lang w:val="en-NZ" w:eastAsia="ko-KR"/>
        </w:rPr>
        <w:t xml:space="preserve">EU </w:t>
      </w:r>
      <w:r w:rsidRPr="004635E5">
        <w:rPr>
          <w:rFonts w:eastAsiaTheme="minorEastAsia"/>
          <w:sz w:val="22"/>
          <w:szCs w:val="22"/>
          <w:lang w:val="en-NZ" w:eastAsia="ko-KR"/>
        </w:rPr>
        <w:t xml:space="preserve">noted Japan’s comments </w:t>
      </w:r>
      <w:r w:rsidR="005E01D0" w:rsidRPr="004635E5">
        <w:rPr>
          <w:rFonts w:eastAsiaTheme="minorEastAsia"/>
          <w:sz w:val="22"/>
          <w:szCs w:val="22"/>
          <w:lang w:val="en-NZ" w:eastAsia="ko-KR"/>
        </w:rPr>
        <w:t>re</w:t>
      </w:r>
      <w:r w:rsidRPr="004635E5">
        <w:rPr>
          <w:rFonts w:eastAsiaTheme="minorEastAsia"/>
          <w:sz w:val="22"/>
          <w:szCs w:val="22"/>
          <w:lang w:val="en-NZ" w:eastAsia="ko-KR"/>
        </w:rPr>
        <w:t>garding</w:t>
      </w:r>
      <w:r w:rsidR="005E01D0" w:rsidRPr="004635E5">
        <w:rPr>
          <w:rFonts w:eastAsiaTheme="minorEastAsia"/>
          <w:sz w:val="22"/>
          <w:szCs w:val="22"/>
          <w:lang w:val="en-NZ" w:eastAsia="ko-KR"/>
        </w:rPr>
        <w:t xml:space="preserve"> interaction between sci</w:t>
      </w:r>
      <w:r w:rsidRPr="004635E5">
        <w:rPr>
          <w:rFonts w:eastAsiaTheme="minorEastAsia"/>
          <w:sz w:val="22"/>
          <w:szCs w:val="22"/>
          <w:lang w:val="en-NZ" w:eastAsia="ko-KR"/>
        </w:rPr>
        <w:t>entists</w:t>
      </w:r>
      <w:r w:rsidR="005E01D0" w:rsidRPr="004635E5">
        <w:rPr>
          <w:rFonts w:eastAsiaTheme="minorEastAsia"/>
          <w:sz w:val="22"/>
          <w:szCs w:val="22"/>
          <w:lang w:val="en-NZ" w:eastAsia="ko-KR"/>
        </w:rPr>
        <w:t xml:space="preserve"> and managers, </w:t>
      </w:r>
      <w:r w:rsidRPr="004635E5">
        <w:rPr>
          <w:rFonts w:eastAsiaTheme="minorEastAsia"/>
          <w:sz w:val="22"/>
          <w:szCs w:val="22"/>
          <w:lang w:val="en-NZ" w:eastAsia="ko-KR"/>
        </w:rPr>
        <w:t xml:space="preserve">and inquired how the </w:t>
      </w:r>
      <w:r w:rsidR="005E01D0" w:rsidRPr="004635E5">
        <w:rPr>
          <w:rFonts w:eastAsiaTheme="minorEastAsia"/>
          <w:sz w:val="22"/>
          <w:szCs w:val="22"/>
          <w:lang w:val="en-NZ" w:eastAsia="ko-KR"/>
        </w:rPr>
        <w:t xml:space="preserve">plan </w:t>
      </w:r>
      <w:r w:rsidRPr="004635E5">
        <w:rPr>
          <w:rFonts w:eastAsiaTheme="minorEastAsia"/>
          <w:sz w:val="22"/>
          <w:szCs w:val="22"/>
          <w:lang w:val="en-NZ" w:eastAsia="ko-KR"/>
        </w:rPr>
        <w:t xml:space="preserve">could </w:t>
      </w:r>
      <w:r w:rsidR="005E01D0" w:rsidRPr="004635E5">
        <w:rPr>
          <w:rFonts w:eastAsiaTheme="minorEastAsia"/>
          <w:sz w:val="22"/>
          <w:szCs w:val="22"/>
          <w:lang w:val="en-NZ" w:eastAsia="ko-KR"/>
        </w:rPr>
        <w:t xml:space="preserve">ensure that this takes place, and when </w:t>
      </w:r>
      <w:r w:rsidRPr="004635E5">
        <w:rPr>
          <w:rFonts w:eastAsiaTheme="minorEastAsia"/>
          <w:sz w:val="22"/>
          <w:szCs w:val="22"/>
          <w:lang w:val="en-NZ" w:eastAsia="ko-KR"/>
        </w:rPr>
        <w:t xml:space="preserve">it would </w:t>
      </w:r>
      <w:r w:rsidR="005E01D0" w:rsidRPr="004635E5">
        <w:rPr>
          <w:rFonts w:eastAsiaTheme="minorEastAsia"/>
          <w:sz w:val="22"/>
          <w:szCs w:val="22"/>
          <w:lang w:val="en-NZ" w:eastAsia="ko-KR"/>
        </w:rPr>
        <w:t xml:space="preserve">happen. </w:t>
      </w:r>
      <w:r w:rsidRPr="004635E5">
        <w:rPr>
          <w:rFonts w:eastAsiaTheme="minorEastAsia"/>
          <w:sz w:val="22"/>
          <w:szCs w:val="22"/>
          <w:lang w:val="en-AU" w:eastAsia="ko-KR"/>
        </w:rPr>
        <w:t xml:space="preserve">The </w:t>
      </w:r>
      <w:r w:rsidR="0041022C" w:rsidRPr="004635E5">
        <w:rPr>
          <w:rFonts w:eastAsiaTheme="minorEastAsia"/>
          <w:sz w:val="22"/>
          <w:szCs w:val="22"/>
          <w:lang w:val="en-AU" w:eastAsia="ko-KR"/>
        </w:rPr>
        <w:t>c</w:t>
      </w:r>
      <w:r w:rsidRPr="004635E5">
        <w:rPr>
          <w:rFonts w:eastAsiaTheme="minorEastAsia"/>
          <w:sz w:val="22"/>
          <w:szCs w:val="22"/>
          <w:lang w:val="en-AU" w:eastAsia="ko-KR"/>
        </w:rPr>
        <w:t>onvenor noted that there would be a paper and discussion on the proposed Science/Mangers dialogue meeting</w:t>
      </w:r>
      <w:r w:rsidR="00EC296A" w:rsidRPr="004635E5">
        <w:rPr>
          <w:rFonts w:eastAsiaTheme="minorEastAsia"/>
          <w:sz w:val="22"/>
          <w:szCs w:val="22"/>
          <w:lang w:val="en-NZ" w:eastAsia="ko-KR"/>
        </w:rPr>
        <w:t xml:space="preserve">. </w:t>
      </w:r>
      <w:r w:rsidRPr="004635E5">
        <w:rPr>
          <w:rFonts w:eastAsiaTheme="minorEastAsia"/>
          <w:sz w:val="22"/>
          <w:szCs w:val="22"/>
          <w:lang w:val="en-NZ" w:eastAsia="ko-KR"/>
        </w:rPr>
        <w:t>In response to a query regarding choosing</w:t>
      </w:r>
      <w:r w:rsidR="00EC296A" w:rsidRPr="004635E5">
        <w:rPr>
          <w:rFonts w:eastAsiaTheme="minorEastAsia"/>
          <w:sz w:val="22"/>
          <w:szCs w:val="22"/>
          <w:lang w:val="en-NZ" w:eastAsia="ko-KR"/>
        </w:rPr>
        <w:t xml:space="preserve"> between emp</w:t>
      </w:r>
      <w:r w:rsidRPr="004635E5">
        <w:rPr>
          <w:rFonts w:eastAsiaTheme="minorEastAsia"/>
          <w:sz w:val="22"/>
          <w:szCs w:val="22"/>
          <w:lang w:val="en-NZ" w:eastAsia="ko-KR"/>
        </w:rPr>
        <w:t>irical</w:t>
      </w:r>
      <w:r w:rsidR="00EC296A" w:rsidRPr="004635E5">
        <w:rPr>
          <w:rFonts w:eastAsiaTheme="minorEastAsia"/>
          <w:sz w:val="22"/>
          <w:szCs w:val="22"/>
          <w:lang w:val="en-NZ" w:eastAsia="ko-KR"/>
        </w:rPr>
        <w:t xml:space="preserve"> and model</w:t>
      </w:r>
      <w:r w:rsidRPr="004635E5">
        <w:rPr>
          <w:rFonts w:eastAsiaTheme="minorEastAsia"/>
          <w:sz w:val="22"/>
          <w:szCs w:val="22"/>
          <w:lang w:val="en-NZ" w:eastAsia="ko-KR"/>
        </w:rPr>
        <w:t>l</w:t>
      </w:r>
      <w:r w:rsidR="00EC296A" w:rsidRPr="004635E5">
        <w:rPr>
          <w:rFonts w:eastAsiaTheme="minorEastAsia"/>
          <w:sz w:val="22"/>
          <w:szCs w:val="22"/>
          <w:lang w:val="en-NZ" w:eastAsia="ko-KR"/>
        </w:rPr>
        <w:t>ing app</w:t>
      </w:r>
      <w:r w:rsidR="0041022C" w:rsidRPr="004635E5">
        <w:rPr>
          <w:rFonts w:eastAsiaTheme="minorEastAsia"/>
          <w:sz w:val="22"/>
          <w:szCs w:val="22"/>
          <w:lang w:val="en-NZ" w:eastAsia="ko-KR"/>
        </w:rPr>
        <w:t>r</w:t>
      </w:r>
      <w:r w:rsidRPr="004635E5">
        <w:rPr>
          <w:rFonts w:eastAsiaTheme="minorEastAsia"/>
          <w:sz w:val="22"/>
          <w:szCs w:val="22"/>
          <w:lang w:val="en-NZ" w:eastAsia="ko-KR"/>
        </w:rPr>
        <w:t>o</w:t>
      </w:r>
      <w:r w:rsidR="0041022C" w:rsidRPr="004635E5">
        <w:rPr>
          <w:rFonts w:eastAsiaTheme="minorEastAsia"/>
          <w:sz w:val="22"/>
          <w:szCs w:val="22"/>
          <w:lang w:val="en-NZ" w:eastAsia="ko-KR"/>
        </w:rPr>
        <w:t>a</w:t>
      </w:r>
      <w:r w:rsidRPr="004635E5">
        <w:rPr>
          <w:rFonts w:eastAsiaTheme="minorEastAsia"/>
          <w:sz w:val="22"/>
          <w:szCs w:val="22"/>
          <w:lang w:val="en-NZ" w:eastAsia="ko-KR"/>
        </w:rPr>
        <w:t>ches</w:t>
      </w:r>
      <w:r w:rsidR="00EC296A" w:rsidRPr="004635E5">
        <w:rPr>
          <w:rFonts w:eastAsiaTheme="minorEastAsia"/>
          <w:sz w:val="22"/>
          <w:szCs w:val="22"/>
          <w:lang w:val="en-NZ" w:eastAsia="ko-KR"/>
        </w:rPr>
        <w:t xml:space="preserve">, </w:t>
      </w:r>
      <w:r w:rsidR="0041022C" w:rsidRPr="004635E5">
        <w:rPr>
          <w:rFonts w:eastAsiaTheme="minorEastAsia"/>
          <w:sz w:val="22"/>
          <w:szCs w:val="22"/>
          <w:lang w:val="en-NZ" w:eastAsia="ko-KR"/>
        </w:rPr>
        <w:t>t</w:t>
      </w:r>
      <w:r w:rsidRPr="004635E5">
        <w:rPr>
          <w:rFonts w:eastAsiaTheme="minorEastAsia"/>
          <w:sz w:val="22"/>
          <w:szCs w:val="22"/>
          <w:lang w:val="en-NZ" w:eastAsia="ko-KR"/>
        </w:rPr>
        <w:t xml:space="preserve">he </w:t>
      </w:r>
      <w:r w:rsidR="0041022C" w:rsidRPr="004635E5">
        <w:rPr>
          <w:rFonts w:eastAsiaTheme="minorEastAsia"/>
          <w:sz w:val="22"/>
          <w:szCs w:val="22"/>
          <w:lang w:val="en-NZ" w:eastAsia="ko-KR"/>
        </w:rPr>
        <w:t>c</w:t>
      </w:r>
      <w:r w:rsidRPr="004635E5">
        <w:rPr>
          <w:rFonts w:eastAsiaTheme="minorEastAsia"/>
          <w:sz w:val="22"/>
          <w:szCs w:val="22"/>
          <w:lang w:val="en-NZ" w:eastAsia="ko-KR"/>
        </w:rPr>
        <w:t xml:space="preserve">onvener indicated </w:t>
      </w:r>
      <w:r w:rsidR="0041022C" w:rsidRPr="004635E5">
        <w:rPr>
          <w:rFonts w:eastAsiaTheme="minorEastAsia"/>
          <w:sz w:val="22"/>
          <w:szCs w:val="22"/>
          <w:lang w:val="en-NZ" w:eastAsia="ko-KR"/>
        </w:rPr>
        <w:t xml:space="preserve">that </w:t>
      </w:r>
      <w:r w:rsidR="00EC296A" w:rsidRPr="004635E5">
        <w:rPr>
          <w:rFonts w:eastAsiaTheme="minorEastAsia"/>
          <w:sz w:val="22"/>
          <w:szCs w:val="22"/>
          <w:lang w:val="en-NZ" w:eastAsia="ko-KR"/>
        </w:rPr>
        <w:t xml:space="preserve">simpler estimation methods </w:t>
      </w:r>
      <w:r w:rsidRPr="004635E5">
        <w:rPr>
          <w:rFonts w:eastAsiaTheme="minorEastAsia"/>
          <w:sz w:val="22"/>
          <w:szCs w:val="22"/>
          <w:lang w:val="en-NZ" w:eastAsia="ko-KR"/>
        </w:rPr>
        <w:t xml:space="preserve">were </w:t>
      </w:r>
      <w:r w:rsidR="00EC296A" w:rsidRPr="004635E5">
        <w:rPr>
          <w:rFonts w:eastAsiaTheme="minorEastAsia"/>
          <w:sz w:val="22"/>
          <w:szCs w:val="22"/>
          <w:lang w:val="en-NZ" w:eastAsia="ko-KR"/>
        </w:rPr>
        <w:t>being used increasingly, esp</w:t>
      </w:r>
      <w:r w:rsidRPr="004635E5">
        <w:rPr>
          <w:rFonts w:eastAsiaTheme="minorEastAsia"/>
          <w:sz w:val="22"/>
          <w:szCs w:val="22"/>
          <w:lang w:val="en-NZ" w:eastAsia="ko-KR"/>
        </w:rPr>
        <w:t>ecially</w:t>
      </w:r>
      <w:r w:rsidR="00EC296A" w:rsidRPr="004635E5">
        <w:rPr>
          <w:rFonts w:eastAsiaTheme="minorEastAsia"/>
          <w:sz w:val="22"/>
          <w:szCs w:val="22"/>
          <w:lang w:val="en-NZ" w:eastAsia="ko-KR"/>
        </w:rPr>
        <w:t xml:space="preserve"> where </w:t>
      </w:r>
      <w:r w:rsidRPr="004635E5">
        <w:rPr>
          <w:rFonts w:eastAsiaTheme="minorEastAsia"/>
          <w:sz w:val="22"/>
          <w:szCs w:val="22"/>
          <w:lang w:val="en-NZ" w:eastAsia="ko-KR"/>
        </w:rPr>
        <w:t xml:space="preserve">it is </w:t>
      </w:r>
      <w:r w:rsidR="00EC296A" w:rsidRPr="004635E5">
        <w:rPr>
          <w:rFonts w:eastAsiaTheme="minorEastAsia"/>
          <w:sz w:val="22"/>
          <w:szCs w:val="22"/>
          <w:lang w:val="en-NZ" w:eastAsia="ko-KR"/>
        </w:rPr>
        <w:t xml:space="preserve">hard to do </w:t>
      </w:r>
      <w:r w:rsidR="0041022C" w:rsidRPr="004635E5">
        <w:rPr>
          <w:rFonts w:eastAsiaTheme="minorEastAsia"/>
          <w:sz w:val="22"/>
          <w:szCs w:val="22"/>
          <w:lang w:val="en-NZ" w:eastAsia="ko-KR"/>
        </w:rPr>
        <w:t xml:space="preserve">a </w:t>
      </w:r>
      <w:r w:rsidR="00EC296A" w:rsidRPr="004635E5">
        <w:rPr>
          <w:rFonts w:eastAsiaTheme="minorEastAsia"/>
          <w:sz w:val="22"/>
          <w:szCs w:val="22"/>
          <w:lang w:val="en-NZ" w:eastAsia="ko-KR"/>
        </w:rPr>
        <w:t xml:space="preserve">full </w:t>
      </w:r>
      <w:r w:rsidR="00656FD8" w:rsidRPr="004635E5">
        <w:rPr>
          <w:rFonts w:eastAsiaTheme="minorEastAsia"/>
          <w:sz w:val="22"/>
          <w:szCs w:val="22"/>
          <w:lang w:val="en-NZ" w:eastAsia="ko-KR"/>
        </w:rPr>
        <w:t>stock assessment</w:t>
      </w:r>
      <w:r w:rsidR="00EC296A" w:rsidRPr="004635E5">
        <w:rPr>
          <w:rFonts w:eastAsiaTheme="minorEastAsia"/>
          <w:sz w:val="22"/>
          <w:szCs w:val="22"/>
          <w:lang w:val="en-NZ" w:eastAsia="ko-KR"/>
        </w:rPr>
        <w:t xml:space="preserve">, </w:t>
      </w:r>
      <w:r w:rsidR="0041022C" w:rsidRPr="004635E5">
        <w:rPr>
          <w:rFonts w:eastAsiaTheme="minorEastAsia"/>
          <w:sz w:val="22"/>
          <w:szCs w:val="22"/>
          <w:lang w:val="en-NZ" w:eastAsia="ko-KR"/>
        </w:rPr>
        <w:t>and noted that CCSBT was one Commission which had used an empirical CPUE control rule within its harvest strategy framework</w:t>
      </w:r>
      <w:r w:rsidR="00EC296A" w:rsidRPr="004635E5">
        <w:rPr>
          <w:rFonts w:eastAsiaTheme="minorEastAsia"/>
          <w:sz w:val="22"/>
          <w:szCs w:val="22"/>
          <w:lang w:val="en-NZ" w:eastAsia="ko-KR"/>
        </w:rPr>
        <w:t xml:space="preserve">. </w:t>
      </w:r>
      <w:r w:rsidRPr="004635E5">
        <w:rPr>
          <w:rFonts w:eastAsiaTheme="minorEastAsia"/>
          <w:sz w:val="22"/>
          <w:szCs w:val="22"/>
          <w:lang w:val="en-NZ" w:eastAsia="ko-KR"/>
        </w:rPr>
        <w:t xml:space="preserve">The </w:t>
      </w:r>
      <w:r w:rsidR="00EC296A" w:rsidRPr="004635E5">
        <w:rPr>
          <w:rFonts w:eastAsiaTheme="minorEastAsia"/>
          <w:sz w:val="22"/>
          <w:szCs w:val="22"/>
          <w:lang w:val="en-NZ" w:eastAsia="ko-KR"/>
        </w:rPr>
        <w:t xml:space="preserve">EU </w:t>
      </w:r>
      <w:r w:rsidRPr="004635E5">
        <w:rPr>
          <w:rFonts w:eastAsiaTheme="minorEastAsia"/>
          <w:sz w:val="22"/>
          <w:szCs w:val="22"/>
          <w:lang w:val="en-NZ" w:eastAsia="ko-KR"/>
        </w:rPr>
        <w:t xml:space="preserve">noted that this was </w:t>
      </w:r>
      <w:r w:rsidR="00EC296A" w:rsidRPr="004635E5">
        <w:rPr>
          <w:rFonts w:eastAsiaTheme="minorEastAsia"/>
          <w:sz w:val="22"/>
          <w:szCs w:val="22"/>
          <w:lang w:val="en-NZ" w:eastAsia="ko-KR"/>
        </w:rPr>
        <w:t xml:space="preserve">not </w:t>
      </w:r>
      <w:r w:rsidRPr="004635E5">
        <w:rPr>
          <w:rFonts w:eastAsiaTheme="minorEastAsia"/>
          <w:sz w:val="22"/>
          <w:szCs w:val="22"/>
          <w:lang w:val="en-NZ" w:eastAsia="ko-KR"/>
        </w:rPr>
        <w:t xml:space="preserve">the </w:t>
      </w:r>
      <w:r w:rsidR="00EC296A" w:rsidRPr="004635E5">
        <w:rPr>
          <w:rFonts w:eastAsiaTheme="minorEastAsia"/>
          <w:sz w:val="22"/>
          <w:szCs w:val="22"/>
          <w:lang w:val="en-NZ" w:eastAsia="ko-KR"/>
        </w:rPr>
        <w:t xml:space="preserve">case for </w:t>
      </w:r>
      <w:r w:rsidR="00656FD8" w:rsidRPr="004635E5">
        <w:rPr>
          <w:rFonts w:eastAsiaTheme="minorEastAsia"/>
          <w:sz w:val="22"/>
          <w:szCs w:val="22"/>
          <w:lang w:val="en-NZ" w:eastAsia="ko-KR"/>
        </w:rPr>
        <w:t>yellowfin</w:t>
      </w:r>
      <w:r w:rsidR="00EC296A" w:rsidRPr="004635E5">
        <w:rPr>
          <w:rFonts w:eastAsiaTheme="minorEastAsia"/>
          <w:sz w:val="22"/>
          <w:szCs w:val="22"/>
          <w:lang w:val="en-NZ" w:eastAsia="ko-KR"/>
        </w:rPr>
        <w:t xml:space="preserve">, so one would expect that </w:t>
      </w:r>
      <w:r w:rsidRPr="004635E5">
        <w:rPr>
          <w:rFonts w:eastAsiaTheme="minorEastAsia"/>
          <w:sz w:val="22"/>
          <w:szCs w:val="22"/>
          <w:lang w:val="en-NZ" w:eastAsia="ko-KR"/>
        </w:rPr>
        <w:t xml:space="preserve">a </w:t>
      </w:r>
      <w:r w:rsidR="00EC296A" w:rsidRPr="004635E5">
        <w:rPr>
          <w:rFonts w:eastAsiaTheme="minorEastAsia"/>
          <w:sz w:val="22"/>
          <w:szCs w:val="22"/>
          <w:lang w:val="en-NZ" w:eastAsia="ko-KR"/>
        </w:rPr>
        <w:t>model</w:t>
      </w:r>
      <w:r w:rsidRPr="004635E5">
        <w:rPr>
          <w:rFonts w:eastAsiaTheme="minorEastAsia"/>
          <w:sz w:val="22"/>
          <w:szCs w:val="22"/>
          <w:lang w:val="en-NZ" w:eastAsia="ko-KR"/>
        </w:rPr>
        <w:t>li</w:t>
      </w:r>
      <w:r w:rsidR="00EC296A" w:rsidRPr="004635E5">
        <w:rPr>
          <w:rFonts w:eastAsiaTheme="minorEastAsia"/>
          <w:sz w:val="22"/>
          <w:szCs w:val="22"/>
          <w:lang w:val="en-NZ" w:eastAsia="ko-KR"/>
        </w:rPr>
        <w:t>ng app</w:t>
      </w:r>
      <w:r w:rsidRPr="004635E5">
        <w:rPr>
          <w:rFonts w:eastAsiaTheme="minorEastAsia"/>
          <w:sz w:val="22"/>
          <w:szCs w:val="22"/>
          <w:lang w:val="en-NZ" w:eastAsia="ko-KR"/>
        </w:rPr>
        <w:t>roach</w:t>
      </w:r>
      <w:r w:rsidR="00EC296A" w:rsidRPr="004635E5">
        <w:rPr>
          <w:rFonts w:eastAsiaTheme="minorEastAsia"/>
          <w:sz w:val="22"/>
          <w:szCs w:val="22"/>
          <w:lang w:val="en-NZ" w:eastAsia="ko-KR"/>
        </w:rPr>
        <w:t xml:space="preserve"> would be more appro</w:t>
      </w:r>
      <w:r w:rsidRPr="004635E5">
        <w:rPr>
          <w:rFonts w:eastAsiaTheme="minorEastAsia"/>
          <w:sz w:val="22"/>
          <w:szCs w:val="22"/>
          <w:lang w:val="en-NZ" w:eastAsia="ko-KR"/>
        </w:rPr>
        <w:t>priate</w:t>
      </w:r>
      <w:r w:rsidR="00EC296A" w:rsidRPr="004635E5">
        <w:rPr>
          <w:rFonts w:eastAsiaTheme="minorEastAsia"/>
          <w:sz w:val="22"/>
          <w:szCs w:val="22"/>
          <w:lang w:val="en-NZ" w:eastAsia="ko-KR"/>
        </w:rPr>
        <w:t xml:space="preserve">. Intuitively speaking </w:t>
      </w:r>
      <w:r w:rsidRPr="004635E5">
        <w:rPr>
          <w:rFonts w:eastAsiaTheme="minorEastAsia"/>
          <w:sz w:val="22"/>
          <w:szCs w:val="22"/>
          <w:lang w:val="en-NZ" w:eastAsia="ko-KR"/>
        </w:rPr>
        <w:t xml:space="preserve">an </w:t>
      </w:r>
      <w:r w:rsidR="00EC296A" w:rsidRPr="004635E5">
        <w:rPr>
          <w:rFonts w:eastAsiaTheme="minorEastAsia"/>
          <w:sz w:val="22"/>
          <w:szCs w:val="22"/>
          <w:lang w:val="en-NZ" w:eastAsia="ko-KR"/>
        </w:rPr>
        <w:t>empirical app</w:t>
      </w:r>
      <w:r w:rsidRPr="004635E5">
        <w:rPr>
          <w:rFonts w:eastAsiaTheme="minorEastAsia"/>
          <w:sz w:val="22"/>
          <w:szCs w:val="22"/>
          <w:lang w:val="en-NZ" w:eastAsia="ko-KR"/>
        </w:rPr>
        <w:t>roach</w:t>
      </w:r>
      <w:r w:rsidR="00EC296A" w:rsidRPr="004635E5">
        <w:rPr>
          <w:rFonts w:eastAsiaTheme="minorEastAsia"/>
          <w:sz w:val="22"/>
          <w:szCs w:val="22"/>
          <w:lang w:val="en-NZ" w:eastAsia="ko-KR"/>
        </w:rPr>
        <w:t xml:space="preserve"> would not seem to fit. </w:t>
      </w:r>
      <w:r w:rsidRPr="004635E5">
        <w:rPr>
          <w:rFonts w:eastAsiaTheme="minorEastAsia"/>
          <w:sz w:val="22"/>
          <w:szCs w:val="22"/>
          <w:lang w:val="en-NZ" w:eastAsia="ko-KR"/>
        </w:rPr>
        <w:t xml:space="preserve">The </w:t>
      </w:r>
      <w:r w:rsidR="002E39E9" w:rsidRPr="004635E5">
        <w:rPr>
          <w:rFonts w:eastAsiaTheme="minorEastAsia"/>
          <w:sz w:val="22"/>
          <w:szCs w:val="22"/>
          <w:lang w:val="en-NZ" w:eastAsia="ko-KR"/>
        </w:rPr>
        <w:t>theme convener</w:t>
      </w:r>
      <w:r w:rsidRPr="004635E5">
        <w:rPr>
          <w:rFonts w:eastAsiaTheme="minorEastAsia"/>
          <w:sz w:val="22"/>
          <w:szCs w:val="22"/>
          <w:lang w:val="en-NZ" w:eastAsia="ko-KR"/>
        </w:rPr>
        <w:t xml:space="preserve"> agreed </w:t>
      </w:r>
      <w:r w:rsidR="0041022C" w:rsidRPr="004635E5">
        <w:rPr>
          <w:rFonts w:eastAsiaTheme="minorEastAsia"/>
          <w:sz w:val="22"/>
          <w:szCs w:val="22"/>
          <w:lang w:val="en-NZ" w:eastAsia="ko-KR"/>
        </w:rPr>
        <w:t xml:space="preserve">that different approaches should be considered for different species as appropriate. </w:t>
      </w:r>
      <w:r w:rsidRPr="004635E5">
        <w:rPr>
          <w:rFonts w:eastAsiaTheme="minorEastAsia"/>
          <w:sz w:val="22"/>
          <w:szCs w:val="22"/>
          <w:lang w:val="en-NZ" w:eastAsia="ko-KR"/>
        </w:rPr>
        <w:t xml:space="preserve">SPC noted that </w:t>
      </w:r>
      <w:r w:rsidR="00EC296A" w:rsidRPr="004635E5">
        <w:rPr>
          <w:rFonts w:eastAsiaTheme="minorEastAsia"/>
          <w:sz w:val="22"/>
          <w:szCs w:val="22"/>
          <w:lang w:val="en-NZ" w:eastAsia="ko-KR"/>
        </w:rPr>
        <w:t xml:space="preserve">this </w:t>
      </w:r>
      <w:r w:rsidRPr="004635E5">
        <w:rPr>
          <w:rFonts w:eastAsiaTheme="minorEastAsia"/>
          <w:sz w:val="22"/>
          <w:szCs w:val="22"/>
          <w:lang w:val="en-NZ" w:eastAsia="ko-KR"/>
        </w:rPr>
        <w:t xml:space="preserve">was a </w:t>
      </w:r>
      <w:r w:rsidR="00EC296A" w:rsidRPr="004635E5">
        <w:rPr>
          <w:rFonts w:eastAsiaTheme="minorEastAsia"/>
          <w:sz w:val="22"/>
          <w:szCs w:val="22"/>
          <w:lang w:val="en-NZ" w:eastAsia="ko-KR"/>
        </w:rPr>
        <w:t xml:space="preserve">new </w:t>
      </w:r>
      <w:r w:rsidRPr="004635E5">
        <w:rPr>
          <w:rFonts w:eastAsiaTheme="minorEastAsia"/>
          <w:sz w:val="22"/>
          <w:szCs w:val="22"/>
          <w:lang w:val="en-NZ" w:eastAsia="ko-KR"/>
        </w:rPr>
        <w:t xml:space="preserve">area </w:t>
      </w:r>
      <w:r w:rsidR="00EC296A" w:rsidRPr="004635E5">
        <w:rPr>
          <w:rFonts w:eastAsiaTheme="minorEastAsia"/>
          <w:sz w:val="22"/>
          <w:szCs w:val="22"/>
          <w:lang w:val="en-NZ" w:eastAsia="ko-KR"/>
        </w:rPr>
        <w:t xml:space="preserve">for </w:t>
      </w:r>
      <w:r w:rsidR="0041022C" w:rsidRPr="004635E5">
        <w:rPr>
          <w:rFonts w:eastAsiaTheme="minorEastAsia"/>
          <w:sz w:val="22"/>
          <w:szCs w:val="22"/>
          <w:lang w:val="en-NZ" w:eastAsia="ko-KR"/>
        </w:rPr>
        <w:t xml:space="preserve">the </w:t>
      </w:r>
      <w:r w:rsidR="00EC296A" w:rsidRPr="004635E5">
        <w:rPr>
          <w:rFonts w:eastAsiaTheme="minorEastAsia"/>
          <w:sz w:val="22"/>
          <w:szCs w:val="22"/>
          <w:lang w:val="en-NZ" w:eastAsia="ko-KR"/>
        </w:rPr>
        <w:t>SC to</w:t>
      </w:r>
      <w:r w:rsidRPr="004635E5">
        <w:rPr>
          <w:rFonts w:eastAsiaTheme="minorEastAsia"/>
          <w:sz w:val="22"/>
          <w:szCs w:val="22"/>
          <w:lang w:val="en-NZ" w:eastAsia="ko-KR"/>
        </w:rPr>
        <w:t xml:space="preserve"> </w:t>
      </w:r>
      <w:r w:rsidR="0041022C" w:rsidRPr="004635E5">
        <w:rPr>
          <w:rFonts w:eastAsiaTheme="minorEastAsia"/>
          <w:sz w:val="22"/>
          <w:szCs w:val="22"/>
          <w:lang w:val="en-NZ" w:eastAsia="ko-KR"/>
        </w:rPr>
        <w:t>examine</w:t>
      </w:r>
      <w:r w:rsidRPr="004635E5">
        <w:rPr>
          <w:rFonts w:eastAsiaTheme="minorEastAsia"/>
          <w:sz w:val="22"/>
          <w:szCs w:val="22"/>
          <w:lang w:val="en-NZ" w:eastAsia="ko-KR"/>
        </w:rPr>
        <w:t xml:space="preserve">, and that there were </w:t>
      </w:r>
      <w:r w:rsidR="00EC296A" w:rsidRPr="004635E5">
        <w:rPr>
          <w:rFonts w:eastAsiaTheme="minorEastAsia"/>
          <w:sz w:val="22"/>
          <w:szCs w:val="22"/>
          <w:lang w:val="en-NZ" w:eastAsia="ko-KR"/>
        </w:rPr>
        <w:t>pot</w:t>
      </w:r>
      <w:r w:rsidRPr="004635E5">
        <w:rPr>
          <w:rFonts w:eastAsiaTheme="minorEastAsia"/>
          <w:sz w:val="22"/>
          <w:szCs w:val="22"/>
          <w:lang w:val="en-NZ" w:eastAsia="ko-KR"/>
        </w:rPr>
        <w:t>ential</w:t>
      </w:r>
      <w:r w:rsidR="00EC296A" w:rsidRPr="004635E5">
        <w:rPr>
          <w:rFonts w:eastAsiaTheme="minorEastAsia"/>
          <w:sz w:val="22"/>
          <w:szCs w:val="22"/>
          <w:lang w:val="en-NZ" w:eastAsia="ko-KR"/>
        </w:rPr>
        <w:t xml:space="preserve"> advantages</w:t>
      </w:r>
      <w:r w:rsidRPr="004635E5">
        <w:rPr>
          <w:rFonts w:eastAsiaTheme="minorEastAsia"/>
          <w:sz w:val="22"/>
          <w:szCs w:val="22"/>
          <w:lang w:val="en-NZ" w:eastAsia="ko-KR"/>
        </w:rPr>
        <w:t xml:space="preserve"> (e.g., there were more direct </w:t>
      </w:r>
      <w:r w:rsidR="00EC296A" w:rsidRPr="004635E5">
        <w:rPr>
          <w:rFonts w:eastAsiaTheme="minorEastAsia"/>
          <w:sz w:val="22"/>
          <w:szCs w:val="22"/>
          <w:lang w:val="en-NZ" w:eastAsia="ko-KR"/>
        </w:rPr>
        <w:t>links to econ</w:t>
      </w:r>
      <w:r w:rsidRPr="004635E5">
        <w:rPr>
          <w:rFonts w:eastAsiaTheme="minorEastAsia"/>
          <w:sz w:val="22"/>
          <w:szCs w:val="22"/>
          <w:lang w:val="en-NZ" w:eastAsia="ko-KR"/>
        </w:rPr>
        <w:t xml:space="preserve">omic </w:t>
      </w:r>
      <w:r w:rsidR="00EC296A" w:rsidRPr="004635E5">
        <w:rPr>
          <w:rFonts w:eastAsiaTheme="minorEastAsia"/>
          <w:sz w:val="22"/>
          <w:szCs w:val="22"/>
          <w:lang w:val="en-NZ" w:eastAsia="ko-KR"/>
        </w:rPr>
        <w:t xml:space="preserve">factors, </w:t>
      </w:r>
      <w:r w:rsidRPr="004635E5">
        <w:rPr>
          <w:rFonts w:eastAsiaTheme="minorEastAsia"/>
          <w:sz w:val="22"/>
          <w:szCs w:val="22"/>
          <w:lang w:val="en-NZ" w:eastAsia="ko-KR"/>
        </w:rPr>
        <w:t xml:space="preserve">and they could be easier for managers to grasp). </w:t>
      </w:r>
      <w:r w:rsidR="00375849">
        <w:rPr>
          <w:rFonts w:eastAsiaTheme="minorEastAsia" w:hint="eastAsia"/>
          <w:sz w:val="22"/>
          <w:szCs w:val="22"/>
          <w:lang w:val="en-NZ" w:eastAsia="ko-KR"/>
        </w:rPr>
        <w:t>Stock</w:t>
      </w:r>
      <w:r w:rsidRPr="004635E5">
        <w:rPr>
          <w:rFonts w:eastAsiaTheme="minorEastAsia"/>
          <w:sz w:val="22"/>
          <w:szCs w:val="22"/>
          <w:lang w:val="en-AU" w:eastAsia="ko-KR"/>
        </w:rPr>
        <w:t xml:space="preserve"> assessments would continue to be conducted, and model-based approaches could be chosen. SPC further noted that testing of the empirical approach would be undertaken as part of </w:t>
      </w:r>
      <w:r w:rsidR="0041022C" w:rsidRPr="004635E5">
        <w:rPr>
          <w:rFonts w:eastAsiaTheme="minorEastAsia"/>
          <w:sz w:val="22"/>
          <w:szCs w:val="22"/>
          <w:lang w:val="en-AU" w:eastAsia="ko-KR"/>
        </w:rPr>
        <w:t xml:space="preserve">the </w:t>
      </w:r>
      <w:r w:rsidRPr="004635E5">
        <w:rPr>
          <w:rFonts w:eastAsiaTheme="minorEastAsia"/>
          <w:sz w:val="22"/>
          <w:szCs w:val="22"/>
          <w:lang w:val="en-AU" w:eastAsia="ko-KR"/>
        </w:rPr>
        <w:t xml:space="preserve">MSE. </w:t>
      </w:r>
    </w:p>
    <w:p w14:paraId="581C5014"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5138E129" w14:textId="77777777" w:rsidR="00C01EE9" w:rsidRPr="004635E5" w:rsidRDefault="00E739D8"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The </w:t>
      </w:r>
      <w:r w:rsidR="0041022C" w:rsidRPr="004635E5">
        <w:rPr>
          <w:rFonts w:eastAsiaTheme="minorEastAsia"/>
          <w:sz w:val="22"/>
          <w:szCs w:val="22"/>
          <w:lang w:val="en-NZ" w:eastAsia="ko-KR"/>
        </w:rPr>
        <w:t>c</w:t>
      </w:r>
      <w:r w:rsidRPr="004635E5">
        <w:rPr>
          <w:rFonts w:eastAsiaTheme="minorEastAsia"/>
          <w:sz w:val="22"/>
          <w:szCs w:val="22"/>
          <w:lang w:val="en-NZ" w:eastAsia="ko-KR"/>
        </w:rPr>
        <w:t>onvener noted that s</w:t>
      </w:r>
      <w:r w:rsidR="00C01EE9" w:rsidRPr="004635E5">
        <w:rPr>
          <w:rFonts w:eastAsiaTheme="minorEastAsia"/>
          <w:sz w:val="22"/>
          <w:szCs w:val="22"/>
          <w:lang w:val="en-NZ" w:eastAsia="ko-KR"/>
        </w:rPr>
        <w:t xml:space="preserve">tock assessments </w:t>
      </w:r>
      <w:r w:rsidRPr="004635E5">
        <w:rPr>
          <w:rFonts w:eastAsiaTheme="minorEastAsia"/>
          <w:sz w:val="22"/>
          <w:szCs w:val="22"/>
          <w:lang w:val="en-NZ" w:eastAsia="ko-KR"/>
        </w:rPr>
        <w:t xml:space="preserve">would be conducted </w:t>
      </w:r>
      <w:r w:rsidR="00C01EE9" w:rsidRPr="004635E5">
        <w:rPr>
          <w:rFonts w:eastAsiaTheme="minorEastAsia"/>
          <w:sz w:val="22"/>
          <w:szCs w:val="22"/>
          <w:lang w:val="en-NZ" w:eastAsia="ko-KR"/>
        </w:rPr>
        <w:t xml:space="preserve">every 3 years to monitor stocks, even </w:t>
      </w:r>
      <w:r w:rsidR="000C1FE4" w:rsidRPr="004635E5">
        <w:rPr>
          <w:rFonts w:eastAsiaTheme="minorEastAsia"/>
          <w:sz w:val="22"/>
          <w:szCs w:val="22"/>
          <w:lang w:val="en-NZ" w:eastAsia="ko-KR"/>
        </w:rPr>
        <w:t xml:space="preserve">under </w:t>
      </w:r>
      <w:r w:rsidR="00C01EE9" w:rsidRPr="004635E5">
        <w:rPr>
          <w:rFonts w:eastAsiaTheme="minorEastAsia"/>
          <w:sz w:val="22"/>
          <w:szCs w:val="22"/>
          <w:lang w:val="en-NZ" w:eastAsia="ko-KR"/>
        </w:rPr>
        <w:t xml:space="preserve">an empirical </w:t>
      </w:r>
      <w:r w:rsidRPr="004635E5">
        <w:rPr>
          <w:rFonts w:eastAsiaTheme="minorEastAsia"/>
          <w:sz w:val="22"/>
          <w:szCs w:val="22"/>
          <w:lang w:val="en-NZ" w:eastAsia="ko-KR"/>
        </w:rPr>
        <w:t>HC</w:t>
      </w:r>
      <w:r w:rsidR="000C1FE4" w:rsidRPr="004635E5">
        <w:rPr>
          <w:rFonts w:eastAsiaTheme="minorEastAsia"/>
          <w:sz w:val="22"/>
          <w:szCs w:val="22"/>
          <w:lang w:val="en-NZ" w:eastAsia="ko-KR"/>
        </w:rPr>
        <w:t>R</w:t>
      </w:r>
      <w:r w:rsidR="00C01EE9" w:rsidRPr="004635E5">
        <w:rPr>
          <w:rFonts w:eastAsiaTheme="minorEastAsia"/>
          <w:sz w:val="22"/>
          <w:szCs w:val="22"/>
          <w:lang w:val="en-NZ" w:eastAsia="ko-KR"/>
        </w:rPr>
        <w:t>.</w:t>
      </w:r>
    </w:p>
    <w:p w14:paraId="0E22D031"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6899A9A9" w14:textId="77777777" w:rsidR="005E01D0" w:rsidRPr="004635E5" w:rsidRDefault="005E01D0"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USA</w:t>
      </w:r>
      <w:r w:rsidR="000C1FE4" w:rsidRPr="004635E5">
        <w:rPr>
          <w:rFonts w:eastAsiaTheme="minorEastAsia"/>
          <w:sz w:val="22"/>
          <w:szCs w:val="22"/>
          <w:lang w:val="en-NZ" w:eastAsia="ko-KR"/>
        </w:rPr>
        <w:t xml:space="preserve"> noted its c</w:t>
      </w:r>
      <w:r w:rsidR="00C01EE9" w:rsidRPr="004635E5">
        <w:rPr>
          <w:rFonts w:eastAsiaTheme="minorEastAsia"/>
          <w:sz w:val="22"/>
          <w:szCs w:val="22"/>
          <w:lang w:val="en-NZ" w:eastAsia="ko-KR"/>
        </w:rPr>
        <w:t>oncern</w:t>
      </w:r>
      <w:r w:rsidR="000C1FE4" w:rsidRPr="004635E5">
        <w:rPr>
          <w:rFonts w:eastAsiaTheme="minorEastAsia"/>
          <w:sz w:val="22"/>
          <w:szCs w:val="22"/>
          <w:lang w:val="en-NZ" w:eastAsia="ko-KR"/>
        </w:rPr>
        <w:t>s</w:t>
      </w:r>
      <w:r w:rsidR="00C01EE9" w:rsidRPr="004635E5">
        <w:rPr>
          <w:rFonts w:eastAsiaTheme="minorEastAsia"/>
          <w:sz w:val="22"/>
          <w:szCs w:val="22"/>
          <w:lang w:val="en-NZ" w:eastAsia="ko-KR"/>
        </w:rPr>
        <w:t xml:space="preserve"> </w:t>
      </w:r>
      <w:r w:rsidR="000C1FE4" w:rsidRPr="004635E5">
        <w:rPr>
          <w:rFonts w:eastAsiaTheme="minorEastAsia"/>
          <w:sz w:val="22"/>
          <w:szCs w:val="22"/>
          <w:lang w:val="en-NZ" w:eastAsia="ko-KR"/>
        </w:rPr>
        <w:t xml:space="preserve">regarding </w:t>
      </w:r>
      <w:r w:rsidR="00C01EE9" w:rsidRPr="004635E5">
        <w:rPr>
          <w:rFonts w:eastAsiaTheme="minorEastAsia"/>
          <w:sz w:val="22"/>
          <w:szCs w:val="22"/>
          <w:lang w:val="en-NZ" w:eastAsia="ko-KR"/>
        </w:rPr>
        <w:t>adopt</w:t>
      </w:r>
      <w:r w:rsidR="000C1FE4" w:rsidRPr="004635E5">
        <w:rPr>
          <w:rFonts w:eastAsiaTheme="minorEastAsia"/>
          <w:sz w:val="22"/>
          <w:szCs w:val="22"/>
          <w:lang w:val="en-NZ" w:eastAsia="ko-KR"/>
        </w:rPr>
        <w:t xml:space="preserve">ion of an </w:t>
      </w:r>
      <w:r w:rsidR="00C01EE9" w:rsidRPr="004635E5">
        <w:rPr>
          <w:rFonts w:eastAsiaTheme="minorEastAsia"/>
          <w:sz w:val="22"/>
          <w:szCs w:val="22"/>
          <w:lang w:val="en-NZ" w:eastAsia="ko-KR"/>
        </w:rPr>
        <w:t>empir</w:t>
      </w:r>
      <w:r w:rsidR="000C1FE4" w:rsidRPr="004635E5">
        <w:rPr>
          <w:rFonts w:eastAsiaTheme="minorEastAsia"/>
          <w:sz w:val="22"/>
          <w:szCs w:val="22"/>
          <w:lang w:val="en-NZ" w:eastAsia="ko-KR"/>
        </w:rPr>
        <w:t xml:space="preserve">ical-based HCR, and queried </w:t>
      </w:r>
      <w:r w:rsidR="0041022C" w:rsidRPr="004635E5">
        <w:rPr>
          <w:rFonts w:eastAsiaTheme="minorEastAsia"/>
          <w:sz w:val="22"/>
          <w:szCs w:val="22"/>
          <w:lang w:val="en-NZ" w:eastAsia="ko-KR"/>
        </w:rPr>
        <w:t xml:space="preserve">whether Multifan CL </w:t>
      </w:r>
      <w:r w:rsidR="00C01EE9" w:rsidRPr="004635E5">
        <w:rPr>
          <w:rFonts w:eastAsiaTheme="minorEastAsia"/>
          <w:sz w:val="22"/>
          <w:szCs w:val="22"/>
          <w:lang w:val="en-NZ" w:eastAsia="ko-KR"/>
        </w:rPr>
        <w:t>software</w:t>
      </w:r>
      <w:r w:rsidR="000C1FE4" w:rsidRPr="004635E5">
        <w:rPr>
          <w:rFonts w:eastAsiaTheme="minorEastAsia"/>
          <w:sz w:val="22"/>
          <w:szCs w:val="22"/>
          <w:lang w:val="en-NZ" w:eastAsia="ko-KR"/>
        </w:rPr>
        <w:t xml:space="preserve"> </w:t>
      </w:r>
      <w:r w:rsidR="0041022C" w:rsidRPr="004635E5">
        <w:rPr>
          <w:rFonts w:eastAsiaTheme="minorEastAsia"/>
          <w:sz w:val="22"/>
          <w:szCs w:val="22"/>
          <w:lang w:val="en-NZ" w:eastAsia="ko-KR"/>
        </w:rPr>
        <w:t>could be used to test for non-</w:t>
      </w:r>
      <w:r w:rsidR="004679D4" w:rsidRPr="004635E5">
        <w:rPr>
          <w:rFonts w:eastAsiaTheme="minorEastAsia"/>
          <w:sz w:val="22"/>
          <w:szCs w:val="22"/>
          <w:lang w:val="en-NZ" w:eastAsia="ko-KR"/>
        </w:rPr>
        <w:t>stationarity</w:t>
      </w:r>
      <w:r w:rsidR="0041022C" w:rsidRPr="004635E5">
        <w:rPr>
          <w:rFonts w:eastAsiaTheme="minorEastAsia"/>
          <w:sz w:val="22"/>
          <w:szCs w:val="22"/>
          <w:lang w:val="en-NZ" w:eastAsia="ko-KR"/>
        </w:rPr>
        <w:t xml:space="preserve"> </w:t>
      </w:r>
      <w:r w:rsidR="00812008" w:rsidRPr="004635E5">
        <w:rPr>
          <w:rFonts w:eastAsiaTheme="minorEastAsia"/>
          <w:sz w:val="22"/>
          <w:szCs w:val="22"/>
          <w:lang w:val="en-NZ" w:eastAsia="ko-KR"/>
        </w:rPr>
        <w:t>(</w:t>
      </w:r>
      <w:r w:rsidR="00812008">
        <w:t>for example, time variant growth and recruitment</w:t>
      </w:r>
      <w:r w:rsidR="00812008" w:rsidRPr="004635E5">
        <w:rPr>
          <w:rFonts w:eastAsiaTheme="minorEastAsia"/>
          <w:sz w:val="22"/>
          <w:szCs w:val="22"/>
          <w:lang w:val="en-NZ" w:eastAsia="ko-KR"/>
        </w:rPr>
        <w:t xml:space="preserve">, or </w:t>
      </w:r>
      <w:r w:rsidR="00C01EE9" w:rsidRPr="004635E5">
        <w:rPr>
          <w:rFonts w:eastAsiaTheme="minorEastAsia"/>
          <w:sz w:val="22"/>
          <w:szCs w:val="22"/>
          <w:lang w:val="en-NZ" w:eastAsia="ko-KR"/>
        </w:rPr>
        <w:t>environ</w:t>
      </w:r>
      <w:r w:rsidR="000C1FE4" w:rsidRPr="004635E5">
        <w:rPr>
          <w:rFonts w:eastAsiaTheme="minorEastAsia"/>
          <w:sz w:val="22"/>
          <w:szCs w:val="22"/>
          <w:lang w:val="en-NZ" w:eastAsia="ko-KR"/>
        </w:rPr>
        <w:t>mental</w:t>
      </w:r>
      <w:r w:rsidR="00C01EE9" w:rsidRPr="004635E5">
        <w:rPr>
          <w:rFonts w:eastAsiaTheme="minorEastAsia"/>
          <w:sz w:val="22"/>
          <w:szCs w:val="22"/>
          <w:lang w:val="en-NZ" w:eastAsia="ko-KR"/>
        </w:rPr>
        <w:t xml:space="preserve"> forcing thru ENSO</w:t>
      </w:r>
      <w:r w:rsidR="000C1FE4" w:rsidRPr="004635E5">
        <w:rPr>
          <w:rFonts w:eastAsiaTheme="minorEastAsia"/>
          <w:sz w:val="22"/>
          <w:szCs w:val="22"/>
          <w:lang w:val="en-NZ" w:eastAsia="ko-KR"/>
        </w:rPr>
        <w:t>)</w:t>
      </w:r>
      <w:r w:rsidR="00A16680" w:rsidRPr="004635E5">
        <w:rPr>
          <w:rFonts w:eastAsiaTheme="minorEastAsia"/>
          <w:sz w:val="22"/>
          <w:szCs w:val="22"/>
          <w:lang w:val="en-NZ" w:eastAsia="ko-KR"/>
        </w:rPr>
        <w:t xml:space="preserve">. </w:t>
      </w:r>
      <w:r w:rsidR="00153EAA" w:rsidRPr="004635E5">
        <w:rPr>
          <w:rFonts w:eastAsiaTheme="minorEastAsia"/>
          <w:sz w:val="22"/>
          <w:szCs w:val="22"/>
          <w:lang w:val="en-NZ" w:eastAsia="ko-KR"/>
        </w:rPr>
        <w:t xml:space="preserve">SPC noted simulation testing would be part of the process and that </w:t>
      </w:r>
      <w:r w:rsidR="00153EAA">
        <w:rPr>
          <w:rFonts w:eastAsiaTheme="minorEastAsia"/>
          <w:sz w:val="22"/>
          <w:szCs w:val="22"/>
          <w:lang w:val="en-NZ" w:eastAsia="ko-KR"/>
        </w:rPr>
        <w:t>SPC</w:t>
      </w:r>
      <w:r w:rsidR="00153EAA" w:rsidRPr="004635E5">
        <w:rPr>
          <w:rFonts w:eastAsiaTheme="minorEastAsia"/>
          <w:sz w:val="22"/>
          <w:szCs w:val="22"/>
          <w:lang w:val="en-NZ" w:eastAsia="ko-KR"/>
        </w:rPr>
        <w:t xml:space="preserve"> was </w:t>
      </w:r>
      <w:r w:rsidR="00153EAA">
        <w:rPr>
          <w:rFonts w:eastAsiaTheme="minorEastAsia"/>
          <w:sz w:val="22"/>
          <w:szCs w:val="22"/>
          <w:lang w:val="en-NZ" w:eastAsia="ko-KR"/>
        </w:rPr>
        <w:t xml:space="preserve">already </w:t>
      </w:r>
      <w:r w:rsidR="00153EAA" w:rsidRPr="004635E5">
        <w:rPr>
          <w:rFonts w:eastAsiaTheme="minorEastAsia"/>
          <w:sz w:val="22"/>
          <w:szCs w:val="22"/>
          <w:lang w:val="en-NZ" w:eastAsia="ko-KR"/>
        </w:rPr>
        <w:t xml:space="preserve">evaluating </w:t>
      </w:r>
      <w:r w:rsidR="00153EAA">
        <w:rPr>
          <w:rFonts w:eastAsiaTheme="minorEastAsia"/>
          <w:sz w:val="22"/>
          <w:szCs w:val="22"/>
          <w:lang w:val="en-NZ" w:eastAsia="ko-KR"/>
        </w:rPr>
        <w:t>options for including</w:t>
      </w:r>
      <w:r w:rsidR="00153EAA" w:rsidRPr="004635E5">
        <w:rPr>
          <w:rFonts w:eastAsiaTheme="minorEastAsia"/>
          <w:sz w:val="22"/>
          <w:szCs w:val="22"/>
          <w:lang w:val="en-NZ" w:eastAsia="ko-KR"/>
        </w:rPr>
        <w:t xml:space="preserve"> </w:t>
      </w:r>
      <w:r w:rsidR="00153EAA">
        <w:rPr>
          <w:rFonts w:eastAsiaTheme="minorEastAsia"/>
          <w:sz w:val="22"/>
          <w:szCs w:val="22"/>
          <w:lang w:val="en-NZ" w:eastAsia="ko-KR"/>
        </w:rPr>
        <w:t xml:space="preserve">non-stationary </w:t>
      </w:r>
      <w:r w:rsidR="00153EAA" w:rsidRPr="004635E5">
        <w:rPr>
          <w:rFonts w:eastAsiaTheme="minorEastAsia"/>
          <w:sz w:val="22"/>
          <w:szCs w:val="22"/>
          <w:lang w:val="en-NZ" w:eastAsia="ko-KR"/>
        </w:rPr>
        <w:t>dynamics using Multifan CL</w:t>
      </w:r>
      <w:r w:rsidR="00A2648C" w:rsidRPr="004635E5">
        <w:rPr>
          <w:rFonts w:eastAsiaTheme="minorEastAsia"/>
          <w:sz w:val="22"/>
          <w:szCs w:val="22"/>
          <w:lang w:val="en-NZ" w:eastAsia="ko-KR"/>
        </w:rPr>
        <w:t>.</w:t>
      </w:r>
    </w:p>
    <w:p w14:paraId="6A0EABA2"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4FDB4DA0" w14:textId="77777777" w:rsidR="0041022C" w:rsidRPr="004635E5" w:rsidRDefault="0041022C" w:rsidP="00580EA4">
      <w:pPr>
        <w:numPr>
          <w:ilvl w:val="0"/>
          <w:numId w:val="18"/>
        </w:numPr>
        <w:autoSpaceDE w:val="0"/>
        <w:autoSpaceDN w:val="0"/>
        <w:adjustRightInd w:val="0"/>
        <w:snapToGrid w:val="0"/>
        <w:ind w:left="0" w:firstLine="0"/>
        <w:jc w:val="both"/>
        <w:rPr>
          <w:rFonts w:eastAsiaTheme="minorEastAsia"/>
          <w:sz w:val="22"/>
          <w:szCs w:val="22"/>
          <w:lang w:val="en-AU" w:eastAsia="ko-KR"/>
        </w:rPr>
      </w:pPr>
      <w:r w:rsidRPr="004635E5">
        <w:rPr>
          <w:rFonts w:eastAsiaTheme="minorEastAsia"/>
          <w:sz w:val="22"/>
          <w:szCs w:val="22"/>
          <w:lang w:val="en-NZ" w:eastAsia="ko-KR"/>
        </w:rPr>
        <w:t xml:space="preserve">Chinese-Taipei noted that there were two main longline fleets fishing for south Pacific albacore (DWFNs and PICTs) and that if CPUE is used the variance between these fleets needed to be considered. They also asked if the reference to electronic reporting in the presentation was meant to reflect real time reporting by the fleets. SPC indicated that the reference to electronic reporting and electronic monitoring was to provide an indication of the fleets in which these </w:t>
      </w:r>
      <w:r w:rsidR="00153EAA">
        <w:rPr>
          <w:rFonts w:eastAsiaTheme="minorEastAsia"/>
          <w:sz w:val="22"/>
          <w:szCs w:val="22"/>
          <w:lang w:val="en-NZ" w:eastAsia="ko-KR"/>
        </w:rPr>
        <w:t xml:space="preserve">approaches </w:t>
      </w:r>
      <w:r w:rsidRPr="004635E5">
        <w:rPr>
          <w:rFonts w:eastAsiaTheme="minorEastAsia"/>
          <w:sz w:val="22"/>
          <w:szCs w:val="22"/>
          <w:lang w:val="en-NZ" w:eastAsia="ko-KR"/>
        </w:rPr>
        <w:t>were being introduced, and thus where real time data may become available. In response, Chinese-Taipei indicated that its fleet had to report electronically and that this was a type of electronic reporting system. SPC noted that they would update the table to reflect this</w:t>
      </w:r>
      <w:r w:rsidR="00A16680" w:rsidRPr="004635E5">
        <w:rPr>
          <w:rFonts w:eastAsiaTheme="minorEastAsia"/>
          <w:sz w:val="22"/>
          <w:szCs w:val="22"/>
          <w:lang w:val="en-NZ" w:eastAsia="ko-KR"/>
        </w:rPr>
        <w:t xml:space="preserve">. </w:t>
      </w:r>
      <w:r w:rsidRPr="004635E5">
        <w:rPr>
          <w:rFonts w:eastAsiaTheme="minorEastAsia"/>
          <w:sz w:val="22"/>
          <w:szCs w:val="22"/>
          <w:lang w:val="en-NZ" w:eastAsia="ko-KR"/>
        </w:rPr>
        <w:t>In response to a further query from Chinese-Taipei regarding observer and unloading data, SPC stated that if a catch–based approach to fishery management was used unloading and observer data could provide an alternative source of information for use as part of the monitoring strategy.</w:t>
      </w:r>
    </w:p>
    <w:p w14:paraId="2B3DE2EB" w14:textId="77777777" w:rsidR="00A2648C" w:rsidRPr="004635E5" w:rsidRDefault="00A2648C" w:rsidP="006633A8">
      <w:pPr>
        <w:autoSpaceDE w:val="0"/>
        <w:autoSpaceDN w:val="0"/>
        <w:adjustRightInd w:val="0"/>
        <w:snapToGrid w:val="0"/>
        <w:jc w:val="both"/>
        <w:rPr>
          <w:rFonts w:eastAsiaTheme="minorEastAsia"/>
          <w:sz w:val="22"/>
          <w:szCs w:val="22"/>
          <w:lang w:val="en-AU" w:eastAsia="ko-KR"/>
        </w:rPr>
      </w:pPr>
    </w:p>
    <w:p w14:paraId="00372B84" w14:textId="77777777" w:rsidR="005E01D0" w:rsidRPr="004635E5" w:rsidRDefault="00C75764" w:rsidP="00580EA4">
      <w:pPr>
        <w:numPr>
          <w:ilvl w:val="0"/>
          <w:numId w:val="18"/>
        </w:numPr>
        <w:autoSpaceDE w:val="0"/>
        <w:autoSpaceDN w:val="0"/>
        <w:adjustRightInd w:val="0"/>
        <w:snapToGrid w:val="0"/>
        <w:ind w:left="0" w:firstLine="0"/>
        <w:jc w:val="both"/>
        <w:rPr>
          <w:rFonts w:eastAsiaTheme="minorEastAsia"/>
          <w:sz w:val="22"/>
          <w:szCs w:val="22"/>
          <w:lang w:val="en-AU" w:eastAsia="ko-KR"/>
        </w:rPr>
      </w:pPr>
      <w:r w:rsidRPr="004635E5">
        <w:rPr>
          <w:rFonts w:eastAsiaTheme="minorEastAsia"/>
          <w:sz w:val="22"/>
          <w:szCs w:val="22"/>
          <w:lang w:val="en-NZ" w:eastAsia="ko-KR"/>
        </w:rPr>
        <w:t xml:space="preserve">Chinese Taipei inquired if any </w:t>
      </w:r>
      <w:r w:rsidR="00163012" w:rsidRPr="004635E5">
        <w:rPr>
          <w:rFonts w:eastAsiaTheme="minorEastAsia"/>
          <w:sz w:val="22"/>
          <w:szCs w:val="22"/>
          <w:lang w:val="en-NZ" w:eastAsia="ko-KR"/>
        </w:rPr>
        <w:t>specif</w:t>
      </w:r>
      <w:r w:rsidRPr="004635E5">
        <w:rPr>
          <w:rFonts w:eastAsiaTheme="minorEastAsia"/>
          <w:sz w:val="22"/>
          <w:szCs w:val="22"/>
          <w:lang w:val="en-NZ" w:eastAsia="ko-KR"/>
        </w:rPr>
        <w:t>i</w:t>
      </w:r>
      <w:r w:rsidR="00163012" w:rsidRPr="004635E5">
        <w:rPr>
          <w:rFonts w:eastAsiaTheme="minorEastAsia"/>
          <w:sz w:val="22"/>
          <w:szCs w:val="22"/>
          <w:lang w:val="en-NZ" w:eastAsia="ko-KR"/>
        </w:rPr>
        <w:t>c econ</w:t>
      </w:r>
      <w:r w:rsidRPr="004635E5">
        <w:rPr>
          <w:rFonts w:eastAsiaTheme="minorEastAsia"/>
          <w:sz w:val="22"/>
          <w:szCs w:val="22"/>
          <w:lang w:val="en-NZ" w:eastAsia="ko-KR"/>
        </w:rPr>
        <w:t>omic</w:t>
      </w:r>
      <w:r w:rsidR="00163012" w:rsidRPr="004635E5">
        <w:rPr>
          <w:rFonts w:eastAsiaTheme="minorEastAsia"/>
          <w:sz w:val="22"/>
          <w:szCs w:val="22"/>
          <w:lang w:val="en-NZ" w:eastAsia="ko-KR"/>
        </w:rPr>
        <w:t xml:space="preserve"> obj</w:t>
      </w:r>
      <w:r w:rsidRPr="004635E5">
        <w:rPr>
          <w:rFonts w:eastAsiaTheme="minorEastAsia"/>
          <w:sz w:val="22"/>
          <w:szCs w:val="22"/>
          <w:lang w:val="en-NZ" w:eastAsia="ko-KR"/>
        </w:rPr>
        <w:t>ectives</w:t>
      </w:r>
      <w:r w:rsidR="00163012" w:rsidRPr="004635E5">
        <w:rPr>
          <w:rFonts w:eastAsiaTheme="minorEastAsia"/>
          <w:sz w:val="22"/>
          <w:szCs w:val="22"/>
          <w:lang w:val="en-NZ" w:eastAsia="ko-KR"/>
        </w:rPr>
        <w:t xml:space="preserve"> </w:t>
      </w:r>
      <w:r w:rsidRPr="004635E5">
        <w:rPr>
          <w:rFonts w:eastAsiaTheme="minorEastAsia"/>
          <w:sz w:val="22"/>
          <w:szCs w:val="22"/>
          <w:lang w:val="en-NZ" w:eastAsia="ko-KR"/>
        </w:rPr>
        <w:t xml:space="preserve">were being </w:t>
      </w:r>
      <w:r w:rsidR="00163012" w:rsidRPr="004635E5">
        <w:rPr>
          <w:rFonts w:eastAsiaTheme="minorEastAsia"/>
          <w:sz w:val="22"/>
          <w:szCs w:val="22"/>
          <w:lang w:val="en-NZ" w:eastAsia="ko-KR"/>
        </w:rPr>
        <w:t>considered</w:t>
      </w:r>
      <w:r w:rsidR="00634EEB" w:rsidRPr="004635E5">
        <w:rPr>
          <w:rFonts w:eastAsiaTheme="minorEastAsia"/>
          <w:sz w:val="22"/>
          <w:szCs w:val="22"/>
          <w:lang w:val="en-NZ" w:eastAsia="ko-KR"/>
        </w:rPr>
        <w:t>.</w:t>
      </w:r>
      <w:r w:rsidR="00163012" w:rsidRPr="004635E5">
        <w:rPr>
          <w:rFonts w:eastAsiaTheme="minorEastAsia"/>
          <w:sz w:val="22"/>
          <w:szCs w:val="22"/>
          <w:lang w:val="en-NZ" w:eastAsia="ko-KR"/>
        </w:rPr>
        <w:t xml:space="preserve"> </w:t>
      </w:r>
      <w:r w:rsidRPr="004635E5">
        <w:rPr>
          <w:rFonts w:eastAsiaTheme="minorEastAsia"/>
          <w:sz w:val="22"/>
          <w:szCs w:val="22"/>
          <w:lang w:val="en-NZ" w:eastAsia="ko-KR"/>
        </w:rPr>
        <w:t xml:space="preserve">SPC stated that </w:t>
      </w:r>
      <w:r w:rsidR="00163012" w:rsidRPr="004635E5">
        <w:rPr>
          <w:rFonts w:eastAsiaTheme="minorEastAsia"/>
          <w:sz w:val="22"/>
          <w:szCs w:val="22"/>
          <w:lang w:val="en-NZ" w:eastAsia="ko-KR"/>
        </w:rPr>
        <w:t xml:space="preserve">managers have </w:t>
      </w:r>
      <w:r w:rsidRPr="004635E5">
        <w:rPr>
          <w:rFonts w:eastAsiaTheme="minorEastAsia"/>
          <w:sz w:val="22"/>
          <w:szCs w:val="22"/>
          <w:lang w:val="en-NZ" w:eastAsia="ko-KR"/>
        </w:rPr>
        <w:t xml:space="preserve">proposed </w:t>
      </w:r>
      <w:r w:rsidR="00163012" w:rsidRPr="004635E5">
        <w:rPr>
          <w:rFonts w:eastAsiaTheme="minorEastAsia"/>
          <w:sz w:val="22"/>
          <w:szCs w:val="22"/>
          <w:lang w:val="en-NZ" w:eastAsia="ko-KR"/>
        </w:rPr>
        <w:t>obj</w:t>
      </w:r>
      <w:r w:rsidRPr="004635E5">
        <w:rPr>
          <w:rFonts w:eastAsiaTheme="minorEastAsia"/>
          <w:sz w:val="22"/>
          <w:szCs w:val="22"/>
          <w:lang w:val="en-NZ" w:eastAsia="ko-KR"/>
        </w:rPr>
        <w:t xml:space="preserve">ectives </w:t>
      </w:r>
      <w:r w:rsidR="00163012" w:rsidRPr="004635E5">
        <w:rPr>
          <w:rFonts w:eastAsiaTheme="minorEastAsia"/>
          <w:sz w:val="22"/>
          <w:szCs w:val="22"/>
          <w:lang w:val="en-NZ" w:eastAsia="ko-KR"/>
        </w:rPr>
        <w:t>that include the econ</w:t>
      </w:r>
      <w:r w:rsidRPr="004635E5">
        <w:rPr>
          <w:rFonts w:eastAsiaTheme="minorEastAsia"/>
          <w:sz w:val="22"/>
          <w:szCs w:val="22"/>
          <w:lang w:val="en-NZ" w:eastAsia="ko-KR"/>
        </w:rPr>
        <w:t>omic</w:t>
      </w:r>
      <w:r w:rsidR="00163012" w:rsidRPr="004635E5">
        <w:rPr>
          <w:rFonts w:eastAsiaTheme="minorEastAsia"/>
          <w:sz w:val="22"/>
          <w:szCs w:val="22"/>
          <w:lang w:val="en-NZ" w:eastAsia="ko-KR"/>
        </w:rPr>
        <w:t xml:space="preserve"> perf</w:t>
      </w:r>
      <w:r w:rsidRPr="004635E5">
        <w:rPr>
          <w:rFonts w:eastAsiaTheme="minorEastAsia"/>
          <w:sz w:val="22"/>
          <w:szCs w:val="22"/>
          <w:lang w:val="en-NZ" w:eastAsia="ko-KR"/>
        </w:rPr>
        <w:t>ormance</w:t>
      </w:r>
      <w:r w:rsidR="00163012" w:rsidRPr="004635E5">
        <w:rPr>
          <w:rFonts w:eastAsiaTheme="minorEastAsia"/>
          <w:sz w:val="22"/>
          <w:szCs w:val="22"/>
          <w:lang w:val="en-NZ" w:eastAsia="ko-KR"/>
        </w:rPr>
        <w:t xml:space="preserve"> of that f</w:t>
      </w:r>
      <w:r w:rsidRPr="004635E5">
        <w:rPr>
          <w:rFonts w:eastAsiaTheme="minorEastAsia"/>
          <w:sz w:val="22"/>
          <w:szCs w:val="22"/>
          <w:lang w:val="en-NZ" w:eastAsia="ko-KR"/>
        </w:rPr>
        <w:t xml:space="preserve">ishery. To do so in </w:t>
      </w:r>
      <w:r w:rsidR="0041022C" w:rsidRPr="004635E5">
        <w:rPr>
          <w:rFonts w:eastAsiaTheme="minorEastAsia"/>
          <w:sz w:val="22"/>
          <w:szCs w:val="22"/>
          <w:lang w:val="en-NZ" w:eastAsia="ko-KR"/>
        </w:rPr>
        <w:t xml:space="preserve">the </w:t>
      </w:r>
      <w:r w:rsidRPr="004635E5">
        <w:rPr>
          <w:rFonts w:eastAsiaTheme="minorEastAsia"/>
          <w:sz w:val="22"/>
          <w:szCs w:val="22"/>
          <w:lang w:val="en-NZ" w:eastAsia="ko-KR"/>
        </w:rPr>
        <w:t>real worl</w:t>
      </w:r>
      <w:r w:rsidR="00163012" w:rsidRPr="004635E5">
        <w:rPr>
          <w:rFonts w:eastAsiaTheme="minorEastAsia"/>
          <w:sz w:val="22"/>
          <w:szCs w:val="22"/>
          <w:lang w:val="en-NZ" w:eastAsia="ko-KR"/>
        </w:rPr>
        <w:t xml:space="preserve">d </w:t>
      </w:r>
      <w:r w:rsidRPr="004635E5">
        <w:rPr>
          <w:rFonts w:eastAsiaTheme="minorEastAsia"/>
          <w:sz w:val="22"/>
          <w:szCs w:val="22"/>
          <w:lang w:val="en-NZ" w:eastAsia="ko-KR"/>
        </w:rPr>
        <w:t xml:space="preserve">requires </w:t>
      </w:r>
      <w:r w:rsidR="00163012" w:rsidRPr="004635E5">
        <w:rPr>
          <w:rFonts w:eastAsiaTheme="minorEastAsia"/>
          <w:sz w:val="22"/>
          <w:szCs w:val="22"/>
          <w:lang w:val="en-NZ" w:eastAsia="ko-KR"/>
        </w:rPr>
        <w:t>econ</w:t>
      </w:r>
      <w:r w:rsidRPr="004635E5">
        <w:rPr>
          <w:rFonts w:eastAsiaTheme="minorEastAsia"/>
          <w:sz w:val="22"/>
          <w:szCs w:val="22"/>
          <w:lang w:val="en-NZ" w:eastAsia="ko-KR"/>
        </w:rPr>
        <w:t>omic</w:t>
      </w:r>
      <w:r w:rsidR="00163012" w:rsidRPr="004635E5">
        <w:rPr>
          <w:rFonts w:eastAsiaTheme="minorEastAsia"/>
          <w:sz w:val="22"/>
          <w:szCs w:val="22"/>
          <w:lang w:val="en-NZ" w:eastAsia="ko-KR"/>
        </w:rPr>
        <w:t xml:space="preserve"> info</w:t>
      </w:r>
      <w:r w:rsidRPr="004635E5">
        <w:rPr>
          <w:rFonts w:eastAsiaTheme="minorEastAsia"/>
          <w:sz w:val="22"/>
          <w:szCs w:val="22"/>
          <w:lang w:val="en-NZ" w:eastAsia="ko-KR"/>
        </w:rPr>
        <w:t>rmation</w:t>
      </w:r>
      <w:r w:rsidR="00163012" w:rsidRPr="004635E5">
        <w:rPr>
          <w:rFonts w:eastAsiaTheme="minorEastAsia"/>
          <w:sz w:val="22"/>
          <w:szCs w:val="22"/>
          <w:lang w:val="en-NZ" w:eastAsia="ko-KR"/>
        </w:rPr>
        <w:t xml:space="preserve"> from a fleet in the fishery. </w:t>
      </w:r>
      <w:r w:rsidRPr="004635E5">
        <w:rPr>
          <w:rFonts w:eastAsiaTheme="minorEastAsia"/>
          <w:sz w:val="22"/>
          <w:szCs w:val="22"/>
          <w:lang w:val="en-NZ" w:eastAsia="ko-KR"/>
        </w:rPr>
        <w:t xml:space="preserve">The </w:t>
      </w:r>
      <w:r w:rsidR="00163012" w:rsidRPr="004635E5">
        <w:rPr>
          <w:rFonts w:eastAsiaTheme="minorEastAsia"/>
          <w:sz w:val="22"/>
          <w:szCs w:val="22"/>
          <w:lang w:val="en-NZ" w:eastAsia="ko-KR"/>
        </w:rPr>
        <w:t>voluntary sub</w:t>
      </w:r>
      <w:r w:rsidRPr="004635E5">
        <w:rPr>
          <w:rFonts w:eastAsiaTheme="minorEastAsia"/>
          <w:sz w:val="22"/>
          <w:szCs w:val="22"/>
          <w:lang w:val="en-NZ" w:eastAsia="ko-KR"/>
        </w:rPr>
        <w:t>m</w:t>
      </w:r>
      <w:r w:rsidR="00163012" w:rsidRPr="004635E5">
        <w:rPr>
          <w:rFonts w:eastAsiaTheme="minorEastAsia"/>
          <w:sz w:val="22"/>
          <w:szCs w:val="22"/>
          <w:lang w:val="en-NZ" w:eastAsia="ko-KR"/>
        </w:rPr>
        <w:t>ission of econ</w:t>
      </w:r>
      <w:r w:rsidRPr="004635E5">
        <w:rPr>
          <w:rFonts w:eastAsiaTheme="minorEastAsia"/>
          <w:sz w:val="22"/>
          <w:szCs w:val="22"/>
          <w:lang w:val="en-NZ" w:eastAsia="ko-KR"/>
        </w:rPr>
        <w:t>omic</w:t>
      </w:r>
      <w:r w:rsidR="00163012" w:rsidRPr="004635E5">
        <w:rPr>
          <w:rFonts w:eastAsiaTheme="minorEastAsia"/>
          <w:sz w:val="22"/>
          <w:szCs w:val="22"/>
          <w:lang w:val="en-NZ" w:eastAsia="ko-KR"/>
        </w:rPr>
        <w:t xml:space="preserve"> data </w:t>
      </w:r>
      <w:r w:rsidRPr="004635E5">
        <w:rPr>
          <w:rFonts w:eastAsiaTheme="minorEastAsia"/>
          <w:sz w:val="22"/>
          <w:szCs w:val="22"/>
          <w:lang w:val="en-NZ" w:eastAsia="ko-KR"/>
        </w:rPr>
        <w:t xml:space="preserve">was </w:t>
      </w:r>
      <w:r w:rsidR="00163012" w:rsidRPr="004635E5">
        <w:rPr>
          <w:rFonts w:eastAsiaTheme="minorEastAsia"/>
          <w:sz w:val="22"/>
          <w:szCs w:val="22"/>
          <w:lang w:val="en-NZ" w:eastAsia="ko-KR"/>
        </w:rPr>
        <w:t>disc</w:t>
      </w:r>
      <w:r w:rsidRPr="004635E5">
        <w:rPr>
          <w:rFonts w:eastAsiaTheme="minorEastAsia"/>
          <w:sz w:val="22"/>
          <w:szCs w:val="22"/>
          <w:lang w:val="en-NZ" w:eastAsia="ko-KR"/>
        </w:rPr>
        <w:t xml:space="preserve">ussed </w:t>
      </w:r>
      <w:r w:rsidR="00163012" w:rsidRPr="004635E5">
        <w:rPr>
          <w:rFonts w:eastAsiaTheme="minorEastAsia"/>
          <w:sz w:val="22"/>
          <w:szCs w:val="22"/>
          <w:lang w:val="en-NZ" w:eastAsia="ko-KR"/>
        </w:rPr>
        <w:t xml:space="preserve">at SC13 and </w:t>
      </w:r>
      <w:r w:rsidRPr="004635E5">
        <w:rPr>
          <w:rFonts w:eastAsiaTheme="minorEastAsia"/>
          <w:sz w:val="22"/>
          <w:szCs w:val="22"/>
          <w:lang w:val="en-NZ" w:eastAsia="ko-KR"/>
        </w:rPr>
        <w:t>WCPFC14</w:t>
      </w:r>
      <w:r w:rsidR="00163012" w:rsidRPr="004635E5">
        <w:rPr>
          <w:rFonts w:eastAsiaTheme="minorEastAsia"/>
          <w:sz w:val="22"/>
          <w:szCs w:val="22"/>
          <w:lang w:val="en-NZ" w:eastAsia="ko-KR"/>
        </w:rPr>
        <w:t>. No specif</w:t>
      </w:r>
      <w:r w:rsidRPr="004635E5">
        <w:rPr>
          <w:rFonts w:eastAsiaTheme="minorEastAsia"/>
          <w:sz w:val="22"/>
          <w:szCs w:val="22"/>
          <w:lang w:val="en-NZ" w:eastAsia="ko-KR"/>
        </w:rPr>
        <w:t>i</w:t>
      </w:r>
      <w:r w:rsidR="00163012" w:rsidRPr="004635E5">
        <w:rPr>
          <w:rFonts w:eastAsiaTheme="minorEastAsia"/>
          <w:sz w:val="22"/>
          <w:szCs w:val="22"/>
          <w:lang w:val="en-NZ" w:eastAsia="ko-KR"/>
        </w:rPr>
        <w:t xml:space="preserve">c level of profit </w:t>
      </w:r>
      <w:r w:rsidRPr="004635E5">
        <w:rPr>
          <w:rFonts w:eastAsiaTheme="minorEastAsia"/>
          <w:sz w:val="22"/>
          <w:szCs w:val="22"/>
          <w:lang w:val="en-NZ" w:eastAsia="ko-KR"/>
        </w:rPr>
        <w:t>was assumed at present</w:t>
      </w:r>
      <w:r w:rsidR="00163012" w:rsidRPr="004635E5">
        <w:rPr>
          <w:rFonts w:eastAsiaTheme="minorEastAsia"/>
          <w:sz w:val="22"/>
          <w:szCs w:val="22"/>
          <w:lang w:val="en-NZ" w:eastAsia="ko-KR"/>
        </w:rPr>
        <w:t xml:space="preserve">. </w:t>
      </w:r>
      <w:r w:rsidR="00375849">
        <w:rPr>
          <w:rFonts w:eastAsiaTheme="minorEastAsia" w:hint="eastAsia"/>
          <w:sz w:val="22"/>
          <w:szCs w:val="22"/>
          <w:lang w:val="en-NZ" w:eastAsia="ko-KR"/>
        </w:rPr>
        <w:t>Previous</w:t>
      </w:r>
      <w:r w:rsidR="0041022C" w:rsidRPr="004635E5">
        <w:rPr>
          <w:rFonts w:eastAsiaTheme="minorEastAsia"/>
          <w:sz w:val="22"/>
          <w:szCs w:val="22"/>
          <w:lang w:val="en-AU" w:eastAsia="ko-KR"/>
        </w:rPr>
        <w:t xml:space="preserve"> analyse</w:t>
      </w:r>
      <w:r w:rsidRPr="004635E5">
        <w:rPr>
          <w:rFonts w:eastAsiaTheme="minorEastAsia"/>
          <w:sz w:val="22"/>
          <w:szCs w:val="22"/>
          <w:lang w:val="en-AU" w:eastAsia="ko-KR"/>
        </w:rPr>
        <w:t xml:space="preserve">s had </w:t>
      </w:r>
      <w:r w:rsidR="0041022C" w:rsidRPr="004635E5">
        <w:rPr>
          <w:rFonts w:eastAsiaTheme="minorEastAsia"/>
          <w:sz w:val="22"/>
          <w:szCs w:val="22"/>
          <w:lang w:val="en-AU" w:eastAsia="ko-KR"/>
        </w:rPr>
        <w:t xml:space="preserve">examined TRPs </w:t>
      </w:r>
      <w:r w:rsidRPr="004635E5">
        <w:rPr>
          <w:rFonts w:eastAsiaTheme="minorEastAsia"/>
          <w:sz w:val="22"/>
          <w:szCs w:val="22"/>
          <w:lang w:val="en-AU" w:eastAsia="ko-KR"/>
        </w:rPr>
        <w:t xml:space="preserve">and achieving a given level of fleet profitability, but </w:t>
      </w:r>
      <w:r w:rsidR="00375849">
        <w:rPr>
          <w:rFonts w:eastAsiaTheme="minorEastAsia" w:hint="eastAsia"/>
          <w:sz w:val="22"/>
          <w:szCs w:val="22"/>
          <w:lang w:val="en-AU" w:eastAsia="ko-KR"/>
        </w:rPr>
        <w:t>economic</w:t>
      </w:r>
      <w:r w:rsidRPr="004635E5">
        <w:rPr>
          <w:rFonts w:eastAsiaTheme="minorEastAsia"/>
          <w:sz w:val="22"/>
          <w:szCs w:val="22"/>
          <w:lang w:val="en-NZ" w:eastAsia="ko-KR"/>
        </w:rPr>
        <w:t xml:space="preserve"> </w:t>
      </w:r>
      <w:r w:rsidR="00163012" w:rsidRPr="004635E5">
        <w:rPr>
          <w:rFonts w:eastAsiaTheme="minorEastAsia"/>
          <w:sz w:val="22"/>
          <w:szCs w:val="22"/>
          <w:lang w:val="en-NZ" w:eastAsia="ko-KR"/>
        </w:rPr>
        <w:t xml:space="preserve">targets have not </w:t>
      </w:r>
      <w:r w:rsidRPr="004635E5">
        <w:rPr>
          <w:rFonts w:eastAsiaTheme="minorEastAsia"/>
          <w:sz w:val="22"/>
          <w:szCs w:val="22"/>
          <w:lang w:val="en-NZ" w:eastAsia="ko-KR"/>
        </w:rPr>
        <w:t xml:space="preserve">yet </w:t>
      </w:r>
      <w:r w:rsidR="00163012" w:rsidRPr="004635E5">
        <w:rPr>
          <w:rFonts w:eastAsiaTheme="minorEastAsia"/>
          <w:sz w:val="22"/>
          <w:szCs w:val="22"/>
          <w:lang w:val="en-NZ" w:eastAsia="ko-KR"/>
        </w:rPr>
        <w:t>been set.</w:t>
      </w:r>
    </w:p>
    <w:p w14:paraId="5F8D07C5" w14:textId="77777777" w:rsidR="00A2648C" w:rsidRPr="004635E5" w:rsidRDefault="00A2648C" w:rsidP="006633A8">
      <w:pPr>
        <w:autoSpaceDE w:val="0"/>
        <w:autoSpaceDN w:val="0"/>
        <w:adjustRightInd w:val="0"/>
        <w:snapToGrid w:val="0"/>
        <w:jc w:val="both"/>
        <w:rPr>
          <w:rFonts w:eastAsiaTheme="minorEastAsia"/>
          <w:sz w:val="22"/>
          <w:szCs w:val="22"/>
          <w:lang w:val="en-AU" w:eastAsia="ko-KR"/>
        </w:rPr>
      </w:pPr>
    </w:p>
    <w:p w14:paraId="406FFFD6" w14:textId="77777777" w:rsidR="009013D4" w:rsidRPr="004635E5" w:rsidRDefault="00163012"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Japan</w:t>
      </w:r>
      <w:r w:rsidR="00C75764" w:rsidRPr="004635E5">
        <w:rPr>
          <w:rFonts w:eastAsiaTheme="minorEastAsia"/>
          <w:sz w:val="22"/>
          <w:szCs w:val="22"/>
          <w:lang w:val="en-NZ" w:eastAsia="ko-KR"/>
        </w:rPr>
        <w:t xml:space="preserve"> </w:t>
      </w:r>
      <w:r w:rsidR="0041022C" w:rsidRPr="004635E5">
        <w:rPr>
          <w:rFonts w:eastAsiaTheme="minorEastAsia"/>
          <w:sz w:val="22"/>
          <w:szCs w:val="22"/>
          <w:lang w:eastAsia="ko-KR"/>
        </w:rPr>
        <w:t>questioned whether it was possible at this point to choose an empirical or model-based approach, and asked if it was possible to use both approaches</w:t>
      </w:r>
      <w:r w:rsidR="00224927" w:rsidRPr="004635E5">
        <w:rPr>
          <w:rFonts w:eastAsiaTheme="minorEastAsia"/>
          <w:sz w:val="22"/>
          <w:szCs w:val="22"/>
          <w:lang w:val="en-NZ" w:eastAsia="ko-KR"/>
        </w:rPr>
        <w:t xml:space="preserve">. </w:t>
      </w:r>
      <w:r w:rsidR="00C75764" w:rsidRPr="004635E5">
        <w:rPr>
          <w:rFonts w:eastAsiaTheme="minorEastAsia"/>
          <w:sz w:val="22"/>
          <w:szCs w:val="22"/>
          <w:lang w:val="en-NZ" w:eastAsia="ko-KR"/>
        </w:rPr>
        <w:t>The Convenor noted that there was support for the recommendations</w:t>
      </w:r>
      <w:r w:rsidR="00634EEB" w:rsidRPr="004635E5">
        <w:rPr>
          <w:rFonts w:eastAsiaTheme="minorEastAsia"/>
          <w:sz w:val="22"/>
          <w:szCs w:val="22"/>
          <w:lang w:val="en-NZ" w:eastAsia="ko-KR"/>
        </w:rPr>
        <w:t>,</w:t>
      </w:r>
      <w:r w:rsidR="00C75764" w:rsidRPr="004635E5">
        <w:rPr>
          <w:rFonts w:eastAsiaTheme="minorEastAsia"/>
          <w:sz w:val="22"/>
          <w:szCs w:val="22"/>
          <w:lang w:val="en-NZ" w:eastAsia="ko-KR"/>
        </w:rPr>
        <w:t xml:space="preserve"> noting the need</w:t>
      </w:r>
      <w:r w:rsidR="00634EEB" w:rsidRPr="004635E5">
        <w:rPr>
          <w:rFonts w:eastAsiaTheme="minorEastAsia"/>
          <w:sz w:val="22"/>
          <w:szCs w:val="22"/>
          <w:lang w:val="en-NZ" w:eastAsia="ko-KR"/>
        </w:rPr>
        <w:t xml:space="preserve"> to not lose sight of the model-</w:t>
      </w:r>
      <w:r w:rsidR="00C75764" w:rsidRPr="004635E5">
        <w:rPr>
          <w:rFonts w:eastAsiaTheme="minorEastAsia"/>
          <w:sz w:val="22"/>
          <w:szCs w:val="22"/>
          <w:lang w:val="en-NZ" w:eastAsia="ko-KR"/>
        </w:rPr>
        <w:t>based approach.</w:t>
      </w:r>
    </w:p>
    <w:p w14:paraId="23B692DB"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2E2C946E" w14:textId="77777777" w:rsidR="00EE7AE5" w:rsidRPr="004635E5" w:rsidRDefault="007353E1" w:rsidP="006633A8">
      <w:pPr>
        <w:autoSpaceDE w:val="0"/>
        <w:autoSpaceDN w:val="0"/>
        <w:adjustRightInd w:val="0"/>
        <w:snapToGrid w:val="0"/>
        <w:jc w:val="both"/>
        <w:rPr>
          <w:rFonts w:eastAsiaTheme="minorEastAsia"/>
          <w:b/>
          <w:sz w:val="22"/>
          <w:szCs w:val="22"/>
          <w:lang w:val="en-NZ" w:eastAsia="ko-KR"/>
        </w:rPr>
      </w:pPr>
      <w:r w:rsidRPr="004635E5">
        <w:rPr>
          <w:rFonts w:eastAsiaTheme="minorEastAsia"/>
          <w:b/>
          <w:sz w:val="22"/>
          <w:szCs w:val="22"/>
          <w:lang w:val="en-NZ" w:eastAsia="ko-KR"/>
        </w:rPr>
        <w:t>Recommendation</w:t>
      </w:r>
      <w:r w:rsidR="005B692A" w:rsidRPr="004635E5">
        <w:rPr>
          <w:rFonts w:eastAsiaTheme="minorEastAsia"/>
          <w:b/>
          <w:sz w:val="22"/>
          <w:szCs w:val="22"/>
          <w:lang w:val="en-NZ" w:eastAsia="ko-KR"/>
        </w:rPr>
        <w:t>s</w:t>
      </w:r>
    </w:p>
    <w:p w14:paraId="7F4714A0" w14:textId="77777777" w:rsidR="00A2648C" w:rsidRPr="004635E5" w:rsidRDefault="00A2648C" w:rsidP="006633A8">
      <w:pPr>
        <w:autoSpaceDE w:val="0"/>
        <w:autoSpaceDN w:val="0"/>
        <w:adjustRightInd w:val="0"/>
        <w:snapToGrid w:val="0"/>
        <w:jc w:val="both"/>
        <w:rPr>
          <w:rFonts w:eastAsiaTheme="minorEastAsia"/>
          <w:b/>
          <w:sz w:val="22"/>
          <w:szCs w:val="22"/>
          <w:lang w:val="en-NZ" w:eastAsia="ko-KR"/>
        </w:rPr>
      </w:pPr>
    </w:p>
    <w:p w14:paraId="64EF4811" w14:textId="77777777" w:rsidR="00E767D2" w:rsidRPr="004635E5" w:rsidRDefault="00E767D2"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 xml:space="preserve">In support of the development of a Roadmap for the management of south Pacific albacore tuna, SC14 reviewed potential elements of the harvest strategy for this species, primarily reference points, the estimation method, and harvest control rules </w:t>
      </w:r>
      <w:r w:rsidRPr="004635E5">
        <w:rPr>
          <w:rFonts w:eastAsiaTheme="minorEastAsia"/>
          <w:b/>
          <w:sz w:val="22"/>
          <w:szCs w:val="22"/>
          <w:lang w:val="en-NZ" w:eastAsia="ko-KR"/>
        </w:rPr>
        <w:t>(</w:t>
      </w:r>
      <w:r w:rsidR="00E109C5" w:rsidRPr="004635E5">
        <w:rPr>
          <w:rFonts w:eastAsiaTheme="minorEastAsia"/>
          <w:b/>
          <w:sz w:val="22"/>
          <w:szCs w:val="22"/>
          <w:lang w:eastAsia="ko-KR"/>
        </w:rPr>
        <w:t>SC14-</w:t>
      </w:r>
      <w:r w:rsidRPr="004635E5">
        <w:rPr>
          <w:rFonts w:eastAsiaTheme="minorEastAsia"/>
          <w:b/>
          <w:sz w:val="22"/>
          <w:szCs w:val="22"/>
          <w:lang w:eastAsia="ko-KR"/>
        </w:rPr>
        <w:t xml:space="preserve">MI-WP-02). SC14 endorsed an initial focus on empirical-based estimation methods, using CPUE as the biomass signal, with a secondary focus on model-based approaches. It also endorsed the use of longline CPUE as the primary information source for the estimation method, noting that empirical measures such as CPUE may better align with economic objectives, and they may be easier for some stakeholders to understand. SC14 also reviewed the required criteria for selecting appropriate candidate ‘reference’ longline fleets that may provide the required CPUE series, and provided feedback to the </w:t>
      </w:r>
      <w:r w:rsidRPr="004635E5">
        <w:rPr>
          <w:rFonts w:eastAsiaTheme="minorEastAsia"/>
          <w:b/>
          <w:sz w:val="22"/>
          <w:szCs w:val="22"/>
          <w:lang w:val="en-AU" w:eastAsia="ko-KR"/>
        </w:rPr>
        <w:t xml:space="preserve">Scientific Services </w:t>
      </w:r>
      <w:r w:rsidRPr="004635E5">
        <w:rPr>
          <w:rFonts w:eastAsiaTheme="minorEastAsia"/>
          <w:b/>
          <w:sz w:val="22"/>
          <w:szCs w:val="22"/>
          <w:lang w:eastAsia="ko-KR"/>
        </w:rPr>
        <w:t xml:space="preserve">Provider on additional issues which should be considered in progressing this work. SC14 recommends that WCPFC15 use this working paper to inform development of the Roadmap for improving south Pacific albacore management and requests guidance from WCPFC15 on 1) the south Pacific albacore fisheries to be included in the MSE (e.g. longline and troll) and 2) the potential management control method for the fisheries (e.g. through catch, fishing effort, etc.). SC14 also recommends that WCPFC15 note the need for ongoing review of monitoring strategy requirements as the harvest strategy develops, ongoing efforts to gather key economic data on the southern longline fishery, and endorse the proposed work plan for development of scientific aspects of a south Pacific albacore harvest strategy. </w:t>
      </w:r>
    </w:p>
    <w:p w14:paraId="4AAC9D73" w14:textId="77777777" w:rsidR="00A2648C" w:rsidRPr="004635E5" w:rsidRDefault="00A2648C" w:rsidP="006633A8">
      <w:pPr>
        <w:autoSpaceDE w:val="0"/>
        <w:autoSpaceDN w:val="0"/>
        <w:adjustRightInd w:val="0"/>
        <w:snapToGrid w:val="0"/>
        <w:jc w:val="both"/>
        <w:rPr>
          <w:rFonts w:eastAsiaTheme="minorEastAsia"/>
          <w:b/>
          <w:sz w:val="22"/>
          <w:szCs w:val="22"/>
          <w:lang w:eastAsia="ko-KR"/>
        </w:rPr>
      </w:pPr>
    </w:p>
    <w:p w14:paraId="5B21267C" w14:textId="77777777" w:rsidR="005424BF" w:rsidRPr="004635E5" w:rsidRDefault="00E767D2" w:rsidP="00580EA4">
      <w:pPr>
        <w:pStyle w:val="SC3"/>
        <w:numPr>
          <w:ilvl w:val="2"/>
          <w:numId w:val="161"/>
        </w:numPr>
        <w:spacing w:after="0"/>
        <w:rPr>
          <w:rFonts w:eastAsiaTheme="minorEastAsia"/>
        </w:rPr>
      </w:pPr>
      <w:r w:rsidRPr="004635E5">
        <w:rPr>
          <w:rFonts w:eastAsiaTheme="minorEastAsia"/>
        </w:rPr>
        <w:t>M</w:t>
      </w:r>
      <w:r w:rsidR="00514A1F" w:rsidRPr="004635E5">
        <w:rPr>
          <w:rFonts w:eastAsiaTheme="minorEastAsia"/>
        </w:rPr>
        <w:t>anagement Strategy Evaluation</w:t>
      </w:r>
      <w:r w:rsidR="004B52B2" w:rsidRPr="004635E5">
        <w:rPr>
          <w:rFonts w:eastAsiaTheme="minorEastAsia"/>
        </w:rPr>
        <w:t xml:space="preserve"> (MSE)</w:t>
      </w:r>
    </w:p>
    <w:p w14:paraId="21CE377E" w14:textId="77777777" w:rsidR="00A2648C" w:rsidRPr="004635E5" w:rsidRDefault="00A2648C" w:rsidP="006633A8">
      <w:pPr>
        <w:pStyle w:val="SC3"/>
        <w:numPr>
          <w:ilvl w:val="0"/>
          <w:numId w:val="0"/>
        </w:numPr>
        <w:spacing w:after="0"/>
        <w:ind w:left="1440"/>
        <w:rPr>
          <w:rFonts w:eastAsiaTheme="minorEastAsia"/>
        </w:rPr>
      </w:pPr>
    </w:p>
    <w:p w14:paraId="7F33AB72" w14:textId="77777777" w:rsidR="0041022C" w:rsidRPr="004635E5" w:rsidRDefault="0041022C"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The </w:t>
      </w:r>
      <w:r w:rsidR="002615AE" w:rsidRPr="004635E5">
        <w:rPr>
          <w:rFonts w:eastAsiaTheme="minorEastAsia"/>
          <w:sz w:val="22"/>
          <w:szCs w:val="22"/>
          <w:lang w:eastAsia="ko-KR"/>
        </w:rPr>
        <w:t>theme c</w:t>
      </w:r>
      <w:r w:rsidRPr="004635E5">
        <w:rPr>
          <w:rFonts w:eastAsiaTheme="minorEastAsia"/>
          <w:sz w:val="22"/>
          <w:szCs w:val="22"/>
          <w:lang w:eastAsia="ko-KR"/>
        </w:rPr>
        <w:t xml:space="preserve">onvenor informed the meeting that under this agenda item that the Scientific Services Provider (SPC-OFP) would update SC14 on the progress of WCPFC’s MSE development, focusing on MSE application to skipjack tuna. </w:t>
      </w:r>
    </w:p>
    <w:p w14:paraId="7C4529F9" w14:textId="77777777" w:rsidR="00A2648C" w:rsidRPr="004635E5" w:rsidRDefault="00A2648C" w:rsidP="006633A8">
      <w:pPr>
        <w:autoSpaceDE w:val="0"/>
        <w:autoSpaceDN w:val="0"/>
        <w:adjustRightInd w:val="0"/>
        <w:snapToGrid w:val="0"/>
        <w:jc w:val="both"/>
        <w:rPr>
          <w:rFonts w:eastAsiaTheme="minorEastAsia"/>
          <w:sz w:val="22"/>
          <w:szCs w:val="22"/>
          <w:lang w:eastAsia="ko-KR"/>
        </w:rPr>
      </w:pPr>
    </w:p>
    <w:p w14:paraId="04683583" w14:textId="77777777" w:rsidR="00D67EA5" w:rsidRPr="004635E5" w:rsidRDefault="00D52741"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eastAsia="ko-KR"/>
        </w:rPr>
        <w:t xml:space="preserve">R. Scott </w:t>
      </w:r>
      <w:r w:rsidR="00153EAA">
        <w:rPr>
          <w:rFonts w:eastAsiaTheme="minorEastAsia"/>
          <w:sz w:val="22"/>
          <w:szCs w:val="22"/>
          <w:lang w:eastAsia="ko-KR"/>
        </w:rPr>
        <w:t xml:space="preserve">(SPC) </w:t>
      </w:r>
      <w:r w:rsidRPr="004635E5">
        <w:rPr>
          <w:rFonts w:eastAsiaTheme="minorEastAsia"/>
          <w:sz w:val="22"/>
          <w:szCs w:val="22"/>
          <w:lang w:eastAsia="ko-KR"/>
        </w:rPr>
        <w:t xml:space="preserve">introduced </w:t>
      </w:r>
      <w:r w:rsidR="007F202D">
        <w:rPr>
          <w:rFonts w:eastAsiaTheme="minorEastAsia" w:hint="eastAsia"/>
          <w:sz w:val="22"/>
          <w:szCs w:val="22"/>
          <w:lang w:eastAsia="ko-KR"/>
        </w:rPr>
        <w:t>SC14-</w:t>
      </w:r>
      <w:r w:rsidR="00CE34E7" w:rsidRPr="004635E5">
        <w:rPr>
          <w:rFonts w:eastAsiaTheme="minorEastAsia"/>
          <w:sz w:val="22"/>
          <w:szCs w:val="22"/>
          <w:lang w:eastAsia="ko-KR"/>
        </w:rPr>
        <w:t>MI-WP-03</w:t>
      </w:r>
      <w:r w:rsidR="007F202D">
        <w:rPr>
          <w:rFonts w:eastAsiaTheme="minorEastAsia" w:hint="eastAsia"/>
          <w:sz w:val="22"/>
          <w:szCs w:val="22"/>
          <w:lang w:eastAsia="ko-KR"/>
        </w:rPr>
        <w:t xml:space="preserve"> </w:t>
      </w:r>
      <w:r w:rsidR="00CE34E7" w:rsidRPr="004635E5">
        <w:rPr>
          <w:rFonts w:eastAsiaTheme="minorEastAsia"/>
          <w:i/>
          <w:sz w:val="22"/>
          <w:szCs w:val="22"/>
          <w:lang w:eastAsia="ko-KR"/>
        </w:rPr>
        <w:t xml:space="preserve">Selecting and Conditioning </w:t>
      </w:r>
      <w:r w:rsidRPr="004635E5">
        <w:rPr>
          <w:rFonts w:eastAsiaTheme="minorEastAsia"/>
          <w:i/>
          <w:sz w:val="22"/>
          <w:szCs w:val="22"/>
          <w:lang w:eastAsia="ko-KR"/>
        </w:rPr>
        <w:t>O</w:t>
      </w:r>
      <w:r w:rsidR="00CE34E7" w:rsidRPr="004635E5">
        <w:rPr>
          <w:rFonts w:eastAsiaTheme="minorEastAsia"/>
          <w:i/>
          <w:sz w:val="22"/>
          <w:szCs w:val="22"/>
          <w:lang w:eastAsia="ko-KR"/>
        </w:rPr>
        <w:t>perating models for WCPO skipjack</w:t>
      </w:r>
      <w:r w:rsidRPr="004635E5">
        <w:rPr>
          <w:rFonts w:eastAsiaTheme="minorEastAsia"/>
          <w:sz w:val="22"/>
          <w:szCs w:val="22"/>
          <w:lang w:eastAsia="ko-KR"/>
        </w:rPr>
        <w:t xml:space="preserve"> and noted </w:t>
      </w:r>
      <w:r w:rsidR="007F202D">
        <w:rPr>
          <w:rFonts w:eastAsiaTheme="minorEastAsia" w:hint="eastAsia"/>
          <w:sz w:val="22"/>
          <w:szCs w:val="22"/>
          <w:lang w:eastAsia="ko-KR"/>
        </w:rPr>
        <w:t>SC14-</w:t>
      </w:r>
      <w:r w:rsidRPr="004635E5">
        <w:rPr>
          <w:rFonts w:eastAsiaTheme="minorEastAsia"/>
          <w:sz w:val="22"/>
          <w:szCs w:val="22"/>
          <w:lang w:eastAsia="ko-KR"/>
        </w:rPr>
        <w:t xml:space="preserve">MI-IP-02 </w:t>
      </w:r>
      <w:r w:rsidRPr="004635E5">
        <w:rPr>
          <w:rFonts w:eastAsiaTheme="minorEastAsia"/>
          <w:i/>
          <w:sz w:val="22"/>
          <w:szCs w:val="22"/>
          <w:lang w:eastAsia="ko-KR"/>
        </w:rPr>
        <w:t>Technical developments in the MSE modelling framework.</w:t>
      </w:r>
      <w:r w:rsidR="00E767D2" w:rsidRPr="004635E5">
        <w:rPr>
          <w:rFonts w:eastAsiaTheme="minorEastAsia"/>
          <w:i/>
          <w:sz w:val="22"/>
          <w:szCs w:val="22"/>
          <w:lang w:eastAsia="ko-KR"/>
        </w:rPr>
        <w:t xml:space="preserve"> </w:t>
      </w:r>
      <w:r w:rsidR="00D67EA5" w:rsidRPr="004635E5">
        <w:rPr>
          <w:rFonts w:eastAsiaTheme="minorEastAsia"/>
          <w:sz w:val="22"/>
          <w:szCs w:val="22"/>
          <w:lang w:val="en-NZ" w:eastAsia="ko-KR"/>
        </w:rPr>
        <w:t>The MSE evaluation framework is constructed from two main components, an operating model (OM) and a management procedure (MP). In this paper we are specifically concerned with the process of developing and parameterising the OMs that represent the behaviour and dynamics of the fish populations and the fishing fleets that exploit them, a process termed ’conditioning’.</w:t>
      </w:r>
      <w:r w:rsidR="00E767D2" w:rsidRPr="004635E5">
        <w:rPr>
          <w:rFonts w:eastAsiaTheme="minorEastAsia"/>
          <w:sz w:val="22"/>
          <w:szCs w:val="22"/>
          <w:lang w:val="en-NZ" w:eastAsia="ko-KR"/>
        </w:rPr>
        <w:t xml:space="preserve"> </w:t>
      </w:r>
      <w:r w:rsidR="00D67EA5" w:rsidRPr="004635E5">
        <w:rPr>
          <w:rFonts w:eastAsiaTheme="minorEastAsia"/>
          <w:sz w:val="22"/>
          <w:szCs w:val="22"/>
          <w:lang w:val="en-NZ" w:eastAsia="ko-KR"/>
        </w:rPr>
        <w:t>For the MSE framework, a range of OMs should be identified, each one representing a specific plausible hypothesis on stock biology (e.g. natural mortality, movement) or fishery dynamics (e.g. effort creep). The aim is to ensure that the OMs cover all important sources of uncertainty, against which the performance of a MP should be evaluated</w:t>
      </w:r>
    </w:p>
    <w:p w14:paraId="2CD9A667"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34D17FA8" w14:textId="77777777" w:rsidR="00EE7AE5" w:rsidRPr="004635E5" w:rsidRDefault="0041022C" w:rsidP="00580EA4">
      <w:pPr>
        <w:numPr>
          <w:ilvl w:val="0"/>
          <w:numId w:val="18"/>
        </w:numPr>
        <w:autoSpaceDE w:val="0"/>
        <w:autoSpaceDN w:val="0"/>
        <w:adjustRightInd w:val="0"/>
        <w:snapToGrid w:val="0"/>
        <w:ind w:left="0" w:firstLine="0"/>
        <w:jc w:val="both"/>
        <w:rPr>
          <w:rFonts w:eastAsiaTheme="minorEastAsia"/>
          <w:sz w:val="22"/>
          <w:szCs w:val="22"/>
          <w:lang w:val="en-AU" w:eastAsia="ko-KR"/>
        </w:rPr>
      </w:pPr>
      <w:r w:rsidRPr="004635E5">
        <w:rPr>
          <w:rFonts w:eastAsiaTheme="minorEastAsia"/>
          <w:sz w:val="22"/>
          <w:szCs w:val="22"/>
          <w:lang w:val="en-NZ" w:eastAsia="ko-KR"/>
        </w:rPr>
        <w:t xml:space="preserve">The authors </w:t>
      </w:r>
      <w:r w:rsidR="00D67EA5" w:rsidRPr="004635E5">
        <w:rPr>
          <w:rFonts w:eastAsiaTheme="minorEastAsia"/>
          <w:sz w:val="22"/>
          <w:szCs w:val="22"/>
          <w:lang w:val="en-NZ" w:eastAsia="ko-KR"/>
        </w:rPr>
        <w:t>outline the important sources of uncertainty that should be considered when conditioning OMs. With a focus on skipjack tuna and the tropical purse seine fishery, a candidate group of OMs is proposed which is split into reference sets (most plausible and consequential scenarios to be tested) and robustness sets (still plausible but considered as ’what if’ scenarios). The following uncertainty grid with a reference set comprising 72 scenarios (</w:t>
      </w:r>
      <w:r w:rsidR="00A2648C" w:rsidRPr="004635E5">
        <w:rPr>
          <w:rFonts w:eastAsiaTheme="minorEastAsia"/>
          <w:sz w:val="22"/>
          <w:szCs w:val="22"/>
          <w:lang w:val="en-NZ" w:eastAsia="ko-KR"/>
        </w:rPr>
        <w:t>T</w:t>
      </w:r>
      <w:r w:rsidR="00D67EA5" w:rsidRPr="004635E5">
        <w:rPr>
          <w:rFonts w:eastAsiaTheme="minorEastAsia"/>
          <w:sz w:val="22"/>
          <w:szCs w:val="22"/>
          <w:lang w:val="en-NZ" w:eastAsia="ko-KR"/>
        </w:rPr>
        <w:t xml:space="preserve">able </w:t>
      </w:r>
      <w:r w:rsidR="00A2648C" w:rsidRPr="004635E5">
        <w:rPr>
          <w:rFonts w:eastAsiaTheme="minorEastAsia"/>
          <w:sz w:val="22"/>
          <w:szCs w:val="22"/>
          <w:lang w:val="en-NZ" w:eastAsia="ko-KR"/>
        </w:rPr>
        <w:t>MSE-1</w:t>
      </w:r>
      <w:r w:rsidR="00D67EA5" w:rsidRPr="004635E5">
        <w:rPr>
          <w:rFonts w:eastAsiaTheme="minorEastAsia"/>
          <w:sz w:val="22"/>
          <w:szCs w:val="22"/>
          <w:lang w:val="en-NZ" w:eastAsia="ko-KR"/>
        </w:rPr>
        <w:t>) reflect key uncertainties that may influence future management performance.</w:t>
      </w:r>
      <w:r w:rsidR="00EE7AE5" w:rsidRPr="004635E5">
        <w:rPr>
          <w:rFonts w:eastAsiaTheme="minorEastAsia"/>
          <w:sz w:val="22"/>
          <w:szCs w:val="22"/>
          <w:lang w:val="en-AU" w:eastAsia="ko-KR"/>
        </w:rPr>
        <w:t xml:space="preserve"> </w:t>
      </w:r>
    </w:p>
    <w:p w14:paraId="641B1962" w14:textId="77777777" w:rsidR="00A2648C" w:rsidRPr="004635E5" w:rsidRDefault="00A2648C" w:rsidP="006633A8">
      <w:pPr>
        <w:autoSpaceDE w:val="0"/>
        <w:autoSpaceDN w:val="0"/>
        <w:adjustRightInd w:val="0"/>
        <w:snapToGrid w:val="0"/>
        <w:jc w:val="both"/>
        <w:rPr>
          <w:rFonts w:eastAsiaTheme="minorEastAsia"/>
          <w:sz w:val="22"/>
          <w:szCs w:val="22"/>
          <w:lang w:val="en-AU" w:eastAsia="ko-KR"/>
        </w:rPr>
      </w:pPr>
    </w:p>
    <w:p w14:paraId="7EA9BE22" w14:textId="77777777" w:rsidR="00EE7AE5" w:rsidRPr="004635E5" w:rsidRDefault="00EE7AE5" w:rsidP="007C29E5">
      <w:pPr>
        <w:adjustRightInd w:val="0"/>
        <w:snapToGrid w:val="0"/>
        <w:ind w:right="450"/>
        <w:jc w:val="both"/>
        <w:rPr>
          <w:rFonts w:eastAsiaTheme="minorEastAsia"/>
          <w:sz w:val="22"/>
          <w:szCs w:val="22"/>
          <w:lang w:val="en-AU" w:eastAsia="ko-KR"/>
        </w:rPr>
      </w:pPr>
      <w:r w:rsidRPr="004635E5">
        <w:rPr>
          <w:rFonts w:eastAsiaTheme="minorEastAsia"/>
          <w:b/>
          <w:sz w:val="22"/>
          <w:szCs w:val="22"/>
          <w:lang w:val="en-AU" w:eastAsia="ko-KR"/>
        </w:rPr>
        <w:t xml:space="preserve">TABLE </w:t>
      </w:r>
      <w:r w:rsidR="0041022C" w:rsidRPr="004635E5">
        <w:rPr>
          <w:rFonts w:eastAsiaTheme="minorEastAsia"/>
          <w:b/>
          <w:sz w:val="22"/>
          <w:szCs w:val="22"/>
          <w:lang w:val="en-AU" w:eastAsia="ko-KR"/>
        </w:rPr>
        <w:t>MSE-1</w:t>
      </w:r>
      <w:r w:rsidR="002E39E9" w:rsidRPr="004635E5">
        <w:rPr>
          <w:rFonts w:eastAsiaTheme="minorEastAsia"/>
          <w:b/>
          <w:sz w:val="22"/>
          <w:szCs w:val="22"/>
          <w:lang w:val="en-AU" w:eastAsia="ko-KR"/>
        </w:rPr>
        <w:t>.</w:t>
      </w:r>
      <w:r w:rsidRPr="004635E5">
        <w:rPr>
          <w:rFonts w:eastAsiaTheme="minorEastAsia"/>
          <w:sz w:val="22"/>
          <w:szCs w:val="22"/>
          <w:lang w:val="en-AU" w:eastAsia="ko-KR"/>
        </w:rPr>
        <w:t xml:space="preserve"> Skipjack OM uncertainty grid. Scenarios shown in bold are proposed for the reference set. </w:t>
      </w:r>
    </w:p>
    <w:tbl>
      <w:tblPr>
        <w:tblStyle w:val="TableGrid"/>
        <w:tblW w:w="5000" w:type="pct"/>
        <w:jc w:val="center"/>
        <w:tblLook w:val="04A0" w:firstRow="1" w:lastRow="0" w:firstColumn="1" w:lastColumn="0" w:noHBand="0" w:noVBand="1"/>
      </w:tblPr>
      <w:tblGrid>
        <w:gridCol w:w="2535"/>
        <w:gridCol w:w="1241"/>
        <w:gridCol w:w="1469"/>
        <w:gridCol w:w="1444"/>
        <w:gridCol w:w="1657"/>
        <w:gridCol w:w="1230"/>
      </w:tblGrid>
      <w:tr w:rsidR="00D67EA5" w:rsidRPr="004635E5" w14:paraId="483866ED" w14:textId="77777777" w:rsidTr="007C29E5">
        <w:trPr>
          <w:jc w:val="center"/>
        </w:trPr>
        <w:tc>
          <w:tcPr>
            <w:tcW w:w="1324" w:type="pct"/>
          </w:tcPr>
          <w:p w14:paraId="50F01004" w14:textId="77777777" w:rsidR="00D67EA5" w:rsidRPr="004635E5" w:rsidRDefault="00D67EA5" w:rsidP="007C29E5">
            <w:pPr>
              <w:adjustRightInd w:val="0"/>
              <w:snapToGrid w:val="0"/>
              <w:spacing w:after="0"/>
              <w:jc w:val="center"/>
              <w:rPr>
                <w:rFonts w:eastAsiaTheme="minorEastAsia"/>
                <w:b/>
                <w:sz w:val="22"/>
                <w:szCs w:val="22"/>
                <w:lang w:eastAsia="ko-KR"/>
              </w:rPr>
            </w:pPr>
            <w:r w:rsidRPr="004635E5">
              <w:rPr>
                <w:rFonts w:eastAsiaTheme="minorEastAsia"/>
                <w:b/>
                <w:sz w:val="22"/>
                <w:szCs w:val="22"/>
                <w:lang w:eastAsia="ko-KR"/>
              </w:rPr>
              <w:t>Axis</w:t>
            </w:r>
          </w:p>
        </w:tc>
        <w:tc>
          <w:tcPr>
            <w:tcW w:w="1415" w:type="pct"/>
            <w:gridSpan w:val="2"/>
          </w:tcPr>
          <w:p w14:paraId="24A3586D" w14:textId="77777777" w:rsidR="00D67EA5" w:rsidRPr="004635E5" w:rsidRDefault="00D67EA5" w:rsidP="007C29E5">
            <w:pPr>
              <w:adjustRightInd w:val="0"/>
              <w:snapToGrid w:val="0"/>
              <w:spacing w:after="0"/>
              <w:jc w:val="center"/>
              <w:rPr>
                <w:rFonts w:eastAsiaTheme="minorEastAsia"/>
                <w:b/>
                <w:sz w:val="22"/>
                <w:szCs w:val="22"/>
                <w:lang w:eastAsia="ko-KR"/>
              </w:rPr>
            </w:pPr>
            <w:r w:rsidRPr="004635E5">
              <w:rPr>
                <w:rFonts w:eastAsiaTheme="minorEastAsia"/>
                <w:b/>
                <w:sz w:val="22"/>
                <w:szCs w:val="22"/>
                <w:lang w:eastAsia="ko-KR"/>
              </w:rPr>
              <w:t>Levels</w:t>
            </w:r>
          </w:p>
        </w:tc>
        <w:tc>
          <w:tcPr>
            <w:tcW w:w="2261" w:type="pct"/>
            <w:gridSpan w:val="3"/>
          </w:tcPr>
          <w:p w14:paraId="29840173" w14:textId="77777777" w:rsidR="00D67EA5" w:rsidRPr="004635E5" w:rsidRDefault="00D67EA5" w:rsidP="007C29E5">
            <w:pPr>
              <w:adjustRightInd w:val="0"/>
              <w:snapToGrid w:val="0"/>
              <w:spacing w:after="0"/>
              <w:jc w:val="center"/>
              <w:rPr>
                <w:rFonts w:eastAsiaTheme="minorEastAsia"/>
                <w:b/>
                <w:sz w:val="22"/>
                <w:szCs w:val="22"/>
                <w:lang w:eastAsia="ko-KR"/>
              </w:rPr>
            </w:pPr>
            <w:r w:rsidRPr="004635E5">
              <w:rPr>
                <w:rFonts w:eastAsiaTheme="minorEastAsia"/>
                <w:b/>
                <w:sz w:val="22"/>
                <w:szCs w:val="22"/>
                <w:lang w:eastAsia="ko-KR"/>
              </w:rPr>
              <w:t>Options</w:t>
            </w:r>
          </w:p>
        </w:tc>
      </w:tr>
      <w:tr w:rsidR="00D67EA5" w:rsidRPr="004635E5" w14:paraId="1162F65E" w14:textId="77777777" w:rsidTr="007C29E5">
        <w:trPr>
          <w:jc w:val="center"/>
        </w:trPr>
        <w:tc>
          <w:tcPr>
            <w:tcW w:w="1324" w:type="pct"/>
          </w:tcPr>
          <w:p w14:paraId="36D17D3F"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648" w:type="pct"/>
          </w:tcPr>
          <w:p w14:paraId="1DBEA9FD"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Reference</w:t>
            </w:r>
          </w:p>
        </w:tc>
        <w:tc>
          <w:tcPr>
            <w:tcW w:w="767" w:type="pct"/>
          </w:tcPr>
          <w:p w14:paraId="368C090E"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Robustness</w:t>
            </w:r>
          </w:p>
        </w:tc>
        <w:tc>
          <w:tcPr>
            <w:tcW w:w="754" w:type="pct"/>
          </w:tcPr>
          <w:p w14:paraId="35443621"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0</w:t>
            </w:r>
          </w:p>
        </w:tc>
        <w:tc>
          <w:tcPr>
            <w:tcW w:w="865" w:type="pct"/>
          </w:tcPr>
          <w:p w14:paraId="14DD53E0"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1</w:t>
            </w:r>
          </w:p>
        </w:tc>
        <w:tc>
          <w:tcPr>
            <w:tcW w:w="642" w:type="pct"/>
          </w:tcPr>
          <w:p w14:paraId="09E78195"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2</w:t>
            </w:r>
          </w:p>
        </w:tc>
      </w:tr>
      <w:tr w:rsidR="00D67EA5" w:rsidRPr="004635E5" w14:paraId="699BD9E5" w14:textId="77777777" w:rsidTr="007C29E5">
        <w:trPr>
          <w:jc w:val="center"/>
        </w:trPr>
        <w:tc>
          <w:tcPr>
            <w:tcW w:w="1324" w:type="pct"/>
          </w:tcPr>
          <w:p w14:paraId="1C922155"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Process Error</w:t>
            </w:r>
          </w:p>
        </w:tc>
        <w:tc>
          <w:tcPr>
            <w:tcW w:w="648" w:type="pct"/>
          </w:tcPr>
          <w:p w14:paraId="2D1581A9"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767" w:type="pct"/>
          </w:tcPr>
          <w:p w14:paraId="2D1C0AAF"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754" w:type="pct"/>
          </w:tcPr>
          <w:p w14:paraId="27D2B0B2"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865" w:type="pct"/>
          </w:tcPr>
          <w:p w14:paraId="58D15D53"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642" w:type="pct"/>
          </w:tcPr>
          <w:p w14:paraId="72F62FFC" w14:textId="77777777" w:rsidR="00D67EA5" w:rsidRPr="004635E5" w:rsidRDefault="00D67EA5" w:rsidP="006633A8">
            <w:pPr>
              <w:adjustRightInd w:val="0"/>
              <w:snapToGrid w:val="0"/>
              <w:spacing w:after="0"/>
              <w:jc w:val="both"/>
              <w:rPr>
                <w:rFonts w:eastAsiaTheme="minorEastAsia"/>
                <w:sz w:val="22"/>
                <w:szCs w:val="22"/>
                <w:lang w:eastAsia="ko-KR"/>
              </w:rPr>
            </w:pPr>
          </w:p>
        </w:tc>
      </w:tr>
      <w:tr w:rsidR="00D67EA5" w:rsidRPr="004635E5" w14:paraId="06A52A16" w14:textId="77777777" w:rsidTr="007C29E5">
        <w:trPr>
          <w:jc w:val="center"/>
        </w:trPr>
        <w:tc>
          <w:tcPr>
            <w:tcW w:w="1324" w:type="pct"/>
          </w:tcPr>
          <w:p w14:paraId="1B031011"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Recruitment variability</w:t>
            </w:r>
          </w:p>
        </w:tc>
        <w:tc>
          <w:tcPr>
            <w:tcW w:w="648" w:type="pct"/>
          </w:tcPr>
          <w:p w14:paraId="5F8C28E7"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2</w:t>
            </w:r>
          </w:p>
        </w:tc>
        <w:tc>
          <w:tcPr>
            <w:tcW w:w="767" w:type="pct"/>
          </w:tcPr>
          <w:p w14:paraId="1F09FFC2" w14:textId="77777777" w:rsidR="00D67EA5" w:rsidRPr="004635E5" w:rsidRDefault="00D67EA5" w:rsidP="006633A8">
            <w:pPr>
              <w:adjustRightInd w:val="0"/>
              <w:snapToGrid w:val="0"/>
              <w:spacing w:after="0"/>
              <w:jc w:val="both"/>
              <w:rPr>
                <w:rFonts w:eastAsiaTheme="minorEastAsia"/>
                <w:b/>
                <w:sz w:val="22"/>
                <w:szCs w:val="22"/>
                <w:lang w:eastAsia="ko-KR"/>
              </w:rPr>
            </w:pPr>
          </w:p>
        </w:tc>
        <w:tc>
          <w:tcPr>
            <w:tcW w:w="754" w:type="pct"/>
          </w:tcPr>
          <w:p w14:paraId="5DA58726"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1982-2014</w:t>
            </w:r>
          </w:p>
        </w:tc>
        <w:tc>
          <w:tcPr>
            <w:tcW w:w="865" w:type="pct"/>
          </w:tcPr>
          <w:p w14:paraId="323E9632"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2005-2014</w:t>
            </w:r>
          </w:p>
        </w:tc>
        <w:tc>
          <w:tcPr>
            <w:tcW w:w="642" w:type="pct"/>
          </w:tcPr>
          <w:p w14:paraId="2614CA64" w14:textId="77777777" w:rsidR="00D67EA5" w:rsidRPr="004635E5" w:rsidRDefault="00D67EA5" w:rsidP="006633A8">
            <w:pPr>
              <w:adjustRightInd w:val="0"/>
              <w:snapToGrid w:val="0"/>
              <w:spacing w:after="0"/>
              <w:jc w:val="both"/>
              <w:rPr>
                <w:rFonts w:eastAsiaTheme="minorEastAsia"/>
                <w:sz w:val="22"/>
                <w:szCs w:val="22"/>
                <w:lang w:eastAsia="ko-KR"/>
              </w:rPr>
            </w:pPr>
          </w:p>
        </w:tc>
      </w:tr>
      <w:tr w:rsidR="00D67EA5" w:rsidRPr="004635E5" w14:paraId="29167A48" w14:textId="77777777" w:rsidTr="007C29E5">
        <w:trPr>
          <w:jc w:val="center"/>
        </w:trPr>
        <w:tc>
          <w:tcPr>
            <w:tcW w:w="1324" w:type="pct"/>
          </w:tcPr>
          <w:p w14:paraId="094C339C"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Observation Error</w:t>
            </w:r>
          </w:p>
        </w:tc>
        <w:tc>
          <w:tcPr>
            <w:tcW w:w="648" w:type="pct"/>
          </w:tcPr>
          <w:p w14:paraId="4B64A231"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767" w:type="pct"/>
          </w:tcPr>
          <w:p w14:paraId="6EAF0651"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754" w:type="pct"/>
          </w:tcPr>
          <w:p w14:paraId="4B924D6F"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865" w:type="pct"/>
          </w:tcPr>
          <w:p w14:paraId="46B1667A"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642" w:type="pct"/>
          </w:tcPr>
          <w:p w14:paraId="1EB53748" w14:textId="77777777" w:rsidR="00D67EA5" w:rsidRPr="004635E5" w:rsidRDefault="00D67EA5" w:rsidP="006633A8">
            <w:pPr>
              <w:adjustRightInd w:val="0"/>
              <w:snapToGrid w:val="0"/>
              <w:spacing w:after="0"/>
              <w:jc w:val="both"/>
              <w:rPr>
                <w:rFonts w:eastAsiaTheme="minorEastAsia"/>
                <w:sz w:val="22"/>
                <w:szCs w:val="22"/>
                <w:lang w:eastAsia="ko-KR"/>
              </w:rPr>
            </w:pPr>
          </w:p>
        </w:tc>
      </w:tr>
      <w:tr w:rsidR="00D67EA5" w:rsidRPr="004635E5" w14:paraId="4CA156E5" w14:textId="77777777" w:rsidTr="007C29E5">
        <w:trPr>
          <w:jc w:val="center"/>
        </w:trPr>
        <w:tc>
          <w:tcPr>
            <w:tcW w:w="1324" w:type="pct"/>
          </w:tcPr>
          <w:p w14:paraId="5E5DEDAD"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Catch and effort</w:t>
            </w:r>
          </w:p>
        </w:tc>
        <w:tc>
          <w:tcPr>
            <w:tcW w:w="648" w:type="pct"/>
          </w:tcPr>
          <w:p w14:paraId="5473F7AA"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2</w:t>
            </w:r>
          </w:p>
        </w:tc>
        <w:tc>
          <w:tcPr>
            <w:tcW w:w="767" w:type="pct"/>
          </w:tcPr>
          <w:p w14:paraId="7FF10B39" w14:textId="77777777" w:rsidR="00D67EA5" w:rsidRPr="004635E5" w:rsidRDefault="00D67EA5" w:rsidP="006633A8">
            <w:pPr>
              <w:adjustRightInd w:val="0"/>
              <w:snapToGrid w:val="0"/>
              <w:spacing w:after="0"/>
              <w:jc w:val="both"/>
              <w:rPr>
                <w:rFonts w:eastAsiaTheme="minorEastAsia"/>
                <w:b/>
                <w:sz w:val="22"/>
                <w:szCs w:val="22"/>
                <w:lang w:eastAsia="ko-KR"/>
              </w:rPr>
            </w:pPr>
          </w:p>
        </w:tc>
        <w:tc>
          <w:tcPr>
            <w:tcW w:w="754" w:type="pct"/>
          </w:tcPr>
          <w:p w14:paraId="5D487B12"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20%</w:t>
            </w:r>
          </w:p>
        </w:tc>
        <w:tc>
          <w:tcPr>
            <w:tcW w:w="865" w:type="pct"/>
          </w:tcPr>
          <w:p w14:paraId="40A65B00"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30%</w:t>
            </w:r>
          </w:p>
        </w:tc>
        <w:tc>
          <w:tcPr>
            <w:tcW w:w="642" w:type="pct"/>
          </w:tcPr>
          <w:p w14:paraId="48FDD356" w14:textId="77777777" w:rsidR="00D67EA5" w:rsidRPr="004635E5" w:rsidRDefault="00D67EA5" w:rsidP="006633A8">
            <w:pPr>
              <w:adjustRightInd w:val="0"/>
              <w:snapToGrid w:val="0"/>
              <w:spacing w:after="0"/>
              <w:jc w:val="both"/>
              <w:rPr>
                <w:rFonts w:eastAsiaTheme="minorEastAsia"/>
                <w:sz w:val="22"/>
                <w:szCs w:val="22"/>
                <w:lang w:eastAsia="ko-KR"/>
              </w:rPr>
            </w:pPr>
          </w:p>
        </w:tc>
      </w:tr>
      <w:tr w:rsidR="00D67EA5" w:rsidRPr="004635E5" w14:paraId="693D08E9" w14:textId="77777777" w:rsidTr="007C29E5">
        <w:trPr>
          <w:jc w:val="center"/>
        </w:trPr>
        <w:tc>
          <w:tcPr>
            <w:tcW w:w="1324" w:type="pct"/>
          </w:tcPr>
          <w:p w14:paraId="648F620F"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Size composition</w:t>
            </w:r>
          </w:p>
        </w:tc>
        <w:tc>
          <w:tcPr>
            <w:tcW w:w="648" w:type="pct"/>
          </w:tcPr>
          <w:p w14:paraId="6BB1D59A"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1</w:t>
            </w:r>
          </w:p>
        </w:tc>
        <w:tc>
          <w:tcPr>
            <w:tcW w:w="767" w:type="pct"/>
          </w:tcPr>
          <w:p w14:paraId="205C7453"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2261" w:type="pct"/>
            <w:gridSpan w:val="3"/>
          </w:tcPr>
          <w:p w14:paraId="15E765E7"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all models (see section 2.2.4)</w:t>
            </w:r>
          </w:p>
        </w:tc>
      </w:tr>
      <w:tr w:rsidR="00D67EA5" w:rsidRPr="004635E5" w14:paraId="31824F01" w14:textId="77777777" w:rsidTr="007C29E5">
        <w:trPr>
          <w:jc w:val="center"/>
        </w:trPr>
        <w:tc>
          <w:tcPr>
            <w:tcW w:w="1324" w:type="pct"/>
          </w:tcPr>
          <w:p w14:paraId="658BC31C"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Tag recaptures</w:t>
            </w:r>
          </w:p>
        </w:tc>
        <w:tc>
          <w:tcPr>
            <w:tcW w:w="648" w:type="pct"/>
          </w:tcPr>
          <w:p w14:paraId="3DC8FBAA"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1</w:t>
            </w:r>
          </w:p>
        </w:tc>
        <w:tc>
          <w:tcPr>
            <w:tcW w:w="767" w:type="pct"/>
          </w:tcPr>
          <w:p w14:paraId="626B7136"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2</w:t>
            </w:r>
          </w:p>
        </w:tc>
        <w:tc>
          <w:tcPr>
            <w:tcW w:w="754" w:type="pct"/>
          </w:tcPr>
          <w:p w14:paraId="4EE31742"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status quo</w:t>
            </w:r>
          </w:p>
        </w:tc>
        <w:tc>
          <w:tcPr>
            <w:tcW w:w="865" w:type="pct"/>
          </w:tcPr>
          <w:p w14:paraId="7900155E"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low</w:t>
            </w:r>
          </w:p>
        </w:tc>
        <w:tc>
          <w:tcPr>
            <w:tcW w:w="642" w:type="pct"/>
          </w:tcPr>
          <w:p w14:paraId="1340A18D"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none</w:t>
            </w:r>
          </w:p>
        </w:tc>
      </w:tr>
      <w:tr w:rsidR="00D67EA5" w:rsidRPr="004635E5" w14:paraId="1DC3A43B" w14:textId="77777777" w:rsidTr="007C29E5">
        <w:trPr>
          <w:jc w:val="center"/>
        </w:trPr>
        <w:tc>
          <w:tcPr>
            <w:tcW w:w="1324" w:type="pct"/>
          </w:tcPr>
          <w:p w14:paraId="6F1D965A"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Model Error</w:t>
            </w:r>
          </w:p>
        </w:tc>
        <w:tc>
          <w:tcPr>
            <w:tcW w:w="648" w:type="pct"/>
          </w:tcPr>
          <w:p w14:paraId="5D1DF55A"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767" w:type="pct"/>
          </w:tcPr>
          <w:p w14:paraId="615A64DF"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754" w:type="pct"/>
          </w:tcPr>
          <w:p w14:paraId="63DC9D6B"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865" w:type="pct"/>
          </w:tcPr>
          <w:p w14:paraId="21900CFB"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642" w:type="pct"/>
          </w:tcPr>
          <w:p w14:paraId="2E4EBD5F" w14:textId="77777777" w:rsidR="00D67EA5" w:rsidRPr="004635E5" w:rsidRDefault="00D67EA5" w:rsidP="006633A8">
            <w:pPr>
              <w:adjustRightInd w:val="0"/>
              <w:snapToGrid w:val="0"/>
              <w:spacing w:after="0"/>
              <w:jc w:val="both"/>
              <w:rPr>
                <w:rFonts w:eastAsiaTheme="minorEastAsia"/>
                <w:sz w:val="22"/>
                <w:szCs w:val="22"/>
                <w:lang w:eastAsia="ko-KR"/>
              </w:rPr>
            </w:pPr>
          </w:p>
        </w:tc>
      </w:tr>
      <w:tr w:rsidR="00D67EA5" w:rsidRPr="004635E5" w14:paraId="2C81F6FF" w14:textId="77777777" w:rsidTr="007C29E5">
        <w:trPr>
          <w:jc w:val="center"/>
        </w:trPr>
        <w:tc>
          <w:tcPr>
            <w:tcW w:w="1324" w:type="pct"/>
          </w:tcPr>
          <w:p w14:paraId="7580202E"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Steepness</w:t>
            </w:r>
          </w:p>
        </w:tc>
        <w:tc>
          <w:tcPr>
            <w:tcW w:w="648" w:type="pct"/>
          </w:tcPr>
          <w:p w14:paraId="4F5F801E"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3</w:t>
            </w:r>
          </w:p>
        </w:tc>
        <w:tc>
          <w:tcPr>
            <w:tcW w:w="767" w:type="pct"/>
          </w:tcPr>
          <w:p w14:paraId="1DC2DF09" w14:textId="77777777" w:rsidR="00D67EA5" w:rsidRPr="004635E5" w:rsidRDefault="00D67EA5" w:rsidP="006633A8">
            <w:pPr>
              <w:adjustRightInd w:val="0"/>
              <w:snapToGrid w:val="0"/>
              <w:spacing w:after="0"/>
              <w:jc w:val="both"/>
              <w:rPr>
                <w:rFonts w:eastAsiaTheme="minorEastAsia"/>
                <w:b/>
                <w:sz w:val="22"/>
                <w:szCs w:val="22"/>
                <w:lang w:eastAsia="ko-KR"/>
              </w:rPr>
            </w:pPr>
          </w:p>
        </w:tc>
        <w:tc>
          <w:tcPr>
            <w:tcW w:w="754" w:type="pct"/>
          </w:tcPr>
          <w:p w14:paraId="57F31178"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0.8</w:t>
            </w:r>
          </w:p>
        </w:tc>
        <w:tc>
          <w:tcPr>
            <w:tcW w:w="865" w:type="pct"/>
          </w:tcPr>
          <w:p w14:paraId="22F20116"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0.65</w:t>
            </w:r>
          </w:p>
        </w:tc>
        <w:tc>
          <w:tcPr>
            <w:tcW w:w="642" w:type="pct"/>
          </w:tcPr>
          <w:p w14:paraId="39207053"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0.95</w:t>
            </w:r>
          </w:p>
        </w:tc>
      </w:tr>
      <w:tr w:rsidR="00D67EA5" w:rsidRPr="004635E5" w14:paraId="0F4C0C52" w14:textId="77777777" w:rsidTr="007C29E5">
        <w:trPr>
          <w:jc w:val="center"/>
        </w:trPr>
        <w:tc>
          <w:tcPr>
            <w:tcW w:w="1324" w:type="pct"/>
          </w:tcPr>
          <w:p w14:paraId="10ED5C1F"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Mixing period (qtrs.)</w:t>
            </w:r>
          </w:p>
        </w:tc>
        <w:tc>
          <w:tcPr>
            <w:tcW w:w="648" w:type="pct"/>
          </w:tcPr>
          <w:p w14:paraId="7CF3CFAC"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2</w:t>
            </w:r>
          </w:p>
        </w:tc>
        <w:tc>
          <w:tcPr>
            <w:tcW w:w="767" w:type="pct"/>
          </w:tcPr>
          <w:p w14:paraId="30730574" w14:textId="77777777" w:rsidR="00D67EA5" w:rsidRPr="004635E5" w:rsidRDefault="00D67EA5" w:rsidP="006633A8">
            <w:pPr>
              <w:adjustRightInd w:val="0"/>
              <w:snapToGrid w:val="0"/>
              <w:spacing w:after="0"/>
              <w:jc w:val="both"/>
              <w:rPr>
                <w:rFonts w:eastAsiaTheme="minorEastAsia"/>
                <w:b/>
                <w:sz w:val="22"/>
                <w:szCs w:val="22"/>
                <w:lang w:eastAsia="ko-KR"/>
              </w:rPr>
            </w:pPr>
          </w:p>
        </w:tc>
        <w:tc>
          <w:tcPr>
            <w:tcW w:w="754" w:type="pct"/>
          </w:tcPr>
          <w:p w14:paraId="47A4F24E"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1</w:t>
            </w:r>
          </w:p>
        </w:tc>
        <w:tc>
          <w:tcPr>
            <w:tcW w:w="865" w:type="pct"/>
          </w:tcPr>
          <w:p w14:paraId="1DF078E6"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2</w:t>
            </w:r>
          </w:p>
        </w:tc>
        <w:tc>
          <w:tcPr>
            <w:tcW w:w="642" w:type="pct"/>
          </w:tcPr>
          <w:p w14:paraId="2D5ACBE0" w14:textId="77777777" w:rsidR="00D67EA5" w:rsidRPr="004635E5" w:rsidRDefault="00D67EA5" w:rsidP="006633A8">
            <w:pPr>
              <w:adjustRightInd w:val="0"/>
              <w:snapToGrid w:val="0"/>
              <w:spacing w:after="0"/>
              <w:jc w:val="both"/>
              <w:rPr>
                <w:rFonts w:eastAsiaTheme="minorEastAsia"/>
                <w:sz w:val="22"/>
                <w:szCs w:val="22"/>
                <w:lang w:eastAsia="ko-KR"/>
              </w:rPr>
            </w:pPr>
          </w:p>
        </w:tc>
      </w:tr>
      <w:tr w:rsidR="00D67EA5" w:rsidRPr="004635E5" w14:paraId="168CA736" w14:textId="77777777" w:rsidTr="007C29E5">
        <w:trPr>
          <w:jc w:val="center"/>
        </w:trPr>
        <w:tc>
          <w:tcPr>
            <w:tcW w:w="1324" w:type="pct"/>
          </w:tcPr>
          <w:p w14:paraId="73816540"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Tag overdispersion</w:t>
            </w:r>
          </w:p>
        </w:tc>
        <w:tc>
          <w:tcPr>
            <w:tcW w:w="648" w:type="pct"/>
          </w:tcPr>
          <w:p w14:paraId="461642AF"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3</w:t>
            </w:r>
          </w:p>
        </w:tc>
        <w:tc>
          <w:tcPr>
            <w:tcW w:w="767" w:type="pct"/>
          </w:tcPr>
          <w:p w14:paraId="5F0905EB" w14:textId="77777777" w:rsidR="00D67EA5" w:rsidRPr="004635E5" w:rsidRDefault="00D67EA5" w:rsidP="006633A8">
            <w:pPr>
              <w:adjustRightInd w:val="0"/>
              <w:snapToGrid w:val="0"/>
              <w:spacing w:after="0"/>
              <w:jc w:val="both"/>
              <w:rPr>
                <w:rFonts w:eastAsiaTheme="minorEastAsia"/>
                <w:b/>
                <w:sz w:val="22"/>
                <w:szCs w:val="22"/>
                <w:lang w:eastAsia="ko-KR"/>
              </w:rPr>
            </w:pPr>
          </w:p>
        </w:tc>
        <w:tc>
          <w:tcPr>
            <w:tcW w:w="754" w:type="pct"/>
          </w:tcPr>
          <w:p w14:paraId="7834FA1C"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4</w:t>
            </w:r>
          </w:p>
        </w:tc>
        <w:tc>
          <w:tcPr>
            <w:tcW w:w="865" w:type="pct"/>
          </w:tcPr>
          <w:p w14:paraId="236BFA09"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2.5</w:t>
            </w:r>
          </w:p>
        </w:tc>
        <w:tc>
          <w:tcPr>
            <w:tcW w:w="642" w:type="pct"/>
          </w:tcPr>
          <w:p w14:paraId="0063FA79"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8</w:t>
            </w:r>
          </w:p>
        </w:tc>
      </w:tr>
      <w:tr w:rsidR="00D67EA5" w:rsidRPr="004635E5" w14:paraId="74B6F6E4" w14:textId="77777777" w:rsidTr="007C29E5">
        <w:trPr>
          <w:jc w:val="center"/>
        </w:trPr>
        <w:tc>
          <w:tcPr>
            <w:tcW w:w="1324" w:type="pct"/>
          </w:tcPr>
          <w:p w14:paraId="2CF77F63"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Movement</w:t>
            </w:r>
          </w:p>
        </w:tc>
        <w:tc>
          <w:tcPr>
            <w:tcW w:w="648" w:type="pct"/>
          </w:tcPr>
          <w:p w14:paraId="2DDEC6B9"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1</w:t>
            </w:r>
          </w:p>
        </w:tc>
        <w:tc>
          <w:tcPr>
            <w:tcW w:w="767" w:type="pct"/>
          </w:tcPr>
          <w:p w14:paraId="567A7761"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1</w:t>
            </w:r>
          </w:p>
        </w:tc>
        <w:tc>
          <w:tcPr>
            <w:tcW w:w="754" w:type="pct"/>
          </w:tcPr>
          <w:p w14:paraId="3342ABB7"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estimated</w:t>
            </w:r>
          </w:p>
        </w:tc>
        <w:tc>
          <w:tcPr>
            <w:tcW w:w="865" w:type="pct"/>
          </w:tcPr>
          <w:p w14:paraId="1FC25F67" w14:textId="77777777" w:rsidR="00D67EA5" w:rsidRPr="004635E5" w:rsidRDefault="00D67EA5" w:rsidP="00375849">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 xml:space="preserve">El </w:t>
            </w:r>
            <w:r w:rsidR="00375849">
              <w:rPr>
                <w:rFonts w:eastAsiaTheme="minorEastAsia" w:hint="eastAsia"/>
                <w:sz w:val="22"/>
                <w:szCs w:val="22"/>
                <w:lang w:eastAsia="ko-KR"/>
              </w:rPr>
              <w:t>N</w:t>
            </w:r>
            <w:r w:rsidRPr="004635E5">
              <w:rPr>
                <w:rFonts w:eastAsiaTheme="minorEastAsia"/>
                <w:sz w:val="22"/>
                <w:szCs w:val="22"/>
                <w:lang w:eastAsia="ko-KR"/>
              </w:rPr>
              <w:t xml:space="preserve">ino/La </w:t>
            </w:r>
            <w:r w:rsidR="00375849">
              <w:rPr>
                <w:rFonts w:eastAsiaTheme="minorEastAsia" w:hint="eastAsia"/>
                <w:sz w:val="22"/>
                <w:szCs w:val="22"/>
                <w:lang w:eastAsia="ko-KR"/>
              </w:rPr>
              <w:t>N</w:t>
            </w:r>
            <w:r w:rsidRPr="004635E5">
              <w:rPr>
                <w:rFonts w:eastAsiaTheme="minorEastAsia"/>
                <w:sz w:val="22"/>
                <w:szCs w:val="22"/>
                <w:lang w:eastAsia="ko-KR"/>
              </w:rPr>
              <w:t>ina</w:t>
            </w:r>
          </w:p>
        </w:tc>
        <w:tc>
          <w:tcPr>
            <w:tcW w:w="642" w:type="pct"/>
          </w:tcPr>
          <w:p w14:paraId="7ED2B6AD" w14:textId="77777777" w:rsidR="00D67EA5" w:rsidRPr="004635E5" w:rsidRDefault="00D67EA5" w:rsidP="006633A8">
            <w:pPr>
              <w:adjustRightInd w:val="0"/>
              <w:snapToGrid w:val="0"/>
              <w:spacing w:after="0"/>
              <w:jc w:val="both"/>
              <w:rPr>
                <w:rFonts w:eastAsiaTheme="minorEastAsia"/>
                <w:sz w:val="22"/>
                <w:szCs w:val="22"/>
                <w:lang w:eastAsia="ko-KR"/>
              </w:rPr>
            </w:pPr>
          </w:p>
        </w:tc>
      </w:tr>
      <w:tr w:rsidR="00D67EA5" w:rsidRPr="004635E5" w14:paraId="63F4275F" w14:textId="77777777" w:rsidTr="007C29E5">
        <w:trPr>
          <w:jc w:val="center"/>
        </w:trPr>
        <w:tc>
          <w:tcPr>
            <w:tcW w:w="1324" w:type="pct"/>
          </w:tcPr>
          <w:p w14:paraId="2A2A8656"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DD catchability (k)</w:t>
            </w:r>
          </w:p>
        </w:tc>
        <w:tc>
          <w:tcPr>
            <w:tcW w:w="648" w:type="pct"/>
          </w:tcPr>
          <w:p w14:paraId="3C704E4F"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1</w:t>
            </w:r>
          </w:p>
        </w:tc>
        <w:tc>
          <w:tcPr>
            <w:tcW w:w="767" w:type="pct"/>
          </w:tcPr>
          <w:p w14:paraId="3B7907F6"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1</w:t>
            </w:r>
          </w:p>
        </w:tc>
        <w:tc>
          <w:tcPr>
            <w:tcW w:w="754" w:type="pct"/>
          </w:tcPr>
          <w:p w14:paraId="2D334B59"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0</w:t>
            </w:r>
          </w:p>
        </w:tc>
        <w:tc>
          <w:tcPr>
            <w:tcW w:w="865" w:type="pct"/>
          </w:tcPr>
          <w:p w14:paraId="23DE6D26"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-0.5</w:t>
            </w:r>
          </w:p>
        </w:tc>
        <w:tc>
          <w:tcPr>
            <w:tcW w:w="642" w:type="pct"/>
          </w:tcPr>
          <w:p w14:paraId="270E2026" w14:textId="77777777" w:rsidR="00D67EA5" w:rsidRPr="004635E5" w:rsidRDefault="00D67EA5" w:rsidP="006633A8">
            <w:pPr>
              <w:adjustRightInd w:val="0"/>
              <w:snapToGrid w:val="0"/>
              <w:spacing w:after="0"/>
              <w:jc w:val="both"/>
              <w:rPr>
                <w:rFonts w:eastAsiaTheme="minorEastAsia"/>
                <w:sz w:val="22"/>
                <w:szCs w:val="22"/>
                <w:lang w:eastAsia="ko-KR"/>
              </w:rPr>
            </w:pPr>
          </w:p>
        </w:tc>
      </w:tr>
      <w:tr w:rsidR="00D67EA5" w:rsidRPr="004635E5" w14:paraId="6F722C52" w14:textId="77777777" w:rsidTr="007C29E5">
        <w:trPr>
          <w:jc w:val="center"/>
        </w:trPr>
        <w:tc>
          <w:tcPr>
            <w:tcW w:w="1324" w:type="pct"/>
          </w:tcPr>
          <w:p w14:paraId="289751FD"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Implementation Error</w:t>
            </w:r>
          </w:p>
        </w:tc>
        <w:tc>
          <w:tcPr>
            <w:tcW w:w="648" w:type="pct"/>
          </w:tcPr>
          <w:p w14:paraId="50310EA8"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767" w:type="pct"/>
          </w:tcPr>
          <w:p w14:paraId="050C2245"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754" w:type="pct"/>
          </w:tcPr>
          <w:p w14:paraId="3D8B5F5F"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865" w:type="pct"/>
          </w:tcPr>
          <w:p w14:paraId="26D6A318" w14:textId="77777777" w:rsidR="00D67EA5" w:rsidRPr="004635E5" w:rsidRDefault="00D67EA5" w:rsidP="006633A8">
            <w:pPr>
              <w:adjustRightInd w:val="0"/>
              <w:snapToGrid w:val="0"/>
              <w:spacing w:after="0"/>
              <w:jc w:val="both"/>
              <w:rPr>
                <w:rFonts w:eastAsiaTheme="minorEastAsia"/>
                <w:sz w:val="22"/>
                <w:szCs w:val="22"/>
                <w:lang w:eastAsia="ko-KR"/>
              </w:rPr>
            </w:pPr>
          </w:p>
        </w:tc>
        <w:tc>
          <w:tcPr>
            <w:tcW w:w="642" w:type="pct"/>
          </w:tcPr>
          <w:p w14:paraId="133B928F" w14:textId="77777777" w:rsidR="00D67EA5" w:rsidRPr="004635E5" w:rsidRDefault="00D67EA5" w:rsidP="006633A8">
            <w:pPr>
              <w:adjustRightInd w:val="0"/>
              <w:snapToGrid w:val="0"/>
              <w:spacing w:after="0"/>
              <w:jc w:val="both"/>
              <w:rPr>
                <w:rFonts w:eastAsiaTheme="minorEastAsia"/>
                <w:sz w:val="22"/>
                <w:szCs w:val="22"/>
                <w:lang w:eastAsia="ko-KR"/>
              </w:rPr>
            </w:pPr>
          </w:p>
        </w:tc>
      </w:tr>
      <w:tr w:rsidR="00D67EA5" w:rsidRPr="004635E5" w14:paraId="7ABD014F" w14:textId="77777777" w:rsidTr="007C29E5">
        <w:trPr>
          <w:jc w:val="center"/>
        </w:trPr>
        <w:tc>
          <w:tcPr>
            <w:tcW w:w="1324" w:type="pct"/>
          </w:tcPr>
          <w:p w14:paraId="0A1B44B9"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Effort creep</w:t>
            </w:r>
          </w:p>
        </w:tc>
        <w:tc>
          <w:tcPr>
            <w:tcW w:w="648" w:type="pct"/>
          </w:tcPr>
          <w:p w14:paraId="5328154B"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1</w:t>
            </w:r>
          </w:p>
        </w:tc>
        <w:tc>
          <w:tcPr>
            <w:tcW w:w="767" w:type="pct"/>
          </w:tcPr>
          <w:p w14:paraId="43C5BEE7"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1</w:t>
            </w:r>
          </w:p>
        </w:tc>
        <w:tc>
          <w:tcPr>
            <w:tcW w:w="754" w:type="pct"/>
          </w:tcPr>
          <w:p w14:paraId="143989E6" w14:textId="77777777" w:rsidR="00D67EA5" w:rsidRPr="004635E5" w:rsidRDefault="00D67EA5" w:rsidP="006633A8">
            <w:pPr>
              <w:adjustRightInd w:val="0"/>
              <w:snapToGrid w:val="0"/>
              <w:spacing w:after="0"/>
              <w:jc w:val="both"/>
              <w:rPr>
                <w:rFonts w:eastAsiaTheme="minorEastAsia"/>
                <w:b/>
                <w:sz w:val="22"/>
                <w:szCs w:val="22"/>
                <w:lang w:eastAsia="ko-KR"/>
              </w:rPr>
            </w:pPr>
            <w:r w:rsidRPr="004635E5">
              <w:rPr>
                <w:rFonts w:eastAsiaTheme="minorEastAsia"/>
                <w:b/>
                <w:sz w:val="22"/>
                <w:szCs w:val="22"/>
                <w:lang w:eastAsia="ko-KR"/>
              </w:rPr>
              <w:t>0%</w:t>
            </w:r>
          </w:p>
        </w:tc>
        <w:tc>
          <w:tcPr>
            <w:tcW w:w="865" w:type="pct"/>
          </w:tcPr>
          <w:p w14:paraId="7E6BF832" w14:textId="77777777" w:rsidR="00D67EA5" w:rsidRPr="004635E5" w:rsidRDefault="00D67EA5" w:rsidP="006633A8">
            <w:pPr>
              <w:adjustRightInd w:val="0"/>
              <w:snapToGrid w:val="0"/>
              <w:spacing w:after="0"/>
              <w:jc w:val="both"/>
              <w:rPr>
                <w:rFonts w:eastAsiaTheme="minorEastAsia"/>
                <w:sz w:val="22"/>
                <w:szCs w:val="22"/>
                <w:lang w:eastAsia="ko-KR"/>
              </w:rPr>
            </w:pPr>
            <w:r w:rsidRPr="004635E5">
              <w:rPr>
                <w:rFonts w:eastAsiaTheme="minorEastAsia"/>
                <w:sz w:val="22"/>
                <w:szCs w:val="22"/>
                <w:lang w:eastAsia="ko-KR"/>
              </w:rPr>
              <w:t>2% cont.</w:t>
            </w:r>
          </w:p>
        </w:tc>
        <w:tc>
          <w:tcPr>
            <w:tcW w:w="642" w:type="pct"/>
          </w:tcPr>
          <w:p w14:paraId="0F1D867C" w14:textId="77777777" w:rsidR="00D67EA5" w:rsidRPr="004635E5" w:rsidRDefault="00D67EA5" w:rsidP="006633A8">
            <w:pPr>
              <w:adjustRightInd w:val="0"/>
              <w:snapToGrid w:val="0"/>
              <w:spacing w:after="0"/>
              <w:jc w:val="both"/>
              <w:rPr>
                <w:rFonts w:eastAsiaTheme="minorEastAsia"/>
                <w:sz w:val="22"/>
                <w:szCs w:val="22"/>
                <w:lang w:eastAsia="ko-KR"/>
              </w:rPr>
            </w:pPr>
          </w:p>
        </w:tc>
      </w:tr>
    </w:tbl>
    <w:p w14:paraId="3FE831BB" w14:textId="77777777" w:rsidR="0041022C" w:rsidRPr="004635E5" w:rsidRDefault="0041022C" w:rsidP="006633A8">
      <w:pPr>
        <w:autoSpaceDE w:val="0"/>
        <w:autoSpaceDN w:val="0"/>
        <w:adjustRightInd w:val="0"/>
        <w:snapToGrid w:val="0"/>
        <w:jc w:val="both"/>
        <w:rPr>
          <w:rFonts w:eastAsiaTheme="minorEastAsia"/>
          <w:sz w:val="22"/>
          <w:szCs w:val="22"/>
          <w:lang w:val="en-NZ" w:eastAsia="ko-KR"/>
        </w:rPr>
      </w:pPr>
    </w:p>
    <w:p w14:paraId="49C89A7D" w14:textId="77777777" w:rsidR="00D67EA5" w:rsidRPr="004635E5" w:rsidRDefault="00D67EA5"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Th</w:t>
      </w:r>
      <w:r w:rsidR="0041022C" w:rsidRPr="004635E5">
        <w:rPr>
          <w:rFonts w:eastAsiaTheme="minorEastAsia"/>
          <w:sz w:val="22"/>
          <w:szCs w:val="22"/>
          <w:lang w:val="en-NZ" w:eastAsia="ko-KR"/>
        </w:rPr>
        <w:t>e</w:t>
      </w:r>
      <w:r w:rsidRPr="004635E5">
        <w:rPr>
          <w:rFonts w:eastAsiaTheme="minorEastAsia"/>
          <w:sz w:val="22"/>
          <w:szCs w:val="22"/>
          <w:lang w:val="en-NZ" w:eastAsia="ko-KR"/>
        </w:rPr>
        <w:t xml:space="preserve"> paper presents the first round of conditioning the OMs and should be periodically reviewed and updated to ensure that the range of OMs used in the analysis remains appropriate. Our considerations of OM scenarios that should be carried forward to the MSE evaluations can be broadly categorised into the following five groups:</w:t>
      </w:r>
    </w:p>
    <w:p w14:paraId="2FDB9929" w14:textId="77777777" w:rsidR="00D67EA5" w:rsidRPr="004635E5" w:rsidRDefault="00D67EA5" w:rsidP="00580EA4">
      <w:pPr>
        <w:pStyle w:val="ListParagraph"/>
        <w:numPr>
          <w:ilvl w:val="0"/>
          <w:numId w:val="146"/>
        </w:numPr>
        <w:autoSpaceDE w:val="0"/>
        <w:autoSpaceDN w:val="0"/>
        <w:adjustRightInd w:val="0"/>
        <w:snapToGrid w:val="0"/>
        <w:jc w:val="both"/>
        <w:rPr>
          <w:rFonts w:eastAsiaTheme="minorEastAsia"/>
          <w:sz w:val="22"/>
          <w:szCs w:val="22"/>
          <w:lang w:val="en-NZ" w:eastAsia="ko-KR"/>
        </w:rPr>
      </w:pPr>
      <w:r w:rsidRPr="004635E5">
        <w:rPr>
          <w:rFonts w:eastAsiaTheme="minorEastAsia"/>
          <w:sz w:val="22"/>
          <w:szCs w:val="22"/>
          <w:lang w:val="en-NZ" w:eastAsia="ko-KR"/>
        </w:rPr>
        <w:t>Changes to the model that apply to all scenarios: Natural mortality is modelled as a spline function (with 4 nodes) and the weighting of length composition data is fixed at 20 (the value used for the 2016 reference case assessment).</w:t>
      </w:r>
    </w:p>
    <w:p w14:paraId="168F7504" w14:textId="77777777" w:rsidR="00D67EA5" w:rsidRPr="004635E5" w:rsidRDefault="00D67EA5" w:rsidP="00580EA4">
      <w:pPr>
        <w:pStyle w:val="ListParagraph"/>
        <w:numPr>
          <w:ilvl w:val="0"/>
          <w:numId w:val="146"/>
        </w:numPr>
        <w:autoSpaceDE w:val="0"/>
        <w:autoSpaceDN w:val="0"/>
        <w:adjustRightInd w:val="0"/>
        <w:snapToGrid w:val="0"/>
        <w:jc w:val="both"/>
        <w:rPr>
          <w:rFonts w:eastAsiaTheme="minorEastAsia"/>
          <w:sz w:val="22"/>
          <w:szCs w:val="22"/>
          <w:lang w:val="en-NZ" w:eastAsia="ko-KR"/>
        </w:rPr>
      </w:pPr>
      <w:r w:rsidRPr="004635E5">
        <w:rPr>
          <w:rFonts w:eastAsiaTheme="minorEastAsia"/>
          <w:sz w:val="22"/>
          <w:szCs w:val="22"/>
          <w:lang w:val="en-NZ" w:eastAsia="ko-KR"/>
        </w:rPr>
        <w:t>Uncertainties from the stock assessment grid that have been retained for the MSE grid: Values for steepness, tag mixing rate and effort creep are carried over from previous studies without change. In addition the currently defined year ranges for recruitment variability are retained.</w:t>
      </w:r>
    </w:p>
    <w:p w14:paraId="1888D9FF" w14:textId="77777777" w:rsidR="00D67EA5" w:rsidRPr="004635E5" w:rsidRDefault="00D67EA5" w:rsidP="00580EA4">
      <w:pPr>
        <w:pStyle w:val="ListParagraph"/>
        <w:numPr>
          <w:ilvl w:val="0"/>
          <w:numId w:val="146"/>
        </w:numPr>
        <w:autoSpaceDE w:val="0"/>
        <w:autoSpaceDN w:val="0"/>
        <w:adjustRightInd w:val="0"/>
        <w:snapToGrid w:val="0"/>
        <w:jc w:val="both"/>
        <w:rPr>
          <w:rFonts w:eastAsiaTheme="minorEastAsia"/>
          <w:sz w:val="22"/>
          <w:szCs w:val="22"/>
          <w:lang w:val="en-NZ" w:eastAsia="ko-KR"/>
        </w:rPr>
      </w:pPr>
      <w:r w:rsidRPr="004635E5">
        <w:rPr>
          <w:rFonts w:eastAsiaTheme="minorEastAsia"/>
          <w:sz w:val="22"/>
          <w:szCs w:val="22"/>
          <w:lang w:val="en-NZ" w:eastAsia="ko-KR"/>
        </w:rPr>
        <w:t>New settings for the MSE grid: Additional sources of uncertainty include observation error in catch, effort and size composition data; density dependent catchability and revised values for tag overdispersion.</w:t>
      </w:r>
    </w:p>
    <w:p w14:paraId="551FC04F" w14:textId="77777777" w:rsidR="00D67EA5" w:rsidRPr="004635E5" w:rsidRDefault="00D67EA5" w:rsidP="00580EA4">
      <w:pPr>
        <w:pStyle w:val="ListParagraph"/>
        <w:numPr>
          <w:ilvl w:val="0"/>
          <w:numId w:val="146"/>
        </w:numPr>
        <w:autoSpaceDE w:val="0"/>
        <w:autoSpaceDN w:val="0"/>
        <w:adjustRightInd w:val="0"/>
        <w:snapToGrid w:val="0"/>
        <w:jc w:val="both"/>
        <w:rPr>
          <w:rFonts w:eastAsiaTheme="minorEastAsia"/>
          <w:sz w:val="22"/>
          <w:szCs w:val="22"/>
          <w:lang w:val="en-NZ" w:eastAsia="ko-KR"/>
        </w:rPr>
      </w:pPr>
      <w:r w:rsidRPr="004635E5">
        <w:rPr>
          <w:rFonts w:eastAsiaTheme="minorEastAsia"/>
          <w:sz w:val="22"/>
          <w:szCs w:val="22"/>
          <w:lang w:val="en-NZ" w:eastAsia="ko-KR"/>
        </w:rPr>
        <w:t>Lower priority elements: Variability in the age at maturity, the regional distribution of recruitment and autocorrelation in recruitment have little impact on model quantities and are not included in either the reference or robustness sets.</w:t>
      </w:r>
    </w:p>
    <w:p w14:paraId="3E218B23" w14:textId="77777777" w:rsidR="00D67EA5" w:rsidRPr="004635E5" w:rsidRDefault="00D67EA5" w:rsidP="00580EA4">
      <w:pPr>
        <w:pStyle w:val="ListParagraph"/>
        <w:numPr>
          <w:ilvl w:val="0"/>
          <w:numId w:val="146"/>
        </w:numPr>
        <w:autoSpaceDE w:val="0"/>
        <w:autoSpaceDN w:val="0"/>
        <w:adjustRightInd w:val="0"/>
        <w:snapToGrid w:val="0"/>
        <w:jc w:val="both"/>
        <w:rPr>
          <w:rFonts w:eastAsiaTheme="minorEastAsia"/>
          <w:sz w:val="22"/>
          <w:szCs w:val="22"/>
          <w:lang w:val="en-NZ" w:eastAsia="ko-KR"/>
        </w:rPr>
      </w:pPr>
      <w:r w:rsidRPr="004635E5">
        <w:rPr>
          <w:rFonts w:eastAsiaTheme="minorEastAsia"/>
          <w:sz w:val="22"/>
          <w:szCs w:val="22"/>
          <w:lang w:val="en-NZ" w:eastAsia="ko-KR"/>
        </w:rPr>
        <w:t>Areas for future work: Uncertainty in tag reporting rates and regional variation in growth and maturity have been highlighted for further investigation. Similarly procedures for applying alternative movement hypotheses and for including additional process error in projections through the effort deviations should be investigated.</w:t>
      </w:r>
    </w:p>
    <w:p w14:paraId="27E3A1E5" w14:textId="77777777" w:rsidR="00294D6C" w:rsidRPr="004635E5" w:rsidRDefault="00294D6C" w:rsidP="006633A8">
      <w:pPr>
        <w:autoSpaceDE w:val="0"/>
        <w:autoSpaceDN w:val="0"/>
        <w:adjustRightInd w:val="0"/>
        <w:snapToGrid w:val="0"/>
        <w:jc w:val="both"/>
        <w:rPr>
          <w:rFonts w:eastAsiaTheme="minorEastAsia"/>
          <w:b/>
          <w:sz w:val="22"/>
          <w:szCs w:val="22"/>
          <w:lang w:val="en-NZ" w:eastAsia="ko-KR"/>
        </w:rPr>
      </w:pPr>
    </w:p>
    <w:p w14:paraId="62C6A269" w14:textId="77777777" w:rsidR="00FE04A8" w:rsidRPr="004635E5" w:rsidRDefault="00966C9B" w:rsidP="006633A8">
      <w:pPr>
        <w:autoSpaceDE w:val="0"/>
        <w:autoSpaceDN w:val="0"/>
        <w:adjustRightInd w:val="0"/>
        <w:snapToGrid w:val="0"/>
        <w:jc w:val="both"/>
        <w:rPr>
          <w:rFonts w:eastAsiaTheme="minorEastAsia"/>
          <w:b/>
          <w:sz w:val="22"/>
          <w:szCs w:val="22"/>
          <w:lang w:val="en-NZ" w:eastAsia="ko-KR"/>
        </w:rPr>
      </w:pPr>
      <w:r w:rsidRPr="004635E5">
        <w:rPr>
          <w:rFonts w:eastAsiaTheme="minorEastAsia"/>
          <w:b/>
          <w:sz w:val="22"/>
          <w:szCs w:val="22"/>
          <w:lang w:val="en-NZ" w:eastAsia="ko-KR"/>
        </w:rPr>
        <w:t>Discussion</w:t>
      </w:r>
    </w:p>
    <w:p w14:paraId="79517646" w14:textId="77777777" w:rsidR="00A2648C" w:rsidRPr="004635E5" w:rsidRDefault="00A2648C" w:rsidP="006633A8">
      <w:pPr>
        <w:autoSpaceDE w:val="0"/>
        <w:autoSpaceDN w:val="0"/>
        <w:adjustRightInd w:val="0"/>
        <w:snapToGrid w:val="0"/>
        <w:jc w:val="both"/>
        <w:rPr>
          <w:rFonts w:eastAsiaTheme="minorEastAsia"/>
          <w:b/>
          <w:sz w:val="22"/>
          <w:szCs w:val="22"/>
          <w:lang w:val="en-NZ" w:eastAsia="ko-KR"/>
        </w:rPr>
      </w:pPr>
    </w:p>
    <w:p w14:paraId="45335D5B" w14:textId="77777777" w:rsidR="000E39FA" w:rsidRPr="004635E5" w:rsidRDefault="00F81EF0"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eastAsia="ko-KR"/>
        </w:rPr>
        <w:t xml:space="preserve">Japan noted that the working paper states that in order to get enough tag-based information the number of tags needed would need to </w:t>
      </w:r>
      <w:r w:rsidR="00375849">
        <w:rPr>
          <w:rFonts w:eastAsiaTheme="minorEastAsia" w:hint="eastAsia"/>
          <w:sz w:val="22"/>
          <w:szCs w:val="22"/>
          <w:lang w:eastAsia="ko-KR"/>
        </w:rPr>
        <w:t xml:space="preserve">be </w:t>
      </w:r>
      <w:r w:rsidRPr="004635E5">
        <w:rPr>
          <w:rFonts w:eastAsiaTheme="minorEastAsia"/>
          <w:sz w:val="22"/>
          <w:szCs w:val="22"/>
          <w:lang w:eastAsia="ko-KR"/>
        </w:rPr>
        <w:t xml:space="preserve">specified, and asked SPC if the MSE would make an assumption </w:t>
      </w:r>
      <w:r>
        <w:rPr>
          <w:rFonts w:eastAsiaTheme="minorEastAsia"/>
          <w:sz w:val="22"/>
          <w:szCs w:val="22"/>
          <w:lang w:val="en-NZ" w:eastAsia="ko-KR"/>
        </w:rPr>
        <w:t>about</w:t>
      </w:r>
      <w:r w:rsidRPr="004635E5">
        <w:rPr>
          <w:rFonts w:eastAsiaTheme="minorEastAsia"/>
          <w:sz w:val="22"/>
          <w:szCs w:val="22"/>
          <w:lang w:val="en-NZ" w:eastAsia="ko-KR"/>
        </w:rPr>
        <w:t xml:space="preserve"> future tag recovery. R. Scott (SPC) indicated it was necessary to specify how many tags are released, where, and the </w:t>
      </w:r>
      <w:r>
        <w:rPr>
          <w:rFonts w:eastAsiaTheme="minorEastAsia"/>
          <w:sz w:val="22"/>
          <w:szCs w:val="22"/>
          <w:lang w:val="en-NZ" w:eastAsia="ko-KR"/>
        </w:rPr>
        <w:t>level of observation</w:t>
      </w:r>
      <w:r w:rsidRPr="004635E5">
        <w:rPr>
          <w:rFonts w:eastAsiaTheme="minorEastAsia"/>
          <w:sz w:val="22"/>
          <w:szCs w:val="22"/>
          <w:lang w:val="en-NZ" w:eastAsia="ko-KR"/>
        </w:rPr>
        <w:t xml:space="preserve"> error and uncertainty used for </w:t>
      </w:r>
      <w:r>
        <w:rPr>
          <w:rFonts w:eastAsiaTheme="minorEastAsia"/>
          <w:sz w:val="22"/>
          <w:szCs w:val="22"/>
          <w:lang w:val="en-NZ" w:eastAsia="ko-KR"/>
        </w:rPr>
        <w:t>si</w:t>
      </w:r>
      <w:r w:rsidRPr="004635E5">
        <w:rPr>
          <w:rFonts w:eastAsiaTheme="minorEastAsia"/>
          <w:sz w:val="22"/>
          <w:szCs w:val="22"/>
          <w:lang w:val="en-NZ" w:eastAsia="ko-KR"/>
        </w:rPr>
        <w:t xml:space="preserve">mulating tag recaptures. </w:t>
      </w:r>
      <w:r>
        <w:rPr>
          <w:rFonts w:eastAsiaTheme="minorEastAsia"/>
          <w:sz w:val="22"/>
          <w:szCs w:val="22"/>
          <w:lang w:val="en-NZ" w:eastAsia="ko-KR"/>
        </w:rPr>
        <w:t>Japan also</w:t>
      </w:r>
      <w:r w:rsidRPr="004635E5">
        <w:rPr>
          <w:rFonts w:eastAsiaTheme="minorEastAsia"/>
          <w:sz w:val="22"/>
          <w:szCs w:val="22"/>
          <w:lang w:val="en-NZ" w:eastAsia="ko-KR"/>
        </w:rPr>
        <w:t xml:space="preserve"> noted </w:t>
      </w:r>
      <w:r>
        <w:rPr>
          <w:rFonts w:eastAsiaTheme="minorEastAsia"/>
          <w:sz w:val="22"/>
          <w:szCs w:val="22"/>
          <w:lang w:val="en-NZ" w:eastAsia="ko-KR"/>
        </w:rPr>
        <w:t>that SPC</w:t>
      </w:r>
      <w:r w:rsidRPr="004635E5">
        <w:rPr>
          <w:rFonts w:eastAsiaTheme="minorEastAsia"/>
          <w:sz w:val="22"/>
          <w:szCs w:val="22"/>
          <w:lang w:val="en-NZ" w:eastAsia="ko-KR"/>
        </w:rPr>
        <w:t xml:space="preserve"> were using a single species OM based only on the skipjack assessment, and to generate catch </w:t>
      </w:r>
      <w:r>
        <w:rPr>
          <w:rFonts w:eastAsiaTheme="minorEastAsia"/>
          <w:sz w:val="22"/>
          <w:szCs w:val="22"/>
          <w:lang w:val="en-NZ" w:eastAsia="ko-KR"/>
        </w:rPr>
        <w:t>for</w:t>
      </w:r>
      <w:r w:rsidRPr="004635E5">
        <w:rPr>
          <w:rFonts w:eastAsiaTheme="minorEastAsia"/>
          <w:sz w:val="22"/>
          <w:szCs w:val="22"/>
          <w:lang w:val="en-NZ" w:eastAsia="ko-KR"/>
        </w:rPr>
        <w:t xml:space="preserve"> other fisheries </w:t>
      </w:r>
      <w:r>
        <w:rPr>
          <w:rFonts w:eastAsiaTheme="minorEastAsia"/>
          <w:sz w:val="22"/>
          <w:szCs w:val="22"/>
          <w:lang w:val="en-NZ" w:eastAsia="ko-KR"/>
        </w:rPr>
        <w:t xml:space="preserve">(e.g. bigeye tuna) </w:t>
      </w:r>
      <w:r w:rsidRPr="004635E5">
        <w:rPr>
          <w:rFonts w:eastAsiaTheme="minorEastAsia"/>
          <w:sz w:val="22"/>
          <w:szCs w:val="22"/>
          <w:lang w:val="en-NZ" w:eastAsia="ko-KR"/>
        </w:rPr>
        <w:t xml:space="preserve">would require moving to a multi species population model. </w:t>
      </w:r>
      <w:r>
        <w:rPr>
          <w:rFonts w:eastAsiaTheme="minorEastAsia"/>
          <w:sz w:val="22"/>
          <w:szCs w:val="22"/>
          <w:lang w:val="en-NZ" w:eastAsia="ko-KR"/>
        </w:rPr>
        <w:t>In response to whether the OM could generate catch by area, R. Scott noted that t</w:t>
      </w:r>
      <w:r w:rsidRPr="004635E5">
        <w:rPr>
          <w:rFonts w:eastAsiaTheme="minorEastAsia"/>
          <w:sz w:val="22"/>
          <w:szCs w:val="22"/>
          <w:lang w:val="en-NZ" w:eastAsia="ko-KR"/>
        </w:rPr>
        <w:t>he model has 5 areas</w:t>
      </w:r>
      <w:r w:rsidR="00966C9B" w:rsidRPr="004635E5">
        <w:rPr>
          <w:rFonts w:eastAsiaTheme="minorEastAsia"/>
          <w:sz w:val="22"/>
          <w:szCs w:val="22"/>
          <w:lang w:val="en-NZ" w:eastAsia="ko-KR"/>
        </w:rPr>
        <w:t xml:space="preserve">, </w:t>
      </w:r>
      <w:r w:rsidR="00A376CC" w:rsidRPr="004635E5">
        <w:rPr>
          <w:rFonts w:eastAsiaTheme="minorEastAsia"/>
          <w:sz w:val="22"/>
          <w:szCs w:val="22"/>
          <w:lang w:val="en-NZ" w:eastAsia="ko-KR"/>
        </w:rPr>
        <w:t xml:space="preserve">and </w:t>
      </w:r>
      <w:r w:rsidR="00966C9B" w:rsidRPr="004635E5">
        <w:rPr>
          <w:rFonts w:eastAsiaTheme="minorEastAsia"/>
          <w:sz w:val="22"/>
          <w:szCs w:val="22"/>
          <w:lang w:val="en-NZ" w:eastAsia="ko-KR"/>
        </w:rPr>
        <w:t>can est</w:t>
      </w:r>
      <w:r w:rsidR="00A376CC" w:rsidRPr="004635E5">
        <w:rPr>
          <w:rFonts w:eastAsiaTheme="minorEastAsia"/>
          <w:sz w:val="22"/>
          <w:szCs w:val="22"/>
          <w:lang w:val="en-NZ" w:eastAsia="ko-KR"/>
        </w:rPr>
        <w:t>imate</w:t>
      </w:r>
      <w:r w:rsidR="00966C9B" w:rsidRPr="004635E5">
        <w:rPr>
          <w:rFonts w:eastAsiaTheme="minorEastAsia"/>
          <w:sz w:val="22"/>
          <w:szCs w:val="22"/>
          <w:lang w:val="en-NZ" w:eastAsia="ko-KR"/>
        </w:rPr>
        <w:t xml:space="preserve"> catch w</w:t>
      </w:r>
      <w:r w:rsidR="00A376CC" w:rsidRPr="004635E5">
        <w:rPr>
          <w:rFonts w:eastAsiaTheme="minorEastAsia"/>
          <w:sz w:val="22"/>
          <w:szCs w:val="22"/>
          <w:lang w:val="en-NZ" w:eastAsia="ko-KR"/>
        </w:rPr>
        <w:t>ithin</w:t>
      </w:r>
      <w:r w:rsidR="00966C9B" w:rsidRPr="004635E5">
        <w:rPr>
          <w:rFonts w:eastAsiaTheme="minorEastAsia"/>
          <w:sz w:val="22"/>
          <w:szCs w:val="22"/>
          <w:lang w:val="en-NZ" w:eastAsia="ko-KR"/>
        </w:rPr>
        <w:t xml:space="preserve"> each region. </w:t>
      </w:r>
      <w:r w:rsidR="00A376CC" w:rsidRPr="004635E5">
        <w:rPr>
          <w:rFonts w:eastAsiaTheme="minorEastAsia"/>
          <w:sz w:val="22"/>
          <w:szCs w:val="22"/>
          <w:lang w:val="en-NZ" w:eastAsia="ko-KR"/>
        </w:rPr>
        <w:t xml:space="preserve">Based on these replies Japan noted their concern </w:t>
      </w:r>
      <w:r w:rsidR="00294D6C" w:rsidRPr="004635E5">
        <w:rPr>
          <w:rFonts w:eastAsiaTheme="minorEastAsia"/>
          <w:sz w:val="22"/>
          <w:szCs w:val="22"/>
          <w:lang w:val="en-NZ" w:eastAsia="ko-KR"/>
        </w:rPr>
        <w:t xml:space="preserve">that </w:t>
      </w:r>
      <w:r w:rsidR="00966C9B" w:rsidRPr="004635E5">
        <w:rPr>
          <w:rFonts w:eastAsiaTheme="minorEastAsia"/>
          <w:sz w:val="22"/>
          <w:szCs w:val="22"/>
          <w:lang w:val="en-NZ" w:eastAsia="ko-KR"/>
        </w:rPr>
        <w:t xml:space="preserve">the MSE </w:t>
      </w:r>
      <w:r w:rsidR="00A376CC" w:rsidRPr="004635E5">
        <w:rPr>
          <w:rFonts w:eastAsiaTheme="minorEastAsia"/>
          <w:sz w:val="22"/>
          <w:szCs w:val="22"/>
          <w:lang w:val="en-NZ" w:eastAsia="ko-KR"/>
        </w:rPr>
        <w:t xml:space="preserve">for </w:t>
      </w:r>
      <w:r w:rsidR="00656FD8" w:rsidRPr="004635E5">
        <w:rPr>
          <w:rFonts w:eastAsiaTheme="minorEastAsia"/>
          <w:sz w:val="22"/>
          <w:szCs w:val="22"/>
          <w:lang w:val="en-NZ" w:eastAsia="ko-KR"/>
        </w:rPr>
        <w:t>skipjack</w:t>
      </w:r>
      <w:r w:rsidR="00966C9B" w:rsidRPr="004635E5">
        <w:rPr>
          <w:rFonts w:eastAsiaTheme="minorEastAsia"/>
          <w:sz w:val="22"/>
          <w:szCs w:val="22"/>
          <w:lang w:val="en-NZ" w:eastAsia="ko-KR"/>
        </w:rPr>
        <w:t xml:space="preserve"> </w:t>
      </w:r>
      <w:r w:rsidR="00A376CC" w:rsidRPr="004635E5">
        <w:rPr>
          <w:rFonts w:eastAsiaTheme="minorEastAsia"/>
          <w:sz w:val="22"/>
          <w:szCs w:val="22"/>
          <w:lang w:val="en-NZ" w:eastAsia="ko-KR"/>
        </w:rPr>
        <w:t xml:space="preserve">was being developed </w:t>
      </w:r>
      <w:r w:rsidR="0041022C" w:rsidRPr="004635E5">
        <w:rPr>
          <w:rFonts w:eastAsiaTheme="minorEastAsia"/>
          <w:sz w:val="22"/>
          <w:szCs w:val="22"/>
          <w:lang w:val="en-NZ" w:eastAsia="ko-KR"/>
        </w:rPr>
        <w:t>without</w:t>
      </w:r>
      <w:r w:rsidR="00966C9B" w:rsidRPr="004635E5">
        <w:rPr>
          <w:rFonts w:eastAsiaTheme="minorEastAsia"/>
          <w:sz w:val="22"/>
          <w:szCs w:val="22"/>
          <w:lang w:val="en-NZ" w:eastAsia="ko-KR"/>
        </w:rPr>
        <w:t xml:space="preserve"> </w:t>
      </w:r>
      <w:r w:rsidR="00A376CC" w:rsidRPr="004635E5">
        <w:rPr>
          <w:rFonts w:eastAsiaTheme="minorEastAsia"/>
          <w:sz w:val="22"/>
          <w:szCs w:val="22"/>
          <w:lang w:val="en-NZ" w:eastAsia="ko-KR"/>
        </w:rPr>
        <w:t xml:space="preserve">an </w:t>
      </w:r>
      <w:r w:rsidR="00966C9B" w:rsidRPr="004635E5">
        <w:rPr>
          <w:rFonts w:eastAsiaTheme="minorEastAsia"/>
          <w:sz w:val="22"/>
          <w:szCs w:val="22"/>
          <w:lang w:val="en-NZ" w:eastAsia="ko-KR"/>
        </w:rPr>
        <w:t>eval</w:t>
      </w:r>
      <w:r w:rsidR="00294D6C" w:rsidRPr="004635E5">
        <w:rPr>
          <w:rFonts w:eastAsiaTheme="minorEastAsia"/>
          <w:sz w:val="22"/>
          <w:szCs w:val="22"/>
          <w:lang w:val="en-NZ" w:eastAsia="ko-KR"/>
        </w:rPr>
        <w:t>uation</w:t>
      </w:r>
      <w:r w:rsidR="00966C9B" w:rsidRPr="004635E5">
        <w:rPr>
          <w:rFonts w:eastAsiaTheme="minorEastAsia"/>
          <w:sz w:val="22"/>
          <w:szCs w:val="22"/>
          <w:lang w:val="en-NZ" w:eastAsia="ko-KR"/>
        </w:rPr>
        <w:t xml:space="preserve"> </w:t>
      </w:r>
      <w:r w:rsidR="00294D6C" w:rsidRPr="004635E5">
        <w:rPr>
          <w:rFonts w:eastAsiaTheme="minorEastAsia"/>
          <w:sz w:val="22"/>
          <w:szCs w:val="22"/>
          <w:lang w:val="en-NZ" w:eastAsia="ko-KR"/>
        </w:rPr>
        <w:t xml:space="preserve">of the </w:t>
      </w:r>
      <w:r w:rsidR="00966C9B" w:rsidRPr="004635E5">
        <w:rPr>
          <w:rFonts w:eastAsiaTheme="minorEastAsia"/>
          <w:sz w:val="22"/>
          <w:szCs w:val="22"/>
          <w:lang w:val="en-NZ" w:eastAsia="ko-KR"/>
        </w:rPr>
        <w:t xml:space="preserve">impact on other species. </w:t>
      </w:r>
      <w:r w:rsidR="0041022C" w:rsidRPr="004635E5">
        <w:rPr>
          <w:rFonts w:eastAsiaTheme="minorEastAsia"/>
          <w:sz w:val="22"/>
          <w:szCs w:val="22"/>
          <w:lang w:val="en-NZ" w:eastAsia="ko-KR"/>
        </w:rPr>
        <w:t xml:space="preserve">They </w:t>
      </w:r>
      <w:r w:rsidR="00A376CC" w:rsidRPr="004635E5">
        <w:rPr>
          <w:rFonts w:eastAsiaTheme="minorEastAsia"/>
          <w:sz w:val="22"/>
          <w:szCs w:val="22"/>
          <w:lang w:val="en-NZ" w:eastAsia="ko-KR"/>
        </w:rPr>
        <w:t xml:space="preserve">noted that this was </w:t>
      </w:r>
      <w:r w:rsidR="00966C9B" w:rsidRPr="004635E5">
        <w:rPr>
          <w:rFonts w:eastAsiaTheme="minorEastAsia"/>
          <w:sz w:val="22"/>
          <w:szCs w:val="22"/>
          <w:lang w:val="en-NZ" w:eastAsia="ko-KR"/>
        </w:rPr>
        <w:t xml:space="preserve">one of </w:t>
      </w:r>
      <w:r w:rsidR="00294D6C" w:rsidRPr="004635E5">
        <w:rPr>
          <w:rFonts w:eastAsiaTheme="minorEastAsia"/>
          <w:sz w:val="22"/>
          <w:szCs w:val="22"/>
          <w:lang w:val="en-NZ" w:eastAsia="ko-KR"/>
        </w:rPr>
        <w:t>the</w:t>
      </w:r>
      <w:r w:rsidR="0041022C" w:rsidRPr="004635E5">
        <w:rPr>
          <w:rFonts w:eastAsiaTheme="minorEastAsia"/>
          <w:sz w:val="22"/>
          <w:szCs w:val="22"/>
          <w:lang w:val="en-NZ" w:eastAsia="ko-KR"/>
        </w:rPr>
        <w:t>ir</w:t>
      </w:r>
      <w:r w:rsidR="00294D6C" w:rsidRPr="004635E5">
        <w:rPr>
          <w:rFonts w:eastAsiaTheme="minorEastAsia"/>
          <w:sz w:val="22"/>
          <w:szCs w:val="22"/>
          <w:lang w:val="en-NZ" w:eastAsia="ko-KR"/>
        </w:rPr>
        <w:t xml:space="preserve"> </w:t>
      </w:r>
      <w:r w:rsidR="00966C9B" w:rsidRPr="004635E5">
        <w:rPr>
          <w:rFonts w:eastAsiaTheme="minorEastAsia"/>
          <w:sz w:val="22"/>
          <w:szCs w:val="22"/>
          <w:lang w:val="en-NZ" w:eastAsia="ko-KR"/>
        </w:rPr>
        <w:t xml:space="preserve">most </w:t>
      </w:r>
      <w:r w:rsidR="00294D6C" w:rsidRPr="004635E5">
        <w:rPr>
          <w:rFonts w:eastAsiaTheme="minorEastAsia"/>
          <w:sz w:val="22"/>
          <w:szCs w:val="22"/>
          <w:lang w:val="en-NZ" w:eastAsia="ko-KR"/>
        </w:rPr>
        <w:t>important object</w:t>
      </w:r>
      <w:r w:rsidR="00966C9B" w:rsidRPr="004635E5">
        <w:rPr>
          <w:rFonts w:eastAsiaTheme="minorEastAsia"/>
          <w:sz w:val="22"/>
          <w:szCs w:val="22"/>
          <w:lang w:val="en-NZ" w:eastAsia="ko-KR"/>
        </w:rPr>
        <w:t>ive</w:t>
      </w:r>
      <w:r w:rsidR="00294D6C" w:rsidRPr="004635E5">
        <w:rPr>
          <w:rFonts w:eastAsiaTheme="minorEastAsia"/>
          <w:sz w:val="22"/>
          <w:szCs w:val="22"/>
          <w:lang w:val="en-NZ" w:eastAsia="ko-KR"/>
        </w:rPr>
        <w:t>s with</w:t>
      </w:r>
      <w:r w:rsidR="00966C9B" w:rsidRPr="004635E5">
        <w:rPr>
          <w:rFonts w:eastAsiaTheme="minorEastAsia"/>
          <w:sz w:val="22"/>
          <w:szCs w:val="22"/>
          <w:lang w:val="en-NZ" w:eastAsia="ko-KR"/>
        </w:rPr>
        <w:t xml:space="preserve"> regard to manage</w:t>
      </w:r>
      <w:r w:rsidR="00294D6C" w:rsidRPr="004635E5">
        <w:rPr>
          <w:rFonts w:eastAsiaTheme="minorEastAsia"/>
          <w:sz w:val="22"/>
          <w:szCs w:val="22"/>
          <w:lang w:val="en-NZ" w:eastAsia="ko-KR"/>
        </w:rPr>
        <w:t>ment</w:t>
      </w:r>
      <w:r w:rsidR="00966C9B" w:rsidRPr="004635E5">
        <w:rPr>
          <w:rFonts w:eastAsiaTheme="minorEastAsia"/>
          <w:sz w:val="22"/>
          <w:szCs w:val="22"/>
          <w:lang w:val="en-NZ" w:eastAsia="ko-KR"/>
        </w:rPr>
        <w:t xml:space="preserve"> of </w:t>
      </w:r>
      <w:r w:rsidR="00656FD8" w:rsidRPr="004635E5">
        <w:rPr>
          <w:rFonts w:eastAsiaTheme="minorEastAsia"/>
          <w:sz w:val="22"/>
          <w:szCs w:val="22"/>
          <w:lang w:val="en-NZ" w:eastAsia="ko-KR"/>
        </w:rPr>
        <w:t>skipjack</w:t>
      </w:r>
      <w:r w:rsidR="00966C9B" w:rsidRPr="004635E5">
        <w:rPr>
          <w:rFonts w:eastAsiaTheme="minorEastAsia"/>
          <w:sz w:val="22"/>
          <w:szCs w:val="22"/>
          <w:lang w:val="en-NZ" w:eastAsia="ko-KR"/>
        </w:rPr>
        <w:t xml:space="preserve"> fisheries. </w:t>
      </w:r>
      <w:r w:rsidR="00A376CC" w:rsidRPr="004635E5">
        <w:rPr>
          <w:rFonts w:eastAsiaTheme="minorEastAsia"/>
          <w:sz w:val="22"/>
          <w:szCs w:val="22"/>
          <w:lang w:val="en-NZ" w:eastAsia="ko-KR"/>
        </w:rPr>
        <w:t xml:space="preserve">Regarding </w:t>
      </w:r>
      <w:r w:rsidR="00294D6C" w:rsidRPr="004635E5">
        <w:rPr>
          <w:rFonts w:eastAsiaTheme="minorEastAsia"/>
          <w:sz w:val="22"/>
          <w:szCs w:val="22"/>
          <w:lang w:val="en-NZ" w:eastAsia="ko-KR"/>
        </w:rPr>
        <w:t>the uncertai</w:t>
      </w:r>
      <w:r w:rsidR="00966C9B" w:rsidRPr="004635E5">
        <w:rPr>
          <w:rFonts w:eastAsiaTheme="minorEastAsia"/>
          <w:sz w:val="22"/>
          <w:szCs w:val="22"/>
          <w:lang w:val="en-NZ" w:eastAsia="ko-KR"/>
        </w:rPr>
        <w:t>nty</w:t>
      </w:r>
      <w:r w:rsidR="00294D6C" w:rsidRPr="004635E5">
        <w:rPr>
          <w:rFonts w:eastAsiaTheme="minorEastAsia"/>
          <w:sz w:val="22"/>
          <w:szCs w:val="22"/>
          <w:lang w:val="en-NZ" w:eastAsia="ko-KR"/>
        </w:rPr>
        <w:t xml:space="preserve"> </w:t>
      </w:r>
      <w:r w:rsidR="00966C9B" w:rsidRPr="004635E5">
        <w:rPr>
          <w:rFonts w:eastAsiaTheme="minorEastAsia"/>
          <w:sz w:val="22"/>
          <w:szCs w:val="22"/>
          <w:lang w:val="en-NZ" w:eastAsia="ko-KR"/>
        </w:rPr>
        <w:t xml:space="preserve">grid, </w:t>
      </w:r>
      <w:r w:rsidR="0041022C" w:rsidRPr="004635E5">
        <w:rPr>
          <w:rFonts w:eastAsiaTheme="minorEastAsia"/>
          <w:sz w:val="22"/>
          <w:szCs w:val="22"/>
          <w:lang w:val="en-NZ" w:eastAsia="ko-KR"/>
        </w:rPr>
        <w:t xml:space="preserve">Japan stated it was </w:t>
      </w:r>
      <w:r w:rsidR="00294D6C" w:rsidRPr="004635E5">
        <w:rPr>
          <w:rFonts w:eastAsiaTheme="minorEastAsia"/>
          <w:sz w:val="22"/>
          <w:szCs w:val="22"/>
          <w:lang w:val="en-NZ" w:eastAsia="ko-KR"/>
        </w:rPr>
        <w:t>hard to have a c</w:t>
      </w:r>
      <w:r w:rsidR="00966C9B" w:rsidRPr="004635E5">
        <w:rPr>
          <w:rFonts w:eastAsiaTheme="minorEastAsia"/>
          <w:sz w:val="22"/>
          <w:szCs w:val="22"/>
          <w:lang w:val="en-NZ" w:eastAsia="ko-KR"/>
        </w:rPr>
        <w:t xml:space="preserve">lear rule </w:t>
      </w:r>
      <w:r w:rsidR="00A376CC" w:rsidRPr="004635E5">
        <w:rPr>
          <w:rFonts w:eastAsiaTheme="minorEastAsia"/>
          <w:sz w:val="22"/>
          <w:szCs w:val="22"/>
          <w:lang w:val="en-NZ" w:eastAsia="ko-KR"/>
        </w:rPr>
        <w:t xml:space="preserve">regarding </w:t>
      </w:r>
      <w:r w:rsidR="00966C9B" w:rsidRPr="004635E5">
        <w:rPr>
          <w:rFonts w:eastAsiaTheme="minorEastAsia"/>
          <w:sz w:val="22"/>
          <w:szCs w:val="22"/>
          <w:lang w:val="en-NZ" w:eastAsia="ko-KR"/>
        </w:rPr>
        <w:t>what should be incl</w:t>
      </w:r>
      <w:r w:rsidR="00294D6C" w:rsidRPr="004635E5">
        <w:rPr>
          <w:rFonts w:eastAsiaTheme="minorEastAsia"/>
          <w:sz w:val="22"/>
          <w:szCs w:val="22"/>
          <w:lang w:val="en-NZ" w:eastAsia="ko-KR"/>
        </w:rPr>
        <w:t>uded</w:t>
      </w:r>
      <w:r w:rsidR="0041022C" w:rsidRPr="004635E5">
        <w:rPr>
          <w:rFonts w:eastAsiaTheme="minorEastAsia"/>
          <w:sz w:val="22"/>
          <w:szCs w:val="22"/>
          <w:lang w:val="en-NZ" w:eastAsia="ko-KR"/>
        </w:rPr>
        <w:t xml:space="preserve">, but noted that the SC </w:t>
      </w:r>
      <w:r w:rsidR="0041022C" w:rsidRPr="004635E5">
        <w:rPr>
          <w:rFonts w:eastAsiaTheme="minorEastAsia"/>
          <w:sz w:val="22"/>
          <w:szCs w:val="22"/>
          <w:lang w:eastAsia="ko-KR"/>
        </w:rPr>
        <w:t>may need to include tag recapture or effort creep and natural mortality as additional sources of uncertainty</w:t>
      </w:r>
      <w:r w:rsidR="00966C9B" w:rsidRPr="004635E5">
        <w:rPr>
          <w:rFonts w:eastAsiaTheme="minorEastAsia"/>
          <w:sz w:val="22"/>
          <w:szCs w:val="22"/>
          <w:lang w:val="en-NZ" w:eastAsia="ko-KR"/>
        </w:rPr>
        <w:t xml:space="preserve">. </w:t>
      </w:r>
      <w:r w:rsidR="000E39FA" w:rsidRPr="004635E5">
        <w:rPr>
          <w:rFonts w:eastAsiaTheme="minorEastAsia"/>
          <w:sz w:val="22"/>
          <w:szCs w:val="22"/>
          <w:lang w:val="en-NZ" w:eastAsia="ko-KR"/>
        </w:rPr>
        <w:t>SPC</w:t>
      </w:r>
      <w:r w:rsidR="000232E7" w:rsidRPr="004635E5">
        <w:rPr>
          <w:rFonts w:eastAsiaTheme="minorEastAsia"/>
          <w:sz w:val="22"/>
          <w:szCs w:val="22"/>
          <w:lang w:val="en-NZ" w:eastAsia="ko-KR"/>
        </w:rPr>
        <w:t xml:space="preserve"> noted that, </w:t>
      </w:r>
      <w:r w:rsidR="000E39FA" w:rsidRPr="004635E5">
        <w:rPr>
          <w:rFonts w:eastAsiaTheme="minorEastAsia"/>
          <w:sz w:val="22"/>
          <w:szCs w:val="22"/>
          <w:lang w:val="en-NZ" w:eastAsia="ko-KR"/>
        </w:rPr>
        <w:t>re</w:t>
      </w:r>
      <w:r w:rsidR="000232E7" w:rsidRPr="004635E5">
        <w:rPr>
          <w:rFonts w:eastAsiaTheme="minorEastAsia"/>
          <w:sz w:val="22"/>
          <w:szCs w:val="22"/>
          <w:lang w:val="en-NZ" w:eastAsia="ko-KR"/>
        </w:rPr>
        <w:t>garding</w:t>
      </w:r>
      <w:r w:rsidR="000E39FA" w:rsidRPr="004635E5">
        <w:rPr>
          <w:rFonts w:eastAsiaTheme="minorEastAsia"/>
          <w:sz w:val="22"/>
          <w:szCs w:val="22"/>
          <w:lang w:val="en-NZ" w:eastAsia="ko-KR"/>
        </w:rPr>
        <w:t xml:space="preserve"> mult</w:t>
      </w:r>
      <w:r w:rsidR="000232E7" w:rsidRPr="004635E5">
        <w:rPr>
          <w:rFonts w:eastAsiaTheme="minorEastAsia"/>
          <w:sz w:val="22"/>
          <w:szCs w:val="22"/>
          <w:lang w:val="en-NZ" w:eastAsia="ko-KR"/>
        </w:rPr>
        <w:t>iple</w:t>
      </w:r>
      <w:r w:rsidR="000E39FA" w:rsidRPr="004635E5">
        <w:rPr>
          <w:rFonts w:eastAsiaTheme="minorEastAsia"/>
          <w:sz w:val="22"/>
          <w:szCs w:val="22"/>
          <w:lang w:val="en-NZ" w:eastAsia="ko-KR"/>
        </w:rPr>
        <w:t xml:space="preserve"> species</w:t>
      </w:r>
      <w:r w:rsidR="000232E7" w:rsidRPr="004635E5">
        <w:rPr>
          <w:rFonts w:eastAsiaTheme="minorEastAsia"/>
          <w:sz w:val="22"/>
          <w:szCs w:val="22"/>
          <w:lang w:val="en-NZ" w:eastAsia="ko-KR"/>
        </w:rPr>
        <w:t>, in develop</w:t>
      </w:r>
      <w:r w:rsidR="000E39FA" w:rsidRPr="004635E5">
        <w:rPr>
          <w:rFonts w:eastAsiaTheme="minorEastAsia"/>
          <w:sz w:val="22"/>
          <w:szCs w:val="22"/>
          <w:lang w:val="en-NZ" w:eastAsia="ko-KR"/>
        </w:rPr>
        <w:t xml:space="preserve">ing SAs in recent years, </w:t>
      </w:r>
      <w:r w:rsidR="000232E7" w:rsidRPr="004635E5">
        <w:rPr>
          <w:rFonts w:eastAsiaTheme="minorEastAsia"/>
          <w:sz w:val="22"/>
          <w:szCs w:val="22"/>
          <w:lang w:val="en-NZ" w:eastAsia="ko-KR"/>
        </w:rPr>
        <w:t xml:space="preserve">they </w:t>
      </w:r>
      <w:r w:rsidR="000E39FA" w:rsidRPr="004635E5">
        <w:rPr>
          <w:rFonts w:eastAsiaTheme="minorEastAsia"/>
          <w:sz w:val="22"/>
          <w:szCs w:val="22"/>
          <w:lang w:val="en-NZ" w:eastAsia="ko-KR"/>
        </w:rPr>
        <w:t xml:space="preserve">have </w:t>
      </w:r>
      <w:r w:rsidR="000232E7" w:rsidRPr="004635E5">
        <w:rPr>
          <w:rFonts w:eastAsiaTheme="minorEastAsia"/>
          <w:sz w:val="22"/>
          <w:szCs w:val="22"/>
          <w:lang w:val="en-NZ" w:eastAsia="ko-KR"/>
        </w:rPr>
        <w:t>tried</w:t>
      </w:r>
      <w:r w:rsidR="000E39FA" w:rsidRPr="004635E5">
        <w:rPr>
          <w:rFonts w:eastAsiaTheme="minorEastAsia"/>
          <w:sz w:val="22"/>
          <w:szCs w:val="22"/>
          <w:lang w:val="en-NZ" w:eastAsia="ko-KR"/>
        </w:rPr>
        <w:t xml:space="preserve"> to keep def</w:t>
      </w:r>
      <w:r w:rsidR="000232E7" w:rsidRPr="004635E5">
        <w:rPr>
          <w:rFonts w:eastAsiaTheme="minorEastAsia"/>
          <w:sz w:val="22"/>
          <w:szCs w:val="22"/>
          <w:lang w:val="en-NZ" w:eastAsia="ko-KR"/>
        </w:rPr>
        <w:t>inition</w:t>
      </w:r>
      <w:r w:rsidR="000E39FA" w:rsidRPr="004635E5">
        <w:rPr>
          <w:rFonts w:eastAsiaTheme="minorEastAsia"/>
          <w:sz w:val="22"/>
          <w:szCs w:val="22"/>
          <w:lang w:val="en-NZ" w:eastAsia="ko-KR"/>
        </w:rPr>
        <w:t xml:space="preserve">s of </w:t>
      </w:r>
      <w:r w:rsidR="000232E7" w:rsidRPr="004635E5">
        <w:rPr>
          <w:rFonts w:eastAsiaTheme="minorEastAsia"/>
          <w:sz w:val="22"/>
          <w:szCs w:val="22"/>
          <w:lang w:val="en-NZ" w:eastAsia="ko-KR"/>
        </w:rPr>
        <w:t xml:space="preserve">fisheries </w:t>
      </w:r>
      <w:r w:rsidR="000E39FA" w:rsidRPr="004635E5">
        <w:rPr>
          <w:rFonts w:eastAsiaTheme="minorEastAsia"/>
          <w:sz w:val="22"/>
          <w:szCs w:val="22"/>
          <w:lang w:val="en-NZ" w:eastAsia="ko-KR"/>
        </w:rPr>
        <w:t>and regions as comparable as poss</w:t>
      </w:r>
      <w:r w:rsidR="000232E7" w:rsidRPr="004635E5">
        <w:rPr>
          <w:rFonts w:eastAsiaTheme="minorEastAsia"/>
          <w:sz w:val="22"/>
          <w:szCs w:val="22"/>
          <w:lang w:val="en-NZ" w:eastAsia="ko-KR"/>
        </w:rPr>
        <w:t>ible</w:t>
      </w:r>
      <w:r w:rsidR="000E39FA" w:rsidRPr="004635E5">
        <w:rPr>
          <w:rFonts w:eastAsiaTheme="minorEastAsia"/>
          <w:sz w:val="22"/>
          <w:szCs w:val="22"/>
          <w:lang w:val="en-NZ" w:eastAsia="ko-KR"/>
        </w:rPr>
        <w:t xml:space="preserve">, then run </w:t>
      </w:r>
      <w:r w:rsidR="000232E7" w:rsidRPr="004635E5">
        <w:rPr>
          <w:rFonts w:eastAsiaTheme="minorEastAsia"/>
          <w:sz w:val="22"/>
          <w:szCs w:val="22"/>
          <w:lang w:val="en-NZ" w:eastAsia="ko-KR"/>
        </w:rPr>
        <w:t>models in par</w:t>
      </w:r>
      <w:r w:rsidR="000E39FA" w:rsidRPr="004635E5">
        <w:rPr>
          <w:rFonts w:eastAsiaTheme="minorEastAsia"/>
          <w:sz w:val="22"/>
          <w:szCs w:val="22"/>
          <w:lang w:val="en-NZ" w:eastAsia="ko-KR"/>
        </w:rPr>
        <w:t>all</w:t>
      </w:r>
      <w:r w:rsidR="000232E7" w:rsidRPr="004635E5">
        <w:rPr>
          <w:rFonts w:eastAsiaTheme="minorEastAsia"/>
          <w:sz w:val="22"/>
          <w:szCs w:val="22"/>
          <w:lang w:val="en-NZ" w:eastAsia="ko-KR"/>
        </w:rPr>
        <w:t>el</w:t>
      </w:r>
      <w:r w:rsidR="000E39FA" w:rsidRPr="004635E5">
        <w:rPr>
          <w:rFonts w:eastAsiaTheme="minorEastAsia"/>
          <w:sz w:val="22"/>
          <w:szCs w:val="22"/>
          <w:lang w:val="en-NZ" w:eastAsia="ko-KR"/>
        </w:rPr>
        <w:t xml:space="preserve"> and obtain info</w:t>
      </w:r>
      <w:r w:rsidR="000232E7" w:rsidRPr="004635E5">
        <w:rPr>
          <w:rFonts w:eastAsiaTheme="minorEastAsia"/>
          <w:sz w:val="22"/>
          <w:szCs w:val="22"/>
          <w:lang w:val="en-NZ" w:eastAsia="ko-KR"/>
        </w:rPr>
        <w:t>rmation</w:t>
      </w:r>
      <w:r w:rsidR="000E39FA" w:rsidRPr="004635E5">
        <w:rPr>
          <w:rFonts w:eastAsiaTheme="minorEastAsia"/>
          <w:sz w:val="22"/>
          <w:szCs w:val="22"/>
          <w:lang w:val="en-NZ" w:eastAsia="ko-KR"/>
        </w:rPr>
        <w:t xml:space="preserve"> on the 3 trop</w:t>
      </w:r>
      <w:r w:rsidR="000232E7" w:rsidRPr="004635E5">
        <w:rPr>
          <w:rFonts w:eastAsiaTheme="minorEastAsia"/>
          <w:sz w:val="22"/>
          <w:szCs w:val="22"/>
          <w:lang w:val="en-NZ" w:eastAsia="ko-KR"/>
        </w:rPr>
        <w:t>ical</w:t>
      </w:r>
      <w:r w:rsidR="000E39FA" w:rsidRPr="004635E5">
        <w:rPr>
          <w:rFonts w:eastAsiaTheme="minorEastAsia"/>
          <w:sz w:val="22"/>
          <w:szCs w:val="22"/>
          <w:lang w:val="en-NZ" w:eastAsia="ko-KR"/>
        </w:rPr>
        <w:t xml:space="preserve"> </w:t>
      </w:r>
      <w:r w:rsidR="000232E7" w:rsidRPr="004635E5">
        <w:rPr>
          <w:rFonts w:eastAsiaTheme="minorEastAsia"/>
          <w:sz w:val="22"/>
          <w:szCs w:val="22"/>
          <w:lang w:val="en-NZ" w:eastAsia="ko-KR"/>
        </w:rPr>
        <w:t xml:space="preserve">tuna </w:t>
      </w:r>
      <w:r w:rsidR="000E39FA" w:rsidRPr="004635E5">
        <w:rPr>
          <w:rFonts w:eastAsiaTheme="minorEastAsia"/>
          <w:sz w:val="22"/>
          <w:szCs w:val="22"/>
          <w:lang w:val="en-NZ" w:eastAsia="ko-KR"/>
        </w:rPr>
        <w:t>species</w:t>
      </w:r>
      <w:r w:rsidR="000232E7" w:rsidRPr="004635E5">
        <w:rPr>
          <w:rFonts w:eastAsiaTheme="minorEastAsia"/>
          <w:sz w:val="22"/>
          <w:szCs w:val="22"/>
          <w:lang w:val="en-NZ" w:eastAsia="ko-KR"/>
        </w:rPr>
        <w:t>.</w:t>
      </w:r>
      <w:r w:rsidR="000E39FA" w:rsidRPr="004635E5">
        <w:rPr>
          <w:rFonts w:eastAsiaTheme="minorEastAsia"/>
          <w:sz w:val="22"/>
          <w:szCs w:val="22"/>
          <w:lang w:val="en-NZ" w:eastAsia="ko-KR"/>
        </w:rPr>
        <w:t xml:space="preserve"> </w:t>
      </w:r>
      <w:r w:rsidR="000232E7" w:rsidRPr="004635E5">
        <w:rPr>
          <w:rFonts w:eastAsiaTheme="minorEastAsia"/>
          <w:sz w:val="22"/>
          <w:szCs w:val="22"/>
          <w:lang w:val="en-NZ" w:eastAsia="ko-KR"/>
        </w:rPr>
        <w:t xml:space="preserve">This has been done for CMM </w:t>
      </w:r>
      <w:r w:rsidR="000E39FA" w:rsidRPr="004635E5">
        <w:rPr>
          <w:rFonts w:eastAsiaTheme="minorEastAsia"/>
          <w:sz w:val="22"/>
          <w:szCs w:val="22"/>
          <w:lang w:val="en-NZ" w:eastAsia="ko-KR"/>
        </w:rPr>
        <w:t>eval</w:t>
      </w:r>
      <w:r w:rsidR="000232E7" w:rsidRPr="004635E5">
        <w:rPr>
          <w:rFonts w:eastAsiaTheme="minorEastAsia"/>
          <w:sz w:val="22"/>
          <w:szCs w:val="22"/>
          <w:lang w:val="en-NZ" w:eastAsia="ko-KR"/>
        </w:rPr>
        <w:t>uation</w:t>
      </w:r>
      <w:r w:rsidR="000E39FA" w:rsidRPr="004635E5">
        <w:rPr>
          <w:rFonts w:eastAsiaTheme="minorEastAsia"/>
          <w:sz w:val="22"/>
          <w:szCs w:val="22"/>
          <w:lang w:val="en-NZ" w:eastAsia="ko-KR"/>
        </w:rPr>
        <w:t>s. On nat</w:t>
      </w:r>
      <w:r w:rsidR="000232E7" w:rsidRPr="004635E5">
        <w:rPr>
          <w:rFonts w:eastAsiaTheme="minorEastAsia"/>
          <w:sz w:val="22"/>
          <w:szCs w:val="22"/>
          <w:lang w:val="en-NZ" w:eastAsia="ko-KR"/>
        </w:rPr>
        <w:t>ural</w:t>
      </w:r>
      <w:r w:rsidR="000E39FA" w:rsidRPr="004635E5">
        <w:rPr>
          <w:rFonts w:eastAsiaTheme="minorEastAsia"/>
          <w:sz w:val="22"/>
          <w:szCs w:val="22"/>
          <w:lang w:val="en-NZ" w:eastAsia="ko-KR"/>
        </w:rPr>
        <w:t xml:space="preserve"> morality, </w:t>
      </w:r>
      <w:r w:rsidR="0041022C" w:rsidRPr="004635E5">
        <w:rPr>
          <w:rFonts w:eastAsiaTheme="minorEastAsia"/>
          <w:sz w:val="22"/>
          <w:szCs w:val="22"/>
          <w:lang w:val="en-NZ" w:eastAsia="ko-KR"/>
        </w:rPr>
        <w:t>SPC note</w:t>
      </w:r>
      <w:r w:rsidR="00812008">
        <w:rPr>
          <w:rFonts w:eastAsiaTheme="minorEastAsia" w:hint="eastAsia"/>
          <w:sz w:val="22"/>
          <w:szCs w:val="22"/>
          <w:lang w:val="en-NZ" w:eastAsia="ko-KR"/>
        </w:rPr>
        <w:t>d</w:t>
      </w:r>
      <w:r w:rsidR="0041022C" w:rsidRPr="004635E5">
        <w:rPr>
          <w:rFonts w:eastAsiaTheme="minorEastAsia"/>
          <w:sz w:val="22"/>
          <w:szCs w:val="22"/>
          <w:lang w:val="en-NZ" w:eastAsia="ko-KR"/>
        </w:rPr>
        <w:t xml:space="preserve"> that </w:t>
      </w:r>
      <w:r w:rsidR="00656FD8" w:rsidRPr="004635E5">
        <w:rPr>
          <w:rFonts w:eastAsiaTheme="minorEastAsia"/>
          <w:sz w:val="22"/>
          <w:szCs w:val="22"/>
          <w:lang w:val="en-NZ" w:eastAsia="ko-KR"/>
        </w:rPr>
        <w:t>skipjack</w:t>
      </w:r>
      <w:r w:rsidR="000E39FA" w:rsidRPr="004635E5">
        <w:rPr>
          <w:rFonts w:eastAsiaTheme="minorEastAsia"/>
          <w:sz w:val="22"/>
          <w:szCs w:val="22"/>
          <w:lang w:val="en-NZ" w:eastAsia="ko-KR"/>
        </w:rPr>
        <w:t xml:space="preserve"> is one </w:t>
      </w:r>
      <w:r w:rsidR="0041022C" w:rsidRPr="004635E5">
        <w:rPr>
          <w:rFonts w:eastAsiaTheme="minorEastAsia"/>
          <w:sz w:val="22"/>
          <w:szCs w:val="22"/>
          <w:lang w:val="en-NZ" w:eastAsia="ko-KR"/>
        </w:rPr>
        <w:t xml:space="preserve">species </w:t>
      </w:r>
      <w:r w:rsidR="000232E7" w:rsidRPr="004635E5">
        <w:rPr>
          <w:rFonts w:eastAsiaTheme="minorEastAsia"/>
          <w:sz w:val="22"/>
          <w:szCs w:val="22"/>
          <w:lang w:val="en-NZ" w:eastAsia="ko-KR"/>
        </w:rPr>
        <w:t>for wh</w:t>
      </w:r>
      <w:r w:rsidR="000E39FA" w:rsidRPr="004635E5">
        <w:rPr>
          <w:rFonts w:eastAsiaTheme="minorEastAsia"/>
          <w:sz w:val="22"/>
          <w:szCs w:val="22"/>
          <w:lang w:val="en-NZ" w:eastAsia="ko-KR"/>
        </w:rPr>
        <w:t>i</w:t>
      </w:r>
      <w:r w:rsidR="000232E7" w:rsidRPr="004635E5">
        <w:rPr>
          <w:rFonts w:eastAsiaTheme="minorEastAsia"/>
          <w:sz w:val="22"/>
          <w:szCs w:val="22"/>
          <w:lang w:val="en-NZ" w:eastAsia="ko-KR"/>
        </w:rPr>
        <w:t>c</w:t>
      </w:r>
      <w:r w:rsidR="000E39FA" w:rsidRPr="004635E5">
        <w:rPr>
          <w:rFonts w:eastAsiaTheme="minorEastAsia"/>
          <w:sz w:val="22"/>
          <w:szCs w:val="22"/>
          <w:lang w:val="en-NZ" w:eastAsia="ko-KR"/>
        </w:rPr>
        <w:t xml:space="preserve">h </w:t>
      </w:r>
      <w:r w:rsidR="0041022C" w:rsidRPr="004635E5">
        <w:rPr>
          <w:rFonts w:eastAsiaTheme="minorEastAsia"/>
          <w:sz w:val="22"/>
          <w:szCs w:val="22"/>
          <w:lang w:val="en-NZ" w:eastAsia="ko-KR"/>
        </w:rPr>
        <w:t xml:space="preserve">they have </w:t>
      </w:r>
      <w:r w:rsidR="000E39FA" w:rsidRPr="004635E5">
        <w:rPr>
          <w:rFonts w:eastAsiaTheme="minorEastAsia"/>
          <w:sz w:val="22"/>
          <w:szCs w:val="22"/>
          <w:lang w:val="en-NZ" w:eastAsia="ko-KR"/>
        </w:rPr>
        <w:t>good est</w:t>
      </w:r>
      <w:r w:rsidR="000232E7" w:rsidRPr="004635E5">
        <w:rPr>
          <w:rFonts w:eastAsiaTheme="minorEastAsia"/>
          <w:sz w:val="22"/>
          <w:szCs w:val="22"/>
          <w:lang w:val="en-NZ" w:eastAsia="ko-KR"/>
        </w:rPr>
        <w:t>imates</w:t>
      </w:r>
      <w:r w:rsidR="000E39FA" w:rsidRPr="004635E5">
        <w:rPr>
          <w:rFonts w:eastAsiaTheme="minorEastAsia"/>
          <w:sz w:val="22"/>
          <w:szCs w:val="22"/>
          <w:lang w:val="en-NZ" w:eastAsia="ko-KR"/>
        </w:rPr>
        <w:t xml:space="preserve"> of nat</w:t>
      </w:r>
      <w:r w:rsidR="000232E7" w:rsidRPr="004635E5">
        <w:rPr>
          <w:rFonts w:eastAsiaTheme="minorEastAsia"/>
          <w:sz w:val="22"/>
          <w:szCs w:val="22"/>
          <w:lang w:val="en-NZ" w:eastAsia="ko-KR"/>
        </w:rPr>
        <w:t>ural</w:t>
      </w:r>
      <w:r w:rsidR="000E39FA" w:rsidRPr="004635E5">
        <w:rPr>
          <w:rFonts w:eastAsiaTheme="minorEastAsia"/>
          <w:sz w:val="22"/>
          <w:szCs w:val="22"/>
          <w:lang w:val="en-NZ" w:eastAsia="ko-KR"/>
        </w:rPr>
        <w:t xml:space="preserve"> mortality. </w:t>
      </w:r>
      <w:r w:rsidR="0041022C" w:rsidRPr="004635E5">
        <w:rPr>
          <w:rFonts w:eastAsiaTheme="minorEastAsia"/>
          <w:sz w:val="22"/>
          <w:szCs w:val="22"/>
          <w:lang w:eastAsia="ko-KR"/>
        </w:rPr>
        <w:t>Previous issues with the estimate of M that were highlighted at past SCs were addressed and documented in papers presented to SC13.</w:t>
      </w:r>
    </w:p>
    <w:p w14:paraId="5E9144B2"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06055C4D" w14:textId="77777777" w:rsidR="00966C9B" w:rsidRPr="004635E5" w:rsidRDefault="002E39E9"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New Zealand</w:t>
      </w:r>
      <w:r w:rsidR="0041022C" w:rsidRPr="004635E5">
        <w:rPr>
          <w:rFonts w:eastAsiaTheme="minorEastAsia"/>
          <w:sz w:val="22"/>
          <w:szCs w:val="22"/>
          <w:lang w:val="en-NZ" w:eastAsia="ko-KR"/>
        </w:rPr>
        <w:t xml:space="preserve">, on behalf of </w:t>
      </w:r>
      <w:r w:rsidR="0004745E" w:rsidRPr="004635E5">
        <w:rPr>
          <w:rFonts w:eastAsiaTheme="minorEastAsia"/>
          <w:sz w:val="22"/>
          <w:szCs w:val="22"/>
          <w:lang w:val="en-NZ" w:eastAsia="ko-KR"/>
        </w:rPr>
        <w:t xml:space="preserve">FFA </w:t>
      </w:r>
      <w:r w:rsidR="0041022C" w:rsidRPr="004635E5">
        <w:rPr>
          <w:rFonts w:eastAsiaTheme="minorEastAsia"/>
          <w:sz w:val="22"/>
          <w:szCs w:val="22"/>
          <w:lang w:val="en-NZ" w:eastAsia="ko-KR"/>
        </w:rPr>
        <w:t>m</w:t>
      </w:r>
      <w:r w:rsidR="0004745E" w:rsidRPr="004635E5">
        <w:rPr>
          <w:rFonts w:eastAsiaTheme="minorEastAsia"/>
          <w:sz w:val="22"/>
          <w:szCs w:val="22"/>
          <w:lang w:val="en-NZ" w:eastAsia="ko-KR"/>
        </w:rPr>
        <w:t>embers</w:t>
      </w:r>
      <w:r w:rsidR="0041022C" w:rsidRPr="004635E5">
        <w:rPr>
          <w:rFonts w:eastAsiaTheme="minorEastAsia"/>
          <w:sz w:val="22"/>
          <w:szCs w:val="22"/>
          <w:lang w:val="en-NZ" w:eastAsia="ko-KR"/>
        </w:rPr>
        <w:t>,</w:t>
      </w:r>
      <w:r w:rsidR="0004745E" w:rsidRPr="004635E5">
        <w:rPr>
          <w:rFonts w:eastAsiaTheme="minorEastAsia"/>
          <w:sz w:val="22"/>
          <w:szCs w:val="22"/>
          <w:lang w:val="en-NZ" w:eastAsia="ko-KR"/>
        </w:rPr>
        <w:t xml:space="preserve"> thank</w:t>
      </w:r>
      <w:r w:rsidR="0041022C" w:rsidRPr="004635E5">
        <w:rPr>
          <w:rFonts w:eastAsiaTheme="minorEastAsia"/>
          <w:sz w:val="22"/>
          <w:szCs w:val="22"/>
          <w:lang w:val="en-NZ" w:eastAsia="ko-KR"/>
        </w:rPr>
        <w:t>ed</w:t>
      </w:r>
      <w:r w:rsidR="0004745E" w:rsidRPr="004635E5">
        <w:rPr>
          <w:rFonts w:eastAsiaTheme="minorEastAsia"/>
          <w:sz w:val="22"/>
          <w:szCs w:val="22"/>
          <w:lang w:val="en-NZ" w:eastAsia="ko-KR"/>
        </w:rPr>
        <w:t xml:space="preserve"> SPC for the presentation</w:t>
      </w:r>
      <w:r w:rsidR="0041022C" w:rsidRPr="004635E5">
        <w:rPr>
          <w:rFonts w:eastAsiaTheme="minorEastAsia"/>
          <w:sz w:val="22"/>
          <w:szCs w:val="22"/>
          <w:lang w:val="en-NZ" w:eastAsia="ko-KR"/>
        </w:rPr>
        <w:t xml:space="preserve">, and </w:t>
      </w:r>
      <w:r w:rsidR="0004745E" w:rsidRPr="004635E5">
        <w:rPr>
          <w:rFonts w:eastAsiaTheme="minorEastAsia"/>
          <w:sz w:val="22"/>
          <w:szCs w:val="22"/>
          <w:lang w:val="en-NZ" w:eastAsia="ko-KR"/>
        </w:rPr>
        <w:t>note</w:t>
      </w:r>
      <w:r w:rsidR="0041022C" w:rsidRPr="004635E5">
        <w:rPr>
          <w:rFonts w:eastAsiaTheme="minorEastAsia"/>
          <w:sz w:val="22"/>
          <w:szCs w:val="22"/>
          <w:lang w:val="en-NZ" w:eastAsia="ko-KR"/>
        </w:rPr>
        <w:t>d</w:t>
      </w:r>
      <w:r w:rsidR="0004745E" w:rsidRPr="004635E5">
        <w:rPr>
          <w:rFonts w:eastAsiaTheme="minorEastAsia"/>
          <w:sz w:val="22"/>
          <w:szCs w:val="22"/>
          <w:lang w:val="en-NZ" w:eastAsia="ko-KR"/>
        </w:rPr>
        <w:t xml:space="preserve"> </w:t>
      </w:r>
      <w:r w:rsidR="0041022C" w:rsidRPr="004635E5">
        <w:rPr>
          <w:rFonts w:eastAsiaTheme="minorEastAsia"/>
          <w:sz w:val="22"/>
          <w:szCs w:val="22"/>
          <w:lang w:val="en-NZ" w:eastAsia="ko-KR"/>
        </w:rPr>
        <w:t xml:space="preserve">that </w:t>
      </w:r>
      <w:r w:rsidR="0004745E" w:rsidRPr="004635E5">
        <w:rPr>
          <w:rFonts w:eastAsiaTheme="minorEastAsia"/>
          <w:sz w:val="22"/>
          <w:szCs w:val="22"/>
          <w:lang w:val="en-NZ" w:eastAsia="ko-KR"/>
        </w:rPr>
        <w:t xml:space="preserve">the selection and refinement of </w:t>
      </w:r>
      <w:r w:rsidR="0041022C" w:rsidRPr="004635E5">
        <w:rPr>
          <w:rFonts w:eastAsiaTheme="minorEastAsia"/>
          <w:sz w:val="22"/>
          <w:szCs w:val="22"/>
          <w:lang w:val="en-NZ" w:eastAsia="ko-KR"/>
        </w:rPr>
        <w:t xml:space="preserve">operating models </w:t>
      </w:r>
      <w:r w:rsidR="0004745E" w:rsidRPr="004635E5">
        <w:rPr>
          <w:rFonts w:eastAsiaTheme="minorEastAsia"/>
          <w:sz w:val="22"/>
          <w:szCs w:val="22"/>
          <w:lang w:val="en-NZ" w:eastAsia="ko-KR"/>
        </w:rPr>
        <w:t xml:space="preserve">and other components of the MSE process </w:t>
      </w:r>
      <w:r w:rsidR="0041022C" w:rsidRPr="004635E5">
        <w:rPr>
          <w:rFonts w:eastAsiaTheme="minorEastAsia"/>
          <w:sz w:val="22"/>
          <w:szCs w:val="22"/>
          <w:lang w:val="en-NZ" w:eastAsia="ko-KR"/>
        </w:rPr>
        <w:t xml:space="preserve">would </w:t>
      </w:r>
      <w:r w:rsidR="0004745E" w:rsidRPr="004635E5">
        <w:rPr>
          <w:rFonts w:eastAsiaTheme="minorEastAsia"/>
          <w:sz w:val="22"/>
          <w:szCs w:val="22"/>
          <w:lang w:val="en-NZ" w:eastAsia="ko-KR"/>
        </w:rPr>
        <w:t>be an ambitious undertaking</w:t>
      </w:r>
      <w:r w:rsidR="0041022C" w:rsidRPr="004635E5">
        <w:rPr>
          <w:rFonts w:eastAsiaTheme="minorEastAsia"/>
          <w:sz w:val="22"/>
          <w:szCs w:val="22"/>
          <w:lang w:val="en-NZ" w:eastAsia="ko-KR"/>
        </w:rPr>
        <w:t>,</w:t>
      </w:r>
      <w:r w:rsidR="0004745E" w:rsidRPr="004635E5">
        <w:rPr>
          <w:rFonts w:eastAsiaTheme="minorEastAsia"/>
          <w:sz w:val="22"/>
          <w:szCs w:val="22"/>
          <w:lang w:val="en-NZ" w:eastAsia="ko-KR"/>
        </w:rPr>
        <w:t xml:space="preserve"> and that the Commission </w:t>
      </w:r>
      <w:r w:rsidR="0041022C" w:rsidRPr="004635E5">
        <w:rPr>
          <w:rFonts w:eastAsiaTheme="minorEastAsia"/>
          <w:sz w:val="22"/>
          <w:szCs w:val="22"/>
          <w:lang w:val="en-NZ" w:eastAsia="ko-KR"/>
        </w:rPr>
        <w:t xml:space="preserve">was </w:t>
      </w:r>
      <w:r w:rsidR="0004745E" w:rsidRPr="004635E5">
        <w:rPr>
          <w:rFonts w:eastAsiaTheme="minorEastAsia"/>
          <w:sz w:val="22"/>
          <w:szCs w:val="22"/>
          <w:lang w:val="en-NZ" w:eastAsia="ko-KR"/>
        </w:rPr>
        <w:t xml:space="preserve">just commencing an extended iterative and consultative process. </w:t>
      </w:r>
      <w:r w:rsidR="0041022C" w:rsidRPr="004635E5">
        <w:rPr>
          <w:rFonts w:eastAsiaTheme="minorEastAsia"/>
          <w:sz w:val="22"/>
          <w:szCs w:val="22"/>
          <w:lang w:val="en-NZ" w:eastAsia="ko-KR"/>
        </w:rPr>
        <w:t xml:space="preserve">They also noted that </w:t>
      </w:r>
      <w:r w:rsidR="0004745E" w:rsidRPr="004635E5">
        <w:rPr>
          <w:rFonts w:eastAsiaTheme="minorEastAsia"/>
          <w:sz w:val="22"/>
          <w:szCs w:val="22"/>
          <w:lang w:val="en-NZ" w:eastAsia="ko-KR"/>
        </w:rPr>
        <w:t>FFA members are committed to assist the work of SPC by cooperating and actively engaging through such avenues as the proposed science-management dialogue.</w:t>
      </w:r>
    </w:p>
    <w:p w14:paraId="16B29E36"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5D6C45D9" w14:textId="77777777" w:rsidR="0041022C" w:rsidRPr="004635E5" w:rsidRDefault="0041022C"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The </w:t>
      </w:r>
      <w:r w:rsidR="000232E7" w:rsidRPr="004635E5">
        <w:rPr>
          <w:rFonts w:eastAsiaTheme="minorEastAsia"/>
          <w:sz w:val="22"/>
          <w:szCs w:val="22"/>
          <w:lang w:val="en-NZ" w:eastAsia="ko-KR"/>
        </w:rPr>
        <w:t xml:space="preserve">EU noted </w:t>
      </w:r>
      <w:r w:rsidRPr="004635E5">
        <w:rPr>
          <w:rFonts w:eastAsiaTheme="minorEastAsia"/>
          <w:sz w:val="22"/>
          <w:szCs w:val="22"/>
          <w:lang w:val="en-NZ" w:eastAsia="ko-KR"/>
        </w:rPr>
        <w:t xml:space="preserve">that the current OM </w:t>
      </w:r>
      <w:r w:rsidR="009C7783" w:rsidRPr="004635E5">
        <w:rPr>
          <w:rFonts w:eastAsiaTheme="minorEastAsia"/>
          <w:sz w:val="22"/>
          <w:szCs w:val="22"/>
          <w:lang w:val="en-NZ" w:eastAsia="ko-KR"/>
        </w:rPr>
        <w:t>ass</w:t>
      </w:r>
      <w:r w:rsidR="000232E7" w:rsidRPr="004635E5">
        <w:rPr>
          <w:rFonts w:eastAsiaTheme="minorEastAsia"/>
          <w:sz w:val="22"/>
          <w:szCs w:val="22"/>
          <w:lang w:val="en-NZ" w:eastAsia="ko-KR"/>
        </w:rPr>
        <w:t xml:space="preserve">umed </w:t>
      </w:r>
      <w:r w:rsidRPr="004635E5">
        <w:rPr>
          <w:rFonts w:eastAsiaTheme="minorEastAsia"/>
          <w:sz w:val="22"/>
          <w:szCs w:val="22"/>
          <w:lang w:val="en-NZ" w:eastAsia="ko-KR"/>
        </w:rPr>
        <w:t xml:space="preserve">a zero </w:t>
      </w:r>
      <w:r w:rsidR="009C7783" w:rsidRPr="004635E5">
        <w:rPr>
          <w:rFonts w:eastAsiaTheme="minorEastAsia"/>
          <w:sz w:val="22"/>
          <w:szCs w:val="22"/>
          <w:lang w:val="en-NZ" w:eastAsia="ko-KR"/>
        </w:rPr>
        <w:t>impl</w:t>
      </w:r>
      <w:r w:rsidR="000232E7" w:rsidRPr="004635E5">
        <w:rPr>
          <w:rFonts w:eastAsiaTheme="minorEastAsia"/>
          <w:sz w:val="22"/>
          <w:szCs w:val="22"/>
          <w:lang w:val="en-NZ" w:eastAsia="ko-KR"/>
        </w:rPr>
        <w:t>ementation</w:t>
      </w:r>
      <w:r w:rsidR="009C7783" w:rsidRPr="004635E5">
        <w:rPr>
          <w:rFonts w:eastAsiaTheme="minorEastAsia"/>
          <w:sz w:val="22"/>
          <w:szCs w:val="22"/>
          <w:lang w:val="en-NZ" w:eastAsia="ko-KR"/>
        </w:rPr>
        <w:t xml:space="preserve"> error </w:t>
      </w:r>
      <w:r w:rsidRPr="004635E5">
        <w:rPr>
          <w:rFonts w:eastAsiaTheme="minorEastAsia"/>
          <w:sz w:val="22"/>
          <w:szCs w:val="22"/>
          <w:lang w:val="en-NZ" w:eastAsia="ko-KR"/>
        </w:rPr>
        <w:t xml:space="preserve">but that in reality they would </w:t>
      </w:r>
      <w:r w:rsidR="009C7783" w:rsidRPr="004635E5">
        <w:rPr>
          <w:rFonts w:eastAsiaTheme="minorEastAsia"/>
          <w:sz w:val="22"/>
          <w:szCs w:val="22"/>
          <w:lang w:val="en-NZ" w:eastAsia="ko-KR"/>
        </w:rPr>
        <w:t>expect to see impl</w:t>
      </w:r>
      <w:r w:rsidR="000232E7" w:rsidRPr="004635E5">
        <w:rPr>
          <w:rFonts w:eastAsiaTheme="minorEastAsia"/>
          <w:sz w:val="22"/>
          <w:szCs w:val="22"/>
          <w:lang w:val="en-NZ" w:eastAsia="ko-KR"/>
        </w:rPr>
        <w:t>ementation</w:t>
      </w:r>
      <w:r w:rsidR="009C7783" w:rsidRPr="004635E5">
        <w:rPr>
          <w:rFonts w:eastAsiaTheme="minorEastAsia"/>
          <w:sz w:val="22"/>
          <w:szCs w:val="22"/>
          <w:lang w:val="en-NZ" w:eastAsia="ko-KR"/>
        </w:rPr>
        <w:t xml:space="preserve"> error happening in </w:t>
      </w:r>
      <w:r w:rsidR="000232E7" w:rsidRPr="004635E5">
        <w:rPr>
          <w:rFonts w:eastAsiaTheme="minorEastAsia"/>
          <w:sz w:val="22"/>
          <w:szCs w:val="22"/>
          <w:lang w:val="en-NZ" w:eastAsia="ko-KR"/>
        </w:rPr>
        <w:t xml:space="preserve">the </w:t>
      </w:r>
      <w:r w:rsidR="009C7783" w:rsidRPr="004635E5">
        <w:rPr>
          <w:rFonts w:eastAsiaTheme="minorEastAsia"/>
          <w:sz w:val="22"/>
          <w:szCs w:val="22"/>
          <w:lang w:val="en-NZ" w:eastAsia="ko-KR"/>
        </w:rPr>
        <w:t xml:space="preserve">management system. </w:t>
      </w:r>
      <w:r w:rsidRPr="004635E5">
        <w:rPr>
          <w:rFonts w:eastAsiaTheme="minorEastAsia"/>
          <w:sz w:val="22"/>
          <w:szCs w:val="22"/>
          <w:lang w:val="en-NZ" w:eastAsia="ko-KR"/>
        </w:rPr>
        <w:t xml:space="preserve">They also noted there was a pattern in the retrospective analysis shown in Figure 58 of the last </w:t>
      </w:r>
      <w:r w:rsidR="00656FD8" w:rsidRPr="004635E5">
        <w:rPr>
          <w:rFonts w:eastAsiaTheme="minorEastAsia"/>
          <w:sz w:val="22"/>
          <w:szCs w:val="22"/>
          <w:lang w:val="en-NZ" w:eastAsia="ko-KR"/>
        </w:rPr>
        <w:t>skipjack</w:t>
      </w:r>
      <w:r w:rsidRPr="004635E5">
        <w:rPr>
          <w:rFonts w:eastAsiaTheme="minorEastAsia"/>
          <w:sz w:val="22"/>
          <w:szCs w:val="22"/>
          <w:lang w:val="en-NZ" w:eastAsia="ko-KR"/>
        </w:rPr>
        <w:t xml:space="preserve"> assessment. SPC stated they hesitated to make any statements regarding retrospective patterns but indicated they would look at alternatives for the implementation error, noting that they were trying to keep things simple initially, and would endeavour to incorporate all issues raised as discussions proceeded. </w:t>
      </w:r>
    </w:p>
    <w:p w14:paraId="1DC07392"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7B1E646E" w14:textId="77777777" w:rsidR="009C7783" w:rsidRPr="004635E5" w:rsidRDefault="000232E7"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The </w:t>
      </w:r>
      <w:r w:rsidR="00A2648C" w:rsidRPr="004635E5">
        <w:rPr>
          <w:rFonts w:eastAsiaTheme="minorEastAsia"/>
          <w:sz w:val="22"/>
          <w:szCs w:val="22"/>
          <w:lang w:val="en-NZ" w:eastAsia="ko-KR"/>
        </w:rPr>
        <w:t>theme c</w:t>
      </w:r>
      <w:r w:rsidRPr="004635E5">
        <w:rPr>
          <w:rFonts w:eastAsiaTheme="minorEastAsia"/>
          <w:sz w:val="22"/>
          <w:szCs w:val="22"/>
          <w:lang w:val="en-NZ" w:eastAsia="ko-KR"/>
        </w:rPr>
        <w:t>onvenor noted model</w:t>
      </w:r>
      <w:r w:rsidR="009C7783" w:rsidRPr="004635E5">
        <w:rPr>
          <w:rFonts w:eastAsiaTheme="minorEastAsia"/>
          <w:sz w:val="22"/>
          <w:szCs w:val="22"/>
          <w:lang w:val="en-NZ" w:eastAsia="ko-KR"/>
        </w:rPr>
        <w:t xml:space="preserve"> </w:t>
      </w:r>
      <w:r w:rsidRPr="004635E5">
        <w:rPr>
          <w:rFonts w:eastAsiaTheme="minorEastAsia"/>
          <w:sz w:val="22"/>
          <w:szCs w:val="22"/>
          <w:lang w:val="en-NZ" w:eastAsia="ko-KR"/>
        </w:rPr>
        <w:t xml:space="preserve">development was an iterative process, and there would be </w:t>
      </w:r>
      <w:r w:rsidR="009C7783" w:rsidRPr="004635E5">
        <w:rPr>
          <w:rFonts w:eastAsiaTheme="minorEastAsia"/>
          <w:sz w:val="22"/>
          <w:szCs w:val="22"/>
          <w:lang w:val="en-NZ" w:eastAsia="ko-KR"/>
        </w:rPr>
        <w:t>more opp</w:t>
      </w:r>
      <w:r w:rsidRPr="004635E5">
        <w:rPr>
          <w:rFonts w:eastAsiaTheme="minorEastAsia"/>
          <w:sz w:val="22"/>
          <w:szCs w:val="22"/>
          <w:lang w:val="en-NZ" w:eastAsia="ko-KR"/>
        </w:rPr>
        <w:t>ortunities</w:t>
      </w:r>
      <w:r w:rsidR="009C7783" w:rsidRPr="004635E5">
        <w:rPr>
          <w:rFonts w:eastAsiaTheme="minorEastAsia"/>
          <w:sz w:val="22"/>
          <w:szCs w:val="22"/>
          <w:lang w:val="en-NZ" w:eastAsia="ko-KR"/>
        </w:rPr>
        <w:t xml:space="preserve"> to provide input on all these issues. </w:t>
      </w:r>
    </w:p>
    <w:p w14:paraId="57FFB93C"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08721495" w14:textId="77777777" w:rsidR="009C7783" w:rsidRPr="004635E5" w:rsidRDefault="009C7783"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Toke</w:t>
      </w:r>
      <w:r w:rsidR="008746D4" w:rsidRPr="004635E5">
        <w:rPr>
          <w:rFonts w:eastAsiaTheme="minorEastAsia"/>
          <w:sz w:val="22"/>
          <w:szCs w:val="22"/>
          <w:lang w:val="en-NZ" w:eastAsia="ko-KR"/>
        </w:rPr>
        <w:t>lau</w:t>
      </w:r>
      <w:r w:rsidR="00F81EF0">
        <w:rPr>
          <w:rFonts w:eastAsiaTheme="minorEastAsia"/>
          <w:sz w:val="22"/>
          <w:szCs w:val="22"/>
          <w:lang w:val="en-NZ" w:eastAsia="ko-KR"/>
        </w:rPr>
        <w:t xml:space="preserve"> </w:t>
      </w:r>
      <w:r w:rsidR="0004745E" w:rsidRPr="004635E5">
        <w:rPr>
          <w:rFonts w:eastAsiaTheme="minorEastAsia"/>
          <w:sz w:val="22"/>
          <w:szCs w:val="22"/>
          <w:lang w:val="en-NZ" w:eastAsia="ko-KR"/>
        </w:rPr>
        <w:t>note</w:t>
      </w:r>
      <w:r w:rsidR="008746D4" w:rsidRPr="004635E5">
        <w:rPr>
          <w:rFonts w:eastAsiaTheme="minorEastAsia"/>
          <w:sz w:val="22"/>
          <w:szCs w:val="22"/>
          <w:lang w:val="en-NZ" w:eastAsia="ko-KR"/>
        </w:rPr>
        <w:t>d</w:t>
      </w:r>
      <w:r w:rsidR="0004745E" w:rsidRPr="004635E5">
        <w:rPr>
          <w:rFonts w:eastAsiaTheme="minorEastAsia"/>
          <w:sz w:val="22"/>
          <w:szCs w:val="22"/>
          <w:lang w:val="en-NZ" w:eastAsia="ko-KR"/>
        </w:rPr>
        <w:t xml:space="preserve"> that one of the sources of uncertainty, namely “implementation error” is identified in paper </w:t>
      </w:r>
      <w:r w:rsidR="0041022C" w:rsidRPr="004635E5">
        <w:rPr>
          <w:rFonts w:eastAsiaTheme="minorEastAsia"/>
          <w:sz w:val="22"/>
          <w:szCs w:val="22"/>
          <w:lang w:val="en-NZ" w:eastAsia="ko-KR"/>
        </w:rPr>
        <w:t>MI-</w:t>
      </w:r>
      <w:r w:rsidR="0004745E" w:rsidRPr="004635E5">
        <w:rPr>
          <w:rFonts w:eastAsiaTheme="minorEastAsia"/>
          <w:sz w:val="22"/>
          <w:szCs w:val="22"/>
          <w:lang w:val="en-NZ" w:eastAsia="ko-KR"/>
        </w:rPr>
        <w:t xml:space="preserve">WP-03, but the authors do not go into detail about how this could be incorporated in </w:t>
      </w:r>
      <w:r w:rsidR="0041022C" w:rsidRPr="004635E5">
        <w:rPr>
          <w:rFonts w:eastAsiaTheme="minorEastAsia"/>
          <w:sz w:val="22"/>
          <w:szCs w:val="22"/>
          <w:lang w:val="en-NZ" w:eastAsia="ko-KR"/>
        </w:rPr>
        <w:t xml:space="preserve">the </w:t>
      </w:r>
      <w:r w:rsidR="0004745E" w:rsidRPr="004635E5">
        <w:rPr>
          <w:rFonts w:eastAsiaTheme="minorEastAsia"/>
          <w:sz w:val="22"/>
          <w:szCs w:val="22"/>
          <w:lang w:val="en-NZ" w:eastAsia="ko-KR"/>
        </w:rPr>
        <w:t xml:space="preserve">MSE. </w:t>
      </w:r>
      <w:r w:rsidR="0041022C" w:rsidRPr="004635E5">
        <w:rPr>
          <w:rFonts w:eastAsiaTheme="minorEastAsia"/>
          <w:sz w:val="22"/>
          <w:szCs w:val="22"/>
          <w:lang w:val="en-NZ" w:eastAsia="ko-KR"/>
        </w:rPr>
        <w:t xml:space="preserve">They </w:t>
      </w:r>
      <w:r w:rsidR="0004745E" w:rsidRPr="004635E5">
        <w:rPr>
          <w:rFonts w:eastAsiaTheme="minorEastAsia"/>
          <w:sz w:val="22"/>
          <w:szCs w:val="22"/>
          <w:lang w:val="en-NZ" w:eastAsia="ko-KR"/>
        </w:rPr>
        <w:t>ask</w:t>
      </w:r>
      <w:r w:rsidR="0041022C" w:rsidRPr="004635E5">
        <w:rPr>
          <w:rFonts w:eastAsiaTheme="minorEastAsia"/>
          <w:sz w:val="22"/>
          <w:szCs w:val="22"/>
          <w:lang w:val="en-NZ" w:eastAsia="ko-KR"/>
        </w:rPr>
        <w:t>ed</w:t>
      </w:r>
      <w:r w:rsidR="0004745E" w:rsidRPr="004635E5">
        <w:rPr>
          <w:rFonts w:eastAsiaTheme="minorEastAsia"/>
          <w:sz w:val="22"/>
          <w:szCs w:val="22"/>
          <w:lang w:val="en-NZ" w:eastAsia="ko-KR"/>
        </w:rPr>
        <w:t xml:space="preserve"> whether the authors view</w:t>
      </w:r>
      <w:r w:rsidR="0041022C" w:rsidRPr="004635E5">
        <w:rPr>
          <w:rFonts w:eastAsiaTheme="minorEastAsia"/>
          <w:sz w:val="22"/>
          <w:szCs w:val="22"/>
          <w:lang w:val="en-NZ" w:eastAsia="ko-KR"/>
        </w:rPr>
        <w:t>ed</w:t>
      </w:r>
      <w:r w:rsidR="0004745E" w:rsidRPr="004635E5">
        <w:rPr>
          <w:rFonts w:eastAsiaTheme="minorEastAsia"/>
          <w:sz w:val="22"/>
          <w:szCs w:val="22"/>
          <w:lang w:val="en-NZ" w:eastAsia="ko-KR"/>
        </w:rPr>
        <w:t xml:space="preserve"> this as a significant issue and whether the OM </w:t>
      </w:r>
      <w:r w:rsidR="0041022C" w:rsidRPr="004635E5">
        <w:rPr>
          <w:rFonts w:eastAsiaTheme="minorEastAsia"/>
          <w:sz w:val="22"/>
          <w:szCs w:val="22"/>
          <w:lang w:val="en-NZ" w:eastAsia="ko-KR"/>
        </w:rPr>
        <w:t xml:space="preserve">could </w:t>
      </w:r>
      <w:r w:rsidR="0004745E" w:rsidRPr="004635E5">
        <w:rPr>
          <w:rFonts w:eastAsiaTheme="minorEastAsia"/>
          <w:sz w:val="22"/>
          <w:szCs w:val="22"/>
          <w:lang w:val="en-NZ" w:eastAsia="ko-KR"/>
        </w:rPr>
        <w:t xml:space="preserve">account for the Commission not fully implementing the advice of </w:t>
      </w:r>
      <w:r w:rsidR="0041022C" w:rsidRPr="004635E5">
        <w:rPr>
          <w:rFonts w:eastAsiaTheme="minorEastAsia"/>
          <w:sz w:val="22"/>
          <w:szCs w:val="22"/>
          <w:lang w:val="en-NZ" w:eastAsia="ko-KR"/>
        </w:rPr>
        <w:t xml:space="preserve">the SC. </w:t>
      </w:r>
      <w:r w:rsidR="0041022C" w:rsidRPr="004635E5">
        <w:rPr>
          <w:rFonts w:eastAsiaTheme="minorEastAsia"/>
          <w:sz w:val="22"/>
          <w:szCs w:val="22"/>
          <w:lang w:eastAsia="ko-KR"/>
        </w:rPr>
        <w:t>SPC replied that once the HCR is in place it effectively becomes the advice of the Commission, and that is what is used in the MSE</w:t>
      </w:r>
      <w:r w:rsidR="00A16680" w:rsidRPr="004635E5">
        <w:rPr>
          <w:rFonts w:eastAsiaTheme="minorEastAsia"/>
          <w:sz w:val="22"/>
          <w:szCs w:val="22"/>
          <w:lang w:eastAsia="ko-KR"/>
        </w:rPr>
        <w:t xml:space="preserve">. </w:t>
      </w:r>
      <w:r w:rsidR="0041022C" w:rsidRPr="004635E5">
        <w:rPr>
          <w:rFonts w:eastAsiaTheme="minorEastAsia"/>
          <w:sz w:val="22"/>
          <w:szCs w:val="22"/>
          <w:lang w:eastAsia="ko-KR"/>
        </w:rPr>
        <w:t>SPC further commented that on the positive side SC is deeply involved in the provision of advice to the Commission on the development of all aspects of the harvest strategy.</w:t>
      </w:r>
    </w:p>
    <w:p w14:paraId="1B8C4D2E"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7079A843" w14:textId="77777777" w:rsidR="0004745E" w:rsidRPr="004635E5" w:rsidRDefault="000232E7"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Nauru</w:t>
      </w:r>
      <w:r w:rsidR="00C4288B" w:rsidRPr="004635E5">
        <w:rPr>
          <w:rFonts w:eastAsiaTheme="minorEastAsia"/>
          <w:sz w:val="22"/>
          <w:szCs w:val="22"/>
          <w:lang w:val="en-NZ" w:eastAsia="ko-KR"/>
        </w:rPr>
        <w:t xml:space="preserve"> </w:t>
      </w:r>
      <w:r w:rsidR="0041022C" w:rsidRPr="004635E5">
        <w:rPr>
          <w:rFonts w:eastAsiaTheme="minorEastAsia"/>
          <w:sz w:val="22"/>
          <w:szCs w:val="22"/>
          <w:lang w:val="en-NZ" w:eastAsia="ko-KR"/>
        </w:rPr>
        <w:t xml:space="preserve">noted that PNA </w:t>
      </w:r>
      <w:r w:rsidR="00C4288B" w:rsidRPr="004635E5">
        <w:rPr>
          <w:rFonts w:eastAsiaTheme="minorEastAsia"/>
          <w:sz w:val="22"/>
          <w:szCs w:val="22"/>
          <w:lang w:val="en-NZ" w:eastAsia="ko-KR"/>
        </w:rPr>
        <w:t xml:space="preserve">members concurred with </w:t>
      </w:r>
      <w:r w:rsidR="0004745E" w:rsidRPr="004635E5">
        <w:rPr>
          <w:rFonts w:eastAsiaTheme="minorEastAsia"/>
          <w:sz w:val="22"/>
          <w:szCs w:val="22"/>
          <w:lang w:val="en-NZ" w:eastAsia="ko-KR"/>
        </w:rPr>
        <w:t>Tokelau</w:t>
      </w:r>
      <w:r w:rsidR="00C4288B" w:rsidRPr="004635E5">
        <w:rPr>
          <w:rFonts w:eastAsiaTheme="minorEastAsia"/>
          <w:sz w:val="22"/>
          <w:szCs w:val="22"/>
          <w:lang w:val="en-NZ" w:eastAsia="ko-KR"/>
        </w:rPr>
        <w:t>’s</w:t>
      </w:r>
      <w:r w:rsidR="0004745E" w:rsidRPr="004635E5">
        <w:rPr>
          <w:rFonts w:eastAsiaTheme="minorEastAsia"/>
          <w:sz w:val="22"/>
          <w:szCs w:val="22"/>
          <w:lang w:val="en-NZ" w:eastAsia="ko-KR"/>
        </w:rPr>
        <w:t xml:space="preserve"> state</w:t>
      </w:r>
      <w:r w:rsidR="00C4288B" w:rsidRPr="004635E5">
        <w:rPr>
          <w:rFonts w:eastAsiaTheme="minorEastAsia"/>
          <w:sz w:val="22"/>
          <w:szCs w:val="22"/>
          <w:lang w:val="en-NZ" w:eastAsia="ko-KR"/>
        </w:rPr>
        <w:t>ment</w:t>
      </w:r>
      <w:r w:rsidR="0004745E" w:rsidRPr="004635E5">
        <w:rPr>
          <w:rFonts w:eastAsiaTheme="minorEastAsia"/>
          <w:sz w:val="22"/>
          <w:szCs w:val="22"/>
          <w:lang w:val="en-NZ" w:eastAsia="ko-KR"/>
        </w:rPr>
        <w:t xml:space="preserve"> </w:t>
      </w:r>
      <w:r w:rsidR="0041022C" w:rsidRPr="004635E5">
        <w:rPr>
          <w:rFonts w:eastAsiaTheme="minorEastAsia"/>
          <w:sz w:val="22"/>
          <w:szCs w:val="22"/>
          <w:lang w:val="en-NZ" w:eastAsia="ko-KR"/>
        </w:rPr>
        <w:t xml:space="preserve">indicating </w:t>
      </w:r>
      <w:r w:rsidR="0004745E" w:rsidRPr="004635E5">
        <w:rPr>
          <w:rFonts w:eastAsiaTheme="minorEastAsia"/>
          <w:sz w:val="22"/>
          <w:szCs w:val="22"/>
          <w:lang w:val="en-NZ" w:eastAsia="ko-KR"/>
        </w:rPr>
        <w:t xml:space="preserve">FFA members are supportive of the range of errors and uncertainties that SPC has identified to be included in the suite of operating models for skipjack MSE. PNA members have had the opportunity to give additional thought to some ways that </w:t>
      </w:r>
      <w:r w:rsidR="0041022C" w:rsidRPr="004635E5">
        <w:rPr>
          <w:rFonts w:eastAsiaTheme="minorEastAsia"/>
          <w:sz w:val="22"/>
          <w:szCs w:val="22"/>
          <w:lang w:val="en-NZ" w:eastAsia="ko-KR"/>
        </w:rPr>
        <w:t xml:space="preserve">implementation error </w:t>
      </w:r>
      <w:r w:rsidR="0004745E" w:rsidRPr="004635E5">
        <w:rPr>
          <w:rFonts w:eastAsiaTheme="minorEastAsia"/>
          <w:sz w:val="22"/>
          <w:szCs w:val="22"/>
          <w:lang w:val="en-NZ" w:eastAsia="ko-KR"/>
        </w:rPr>
        <w:t>might be included</w:t>
      </w:r>
      <w:r w:rsidR="00A16680" w:rsidRPr="004635E5">
        <w:rPr>
          <w:rFonts w:eastAsiaTheme="minorEastAsia"/>
          <w:sz w:val="22"/>
          <w:szCs w:val="22"/>
          <w:lang w:val="en-NZ" w:eastAsia="ko-KR"/>
        </w:rPr>
        <w:t xml:space="preserve">. </w:t>
      </w:r>
      <w:r w:rsidR="0041022C" w:rsidRPr="004635E5">
        <w:rPr>
          <w:rFonts w:eastAsiaTheme="minorEastAsia"/>
          <w:sz w:val="22"/>
          <w:szCs w:val="22"/>
          <w:lang w:val="en-NZ" w:eastAsia="ko-KR"/>
        </w:rPr>
        <w:t>I</w:t>
      </w:r>
      <w:r w:rsidR="0004745E" w:rsidRPr="004635E5">
        <w:rPr>
          <w:rFonts w:eastAsiaTheme="minorEastAsia"/>
          <w:sz w:val="22"/>
          <w:szCs w:val="22"/>
          <w:lang w:val="en-NZ" w:eastAsia="ko-KR"/>
        </w:rPr>
        <w:t xml:space="preserve">mplementation error manifests itself in most WCPFC measures </w:t>
      </w:r>
      <w:r w:rsidR="0041022C" w:rsidRPr="004635E5">
        <w:rPr>
          <w:rFonts w:eastAsiaTheme="minorEastAsia"/>
          <w:sz w:val="22"/>
          <w:szCs w:val="22"/>
          <w:lang w:val="en-NZ" w:eastAsia="ko-KR"/>
        </w:rPr>
        <w:t xml:space="preserve">as: </w:t>
      </w:r>
    </w:p>
    <w:p w14:paraId="06390848" w14:textId="77777777" w:rsidR="0004745E" w:rsidRPr="004635E5" w:rsidRDefault="0004745E" w:rsidP="00580EA4">
      <w:pPr>
        <w:pStyle w:val="ListParagraph"/>
        <w:numPr>
          <w:ilvl w:val="0"/>
          <w:numId w:val="29"/>
        </w:numPr>
        <w:autoSpaceDE w:val="0"/>
        <w:autoSpaceDN w:val="0"/>
        <w:adjustRightInd w:val="0"/>
        <w:snapToGrid w:val="0"/>
        <w:jc w:val="both"/>
        <w:rPr>
          <w:rFonts w:eastAsiaTheme="minorEastAsia"/>
          <w:sz w:val="22"/>
          <w:szCs w:val="22"/>
          <w:lang w:val="en-NZ" w:eastAsia="ko-KR"/>
        </w:rPr>
      </w:pPr>
      <w:r w:rsidRPr="004635E5">
        <w:rPr>
          <w:rFonts w:eastAsiaTheme="minorEastAsia"/>
          <w:sz w:val="22"/>
          <w:szCs w:val="22"/>
          <w:lang w:val="en-NZ" w:eastAsia="ko-KR"/>
        </w:rPr>
        <w:t xml:space="preserve"> “intrinsic” error, which could come from factors around the operation of the fishery, such as effort creep, which is referenced in the working paper;</w:t>
      </w:r>
    </w:p>
    <w:p w14:paraId="54FF6209" w14:textId="77777777" w:rsidR="0004745E" w:rsidRPr="004635E5" w:rsidRDefault="0004745E" w:rsidP="00580EA4">
      <w:pPr>
        <w:pStyle w:val="ListParagraph"/>
        <w:numPr>
          <w:ilvl w:val="0"/>
          <w:numId w:val="29"/>
        </w:numPr>
        <w:autoSpaceDE w:val="0"/>
        <w:autoSpaceDN w:val="0"/>
        <w:adjustRightInd w:val="0"/>
        <w:snapToGrid w:val="0"/>
        <w:jc w:val="both"/>
        <w:rPr>
          <w:rFonts w:eastAsiaTheme="minorEastAsia"/>
          <w:sz w:val="22"/>
          <w:szCs w:val="22"/>
          <w:lang w:val="en-NZ" w:eastAsia="ko-KR"/>
        </w:rPr>
      </w:pPr>
      <w:r w:rsidRPr="004635E5">
        <w:rPr>
          <w:rFonts w:eastAsiaTheme="minorEastAsia"/>
          <w:sz w:val="22"/>
          <w:szCs w:val="22"/>
          <w:lang w:val="en-NZ" w:eastAsia="ko-KR"/>
        </w:rPr>
        <w:t xml:space="preserve"> “complian</w:t>
      </w:r>
      <w:r w:rsidR="0041022C" w:rsidRPr="004635E5">
        <w:rPr>
          <w:rFonts w:eastAsiaTheme="minorEastAsia"/>
          <w:sz w:val="22"/>
          <w:szCs w:val="22"/>
          <w:lang w:val="en-NZ" w:eastAsia="ko-KR"/>
        </w:rPr>
        <w:t xml:space="preserve">ce” error, </w:t>
      </w:r>
      <w:r w:rsidRPr="004635E5">
        <w:rPr>
          <w:rFonts w:eastAsiaTheme="minorEastAsia"/>
          <w:sz w:val="22"/>
          <w:szCs w:val="22"/>
          <w:lang w:val="en-NZ" w:eastAsia="ko-KR"/>
        </w:rPr>
        <w:t>if vessels don’t comply with agreed measures; or</w:t>
      </w:r>
    </w:p>
    <w:p w14:paraId="6460CFBB" w14:textId="77777777" w:rsidR="0004745E" w:rsidRPr="004635E5" w:rsidRDefault="0004745E" w:rsidP="00580EA4">
      <w:pPr>
        <w:pStyle w:val="ListParagraph"/>
        <w:numPr>
          <w:ilvl w:val="0"/>
          <w:numId w:val="29"/>
        </w:numPr>
        <w:autoSpaceDE w:val="0"/>
        <w:autoSpaceDN w:val="0"/>
        <w:adjustRightInd w:val="0"/>
        <w:snapToGrid w:val="0"/>
        <w:jc w:val="both"/>
        <w:rPr>
          <w:rFonts w:eastAsiaTheme="minorEastAsia"/>
          <w:sz w:val="22"/>
          <w:szCs w:val="22"/>
          <w:lang w:val="en-NZ" w:eastAsia="ko-KR"/>
        </w:rPr>
      </w:pPr>
      <w:r w:rsidRPr="004635E5">
        <w:rPr>
          <w:rFonts w:eastAsiaTheme="minorEastAsia"/>
          <w:sz w:val="22"/>
          <w:szCs w:val="22"/>
          <w:lang w:val="en-NZ" w:eastAsia="ko-KR"/>
        </w:rPr>
        <w:t xml:space="preserve"> “management” error</w:t>
      </w:r>
      <w:r w:rsidR="0041022C" w:rsidRPr="004635E5">
        <w:rPr>
          <w:rFonts w:eastAsiaTheme="minorEastAsia"/>
          <w:sz w:val="22"/>
          <w:szCs w:val="22"/>
          <w:lang w:val="en-NZ" w:eastAsia="ko-KR"/>
        </w:rPr>
        <w:t>,</w:t>
      </w:r>
      <w:r w:rsidRPr="004635E5">
        <w:rPr>
          <w:rFonts w:eastAsiaTheme="minorEastAsia"/>
          <w:sz w:val="22"/>
          <w:szCs w:val="22"/>
          <w:lang w:val="en-NZ" w:eastAsia="ko-KR"/>
        </w:rPr>
        <w:t xml:space="preserve"> if the WCPFC agrees on a management measure that does not fully meet the HCR.</w:t>
      </w:r>
    </w:p>
    <w:p w14:paraId="710E1851" w14:textId="77777777" w:rsidR="00A2648C" w:rsidRPr="004635E5" w:rsidRDefault="0041022C" w:rsidP="006633A8">
      <w:pPr>
        <w:autoSpaceDE w:val="0"/>
        <w:autoSpaceDN w:val="0"/>
        <w:adjustRightInd w:val="0"/>
        <w:snapToGrid w:val="0"/>
        <w:jc w:val="both"/>
        <w:rPr>
          <w:rFonts w:eastAsiaTheme="minorEastAsia"/>
          <w:sz w:val="22"/>
          <w:szCs w:val="22"/>
          <w:lang w:eastAsia="ko-KR"/>
        </w:rPr>
      </w:pPr>
      <w:r w:rsidRPr="004635E5">
        <w:rPr>
          <w:rFonts w:eastAsiaTheme="minorEastAsia"/>
          <w:sz w:val="22"/>
          <w:szCs w:val="22"/>
          <w:lang w:val="en-NZ" w:eastAsia="ko-KR"/>
        </w:rPr>
        <w:t xml:space="preserve">Nauru indicated that that </w:t>
      </w:r>
      <w:r w:rsidR="0004745E" w:rsidRPr="004635E5">
        <w:rPr>
          <w:rFonts w:eastAsiaTheme="minorEastAsia"/>
          <w:sz w:val="22"/>
          <w:szCs w:val="22"/>
          <w:lang w:val="en-NZ" w:eastAsia="ko-KR"/>
        </w:rPr>
        <w:t xml:space="preserve">experience within WCPFC </w:t>
      </w:r>
      <w:r w:rsidRPr="004635E5">
        <w:rPr>
          <w:rFonts w:eastAsiaTheme="minorEastAsia"/>
          <w:sz w:val="22"/>
          <w:szCs w:val="22"/>
          <w:lang w:val="en-NZ" w:eastAsia="ko-KR"/>
        </w:rPr>
        <w:t xml:space="preserve">indicated </w:t>
      </w:r>
      <w:r w:rsidR="0004745E" w:rsidRPr="004635E5">
        <w:rPr>
          <w:rFonts w:eastAsiaTheme="minorEastAsia"/>
          <w:sz w:val="22"/>
          <w:szCs w:val="22"/>
          <w:lang w:val="en-NZ" w:eastAsia="ko-KR"/>
        </w:rPr>
        <w:t xml:space="preserve">all three </w:t>
      </w:r>
      <w:r w:rsidRPr="004635E5">
        <w:rPr>
          <w:rFonts w:eastAsiaTheme="minorEastAsia"/>
          <w:sz w:val="22"/>
          <w:szCs w:val="22"/>
          <w:lang w:val="en-NZ" w:eastAsia="ko-KR"/>
        </w:rPr>
        <w:t xml:space="preserve">types of error were </w:t>
      </w:r>
      <w:r w:rsidR="0004745E" w:rsidRPr="004635E5">
        <w:rPr>
          <w:rFonts w:eastAsiaTheme="minorEastAsia"/>
          <w:sz w:val="22"/>
          <w:szCs w:val="22"/>
          <w:lang w:val="en-NZ" w:eastAsia="ko-KR"/>
        </w:rPr>
        <w:t>likely to occur in some form</w:t>
      </w:r>
      <w:r w:rsidR="00A16680" w:rsidRPr="004635E5">
        <w:rPr>
          <w:rFonts w:eastAsiaTheme="minorEastAsia"/>
          <w:sz w:val="22"/>
          <w:szCs w:val="22"/>
          <w:lang w:val="en-NZ" w:eastAsia="ko-KR"/>
        </w:rPr>
        <w:t xml:space="preserve">. </w:t>
      </w:r>
      <w:r w:rsidR="0004745E" w:rsidRPr="004635E5">
        <w:rPr>
          <w:rFonts w:eastAsiaTheme="minorEastAsia"/>
          <w:sz w:val="22"/>
          <w:szCs w:val="22"/>
          <w:lang w:val="en-NZ" w:eastAsia="ko-KR"/>
        </w:rPr>
        <w:t>There are a number of ways that these could be incorporated as either reference or robustness sets.</w:t>
      </w:r>
      <w:r w:rsidR="000232E7" w:rsidRPr="004635E5">
        <w:rPr>
          <w:rFonts w:eastAsiaTheme="minorEastAsia"/>
          <w:sz w:val="22"/>
          <w:szCs w:val="22"/>
          <w:lang w:val="en-NZ" w:eastAsia="ko-KR"/>
        </w:rPr>
        <w:t xml:space="preserve"> </w:t>
      </w:r>
      <w:r w:rsidR="0004745E" w:rsidRPr="004635E5">
        <w:rPr>
          <w:rFonts w:eastAsiaTheme="minorEastAsia"/>
          <w:sz w:val="22"/>
          <w:szCs w:val="22"/>
          <w:lang w:val="en-NZ" w:eastAsia="ko-KR"/>
        </w:rPr>
        <w:t>One way is to treat them like an observation error – by simply assuming that catch or effort is a certain proportion higher than the agreed or recommended amount</w:t>
      </w:r>
      <w:r w:rsidR="00A16680" w:rsidRPr="004635E5">
        <w:rPr>
          <w:rFonts w:eastAsiaTheme="minorEastAsia"/>
          <w:sz w:val="22"/>
          <w:szCs w:val="22"/>
          <w:lang w:val="en-NZ" w:eastAsia="ko-KR"/>
        </w:rPr>
        <w:t xml:space="preserve">. </w:t>
      </w:r>
      <w:r w:rsidR="0004745E" w:rsidRPr="004635E5">
        <w:rPr>
          <w:rFonts w:eastAsiaTheme="minorEastAsia"/>
          <w:sz w:val="22"/>
          <w:szCs w:val="22"/>
          <w:lang w:val="en-NZ" w:eastAsia="ko-KR"/>
        </w:rPr>
        <w:t>Another way, which might be more complex, could be to simulate management error by developing a different HCR that is similar to, but less aggressive than the one being modelled.</w:t>
      </w:r>
      <w:r w:rsidR="000232E7" w:rsidRPr="004635E5">
        <w:rPr>
          <w:rFonts w:eastAsiaTheme="minorEastAsia"/>
          <w:sz w:val="22"/>
          <w:szCs w:val="22"/>
          <w:lang w:val="en-NZ" w:eastAsia="ko-KR"/>
        </w:rPr>
        <w:t xml:space="preserve"> </w:t>
      </w:r>
      <w:r w:rsidR="0004745E" w:rsidRPr="004635E5">
        <w:rPr>
          <w:rFonts w:eastAsiaTheme="minorEastAsia"/>
          <w:sz w:val="22"/>
          <w:szCs w:val="22"/>
          <w:lang w:val="en-NZ" w:eastAsia="ko-KR"/>
        </w:rPr>
        <w:t>We hope these suggestions are useful, but would be very happy to discuss them further, especially noting the iterative nature of the process to develop the entire MSE framework.</w:t>
      </w:r>
      <w:r w:rsidRPr="004635E5">
        <w:rPr>
          <w:sz w:val="22"/>
          <w:szCs w:val="22"/>
        </w:rPr>
        <w:t xml:space="preserve"> </w:t>
      </w:r>
      <w:r w:rsidRPr="004635E5">
        <w:rPr>
          <w:rFonts w:eastAsiaTheme="minorEastAsia"/>
          <w:sz w:val="22"/>
          <w:szCs w:val="22"/>
          <w:lang w:eastAsia="ko-KR"/>
        </w:rPr>
        <w:t>SPC thanked Nauru for their statement and said they would like to discuss these issues more outside of SC.</w:t>
      </w:r>
    </w:p>
    <w:p w14:paraId="44C7BE08" w14:textId="77777777" w:rsidR="00A2648C" w:rsidRPr="004635E5" w:rsidRDefault="00A2648C" w:rsidP="006633A8">
      <w:pPr>
        <w:autoSpaceDE w:val="0"/>
        <w:autoSpaceDN w:val="0"/>
        <w:adjustRightInd w:val="0"/>
        <w:snapToGrid w:val="0"/>
        <w:jc w:val="both"/>
        <w:rPr>
          <w:rFonts w:eastAsiaTheme="minorEastAsia"/>
          <w:sz w:val="22"/>
          <w:szCs w:val="22"/>
          <w:lang w:eastAsia="ko-KR"/>
        </w:rPr>
      </w:pPr>
    </w:p>
    <w:p w14:paraId="3DD2143F" w14:textId="77777777" w:rsidR="00EF5393" w:rsidRPr="004635E5" w:rsidRDefault="00D3668F"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In reply to a query from Indonesia, SPC noted that the </w:t>
      </w:r>
      <w:r w:rsidR="0041022C" w:rsidRPr="004635E5">
        <w:rPr>
          <w:rFonts w:eastAsiaTheme="minorEastAsia"/>
          <w:sz w:val="22"/>
          <w:szCs w:val="22"/>
          <w:lang w:val="en-NZ" w:eastAsia="ko-KR"/>
        </w:rPr>
        <w:t>MSE</w:t>
      </w:r>
      <w:r w:rsidR="00EF5393" w:rsidRPr="004635E5">
        <w:rPr>
          <w:rFonts w:eastAsiaTheme="minorEastAsia"/>
          <w:sz w:val="22"/>
          <w:szCs w:val="22"/>
          <w:lang w:val="en-NZ" w:eastAsia="ko-KR"/>
        </w:rPr>
        <w:t xml:space="preserve"> simulations</w:t>
      </w:r>
      <w:r w:rsidRPr="004635E5">
        <w:rPr>
          <w:rFonts w:eastAsiaTheme="minorEastAsia"/>
          <w:sz w:val="22"/>
          <w:szCs w:val="22"/>
          <w:lang w:val="en-NZ" w:eastAsia="ko-KR"/>
        </w:rPr>
        <w:t xml:space="preserve"> </w:t>
      </w:r>
      <w:r w:rsidR="00EF5393" w:rsidRPr="004635E5">
        <w:rPr>
          <w:rFonts w:eastAsiaTheme="minorEastAsia"/>
          <w:sz w:val="22"/>
          <w:szCs w:val="22"/>
          <w:lang w:val="en-NZ" w:eastAsia="ko-KR"/>
        </w:rPr>
        <w:t xml:space="preserve">take </w:t>
      </w:r>
      <w:r w:rsidRPr="004635E5">
        <w:rPr>
          <w:rFonts w:eastAsiaTheme="minorEastAsia"/>
          <w:sz w:val="22"/>
          <w:szCs w:val="22"/>
          <w:lang w:val="en-NZ" w:eastAsia="ko-KR"/>
        </w:rPr>
        <w:t xml:space="preserve">into </w:t>
      </w:r>
      <w:r w:rsidR="00EF5393" w:rsidRPr="004635E5">
        <w:rPr>
          <w:rFonts w:eastAsiaTheme="minorEastAsia"/>
          <w:sz w:val="22"/>
          <w:szCs w:val="22"/>
          <w:lang w:val="en-NZ" w:eastAsia="ko-KR"/>
        </w:rPr>
        <w:t xml:space="preserve">account that </w:t>
      </w:r>
      <w:r w:rsidR="0041022C" w:rsidRPr="004635E5">
        <w:rPr>
          <w:rFonts w:eastAsiaTheme="minorEastAsia"/>
          <w:sz w:val="22"/>
          <w:szCs w:val="22"/>
          <w:lang w:val="en-NZ" w:eastAsia="ko-KR"/>
        </w:rPr>
        <w:t xml:space="preserve">the </w:t>
      </w:r>
      <w:r w:rsidR="00EF5393" w:rsidRPr="004635E5">
        <w:rPr>
          <w:rFonts w:eastAsiaTheme="minorEastAsia"/>
          <w:sz w:val="22"/>
          <w:szCs w:val="22"/>
          <w:lang w:val="en-NZ" w:eastAsia="ko-KR"/>
        </w:rPr>
        <w:t xml:space="preserve">output of </w:t>
      </w:r>
      <w:r w:rsidR="0041022C" w:rsidRPr="004635E5">
        <w:rPr>
          <w:rFonts w:eastAsiaTheme="minorEastAsia"/>
          <w:sz w:val="22"/>
          <w:szCs w:val="22"/>
          <w:lang w:val="en-NZ" w:eastAsia="ko-KR"/>
        </w:rPr>
        <w:t xml:space="preserve">the </w:t>
      </w:r>
      <w:r w:rsidR="00EF5393" w:rsidRPr="004635E5">
        <w:rPr>
          <w:rFonts w:eastAsiaTheme="minorEastAsia"/>
          <w:sz w:val="22"/>
          <w:szCs w:val="22"/>
          <w:lang w:val="en-NZ" w:eastAsia="ko-KR"/>
        </w:rPr>
        <w:t xml:space="preserve">HCR </w:t>
      </w:r>
      <w:r w:rsidRPr="004635E5">
        <w:rPr>
          <w:rFonts w:eastAsiaTheme="minorEastAsia"/>
          <w:sz w:val="22"/>
          <w:szCs w:val="22"/>
          <w:lang w:val="en-NZ" w:eastAsia="ko-KR"/>
        </w:rPr>
        <w:t>may no</w:t>
      </w:r>
      <w:r w:rsidR="00EF5393" w:rsidRPr="004635E5">
        <w:rPr>
          <w:rFonts w:eastAsiaTheme="minorEastAsia"/>
          <w:sz w:val="22"/>
          <w:szCs w:val="22"/>
          <w:lang w:val="en-NZ" w:eastAsia="ko-KR"/>
        </w:rPr>
        <w:t xml:space="preserve">t be exactly implemented in </w:t>
      </w:r>
      <w:r w:rsidR="0041022C" w:rsidRPr="004635E5">
        <w:rPr>
          <w:rFonts w:eastAsiaTheme="minorEastAsia"/>
          <w:sz w:val="22"/>
          <w:szCs w:val="22"/>
          <w:lang w:val="en-NZ" w:eastAsia="ko-KR"/>
        </w:rPr>
        <w:t xml:space="preserve">the </w:t>
      </w:r>
      <w:r w:rsidR="00EF5393" w:rsidRPr="004635E5">
        <w:rPr>
          <w:rFonts w:eastAsiaTheme="minorEastAsia"/>
          <w:sz w:val="22"/>
          <w:szCs w:val="22"/>
          <w:lang w:val="en-NZ" w:eastAsia="ko-KR"/>
        </w:rPr>
        <w:t>fishery</w:t>
      </w:r>
      <w:r w:rsidR="0041022C" w:rsidRPr="004635E5">
        <w:rPr>
          <w:rFonts w:eastAsiaTheme="minorEastAsia"/>
          <w:sz w:val="22"/>
          <w:szCs w:val="22"/>
          <w:lang w:val="en-NZ" w:eastAsia="ko-KR"/>
        </w:rPr>
        <w:t xml:space="preserve">. This can </w:t>
      </w:r>
      <w:r w:rsidR="00EF5393" w:rsidRPr="004635E5">
        <w:rPr>
          <w:rFonts w:eastAsiaTheme="minorEastAsia"/>
          <w:sz w:val="22"/>
          <w:szCs w:val="22"/>
          <w:lang w:val="en-NZ" w:eastAsia="ko-KR"/>
        </w:rPr>
        <w:t>happen in various ways</w:t>
      </w:r>
      <w:r w:rsidRPr="004635E5">
        <w:rPr>
          <w:rFonts w:eastAsiaTheme="minorEastAsia"/>
          <w:sz w:val="22"/>
          <w:szCs w:val="22"/>
          <w:lang w:val="en-NZ" w:eastAsia="ko-KR"/>
        </w:rPr>
        <w:t xml:space="preserve"> </w:t>
      </w:r>
      <w:r w:rsidR="00EF5393" w:rsidRPr="004635E5">
        <w:rPr>
          <w:rFonts w:eastAsiaTheme="minorEastAsia"/>
          <w:sz w:val="22"/>
          <w:szCs w:val="22"/>
          <w:lang w:val="en-NZ" w:eastAsia="ko-KR"/>
        </w:rPr>
        <w:t xml:space="preserve">in </w:t>
      </w:r>
      <w:r w:rsidRPr="004635E5">
        <w:rPr>
          <w:rFonts w:eastAsiaTheme="minorEastAsia"/>
          <w:sz w:val="22"/>
          <w:szCs w:val="22"/>
          <w:lang w:val="en-NZ" w:eastAsia="ko-KR"/>
        </w:rPr>
        <w:t xml:space="preserve">the </w:t>
      </w:r>
      <w:r w:rsidR="00EF5393" w:rsidRPr="004635E5">
        <w:rPr>
          <w:rFonts w:eastAsiaTheme="minorEastAsia"/>
          <w:sz w:val="22"/>
          <w:szCs w:val="22"/>
          <w:lang w:val="en-NZ" w:eastAsia="ko-KR"/>
        </w:rPr>
        <w:t>real world</w:t>
      </w:r>
      <w:r w:rsidR="0041022C" w:rsidRPr="004635E5">
        <w:rPr>
          <w:rFonts w:eastAsiaTheme="minorEastAsia"/>
          <w:sz w:val="22"/>
          <w:szCs w:val="22"/>
          <w:lang w:val="en-NZ" w:eastAsia="ko-KR"/>
        </w:rPr>
        <w:t>, and is an important aspect of the MSE work</w:t>
      </w:r>
      <w:r w:rsidR="00EF5393" w:rsidRPr="004635E5">
        <w:rPr>
          <w:rFonts w:eastAsiaTheme="minorEastAsia"/>
          <w:sz w:val="22"/>
          <w:szCs w:val="22"/>
          <w:lang w:val="en-NZ" w:eastAsia="ko-KR"/>
        </w:rPr>
        <w:t xml:space="preserve">. </w:t>
      </w:r>
    </w:p>
    <w:p w14:paraId="3F5F7879"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4C9D8DA7" w14:textId="77777777" w:rsidR="005B795A" w:rsidRPr="004635E5" w:rsidRDefault="00D52741"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F. Scott</w:t>
      </w:r>
      <w:r w:rsidR="00F81EF0">
        <w:rPr>
          <w:rFonts w:eastAsiaTheme="minorEastAsia"/>
          <w:sz w:val="22"/>
          <w:szCs w:val="22"/>
          <w:lang w:eastAsia="ko-KR"/>
        </w:rPr>
        <w:t xml:space="preserve"> </w:t>
      </w:r>
      <w:r w:rsidR="00153EAA">
        <w:rPr>
          <w:rFonts w:eastAsiaTheme="minorEastAsia"/>
          <w:sz w:val="22"/>
          <w:szCs w:val="22"/>
          <w:lang w:eastAsia="ko-KR"/>
        </w:rPr>
        <w:t xml:space="preserve">(SPC) </w:t>
      </w:r>
      <w:r w:rsidRPr="004635E5">
        <w:rPr>
          <w:rFonts w:eastAsiaTheme="minorEastAsia"/>
          <w:sz w:val="22"/>
          <w:szCs w:val="22"/>
          <w:lang w:eastAsia="ko-KR"/>
        </w:rPr>
        <w:t xml:space="preserve">presented </w:t>
      </w:r>
      <w:r w:rsidR="005B795A" w:rsidRPr="004635E5">
        <w:rPr>
          <w:rFonts w:eastAsiaTheme="minorEastAsia"/>
          <w:sz w:val="22"/>
          <w:szCs w:val="22"/>
          <w:lang w:eastAsia="ko-KR"/>
        </w:rPr>
        <w:t>SC14-MI-WP-04</w:t>
      </w:r>
      <w:r w:rsidR="005B795A" w:rsidRPr="004635E5">
        <w:rPr>
          <w:rFonts w:eastAsiaTheme="minorEastAsia"/>
          <w:sz w:val="22"/>
          <w:szCs w:val="22"/>
          <w:lang w:eastAsia="ko-KR"/>
        </w:rPr>
        <w:tab/>
      </w:r>
      <w:r w:rsidR="005B795A" w:rsidRPr="004635E5">
        <w:rPr>
          <w:rFonts w:eastAsiaTheme="minorEastAsia"/>
          <w:i/>
          <w:sz w:val="22"/>
          <w:szCs w:val="22"/>
          <w:lang w:eastAsia="ko-KR"/>
        </w:rPr>
        <w:t>Performance indicators for comparing management procedures using the MSE modelling framework</w:t>
      </w:r>
      <w:r w:rsidR="005B795A" w:rsidRPr="004635E5">
        <w:rPr>
          <w:rFonts w:eastAsiaTheme="minorEastAsia"/>
          <w:sz w:val="22"/>
          <w:szCs w:val="22"/>
          <w:lang w:eastAsia="ko-KR"/>
        </w:rPr>
        <w:t>.</w:t>
      </w:r>
      <w:r w:rsidR="0041022C" w:rsidRPr="004635E5">
        <w:rPr>
          <w:rFonts w:eastAsiaTheme="minorEastAsia"/>
          <w:sz w:val="22"/>
          <w:szCs w:val="22"/>
          <w:lang w:eastAsia="ko-KR"/>
        </w:rPr>
        <w:t xml:space="preserve"> </w:t>
      </w:r>
      <w:r w:rsidR="006D68CB" w:rsidRPr="004635E5">
        <w:rPr>
          <w:rFonts w:eastAsiaTheme="minorEastAsia"/>
          <w:sz w:val="22"/>
          <w:szCs w:val="22"/>
          <w:lang w:eastAsia="ko-KR"/>
        </w:rPr>
        <w:t>Summary of his presentation is described below:</w:t>
      </w:r>
    </w:p>
    <w:p w14:paraId="53501563" w14:textId="77777777" w:rsidR="00A2648C" w:rsidRPr="004635E5" w:rsidRDefault="00A2648C" w:rsidP="006633A8">
      <w:pPr>
        <w:autoSpaceDE w:val="0"/>
        <w:autoSpaceDN w:val="0"/>
        <w:adjustRightInd w:val="0"/>
        <w:snapToGrid w:val="0"/>
        <w:jc w:val="both"/>
        <w:rPr>
          <w:rFonts w:eastAsiaTheme="minorEastAsia"/>
          <w:sz w:val="22"/>
          <w:szCs w:val="22"/>
          <w:lang w:eastAsia="ko-KR"/>
        </w:rPr>
      </w:pPr>
    </w:p>
    <w:p w14:paraId="42514903" w14:textId="77777777" w:rsidR="00D52741" w:rsidRPr="004635E5" w:rsidRDefault="00D52741" w:rsidP="006633A8">
      <w:pPr>
        <w:autoSpaceDE w:val="0"/>
        <w:autoSpaceDN w:val="0"/>
        <w:adjustRightInd w:val="0"/>
        <w:snapToGrid w:val="0"/>
        <w:ind w:left="720"/>
        <w:jc w:val="both"/>
        <w:rPr>
          <w:rFonts w:eastAsiaTheme="minorEastAsia"/>
          <w:sz w:val="22"/>
          <w:szCs w:val="22"/>
          <w:lang w:val="en-NZ" w:eastAsia="ko-KR"/>
        </w:rPr>
      </w:pPr>
      <w:r w:rsidRPr="004635E5">
        <w:rPr>
          <w:rFonts w:eastAsiaTheme="minorEastAsia"/>
          <w:sz w:val="22"/>
          <w:szCs w:val="22"/>
          <w:lang w:val="en-NZ" w:eastAsia="ko-KR"/>
        </w:rPr>
        <w:t>A key element of the harvest strategy approach is the development and use of a range of performance indicators for evaluating the relative performance of candidate management procedures. The WCPFC13 Summary Report Attachment M (WCPFC, 2017) includes an initial list of performance indicators for Tropical Purse Seine Fisheries for the purpose of the evaluation of HCRs. The original list included 20 proposed indicators, 11 of which were suggested for inclusion by the SWG. The indicators have four categories: Biological, Economic, Social and Ecosystem.</w:t>
      </w:r>
    </w:p>
    <w:p w14:paraId="436ACDF5" w14:textId="77777777" w:rsidR="006D68CB" w:rsidRPr="004635E5" w:rsidRDefault="006D68CB" w:rsidP="006633A8">
      <w:pPr>
        <w:autoSpaceDE w:val="0"/>
        <w:autoSpaceDN w:val="0"/>
        <w:adjustRightInd w:val="0"/>
        <w:snapToGrid w:val="0"/>
        <w:ind w:left="720"/>
        <w:jc w:val="both"/>
        <w:rPr>
          <w:rFonts w:eastAsiaTheme="minorEastAsia"/>
          <w:sz w:val="22"/>
          <w:szCs w:val="22"/>
          <w:lang w:val="en-NZ" w:eastAsia="ko-KR"/>
        </w:rPr>
      </w:pPr>
    </w:p>
    <w:p w14:paraId="736C0FFC" w14:textId="77777777" w:rsidR="00D52741" w:rsidRPr="004635E5" w:rsidRDefault="00D52741" w:rsidP="006633A8">
      <w:pPr>
        <w:autoSpaceDE w:val="0"/>
        <w:autoSpaceDN w:val="0"/>
        <w:adjustRightInd w:val="0"/>
        <w:snapToGrid w:val="0"/>
        <w:ind w:left="720"/>
        <w:jc w:val="both"/>
        <w:rPr>
          <w:rFonts w:eastAsiaTheme="minorEastAsia"/>
          <w:sz w:val="22"/>
          <w:szCs w:val="22"/>
          <w:lang w:val="en-NZ" w:eastAsia="ko-KR"/>
        </w:rPr>
      </w:pPr>
      <w:r w:rsidRPr="004635E5">
        <w:rPr>
          <w:rFonts w:eastAsiaTheme="minorEastAsia"/>
          <w:sz w:val="22"/>
          <w:szCs w:val="22"/>
          <w:lang w:val="en-NZ" w:eastAsia="ko-KR"/>
        </w:rPr>
        <w:t>This paper calculates a demonstration set of performance indicators from Attachment M (WCPFC, 2017). The indicators are generated from the demonstration management strategy evaluation (MSE) framework for skipjack that is under development (</w:t>
      </w:r>
      <w:r w:rsidR="0041022C" w:rsidRPr="004635E5">
        <w:rPr>
          <w:rFonts w:eastAsiaTheme="minorEastAsia"/>
          <w:sz w:val="22"/>
          <w:szCs w:val="22"/>
          <w:lang w:val="en-NZ" w:eastAsia="ko-KR"/>
        </w:rPr>
        <w:t>SC14-MI-IP-02</w:t>
      </w:r>
      <w:r w:rsidRPr="004635E5">
        <w:rPr>
          <w:rFonts w:eastAsiaTheme="minorEastAsia"/>
          <w:sz w:val="22"/>
          <w:szCs w:val="22"/>
          <w:lang w:val="en-NZ" w:eastAsia="ko-KR"/>
        </w:rPr>
        <w:t>). The indicators are calculated over three time periods (short-, medium- and long-term). The length of the time periods are based on the number of management cycles, currently assumed to be three years. It is not possible to calculate all of the indicators in Attachment M (WCPFC, 2017) and it is noted that some indicators are challenging to interpret and t</w:t>
      </w:r>
      <w:r w:rsidR="00A2648C" w:rsidRPr="004635E5">
        <w:rPr>
          <w:rFonts w:eastAsiaTheme="minorEastAsia"/>
          <w:sz w:val="22"/>
          <w:szCs w:val="22"/>
          <w:lang w:val="en-NZ" w:eastAsia="ko-KR"/>
        </w:rPr>
        <w:t>herefore may not be appropriate.</w:t>
      </w:r>
    </w:p>
    <w:p w14:paraId="13AE2A8A" w14:textId="77777777" w:rsidR="00A2648C" w:rsidRPr="004635E5" w:rsidRDefault="00A2648C" w:rsidP="006633A8">
      <w:pPr>
        <w:autoSpaceDE w:val="0"/>
        <w:autoSpaceDN w:val="0"/>
        <w:adjustRightInd w:val="0"/>
        <w:snapToGrid w:val="0"/>
        <w:ind w:left="720"/>
        <w:jc w:val="both"/>
        <w:rPr>
          <w:rFonts w:eastAsiaTheme="minorEastAsia"/>
          <w:sz w:val="22"/>
          <w:szCs w:val="22"/>
          <w:lang w:val="en-NZ" w:eastAsia="ko-KR"/>
        </w:rPr>
      </w:pPr>
    </w:p>
    <w:p w14:paraId="1BA2AA81" w14:textId="77777777" w:rsidR="00D52741" w:rsidRPr="004635E5" w:rsidRDefault="00D52741" w:rsidP="006633A8">
      <w:pPr>
        <w:autoSpaceDE w:val="0"/>
        <w:autoSpaceDN w:val="0"/>
        <w:adjustRightInd w:val="0"/>
        <w:snapToGrid w:val="0"/>
        <w:ind w:left="720"/>
        <w:jc w:val="both"/>
        <w:rPr>
          <w:rFonts w:eastAsiaTheme="minorEastAsia"/>
          <w:sz w:val="22"/>
          <w:szCs w:val="22"/>
          <w:lang w:val="en-NZ" w:eastAsia="ko-KR"/>
        </w:rPr>
      </w:pPr>
      <w:r w:rsidRPr="004635E5">
        <w:rPr>
          <w:rFonts w:eastAsiaTheme="minorEastAsia"/>
          <w:sz w:val="22"/>
          <w:szCs w:val="22"/>
          <w:lang w:val="en-NZ" w:eastAsia="ko-KR"/>
        </w:rPr>
        <w:t>The MSE framework considers multiple sources of uncertainty resulting in a distribution of values for each indicator. This distribution can offer additional information on the performance of a management procedure that is not captured by only considering a single summary value, e.g. the median.</w:t>
      </w:r>
    </w:p>
    <w:p w14:paraId="4A73DD72" w14:textId="77777777" w:rsidR="006D68CB" w:rsidRPr="004635E5" w:rsidRDefault="006D68CB" w:rsidP="006633A8">
      <w:pPr>
        <w:autoSpaceDE w:val="0"/>
        <w:autoSpaceDN w:val="0"/>
        <w:adjustRightInd w:val="0"/>
        <w:snapToGrid w:val="0"/>
        <w:ind w:left="720"/>
        <w:jc w:val="both"/>
        <w:rPr>
          <w:rFonts w:eastAsiaTheme="minorEastAsia"/>
          <w:sz w:val="22"/>
          <w:szCs w:val="22"/>
          <w:lang w:val="en-NZ" w:eastAsia="ko-KR"/>
        </w:rPr>
      </w:pPr>
    </w:p>
    <w:p w14:paraId="5A033C4C" w14:textId="77777777" w:rsidR="00D52741" w:rsidRPr="004635E5" w:rsidRDefault="00D52741" w:rsidP="006633A8">
      <w:pPr>
        <w:autoSpaceDE w:val="0"/>
        <w:autoSpaceDN w:val="0"/>
        <w:adjustRightInd w:val="0"/>
        <w:snapToGrid w:val="0"/>
        <w:ind w:left="720"/>
        <w:jc w:val="both"/>
        <w:rPr>
          <w:rFonts w:eastAsiaTheme="minorEastAsia"/>
          <w:sz w:val="22"/>
          <w:szCs w:val="22"/>
          <w:lang w:val="en-NZ" w:eastAsia="ko-KR"/>
        </w:rPr>
      </w:pPr>
      <w:r w:rsidRPr="004635E5">
        <w:rPr>
          <w:rFonts w:eastAsiaTheme="minorEastAsia"/>
          <w:sz w:val="22"/>
          <w:szCs w:val="22"/>
          <w:lang w:val="en-NZ" w:eastAsia="ko-KR"/>
        </w:rPr>
        <w:t>Methods for comparing the relative performance of management procedures using the performance indicators are explored. In particular, there is often a trade-off in performance between different management procedures and it is important that this is captured by the values of indicators. This is made more challenging when there are a large number of indicators. It is therefore advantageous to reduce the number of performance indicators to those that capture the main results of interest and discard those that provide duplicate information. The key indicators to be considered will depend on the stock under analysis and the agreed objectives for the fishery. Comparing the relative performance of management procedures requires scaling or transforming the indicator values so that they can be easily compared across management procedures. Approaches include scaling to one of the candidate management procedures, to a ’status quo’ scenario or a historical period.</w:t>
      </w:r>
    </w:p>
    <w:p w14:paraId="492D204D" w14:textId="77777777" w:rsidR="00A2648C" w:rsidRPr="004635E5" w:rsidRDefault="00A2648C" w:rsidP="006633A8">
      <w:pPr>
        <w:autoSpaceDE w:val="0"/>
        <w:autoSpaceDN w:val="0"/>
        <w:adjustRightInd w:val="0"/>
        <w:snapToGrid w:val="0"/>
        <w:ind w:left="720"/>
        <w:jc w:val="both"/>
        <w:rPr>
          <w:rFonts w:eastAsiaTheme="minorEastAsia"/>
          <w:sz w:val="22"/>
          <w:szCs w:val="22"/>
          <w:lang w:val="en-NZ" w:eastAsia="ko-KR"/>
        </w:rPr>
      </w:pPr>
    </w:p>
    <w:p w14:paraId="633D0B01" w14:textId="77777777" w:rsidR="006D68CB" w:rsidRPr="004635E5" w:rsidRDefault="00D52741" w:rsidP="006633A8">
      <w:pPr>
        <w:autoSpaceDE w:val="0"/>
        <w:autoSpaceDN w:val="0"/>
        <w:adjustRightInd w:val="0"/>
        <w:snapToGrid w:val="0"/>
        <w:ind w:left="720"/>
        <w:jc w:val="both"/>
        <w:rPr>
          <w:rFonts w:eastAsiaTheme="minorEastAsia"/>
          <w:sz w:val="22"/>
          <w:szCs w:val="22"/>
          <w:lang w:val="en-NZ" w:eastAsia="ko-KR"/>
        </w:rPr>
      </w:pPr>
      <w:r w:rsidRPr="004635E5">
        <w:rPr>
          <w:rFonts w:eastAsiaTheme="minorEastAsia"/>
          <w:sz w:val="22"/>
          <w:szCs w:val="22"/>
          <w:lang w:val="en-NZ" w:eastAsia="ko-KR"/>
        </w:rPr>
        <w:t>The indicators calculated here represent a provisional set of proposed performance indicators and more indicators can be developed during development of the harvest strategy if necessary. For example, an indicator based on the mean weight of an individual in the stock is presented here.</w:t>
      </w:r>
      <w:r w:rsidR="002E39E9" w:rsidRPr="004635E5">
        <w:rPr>
          <w:rFonts w:eastAsiaTheme="minorEastAsia"/>
          <w:sz w:val="22"/>
          <w:szCs w:val="22"/>
          <w:lang w:val="en-NZ" w:eastAsia="ko-KR"/>
        </w:rPr>
        <w:t xml:space="preserve"> </w:t>
      </w:r>
    </w:p>
    <w:p w14:paraId="37DC07D2" w14:textId="77777777" w:rsidR="006D68CB" w:rsidRPr="004635E5" w:rsidRDefault="006D68CB" w:rsidP="006633A8">
      <w:pPr>
        <w:autoSpaceDE w:val="0"/>
        <w:autoSpaceDN w:val="0"/>
        <w:adjustRightInd w:val="0"/>
        <w:snapToGrid w:val="0"/>
        <w:ind w:left="720"/>
        <w:jc w:val="both"/>
        <w:rPr>
          <w:rFonts w:eastAsiaTheme="minorEastAsia"/>
          <w:sz w:val="22"/>
          <w:szCs w:val="22"/>
          <w:lang w:val="en-NZ" w:eastAsia="ko-KR"/>
        </w:rPr>
      </w:pPr>
    </w:p>
    <w:p w14:paraId="0F24D0B1" w14:textId="77777777" w:rsidR="00D52741" w:rsidRPr="004635E5" w:rsidRDefault="00D52741" w:rsidP="006633A8">
      <w:pPr>
        <w:autoSpaceDE w:val="0"/>
        <w:autoSpaceDN w:val="0"/>
        <w:adjustRightInd w:val="0"/>
        <w:snapToGrid w:val="0"/>
        <w:ind w:left="720"/>
        <w:jc w:val="both"/>
        <w:rPr>
          <w:rFonts w:eastAsiaTheme="minorEastAsia"/>
          <w:sz w:val="22"/>
          <w:szCs w:val="22"/>
          <w:lang w:val="en-NZ" w:eastAsia="ko-KR"/>
        </w:rPr>
      </w:pPr>
      <w:r w:rsidRPr="004635E5">
        <w:rPr>
          <w:rFonts w:eastAsiaTheme="minorEastAsia"/>
          <w:sz w:val="22"/>
          <w:szCs w:val="22"/>
          <w:lang w:val="en-NZ" w:eastAsia="ko-KR"/>
        </w:rPr>
        <w:t>It is important to note that the values for the indicators presented here are preliminary and are not intended to be used for management purposes. Also, the harvest control rules used in the analysis were chosen to provide contrast in the indicators and are not necessarily candidates for the fishery.</w:t>
      </w:r>
    </w:p>
    <w:p w14:paraId="1266E222" w14:textId="77777777" w:rsidR="007C29E5" w:rsidRDefault="007C29E5" w:rsidP="006633A8">
      <w:pPr>
        <w:pStyle w:val="WCPFC"/>
        <w:numPr>
          <w:ilvl w:val="0"/>
          <w:numId w:val="0"/>
        </w:numPr>
        <w:adjustRightInd w:val="0"/>
        <w:spacing w:after="0"/>
        <w:ind w:left="360"/>
        <w:rPr>
          <w:rFonts w:cs="Times New Roman"/>
          <w:b/>
        </w:rPr>
      </w:pPr>
    </w:p>
    <w:p w14:paraId="0FFDDEF0" w14:textId="77777777" w:rsidR="0041022C" w:rsidRPr="004635E5" w:rsidRDefault="0041022C" w:rsidP="007C29E5">
      <w:pPr>
        <w:pStyle w:val="WCPFC"/>
        <w:numPr>
          <w:ilvl w:val="0"/>
          <w:numId w:val="0"/>
        </w:numPr>
        <w:adjustRightInd w:val="0"/>
        <w:spacing w:after="0"/>
        <w:rPr>
          <w:rFonts w:cs="Times New Roman"/>
        </w:rPr>
      </w:pPr>
      <w:r w:rsidRPr="004635E5">
        <w:rPr>
          <w:rFonts w:cs="Times New Roman"/>
          <w:b/>
        </w:rPr>
        <w:t>Table MSE-2</w:t>
      </w:r>
      <w:r w:rsidR="002E39E9" w:rsidRPr="004635E5">
        <w:rPr>
          <w:rFonts w:cs="Times New Roman"/>
          <w:b/>
        </w:rPr>
        <w:t>.</w:t>
      </w:r>
      <w:r w:rsidRPr="004635E5">
        <w:rPr>
          <w:rFonts w:cs="Times New Roman"/>
        </w:rPr>
        <w:t xml:space="preserve"> Summary of proposed performance indicators for the purse seine skipjack tuna fishery (WCPFC, 2017). The Calculated column notes whether or not the indicator can be calculated using the current operating models.</w:t>
      </w:r>
    </w:p>
    <w:tbl>
      <w:tblPr>
        <w:tblStyle w:val="TableGrid"/>
        <w:tblW w:w="5000" w:type="pct"/>
        <w:jc w:val="center"/>
        <w:tblLook w:val="04A0" w:firstRow="1" w:lastRow="0" w:firstColumn="1" w:lastColumn="0" w:noHBand="0" w:noVBand="1"/>
      </w:tblPr>
      <w:tblGrid>
        <w:gridCol w:w="485"/>
        <w:gridCol w:w="1335"/>
        <w:gridCol w:w="2993"/>
        <w:gridCol w:w="3442"/>
        <w:gridCol w:w="1321"/>
      </w:tblGrid>
      <w:tr w:rsidR="00D52741" w:rsidRPr="004313F8" w14:paraId="2209ABE4" w14:textId="77777777" w:rsidTr="007C29E5">
        <w:trPr>
          <w:jc w:val="center"/>
        </w:trPr>
        <w:tc>
          <w:tcPr>
            <w:tcW w:w="253" w:type="pct"/>
            <w:shd w:val="clear" w:color="auto" w:fill="D9D9D9" w:themeFill="background1" w:themeFillShade="D9"/>
            <w:vAlign w:val="center"/>
          </w:tcPr>
          <w:p w14:paraId="195E5397" w14:textId="77777777" w:rsidR="00D52741" w:rsidRPr="004313F8" w:rsidRDefault="00D52741" w:rsidP="006633A8">
            <w:pPr>
              <w:adjustRightInd w:val="0"/>
              <w:snapToGrid w:val="0"/>
              <w:spacing w:after="0"/>
              <w:jc w:val="center"/>
              <w:rPr>
                <w:rFonts w:eastAsiaTheme="minorEastAsia"/>
                <w:b/>
                <w:sz w:val="20"/>
                <w:szCs w:val="20"/>
                <w:lang w:eastAsia="ko-KR"/>
              </w:rPr>
            </w:pPr>
          </w:p>
        </w:tc>
        <w:tc>
          <w:tcPr>
            <w:tcW w:w="697" w:type="pct"/>
            <w:shd w:val="clear" w:color="auto" w:fill="D9D9D9" w:themeFill="background1" w:themeFillShade="D9"/>
            <w:vAlign w:val="center"/>
          </w:tcPr>
          <w:p w14:paraId="52B97663" w14:textId="77777777" w:rsidR="00D52741" w:rsidRPr="004313F8" w:rsidRDefault="00D52741" w:rsidP="006633A8">
            <w:pPr>
              <w:adjustRightInd w:val="0"/>
              <w:snapToGrid w:val="0"/>
              <w:spacing w:after="0"/>
              <w:jc w:val="center"/>
              <w:rPr>
                <w:rFonts w:eastAsiaTheme="minorEastAsia"/>
                <w:b/>
                <w:sz w:val="20"/>
                <w:szCs w:val="20"/>
                <w:lang w:eastAsia="ko-KR"/>
              </w:rPr>
            </w:pPr>
            <w:r w:rsidRPr="004313F8">
              <w:rPr>
                <w:rFonts w:eastAsiaTheme="minorEastAsia"/>
                <w:b/>
                <w:sz w:val="20"/>
                <w:szCs w:val="20"/>
                <w:lang w:eastAsia="ko-KR"/>
              </w:rPr>
              <w:t>Objective type</w:t>
            </w:r>
          </w:p>
        </w:tc>
        <w:tc>
          <w:tcPr>
            <w:tcW w:w="1563" w:type="pct"/>
            <w:shd w:val="clear" w:color="auto" w:fill="D9D9D9" w:themeFill="background1" w:themeFillShade="D9"/>
            <w:vAlign w:val="center"/>
          </w:tcPr>
          <w:p w14:paraId="2FFF8616" w14:textId="77777777" w:rsidR="00D52741" w:rsidRPr="004313F8" w:rsidRDefault="00D52741" w:rsidP="006633A8">
            <w:pPr>
              <w:adjustRightInd w:val="0"/>
              <w:snapToGrid w:val="0"/>
              <w:spacing w:after="0"/>
              <w:jc w:val="center"/>
              <w:rPr>
                <w:rFonts w:eastAsiaTheme="minorEastAsia"/>
                <w:b/>
                <w:sz w:val="20"/>
                <w:szCs w:val="20"/>
                <w:lang w:eastAsia="ko-KR"/>
              </w:rPr>
            </w:pPr>
            <w:r w:rsidRPr="004313F8">
              <w:rPr>
                <w:rFonts w:eastAsiaTheme="minorEastAsia"/>
                <w:b/>
                <w:sz w:val="20"/>
                <w:szCs w:val="20"/>
                <w:lang w:eastAsia="ko-KR"/>
              </w:rPr>
              <w:t>MOW4 objective</w:t>
            </w:r>
          </w:p>
        </w:tc>
        <w:tc>
          <w:tcPr>
            <w:tcW w:w="1797" w:type="pct"/>
            <w:shd w:val="clear" w:color="auto" w:fill="D9D9D9" w:themeFill="background1" w:themeFillShade="D9"/>
            <w:vAlign w:val="center"/>
          </w:tcPr>
          <w:p w14:paraId="78C7D6D3" w14:textId="77777777" w:rsidR="00D52741" w:rsidRPr="004313F8" w:rsidRDefault="00D52741" w:rsidP="006633A8">
            <w:pPr>
              <w:adjustRightInd w:val="0"/>
              <w:snapToGrid w:val="0"/>
              <w:spacing w:after="0"/>
              <w:jc w:val="center"/>
              <w:rPr>
                <w:rFonts w:eastAsiaTheme="minorEastAsia"/>
                <w:b/>
                <w:sz w:val="20"/>
                <w:szCs w:val="20"/>
                <w:lang w:eastAsia="ko-KR"/>
              </w:rPr>
            </w:pPr>
            <w:r w:rsidRPr="004313F8">
              <w:rPr>
                <w:rFonts w:eastAsiaTheme="minorEastAsia"/>
                <w:b/>
                <w:sz w:val="20"/>
                <w:szCs w:val="20"/>
                <w:lang w:eastAsia="ko-KR"/>
              </w:rPr>
              <w:t>Performance indicator (WP14)</w:t>
            </w:r>
          </w:p>
        </w:tc>
        <w:tc>
          <w:tcPr>
            <w:tcW w:w="690" w:type="pct"/>
            <w:shd w:val="clear" w:color="auto" w:fill="D9D9D9" w:themeFill="background1" w:themeFillShade="D9"/>
            <w:vAlign w:val="center"/>
          </w:tcPr>
          <w:p w14:paraId="25895EE1" w14:textId="77777777" w:rsidR="00D52741" w:rsidRPr="004313F8" w:rsidRDefault="00D52741" w:rsidP="006633A8">
            <w:pPr>
              <w:adjustRightInd w:val="0"/>
              <w:snapToGrid w:val="0"/>
              <w:spacing w:after="0"/>
              <w:jc w:val="center"/>
              <w:rPr>
                <w:rFonts w:eastAsiaTheme="minorEastAsia"/>
                <w:b/>
                <w:sz w:val="20"/>
                <w:szCs w:val="20"/>
                <w:lang w:eastAsia="ko-KR"/>
              </w:rPr>
            </w:pPr>
            <w:r w:rsidRPr="004313F8">
              <w:rPr>
                <w:rFonts w:eastAsiaTheme="minorEastAsia"/>
                <w:b/>
                <w:sz w:val="20"/>
                <w:szCs w:val="20"/>
                <w:lang w:eastAsia="ko-KR"/>
              </w:rPr>
              <w:t>Calculated</w:t>
            </w:r>
          </w:p>
        </w:tc>
      </w:tr>
      <w:tr w:rsidR="00D52741" w:rsidRPr="004313F8" w14:paraId="332D1D9B" w14:textId="77777777" w:rsidTr="007C29E5">
        <w:trPr>
          <w:jc w:val="center"/>
        </w:trPr>
        <w:tc>
          <w:tcPr>
            <w:tcW w:w="253" w:type="pct"/>
          </w:tcPr>
          <w:p w14:paraId="68140E9C"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1</w:t>
            </w:r>
          </w:p>
        </w:tc>
        <w:tc>
          <w:tcPr>
            <w:tcW w:w="697" w:type="pct"/>
          </w:tcPr>
          <w:p w14:paraId="64816D22"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Biological</w:t>
            </w:r>
          </w:p>
        </w:tc>
        <w:tc>
          <w:tcPr>
            <w:tcW w:w="1563" w:type="pct"/>
          </w:tcPr>
          <w:p w14:paraId="544491DC"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Maintain SKJ (and YFT and BET)</w:t>
            </w:r>
            <w:r w:rsidR="00375849">
              <w:rPr>
                <w:rFonts w:eastAsiaTheme="minorEastAsia" w:hint="eastAsia"/>
                <w:sz w:val="20"/>
                <w:szCs w:val="20"/>
                <w:lang w:eastAsia="ko-KR"/>
              </w:rPr>
              <w:t xml:space="preserve"> </w:t>
            </w:r>
            <w:r w:rsidRPr="004313F8">
              <w:rPr>
                <w:rFonts w:eastAsiaTheme="minorEastAsia"/>
                <w:sz w:val="20"/>
                <w:szCs w:val="20"/>
                <w:lang w:eastAsia="ko-KR"/>
              </w:rPr>
              <w:t>biomass at or above levels that provide fishery sustainability throughout their range.</w:t>
            </w:r>
          </w:p>
        </w:tc>
        <w:tc>
          <w:tcPr>
            <w:tcW w:w="1797" w:type="pct"/>
          </w:tcPr>
          <w:p w14:paraId="659C7CF6"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Probability of SB/SB</w:t>
            </w:r>
            <w:r w:rsidRPr="004313F8">
              <w:rPr>
                <w:rFonts w:eastAsiaTheme="minorEastAsia"/>
                <w:sz w:val="20"/>
                <w:szCs w:val="20"/>
                <w:vertAlign w:val="subscript"/>
                <w:lang w:eastAsia="ko-KR"/>
              </w:rPr>
              <w:t>F=0</w:t>
            </w:r>
            <w:r w:rsidRPr="004313F8">
              <w:rPr>
                <w:rFonts w:eastAsiaTheme="minorEastAsia"/>
                <w:sz w:val="20"/>
                <w:szCs w:val="20"/>
                <w:lang w:eastAsia="ko-KR"/>
              </w:rPr>
              <w:t xml:space="preserve"> &gt; 0.2 as determined from MSE.</w:t>
            </w:r>
          </w:p>
        </w:tc>
        <w:tc>
          <w:tcPr>
            <w:tcW w:w="690" w:type="pct"/>
          </w:tcPr>
          <w:p w14:paraId="3F72D39E"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Y</w:t>
            </w:r>
          </w:p>
        </w:tc>
      </w:tr>
      <w:tr w:rsidR="00D52741" w:rsidRPr="004313F8" w14:paraId="230D4DD9" w14:textId="77777777" w:rsidTr="007C29E5">
        <w:trPr>
          <w:jc w:val="center"/>
        </w:trPr>
        <w:tc>
          <w:tcPr>
            <w:tcW w:w="253" w:type="pct"/>
          </w:tcPr>
          <w:p w14:paraId="64D5888A"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2</w:t>
            </w:r>
          </w:p>
        </w:tc>
        <w:tc>
          <w:tcPr>
            <w:tcW w:w="697" w:type="pct"/>
          </w:tcPr>
          <w:p w14:paraId="6EE4100A"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Economic</w:t>
            </w:r>
          </w:p>
        </w:tc>
        <w:tc>
          <w:tcPr>
            <w:tcW w:w="1563" w:type="pct"/>
          </w:tcPr>
          <w:p w14:paraId="3E483DC7"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Maximise economic yield from the fishery</w:t>
            </w:r>
          </w:p>
        </w:tc>
        <w:tc>
          <w:tcPr>
            <w:tcW w:w="1797" w:type="pct"/>
          </w:tcPr>
          <w:p w14:paraId="7476D5BB" w14:textId="77777777" w:rsidR="00D52741" w:rsidRPr="004313F8" w:rsidRDefault="00D52741" w:rsidP="00375849">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 xml:space="preserve">Predicted effort relative to </w:t>
            </w:r>
            <w:r w:rsidRPr="004313F8">
              <w:rPr>
                <w:rFonts w:eastAsiaTheme="minorEastAsia"/>
                <w:i/>
                <w:sz w:val="20"/>
                <w:szCs w:val="20"/>
                <w:lang w:eastAsia="ko-KR"/>
              </w:rPr>
              <w:t>EMEY</w:t>
            </w:r>
            <w:r w:rsidRPr="004313F8">
              <w:rPr>
                <w:rFonts w:eastAsiaTheme="minorEastAsia"/>
                <w:sz w:val="20"/>
                <w:szCs w:val="20"/>
                <w:lang w:eastAsia="ko-KR"/>
              </w:rPr>
              <w:t xml:space="preserve"> (to take account of multi-species considerations, SKJ, BET and YFT may be calculated at the individual fishery level). </w:t>
            </w:r>
            <w:r w:rsidRPr="004313F8">
              <w:rPr>
                <w:rFonts w:eastAsiaTheme="minorEastAsia"/>
                <w:i/>
                <w:sz w:val="20"/>
                <w:szCs w:val="20"/>
                <w:lang w:eastAsia="ko-KR"/>
              </w:rPr>
              <w:t>BMEY</w:t>
            </w:r>
            <w:r w:rsidRPr="004313F8">
              <w:rPr>
                <w:rFonts w:eastAsiaTheme="minorEastAsia"/>
                <w:sz w:val="20"/>
                <w:szCs w:val="20"/>
                <w:lang w:eastAsia="ko-KR"/>
              </w:rPr>
              <w:t xml:space="preserve"> and </w:t>
            </w:r>
            <w:r w:rsidRPr="004313F8">
              <w:rPr>
                <w:rFonts w:eastAsiaTheme="minorEastAsia"/>
                <w:i/>
                <w:sz w:val="20"/>
                <w:szCs w:val="20"/>
                <w:lang w:eastAsia="ko-KR"/>
              </w:rPr>
              <w:t>FMEY</w:t>
            </w:r>
            <w:r w:rsidRPr="004313F8">
              <w:rPr>
                <w:rFonts w:eastAsiaTheme="minorEastAsia"/>
                <w:sz w:val="20"/>
                <w:szCs w:val="20"/>
                <w:lang w:eastAsia="ko-KR"/>
              </w:rPr>
              <w:t xml:space="preserve"> may also be considered at a single</w:t>
            </w:r>
            <w:r w:rsidR="00375849">
              <w:rPr>
                <w:rFonts w:eastAsiaTheme="minorEastAsia" w:hint="eastAsia"/>
                <w:sz w:val="20"/>
                <w:szCs w:val="20"/>
                <w:lang w:eastAsia="ko-KR"/>
              </w:rPr>
              <w:t xml:space="preserve"> </w:t>
            </w:r>
            <w:r w:rsidRPr="004313F8">
              <w:rPr>
                <w:rFonts w:eastAsiaTheme="minorEastAsia"/>
                <w:sz w:val="20"/>
                <w:szCs w:val="20"/>
                <w:lang w:eastAsia="ko-KR"/>
              </w:rPr>
              <w:t>species level.</w:t>
            </w:r>
          </w:p>
        </w:tc>
        <w:tc>
          <w:tcPr>
            <w:tcW w:w="690" w:type="pct"/>
          </w:tcPr>
          <w:p w14:paraId="0DF249FE"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Y</w:t>
            </w:r>
          </w:p>
        </w:tc>
      </w:tr>
      <w:tr w:rsidR="00D52741" w:rsidRPr="004313F8" w14:paraId="607E2D7F" w14:textId="77777777" w:rsidTr="007C29E5">
        <w:trPr>
          <w:jc w:val="center"/>
        </w:trPr>
        <w:tc>
          <w:tcPr>
            <w:tcW w:w="253" w:type="pct"/>
          </w:tcPr>
          <w:p w14:paraId="507036A1"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3</w:t>
            </w:r>
          </w:p>
        </w:tc>
        <w:tc>
          <w:tcPr>
            <w:tcW w:w="697" w:type="pct"/>
          </w:tcPr>
          <w:p w14:paraId="7BEC8C30"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Economic</w:t>
            </w:r>
          </w:p>
        </w:tc>
        <w:tc>
          <w:tcPr>
            <w:tcW w:w="1563" w:type="pct"/>
          </w:tcPr>
          <w:p w14:paraId="3CCAF524"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Maximise economic yield from the fishery</w:t>
            </w:r>
          </w:p>
        </w:tc>
        <w:tc>
          <w:tcPr>
            <w:tcW w:w="1797" w:type="pct"/>
          </w:tcPr>
          <w:p w14:paraId="512B288A"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Average expected catch (may also be calculated at the assessment region level)</w:t>
            </w:r>
          </w:p>
        </w:tc>
        <w:tc>
          <w:tcPr>
            <w:tcW w:w="690" w:type="pct"/>
          </w:tcPr>
          <w:p w14:paraId="7FBF1464"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Y</w:t>
            </w:r>
          </w:p>
        </w:tc>
      </w:tr>
      <w:tr w:rsidR="00D52741" w:rsidRPr="004313F8" w14:paraId="3D0D7134" w14:textId="77777777" w:rsidTr="007C29E5">
        <w:trPr>
          <w:jc w:val="center"/>
        </w:trPr>
        <w:tc>
          <w:tcPr>
            <w:tcW w:w="253" w:type="pct"/>
          </w:tcPr>
          <w:p w14:paraId="63A45400"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4</w:t>
            </w:r>
          </w:p>
        </w:tc>
        <w:tc>
          <w:tcPr>
            <w:tcW w:w="697" w:type="pct"/>
          </w:tcPr>
          <w:p w14:paraId="32376F4C"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Economic</w:t>
            </w:r>
          </w:p>
        </w:tc>
        <w:tc>
          <w:tcPr>
            <w:tcW w:w="1563" w:type="pct"/>
          </w:tcPr>
          <w:p w14:paraId="13B594A6"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Maintain acceptable CPUE</w:t>
            </w:r>
          </w:p>
        </w:tc>
        <w:tc>
          <w:tcPr>
            <w:tcW w:w="1797" w:type="pct"/>
          </w:tcPr>
          <w:p w14:paraId="38145635"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Average deviation of predicted SKJ CPUE from reference period levels</w:t>
            </w:r>
          </w:p>
        </w:tc>
        <w:tc>
          <w:tcPr>
            <w:tcW w:w="690" w:type="pct"/>
          </w:tcPr>
          <w:p w14:paraId="7F3C080A"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Y</w:t>
            </w:r>
          </w:p>
        </w:tc>
      </w:tr>
      <w:tr w:rsidR="00D52741" w:rsidRPr="004313F8" w14:paraId="19CFDF74" w14:textId="77777777" w:rsidTr="007C29E5">
        <w:trPr>
          <w:jc w:val="center"/>
        </w:trPr>
        <w:tc>
          <w:tcPr>
            <w:tcW w:w="253" w:type="pct"/>
          </w:tcPr>
          <w:p w14:paraId="47BC9E40"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5</w:t>
            </w:r>
          </w:p>
        </w:tc>
        <w:tc>
          <w:tcPr>
            <w:tcW w:w="697" w:type="pct"/>
          </w:tcPr>
          <w:p w14:paraId="2A0FC63B"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Economic</w:t>
            </w:r>
          </w:p>
        </w:tc>
        <w:tc>
          <w:tcPr>
            <w:tcW w:w="1563" w:type="pct"/>
          </w:tcPr>
          <w:p w14:paraId="3A349C20"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Maximise SIDS revenues from resource rents</w:t>
            </w:r>
          </w:p>
        </w:tc>
        <w:tc>
          <w:tcPr>
            <w:tcW w:w="1797" w:type="pct"/>
          </w:tcPr>
          <w:p w14:paraId="0F565789"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Proxy: average value of SIDS / non-SIDS catch</w:t>
            </w:r>
          </w:p>
        </w:tc>
        <w:tc>
          <w:tcPr>
            <w:tcW w:w="690" w:type="pct"/>
          </w:tcPr>
          <w:p w14:paraId="7E68E96C"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N</w:t>
            </w:r>
          </w:p>
        </w:tc>
      </w:tr>
      <w:tr w:rsidR="00D52741" w:rsidRPr="004313F8" w14:paraId="69A0A3C6" w14:textId="77777777" w:rsidTr="007C29E5">
        <w:trPr>
          <w:jc w:val="center"/>
        </w:trPr>
        <w:tc>
          <w:tcPr>
            <w:tcW w:w="253" w:type="pct"/>
          </w:tcPr>
          <w:p w14:paraId="56BC2B7F"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6</w:t>
            </w:r>
          </w:p>
        </w:tc>
        <w:tc>
          <w:tcPr>
            <w:tcW w:w="697" w:type="pct"/>
          </w:tcPr>
          <w:p w14:paraId="0BDD967C"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Economic</w:t>
            </w:r>
          </w:p>
        </w:tc>
        <w:tc>
          <w:tcPr>
            <w:tcW w:w="1563" w:type="pct"/>
          </w:tcPr>
          <w:p w14:paraId="4EE2C360"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Catch stability</w:t>
            </w:r>
          </w:p>
        </w:tc>
        <w:tc>
          <w:tcPr>
            <w:tcW w:w="1797" w:type="pct"/>
          </w:tcPr>
          <w:p w14:paraId="6C6E19C8"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Average annual variation in catch</w:t>
            </w:r>
          </w:p>
        </w:tc>
        <w:tc>
          <w:tcPr>
            <w:tcW w:w="690" w:type="pct"/>
          </w:tcPr>
          <w:p w14:paraId="56DFFAAD"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Y</w:t>
            </w:r>
          </w:p>
        </w:tc>
      </w:tr>
      <w:tr w:rsidR="00D52741" w:rsidRPr="004313F8" w14:paraId="3400084B" w14:textId="77777777" w:rsidTr="007C29E5">
        <w:trPr>
          <w:jc w:val="center"/>
        </w:trPr>
        <w:tc>
          <w:tcPr>
            <w:tcW w:w="253" w:type="pct"/>
          </w:tcPr>
          <w:p w14:paraId="52B7D678"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7</w:t>
            </w:r>
          </w:p>
        </w:tc>
        <w:tc>
          <w:tcPr>
            <w:tcW w:w="697" w:type="pct"/>
          </w:tcPr>
          <w:p w14:paraId="71AB96E0"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Economic</w:t>
            </w:r>
          </w:p>
        </w:tc>
        <w:tc>
          <w:tcPr>
            <w:tcW w:w="1563" w:type="pct"/>
          </w:tcPr>
          <w:p w14:paraId="5EC8150C"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Stability and continuity of market supply</w:t>
            </w:r>
          </w:p>
        </w:tc>
        <w:tc>
          <w:tcPr>
            <w:tcW w:w="1797" w:type="pct"/>
          </w:tcPr>
          <w:p w14:paraId="3CDC48FF"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Effort variation relative to reference period level (may also be calculated at the assessment region level)</w:t>
            </w:r>
          </w:p>
        </w:tc>
        <w:tc>
          <w:tcPr>
            <w:tcW w:w="690" w:type="pct"/>
          </w:tcPr>
          <w:p w14:paraId="69E93E18"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Y</w:t>
            </w:r>
          </w:p>
        </w:tc>
      </w:tr>
      <w:tr w:rsidR="00D52741" w:rsidRPr="004313F8" w14:paraId="563BB2EB" w14:textId="77777777" w:rsidTr="007C29E5">
        <w:trPr>
          <w:jc w:val="center"/>
        </w:trPr>
        <w:tc>
          <w:tcPr>
            <w:tcW w:w="253" w:type="pct"/>
          </w:tcPr>
          <w:p w14:paraId="004AFC78"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8</w:t>
            </w:r>
          </w:p>
        </w:tc>
        <w:tc>
          <w:tcPr>
            <w:tcW w:w="697" w:type="pct"/>
          </w:tcPr>
          <w:p w14:paraId="57C42530"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Economic</w:t>
            </w:r>
          </w:p>
        </w:tc>
        <w:tc>
          <w:tcPr>
            <w:tcW w:w="1563" w:type="pct"/>
          </w:tcPr>
          <w:p w14:paraId="1AD398FA"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Stability and continuity of market supply</w:t>
            </w:r>
          </w:p>
        </w:tc>
        <w:tc>
          <w:tcPr>
            <w:tcW w:w="1797" w:type="pct"/>
          </w:tcPr>
          <w:p w14:paraId="42A07E52"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Probability of and deviation from</w:t>
            </w:r>
          </w:p>
          <w:p w14:paraId="221ADEEA"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SB/SB</w:t>
            </w:r>
            <w:r w:rsidRPr="004313F8">
              <w:rPr>
                <w:rFonts w:eastAsiaTheme="minorEastAsia"/>
                <w:sz w:val="20"/>
                <w:szCs w:val="20"/>
                <w:vertAlign w:val="subscript"/>
                <w:lang w:eastAsia="ko-KR"/>
              </w:rPr>
              <w:t>F=0</w:t>
            </w:r>
            <w:r w:rsidRPr="004313F8">
              <w:rPr>
                <w:rFonts w:eastAsiaTheme="minorEastAsia"/>
                <w:sz w:val="20"/>
                <w:szCs w:val="20"/>
                <w:lang w:eastAsia="ko-KR"/>
              </w:rPr>
              <w:t xml:space="preserve"> &gt; 0.5 (SKJ) in the short-, medium- and long-term as determined from MSE (may also be calculated at the assessment region level)</w:t>
            </w:r>
          </w:p>
        </w:tc>
        <w:tc>
          <w:tcPr>
            <w:tcW w:w="690" w:type="pct"/>
          </w:tcPr>
          <w:p w14:paraId="7BE689A6"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Y</w:t>
            </w:r>
          </w:p>
        </w:tc>
      </w:tr>
      <w:tr w:rsidR="00D52741" w:rsidRPr="004313F8" w14:paraId="42F8B367" w14:textId="77777777" w:rsidTr="007C29E5">
        <w:trPr>
          <w:jc w:val="center"/>
        </w:trPr>
        <w:tc>
          <w:tcPr>
            <w:tcW w:w="253" w:type="pct"/>
          </w:tcPr>
          <w:p w14:paraId="4B4BC6E6"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9</w:t>
            </w:r>
          </w:p>
        </w:tc>
        <w:tc>
          <w:tcPr>
            <w:tcW w:w="697" w:type="pct"/>
          </w:tcPr>
          <w:p w14:paraId="351A441D"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Social</w:t>
            </w:r>
          </w:p>
        </w:tc>
        <w:tc>
          <w:tcPr>
            <w:tcW w:w="1563" w:type="pct"/>
          </w:tcPr>
          <w:p w14:paraId="4BB3EF37"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Food security in developing states (import replacement)</w:t>
            </w:r>
          </w:p>
        </w:tc>
        <w:tc>
          <w:tcPr>
            <w:tcW w:w="1797" w:type="pct"/>
          </w:tcPr>
          <w:p w14:paraId="50ECF349"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As a proxy: average proportion of CCMs catch to total catch for fisheries operating in specific regions</w:t>
            </w:r>
          </w:p>
        </w:tc>
        <w:tc>
          <w:tcPr>
            <w:tcW w:w="690" w:type="pct"/>
          </w:tcPr>
          <w:p w14:paraId="2D3E1D59"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N</w:t>
            </w:r>
          </w:p>
        </w:tc>
      </w:tr>
      <w:tr w:rsidR="00D52741" w:rsidRPr="004313F8" w14:paraId="490F3AAA" w14:textId="77777777" w:rsidTr="007C29E5">
        <w:trPr>
          <w:jc w:val="center"/>
        </w:trPr>
        <w:tc>
          <w:tcPr>
            <w:tcW w:w="253" w:type="pct"/>
          </w:tcPr>
          <w:p w14:paraId="5A07489D"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10</w:t>
            </w:r>
          </w:p>
        </w:tc>
        <w:tc>
          <w:tcPr>
            <w:tcW w:w="697" w:type="pct"/>
          </w:tcPr>
          <w:p w14:paraId="647992D6"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Social</w:t>
            </w:r>
          </w:p>
        </w:tc>
        <w:tc>
          <w:tcPr>
            <w:tcW w:w="1563" w:type="pct"/>
          </w:tcPr>
          <w:p w14:paraId="270319D9"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Avoid adverse impacts on small scale fishers</w:t>
            </w:r>
          </w:p>
        </w:tc>
        <w:tc>
          <w:tcPr>
            <w:tcW w:w="1797" w:type="pct"/>
          </w:tcPr>
          <w:p w14:paraId="3D036835"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 MSY of SKJ, BET, YFT</w:t>
            </w:r>
          </w:p>
          <w:p w14:paraId="46C192F1"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 Possible information on other competing fisheries targeting SKJ (may also be calculated at the assessment region level)</w:t>
            </w:r>
          </w:p>
          <w:p w14:paraId="0B2F11A7"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 Any additional information on other fisheries / species as possible</w:t>
            </w:r>
          </w:p>
        </w:tc>
        <w:tc>
          <w:tcPr>
            <w:tcW w:w="690" w:type="pct"/>
          </w:tcPr>
          <w:p w14:paraId="27C4EEF0"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N</w:t>
            </w:r>
          </w:p>
        </w:tc>
      </w:tr>
      <w:tr w:rsidR="00D52741" w:rsidRPr="004313F8" w14:paraId="5E4F8E2F" w14:textId="77777777" w:rsidTr="007C29E5">
        <w:trPr>
          <w:jc w:val="center"/>
        </w:trPr>
        <w:tc>
          <w:tcPr>
            <w:tcW w:w="253" w:type="pct"/>
          </w:tcPr>
          <w:p w14:paraId="684A5E8D"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11</w:t>
            </w:r>
          </w:p>
        </w:tc>
        <w:tc>
          <w:tcPr>
            <w:tcW w:w="697" w:type="pct"/>
          </w:tcPr>
          <w:p w14:paraId="081A3C6A"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Ecosystem</w:t>
            </w:r>
          </w:p>
        </w:tc>
        <w:tc>
          <w:tcPr>
            <w:tcW w:w="1563" w:type="pct"/>
          </w:tcPr>
          <w:p w14:paraId="718C6547"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Minimise bycatch</w:t>
            </w:r>
          </w:p>
        </w:tc>
        <w:tc>
          <w:tcPr>
            <w:tcW w:w="1797" w:type="pct"/>
          </w:tcPr>
          <w:p w14:paraId="32164C88"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Number of FAD sets; Expected catch of other species</w:t>
            </w:r>
          </w:p>
        </w:tc>
        <w:tc>
          <w:tcPr>
            <w:tcW w:w="690" w:type="pct"/>
          </w:tcPr>
          <w:p w14:paraId="1C82BB13" w14:textId="77777777" w:rsidR="00D52741" w:rsidRPr="004313F8" w:rsidRDefault="00D52741" w:rsidP="006633A8">
            <w:pPr>
              <w:adjustRightInd w:val="0"/>
              <w:snapToGrid w:val="0"/>
              <w:spacing w:after="0"/>
              <w:jc w:val="both"/>
              <w:rPr>
                <w:rFonts w:eastAsiaTheme="minorEastAsia"/>
                <w:sz w:val="20"/>
                <w:szCs w:val="20"/>
                <w:lang w:eastAsia="ko-KR"/>
              </w:rPr>
            </w:pPr>
            <w:r w:rsidRPr="004313F8">
              <w:rPr>
                <w:rFonts w:eastAsiaTheme="minorEastAsia"/>
                <w:sz w:val="20"/>
                <w:szCs w:val="20"/>
                <w:lang w:eastAsia="ko-KR"/>
              </w:rPr>
              <w:t>N</w:t>
            </w:r>
          </w:p>
        </w:tc>
      </w:tr>
    </w:tbl>
    <w:p w14:paraId="2D0E8973" w14:textId="77777777" w:rsidR="002E39E9" w:rsidRPr="004635E5" w:rsidRDefault="002E39E9" w:rsidP="006633A8">
      <w:pPr>
        <w:adjustRightInd w:val="0"/>
        <w:snapToGrid w:val="0"/>
        <w:jc w:val="both"/>
        <w:rPr>
          <w:rFonts w:eastAsiaTheme="minorEastAsia"/>
          <w:b/>
          <w:sz w:val="22"/>
          <w:szCs w:val="22"/>
          <w:lang w:eastAsia="ko-KR"/>
        </w:rPr>
      </w:pPr>
    </w:p>
    <w:p w14:paraId="21BBDB98" w14:textId="77777777" w:rsidR="00C35FEA" w:rsidRPr="004635E5" w:rsidRDefault="00C35FEA" w:rsidP="006633A8">
      <w:pPr>
        <w:adjustRightInd w:val="0"/>
        <w:snapToGrid w:val="0"/>
        <w:jc w:val="both"/>
        <w:rPr>
          <w:rFonts w:eastAsiaTheme="minorEastAsia"/>
          <w:b/>
          <w:sz w:val="22"/>
          <w:szCs w:val="22"/>
          <w:lang w:eastAsia="ko-KR"/>
        </w:rPr>
      </w:pPr>
      <w:r w:rsidRPr="004635E5">
        <w:rPr>
          <w:rFonts w:eastAsiaTheme="minorEastAsia"/>
          <w:b/>
          <w:sz w:val="22"/>
          <w:szCs w:val="22"/>
          <w:lang w:eastAsia="ko-KR"/>
        </w:rPr>
        <w:t xml:space="preserve">Discussion </w:t>
      </w:r>
    </w:p>
    <w:p w14:paraId="3EE40F64" w14:textId="77777777" w:rsidR="00A2648C" w:rsidRPr="004635E5" w:rsidRDefault="00A2648C" w:rsidP="006633A8">
      <w:pPr>
        <w:adjustRightInd w:val="0"/>
        <w:snapToGrid w:val="0"/>
        <w:jc w:val="both"/>
        <w:rPr>
          <w:rFonts w:eastAsiaTheme="minorEastAsia"/>
          <w:b/>
          <w:sz w:val="22"/>
          <w:szCs w:val="22"/>
          <w:lang w:eastAsia="ko-KR"/>
        </w:rPr>
      </w:pPr>
    </w:p>
    <w:p w14:paraId="4E2F3982" w14:textId="77777777" w:rsidR="007050AB" w:rsidRDefault="003C0256"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Chinese Taipei commented that to </w:t>
      </w:r>
      <w:r w:rsidR="007050AB" w:rsidRPr="004635E5">
        <w:rPr>
          <w:rFonts w:eastAsiaTheme="minorEastAsia"/>
          <w:sz w:val="22"/>
          <w:szCs w:val="22"/>
          <w:lang w:val="en-NZ" w:eastAsia="ko-KR"/>
        </w:rPr>
        <w:t>consider the econ</w:t>
      </w:r>
      <w:r w:rsidR="00D3668F" w:rsidRPr="004635E5">
        <w:rPr>
          <w:rFonts w:eastAsiaTheme="minorEastAsia"/>
          <w:sz w:val="22"/>
          <w:szCs w:val="22"/>
          <w:lang w:val="en-NZ" w:eastAsia="ko-KR"/>
        </w:rPr>
        <w:t>omic</w:t>
      </w:r>
      <w:r w:rsidR="007050AB" w:rsidRPr="004635E5">
        <w:rPr>
          <w:rFonts w:eastAsiaTheme="minorEastAsia"/>
          <w:sz w:val="22"/>
          <w:szCs w:val="22"/>
          <w:lang w:val="en-NZ" w:eastAsia="ko-KR"/>
        </w:rPr>
        <w:t xml:space="preserve"> obj</w:t>
      </w:r>
      <w:r w:rsidRPr="004635E5">
        <w:rPr>
          <w:rFonts w:eastAsiaTheme="minorEastAsia"/>
          <w:sz w:val="22"/>
          <w:szCs w:val="22"/>
          <w:lang w:val="en-NZ" w:eastAsia="ko-KR"/>
        </w:rPr>
        <w:t>ective</w:t>
      </w:r>
      <w:r w:rsidR="00D3668F" w:rsidRPr="004635E5">
        <w:rPr>
          <w:rFonts w:eastAsiaTheme="minorEastAsia"/>
          <w:sz w:val="22"/>
          <w:szCs w:val="22"/>
          <w:lang w:val="en-NZ" w:eastAsia="ko-KR"/>
        </w:rPr>
        <w:t>s</w:t>
      </w:r>
      <w:r w:rsidRPr="004635E5">
        <w:rPr>
          <w:rFonts w:eastAsiaTheme="minorEastAsia"/>
          <w:sz w:val="22"/>
          <w:szCs w:val="22"/>
          <w:lang w:val="en-NZ" w:eastAsia="ko-KR"/>
        </w:rPr>
        <w:t xml:space="preserve"> it was necessary to consider </w:t>
      </w:r>
      <w:r w:rsidR="007050AB" w:rsidRPr="004635E5">
        <w:rPr>
          <w:rFonts w:eastAsiaTheme="minorEastAsia"/>
          <w:sz w:val="22"/>
          <w:szCs w:val="22"/>
          <w:lang w:val="en-NZ" w:eastAsia="ko-KR"/>
        </w:rPr>
        <w:t xml:space="preserve">price. </w:t>
      </w:r>
      <w:r w:rsidR="00D3668F" w:rsidRPr="004635E5">
        <w:rPr>
          <w:rFonts w:eastAsiaTheme="minorEastAsia"/>
          <w:sz w:val="22"/>
          <w:szCs w:val="22"/>
          <w:lang w:val="en-NZ" w:eastAsia="ko-KR"/>
        </w:rPr>
        <w:t>R</w:t>
      </w:r>
      <w:r w:rsidRPr="004635E5">
        <w:rPr>
          <w:rFonts w:eastAsiaTheme="minorEastAsia"/>
          <w:sz w:val="22"/>
          <w:szCs w:val="22"/>
          <w:lang w:val="en-NZ" w:eastAsia="ko-KR"/>
        </w:rPr>
        <w:t xml:space="preserve">eferring to the “maximize </w:t>
      </w:r>
      <w:r w:rsidR="007050AB" w:rsidRPr="004635E5">
        <w:rPr>
          <w:rFonts w:eastAsiaTheme="minorEastAsia"/>
          <w:sz w:val="22"/>
          <w:szCs w:val="22"/>
          <w:lang w:val="en-NZ" w:eastAsia="ko-KR"/>
        </w:rPr>
        <w:t xml:space="preserve">SIDS </w:t>
      </w:r>
      <w:r w:rsidRPr="004635E5">
        <w:rPr>
          <w:rFonts w:eastAsiaTheme="minorEastAsia"/>
          <w:sz w:val="22"/>
          <w:szCs w:val="22"/>
          <w:lang w:val="en-NZ" w:eastAsia="ko-KR"/>
        </w:rPr>
        <w:t xml:space="preserve">revenue” parameter, </w:t>
      </w:r>
      <w:r w:rsidR="0041022C" w:rsidRPr="004635E5">
        <w:rPr>
          <w:rFonts w:eastAsiaTheme="minorEastAsia"/>
          <w:sz w:val="22"/>
          <w:szCs w:val="22"/>
          <w:lang w:val="en-NZ" w:eastAsia="ko-KR"/>
        </w:rPr>
        <w:t xml:space="preserve">they </w:t>
      </w:r>
      <w:r w:rsidRPr="004635E5">
        <w:rPr>
          <w:rFonts w:eastAsiaTheme="minorEastAsia"/>
          <w:sz w:val="22"/>
          <w:szCs w:val="22"/>
          <w:lang w:val="en-NZ" w:eastAsia="ko-KR"/>
        </w:rPr>
        <w:t xml:space="preserve">questioned whether this referred to domestic </w:t>
      </w:r>
      <w:r w:rsidR="007050AB" w:rsidRPr="004635E5">
        <w:rPr>
          <w:rFonts w:eastAsiaTheme="minorEastAsia"/>
          <w:sz w:val="22"/>
          <w:szCs w:val="22"/>
          <w:lang w:val="en-NZ" w:eastAsia="ko-KR"/>
        </w:rPr>
        <w:t>fishery</w:t>
      </w:r>
      <w:r w:rsidRPr="004635E5">
        <w:rPr>
          <w:rFonts w:eastAsiaTheme="minorEastAsia"/>
          <w:sz w:val="22"/>
          <w:szCs w:val="22"/>
          <w:lang w:val="en-NZ" w:eastAsia="ko-KR"/>
        </w:rPr>
        <w:t xml:space="preserve"> revenues, </w:t>
      </w:r>
      <w:r w:rsidR="007050AB" w:rsidRPr="004635E5">
        <w:rPr>
          <w:rFonts w:eastAsiaTheme="minorEastAsia"/>
          <w:sz w:val="22"/>
          <w:szCs w:val="22"/>
          <w:lang w:val="en-NZ" w:eastAsia="ko-KR"/>
        </w:rPr>
        <w:t>or resource rent from</w:t>
      </w:r>
      <w:r w:rsidRPr="004635E5">
        <w:rPr>
          <w:rFonts w:eastAsiaTheme="minorEastAsia"/>
          <w:sz w:val="22"/>
          <w:szCs w:val="22"/>
          <w:lang w:val="en-NZ" w:eastAsia="ko-KR"/>
        </w:rPr>
        <w:t xml:space="preserve"> </w:t>
      </w:r>
      <w:r w:rsidR="007050AB" w:rsidRPr="004635E5">
        <w:rPr>
          <w:rFonts w:eastAsiaTheme="minorEastAsia"/>
          <w:sz w:val="22"/>
          <w:szCs w:val="22"/>
          <w:lang w:val="en-NZ" w:eastAsia="ko-KR"/>
        </w:rPr>
        <w:t>DWFN</w:t>
      </w:r>
      <w:r w:rsidRPr="004635E5">
        <w:rPr>
          <w:rFonts w:eastAsiaTheme="minorEastAsia"/>
          <w:sz w:val="22"/>
          <w:szCs w:val="22"/>
          <w:lang w:val="en-NZ" w:eastAsia="ko-KR"/>
        </w:rPr>
        <w:t xml:space="preserve">s. </w:t>
      </w:r>
      <w:r w:rsidR="007050AB" w:rsidRPr="004635E5">
        <w:rPr>
          <w:rFonts w:eastAsiaTheme="minorEastAsia"/>
          <w:sz w:val="22"/>
          <w:szCs w:val="22"/>
          <w:lang w:val="en-NZ" w:eastAsia="ko-KR"/>
        </w:rPr>
        <w:t>SPC</w:t>
      </w:r>
      <w:r w:rsidRPr="004635E5">
        <w:rPr>
          <w:rFonts w:eastAsiaTheme="minorEastAsia"/>
          <w:sz w:val="22"/>
          <w:szCs w:val="22"/>
          <w:lang w:val="en-NZ" w:eastAsia="ko-KR"/>
        </w:rPr>
        <w:t xml:space="preserve"> noted this</w:t>
      </w:r>
      <w:r w:rsidR="007050AB" w:rsidRPr="004635E5">
        <w:rPr>
          <w:rFonts w:eastAsiaTheme="minorEastAsia"/>
          <w:sz w:val="22"/>
          <w:szCs w:val="22"/>
          <w:lang w:val="en-NZ" w:eastAsia="ko-KR"/>
        </w:rPr>
        <w:t xml:space="preserve"> wasn’t calc</w:t>
      </w:r>
      <w:r w:rsidRPr="004635E5">
        <w:rPr>
          <w:rFonts w:eastAsiaTheme="minorEastAsia"/>
          <w:sz w:val="22"/>
          <w:szCs w:val="22"/>
          <w:lang w:val="en-NZ" w:eastAsia="ko-KR"/>
        </w:rPr>
        <w:t>ulated</w:t>
      </w:r>
      <w:r w:rsidR="007050AB" w:rsidRPr="004635E5">
        <w:rPr>
          <w:rFonts w:eastAsiaTheme="minorEastAsia"/>
          <w:sz w:val="22"/>
          <w:szCs w:val="22"/>
          <w:lang w:val="en-NZ" w:eastAsia="ko-KR"/>
        </w:rPr>
        <w:t xml:space="preserve"> using the pro</w:t>
      </w:r>
      <w:r w:rsidRPr="004635E5">
        <w:rPr>
          <w:rFonts w:eastAsiaTheme="minorEastAsia"/>
          <w:sz w:val="22"/>
          <w:szCs w:val="22"/>
          <w:lang w:val="en-NZ" w:eastAsia="ko-KR"/>
        </w:rPr>
        <w:t>po</w:t>
      </w:r>
      <w:r w:rsidR="007050AB" w:rsidRPr="004635E5">
        <w:rPr>
          <w:rFonts w:eastAsiaTheme="minorEastAsia"/>
          <w:sz w:val="22"/>
          <w:szCs w:val="22"/>
          <w:lang w:val="en-NZ" w:eastAsia="ko-KR"/>
        </w:rPr>
        <w:t>sed indicator</w:t>
      </w:r>
      <w:r w:rsidRPr="004635E5">
        <w:rPr>
          <w:rFonts w:eastAsiaTheme="minorEastAsia"/>
          <w:sz w:val="22"/>
          <w:szCs w:val="22"/>
          <w:lang w:val="en-NZ" w:eastAsia="ko-KR"/>
        </w:rPr>
        <w:t xml:space="preserve"> but needed</w:t>
      </w:r>
      <w:r w:rsidR="007050AB" w:rsidRPr="004635E5">
        <w:rPr>
          <w:rFonts w:eastAsiaTheme="minorEastAsia"/>
          <w:sz w:val="22"/>
          <w:szCs w:val="22"/>
          <w:lang w:val="en-NZ" w:eastAsia="ko-KR"/>
        </w:rPr>
        <w:t xml:space="preserve"> to be</w:t>
      </w:r>
      <w:r w:rsidRPr="004635E5">
        <w:rPr>
          <w:rFonts w:eastAsiaTheme="minorEastAsia"/>
          <w:sz w:val="22"/>
          <w:szCs w:val="22"/>
          <w:lang w:val="en-NZ" w:eastAsia="ko-KR"/>
        </w:rPr>
        <w:t xml:space="preserve"> clarified. </w:t>
      </w:r>
    </w:p>
    <w:p w14:paraId="04BE0353" w14:textId="77777777" w:rsidR="00812008" w:rsidRPr="004635E5" w:rsidRDefault="00812008" w:rsidP="00812008">
      <w:pPr>
        <w:autoSpaceDE w:val="0"/>
        <w:autoSpaceDN w:val="0"/>
        <w:adjustRightInd w:val="0"/>
        <w:snapToGrid w:val="0"/>
        <w:jc w:val="both"/>
        <w:rPr>
          <w:rFonts w:eastAsiaTheme="minorEastAsia"/>
          <w:sz w:val="22"/>
          <w:szCs w:val="22"/>
          <w:lang w:val="en-NZ" w:eastAsia="ko-KR"/>
        </w:rPr>
      </w:pPr>
    </w:p>
    <w:p w14:paraId="08924B7E" w14:textId="77777777" w:rsidR="00344DD1" w:rsidRPr="004635E5" w:rsidRDefault="0041022C"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eastAsia="ko-KR"/>
        </w:rPr>
        <w:t xml:space="preserve">In response to clarification requested for PI-10 (to minimise adverse impacts on other fisheries), USA noted that their proposal for this objective presented to WCPFC13 was that it should be monitored through changes in MSY levels for the target tuna species. They noted that this had been included in Attached M of the WCPFC13 Summary Report. </w:t>
      </w:r>
    </w:p>
    <w:p w14:paraId="6F66C70F"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54EF83AF" w14:textId="77777777" w:rsidR="00556E1A" w:rsidRPr="004635E5" w:rsidRDefault="00344DD1"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J</w:t>
      </w:r>
      <w:r w:rsidR="004A7A26" w:rsidRPr="004635E5">
        <w:rPr>
          <w:rFonts w:eastAsiaTheme="minorEastAsia"/>
          <w:sz w:val="22"/>
          <w:szCs w:val="22"/>
          <w:lang w:val="en-NZ" w:eastAsia="ko-KR"/>
        </w:rPr>
        <w:t>apan referred to several</w:t>
      </w:r>
      <w:r w:rsidRPr="004635E5">
        <w:rPr>
          <w:rFonts w:eastAsiaTheme="minorEastAsia"/>
          <w:sz w:val="22"/>
          <w:szCs w:val="22"/>
          <w:lang w:val="en-NZ" w:eastAsia="ko-KR"/>
        </w:rPr>
        <w:t xml:space="preserve"> </w:t>
      </w:r>
      <w:r w:rsidR="004A7A26" w:rsidRPr="004635E5">
        <w:rPr>
          <w:rFonts w:eastAsiaTheme="minorEastAsia"/>
          <w:sz w:val="22"/>
          <w:szCs w:val="22"/>
          <w:lang w:val="en-NZ" w:eastAsia="ko-KR"/>
        </w:rPr>
        <w:t>i</w:t>
      </w:r>
      <w:r w:rsidRPr="004635E5">
        <w:rPr>
          <w:rFonts w:eastAsiaTheme="minorEastAsia"/>
          <w:sz w:val="22"/>
          <w:szCs w:val="22"/>
          <w:lang w:val="en-NZ" w:eastAsia="ko-KR"/>
        </w:rPr>
        <w:t>nd</w:t>
      </w:r>
      <w:r w:rsidR="004A7A26" w:rsidRPr="004635E5">
        <w:rPr>
          <w:rFonts w:eastAsiaTheme="minorEastAsia"/>
          <w:sz w:val="22"/>
          <w:szCs w:val="22"/>
          <w:lang w:val="en-NZ" w:eastAsia="ko-KR"/>
        </w:rPr>
        <w:t>i</w:t>
      </w:r>
      <w:r w:rsidRPr="004635E5">
        <w:rPr>
          <w:rFonts w:eastAsiaTheme="minorEastAsia"/>
          <w:sz w:val="22"/>
          <w:szCs w:val="22"/>
          <w:lang w:val="en-NZ" w:eastAsia="ko-KR"/>
        </w:rPr>
        <w:t>cator</w:t>
      </w:r>
      <w:r w:rsidR="004A7A26" w:rsidRPr="004635E5">
        <w:rPr>
          <w:rFonts w:eastAsiaTheme="minorEastAsia"/>
          <w:sz w:val="22"/>
          <w:szCs w:val="22"/>
          <w:lang w:val="en-NZ" w:eastAsia="ko-KR"/>
        </w:rPr>
        <w:t xml:space="preserve">s. Regarding </w:t>
      </w:r>
      <w:r w:rsidR="0041022C" w:rsidRPr="004635E5">
        <w:rPr>
          <w:rFonts w:eastAsiaTheme="minorEastAsia"/>
          <w:sz w:val="22"/>
          <w:szCs w:val="22"/>
          <w:lang w:val="en-NZ" w:eastAsia="ko-KR"/>
        </w:rPr>
        <w:t>PI-</w:t>
      </w:r>
      <w:r w:rsidRPr="004635E5">
        <w:rPr>
          <w:rFonts w:eastAsiaTheme="minorEastAsia"/>
          <w:sz w:val="22"/>
          <w:szCs w:val="22"/>
          <w:lang w:val="en-NZ" w:eastAsia="ko-KR"/>
        </w:rPr>
        <w:t>3</w:t>
      </w:r>
      <w:r w:rsidR="004A7A26" w:rsidRPr="004635E5">
        <w:rPr>
          <w:rFonts w:eastAsiaTheme="minorEastAsia"/>
          <w:sz w:val="22"/>
          <w:szCs w:val="22"/>
          <w:lang w:val="en-NZ" w:eastAsia="ko-KR"/>
        </w:rPr>
        <w:t>,</w:t>
      </w:r>
      <w:r w:rsidRPr="004635E5">
        <w:rPr>
          <w:rFonts w:eastAsiaTheme="minorEastAsia"/>
          <w:sz w:val="22"/>
          <w:szCs w:val="22"/>
          <w:lang w:val="en-NZ" w:eastAsia="ko-KR"/>
        </w:rPr>
        <w:t xml:space="preserve"> </w:t>
      </w:r>
      <w:r w:rsidR="0041022C" w:rsidRPr="004635E5">
        <w:rPr>
          <w:rFonts w:eastAsiaTheme="minorEastAsia"/>
          <w:sz w:val="22"/>
          <w:szCs w:val="22"/>
          <w:lang w:val="en-NZ" w:eastAsia="ko-KR"/>
        </w:rPr>
        <w:t xml:space="preserve">they noted that </w:t>
      </w:r>
      <w:r w:rsidR="004A7A26" w:rsidRPr="004635E5">
        <w:rPr>
          <w:rFonts w:eastAsiaTheme="minorEastAsia"/>
          <w:sz w:val="22"/>
          <w:szCs w:val="22"/>
          <w:lang w:val="en-NZ" w:eastAsia="ko-KR"/>
        </w:rPr>
        <w:t xml:space="preserve">it </w:t>
      </w:r>
      <w:r w:rsidR="0041022C" w:rsidRPr="004635E5">
        <w:rPr>
          <w:rFonts w:eastAsiaTheme="minorEastAsia"/>
          <w:sz w:val="22"/>
          <w:szCs w:val="22"/>
          <w:lang w:val="en-NZ" w:eastAsia="ko-KR"/>
        </w:rPr>
        <w:t xml:space="preserve">would be </w:t>
      </w:r>
      <w:r w:rsidRPr="004635E5">
        <w:rPr>
          <w:rFonts w:eastAsiaTheme="minorEastAsia"/>
          <w:sz w:val="22"/>
          <w:szCs w:val="22"/>
          <w:lang w:val="en-NZ" w:eastAsia="ko-KR"/>
        </w:rPr>
        <w:t>imp</w:t>
      </w:r>
      <w:r w:rsidR="004A7A26" w:rsidRPr="004635E5">
        <w:rPr>
          <w:rFonts w:eastAsiaTheme="minorEastAsia"/>
          <w:sz w:val="22"/>
          <w:szCs w:val="22"/>
          <w:lang w:val="en-NZ" w:eastAsia="ko-KR"/>
        </w:rPr>
        <w:t xml:space="preserve">ortant </w:t>
      </w:r>
      <w:r w:rsidRPr="004635E5">
        <w:rPr>
          <w:rFonts w:eastAsiaTheme="minorEastAsia"/>
          <w:sz w:val="22"/>
          <w:szCs w:val="22"/>
          <w:lang w:val="en-NZ" w:eastAsia="ko-KR"/>
        </w:rPr>
        <w:t>that c</w:t>
      </w:r>
      <w:r w:rsidR="004A7A26" w:rsidRPr="004635E5">
        <w:rPr>
          <w:rFonts w:eastAsiaTheme="minorEastAsia"/>
          <w:sz w:val="22"/>
          <w:szCs w:val="22"/>
          <w:lang w:val="en-NZ" w:eastAsia="ko-KR"/>
        </w:rPr>
        <w:t>a</w:t>
      </w:r>
      <w:r w:rsidRPr="004635E5">
        <w:rPr>
          <w:rFonts w:eastAsiaTheme="minorEastAsia"/>
          <w:sz w:val="22"/>
          <w:szCs w:val="22"/>
          <w:lang w:val="en-NZ" w:eastAsia="ko-KR"/>
        </w:rPr>
        <w:t>tch can be calculated by area</w:t>
      </w:r>
      <w:r w:rsidR="0041022C" w:rsidRPr="004635E5">
        <w:rPr>
          <w:rFonts w:eastAsiaTheme="minorEastAsia"/>
          <w:sz w:val="22"/>
          <w:szCs w:val="22"/>
          <w:lang w:val="en-NZ" w:eastAsia="ko-KR"/>
        </w:rPr>
        <w:t>; SPC replied that this could be done. Regarding PI-</w:t>
      </w:r>
      <w:r w:rsidRPr="004635E5">
        <w:rPr>
          <w:rFonts w:eastAsiaTheme="minorEastAsia"/>
          <w:sz w:val="22"/>
          <w:szCs w:val="22"/>
          <w:lang w:val="en-NZ" w:eastAsia="ko-KR"/>
        </w:rPr>
        <w:t>7</w:t>
      </w:r>
      <w:r w:rsidR="0041022C" w:rsidRPr="004635E5">
        <w:rPr>
          <w:rFonts w:eastAsiaTheme="minorEastAsia"/>
          <w:sz w:val="22"/>
          <w:szCs w:val="22"/>
          <w:lang w:val="en-NZ" w:eastAsia="ko-KR"/>
        </w:rPr>
        <w:t xml:space="preserve"> (</w:t>
      </w:r>
      <w:r w:rsidRPr="004635E5">
        <w:rPr>
          <w:rFonts w:eastAsiaTheme="minorEastAsia"/>
          <w:sz w:val="22"/>
          <w:szCs w:val="22"/>
          <w:lang w:val="en-NZ" w:eastAsia="ko-KR"/>
        </w:rPr>
        <w:t>stab</w:t>
      </w:r>
      <w:r w:rsidR="004A7A26" w:rsidRPr="004635E5">
        <w:rPr>
          <w:rFonts w:eastAsiaTheme="minorEastAsia"/>
          <w:sz w:val="22"/>
          <w:szCs w:val="22"/>
          <w:lang w:val="en-NZ" w:eastAsia="ko-KR"/>
        </w:rPr>
        <w:t>ility</w:t>
      </w:r>
      <w:r w:rsidRPr="004635E5">
        <w:rPr>
          <w:rFonts w:eastAsiaTheme="minorEastAsia"/>
          <w:sz w:val="22"/>
          <w:szCs w:val="22"/>
          <w:lang w:val="en-NZ" w:eastAsia="ko-KR"/>
        </w:rPr>
        <w:t xml:space="preserve"> of </w:t>
      </w:r>
      <w:r w:rsidR="004A7A26" w:rsidRPr="004635E5">
        <w:rPr>
          <w:rFonts w:eastAsiaTheme="minorEastAsia"/>
          <w:sz w:val="22"/>
          <w:szCs w:val="22"/>
          <w:lang w:val="en-NZ" w:eastAsia="ko-KR"/>
        </w:rPr>
        <w:t>market sup</w:t>
      </w:r>
      <w:r w:rsidRPr="004635E5">
        <w:rPr>
          <w:rFonts w:eastAsiaTheme="minorEastAsia"/>
          <w:sz w:val="22"/>
          <w:szCs w:val="22"/>
          <w:lang w:val="en-NZ" w:eastAsia="ko-KR"/>
        </w:rPr>
        <w:t>ply</w:t>
      </w:r>
      <w:r w:rsidR="0041022C" w:rsidRPr="004635E5">
        <w:rPr>
          <w:rFonts w:eastAsiaTheme="minorEastAsia"/>
          <w:sz w:val="22"/>
          <w:szCs w:val="22"/>
          <w:lang w:val="en-NZ" w:eastAsia="ko-KR"/>
        </w:rPr>
        <w:t>) Japan observed that while the indicator was related to effort variation, but s</w:t>
      </w:r>
      <w:r w:rsidRPr="004635E5">
        <w:rPr>
          <w:rFonts w:eastAsiaTheme="minorEastAsia"/>
          <w:sz w:val="22"/>
          <w:szCs w:val="22"/>
          <w:lang w:val="en-NZ" w:eastAsia="ko-KR"/>
        </w:rPr>
        <w:t>tab</w:t>
      </w:r>
      <w:r w:rsidR="004A7A26" w:rsidRPr="004635E5">
        <w:rPr>
          <w:rFonts w:eastAsiaTheme="minorEastAsia"/>
          <w:sz w:val="22"/>
          <w:szCs w:val="22"/>
          <w:lang w:val="en-NZ" w:eastAsia="ko-KR"/>
        </w:rPr>
        <w:t>ility</w:t>
      </w:r>
      <w:r w:rsidRPr="004635E5">
        <w:rPr>
          <w:rFonts w:eastAsiaTheme="minorEastAsia"/>
          <w:sz w:val="22"/>
          <w:szCs w:val="22"/>
          <w:lang w:val="en-NZ" w:eastAsia="ko-KR"/>
        </w:rPr>
        <w:t xml:space="preserve"> of </w:t>
      </w:r>
      <w:r w:rsidR="004A7A26" w:rsidRPr="004635E5">
        <w:rPr>
          <w:rFonts w:eastAsiaTheme="minorEastAsia"/>
          <w:sz w:val="22"/>
          <w:szCs w:val="22"/>
          <w:lang w:val="en-NZ" w:eastAsia="ko-KR"/>
        </w:rPr>
        <w:t xml:space="preserve">market </w:t>
      </w:r>
      <w:r w:rsidRPr="004635E5">
        <w:rPr>
          <w:rFonts w:eastAsiaTheme="minorEastAsia"/>
          <w:sz w:val="22"/>
          <w:szCs w:val="22"/>
          <w:lang w:val="en-NZ" w:eastAsia="ko-KR"/>
        </w:rPr>
        <w:t xml:space="preserve">supply </w:t>
      </w:r>
      <w:r w:rsidR="0041022C" w:rsidRPr="004635E5">
        <w:rPr>
          <w:rFonts w:eastAsiaTheme="minorEastAsia"/>
          <w:sz w:val="22"/>
          <w:szCs w:val="22"/>
          <w:lang w:val="en-NZ" w:eastAsia="ko-KR"/>
        </w:rPr>
        <w:t>actually related</w:t>
      </w:r>
      <w:r w:rsidRPr="004635E5">
        <w:rPr>
          <w:rFonts w:eastAsiaTheme="minorEastAsia"/>
          <w:sz w:val="22"/>
          <w:szCs w:val="22"/>
          <w:lang w:val="en-NZ" w:eastAsia="ko-KR"/>
        </w:rPr>
        <w:t xml:space="preserve"> </w:t>
      </w:r>
      <w:r w:rsidR="004A7A26" w:rsidRPr="004635E5">
        <w:rPr>
          <w:rFonts w:eastAsiaTheme="minorEastAsia"/>
          <w:sz w:val="22"/>
          <w:szCs w:val="22"/>
          <w:lang w:val="en-NZ" w:eastAsia="ko-KR"/>
        </w:rPr>
        <w:t xml:space="preserve">to </w:t>
      </w:r>
      <w:r w:rsidRPr="004635E5">
        <w:rPr>
          <w:rFonts w:eastAsiaTheme="minorEastAsia"/>
          <w:sz w:val="22"/>
          <w:szCs w:val="22"/>
          <w:lang w:val="en-NZ" w:eastAsia="ko-KR"/>
        </w:rPr>
        <w:t>catch</w:t>
      </w:r>
      <w:r w:rsidR="0041022C" w:rsidRPr="004635E5">
        <w:rPr>
          <w:rFonts w:eastAsiaTheme="minorEastAsia"/>
          <w:sz w:val="22"/>
          <w:szCs w:val="22"/>
          <w:lang w:val="en-NZ" w:eastAsia="ko-KR"/>
        </w:rPr>
        <w:t xml:space="preserve">, and that variability in catch would be more appropriate. However, noting that </w:t>
      </w:r>
      <w:r w:rsidRPr="004635E5">
        <w:rPr>
          <w:rFonts w:eastAsiaTheme="minorEastAsia"/>
          <w:sz w:val="22"/>
          <w:szCs w:val="22"/>
          <w:lang w:val="en-NZ" w:eastAsia="ko-KR"/>
        </w:rPr>
        <w:t xml:space="preserve">catch </w:t>
      </w:r>
      <w:r w:rsidR="004A7A26" w:rsidRPr="004635E5">
        <w:rPr>
          <w:rFonts w:eastAsiaTheme="minorEastAsia"/>
          <w:sz w:val="22"/>
          <w:szCs w:val="22"/>
          <w:lang w:val="en-NZ" w:eastAsia="ko-KR"/>
        </w:rPr>
        <w:t>va</w:t>
      </w:r>
      <w:r w:rsidRPr="004635E5">
        <w:rPr>
          <w:rFonts w:eastAsiaTheme="minorEastAsia"/>
          <w:sz w:val="22"/>
          <w:szCs w:val="22"/>
          <w:lang w:val="en-NZ" w:eastAsia="ko-KR"/>
        </w:rPr>
        <w:t>riabil</w:t>
      </w:r>
      <w:r w:rsidR="004A7A26" w:rsidRPr="004635E5">
        <w:rPr>
          <w:rFonts w:eastAsiaTheme="minorEastAsia"/>
          <w:sz w:val="22"/>
          <w:szCs w:val="22"/>
          <w:lang w:val="en-NZ" w:eastAsia="ko-KR"/>
        </w:rPr>
        <w:t>i</w:t>
      </w:r>
      <w:r w:rsidRPr="004635E5">
        <w:rPr>
          <w:rFonts w:eastAsiaTheme="minorEastAsia"/>
          <w:sz w:val="22"/>
          <w:szCs w:val="22"/>
          <w:lang w:val="en-NZ" w:eastAsia="ko-KR"/>
        </w:rPr>
        <w:t xml:space="preserve">ty is </w:t>
      </w:r>
      <w:r w:rsidR="0041022C" w:rsidRPr="004635E5">
        <w:rPr>
          <w:rFonts w:eastAsiaTheme="minorEastAsia"/>
          <w:sz w:val="22"/>
          <w:szCs w:val="22"/>
          <w:lang w:val="en-NZ" w:eastAsia="ko-KR"/>
        </w:rPr>
        <w:t>the same as</w:t>
      </w:r>
      <w:r w:rsidR="004A7A26" w:rsidRPr="004635E5">
        <w:rPr>
          <w:rFonts w:eastAsiaTheme="minorEastAsia"/>
          <w:sz w:val="22"/>
          <w:szCs w:val="22"/>
          <w:lang w:val="en-NZ" w:eastAsia="ko-KR"/>
        </w:rPr>
        <w:t xml:space="preserve"> </w:t>
      </w:r>
      <w:r w:rsidR="0041022C" w:rsidRPr="004635E5">
        <w:rPr>
          <w:rFonts w:eastAsiaTheme="minorEastAsia"/>
          <w:sz w:val="22"/>
          <w:szCs w:val="22"/>
          <w:lang w:val="en-NZ" w:eastAsia="ko-KR"/>
        </w:rPr>
        <w:t>PI-6, perhaps P.I.-7</w:t>
      </w:r>
      <w:r w:rsidRPr="004635E5">
        <w:rPr>
          <w:rFonts w:eastAsiaTheme="minorEastAsia"/>
          <w:sz w:val="22"/>
          <w:szCs w:val="22"/>
          <w:lang w:val="en-NZ" w:eastAsia="ko-KR"/>
        </w:rPr>
        <w:t xml:space="preserve"> </w:t>
      </w:r>
      <w:r w:rsidR="004A7A26" w:rsidRPr="004635E5">
        <w:rPr>
          <w:rFonts w:eastAsiaTheme="minorEastAsia"/>
          <w:sz w:val="22"/>
          <w:szCs w:val="22"/>
          <w:lang w:val="en-NZ" w:eastAsia="ko-KR"/>
        </w:rPr>
        <w:t xml:space="preserve">is </w:t>
      </w:r>
      <w:r w:rsidRPr="004635E5">
        <w:rPr>
          <w:rFonts w:eastAsiaTheme="minorEastAsia"/>
          <w:sz w:val="22"/>
          <w:szCs w:val="22"/>
          <w:lang w:val="en-NZ" w:eastAsia="ko-KR"/>
        </w:rPr>
        <w:t>not needed. Re</w:t>
      </w:r>
      <w:r w:rsidR="004A7A26" w:rsidRPr="004635E5">
        <w:rPr>
          <w:rFonts w:eastAsiaTheme="minorEastAsia"/>
          <w:sz w:val="22"/>
          <w:szCs w:val="22"/>
          <w:lang w:val="en-NZ" w:eastAsia="ko-KR"/>
        </w:rPr>
        <w:t xml:space="preserve">garding </w:t>
      </w:r>
      <w:r w:rsidR="0041022C" w:rsidRPr="004635E5">
        <w:rPr>
          <w:rFonts w:eastAsiaTheme="minorEastAsia"/>
          <w:sz w:val="22"/>
          <w:szCs w:val="22"/>
          <w:lang w:val="en-NZ" w:eastAsia="ko-KR"/>
        </w:rPr>
        <w:t>PI-</w:t>
      </w:r>
      <w:r w:rsidRPr="004635E5">
        <w:rPr>
          <w:rFonts w:eastAsiaTheme="minorEastAsia"/>
          <w:sz w:val="22"/>
          <w:szCs w:val="22"/>
          <w:lang w:val="en-NZ" w:eastAsia="ko-KR"/>
        </w:rPr>
        <w:t xml:space="preserve">8, </w:t>
      </w:r>
      <w:r w:rsidR="0041022C" w:rsidRPr="004635E5">
        <w:rPr>
          <w:rFonts w:eastAsiaTheme="minorEastAsia"/>
          <w:sz w:val="22"/>
          <w:szCs w:val="22"/>
          <w:lang w:val="en-NZ" w:eastAsia="ko-KR"/>
        </w:rPr>
        <w:t xml:space="preserve">Japan noted that an indicator </w:t>
      </w:r>
      <w:r w:rsidRPr="004635E5">
        <w:rPr>
          <w:rFonts w:eastAsiaTheme="minorEastAsia"/>
          <w:sz w:val="22"/>
          <w:szCs w:val="22"/>
          <w:lang w:val="en-NZ" w:eastAsia="ko-KR"/>
        </w:rPr>
        <w:t xml:space="preserve">related to </w:t>
      </w:r>
      <w:r w:rsidR="0041022C" w:rsidRPr="004635E5">
        <w:rPr>
          <w:rFonts w:eastAsiaTheme="minorEastAsia"/>
          <w:sz w:val="22"/>
          <w:szCs w:val="22"/>
          <w:lang w:val="en-NZ" w:eastAsia="ko-KR"/>
        </w:rPr>
        <w:t xml:space="preserve">achieving the </w:t>
      </w:r>
      <w:r w:rsidRPr="004635E5">
        <w:rPr>
          <w:rFonts w:eastAsiaTheme="minorEastAsia"/>
          <w:sz w:val="22"/>
          <w:szCs w:val="22"/>
          <w:lang w:val="en-NZ" w:eastAsia="ko-KR"/>
        </w:rPr>
        <w:t>target level</w:t>
      </w:r>
      <w:r w:rsidR="005D38E7" w:rsidRPr="004635E5">
        <w:rPr>
          <w:rFonts w:eastAsiaTheme="minorEastAsia"/>
          <w:sz w:val="22"/>
          <w:szCs w:val="22"/>
          <w:lang w:val="en-NZ" w:eastAsia="ko-KR"/>
        </w:rPr>
        <w:t xml:space="preserve"> </w:t>
      </w:r>
      <w:r w:rsidR="0041022C" w:rsidRPr="004635E5">
        <w:rPr>
          <w:rFonts w:eastAsiaTheme="minorEastAsia"/>
          <w:sz w:val="22"/>
          <w:szCs w:val="22"/>
          <w:lang w:val="en-NZ" w:eastAsia="ko-KR"/>
        </w:rPr>
        <w:t xml:space="preserve">was </w:t>
      </w:r>
      <w:r w:rsidR="005D38E7" w:rsidRPr="004635E5">
        <w:rPr>
          <w:rFonts w:eastAsiaTheme="minorEastAsia"/>
          <w:sz w:val="22"/>
          <w:szCs w:val="22"/>
          <w:lang w:val="en-NZ" w:eastAsia="ko-KR"/>
        </w:rPr>
        <w:t>needed</w:t>
      </w:r>
      <w:r w:rsidRPr="004635E5">
        <w:rPr>
          <w:rFonts w:eastAsiaTheme="minorEastAsia"/>
          <w:sz w:val="22"/>
          <w:szCs w:val="22"/>
          <w:lang w:val="en-NZ" w:eastAsia="ko-KR"/>
        </w:rPr>
        <w:t xml:space="preserve">, but </w:t>
      </w:r>
      <w:r w:rsidR="0041022C" w:rsidRPr="004635E5">
        <w:rPr>
          <w:rFonts w:eastAsiaTheme="minorEastAsia"/>
          <w:sz w:val="22"/>
          <w:szCs w:val="22"/>
          <w:lang w:val="en-NZ" w:eastAsia="ko-KR"/>
        </w:rPr>
        <w:t xml:space="preserve">that the present one was </w:t>
      </w:r>
      <w:r w:rsidR="005D38E7" w:rsidRPr="004635E5">
        <w:rPr>
          <w:rFonts w:eastAsiaTheme="minorEastAsia"/>
          <w:sz w:val="22"/>
          <w:szCs w:val="22"/>
          <w:lang w:val="en-NZ" w:eastAsia="ko-KR"/>
        </w:rPr>
        <w:t>not ideal</w:t>
      </w:r>
      <w:r w:rsidRPr="004635E5">
        <w:rPr>
          <w:rFonts w:eastAsiaTheme="minorEastAsia"/>
          <w:sz w:val="22"/>
          <w:szCs w:val="22"/>
          <w:lang w:val="en-NZ" w:eastAsia="ko-KR"/>
        </w:rPr>
        <w:t>. Re</w:t>
      </w:r>
      <w:r w:rsidR="005D38E7" w:rsidRPr="004635E5">
        <w:rPr>
          <w:rFonts w:eastAsiaTheme="minorEastAsia"/>
          <w:sz w:val="22"/>
          <w:szCs w:val="22"/>
          <w:lang w:val="en-NZ" w:eastAsia="ko-KR"/>
        </w:rPr>
        <w:t xml:space="preserve">garding </w:t>
      </w:r>
      <w:r w:rsidR="0041022C" w:rsidRPr="004635E5">
        <w:rPr>
          <w:rFonts w:eastAsiaTheme="minorEastAsia"/>
          <w:sz w:val="22"/>
          <w:szCs w:val="22"/>
          <w:lang w:val="en-NZ" w:eastAsia="ko-KR"/>
        </w:rPr>
        <w:t>PI-</w:t>
      </w:r>
      <w:r w:rsidRPr="004635E5">
        <w:rPr>
          <w:rFonts w:eastAsiaTheme="minorEastAsia"/>
          <w:sz w:val="22"/>
          <w:szCs w:val="22"/>
          <w:lang w:val="en-NZ" w:eastAsia="ko-KR"/>
        </w:rPr>
        <w:t xml:space="preserve">10, </w:t>
      </w:r>
      <w:r w:rsidR="0041022C" w:rsidRPr="004635E5">
        <w:rPr>
          <w:rFonts w:eastAsiaTheme="minorEastAsia"/>
          <w:sz w:val="22"/>
          <w:szCs w:val="22"/>
          <w:lang w:val="en-NZ" w:eastAsia="ko-KR"/>
        </w:rPr>
        <w:t xml:space="preserve">and noting that </w:t>
      </w:r>
      <w:r w:rsidRPr="004635E5">
        <w:rPr>
          <w:rFonts w:eastAsiaTheme="minorEastAsia"/>
          <w:sz w:val="22"/>
          <w:szCs w:val="22"/>
          <w:lang w:val="en-NZ" w:eastAsia="ko-KR"/>
        </w:rPr>
        <w:t xml:space="preserve">MSY can be </w:t>
      </w:r>
      <w:r w:rsidR="0041022C" w:rsidRPr="004635E5">
        <w:rPr>
          <w:rFonts w:eastAsiaTheme="minorEastAsia"/>
          <w:sz w:val="22"/>
          <w:szCs w:val="22"/>
          <w:lang w:val="en-NZ" w:eastAsia="ko-KR"/>
        </w:rPr>
        <w:t xml:space="preserve">influenced </w:t>
      </w:r>
      <w:r w:rsidRPr="004635E5">
        <w:rPr>
          <w:rFonts w:eastAsiaTheme="minorEastAsia"/>
          <w:sz w:val="22"/>
          <w:szCs w:val="22"/>
          <w:lang w:val="en-NZ" w:eastAsia="ko-KR"/>
        </w:rPr>
        <w:t>by selectivity</w:t>
      </w:r>
      <w:r w:rsidR="0041022C" w:rsidRPr="004635E5">
        <w:rPr>
          <w:rFonts w:eastAsiaTheme="minorEastAsia"/>
          <w:sz w:val="22"/>
          <w:szCs w:val="22"/>
          <w:lang w:val="en-NZ" w:eastAsia="ko-KR"/>
        </w:rPr>
        <w:t>, Japan</w:t>
      </w:r>
      <w:r w:rsidR="005D38E7" w:rsidRPr="004635E5">
        <w:rPr>
          <w:rFonts w:eastAsiaTheme="minorEastAsia"/>
          <w:sz w:val="22"/>
          <w:szCs w:val="22"/>
          <w:lang w:val="en-NZ" w:eastAsia="ko-KR"/>
        </w:rPr>
        <w:t xml:space="preserve"> </w:t>
      </w:r>
      <w:r w:rsidR="0041022C" w:rsidRPr="004635E5">
        <w:rPr>
          <w:rFonts w:eastAsiaTheme="minorEastAsia"/>
          <w:sz w:val="22"/>
          <w:szCs w:val="22"/>
          <w:lang w:val="en-NZ" w:eastAsia="ko-KR"/>
        </w:rPr>
        <w:t xml:space="preserve">expressed a </w:t>
      </w:r>
      <w:r w:rsidR="00846510" w:rsidRPr="004635E5">
        <w:rPr>
          <w:rFonts w:eastAsiaTheme="minorEastAsia"/>
          <w:sz w:val="22"/>
          <w:szCs w:val="22"/>
          <w:lang w:val="en-NZ" w:eastAsia="ko-KR"/>
        </w:rPr>
        <w:t>stro</w:t>
      </w:r>
      <w:r w:rsidRPr="004635E5">
        <w:rPr>
          <w:rFonts w:eastAsiaTheme="minorEastAsia"/>
          <w:sz w:val="22"/>
          <w:szCs w:val="22"/>
          <w:lang w:val="en-NZ" w:eastAsia="ko-KR"/>
        </w:rPr>
        <w:t>ng pref</w:t>
      </w:r>
      <w:r w:rsidR="00846510" w:rsidRPr="004635E5">
        <w:rPr>
          <w:rFonts w:eastAsiaTheme="minorEastAsia"/>
          <w:sz w:val="22"/>
          <w:szCs w:val="22"/>
          <w:lang w:val="en-NZ" w:eastAsia="ko-KR"/>
        </w:rPr>
        <w:t>erence</w:t>
      </w:r>
      <w:r w:rsidRPr="004635E5">
        <w:rPr>
          <w:rFonts w:eastAsiaTheme="minorEastAsia"/>
          <w:sz w:val="22"/>
          <w:szCs w:val="22"/>
          <w:lang w:val="en-NZ" w:eastAsia="ko-KR"/>
        </w:rPr>
        <w:t xml:space="preserve"> </w:t>
      </w:r>
      <w:r w:rsidR="0041022C" w:rsidRPr="004635E5">
        <w:rPr>
          <w:rFonts w:eastAsiaTheme="minorEastAsia"/>
          <w:sz w:val="22"/>
          <w:szCs w:val="22"/>
          <w:lang w:val="en-NZ" w:eastAsia="ko-KR"/>
        </w:rPr>
        <w:t xml:space="preserve">for </w:t>
      </w:r>
      <w:r w:rsidRPr="004635E5">
        <w:rPr>
          <w:rFonts w:eastAsiaTheme="minorEastAsia"/>
          <w:sz w:val="22"/>
          <w:szCs w:val="22"/>
          <w:lang w:val="en-NZ" w:eastAsia="ko-KR"/>
        </w:rPr>
        <w:t xml:space="preserve">this </w:t>
      </w:r>
      <w:r w:rsidR="0041022C" w:rsidRPr="004635E5">
        <w:rPr>
          <w:rFonts w:eastAsiaTheme="minorEastAsia"/>
          <w:sz w:val="22"/>
          <w:szCs w:val="22"/>
          <w:lang w:val="en-NZ" w:eastAsia="ko-KR"/>
        </w:rPr>
        <w:t xml:space="preserve">PI to be evaluated and </w:t>
      </w:r>
      <w:r w:rsidRPr="004635E5">
        <w:rPr>
          <w:rFonts w:eastAsiaTheme="minorEastAsia"/>
          <w:sz w:val="22"/>
          <w:szCs w:val="22"/>
          <w:lang w:val="en-NZ" w:eastAsia="ko-KR"/>
        </w:rPr>
        <w:t xml:space="preserve">not simply </w:t>
      </w:r>
      <w:r w:rsidR="00846510" w:rsidRPr="004635E5">
        <w:rPr>
          <w:rFonts w:eastAsiaTheme="minorEastAsia"/>
          <w:sz w:val="22"/>
          <w:szCs w:val="22"/>
          <w:lang w:val="en-NZ" w:eastAsia="ko-KR"/>
        </w:rPr>
        <w:t xml:space="preserve">be </w:t>
      </w:r>
      <w:r w:rsidR="0041022C" w:rsidRPr="004635E5">
        <w:rPr>
          <w:rFonts w:eastAsiaTheme="minorEastAsia"/>
          <w:sz w:val="22"/>
          <w:szCs w:val="22"/>
          <w:lang w:val="en-NZ" w:eastAsia="ko-KR"/>
        </w:rPr>
        <w:t xml:space="preserve">included in the </w:t>
      </w:r>
      <w:r w:rsidRPr="004635E5">
        <w:rPr>
          <w:rFonts w:eastAsiaTheme="minorEastAsia"/>
          <w:sz w:val="22"/>
          <w:szCs w:val="22"/>
          <w:lang w:val="en-NZ" w:eastAsia="ko-KR"/>
        </w:rPr>
        <w:t>monito</w:t>
      </w:r>
      <w:r w:rsidR="00846510" w:rsidRPr="004635E5">
        <w:rPr>
          <w:rFonts w:eastAsiaTheme="minorEastAsia"/>
          <w:sz w:val="22"/>
          <w:szCs w:val="22"/>
          <w:lang w:val="en-NZ" w:eastAsia="ko-KR"/>
        </w:rPr>
        <w:t>r</w:t>
      </w:r>
      <w:r w:rsidRPr="004635E5">
        <w:rPr>
          <w:rFonts w:eastAsiaTheme="minorEastAsia"/>
          <w:sz w:val="22"/>
          <w:szCs w:val="22"/>
          <w:lang w:val="en-NZ" w:eastAsia="ko-KR"/>
        </w:rPr>
        <w:t>ing strat</w:t>
      </w:r>
      <w:r w:rsidR="00846510" w:rsidRPr="004635E5">
        <w:rPr>
          <w:rFonts w:eastAsiaTheme="minorEastAsia"/>
          <w:sz w:val="22"/>
          <w:szCs w:val="22"/>
          <w:lang w:val="en-NZ" w:eastAsia="ko-KR"/>
        </w:rPr>
        <w:t>egy</w:t>
      </w:r>
      <w:r w:rsidRPr="004635E5">
        <w:rPr>
          <w:rFonts w:eastAsiaTheme="minorEastAsia"/>
          <w:sz w:val="22"/>
          <w:szCs w:val="22"/>
          <w:lang w:val="en-NZ" w:eastAsia="ko-KR"/>
        </w:rPr>
        <w:t xml:space="preserve">. </w:t>
      </w:r>
      <w:r w:rsidR="0041022C" w:rsidRPr="004635E5">
        <w:rPr>
          <w:rFonts w:eastAsiaTheme="minorEastAsia"/>
          <w:sz w:val="22"/>
          <w:szCs w:val="22"/>
          <w:lang w:val="en-NZ" w:eastAsia="ko-KR"/>
        </w:rPr>
        <w:t>R</w:t>
      </w:r>
      <w:r w:rsidR="005D38E7" w:rsidRPr="004635E5">
        <w:rPr>
          <w:rFonts w:eastAsiaTheme="minorEastAsia"/>
          <w:sz w:val="22"/>
          <w:szCs w:val="22"/>
          <w:lang w:val="en-NZ" w:eastAsia="ko-KR"/>
        </w:rPr>
        <w:t xml:space="preserve">egarding </w:t>
      </w:r>
      <w:r w:rsidR="0041022C" w:rsidRPr="004635E5">
        <w:rPr>
          <w:rFonts w:eastAsiaTheme="minorEastAsia"/>
          <w:sz w:val="22"/>
          <w:szCs w:val="22"/>
          <w:lang w:val="en-NZ" w:eastAsia="ko-KR"/>
        </w:rPr>
        <w:t>PI-</w:t>
      </w:r>
      <w:r w:rsidRPr="004635E5">
        <w:rPr>
          <w:rFonts w:eastAsiaTheme="minorEastAsia"/>
          <w:sz w:val="22"/>
          <w:szCs w:val="22"/>
          <w:lang w:val="en-NZ" w:eastAsia="ko-KR"/>
        </w:rPr>
        <w:t xml:space="preserve">11, </w:t>
      </w:r>
      <w:r w:rsidR="0041022C" w:rsidRPr="004635E5">
        <w:rPr>
          <w:rFonts w:eastAsiaTheme="minorEastAsia"/>
          <w:sz w:val="22"/>
          <w:szCs w:val="22"/>
          <w:lang w:eastAsia="ko-KR"/>
        </w:rPr>
        <w:t>Japan considered this indicator to be most relevant to bigeye and expressed concern that the number of FAD sets is not currently covered by the operating model</w:t>
      </w:r>
      <w:r w:rsidRPr="004635E5">
        <w:rPr>
          <w:rFonts w:eastAsiaTheme="minorEastAsia"/>
          <w:sz w:val="22"/>
          <w:szCs w:val="22"/>
          <w:lang w:val="en-NZ" w:eastAsia="ko-KR"/>
        </w:rPr>
        <w:t xml:space="preserve">; </w:t>
      </w:r>
      <w:r w:rsidR="0041022C" w:rsidRPr="004635E5">
        <w:rPr>
          <w:rFonts w:eastAsiaTheme="minorEastAsia"/>
          <w:sz w:val="22"/>
          <w:szCs w:val="22"/>
          <w:lang w:val="en-NZ" w:eastAsia="ko-KR"/>
        </w:rPr>
        <w:t xml:space="preserve">while </w:t>
      </w:r>
      <w:r w:rsidRPr="004635E5">
        <w:rPr>
          <w:rFonts w:eastAsiaTheme="minorEastAsia"/>
          <w:sz w:val="22"/>
          <w:szCs w:val="22"/>
          <w:lang w:val="en-NZ" w:eastAsia="ko-KR"/>
        </w:rPr>
        <w:t>this may be co</w:t>
      </w:r>
      <w:r w:rsidR="00AE75F3" w:rsidRPr="004635E5">
        <w:rPr>
          <w:rFonts w:eastAsiaTheme="minorEastAsia"/>
          <w:sz w:val="22"/>
          <w:szCs w:val="22"/>
          <w:lang w:val="en-NZ" w:eastAsia="ko-KR"/>
        </w:rPr>
        <w:t>n</w:t>
      </w:r>
      <w:r w:rsidRPr="004635E5">
        <w:rPr>
          <w:rFonts w:eastAsiaTheme="minorEastAsia"/>
          <w:sz w:val="22"/>
          <w:szCs w:val="22"/>
          <w:lang w:val="en-NZ" w:eastAsia="ko-KR"/>
        </w:rPr>
        <w:t xml:space="preserve">trolled </w:t>
      </w:r>
      <w:r w:rsidR="0041022C" w:rsidRPr="004635E5">
        <w:rPr>
          <w:rFonts w:eastAsiaTheme="minorEastAsia"/>
          <w:sz w:val="22"/>
          <w:szCs w:val="22"/>
          <w:lang w:val="en-NZ" w:eastAsia="ko-KR"/>
        </w:rPr>
        <w:t xml:space="preserve">for </w:t>
      </w:r>
      <w:r w:rsidRPr="004635E5">
        <w:rPr>
          <w:rFonts w:eastAsiaTheme="minorEastAsia"/>
          <w:sz w:val="22"/>
          <w:szCs w:val="22"/>
          <w:lang w:val="en-NZ" w:eastAsia="ko-KR"/>
        </w:rPr>
        <w:t xml:space="preserve">in </w:t>
      </w:r>
      <w:r w:rsidR="00AE75F3" w:rsidRPr="004635E5">
        <w:rPr>
          <w:rFonts w:eastAsiaTheme="minorEastAsia"/>
          <w:sz w:val="22"/>
          <w:szCs w:val="22"/>
          <w:lang w:val="en-NZ" w:eastAsia="ko-KR"/>
        </w:rPr>
        <w:t xml:space="preserve">the </w:t>
      </w:r>
      <w:r w:rsidRPr="004635E5">
        <w:rPr>
          <w:rFonts w:eastAsiaTheme="minorEastAsia"/>
          <w:sz w:val="22"/>
          <w:szCs w:val="22"/>
          <w:lang w:val="en-NZ" w:eastAsia="ko-KR"/>
        </w:rPr>
        <w:t>future, such a measure could not be eval</w:t>
      </w:r>
      <w:r w:rsidR="00AE75F3" w:rsidRPr="004635E5">
        <w:rPr>
          <w:rFonts w:eastAsiaTheme="minorEastAsia"/>
          <w:sz w:val="22"/>
          <w:szCs w:val="22"/>
          <w:lang w:val="en-NZ" w:eastAsia="ko-KR"/>
        </w:rPr>
        <w:t>uated</w:t>
      </w:r>
      <w:r w:rsidRPr="004635E5">
        <w:rPr>
          <w:rFonts w:eastAsiaTheme="minorEastAsia"/>
          <w:sz w:val="22"/>
          <w:szCs w:val="22"/>
          <w:lang w:val="en-NZ" w:eastAsia="ko-KR"/>
        </w:rPr>
        <w:t xml:space="preserve"> thr</w:t>
      </w:r>
      <w:r w:rsidR="00AE75F3" w:rsidRPr="004635E5">
        <w:rPr>
          <w:rFonts w:eastAsiaTheme="minorEastAsia"/>
          <w:sz w:val="22"/>
          <w:szCs w:val="22"/>
          <w:lang w:val="en-NZ" w:eastAsia="ko-KR"/>
        </w:rPr>
        <w:t>ough</w:t>
      </w:r>
      <w:r w:rsidRPr="004635E5">
        <w:rPr>
          <w:rFonts w:eastAsiaTheme="minorEastAsia"/>
          <w:sz w:val="22"/>
          <w:szCs w:val="22"/>
          <w:lang w:val="en-NZ" w:eastAsia="ko-KR"/>
        </w:rPr>
        <w:t xml:space="preserve"> this MSE. This is </w:t>
      </w:r>
      <w:r w:rsidR="005D38E7" w:rsidRPr="004635E5">
        <w:rPr>
          <w:rFonts w:eastAsiaTheme="minorEastAsia"/>
          <w:sz w:val="22"/>
          <w:szCs w:val="22"/>
          <w:lang w:val="en-NZ" w:eastAsia="ko-KR"/>
        </w:rPr>
        <w:t xml:space="preserve">a </w:t>
      </w:r>
      <w:r w:rsidRPr="004635E5">
        <w:rPr>
          <w:rFonts w:eastAsiaTheme="minorEastAsia"/>
          <w:sz w:val="22"/>
          <w:szCs w:val="22"/>
          <w:lang w:val="en-NZ" w:eastAsia="ko-KR"/>
        </w:rPr>
        <w:t>very imp</w:t>
      </w:r>
      <w:r w:rsidR="005D38E7" w:rsidRPr="004635E5">
        <w:rPr>
          <w:rFonts w:eastAsiaTheme="minorEastAsia"/>
          <w:sz w:val="22"/>
          <w:szCs w:val="22"/>
          <w:lang w:val="en-NZ" w:eastAsia="ko-KR"/>
        </w:rPr>
        <w:t xml:space="preserve">erfect </w:t>
      </w:r>
      <w:r w:rsidRPr="004635E5">
        <w:rPr>
          <w:rFonts w:eastAsiaTheme="minorEastAsia"/>
          <w:sz w:val="22"/>
          <w:szCs w:val="22"/>
          <w:lang w:val="en-NZ" w:eastAsia="ko-KR"/>
        </w:rPr>
        <w:t>perf</w:t>
      </w:r>
      <w:r w:rsidR="005D38E7" w:rsidRPr="004635E5">
        <w:rPr>
          <w:rFonts w:eastAsiaTheme="minorEastAsia"/>
          <w:sz w:val="22"/>
          <w:szCs w:val="22"/>
          <w:lang w:val="en-NZ" w:eastAsia="ko-KR"/>
        </w:rPr>
        <w:t>ormance</w:t>
      </w:r>
      <w:r w:rsidRPr="004635E5">
        <w:rPr>
          <w:rFonts w:eastAsiaTheme="minorEastAsia"/>
          <w:sz w:val="22"/>
          <w:szCs w:val="22"/>
          <w:lang w:val="en-NZ" w:eastAsia="ko-KR"/>
        </w:rPr>
        <w:t xml:space="preserve"> </w:t>
      </w:r>
      <w:r w:rsidR="005D38E7" w:rsidRPr="004635E5">
        <w:rPr>
          <w:rFonts w:eastAsiaTheme="minorEastAsia"/>
          <w:sz w:val="22"/>
          <w:szCs w:val="22"/>
          <w:lang w:val="en-NZ" w:eastAsia="ko-KR"/>
        </w:rPr>
        <w:t>i</w:t>
      </w:r>
      <w:r w:rsidRPr="004635E5">
        <w:rPr>
          <w:rFonts w:eastAsiaTheme="minorEastAsia"/>
          <w:sz w:val="22"/>
          <w:szCs w:val="22"/>
          <w:lang w:val="en-NZ" w:eastAsia="ko-KR"/>
        </w:rPr>
        <w:t>ndicator</w:t>
      </w:r>
      <w:r w:rsidR="00A16680" w:rsidRPr="004635E5">
        <w:rPr>
          <w:rFonts w:eastAsiaTheme="minorEastAsia"/>
          <w:sz w:val="22"/>
          <w:szCs w:val="22"/>
          <w:lang w:val="en-NZ" w:eastAsia="ko-KR"/>
        </w:rPr>
        <w:t xml:space="preserve">. </w:t>
      </w:r>
      <w:r w:rsidRPr="004635E5">
        <w:rPr>
          <w:rFonts w:eastAsiaTheme="minorEastAsia"/>
          <w:sz w:val="22"/>
          <w:szCs w:val="22"/>
          <w:lang w:val="en-NZ" w:eastAsia="ko-KR"/>
        </w:rPr>
        <w:t>SPC</w:t>
      </w:r>
      <w:r w:rsidR="005D38E7" w:rsidRPr="004635E5">
        <w:rPr>
          <w:rFonts w:eastAsiaTheme="minorEastAsia"/>
          <w:sz w:val="22"/>
          <w:szCs w:val="22"/>
          <w:lang w:val="en-NZ" w:eastAsia="ko-KR"/>
        </w:rPr>
        <w:t xml:space="preserve"> noted that </w:t>
      </w:r>
      <w:r w:rsidRPr="004635E5">
        <w:rPr>
          <w:rFonts w:eastAsiaTheme="minorEastAsia"/>
          <w:sz w:val="22"/>
          <w:szCs w:val="22"/>
          <w:lang w:val="en-NZ" w:eastAsia="ko-KR"/>
        </w:rPr>
        <w:t>expected c</w:t>
      </w:r>
      <w:r w:rsidR="005D38E7" w:rsidRPr="004635E5">
        <w:rPr>
          <w:rFonts w:eastAsiaTheme="minorEastAsia"/>
          <w:sz w:val="22"/>
          <w:szCs w:val="22"/>
          <w:lang w:val="en-NZ" w:eastAsia="ko-KR"/>
        </w:rPr>
        <w:t>a</w:t>
      </w:r>
      <w:r w:rsidRPr="004635E5">
        <w:rPr>
          <w:rFonts w:eastAsiaTheme="minorEastAsia"/>
          <w:sz w:val="22"/>
          <w:szCs w:val="22"/>
          <w:lang w:val="en-NZ" w:eastAsia="ko-KR"/>
        </w:rPr>
        <w:t>t</w:t>
      </w:r>
      <w:r w:rsidR="005D38E7" w:rsidRPr="004635E5">
        <w:rPr>
          <w:rFonts w:eastAsiaTheme="minorEastAsia"/>
          <w:sz w:val="22"/>
          <w:szCs w:val="22"/>
          <w:lang w:val="en-NZ" w:eastAsia="ko-KR"/>
        </w:rPr>
        <w:t>c</w:t>
      </w:r>
      <w:r w:rsidRPr="004635E5">
        <w:rPr>
          <w:rFonts w:eastAsiaTheme="minorEastAsia"/>
          <w:sz w:val="22"/>
          <w:szCs w:val="22"/>
          <w:lang w:val="en-NZ" w:eastAsia="ko-KR"/>
        </w:rPr>
        <w:t>hes by area can be obtained</w:t>
      </w:r>
      <w:r w:rsidR="005D38E7" w:rsidRPr="004635E5">
        <w:rPr>
          <w:rFonts w:eastAsiaTheme="minorEastAsia"/>
          <w:sz w:val="22"/>
          <w:szCs w:val="22"/>
          <w:lang w:val="en-NZ" w:eastAsia="ko-KR"/>
        </w:rPr>
        <w:t xml:space="preserve"> using </w:t>
      </w:r>
      <w:r w:rsidR="0041022C" w:rsidRPr="004635E5">
        <w:rPr>
          <w:rFonts w:eastAsiaTheme="minorEastAsia"/>
          <w:sz w:val="22"/>
          <w:szCs w:val="22"/>
          <w:lang w:val="en-NZ" w:eastAsia="ko-KR"/>
        </w:rPr>
        <w:t>PI-</w:t>
      </w:r>
      <w:r w:rsidRPr="004635E5">
        <w:rPr>
          <w:rFonts w:eastAsiaTheme="minorEastAsia"/>
          <w:sz w:val="22"/>
          <w:szCs w:val="22"/>
          <w:lang w:val="en-NZ" w:eastAsia="ko-KR"/>
        </w:rPr>
        <w:t xml:space="preserve">8, </w:t>
      </w:r>
      <w:r w:rsidR="005D38E7" w:rsidRPr="004635E5">
        <w:rPr>
          <w:rFonts w:eastAsiaTheme="minorEastAsia"/>
          <w:sz w:val="22"/>
          <w:szCs w:val="22"/>
          <w:lang w:val="en-NZ" w:eastAsia="ko-KR"/>
        </w:rPr>
        <w:t xml:space="preserve">and that </w:t>
      </w:r>
      <w:r w:rsidR="00556E1A" w:rsidRPr="004635E5">
        <w:rPr>
          <w:rFonts w:eastAsiaTheme="minorEastAsia"/>
          <w:sz w:val="22"/>
          <w:szCs w:val="22"/>
          <w:lang w:val="en-NZ" w:eastAsia="ko-KR"/>
        </w:rPr>
        <w:t xml:space="preserve">suggestions were sought for </w:t>
      </w:r>
      <w:r w:rsidRPr="004635E5">
        <w:rPr>
          <w:rFonts w:eastAsiaTheme="minorEastAsia"/>
          <w:sz w:val="22"/>
          <w:szCs w:val="22"/>
          <w:lang w:val="en-NZ" w:eastAsia="ko-KR"/>
        </w:rPr>
        <w:t>alt</w:t>
      </w:r>
      <w:r w:rsidR="00556E1A" w:rsidRPr="004635E5">
        <w:rPr>
          <w:rFonts w:eastAsiaTheme="minorEastAsia"/>
          <w:sz w:val="22"/>
          <w:szCs w:val="22"/>
          <w:lang w:val="en-NZ" w:eastAsia="ko-KR"/>
        </w:rPr>
        <w:t>ernate</w:t>
      </w:r>
      <w:r w:rsidRPr="004635E5">
        <w:rPr>
          <w:rFonts w:eastAsiaTheme="minorEastAsia"/>
          <w:sz w:val="22"/>
          <w:szCs w:val="22"/>
          <w:lang w:val="en-NZ" w:eastAsia="ko-KR"/>
        </w:rPr>
        <w:t xml:space="preserve"> indicators. </w:t>
      </w:r>
      <w:r w:rsidR="0041022C" w:rsidRPr="004635E5">
        <w:rPr>
          <w:rFonts w:eastAsiaTheme="minorEastAsia"/>
          <w:sz w:val="22"/>
          <w:szCs w:val="22"/>
          <w:lang w:eastAsia="ko-KR"/>
        </w:rPr>
        <w:t>Regarding how performance indicators are presented, Japan noted the importance of getting feedback from stakeholders and commented that alternative visualisations capturing trajectories of performance through time would be informative.</w:t>
      </w:r>
      <w:r w:rsidRPr="004635E5">
        <w:rPr>
          <w:rFonts w:eastAsiaTheme="minorEastAsia"/>
          <w:sz w:val="22"/>
          <w:szCs w:val="22"/>
          <w:lang w:val="en-NZ" w:eastAsia="ko-KR"/>
        </w:rPr>
        <w:t xml:space="preserve"> </w:t>
      </w:r>
      <w:r w:rsidR="00556E1A" w:rsidRPr="004635E5">
        <w:rPr>
          <w:rFonts w:eastAsiaTheme="minorEastAsia"/>
          <w:sz w:val="22"/>
          <w:szCs w:val="22"/>
          <w:lang w:val="en-NZ" w:eastAsia="ko-KR"/>
        </w:rPr>
        <w:t>SPC noted that they could include a time series.</w:t>
      </w:r>
    </w:p>
    <w:p w14:paraId="039BA685"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054FFCE9" w14:textId="77777777" w:rsidR="003C4D3D" w:rsidRPr="00642229" w:rsidRDefault="00812008"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642229">
        <w:rPr>
          <w:rFonts w:eastAsiaTheme="minorEastAsia"/>
          <w:sz w:val="22"/>
          <w:szCs w:val="22"/>
          <w:lang w:val="en-NZ" w:eastAsia="ko-KR"/>
        </w:rPr>
        <w:t xml:space="preserve">The EU commented that PI-2 and PI-3 appeared to have the same objective, </w:t>
      </w:r>
      <w:r>
        <w:t>and queried why PI 2 was not recommended to be considered further (in contrast to PI 3)</w:t>
      </w:r>
      <w:r w:rsidRPr="00642229">
        <w:rPr>
          <w:rFonts w:eastAsiaTheme="minorEastAsia"/>
          <w:sz w:val="22"/>
          <w:szCs w:val="22"/>
          <w:lang w:val="en-NZ" w:eastAsia="ko-KR"/>
        </w:rPr>
        <w:t xml:space="preserve">. SPC stated </w:t>
      </w:r>
      <w:r w:rsidRPr="00112951">
        <w:rPr>
          <w:rFonts w:eastAsiaTheme="minorEastAsia"/>
          <w:sz w:val="22"/>
          <w:szCs w:val="22"/>
          <w:lang w:val="en-NZ" w:eastAsia="ko-KR"/>
        </w:rPr>
        <w:t xml:space="preserve">that PI-2 was </w:t>
      </w:r>
      <w:r>
        <w:t>E</w:t>
      </w:r>
      <w:r w:rsidRPr="00642229">
        <w:rPr>
          <w:vertAlign w:val="subscript"/>
        </w:rPr>
        <w:t>ME</w:t>
      </w:r>
      <w:r w:rsidRPr="00112951">
        <w:rPr>
          <w:vertAlign w:val="subscript"/>
        </w:rPr>
        <w:t>Y</w:t>
      </w:r>
      <w:r w:rsidRPr="00112951">
        <w:rPr>
          <w:rFonts w:eastAsiaTheme="minorEastAsia"/>
          <w:sz w:val="22"/>
          <w:szCs w:val="22"/>
          <w:lang w:val="en-NZ" w:eastAsia="ko-KR"/>
        </w:rPr>
        <w:t xml:space="preserve"> which is difficult to estimate</w:t>
      </w:r>
      <w:r w:rsidRPr="002D3CCF">
        <w:rPr>
          <w:rFonts w:eastAsiaTheme="minorEastAsia"/>
          <w:sz w:val="22"/>
          <w:szCs w:val="22"/>
          <w:lang w:val="en-NZ" w:eastAsia="ko-KR"/>
        </w:rPr>
        <w:t xml:space="preserve">, and PI-3 is average expected catch </w:t>
      </w:r>
      <w:r w:rsidRPr="00642229">
        <w:rPr>
          <w:rFonts w:eastAsiaTheme="minorEastAsia"/>
          <w:sz w:val="22"/>
          <w:szCs w:val="22"/>
          <w:lang w:val="en-NZ" w:eastAsia="ko-KR"/>
        </w:rPr>
        <w:t>which</w:t>
      </w:r>
      <w:r w:rsidR="00153EAA" w:rsidRPr="00642229">
        <w:rPr>
          <w:rFonts w:eastAsiaTheme="minorEastAsia"/>
          <w:sz w:val="22"/>
          <w:szCs w:val="22"/>
          <w:lang w:val="en-NZ" w:eastAsia="ko-KR"/>
        </w:rPr>
        <w:t xml:space="preserve"> </w:t>
      </w:r>
      <w:r w:rsidRPr="00642229">
        <w:rPr>
          <w:rFonts w:eastAsiaTheme="minorEastAsia"/>
          <w:sz w:val="22"/>
          <w:szCs w:val="22"/>
          <w:lang w:val="en-NZ" w:eastAsia="ko-KR"/>
        </w:rPr>
        <w:t xml:space="preserve">is easy to get from the model. </w:t>
      </w:r>
      <w:r w:rsidRPr="00642229">
        <w:rPr>
          <w:rFonts w:eastAsiaTheme="minorEastAsia"/>
          <w:lang w:val="en-NZ" w:eastAsia="ko-KR"/>
        </w:rPr>
        <w:t xml:space="preserve">They also noted that there are challenges to get a reliable value for </w:t>
      </w:r>
      <w:r>
        <w:t>E</w:t>
      </w:r>
      <w:r w:rsidRPr="00642229">
        <w:rPr>
          <w:vertAlign w:val="subscript"/>
        </w:rPr>
        <w:t>MEY</w:t>
      </w:r>
      <w:r>
        <w:t>, and it is not clear to what extent comparisons of effort with E</w:t>
      </w:r>
      <w:r w:rsidRPr="00642229">
        <w:rPr>
          <w:vertAlign w:val="subscript"/>
        </w:rPr>
        <w:t>MEY</w:t>
      </w:r>
      <w:r>
        <w:t xml:space="preserve"> reflects economic yield</w:t>
      </w:r>
      <w:r w:rsidRPr="00642229">
        <w:rPr>
          <w:rFonts w:eastAsiaTheme="minorEastAsia"/>
          <w:lang w:val="en-NZ" w:eastAsia="ko-KR"/>
        </w:rPr>
        <w:t xml:space="preserve">, though </w:t>
      </w:r>
      <w:r w:rsidRPr="00112951">
        <w:rPr>
          <w:rFonts w:eastAsiaTheme="minorEastAsia"/>
          <w:sz w:val="22"/>
          <w:szCs w:val="22"/>
          <w:lang w:val="en-NZ" w:eastAsia="ko-KR"/>
        </w:rPr>
        <w:t xml:space="preserve">maybe other indicators can be </w:t>
      </w:r>
      <w:r w:rsidRPr="002D3CCF">
        <w:rPr>
          <w:rFonts w:eastAsiaTheme="minorEastAsia"/>
          <w:sz w:val="22"/>
          <w:szCs w:val="22"/>
          <w:lang w:val="en-NZ" w:eastAsia="ko-KR"/>
        </w:rPr>
        <w:t xml:space="preserve">developed to get that objective. </w:t>
      </w:r>
      <w:r w:rsidRPr="00642229">
        <w:rPr>
          <w:rFonts w:eastAsiaTheme="minorEastAsia"/>
          <w:lang w:val="en-NZ" w:eastAsia="ko-KR"/>
        </w:rPr>
        <w:t xml:space="preserve">The EU </w:t>
      </w:r>
      <w:r>
        <w:t>also noted that the different indicators may not have the same importance when comparing candidate management procedures</w:t>
      </w:r>
      <w:r w:rsidRPr="00642229">
        <w:rPr>
          <w:rFonts w:eastAsiaTheme="minorEastAsia"/>
          <w:lang w:val="en-NZ" w:eastAsia="ko-KR"/>
        </w:rPr>
        <w:t xml:space="preserve"> </w:t>
      </w:r>
      <w:r w:rsidRPr="00112951">
        <w:rPr>
          <w:rFonts w:eastAsiaTheme="minorEastAsia"/>
          <w:lang w:val="en-NZ" w:eastAsia="ko-KR"/>
        </w:rPr>
        <w:t xml:space="preserve">and </w:t>
      </w:r>
      <w:r w:rsidRPr="00112951">
        <w:rPr>
          <w:rFonts w:eastAsiaTheme="minorEastAsia"/>
          <w:sz w:val="22"/>
          <w:szCs w:val="22"/>
          <w:lang w:val="en-NZ" w:eastAsia="ko-KR"/>
        </w:rPr>
        <w:t>that it may be</w:t>
      </w:r>
      <w:r w:rsidRPr="002D3CCF">
        <w:rPr>
          <w:rFonts w:eastAsiaTheme="minorEastAsia"/>
          <w:sz w:val="22"/>
          <w:szCs w:val="22"/>
          <w:lang w:val="en-NZ" w:eastAsia="ko-KR"/>
        </w:rPr>
        <w:t xml:space="preserve"> important to assi</w:t>
      </w:r>
      <w:r w:rsidRPr="00642229">
        <w:rPr>
          <w:rFonts w:eastAsiaTheme="minorEastAsia"/>
          <w:sz w:val="22"/>
          <w:szCs w:val="22"/>
          <w:lang w:val="en-NZ" w:eastAsia="ko-KR"/>
        </w:rPr>
        <w:t>gn each PI different weights or importance, as a management issue</w:t>
      </w:r>
      <w:r w:rsidR="00846510" w:rsidRPr="00642229">
        <w:rPr>
          <w:rFonts w:eastAsiaTheme="minorEastAsia"/>
          <w:sz w:val="22"/>
          <w:szCs w:val="22"/>
          <w:lang w:val="en-NZ" w:eastAsia="ko-KR"/>
        </w:rPr>
        <w:t>. S</w:t>
      </w:r>
      <w:r w:rsidR="00D3668F" w:rsidRPr="00642229">
        <w:rPr>
          <w:rFonts w:eastAsiaTheme="minorEastAsia"/>
          <w:sz w:val="22"/>
          <w:szCs w:val="22"/>
          <w:lang w:val="en-NZ" w:eastAsia="ko-KR"/>
        </w:rPr>
        <w:t>P</w:t>
      </w:r>
      <w:r w:rsidR="00846510" w:rsidRPr="00642229">
        <w:rPr>
          <w:rFonts w:eastAsiaTheme="minorEastAsia"/>
          <w:sz w:val="22"/>
          <w:szCs w:val="22"/>
          <w:lang w:val="en-NZ" w:eastAsia="ko-KR"/>
        </w:rPr>
        <w:t>C</w:t>
      </w:r>
      <w:r w:rsidR="00D3668F" w:rsidRPr="00642229">
        <w:rPr>
          <w:rFonts w:eastAsiaTheme="minorEastAsia"/>
          <w:sz w:val="22"/>
          <w:szCs w:val="22"/>
          <w:lang w:val="en-NZ" w:eastAsia="ko-KR"/>
        </w:rPr>
        <w:t xml:space="preserve"> concurred that </w:t>
      </w:r>
      <w:r w:rsidR="00846510" w:rsidRPr="00642229">
        <w:rPr>
          <w:rFonts w:eastAsiaTheme="minorEastAsia"/>
          <w:sz w:val="22"/>
          <w:szCs w:val="22"/>
          <w:lang w:val="en-NZ" w:eastAsia="ko-KR"/>
        </w:rPr>
        <w:t>diff</w:t>
      </w:r>
      <w:r w:rsidR="00D3668F" w:rsidRPr="00642229">
        <w:rPr>
          <w:rFonts w:eastAsiaTheme="minorEastAsia"/>
          <w:sz w:val="22"/>
          <w:szCs w:val="22"/>
          <w:lang w:val="en-NZ" w:eastAsia="ko-KR"/>
        </w:rPr>
        <w:t>erent</w:t>
      </w:r>
      <w:r w:rsidR="00846510" w:rsidRPr="00642229">
        <w:rPr>
          <w:rFonts w:eastAsiaTheme="minorEastAsia"/>
          <w:sz w:val="22"/>
          <w:szCs w:val="22"/>
          <w:lang w:val="en-NZ" w:eastAsia="ko-KR"/>
        </w:rPr>
        <w:t xml:space="preserve"> groups </w:t>
      </w:r>
      <w:r w:rsidR="00D3668F" w:rsidRPr="00642229">
        <w:rPr>
          <w:rFonts w:eastAsiaTheme="minorEastAsia"/>
          <w:sz w:val="22"/>
          <w:szCs w:val="22"/>
          <w:lang w:val="en-NZ" w:eastAsia="ko-KR"/>
        </w:rPr>
        <w:t xml:space="preserve">would likely </w:t>
      </w:r>
      <w:r w:rsidR="00846510" w:rsidRPr="00642229">
        <w:rPr>
          <w:rFonts w:eastAsiaTheme="minorEastAsia"/>
          <w:sz w:val="22"/>
          <w:szCs w:val="22"/>
          <w:lang w:val="en-NZ" w:eastAsia="ko-KR"/>
        </w:rPr>
        <w:t>have diff</w:t>
      </w:r>
      <w:r w:rsidR="00D3668F" w:rsidRPr="00642229">
        <w:rPr>
          <w:rFonts w:eastAsiaTheme="minorEastAsia"/>
          <w:sz w:val="22"/>
          <w:szCs w:val="22"/>
          <w:lang w:val="en-NZ" w:eastAsia="ko-KR"/>
        </w:rPr>
        <w:t>erent</w:t>
      </w:r>
      <w:r w:rsidR="00846510" w:rsidRPr="00642229">
        <w:rPr>
          <w:rFonts w:eastAsiaTheme="minorEastAsia"/>
          <w:sz w:val="22"/>
          <w:szCs w:val="22"/>
          <w:lang w:val="en-NZ" w:eastAsia="ko-KR"/>
        </w:rPr>
        <w:t xml:space="preserve"> priorities. </w:t>
      </w:r>
    </w:p>
    <w:p w14:paraId="68A619C9" w14:textId="77777777" w:rsidR="00A2648C" w:rsidRPr="004635E5" w:rsidRDefault="00A2648C" w:rsidP="006633A8">
      <w:pPr>
        <w:autoSpaceDE w:val="0"/>
        <w:autoSpaceDN w:val="0"/>
        <w:adjustRightInd w:val="0"/>
        <w:snapToGrid w:val="0"/>
        <w:jc w:val="both"/>
        <w:rPr>
          <w:rFonts w:eastAsiaTheme="minorEastAsia"/>
          <w:sz w:val="22"/>
          <w:szCs w:val="22"/>
          <w:lang w:val="en-NZ" w:eastAsia="ko-KR"/>
        </w:rPr>
      </w:pPr>
    </w:p>
    <w:p w14:paraId="47381520" w14:textId="77777777" w:rsidR="00313E1D" w:rsidRPr="004635E5" w:rsidRDefault="003C4D3D"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Tokelau </w:t>
      </w:r>
      <w:r w:rsidR="0041022C" w:rsidRPr="004635E5">
        <w:rPr>
          <w:rFonts w:eastAsiaTheme="minorEastAsia"/>
          <w:sz w:val="22"/>
          <w:szCs w:val="22"/>
          <w:lang w:eastAsia="ko-KR"/>
        </w:rPr>
        <w:t xml:space="preserve">on behalf of the </w:t>
      </w:r>
      <w:r w:rsidR="00313E1D" w:rsidRPr="004635E5">
        <w:rPr>
          <w:rFonts w:eastAsiaTheme="minorEastAsia"/>
          <w:sz w:val="22"/>
          <w:szCs w:val="22"/>
          <w:lang w:eastAsia="ko-KR"/>
        </w:rPr>
        <w:t>PNA thank</w:t>
      </w:r>
      <w:r w:rsidR="0041022C" w:rsidRPr="004635E5">
        <w:rPr>
          <w:rFonts w:eastAsiaTheme="minorEastAsia"/>
          <w:sz w:val="22"/>
          <w:szCs w:val="22"/>
          <w:lang w:eastAsia="ko-KR"/>
        </w:rPr>
        <w:t>ed</w:t>
      </w:r>
      <w:r w:rsidR="00313E1D" w:rsidRPr="004635E5">
        <w:rPr>
          <w:rFonts w:eastAsiaTheme="minorEastAsia"/>
          <w:sz w:val="22"/>
          <w:szCs w:val="22"/>
          <w:lang w:eastAsia="ko-KR"/>
        </w:rPr>
        <w:t xml:space="preserve"> SPC </w:t>
      </w:r>
      <w:r w:rsidR="00173A7A">
        <w:rPr>
          <w:rFonts w:eastAsiaTheme="minorEastAsia"/>
          <w:sz w:val="22"/>
          <w:szCs w:val="22"/>
          <w:lang w:eastAsia="ko-KR"/>
        </w:rPr>
        <w:t xml:space="preserve">for </w:t>
      </w:r>
      <w:r w:rsidR="0041022C" w:rsidRPr="004635E5">
        <w:rPr>
          <w:rFonts w:eastAsiaTheme="minorEastAsia"/>
          <w:sz w:val="22"/>
          <w:szCs w:val="22"/>
          <w:lang w:eastAsia="ko-KR"/>
        </w:rPr>
        <w:t xml:space="preserve">its </w:t>
      </w:r>
      <w:r w:rsidR="00313E1D" w:rsidRPr="004635E5">
        <w:rPr>
          <w:rFonts w:eastAsiaTheme="minorEastAsia"/>
          <w:sz w:val="22"/>
          <w:szCs w:val="22"/>
          <w:lang w:eastAsia="ko-KR"/>
        </w:rPr>
        <w:t xml:space="preserve">work in trying to convert the performance indicators and proxies agreed to </w:t>
      </w:r>
      <w:r w:rsidR="0041022C" w:rsidRPr="004635E5">
        <w:rPr>
          <w:rFonts w:eastAsiaTheme="minorEastAsia"/>
          <w:sz w:val="22"/>
          <w:szCs w:val="22"/>
          <w:lang w:eastAsia="ko-KR"/>
        </w:rPr>
        <w:t xml:space="preserve">in 2017 </w:t>
      </w:r>
      <w:r w:rsidR="00313E1D" w:rsidRPr="004635E5">
        <w:rPr>
          <w:rFonts w:eastAsiaTheme="minorEastAsia"/>
          <w:sz w:val="22"/>
          <w:szCs w:val="22"/>
          <w:lang w:eastAsia="ko-KR"/>
        </w:rPr>
        <w:t>into metrics that can be used to assess the performance of different candidate harvest contro</w:t>
      </w:r>
      <w:r w:rsidR="0041022C" w:rsidRPr="004635E5">
        <w:rPr>
          <w:rFonts w:eastAsiaTheme="minorEastAsia"/>
          <w:sz w:val="22"/>
          <w:szCs w:val="22"/>
          <w:lang w:eastAsia="ko-KR"/>
        </w:rPr>
        <w:t>l rules</w:t>
      </w:r>
      <w:r w:rsidR="00A16680" w:rsidRPr="004635E5">
        <w:rPr>
          <w:rFonts w:eastAsiaTheme="minorEastAsia"/>
          <w:sz w:val="22"/>
          <w:szCs w:val="22"/>
          <w:lang w:eastAsia="ko-KR"/>
        </w:rPr>
        <w:t xml:space="preserve">. </w:t>
      </w:r>
      <w:r w:rsidR="0041022C" w:rsidRPr="004635E5">
        <w:rPr>
          <w:rFonts w:eastAsiaTheme="minorEastAsia"/>
          <w:sz w:val="22"/>
          <w:szCs w:val="22"/>
          <w:lang w:eastAsia="ko-KR"/>
        </w:rPr>
        <w:t>PNA generally supported</w:t>
      </w:r>
      <w:r w:rsidR="00313E1D" w:rsidRPr="004635E5">
        <w:rPr>
          <w:rFonts w:eastAsiaTheme="minorEastAsia"/>
          <w:sz w:val="22"/>
          <w:szCs w:val="22"/>
          <w:lang w:eastAsia="ko-KR"/>
        </w:rPr>
        <w:t xml:space="preserve"> the proposed approaches, with a few notable exceptions.</w:t>
      </w:r>
      <w:r w:rsidR="00D3668F" w:rsidRPr="004635E5">
        <w:rPr>
          <w:rFonts w:eastAsiaTheme="minorEastAsia"/>
          <w:sz w:val="22"/>
          <w:szCs w:val="22"/>
          <w:lang w:eastAsia="ko-KR"/>
        </w:rPr>
        <w:t xml:space="preserve"> </w:t>
      </w:r>
      <w:r w:rsidR="0041022C" w:rsidRPr="004635E5">
        <w:rPr>
          <w:rFonts w:eastAsiaTheme="minorEastAsia"/>
          <w:sz w:val="22"/>
          <w:szCs w:val="22"/>
          <w:lang w:eastAsia="ko-KR"/>
        </w:rPr>
        <w:t xml:space="preserve">They </w:t>
      </w:r>
      <w:r w:rsidR="00313E1D" w:rsidRPr="004635E5">
        <w:rPr>
          <w:rFonts w:eastAsiaTheme="minorEastAsia"/>
          <w:sz w:val="22"/>
          <w:szCs w:val="22"/>
          <w:lang w:eastAsia="ko-KR"/>
        </w:rPr>
        <w:t>appreciate</w:t>
      </w:r>
      <w:r w:rsidR="0041022C" w:rsidRPr="004635E5">
        <w:rPr>
          <w:rFonts w:eastAsiaTheme="minorEastAsia"/>
          <w:sz w:val="22"/>
          <w:szCs w:val="22"/>
          <w:lang w:eastAsia="ko-KR"/>
        </w:rPr>
        <w:t>d</w:t>
      </w:r>
      <w:r w:rsidR="00313E1D" w:rsidRPr="004635E5">
        <w:rPr>
          <w:rFonts w:eastAsiaTheme="minorEastAsia"/>
          <w:sz w:val="22"/>
          <w:szCs w:val="22"/>
          <w:lang w:eastAsia="ko-KR"/>
        </w:rPr>
        <w:t xml:space="preserve"> the potential benefits of reducing the number of performance indicators </w:t>
      </w:r>
      <w:r w:rsidR="0041022C" w:rsidRPr="004635E5">
        <w:rPr>
          <w:rFonts w:eastAsiaTheme="minorEastAsia"/>
          <w:sz w:val="22"/>
          <w:szCs w:val="22"/>
          <w:lang w:eastAsia="ko-KR"/>
        </w:rPr>
        <w:t>to simplify determination</w:t>
      </w:r>
      <w:r w:rsidR="00313E1D" w:rsidRPr="004635E5">
        <w:rPr>
          <w:rFonts w:eastAsiaTheme="minorEastAsia"/>
          <w:sz w:val="22"/>
          <w:szCs w:val="22"/>
          <w:lang w:eastAsia="ko-KR"/>
        </w:rPr>
        <w:t xml:space="preserve"> </w:t>
      </w:r>
      <w:r w:rsidR="0041022C" w:rsidRPr="004635E5">
        <w:rPr>
          <w:rFonts w:eastAsiaTheme="minorEastAsia"/>
          <w:sz w:val="22"/>
          <w:szCs w:val="22"/>
          <w:lang w:eastAsia="ko-KR"/>
        </w:rPr>
        <w:t xml:space="preserve">of the </w:t>
      </w:r>
      <w:r w:rsidR="00313E1D" w:rsidRPr="004635E5">
        <w:rPr>
          <w:rFonts w:eastAsiaTheme="minorEastAsia"/>
          <w:sz w:val="22"/>
          <w:szCs w:val="22"/>
          <w:lang w:eastAsia="ko-KR"/>
        </w:rPr>
        <w:t>most desirable HCRs</w:t>
      </w:r>
      <w:r w:rsidR="00A16680" w:rsidRPr="004635E5">
        <w:rPr>
          <w:rFonts w:eastAsiaTheme="minorEastAsia"/>
          <w:sz w:val="22"/>
          <w:szCs w:val="22"/>
          <w:lang w:eastAsia="ko-KR"/>
        </w:rPr>
        <w:t xml:space="preserve">. </w:t>
      </w:r>
      <w:r w:rsidR="00313E1D" w:rsidRPr="004635E5">
        <w:rPr>
          <w:rFonts w:eastAsiaTheme="minorEastAsia"/>
          <w:sz w:val="22"/>
          <w:szCs w:val="22"/>
          <w:lang w:eastAsia="ko-KR"/>
        </w:rPr>
        <w:t>While all PIs recommended by SC</w:t>
      </w:r>
      <w:r w:rsidR="0041022C" w:rsidRPr="004635E5">
        <w:rPr>
          <w:rFonts w:eastAsiaTheme="minorEastAsia"/>
          <w:sz w:val="22"/>
          <w:szCs w:val="22"/>
          <w:lang w:eastAsia="ko-KR"/>
        </w:rPr>
        <w:t>13</w:t>
      </w:r>
      <w:r w:rsidR="00313E1D" w:rsidRPr="004635E5">
        <w:rPr>
          <w:rFonts w:eastAsiaTheme="minorEastAsia"/>
          <w:sz w:val="22"/>
          <w:szCs w:val="22"/>
          <w:lang w:eastAsia="ko-KR"/>
        </w:rPr>
        <w:t xml:space="preserve"> </w:t>
      </w:r>
      <w:r w:rsidR="0041022C" w:rsidRPr="004635E5">
        <w:rPr>
          <w:rFonts w:eastAsiaTheme="minorEastAsia"/>
          <w:sz w:val="22"/>
          <w:szCs w:val="22"/>
          <w:lang w:eastAsia="ko-KR"/>
        </w:rPr>
        <w:t xml:space="preserve">were </w:t>
      </w:r>
      <w:r w:rsidR="00313E1D" w:rsidRPr="004635E5">
        <w:rPr>
          <w:rFonts w:eastAsiaTheme="minorEastAsia"/>
          <w:sz w:val="22"/>
          <w:szCs w:val="22"/>
          <w:lang w:eastAsia="ko-KR"/>
        </w:rPr>
        <w:t xml:space="preserve">useful, some are less important to PNA </w:t>
      </w:r>
      <w:r w:rsidR="0041022C" w:rsidRPr="004635E5">
        <w:rPr>
          <w:rFonts w:eastAsiaTheme="minorEastAsia"/>
          <w:sz w:val="22"/>
          <w:szCs w:val="22"/>
          <w:lang w:eastAsia="ko-KR"/>
        </w:rPr>
        <w:t xml:space="preserve">and </w:t>
      </w:r>
      <w:r w:rsidR="00313E1D" w:rsidRPr="004635E5">
        <w:rPr>
          <w:rFonts w:eastAsiaTheme="minorEastAsia"/>
          <w:sz w:val="22"/>
          <w:szCs w:val="22"/>
          <w:lang w:eastAsia="ko-KR"/>
        </w:rPr>
        <w:t>could be removed or shifted to the monitoring strategy</w:t>
      </w:r>
      <w:r w:rsidR="00A16680" w:rsidRPr="004635E5">
        <w:rPr>
          <w:rFonts w:eastAsiaTheme="minorEastAsia"/>
          <w:sz w:val="22"/>
          <w:szCs w:val="22"/>
          <w:lang w:eastAsia="ko-KR"/>
        </w:rPr>
        <w:t xml:space="preserve">. </w:t>
      </w:r>
      <w:r w:rsidR="00313E1D" w:rsidRPr="004635E5">
        <w:rPr>
          <w:rFonts w:eastAsiaTheme="minorEastAsia"/>
          <w:sz w:val="22"/>
          <w:szCs w:val="22"/>
          <w:lang w:eastAsia="ko-KR"/>
        </w:rPr>
        <w:t>PNA accept</w:t>
      </w:r>
      <w:r w:rsidR="0041022C" w:rsidRPr="004635E5">
        <w:rPr>
          <w:rFonts w:eastAsiaTheme="minorEastAsia"/>
          <w:sz w:val="22"/>
          <w:szCs w:val="22"/>
          <w:lang w:eastAsia="ko-KR"/>
        </w:rPr>
        <w:t>ed</w:t>
      </w:r>
      <w:r w:rsidR="00313E1D" w:rsidRPr="004635E5">
        <w:rPr>
          <w:rFonts w:eastAsiaTheme="minorEastAsia"/>
          <w:sz w:val="22"/>
          <w:szCs w:val="22"/>
          <w:lang w:eastAsia="ko-KR"/>
        </w:rPr>
        <w:t xml:space="preserve"> the proposal in the paper to shift PIs 9 and 10 to the monitoring strategy</w:t>
      </w:r>
      <w:r w:rsidR="0041022C" w:rsidRPr="004635E5">
        <w:rPr>
          <w:rFonts w:eastAsiaTheme="minorEastAsia"/>
          <w:sz w:val="22"/>
          <w:szCs w:val="22"/>
          <w:lang w:eastAsia="ko-KR"/>
        </w:rPr>
        <w:t>,</w:t>
      </w:r>
      <w:r w:rsidR="00313E1D" w:rsidRPr="004635E5">
        <w:rPr>
          <w:rFonts w:eastAsiaTheme="minorEastAsia"/>
          <w:sz w:val="22"/>
          <w:szCs w:val="22"/>
          <w:lang w:eastAsia="ko-KR"/>
        </w:rPr>
        <w:t xml:space="preserve"> and suggest</w:t>
      </w:r>
      <w:r w:rsidR="0041022C" w:rsidRPr="004635E5">
        <w:rPr>
          <w:rFonts w:eastAsiaTheme="minorEastAsia"/>
          <w:sz w:val="22"/>
          <w:szCs w:val="22"/>
          <w:lang w:eastAsia="ko-KR"/>
        </w:rPr>
        <w:t>ed that PI-</w:t>
      </w:r>
      <w:r w:rsidR="00313E1D" w:rsidRPr="004635E5">
        <w:rPr>
          <w:rFonts w:eastAsiaTheme="minorEastAsia"/>
          <w:sz w:val="22"/>
          <w:szCs w:val="22"/>
          <w:lang w:eastAsia="ko-KR"/>
        </w:rPr>
        <w:t xml:space="preserve">2 (MEY) and </w:t>
      </w:r>
      <w:r w:rsidR="0041022C" w:rsidRPr="004635E5">
        <w:rPr>
          <w:rFonts w:eastAsiaTheme="minorEastAsia"/>
          <w:sz w:val="22"/>
          <w:szCs w:val="22"/>
          <w:lang w:eastAsia="ko-KR"/>
        </w:rPr>
        <w:t>PI-</w:t>
      </w:r>
      <w:r w:rsidR="00313E1D" w:rsidRPr="004635E5">
        <w:rPr>
          <w:rFonts w:eastAsiaTheme="minorEastAsia"/>
          <w:sz w:val="22"/>
          <w:szCs w:val="22"/>
          <w:lang w:eastAsia="ko-KR"/>
        </w:rPr>
        <w:t>3 (catch levels) could be dealt with similarly</w:t>
      </w:r>
      <w:r w:rsidR="0041022C" w:rsidRPr="004635E5">
        <w:rPr>
          <w:rFonts w:eastAsiaTheme="minorEastAsia"/>
          <w:sz w:val="22"/>
          <w:szCs w:val="22"/>
          <w:lang w:eastAsia="ko-KR"/>
        </w:rPr>
        <w:t>, thereby significantly reducing</w:t>
      </w:r>
      <w:r w:rsidR="00313E1D" w:rsidRPr="004635E5">
        <w:rPr>
          <w:rFonts w:eastAsiaTheme="minorEastAsia"/>
          <w:sz w:val="22"/>
          <w:szCs w:val="22"/>
          <w:lang w:eastAsia="ko-KR"/>
        </w:rPr>
        <w:t xml:space="preserve"> the “active” PIs.</w:t>
      </w:r>
      <w:r w:rsidR="00D3668F" w:rsidRPr="004635E5">
        <w:rPr>
          <w:rFonts w:eastAsiaTheme="minorEastAsia"/>
          <w:sz w:val="22"/>
          <w:szCs w:val="22"/>
          <w:lang w:eastAsia="ko-KR"/>
        </w:rPr>
        <w:t xml:space="preserve"> </w:t>
      </w:r>
      <w:r w:rsidR="00313E1D" w:rsidRPr="004635E5">
        <w:rPr>
          <w:rFonts w:eastAsiaTheme="minorEastAsia"/>
          <w:sz w:val="22"/>
          <w:szCs w:val="22"/>
          <w:lang w:eastAsia="ko-KR"/>
        </w:rPr>
        <w:t xml:space="preserve">However, PNA members </w:t>
      </w:r>
      <w:r w:rsidR="0041022C" w:rsidRPr="004635E5">
        <w:rPr>
          <w:rFonts w:eastAsiaTheme="minorEastAsia"/>
          <w:sz w:val="22"/>
          <w:szCs w:val="22"/>
          <w:lang w:eastAsia="ko-KR"/>
        </w:rPr>
        <w:t>did not support shifting PI-</w:t>
      </w:r>
      <w:r w:rsidR="00313E1D" w:rsidRPr="004635E5">
        <w:rPr>
          <w:rFonts w:eastAsiaTheme="minorEastAsia"/>
          <w:sz w:val="22"/>
          <w:szCs w:val="22"/>
          <w:lang w:eastAsia="ko-KR"/>
        </w:rPr>
        <w:t>5 to the monitoring strategy</w:t>
      </w:r>
      <w:r w:rsidR="00A16680" w:rsidRPr="004635E5">
        <w:rPr>
          <w:rFonts w:eastAsiaTheme="minorEastAsia"/>
          <w:sz w:val="22"/>
          <w:szCs w:val="22"/>
          <w:lang w:eastAsia="ko-KR"/>
        </w:rPr>
        <w:t xml:space="preserve">. </w:t>
      </w:r>
      <w:r w:rsidR="00313E1D" w:rsidRPr="004635E5">
        <w:rPr>
          <w:rFonts w:eastAsiaTheme="minorEastAsia"/>
          <w:sz w:val="22"/>
          <w:szCs w:val="22"/>
          <w:lang w:eastAsia="ko-KR"/>
        </w:rPr>
        <w:t xml:space="preserve">While not particularly clear </w:t>
      </w:r>
      <w:r w:rsidR="0041022C" w:rsidRPr="004635E5">
        <w:rPr>
          <w:rFonts w:eastAsiaTheme="minorEastAsia"/>
          <w:sz w:val="22"/>
          <w:szCs w:val="22"/>
          <w:lang w:eastAsia="ko-KR"/>
        </w:rPr>
        <w:t xml:space="preserve">from </w:t>
      </w:r>
      <w:r w:rsidR="00313E1D" w:rsidRPr="004635E5">
        <w:rPr>
          <w:rFonts w:eastAsiaTheme="minorEastAsia"/>
          <w:sz w:val="22"/>
          <w:szCs w:val="22"/>
          <w:lang w:eastAsia="ko-KR"/>
        </w:rPr>
        <w:t>the way it is conveyed, PI</w:t>
      </w:r>
      <w:r w:rsidR="0041022C" w:rsidRPr="004635E5">
        <w:rPr>
          <w:rFonts w:eastAsiaTheme="minorEastAsia"/>
          <w:sz w:val="22"/>
          <w:szCs w:val="22"/>
          <w:lang w:eastAsia="ko-KR"/>
        </w:rPr>
        <w:t>-5</w:t>
      </w:r>
      <w:r w:rsidR="00313E1D" w:rsidRPr="004635E5">
        <w:rPr>
          <w:rFonts w:eastAsiaTheme="minorEastAsia"/>
          <w:sz w:val="22"/>
          <w:szCs w:val="22"/>
          <w:lang w:eastAsia="ko-KR"/>
        </w:rPr>
        <w:t xml:space="preserve"> </w:t>
      </w:r>
      <w:r w:rsidR="0041022C" w:rsidRPr="004635E5">
        <w:rPr>
          <w:rFonts w:eastAsiaTheme="minorEastAsia"/>
          <w:sz w:val="22"/>
          <w:szCs w:val="22"/>
          <w:lang w:eastAsia="ko-KR"/>
        </w:rPr>
        <w:t xml:space="preserve">relates to </w:t>
      </w:r>
      <w:r w:rsidR="00313E1D" w:rsidRPr="004635E5">
        <w:rPr>
          <w:rFonts w:eastAsiaTheme="minorEastAsia"/>
          <w:sz w:val="22"/>
          <w:szCs w:val="22"/>
          <w:lang w:eastAsia="ko-KR"/>
        </w:rPr>
        <w:t>the issue of disproportionate burden on SIDS, which is explicitly covered in the harvest strategy CMM</w:t>
      </w:r>
      <w:r w:rsidR="00A16680" w:rsidRPr="004635E5">
        <w:rPr>
          <w:rFonts w:eastAsiaTheme="minorEastAsia"/>
          <w:sz w:val="22"/>
          <w:szCs w:val="22"/>
          <w:lang w:eastAsia="ko-KR"/>
        </w:rPr>
        <w:t xml:space="preserve">. </w:t>
      </w:r>
      <w:r w:rsidR="00313E1D" w:rsidRPr="004635E5">
        <w:rPr>
          <w:rFonts w:eastAsiaTheme="minorEastAsia"/>
          <w:sz w:val="22"/>
          <w:szCs w:val="22"/>
          <w:lang w:eastAsia="ko-KR"/>
        </w:rPr>
        <w:t xml:space="preserve">This is a critical issue for PNA and will become even more important </w:t>
      </w:r>
      <w:r w:rsidR="0041022C" w:rsidRPr="004635E5">
        <w:rPr>
          <w:rFonts w:eastAsiaTheme="minorEastAsia"/>
          <w:sz w:val="22"/>
          <w:szCs w:val="22"/>
          <w:lang w:eastAsia="ko-KR"/>
        </w:rPr>
        <w:t xml:space="preserve">when addressing </w:t>
      </w:r>
      <w:r w:rsidR="00313E1D" w:rsidRPr="004635E5">
        <w:rPr>
          <w:rFonts w:eastAsiaTheme="minorEastAsia"/>
          <w:sz w:val="22"/>
          <w:szCs w:val="22"/>
          <w:lang w:eastAsia="ko-KR"/>
        </w:rPr>
        <w:t>multi-species implications</w:t>
      </w:r>
      <w:r w:rsidR="0041022C" w:rsidRPr="004635E5">
        <w:rPr>
          <w:rFonts w:eastAsiaTheme="minorEastAsia"/>
          <w:sz w:val="22"/>
          <w:szCs w:val="22"/>
          <w:lang w:eastAsia="ko-KR"/>
        </w:rPr>
        <w:t>,</w:t>
      </w:r>
      <w:r w:rsidR="00313E1D" w:rsidRPr="004635E5">
        <w:rPr>
          <w:rFonts w:eastAsiaTheme="minorEastAsia"/>
          <w:sz w:val="22"/>
          <w:szCs w:val="22"/>
          <w:lang w:eastAsia="ko-KR"/>
        </w:rPr>
        <w:t xml:space="preserve"> </w:t>
      </w:r>
      <w:r w:rsidR="0041022C" w:rsidRPr="004635E5">
        <w:rPr>
          <w:rFonts w:eastAsiaTheme="minorEastAsia"/>
          <w:sz w:val="22"/>
          <w:szCs w:val="22"/>
          <w:lang w:eastAsia="ko-KR"/>
        </w:rPr>
        <w:t xml:space="preserve">which </w:t>
      </w:r>
      <w:r w:rsidR="00313E1D" w:rsidRPr="004635E5">
        <w:rPr>
          <w:rFonts w:eastAsiaTheme="minorEastAsia"/>
          <w:sz w:val="22"/>
          <w:szCs w:val="22"/>
          <w:lang w:eastAsia="ko-KR"/>
        </w:rPr>
        <w:t>can have substantial trade-offs and distributional impacts. </w:t>
      </w:r>
      <w:r w:rsidR="0041022C" w:rsidRPr="004635E5">
        <w:rPr>
          <w:rFonts w:eastAsiaTheme="minorEastAsia"/>
          <w:sz w:val="22"/>
          <w:szCs w:val="22"/>
          <w:lang w:eastAsia="ko-KR"/>
        </w:rPr>
        <w:t xml:space="preserve">PNA </w:t>
      </w:r>
      <w:r w:rsidR="00313E1D" w:rsidRPr="004635E5">
        <w:rPr>
          <w:rFonts w:eastAsiaTheme="minorEastAsia"/>
          <w:sz w:val="22"/>
          <w:szCs w:val="22"/>
          <w:lang w:eastAsia="ko-KR"/>
        </w:rPr>
        <w:t>accept</w:t>
      </w:r>
      <w:r w:rsidR="0041022C" w:rsidRPr="004635E5">
        <w:rPr>
          <w:rFonts w:eastAsiaTheme="minorEastAsia"/>
          <w:sz w:val="22"/>
          <w:szCs w:val="22"/>
          <w:lang w:eastAsia="ko-KR"/>
        </w:rPr>
        <w:t>ed</w:t>
      </w:r>
      <w:r w:rsidR="00313E1D" w:rsidRPr="004635E5">
        <w:rPr>
          <w:rFonts w:eastAsiaTheme="minorEastAsia"/>
          <w:sz w:val="22"/>
          <w:szCs w:val="22"/>
          <w:lang w:eastAsia="ko-KR"/>
        </w:rPr>
        <w:t xml:space="preserve"> SPC</w:t>
      </w:r>
      <w:r w:rsidR="0041022C" w:rsidRPr="004635E5">
        <w:rPr>
          <w:rFonts w:eastAsiaTheme="minorEastAsia"/>
          <w:sz w:val="22"/>
          <w:szCs w:val="22"/>
          <w:lang w:eastAsia="ko-KR"/>
        </w:rPr>
        <w:t>’</w:t>
      </w:r>
      <w:r w:rsidR="00313E1D" w:rsidRPr="004635E5">
        <w:rPr>
          <w:rFonts w:eastAsiaTheme="minorEastAsia"/>
          <w:sz w:val="22"/>
          <w:szCs w:val="22"/>
          <w:lang w:eastAsia="ko-KR"/>
        </w:rPr>
        <w:t>s reasoning as to why PI</w:t>
      </w:r>
      <w:r w:rsidR="0041022C" w:rsidRPr="004635E5">
        <w:rPr>
          <w:rFonts w:eastAsiaTheme="minorEastAsia"/>
          <w:sz w:val="22"/>
          <w:szCs w:val="22"/>
          <w:lang w:eastAsia="ko-KR"/>
        </w:rPr>
        <w:t>-5 does</w:t>
      </w:r>
      <w:r w:rsidR="00313E1D" w:rsidRPr="004635E5">
        <w:rPr>
          <w:rFonts w:eastAsiaTheme="minorEastAsia"/>
          <w:sz w:val="22"/>
          <w:szCs w:val="22"/>
          <w:lang w:eastAsia="ko-KR"/>
        </w:rPr>
        <w:t xml:space="preserve"> </w:t>
      </w:r>
      <w:r w:rsidR="0041022C" w:rsidRPr="004635E5">
        <w:rPr>
          <w:rFonts w:eastAsiaTheme="minorEastAsia"/>
          <w:sz w:val="22"/>
          <w:szCs w:val="22"/>
          <w:lang w:eastAsia="ko-KR"/>
        </w:rPr>
        <w:t xml:space="preserve">not </w:t>
      </w:r>
      <w:r w:rsidR="00313E1D" w:rsidRPr="004635E5">
        <w:rPr>
          <w:rFonts w:eastAsiaTheme="minorEastAsia"/>
          <w:sz w:val="22"/>
          <w:szCs w:val="22"/>
          <w:lang w:eastAsia="ko-KR"/>
        </w:rPr>
        <w:t>work in its current form</w:t>
      </w:r>
      <w:r w:rsidR="0041022C" w:rsidRPr="004635E5">
        <w:rPr>
          <w:rFonts w:eastAsiaTheme="minorEastAsia"/>
          <w:sz w:val="22"/>
          <w:szCs w:val="22"/>
          <w:lang w:eastAsia="ko-KR"/>
        </w:rPr>
        <w:t>,</w:t>
      </w:r>
      <w:r w:rsidR="00313E1D" w:rsidRPr="004635E5">
        <w:rPr>
          <w:rFonts w:eastAsiaTheme="minorEastAsia"/>
          <w:sz w:val="22"/>
          <w:szCs w:val="22"/>
          <w:lang w:eastAsia="ko-KR"/>
        </w:rPr>
        <w:t xml:space="preserve"> and </w:t>
      </w:r>
      <w:r w:rsidR="0041022C" w:rsidRPr="004635E5">
        <w:rPr>
          <w:rFonts w:eastAsiaTheme="minorEastAsia"/>
          <w:sz w:val="22"/>
          <w:szCs w:val="22"/>
          <w:lang w:eastAsia="ko-KR"/>
        </w:rPr>
        <w:t xml:space="preserve">stated they were </w:t>
      </w:r>
      <w:r w:rsidR="00313E1D" w:rsidRPr="004635E5">
        <w:rPr>
          <w:rFonts w:eastAsiaTheme="minorEastAsia"/>
          <w:sz w:val="22"/>
          <w:szCs w:val="22"/>
          <w:lang w:eastAsia="ko-KR"/>
        </w:rPr>
        <w:t xml:space="preserve">happy to </w:t>
      </w:r>
      <w:r w:rsidR="0041022C" w:rsidRPr="004635E5">
        <w:rPr>
          <w:rFonts w:eastAsiaTheme="minorEastAsia"/>
          <w:sz w:val="22"/>
          <w:szCs w:val="22"/>
          <w:lang w:eastAsia="ko-KR"/>
        </w:rPr>
        <w:t>better convey</w:t>
      </w:r>
      <w:r w:rsidR="00313E1D" w:rsidRPr="004635E5">
        <w:rPr>
          <w:rFonts w:eastAsiaTheme="minorEastAsia"/>
          <w:sz w:val="22"/>
          <w:szCs w:val="22"/>
          <w:lang w:eastAsia="ko-KR"/>
        </w:rPr>
        <w:t xml:space="preserve"> </w:t>
      </w:r>
      <w:r w:rsidR="0041022C" w:rsidRPr="004635E5">
        <w:rPr>
          <w:rFonts w:eastAsiaTheme="minorEastAsia"/>
          <w:sz w:val="22"/>
          <w:szCs w:val="22"/>
          <w:lang w:eastAsia="ko-KR"/>
        </w:rPr>
        <w:t xml:space="preserve">the idea so </w:t>
      </w:r>
      <w:r w:rsidR="00313E1D" w:rsidRPr="004635E5">
        <w:rPr>
          <w:rFonts w:eastAsiaTheme="minorEastAsia"/>
          <w:sz w:val="22"/>
          <w:szCs w:val="22"/>
          <w:lang w:eastAsia="ko-KR"/>
        </w:rPr>
        <w:t xml:space="preserve">it can be </w:t>
      </w:r>
      <w:r w:rsidR="0041022C" w:rsidRPr="004635E5">
        <w:rPr>
          <w:rFonts w:eastAsiaTheme="minorEastAsia"/>
          <w:sz w:val="22"/>
          <w:szCs w:val="22"/>
          <w:lang w:eastAsia="ko-KR"/>
        </w:rPr>
        <w:t xml:space="preserve">incorporated in </w:t>
      </w:r>
      <w:r w:rsidR="00313E1D" w:rsidRPr="004635E5">
        <w:rPr>
          <w:rFonts w:eastAsiaTheme="minorEastAsia"/>
          <w:sz w:val="22"/>
          <w:szCs w:val="22"/>
          <w:lang w:eastAsia="ko-KR"/>
        </w:rPr>
        <w:t>the assessment</w:t>
      </w:r>
      <w:r w:rsidR="0041022C" w:rsidRPr="004635E5">
        <w:rPr>
          <w:rFonts w:eastAsiaTheme="minorEastAsia"/>
          <w:sz w:val="22"/>
          <w:szCs w:val="22"/>
          <w:lang w:eastAsia="ko-KR"/>
        </w:rPr>
        <w:t>,</w:t>
      </w:r>
      <w:r w:rsidR="00313E1D" w:rsidRPr="004635E5">
        <w:rPr>
          <w:rFonts w:eastAsiaTheme="minorEastAsia"/>
          <w:sz w:val="22"/>
          <w:szCs w:val="22"/>
          <w:lang w:eastAsia="ko-KR"/>
        </w:rPr>
        <w:t xml:space="preserve"> rather than in the monitoring strategy</w:t>
      </w:r>
      <w:r w:rsidR="00A16680" w:rsidRPr="004635E5">
        <w:rPr>
          <w:rFonts w:eastAsiaTheme="minorEastAsia"/>
          <w:sz w:val="22"/>
          <w:szCs w:val="22"/>
          <w:lang w:eastAsia="ko-KR"/>
        </w:rPr>
        <w:t xml:space="preserve">. </w:t>
      </w:r>
      <w:r w:rsidR="0041022C" w:rsidRPr="004635E5">
        <w:rPr>
          <w:rFonts w:eastAsiaTheme="minorEastAsia"/>
          <w:sz w:val="22"/>
          <w:szCs w:val="22"/>
          <w:lang w:eastAsia="ko-KR"/>
        </w:rPr>
        <w:t xml:space="preserve">They noted this was </w:t>
      </w:r>
      <w:r w:rsidR="00313E1D" w:rsidRPr="004635E5">
        <w:rPr>
          <w:rFonts w:eastAsiaTheme="minorEastAsia"/>
          <w:sz w:val="22"/>
          <w:szCs w:val="22"/>
          <w:lang w:eastAsia="ko-KR"/>
        </w:rPr>
        <w:t xml:space="preserve">not a scientific issue, but </w:t>
      </w:r>
      <w:r w:rsidR="0041022C" w:rsidRPr="004635E5">
        <w:rPr>
          <w:rFonts w:eastAsiaTheme="minorEastAsia"/>
          <w:sz w:val="22"/>
          <w:szCs w:val="22"/>
          <w:lang w:eastAsia="ko-KR"/>
        </w:rPr>
        <w:t xml:space="preserve">stated that </w:t>
      </w:r>
      <w:r w:rsidR="00313E1D" w:rsidRPr="004635E5">
        <w:rPr>
          <w:rFonts w:eastAsiaTheme="minorEastAsia"/>
          <w:sz w:val="22"/>
          <w:szCs w:val="22"/>
          <w:lang w:eastAsia="ko-KR"/>
        </w:rPr>
        <w:t>PNA members have taken the Commission on trust before that disproportionate burden would be addressed at some point</w:t>
      </w:r>
      <w:r w:rsidR="0041022C" w:rsidRPr="004635E5">
        <w:rPr>
          <w:rFonts w:eastAsiaTheme="minorEastAsia"/>
          <w:sz w:val="22"/>
          <w:szCs w:val="22"/>
          <w:lang w:eastAsia="ko-KR"/>
        </w:rPr>
        <w:t>,</w:t>
      </w:r>
      <w:r w:rsidR="00313E1D" w:rsidRPr="004635E5">
        <w:rPr>
          <w:rFonts w:eastAsiaTheme="minorEastAsia"/>
          <w:sz w:val="22"/>
          <w:szCs w:val="22"/>
          <w:lang w:eastAsia="ko-KR"/>
        </w:rPr>
        <w:t xml:space="preserve"> and that has not eventuated</w:t>
      </w:r>
      <w:r w:rsidR="0041022C" w:rsidRPr="004635E5">
        <w:rPr>
          <w:rFonts w:eastAsiaTheme="minorEastAsia"/>
          <w:sz w:val="22"/>
          <w:szCs w:val="22"/>
          <w:lang w:eastAsia="ko-KR"/>
        </w:rPr>
        <w:t>,</w:t>
      </w:r>
      <w:r w:rsidR="00313E1D" w:rsidRPr="004635E5">
        <w:rPr>
          <w:rFonts w:eastAsiaTheme="minorEastAsia"/>
          <w:sz w:val="22"/>
          <w:szCs w:val="22"/>
          <w:lang w:eastAsia="ko-KR"/>
        </w:rPr>
        <w:t xml:space="preserve"> </w:t>
      </w:r>
      <w:r w:rsidR="0041022C" w:rsidRPr="004635E5">
        <w:rPr>
          <w:rFonts w:eastAsiaTheme="minorEastAsia"/>
          <w:sz w:val="22"/>
          <w:szCs w:val="22"/>
          <w:lang w:eastAsia="ko-KR"/>
        </w:rPr>
        <w:t xml:space="preserve">and thus </w:t>
      </w:r>
      <w:r w:rsidR="00313E1D" w:rsidRPr="004635E5">
        <w:rPr>
          <w:rFonts w:eastAsiaTheme="minorEastAsia"/>
          <w:sz w:val="22"/>
          <w:szCs w:val="22"/>
          <w:lang w:eastAsia="ko-KR"/>
        </w:rPr>
        <w:t>maintain</w:t>
      </w:r>
      <w:r w:rsidR="0041022C" w:rsidRPr="004635E5">
        <w:rPr>
          <w:rFonts w:eastAsiaTheme="minorEastAsia"/>
          <w:sz w:val="22"/>
          <w:szCs w:val="22"/>
          <w:lang w:eastAsia="ko-KR"/>
        </w:rPr>
        <w:t>ed</w:t>
      </w:r>
      <w:r w:rsidR="00313E1D" w:rsidRPr="004635E5">
        <w:rPr>
          <w:rFonts w:eastAsiaTheme="minorEastAsia"/>
          <w:sz w:val="22"/>
          <w:szCs w:val="22"/>
          <w:lang w:eastAsia="ko-KR"/>
        </w:rPr>
        <w:t xml:space="preserve"> the importance of including it up front.</w:t>
      </w:r>
      <w:r w:rsidR="00D3668F" w:rsidRPr="004635E5">
        <w:rPr>
          <w:rFonts w:eastAsiaTheme="minorEastAsia"/>
          <w:sz w:val="22"/>
          <w:szCs w:val="22"/>
          <w:lang w:eastAsia="ko-KR"/>
        </w:rPr>
        <w:t xml:space="preserve"> </w:t>
      </w:r>
      <w:r w:rsidR="00313E1D" w:rsidRPr="004635E5">
        <w:rPr>
          <w:rFonts w:eastAsiaTheme="minorEastAsia"/>
          <w:sz w:val="22"/>
          <w:szCs w:val="22"/>
          <w:lang w:eastAsia="ko-KR"/>
        </w:rPr>
        <w:t>As such, we suggest that PI5 be retained in the main list for now, along with an annotation that it cannot be modelled in its current form and that PNA will undertake further work so that the issue of disproportionate burden can be included as a PI.</w:t>
      </w:r>
    </w:p>
    <w:p w14:paraId="4D8F560C" w14:textId="77777777" w:rsidR="00A2648C" w:rsidRPr="004635E5" w:rsidRDefault="00A2648C" w:rsidP="006633A8">
      <w:pPr>
        <w:autoSpaceDE w:val="0"/>
        <w:autoSpaceDN w:val="0"/>
        <w:adjustRightInd w:val="0"/>
        <w:snapToGrid w:val="0"/>
        <w:jc w:val="both"/>
        <w:rPr>
          <w:rFonts w:eastAsiaTheme="minorEastAsia"/>
          <w:sz w:val="22"/>
          <w:szCs w:val="22"/>
          <w:lang w:eastAsia="ko-KR"/>
        </w:rPr>
      </w:pPr>
    </w:p>
    <w:p w14:paraId="0EE4FA01" w14:textId="77777777" w:rsidR="00812008" w:rsidRDefault="00AE75F3"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Aus</w:t>
      </w:r>
      <w:r w:rsidR="003C4D3D" w:rsidRPr="004635E5">
        <w:rPr>
          <w:rFonts w:eastAsiaTheme="minorEastAsia"/>
          <w:sz w:val="22"/>
          <w:szCs w:val="22"/>
          <w:lang w:eastAsia="ko-KR"/>
        </w:rPr>
        <w:t>tralia</w:t>
      </w:r>
      <w:r w:rsidR="0041022C" w:rsidRPr="004635E5">
        <w:rPr>
          <w:rFonts w:eastAsiaTheme="minorEastAsia"/>
          <w:sz w:val="22"/>
          <w:szCs w:val="22"/>
          <w:lang w:eastAsia="ko-KR"/>
        </w:rPr>
        <w:t>,</w:t>
      </w:r>
      <w:r w:rsidRPr="004635E5">
        <w:rPr>
          <w:rFonts w:eastAsiaTheme="minorEastAsia"/>
          <w:sz w:val="22"/>
          <w:szCs w:val="22"/>
          <w:lang w:eastAsia="ko-KR"/>
        </w:rPr>
        <w:t xml:space="preserve"> on </w:t>
      </w:r>
      <w:r w:rsidR="003C4D3D" w:rsidRPr="004635E5">
        <w:rPr>
          <w:rFonts w:eastAsiaTheme="minorEastAsia"/>
          <w:sz w:val="22"/>
          <w:szCs w:val="22"/>
          <w:lang w:eastAsia="ko-KR"/>
        </w:rPr>
        <w:t xml:space="preserve">the </w:t>
      </w:r>
      <w:r w:rsidRPr="004635E5">
        <w:rPr>
          <w:rFonts w:eastAsiaTheme="minorEastAsia"/>
          <w:sz w:val="22"/>
          <w:szCs w:val="22"/>
          <w:lang w:eastAsia="ko-KR"/>
        </w:rPr>
        <w:t>issue of presentation of results and to allow comp</w:t>
      </w:r>
      <w:r w:rsidR="003C4D3D" w:rsidRPr="004635E5">
        <w:rPr>
          <w:rFonts w:eastAsiaTheme="minorEastAsia"/>
          <w:sz w:val="22"/>
          <w:szCs w:val="22"/>
          <w:lang w:eastAsia="ko-KR"/>
        </w:rPr>
        <w:t>arison</w:t>
      </w:r>
      <w:r w:rsidRPr="004635E5">
        <w:rPr>
          <w:rFonts w:eastAsiaTheme="minorEastAsia"/>
          <w:sz w:val="22"/>
          <w:szCs w:val="22"/>
          <w:lang w:eastAsia="ko-KR"/>
        </w:rPr>
        <w:t xml:space="preserve"> between diff</w:t>
      </w:r>
      <w:r w:rsidR="00D3668F" w:rsidRPr="004635E5">
        <w:rPr>
          <w:rFonts w:eastAsiaTheme="minorEastAsia"/>
          <w:sz w:val="22"/>
          <w:szCs w:val="22"/>
          <w:lang w:eastAsia="ko-KR"/>
        </w:rPr>
        <w:t>erent</w:t>
      </w:r>
      <w:r w:rsidRPr="004635E5">
        <w:rPr>
          <w:rFonts w:eastAsiaTheme="minorEastAsia"/>
          <w:sz w:val="22"/>
          <w:szCs w:val="22"/>
          <w:lang w:eastAsia="ko-KR"/>
        </w:rPr>
        <w:t xml:space="preserve"> MPs, </w:t>
      </w:r>
      <w:r w:rsidR="00D3668F" w:rsidRPr="004635E5">
        <w:rPr>
          <w:rFonts w:eastAsiaTheme="minorEastAsia"/>
          <w:sz w:val="22"/>
          <w:szCs w:val="22"/>
          <w:lang w:eastAsia="ko-KR"/>
        </w:rPr>
        <w:t xml:space="preserve">suggested </w:t>
      </w:r>
      <w:r w:rsidRPr="004635E5">
        <w:rPr>
          <w:rFonts w:eastAsiaTheme="minorEastAsia"/>
          <w:sz w:val="22"/>
          <w:szCs w:val="22"/>
          <w:lang w:eastAsia="ko-KR"/>
        </w:rPr>
        <w:t>test</w:t>
      </w:r>
      <w:r w:rsidR="00D3668F" w:rsidRPr="004635E5">
        <w:rPr>
          <w:rFonts w:eastAsiaTheme="minorEastAsia"/>
          <w:sz w:val="22"/>
          <w:szCs w:val="22"/>
          <w:lang w:eastAsia="ko-KR"/>
        </w:rPr>
        <w:t>ing</w:t>
      </w:r>
      <w:r w:rsidRPr="004635E5">
        <w:rPr>
          <w:rFonts w:eastAsiaTheme="minorEastAsia"/>
          <w:sz w:val="22"/>
          <w:szCs w:val="22"/>
          <w:lang w:eastAsia="ko-KR"/>
        </w:rPr>
        <w:t xml:space="preserve"> </w:t>
      </w:r>
      <w:r w:rsidR="00D3668F" w:rsidRPr="004635E5">
        <w:rPr>
          <w:rFonts w:eastAsiaTheme="minorEastAsia"/>
          <w:sz w:val="22"/>
          <w:szCs w:val="22"/>
          <w:lang w:eastAsia="ko-KR"/>
        </w:rPr>
        <w:t xml:space="preserve">the </w:t>
      </w:r>
      <w:r w:rsidRPr="004635E5">
        <w:rPr>
          <w:rFonts w:eastAsiaTheme="minorEastAsia"/>
          <w:sz w:val="22"/>
          <w:szCs w:val="22"/>
          <w:lang w:eastAsia="ko-KR"/>
        </w:rPr>
        <w:t>approaches with br</w:t>
      </w:r>
      <w:r w:rsidR="003C4D3D" w:rsidRPr="004635E5">
        <w:rPr>
          <w:rFonts w:eastAsiaTheme="minorEastAsia"/>
          <w:sz w:val="22"/>
          <w:szCs w:val="22"/>
          <w:lang w:eastAsia="ko-KR"/>
        </w:rPr>
        <w:t>oa</w:t>
      </w:r>
      <w:r w:rsidRPr="004635E5">
        <w:rPr>
          <w:rFonts w:eastAsiaTheme="minorEastAsia"/>
          <w:sz w:val="22"/>
          <w:szCs w:val="22"/>
          <w:lang w:eastAsia="ko-KR"/>
        </w:rPr>
        <w:t xml:space="preserve">der stakeholder groups. In some example plots </w:t>
      </w:r>
      <w:r w:rsidR="003C4D3D" w:rsidRPr="004635E5">
        <w:rPr>
          <w:rFonts w:eastAsiaTheme="minorEastAsia"/>
          <w:sz w:val="22"/>
          <w:szCs w:val="22"/>
          <w:lang w:eastAsia="ko-KR"/>
        </w:rPr>
        <w:t xml:space="preserve">there </w:t>
      </w:r>
      <w:r w:rsidRPr="004635E5">
        <w:rPr>
          <w:rFonts w:eastAsiaTheme="minorEastAsia"/>
          <w:sz w:val="22"/>
          <w:szCs w:val="22"/>
          <w:lang w:eastAsia="ko-KR"/>
        </w:rPr>
        <w:t>is an emph</w:t>
      </w:r>
      <w:r w:rsidR="003C4D3D" w:rsidRPr="004635E5">
        <w:rPr>
          <w:rFonts w:eastAsiaTheme="minorEastAsia"/>
          <w:sz w:val="22"/>
          <w:szCs w:val="22"/>
          <w:lang w:eastAsia="ko-KR"/>
        </w:rPr>
        <w:t>a</w:t>
      </w:r>
      <w:r w:rsidRPr="004635E5">
        <w:rPr>
          <w:rFonts w:eastAsiaTheme="minorEastAsia"/>
          <w:sz w:val="22"/>
          <w:szCs w:val="22"/>
          <w:lang w:eastAsia="ko-KR"/>
        </w:rPr>
        <w:t xml:space="preserve">sis on outcomes in </w:t>
      </w:r>
      <w:r w:rsidR="003C4D3D" w:rsidRPr="004635E5">
        <w:rPr>
          <w:rFonts w:eastAsiaTheme="minorEastAsia"/>
          <w:sz w:val="22"/>
          <w:szCs w:val="22"/>
          <w:lang w:eastAsia="ko-KR"/>
        </w:rPr>
        <w:t xml:space="preserve">the </w:t>
      </w:r>
      <w:r w:rsidRPr="004635E5">
        <w:rPr>
          <w:rFonts w:eastAsiaTheme="minorEastAsia"/>
          <w:sz w:val="22"/>
          <w:szCs w:val="22"/>
          <w:lang w:eastAsia="ko-KR"/>
        </w:rPr>
        <w:t>short, med</w:t>
      </w:r>
      <w:r w:rsidR="003C4D3D" w:rsidRPr="004635E5">
        <w:rPr>
          <w:rFonts w:eastAsiaTheme="minorEastAsia"/>
          <w:sz w:val="22"/>
          <w:szCs w:val="22"/>
          <w:lang w:eastAsia="ko-KR"/>
        </w:rPr>
        <w:t>ium</w:t>
      </w:r>
      <w:r w:rsidRPr="004635E5">
        <w:rPr>
          <w:rFonts w:eastAsiaTheme="minorEastAsia"/>
          <w:sz w:val="22"/>
          <w:szCs w:val="22"/>
          <w:lang w:eastAsia="ko-KR"/>
        </w:rPr>
        <w:t xml:space="preserve"> and long term, but will </w:t>
      </w:r>
      <w:r w:rsidR="003C4D3D" w:rsidRPr="004635E5">
        <w:rPr>
          <w:rFonts w:eastAsiaTheme="minorEastAsia"/>
          <w:sz w:val="22"/>
          <w:szCs w:val="22"/>
          <w:lang w:eastAsia="ko-KR"/>
        </w:rPr>
        <w:t xml:space="preserve">run </w:t>
      </w:r>
      <w:r w:rsidRPr="004635E5">
        <w:rPr>
          <w:rFonts w:eastAsiaTheme="minorEastAsia"/>
          <w:sz w:val="22"/>
          <w:szCs w:val="22"/>
          <w:lang w:eastAsia="ko-KR"/>
        </w:rPr>
        <w:t xml:space="preserve">short of plot space quickly. </w:t>
      </w:r>
    </w:p>
    <w:p w14:paraId="0157C492" w14:textId="77777777" w:rsidR="00812008" w:rsidRDefault="00812008" w:rsidP="00D10883">
      <w:pPr>
        <w:pStyle w:val="ListParagraph"/>
        <w:rPr>
          <w:rFonts w:eastAsiaTheme="minorEastAsia"/>
          <w:sz w:val="22"/>
          <w:szCs w:val="22"/>
          <w:lang w:eastAsia="ko-KR"/>
        </w:rPr>
      </w:pPr>
    </w:p>
    <w:p w14:paraId="1F1CBE1A" w14:textId="77777777" w:rsidR="00812008" w:rsidRDefault="0041022C"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Japan asked whether effort creep scenarios were included in the operating model, given the effect this would have on MEY over time. SPC responded that they were not</w:t>
      </w:r>
      <w:r w:rsidRPr="004635E5" w:rsidDel="00DD214F">
        <w:rPr>
          <w:rFonts w:eastAsiaTheme="minorEastAsia"/>
          <w:sz w:val="22"/>
          <w:szCs w:val="22"/>
          <w:lang w:eastAsia="ko-KR"/>
        </w:rPr>
        <w:t xml:space="preserve"> </w:t>
      </w:r>
      <w:r w:rsidRPr="004635E5">
        <w:rPr>
          <w:rFonts w:eastAsiaTheme="minorEastAsia"/>
          <w:sz w:val="22"/>
          <w:szCs w:val="22"/>
          <w:lang w:eastAsia="ko-KR"/>
        </w:rPr>
        <w:t>as they were only using the indicators presently identified</w:t>
      </w:r>
      <w:r w:rsidR="00173A7A">
        <w:rPr>
          <w:rFonts w:eastAsiaTheme="minorEastAsia"/>
          <w:sz w:val="22"/>
          <w:szCs w:val="22"/>
          <w:lang w:eastAsia="ko-KR"/>
        </w:rPr>
        <w:t>, but were proposed for the OM uncertainty grid for skipjack</w:t>
      </w:r>
      <w:r w:rsidR="00A16680" w:rsidRPr="004635E5">
        <w:rPr>
          <w:rFonts w:eastAsiaTheme="minorEastAsia"/>
          <w:sz w:val="22"/>
          <w:szCs w:val="22"/>
          <w:lang w:eastAsia="ko-KR"/>
        </w:rPr>
        <w:t xml:space="preserve">. </w:t>
      </w:r>
    </w:p>
    <w:p w14:paraId="2CB5B39B" w14:textId="77777777" w:rsidR="00812008" w:rsidRDefault="00812008" w:rsidP="00D10883">
      <w:pPr>
        <w:pStyle w:val="ListParagraph"/>
        <w:rPr>
          <w:rFonts w:eastAsiaTheme="minorEastAsia"/>
          <w:sz w:val="22"/>
          <w:szCs w:val="22"/>
          <w:lang w:eastAsia="ko-KR"/>
        </w:rPr>
      </w:pPr>
    </w:p>
    <w:p w14:paraId="51B7FD37" w14:textId="77777777" w:rsidR="00812008" w:rsidRDefault="002F2B7D"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Indo</w:t>
      </w:r>
      <w:r w:rsidR="00D3668F" w:rsidRPr="004635E5">
        <w:rPr>
          <w:rFonts w:eastAsiaTheme="minorEastAsia"/>
          <w:sz w:val="22"/>
          <w:szCs w:val="22"/>
          <w:lang w:eastAsia="ko-KR"/>
        </w:rPr>
        <w:t xml:space="preserve">nesia stated that </w:t>
      </w:r>
      <w:r w:rsidRPr="004635E5">
        <w:rPr>
          <w:rFonts w:eastAsiaTheme="minorEastAsia"/>
          <w:sz w:val="22"/>
          <w:szCs w:val="22"/>
          <w:lang w:eastAsia="ko-KR"/>
        </w:rPr>
        <w:t xml:space="preserve">7 of the 11 </w:t>
      </w:r>
      <w:r w:rsidR="0041022C" w:rsidRPr="004635E5">
        <w:rPr>
          <w:rFonts w:eastAsiaTheme="minorEastAsia"/>
          <w:sz w:val="22"/>
          <w:szCs w:val="22"/>
          <w:lang w:eastAsia="ko-KR"/>
        </w:rPr>
        <w:t xml:space="preserve">PIs </w:t>
      </w:r>
      <w:r w:rsidR="00D3668F" w:rsidRPr="004635E5">
        <w:rPr>
          <w:rFonts w:eastAsiaTheme="minorEastAsia"/>
          <w:sz w:val="22"/>
          <w:szCs w:val="22"/>
          <w:lang w:eastAsia="ko-KR"/>
        </w:rPr>
        <w:t xml:space="preserve">were </w:t>
      </w:r>
      <w:r w:rsidRPr="004635E5">
        <w:rPr>
          <w:rFonts w:eastAsiaTheme="minorEastAsia"/>
          <w:sz w:val="22"/>
          <w:szCs w:val="22"/>
          <w:lang w:eastAsia="ko-KR"/>
        </w:rPr>
        <w:t>related to econ</w:t>
      </w:r>
      <w:r w:rsidR="00D3668F" w:rsidRPr="004635E5">
        <w:rPr>
          <w:rFonts w:eastAsiaTheme="minorEastAsia"/>
          <w:sz w:val="22"/>
          <w:szCs w:val="22"/>
          <w:lang w:eastAsia="ko-KR"/>
        </w:rPr>
        <w:t>omics</w:t>
      </w:r>
      <w:r w:rsidRPr="004635E5">
        <w:rPr>
          <w:rFonts w:eastAsiaTheme="minorEastAsia"/>
          <w:sz w:val="22"/>
          <w:szCs w:val="22"/>
          <w:lang w:eastAsia="ko-KR"/>
        </w:rPr>
        <w:t xml:space="preserve">, and </w:t>
      </w:r>
      <w:r w:rsidR="0041022C" w:rsidRPr="004635E5">
        <w:rPr>
          <w:rFonts w:eastAsiaTheme="minorEastAsia"/>
          <w:sz w:val="22"/>
          <w:szCs w:val="22"/>
          <w:lang w:eastAsia="ko-KR"/>
        </w:rPr>
        <w:t xml:space="preserve">noted </w:t>
      </w:r>
      <w:r w:rsidR="00D3668F" w:rsidRPr="004635E5">
        <w:rPr>
          <w:rFonts w:eastAsiaTheme="minorEastAsia"/>
          <w:sz w:val="22"/>
          <w:szCs w:val="22"/>
          <w:lang w:eastAsia="ko-KR"/>
        </w:rPr>
        <w:t xml:space="preserve">SC </w:t>
      </w:r>
      <w:r w:rsidRPr="004635E5">
        <w:rPr>
          <w:rFonts w:eastAsiaTheme="minorEastAsia"/>
          <w:sz w:val="22"/>
          <w:szCs w:val="22"/>
          <w:lang w:eastAsia="ko-KR"/>
        </w:rPr>
        <w:t>do</w:t>
      </w:r>
      <w:r w:rsidR="00D3668F" w:rsidRPr="004635E5">
        <w:rPr>
          <w:rFonts w:eastAsiaTheme="minorEastAsia"/>
          <w:sz w:val="22"/>
          <w:szCs w:val="22"/>
          <w:lang w:eastAsia="ko-KR"/>
        </w:rPr>
        <w:t>es</w:t>
      </w:r>
      <w:r w:rsidRPr="004635E5">
        <w:rPr>
          <w:rFonts w:eastAsiaTheme="minorEastAsia"/>
          <w:sz w:val="22"/>
          <w:szCs w:val="22"/>
          <w:lang w:eastAsia="ko-KR"/>
        </w:rPr>
        <w:t>n’t really discuss econ</w:t>
      </w:r>
      <w:r w:rsidR="0041022C" w:rsidRPr="004635E5">
        <w:rPr>
          <w:rFonts w:eastAsiaTheme="minorEastAsia"/>
          <w:sz w:val="22"/>
          <w:szCs w:val="22"/>
          <w:lang w:eastAsia="ko-KR"/>
        </w:rPr>
        <w:t>omic</w:t>
      </w:r>
      <w:r w:rsidRPr="004635E5">
        <w:rPr>
          <w:rFonts w:eastAsiaTheme="minorEastAsia"/>
          <w:sz w:val="22"/>
          <w:szCs w:val="22"/>
          <w:lang w:eastAsia="ko-KR"/>
        </w:rPr>
        <w:t xml:space="preserve"> issues. </w:t>
      </w:r>
      <w:r w:rsidR="00D3668F" w:rsidRPr="004635E5">
        <w:rPr>
          <w:rFonts w:eastAsiaTheme="minorEastAsia"/>
          <w:sz w:val="22"/>
          <w:szCs w:val="22"/>
          <w:lang w:eastAsia="ko-KR"/>
        </w:rPr>
        <w:t xml:space="preserve">They inquired </w:t>
      </w:r>
      <w:r w:rsidR="0041022C" w:rsidRPr="004635E5">
        <w:rPr>
          <w:rFonts w:eastAsiaTheme="minorEastAsia"/>
          <w:sz w:val="22"/>
          <w:szCs w:val="22"/>
          <w:lang w:eastAsia="ko-KR"/>
        </w:rPr>
        <w:t xml:space="preserve">whether </w:t>
      </w:r>
      <w:r w:rsidR="00D3668F" w:rsidRPr="004635E5">
        <w:rPr>
          <w:rFonts w:eastAsiaTheme="minorEastAsia"/>
          <w:sz w:val="22"/>
          <w:szCs w:val="22"/>
          <w:lang w:eastAsia="ko-KR"/>
        </w:rPr>
        <w:t xml:space="preserve">economic parameters should be included </w:t>
      </w:r>
      <w:r w:rsidRPr="004635E5">
        <w:rPr>
          <w:rFonts w:eastAsiaTheme="minorEastAsia"/>
          <w:sz w:val="22"/>
          <w:szCs w:val="22"/>
          <w:lang w:eastAsia="ko-KR"/>
        </w:rPr>
        <w:t xml:space="preserve">in </w:t>
      </w:r>
      <w:r w:rsidR="0041022C" w:rsidRPr="004635E5">
        <w:rPr>
          <w:rFonts w:eastAsiaTheme="minorEastAsia"/>
          <w:sz w:val="22"/>
          <w:szCs w:val="22"/>
          <w:lang w:eastAsia="ko-KR"/>
        </w:rPr>
        <w:t xml:space="preserve">the </w:t>
      </w:r>
      <w:r w:rsidRPr="004635E5">
        <w:rPr>
          <w:rFonts w:eastAsiaTheme="minorEastAsia"/>
          <w:sz w:val="22"/>
          <w:szCs w:val="22"/>
          <w:lang w:eastAsia="ko-KR"/>
        </w:rPr>
        <w:t>op</w:t>
      </w:r>
      <w:r w:rsidR="00D72A9F" w:rsidRPr="004635E5">
        <w:rPr>
          <w:rFonts w:eastAsiaTheme="minorEastAsia"/>
          <w:sz w:val="22"/>
          <w:szCs w:val="22"/>
          <w:lang w:eastAsia="ko-KR"/>
        </w:rPr>
        <w:t>erating m</w:t>
      </w:r>
      <w:r w:rsidR="00D3668F" w:rsidRPr="004635E5">
        <w:rPr>
          <w:rFonts w:eastAsiaTheme="minorEastAsia"/>
          <w:sz w:val="22"/>
          <w:szCs w:val="22"/>
          <w:lang w:eastAsia="ko-KR"/>
        </w:rPr>
        <w:t>o</w:t>
      </w:r>
      <w:r w:rsidR="00D72A9F" w:rsidRPr="004635E5">
        <w:rPr>
          <w:rFonts w:eastAsiaTheme="minorEastAsia"/>
          <w:sz w:val="22"/>
          <w:szCs w:val="22"/>
          <w:lang w:eastAsia="ko-KR"/>
        </w:rPr>
        <w:t>dels, in addition to b</w:t>
      </w:r>
      <w:r w:rsidRPr="004635E5">
        <w:rPr>
          <w:rFonts w:eastAsiaTheme="minorEastAsia"/>
          <w:sz w:val="22"/>
          <w:szCs w:val="22"/>
          <w:lang w:eastAsia="ko-KR"/>
        </w:rPr>
        <w:t>i</w:t>
      </w:r>
      <w:r w:rsidR="00D72A9F" w:rsidRPr="004635E5">
        <w:rPr>
          <w:rFonts w:eastAsiaTheme="minorEastAsia"/>
          <w:sz w:val="22"/>
          <w:szCs w:val="22"/>
          <w:lang w:eastAsia="ko-KR"/>
        </w:rPr>
        <w:t>olog</w:t>
      </w:r>
      <w:r w:rsidR="0041022C" w:rsidRPr="004635E5">
        <w:rPr>
          <w:rFonts w:eastAsiaTheme="minorEastAsia"/>
          <w:sz w:val="22"/>
          <w:szCs w:val="22"/>
          <w:lang w:eastAsia="ko-KR"/>
        </w:rPr>
        <w:t>ical</w:t>
      </w:r>
      <w:r w:rsidRPr="004635E5">
        <w:rPr>
          <w:rFonts w:eastAsiaTheme="minorEastAsia"/>
          <w:sz w:val="22"/>
          <w:szCs w:val="22"/>
          <w:lang w:eastAsia="ko-KR"/>
        </w:rPr>
        <w:t xml:space="preserve"> and fishery parameters. SPC</w:t>
      </w:r>
      <w:r w:rsidR="00D3668F" w:rsidRPr="004635E5">
        <w:rPr>
          <w:rFonts w:eastAsiaTheme="minorEastAsia"/>
          <w:sz w:val="22"/>
          <w:szCs w:val="22"/>
          <w:lang w:eastAsia="ko-KR"/>
        </w:rPr>
        <w:t xml:space="preserve"> noted that </w:t>
      </w:r>
      <w:r w:rsidRPr="004635E5">
        <w:rPr>
          <w:rFonts w:eastAsiaTheme="minorEastAsia"/>
          <w:sz w:val="22"/>
          <w:szCs w:val="22"/>
          <w:lang w:eastAsia="ko-KR"/>
        </w:rPr>
        <w:t>econ</w:t>
      </w:r>
      <w:r w:rsidR="00D3668F" w:rsidRPr="004635E5">
        <w:rPr>
          <w:rFonts w:eastAsiaTheme="minorEastAsia"/>
          <w:sz w:val="22"/>
          <w:szCs w:val="22"/>
          <w:lang w:eastAsia="ko-KR"/>
        </w:rPr>
        <w:t xml:space="preserve">omic </w:t>
      </w:r>
      <w:r w:rsidRPr="004635E5">
        <w:rPr>
          <w:rFonts w:eastAsiaTheme="minorEastAsia"/>
          <w:sz w:val="22"/>
          <w:szCs w:val="22"/>
          <w:lang w:eastAsia="ko-KR"/>
        </w:rPr>
        <w:t xml:space="preserve">issues are </w:t>
      </w:r>
      <w:r w:rsidR="00D3668F" w:rsidRPr="004635E5">
        <w:rPr>
          <w:rFonts w:eastAsiaTheme="minorEastAsia"/>
          <w:sz w:val="22"/>
          <w:szCs w:val="22"/>
          <w:lang w:eastAsia="ko-KR"/>
        </w:rPr>
        <w:t xml:space="preserve">currently </w:t>
      </w:r>
      <w:r w:rsidR="0041022C" w:rsidRPr="004635E5">
        <w:rPr>
          <w:rFonts w:eastAsiaTheme="minorEastAsia"/>
          <w:sz w:val="22"/>
          <w:szCs w:val="22"/>
          <w:lang w:eastAsia="ko-KR"/>
        </w:rPr>
        <w:t xml:space="preserve">calculated </w:t>
      </w:r>
      <w:r w:rsidRPr="004635E5">
        <w:rPr>
          <w:rFonts w:eastAsiaTheme="minorEastAsia"/>
          <w:sz w:val="22"/>
          <w:szCs w:val="22"/>
          <w:lang w:eastAsia="ko-KR"/>
        </w:rPr>
        <w:t>post</w:t>
      </w:r>
      <w:r w:rsidR="00D3668F" w:rsidRPr="004635E5">
        <w:rPr>
          <w:rFonts w:eastAsiaTheme="minorEastAsia"/>
          <w:sz w:val="22"/>
          <w:szCs w:val="22"/>
          <w:lang w:eastAsia="ko-KR"/>
        </w:rPr>
        <w:t>-</w:t>
      </w:r>
      <w:r w:rsidRPr="004635E5">
        <w:rPr>
          <w:rFonts w:eastAsiaTheme="minorEastAsia"/>
          <w:sz w:val="22"/>
          <w:szCs w:val="22"/>
          <w:lang w:eastAsia="ko-KR"/>
        </w:rPr>
        <w:t xml:space="preserve">model, </w:t>
      </w:r>
      <w:r w:rsidR="0041022C" w:rsidRPr="004635E5">
        <w:rPr>
          <w:rFonts w:eastAsiaTheme="minorEastAsia"/>
          <w:sz w:val="22"/>
          <w:szCs w:val="22"/>
          <w:lang w:eastAsia="ko-KR"/>
        </w:rPr>
        <w:t xml:space="preserve">but </w:t>
      </w:r>
      <w:r w:rsidR="00D3668F" w:rsidRPr="004635E5">
        <w:rPr>
          <w:rFonts w:eastAsiaTheme="minorEastAsia"/>
          <w:sz w:val="22"/>
          <w:szCs w:val="22"/>
          <w:lang w:eastAsia="ko-KR"/>
        </w:rPr>
        <w:t xml:space="preserve">could </w:t>
      </w:r>
      <w:r w:rsidR="0041022C" w:rsidRPr="004635E5">
        <w:rPr>
          <w:rFonts w:eastAsiaTheme="minorEastAsia"/>
          <w:sz w:val="22"/>
          <w:szCs w:val="22"/>
          <w:lang w:eastAsia="ko-KR"/>
        </w:rPr>
        <w:t xml:space="preserve">be </w:t>
      </w:r>
      <w:r w:rsidRPr="004635E5">
        <w:rPr>
          <w:rFonts w:eastAsiaTheme="minorEastAsia"/>
          <w:sz w:val="22"/>
          <w:szCs w:val="22"/>
          <w:lang w:eastAsia="ko-KR"/>
        </w:rPr>
        <w:t>inc</w:t>
      </w:r>
      <w:r w:rsidR="00D3668F" w:rsidRPr="004635E5">
        <w:rPr>
          <w:rFonts w:eastAsiaTheme="minorEastAsia"/>
          <w:sz w:val="22"/>
          <w:szCs w:val="22"/>
          <w:lang w:eastAsia="ko-KR"/>
        </w:rPr>
        <w:t>l</w:t>
      </w:r>
      <w:r w:rsidR="0041022C" w:rsidRPr="004635E5">
        <w:rPr>
          <w:rFonts w:eastAsiaTheme="minorEastAsia"/>
          <w:sz w:val="22"/>
          <w:szCs w:val="22"/>
          <w:lang w:eastAsia="ko-KR"/>
        </w:rPr>
        <w:t>uded</w:t>
      </w:r>
      <w:r w:rsidRPr="004635E5">
        <w:rPr>
          <w:rFonts w:eastAsiaTheme="minorEastAsia"/>
          <w:sz w:val="22"/>
          <w:szCs w:val="22"/>
          <w:lang w:eastAsia="ko-KR"/>
        </w:rPr>
        <w:t xml:space="preserve"> in the m</w:t>
      </w:r>
      <w:r w:rsidR="00D3668F" w:rsidRPr="004635E5">
        <w:rPr>
          <w:rFonts w:eastAsiaTheme="minorEastAsia"/>
          <w:sz w:val="22"/>
          <w:szCs w:val="22"/>
          <w:lang w:eastAsia="ko-KR"/>
        </w:rPr>
        <w:t>odel</w:t>
      </w:r>
      <w:r w:rsidR="0041022C" w:rsidRPr="004635E5">
        <w:rPr>
          <w:rFonts w:eastAsiaTheme="minorEastAsia"/>
          <w:sz w:val="22"/>
          <w:szCs w:val="22"/>
          <w:lang w:eastAsia="ko-KR"/>
        </w:rPr>
        <w:t xml:space="preserve"> if reconfigured</w:t>
      </w:r>
      <w:r w:rsidR="00D3668F" w:rsidRPr="004635E5">
        <w:rPr>
          <w:rFonts w:eastAsiaTheme="minorEastAsia"/>
          <w:sz w:val="22"/>
          <w:szCs w:val="22"/>
          <w:lang w:eastAsia="ko-KR"/>
        </w:rPr>
        <w:t xml:space="preserve">, </w:t>
      </w:r>
      <w:r w:rsidR="0041022C" w:rsidRPr="004635E5">
        <w:rPr>
          <w:rFonts w:eastAsiaTheme="minorEastAsia"/>
          <w:sz w:val="22"/>
          <w:szCs w:val="22"/>
          <w:lang w:eastAsia="ko-KR"/>
        </w:rPr>
        <w:t>which would require liaising</w:t>
      </w:r>
      <w:r w:rsidRPr="004635E5">
        <w:rPr>
          <w:rFonts w:eastAsiaTheme="minorEastAsia"/>
          <w:sz w:val="22"/>
          <w:szCs w:val="22"/>
          <w:lang w:eastAsia="ko-KR"/>
        </w:rPr>
        <w:t xml:space="preserve"> w</w:t>
      </w:r>
      <w:r w:rsidR="00D3668F" w:rsidRPr="004635E5">
        <w:rPr>
          <w:rFonts w:eastAsiaTheme="minorEastAsia"/>
          <w:sz w:val="22"/>
          <w:szCs w:val="22"/>
          <w:lang w:eastAsia="ko-KR"/>
        </w:rPr>
        <w:t>i</w:t>
      </w:r>
      <w:r w:rsidRPr="004635E5">
        <w:rPr>
          <w:rFonts w:eastAsiaTheme="minorEastAsia"/>
          <w:sz w:val="22"/>
          <w:szCs w:val="22"/>
          <w:lang w:eastAsia="ko-KR"/>
        </w:rPr>
        <w:t xml:space="preserve">th economists. </w:t>
      </w:r>
    </w:p>
    <w:p w14:paraId="1A79F625" w14:textId="77777777" w:rsidR="00812008" w:rsidRDefault="00812008" w:rsidP="00D10883">
      <w:pPr>
        <w:pStyle w:val="ListParagraph"/>
        <w:rPr>
          <w:rFonts w:eastAsiaTheme="minorEastAsia"/>
          <w:sz w:val="22"/>
          <w:szCs w:val="22"/>
          <w:lang w:eastAsia="ko-KR"/>
        </w:rPr>
      </w:pPr>
    </w:p>
    <w:p w14:paraId="53E4AC6D" w14:textId="77777777" w:rsidR="002F2B7D" w:rsidRPr="004635E5" w:rsidRDefault="00D3668F"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In response to an inquiry from Japan regarding the process, </w:t>
      </w:r>
      <w:r w:rsidR="008D437F" w:rsidRPr="004635E5">
        <w:rPr>
          <w:rFonts w:eastAsiaTheme="minorEastAsia"/>
          <w:sz w:val="22"/>
          <w:szCs w:val="22"/>
          <w:lang w:eastAsia="ko-KR"/>
        </w:rPr>
        <w:t>SPC</w:t>
      </w:r>
      <w:r w:rsidRPr="004635E5">
        <w:rPr>
          <w:rFonts w:eastAsiaTheme="minorEastAsia"/>
          <w:sz w:val="22"/>
          <w:szCs w:val="22"/>
          <w:lang w:eastAsia="ko-KR"/>
        </w:rPr>
        <w:t xml:space="preserve"> noted the </w:t>
      </w:r>
      <w:r w:rsidR="008D437F" w:rsidRPr="004635E5">
        <w:rPr>
          <w:rFonts w:eastAsiaTheme="minorEastAsia"/>
          <w:sz w:val="22"/>
          <w:szCs w:val="22"/>
          <w:lang w:eastAsia="ko-KR"/>
        </w:rPr>
        <w:t>helpful commen</w:t>
      </w:r>
      <w:r w:rsidR="002F2B7D" w:rsidRPr="004635E5">
        <w:rPr>
          <w:rFonts w:eastAsiaTheme="minorEastAsia"/>
          <w:sz w:val="22"/>
          <w:szCs w:val="22"/>
          <w:lang w:eastAsia="ko-KR"/>
        </w:rPr>
        <w:t xml:space="preserve">ts, </w:t>
      </w:r>
      <w:r w:rsidRPr="004635E5">
        <w:rPr>
          <w:rFonts w:eastAsiaTheme="minorEastAsia"/>
          <w:sz w:val="22"/>
          <w:szCs w:val="22"/>
          <w:lang w:eastAsia="ko-KR"/>
        </w:rPr>
        <w:t xml:space="preserve">stated they would </w:t>
      </w:r>
      <w:r w:rsidR="002F2B7D" w:rsidRPr="004635E5">
        <w:rPr>
          <w:rFonts w:eastAsiaTheme="minorEastAsia"/>
          <w:sz w:val="22"/>
          <w:szCs w:val="22"/>
          <w:lang w:eastAsia="ko-KR"/>
        </w:rPr>
        <w:t>cont</w:t>
      </w:r>
      <w:r w:rsidRPr="004635E5">
        <w:rPr>
          <w:rFonts w:eastAsiaTheme="minorEastAsia"/>
          <w:sz w:val="22"/>
          <w:szCs w:val="22"/>
          <w:lang w:eastAsia="ko-KR"/>
        </w:rPr>
        <w:t>inue</w:t>
      </w:r>
      <w:r w:rsidR="002F2B7D" w:rsidRPr="004635E5">
        <w:rPr>
          <w:rFonts w:eastAsiaTheme="minorEastAsia"/>
          <w:sz w:val="22"/>
          <w:szCs w:val="22"/>
          <w:lang w:eastAsia="ko-KR"/>
        </w:rPr>
        <w:t xml:space="preserve"> develop</w:t>
      </w:r>
      <w:r w:rsidRPr="004635E5">
        <w:rPr>
          <w:rFonts w:eastAsiaTheme="minorEastAsia"/>
          <w:sz w:val="22"/>
          <w:szCs w:val="22"/>
          <w:lang w:eastAsia="ko-KR"/>
        </w:rPr>
        <w:t>ing</w:t>
      </w:r>
      <w:r w:rsidR="002F2B7D" w:rsidRPr="004635E5">
        <w:rPr>
          <w:rFonts w:eastAsiaTheme="minorEastAsia"/>
          <w:sz w:val="22"/>
          <w:szCs w:val="22"/>
          <w:lang w:eastAsia="ko-KR"/>
        </w:rPr>
        <w:t xml:space="preserve"> the indicators</w:t>
      </w:r>
      <w:r w:rsidRPr="004635E5">
        <w:rPr>
          <w:rFonts w:eastAsiaTheme="minorEastAsia"/>
          <w:sz w:val="22"/>
          <w:szCs w:val="22"/>
          <w:lang w:eastAsia="ko-KR"/>
        </w:rPr>
        <w:t xml:space="preserve"> and</w:t>
      </w:r>
      <w:r w:rsidR="002F2B7D" w:rsidRPr="004635E5">
        <w:rPr>
          <w:rFonts w:eastAsiaTheme="minorEastAsia"/>
          <w:sz w:val="22"/>
          <w:szCs w:val="22"/>
          <w:lang w:eastAsia="ko-KR"/>
        </w:rPr>
        <w:t xml:space="preserve"> work</w:t>
      </w:r>
      <w:r w:rsidRPr="004635E5">
        <w:rPr>
          <w:rFonts w:eastAsiaTheme="minorEastAsia"/>
          <w:sz w:val="22"/>
          <w:szCs w:val="22"/>
          <w:lang w:eastAsia="ko-KR"/>
        </w:rPr>
        <w:t>ing</w:t>
      </w:r>
      <w:r w:rsidR="002F2B7D" w:rsidRPr="004635E5">
        <w:rPr>
          <w:rFonts w:eastAsiaTheme="minorEastAsia"/>
          <w:sz w:val="22"/>
          <w:szCs w:val="22"/>
          <w:lang w:eastAsia="ko-KR"/>
        </w:rPr>
        <w:t xml:space="preserve"> with stakeholders</w:t>
      </w:r>
      <w:r w:rsidRPr="004635E5">
        <w:rPr>
          <w:rFonts w:eastAsiaTheme="minorEastAsia"/>
          <w:sz w:val="22"/>
          <w:szCs w:val="22"/>
          <w:lang w:eastAsia="ko-KR"/>
        </w:rPr>
        <w:t xml:space="preserve">, and </w:t>
      </w:r>
      <w:r w:rsidR="0041022C" w:rsidRPr="004635E5">
        <w:rPr>
          <w:rFonts w:eastAsiaTheme="minorEastAsia"/>
          <w:sz w:val="22"/>
          <w:szCs w:val="22"/>
          <w:lang w:eastAsia="ko-KR"/>
        </w:rPr>
        <w:t>would have a refined set of performance indicators and options for their presentation for SC15</w:t>
      </w:r>
      <w:r w:rsidR="002F2B7D" w:rsidRPr="004635E5">
        <w:rPr>
          <w:rFonts w:eastAsiaTheme="minorEastAsia"/>
          <w:sz w:val="22"/>
          <w:szCs w:val="22"/>
          <w:lang w:eastAsia="ko-KR"/>
        </w:rPr>
        <w:t xml:space="preserve">. </w:t>
      </w:r>
    </w:p>
    <w:p w14:paraId="06B7BA47" w14:textId="77777777" w:rsidR="00A2648C" w:rsidRPr="004635E5" w:rsidRDefault="00A2648C" w:rsidP="006633A8">
      <w:pPr>
        <w:autoSpaceDE w:val="0"/>
        <w:autoSpaceDN w:val="0"/>
        <w:adjustRightInd w:val="0"/>
        <w:snapToGrid w:val="0"/>
        <w:jc w:val="both"/>
        <w:rPr>
          <w:rFonts w:eastAsiaTheme="minorEastAsia"/>
          <w:sz w:val="22"/>
          <w:szCs w:val="22"/>
          <w:lang w:eastAsia="ko-KR"/>
        </w:rPr>
      </w:pPr>
    </w:p>
    <w:p w14:paraId="5171DFC1" w14:textId="77777777" w:rsidR="00D52741" w:rsidRPr="004635E5" w:rsidRDefault="00D52741" w:rsidP="00580EA4">
      <w:pPr>
        <w:numPr>
          <w:ilvl w:val="0"/>
          <w:numId w:val="18"/>
        </w:numPr>
        <w:autoSpaceDE w:val="0"/>
        <w:autoSpaceDN w:val="0"/>
        <w:adjustRightInd w:val="0"/>
        <w:snapToGrid w:val="0"/>
        <w:ind w:left="0" w:firstLine="0"/>
        <w:jc w:val="both"/>
        <w:rPr>
          <w:rFonts w:eastAsiaTheme="minorEastAsia"/>
          <w:i/>
          <w:sz w:val="22"/>
          <w:szCs w:val="22"/>
          <w:lang w:eastAsia="ko-KR"/>
        </w:rPr>
      </w:pPr>
      <w:r w:rsidRPr="004635E5">
        <w:rPr>
          <w:rFonts w:eastAsiaTheme="minorEastAsia"/>
          <w:sz w:val="22"/>
          <w:szCs w:val="22"/>
          <w:lang w:eastAsia="ko-KR"/>
        </w:rPr>
        <w:t xml:space="preserve">R. Scott presented </w:t>
      </w:r>
      <w:r w:rsidR="00277083" w:rsidRPr="004635E5">
        <w:rPr>
          <w:rFonts w:eastAsiaTheme="minorEastAsia"/>
          <w:sz w:val="22"/>
          <w:szCs w:val="22"/>
          <w:lang w:eastAsia="ko-KR"/>
        </w:rPr>
        <w:t xml:space="preserve">SC14-MI-WP-05 </w:t>
      </w:r>
      <w:r w:rsidR="00277083" w:rsidRPr="004635E5">
        <w:rPr>
          <w:rFonts w:eastAsiaTheme="minorEastAsia"/>
          <w:i/>
          <w:sz w:val="22"/>
          <w:szCs w:val="22"/>
          <w:lang w:eastAsia="ko-KR"/>
        </w:rPr>
        <w:t>Key decisions for managers and scientists under the harvest strategy approach for WCPO tuna stocks and fisheries</w:t>
      </w:r>
      <w:r w:rsidR="0041022C" w:rsidRPr="004635E5">
        <w:rPr>
          <w:rFonts w:eastAsiaTheme="minorEastAsia"/>
          <w:i/>
          <w:sz w:val="22"/>
          <w:szCs w:val="22"/>
          <w:lang w:eastAsia="ko-KR"/>
        </w:rPr>
        <w:t>.</w:t>
      </w:r>
      <w:r w:rsidR="00277083" w:rsidRPr="004635E5">
        <w:rPr>
          <w:rFonts w:eastAsiaTheme="minorEastAsia"/>
          <w:i/>
          <w:sz w:val="22"/>
          <w:szCs w:val="22"/>
          <w:lang w:eastAsia="ko-KR"/>
        </w:rPr>
        <w:t xml:space="preserve"> </w:t>
      </w:r>
      <w:r w:rsidRPr="004635E5">
        <w:rPr>
          <w:rFonts w:eastAsiaTheme="minorEastAsia"/>
          <w:sz w:val="22"/>
          <w:szCs w:val="22"/>
          <w:lang w:eastAsia="ko-KR"/>
        </w:rPr>
        <w:t xml:space="preserve">Development of the harvest strategy approach for WCPO fisheries and stocks will require managers and scientists to make decisions on specific harvest strategy elements and issues. </w:t>
      </w:r>
      <w:r w:rsidR="0041022C" w:rsidRPr="004635E5">
        <w:rPr>
          <w:rFonts w:eastAsiaTheme="minorEastAsia"/>
          <w:sz w:val="22"/>
          <w:szCs w:val="22"/>
          <w:lang w:eastAsia="ko-KR"/>
        </w:rPr>
        <w:t xml:space="preserve">The </w:t>
      </w:r>
      <w:r w:rsidRPr="004635E5">
        <w:rPr>
          <w:rFonts w:eastAsiaTheme="minorEastAsia"/>
          <w:sz w:val="22"/>
          <w:szCs w:val="22"/>
          <w:lang w:eastAsia="ko-KR"/>
        </w:rPr>
        <w:t>paper</w:t>
      </w:r>
      <w:r w:rsidR="0041022C" w:rsidRPr="004635E5">
        <w:rPr>
          <w:rFonts w:eastAsiaTheme="minorEastAsia"/>
          <w:sz w:val="22"/>
          <w:szCs w:val="22"/>
          <w:lang w:eastAsia="ko-KR"/>
        </w:rPr>
        <w:t xml:space="preserve"> </w:t>
      </w:r>
      <w:r w:rsidRPr="004635E5">
        <w:rPr>
          <w:rFonts w:eastAsiaTheme="minorEastAsia"/>
          <w:sz w:val="22"/>
          <w:szCs w:val="22"/>
          <w:lang w:eastAsia="ko-KR"/>
        </w:rPr>
        <w:t>highlight</w:t>
      </w:r>
      <w:r w:rsidR="0041022C" w:rsidRPr="004635E5">
        <w:rPr>
          <w:rFonts w:eastAsiaTheme="minorEastAsia"/>
          <w:sz w:val="22"/>
          <w:szCs w:val="22"/>
          <w:lang w:eastAsia="ko-KR"/>
        </w:rPr>
        <w:t>s</w:t>
      </w:r>
      <w:r w:rsidRPr="004635E5">
        <w:rPr>
          <w:rFonts w:eastAsiaTheme="minorEastAsia"/>
          <w:sz w:val="22"/>
          <w:szCs w:val="22"/>
          <w:lang w:eastAsia="ko-KR"/>
        </w:rPr>
        <w:t xml:space="preserve"> key decisions that i) regional fishery managers and stakeholders, and ii) scientists (through the Scientific Committee) will need to consider during SC</w:t>
      </w:r>
      <w:r w:rsidR="0041022C" w:rsidRPr="004635E5">
        <w:rPr>
          <w:rFonts w:eastAsiaTheme="minorEastAsia"/>
          <w:sz w:val="22"/>
          <w:szCs w:val="22"/>
          <w:lang w:eastAsia="ko-KR"/>
        </w:rPr>
        <w:t>14</w:t>
      </w:r>
      <w:r w:rsidRPr="004635E5">
        <w:rPr>
          <w:rFonts w:eastAsiaTheme="minorEastAsia"/>
          <w:sz w:val="22"/>
          <w:szCs w:val="22"/>
          <w:lang w:eastAsia="ko-KR"/>
        </w:rPr>
        <w:t xml:space="preserve"> and in the near future.</w:t>
      </w:r>
    </w:p>
    <w:p w14:paraId="18A1BE2A" w14:textId="77777777" w:rsidR="00A2648C" w:rsidRPr="004635E5" w:rsidRDefault="00A2648C" w:rsidP="006633A8">
      <w:pPr>
        <w:autoSpaceDE w:val="0"/>
        <w:autoSpaceDN w:val="0"/>
        <w:adjustRightInd w:val="0"/>
        <w:snapToGrid w:val="0"/>
        <w:jc w:val="both"/>
        <w:rPr>
          <w:rFonts w:eastAsiaTheme="minorEastAsia"/>
          <w:i/>
          <w:sz w:val="22"/>
          <w:szCs w:val="22"/>
          <w:lang w:eastAsia="ko-KR"/>
        </w:rPr>
      </w:pPr>
    </w:p>
    <w:p w14:paraId="10091CF0" w14:textId="77777777" w:rsidR="00D52741" w:rsidRPr="004635E5" w:rsidRDefault="00D52741" w:rsidP="00580EA4">
      <w:pPr>
        <w:numPr>
          <w:ilvl w:val="0"/>
          <w:numId w:val="18"/>
        </w:numPr>
        <w:autoSpaceDE w:val="0"/>
        <w:autoSpaceDN w:val="0"/>
        <w:adjustRightInd w:val="0"/>
        <w:snapToGrid w:val="0"/>
        <w:ind w:left="0" w:firstLine="0"/>
        <w:jc w:val="both"/>
        <w:rPr>
          <w:rFonts w:eastAsia="Calibri"/>
          <w:sz w:val="22"/>
          <w:szCs w:val="22"/>
          <w:lang w:val="en-AU" w:eastAsia="en-AU"/>
        </w:rPr>
      </w:pPr>
      <w:r w:rsidRPr="004635E5">
        <w:rPr>
          <w:rFonts w:eastAsiaTheme="minorEastAsia"/>
          <w:sz w:val="22"/>
          <w:szCs w:val="22"/>
          <w:lang w:eastAsia="ko-KR"/>
        </w:rPr>
        <w:t>As drivers of the harvest strategy process, fishery managers and the wider stakeholder group will need to define</w:t>
      </w:r>
      <w:r w:rsidRPr="004635E5">
        <w:rPr>
          <w:rFonts w:eastAsia="Calibri"/>
          <w:sz w:val="22"/>
          <w:szCs w:val="22"/>
          <w:lang w:val="en-AU" w:eastAsia="en-AU"/>
        </w:rPr>
        <w:t xml:space="preserve"> key aspects of the process. These decisions would be supported through the ‘science-management dialogue’ process, the consultative draft Terms of Reference for which is presented in SC14-MI-WP-06. Key areas and activities for decision making will include the following, which are described within this paper:</w:t>
      </w:r>
    </w:p>
    <w:p w14:paraId="48A7E832" w14:textId="77777777" w:rsidR="00D52741" w:rsidRPr="004635E5" w:rsidRDefault="00D52741" w:rsidP="00580EA4">
      <w:pPr>
        <w:numPr>
          <w:ilvl w:val="0"/>
          <w:numId w:val="32"/>
        </w:numPr>
        <w:adjustRightInd w:val="0"/>
        <w:snapToGrid w:val="0"/>
        <w:jc w:val="both"/>
        <w:rPr>
          <w:rFonts w:eastAsia="Calibri"/>
          <w:sz w:val="22"/>
          <w:szCs w:val="22"/>
          <w:lang w:val="en-AU" w:eastAsia="en-AU"/>
        </w:rPr>
      </w:pPr>
      <w:r w:rsidRPr="004635E5">
        <w:rPr>
          <w:rFonts w:eastAsia="Calibri"/>
          <w:sz w:val="22"/>
          <w:szCs w:val="22"/>
          <w:lang w:val="en-AU" w:eastAsia="en-AU"/>
        </w:rPr>
        <w:t>An agreed procedure for selection of the ‘best performing’ management procedure;</w:t>
      </w:r>
    </w:p>
    <w:p w14:paraId="6C83AB2A" w14:textId="77777777" w:rsidR="00D52741" w:rsidRPr="004635E5" w:rsidRDefault="00D52741" w:rsidP="00580EA4">
      <w:pPr>
        <w:numPr>
          <w:ilvl w:val="0"/>
          <w:numId w:val="32"/>
        </w:numPr>
        <w:adjustRightInd w:val="0"/>
        <w:snapToGrid w:val="0"/>
        <w:jc w:val="both"/>
        <w:rPr>
          <w:rFonts w:eastAsia="Calibri"/>
          <w:sz w:val="22"/>
          <w:szCs w:val="22"/>
          <w:lang w:val="en-AU" w:eastAsia="en-AU"/>
        </w:rPr>
      </w:pPr>
      <w:r w:rsidRPr="004635E5">
        <w:rPr>
          <w:rFonts w:eastAsia="Calibri"/>
          <w:sz w:val="22"/>
          <w:szCs w:val="22"/>
          <w:lang w:val="en-AU" w:eastAsia="en-AU"/>
        </w:rPr>
        <w:t>Approach for implementing the agreed procedure;</w:t>
      </w:r>
    </w:p>
    <w:p w14:paraId="124A64C5" w14:textId="77777777" w:rsidR="00D52741" w:rsidRPr="004635E5" w:rsidRDefault="00D52741" w:rsidP="00580EA4">
      <w:pPr>
        <w:numPr>
          <w:ilvl w:val="0"/>
          <w:numId w:val="32"/>
        </w:numPr>
        <w:adjustRightInd w:val="0"/>
        <w:snapToGrid w:val="0"/>
        <w:jc w:val="both"/>
        <w:rPr>
          <w:rFonts w:eastAsia="Calibri"/>
          <w:sz w:val="22"/>
          <w:szCs w:val="22"/>
          <w:lang w:val="en-AU" w:eastAsia="en-AU"/>
        </w:rPr>
      </w:pPr>
      <w:r w:rsidRPr="004635E5">
        <w:rPr>
          <w:rFonts w:eastAsia="Calibri"/>
          <w:sz w:val="22"/>
          <w:szCs w:val="22"/>
          <w:lang w:val="en-AU" w:eastAsia="en-AU"/>
        </w:rPr>
        <w:t>Adopting Target Reference Points (TRPs) that define desirable states of a stock and fishery;</w:t>
      </w:r>
    </w:p>
    <w:p w14:paraId="4B088C71" w14:textId="77777777" w:rsidR="00D52741" w:rsidRPr="004635E5" w:rsidRDefault="00D52741" w:rsidP="00580EA4">
      <w:pPr>
        <w:numPr>
          <w:ilvl w:val="0"/>
          <w:numId w:val="32"/>
        </w:numPr>
        <w:adjustRightInd w:val="0"/>
        <w:snapToGrid w:val="0"/>
        <w:jc w:val="both"/>
        <w:rPr>
          <w:rFonts w:eastAsia="Calibri"/>
          <w:sz w:val="22"/>
          <w:szCs w:val="22"/>
          <w:lang w:val="en-AU" w:eastAsia="en-AU"/>
        </w:rPr>
      </w:pPr>
      <w:r w:rsidRPr="004635E5">
        <w:rPr>
          <w:rFonts w:eastAsia="Calibri"/>
          <w:sz w:val="22"/>
          <w:szCs w:val="22"/>
          <w:lang w:val="en-AU" w:eastAsia="en-AU"/>
        </w:rPr>
        <w:t>Definition of fisheries and fishery controls within the harvest strategy;</w:t>
      </w:r>
    </w:p>
    <w:p w14:paraId="2200B1B4" w14:textId="77777777" w:rsidR="00D52741" w:rsidRPr="004635E5" w:rsidRDefault="00D52741" w:rsidP="00580EA4">
      <w:pPr>
        <w:numPr>
          <w:ilvl w:val="0"/>
          <w:numId w:val="32"/>
        </w:numPr>
        <w:adjustRightInd w:val="0"/>
        <w:snapToGrid w:val="0"/>
        <w:jc w:val="both"/>
        <w:rPr>
          <w:rFonts w:eastAsia="Calibri"/>
          <w:sz w:val="22"/>
          <w:szCs w:val="22"/>
          <w:lang w:val="en-AU" w:eastAsia="en-AU"/>
        </w:rPr>
      </w:pPr>
      <w:r w:rsidRPr="004635E5">
        <w:rPr>
          <w:rFonts w:eastAsia="Calibri"/>
          <w:sz w:val="22"/>
          <w:szCs w:val="22"/>
          <w:lang w:val="en-AU" w:eastAsia="en-AU"/>
        </w:rPr>
        <w:t>Input into candidate harvest control rules (HCRs);</w:t>
      </w:r>
    </w:p>
    <w:p w14:paraId="0FAE1A63" w14:textId="77777777" w:rsidR="00D52741" w:rsidRPr="004635E5" w:rsidRDefault="00D52741" w:rsidP="00580EA4">
      <w:pPr>
        <w:numPr>
          <w:ilvl w:val="0"/>
          <w:numId w:val="32"/>
        </w:numPr>
        <w:adjustRightInd w:val="0"/>
        <w:snapToGrid w:val="0"/>
        <w:jc w:val="both"/>
        <w:rPr>
          <w:rFonts w:eastAsia="Calibri"/>
          <w:sz w:val="22"/>
          <w:szCs w:val="22"/>
          <w:lang w:val="en-AU" w:eastAsia="en-AU"/>
        </w:rPr>
      </w:pPr>
      <w:r w:rsidRPr="004635E5">
        <w:rPr>
          <w:rFonts w:eastAsia="Calibri"/>
          <w:sz w:val="22"/>
          <w:szCs w:val="22"/>
          <w:lang w:val="en-AU" w:eastAsia="en-AU"/>
        </w:rPr>
        <w:t>Feedback on presentational approaches to enhance decision making;</w:t>
      </w:r>
    </w:p>
    <w:p w14:paraId="25371332" w14:textId="77777777" w:rsidR="00D52741" w:rsidRPr="004635E5" w:rsidRDefault="00D52741" w:rsidP="00580EA4">
      <w:pPr>
        <w:numPr>
          <w:ilvl w:val="0"/>
          <w:numId w:val="32"/>
        </w:numPr>
        <w:adjustRightInd w:val="0"/>
        <w:snapToGrid w:val="0"/>
        <w:jc w:val="both"/>
        <w:rPr>
          <w:rFonts w:eastAsia="Calibri"/>
          <w:sz w:val="22"/>
          <w:szCs w:val="22"/>
          <w:lang w:val="en-AU" w:eastAsia="en-AU"/>
        </w:rPr>
      </w:pPr>
      <w:r w:rsidRPr="004635E5">
        <w:rPr>
          <w:rFonts w:eastAsia="Calibri"/>
          <w:sz w:val="22"/>
          <w:szCs w:val="22"/>
          <w:lang w:val="en-AU" w:eastAsia="en-AU"/>
        </w:rPr>
        <w:t>Development of the monitoring strategy; and</w:t>
      </w:r>
    </w:p>
    <w:p w14:paraId="4CE826BA" w14:textId="77777777" w:rsidR="00D52741" w:rsidRPr="004635E5" w:rsidRDefault="00D52741" w:rsidP="00580EA4">
      <w:pPr>
        <w:numPr>
          <w:ilvl w:val="0"/>
          <w:numId w:val="32"/>
        </w:numPr>
        <w:adjustRightInd w:val="0"/>
        <w:snapToGrid w:val="0"/>
        <w:jc w:val="both"/>
        <w:rPr>
          <w:rFonts w:eastAsia="Calibri"/>
          <w:sz w:val="22"/>
          <w:szCs w:val="22"/>
          <w:lang w:val="en-AU" w:eastAsia="en-AU"/>
        </w:rPr>
      </w:pPr>
      <w:r w:rsidRPr="004635E5">
        <w:rPr>
          <w:rFonts w:eastAsia="Calibri"/>
          <w:sz w:val="22"/>
          <w:szCs w:val="22"/>
          <w:lang w:val="en-AU" w:eastAsia="en-AU"/>
        </w:rPr>
        <w:t>Definition of exceptional circumstances.</w:t>
      </w:r>
    </w:p>
    <w:p w14:paraId="012284F1" w14:textId="77777777" w:rsidR="00D52741" w:rsidRPr="004635E5" w:rsidRDefault="00D52741" w:rsidP="006633A8">
      <w:pPr>
        <w:adjustRightInd w:val="0"/>
        <w:snapToGrid w:val="0"/>
        <w:jc w:val="both"/>
        <w:rPr>
          <w:rFonts w:eastAsia="Calibri"/>
          <w:sz w:val="22"/>
          <w:szCs w:val="22"/>
          <w:lang w:val="en-AU" w:eastAsia="en-AU"/>
        </w:rPr>
      </w:pPr>
    </w:p>
    <w:p w14:paraId="2452BD16" w14:textId="77777777" w:rsidR="00D52741" w:rsidRPr="004635E5" w:rsidRDefault="00D52741" w:rsidP="00580EA4">
      <w:pPr>
        <w:numPr>
          <w:ilvl w:val="0"/>
          <w:numId w:val="18"/>
        </w:numPr>
        <w:autoSpaceDE w:val="0"/>
        <w:autoSpaceDN w:val="0"/>
        <w:adjustRightInd w:val="0"/>
        <w:snapToGrid w:val="0"/>
        <w:ind w:left="0" w:firstLine="0"/>
        <w:jc w:val="both"/>
        <w:rPr>
          <w:rFonts w:eastAsia="Calibri"/>
          <w:sz w:val="22"/>
          <w:szCs w:val="22"/>
          <w:lang w:val="en-AU" w:eastAsia="en-AU"/>
        </w:rPr>
      </w:pPr>
      <w:r w:rsidRPr="004635E5">
        <w:rPr>
          <w:rFonts w:eastAsia="Calibri"/>
          <w:sz w:val="22"/>
          <w:szCs w:val="22"/>
          <w:lang w:val="en-AU" w:eastAsia="en-AU"/>
        </w:rPr>
        <w:t xml:space="preserve">Key </w:t>
      </w:r>
      <w:r w:rsidRPr="004635E5">
        <w:rPr>
          <w:rFonts w:eastAsiaTheme="minorEastAsia"/>
          <w:sz w:val="22"/>
          <w:szCs w:val="22"/>
          <w:lang w:eastAsia="ko-KR"/>
        </w:rPr>
        <w:t>decisions</w:t>
      </w:r>
      <w:r w:rsidRPr="004635E5">
        <w:rPr>
          <w:rFonts w:eastAsia="Calibri"/>
          <w:sz w:val="22"/>
          <w:szCs w:val="22"/>
          <w:lang w:val="en-AU" w:eastAsia="en-AU"/>
        </w:rPr>
        <w:t xml:space="preserve"> for SC14 have been presented within the individual working papers on operating models (</w:t>
      </w:r>
      <w:r w:rsidR="0041022C" w:rsidRPr="004635E5">
        <w:rPr>
          <w:rFonts w:eastAsia="Calibri"/>
          <w:sz w:val="22"/>
          <w:szCs w:val="22"/>
          <w:lang w:val="en-AU" w:eastAsia="en-AU"/>
        </w:rPr>
        <w:t>SC14-MI-WP-03</w:t>
      </w:r>
      <w:r w:rsidRPr="004635E5">
        <w:rPr>
          <w:rFonts w:eastAsia="Calibri"/>
          <w:sz w:val="22"/>
          <w:szCs w:val="22"/>
          <w:lang w:val="en-AU" w:eastAsia="en-AU"/>
        </w:rPr>
        <w:t>), performance indicators (</w:t>
      </w:r>
      <w:r w:rsidR="0041022C" w:rsidRPr="004635E5">
        <w:rPr>
          <w:rFonts w:eastAsia="Calibri"/>
          <w:sz w:val="22"/>
          <w:szCs w:val="22"/>
          <w:lang w:val="en-AU" w:eastAsia="en-AU"/>
        </w:rPr>
        <w:t>SC14-MI-WP-04</w:t>
      </w:r>
      <w:r w:rsidRPr="004635E5">
        <w:rPr>
          <w:rFonts w:eastAsia="Calibri"/>
          <w:sz w:val="22"/>
          <w:szCs w:val="22"/>
          <w:lang w:val="en-AU" w:eastAsia="en-AU"/>
        </w:rPr>
        <w:t>) and development of harvest strategy elements for south Pacific albacore (</w:t>
      </w:r>
      <w:r w:rsidR="0041022C" w:rsidRPr="004635E5">
        <w:rPr>
          <w:rFonts w:eastAsia="Calibri"/>
          <w:sz w:val="22"/>
          <w:szCs w:val="22"/>
          <w:lang w:val="en-AU" w:eastAsia="en-AU"/>
        </w:rPr>
        <w:t>SC14-MI-WP-02</w:t>
      </w:r>
      <w:r w:rsidRPr="004635E5">
        <w:rPr>
          <w:rFonts w:eastAsia="Calibri"/>
          <w:sz w:val="22"/>
          <w:szCs w:val="22"/>
          <w:lang w:val="en-AU" w:eastAsia="en-AU"/>
        </w:rPr>
        <w:t xml:space="preserve">). The </w:t>
      </w:r>
      <w:r w:rsidR="0041022C" w:rsidRPr="004635E5">
        <w:rPr>
          <w:rFonts w:eastAsia="Calibri"/>
          <w:sz w:val="22"/>
          <w:szCs w:val="22"/>
          <w:lang w:val="en-AU" w:eastAsia="en-AU"/>
        </w:rPr>
        <w:t xml:space="preserve">SC </w:t>
      </w:r>
      <w:r w:rsidRPr="004635E5">
        <w:rPr>
          <w:rFonts w:eastAsia="Calibri"/>
          <w:sz w:val="22"/>
          <w:szCs w:val="22"/>
          <w:lang w:val="en-AU" w:eastAsia="en-AU"/>
        </w:rPr>
        <w:t>will also need to consider at future meetings:</w:t>
      </w:r>
    </w:p>
    <w:p w14:paraId="152CBCED" w14:textId="77777777" w:rsidR="00D52741" w:rsidRPr="004635E5" w:rsidRDefault="00D52741" w:rsidP="00580EA4">
      <w:pPr>
        <w:numPr>
          <w:ilvl w:val="0"/>
          <w:numId w:val="33"/>
        </w:numPr>
        <w:adjustRightInd w:val="0"/>
        <w:snapToGrid w:val="0"/>
        <w:jc w:val="both"/>
        <w:rPr>
          <w:rFonts w:eastAsia="Calibri"/>
          <w:sz w:val="22"/>
          <w:szCs w:val="22"/>
          <w:lang w:val="en-AU" w:eastAsia="en-AU"/>
        </w:rPr>
      </w:pPr>
      <w:r w:rsidRPr="004635E5">
        <w:rPr>
          <w:rFonts w:eastAsia="Calibri"/>
          <w:sz w:val="22"/>
          <w:szCs w:val="22"/>
          <w:lang w:val="en-AU" w:eastAsia="en-AU"/>
        </w:rPr>
        <w:t>Operating model (OM) refinement and development;</w:t>
      </w:r>
    </w:p>
    <w:p w14:paraId="70589D75" w14:textId="77777777" w:rsidR="00D52741" w:rsidRPr="004635E5" w:rsidRDefault="00D52741" w:rsidP="00580EA4">
      <w:pPr>
        <w:numPr>
          <w:ilvl w:val="0"/>
          <w:numId w:val="33"/>
        </w:numPr>
        <w:adjustRightInd w:val="0"/>
        <w:snapToGrid w:val="0"/>
        <w:jc w:val="both"/>
        <w:rPr>
          <w:rFonts w:eastAsia="Calibri"/>
          <w:sz w:val="22"/>
          <w:szCs w:val="22"/>
          <w:lang w:val="en-AU" w:eastAsia="en-AU"/>
        </w:rPr>
      </w:pPr>
      <w:r w:rsidRPr="004635E5">
        <w:rPr>
          <w:rFonts w:eastAsia="Calibri"/>
          <w:sz w:val="22"/>
          <w:szCs w:val="22"/>
          <w:lang w:val="en-AU" w:eastAsia="en-AU"/>
        </w:rPr>
        <w:t>Define candidate estimation methods (EMs);</w:t>
      </w:r>
    </w:p>
    <w:p w14:paraId="129D9365" w14:textId="77777777" w:rsidR="00D52741" w:rsidRPr="004635E5" w:rsidRDefault="00D52741" w:rsidP="00580EA4">
      <w:pPr>
        <w:numPr>
          <w:ilvl w:val="0"/>
          <w:numId w:val="33"/>
        </w:numPr>
        <w:adjustRightInd w:val="0"/>
        <w:snapToGrid w:val="0"/>
        <w:jc w:val="both"/>
        <w:rPr>
          <w:rFonts w:eastAsia="Calibri"/>
          <w:sz w:val="22"/>
          <w:szCs w:val="22"/>
          <w:lang w:val="en-AU" w:eastAsia="en-AU"/>
        </w:rPr>
      </w:pPr>
      <w:r w:rsidRPr="004635E5">
        <w:rPr>
          <w:rFonts w:eastAsia="Calibri"/>
          <w:sz w:val="22"/>
          <w:szCs w:val="22"/>
          <w:lang w:val="en-AU" w:eastAsia="en-AU"/>
        </w:rPr>
        <w:t>Refine and evaluate performance indicators;</w:t>
      </w:r>
    </w:p>
    <w:p w14:paraId="422C4B8E" w14:textId="77777777" w:rsidR="00D52741" w:rsidRPr="004635E5" w:rsidRDefault="00D52741" w:rsidP="00580EA4">
      <w:pPr>
        <w:numPr>
          <w:ilvl w:val="0"/>
          <w:numId w:val="33"/>
        </w:numPr>
        <w:adjustRightInd w:val="0"/>
        <w:snapToGrid w:val="0"/>
        <w:jc w:val="both"/>
        <w:rPr>
          <w:rFonts w:eastAsia="Calibri"/>
          <w:sz w:val="22"/>
          <w:szCs w:val="22"/>
          <w:lang w:val="en-AU" w:eastAsia="en-AU"/>
        </w:rPr>
      </w:pPr>
      <w:r w:rsidRPr="004635E5">
        <w:rPr>
          <w:rFonts w:eastAsia="Calibri"/>
          <w:sz w:val="22"/>
          <w:szCs w:val="22"/>
          <w:lang w:val="en-AU" w:eastAsia="en-AU"/>
        </w:rPr>
        <w:t>Provide advice on scientific aspects of candidate HCRs;</w:t>
      </w:r>
    </w:p>
    <w:p w14:paraId="385B5377" w14:textId="77777777" w:rsidR="00D52741" w:rsidRPr="004635E5" w:rsidRDefault="00D52741" w:rsidP="00580EA4">
      <w:pPr>
        <w:numPr>
          <w:ilvl w:val="0"/>
          <w:numId w:val="33"/>
        </w:numPr>
        <w:adjustRightInd w:val="0"/>
        <w:snapToGrid w:val="0"/>
        <w:jc w:val="both"/>
        <w:rPr>
          <w:rFonts w:eastAsia="Calibri"/>
          <w:sz w:val="22"/>
          <w:szCs w:val="22"/>
          <w:lang w:val="en-AU" w:eastAsia="en-AU"/>
        </w:rPr>
      </w:pPr>
      <w:r w:rsidRPr="004635E5">
        <w:rPr>
          <w:rFonts w:eastAsia="Calibri"/>
          <w:sz w:val="22"/>
          <w:szCs w:val="22"/>
          <w:lang w:val="en-AU" w:eastAsia="en-AU"/>
        </w:rPr>
        <w:t>Support TRP definition;</w:t>
      </w:r>
    </w:p>
    <w:p w14:paraId="229DBDA5" w14:textId="77777777" w:rsidR="00D52741" w:rsidRPr="004635E5" w:rsidRDefault="00D52741" w:rsidP="00580EA4">
      <w:pPr>
        <w:numPr>
          <w:ilvl w:val="0"/>
          <w:numId w:val="33"/>
        </w:numPr>
        <w:adjustRightInd w:val="0"/>
        <w:snapToGrid w:val="0"/>
        <w:jc w:val="both"/>
        <w:rPr>
          <w:rFonts w:eastAsia="Calibri"/>
          <w:sz w:val="22"/>
          <w:szCs w:val="22"/>
          <w:lang w:val="en-AU" w:eastAsia="en-AU"/>
        </w:rPr>
      </w:pPr>
      <w:r w:rsidRPr="004635E5">
        <w:rPr>
          <w:rFonts w:eastAsia="Calibri"/>
          <w:sz w:val="22"/>
          <w:szCs w:val="22"/>
          <w:lang w:val="en-AU" w:eastAsia="en-AU"/>
        </w:rPr>
        <w:t>Review approaches to support the monitoring strategy;</w:t>
      </w:r>
    </w:p>
    <w:p w14:paraId="18812C60" w14:textId="77777777" w:rsidR="00D52741" w:rsidRPr="004635E5" w:rsidRDefault="00D52741" w:rsidP="00580EA4">
      <w:pPr>
        <w:numPr>
          <w:ilvl w:val="0"/>
          <w:numId w:val="33"/>
        </w:numPr>
        <w:adjustRightInd w:val="0"/>
        <w:snapToGrid w:val="0"/>
        <w:jc w:val="both"/>
        <w:rPr>
          <w:rFonts w:eastAsia="Calibri"/>
          <w:sz w:val="22"/>
          <w:szCs w:val="22"/>
          <w:lang w:val="en-AU" w:eastAsia="en-AU"/>
        </w:rPr>
      </w:pPr>
      <w:r w:rsidRPr="004635E5">
        <w:rPr>
          <w:rFonts w:eastAsia="Calibri"/>
          <w:sz w:val="22"/>
          <w:szCs w:val="22"/>
          <w:lang w:val="en-AU" w:eastAsia="en-AU"/>
        </w:rPr>
        <w:t>Evaluate economic indicators;</w:t>
      </w:r>
    </w:p>
    <w:p w14:paraId="2E9012A7" w14:textId="77777777" w:rsidR="00D52741" w:rsidRPr="004635E5" w:rsidRDefault="00D52741" w:rsidP="00580EA4">
      <w:pPr>
        <w:numPr>
          <w:ilvl w:val="0"/>
          <w:numId w:val="33"/>
        </w:numPr>
        <w:adjustRightInd w:val="0"/>
        <w:snapToGrid w:val="0"/>
        <w:jc w:val="both"/>
        <w:rPr>
          <w:rFonts w:eastAsia="Calibri"/>
          <w:sz w:val="22"/>
          <w:szCs w:val="22"/>
          <w:lang w:val="en-AU" w:eastAsia="en-AU"/>
        </w:rPr>
      </w:pPr>
      <w:r w:rsidRPr="004635E5">
        <w:rPr>
          <w:rFonts w:eastAsia="Calibri"/>
          <w:sz w:val="22"/>
          <w:szCs w:val="22"/>
          <w:lang w:val="en-AU" w:eastAsia="en-AU"/>
        </w:rPr>
        <w:t>Evaluate exceptional circumstances; and</w:t>
      </w:r>
    </w:p>
    <w:p w14:paraId="682857D9" w14:textId="77777777" w:rsidR="00D52741" w:rsidRPr="004635E5" w:rsidRDefault="00D52741" w:rsidP="00580EA4">
      <w:pPr>
        <w:numPr>
          <w:ilvl w:val="0"/>
          <w:numId w:val="33"/>
        </w:numPr>
        <w:adjustRightInd w:val="0"/>
        <w:snapToGrid w:val="0"/>
        <w:jc w:val="both"/>
        <w:rPr>
          <w:rFonts w:eastAsia="Calibri"/>
          <w:sz w:val="22"/>
          <w:szCs w:val="22"/>
          <w:lang w:val="en-AU" w:eastAsia="en-AU"/>
        </w:rPr>
      </w:pPr>
      <w:r w:rsidRPr="004635E5">
        <w:rPr>
          <w:rFonts w:eastAsia="Calibri"/>
          <w:sz w:val="22"/>
          <w:szCs w:val="22"/>
          <w:lang w:val="en-AU" w:eastAsia="en-AU"/>
        </w:rPr>
        <w:t>Develop multi-species approaches.</w:t>
      </w:r>
    </w:p>
    <w:p w14:paraId="6EBF0F19" w14:textId="77777777" w:rsidR="00B312EE" w:rsidRPr="004635E5" w:rsidRDefault="00B312EE" w:rsidP="006633A8">
      <w:pPr>
        <w:adjustRightInd w:val="0"/>
        <w:snapToGrid w:val="0"/>
        <w:ind w:left="720"/>
        <w:jc w:val="both"/>
        <w:rPr>
          <w:rFonts w:eastAsia="Calibri"/>
          <w:sz w:val="22"/>
          <w:szCs w:val="22"/>
          <w:lang w:val="en-AU" w:eastAsia="en-AU"/>
        </w:rPr>
      </w:pPr>
    </w:p>
    <w:p w14:paraId="32B3282C" w14:textId="77777777" w:rsidR="00D52741" w:rsidRPr="004635E5" w:rsidRDefault="00B312EE" w:rsidP="006633A8">
      <w:pPr>
        <w:adjustRightInd w:val="0"/>
        <w:snapToGrid w:val="0"/>
        <w:jc w:val="both"/>
        <w:rPr>
          <w:rFonts w:eastAsia="Calibri"/>
          <w:b/>
          <w:sz w:val="22"/>
          <w:szCs w:val="22"/>
          <w:lang w:val="en-AU" w:eastAsia="en-AU"/>
        </w:rPr>
      </w:pPr>
      <w:r w:rsidRPr="004635E5">
        <w:rPr>
          <w:rFonts w:eastAsia="Calibri"/>
          <w:b/>
          <w:sz w:val="22"/>
          <w:szCs w:val="22"/>
          <w:lang w:val="en-AU" w:eastAsia="en-AU"/>
        </w:rPr>
        <w:t>Discussion</w:t>
      </w:r>
    </w:p>
    <w:p w14:paraId="1E18DDA7" w14:textId="77777777" w:rsidR="00B312EE" w:rsidRPr="004635E5" w:rsidRDefault="00B312EE" w:rsidP="006633A8">
      <w:pPr>
        <w:adjustRightInd w:val="0"/>
        <w:snapToGrid w:val="0"/>
        <w:jc w:val="both"/>
        <w:rPr>
          <w:rFonts w:eastAsia="Calibri"/>
          <w:b/>
          <w:sz w:val="22"/>
          <w:szCs w:val="22"/>
          <w:lang w:val="en-AU" w:eastAsia="en-AU"/>
        </w:rPr>
      </w:pPr>
    </w:p>
    <w:p w14:paraId="3AFC15F4" w14:textId="77777777" w:rsidR="00277083" w:rsidRPr="004635E5" w:rsidRDefault="00277083"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Japan noted the useful paper, </w:t>
      </w:r>
      <w:r w:rsidR="0041022C" w:rsidRPr="004635E5">
        <w:rPr>
          <w:rFonts w:eastAsiaTheme="minorEastAsia"/>
          <w:sz w:val="22"/>
          <w:szCs w:val="22"/>
          <w:lang w:eastAsia="ko-KR"/>
        </w:rPr>
        <w:t xml:space="preserve">which outlined </w:t>
      </w:r>
      <w:r w:rsidR="008746D4" w:rsidRPr="004635E5">
        <w:rPr>
          <w:rFonts w:eastAsiaTheme="minorEastAsia"/>
          <w:sz w:val="22"/>
          <w:szCs w:val="22"/>
          <w:lang w:eastAsia="ko-KR"/>
        </w:rPr>
        <w:t xml:space="preserve">needed </w:t>
      </w:r>
      <w:r w:rsidRPr="004635E5">
        <w:rPr>
          <w:rFonts w:eastAsiaTheme="minorEastAsia"/>
          <w:sz w:val="22"/>
          <w:szCs w:val="22"/>
          <w:lang w:eastAsia="ko-KR"/>
        </w:rPr>
        <w:t>tasks</w:t>
      </w:r>
      <w:r w:rsidR="008746D4" w:rsidRPr="004635E5">
        <w:rPr>
          <w:rFonts w:eastAsiaTheme="minorEastAsia"/>
          <w:sz w:val="22"/>
          <w:szCs w:val="22"/>
          <w:lang w:eastAsia="ko-KR"/>
        </w:rPr>
        <w:t xml:space="preserve">, and </w:t>
      </w:r>
      <w:r w:rsidR="00D3668F" w:rsidRPr="004635E5">
        <w:rPr>
          <w:rFonts w:eastAsiaTheme="minorEastAsia"/>
          <w:sz w:val="22"/>
          <w:szCs w:val="22"/>
          <w:lang w:eastAsia="ko-KR"/>
        </w:rPr>
        <w:t xml:space="preserve">noted their view </w:t>
      </w:r>
      <w:r w:rsidR="0041022C" w:rsidRPr="004635E5">
        <w:rPr>
          <w:rFonts w:eastAsiaTheme="minorEastAsia"/>
          <w:sz w:val="22"/>
          <w:szCs w:val="22"/>
          <w:lang w:eastAsia="ko-KR"/>
        </w:rPr>
        <w:t xml:space="preserve">that </w:t>
      </w:r>
      <w:r w:rsidR="0041022C" w:rsidRPr="004635E5">
        <w:rPr>
          <w:rFonts w:eastAsiaTheme="minorEastAsia"/>
          <w:bCs/>
          <w:sz w:val="22"/>
          <w:szCs w:val="22"/>
          <w:lang w:eastAsia="ko-KR"/>
        </w:rPr>
        <w:t>it would not be possible to have a pre-agreed process to weight the best management procedure, as each CCM would have their own ideas, and discussion and negotiations would be required. They also noted that managers would select the MP following provision of advice from WCPFC</w:t>
      </w:r>
      <w:r w:rsidRPr="004635E5">
        <w:rPr>
          <w:rFonts w:eastAsiaTheme="minorEastAsia"/>
          <w:sz w:val="22"/>
          <w:szCs w:val="22"/>
          <w:lang w:eastAsia="ko-KR"/>
        </w:rPr>
        <w:t xml:space="preserve">. </w:t>
      </w:r>
      <w:r w:rsidR="00D3668F" w:rsidRPr="004635E5">
        <w:rPr>
          <w:rFonts w:eastAsiaTheme="minorEastAsia"/>
          <w:sz w:val="22"/>
          <w:szCs w:val="22"/>
          <w:lang w:eastAsia="ko-KR"/>
        </w:rPr>
        <w:t>SPC noted the tradeoffs between indicators and objectives of CCMs</w:t>
      </w:r>
      <w:r w:rsidRPr="004635E5">
        <w:rPr>
          <w:rFonts w:eastAsiaTheme="minorEastAsia"/>
          <w:sz w:val="22"/>
          <w:szCs w:val="22"/>
          <w:lang w:eastAsia="ko-KR"/>
        </w:rPr>
        <w:t xml:space="preserve">. </w:t>
      </w:r>
    </w:p>
    <w:p w14:paraId="73E2F3A6" w14:textId="77777777" w:rsidR="00A2648C" w:rsidRPr="004635E5" w:rsidRDefault="00A2648C" w:rsidP="006633A8">
      <w:pPr>
        <w:autoSpaceDE w:val="0"/>
        <w:autoSpaceDN w:val="0"/>
        <w:adjustRightInd w:val="0"/>
        <w:snapToGrid w:val="0"/>
        <w:jc w:val="both"/>
        <w:rPr>
          <w:rFonts w:eastAsiaTheme="minorEastAsia"/>
          <w:sz w:val="22"/>
          <w:szCs w:val="22"/>
          <w:lang w:eastAsia="ko-KR"/>
        </w:rPr>
      </w:pPr>
    </w:p>
    <w:p w14:paraId="64AA287B" w14:textId="77777777" w:rsidR="0041022C" w:rsidRPr="004635E5" w:rsidRDefault="0041022C"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The EU agreed that the paper was a useful summary and inquired regarding multi-species approaches, and whether they would be handled differently than single species. SPC stated they were currently discussing the scientific approach, and noted the SC also had a role in the discussion.</w:t>
      </w:r>
    </w:p>
    <w:p w14:paraId="6EDFD637" w14:textId="77777777" w:rsidR="00112951" w:rsidRDefault="00112951" w:rsidP="00146B98">
      <w:pPr>
        <w:autoSpaceDE w:val="0"/>
        <w:autoSpaceDN w:val="0"/>
        <w:adjustRightInd w:val="0"/>
        <w:snapToGrid w:val="0"/>
        <w:jc w:val="both"/>
        <w:rPr>
          <w:rFonts w:eastAsiaTheme="minorEastAsia"/>
          <w:sz w:val="22"/>
          <w:szCs w:val="22"/>
          <w:lang w:eastAsia="ko-KR"/>
        </w:rPr>
      </w:pPr>
    </w:p>
    <w:p w14:paraId="1C29EC86" w14:textId="77777777" w:rsidR="008746D4" w:rsidRPr="004635E5" w:rsidRDefault="008746D4"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China noted that managers need to see the long-term estimated outputs before selecting a management procedure. </w:t>
      </w:r>
    </w:p>
    <w:p w14:paraId="0F63A3EE" w14:textId="77777777" w:rsidR="00A2648C" w:rsidRPr="004635E5" w:rsidRDefault="00A2648C" w:rsidP="006633A8">
      <w:pPr>
        <w:autoSpaceDE w:val="0"/>
        <w:autoSpaceDN w:val="0"/>
        <w:adjustRightInd w:val="0"/>
        <w:snapToGrid w:val="0"/>
        <w:jc w:val="both"/>
        <w:rPr>
          <w:rFonts w:eastAsiaTheme="minorEastAsia"/>
          <w:sz w:val="22"/>
          <w:szCs w:val="22"/>
          <w:lang w:eastAsia="ko-KR"/>
        </w:rPr>
      </w:pPr>
    </w:p>
    <w:p w14:paraId="7C948D5E" w14:textId="77777777" w:rsidR="00EE7AE5" w:rsidRPr="004635E5" w:rsidRDefault="00277083"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Nauru</w:t>
      </w:r>
      <w:r w:rsidR="0041022C" w:rsidRPr="004635E5">
        <w:rPr>
          <w:rFonts w:eastAsiaTheme="minorEastAsia"/>
          <w:sz w:val="22"/>
          <w:szCs w:val="22"/>
          <w:lang w:eastAsia="ko-KR"/>
        </w:rPr>
        <w:t>,</w:t>
      </w:r>
      <w:r w:rsidRPr="004635E5">
        <w:rPr>
          <w:rFonts w:eastAsiaTheme="minorEastAsia"/>
          <w:sz w:val="22"/>
          <w:szCs w:val="22"/>
          <w:lang w:eastAsia="ko-KR"/>
        </w:rPr>
        <w:t xml:space="preserve"> on behalf of PNA </w:t>
      </w:r>
      <w:r w:rsidR="00E44FB9" w:rsidRPr="004635E5">
        <w:rPr>
          <w:rFonts w:eastAsiaTheme="minorEastAsia"/>
          <w:sz w:val="22"/>
          <w:szCs w:val="22"/>
          <w:lang w:eastAsia="ko-KR"/>
        </w:rPr>
        <w:t>members</w:t>
      </w:r>
      <w:r w:rsidR="0041022C" w:rsidRPr="004635E5">
        <w:rPr>
          <w:rFonts w:eastAsiaTheme="minorEastAsia"/>
          <w:sz w:val="22"/>
          <w:szCs w:val="22"/>
          <w:lang w:eastAsia="ko-KR"/>
        </w:rPr>
        <w:t>,</w:t>
      </w:r>
      <w:r w:rsidR="00E44FB9" w:rsidRPr="004635E5">
        <w:rPr>
          <w:rFonts w:eastAsiaTheme="minorEastAsia"/>
          <w:sz w:val="22"/>
          <w:szCs w:val="22"/>
          <w:lang w:eastAsia="ko-KR"/>
        </w:rPr>
        <w:t xml:space="preserve"> thank</w:t>
      </w:r>
      <w:r w:rsidR="0041022C" w:rsidRPr="004635E5">
        <w:rPr>
          <w:rFonts w:eastAsiaTheme="minorEastAsia"/>
          <w:sz w:val="22"/>
          <w:szCs w:val="22"/>
          <w:lang w:eastAsia="ko-KR"/>
        </w:rPr>
        <w:t>ed</w:t>
      </w:r>
      <w:r w:rsidR="00E44FB9" w:rsidRPr="004635E5">
        <w:rPr>
          <w:rFonts w:eastAsiaTheme="minorEastAsia"/>
          <w:sz w:val="22"/>
          <w:szCs w:val="22"/>
          <w:lang w:eastAsia="ko-KR"/>
        </w:rPr>
        <w:t xml:space="preserve"> SPC for the paper, </w:t>
      </w:r>
      <w:r w:rsidR="0041022C" w:rsidRPr="004635E5">
        <w:rPr>
          <w:rFonts w:eastAsiaTheme="minorEastAsia"/>
          <w:sz w:val="22"/>
          <w:szCs w:val="22"/>
          <w:lang w:eastAsia="ko-KR"/>
        </w:rPr>
        <w:t xml:space="preserve">stating that </w:t>
      </w:r>
      <w:r w:rsidR="00E44FB9" w:rsidRPr="004635E5">
        <w:rPr>
          <w:rFonts w:eastAsiaTheme="minorEastAsia"/>
          <w:sz w:val="22"/>
          <w:szCs w:val="22"/>
          <w:lang w:eastAsia="ko-KR"/>
        </w:rPr>
        <w:t xml:space="preserve">it </w:t>
      </w:r>
      <w:r w:rsidR="0041022C" w:rsidRPr="004635E5">
        <w:rPr>
          <w:rFonts w:eastAsiaTheme="minorEastAsia"/>
          <w:sz w:val="22"/>
          <w:szCs w:val="22"/>
          <w:lang w:eastAsia="ko-KR"/>
        </w:rPr>
        <w:t xml:space="preserve">did </w:t>
      </w:r>
      <w:r w:rsidR="00E44FB9" w:rsidRPr="004635E5">
        <w:rPr>
          <w:rFonts w:eastAsiaTheme="minorEastAsia"/>
          <w:sz w:val="22"/>
          <w:szCs w:val="22"/>
          <w:lang w:eastAsia="ko-KR"/>
        </w:rPr>
        <w:t xml:space="preserve">a good job </w:t>
      </w:r>
      <w:r w:rsidR="0041022C" w:rsidRPr="004635E5">
        <w:rPr>
          <w:rFonts w:eastAsiaTheme="minorEastAsia"/>
          <w:sz w:val="22"/>
          <w:szCs w:val="22"/>
          <w:lang w:eastAsia="ko-KR"/>
        </w:rPr>
        <w:t xml:space="preserve">of </w:t>
      </w:r>
      <w:r w:rsidR="00E44FB9" w:rsidRPr="004635E5">
        <w:rPr>
          <w:rFonts w:eastAsiaTheme="minorEastAsia"/>
          <w:sz w:val="22"/>
          <w:szCs w:val="22"/>
          <w:lang w:eastAsia="ko-KR"/>
        </w:rPr>
        <w:t xml:space="preserve">setting out different roles </w:t>
      </w:r>
      <w:r w:rsidR="0041022C" w:rsidRPr="004635E5">
        <w:rPr>
          <w:rFonts w:eastAsiaTheme="minorEastAsia"/>
          <w:sz w:val="22"/>
          <w:szCs w:val="22"/>
          <w:lang w:eastAsia="ko-KR"/>
        </w:rPr>
        <w:t xml:space="preserve">for </w:t>
      </w:r>
      <w:r w:rsidR="00E44FB9" w:rsidRPr="004635E5">
        <w:rPr>
          <w:rFonts w:eastAsiaTheme="minorEastAsia"/>
          <w:sz w:val="22"/>
          <w:szCs w:val="22"/>
          <w:lang w:eastAsia="ko-KR"/>
        </w:rPr>
        <w:t xml:space="preserve">scientists and managers in </w:t>
      </w:r>
      <w:r w:rsidR="0041022C" w:rsidRPr="004635E5">
        <w:rPr>
          <w:rFonts w:eastAsiaTheme="minorEastAsia"/>
          <w:sz w:val="22"/>
          <w:szCs w:val="22"/>
          <w:lang w:eastAsia="ko-KR"/>
        </w:rPr>
        <w:t xml:space="preserve">progressing </w:t>
      </w:r>
      <w:r w:rsidR="00E44FB9" w:rsidRPr="004635E5">
        <w:rPr>
          <w:rFonts w:eastAsiaTheme="minorEastAsia"/>
          <w:sz w:val="22"/>
          <w:szCs w:val="22"/>
          <w:lang w:eastAsia="ko-KR"/>
        </w:rPr>
        <w:t>the harvest strategy workplan forward</w:t>
      </w:r>
      <w:r w:rsidR="00A16680" w:rsidRPr="004635E5">
        <w:rPr>
          <w:rFonts w:eastAsiaTheme="minorEastAsia"/>
          <w:sz w:val="22"/>
          <w:szCs w:val="22"/>
          <w:lang w:eastAsia="ko-KR"/>
        </w:rPr>
        <w:t xml:space="preserve">. </w:t>
      </w:r>
      <w:r w:rsidR="0041022C" w:rsidRPr="004635E5">
        <w:rPr>
          <w:rFonts w:eastAsiaTheme="minorEastAsia"/>
          <w:sz w:val="22"/>
          <w:szCs w:val="22"/>
          <w:lang w:eastAsia="ko-KR"/>
        </w:rPr>
        <w:t xml:space="preserve">Specifically, they commented that regarding </w:t>
      </w:r>
      <w:r w:rsidR="00E44FB9" w:rsidRPr="004635E5">
        <w:rPr>
          <w:rFonts w:eastAsiaTheme="minorEastAsia"/>
          <w:sz w:val="22"/>
          <w:szCs w:val="22"/>
          <w:lang w:eastAsia="ko-KR"/>
        </w:rPr>
        <w:t>the “definition of fisheries and fishery control rules”</w:t>
      </w:r>
      <w:r w:rsidR="0041022C" w:rsidRPr="004635E5">
        <w:rPr>
          <w:rFonts w:eastAsiaTheme="minorEastAsia"/>
          <w:sz w:val="22"/>
          <w:szCs w:val="22"/>
          <w:lang w:eastAsia="ko-KR"/>
        </w:rPr>
        <w:t>,</w:t>
      </w:r>
      <w:r w:rsidR="00E44FB9" w:rsidRPr="004635E5">
        <w:rPr>
          <w:rFonts w:eastAsiaTheme="minorEastAsia"/>
          <w:sz w:val="22"/>
          <w:szCs w:val="22"/>
          <w:lang w:eastAsia="ko-KR"/>
        </w:rPr>
        <w:t xml:space="preserve"> </w:t>
      </w:r>
      <w:r w:rsidR="0041022C" w:rsidRPr="004635E5">
        <w:rPr>
          <w:rFonts w:eastAsiaTheme="minorEastAsia"/>
          <w:sz w:val="22"/>
          <w:szCs w:val="22"/>
          <w:lang w:eastAsia="ko-KR"/>
        </w:rPr>
        <w:t xml:space="preserve">PNA understood </w:t>
      </w:r>
      <w:r w:rsidR="00E44FB9" w:rsidRPr="004635E5">
        <w:rPr>
          <w:rFonts w:eastAsiaTheme="minorEastAsia"/>
          <w:sz w:val="22"/>
          <w:szCs w:val="22"/>
          <w:lang w:eastAsia="ko-KR"/>
        </w:rPr>
        <w:t>this to mean agreeing on the metric that will be used to manage the fishery or stock in question, such as through catch or effort</w:t>
      </w:r>
      <w:r w:rsidR="00A16680" w:rsidRPr="004635E5">
        <w:rPr>
          <w:rFonts w:eastAsiaTheme="minorEastAsia"/>
          <w:sz w:val="22"/>
          <w:szCs w:val="22"/>
          <w:lang w:eastAsia="ko-KR"/>
        </w:rPr>
        <w:t xml:space="preserve">. </w:t>
      </w:r>
      <w:r w:rsidR="00E44FB9" w:rsidRPr="004635E5">
        <w:rPr>
          <w:rFonts w:eastAsiaTheme="minorEastAsia"/>
          <w:sz w:val="22"/>
          <w:szCs w:val="22"/>
          <w:lang w:eastAsia="ko-KR"/>
        </w:rPr>
        <w:t>While understand</w:t>
      </w:r>
      <w:r w:rsidR="0041022C" w:rsidRPr="004635E5">
        <w:rPr>
          <w:rFonts w:eastAsiaTheme="minorEastAsia"/>
          <w:sz w:val="22"/>
          <w:szCs w:val="22"/>
          <w:lang w:eastAsia="ko-KR"/>
        </w:rPr>
        <w:t>ing</w:t>
      </w:r>
      <w:r w:rsidR="00E44FB9" w:rsidRPr="004635E5">
        <w:rPr>
          <w:rFonts w:eastAsiaTheme="minorEastAsia"/>
          <w:sz w:val="22"/>
          <w:szCs w:val="22"/>
          <w:lang w:eastAsia="ko-KR"/>
        </w:rPr>
        <w:t xml:space="preserve"> the benefits of doing so, </w:t>
      </w:r>
      <w:r w:rsidR="0041022C" w:rsidRPr="004635E5">
        <w:rPr>
          <w:rFonts w:eastAsiaTheme="minorEastAsia"/>
          <w:sz w:val="22"/>
          <w:szCs w:val="22"/>
          <w:lang w:eastAsia="ko-KR"/>
        </w:rPr>
        <w:t xml:space="preserve">PNA suggested it </w:t>
      </w:r>
      <w:r w:rsidR="00E44FB9" w:rsidRPr="004635E5">
        <w:rPr>
          <w:rFonts w:eastAsiaTheme="minorEastAsia"/>
          <w:sz w:val="22"/>
          <w:szCs w:val="22"/>
          <w:lang w:eastAsia="ko-KR"/>
        </w:rPr>
        <w:t>is likely to be very difficult in many cases</w:t>
      </w:r>
      <w:r w:rsidR="00A16680" w:rsidRPr="004635E5">
        <w:rPr>
          <w:rFonts w:eastAsiaTheme="minorEastAsia"/>
          <w:sz w:val="22"/>
          <w:szCs w:val="22"/>
          <w:lang w:eastAsia="ko-KR"/>
        </w:rPr>
        <w:t xml:space="preserve">. </w:t>
      </w:r>
      <w:r w:rsidR="00E44FB9" w:rsidRPr="004635E5">
        <w:rPr>
          <w:rFonts w:eastAsiaTheme="minorEastAsia"/>
          <w:sz w:val="22"/>
          <w:szCs w:val="22"/>
          <w:lang w:eastAsia="ko-KR"/>
        </w:rPr>
        <w:t>For example, the management currency for bigeye tuna is a combination of catch in the WCPFC measure, effort in the longline VDS</w:t>
      </w:r>
      <w:r w:rsidR="0041022C" w:rsidRPr="004635E5">
        <w:rPr>
          <w:rFonts w:eastAsiaTheme="minorEastAsia"/>
          <w:sz w:val="22"/>
          <w:szCs w:val="22"/>
          <w:lang w:eastAsia="ko-KR"/>
        </w:rPr>
        <w:t>,</w:t>
      </w:r>
      <w:r w:rsidR="00E44FB9" w:rsidRPr="004635E5">
        <w:rPr>
          <w:rFonts w:eastAsiaTheme="minorEastAsia"/>
          <w:sz w:val="22"/>
          <w:szCs w:val="22"/>
          <w:lang w:eastAsia="ko-KR"/>
        </w:rPr>
        <w:t xml:space="preserve"> and FAD closures in the purse seine fishery.</w:t>
      </w:r>
      <w:r w:rsidR="00A71A84" w:rsidRPr="004635E5">
        <w:rPr>
          <w:rFonts w:eastAsiaTheme="minorEastAsia"/>
          <w:sz w:val="22"/>
          <w:szCs w:val="22"/>
          <w:lang w:eastAsia="ko-KR"/>
        </w:rPr>
        <w:t xml:space="preserve"> </w:t>
      </w:r>
      <w:r w:rsidR="00E44FB9" w:rsidRPr="004635E5">
        <w:rPr>
          <w:rFonts w:eastAsiaTheme="minorEastAsia"/>
          <w:sz w:val="22"/>
          <w:szCs w:val="22"/>
          <w:lang w:eastAsia="ko-KR"/>
        </w:rPr>
        <w:t xml:space="preserve">Secondly, </w:t>
      </w:r>
      <w:r w:rsidR="0041022C" w:rsidRPr="004635E5">
        <w:rPr>
          <w:rFonts w:eastAsiaTheme="minorEastAsia"/>
          <w:sz w:val="22"/>
          <w:szCs w:val="22"/>
          <w:lang w:eastAsia="ko-KR"/>
        </w:rPr>
        <w:t xml:space="preserve">they noted </w:t>
      </w:r>
      <w:r w:rsidR="00E44FB9" w:rsidRPr="004635E5">
        <w:rPr>
          <w:rFonts w:eastAsiaTheme="minorEastAsia"/>
          <w:sz w:val="22"/>
          <w:szCs w:val="22"/>
          <w:lang w:eastAsia="ko-KR"/>
        </w:rPr>
        <w:t>that the consideration of multi-species elements needs to be undertaken by both managers and scientists</w:t>
      </w:r>
      <w:r w:rsidR="0041022C" w:rsidRPr="004635E5">
        <w:rPr>
          <w:rFonts w:eastAsiaTheme="minorEastAsia"/>
          <w:sz w:val="22"/>
          <w:szCs w:val="22"/>
          <w:lang w:eastAsia="ko-KR"/>
        </w:rPr>
        <w:t>,</w:t>
      </w:r>
      <w:r w:rsidR="00E44FB9" w:rsidRPr="004635E5">
        <w:rPr>
          <w:rFonts w:eastAsiaTheme="minorEastAsia"/>
          <w:sz w:val="22"/>
          <w:szCs w:val="22"/>
          <w:lang w:eastAsia="ko-KR"/>
        </w:rPr>
        <w:t xml:space="preserve"> rather than scientists alone.</w:t>
      </w:r>
    </w:p>
    <w:p w14:paraId="6A0039EB" w14:textId="77777777" w:rsidR="00EE7AE5" w:rsidRPr="004635E5" w:rsidRDefault="00EE7AE5" w:rsidP="006633A8">
      <w:pPr>
        <w:pStyle w:val="ListParagraph"/>
        <w:autoSpaceDE w:val="0"/>
        <w:autoSpaceDN w:val="0"/>
        <w:adjustRightInd w:val="0"/>
        <w:snapToGrid w:val="0"/>
        <w:ind w:left="360"/>
        <w:jc w:val="both"/>
        <w:rPr>
          <w:rFonts w:eastAsiaTheme="minorEastAsia"/>
          <w:sz w:val="22"/>
          <w:szCs w:val="22"/>
          <w:lang w:eastAsia="ko-KR"/>
        </w:rPr>
      </w:pPr>
    </w:p>
    <w:p w14:paraId="25BAE66E" w14:textId="77777777" w:rsidR="00EE7AE5" w:rsidRPr="004635E5" w:rsidRDefault="007353E1" w:rsidP="006633A8">
      <w:pPr>
        <w:autoSpaceDE w:val="0"/>
        <w:autoSpaceDN w:val="0"/>
        <w:adjustRightInd w:val="0"/>
        <w:snapToGrid w:val="0"/>
        <w:jc w:val="both"/>
        <w:rPr>
          <w:rFonts w:eastAsiaTheme="minorEastAsia"/>
          <w:b/>
          <w:sz w:val="22"/>
          <w:szCs w:val="22"/>
          <w:lang w:eastAsia="ko-KR"/>
        </w:rPr>
      </w:pPr>
      <w:r w:rsidRPr="004635E5">
        <w:rPr>
          <w:rFonts w:eastAsiaTheme="minorEastAsia"/>
          <w:b/>
          <w:sz w:val="22"/>
          <w:szCs w:val="22"/>
          <w:lang w:eastAsia="ko-KR"/>
        </w:rPr>
        <w:t>Recommendations</w:t>
      </w:r>
    </w:p>
    <w:p w14:paraId="0E26DFAF" w14:textId="77777777" w:rsidR="00812D9A" w:rsidRPr="004635E5" w:rsidRDefault="00812D9A" w:rsidP="006633A8">
      <w:pPr>
        <w:pStyle w:val="ListParagraph"/>
        <w:autoSpaceDE w:val="0"/>
        <w:autoSpaceDN w:val="0"/>
        <w:adjustRightInd w:val="0"/>
        <w:snapToGrid w:val="0"/>
        <w:ind w:left="360"/>
        <w:jc w:val="both"/>
        <w:rPr>
          <w:rFonts w:eastAsiaTheme="minorEastAsia"/>
          <w:sz w:val="22"/>
          <w:szCs w:val="22"/>
          <w:lang w:eastAsia="ko-KR"/>
        </w:rPr>
      </w:pPr>
    </w:p>
    <w:p w14:paraId="045FE843" w14:textId="77777777" w:rsidR="00A2648C" w:rsidRPr="004635E5" w:rsidRDefault="00E767D2"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 xml:space="preserve">SC14 reviewed several papers related to ongoing work which is being undertaken by the </w:t>
      </w:r>
      <w:r w:rsidRPr="004635E5">
        <w:rPr>
          <w:rFonts w:eastAsiaTheme="minorEastAsia"/>
          <w:b/>
          <w:sz w:val="22"/>
          <w:szCs w:val="22"/>
          <w:lang w:val="en-AU" w:eastAsia="ko-KR"/>
        </w:rPr>
        <w:t xml:space="preserve">Scientific Services </w:t>
      </w:r>
      <w:r w:rsidRPr="004635E5">
        <w:rPr>
          <w:rFonts w:eastAsiaTheme="minorEastAsia"/>
          <w:b/>
          <w:sz w:val="22"/>
          <w:szCs w:val="22"/>
          <w:lang w:eastAsia="ko-KR"/>
        </w:rPr>
        <w:t>Provider as specified in the Harvest Strategy Work Plan as updated by WCPFC14 (</w:t>
      </w:r>
      <w:r w:rsidRPr="004635E5">
        <w:rPr>
          <w:rFonts w:eastAsiaTheme="minorEastAsia"/>
          <w:b/>
          <w:sz w:val="22"/>
          <w:szCs w:val="22"/>
          <w:lang w:val="en-NZ" w:eastAsia="ko-KR"/>
        </w:rPr>
        <w:t>Attachment L in the WCPFC14 Summary Report)</w:t>
      </w:r>
      <w:r w:rsidRPr="004635E5">
        <w:rPr>
          <w:rFonts w:eastAsiaTheme="minorEastAsia"/>
          <w:b/>
          <w:sz w:val="22"/>
          <w:szCs w:val="22"/>
          <w:lang w:eastAsia="ko-KR"/>
        </w:rPr>
        <w:t xml:space="preserve">. It noted that the MSE evaluation framework is constructed from two main components, an operating model (OM) and a management procedure (MP). </w:t>
      </w:r>
    </w:p>
    <w:p w14:paraId="6E5E01D8" w14:textId="77777777" w:rsidR="00A2648C" w:rsidRPr="004635E5" w:rsidRDefault="00A2648C" w:rsidP="006633A8">
      <w:pPr>
        <w:autoSpaceDE w:val="0"/>
        <w:autoSpaceDN w:val="0"/>
        <w:adjustRightInd w:val="0"/>
        <w:snapToGrid w:val="0"/>
        <w:jc w:val="both"/>
        <w:rPr>
          <w:rFonts w:eastAsiaTheme="minorEastAsia"/>
          <w:b/>
          <w:sz w:val="22"/>
          <w:szCs w:val="22"/>
          <w:lang w:eastAsia="ko-KR"/>
        </w:rPr>
      </w:pPr>
    </w:p>
    <w:p w14:paraId="27799B74" w14:textId="77777777" w:rsidR="00E767D2" w:rsidRPr="004635E5" w:rsidRDefault="00E767D2"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First, SC14 reviewed information on the process of developing and parameterising an OM for the dynamics of the skipjack stock in the WCPO and the fishing fleets that exploit them (</w:t>
      </w:r>
      <w:r w:rsidR="00E109C5" w:rsidRPr="004635E5">
        <w:rPr>
          <w:rFonts w:eastAsiaTheme="minorEastAsia"/>
          <w:b/>
          <w:sz w:val="22"/>
          <w:szCs w:val="22"/>
          <w:lang w:eastAsia="ko-KR"/>
        </w:rPr>
        <w:t>SC14-</w:t>
      </w:r>
      <w:r w:rsidRPr="004635E5">
        <w:rPr>
          <w:rFonts w:eastAsiaTheme="minorEastAsia"/>
          <w:b/>
          <w:sz w:val="22"/>
          <w:szCs w:val="22"/>
          <w:lang w:eastAsia="ko-KR"/>
        </w:rPr>
        <w:t xml:space="preserve">MI-WP-03). In particular, it reviewed and provided feedback on the sources of uncertainty (such as implementation error) that should be included to ensure that the OM covers all important sources of uncertainty, against which the performance of a MP should be evaluated. Several CCMs also expressed a view that the OMs being developed should allow the impacts on other species to be considered. SC14 noted that in the past the </w:t>
      </w:r>
      <w:r w:rsidR="00C93CB8">
        <w:rPr>
          <w:rFonts w:eastAsiaTheme="minorEastAsia" w:hint="eastAsia"/>
          <w:b/>
          <w:sz w:val="22"/>
          <w:szCs w:val="22"/>
          <w:lang w:eastAsia="ko-KR"/>
        </w:rPr>
        <w:t>Scientific</w:t>
      </w:r>
      <w:r w:rsidR="00C93CB8" w:rsidRPr="004635E5">
        <w:rPr>
          <w:rFonts w:eastAsiaTheme="minorEastAsia"/>
          <w:b/>
          <w:sz w:val="22"/>
          <w:szCs w:val="22"/>
          <w:lang w:eastAsia="ko-KR"/>
        </w:rPr>
        <w:t xml:space="preserve"> </w:t>
      </w:r>
      <w:r w:rsidRPr="004635E5">
        <w:rPr>
          <w:rFonts w:eastAsiaTheme="minorEastAsia"/>
          <w:b/>
          <w:sz w:val="22"/>
          <w:szCs w:val="22"/>
          <w:lang w:eastAsia="ko-KR"/>
        </w:rPr>
        <w:t>Service</w:t>
      </w:r>
      <w:r w:rsidR="00C93CB8">
        <w:rPr>
          <w:rFonts w:eastAsiaTheme="minorEastAsia" w:hint="eastAsia"/>
          <w:b/>
          <w:sz w:val="22"/>
          <w:szCs w:val="22"/>
          <w:lang w:eastAsia="ko-KR"/>
        </w:rPr>
        <w:t>s</w:t>
      </w:r>
      <w:r w:rsidRPr="004635E5">
        <w:rPr>
          <w:rFonts w:eastAsiaTheme="minorEastAsia"/>
          <w:b/>
          <w:sz w:val="22"/>
          <w:szCs w:val="22"/>
          <w:lang w:eastAsia="ko-KR"/>
        </w:rPr>
        <w:t xml:space="preserve"> Provider have used some models to look at the impacts of CMMs on more than one species and such an approach, effectively running species-specific but similarly structured OMs in parallel, may be applicable in this case as part of future developments. SC14 also noted that the selection and refinement of OMs and other components of the MSE process will involve an extended iterative and consultative process and requested that the Scientific Services Provider incorporate the specific feedback of CCMs into future iterations. </w:t>
      </w:r>
    </w:p>
    <w:p w14:paraId="7F4D7ED6" w14:textId="77777777" w:rsidR="00A2648C" w:rsidRPr="004635E5" w:rsidRDefault="00A2648C" w:rsidP="006633A8">
      <w:pPr>
        <w:autoSpaceDE w:val="0"/>
        <w:autoSpaceDN w:val="0"/>
        <w:adjustRightInd w:val="0"/>
        <w:snapToGrid w:val="0"/>
        <w:jc w:val="both"/>
        <w:rPr>
          <w:rFonts w:eastAsiaTheme="minorEastAsia"/>
          <w:b/>
          <w:sz w:val="22"/>
          <w:szCs w:val="22"/>
          <w:lang w:eastAsia="ko-KR"/>
        </w:rPr>
      </w:pPr>
    </w:p>
    <w:p w14:paraId="5B07E5CE" w14:textId="77777777" w:rsidR="00E767D2" w:rsidRPr="004635E5" w:rsidRDefault="00E767D2"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Second, SC14 reviewed information and provided clarification and feedback on the development and use of a range of performance indicators for evaluating the relative performance of a set of demonstration management procedures (SC14-MI-WP-04), in particular the list of 11 indicators identified for inclusion for the Tropical Purse Seine Fisheries from Attachment M</w:t>
      </w:r>
      <w:r w:rsidR="00D81783">
        <w:rPr>
          <w:rFonts w:eastAsiaTheme="minorEastAsia" w:hint="eastAsia"/>
          <w:b/>
          <w:sz w:val="22"/>
          <w:szCs w:val="22"/>
          <w:lang w:eastAsia="ko-KR"/>
        </w:rPr>
        <w:t xml:space="preserve"> in</w:t>
      </w:r>
      <w:r w:rsidRPr="004635E5">
        <w:rPr>
          <w:rFonts w:eastAsiaTheme="minorEastAsia"/>
          <w:b/>
          <w:sz w:val="22"/>
          <w:szCs w:val="22"/>
          <w:lang w:eastAsia="ko-KR"/>
        </w:rPr>
        <w:t xml:space="preserve"> WCPFC</w:t>
      </w:r>
      <w:r w:rsidR="00C93CB8">
        <w:rPr>
          <w:rFonts w:eastAsiaTheme="minorEastAsia" w:hint="eastAsia"/>
          <w:b/>
          <w:sz w:val="22"/>
          <w:szCs w:val="22"/>
          <w:lang w:eastAsia="ko-KR"/>
        </w:rPr>
        <w:t>13</w:t>
      </w:r>
      <w:r w:rsidR="00D81783">
        <w:rPr>
          <w:rFonts w:eastAsiaTheme="minorEastAsia" w:hint="eastAsia"/>
          <w:b/>
          <w:sz w:val="22"/>
          <w:szCs w:val="22"/>
          <w:lang w:eastAsia="ko-KR"/>
        </w:rPr>
        <w:t xml:space="preserve"> Summary Report</w:t>
      </w:r>
      <w:r w:rsidRPr="004635E5">
        <w:rPr>
          <w:rFonts w:eastAsiaTheme="minorEastAsia"/>
          <w:b/>
          <w:sz w:val="22"/>
          <w:szCs w:val="22"/>
          <w:lang w:eastAsia="ko-KR"/>
        </w:rPr>
        <w:t>. Methods for comparing and synthesizing the relative performance of management procedures using the performance indicators (PI) were also reviewed. SC14 noted that several performance indicators that cannot be quantified in the OM can be moved to the monitoring strategy, though it expressed support for the retention of performance indicator PI-5 (to maximize SIDS revenue from resource rents) and recommended that further work be undertaken to identify options to better evaluate this objective. For PI-10 (avoid adverse impacts on small scale fisheries) several CCMs advocated that the estimation of MSY for the tropical tunas can be used as a proxy to assess downstream effects from the purse seine fishery and recommended that further work be undertaken. Some CCMs also supported the retention of PI-11 because of the multi-species nature of this fishery. SC14 also noted that the use of a smaller number of performance indicators will aid in comparing the relative performance of candidate management procedures. SC14 also agreed that, i) the distribution of the indicator values, not just a measure of the central tendency, should be considered, ii) that the time periods over which the indicators are calculated should be based on an appropriate number of management cycles, based on the life history of the stock, and iii) that the further development of potential indicators and how they are presented is an ongoing process and will benefit from the engagement with other stakeholder groups.</w:t>
      </w:r>
    </w:p>
    <w:p w14:paraId="5907F8A9" w14:textId="77777777" w:rsidR="00A2648C" w:rsidRPr="004635E5" w:rsidRDefault="00A2648C" w:rsidP="006633A8">
      <w:pPr>
        <w:autoSpaceDE w:val="0"/>
        <w:autoSpaceDN w:val="0"/>
        <w:adjustRightInd w:val="0"/>
        <w:snapToGrid w:val="0"/>
        <w:jc w:val="both"/>
        <w:rPr>
          <w:rFonts w:eastAsiaTheme="minorEastAsia"/>
          <w:b/>
          <w:sz w:val="22"/>
          <w:szCs w:val="22"/>
          <w:lang w:eastAsia="ko-KR"/>
        </w:rPr>
      </w:pPr>
    </w:p>
    <w:p w14:paraId="21DB49A8" w14:textId="77777777" w:rsidR="00E767D2" w:rsidRDefault="00E767D2"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Third, SC14 reviewed information on the key decisions that i) regional fishery managers and stakeholders, and ii) scientists (through the Scientific Committee) will need to consider under the work plan for adoption of harvest strategies for tuna stocks and fisheries in the WCPO (SC14-MI-WP-05). In noting the useful summary provided by this paper of the roles that each group plays in moving the harvest strategy workplan forward, SC14 also noted that discussion and negotiations would be required on a number of issues and that certain issues would need to be undertaken by both managers and scientists together.</w:t>
      </w:r>
    </w:p>
    <w:p w14:paraId="74A578D6" w14:textId="77777777" w:rsidR="00812008" w:rsidRPr="004635E5" w:rsidRDefault="00812008" w:rsidP="00812008">
      <w:pPr>
        <w:autoSpaceDE w:val="0"/>
        <w:autoSpaceDN w:val="0"/>
        <w:adjustRightInd w:val="0"/>
        <w:snapToGrid w:val="0"/>
        <w:jc w:val="both"/>
        <w:rPr>
          <w:rFonts w:eastAsiaTheme="minorEastAsia"/>
          <w:b/>
          <w:sz w:val="22"/>
          <w:szCs w:val="22"/>
          <w:lang w:eastAsia="ko-KR"/>
        </w:rPr>
      </w:pPr>
    </w:p>
    <w:p w14:paraId="0B199C89" w14:textId="77777777" w:rsidR="00E767D2" w:rsidRPr="004635E5" w:rsidRDefault="00E767D2"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 xml:space="preserve">SC14 requested that revised versions of the above working papers be forwarded to WCPFC15 taking into account the suggestions to clarify, revise and update as appropriate, aspects of these papers. SC14 recommends that WCPFC15 note the progress on the development of the MSE being undertaken under the Harvest Strategy Work Plan and provide the necessary elements being requested from the Commission to further progress this work against the scheduled time-lines noted in this work-plan. </w:t>
      </w:r>
    </w:p>
    <w:p w14:paraId="7096F1BC" w14:textId="77777777" w:rsidR="00A2648C" w:rsidRPr="004635E5" w:rsidRDefault="00A2648C" w:rsidP="006633A8">
      <w:pPr>
        <w:autoSpaceDE w:val="0"/>
        <w:autoSpaceDN w:val="0"/>
        <w:adjustRightInd w:val="0"/>
        <w:snapToGrid w:val="0"/>
        <w:jc w:val="both"/>
        <w:rPr>
          <w:rFonts w:eastAsiaTheme="minorEastAsia"/>
          <w:b/>
          <w:sz w:val="22"/>
          <w:szCs w:val="22"/>
          <w:lang w:eastAsia="ko-KR"/>
        </w:rPr>
      </w:pPr>
    </w:p>
    <w:p w14:paraId="69C49B73" w14:textId="77777777" w:rsidR="004F685E" w:rsidRPr="004635E5" w:rsidRDefault="004F685E" w:rsidP="00580EA4">
      <w:pPr>
        <w:pStyle w:val="SC3"/>
        <w:numPr>
          <w:ilvl w:val="2"/>
          <w:numId w:val="161"/>
        </w:numPr>
        <w:spacing w:after="0"/>
        <w:rPr>
          <w:rFonts w:eastAsiaTheme="minorEastAsia"/>
          <w:lang w:eastAsia="ko-KR"/>
        </w:rPr>
      </w:pPr>
      <w:r w:rsidRPr="004635E5">
        <w:rPr>
          <w:rFonts w:eastAsiaTheme="minorEastAsia"/>
          <w:lang w:eastAsia="ko-KR"/>
        </w:rPr>
        <w:t>Other matters</w:t>
      </w:r>
    </w:p>
    <w:p w14:paraId="368C892F" w14:textId="77777777" w:rsidR="00A2648C" w:rsidRPr="004635E5" w:rsidRDefault="00A2648C" w:rsidP="006633A8">
      <w:pPr>
        <w:pStyle w:val="SC3"/>
        <w:numPr>
          <w:ilvl w:val="0"/>
          <w:numId w:val="0"/>
        </w:numPr>
        <w:spacing w:after="0"/>
        <w:ind w:left="1440"/>
        <w:rPr>
          <w:rFonts w:eastAsiaTheme="minorEastAsia"/>
          <w:lang w:eastAsia="ko-KR"/>
        </w:rPr>
      </w:pPr>
    </w:p>
    <w:p w14:paraId="487793F6" w14:textId="77777777" w:rsidR="00A2648C" w:rsidRPr="004635E5" w:rsidRDefault="007353E1" w:rsidP="00671F09">
      <w:pPr>
        <w:pStyle w:val="SCa"/>
        <w:tabs>
          <w:tab w:val="clear" w:pos="1080"/>
        </w:tabs>
        <w:spacing w:after="0"/>
        <w:ind w:left="0"/>
      </w:pPr>
      <w:r w:rsidRPr="004635E5">
        <w:t>a.</w:t>
      </w:r>
      <w:r w:rsidRPr="004635E5">
        <w:tab/>
      </w:r>
      <w:r w:rsidR="00EC35EA" w:rsidRPr="004635E5">
        <w:t>Science and management dialogue</w:t>
      </w:r>
    </w:p>
    <w:p w14:paraId="2E740D93" w14:textId="77777777" w:rsidR="00A2648C" w:rsidRPr="004635E5" w:rsidRDefault="00A2648C" w:rsidP="006633A8">
      <w:pPr>
        <w:pStyle w:val="SCa"/>
        <w:spacing w:after="0"/>
      </w:pPr>
    </w:p>
    <w:p w14:paraId="353985A3" w14:textId="77777777" w:rsidR="00B312EE" w:rsidRPr="004635E5" w:rsidRDefault="00B312EE" w:rsidP="00580EA4">
      <w:pPr>
        <w:numPr>
          <w:ilvl w:val="0"/>
          <w:numId w:val="18"/>
        </w:numPr>
        <w:autoSpaceDE w:val="0"/>
        <w:autoSpaceDN w:val="0"/>
        <w:adjustRightInd w:val="0"/>
        <w:snapToGrid w:val="0"/>
        <w:ind w:left="0" w:firstLine="0"/>
        <w:jc w:val="both"/>
        <w:rPr>
          <w:rFonts w:eastAsiaTheme="minorEastAsia"/>
          <w:sz w:val="22"/>
          <w:szCs w:val="22"/>
          <w:lang w:val="en-AU" w:eastAsia="ko-KR"/>
        </w:rPr>
      </w:pPr>
      <w:r w:rsidRPr="007C29E5">
        <w:rPr>
          <w:rFonts w:eastAsiaTheme="minorEastAsia"/>
          <w:bCs/>
          <w:sz w:val="22"/>
          <w:szCs w:val="22"/>
          <w:lang w:val="en-AU" w:eastAsia="ko-KR"/>
        </w:rPr>
        <w:t xml:space="preserve">G. Pilling presented </w:t>
      </w:r>
      <w:r w:rsidR="005C3CE1">
        <w:rPr>
          <w:rFonts w:eastAsia="Calibri"/>
          <w:sz w:val="22"/>
          <w:szCs w:val="22"/>
          <w:lang w:val="en-AU"/>
        </w:rPr>
        <w:t>SC14-</w:t>
      </w:r>
      <w:r w:rsidR="000C2633" w:rsidRPr="007C29E5">
        <w:rPr>
          <w:rFonts w:eastAsiaTheme="minorEastAsia"/>
          <w:bCs/>
          <w:sz w:val="22"/>
          <w:szCs w:val="22"/>
          <w:lang w:val="en-AU" w:eastAsia="ko-KR"/>
        </w:rPr>
        <w:t xml:space="preserve">MI-WP-06 </w:t>
      </w:r>
      <w:r w:rsidR="000C2633" w:rsidRPr="007C29E5">
        <w:rPr>
          <w:rFonts w:eastAsiaTheme="minorEastAsia"/>
          <w:bCs/>
          <w:i/>
          <w:sz w:val="22"/>
          <w:szCs w:val="22"/>
          <w:lang w:val="en-AU" w:eastAsia="ko-KR"/>
        </w:rPr>
        <w:t>Consultative Draft Terms of Reference for a WCPFC Science-Management Dialogue meeting</w:t>
      </w:r>
      <w:r w:rsidRPr="007C29E5">
        <w:rPr>
          <w:rFonts w:eastAsiaTheme="minorEastAsia"/>
          <w:bCs/>
          <w:sz w:val="22"/>
          <w:szCs w:val="22"/>
          <w:lang w:val="en-AU" w:eastAsia="ko-KR"/>
        </w:rPr>
        <w:t>.</w:t>
      </w:r>
      <w:r w:rsidRPr="004635E5">
        <w:rPr>
          <w:rFonts w:eastAsiaTheme="minorEastAsia"/>
          <w:sz w:val="22"/>
          <w:szCs w:val="22"/>
          <w:lang w:val="en-AU" w:eastAsia="ko-KR"/>
        </w:rPr>
        <w:t xml:space="preserve"> WCPFC14 highlighted the need for sufficient additional time to be allocated to progress the development of WCPO harvest strategies, and recognised the potential need for a dedicated science-management dialogue. To allow SC14 to provide recommendations and any agreed process for the formulation of the science-management dialogue for consideration by WCPFC meetings in 2018, the paper provides two key sections: i) elements to consider when formulating the science-management dialogue; and ii) a consultative draft Terms of Reference for a ‘science-management dialogue’ meeting.</w:t>
      </w:r>
    </w:p>
    <w:p w14:paraId="7AC891C2" w14:textId="77777777" w:rsidR="00A2648C" w:rsidRPr="004635E5" w:rsidRDefault="00A2648C" w:rsidP="006633A8">
      <w:pPr>
        <w:autoSpaceDE w:val="0"/>
        <w:autoSpaceDN w:val="0"/>
        <w:adjustRightInd w:val="0"/>
        <w:snapToGrid w:val="0"/>
        <w:jc w:val="both"/>
        <w:rPr>
          <w:rFonts w:eastAsiaTheme="minorEastAsia"/>
          <w:sz w:val="22"/>
          <w:szCs w:val="22"/>
          <w:lang w:val="en-AU" w:eastAsia="ko-KR"/>
        </w:rPr>
      </w:pPr>
    </w:p>
    <w:p w14:paraId="7B8CAD9E" w14:textId="77777777" w:rsidR="00277083" w:rsidRPr="004635E5" w:rsidRDefault="00A2238C" w:rsidP="006633A8">
      <w:pPr>
        <w:pStyle w:val="ListParagraph"/>
        <w:adjustRightInd w:val="0"/>
        <w:snapToGrid w:val="0"/>
        <w:ind w:left="0"/>
        <w:jc w:val="both"/>
        <w:rPr>
          <w:rFonts w:eastAsiaTheme="minorEastAsia"/>
          <w:b/>
          <w:sz w:val="22"/>
          <w:szCs w:val="22"/>
          <w:lang w:val="en-AU" w:eastAsia="ko-KR"/>
        </w:rPr>
      </w:pPr>
      <w:r w:rsidRPr="004635E5">
        <w:rPr>
          <w:rFonts w:eastAsiaTheme="minorEastAsia"/>
          <w:b/>
          <w:sz w:val="22"/>
          <w:szCs w:val="22"/>
          <w:lang w:val="en-AU" w:eastAsia="ko-KR"/>
        </w:rPr>
        <w:t>Discussion</w:t>
      </w:r>
    </w:p>
    <w:p w14:paraId="5EED8733" w14:textId="77777777" w:rsidR="00A2648C" w:rsidRPr="004635E5" w:rsidRDefault="00A2648C" w:rsidP="006633A8">
      <w:pPr>
        <w:pStyle w:val="ListParagraph"/>
        <w:adjustRightInd w:val="0"/>
        <w:snapToGrid w:val="0"/>
        <w:ind w:left="0"/>
        <w:jc w:val="both"/>
        <w:rPr>
          <w:rFonts w:eastAsiaTheme="minorEastAsia"/>
          <w:b/>
          <w:sz w:val="22"/>
          <w:szCs w:val="22"/>
          <w:lang w:val="en-AU" w:eastAsia="ko-KR"/>
        </w:rPr>
      </w:pPr>
    </w:p>
    <w:p w14:paraId="596892A8" w14:textId="77777777" w:rsidR="0041022C" w:rsidRPr="004635E5" w:rsidRDefault="0041022C"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The convener opened the discussion, noting that the idea behind commencing a Science-Manager Dialogue was to develop a more efficient process for undertaking the agreed work plan on the development of harvest strategies for the WCPFC.</w:t>
      </w:r>
    </w:p>
    <w:p w14:paraId="1BCF1CC9" w14:textId="77777777" w:rsidR="00A2648C" w:rsidRPr="004635E5" w:rsidRDefault="00A2648C" w:rsidP="006633A8">
      <w:pPr>
        <w:autoSpaceDE w:val="0"/>
        <w:autoSpaceDN w:val="0"/>
        <w:adjustRightInd w:val="0"/>
        <w:snapToGrid w:val="0"/>
        <w:jc w:val="both"/>
        <w:rPr>
          <w:rFonts w:eastAsiaTheme="minorEastAsia"/>
          <w:sz w:val="22"/>
          <w:szCs w:val="22"/>
          <w:lang w:eastAsia="ko-KR"/>
        </w:rPr>
      </w:pPr>
    </w:p>
    <w:p w14:paraId="7390181E" w14:textId="77777777" w:rsidR="00277083" w:rsidRPr="004635E5" w:rsidRDefault="0041022C"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The </w:t>
      </w:r>
      <w:r w:rsidR="0065444F" w:rsidRPr="004635E5">
        <w:rPr>
          <w:rFonts w:eastAsiaTheme="minorEastAsia"/>
          <w:sz w:val="22"/>
          <w:szCs w:val="22"/>
          <w:lang w:eastAsia="ko-KR"/>
        </w:rPr>
        <w:t xml:space="preserve">Solomon Islands, on behalf of </w:t>
      </w:r>
      <w:r w:rsidR="001B46FB" w:rsidRPr="004635E5">
        <w:rPr>
          <w:rFonts w:eastAsiaTheme="minorEastAsia"/>
          <w:sz w:val="22"/>
          <w:szCs w:val="22"/>
          <w:lang w:eastAsia="ko-KR"/>
        </w:rPr>
        <w:t>FFA members</w:t>
      </w:r>
      <w:r w:rsidRPr="004635E5">
        <w:rPr>
          <w:rFonts w:eastAsiaTheme="minorEastAsia"/>
          <w:sz w:val="22"/>
          <w:szCs w:val="22"/>
          <w:lang w:eastAsia="ko-KR"/>
        </w:rPr>
        <w:t>,</w:t>
      </w:r>
      <w:r w:rsidR="001B46FB" w:rsidRPr="004635E5">
        <w:rPr>
          <w:rFonts w:eastAsiaTheme="minorEastAsia"/>
          <w:sz w:val="22"/>
          <w:szCs w:val="22"/>
          <w:lang w:eastAsia="ko-KR"/>
        </w:rPr>
        <w:t xml:space="preserve"> thank</w:t>
      </w:r>
      <w:r w:rsidRPr="004635E5">
        <w:rPr>
          <w:rFonts w:eastAsiaTheme="minorEastAsia"/>
          <w:sz w:val="22"/>
          <w:szCs w:val="22"/>
          <w:lang w:eastAsia="ko-KR"/>
        </w:rPr>
        <w:t>ed</w:t>
      </w:r>
      <w:r w:rsidR="001B46FB" w:rsidRPr="004635E5">
        <w:rPr>
          <w:rFonts w:eastAsiaTheme="minorEastAsia"/>
          <w:sz w:val="22"/>
          <w:szCs w:val="22"/>
          <w:lang w:eastAsia="ko-KR"/>
        </w:rPr>
        <w:t xml:space="preserve"> SPC </w:t>
      </w:r>
      <w:r w:rsidRPr="004635E5">
        <w:rPr>
          <w:rFonts w:eastAsiaTheme="minorEastAsia"/>
          <w:sz w:val="22"/>
          <w:szCs w:val="22"/>
          <w:lang w:eastAsia="ko-KR"/>
        </w:rPr>
        <w:t xml:space="preserve">for </w:t>
      </w:r>
      <w:r w:rsidR="001B46FB" w:rsidRPr="004635E5">
        <w:rPr>
          <w:rFonts w:eastAsiaTheme="minorEastAsia"/>
          <w:sz w:val="22"/>
          <w:szCs w:val="22"/>
          <w:lang w:eastAsia="ko-KR"/>
        </w:rPr>
        <w:t xml:space="preserve">their work in developing terms-of-reference and providing a good summary of the issues that would benefit from the establishment of the proposed dialogue. </w:t>
      </w:r>
      <w:r w:rsidRPr="004635E5">
        <w:rPr>
          <w:rFonts w:eastAsiaTheme="minorEastAsia"/>
          <w:sz w:val="22"/>
          <w:szCs w:val="22"/>
          <w:lang w:eastAsia="ko-KR"/>
        </w:rPr>
        <w:t xml:space="preserve">They </w:t>
      </w:r>
      <w:r w:rsidR="001B46FB" w:rsidRPr="004635E5">
        <w:rPr>
          <w:rFonts w:eastAsiaTheme="minorEastAsia"/>
          <w:sz w:val="22"/>
          <w:szCs w:val="22"/>
          <w:lang w:eastAsia="ko-KR"/>
        </w:rPr>
        <w:t>note</w:t>
      </w:r>
      <w:r w:rsidRPr="004635E5">
        <w:rPr>
          <w:rFonts w:eastAsiaTheme="minorEastAsia"/>
          <w:sz w:val="22"/>
          <w:szCs w:val="22"/>
          <w:lang w:eastAsia="ko-KR"/>
        </w:rPr>
        <w:t>d</w:t>
      </w:r>
      <w:r w:rsidR="001B46FB" w:rsidRPr="004635E5">
        <w:rPr>
          <w:rFonts w:eastAsiaTheme="minorEastAsia"/>
          <w:sz w:val="22"/>
          <w:szCs w:val="22"/>
          <w:lang w:eastAsia="ko-KR"/>
        </w:rPr>
        <w:t xml:space="preserve"> </w:t>
      </w:r>
      <w:r w:rsidRPr="004635E5">
        <w:rPr>
          <w:rFonts w:eastAsiaTheme="minorEastAsia"/>
          <w:sz w:val="22"/>
          <w:szCs w:val="22"/>
          <w:lang w:eastAsia="ko-KR"/>
        </w:rPr>
        <w:t xml:space="preserve">that </w:t>
      </w:r>
      <w:r w:rsidR="001B46FB" w:rsidRPr="004635E5">
        <w:rPr>
          <w:rFonts w:eastAsiaTheme="minorEastAsia"/>
          <w:sz w:val="22"/>
          <w:szCs w:val="22"/>
          <w:lang w:eastAsia="ko-KR"/>
        </w:rPr>
        <w:t xml:space="preserve">the ‘manager-driven’ approach offered through the dialogue series of workshops </w:t>
      </w:r>
      <w:r w:rsidRPr="004635E5">
        <w:rPr>
          <w:rFonts w:eastAsiaTheme="minorEastAsia"/>
          <w:sz w:val="22"/>
          <w:szCs w:val="22"/>
          <w:lang w:eastAsia="ko-KR"/>
        </w:rPr>
        <w:t xml:space="preserve">was needed </w:t>
      </w:r>
      <w:r w:rsidR="001B46FB" w:rsidRPr="004635E5">
        <w:rPr>
          <w:rFonts w:eastAsiaTheme="minorEastAsia"/>
          <w:sz w:val="22"/>
          <w:szCs w:val="22"/>
          <w:lang w:eastAsia="ko-KR"/>
        </w:rPr>
        <w:t xml:space="preserve">to make timely progress against the comprehensive list of key decisions that will need to be made as part of the Harvest Strategy development process. FFA members </w:t>
      </w:r>
      <w:r w:rsidRPr="004635E5">
        <w:rPr>
          <w:rFonts w:eastAsiaTheme="minorEastAsia"/>
          <w:sz w:val="22"/>
          <w:szCs w:val="22"/>
          <w:lang w:eastAsia="ko-KR"/>
        </w:rPr>
        <w:t xml:space="preserve">stated that </w:t>
      </w:r>
      <w:r w:rsidR="001B46FB" w:rsidRPr="004635E5">
        <w:rPr>
          <w:rFonts w:eastAsiaTheme="minorEastAsia"/>
          <w:sz w:val="22"/>
          <w:szCs w:val="22"/>
          <w:lang w:eastAsia="ko-KR"/>
        </w:rPr>
        <w:t>a dedicated meeting to improve dialogue and understanding between WCPFC scientists and managers</w:t>
      </w:r>
      <w:r w:rsidRPr="004635E5">
        <w:rPr>
          <w:rFonts w:eastAsiaTheme="minorEastAsia"/>
          <w:sz w:val="22"/>
          <w:szCs w:val="22"/>
          <w:lang w:eastAsia="ko-KR"/>
        </w:rPr>
        <w:t xml:space="preserve"> was justified</w:t>
      </w:r>
      <w:r w:rsidR="001B46FB" w:rsidRPr="004635E5">
        <w:rPr>
          <w:rFonts w:eastAsiaTheme="minorEastAsia"/>
          <w:sz w:val="22"/>
          <w:szCs w:val="22"/>
          <w:lang w:eastAsia="ko-KR"/>
        </w:rPr>
        <w:t>.</w:t>
      </w:r>
    </w:p>
    <w:p w14:paraId="79FA3393" w14:textId="77777777" w:rsidR="00A2648C" w:rsidRPr="004635E5" w:rsidRDefault="00A2648C" w:rsidP="006633A8">
      <w:pPr>
        <w:autoSpaceDE w:val="0"/>
        <w:autoSpaceDN w:val="0"/>
        <w:adjustRightInd w:val="0"/>
        <w:snapToGrid w:val="0"/>
        <w:jc w:val="both"/>
        <w:rPr>
          <w:rFonts w:eastAsiaTheme="minorEastAsia"/>
          <w:sz w:val="22"/>
          <w:szCs w:val="22"/>
          <w:lang w:eastAsia="ko-KR"/>
        </w:rPr>
      </w:pPr>
    </w:p>
    <w:p w14:paraId="0E999833" w14:textId="77777777" w:rsidR="00FB7D12" w:rsidRPr="004635E5" w:rsidRDefault="00FB7D12"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The </w:t>
      </w:r>
      <w:r w:rsidR="00277083" w:rsidRPr="004635E5">
        <w:rPr>
          <w:rFonts w:eastAsiaTheme="minorEastAsia"/>
          <w:sz w:val="22"/>
          <w:szCs w:val="22"/>
          <w:lang w:eastAsia="ko-KR"/>
        </w:rPr>
        <w:t xml:space="preserve">USA </w:t>
      </w:r>
      <w:r w:rsidRPr="004635E5">
        <w:rPr>
          <w:rFonts w:eastAsiaTheme="minorEastAsia"/>
          <w:sz w:val="22"/>
          <w:szCs w:val="22"/>
          <w:lang w:eastAsia="ko-KR"/>
        </w:rPr>
        <w:t xml:space="preserve">supported the </w:t>
      </w:r>
      <w:r w:rsidR="00CB3CA1" w:rsidRPr="004635E5">
        <w:rPr>
          <w:rFonts w:eastAsiaTheme="minorEastAsia"/>
          <w:sz w:val="22"/>
          <w:szCs w:val="22"/>
          <w:lang w:eastAsia="ko-KR"/>
        </w:rPr>
        <w:t xml:space="preserve">idea </w:t>
      </w:r>
      <w:r w:rsidRPr="004635E5">
        <w:rPr>
          <w:rFonts w:eastAsiaTheme="minorEastAsia"/>
          <w:sz w:val="22"/>
          <w:szCs w:val="22"/>
          <w:lang w:eastAsia="ko-KR"/>
        </w:rPr>
        <w:t xml:space="preserve">of a </w:t>
      </w:r>
      <w:r w:rsidR="00CB3CA1" w:rsidRPr="004635E5">
        <w:rPr>
          <w:rFonts w:eastAsiaTheme="minorEastAsia"/>
          <w:sz w:val="22"/>
          <w:szCs w:val="22"/>
          <w:lang w:eastAsia="ko-KR"/>
        </w:rPr>
        <w:t>dialog</w:t>
      </w:r>
      <w:r w:rsidRPr="004635E5">
        <w:rPr>
          <w:rFonts w:eastAsiaTheme="minorEastAsia"/>
          <w:sz w:val="22"/>
          <w:szCs w:val="22"/>
          <w:lang w:eastAsia="ko-KR"/>
        </w:rPr>
        <w:t xml:space="preserve">, and suggested it take place in conjunction with the Commission’s annual meeting to enable greater </w:t>
      </w:r>
      <w:r w:rsidR="00CB3CA1" w:rsidRPr="004635E5">
        <w:rPr>
          <w:rFonts w:eastAsiaTheme="minorEastAsia"/>
          <w:sz w:val="22"/>
          <w:szCs w:val="22"/>
          <w:lang w:eastAsia="ko-KR"/>
        </w:rPr>
        <w:t>engagement w/ mangers</w:t>
      </w:r>
      <w:r w:rsidRPr="004635E5">
        <w:rPr>
          <w:rFonts w:eastAsiaTheme="minorEastAsia"/>
          <w:sz w:val="22"/>
          <w:szCs w:val="22"/>
          <w:lang w:eastAsia="ko-KR"/>
        </w:rPr>
        <w:t xml:space="preserve">. </w:t>
      </w:r>
    </w:p>
    <w:p w14:paraId="35709181" w14:textId="77777777" w:rsidR="00A2648C" w:rsidRPr="004635E5" w:rsidRDefault="00A2648C" w:rsidP="006633A8">
      <w:pPr>
        <w:autoSpaceDE w:val="0"/>
        <w:autoSpaceDN w:val="0"/>
        <w:adjustRightInd w:val="0"/>
        <w:snapToGrid w:val="0"/>
        <w:jc w:val="both"/>
        <w:rPr>
          <w:rFonts w:eastAsiaTheme="minorEastAsia"/>
          <w:sz w:val="22"/>
          <w:szCs w:val="22"/>
          <w:lang w:eastAsia="ko-KR"/>
        </w:rPr>
      </w:pPr>
    </w:p>
    <w:p w14:paraId="3A8AC573" w14:textId="77777777" w:rsidR="00CB3CA1" w:rsidRDefault="00CB3CA1"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China</w:t>
      </w:r>
      <w:r w:rsidR="00FB7D12" w:rsidRPr="004635E5">
        <w:rPr>
          <w:rFonts w:eastAsiaTheme="minorEastAsia"/>
          <w:sz w:val="22"/>
          <w:szCs w:val="22"/>
          <w:lang w:eastAsia="ko-KR"/>
        </w:rPr>
        <w:t xml:space="preserve"> noted that </w:t>
      </w:r>
      <w:r w:rsidR="004A5251" w:rsidRPr="004635E5">
        <w:rPr>
          <w:rFonts w:eastAsiaTheme="minorEastAsia"/>
          <w:sz w:val="22"/>
          <w:szCs w:val="22"/>
          <w:lang w:eastAsia="ko-KR"/>
        </w:rPr>
        <w:t xml:space="preserve">the </w:t>
      </w:r>
      <w:r w:rsidR="00FB7D12" w:rsidRPr="004635E5">
        <w:rPr>
          <w:rFonts w:eastAsiaTheme="minorEastAsia"/>
          <w:sz w:val="22"/>
          <w:szCs w:val="22"/>
          <w:lang w:eastAsia="ko-KR"/>
        </w:rPr>
        <w:t xml:space="preserve">idea was </w:t>
      </w:r>
      <w:r w:rsidRPr="004635E5">
        <w:rPr>
          <w:rFonts w:eastAsiaTheme="minorEastAsia"/>
          <w:sz w:val="22"/>
          <w:szCs w:val="22"/>
          <w:lang w:eastAsia="ko-KR"/>
        </w:rPr>
        <w:t>good</w:t>
      </w:r>
      <w:r w:rsidR="00FB7D12" w:rsidRPr="004635E5">
        <w:rPr>
          <w:rFonts w:eastAsiaTheme="minorEastAsia"/>
          <w:sz w:val="22"/>
          <w:szCs w:val="22"/>
          <w:lang w:eastAsia="ko-KR"/>
        </w:rPr>
        <w:t xml:space="preserve">, but that their experience with similar processes in two other RFMOs was not encouraging. </w:t>
      </w:r>
      <w:r w:rsidR="0041022C" w:rsidRPr="004635E5">
        <w:rPr>
          <w:rFonts w:eastAsiaTheme="minorEastAsia"/>
          <w:sz w:val="22"/>
          <w:szCs w:val="22"/>
          <w:lang w:eastAsia="ko-KR"/>
        </w:rPr>
        <w:t xml:space="preserve">They </w:t>
      </w:r>
      <w:r w:rsidR="00FB7D12" w:rsidRPr="004635E5">
        <w:rPr>
          <w:rFonts w:eastAsiaTheme="minorEastAsia"/>
          <w:sz w:val="22"/>
          <w:szCs w:val="22"/>
          <w:lang w:eastAsia="ko-KR"/>
        </w:rPr>
        <w:t xml:space="preserve">noted the need </w:t>
      </w:r>
      <w:r w:rsidRPr="004635E5">
        <w:rPr>
          <w:rFonts w:eastAsiaTheme="minorEastAsia"/>
          <w:sz w:val="22"/>
          <w:szCs w:val="22"/>
          <w:lang w:eastAsia="ko-KR"/>
        </w:rPr>
        <w:t>to est</w:t>
      </w:r>
      <w:r w:rsidR="00FB7D12" w:rsidRPr="004635E5">
        <w:rPr>
          <w:rFonts w:eastAsiaTheme="minorEastAsia"/>
          <w:sz w:val="22"/>
          <w:szCs w:val="22"/>
          <w:lang w:eastAsia="ko-KR"/>
        </w:rPr>
        <w:t>ablish</w:t>
      </w:r>
      <w:r w:rsidRPr="004635E5">
        <w:rPr>
          <w:rFonts w:eastAsiaTheme="minorEastAsia"/>
          <w:sz w:val="22"/>
          <w:szCs w:val="22"/>
          <w:lang w:eastAsia="ko-KR"/>
        </w:rPr>
        <w:t xml:space="preserve"> a mech</w:t>
      </w:r>
      <w:r w:rsidR="002806D9" w:rsidRPr="004635E5">
        <w:rPr>
          <w:rFonts w:eastAsiaTheme="minorEastAsia"/>
          <w:sz w:val="22"/>
          <w:szCs w:val="22"/>
          <w:lang w:eastAsia="ko-KR"/>
        </w:rPr>
        <w:t xml:space="preserve">anism </w:t>
      </w:r>
      <w:r w:rsidRPr="004635E5">
        <w:rPr>
          <w:rFonts w:eastAsiaTheme="minorEastAsia"/>
          <w:sz w:val="22"/>
          <w:szCs w:val="22"/>
          <w:lang w:eastAsia="ko-KR"/>
        </w:rPr>
        <w:t xml:space="preserve">for </w:t>
      </w:r>
      <w:r w:rsidR="002806D9" w:rsidRPr="004635E5">
        <w:rPr>
          <w:rFonts w:eastAsiaTheme="minorEastAsia"/>
          <w:sz w:val="22"/>
          <w:szCs w:val="22"/>
          <w:lang w:eastAsia="ko-KR"/>
        </w:rPr>
        <w:t xml:space="preserve">supporting </w:t>
      </w:r>
      <w:r w:rsidRPr="004635E5">
        <w:rPr>
          <w:rFonts w:eastAsiaTheme="minorEastAsia"/>
          <w:sz w:val="22"/>
          <w:szCs w:val="22"/>
          <w:lang w:eastAsia="ko-KR"/>
        </w:rPr>
        <w:t>SID</w:t>
      </w:r>
      <w:r w:rsidR="002806D9" w:rsidRPr="004635E5">
        <w:rPr>
          <w:rFonts w:eastAsiaTheme="minorEastAsia"/>
          <w:sz w:val="22"/>
          <w:szCs w:val="22"/>
          <w:lang w:eastAsia="ko-KR"/>
        </w:rPr>
        <w:t xml:space="preserve">s (e.g., </w:t>
      </w:r>
      <w:r w:rsidRPr="004635E5">
        <w:rPr>
          <w:rFonts w:eastAsiaTheme="minorEastAsia"/>
          <w:sz w:val="22"/>
          <w:szCs w:val="22"/>
          <w:lang w:eastAsia="ko-KR"/>
        </w:rPr>
        <w:t>travel</w:t>
      </w:r>
      <w:r w:rsidR="0041022C" w:rsidRPr="004635E5">
        <w:rPr>
          <w:rFonts w:eastAsiaTheme="minorEastAsia"/>
          <w:sz w:val="22"/>
          <w:szCs w:val="22"/>
          <w:lang w:eastAsia="ko-KR"/>
        </w:rPr>
        <w:t xml:space="preserve"> costs for SIDs </w:t>
      </w:r>
      <w:r w:rsidRPr="004635E5">
        <w:rPr>
          <w:rFonts w:eastAsiaTheme="minorEastAsia"/>
          <w:sz w:val="22"/>
          <w:szCs w:val="22"/>
          <w:lang w:eastAsia="ko-KR"/>
        </w:rPr>
        <w:t xml:space="preserve">and </w:t>
      </w:r>
      <w:r w:rsidR="00DA4039" w:rsidRPr="004635E5">
        <w:rPr>
          <w:rFonts w:eastAsiaTheme="minorEastAsia"/>
          <w:sz w:val="22"/>
          <w:szCs w:val="22"/>
          <w:lang w:eastAsia="ko-KR"/>
        </w:rPr>
        <w:t>scientists)</w:t>
      </w:r>
      <w:r w:rsidR="0041022C" w:rsidRPr="004635E5">
        <w:rPr>
          <w:rFonts w:eastAsiaTheme="minorEastAsia"/>
          <w:sz w:val="22"/>
          <w:szCs w:val="22"/>
          <w:lang w:eastAsia="ko-KR"/>
        </w:rPr>
        <w:t xml:space="preserve">, and </w:t>
      </w:r>
      <w:r w:rsidR="00DA4039" w:rsidRPr="004635E5">
        <w:rPr>
          <w:rFonts w:eastAsiaTheme="minorEastAsia"/>
          <w:sz w:val="22"/>
          <w:szCs w:val="22"/>
          <w:lang w:eastAsia="ko-KR"/>
        </w:rPr>
        <w:t xml:space="preserve">suggested </w:t>
      </w:r>
      <w:r w:rsidR="0041022C" w:rsidRPr="004635E5">
        <w:rPr>
          <w:rFonts w:eastAsiaTheme="minorEastAsia"/>
          <w:sz w:val="22"/>
          <w:szCs w:val="22"/>
          <w:lang w:eastAsia="ko-KR"/>
        </w:rPr>
        <w:t xml:space="preserve">that </w:t>
      </w:r>
      <w:r w:rsidR="00DA4039" w:rsidRPr="004635E5">
        <w:rPr>
          <w:rFonts w:eastAsiaTheme="minorEastAsia"/>
          <w:sz w:val="22"/>
          <w:szCs w:val="22"/>
          <w:lang w:eastAsia="ko-KR"/>
        </w:rPr>
        <w:t xml:space="preserve">this </w:t>
      </w:r>
      <w:r w:rsidRPr="004635E5">
        <w:rPr>
          <w:rFonts w:eastAsiaTheme="minorEastAsia"/>
          <w:sz w:val="22"/>
          <w:szCs w:val="22"/>
          <w:lang w:eastAsia="ko-KR"/>
        </w:rPr>
        <w:t xml:space="preserve">be given to </w:t>
      </w:r>
      <w:r w:rsidR="00DA4039" w:rsidRPr="004635E5">
        <w:rPr>
          <w:rFonts w:eastAsiaTheme="minorEastAsia"/>
          <w:sz w:val="22"/>
          <w:szCs w:val="22"/>
          <w:lang w:eastAsia="ko-KR"/>
        </w:rPr>
        <w:t xml:space="preserve">the budget </w:t>
      </w:r>
      <w:r w:rsidRPr="004635E5">
        <w:rPr>
          <w:rFonts w:eastAsiaTheme="minorEastAsia"/>
          <w:sz w:val="22"/>
          <w:szCs w:val="22"/>
          <w:lang w:eastAsia="ko-KR"/>
        </w:rPr>
        <w:t xml:space="preserve">committee to consider. </w:t>
      </w:r>
    </w:p>
    <w:p w14:paraId="78C5A078" w14:textId="77777777" w:rsidR="006E5FCF" w:rsidRPr="004635E5" w:rsidRDefault="006E5FCF" w:rsidP="006E5FCF">
      <w:pPr>
        <w:autoSpaceDE w:val="0"/>
        <w:autoSpaceDN w:val="0"/>
        <w:adjustRightInd w:val="0"/>
        <w:snapToGrid w:val="0"/>
        <w:jc w:val="both"/>
        <w:rPr>
          <w:rFonts w:eastAsiaTheme="minorEastAsia"/>
          <w:sz w:val="22"/>
          <w:szCs w:val="22"/>
          <w:lang w:eastAsia="ko-KR"/>
        </w:rPr>
      </w:pPr>
    </w:p>
    <w:p w14:paraId="50AA17AD" w14:textId="77777777" w:rsidR="0041022C" w:rsidRPr="004635E5" w:rsidRDefault="0041022C"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The </w:t>
      </w:r>
      <w:r w:rsidR="002E39E9" w:rsidRPr="004635E5">
        <w:rPr>
          <w:rFonts w:eastAsiaTheme="minorEastAsia"/>
          <w:sz w:val="22"/>
          <w:szCs w:val="22"/>
          <w:lang w:eastAsia="ko-KR"/>
        </w:rPr>
        <w:t>theme convener</w:t>
      </w:r>
      <w:r w:rsidRPr="004635E5">
        <w:rPr>
          <w:rFonts w:eastAsiaTheme="minorEastAsia"/>
          <w:sz w:val="22"/>
          <w:szCs w:val="22"/>
          <w:lang w:eastAsia="ko-KR"/>
        </w:rPr>
        <w:t>, noting China’s comment on their past experience, observed that the Commission had an agreed work-plan and schedule, and considered that this was likely to drive the process forward and keep delegations focused on meeting this proposed schedule.</w:t>
      </w:r>
    </w:p>
    <w:p w14:paraId="285B19E5" w14:textId="77777777" w:rsidR="00A2648C" w:rsidRPr="004635E5" w:rsidRDefault="00A2648C" w:rsidP="006633A8">
      <w:pPr>
        <w:autoSpaceDE w:val="0"/>
        <w:autoSpaceDN w:val="0"/>
        <w:adjustRightInd w:val="0"/>
        <w:snapToGrid w:val="0"/>
        <w:jc w:val="both"/>
        <w:rPr>
          <w:rFonts w:eastAsiaTheme="minorEastAsia"/>
          <w:sz w:val="22"/>
          <w:szCs w:val="22"/>
          <w:lang w:eastAsia="ko-KR"/>
        </w:rPr>
      </w:pPr>
    </w:p>
    <w:p w14:paraId="49FD3C0F" w14:textId="77777777" w:rsidR="007717EF" w:rsidRPr="004635E5" w:rsidRDefault="006E5FCF"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Japan noted the need for a driver of the MSE, stating that the process has to motivate everyone, and that a framework </w:t>
      </w:r>
      <w:r>
        <w:rPr>
          <w:rFonts w:eastAsiaTheme="minorEastAsia"/>
          <w:sz w:val="22"/>
          <w:szCs w:val="22"/>
          <w:lang w:eastAsia="ko-KR"/>
        </w:rPr>
        <w:t xml:space="preserve">like the proposed Dialogue </w:t>
      </w:r>
      <w:r w:rsidRPr="004635E5">
        <w:rPr>
          <w:rFonts w:eastAsiaTheme="minorEastAsia"/>
          <w:sz w:val="22"/>
          <w:szCs w:val="22"/>
          <w:lang w:eastAsia="ko-KR"/>
        </w:rPr>
        <w:t xml:space="preserve">was needed to enable </w:t>
      </w:r>
      <w:r>
        <w:rPr>
          <w:rFonts w:eastAsiaTheme="minorEastAsia"/>
          <w:sz w:val="22"/>
          <w:szCs w:val="22"/>
          <w:lang w:eastAsia="ko-KR"/>
        </w:rPr>
        <w:t xml:space="preserve">the </w:t>
      </w:r>
      <w:r w:rsidRPr="004635E5">
        <w:rPr>
          <w:rFonts w:eastAsiaTheme="minorEastAsia"/>
          <w:sz w:val="22"/>
          <w:szCs w:val="22"/>
          <w:lang w:eastAsia="ko-KR"/>
        </w:rPr>
        <w:t xml:space="preserve">MSE to be </w:t>
      </w:r>
      <w:r>
        <w:rPr>
          <w:rFonts w:eastAsiaTheme="minorEastAsia"/>
          <w:sz w:val="22"/>
          <w:szCs w:val="22"/>
          <w:lang w:eastAsia="ko-KR"/>
        </w:rPr>
        <w:t xml:space="preserve">completed and </w:t>
      </w:r>
      <w:r w:rsidRPr="004635E5">
        <w:rPr>
          <w:rFonts w:eastAsiaTheme="minorEastAsia"/>
          <w:sz w:val="22"/>
          <w:szCs w:val="22"/>
          <w:lang w:eastAsia="ko-KR"/>
        </w:rPr>
        <w:t>implemented. Japan advocated making the group as strong as possible, with a clear mandate, and formal structure and authority</w:t>
      </w:r>
      <w:r>
        <w:rPr>
          <w:rFonts w:eastAsiaTheme="minorEastAsia"/>
          <w:sz w:val="22"/>
          <w:szCs w:val="22"/>
          <w:lang w:eastAsia="ko-KR"/>
        </w:rPr>
        <w:t xml:space="preserve">, </w:t>
      </w:r>
      <w:r>
        <w:t>otherwise attendance to these meetings will be limited</w:t>
      </w:r>
      <w:r w:rsidR="007717EF" w:rsidRPr="004635E5">
        <w:rPr>
          <w:rFonts w:eastAsiaTheme="minorEastAsia"/>
          <w:sz w:val="22"/>
          <w:szCs w:val="22"/>
          <w:lang w:eastAsia="ko-KR"/>
        </w:rPr>
        <w:t>.</w:t>
      </w:r>
      <w:r w:rsidR="004A5251" w:rsidRPr="004635E5">
        <w:rPr>
          <w:rFonts w:eastAsiaTheme="minorEastAsia"/>
          <w:sz w:val="22"/>
          <w:szCs w:val="22"/>
          <w:lang w:eastAsia="ko-KR"/>
        </w:rPr>
        <w:t xml:space="preserve"> </w:t>
      </w:r>
      <w:r w:rsidR="0041022C" w:rsidRPr="004635E5">
        <w:rPr>
          <w:rFonts w:eastAsiaTheme="minorEastAsia"/>
          <w:sz w:val="22"/>
          <w:szCs w:val="22"/>
          <w:lang w:eastAsia="ko-KR"/>
        </w:rPr>
        <w:t xml:space="preserve">New Zealand </w:t>
      </w:r>
      <w:r w:rsidR="007717EF" w:rsidRPr="004635E5">
        <w:rPr>
          <w:rFonts w:eastAsiaTheme="minorEastAsia"/>
          <w:sz w:val="22"/>
          <w:szCs w:val="22"/>
          <w:lang w:eastAsia="ko-KR"/>
        </w:rPr>
        <w:t>support</w:t>
      </w:r>
      <w:r w:rsidR="004A5251" w:rsidRPr="004635E5">
        <w:rPr>
          <w:rFonts w:eastAsiaTheme="minorEastAsia"/>
          <w:sz w:val="22"/>
          <w:szCs w:val="22"/>
          <w:lang w:eastAsia="ko-KR"/>
        </w:rPr>
        <w:t>ed</w:t>
      </w:r>
      <w:r w:rsidR="007717EF" w:rsidRPr="004635E5">
        <w:rPr>
          <w:rFonts w:eastAsiaTheme="minorEastAsia"/>
          <w:sz w:val="22"/>
          <w:szCs w:val="22"/>
          <w:lang w:eastAsia="ko-KR"/>
        </w:rPr>
        <w:t xml:space="preserve"> </w:t>
      </w:r>
      <w:r w:rsidR="004A5251" w:rsidRPr="004635E5">
        <w:rPr>
          <w:rFonts w:eastAsiaTheme="minorEastAsia"/>
          <w:sz w:val="22"/>
          <w:szCs w:val="22"/>
          <w:lang w:eastAsia="ko-KR"/>
        </w:rPr>
        <w:t xml:space="preserve">the </w:t>
      </w:r>
      <w:r w:rsidR="007717EF" w:rsidRPr="004635E5">
        <w:rPr>
          <w:rFonts w:eastAsiaTheme="minorEastAsia"/>
          <w:sz w:val="22"/>
          <w:szCs w:val="22"/>
          <w:lang w:eastAsia="ko-KR"/>
        </w:rPr>
        <w:t xml:space="preserve">comments from </w:t>
      </w:r>
      <w:r w:rsidR="004A5251" w:rsidRPr="004635E5">
        <w:rPr>
          <w:rFonts w:eastAsiaTheme="minorEastAsia"/>
          <w:sz w:val="22"/>
          <w:szCs w:val="22"/>
          <w:lang w:eastAsia="ko-KR"/>
        </w:rPr>
        <w:t>J</w:t>
      </w:r>
      <w:r w:rsidR="007717EF" w:rsidRPr="004635E5">
        <w:rPr>
          <w:rFonts w:eastAsiaTheme="minorEastAsia"/>
          <w:sz w:val="22"/>
          <w:szCs w:val="22"/>
          <w:lang w:eastAsia="ko-KR"/>
        </w:rPr>
        <w:t>apan</w:t>
      </w:r>
      <w:r w:rsidR="004A5251" w:rsidRPr="004635E5">
        <w:rPr>
          <w:rFonts w:eastAsiaTheme="minorEastAsia"/>
          <w:sz w:val="22"/>
          <w:szCs w:val="22"/>
          <w:lang w:eastAsia="ko-KR"/>
        </w:rPr>
        <w:t xml:space="preserve">, noting that </w:t>
      </w:r>
      <w:r w:rsidR="007717EF" w:rsidRPr="004635E5">
        <w:rPr>
          <w:rFonts w:eastAsiaTheme="minorEastAsia"/>
          <w:sz w:val="22"/>
          <w:szCs w:val="22"/>
          <w:lang w:eastAsia="ko-KR"/>
        </w:rPr>
        <w:t xml:space="preserve">CCSTB </w:t>
      </w:r>
      <w:r w:rsidR="004A5251" w:rsidRPr="004635E5">
        <w:rPr>
          <w:rFonts w:eastAsiaTheme="minorEastAsia"/>
          <w:sz w:val="22"/>
          <w:szCs w:val="22"/>
          <w:lang w:eastAsia="ko-KR"/>
        </w:rPr>
        <w:t xml:space="preserve">succeeded in </w:t>
      </w:r>
      <w:r w:rsidR="007717EF" w:rsidRPr="004635E5">
        <w:rPr>
          <w:rFonts w:eastAsiaTheme="minorEastAsia"/>
          <w:sz w:val="22"/>
          <w:szCs w:val="22"/>
          <w:lang w:eastAsia="ko-KR"/>
        </w:rPr>
        <w:t>impl</w:t>
      </w:r>
      <w:r w:rsidR="004A5251" w:rsidRPr="004635E5">
        <w:rPr>
          <w:rFonts w:eastAsiaTheme="minorEastAsia"/>
          <w:sz w:val="22"/>
          <w:szCs w:val="22"/>
          <w:lang w:eastAsia="ko-KR"/>
        </w:rPr>
        <w:t>ementing</w:t>
      </w:r>
      <w:r w:rsidR="007717EF" w:rsidRPr="004635E5">
        <w:rPr>
          <w:rFonts w:eastAsiaTheme="minorEastAsia"/>
          <w:sz w:val="22"/>
          <w:szCs w:val="22"/>
          <w:lang w:eastAsia="ko-KR"/>
        </w:rPr>
        <w:t xml:space="preserve"> complex management procedure</w:t>
      </w:r>
      <w:r w:rsidR="004A5251" w:rsidRPr="004635E5">
        <w:rPr>
          <w:rFonts w:eastAsiaTheme="minorEastAsia"/>
          <w:sz w:val="22"/>
          <w:szCs w:val="22"/>
          <w:lang w:eastAsia="ko-KR"/>
        </w:rPr>
        <w:t>s</w:t>
      </w:r>
      <w:r w:rsidR="007717EF" w:rsidRPr="004635E5">
        <w:rPr>
          <w:rFonts w:eastAsiaTheme="minorEastAsia"/>
          <w:sz w:val="22"/>
          <w:szCs w:val="22"/>
          <w:lang w:eastAsia="ko-KR"/>
        </w:rPr>
        <w:t xml:space="preserve"> </w:t>
      </w:r>
      <w:r w:rsidR="004A5251" w:rsidRPr="004635E5">
        <w:rPr>
          <w:rFonts w:eastAsiaTheme="minorEastAsia"/>
          <w:sz w:val="22"/>
          <w:szCs w:val="22"/>
          <w:lang w:eastAsia="ko-KR"/>
        </w:rPr>
        <w:t xml:space="preserve">because of the authority of its fishery </w:t>
      </w:r>
      <w:r w:rsidR="007717EF" w:rsidRPr="004635E5">
        <w:rPr>
          <w:rFonts w:eastAsiaTheme="minorEastAsia"/>
          <w:sz w:val="22"/>
          <w:szCs w:val="22"/>
          <w:lang w:eastAsia="ko-KR"/>
        </w:rPr>
        <w:t>and management strategy group</w:t>
      </w:r>
      <w:r w:rsidR="004A5251" w:rsidRPr="004635E5">
        <w:rPr>
          <w:rFonts w:eastAsiaTheme="minorEastAsia"/>
          <w:sz w:val="22"/>
          <w:szCs w:val="22"/>
          <w:lang w:eastAsia="ko-KR"/>
        </w:rPr>
        <w:t xml:space="preserve"> that advises </w:t>
      </w:r>
      <w:r w:rsidR="0041022C" w:rsidRPr="004635E5">
        <w:rPr>
          <w:rFonts w:eastAsiaTheme="minorEastAsia"/>
          <w:sz w:val="22"/>
          <w:szCs w:val="22"/>
          <w:lang w:eastAsia="ko-KR"/>
        </w:rPr>
        <w:t xml:space="preserve">its Commission </w:t>
      </w:r>
      <w:r w:rsidR="004A5251" w:rsidRPr="004635E5">
        <w:rPr>
          <w:rFonts w:eastAsiaTheme="minorEastAsia"/>
          <w:sz w:val="22"/>
          <w:szCs w:val="22"/>
          <w:lang w:eastAsia="ko-KR"/>
        </w:rPr>
        <w:t xml:space="preserve">on </w:t>
      </w:r>
      <w:r w:rsidR="007717EF" w:rsidRPr="004635E5">
        <w:rPr>
          <w:rFonts w:eastAsiaTheme="minorEastAsia"/>
          <w:sz w:val="22"/>
          <w:szCs w:val="22"/>
          <w:lang w:eastAsia="ko-KR"/>
        </w:rPr>
        <w:t xml:space="preserve">fishery management procedures. </w:t>
      </w:r>
      <w:r w:rsidR="0041022C" w:rsidRPr="004635E5">
        <w:rPr>
          <w:rFonts w:eastAsiaTheme="minorEastAsia"/>
          <w:sz w:val="22"/>
          <w:szCs w:val="22"/>
          <w:lang w:eastAsia="ko-KR"/>
        </w:rPr>
        <w:t xml:space="preserve">They encouraged the creation of a formal group that reports directly to the </w:t>
      </w:r>
      <w:r>
        <w:rPr>
          <w:rFonts w:eastAsiaTheme="minorEastAsia" w:hint="eastAsia"/>
          <w:sz w:val="22"/>
          <w:szCs w:val="22"/>
          <w:lang w:eastAsia="ko-KR"/>
        </w:rPr>
        <w:t>C</w:t>
      </w:r>
      <w:r w:rsidR="0041022C" w:rsidRPr="004635E5">
        <w:rPr>
          <w:rFonts w:eastAsiaTheme="minorEastAsia"/>
          <w:sz w:val="22"/>
          <w:szCs w:val="22"/>
          <w:lang w:eastAsia="ko-KR"/>
        </w:rPr>
        <w:t>ommission, similar to what is done in SC and TCC.</w:t>
      </w:r>
    </w:p>
    <w:p w14:paraId="12F5EB6F" w14:textId="77777777" w:rsidR="00A2648C" w:rsidRPr="004635E5" w:rsidRDefault="00A2648C" w:rsidP="006633A8">
      <w:pPr>
        <w:autoSpaceDE w:val="0"/>
        <w:autoSpaceDN w:val="0"/>
        <w:adjustRightInd w:val="0"/>
        <w:snapToGrid w:val="0"/>
        <w:jc w:val="both"/>
        <w:rPr>
          <w:rFonts w:eastAsiaTheme="minorEastAsia"/>
          <w:sz w:val="22"/>
          <w:szCs w:val="22"/>
          <w:lang w:eastAsia="ko-KR"/>
        </w:rPr>
      </w:pPr>
    </w:p>
    <w:p w14:paraId="7F55CEF2" w14:textId="77777777" w:rsidR="007717EF" w:rsidRPr="004635E5" w:rsidRDefault="004A5251"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Cook Islands </w:t>
      </w:r>
      <w:r w:rsidR="007617AD" w:rsidRPr="004635E5">
        <w:rPr>
          <w:rFonts w:eastAsiaTheme="minorEastAsia"/>
          <w:sz w:val="22"/>
          <w:szCs w:val="22"/>
          <w:lang w:eastAsia="ko-KR"/>
        </w:rPr>
        <w:t xml:space="preserve">on behalf of </w:t>
      </w:r>
      <w:r w:rsidR="001B46FB" w:rsidRPr="004635E5">
        <w:rPr>
          <w:rFonts w:eastAsiaTheme="minorEastAsia"/>
          <w:sz w:val="22"/>
          <w:szCs w:val="22"/>
          <w:lang w:eastAsia="ko-KR"/>
        </w:rPr>
        <w:t xml:space="preserve">FFA members </w:t>
      </w:r>
      <w:r w:rsidR="007617AD" w:rsidRPr="004635E5">
        <w:rPr>
          <w:rFonts w:eastAsiaTheme="minorEastAsia"/>
          <w:sz w:val="22"/>
          <w:szCs w:val="22"/>
          <w:lang w:eastAsia="ko-KR"/>
        </w:rPr>
        <w:t xml:space="preserve">stated </w:t>
      </w:r>
      <w:r w:rsidR="001B46FB" w:rsidRPr="004635E5">
        <w:rPr>
          <w:rFonts w:eastAsiaTheme="minorEastAsia"/>
          <w:sz w:val="22"/>
          <w:szCs w:val="22"/>
          <w:lang w:eastAsia="ko-KR"/>
        </w:rPr>
        <w:t>a preference for the proposed workshop to be held immediately following future SC meetings, in order to allow sufficient time to incorporate any outcomes from the workshop into proposals to the subsequent Commission meeting</w:t>
      </w:r>
    </w:p>
    <w:p w14:paraId="19F12103" w14:textId="77777777" w:rsidR="00A2648C" w:rsidRPr="004635E5" w:rsidRDefault="00A2648C" w:rsidP="006633A8">
      <w:pPr>
        <w:autoSpaceDE w:val="0"/>
        <w:autoSpaceDN w:val="0"/>
        <w:adjustRightInd w:val="0"/>
        <w:snapToGrid w:val="0"/>
        <w:jc w:val="both"/>
        <w:rPr>
          <w:rFonts w:eastAsiaTheme="minorEastAsia"/>
          <w:sz w:val="22"/>
          <w:szCs w:val="22"/>
          <w:lang w:eastAsia="ko-KR"/>
        </w:rPr>
      </w:pPr>
    </w:p>
    <w:p w14:paraId="528C36BF" w14:textId="77777777" w:rsidR="00A2648C" w:rsidRPr="004635E5" w:rsidRDefault="007717EF"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EU also </w:t>
      </w:r>
      <w:r w:rsidR="007617AD" w:rsidRPr="004635E5">
        <w:rPr>
          <w:rFonts w:eastAsiaTheme="minorEastAsia"/>
          <w:sz w:val="22"/>
          <w:szCs w:val="22"/>
          <w:lang w:eastAsia="ko-KR"/>
        </w:rPr>
        <w:t xml:space="preserve">saw </w:t>
      </w:r>
      <w:r w:rsidRPr="004635E5">
        <w:rPr>
          <w:rFonts w:eastAsiaTheme="minorEastAsia"/>
          <w:sz w:val="22"/>
          <w:szCs w:val="22"/>
          <w:lang w:eastAsia="ko-KR"/>
        </w:rPr>
        <w:t xml:space="preserve">value in </w:t>
      </w:r>
      <w:r w:rsidR="007617AD" w:rsidRPr="004635E5">
        <w:rPr>
          <w:rFonts w:eastAsiaTheme="minorEastAsia"/>
          <w:sz w:val="22"/>
          <w:szCs w:val="22"/>
          <w:lang w:eastAsia="ko-KR"/>
        </w:rPr>
        <w:t xml:space="preserve">a </w:t>
      </w:r>
      <w:r w:rsidRPr="004635E5">
        <w:rPr>
          <w:rFonts w:eastAsiaTheme="minorEastAsia"/>
          <w:sz w:val="22"/>
          <w:szCs w:val="22"/>
          <w:lang w:eastAsia="ko-KR"/>
        </w:rPr>
        <w:t>formal forum for dialog</w:t>
      </w:r>
      <w:r w:rsidR="00282AB1" w:rsidRPr="004635E5">
        <w:rPr>
          <w:rFonts w:eastAsiaTheme="minorEastAsia"/>
          <w:sz w:val="22"/>
          <w:szCs w:val="22"/>
          <w:lang w:eastAsia="ko-KR"/>
        </w:rPr>
        <w:t>, stating that a</w:t>
      </w:r>
      <w:r w:rsidRPr="004635E5">
        <w:rPr>
          <w:rFonts w:eastAsiaTheme="minorEastAsia"/>
          <w:sz w:val="22"/>
          <w:szCs w:val="22"/>
          <w:lang w:eastAsia="ko-KR"/>
        </w:rPr>
        <w:t xml:space="preserve"> k</w:t>
      </w:r>
      <w:r w:rsidR="007617AD" w:rsidRPr="004635E5">
        <w:rPr>
          <w:rFonts w:eastAsiaTheme="minorEastAsia"/>
          <w:sz w:val="22"/>
          <w:szCs w:val="22"/>
          <w:lang w:eastAsia="ko-KR"/>
        </w:rPr>
        <w:t>e</w:t>
      </w:r>
      <w:r w:rsidRPr="004635E5">
        <w:rPr>
          <w:rFonts w:eastAsiaTheme="minorEastAsia"/>
          <w:sz w:val="22"/>
          <w:szCs w:val="22"/>
          <w:lang w:eastAsia="ko-KR"/>
        </w:rPr>
        <w:t>y obj</w:t>
      </w:r>
      <w:r w:rsidR="007617AD" w:rsidRPr="004635E5">
        <w:rPr>
          <w:rFonts w:eastAsiaTheme="minorEastAsia"/>
          <w:sz w:val="22"/>
          <w:szCs w:val="22"/>
          <w:lang w:eastAsia="ko-KR"/>
        </w:rPr>
        <w:t>ective</w:t>
      </w:r>
      <w:r w:rsidRPr="004635E5">
        <w:rPr>
          <w:rFonts w:eastAsiaTheme="minorEastAsia"/>
          <w:sz w:val="22"/>
          <w:szCs w:val="22"/>
          <w:lang w:eastAsia="ko-KR"/>
        </w:rPr>
        <w:t xml:space="preserve"> </w:t>
      </w:r>
      <w:r w:rsidR="00282AB1" w:rsidRPr="004635E5">
        <w:rPr>
          <w:rFonts w:eastAsiaTheme="minorEastAsia"/>
          <w:sz w:val="22"/>
          <w:szCs w:val="22"/>
          <w:lang w:eastAsia="ko-KR"/>
        </w:rPr>
        <w:t xml:space="preserve">in </w:t>
      </w:r>
      <w:r w:rsidR="007617AD" w:rsidRPr="004635E5">
        <w:rPr>
          <w:rFonts w:eastAsiaTheme="minorEastAsia"/>
          <w:sz w:val="22"/>
          <w:szCs w:val="22"/>
          <w:lang w:eastAsia="ko-KR"/>
        </w:rPr>
        <w:t>s</w:t>
      </w:r>
      <w:r w:rsidRPr="004635E5">
        <w:rPr>
          <w:rFonts w:eastAsiaTheme="minorEastAsia"/>
          <w:sz w:val="22"/>
          <w:szCs w:val="22"/>
          <w:lang w:eastAsia="ko-KR"/>
        </w:rPr>
        <w:t>ci</w:t>
      </w:r>
      <w:r w:rsidR="007617AD" w:rsidRPr="004635E5">
        <w:rPr>
          <w:rFonts w:eastAsiaTheme="minorEastAsia"/>
          <w:sz w:val="22"/>
          <w:szCs w:val="22"/>
          <w:lang w:eastAsia="ko-KR"/>
        </w:rPr>
        <w:t>ence</w:t>
      </w:r>
      <w:r w:rsidRPr="004635E5">
        <w:rPr>
          <w:rFonts w:eastAsiaTheme="minorEastAsia"/>
          <w:sz w:val="22"/>
          <w:szCs w:val="22"/>
          <w:lang w:eastAsia="ko-KR"/>
        </w:rPr>
        <w:t>/man</w:t>
      </w:r>
      <w:r w:rsidR="007617AD" w:rsidRPr="004635E5">
        <w:rPr>
          <w:rFonts w:eastAsiaTheme="minorEastAsia"/>
          <w:sz w:val="22"/>
          <w:szCs w:val="22"/>
          <w:lang w:eastAsia="ko-KR"/>
        </w:rPr>
        <w:t>agement</w:t>
      </w:r>
      <w:r w:rsidRPr="004635E5">
        <w:rPr>
          <w:rFonts w:eastAsiaTheme="minorEastAsia"/>
          <w:sz w:val="22"/>
          <w:szCs w:val="22"/>
          <w:lang w:eastAsia="ko-KR"/>
        </w:rPr>
        <w:t xml:space="preserve"> dialog is improving </w:t>
      </w:r>
      <w:r w:rsidR="007617AD" w:rsidRPr="004635E5">
        <w:rPr>
          <w:rFonts w:eastAsiaTheme="minorEastAsia"/>
          <w:sz w:val="22"/>
          <w:szCs w:val="22"/>
          <w:lang w:eastAsia="ko-KR"/>
        </w:rPr>
        <w:t>the understand</w:t>
      </w:r>
      <w:r w:rsidRPr="004635E5">
        <w:rPr>
          <w:rFonts w:eastAsiaTheme="minorEastAsia"/>
          <w:sz w:val="22"/>
          <w:szCs w:val="22"/>
          <w:lang w:eastAsia="ko-KR"/>
        </w:rPr>
        <w:t xml:space="preserve">ing of mangers </w:t>
      </w:r>
      <w:r w:rsidR="007617AD" w:rsidRPr="004635E5">
        <w:rPr>
          <w:rFonts w:eastAsiaTheme="minorEastAsia"/>
          <w:sz w:val="22"/>
          <w:szCs w:val="22"/>
          <w:lang w:eastAsia="ko-KR"/>
        </w:rPr>
        <w:t xml:space="preserve">regarding the </w:t>
      </w:r>
      <w:r w:rsidRPr="004635E5">
        <w:rPr>
          <w:rFonts w:eastAsiaTheme="minorEastAsia"/>
          <w:sz w:val="22"/>
          <w:szCs w:val="22"/>
          <w:lang w:eastAsia="ko-KR"/>
        </w:rPr>
        <w:t>com</w:t>
      </w:r>
      <w:r w:rsidR="007617AD" w:rsidRPr="004635E5">
        <w:rPr>
          <w:rFonts w:eastAsiaTheme="minorEastAsia"/>
          <w:sz w:val="22"/>
          <w:szCs w:val="22"/>
          <w:lang w:eastAsia="ko-KR"/>
        </w:rPr>
        <w:t>p</w:t>
      </w:r>
      <w:r w:rsidRPr="004635E5">
        <w:rPr>
          <w:rFonts w:eastAsiaTheme="minorEastAsia"/>
          <w:sz w:val="22"/>
          <w:szCs w:val="22"/>
          <w:lang w:eastAsia="ko-KR"/>
        </w:rPr>
        <w:t xml:space="preserve">lex issues </w:t>
      </w:r>
      <w:r w:rsidR="007617AD" w:rsidRPr="004635E5">
        <w:rPr>
          <w:rFonts w:eastAsiaTheme="minorEastAsia"/>
          <w:sz w:val="22"/>
          <w:szCs w:val="22"/>
          <w:lang w:eastAsia="ko-KR"/>
        </w:rPr>
        <w:t>addressed at SC</w:t>
      </w:r>
      <w:r w:rsidRPr="004635E5">
        <w:rPr>
          <w:rFonts w:eastAsiaTheme="minorEastAsia"/>
          <w:sz w:val="22"/>
          <w:szCs w:val="22"/>
          <w:lang w:eastAsia="ko-KR"/>
        </w:rPr>
        <w:t xml:space="preserve">. </w:t>
      </w:r>
      <w:r w:rsidR="0041022C" w:rsidRPr="004635E5">
        <w:rPr>
          <w:rFonts w:eastAsiaTheme="minorEastAsia"/>
          <w:sz w:val="22"/>
          <w:szCs w:val="22"/>
          <w:lang w:eastAsia="ko-KR"/>
        </w:rPr>
        <w:t xml:space="preserve">They </w:t>
      </w:r>
      <w:r w:rsidR="007617AD" w:rsidRPr="004635E5">
        <w:rPr>
          <w:rFonts w:eastAsiaTheme="minorEastAsia"/>
          <w:sz w:val="22"/>
          <w:szCs w:val="22"/>
          <w:lang w:eastAsia="ko-KR"/>
        </w:rPr>
        <w:t>note</w:t>
      </w:r>
      <w:r w:rsidR="0041022C" w:rsidRPr="004635E5">
        <w:rPr>
          <w:rFonts w:eastAsiaTheme="minorEastAsia"/>
          <w:sz w:val="22"/>
          <w:szCs w:val="22"/>
          <w:lang w:eastAsia="ko-KR"/>
        </w:rPr>
        <w:t>d</w:t>
      </w:r>
      <w:r w:rsidR="007617AD" w:rsidRPr="004635E5">
        <w:rPr>
          <w:rFonts w:eastAsiaTheme="minorEastAsia"/>
          <w:sz w:val="22"/>
          <w:szCs w:val="22"/>
          <w:lang w:eastAsia="ko-KR"/>
        </w:rPr>
        <w:t xml:space="preserve"> the need for managers and others </w:t>
      </w:r>
      <w:r w:rsidR="0041022C" w:rsidRPr="004635E5">
        <w:rPr>
          <w:rFonts w:eastAsiaTheme="minorEastAsia"/>
          <w:sz w:val="22"/>
          <w:szCs w:val="22"/>
          <w:lang w:eastAsia="ko-KR"/>
        </w:rPr>
        <w:t xml:space="preserve">stakeholders </w:t>
      </w:r>
      <w:r w:rsidR="007617AD" w:rsidRPr="004635E5">
        <w:rPr>
          <w:rFonts w:eastAsiaTheme="minorEastAsia"/>
          <w:sz w:val="22"/>
          <w:szCs w:val="22"/>
          <w:lang w:eastAsia="ko-KR"/>
        </w:rPr>
        <w:t xml:space="preserve">to participate, and advocated for timing of </w:t>
      </w:r>
      <w:r w:rsidRPr="004635E5">
        <w:rPr>
          <w:rFonts w:eastAsiaTheme="minorEastAsia"/>
          <w:sz w:val="22"/>
          <w:szCs w:val="22"/>
          <w:lang w:eastAsia="ko-KR"/>
        </w:rPr>
        <w:t>m</w:t>
      </w:r>
      <w:r w:rsidR="007617AD" w:rsidRPr="004635E5">
        <w:rPr>
          <w:rFonts w:eastAsiaTheme="minorEastAsia"/>
          <w:sz w:val="22"/>
          <w:szCs w:val="22"/>
          <w:lang w:eastAsia="ko-KR"/>
        </w:rPr>
        <w:t>ee</w:t>
      </w:r>
      <w:r w:rsidRPr="004635E5">
        <w:rPr>
          <w:rFonts w:eastAsiaTheme="minorEastAsia"/>
          <w:sz w:val="22"/>
          <w:szCs w:val="22"/>
          <w:lang w:eastAsia="ko-KR"/>
        </w:rPr>
        <w:t>t</w:t>
      </w:r>
      <w:r w:rsidR="007617AD" w:rsidRPr="004635E5">
        <w:rPr>
          <w:rFonts w:eastAsiaTheme="minorEastAsia"/>
          <w:sz w:val="22"/>
          <w:szCs w:val="22"/>
          <w:lang w:eastAsia="ko-KR"/>
        </w:rPr>
        <w:t>in</w:t>
      </w:r>
      <w:r w:rsidRPr="004635E5">
        <w:rPr>
          <w:rFonts w:eastAsiaTheme="minorEastAsia"/>
          <w:sz w:val="22"/>
          <w:szCs w:val="22"/>
          <w:lang w:eastAsia="ko-KR"/>
        </w:rPr>
        <w:t xml:space="preserve">gs </w:t>
      </w:r>
      <w:r w:rsidR="007617AD" w:rsidRPr="004635E5">
        <w:rPr>
          <w:rFonts w:eastAsiaTheme="minorEastAsia"/>
          <w:sz w:val="22"/>
          <w:szCs w:val="22"/>
          <w:lang w:eastAsia="ko-KR"/>
        </w:rPr>
        <w:t xml:space="preserve">in association with the </w:t>
      </w:r>
      <w:r w:rsidRPr="004635E5">
        <w:rPr>
          <w:rFonts w:eastAsiaTheme="minorEastAsia"/>
          <w:sz w:val="22"/>
          <w:szCs w:val="22"/>
          <w:lang w:eastAsia="ko-KR"/>
        </w:rPr>
        <w:t>Comm</w:t>
      </w:r>
      <w:r w:rsidR="007617AD" w:rsidRPr="004635E5">
        <w:rPr>
          <w:rFonts w:eastAsiaTheme="minorEastAsia"/>
          <w:sz w:val="22"/>
          <w:szCs w:val="22"/>
          <w:lang w:eastAsia="ko-KR"/>
        </w:rPr>
        <w:t>ission meeting</w:t>
      </w:r>
      <w:r w:rsidR="0041022C" w:rsidRPr="004635E5">
        <w:rPr>
          <w:rFonts w:eastAsiaTheme="minorEastAsia"/>
          <w:sz w:val="22"/>
          <w:szCs w:val="22"/>
          <w:lang w:eastAsia="ko-KR"/>
        </w:rPr>
        <w:t xml:space="preserve"> to allow sufficient time for consideration of the technical issues raised by the SC</w:t>
      </w:r>
      <w:r w:rsidR="00A16680" w:rsidRPr="004635E5">
        <w:rPr>
          <w:rFonts w:eastAsiaTheme="minorEastAsia"/>
          <w:sz w:val="22"/>
          <w:szCs w:val="22"/>
          <w:lang w:eastAsia="ko-KR"/>
        </w:rPr>
        <w:t xml:space="preserve">. </w:t>
      </w:r>
    </w:p>
    <w:p w14:paraId="681D223D" w14:textId="77777777" w:rsidR="00A2648C" w:rsidRPr="004635E5" w:rsidRDefault="00A2648C" w:rsidP="006633A8">
      <w:pPr>
        <w:autoSpaceDE w:val="0"/>
        <w:autoSpaceDN w:val="0"/>
        <w:adjustRightInd w:val="0"/>
        <w:snapToGrid w:val="0"/>
        <w:jc w:val="both"/>
        <w:rPr>
          <w:rFonts w:eastAsiaTheme="minorEastAsia"/>
          <w:sz w:val="22"/>
          <w:szCs w:val="22"/>
          <w:lang w:eastAsia="ko-KR"/>
        </w:rPr>
      </w:pPr>
    </w:p>
    <w:p w14:paraId="40B76ABB" w14:textId="77777777" w:rsidR="001B46FB" w:rsidRPr="004635E5" w:rsidRDefault="007717EF"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PNG</w:t>
      </w:r>
      <w:r w:rsidR="007617AD" w:rsidRPr="004635E5">
        <w:rPr>
          <w:rFonts w:eastAsiaTheme="minorEastAsia"/>
          <w:sz w:val="22"/>
          <w:szCs w:val="22"/>
          <w:lang w:eastAsia="ko-KR"/>
        </w:rPr>
        <w:t xml:space="preserve"> stated that</w:t>
      </w:r>
      <w:r w:rsidR="001B46FB" w:rsidRPr="004635E5">
        <w:rPr>
          <w:rFonts w:eastAsiaTheme="minorEastAsia"/>
          <w:sz w:val="22"/>
          <w:szCs w:val="22"/>
          <w:lang w:eastAsia="ko-KR"/>
        </w:rPr>
        <w:t xml:space="preserve">, as Nauru stated on behalf of FFA members, </w:t>
      </w:r>
      <w:r w:rsidR="0041022C" w:rsidRPr="004635E5">
        <w:rPr>
          <w:rFonts w:eastAsiaTheme="minorEastAsia"/>
          <w:sz w:val="22"/>
          <w:szCs w:val="22"/>
          <w:lang w:eastAsia="ko-KR"/>
        </w:rPr>
        <w:t>the</w:t>
      </w:r>
      <w:r w:rsidR="006E5FCF">
        <w:rPr>
          <w:rFonts w:eastAsiaTheme="minorEastAsia" w:hint="eastAsia"/>
          <w:sz w:val="22"/>
          <w:szCs w:val="22"/>
          <w:lang w:eastAsia="ko-KR"/>
        </w:rPr>
        <w:t>y</w:t>
      </w:r>
      <w:r w:rsidR="0041022C" w:rsidRPr="004635E5">
        <w:rPr>
          <w:rFonts w:eastAsiaTheme="minorEastAsia"/>
          <w:sz w:val="22"/>
          <w:szCs w:val="22"/>
          <w:lang w:eastAsia="ko-KR"/>
        </w:rPr>
        <w:t xml:space="preserve"> </w:t>
      </w:r>
      <w:r w:rsidR="001B46FB" w:rsidRPr="004635E5">
        <w:rPr>
          <w:rFonts w:eastAsiaTheme="minorEastAsia"/>
          <w:sz w:val="22"/>
          <w:szCs w:val="22"/>
          <w:lang w:eastAsia="ko-KR"/>
        </w:rPr>
        <w:t>support</w:t>
      </w:r>
      <w:r w:rsidR="0041022C" w:rsidRPr="004635E5">
        <w:rPr>
          <w:rFonts w:eastAsiaTheme="minorEastAsia"/>
          <w:sz w:val="22"/>
          <w:szCs w:val="22"/>
          <w:lang w:eastAsia="ko-KR"/>
        </w:rPr>
        <w:t>ed</w:t>
      </w:r>
      <w:r w:rsidR="001B46FB" w:rsidRPr="004635E5">
        <w:rPr>
          <w:rFonts w:eastAsiaTheme="minorEastAsia"/>
          <w:sz w:val="22"/>
          <w:szCs w:val="22"/>
          <w:lang w:eastAsia="ko-KR"/>
        </w:rPr>
        <w:t xml:space="preserve"> the trial of a science manager dialogue in 2019</w:t>
      </w:r>
      <w:r w:rsidR="0041022C" w:rsidRPr="004635E5">
        <w:rPr>
          <w:rFonts w:eastAsiaTheme="minorEastAsia"/>
          <w:sz w:val="22"/>
          <w:szCs w:val="22"/>
          <w:lang w:eastAsia="ko-KR"/>
        </w:rPr>
        <w:t xml:space="preserve">, and viewed it </w:t>
      </w:r>
      <w:r w:rsidR="001B46FB" w:rsidRPr="004635E5">
        <w:rPr>
          <w:rFonts w:eastAsiaTheme="minorEastAsia"/>
          <w:sz w:val="22"/>
          <w:szCs w:val="22"/>
          <w:lang w:eastAsia="ko-KR"/>
        </w:rPr>
        <w:t xml:space="preserve">as a useful way </w:t>
      </w:r>
      <w:r w:rsidR="0041022C" w:rsidRPr="004635E5">
        <w:rPr>
          <w:rFonts w:eastAsiaTheme="minorEastAsia"/>
          <w:sz w:val="22"/>
          <w:szCs w:val="22"/>
          <w:lang w:eastAsia="ko-KR"/>
        </w:rPr>
        <w:t xml:space="preserve">for </w:t>
      </w:r>
      <w:r w:rsidR="001B46FB" w:rsidRPr="004635E5">
        <w:rPr>
          <w:rFonts w:eastAsiaTheme="minorEastAsia"/>
          <w:sz w:val="22"/>
          <w:szCs w:val="22"/>
          <w:lang w:eastAsia="ko-KR"/>
        </w:rPr>
        <w:t>the Commission to mainstream harvest strategy development in the work of the Commission</w:t>
      </w:r>
      <w:r w:rsidR="0041022C" w:rsidRPr="004635E5">
        <w:rPr>
          <w:rFonts w:eastAsiaTheme="minorEastAsia"/>
          <w:sz w:val="22"/>
          <w:szCs w:val="22"/>
          <w:lang w:eastAsia="ko-KR"/>
        </w:rPr>
        <w:t>,</w:t>
      </w:r>
      <w:r w:rsidR="001B46FB" w:rsidRPr="004635E5">
        <w:rPr>
          <w:rFonts w:eastAsiaTheme="minorEastAsia"/>
          <w:sz w:val="22"/>
          <w:szCs w:val="22"/>
          <w:lang w:eastAsia="ko-KR"/>
        </w:rPr>
        <w:t xml:space="preserve"> and a good progression from the expanded </w:t>
      </w:r>
      <w:r w:rsidR="0041022C" w:rsidRPr="004635E5">
        <w:rPr>
          <w:rFonts w:eastAsiaTheme="minorEastAsia"/>
          <w:sz w:val="22"/>
          <w:szCs w:val="22"/>
          <w:lang w:eastAsia="ko-KR"/>
        </w:rPr>
        <w:t xml:space="preserve">SC </w:t>
      </w:r>
      <w:r w:rsidR="001B46FB" w:rsidRPr="004635E5">
        <w:rPr>
          <w:rFonts w:eastAsiaTheme="minorEastAsia"/>
          <w:sz w:val="22"/>
          <w:szCs w:val="22"/>
          <w:lang w:eastAsia="ko-KR"/>
        </w:rPr>
        <w:t>Management Issues theme.</w:t>
      </w:r>
      <w:r w:rsidR="007617AD" w:rsidRPr="004635E5">
        <w:rPr>
          <w:rFonts w:eastAsiaTheme="minorEastAsia"/>
          <w:sz w:val="22"/>
          <w:szCs w:val="22"/>
          <w:lang w:eastAsia="ko-KR"/>
        </w:rPr>
        <w:t xml:space="preserve"> </w:t>
      </w:r>
      <w:r w:rsidR="0041022C" w:rsidRPr="004635E5">
        <w:rPr>
          <w:rFonts w:eastAsiaTheme="minorEastAsia"/>
          <w:sz w:val="22"/>
          <w:szCs w:val="22"/>
          <w:lang w:eastAsia="ko-KR"/>
        </w:rPr>
        <w:t>PNA noted</w:t>
      </w:r>
      <w:r w:rsidR="001B46FB" w:rsidRPr="004635E5">
        <w:rPr>
          <w:rFonts w:eastAsiaTheme="minorEastAsia"/>
          <w:sz w:val="22"/>
          <w:szCs w:val="22"/>
          <w:lang w:eastAsia="ko-KR"/>
        </w:rPr>
        <w:t xml:space="preserve"> the questions posed in </w:t>
      </w:r>
      <w:r w:rsidR="005C3CE1">
        <w:rPr>
          <w:rFonts w:eastAsia="Calibri"/>
          <w:sz w:val="22"/>
          <w:szCs w:val="22"/>
          <w:lang w:val="en-AU"/>
        </w:rPr>
        <w:t>SC14-</w:t>
      </w:r>
      <w:r w:rsidR="0041022C" w:rsidRPr="004635E5">
        <w:rPr>
          <w:rFonts w:eastAsiaTheme="minorEastAsia"/>
          <w:sz w:val="22"/>
          <w:szCs w:val="22"/>
          <w:lang w:eastAsia="ko-KR"/>
        </w:rPr>
        <w:t>MI-WP-06</w:t>
      </w:r>
      <w:r w:rsidR="001B46FB" w:rsidRPr="004635E5">
        <w:rPr>
          <w:rFonts w:eastAsiaTheme="minorEastAsia"/>
          <w:sz w:val="22"/>
          <w:szCs w:val="22"/>
          <w:lang w:eastAsia="ko-KR"/>
        </w:rPr>
        <w:t xml:space="preserve">, and </w:t>
      </w:r>
      <w:r w:rsidR="0041022C" w:rsidRPr="004635E5">
        <w:rPr>
          <w:rFonts w:eastAsiaTheme="minorEastAsia"/>
          <w:sz w:val="22"/>
          <w:szCs w:val="22"/>
          <w:lang w:eastAsia="ko-KR"/>
        </w:rPr>
        <w:t xml:space="preserve">indicated that their detailed </w:t>
      </w:r>
      <w:r w:rsidR="001B46FB" w:rsidRPr="004635E5">
        <w:rPr>
          <w:rFonts w:eastAsiaTheme="minorEastAsia"/>
          <w:sz w:val="22"/>
          <w:szCs w:val="22"/>
          <w:lang w:eastAsia="ko-KR"/>
        </w:rPr>
        <w:t xml:space="preserve">views </w:t>
      </w:r>
      <w:r w:rsidR="0041022C" w:rsidRPr="004635E5">
        <w:rPr>
          <w:rFonts w:eastAsiaTheme="minorEastAsia"/>
          <w:sz w:val="22"/>
          <w:szCs w:val="22"/>
          <w:lang w:eastAsia="ko-KR"/>
        </w:rPr>
        <w:t xml:space="preserve">were </w:t>
      </w:r>
      <w:r w:rsidR="001B46FB" w:rsidRPr="004635E5">
        <w:rPr>
          <w:rFonts w:eastAsiaTheme="minorEastAsia"/>
          <w:sz w:val="22"/>
          <w:szCs w:val="22"/>
          <w:lang w:eastAsia="ko-KR"/>
        </w:rPr>
        <w:t xml:space="preserve">probably best shared </w:t>
      </w:r>
      <w:r w:rsidR="0041022C" w:rsidRPr="004635E5">
        <w:rPr>
          <w:rFonts w:eastAsiaTheme="minorEastAsia"/>
          <w:sz w:val="22"/>
          <w:szCs w:val="22"/>
          <w:lang w:eastAsia="ko-KR"/>
        </w:rPr>
        <w:t xml:space="preserve">through </w:t>
      </w:r>
      <w:r w:rsidR="001B46FB" w:rsidRPr="004635E5">
        <w:rPr>
          <w:rFonts w:eastAsiaTheme="minorEastAsia"/>
          <w:sz w:val="22"/>
          <w:szCs w:val="22"/>
          <w:lang w:eastAsia="ko-KR"/>
        </w:rPr>
        <w:t>the proposed informal working group.</w:t>
      </w:r>
      <w:r w:rsidR="007617AD" w:rsidRPr="004635E5">
        <w:rPr>
          <w:rFonts w:eastAsiaTheme="minorEastAsia"/>
          <w:sz w:val="22"/>
          <w:szCs w:val="22"/>
          <w:lang w:eastAsia="ko-KR"/>
        </w:rPr>
        <w:t xml:space="preserve"> </w:t>
      </w:r>
      <w:r w:rsidR="0041022C" w:rsidRPr="004635E5">
        <w:rPr>
          <w:rFonts w:eastAsiaTheme="minorEastAsia"/>
          <w:sz w:val="22"/>
          <w:szCs w:val="22"/>
          <w:lang w:eastAsia="ko-KR"/>
        </w:rPr>
        <w:t xml:space="preserve">They </w:t>
      </w:r>
      <w:r w:rsidR="001B46FB" w:rsidRPr="004635E5">
        <w:rPr>
          <w:rFonts w:eastAsiaTheme="minorEastAsia"/>
          <w:sz w:val="22"/>
          <w:szCs w:val="22"/>
          <w:lang w:eastAsia="ko-KR"/>
        </w:rPr>
        <w:t>note</w:t>
      </w:r>
      <w:r w:rsidR="0041022C" w:rsidRPr="004635E5">
        <w:rPr>
          <w:rFonts w:eastAsiaTheme="minorEastAsia"/>
          <w:sz w:val="22"/>
          <w:szCs w:val="22"/>
          <w:lang w:eastAsia="ko-KR"/>
        </w:rPr>
        <w:t>d</w:t>
      </w:r>
      <w:r w:rsidR="001B46FB" w:rsidRPr="004635E5">
        <w:rPr>
          <w:rFonts w:eastAsiaTheme="minorEastAsia"/>
          <w:sz w:val="22"/>
          <w:szCs w:val="22"/>
          <w:lang w:eastAsia="ko-KR"/>
        </w:rPr>
        <w:t xml:space="preserve"> that PNA support for the dialogue </w:t>
      </w:r>
      <w:r w:rsidR="0041022C" w:rsidRPr="004635E5">
        <w:rPr>
          <w:rFonts w:eastAsiaTheme="minorEastAsia"/>
          <w:sz w:val="22"/>
          <w:szCs w:val="22"/>
          <w:lang w:eastAsia="ko-KR"/>
        </w:rPr>
        <w:t xml:space="preserve">was </w:t>
      </w:r>
      <w:r w:rsidR="001B46FB" w:rsidRPr="004635E5">
        <w:rPr>
          <w:rFonts w:eastAsiaTheme="minorEastAsia"/>
          <w:sz w:val="22"/>
          <w:szCs w:val="22"/>
          <w:lang w:eastAsia="ko-KR"/>
        </w:rPr>
        <w:t>contingent on meeting happening immediately after the SC</w:t>
      </w:r>
      <w:r w:rsidR="0041022C" w:rsidRPr="004635E5">
        <w:rPr>
          <w:rFonts w:eastAsiaTheme="minorEastAsia"/>
          <w:sz w:val="22"/>
          <w:szCs w:val="22"/>
          <w:lang w:eastAsia="ko-KR"/>
        </w:rPr>
        <w:t xml:space="preserve">, which they started would </w:t>
      </w:r>
      <w:r w:rsidR="001B46FB" w:rsidRPr="004635E5">
        <w:rPr>
          <w:rFonts w:eastAsiaTheme="minorEastAsia"/>
          <w:sz w:val="22"/>
          <w:szCs w:val="22"/>
          <w:lang w:eastAsia="ko-KR"/>
        </w:rPr>
        <w:t>optimise efficiency and have the greatest chance of influencing</w:t>
      </w:r>
      <w:r w:rsidR="0041022C" w:rsidRPr="004635E5">
        <w:rPr>
          <w:rFonts w:eastAsiaTheme="minorEastAsia"/>
          <w:sz w:val="22"/>
          <w:szCs w:val="22"/>
          <w:lang w:eastAsia="ko-KR"/>
        </w:rPr>
        <w:t xml:space="preserve"> decision-</w:t>
      </w:r>
      <w:r w:rsidR="001B46FB" w:rsidRPr="004635E5">
        <w:rPr>
          <w:rFonts w:eastAsiaTheme="minorEastAsia"/>
          <w:sz w:val="22"/>
          <w:szCs w:val="22"/>
          <w:lang w:eastAsia="ko-KR"/>
        </w:rPr>
        <w:t>making at the following Commission meeting.</w:t>
      </w:r>
    </w:p>
    <w:p w14:paraId="57866957" w14:textId="77777777" w:rsidR="00A2648C" w:rsidRPr="004635E5" w:rsidRDefault="00A2648C" w:rsidP="006633A8">
      <w:pPr>
        <w:autoSpaceDE w:val="0"/>
        <w:autoSpaceDN w:val="0"/>
        <w:adjustRightInd w:val="0"/>
        <w:snapToGrid w:val="0"/>
        <w:jc w:val="both"/>
        <w:rPr>
          <w:rFonts w:eastAsiaTheme="minorEastAsia"/>
          <w:sz w:val="22"/>
          <w:szCs w:val="22"/>
          <w:lang w:eastAsia="ko-KR"/>
        </w:rPr>
      </w:pPr>
    </w:p>
    <w:p w14:paraId="5A840D8A" w14:textId="77777777" w:rsidR="00846F81" w:rsidRPr="004635E5" w:rsidRDefault="00846F81"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China</w:t>
      </w:r>
      <w:r w:rsidR="009D7631" w:rsidRPr="004635E5">
        <w:rPr>
          <w:rFonts w:eastAsiaTheme="minorEastAsia"/>
          <w:sz w:val="22"/>
          <w:szCs w:val="22"/>
          <w:lang w:eastAsia="ko-KR"/>
        </w:rPr>
        <w:t xml:space="preserve"> supported the</w:t>
      </w:r>
      <w:r w:rsidR="0041022C" w:rsidRPr="004635E5">
        <w:rPr>
          <w:rFonts w:eastAsiaTheme="minorEastAsia"/>
          <w:sz w:val="22"/>
          <w:szCs w:val="22"/>
          <w:lang w:eastAsia="ko-KR"/>
        </w:rPr>
        <w:t xml:space="preserve"> decision to create a science and manager dialogue, and prior comments </w:t>
      </w:r>
      <w:r w:rsidR="009D7631" w:rsidRPr="004635E5">
        <w:rPr>
          <w:rFonts w:eastAsiaTheme="minorEastAsia"/>
          <w:sz w:val="22"/>
          <w:szCs w:val="22"/>
          <w:lang w:eastAsia="ko-KR"/>
        </w:rPr>
        <w:t xml:space="preserve">regarding </w:t>
      </w:r>
      <w:r w:rsidR="0041022C" w:rsidRPr="004635E5">
        <w:rPr>
          <w:rFonts w:eastAsiaTheme="minorEastAsia"/>
          <w:sz w:val="22"/>
          <w:szCs w:val="22"/>
          <w:lang w:eastAsia="ko-KR"/>
        </w:rPr>
        <w:t>holding it conjunction with the Commission meetings</w:t>
      </w:r>
      <w:r w:rsidR="009D7631" w:rsidRPr="004635E5">
        <w:rPr>
          <w:rFonts w:eastAsiaTheme="minorEastAsia"/>
          <w:sz w:val="22"/>
          <w:szCs w:val="22"/>
          <w:lang w:eastAsia="ko-KR"/>
        </w:rPr>
        <w:t>.</w:t>
      </w:r>
    </w:p>
    <w:p w14:paraId="1708464B" w14:textId="77777777" w:rsidR="0030620F" w:rsidRPr="004635E5" w:rsidRDefault="0030620F" w:rsidP="006633A8">
      <w:pPr>
        <w:autoSpaceDE w:val="0"/>
        <w:autoSpaceDN w:val="0"/>
        <w:adjustRightInd w:val="0"/>
        <w:snapToGrid w:val="0"/>
        <w:jc w:val="both"/>
        <w:rPr>
          <w:rFonts w:eastAsiaTheme="minorEastAsia"/>
          <w:sz w:val="22"/>
          <w:szCs w:val="22"/>
          <w:lang w:eastAsia="ko-KR"/>
        </w:rPr>
      </w:pPr>
    </w:p>
    <w:p w14:paraId="337D78F3" w14:textId="77777777" w:rsidR="007717EF" w:rsidRPr="004635E5" w:rsidRDefault="00846F81"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RMI </w:t>
      </w:r>
      <w:r w:rsidR="009D7631" w:rsidRPr="004635E5">
        <w:rPr>
          <w:rFonts w:eastAsiaTheme="minorEastAsia"/>
          <w:sz w:val="22"/>
          <w:szCs w:val="22"/>
          <w:lang w:eastAsia="ko-KR"/>
        </w:rPr>
        <w:t xml:space="preserve">noted </w:t>
      </w:r>
      <w:r w:rsidR="0041022C" w:rsidRPr="004635E5">
        <w:rPr>
          <w:rFonts w:eastAsiaTheme="minorEastAsia"/>
          <w:sz w:val="22"/>
          <w:szCs w:val="22"/>
          <w:lang w:eastAsia="ko-KR"/>
        </w:rPr>
        <w:t xml:space="preserve">that while </w:t>
      </w:r>
      <w:r w:rsidRPr="004635E5">
        <w:rPr>
          <w:rFonts w:eastAsiaTheme="minorEastAsia"/>
          <w:sz w:val="22"/>
          <w:szCs w:val="22"/>
          <w:lang w:eastAsia="ko-KR"/>
        </w:rPr>
        <w:t>man</w:t>
      </w:r>
      <w:r w:rsidR="009D7631" w:rsidRPr="004635E5">
        <w:rPr>
          <w:rFonts w:eastAsiaTheme="minorEastAsia"/>
          <w:sz w:val="22"/>
          <w:szCs w:val="22"/>
          <w:lang w:eastAsia="ko-KR"/>
        </w:rPr>
        <w:t>a</w:t>
      </w:r>
      <w:r w:rsidRPr="004635E5">
        <w:rPr>
          <w:rFonts w:eastAsiaTheme="minorEastAsia"/>
          <w:sz w:val="22"/>
          <w:szCs w:val="22"/>
          <w:lang w:eastAsia="ko-KR"/>
        </w:rPr>
        <w:t>g</w:t>
      </w:r>
      <w:r w:rsidR="009D7631" w:rsidRPr="004635E5">
        <w:rPr>
          <w:rFonts w:eastAsiaTheme="minorEastAsia"/>
          <w:sz w:val="22"/>
          <w:szCs w:val="22"/>
          <w:lang w:eastAsia="ko-KR"/>
        </w:rPr>
        <w:t>e</w:t>
      </w:r>
      <w:r w:rsidRPr="004635E5">
        <w:rPr>
          <w:rFonts w:eastAsiaTheme="minorEastAsia"/>
          <w:sz w:val="22"/>
          <w:szCs w:val="22"/>
          <w:lang w:eastAsia="ko-KR"/>
        </w:rPr>
        <w:t xml:space="preserve">ment options </w:t>
      </w:r>
      <w:r w:rsidR="0041022C" w:rsidRPr="004635E5">
        <w:rPr>
          <w:rFonts w:eastAsiaTheme="minorEastAsia"/>
          <w:sz w:val="22"/>
          <w:szCs w:val="22"/>
          <w:lang w:eastAsia="ko-KR"/>
        </w:rPr>
        <w:t xml:space="preserve">discussion were already held </w:t>
      </w:r>
      <w:r w:rsidRPr="004635E5">
        <w:rPr>
          <w:rFonts w:eastAsiaTheme="minorEastAsia"/>
          <w:sz w:val="22"/>
          <w:szCs w:val="22"/>
          <w:lang w:eastAsia="ko-KR"/>
        </w:rPr>
        <w:t>in the margins of the Comm</w:t>
      </w:r>
      <w:r w:rsidR="009D7631" w:rsidRPr="004635E5">
        <w:rPr>
          <w:rFonts w:eastAsiaTheme="minorEastAsia"/>
          <w:sz w:val="22"/>
          <w:szCs w:val="22"/>
          <w:lang w:eastAsia="ko-KR"/>
        </w:rPr>
        <w:t xml:space="preserve">ission, </w:t>
      </w:r>
      <w:r w:rsidR="0041022C" w:rsidRPr="004635E5">
        <w:rPr>
          <w:rFonts w:eastAsiaTheme="minorEastAsia"/>
          <w:sz w:val="22"/>
          <w:szCs w:val="22"/>
          <w:lang w:eastAsia="ko-KR"/>
        </w:rPr>
        <w:t xml:space="preserve">they provided </w:t>
      </w:r>
      <w:r w:rsidR="00A276DA" w:rsidRPr="004635E5">
        <w:rPr>
          <w:rFonts w:eastAsiaTheme="minorEastAsia"/>
          <w:sz w:val="22"/>
          <w:szCs w:val="22"/>
          <w:lang w:eastAsia="ko-KR"/>
        </w:rPr>
        <w:t xml:space="preserve">insufficient </w:t>
      </w:r>
      <w:r w:rsidRPr="004635E5">
        <w:rPr>
          <w:rFonts w:eastAsiaTheme="minorEastAsia"/>
          <w:sz w:val="22"/>
          <w:szCs w:val="22"/>
          <w:lang w:eastAsia="ko-KR"/>
        </w:rPr>
        <w:t>time</w:t>
      </w:r>
      <w:r w:rsidR="0041022C" w:rsidRPr="004635E5">
        <w:rPr>
          <w:rFonts w:eastAsiaTheme="minorEastAsia"/>
          <w:sz w:val="22"/>
          <w:szCs w:val="22"/>
          <w:lang w:eastAsia="ko-KR"/>
        </w:rPr>
        <w:t xml:space="preserve"> to consider harvest strategy development ahead of the Commission meeting. They therefore supported the proposal to have a link between scientists and mangers, and suggested that the meeting return to a manager workshop format, and be held well before the Commission meeting, in association with the SC meeting</w:t>
      </w:r>
      <w:r w:rsidR="0030620F" w:rsidRPr="004635E5">
        <w:rPr>
          <w:rFonts w:eastAsiaTheme="minorEastAsia"/>
          <w:sz w:val="22"/>
          <w:szCs w:val="22"/>
          <w:lang w:eastAsia="ko-KR"/>
        </w:rPr>
        <w:t>.</w:t>
      </w:r>
    </w:p>
    <w:p w14:paraId="6F95C39D" w14:textId="77777777" w:rsidR="0030620F" w:rsidRPr="004635E5" w:rsidRDefault="0030620F" w:rsidP="006633A8">
      <w:pPr>
        <w:autoSpaceDE w:val="0"/>
        <w:autoSpaceDN w:val="0"/>
        <w:adjustRightInd w:val="0"/>
        <w:snapToGrid w:val="0"/>
        <w:jc w:val="both"/>
        <w:rPr>
          <w:rFonts w:eastAsiaTheme="minorEastAsia"/>
          <w:sz w:val="22"/>
          <w:szCs w:val="22"/>
          <w:lang w:eastAsia="ko-KR"/>
        </w:rPr>
      </w:pPr>
    </w:p>
    <w:p w14:paraId="5F7E46DC" w14:textId="77777777" w:rsidR="0041022C" w:rsidRPr="004635E5" w:rsidRDefault="00B81627"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The EU restated their view that the science/manager dialog was very important, with outputs not necessarily taken up immediately by the Commission, and reiterated their view that it take place in association with the </w:t>
      </w:r>
      <w:r w:rsidR="00A276DA" w:rsidRPr="004635E5">
        <w:rPr>
          <w:rFonts w:eastAsiaTheme="minorEastAsia"/>
          <w:sz w:val="22"/>
          <w:szCs w:val="22"/>
          <w:lang w:eastAsia="ko-KR"/>
        </w:rPr>
        <w:t xml:space="preserve">Commission </w:t>
      </w:r>
      <w:r w:rsidRPr="004635E5">
        <w:rPr>
          <w:rFonts w:eastAsiaTheme="minorEastAsia"/>
          <w:sz w:val="22"/>
          <w:szCs w:val="22"/>
          <w:lang w:eastAsia="ko-KR"/>
        </w:rPr>
        <w:t xml:space="preserve">meeting. </w:t>
      </w:r>
      <w:r w:rsidR="0041022C" w:rsidRPr="004635E5">
        <w:rPr>
          <w:rFonts w:eastAsiaTheme="minorEastAsia"/>
          <w:sz w:val="22"/>
          <w:szCs w:val="22"/>
          <w:lang w:eastAsia="ko-KR"/>
        </w:rPr>
        <w:t xml:space="preserve">They noted that one day was likely insufficient, and that the length of the meeting needed to be flexible, in accordance with the agenda. They viewed the dialog as mainly a vehicle to inform the SC and SPC regarding options that needed to be made in working with MSE. Japan concurred, but suggested the timing would be worked out when finalizing the TORs. They saw no need for annual action at the Commission level based on the work of the group which would autonomously work on and drive the MSE process, but that this group would provide a short report annually to the Commission. </w:t>
      </w:r>
    </w:p>
    <w:p w14:paraId="0A714443" w14:textId="77777777" w:rsidR="0030620F" w:rsidRPr="004635E5" w:rsidRDefault="0030620F" w:rsidP="006633A8">
      <w:pPr>
        <w:autoSpaceDE w:val="0"/>
        <w:autoSpaceDN w:val="0"/>
        <w:adjustRightInd w:val="0"/>
        <w:snapToGrid w:val="0"/>
        <w:jc w:val="both"/>
        <w:rPr>
          <w:rFonts w:eastAsiaTheme="minorEastAsia"/>
          <w:sz w:val="22"/>
          <w:szCs w:val="22"/>
          <w:lang w:eastAsia="ko-KR"/>
        </w:rPr>
      </w:pPr>
    </w:p>
    <w:p w14:paraId="365465C1" w14:textId="77777777" w:rsidR="008213D2" w:rsidRPr="004635E5" w:rsidRDefault="001023CE"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val="en-AU" w:eastAsia="ko-KR"/>
        </w:rPr>
        <w:t xml:space="preserve">The </w:t>
      </w:r>
      <w:r w:rsidR="0041022C" w:rsidRPr="004635E5">
        <w:rPr>
          <w:rFonts w:eastAsiaTheme="minorEastAsia"/>
          <w:sz w:val="22"/>
          <w:szCs w:val="22"/>
          <w:lang w:val="en-AU" w:eastAsia="ko-KR"/>
        </w:rPr>
        <w:t>c</w:t>
      </w:r>
      <w:r w:rsidR="00B312EE" w:rsidRPr="004635E5">
        <w:rPr>
          <w:rFonts w:eastAsiaTheme="minorEastAsia"/>
          <w:sz w:val="22"/>
          <w:szCs w:val="22"/>
          <w:lang w:val="en-AU" w:eastAsia="ko-KR"/>
        </w:rPr>
        <w:t xml:space="preserve">onvener </w:t>
      </w:r>
      <w:r w:rsidRPr="004635E5">
        <w:rPr>
          <w:rFonts w:eastAsiaTheme="minorEastAsia"/>
          <w:sz w:val="22"/>
          <w:szCs w:val="22"/>
          <w:lang w:val="en-AU" w:eastAsia="ko-KR"/>
        </w:rPr>
        <w:t xml:space="preserve">observed that </w:t>
      </w:r>
      <w:r w:rsidR="008213D2" w:rsidRPr="004635E5">
        <w:rPr>
          <w:rFonts w:eastAsiaTheme="minorEastAsia"/>
          <w:sz w:val="22"/>
          <w:szCs w:val="22"/>
          <w:lang w:val="en-AU" w:eastAsia="ko-KR"/>
        </w:rPr>
        <w:t xml:space="preserve">members </w:t>
      </w:r>
      <w:r w:rsidRPr="004635E5">
        <w:rPr>
          <w:rFonts w:eastAsiaTheme="minorEastAsia"/>
          <w:sz w:val="22"/>
          <w:szCs w:val="22"/>
          <w:lang w:val="en-AU" w:eastAsia="ko-KR"/>
        </w:rPr>
        <w:t xml:space="preserve">clearly desired a </w:t>
      </w:r>
      <w:r w:rsidR="008213D2" w:rsidRPr="004635E5">
        <w:rPr>
          <w:rFonts w:eastAsiaTheme="minorEastAsia"/>
          <w:sz w:val="22"/>
          <w:szCs w:val="22"/>
          <w:lang w:val="en-AU" w:eastAsia="ko-KR"/>
        </w:rPr>
        <w:t xml:space="preserve">dialog, but </w:t>
      </w:r>
      <w:r w:rsidRPr="004635E5">
        <w:rPr>
          <w:rFonts w:eastAsiaTheme="minorEastAsia"/>
          <w:sz w:val="22"/>
          <w:szCs w:val="22"/>
          <w:lang w:val="en-AU" w:eastAsia="ko-KR"/>
        </w:rPr>
        <w:t xml:space="preserve">the role and </w:t>
      </w:r>
      <w:r w:rsidR="008213D2" w:rsidRPr="004635E5">
        <w:rPr>
          <w:rFonts w:eastAsiaTheme="minorEastAsia"/>
          <w:sz w:val="22"/>
          <w:szCs w:val="22"/>
          <w:lang w:val="en-AU" w:eastAsia="ko-KR"/>
        </w:rPr>
        <w:t>fo</w:t>
      </w:r>
      <w:r w:rsidRPr="004635E5">
        <w:rPr>
          <w:rFonts w:eastAsiaTheme="minorEastAsia"/>
          <w:sz w:val="22"/>
          <w:szCs w:val="22"/>
          <w:lang w:val="en-AU" w:eastAsia="ko-KR"/>
        </w:rPr>
        <w:t>r</w:t>
      </w:r>
      <w:r w:rsidR="008213D2" w:rsidRPr="004635E5">
        <w:rPr>
          <w:rFonts w:eastAsiaTheme="minorEastAsia"/>
          <w:sz w:val="22"/>
          <w:szCs w:val="22"/>
          <w:lang w:val="en-AU" w:eastAsia="ko-KR"/>
        </w:rPr>
        <w:t>m</w:t>
      </w:r>
      <w:r w:rsidRPr="004635E5">
        <w:rPr>
          <w:rFonts w:eastAsiaTheme="minorEastAsia"/>
          <w:sz w:val="22"/>
          <w:szCs w:val="22"/>
          <w:lang w:val="en-AU" w:eastAsia="ko-KR"/>
        </w:rPr>
        <w:t>a</w:t>
      </w:r>
      <w:r w:rsidR="008213D2" w:rsidRPr="004635E5">
        <w:rPr>
          <w:rFonts w:eastAsiaTheme="minorEastAsia"/>
          <w:sz w:val="22"/>
          <w:szCs w:val="22"/>
          <w:lang w:val="en-AU" w:eastAsia="ko-KR"/>
        </w:rPr>
        <w:t xml:space="preserve">lity of </w:t>
      </w:r>
      <w:r w:rsidRPr="004635E5">
        <w:rPr>
          <w:rFonts w:eastAsiaTheme="minorEastAsia"/>
          <w:sz w:val="22"/>
          <w:szCs w:val="22"/>
          <w:lang w:val="en-AU" w:eastAsia="ko-KR"/>
        </w:rPr>
        <w:t xml:space="preserve">the </w:t>
      </w:r>
      <w:r w:rsidR="008213D2" w:rsidRPr="004635E5">
        <w:rPr>
          <w:rFonts w:eastAsiaTheme="minorEastAsia"/>
          <w:sz w:val="22"/>
          <w:szCs w:val="22"/>
          <w:lang w:val="en-AU" w:eastAsia="ko-KR"/>
        </w:rPr>
        <w:t xml:space="preserve">dialog </w:t>
      </w:r>
      <w:r w:rsidRPr="004635E5">
        <w:rPr>
          <w:rFonts w:eastAsiaTheme="minorEastAsia"/>
          <w:sz w:val="22"/>
          <w:szCs w:val="22"/>
          <w:lang w:val="en-AU" w:eastAsia="ko-KR"/>
        </w:rPr>
        <w:t xml:space="preserve">needed to </w:t>
      </w:r>
      <w:r w:rsidR="008213D2" w:rsidRPr="004635E5">
        <w:rPr>
          <w:rFonts w:eastAsiaTheme="minorEastAsia"/>
          <w:sz w:val="22"/>
          <w:szCs w:val="22"/>
          <w:lang w:val="en-AU" w:eastAsia="ko-KR"/>
        </w:rPr>
        <w:t xml:space="preserve">be defined. </w:t>
      </w:r>
      <w:r w:rsidRPr="004635E5">
        <w:rPr>
          <w:rFonts w:eastAsiaTheme="minorEastAsia"/>
          <w:sz w:val="22"/>
          <w:szCs w:val="22"/>
          <w:lang w:eastAsia="ko-KR"/>
        </w:rPr>
        <w:t xml:space="preserve">In the ensuing discussion, </w:t>
      </w:r>
      <w:r w:rsidR="008213D2" w:rsidRPr="004635E5">
        <w:rPr>
          <w:rFonts w:eastAsiaTheme="minorEastAsia"/>
          <w:sz w:val="22"/>
          <w:szCs w:val="22"/>
          <w:lang w:eastAsia="ko-KR"/>
        </w:rPr>
        <w:t>RMI</w:t>
      </w:r>
      <w:r w:rsidR="007D6FF2" w:rsidRPr="004635E5">
        <w:rPr>
          <w:rFonts w:eastAsiaTheme="minorEastAsia"/>
          <w:sz w:val="22"/>
          <w:szCs w:val="22"/>
          <w:lang w:eastAsia="ko-KR"/>
        </w:rPr>
        <w:t xml:space="preserve"> again stressed the need </w:t>
      </w:r>
      <w:r w:rsidR="008213D2" w:rsidRPr="004635E5">
        <w:rPr>
          <w:rFonts w:eastAsiaTheme="minorEastAsia"/>
          <w:sz w:val="22"/>
          <w:szCs w:val="22"/>
          <w:lang w:eastAsia="ko-KR"/>
        </w:rPr>
        <w:t>to have the dialog</w:t>
      </w:r>
      <w:r w:rsidR="007D6FF2" w:rsidRPr="004635E5">
        <w:rPr>
          <w:rFonts w:eastAsiaTheme="minorEastAsia"/>
          <w:sz w:val="22"/>
          <w:szCs w:val="22"/>
          <w:lang w:eastAsia="ko-KR"/>
        </w:rPr>
        <w:t xml:space="preserve">, and schedule meetings immediately following </w:t>
      </w:r>
      <w:r w:rsidR="008213D2" w:rsidRPr="004635E5">
        <w:rPr>
          <w:rFonts w:eastAsiaTheme="minorEastAsia"/>
          <w:sz w:val="22"/>
          <w:szCs w:val="22"/>
          <w:lang w:eastAsia="ko-KR"/>
        </w:rPr>
        <w:t>SC.</w:t>
      </w:r>
      <w:r w:rsidR="00EC5BD9" w:rsidRPr="004635E5">
        <w:rPr>
          <w:rFonts w:eastAsiaTheme="minorEastAsia"/>
          <w:sz w:val="22"/>
          <w:szCs w:val="22"/>
          <w:lang w:eastAsia="ko-KR"/>
        </w:rPr>
        <w:t xml:space="preserve"> </w:t>
      </w:r>
      <w:r w:rsidR="002E39E9" w:rsidRPr="004635E5">
        <w:rPr>
          <w:rFonts w:eastAsiaTheme="minorEastAsia"/>
          <w:sz w:val="22"/>
          <w:szCs w:val="22"/>
          <w:lang w:eastAsia="ko-KR"/>
        </w:rPr>
        <w:t>New Zealand</w:t>
      </w:r>
      <w:r w:rsidR="00EC5BD9" w:rsidRPr="004635E5">
        <w:rPr>
          <w:rFonts w:eastAsiaTheme="minorEastAsia"/>
          <w:sz w:val="22"/>
          <w:szCs w:val="22"/>
          <w:lang w:eastAsia="ko-KR"/>
        </w:rPr>
        <w:t xml:space="preserve"> indicated CCSBT </w:t>
      </w:r>
      <w:r w:rsidR="008213D2" w:rsidRPr="004635E5">
        <w:rPr>
          <w:rFonts w:eastAsiaTheme="minorEastAsia"/>
          <w:sz w:val="22"/>
          <w:szCs w:val="22"/>
          <w:lang w:eastAsia="ko-KR"/>
        </w:rPr>
        <w:t>managers, sci</w:t>
      </w:r>
      <w:r w:rsidR="00EC5BD9" w:rsidRPr="004635E5">
        <w:rPr>
          <w:rFonts w:eastAsiaTheme="minorEastAsia"/>
          <w:sz w:val="22"/>
          <w:szCs w:val="22"/>
          <w:lang w:eastAsia="ko-KR"/>
        </w:rPr>
        <w:t>entists</w:t>
      </w:r>
      <w:r w:rsidR="008213D2" w:rsidRPr="004635E5">
        <w:rPr>
          <w:rFonts w:eastAsiaTheme="minorEastAsia"/>
          <w:sz w:val="22"/>
          <w:szCs w:val="22"/>
          <w:lang w:eastAsia="ko-KR"/>
        </w:rPr>
        <w:t xml:space="preserve">, and commissioners </w:t>
      </w:r>
      <w:r w:rsidR="00EC5BD9" w:rsidRPr="004635E5">
        <w:rPr>
          <w:rFonts w:eastAsiaTheme="minorEastAsia"/>
          <w:sz w:val="22"/>
          <w:szCs w:val="22"/>
          <w:lang w:eastAsia="ko-KR"/>
        </w:rPr>
        <w:t xml:space="preserve">met </w:t>
      </w:r>
      <w:r w:rsidR="008213D2" w:rsidRPr="004635E5">
        <w:rPr>
          <w:rFonts w:eastAsiaTheme="minorEastAsia"/>
          <w:sz w:val="22"/>
          <w:szCs w:val="22"/>
          <w:lang w:eastAsia="ko-KR"/>
        </w:rPr>
        <w:t xml:space="preserve">in advance of </w:t>
      </w:r>
      <w:r w:rsidR="00EC5BD9" w:rsidRPr="004635E5">
        <w:rPr>
          <w:rFonts w:eastAsiaTheme="minorEastAsia"/>
          <w:sz w:val="22"/>
          <w:szCs w:val="22"/>
          <w:lang w:eastAsia="ko-KR"/>
        </w:rPr>
        <w:t xml:space="preserve">both their SC </w:t>
      </w:r>
      <w:r w:rsidR="008213D2" w:rsidRPr="004635E5">
        <w:rPr>
          <w:rFonts w:eastAsiaTheme="minorEastAsia"/>
          <w:sz w:val="22"/>
          <w:szCs w:val="22"/>
          <w:lang w:eastAsia="ko-KR"/>
        </w:rPr>
        <w:t>and Comm</w:t>
      </w:r>
      <w:r w:rsidR="00EC5BD9" w:rsidRPr="004635E5">
        <w:rPr>
          <w:rFonts w:eastAsiaTheme="minorEastAsia"/>
          <w:sz w:val="22"/>
          <w:szCs w:val="22"/>
          <w:lang w:eastAsia="ko-KR"/>
        </w:rPr>
        <w:t xml:space="preserve">ission meetings </w:t>
      </w:r>
      <w:r w:rsidR="008213D2" w:rsidRPr="004635E5">
        <w:rPr>
          <w:rFonts w:eastAsiaTheme="minorEastAsia"/>
          <w:sz w:val="22"/>
          <w:szCs w:val="22"/>
          <w:lang w:eastAsia="ko-KR"/>
        </w:rPr>
        <w:t xml:space="preserve">to have </w:t>
      </w:r>
      <w:r w:rsidR="00EC5BD9" w:rsidRPr="004635E5">
        <w:rPr>
          <w:rFonts w:eastAsiaTheme="minorEastAsia"/>
          <w:sz w:val="22"/>
          <w:szCs w:val="22"/>
          <w:lang w:eastAsia="ko-KR"/>
        </w:rPr>
        <w:t xml:space="preserve">a </w:t>
      </w:r>
      <w:r w:rsidR="008213D2" w:rsidRPr="004635E5">
        <w:rPr>
          <w:rFonts w:eastAsiaTheme="minorEastAsia"/>
          <w:sz w:val="22"/>
          <w:szCs w:val="22"/>
          <w:lang w:eastAsia="ko-KR"/>
        </w:rPr>
        <w:t>formal disc</w:t>
      </w:r>
      <w:r w:rsidR="00EC5BD9" w:rsidRPr="004635E5">
        <w:rPr>
          <w:rFonts w:eastAsiaTheme="minorEastAsia"/>
          <w:sz w:val="22"/>
          <w:szCs w:val="22"/>
          <w:lang w:eastAsia="ko-KR"/>
        </w:rPr>
        <w:t xml:space="preserve">ussion. The </w:t>
      </w:r>
      <w:r w:rsidR="002F2A8A" w:rsidRPr="004635E5">
        <w:rPr>
          <w:rFonts w:eastAsiaTheme="minorEastAsia"/>
          <w:sz w:val="22"/>
          <w:szCs w:val="22"/>
          <w:lang w:eastAsia="ko-KR"/>
        </w:rPr>
        <w:t>EU</w:t>
      </w:r>
      <w:r w:rsidR="00EC5BD9" w:rsidRPr="004635E5">
        <w:rPr>
          <w:rFonts w:eastAsiaTheme="minorEastAsia"/>
          <w:sz w:val="22"/>
          <w:szCs w:val="22"/>
          <w:lang w:eastAsia="ko-KR"/>
        </w:rPr>
        <w:t xml:space="preserve">, supported by Indonesia, noted the need </w:t>
      </w:r>
      <w:r w:rsidR="002F2A8A" w:rsidRPr="004635E5">
        <w:rPr>
          <w:rFonts w:eastAsiaTheme="minorEastAsia"/>
          <w:sz w:val="22"/>
          <w:szCs w:val="22"/>
          <w:lang w:eastAsia="ko-KR"/>
        </w:rPr>
        <w:t xml:space="preserve">to clarify the TORs </w:t>
      </w:r>
      <w:r w:rsidR="00EC5BD9" w:rsidRPr="004635E5">
        <w:rPr>
          <w:rFonts w:eastAsiaTheme="minorEastAsia"/>
          <w:sz w:val="22"/>
          <w:szCs w:val="22"/>
          <w:lang w:eastAsia="ko-KR"/>
        </w:rPr>
        <w:t xml:space="preserve">for the group, which could affect the timing of the meeting. </w:t>
      </w:r>
      <w:r w:rsidR="001B46FB" w:rsidRPr="004635E5">
        <w:rPr>
          <w:rFonts w:eastAsiaTheme="minorEastAsia"/>
          <w:sz w:val="22"/>
          <w:szCs w:val="22"/>
          <w:lang w:eastAsia="ko-KR"/>
        </w:rPr>
        <w:t>Palau</w:t>
      </w:r>
      <w:r w:rsidR="00EC5BD9" w:rsidRPr="004635E5">
        <w:rPr>
          <w:rFonts w:eastAsiaTheme="minorEastAsia"/>
          <w:sz w:val="22"/>
          <w:szCs w:val="22"/>
          <w:lang w:eastAsia="ko-KR"/>
        </w:rPr>
        <w:t xml:space="preserve">, on behalf of </w:t>
      </w:r>
      <w:r w:rsidR="001B46FB" w:rsidRPr="004635E5">
        <w:rPr>
          <w:rFonts w:eastAsiaTheme="minorEastAsia"/>
          <w:sz w:val="22"/>
          <w:szCs w:val="22"/>
          <w:lang w:eastAsia="ko-KR"/>
        </w:rPr>
        <w:t>PNA</w:t>
      </w:r>
      <w:r w:rsidR="00EC5BD9" w:rsidRPr="004635E5">
        <w:rPr>
          <w:rFonts w:eastAsiaTheme="minorEastAsia"/>
          <w:sz w:val="22"/>
          <w:szCs w:val="22"/>
          <w:lang w:eastAsia="ko-KR"/>
        </w:rPr>
        <w:t>, stated they were</w:t>
      </w:r>
      <w:r w:rsidR="001B46FB" w:rsidRPr="004635E5">
        <w:rPr>
          <w:rFonts w:eastAsiaTheme="minorEastAsia"/>
          <w:sz w:val="22"/>
          <w:szCs w:val="22"/>
          <w:lang w:eastAsia="ko-KR"/>
        </w:rPr>
        <w:t xml:space="preserve"> only prepared to support the proposed dialogue if it </w:t>
      </w:r>
      <w:r w:rsidR="0041022C" w:rsidRPr="004635E5">
        <w:rPr>
          <w:rFonts w:eastAsiaTheme="minorEastAsia"/>
          <w:sz w:val="22"/>
          <w:szCs w:val="22"/>
          <w:lang w:eastAsia="ko-KR"/>
        </w:rPr>
        <w:t xml:space="preserve">was </w:t>
      </w:r>
      <w:r w:rsidR="001B46FB" w:rsidRPr="004635E5">
        <w:rPr>
          <w:rFonts w:eastAsiaTheme="minorEastAsia"/>
          <w:sz w:val="22"/>
          <w:szCs w:val="22"/>
          <w:lang w:eastAsia="ko-KR"/>
        </w:rPr>
        <w:t>held immediately following SC</w:t>
      </w:r>
      <w:r w:rsidR="0041022C" w:rsidRPr="004635E5">
        <w:rPr>
          <w:rFonts w:eastAsiaTheme="minorEastAsia"/>
          <w:sz w:val="22"/>
          <w:szCs w:val="22"/>
          <w:lang w:eastAsia="ko-KR"/>
        </w:rPr>
        <w:t xml:space="preserve">, which was </w:t>
      </w:r>
      <w:r w:rsidR="001B46FB" w:rsidRPr="004635E5">
        <w:rPr>
          <w:rFonts w:eastAsiaTheme="minorEastAsia"/>
          <w:sz w:val="22"/>
          <w:szCs w:val="22"/>
          <w:lang w:eastAsia="ko-KR"/>
        </w:rPr>
        <w:t>PNA</w:t>
      </w:r>
      <w:r w:rsidR="0041022C" w:rsidRPr="004635E5">
        <w:rPr>
          <w:rFonts w:eastAsiaTheme="minorEastAsia"/>
          <w:sz w:val="22"/>
          <w:szCs w:val="22"/>
          <w:lang w:eastAsia="ko-KR"/>
        </w:rPr>
        <w:t>’s</w:t>
      </w:r>
      <w:r w:rsidR="001B46FB" w:rsidRPr="004635E5">
        <w:rPr>
          <w:rFonts w:eastAsiaTheme="minorEastAsia"/>
          <w:sz w:val="22"/>
          <w:szCs w:val="22"/>
          <w:lang w:eastAsia="ko-KR"/>
        </w:rPr>
        <w:t xml:space="preserve"> </w:t>
      </w:r>
      <w:r w:rsidR="0041022C" w:rsidRPr="004635E5">
        <w:rPr>
          <w:rFonts w:eastAsiaTheme="minorEastAsia"/>
          <w:sz w:val="22"/>
          <w:szCs w:val="22"/>
          <w:lang w:eastAsia="ko-KR"/>
        </w:rPr>
        <w:t xml:space="preserve">position </w:t>
      </w:r>
      <w:r w:rsidR="001B46FB" w:rsidRPr="004635E5">
        <w:rPr>
          <w:rFonts w:eastAsiaTheme="minorEastAsia"/>
          <w:sz w:val="22"/>
          <w:szCs w:val="22"/>
          <w:lang w:eastAsia="ko-KR"/>
        </w:rPr>
        <w:t>since the MOW/HSW process ceased in 2015</w:t>
      </w:r>
      <w:r w:rsidR="00A16680" w:rsidRPr="004635E5">
        <w:rPr>
          <w:rFonts w:eastAsiaTheme="minorEastAsia"/>
          <w:sz w:val="22"/>
          <w:szCs w:val="22"/>
          <w:lang w:eastAsia="ko-KR"/>
        </w:rPr>
        <w:t xml:space="preserve">. </w:t>
      </w:r>
      <w:r w:rsidR="001B46FB" w:rsidRPr="004635E5">
        <w:rPr>
          <w:rFonts w:eastAsiaTheme="minorEastAsia"/>
          <w:sz w:val="22"/>
          <w:szCs w:val="22"/>
          <w:lang w:eastAsia="ko-KR"/>
        </w:rPr>
        <w:t xml:space="preserve">PNA </w:t>
      </w:r>
      <w:r w:rsidR="0041022C" w:rsidRPr="004635E5">
        <w:rPr>
          <w:rFonts w:eastAsiaTheme="minorEastAsia"/>
          <w:sz w:val="22"/>
          <w:szCs w:val="22"/>
          <w:lang w:eastAsia="ko-KR"/>
        </w:rPr>
        <w:t xml:space="preserve">saw no </w:t>
      </w:r>
      <w:r w:rsidR="001B46FB" w:rsidRPr="004635E5">
        <w:rPr>
          <w:rFonts w:eastAsiaTheme="minorEastAsia"/>
          <w:sz w:val="22"/>
          <w:szCs w:val="22"/>
          <w:lang w:eastAsia="ko-KR"/>
        </w:rPr>
        <w:t>merit in a meeting held in conjunction with WCPFC because delegations arrive with their national positions already determined</w:t>
      </w:r>
      <w:r w:rsidR="00A16680" w:rsidRPr="004635E5">
        <w:rPr>
          <w:rFonts w:eastAsiaTheme="minorEastAsia"/>
          <w:sz w:val="22"/>
          <w:szCs w:val="22"/>
          <w:lang w:eastAsia="ko-KR"/>
        </w:rPr>
        <w:t xml:space="preserve">. </w:t>
      </w:r>
      <w:r w:rsidR="0041022C" w:rsidRPr="004635E5">
        <w:rPr>
          <w:rFonts w:eastAsiaTheme="minorEastAsia"/>
          <w:sz w:val="22"/>
          <w:szCs w:val="22"/>
          <w:lang w:eastAsia="ko-KR"/>
        </w:rPr>
        <w:t xml:space="preserve">They stated their </w:t>
      </w:r>
      <w:r w:rsidR="001B46FB" w:rsidRPr="004635E5">
        <w:rPr>
          <w:rFonts w:eastAsiaTheme="minorEastAsia"/>
          <w:sz w:val="22"/>
          <w:szCs w:val="22"/>
          <w:lang w:eastAsia="ko-KR"/>
        </w:rPr>
        <w:t xml:space="preserve">experience that some key delegations did not even participate at </w:t>
      </w:r>
      <w:r w:rsidR="0041022C" w:rsidRPr="004635E5">
        <w:rPr>
          <w:rFonts w:eastAsiaTheme="minorEastAsia"/>
          <w:sz w:val="22"/>
          <w:szCs w:val="22"/>
          <w:lang w:eastAsia="ko-KR"/>
        </w:rPr>
        <w:t xml:space="preserve">a </w:t>
      </w:r>
      <w:r w:rsidR="001B46FB" w:rsidRPr="004635E5">
        <w:rPr>
          <w:rFonts w:eastAsiaTheme="minorEastAsia"/>
          <w:sz w:val="22"/>
          <w:szCs w:val="22"/>
          <w:lang w:eastAsia="ko-KR"/>
        </w:rPr>
        <w:t xml:space="preserve">senior level in MOWs, </w:t>
      </w:r>
      <w:r w:rsidR="0041022C" w:rsidRPr="004635E5">
        <w:rPr>
          <w:rFonts w:eastAsiaTheme="minorEastAsia"/>
          <w:sz w:val="22"/>
          <w:szCs w:val="22"/>
          <w:lang w:eastAsia="ko-KR"/>
        </w:rPr>
        <w:t xml:space="preserve">rendering the </w:t>
      </w:r>
      <w:r w:rsidR="001B46FB" w:rsidRPr="004635E5">
        <w:rPr>
          <w:rFonts w:eastAsiaTheme="minorEastAsia"/>
          <w:sz w:val="22"/>
          <w:szCs w:val="22"/>
          <w:lang w:eastAsia="ko-KR"/>
        </w:rPr>
        <w:t>discussions useless.</w:t>
      </w:r>
      <w:r w:rsidR="00EC5BD9" w:rsidRPr="004635E5">
        <w:rPr>
          <w:rFonts w:eastAsiaTheme="minorEastAsia"/>
          <w:sz w:val="22"/>
          <w:szCs w:val="22"/>
          <w:lang w:eastAsia="ko-KR"/>
        </w:rPr>
        <w:t xml:space="preserve"> </w:t>
      </w:r>
      <w:r w:rsidR="0041022C" w:rsidRPr="004635E5">
        <w:rPr>
          <w:rFonts w:eastAsiaTheme="minorEastAsia"/>
          <w:sz w:val="22"/>
          <w:szCs w:val="22"/>
          <w:lang w:eastAsia="ko-KR"/>
        </w:rPr>
        <w:t>M</w:t>
      </w:r>
      <w:r w:rsidR="001B46FB" w:rsidRPr="004635E5">
        <w:rPr>
          <w:rFonts w:eastAsiaTheme="minorEastAsia"/>
          <w:sz w:val="22"/>
          <w:szCs w:val="22"/>
          <w:lang w:eastAsia="ko-KR"/>
        </w:rPr>
        <w:t xml:space="preserve">eetings </w:t>
      </w:r>
      <w:r w:rsidR="0041022C" w:rsidRPr="004635E5">
        <w:rPr>
          <w:rFonts w:eastAsiaTheme="minorEastAsia"/>
          <w:sz w:val="22"/>
          <w:szCs w:val="22"/>
          <w:lang w:eastAsia="ko-KR"/>
        </w:rPr>
        <w:t xml:space="preserve">scheduled </w:t>
      </w:r>
      <w:r w:rsidR="001B46FB" w:rsidRPr="004635E5">
        <w:rPr>
          <w:rFonts w:eastAsiaTheme="minorEastAsia"/>
          <w:sz w:val="22"/>
          <w:szCs w:val="22"/>
          <w:lang w:eastAsia="ko-KR"/>
        </w:rPr>
        <w:t xml:space="preserve">late in the year and in conjunction with the Commission presents </w:t>
      </w:r>
      <w:r w:rsidR="0041022C" w:rsidRPr="004635E5">
        <w:rPr>
          <w:rFonts w:eastAsiaTheme="minorEastAsia"/>
          <w:sz w:val="22"/>
          <w:szCs w:val="22"/>
          <w:lang w:eastAsia="ko-KR"/>
        </w:rPr>
        <w:t xml:space="preserve">a </w:t>
      </w:r>
      <w:r w:rsidR="001B46FB" w:rsidRPr="004635E5">
        <w:rPr>
          <w:rFonts w:eastAsiaTheme="minorEastAsia"/>
          <w:sz w:val="22"/>
          <w:szCs w:val="22"/>
          <w:lang w:eastAsia="ko-KR"/>
        </w:rPr>
        <w:t>serious disruption to FFA and PNA member preparation</w:t>
      </w:r>
      <w:r w:rsidR="0041022C" w:rsidRPr="004635E5">
        <w:rPr>
          <w:rFonts w:eastAsiaTheme="minorEastAsia"/>
          <w:sz w:val="22"/>
          <w:szCs w:val="22"/>
          <w:lang w:eastAsia="ko-KR"/>
        </w:rPr>
        <w:t>,</w:t>
      </w:r>
      <w:r w:rsidR="001B46FB" w:rsidRPr="004635E5">
        <w:rPr>
          <w:rFonts w:eastAsiaTheme="minorEastAsia"/>
          <w:sz w:val="22"/>
          <w:szCs w:val="22"/>
          <w:lang w:eastAsia="ko-KR"/>
        </w:rPr>
        <w:t xml:space="preserve"> </w:t>
      </w:r>
      <w:r w:rsidR="0041022C" w:rsidRPr="004635E5">
        <w:rPr>
          <w:rFonts w:eastAsiaTheme="minorEastAsia"/>
          <w:sz w:val="22"/>
          <w:szCs w:val="22"/>
          <w:lang w:eastAsia="ko-KR"/>
        </w:rPr>
        <w:t xml:space="preserve">which they </w:t>
      </w:r>
      <w:r w:rsidR="001B46FB" w:rsidRPr="004635E5">
        <w:rPr>
          <w:rFonts w:eastAsiaTheme="minorEastAsia"/>
          <w:sz w:val="22"/>
          <w:szCs w:val="22"/>
          <w:lang w:eastAsia="ko-KR"/>
        </w:rPr>
        <w:t>cannot sustain</w:t>
      </w:r>
      <w:r w:rsidR="00A16680" w:rsidRPr="004635E5">
        <w:rPr>
          <w:rFonts w:eastAsiaTheme="minorEastAsia"/>
          <w:sz w:val="22"/>
          <w:szCs w:val="22"/>
          <w:lang w:eastAsia="ko-KR"/>
        </w:rPr>
        <w:t xml:space="preserve">. </w:t>
      </w:r>
      <w:r w:rsidR="001B46FB" w:rsidRPr="004635E5">
        <w:rPr>
          <w:rFonts w:eastAsiaTheme="minorEastAsia"/>
          <w:sz w:val="22"/>
          <w:szCs w:val="22"/>
          <w:lang w:eastAsia="ko-KR"/>
        </w:rPr>
        <w:t xml:space="preserve">As such, PNA </w:t>
      </w:r>
      <w:r w:rsidR="0041022C" w:rsidRPr="004635E5">
        <w:rPr>
          <w:rFonts w:eastAsiaTheme="minorEastAsia"/>
          <w:sz w:val="22"/>
          <w:szCs w:val="22"/>
          <w:lang w:eastAsia="ko-KR"/>
        </w:rPr>
        <w:t xml:space="preserve">was </w:t>
      </w:r>
      <w:r w:rsidR="001B46FB" w:rsidRPr="004635E5">
        <w:rPr>
          <w:rFonts w:eastAsiaTheme="minorEastAsia"/>
          <w:sz w:val="22"/>
          <w:szCs w:val="22"/>
          <w:lang w:eastAsia="ko-KR"/>
        </w:rPr>
        <w:t xml:space="preserve">adamant that the proposed dialogue </w:t>
      </w:r>
      <w:r w:rsidR="0041022C" w:rsidRPr="004635E5">
        <w:rPr>
          <w:rFonts w:eastAsiaTheme="minorEastAsia"/>
          <w:sz w:val="22"/>
          <w:szCs w:val="22"/>
          <w:lang w:eastAsia="ko-KR"/>
        </w:rPr>
        <w:t xml:space="preserve">could </w:t>
      </w:r>
      <w:r w:rsidR="001B46FB" w:rsidRPr="004635E5">
        <w:rPr>
          <w:rFonts w:eastAsiaTheme="minorEastAsia"/>
          <w:sz w:val="22"/>
          <w:szCs w:val="22"/>
          <w:lang w:eastAsia="ko-KR"/>
        </w:rPr>
        <w:t xml:space="preserve">work </w:t>
      </w:r>
      <w:r w:rsidR="0041022C" w:rsidRPr="004635E5">
        <w:rPr>
          <w:rFonts w:eastAsiaTheme="minorEastAsia"/>
          <w:sz w:val="22"/>
          <w:szCs w:val="22"/>
          <w:lang w:eastAsia="ko-KR"/>
        </w:rPr>
        <w:t xml:space="preserve">only </w:t>
      </w:r>
      <w:r w:rsidR="001B46FB" w:rsidRPr="004635E5">
        <w:rPr>
          <w:rFonts w:eastAsiaTheme="minorEastAsia"/>
          <w:sz w:val="22"/>
          <w:szCs w:val="22"/>
          <w:lang w:eastAsia="ko-KR"/>
        </w:rPr>
        <w:t>in conjunction with the SC.</w:t>
      </w:r>
      <w:r w:rsidR="00282AB1" w:rsidRPr="004635E5">
        <w:rPr>
          <w:rFonts w:eastAsiaTheme="minorEastAsia"/>
          <w:sz w:val="22"/>
          <w:szCs w:val="22"/>
          <w:lang w:eastAsia="ko-KR"/>
        </w:rPr>
        <w:t xml:space="preserve"> </w:t>
      </w:r>
      <w:r w:rsidR="0074095E" w:rsidRPr="004635E5">
        <w:rPr>
          <w:rFonts w:eastAsiaTheme="minorEastAsia"/>
          <w:sz w:val="22"/>
          <w:szCs w:val="22"/>
          <w:lang w:eastAsia="ko-KR"/>
        </w:rPr>
        <w:t>RMI</w:t>
      </w:r>
      <w:r w:rsidR="00EC5BD9" w:rsidRPr="004635E5">
        <w:rPr>
          <w:rFonts w:eastAsiaTheme="minorEastAsia"/>
          <w:sz w:val="22"/>
          <w:szCs w:val="22"/>
          <w:lang w:eastAsia="ko-KR"/>
        </w:rPr>
        <w:t xml:space="preserve"> noted the uniqueness of the </w:t>
      </w:r>
      <w:r w:rsidR="00B5194A" w:rsidRPr="004635E5">
        <w:rPr>
          <w:rFonts w:eastAsiaTheme="minorEastAsia"/>
          <w:sz w:val="22"/>
          <w:szCs w:val="22"/>
          <w:lang w:eastAsia="ko-KR"/>
        </w:rPr>
        <w:t xml:space="preserve">WCPFC, and that the region’s fisheries </w:t>
      </w:r>
      <w:r w:rsidR="0074095E" w:rsidRPr="004635E5">
        <w:rPr>
          <w:rFonts w:eastAsiaTheme="minorEastAsia"/>
          <w:sz w:val="22"/>
          <w:szCs w:val="22"/>
          <w:lang w:eastAsia="ko-KR"/>
        </w:rPr>
        <w:t xml:space="preserve">managers </w:t>
      </w:r>
      <w:r w:rsidR="00B5194A" w:rsidRPr="004635E5">
        <w:rPr>
          <w:rFonts w:eastAsiaTheme="minorEastAsia"/>
          <w:sz w:val="22"/>
          <w:szCs w:val="22"/>
          <w:lang w:eastAsia="ko-KR"/>
        </w:rPr>
        <w:t>supported a link</w:t>
      </w:r>
      <w:r w:rsidR="0074095E" w:rsidRPr="004635E5">
        <w:rPr>
          <w:rFonts w:eastAsiaTheme="minorEastAsia"/>
          <w:sz w:val="22"/>
          <w:szCs w:val="22"/>
          <w:lang w:eastAsia="ko-KR"/>
        </w:rPr>
        <w:t xml:space="preserve"> </w:t>
      </w:r>
      <w:r w:rsidR="00B5194A" w:rsidRPr="004635E5">
        <w:rPr>
          <w:rFonts w:eastAsiaTheme="minorEastAsia"/>
          <w:sz w:val="22"/>
          <w:szCs w:val="22"/>
          <w:lang w:eastAsia="ko-KR"/>
        </w:rPr>
        <w:t xml:space="preserve">between the meeting and </w:t>
      </w:r>
      <w:r w:rsidR="0074095E" w:rsidRPr="004635E5">
        <w:rPr>
          <w:rFonts w:eastAsiaTheme="minorEastAsia"/>
          <w:sz w:val="22"/>
          <w:szCs w:val="22"/>
          <w:lang w:eastAsia="ko-KR"/>
        </w:rPr>
        <w:t xml:space="preserve">SC outcomes. </w:t>
      </w:r>
    </w:p>
    <w:p w14:paraId="5ED0656B" w14:textId="77777777" w:rsidR="0030620F" w:rsidRPr="004635E5" w:rsidRDefault="0030620F" w:rsidP="006633A8">
      <w:pPr>
        <w:autoSpaceDE w:val="0"/>
        <w:autoSpaceDN w:val="0"/>
        <w:adjustRightInd w:val="0"/>
        <w:snapToGrid w:val="0"/>
        <w:jc w:val="both"/>
        <w:rPr>
          <w:rFonts w:eastAsiaTheme="minorEastAsia"/>
          <w:sz w:val="22"/>
          <w:szCs w:val="22"/>
          <w:lang w:eastAsia="ko-KR"/>
        </w:rPr>
      </w:pPr>
    </w:p>
    <w:p w14:paraId="7BCF9E92" w14:textId="77777777" w:rsidR="008A5F85" w:rsidRPr="004635E5" w:rsidRDefault="008A5F85" w:rsidP="006633A8">
      <w:pPr>
        <w:autoSpaceDE w:val="0"/>
        <w:autoSpaceDN w:val="0"/>
        <w:adjustRightInd w:val="0"/>
        <w:snapToGrid w:val="0"/>
        <w:jc w:val="both"/>
        <w:rPr>
          <w:rFonts w:eastAsiaTheme="minorEastAsia"/>
          <w:b/>
          <w:sz w:val="22"/>
          <w:szCs w:val="22"/>
          <w:lang w:eastAsia="ko-KR"/>
        </w:rPr>
      </w:pPr>
      <w:r w:rsidRPr="004635E5">
        <w:rPr>
          <w:rFonts w:eastAsiaTheme="minorEastAsia"/>
          <w:b/>
          <w:sz w:val="22"/>
          <w:szCs w:val="22"/>
          <w:lang w:eastAsia="ko-KR"/>
        </w:rPr>
        <w:t>Recommendations</w:t>
      </w:r>
    </w:p>
    <w:p w14:paraId="67034C09" w14:textId="77777777" w:rsidR="008A5F85" w:rsidRPr="004635E5" w:rsidRDefault="008A5F85" w:rsidP="006633A8">
      <w:pPr>
        <w:autoSpaceDE w:val="0"/>
        <w:autoSpaceDN w:val="0"/>
        <w:adjustRightInd w:val="0"/>
        <w:snapToGrid w:val="0"/>
        <w:jc w:val="both"/>
        <w:rPr>
          <w:rFonts w:eastAsiaTheme="minorEastAsia"/>
          <w:sz w:val="22"/>
          <w:szCs w:val="22"/>
          <w:lang w:eastAsia="ko-KR"/>
        </w:rPr>
      </w:pPr>
    </w:p>
    <w:p w14:paraId="0488DEFF" w14:textId="77777777" w:rsidR="00282AB1" w:rsidRPr="004635E5" w:rsidRDefault="00282AB1"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Noting Paragraph 215 of the WCPFC14 Summary Report on the need for a Science-Management Dialogue</w:t>
      </w:r>
      <w:r w:rsidRPr="004635E5">
        <w:rPr>
          <w:rFonts w:eastAsiaTheme="minorEastAsia"/>
          <w:b/>
          <w:sz w:val="22"/>
          <w:szCs w:val="22"/>
          <w:lang w:val="en-AU" w:eastAsia="ko-KR"/>
        </w:rPr>
        <w:t xml:space="preserve">, </w:t>
      </w:r>
      <w:r w:rsidRPr="004635E5">
        <w:rPr>
          <w:rFonts w:eastAsiaTheme="minorEastAsia"/>
          <w:b/>
          <w:sz w:val="22"/>
          <w:szCs w:val="22"/>
          <w:lang w:eastAsia="ko-KR"/>
        </w:rPr>
        <w:t xml:space="preserve">SC14 discussed the elements to consider when formulating such a dialogue and the consultative draft </w:t>
      </w:r>
      <w:r w:rsidRPr="004635E5">
        <w:rPr>
          <w:rFonts w:eastAsiaTheme="minorEastAsia"/>
          <w:b/>
          <w:sz w:val="22"/>
          <w:szCs w:val="22"/>
          <w:lang w:val="en-AU" w:eastAsia="ko-KR"/>
        </w:rPr>
        <w:t xml:space="preserve">terms of reference </w:t>
      </w:r>
      <w:r w:rsidRPr="004635E5">
        <w:rPr>
          <w:rFonts w:eastAsiaTheme="minorEastAsia"/>
          <w:b/>
          <w:sz w:val="22"/>
          <w:szCs w:val="22"/>
          <w:lang w:val="en-NZ" w:eastAsia="ko-KR"/>
        </w:rPr>
        <w:t>(</w:t>
      </w:r>
      <w:r w:rsidRPr="004635E5">
        <w:rPr>
          <w:rFonts w:eastAsiaTheme="minorEastAsia"/>
          <w:b/>
          <w:sz w:val="22"/>
          <w:szCs w:val="22"/>
          <w:lang w:eastAsia="ko-KR"/>
        </w:rPr>
        <w:t xml:space="preserve">SC14-MI-WP-06). </w:t>
      </w:r>
      <w:r w:rsidRPr="004635E5">
        <w:rPr>
          <w:rFonts w:eastAsiaTheme="minorEastAsia"/>
          <w:b/>
          <w:sz w:val="22"/>
          <w:szCs w:val="22"/>
          <w:lang w:val="en-NZ" w:eastAsia="ko-KR"/>
        </w:rPr>
        <w:t xml:space="preserve">SC14 expressed strong support for such </w:t>
      </w:r>
      <w:r w:rsidRPr="004635E5">
        <w:rPr>
          <w:rFonts w:eastAsiaTheme="minorEastAsia"/>
          <w:b/>
          <w:sz w:val="22"/>
          <w:szCs w:val="22"/>
          <w:lang w:eastAsia="ko-KR"/>
        </w:rPr>
        <w:t xml:space="preserve">a Science-Management </w:t>
      </w:r>
      <w:r w:rsidRPr="004635E5">
        <w:rPr>
          <w:rFonts w:eastAsiaTheme="minorEastAsia"/>
          <w:b/>
          <w:sz w:val="22"/>
          <w:szCs w:val="22"/>
          <w:lang w:val="en-NZ" w:eastAsia="ko-KR"/>
        </w:rPr>
        <w:t xml:space="preserve">Dialogue to begin in 2019 in order to make expedited progress consistent with the agreed </w:t>
      </w:r>
      <w:r w:rsidRPr="004635E5">
        <w:rPr>
          <w:rFonts w:eastAsiaTheme="minorEastAsia"/>
          <w:b/>
          <w:sz w:val="22"/>
          <w:szCs w:val="22"/>
          <w:lang w:eastAsia="ko-KR"/>
        </w:rPr>
        <w:t xml:space="preserve">Harvest Strategy Work Plan and taking full advantage of the WCPFC14 recommendation to give sufficient time during SC to the work on harvest strategies. </w:t>
      </w:r>
    </w:p>
    <w:p w14:paraId="11DF9B6E" w14:textId="77777777" w:rsidR="0030620F" w:rsidRPr="004635E5" w:rsidRDefault="0030620F" w:rsidP="006633A8">
      <w:pPr>
        <w:autoSpaceDE w:val="0"/>
        <w:autoSpaceDN w:val="0"/>
        <w:adjustRightInd w:val="0"/>
        <w:snapToGrid w:val="0"/>
        <w:jc w:val="both"/>
        <w:rPr>
          <w:rFonts w:eastAsiaTheme="minorEastAsia"/>
          <w:b/>
          <w:sz w:val="22"/>
          <w:szCs w:val="22"/>
          <w:lang w:eastAsia="ko-KR"/>
        </w:rPr>
      </w:pPr>
    </w:p>
    <w:p w14:paraId="4A5A86AE" w14:textId="77777777" w:rsidR="00282AB1" w:rsidRPr="004635E5" w:rsidRDefault="00282AB1"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val="en-NZ" w:eastAsia="ko-KR"/>
        </w:rPr>
        <w:t xml:space="preserve">SC14 therefore recommends that WCPFC15 take the necessary steps to establish such a Dialogue in 2019 and consider the draft Terms of Reference provided in Attachment </w:t>
      </w:r>
      <w:r w:rsidR="00073200" w:rsidRPr="004635E5">
        <w:rPr>
          <w:rFonts w:eastAsiaTheme="minorEastAsia"/>
          <w:b/>
          <w:sz w:val="22"/>
          <w:szCs w:val="22"/>
          <w:lang w:val="en-NZ" w:eastAsia="ko-KR"/>
        </w:rPr>
        <w:t>F</w:t>
      </w:r>
      <w:r w:rsidR="00C81229" w:rsidRPr="004635E5">
        <w:rPr>
          <w:rFonts w:eastAsiaTheme="minorEastAsia"/>
          <w:b/>
          <w:sz w:val="22"/>
          <w:szCs w:val="22"/>
          <w:lang w:val="en-NZ" w:eastAsia="ko-KR"/>
        </w:rPr>
        <w:t>.</w:t>
      </w:r>
      <w:r w:rsidRPr="004635E5">
        <w:rPr>
          <w:rFonts w:eastAsiaTheme="minorEastAsia"/>
          <w:b/>
          <w:sz w:val="22"/>
          <w:szCs w:val="22"/>
          <w:lang w:val="en-NZ" w:eastAsia="ko-KR"/>
        </w:rPr>
        <w:t xml:space="preserve"> </w:t>
      </w:r>
    </w:p>
    <w:p w14:paraId="0DED9223" w14:textId="77777777" w:rsidR="0030620F" w:rsidRPr="004635E5" w:rsidRDefault="0030620F" w:rsidP="006633A8">
      <w:pPr>
        <w:autoSpaceDE w:val="0"/>
        <w:autoSpaceDN w:val="0"/>
        <w:adjustRightInd w:val="0"/>
        <w:snapToGrid w:val="0"/>
        <w:jc w:val="both"/>
        <w:rPr>
          <w:rFonts w:eastAsiaTheme="minorEastAsia"/>
          <w:b/>
          <w:sz w:val="22"/>
          <w:szCs w:val="22"/>
          <w:lang w:eastAsia="ko-KR"/>
        </w:rPr>
      </w:pPr>
    </w:p>
    <w:p w14:paraId="6E0C02C8" w14:textId="77777777" w:rsidR="00282AB1" w:rsidRPr="007C29E5" w:rsidRDefault="00282AB1"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val="en-NZ" w:eastAsia="ko-KR"/>
        </w:rPr>
        <w:t xml:space="preserve">SC14 noted that it is important for this group to possess authority to enable them to make the appropriate recommendations to the Commission. SC14 therefore recommends the Commission define the appropriate format for this group. </w:t>
      </w:r>
    </w:p>
    <w:p w14:paraId="5DD3AA17" w14:textId="77777777" w:rsidR="007C29E5" w:rsidRDefault="007C29E5" w:rsidP="007C29E5">
      <w:pPr>
        <w:pStyle w:val="ListParagraph"/>
        <w:rPr>
          <w:rFonts w:eastAsiaTheme="minorEastAsia"/>
          <w:b/>
          <w:sz w:val="22"/>
          <w:szCs w:val="22"/>
          <w:lang w:eastAsia="ko-KR"/>
        </w:rPr>
      </w:pPr>
    </w:p>
    <w:p w14:paraId="1C3122E1" w14:textId="77777777" w:rsidR="00282AB1" w:rsidRPr="004635E5" w:rsidRDefault="00282AB1"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val="en-NZ" w:eastAsia="ko-KR"/>
        </w:rPr>
        <w:t xml:space="preserve">SC14 also discussed the timing of the meeting and various options were expressed. SC14 recognised that this is a decision for WCPFC15. </w:t>
      </w:r>
    </w:p>
    <w:p w14:paraId="2413C225" w14:textId="77777777" w:rsidR="0030620F" w:rsidRPr="004635E5" w:rsidRDefault="0030620F" w:rsidP="006633A8">
      <w:pPr>
        <w:autoSpaceDE w:val="0"/>
        <w:autoSpaceDN w:val="0"/>
        <w:adjustRightInd w:val="0"/>
        <w:snapToGrid w:val="0"/>
        <w:jc w:val="both"/>
        <w:rPr>
          <w:rFonts w:eastAsiaTheme="minorEastAsia"/>
          <w:b/>
          <w:sz w:val="22"/>
          <w:szCs w:val="22"/>
          <w:lang w:eastAsia="ko-KR"/>
        </w:rPr>
      </w:pPr>
    </w:p>
    <w:p w14:paraId="250BC5F5" w14:textId="77777777" w:rsidR="00282AB1" w:rsidRPr="004635E5" w:rsidRDefault="00282AB1"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val="en-AU" w:eastAsia="ko-KR"/>
        </w:rPr>
        <w:t xml:space="preserve">SC14 </w:t>
      </w:r>
      <w:r w:rsidRPr="004635E5">
        <w:rPr>
          <w:rFonts w:eastAsiaTheme="minorEastAsia"/>
          <w:b/>
          <w:sz w:val="22"/>
          <w:szCs w:val="22"/>
          <w:lang w:eastAsia="ko-KR"/>
        </w:rPr>
        <w:t>recommends</w:t>
      </w:r>
      <w:r w:rsidRPr="004635E5">
        <w:rPr>
          <w:rFonts w:eastAsiaTheme="minorEastAsia"/>
          <w:b/>
          <w:sz w:val="22"/>
          <w:szCs w:val="22"/>
          <w:lang w:val="en-AU" w:eastAsia="ko-KR"/>
        </w:rPr>
        <w:t xml:space="preserve"> that WCPFC15 take the following elements into consideration when establishing this group:</w:t>
      </w:r>
    </w:p>
    <w:p w14:paraId="4FB60A8A" w14:textId="77777777" w:rsidR="00282AB1" w:rsidRPr="004635E5" w:rsidRDefault="00282AB1" w:rsidP="00580EA4">
      <w:pPr>
        <w:numPr>
          <w:ilvl w:val="0"/>
          <w:numId w:val="147"/>
        </w:numPr>
        <w:autoSpaceDE w:val="0"/>
        <w:autoSpaceDN w:val="0"/>
        <w:adjustRightInd w:val="0"/>
        <w:snapToGrid w:val="0"/>
        <w:jc w:val="both"/>
        <w:rPr>
          <w:rFonts w:eastAsiaTheme="minorEastAsia"/>
          <w:b/>
          <w:sz w:val="22"/>
          <w:szCs w:val="22"/>
          <w:lang w:eastAsia="ko-KR"/>
        </w:rPr>
      </w:pPr>
      <w:r w:rsidRPr="004635E5">
        <w:rPr>
          <w:rFonts w:eastAsiaTheme="minorEastAsia"/>
          <w:b/>
          <w:sz w:val="22"/>
          <w:szCs w:val="22"/>
          <w:lang w:val="en-AU" w:eastAsia="ko-KR"/>
        </w:rPr>
        <w:t xml:space="preserve">While the size of the meeting should remain manageable, at least 1 senior fishery manager per CCM and 1 scientist per CCM should be encouraged to attend. Additional scientific advisors to these managers may also attend. Also, the participation of stakeholders is important and encouraged. </w:t>
      </w:r>
    </w:p>
    <w:p w14:paraId="15BF355D" w14:textId="77777777" w:rsidR="00282AB1" w:rsidRPr="004635E5" w:rsidRDefault="00282AB1" w:rsidP="00580EA4">
      <w:pPr>
        <w:numPr>
          <w:ilvl w:val="0"/>
          <w:numId w:val="147"/>
        </w:numPr>
        <w:autoSpaceDE w:val="0"/>
        <w:autoSpaceDN w:val="0"/>
        <w:adjustRightInd w:val="0"/>
        <w:snapToGrid w:val="0"/>
        <w:jc w:val="both"/>
        <w:rPr>
          <w:rFonts w:eastAsiaTheme="minorEastAsia"/>
          <w:b/>
          <w:sz w:val="22"/>
          <w:szCs w:val="22"/>
          <w:lang w:val="en-AU" w:eastAsia="ko-KR"/>
        </w:rPr>
      </w:pPr>
      <w:r w:rsidRPr="004635E5">
        <w:rPr>
          <w:rFonts w:eastAsiaTheme="minorEastAsia"/>
          <w:b/>
          <w:sz w:val="22"/>
          <w:szCs w:val="22"/>
          <w:lang w:val="en-AU" w:eastAsia="ko-KR"/>
        </w:rPr>
        <w:t xml:space="preserve">Given the need to have informal (capacity building) and formal (decision-making) elements to the meeting, particularly in the initial stages, a 2 day meeting was the minimum meeting length believed appropriate. However, the duration of the meeting would need to be flexible based upon the agenda, which should be linked closely to the harvest strategy workplan. </w:t>
      </w:r>
    </w:p>
    <w:p w14:paraId="636EF378" w14:textId="77777777" w:rsidR="00282AB1" w:rsidRPr="004635E5" w:rsidRDefault="00282AB1" w:rsidP="00580EA4">
      <w:pPr>
        <w:numPr>
          <w:ilvl w:val="0"/>
          <w:numId w:val="147"/>
        </w:numPr>
        <w:autoSpaceDE w:val="0"/>
        <w:autoSpaceDN w:val="0"/>
        <w:adjustRightInd w:val="0"/>
        <w:snapToGrid w:val="0"/>
        <w:jc w:val="both"/>
        <w:rPr>
          <w:rFonts w:eastAsiaTheme="minorEastAsia"/>
          <w:b/>
          <w:sz w:val="22"/>
          <w:szCs w:val="22"/>
          <w:lang w:val="en-AU" w:eastAsia="ko-KR"/>
        </w:rPr>
      </w:pPr>
      <w:r w:rsidRPr="004635E5">
        <w:rPr>
          <w:rFonts w:eastAsiaTheme="minorEastAsia"/>
          <w:b/>
          <w:sz w:val="22"/>
          <w:szCs w:val="22"/>
          <w:lang w:val="en-AU" w:eastAsia="ko-KR"/>
        </w:rPr>
        <w:t xml:space="preserve">Capacity building elements of the meeting should focus on a ‘learning by doing’ approach, whereby key tuna stock and fishery results are used within the process. </w:t>
      </w:r>
    </w:p>
    <w:p w14:paraId="327F35C2" w14:textId="77777777" w:rsidR="00282AB1" w:rsidRPr="004635E5" w:rsidRDefault="00282AB1" w:rsidP="00580EA4">
      <w:pPr>
        <w:numPr>
          <w:ilvl w:val="0"/>
          <w:numId w:val="147"/>
        </w:numPr>
        <w:autoSpaceDE w:val="0"/>
        <w:autoSpaceDN w:val="0"/>
        <w:adjustRightInd w:val="0"/>
        <w:snapToGrid w:val="0"/>
        <w:jc w:val="both"/>
        <w:rPr>
          <w:rFonts w:eastAsiaTheme="minorEastAsia"/>
          <w:b/>
          <w:sz w:val="22"/>
          <w:szCs w:val="22"/>
          <w:lang w:val="en-AU" w:eastAsia="ko-KR"/>
        </w:rPr>
      </w:pPr>
      <w:r w:rsidRPr="004635E5">
        <w:rPr>
          <w:rFonts w:eastAsiaTheme="minorEastAsia"/>
          <w:b/>
          <w:sz w:val="22"/>
          <w:szCs w:val="22"/>
          <w:lang w:val="en-AU" w:eastAsia="ko-KR"/>
        </w:rPr>
        <w:t xml:space="preserve">The potential for input and facilitation by external experts was noted, and the cost implications of this should be considered. </w:t>
      </w:r>
    </w:p>
    <w:p w14:paraId="553E3448" w14:textId="77777777" w:rsidR="00282AB1" w:rsidRPr="004635E5" w:rsidRDefault="00282AB1" w:rsidP="00580EA4">
      <w:pPr>
        <w:numPr>
          <w:ilvl w:val="0"/>
          <w:numId w:val="147"/>
        </w:numPr>
        <w:autoSpaceDE w:val="0"/>
        <w:autoSpaceDN w:val="0"/>
        <w:adjustRightInd w:val="0"/>
        <w:snapToGrid w:val="0"/>
        <w:jc w:val="both"/>
        <w:rPr>
          <w:rFonts w:eastAsiaTheme="minorEastAsia"/>
          <w:b/>
          <w:sz w:val="22"/>
          <w:szCs w:val="22"/>
          <w:lang w:val="en-AU" w:eastAsia="ko-KR"/>
        </w:rPr>
      </w:pPr>
      <w:r w:rsidRPr="004635E5">
        <w:rPr>
          <w:rFonts w:eastAsiaTheme="minorEastAsia"/>
          <w:b/>
          <w:sz w:val="22"/>
          <w:szCs w:val="22"/>
          <w:lang w:val="en-AU" w:eastAsia="ko-KR"/>
        </w:rPr>
        <w:t xml:space="preserve">This group should specifically rely on information derived from SC or through SC requests, and should not change the scientific advice but may add to it from a management perspective. </w:t>
      </w:r>
    </w:p>
    <w:p w14:paraId="4E68A212" w14:textId="77777777" w:rsidR="0030620F" w:rsidRPr="004635E5" w:rsidRDefault="0030620F" w:rsidP="006633A8">
      <w:pPr>
        <w:autoSpaceDE w:val="0"/>
        <w:autoSpaceDN w:val="0"/>
        <w:adjustRightInd w:val="0"/>
        <w:snapToGrid w:val="0"/>
        <w:ind w:left="360"/>
        <w:jc w:val="both"/>
        <w:rPr>
          <w:rFonts w:eastAsiaTheme="minorEastAsia"/>
          <w:b/>
          <w:sz w:val="22"/>
          <w:szCs w:val="22"/>
          <w:lang w:val="en-AU" w:eastAsia="ko-KR"/>
        </w:rPr>
      </w:pPr>
    </w:p>
    <w:p w14:paraId="1F1E664E" w14:textId="77777777" w:rsidR="00282AB1" w:rsidRPr="004635E5" w:rsidRDefault="00282AB1"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 xml:space="preserve">SC14 also recommends that WCPFC15 adopt an appropriate name for this dialogue, such as the Harvest Strategy Development Working Group. </w:t>
      </w:r>
    </w:p>
    <w:p w14:paraId="6C478909" w14:textId="77777777" w:rsidR="0030620F" w:rsidRPr="004635E5" w:rsidRDefault="0030620F" w:rsidP="006633A8">
      <w:pPr>
        <w:autoSpaceDE w:val="0"/>
        <w:autoSpaceDN w:val="0"/>
        <w:adjustRightInd w:val="0"/>
        <w:snapToGrid w:val="0"/>
        <w:jc w:val="both"/>
        <w:rPr>
          <w:rFonts w:eastAsiaTheme="minorEastAsia"/>
          <w:b/>
          <w:sz w:val="22"/>
          <w:szCs w:val="22"/>
          <w:lang w:eastAsia="ko-KR"/>
        </w:rPr>
      </w:pPr>
    </w:p>
    <w:p w14:paraId="0F612226" w14:textId="77777777" w:rsidR="007353E1" w:rsidRPr="004635E5" w:rsidRDefault="00BE5D33" w:rsidP="00580EA4">
      <w:pPr>
        <w:pStyle w:val="SC2"/>
        <w:numPr>
          <w:ilvl w:val="1"/>
          <w:numId w:val="161"/>
        </w:numPr>
        <w:spacing w:after="0"/>
        <w:ind w:left="0" w:firstLine="0"/>
      </w:pPr>
      <w:r w:rsidRPr="004635E5">
        <w:t>Limit reference points for WCPFC</w:t>
      </w:r>
      <w:r w:rsidRPr="004635E5">
        <w:rPr>
          <w:rFonts w:eastAsiaTheme="minorEastAsia"/>
          <w:lang w:eastAsia="ko-KR"/>
        </w:rPr>
        <w:t xml:space="preserve"> sharks </w:t>
      </w:r>
    </w:p>
    <w:p w14:paraId="1C67B34B" w14:textId="77777777" w:rsidR="0030620F" w:rsidRPr="004635E5" w:rsidRDefault="0030620F" w:rsidP="006633A8">
      <w:pPr>
        <w:pStyle w:val="SC2"/>
        <w:numPr>
          <w:ilvl w:val="0"/>
          <w:numId w:val="0"/>
        </w:numPr>
        <w:spacing w:after="0"/>
        <w:ind w:left="720"/>
      </w:pPr>
    </w:p>
    <w:p w14:paraId="51561385" w14:textId="77777777" w:rsidR="007353E1" w:rsidRPr="004635E5" w:rsidRDefault="001833E1" w:rsidP="00580EA4">
      <w:pPr>
        <w:pStyle w:val="SC3"/>
        <w:numPr>
          <w:ilvl w:val="2"/>
          <w:numId w:val="161"/>
        </w:numPr>
        <w:spacing w:after="0"/>
      </w:pPr>
      <w:r w:rsidRPr="004635E5">
        <w:t>Identifying</w:t>
      </w:r>
      <w:r w:rsidRPr="004635E5">
        <w:rPr>
          <w:lang w:eastAsia="ko-KR"/>
        </w:rPr>
        <w:t xml:space="preserve"> appropriate </w:t>
      </w:r>
      <w:r w:rsidRPr="004635E5">
        <w:rPr>
          <w:rFonts w:eastAsiaTheme="minorEastAsia"/>
          <w:lang w:eastAsia="ko-KR"/>
        </w:rPr>
        <w:t>limit reference points</w:t>
      </w:r>
      <w:r w:rsidRPr="004635E5">
        <w:rPr>
          <w:lang w:eastAsia="ko-KR"/>
        </w:rPr>
        <w:t xml:space="preserve"> for elasmobranchs </w:t>
      </w:r>
      <w:r w:rsidRPr="004635E5">
        <w:rPr>
          <w:rFonts w:eastAsiaTheme="minorEastAsia"/>
          <w:lang w:eastAsia="ko-KR"/>
        </w:rPr>
        <w:t>for</w:t>
      </w:r>
      <w:r w:rsidRPr="004635E5">
        <w:rPr>
          <w:lang w:eastAsia="ko-KR"/>
        </w:rPr>
        <w:t xml:space="preserve"> the WCPFC</w:t>
      </w:r>
      <w:r w:rsidRPr="004635E5">
        <w:rPr>
          <w:rFonts w:eastAsiaTheme="minorEastAsia"/>
          <w:lang w:eastAsia="ko-KR"/>
        </w:rPr>
        <w:t xml:space="preserve"> </w:t>
      </w:r>
    </w:p>
    <w:p w14:paraId="6E37B5E5" w14:textId="77777777" w:rsidR="0030620F" w:rsidRPr="004635E5" w:rsidRDefault="0030620F" w:rsidP="006633A8">
      <w:pPr>
        <w:pStyle w:val="SC3"/>
        <w:numPr>
          <w:ilvl w:val="0"/>
          <w:numId w:val="0"/>
        </w:numPr>
        <w:spacing w:after="0"/>
        <w:ind w:left="1440"/>
      </w:pPr>
    </w:p>
    <w:p w14:paraId="6A4A1790" w14:textId="77777777" w:rsidR="00B312EE" w:rsidRPr="004635E5" w:rsidRDefault="004E5F7B" w:rsidP="00580EA4">
      <w:pPr>
        <w:numPr>
          <w:ilvl w:val="0"/>
          <w:numId w:val="18"/>
        </w:numPr>
        <w:autoSpaceDE w:val="0"/>
        <w:autoSpaceDN w:val="0"/>
        <w:adjustRightInd w:val="0"/>
        <w:snapToGrid w:val="0"/>
        <w:ind w:left="0" w:firstLine="0"/>
        <w:jc w:val="both"/>
        <w:rPr>
          <w:sz w:val="22"/>
          <w:szCs w:val="22"/>
        </w:rPr>
      </w:pPr>
      <w:r w:rsidRPr="004635E5">
        <w:rPr>
          <w:sz w:val="22"/>
          <w:szCs w:val="22"/>
          <w:lang w:bidi="th-TH"/>
        </w:rPr>
        <w:t>S. Zhou</w:t>
      </w:r>
      <w:r w:rsidR="00F81EF0">
        <w:rPr>
          <w:sz w:val="22"/>
          <w:szCs w:val="22"/>
          <w:lang w:bidi="th-TH"/>
        </w:rPr>
        <w:t xml:space="preserve"> </w:t>
      </w:r>
      <w:r w:rsidRPr="004635E5">
        <w:rPr>
          <w:sz w:val="22"/>
          <w:szCs w:val="22"/>
          <w:lang w:bidi="th-TH"/>
        </w:rPr>
        <w:t xml:space="preserve">introduced </w:t>
      </w:r>
      <w:r w:rsidR="005B795A" w:rsidRPr="004635E5">
        <w:rPr>
          <w:sz w:val="22"/>
          <w:szCs w:val="22"/>
          <w:lang w:bidi="th-TH"/>
        </w:rPr>
        <w:t xml:space="preserve">SC14-MI-WP-07 </w:t>
      </w:r>
      <w:r w:rsidR="005B795A" w:rsidRPr="004635E5">
        <w:rPr>
          <w:i/>
          <w:sz w:val="22"/>
          <w:szCs w:val="22"/>
        </w:rPr>
        <w:t>Identifying appropriate reference points for elasmobranchs within the WCPFC</w:t>
      </w:r>
      <w:r w:rsidRPr="004635E5">
        <w:rPr>
          <w:i/>
          <w:sz w:val="22"/>
          <w:szCs w:val="22"/>
        </w:rPr>
        <w:t>.</w:t>
      </w:r>
      <w:r w:rsidR="0044655A" w:rsidRPr="004635E5">
        <w:rPr>
          <w:sz w:val="22"/>
          <w:szCs w:val="22"/>
        </w:rPr>
        <w:t xml:space="preserve"> </w:t>
      </w:r>
      <w:r w:rsidR="00B312EE" w:rsidRPr="004635E5">
        <w:rPr>
          <w:rFonts w:eastAsia="Calibri"/>
          <w:sz w:val="22"/>
          <w:szCs w:val="22"/>
          <w:lang w:val="en-AU"/>
        </w:rPr>
        <w:t xml:space="preserve">Elasmobranch species are bycatch in fisheries managed by WCPFC. These species have limited fishery-dependent data and biological information. Traditional stock assessment cannot be performed for most of the stocks. Assessment using alternative approaches has become a priority research project. </w:t>
      </w:r>
      <w:r w:rsidR="0041022C" w:rsidRPr="004635E5">
        <w:rPr>
          <w:rFonts w:eastAsia="Calibri"/>
          <w:sz w:val="22"/>
          <w:szCs w:val="22"/>
          <w:lang w:val="en-AU"/>
        </w:rPr>
        <w:t xml:space="preserve">SC10-MI-WP-07 </w:t>
      </w:r>
      <w:r w:rsidR="00B312EE" w:rsidRPr="004635E5">
        <w:rPr>
          <w:rFonts w:eastAsia="Calibri"/>
          <w:sz w:val="22"/>
          <w:szCs w:val="22"/>
          <w:lang w:val="en-AU"/>
        </w:rPr>
        <w:t>reviewed appropriate LRPs for WCPFC elasmobranchs and provided a conceptual framework for selecting appropriate LRPs. In 2015 an expert panel held a workshop to identify the most appropriate life history data to be used in calculating the risk-based LRPs. The panel compiled and reviewed a worldwide database of over 270 studies on 16 WCPFC elasmobranch stocks.</w:t>
      </w:r>
    </w:p>
    <w:p w14:paraId="3776D571" w14:textId="77777777" w:rsidR="0030620F" w:rsidRPr="004635E5" w:rsidRDefault="0030620F" w:rsidP="006633A8">
      <w:pPr>
        <w:autoSpaceDE w:val="0"/>
        <w:autoSpaceDN w:val="0"/>
        <w:adjustRightInd w:val="0"/>
        <w:snapToGrid w:val="0"/>
        <w:jc w:val="both"/>
        <w:rPr>
          <w:sz w:val="22"/>
          <w:szCs w:val="22"/>
        </w:rPr>
      </w:pPr>
    </w:p>
    <w:p w14:paraId="64E719A1" w14:textId="77777777" w:rsidR="00B312EE" w:rsidRPr="004635E5" w:rsidRDefault="00B312EE" w:rsidP="00580EA4">
      <w:pPr>
        <w:numPr>
          <w:ilvl w:val="0"/>
          <w:numId w:val="18"/>
        </w:numPr>
        <w:autoSpaceDE w:val="0"/>
        <w:autoSpaceDN w:val="0"/>
        <w:adjustRightInd w:val="0"/>
        <w:snapToGrid w:val="0"/>
        <w:ind w:left="0" w:firstLine="0"/>
        <w:jc w:val="both"/>
        <w:rPr>
          <w:rFonts w:eastAsia="Calibri"/>
          <w:sz w:val="22"/>
          <w:szCs w:val="22"/>
          <w:lang w:val="en-AU"/>
        </w:rPr>
      </w:pPr>
      <w:r w:rsidRPr="004635E5">
        <w:rPr>
          <w:rFonts w:eastAsia="Calibri"/>
          <w:sz w:val="22"/>
          <w:szCs w:val="22"/>
          <w:lang w:val="en-AU"/>
        </w:rPr>
        <w:t>The current study continues the previous work. The report contains several components related to reference point development. In the first section, we apply a total of four methods and use the data in the expert panel report to estimate fishing mortality-based reference points (</w:t>
      </w:r>
      <w:r w:rsidRPr="004635E5">
        <w:rPr>
          <w:rFonts w:eastAsia="Calibri"/>
          <w:i/>
          <w:iCs/>
          <w:sz w:val="22"/>
          <w:szCs w:val="22"/>
          <w:lang w:val="en-AU"/>
        </w:rPr>
        <w:t>FRPs</w:t>
      </w:r>
      <w:r w:rsidRPr="004635E5">
        <w:rPr>
          <w:rFonts w:eastAsia="Calibri"/>
          <w:sz w:val="22"/>
          <w:szCs w:val="22"/>
          <w:lang w:val="en-AU"/>
        </w:rPr>
        <w:t xml:space="preserve">). As natural mortality M is a key variable in three of the four methods, we start with M estimation by using six M estimators as well as adopting M values from the literature. The four methods are: an empirical relationship between </w:t>
      </w:r>
      <w:r w:rsidRPr="004635E5">
        <w:rPr>
          <w:rFonts w:eastAsia="Calibri"/>
          <w:i/>
          <w:iCs/>
          <w:sz w:val="22"/>
          <w:szCs w:val="22"/>
          <w:lang w:val="en-AU"/>
        </w:rPr>
        <w:t xml:space="preserve">FRPs </w:t>
      </w:r>
      <w:r w:rsidRPr="004635E5">
        <w:rPr>
          <w:rFonts w:eastAsia="Calibri"/>
          <w:sz w:val="22"/>
          <w:szCs w:val="22"/>
          <w:lang w:val="en-AU"/>
        </w:rPr>
        <w:t xml:space="preserve">and life history parameters, demographic analysis, the intrinsic population growth rate from literature, and the spawning per recruit (SPR) approach. Comparison among the seven M estimators shows that the estimator based on maximum life span </w:t>
      </w:r>
      <w:r w:rsidRPr="004635E5">
        <w:rPr>
          <w:rFonts w:eastAsia="Calibri"/>
          <w:i/>
          <w:iCs/>
          <w:sz w:val="22"/>
          <w:szCs w:val="22"/>
          <w:lang w:val="en-AU"/>
        </w:rPr>
        <w:t xml:space="preserve">tmax </w:t>
      </w:r>
      <w:r w:rsidRPr="004635E5">
        <w:rPr>
          <w:rFonts w:eastAsia="Calibri"/>
          <w:sz w:val="22"/>
          <w:szCs w:val="22"/>
          <w:lang w:val="en-AU"/>
        </w:rPr>
        <w:t xml:space="preserve">and the estimator based on the von Bertalanffy growth function (VBGF, </w:t>
      </w:r>
      <w:r w:rsidRPr="004635E5">
        <w:rPr>
          <w:rFonts w:eastAsia="Calibri"/>
          <w:i/>
          <w:iCs/>
          <w:sz w:val="22"/>
          <w:szCs w:val="22"/>
          <w:lang w:val="en-AU"/>
        </w:rPr>
        <w:t xml:space="preserve">K </w:t>
      </w:r>
      <w:r w:rsidRPr="004635E5">
        <w:rPr>
          <w:rFonts w:eastAsia="Calibri"/>
          <w:sz w:val="22"/>
          <w:szCs w:val="22"/>
          <w:lang w:val="en-AU"/>
        </w:rPr>
        <w:t xml:space="preserve">and </w:t>
      </w:r>
      <w:r w:rsidRPr="004635E5">
        <w:rPr>
          <w:rFonts w:eastAsia="Calibri"/>
          <w:i/>
          <w:iCs/>
          <w:sz w:val="22"/>
          <w:szCs w:val="22"/>
          <w:lang w:val="en-AU"/>
        </w:rPr>
        <w:t>Linf</w:t>
      </w:r>
      <w:r w:rsidRPr="004635E5">
        <w:rPr>
          <w:rFonts w:eastAsia="Calibri"/>
          <w:sz w:val="22"/>
          <w:szCs w:val="22"/>
          <w:lang w:val="en-AU"/>
        </w:rPr>
        <w:t xml:space="preserve">) differ markedly from other estimators for most stocks. On average, M from </w:t>
      </w:r>
      <w:r w:rsidRPr="004635E5">
        <w:rPr>
          <w:rFonts w:eastAsia="Calibri"/>
          <w:i/>
          <w:iCs/>
          <w:sz w:val="22"/>
          <w:szCs w:val="22"/>
          <w:lang w:val="en-AU"/>
        </w:rPr>
        <w:t xml:space="preserve">tmax </w:t>
      </w:r>
      <w:r w:rsidRPr="004635E5">
        <w:rPr>
          <w:rFonts w:eastAsia="Calibri"/>
          <w:sz w:val="22"/>
          <w:szCs w:val="22"/>
          <w:lang w:val="en-AU"/>
        </w:rPr>
        <w:t xml:space="preserve">is 1.45 times higher than the mean value from all seven approaches. In contrast, M based on VBGF is only 0.73 times of the average. We provide three reference points, </w:t>
      </w:r>
      <w:r w:rsidRPr="004635E5">
        <w:rPr>
          <w:rFonts w:eastAsia="Calibri"/>
          <w:i/>
          <w:iCs/>
          <w:sz w:val="22"/>
          <w:szCs w:val="22"/>
          <w:lang w:val="en-AU"/>
        </w:rPr>
        <w:t>Fmsm</w:t>
      </w:r>
      <w:r w:rsidRPr="004635E5">
        <w:rPr>
          <w:rFonts w:eastAsia="Calibri"/>
          <w:sz w:val="22"/>
          <w:szCs w:val="22"/>
          <w:lang w:val="en-AU"/>
        </w:rPr>
        <w:t xml:space="preserve">, </w:t>
      </w:r>
      <w:r w:rsidRPr="004635E5">
        <w:rPr>
          <w:rFonts w:eastAsia="Calibri"/>
          <w:i/>
          <w:iCs/>
          <w:sz w:val="22"/>
          <w:szCs w:val="22"/>
          <w:lang w:val="en-AU"/>
        </w:rPr>
        <w:t>Flim</w:t>
      </w:r>
      <w:r w:rsidRPr="004635E5">
        <w:rPr>
          <w:rFonts w:eastAsia="Calibri"/>
          <w:sz w:val="22"/>
          <w:szCs w:val="22"/>
          <w:lang w:val="en-AU"/>
        </w:rPr>
        <w:t xml:space="preserve">, and </w:t>
      </w:r>
      <w:r w:rsidRPr="004635E5">
        <w:rPr>
          <w:rFonts w:eastAsia="Calibri"/>
          <w:i/>
          <w:iCs/>
          <w:sz w:val="22"/>
          <w:szCs w:val="22"/>
          <w:lang w:val="en-AU"/>
        </w:rPr>
        <w:t>Fcrash</w:t>
      </w:r>
      <w:r w:rsidRPr="004635E5">
        <w:rPr>
          <w:rFonts w:eastAsia="Calibri"/>
          <w:sz w:val="22"/>
          <w:szCs w:val="22"/>
          <w:lang w:val="en-AU"/>
        </w:rPr>
        <w:t xml:space="preserve">. As expected, the estimated values are similar between multiple methods (i.e. 2 to 4 methods depending on available data) in some stocks but vary considerably in other stocks. Because of a lack of selectivity and maturity information, the SPR approach is applied to only three stocks. It is difficult to determine what percentage of SPR is appropriate for elasmobranchs and how it corresponds to the three </w:t>
      </w:r>
      <w:r w:rsidRPr="004635E5">
        <w:rPr>
          <w:rFonts w:eastAsia="Calibri"/>
          <w:i/>
          <w:iCs/>
          <w:sz w:val="22"/>
          <w:szCs w:val="22"/>
          <w:lang w:val="en-AU"/>
        </w:rPr>
        <w:t>FRPs</w:t>
      </w:r>
      <w:r w:rsidRPr="004635E5">
        <w:rPr>
          <w:rFonts w:eastAsia="Calibri"/>
          <w:sz w:val="22"/>
          <w:szCs w:val="22"/>
          <w:lang w:val="en-AU"/>
        </w:rPr>
        <w:t>, so this approach has limited value. Given the fact that the WCPFC has adopted a benchmark 20%</w:t>
      </w:r>
      <w:r w:rsidR="002E39E9" w:rsidRPr="004635E5">
        <w:rPr>
          <w:rFonts w:eastAsia="Calibri"/>
          <w:sz w:val="22"/>
          <w:szCs w:val="22"/>
          <w:lang w:val="en-AU"/>
        </w:rPr>
        <w:t xml:space="preserve"> </w:t>
      </w:r>
      <w:r w:rsidRPr="004635E5">
        <w:rPr>
          <w:rFonts w:eastAsia="Calibri"/>
          <w:i/>
          <w:iCs/>
          <w:sz w:val="22"/>
          <w:szCs w:val="22"/>
          <w:lang w:val="en-AU"/>
        </w:rPr>
        <w:t xml:space="preserve">SBdynamic10, unfished </w:t>
      </w:r>
      <w:r w:rsidRPr="004635E5">
        <w:rPr>
          <w:rFonts w:eastAsia="Calibri"/>
          <w:sz w:val="22"/>
          <w:szCs w:val="22"/>
          <w:lang w:val="en-AU"/>
        </w:rPr>
        <w:t xml:space="preserve">as the limit biomass reference point for target species, we recommend using the </w:t>
      </w:r>
      <w:r w:rsidRPr="004635E5">
        <w:rPr>
          <w:rFonts w:eastAsia="Calibri"/>
          <w:i/>
          <w:iCs/>
          <w:sz w:val="22"/>
          <w:szCs w:val="22"/>
          <w:lang w:val="en-AU"/>
        </w:rPr>
        <w:t xml:space="preserve">FRPs </w:t>
      </w:r>
      <w:r w:rsidRPr="004635E5">
        <w:rPr>
          <w:rFonts w:eastAsia="Calibri"/>
          <w:sz w:val="22"/>
          <w:szCs w:val="22"/>
          <w:lang w:val="en-AU"/>
        </w:rPr>
        <w:t xml:space="preserve">combined from the three methods and adopted combined </w:t>
      </w:r>
      <w:r w:rsidRPr="004635E5">
        <w:rPr>
          <w:rFonts w:eastAsia="Calibri"/>
          <w:i/>
          <w:iCs/>
          <w:sz w:val="22"/>
          <w:szCs w:val="22"/>
          <w:lang w:val="en-AU"/>
        </w:rPr>
        <w:t xml:space="preserve">Flim </w:t>
      </w:r>
      <w:r w:rsidRPr="004635E5">
        <w:rPr>
          <w:rFonts w:eastAsia="Calibri"/>
          <w:sz w:val="22"/>
          <w:szCs w:val="22"/>
          <w:lang w:val="en-AU"/>
        </w:rPr>
        <w:t>(</w:t>
      </w:r>
      <w:r w:rsidRPr="004635E5">
        <w:rPr>
          <w:rFonts w:eastAsia="Calibri"/>
          <w:i/>
          <w:iCs/>
          <w:sz w:val="22"/>
          <w:szCs w:val="22"/>
          <w:lang w:val="en-AU"/>
        </w:rPr>
        <w:t>cFlim</w:t>
      </w:r>
      <w:r w:rsidRPr="004635E5">
        <w:rPr>
          <w:rFonts w:eastAsia="Calibri"/>
          <w:sz w:val="22"/>
          <w:szCs w:val="22"/>
          <w:lang w:val="en-AU"/>
        </w:rPr>
        <w:t>) as LRP for elasmobranchs.</w:t>
      </w:r>
    </w:p>
    <w:p w14:paraId="10CF1D91" w14:textId="77777777" w:rsidR="006D68CB" w:rsidRPr="004635E5" w:rsidRDefault="006D68CB" w:rsidP="006633A8">
      <w:pPr>
        <w:autoSpaceDE w:val="0"/>
        <w:autoSpaceDN w:val="0"/>
        <w:adjustRightInd w:val="0"/>
        <w:snapToGrid w:val="0"/>
        <w:jc w:val="both"/>
        <w:rPr>
          <w:rFonts w:eastAsia="Calibri"/>
          <w:sz w:val="22"/>
          <w:szCs w:val="22"/>
          <w:lang w:val="en-AU"/>
        </w:rPr>
      </w:pPr>
    </w:p>
    <w:p w14:paraId="74AE029D" w14:textId="77777777" w:rsidR="00B312EE" w:rsidRPr="004635E5" w:rsidRDefault="00B312EE" w:rsidP="00580EA4">
      <w:pPr>
        <w:numPr>
          <w:ilvl w:val="0"/>
          <w:numId w:val="18"/>
        </w:numPr>
        <w:autoSpaceDE w:val="0"/>
        <w:autoSpaceDN w:val="0"/>
        <w:adjustRightInd w:val="0"/>
        <w:snapToGrid w:val="0"/>
        <w:ind w:left="0" w:firstLine="0"/>
        <w:jc w:val="both"/>
        <w:rPr>
          <w:rFonts w:eastAsia="Calibri"/>
          <w:sz w:val="22"/>
          <w:szCs w:val="22"/>
          <w:lang w:val="en-AU"/>
        </w:rPr>
      </w:pPr>
      <w:r w:rsidRPr="004635E5">
        <w:rPr>
          <w:rFonts w:eastAsia="Calibri"/>
          <w:sz w:val="22"/>
          <w:szCs w:val="22"/>
          <w:lang w:val="en-AU"/>
        </w:rPr>
        <w:t>In the second section, we review some potential methods for estimating fishing mortality for data poor species, including formal stock assessment, area-based ERA methods, age-based methods, and length-based methods. We focus on the area-based methods, as varying versions, tailored for varying data availability, have been developed and have been applied to three WCPFC species. This group of methods can be flexibly modified to suit the available data. To be consistent, this method is recommended for other data-poor WCPFC species.</w:t>
      </w:r>
    </w:p>
    <w:p w14:paraId="52A7310D" w14:textId="77777777" w:rsidR="0030620F" w:rsidRPr="004635E5" w:rsidRDefault="0030620F" w:rsidP="006633A8">
      <w:pPr>
        <w:autoSpaceDE w:val="0"/>
        <w:autoSpaceDN w:val="0"/>
        <w:adjustRightInd w:val="0"/>
        <w:snapToGrid w:val="0"/>
        <w:jc w:val="both"/>
        <w:rPr>
          <w:rFonts w:eastAsia="Calibri"/>
          <w:sz w:val="22"/>
          <w:szCs w:val="22"/>
          <w:lang w:val="en-AU"/>
        </w:rPr>
      </w:pPr>
    </w:p>
    <w:p w14:paraId="7311AED7" w14:textId="77777777" w:rsidR="00957725" w:rsidRPr="004635E5" w:rsidRDefault="007353E1" w:rsidP="006633A8">
      <w:pPr>
        <w:pStyle w:val="ListParagraph"/>
        <w:adjustRightInd w:val="0"/>
        <w:snapToGrid w:val="0"/>
        <w:ind w:left="0"/>
        <w:jc w:val="both"/>
        <w:rPr>
          <w:b/>
          <w:vanish/>
          <w:sz w:val="22"/>
          <w:szCs w:val="22"/>
          <w:lang w:eastAsia="ko-KR"/>
        </w:rPr>
      </w:pPr>
      <w:r w:rsidRPr="004635E5">
        <w:rPr>
          <w:b/>
          <w:vanish/>
          <w:sz w:val="22"/>
          <w:szCs w:val="22"/>
          <w:lang w:eastAsia="ko-KR"/>
        </w:rPr>
        <w:t>Discussion</w:t>
      </w:r>
    </w:p>
    <w:p w14:paraId="086D5642" w14:textId="77777777" w:rsidR="0030620F" w:rsidRPr="004635E5" w:rsidRDefault="0030620F" w:rsidP="006633A8">
      <w:pPr>
        <w:pStyle w:val="ListParagraph"/>
        <w:adjustRightInd w:val="0"/>
        <w:snapToGrid w:val="0"/>
        <w:ind w:left="0"/>
        <w:jc w:val="both"/>
        <w:rPr>
          <w:b/>
          <w:vanish/>
          <w:sz w:val="22"/>
          <w:szCs w:val="22"/>
          <w:lang w:eastAsia="ko-KR"/>
        </w:rPr>
      </w:pPr>
    </w:p>
    <w:p w14:paraId="6592E808" w14:textId="77777777" w:rsidR="00E44FB9" w:rsidRPr="004635E5" w:rsidRDefault="004E5F7B" w:rsidP="00580EA4">
      <w:pPr>
        <w:numPr>
          <w:ilvl w:val="0"/>
          <w:numId w:val="18"/>
        </w:numPr>
        <w:autoSpaceDE w:val="0"/>
        <w:autoSpaceDN w:val="0"/>
        <w:adjustRightInd w:val="0"/>
        <w:snapToGrid w:val="0"/>
        <w:ind w:left="0" w:firstLine="0"/>
        <w:jc w:val="both"/>
        <w:rPr>
          <w:rFonts w:eastAsia="Calibri"/>
          <w:sz w:val="22"/>
          <w:szCs w:val="22"/>
          <w:lang w:val="en-AU"/>
        </w:rPr>
      </w:pPr>
      <w:r w:rsidRPr="004635E5">
        <w:rPr>
          <w:rFonts w:eastAsia="Calibri"/>
          <w:sz w:val="22"/>
          <w:szCs w:val="22"/>
          <w:lang w:val="en-AU"/>
        </w:rPr>
        <w:t>Kiribati</w:t>
      </w:r>
      <w:r w:rsidR="0041022C" w:rsidRPr="004635E5">
        <w:rPr>
          <w:rFonts w:eastAsia="Calibri"/>
          <w:sz w:val="22"/>
          <w:szCs w:val="22"/>
          <w:lang w:val="en-AU"/>
        </w:rPr>
        <w:t>,</w:t>
      </w:r>
      <w:r w:rsidRPr="004635E5">
        <w:rPr>
          <w:rFonts w:eastAsia="Calibri"/>
          <w:sz w:val="22"/>
          <w:szCs w:val="22"/>
          <w:lang w:val="en-AU"/>
        </w:rPr>
        <w:t xml:space="preserve"> on behalf of </w:t>
      </w:r>
      <w:r w:rsidR="00E44FB9" w:rsidRPr="004635E5">
        <w:rPr>
          <w:rFonts w:eastAsia="Calibri"/>
          <w:sz w:val="22"/>
          <w:szCs w:val="22"/>
          <w:lang w:val="en-AU"/>
        </w:rPr>
        <w:t>FFA members</w:t>
      </w:r>
      <w:r w:rsidR="0041022C" w:rsidRPr="004635E5">
        <w:rPr>
          <w:rFonts w:eastAsia="Calibri"/>
          <w:sz w:val="22"/>
          <w:szCs w:val="22"/>
          <w:lang w:val="en-AU"/>
        </w:rPr>
        <w:t>,</w:t>
      </w:r>
      <w:r w:rsidR="00E44FB9" w:rsidRPr="004635E5">
        <w:rPr>
          <w:rFonts w:eastAsia="Calibri"/>
          <w:sz w:val="22"/>
          <w:szCs w:val="22"/>
          <w:lang w:val="en-AU"/>
        </w:rPr>
        <w:t xml:space="preserve"> thank</w:t>
      </w:r>
      <w:r w:rsidRPr="004635E5">
        <w:rPr>
          <w:rFonts w:eastAsia="Calibri"/>
          <w:sz w:val="22"/>
          <w:szCs w:val="22"/>
          <w:lang w:val="en-AU"/>
        </w:rPr>
        <w:t>ed</w:t>
      </w:r>
      <w:r w:rsidR="00E44FB9" w:rsidRPr="004635E5">
        <w:rPr>
          <w:rFonts w:eastAsia="Calibri"/>
          <w:sz w:val="22"/>
          <w:szCs w:val="22"/>
          <w:lang w:val="en-AU"/>
        </w:rPr>
        <w:t xml:space="preserve"> CSIRO and NIWA for providing the paper</w:t>
      </w:r>
      <w:r w:rsidR="0041022C" w:rsidRPr="004635E5">
        <w:rPr>
          <w:rFonts w:eastAsia="Calibri"/>
          <w:sz w:val="22"/>
          <w:szCs w:val="22"/>
          <w:lang w:val="en-AU"/>
        </w:rPr>
        <w:t>,</w:t>
      </w:r>
      <w:r w:rsidR="00E44FB9" w:rsidRPr="004635E5">
        <w:rPr>
          <w:rFonts w:eastAsia="Calibri"/>
          <w:sz w:val="22"/>
          <w:szCs w:val="22"/>
          <w:lang w:val="en-AU"/>
        </w:rPr>
        <w:t xml:space="preserve"> and agree</w:t>
      </w:r>
      <w:r w:rsidR="0041022C" w:rsidRPr="004635E5">
        <w:rPr>
          <w:rFonts w:eastAsia="Calibri"/>
          <w:sz w:val="22"/>
          <w:szCs w:val="22"/>
          <w:lang w:val="en-AU"/>
        </w:rPr>
        <w:t>d</w:t>
      </w:r>
      <w:r w:rsidR="00E44FB9" w:rsidRPr="004635E5">
        <w:rPr>
          <w:rFonts w:eastAsia="Calibri"/>
          <w:sz w:val="22"/>
          <w:szCs w:val="22"/>
          <w:lang w:val="en-AU"/>
        </w:rPr>
        <w:t xml:space="preserve"> </w:t>
      </w:r>
      <w:r w:rsidR="0041022C" w:rsidRPr="004635E5">
        <w:rPr>
          <w:rFonts w:eastAsia="Calibri"/>
          <w:sz w:val="22"/>
          <w:szCs w:val="22"/>
          <w:lang w:val="en-AU"/>
        </w:rPr>
        <w:t xml:space="preserve">with the authors </w:t>
      </w:r>
      <w:r w:rsidR="00E44FB9" w:rsidRPr="004635E5">
        <w:rPr>
          <w:rFonts w:eastAsia="Calibri"/>
          <w:sz w:val="22"/>
          <w:szCs w:val="22"/>
          <w:lang w:val="en-AU"/>
        </w:rPr>
        <w:t xml:space="preserve">that the work </w:t>
      </w:r>
      <w:r w:rsidR="0041022C" w:rsidRPr="004635E5">
        <w:rPr>
          <w:rFonts w:eastAsia="Calibri"/>
          <w:sz w:val="22"/>
          <w:szCs w:val="22"/>
          <w:lang w:val="en-AU"/>
        </w:rPr>
        <w:t xml:space="preserve">was </w:t>
      </w:r>
      <w:r w:rsidR="00E44FB9" w:rsidRPr="004635E5">
        <w:rPr>
          <w:rFonts w:eastAsia="Calibri"/>
          <w:sz w:val="22"/>
          <w:szCs w:val="22"/>
          <w:lang w:val="en-AU"/>
        </w:rPr>
        <w:t>incomplete</w:t>
      </w:r>
      <w:r w:rsidR="0041022C" w:rsidRPr="004635E5">
        <w:rPr>
          <w:rFonts w:eastAsia="Calibri"/>
          <w:sz w:val="22"/>
          <w:szCs w:val="22"/>
          <w:lang w:val="en-AU"/>
        </w:rPr>
        <w:t>,</w:t>
      </w:r>
      <w:r w:rsidR="00E44FB9" w:rsidRPr="004635E5">
        <w:rPr>
          <w:rFonts w:eastAsia="Calibri"/>
          <w:sz w:val="22"/>
          <w:szCs w:val="22"/>
          <w:lang w:val="en-AU"/>
        </w:rPr>
        <w:t xml:space="preserve"> and </w:t>
      </w:r>
      <w:r w:rsidR="0041022C" w:rsidRPr="004635E5">
        <w:rPr>
          <w:rFonts w:eastAsia="Calibri"/>
          <w:sz w:val="22"/>
          <w:szCs w:val="22"/>
          <w:lang w:val="en-AU"/>
        </w:rPr>
        <w:t xml:space="preserve">the </w:t>
      </w:r>
      <w:r w:rsidR="00E44FB9" w:rsidRPr="004635E5">
        <w:rPr>
          <w:rFonts w:eastAsia="Calibri"/>
          <w:sz w:val="22"/>
          <w:szCs w:val="22"/>
          <w:lang w:val="en-AU"/>
        </w:rPr>
        <w:t xml:space="preserve">results should be considered preliminary. </w:t>
      </w:r>
      <w:r w:rsidR="0041022C" w:rsidRPr="004635E5">
        <w:rPr>
          <w:rFonts w:eastAsia="Calibri"/>
          <w:sz w:val="22"/>
          <w:szCs w:val="22"/>
          <w:lang w:val="en-AU"/>
        </w:rPr>
        <w:t xml:space="preserve">Regarding </w:t>
      </w:r>
      <w:r w:rsidR="00E44FB9" w:rsidRPr="004635E5">
        <w:rPr>
          <w:rFonts w:eastAsia="Calibri"/>
          <w:sz w:val="22"/>
          <w:szCs w:val="22"/>
          <w:lang w:val="en-AU"/>
        </w:rPr>
        <w:t>the initial work presented</w:t>
      </w:r>
      <w:r w:rsidR="0041022C" w:rsidRPr="004635E5">
        <w:rPr>
          <w:rFonts w:eastAsia="Calibri"/>
          <w:sz w:val="22"/>
          <w:szCs w:val="22"/>
          <w:lang w:val="en-AU"/>
        </w:rPr>
        <w:t>, they noted t</w:t>
      </w:r>
      <w:r w:rsidR="00E44FB9" w:rsidRPr="004635E5">
        <w:rPr>
          <w:rFonts w:eastAsia="Calibri"/>
          <w:sz w:val="22"/>
          <w:szCs w:val="22"/>
          <w:lang w:val="en-AU"/>
        </w:rPr>
        <w:t xml:space="preserve">he report states </w:t>
      </w:r>
      <w:r w:rsidR="0041022C" w:rsidRPr="004635E5">
        <w:rPr>
          <w:rFonts w:eastAsia="Calibri"/>
          <w:sz w:val="22"/>
          <w:szCs w:val="22"/>
          <w:lang w:val="en-AU"/>
        </w:rPr>
        <w:t xml:space="preserve">that </w:t>
      </w:r>
      <w:r w:rsidR="00E44FB9" w:rsidRPr="004635E5">
        <w:rPr>
          <w:rFonts w:eastAsia="Calibri"/>
          <w:sz w:val="22"/>
          <w:szCs w:val="22"/>
          <w:lang w:val="en-AU"/>
        </w:rPr>
        <w:t>for bycatch species a</w:t>
      </w:r>
      <w:r w:rsidR="0041022C" w:rsidRPr="004635E5">
        <w:rPr>
          <w:rFonts w:eastAsia="Calibri"/>
          <w:sz w:val="22"/>
          <w:szCs w:val="22"/>
          <w:lang w:val="en-AU"/>
        </w:rPr>
        <w:t>n</w:t>
      </w:r>
      <w:r w:rsidR="00E44FB9" w:rsidRPr="004635E5">
        <w:rPr>
          <w:rFonts w:eastAsia="Calibri"/>
          <w:sz w:val="22"/>
          <w:szCs w:val="22"/>
          <w:lang w:val="en-AU"/>
        </w:rPr>
        <w:t xml:space="preserve"> </w:t>
      </w:r>
      <w:r w:rsidR="0041022C" w:rsidRPr="004635E5">
        <w:rPr>
          <w:rFonts w:eastAsia="Calibri"/>
          <w:sz w:val="22"/>
          <w:szCs w:val="22"/>
          <w:lang w:val="en-AU"/>
        </w:rPr>
        <w:t xml:space="preserve">LRP </w:t>
      </w:r>
      <w:r w:rsidR="00E44FB9" w:rsidRPr="004635E5">
        <w:rPr>
          <w:rFonts w:eastAsia="Calibri"/>
          <w:sz w:val="22"/>
          <w:szCs w:val="22"/>
          <w:lang w:val="en-AU"/>
        </w:rPr>
        <w:t>is essentially the acceptable level of risk to sustainability</w:t>
      </w:r>
      <w:r w:rsidR="00A16680" w:rsidRPr="004635E5">
        <w:rPr>
          <w:rFonts w:eastAsia="Calibri"/>
          <w:sz w:val="22"/>
          <w:szCs w:val="22"/>
          <w:lang w:val="en-AU"/>
        </w:rPr>
        <w:t xml:space="preserve">. </w:t>
      </w:r>
      <w:r w:rsidR="00E44FB9" w:rsidRPr="004635E5">
        <w:rPr>
          <w:rFonts w:eastAsia="Calibri"/>
          <w:sz w:val="22"/>
          <w:szCs w:val="22"/>
          <w:lang w:val="en-AU"/>
        </w:rPr>
        <w:t>FFA members consider</w:t>
      </w:r>
      <w:r w:rsidR="0041022C" w:rsidRPr="004635E5">
        <w:rPr>
          <w:rFonts w:eastAsia="Calibri"/>
          <w:sz w:val="22"/>
          <w:szCs w:val="22"/>
          <w:lang w:val="en-AU"/>
        </w:rPr>
        <w:t>ed</w:t>
      </w:r>
      <w:r w:rsidR="00E44FB9" w:rsidRPr="004635E5">
        <w:rPr>
          <w:rFonts w:eastAsia="Calibri"/>
          <w:sz w:val="22"/>
          <w:szCs w:val="22"/>
          <w:lang w:val="en-AU"/>
        </w:rPr>
        <w:t xml:space="preserve"> </w:t>
      </w:r>
      <w:r w:rsidR="0041022C" w:rsidRPr="004635E5">
        <w:rPr>
          <w:rFonts w:eastAsia="Calibri"/>
          <w:sz w:val="22"/>
          <w:szCs w:val="22"/>
          <w:lang w:val="en-AU"/>
        </w:rPr>
        <w:t xml:space="preserve">that </w:t>
      </w:r>
      <w:r w:rsidR="00E44FB9" w:rsidRPr="004635E5">
        <w:rPr>
          <w:rFonts w:eastAsia="Calibri"/>
          <w:sz w:val="22"/>
          <w:szCs w:val="22"/>
          <w:lang w:val="en-AU"/>
        </w:rPr>
        <w:t xml:space="preserve">the reference points discussed in the paper </w:t>
      </w:r>
      <w:r w:rsidR="0041022C" w:rsidRPr="004635E5">
        <w:rPr>
          <w:rFonts w:eastAsia="Calibri"/>
          <w:sz w:val="22"/>
          <w:szCs w:val="22"/>
          <w:lang w:val="en-AU"/>
        </w:rPr>
        <w:t xml:space="preserve">were </w:t>
      </w:r>
      <w:r w:rsidR="00E44FB9" w:rsidRPr="004635E5">
        <w:rPr>
          <w:rFonts w:eastAsia="Calibri"/>
          <w:sz w:val="22"/>
          <w:szCs w:val="22"/>
          <w:lang w:val="en-AU"/>
        </w:rPr>
        <w:t>quite high</w:t>
      </w:r>
      <w:r w:rsidR="0041022C" w:rsidRPr="004635E5">
        <w:rPr>
          <w:rFonts w:eastAsia="Calibri"/>
          <w:sz w:val="22"/>
          <w:szCs w:val="22"/>
          <w:lang w:val="en-AU"/>
        </w:rPr>
        <w:t xml:space="preserve">, noting that in </w:t>
      </w:r>
      <w:r w:rsidR="00E44FB9" w:rsidRPr="004635E5">
        <w:rPr>
          <w:rFonts w:eastAsia="Calibri"/>
          <w:sz w:val="22"/>
          <w:szCs w:val="22"/>
          <w:lang w:val="en-AU"/>
        </w:rPr>
        <w:t xml:space="preserve">discussions since at least 2012, FFA members have drawn attention to Article 10(1)(c) of the Convention that provides guidance in the treatment of non-target species management. </w:t>
      </w:r>
      <w:r w:rsidR="0041022C" w:rsidRPr="004635E5">
        <w:rPr>
          <w:rFonts w:eastAsia="Calibri"/>
          <w:sz w:val="22"/>
          <w:szCs w:val="22"/>
          <w:lang w:val="en-AU"/>
        </w:rPr>
        <w:t>T</w:t>
      </w:r>
      <w:r w:rsidR="00E44FB9" w:rsidRPr="004635E5">
        <w:rPr>
          <w:rFonts w:eastAsia="Calibri"/>
          <w:sz w:val="22"/>
          <w:szCs w:val="22"/>
          <w:lang w:val="en-AU"/>
        </w:rPr>
        <w:t>he management benchmark for non-target species and species dependent on or associated with the target stocks is with a view to maintaining or restoring populations of such species above levels at which their reproduction may become seriously threatened. This prescribes a different level of treatment for target stocks and non-target species with respect to setting of the reference points being discussed</w:t>
      </w:r>
      <w:r w:rsidR="00A16680" w:rsidRPr="004635E5">
        <w:rPr>
          <w:rFonts w:eastAsia="Calibri"/>
          <w:sz w:val="22"/>
          <w:szCs w:val="22"/>
          <w:lang w:val="en-AU"/>
        </w:rPr>
        <w:t xml:space="preserve">. </w:t>
      </w:r>
      <w:r w:rsidR="00E44FB9" w:rsidRPr="004635E5">
        <w:rPr>
          <w:rFonts w:eastAsia="Calibri"/>
          <w:sz w:val="22"/>
          <w:szCs w:val="22"/>
          <w:lang w:val="en-AU"/>
        </w:rPr>
        <w:t xml:space="preserve">FFA members </w:t>
      </w:r>
      <w:r w:rsidR="0041022C" w:rsidRPr="004635E5">
        <w:rPr>
          <w:rFonts w:eastAsia="Calibri"/>
          <w:sz w:val="22"/>
          <w:szCs w:val="22"/>
          <w:lang w:val="en-AU"/>
        </w:rPr>
        <w:t xml:space="preserve">were </w:t>
      </w:r>
      <w:r w:rsidR="00E44FB9" w:rsidRPr="004635E5">
        <w:rPr>
          <w:rFonts w:eastAsia="Calibri"/>
          <w:sz w:val="22"/>
          <w:szCs w:val="22"/>
          <w:lang w:val="en-AU"/>
        </w:rPr>
        <w:t xml:space="preserve">very disappointed that Article 10(1)(c) </w:t>
      </w:r>
      <w:r w:rsidR="0041022C" w:rsidRPr="004635E5">
        <w:rPr>
          <w:rFonts w:eastAsia="Calibri"/>
          <w:sz w:val="22"/>
          <w:szCs w:val="22"/>
          <w:lang w:val="en-AU"/>
        </w:rPr>
        <w:t xml:space="preserve">was </w:t>
      </w:r>
      <w:r w:rsidR="00E44FB9" w:rsidRPr="004635E5">
        <w:rPr>
          <w:rFonts w:eastAsia="Calibri"/>
          <w:sz w:val="22"/>
          <w:szCs w:val="22"/>
          <w:lang w:val="en-AU"/>
        </w:rPr>
        <w:t>not even referenced in the TOR for this work or in the report despite being raised consistently over the last 6 years</w:t>
      </w:r>
      <w:r w:rsidR="00A16680" w:rsidRPr="004635E5">
        <w:rPr>
          <w:rFonts w:eastAsia="Calibri"/>
          <w:sz w:val="22"/>
          <w:szCs w:val="22"/>
          <w:lang w:val="en-AU"/>
        </w:rPr>
        <w:t xml:space="preserve">. </w:t>
      </w:r>
      <w:r w:rsidR="00E44FB9" w:rsidRPr="004635E5">
        <w:rPr>
          <w:rFonts w:eastAsia="Calibri"/>
          <w:sz w:val="22"/>
          <w:szCs w:val="22"/>
          <w:lang w:val="en-AU"/>
        </w:rPr>
        <w:t xml:space="preserve">While FFA members </w:t>
      </w:r>
      <w:r w:rsidR="0041022C" w:rsidRPr="004635E5">
        <w:rPr>
          <w:rFonts w:eastAsia="Calibri"/>
          <w:sz w:val="22"/>
          <w:szCs w:val="22"/>
          <w:lang w:val="en-AU"/>
        </w:rPr>
        <w:t xml:space="preserve">were </w:t>
      </w:r>
      <w:r w:rsidR="00E44FB9" w:rsidRPr="004635E5">
        <w:rPr>
          <w:rFonts w:eastAsia="Calibri"/>
          <w:sz w:val="22"/>
          <w:szCs w:val="22"/>
          <w:lang w:val="en-AU"/>
        </w:rPr>
        <w:t>support</w:t>
      </w:r>
      <w:r w:rsidR="0041022C" w:rsidRPr="004635E5">
        <w:rPr>
          <w:rFonts w:eastAsia="Calibri"/>
          <w:sz w:val="22"/>
          <w:szCs w:val="22"/>
          <w:lang w:val="en-AU"/>
        </w:rPr>
        <w:t>ive</w:t>
      </w:r>
      <w:r w:rsidR="00E44FB9" w:rsidRPr="004635E5">
        <w:rPr>
          <w:rFonts w:eastAsia="Calibri"/>
          <w:sz w:val="22"/>
          <w:szCs w:val="22"/>
          <w:lang w:val="en-AU"/>
        </w:rPr>
        <w:t xml:space="preserve"> </w:t>
      </w:r>
      <w:r w:rsidR="0041022C" w:rsidRPr="004635E5">
        <w:rPr>
          <w:rFonts w:eastAsia="Calibri"/>
          <w:sz w:val="22"/>
          <w:szCs w:val="22"/>
          <w:lang w:val="en-AU"/>
        </w:rPr>
        <w:t xml:space="preserve">of </w:t>
      </w:r>
      <w:r w:rsidR="00E44FB9" w:rsidRPr="004635E5">
        <w:rPr>
          <w:rFonts w:eastAsia="Calibri"/>
          <w:sz w:val="22"/>
          <w:szCs w:val="22"/>
          <w:lang w:val="en-AU"/>
        </w:rPr>
        <w:t xml:space="preserve">the general approach of as a way of avoiding the weaknesses of conventional stock assessment on data poor species and the general hierarchical approach to LRP setting, </w:t>
      </w:r>
      <w:r w:rsidR="0041022C" w:rsidRPr="004635E5">
        <w:rPr>
          <w:rFonts w:eastAsia="Calibri"/>
          <w:sz w:val="22"/>
          <w:szCs w:val="22"/>
          <w:lang w:val="en-AU"/>
        </w:rPr>
        <w:t>they dis</w:t>
      </w:r>
      <w:r w:rsidR="00E44FB9" w:rsidRPr="004635E5">
        <w:rPr>
          <w:rFonts w:eastAsia="Calibri"/>
          <w:sz w:val="22"/>
          <w:szCs w:val="22"/>
          <w:lang w:val="en-AU"/>
        </w:rPr>
        <w:t>agree</w:t>
      </w:r>
      <w:r w:rsidR="0041022C" w:rsidRPr="004635E5">
        <w:rPr>
          <w:rFonts w:eastAsia="Calibri"/>
          <w:sz w:val="22"/>
          <w:szCs w:val="22"/>
          <w:lang w:val="en-AU"/>
        </w:rPr>
        <w:t>d</w:t>
      </w:r>
      <w:r w:rsidR="00E44FB9" w:rsidRPr="004635E5">
        <w:rPr>
          <w:rFonts w:eastAsia="Calibri"/>
          <w:sz w:val="22"/>
          <w:szCs w:val="22"/>
          <w:lang w:val="en-AU"/>
        </w:rPr>
        <w:t xml:space="preserve"> with the specific recommended LRP levels</w:t>
      </w:r>
      <w:r w:rsidR="00A16680" w:rsidRPr="004635E5">
        <w:rPr>
          <w:rFonts w:eastAsia="Calibri"/>
          <w:sz w:val="22"/>
          <w:szCs w:val="22"/>
          <w:lang w:val="en-AU"/>
        </w:rPr>
        <w:t xml:space="preserve">. </w:t>
      </w:r>
      <w:r w:rsidR="00E44FB9" w:rsidRPr="004635E5">
        <w:rPr>
          <w:rFonts w:eastAsia="Calibri"/>
          <w:sz w:val="22"/>
          <w:szCs w:val="22"/>
          <w:lang w:val="en-AU"/>
        </w:rPr>
        <w:t xml:space="preserve">In particular </w:t>
      </w:r>
      <w:r w:rsidR="0041022C" w:rsidRPr="004635E5">
        <w:rPr>
          <w:rFonts w:eastAsia="Calibri"/>
          <w:sz w:val="22"/>
          <w:szCs w:val="22"/>
          <w:lang w:val="en-AU"/>
        </w:rPr>
        <w:t xml:space="preserve">they </w:t>
      </w:r>
      <w:r w:rsidR="00E44FB9" w:rsidRPr="004635E5">
        <w:rPr>
          <w:rFonts w:eastAsia="Calibri"/>
          <w:sz w:val="22"/>
          <w:szCs w:val="22"/>
          <w:lang w:val="en-AU"/>
        </w:rPr>
        <w:t>note</w:t>
      </w:r>
      <w:r w:rsidR="0041022C" w:rsidRPr="004635E5">
        <w:rPr>
          <w:rFonts w:eastAsia="Calibri"/>
          <w:sz w:val="22"/>
          <w:szCs w:val="22"/>
          <w:lang w:val="en-AU"/>
        </w:rPr>
        <w:t>d</w:t>
      </w:r>
      <w:r w:rsidR="00E44FB9" w:rsidRPr="004635E5">
        <w:rPr>
          <w:rFonts w:eastAsia="Calibri"/>
          <w:sz w:val="22"/>
          <w:szCs w:val="22"/>
          <w:lang w:val="en-AU"/>
        </w:rPr>
        <w:t xml:space="preserve"> that F</w:t>
      </w:r>
      <w:r w:rsidR="00E44FB9" w:rsidRPr="004635E5">
        <w:rPr>
          <w:rFonts w:eastAsia="Calibri"/>
          <w:sz w:val="22"/>
          <w:szCs w:val="22"/>
          <w:vertAlign w:val="subscript"/>
          <w:lang w:val="en-AU"/>
        </w:rPr>
        <w:t>MSM</w:t>
      </w:r>
      <w:r w:rsidR="00E44FB9" w:rsidRPr="004635E5">
        <w:rPr>
          <w:rFonts w:eastAsia="Calibri"/>
          <w:sz w:val="22"/>
          <w:szCs w:val="22"/>
          <w:lang w:val="en-AU"/>
        </w:rPr>
        <w:t> </w:t>
      </w:r>
      <w:r w:rsidR="0041022C" w:rsidRPr="004635E5">
        <w:rPr>
          <w:rFonts w:eastAsia="Calibri"/>
          <w:sz w:val="22"/>
          <w:szCs w:val="22"/>
          <w:lang w:val="en-AU"/>
        </w:rPr>
        <w:t xml:space="preserve">is </w:t>
      </w:r>
      <w:r w:rsidR="00E44FB9" w:rsidRPr="004635E5">
        <w:rPr>
          <w:rFonts w:eastAsia="Calibri"/>
          <w:sz w:val="22"/>
          <w:szCs w:val="22"/>
          <w:lang w:val="en-AU"/>
        </w:rPr>
        <w:t>essentially a proxy for F</w:t>
      </w:r>
      <w:r w:rsidR="00E44FB9" w:rsidRPr="004635E5">
        <w:rPr>
          <w:rFonts w:eastAsia="Calibri"/>
          <w:sz w:val="22"/>
          <w:szCs w:val="22"/>
          <w:vertAlign w:val="subscript"/>
          <w:lang w:val="en-AU"/>
        </w:rPr>
        <w:t>MSY</w:t>
      </w:r>
      <w:r w:rsidR="00E44FB9" w:rsidRPr="004635E5">
        <w:rPr>
          <w:rFonts w:eastAsia="Calibri"/>
          <w:sz w:val="22"/>
          <w:szCs w:val="22"/>
          <w:lang w:val="en-AU"/>
        </w:rPr>
        <w:t>, which is well above the level prescribed in the Convention</w:t>
      </w:r>
      <w:r w:rsidR="00A16680" w:rsidRPr="004635E5">
        <w:rPr>
          <w:rFonts w:eastAsia="Calibri"/>
          <w:sz w:val="22"/>
          <w:szCs w:val="22"/>
          <w:lang w:val="en-AU"/>
        </w:rPr>
        <w:t xml:space="preserve">. </w:t>
      </w:r>
      <w:r w:rsidR="00E44FB9" w:rsidRPr="004635E5">
        <w:rPr>
          <w:rFonts w:eastAsia="Calibri"/>
          <w:sz w:val="22"/>
          <w:szCs w:val="22"/>
          <w:lang w:val="en-AU"/>
        </w:rPr>
        <w:t>FFA members support the continuation of this work to its completion and expect future iterations of this work to adequately reflect the Convention as our founding document.</w:t>
      </w:r>
    </w:p>
    <w:p w14:paraId="4FDC74BD" w14:textId="77777777" w:rsidR="0030620F" w:rsidRPr="004635E5" w:rsidRDefault="0030620F" w:rsidP="006633A8">
      <w:pPr>
        <w:autoSpaceDE w:val="0"/>
        <w:autoSpaceDN w:val="0"/>
        <w:adjustRightInd w:val="0"/>
        <w:snapToGrid w:val="0"/>
        <w:jc w:val="both"/>
        <w:rPr>
          <w:rFonts w:eastAsia="Calibri"/>
          <w:sz w:val="22"/>
          <w:szCs w:val="22"/>
          <w:lang w:val="en-AU"/>
        </w:rPr>
      </w:pPr>
    </w:p>
    <w:p w14:paraId="57775DD6" w14:textId="77777777" w:rsidR="00EE10BD" w:rsidRPr="004635E5" w:rsidRDefault="00E44FB9" w:rsidP="00580EA4">
      <w:pPr>
        <w:numPr>
          <w:ilvl w:val="0"/>
          <w:numId w:val="18"/>
        </w:numPr>
        <w:autoSpaceDE w:val="0"/>
        <w:autoSpaceDN w:val="0"/>
        <w:adjustRightInd w:val="0"/>
        <w:snapToGrid w:val="0"/>
        <w:ind w:left="0" w:firstLine="0"/>
        <w:jc w:val="both"/>
        <w:rPr>
          <w:rFonts w:eastAsia="Calibri"/>
          <w:sz w:val="22"/>
          <w:szCs w:val="22"/>
          <w:lang w:val="en-AU"/>
        </w:rPr>
      </w:pPr>
      <w:r w:rsidRPr="004635E5">
        <w:rPr>
          <w:rFonts w:eastAsia="Calibri"/>
          <w:sz w:val="22"/>
          <w:szCs w:val="22"/>
          <w:lang w:val="en-AU"/>
        </w:rPr>
        <w:t xml:space="preserve"> </w:t>
      </w:r>
      <w:r w:rsidR="00B5194A" w:rsidRPr="004635E5">
        <w:rPr>
          <w:rFonts w:eastAsia="Calibri"/>
          <w:sz w:val="22"/>
          <w:szCs w:val="22"/>
          <w:lang w:val="en-AU"/>
        </w:rPr>
        <w:t xml:space="preserve">EU </w:t>
      </w:r>
      <w:r w:rsidR="00890CA8" w:rsidRPr="004635E5">
        <w:rPr>
          <w:rFonts w:eastAsia="Calibri"/>
          <w:sz w:val="22"/>
          <w:szCs w:val="22"/>
          <w:lang w:val="en-AU"/>
        </w:rPr>
        <w:t>support</w:t>
      </w:r>
      <w:r w:rsidR="00B5194A" w:rsidRPr="004635E5">
        <w:rPr>
          <w:rFonts w:eastAsia="Calibri"/>
          <w:sz w:val="22"/>
          <w:szCs w:val="22"/>
          <w:lang w:val="en-AU"/>
        </w:rPr>
        <w:t>ed</w:t>
      </w:r>
      <w:r w:rsidR="00890CA8" w:rsidRPr="004635E5">
        <w:rPr>
          <w:rFonts w:eastAsia="Calibri"/>
          <w:sz w:val="22"/>
          <w:szCs w:val="22"/>
          <w:lang w:val="en-AU"/>
        </w:rPr>
        <w:t xml:space="preserve"> </w:t>
      </w:r>
      <w:r w:rsidR="00B5194A" w:rsidRPr="004635E5">
        <w:rPr>
          <w:rFonts w:eastAsia="Calibri"/>
          <w:sz w:val="22"/>
          <w:szCs w:val="22"/>
          <w:lang w:val="en-AU"/>
        </w:rPr>
        <w:t xml:space="preserve">the </w:t>
      </w:r>
      <w:r w:rsidR="00890CA8" w:rsidRPr="004635E5">
        <w:rPr>
          <w:rFonts w:eastAsia="Calibri"/>
          <w:sz w:val="22"/>
          <w:szCs w:val="22"/>
          <w:lang w:val="en-AU"/>
        </w:rPr>
        <w:t>work</w:t>
      </w:r>
      <w:r w:rsidR="00EE10BD" w:rsidRPr="004635E5">
        <w:rPr>
          <w:rFonts w:eastAsia="Calibri"/>
          <w:sz w:val="22"/>
          <w:szCs w:val="22"/>
          <w:lang w:val="en-AU"/>
        </w:rPr>
        <w:t xml:space="preserve">, noting longevity estimates for the sharks investigated have a maximum age over 20 years, which is a ‘flat zone’ in the longevity/M curve, and suggested other aspects of life history could be more important. S. Zhou </w:t>
      </w:r>
      <w:r w:rsidR="0041022C" w:rsidRPr="004635E5">
        <w:rPr>
          <w:rFonts w:eastAsia="Calibri"/>
          <w:sz w:val="22"/>
          <w:szCs w:val="22"/>
          <w:lang w:val="en-AU"/>
        </w:rPr>
        <w:t xml:space="preserve">stated </w:t>
      </w:r>
      <w:r w:rsidR="00EE10BD" w:rsidRPr="004635E5">
        <w:rPr>
          <w:rFonts w:eastAsia="Calibri"/>
          <w:sz w:val="22"/>
          <w:szCs w:val="22"/>
          <w:lang w:val="en-AU"/>
        </w:rPr>
        <w:t>that longevity is important, and can bias results if underestimated. An average from multiple studies was used. Considering all studies will make the estimate lower</w:t>
      </w:r>
      <w:r w:rsidR="0041022C" w:rsidRPr="004635E5">
        <w:rPr>
          <w:rFonts w:eastAsia="Calibri"/>
          <w:sz w:val="22"/>
          <w:szCs w:val="22"/>
          <w:lang w:val="en-AU"/>
        </w:rPr>
        <w:t>,</w:t>
      </w:r>
      <w:r w:rsidR="00EE10BD" w:rsidRPr="004635E5">
        <w:rPr>
          <w:rFonts w:eastAsia="Calibri"/>
          <w:sz w:val="22"/>
          <w:szCs w:val="22"/>
          <w:lang w:val="en-AU"/>
        </w:rPr>
        <w:t xml:space="preserve"> so the study is using the maximum described</w:t>
      </w:r>
      <w:r w:rsidR="0041022C" w:rsidRPr="004635E5">
        <w:rPr>
          <w:rFonts w:eastAsia="Calibri"/>
          <w:sz w:val="22"/>
          <w:szCs w:val="22"/>
          <w:lang w:val="en-AU"/>
        </w:rPr>
        <w:t>, b</w:t>
      </w:r>
      <w:r w:rsidR="00EE10BD" w:rsidRPr="004635E5">
        <w:rPr>
          <w:rFonts w:eastAsia="Calibri"/>
          <w:sz w:val="22"/>
          <w:szCs w:val="22"/>
          <w:lang w:val="en-AU"/>
        </w:rPr>
        <w:t xml:space="preserve">ut it remains a very important parameter. </w:t>
      </w:r>
    </w:p>
    <w:p w14:paraId="1957B928" w14:textId="77777777" w:rsidR="009777E6" w:rsidRDefault="009777E6" w:rsidP="009777E6">
      <w:pPr>
        <w:autoSpaceDE w:val="0"/>
        <w:autoSpaceDN w:val="0"/>
        <w:adjustRightInd w:val="0"/>
        <w:snapToGrid w:val="0"/>
        <w:jc w:val="both"/>
        <w:rPr>
          <w:rFonts w:eastAsia="Calibri"/>
          <w:sz w:val="22"/>
          <w:szCs w:val="22"/>
          <w:lang w:val="en-AU"/>
        </w:rPr>
      </w:pPr>
    </w:p>
    <w:p w14:paraId="5566E1E9" w14:textId="77777777" w:rsidR="00134E8A" w:rsidRPr="004635E5" w:rsidRDefault="00EE10BD" w:rsidP="00580EA4">
      <w:pPr>
        <w:numPr>
          <w:ilvl w:val="0"/>
          <w:numId w:val="18"/>
        </w:numPr>
        <w:autoSpaceDE w:val="0"/>
        <w:autoSpaceDN w:val="0"/>
        <w:adjustRightInd w:val="0"/>
        <w:snapToGrid w:val="0"/>
        <w:ind w:left="0" w:firstLine="0"/>
        <w:jc w:val="both"/>
        <w:rPr>
          <w:rFonts w:eastAsia="Calibri"/>
          <w:sz w:val="22"/>
          <w:szCs w:val="22"/>
          <w:lang w:val="en-AU"/>
        </w:rPr>
      </w:pPr>
      <w:r w:rsidRPr="004635E5">
        <w:rPr>
          <w:rFonts w:eastAsia="Calibri"/>
          <w:sz w:val="22"/>
          <w:szCs w:val="22"/>
          <w:lang w:val="en-AU"/>
        </w:rPr>
        <w:t xml:space="preserve">Chinese Taipei </w:t>
      </w:r>
      <w:r w:rsidR="0018753E" w:rsidRPr="004635E5">
        <w:rPr>
          <w:rFonts w:eastAsia="Calibri"/>
          <w:sz w:val="22"/>
          <w:szCs w:val="22"/>
          <w:lang w:val="en-AU"/>
        </w:rPr>
        <w:t xml:space="preserve">noted </w:t>
      </w:r>
      <w:r w:rsidR="0041022C" w:rsidRPr="004635E5">
        <w:rPr>
          <w:rFonts w:eastAsia="Calibri"/>
          <w:sz w:val="22"/>
          <w:szCs w:val="22"/>
          <w:lang w:val="en-AU"/>
        </w:rPr>
        <w:t xml:space="preserve">the </w:t>
      </w:r>
      <w:r w:rsidR="0018753E" w:rsidRPr="004635E5">
        <w:rPr>
          <w:rFonts w:eastAsia="Calibri"/>
          <w:sz w:val="22"/>
          <w:szCs w:val="22"/>
          <w:lang w:val="en-AU"/>
        </w:rPr>
        <w:t xml:space="preserve">LRP is based on the </w:t>
      </w:r>
      <w:r w:rsidR="0041022C" w:rsidRPr="004635E5">
        <w:rPr>
          <w:rFonts w:eastAsia="Calibri"/>
          <w:sz w:val="22"/>
          <w:szCs w:val="22"/>
          <w:lang w:val="en-AU"/>
        </w:rPr>
        <w:t xml:space="preserve">stock reproductive potential </w:t>
      </w:r>
      <w:r w:rsidR="0018753E" w:rsidRPr="004635E5">
        <w:rPr>
          <w:rFonts w:eastAsia="Calibri"/>
          <w:sz w:val="22"/>
          <w:szCs w:val="22"/>
          <w:lang w:val="en-AU"/>
        </w:rPr>
        <w:t xml:space="preserve">curve, and that the plot assumes symmetrical production, while production may not be symmetrical given shark life history, and asked how </w:t>
      </w:r>
      <w:r w:rsidR="0041022C" w:rsidRPr="004635E5">
        <w:rPr>
          <w:rFonts w:eastAsia="Calibri"/>
          <w:sz w:val="22"/>
          <w:szCs w:val="22"/>
          <w:lang w:val="en-AU"/>
        </w:rPr>
        <w:t xml:space="preserve">this </w:t>
      </w:r>
      <w:r w:rsidR="0018753E" w:rsidRPr="004635E5">
        <w:rPr>
          <w:rFonts w:eastAsia="Calibri"/>
          <w:sz w:val="22"/>
          <w:szCs w:val="22"/>
          <w:lang w:val="en-AU"/>
        </w:rPr>
        <w:t xml:space="preserve">uncertainty would be accounted for. S Zhou noted there </w:t>
      </w:r>
      <w:r w:rsidR="0041022C" w:rsidRPr="004635E5">
        <w:rPr>
          <w:rFonts w:eastAsia="Calibri"/>
          <w:sz w:val="22"/>
          <w:szCs w:val="22"/>
          <w:lang w:val="en-AU"/>
        </w:rPr>
        <w:t xml:space="preserve">were </w:t>
      </w:r>
      <w:r w:rsidR="0018753E" w:rsidRPr="004635E5">
        <w:rPr>
          <w:rFonts w:eastAsia="Calibri"/>
          <w:sz w:val="22"/>
          <w:szCs w:val="22"/>
          <w:lang w:val="en-AU"/>
        </w:rPr>
        <w:t xml:space="preserve">limited data to evaluate the appropriateness </w:t>
      </w:r>
      <w:r w:rsidR="00134E8A" w:rsidRPr="004635E5">
        <w:rPr>
          <w:rFonts w:eastAsia="Calibri"/>
          <w:sz w:val="22"/>
          <w:szCs w:val="22"/>
          <w:lang w:val="en-AU"/>
        </w:rPr>
        <w:t xml:space="preserve">for </w:t>
      </w:r>
      <w:r w:rsidR="0018753E" w:rsidRPr="004635E5">
        <w:rPr>
          <w:rFonts w:eastAsia="Calibri"/>
          <w:sz w:val="22"/>
          <w:szCs w:val="22"/>
          <w:lang w:val="en-AU"/>
        </w:rPr>
        <w:t xml:space="preserve">specific species, and that they were </w:t>
      </w:r>
      <w:r w:rsidR="00134E8A" w:rsidRPr="004635E5">
        <w:rPr>
          <w:rFonts w:eastAsia="Calibri"/>
          <w:sz w:val="22"/>
          <w:szCs w:val="22"/>
          <w:lang w:val="en-AU"/>
        </w:rPr>
        <w:t>looking for support to evaluate this.</w:t>
      </w:r>
    </w:p>
    <w:p w14:paraId="66F59231" w14:textId="77777777" w:rsidR="0030620F" w:rsidRPr="004635E5" w:rsidRDefault="0030620F" w:rsidP="006633A8">
      <w:pPr>
        <w:autoSpaceDE w:val="0"/>
        <w:autoSpaceDN w:val="0"/>
        <w:adjustRightInd w:val="0"/>
        <w:snapToGrid w:val="0"/>
        <w:jc w:val="both"/>
        <w:rPr>
          <w:rFonts w:eastAsia="Calibri"/>
          <w:sz w:val="22"/>
          <w:szCs w:val="22"/>
          <w:lang w:val="en-AU"/>
        </w:rPr>
      </w:pPr>
    </w:p>
    <w:p w14:paraId="75F646E0" w14:textId="77777777" w:rsidR="0041022C" w:rsidRPr="004635E5" w:rsidRDefault="0018753E" w:rsidP="00580EA4">
      <w:pPr>
        <w:numPr>
          <w:ilvl w:val="0"/>
          <w:numId w:val="18"/>
        </w:numPr>
        <w:autoSpaceDE w:val="0"/>
        <w:autoSpaceDN w:val="0"/>
        <w:adjustRightInd w:val="0"/>
        <w:snapToGrid w:val="0"/>
        <w:ind w:left="0" w:firstLine="0"/>
        <w:jc w:val="both"/>
        <w:rPr>
          <w:rFonts w:eastAsia="Calibri"/>
          <w:sz w:val="22"/>
          <w:szCs w:val="22"/>
          <w:lang w:val="en-AU"/>
        </w:rPr>
      </w:pPr>
      <w:r w:rsidRPr="004635E5">
        <w:rPr>
          <w:rFonts w:eastAsia="Calibri"/>
          <w:sz w:val="22"/>
          <w:szCs w:val="22"/>
          <w:lang w:val="en-AU"/>
        </w:rPr>
        <w:t xml:space="preserve">The </w:t>
      </w:r>
      <w:r w:rsidR="00134E8A" w:rsidRPr="004635E5">
        <w:rPr>
          <w:rFonts w:eastAsia="Calibri"/>
          <w:sz w:val="22"/>
          <w:szCs w:val="22"/>
          <w:lang w:val="en-AU"/>
        </w:rPr>
        <w:t>USA</w:t>
      </w:r>
      <w:r w:rsidRPr="004635E5">
        <w:rPr>
          <w:rFonts w:eastAsia="Calibri"/>
          <w:sz w:val="22"/>
          <w:szCs w:val="22"/>
          <w:lang w:val="en-AU"/>
        </w:rPr>
        <w:t xml:space="preserve"> spoke regarding the estimation of </w:t>
      </w:r>
      <w:r w:rsidR="00134E8A" w:rsidRPr="004635E5">
        <w:rPr>
          <w:rFonts w:eastAsia="Calibri"/>
          <w:sz w:val="22"/>
          <w:szCs w:val="22"/>
          <w:lang w:val="en-AU"/>
        </w:rPr>
        <w:t>M</w:t>
      </w:r>
      <w:r w:rsidRPr="004635E5">
        <w:rPr>
          <w:rFonts w:eastAsia="Calibri"/>
          <w:sz w:val="22"/>
          <w:szCs w:val="22"/>
          <w:lang w:val="en-AU"/>
        </w:rPr>
        <w:t xml:space="preserve"> va</w:t>
      </w:r>
      <w:r w:rsidR="002952E4" w:rsidRPr="004635E5">
        <w:rPr>
          <w:rFonts w:eastAsia="Calibri"/>
          <w:sz w:val="22"/>
          <w:szCs w:val="22"/>
          <w:lang w:val="en-AU"/>
        </w:rPr>
        <w:t>l</w:t>
      </w:r>
      <w:r w:rsidRPr="004635E5">
        <w:rPr>
          <w:rFonts w:eastAsia="Calibri"/>
          <w:sz w:val="22"/>
          <w:szCs w:val="22"/>
          <w:lang w:val="en-AU"/>
        </w:rPr>
        <w:t>ues</w:t>
      </w:r>
      <w:r w:rsidR="00134E8A" w:rsidRPr="004635E5">
        <w:rPr>
          <w:rFonts w:eastAsia="Calibri"/>
          <w:sz w:val="22"/>
          <w:szCs w:val="22"/>
          <w:lang w:val="en-AU"/>
        </w:rPr>
        <w:t xml:space="preserve">, </w:t>
      </w:r>
      <w:r w:rsidR="0041022C" w:rsidRPr="004635E5">
        <w:rPr>
          <w:rFonts w:eastAsia="Calibri"/>
          <w:sz w:val="22"/>
          <w:szCs w:val="22"/>
          <w:lang w:val="en-AU"/>
        </w:rPr>
        <w:t>noting that throughout the paper there were references to the Then (2015) equation.</w:t>
      </w:r>
      <w:r w:rsidR="0041022C" w:rsidRPr="004635E5">
        <w:rPr>
          <w:rStyle w:val="FootnoteReference"/>
          <w:rFonts w:eastAsia="Calibri"/>
          <w:sz w:val="22"/>
          <w:szCs w:val="22"/>
          <w:lang w:val="en-AU"/>
        </w:rPr>
        <w:footnoteReference w:id="5"/>
      </w:r>
      <w:r w:rsidR="0041022C" w:rsidRPr="004635E5">
        <w:rPr>
          <w:rFonts w:eastAsia="Calibri"/>
          <w:sz w:val="22"/>
          <w:szCs w:val="22"/>
          <w:lang w:val="en-AU"/>
        </w:rPr>
        <w:t xml:space="preserve"> They inquired whether the Then equation would be retained, noting that low sample sizes could bias the M upward. S. Zhou responded that this was an issue the authors had been facing, and were considering </w:t>
      </w:r>
      <w:r w:rsidR="00691C17" w:rsidRPr="004635E5">
        <w:rPr>
          <w:rFonts w:eastAsia="Calibri"/>
          <w:sz w:val="22"/>
          <w:szCs w:val="22"/>
          <w:lang w:val="en-AU"/>
        </w:rPr>
        <w:t xml:space="preserve">various </w:t>
      </w:r>
      <w:r w:rsidR="0041022C" w:rsidRPr="004635E5">
        <w:rPr>
          <w:rFonts w:eastAsia="Calibri"/>
          <w:sz w:val="22"/>
          <w:szCs w:val="22"/>
          <w:lang w:val="en-AU"/>
        </w:rPr>
        <w:t xml:space="preserve">options based on feedback. </w:t>
      </w:r>
    </w:p>
    <w:p w14:paraId="040A00DB" w14:textId="77777777" w:rsidR="0030620F" w:rsidRPr="004635E5" w:rsidRDefault="0030620F" w:rsidP="006633A8">
      <w:pPr>
        <w:autoSpaceDE w:val="0"/>
        <w:autoSpaceDN w:val="0"/>
        <w:adjustRightInd w:val="0"/>
        <w:snapToGrid w:val="0"/>
        <w:jc w:val="both"/>
        <w:rPr>
          <w:rFonts w:eastAsia="Calibri"/>
          <w:sz w:val="22"/>
          <w:szCs w:val="22"/>
          <w:lang w:val="en-AU"/>
        </w:rPr>
      </w:pPr>
    </w:p>
    <w:p w14:paraId="0ECF803E" w14:textId="77777777" w:rsidR="00DC54E4" w:rsidRPr="004635E5" w:rsidRDefault="00DC54E4" w:rsidP="00580EA4">
      <w:pPr>
        <w:numPr>
          <w:ilvl w:val="0"/>
          <w:numId w:val="18"/>
        </w:numPr>
        <w:autoSpaceDE w:val="0"/>
        <w:autoSpaceDN w:val="0"/>
        <w:adjustRightInd w:val="0"/>
        <w:snapToGrid w:val="0"/>
        <w:ind w:left="0" w:firstLine="0"/>
        <w:jc w:val="both"/>
        <w:rPr>
          <w:rFonts w:eastAsia="Calibri"/>
          <w:sz w:val="22"/>
          <w:szCs w:val="22"/>
          <w:lang w:val="en-AU"/>
        </w:rPr>
      </w:pPr>
      <w:r w:rsidRPr="004635E5">
        <w:rPr>
          <w:rFonts w:eastAsia="Calibri"/>
          <w:sz w:val="22"/>
          <w:szCs w:val="22"/>
          <w:lang w:val="en-AU"/>
        </w:rPr>
        <w:t>Japan agreed with the first suggestion on the tiered approach, but noted concern regarding the risk-based F, which seemed very conservative when F</w:t>
      </w:r>
      <w:r w:rsidR="0041022C" w:rsidRPr="004635E5">
        <w:rPr>
          <w:rFonts w:eastAsia="Calibri"/>
          <w:sz w:val="22"/>
          <w:szCs w:val="22"/>
          <w:vertAlign w:val="subscript"/>
          <w:lang w:val="en-AU"/>
        </w:rPr>
        <w:t>MSM</w:t>
      </w:r>
      <w:r w:rsidR="0041022C" w:rsidRPr="004635E5">
        <w:rPr>
          <w:rFonts w:eastAsia="Calibri"/>
          <w:sz w:val="22"/>
          <w:szCs w:val="22"/>
          <w:lang w:val="en-AU"/>
        </w:rPr>
        <w:t xml:space="preserve"> </w:t>
      </w:r>
      <w:r w:rsidRPr="004635E5">
        <w:rPr>
          <w:rFonts w:eastAsia="Calibri"/>
          <w:sz w:val="22"/>
          <w:szCs w:val="22"/>
          <w:lang w:val="en-AU"/>
        </w:rPr>
        <w:t>is used.</w:t>
      </w:r>
      <w:r w:rsidR="0041022C" w:rsidRPr="004635E5">
        <w:rPr>
          <w:rFonts w:eastAsia="Calibri"/>
          <w:sz w:val="22"/>
          <w:szCs w:val="22"/>
          <w:lang w:val="en-AU"/>
        </w:rPr>
        <w:t xml:space="preserve"> </w:t>
      </w:r>
      <w:r w:rsidR="009C745D" w:rsidRPr="004635E5">
        <w:rPr>
          <w:rFonts w:eastAsia="Calibri"/>
          <w:sz w:val="22"/>
          <w:szCs w:val="22"/>
          <w:lang w:val="en-AU"/>
        </w:rPr>
        <w:t xml:space="preserve">S. Zhou noted the </w:t>
      </w:r>
      <w:r w:rsidRPr="004635E5">
        <w:rPr>
          <w:rFonts w:eastAsia="Calibri"/>
          <w:sz w:val="22"/>
          <w:szCs w:val="22"/>
          <w:lang w:val="en-AU"/>
        </w:rPr>
        <w:t xml:space="preserve">LRP </w:t>
      </w:r>
      <w:r w:rsidR="009C745D" w:rsidRPr="004635E5">
        <w:rPr>
          <w:rFonts w:eastAsia="Calibri"/>
          <w:sz w:val="22"/>
          <w:szCs w:val="22"/>
          <w:lang w:val="en-AU"/>
        </w:rPr>
        <w:t xml:space="preserve">is </w:t>
      </w:r>
      <w:r w:rsidRPr="004635E5">
        <w:rPr>
          <w:rFonts w:eastAsia="Calibri"/>
          <w:sz w:val="22"/>
          <w:szCs w:val="22"/>
          <w:lang w:val="en-AU"/>
        </w:rPr>
        <w:t>conservative</w:t>
      </w:r>
      <w:r w:rsidR="009C745D" w:rsidRPr="004635E5">
        <w:rPr>
          <w:rFonts w:eastAsia="Calibri"/>
          <w:sz w:val="22"/>
          <w:szCs w:val="22"/>
          <w:lang w:val="en-AU"/>
        </w:rPr>
        <w:t xml:space="preserve">, and </w:t>
      </w:r>
      <w:r w:rsidRPr="004635E5">
        <w:rPr>
          <w:rFonts w:eastAsia="Calibri"/>
          <w:sz w:val="22"/>
          <w:szCs w:val="22"/>
          <w:lang w:val="en-AU"/>
        </w:rPr>
        <w:t>recognise</w:t>
      </w:r>
      <w:r w:rsidR="009C745D" w:rsidRPr="004635E5">
        <w:rPr>
          <w:rFonts w:eastAsia="Calibri"/>
          <w:sz w:val="22"/>
          <w:szCs w:val="22"/>
          <w:lang w:val="en-AU"/>
        </w:rPr>
        <w:t>d</w:t>
      </w:r>
      <w:r w:rsidRPr="004635E5">
        <w:rPr>
          <w:rFonts w:eastAsia="Calibri"/>
          <w:sz w:val="22"/>
          <w:szCs w:val="22"/>
          <w:lang w:val="en-AU"/>
        </w:rPr>
        <w:t xml:space="preserve"> </w:t>
      </w:r>
      <w:r w:rsidR="009C745D" w:rsidRPr="004635E5">
        <w:rPr>
          <w:rFonts w:eastAsia="Calibri"/>
          <w:sz w:val="22"/>
          <w:szCs w:val="22"/>
          <w:lang w:val="en-AU"/>
        </w:rPr>
        <w:t xml:space="preserve">the </w:t>
      </w:r>
      <w:r w:rsidRPr="004635E5">
        <w:rPr>
          <w:rFonts w:eastAsia="Calibri"/>
          <w:sz w:val="22"/>
          <w:szCs w:val="22"/>
          <w:lang w:val="en-AU"/>
        </w:rPr>
        <w:t xml:space="preserve">uncertainty in the input parameters. </w:t>
      </w:r>
      <w:r w:rsidR="009C745D" w:rsidRPr="004635E5">
        <w:rPr>
          <w:rFonts w:eastAsia="Calibri"/>
          <w:sz w:val="22"/>
          <w:szCs w:val="22"/>
          <w:lang w:val="en-AU"/>
        </w:rPr>
        <w:t>They h</w:t>
      </w:r>
      <w:r w:rsidRPr="004635E5">
        <w:rPr>
          <w:rFonts w:eastAsia="Calibri"/>
          <w:sz w:val="22"/>
          <w:szCs w:val="22"/>
          <w:lang w:val="en-AU"/>
        </w:rPr>
        <w:t>ope</w:t>
      </w:r>
      <w:r w:rsidR="009C745D" w:rsidRPr="004635E5">
        <w:rPr>
          <w:rFonts w:eastAsia="Calibri"/>
          <w:sz w:val="22"/>
          <w:szCs w:val="22"/>
          <w:lang w:val="en-AU"/>
        </w:rPr>
        <w:t>d</w:t>
      </w:r>
      <w:r w:rsidRPr="004635E5">
        <w:rPr>
          <w:rFonts w:eastAsia="Calibri"/>
          <w:sz w:val="22"/>
          <w:szCs w:val="22"/>
          <w:lang w:val="en-AU"/>
        </w:rPr>
        <w:t xml:space="preserve"> to reduce the uncertainty and value</w:t>
      </w:r>
      <w:r w:rsidR="009C745D" w:rsidRPr="004635E5">
        <w:rPr>
          <w:rFonts w:eastAsia="Calibri"/>
          <w:sz w:val="22"/>
          <w:szCs w:val="22"/>
          <w:lang w:val="en-AU"/>
        </w:rPr>
        <w:t xml:space="preserve">, and noted no </w:t>
      </w:r>
      <w:r w:rsidRPr="004635E5">
        <w:rPr>
          <w:rFonts w:eastAsia="Calibri"/>
          <w:sz w:val="22"/>
          <w:szCs w:val="22"/>
          <w:lang w:val="en-AU"/>
        </w:rPr>
        <w:t>compar</w:t>
      </w:r>
      <w:r w:rsidR="009C745D" w:rsidRPr="004635E5">
        <w:rPr>
          <w:rFonts w:eastAsia="Calibri"/>
          <w:sz w:val="22"/>
          <w:szCs w:val="22"/>
          <w:lang w:val="en-AU"/>
        </w:rPr>
        <w:t xml:space="preserve">ison had been made to </w:t>
      </w:r>
      <w:r w:rsidRPr="004635E5">
        <w:rPr>
          <w:rFonts w:eastAsia="Calibri"/>
          <w:sz w:val="22"/>
          <w:szCs w:val="22"/>
          <w:lang w:val="en-AU"/>
        </w:rPr>
        <w:t>stock assessment estimates from SS3</w:t>
      </w:r>
      <w:r w:rsidR="0041022C" w:rsidRPr="004635E5">
        <w:rPr>
          <w:rFonts w:eastAsia="Calibri"/>
          <w:sz w:val="22"/>
          <w:szCs w:val="22"/>
          <w:lang w:val="en-AU"/>
        </w:rPr>
        <w:t>, and were un</w:t>
      </w:r>
      <w:r w:rsidRPr="004635E5">
        <w:rPr>
          <w:rFonts w:eastAsia="Calibri"/>
          <w:sz w:val="22"/>
          <w:szCs w:val="22"/>
          <w:lang w:val="en-AU"/>
        </w:rPr>
        <w:t xml:space="preserve">sure whether the LRP </w:t>
      </w:r>
      <w:r w:rsidR="0041022C" w:rsidRPr="004635E5">
        <w:rPr>
          <w:rFonts w:eastAsia="Calibri"/>
          <w:sz w:val="22"/>
          <w:szCs w:val="22"/>
          <w:lang w:val="en-AU"/>
        </w:rPr>
        <w:t xml:space="preserve">was </w:t>
      </w:r>
      <w:r w:rsidRPr="004635E5">
        <w:rPr>
          <w:rFonts w:eastAsia="Calibri"/>
          <w:sz w:val="22"/>
          <w:szCs w:val="22"/>
          <w:lang w:val="en-AU"/>
        </w:rPr>
        <w:t xml:space="preserve">conservative or not. </w:t>
      </w:r>
      <w:r w:rsidR="0041022C" w:rsidRPr="004635E5">
        <w:rPr>
          <w:rFonts w:eastAsia="Calibri"/>
          <w:sz w:val="22"/>
          <w:szCs w:val="22"/>
          <w:lang w:val="en-AU"/>
        </w:rPr>
        <w:t xml:space="preserve">S Zhou </w:t>
      </w:r>
      <w:r w:rsidR="009C745D" w:rsidRPr="004635E5">
        <w:rPr>
          <w:rFonts w:eastAsia="Calibri"/>
          <w:sz w:val="22"/>
          <w:szCs w:val="22"/>
          <w:lang w:val="en-AU"/>
        </w:rPr>
        <w:t>also noted that e</w:t>
      </w:r>
      <w:r w:rsidRPr="004635E5">
        <w:rPr>
          <w:rFonts w:eastAsia="Calibri"/>
          <w:sz w:val="22"/>
          <w:szCs w:val="22"/>
          <w:lang w:val="en-AU"/>
        </w:rPr>
        <w:t xml:space="preserve">cosystem </w:t>
      </w:r>
      <w:r w:rsidR="009C745D" w:rsidRPr="004635E5">
        <w:rPr>
          <w:rFonts w:eastAsia="Calibri"/>
          <w:sz w:val="22"/>
          <w:szCs w:val="22"/>
          <w:lang w:val="en-AU"/>
        </w:rPr>
        <w:t xml:space="preserve">health </w:t>
      </w:r>
      <w:r w:rsidR="0041022C" w:rsidRPr="004635E5">
        <w:rPr>
          <w:rFonts w:eastAsia="Calibri"/>
          <w:sz w:val="22"/>
          <w:szCs w:val="22"/>
          <w:lang w:val="en-AU"/>
        </w:rPr>
        <w:t xml:space="preserve">was </w:t>
      </w:r>
      <w:r w:rsidRPr="004635E5">
        <w:rPr>
          <w:rFonts w:eastAsia="Calibri"/>
          <w:sz w:val="22"/>
          <w:szCs w:val="22"/>
          <w:lang w:val="en-AU"/>
        </w:rPr>
        <w:t xml:space="preserve">important and recognised </w:t>
      </w:r>
      <w:r w:rsidR="009C745D" w:rsidRPr="004635E5">
        <w:rPr>
          <w:rFonts w:eastAsia="Calibri"/>
          <w:sz w:val="22"/>
          <w:szCs w:val="22"/>
          <w:lang w:val="en-AU"/>
        </w:rPr>
        <w:t xml:space="preserve">by the </w:t>
      </w:r>
      <w:r w:rsidR="0041022C" w:rsidRPr="004635E5">
        <w:rPr>
          <w:rFonts w:eastAsia="Calibri"/>
          <w:sz w:val="22"/>
          <w:szCs w:val="22"/>
          <w:lang w:val="en-AU"/>
        </w:rPr>
        <w:t>United Nations Convention on Biological Diversity</w:t>
      </w:r>
      <w:r w:rsidR="009C745D" w:rsidRPr="004635E5">
        <w:rPr>
          <w:rFonts w:eastAsia="Calibri"/>
          <w:sz w:val="22"/>
          <w:szCs w:val="22"/>
          <w:lang w:val="en-AU"/>
        </w:rPr>
        <w:t xml:space="preserve">. These </w:t>
      </w:r>
      <w:r w:rsidR="004928E8" w:rsidRPr="004635E5">
        <w:rPr>
          <w:rFonts w:eastAsia="Calibri"/>
          <w:sz w:val="22"/>
          <w:szCs w:val="22"/>
          <w:lang w:val="en-AU"/>
        </w:rPr>
        <w:t xml:space="preserve">are </w:t>
      </w:r>
      <w:r w:rsidR="009C745D" w:rsidRPr="004635E5">
        <w:rPr>
          <w:rFonts w:eastAsia="Calibri"/>
          <w:sz w:val="22"/>
          <w:szCs w:val="22"/>
          <w:lang w:val="en-AU"/>
        </w:rPr>
        <w:t>top predat</w:t>
      </w:r>
      <w:r w:rsidR="004928E8" w:rsidRPr="004635E5">
        <w:rPr>
          <w:rFonts w:eastAsia="Calibri"/>
          <w:sz w:val="22"/>
          <w:szCs w:val="22"/>
          <w:lang w:val="en-AU"/>
        </w:rPr>
        <w:t>o</w:t>
      </w:r>
      <w:r w:rsidR="009C745D" w:rsidRPr="004635E5">
        <w:rPr>
          <w:rFonts w:eastAsia="Calibri"/>
          <w:sz w:val="22"/>
          <w:szCs w:val="22"/>
          <w:lang w:val="en-AU"/>
        </w:rPr>
        <w:t>rs</w:t>
      </w:r>
      <w:r w:rsidR="004928E8" w:rsidRPr="004635E5">
        <w:rPr>
          <w:rFonts w:eastAsia="Calibri"/>
          <w:sz w:val="22"/>
          <w:szCs w:val="22"/>
          <w:lang w:val="en-AU"/>
        </w:rPr>
        <w:t xml:space="preserve"> within the ecosystem structure, and the </w:t>
      </w:r>
      <w:r w:rsidR="009C745D" w:rsidRPr="004635E5">
        <w:rPr>
          <w:rFonts w:eastAsia="Calibri"/>
          <w:sz w:val="22"/>
          <w:szCs w:val="22"/>
          <w:lang w:val="en-AU"/>
        </w:rPr>
        <w:t>higher ref</w:t>
      </w:r>
      <w:r w:rsidR="0041022C" w:rsidRPr="004635E5">
        <w:rPr>
          <w:rFonts w:eastAsia="Calibri"/>
          <w:sz w:val="22"/>
          <w:szCs w:val="22"/>
          <w:lang w:val="en-AU"/>
        </w:rPr>
        <w:t>erence</w:t>
      </w:r>
      <w:r w:rsidR="009C745D" w:rsidRPr="004635E5">
        <w:rPr>
          <w:rFonts w:eastAsia="Calibri"/>
          <w:sz w:val="22"/>
          <w:szCs w:val="22"/>
          <w:lang w:val="en-AU"/>
        </w:rPr>
        <w:t xml:space="preserve"> point </w:t>
      </w:r>
      <w:r w:rsidR="004928E8" w:rsidRPr="004635E5">
        <w:rPr>
          <w:rFonts w:eastAsia="Calibri"/>
          <w:sz w:val="22"/>
          <w:szCs w:val="22"/>
          <w:lang w:val="en-AU"/>
        </w:rPr>
        <w:t xml:space="preserve">may be more </w:t>
      </w:r>
      <w:r w:rsidR="009C745D" w:rsidRPr="004635E5">
        <w:rPr>
          <w:rFonts w:eastAsia="Calibri"/>
          <w:sz w:val="22"/>
          <w:szCs w:val="22"/>
          <w:lang w:val="en-AU"/>
        </w:rPr>
        <w:t>reasonable considering the carrying cap</w:t>
      </w:r>
      <w:r w:rsidR="004928E8" w:rsidRPr="004635E5">
        <w:rPr>
          <w:rFonts w:eastAsia="Calibri"/>
          <w:sz w:val="22"/>
          <w:szCs w:val="22"/>
          <w:lang w:val="en-AU"/>
        </w:rPr>
        <w:t>acity</w:t>
      </w:r>
      <w:r w:rsidR="009C745D" w:rsidRPr="004635E5">
        <w:rPr>
          <w:rFonts w:eastAsia="Calibri"/>
          <w:sz w:val="22"/>
          <w:szCs w:val="22"/>
          <w:lang w:val="en-AU"/>
        </w:rPr>
        <w:t xml:space="preserve"> has been reduced by fishing. </w:t>
      </w:r>
      <w:r w:rsidR="004928E8" w:rsidRPr="004635E5">
        <w:rPr>
          <w:rFonts w:eastAsia="Calibri"/>
          <w:sz w:val="22"/>
          <w:szCs w:val="22"/>
          <w:lang w:val="en-AU"/>
        </w:rPr>
        <w:t xml:space="preserve">He observed that </w:t>
      </w:r>
      <w:r w:rsidR="009C745D" w:rsidRPr="004635E5">
        <w:rPr>
          <w:rFonts w:eastAsia="Calibri"/>
          <w:sz w:val="22"/>
          <w:szCs w:val="22"/>
          <w:lang w:val="en-AU"/>
        </w:rPr>
        <w:t xml:space="preserve">management </w:t>
      </w:r>
      <w:r w:rsidR="0041022C" w:rsidRPr="004635E5">
        <w:rPr>
          <w:rFonts w:eastAsia="Calibri"/>
          <w:sz w:val="22"/>
          <w:szCs w:val="22"/>
          <w:lang w:val="en-AU"/>
        </w:rPr>
        <w:t xml:space="preserve">was </w:t>
      </w:r>
      <w:r w:rsidR="009C745D" w:rsidRPr="004635E5">
        <w:rPr>
          <w:rFonts w:eastAsia="Calibri"/>
          <w:sz w:val="22"/>
          <w:szCs w:val="22"/>
          <w:lang w:val="en-AU"/>
        </w:rPr>
        <w:t>not purely a sci</w:t>
      </w:r>
      <w:r w:rsidR="004928E8" w:rsidRPr="004635E5">
        <w:rPr>
          <w:rFonts w:eastAsia="Calibri"/>
          <w:sz w:val="22"/>
          <w:szCs w:val="22"/>
          <w:lang w:val="en-AU"/>
        </w:rPr>
        <w:t xml:space="preserve">entific </w:t>
      </w:r>
      <w:r w:rsidR="009C745D" w:rsidRPr="004635E5">
        <w:rPr>
          <w:rFonts w:eastAsia="Calibri"/>
          <w:sz w:val="22"/>
          <w:szCs w:val="22"/>
          <w:lang w:val="en-AU"/>
        </w:rPr>
        <w:t>issue</w:t>
      </w:r>
      <w:r w:rsidR="004928E8" w:rsidRPr="004635E5">
        <w:rPr>
          <w:rFonts w:eastAsia="Calibri"/>
          <w:sz w:val="22"/>
          <w:szCs w:val="22"/>
          <w:lang w:val="en-AU"/>
        </w:rPr>
        <w:t>,</w:t>
      </w:r>
      <w:r w:rsidRPr="004635E5">
        <w:rPr>
          <w:rFonts w:eastAsia="Calibri"/>
          <w:sz w:val="22"/>
          <w:szCs w:val="22"/>
          <w:lang w:val="en-AU"/>
        </w:rPr>
        <w:t xml:space="preserve"> </w:t>
      </w:r>
      <w:r w:rsidR="004928E8" w:rsidRPr="004635E5">
        <w:rPr>
          <w:rFonts w:eastAsia="Calibri"/>
          <w:sz w:val="22"/>
          <w:szCs w:val="22"/>
          <w:lang w:val="en-AU"/>
        </w:rPr>
        <w:t xml:space="preserve">and </w:t>
      </w:r>
      <w:r w:rsidRPr="004635E5">
        <w:rPr>
          <w:rFonts w:eastAsia="Calibri"/>
          <w:sz w:val="22"/>
          <w:szCs w:val="22"/>
          <w:lang w:val="en-AU"/>
        </w:rPr>
        <w:t xml:space="preserve">conservative higher reference points </w:t>
      </w:r>
      <w:r w:rsidR="004928E8" w:rsidRPr="004635E5">
        <w:rPr>
          <w:rFonts w:eastAsia="Calibri"/>
          <w:sz w:val="22"/>
          <w:szCs w:val="22"/>
          <w:lang w:val="en-AU"/>
        </w:rPr>
        <w:t xml:space="preserve">may be </w:t>
      </w:r>
      <w:r w:rsidRPr="004635E5">
        <w:rPr>
          <w:rFonts w:eastAsia="Calibri"/>
          <w:sz w:val="22"/>
          <w:szCs w:val="22"/>
          <w:lang w:val="en-AU"/>
        </w:rPr>
        <w:t>more reasonable for sharks</w:t>
      </w:r>
      <w:r w:rsidR="004928E8" w:rsidRPr="004635E5">
        <w:rPr>
          <w:rFonts w:eastAsia="Calibri"/>
          <w:sz w:val="22"/>
          <w:szCs w:val="22"/>
          <w:lang w:val="en-AU"/>
        </w:rPr>
        <w:t xml:space="preserve"> in this light</w:t>
      </w:r>
      <w:r w:rsidRPr="004635E5">
        <w:rPr>
          <w:rFonts w:eastAsia="Calibri"/>
          <w:sz w:val="22"/>
          <w:szCs w:val="22"/>
          <w:lang w:val="en-AU"/>
        </w:rPr>
        <w:t xml:space="preserve">. </w:t>
      </w:r>
    </w:p>
    <w:p w14:paraId="49778438" w14:textId="77777777" w:rsidR="0030620F" w:rsidRPr="004635E5" w:rsidRDefault="0030620F" w:rsidP="006633A8">
      <w:pPr>
        <w:autoSpaceDE w:val="0"/>
        <w:autoSpaceDN w:val="0"/>
        <w:adjustRightInd w:val="0"/>
        <w:snapToGrid w:val="0"/>
        <w:jc w:val="both"/>
        <w:rPr>
          <w:rFonts w:eastAsia="Calibri"/>
          <w:sz w:val="22"/>
          <w:szCs w:val="22"/>
          <w:lang w:val="en-AU"/>
        </w:rPr>
      </w:pPr>
    </w:p>
    <w:p w14:paraId="09182CF1" w14:textId="77777777" w:rsidR="00691C17" w:rsidRPr="004635E5" w:rsidRDefault="00691C17" w:rsidP="006633A8">
      <w:pPr>
        <w:pStyle w:val="WCPFC"/>
        <w:autoSpaceDE w:val="0"/>
        <w:autoSpaceDN w:val="0"/>
        <w:adjustRightInd w:val="0"/>
        <w:spacing w:after="0"/>
        <w:ind w:left="0" w:firstLine="0"/>
        <w:rPr>
          <w:rFonts w:eastAsia="Calibri" w:cs="Times New Roman"/>
          <w:lang w:val="en-AU"/>
        </w:rPr>
      </w:pPr>
      <w:r w:rsidRPr="004635E5">
        <w:rPr>
          <w:rFonts w:eastAsia="Times New Roman" w:cs="Times New Roman"/>
        </w:rPr>
        <w:t xml:space="preserve">S. Zhou introduced </w:t>
      </w:r>
      <w:r w:rsidR="005C3CE1">
        <w:rPr>
          <w:rFonts w:eastAsia="Calibri"/>
          <w:lang w:val="en-AU"/>
        </w:rPr>
        <w:t>SC14-</w:t>
      </w:r>
      <w:r w:rsidRPr="004635E5">
        <w:rPr>
          <w:rFonts w:eastAsia="Times New Roman" w:cs="Times New Roman"/>
        </w:rPr>
        <w:t xml:space="preserve">MI-WP-07a </w:t>
      </w:r>
      <w:r w:rsidRPr="004635E5">
        <w:rPr>
          <w:rFonts w:eastAsia="Times New Roman" w:cs="Times New Roman"/>
          <w:i/>
        </w:rPr>
        <w:t xml:space="preserve">Potential Methods for Estimating Fishing Mortality, </w:t>
      </w:r>
      <w:r w:rsidRPr="004635E5">
        <w:rPr>
          <w:rFonts w:eastAsia="Times New Roman" w:cs="Times New Roman"/>
        </w:rPr>
        <w:t>which</w:t>
      </w:r>
      <w:r w:rsidRPr="004635E5">
        <w:rPr>
          <w:rFonts w:eastAsia="Times New Roman" w:cs="Times New Roman"/>
          <w:i/>
        </w:rPr>
        <w:t xml:space="preserve"> </w:t>
      </w:r>
      <w:r w:rsidRPr="004635E5">
        <w:rPr>
          <w:rFonts w:eastAsia="Calibri" w:cs="Times New Roman"/>
          <w:lang w:val="en-AU"/>
        </w:rPr>
        <w:t>briefly reviews other potential management procedures for WCPFC elasmobranchs. As a wide range of assessment methods and management procedures have been developed for data-poor fisheries, and several comprehensive reviews have already been completed, we only discuss three procedures that are potentially promising for WCPFC bycatch. These procedures include catch-rate approaches, length-based traffic-light approaches, and catch only methods. The authors suggest that before adopting a particular approach, it is essential to check the data inventory against the key assumptions required by the method, and keep in mind the merit of consistent methodology across multiple species.</w:t>
      </w:r>
    </w:p>
    <w:p w14:paraId="7F80CFCC" w14:textId="77777777" w:rsidR="0030620F" w:rsidRPr="004635E5" w:rsidRDefault="0030620F" w:rsidP="006633A8">
      <w:pPr>
        <w:pStyle w:val="WCPFC"/>
        <w:numPr>
          <w:ilvl w:val="0"/>
          <w:numId w:val="0"/>
        </w:numPr>
        <w:autoSpaceDE w:val="0"/>
        <w:autoSpaceDN w:val="0"/>
        <w:adjustRightInd w:val="0"/>
        <w:spacing w:after="0"/>
        <w:rPr>
          <w:rFonts w:eastAsia="Calibri" w:cs="Times New Roman"/>
          <w:lang w:val="en-AU"/>
        </w:rPr>
      </w:pPr>
    </w:p>
    <w:p w14:paraId="0BB0B26F" w14:textId="77777777" w:rsidR="006F1F7D" w:rsidRPr="004635E5" w:rsidRDefault="004928E8" w:rsidP="00580EA4">
      <w:pPr>
        <w:numPr>
          <w:ilvl w:val="0"/>
          <w:numId w:val="18"/>
        </w:numPr>
        <w:autoSpaceDE w:val="0"/>
        <w:autoSpaceDN w:val="0"/>
        <w:adjustRightInd w:val="0"/>
        <w:snapToGrid w:val="0"/>
        <w:ind w:left="0" w:firstLine="0"/>
        <w:jc w:val="both"/>
        <w:rPr>
          <w:rFonts w:eastAsia="Calibri"/>
          <w:sz w:val="22"/>
          <w:szCs w:val="22"/>
          <w:lang w:val="en-AU"/>
        </w:rPr>
      </w:pPr>
      <w:r w:rsidRPr="004635E5">
        <w:rPr>
          <w:rFonts w:eastAsia="Calibri"/>
          <w:sz w:val="22"/>
          <w:szCs w:val="22"/>
          <w:lang w:val="en-AU"/>
        </w:rPr>
        <w:t xml:space="preserve">The </w:t>
      </w:r>
      <w:r w:rsidR="006F1F7D" w:rsidRPr="004635E5">
        <w:rPr>
          <w:rFonts w:eastAsia="Calibri"/>
          <w:sz w:val="22"/>
          <w:szCs w:val="22"/>
          <w:lang w:val="en-AU"/>
        </w:rPr>
        <w:t>US</w:t>
      </w:r>
      <w:r w:rsidRPr="004635E5">
        <w:rPr>
          <w:rFonts w:eastAsia="Calibri"/>
          <w:sz w:val="22"/>
          <w:szCs w:val="22"/>
          <w:lang w:val="en-AU"/>
        </w:rPr>
        <w:t xml:space="preserve">A </w:t>
      </w:r>
      <w:r w:rsidR="00EF3302" w:rsidRPr="004635E5">
        <w:rPr>
          <w:rFonts w:eastAsia="Calibri"/>
          <w:sz w:val="22"/>
          <w:szCs w:val="22"/>
          <w:lang w:val="en-AU"/>
        </w:rPr>
        <w:t xml:space="preserve">suggested </w:t>
      </w:r>
      <w:r w:rsidR="006F1F7D" w:rsidRPr="004635E5">
        <w:rPr>
          <w:rFonts w:eastAsia="Calibri"/>
          <w:sz w:val="22"/>
          <w:szCs w:val="22"/>
          <w:lang w:val="en-AU"/>
        </w:rPr>
        <w:t>an outc</w:t>
      </w:r>
      <w:r w:rsidR="00EF3302" w:rsidRPr="004635E5">
        <w:rPr>
          <w:rFonts w:eastAsia="Calibri"/>
          <w:sz w:val="22"/>
          <w:szCs w:val="22"/>
          <w:lang w:val="en-AU"/>
        </w:rPr>
        <w:t>ome could be providing guidelin</w:t>
      </w:r>
      <w:r w:rsidR="006F1F7D" w:rsidRPr="004635E5">
        <w:rPr>
          <w:rFonts w:eastAsia="Calibri"/>
          <w:sz w:val="22"/>
          <w:szCs w:val="22"/>
          <w:lang w:val="en-AU"/>
        </w:rPr>
        <w:t xml:space="preserve">es to </w:t>
      </w:r>
      <w:r w:rsidR="0041022C" w:rsidRPr="004635E5">
        <w:rPr>
          <w:rFonts w:eastAsia="Calibri"/>
          <w:sz w:val="22"/>
          <w:szCs w:val="22"/>
          <w:lang w:val="en-AU"/>
        </w:rPr>
        <w:t xml:space="preserve">assess </w:t>
      </w:r>
      <w:r w:rsidR="006F1F7D" w:rsidRPr="004635E5">
        <w:rPr>
          <w:rFonts w:eastAsia="Calibri"/>
          <w:sz w:val="22"/>
          <w:szCs w:val="22"/>
          <w:lang w:val="en-AU"/>
        </w:rPr>
        <w:t>species</w:t>
      </w:r>
      <w:r w:rsidR="00EF3302" w:rsidRPr="004635E5">
        <w:rPr>
          <w:rFonts w:eastAsia="Calibri"/>
          <w:sz w:val="22"/>
          <w:szCs w:val="22"/>
          <w:lang w:val="en-AU"/>
        </w:rPr>
        <w:t xml:space="preserve"> needing additional data</w:t>
      </w:r>
      <w:r w:rsidR="006F1F7D" w:rsidRPr="004635E5">
        <w:rPr>
          <w:rFonts w:eastAsia="Calibri"/>
          <w:sz w:val="22"/>
          <w:szCs w:val="22"/>
          <w:lang w:val="en-AU"/>
        </w:rPr>
        <w:t xml:space="preserve">, </w:t>
      </w:r>
      <w:r w:rsidR="00EF3302" w:rsidRPr="004635E5">
        <w:rPr>
          <w:rFonts w:eastAsia="Calibri"/>
          <w:sz w:val="22"/>
          <w:szCs w:val="22"/>
          <w:lang w:val="en-AU"/>
        </w:rPr>
        <w:t xml:space="preserve">which </w:t>
      </w:r>
      <w:r w:rsidR="006F1F7D" w:rsidRPr="004635E5">
        <w:rPr>
          <w:rFonts w:eastAsia="Calibri"/>
          <w:sz w:val="22"/>
          <w:szCs w:val="22"/>
          <w:lang w:val="en-AU"/>
        </w:rPr>
        <w:t xml:space="preserve">could help </w:t>
      </w:r>
      <w:r w:rsidR="00EF3302" w:rsidRPr="004635E5">
        <w:rPr>
          <w:rFonts w:eastAsia="Calibri"/>
          <w:sz w:val="22"/>
          <w:szCs w:val="22"/>
          <w:lang w:val="en-AU"/>
        </w:rPr>
        <w:t>in prioritizing</w:t>
      </w:r>
      <w:r w:rsidR="006F1F7D" w:rsidRPr="004635E5">
        <w:rPr>
          <w:rFonts w:eastAsia="Calibri"/>
          <w:sz w:val="22"/>
          <w:szCs w:val="22"/>
          <w:lang w:val="en-AU"/>
        </w:rPr>
        <w:t xml:space="preserve"> various species. </w:t>
      </w:r>
      <w:r w:rsidR="00EF3302" w:rsidRPr="004635E5">
        <w:rPr>
          <w:rFonts w:eastAsia="Calibri"/>
          <w:sz w:val="22"/>
          <w:szCs w:val="22"/>
          <w:lang w:val="en-AU"/>
        </w:rPr>
        <w:t>S. Zhou noted that estimates of F required catch data; historical data hasn’t been explored yet but there should be some given the previous assessments</w:t>
      </w:r>
      <w:r w:rsidR="006F1F7D" w:rsidRPr="004635E5">
        <w:rPr>
          <w:rFonts w:eastAsia="Calibri"/>
          <w:sz w:val="22"/>
          <w:szCs w:val="22"/>
          <w:lang w:val="en-AU"/>
        </w:rPr>
        <w:t xml:space="preserve">. </w:t>
      </w:r>
      <w:r w:rsidR="00EF3302" w:rsidRPr="004635E5">
        <w:rPr>
          <w:rFonts w:eastAsia="Calibri"/>
          <w:sz w:val="22"/>
          <w:szCs w:val="22"/>
          <w:lang w:val="en-AU"/>
        </w:rPr>
        <w:t xml:space="preserve">The </w:t>
      </w:r>
      <w:r w:rsidR="0041022C" w:rsidRPr="004635E5">
        <w:rPr>
          <w:rFonts w:eastAsia="Calibri"/>
          <w:sz w:val="22"/>
          <w:szCs w:val="22"/>
          <w:lang w:val="en-AU"/>
        </w:rPr>
        <w:t>c</w:t>
      </w:r>
      <w:r w:rsidR="00EF3302" w:rsidRPr="004635E5">
        <w:rPr>
          <w:rFonts w:eastAsia="Calibri"/>
          <w:sz w:val="22"/>
          <w:szCs w:val="22"/>
          <w:lang w:val="en-AU"/>
        </w:rPr>
        <w:t xml:space="preserve">onvener noted data presented by J. Rice, and data from expert workshop on life histories. </w:t>
      </w:r>
    </w:p>
    <w:p w14:paraId="14BA0067" w14:textId="77777777" w:rsidR="0030620F" w:rsidRPr="004635E5" w:rsidRDefault="0030620F" w:rsidP="006633A8">
      <w:pPr>
        <w:autoSpaceDE w:val="0"/>
        <w:autoSpaceDN w:val="0"/>
        <w:adjustRightInd w:val="0"/>
        <w:snapToGrid w:val="0"/>
        <w:jc w:val="both"/>
        <w:rPr>
          <w:rFonts w:eastAsia="Calibri"/>
          <w:sz w:val="22"/>
          <w:szCs w:val="22"/>
          <w:lang w:val="en-AU"/>
        </w:rPr>
      </w:pPr>
    </w:p>
    <w:p w14:paraId="3EAE2C1C" w14:textId="77777777" w:rsidR="006F1F7D" w:rsidRPr="004635E5" w:rsidRDefault="006F1F7D" w:rsidP="00580EA4">
      <w:pPr>
        <w:numPr>
          <w:ilvl w:val="0"/>
          <w:numId w:val="18"/>
        </w:numPr>
        <w:autoSpaceDE w:val="0"/>
        <w:autoSpaceDN w:val="0"/>
        <w:adjustRightInd w:val="0"/>
        <w:snapToGrid w:val="0"/>
        <w:ind w:left="0" w:firstLine="0"/>
        <w:jc w:val="both"/>
        <w:rPr>
          <w:rFonts w:eastAsia="Calibri"/>
          <w:sz w:val="22"/>
          <w:szCs w:val="22"/>
          <w:lang w:val="en-AU"/>
        </w:rPr>
      </w:pPr>
      <w:r w:rsidRPr="004635E5">
        <w:rPr>
          <w:rFonts w:eastAsia="Calibri"/>
          <w:sz w:val="22"/>
          <w:szCs w:val="22"/>
          <w:lang w:val="en-AU"/>
        </w:rPr>
        <w:t>Japan</w:t>
      </w:r>
      <w:r w:rsidR="00EF3302" w:rsidRPr="004635E5">
        <w:rPr>
          <w:rFonts w:eastAsia="Calibri"/>
          <w:sz w:val="22"/>
          <w:szCs w:val="22"/>
          <w:lang w:val="en-AU"/>
        </w:rPr>
        <w:t xml:space="preserve"> observed the project was undertaken </w:t>
      </w:r>
      <w:r w:rsidRPr="004635E5">
        <w:rPr>
          <w:rFonts w:eastAsia="Calibri"/>
          <w:sz w:val="22"/>
          <w:szCs w:val="22"/>
          <w:lang w:val="en-AU"/>
        </w:rPr>
        <w:t>in re</w:t>
      </w:r>
      <w:r w:rsidR="00EF3302" w:rsidRPr="004635E5">
        <w:rPr>
          <w:rFonts w:eastAsia="Calibri"/>
          <w:sz w:val="22"/>
          <w:szCs w:val="22"/>
          <w:lang w:val="en-AU"/>
        </w:rPr>
        <w:t>s</w:t>
      </w:r>
      <w:r w:rsidRPr="004635E5">
        <w:rPr>
          <w:rFonts w:eastAsia="Calibri"/>
          <w:sz w:val="22"/>
          <w:szCs w:val="22"/>
          <w:lang w:val="en-AU"/>
        </w:rPr>
        <w:t xml:space="preserve">ponse to </w:t>
      </w:r>
      <w:r w:rsidR="00EF3302" w:rsidRPr="004635E5">
        <w:rPr>
          <w:rFonts w:eastAsia="Calibri"/>
          <w:sz w:val="22"/>
          <w:szCs w:val="22"/>
          <w:lang w:val="en-AU"/>
        </w:rPr>
        <w:t xml:space="preserve">a </w:t>
      </w:r>
      <w:r w:rsidRPr="004635E5">
        <w:rPr>
          <w:rFonts w:eastAsia="Calibri"/>
          <w:sz w:val="22"/>
          <w:szCs w:val="22"/>
          <w:lang w:val="en-AU"/>
        </w:rPr>
        <w:t>Comm</w:t>
      </w:r>
      <w:r w:rsidR="00EF3302" w:rsidRPr="004635E5">
        <w:rPr>
          <w:rFonts w:eastAsia="Calibri"/>
          <w:sz w:val="22"/>
          <w:szCs w:val="22"/>
          <w:lang w:val="en-AU"/>
        </w:rPr>
        <w:t>ission</w:t>
      </w:r>
      <w:r w:rsidRPr="004635E5">
        <w:rPr>
          <w:rFonts w:eastAsia="Calibri"/>
          <w:sz w:val="22"/>
          <w:szCs w:val="22"/>
          <w:lang w:val="en-AU"/>
        </w:rPr>
        <w:t xml:space="preserve"> request, </w:t>
      </w:r>
      <w:r w:rsidR="00EF3302" w:rsidRPr="004635E5">
        <w:rPr>
          <w:rFonts w:eastAsia="Calibri"/>
          <w:sz w:val="22"/>
          <w:szCs w:val="22"/>
          <w:lang w:val="en-AU"/>
        </w:rPr>
        <w:t xml:space="preserve">and was </w:t>
      </w:r>
      <w:r w:rsidRPr="004635E5">
        <w:rPr>
          <w:rFonts w:eastAsia="Calibri"/>
          <w:sz w:val="22"/>
          <w:szCs w:val="22"/>
          <w:lang w:val="en-AU"/>
        </w:rPr>
        <w:t>directly related to ma</w:t>
      </w:r>
      <w:r w:rsidR="00EF3302" w:rsidRPr="004635E5">
        <w:rPr>
          <w:rFonts w:eastAsia="Calibri"/>
          <w:sz w:val="22"/>
          <w:szCs w:val="22"/>
          <w:lang w:val="en-AU"/>
        </w:rPr>
        <w:t>na</w:t>
      </w:r>
      <w:r w:rsidR="00C25552" w:rsidRPr="004635E5">
        <w:rPr>
          <w:rFonts w:eastAsia="Calibri"/>
          <w:sz w:val="22"/>
          <w:szCs w:val="22"/>
          <w:lang w:val="en-AU"/>
        </w:rPr>
        <w:t>gement</w:t>
      </w:r>
      <w:r w:rsidR="0041022C" w:rsidRPr="004635E5">
        <w:rPr>
          <w:rFonts w:eastAsia="Calibri"/>
          <w:sz w:val="22"/>
          <w:szCs w:val="22"/>
          <w:lang w:val="en-AU"/>
        </w:rPr>
        <w:t xml:space="preserve">, and that </w:t>
      </w:r>
      <w:r w:rsidRPr="004635E5">
        <w:rPr>
          <w:rFonts w:eastAsia="Calibri"/>
          <w:sz w:val="22"/>
          <w:szCs w:val="22"/>
          <w:lang w:val="en-AU"/>
        </w:rPr>
        <w:t xml:space="preserve">results </w:t>
      </w:r>
      <w:r w:rsidR="0041022C" w:rsidRPr="004635E5">
        <w:rPr>
          <w:rFonts w:eastAsia="Calibri"/>
          <w:sz w:val="22"/>
          <w:szCs w:val="22"/>
          <w:lang w:val="en-AU"/>
        </w:rPr>
        <w:t xml:space="preserve">would </w:t>
      </w:r>
      <w:r w:rsidRPr="004635E5">
        <w:rPr>
          <w:rFonts w:eastAsia="Calibri"/>
          <w:sz w:val="22"/>
          <w:szCs w:val="22"/>
          <w:lang w:val="en-AU"/>
        </w:rPr>
        <w:t xml:space="preserve">be presented to </w:t>
      </w:r>
      <w:r w:rsidR="0041022C" w:rsidRPr="004635E5">
        <w:rPr>
          <w:rFonts w:eastAsia="Calibri"/>
          <w:sz w:val="22"/>
          <w:szCs w:val="22"/>
          <w:lang w:val="en-AU"/>
        </w:rPr>
        <w:t xml:space="preserve">the </w:t>
      </w:r>
      <w:r w:rsidRPr="004635E5">
        <w:rPr>
          <w:rFonts w:eastAsia="Calibri"/>
          <w:sz w:val="22"/>
          <w:szCs w:val="22"/>
          <w:lang w:val="en-AU"/>
        </w:rPr>
        <w:t xml:space="preserve">Commissioners and stakeholders. </w:t>
      </w:r>
      <w:r w:rsidR="00C25552" w:rsidRPr="004635E5">
        <w:rPr>
          <w:rFonts w:eastAsia="Calibri"/>
          <w:sz w:val="22"/>
          <w:szCs w:val="22"/>
          <w:lang w:val="en-AU"/>
        </w:rPr>
        <w:t xml:space="preserve">The project used two new </w:t>
      </w:r>
      <w:r w:rsidRPr="004635E5">
        <w:rPr>
          <w:rFonts w:eastAsia="Calibri"/>
          <w:sz w:val="22"/>
          <w:szCs w:val="22"/>
          <w:lang w:val="en-AU"/>
        </w:rPr>
        <w:t>approaches: setting LRPs</w:t>
      </w:r>
      <w:r w:rsidR="00C25552" w:rsidRPr="004635E5">
        <w:rPr>
          <w:rFonts w:eastAsia="Calibri"/>
          <w:sz w:val="22"/>
          <w:szCs w:val="22"/>
          <w:lang w:val="en-AU"/>
        </w:rPr>
        <w:t>,</w:t>
      </w:r>
      <w:r w:rsidRPr="004635E5">
        <w:rPr>
          <w:rFonts w:eastAsia="Calibri"/>
          <w:sz w:val="22"/>
          <w:szCs w:val="22"/>
          <w:lang w:val="en-AU"/>
        </w:rPr>
        <w:t xml:space="preserve"> and how to eval</w:t>
      </w:r>
      <w:r w:rsidR="00C25552" w:rsidRPr="004635E5">
        <w:rPr>
          <w:rFonts w:eastAsia="Calibri"/>
          <w:sz w:val="22"/>
          <w:szCs w:val="22"/>
          <w:lang w:val="en-AU"/>
        </w:rPr>
        <w:t>uate</w:t>
      </w:r>
      <w:r w:rsidRPr="004635E5">
        <w:rPr>
          <w:rFonts w:eastAsia="Calibri"/>
          <w:sz w:val="22"/>
          <w:szCs w:val="22"/>
          <w:lang w:val="en-AU"/>
        </w:rPr>
        <w:t xml:space="preserve"> using fishing mortality. </w:t>
      </w:r>
      <w:r w:rsidR="0041022C" w:rsidRPr="004635E5">
        <w:rPr>
          <w:rFonts w:eastAsia="Calibri"/>
          <w:sz w:val="22"/>
          <w:szCs w:val="22"/>
          <w:lang w:val="en-AU"/>
        </w:rPr>
        <w:t>They suggested that e</w:t>
      </w:r>
      <w:r w:rsidRPr="004635E5">
        <w:rPr>
          <w:rFonts w:eastAsia="Calibri"/>
          <w:sz w:val="22"/>
          <w:szCs w:val="22"/>
          <w:lang w:val="en-AU"/>
        </w:rPr>
        <w:t>x</w:t>
      </w:r>
      <w:r w:rsidR="00C25552" w:rsidRPr="004635E5">
        <w:rPr>
          <w:rFonts w:eastAsia="Calibri"/>
          <w:sz w:val="22"/>
          <w:szCs w:val="22"/>
          <w:lang w:val="en-AU"/>
        </w:rPr>
        <w:t>p</w:t>
      </w:r>
      <w:r w:rsidRPr="004635E5">
        <w:rPr>
          <w:rFonts w:eastAsia="Calibri"/>
          <w:sz w:val="22"/>
          <w:szCs w:val="22"/>
          <w:lang w:val="en-AU"/>
        </w:rPr>
        <w:t>lain</w:t>
      </w:r>
      <w:r w:rsidR="00C25552" w:rsidRPr="004635E5">
        <w:rPr>
          <w:rFonts w:eastAsia="Calibri"/>
          <w:sz w:val="22"/>
          <w:szCs w:val="22"/>
          <w:lang w:val="en-AU"/>
        </w:rPr>
        <w:t>ing</w:t>
      </w:r>
      <w:r w:rsidRPr="004635E5">
        <w:rPr>
          <w:rFonts w:eastAsia="Calibri"/>
          <w:sz w:val="22"/>
          <w:szCs w:val="22"/>
          <w:lang w:val="en-AU"/>
        </w:rPr>
        <w:t xml:space="preserve"> this to </w:t>
      </w:r>
      <w:r w:rsidR="0041022C" w:rsidRPr="004635E5">
        <w:rPr>
          <w:rFonts w:eastAsia="Calibri"/>
          <w:sz w:val="22"/>
          <w:szCs w:val="22"/>
          <w:lang w:val="en-AU"/>
        </w:rPr>
        <w:t>the C</w:t>
      </w:r>
      <w:r w:rsidRPr="004635E5">
        <w:rPr>
          <w:rFonts w:eastAsia="Calibri"/>
          <w:sz w:val="22"/>
          <w:szCs w:val="22"/>
          <w:lang w:val="en-AU"/>
        </w:rPr>
        <w:t xml:space="preserve">ommissioners and stakeholders </w:t>
      </w:r>
      <w:r w:rsidR="0041022C" w:rsidRPr="004635E5">
        <w:rPr>
          <w:rFonts w:eastAsia="Calibri"/>
          <w:sz w:val="22"/>
          <w:szCs w:val="22"/>
          <w:lang w:val="en-AU"/>
        </w:rPr>
        <w:t xml:space="preserve">would </w:t>
      </w:r>
      <w:r w:rsidRPr="004635E5">
        <w:rPr>
          <w:rFonts w:eastAsia="Calibri"/>
          <w:sz w:val="22"/>
          <w:szCs w:val="22"/>
          <w:lang w:val="en-AU"/>
        </w:rPr>
        <w:t>be</w:t>
      </w:r>
      <w:r w:rsidR="00C25552" w:rsidRPr="004635E5">
        <w:rPr>
          <w:rFonts w:eastAsia="Calibri"/>
          <w:sz w:val="22"/>
          <w:szCs w:val="22"/>
          <w:lang w:val="en-AU"/>
        </w:rPr>
        <w:t xml:space="preserve"> difficult, as it is a new approach</w:t>
      </w:r>
      <w:r w:rsidRPr="004635E5">
        <w:rPr>
          <w:rFonts w:eastAsia="Calibri"/>
          <w:sz w:val="22"/>
          <w:szCs w:val="22"/>
          <w:lang w:val="en-AU"/>
        </w:rPr>
        <w:t xml:space="preserve">. </w:t>
      </w:r>
      <w:r w:rsidR="0041022C" w:rsidRPr="004635E5">
        <w:rPr>
          <w:rFonts w:eastAsia="Calibri"/>
          <w:sz w:val="22"/>
          <w:szCs w:val="22"/>
          <w:lang w:val="en-AU"/>
        </w:rPr>
        <w:t xml:space="preserve">They observed that </w:t>
      </w:r>
      <w:r w:rsidRPr="004635E5">
        <w:rPr>
          <w:rFonts w:eastAsia="Calibri"/>
          <w:sz w:val="22"/>
          <w:szCs w:val="22"/>
          <w:lang w:val="en-AU"/>
        </w:rPr>
        <w:t xml:space="preserve">FFA countries </w:t>
      </w:r>
      <w:r w:rsidR="0041022C" w:rsidRPr="004635E5">
        <w:rPr>
          <w:rFonts w:eastAsia="Calibri"/>
          <w:sz w:val="22"/>
          <w:szCs w:val="22"/>
          <w:lang w:val="en-AU"/>
        </w:rPr>
        <w:t xml:space="preserve">had </w:t>
      </w:r>
      <w:r w:rsidRPr="004635E5">
        <w:rPr>
          <w:rFonts w:eastAsia="Calibri"/>
          <w:sz w:val="22"/>
          <w:szCs w:val="22"/>
          <w:lang w:val="en-AU"/>
        </w:rPr>
        <w:t>raise</w:t>
      </w:r>
      <w:r w:rsidR="0041022C" w:rsidRPr="004635E5">
        <w:rPr>
          <w:rFonts w:eastAsia="Calibri"/>
          <w:sz w:val="22"/>
          <w:szCs w:val="22"/>
          <w:lang w:val="en-AU"/>
        </w:rPr>
        <w:t>d</w:t>
      </w:r>
      <w:r w:rsidRPr="004635E5">
        <w:rPr>
          <w:rFonts w:eastAsia="Calibri"/>
          <w:sz w:val="22"/>
          <w:szCs w:val="22"/>
          <w:lang w:val="en-AU"/>
        </w:rPr>
        <w:t xml:space="preserve"> the point that ecol</w:t>
      </w:r>
      <w:r w:rsidR="00C25552" w:rsidRPr="004635E5">
        <w:rPr>
          <w:rFonts w:eastAsia="Calibri"/>
          <w:sz w:val="22"/>
          <w:szCs w:val="22"/>
          <w:lang w:val="en-AU"/>
        </w:rPr>
        <w:t xml:space="preserve">ogically related </w:t>
      </w:r>
      <w:r w:rsidRPr="004635E5">
        <w:rPr>
          <w:rFonts w:eastAsia="Calibri"/>
          <w:sz w:val="22"/>
          <w:szCs w:val="22"/>
          <w:lang w:val="en-AU"/>
        </w:rPr>
        <w:t>species should be</w:t>
      </w:r>
      <w:r w:rsidR="00C25552" w:rsidRPr="004635E5">
        <w:rPr>
          <w:rFonts w:eastAsia="Calibri"/>
          <w:sz w:val="22"/>
          <w:szCs w:val="22"/>
          <w:lang w:val="en-AU"/>
        </w:rPr>
        <w:t xml:space="preserve"> </w:t>
      </w:r>
      <w:r w:rsidRPr="004635E5">
        <w:rPr>
          <w:rFonts w:eastAsia="Calibri"/>
          <w:sz w:val="22"/>
          <w:szCs w:val="22"/>
          <w:lang w:val="en-AU"/>
        </w:rPr>
        <w:t>managed diff</w:t>
      </w:r>
      <w:r w:rsidR="00C25552" w:rsidRPr="004635E5">
        <w:rPr>
          <w:rFonts w:eastAsia="Calibri"/>
          <w:sz w:val="22"/>
          <w:szCs w:val="22"/>
          <w:lang w:val="en-AU"/>
        </w:rPr>
        <w:t>erently</w:t>
      </w:r>
      <w:r w:rsidRPr="004635E5">
        <w:rPr>
          <w:rFonts w:eastAsia="Calibri"/>
          <w:sz w:val="22"/>
          <w:szCs w:val="22"/>
          <w:lang w:val="en-AU"/>
        </w:rPr>
        <w:t>,</w:t>
      </w:r>
      <w:r w:rsidR="00C25552" w:rsidRPr="004635E5">
        <w:rPr>
          <w:rFonts w:eastAsia="Calibri"/>
          <w:sz w:val="22"/>
          <w:szCs w:val="22"/>
          <w:lang w:val="en-AU"/>
        </w:rPr>
        <w:t xml:space="preserve"> which</w:t>
      </w:r>
      <w:r w:rsidRPr="004635E5">
        <w:rPr>
          <w:rFonts w:eastAsia="Calibri"/>
          <w:sz w:val="22"/>
          <w:szCs w:val="22"/>
          <w:lang w:val="en-AU"/>
        </w:rPr>
        <w:t xml:space="preserve"> is </w:t>
      </w:r>
      <w:r w:rsidR="00C25552" w:rsidRPr="004635E5">
        <w:rPr>
          <w:rFonts w:eastAsia="Calibri"/>
          <w:sz w:val="22"/>
          <w:szCs w:val="22"/>
          <w:lang w:val="en-AU"/>
        </w:rPr>
        <w:t xml:space="preserve">an </w:t>
      </w:r>
      <w:r w:rsidRPr="004635E5">
        <w:rPr>
          <w:rFonts w:eastAsia="Calibri"/>
          <w:sz w:val="22"/>
          <w:szCs w:val="22"/>
          <w:lang w:val="en-AU"/>
        </w:rPr>
        <w:t>imp</w:t>
      </w:r>
      <w:r w:rsidR="00C25552" w:rsidRPr="004635E5">
        <w:rPr>
          <w:rFonts w:eastAsia="Calibri"/>
          <w:sz w:val="22"/>
          <w:szCs w:val="22"/>
          <w:lang w:val="en-AU"/>
        </w:rPr>
        <w:t>ortant</w:t>
      </w:r>
      <w:r w:rsidRPr="004635E5">
        <w:rPr>
          <w:rFonts w:eastAsia="Calibri"/>
          <w:sz w:val="22"/>
          <w:szCs w:val="22"/>
          <w:lang w:val="en-AU"/>
        </w:rPr>
        <w:t xml:space="preserve"> consideration. </w:t>
      </w:r>
      <w:r w:rsidR="0041022C" w:rsidRPr="004635E5">
        <w:rPr>
          <w:rFonts w:eastAsia="Calibri"/>
          <w:sz w:val="22"/>
          <w:szCs w:val="22"/>
          <w:lang w:val="en-AU"/>
        </w:rPr>
        <w:t>They queried h</w:t>
      </w:r>
      <w:r w:rsidR="00C25552" w:rsidRPr="004635E5">
        <w:rPr>
          <w:rFonts w:eastAsia="Calibri"/>
          <w:sz w:val="22"/>
          <w:szCs w:val="22"/>
          <w:lang w:val="en-AU"/>
        </w:rPr>
        <w:t xml:space="preserve">ow the LRPs </w:t>
      </w:r>
      <w:r w:rsidR="0041022C" w:rsidRPr="004635E5">
        <w:rPr>
          <w:rFonts w:eastAsia="Calibri"/>
          <w:sz w:val="22"/>
          <w:szCs w:val="22"/>
          <w:lang w:val="en-AU"/>
        </w:rPr>
        <w:t xml:space="preserve">were </w:t>
      </w:r>
      <w:r w:rsidR="00C25552" w:rsidRPr="004635E5">
        <w:rPr>
          <w:rFonts w:eastAsia="Calibri"/>
          <w:sz w:val="22"/>
          <w:szCs w:val="22"/>
          <w:lang w:val="en-AU"/>
        </w:rPr>
        <w:t xml:space="preserve">to be used and incorporated into management, given that these </w:t>
      </w:r>
      <w:r w:rsidR="0041022C" w:rsidRPr="004635E5">
        <w:rPr>
          <w:rFonts w:eastAsia="Calibri"/>
          <w:sz w:val="22"/>
          <w:szCs w:val="22"/>
          <w:lang w:val="en-AU"/>
        </w:rPr>
        <w:t xml:space="preserve">were </w:t>
      </w:r>
      <w:r w:rsidR="00C25552" w:rsidRPr="004635E5">
        <w:rPr>
          <w:rFonts w:eastAsia="Calibri"/>
          <w:sz w:val="22"/>
          <w:szCs w:val="22"/>
          <w:lang w:val="en-AU"/>
        </w:rPr>
        <w:t xml:space="preserve">bycatch species; </w:t>
      </w:r>
      <w:r w:rsidR="0041022C" w:rsidRPr="004635E5">
        <w:rPr>
          <w:rFonts w:eastAsia="Calibri"/>
          <w:sz w:val="22"/>
          <w:szCs w:val="22"/>
          <w:lang w:val="en-AU"/>
        </w:rPr>
        <w:t xml:space="preserve">and </w:t>
      </w:r>
      <w:r w:rsidR="00C25552" w:rsidRPr="004635E5">
        <w:rPr>
          <w:rFonts w:eastAsia="Calibri"/>
          <w:sz w:val="22"/>
          <w:szCs w:val="22"/>
          <w:lang w:val="en-AU"/>
        </w:rPr>
        <w:t xml:space="preserve">how </w:t>
      </w:r>
      <w:r w:rsidR="0041022C" w:rsidRPr="004635E5">
        <w:rPr>
          <w:rFonts w:eastAsia="Calibri"/>
          <w:sz w:val="22"/>
          <w:szCs w:val="22"/>
          <w:lang w:val="en-AU"/>
        </w:rPr>
        <w:t xml:space="preserve">the </w:t>
      </w:r>
      <w:r w:rsidR="00C25552" w:rsidRPr="004635E5">
        <w:rPr>
          <w:rFonts w:eastAsia="Calibri"/>
          <w:sz w:val="22"/>
          <w:szCs w:val="22"/>
          <w:lang w:val="en-AU"/>
        </w:rPr>
        <w:t xml:space="preserve">LRPs </w:t>
      </w:r>
      <w:r w:rsidR="0041022C" w:rsidRPr="004635E5">
        <w:rPr>
          <w:rFonts w:eastAsia="Calibri"/>
          <w:sz w:val="22"/>
          <w:szCs w:val="22"/>
          <w:lang w:val="en-AU"/>
        </w:rPr>
        <w:t xml:space="preserve">would </w:t>
      </w:r>
      <w:r w:rsidR="00C25552" w:rsidRPr="004635E5">
        <w:rPr>
          <w:rFonts w:eastAsia="Calibri"/>
          <w:sz w:val="22"/>
          <w:szCs w:val="22"/>
          <w:lang w:val="en-AU"/>
        </w:rPr>
        <w:t xml:space="preserve">be maintained. The convener noted the SAFE method has been used </w:t>
      </w:r>
      <w:r w:rsidR="006E5FCF">
        <w:rPr>
          <w:rFonts w:eastAsia="Calibri"/>
          <w:sz w:val="22"/>
          <w:szCs w:val="22"/>
          <w:lang w:val="en-AU"/>
        </w:rPr>
        <w:t xml:space="preserve">elsewhere and </w:t>
      </w:r>
      <w:r w:rsidR="00C25552" w:rsidRPr="004635E5">
        <w:rPr>
          <w:rFonts w:eastAsia="Calibri"/>
          <w:sz w:val="22"/>
          <w:szCs w:val="22"/>
          <w:lang w:val="en-AU"/>
        </w:rPr>
        <w:t xml:space="preserve">so perhaps some further instruction and reference to when and where it has been used would be helpful. </w:t>
      </w:r>
    </w:p>
    <w:p w14:paraId="3ADF0CF5" w14:textId="77777777" w:rsidR="0030620F" w:rsidRPr="004635E5" w:rsidRDefault="0030620F" w:rsidP="006633A8">
      <w:pPr>
        <w:autoSpaceDE w:val="0"/>
        <w:autoSpaceDN w:val="0"/>
        <w:adjustRightInd w:val="0"/>
        <w:snapToGrid w:val="0"/>
        <w:jc w:val="both"/>
        <w:rPr>
          <w:rFonts w:eastAsia="Calibri"/>
          <w:sz w:val="22"/>
          <w:szCs w:val="22"/>
          <w:lang w:val="en-AU"/>
        </w:rPr>
      </w:pPr>
    </w:p>
    <w:p w14:paraId="1A00E43B" w14:textId="77777777" w:rsidR="00691C17" w:rsidRPr="004635E5" w:rsidRDefault="0041022C" w:rsidP="00580EA4">
      <w:pPr>
        <w:numPr>
          <w:ilvl w:val="0"/>
          <w:numId w:val="18"/>
        </w:numPr>
        <w:autoSpaceDE w:val="0"/>
        <w:autoSpaceDN w:val="0"/>
        <w:adjustRightInd w:val="0"/>
        <w:snapToGrid w:val="0"/>
        <w:ind w:left="0" w:firstLine="0"/>
        <w:jc w:val="both"/>
        <w:rPr>
          <w:sz w:val="22"/>
          <w:szCs w:val="22"/>
        </w:rPr>
      </w:pPr>
      <w:r w:rsidRPr="004635E5">
        <w:rPr>
          <w:sz w:val="22"/>
          <w:szCs w:val="22"/>
        </w:rPr>
        <w:t xml:space="preserve">M. Dunn presented </w:t>
      </w:r>
      <w:r w:rsidR="005C3CE1">
        <w:rPr>
          <w:rFonts w:eastAsia="Calibri"/>
          <w:sz w:val="22"/>
          <w:szCs w:val="22"/>
          <w:lang w:val="en-AU"/>
        </w:rPr>
        <w:t>SC14-</w:t>
      </w:r>
      <w:r w:rsidRPr="004635E5">
        <w:rPr>
          <w:sz w:val="22"/>
          <w:szCs w:val="22"/>
        </w:rPr>
        <w:t xml:space="preserve">MI-WP-07b </w:t>
      </w:r>
      <w:r w:rsidRPr="004635E5">
        <w:rPr>
          <w:i/>
          <w:sz w:val="22"/>
          <w:szCs w:val="22"/>
        </w:rPr>
        <w:t>Potential Estimation of Stock-Recruitment Steepness</w:t>
      </w:r>
      <w:r w:rsidRPr="004635E5">
        <w:rPr>
          <w:sz w:val="22"/>
          <w:szCs w:val="22"/>
        </w:rPr>
        <w:t xml:space="preserve">. </w:t>
      </w:r>
      <w:r w:rsidR="00691C17" w:rsidRPr="004635E5">
        <w:rPr>
          <w:sz w:val="22"/>
          <w:szCs w:val="22"/>
        </w:rPr>
        <w:t>Kai &amp; Fujinami (2018) presented an approach based on the method of Mangel et al (2010), to estimate stock recruitment model steepness from life history data, and applied it to North Pacific blue shark.</w:t>
      </w:r>
      <w:r w:rsidR="00691C17" w:rsidRPr="004635E5">
        <w:rPr>
          <w:rStyle w:val="FootnoteReference"/>
          <w:sz w:val="22"/>
          <w:szCs w:val="22"/>
        </w:rPr>
        <w:footnoteReference w:id="6"/>
      </w:r>
      <w:r w:rsidR="00691C17" w:rsidRPr="004635E5">
        <w:rPr>
          <w:sz w:val="22"/>
          <w:szCs w:val="22"/>
        </w:rPr>
        <w:t xml:space="preserve"> Stock-recruitment models assume individual productivity increases substantially and stock density declines. The Mangel et al. (2010) method requires estimates of individual productivity where stock size is close to zero, and in the absence of fishing. M. Dunn noted that when life history data are available, it is generally unknown at which point on the stock recruitment curve they were taken, and a single sample cannot represent individual productivity for both low and high stock densities. The assumed stock recruitment model was also influential on results. Preliminary conclusions were that the method was interesting, but required further testing was before it was used to determine reference points.  </w:t>
      </w:r>
    </w:p>
    <w:p w14:paraId="2F405B04" w14:textId="77777777" w:rsidR="0030620F" w:rsidRPr="004635E5" w:rsidRDefault="0030620F" w:rsidP="006633A8">
      <w:pPr>
        <w:autoSpaceDE w:val="0"/>
        <w:autoSpaceDN w:val="0"/>
        <w:adjustRightInd w:val="0"/>
        <w:snapToGrid w:val="0"/>
        <w:jc w:val="both"/>
        <w:rPr>
          <w:sz w:val="22"/>
          <w:szCs w:val="22"/>
        </w:rPr>
      </w:pPr>
    </w:p>
    <w:p w14:paraId="52F0690A" w14:textId="77777777" w:rsidR="00691C17" w:rsidRPr="004635E5" w:rsidRDefault="00691C17" w:rsidP="00580EA4">
      <w:pPr>
        <w:numPr>
          <w:ilvl w:val="0"/>
          <w:numId w:val="18"/>
        </w:numPr>
        <w:autoSpaceDE w:val="0"/>
        <w:autoSpaceDN w:val="0"/>
        <w:adjustRightInd w:val="0"/>
        <w:snapToGrid w:val="0"/>
        <w:ind w:left="0" w:firstLine="0"/>
        <w:jc w:val="both"/>
        <w:rPr>
          <w:sz w:val="22"/>
          <w:szCs w:val="22"/>
        </w:rPr>
      </w:pPr>
      <w:r w:rsidRPr="004635E5">
        <w:rPr>
          <w:sz w:val="22"/>
          <w:szCs w:val="22"/>
        </w:rPr>
        <w:t>Japan noted blue shark have very high productivity (annual breeding and large litters) compared to other species</w:t>
      </w:r>
      <w:r w:rsidR="006E5FCF">
        <w:rPr>
          <w:rFonts w:eastAsiaTheme="minorEastAsia" w:hint="eastAsia"/>
          <w:sz w:val="22"/>
          <w:szCs w:val="22"/>
          <w:lang w:eastAsia="ko-KR"/>
        </w:rPr>
        <w:t>,</w:t>
      </w:r>
      <w:r w:rsidRPr="004635E5">
        <w:rPr>
          <w:sz w:val="22"/>
          <w:szCs w:val="22"/>
        </w:rPr>
        <w:t xml:space="preserve"> and thus </w:t>
      </w:r>
      <w:r w:rsidR="006E5FCF">
        <w:rPr>
          <w:sz w:val="22"/>
          <w:szCs w:val="22"/>
        </w:rPr>
        <w:t xml:space="preserve">whether </w:t>
      </w:r>
      <w:r w:rsidRPr="004635E5">
        <w:rPr>
          <w:sz w:val="22"/>
          <w:szCs w:val="22"/>
        </w:rPr>
        <w:t xml:space="preserve">the steepness value in the paper for blue shark was plausible. They queried regarding the interpretation of steepness in different stock recruitment models. M. Dunn responded </w:t>
      </w:r>
      <w:r w:rsidR="006E5FCF">
        <w:rPr>
          <w:sz w:val="22"/>
          <w:szCs w:val="22"/>
        </w:rPr>
        <w:t xml:space="preserve">that </w:t>
      </w:r>
      <w:r w:rsidRPr="004635E5">
        <w:rPr>
          <w:sz w:val="22"/>
          <w:szCs w:val="22"/>
        </w:rPr>
        <w:t xml:space="preserve">it was not the absolute level of productivity but the extent to which productivity changed as density changed that was relevant, and that the form of the stock recruitment curve was unknown for sharks and that this uncertainty should be recognised. M. Dunn confirmed it would be beneficial to test the method for another shark species, and welcomed input, as well as information on how productivity and stock size have changed. </w:t>
      </w:r>
    </w:p>
    <w:p w14:paraId="6BFA9480" w14:textId="77777777" w:rsidR="0030620F" w:rsidRPr="004635E5" w:rsidRDefault="0030620F" w:rsidP="006633A8">
      <w:pPr>
        <w:autoSpaceDE w:val="0"/>
        <w:autoSpaceDN w:val="0"/>
        <w:adjustRightInd w:val="0"/>
        <w:snapToGrid w:val="0"/>
        <w:jc w:val="both"/>
        <w:rPr>
          <w:sz w:val="22"/>
          <w:szCs w:val="22"/>
        </w:rPr>
      </w:pPr>
    </w:p>
    <w:p w14:paraId="071FD39C" w14:textId="77777777" w:rsidR="00691C17" w:rsidRPr="004635E5" w:rsidRDefault="00691C17" w:rsidP="00580EA4">
      <w:pPr>
        <w:numPr>
          <w:ilvl w:val="0"/>
          <w:numId w:val="18"/>
        </w:numPr>
        <w:autoSpaceDE w:val="0"/>
        <w:autoSpaceDN w:val="0"/>
        <w:adjustRightInd w:val="0"/>
        <w:snapToGrid w:val="0"/>
        <w:ind w:left="0" w:firstLine="0"/>
        <w:jc w:val="both"/>
        <w:rPr>
          <w:sz w:val="22"/>
          <w:szCs w:val="22"/>
        </w:rPr>
      </w:pPr>
      <w:r w:rsidRPr="004635E5">
        <w:rPr>
          <w:sz w:val="22"/>
          <w:szCs w:val="22"/>
        </w:rPr>
        <w:t>The USA noted that North Pacific blue shark used a low productivity stock recruitment relationship, and inquired if alternative curves had been proposed or were under study. M.</w:t>
      </w:r>
      <w:r w:rsidR="00F659CA">
        <w:rPr>
          <w:rFonts w:eastAsiaTheme="minorEastAsia" w:hint="eastAsia"/>
          <w:sz w:val="22"/>
          <w:szCs w:val="22"/>
          <w:lang w:eastAsia="ko-KR"/>
        </w:rPr>
        <w:t xml:space="preserve"> </w:t>
      </w:r>
      <w:r w:rsidRPr="004635E5">
        <w:rPr>
          <w:sz w:val="22"/>
          <w:szCs w:val="22"/>
        </w:rPr>
        <w:t>Dunn stated this would be tried if it proved possible.</w:t>
      </w:r>
    </w:p>
    <w:p w14:paraId="6B05CABB" w14:textId="77777777" w:rsidR="0030620F" w:rsidRPr="004635E5" w:rsidRDefault="0030620F" w:rsidP="006633A8">
      <w:pPr>
        <w:autoSpaceDE w:val="0"/>
        <w:autoSpaceDN w:val="0"/>
        <w:adjustRightInd w:val="0"/>
        <w:snapToGrid w:val="0"/>
        <w:jc w:val="both"/>
        <w:rPr>
          <w:sz w:val="22"/>
          <w:szCs w:val="22"/>
        </w:rPr>
      </w:pPr>
    </w:p>
    <w:p w14:paraId="583F5793" w14:textId="77777777" w:rsidR="003A76CD" w:rsidRPr="004635E5" w:rsidRDefault="0008628A" w:rsidP="006633A8">
      <w:pPr>
        <w:adjustRightInd w:val="0"/>
        <w:snapToGrid w:val="0"/>
        <w:jc w:val="both"/>
        <w:rPr>
          <w:rFonts w:eastAsiaTheme="minorEastAsia"/>
          <w:b/>
          <w:sz w:val="22"/>
          <w:szCs w:val="22"/>
          <w:lang w:eastAsia="ko-KR"/>
        </w:rPr>
      </w:pPr>
      <w:r w:rsidRPr="004635E5">
        <w:rPr>
          <w:rFonts w:eastAsiaTheme="minorEastAsia"/>
          <w:b/>
          <w:sz w:val="22"/>
          <w:szCs w:val="22"/>
          <w:lang w:eastAsia="ko-KR"/>
        </w:rPr>
        <w:t>Recommendation</w:t>
      </w:r>
    </w:p>
    <w:p w14:paraId="110F951F" w14:textId="77777777" w:rsidR="007353E1" w:rsidRPr="004635E5" w:rsidRDefault="007353E1" w:rsidP="006633A8">
      <w:pPr>
        <w:adjustRightInd w:val="0"/>
        <w:snapToGrid w:val="0"/>
        <w:jc w:val="both"/>
        <w:rPr>
          <w:rFonts w:eastAsiaTheme="minorEastAsia"/>
          <w:b/>
          <w:sz w:val="22"/>
          <w:szCs w:val="22"/>
          <w:lang w:eastAsia="ko-KR"/>
        </w:rPr>
      </w:pPr>
    </w:p>
    <w:p w14:paraId="1DD87D43" w14:textId="77777777" w:rsidR="003A76CD" w:rsidRDefault="003A76CD" w:rsidP="00580EA4">
      <w:pPr>
        <w:widowControl w:val="0"/>
        <w:numPr>
          <w:ilvl w:val="0"/>
          <w:numId w:val="18"/>
        </w:numPr>
        <w:autoSpaceDE w:val="0"/>
        <w:autoSpaceDN w:val="0"/>
        <w:adjustRightInd w:val="0"/>
        <w:snapToGrid w:val="0"/>
        <w:ind w:left="0" w:firstLine="0"/>
        <w:jc w:val="both"/>
        <w:rPr>
          <w:rFonts w:eastAsia="Malgun Gothic"/>
          <w:b/>
          <w:sz w:val="22"/>
          <w:szCs w:val="22"/>
        </w:rPr>
      </w:pPr>
      <w:r w:rsidRPr="004635E5">
        <w:rPr>
          <w:rFonts w:eastAsia="Malgun Gothic"/>
          <w:b/>
          <w:sz w:val="22"/>
          <w:szCs w:val="22"/>
        </w:rPr>
        <w:t>SC14 reviewed the progress report of the project “</w:t>
      </w:r>
      <w:r w:rsidRPr="004635E5">
        <w:rPr>
          <w:rFonts w:eastAsia="Malgun Gothic"/>
          <w:b/>
          <w:sz w:val="22"/>
          <w:szCs w:val="22"/>
          <w:lang w:val="en-NZ"/>
        </w:rPr>
        <w:t xml:space="preserve">Identifying appropriate reference points for elasmobranchs within the WCPFC” </w:t>
      </w:r>
      <w:r w:rsidRPr="004635E5">
        <w:rPr>
          <w:rFonts w:eastAsia="Malgun Gothic"/>
          <w:b/>
          <w:color w:val="000000"/>
          <w:sz w:val="22"/>
          <w:szCs w:val="22"/>
          <w:lang w:val="en-NZ"/>
        </w:rPr>
        <w:t>(</w:t>
      </w:r>
      <w:r w:rsidRPr="004635E5">
        <w:rPr>
          <w:rFonts w:eastAsia="Malgun Gothic"/>
          <w:b/>
          <w:color w:val="000000"/>
          <w:sz w:val="22"/>
          <w:szCs w:val="22"/>
          <w:lang w:eastAsia="ko-KR"/>
        </w:rPr>
        <w:t>SC14-</w:t>
      </w:r>
      <w:r w:rsidRPr="004635E5">
        <w:rPr>
          <w:b/>
          <w:color w:val="000000"/>
          <w:sz w:val="22"/>
          <w:szCs w:val="22"/>
        </w:rPr>
        <w:t>MI-WP-07) noting that this project had only recently commenced and that further work will be undertaken before the project is completed later this year</w:t>
      </w:r>
      <w:r w:rsidRPr="004635E5">
        <w:rPr>
          <w:rFonts w:eastAsia="Calibri"/>
          <w:b/>
          <w:sz w:val="22"/>
          <w:szCs w:val="22"/>
        </w:rPr>
        <w:t xml:space="preserve">. SC14 </w:t>
      </w:r>
      <w:r w:rsidRPr="004635E5">
        <w:rPr>
          <w:rFonts w:eastAsia="Malgun Gothic"/>
          <w:b/>
          <w:sz w:val="22"/>
          <w:szCs w:val="22"/>
          <w:lang w:val="en-NZ"/>
        </w:rPr>
        <w:t xml:space="preserve">provided comments and feedback as requested on the initial work completed and the future work program. SC14 supported the general approaches being developed as a way of avoiding the weaknesses of conventional stock assessment on data poor species and the general hierarchical approach to LRP setting, also noting that the risk-based approach which is different from traditional stock assessment approach may take time to be understood. However, several CCMs expressed some concern that some of the suggested LRPs may be too conservative, noting that the </w:t>
      </w:r>
      <w:r w:rsidRPr="004635E5">
        <w:rPr>
          <w:rFonts w:eastAsia="Malgun Gothic"/>
          <w:b/>
          <w:sz w:val="22"/>
          <w:szCs w:val="22"/>
        </w:rPr>
        <w:t xml:space="preserve">WCPFC convention prescribes </w:t>
      </w:r>
      <w:r w:rsidRPr="004635E5">
        <w:rPr>
          <w:rFonts w:eastAsia="Malgun Gothic"/>
          <w:b/>
          <w:sz w:val="22"/>
          <w:szCs w:val="22"/>
          <w:lang w:val="en-NZ"/>
        </w:rPr>
        <w:t xml:space="preserve">different level of treatment for target stocks and non-target species with respect to the setting of reference points. SC14 therefore </w:t>
      </w:r>
      <w:r w:rsidRPr="004635E5">
        <w:rPr>
          <w:rFonts w:eastAsia="Malgun Gothic"/>
          <w:b/>
          <w:sz w:val="22"/>
          <w:szCs w:val="22"/>
        </w:rPr>
        <w:t xml:space="preserve">recommends that WCPFC note that the objective of the WCPFC convention for the management of non-target species is to maintain or restore populations of such species above levels at which their reproduction may become seriously threatened, and recommends that this be explicitly considered in the ongoing work. </w:t>
      </w:r>
    </w:p>
    <w:p w14:paraId="154A3342" w14:textId="77777777" w:rsidR="007C29E5" w:rsidRPr="004635E5" w:rsidRDefault="007C29E5" w:rsidP="007C29E5">
      <w:pPr>
        <w:widowControl w:val="0"/>
        <w:autoSpaceDE w:val="0"/>
        <w:autoSpaceDN w:val="0"/>
        <w:adjustRightInd w:val="0"/>
        <w:snapToGrid w:val="0"/>
        <w:jc w:val="both"/>
        <w:rPr>
          <w:rFonts w:eastAsia="Malgun Gothic"/>
          <w:b/>
          <w:sz w:val="22"/>
          <w:szCs w:val="22"/>
        </w:rPr>
      </w:pPr>
    </w:p>
    <w:p w14:paraId="5A9D1C21" w14:textId="77777777" w:rsidR="0008628A" w:rsidRPr="004635E5" w:rsidRDefault="00D53E35" w:rsidP="00580EA4">
      <w:pPr>
        <w:pStyle w:val="SC2"/>
        <w:keepNext w:val="0"/>
        <w:widowControl w:val="0"/>
        <w:numPr>
          <w:ilvl w:val="1"/>
          <w:numId w:val="161"/>
        </w:numPr>
        <w:suppressLineNumbers w:val="0"/>
        <w:spacing w:after="0"/>
        <w:ind w:left="0" w:firstLine="0"/>
      </w:pPr>
      <w:r w:rsidRPr="004635E5">
        <w:t>Implementation of CMM 201</w:t>
      </w:r>
      <w:r w:rsidR="000F0DB9" w:rsidRPr="004635E5">
        <w:rPr>
          <w:rFonts w:eastAsiaTheme="minorEastAsia"/>
          <w:lang w:eastAsia="ko-KR"/>
        </w:rPr>
        <w:t>7</w:t>
      </w:r>
      <w:r w:rsidRPr="004635E5">
        <w:t>-01</w:t>
      </w:r>
    </w:p>
    <w:p w14:paraId="584CFDD2" w14:textId="77777777" w:rsidR="0030620F" w:rsidRPr="004635E5" w:rsidRDefault="0030620F" w:rsidP="007C29E5">
      <w:pPr>
        <w:pStyle w:val="SC2"/>
        <w:keepNext w:val="0"/>
        <w:widowControl w:val="0"/>
        <w:numPr>
          <w:ilvl w:val="0"/>
          <w:numId w:val="0"/>
        </w:numPr>
        <w:suppressLineNumbers w:val="0"/>
        <w:spacing w:after="0"/>
        <w:ind w:left="720"/>
      </w:pPr>
    </w:p>
    <w:p w14:paraId="1CB24758" w14:textId="77777777" w:rsidR="007353E1" w:rsidRPr="004635E5" w:rsidRDefault="007353E1" w:rsidP="00580EA4">
      <w:pPr>
        <w:pStyle w:val="SC3"/>
        <w:keepNext w:val="0"/>
        <w:widowControl w:val="0"/>
        <w:numPr>
          <w:ilvl w:val="2"/>
          <w:numId w:val="161"/>
        </w:numPr>
        <w:suppressLineNumbers w:val="0"/>
        <w:spacing w:after="0"/>
      </w:pPr>
      <w:r w:rsidRPr="004635E5">
        <w:t>Effectiveness of CMM 2017-01</w:t>
      </w:r>
    </w:p>
    <w:p w14:paraId="7E67BD94" w14:textId="77777777" w:rsidR="0030620F" w:rsidRPr="004635E5" w:rsidRDefault="0030620F" w:rsidP="007C29E5">
      <w:pPr>
        <w:pStyle w:val="SC3"/>
        <w:keepNext w:val="0"/>
        <w:widowControl w:val="0"/>
        <w:numPr>
          <w:ilvl w:val="0"/>
          <w:numId w:val="0"/>
        </w:numPr>
        <w:suppressLineNumbers w:val="0"/>
        <w:spacing w:after="0"/>
        <w:ind w:left="1440"/>
      </w:pPr>
    </w:p>
    <w:p w14:paraId="6CE0C2F6" w14:textId="77777777" w:rsidR="005B795A" w:rsidRPr="004635E5" w:rsidRDefault="00DE47D6" w:rsidP="00580EA4">
      <w:pPr>
        <w:widowControl w:val="0"/>
        <w:numPr>
          <w:ilvl w:val="0"/>
          <w:numId w:val="18"/>
        </w:numPr>
        <w:autoSpaceDE w:val="0"/>
        <w:autoSpaceDN w:val="0"/>
        <w:adjustRightInd w:val="0"/>
        <w:snapToGrid w:val="0"/>
        <w:ind w:left="0" w:firstLine="0"/>
        <w:jc w:val="both"/>
        <w:rPr>
          <w:b/>
          <w:sz w:val="22"/>
          <w:szCs w:val="22"/>
          <w:lang w:val="en-NZ"/>
        </w:rPr>
      </w:pPr>
      <w:r w:rsidRPr="007C29E5">
        <w:rPr>
          <w:bCs/>
          <w:sz w:val="22"/>
          <w:szCs w:val="22"/>
          <w:lang w:bidi="th-TH"/>
        </w:rPr>
        <w:t xml:space="preserve">G. Pilling introduced </w:t>
      </w:r>
      <w:r w:rsidR="005B795A" w:rsidRPr="007C29E5">
        <w:rPr>
          <w:bCs/>
          <w:sz w:val="22"/>
          <w:szCs w:val="22"/>
          <w:lang w:bidi="th-TH"/>
        </w:rPr>
        <w:t>SC14-MI-WP-08</w:t>
      </w:r>
      <w:r w:rsidR="005B795A" w:rsidRPr="007C29E5">
        <w:rPr>
          <w:bCs/>
          <w:sz w:val="22"/>
          <w:szCs w:val="22"/>
        </w:rPr>
        <w:t xml:space="preserve"> </w:t>
      </w:r>
      <w:r w:rsidR="005B795A" w:rsidRPr="007C29E5">
        <w:rPr>
          <w:bCs/>
          <w:i/>
          <w:sz w:val="22"/>
          <w:szCs w:val="22"/>
        </w:rPr>
        <w:t>Evaluation</w:t>
      </w:r>
      <w:r w:rsidR="005B795A" w:rsidRPr="004635E5">
        <w:rPr>
          <w:i/>
          <w:sz w:val="22"/>
          <w:szCs w:val="22"/>
        </w:rPr>
        <w:t xml:space="preserve"> of CMM</w:t>
      </w:r>
      <w:r w:rsidR="00A4588D">
        <w:rPr>
          <w:i/>
          <w:sz w:val="22"/>
          <w:szCs w:val="22"/>
        </w:rPr>
        <w:t xml:space="preserve"> </w:t>
      </w:r>
      <w:r w:rsidR="005B795A" w:rsidRPr="004635E5">
        <w:rPr>
          <w:i/>
          <w:sz w:val="22"/>
          <w:szCs w:val="22"/>
        </w:rPr>
        <w:t>2017-01 for bigeye tuna</w:t>
      </w:r>
      <w:r w:rsidRPr="004635E5">
        <w:rPr>
          <w:sz w:val="22"/>
          <w:szCs w:val="22"/>
        </w:rPr>
        <w:t xml:space="preserve">, with reference to </w:t>
      </w:r>
      <w:r w:rsidR="00E766C0" w:rsidRPr="004635E5">
        <w:rPr>
          <w:sz w:val="22"/>
          <w:szCs w:val="22"/>
        </w:rPr>
        <w:t xml:space="preserve">SC14-MI-IP-04 </w:t>
      </w:r>
      <w:r w:rsidR="00E766C0" w:rsidRPr="004635E5">
        <w:rPr>
          <w:i/>
          <w:sz w:val="22"/>
          <w:szCs w:val="22"/>
        </w:rPr>
        <w:t>Catch and Effort tables on tropical tuna CMMs</w:t>
      </w:r>
      <w:r w:rsidRPr="004635E5">
        <w:rPr>
          <w:sz w:val="22"/>
          <w:szCs w:val="22"/>
        </w:rPr>
        <w:t xml:space="preserve">, and </w:t>
      </w:r>
      <w:r w:rsidR="00E766C0" w:rsidRPr="004635E5">
        <w:rPr>
          <w:sz w:val="22"/>
          <w:szCs w:val="22"/>
        </w:rPr>
        <w:t>SC14-MI-IP-05</w:t>
      </w:r>
      <w:r w:rsidRPr="004635E5">
        <w:rPr>
          <w:sz w:val="22"/>
          <w:szCs w:val="22"/>
        </w:rPr>
        <w:t xml:space="preserve"> </w:t>
      </w:r>
      <w:r w:rsidR="00E766C0" w:rsidRPr="004635E5">
        <w:rPr>
          <w:i/>
          <w:sz w:val="22"/>
          <w:szCs w:val="22"/>
        </w:rPr>
        <w:t>Updating indicators of effort creep in the WCPO purse seine fishery</w:t>
      </w:r>
      <w:r w:rsidRPr="004635E5">
        <w:rPr>
          <w:sz w:val="22"/>
          <w:szCs w:val="22"/>
        </w:rPr>
        <w:t xml:space="preserve">. </w:t>
      </w:r>
    </w:p>
    <w:p w14:paraId="05A43C4D" w14:textId="77777777" w:rsidR="0030620F" w:rsidRPr="004635E5" w:rsidRDefault="0030620F" w:rsidP="007C29E5">
      <w:pPr>
        <w:widowControl w:val="0"/>
        <w:autoSpaceDE w:val="0"/>
        <w:autoSpaceDN w:val="0"/>
        <w:adjustRightInd w:val="0"/>
        <w:snapToGrid w:val="0"/>
        <w:jc w:val="both"/>
        <w:rPr>
          <w:b/>
          <w:sz w:val="22"/>
          <w:szCs w:val="22"/>
          <w:lang w:val="en-NZ"/>
        </w:rPr>
      </w:pPr>
    </w:p>
    <w:p w14:paraId="08A9FCDD" w14:textId="77777777" w:rsidR="00DE47D6" w:rsidRPr="004635E5" w:rsidRDefault="00DE47D6" w:rsidP="007C29E5">
      <w:pPr>
        <w:pStyle w:val="WCPFC"/>
        <w:widowControl w:val="0"/>
        <w:adjustRightInd w:val="0"/>
        <w:spacing w:after="0"/>
        <w:ind w:left="0" w:firstLine="0"/>
        <w:rPr>
          <w:rFonts w:cs="Times New Roman"/>
        </w:rPr>
      </w:pPr>
      <w:r w:rsidRPr="004635E5">
        <w:rPr>
          <w:rFonts w:cs="Times New Roman"/>
        </w:rPr>
        <w:t>The 2018 Harvest Strategy work plan, as updated by WCPFC14, requested that “SC and SPC provide advice to the Commission on the likely outcomes of the revised tropical tuna measure” (CMM 2017-01) against its aim for bigeye that “the spawning biomass depletion ratio (SB/SB</w:t>
      </w:r>
      <w:r w:rsidRPr="004635E5">
        <w:rPr>
          <w:rFonts w:cs="Times New Roman"/>
          <w:vertAlign w:val="subscript"/>
        </w:rPr>
        <w:t>F=0</w:t>
      </w:r>
      <w:r w:rsidRPr="004635E5">
        <w:rPr>
          <w:rFonts w:cs="Times New Roman"/>
        </w:rPr>
        <w:t>) be maintained at or above the average SB/SB</w:t>
      </w:r>
      <w:r w:rsidRPr="004635E5">
        <w:rPr>
          <w:rFonts w:cs="Times New Roman"/>
          <w:vertAlign w:val="subscript"/>
        </w:rPr>
        <w:t>F=0</w:t>
      </w:r>
      <w:r w:rsidRPr="004635E5">
        <w:rPr>
          <w:rFonts w:cs="Times New Roman"/>
        </w:rPr>
        <w:t xml:space="preserve"> for 2012-2015”. We use the same detailed evaluation approach as used within previous tropical tuna CMM evaluations. Assumptions are made regarding the impact that changes to the FAD closure period and/or high seas effort limits will have on FAD-related effort, and the potential future catches of longline fleets. Under these assumptions, three scenarios of future purse seine effort and longline catch are defined, being ‘status quo’ (2013-15 average fishing levels), ‘optimistic’ (e.g. CCMs with longline limits take their 2017 catch limit or 2013-2015 average level if lower), and ‘pessimistic’ (every CCM fishes the maximum allowed under the Measure). </w:t>
      </w:r>
    </w:p>
    <w:p w14:paraId="7C56682C" w14:textId="77777777" w:rsidR="0030620F" w:rsidRPr="004635E5" w:rsidRDefault="0030620F" w:rsidP="006633A8">
      <w:pPr>
        <w:pStyle w:val="WCPFC"/>
        <w:numPr>
          <w:ilvl w:val="0"/>
          <w:numId w:val="0"/>
        </w:numPr>
        <w:adjustRightInd w:val="0"/>
        <w:spacing w:after="0"/>
        <w:rPr>
          <w:rFonts w:cs="Times New Roman"/>
        </w:rPr>
      </w:pPr>
    </w:p>
    <w:p w14:paraId="19E7618A" w14:textId="77777777" w:rsidR="00DE47D6" w:rsidRPr="004635E5" w:rsidRDefault="00DE47D6" w:rsidP="006633A8">
      <w:pPr>
        <w:pStyle w:val="WCPFC"/>
        <w:adjustRightInd w:val="0"/>
        <w:spacing w:after="0"/>
        <w:ind w:left="0" w:firstLine="0"/>
        <w:rPr>
          <w:rFonts w:cs="Times New Roman"/>
        </w:rPr>
      </w:pPr>
      <w:r w:rsidRPr="004635E5">
        <w:rPr>
          <w:rFonts w:cs="Times New Roman"/>
        </w:rPr>
        <w:t>Stochastic bigeye stock projections are used to evaluate potential long-term consequences of resulting future fishing levels under each scenario, in comparison to status quo conditions (2013-2015 average), across the 2017 bigeye assessment grid incorporating updated growth information, weighted as defined by SC13 for management advice. Results are strongly influenced by the assumed future recruitment levels. If recent positive recruitments continue into the future, all scenarios examined achieve the aims of the CMM, in that median spawning biomass is projected to increase relative to recent levels, and median fishing mortality is projected to decline (exception being the pessimistic CMM scenario, although fishing mortality remains below F</w:t>
      </w:r>
      <w:r w:rsidRPr="004635E5">
        <w:rPr>
          <w:rFonts w:cs="Times New Roman"/>
          <w:vertAlign w:val="subscript"/>
        </w:rPr>
        <w:t>MSY</w:t>
      </w:r>
      <w:r w:rsidRPr="004635E5">
        <w:rPr>
          <w:rFonts w:cs="Times New Roman"/>
        </w:rPr>
        <w:t>). If less optimistic longer term recruitments continue into the future, spawning biomass depletion worsens relative to recent levels under all scenarios, and the future risk of spawning biomass falling below the limit reference point (LRP) increases to 24-40%, dependent on the scenario. In turn, all three future fishing scenarios imply notable increases in fishing mortality under those recruitment conditions, to median levels well above F</w:t>
      </w:r>
      <w:r w:rsidRPr="004635E5">
        <w:rPr>
          <w:rFonts w:cs="Times New Roman"/>
          <w:vertAlign w:val="subscript"/>
        </w:rPr>
        <w:t>MSY</w:t>
      </w:r>
      <w:r w:rsidRPr="004635E5">
        <w:rPr>
          <w:rFonts w:cs="Times New Roman"/>
        </w:rPr>
        <w:t>.</w:t>
      </w:r>
    </w:p>
    <w:p w14:paraId="5C95A0DB" w14:textId="77777777" w:rsidR="0030620F" w:rsidRPr="004635E5" w:rsidRDefault="0030620F" w:rsidP="006633A8">
      <w:pPr>
        <w:pStyle w:val="WCPFC"/>
        <w:numPr>
          <w:ilvl w:val="0"/>
          <w:numId w:val="0"/>
        </w:numPr>
        <w:adjustRightInd w:val="0"/>
        <w:spacing w:after="0"/>
        <w:rPr>
          <w:rFonts w:cs="Times New Roman"/>
        </w:rPr>
      </w:pPr>
    </w:p>
    <w:p w14:paraId="7348D476" w14:textId="77777777" w:rsidR="002806D9" w:rsidRPr="004635E5" w:rsidRDefault="002806D9" w:rsidP="006633A8">
      <w:pPr>
        <w:adjustRightInd w:val="0"/>
        <w:snapToGrid w:val="0"/>
        <w:jc w:val="both"/>
        <w:rPr>
          <w:rFonts w:eastAsiaTheme="minorEastAsia"/>
          <w:b/>
          <w:sz w:val="22"/>
          <w:szCs w:val="22"/>
          <w:lang w:val="en-NZ" w:eastAsia="ko-KR"/>
        </w:rPr>
      </w:pPr>
      <w:r w:rsidRPr="004635E5">
        <w:rPr>
          <w:rFonts w:eastAsiaTheme="minorEastAsia"/>
          <w:b/>
          <w:sz w:val="22"/>
          <w:szCs w:val="22"/>
          <w:lang w:val="en-NZ" w:eastAsia="ko-KR"/>
        </w:rPr>
        <w:t>Discussion</w:t>
      </w:r>
    </w:p>
    <w:p w14:paraId="4C0BAA14" w14:textId="77777777" w:rsidR="0030620F" w:rsidRPr="004635E5" w:rsidRDefault="0030620F" w:rsidP="006633A8">
      <w:pPr>
        <w:adjustRightInd w:val="0"/>
        <w:snapToGrid w:val="0"/>
        <w:jc w:val="both"/>
        <w:rPr>
          <w:rFonts w:eastAsiaTheme="minorEastAsia"/>
          <w:b/>
          <w:sz w:val="22"/>
          <w:szCs w:val="22"/>
          <w:lang w:val="en-NZ" w:eastAsia="ko-KR"/>
        </w:rPr>
      </w:pPr>
    </w:p>
    <w:p w14:paraId="76889ACD" w14:textId="77777777" w:rsidR="002806D9" w:rsidRPr="004635E5" w:rsidRDefault="002806D9" w:rsidP="006633A8">
      <w:pPr>
        <w:pStyle w:val="WCPFC"/>
        <w:adjustRightInd w:val="0"/>
        <w:spacing w:after="0"/>
        <w:ind w:left="0" w:firstLine="0"/>
        <w:rPr>
          <w:rFonts w:cs="Times New Roman"/>
        </w:rPr>
      </w:pPr>
      <w:r w:rsidRPr="004635E5">
        <w:rPr>
          <w:rFonts w:cs="Times New Roman"/>
        </w:rPr>
        <w:t>Japan</w:t>
      </w:r>
      <w:r w:rsidR="00B01FF8" w:rsidRPr="004635E5">
        <w:rPr>
          <w:rFonts w:cs="Times New Roman"/>
        </w:rPr>
        <w:t xml:space="preserve"> observed </w:t>
      </w:r>
      <w:r w:rsidR="0039429B" w:rsidRPr="004635E5">
        <w:rPr>
          <w:rFonts w:cs="Times New Roman"/>
        </w:rPr>
        <w:t xml:space="preserve">that </w:t>
      </w:r>
      <w:r w:rsidR="0041022C" w:rsidRPr="004635E5">
        <w:rPr>
          <w:rFonts w:cs="Times New Roman"/>
        </w:rPr>
        <w:t xml:space="preserve">projections for northern bluefin assumed </w:t>
      </w:r>
      <w:r w:rsidRPr="004635E5">
        <w:rPr>
          <w:rFonts w:cs="Times New Roman"/>
        </w:rPr>
        <w:t xml:space="preserve">recruitment </w:t>
      </w:r>
      <w:r w:rsidR="0039429B" w:rsidRPr="004635E5">
        <w:rPr>
          <w:rFonts w:cs="Times New Roman"/>
        </w:rPr>
        <w:t xml:space="preserve">to be </w:t>
      </w:r>
      <w:r w:rsidR="00B01FF8" w:rsidRPr="004635E5">
        <w:rPr>
          <w:rFonts w:cs="Times New Roman"/>
        </w:rPr>
        <w:t xml:space="preserve">30% </w:t>
      </w:r>
      <w:r w:rsidR="0041022C" w:rsidRPr="004635E5">
        <w:rPr>
          <w:rFonts w:cs="Times New Roman"/>
        </w:rPr>
        <w:t xml:space="preserve">below </w:t>
      </w:r>
      <w:r w:rsidR="00B01FF8" w:rsidRPr="004635E5">
        <w:rPr>
          <w:rFonts w:cs="Times New Roman"/>
        </w:rPr>
        <w:t>the historical average</w:t>
      </w:r>
      <w:r w:rsidR="0039429B" w:rsidRPr="004635E5">
        <w:rPr>
          <w:rFonts w:cs="Times New Roman"/>
        </w:rPr>
        <w:t>, while</w:t>
      </w:r>
      <w:r w:rsidR="00B01FF8" w:rsidRPr="004635E5">
        <w:rPr>
          <w:rFonts w:cs="Times New Roman"/>
        </w:rPr>
        <w:t xml:space="preserve"> </w:t>
      </w:r>
      <w:r w:rsidR="0041022C" w:rsidRPr="004635E5">
        <w:rPr>
          <w:rFonts w:cs="Times New Roman"/>
        </w:rPr>
        <w:t xml:space="preserve">this working paper for </w:t>
      </w:r>
      <w:r w:rsidR="004421B3" w:rsidRPr="004635E5">
        <w:rPr>
          <w:rFonts w:cs="Times New Roman"/>
        </w:rPr>
        <w:t>bigeye tuna</w:t>
      </w:r>
      <w:r w:rsidR="00B01FF8" w:rsidRPr="004635E5">
        <w:rPr>
          <w:rFonts w:cs="Times New Roman"/>
        </w:rPr>
        <w:t xml:space="preserve"> used above-</w:t>
      </w:r>
      <w:r w:rsidRPr="004635E5">
        <w:rPr>
          <w:rFonts w:cs="Times New Roman"/>
        </w:rPr>
        <w:t>ave</w:t>
      </w:r>
      <w:r w:rsidR="00B01FF8" w:rsidRPr="004635E5">
        <w:rPr>
          <w:rFonts w:cs="Times New Roman"/>
        </w:rPr>
        <w:t>rage</w:t>
      </w:r>
      <w:r w:rsidRPr="004635E5">
        <w:rPr>
          <w:rFonts w:cs="Times New Roman"/>
        </w:rPr>
        <w:t xml:space="preserve"> hist</w:t>
      </w:r>
      <w:r w:rsidR="00B01FF8" w:rsidRPr="004635E5">
        <w:rPr>
          <w:rFonts w:cs="Times New Roman"/>
        </w:rPr>
        <w:t>orical</w:t>
      </w:r>
      <w:r w:rsidRPr="004635E5">
        <w:rPr>
          <w:rFonts w:cs="Times New Roman"/>
        </w:rPr>
        <w:t xml:space="preserve"> recruitment. </w:t>
      </w:r>
      <w:r w:rsidR="0041022C" w:rsidRPr="004635E5">
        <w:rPr>
          <w:rFonts w:cs="Times New Roman"/>
        </w:rPr>
        <w:t xml:space="preserve">They also noted that </w:t>
      </w:r>
      <w:r w:rsidR="00B01FF8" w:rsidRPr="004635E5">
        <w:rPr>
          <w:rFonts w:cs="Times New Roman"/>
        </w:rPr>
        <w:t xml:space="preserve">if </w:t>
      </w:r>
      <w:r w:rsidR="004421B3" w:rsidRPr="004635E5">
        <w:rPr>
          <w:rFonts w:cs="Times New Roman"/>
        </w:rPr>
        <w:t>bigeye tuna</w:t>
      </w:r>
      <w:r w:rsidR="00B01FF8" w:rsidRPr="004635E5">
        <w:rPr>
          <w:rFonts w:cs="Times New Roman"/>
        </w:rPr>
        <w:t xml:space="preserve"> </w:t>
      </w:r>
      <w:r w:rsidR="0041022C" w:rsidRPr="004635E5">
        <w:rPr>
          <w:rFonts w:cs="Times New Roman"/>
        </w:rPr>
        <w:t xml:space="preserve">had </w:t>
      </w:r>
      <w:r w:rsidR="00B01FF8" w:rsidRPr="004635E5">
        <w:rPr>
          <w:rFonts w:cs="Times New Roman"/>
        </w:rPr>
        <w:t xml:space="preserve">assumed </w:t>
      </w:r>
      <w:r w:rsidRPr="004635E5">
        <w:rPr>
          <w:rFonts w:cs="Times New Roman"/>
        </w:rPr>
        <w:t>ave</w:t>
      </w:r>
      <w:r w:rsidR="00B01FF8" w:rsidRPr="004635E5">
        <w:rPr>
          <w:rFonts w:cs="Times New Roman"/>
        </w:rPr>
        <w:t xml:space="preserve">rage historical </w:t>
      </w:r>
      <w:r w:rsidRPr="004635E5">
        <w:rPr>
          <w:rFonts w:cs="Times New Roman"/>
        </w:rPr>
        <w:t xml:space="preserve">recruitment, </w:t>
      </w:r>
      <w:r w:rsidR="0041022C" w:rsidRPr="004635E5">
        <w:rPr>
          <w:rFonts w:cs="Times New Roman"/>
        </w:rPr>
        <w:t xml:space="preserve">the </w:t>
      </w:r>
      <w:r w:rsidRPr="004635E5">
        <w:rPr>
          <w:rFonts w:cs="Times New Roman"/>
        </w:rPr>
        <w:t xml:space="preserve">results </w:t>
      </w:r>
      <w:r w:rsidR="00B01FF8" w:rsidRPr="004635E5">
        <w:rPr>
          <w:rFonts w:cs="Times New Roman"/>
        </w:rPr>
        <w:t xml:space="preserve">would be quite </w:t>
      </w:r>
      <w:r w:rsidRPr="004635E5">
        <w:rPr>
          <w:rFonts w:cs="Times New Roman"/>
        </w:rPr>
        <w:t>diff</w:t>
      </w:r>
      <w:r w:rsidR="00B01FF8" w:rsidRPr="004635E5">
        <w:rPr>
          <w:rFonts w:cs="Times New Roman"/>
        </w:rPr>
        <w:t>erent</w:t>
      </w:r>
      <w:r w:rsidR="0039429B" w:rsidRPr="004635E5">
        <w:rPr>
          <w:rFonts w:cs="Times New Roman"/>
        </w:rPr>
        <w:t xml:space="preserve"> than modelled</w:t>
      </w:r>
      <w:r w:rsidR="0041022C" w:rsidRPr="004635E5">
        <w:rPr>
          <w:rFonts w:cs="Times New Roman"/>
        </w:rPr>
        <w:t>, and that p</w:t>
      </w:r>
      <w:r w:rsidR="00B01FF8" w:rsidRPr="004635E5">
        <w:rPr>
          <w:rFonts w:cs="Times New Roman"/>
        </w:rPr>
        <w:t xml:space="preserve">resently the </w:t>
      </w:r>
      <w:r w:rsidRPr="004635E5">
        <w:rPr>
          <w:rFonts w:cs="Times New Roman"/>
        </w:rPr>
        <w:t xml:space="preserve">stock is supported </w:t>
      </w:r>
      <w:r w:rsidR="00B01FF8" w:rsidRPr="004635E5">
        <w:rPr>
          <w:rFonts w:cs="Times New Roman"/>
        </w:rPr>
        <w:t xml:space="preserve">only through </w:t>
      </w:r>
      <w:r w:rsidRPr="004635E5">
        <w:rPr>
          <w:rFonts w:cs="Times New Roman"/>
        </w:rPr>
        <w:t xml:space="preserve">good recent recruitment. </w:t>
      </w:r>
      <w:r w:rsidR="0041022C" w:rsidRPr="004635E5">
        <w:rPr>
          <w:rFonts w:cs="Times New Roman"/>
        </w:rPr>
        <w:t xml:space="preserve">The queried whether </w:t>
      </w:r>
      <w:r w:rsidR="00074503" w:rsidRPr="004635E5">
        <w:rPr>
          <w:rFonts w:cs="Times New Roman"/>
        </w:rPr>
        <w:t>the</w:t>
      </w:r>
      <w:r w:rsidRPr="004635E5">
        <w:rPr>
          <w:rFonts w:cs="Times New Roman"/>
        </w:rPr>
        <w:t xml:space="preserve"> status quo</w:t>
      </w:r>
      <w:r w:rsidR="0041022C" w:rsidRPr="004635E5">
        <w:rPr>
          <w:rFonts w:cs="Times New Roman"/>
        </w:rPr>
        <w:t xml:space="preserve"> scenario reflected</w:t>
      </w:r>
      <w:r w:rsidR="00074503" w:rsidRPr="004635E5">
        <w:rPr>
          <w:rFonts w:cs="Times New Roman"/>
        </w:rPr>
        <w:t xml:space="preserve"> </w:t>
      </w:r>
      <w:r w:rsidR="0041022C" w:rsidRPr="004635E5">
        <w:rPr>
          <w:rFonts w:cs="Times New Roman"/>
        </w:rPr>
        <w:t xml:space="preserve">the current CMM, and as this was either optimistic or pessimistic, suggested it </w:t>
      </w:r>
      <w:r w:rsidRPr="004635E5">
        <w:rPr>
          <w:rFonts w:cs="Times New Roman"/>
        </w:rPr>
        <w:t xml:space="preserve">should not be </w:t>
      </w:r>
      <w:r w:rsidR="0041022C" w:rsidRPr="004635E5">
        <w:rPr>
          <w:rFonts w:cs="Times New Roman"/>
        </w:rPr>
        <w:t>included</w:t>
      </w:r>
      <w:r w:rsidRPr="004635E5">
        <w:rPr>
          <w:rFonts w:cs="Times New Roman"/>
        </w:rPr>
        <w:t xml:space="preserve">. </w:t>
      </w:r>
      <w:r w:rsidR="0041022C" w:rsidRPr="004635E5">
        <w:rPr>
          <w:rFonts w:cs="Times New Roman"/>
        </w:rPr>
        <w:t xml:space="preserve">In response, </w:t>
      </w:r>
      <w:r w:rsidRPr="004635E5">
        <w:rPr>
          <w:rFonts w:cs="Times New Roman"/>
        </w:rPr>
        <w:t>SPC</w:t>
      </w:r>
      <w:r w:rsidR="0041022C" w:rsidRPr="004635E5">
        <w:rPr>
          <w:rFonts w:cs="Times New Roman"/>
        </w:rPr>
        <w:t xml:space="preserve"> explained that </w:t>
      </w:r>
      <w:r w:rsidR="0039429B" w:rsidRPr="004635E5">
        <w:rPr>
          <w:rFonts w:cs="Times New Roman"/>
        </w:rPr>
        <w:t xml:space="preserve">the status </w:t>
      </w:r>
      <w:r w:rsidRPr="004635E5">
        <w:rPr>
          <w:rFonts w:cs="Times New Roman"/>
        </w:rPr>
        <w:t>qu</w:t>
      </w:r>
      <w:r w:rsidR="0039429B" w:rsidRPr="004635E5">
        <w:rPr>
          <w:rFonts w:cs="Times New Roman"/>
        </w:rPr>
        <w:t>o</w:t>
      </w:r>
      <w:r w:rsidRPr="004635E5">
        <w:rPr>
          <w:rFonts w:cs="Times New Roman"/>
        </w:rPr>
        <w:t xml:space="preserve"> </w:t>
      </w:r>
      <w:r w:rsidR="0041022C" w:rsidRPr="004635E5">
        <w:rPr>
          <w:rFonts w:cs="Times New Roman"/>
        </w:rPr>
        <w:t xml:space="preserve">represented </w:t>
      </w:r>
      <w:r w:rsidR="0039429B" w:rsidRPr="004635E5">
        <w:rPr>
          <w:rFonts w:cs="Times New Roman"/>
        </w:rPr>
        <w:t xml:space="preserve">an average of 2013-2015 </w:t>
      </w:r>
      <w:r w:rsidR="0041022C" w:rsidRPr="004635E5">
        <w:rPr>
          <w:rFonts w:cs="Times New Roman"/>
        </w:rPr>
        <w:t xml:space="preserve">fishing levels, and </w:t>
      </w:r>
      <w:r w:rsidR="0039429B" w:rsidRPr="004635E5">
        <w:rPr>
          <w:rFonts w:cs="Times New Roman"/>
        </w:rPr>
        <w:t xml:space="preserve">was used in the 2017 </w:t>
      </w:r>
      <w:r w:rsidR="00656FD8" w:rsidRPr="004635E5">
        <w:rPr>
          <w:rFonts w:cs="Times New Roman"/>
        </w:rPr>
        <w:t>stock assessment</w:t>
      </w:r>
      <w:r w:rsidRPr="004635E5">
        <w:rPr>
          <w:rFonts w:cs="Times New Roman"/>
        </w:rPr>
        <w:t xml:space="preserve">. </w:t>
      </w:r>
      <w:r w:rsidR="0039429B" w:rsidRPr="004635E5">
        <w:rPr>
          <w:rFonts w:cs="Times New Roman"/>
        </w:rPr>
        <w:t xml:space="preserve">It is a </w:t>
      </w:r>
      <w:r w:rsidRPr="004635E5">
        <w:rPr>
          <w:rFonts w:cs="Times New Roman"/>
        </w:rPr>
        <w:t xml:space="preserve">baseline that can </w:t>
      </w:r>
      <w:r w:rsidR="0039429B" w:rsidRPr="004635E5">
        <w:rPr>
          <w:rFonts w:cs="Times New Roman"/>
        </w:rPr>
        <w:t xml:space="preserve">be </w:t>
      </w:r>
      <w:r w:rsidRPr="004635E5">
        <w:rPr>
          <w:rFonts w:cs="Times New Roman"/>
        </w:rPr>
        <w:t>compare</w:t>
      </w:r>
      <w:r w:rsidR="0039429B" w:rsidRPr="004635E5">
        <w:rPr>
          <w:rFonts w:cs="Times New Roman"/>
        </w:rPr>
        <w:t>d</w:t>
      </w:r>
      <w:r w:rsidRPr="004635E5">
        <w:rPr>
          <w:rFonts w:cs="Times New Roman"/>
        </w:rPr>
        <w:t xml:space="preserve"> to other scenarios. Japan</w:t>
      </w:r>
      <w:r w:rsidR="0041022C" w:rsidRPr="004635E5">
        <w:rPr>
          <w:rFonts w:cs="Times New Roman"/>
        </w:rPr>
        <w:t xml:space="preserve"> stated that it was </w:t>
      </w:r>
      <w:r w:rsidRPr="004635E5">
        <w:rPr>
          <w:rFonts w:cs="Times New Roman"/>
        </w:rPr>
        <w:t xml:space="preserve">fine to use </w:t>
      </w:r>
      <w:r w:rsidR="0041022C" w:rsidRPr="004635E5">
        <w:rPr>
          <w:rFonts w:cs="Times New Roman"/>
        </w:rPr>
        <w:t xml:space="preserve">the </w:t>
      </w:r>
      <w:r w:rsidRPr="004635E5">
        <w:rPr>
          <w:rFonts w:cs="Times New Roman"/>
        </w:rPr>
        <w:t>status quo as a</w:t>
      </w:r>
      <w:r w:rsidR="0039429B" w:rsidRPr="004635E5">
        <w:rPr>
          <w:rFonts w:cs="Times New Roman"/>
        </w:rPr>
        <w:t xml:space="preserve"> </w:t>
      </w:r>
      <w:r w:rsidRPr="004635E5">
        <w:rPr>
          <w:rFonts w:cs="Times New Roman"/>
        </w:rPr>
        <w:t>baseline to conside</w:t>
      </w:r>
      <w:r w:rsidR="0039429B" w:rsidRPr="004635E5">
        <w:rPr>
          <w:rFonts w:cs="Times New Roman"/>
        </w:rPr>
        <w:t>r optimistic</w:t>
      </w:r>
      <w:r w:rsidRPr="004635E5">
        <w:rPr>
          <w:rFonts w:cs="Times New Roman"/>
        </w:rPr>
        <w:t xml:space="preserve"> or pess</w:t>
      </w:r>
      <w:r w:rsidR="0039429B" w:rsidRPr="004635E5">
        <w:rPr>
          <w:rFonts w:cs="Times New Roman"/>
        </w:rPr>
        <w:t>imistic</w:t>
      </w:r>
      <w:r w:rsidR="0041022C" w:rsidRPr="004635E5">
        <w:rPr>
          <w:rFonts w:cs="Times New Roman"/>
        </w:rPr>
        <w:t xml:space="preserve"> scenarios, but reiterated that </w:t>
      </w:r>
      <w:r w:rsidR="00AE69D4" w:rsidRPr="004635E5">
        <w:rPr>
          <w:rFonts w:cs="Times New Roman"/>
        </w:rPr>
        <w:t xml:space="preserve">the projection </w:t>
      </w:r>
      <w:r w:rsidRPr="004635E5">
        <w:rPr>
          <w:rFonts w:cs="Times New Roman"/>
        </w:rPr>
        <w:t xml:space="preserve">based on </w:t>
      </w:r>
      <w:r w:rsidR="00AE69D4" w:rsidRPr="004635E5">
        <w:rPr>
          <w:rFonts w:cs="Times New Roman"/>
        </w:rPr>
        <w:t xml:space="preserve">the </w:t>
      </w:r>
      <w:r w:rsidRPr="004635E5">
        <w:rPr>
          <w:rFonts w:cs="Times New Roman"/>
        </w:rPr>
        <w:t>sta</w:t>
      </w:r>
      <w:r w:rsidR="00AE69D4" w:rsidRPr="004635E5">
        <w:rPr>
          <w:rFonts w:cs="Times New Roman"/>
        </w:rPr>
        <w:t>t</w:t>
      </w:r>
      <w:r w:rsidRPr="004635E5">
        <w:rPr>
          <w:rFonts w:cs="Times New Roman"/>
        </w:rPr>
        <w:t xml:space="preserve">us quo </w:t>
      </w:r>
      <w:r w:rsidR="0041022C" w:rsidRPr="004635E5">
        <w:rPr>
          <w:rFonts w:cs="Times New Roman"/>
        </w:rPr>
        <w:t xml:space="preserve">did </w:t>
      </w:r>
      <w:r w:rsidRPr="004635E5">
        <w:rPr>
          <w:rFonts w:cs="Times New Roman"/>
        </w:rPr>
        <w:t xml:space="preserve">not reflect the current measure. </w:t>
      </w:r>
    </w:p>
    <w:p w14:paraId="71A7ACFF" w14:textId="77777777" w:rsidR="0030620F" w:rsidRPr="004635E5" w:rsidRDefault="0030620F" w:rsidP="006633A8">
      <w:pPr>
        <w:pStyle w:val="WCPFC"/>
        <w:numPr>
          <w:ilvl w:val="0"/>
          <w:numId w:val="0"/>
        </w:numPr>
        <w:adjustRightInd w:val="0"/>
        <w:spacing w:after="0"/>
        <w:rPr>
          <w:rFonts w:cs="Times New Roman"/>
        </w:rPr>
      </w:pPr>
    </w:p>
    <w:p w14:paraId="48A49CA9" w14:textId="77777777" w:rsidR="002806D9" w:rsidRPr="004635E5" w:rsidRDefault="0041022C" w:rsidP="006633A8">
      <w:pPr>
        <w:pStyle w:val="WCPFC"/>
        <w:adjustRightInd w:val="0"/>
        <w:spacing w:after="0"/>
        <w:ind w:left="0" w:firstLine="0"/>
        <w:rPr>
          <w:rFonts w:cs="Times New Roman"/>
        </w:rPr>
      </w:pPr>
      <w:r w:rsidRPr="004635E5">
        <w:rPr>
          <w:rFonts w:cs="Times New Roman"/>
          <w:lang w:val="en-US"/>
        </w:rPr>
        <w:t xml:space="preserve">China, commented on the assumed </w:t>
      </w:r>
      <w:r w:rsidR="004421B3" w:rsidRPr="004635E5">
        <w:rPr>
          <w:rFonts w:cs="Times New Roman"/>
          <w:lang w:val="en-US"/>
        </w:rPr>
        <w:t>longline</w:t>
      </w:r>
      <w:r w:rsidRPr="004635E5">
        <w:rPr>
          <w:rFonts w:cs="Times New Roman"/>
          <w:lang w:val="en-US"/>
        </w:rPr>
        <w:t xml:space="preserve"> catches used in the projections, noting that they are higher than the actual catch (Table of longline bigeye catches assumed for CCMs, SC14-MI-WP-08, p. 14), and inquired </w:t>
      </w:r>
      <w:r w:rsidR="00F659CA">
        <w:rPr>
          <w:rFonts w:cs="Times New Roman" w:hint="eastAsia"/>
          <w:lang w:val="en-US" w:eastAsia="ko-KR"/>
        </w:rPr>
        <w:t>why</w:t>
      </w:r>
      <w:r w:rsidR="002806D9" w:rsidRPr="004635E5">
        <w:rPr>
          <w:rFonts w:cs="Times New Roman"/>
        </w:rPr>
        <w:t xml:space="preserve"> </w:t>
      </w:r>
      <w:r w:rsidR="006E5FCF">
        <w:rPr>
          <w:rFonts w:cs="Times New Roman"/>
        </w:rPr>
        <w:t xml:space="preserve">the </w:t>
      </w:r>
      <w:r w:rsidR="00AE69D4" w:rsidRPr="004635E5">
        <w:rPr>
          <w:rFonts w:cs="Times New Roman"/>
        </w:rPr>
        <w:t xml:space="preserve">assumed catch </w:t>
      </w:r>
      <w:r w:rsidRPr="004635E5">
        <w:rPr>
          <w:rFonts w:cs="Times New Roman"/>
        </w:rPr>
        <w:t xml:space="preserve">values were </w:t>
      </w:r>
      <w:r w:rsidR="00AE69D4" w:rsidRPr="004635E5">
        <w:rPr>
          <w:rFonts w:cs="Times New Roman"/>
        </w:rPr>
        <w:t xml:space="preserve">used? </w:t>
      </w:r>
      <w:r w:rsidR="002806D9" w:rsidRPr="004635E5">
        <w:rPr>
          <w:rFonts w:cs="Times New Roman"/>
        </w:rPr>
        <w:t xml:space="preserve">SPC </w:t>
      </w:r>
      <w:r w:rsidR="008746D4" w:rsidRPr="004635E5">
        <w:rPr>
          <w:rFonts w:cs="Times New Roman"/>
        </w:rPr>
        <w:t xml:space="preserve">stated that while </w:t>
      </w:r>
      <w:r w:rsidR="002806D9" w:rsidRPr="004635E5">
        <w:rPr>
          <w:rFonts w:cs="Times New Roman"/>
        </w:rPr>
        <w:t>recent catches</w:t>
      </w:r>
      <w:r w:rsidR="008746D4" w:rsidRPr="004635E5">
        <w:rPr>
          <w:rFonts w:cs="Times New Roman"/>
        </w:rPr>
        <w:t xml:space="preserve"> are known, </w:t>
      </w:r>
      <w:r w:rsidR="002806D9" w:rsidRPr="004635E5">
        <w:rPr>
          <w:rFonts w:cs="Times New Roman"/>
        </w:rPr>
        <w:t>some fleet</w:t>
      </w:r>
      <w:r w:rsidR="008746D4" w:rsidRPr="004635E5">
        <w:rPr>
          <w:rFonts w:cs="Times New Roman"/>
        </w:rPr>
        <w:t>s</w:t>
      </w:r>
      <w:r w:rsidR="002806D9" w:rsidRPr="004635E5">
        <w:rPr>
          <w:rFonts w:cs="Times New Roman"/>
        </w:rPr>
        <w:t xml:space="preserve"> have </w:t>
      </w:r>
      <w:r w:rsidR="008746D4" w:rsidRPr="004635E5">
        <w:rPr>
          <w:rFonts w:cs="Times New Roman"/>
        </w:rPr>
        <w:t>d</w:t>
      </w:r>
      <w:r w:rsidR="002806D9" w:rsidRPr="004635E5">
        <w:rPr>
          <w:rFonts w:cs="Times New Roman"/>
        </w:rPr>
        <w:t>efined levels of cat</w:t>
      </w:r>
      <w:r w:rsidR="008746D4" w:rsidRPr="004635E5">
        <w:rPr>
          <w:rFonts w:cs="Times New Roman"/>
        </w:rPr>
        <w:t>c</w:t>
      </w:r>
      <w:r w:rsidR="002806D9" w:rsidRPr="004635E5">
        <w:rPr>
          <w:rFonts w:cs="Times New Roman"/>
        </w:rPr>
        <w:t xml:space="preserve">h under </w:t>
      </w:r>
      <w:r w:rsidR="008746D4" w:rsidRPr="004635E5">
        <w:rPr>
          <w:rFonts w:cs="Times New Roman"/>
        </w:rPr>
        <w:t xml:space="preserve">the </w:t>
      </w:r>
      <w:r w:rsidR="002806D9" w:rsidRPr="004635E5">
        <w:rPr>
          <w:rFonts w:cs="Times New Roman"/>
        </w:rPr>
        <w:t>CMM</w:t>
      </w:r>
      <w:r w:rsidR="008746D4" w:rsidRPr="004635E5">
        <w:rPr>
          <w:rFonts w:cs="Times New Roman"/>
        </w:rPr>
        <w:t xml:space="preserve"> while</w:t>
      </w:r>
      <w:r w:rsidR="002806D9" w:rsidRPr="004635E5">
        <w:rPr>
          <w:rFonts w:cs="Times New Roman"/>
        </w:rPr>
        <w:t xml:space="preserve"> </w:t>
      </w:r>
      <w:r w:rsidR="008746D4" w:rsidRPr="004635E5">
        <w:rPr>
          <w:rFonts w:cs="Times New Roman"/>
        </w:rPr>
        <w:t>others don’t</w:t>
      </w:r>
      <w:r w:rsidR="002806D9" w:rsidRPr="004635E5">
        <w:rPr>
          <w:rFonts w:cs="Times New Roman"/>
        </w:rPr>
        <w:t xml:space="preserve">, </w:t>
      </w:r>
      <w:r w:rsidR="008746D4" w:rsidRPr="004635E5">
        <w:rPr>
          <w:rFonts w:cs="Times New Roman"/>
        </w:rPr>
        <w:t xml:space="preserve">and </w:t>
      </w:r>
      <w:r w:rsidR="002806D9" w:rsidRPr="004635E5">
        <w:rPr>
          <w:rFonts w:cs="Times New Roman"/>
        </w:rPr>
        <w:t>w</w:t>
      </w:r>
      <w:r w:rsidR="008746D4" w:rsidRPr="004635E5">
        <w:rPr>
          <w:rFonts w:cs="Times New Roman"/>
        </w:rPr>
        <w:t>hat levels of catch will occur in the fu</w:t>
      </w:r>
      <w:r w:rsidR="002806D9" w:rsidRPr="004635E5">
        <w:rPr>
          <w:rFonts w:cs="Times New Roman"/>
        </w:rPr>
        <w:t>t</w:t>
      </w:r>
      <w:r w:rsidR="008746D4" w:rsidRPr="004635E5">
        <w:rPr>
          <w:rFonts w:cs="Times New Roman"/>
        </w:rPr>
        <w:t>u</w:t>
      </w:r>
      <w:r w:rsidR="002806D9" w:rsidRPr="004635E5">
        <w:rPr>
          <w:rFonts w:cs="Times New Roman"/>
        </w:rPr>
        <w:t>re under the CMM</w:t>
      </w:r>
      <w:r w:rsidR="008746D4" w:rsidRPr="004635E5">
        <w:rPr>
          <w:rFonts w:cs="Times New Roman"/>
        </w:rPr>
        <w:t xml:space="preserve"> are unknown, so varying s</w:t>
      </w:r>
      <w:r w:rsidR="002806D9" w:rsidRPr="004635E5">
        <w:rPr>
          <w:rFonts w:cs="Times New Roman"/>
        </w:rPr>
        <w:t xml:space="preserve">cenarios </w:t>
      </w:r>
      <w:r w:rsidR="008746D4" w:rsidRPr="004635E5">
        <w:rPr>
          <w:rFonts w:cs="Times New Roman"/>
        </w:rPr>
        <w:t>are developed</w:t>
      </w:r>
      <w:r w:rsidR="00A93DC0" w:rsidRPr="004635E5">
        <w:rPr>
          <w:rFonts w:cs="Times New Roman"/>
        </w:rPr>
        <w:t xml:space="preserve">. </w:t>
      </w:r>
    </w:p>
    <w:p w14:paraId="6E1ADA21" w14:textId="77777777" w:rsidR="0030620F" w:rsidRPr="004635E5" w:rsidRDefault="0030620F" w:rsidP="006633A8">
      <w:pPr>
        <w:pStyle w:val="WCPFC"/>
        <w:numPr>
          <w:ilvl w:val="0"/>
          <w:numId w:val="0"/>
        </w:numPr>
        <w:adjustRightInd w:val="0"/>
        <w:spacing w:after="0"/>
        <w:rPr>
          <w:rFonts w:cs="Times New Roman"/>
        </w:rPr>
      </w:pPr>
    </w:p>
    <w:p w14:paraId="172F22EB" w14:textId="77777777" w:rsidR="0008628A" w:rsidRPr="004635E5" w:rsidRDefault="0008628A" w:rsidP="006633A8">
      <w:pPr>
        <w:pStyle w:val="WCPFC"/>
        <w:numPr>
          <w:ilvl w:val="0"/>
          <w:numId w:val="0"/>
        </w:numPr>
        <w:adjustRightInd w:val="0"/>
        <w:spacing w:after="0"/>
        <w:rPr>
          <w:rFonts w:cs="Times New Roman"/>
          <w:b/>
          <w:lang w:eastAsia="ko-KR"/>
        </w:rPr>
      </w:pPr>
      <w:r w:rsidRPr="004635E5">
        <w:rPr>
          <w:rFonts w:cs="Times New Roman"/>
          <w:b/>
        </w:rPr>
        <w:t>Recommendation</w:t>
      </w:r>
      <w:r w:rsidR="008A5F85" w:rsidRPr="004635E5">
        <w:rPr>
          <w:rFonts w:cs="Times New Roman"/>
          <w:b/>
          <w:lang w:eastAsia="ko-KR"/>
        </w:rPr>
        <w:t>s</w:t>
      </w:r>
    </w:p>
    <w:p w14:paraId="065B5FD3" w14:textId="77777777" w:rsidR="008A5F85" w:rsidRPr="004635E5" w:rsidRDefault="008A5F85" w:rsidP="006633A8">
      <w:pPr>
        <w:pStyle w:val="WCPFC"/>
        <w:numPr>
          <w:ilvl w:val="0"/>
          <w:numId w:val="0"/>
        </w:numPr>
        <w:adjustRightInd w:val="0"/>
        <w:spacing w:after="0"/>
        <w:rPr>
          <w:rFonts w:cs="Times New Roman"/>
          <w:b/>
          <w:lang w:eastAsia="ko-KR"/>
        </w:rPr>
      </w:pPr>
    </w:p>
    <w:p w14:paraId="7A77DBF1" w14:textId="77777777" w:rsidR="00A276DA" w:rsidRPr="004635E5" w:rsidRDefault="00A276DA" w:rsidP="006633A8">
      <w:pPr>
        <w:pStyle w:val="WCPFC"/>
        <w:adjustRightInd w:val="0"/>
        <w:spacing w:after="0"/>
        <w:ind w:left="0" w:firstLine="0"/>
        <w:rPr>
          <w:rFonts w:eastAsiaTheme="minorHAnsi" w:cs="Times New Roman"/>
          <w:strike/>
        </w:rPr>
      </w:pPr>
      <w:r w:rsidRPr="004635E5">
        <w:rPr>
          <w:rFonts w:eastAsiaTheme="minorHAnsi" w:cs="Times New Roman"/>
          <w:b/>
        </w:rPr>
        <w:t xml:space="preserve">As requested in the Harvest Strategy Work Plan, as updated by WCPFC14, SC14 reviewed information on the likely outcomes of the revised tropical tuna measure (CMM 2017-01) in relation to </w:t>
      </w:r>
      <w:r w:rsidRPr="004313F8">
        <w:rPr>
          <w:rFonts w:eastAsiaTheme="minorHAnsi" w:cs="Times New Roman"/>
          <w:b/>
          <w:color w:val="auto"/>
        </w:rPr>
        <w:t xml:space="preserve">bigeye tuna </w:t>
      </w:r>
      <w:r w:rsidRPr="004313F8">
        <w:rPr>
          <w:rFonts w:cs="Times New Roman"/>
          <w:b/>
          <w:color w:val="auto"/>
        </w:rPr>
        <w:t>(</w:t>
      </w:r>
      <w:r w:rsidRPr="004313F8">
        <w:rPr>
          <w:rFonts w:cs="Times New Roman"/>
          <w:b/>
          <w:color w:val="auto"/>
          <w:lang w:eastAsia="ko-KR"/>
        </w:rPr>
        <w:t>SC14-</w:t>
      </w:r>
      <w:r w:rsidRPr="004313F8">
        <w:rPr>
          <w:rFonts w:eastAsia="Times New Roman" w:cs="Times New Roman"/>
          <w:b/>
          <w:color w:val="auto"/>
        </w:rPr>
        <w:t xml:space="preserve">MI-WP-08a; detailed analysis of the projections of BET is provided in Section </w:t>
      </w:r>
      <w:r w:rsidR="00E00B48" w:rsidRPr="004313F8">
        <w:rPr>
          <w:rFonts w:cs="Times New Roman"/>
          <w:b/>
          <w:color w:val="auto"/>
          <w:lang w:eastAsia="ko-KR"/>
        </w:rPr>
        <w:t>4.1.1.2</w:t>
      </w:r>
      <w:r w:rsidR="004313F8" w:rsidRPr="004313F8">
        <w:rPr>
          <w:rFonts w:cs="Times New Roman" w:hint="eastAsia"/>
          <w:b/>
          <w:color w:val="auto"/>
          <w:lang w:eastAsia="ko-KR"/>
        </w:rPr>
        <w:t xml:space="preserve"> </w:t>
      </w:r>
      <w:r w:rsidRPr="004313F8">
        <w:rPr>
          <w:rFonts w:eastAsia="Times New Roman" w:cs="Times New Roman"/>
          <w:b/>
          <w:color w:val="auto"/>
        </w:rPr>
        <w:t>of this report)</w:t>
      </w:r>
      <w:r w:rsidRPr="004313F8">
        <w:rPr>
          <w:rFonts w:eastAsiaTheme="minorHAnsi" w:cs="Times New Roman"/>
          <w:b/>
          <w:color w:val="auto"/>
        </w:rPr>
        <w:t>. SC14 noted that outcomes are strongly influenced by the assumed future recruitment levels and the time period of the projections</w:t>
      </w:r>
      <w:r w:rsidR="00A11261">
        <w:rPr>
          <w:rFonts w:cs="Times New Roman" w:hint="eastAsia"/>
          <w:b/>
          <w:color w:val="auto"/>
          <w:lang w:eastAsia="ko-KR"/>
        </w:rPr>
        <w:t>.</w:t>
      </w:r>
      <w:r w:rsidRPr="004313F8">
        <w:rPr>
          <w:rFonts w:eastAsiaTheme="minorHAnsi" w:cs="Times New Roman"/>
          <w:b/>
          <w:color w:val="auto"/>
        </w:rPr>
        <w:t xml:space="preserve"> SC14 recommended that </w:t>
      </w:r>
      <w:r w:rsidRPr="004313F8">
        <w:rPr>
          <w:rFonts w:cs="Times New Roman"/>
          <w:b/>
          <w:color w:val="auto"/>
        </w:rPr>
        <w:t>the working paper be forwarded to WCPFC15</w:t>
      </w:r>
      <w:r w:rsidRPr="004635E5">
        <w:rPr>
          <w:rFonts w:eastAsiaTheme="minorHAnsi" w:cs="Times New Roman"/>
          <w:b/>
        </w:rPr>
        <w:t xml:space="preserve">. SC14 noted that projection analyses such as those detailed in the working paper should be presented in conjunction with the stock assessment results in future SC meetings. </w:t>
      </w:r>
    </w:p>
    <w:p w14:paraId="633DB8E4" w14:textId="77777777" w:rsidR="0030620F" w:rsidRPr="004635E5" w:rsidRDefault="0030620F" w:rsidP="006633A8">
      <w:pPr>
        <w:pStyle w:val="WCPFC"/>
        <w:numPr>
          <w:ilvl w:val="0"/>
          <w:numId w:val="0"/>
        </w:numPr>
        <w:adjustRightInd w:val="0"/>
        <w:spacing w:after="0"/>
        <w:rPr>
          <w:rFonts w:eastAsiaTheme="minorHAnsi" w:cs="Times New Roman"/>
          <w:strike/>
        </w:rPr>
      </w:pPr>
    </w:p>
    <w:p w14:paraId="51EAE4E9" w14:textId="77777777" w:rsidR="005575A1" w:rsidRPr="004635E5" w:rsidRDefault="005575A1" w:rsidP="00580EA4">
      <w:pPr>
        <w:pStyle w:val="SC3"/>
        <w:numPr>
          <w:ilvl w:val="2"/>
          <w:numId w:val="161"/>
        </w:numPr>
        <w:spacing w:after="0"/>
        <w:rPr>
          <w:rFonts w:eastAsiaTheme="minorEastAsia"/>
          <w:lang w:eastAsia="ko-KR"/>
        </w:rPr>
      </w:pPr>
      <w:r w:rsidRPr="004635E5">
        <w:rPr>
          <w:rFonts w:eastAsiaTheme="minorEastAsia"/>
          <w:lang w:eastAsia="ko-KR"/>
        </w:rPr>
        <w:t>Management issues related to FADs</w:t>
      </w:r>
    </w:p>
    <w:p w14:paraId="3B5C8F91" w14:textId="77777777" w:rsidR="0030620F" w:rsidRPr="004635E5" w:rsidRDefault="0030620F" w:rsidP="006633A8">
      <w:pPr>
        <w:pStyle w:val="SC3"/>
        <w:numPr>
          <w:ilvl w:val="0"/>
          <w:numId w:val="0"/>
        </w:numPr>
        <w:spacing w:after="0"/>
        <w:ind w:left="1440"/>
        <w:rPr>
          <w:rFonts w:eastAsiaTheme="minorEastAsia"/>
          <w:lang w:eastAsia="ko-KR"/>
        </w:rPr>
      </w:pPr>
    </w:p>
    <w:p w14:paraId="68FC8E1B" w14:textId="77777777" w:rsidR="005575A1" w:rsidRPr="004635E5" w:rsidRDefault="007353E1" w:rsidP="00671F09">
      <w:pPr>
        <w:pStyle w:val="SCa"/>
        <w:tabs>
          <w:tab w:val="clear" w:pos="1080"/>
        </w:tabs>
        <w:spacing w:after="0"/>
        <w:ind w:left="0"/>
      </w:pPr>
      <w:r w:rsidRPr="004635E5">
        <w:t>a.</w:t>
      </w:r>
      <w:r w:rsidRPr="004635E5">
        <w:tab/>
      </w:r>
      <w:r w:rsidR="005575A1" w:rsidRPr="004635E5">
        <w:t>FAD tracking</w:t>
      </w:r>
    </w:p>
    <w:p w14:paraId="3BE4993F" w14:textId="77777777" w:rsidR="00112951" w:rsidRPr="00112951" w:rsidRDefault="00112951" w:rsidP="00146B98">
      <w:pPr>
        <w:pStyle w:val="WCPFC"/>
        <w:numPr>
          <w:ilvl w:val="0"/>
          <w:numId w:val="0"/>
        </w:numPr>
        <w:adjustRightInd w:val="0"/>
        <w:spacing w:after="0"/>
        <w:rPr>
          <w:rFonts w:cs="Times New Roman"/>
          <w:bCs/>
          <w:lang w:eastAsia="ko-KR"/>
        </w:rPr>
      </w:pPr>
    </w:p>
    <w:p w14:paraId="4BD7CDE4" w14:textId="77777777" w:rsidR="005575A1" w:rsidRPr="004635E5" w:rsidRDefault="006822C3" w:rsidP="006633A8">
      <w:pPr>
        <w:pStyle w:val="WCPFC"/>
        <w:adjustRightInd w:val="0"/>
        <w:spacing w:after="0"/>
        <w:ind w:left="0" w:firstLine="0"/>
        <w:rPr>
          <w:rFonts w:cs="Times New Roman"/>
          <w:bCs/>
          <w:lang w:eastAsia="ko-KR"/>
        </w:rPr>
      </w:pPr>
      <w:r w:rsidRPr="004635E5">
        <w:rPr>
          <w:rFonts w:cs="Times New Roman"/>
        </w:rPr>
        <w:t xml:space="preserve">The </w:t>
      </w:r>
      <w:r w:rsidR="002E39E9" w:rsidRPr="004635E5">
        <w:rPr>
          <w:rFonts w:cs="Times New Roman"/>
        </w:rPr>
        <w:t>theme convener</w:t>
      </w:r>
      <w:r w:rsidRPr="004635E5">
        <w:rPr>
          <w:rFonts w:cs="Times New Roman"/>
        </w:rPr>
        <w:t xml:space="preserve"> noted that </w:t>
      </w:r>
      <w:r w:rsidR="005575A1" w:rsidRPr="004635E5">
        <w:rPr>
          <w:rFonts w:cs="Times New Roman"/>
        </w:rPr>
        <w:t>SC14</w:t>
      </w:r>
      <w:r w:rsidR="005575A1" w:rsidRPr="004635E5">
        <w:rPr>
          <w:rFonts w:cs="Times New Roman"/>
          <w:bCs/>
          <w:lang w:eastAsia="ko-KR"/>
        </w:rPr>
        <w:t xml:space="preserve"> </w:t>
      </w:r>
      <w:r w:rsidRPr="004635E5">
        <w:rPr>
          <w:rFonts w:cs="Times New Roman"/>
          <w:bCs/>
          <w:lang w:eastAsia="ko-KR"/>
        </w:rPr>
        <w:t xml:space="preserve">was tasked with </w:t>
      </w:r>
      <w:r w:rsidR="005575A1" w:rsidRPr="004635E5">
        <w:rPr>
          <w:rFonts w:cs="Times New Roman"/>
          <w:bCs/>
          <w:lang w:eastAsia="ko-KR"/>
        </w:rPr>
        <w:t>review</w:t>
      </w:r>
      <w:r w:rsidRPr="004635E5">
        <w:rPr>
          <w:rFonts w:cs="Times New Roman"/>
          <w:bCs/>
          <w:lang w:eastAsia="ko-KR"/>
        </w:rPr>
        <w:t>ing</w:t>
      </w:r>
      <w:r w:rsidR="005575A1" w:rsidRPr="004635E5">
        <w:rPr>
          <w:rFonts w:cs="Times New Roman"/>
          <w:bCs/>
          <w:lang w:eastAsia="ko-KR"/>
        </w:rPr>
        <w:t xml:space="preserve"> the updated FAD tracking analysis implemented within the PNA FAD tracking programme and recommend</w:t>
      </w:r>
      <w:r w:rsidRPr="004635E5">
        <w:rPr>
          <w:rFonts w:cs="Times New Roman"/>
          <w:bCs/>
          <w:lang w:eastAsia="ko-KR"/>
        </w:rPr>
        <w:t>ing</w:t>
      </w:r>
      <w:r w:rsidR="005575A1" w:rsidRPr="004635E5">
        <w:rPr>
          <w:rFonts w:cs="Times New Roman"/>
          <w:bCs/>
          <w:lang w:eastAsia="ko-KR"/>
        </w:rPr>
        <w:t xml:space="preserve"> any </w:t>
      </w:r>
      <w:r w:rsidR="005575A1" w:rsidRPr="004635E5">
        <w:rPr>
          <w:rFonts w:cs="Times New Roman"/>
          <w:lang w:val="en-AU"/>
        </w:rPr>
        <w:t>mechanisms to facilitate further analyses</w:t>
      </w:r>
      <w:r w:rsidR="005575A1" w:rsidRPr="004635E5">
        <w:rPr>
          <w:rFonts w:cs="Times New Roman"/>
          <w:lang w:val="en-AU" w:eastAsia="ko-KR"/>
        </w:rPr>
        <w:t xml:space="preserve"> as needed</w:t>
      </w:r>
      <w:r w:rsidR="005575A1" w:rsidRPr="004635E5">
        <w:rPr>
          <w:rFonts w:cs="Times New Roman"/>
          <w:bCs/>
          <w:lang w:eastAsia="ko-KR"/>
        </w:rPr>
        <w:t>.</w:t>
      </w:r>
    </w:p>
    <w:p w14:paraId="31029306" w14:textId="77777777" w:rsidR="0030620F" w:rsidRPr="004635E5" w:rsidRDefault="0030620F" w:rsidP="006633A8">
      <w:pPr>
        <w:pStyle w:val="WCPFC"/>
        <w:numPr>
          <w:ilvl w:val="0"/>
          <w:numId w:val="0"/>
        </w:numPr>
        <w:adjustRightInd w:val="0"/>
        <w:spacing w:after="0"/>
        <w:rPr>
          <w:rFonts w:cs="Times New Roman"/>
          <w:bCs/>
          <w:lang w:eastAsia="ko-KR"/>
        </w:rPr>
      </w:pPr>
    </w:p>
    <w:p w14:paraId="4ACF15EF" w14:textId="77777777" w:rsidR="009F5A34" w:rsidRPr="004635E5" w:rsidRDefault="00DF59C3" w:rsidP="006633A8">
      <w:pPr>
        <w:pStyle w:val="WCPFC"/>
        <w:adjustRightInd w:val="0"/>
        <w:spacing w:after="0"/>
        <w:ind w:left="0" w:firstLine="0"/>
        <w:rPr>
          <w:rFonts w:cs="Times New Roman"/>
          <w:bCs/>
          <w:lang w:eastAsia="ko-KR"/>
        </w:rPr>
      </w:pPr>
      <w:r w:rsidRPr="004635E5">
        <w:rPr>
          <w:rFonts w:cs="Times New Roman"/>
          <w:bCs/>
          <w:lang w:eastAsia="ko-KR"/>
        </w:rPr>
        <w:t xml:space="preserve">L. Escalle presented SC14-MI-WP-09, </w:t>
      </w:r>
      <w:r w:rsidRPr="004635E5">
        <w:rPr>
          <w:rFonts w:cs="Times New Roman"/>
          <w:bCs/>
          <w:i/>
          <w:lang w:eastAsia="ko-KR"/>
        </w:rPr>
        <w:t>Report on analyses of the 2016/2018 PNA FAD tracking programme</w:t>
      </w:r>
      <w:r w:rsidR="009F5A34" w:rsidRPr="004635E5">
        <w:rPr>
          <w:rFonts w:cs="Times New Roman"/>
          <w:bCs/>
          <w:i/>
          <w:lang w:eastAsia="ko-KR"/>
        </w:rPr>
        <w:t>.</w:t>
      </w:r>
      <w:r w:rsidR="009F5A34" w:rsidRPr="004635E5">
        <w:rPr>
          <w:rFonts w:cs="Times New Roman"/>
          <w:bCs/>
          <w:lang w:eastAsia="ko-KR"/>
        </w:rPr>
        <w:t xml:space="preserve"> This paper presents analyses of the PNA’s FAD tracking programme including: a description of the data processing required; estimated data submission rates to the PNA; a description of the spatio-temporal distribution of buoy deployments; FAD densities; FAD connectivity; and an analysis of the fate of FADs including a focus on FAD beaching. Using two methods, matching buoy tracks and observer or logsheet data, it was estimated that ~60–70% of buoy transmissions collected by fishing companies are not forwarded to the PNA. Some of the data received by PNA are also modified by fishing companies prior to submission (“geo-fencing”). The cleaned dataset used consisted of 14.8 million transmissions from 26,466 buoys and covered the period from 1st January 2016 to 18th March 2018. This corresponds to an estimated total of 36,831 deployments (from 193 vessels including), with main deployments areas in Kiribati South of the Gilberts Islands and East of the Phoenix Islands, Nauru, East of PNG. The number of transmissions from buoys almost doubled in 2017 and the number of individual buoys active in the available data was 10,915 in 2016 and 18,405 in 2017. Although influenced by the issues arising due to geo-fencing, the spatial distribution of buoy densities were investigated, with higher densities in Kiribati South of the Gilbert Islands and around the Phoenix Islands, Tuvalu, PNG and the Solomon Islands. Finally, at least 5% of the buoys ended up beached, with the connected FAD potentially damaging sensitive ecosystems such as coral reefs; and at least 26% of the buoys in our dataset could be considered lost, likely leading to marine pollution.</w:t>
      </w:r>
    </w:p>
    <w:p w14:paraId="058959FA" w14:textId="77777777" w:rsidR="0030620F" w:rsidRPr="004635E5" w:rsidRDefault="0030620F" w:rsidP="006633A8">
      <w:pPr>
        <w:pStyle w:val="WCPFC"/>
        <w:numPr>
          <w:ilvl w:val="0"/>
          <w:numId w:val="0"/>
        </w:numPr>
        <w:adjustRightInd w:val="0"/>
        <w:spacing w:after="0"/>
        <w:rPr>
          <w:rFonts w:cs="Times New Roman"/>
          <w:bCs/>
          <w:lang w:eastAsia="ko-KR"/>
        </w:rPr>
      </w:pPr>
    </w:p>
    <w:p w14:paraId="014D91BC" w14:textId="77777777" w:rsidR="0030620F" w:rsidRPr="004635E5" w:rsidRDefault="00DF59C3" w:rsidP="006633A8">
      <w:pPr>
        <w:pStyle w:val="ListParagraph"/>
        <w:adjustRightInd w:val="0"/>
        <w:snapToGrid w:val="0"/>
        <w:ind w:left="0"/>
        <w:jc w:val="both"/>
        <w:rPr>
          <w:rFonts w:eastAsiaTheme="minorEastAsia"/>
          <w:b/>
          <w:bCs/>
          <w:sz w:val="22"/>
          <w:szCs w:val="22"/>
          <w:lang w:val="en-NZ" w:eastAsia="ko-KR"/>
        </w:rPr>
      </w:pPr>
      <w:r w:rsidRPr="004635E5">
        <w:rPr>
          <w:rFonts w:eastAsiaTheme="minorEastAsia"/>
          <w:b/>
          <w:bCs/>
          <w:sz w:val="22"/>
          <w:szCs w:val="22"/>
          <w:lang w:val="en-NZ" w:eastAsia="ko-KR"/>
        </w:rPr>
        <w:t>Discussion</w:t>
      </w:r>
    </w:p>
    <w:p w14:paraId="17DC7878" w14:textId="77777777" w:rsidR="0030620F" w:rsidRPr="004635E5" w:rsidRDefault="0030620F" w:rsidP="006633A8">
      <w:pPr>
        <w:pStyle w:val="ListParagraph"/>
        <w:adjustRightInd w:val="0"/>
        <w:snapToGrid w:val="0"/>
        <w:ind w:left="0"/>
        <w:jc w:val="both"/>
        <w:rPr>
          <w:rFonts w:eastAsiaTheme="minorEastAsia"/>
          <w:b/>
          <w:bCs/>
          <w:sz w:val="22"/>
          <w:szCs w:val="22"/>
          <w:lang w:val="en-NZ" w:eastAsia="ko-KR"/>
        </w:rPr>
      </w:pPr>
    </w:p>
    <w:p w14:paraId="00065CA7" w14:textId="77777777" w:rsidR="00ED2DEC" w:rsidRPr="004635E5" w:rsidRDefault="00ED2DEC" w:rsidP="006633A8">
      <w:pPr>
        <w:pStyle w:val="WCPFC"/>
        <w:adjustRightInd w:val="0"/>
        <w:spacing w:after="0"/>
        <w:ind w:left="0" w:firstLine="0"/>
        <w:rPr>
          <w:rFonts w:cs="Times New Roman"/>
        </w:rPr>
      </w:pPr>
      <w:r w:rsidRPr="004635E5">
        <w:rPr>
          <w:rFonts w:cs="Times New Roman"/>
          <w:bCs/>
          <w:color w:val="auto"/>
          <w:lang w:eastAsia="ko-KR"/>
        </w:rPr>
        <w:t xml:space="preserve">The </w:t>
      </w:r>
      <w:r w:rsidRPr="004635E5">
        <w:rPr>
          <w:rFonts w:cs="Times New Roman"/>
        </w:rPr>
        <w:t>World Tuna Purse sein</w:t>
      </w:r>
      <w:r w:rsidR="00D05347" w:rsidRPr="004635E5">
        <w:rPr>
          <w:rFonts w:cs="Times New Roman"/>
        </w:rPr>
        <w:t>e Organization (WTPO) reiterated</w:t>
      </w:r>
      <w:r w:rsidRPr="004635E5">
        <w:rPr>
          <w:rFonts w:cs="Times New Roman"/>
        </w:rPr>
        <w:t xml:space="preserve"> its request to the WCPFC, for a review of the definition of FAD. </w:t>
      </w:r>
      <w:r w:rsidR="00D05347" w:rsidRPr="004635E5">
        <w:rPr>
          <w:rFonts w:cs="Times New Roman"/>
        </w:rPr>
        <w:t xml:space="preserve">They stated that the </w:t>
      </w:r>
      <w:r w:rsidRPr="004635E5">
        <w:rPr>
          <w:rFonts w:cs="Times New Roman"/>
        </w:rPr>
        <w:t xml:space="preserve">current WCPFC FAD definition </w:t>
      </w:r>
      <w:r w:rsidR="0041022C" w:rsidRPr="004635E5">
        <w:rPr>
          <w:rFonts w:cs="Times New Roman"/>
        </w:rPr>
        <w:t xml:space="preserve">was overly </w:t>
      </w:r>
      <w:r w:rsidRPr="004635E5">
        <w:rPr>
          <w:rFonts w:cs="Times New Roman"/>
        </w:rPr>
        <w:t>broad, confusing and debatable, considering the limit of the number of FAD</w:t>
      </w:r>
      <w:r w:rsidR="0041022C" w:rsidRPr="004635E5">
        <w:rPr>
          <w:rFonts w:cs="Times New Roman"/>
        </w:rPr>
        <w:t>s and limit of FAD-</w:t>
      </w:r>
      <w:r w:rsidRPr="004635E5">
        <w:rPr>
          <w:rFonts w:cs="Times New Roman"/>
        </w:rPr>
        <w:t>set fishing. </w:t>
      </w:r>
      <w:r w:rsidR="0041022C" w:rsidRPr="004635E5">
        <w:rPr>
          <w:rFonts w:cs="Times New Roman"/>
        </w:rPr>
        <w:t>They stated that a</w:t>
      </w:r>
      <w:r w:rsidRPr="004635E5">
        <w:rPr>
          <w:rFonts w:cs="Times New Roman"/>
        </w:rPr>
        <w:t xml:space="preserve"> clearer definition of FAD and FAD fishing </w:t>
      </w:r>
      <w:r w:rsidR="0041022C" w:rsidRPr="004635E5">
        <w:rPr>
          <w:rFonts w:cs="Times New Roman"/>
        </w:rPr>
        <w:t xml:space="preserve">was </w:t>
      </w:r>
      <w:r w:rsidRPr="004635E5">
        <w:rPr>
          <w:rFonts w:cs="Times New Roman"/>
        </w:rPr>
        <w:t>needed. </w:t>
      </w:r>
      <w:r w:rsidR="0041022C" w:rsidRPr="004635E5">
        <w:rPr>
          <w:rFonts w:cs="Times New Roman"/>
        </w:rPr>
        <w:t xml:space="preserve">They noted that a </w:t>
      </w:r>
      <w:r w:rsidRPr="004635E5">
        <w:rPr>
          <w:rFonts w:cs="Times New Roman"/>
        </w:rPr>
        <w:t xml:space="preserve">piece of chopstick or rubbish </w:t>
      </w:r>
      <w:r w:rsidR="0041022C" w:rsidRPr="004635E5">
        <w:rPr>
          <w:rFonts w:cs="Times New Roman"/>
        </w:rPr>
        <w:t xml:space="preserve">was </w:t>
      </w:r>
      <w:r w:rsidRPr="004635E5">
        <w:rPr>
          <w:rFonts w:cs="Times New Roman"/>
        </w:rPr>
        <w:t>considered a FAD and</w:t>
      </w:r>
      <w:r w:rsidR="0041022C" w:rsidRPr="004635E5">
        <w:rPr>
          <w:rFonts w:cs="Times New Roman"/>
        </w:rPr>
        <w:t xml:space="preserve"> this unclear situation disturbed</w:t>
      </w:r>
      <w:r w:rsidRPr="004635E5">
        <w:rPr>
          <w:rFonts w:cs="Times New Roman"/>
        </w:rPr>
        <w:t xml:space="preserve"> legal fishing activity during the FAD closure</w:t>
      </w:r>
      <w:r w:rsidR="0041022C" w:rsidRPr="004635E5">
        <w:rPr>
          <w:rFonts w:cs="Times New Roman"/>
        </w:rPr>
        <w:t>s,</w:t>
      </w:r>
      <w:r w:rsidRPr="004635E5">
        <w:rPr>
          <w:rFonts w:cs="Times New Roman"/>
        </w:rPr>
        <w:t xml:space="preserve"> which </w:t>
      </w:r>
      <w:r w:rsidR="0041022C" w:rsidRPr="004635E5">
        <w:rPr>
          <w:rFonts w:cs="Times New Roman"/>
        </w:rPr>
        <w:t xml:space="preserve">were </w:t>
      </w:r>
      <w:r w:rsidRPr="004635E5">
        <w:rPr>
          <w:rFonts w:cs="Times New Roman"/>
        </w:rPr>
        <w:t>taking place</w:t>
      </w:r>
      <w:r w:rsidR="00A16680" w:rsidRPr="004635E5">
        <w:rPr>
          <w:rFonts w:cs="Times New Roman"/>
        </w:rPr>
        <w:t xml:space="preserve">. </w:t>
      </w:r>
      <w:r w:rsidR="0041022C" w:rsidRPr="004635E5">
        <w:rPr>
          <w:rFonts w:cs="Times New Roman"/>
        </w:rPr>
        <w:t>WTPO congratulated</w:t>
      </w:r>
      <w:r w:rsidRPr="004635E5">
        <w:rPr>
          <w:rFonts w:cs="Times New Roman"/>
        </w:rPr>
        <w:t xml:space="preserve"> the improvement effort on </w:t>
      </w:r>
      <w:r w:rsidR="0041022C" w:rsidRPr="004635E5">
        <w:rPr>
          <w:rFonts w:cs="Times New Roman"/>
        </w:rPr>
        <w:t xml:space="preserve">bigeye </w:t>
      </w:r>
      <w:r w:rsidRPr="004635E5">
        <w:rPr>
          <w:rFonts w:cs="Times New Roman"/>
        </w:rPr>
        <w:t xml:space="preserve">stock, </w:t>
      </w:r>
      <w:r w:rsidR="0041022C" w:rsidRPr="004635E5">
        <w:rPr>
          <w:rFonts w:cs="Times New Roman"/>
        </w:rPr>
        <w:t>continued</w:t>
      </w:r>
      <w:r w:rsidRPr="004635E5">
        <w:rPr>
          <w:rFonts w:cs="Times New Roman"/>
        </w:rPr>
        <w:t xml:space="preserve"> to support the precautionary measures on FAD</w:t>
      </w:r>
      <w:r w:rsidR="0041022C" w:rsidRPr="004635E5">
        <w:rPr>
          <w:rFonts w:cs="Times New Roman"/>
        </w:rPr>
        <w:t>s</w:t>
      </w:r>
      <w:r w:rsidRPr="004635E5">
        <w:rPr>
          <w:rFonts w:cs="Times New Roman"/>
        </w:rPr>
        <w:t xml:space="preserve"> protecting </w:t>
      </w:r>
      <w:r w:rsidR="0041022C" w:rsidRPr="004635E5">
        <w:rPr>
          <w:rFonts w:cs="Times New Roman"/>
        </w:rPr>
        <w:t xml:space="preserve">bigeye </w:t>
      </w:r>
      <w:r w:rsidRPr="004635E5">
        <w:rPr>
          <w:rFonts w:cs="Times New Roman"/>
        </w:rPr>
        <w:t>juvenile fish</w:t>
      </w:r>
      <w:r w:rsidR="0041022C" w:rsidRPr="004635E5">
        <w:rPr>
          <w:rFonts w:cs="Times New Roman"/>
        </w:rPr>
        <w:t xml:space="preserve"> as well as mitigating bycatch, and supported</w:t>
      </w:r>
      <w:r w:rsidRPr="004635E5">
        <w:rPr>
          <w:rFonts w:cs="Times New Roman"/>
        </w:rPr>
        <w:t xml:space="preserve"> the effective FAD management measures such as FAD registration, FAD marking, FAD closure</w:t>
      </w:r>
      <w:r w:rsidR="0041022C" w:rsidRPr="004635E5">
        <w:rPr>
          <w:rFonts w:cs="Times New Roman"/>
        </w:rPr>
        <w:t>s</w:t>
      </w:r>
      <w:r w:rsidRPr="004635E5">
        <w:rPr>
          <w:rFonts w:cs="Times New Roman"/>
        </w:rPr>
        <w:t xml:space="preserve"> and FAD limits</w:t>
      </w:r>
      <w:r w:rsidR="00A16680" w:rsidRPr="004635E5">
        <w:rPr>
          <w:rFonts w:cs="Times New Roman"/>
        </w:rPr>
        <w:t xml:space="preserve">. </w:t>
      </w:r>
      <w:r w:rsidR="0041022C" w:rsidRPr="004635E5">
        <w:rPr>
          <w:rFonts w:cs="Times New Roman"/>
        </w:rPr>
        <w:t xml:space="preserve">They reiterated that their view that the WCPFC’s </w:t>
      </w:r>
      <w:r w:rsidRPr="004635E5">
        <w:rPr>
          <w:rFonts w:cs="Times New Roman"/>
        </w:rPr>
        <w:t>FAD defin</w:t>
      </w:r>
      <w:r w:rsidR="0041022C" w:rsidRPr="004635E5">
        <w:rPr>
          <w:rFonts w:cs="Times New Roman"/>
        </w:rPr>
        <w:t xml:space="preserve">ition was questionable </w:t>
      </w:r>
      <w:r w:rsidRPr="004635E5">
        <w:rPr>
          <w:rFonts w:cs="Times New Roman"/>
        </w:rPr>
        <w:t>and impact</w:t>
      </w:r>
      <w:r w:rsidR="0041022C" w:rsidRPr="004635E5">
        <w:rPr>
          <w:rFonts w:cs="Times New Roman"/>
        </w:rPr>
        <w:t>ed</w:t>
      </w:r>
      <w:r w:rsidRPr="004635E5">
        <w:rPr>
          <w:rFonts w:cs="Times New Roman"/>
        </w:rPr>
        <w:t xml:space="preserve"> scientific research</w:t>
      </w:r>
      <w:r w:rsidR="00A16680" w:rsidRPr="004635E5">
        <w:rPr>
          <w:rFonts w:cs="Times New Roman"/>
        </w:rPr>
        <w:t xml:space="preserve">. </w:t>
      </w:r>
      <w:r w:rsidR="0041022C" w:rsidRPr="004635E5">
        <w:rPr>
          <w:rFonts w:cs="Times New Roman"/>
        </w:rPr>
        <w:t xml:space="preserve">The queried whether, </w:t>
      </w:r>
      <w:r w:rsidRPr="004635E5">
        <w:rPr>
          <w:rFonts w:cs="Times New Roman"/>
        </w:rPr>
        <w:t xml:space="preserve">with the improvement in </w:t>
      </w:r>
      <w:r w:rsidR="0041022C" w:rsidRPr="004635E5">
        <w:rPr>
          <w:rFonts w:cs="Times New Roman"/>
        </w:rPr>
        <w:t xml:space="preserve">bigeye </w:t>
      </w:r>
      <w:r w:rsidRPr="004635E5">
        <w:rPr>
          <w:rFonts w:cs="Times New Roman"/>
        </w:rPr>
        <w:t xml:space="preserve">status, the positive results and studies </w:t>
      </w:r>
      <w:r w:rsidR="0041022C" w:rsidRPr="004635E5">
        <w:rPr>
          <w:rFonts w:cs="Times New Roman"/>
        </w:rPr>
        <w:t xml:space="preserve">were </w:t>
      </w:r>
      <w:r w:rsidRPr="004635E5">
        <w:rPr>
          <w:rFonts w:cs="Times New Roman"/>
        </w:rPr>
        <w:t>based on the current FAD definition</w:t>
      </w:r>
      <w:r w:rsidR="00A16680" w:rsidRPr="004635E5">
        <w:rPr>
          <w:rFonts w:cs="Times New Roman"/>
        </w:rPr>
        <w:t xml:space="preserve">. </w:t>
      </w:r>
      <w:r w:rsidR="0041022C" w:rsidRPr="004635E5">
        <w:rPr>
          <w:rFonts w:cs="Times New Roman"/>
        </w:rPr>
        <w:t>WTPO encouraged</w:t>
      </w:r>
      <w:r w:rsidRPr="004635E5">
        <w:rPr>
          <w:rFonts w:cs="Times New Roman"/>
        </w:rPr>
        <w:t xml:space="preserve"> adopt</w:t>
      </w:r>
      <w:r w:rsidR="0041022C" w:rsidRPr="004635E5">
        <w:rPr>
          <w:rFonts w:cs="Times New Roman"/>
        </w:rPr>
        <w:t>ion of</w:t>
      </w:r>
      <w:r w:rsidRPr="004635E5">
        <w:rPr>
          <w:rFonts w:cs="Times New Roman"/>
        </w:rPr>
        <w:t xml:space="preserve"> a new FAD definition in WCPFC </w:t>
      </w:r>
      <w:r w:rsidR="0041022C" w:rsidRPr="004635E5">
        <w:rPr>
          <w:rFonts w:cs="Times New Roman"/>
        </w:rPr>
        <w:t xml:space="preserve">such as that </w:t>
      </w:r>
      <w:r w:rsidRPr="004635E5">
        <w:rPr>
          <w:rFonts w:cs="Times New Roman"/>
        </w:rPr>
        <w:t>used by other tuna RFMOs</w:t>
      </w:r>
      <w:r w:rsidR="0041022C" w:rsidRPr="004635E5">
        <w:rPr>
          <w:rFonts w:cs="Times New Roman"/>
        </w:rPr>
        <w:t xml:space="preserve"> (e.g., </w:t>
      </w:r>
      <w:r w:rsidRPr="004635E5">
        <w:rPr>
          <w:rFonts w:cs="Times New Roman"/>
        </w:rPr>
        <w:t xml:space="preserve">IATTC </w:t>
      </w:r>
      <w:r w:rsidR="0041022C" w:rsidRPr="004635E5">
        <w:rPr>
          <w:rFonts w:cs="Times New Roman"/>
        </w:rPr>
        <w:t xml:space="preserve">defines a FAD to be an </w:t>
      </w:r>
      <w:r w:rsidRPr="004635E5">
        <w:rPr>
          <w:rFonts w:cs="Times New Roman"/>
        </w:rPr>
        <w:t>anchored, driftin</w:t>
      </w:r>
      <w:r w:rsidR="0041022C" w:rsidRPr="004635E5">
        <w:rPr>
          <w:rFonts w:cs="Times New Roman"/>
        </w:rPr>
        <w:t>g, floating or submerged object</w:t>
      </w:r>
      <w:r w:rsidRPr="004635E5">
        <w:rPr>
          <w:rFonts w:cs="Times New Roman"/>
        </w:rPr>
        <w:t xml:space="preserve"> deployed and/or tracked by vessels, including through the use of radio and/or satellite buoys, for the purpose of aggregating target tuna species for purse-seine fishing operations</w:t>
      </w:r>
      <w:r w:rsidR="0041022C" w:rsidRPr="004635E5">
        <w:rPr>
          <w:rFonts w:cs="Times New Roman"/>
        </w:rPr>
        <w:t>)</w:t>
      </w:r>
      <w:r w:rsidRPr="004635E5">
        <w:rPr>
          <w:rFonts w:cs="Times New Roman"/>
        </w:rPr>
        <w:t>.</w:t>
      </w:r>
    </w:p>
    <w:p w14:paraId="0F1D3578" w14:textId="77777777" w:rsidR="0030620F" w:rsidRPr="004635E5" w:rsidRDefault="0030620F" w:rsidP="006633A8">
      <w:pPr>
        <w:pStyle w:val="WCPFC"/>
        <w:numPr>
          <w:ilvl w:val="0"/>
          <w:numId w:val="0"/>
        </w:numPr>
        <w:adjustRightInd w:val="0"/>
        <w:spacing w:after="0"/>
        <w:rPr>
          <w:rFonts w:cs="Times New Roman"/>
        </w:rPr>
      </w:pPr>
    </w:p>
    <w:p w14:paraId="6E9900AA" w14:textId="77777777" w:rsidR="00A34591" w:rsidRPr="004635E5" w:rsidRDefault="00D05347" w:rsidP="006633A8">
      <w:pPr>
        <w:pStyle w:val="WCPFC"/>
        <w:adjustRightInd w:val="0"/>
        <w:spacing w:after="0"/>
        <w:ind w:left="0" w:firstLine="0"/>
        <w:rPr>
          <w:rFonts w:cs="Times New Roman"/>
        </w:rPr>
      </w:pPr>
      <w:r w:rsidRPr="004635E5">
        <w:rPr>
          <w:rFonts w:cs="Times New Roman"/>
        </w:rPr>
        <w:t xml:space="preserve">The EU stated that the </w:t>
      </w:r>
      <w:r w:rsidR="00EB0CA4" w:rsidRPr="004635E5">
        <w:rPr>
          <w:rFonts w:cs="Times New Roman"/>
        </w:rPr>
        <w:t xml:space="preserve">work </w:t>
      </w:r>
      <w:r w:rsidRPr="004635E5">
        <w:rPr>
          <w:rFonts w:cs="Times New Roman"/>
        </w:rPr>
        <w:t xml:space="preserve">would </w:t>
      </w:r>
      <w:r w:rsidR="00EB0CA4" w:rsidRPr="004635E5">
        <w:rPr>
          <w:rFonts w:cs="Times New Roman"/>
        </w:rPr>
        <w:t xml:space="preserve">be a reference for similar work </w:t>
      </w:r>
      <w:r w:rsidRPr="004635E5">
        <w:rPr>
          <w:rFonts w:cs="Times New Roman"/>
        </w:rPr>
        <w:t>to be conducted elsewhere. They</w:t>
      </w:r>
      <w:r w:rsidR="00EB0CA4" w:rsidRPr="004635E5">
        <w:rPr>
          <w:rFonts w:cs="Times New Roman"/>
        </w:rPr>
        <w:t xml:space="preserve"> </w:t>
      </w:r>
      <w:r w:rsidRPr="004635E5">
        <w:rPr>
          <w:rFonts w:cs="Times New Roman"/>
        </w:rPr>
        <w:t xml:space="preserve">noted that </w:t>
      </w:r>
      <w:r w:rsidR="00EB0CA4" w:rsidRPr="004635E5">
        <w:rPr>
          <w:rFonts w:cs="Times New Roman"/>
        </w:rPr>
        <w:t xml:space="preserve">caveats </w:t>
      </w:r>
      <w:r w:rsidRPr="004635E5">
        <w:rPr>
          <w:rFonts w:cs="Times New Roman"/>
        </w:rPr>
        <w:t xml:space="preserve">exist </w:t>
      </w:r>
      <w:r w:rsidR="00EB0CA4" w:rsidRPr="004635E5">
        <w:rPr>
          <w:rFonts w:cs="Times New Roman"/>
        </w:rPr>
        <w:t xml:space="preserve">in terms of the data collected, and the data sets, but </w:t>
      </w:r>
      <w:r w:rsidRPr="004635E5">
        <w:rPr>
          <w:rFonts w:cs="Times New Roman"/>
        </w:rPr>
        <w:t xml:space="preserve">that the </w:t>
      </w:r>
      <w:r w:rsidR="00EB0CA4" w:rsidRPr="004635E5">
        <w:rPr>
          <w:rFonts w:cs="Times New Roman"/>
        </w:rPr>
        <w:t xml:space="preserve">work and approach </w:t>
      </w:r>
      <w:r w:rsidRPr="004635E5">
        <w:rPr>
          <w:rFonts w:cs="Times New Roman"/>
        </w:rPr>
        <w:t xml:space="preserve">were </w:t>
      </w:r>
      <w:r w:rsidR="00EB0CA4" w:rsidRPr="004635E5">
        <w:rPr>
          <w:rFonts w:cs="Times New Roman"/>
        </w:rPr>
        <w:t xml:space="preserve">excellent. </w:t>
      </w:r>
      <w:r w:rsidRPr="004635E5">
        <w:rPr>
          <w:rFonts w:cs="Times New Roman"/>
        </w:rPr>
        <w:t xml:space="preserve">They commented that one of the buoy brands mentioned would </w:t>
      </w:r>
      <w:r w:rsidR="00EB0CA4" w:rsidRPr="004635E5">
        <w:rPr>
          <w:rFonts w:cs="Times New Roman"/>
        </w:rPr>
        <w:t xml:space="preserve">distinguish between </w:t>
      </w:r>
      <w:r w:rsidRPr="004635E5">
        <w:rPr>
          <w:rFonts w:cs="Times New Roman"/>
        </w:rPr>
        <w:t xml:space="preserve">a buoy </w:t>
      </w:r>
      <w:r w:rsidR="00EB0CA4" w:rsidRPr="004635E5">
        <w:rPr>
          <w:rFonts w:cs="Times New Roman"/>
        </w:rPr>
        <w:t xml:space="preserve">at sea and on </w:t>
      </w:r>
      <w:r w:rsidRPr="004635E5">
        <w:rPr>
          <w:rFonts w:cs="Times New Roman"/>
        </w:rPr>
        <w:t xml:space="preserve">board a vessel through a sensor in </w:t>
      </w:r>
      <w:r w:rsidR="006E5FCF">
        <w:rPr>
          <w:rFonts w:cs="Times New Roman"/>
        </w:rPr>
        <w:t xml:space="preserve">the </w:t>
      </w:r>
      <w:r w:rsidRPr="004635E5">
        <w:rPr>
          <w:rFonts w:cs="Times New Roman"/>
        </w:rPr>
        <w:t xml:space="preserve">buoy. </w:t>
      </w:r>
      <w:r w:rsidR="005E7B7E" w:rsidRPr="004635E5">
        <w:rPr>
          <w:rFonts w:cs="Times New Roman"/>
        </w:rPr>
        <w:t>They inquired regarding a large decrease in the</w:t>
      </w:r>
      <w:r w:rsidR="00F81EF0">
        <w:rPr>
          <w:rFonts w:cs="Times New Roman"/>
        </w:rPr>
        <w:t xml:space="preserve"> </w:t>
      </w:r>
      <w:r w:rsidR="005E7B7E" w:rsidRPr="004635E5">
        <w:rPr>
          <w:rFonts w:cs="Times New Roman"/>
        </w:rPr>
        <w:t xml:space="preserve">number of </w:t>
      </w:r>
      <w:r w:rsidR="00EB0CA4" w:rsidRPr="004635E5">
        <w:rPr>
          <w:rFonts w:cs="Times New Roman"/>
        </w:rPr>
        <w:t>transmissions</w:t>
      </w:r>
      <w:r w:rsidR="005E7B7E" w:rsidRPr="004635E5">
        <w:rPr>
          <w:rFonts w:cs="Times New Roman"/>
        </w:rPr>
        <w:t xml:space="preserve"> for </w:t>
      </w:r>
      <w:r w:rsidR="00EB0CA4" w:rsidRPr="004635E5">
        <w:rPr>
          <w:rFonts w:cs="Times New Roman"/>
        </w:rPr>
        <w:t>Dec</w:t>
      </w:r>
      <w:r w:rsidR="005E7B7E" w:rsidRPr="004635E5">
        <w:rPr>
          <w:rFonts w:cs="Times New Roman"/>
        </w:rPr>
        <w:t>ember</w:t>
      </w:r>
      <w:r w:rsidR="00EB0CA4" w:rsidRPr="004635E5">
        <w:rPr>
          <w:rFonts w:cs="Times New Roman"/>
        </w:rPr>
        <w:t xml:space="preserve">. L </w:t>
      </w:r>
      <w:r w:rsidR="00F659CA" w:rsidRPr="004635E5">
        <w:rPr>
          <w:rFonts w:cs="Times New Roman"/>
          <w:bCs/>
          <w:lang w:eastAsia="ko-KR"/>
        </w:rPr>
        <w:t xml:space="preserve">Escalle </w:t>
      </w:r>
      <w:r w:rsidR="005E7B7E" w:rsidRPr="004635E5">
        <w:rPr>
          <w:rFonts w:cs="Times New Roman"/>
        </w:rPr>
        <w:t xml:space="preserve">noted the reasons were unclear, but that this was followed by a </w:t>
      </w:r>
      <w:r w:rsidR="00EB0CA4" w:rsidRPr="004635E5">
        <w:rPr>
          <w:rFonts w:cs="Times New Roman"/>
        </w:rPr>
        <w:t>peak in deploym</w:t>
      </w:r>
      <w:r w:rsidR="005E7B7E" w:rsidRPr="004635E5">
        <w:rPr>
          <w:rFonts w:cs="Times New Roman"/>
        </w:rPr>
        <w:t>e</w:t>
      </w:r>
      <w:r w:rsidR="00EB0CA4" w:rsidRPr="004635E5">
        <w:rPr>
          <w:rFonts w:cs="Times New Roman"/>
        </w:rPr>
        <w:t xml:space="preserve">nt in </w:t>
      </w:r>
      <w:r w:rsidR="005E7B7E" w:rsidRPr="004635E5">
        <w:rPr>
          <w:rFonts w:cs="Times New Roman"/>
        </w:rPr>
        <w:t xml:space="preserve">the first </w:t>
      </w:r>
      <w:r w:rsidR="00EB0CA4" w:rsidRPr="004635E5">
        <w:rPr>
          <w:rFonts w:cs="Times New Roman"/>
        </w:rPr>
        <w:t>week of Jan</w:t>
      </w:r>
      <w:r w:rsidR="005E7B7E" w:rsidRPr="004635E5">
        <w:rPr>
          <w:rFonts w:cs="Times New Roman"/>
        </w:rPr>
        <w:t>uary</w:t>
      </w:r>
      <w:r w:rsidR="00EB0CA4" w:rsidRPr="004635E5">
        <w:rPr>
          <w:rFonts w:cs="Times New Roman"/>
        </w:rPr>
        <w:t xml:space="preserve">. </w:t>
      </w:r>
      <w:r w:rsidR="005E7B7E" w:rsidRPr="004635E5">
        <w:rPr>
          <w:rFonts w:cs="Times New Roman"/>
        </w:rPr>
        <w:t xml:space="preserve">The EU commented on </w:t>
      </w:r>
      <w:r w:rsidR="0041022C" w:rsidRPr="004635E5">
        <w:rPr>
          <w:rFonts w:cs="Times New Roman"/>
        </w:rPr>
        <w:t xml:space="preserve">difficulties on interpreting data regarding lost </w:t>
      </w:r>
      <w:r w:rsidR="005E7B7E" w:rsidRPr="004635E5">
        <w:rPr>
          <w:rFonts w:cs="Times New Roman"/>
        </w:rPr>
        <w:t xml:space="preserve">buoys and </w:t>
      </w:r>
      <w:r w:rsidR="0041022C" w:rsidRPr="004635E5">
        <w:rPr>
          <w:rFonts w:cs="Times New Roman"/>
        </w:rPr>
        <w:t xml:space="preserve">whether </w:t>
      </w:r>
      <w:r w:rsidR="005E7B7E" w:rsidRPr="004635E5">
        <w:rPr>
          <w:rFonts w:cs="Times New Roman"/>
        </w:rPr>
        <w:t xml:space="preserve">there was </w:t>
      </w:r>
      <w:r w:rsidR="00EB0CA4" w:rsidRPr="004635E5">
        <w:rPr>
          <w:rFonts w:cs="Times New Roman"/>
        </w:rPr>
        <w:t>a po</w:t>
      </w:r>
      <w:r w:rsidR="005E7B7E" w:rsidRPr="004635E5">
        <w:rPr>
          <w:rFonts w:cs="Times New Roman"/>
        </w:rPr>
        <w:t xml:space="preserve">tential </w:t>
      </w:r>
      <w:r w:rsidR="0041022C" w:rsidRPr="004635E5">
        <w:rPr>
          <w:rFonts w:cs="Times New Roman"/>
        </w:rPr>
        <w:t xml:space="preserve">to </w:t>
      </w:r>
      <w:r w:rsidR="00EB0CA4" w:rsidRPr="004635E5">
        <w:rPr>
          <w:rFonts w:cs="Times New Roman"/>
        </w:rPr>
        <w:t>overestimat</w:t>
      </w:r>
      <w:r w:rsidR="005E7B7E" w:rsidRPr="004635E5">
        <w:rPr>
          <w:rFonts w:cs="Times New Roman"/>
        </w:rPr>
        <w:t xml:space="preserve">e </w:t>
      </w:r>
      <w:r w:rsidR="00EB0CA4" w:rsidRPr="004635E5">
        <w:rPr>
          <w:rFonts w:cs="Times New Roman"/>
        </w:rPr>
        <w:t>lost bu</w:t>
      </w:r>
      <w:r w:rsidR="005E7B7E" w:rsidRPr="004635E5">
        <w:rPr>
          <w:rFonts w:cs="Times New Roman"/>
        </w:rPr>
        <w:t>o</w:t>
      </w:r>
      <w:r w:rsidR="00EB0CA4" w:rsidRPr="004635E5">
        <w:rPr>
          <w:rFonts w:cs="Times New Roman"/>
        </w:rPr>
        <w:t>ys. L</w:t>
      </w:r>
      <w:r w:rsidR="005E7B7E" w:rsidRPr="004635E5">
        <w:rPr>
          <w:rFonts w:cs="Times New Roman"/>
        </w:rPr>
        <w:t xml:space="preserve"> Escall noted they used effort from </w:t>
      </w:r>
      <w:r w:rsidR="006E5FCF">
        <w:rPr>
          <w:rFonts w:cs="Times New Roman"/>
        </w:rPr>
        <w:t xml:space="preserve">the </w:t>
      </w:r>
      <w:r w:rsidR="00EB0CA4" w:rsidRPr="004635E5">
        <w:rPr>
          <w:rFonts w:cs="Times New Roman"/>
        </w:rPr>
        <w:t xml:space="preserve">main fishing areas over </w:t>
      </w:r>
      <w:r w:rsidR="005E7B7E" w:rsidRPr="004635E5">
        <w:rPr>
          <w:rFonts w:cs="Times New Roman"/>
        </w:rPr>
        <w:t xml:space="preserve">the </w:t>
      </w:r>
      <w:r w:rsidR="00EB0CA4" w:rsidRPr="004635E5">
        <w:rPr>
          <w:rFonts w:cs="Times New Roman"/>
        </w:rPr>
        <w:t xml:space="preserve">last 10 years </w:t>
      </w:r>
      <w:r w:rsidR="00015C98" w:rsidRPr="004635E5">
        <w:rPr>
          <w:rFonts w:cs="Times New Roman"/>
        </w:rPr>
        <w:t>(</w:t>
      </w:r>
      <w:r w:rsidR="00EB0CA4" w:rsidRPr="004635E5">
        <w:rPr>
          <w:rFonts w:cs="Times New Roman"/>
        </w:rPr>
        <w:t xml:space="preserve">from </w:t>
      </w:r>
      <w:r w:rsidR="00015C98" w:rsidRPr="004635E5">
        <w:rPr>
          <w:rFonts w:cs="Times New Roman"/>
        </w:rPr>
        <w:t xml:space="preserve">FAD </w:t>
      </w:r>
      <w:r w:rsidR="00EB0CA4" w:rsidRPr="004635E5">
        <w:rPr>
          <w:rFonts w:cs="Times New Roman"/>
        </w:rPr>
        <w:t>sets and operational log sheet data</w:t>
      </w:r>
      <w:r w:rsidR="00015C98" w:rsidRPr="004635E5">
        <w:rPr>
          <w:rFonts w:cs="Times New Roman"/>
        </w:rPr>
        <w:t xml:space="preserve">) and some FADs represented as lost were </w:t>
      </w:r>
      <w:r w:rsidR="00EB0CA4" w:rsidRPr="004635E5">
        <w:rPr>
          <w:rFonts w:cs="Times New Roman"/>
        </w:rPr>
        <w:t xml:space="preserve">on the boundary of what </w:t>
      </w:r>
      <w:r w:rsidR="00015C98" w:rsidRPr="004635E5">
        <w:rPr>
          <w:rFonts w:cs="Times New Roman"/>
        </w:rPr>
        <w:t xml:space="preserve">they consider </w:t>
      </w:r>
      <w:r w:rsidR="00A34591" w:rsidRPr="004635E5">
        <w:rPr>
          <w:rFonts w:cs="Times New Roman"/>
        </w:rPr>
        <w:t xml:space="preserve">to be </w:t>
      </w:r>
      <w:r w:rsidR="00015C98" w:rsidRPr="004635E5">
        <w:rPr>
          <w:rFonts w:cs="Times New Roman"/>
        </w:rPr>
        <w:t xml:space="preserve">the main </w:t>
      </w:r>
      <w:r w:rsidR="00EB0CA4" w:rsidRPr="004635E5">
        <w:rPr>
          <w:rFonts w:cs="Times New Roman"/>
        </w:rPr>
        <w:t>fishing area</w:t>
      </w:r>
      <w:r w:rsidR="0041022C" w:rsidRPr="004635E5">
        <w:rPr>
          <w:rFonts w:cs="Times New Roman"/>
        </w:rPr>
        <w:t xml:space="preserve">. L. </w:t>
      </w:r>
      <w:r w:rsidR="00F659CA" w:rsidRPr="004635E5">
        <w:rPr>
          <w:rFonts w:cs="Times New Roman"/>
          <w:bCs/>
          <w:lang w:eastAsia="ko-KR"/>
        </w:rPr>
        <w:t xml:space="preserve">Escalle </w:t>
      </w:r>
      <w:r w:rsidR="0041022C" w:rsidRPr="004635E5">
        <w:rPr>
          <w:rFonts w:cs="Times New Roman"/>
        </w:rPr>
        <w:t xml:space="preserve">stated that many </w:t>
      </w:r>
      <w:r w:rsidR="00A34591" w:rsidRPr="004635E5">
        <w:rPr>
          <w:rFonts w:cs="Times New Roman"/>
        </w:rPr>
        <w:t>FADs do lose their b</w:t>
      </w:r>
      <w:r w:rsidR="00EB0CA4" w:rsidRPr="004635E5">
        <w:rPr>
          <w:rFonts w:cs="Times New Roman"/>
        </w:rPr>
        <w:t>u</w:t>
      </w:r>
      <w:r w:rsidR="00A34591" w:rsidRPr="004635E5">
        <w:rPr>
          <w:rFonts w:cs="Times New Roman"/>
        </w:rPr>
        <w:t>o</w:t>
      </w:r>
      <w:r w:rsidR="00EB0CA4" w:rsidRPr="004635E5">
        <w:rPr>
          <w:rFonts w:cs="Times New Roman"/>
        </w:rPr>
        <w:t>y</w:t>
      </w:r>
      <w:r w:rsidR="00A34591" w:rsidRPr="004635E5">
        <w:rPr>
          <w:rFonts w:cs="Times New Roman"/>
        </w:rPr>
        <w:t>s</w:t>
      </w:r>
      <w:r w:rsidR="0041022C" w:rsidRPr="004635E5">
        <w:rPr>
          <w:rFonts w:cs="Times New Roman"/>
        </w:rPr>
        <w:t xml:space="preserve">, and </w:t>
      </w:r>
      <w:r w:rsidR="00EB0CA4" w:rsidRPr="004635E5">
        <w:rPr>
          <w:rFonts w:cs="Times New Roman"/>
        </w:rPr>
        <w:t xml:space="preserve">presentation </w:t>
      </w:r>
      <w:r w:rsidR="0041022C" w:rsidRPr="004635E5">
        <w:rPr>
          <w:rFonts w:cs="Times New Roman"/>
        </w:rPr>
        <w:t xml:space="preserve">could be updated </w:t>
      </w:r>
      <w:r w:rsidR="00EB0CA4" w:rsidRPr="004635E5">
        <w:rPr>
          <w:rFonts w:cs="Times New Roman"/>
        </w:rPr>
        <w:t xml:space="preserve">if needed. </w:t>
      </w:r>
    </w:p>
    <w:p w14:paraId="7EBB7538" w14:textId="77777777" w:rsidR="0030620F" w:rsidRPr="004635E5" w:rsidRDefault="0030620F" w:rsidP="006633A8">
      <w:pPr>
        <w:pStyle w:val="WCPFC"/>
        <w:numPr>
          <w:ilvl w:val="0"/>
          <w:numId w:val="0"/>
        </w:numPr>
        <w:adjustRightInd w:val="0"/>
        <w:spacing w:after="0"/>
        <w:rPr>
          <w:rFonts w:cs="Times New Roman"/>
        </w:rPr>
      </w:pPr>
    </w:p>
    <w:p w14:paraId="788CD44F" w14:textId="77777777" w:rsidR="00EB0CA4" w:rsidRPr="004635E5" w:rsidRDefault="00EB0CA4" w:rsidP="006633A8">
      <w:pPr>
        <w:pStyle w:val="WCPFC"/>
        <w:adjustRightInd w:val="0"/>
        <w:spacing w:after="0"/>
        <w:ind w:left="0" w:firstLine="0"/>
        <w:rPr>
          <w:rFonts w:cs="Times New Roman"/>
        </w:rPr>
      </w:pPr>
      <w:r w:rsidRPr="004635E5">
        <w:rPr>
          <w:rFonts w:cs="Times New Roman"/>
        </w:rPr>
        <w:t>Indo</w:t>
      </w:r>
      <w:r w:rsidR="00A34591" w:rsidRPr="004635E5">
        <w:rPr>
          <w:rFonts w:cs="Times New Roman"/>
        </w:rPr>
        <w:t xml:space="preserve">nesia noted the study was </w:t>
      </w:r>
      <w:r w:rsidRPr="004635E5">
        <w:rPr>
          <w:rFonts w:cs="Times New Roman"/>
        </w:rPr>
        <w:t>v</w:t>
      </w:r>
      <w:r w:rsidR="00A34591" w:rsidRPr="004635E5">
        <w:rPr>
          <w:rFonts w:cs="Times New Roman"/>
        </w:rPr>
        <w:t>ery</w:t>
      </w:r>
      <w:r w:rsidRPr="004635E5">
        <w:rPr>
          <w:rFonts w:cs="Times New Roman"/>
        </w:rPr>
        <w:t xml:space="preserve"> imp</w:t>
      </w:r>
      <w:r w:rsidR="00A34591" w:rsidRPr="004635E5">
        <w:rPr>
          <w:rFonts w:cs="Times New Roman"/>
        </w:rPr>
        <w:t>ortant, and l</w:t>
      </w:r>
      <w:r w:rsidRPr="004635E5">
        <w:rPr>
          <w:rFonts w:cs="Times New Roman"/>
        </w:rPr>
        <w:t xml:space="preserve">ost </w:t>
      </w:r>
      <w:r w:rsidR="00A34591" w:rsidRPr="004635E5">
        <w:rPr>
          <w:rFonts w:cs="Times New Roman"/>
        </w:rPr>
        <w:t>FAD</w:t>
      </w:r>
      <w:r w:rsidR="0061195B">
        <w:rPr>
          <w:rFonts w:cs="Times New Roman" w:hint="eastAsia"/>
          <w:lang w:eastAsia="ko-KR"/>
        </w:rPr>
        <w:t>s</w:t>
      </w:r>
      <w:r w:rsidR="00A34591" w:rsidRPr="004635E5">
        <w:rPr>
          <w:rFonts w:cs="Times New Roman"/>
        </w:rPr>
        <w:t xml:space="preserve"> are an international concern, issues include environmental, safety at sea, and IUU fishing. They referenced </w:t>
      </w:r>
      <w:r w:rsidRPr="004635E5">
        <w:rPr>
          <w:rFonts w:cs="Times New Roman"/>
        </w:rPr>
        <w:t>FAO tec</w:t>
      </w:r>
      <w:r w:rsidR="00A34591" w:rsidRPr="004635E5">
        <w:rPr>
          <w:rFonts w:cs="Times New Roman"/>
        </w:rPr>
        <w:t>hnical</w:t>
      </w:r>
      <w:r w:rsidRPr="004635E5">
        <w:rPr>
          <w:rFonts w:cs="Times New Roman"/>
        </w:rPr>
        <w:t xml:space="preserve"> guidelines on marking fishing gear, incl</w:t>
      </w:r>
      <w:r w:rsidR="00A34591" w:rsidRPr="004635E5">
        <w:rPr>
          <w:rFonts w:cs="Times New Roman"/>
        </w:rPr>
        <w:t>uding</w:t>
      </w:r>
      <w:r w:rsidRPr="004635E5">
        <w:rPr>
          <w:rFonts w:cs="Times New Roman"/>
        </w:rPr>
        <w:t xml:space="preserve"> FADs. </w:t>
      </w:r>
      <w:r w:rsidR="006E5FCF" w:rsidRPr="004635E5">
        <w:rPr>
          <w:rFonts w:cs="Times New Roman"/>
        </w:rPr>
        <w:t xml:space="preserve">For the paper submitted, </w:t>
      </w:r>
      <w:r w:rsidR="006E5FCF">
        <w:rPr>
          <w:rFonts w:ascii="Cambria" w:hAnsi="Cambria"/>
          <w:lang w:val="en-GB"/>
        </w:rPr>
        <w:t>they noted that the practicality of marking FADs would be worth following up</w:t>
      </w:r>
      <w:r w:rsidR="00C3675E" w:rsidRPr="004635E5">
        <w:rPr>
          <w:rFonts w:cs="Times New Roman"/>
        </w:rPr>
        <w:t xml:space="preserve">, </w:t>
      </w:r>
      <w:r w:rsidRPr="004635E5">
        <w:rPr>
          <w:rFonts w:cs="Times New Roman"/>
        </w:rPr>
        <w:t xml:space="preserve">because </w:t>
      </w:r>
      <w:r w:rsidR="00C3675E" w:rsidRPr="004635E5">
        <w:rPr>
          <w:rFonts w:cs="Times New Roman"/>
        </w:rPr>
        <w:t xml:space="preserve">it is important to address the </w:t>
      </w:r>
      <w:r w:rsidRPr="004635E5">
        <w:rPr>
          <w:rFonts w:cs="Times New Roman"/>
        </w:rPr>
        <w:t>l</w:t>
      </w:r>
      <w:r w:rsidR="00C3675E" w:rsidRPr="004635E5">
        <w:rPr>
          <w:rFonts w:cs="Times New Roman"/>
        </w:rPr>
        <w:t>arge</w:t>
      </w:r>
      <w:r w:rsidRPr="004635E5">
        <w:rPr>
          <w:rFonts w:cs="Times New Roman"/>
        </w:rPr>
        <w:t xml:space="preserve"> </w:t>
      </w:r>
      <w:r w:rsidR="00C3675E" w:rsidRPr="004635E5">
        <w:rPr>
          <w:rFonts w:cs="Times New Roman"/>
        </w:rPr>
        <w:t>percentage (</w:t>
      </w:r>
      <w:r w:rsidRPr="004635E5">
        <w:rPr>
          <w:rFonts w:cs="Times New Roman"/>
        </w:rPr>
        <w:t>25%-27%) being lost, and some beac</w:t>
      </w:r>
      <w:r w:rsidR="00C3675E" w:rsidRPr="004635E5">
        <w:rPr>
          <w:rFonts w:cs="Times New Roman"/>
        </w:rPr>
        <w:t>h</w:t>
      </w:r>
      <w:r w:rsidRPr="004635E5">
        <w:rPr>
          <w:rFonts w:cs="Times New Roman"/>
        </w:rPr>
        <w:t>ed</w:t>
      </w:r>
      <w:r w:rsidR="00C3675E" w:rsidRPr="004635E5">
        <w:rPr>
          <w:rFonts w:cs="Times New Roman"/>
        </w:rPr>
        <w:t xml:space="preserve">; it is also important to address </w:t>
      </w:r>
      <w:r w:rsidRPr="004635E5">
        <w:rPr>
          <w:rFonts w:cs="Times New Roman"/>
        </w:rPr>
        <w:t xml:space="preserve">the </w:t>
      </w:r>
      <w:r w:rsidR="00C3675E" w:rsidRPr="004635E5">
        <w:rPr>
          <w:rFonts w:cs="Times New Roman"/>
        </w:rPr>
        <w:t>abandonment</w:t>
      </w:r>
      <w:r w:rsidRPr="004635E5">
        <w:rPr>
          <w:rFonts w:cs="Times New Roman"/>
        </w:rPr>
        <w:t xml:space="preserve"> of fishing</w:t>
      </w:r>
      <w:r w:rsidR="00C3675E" w:rsidRPr="004635E5">
        <w:rPr>
          <w:rFonts w:cs="Times New Roman"/>
        </w:rPr>
        <w:t xml:space="preserve"> gear</w:t>
      </w:r>
      <w:r w:rsidR="002D0CF1" w:rsidRPr="004635E5">
        <w:rPr>
          <w:rFonts w:cs="Times New Roman"/>
        </w:rPr>
        <w:t xml:space="preserve"> at end of season, or when moving into prohibited areas. They noted they would </w:t>
      </w:r>
      <w:r w:rsidRPr="004635E5">
        <w:rPr>
          <w:rFonts w:cs="Times New Roman"/>
        </w:rPr>
        <w:t>look to the Comm</w:t>
      </w:r>
      <w:r w:rsidR="002D0CF1" w:rsidRPr="004635E5">
        <w:rPr>
          <w:rFonts w:cs="Times New Roman"/>
        </w:rPr>
        <w:t>ission</w:t>
      </w:r>
      <w:r w:rsidRPr="004635E5">
        <w:rPr>
          <w:rFonts w:cs="Times New Roman"/>
        </w:rPr>
        <w:t xml:space="preserve"> to see how </w:t>
      </w:r>
      <w:r w:rsidR="002D0CF1" w:rsidRPr="004635E5">
        <w:rPr>
          <w:rFonts w:cs="Times New Roman"/>
        </w:rPr>
        <w:t>the work could b</w:t>
      </w:r>
      <w:r w:rsidR="0041022C" w:rsidRPr="004635E5">
        <w:rPr>
          <w:rFonts w:cs="Times New Roman"/>
        </w:rPr>
        <w:t>e</w:t>
      </w:r>
      <w:r w:rsidR="002D0CF1" w:rsidRPr="004635E5">
        <w:rPr>
          <w:rFonts w:cs="Times New Roman"/>
        </w:rPr>
        <w:t xml:space="preserve"> continued.</w:t>
      </w:r>
    </w:p>
    <w:p w14:paraId="4DB9DB5A" w14:textId="77777777" w:rsidR="0030620F" w:rsidRPr="004635E5" w:rsidRDefault="0030620F" w:rsidP="006633A8">
      <w:pPr>
        <w:pStyle w:val="WCPFC"/>
        <w:numPr>
          <w:ilvl w:val="0"/>
          <w:numId w:val="0"/>
        </w:numPr>
        <w:adjustRightInd w:val="0"/>
        <w:spacing w:after="0"/>
        <w:rPr>
          <w:rFonts w:cs="Times New Roman"/>
        </w:rPr>
      </w:pPr>
    </w:p>
    <w:p w14:paraId="6E20E0E3" w14:textId="77777777" w:rsidR="00904020" w:rsidRPr="004635E5" w:rsidRDefault="00F6648E" w:rsidP="006633A8">
      <w:pPr>
        <w:pStyle w:val="WCPFC"/>
        <w:adjustRightInd w:val="0"/>
        <w:spacing w:after="0"/>
        <w:ind w:left="0" w:firstLine="0"/>
        <w:rPr>
          <w:rFonts w:cs="Times New Roman"/>
        </w:rPr>
      </w:pPr>
      <w:r w:rsidRPr="004635E5">
        <w:rPr>
          <w:rFonts w:cs="Times New Roman"/>
        </w:rPr>
        <w:t xml:space="preserve">French Polynesia </w:t>
      </w:r>
      <w:r w:rsidR="0041022C" w:rsidRPr="004635E5">
        <w:rPr>
          <w:rFonts w:cs="Times New Roman"/>
        </w:rPr>
        <w:t xml:space="preserve">welcomed </w:t>
      </w:r>
      <w:r w:rsidRPr="004635E5">
        <w:rPr>
          <w:rFonts w:cs="Times New Roman"/>
        </w:rPr>
        <w:t xml:space="preserve">that FAD loss and beaching </w:t>
      </w:r>
      <w:r w:rsidR="0041022C" w:rsidRPr="004635E5">
        <w:rPr>
          <w:rFonts w:cs="Times New Roman"/>
        </w:rPr>
        <w:t xml:space="preserve">were </w:t>
      </w:r>
      <w:r w:rsidRPr="004635E5">
        <w:rPr>
          <w:rFonts w:cs="Times New Roman"/>
        </w:rPr>
        <w:t>being addressed and quantified</w:t>
      </w:r>
      <w:r w:rsidR="0041022C" w:rsidRPr="004635E5">
        <w:rPr>
          <w:rFonts w:cs="Times New Roman"/>
        </w:rPr>
        <w:t xml:space="preserve">, noting that the </w:t>
      </w:r>
      <w:r w:rsidRPr="004635E5">
        <w:rPr>
          <w:rFonts w:cs="Times New Roman"/>
        </w:rPr>
        <w:t xml:space="preserve">results of this study are alarming. </w:t>
      </w:r>
      <w:r w:rsidR="0041022C" w:rsidRPr="004635E5">
        <w:rPr>
          <w:rFonts w:cs="Times New Roman"/>
        </w:rPr>
        <w:t xml:space="preserve">They stated that </w:t>
      </w:r>
      <w:r w:rsidRPr="004635E5">
        <w:rPr>
          <w:rFonts w:cs="Times New Roman"/>
        </w:rPr>
        <w:t xml:space="preserve">the conclusions and recommendations of </w:t>
      </w:r>
      <w:r w:rsidR="0041022C" w:rsidRPr="004635E5">
        <w:rPr>
          <w:rFonts w:cs="Times New Roman"/>
        </w:rPr>
        <w:t xml:space="preserve">the </w:t>
      </w:r>
      <w:r w:rsidRPr="004635E5">
        <w:rPr>
          <w:rFonts w:cs="Times New Roman"/>
        </w:rPr>
        <w:t xml:space="preserve">study </w:t>
      </w:r>
      <w:r w:rsidR="0041022C" w:rsidRPr="004635E5">
        <w:rPr>
          <w:rFonts w:cs="Times New Roman"/>
        </w:rPr>
        <w:t xml:space="preserve">should be taken </w:t>
      </w:r>
      <w:r w:rsidRPr="004635E5">
        <w:rPr>
          <w:rFonts w:cs="Times New Roman"/>
        </w:rPr>
        <w:t xml:space="preserve">into account in order to improve FAD management, and address the marine pollution issue, not only at the WCPFC level but in a comprehensive way </w:t>
      </w:r>
      <w:r w:rsidR="0041022C" w:rsidRPr="004635E5">
        <w:rPr>
          <w:rFonts w:cs="Times New Roman"/>
        </w:rPr>
        <w:t xml:space="preserve">in </w:t>
      </w:r>
      <w:r w:rsidRPr="004635E5">
        <w:rPr>
          <w:rFonts w:cs="Times New Roman"/>
        </w:rPr>
        <w:t xml:space="preserve">the </w:t>
      </w:r>
      <w:r w:rsidR="0041022C" w:rsidRPr="004635E5">
        <w:rPr>
          <w:rFonts w:cs="Times New Roman"/>
        </w:rPr>
        <w:t>P</w:t>
      </w:r>
      <w:r w:rsidRPr="004635E5">
        <w:rPr>
          <w:rFonts w:cs="Times New Roman"/>
        </w:rPr>
        <w:t xml:space="preserve">acific. </w:t>
      </w:r>
      <w:r w:rsidR="0041022C" w:rsidRPr="004635E5">
        <w:rPr>
          <w:rFonts w:cs="Times New Roman"/>
        </w:rPr>
        <w:t xml:space="preserve">They stated that French Polynesia has no purse seine fleet and does not use </w:t>
      </w:r>
      <w:r w:rsidRPr="004635E5">
        <w:rPr>
          <w:rFonts w:cs="Times New Roman"/>
        </w:rPr>
        <w:t>FADs</w:t>
      </w:r>
      <w:r w:rsidR="0041022C" w:rsidRPr="004635E5">
        <w:rPr>
          <w:rFonts w:cs="Times New Roman"/>
        </w:rPr>
        <w:t xml:space="preserve">, but the </w:t>
      </w:r>
      <w:r w:rsidRPr="004635E5">
        <w:rPr>
          <w:rFonts w:cs="Times New Roman"/>
        </w:rPr>
        <w:t xml:space="preserve">number reported by </w:t>
      </w:r>
      <w:r w:rsidR="0041022C" w:rsidRPr="004635E5">
        <w:rPr>
          <w:rFonts w:cs="Times New Roman"/>
        </w:rPr>
        <w:t xml:space="preserve">their </w:t>
      </w:r>
      <w:r w:rsidRPr="004635E5">
        <w:rPr>
          <w:rFonts w:cs="Times New Roman"/>
        </w:rPr>
        <w:t xml:space="preserve">fishermen in </w:t>
      </w:r>
      <w:r w:rsidR="0041022C" w:rsidRPr="004635E5">
        <w:rPr>
          <w:rFonts w:cs="Times New Roman"/>
        </w:rPr>
        <w:t xml:space="preserve">their </w:t>
      </w:r>
      <w:r w:rsidRPr="004635E5">
        <w:rPr>
          <w:rFonts w:cs="Times New Roman"/>
        </w:rPr>
        <w:t xml:space="preserve">EZZ and coastal waters has increased </w:t>
      </w:r>
      <w:r w:rsidR="006E5FCF">
        <w:rPr>
          <w:rFonts w:cs="Times New Roman"/>
        </w:rPr>
        <w:t>considerably</w:t>
      </w:r>
      <w:r w:rsidRPr="004635E5">
        <w:rPr>
          <w:rFonts w:cs="Times New Roman"/>
        </w:rPr>
        <w:t xml:space="preserve">. </w:t>
      </w:r>
      <w:r w:rsidR="0041022C" w:rsidRPr="004635E5">
        <w:rPr>
          <w:rFonts w:cs="Times New Roman"/>
        </w:rPr>
        <w:t xml:space="preserve">Fishermen </w:t>
      </w:r>
      <w:r w:rsidRPr="004635E5">
        <w:rPr>
          <w:rFonts w:cs="Times New Roman"/>
        </w:rPr>
        <w:t>report safety issue</w:t>
      </w:r>
      <w:r w:rsidR="0041022C" w:rsidRPr="004635E5">
        <w:rPr>
          <w:rFonts w:cs="Times New Roman"/>
        </w:rPr>
        <w:t>s</w:t>
      </w:r>
      <w:r w:rsidRPr="004635E5">
        <w:rPr>
          <w:rFonts w:cs="Times New Roman"/>
        </w:rPr>
        <w:t xml:space="preserve"> for their boats, and increasing beaching on reefs. </w:t>
      </w:r>
      <w:r w:rsidR="0041022C" w:rsidRPr="004635E5">
        <w:rPr>
          <w:rFonts w:cs="Times New Roman"/>
        </w:rPr>
        <w:t xml:space="preserve">French Polynesia has </w:t>
      </w:r>
      <w:r w:rsidRPr="004635E5">
        <w:rPr>
          <w:rFonts w:cs="Times New Roman"/>
        </w:rPr>
        <w:t xml:space="preserve">designed a research project in collaboration with </w:t>
      </w:r>
      <w:r w:rsidR="0041022C" w:rsidRPr="004635E5">
        <w:rPr>
          <w:rFonts w:cs="Times New Roman"/>
        </w:rPr>
        <w:t>F</w:t>
      </w:r>
      <w:r w:rsidRPr="004635E5">
        <w:rPr>
          <w:rFonts w:cs="Times New Roman"/>
        </w:rPr>
        <w:t xml:space="preserve">rench organizations to better understand the FAD drifting paths in </w:t>
      </w:r>
      <w:r w:rsidR="0041022C" w:rsidRPr="004635E5">
        <w:rPr>
          <w:rFonts w:cs="Times New Roman"/>
        </w:rPr>
        <w:t xml:space="preserve">their </w:t>
      </w:r>
      <w:r w:rsidRPr="004635E5">
        <w:rPr>
          <w:rFonts w:cs="Times New Roman"/>
        </w:rPr>
        <w:t>waters, quantify them</w:t>
      </w:r>
      <w:r w:rsidR="0041022C" w:rsidRPr="004635E5">
        <w:rPr>
          <w:rFonts w:cs="Times New Roman"/>
        </w:rPr>
        <w:t>,</w:t>
      </w:r>
      <w:r w:rsidRPr="004635E5">
        <w:rPr>
          <w:rFonts w:cs="Times New Roman"/>
        </w:rPr>
        <w:t xml:space="preserve"> and evaluate their impact as marine debris. </w:t>
      </w:r>
      <w:r w:rsidR="0041022C" w:rsidRPr="004635E5">
        <w:rPr>
          <w:rFonts w:cs="Times New Roman"/>
        </w:rPr>
        <w:t xml:space="preserve">They </w:t>
      </w:r>
      <w:r w:rsidRPr="004635E5">
        <w:rPr>
          <w:rFonts w:cs="Times New Roman"/>
        </w:rPr>
        <w:t xml:space="preserve">are currently looking for additional funding support to conduct </w:t>
      </w:r>
      <w:r w:rsidR="0041022C" w:rsidRPr="004635E5">
        <w:rPr>
          <w:rFonts w:cs="Times New Roman"/>
        </w:rPr>
        <w:t xml:space="preserve">the study, and </w:t>
      </w:r>
      <w:r w:rsidRPr="004635E5">
        <w:rPr>
          <w:rFonts w:cs="Times New Roman"/>
        </w:rPr>
        <w:t>hope</w:t>
      </w:r>
      <w:r w:rsidR="0041022C" w:rsidRPr="004635E5">
        <w:rPr>
          <w:rFonts w:cs="Times New Roman"/>
        </w:rPr>
        <w:t xml:space="preserve"> </w:t>
      </w:r>
      <w:r w:rsidRPr="004635E5">
        <w:rPr>
          <w:rFonts w:cs="Times New Roman"/>
        </w:rPr>
        <w:t>to contribute more data on the subject.</w:t>
      </w:r>
    </w:p>
    <w:p w14:paraId="7E605275" w14:textId="77777777" w:rsidR="0030620F" w:rsidRPr="004635E5" w:rsidRDefault="0030620F" w:rsidP="006633A8">
      <w:pPr>
        <w:pStyle w:val="WCPFC"/>
        <w:numPr>
          <w:ilvl w:val="0"/>
          <w:numId w:val="0"/>
        </w:numPr>
        <w:adjustRightInd w:val="0"/>
        <w:spacing w:after="0"/>
        <w:rPr>
          <w:rFonts w:cs="Times New Roman"/>
        </w:rPr>
      </w:pPr>
    </w:p>
    <w:p w14:paraId="50484538" w14:textId="77777777" w:rsidR="00904020" w:rsidRPr="004635E5" w:rsidRDefault="00EB0CA4" w:rsidP="006633A8">
      <w:pPr>
        <w:pStyle w:val="WCPFC"/>
        <w:adjustRightInd w:val="0"/>
        <w:spacing w:after="0"/>
        <w:ind w:left="0" w:firstLine="0"/>
        <w:rPr>
          <w:rFonts w:cs="Times New Roman"/>
        </w:rPr>
      </w:pPr>
      <w:r w:rsidRPr="004635E5">
        <w:rPr>
          <w:rFonts w:cs="Times New Roman"/>
        </w:rPr>
        <w:t>Nauru</w:t>
      </w:r>
      <w:r w:rsidR="00904020" w:rsidRPr="004635E5">
        <w:rPr>
          <w:rFonts w:cs="Times New Roman"/>
        </w:rPr>
        <w:t>, on behalf of PNA members stated they were very happy to see this working paper and to note that the PNA FAD tracking program is providing information and insight that is adding substantial value to the scientific understanding of WCPO fisheries. </w:t>
      </w:r>
      <w:r w:rsidR="0041022C" w:rsidRPr="004635E5">
        <w:rPr>
          <w:rFonts w:cs="Times New Roman"/>
        </w:rPr>
        <w:t xml:space="preserve">PNA noted </w:t>
      </w:r>
      <w:r w:rsidR="00904020" w:rsidRPr="004635E5">
        <w:rPr>
          <w:rFonts w:cs="Times New Roman"/>
        </w:rPr>
        <w:t>two important points raised in the paper that SC should take account of and report to the Commission.</w:t>
      </w:r>
      <w:r w:rsidR="00DC3359" w:rsidRPr="004635E5">
        <w:rPr>
          <w:rFonts w:cs="Times New Roman"/>
        </w:rPr>
        <w:t xml:space="preserve"> </w:t>
      </w:r>
      <w:r w:rsidR="00904020" w:rsidRPr="004635E5">
        <w:rPr>
          <w:rFonts w:cs="Times New Roman"/>
        </w:rPr>
        <w:t xml:space="preserve">PNA </w:t>
      </w:r>
      <w:r w:rsidR="0041022C" w:rsidRPr="004635E5">
        <w:rPr>
          <w:rFonts w:cs="Times New Roman"/>
        </w:rPr>
        <w:t>noted their deep concern</w:t>
      </w:r>
      <w:r w:rsidR="00904020" w:rsidRPr="004635E5">
        <w:rPr>
          <w:rFonts w:cs="Times New Roman"/>
        </w:rPr>
        <w:t xml:space="preserve"> </w:t>
      </w:r>
      <w:r w:rsidR="0041022C" w:rsidRPr="004635E5">
        <w:rPr>
          <w:rFonts w:cs="Times New Roman"/>
        </w:rPr>
        <w:t xml:space="preserve">regarding </w:t>
      </w:r>
      <w:r w:rsidR="00904020" w:rsidRPr="004635E5">
        <w:rPr>
          <w:rFonts w:cs="Times New Roman"/>
        </w:rPr>
        <w:t>the high rate of beaching events </w:t>
      </w:r>
      <w:r w:rsidR="0041022C" w:rsidRPr="004635E5">
        <w:rPr>
          <w:rFonts w:cs="Times New Roman"/>
        </w:rPr>
        <w:t xml:space="preserve">with </w:t>
      </w:r>
      <w:r w:rsidR="00904020" w:rsidRPr="004635E5">
        <w:rPr>
          <w:rFonts w:cs="Times New Roman"/>
        </w:rPr>
        <w:t>tracked FADs</w:t>
      </w:r>
      <w:r w:rsidR="0041022C" w:rsidRPr="004635E5">
        <w:rPr>
          <w:rFonts w:cs="Times New Roman"/>
        </w:rPr>
        <w:t xml:space="preserve">: </w:t>
      </w:r>
      <w:r w:rsidR="00904020" w:rsidRPr="004635E5">
        <w:rPr>
          <w:rFonts w:cs="Times New Roman"/>
        </w:rPr>
        <w:t>5% of tracked FADs end up on beaches and reefs – with the vast majority of these being in PNA countries. </w:t>
      </w:r>
      <w:r w:rsidR="0041022C" w:rsidRPr="004635E5">
        <w:rPr>
          <w:rFonts w:cs="Times New Roman"/>
        </w:rPr>
        <w:t xml:space="preserve">They </w:t>
      </w:r>
      <w:r w:rsidR="00904020" w:rsidRPr="004635E5">
        <w:rPr>
          <w:rFonts w:cs="Times New Roman"/>
        </w:rPr>
        <w:t>note</w:t>
      </w:r>
      <w:r w:rsidR="0041022C" w:rsidRPr="004635E5">
        <w:rPr>
          <w:rFonts w:cs="Times New Roman"/>
        </w:rPr>
        <w:t>d</w:t>
      </w:r>
      <w:r w:rsidR="00904020" w:rsidRPr="004635E5">
        <w:rPr>
          <w:rFonts w:cs="Times New Roman"/>
        </w:rPr>
        <w:t xml:space="preserve"> that a significant number more are “lost” </w:t>
      </w:r>
      <w:r w:rsidR="0041022C" w:rsidRPr="004635E5">
        <w:rPr>
          <w:rFonts w:cs="Times New Roman"/>
        </w:rPr>
        <w:t>because fishing companies deactivate</w:t>
      </w:r>
      <w:r w:rsidR="00904020" w:rsidRPr="004635E5">
        <w:rPr>
          <w:rFonts w:cs="Times New Roman"/>
        </w:rPr>
        <w:t xml:space="preserve"> the buoys when they drift out of the area of interest</w:t>
      </w:r>
      <w:r w:rsidR="0041022C" w:rsidRPr="004635E5">
        <w:rPr>
          <w:rFonts w:cs="Times New Roman"/>
        </w:rPr>
        <w:t>,</w:t>
      </w:r>
      <w:r w:rsidR="00904020" w:rsidRPr="004635E5">
        <w:rPr>
          <w:rFonts w:cs="Times New Roman"/>
        </w:rPr>
        <w:t xml:space="preserve"> and </w:t>
      </w:r>
      <w:r w:rsidR="0041022C" w:rsidRPr="004635E5">
        <w:rPr>
          <w:rFonts w:cs="Times New Roman"/>
        </w:rPr>
        <w:t xml:space="preserve">presumably </w:t>
      </w:r>
      <w:r w:rsidR="00904020" w:rsidRPr="004635E5">
        <w:rPr>
          <w:rFonts w:cs="Times New Roman"/>
        </w:rPr>
        <w:t>a large number of these also end up damaging coastal habitats. </w:t>
      </w:r>
      <w:r w:rsidR="0041022C" w:rsidRPr="004635E5">
        <w:rPr>
          <w:rFonts w:cs="Times New Roman"/>
        </w:rPr>
        <w:t xml:space="preserve">They emphasized that this involved </w:t>
      </w:r>
      <w:r w:rsidR="00904020" w:rsidRPr="004635E5">
        <w:rPr>
          <w:rFonts w:cs="Times New Roman"/>
        </w:rPr>
        <w:t xml:space="preserve">literally thousands of FADs. PNA </w:t>
      </w:r>
      <w:r w:rsidR="0041022C" w:rsidRPr="004635E5">
        <w:rPr>
          <w:rFonts w:cs="Times New Roman"/>
        </w:rPr>
        <w:t>stated their commitment to</w:t>
      </w:r>
      <w:r w:rsidR="00904020" w:rsidRPr="004635E5">
        <w:rPr>
          <w:rFonts w:cs="Times New Roman"/>
        </w:rPr>
        <w:t xml:space="preserve"> reducing </w:t>
      </w:r>
      <w:r w:rsidR="0041022C" w:rsidRPr="004635E5">
        <w:rPr>
          <w:rFonts w:cs="Times New Roman"/>
        </w:rPr>
        <w:t xml:space="preserve">the </w:t>
      </w:r>
      <w:r w:rsidR="00904020" w:rsidRPr="004635E5">
        <w:rPr>
          <w:rFonts w:cs="Times New Roman"/>
        </w:rPr>
        <w:t>risk to coastal communities, reefs and fish stocks</w:t>
      </w:r>
      <w:r w:rsidR="0041022C" w:rsidRPr="004635E5">
        <w:rPr>
          <w:rFonts w:cs="Times New Roman"/>
        </w:rPr>
        <w:t>, that they</w:t>
      </w:r>
      <w:r w:rsidR="00904020" w:rsidRPr="004635E5">
        <w:rPr>
          <w:rFonts w:cs="Times New Roman"/>
        </w:rPr>
        <w:t xml:space="preserve"> and will </w:t>
      </w:r>
      <w:r w:rsidR="0041022C" w:rsidRPr="004635E5">
        <w:rPr>
          <w:rFonts w:cs="Times New Roman"/>
        </w:rPr>
        <w:t>advocate</w:t>
      </w:r>
      <w:r w:rsidR="00904020" w:rsidRPr="004635E5">
        <w:rPr>
          <w:rFonts w:cs="Times New Roman"/>
        </w:rPr>
        <w:t xml:space="preserve"> for biodegradable FADs, better measures for FAD control and retrieval</w:t>
      </w:r>
      <w:r w:rsidR="0041022C" w:rsidRPr="004635E5">
        <w:rPr>
          <w:rFonts w:cs="Times New Roman"/>
        </w:rPr>
        <w:t>,</w:t>
      </w:r>
      <w:r w:rsidR="00904020" w:rsidRPr="004635E5">
        <w:rPr>
          <w:rFonts w:cs="Times New Roman"/>
        </w:rPr>
        <w:t xml:space="preserve"> and fewer FAD deployments in the first place.</w:t>
      </w:r>
      <w:r w:rsidR="0041022C" w:rsidRPr="004635E5">
        <w:rPr>
          <w:rFonts w:cs="Times New Roman"/>
        </w:rPr>
        <w:t xml:space="preserve"> The </w:t>
      </w:r>
      <w:r w:rsidR="00904020" w:rsidRPr="004635E5">
        <w:rPr>
          <w:rFonts w:cs="Times New Roman"/>
        </w:rPr>
        <w:t xml:space="preserve">PNA </w:t>
      </w:r>
      <w:r w:rsidR="0041022C" w:rsidRPr="004635E5">
        <w:rPr>
          <w:rFonts w:cs="Times New Roman"/>
        </w:rPr>
        <w:t>also expressed deep concern</w:t>
      </w:r>
      <w:r w:rsidR="00904020" w:rsidRPr="004635E5">
        <w:rPr>
          <w:rFonts w:cs="Times New Roman"/>
        </w:rPr>
        <w:t xml:space="preserve"> about the ongoing practice of flag States and fleets not providing full data</w:t>
      </w:r>
      <w:r w:rsidR="0041022C" w:rsidRPr="004635E5">
        <w:rPr>
          <w:rFonts w:cs="Times New Roman"/>
        </w:rPr>
        <w:t xml:space="preserve">, including </w:t>
      </w:r>
      <w:r w:rsidR="00904020" w:rsidRPr="004635E5">
        <w:rPr>
          <w:rFonts w:cs="Times New Roman"/>
        </w:rPr>
        <w:t xml:space="preserve">some fleets </w:t>
      </w:r>
      <w:r w:rsidR="0041022C" w:rsidRPr="004635E5">
        <w:rPr>
          <w:rFonts w:cs="Times New Roman"/>
        </w:rPr>
        <w:t>that provide</w:t>
      </w:r>
      <w:r w:rsidR="00904020" w:rsidRPr="004635E5">
        <w:rPr>
          <w:rFonts w:cs="Times New Roman"/>
        </w:rPr>
        <w:t xml:space="preserve"> </w:t>
      </w:r>
      <w:r w:rsidR="0041022C" w:rsidRPr="004635E5">
        <w:rPr>
          <w:rFonts w:cs="Times New Roman"/>
        </w:rPr>
        <w:t xml:space="preserve">no </w:t>
      </w:r>
      <w:r w:rsidR="00904020" w:rsidRPr="004635E5">
        <w:rPr>
          <w:rFonts w:cs="Times New Roman"/>
        </w:rPr>
        <w:t>data</w:t>
      </w:r>
      <w:r w:rsidR="0041022C" w:rsidRPr="004635E5">
        <w:rPr>
          <w:rFonts w:cs="Times New Roman"/>
        </w:rPr>
        <w:t>,</w:t>
      </w:r>
      <w:r w:rsidR="00904020" w:rsidRPr="004635E5">
        <w:rPr>
          <w:rFonts w:cs="Times New Roman"/>
        </w:rPr>
        <w:t xml:space="preserve"> </w:t>
      </w:r>
      <w:r w:rsidR="0041022C" w:rsidRPr="004635E5">
        <w:rPr>
          <w:rFonts w:cs="Times New Roman"/>
        </w:rPr>
        <w:t xml:space="preserve">and </w:t>
      </w:r>
      <w:r w:rsidR="00904020" w:rsidRPr="004635E5">
        <w:rPr>
          <w:rFonts w:cs="Times New Roman"/>
        </w:rPr>
        <w:t xml:space="preserve">others </w:t>
      </w:r>
      <w:r w:rsidR="0041022C" w:rsidRPr="004635E5">
        <w:rPr>
          <w:rFonts w:cs="Times New Roman"/>
        </w:rPr>
        <w:t xml:space="preserve">that </w:t>
      </w:r>
      <w:r w:rsidR="00904020" w:rsidRPr="004635E5">
        <w:rPr>
          <w:rFonts w:cs="Times New Roman"/>
        </w:rPr>
        <w:t>man</w:t>
      </w:r>
      <w:r w:rsidR="0041022C" w:rsidRPr="004635E5">
        <w:rPr>
          <w:rFonts w:cs="Times New Roman"/>
        </w:rPr>
        <w:t>ipulate</w:t>
      </w:r>
      <w:r w:rsidR="00904020" w:rsidRPr="004635E5">
        <w:rPr>
          <w:rFonts w:cs="Times New Roman"/>
        </w:rPr>
        <w:t xml:space="preserve"> data through</w:t>
      </w:r>
      <w:r w:rsidR="006B62B8" w:rsidRPr="004635E5">
        <w:rPr>
          <w:rFonts w:cs="Times New Roman"/>
        </w:rPr>
        <w:t xml:space="preserve"> </w:t>
      </w:r>
      <w:r w:rsidR="00904020" w:rsidRPr="004635E5">
        <w:rPr>
          <w:rFonts w:cs="Times New Roman"/>
        </w:rPr>
        <w:t>geofencing to exclude information when FADs are in or out of certain areas. </w:t>
      </w:r>
      <w:r w:rsidR="0041022C" w:rsidRPr="004635E5">
        <w:rPr>
          <w:rFonts w:cs="Times New Roman"/>
        </w:rPr>
        <w:t>They stated that t</w:t>
      </w:r>
      <w:r w:rsidR="00904020" w:rsidRPr="004635E5">
        <w:rPr>
          <w:rFonts w:cs="Times New Roman"/>
        </w:rPr>
        <w:t xml:space="preserve">his </w:t>
      </w:r>
      <w:r w:rsidR="0041022C" w:rsidRPr="004635E5">
        <w:rPr>
          <w:rFonts w:cs="Times New Roman"/>
        </w:rPr>
        <w:t xml:space="preserve">was </w:t>
      </w:r>
      <w:r w:rsidR="00904020" w:rsidRPr="004635E5">
        <w:rPr>
          <w:rFonts w:cs="Times New Roman"/>
        </w:rPr>
        <w:t xml:space="preserve">a compliance issue that PNA will take up through the TCC and Compliance Monitoring Scheme, but </w:t>
      </w:r>
      <w:r w:rsidR="0041022C" w:rsidRPr="004635E5">
        <w:rPr>
          <w:rFonts w:cs="Times New Roman"/>
        </w:rPr>
        <w:t xml:space="preserve">one that </w:t>
      </w:r>
      <w:r w:rsidR="00904020" w:rsidRPr="004635E5">
        <w:rPr>
          <w:rFonts w:cs="Times New Roman"/>
        </w:rPr>
        <w:t>is also very important to the SC</w:t>
      </w:r>
      <w:r w:rsidR="00A16680" w:rsidRPr="004635E5">
        <w:rPr>
          <w:rFonts w:cs="Times New Roman"/>
        </w:rPr>
        <w:t xml:space="preserve">. </w:t>
      </w:r>
      <w:r w:rsidR="00904020" w:rsidRPr="004635E5">
        <w:rPr>
          <w:rFonts w:cs="Times New Roman"/>
        </w:rPr>
        <w:t xml:space="preserve">Both </w:t>
      </w:r>
      <w:r w:rsidR="0041022C" w:rsidRPr="004635E5">
        <w:rPr>
          <w:rFonts w:cs="Times New Roman"/>
        </w:rPr>
        <w:t xml:space="preserve">SC14-MI-WP-09 and </w:t>
      </w:r>
      <w:r w:rsidR="0041022C" w:rsidRPr="004635E5">
        <w:rPr>
          <w:rFonts w:cs="Times New Roman"/>
          <w:lang w:val="en-US"/>
        </w:rPr>
        <w:t>SC14-</w:t>
      </w:r>
      <w:r w:rsidR="0041022C" w:rsidRPr="004635E5">
        <w:rPr>
          <w:rFonts w:cs="Times New Roman"/>
        </w:rPr>
        <w:t xml:space="preserve">MI-WP-10 </w:t>
      </w:r>
      <w:r w:rsidR="00904020" w:rsidRPr="004635E5">
        <w:rPr>
          <w:rFonts w:cs="Times New Roman"/>
        </w:rPr>
        <w:t>show that such behaviour substantially undermines the scientific value of the information</w:t>
      </w:r>
      <w:r w:rsidR="0041022C" w:rsidRPr="004635E5">
        <w:rPr>
          <w:rFonts w:cs="Times New Roman"/>
        </w:rPr>
        <w:t>,</w:t>
      </w:r>
      <w:r w:rsidR="00904020" w:rsidRPr="004635E5">
        <w:rPr>
          <w:rFonts w:cs="Times New Roman"/>
        </w:rPr>
        <w:t xml:space="preserve"> and will prevent the SC from being able to provide comprehensive advice to the Commission on FAD dynamics, economics and management.</w:t>
      </w:r>
      <w:r w:rsidR="002D0CF1" w:rsidRPr="004635E5">
        <w:rPr>
          <w:rFonts w:cs="Times New Roman"/>
        </w:rPr>
        <w:t xml:space="preserve"> </w:t>
      </w:r>
      <w:r w:rsidR="00904020" w:rsidRPr="004635E5">
        <w:rPr>
          <w:rFonts w:cs="Times New Roman"/>
        </w:rPr>
        <w:t>PNA members request</w:t>
      </w:r>
      <w:r w:rsidR="0041022C" w:rsidRPr="004635E5">
        <w:rPr>
          <w:rFonts w:cs="Times New Roman"/>
        </w:rPr>
        <w:t>ed</w:t>
      </w:r>
      <w:r w:rsidR="00904020" w:rsidRPr="004635E5">
        <w:rPr>
          <w:rFonts w:cs="Times New Roman"/>
        </w:rPr>
        <w:t xml:space="preserve"> that the advice from the SC to the Commission specifically reference the value that FAD tracking data adds, as well as noting concerns about the high beaching rates and </w:t>
      </w:r>
      <w:r w:rsidR="0041022C" w:rsidRPr="004635E5">
        <w:rPr>
          <w:rFonts w:cs="Times New Roman"/>
        </w:rPr>
        <w:t xml:space="preserve">data </w:t>
      </w:r>
      <w:r w:rsidR="00904020" w:rsidRPr="004635E5">
        <w:rPr>
          <w:rFonts w:cs="Times New Roman"/>
        </w:rPr>
        <w:t>manipulation through geo</w:t>
      </w:r>
      <w:r w:rsidR="008C4469" w:rsidRPr="004635E5">
        <w:rPr>
          <w:rFonts w:cs="Times New Roman"/>
        </w:rPr>
        <w:t>-</w:t>
      </w:r>
      <w:r w:rsidR="00904020" w:rsidRPr="004635E5">
        <w:rPr>
          <w:rFonts w:cs="Times New Roman"/>
        </w:rPr>
        <w:t>fencing.</w:t>
      </w:r>
    </w:p>
    <w:p w14:paraId="7F9452C7" w14:textId="77777777" w:rsidR="0030620F" w:rsidRPr="004635E5" w:rsidRDefault="0030620F" w:rsidP="006633A8">
      <w:pPr>
        <w:pStyle w:val="WCPFC"/>
        <w:numPr>
          <w:ilvl w:val="0"/>
          <w:numId w:val="0"/>
        </w:numPr>
        <w:adjustRightInd w:val="0"/>
        <w:spacing w:after="0"/>
        <w:rPr>
          <w:rFonts w:cs="Times New Roman"/>
        </w:rPr>
      </w:pPr>
    </w:p>
    <w:p w14:paraId="78388989" w14:textId="77777777" w:rsidR="00D10905" w:rsidRPr="004635E5" w:rsidRDefault="00EB0CA4" w:rsidP="006633A8">
      <w:pPr>
        <w:pStyle w:val="WCPFC"/>
        <w:adjustRightInd w:val="0"/>
        <w:spacing w:after="0"/>
        <w:ind w:left="0" w:firstLine="0"/>
        <w:rPr>
          <w:rFonts w:cs="Times New Roman"/>
        </w:rPr>
      </w:pPr>
      <w:r w:rsidRPr="004635E5">
        <w:rPr>
          <w:rFonts w:cs="Times New Roman"/>
        </w:rPr>
        <w:t>PNG</w:t>
      </w:r>
      <w:r w:rsidR="00A33CA2" w:rsidRPr="004635E5">
        <w:rPr>
          <w:rFonts w:cs="Times New Roman"/>
        </w:rPr>
        <w:t xml:space="preserve">, on behalf of </w:t>
      </w:r>
      <w:r w:rsidRPr="004635E5">
        <w:rPr>
          <w:rFonts w:cs="Times New Roman"/>
        </w:rPr>
        <w:t xml:space="preserve">FFA </w:t>
      </w:r>
      <w:r w:rsidR="00A33CA2" w:rsidRPr="004635E5">
        <w:rPr>
          <w:rFonts w:cs="Times New Roman"/>
        </w:rPr>
        <w:t>m</w:t>
      </w:r>
      <w:r w:rsidRPr="004635E5">
        <w:rPr>
          <w:rFonts w:cs="Times New Roman"/>
        </w:rPr>
        <w:t>embers</w:t>
      </w:r>
      <w:r w:rsidR="0041022C" w:rsidRPr="004635E5">
        <w:rPr>
          <w:rFonts w:cs="Times New Roman"/>
        </w:rPr>
        <w:t>,</w:t>
      </w:r>
      <w:r w:rsidR="00A33CA2" w:rsidRPr="004635E5">
        <w:rPr>
          <w:rFonts w:cs="Times New Roman"/>
          <w:color w:val="222222"/>
          <w:lang w:val="en-US"/>
        </w:rPr>
        <w:t xml:space="preserve"> </w:t>
      </w:r>
      <w:r w:rsidR="00A33CA2" w:rsidRPr="004635E5">
        <w:rPr>
          <w:rFonts w:cs="Times New Roman"/>
          <w:lang w:val="en-US"/>
        </w:rPr>
        <w:t xml:space="preserve">thanked the authors of the paper and PNA members for providing </w:t>
      </w:r>
      <w:r w:rsidR="0041022C" w:rsidRPr="004635E5">
        <w:rPr>
          <w:rFonts w:cs="Times New Roman"/>
          <w:lang w:val="en-US"/>
        </w:rPr>
        <w:t xml:space="preserve">the </w:t>
      </w:r>
      <w:r w:rsidR="00A33CA2" w:rsidRPr="004635E5">
        <w:rPr>
          <w:rFonts w:cs="Times New Roman"/>
          <w:lang w:val="en-US"/>
        </w:rPr>
        <w:t xml:space="preserve">unique dataset to support </w:t>
      </w:r>
      <w:r w:rsidR="0041022C" w:rsidRPr="004635E5">
        <w:rPr>
          <w:rFonts w:cs="Times New Roman"/>
          <w:lang w:val="en-US"/>
        </w:rPr>
        <w:t xml:space="preserve">the </w:t>
      </w:r>
      <w:r w:rsidR="00A33CA2" w:rsidRPr="004635E5">
        <w:rPr>
          <w:rFonts w:cs="Times New Roman"/>
          <w:lang w:val="en-US"/>
        </w:rPr>
        <w:t>analysis. The</w:t>
      </w:r>
      <w:r w:rsidR="0041022C" w:rsidRPr="004635E5">
        <w:rPr>
          <w:rFonts w:cs="Times New Roman"/>
          <w:lang w:val="en-US"/>
        </w:rPr>
        <w:t>y</w:t>
      </w:r>
      <w:r w:rsidR="00A33CA2" w:rsidRPr="004635E5">
        <w:rPr>
          <w:rFonts w:cs="Times New Roman"/>
          <w:lang w:val="en-US"/>
        </w:rPr>
        <w:t xml:space="preserve"> </w:t>
      </w:r>
      <w:r w:rsidR="0041022C" w:rsidRPr="004635E5">
        <w:rPr>
          <w:rFonts w:cs="Times New Roman"/>
          <w:lang w:val="en-US"/>
        </w:rPr>
        <w:t xml:space="preserve">noted the </w:t>
      </w:r>
      <w:r w:rsidR="00A33CA2" w:rsidRPr="004635E5">
        <w:rPr>
          <w:rFonts w:cs="Times New Roman"/>
          <w:lang w:val="en-US"/>
        </w:rPr>
        <w:t>interesting and alarming</w:t>
      </w:r>
      <w:r w:rsidR="0041022C" w:rsidRPr="004635E5">
        <w:rPr>
          <w:rFonts w:cs="Times New Roman"/>
          <w:lang w:val="en-US"/>
        </w:rPr>
        <w:t xml:space="preserve"> results:</w:t>
      </w:r>
      <w:r w:rsidR="00A33CA2" w:rsidRPr="004635E5">
        <w:rPr>
          <w:rFonts w:cs="Times New Roman"/>
          <w:lang w:val="en-US"/>
        </w:rPr>
        <w:t xml:space="preserve"> 27% of total estimated FADs were ‘lost’ and another 5% beach</w:t>
      </w:r>
      <w:r w:rsidR="0041022C" w:rsidRPr="004635E5">
        <w:rPr>
          <w:rFonts w:cs="Times New Roman"/>
          <w:lang w:val="en-US"/>
        </w:rPr>
        <w:t>ed, clearly indicating</w:t>
      </w:r>
      <w:r w:rsidR="00A33CA2" w:rsidRPr="004635E5">
        <w:rPr>
          <w:rFonts w:cs="Times New Roman"/>
          <w:lang w:val="en-US"/>
        </w:rPr>
        <w:t xml:space="preserve"> the need to manage the ecological impact </w:t>
      </w:r>
      <w:r w:rsidR="0041022C" w:rsidRPr="004635E5">
        <w:rPr>
          <w:rFonts w:cs="Times New Roman"/>
          <w:lang w:val="en-US"/>
        </w:rPr>
        <w:t xml:space="preserve">of </w:t>
      </w:r>
      <w:r w:rsidR="00A33CA2" w:rsidRPr="004635E5">
        <w:rPr>
          <w:rFonts w:cs="Times New Roman"/>
          <w:lang w:val="en-US"/>
        </w:rPr>
        <w:t>FADs, particularly on reefs</w:t>
      </w:r>
      <w:r w:rsidR="0041022C" w:rsidRPr="004635E5">
        <w:rPr>
          <w:rFonts w:cs="Times New Roman"/>
          <w:lang w:val="en-US"/>
        </w:rPr>
        <w:t>,</w:t>
      </w:r>
      <w:r w:rsidR="00A33CA2" w:rsidRPr="004635E5">
        <w:rPr>
          <w:rFonts w:cs="Times New Roman"/>
          <w:lang w:val="en-US"/>
        </w:rPr>
        <w:t xml:space="preserve"> and </w:t>
      </w:r>
      <w:r w:rsidR="0041022C" w:rsidRPr="004635E5">
        <w:rPr>
          <w:rFonts w:cs="Times New Roman"/>
          <w:lang w:val="en-US"/>
        </w:rPr>
        <w:t xml:space="preserve">the </w:t>
      </w:r>
      <w:r w:rsidR="00A33CA2" w:rsidRPr="004635E5">
        <w:rPr>
          <w:rFonts w:cs="Times New Roman"/>
          <w:lang w:val="en-US"/>
        </w:rPr>
        <w:t xml:space="preserve">significant contribution to marine pollution. </w:t>
      </w:r>
      <w:r w:rsidR="0041022C" w:rsidRPr="004635E5">
        <w:rPr>
          <w:rFonts w:cs="Times New Roman"/>
          <w:lang w:val="en-US"/>
        </w:rPr>
        <w:t xml:space="preserve">FFA members </w:t>
      </w:r>
      <w:r w:rsidR="00A33CA2" w:rsidRPr="004635E5">
        <w:rPr>
          <w:rFonts w:cs="Times New Roman"/>
          <w:lang w:val="en-US"/>
        </w:rPr>
        <w:t>support</w:t>
      </w:r>
      <w:r w:rsidR="0041022C" w:rsidRPr="004635E5">
        <w:rPr>
          <w:rFonts w:cs="Times New Roman"/>
          <w:lang w:val="en-US"/>
        </w:rPr>
        <w:t>ed</w:t>
      </w:r>
      <w:r w:rsidR="00A33CA2" w:rsidRPr="004635E5">
        <w:rPr>
          <w:rFonts w:cs="Times New Roman"/>
          <w:lang w:val="en-US"/>
        </w:rPr>
        <w:t xml:space="preserve"> the need for improvements in vessel reporting of FADs and the work currently being undertaken by some CCMs to address that, improve tracking capability</w:t>
      </w:r>
      <w:r w:rsidR="0041022C" w:rsidRPr="004635E5">
        <w:rPr>
          <w:rFonts w:cs="Times New Roman"/>
          <w:lang w:val="en-US"/>
        </w:rPr>
        <w:t>,</w:t>
      </w:r>
      <w:r w:rsidR="00A33CA2" w:rsidRPr="004635E5">
        <w:rPr>
          <w:rFonts w:cs="Times New Roman"/>
          <w:lang w:val="en-US"/>
        </w:rPr>
        <w:t xml:space="preserve"> and confront the issues with geo-fencing of FAD data. </w:t>
      </w:r>
      <w:r w:rsidR="0041022C" w:rsidRPr="004635E5">
        <w:rPr>
          <w:rFonts w:cs="Times New Roman"/>
          <w:lang w:val="en-US"/>
        </w:rPr>
        <w:t xml:space="preserve">They </w:t>
      </w:r>
      <w:r w:rsidR="00A33CA2" w:rsidRPr="004635E5">
        <w:rPr>
          <w:rFonts w:cs="Times New Roman"/>
          <w:lang w:val="en-US"/>
        </w:rPr>
        <w:t>note</w:t>
      </w:r>
      <w:r w:rsidR="0041022C" w:rsidRPr="004635E5">
        <w:rPr>
          <w:rFonts w:cs="Times New Roman"/>
          <w:lang w:val="en-US"/>
        </w:rPr>
        <w:t>d</w:t>
      </w:r>
      <w:r w:rsidR="00A33CA2" w:rsidRPr="004635E5">
        <w:rPr>
          <w:rFonts w:cs="Times New Roman"/>
          <w:lang w:val="en-US"/>
        </w:rPr>
        <w:t xml:space="preserve"> the value of FAD tracking data to inform scientific analyses, </w:t>
      </w:r>
      <w:r w:rsidR="0041022C" w:rsidRPr="004635E5">
        <w:rPr>
          <w:rFonts w:cs="Times New Roman"/>
          <w:lang w:val="en-US"/>
        </w:rPr>
        <w:t xml:space="preserve">stated they would </w:t>
      </w:r>
      <w:r w:rsidR="00A33CA2" w:rsidRPr="004635E5">
        <w:rPr>
          <w:rFonts w:cs="Times New Roman"/>
          <w:lang w:val="en-US"/>
        </w:rPr>
        <w:t xml:space="preserve">support further research </w:t>
      </w:r>
      <w:r w:rsidR="0041022C" w:rsidRPr="004635E5">
        <w:rPr>
          <w:rFonts w:cs="Times New Roman"/>
          <w:lang w:val="en-US"/>
        </w:rPr>
        <w:t xml:space="preserve">as </w:t>
      </w:r>
      <w:r w:rsidR="00A33CA2" w:rsidRPr="004635E5">
        <w:rPr>
          <w:rFonts w:cs="Times New Roman"/>
          <w:lang w:val="en-US"/>
        </w:rPr>
        <w:t>suggested in the paper, and recommend</w:t>
      </w:r>
      <w:r w:rsidR="0041022C" w:rsidRPr="004635E5">
        <w:rPr>
          <w:rFonts w:cs="Times New Roman"/>
          <w:lang w:val="en-US"/>
        </w:rPr>
        <w:t>ed</w:t>
      </w:r>
      <w:r w:rsidR="00A33CA2" w:rsidRPr="004635E5">
        <w:rPr>
          <w:rFonts w:cs="Times New Roman"/>
          <w:lang w:val="en-US"/>
        </w:rPr>
        <w:t xml:space="preserve"> that the Secretariat ensure it </w:t>
      </w:r>
      <w:r w:rsidR="0041022C" w:rsidRPr="004635E5">
        <w:rPr>
          <w:rFonts w:cs="Times New Roman"/>
          <w:lang w:val="en-US"/>
        </w:rPr>
        <w:t xml:space="preserve">be </w:t>
      </w:r>
      <w:r w:rsidR="00A33CA2" w:rsidRPr="004635E5">
        <w:rPr>
          <w:rFonts w:cs="Times New Roman"/>
          <w:lang w:val="en-US"/>
        </w:rPr>
        <w:t xml:space="preserve">available to inform deliberations of the FAD management IWG meeting </w:t>
      </w:r>
      <w:r w:rsidR="0041022C" w:rsidRPr="004635E5">
        <w:rPr>
          <w:rFonts w:cs="Times New Roman"/>
          <w:lang w:val="en-US"/>
        </w:rPr>
        <w:t>in September 2018</w:t>
      </w:r>
      <w:r w:rsidR="00A33CA2" w:rsidRPr="004635E5">
        <w:rPr>
          <w:rFonts w:cs="Times New Roman"/>
          <w:lang w:val="en-US"/>
        </w:rPr>
        <w:t>.</w:t>
      </w:r>
    </w:p>
    <w:p w14:paraId="2C0146AE" w14:textId="77777777" w:rsidR="0030620F" w:rsidRPr="004635E5" w:rsidRDefault="0030620F" w:rsidP="006633A8">
      <w:pPr>
        <w:pStyle w:val="WCPFC"/>
        <w:numPr>
          <w:ilvl w:val="0"/>
          <w:numId w:val="0"/>
        </w:numPr>
        <w:adjustRightInd w:val="0"/>
        <w:spacing w:after="0"/>
        <w:rPr>
          <w:rFonts w:cs="Times New Roman"/>
        </w:rPr>
      </w:pPr>
    </w:p>
    <w:p w14:paraId="48014911" w14:textId="77777777" w:rsidR="00D10905" w:rsidRPr="004635E5" w:rsidRDefault="006822C3" w:rsidP="006633A8">
      <w:pPr>
        <w:pStyle w:val="WCPFC"/>
        <w:adjustRightInd w:val="0"/>
        <w:spacing w:after="0"/>
        <w:ind w:left="0" w:firstLine="0"/>
        <w:rPr>
          <w:rFonts w:cs="Times New Roman"/>
        </w:rPr>
      </w:pPr>
      <w:r w:rsidRPr="004635E5">
        <w:rPr>
          <w:rFonts w:cs="Times New Roman"/>
        </w:rPr>
        <w:t xml:space="preserve">The </w:t>
      </w:r>
      <w:r w:rsidR="00D10905" w:rsidRPr="004635E5">
        <w:rPr>
          <w:rFonts w:cs="Times New Roman"/>
        </w:rPr>
        <w:t>USA</w:t>
      </w:r>
      <w:r w:rsidRPr="004635E5">
        <w:rPr>
          <w:rFonts w:cs="Times New Roman"/>
        </w:rPr>
        <w:t xml:space="preserve"> noted that </w:t>
      </w:r>
      <w:r w:rsidR="0041022C" w:rsidRPr="004635E5">
        <w:rPr>
          <w:rFonts w:cs="Times New Roman"/>
        </w:rPr>
        <w:t xml:space="preserve">the concerns regarding </w:t>
      </w:r>
      <w:r w:rsidR="002D0CF1" w:rsidRPr="004635E5">
        <w:rPr>
          <w:rFonts w:cs="Times New Roman"/>
        </w:rPr>
        <w:t xml:space="preserve">geofenced </w:t>
      </w:r>
      <w:r w:rsidR="00D10905" w:rsidRPr="004635E5">
        <w:rPr>
          <w:rFonts w:cs="Times New Roman"/>
        </w:rPr>
        <w:t>data</w:t>
      </w:r>
      <w:r w:rsidR="0041022C" w:rsidRPr="004635E5">
        <w:rPr>
          <w:rFonts w:cs="Times New Roman"/>
        </w:rPr>
        <w:t xml:space="preserve">, and would discuss provision of data by the USA purse seine fleet, </w:t>
      </w:r>
      <w:r w:rsidR="00D10905" w:rsidRPr="004635E5">
        <w:rPr>
          <w:rFonts w:cs="Times New Roman"/>
        </w:rPr>
        <w:t xml:space="preserve">with </w:t>
      </w:r>
      <w:r w:rsidR="0041022C" w:rsidRPr="004635E5">
        <w:rPr>
          <w:rFonts w:cs="Times New Roman"/>
        </w:rPr>
        <w:t xml:space="preserve">a </w:t>
      </w:r>
      <w:r w:rsidR="00D10905" w:rsidRPr="004635E5">
        <w:rPr>
          <w:rFonts w:cs="Times New Roman"/>
        </w:rPr>
        <w:t>lag of about 2 months.</w:t>
      </w:r>
      <w:r w:rsidRPr="004635E5">
        <w:rPr>
          <w:rFonts w:cs="Times New Roman"/>
        </w:rPr>
        <w:t xml:space="preserve"> </w:t>
      </w:r>
    </w:p>
    <w:p w14:paraId="745CF26E" w14:textId="77777777" w:rsidR="0030620F" w:rsidRPr="004635E5" w:rsidRDefault="0030620F" w:rsidP="006633A8">
      <w:pPr>
        <w:pStyle w:val="WCPFC"/>
        <w:numPr>
          <w:ilvl w:val="0"/>
          <w:numId w:val="0"/>
        </w:numPr>
        <w:adjustRightInd w:val="0"/>
        <w:spacing w:after="0"/>
        <w:rPr>
          <w:rFonts w:cs="Times New Roman"/>
        </w:rPr>
      </w:pPr>
    </w:p>
    <w:p w14:paraId="2CCD5D53" w14:textId="77777777" w:rsidR="00D10905" w:rsidRPr="004635E5" w:rsidRDefault="00D10905" w:rsidP="006633A8">
      <w:pPr>
        <w:pStyle w:val="WCPFC"/>
        <w:adjustRightInd w:val="0"/>
        <w:spacing w:after="0"/>
        <w:ind w:left="0" w:firstLine="0"/>
        <w:rPr>
          <w:rFonts w:cs="Times New Roman"/>
        </w:rPr>
      </w:pPr>
      <w:r w:rsidRPr="004635E5">
        <w:rPr>
          <w:rFonts w:cs="Times New Roman"/>
        </w:rPr>
        <w:t>RMI</w:t>
      </w:r>
      <w:r w:rsidR="006822C3" w:rsidRPr="004635E5">
        <w:rPr>
          <w:rFonts w:cs="Times New Roman"/>
        </w:rPr>
        <w:t xml:space="preserve"> noted that the working papers in this session clearly demonstrate</w:t>
      </w:r>
      <w:r w:rsidR="0041022C" w:rsidRPr="004635E5">
        <w:rPr>
          <w:rFonts w:cs="Times New Roman"/>
        </w:rPr>
        <w:t>d</w:t>
      </w:r>
      <w:r w:rsidR="006822C3" w:rsidRPr="004635E5">
        <w:rPr>
          <w:rFonts w:cs="Times New Roman"/>
        </w:rPr>
        <w:t xml:space="preserve"> the utility of FAD tracking data in contributing to understanding fishery dynamics</w:t>
      </w:r>
      <w:r w:rsidR="00A16680" w:rsidRPr="004635E5">
        <w:rPr>
          <w:rFonts w:cs="Times New Roman"/>
        </w:rPr>
        <w:t xml:space="preserve">. </w:t>
      </w:r>
      <w:r w:rsidR="006822C3" w:rsidRPr="004635E5">
        <w:rPr>
          <w:rFonts w:cs="Times New Roman"/>
        </w:rPr>
        <w:t xml:space="preserve">PNA members </w:t>
      </w:r>
      <w:r w:rsidR="0041022C" w:rsidRPr="004635E5">
        <w:rPr>
          <w:rFonts w:cs="Times New Roman"/>
        </w:rPr>
        <w:t>proposed</w:t>
      </w:r>
      <w:r w:rsidR="006822C3" w:rsidRPr="004635E5">
        <w:rPr>
          <w:rFonts w:cs="Times New Roman"/>
        </w:rPr>
        <w:t xml:space="preserve"> </w:t>
      </w:r>
      <w:r w:rsidR="0041022C" w:rsidRPr="004635E5">
        <w:rPr>
          <w:rFonts w:cs="Times New Roman"/>
        </w:rPr>
        <w:t xml:space="preserve">the </w:t>
      </w:r>
      <w:r w:rsidR="006822C3" w:rsidRPr="004635E5">
        <w:rPr>
          <w:rFonts w:cs="Times New Roman"/>
        </w:rPr>
        <w:t xml:space="preserve">issues raised by Nauru </w:t>
      </w:r>
      <w:r w:rsidR="0041022C" w:rsidRPr="004635E5">
        <w:rPr>
          <w:rFonts w:cs="Times New Roman"/>
        </w:rPr>
        <w:t xml:space="preserve">be treated as </w:t>
      </w:r>
      <w:r w:rsidR="006822C3" w:rsidRPr="004635E5">
        <w:rPr>
          <w:rFonts w:cs="Times New Roman"/>
        </w:rPr>
        <w:t xml:space="preserve">important scientific considerations </w:t>
      </w:r>
      <w:r w:rsidR="0041022C" w:rsidRPr="004635E5">
        <w:rPr>
          <w:rFonts w:cs="Times New Roman"/>
        </w:rPr>
        <w:t xml:space="preserve">for the </w:t>
      </w:r>
      <w:r w:rsidR="006822C3" w:rsidRPr="004635E5">
        <w:rPr>
          <w:rFonts w:cs="Times New Roman"/>
        </w:rPr>
        <w:t>Commission.</w:t>
      </w:r>
    </w:p>
    <w:p w14:paraId="5D81FA43" w14:textId="77777777" w:rsidR="0030620F" w:rsidRPr="004635E5" w:rsidRDefault="0030620F" w:rsidP="006633A8">
      <w:pPr>
        <w:pStyle w:val="WCPFC"/>
        <w:numPr>
          <w:ilvl w:val="0"/>
          <w:numId w:val="0"/>
        </w:numPr>
        <w:adjustRightInd w:val="0"/>
        <w:spacing w:after="0"/>
        <w:rPr>
          <w:rFonts w:cs="Times New Roman"/>
        </w:rPr>
      </w:pPr>
    </w:p>
    <w:p w14:paraId="5E6AD69F" w14:textId="77777777" w:rsidR="00904020" w:rsidRPr="004635E5" w:rsidRDefault="008C4469" w:rsidP="006633A8">
      <w:pPr>
        <w:pStyle w:val="WCPFC"/>
        <w:adjustRightInd w:val="0"/>
        <w:spacing w:after="0"/>
        <w:ind w:left="0" w:firstLine="0"/>
        <w:rPr>
          <w:rFonts w:cs="Times New Roman"/>
        </w:rPr>
      </w:pPr>
      <w:r w:rsidRPr="004635E5">
        <w:rPr>
          <w:rFonts w:cs="Times New Roman"/>
        </w:rPr>
        <w:t xml:space="preserve">The </w:t>
      </w:r>
      <w:r w:rsidR="00D10905" w:rsidRPr="004635E5">
        <w:rPr>
          <w:rFonts w:cs="Times New Roman"/>
        </w:rPr>
        <w:t>EU</w:t>
      </w:r>
      <w:r w:rsidRPr="004635E5">
        <w:rPr>
          <w:rFonts w:cs="Times New Roman"/>
        </w:rPr>
        <w:t xml:space="preserve"> noted the </w:t>
      </w:r>
      <w:r w:rsidR="00D10905" w:rsidRPr="004635E5">
        <w:rPr>
          <w:rFonts w:cs="Times New Roman"/>
        </w:rPr>
        <w:t xml:space="preserve">importance </w:t>
      </w:r>
      <w:r w:rsidRPr="004635E5">
        <w:rPr>
          <w:rFonts w:cs="Times New Roman"/>
        </w:rPr>
        <w:t xml:space="preserve">of </w:t>
      </w:r>
      <w:r w:rsidRPr="004635E5">
        <w:rPr>
          <w:rFonts w:cs="Times New Roman"/>
          <w:lang w:val="en-US"/>
        </w:rPr>
        <w:t xml:space="preserve">complete FAD tracking data and stated they </w:t>
      </w:r>
      <w:r w:rsidR="00D10905" w:rsidRPr="004635E5">
        <w:rPr>
          <w:rFonts w:cs="Times New Roman"/>
        </w:rPr>
        <w:t>support</w:t>
      </w:r>
      <w:r w:rsidRPr="004635E5">
        <w:rPr>
          <w:rFonts w:cs="Times New Roman"/>
        </w:rPr>
        <w:t>ed</w:t>
      </w:r>
      <w:r w:rsidR="00D10905" w:rsidRPr="004635E5">
        <w:rPr>
          <w:rFonts w:cs="Times New Roman"/>
        </w:rPr>
        <w:t xml:space="preserve"> the delivery of this</w:t>
      </w:r>
      <w:r w:rsidRPr="004635E5">
        <w:rPr>
          <w:rFonts w:cs="Times New Roman"/>
        </w:rPr>
        <w:t xml:space="preserve"> data</w:t>
      </w:r>
      <w:r w:rsidR="00D10905" w:rsidRPr="004635E5">
        <w:rPr>
          <w:rFonts w:cs="Times New Roman"/>
        </w:rPr>
        <w:t xml:space="preserve">. </w:t>
      </w:r>
      <w:r w:rsidR="0041022C" w:rsidRPr="004635E5">
        <w:rPr>
          <w:rFonts w:cs="Times New Roman"/>
        </w:rPr>
        <w:t>O</w:t>
      </w:r>
      <w:r w:rsidR="00D10905" w:rsidRPr="004635E5">
        <w:rPr>
          <w:rFonts w:cs="Times New Roman"/>
        </w:rPr>
        <w:t xml:space="preserve">ther </w:t>
      </w:r>
      <w:r w:rsidRPr="004635E5">
        <w:rPr>
          <w:rFonts w:cs="Times New Roman"/>
        </w:rPr>
        <w:t xml:space="preserve">RFMOs </w:t>
      </w:r>
      <w:r w:rsidR="0041022C" w:rsidRPr="004635E5">
        <w:rPr>
          <w:rFonts w:cs="Times New Roman"/>
        </w:rPr>
        <w:t xml:space="preserve">have mandatory monthly </w:t>
      </w:r>
      <w:r w:rsidR="0041022C" w:rsidRPr="004635E5">
        <w:rPr>
          <w:rFonts w:cs="Times New Roman"/>
          <w:lang w:val="en-US"/>
        </w:rPr>
        <w:t xml:space="preserve">buoy </w:t>
      </w:r>
      <w:r w:rsidR="0041022C" w:rsidRPr="004635E5">
        <w:rPr>
          <w:rFonts w:cs="Times New Roman"/>
        </w:rPr>
        <w:t xml:space="preserve">reporting requirements that include </w:t>
      </w:r>
      <w:r w:rsidR="00D10905" w:rsidRPr="004635E5">
        <w:rPr>
          <w:rFonts w:cs="Times New Roman"/>
        </w:rPr>
        <w:t>1</w:t>
      </w:r>
      <w:r w:rsidRPr="004635E5">
        <w:rPr>
          <w:rFonts w:cs="Times New Roman"/>
        </w:rPr>
        <w:t>°</w:t>
      </w:r>
      <w:r w:rsidR="00D10905" w:rsidRPr="004635E5">
        <w:rPr>
          <w:rFonts w:cs="Times New Roman"/>
        </w:rPr>
        <w:t>x1</w:t>
      </w:r>
      <w:r w:rsidRPr="004635E5">
        <w:rPr>
          <w:rFonts w:cs="Times New Roman"/>
        </w:rPr>
        <w:t>°</w:t>
      </w:r>
      <w:r w:rsidR="0041022C" w:rsidRPr="004635E5">
        <w:rPr>
          <w:rFonts w:cs="Times New Roman"/>
        </w:rPr>
        <w:t xml:space="preserve"> density and the</w:t>
      </w:r>
      <w:r w:rsidR="00D10905" w:rsidRPr="004635E5">
        <w:rPr>
          <w:rFonts w:cs="Times New Roman"/>
        </w:rPr>
        <w:t xml:space="preserve"> </w:t>
      </w:r>
      <w:r w:rsidR="0041022C" w:rsidRPr="004635E5">
        <w:rPr>
          <w:rFonts w:cs="Times New Roman"/>
        </w:rPr>
        <w:t xml:space="preserve">number </w:t>
      </w:r>
      <w:r w:rsidR="00D10905" w:rsidRPr="004635E5">
        <w:rPr>
          <w:rFonts w:cs="Times New Roman"/>
        </w:rPr>
        <w:t>of active b</w:t>
      </w:r>
      <w:r w:rsidR="002D0CF1" w:rsidRPr="004635E5">
        <w:rPr>
          <w:rFonts w:cs="Times New Roman"/>
        </w:rPr>
        <w:t>u</w:t>
      </w:r>
      <w:r w:rsidR="00D10905" w:rsidRPr="004635E5">
        <w:rPr>
          <w:rFonts w:cs="Times New Roman"/>
        </w:rPr>
        <w:t>oys monitored by each active vessel</w:t>
      </w:r>
      <w:r w:rsidRPr="004635E5">
        <w:rPr>
          <w:rFonts w:cs="Times New Roman"/>
        </w:rPr>
        <w:t xml:space="preserve">. The </w:t>
      </w:r>
      <w:r w:rsidR="00D10905" w:rsidRPr="004635E5">
        <w:rPr>
          <w:rFonts w:cs="Times New Roman"/>
        </w:rPr>
        <w:t xml:space="preserve">IATTC </w:t>
      </w:r>
      <w:r w:rsidRPr="004635E5">
        <w:rPr>
          <w:rFonts w:cs="Times New Roman"/>
        </w:rPr>
        <w:t>provide</w:t>
      </w:r>
      <w:r w:rsidR="0041022C" w:rsidRPr="004635E5">
        <w:rPr>
          <w:rFonts w:cs="Times New Roman"/>
        </w:rPr>
        <w:t>s</w:t>
      </w:r>
      <w:r w:rsidRPr="004635E5">
        <w:rPr>
          <w:rFonts w:cs="Times New Roman"/>
        </w:rPr>
        <w:t xml:space="preserve"> tracking data d</w:t>
      </w:r>
      <w:r w:rsidR="00D10905" w:rsidRPr="004635E5">
        <w:rPr>
          <w:rFonts w:cs="Times New Roman"/>
        </w:rPr>
        <w:t>i</w:t>
      </w:r>
      <w:r w:rsidRPr="004635E5">
        <w:rPr>
          <w:rFonts w:cs="Times New Roman"/>
        </w:rPr>
        <w:t>r</w:t>
      </w:r>
      <w:r w:rsidR="00D10905" w:rsidRPr="004635E5">
        <w:rPr>
          <w:rFonts w:cs="Times New Roman"/>
        </w:rPr>
        <w:t xml:space="preserve">ectly to </w:t>
      </w:r>
      <w:r w:rsidRPr="004635E5">
        <w:rPr>
          <w:rFonts w:cs="Times New Roman"/>
        </w:rPr>
        <w:t xml:space="preserve">ISC </w:t>
      </w:r>
      <w:r w:rsidR="002D0CF1" w:rsidRPr="004635E5">
        <w:rPr>
          <w:rFonts w:cs="Times New Roman"/>
        </w:rPr>
        <w:t xml:space="preserve">science </w:t>
      </w:r>
      <w:r w:rsidR="00D10905" w:rsidRPr="004635E5">
        <w:rPr>
          <w:rFonts w:cs="Times New Roman"/>
        </w:rPr>
        <w:t xml:space="preserve">staff. </w:t>
      </w:r>
      <w:r w:rsidRPr="004635E5">
        <w:rPr>
          <w:rFonts w:cs="Times New Roman"/>
        </w:rPr>
        <w:t>A recommendation w</w:t>
      </w:r>
      <w:r w:rsidR="002D0CF1" w:rsidRPr="004635E5">
        <w:rPr>
          <w:rFonts w:cs="Times New Roman"/>
        </w:rPr>
        <w:t>i</w:t>
      </w:r>
      <w:r w:rsidRPr="004635E5">
        <w:rPr>
          <w:rFonts w:cs="Times New Roman"/>
        </w:rPr>
        <w:t>ll be proposed to the IATTC C</w:t>
      </w:r>
      <w:r w:rsidR="00D10905" w:rsidRPr="004635E5">
        <w:rPr>
          <w:rFonts w:cs="Times New Roman"/>
        </w:rPr>
        <w:t>omm</w:t>
      </w:r>
      <w:r w:rsidR="008C3D7E" w:rsidRPr="004635E5">
        <w:rPr>
          <w:rFonts w:cs="Times New Roman"/>
        </w:rPr>
        <w:t xml:space="preserve">ission </w:t>
      </w:r>
      <w:r w:rsidR="00D10905" w:rsidRPr="004635E5">
        <w:rPr>
          <w:rFonts w:cs="Times New Roman"/>
        </w:rPr>
        <w:t xml:space="preserve">that </w:t>
      </w:r>
      <w:r w:rsidRPr="004635E5">
        <w:rPr>
          <w:rFonts w:cs="Times New Roman"/>
        </w:rPr>
        <w:t xml:space="preserve">vessels </w:t>
      </w:r>
      <w:r w:rsidR="00D10905" w:rsidRPr="004635E5">
        <w:rPr>
          <w:rFonts w:cs="Times New Roman"/>
        </w:rPr>
        <w:t>provide daily raw b</w:t>
      </w:r>
      <w:r w:rsidR="008C3D7E" w:rsidRPr="004635E5">
        <w:rPr>
          <w:rFonts w:cs="Times New Roman"/>
        </w:rPr>
        <w:t>u</w:t>
      </w:r>
      <w:r w:rsidR="00D10905" w:rsidRPr="004635E5">
        <w:rPr>
          <w:rFonts w:cs="Times New Roman"/>
        </w:rPr>
        <w:t>oy data as supplied to orig</w:t>
      </w:r>
      <w:r w:rsidRPr="004635E5">
        <w:rPr>
          <w:rFonts w:cs="Times New Roman"/>
        </w:rPr>
        <w:t>inal</w:t>
      </w:r>
      <w:r w:rsidR="00D10905" w:rsidRPr="004635E5">
        <w:rPr>
          <w:rFonts w:cs="Times New Roman"/>
        </w:rPr>
        <w:t xml:space="preserve"> users, under strict </w:t>
      </w:r>
      <w:r w:rsidR="008C3D7E" w:rsidRPr="004635E5">
        <w:rPr>
          <w:rFonts w:cs="Times New Roman"/>
        </w:rPr>
        <w:t>confidentiality</w:t>
      </w:r>
      <w:r w:rsidR="00D10905" w:rsidRPr="004635E5">
        <w:rPr>
          <w:rFonts w:cs="Times New Roman"/>
        </w:rPr>
        <w:t xml:space="preserve"> r</w:t>
      </w:r>
      <w:r w:rsidR="008C3D7E" w:rsidRPr="004635E5">
        <w:rPr>
          <w:rFonts w:cs="Times New Roman"/>
        </w:rPr>
        <w:t>u</w:t>
      </w:r>
      <w:r w:rsidR="00D10905" w:rsidRPr="004635E5">
        <w:rPr>
          <w:rFonts w:cs="Times New Roman"/>
        </w:rPr>
        <w:t>les, for sci</w:t>
      </w:r>
      <w:r w:rsidR="008C3D7E" w:rsidRPr="004635E5">
        <w:rPr>
          <w:rFonts w:cs="Times New Roman"/>
        </w:rPr>
        <w:t>entific</w:t>
      </w:r>
      <w:r w:rsidR="00D10905" w:rsidRPr="004635E5">
        <w:rPr>
          <w:rFonts w:cs="Times New Roman"/>
        </w:rPr>
        <w:t xml:space="preserve"> analysis. </w:t>
      </w:r>
      <w:r w:rsidR="0041022C" w:rsidRPr="004635E5">
        <w:rPr>
          <w:rFonts w:cs="Times New Roman"/>
        </w:rPr>
        <w:t>The EU stated that p</w:t>
      </w:r>
      <w:r w:rsidR="00D10905" w:rsidRPr="004635E5">
        <w:rPr>
          <w:rFonts w:cs="Times New Roman"/>
        </w:rPr>
        <w:t>r</w:t>
      </w:r>
      <w:r w:rsidR="008C3D7E" w:rsidRPr="004635E5">
        <w:rPr>
          <w:rFonts w:cs="Times New Roman"/>
        </w:rPr>
        <w:t>ovision</w:t>
      </w:r>
      <w:r w:rsidR="00D10905" w:rsidRPr="004635E5">
        <w:rPr>
          <w:rFonts w:cs="Times New Roman"/>
        </w:rPr>
        <w:t xml:space="preserve"> of this tracking data </w:t>
      </w:r>
      <w:r w:rsidR="0041022C" w:rsidRPr="004635E5">
        <w:rPr>
          <w:rFonts w:cs="Times New Roman"/>
        </w:rPr>
        <w:t xml:space="preserve">was </w:t>
      </w:r>
      <w:r w:rsidR="00D10905" w:rsidRPr="004635E5">
        <w:rPr>
          <w:rFonts w:cs="Times New Roman"/>
        </w:rPr>
        <w:t>essential.</w:t>
      </w:r>
      <w:r w:rsidR="008C3D7E" w:rsidRPr="004635E5">
        <w:rPr>
          <w:rFonts w:cs="Times New Roman"/>
        </w:rPr>
        <w:t xml:space="preserve"> </w:t>
      </w:r>
      <w:r w:rsidR="00D10905" w:rsidRPr="004635E5">
        <w:rPr>
          <w:rFonts w:cs="Times New Roman"/>
        </w:rPr>
        <w:t>Re</w:t>
      </w:r>
      <w:r w:rsidR="008C3D7E" w:rsidRPr="004635E5">
        <w:rPr>
          <w:rFonts w:cs="Times New Roman"/>
        </w:rPr>
        <w:t xml:space="preserve">garding </w:t>
      </w:r>
      <w:r w:rsidR="00D10905" w:rsidRPr="004635E5">
        <w:rPr>
          <w:rFonts w:cs="Times New Roman"/>
        </w:rPr>
        <w:t>beaching</w:t>
      </w:r>
      <w:r w:rsidR="008C3D7E" w:rsidRPr="004635E5">
        <w:rPr>
          <w:rFonts w:cs="Times New Roman"/>
        </w:rPr>
        <w:t>, the</w:t>
      </w:r>
      <w:r w:rsidR="0041022C" w:rsidRPr="004635E5">
        <w:rPr>
          <w:rFonts w:cs="Times New Roman"/>
        </w:rPr>
        <w:t>y noted that</w:t>
      </w:r>
      <w:r w:rsidR="008C3D7E" w:rsidRPr="004635E5">
        <w:rPr>
          <w:rFonts w:cs="Times New Roman"/>
        </w:rPr>
        <w:t xml:space="preserve"> incorporation </w:t>
      </w:r>
      <w:r w:rsidR="00D10905" w:rsidRPr="004635E5">
        <w:rPr>
          <w:rFonts w:cs="Times New Roman"/>
        </w:rPr>
        <w:t>of biodegra</w:t>
      </w:r>
      <w:r w:rsidR="008C3D7E" w:rsidRPr="004635E5">
        <w:rPr>
          <w:rFonts w:cs="Times New Roman"/>
        </w:rPr>
        <w:t>da</w:t>
      </w:r>
      <w:r w:rsidR="00D10905" w:rsidRPr="004635E5">
        <w:rPr>
          <w:rFonts w:cs="Times New Roman"/>
        </w:rPr>
        <w:t xml:space="preserve">ble materials </w:t>
      </w:r>
      <w:r w:rsidR="0041022C" w:rsidRPr="004635E5">
        <w:rPr>
          <w:rFonts w:cs="Times New Roman"/>
        </w:rPr>
        <w:t xml:space="preserve">was </w:t>
      </w:r>
      <w:r w:rsidR="00D10905" w:rsidRPr="004635E5">
        <w:rPr>
          <w:rFonts w:cs="Times New Roman"/>
        </w:rPr>
        <w:t>very imp</w:t>
      </w:r>
      <w:r w:rsidR="008C3D7E" w:rsidRPr="004635E5">
        <w:rPr>
          <w:rFonts w:cs="Times New Roman"/>
        </w:rPr>
        <w:t>ortant, and is being trial</w:t>
      </w:r>
      <w:r w:rsidR="006B62B8" w:rsidRPr="004635E5">
        <w:rPr>
          <w:rFonts w:cs="Times New Roman"/>
        </w:rPr>
        <w:t>l</w:t>
      </w:r>
      <w:r w:rsidR="008C3D7E" w:rsidRPr="004635E5">
        <w:rPr>
          <w:rFonts w:cs="Times New Roman"/>
        </w:rPr>
        <w:t>ed in the Indian</w:t>
      </w:r>
      <w:r w:rsidR="00D10905" w:rsidRPr="004635E5">
        <w:rPr>
          <w:rFonts w:cs="Times New Roman"/>
        </w:rPr>
        <w:t xml:space="preserve"> </w:t>
      </w:r>
      <w:r w:rsidR="006E5FCF" w:rsidRPr="004635E5">
        <w:rPr>
          <w:rFonts w:cs="Times New Roman"/>
        </w:rPr>
        <w:t>Ocean</w:t>
      </w:r>
      <w:r w:rsidR="00D10905" w:rsidRPr="004635E5">
        <w:rPr>
          <w:rFonts w:cs="Times New Roman"/>
        </w:rPr>
        <w:t xml:space="preserve">. </w:t>
      </w:r>
      <w:r w:rsidR="0041022C" w:rsidRPr="004635E5">
        <w:rPr>
          <w:rFonts w:cs="Times New Roman"/>
        </w:rPr>
        <w:t xml:space="preserve">The </w:t>
      </w:r>
      <w:r w:rsidR="008C3D7E" w:rsidRPr="004635E5">
        <w:rPr>
          <w:rFonts w:cs="Times New Roman"/>
        </w:rPr>
        <w:t>IOTC</w:t>
      </w:r>
      <w:r w:rsidR="0041022C" w:rsidRPr="004635E5">
        <w:rPr>
          <w:rFonts w:cs="Times New Roman"/>
        </w:rPr>
        <w:t xml:space="preserve"> </w:t>
      </w:r>
      <w:r w:rsidR="00D10905" w:rsidRPr="004635E5">
        <w:rPr>
          <w:rFonts w:cs="Times New Roman"/>
        </w:rPr>
        <w:t>is testing new materials</w:t>
      </w:r>
      <w:r w:rsidR="0041022C" w:rsidRPr="004635E5">
        <w:rPr>
          <w:rFonts w:cs="Times New Roman"/>
        </w:rPr>
        <w:t xml:space="preserve">, and WCPFC </w:t>
      </w:r>
      <w:r w:rsidR="00D10905" w:rsidRPr="004635E5">
        <w:rPr>
          <w:rFonts w:cs="Times New Roman"/>
        </w:rPr>
        <w:t xml:space="preserve">should adopt </w:t>
      </w:r>
      <w:r w:rsidR="008C3D7E" w:rsidRPr="004635E5">
        <w:rPr>
          <w:rFonts w:cs="Times New Roman"/>
        </w:rPr>
        <w:t xml:space="preserve">a </w:t>
      </w:r>
      <w:r w:rsidR="00D10905" w:rsidRPr="004635E5">
        <w:rPr>
          <w:rFonts w:cs="Times New Roman"/>
        </w:rPr>
        <w:t xml:space="preserve">similar approach </w:t>
      </w:r>
      <w:r w:rsidR="008C3D7E" w:rsidRPr="004635E5">
        <w:rPr>
          <w:rFonts w:cs="Times New Roman"/>
        </w:rPr>
        <w:t xml:space="preserve">to </w:t>
      </w:r>
      <w:r w:rsidR="00F659CA">
        <w:rPr>
          <w:rFonts w:cs="Times New Roman" w:hint="eastAsia"/>
          <w:lang w:eastAsia="ko-KR"/>
        </w:rPr>
        <w:t xml:space="preserve">biodegradable </w:t>
      </w:r>
      <w:r w:rsidR="008C3D7E" w:rsidRPr="004635E5">
        <w:rPr>
          <w:rFonts w:cs="Times New Roman"/>
          <w:lang w:val="en-US"/>
        </w:rPr>
        <w:t xml:space="preserve">FADs </w:t>
      </w:r>
      <w:r w:rsidR="00D10905" w:rsidRPr="004635E5">
        <w:rPr>
          <w:rFonts w:cs="Times New Roman"/>
        </w:rPr>
        <w:t xml:space="preserve">in this region. </w:t>
      </w:r>
    </w:p>
    <w:p w14:paraId="43B87C63" w14:textId="77777777" w:rsidR="0030620F" w:rsidRPr="004635E5" w:rsidRDefault="0030620F" w:rsidP="006633A8">
      <w:pPr>
        <w:pStyle w:val="WCPFC"/>
        <w:numPr>
          <w:ilvl w:val="0"/>
          <w:numId w:val="0"/>
        </w:numPr>
        <w:adjustRightInd w:val="0"/>
        <w:spacing w:after="0"/>
        <w:rPr>
          <w:rFonts w:cs="Times New Roman"/>
        </w:rPr>
      </w:pPr>
    </w:p>
    <w:p w14:paraId="1788A7A7" w14:textId="77777777" w:rsidR="00904020" w:rsidRPr="004635E5" w:rsidRDefault="0041022C" w:rsidP="006633A8">
      <w:pPr>
        <w:pStyle w:val="WCPFC"/>
        <w:adjustRightInd w:val="0"/>
        <w:spacing w:after="0"/>
        <w:ind w:left="0" w:firstLine="0"/>
        <w:rPr>
          <w:rFonts w:cs="Times New Roman"/>
        </w:rPr>
      </w:pPr>
      <w:r w:rsidRPr="004635E5">
        <w:rPr>
          <w:rFonts w:cs="Times New Roman"/>
        </w:rPr>
        <w:t xml:space="preserve">The </w:t>
      </w:r>
      <w:r w:rsidR="00D10905" w:rsidRPr="004635E5">
        <w:rPr>
          <w:rFonts w:cs="Times New Roman"/>
        </w:rPr>
        <w:t xml:space="preserve">PNA </w:t>
      </w:r>
      <w:r w:rsidR="00904020" w:rsidRPr="004635E5">
        <w:rPr>
          <w:rFonts w:cs="Times New Roman"/>
        </w:rPr>
        <w:t xml:space="preserve">Office </w:t>
      </w:r>
      <w:r w:rsidRPr="004635E5">
        <w:rPr>
          <w:rFonts w:cs="Times New Roman"/>
        </w:rPr>
        <w:t xml:space="preserve">stated that while the issue </w:t>
      </w:r>
      <w:r w:rsidR="00904020" w:rsidRPr="004635E5">
        <w:rPr>
          <w:rFonts w:cs="Times New Roman"/>
        </w:rPr>
        <w:t xml:space="preserve">of FAD Definitions </w:t>
      </w:r>
      <w:r w:rsidRPr="004635E5">
        <w:rPr>
          <w:rFonts w:cs="Times New Roman"/>
        </w:rPr>
        <w:t xml:space="preserve">was </w:t>
      </w:r>
      <w:r w:rsidR="00904020" w:rsidRPr="004635E5">
        <w:rPr>
          <w:rFonts w:cs="Times New Roman"/>
        </w:rPr>
        <w:t xml:space="preserve">not on the agenda </w:t>
      </w:r>
      <w:r w:rsidRPr="004635E5">
        <w:rPr>
          <w:rFonts w:cs="Times New Roman"/>
        </w:rPr>
        <w:t xml:space="preserve">of </w:t>
      </w:r>
      <w:r w:rsidR="00904020" w:rsidRPr="004635E5">
        <w:rPr>
          <w:rFonts w:cs="Times New Roman"/>
        </w:rPr>
        <w:t>SC</w:t>
      </w:r>
      <w:r w:rsidRPr="004635E5">
        <w:rPr>
          <w:rFonts w:cs="Times New Roman"/>
        </w:rPr>
        <w:t>14</w:t>
      </w:r>
      <w:r w:rsidR="00904020" w:rsidRPr="004635E5">
        <w:rPr>
          <w:rFonts w:cs="Times New Roman"/>
        </w:rPr>
        <w:t xml:space="preserve">, </w:t>
      </w:r>
      <w:r w:rsidRPr="004635E5">
        <w:rPr>
          <w:rFonts w:cs="Times New Roman"/>
        </w:rPr>
        <w:t xml:space="preserve">because it was raised by the </w:t>
      </w:r>
      <w:r w:rsidR="00904020" w:rsidRPr="004635E5">
        <w:rPr>
          <w:rFonts w:cs="Times New Roman"/>
        </w:rPr>
        <w:t xml:space="preserve">WTPO, </w:t>
      </w:r>
      <w:r w:rsidRPr="004635E5">
        <w:rPr>
          <w:rFonts w:cs="Times New Roman"/>
        </w:rPr>
        <w:t xml:space="preserve">they felt </w:t>
      </w:r>
      <w:r w:rsidR="00904020" w:rsidRPr="004635E5">
        <w:rPr>
          <w:rFonts w:cs="Times New Roman"/>
        </w:rPr>
        <w:t>compelled to reply for the record. </w:t>
      </w:r>
      <w:r w:rsidRPr="004635E5">
        <w:rPr>
          <w:rFonts w:cs="Times New Roman"/>
        </w:rPr>
        <w:t xml:space="preserve">The PNA Office observed that </w:t>
      </w:r>
      <w:r w:rsidR="00904020" w:rsidRPr="004635E5">
        <w:rPr>
          <w:rFonts w:cs="Times New Roman"/>
        </w:rPr>
        <w:t xml:space="preserve">WTPO described the definition as broad, confusing and debateable, but that </w:t>
      </w:r>
      <w:r w:rsidRPr="004635E5">
        <w:rPr>
          <w:rFonts w:cs="Times New Roman"/>
        </w:rPr>
        <w:t xml:space="preserve">this was </w:t>
      </w:r>
      <w:r w:rsidR="00904020" w:rsidRPr="004635E5">
        <w:rPr>
          <w:rFonts w:cs="Times New Roman"/>
        </w:rPr>
        <w:t xml:space="preserve">actually the opposite of the real reason that some </w:t>
      </w:r>
      <w:r w:rsidRPr="004635E5">
        <w:rPr>
          <w:rFonts w:cs="Times New Roman"/>
        </w:rPr>
        <w:t xml:space="preserve">in the </w:t>
      </w:r>
      <w:r w:rsidR="00904020" w:rsidRPr="004635E5">
        <w:rPr>
          <w:rFonts w:cs="Times New Roman"/>
        </w:rPr>
        <w:t>industry oppose</w:t>
      </w:r>
      <w:r w:rsidRPr="004635E5">
        <w:rPr>
          <w:rFonts w:cs="Times New Roman"/>
        </w:rPr>
        <w:t>d</w:t>
      </w:r>
      <w:r w:rsidR="00904020" w:rsidRPr="004635E5">
        <w:rPr>
          <w:rFonts w:cs="Times New Roman"/>
        </w:rPr>
        <w:t xml:space="preserve"> it</w:t>
      </w:r>
      <w:r w:rsidRPr="004635E5">
        <w:rPr>
          <w:rFonts w:cs="Times New Roman"/>
        </w:rPr>
        <w:t xml:space="preserve">, stating that “the </w:t>
      </w:r>
      <w:r w:rsidR="00904020" w:rsidRPr="004635E5">
        <w:rPr>
          <w:rFonts w:cs="Times New Roman"/>
        </w:rPr>
        <w:t>real reason is that it is specific, tightly defined and unambiguous as to what a FAD is</w:t>
      </w:r>
      <w:r w:rsidRPr="004635E5">
        <w:rPr>
          <w:rFonts w:cs="Times New Roman"/>
        </w:rPr>
        <w:t xml:space="preserve">”. They noted that the </w:t>
      </w:r>
      <w:r w:rsidR="00904020" w:rsidRPr="004635E5">
        <w:rPr>
          <w:rFonts w:cs="Times New Roman"/>
        </w:rPr>
        <w:t xml:space="preserve">suggestion that </w:t>
      </w:r>
      <w:r w:rsidRPr="004635E5">
        <w:rPr>
          <w:rFonts w:cs="Times New Roman"/>
        </w:rPr>
        <w:t xml:space="preserve">WCPFC adopt </w:t>
      </w:r>
      <w:r w:rsidR="00904020" w:rsidRPr="004635E5">
        <w:rPr>
          <w:rFonts w:cs="Times New Roman"/>
        </w:rPr>
        <w:t xml:space="preserve">the IATTC definition </w:t>
      </w:r>
      <w:r w:rsidRPr="004635E5">
        <w:rPr>
          <w:rFonts w:cs="Times New Roman"/>
        </w:rPr>
        <w:t xml:space="preserve">was </w:t>
      </w:r>
      <w:r w:rsidR="00904020" w:rsidRPr="004635E5">
        <w:rPr>
          <w:rFonts w:cs="Times New Roman"/>
        </w:rPr>
        <w:t>equally inappropriate. </w:t>
      </w:r>
      <w:r w:rsidRPr="004635E5">
        <w:rPr>
          <w:rFonts w:cs="Times New Roman"/>
        </w:rPr>
        <w:t xml:space="preserve">They noted </w:t>
      </w:r>
      <w:r w:rsidR="00904020" w:rsidRPr="004635E5">
        <w:rPr>
          <w:rFonts w:cs="Times New Roman"/>
        </w:rPr>
        <w:t>two very significant differences between IATTC and WCPFC</w:t>
      </w:r>
      <w:r w:rsidRPr="004635E5">
        <w:rPr>
          <w:rFonts w:cs="Times New Roman"/>
        </w:rPr>
        <w:t xml:space="preserve">: (i) </w:t>
      </w:r>
      <w:r w:rsidR="00904020" w:rsidRPr="004635E5">
        <w:rPr>
          <w:rFonts w:cs="Times New Roman"/>
        </w:rPr>
        <w:t>there are no FAD closures or set limits in IATTC, so the definition and the distinction of set types is academic and scientific</w:t>
      </w:r>
      <w:r w:rsidRPr="004635E5">
        <w:rPr>
          <w:rFonts w:cs="Times New Roman"/>
        </w:rPr>
        <w:t xml:space="preserve">, while for the WCPFC </w:t>
      </w:r>
      <w:r w:rsidR="00904020" w:rsidRPr="004635E5">
        <w:rPr>
          <w:rFonts w:cs="Times New Roman"/>
        </w:rPr>
        <w:t>it is a compliance issue</w:t>
      </w:r>
      <w:r w:rsidRPr="004635E5">
        <w:rPr>
          <w:rFonts w:cs="Times New Roman"/>
        </w:rPr>
        <w:t xml:space="preserve">; and (ii) </w:t>
      </w:r>
      <w:r w:rsidR="00904020" w:rsidRPr="004635E5">
        <w:rPr>
          <w:rFonts w:cs="Times New Roman"/>
        </w:rPr>
        <w:t>the WCPO has a far greater history of fishing on logs than the EPO. Adopting the IATTC definition would allow fishing on logs during the FAD closure, with an undoubted significant increase in catch of juvenile bigeye and yellowfin. </w:t>
      </w:r>
      <w:r w:rsidRPr="004635E5">
        <w:rPr>
          <w:rFonts w:cs="Times New Roman"/>
        </w:rPr>
        <w:t xml:space="preserve">The PNA Office observed that the </w:t>
      </w:r>
      <w:r w:rsidR="00904020" w:rsidRPr="004635E5">
        <w:rPr>
          <w:rFonts w:cs="Times New Roman"/>
        </w:rPr>
        <w:t xml:space="preserve">definition in </w:t>
      </w:r>
      <w:r w:rsidRPr="004635E5">
        <w:rPr>
          <w:rFonts w:cs="Times New Roman"/>
        </w:rPr>
        <w:t xml:space="preserve">the </w:t>
      </w:r>
      <w:r w:rsidR="00904020" w:rsidRPr="004635E5">
        <w:rPr>
          <w:rFonts w:cs="Times New Roman"/>
        </w:rPr>
        <w:t xml:space="preserve">WCPFC </w:t>
      </w:r>
      <w:r w:rsidRPr="004635E5">
        <w:rPr>
          <w:rFonts w:cs="Times New Roman"/>
        </w:rPr>
        <w:t xml:space="preserve">was </w:t>
      </w:r>
      <w:r w:rsidR="00904020" w:rsidRPr="004635E5">
        <w:rPr>
          <w:rFonts w:cs="Times New Roman"/>
        </w:rPr>
        <w:t>the PNA definition. </w:t>
      </w:r>
      <w:r w:rsidRPr="004635E5">
        <w:rPr>
          <w:rFonts w:cs="Times New Roman"/>
        </w:rPr>
        <w:t xml:space="preserve">They stated they had </w:t>
      </w:r>
      <w:r w:rsidR="00904020" w:rsidRPr="004635E5">
        <w:rPr>
          <w:rFonts w:cs="Times New Roman"/>
        </w:rPr>
        <w:t xml:space="preserve">sought to accommodate concerns of WTPO and others in the past and received no support in return to find ways to prevent any flexibility </w:t>
      </w:r>
      <w:r w:rsidRPr="004635E5">
        <w:rPr>
          <w:rFonts w:cs="Times New Roman"/>
        </w:rPr>
        <w:t xml:space="preserve">from </w:t>
      </w:r>
      <w:r w:rsidR="00904020" w:rsidRPr="004635E5">
        <w:rPr>
          <w:rFonts w:cs="Times New Roman"/>
        </w:rPr>
        <w:t>becoming a loophole</w:t>
      </w:r>
      <w:r w:rsidRPr="004635E5">
        <w:rPr>
          <w:rFonts w:cs="Times New Roman"/>
        </w:rPr>
        <w:t xml:space="preserve">, and thus the </w:t>
      </w:r>
      <w:r w:rsidR="00904020" w:rsidRPr="004635E5">
        <w:rPr>
          <w:rFonts w:cs="Times New Roman"/>
        </w:rPr>
        <w:t xml:space="preserve">definition </w:t>
      </w:r>
      <w:r w:rsidRPr="004635E5">
        <w:rPr>
          <w:rFonts w:cs="Times New Roman"/>
        </w:rPr>
        <w:t>would be retained</w:t>
      </w:r>
      <w:r w:rsidR="00904020" w:rsidRPr="004635E5">
        <w:rPr>
          <w:rFonts w:cs="Times New Roman"/>
        </w:rPr>
        <w:t>. </w:t>
      </w:r>
    </w:p>
    <w:p w14:paraId="7094624B" w14:textId="77777777" w:rsidR="0030620F" w:rsidRPr="004635E5" w:rsidRDefault="0030620F" w:rsidP="006633A8">
      <w:pPr>
        <w:pStyle w:val="WCPFC"/>
        <w:numPr>
          <w:ilvl w:val="0"/>
          <w:numId w:val="0"/>
        </w:numPr>
        <w:adjustRightInd w:val="0"/>
        <w:spacing w:after="0"/>
        <w:rPr>
          <w:rFonts w:cs="Times New Roman"/>
        </w:rPr>
      </w:pPr>
    </w:p>
    <w:p w14:paraId="078BD308" w14:textId="77777777" w:rsidR="0030620F" w:rsidRPr="004635E5" w:rsidRDefault="000E32D1" w:rsidP="006633A8">
      <w:pPr>
        <w:pStyle w:val="WCPFC"/>
        <w:numPr>
          <w:ilvl w:val="0"/>
          <w:numId w:val="0"/>
        </w:numPr>
        <w:adjustRightInd w:val="0"/>
        <w:spacing w:after="0"/>
        <w:rPr>
          <w:rFonts w:cs="Times New Roman"/>
          <w:b/>
        </w:rPr>
      </w:pPr>
      <w:r w:rsidRPr="004635E5">
        <w:rPr>
          <w:rFonts w:cs="Times New Roman"/>
          <w:b/>
        </w:rPr>
        <w:t>Rec</w:t>
      </w:r>
      <w:r w:rsidR="007353E1" w:rsidRPr="004635E5">
        <w:rPr>
          <w:rFonts w:cs="Times New Roman"/>
          <w:b/>
        </w:rPr>
        <w:t>ommendations</w:t>
      </w:r>
    </w:p>
    <w:p w14:paraId="1A2B9015" w14:textId="77777777" w:rsidR="0030620F" w:rsidRPr="004635E5" w:rsidRDefault="0030620F" w:rsidP="006633A8">
      <w:pPr>
        <w:pStyle w:val="WCPFC"/>
        <w:numPr>
          <w:ilvl w:val="0"/>
          <w:numId w:val="0"/>
        </w:numPr>
        <w:adjustRightInd w:val="0"/>
        <w:spacing w:after="0"/>
        <w:rPr>
          <w:rFonts w:cs="Times New Roman"/>
          <w:b/>
        </w:rPr>
      </w:pPr>
    </w:p>
    <w:p w14:paraId="1443359F" w14:textId="77777777" w:rsidR="00AC78C5" w:rsidRPr="004635E5" w:rsidRDefault="00AC78C5" w:rsidP="006633A8">
      <w:pPr>
        <w:pStyle w:val="WCPFC"/>
        <w:adjustRightInd w:val="0"/>
        <w:spacing w:after="0"/>
        <w:ind w:left="0" w:firstLine="0"/>
        <w:rPr>
          <w:rFonts w:eastAsiaTheme="minorHAnsi" w:cs="Times New Roman"/>
          <w:b/>
        </w:rPr>
      </w:pPr>
      <w:r w:rsidRPr="004635E5">
        <w:rPr>
          <w:rFonts w:cs="Times New Roman"/>
          <w:b/>
          <w:color w:val="000000" w:themeColor="text1"/>
        </w:rPr>
        <w:t xml:space="preserve">SC14 reviewed information on </w:t>
      </w:r>
      <w:r w:rsidRPr="004635E5">
        <w:rPr>
          <w:rFonts w:cs="Times New Roman"/>
          <w:b/>
        </w:rPr>
        <w:t xml:space="preserve">analyses of the PNA’s fish aggregating device (FAD) tracking program </w:t>
      </w:r>
      <w:r w:rsidRPr="004635E5">
        <w:rPr>
          <w:rFonts w:cs="Times New Roman"/>
          <w:b/>
          <w:color w:val="000000" w:themeColor="text1"/>
        </w:rPr>
        <w:t>(</w:t>
      </w:r>
      <w:r w:rsidRPr="004635E5">
        <w:rPr>
          <w:rFonts w:cs="Times New Roman"/>
          <w:b/>
          <w:color w:val="000000" w:themeColor="text1"/>
          <w:lang w:eastAsia="ko-KR"/>
        </w:rPr>
        <w:t>SC14-</w:t>
      </w:r>
      <w:r w:rsidRPr="004635E5">
        <w:rPr>
          <w:rFonts w:eastAsia="Times New Roman" w:cs="Times New Roman"/>
          <w:b/>
          <w:color w:val="000000" w:themeColor="text1"/>
        </w:rPr>
        <w:t>MI-WP-09)</w:t>
      </w:r>
      <w:r w:rsidRPr="004635E5">
        <w:rPr>
          <w:rFonts w:eastAsiaTheme="minorHAnsi" w:cs="Times New Roman"/>
          <w:b/>
        </w:rPr>
        <w:t xml:space="preserve">. SC14 expressed strong support for this type of research and its continuation, </w:t>
      </w:r>
      <w:r w:rsidRPr="004635E5">
        <w:rPr>
          <w:rFonts w:cs="Times New Roman"/>
          <w:b/>
        </w:rPr>
        <w:t>noting that the PNA FAD tracking program is providing information and insight that is adding substantial value to the scientific understanding of WCPO fisheries</w:t>
      </w:r>
      <w:r w:rsidRPr="004635E5">
        <w:rPr>
          <w:rFonts w:eastAsiaTheme="minorHAnsi" w:cs="Times New Roman"/>
          <w:b/>
        </w:rPr>
        <w:t xml:space="preserve">. However, SC14 noted </w:t>
      </w:r>
      <w:r w:rsidRPr="004635E5">
        <w:rPr>
          <w:rFonts w:cs="Times New Roman"/>
          <w:b/>
        </w:rPr>
        <w:t>the ongoing practice of fleets not providing full data (estimates indicate that 60–70% of buoy transmissions are not forwarded to the PNA via practices such as geo-fencing) which substantially undermines the scientific value of the information and prevents the SC from being able to provide comprehensive advice to the Commission on FAD dynamics, economics and management.</w:t>
      </w:r>
      <w:r w:rsidRPr="004635E5">
        <w:rPr>
          <w:rFonts w:eastAsiaTheme="minorHAnsi" w:cs="Times New Roman"/>
          <w:b/>
        </w:rPr>
        <w:t xml:space="preserve"> SC14 also expressed concern </w:t>
      </w:r>
      <w:r w:rsidRPr="004635E5">
        <w:rPr>
          <w:rFonts w:cs="Times New Roman"/>
          <w:b/>
        </w:rPr>
        <w:t xml:space="preserve">about the estimated high rate (5%) of beaching events in tracked FADs, with the vast majority of these being in PNA countries, together with the estimated high rate of ‘lost’ FADs (up to 27%). </w:t>
      </w:r>
    </w:p>
    <w:p w14:paraId="716CCCE1" w14:textId="77777777" w:rsidR="0030620F" w:rsidRPr="004635E5" w:rsidRDefault="0030620F" w:rsidP="006633A8">
      <w:pPr>
        <w:pStyle w:val="WCPFC"/>
        <w:numPr>
          <w:ilvl w:val="0"/>
          <w:numId w:val="0"/>
        </w:numPr>
        <w:adjustRightInd w:val="0"/>
        <w:spacing w:after="0"/>
        <w:rPr>
          <w:rFonts w:eastAsiaTheme="minorHAnsi" w:cs="Times New Roman"/>
          <w:b/>
        </w:rPr>
      </w:pPr>
    </w:p>
    <w:p w14:paraId="75FCD5D0" w14:textId="77777777" w:rsidR="00AC78C5" w:rsidRPr="004635E5" w:rsidRDefault="00AC78C5" w:rsidP="006633A8">
      <w:pPr>
        <w:pStyle w:val="WCPFC"/>
        <w:adjustRightInd w:val="0"/>
        <w:spacing w:after="0"/>
        <w:ind w:left="0" w:firstLine="0"/>
        <w:rPr>
          <w:rFonts w:eastAsiaTheme="minorHAnsi" w:cs="Times New Roman"/>
          <w:b/>
        </w:rPr>
      </w:pPr>
      <w:r w:rsidRPr="004635E5">
        <w:rPr>
          <w:rFonts w:cs="Times New Roman"/>
          <w:b/>
        </w:rPr>
        <w:t>SC14 recommends that WCPFC15 note the importance of FAD marking and monitoring programs to better identify and follow individual FADs. To address the marine pollution issue, reduce the risk to coastal communities, reefs, and fish stocks SC14 recommends the use of biodegradable FADs, non-entangling, non-entrapping, and environmentally-friendly FAD designs, better measures for FAD control and retrieval, and fewer FAD deployments. SC14 also recommends that the Secretariat ensure this working paper is made available to inform the deliberations of the FAD Management IWG meeting to be held in October 2018 and that WCPFC15 take note of the concerns expressed above and support appropriate measures.</w:t>
      </w:r>
    </w:p>
    <w:p w14:paraId="7FA372FC" w14:textId="77777777" w:rsidR="0030620F" w:rsidRPr="004635E5" w:rsidRDefault="0030620F" w:rsidP="006633A8">
      <w:pPr>
        <w:pStyle w:val="WCPFC"/>
        <w:numPr>
          <w:ilvl w:val="0"/>
          <w:numId w:val="0"/>
        </w:numPr>
        <w:adjustRightInd w:val="0"/>
        <w:spacing w:after="0"/>
        <w:rPr>
          <w:rFonts w:eastAsiaTheme="minorHAnsi" w:cs="Times New Roman"/>
          <w:b/>
        </w:rPr>
      </w:pPr>
    </w:p>
    <w:p w14:paraId="3C7F3970" w14:textId="77777777" w:rsidR="00D10905" w:rsidRPr="004635E5" w:rsidRDefault="007353E1" w:rsidP="00671F09">
      <w:pPr>
        <w:pStyle w:val="SCa"/>
        <w:tabs>
          <w:tab w:val="clear" w:pos="1080"/>
        </w:tabs>
        <w:spacing w:after="0"/>
        <w:ind w:left="0"/>
        <w:rPr>
          <w:lang w:val="en-NZ"/>
        </w:rPr>
      </w:pPr>
      <w:r w:rsidRPr="004635E5">
        <w:rPr>
          <w:lang w:val="en-NZ"/>
        </w:rPr>
        <w:t>b.</w:t>
      </w:r>
      <w:r w:rsidRPr="004635E5">
        <w:rPr>
          <w:lang w:val="en-NZ"/>
        </w:rPr>
        <w:tab/>
      </w:r>
      <w:r w:rsidR="005575A1" w:rsidRPr="004635E5">
        <w:rPr>
          <w:lang w:val="en-NZ"/>
        </w:rPr>
        <w:t>FAD management (FAD-limit per vessel)</w:t>
      </w:r>
    </w:p>
    <w:p w14:paraId="77CB5C52" w14:textId="77777777" w:rsidR="0030620F" w:rsidRPr="004635E5" w:rsidRDefault="0030620F" w:rsidP="006633A8">
      <w:pPr>
        <w:pStyle w:val="SCa"/>
        <w:spacing w:after="0"/>
      </w:pPr>
    </w:p>
    <w:p w14:paraId="4FA19F70" w14:textId="77777777" w:rsidR="00FF5CCA" w:rsidRPr="004635E5" w:rsidRDefault="006822C3" w:rsidP="006633A8">
      <w:pPr>
        <w:pStyle w:val="WCPFC"/>
        <w:adjustRightInd w:val="0"/>
        <w:spacing w:after="0"/>
        <w:ind w:left="0" w:firstLine="0"/>
        <w:rPr>
          <w:rFonts w:cs="Times New Roman"/>
          <w:lang w:val="en-US" w:eastAsia="ko-KR"/>
        </w:rPr>
      </w:pPr>
      <w:r w:rsidRPr="004635E5">
        <w:rPr>
          <w:rFonts w:cs="Times New Roman"/>
        </w:rPr>
        <w:t xml:space="preserve">The </w:t>
      </w:r>
      <w:r w:rsidR="002E39E9" w:rsidRPr="004635E5">
        <w:rPr>
          <w:rFonts w:cs="Times New Roman"/>
        </w:rPr>
        <w:t>theme convener</w:t>
      </w:r>
      <w:r w:rsidR="00D10905" w:rsidRPr="004635E5">
        <w:rPr>
          <w:rFonts w:cs="Times New Roman"/>
          <w:lang w:eastAsia="ko-KR"/>
        </w:rPr>
        <w:t xml:space="preserve"> </w:t>
      </w:r>
      <w:r w:rsidRPr="004635E5">
        <w:rPr>
          <w:rFonts w:cs="Times New Roman"/>
          <w:lang w:eastAsia="ko-KR"/>
        </w:rPr>
        <w:t xml:space="preserve">noted that the </w:t>
      </w:r>
      <w:r w:rsidR="00FF5CCA" w:rsidRPr="004635E5">
        <w:rPr>
          <w:rFonts w:cs="Times New Roman"/>
          <w:bCs/>
          <w:lang w:eastAsia="ko-KR"/>
        </w:rPr>
        <w:t xml:space="preserve">Commission established a maximum number of drifting FADs per purse seine vessel </w:t>
      </w:r>
      <w:r w:rsidR="00FF5CCA" w:rsidRPr="004635E5">
        <w:rPr>
          <w:rFonts w:eastAsia="MS Mincho" w:cs="Times New Roman"/>
        </w:rPr>
        <w:t>deployed at sea, at any one time,</w:t>
      </w:r>
      <w:r w:rsidR="00FF5CCA" w:rsidRPr="004635E5">
        <w:rPr>
          <w:rFonts w:cs="Times New Roman"/>
          <w:lang w:eastAsia="ko-KR"/>
        </w:rPr>
        <w:t xml:space="preserve"> </w:t>
      </w:r>
      <w:r w:rsidR="00FF5CCA" w:rsidRPr="004635E5">
        <w:rPr>
          <w:rFonts w:cs="Times New Roman"/>
          <w:bCs/>
          <w:lang w:eastAsia="ko-KR"/>
        </w:rPr>
        <w:t xml:space="preserve">and requested </w:t>
      </w:r>
      <w:r w:rsidR="00AC78C5" w:rsidRPr="004635E5">
        <w:rPr>
          <w:rFonts w:cs="Times New Roman"/>
          <w:bCs/>
          <w:lang w:eastAsia="ko-KR"/>
        </w:rPr>
        <w:t xml:space="preserve">that SC </w:t>
      </w:r>
      <w:r w:rsidR="00FF5CCA" w:rsidRPr="004635E5">
        <w:rPr>
          <w:rFonts w:cs="Times New Roman"/>
          <w:bCs/>
          <w:lang w:eastAsia="ko-KR"/>
        </w:rPr>
        <w:t xml:space="preserve">review whether </w:t>
      </w:r>
      <w:r w:rsidR="00FF5CCA" w:rsidRPr="004635E5">
        <w:rPr>
          <w:rFonts w:eastAsia="MS Mincho" w:cs="Times New Roman"/>
        </w:rPr>
        <w:t>the number of FADs deployed as set out in paragraph</w:t>
      </w:r>
      <w:r w:rsidR="00FF5CCA" w:rsidRPr="004635E5">
        <w:rPr>
          <w:rFonts w:cs="Times New Roman"/>
          <w:lang w:eastAsia="ko-KR"/>
        </w:rPr>
        <w:t>s</w:t>
      </w:r>
      <w:r w:rsidR="00FF5CCA" w:rsidRPr="004635E5">
        <w:rPr>
          <w:rFonts w:eastAsia="MS Mincho" w:cs="Times New Roman"/>
        </w:rPr>
        <w:t xml:space="preserve"> 23</w:t>
      </w:r>
      <w:r w:rsidR="00FF5CCA" w:rsidRPr="004635E5">
        <w:rPr>
          <w:rFonts w:cs="Times New Roman"/>
          <w:lang w:eastAsia="ko-KR"/>
        </w:rPr>
        <w:t xml:space="preserve"> and 24 of the CMM 2017-01 </w:t>
      </w:r>
      <w:r w:rsidR="00FF5CCA" w:rsidRPr="004635E5">
        <w:rPr>
          <w:rFonts w:eastAsia="MS Mincho" w:cs="Times New Roman"/>
        </w:rPr>
        <w:t>is appropriate</w:t>
      </w:r>
      <w:r w:rsidR="00FF5CCA" w:rsidRPr="004635E5">
        <w:rPr>
          <w:rFonts w:cs="Times New Roman"/>
          <w:bCs/>
          <w:lang w:eastAsia="ko-KR"/>
        </w:rPr>
        <w:t>.</w:t>
      </w:r>
      <w:r w:rsidR="00A8102F" w:rsidRPr="004635E5">
        <w:rPr>
          <w:rFonts w:cs="Times New Roman"/>
          <w:bCs/>
          <w:lang w:eastAsia="ko-KR"/>
        </w:rPr>
        <w:t xml:space="preserve"> </w:t>
      </w:r>
    </w:p>
    <w:p w14:paraId="066E6A07" w14:textId="77777777" w:rsidR="0030620F" w:rsidRPr="004635E5" w:rsidRDefault="0030620F" w:rsidP="006633A8">
      <w:pPr>
        <w:pStyle w:val="WCPFC"/>
        <w:numPr>
          <w:ilvl w:val="0"/>
          <w:numId w:val="0"/>
        </w:numPr>
        <w:adjustRightInd w:val="0"/>
        <w:spacing w:after="0"/>
        <w:rPr>
          <w:rFonts w:cs="Times New Roman"/>
          <w:lang w:val="en-US" w:eastAsia="ko-KR"/>
        </w:rPr>
      </w:pPr>
    </w:p>
    <w:p w14:paraId="54E635F4" w14:textId="77777777" w:rsidR="009F5A34" w:rsidRPr="004635E5" w:rsidRDefault="00D10905" w:rsidP="006633A8">
      <w:pPr>
        <w:pStyle w:val="WCPFC"/>
        <w:adjustRightInd w:val="0"/>
        <w:spacing w:after="0"/>
        <w:ind w:left="0" w:firstLine="0"/>
        <w:rPr>
          <w:rFonts w:cs="Times New Roman"/>
          <w:bCs/>
          <w:lang w:val="en-AU" w:eastAsia="ko-KR"/>
        </w:rPr>
      </w:pPr>
      <w:r w:rsidRPr="004635E5">
        <w:rPr>
          <w:rFonts w:cs="Times New Roman"/>
          <w:bCs/>
          <w:vanish/>
          <w:lang w:eastAsia="ko-KR"/>
        </w:rPr>
        <w:t>L. Escalle presented MI-WP-10</w:t>
      </w:r>
      <w:r w:rsidR="00904020" w:rsidRPr="004635E5">
        <w:rPr>
          <w:rFonts w:cs="Times New Roman"/>
          <w:bCs/>
          <w:vanish/>
          <w:lang w:eastAsia="ko-KR"/>
        </w:rPr>
        <w:t xml:space="preserve"> </w:t>
      </w:r>
      <w:r w:rsidR="0041022C" w:rsidRPr="004635E5">
        <w:rPr>
          <w:rFonts w:cs="Times New Roman"/>
          <w:bCs/>
          <w:lang w:eastAsia="ko-KR"/>
        </w:rPr>
        <w:t xml:space="preserve">L. Escalle presented </w:t>
      </w:r>
      <w:r w:rsidR="005C3CE1">
        <w:rPr>
          <w:rFonts w:eastAsia="Calibri"/>
          <w:lang w:val="en-AU"/>
        </w:rPr>
        <w:t>SC14-</w:t>
      </w:r>
      <w:r w:rsidR="0041022C" w:rsidRPr="004635E5">
        <w:rPr>
          <w:rFonts w:cs="Times New Roman"/>
          <w:bCs/>
          <w:lang w:val="en-US" w:eastAsia="ko-KR"/>
        </w:rPr>
        <w:t>MI-WP-10</w:t>
      </w:r>
      <w:r w:rsidR="0041022C" w:rsidRPr="004635E5">
        <w:rPr>
          <w:rFonts w:cs="Times New Roman"/>
          <w:bCs/>
          <w:i/>
          <w:lang w:val="en-US" w:eastAsia="ko-KR"/>
        </w:rPr>
        <w:t xml:space="preserve"> </w:t>
      </w:r>
      <w:r w:rsidR="00904020" w:rsidRPr="004635E5">
        <w:rPr>
          <w:rFonts w:cs="Times New Roman"/>
          <w:bCs/>
          <w:i/>
          <w:lang w:eastAsia="ko-KR"/>
        </w:rPr>
        <w:t>Estimates of the number of FADs active and FAD deployments per vessel in the WCPO</w:t>
      </w:r>
      <w:r w:rsidR="009F5A34" w:rsidRPr="004635E5">
        <w:rPr>
          <w:rFonts w:cs="Times New Roman"/>
          <w:bCs/>
          <w:lang w:eastAsia="ko-KR"/>
        </w:rPr>
        <w:t xml:space="preserve">, which </w:t>
      </w:r>
      <w:r w:rsidR="009F5A34" w:rsidRPr="004635E5">
        <w:rPr>
          <w:rFonts w:cs="Times New Roman"/>
          <w:bCs/>
          <w:lang w:val="en-AU" w:eastAsia="ko-KR"/>
        </w:rPr>
        <w:t xml:space="preserve">attempts to estimate the number of deployments and active FADs per vessel over the last 7 years. Estimates were derived using two different approaches. Firstly, based on fishery data for 2011–2017, the number of deployments varied from 0 to 500 per vessel but few vessels deployed/redeployed more than 350 buoys per year. This corresponds to a total estimated number of deployments between 21,000 and 51,000 per year in the WCPO for the 2011–2014, but the numbers drop thereafter, likely due to delays in receiving observer data for recent years. The second approach combined fishery data and the PNA FAD tracking data and therefore only covered 2016 and 2017 with precise estimates only possible for some vessels. The estimated number of deployments per vessel varied between 1 and 550 in 2016 and 1 and 999 in 2017 and the estimated number of active FADs per vessel varied between 1 and 454 in 2016 and 1 and 955 in 2017. At the scale of the WCPO, this corresponds to 30,700–56,900 deployments in 2016 and 44,700–64,900 in 2017; and 26,200–37,300 active FADs in 2016 and 38,000–48,200 in 2017. The ratio between number of deployments/redeployments per year and number of active FADs per vessel and per year average at 1.48. Results from both methods correspond to estimates per vessel per year, and given this deployment/active ratio and an average active time of a FAD of 6 months found in the FAD tracking data, it is clear that at any given time, few/no vessels would have more than 350 active FADs in the water. </w:t>
      </w:r>
    </w:p>
    <w:p w14:paraId="1EB0C050" w14:textId="77777777" w:rsidR="0030620F" w:rsidRPr="004635E5" w:rsidRDefault="0030620F" w:rsidP="006633A8">
      <w:pPr>
        <w:pStyle w:val="WCPFC"/>
        <w:numPr>
          <w:ilvl w:val="0"/>
          <w:numId w:val="0"/>
        </w:numPr>
        <w:adjustRightInd w:val="0"/>
        <w:spacing w:after="0"/>
        <w:rPr>
          <w:rFonts w:cs="Times New Roman"/>
          <w:bCs/>
          <w:lang w:val="en-AU" w:eastAsia="ko-KR"/>
        </w:rPr>
      </w:pPr>
    </w:p>
    <w:p w14:paraId="7DCE7B66" w14:textId="77777777" w:rsidR="009F5A34" w:rsidRPr="004635E5" w:rsidRDefault="0041022C" w:rsidP="006633A8">
      <w:pPr>
        <w:pStyle w:val="WCPFC"/>
        <w:adjustRightInd w:val="0"/>
        <w:spacing w:after="0"/>
        <w:ind w:left="0" w:firstLine="0"/>
        <w:rPr>
          <w:rFonts w:cs="Times New Roman"/>
          <w:b/>
          <w:bCs/>
          <w:lang w:val="en-AU" w:eastAsia="ko-KR"/>
        </w:rPr>
      </w:pPr>
      <w:r w:rsidRPr="004635E5">
        <w:rPr>
          <w:rFonts w:cs="Times New Roman"/>
          <w:bCs/>
          <w:lang w:val="en-AU" w:eastAsia="ko-KR"/>
        </w:rPr>
        <w:t xml:space="preserve">The authors </w:t>
      </w:r>
      <w:r w:rsidR="009F5A34" w:rsidRPr="004635E5">
        <w:rPr>
          <w:rFonts w:cs="Times New Roman"/>
          <w:bCs/>
          <w:lang w:val="en-AU" w:eastAsia="ko-KR"/>
        </w:rPr>
        <w:t>also investigated the influence of FAD density on the number of associated and unassociated sets, as well as catch and CPUE per species. The number of associated sets, and catch increased with FAD density. However, skipjack, bigeye, yellowfin and total CPUE from associated sets showed a slight decrease with increasing FAD density, with the analysis suggesting that CPUE decreases with FAD densities above 250 per 1° cell per month. No clear trend could be detected for</w:t>
      </w:r>
      <w:r w:rsidR="009F5A34" w:rsidRPr="004635E5">
        <w:rPr>
          <w:rFonts w:cs="Times New Roman"/>
          <w:b/>
          <w:bCs/>
          <w:lang w:val="en-AU" w:eastAsia="ko-KR"/>
        </w:rPr>
        <w:t xml:space="preserve"> </w:t>
      </w:r>
      <w:r w:rsidR="009F5A34" w:rsidRPr="004635E5">
        <w:rPr>
          <w:rFonts w:cs="Times New Roman"/>
          <w:bCs/>
          <w:lang w:val="en-AU" w:eastAsia="ko-KR"/>
        </w:rPr>
        <w:t>unassociated sets.</w:t>
      </w:r>
    </w:p>
    <w:p w14:paraId="7560FD0D" w14:textId="77777777" w:rsidR="004313F8" w:rsidRDefault="004313F8" w:rsidP="006633A8">
      <w:pPr>
        <w:adjustRightInd w:val="0"/>
        <w:snapToGrid w:val="0"/>
        <w:rPr>
          <w:rFonts w:eastAsiaTheme="minorEastAsia"/>
          <w:b/>
          <w:bCs/>
          <w:sz w:val="22"/>
          <w:szCs w:val="22"/>
          <w:lang w:eastAsia="ko-KR"/>
        </w:rPr>
      </w:pPr>
    </w:p>
    <w:p w14:paraId="24D8C573" w14:textId="77777777" w:rsidR="00A8102F" w:rsidRPr="004635E5" w:rsidRDefault="00A8102F" w:rsidP="006633A8">
      <w:pPr>
        <w:adjustRightInd w:val="0"/>
        <w:snapToGrid w:val="0"/>
        <w:rPr>
          <w:rFonts w:eastAsiaTheme="minorEastAsia"/>
          <w:b/>
          <w:bCs/>
          <w:sz w:val="22"/>
          <w:szCs w:val="22"/>
          <w:lang w:eastAsia="ko-KR"/>
        </w:rPr>
      </w:pPr>
      <w:r w:rsidRPr="004635E5">
        <w:rPr>
          <w:rFonts w:eastAsiaTheme="minorEastAsia"/>
          <w:b/>
          <w:bCs/>
          <w:sz w:val="22"/>
          <w:szCs w:val="22"/>
          <w:lang w:eastAsia="ko-KR"/>
        </w:rPr>
        <w:t>Discussion</w:t>
      </w:r>
    </w:p>
    <w:p w14:paraId="2B1B8BA5" w14:textId="77777777" w:rsidR="00A8102F" w:rsidRPr="004635E5" w:rsidRDefault="00A8102F" w:rsidP="006633A8">
      <w:pPr>
        <w:adjustRightInd w:val="0"/>
        <w:snapToGrid w:val="0"/>
        <w:rPr>
          <w:rFonts w:eastAsiaTheme="minorEastAsia"/>
          <w:b/>
          <w:bCs/>
          <w:sz w:val="22"/>
          <w:szCs w:val="22"/>
          <w:lang w:eastAsia="ko-KR"/>
        </w:rPr>
      </w:pPr>
    </w:p>
    <w:p w14:paraId="5AC8FBA0" w14:textId="77777777" w:rsidR="00A33CA2" w:rsidRPr="004635E5" w:rsidRDefault="00A33CA2" w:rsidP="006633A8">
      <w:pPr>
        <w:pStyle w:val="WCPFC"/>
        <w:adjustRightInd w:val="0"/>
        <w:spacing w:after="0"/>
        <w:ind w:left="0" w:firstLine="0"/>
        <w:rPr>
          <w:rFonts w:cs="Times New Roman"/>
        </w:rPr>
      </w:pPr>
      <w:r w:rsidRPr="004635E5">
        <w:rPr>
          <w:rFonts w:cs="Times New Roman"/>
        </w:rPr>
        <w:t>Nauru, on behalf of FFA members, thanked the authors of the paper, and noted its utility in providing advice to the Commission as to whether the current deployment limit of 350 FADs in the CMM 2017-01 is an appropriate limit.</w:t>
      </w:r>
      <w:r w:rsidR="00436192" w:rsidRPr="004635E5">
        <w:rPr>
          <w:rFonts w:cs="Times New Roman"/>
        </w:rPr>
        <w:t xml:space="preserve"> </w:t>
      </w:r>
      <w:r w:rsidR="0041022C" w:rsidRPr="004635E5">
        <w:rPr>
          <w:rFonts w:cs="Times New Roman"/>
        </w:rPr>
        <w:t xml:space="preserve">They </w:t>
      </w:r>
      <w:r w:rsidRPr="004635E5">
        <w:rPr>
          <w:rFonts w:cs="Times New Roman"/>
        </w:rPr>
        <w:t>note</w:t>
      </w:r>
      <w:r w:rsidR="0041022C" w:rsidRPr="004635E5">
        <w:rPr>
          <w:rFonts w:cs="Times New Roman"/>
        </w:rPr>
        <w:t>d</w:t>
      </w:r>
      <w:r w:rsidRPr="004635E5">
        <w:rPr>
          <w:rFonts w:cs="Times New Roman"/>
        </w:rPr>
        <w:t xml:space="preserve"> that trends in the total number of deployments </w:t>
      </w:r>
      <w:r w:rsidR="0041022C" w:rsidRPr="004635E5">
        <w:rPr>
          <w:rFonts w:cs="Times New Roman"/>
        </w:rPr>
        <w:t xml:space="preserve">were </w:t>
      </w:r>
      <w:r w:rsidRPr="004635E5">
        <w:rPr>
          <w:rFonts w:cs="Times New Roman"/>
        </w:rPr>
        <w:t xml:space="preserve">relatively stable </w:t>
      </w:r>
      <w:r w:rsidR="0041022C" w:rsidRPr="004635E5">
        <w:rPr>
          <w:rFonts w:cs="Times New Roman"/>
        </w:rPr>
        <w:t xml:space="preserve">during </w:t>
      </w:r>
      <w:r w:rsidRPr="004635E5">
        <w:rPr>
          <w:rFonts w:cs="Times New Roman"/>
        </w:rPr>
        <w:t>2011</w:t>
      </w:r>
      <w:r w:rsidR="0041022C" w:rsidRPr="004635E5">
        <w:rPr>
          <w:rFonts w:cs="Times New Roman"/>
        </w:rPr>
        <w:t>–</w:t>
      </w:r>
      <w:r w:rsidRPr="004635E5">
        <w:rPr>
          <w:rFonts w:cs="Times New Roman"/>
        </w:rPr>
        <w:t xml:space="preserve">2014 (with more data needed in later years). Interestingly, the paper highlights that FAD density may potentially depress the CPUE of tropical tuna, and </w:t>
      </w:r>
      <w:r w:rsidR="0041022C" w:rsidRPr="004635E5">
        <w:rPr>
          <w:rFonts w:cs="Times New Roman"/>
        </w:rPr>
        <w:t xml:space="preserve">stated they </w:t>
      </w:r>
      <w:r w:rsidRPr="004635E5">
        <w:rPr>
          <w:rFonts w:cs="Times New Roman"/>
        </w:rPr>
        <w:t>would support work to further investigate this aspect.</w:t>
      </w:r>
      <w:r w:rsidR="00436192" w:rsidRPr="004635E5">
        <w:rPr>
          <w:rFonts w:cs="Times New Roman"/>
        </w:rPr>
        <w:t xml:space="preserve"> </w:t>
      </w:r>
      <w:r w:rsidRPr="004635E5">
        <w:rPr>
          <w:rFonts w:cs="Times New Roman"/>
        </w:rPr>
        <w:t>The analysis demonstrates that considering the life of a FAD, vessels are estimate to have an estimated maximum of 117 active FADs at any given time, the per-vessel FAD limit in the tropical tuna measure is far too high. Clearly 350 FADs is not actually limiting on vessels, and is more likely to encourage vessels to increase their current level of FAD use.</w:t>
      </w:r>
      <w:r w:rsidR="00436192" w:rsidRPr="004635E5">
        <w:rPr>
          <w:rFonts w:cs="Times New Roman"/>
        </w:rPr>
        <w:t xml:space="preserve"> </w:t>
      </w:r>
      <w:r w:rsidR="0041022C" w:rsidRPr="004635E5">
        <w:rPr>
          <w:rFonts w:cs="Times New Roman"/>
        </w:rPr>
        <w:t xml:space="preserve">They </w:t>
      </w:r>
      <w:r w:rsidRPr="004635E5">
        <w:rPr>
          <w:rFonts w:cs="Times New Roman"/>
        </w:rPr>
        <w:t>recommend</w:t>
      </w:r>
      <w:r w:rsidR="0041022C" w:rsidRPr="004635E5">
        <w:rPr>
          <w:rFonts w:cs="Times New Roman"/>
        </w:rPr>
        <w:t>ed</w:t>
      </w:r>
      <w:r w:rsidRPr="004635E5">
        <w:rPr>
          <w:rFonts w:cs="Times New Roman"/>
        </w:rPr>
        <w:t xml:space="preserve"> that the SC provide advice to the Commission on the basis of this work, that FAD limits need significant reductions in the interim, and that additional work to further refine this analysis be supported.</w:t>
      </w:r>
      <w:r w:rsidR="00436192" w:rsidRPr="004635E5">
        <w:rPr>
          <w:rFonts w:cs="Times New Roman"/>
        </w:rPr>
        <w:t xml:space="preserve"> </w:t>
      </w:r>
      <w:r w:rsidR="0041022C" w:rsidRPr="004635E5">
        <w:rPr>
          <w:rFonts w:cs="Times New Roman"/>
        </w:rPr>
        <w:t xml:space="preserve">FFA members </w:t>
      </w:r>
      <w:r w:rsidRPr="004635E5">
        <w:rPr>
          <w:rFonts w:cs="Times New Roman"/>
        </w:rPr>
        <w:t>ask</w:t>
      </w:r>
      <w:r w:rsidR="0041022C" w:rsidRPr="004635E5">
        <w:rPr>
          <w:rFonts w:cs="Times New Roman"/>
        </w:rPr>
        <w:t>ed</w:t>
      </w:r>
      <w:r w:rsidRPr="004635E5">
        <w:rPr>
          <w:rFonts w:cs="Times New Roman"/>
        </w:rPr>
        <w:t xml:space="preserve"> that the Secretariat ensure this paper </w:t>
      </w:r>
      <w:r w:rsidR="0041022C" w:rsidRPr="004635E5">
        <w:rPr>
          <w:rFonts w:cs="Times New Roman"/>
        </w:rPr>
        <w:t xml:space="preserve">be </w:t>
      </w:r>
      <w:r w:rsidRPr="004635E5">
        <w:rPr>
          <w:rFonts w:cs="Times New Roman"/>
        </w:rPr>
        <w:t>provided to the FAD-IWG to inform their deliberations and recommendations to the Commission.</w:t>
      </w:r>
    </w:p>
    <w:p w14:paraId="6B6A1C4A" w14:textId="77777777" w:rsidR="0030620F" w:rsidRPr="004635E5" w:rsidRDefault="0030620F" w:rsidP="006633A8">
      <w:pPr>
        <w:pStyle w:val="WCPFC"/>
        <w:numPr>
          <w:ilvl w:val="0"/>
          <w:numId w:val="0"/>
        </w:numPr>
        <w:adjustRightInd w:val="0"/>
        <w:spacing w:after="0"/>
        <w:rPr>
          <w:rFonts w:cs="Times New Roman"/>
        </w:rPr>
      </w:pPr>
    </w:p>
    <w:p w14:paraId="60CC23B0" w14:textId="77777777" w:rsidR="00436192" w:rsidRPr="004635E5" w:rsidRDefault="003507E8" w:rsidP="006633A8">
      <w:pPr>
        <w:pStyle w:val="WCPFC"/>
        <w:adjustRightInd w:val="0"/>
        <w:spacing w:after="0"/>
        <w:ind w:left="0" w:firstLine="0"/>
        <w:rPr>
          <w:rFonts w:cs="Times New Roman"/>
        </w:rPr>
      </w:pPr>
      <w:r w:rsidRPr="004635E5">
        <w:rPr>
          <w:rFonts w:cs="Times New Roman"/>
        </w:rPr>
        <w:t xml:space="preserve">The </w:t>
      </w:r>
      <w:r w:rsidR="00A8102F" w:rsidRPr="004635E5">
        <w:rPr>
          <w:rFonts w:cs="Times New Roman"/>
        </w:rPr>
        <w:t xml:space="preserve">EU </w:t>
      </w:r>
      <w:r w:rsidRPr="004635E5">
        <w:rPr>
          <w:rFonts w:cs="Times New Roman"/>
        </w:rPr>
        <w:t>noted the importance of the work</w:t>
      </w:r>
      <w:r w:rsidR="00A8102F" w:rsidRPr="004635E5">
        <w:rPr>
          <w:rFonts w:cs="Times New Roman"/>
        </w:rPr>
        <w:t xml:space="preserve">, </w:t>
      </w:r>
      <w:r w:rsidRPr="004635E5">
        <w:rPr>
          <w:rFonts w:cs="Times New Roman"/>
        </w:rPr>
        <w:t xml:space="preserve">stating that while </w:t>
      </w:r>
      <w:r w:rsidR="00A8102F" w:rsidRPr="004635E5">
        <w:rPr>
          <w:rFonts w:cs="Times New Roman"/>
        </w:rPr>
        <w:t xml:space="preserve">limits </w:t>
      </w:r>
      <w:r w:rsidRPr="004635E5">
        <w:rPr>
          <w:rFonts w:cs="Times New Roman"/>
        </w:rPr>
        <w:t xml:space="preserve">had been </w:t>
      </w:r>
      <w:r w:rsidR="00A8102F" w:rsidRPr="004635E5">
        <w:rPr>
          <w:rFonts w:cs="Times New Roman"/>
        </w:rPr>
        <w:t>enacted, anal</w:t>
      </w:r>
      <w:r w:rsidR="00436192" w:rsidRPr="004635E5">
        <w:rPr>
          <w:rFonts w:cs="Times New Roman"/>
        </w:rPr>
        <w:t>y</w:t>
      </w:r>
      <w:r w:rsidR="00A8102F" w:rsidRPr="004635E5">
        <w:rPr>
          <w:rFonts w:cs="Times New Roman"/>
        </w:rPr>
        <w:t xml:space="preserve">sis </w:t>
      </w:r>
      <w:r w:rsidRPr="004635E5">
        <w:rPr>
          <w:rFonts w:cs="Times New Roman"/>
        </w:rPr>
        <w:t xml:space="preserve">was </w:t>
      </w:r>
      <w:r w:rsidR="00A8102F" w:rsidRPr="004635E5">
        <w:rPr>
          <w:rFonts w:cs="Times New Roman"/>
        </w:rPr>
        <w:t>needed</w:t>
      </w:r>
      <w:r w:rsidR="00436192" w:rsidRPr="004635E5">
        <w:rPr>
          <w:rFonts w:cs="Times New Roman"/>
        </w:rPr>
        <w:t xml:space="preserve"> </w:t>
      </w:r>
      <w:r w:rsidR="00A8102F" w:rsidRPr="004635E5">
        <w:rPr>
          <w:rFonts w:cs="Times New Roman"/>
        </w:rPr>
        <w:t xml:space="preserve">to assess whether </w:t>
      </w:r>
      <w:r w:rsidRPr="004635E5">
        <w:rPr>
          <w:rFonts w:cs="Times New Roman"/>
        </w:rPr>
        <w:t xml:space="preserve">the </w:t>
      </w:r>
      <w:r w:rsidR="00A8102F" w:rsidRPr="004635E5">
        <w:rPr>
          <w:rFonts w:cs="Times New Roman"/>
        </w:rPr>
        <w:t xml:space="preserve">level </w:t>
      </w:r>
      <w:r w:rsidR="0041022C" w:rsidRPr="004635E5">
        <w:rPr>
          <w:rFonts w:cs="Times New Roman"/>
        </w:rPr>
        <w:t xml:space="preserve">was </w:t>
      </w:r>
      <w:r w:rsidR="00A8102F" w:rsidRPr="004635E5">
        <w:rPr>
          <w:rFonts w:cs="Times New Roman"/>
        </w:rPr>
        <w:t xml:space="preserve">correct. </w:t>
      </w:r>
      <w:r w:rsidRPr="004635E5">
        <w:rPr>
          <w:rFonts w:cs="Times New Roman"/>
        </w:rPr>
        <w:t xml:space="preserve">They </w:t>
      </w:r>
      <w:r w:rsidR="00436192" w:rsidRPr="004635E5">
        <w:rPr>
          <w:rFonts w:cs="Times New Roman"/>
        </w:rPr>
        <w:t>s</w:t>
      </w:r>
      <w:r w:rsidR="00A8102F" w:rsidRPr="004635E5">
        <w:rPr>
          <w:rFonts w:cs="Times New Roman"/>
        </w:rPr>
        <w:t>uggest</w:t>
      </w:r>
      <w:r w:rsidRPr="004635E5">
        <w:rPr>
          <w:rFonts w:cs="Times New Roman"/>
        </w:rPr>
        <w:t>ed</w:t>
      </w:r>
      <w:r w:rsidR="00A8102F" w:rsidRPr="004635E5">
        <w:rPr>
          <w:rFonts w:cs="Times New Roman"/>
        </w:rPr>
        <w:t xml:space="preserve"> a </w:t>
      </w:r>
      <w:r w:rsidR="00436192" w:rsidRPr="004635E5">
        <w:rPr>
          <w:rFonts w:cs="Times New Roman"/>
        </w:rPr>
        <w:t>recommendation</w:t>
      </w:r>
      <w:r w:rsidR="00A8102F" w:rsidRPr="004635E5">
        <w:rPr>
          <w:rFonts w:cs="Times New Roman"/>
        </w:rPr>
        <w:t xml:space="preserve"> that </w:t>
      </w:r>
      <w:r w:rsidR="00436192" w:rsidRPr="004635E5">
        <w:rPr>
          <w:rFonts w:cs="Times New Roman"/>
        </w:rPr>
        <w:t xml:space="preserve">addresses the </w:t>
      </w:r>
      <w:r w:rsidR="00A8102F" w:rsidRPr="004635E5">
        <w:rPr>
          <w:rFonts w:cs="Times New Roman"/>
        </w:rPr>
        <w:t xml:space="preserve">numbers of active </w:t>
      </w:r>
      <w:r w:rsidR="008C3D7E" w:rsidRPr="004635E5">
        <w:rPr>
          <w:rFonts w:cs="Times New Roman"/>
        </w:rPr>
        <w:t xml:space="preserve">FADs </w:t>
      </w:r>
      <w:r w:rsidR="00A8102F" w:rsidRPr="004635E5">
        <w:rPr>
          <w:rFonts w:cs="Times New Roman"/>
        </w:rPr>
        <w:t>f</w:t>
      </w:r>
      <w:r w:rsidR="00436192" w:rsidRPr="004635E5">
        <w:rPr>
          <w:rFonts w:cs="Times New Roman"/>
        </w:rPr>
        <w:t>o</w:t>
      </w:r>
      <w:r w:rsidR="00A8102F" w:rsidRPr="004635E5">
        <w:rPr>
          <w:rFonts w:cs="Times New Roman"/>
        </w:rPr>
        <w:t xml:space="preserve">llowed by </w:t>
      </w:r>
      <w:r w:rsidR="00436192" w:rsidRPr="004635E5">
        <w:rPr>
          <w:rFonts w:cs="Times New Roman"/>
        </w:rPr>
        <w:t xml:space="preserve">a </w:t>
      </w:r>
      <w:r w:rsidR="00A8102F" w:rsidRPr="004635E5">
        <w:rPr>
          <w:rFonts w:cs="Times New Roman"/>
        </w:rPr>
        <w:t>vessel</w:t>
      </w:r>
      <w:r w:rsidR="00436192" w:rsidRPr="004635E5">
        <w:rPr>
          <w:rFonts w:cs="Times New Roman"/>
        </w:rPr>
        <w:t>,</w:t>
      </w:r>
      <w:r w:rsidR="00A8102F" w:rsidRPr="004635E5">
        <w:rPr>
          <w:rFonts w:cs="Times New Roman"/>
        </w:rPr>
        <w:t xml:space="preserve"> and </w:t>
      </w:r>
      <w:r w:rsidR="00436192" w:rsidRPr="004635E5">
        <w:rPr>
          <w:rFonts w:cs="Times New Roman"/>
        </w:rPr>
        <w:t xml:space="preserve">that </w:t>
      </w:r>
      <w:r w:rsidR="00A8102F" w:rsidRPr="004635E5">
        <w:rPr>
          <w:rFonts w:cs="Times New Roman"/>
        </w:rPr>
        <w:t xml:space="preserve">density </w:t>
      </w:r>
      <w:r w:rsidR="00436192" w:rsidRPr="004635E5">
        <w:rPr>
          <w:rFonts w:cs="Times New Roman"/>
        </w:rPr>
        <w:t>data (1 x</w:t>
      </w:r>
      <w:r w:rsidR="00A8102F" w:rsidRPr="004635E5">
        <w:rPr>
          <w:rFonts w:cs="Times New Roman"/>
        </w:rPr>
        <w:t>1 degree per</w:t>
      </w:r>
      <w:r w:rsidR="00436192" w:rsidRPr="004635E5">
        <w:rPr>
          <w:rFonts w:cs="Times New Roman"/>
        </w:rPr>
        <w:t xml:space="preserve"> </w:t>
      </w:r>
      <w:r w:rsidR="00A8102F" w:rsidRPr="004635E5">
        <w:rPr>
          <w:rFonts w:cs="Times New Roman"/>
        </w:rPr>
        <w:t>month</w:t>
      </w:r>
      <w:r w:rsidR="00436192" w:rsidRPr="004635E5">
        <w:rPr>
          <w:rFonts w:cs="Times New Roman"/>
        </w:rPr>
        <w:t>)</w:t>
      </w:r>
      <w:r w:rsidR="00A8102F" w:rsidRPr="004635E5">
        <w:rPr>
          <w:rFonts w:cs="Times New Roman"/>
        </w:rPr>
        <w:t xml:space="preserve"> be provided.</w:t>
      </w:r>
      <w:r w:rsidR="008C3D7E" w:rsidRPr="004635E5">
        <w:rPr>
          <w:rFonts w:cs="Times New Roman"/>
        </w:rPr>
        <w:t xml:space="preserve"> </w:t>
      </w:r>
      <w:r w:rsidR="00436192" w:rsidRPr="004635E5">
        <w:rPr>
          <w:rFonts w:cs="Times New Roman"/>
        </w:rPr>
        <w:t xml:space="preserve">They inquired whether </w:t>
      </w:r>
      <w:r w:rsidR="00A8102F" w:rsidRPr="004635E5">
        <w:rPr>
          <w:rFonts w:cs="Times New Roman"/>
        </w:rPr>
        <w:t xml:space="preserve">there </w:t>
      </w:r>
      <w:r w:rsidR="00436192" w:rsidRPr="004635E5">
        <w:rPr>
          <w:rFonts w:cs="Times New Roman"/>
        </w:rPr>
        <w:t xml:space="preserve">was </w:t>
      </w:r>
      <w:r w:rsidR="00A8102F" w:rsidRPr="004635E5">
        <w:rPr>
          <w:rFonts w:cs="Times New Roman"/>
        </w:rPr>
        <w:t>info</w:t>
      </w:r>
      <w:r w:rsidR="00436192" w:rsidRPr="004635E5">
        <w:rPr>
          <w:rFonts w:cs="Times New Roman"/>
        </w:rPr>
        <w:t>rmation on deployment by</w:t>
      </w:r>
      <w:r w:rsidR="00A8102F" w:rsidRPr="004635E5">
        <w:rPr>
          <w:rFonts w:cs="Times New Roman"/>
        </w:rPr>
        <w:t xml:space="preserve"> other vessels. </w:t>
      </w:r>
      <w:r w:rsidR="00436192" w:rsidRPr="004635E5">
        <w:rPr>
          <w:rFonts w:cs="Times New Roman"/>
        </w:rPr>
        <w:t xml:space="preserve">L. Escalle replied that they had </w:t>
      </w:r>
      <w:r w:rsidR="00A8102F" w:rsidRPr="004635E5">
        <w:rPr>
          <w:rFonts w:cs="Times New Roman"/>
        </w:rPr>
        <w:t xml:space="preserve">not considered this. </w:t>
      </w:r>
      <w:r w:rsidR="00436192" w:rsidRPr="004635E5">
        <w:rPr>
          <w:rFonts w:cs="Times New Roman"/>
        </w:rPr>
        <w:t xml:space="preserve">The </w:t>
      </w:r>
      <w:r w:rsidR="00A8102F" w:rsidRPr="004635E5">
        <w:rPr>
          <w:rFonts w:cs="Times New Roman"/>
        </w:rPr>
        <w:t xml:space="preserve">only </w:t>
      </w:r>
      <w:r w:rsidR="00436192" w:rsidRPr="004635E5">
        <w:rPr>
          <w:rFonts w:cs="Times New Roman"/>
        </w:rPr>
        <w:t xml:space="preserve">potential data is the FAD origin; </w:t>
      </w:r>
      <w:r w:rsidR="00A8102F" w:rsidRPr="004635E5">
        <w:rPr>
          <w:rFonts w:cs="Times New Roman"/>
        </w:rPr>
        <w:t>poss</w:t>
      </w:r>
      <w:r w:rsidR="00436192" w:rsidRPr="004635E5">
        <w:rPr>
          <w:rFonts w:cs="Times New Roman"/>
        </w:rPr>
        <w:t>ibly</w:t>
      </w:r>
      <w:r w:rsidR="00A8102F" w:rsidRPr="004635E5">
        <w:rPr>
          <w:rFonts w:cs="Times New Roman"/>
        </w:rPr>
        <w:t xml:space="preserve"> </w:t>
      </w:r>
      <w:r w:rsidR="00436192" w:rsidRPr="004635E5">
        <w:rPr>
          <w:rFonts w:cs="Times New Roman"/>
        </w:rPr>
        <w:t xml:space="preserve">the </w:t>
      </w:r>
      <w:r w:rsidR="00A8102F" w:rsidRPr="004635E5">
        <w:rPr>
          <w:rFonts w:cs="Times New Roman"/>
        </w:rPr>
        <w:t>obs</w:t>
      </w:r>
      <w:r w:rsidR="00436192" w:rsidRPr="004635E5">
        <w:rPr>
          <w:rFonts w:cs="Times New Roman"/>
        </w:rPr>
        <w:t>erver</w:t>
      </w:r>
      <w:r w:rsidR="00A8102F" w:rsidRPr="004635E5">
        <w:rPr>
          <w:rFonts w:cs="Times New Roman"/>
        </w:rPr>
        <w:t xml:space="preserve"> can record if a </w:t>
      </w:r>
      <w:r w:rsidR="00436192" w:rsidRPr="004635E5">
        <w:rPr>
          <w:rFonts w:cs="Times New Roman"/>
        </w:rPr>
        <w:t xml:space="preserve">FAD </w:t>
      </w:r>
      <w:r w:rsidR="00A8102F" w:rsidRPr="004635E5">
        <w:rPr>
          <w:rFonts w:cs="Times New Roman"/>
        </w:rPr>
        <w:t xml:space="preserve">belongs to a supply vessel. </w:t>
      </w:r>
      <w:r w:rsidR="00436192" w:rsidRPr="004635E5">
        <w:rPr>
          <w:rFonts w:cs="Times New Roman"/>
        </w:rPr>
        <w:t xml:space="preserve">This </w:t>
      </w:r>
      <w:r w:rsidR="0041022C" w:rsidRPr="004635E5">
        <w:rPr>
          <w:rFonts w:cs="Times New Roman"/>
        </w:rPr>
        <w:t xml:space="preserve">was </w:t>
      </w:r>
      <w:r w:rsidR="00436192" w:rsidRPr="004635E5">
        <w:rPr>
          <w:rFonts w:cs="Times New Roman"/>
        </w:rPr>
        <w:t>recorded o</w:t>
      </w:r>
      <w:r w:rsidR="00A8102F" w:rsidRPr="004635E5">
        <w:rPr>
          <w:rFonts w:cs="Times New Roman"/>
        </w:rPr>
        <w:t>nly occasionally</w:t>
      </w:r>
      <w:r w:rsidR="00436192" w:rsidRPr="004635E5">
        <w:rPr>
          <w:rFonts w:cs="Times New Roman"/>
        </w:rPr>
        <w:t>,</w:t>
      </w:r>
      <w:r w:rsidR="00A8102F" w:rsidRPr="004635E5">
        <w:rPr>
          <w:rFonts w:cs="Times New Roman"/>
        </w:rPr>
        <w:t xml:space="preserve"> and </w:t>
      </w:r>
      <w:r w:rsidR="008C3D7E" w:rsidRPr="004635E5">
        <w:rPr>
          <w:rFonts w:cs="Times New Roman"/>
        </w:rPr>
        <w:t xml:space="preserve">for </w:t>
      </w:r>
      <w:r w:rsidR="00A8102F" w:rsidRPr="004635E5">
        <w:rPr>
          <w:rFonts w:cs="Times New Roman"/>
        </w:rPr>
        <w:t>domestic ves</w:t>
      </w:r>
      <w:r w:rsidR="008C3D7E" w:rsidRPr="004635E5">
        <w:rPr>
          <w:rFonts w:cs="Times New Roman"/>
        </w:rPr>
        <w:t>s</w:t>
      </w:r>
      <w:r w:rsidR="00436192" w:rsidRPr="004635E5">
        <w:rPr>
          <w:rFonts w:cs="Times New Roman"/>
        </w:rPr>
        <w:t>el</w:t>
      </w:r>
      <w:r w:rsidR="00A8102F" w:rsidRPr="004635E5">
        <w:rPr>
          <w:rFonts w:cs="Times New Roman"/>
        </w:rPr>
        <w:t xml:space="preserve">s. </w:t>
      </w:r>
    </w:p>
    <w:p w14:paraId="12820ADB" w14:textId="77777777" w:rsidR="0030620F" w:rsidRPr="004635E5" w:rsidRDefault="0030620F" w:rsidP="006633A8">
      <w:pPr>
        <w:pStyle w:val="WCPFC"/>
        <w:numPr>
          <w:ilvl w:val="0"/>
          <w:numId w:val="0"/>
        </w:numPr>
        <w:adjustRightInd w:val="0"/>
        <w:spacing w:after="0"/>
        <w:rPr>
          <w:rFonts w:cs="Times New Roman"/>
        </w:rPr>
      </w:pPr>
    </w:p>
    <w:p w14:paraId="21E726F6" w14:textId="77777777" w:rsidR="00436192" w:rsidRPr="004635E5" w:rsidRDefault="00436192" w:rsidP="006633A8">
      <w:pPr>
        <w:pStyle w:val="WCPFC"/>
        <w:adjustRightInd w:val="0"/>
        <w:spacing w:after="0"/>
        <w:ind w:left="0" w:firstLine="0"/>
        <w:rPr>
          <w:rFonts w:cs="Times New Roman"/>
        </w:rPr>
      </w:pPr>
      <w:r w:rsidRPr="004635E5">
        <w:rPr>
          <w:rFonts w:cs="Times New Roman"/>
        </w:rPr>
        <w:t xml:space="preserve">Tokelau commented that the number of FADs in the water </w:t>
      </w:r>
      <w:r w:rsidR="0041022C" w:rsidRPr="004635E5">
        <w:rPr>
          <w:rFonts w:cs="Times New Roman"/>
        </w:rPr>
        <w:t xml:space="preserve">was </w:t>
      </w:r>
      <w:r w:rsidRPr="004635E5">
        <w:rPr>
          <w:rFonts w:cs="Times New Roman"/>
        </w:rPr>
        <w:t>a global concern</w:t>
      </w:r>
      <w:r w:rsidR="0041022C" w:rsidRPr="004635E5">
        <w:rPr>
          <w:rFonts w:cs="Times New Roman"/>
        </w:rPr>
        <w:t>, and PNA noted</w:t>
      </w:r>
      <w:r w:rsidRPr="004635E5">
        <w:rPr>
          <w:rFonts w:cs="Times New Roman"/>
        </w:rPr>
        <w:t xml:space="preserve"> that several RFMOs have now implemented limits</w:t>
      </w:r>
      <w:r w:rsidR="00A16680" w:rsidRPr="004635E5">
        <w:rPr>
          <w:rFonts w:cs="Times New Roman"/>
        </w:rPr>
        <w:t xml:space="preserve">. </w:t>
      </w:r>
      <w:r w:rsidR="0041022C" w:rsidRPr="004635E5">
        <w:rPr>
          <w:rFonts w:cs="Times New Roman"/>
        </w:rPr>
        <w:t xml:space="preserve">They </w:t>
      </w:r>
      <w:r w:rsidRPr="004635E5">
        <w:rPr>
          <w:rFonts w:cs="Times New Roman"/>
        </w:rPr>
        <w:t>thank</w:t>
      </w:r>
      <w:r w:rsidR="0041022C" w:rsidRPr="004635E5">
        <w:rPr>
          <w:rFonts w:cs="Times New Roman"/>
        </w:rPr>
        <w:t>ed</w:t>
      </w:r>
      <w:r w:rsidRPr="004635E5">
        <w:rPr>
          <w:rFonts w:cs="Times New Roman"/>
        </w:rPr>
        <w:t xml:space="preserve"> SPC for </w:t>
      </w:r>
      <w:r w:rsidR="0041022C" w:rsidRPr="004635E5">
        <w:rPr>
          <w:rFonts w:cs="Times New Roman"/>
        </w:rPr>
        <w:t xml:space="preserve">the </w:t>
      </w:r>
      <w:r w:rsidRPr="004635E5">
        <w:rPr>
          <w:rFonts w:cs="Times New Roman"/>
        </w:rPr>
        <w:t xml:space="preserve">paper that comprehensively shows that the limit </w:t>
      </w:r>
      <w:r w:rsidR="0041022C" w:rsidRPr="004635E5">
        <w:rPr>
          <w:rFonts w:cs="Times New Roman"/>
        </w:rPr>
        <w:t xml:space="preserve">of </w:t>
      </w:r>
      <w:r w:rsidRPr="004635E5">
        <w:rPr>
          <w:rFonts w:cs="Times New Roman"/>
        </w:rPr>
        <w:t xml:space="preserve">350 active FADs is completely meaningless </w:t>
      </w:r>
      <w:r w:rsidR="0041022C" w:rsidRPr="004635E5">
        <w:rPr>
          <w:rFonts w:cs="Times New Roman"/>
        </w:rPr>
        <w:t xml:space="preserve">in terms of </w:t>
      </w:r>
      <w:r w:rsidRPr="004635E5">
        <w:rPr>
          <w:rFonts w:cs="Times New Roman"/>
        </w:rPr>
        <w:t>constrain</w:t>
      </w:r>
      <w:r w:rsidR="0041022C" w:rsidRPr="004635E5">
        <w:rPr>
          <w:rFonts w:cs="Times New Roman"/>
        </w:rPr>
        <w:t>ing or reducing</w:t>
      </w:r>
      <w:r w:rsidRPr="004635E5">
        <w:rPr>
          <w:rFonts w:cs="Times New Roman"/>
        </w:rPr>
        <w:t xml:space="preserve"> the number of FADs in the water. In addition to the marine pollution and habitat destruction issues that such high FAD numbers could pose, PNA is deeply concerned about the possible relationship between FAD density and skipjack CPUE. </w:t>
      </w:r>
      <w:r w:rsidR="0041022C" w:rsidRPr="004635E5">
        <w:rPr>
          <w:rFonts w:cs="Times New Roman"/>
        </w:rPr>
        <w:t xml:space="preserve">They </w:t>
      </w:r>
      <w:r w:rsidRPr="004635E5">
        <w:rPr>
          <w:rFonts w:cs="Times New Roman"/>
        </w:rPr>
        <w:t>note</w:t>
      </w:r>
      <w:r w:rsidR="0041022C" w:rsidRPr="004635E5">
        <w:rPr>
          <w:rFonts w:cs="Times New Roman"/>
        </w:rPr>
        <w:t>d</w:t>
      </w:r>
      <w:r w:rsidRPr="004635E5">
        <w:rPr>
          <w:rFonts w:cs="Times New Roman"/>
        </w:rPr>
        <w:t xml:space="preserve"> that providing definitive advice on a FAD limit </w:t>
      </w:r>
      <w:r w:rsidR="0041022C" w:rsidRPr="004635E5">
        <w:rPr>
          <w:rFonts w:cs="Times New Roman"/>
        </w:rPr>
        <w:t xml:space="preserve">was </w:t>
      </w:r>
      <w:r w:rsidRPr="004635E5">
        <w:rPr>
          <w:rFonts w:cs="Times New Roman"/>
        </w:rPr>
        <w:t xml:space="preserve">assigned to the FAD working group chaired by </w:t>
      </w:r>
      <w:r w:rsidR="00270656" w:rsidRPr="004635E5">
        <w:rPr>
          <w:rFonts w:cs="Times New Roman"/>
        </w:rPr>
        <w:t>Federated States of Micronesia</w:t>
      </w:r>
      <w:r w:rsidRPr="004635E5">
        <w:rPr>
          <w:rFonts w:cs="Times New Roman"/>
        </w:rPr>
        <w:t xml:space="preserve"> rather than to SC, but PNA members propose</w:t>
      </w:r>
      <w:r w:rsidR="0041022C" w:rsidRPr="004635E5">
        <w:rPr>
          <w:rFonts w:cs="Times New Roman"/>
        </w:rPr>
        <w:t>d</w:t>
      </w:r>
      <w:r w:rsidRPr="004635E5">
        <w:rPr>
          <w:rFonts w:cs="Times New Roman"/>
        </w:rPr>
        <w:t xml:space="preserve"> that the advice from </w:t>
      </w:r>
      <w:r w:rsidR="006E5FCF">
        <w:rPr>
          <w:rFonts w:cs="Times New Roman" w:hint="eastAsia"/>
          <w:lang w:eastAsia="ko-KR"/>
        </w:rPr>
        <w:t xml:space="preserve">the </w:t>
      </w:r>
      <w:r w:rsidRPr="004635E5">
        <w:rPr>
          <w:rFonts w:cs="Times New Roman"/>
        </w:rPr>
        <w:t xml:space="preserve">SC should very clearly note that the current limit of 350 per vessel </w:t>
      </w:r>
      <w:r w:rsidR="0041022C" w:rsidRPr="004635E5">
        <w:rPr>
          <w:rFonts w:cs="Times New Roman"/>
        </w:rPr>
        <w:t xml:space="preserve">was </w:t>
      </w:r>
      <w:r w:rsidRPr="004635E5">
        <w:rPr>
          <w:rFonts w:cs="Times New Roman"/>
        </w:rPr>
        <w:t xml:space="preserve">clearly far too high and would allow for an increase of over 100% given the conclusion that the average vessel at the moment has around 117 FADs in the water at any time. PNA </w:t>
      </w:r>
      <w:r w:rsidR="0041022C" w:rsidRPr="004635E5">
        <w:rPr>
          <w:rFonts w:cs="Times New Roman"/>
        </w:rPr>
        <w:t xml:space="preserve">stated its </w:t>
      </w:r>
      <w:r w:rsidRPr="004635E5">
        <w:rPr>
          <w:rFonts w:cs="Times New Roman"/>
        </w:rPr>
        <w:t xml:space="preserve">objectives in determining a more appropriate limit are: </w:t>
      </w:r>
    </w:p>
    <w:p w14:paraId="3BCE7612" w14:textId="77777777" w:rsidR="00436192" w:rsidRPr="004635E5" w:rsidRDefault="00436192" w:rsidP="00580EA4">
      <w:pPr>
        <w:pStyle w:val="WCPFC"/>
        <w:numPr>
          <w:ilvl w:val="0"/>
          <w:numId w:val="35"/>
        </w:numPr>
        <w:adjustRightInd w:val="0"/>
        <w:spacing w:after="0"/>
        <w:rPr>
          <w:rFonts w:cs="Times New Roman"/>
        </w:rPr>
      </w:pPr>
      <w:r w:rsidRPr="004635E5">
        <w:rPr>
          <w:rFonts w:cs="Times New Roman"/>
        </w:rPr>
        <w:t>to reduce the amount of marine debris, synthetic pollution and beaching events generated by FAD deployment; and</w:t>
      </w:r>
    </w:p>
    <w:p w14:paraId="7A946E0C" w14:textId="77777777" w:rsidR="00436192" w:rsidRPr="004635E5" w:rsidRDefault="0041022C" w:rsidP="00580EA4">
      <w:pPr>
        <w:pStyle w:val="WCPFC"/>
        <w:numPr>
          <w:ilvl w:val="0"/>
          <w:numId w:val="35"/>
        </w:numPr>
        <w:adjustRightInd w:val="0"/>
        <w:spacing w:after="0"/>
        <w:rPr>
          <w:rFonts w:cs="Times New Roman"/>
        </w:rPr>
      </w:pPr>
      <w:r w:rsidRPr="004635E5">
        <w:rPr>
          <w:rFonts w:cs="Times New Roman"/>
        </w:rPr>
        <w:t>t</w:t>
      </w:r>
      <w:r w:rsidR="00436192" w:rsidRPr="004635E5">
        <w:rPr>
          <w:rFonts w:cs="Times New Roman"/>
        </w:rPr>
        <w:t>o avoid any economic impacts on the purse seine fishery through reduced CPUE.</w:t>
      </w:r>
    </w:p>
    <w:p w14:paraId="2B4EB693" w14:textId="77777777" w:rsidR="002E39E9" w:rsidRPr="004635E5" w:rsidRDefault="002E39E9" w:rsidP="006633A8">
      <w:pPr>
        <w:pStyle w:val="WCPFC"/>
        <w:numPr>
          <w:ilvl w:val="0"/>
          <w:numId w:val="0"/>
        </w:numPr>
        <w:adjustRightInd w:val="0"/>
        <w:spacing w:after="0"/>
        <w:ind w:left="720"/>
        <w:rPr>
          <w:rFonts w:cs="Times New Roman"/>
        </w:rPr>
      </w:pPr>
    </w:p>
    <w:p w14:paraId="05BEF4C1" w14:textId="77777777" w:rsidR="00D93583" w:rsidRPr="004635E5" w:rsidRDefault="00D93583" w:rsidP="006633A8">
      <w:pPr>
        <w:pStyle w:val="WCPFC"/>
        <w:adjustRightInd w:val="0"/>
        <w:spacing w:after="0"/>
        <w:ind w:left="0" w:firstLine="0"/>
        <w:rPr>
          <w:rFonts w:cs="Times New Roman"/>
        </w:rPr>
      </w:pPr>
      <w:r w:rsidRPr="004635E5">
        <w:rPr>
          <w:rFonts w:cs="Times New Roman"/>
        </w:rPr>
        <w:t>K</w:t>
      </w:r>
      <w:r w:rsidR="002C6F79" w:rsidRPr="004635E5">
        <w:rPr>
          <w:rFonts w:cs="Times New Roman"/>
        </w:rPr>
        <w:t>o</w:t>
      </w:r>
      <w:r w:rsidRPr="004635E5">
        <w:rPr>
          <w:rFonts w:cs="Times New Roman"/>
        </w:rPr>
        <w:t>rea</w:t>
      </w:r>
      <w:r w:rsidR="003E6549" w:rsidRPr="004635E5">
        <w:rPr>
          <w:rFonts w:cs="Times New Roman"/>
        </w:rPr>
        <w:t xml:space="preserve"> asked what type of FADs were used as the data source for the paper, and encouraged the </w:t>
      </w:r>
      <w:r w:rsidRPr="004635E5">
        <w:rPr>
          <w:rFonts w:cs="Times New Roman"/>
        </w:rPr>
        <w:t xml:space="preserve">use </w:t>
      </w:r>
      <w:r w:rsidR="003E6549" w:rsidRPr="004635E5">
        <w:rPr>
          <w:rFonts w:cs="Times New Roman"/>
        </w:rPr>
        <w:t>of data from a</w:t>
      </w:r>
      <w:r w:rsidRPr="004635E5">
        <w:rPr>
          <w:rFonts w:cs="Times New Roman"/>
        </w:rPr>
        <w:t>nchor</w:t>
      </w:r>
      <w:r w:rsidR="0041022C" w:rsidRPr="004635E5">
        <w:rPr>
          <w:rFonts w:cs="Times New Roman"/>
        </w:rPr>
        <w:t>ed</w:t>
      </w:r>
      <w:r w:rsidRPr="004635E5">
        <w:rPr>
          <w:rFonts w:cs="Times New Roman"/>
        </w:rPr>
        <w:t xml:space="preserve"> </w:t>
      </w:r>
      <w:r w:rsidR="009F5A34" w:rsidRPr="004635E5">
        <w:rPr>
          <w:rFonts w:cs="Times New Roman"/>
        </w:rPr>
        <w:t>FADs</w:t>
      </w:r>
      <w:r w:rsidR="003E6549" w:rsidRPr="004635E5">
        <w:rPr>
          <w:rFonts w:cs="Times New Roman"/>
        </w:rPr>
        <w:t xml:space="preserve">, and separation of FAD types, and noted the benefits of continuing </w:t>
      </w:r>
      <w:r w:rsidR="00C154B9" w:rsidRPr="004635E5">
        <w:rPr>
          <w:rFonts w:cs="Times New Roman"/>
        </w:rPr>
        <w:t>work</w:t>
      </w:r>
      <w:r w:rsidRPr="004635E5">
        <w:rPr>
          <w:rFonts w:cs="Times New Roman"/>
        </w:rPr>
        <w:t xml:space="preserve"> on </w:t>
      </w:r>
      <w:r w:rsidR="00C154B9" w:rsidRPr="004635E5">
        <w:rPr>
          <w:rFonts w:cs="Times New Roman"/>
        </w:rPr>
        <w:t>FAD definitions</w:t>
      </w:r>
      <w:r w:rsidRPr="004635E5">
        <w:rPr>
          <w:rFonts w:cs="Times New Roman"/>
        </w:rPr>
        <w:t>.</w:t>
      </w:r>
      <w:r w:rsidR="002C6F79" w:rsidRPr="004635E5">
        <w:rPr>
          <w:rFonts w:cs="Times New Roman"/>
        </w:rPr>
        <w:t xml:space="preserve"> </w:t>
      </w:r>
      <w:r w:rsidR="00C154B9" w:rsidRPr="004635E5">
        <w:rPr>
          <w:rFonts w:cs="Times New Roman"/>
        </w:rPr>
        <w:t xml:space="preserve">L. Escalle noted that the research used data exclusively from </w:t>
      </w:r>
      <w:r w:rsidRPr="004635E5">
        <w:rPr>
          <w:rFonts w:cs="Times New Roman"/>
        </w:rPr>
        <w:t>drifting FADs.</w:t>
      </w:r>
    </w:p>
    <w:p w14:paraId="09C0514E" w14:textId="77777777" w:rsidR="0030620F" w:rsidRPr="004635E5" w:rsidRDefault="0030620F" w:rsidP="006633A8">
      <w:pPr>
        <w:pStyle w:val="WCPFC"/>
        <w:numPr>
          <w:ilvl w:val="0"/>
          <w:numId w:val="0"/>
        </w:numPr>
        <w:adjustRightInd w:val="0"/>
        <w:spacing w:after="0"/>
        <w:rPr>
          <w:rFonts w:cs="Times New Roman"/>
        </w:rPr>
      </w:pPr>
    </w:p>
    <w:p w14:paraId="31FBD1DD" w14:textId="77777777" w:rsidR="00436192" w:rsidRPr="004635E5" w:rsidRDefault="00D93583" w:rsidP="006633A8">
      <w:pPr>
        <w:pStyle w:val="WCPFC"/>
        <w:adjustRightInd w:val="0"/>
        <w:spacing w:after="0"/>
        <w:ind w:left="0" w:firstLine="0"/>
        <w:rPr>
          <w:rFonts w:cs="Times New Roman"/>
          <w:bCs/>
          <w:lang w:eastAsia="ko-KR"/>
        </w:rPr>
      </w:pPr>
      <w:r w:rsidRPr="004635E5">
        <w:rPr>
          <w:rFonts w:cs="Times New Roman"/>
        </w:rPr>
        <w:t xml:space="preserve">Indonesia </w:t>
      </w:r>
      <w:r w:rsidR="00C154B9" w:rsidRPr="004635E5">
        <w:rPr>
          <w:rFonts w:cs="Times New Roman"/>
        </w:rPr>
        <w:t xml:space="preserve">inquired about </w:t>
      </w:r>
      <w:r w:rsidRPr="004635E5">
        <w:rPr>
          <w:rFonts w:cs="Times New Roman"/>
        </w:rPr>
        <w:t xml:space="preserve">results of analysis </w:t>
      </w:r>
      <w:r w:rsidR="00731788" w:rsidRPr="004635E5">
        <w:rPr>
          <w:rFonts w:cs="Times New Roman"/>
        </w:rPr>
        <w:t xml:space="preserve">regarding influence of </w:t>
      </w:r>
      <w:r w:rsidR="009F5A34" w:rsidRPr="004635E5">
        <w:rPr>
          <w:rFonts w:cs="Times New Roman"/>
        </w:rPr>
        <w:t xml:space="preserve">FAD </w:t>
      </w:r>
      <w:r w:rsidR="00731788" w:rsidRPr="004635E5">
        <w:rPr>
          <w:rFonts w:cs="Times New Roman"/>
        </w:rPr>
        <w:t>densi</w:t>
      </w:r>
      <w:r w:rsidRPr="004635E5">
        <w:rPr>
          <w:rFonts w:cs="Times New Roman"/>
        </w:rPr>
        <w:t xml:space="preserve">ty on CPUE of the </w:t>
      </w:r>
      <w:r w:rsidR="00731788" w:rsidRPr="004635E5">
        <w:rPr>
          <w:rFonts w:cs="Times New Roman"/>
        </w:rPr>
        <w:t xml:space="preserve">FAD </w:t>
      </w:r>
      <w:r w:rsidRPr="004635E5">
        <w:rPr>
          <w:rFonts w:cs="Times New Roman"/>
        </w:rPr>
        <w:t>fishery</w:t>
      </w:r>
      <w:r w:rsidR="00731788" w:rsidRPr="004635E5">
        <w:rPr>
          <w:rFonts w:cs="Times New Roman"/>
        </w:rPr>
        <w:t xml:space="preserve">, and </w:t>
      </w:r>
      <w:r w:rsidRPr="004635E5">
        <w:rPr>
          <w:rFonts w:cs="Times New Roman"/>
        </w:rPr>
        <w:t xml:space="preserve">the influence on </w:t>
      </w:r>
      <w:r w:rsidR="004421B3" w:rsidRPr="004635E5">
        <w:rPr>
          <w:rFonts w:cs="Times New Roman"/>
        </w:rPr>
        <w:t>longline</w:t>
      </w:r>
      <w:r w:rsidRPr="004635E5">
        <w:rPr>
          <w:rFonts w:cs="Times New Roman"/>
        </w:rPr>
        <w:t xml:space="preserve"> and P&amp;L fishery CPUE. </w:t>
      </w:r>
      <w:r w:rsidR="00731788" w:rsidRPr="004635E5">
        <w:rPr>
          <w:rFonts w:cs="Times New Roman"/>
        </w:rPr>
        <w:t xml:space="preserve">L. Escalle </w:t>
      </w:r>
      <w:r w:rsidR="0041022C" w:rsidRPr="004635E5">
        <w:rPr>
          <w:rFonts w:cs="Times New Roman"/>
        </w:rPr>
        <w:t xml:space="preserve">stated </w:t>
      </w:r>
      <w:r w:rsidR="00731788" w:rsidRPr="004635E5">
        <w:rPr>
          <w:rFonts w:cs="Times New Roman"/>
        </w:rPr>
        <w:t xml:space="preserve">this had </w:t>
      </w:r>
      <w:r w:rsidRPr="004635E5">
        <w:rPr>
          <w:rFonts w:cs="Times New Roman"/>
        </w:rPr>
        <w:t xml:space="preserve">not </w:t>
      </w:r>
      <w:r w:rsidR="00731788" w:rsidRPr="004635E5">
        <w:rPr>
          <w:rFonts w:cs="Times New Roman"/>
        </w:rPr>
        <w:t>been analyzed</w:t>
      </w:r>
      <w:r w:rsidRPr="004635E5">
        <w:rPr>
          <w:rFonts w:cs="Times New Roman"/>
        </w:rPr>
        <w:t>. SPC</w:t>
      </w:r>
      <w:r w:rsidR="00731788" w:rsidRPr="004635E5">
        <w:rPr>
          <w:rFonts w:cs="Times New Roman"/>
        </w:rPr>
        <w:t xml:space="preserve"> indicated it would have to consider how to examine </w:t>
      </w:r>
      <w:r w:rsidRPr="004635E5">
        <w:rPr>
          <w:rFonts w:cs="Times New Roman"/>
        </w:rPr>
        <w:t>intera</w:t>
      </w:r>
      <w:r w:rsidR="00731788" w:rsidRPr="004635E5">
        <w:rPr>
          <w:rFonts w:cs="Times New Roman"/>
        </w:rPr>
        <w:t>c</w:t>
      </w:r>
      <w:r w:rsidR="009F5A34" w:rsidRPr="004635E5">
        <w:rPr>
          <w:rFonts w:cs="Times New Roman"/>
        </w:rPr>
        <w:t>tions w/ other fisheries.</w:t>
      </w:r>
      <w:r w:rsidRPr="004635E5">
        <w:rPr>
          <w:rFonts w:cs="Times New Roman"/>
          <w:bCs/>
          <w:lang w:eastAsia="ko-KR"/>
        </w:rPr>
        <w:t xml:space="preserve"> </w:t>
      </w:r>
    </w:p>
    <w:p w14:paraId="24AECB6D" w14:textId="77777777" w:rsidR="0030620F" w:rsidRPr="004635E5" w:rsidRDefault="0030620F" w:rsidP="006633A8">
      <w:pPr>
        <w:pStyle w:val="WCPFC"/>
        <w:numPr>
          <w:ilvl w:val="0"/>
          <w:numId w:val="0"/>
        </w:numPr>
        <w:adjustRightInd w:val="0"/>
        <w:spacing w:after="0"/>
        <w:rPr>
          <w:rFonts w:cs="Times New Roman"/>
          <w:bCs/>
          <w:lang w:eastAsia="ko-KR"/>
        </w:rPr>
      </w:pPr>
    </w:p>
    <w:p w14:paraId="60BEDAA7" w14:textId="77777777" w:rsidR="00436192" w:rsidRPr="004635E5" w:rsidRDefault="0041022C" w:rsidP="006633A8">
      <w:pPr>
        <w:pStyle w:val="WCPFC"/>
        <w:adjustRightInd w:val="0"/>
        <w:spacing w:after="0"/>
        <w:ind w:left="0" w:firstLine="0"/>
        <w:rPr>
          <w:rFonts w:cs="Times New Roman"/>
          <w:bCs/>
          <w:lang w:eastAsia="ko-KR"/>
        </w:rPr>
      </w:pPr>
      <w:r w:rsidRPr="004635E5">
        <w:rPr>
          <w:rFonts w:cs="Times New Roman"/>
          <w:bCs/>
          <w:lang w:eastAsia="ko-KR"/>
        </w:rPr>
        <w:t xml:space="preserve">The </w:t>
      </w:r>
      <w:r w:rsidR="00270656" w:rsidRPr="004635E5">
        <w:rPr>
          <w:rFonts w:cs="Times New Roman"/>
          <w:bCs/>
          <w:lang w:eastAsia="ko-KR"/>
        </w:rPr>
        <w:t>Federated States of Micronesia</w:t>
      </w:r>
      <w:r w:rsidR="00436192" w:rsidRPr="004635E5">
        <w:rPr>
          <w:rFonts w:cs="Times New Roman"/>
          <w:bCs/>
          <w:lang w:eastAsia="ko-KR"/>
        </w:rPr>
        <w:t xml:space="preserve"> commented that, as Tokelau </w:t>
      </w:r>
      <w:r w:rsidRPr="004635E5">
        <w:rPr>
          <w:rFonts w:cs="Times New Roman"/>
          <w:bCs/>
          <w:lang w:eastAsia="ko-KR"/>
        </w:rPr>
        <w:t xml:space="preserve">had </w:t>
      </w:r>
      <w:r w:rsidR="00436192" w:rsidRPr="004635E5">
        <w:rPr>
          <w:rFonts w:cs="Times New Roman"/>
          <w:bCs/>
          <w:lang w:eastAsia="ko-KR"/>
        </w:rPr>
        <w:t>stated, the SC</w:t>
      </w:r>
      <w:r w:rsidRPr="004635E5">
        <w:rPr>
          <w:rFonts w:cs="Times New Roman"/>
          <w:bCs/>
          <w:lang w:eastAsia="ko-KR"/>
        </w:rPr>
        <w:t>’s</w:t>
      </w:r>
      <w:r w:rsidR="00436192" w:rsidRPr="004635E5">
        <w:rPr>
          <w:rFonts w:cs="Times New Roman"/>
          <w:bCs/>
          <w:lang w:eastAsia="ko-KR"/>
        </w:rPr>
        <w:t xml:space="preserve"> advice to the FAD WG and the Commission should be to note that this analysis reveals that the limit of 350 FADs in </w:t>
      </w:r>
      <w:r w:rsidR="006E5FCF">
        <w:rPr>
          <w:rFonts w:cs="Times New Roman" w:hint="eastAsia"/>
          <w:bCs/>
          <w:lang w:eastAsia="ko-KR"/>
        </w:rPr>
        <w:t xml:space="preserve">CMM </w:t>
      </w:r>
      <w:r w:rsidR="00436192" w:rsidRPr="004635E5">
        <w:rPr>
          <w:rFonts w:cs="Times New Roman"/>
          <w:bCs/>
          <w:lang w:eastAsia="ko-KR"/>
        </w:rPr>
        <w:t>2017-01 is far too high and is therefore largely meaningless</w:t>
      </w:r>
      <w:r w:rsidR="00A16680" w:rsidRPr="004635E5">
        <w:rPr>
          <w:rFonts w:cs="Times New Roman"/>
          <w:bCs/>
          <w:lang w:eastAsia="ko-KR"/>
        </w:rPr>
        <w:t xml:space="preserve">. </w:t>
      </w:r>
      <w:r w:rsidRPr="004635E5">
        <w:rPr>
          <w:rFonts w:cs="Times New Roman"/>
          <w:bCs/>
          <w:lang w:eastAsia="ko-KR"/>
        </w:rPr>
        <w:t xml:space="preserve">FSM Stated they would </w:t>
      </w:r>
      <w:r w:rsidR="00436192" w:rsidRPr="004635E5">
        <w:rPr>
          <w:rFonts w:cs="Times New Roman"/>
          <w:bCs/>
          <w:lang w:eastAsia="ko-KR"/>
        </w:rPr>
        <w:t>be proposing a lower number to the FAD working group when it meets later this year. It is also important that the SC advice to the Commission notes the detected relationship in this paper between FAD density and CPUE in the purse seine fishery</w:t>
      </w:r>
      <w:r w:rsidR="00A16680" w:rsidRPr="004635E5">
        <w:rPr>
          <w:rFonts w:cs="Times New Roman"/>
          <w:bCs/>
          <w:lang w:eastAsia="ko-KR"/>
        </w:rPr>
        <w:t xml:space="preserve">. </w:t>
      </w:r>
      <w:r w:rsidR="00436192" w:rsidRPr="004635E5">
        <w:rPr>
          <w:rFonts w:cs="Times New Roman"/>
          <w:bCs/>
          <w:lang w:eastAsia="ko-KR"/>
        </w:rPr>
        <w:t>This is an important relationship to understand better if the Commission is to move forward in the development of harvest strategies.</w:t>
      </w:r>
    </w:p>
    <w:p w14:paraId="14D73281" w14:textId="77777777" w:rsidR="0030620F" w:rsidRPr="004635E5" w:rsidRDefault="0030620F" w:rsidP="006633A8">
      <w:pPr>
        <w:pStyle w:val="WCPFC"/>
        <w:numPr>
          <w:ilvl w:val="0"/>
          <w:numId w:val="0"/>
        </w:numPr>
        <w:adjustRightInd w:val="0"/>
        <w:spacing w:after="0"/>
        <w:rPr>
          <w:rFonts w:cs="Times New Roman"/>
          <w:bCs/>
          <w:lang w:eastAsia="ko-KR"/>
        </w:rPr>
      </w:pPr>
    </w:p>
    <w:p w14:paraId="1EB93FAE" w14:textId="77777777" w:rsidR="006F49D8" w:rsidRPr="004635E5" w:rsidRDefault="0041022C" w:rsidP="006633A8">
      <w:pPr>
        <w:pStyle w:val="WCPFC"/>
        <w:adjustRightInd w:val="0"/>
        <w:spacing w:after="0"/>
        <w:ind w:left="0" w:firstLine="0"/>
        <w:rPr>
          <w:rFonts w:cs="Times New Roman"/>
          <w:bCs/>
          <w:lang w:eastAsia="ko-KR"/>
        </w:rPr>
      </w:pPr>
      <w:r w:rsidRPr="004635E5">
        <w:rPr>
          <w:rFonts w:cs="Times New Roman"/>
          <w:bCs/>
          <w:lang w:eastAsia="ko-KR"/>
        </w:rPr>
        <w:t xml:space="preserve">The </w:t>
      </w:r>
      <w:r w:rsidR="006F49D8" w:rsidRPr="004635E5">
        <w:rPr>
          <w:rFonts w:cs="Times New Roman"/>
          <w:bCs/>
          <w:lang w:eastAsia="ko-KR"/>
        </w:rPr>
        <w:t>USA agreed that limiting FAD numbers ne</w:t>
      </w:r>
      <w:r w:rsidRPr="004635E5">
        <w:rPr>
          <w:rFonts w:cs="Times New Roman"/>
          <w:bCs/>
          <w:lang w:eastAsia="ko-KR"/>
        </w:rPr>
        <w:t>eded</w:t>
      </w:r>
      <w:r w:rsidR="006F49D8" w:rsidRPr="004635E5">
        <w:rPr>
          <w:rFonts w:cs="Times New Roman"/>
          <w:bCs/>
          <w:lang w:eastAsia="ko-KR"/>
        </w:rPr>
        <w:t xml:space="preserve"> to be pursued</w:t>
      </w:r>
      <w:r w:rsidRPr="004635E5">
        <w:rPr>
          <w:rFonts w:cs="Times New Roman"/>
          <w:bCs/>
          <w:lang w:eastAsia="ko-KR"/>
        </w:rPr>
        <w:t xml:space="preserve">, but suggested it </w:t>
      </w:r>
      <w:r w:rsidR="006F49D8" w:rsidRPr="004635E5">
        <w:rPr>
          <w:rFonts w:cs="Times New Roman"/>
          <w:bCs/>
          <w:lang w:eastAsia="ko-KR"/>
        </w:rPr>
        <w:t xml:space="preserve">be looked at very carefully to take into consideration a number of operational realities. </w:t>
      </w:r>
      <w:r w:rsidRPr="004635E5">
        <w:rPr>
          <w:rFonts w:cs="Times New Roman"/>
          <w:bCs/>
          <w:lang w:eastAsia="ko-KR"/>
        </w:rPr>
        <w:t xml:space="preserve">They made </w:t>
      </w:r>
      <w:r w:rsidR="006F49D8" w:rsidRPr="004635E5">
        <w:rPr>
          <w:rFonts w:cs="Times New Roman"/>
          <w:bCs/>
          <w:lang w:eastAsia="ko-KR"/>
        </w:rPr>
        <w:t>the following comments on counting FADs</w:t>
      </w:r>
      <w:r w:rsidR="002C6F79" w:rsidRPr="004635E5">
        <w:rPr>
          <w:rFonts w:cs="Times New Roman"/>
          <w:bCs/>
          <w:lang w:eastAsia="ko-KR"/>
        </w:rPr>
        <w:t>,</w:t>
      </w:r>
      <w:r w:rsidR="006F49D8" w:rsidRPr="004635E5">
        <w:rPr>
          <w:rFonts w:cs="Times New Roman"/>
          <w:bCs/>
          <w:lang w:eastAsia="ko-KR"/>
        </w:rPr>
        <w:t xml:space="preserve"> </w:t>
      </w:r>
      <w:r w:rsidRPr="004635E5">
        <w:rPr>
          <w:rFonts w:cs="Times New Roman"/>
          <w:bCs/>
          <w:lang w:eastAsia="ko-KR"/>
        </w:rPr>
        <w:t>which they stated represented</w:t>
      </w:r>
      <w:r w:rsidR="006F49D8" w:rsidRPr="004635E5">
        <w:rPr>
          <w:rFonts w:cs="Times New Roman"/>
          <w:bCs/>
          <w:lang w:eastAsia="ko-KR"/>
        </w:rPr>
        <w:t xml:space="preserve"> a management issue</w:t>
      </w:r>
      <w:r w:rsidR="002C6F79" w:rsidRPr="004635E5">
        <w:rPr>
          <w:rFonts w:cs="Times New Roman"/>
          <w:bCs/>
          <w:lang w:eastAsia="ko-KR"/>
        </w:rPr>
        <w:t>:</w:t>
      </w:r>
      <w:r w:rsidR="006F49D8" w:rsidRPr="004635E5">
        <w:rPr>
          <w:rFonts w:cs="Times New Roman"/>
          <w:bCs/>
          <w:lang w:eastAsia="ko-KR"/>
        </w:rPr>
        <w:t xml:space="preserve"> </w:t>
      </w:r>
    </w:p>
    <w:p w14:paraId="43CCAE42" w14:textId="77777777" w:rsidR="006F49D8" w:rsidRPr="004635E5" w:rsidRDefault="006F49D8" w:rsidP="00580EA4">
      <w:pPr>
        <w:pStyle w:val="ListParagraph"/>
        <w:numPr>
          <w:ilvl w:val="0"/>
          <w:numId w:val="148"/>
        </w:numPr>
        <w:adjustRightInd w:val="0"/>
        <w:snapToGrid w:val="0"/>
        <w:rPr>
          <w:rFonts w:eastAsiaTheme="minorEastAsia"/>
          <w:bCs/>
          <w:sz w:val="22"/>
          <w:szCs w:val="22"/>
          <w:lang w:eastAsia="ko-KR"/>
        </w:rPr>
      </w:pPr>
      <w:r w:rsidRPr="004635E5">
        <w:rPr>
          <w:rFonts w:eastAsiaTheme="minorEastAsia"/>
          <w:bCs/>
          <w:sz w:val="22"/>
          <w:szCs w:val="22"/>
          <w:lang w:eastAsia="ko-KR"/>
        </w:rPr>
        <w:t xml:space="preserve">How </w:t>
      </w:r>
      <w:r w:rsidR="002C6F79" w:rsidRPr="004635E5">
        <w:rPr>
          <w:rFonts w:eastAsiaTheme="minorEastAsia"/>
          <w:bCs/>
          <w:sz w:val="22"/>
          <w:szCs w:val="22"/>
          <w:lang w:eastAsia="ko-KR"/>
        </w:rPr>
        <w:t xml:space="preserve">should </w:t>
      </w:r>
      <w:r w:rsidRPr="004635E5">
        <w:rPr>
          <w:rFonts w:eastAsiaTheme="minorEastAsia"/>
          <w:bCs/>
          <w:sz w:val="22"/>
          <w:szCs w:val="22"/>
          <w:lang w:eastAsia="ko-KR"/>
        </w:rPr>
        <w:t xml:space="preserve">FADs planted </w:t>
      </w:r>
      <w:r w:rsidR="006E5FCF" w:rsidRPr="004635E5">
        <w:rPr>
          <w:rFonts w:eastAsiaTheme="minorEastAsia"/>
          <w:bCs/>
          <w:sz w:val="22"/>
          <w:szCs w:val="22"/>
          <w:lang w:eastAsia="ko-KR"/>
        </w:rPr>
        <w:t xml:space="preserve">in the </w:t>
      </w:r>
      <w:r w:rsidR="006E5FCF">
        <w:rPr>
          <w:rFonts w:eastAsiaTheme="minorEastAsia"/>
          <w:bCs/>
          <w:sz w:val="22"/>
          <w:szCs w:val="22"/>
          <w:lang w:eastAsia="ko-KR"/>
        </w:rPr>
        <w:t>eastern Pacific Ocean (EPO)</w:t>
      </w:r>
      <w:r w:rsidR="006E5FCF" w:rsidRPr="004635E5">
        <w:rPr>
          <w:rFonts w:eastAsiaTheme="minorEastAsia"/>
          <w:bCs/>
          <w:sz w:val="22"/>
          <w:szCs w:val="22"/>
          <w:lang w:eastAsia="ko-KR"/>
        </w:rPr>
        <w:t xml:space="preserve"> that</w:t>
      </w:r>
      <w:r w:rsidR="002C6F79" w:rsidRPr="004635E5">
        <w:rPr>
          <w:rFonts w:eastAsiaTheme="minorEastAsia"/>
          <w:bCs/>
          <w:sz w:val="22"/>
          <w:szCs w:val="22"/>
          <w:lang w:eastAsia="ko-KR"/>
        </w:rPr>
        <w:t xml:space="preserve"> then drift</w:t>
      </w:r>
      <w:r w:rsidRPr="004635E5">
        <w:rPr>
          <w:rFonts w:eastAsiaTheme="minorEastAsia"/>
          <w:bCs/>
          <w:sz w:val="22"/>
          <w:szCs w:val="22"/>
          <w:lang w:eastAsia="ko-KR"/>
        </w:rPr>
        <w:t xml:space="preserve"> into the WCPFC </w:t>
      </w:r>
      <w:r w:rsidR="002C6F79" w:rsidRPr="004635E5">
        <w:rPr>
          <w:rFonts w:eastAsiaTheme="minorEastAsia"/>
          <w:bCs/>
          <w:sz w:val="22"/>
          <w:szCs w:val="22"/>
          <w:lang w:eastAsia="ko-KR"/>
        </w:rPr>
        <w:t xml:space="preserve">area </w:t>
      </w:r>
      <w:r w:rsidRPr="004635E5">
        <w:rPr>
          <w:rFonts w:eastAsiaTheme="minorEastAsia"/>
          <w:bCs/>
          <w:sz w:val="22"/>
          <w:szCs w:val="22"/>
          <w:lang w:eastAsia="ko-KR"/>
        </w:rPr>
        <w:t>be co</w:t>
      </w:r>
      <w:r w:rsidR="002C6F79" w:rsidRPr="004635E5">
        <w:rPr>
          <w:rFonts w:eastAsiaTheme="minorEastAsia"/>
          <w:bCs/>
          <w:sz w:val="22"/>
          <w:szCs w:val="22"/>
          <w:lang w:eastAsia="ko-KR"/>
        </w:rPr>
        <w:t>unted? Some FADs will often</w:t>
      </w:r>
      <w:r w:rsidRPr="004635E5">
        <w:rPr>
          <w:rFonts w:eastAsiaTheme="minorEastAsia"/>
          <w:bCs/>
          <w:sz w:val="22"/>
          <w:szCs w:val="22"/>
          <w:lang w:eastAsia="ko-KR"/>
        </w:rPr>
        <w:t xml:space="preserve"> drift between the </w:t>
      </w:r>
      <w:r w:rsidR="006E5FCF">
        <w:rPr>
          <w:rFonts w:eastAsiaTheme="minorEastAsia"/>
          <w:bCs/>
          <w:sz w:val="22"/>
          <w:szCs w:val="22"/>
          <w:lang w:eastAsia="ko-KR"/>
        </w:rPr>
        <w:t>EPO</w:t>
      </w:r>
      <w:r w:rsidR="006E5FCF" w:rsidRPr="004635E5">
        <w:rPr>
          <w:rFonts w:eastAsiaTheme="minorEastAsia"/>
          <w:bCs/>
          <w:sz w:val="22"/>
          <w:szCs w:val="22"/>
          <w:lang w:eastAsia="ko-KR"/>
        </w:rPr>
        <w:t xml:space="preserve"> </w:t>
      </w:r>
      <w:r w:rsidRPr="004635E5">
        <w:rPr>
          <w:rFonts w:eastAsiaTheme="minorEastAsia"/>
          <w:bCs/>
          <w:sz w:val="22"/>
          <w:szCs w:val="22"/>
          <w:lang w:eastAsia="ko-KR"/>
        </w:rPr>
        <w:t>and WCPO.</w:t>
      </w:r>
    </w:p>
    <w:p w14:paraId="1E45EEB9" w14:textId="77777777" w:rsidR="006F49D8" w:rsidRPr="004635E5" w:rsidRDefault="006F49D8" w:rsidP="00580EA4">
      <w:pPr>
        <w:pStyle w:val="ListParagraph"/>
        <w:numPr>
          <w:ilvl w:val="0"/>
          <w:numId w:val="148"/>
        </w:numPr>
        <w:adjustRightInd w:val="0"/>
        <w:snapToGrid w:val="0"/>
        <w:rPr>
          <w:rFonts w:eastAsiaTheme="minorEastAsia"/>
          <w:bCs/>
          <w:sz w:val="22"/>
          <w:szCs w:val="22"/>
          <w:lang w:eastAsia="ko-KR"/>
        </w:rPr>
      </w:pPr>
      <w:r w:rsidRPr="004635E5">
        <w:rPr>
          <w:rFonts w:eastAsiaTheme="minorEastAsia"/>
          <w:bCs/>
          <w:sz w:val="22"/>
          <w:szCs w:val="22"/>
          <w:lang w:eastAsia="ko-KR"/>
        </w:rPr>
        <w:t>For vessels operating on both sides, what happens if a vessel moves out of an area for an extended period of time</w:t>
      </w:r>
      <w:r w:rsidR="002C6F79" w:rsidRPr="004635E5">
        <w:rPr>
          <w:rFonts w:eastAsiaTheme="minorEastAsia"/>
          <w:bCs/>
          <w:sz w:val="22"/>
          <w:szCs w:val="22"/>
          <w:lang w:eastAsia="ko-KR"/>
        </w:rPr>
        <w:t>,</w:t>
      </w:r>
      <w:r w:rsidRPr="004635E5">
        <w:rPr>
          <w:rFonts w:eastAsiaTheme="minorEastAsia"/>
          <w:bCs/>
          <w:sz w:val="22"/>
          <w:szCs w:val="22"/>
          <w:lang w:eastAsia="ko-KR"/>
        </w:rPr>
        <w:t xml:space="preserve"> such as </w:t>
      </w:r>
      <w:r w:rsidR="002C6F79" w:rsidRPr="004635E5">
        <w:rPr>
          <w:rFonts w:eastAsiaTheme="minorEastAsia"/>
          <w:bCs/>
          <w:sz w:val="22"/>
          <w:szCs w:val="22"/>
          <w:lang w:eastAsia="ko-KR"/>
        </w:rPr>
        <w:t xml:space="preserve">during </w:t>
      </w:r>
      <w:r w:rsidRPr="004635E5">
        <w:rPr>
          <w:rFonts w:eastAsiaTheme="minorEastAsia"/>
          <w:bCs/>
          <w:sz w:val="22"/>
          <w:szCs w:val="22"/>
          <w:lang w:eastAsia="ko-KR"/>
        </w:rPr>
        <w:t xml:space="preserve">the </w:t>
      </w:r>
      <w:r w:rsidR="006E5FCF">
        <w:rPr>
          <w:rFonts w:eastAsiaTheme="minorEastAsia"/>
          <w:bCs/>
          <w:sz w:val="22"/>
          <w:szCs w:val="22"/>
          <w:lang w:eastAsia="ko-KR"/>
        </w:rPr>
        <w:t>EPO</w:t>
      </w:r>
      <w:r w:rsidR="006E5FCF" w:rsidRPr="004635E5">
        <w:rPr>
          <w:rFonts w:eastAsiaTheme="minorEastAsia"/>
          <w:bCs/>
          <w:sz w:val="22"/>
          <w:szCs w:val="22"/>
          <w:lang w:eastAsia="ko-KR"/>
        </w:rPr>
        <w:t xml:space="preserve"> </w:t>
      </w:r>
      <w:r w:rsidRPr="004635E5">
        <w:rPr>
          <w:rFonts w:eastAsiaTheme="minorEastAsia"/>
          <w:bCs/>
          <w:sz w:val="22"/>
          <w:szCs w:val="22"/>
          <w:lang w:eastAsia="ko-KR"/>
        </w:rPr>
        <w:t xml:space="preserve">closure or the FAD closure in the WCPFC? In order to save money on data transfers, some may elect to shut off the buoys, such as in a closure period, and then turn them on once the closure has ended. The costs could be substantial depending on the number of buoys if they </w:t>
      </w:r>
      <w:r w:rsidR="002C6F79" w:rsidRPr="004635E5">
        <w:rPr>
          <w:rFonts w:eastAsiaTheme="minorEastAsia"/>
          <w:bCs/>
          <w:sz w:val="22"/>
          <w:szCs w:val="22"/>
          <w:lang w:eastAsia="ko-KR"/>
        </w:rPr>
        <w:t xml:space="preserve">continue </w:t>
      </w:r>
      <w:r w:rsidRPr="004635E5">
        <w:rPr>
          <w:rFonts w:eastAsiaTheme="minorEastAsia"/>
          <w:bCs/>
          <w:sz w:val="22"/>
          <w:szCs w:val="22"/>
          <w:lang w:eastAsia="ko-KR"/>
        </w:rPr>
        <w:t>reporting. </w:t>
      </w:r>
    </w:p>
    <w:p w14:paraId="7BE3F363" w14:textId="77777777" w:rsidR="006F49D8" w:rsidRPr="004635E5" w:rsidRDefault="006F49D8" w:rsidP="00580EA4">
      <w:pPr>
        <w:pStyle w:val="ListParagraph"/>
        <w:numPr>
          <w:ilvl w:val="0"/>
          <w:numId w:val="148"/>
        </w:numPr>
        <w:adjustRightInd w:val="0"/>
        <w:snapToGrid w:val="0"/>
        <w:rPr>
          <w:rFonts w:eastAsiaTheme="minorEastAsia"/>
          <w:bCs/>
          <w:sz w:val="22"/>
          <w:szCs w:val="22"/>
          <w:lang w:eastAsia="ko-KR"/>
        </w:rPr>
      </w:pPr>
      <w:r w:rsidRPr="004635E5">
        <w:rPr>
          <w:rFonts w:eastAsiaTheme="minorEastAsia"/>
          <w:bCs/>
          <w:sz w:val="22"/>
          <w:szCs w:val="22"/>
          <w:lang w:eastAsia="ko-KR"/>
        </w:rPr>
        <w:t xml:space="preserve">For US vessels that have an </w:t>
      </w:r>
      <w:r w:rsidR="006E5FCF">
        <w:rPr>
          <w:rFonts w:eastAsiaTheme="minorEastAsia"/>
          <w:bCs/>
          <w:sz w:val="22"/>
          <w:szCs w:val="22"/>
          <w:lang w:eastAsia="ko-KR"/>
        </w:rPr>
        <w:t>EPO</w:t>
      </w:r>
      <w:r w:rsidR="006E5FCF" w:rsidRPr="004635E5">
        <w:rPr>
          <w:rFonts w:eastAsiaTheme="minorEastAsia"/>
          <w:bCs/>
          <w:sz w:val="22"/>
          <w:szCs w:val="22"/>
          <w:lang w:eastAsia="ko-KR"/>
        </w:rPr>
        <w:t xml:space="preserve"> </w:t>
      </w:r>
      <w:r w:rsidRPr="004635E5">
        <w:rPr>
          <w:rFonts w:eastAsiaTheme="minorEastAsia"/>
          <w:bCs/>
          <w:sz w:val="22"/>
          <w:szCs w:val="22"/>
          <w:lang w:eastAsia="ko-KR"/>
        </w:rPr>
        <w:t xml:space="preserve">and a WCPFC permit, is the limit per convention area or is it for the entire Pacific </w:t>
      </w:r>
      <w:r w:rsidR="00F659CA" w:rsidRPr="004635E5">
        <w:rPr>
          <w:rFonts w:eastAsiaTheme="minorEastAsia"/>
          <w:bCs/>
          <w:sz w:val="22"/>
          <w:szCs w:val="22"/>
          <w:lang w:eastAsia="ko-KR"/>
        </w:rPr>
        <w:t>Ocean</w:t>
      </w:r>
      <w:r w:rsidRPr="004635E5">
        <w:rPr>
          <w:rFonts w:eastAsiaTheme="minorEastAsia"/>
          <w:bCs/>
          <w:sz w:val="22"/>
          <w:szCs w:val="22"/>
          <w:lang w:eastAsia="ko-KR"/>
        </w:rPr>
        <w:t>? For single operators this is not a concern, but it may be for larger companies that have a substantial presence in both the ETP and WCPO.</w:t>
      </w:r>
    </w:p>
    <w:p w14:paraId="72FD2867" w14:textId="77777777" w:rsidR="006F49D8" w:rsidRPr="004635E5" w:rsidRDefault="006F49D8" w:rsidP="00580EA4">
      <w:pPr>
        <w:pStyle w:val="ListParagraph"/>
        <w:numPr>
          <w:ilvl w:val="0"/>
          <w:numId w:val="148"/>
        </w:numPr>
        <w:adjustRightInd w:val="0"/>
        <w:snapToGrid w:val="0"/>
        <w:rPr>
          <w:rFonts w:eastAsiaTheme="minorEastAsia"/>
          <w:bCs/>
          <w:sz w:val="22"/>
          <w:szCs w:val="22"/>
          <w:lang w:eastAsia="ko-KR"/>
        </w:rPr>
      </w:pPr>
      <w:r w:rsidRPr="004635E5">
        <w:rPr>
          <w:rFonts w:eastAsiaTheme="minorEastAsia"/>
          <w:bCs/>
          <w:sz w:val="22"/>
          <w:szCs w:val="22"/>
          <w:lang w:eastAsia="ko-KR"/>
        </w:rPr>
        <w:t>How do they take into account company owned FADs and what vessels would they be assigned to for the purposes of the limit?</w:t>
      </w:r>
    </w:p>
    <w:p w14:paraId="7503F8F7" w14:textId="77777777" w:rsidR="006F49D8" w:rsidRPr="004635E5" w:rsidRDefault="006F49D8" w:rsidP="00580EA4">
      <w:pPr>
        <w:pStyle w:val="ListParagraph"/>
        <w:numPr>
          <w:ilvl w:val="0"/>
          <w:numId w:val="148"/>
        </w:numPr>
        <w:adjustRightInd w:val="0"/>
        <w:snapToGrid w:val="0"/>
        <w:rPr>
          <w:rFonts w:eastAsiaTheme="minorEastAsia"/>
          <w:bCs/>
          <w:sz w:val="22"/>
          <w:szCs w:val="22"/>
          <w:lang w:eastAsia="ko-KR"/>
        </w:rPr>
      </w:pPr>
      <w:r w:rsidRPr="004635E5">
        <w:rPr>
          <w:rFonts w:eastAsiaTheme="minorEastAsia"/>
          <w:bCs/>
          <w:sz w:val="22"/>
          <w:szCs w:val="22"/>
          <w:lang w:eastAsia="ko-KR"/>
        </w:rPr>
        <w:t>What happens when buoys are traded to other vessels? Sometimes this happens with individual buoys, and sometimes they are transferred in groups. </w:t>
      </w:r>
    </w:p>
    <w:p w14:paraId="34731E2F" w14:textId="77777777" w:rsidR="006F49D8" w:rsidRPr="004635E5" w:rsidRDefault="006F49D8" w:rsidP="006633A8">
      <w:pPr>
        <w:adjustRightInd w:val="0"/>
        <w:snapToGrid w:val="0"/>
        <w:rPr>
          <w:rFonts w:eastAsiaTheme="minorEastAsia"/>
          <w:bCs/>
          <w:sz w:val="22"/>
          <w:szCs w:val="22"/>
          <w:highlight w:val="cyan"/>
          <w:lang w:eastAsia="ko-KR"/>
        </w:rPr>
      </w:pPr>
    </w:p>
    <w:p w14:paraId="3F59ADB1" w14:textId="77777777" w:rsidR="006F49D8" w:rsidRPr="004635E5" w:rsidRDefault="006F49D8" w:rsidP="006633A8">
      <w:pPr>
        <w:pStyle w:val="WCPFC"/>
        <w:adjustRightInd w:val="0"/>
        <w:spacing w:after="0"/>
        <w:ind w:left="0" w:firstLine="0"/>
        <w:rPr>
          <w:rFonts w:cs="Times New Roman"/>
          <w:bCs/>
          <w:lang w:eastAsia="ko-KR"/>
        </w:rPr>
      </w:pPr>
      <w:r w:rsidRPr="004635E5">
        <w:rPr>
          <w:rFonts w:cs="Times New Roman"/>
          <w:bCs/>
          <w:lang w:eastAsia="ko-KR"/>
        </w:rPr>
        <w:t xml:space="preserve">Pew </w:t>
      </w:r>
      <w:r w:rsidRPr="004635E5">
        <w:rPr>
          <w:rFonts w:cs="Times New Roman"/>
          <w:bCs/>
          <w:lang w:val="en-GB" w:eastAsia="ko-KR"/>
        </w:rPr>
        <w:t>thanked the PNA for establishing the tracking program and SPC for their analyses, noting that the results presented in these papers have highlighted the value of FAD tracking to understanding the nature of aspects of the FAD fishery in a detail not previously available</w:t>
      </w:r>
      <w:r w:rsidR="00A16680" w:rsidRPr="004635E5">
        <w:rPr>
          <w:rFonts w:cs="Times New Roman"/>
          <w:bCs/>
          <w:lang w:val="en-GB" w:eastAsia="ko-KR"/>
        </w:rPr>
        <w:t xml:space="preserve">. </w:t>
      </w:r>
      <w:r w:rsidRPr="004635E5">
        <w:rPr>
          <w:rFonts w:cs="Times New Roman"/>
          <w:bCs/>
          <w:lang w:val="en-GB" w:eastAsia="ko-KR"/>
        </w:rPr>
        <w:t xml:space="preserve">It has also highlighted the need for improved data collection in both the observer and logbook records so that better data comparisons can be made. The analysis by SPC has provided evidence that current measures to limit the environmental impacts of FADs are likely inadequate. The buoy limitation paragraph in </w:t>
      </w:r>
      <w:r w:rsidR="006E5FCF">
        <w:rPr>
          <w:rFonts w:cs="Times New Roman" w:hint="eastAsia"/>
          <w:bCs/>
          <w:lang w:val="en-GB" w:eastAsia="ko-KR"/>
        </w:rPr>
        <w:t xml:space="preserve">CMM </w:t>
      </w:r>
      <w:r w:rsidRPr="004635E5">
        <w:rPr>
          <w:rFonts w:cs="Times New Roman"/>
          <w:bCs/>
          <w:lang w:val="en-GB" w:eastAsia="ko-KR"/>
        </w:rPr>
        <w:t>2017-01 is essentially ineffective with very few if any vessels being impacted</w:t>
      </w:r>
      <w:r w:rsidR="00A16680" w:rsidRPr="004635E5">
        <w:rPr>
          <w:rFonts w:cs="Times New Roman"/>
          <w:bCs/>
          <w:lang w:val="en-GB" w:eastAsia="ko-KR"/>
        </w:rPr>
        <w:t xml:space="preserve">. </w:t>
      </w:r>
      <w:r w:rsidRPr="004635E5">
        <w:rPr>
          <w:rFonts w:cs="Times New Roman"/>
          <w:bCs/>
          <w:lang w:val="en-GB" w:eastAsia="ko-KR"/>
        </w:rPr>
        <w:t xml:space="preserve">The suggested </w:t>
      </w:r>
      <w:r w:rsidR="0041022C" w:rsidRPr="004635E5">
        <w:rPr>
          <w:rFonts w:cs="Times New Roman"/>
          <w:bCs/>
          <w:lang w:val="en-GB" w:eastAsia="ko-KR"/>
        </w:rPr>
        <w:t xml:space="preserve">the </w:t>
      </w:r>
      <w:r w:rsidRPr="004635E5">
        <w:rPr>
          <w:rFonts w:cs="Times New Roman"/>
          <w:bCs/>
          <w:lang w:val="en-GB" w:eastAsia="ko-KR"/>
        </w:rPr>
        <w:t xml:space="preserve">decrease in CPUE with increasing FAD numbers </w:t>
      </w:r>
      <w:r w:rsidR="0041022C" w:rsidRPr="004635E5">
        <w:rPr>
          <w:rFonts w:cs="Times New Roman"/>
          <w:bCs/>
          <w:lang w:val="en-GB" w:eastAsia="ko-KR"/>
        </w:rPr>
        <w:t xml:space="preserve">would </w:t>
      </w:r>
      <w:r w:rsidRPr="004635E5">
        <w:rPr>
          <w:rFonts w:cs="Times New Roman"/>
          <w:bCs/>
          <w:lang w:val="en-GB" w:eastAsia="ko-KR"/>
        </w:rPr>
        <w:t>be of concern to many members. The analysis also highlighted the very large number of FAD</w:t>
      </w:r>
      <w:r w:rsidR="0061195B">
        <w:rPr>
          <w:rFonts w:cs="Times New Roman" w:hint="eastAsia"/>
          <w:bCs/>
          <w:lang w:val="en-GB" w:eastAsia="ko-KR"/>
        </w:rPr>
        <w:t>s</w:t>
      </w:r>
      <w:r w:rsidRPr="004635E5">
        <w:rPr>
          <w:rFonts w:cs="Times New Roman"/>
          <w:bCs/>
          <w:lang w:val="en-GB" w:eastAsia="ko-KR"/>
        </w:rPr>
        <w:t xml:space="preserve"> that are lost every year </w:t>
      </w:r>
      <w:r w:rsidR="0041022C" w:rsidRPr="004635E5">
        <w:rPr>
          <w:rFonts w:cs="Times New Roman"/>
          <w:bCs/>
          <w:lang w:val="en-GB" w:eastAsia="ko-KR"/>
        </w:rPr>
        <w:t xml:space="preserve">— </w:t>
      </w:r>
      <w:r w:rsidRPr="004635E5">
        <w:rPr>
          <w:rFonts w:cs="Times New Roman"/>
          <w:bCs/>
          <w:lang w:val="en-GB" w:eastAsia="ko-KR"/>
        </w:rPr>
        <w:t xml:space="preserve">becoming marine debris, ghost fishing and washing up on members reef systems and coastlines. </w:t>
      </w:r>
      <w:r w:rsidR="0041022C" w:rsidRPr="004635E5">
        <w:rPr>
          <w:rFonts w:cs="Times New Roman"/>
          <w:bCs/>
          <w:lang w:val="en-GB" w:eastAsia="ko-KR"/>
        </w:rPr>
        <w:t>Pew stated that “</w:t>
      </w:r>
      <w:r w:rsidRPr="004635E5">
        <w:rPr>
          <w:rFonts w:cs="Times New Roman"/>
          <w:bCs/>
          <w:lang w:val="en-GB" w:eastAsia="ko-KR"/>
        </w:rPr>
        <w:t>we can’t manage what we don’t know</w:t>
      </w:r>
      <w:r w:rsidR="0041022C" w:rsidRPr="004635E5">
        <w:rPr>
          <w:rFonts w:cs="Times New Roman"/>
          <w:bCs/>
          <w:lang w:val="en-GB" w:eastAsia="ko-KR"/>
        </w:rPr>
        <w:t xml:space="preserve">”, as </w:t>
      </w:r>
      <w:r w:rsidRPr="004635E5">
        <w:rPr>
          <w:rFonts w:cs="Times New Roman"/>
          <w:bCs/>
          <w:lang w:val="en-GB" w:eastAsia="ko-KR"/>
        </w:rPr>
        <w:t>reflected in the levels of uncertainty in various stock assessments that have resulted from very low data coverage</w:t>
      </w:r>
      <w:r w:rsidR="00A16680" w:rsidRPr="004635E5">
        <w:rPr>
          <w:rFonts w:cs="Times New Roman"/>
          <w:bCs/>
          <w:lang w:val="en-GB" w:eastAsia="ko-KR"/>
        </w:rPr>
        <w:t xml:space="preserve">. </w:t>
      </w:r>
      <w:r w:rsidR="0041022C" w:rsidRPr="004635E5">
        <w:rPr>
          <w:rFonts w:cs="Times New Roman"/>
          <w:bCs/>
          <w:lang w:val="en-GB" w:eastAsia="ko-KR"/>
        </w:rPr>
        <w:t xml:space="preserve">The </w:t>
      </w:r>
      <w:r w:rsidRPr="004635E5">
        <w:rPr>
          <w:rFonts w:cs="Times New Roman"/>
          <w:bCs/>
          <w:lang w:val="en-GB" w:eastAsia="ko-KR"/>
        </w:rPr>
        <w:t>FAD tracking studies provided important knowledge on the dynamics of FADs in the WCPO</w:t>
      </w:r>
      <w:r w:rsidR="0041022C" w:rsidRPr="004635E5">
        <w:rPr>
          <w:rFonts w:cs="Times New Roman"/>
          <w:bCs/>
          <w:lang w:val="en-GB" w:eastAsia="ko-KR"/>
        </w:rPr>
        <w:t>;</w:t>
      </w:r>
      <w:r w:rsidR="00F81EF0">
        <w:rPr>
          <w:rFonts w:cs="Times New Roman"/>
          <w:bCs/>
          <w:lang w:val="en-GB" w:eastAsia="ko-KR"/>
        </w:rPr>
        <w:t xml:space="preserve"> </w:t>
      </w:r>
      <w:r w:rsidR="0061195B">
        <w:rPr>
          <w:rFonts w:cs="Times New Roman" w:hint="eastAsia"/>
          <w:bCs/>
          <w:lang w:val="en-GB" w:eastAsia="ko-KR"/>
        </w:rPr>
        <w:t>t</w:t>
      </w:r>
      <w:r w:rsidR="0041022C" w:rsidRPr="004635E5">
        <w:rPr>
          <w:rFonts w:cs="Times New Roman"/>
          <w:bCs/>
          <w:lang w:val="en-GB" w:eastAsia="ko-KR"/>
        </w:rPr>
        <w:t xml:space="preserve">hey urged a </w:t>
      </w:r>
      <w:r w:rsidRPr="004635E5">
        <w:rPr>
          <w:rFonts w:cs="Times New Roman"/>
          <w:bCs/>
          <w:lang w:val="en-GB" w:eastAsia="ko-KR"/>
        </w:rPr>
        <w:t xml:space="preserve">strong message from the SC </w:t>
      </w:r>
      <w:r w:rsidR="0041022C" w:rsidRPr="004635E5">
        <w:rPr>
          <w:rFonts w:cs="Times New Roman"/>
          <w:bCs/>
          <w:lang w:val="en-GB" w:eastAsia="ko-KR"/>
        </w:rPr>
        <w:t xml:space="preserve">to </w:t>
      </w:r>
      <w:r w:rsidRPr="004635E5">
        <w:rPr>
          <w:rFonts w:cs="Times New Roman"/>
          <w:bCs/>
          <w:lang w:val="en-GB" w:eastAsia="ko-KR"/>
        </w:rPr>
        <w:t xml:space="preserve">provide </w:t>
      </w:r>
      <w:r w:rsidR="0041022C" w:rsidRPr="004635E5">
        <w:rPr>
          <w:rFonts w:cs="Times New Roman"/>
          <w:bCs/>
          <w:lang w:val="en-GB" w:eastAsia="ko-KR"/>
        </w:rPr>
        <w:t xml:space="preserve">a </w:t>
      </w:r>
      <w:r w:rsidRPr="004635E5">
        <w:rPr>
          <w:rFonts w:cs="Times New Roman"/>
          <w:bCs/>
          <w:lang w:val="en-GB" w:eastAsia="ko-KR"/>
        </w:rPr>
        <w:t xml:space="preserve">basis for improved </w:t>
      </w:r>
      <w:r w:rsidR="0041022C" w:rsidRPr="004635E5">
        <w:rPr>
          <w:rFonts w:cs="Times New Roman"/>
          <w:bCs/>
          <w:lang w:val="en-GB" w:eastAsia="ko-KR"/>
        </w:rPr>
        <w:t xml:space="preserve">future </w:t>
      </w:r>
      <w:r w:rsidRPr="004635E5">
        <w:rPr>
          <w:rFonts w:cs="Times New Roman"/>
          <w:bCs/>
          <w:lang w:val="en-GB" w:eastAsia="ko-KR"/>
        </w:rPr>
        <w:t>FAD management.</w:t>
      </w:r>
    </w:p>
    <w:p w14:paraId="6E69371D" w14:textId="77777777" w:rsidR="0030620F" w:rsidRPr="004635E5" w:rsidRDefault="0030620F" w:rsidP="006633A8">
      <w:pPr>
        <w:pStyle w:val="WCPFC"/>
        <w:numPr>
          <w:ilvl w:val="0"/>
          <w:numId w:val="0"/>
        </w:numPr>
        <w:adjustRightInd w:val="0"/>
        <w:spacing w:after="0"/>
        <w:rPr>
          <w:rFonts w:cs="Times New Roman"/>
          <w:bCs/>
          <w:lang w:eastAsia="ko-KR"/>
        </w:rPr>
      </w:pPr>
    </w:p>
    <w:p w14:paraId="55744F3E" w14:textId="77777777" w:rsidR="00A8102F" w:rsidRPr="004635E5" w:rsidRDefault="007353E1" w:rsidP="006633A8">
      <w:pPr>
        <w:adjustRightInd w:val="0"/>
        <w:snapToGrid w:val="0"/>
        <w:rPr>
          <w:rFonts w:eastAsiaTheme="minorEastAsia"/>
          <w:b/>
          <w:bCs/>
          <w:sz w:val="22"/>
          <w:szCs w:val="22"/>
          <w:lang w:eastAsia="ko-KR"/>
        </w:rPr>
      </w:pPr>
      <w:r w:rsidRPr="004635E5">
        <w:rPr>
          <w:rFonts w:eastAsiaTheme="minorEastAsia"/>
          <w:b/>
          <w:bCs/>
          <w:sz w:val="22"/>
          <w:szCs w:val="22"/>
          <w:lang w:eastAsia="ko-KR"/>
        </w:rPr>
        <w:t>Recommendations</w:t>
      </w:r>
    </w:p>
    <w:p w14:paraId="6A10D32A" w14:textId="77777777" w:rsidR="007353E1" w:rsidRPr="004635E5" w:rsidRDefault="007353E1" w:rsidP="006633A8">
      <w:pPr>
        <w:adjustRightInd w:val="0"/>
        <w:snapToGrid w:val="0"/>
        <w:rPr>
          <w:rFonts w:eastAsiaTheme="minorEastAsia"/>
          <w:b/>
          <w:bCs/>
          <w:sz w:val="22"/>
          <w:szCs w:val="22"/>
          <w:lang w:eastAsia="ko-KR"/>
        </w:rPr>
      </w:pPr>
    </w:p>
    <w:p w14:paraId="2281E3B4" w14:textId="77777777" w:rsidR="00FB3147" w:rsidRPr="004635E5" w:rsidRDefault="00FB3147" w:rsidP="006633A8">
      <w:pPr>
        <w:pStyle w:val="WCPFC"/>
        <w:adjustRightInd w:val="0"/>
        <w:spacing w:after="0"/>
        <w:ind w:left="0" w:firstLine="0"/>
        <w:rPr>
          <w:rFonts w:cs="Times New Roman"/>
          <w:b/>
          <w:bCs/>
          <w:lang w:eastAsia="ko-KR"/>
        </w:rPr>
      </w:pPr>
      <w:r w:rsidRPr="004635E5">
        <w:rPr>
          <w:rFonts w:cs="Times New Roman"/>
          <w:b/>
          <w:bCs/>
          <w:lang w:eastAsia="ko-KR"/>
        </w:rPr>
        <w:t xml:space="preserve">SC14 reviewed information on the estimation of the number of drifting Fish Aggregating Device (FAD) deployments and active FADs per vessel over the period 2011-2018 (SC14-MI-WP-10), noting that purse seine fishing on drifting FADs accounts for about 40% of the purse seine tuna catch in the WCPO. SC14 noted the limitations of the different sources of data used in the analysis but expressed strong support for and the utility of this research. Preliminary estimates of FAD deployments ranged between 30,700–56,900 in 2016 and 44,700–64,900 in 2017 (using combined fishery and PNA FAD tracking data). SC14 also noted that based upon the information provided in the paper, the present per vessel limit of 350 active FADs (at any one time) in the WCPO likely does not constrain or reduce the number of FADs in the water, given that the average vessel at the moment is estimated to have around 117 FADs in the water at any time (assuming the average life of an active FAD is 6 months). However, pointing to the uncertainty of the number of FADs deployed in the WCPO, the identified deficiencies in FAD tracking data, and the differences of the number of active FADs between estimates and the actual operations, some CCMs suggested that the SC continues to provide the further analysis on active FAD number with the additional available data such as improving the FAD data fields to be reported by observers and/or vessel operators. </w:t>
      </w:r>
    </w:p>
    <w:p w14:paraId="6C092404" w14:textId="77777777" w:rsidR="0030620F" w:rsidRPr="004635E5" w:rsidRDefault="0030620F" w:rsidP="006633A8">
      <w:pPr>
        <w:pStyle w:val="WCPFC"/>
        <w:numPr>
          <w:ilvl w:val="0"/>
          <w:numId w:val="0"/>
        </w:numPr>
        <w:adjustRightInd w:val="0"/>
        <w:spacing w:after="0"/>
        <w:rPr>
          <w:rFonts w:cs="Times New Roman"/>
          <w:b/>
          <w:bCs/>
          <w:lang w:eastAsia="ko-KR"/>
        </w:rPr>
      </w:pPr>
    </w:p>
    <w:p w14:paraId="35B78D10" w14:textId="77777777" w:rsidR="00FB3147" w:rsidRPr="004635E5" w:rsidRDefault="00FB3147" w:rsidP="006633A8">
      <w:pPr>
        <w:pStyle w:val="WCPFC"/>
        <w:adjustRightInd w:val="0"/>
        <w:spacing w:after="0"/>
        <w:ind w:left="0" w:firstLine="0"/>
        <w:rPr>
          <w:rFonts w:cs="Times New Roman"/>
          <w:b/>
          <w:bCs/>
          <w:lang w:eastAsia="ko-KR"/>
        </w:rPr>
      </w:pPr>
      <w:r w:rsidRPr="004635E5">
        <w:rPr>
          <w:rFonts w:cs="Times New Roman"/>
          <w:b/>
          <w:bCs/>
          <w:lang w:eastAsia="ko-KR"/>
        </w:rPr>
        <w:t xml:space="preserve">SC14 recommends that the Secretariat ensure this working paper is made available to inform the deliberations of the FAD Management IWG meeting to be held in October 2018. SC14 also recommends that the FAD Management IWG and WCPFC15 take into consideration the concerns expressed above and determine a more appropriate limit that (i) helps reduce the amount of marine debris, synthetic pollution and beaching events generated by FAD deployment, and (ii) helps to avoid any economic impacts on the purse seine fishery through reduced CPUE. SC14 also recommends that additional work on these issues be supported, </w:t>
      </w:r>
      <w:r w:rsidRPr="004635E5">
        <w:rPr>
          <w:rFonts w:cs="Times New Roman"/>
          <w:b/>
          <w:bCs/>
          <w:lang w:val="en-GB" w:eastAsia="ko-KR"/>
        </w:rPr>
        <w:t>noting that improved data collection in both the observer and logbook records would also assist this research</w:t>
      </w:r>
      <w:r w:rsidRPr="004635E5">
        <w:rPr>
          <w:rFonts w:cs="Times New Roman"/>
          <w:b/>
          <w:bCs/>
          <w:lang w:eastAsia="ko-KR"/>
        </w:rPr>
        <w:t xml:space="preserve">. </w:t>
      </w:r>
    </w:p>
    <w:p w14:paraId="5DAB6FF5" w14:textId="77777777" w:rsidR="008A5F85" w:rsidRPr="004635E5" w:rsidRDefault="008A5F85" w:rsidP="006633A8">
      <w:pPr>
        <w:adjustRightInd w:val="0"/>
        <w:snapToGrid w:val="0"/>
        <w:rPr>
          <w:rFonts w:eastAsiaTheme="minorEastAsia"/>
          <w:bCs/>
          <w:sz w:val="22"/>
          <w:szCs w:val="22"/>
          <w:lang w:eastAsia="ko-KR"/>
        </w:rPr>
      </w:pPr>
    </w:p>
    <w:p w14:paraId="14F2FF58" w14:textId="77777777" w:rsidR="008A5F85" w:rsidRPr="004635E5" w:rsidRDefault="008A5F85" w:rsidP="006633A8">
      <w:pPr>
        <w:adjustRightInd w:val="0"/>
        <w:snapToGrid w:val="0"/>
        <w:rPr>
          <w:rFonts w:eastAsiaTheme="minorEastAsia"/>
          <w:bCs/>
          <w:sz w:val="22"/>
          <w:szCs w:val="22"/>
          <w:lang w:eastAsia="ko-KR"/>
        </w:rPr>
      </w:pPr>
    </w:p>
    <w:p w14:paraId="493A97AE" w14:textId="77777777" w:rsidR="00C9604D" w:rsidRPr="004635E5" w:rsidRDefault="002E39E9" w:rsidP="006633A8">
      <w:pPr>
        <w:pStyle w:val="Heading1"/>
        <w:numPr>
          <w:ilvl w:val="0"/>
          <w:numId w:val="0"/>
        </w:numPr>
        <w:adjustRightInd w:val="0"/>
        <w:snapToGrid w:val="0"/>
        <w:spacing w:after="0"/>
        <w:ind w:left="360"/>
        <w:rPr>
          <w:rFonts w:eastAsiaTheme="minorEastAsia"/>
          <w:lang w:eastAsia="ko-KR"/>
        </w:rPr>
      </w:pPr>
      <w:r w:rsidRPr="004635E5">
        <w:rPr>
          <w:rFonts w:eastAsiaTheme="minorEastAsia"/>
          <w:lang w:eastAsia="ko-KR"/>
        </w:rPr>
        <w:t>AGENDA ITEM 6</w:t>
      </w:r>
      <w:r w:rsidR="00174FEF" w:rsidRPr="004635E5">
        <w:rPr>
          <w:rFonts w:eastAsiaTheme="minorEastAsia"/>
          <w:lang w:eastAsia="ko-KR"/>
        </w:rPr>
        <w:t xml:space="preserve"> — </w:t>
      </w:r>
      <w:r w:rsidR="00C9604D" w:rsidRPr="004635E5">
        <w:rPr>
          <w:rFonts w:eastAsiaTheme="minorEastAsia"/>
          <w:lang w:eastAsia="ko-KR"/>
        </w:rPr>
        <w:t>ECOSYSTEM AND BYCATCH MITIGATION THEME</w:t>
      </w:r>
      <w:r w:rsidR="00472973" w:rsidRPr="004635E5">
        <w:rPr>
          <w:rFonts w:eastAsiaTheme="minorEastAsia"/>
          <w:lang w:eastAsia="ko-KR"/>
        </w:rPr>
        <w:fldChar w:fldCharType="begin"/>
      </w:r>
      <w:r w:rsidRPr="004635E5">
        <w:instrText xml:space="preserve"> TC "</w:instrText>
      </w:r>
      <w:bookmarkStart w:id="124" w:name="_Toc522810367"/>
      <w:bookmarkStart w:id="125" w:name="_Toc16418020"/>
      <w:r w:rsidRPr="004635E5">
        <w:rPr>
          <w:rFonts w:eastAsiaTheme="minorEastAsia"/>
          <w:lang w:eastAsia="ko-KR"/>
        </w:rPr>
        <w:instrText>AGENDA ITEM 6 — ECOSYSTEM AND BYCATCH MITIGATION THEME</w:instrText>
      </w:r>
      <w:bookmarkEnd w:id="124"/>
      <w:bookmarkEnd w:id="125"/>
      <w:r w:rsidRPr="004635E5">
        <w:instrText xml:space="preserve">" \f C \l "1" </w:instrText>
      </w:r>
      <w:r w:rsidR="00472973" w:rsidRPr="004635E5">
        <w:rPr>
          <w:rFonts w:eastAsiaTheme="minorEastAsia"/>
          <w:lang w:eastAsia="ko-KR"/>
        </w:rPr>
        <w:fldChar w:fldCharType="end"/>
      </w:r>
    </w:p>
    <w:p w14:paraId="67D9B757" w14:textId="77777777" w:rsidR="007353E1" w:rsidRPr="004635E5" w:rsidRDefault="007353E1" w:rsidP="00580EA4">
      <w:pPr>
        <w:pStyle w:val="ListParagraph"/>
        <w:numPr>
          <w:ilvl w:val="0"/>
          <w:numId w:val="161"/>
        </w:numPr>
        <w:adjustRightInd w:val="0"/>
        <w:snapToGrid w:val="0"/>
        <w:jc w:val="both"/>
        <w:rPr>
          <w:rFonts w:eastAsiaTheme="minorEastAsia"/>
          <w:b/>
          <w:vanish/>
          <w:sz w:val="22"/>
          <w:szCs w:val="22"/>
          <w:lang w:val="en-NZ" w:eastAsia="ko-KR"/>
        </w:rPr>
      </w:pPr>
    </w:p>
    <w:p w14:paraId="265B693C" w14:textId="77777777" w:rsidR="004313F8" w:rsidRDefault="004313F8" w:rsidP="006633A8">
      <w:pPr>
        <w:pStyle w:val="SC2"/>
        <w:numPr>
          <w:ilvl w:val="0"/>
          <w:numId w:val="0"/>
        </w:numPr>
        <w:spacing w:after="0"/>
        <w:ind w:left="720"/>
        <w:rPr>
          <w:rFonts w:eastAsiaTheme="minorEastAsia"/>
          <w:lang w:eastAsia="ko-KR"/>
        </w:rPr>
      </w:pPr>
    </w:p>
    <w:p w14:paraId="1BE0FA77" w14:textId="77777777" w:rsidR="007353E1" w:rsidRPr="004635E5" w:rsidRDefault="00C9604D" w:rsidP="00580EA4">
      <w:pPr>
        <w:pStyle w:val="SC2"/>
        <w:numPr>
          <w:ilvl w:val="1"/>
          <w:numId w:val="161"/>
        </w:numPr>
        <w:spacing w:after="0"/>
        <w:ind w:left="0" w:firstLine="0"/>
        <w:rPr>
          <w:rFonts w:eastAsiaTheme="minorEastAsia"/>
          <w:lang w:eastAsia="ko-KR"/>
        </w:rPr>
      </w:pPr>
      <w:r w:rsidRPr="004635E5">
        <w:rPr>
          <w:rFonts w:eastAsiaTheme="minorEastAsia"/>
          <w:lang w:eastAsia="ko-KR"/>
        </w:rPr>
        <w:t>Ecosystem effects of fishing</w:t>
      </w:r>
    </w:p>
    <w:p w14:paraId="20F56EA4" w14:textId="77777777" w:rsidR="002A4403" w:rsidRPr="004635E5" w:rsidRDefault="002A4403" w:rsidP="006633A8">
      <w:pPr>
        <w:pStyle w:val="SC2"/>
        <w:numPr>
          <w:ilvl w:val="0"/>
          <w:numId w:val="0"/>
        </w:numPr>
        <w:spacing w:after="0"/>
        <w:ind w:left="720"/>
        <w:rPr>
          <w:rFonts w:eastAsiaTheme="minorEastAsia"/>
          <w:lang w:eastAsia="ko-KR"/>
        </w:rPr>
      </w:pPr>
    </w:p>
    <w:p w14:paraId="02A24107" w14:textId="77777777" w:rsidR="00C9604D" w:rsidRPr="004635E5" w:rsidRDefault="00C9604D" w:rsidP="00580EA4">
      <w:pPr>
        <w:pStyle w:val="SC3"/>
        <w:numPr>
          <w:ilvl w:val="2"/>
          <w:numId w:val="161"/>
        </w:numPr>
        <w:spacing w:after="0"/>
        <w:rPr>
          <w:rFonts w:eastAsiaTheme="minorEastAsia"/>
          <w:lang w:eastAsia="ko-KR"/>
        </w:rPr>
      </w:pPr>
      <w:r w:rsidRPr="004635E5">
        <w:rPr>
          <w:rFonts w:eastAsiaTheme="minorEastAsia"/>
          <w:lang w:eastAsia="ko-KR"/>
        </w:rPr>
        <w:t>SEAPODYM</w:t>
      </w:r>
    </w:p>
    <w:p w14:paraId="25A56CE8" w14:textId="77777777" w:rsidR="002A4403" w:rsidRPr="004635E5" w:rsidRDefault="002A4403" w:rsidP="006633A8">
      <w:pPr>
        <w:pStyle w:val="SC3"/>
        <w:numPr>
          <w:ilvl w:val="0"/>
          <w:numId w:val="0"/>
        </w:numPr>
        <w:spacing w:after="0"/>
        <w:ind w:left="1440"/>
        <w:rPr>
          <w:rFonts w:eastAsiaTheme="minorEastAsia"/>
          <w:lang w:eastAsia="ko-KR"/>
        </w:rPr>
      </w:pPr>
    </w:p>
    <w:p w14:paraId="564FBF13" w14:textId="77777777" w:rsidR="009E3F13" w:rsidRPr="004635E5" w:rsidRDefault="008C4469" w:rsidP="006633A8">
      <w:pPr>
        <w:pStyle w:val="WCPFC"/>
        <w:adjustRightInd w:val="0"/>
        <w:spacing w:after="0"/>
        <w:ind w:left="0" w:firstLine="0"/>
        <w:rPr>
          <w:rFonts w:cs="Times New Roman"/>
          <w:lang w:eastAsia="ko-KR"/>
        </w:rPr>
      </w:pPr>
      <w:r w:rsidRPr="004635E5">
        <w:rPr>
          <w:rFonts w:cs="Times New Roman"/>
          <w:lang w:eastAsia="ko-KR"/>
        </w:rPr>
        <w:t xml:space="preserve">N. Smith </w:t>
      </w:r>
      <w:r w:rsidR="009E3F13" w:rsidRPr="004635E5">
        <w:rPr>
          <w:rFonts w:cs="Times New Roman"/>
          <w:lang w:eastAsia="ko-KR"/>
        </w:rPr>
        <w:t xml:space="preserve">(SPC) </w:t>
      </w:r>
      <w:r w:rsidRPr="004635E5">
        <w:rPr>
          <w:rFonts w:cs="Times New Roman"/>
          <w:lang w:eastAsia="ko-KR"/>
        </w:rPr>
        <w:t xml:space="preserve">introduced </w:t>
      </w:r>
      <w:r w:rsidR="00961208">
        <w:rPr>
          <w:rFonts w:eastAsia="Calibri"/>
          <w:lang w:val="en-AU"/>
        </w:rPr>
        <w:t>SC14-</w:t>
      </w:r>
      <w:r w:rsidRPr="004635E5">
        <w:rPr>
          <w:rFonts w:cs="Times New Roman"/>
          <w:lang w:eastAsia="ko-KR"/>
        </w:rPr>
        <w:t xml:space="preserve">EB-WP-01 </w:t>
      </w:r>
      <w:r w:rsidRPr="004635E5">
        <w:rPr>
          <w:rFonts w:cs="Times New Roman"/>
          <w:i/>
          <w:lang w:eastAsia="ko-KR"/>
        </w:rPr>
        <w:t>Projecting impact of climate change on tuna under RPCC8.5</w:t>
      </w:r>
      <w:r w:rsidRPr="004635E5">
        <w:rPr>
          <w:rFonts w:cs="Times New Roman"/>
          <w:i/>
          <w:lang w:val="en-US" w:eastAsia="ko-KR"/>
        </w:rPr>
        <w:t xml:space="preserve"> (Project 62)</w:t>
      </w:r>
      <w:r w:rsidR="009E3F13" w:rsidRPr="004635E5">
        <w:rPr>
          <w:rFonts w:cs="Times New Roman"/>
          <w:lang w:eastAsia="ko-KR"/>
        </w:rPr>
        <w:t>, which reports on an investigation into how climate change could affect the distribution and abundance of skipjack, yellowfin and bigeye tuna and South Pacific albacore, at the Pacific basin scale, and within the EEZs of PICTs. The study relied on the application of the model SEAPODYM</w:t>
      </w:r>
      <w:r w:rsidR="009E3F13" w:rsidRPr="004635E5">
        <w:rPr>
          <w:rFonts w:cs="Times New Roman"/>
          <w:vertAlign w:val="superscript"/>
          <w:lang w:eastAsia="ko-KR"/>
        </w:rPr>
        <w:footnoteReference w:id="7"/>
      </w:r>
      <w:r w:rsidR="009E3F13" w:rsidRPr="004635E5">
        <w:rPr>
          <w:rFonts w:cs="Times New Roman"/>
          <w:lang w:eastAsia="ko-KR"/>
        </w:rPr>
        <w:t xml:space="preserve"> to each tuna species, first with a model parameterization phase over the historical period (1980-2010) using a reanalysis of ocean conditions, and then with projections of an ensemble of simulations to explore key sources of uncertainties. Five different atmospheric forcing datasets from Earth System models projected under the (“business as usual”) IPCC RCP8.5 emissions scenario were used to drive a coupled physical-biogeochemical model (NEMO-PISCES) first, and then SEAPODYM, over the 21st Century. Additional scenarios were included to explore uncertainty associated with future primary production and dissolved oxygen concentration, as well as possible adaptation through phenotypic plasticity of these tuna species to warmer spawning grounds. The impact of ocean acidification was also included for yellowfin tuna based on results from laboratory experiments. </w:t>
      </w:r>
    </w:p>
    <w:p w14:paraId="4C620E9F" w14:textId="77777777" w:rsidR="002A4403" w:rsidRPr="004635E5" w:rsidRDefault="002A4403" w:rsidP="006633A8">
      <w:pPr>
        <w:pStyle w:val="WCPFC"/>
        <w:numPr>
          <w:ilvl w:val="0"/>
          <w:numId w:val="0"/>
        </w:numPr>
        <w:adjustRightInd w:val="0"/>
        <w:spacing w:after="0"/>
        <w:rPr>
          <w:rFonts w:cs="Times New Roman"/>
          <w:lang w:eastAsia="ko-KR"/>
        </w:rPr>
      </w:pPr>
    </w:p>
    <w:p w14:paraId="68D7D7FB" w14:textId="77777777" w:rsidR="009E3F13" w:rsidRPr="004635E5" w:rsidRDefault="009E3F13" w:rsidP="006633A8">
      <w:pPr>
        <w:pStyle w:val="WCPFC"/>
        <w:adjustRightInd w:val="0"/>
        <w:spacing w:after="0"/>
        <w:ind w:left="0" w:firstLine="0"/>
        <w:rPr>
          <w:rFonts w:cs="Times New Roman"/>
          <w:lang w:eastAsia="ko-KR"/>
        </w:rPr>
      </w:pPr>
      <w:r w:rsidRPr="004635E5">
        <w:rPr>
          <w:rFonts w:cs="Times New Roman"/>
          <w:lang w:eastAsia="ko-KR"/>
        </w:rPr>
        <w:t>The historical simulations reflect key features of the ecology and behaviour of the four tuna species, match the total historical catch in terms of both weight, and size frequency distributions. The projections confirm previous results, showing an eastern shift in the biomass of skipjack and yellowfin tuna over time, with a large and increasing uncertainty for the second half of the century, especially for skipjack tuna. The impact is weaker for bigeye tuna and albacore due to revised parameter estimates, which predict a wider and warmer range of favorable spawning habitat</w:t>
      </w:r>
      <w:r w:rsidR="00A16680" w:rsidRPr="004635E5">
        <w:rPr>
          <w:rFonts w:cs="Times New Roman"/>
          <w:lang w:eastAsia="ko-KR"/>
        </w:rPr>
        <w:t xml:space="preserve">. </w:t>
      </w:r>
      <w:r w:rsidRPr="004635E5">
        <w:rPr>
          <w:rFonts w:cs="Times New Roman"/>
          <w:lang w:eastAsia="ko-KR"/>
        </w:rPr>
        <w:t>For albacore, a strong sensitivity to sub-surface oxygen conditions resulted in a very large envelope of projections. Historical fishing pressure was estimated to have reduced the adult stocks of all four tuna species by 30-55 % by the end of 2010, depending on species and region. The effects of fishing on biomass strongly outweighed the decreases attributed to climate change. Thus, fishing pressure is expected to be the dominant driver of tuna population status until at least mid-century. The projected changes in abundance and redistribution of tuna species associated with climate change could have significant implications for the economic development of PICTs, and the management of tuna resources, at basin scale. In particular, larger proportions of the catch of each species is increasingly expected to be made in international waters.</w:t>
      </w:r>
    </w:p>
    <w:p w14:paraId="3B859971" w14:textId="77777777" w:rsidR="002A4403" w:rsidRPr="004635E5" w:rsidRDefault="002A4403" w:rsidP="006633A8">
      <w:pPr>
        <w:pStyle w:val="WCPFC"/>
        <w:numPr>
          <w:ilvl w:val="0"/>
          <w:numId w:val="0"/>
        </w:numPr>
        <w:adjustRightInd w:val="0"/>
        <w:spacing w:after="0"/>
        <w:rPr>
          <w:rFonts w:cs="Times New Roman"/>
          <w:lang w:eastAsia="ko-KR"/>
        </w:rPr>
      </w:pPr>
    </w:p>
    <w:p w14:paraId="0F5C550D" w14:textId="77777777" w:rsidR="009E3F13" w:rsidRPr="004635E5" w:rsidRDefault="009E3F13" w:rsidP="006633A8">
      <w:pPr>
        <w:pStyle w:val="WCPFC"/>
        <w:adjustRightInd w:val="0"/>
        <w:spacing w:after="0"/>
        <w:ind w:left="0" w:firstLine="0"/>
        <w:rPr>
          <w:rFonts w:cs="Times New Roman"/>
          <w:lang w:eastAsia="ko-KR"/>
        </w:rPr>
      </w:pPr>
      <w:r w:rsidRPr="004635E5">
        <w:rPr>
          <w:rFonts w:cs="Times New Roman"/>
          <w:lang w:eastAsia="ko-KR"/>
        </w:rPr>
        <w:t xml:space="preserve">The paper provides the most comprehensive update of SEAPODYM </w:t>
      </w:r>
      <w:r w:rsidR="0041022C" w:rsidRPr="004635E5">
        <w:rPr>
          <w:rFonts w:cs="Times New Roman"/>
          <w:lang w:eastAsia="ko-KR"/>
        </w:rPr>
        <w:t>to date</w:t>
      </w:r>
      <w:r w:rsidRPr="004635E5">
        <w:rPr>
          <w:rFonts w:cs="Times New Roman"/>
          <w:lang w:eastAsia="ko-KR"/>
        </w:rPr>
        <w:t xml:space="preserve">, and covers four tuna populations. A complete ensemble approach </w:t>
      </w:r>
      <w:r w:rsidR="0041022C" w:rsidRPr="004635E5">
        <w:rPr>
          <w:rFonts w:cs="Times New Roman"/>
          <w:lang w:eastAsia="ko-KR"/>
        </w:rPr>
        <w:t xml:space="preserve">was </w:t>
      </w:r>
      <w:r w:rsidRPr="004635E5">
        <w:rPr>
          <w:rFonts w:cs="Times New Roman"/>
          <w:lang w:eastAsia="ko-KR"/>
        </w:rPr>
        <w:t>used to describe uncertainties for all four tuna for the first time. The updates in all models provide better estimates of model parameters with better fit to data, and improved and consistent distributions and dynamics of tuna. The convergence in biomass estimates with independent stock assessment studies provides further confidence in the utility of SEAPODYM to simulate the dynamics of tuna populations under both the fishing pressure and environmental variability that control the abundances and spatial distributions of the four tunas.</w:t>
      </w:r>
    </w:p>
    <w:p w14:paraId="643794C2" w14:textId="77777777" w:rsidR="002A4403" w:rsidRPr="004635E5" w:rsidRDefault="002A4403" w:rsidP="006633A8">
      <w:pPr>
        <w:pStyle w:val="WCPFC"/>
        <w:numPr>
          <w:ilvl w:val="0"/>
          <w:numId w:val="0"/>
        </w:numPr>
        <w:adjustRightInd w:val="0"/>
        <w:spacing w:after="0"/>
        <w:rPr>
          <w:rFonts w:cs="Times New Roman"/>
          <w:lang w:eastAsia="ko-KR"/>
        </w:rPr>
      </w:pPr>
    </w:p>
    <w:p w14:paraId="4352C9CB" w14:textId="77777777" w:rsidR="002A4403" w:rsidRPr="004635E5" w:rsidRDefault="008C4469" w:rsidP="006633A8">
      <w:pPr>
        <w:pStyle w:val="WCPFC"/>
        <w:numPr>
          <w:ilvl w:val="0"/>
          <w:numId w:val="0"/>
        </w:numPr>
        <w:adjustRightInd w:val="0"/>
        <w:spacing w:after="0"/>
        <w:rPr>
          <w:rFonts w:cs="Times New Roman"/>
          <w:b/>
          <w:lang w:eastAsia="ko-KR"/>
        </w:rPr>
      </w:pPr>
      <w:r w:rsidRPr="004635E5">
        <w:rPr>
          <w:rFonts w:cs="Times New Roman"/>
          <w:b/>
          <w:lang w:eastAsia="ko-KR"/>
        </w:rPr>
        <w:t>Discussion</w:t>
      </w:r>
    </w:p>
    <w:p w14:paraId="5A143920" w14:textId="77777777" w:rsidR="002A4403" w:rsidRPr="004635E5" w:rsidRDefault="002A4403" w:rsidP="006633A8">
      <w:pPr>
        <w:pStyle w:val="WCPFC"/>
        <w:numPr>
          <w:ilvl w:val="0"/>
          <w:numId w:val="0"/>
        </w:numPr>
        <w:adjustRightInd w:val="0"/>
        <w:spacing w:after="0"/>
        <w:rPr>
          <w:rFonts w:cs="Times New Roman"/>
          <w:b/>
          <w:lang w:eastAsia="ko-KR"/>
        </w:rPr>
      </w:pPr>
    </w:p>
    <w:p w14:paraId="54E06C4C" w14:textId="77777777" w:rsidR="009A6093" w:rsidRPr="004635E5" w:rsidRDefault="009A6093" w:rsidP="006633A8">
      <w:pPr>
        <w:pStyle w:val="WCPFC"/>
        <w:adjustRightInd w:val="0"/>
        <w:spacing w:after="0"/>
        <w:ind w:left="0" w:firstLine="0"/>
        <w:rPr>
          <w:rFonts w:cs="Times New Roman"/>
          <w:lang w:eastAsia="ko-KR"/>
        </w:rPr>
      </w:pPr>
      <w:r w:rsidRPr="004635E5">
        <w:rPr>
          <w:rFonts w:cs="Times New Roman"/>
          <w:lang w:eastAsia="ko-KR"/>
        </w:rPr>
        <w:t>Fiji, on behalf of FFA members thank</w:t>
      </w:r>
      <w:r w:rsidR="0041022C" w:rsidRPr="004635E5">
        <w:rPr>
          <w:rFonts w:cs="Times New Roman"/>
          <w:lang w:eastAsia="ko-KR"/>
        </w:rPr>
        <w:t>ed</w:t>
      </w:r>
      <w:r w:rsidRPr="004635E5">
        <w:rPr>
          <w:rFonts w:cs="Times New Roman"/>
          <w:lang w:eastAsia="ko-KR"/>
        </w:rPr>
        <w:t xml:space="preserve"> the authors for the</w:t>
      </w:r>
      <w:r w:rsidR="0041022C" w:rsidRPr="004635E5">
        <w:rPr>
          <w:rFonts w:cs="Times New Roman"/>
          <w:lang w:eastAsia="ko-KR"/>
        </w:rPr>
        <w:t>ir</w:t>
      </w:r>
      <w:r w:rsidRPr="004635E5">
        <w:rPr>
          <w:rFonts w:cs="Times New Roman"/>
          <w:lang w:eastAsia="ko-KR"/>
        </w:rPr>
        <w:t xml:space="preserve"> comprehensive update of </w:t>
      </w:r>
      <w:r w:rsidR="0041022C" w:rsidRPr="004635E5">
        <w:rPr>
          <w:rFonts w:cs="Times New Roman"/>
          <w:lang w:eastAsia="ko-KR"/>
        </w:rPr>
        <w:t xml:space="preserve">the </w:t>
      </w:r>
      <w:r w:rsidRPr="004635E5">
        <w:rPr>
          <w:rFonts w:cs="Times New Roman"/>
          <w:lang w:eastAsia="ko-KR"/>
        </w:rPr>
        <w:t>SEAPODYM modelling framework</w:t>
      </w:r>
      <w:r w:rsidR="0041022C" w:rsidRPr="004635E5">
        <w:rPr>
          <w:rFonts w:cs="Times New Roman"/>
          <w:lang w:eastAsia="ko-KR"/>
        </w:rPr>
        <w:t xml:space="preserve">, which they noted was, for </w:t>
      </w:r>
      <w:r w:rsidRPr="004635E5">
        <w:rPr>
          <w:rFonts w:cs="Times New Roman"/>
          <w:lang w:eastAsia="ko-KR"/>
        </w:rPr>
        <w:t>the first time</w:t>
      </w:r>
      <w:r w:rsidR="0041022C" w:rsidRPr="004635E5">
        <w:rPr>
          <w:rFonts w:cs="Times New Roman"/>
          <w:lang w:eastAsia="ko-KR"/>
        </w:rPr>
        <w:t>,</w:t>
      </w:r>
      <w:r w:rsidRPr="004635E5">
        <w:rPr>
          <w:rFonts w:cs="Times New Roman"/>
          <w:lang w:eastAsia="ko-KR"/>
        </w:rPr>
        <w:t xml:space="preserve"> providing advice on all four key tuna stocks in a single paper. </w:t>
      </w:r>
      <w:r w:rsidR="0041022C" w:rsidRPr="004635E5">
        <w:rPr>
          <w:rFonts w:cs="Times New Roman"/>
          <w:lang w:eastAsia="ko-KR"/>
        </w:rPr>
        <w:t>They recognised</w:t>
      </w:r>
      <w:r w:rsidRPr="004635E5">
        <w:rPr>
          <w:rFonts w:cs="Times New Roman"/>
          <w:lang w:eastAsia="ko-KR"/>
        </w:rPr>
        <w:t xml:space="preserve"> the increasing utility of the SEAPODYM model to project the impact of climate change on tuna</w:t>
      </w:r>
      <w:r w:rsidR="00A16680" w:rsidRPr="004635E5">
        <w:rPr>
          <w:rFonts w:cs="Times New Roman"/>
          <w:lang w:eastAsia="ko-KR"/>
        </w:rPr>
        <w:t xml:space="preserve">. </w:t>
      </w:r>
      <w:r w:rsidRPr="004635E5">
        <w:rPr>
          <w:rFonts w:cs="Times New Roman"/>
          <w:lang w:eastAsia="ko-KR"/>
        </w:rPr>
        <w:t xml:space="preserve">The latest model results in the paper demonstrate the usefulness of SEAPODYM. </w:t>
      </w:r>
      <w:r w:rsidR="0041022C" w:rsidRPr="004635E5">
        <w:rPr>
          <w:rFonts w:cs="Times New Roman"/>
          <w:lang w:eastAsia="ko-KR"/>
        </w:rPr>
        <w:t xml:space="preserve">They stated that </w:t>
      </w:r>
      <w:r w:rsidRPr="004635E5">
        <w:rPr>
          <w:rFonts w:cs="Times New Roman"/>
          <w:lang w:eastAsia="ko-KR"/>
        </w:rPr>
        <w:t>FFA members find the information on the abundance and distribution of target tuna species which will be impacted by climate change concerning</w:t>
      </w:r>
      <w:r w:rsidR="00A16680" w:rsidRPr="004635E5">
        <w:rPr>
          <w:rFonts w:cs="Times New Roman"/>
          <w:lang w:eastAsia="ko-KR"/>
        </w:rPr>
        <w:t xml:space="preserve">. </w:t>
      </w:r>
      <w:r w:rsidRPr="004635E5">
        <w:rPr>
          <w:rFonts w:cs="Times New Roman"/>
          <w:lang w:eastAsia="ko-KR"/>
        </w:rPr>
        <w:t xml:space="preserve">While </w:t>
      </w:r>
      <w:r w:rsidR="0041022C" w:rsidRPr="004635E5">
        <w:rPr>
          <w:rFonts w:cs="Times New Roman"/>
          <w:lang w:eastAsia="ko-KR"/>
        </w:rPr>
        <w:t>recognising</w:t>
      </w:r>
      <w:r w:rsidRPr="004635E5">
        <w:rPr>
          <w:rFonts w:cs="Times New Roman"/>
          <w:lang w:eastAsia="ko-KR"/>
        </w:rPr>
        <w:t xml:space="preserve"> the uncertainties in the model outputs, </w:t>
      </w:r>
      <w:r w:rsidR="0041022C" w:rsidRPr="004635E5">
        <w:rPr>
          <w:rFonts w:cs="Times New Roman"/>
          <w:lang w:eastAsia="ko-KR"/>
        </w:rPr>
        <w:t xml:space="preserve">FFA members stated </w:t>
      </w:r>
      <w:r w:rsidRPr="004635E5">
        <w:rPr>
          <w:rFonts w:cs="Times New Roman"/>
          <w:lang w:eastAsia="ko-KR"/>
        </w:rPr>
        <w:t>the model projections are particularly useful to Pacific SIDS because of the importance of tuna to our domestic economies. The redistribution of tuna across the Pacific ocean due to the impact of climate change and oceanographic influences will be of benefit to some coastal states and detrimental to others, while its impact on distant water fishing vessels will be much lower. </w:t>
      </w:r>
      <w:r w:rsidR="0041022C" w:rsidRPr="004635E5">
        <w:rPr>
          <w:rFonts w:cs="Times New Roman"/>
          <w:lang w:eastAsia="ko-KR"/>
        </w:rPr>
        <w:t xml:space="preserve">The </w:t>
      </w:r>
      <w:r w:rsidRPr="004635E5">
        <w:rPr>
          <w:rFonts w:cs="Times New Roman"/>
          <w:lang w:eastAsia="ko-KR"/>
        </w:rPr>
        <w:t>projections are thus useful for strategic planning and management decisions in building resilience against the impact of climate change. FFA members reiterate</w:t>
      </w:r>
      <w:r w:rsidR="0041022C" w:rsidRPr="004635E5">
        <w:rPr>
          <w:rFonts w:cs="Times New Roman"/>
          <w:lang w:eastAsia="ko-KR"/>
        </w:rPr>
        <w:t>d</w:t>
      </w:r>
      <w:r w:rsidRPr="004635E5">
        <w:rPr>
          <w:rFonts w:cs="Times New Roman"/>
          <w:lang w:eastAsia="ko-KR"/>
        </w:rPr>
        <w:t xml:space="preserve"> </w:t>
      </w:r>
      <w:r w:rsidR="0041022C" w:rsidRPr="004635E5">
        <w:rPr>
          <w:rFonts w:cs="Times New Roman"/>
          <w:lang w:eastAsia="ko-KR"/>
        </w:rPr>
        <w:t xml:space="preserve">their </w:t>
      </w:r>
      <w:r w:rsidRPr="004635E5">
        <w:rPr>
          <w:rFonts w:cs="Times New Roman"/>
          <w:lang w:eastAsia="ko-KR"/>
        </w:rPr>
        <w:t>support for the SEAPODYM modelling and look</w:t>
      </w:r>
      <w:r w:rsidR="0041022C" w:rsidRPr="004635E5">
        <w:rPr>
          <w:rFonts w:cs="Times New Roman"/>
          <w:lang w:eastAsia="ko-KR"/>
        </w:rPr>
        <w:t>ed</w:t>
      </w:r>
      <w:r w:rsidRPr="004635E5">
        <w:rPr>
          <w:rFonts w:cs="Times New Roman"/>
          <w:lang w:eastAsia="ko-KR"/>
        </w:rPr>
        <w:t xml:space="preserve"> forward to further refinements</w:t>
      </w:r>
      <w:r w:rsidR="0041022C" w:rsidRPr="004635E5">
        <w:rPr>
          <w:rFonts w:cs="Times New Roman"/>
          <w:lang w:eastAsia="ko-KR"/>
        </w:rPr>
        <w:t xml:space="preserve">; they </w:t>
      </w:r>
      <w:r w:rsidRPr="004635E5">
        <w:rPr>
          <w:rFonts w:cs="Times New Roman"/>
          <w:lang w:eastAsia="ko-KR"/>
        </w:rPr>
        <w:t>request</w:t>
      </w:r>
      <w:r w:rsidR="0041022C" w:rsidRPr="004635E5">
        <w:rPr>
          <w:rFonts w:cs="Times New Roman"/>
          <w:lang w:eastAsia="ko-KR"/>
        </w:rPr>
        <w:t>ed</w:t>
      </w:r>
      <w:r w:rsidRPr="004635E5">
        <w:rPr>
          <w:rFonts w:cs="Times New Roman"/>
          <w:lang w:eastAsia="ko-KR"/>
        </w:rPr>
        <w:t xml:space="preserve"> that SC convey a summary of </w:t>
      </w:r>
      <w:r w:rsidR="0041022C" w:rsidRPr="004635E5">
        <w:rPr>
          <w:rFonts w:cs="Times New Roman"/>
          <w:lang w:eastAsia="ko-KR"/>
        </w:rPr>
        <w:t xml:space="preserve">the </w:t>
      </w:r>
      <w:r w:rsidRPr="004635E5">
        <w:rPr>
          <w:rFonts w:cs="Times New Roman"/>
          <w:lang w:eastAsia="ko-KR"/>
        </w:rPr>
        <w:t>model outputs to the Commission for the benefit of regional decision-makers.</w:t>
      </w:r>
    </w:p>
    <w:p w14:paraId="40A77A1F" w14:textId="77777777" w:rsidR="002A4403" w:rsidRPr="004635E5" w:rsidRDefault="002A4403" w:rsidP="006633A8">
      <w:pPr>
        <w:pStyle w:val="WCPFC"/>
        <w:numPr>
          <w:ilvl w:val="0"/>
          <w:numId w:val="0"/>
        </w:numPr>
        <w:adjustRightInd w:val="0"/>
        <w:spacing w:after="0"/>
        <w:rPr>
          <w:rFonts w:cs="Times New Roman"/>
          <w:lang w:eastAsia="ko-KR"/>
        </w:rPr>
      </w:pPr>
    </w:p>
    <w:p w14:paraId="7404E148" w14:textId="77777777" w:rsidR="009A6093" w:rsidRPr="004635E5" w:rsidRDefault="009A6093" w:rsidP="006633A8">
      <w:pPr>
        <w:pStyle w:val="WCPFC"/>
        <w:adjustRightInd w:val="0"/>
        <w:spacing w:after="0"/>
        <w:ind w:left="0" w:firstLine="0"/>
        <w:rPr>
          <w:rFonts w:cs="Times New Roman"/>
          <w:lang w:eastAsia="ko-KR"/>
        </w:rPr>
      </w:pPr>
      <w:r w:rsidRPr="004635E5">
        <w:rPr>
          <w:rFonts w:cs="Times New Roman"/>
          <w:lang w:eastAsia="ko-KR"/>
        </w:rPr>
        <w:t>Tonga, on behalf of FFA members</w:t>
      </w:r>
      <w:r w:rsidR="0041022C" w:rsidRPr="004635E5">
        <w:rPr>
          <w:rFonts w:cs="Times New Roman"/>
          <w:lang w:eastAsia="ko-KR"/>
        </w:rPr>
        <w:t>,</w:t>
      </w:r>
      <w:r w:rsidRPr="004635E5">
        <w:rPr>
          <w:rFonts w:cs="Times New Roman"/>
          <w:lang w:eastAsia="ko-KR"/>
        </w:rPr>
        <w:t xml:space="preserve"> note</w:t>
      </w:r>
      <w:r w:rsidR="0041022C" w:rsidRPr="004635E5">
        <w:rPr>
          <w:rFonts w:cs="Times New Roman"/>
          <w:lang w:eastAsia="ko-KR"/>
        </w:rPr>
        <w:t>d</w:t>
      </w:r>
      <w:r w:rsidRPr="004635E5">
        <w:rPr>
          <w:rFonts w:cs="Times New Roman"/>
          <w:lang w:eastAsia="ko-KR"/>
        </w:rPr>
        <w:t xml:space="preserve"> the forecasts for climate and oceanography </w:t>
      </w:r>
      <w:r w:rsidR="0041022C" w:rsidRPr="004635E5">
        <w:rPr>
          <w:rFonts w:cs="Times New Roman"/>
          <w:lang w:eastAsia="ko-KR"/>
        </w:rPr>
        <w:t xml:space="preserve">that </w:t>
      </w:r>
      <w:r w:rsidRPr="004635E5">
        <w:rPr>
          <w:rFonts w:cs="Times New Roman"/>
          <w:lang w:eastAsia="ko-KR"/>
        </w:rPr>
        <w:t>underline the importance of ecosystem modelling to better understand combined effects of fishing, environment and climate change on tuna fisheries</w:t>
      </w:r>
      <w:r w:rsidR="0041022C" w:rsidRPr="004635E5">
        <w:rPr>
          <w:rFonts w:cs="Times New Roman"/>
          <w:lang w:eastAsia="ko-KR"/>
        </w:rPr>
        <w:t xml:space="preserve">, stating that </w:t>
      </w:r>
      <w:r w:rsidRPr="004635E5">
        <w:rPr>
          <w:rFonts w:cs="Times New Roman"/>
          <w:lang w:eastAsia="ko-KR"/>
        </w:rPr>
        <w:t xml:space="preserve">the SEAPODYM outputs </w:t>
      </w:r>
      <w:r w:rsidR="0041022C" w:rsidRPr="004635E5">
        <w:rPr>
          <w:rFonts w:cs="Times New Roman"/>
          <w:lang w:eastAsia="ko-KR"/>
        </w:rPr>
        <w:t xml:space="preserve">were </w:t>
      </w:r>
      <w:r w:rsidRPr="004635E5">
        <w:rPr>
          <w:rFonts w:cs="Times New Roman"/>
          <w:lang w:eastAsia="ko-KR"/>
        </w:rPr>
        <w:t>a useful input to future spatial management actions</w:t>
      </w:r>
      <w:r w:rsidR="00A16680" w:rsidRPr="004635E5">
        <w:rPr>
          <w:rFonts w:cs="Times New Roman"/>
          <w:lang w:eastAsia="ko-KR"/>
        </w:rPr>
        <w:t xml:space="preserve">. </w:t>
      </w:r>
      <w:r w:rsidRPr="004635E5">
        <w:rPr>
          <w:rFonts w:cs="Times New Roman"/>
          <w:lang w:eastAsia="ko-KR"/>
        </w:rPr>
        <w:t>Several FFA members have used SEAPODYM-generated biomass estimates for EEZ</w:t>
      </w:r>
      <w:r w:rsidR="0041022C" w:rsidRPr="004635E5">
        <w:rPr>
          <w:rFonts w:cs="Times New Roman"/>
          <w:lang w:eastAsia="ko-KR"/>
        </w:rPr>
        <w:t>-</w:t>
      </w:r>
      <w:r w:rsidRPr="004635E5">
        <w:rPr>
          <w:rFonts w:cs="Times New Roman"/>
          <w:lang w:eastAsia="ko-KR"/>
        </w:rPr>
        <w:t>level information in support of bio-economic analyses of domestic fisheries. FFA members support</w:t>
      </w:r>
      <w:r w:rsidR="0041022C" w:rsidRPr="004635E5">
        <w:rPr>
          <w:rFonts w:cs="Times New Roman"/>
          <w:lang w:eastAsia="ko-KR"/>
        </w:rPr>
        <w:t>ed</w:t>
      </w:r>
      <w:r w:rsidRPr="004635E5">
        <w:rPr>
          <w:rFonts w:cs="Times New Roman"/>
          <w:lang w:eastAsia="ko-KR"/>
        </w:rPr>
        <w:t xml:space="preserve"> the continued improvement of the SEAPODYM model. </w:t>
      </w:r>
    </w:p>
    <w:p w14:paraId="7A43882E" w14:textId="77777777" w:rsidR="002A4403" w:rsidRPr="004635E5" w:rsidRDefault="002A4403" w:rsidP="006633A8">
      <w:pPr>
        <w:pStyle w:val="WCPFC"/>
        <w:numPr>
          <w:ilvl w:val="0"/>
          <w:numId w:val="0"/>
        </w:numPr>
        <w:adjustRightInd w:val="0"/>
        <w:spacing w:after="0"/>
        <w:rPr>
          <w:rFonts w:cs="Times New Roman"/>
          <w:lang w:eastAsia="ko-KR"/>
        </w:rPr>
      </w:pPr>
    </w:p>
    <w:p w14:paraId="0BCC44D3" w14:textId="77777777" w:rsidR="00482A82" w:rsidRPr="004635E5" w:rsidRDefault="00A42394" w:rsidP="006633A8">
      <w:pPr>
        <w:pStyle w:val="WCPFC"/>
        <w:adjustRightInd w:val="0"/>
        <w:spacing w:after="0"/>
        <w:ind w:left="0" w:firstLine="0"/>
        <w:rPr>
          <w:rFonts w:cs="Times New Roman"/>
          <w:lang w:eastAsia="ko-KR"/>
        </w:rPr>
      </w:pPr>
      <w:r w:rsidRPr="004635E5">
        <w:rPr>
          <w:rFonts w:cs="Times New Roman"/>
          <w:lang w:eastAsia="ko-KR"/>
        </w:rPr>
        <w:t xml:space="preserve">In reply to a query from </w:t>
      </w:r>
      <w:r w:rsidR="008C4469" w:rsidRPr="004635E5">
        <w:rPr>
          <w:rFonts w:cs="Times New Roman"/>
          <w:lang w:eastAsia="ko-KR"/>
        </w:rPr>
        <w:t>Aus</w:t>
      </w:r>
      <w:r w:rsidRPr="004635E5">
        <w:rPr>
          <w:rFonts w:cs="Times New Roman"/>
          <w:lang w:eastAsia="ko-KR"/>
        </w:rPr>
        <w:t xml:space="preserve">tralia, N. Smith commented </w:t>
      </w:r>
      <w:r w:rsidR="00482A82" w:rsidRPr="004635E5">
        <w:rPr>
          <w:rFonts w:cs="Times New Roman"/>
          <w:lang w:eastAsia="ko-KR"/>
        </w:rPr>
        <w:t xml:space="preserve">that </w:t>
      </w:r>
      <w:r w:rsidRPr="004635E5">
        <w:rPr>
          <w:rFonts w:cs="Times New Roman"/>
          <w:lang w:eastAsia="ko-KR"/>
        </w:rPr>
        <w:t xml:space="preserve">the model </w:t>
      </w:r>
      <w:r w:rsidR="004437A4" w:rsidRPr="004635E5">
        <w:rPr>
          <w:rFonts w:cs="Times New Roman"/>
          <w:lang w:eastAsia="ko-KR"/>
        </w:rPr>
        <w:t xml:space="preserve">accounted for how climate change impacts </w:t>
      </w:r>
      <w:r w:rsidR="00482A82" w:rsidRPr="004635E5">
        <w:rPr>
          <w:rFonts w:cs="Times New Roman"/>
          <w:lang w:val="en-US" w:eastAsia="ko-KR"/>
        </w:rPr>
        <w:t>ocean conditions</w:t>
      </w:r>
      <w:r w:rsidR="004437A4" w:rsidRPr="004635E5">
        <w:rPr>
          <w:rFonts w:cs="Times New Roman"/>
          <w:lang w:val="en-US" w:eastAsia="ko-KR"/>
        </w:rPr>
        <w:t xml:space="preserve"> throughout the model layers, and thus models broader</w:t>
      </w:r>
      <w:r w:rsidR="00F81EF0">
        <w:rPr>
          <w:rFonts w:cs="Times New Roman"/>
          <w:lang w:val="en-US" w:eastAsia="ko-KR"/>
        </w:rPr>
        <w:t xml:space="preserve"> </w:t>
      </w:r>
      <w:r w:rsidR="00482A82" w:rsidRPr="004635E5">
        <w:rPr>
          <w:rFonts w:cs="Times New Roman"/>
          <w:lang w:val="en-US" w:eastAsia="ko-KR"/>
        </w:rPr>
        <w:t>ecosystem</w:t>
      </w:r>
      <w:r w:rsidR="004437A4" w:rsidRPr="004635E5">
        <w:rPr>
          <w:rFonts w:cs="Times New Roman"/>
          <w:lang w:val="en-US" w:eastAsia="ko-KR"/>
        </w:rPr>
        <w:t xml:space="preserve"> changes that </w:t>
      </w:r>
      <w:r w:rsidR="00482A82" w:rsidRPr="004635E5">
        <w:rPr>
          <w:rFonts w:cs="Times New Roman"/>
          <w:lang w:val="en-US" w:eastAsia="ko-KR"/>
        </w:rPr>
        <w:t>affect distribution of tuna</w:t>
      </w:r>
      <w:r w:rsidR="004437A4" w:rsidRPr="004635E5">
        <w:rPr>
          <w:rFonts w:cs="Times New Roman"/>
          <w:lang w:val="en-US" w:eastAsia="ko-KR"/>
        </w:rPr>
        <w:t>;</w:t>
      </w:r>
      <w:r w:rsidR="00482A82" w:rsidRPr="004635E5">
        <w:rPr>
          <w:rFonts w:cs="Times New Roman"/>
          <w:lang w:val="en-US" w:eastAsia="ko-KR"/>
        </w:rPr>
        <w:t xml:space="preserve"> those latter elements could be improved. </w:t>
      </w:r>
    </w:p>
    <w:p w14:paraId="36790CB9" w14:textId="77777777" w:rsidR="002A4403" w:rsidRPr="004635E5" w:rsidRDefault="002A4403" w:rsidP="006633A8">
      <w:pPr>
        <w:pStyle w:val="WCPFC"/>
        <w:numPr>
          <w:ilvl w:val="0"/>
          <w:numId w:val="0"/>
        </w:numPr>
        <w:adjustRightInd w:val="0"/>
        <w:spacing w:after="0"/>
        <w:rPr>
          <w:rFonts w:cs="Times New Roman"/>
          <w:lang w:eastAsia="ko-KR"/>
        </w:rPr>
      </w:pPr>
    </w:p>
    <w:p w14:paraId="5CE9E647" w14:textId="77777777" w:rsidR="009A6093" w:rsidRPr="004635E5" w:rsidRDefault="009A6093" w:rsidP="006633A8">
      <w:pPr>
        <w:pStyle w:val="WCPFC"/>
        <w:adjustRightInd w:val="0"/>
        <w:spacing w:after="0"/>
        <w:ind w:left="0" w:firstLine="0"/>
        <w:rPr>
          <w:rFonts w:cs="Times New Roman"/>
          <w:lang w:eastAsia="ko-KR"/>
        </w:rPr>
      </w:pPr>
      <w:r w:rsidRPr="004635E5">
        <w:rPr>
          <w:rFonts w:cs="Times New Roman"/>
          <w:lang w:eastAsia="ko-KR"/>
        </w:rPr>
        <w:t>Cook Islands, on behalf of FFA members note</w:t>
      </w:r>
      <w:r w:rsidR="0041022C" w:rsidRPr="004635E5">
        <w:rPr>
          <w:rFonts w:cs="Times New Roman"/>
          <w:lang w:eastAsia="ko-KR"/>
        </w:rPr>
        <w:t>d</w:t>
      </w:r>
      <w:r w:rsidRPr="004635E5">
        <w:rPr>
          <w:rFonts w:cs="Times New Roman"/>
          <w:lang w:eastAsia="ko-KR"/>
        </w:rPr>
        <w:t xml:space="preserve"> that SEAPODYM modelling work </w:t>
      </w:r>
      <w:r w:rsidR="0041022C" w:rsidRPr="004635E5">
        <w:rPr>
          <w:rFonts w:cs="Times New Roman"/>
          <w:lang w:eastAsia="ko-KR"/>
        </w:rPr>
        <w:t xml:space="preserve">was </w:t>
      </w:r>
      <w:r w:rsidRPr="004635E5">
        <w:rPr>
          <w:rFonts w:cs="Times New Roman"/>
          <w:lang w:eastAsia="ko-KR"/>
        </w:rPr>
        <w:t xml:space="preserve">not funded by the WCPFC, although part of the work </w:t>
      </w:r>
      <w:r w:rsidR="0041022C" w:rsidRPr="004635E5">
        <w:rPr>
          <w:rFonts w:cs="Times New Roman"/>
          <w:lang w:eastAsia="ko-KR"/>
        </w:rPr>
        <w:t xml:space="preserve">was </w:t>
      </w:r>
      <w:r w:rsidRPr="004635E5">
        <w:rPr>
          <w:rFonts w:cs="Times New Roman"/>
          <w:lang w:eastAsia="ko-KR"/>
        </w:rPr>
        <w:t xml:space="preserve">supported by the FFA/SPC OFMP2 project. </w:t>
      </w:r>
      <w:r w:rsidR="0041022C" w:rsidRPr="004635E5">
        <w:rPr>
          <w:rFonts w:cs="Times New Roman"/>
          <w:lang w:eastAsia="ko-KR"/>
        </w:rPr>
        <w:t>They stated i</w:t>
      </w:r>
      <w:r w:rsidRPr="004635E5">
        <w:rPr>
          <w:rFonts w:cs="Times New Roman"/>
          <w:lang w:eastAsia="ko-KR"/>
        </w:rPr>
        <w:t xml:space="preserve">t would not have been possible without broader support, and </w:t>
      </w:r>
      <w:r w:rsidR="0041022C" w:rsidRPr="004635E5">
        <w:rPr>
          <w:rFonts w:cs="Times New Roman"/>
          <w:lang w:eastAsia="ko-KR"/>
        </w:rPr>
        <w:t>thanked</w:t>
      </w:r>
      <w:r w:rsidRPr="004635E5">
        <w:rPr>
          <w:rFonts w:cs="Times New Roman"/>
          <w:lang w:eastAsia="ko-KR"/>
        </w:rPr>
        <w:t xml:space="preserve"> those who provided resources </w:t>
      </w:r>
      <w:r w:rsidR="0041022C" w:rsidRPr="004635E5">
        <w:rPr>
          <w:rFonts w:cs="Times New Roman"/>
          <w:lang w:eastAsia="ko-KR"/>
        </w:rPr>
        <w:t xml:space="preserve">for the </w:t>
      </w:r>
      <w:r w:rsidRPr="004635E5">
        <w:rPr>
          <w:rFonts w:cs="Times New Roman"/>
          <w:lang w:eastAsia="ko-KR"/>
        </w:rPr>
        <w:t xml:space="preserve">project. </w:t>
      </w:r>
      <w:r w:rsidR="0041022C" w:rsidRPr="004635E5">
        <w:rPr>
          <w:rFonts w:cs="Times New Roman"/>
          <w:lang w:eastAsia="ko-KR"/>
        </w:rPr>
        <w:t>The</w:t>
      </w:r>
      <w:r w:rsidR="005D600C">
        <w:rPr>
          <w:rFonts w:cs="Times New Roman" w:hint="eastAsia"/>
          <w:lang w:eastAsia="ko-KR"/>
        </w:rPr>
        <w:t>y</w:t>
      </w:r>
      <w:r w:rsidR="0041022C" w:rsidRPr="004635E5">
        <w:rPr>
          <w:rFonts w:cs="Times New Roman"/>
          <w:lang w:eastAsia="ko-KR"/>
        </w:rPr>
        <w:t xml:space="preserve"> </w:t>
      </w:r>
      <w:r w:rsidRPr="004635E5">
        <w:rPr>
          <w:rFonts w:cs="Times New Roman"/>
          <w:lang w:eastAsia="ko-KR"/>
        </w:rPr>
        <w:t>support</w:t>
      </w:r>
      <w:r w:rsidR="0041022C" w:rsidRPr="004635E5">
        <w:rPr>
          <w:rFonts w:cs="Times New Roman"/>
          <w:lang w:eastAsia="ko-KR"/>
        </w:rPr>
        <w:t>ed</w:t>
      </w:r>
      <w:r w:rsidRPr="004635E5">
        <w:rPr>
          <w:rFonts w:cs="Times New Roman"/>
          <w:lang w:eastAsia="ko-KR"/>
        </w:rPr>
        <w:t xml:space="preserve"> the use of some Commission resources to support </w:t>
      </w:r>
      <w:r w:rsidR="0041022C" w:rsidRPr="004635E5">
        <w:rPr>
          <w:rFonts w:cs="Times New Roman"/>
          <w:lang w:eastAsia="ko-KR"/>
        </w:rPr>
        <w:t xml:space="preserve">the </w:t>
      </w:r>
      <w:r w:rsidRPr="004635E5">
        <w:rPr>
          <w:rFonts w:cs="Times New Roman"/>
          <w:lang w:eastAsia="ko-KR"/>
        </w:rPr>
        <w:t xml:space="preserve">work, if external funding </w:t>
      </w:r>
      <w:r w:rsidR="0041022C" w:rsidRPr="004635E5">
        <w:rPr>
          <w:rFonts w:cs="Times New Roman"/>
          <w:lang w:eastAsia="ko-KR"/>
        </w:rPr>
        <w:t xml:space="preserve">was </w:t>
      </w:r>
      <w:r w:rsidRPr="004635E5">
        <w:rPr>
          <w:rFonts w:cs="Times New Roman"/>
          <w:lang w:eastAsia="ko-KR"/>
        </w:rPr>
        <w:t>unavailable or limited</w:t>
      </w:r>
      <w:r w:rsidR="00A16680" w:rsidRPr="004635E5">
        <w:rPr>
          <w:rFonts w:cs="Times New Roman"/>
          <w:lang w:eastAsia="ko-KR"/>
        </w:rPr>
        <w:t xml:space="preserve">. </w:t>
      </w:r>
      <w:r w:rsidRPr="004635E5">
        <w:rPr>
          <w:rFonts w:cs="Times New Roman"/>
          <w:lang w:eastAsia="ko-KR"/>
        </w:rPr>
        <w:t>Similarly, FFA members encourage</w:t>
      </w:r>
      <w:r w:rsidR="0041022C" w:rsidRPr="004635E5">
        <w:rPr>
          <w:rFonts w:cs="Times New Roman"/>
          <w:lang w:eastAsia="ko-KR"/>
        </w:rPr>
        <w:t>d</w:t>
      </w:r>
      <w:r w:rsidRPr="004635E5">
        <w:rPr>
          <w:rFonts w:cs="Times New Roman"/>
          <w:lang w:eastAsia="ko-KR"/>
        </w:rPr>
        <w:t xml:space="preserve"> SC to continue to prioritise ecosystem research projects in the SC work plan</w:t>
      </w:r>
      <w:r w:rsidR="0041022C" w:rsidRPr="004635E5">
        <w:rPr>
          <w:rFonts w:cs="Times New Roman"/>
          <w:lang w:eastAsia="ko-KR"/>
        </w:rPr>
        <w:t xml:space="preserve">, including </w:t>
      </w:r>
      <w:r w:rsidRPr="004635E5">
        <w:rPr>
          <w:rFonts w:cs="Times New Roman"/>
          <w:lang w:eastAsia="ko-KR"/>
        </w:rPr>
        <w:t>the continuation of targeted and relevant ecosystem research. FFA members also support</w:t>
      </w:r>
      <w:r w:rsidR="0041022C" w:rsidRPr="004635E5">
        <w:rPr>
          <w:rFonts w:cs="Times New Roman"/>
          <w:lang w:eastAsia="ko-KR"/>
        </w:rPr>
        <w:t>ed</w:t>
      </w:r>
      <w:r w:rsidRPr="004635E5">
        <w:rPr>
          <w:rFonts w:cs="Times New Roman"/>
          <w:lang w:eastAsia="ko-KR"/>
        </w:rPr>
        <w:t xml:space="preserve"> further development of the SEAPODYM model and </w:t>
      </w:r>
      <w:r w:rsidR="0041022C" w:rsidRPr="004635E5">
        <w:rPr>
          <w:rFonts w:cs="Times New Roman"/>
          <w:lang w:eastAsia="ko-KR"/>
        </w:rPr>
        <w:t xml:space="preserve">its application (given </w:t>
      </w:r>
      <w:r w:rsidRPr="004635E5">
        <w:rPr>
          <w:rFonts w:cs="Times New Roman"/>
          <w:lang w:eastAsia="ko-KR"/>
        </w:rPr>
        <w:t>adequate robust datasets</w:t>
      </w:r>
      <w:r w:rsidR="0041022C" w:rsidRPr="004635E5">
        <w:rPr>
          <w:rFonts w:cs="Times New Roman"/>
          <w:lang w:eastAsia="ko-KR"/>
        </w:rPr>
        <w:t xml:space="preserve">) </w:t>
      </w:r>
      <w:r w:rsidRPr="004635E5">
        <w:rPr>
          <w:rFonts w:cs="Times New Roman"/>
          <w:lang w:eastAsia="ko-KR"/>
        </w:rPr>
        <w:t>to other species, such as swordfish, wahoo and mahi</w:t>
      </w:r>
      <w:r w:rsidR="0061195B">
        <w:rPr>
          <w:rFonts w:cs="Times New Roman" w:hint="eastAsia"/>
          <w:lang w:eastAsia="ko-KR"/>
        </w:rPr>
        <w:t xml:space="preserve"> </w:t>
      </w:r>
      <w:r w:rsidRPr="004635E5">
        <w:rPr>
          <w:rFonts w:cs="Times New Roman"/>
          <w:lang w:eastAsia="ko-KR"/>
        </w:rPr>
        <w:t>mahi. FFA members request</w:t>
      </w:r>
      <w:r w:rsidR="0041022C" w:rsidRPr="004635E5">
        <w:rPr>
          <w:rFonts w:cs="Times New Roman"/>
          <w:lang w:eastAsia="ko-KR"/>
        </w:rPr>
        <w:t>ed</w:t>
      </w:r>
      <w:r w:rsidRPr="004635E5">
        <w:rPr>
          <w:rFonts w:cs="Times New Roman"/>
          <w:lang w:eastAsia="ko-KR"/>
        </w:rPr>
        <w:t xml:space="preserve"> that the SC make </w:t>
      </w:r>
      <w:r w:rsidR="0041022C" w:rsidRPr="004635E5">
        <w:rPr>
          <w:rFonts w:cs="Times New Roman"/>
          <w:lang w:eastAsia="ko-KR"/>
        </w:rPr>
        <w:t xml:space="preserve">such a </w:t>
      </w:r>
      <w:r w:rsidRPr="004635E5">
        <w:rPr>
          <w:rFonts w:cs="Times New Roman"/>
          <w:lang w:eastAsia="ko-KR"/>
        </w:rPr>
        <w:t>recommendations to the Commission.</w:t>
      </w:r>
      <w:r w:rsidR="00D1099E" w:rsidRPr="004635E5">
        <w:rPr>
          <w:rFonts w:cs="Times New Roman"/>
          <w:lang w:eastAsia="ko-KR"/>
        </w:rPr>
        <w:t xml:space="preserve"> In reply to a request for clarification from the </w:t>
      </w:r>
      <w:r w:rsidR="0041022C" w:rsidRPr="004635E5">
        <w:rPr>
          <w:rFonts w:cs="Times New Roman"/>
          <w:lang w:eastAsia="ko-KR"/>
        </w:rPr>
        <w:t>theme c</w:t>
      </w:r>
      <w:r w:rsidR="00D1099E" w:rsidRPr="004635E5">
        <w:rPr>
          <w:rFonts w:cs="Times New Roman"/>
          <w:lang w:eastAsia="ko-KR"/>
        </w:rPr>
        <w:t xml:space="preserve">onvener, Cook Islands confirmed their interest in </w:t>
      </w:r>
      <w:r w:rsidR="00D1099E" w:rsidRPr="004635E5">
        <w:rPr>
          <w:rFonts w:cs="Times New Roman"/>
          <w:lang w:val="en-US" w:eastAsia="ko-KR"/>
        </w:rPr>
        <w:t xml:space="preserve">applying the model to the three species mentioned, and </w:t>
      </w:r>
      <w:r w:rsidR="00194AEE" w:rsidRPr="004635E5">
        <w:rPr>
          <w:rFonts w:cs="Times New Roman"/>
          <w:lang w:val="en-US" w:eastAsia="ko-KR"/>
        </w:rPr>
        <w:t>ensuring funding support for the work.</w:t>
      </w:r>
    </w:p>
    <w:p w14:paraId="1434202A" w14:textId="77777777" w:rsidR="002A4403" w:rsidRPr="004635E5" w:rsidRDefault="002A4403" w:rsidP="006633A8">
      <w:pPr>
        <w:pStyle w:val="WCPFC"/>
        <w:numPr>
          <w:ilvl w:val="0"/>
          <w:numId w:val="0"/>
        </w:numPr>
        <w:adjustRightInd w:val="0"/>
        <w:spacing w:after="0"/>
        <w:rPr>
          <w:rFonts w:cs="Times New Roman"/>
          <w:lang w:eastAsia="ko-KR"/>
        </w:rPr>
      </w:pPr>
    </w:p>
    <w:p w14:paraId="2EC2B417" w14:textId="77777777" w:rsidR="008C4469" w:rsidRPr="004635E5" w:rsidRDefault="008C4469" w:rsidP="006633A8">
      <w:pPr>
        <w:pStyle w:val="WCPFC"/>
        <w:adjustRightInd w:val="0"/>
        <w:spacing w:after="0"/>
        <w:ind w:left="0" w:firstLine="0"/>
        <w:rPr>
          <w:rFonts w:cs="Times New Roman"/>
          <w:lang w:eastAsia="ko-KR"/>
        </w:rPr>
      </w:pPr>
      <w:r w:rsidRPr="004635E5">
        <w:rPr>
          <w:rFonts w:cs="Times New Roman"/>
          <w:lang w:eastAsia="ko-KR"/>
        </w:rPr>
        <w:t>Japan</w:t>
      </w:r>
      <w:r w:rsidR="00194AEE" w:rsidRPr="004635E5">
        <w:rPr>
          <w:rFonts w:cs="Times New Roman"/>
          <w:lang w:eastAsia="ko-KR"/>
        </w:rPr>
        <w:t xml:space="preserve"> inquired how changes in </w:t>
      </w:r>
      <w:r w:rsidRPr="004635E5">
        <w:rPr>
          <w:rFonts w:cs="Times New Roman"/>
          <w:lang w:eastAsia="ko-KR"/>
        </w:rPr>
        <w:t xml:space="preserve">movement </w:t>
      </w:r>
      <w:r w:rsidR="00194AEE" w:rsidRPr="004635E5">
        <w:rPr>
          <w:rFonts w:cs="Times New Roman"/>
          <w:lang w:eastAsia="ko-KR"/>
        </w:rPr>
        <w:t xml:space="preserve">(e.g., swimming depth) through </w:t>
      </w:r>
      <w:r w:rsidRPr="004635E5">
        <w:rPr>
          <w:rFonts w:cs="Times New Roman"/>
          <w:lang w:eastAsia="ko-KR"/>
        </w:rPr>
        <w:t xml:space="preserve">life </w:t>
      </w:r>
      <w:r w:rsidR="00194AEE" w:rsidRPr="004635E5">
        <w:rPr>
          <w:rFonts w:cs="Times New Roman"/>
          <w:lang w:eastAsia="ko-KR"/>
        </w:rPr>
        <w:t>s</w:t>
      </w:r>
      <w:r w:rsidRPr="004635E5">
        <w:rPr>
          <w:rFonts w:cs="Times New Roman"/>
          <w:lang w:eastAsia="ko-KR"/>
        </w:rPr>
        <w:t>tages</w:t>
      </w:r>
      <w:r w:rsidR="00194AEE" w:rsidRPr="004635E5">
        <w:rPr>
          <w:rFonts w:cs="Times New Roman"/>
          <w:lang w:eastAsia="ko-KR"/>
        </w:rPr>
        <w:t xml:space="preserve"> were addressed, noting empirical data were available on </w:t>
      </w:r>
      <w:r w:rsidRPr="004635E5">
        <w:rPr>
          <w:rFonts w:cs="Times New Roman"/>
          <w:lang w:eastAsia="ko-KR"/>
        </w:rPr>
        <w:t>swimming depth</w:t>
      </w:r>
      <w:r w:rsidR="00194AEE" w:rsidRPr="004635E5">
        <w:rPr>
          <w:rFonts w:cs="Times New Roman"/>
          <w:lang w:eastAsia="ko-KR"/>
        </w:rPr>
        <w:t>.</w:t>
      </w:r>
      <w:r w:rsidRPr="004635E5">
        <w:rPr>
          <w:rFonts w:cs="Times New Roman"/>
          <w:lang w:eastAsia="ko-KR"/>
        </w:rPr>
        <w:t xml:space="preserve"> </w:t>
      </w:r>
      <w:r w:rsidR="00B702B3" w:rsidRPr="004635E5">
        <w:rPr>
          <w:rFonts w:cs="Times New Roman"/>
          <w:lang w:eastAsia="ko-KR"/>
        </w:rPr>
        <w:t>SPC</w:t>
      </w:r>
      <w:r w:rsidR="00194AEE" w:rsidRPr="004635E5">
        <w:rPr>
          <w:rFonts w:cs="Times New Roman"/>
          <w:lang w:eastAsia="ko-KR"/>
        </w:rPr>
        <w:t xml:space="preserve"> noted that </w:t>
      </w:r>
      <w:r w:rsidR="0091567A" w:rsidRPr="004635E5">
        <w:rPr>
          <w:rFonts w:cs="Times New Roman"/>
          <w:lang w:eastAsia="ko-KR"/>
        </w:rPr>
        <w:t>the model was being tested</w:t>
      </w:r>
      <w:r w:rsidR="00194AEE" w:rsidRPr="004635E5">
        <w:rPr>
          <w:rFonts w:cs="Times New Roman"/>
          <w:lang w:eastAsia="ko-KR"/>
        </w:rPr>
        <w:t xml:space="preserve"> </w:t>
      </w:r>
      <w:r w:rsidR="00B702B3" w:rsidRPr="004635E5">
        <w:rPr>
          <w:rFonts w:cs="Times New Roman"/>
          <w:lang w:eastAsia="ko-KR"/>
        </w:rPr>
        <w:t>aga</w:t>
      </w:r>
      <w:r w:rsidR="00194AEE" w:rsidRPr="004635E5">
        <w:rPr>
          <w:rFonts w:cs="Times New Roman"/>
          <w:lang w:eastAsia="ko-KR"/>
        </w:rPr>
        <w:t>i</w:t>
      </w:r>
      <w:r w:rsidR="00B702B3" w:rsidRPr="004635E5">
        <w:rPr>
          <w:rFonts w:cs="Times New Roman"/>
          <w:lang w:eastAsia="ko-KR"/>
        </w:rPr>
        <w:t>ns</w:t>
      </w:r>
      <w:r w:rsidR="00194AEE" w:rsidRPr="004635E5">
        <w:rPr>
          <w:rFonts w:cs="Times New Roman"/>
          <w:lang w:eastAsia="ko-KR"/>
        </w:rPr>
        <w:t xml:space="preserve">t real </w:t>
      </w:r>
      <w:r w:rsidR="0091567A" w:rsidRPr="004635E5">
        <w:rPr>
          <w:rFonts w:cs="Times New Roman"/>
          <w:lang w:eastAsia="ko-KR"/>
        </w:rPr>
        <w:t xml:space="preserve">world </w:t>
      </w:r>
      <w:r w:rsidR="00B702B3" w:rsidRPr="004635E5">
        <w:rPr>
          <w:rFonts w:cs="Times New Roman"/>
          <w:lang w:eastAsia="ko-KR"/>
        </w:rPr>
        <w:t xml:space="preserve">data </w:t>
      </w:r>
      <w:r w:rsidR="00194AEE" w:rsidRPr="004635E5">
        <w:rPr>
          <w:rFonts w:cs="Times New Roman"/>
          <w:lang w:eastAsia="ko-KR"/>
        </w:rPr>
        <w:t xml:space="preserve">through </w:t>
      </w:r>
      <w:r w:rsidR="00B702B3" w:rsidRPr="004635E5">
        <w:rPr>
          <w:rFonts w:cs="Times New Roman"/>
          <w:lang w:eastAsia="ko-KR"/>
        </w:rPr>
        <w:t xml:space="preserve">hind casting, </w:t>
      </w:r>
      <w:r w:rsidR="0091567A" w:rsidRPr="004635E5">
        <w:rPr>
          <w:rFonts w:cs="Times New Roman"/>
          <w:lang w:eastAsia="ko-KR"/>
        </w:rPr>
        <w:t xml:space="preserve">and would </w:t>
      </w:r>
      <w:r w:rsidR="00B702B3" w:rsidRPr="004635E5">
        <w:rPr>
          <w:rFonts w:cs="Times New Roman"/>
          <w:lang w:eastAsia="ko-KR"/>
        </w:rPr>
        <w:t>look to do that w</w:t>
      </w:r>
      <w:r w:rsidR="0091567A" w:rsidRPr="004635E5">
        <w:rPr>
          <w:rFonts w:cs="Times New Roman"/>
          <w:lang w:eastAsia="ko-KR"/>
        </w:rPr>
        <w:t>ith</w:t>
      </w:r>
      <w:r w:rsidR="00B702B3" w:rsidRPr="004635E5">
        <w:rPr>
          <w:rFonts w:cs="Times New Roman"/>
          <w:lang w:eastAsia="ko-KR"/>
        </w:rPr>
        <w:t xml:space="preserve"> swimming depth of juvenile </w:t>
      </w:r>
      <w:r w:rsidR="0091567A" w:rsidRPr="004635E5">
        <w:rPr>
          <w:rFonts w:cs="Times New Roman"/>
          <w:lang w:eastAsia="ko-KR"/>
        </w:rPr>
        <w:t>skipjack</w:t>
      </w:r>
      <w:r w:rsidR="00B702B3" w:rsidRPr="004635E5">
        <w:rPr>
          <w:rFonts w:cs="Times New Roman"/>
          <w:lang w:eastAsia="ko-KR"/>
        </w:rPr>
        <w:t xml:space="preserve">. </w:t>
      </w:r>
      <w:r w:rsidR="004437A4" w:rsidRPr="004635E5">
        <w:rPr>
          <w:rFonts w:cs="Times New Roman"/>
          <w:lang w:eastAsia="ko-KR"/>
        </w:rPr>
        <w:t xml:space="preserve">N. Smith indicated the question would be passed on to the study’s principal authors. </w:t>
      </w:r>
    </w:p>
    <w:p w14:paraId="7E839F1B" w14:textId="77777777" w:rsidR="002A4403" w:rsidRPr="004635E5" w:rsidRDefault="002A4403" w:rsidP="006633A8">
      <w:pPr>
        <w:pStyle w:val="WCPFC"/>
        <w:numPr>
          <w:ilvl w:val="0"/>
          <w:numId w:val="0"/>
        </w:numPr>
        <w:adjustRightInd w:val="0"/>
        <w:spacing w:after="0"/>
        <w:rPr>
          <w:rFonts w:cs="Times New Roman"/>
          <w:lang w:eastAsia="ko-KR"/>
        </w:rPr>
      </w:pPr>
    </w:p>
    <w:p w14:paraId="1A7BDD53" w14:textId="77777777" w:rsidR="00B702B3" w:rsidRPr="004635E5" w:rsidRDefault="00B702B3" w:rsidP="006633A8">
      <w:pPr>
        <w:pStyle w:val="WCPFC"/>
        <w:adjustRightInd w:val="0"/>
        <w:spacing w:after="0"/>
        <w:ind w:left="0" w:firstLine="0"/>
        <w:rPr>
          <w:rFonts w:cs="Times New Roman"/>
          <w:lang w:eastAsia="ko-KR"/>
        </w:rPr>
      </w:pPr>
      <w:r w:rsidRPr="004635E5">
        <w:rPr>
          <w:rFonts w:cs="Times New Roman"/>
          <w:lang w:eastAsia="ko-KR"/>
        </w:rPr>
        <w:t>Korea</w:t>
      </w:r>
      <w:r w:rsidR="0091567A" w:rsidRPr="004635E5">
        <w:rPr>
          <w:rFonts w:cs="Times New Roman"/>
          <w:lang w:eastAsia="ko-KR"/>
        </w:rPr>
        <w:t xml:space="preserve"> inquired regarding treatment by the model of species interactions</w:t>
      </w:r>
      <w:r w:rsidRPr="004635E5">
        <w:rPr>
          <w:rFonts w:cs="Times New Roman"/>
          <w:lang w:eastAsia="ko-KR"/>
        </w:rPr>
        <w:t>. SPC</w:t>
      </w:r>
      <w:r w:rsidR="0091567A" w:rsidRPr="004635E5">
        <w:rPr>
          <w:rFonts w:cs="Times New Roman"/>
          <w:lang w:eastAsia="ko-KR"/>
        </w:rPr>
        <w:t xml:space="preserve"> indicated skipjack </w:t>
      </w:r>
      <w:r w:rsidRPr="004635E5">
        <w:rPr>
          <w:rFonts w:cs="Times New Roman"/>
          <w:lang w:eastAsia="ko-KR"/>
        </w:rPr>
        <w:t>was t</w:t>
      </w:r>
      <w:r w:rsidR="0091567A" w:rsidRPr="004635E5">
        <w:rPr>
          <w:rFonts w:cs="Times New Roman"/>
          <w:lang w:eastAsia="ko-KR"/>
        </w:rPr>
        <w:t>r</w:t>
      </w:r>
      <w:r w:rsidRPr="004635E5">
        <w:rPr>
          <w:rFonts w:cs="Times New Roman"/>
          <w:lang w:eastAsia="ko-KR"/>
        </w:rPr>
        <w:t>eated as prey and predator in the m</w:t>
      </w:r>
      <w:r w:rsidR="0091567A" w:rsidRPr="004635E5">
        <w:rPr>
          <w:rFonts w:cs="Times New Roman"/>
          <w:lang w:eastAsia="ko-KR"/>
        </w:rPr>
        <w:t>odel</w:t>
      </w:r>
      <w:r w:rsidRPr="004635E5">
        <w:rPr>
          <w:rFonts w:cs="Times New Roman"/>
          <w:lang w:eastAsia="ko-KR"/>
        </w:rPr>
        <w:t xml:space="preserve">. </w:t>
      </w:r>
      <w:r w:rsidR="0091567A" w:rsidRPr="004635E5">
        <w:rPr>
          <w:rFonts w:cs="Times New Roman"/>
          <w:lang w:eastAsia="ko-KR"/>
        </w:rPr>
        <w:t xml:space="preserve">For other </w:t>
      </w:r>
      <w:r w:rsidRPr="004635E5">
        <w:rPr>
          <w:rFonts w:cs="Times New Roman"/>
          <w:lang w:eastAsia="ko-KR"/>
        </w:rPr>
        <w:t>species, changes in biomass and dist</w:t>
      </w:r>
      <w:r w:rsidR="0091567A" w:rsidRPr="004635E5">
        <w:rPr>
          <w:rFonts w:cs="Times New Roman"/>
          <w:lang w:eastAsia="ko-KR"/>
        </w:rPr>
        <w:t>ribution</w:t>
      </w:r>
      <w:r w:rsidRPr="004635E5">
        <w:rPr>
          <w:rFonts w:cs="Times New Roman"/>
          <w:lang w:eastAsia="ko-KR"/>
        </w:rPr>
        <w:t xml:space="preserve"> of tuna forage are considered</w:t>
      </w:r>
      <w:r w:rsidR="0091567A" w:rsidRPr="004635E5">
        <w:rPr>
          <w:rFonts w:cs="Times New Roman"/>
          <w:lang w:eastAsia="ko-KR"/>
        </w:rPr>
        <w:t>,</w:t>
      </w:r>
      <w:r w:rsidRPr="004635E5">
        <w:rPr>
          <w:rFonts w:cs="Times New Roman"/>
          <w:lang w:eastAsia="ko-KR"/>
        </w:rPr>
        <w:t xml:space="preserve"> but </w:t>
      </w:r>
      <w:r w:rsidR="0091567A" w:rsidRPr="004635E5">
        <w:rPr>
          <w:rFonts w:cs="Times New Roman"/>
          <w:lang w:eastAsia="ko-KR"/>
        </w:rPr>
        <w:t xml:space="preserve">species </w:t>
      </w:r>
      <w:r w:rsidRPr="004635E5">
        <w:rPr>
          <w:rFonts w:cs="Times New Roman"/>
          <w:lang w:eastAsia="ko-KR"/>
        </w:rPr>
        <w:t xml:space="preserve">not </w:t>
      </w:r>
      <w:r w:rsidR="0091567A" w:rsidRPr="004635E5">
        <w:rPr>
          <w:rFonts w:cs="Times New Roman"/>
          <w:lang w:eastAsia="ko-KR"/>
        </w:rPr>
        <w:t xml:space="preserve">examined </w:t>
      </w:r>
      <w:r w:rsidRPr="004635E5">
        <w:rPr>
          <w:rFonts w:cs="Times New Roman"/>
          <w:lang w:eastAsia="ko-KR"/>
        </w:rPr>
        <w:t xml:space="preserve">individually. </w:t>
      </w:r>
    </w:p>
    <w:p w14:paraId="1CE67F36" w14:textId="77777777" w:rsidR="002A4403" w:rsidRPr="004635E5" w:rsidRDefault="002A4403" w:rsidP="006633A8">
      <w:pPr>
        <w:pStyle w:val="WCPFC"/>
        <w:numPr>
          <w:ilvl w:val="0"/>
          <w:numId w:val="0"/>
        </w:numPr>
        <w:adjustRightInd w:val="0"/>
        <w:spacing w:after="0"/>
        <w:rPr>
          <w:rFonts w:cs="Times New Roman"/>
          <w:lang w:eastAsia="ko-KR"/>
        </w:rPr>
      </w:pPr>
    </w:p>
    <w:p w14:paraId="51AB0E16" w14:textId="77777777" w:rsidR="00CB52EC" w:rsidRPr="004635E5" w:rsidRDefault="00CB52EC" w:rsidP="00580EA4">
      <w:pPr>
        <w:pStyle w:val="SC3"/>
        <w:numPr>
          <w:ilvl w:val="2"/>
          <w:numId w:val="161"/>
        </w:numPr>
        <w:spacing w:after="0"/>
        <w:rPr>
          <w:rFonts w:eastAsiaTheme="minorEastAsia"/>
          <w:lang w:eastAsia="ko-KR"/>
        </w:rPr>
      </w:pPr>
      <w:r w:rsidRPr="004635E5">
        <w:rPr>
          <w:rFonts w:eastAsiaTheme="minorEastAsia"/>
          <w:lang w:eastAsia="ko-KR"/>
        </w:rPr>
        <w:t>Ecosystem indicators</w:t>
      </w:r>
    </w:p>
    <w:p w14:paraId="2A48492C" w14:textId="77777777" w:rsidR="002A4403" w:rsidRPr="004635E5" w:rsidRDefault="002A4403" w:rsidP="006633A8">
      <w:pPr>
        <w:pStyle w:val="SC3"/>
        <w:numPr>
          <w:ilvl w:val="0"/>
          <w:numId w:val="0"/>
        </w:numPr>
        <w:spacing w:after="0"/>
        <w:ind w:left="1440"/>
        <w:rPr>
          <w:rFonts w:eastAsiaTheme="minorEastAsia"/>
          <w:lang w:eastAsia="ko-KR"/>
        </w:rPr>
      </w:pPr>
    </w:p>
    <w:p w14:paraId="322BD508" w14:textId="77777777" w:rsidR="00381FFB" w:rsidRPr="004635E5" w:rsidRDefault="00381FFB" w:rsidP="006633A8">
      <w:pPr>
        <w:pStyle w:val="WCPFC"/>
        <w:adjustRightInd w:val="0"/>
        <w:spacing w:after="0"/>
        <w:ind w:left="0" w:firstLine="0"/>
        <w:rPr>
          <w:rFonts w:cs="Times New Roman"/>
          <w:bCs/>
          <w:lang w:eastAsia="ko-KR"/>
        </w:rPr>
      </w:pPr>
      <w:r w:rsidRPr="004635E5">
        <w:rPr>
          <w:rFonts w:cs="Times New Roman"/>
          <w:bCs/>
          <w:lang w:eastAsia="ko-KR"/>
        </w:rPr>
        <w:t>There were no papers presented and no discussion on this agenda item.</w:t>
      </w:r>
    </w:p>
    <w:p w14:paraId="569868A6" w14:textId="77777777" w:rsidR="00E00B48" w:rsidRPr="004635E5" w:rsidRDefault="00E00B48" w:rsidP="006633A8">
      <w:pPr>
        <w:pStyle w:val="WCPFC"/>
        <w:numPr>
          <w:ilvl w:val="0"/>
          <w:numId w:val="0"/>
        </w:numPr>
        <w:adjustRightInd w:val="0"/>
        <w:spacing w:after="0"/>
        <w:rPr>
          <w:rFonts w:cs="Times New Roman"/>
          <w:bCs/>
          <w:lang w:eastAsia="ko-KR"/>
        </w:rPr>
      </w:pPr>
    </w:p>
    <w:p w14:paraId="2FF392DB" w14:textId="77777777" w:rsidR="007353E1" w:rsidRPr="004635E5" w:rsidRDefault="00AE3BE8" w:rsidP="00580EA4">
      <w:pPr>
        <w:pStyle w:val="SC3"/>
        <w:numPr>
          <w:ilvl w:val="2"/>
          <w:numId w:val="161"/>
        </w:numPr>
        <w:spacing w:after="0"/>
        <w:rPr>
          <w:rFonts w:eastAsiaTheme="minorEastAsia"/>
          <w:lang w:eastAsia="ko-KR"/>
        </w:rPr>
      </w:pPr>
      <w:r w:rsidRPr="004635E5">
        <w:rPr>
          <w:rFonts w:eastAsiaTheme="minorEastAsia"/>
          <w:lang w:eastAsia="ko-KR"/>
        </w:rPr>
        <w:t xml:space="preserve">FAD </w:t>
      </w:r>
      <w:r w:rsidR="00494B7B" w:rsidRPr="004635E5">
        <w:rPr>
          <w:rFonts w:eastAsiaTheme="minorEastAsia"/>
          <w:lang w:eastAsia="ko-KR"/>
        </w:rPr>
        <w:t xml:space="preserve">impacts </w:t>
      </w:r>
    </w:p>
    <w:p w14:paraId="2E559A46" w14:textId="77777777" w:rsidR="002A4403" w:rsidRPr="004635E5" w:rsidRDefault="002A4403" w:rsidP="006633A8">
      <w:pPr>
        <w:pStyle w:val="SC3"/>
        <w:numPr>
          <w:ilvl w:val="0"/>
          <w:numId w:val="0"/>
        </w:numPr>
        <w:spacing w:after="0"/>
        <w:ind w:left="1440"/>
        <w:rPr>
          <w:rFonts w:eastAsiaTheme="minorEastAsia"/>
          <w:lang w:eastAsia="ko-KR"/>
        </w:rPr>
      </w:pPr>
    </w:p>
    <w:p w14:paraId="250C4A8B" w14:textId="77777777" w:rsidR="00494B7B" w:rsidRPr="004635E5" w:rsidRDefault="001C55C9" w:rsidP="00580EA4">
      <w:pPr>
        <w:pStyle w:val="SC3"/>
        <w:numPr>
          <w:ilvl w:val="3"/>
          <w:numId w:val="161"/>
        </w:numPr>
        <w:spacing w:after="0"/>
        <w:rPr>
          <w:rFonts w:eastAsiaTheme="minorEastAsia"/>
          <w:lang w:eastAsia="ko-KR"/>
        </w:rPr>
      </w:pPr>
      <w:r w:rsidRPr="004635E5">
        <w:rPr>
          <w:rFonts w:eastAsiaTheme="minorEastAsia"/>
          <w:bCs/>
          <w:lang w:eastAsia="ko-KR"/>
        </w:rPr>
        <w:t>Research on non-entangling FADs</w:t>
      </w:r>
    </w:p>
    <w:p w14:paraId="63948B8A" w14:textId="77777777" w:rsidR="002A4403" w:rsidRPr="004635E5" w:rsidRDefault="002A4403" w:rsidP="006633A8">
      <w:pPr>
        <w:pStyle w:val="SC3"/>
        <w:numPr>
          <w:ilvl w:val="0"/>
          <w:numId w:val="0"/>
        </w:numPr>
        <w:spacing w:after="0"/>
        <w:ind w:left="1800"/>
        <w:rPr>
          <w:rFonts w:eastAsiaTheme="minorEastAsia"/>
          <w:lang w:eastAsia="ko-KR"/>
        </w:rPr>
      </w:pPr>
    </w:p>
    <w:p w14:paraId="54BA0D31" w14:textId="77777777" w:rsidR="0041022C" w:rsidRPr="004635E5" w:rsidRDefault="005E28EE" w:rsidP="006633A8">
      <w:pPr>
        <w:pStyle w:val="WCPFC"/>
        <w:adjustRightInd w:val="0"/>
        <w:spacing w:after="0"/>
        <w:ind w:left="0" w:firstLine="0"/>
        <w:rPr>
          <w:rFonts w:cs="Times New Roman"/>
          <w:i/>
          <w:lang w:eastAsia="ko-KR"/>
        </w:rPr>
      </w:pPr>
      <w:r w:rsidRPr="004635E5">
        <w:rPr>
          <w:rFonts w:cs="Times New Roman"/>
          <w:bCs/>
          <w:lang w:eastAsia="ko-KR"/>
        </w:rPr>
        <w:t>L. Escalle</w:t>
      </w:r>
      <w:r w:rsidR="00642229">
        <w:rPr>
          <w:rFonts w:cs="Times New Roman" w:hint="eastAsia"/>
          <w:bCs/>
          <w:lang w:eastAsia="ko-KR"/>
        </w:rPr>
        <w:t xml:space="preserve"> (SPC)</w:t>
      </w:r>
      <w:r w:rsidRPr="004635E5">
        <w:rPr>
          <w:rFonts w:cs="Times New Roman"/>
          <w:bCs/>
          <w:lang w:eastAsia="ko-KR"/>
        </w:rPr>
        <w:t xml:space="preserve"> introduced </w:t>
      </w:r>
      <w:r w:rsidR="00112951">
        <w:rPr>
          <w:rFonts w:cs="Times New Roman" w:hint="eastAsia"/>
          <w:bCs/>
          <w:lang w:eastAsia="ko-KR"/>
        </w:rPr>
        <w:t>SC14-</w:t>
      </w:r>
      <w:r w:rsidRPr="004635E5">
        <w:rPr>
          <w:rFonts w:cs="Times New Roman"/>
          <w:bCs/>
          <w:lang w:eastAsia="ko-KR"/>
        </w:rPr>
        <w:t xml:space="preserve">EB-IP-01 </w:t>
      </w:r>
      <w:r w:rsidRPr="004635E5">
        <w:rPr>
          <w:rFonts w:cs="Times New Roman"/>
          <w:i/>
          <w:lang w:eastAsia="ko-KR"/>
        </w:rPr>
        <w:t>Evaluation of FAD construction materials in the WCPO</w:t>
      </w:r>
      <w:r w:rsidR="0041022C" w:rsidRPr="004635E5">
        <w:rPr>
          <w:rFonts w:cs="Times New Roman"/>
          <w:lang w:eastAsia="ko-KR"/>
        </w:rPr>
        <w:t>, which</w:t>
      </w:r>
      <w:r w:rsidR="0041022C" w:rsidRPr="004635E5">
        <w:rPr>
          <w:rFonts w:cs="Times New Roman"/>
          <w:i/>
          <w:lang w:eastAsia="ko-KR"/>
        </w:rPr>
        <w:t xml:space="preserve"> </w:t>
      </w:r>
      <w:r w:rsidR="000947E0" w:rsidRPr="004635E5">
        <w:rPr>
          <w:rFonts w:cs="Times New Roman"/>
          <w:lang w:val="en-AU" w:eastAsia="ko-KR"/>
        </w:rPr>
        <w:t xml:space="preserve">reviewed the materials used to construct </w:t>
      </w:r>
      <w:r w:rsidR="00642229">
        <w:rPr>
          <w:rFonts w:hint="eastAsia"/>
          <w:lang w:eastAsia="ko-KR"/>
        </w:rPr>
        <w:t>d</w:t>
      </w:r>
      <w:r w:rsidR="00642229">
        <w:t xml:space="preserve">rifting Fish Aggregating Devices </w:t>
      </w:r>
      <w:r w:rsidR="00112951">
        <w:rPr>
          <w:rFonts w:hint="eastAsia"/>
          <w:lang w:eastAsia="ko-KR"/>
        </w:rPr>
        <w:t>(</w:t>
      </w:r>
      <w:r w:rsidR="000947E0" w:rsidRPr="004635E5">
        <w:rPr>
          <w:rFonts w:cs="Times New Roman"/>
          <w:lang w:val="en-AU" w:eastAsia="ko-KR"/>
        </w:rPr>
        <w:t>dFADs</w:t>
      </w:r>
      <w:r w:rsidR="00112951">
        <w:rPr>
          <w:rFonts w:cs="Times New Roman" w:hint="eastAsia"/>
          <w:lang w:val="en-AU" w:eastAsia="ko-KR"/>
        </w:rPr>
        <w:t>)</w:t>
      </w:r>
      <w:r w:rsidR="000947E0" w:rsidRPr="004635E5">
        <w:rPr>
          <w:rFonts w:cs="Times New Roman"/>
          <w:lang w:val="en-AU" w:eastAsia="ko-KR"/>
        </w:rPr>
        <w:t xml:space="preserve">, as recorded by observers over the last 8 years. </w:t>
      </w:r>
    </w:p>
    <w:p w14:paraId="0098E566" w14:textId="77777777" w:rsidR="002A4403" w:rsidRPr="004635E5" w:rsidRDefault="002A4403" w:rsidP="006633A8">
      <w:pPr>
        <w:pStyle w:val="WCPFC"/>
        <w:numPr>
          <w:ilvl w:val="0"/>
          <w:numId w:val="0"/>
        </w:numPr>
        <w:adjustRightInd w:val="0"/>
        <w:spacing w:after="0"/>
        <w:rPr>
          <w:rFonts w:cs="Times New Roman"/>
          <w:i/>
          <w:lang w:eastAsia="ko-KR"/>
        </w:rPr>
      </w:pPr>
    </w:p>
    <w:p w14:paraId="04A5304F" w14:textId="77777777" w:rsidR="000947E0" w:rsidRPr="004635E5" w:rsidRDefault="000947E0" w:rsidP="006633A8">
      <w:pPr>
        <w:pStyle w:val="WCPFC"/>
        <w:adjustRightInd w:val="0"/>
        <w:spacing w:after="0"/>
        <w:ind w:left="0" w:firstLine="0"/>
        <w:rPr>
          <w:rFonts w:cs="Times New Roman"/>
          <w:i/>
          <w:lang w:eastAsia="ko-KR"/>
        </w:rPr>
      </w:pPr>
      <w:r w:rsidRPr="004635E5">
        <w:rPr>
          <w:rFonts w:cs="Times New Roman"/>
          <w:lang w:val="en-AU" w:eastAsia="ko-KR"/>
        </w:rPr>
        <w:t>D</w:t>
      </w:r>
      <w:r w:rsidR="00112951">
        <w:rPr>
          <w:rFonts w:cs="Times New Roman" w:hint="eastAsia"/>
          <w:lang w:val="en-AU" w:eastAsia="ko-KR"/>
        </w:rPr>
        <w:t xml:space="preserve">rifting </w:t>
      </w:r>
      <w:r w:rsidRPr="004635E5">
        <w:rPr>
          <w:rFonts w:cs="Times New Roman"/>
          <w:lang w:val="en-AU" w:eastAsia="ko-KR"/>
        </w:rPr>
        <w:t xml:space="preserve">FAD design was divided into i) </w:t>
      </w:r>
      <w:r w:rsidRPr="004635E5">
        <w:rPr>
          <w:rFonts w:cs="Times New Roman"/>
          <w:lang w:eastAsia="ko-KR"/>
        </w:rPr>
        <w:t>the raft itself and ii) submerged appendages</w:t>
      </w:r>
      <w:r w:rsidR="00A16680" w:rsidRPr="004635E5">
        <w:rPr>
          <w:rFonts w:cs="Times New Roman"/>
          <w:lang w:eastAsia="ko-KR"/>
        </w:rPr>
        <w:t xml:space="preserve">. </w:t>
      </w:r>
      <w:r w:rsidRPr="004635E5">
        <w:rPr>
          <w:rFonts w:cs="Times New Roman"/>
          <w:lang w:eastAsia="ko-KR"/>
        </w:rPr>
        <w:t xml:space="preserve">Over the period 2011 to 2018, less than 2% of dFADs were made of completely natural materials and 20–35% were made of completely artificial materials. No temporal trend in material use was detected. All fleets primarily used rafts that were either i) completely artificial or ii) a mix of artificial and natural materials, with artificial submerged appendages, to construct their dFADs. Fleets using rafts with mostly natural materials were Indonesia, Philippines, and Solomon Islands, using bamboo, planks or logs in the raft. However, even for those fleets, the occurrence of natural rafts remained occasional, with the majority of their rafts made of floats. Appendages were, however, almost always artificial, with a combination of cord, net, sacking or sheeting and weights. </w:t>
      </w:r>
      <w:r w:rsidRPr="004635E5">
        <w:rPr>
          <w:rFonts w:cs="Times New Roman"/>
          <w:lang w:val="en-GB" w:eastAsia="ko-KR"/>
        </w:rPr>
        <w:t>The presence of nets used as appendages on dFADs was specifically investigated as an indication of the entangling potential of dFADs. Less than 12% of the dFADs had no netting, with no trend over time. However, the analysis detected a slight increase in the use of nets in both appendages and rafts over time. Philippines (42%), Tuvalu (31%) and Indonesia (26%) were fleets using the least netting within their dFADs construction.</w:t>
      </w:r>
    </w:p>
    <w:p w14:paraId="503AE74B" w14:textId="77777777" w:rsidR="002A4403" w:rsidRPr="004635E5" w:rsidRDefault="002A4403" w:rsidP="006633A8">
      <w:pPr>
        <w:pStyle w:val="WCPFC"/>
        <w:numPr>
          <w:ilvl w:val="0"/>
          <w:numId w:val="0"/>
        </w:numPr>
        <w:adjustRightInd w:val="0"/>
        <w:spacing w:after="0"/>
        <w:rPr>
          <w:rFonts w:cs="Times New Roman"/>
          <w:i/>
          <w:lang w:eastAsia="ko-KR"/>
        </w:rPr>
      </w:pPr>
    </w:p>
    <w:p w14:paraId="7EC80E1A" w14:textId="77777777" w:rsidR="00C925A4" w:rsidRPr="004635E5" w:rsidRDefault="00FC5B46" w:rsidP="006633A8">
      <w:pPr>
        <w:pStyle w:val="WCPFC"/>
        <w:adjustRightInd w:val="0"/>
        <w:spacing w:after="0"/>
        <w:ind w:left="0" w:firstLine="0"/>
        <w:rPr>
          <w:rFonts w:cs="Times New Roman"/>
          <w:lang w:eastAsia="ko-KR"/>
        </w:rPr>
      </w:pPr>
      <w:r w:rsidRPr="004635E5">
        <w:rPr>
          <w:rFonts w:cs="Times New Roman"/>
          <w:lang w:eastAsia="ko-KR"/>
        </w:rPr>
        <w:t>Pew</w:t>
      </w:r>
      <w:r w:rsidR="00A36E71" w:rsidRPr="004635E5">
        <w:rPr>
          <w:rFonts w:cs="Times New Roman"/>
          <w:lang w:eastAsia="ko-KR"/>
        </w:rPr>
        <w:t xml:space="preserve"> commented that</w:t>
      </w:r>
      <w:r w:rsidR="006B1A3E" w:rsidRPr="004635E5">
        <w:rPr>
          <w:rFonts w:cs="Times New Roman"/>
          <w:lang w:eastAsia="ko-KR"/>
        </w:rPr>
        <w:t xml:space="preserve"> </w:t>
      </w:r>
      <w:r w:rsidRPr="004635E5">
        <w:rPr>
          <w:rFonts w:cs="Times New Roman"/>
          <w:lang w:eastAsia="ko-KR"/>
        </w:rPr>
        <w:t xml:space="preserve">the </w:t>
      </w:r>
      <w:r w:rsidR="006B1A3E" w:rsidRPr="004635E5">
        <w:rPr>
          <w:rFonts w:cs="Times New Roman"/>
          <w:lang w:eastAsia="ko-KR"/>
        </w:rPr>
        <w:t xml:space="preserve">synthetic materials in FADs and the high numbers in use resulted in significant </w:t>
      </w:r>
      <w:r w:rsidRPr="004635E5">
        <w:rPr>
          <w:rFonts w:cs="Times New Roman"/>
          <w:lang w:eastAsia="ko-KR"/>
        </w:rPr>
        <w:t>enviro</w:t>
      </w:r>
      <w:r w:rsidR="00A36E71" w:rsidRPr="004635E5">
        <w:rPr>
          <w:rFonts w:cs="Times New Roman"/>
          <w:lang w:eastAsia="ko-KR"/>
        </w:rPr>
        <w:t>nmental</w:t>
      </w:r>
      <w:r w:rsidRPr="004635E5">
        <w:rPr>
          <w:rFonts w:cs="Times New Roman"/>
          <w:lang w:eastAsia="ko-KR"/>
        </w:rPr>
        <w:t xml:space="preserve"> impacts, </w:t>
      </w:r>
      <w:r w:rsidR="006B1A3E" w:rsidRPr="004635E5">
        <w:rPr>
          <w:rFonts w:cs="Times New Roman"/>
          <w:lang w:eastAsia="ko-KR"/>
        </w:rPr>
        <w:t xml:space="preserve">and that a </w:t>
      </w:r>
      <w:r w:rsidRPr="004635E5">
        <w:rPr>
          <w:rFonts w:cs="Times New Roman"/>
          <w:lang w:eastAsia="ko-KR"/>
        </w:rPr>
        <w:t xml:space="preserve">move to a more biodegradable FAD design </w:t>
      </w:r>
      <w:r w:rsidR="00A36E71" w:rsidRPr="004635E5">
        <w:rPr>
          <w:rFonts w:cs="Times New Roman"/>
          <w:lang w:eastAsia="ko-KR"/>
        </w:rPr>
        <w:t xml:space="preserve">was </w:t>
      </w:r>
      <w:r w:rsidRPr="004635E5">
        <w:rPr>
          <w:rFonts w:cs="Times New Roman"/>
          <w:lang w:eastAsia="ko-KR"/>
        </w:rPr>
        <w:t>more imperative than ever.</w:t>
      </w:r>
    </w:p>
    <w:p w14:paraId="5BD204F0" w14:textId="77777777" w:rsidR="002A4403" w:rsidRPr="004635E5" w:rsidRDefault="002A4403" w:rsidP="006633A8">
      <w:pPr>
        <w:pStyle w:val="WCPFC"/>
        <w:numPr>
          <w:ilvl w:val="0"/>
          <w:numId w:val="0"/>
        </w:numPr>
        <w:adjustRightInd w:val="0"/>
        <w:spacing w:after="0"/>
        <w:rPr>
          <w:rFonts w:cs="Times New Roman"/>
          <w:lang w:eastAsia="ko-KR"/>
        </w:rPr>
      </w:pPr>
    </w:p>
    <w:p w14:paraId="23145104" w14:textId="77777777" w:rsidR="00FC5B46" w:rsidRPr="004635E5" w:rsidRDefault="00A36E71" w:rsidP="006633A8">
      <w:pPr>
        <w:pStyle w:val="WCPFC"/>
        <w:adjustRightInd w:val="0"/>
        <w:spacing w:after="0"/>
        <w:ind w:left="0" w:firstLine="0"/>
        <w:rPr>
          <w:rFonts w:cs="Times New Roman"/>
          <w:lang w:eastAsia="ko-KR"/>
        </w:rPr>
      </w:pPr>
      <w:r w:rsidRPr="004635E5">
        <w:rPr>
          <w:rFonts w:cs="Times New Roman"/>
          <w:lang w:eastAsia="ko-KR"/>
        </w:rPr>
        <w:t xml:space="preserve">The EU </w:t>
      </w:r>
      <w:r w:rsidR="00FC5B46" w:rsidRPr="004635E5">
        <w:rPr>
          <w:rFonts w:cs="Times New Roman"/>
          <w:lang w:eastAsia="ko-KR"/>
        </w:rPr>
        <w:t>full</w:t>
      </w:r>
      <w:r w:rsidRPr="004635E5">
        <w:rPr>
          <w:rFonts w:cs="Times New Roman"/>
          <w:lang w:eastAsia="ko-KR"/>
        </w:rPr>
        <w:t>y</w:t>
      </w:r>
      <w:r w:rsidR="00FC5B46" w:rsidRPr="004635E5">
        <w:rPr>
          <w:rFonts w:cs="Times New Roman"/>
          <w:lang w:eastAsia="ko-KR"/>
        </w:rPr>
        <w:t xml:space="preserve"> support</w:t>
      </w:r>
      <w:r w:rsidRPr="004635E5">
        <w:rPr>
          <w:rFonts w:cs="Times New Roman"/>
          <w:lang w:eastAsia="ko-KR"/>
        </w:rPr>
        <w:t>ed</w:t>
      </w:r>
      <w:r w:rsidR="00FC5B46" w:rsidRPr="004635E5">
        <w:rPr>
          <w:rFonts w:cs="Times New Roman"/>
          <w:lang w:eastAsia="ko-KR"/>
        </w:rPr>
        <w:t xml:space="preserve"> the work on biodegradable FADs, </w:t>
      </w:r>
      <w:r w:rsidRPr="004635E5">
        <w:rPr>
          <w:rFonts w:cs="Times New Roman"/>
          <w:lang w:eastAsia="ko-KR"/>
        </w:rPr>
        <w:t xml:space="preserve">and asked whether </w:t>
      </w:r>
      <w:r w:rsidR="00FC5B46" w:rsidRPr="004635E5">
        <w:rPr>
          <w:rFonts w:cs="Times New Roman"/>
          <w:lang w:eastAsia="ko-KR"/>
        </w:rPr>
        <w:t>consider</w:t>
      </w:r>
      <w:r w:rsidRPr="004635E5">
        <w:rPr>
          <w:rFonts w:cs="Times New Roman"/>
          <w:lang w:eastAsia="ko-KR"/>
        </w:rPr>
        <w:t>ation was given to</w:t>
      </w:r>
      <w:r w:rsidR="00FC5B46" w:rsidRPr="004635E5">
        <w:rPr>
          <w:rFonts w:cs="Times New Roman"/>
          <w:lang w:eastAsia="ko-KR"/>
        </w:rPr>
        <w:t xml:space="preserve"> analyzing FAD mesh size, </w:t>
      </w:r>
      <w:r w:rsidRPr="004635E5">
        <w:rPr>
          <w:rFonts w:cs="Times New Roman"/>
          <w:lang w:eastAsia="ko-KR"/>
        </w:rPr>
        <w:t xml:space="preserve">which </w:t>
      </w:r>
      <w:r w:rsidR="00FC5B46" w:rsidRPr="004635E5">
        <w:rPr>
          <w:rFonts w:cs="Times New Roman"/>
          <w:lang w:eastAsia="ko-KR"/>
        </w:rPr>
        <w:t xml:space="preserve">is </w:t>
      </w:r>
      <w:r w:rsidRPr="004635E5">
        <w:rPr>
          <w:rFonts w:cs="Times New Roman"/>
          <w:lang w:eastAsia="ko-KR"/>
        </w:rPr>
        <w:t xml:space="preserve">an </w:t>
      </w:r>
      <w:r w:rsidR="00FC5B46" w:rsidRPr="004635E5">
        <w:rPr>
          <w:rFonts w:cs="Times New Roman"/>
          <w:lang w:eastAsia="ko-KR"/>
        </w:rPr>
        <w:t>imp</w:t>
      </w:r>
      <w:r w:rsidRPr="004635E5">
        <w:rPr>
          <w:rFonts w:cs="Times New Roman"/>
          <w:lang w:eastAsia="ko-KR"/>
        </w:rPr>
        <w:t>ortant</w:t>
      </w:r>
      <w:r w:rsidR="00FC5B46" w:rsidRPr="004635E5">
        <w:rPr>
          <w:rFonts w:cs="Times New Roman"/>
          <w:lang w:eastAsia="ko-KR"/>
        </w:rPr>
        <w:t xml:space="preserve"> criterion used to distinguish between enta</w:t>
      </w:r>
      <w:r w:rsidRPr="004635E5">
        <w:rPr>
          <w:rFonts w:cs="Times New Roman"/>
          <w:lang w:eastAsia="ko-KR"/>
        </w:rPr>
        <w:t>ngling</w:t>
      </w:r>
      <w:r w:rsidR="00FC5B46" w:rsidRPr="004635E5">
        <w:rPr>
          <w:rFonts w:cs="Times New Roman"/>
          <w:lang w:eastAsia="ko-KR"/>
        </w:rPr>
        <w:t xml:space="preserve"> and non-enta</w:t>
      </w:r>
      <w:r w:rsidRPr="004635E5">
        <w:rPr>
          <w:rFonts w:cs="Times New Roman"/>
          <w:lang w:eastAsia="ko-KR"/>
        </w:rPr>
        <w:t xml:space="preserve">ngling </w:t>
      </w:r>
      <w:r w:rsidR="00FC5B46" w:rsidRPr="004635E5">
        <w:rPr>
          <w:rFonts w:cs="Times New Roman"/>
          <w:lang w:eastAsia="ko-KR"/>
        </w:rPr>
        <w:t xml:space="preserve">FADs. </w:t>
      </w:r>
      <w:r w:rsidR="00821845" w:rsidRPr="004635E5">
        <w:rPr>
          <w:rFonts w:cs="Times New Roman"/>
          <w:lang w:eastAsia="ko-KR"/>
        </w:rPr>
        <w:t xml:space="preserve">L. Escalle indicated that </w:t>
      </w:r>
      <w:r w:rsidR="00FC5B46" w:rsidRPr="004635E5">
        <w:rPr>
          <w:rFonts w:cs="Times New Roman"/>
          <w:lang w:eastAsia="ko-KR"/>
        </w:rPr>
        <w:t>mesh size</w:t>
      </w:r>
      <w:r w:rsidR="00821845" w:rsidRPr="004635E5">
        <w:rPr>
          <w:rFonts w:cs="Times New Roman"/>
          <w:lang w:eastAsia="ko-KR"/>
        </w:rPr>
        <w:t xml:space="preserve"> was reviewed, and though it was not always recorded, most</w:t>
      </w:r>
      <w:r w:rsidR="00FC5B46" w:rsidRPr="004635E5">
        <w:rPr>
          <w:rFonts w:cs="Times New Roman"/>
          <w:lang w:eastAsia="ko-KR"/>
        </w:rPr>
        <w:t xml:space="preserve"> </w:t>
      </w:r>
      <w:r w:rsidR="00821845" w:rsidRPr="004635E5">
        <w:rPr>
          <w:rFonts w:cs="Times New Roman"/>
          <w:lang w:eastAsia="ko-KR"/>
        </w:rPr>
        <w:t xml:space="preserve">was </w:t>
      </w:r>
      <w:r w:rsidR="00FC5B46" w:rsidRPr="004635E5">
        <w:rPr>
          <w:rFonts w:cs="Times New Roman"/>
          <w:lang w:eastAsia="ko-KR"/>
        </w:rPr>
        <w:t xml:space="preserve">large </w:t>
      </w:r>
      <w:r w:rsidR="00821845" w:rsidRPr="004635E5">
        <w:rPr>
          <w:rFonts w:cs="Times New Roman"/>
          <w:lang w:eastAsia="ko-KR"/>
        </w:rPr>
        <w:t>(</w:t>
      </w:r>
      <w:r w:rsidR="00FC5B46" w:rsidRPr="004635E5">
        <w:rPr>
          <w:rFonts w:cs="Times New Roman"/>
          <w:lang w:eastAsia="ko-KR"/>
        </w:rPr>
        <w:t>9.8 cm</w:t>
      </w:r>
      <w:r w:rsidR="00821845" w:rsidRPr="004635E5">
        <w:rPr>
          <w:rFonts w:cs="Times New Roman"/>
          <w:lang w:eastAsia="ko-KR"/>
        </w:rPr>
        <w:t>)</w:t>
      </w:r>
      <w:r w:rsidR="00FC5B46" w:rsidRPr="004635E5">
        <w:rPr>
          <w:rFonts w:cs="Times New Roman"/>
          <w:lang w:eastAsia="ko-KR"/>
        </w:rPr>
        <w:t xml:space="preserve">. </w:t>
      </w:r>
      <w:r w:rsidR="009F4089" w:rsidRPr="004635E5">
        <w:rPr>
          <w:rFonts w:cs="Times New Roman"/>
          <w:lang w:eastAsia="ko-KR"/>
        </w:rPr>
        <w:t>The E</w:t>
      </w:r>
      <w:r w:rsidR="00FC5B46" w:rsidRPr="004635E5">
        <w:rPr>
          <w:rFonts w:cs="Times New Roman"/>
          <w:lang w:eastAsia="ko-KR"/>
        </w:rPr>
        <w:t>U</w:t>
      </w:r>
      <w:r w:rsidR="009F4089" w:rsidRPr="004635E5">
        <w:rPr>
          <w:rFonts w:cs="Times New Roman"/>
          <w:lang w:eastAsia="ko-KR"/>
        </w:rPr>
        <w:t xml:space="preserve"> further noted that in recent </w:t>
      </w:r>
      <w:r w:rsidR="00FC5B46" w:rsidRPr="004635E5">
        <w:rPr>
          <w:rFonts w:cs="Times New Roman"/>
          <w:lang w:eastAsia="ko-KR"/>
        </w:rPr>
        <w:t xml:space="preserve">years </w:t>
      </w:r>
      <w:r w:rsidR="009F4089" w:rsidRPr="004635E5">
        <w:rPr>
          <w:rFonts w:cs="Times New Roman"/>
          <w:lang w:eastAsia="ko-KR"/>
        </w:rPr>
        <w:t xml:space="preserve">there </w:t>
      </w:r>
      <w:r w:rsidR="00FC5B46" w:rsidRPr="004635E5">
        <w:rPr>
          <w:rFonts w:cs="Times New Roman"/>
          <w:lang w:eastAsia="ko-KR"/>
        </w:rPr>
        <w:t xml:space="preserve">was </w:t>
      </w:r>
      <w:r w:rsidR="009F4089" w:rsidRPr="004635E5">
        <w:rPr>
          <w:rFonts w:cs="Times New Roman"/>
          <w:lang w:eastAsia="ko-KR"/>
        </w:rPr>
        <w:t xml:space="preserve">a </w:t>
      </w:r>
      <w:r w:rsidR="00FC5B46" w:rsidRPr="004635E5">
        <w:rPr>
          <w:rFonts w:cs="Times New Roman"/>
          <w:lang w:eastAsia="ko-KR"/>
        </w:rPr>
        <w:t>shift of several fleets to non-enta</w:t>
      </w:r>
      <w:r w:rsidR="009F4089" w:rsidRPr="004635E5">
        <w:rPr>
          <w:rFonts w:cs="Times New Roman"/>
          <w:lang w:eastAsia="ko-KR"/>
        </w:rPr>
        <w:t xml:space="preserve">ngling FADs, mostly involving </w:t>
      </w:r>
      <w:r w:rsidR="00FC5B46" w:rsidRPr="004635E5">
        <w:rPr>
          <w:rFonts w:cs="Times New Roman"/>
          <w:lang w:eastAsia="ko-KR"/>
        </w:rPr>
        <w:t>change</w:t>
      </w:r>
      <w:r w:rsidR="009F4089" w:rsidRPr="004635E5">
        <w:rPr>
          <w:rFonts w:cs="Times New Roman"/>
          <w:lang w:eastAsia="ko-KR"/>
        </w:rPr>
        <w:t>s</w:t>
      </w:r>
      <w:r w:rsidR="00FC5B46" w:rsidRPr="004635E5">
        <w:rPr>
          <w:rFonts w:cs="Times New Roman"/>
          <w:lang w:eastAsia="ko-KR"/>
        </w:rPr>
        <w:t xml:space="preserve"> in mesh size</w:t>
      </w:r>
      <w:r w:rsidR="009F4089" w:rsidRPr="004635E5">
        <w:rPr>
          <w:rFonts w:cs="Times New Roman"/>
          <w:lang w:eastAsia="ko-KR"/>
        </w:rPr>
        <w:t xml:space="preserve">, and asked whether </w:t>
      </w:r>
      <w:r w:rsidR="00FC5B46" w:rsidRPr="004635E5">
        <w:rPr>
          <w:rFonts w:cs="Times New Roman"/>
          <w:lang w:eastAsia="ko-KR"/>
        </w:rPr>
        <w:t xml:space="preserve">there </w:t>
      </w:r>
      <w:r w:rsidR="009F4089" w:rsidRPr="004635E5">
        <w:rPr>
          <w:rFonts w:cs="Times New Roman"/>
          <w:lang w:eastAsia="ko-KR"/>
        </w:rPr>
        <w:t xml:space="preserve">was </w:t>
      </w:r>
      <w:r w:rsidR="00FC5B46" w:rsidRPr="004635E5">
        <w:rPr>
          <w:rFonts w:cs="Times New Roman"/>
          <w:lang w:eastAsia="ko-KR"/>
        </w:rPr>
        <w:t>a trend over time to show such a shift. L</w:t>
      </w:r>
      <w:r w:rsidR="009F4089" w:rsidRPr="004635E5">
        <w:rPr>
          <w:rFonts w:cs="Times New Roman"/>
          <w:lang w:eastAsia="ko-KR"/>
        </w:rPr>
        <w:t xml:space="preserve">. Escalle indicated the mesh as recorded was almost </w:t>
      </w:r>
      <w:r w:rsidR="00FC5B46" w:rsidRPr="004635E5">
        <w:rPr>
          <w:rFonts w:cs="Times New Roman"/>
          <w:lang w:eastAsia="ko-KR"/>
        </w:rPr>
        <w:t xml:space="preserve">always large, </w:t>
      </w:r>
      <w:r w:rsidR="009F4089" w:rsidRPr="004635E5">
        <w:rPr>
          <w:rFonts w:cs="Times New Roman"/>
          <w:lang w:eastAsia="ko-KR"/>
        </w:rPr>
        <w:t xml:space="preserve">with </w:t>
      </w:r>
      <w:r w:rsidR="00FC5B46" w:rsidRPr="004635E5">
        <w:rPr>
          <w:rFonts w:cs="Times New Roman"/>
          <w:lang w:eastAsia="ko-KR"/>
        </w:rPr>
        <w:t>no trend to smaller</w:t>
      </w:r>
      <w:r w:rsidR="009F4089" w:rsidRPr="004635E5">
        <w:rPr>
          <w:rFonts w:cs="Times New Roman"/>
          <w:lang w:eastAsia="ko-KR"/>
        </w:rPr>
        <w:t xml:space="preserve"> mesh</w:t>
      </w:r>
      <w:r w:rsidR="00FC5B46" w:rsidRPr="004635E5">
        <w:rPr>
          <w:rFonts w:cs="Times New Roman"/>
          <w:lang w:eastAsia="ko-KR"/>
        </w:rPr>
        <w:t xml:space="preserve">. </w:t>
      </w:r>
      <w:r w:rsidR="00CE0C15" w:rsidRPr="004635E5">
        <w:rPr>
          <w:rFonts w:cs="Times New Roman"/>
          <w:lang w:eastAsia="ko-KR"/>
        </w:rPr>
        <w:t xml:space="preserve">Mesh size was not </w:t>
      </w:r>
      <w:r w:rsidR="00FC5B46" w:rsidRPr="004635E5">
        <w:rPr>
          <w:rFonts w:cs="Times New Roman"/>
          <w:lang w:eastAsia="ko-KR"/>
        </w:rPr>
        <w:t xml:space="preserve">recorded a large percentage of </w:t>
      </w:r>
      <w:r w:rsidR="00CE0C15" w:rsidRPr="004635E5">
        <w:rPr>
          <w:rFonts w:cs="Times New Roman"/>
          <w:lang w:eastAsia="ko-KR"/>
        </w:rPr>
        <w:t xml:space="preserve">the </w:t>
      </w:r>
      <w:r w:rsidR="00FC5B46" w:rsidRPr="004635E5">
        <w:rPr>
          <w:rFonts w:cs="Times New Roman"/>
          <w:lang w:eastAsia="ko-KR"/>
        </w:rPr>
        <w:t xml:space="preserve">time. </w:t>
      </w:r>
    </w:p>
    <w:p w14:paraId="5D74DA85" w14:textId="77777777" w:rsidR="002A4403" w:rsidRPr="004635E5" w:rsidRDefault="002A4403" w:rsidP="006633A8">
      <w:pPr>
        <w:pStyle w:val="WCPFC"/>
        <w:numPr>
          <w:ilvl w:val="0"/>
          <w:numId w:val="0"/>
        </w:numPr>
        <w:adjustRightInd w:val="0"/>
        <w:spacing w:after="0"/>
        <w:rPr>
          <w:rFonts w:cs="Times New Roman"/>
          <w:lang w:eastAsia="ko-KR"/>
        </w:rPr>
      </w:pPr>
    </w:p>
    <w:p w14:paraId="66F018E0" w14:textId="77777777" w:rsidR="00FC5B46" w:rsidRPr="004635E5" w:rsidRDefault="00FC5B46" w:rsidP="006633A8">
      <w:pPr>
        <w:pStyle w:val="WCPFC"/>
        <w:adjustRightInd w:val="0"/>
        <w:spacing w:after="0"/>
        <w:ind w:left="0" w:firstLine="0"/>
        <w:rPr>
          <w:rFonts w:cs="Times New Roman"/>
          <w:lang w:eastAsia="ko-KR"/>
        </w:rPr>
      </w:pPr>
      <w:r w:rsidRPr="004635E5">
        <w:rPr>
          <w:rFonts w:cs="Times New Roman"/>
          <w:lang w:eastAsia="ko-KR"/>
        </w:rPr>
        <w:t>Nauru</w:t>
      </w:r>
      <w:r w:rsidR="000E0403" w:rsidRPr="004635E5">
        <w:rPr>
          <w:rFonts w:cs="Times New Roman"/>
          <w:lang w:eastAsia="ko-KR"/>
        </w:rPr>
        <w:t xml:space="preserve"> noted that the work gave an insight </w:t>
      </w:r>
      <w:r w:rsidR="009F15CB" w:rsidRPr="004635E5">
        <w:rPr>
          <w:rFonts w:cs="Times New Roman"/>
          <w:lang w:eastAsia="ko-KR"/>
        </w:rPr>
        <w:t xml:space="preserve">into what </w:t>
      </w:r>
      <w:r w:rsidR="000E0403" w:rsidRPr="004635E5">
        <w:rPr>
          <w:rFonts w:cs="Times New Roman"/>
          <w:lang w:eastAsia="ko-KR"/>
        </w:rPr>
        <w:t>was happen</w:t>
      </w:r>
      <w:r w:rsidR="009F15CB" w:rsidRPr="004635E5">
        <w:rPr>
          <w:rFonts w:cs="Times New Roman"/>
          <w:lang w:eastAsia="ko-KR"/>
        </w:rPr>
        <w:t xml:space="preserve">ing in </w:t>
      </w:r>
      <w:r w:rsidR="000E0403" w:rsidRPr="004635E5">
        <w:rPr>
          <w:rFonts w:cs="Times New Roman"/>
          <w:lang w:eastAsia="ko-KR"/>
        </w:rPr>
        <w:t xml:space="preserve">various </w:t>
      </w:r>
      <w:r w:rsidR="009F15CB" w:rsidRPr="004635E5">
        <w:rPr>
          <w:rFonts w:cs="Times New Roman"/>
          <w:lang w:eastAsia="ko-KR"/>
        </w:rPr>
        <w:t>fleets</w:t>
      </w:r>
      <w:r w:rsidR="000E0403" w:rsidRPr="004635E5">
        <w:rPr>
          <w:rFonts w:cs="Times New Roman"/>
          <w:lang w:eastAsia="ko-KR"/>
        </w:rPr>
        <w:t>, and hoped that over</w:t>
      </w:r>
      <w:r w:rsidR="00F81EF0">
        <w:rPr>
          <w:rFonts w:cs="Times New Roman"/>
          <w:lang w:eastAsia="ko-KR"/>
        </w:rPr>
        <w:t xml:space="preserve"> </w:t>
      </w:r>
      <w:r w:rsidR="009F15CB" w:rsidRPr="004635E5">
        <w:rPr>
          <w:rFonts w:cs="Times New Roman"/>
          <w:lang w:eastAsia="ko-KR"/>
        </w:rPr>
        <w:t xml:space="preserve">time it </w:t>
      </w:r>
      <w:r w:rsidR="000E0403" w:rsidRPr="004635E5">
        <w:rPr>
          <w:rFonts w:cs="Times New Roman"/>
          <w:lang w:eastAsia="ko-KR"/>
        </w:rPr>
        <w:t>would help</w:t>
      </w:r>
      <w:r w:rsidR="009F15CB" w:rsidRPr="004635E5">
        <w:rPr>
          <w:rFonts w:cs="Times New Roman"/>
          <w:lang w:eastAsia="ko-KR"/>
        </w:rPr>
        <w:t xml:space="preserve"> </w:t>
      </w:r>
      <w:r w:rsidR="000E0403" w:rsidRPr="004635E5">
        <w:rPr>
          <w:rFonts w:cs="Times New Roman"/>
          <w:lang w:eastAsia="ko-KR"/>
        </w:rPr>
        <w:t>the move to no</w:t>
      </w:r>
      <w:r w:rsidR="009F15CB" w:rsidRPr="004635E5">
        <w:rPr>
          <w:rFonts w:cs="Times New Roman"/>
          <w:lang w:eastAsia="ko-KR"/>
        </w:rPr>
        <w:t>n-entangl</w:t>
      </w:r>
      <w:r w:rsidR="000E0403" w:rsidRPr="004635E5">
        <w:rPr>
          <w:rFonts w:cs="Times New Roman"/>
          <w:lang w:eastAsia="ko-KR"/>
        </w:rPr>
        <w:t>ing</w:t>
      </w:r>
      <w:r w:rsidR="009F15CB" w:rsidRPr="004635E5">
        <w:rPr>
          <w:rFonts w:cs="Times New Roman"/>
          <w:lang w:eastAsia="ko-KR"/>
        </w:rPr>
        <w:t xml:space="preserve"> and biodegradable FADs.</w:t>
      </w:r>
    </w:p>
    <w:p w14:paraId="23F72D2E" w14:textId="77777777" w:rsidR="002A4403" w:rsidRPr="004635E5" w:rsidRDefault="002A4403" w:rsidP="006633A8">
      <w:pPr>
        <w:pStyle w:val="WCPFC"/>
        <w:numPr>
          <w:ilvl w:val="0"/>
          <w:numId w:val="0"/>
        </w:numPr>
        <w:adjustRightInd w:val="0"/>
        <w:spacing w:after="0"/>
        <w:rPr>
          <w:rFonts w:cs="Times New Roman"/>
          <w:lang w:eastAsia="ko-KR"/>
        </w:rPr>
      </w:pPr>
    </w:p>
    <w:p w14:paraId="5C8D1573" w14:textId="77777777" w:rsidR="00E419FB" w:rsidRPr="004635E5" w:rsidRDefault="009F15CB" w:rsidP="006633A8">
      <w:pPr>
        <w:pStyle w:val="WCPFC"/>
        <w:adjustRightInd w:val="0"/>
        <w:spacing w:after="0"/>
        <w:ind w:left="0" w:firstLine="0"/>
        <w:rPr>
          <w:rFonts w:cs="Times New Roman"/>
          <w:lang w:eastAsia="ko-KR"/>
        </w:rPr>
      </w:pPr>
      <w:r w:rsidRPr="004635E5">
        <w:rPr>
          <w:rFonts w:cs="Times New Roman"/>
          <w:lang w:eastAsia="ko-KR"/>
        </w:rPr>
        <w:t>Indo</w:t>
      </w:r>
      <w:r w:rsidR="000E0403" w:rsidRPr="004635E5">
        <w:rPr>
          <w:rFonts w:cs="Times New Roman"/>
          <w:lang w:eastAsia="ko-KR"/>
        </w:rPr>
        <w:t>nesia</w:t>
      </w:r>
      <w:r w:rsidRPr="004635E5">
        <w:rPr>
          <w:rFonts w:cs="Times New Roman"/>
          <w:lang w:eastAsia="ko-KR"/>
        </w:rPr>
        <w:t xml:space="preserve"> </w:t>
      </w:r>
      <w:r w:rsidR="000E0403" w:rsidRPr="004635E5">
        <w:rPr>
          <w:rFonts w:cs="Times New Roman"/>
          <w:lang w:eastAsia="ko-KR"/>
        </w:rPr>
        <w:t xml:space="preserve">inquired regarding </w:t>
      </w:r>
      <w:r w:rsidRPr="004635E5">
        <w:rPr>
          <w:rFonts w:cs="Times New Roman"/>
          <w:lang w:eastAsia="ko-KR"/>
        </w:rPr>
        <w:t>drifting F</w:t>
      </w:r>
      <w:r w:rsidR="000E0403" w:rsidRPr="004635E5">
        <w:rPr>
          <w:rFonts w:cs="Times New Roman"/>
          <w:lang w:eastAsia="ko-KR"/>
        </w:rPr>
        <w:t>AD</w:t>
      </w:r>
      <w:r w:rsidR="002E6B53" w:rsidRPr="004635E5">
        <w:rPr>
          <w:rFonts w:cs="Times New Roman"/>
          <w:lang w:eastAsia="ko-KR"/>
        </w:rPr>
        <w:t xml:space="preserve"> data for Indonesia, noting that the information in the paper was </w:t>
      </w:r>
      <w:r w:rsidRPr="004635E5">
        <w:rPr>
          <w:rFonts w:cs="Times New Roman"/>
          <w:lang w:eastAsia="ko-KR"/>
        </w:rPr>
        <w:t xml:space="preserve">from </w:t>
      </w:r>
      <w:r w:rsidR="002E6B53" w:rsidRPr="004635E5">
        <w:rPr>
          <w:rFonts w:cs="Times New Roman"/>
          <w:lang w:eastAsia="ko-KR"/>
        </w:rPr>
        <w:t xml:space="preserve">the </w:t>
      </w:r>
      <w:r w:rsidRPr="004635E5">
        <w:rPr>
          <w:rFonts w:cs="Times New Roman"/>
          <w:lang w:eastAsia="ko-KR"/>
        </w:rPr>
        <w:t>obs</w:t>
      </w:r>
      <w:r w:rsidR="002E6B53" w:rsidRPr="004635E5">
        <w:rPr>
          <w:rFonts w:cs="Times New Roman"/>
          <w:lang w:eastAsia="ko-KR"/>
        </w:rPr>
        <w:t>erver</w:t>
      </w:r>
      <w:r w:rsidRPr="004635E5">
        <w:rPr>
          <w:rFonts w:cs="Times New Roman"/>
          <w:lang w:eastAsia="ko-KR"/>
        </w:rPr>
        <w:t xml:space="preserve"> prog</w:t>
      </w:r>
      <w:r w:rsidR="002E6B53" w:rsidRPr="004635E5">
        <w:rPr>
          <w:rFonts w:cs="Times New Roman"/>
          <w:lang w:eastAsia="ko-KR"/>
        </w:rPr>
        <w:t xml:space="preserve">ram, and that Indonesia’s FADs were drifting, not anchored. </w:t>
      </w:r>
      <w:r w:rsidRPr="004635E5">
        <w:rPr>
          <w:rFonts w:cs="Times New Roman"/>
          <w:lang w:eastAsia="ko-KR"/>
        </w:rPr>
        <w:t>L</w:t>
      </w:r>
      <w:r w:rsidR="002E6B53" w:rsidRPr="004635E5">
        <w:rPr>
          <w:rFonts w:cs="Times New Roman"/>
          <w:lang w:eastAsia="ko-KR"/>
        </w:rPr>
        <w:t xml:space="preserve">. Escalle stated the need </w:t>
      </w:r>
      <w:r w:rsidR="00E419FB" w:rsidRPr="004635E5">
        <w:rPr>
          <w:rFonts w:cs="Times New Roman"/>
          <w:lang w:eastAsia="ko-KR"/>
        </w:rPr>
        <w:t xml:space="preserve">to </w:t>
      </w:r>
      <w:r w:rsidR="002E6B53" w:rsidRPr="004635E5">
        <w:rPr>
          <w:rFonts w:cs="Times New Roman"/>
          <w:lang w:eastAsia="ko-KR"/>
        </w:rPr>
        <w:t>consult with colleagues regarding details on Indonesia’s o</w:t>
      </w:r>
      <w:r w:rsidRPr="004635E5">
        <w:rPr>
          <w:rFonts w:cs="Times New Roman"/>
          <w:lang w:eastAsia="ko-KR"/>
        </w:rPr>
        <w:t>bs</w:t>
      </w:r>
      <w:r w:rsidR="002E6B53" w:rsidRPr="004635E5">
        <w:rPr>
          <w:rFonts w:cs="Times New Roman"/>
          <w:lang w:eastAsia="ko-KR"/>
        </w:rPr>
        <w:t>erver</w:t>
      </w:r>
      <w:r w:rsidRPr="004635E5">
        <w:rPr>
          <w:rFonts w:cs="Times New Roman"/>
          <w:lang w:eastAsia="ko-KR"/>
        </w:rPr>
        <w:t xml:space="preserve"> program </w:t>
      </w:r>
      <w:r w:rsidR="002E6B53" w:rsidRPr="004635E5">
        <w:rPr>
          <w:rFonts w:cs="Times New Roman"/>
          <w:lang w:eastAsia="ko-KR"/>
        </w:rPr>
        <w:t>data provision</w:t>
      </w:r>
      <w:r w:rsidR="00E419FB" w:rsidRPr="004635E5">
        <w:rPr>
          <w:rFonts w:cs="Times New Roman"/>
          <w:lang w:eastAsia="ko-KR"/>
        </w:rPr>
        <w:t xml:space="preserve">, and that figures could include </w:t>
      </w:r>
      <w:r w:rsidRPr="004635E5">
        <w:rPr>
          <w:rFonts w:cs="Times New Roman"/>
          <w:lang w:eastAsia="ko-KR"/>
        </w:rPr>
        <w:t xml:space="preserve">detached anchored FADs. </w:t>
      </w:r>
      <w:r w:rsidR="006B1A3E" w:rsidRPr="004635E5">
        <w:rPr>
          <w:rFonts w:cs="Times New Roman"/>
          <w:lang w:eastAsia="ko-KR"/>
        </w:rPr>
        <w:t xml:space="preserve">Indonesia also noted that its anchored FADs did not use netting, but primarily natural materials, making it unlikely that FADs reported in the paper were detached anchored FADs. </w:t>
      </w:r>
      <w:r w:rsidR="00E419FB" w:rsidRPr="004635E5">
        <w:rPr>
          <w:rFonts w:cs="Times New Roman"/>
          <w:lang w:eastAsia="ko-KR"/>
        </w:rPr>
        <w:t>L. Escalle stated that SPC would examine the data and provide input regarding the Indonesian FAD data used in the analysis</w:t>
      </w:r>
      <w:r w:rsidR="00A16680" w:rsidRPr="004635E5">
        <w:rPr>
          <w:rFonts w:cs="Times New Roman"/>
          <w:lang w:eastAsia="ko-KR"/>
        </w:rPr>
        <w:t xml:space="preserve">. </w:t>
      </w:r>
      <w:r w:rsidR="00E419FB" w:rsidRPr="004635E5">
        <w:rPr>
          <w:rFonts w:cs="Times New Roman"/>
          <w:lang w:eastAsia="ko-KR"/>
        </w:rPr>
        <w:t xml:space="preserve"> </w:t>
      </w:r>
    </w:p>
    <w:p w14:paraId="2B7CD184" w14:textId="77777777" w:rsidR="002A4403" w:rsidRPr="004635E5" w:rsidRDefault="002A4403" w:rsidP="006633A8">
      <w:pPr>
        <w:pStyle w:val="WCPFC"/>
        <w:numPr>
          <w:ilvl w:val="0"/>
          <w:numId w:val="0"/>
        </w:numPr>
        <w:adjustRightInd w:val="0"/>
        <w:spacing w:after="0"/>
        <w:rPr>
          <w:rFonts w:cs="Times New Roman"/>
          <w:lang w:eastAsia="ko-KR"/>
        </w:rPr>
      </w:pPr>
    </w:p>
    <w:p w14:paraId="6E7E8EA4" w14:textId="77777777" w:rsidR="009F15CB" w:rsidRPr="004635E5" w:rsidRDefault="00270656" w:rsidP="006633A8">
      <w:pPr>
        <w:pStyle w:val="WCPFC"/>
        <w:adjustRightInd w:val="0"/>
        <w:spacing w:after="0"/>
        <w:ind w:left="0" w:firstLine="0"/>
        <w:rPr>
          <w:rFonts w:cs="Times New Roman"/>
          <w:lang w:eastAsia="ko-KR"/>
        </w:rPr>
      </w:pPr>
      <w:r w:rsidRPr="004635E5">
        <w:rPr>
          <w:rFonts w:cs="Times New Roman"/>
          <w:lang w:eastAsia="ko-KR"/>
        </w:rPr>
        <w:t>Federated States of Micronesia</w:t>
      </w:r>
      <w:r w:rsidR="009F15CB" w:rsidRPr="004635E5">
        <w:rPr>
          <w:rFonts w:cs="Times New Roman"/>
          <w:lang w:eastAsia="ko-KR"/>
        </w:rPr>
        <w:t xml:space="preserve"> rec</w:t>
      </w:r>
      <w:r w:rsidR="00E419FB" w:rsidRPr="004635E5">
        <w:rPr>
          <w:rFonts w:cs="Times New Roman"/>
          <w:lang w:eastAsia="ko-KR"/>
        </w:rPr>
        <w:t xml:space="preserve">ommended that the study be shared with the </w:t>
      </w:r>
      <w:r w:rsidR="009F15CB" w:rsidRPr="004635E5">
        <w:rPr>
          <w:rFonts w:cs="Times New Roman"/>
          <w:lang w:eastAsia="ko-KR"/>
        </w:rPr>
        <w:t>FAD</w:t>
      </w:r>
      <w:r w:rsidR="00E419FB" w:rsidRPr="004635E5">
        <w:rPr>
          <w:rFonts w:cs="Times New Roman"/>
          <w:lang w:eastAsia="ko-KR"/>
        </w:rPr>
        <w:t xml:space="preserve"> </w:t>
      </w:r>
      <w:r w:rsidR="006B1A3E" w:rsidRPr="004635E5">
        <w:rPr>
          <w:rFonts w:cs="Times New Roman"/>
          <w:lang w:eastAsia="ko-KR"/>
        </w:rPr>
        <w:t xml:space="preserve">MO IWG3 </w:t>
      </w:r>
      <w:r w:rsidR="00E419FB" w:rsidRPr="004635E5">
        <w:rPr>
          <w:rFonts w:cs="Times New Roman"/>
          <w:lang w:eastAsia="ko-KR"/>
        </w:rPr>
        <w:t>meeting in Majuro</w:t>
      </w:r>
      <w:r w:rsidR="006B1A3E" w:rsidRPr="004635E5">
        <w:rPr>
          <w:rFonts w:cs="Times New Roman"/>
          <w:lang w:eastAsia="ko-KR"/>
        </w:rPr>
        <w:t xml:space="preserve"> in October 2018</w:t>
      </w:r>
      <w:r w:rsidR="009F15CB" w:rsidRPr="004635E5">
        <w:rPr>
          <w:rFonts w:cs="Times New Roman"/>
          <w:lang w:eastAsia="ko-KR"/>
        </w:rPr>
        <w:t xml:space="preserve">. </w:t>
      </w:r>
    </w:p>
    <w:p w14:paraId="083313AE" w14:textId="77777777" w:rsidR="002A4403" w:rsidRPr="004635E5" w:rsidRDefault="002A4403" w:rsidP="006633A8">
      <w:pPr>
        <w:pStyle w:val="WCPFC"/>
        <w:numPr>
          <w:ilvl w:val="0"/>
          <w:numId w:val="0"/>
        </w:numPr>
        <w:adjustRightInd w:val="0"/>
        <w:spacing w:after="0"/>
        <w:rPr>
          <w:rFonts w:cs="Times New Roman"/>
          <w:lang w:eastAsia="ko-KR"/>
        </w:rPr>
      </w:pPr>
    </w:p>
    <w:p w14:paraId="2A86B57B" w14:textId="77777777" w:rsidR="006B1A3E" w:rsidRPr="004635E5" w:rsidRDefault="003E6549" w:rsidP="006633A8">
      <w:pPr>
        <w:pStyle w:val="WCPFC"/>
        <w:adjustRightInd w:val="0"/>
        <w:spacing w:after="0"/>
        <w:ind w:left="0" w:firstLine="0"/>
        <w:rPr>
          <w:rFonts w:cs="Times New Roman"/>
          <w:lang w:eastAsia="ko-KR"/>
        </w:rPr>
      </w:pPr>
      <w:r w:rsidRPr="004635E5">
        <w:rPr>
          <w:rFonts w:cs="Times New Roman"/>
          <w:lang w:eastAsia="ko-KR"/>
        </w:rPr>
        <w:t>N. B. Phillip (C</w:t>
      </w:r>
      <w:r w:rsidR="009F15CB" w:rsidRPr="004635E5">
        <w:rPr>
          <w:rFonts w:cs="Times New Roman"/>
          <w:lang w:eastAsia="ko-KR"/>
        </w:rPr>
        <w:t>hair</w:t>
      </w:r>
      <w:r w:rsidRPr="004635E5">
        <w:rPr>
          <w:rFonts w:cs="Times New Roman"/>
          <w:lang w:eastAsia="ko-KR"/>
        </w:rPr>
        <w:t xml:space="preserve">, </w:t>
      </w:r>
      <w:r w:rsidR="009F15CB" w:rsidRPr="004635E5">
        <w:rPr>
          <w:rFonts w:cs="Times New Roman"/>
          <w:lang w:eastAsia="ko-KR"/>
        </w:rPr>
        <w:t xml:space="preserve">FAD </w:t>
      </w:r>
      <w:r w:rsidRPr="004635E5">
        <w:rPr>
          <w:rFonts w:cs="Times New Roman"/>
          <w:lang w:eastAsia="ko-KR"/>
        </w:rPr>
        <w:t>I</w:t>
      </w:r>
      <w:r w:rsidR="009F15CB" w:rsidRPr="004635E5">
        <w:rPr>
          <w:rFonts w:cs="Times New Roman"/>
          <w:lang w:eastAsia="ko-KR"/>
        </w:rPr>
        <w:t xml:space="preserve">ntercessional WG) </w:t>
      </w:r>
      <w:r w:rsidRPr="004635E5">
        <w:rPr>
          <w:rFonts w:cs="Times New Roman"/>
          <w:lang w:eastAsia="ko-KR"/>
        </w:rPr>
        <w:t xml:space="preserve">introduced </w:t>
      </w:r>
      <w:r w:rsidR="00961208">
        <w:rPr>
          <w:rFonts w:eastAsia="Calibri"/>
          <w:lang w:val="en-AU"/>
        </w:rPr>
        <w:t>SC14-</w:t>
      </w:r>
      <w:r w:rsidR="005E28EE" w:rsidRPr="004635E5">
        <w:rPr>
          <w:rFonts w:cs="Times New Roman"/>
          <w:lang w:eastAsia="ko-KR"/>
        </w:rPr>
        <w:t xml:space="preserve">EB-WP-16 </w:t>
      </w:r>
      <w:r w:rsidR="005E28EE" w:rsidRPr="004635E5">
        <w:rPr>
          <w:rFonts w:cs="Times New Roman"/>
          <w:i/>
          <w:lang w:eastAsia="ko-KR"/>
        </w:rPr>
        <w:t>Draft FAD MO IWG3 Guidelines for Biodegradable and Non-Entangling FADs V2</w:t>
      </w:r>
      <w:r w:rsidR="006B1A3E" w:rsidRPr="004635E5">
        <w:rPr>
          <w:rFonts w:cs="Times New Roman"/>
          <w:lang w:eastAsia="ko-KR"/>
        </w:rPr>
        <w:t>.</w:t>
      </w:r>
      <w:r w:rsidR="001D6D26" w:rsidRPr="004635E5">
        <w:rPr>
          <w:rFonts w:cs="Times New Roman"/>
          <w:lang w:eastAsia="ko-KR"/>
        </w:rPr>
        <w:t xml:space="preserve"> </w:t>
      </w:r>
    </w:p>
    <w:p w14:paraId="0CECFD2A" w14:textId="77777777" w:rsidR="009D13D7" w:rsidRPr="004635E5" w:rsidRDefault="009D13D7" w:rsidP="006633A8">
      <w:pPr>
        <w:pStyle w:val="ListParagraph"/>
        <w:adjustRightInd w:val="0"/>
        <w:snapToGrid w:val="0"/>
        <w:ind w:left="0"/>
        <w:jc w:val="both"/>
        <w:rPr>
          <w:rFonts w:eastAsiaTheme="minorEastAsia"/>
          <w:b/>
          <w:sz w:val="22"/>
          <w:szCs w:val="22"/>
          <w:lang w:eastAsia="ko-KR"/>
        </w:rPr>
      </w:pPr>
    </w:p>
    <w:p w14:paraId="7AB8E0B0" w14:textId="77777777" w:rsidR="007E5456" w:rsidRPr="004635E5" w:rsidRDefault="007E5456" w:rsidP="006633A8">
      <w:pPr>
        <w:pStyle w:val="ListParagraph"/>
        <w:adjustRightInd w:val="0"/>
        <w:snapToGrid w:val="0"/>
        <w:ind w:left="0"/>
        <w:jc w:val="both"/>
        <w:rPr>
          <w:rFonts w:eastAsiaTheme="minorEastAsia"/>
          <w:b/>
          <w:sz w:val="22"/>
          <w:szCs w:val="22"/>
          <w:lang w:eastAsia="ko-KR"/>
        </w:rPr>
      </w:pPr>
      <w:r w:rsidRPr="004635E5">
        <w:rPr>
          <w:rFonts w:eastAsiaTheme="minorEastAsia"/>
          <w:b/>
          <w:sz w:val="22"/>
          <w:szCs w:val="22"/>
          <w:lang w:eastAsia="ko-KR"/>
        </w:rPr>
        <w:t>Discussion</w:t>
      </w:r>
    </w:p>
    <w:p w14:paraId="2190B521" w14:textId="77777777" w:rsidR="002A4403" w:rsidRPr="004635E5" w:rsidRDefault="002A4403" w:rsidP="006633A8">
      <w:pPr>
        <w:pStyle w:val="ListParagraph"/>
        <w:adjustRightInd w:val="0"/>
        <w:snapToGrid w:val="0"/>
        <w:ind w:left="0"/>
        <w:jc w:val="both"/>
        <w:rPr>
          <w:rFonts w:eastAsiaTheme="minorEastAsia"/>
          <w:b/>
          <w:sz w:val="22"/>
          <w:szCs w:val="22"/>
          <w:lang w:eastAsia="ko-KR"/>
        </w:rPr>
      </w:pPr>
    </w:p>
    <w:p w14:paraId="478169C3" w14:textId="77777777" w:rsidR="00C076C3" w:rsidRPr="004635E5" w:rsidRDefault="00E419FB" w:rsidP="006633A8">
      <w:pPr>
        <w:pStyle w:val="WCPFC"/>
        <w:adjustRightInd w:val="0"/>
        <w:spacing w:after="0"/>
        <w:ind w:left="0" w:firstLine="0"/>
        <w:rPr>
          <w:rFonts w:cs="Times New Roman"/>
          <w:lang w:eastAsia="ko-KR"/>
        </w:rPr>
      </w:pPr>
      <w:r w:rsidRPr="004635E5">
        <w:rPr>
          <w:rFonts w:cs="Times New Roman"/>
          <w:lang w:eastAsia="ko-KR"/>
        </w:rPr>
        <w:t xml:space="preserve">The </w:t>
      </w:r>
      <w:r w:rsidR="007E5456" w:rsidRPr="004635E5">
        <w:rPr>
          <w:rFonts w:cs="Times New Roman"/>
          <w:lang w:eastAsia="ko-KR"/>
        </w:rPr>
        <w:t>PNA office</w:t>
      </w:r>
      <w:r w:rsidRPr="004635E5">
        <w:rPr>
          <w:rFonts w:cs="Times New Roman"/>
          <w:lang w:eastAsia="ko-KR"/>
        </w:rPr>
        <w:t xml:space="preserve"> thanked</w:t>
      </w:r>
      <w:r w:rsidR="007E5456" w:rsidRPr="004635E5">
        <w:rPr>
          <w:rFonts w:cs="Times New Roman"/>
          <w:lang w:eastAsia="ko-KR"/>
        </w:rPr>
        <w:t xml:space="preserve"> the present</w:t>
      </w:r>
      <w:r w:rsidRPr="004635E5">
        <w:rPr>
          <w:rFonts w:cs="Times New Roman"/>
          <w:lang w:eastAsia="ko-KR"/>
        </w:rPr>
        <w:t>ers, noting they are</w:t>
      </w:r>
      <w:r w:rsidR="007E5456" w:rsidRPr="004635E5">
        <w:rPr>
          <w:rFonts w:cs="Times New Roman"/>
          <w:lang w:eastAsia="ko-KR"/>
        </w:rPr>
        <w:t xml:space="preserve"> undertaking a large research project related to the use of FADs that will contribute to the working group’s </w:t>
      </w:r>
      <w:r w:rsidR="001D6D26" w:rsidRPr="004635E5">
        <w:rPr>
          <w:rFonts w:cs="Times New Roman"/>
          <w:lang w:eastAsia="ko-KR"/>
        </w:rPr>
        <w:t>efforts</w:t>
      </w:r>
      <w:r w:rsidR="007E5456" w:rsidRPr="004635E5">
        <w:rPr>
          <w:rFonts w:cs="Times New Roman"/>
          <w:lang w:eastAsia="ko-KR"/>
        </w:rPr>
        <w:t xml:space="preserve">. </w:t>
      </w:r>
      <w:r w:rsidR="00C076C3" w:rsidRPr="004635E5">
        <w:rPr>
          <w:rFonts w:cs="Times New Roman"/>
          <w:lang w:eastAsia="ko-KR"/>
        </w:rPr>
        <w:t>The</w:t>
      </w:r>
      <w:r w:rsidR="001D6D26" w:rsidRPr="004635E5">
        <w:rPr>
          <w:rFonts w:cs="Times New Roman"/>
          <w:lang w:eastAsia="ko-KR"/>
        </w:rPr>
        <w:t>y</w:t>
      </w:r>
      <w:r w:rsidR="00C076C3" w:rsidRPr="004635E5">
        <w:rPr>
          <w:rFonts w:cs="Times New Roman"/>
          <w:lang w:eastAsia="ko-KR"/>
        </w:rPr>
        <w:t xml:space="preserve"> noted the need </w:t>
      </w:r>
      <w:r w:rsidR="007E5456" w:rsidRPr="004635E5">
        <w:rPr>
          <w:rFonts w:cs="Times New Roman"/>
          <w:lang w:eastAsia="ko-KR"/>
        </w:rPr>
        <w:t>to be reali</w:t>
      </w:r>
      <w:r w:rsidR="00C076C3" w:rsidRPr="004635E5">
        <w:rPr>
          <w:rFonts w:cs="Times New Roman"/>
          <w:lang w:eastAsia="ko-KR"/>
        </w:rPr>
        <w:t>s</w:t>
      </w:r>
      <w:r w:rsidR="007E5456" w:rsidRPr="004635E5">
        <w:rPr>
          <w:rFonts w:cs="Times New Roman"/>
          <w:lang w:eastAsia="ko-KR"/>
        </w:rPr>
        <w:t xml:space="preserve">tic in </w:t>
      </w:r>
      <w:r w:rsidR="00C076C3" w:rsidRPr="004635E5">
        <w:rPr>
          <w:rFonts w:cs="Times New Roman"/>
          <w:lang w:eastAsia="ko-KR"/>
        </w:rPr>
        <w:t xml:space="preserve">terms of </w:t>
      </w:r>
      <w:r w:rsidR="007E5456" w:rsidRPr="004635E5">
        <w:rPr>
          <w:rFonts w:cs="Times New Roman"/>
          <w:lang w:eastAsia="ko-KR"/>
        </w:rPr>
        <w:t>expectations</w:t>
      </w:r>
      <w:r w:rsidR="001D6D26" w:rsidRPr="004635E5">
        <w:rPr>
          <w:rFonts w:cs="Times New Roman"/>
          <w:lang w:eastAsia="ko-KR"/>
        </w:rPr>
        <w:t xml:space="preserve">, and expressed their </w:t>
      </w:r>
      <w:r w:rsidR="00C076C3" w:rsidRPr="004635E5">
        <w:rPr>
          <w:rFonts w:cs="Times New Roman"/>
          <w:lang w:eastAsia="ko-KR"/>
        </w:rPr>
        <w:t xml:space="preserve">view </w:t>
      </w:r>
      <w:r w:rsidR="007E5456" w:rsidRPr="004635E5">
        <w:rPr>
          <w:rFonts w:cs="Times New Roman"/>
          <w:lang w:eastAsia="ko-KR"/>
        </w:rPr>
        <w:t>that guidelines for the const</w:t>
      </w:r>
      <w:r w:rsidR="00C076C3" w:rsidRPr="004635E5">
        <w:rPr>
          <w:rFonts w:cs="Times New Roman"/>
          <w:lang w:eastAsia="ko-KR"/>
        </w:rPr>
        <w:t>ruction</w:t>
      </w:r>
      <w:r w:rsidR="007E5456" w:rsidRPr="004635E5">
        <w:rPr>
          <w:rFonts w:cs="Times New Roman"/>
          <w:lang w:eastAsia="ko-KR"/>
        </w:rPr>
        <w:t xml:space="preserve"> of FADs be specific</w:t>
      </w:r>
      <w:r w:rsidR="00C076C3" w:rsidRPr="004635E5">
        <w:rPr>
          <w:rFonts w:cs="Times New Roman"/>
          <w:lang w:eastAsia="ko-KR"/>
        </w:rPr>
        <w:t>,</w:t>
      </w:r>
      <w:r w:rsidR="007E5456" w:rsidRPr="004635E5">
        <w:rPr>
          <w:rFonts w:cs="Times New Roman"/>
          <w:lang w:eastAsia="ko-KR"/>
        </w:rPr>
        <w:t xml:space="preserve"> so that the</w:t>
      </w:r>
      <w:r w:rsidR="001D6D26" w:rsidRPr="004635E5">
        <w:rPr>
          <w:rFonts w:cs="Times New Roman"/>
          <w:lang w:eastAsia="ko-KR"/>
        </w:rPr>
        <w:t>y</w:t>
      </w:r>
      <w:r w:rsidR="007E5456" w:rsidRPr="004635E5">
        <w:rPr>
          <w:rFonts w:cs="Times New Roman"/>
          <w:lang w:eastAsia="ko-KR"/>
        </w:rPr>
        <w:t xml:space="preserve"> can be enforced. </w:t>
      </w:r>
    </w:p>
    <w:p w14:paraId="4AC32F36" w14:textId="77777777" w:rsidR="002A4403" w:rsidRPr="004635E5" w:rsidRDefault="002A4403" w:rsidP="006633A8">
      <w:pPr>
        <w:pStyle w:val="WCPFC"/>
        <w:numPr>
          <w:ilvl w:val="0"/>
          <w:numId w:val="0"/>
        </w:numPr>
        <w:adjustRightInd w:val="0"/>
        <w:spacing w:after="0"/>
        <w:rPr>
          <w:rFonts w:cs="Times New Roman"/>
          <w:lang w:eastAsia="ko-KR"/>
        </w:rPr>
      </w:pPr>
    </w:p>
    <w:p w14:paraId="3CF70E7F" w14:textId="77777777" w:rsidR="003E6549" w:rsidRPr="004635E5" w:rsidRDefault="007E5456" w:rsidP="006633A8">
      <w:pPr>
        <w:pStyle w:val="WCPFC"/>
        <w:adjustRightInd w:val="0"/>
        <w:spacing w:after="0"/>
        <w:ind w:left="0" w:firstLine="0"/>
        <w:rPr>
          <w:rFonts w:cs="Times New Roman"/>
          <w:lang w:eastAsia="ko-KR"/>
        </w:rPr>
      </w:pPr>
      <w:r w:rsidRPr="004635E5">
        <w:rPr>
          <w:rFonts w:cs="Times New Roman"/>
          <w:lang w:eastAsia="ko-KR"/>
        </w:rPr>
        <w:t>EU</w:t>
      </w:r>
      <w:r w:rsidR="00C076C3" w:rsidRPr="004635E5">
        <w:rPr>
          <w:rFonts w:cs="Times New Roman"/>
          <w:lang w:eastAsia="ko-KR"/>
        </w:rPr>
        <w:t xml:space="preserve"> noted the </w:t>
      </w:r>
      <w:r w:rsidRPr="004635E5">
        <w:rPr>
          <w:rFonts w:cs="Times New Roman"/>
          <w:lang w:eastAsia="ko-KR"/>
        </w:rPr>
        <w:t>PNA</w:t>
      </w:r>
      <w:r w:rsidR="001D6D26" w:rsidRPr="004635E5">
        <w:rPr>
          <w:rFonts w:cs="Times New Roman"/>
          <w:lang w:eastAsia="ko-KR"/>
        </w:rPr>
        <w:t>’s</w:t>
      </w:r>
      <w:r w:rsidR="00C076C3" w:rsidRPr="004635E5">
        <w:rPr>
          <w:rFonts w:cs="Times New Roman"/>
          <w:lang w:eastAsia="ko-KR"/>
        </w:rPr>
        <w:t xml:space="preserve"> comments</w:t>
      </w:r>
      <w:r w:rsidRPr="004635E5">
        <w:rPr>
          <w:rFonts w:cs="Times New Roman"/>
          <w:lang w:eastAsia="ko-KR"/>
        </w:rPr>
        <w:t xml:space="preserve">, </w:t>
      </w:r>
      <w:r w:rsidR="00C076C3" w:rsidRPr="004635E5">
        <w:rPr>
          <w:rFonts w:cs="Times New Roman"/>
          <w:lang w:eastAsia="ko-KR"/>
        </w:rPr>
        <w:t xml:space="preserve">and </w:t>
      </w:r>
      <w:r w:rsidR="001D6D26" w:rsidRPr="004635E5">
        <w:rPr>
          <w:rFonts w:cs="Times New Roman"/>
          <w:lang w:eastAsia="ko-KR"/>
        </w:rPr>
        <w:t xml:space="preserve">agreed on the </w:t>
      </w:r>
      <w:r w:rsidRPr="004635E5">
        <w:rPr>
          <w:rFonts w:cs="Times New Roman"/>
          <w:lang w:eastAsia="ko-KR"/>
        </w:rPr>
        <w:t xml:space="preserve">need to have </w:t>
      </w:r>
      <w:r w:rsidR="001D6D26" w:rsidRPr="004635E5">
        <w:rPr>
          <w:rFonts w:cs="Times New Roman"/>
          <w:lang w:eastAsia="ko-KR"/>
        </w:rPr>
        <w:t xml:space="preserve">precise </w:t>
      </w:r>
      <w:r w:rsidRPr="004635E5">
        <w:rPr>
          <w:rFonts w:cs="Times New Roman"/>
          <w:lang w:eastAsia="ko-KR"/>
        </w:rPr>
        <w:t>spec</w:t>
      </w:r>
      <w:r w:rsidR="00C076C3" w:rsidRPr="004635E5">
        <w:rPr>
          <w:rFonts w:cs="Times New Roman"/>
          <w:lang w:eastAsia="ko-KR"/>
        </w:rPr>
        <w:t>ification</w:t>
      </w:r>
      <w:r w:rsidRPr="004635E5">
        <w:rPr>
          <w:rFonts w:cs="Times New Roman"/>
          <w:lang w:eastAsia="ko-KR"/>
        </w:rPr>
        <w:t xml:space="preserve">s </w:t>
      </w:r>
      <w:r w:rsidR="001D6D26" w:rsidRPr="004635E5">
        <w:rPr>
          <w:rFonts w:cs="Times New Roman"/>
          <w:lang w:eastAsia="ko-KR"/>
        </w:rPr>
        <w:t xml:space="preserve">that would </w:t>
      </w:r>
      <w:r w:rsidRPr="004635E5">
        <w:rPr>
          <w:rFonts w:cs="Times New Roman"/>
          <w:lang w:eastAsia="ko-KR"/>
        </w:rPr>
        <w:t>allow for enforcement</w:t>
      </w:r>
      <w:r w:rsidR="00C076C3" w:rsidRPr="004635E5">
        <w:rPr>
          <w:rFonts w:cs="Times New Roman"/>
          <w:lang w:eastAsia="ko-KR"/>
        </w:rPr>
        <w:t xml:space="preserve">, </w:t>
      </w:r>
      <w:r w:rsidR="001D6D26" w:rsidRPr="004635E5">
        <w:rPr>
          <w:rFonts w:cs="Times New Roman"/>
          <w:lang w:eastAsia="ko-KR"/>
        </w:rPr>
        <w:t xml:space="preserve">while observing </w:t>
      </w:r>
      <w:r w:rsidR="00C076C3" w:rsidRPr="004635E5">
        <w:rPr>
          <w:rFonts w:cs="Times New Roman"/>
          <w:lang w:eastAsia="ko-KR"/>
        </w:rPr>
        <w:t xml:space="preserve">that this might take 10 more </w:t>
      </w:r>
      <w:r w:rsidRPr="004635E5">
        <w:rPr>
          <w:rFonts w:cs="Times New Roman"/>
          <w:lang w:eastAsia="ko-KR"/>
        </w:rPr>
        <w:t>y</w:t>
      </w:r>
      <w:r w:rsidR="00C076C3" w:rsidRPr="004635E5">
        <w:rPr>
          <w:rFonts w:cs="Times New Roman"/>
          <w:lang w:eastAsia="ko-KR"/>
        </w:rPr>
        <w:t>e</w:t>
      </w:r>
      <w:r w:rsidRPr="004635E5">
        <w:rPr>
          <w:rFonts w:cs="Times New Roman"/>
          <w:lang w:eastAsia="ko-KR"/>
        </w:rPr>
        <w:t>ars at the op</w:t>
      </w:r>
      <w:r w:rsidR="00C076C3" w:rsidRPr="004635E5">
        <w:rPr>
          <w:rFonts w:cs="Times New Roman"/>
          <w:lang w:eastAsia="ko-KR"/>
        </w:rPr>
        <w:t>erational</w:t>
      </w:r>
      <w:r w:rsidRPr="004635E5">
        <w:rPr>
          <w:rFonts w:cs="Times New Roman"/>
          <w:lang w:eastAsia="ko-KR"/>
        </w:rPr>
        <w:t xml:space="preserve"> level. </w:t>
      </w:r>
      <w:r w:rsidR="00C076C3" w:rsidRPr="004635E5">
        <w:rPr>
          <w:rFonts w:cs="Times New Roman"/>
          <w:lang w:eastAsia="ko-KR"/>
        </w:rPr>
        <w:t xml:space="preserve">They </w:t>
      </w:r>
      <w:r w:rsidRPr="004635E5">
        <w:rPr>
          <w:rFonts w:cs="Times New Roman"/>
          <w:lang w:eastAsia="ko-KR"/>
        </w:rPr>
        <w:t>underst</w:t>
      </w:r>
      <w:r w:rsidR="00C076C3" w:rsidRPr="004635E5">
        <w:rPr>
          <w:rFonts w:cs="Times New Roman"/>
          <w:lang w:eastAsia="ko-KR"/>
        </w:rPr>
        <w:t xml:space="preserve">ood that existing guidelines </w:t>
      </w:r>
      <w:r w:rsidRPr="004635E5">
        <w:rPr>
          <w:rFonts w:cs="Times New Roman"/>
          <w:lang w:eastAsia="ko-KR"/>
        </w:rPr>
        <w:t>contain some clear spec</w:t>
      </w:r>
      <w:r w:rsidR="00C076C3" w:rsidRPr="004635E5">
        <w:rPr>
          <w:rFonts w:cs="Times New Roman"/>
          <w:lang w:eastAsia="ko-KR"/>
        </w:rPr>
        <w:t>ifications in terms of mesh</w:t>
      </w:r>
      <w:r w:rsidRPr="004635E5">
        <w:rPr>
          <w:rFonts w:cs="Times New Roman"/>
          <w:lang w:eastAsia="ko-KR"/>
        </w:rPr>
        <w:t xml:space="preserve"> size</w:t>
      </w:r>
      <w:r w:rsidR="00C076C3" w:rsidRPr="004635E5">
        <w:rPr>
          <w:rFonts w:cs="Times New Roman"/>
          <w:lang w:eastAsia="ko-KR"/>
        </w:rPr>
        <w:t>,</w:t>
      </w:r>
      <w:r w:rsidRPr="004635E5">
        <w:rPr>
          <w:rFonts w:cs="Times New Roman"/>
          <w:lang w:eastAsia="ko-KR"/>
        </w:rPr>
        <w:t xml:space="preserve"> etc. </w:t>
      </w:r>
      <w:r w:rsidR="001D6D26" w:rsidRPr="004635E5">
        <w:rPr>
          <w:rFonts w:cs="Times New Roman"/>
          <w:lang w:eastAsia="ko-KR"/>
        </w:rPr>
        <w:t xml:space="preserve">The EU stated that it would </w:t>
      </w:r>
      <w:r w:rsidR="00C076C3" w:rsidRPr="004635E5">
        <w:rPr>
          <w:rFonts w:cs="Times New Roman"/>
          <w:lang w:eastAsia="ko-KR"/>
        </w:rPr>
        <w:t xml:space="preserve">be beneficial to </w:t>
      </w:r>
      <w:r w:rsidRPr="004635E5">
        <w:rPr>
          <w:rFonts w:cs="Times New Roman"/>
          <w:lang w:eastAsia="ko-KR"/>
        </w:rPr>
        <w:t>implement exiting guideline</w:t>
      </w:r>
      <w:r w:rsidR="00C076C3" w:rsidRPr="004635E5">
        <w:rPr>
          <w:rFonts w:cs="Times New Roman"/>
          <w:lang w:eastAsia="ko-KR"/>
        </w:rPr>
        <w:t>s</w:t>
      </w:r>
      <w:r w:rsidRPr="004635E5">
        <w:rPr>
          <w:rFonts w:cs="Times New Roman"/>
          <w:lang w:eastAsia="ko-KR"/>
        </w:rPr>
        <w:t xml:space="preserve"> </w:t>
      </w:r>
      <w:r w:rsidR="001D6D26" w:rsidRPr="004635E5">
        <w:rPr>
          <w:rFonts w:cs="Times New Roman"/>
          <w:lang w:eastAsia="ko-KR"/>
        </w:rPr>
        <w:t xml:space="preserve">while </w:t>
      </w:r>
      <w:r w:rsidRPr="004635E5">
        <w:rPr>
          <w:rFonts w:cs="Times New Roman"/>
          <w:lang w:eastAsia="ko-KR"/>
        </w:rPr>
        <w:t>work</w:t>
      </w:r>
      <w:r w:rsidR="001D6D26" w:rsidRPr="004635E5">
        <w:rPr>
          <w:rFonts w:cs="Times New Roman"/>
          <w:lang w:eastAsia="ko-KR"/>
        </w:rPr>
        <w:t>ing</w:t>
      </w:r>
      <w:r w:rsidRPr="004635E5">
        <w:rPr>
          <w:rFonts w:cs="Times New Roman"/>
          <w:lang w:eastAsia="ko-KR"/>
        </w:rPr>
        <w:t xml:space="preserve"> to finalize the spec</w:t>
      </w:r>
      <w:r w:rsidR="00C076C3" w:rsidRPr="004635E5">
        <w:rPr>
          <w:rFonts w:cs="Times New Roman"/>
          <w:lang w:eastAsia="ko-KR"/>
        </w:rPr>
        <w:t>ification</w:t>
      </w:r>
      <w:r w:rsidRPr="004635E5">
        <w:rPr>
          <w:rFonts w:cs="Times New Roman"/>
          <w:lang w:eastAsia="ko-KR"/>
        </w:rPr>
        <w:t xml:space="preserve">s. </w:t>
      </w:r>
    </w:p>
    <w:p w14:paraId="6CF3FCD8" w14:textId="77777777" w:rsidR="002A4403" w:rsidRPr="004635E5" w:rsidRDefault="002A4403" w:rsidP="006633A8">
      <w:pPr>
        <w:pStyle w:val="WCPFC"/>
        <w:numPr>
          <w:ilvl w:val="0"/>
          <w:numId w:val="0"/>
        </w:numPr>
        <w:adjustRightInd w:val="0"/>
        <w:spacing w:after="0"/>
        <w:rPr>
          <w:rFonts w:cs="Times New Roman"/>
          <w:lang w:eastAsia="ko-KR"/>
        </w:rPr>
      </w:pPr>
    </w:p>
    <w:p w14:paraId="6737DB15" w14:textId="77777777" w:rsidR="00787275" w:rsidRPr="004635E5" w:rsidRDefault="007E5456" w:rsidP="006633A8">
      <w:pPr>
        <w:pStyle w:val="WCPFC"/>
        <w:adjustRightInd w:val="0"/>
        <w:spacing w:after="0"/>
        <w:ind w:left="0" w:firstLine="0"/>
        <w:rPr>
          <w:rFonts w:cs="Times New Roman"/>
          <w:lang w:eastAsia="ko-KR"/>
        </w:rPr>
      </w:pPr>
      <w:r w:rsidRPr="004635E5">
        <w:rPr>
          <w:rFonts w:cs="Times New Roman"/>
          <w:lang w:eastAsia="ko-KR"/>
        </w:rPr>
        <w:t>I</w:t>
      </w:r>
      <w:r w:rsidR="00C076C3" w:rsidRPr="004635E5">
        <w:rPr>
          <w:rFonts w:cs="Times New Roman"/>
          <w:lang w:eastAsia="ko-KR"/>
        </w:rPr>
        <w:t xml:space="preserve">ndonesia noted the need for more data on </w:t>
      </w:r>
      <w:r w:rsidRPr="004635E5">
        <w:rPr>
          <w:rFonts w:cs="Times New Roman"/>
          <w:lang w:eastAsia="ko-KR"/>
        </w:rPr>
        <w:t>lost FADs</w:t>
      </w:r>
      <w:r w:rsidR="00C076C3" w:rsidRPr="004635E5">
        <w:rPr>
          <w:rFonts w:cs="Times New Roman"/>
          <w:lang w:eastAsia="ko-KR"/>
        </w:rPr>
        <w:t xml:space="preserve"> and inquired whether </w:t>
      </w:r>
      <w:r w:rsidRPr="004635E5">
        <w:rPr>
          <w:rFonts w:cs="Times New Roman"/>
          <w:lang w:eastAsia="ko-KR"/>
        </w:rPr>
        <w:t xml:space="preserve">the </w:t>
      </w:r>
      <w:r w:rsidR="00C076C3" w:rsidRPr="004635E5">
        <w:rPr>
          <w:rFonts w:cs="Times New Roman"/>
          <w:lang w:eastAsia="ko-KR"/>
        </w:rPr>
        <w:t xml:space="preserve">FAD </w:t>
      </w:r>
      <w:r w:rsidRPr="004635E5">
        <w:rPr>
          <w:rFonts w:cs="Times New Roman"/>
          <w:lang w:eastAsia="ko-KR"/>
        </w:rPr>
        <w:t xml:space="preserve">working group </w:t>
      </w:r>
      <w:r w:rsidR="00C076C3" w:rsidRPr="004635E5">
        <w:rPr>
          <w:rFonts w:cs="Times New Roman"/>
          <w:lang w:eastAsia="ko-KR"/>
        </w:rPr>
        <w:t xml:space="preserve">was </w:t>
      </w:r>
      <w:r w:rsidRPr="004635E5">
        <w:rPr>
          <w:rFonts w:cs="Times New Roman"/>
          <w:lang w:eastAsia="ko-KR"/>
        </w:rPr>
        <w:t xml:space="preserve">discussing the </w:t>
      </w:r>
      <w:r w:rsidR="00C076C3" w:rsidRPr="004635E5">
        <w:rPr>
          <w:rFonts w:cs="Times New Roman"/>
          <w:lang w:eastAsia="ko-KR"/>
        </w:rPr>
        <w:t>FA</w:t>
      </w:r>
      <w:r w:rsidR="001D6D26" w:rsidRPr="004635E5">
        <w:rPr>
          <w:rFonts w:cs="Times New Roman"/>
          <w:lang w:eastAsia="ko-KR"/>
        </w:rPr>
        <w:t>D</w:t>
      </w:r>
      <w:r w:rsidR="00C076C3" w:rsidRPr="004635E5">
        <w:rPr>
          <w:rFonts w:cs="Times New Roman"/>
          <w:lang w:eastAsia="ko-KR"/>
        </w:rPr>
        <w:t xml:space="preserve"> identification </w:t>
      </w:r>
      <w:r w:rsidRPr="004635E5">
        <w:rPr>
          <w:rFonts w:cs="Times New Roman"/>
          <w:lang w:eastAsia="ko-KR"/>
        </w:rPr>
        <w:t>and markings</w:t>
      </w:r>
      <w:r w:rsidR="00C076C3" w:rsidRPr="004635E5">
        <w:rPr>
          <w:rFonts w:cs="Times New Roman"/>
          <w:lang w:eastAsia="ko-KR"/>
        </w:rPr>
        <w:t xml:space="preserve">. N. Phillip indicated that </w:t>
      </w:r>
      <w:r w:rsidR="009D13D7" w:rsidRPr="004635E5">
        <w:rPr>
          <w:rFonts w:cs="Times New Roman"/>
          <w:lang w:eastAsia="ko-KR"/>
        </w:rPr>
        <w:t xml:space="preserve">the </w:t>
      </w:r>
      <w:r w:rsidR="00C076C3" w:rsidRPr="004635E5">
        <w:rPr>
          <w:rFonts w:cs="Times New Roman"/>
          <w:lang w:eastAsia="ko-KR"/>
        </w:rPr>
        <w:t xml:space="preserve">WG was </w:t>
      </w:r>
      <w:r w:rsidRPr="004635E5">
        <w:rPr>
          <w:rFonts w:cs="Times New Roman"/>
          <w:lang w:eastAsia="ko-KR"/>
        </w:rPr>
        <w:t xml:space="preserve">tasked with looking </w:t>
      </w:r>
      <w:r w:rsidR="00C076C3" w:rsidRPr="004635E5">
        <w:rPr>
          <w:rFonts w:cs="Times New Roman"/>
          <w:lang w:eastAsia="ko-KR"/>
        </w:rPr>
        <w:t xml:space="preserve">at </w:t>
      </w:r>
      <w:r w:rsidRPr="004635E5">
        <w:rPr>
          <w:rFonts w:cs="Times New Roman"/>
          <w:lang w:eastAsia="ko-KR"/>
        </w:rPr>
        <w:t>FAD marking and FAD tracking</w:t>
      </w:r>
      <w:r w:rsidR="00C076C3" w:rsidRPr="004635E5">
        <w:rPr>
          <w:rFonts w:cs="Times New Roman"/>
          <w:lang w:eastAsia="ko-KR"/>
        </w:rPr>
        <w:t>, and that this would be di</w:t>
      </w:r>
      <w:r w:rsidRPr="004635E5">
        <w:rPr>
          <w:rFonts w:cs="Times New Roman"/>
          <w:lang w:eastAsia="ko-KR"/>
        </w:rPr>
        <w:t>s</w:t>
      </w:r>
      <w:r w:rsidR="00C076C3" w:rsidRPr="004635E5">
        <w:rPr>
          <w:rFonts w:cs="Times New Roman"/>
          <w:lang w:eastAsia="ko-KR"/>
        </w:rPr>
        <w:t>c</w:t>
      </w:r>
      <w:r w:rsidRPr="004635E5">
        <w:rPr>
          <w:rFonts w:cs="Times New Roman"/>
          <w:lang w:eastAsia="ko-KR"/>
        </w:rPr>
        <w:t>uss</w:t>
      </w:r>
      <w:r w:rsidR="00C076C3" w:rsidRPr="004635E5">
        <w:rPr>
          <w:rFonts w:cs="Times New Roman"/>
          <w:lang w:eastAsia="ko-KR"/>
        </w:rPr>
        <w:t xml:space="preserve">ed </w:t>
      </w:r>
      <w:r w:rsidR="001D6D26" w:rsidRPr="004635E5">
        <w:rPr>
          <w:rFonts w:cs="Times New Roman"/>
          <w:lang w:eastAsia="ko-KR"/>
        </w:rPr>
        <w:t xml:space="preserve">at the </w:t>
      </w:r>
      <w:r w:rsidR="001D6D26" w:rsidRPr="004635E5">
        <w:rPr>
          <w:rFonts w:cs="Times New Roman"/>
          <w:lang w:val="en-US" w:eastAsia="ko-KR"/>
        </w:rPr>
        <w:t>FAD MO IWG3</w:t>
      </w:r>
      <w:r w:rsidR="001D6D26" w:rsidRPr="004635E5">
        <w:rPr>
          <w:rFonts w:cs="Times New Roman"/>
          <w:i/>
          <w:lang w:val="en-US" w:eastAsia="ko-KR"/>
        </w:rPr>
        <w:t xml:space="preserve"> </w:t>
      </w:r>
      <w:r w:rsidRPr="004635E5">
        <w:rPr>
          <w:rFonts w:cs="Times New Roman"/>
          <w:lang w:eastAsia="ko-KR"/>
        </w:rPr>
        <w:t>meeting</w:t>
      </w:r>
      <w:r w:rsidR="001D6D26" w:rsidRPr="004635E5">
        <w:rPr>
          <w:rFonts w:cs="Times New Roman"/>
          <w:lang w:eastAsia="ko-KR"/>
        </w:rPr>
        <w:t xml:space="preserve"> in Majuro in October 2018</w:t>
      </w:r>
      <w:r w:rsidRPr="004635E5">
        <w:rPr>
          <w:rFonts w:cs="Times New Roman"/>
          <w:lang w:eastAsia="ko-KR"/>
        </w:rPr>
        <w:t>.</w:t>
      </w:r>
    </w:p>
    <w:p w14:paraId="64DCB521" w14:textId="77777777" w:rsidR="002A4403" w:rsidRPr="004635E5" w:rsidRDefault="002A4403" w:rsidP="006633A8">
      <w:pPr>
        <w:pStyle w:val="WCPFC"/>
        <w:numPr>
          <w:ilvl w:val="0"/>
          <w:numId w:val="0"/>
        </w:numPr>
        <w:adjustRightInd w:val="0"/>
        <w:spacing w:after="0"/>
        <w:rPr>
          <w:rFonts w:cs="Times New Roman"/>
          <w:lang w:eastAsia="ko-KR"/>
        </w:rPr>
      </w:pPr>
    </w:p>
    <w:p w14:paraId="021DA08A" w14:textId="77777777" w:rsidR="00494B7B" w:rsidRPr="004635E5" w:rsidRDefault="002666B8" w:rsidP="00580EA4">
      <w:pPr>
        <w:pStyle w:val="SC3"/>
        <w:numPr>
          <w:ilvl w:val="3"/>
          <w:numId w:val="161"/>
        </w:numPr>
        <w:spacing w:after="0"/>
        <w:rPr>
          <w:rFonts w:eastAsiaTheme="minorEastAsia"/>
          <w:bCs/>
          <w:lang w:eastAsia="ko-KR"/>
        </w:rPr>
      </w:pPr>
      <w:r w:rsidRPr="004635E5">
        <w:rPr>
          <w:rFonts w:eastAsiaTheme="minorEastAsia"/>
          <w:bCs/>
          <w:lang w:eastAsia="ko-KR"/>
        </w:rPr>
        <w:t>FAD Research Plan</w:t>
      </w:r>
    </w:p>
    <w:p w14:paraId="45A470AD" w14:textId="77777777" w:rsidR="002A4403" w:rsidRPr="004635E5" w:rsidRDefault="002A4403" w:rsidP="006633A8">
      <w:pPr>
        <w:pStyle w:val="SC3"/>
        <w:numPr>
          <w:ilvl w:val="0"/>
          <w:numId w:val="0"/>
        </w:numPr>
        <w:spacing w:after="0"/>
        <w:ind w:left="1800"/>
        <w:rPr>
          <w:rFonts w:eastAsiaTheme="minorEastAsia"/>
          <w:bCs/>
          <w:lang w:eastAsia="ko-KR"/>
        </w:rPr>
      </w:pPr>
    </w:p>
    <w:p w14:paraId="50836C93" w14:textId="77777777" w:rsidR="00DA21E6" w:rsidRPr="004635E5" w:rsidRDefault="001D6D26" w:rsidP="006633A8">
      <w:pPr>
        <w:pStyle w:val="WCPFC"/>
        <w:adjustRightInd w:val="0"/>
        <w:spacing w:after="0"/>
        <w:ind w:left="0" w:firstLine="0"/>
        <w:rPr>
          <w:rFonts w:cs="Times New Roman"/>
          <w:bCs/>
          <w:lang w:eastAsia="ko-KR"/>
        </w:rPr>
      </w:pPr>
      <w:r w:rsidRPr="004635E5">
        <w:rPr>
          <w:rFonts w:cs="Times New Roman"/>
          <w:bCs/>
          <w:lang w:eastAsia="ko-KR"/>
        </w:rPr>
        <w:t>There were no paper</w:t>
      </w:r>
      <w:r w:rsidR="00381FFB" w:rsidRPr="004635E5">
        <w:rPr>
          <w:rFonts w:cs="Times New Roman"/>
          <w:bCs/>
          <w:lang w:eastAsia="ko-KR"/>
        </w:rPr>
        <w:t>s</w:t>
      </w:r>
      <w:r w:rsidRPr="004635E5">
        <w:rPr>
          <w:rFonts w:cs="Times New Roman"/>
          <w:bCs/>
          <w:lang w:eastAsia="ko-KR"/>
        </w:rPr>
        <w:t xml:space="preserve"> presented and </w:t>
      </w:r>
      <w:r w:rsidR="00DA21E6" w:rsidRPr="004635E5">
        <w:rPr>
          <w:rFonts w:cs="Times New Roman"/>
          <w:bCs/>
          <w:lang w:eastAsia="ko-KR"/>
        </w:rPr>
        <w:t>no discussion</w:t>
      </w:r>
      <w:r w:rsidRPr="004635E5">
        <w:rPr>
          <w:rFonts w:cs="Times New Roman"/>
          <w:bCs/>
          <w:lang w:eastAsia="ko-KR"/>
        </w:rPr>
        <w:t xml:space="preserve"> on this agenda item.</w:t>
      </w:r>
    </w:p>
    <w:p w14:paraId="5CE91812" w14:textId="77777777" w:rsidR="002A4403" w:rsidRPr="004635E5" w:rsidRDefault="002A4403" w:rsidP="006633A8">
      <w:pPr>
        <w:pStyle w:val="WCPFC"/>
        <w:numPr>
          <w:ilvl w:val="0"/>
          <w:numId w:val="0"/>
        </w:numPr>
        <w:adjustRightInd w:val="0"/>
        <w:spacing w:after="0"/>
        <w:rPr>
          <w:rFonts w:cs="Times New Roman"/>
          <w:bCs/>
          <w:lang w:eastAsia="ko-KR"/>
        </w:rPr>
      </w:pPr>
    </w:p>
    <w:p w14:paraId="754D4E1E" w14:textId="77777777" w:rsidR="007353E1" w:rsidRPr="004635E5" w:rsidRDefault="00700B5B" w:rsidP="00580EA4">
      <w:pPr>
        <w:pStyle w:val="SC2"/>
        <w:numPr>
          <w:ilvl w:val="1"/>
          <w:numId w:val="161"/>
        </w:numPr>
        <w:spacing w:after="0"/>
        <w:ind w:left="0" w:firstLine="0"/>
      </w:pPr>
      <w:r w:rsidRPr="004635E5">
        <w:t>Sharks</w:t>
      </w:r>
      <w:r w:rsidR="00EC2690" w:rsidRPr="004635E5">
        <w:t xml:space="preserve"> </w:t>
      </w:r>
      <w:r w:rsidR="0031463C" w:rsidRPr="004635E5">
        <w:t xml:space="preserve"> </w:t>
      </w:r>
    </w:p>
    <w:p w14:paraId="31BABE19" w14:textId="77777777" w:rsidR="002A4403" w:rsidRPr="004635E5" w:rsidRDefault="002A4403" w:rsidP="006633A8">
      <w:pPr>
        <w:pStyle w:val="SC2"/>
        <w:numPr>
          <w:ilvl w:val="0"/>
          <w:numId w:val="0"/>
        </w:numPr>
        <w:spacing w:after="0"/>
        <w:ind w:left="720"/>
      </w:pPr>
    </w:p>
    <w:p w14:paraId="641B9FD1" w14:textId="77777777" w:rsidR="008F3DB2" w:rsidRPr="004635E5" w:rsidRDefault="008F3DB2" w:rsidP="00580EA4">
      <w:pPr>
        <w:pStyle w:val="SC3"/>
        <w:numPr>
          <w:ilvl w:val="2"/>
          <w:numId w:val="161"/>
        </w:numPr>
        <w:spacing w:after="0"/>
      </w:pPr>
      <w:r w:rsidRPr="004635E5">
        <w:rPr>
          <w:rFonts w:eastAsiaTheme="minorEastAsia"/>
          <w:lang w:eastAsia="ko-KR"/>
        </w:rPr>
        <w:t xml:space="preserve">Development of a </w:t>
      </w:r>
      <w:r w:rsidRPr="004635E5">
        <w:rPr>
          <w:rFonts w:eastAsia="Batang"/>
          <w:lang w:eastAsia="ko-KR" w:bidi="mn-Mong-CN"/>
        </w:rPr>
        <w:t>Comprehensive Shark and Ray CMM</w:t>
      </w:r>
    </w:p>
    <w:p w14:paraId="12CF13DB" w14:textId="77777777" w:rsidR="002A4403" w:rsidRPr="004635E5" w:rsidRDefault="002A4403" w:rsidP="006633A8">
      <w:pPr>
        <w:pStyle w:val="SC3"/>
        <w:numPr>
          <w:ilvl w:val="0"/>
          <w:numId w:val="0"/>
        </w:numPr>
        <w:spacing w:after="0"/>
        <w:ind w:left="1440"/>
      </w:pPr>
    </w:p>
    <w:p w14:paraId="2D3986DC" w14:textId="77777777" w:rsidR="00E81789" w:rsidRPr="004635E5" w:rsidRDefault="00005A70" w:rsidP="006633A8">
      <w:pPr>
        <w:pStyle w:val="WCPFC"/>
        <w:adjustRightInd w:val="0"/>
        <w:spacing w:after="0"/>
        <w:ind w:left="0" w:firstLine="0"/>
        <w:rPr>
          <w:rFonts w:cs="Times New Roman"/>
        </w:rPr>
      </w:pPr>
      <w:r w:rsidRPr="004635E5">
        <w:rPr>
          <w:rFonts w:cs="Times New Roman"/>
          <w:lang w:eastAsia="ko-KR"/>
        </w:rPr>
        <w:t>W. Tano</w:t>
      </w:r>
      <w:r w:rsidR="00B76C74">
        <w:rPr>
          <w:rFonts w:cs="Times New Roman" w:hint="eastAsia"/>
          <w:lang w:eastAsia="ko-KR"/>
        </w:rPr>
        <w:t>u</w:t>
      </w:r>
      <w:r w:rsidRPr="004635E5">
        <w:rPr>
          <w:rFonts w:cs="Times New Roman"/>
          <w:lang w:eastAsia="ko-KR"/>
        </w:rPr>
        <w:t xml:space="preserve">e, on behalf of the Shark IWG-Chair, presented </w:t>
      </w:r>
      <w:r w:rsidR="00361E50" w:rsidRPr="004635E5">
        <w:rPr>
          <w:rFonts w:cs="Times New Roman"/>
          <w:lang w:eastAsia="ko-KR"/>
        </w:rPr>
        <w:t>SC14-EB-WP-05</w:t>
      </w:r>
      <w:r w:rsidR="00361E50" w:rsidRPr="004635E5">
        <w:rPr>
          <w:rFonts w:cs="Times New Roman"/>
          <w:lang w:eastAsia="ko-KR"/>
        </w:rPr>
        <w:tab/>
      </w:r>
      <w:r w:rsidR="00C252BD" w:rsidRPr="004635E5">
        <w:rPr>
          <w:rFonts w:cs="Times New Roman"/>
          <w:i/>
          <w:lang w:eastAsia="ko-KR"/>
        </w:rPr>
        <w:t xml:space="preserve">Development of a </w:t>
      </w:r>
      <w:r w:rsidR="00C252BD" w:rsidRPr="004635E5">
        <w:rPr>
          <w:rFonts w:eastAsia="Batang" w:cs="Times New Roman"/>
          <w:bCs/>
          <w:i/>
          <w:lang w:eastAsia="ko-KR" w:bidi="mn-Mong-CN"/>
        </w:rPr>
        <w:t>Comprehensive Shark and Ray CMM</w:t>
      </w:r>
      <w:r w:rsidR="000612F4" w:rsidRPr="004635E5">
        <w:rPr>
          <w:rFonts w:eastAsia="Batang" w:cs="Times New Roman"/>
          <w:bCs/>
          <w:i/>
          <w:lang w:eastAsia="ko-KR" w:bidi="mn-Mong-CN"/>
        </w:rPr>
        <w:t xml:space="preserve">. </w:t>
      </w:r>
      <w:r w:rsidR="00E81789" w:rsidRPr="004635E5">
        <w:rPr>
          <w:rFonts w:cs="Times New Roman"/>
        </w:rPr>
        <w:t>WCPFC14 established an IWG-Sharks to progress the development of a Draft Comprehensive Shark and Ray CMM</w:t>
      </w:r>
      <w:r w:rsidR="000612F4" w:rsidRPr="004635E5">
        <w:rPr>
          <w:rFonts w:eastAsia="Batang" w:cs="Times New Roman"/>
          <w:bCs/>
          <w:lang w:eastAsia="ko-KR" w:bidi="mn-Mong-CN"/>
        </w:rPr>
        <w:t xml:space="preserve"> based on terms of reference (Attachment Q, WCPFC14 Summary Report). </w:t>
      </w:r>
      <w:r w:rsidR="00E81789" w:rsidRPr="004635E5">
        <w:rPr>
          <w:rFonts w:cs="Times New Roman"/>
        </w:rPr>
        <w:t xml:space="preserve">On behalf of the IWG Chair, W Tanoue (Japan) presented the current situation and explained that SC14 </w:t>
      </w:r>
      <w:r w:rsidR="001D6D26" w:rsidRPr="004635E5">
        <w:rPr>
          <w:rFonts w:cs="Times New Roman"/>
        </w:rPr>
        <w:t xml:space="preserve">was </w:t>
      </w:r>
      <w:r w:rsidR="00E81789" w:rsidRPr="004635E5">
        <w:rPr>
          <w:rFonts w:cs="Times New Roman"/>
        </w:rPr>
        <w:t>expected to (i) review the 4th draft of Comprehensive Shark and Ray CMM and provide comments on it to the IWG Chair, focusing on scientific issues, and (ii) develop proposed guidelines for safe release of sharks and rays, with priority given to silky shark and oceanic whitetip sharks.</w:t>
      </w:r>
    </w:p>
    <w:p w14:paraId="12F778A5" w14:textId="77777777" w:rsidR="002A4403" w:rsidRPr="004635E5" w:rsidRDefault="002A4403" w:rsidP="006633A8">
      <w:pPr>
        <w:pStyle w:val="WCPFC"/>
        <w:numPr>
          <w:ilvl w:val="0"/>
          <w:numId w:val="0"/>
        </w:numPr>
        <w:adjustRightInd w:val="0"/>
        <w:spacing w:after="0"/>
        <w:rPr>
          <w:rFonts w:cs="Times New Roman"/>
        </w:rPr>
      </w:pPr>
    </w:p>
    <w:p w14:paraId="3ADC19CC" w14:textId="77777777" w:rsidR="00DE7CD0" w:rsidRPr="004635E5" w:rsidRDefault="001E7E1C" w:rsidP="006633A8">
      <w:pPr>
        <w:adjustRightInd w:val="0"/>
        <w:snapToGrid w:val="0"/>
        <w:jc w:val="both"/>
        <w:rPr>
          <w:rFonts w:eastAsiaTheme="minorEastAsia"/>
          <w:b/>
          <w:sz w:val="22"/>
          <w:szCs w:val="22"/>
          <w:lang w:eastAsia="ko-KR"/>
        </w:rPr>
      </w:pPr>
      <w:r w:rsidRPr="004635E5">
        <w:rPr>
          <w:rFonts w:eastAsiaTheme="minorEastAsia"/>
          <w:b/>
          <w:sz w:val="22"/>
          <w:szCs w:val="22"/>
          <w:lang w:eastAsia="ko-KR"/>
        </w:rPr>
        <w:t>Discussion</w:t>
      </w:r>
    </w:p>
    <w:p w14:paraId="28D6885E" w14:textId="77777777" w:rsidR="002A4403" w:rsidRPr="004635E5" w:rsidRDefault="002A4403" w:rsidP="006633A8">
      <w:pPr>
        <w:adjustRightInd w:val="0"/>
        <w:snapToGrid w:val="0"/>
        <w:jc w:val="both"/>
        <w:rPr>
          <w:rFonts w:eastAsiaTheme="minorEastAsia"/>
          <w:b/>
          <w:sz w:val="22"/>
          <w:szCs w:val="22"/>
          <w:lang w:eastAsia="ko-KR"/>
        </w:rPr>
      </w:pPr>
    </w:p>
    <w:p w14:paraId="493A4F25" w14:textId="77777777" w:rsidR="00496BCF" w:rsidRPr="004635E5" w:rsidRDefault="00794600" w:rsidP="006633A8">
      <w:pPr>
        <w:pStyle w:val="WCPFC"/>
        <w:adjustRightInd w:val="0"/>
        <w:spacing w:after="0"/>
        <w:ind w:left="0" w:firstLine="0"/>
        <w:rPr>
          <w:rFonts w:cs="Times New Roman"/>
          <w:lang w:eastAsia="ko-KR"/>
        </w:rPr>
      </w:pPr>
      <w:r w:rsidRPr="004635E5">
        <w:rPr>
          <w:rFonts w:cs="Times New Roman"/>
          <w:lang w:eastAsia="ko-KR"/>
        </w:rPr>
        <w:t>Palau</w:t>
      </w:r>
      <w:r w:rsidR="00496BCF" w:rsidRPr="004635E5">
        <w:rPr>
          <w:rFonts w:cs="Times New Roman"/>
          <w:lang w:eastAsia="ko-KR"/>
        </w:rPr>
        <w:t>, on behalf of</w:t>
      </w:r>
      <w:r w:rsidR="00496BCF" w:rsidRPr="004635E5">
        <w:rPr>
          <w:rFonts w:cs="Times New Roman"/>
          <w:lang w:val="en-US" w:eastAsia="ko-KR"/>
        </w:rPr>
        <w:t>, PNA thanked Japan for its excellent facilitation of this work</w:t>
      </w:r>
      <w:r w:rsidR="00A16680" w:rsidRPr="004635E5">
        <w:rPr>
          <w:rFonts w:cs="Times New Roman"/>
          <w:lang w:val="en-US" w:eastAsia="ko-KR"/>
        </w:rPr>
        <w:t xml:space="preserve">. </w:t>
      </w:r>
      <w:r w:rsidR="00496BCF" w:rsidRPr="004635E5">
        <w:rPr>
          <w:rFonts w:cs="Times New Roman"/>
          <w:lang w:val="en-US" w:eastAsia="ko-KR"/>
        </w:rPr>
        <w:t>There have been a lot of different proposals and suggestions and they have all been faithfully incorporated and reflected</w:t>
      </w:r>
      <w:r w:rsidR="00A16680" w:rsidRPr="004635E5">
        <w:rPr>
          <w:rFonts w:cs="Times New Roman"/>
          <w:lang w:val="en-US" w:eastAsia="ko-KR"/>
        </w:rPr>
        <w:t xml:space="preserve">. </w:t>
      </w:r>
      <w:r w:rsidR="00496BCF" w:rsidRPr="004635E5">
        <w:rPr>
          <w:rFonts w:cs="Times New Roman"/>
          <w:lang w:val="en-US" w:eastAsia="ko-KR"/>
        </w:rPr>
        <w:t xml:space="preserve">There are still a number of outstanding issues and </w:t>
      </w:r>
      <w:r w:rsidR="001D6D26" w:rsidRPr="004635E5">
        <w:rPr>
          <w:rFonts w:cs="Times New Roman"/>
          <w:lang w:val="en-US" w:eastAsia="ko-KR"/>
        </w:rPr>
        <w:t xml:space="preserve">they stated these could be </w:t>
      </w:r>
      <w:r w:rsidR="00496BCF" w:rsidRPr="004635E5">
        <w:rPr>
          <w:rFonts w:cs="Times New Roman"/>
          <w:lang w:val="en-US" w:eastAsia="ko-KR"/>
        </w:rPr>
        <w:t>discuss</w:t>
      </w:r>
      <w:r w:rsidR="001D6D26" w:rsidRPr="004635E5">
        <w:rPr>
          <w:rFonts w:cs="Times New Roman"/>
          <w:lang w:val="en-US" w:eastAsia="ko-KR"/>
        </w:rPr>
        <w:t>ed</w:t>
      </w:r>
      <w:r w:rsidR="00496BCF" w:rsidRPr="004635E5">
        <w:rPr>
          <w:rFonts w:cs="Times New Roman"/>
          <w:lang w:val="en-US" w:eastAsia="ko-KR"/>
        </w:rPr>
        <w:t xml:space="preserve"> in the proposed informal working group</w:t>
      </w:r>
      <w:r w:rsidR="00A16680" w:rsidRPr="004635E5">
        <w:rPr>
          <w:rFonts w:cs="Times New Roman"/>
          <w:lang w:val="en-US" w:eastAsia="ko-KR"/>
        </w:rPr>
        <w:t xml:space="preserve">. </w:t>
      </w:r>
      <w:r w:rsidR="00496BCF" w:rsidRPr="004635E5">
        <w:rPr>
          <w:rFonts w:cs="Times New Roman"/>
          <w:lang w:val="en-US" w:eastAsia="ko-KR"/>
        </w:rPr>
        <w:t xml:space="preserve">However, </w:t>
      </w:r>
      <w:r w:rsidR="001D6D26" w:rsidRPr="004635E5">
        <w:rPr>
          <w:rFonts w:cs="Times New Roman"/>
          <w:lang w:val="en-US" w:eastAsia="ko-KR"/>
        </w:rPr>
        <w:t xml:space="preserve">they </w:t>
      </w:r>
      <w:r w:rsidR="00496BCF" w:rsidRPr="004635E5">
        <w:rPr>
          <w:rFonts w:cs="Times New Roman"/>
          <w:lang w:val="en-US" w:eastAsia="ko-KR"/>
        </w:rPr>
        <w:t>note</w:t>
      </w:r>
      <w:r w:rsidR="001D6D26" w:rsidRPr="004635E5">
        <w:rPr>
          <w:rFonts w:cs="Times New Roman"/>
          <w:lang w:val="en-US" w:eastAsia="ko-KR"/>
        </w:rPr>
        <w:t>d</w:t>
      </w:r>
      <w:r w:rsidR="00496BCF" w:rsidRPr="004635E5">
        <w:rPr>
          <w:rFonts w:cs="Times New Roman"/>
          <w:lang w:val="en-US" w:eastAsia="ko-KR"/>
        </w:rPr>
        <w:t xml:space="preserve"> that on some issues, and on finning in particular there are several competing proposals, including some that have not received support from CCMs other than the proponent</w:t>
      </w:r>
      <w:r w:rsidR="00A16680" w:rsidRPr="004635E5">
        <w:rPr>
          <w:rFonts w:cs="Times New Roman"/>
          <w:lang w:val="en-US" w:eastAsia="ko-KR"/>
        </w:rPr>
        <w:t xml:space="preserve">. </w:t>
      </w:r>
      <w:r w:rsidR="00496BCF" w:rsidRPr="004635E5">
        <w:rPr>
          <w:rFonts w:cs="Times New Roman"/>
          <w:lang w:val="en-US" w:eastAsia="ko-KR"/>
        </w:rPr>
        <w:t>It would be useful if those could be highlighted so that they could be easily dispensed of in the small working group.</w:t>
      </w:r>
    </w:p>
    <w:p w14:paraId="5CFB25D7" w14:textId="77777777" w:rsidR="002A4403" w:rsidRPr="004635E5" w:rsidRDefault="002A4403" w:rsidP="006633A8">
      <w:pPr>
        <w:pStyle w:val="WCPFC"/>
        <w:numPr>
          <w:ilvl w:val="0"/>
          <w:numId w:val="0"/>
        </w:numPr>
        <w:adjustRightInd w:val="0"/>
        <w:spacing w:after="0"/>
        <w:rPr>
          <w:rFonts w:cs="Times New Roman"/>
          <w:lang w:eastAsia="ko-KR"/>
        </w:rPr>
      </w:pPr>
    </w:p>
    <w:p w14:paraId="29E79C6C" w14:textId="77777777" w:rsidR="001D6D26" w:rsidRPr="004635E5" w:rsidRDefault="00F8291F" w:rsidP="006633A8">
      <w:pPr>
        <w:pStyle w:val="WCPFC"/>
        <w:adjustRightInd w:val="0"/>
        <w:spacing w:after="0"/>
        <w:ind w:left="0" w:firstLine="0"/>
        <w:rPr>
          <w:rFonts w:cs="Times New Roman"/>
          <w:lang w:eastAsia="ko-KR"/>
        </w:rPr>
      </w:pPr>
      <w:r w:rsidRPr="004635E5">
        <w:rPr>
          <w:rFonts w:cs="Times New Roman"/>
          <w:lang w:eastAsia="ko-KR"/>
        </w:rPr>
        <w:t xml:space="preserve">The </w:t>
      </w:r>
      <w:r w:rsidR="002E39E9" w:rsidRPr="004635E5">
        <w:rPr>
          <w:rFonts w:cs="Times New Roman"/>
          <w:lang w:eastAsia="ko-KR"/>
        </w:rPr>
        <w:t>theme convener</w:t>
      </w:r>
      <w:r w:rsidRPr="004635E5">
        <w:rPr>
          <w:rFonts w:cs="Times New Roman"/>
          <w:lang w:eastAsia="ko-KR"/>
        </w:rPr>
        <w:t xml:space="preserve"> </w:t>
      </w:r>
      <w:r w:rsidR="00B43553" w:rsidRPr="004635E5">
        <w:rPr>
          <w:rFonts w:cs="Times New Roman"/>
          <w:lang w:eastAsia="ko-KR"/>
        </w:rPr>
        <w:t xml:space="preserve">noted </w:t>
      </w:r>
      <w:r w:rsidRPr="004635E5">
        <w:rPr>
          <w:rFonts w:cs="Times New Roman"/>
          <w:lang w:eastAsia="ko-KR"/>
        </w:rPr>
        <w:t xml:space="preserve">that </w:t>
      </w:r>
      <w:r w:rsidR="00794600" w:rsidRPr="004635E5">
        <w:rPr>
          <w:rFonts w:cs="Times New Roman"/>
          <w:lang w:eastAsia="ko-KR"/>
        </w:rPr>
        <w:t>ISG</w:t>
      </w:r>
      <w:r w:rsidR="00A16680" w:rsidRPr="004635E5">
        <w:rPr>
          <w:rFonts w:cs="Times New Roman"/>
          <w:lang w:eastAsia="ko-KR"/>
        </w:rPr>
        <w:t xml:space="preserve">-05 </w:t>
      </w:r>
      <w:r w:rsidRPr="004635E5">
        <w:rPr>
          <w:rFonts w:cs="Times New Roman"/>
          <w:lang w:eastAsia="ko-KR"/>
        </w:rPr>
        <w:t xml:space="preserve">would review the </w:t>
      </w:r>
      <w:r w:rsidR="00794600" w:rsidRPr="004635E5">
        <w:rPr>
          <w:rFonts w:cs="Times New Roman"/>
          <w:lang w:eastAsia="ko-KR"/>
        </w:rPr>
        <w:t xml:space="preserve">highlighted </w:t>
      </w:r>
      <w:r w:rsidRPr="004635E5">
        <w:rPr>
          <w:rFonts w:cs="Times New Roman"/>
          <w:lang w:eastAsia="ko-KR"/>
        </w:rPr>
        <w:t xml:space="preserve">questions </w:t>
      </w:r>
      <w:r w:rsidR="00794600" w:rsidRPr="004635E5">
        <w:rPr>
          <w:rFonts w:cs="Times New Roman"/>
          <w:lang w:eastAsia="ko-KR"/>
        </w:rPr>
        <w:t xml:space="preserve">posed by </w:t>
      </w:r>
      <w:r w:rsidR="008A33E2" w:rsidRPr="004635E5">
        <w:rPr>
          <w:rFonts w:cs="Times New Roman"/>
          <w:lang w:eastAsia="ko-KR"/>
        </w:rPr>
        <w:t xml:space="preserve">the </w:t>
      </w:r>
      <w:r w:rsidR="00794600" w:rsidRPr="004635E5">
        <w:rPr>
          <w:rFonts w:cs="Times New Roman"/>
          <w:lang w:eastAsia="ko-KR"/>
        </w:rPr>
        <w:t>chair</w:t>
      </w:r>
      <w:r w:rsidRPr="004635E5">
        <w:rPr>
          <w:rFonts w:cs="Times New Roman"/>
          <w:lang w:eastAsia="ko-KR"/>
        </w:rPr>
        <w:t xml:space="preserve"> </w:t>
      </w:r>
      <w:r w:rsidR="001D6D26" w:rsidRPr="004635E5">
        <w:rPr>
          <w:rFonts w:cs="Times New Roman"/>
          <w:lang w:eastAsia="ko-KR"/>
        </w:rPr>
        <w:t xml:space="preserve">and </w:t>
      </w:r>
      <w:r w:rsidRPr="004635E5">
        <w:rPr>
          <w:rFonts w:cs="Times New Roman"/>
          <w:lang w:eastAsia="ko-KR"/>
        </w:rPr>
        <w:t>other scientific issues that were proposed</w:t>
      </w:r>
      <w:r w:rsidR="00A16680" w:rsidRPr="004635E5">
        <w:rPr>
          <w:rFonts w:cs="Times New Roman"/>
          <w:lang w:eastAsia="ko-KR"/>
        </w:rPr>
        <w:t xml:space="preserve">. </w:t>
      </w:r>
    </w:p>
    <w:p w14:paraId="3568A39E" w14:textId="77777777" w:rsidR="002A4403" w:rsidRPr="004635E5" w:rsidRDefault="002A4403" w:rsidP="006633A8">
      <w:pPr>
        <w:pStyle w:val="WCPFC"/>
        <w:numPr>
          <w:ilvl w:val="0"/>
          <w:numId w:val="0"/>
        </w:numPr>
        <w:adjustRightInd w:val="0"/>
        <w:spacing w:after="0"/>
        <w:rPr>
          <w:rFonts w:cs="Times New Roman"/>
          <w:lang w:eastAsia="ko-KR"/>
        </w:rPr>
      </w:pPr>
    </w:p>
    <w:p w14:paraId="0A59A9B6" w14:textId="77777777" w:rsidR="00C252BD" w:rsidRPr="004635E5" w:rsidRDefault="0065075A" w:rsidP="006633A8">
      <w:pPr>
        <w:pStyle w:val="WCPFC"/>
        <w:adjustRightInd w:val="0"/>
        <w:spacing w:after="0"/>
        <w:ind w:left="0" w:firstLine="0"/>
        <w:rPr>
          <w:rFonts w:cs="Times New Roman"/>
          <w:b/>
          <w:lang w:eastAsia="ko-KR"/>
        </w:rPr>
      </w:pPr>
      <w:r w:rsidRPr="004635E5">
        <w:rPr>
          <w:rFonts w:cs="Times New Roman"/>
          <w:b/>
          <w:lang w:eastAsia="ko-KR"/>
        </w:rPr>
        <w:t>SC endorsed that the outcomes of ISG</w:t>
      </w:r>
      <w:r w:rsidR="00A16680" w:rsidRPr="004635E5">
        <w:rPr>
          <w:rFonts w:cs="Times New Roman"/>
          <w:b/>
          <w:lang w:eastAsia="ko-KR"/>
        </w:rPr>
        <w:t>-05</w:t>
      </w:r>
      <w:r w:rsidRPr="004635E5">
        <w:rPr>
          <w:rFonts w:cs="Times New Roman"/>
          <w:b/>
          <w:lang w:eastAsia="ko-KR"/>
        </w:rPr>
        <w:t xml:space="preserve"> </w:t>
      </w:r>
      <w:r w:rsidR="001D6D26" w:rsidRPr="004635E5">
        <w:rPr>
          <w:rFonts w:cs="Times New Roman"/>
          <w:b/>
          <w:lang w:val="en-US" w:eastAsia="ko-KR"/>
        </w:rPr>
        <w:t xml:space="preserve">(SC14-EB-WP-05a) </w:t>
      </w:r>
      <w:r w:rsidRPr="004635E5">
        <w:rPr>
          <w:rFonts w:cs="Times New Roman"/>
          <w:b/>
          <w:lang w:eastAsia="ko-KR"/>
        </w:rPr>
        <w:t xml:space="preserve">be forwarded to the </w:t>
      </w:r>
      <w:r w:rsidRPr="004635E5">
        <w:rPr>
          <w:rFonts w:cs="Times New Roman"/>
          <w:b/>
          <w:lang w:val="en-US" w:eastAsia="ko-KR"/>
        </w:rPr>
        <w:t>IWG-SHARKs for their consideration</w:t>
      </w:r>
      <w:r w:rsidR="001D6D26" w:rsidRPr="004635E5">
        <w:rPr>
          <w:rFonts w:cs="Times New Roman"/>
          <w:b/>
          <w:lang w:val="en-US" w:eastAsia="ko-KR"/>
        </w:rPr>
        <w:t>.</w:t>
      </w:r>
      <w:r w:rsidRPr="004635E5">
        <w:rPr>
          <w:rFonts w:cs="Times New Roman"/>
          <w:b/>
          <w:lang w:val="en-US" w:eastAsia="ko-KR"/>
        </w:rPr>
        <w:t xml:space="preserve"> </w:t>
      </w:r>
    </w:p>
    <w:p w14:paraId="2CD05F45" w14:textId="77777777" w:rsidR="009D13D7" w:rsidRPr="004635E5" w:rsidRDefault="009D13D7" w:rsidP="006633A8">
      <w:pPr>
        <w:pStyle w:val="WCPFC"/>
        <w:numPr>
          <w:ilvl w:val="0"/>
          <w:numId w:val="0"/>
        </w:numPr>
        <w:adjustRightInd w:val="0"/>
        <w:spacing w:after="0"/>
        <w:rPr>
          <w:rFonts w:cs="Times New Roman"/>
          <w:b/>
          <w:lang w:eastAsia="ko-KR"/>
        </w:rPr>
      </w:pPr>
    </w:p>
    <w:p w14:paraId="50E39DBA" w14:textId="77777777" w:rsidR="007353E1" w:rsidRPr="004635E5" w:rsidRDefault="00807662" w:rsidP="00580EA4">
      <w:pPr>
        <w:pStyle w:val="SC3"/>
        <w:numPr>
          <w:ilvl w:val="2"/>
          <w:numId w:val="161"/>
        </w:numPr>
        <w:spacing w:after="0"/>
        <w:rPr>
          <w:rFonts w:eastAsiaTheme="minorEastAsia"/>
          <w:lang w:eastAsia="ko-KR"/>
        </w:rPr>
      </w:pPr>
      <w:r w:rsidRPr="004635E5">
        <w:rPr>
          <w:rFonts w:eastAsiaTheme="minorEastAsia"/>
          <w:lang w:eastAsia="ko-KR"/>
        </w:rPr>
        <w:t>Review of conservation and management measures for sharks</w:t>
      </w:r>
    </w:p>
    <w:p w14:paraId="4726C33C" w14:textId="77777777" w:rsidR="002A4403" w:rsidRPr="004635E5" w:rsidRDefault="002A4403" w:rsidP="006633A8">
      <w:pPr>
        <w:pStyle w:val="SC3"/>
        <w:numPr>
          <w:ilvl w:val="0"/>
          <w:numId w:val="0"/>
        </w:numPr>
        <w:spacing w:after="0"/>
        <w:ind w:left="1440"/>
        <w:rPr>
          <w:rFonts w:eastAsiaTheme="minorEastAsia"/>
          <w:lang w:eastAsia="ko-KR"/>
        </w:rPr>
      </w:pPr>
    </w:p>
    <w:p w14:paraId="351CA665" w14:textId="77777777" w:rsidR="00006EB8" w:rsidRPr="004635E5" w:rsidRDefault="00006EB8" w:rsidP="00580EA4">
      <w:pPr>
        <w:pStyle w:val="SC3"/>
        <w:numPr>
          <w:ilvl w:val="3"/>
          <w:numId w:val="161"/>
        </w:numPr>
        <w:spacing w:after="0"/>
        <w:rPr>
          <w:rFonts w:eastAsiaTheme="minorEastAsia"/>
          <w:lang w:eastAsia="ko-KR"/>
        </w:rPr>
      </w:pPr>
      <w:r w:rsidRPr="004635E5">
        <w:t>CMM 2010-07 (CMM for Sharks)</w:t>
      </w:r>
    </w:p>
    <w:p w14:paraId="2728431D" w14:textId="77777777" w:rsidR="002A4403" w:rsidRPr="004635E5" w:rsidRDefault="002A4403" w:rsidP="006633A8">
      <w:pPr>
        <w:pStyle w:val="SC3"/>
        <w:numPr>
          <w:ilvl w:val="0"/>
          <w:numId w:val="0"/>
        </w:numPr>
        <w:spacing w:after="0"/>
        <w:ind w:left="1800"/>
        <w:rPr>
          <w:rFonts w:eastAsiaTheme="minorEastAsia"/>
          <w:lang w:eastAsia="ko-KR"/>
        </w:rPr>
      </w:pPr>
    </w:p>
    <w:p w14:paraId="4EA381E1" w14:textId="77777777" w:rsidR="002A4403" w:rsidRPr="004635E5" w:rsidRDefault="00A16680" w:rsidP="006633A8">
      <w:pPr>
        <w:pStyle w:val="WCPFC"/>
        <w:adjustRightInd w:val="0"/>
        <w:spacing w:after="0"/>
        <w:ind w:left="0" w:firstLine="0"/>
        <w:rPr>
          <w:rFonts w:cs="Times New Roman"/>
          <w:lang w:val="en-AU" w:eastAsia="ko-KR"/>
        </w:rPr>
      </w:pPr>
      <w:r w:rsidRPr="004635E5">
        <w:rPr>
          <w:rFonts w:cs="Times New Roman"/>
          <w:lang w:eastAsia="ko-KR"/>
        </w:rPr>
        <w:t>In</w:t>
      </w:r>
      <w:r w:rsidRPr="004635E5">
        <w:rPr>
          <w:rFonts w:cs="Times New Roman"/>
          <w:lang w:val="en-AU" w:eastAsia="ko-KR"/>
        </w:rPr>
        <w:t xml:space="preserve"> relation to Paragraphs 4, 8, and 13 of CMM 2010-07 with reference to data provision, fin to carcass ratios, and the need for a revised or new CMM, SC14 notes that no new information was submitted to SC14 to review the ratio of fin weight to shark carcass weight. Since the adoption of this CMM, SC has been unable to confirm the validity of using a 5% fin to carcass ratio and forwards this concern to TCC, noting that an evaluation of the 5% ratio is not currently possible due to insufficient or inconclusive information for all but one of the major fleets implementing these ratios (SC12, para. 714).</w:t>
      </w:r>
    </w:p>
    <w:p w14:paraId="71BA867A" w14:textId="77777777" w:rsidR="002A4403" w:rsidRPr="004635E5" w:rsidRDefault="002A4403" w:rsidP="006633A8">
      <w:pPr>
        <w:pStyle w:val="WCPFC"/>
        <w:numPr>
          <w:ilvl w:val="0"/>
          <w:numId w:val="0"/>
        </w:numPr>
        <w:adjustRightInd w:val="0"/>
        <w:spacing w:after="0"/>
        <w:rPr>
          <w:rFonts w:cs="Times New Roman"/>
          <w:lang w:val="en-AU" w:eastAsia="ko-KR"/>
        </w:rPr>
      </w:pPr>
    </w:p>
    <w:p w14:paraId="1BC5EC2F" w14:textId="77777777" w:rsidR="002A4403" w:rsidRPr="004635E5" w:rsidRDefault="000612F4" w:rsidP="006633A8">
      <w:pPr>
        <w:adjustRightInd w:val="0"/>
        <w:snapToGrid w:val="0"/>
        <w:ind w:left="720" w:hanging="720"/>
        <w:jc w:val="both"/>
        <w:rPr>
          <w:b/>
          <w:bCs/>
          <w:sz w:val="22"/>
          <w:szCs w:val="22"/>
          <w:lang w:val="en-NZ"/>
        </w:rPr>
      </w:pPr>
      <w:r w:rsidRPr="004635E5">
        <w:rPr>
          <w:b/>
          <w:bCs/>
          <w:sz w:val="22"/>
          <w:szCs w:val="22"/>
          <w:lang w:val="en-NZ"/>
        </w:rPr>
        <w:t>Discussion</w:t>
      </w:r>
    </w:p>
    <w:p w14:paraId="13029647" w14:textId="77777777" w:rsidR="002A4403" w:rsidRPr="004635E5" w:rsidRDefault="002A4403" w:rsidP="006633A8">
      <w:pPr>
        <w:adjustRightInd w:val="0"/>
        <w:snapToGrid w:val="0"/>
        <w:ind w:left="720" w:hanging="720"/>
        <w:jc w:val="both"/>
        <w:rPr>
          <w:b/>
          <w:bCs/>
          <w:sz w:val="22"/>
          <w:szCs w:val="22"/>
          <w:lang w:val="en-NZ"/>
        </w:rPr>
      </w:pPr>
    </w:p>
    <w:p w14:paraId="654BD50B" w14:textId="77777777" w:rsidR="007A6413" w:rsidRPr="004635E5" w:rsidRDefault="00712C4F" w:rsidP="006633A8">
      <w:pPr>
        <w:pStyle w:val="WCPFC"/>
        <w:adjustRightInd w:val="0"/>
        <w:spacing w:after="0"/>
        <w:ind w:left="0" w:firstLine="0"/>
        <w:rPr>
          <w:rFonts w:cs="Times New Roman"/>
          <w:lang w:eastAsia="ko-KR"/>
        </w:rPr>
      </w:pPr>
      <w:r w:rsidRPr="004635E5">
        <w:rPr>
          <w:rFonts w:cs="Times New Roman"/>
          <w:lang w:eastAsia="ko-KR"/>
        </w:rPr>
        <w:t xml:space="preserve">The </w:t>
      </w:r>
      <w:r w:rsidR="007A6413" w:rsidRPr="004635E5">
        <w:rPr>
          <w:rFonts w:cs="Times New Roman"/>
          <w:lang w:eastAsia="ko-KR"/>
        </w:rPr>
        <w:t xml:space="preserve">EU </w:t>
      </w:r>
      <w:r w:rsidRPr="004635E5">
        <w:rPr>
          <w:rFonts w:cs="Times New Roman"/>
          <w:lang w:eastAsia="ko-KR"/>
        </w:rPr>
        <w:t xml:space="preserve">noted that </w:t>
      </w:r>
      <w:r w:rsidR="007A6413" w:rsidRPr="004635E5">
        <w:rPr>
          <w:rFonts w:cs="Times New Roman"/>
          <w:lang w:eastAsia="ko-KR"/>
        </w:rPr>
        <w:t xml:space="preserve">the CMM </w:t>
      </w:r>
      <w:r w:rsidRPr="004635E5">
        <w:rPr>
          <w:rFonts w:cs="Times New Roman"/>
          <w:lang w:eastAsia="ko-KR"/>
        </w:rPr>
        <w:t xml:space="preserve">requires </w:t>
      </w:r>
      <w:r w:rsidR="007A6413" w:rsidRPr="004635E5">
        <w:rPr>
          <w:rFonts w:cs="Times New Roman"/>
          <w:lang w:eastAsia="ko-KR"/>
        </w:rPr>
        <w:t xml:space="preserve">SC to review </w:t>
      </w:r>
      <w:r w:rsidRPr="004635E5">
        <w:rPr>
          <w:rFonts w:cs="Times New Roman"/>
          <w:lang w:eastAsia="ko-KR"/>
        </w:rPr>
        <w:t xml:space="preserve">the </w:t>
      </w:r>
      <w:r w:rsidR="007A6413" w:rsidRPr="004635E5">
        <w:rPr>
          <w:rFonts w:cs="Times New Roman"/>
          <w:lang w:eastAsia="ko-KR"/>
        </w:rPr>
        <w:t>effectiveness of the measure</w:t>
      </w:r>
      <w:r w:rsidR="00A73D9E" w:rsidRPr="004635E5">
        <w:rPr>
          <w:rFonts w:cs="Times New Roman"/>
          <w:lang w:eastAsia="ko-KR"/>
        </w:rPr>
        <w:t xml:space="preserve">, but each SC notes </w:t>
      </w:r>
      <w:r w:rsidR="007A6413" w:rsidRPr="004635E5">
        <w:rPr>
          <w:rFonts w:cs="Times New Roman"/>
          <w:lang w:eastAsia="ko-KR"/>
        </w:rPr>
        <w:t>this is not poss</w:t>
      </w:r>
      <w:r w:rsidR="00A73D9E" w:rsidRPr="004635E5">
        <w:rPr>
          <w:rFonts w:cs="Times New Roman"/>
          <w:lang w:eastAsia="ko-KR"/>
        </w:rPr>
        <w:t xml:space="preserve">ible </w:t>
      </w:r>
      <w:r w:rsidR="007A6413" w:rsidRPr="004635E5">
        <w:rPr>
          <w:rFonts w:cs="Times New Roman"/>
          <w:lang w:eastAsia="ko-KR"/>
        </w:rPr>
        <w:t xml:space="preserve">due to </w:t>
      </w:r>
      <w:r w:rsidR="00A73D9E" w:rsidRPr="004635E5">
        <w:rPr>
          <w:rFonts w:cs="Times New Roman"/>
          <w:lang w:eastAsia="ko-KR"/>
        </w:rPr>
        <w:t xml:space="preserve">a </w:t>
      </w:r>
      <w:r w:rsidR="007A6413" w:rsidRPr="004635E5">
        <w:rPr>
          <w:rFonts w:cs="Times New Roman"/>
          <w:lang w:eastAsia="ko-KR"/>
        </w:rPr>
        <w:t>lack of new info</w:t>
      </w:r>
      <w:r w:rsidR="00A73D9E" w:rsidRPr="004635E5">
        <w:rPr>
          <w:rFonts w:cs="Times New Roman"/>
          <w:lang w:eastAsia="ko-KR"/>
        </w:rPr>
        <w:t>rmation</w:t>
      </w:r>
      <w:r w:rsidR="007A6413" w:rsidRPr="004635E5">
        <w:rPr>
          <w:rFonts w:cs="Times New Roman"/>
          <w:lang w:eastAsia="ko-KR"/>
        </w:rPr>
        <w:t xml:space="preserve">. </w:t>
      </w:r>
      <w:r w:rsidR="00A16680" w:rsidRPr="004635E5">
        <w:rPr>
          <w:rFonts w:cs="Times New Roman"/>
          <w:lang w:eastAsia="ko-KR"/>
        </w:rPr>
        <w:t xml:space="preserve">They </w:t>
      </w:r>
      <w:r w:rsidR="00A73D9E" w:rsidRPr="004635E5">
        <w:rPr>
          <w:rFonts w:cs="Times New Roman"/>
          <w:lang w:eastAsia="ko-KR"/>
        </w:rPr>
        <w:t>asked that the lack of information available to SC to make a review be highlighted to the Commission.</w:t>
      </w:r>
      <w:r w:rsidR="00A16680" w:rsidRPr="004635E5">
        <w:rPr>
          <w:rFonts w:cs="Times New Roman"/>
          <w:lang w:eastAsia="ko-KR"/>
        </w:rPr>
        <w:t xml:space="preserve"> </w:t>
      </w:r>
      <w:r w:rsidR="00A73D9E" w:rsidRPr="004635E5">
        <w:rPr>
          <w:rFonts w:cs="Times New Roman"/>
          <w:lang w:eastAsia="ko-KR"/>
        </w:rPr>
        <w:t xml:space="preserve">The </w:t>
      </w:r>
      <w:r w:rsidR="00A16680" w:rsidRPr="004635E5">
        <w:rPr>
          <w:rFonts w:cs="Times New Roman"/>
          <w:lang w:eastAsia="ko-KR"/>
        </w:rPr>
        <w:t>theme c</w:t>
      </w:r>
      <w:r w:rsidR="00A73D9E" w:rsidRPr="004635E5">
        <w:rPr>
          <w:rFonts w:cs="Times New Roman"/>
          <w:lang w:eastAsia="ko-KR"/>
        </w:rPr>
        <w:t xml:space="preserve">onvener stated this would be discussed </w:t>
      </w:r>
      <w:r w:rsidR="007A6413" w:rsidRPr="004635E5">
        <w:rPr>
          <w:rFonts w:cs="Times New Roman"/>
          <w:lang w:eastAsia="ko-KR"/>
        </w:rPr>
        <w:t xml:space="preserve">in the </w:t>
      </w:r>
      <w:r w:rsidR="00A73D9E" w:rsidRPr="004635E5">
        <w:rPr>
          <w:rFonts w:cs="Times New Roman"/>
          <w:lang w:eastAsia="ko-KR"/>
        </w:rPr>
        <w:t xml:space="preserve">comprehensive </w:t>
      </w:r>
      <w:r w:rsidR="00A73D9E" w:rsidRPr="004635E5">
        <w:rPr>
          <w:rFonts w:cs="Times New Roman"/>
          <w:lang w:val="en-US" w:eastAsia="ko-KR"/>
        </w:rPr>
        <w:t xml:space="preserve">shark </w:t>
      </w:r>
      <w:r w:rsidR="003506C2" w:rsidRPr="004635E5">
        <w:rPr>
          <w:rFonts w:cs="Times New Roman"/>
          <w:lang w:eastAsia="ko-KR"/>
        </w:rPr>
        <w:t xml:space="preserve">CMM </w:t>
      </w:r>
      <w:r w:rsidR="007A6413" w:rsidRPr="004635E5">
        <w:rPr>
          <w:rFonts w:cs="Times New Roman"/>
          <w:lang w:eastAsia="ko-KR"/>
        </w:rPr>
        <w:t>ISG</w:t>
      </w:r>
      <w:r w:rsidR="001D6D26" w:rsidRPr="004635E5">
        <w:rPr>
          <w:rFonts w:cs="Times New Roman"/>
          <w:lang w:eastAsia="ko-KR"/>
        </w:rPr>
        <w:t xml:space="preserve"> (discussed under Agenda Item 6.2.1)</w:t>
      </w:r>
      <w:r w:rsidR="003506C2" w:rsidRPr="004635E5">
        <w:rPr>
          <w:rFonts w:cs="Times New Roman"/>
          <w:lang w:eastAsia="ko-KR"/>
        </w:rPr>
        <w:t>.</w:t>
      </w:r>
    </w:p>
    <w:p w14:paraId="2938EA21" w14:textId="77777777" w:rsidR="002A4403" w:rsidRPr="004635E5" w:rsidRDefault="002A4403" w:rsidP="006633A8">
      <w:pPr>
        <w:pStyle w:val="WCPFC"/>
        <w:numPr>
          <w:ilvl w:val="0"/>
          <w:numId w:val="0"/>
        </w:numPr>
        <w:adjustRightInd w:val="0"/>
        <w:spacing w:after="0"/>
        <w:rPr>
          <w:rFonts w:cs="Times New Roman"/>
          <w:lang w:eastAsia="ko-KR"/>
        </w:rPr>
      </w:pPr>
    </w:p>
    <w:p w14:paraId="077AB362" w14:textId="77777777" w:rsidR="002A4403" w:rsidRPr="004635E5" w:rsidRDefault="0065075A" w:rsidP="006633A8">
      <w:pPr>
        <w:pStyle w:val="WCPFC"/>
        <w:numPr>
          <w:ilvl w:val="0"/>
          <w:numId w:val="0"/>
        </w:numPr>
        <w:adjustRightInd w:val="0"/>
        <w:spacing w:after="0"/>
        <w:ind w:left="360"/>
        <w:rPr>
          <w:rFonts w:cs="Times New Roman"/>
          <w:b/>
          <w:lang w:val="en-AU" w:eastAsia="ko-KR"/>
        </w:rPr>
      </w:pPr>
      <w:r w:rsidRPr="004635E5">
        <w:rPr>
          <w:rFonts w:cs="Times New Roman"/>
          <w:b/>
          <w:lang w:val="en-AU" w:eastAsia="ko-KR"/>
        </w:rPr>
        <w:t>Recommendation</w:t>
      </w:r>
      <w:r w:rsidR="008A5F85" w:rsidRPr="004635E5">
        <w:rPr>
          <w:rFonts w:cs="Times New Roman"/>
          <w:b/>
          <w:lang w:val="en-AU" w:eastAsia="ko-KR"/>
        </w:rPr>
        <w:t>s</w:t>
      </w:r>
    </w:p>
    <w:p w14:paraId="09405D58" w14:textId="77777777" w:rsidR="002A4403" w:rsidRPr="004635E5" w:rsidRDefault="002A4403" w:rsidP="006633A8">
      <w:pPr>
        <w:pStyle w:val="WCPFC"/>
        <w:numPr>
          <w:ilvl w:val="0"/>
          <w:numId w:val="0"/>
        </w:numPr>
        <w:adjustRightInd w:val="0"/>
        <w:spacing w:after="0"/>
        <w:ind w:left="360"/>
        <w:rPr>
          <w:rFonts w:cs="Times New Roman"/>
          <w:b/>
          <w:lang w:val="en-AU" w:eastAsia="ko-KR"/>
        </w:rPr>
      </w:pPr>
    </w:p>
    <w:p w14:paraId="0549A8ED" w14:textId="77777777" w:rsidR="008A33E2" w:rsidRPr="004635E5" w:rsidRDefault="008A33E2" w:rsidP="006633A8">
      <w:pPr>
        <w:pStyle w:val="WCPFC"/>
        <w:adjustRightInd w:val="0"/>
        <w:spacing w:after="0"/>
        <w:ind w:left="0" w:firstLine="0"/>
        <w:rPr>
          <w:rFonts w:cs="Times New Roman"/>
          <w:b/>
          <w:lang w:eastAsia="ko-KR"/>
        </w:rPr>
      </w:pPr>
      <w:r w:rsidRPr="004635E5">
        <w:rPr>
          <w:rFonts w:cs="Times New Roman"/>
          <w:b/>
          <w:lang w:eastAsia="ko-KR"/>
        </w:rPr>
        <w:t>SC14 recommends that:</w:t>
      </w:r>
    </w:p>
    <w:p w14:paraId="75E24929" w14:textId="77777777" w:rsidR="002A4403" w:rsidRPr="004635E5" w:rsidRDefault="008A33E2" w:rsidP="00580EA4">
      <w:pPr>
        <w:pStyle w:val="WCPFC"/>
        <w:numPr>
          <w:ilvl w:val="0"/>
          <w:numId w:val="49"/>
        </w:numPr>
        <w:adjustRightInd w:val="0"/>
        <w:spacing w:after="0"/>
        <w:rPr>
          <w:rFonts w:cs="Times New Roman"/>
          <w:b/>
          <w:iCs/>
          <w:lang w:eastAsia="ko-KR"/>
        </w:rPr>
      </w:pPr>
      <w:r w:rsidRPr="004635E5">
        <w:rPr>
          <w:rFonts w:cs="Times New Roman"/>
          <w:b/>
          <w:iCs/>
          <w:lang w:eastAsia="ko-KR"/>
        </w:rPr>
        <w:t xml:space="preserve">TCC14 and WCPFC15 note that </w:t>
      </w:r>
      <w:r w:rsidRPr="004635E5">
        <w:rPr>
          <w:rFonts w:cs="Times New Roman"/>
          <w:b/>
          <w:iCs/>
          <w:lang w:val="en-AU" w:eastAsia="ko-KR"/>
        </w:rPr>
        <w:t>since the adoption of the CMM 2010-07, SC has been unable to confirm the validity of using a 5% fin to carcass ratio and that an evaluation of the 5% ratio is not currently possible due to insufficient or inconclusive information.</w:t>
      </w:r>
    </w:p>
    <w:p w14:paraId="051DAB86" w14:textId="77777777" w:rsidR="008A33E2" w:rsidRPr="004635E5" w:rsidRDefault="008A33E2" w:rsidP="00580EA4">
      <w:pPr>
        <w:pStyle w:val="WCPFC"/>
        <w:numPr>
          <w:ilvl w:val="0"/>
          <w:numId w:val="49"/>
        </w:numPr>
        <w:adjustRightInd w:val="0"/>
        <w:spacing w:after="0"/>
        <w:rPr>
          <w:rFonts w:cs="Times New Roman"/>
          <w:b/>
          <w:iCs/>
          <w:lang w:eastAsia="ko-KR"/>
        </w:rPr>
      </w:pPr>
      <w:r w:rsidRPr="004635E5">
        <w:rPr>
          <w:rFonts w:cs="Times New Roman"/>
          <w:b/>
          <w:iCs/>
          <w:lang w:val="en-US" w:eastAsia="ko-KR"/>
        </w:rPr>
        <w:t>TCC14 and WCPFC15 elaborate a mechanism for generating the data necessary to review the fins to carcass ratio if such a ratio is to be used as a tool for promoting the full utilization of sharks in the WCPFC</w:t>
      </w:r>
    </w:p>
    <w:p w14:paraId="5E49F072" w14:textId="77777777" w:rsidR="002A4403" w:rsidRPr="004635E5" w:rsidRDefault="002A4403" w:rsidP="006633A8">
      <w:pPr>
        <w:pStyle w:val="WCPFC"/>
        <w:numPr>
          <w:ilvl w:val="0"/>
          <w:numId w:val="0"/>
        </w:numPr>
        <w:adjustRightInd w:val="0"/>
        <w:spacing w:after="0"/>
        <w:rPr>
          <w:rFonts w:cs="Times New Roman"/>
          <w:lang w:eastAsia="ko-KR"/>
        </w:rPr>
      </w:pPr>
    </w:p>
    <w:p w14:paraId="559A2B2A" w14:textId="77777777" w:rsidR="00006EB8" w:rsidRPr="004635E5" w:rsidRDefault="00006EB8" w:rsidP="00580EA4">
      <w:pPr>
        <w:pStyle w:val="SC3"/>
        <w:numPr>
          <w:ilvl w:val="3"/>
          <w:numId w:val="161"/>
        </w:numPr>
        <w:spacing w:after="0"/>
      </w:pPr>
      <w:r w:rsidRPr="004635E5">
        <w:t>CMM 2011-04 (CMM for oceanic whitetip shark)</w:t>
      </w:r>
    </w:p>
    <w:p w14:paraId="1676DDBA" w14:textId="77777777" w:rsidR="002A4403" w:rsidRPr="004635E5" w:rsidRDefault="002A4403" w:rsidP="006633A8">
      <w:pPr>
        <w:pStyle w:val="SC3"/>
        <w:numPr>
          <w:ilvl w:val="0"/>
          <w:numId w:val="0"/>
        </w:numPr>
        <w:spacing w:after="0"/>
        <w:ind w:left="1800"/>
      </w:pPr>
    </w:p>
    <w:p w14:paraId="6924D886" w14:textId="77777777" w:rsidR="007A6413" w:rsidRPr="004635E5" w:rsidRDefault="0067081C" w:rsidP="006633A8">
      <w:pPr>
        <w:pStyle w:val="WCPFC"/>
        <w:adjustRightInd w:val="0"/>
        <w:spacing w:after="0"/>
        <w:ind w:left="0" w:firstLine="0"/>
        <w:rPr>
          <w:rFonts w:cs="Times New Roman"/>
        </w:rPr>
      </w:pPr>
      <w:r w:rsidRPr="004635E5">
        <w:rPr>
          <w:rFonts w:cs="Times New Roman"/>
        </w:rPr>
        <w:t>Information paper SC14-EB-</w:t>
      </w:r>
      <w:r w:rsidR="007A6413" w:rsidRPr="004635E5">
        <w:rPr>
          <w:rFonts w:cs="Times New Roman"/>
        </w:rPr>
        <w:t xml:space="preserve">IP-04 </w:t>
      </w:r>
      <w:r w:rsidRPr="004635E5">
        <w:rPr>
          <w:rFonts w:cs="Times New Roman"/>
        </w:rPr>
        <w:t xml:space="preserve">was submitted on </w:t>
      </w:r>
      <w:r w:rsidR="007A6413" w:rsidRPr="004635E5">
        <w:rPr>
          <w:rFonts w:cs="Times New Roman"/>
        </w:rPr>
        <w:t>biological sampling of silky sharks</w:t>
      </w:r>
      <w:r w:rsidRPr="004635E5">
        <w:rPr>
          <w:rFonts w:cs="Times New Roman"/>
        </w:rPr>
        <w:t>.</w:t>
      </w:r>
      <w:r w:rsidR="00A16680" w:rsidRPr="004635E5">
        <w:rPr>
          <w:rFonts w:cs="Times New Roman"/>
        </w:rPr>
        <w:t xml:space="preserve"> There was no discussion on this agenda item.</w:t>
      </w:r>
    </w:p>
    <w:p w14:paraId="4593701C" w14:textId="77777777" w:rsidR="002A4403" w:rsidRPr="004635E5" w:rsidRDefault="002A4403" w:rsidP="006633A8">
      <w:pPr>
        <w:pStyle w:val="WCPFC"/>
        <w:numPr>
          <w:ilvl w:val="0"/>
          <w:numId w:val="0"/>
        </w:numPr>
        <w:adjustRightInd w:val="0"/>
        <w:spacing w:after="0"/>
        <w:rPr>
          <w:rFonts w:cs="Times New Roman"/>
        </w:rPr>
      </w:pPr>
    </w:p>
    <w:p w14:paraId="4440BD6F" w14:textId="77777777" w:rsidR="00AA77FF" w:rsidRPr="004635E5" w:rsidRDefault="00AA77FF" w:rsidP="00580EA4">
      <w:pPr>
        <w:pStyle w:val="SC3"/>
        <w:numPr>
          <w:ilvl w:val="3"/>
          <w:numId w:val="161"/>
        </w:numPr>
        <w:spacing w:after="0"/>
      </w:pPr>
      <w:r w:rsidRPr="004635E5">
        <w:t>CMM 2012-04 (CMM for protection of whale sharks from purse seine fishing operations)</w:t>
      </w:r>
    </w:p>
    <w:p w14:paraId="02B02E4F" w14:textId="77777777" w:rsidR="002A4403" w:rsidRPr="004635E5" w:rsidRDefault="002A4403" w:rsidP="006633A8">
      <w:pPr>
        <w:pStyle w:val="SC3"/>
        <w:numPr>
          <w:ilvl w:val="0"/>
          <w:numId w:val="0"/>
        </w:numPr>
        <w:spacing w:after="0"/>
        <w:ind w:left="1800"/>
      </w:pPr>
    </w:p>
    <w:p w14:paraId="3BED3E27" w14:textId="77777777" w:rsidR="00A945C7" w:rsidRPr="004635E5" w:rsidRDefault="00210206" w:rsidP="006E7655">
      <w:pPr>
        <w:pStyle w:val="WCPFC"/>
        <w:widowControl w:val="0"/>
        <w:adjustRightInd w:val="0"/>
        <w:spacing w:after="0"/>
        <w:ind w:left="0" w:firstLine="0"/>
        <w:rPr>
          <w:rFonts w:cs="Times New Roman"/>
          <w:color w:val="auto"/>
        </w:rPr>
      </w:pPr>
      <w:r w:rsidRPr="004635E5">
        <w:rPr>
          <w:rFonts w:cs="Times New Roman"/>
        </w:rPr>
        <w:t>SC14</w:t>
      </w:r>
      <w:r w:rsidR="00A945C7" w:rsidRPr="004635E5">
        <w:rPr>
          <w:rFonts w:cs="Times New Roman"/>
        </w:rPr>
        <w:t xml:space="preserve"> may </w:t>
      </w:r>
      <w:r w:rsidR="001A41AA" w:rsidRPr="004635E5">
        <w:rPr>
          <w:rFonts w:cs="Times New Roman"/>
        </w:rPr>
        <w:t xml:space="preserve">consider </w:t>
      </w:r>
      <w:r w:rsidR="00777EE3" w:rsidRPr="004635E5">
        <w:rPr>
          <w:rFonts w:cs="Times New Roman"/>
        </w:rPr>
        <w:t xml:space="preserve">additional </w:t>
      </w:r>
      <w:r w:rsidR="001A41AA" w:rsidRPr="004635E5">
        <w:rPr>
          <w:rFonts w:cs="Times New Roman"/>
        </w:rPr>
        <w:t>mitigation measures based on</w:t>
      </w:r>
      <w:r w:rsidR="00A945C7" w:rsidRPr="004635E5">
        <w:rPr>
          <w:rFonts w:cs="Times New Roman"/>
        </w:rPr>
        <w:t xml:space="preserve"> CCMs</w:t>
      </w:r>
      <w:r w:rsidR="008B72B6" w:rsidRPr="004635E5">
        <w:rPr>
          <w:rFonts w:cs="Times New Roman"/>
        </w:rPr>
        <w:t>’</w:t>
      </w:r>
      <w:r w:rsidR="00A945C7" w:rsidRPr="004635E5">
        <w:rPr>
          <w:rFonts w:cs="Times New Roman"/>
        </w:rPr>
        <w:t xml:space="preserve"> report</w:t>
      </w:r>
      <w:r w:rsidR="008B72B6" w:rsidRPr="004635E5">
        <w:rPr>
          <w:rFonts w:cs="Times New Roman"/>
        </w:rPr>
        <w:t>s</w:t>
      </w:r>
      <w:r w:rsidR="00A945C7" w:rsidRPr="004635E5">
        <w:rPr>
          <w:rFonts w:cs="Times New Roman"/>
        </w:rPr>
        <w:t xml:space="preserve"> </w:t>
      </w:r>
      <w:r w:rsidR="001A41AA" w:rsidRPr="004635E5">
        <w:rPr>
          <w:rFonts w:cs="Times New Roman"/>
        </w:rPr>
        <w:t>through Annual</w:t>
      </w:r>
      <w:r w:rsidR="001A41AA" w:rsidRPr="004635E5">
        <w:rPr>
          <w:rFonts w:cs="Times New Roman"/>
          <w:color w:val="auto"/>
          <w:lang w:eastAsia="ko-KR"/>
        </w:rPr>
        <w:t xml:space="preserve"> Report Part 1 </w:t>
      </w:r>
      <w:r w:rsidR="00A945C7" w:rsidRPr="004635E5">
        <w:rPr>
          <w:rFonts w:cs="Times New Roman"/>
          <w:color w:val="auto"/>
          <w:lang w:eastAsia="ko-KR"/>
        </w:rPr>
        <w:t>on</w:t>
      </w:r>
      <w:r w:rsidR="00A945C7" w:rsidRPr="004635E5">
        <w:rPr>
          <w:rFonts w:cs="Times New Roman"/>
          <w:color w:val="auto"/>
        </w:rPr>
        <w:t xml:space="preserve"> any instances in which whale sharks have been encircled by the purse seine nets of their flagged vessels</w:t>
      </w:r>
      <w:r w:rsidR="001A41AA" w:rsidRPr="004635E5">
        <w:rPr>
          <w:rFonts w:cs="Times New Roman"/>
          <w:color w:val="auto"/>
          <w:lang w:eastAsia="ko-KR"/>
        </w:rPr>
        <w:t>.</w:t>
      </w:r>
      <w:r w:rsidR="00A945C7" w:rsidRPr="004635E5">
        <w:rPr>
          <w:rFonts w:cs="Times New Roman"/>
          <w:color w:val="auto"/>
          <w:lang w:eastAsia="ko-KR"/>
        </w:rPr>
        <w:t xml:space="preserve"> </w:t>
      </w:r>
      <w:r w:rsidR="00A16680" w:rsidRPr="004635E5">
        <w:rPr>
          <w:rFonts w:cs="Times New Roman"/>
          <w:color w:val="auto"/>
          <w:lang w:val="en-US" w:eastAsia="ko-KR"/>
        </w:rPr>
        <w:t>There was no discussion on this agenda item.</w:t>
      </w:r>
    </w:p>
    <w:p w14:paraId="17763384" w14:textId="77777777" w:rsidR="002A4403" w:rsidRPr="004635E5" w:rsidRDefault="002A4403" w:rsidP="006E7655">
      <w:pPr>
        <w:pStyle w:val="WCPFC"/>
        <w:widowControl w:val="0"/>
        <w:numPr>
          <w:ilvl w:val="0"/>
          <w:numId w:val="0"/>
        </w:numPr>
        <w:adjustRightInd w:val="0"/>
        <w:spacing w:after="0"/>
        <w:rPr>
          <w:rFonts w:cs="Times New Roman"/>
          <w:color w:val="auto"/>
        </w:rPr>
      </w:pPr>
    </w:p>
    <w:p w14:paraId="2CA3152A" w14:textId="77777777" w:rsidR="008422CD" w:rsidRPr="004635E5" w:rsidRDefault="008422CD" w:rsidP="00580EA4">
      <w:pPr>
        <w:pStyle w:val="SC3"/>
        <w:keepNext w:val="0"/>
        <w:widowControl w:val="0"/>
        <w:numPr>
          <w:ilvl w:val="3"/>
          <w:numId w:val="161"/>
        </w:numPr>
        <w:suppressLineNumbers w:val="0"/>
        <w:spacing w:after="0"/>
      </w:pPr>
      <w:r w:rsidRPr="004635E5">
        <w:t>CMM 2013-08 (CMM for silky sharks)</w:t>
      </w:r>
    </w:p>
    <w:p w14:paraId="076FA74E" w14:textId="77777777" w:rsidR="002A4403" w:rsidRPr="004635E5" w:rsidRDefault="002A4403" w:rsidP="006E7655">
      <w:pPr>
        <w:pStyle w:val="SC3"/>
        <w:keepNext w:val="0"/>
        <w:widowControl w:val="0"/>
        <w:numPr>
          <w:ilvl w:val="0"/>
          <w:numId w:val="0"/>
        </w:numPr>
        <w:suppressLineNumbers w:val="0"/>
        <w:spacing w:after="0"/>
        <w:ind w:left="1800"/>
      </w:pPr>
    </w:p>
    <w:p w14:paraId="617213E8" w14:textId="77777777" w:rsidR="00117C88" w:rsidRPr="004635E5" w:rsidRDefault="00A16680" w:rsidP="006E7655">
      <w:pPr>
        <w:pStyle w:val="WCPFC"/>
        <w:widowControl w:val="0"/>
        <w:adjustRightInd w:val="0"/>
        <w:spacing w:after="0"/>
        <w:ind w:left="0" w:firstLine="0"/>
        <w:rPr>
          <w:rFonts w:cs="Times New Roman"/>
        </w:rPr>
      </w:pPr>
      <w:r w:rsidRPr="004635E5">
        <w:rPr>
          <w:rFonts w:cs="Times New Roman"/>
        </w:rPr>
        <w:t xml:space="preserve">SC14-EB-IP-02 </w:t>
      </w:r>
      <w:r w:rsidRPr="004635E5">
        <w:rPr>
          <w:rFonts w:cs="Times New Roman"/>
          <w:i/>
        </w:rPr>
        <w:t>An update on Western and Central Pacific Fisheries Commission shortfin mako and silky shark post-release mortality tagging studies</w:t>
      </w:r>
      <w:r w:rsidRPr="004635E5">
        <w:rPr>
          <w:rFonts w:cs="Times New Roman"/>
        </w:rPr>
        <w:t xml:space="preserve"> and SC14-EB-IP-04 </w:t>
      </w:r>
      <w:r w:rsidRPr="004635E5">
        <w:rPr>
          <w:rFonts w:cs="Times New Roman"/>
          <w:i/>
        </w:rPr>
        <w:t>Pacific stock structure of the Silky shark (Carcharhinus falciformis) resolved with next generation sequencing</w:t>
      </w:r>
      <w:r w:rsidRPr="004635E5">
        <w:rPr>
          <w:rFonts w:cs="Times New Roman"/>
        </w:rPr>
        <w:t xml:space="preserve"> were tabled without discussion. </w:t>
      </w:r>
      <w:r w:rsidR="00117C88" w:rsidRPr="004635E5">
        <w:rPr>
          <w:rFonts w:cs="Times New Roman"/>
        </w:rPr>
        <w:t>There were no comments received from the SC on this agenda item. As with 6.2.2.</w:t>
      </w:r>
      <w:r w:rsidR="00036E00" w:rsidRPr="004635E5">
        <w:rPr>
          <w:rFonts w:cs="Times New Roman"/>
          <w:lang w:eastAsia="ko-KR"/>
        </w:rPr>
        <w:t>2</w:t>
      </w:r>
      <w:r w:rsidR="00117C88" w:rsidRPr="004635E5">
        <w:rPr>
          <w:rFonts w:cs="Times New Roman"/>
        </w:rPr>
        <w:t xml:space="preserve">, CMM 2011-04 (CMM for oceanic whitetip sharks), SC will continue to work to improve bycatch mitigation measures, and encourage CCMs to collect data on silky shark bycatch and discards. The theme co-convenor noted that </w:t>
      </w:r>
      <w:r w:rsidRPr="004635E5">
        <w:rPr>
          <w:rFonts w:cs="Times New Roman"/>
        </w:rPr>
        <w:t xml:space="preserve">draft safe release </w:t>
      </w:r>
      <w:r w:rsidR="00117C88" w:rsidRPr="004635E5">
        <w:rPr>
          <w:rFonts w:cs="Times New Roman"/>
        </w:rPr>
        <w:t>guidelines for the live release of sharks were being developed by ISG</w:t>
      </w:r>
      <w:r w:rsidRPr="004635E5">
        <w:rPr>
          <w:rFonts w:cs="Times New Roman"/>
        </w:rPr>
        <w:t>-06</w:t>
      </w:r>
      <w:r w:rsidR="00117C88" w:rsidRPr="004635E5">
        <w:rPr>
          <w:rFonts w:cs="Times New Roman"/>
        </w:rPr>
        <w:t xml:space="preserve"> during SC14</w:t>
      </w:r>
      <w:r w:rsidRPr="004635E5">
        <w:rPr>
          <w:rFonts w:cs="Times New Roman"/>
        </w:rPr>
        <w:t xml:space="preserve"> (Attachment G)</w:t>
      </w:r>
      <w:r w:rsidR="00117C88" w:rsidRPr="004635E5">
        <w:rPr>
          <w:rFonts w:cs="Times New Roman"/>
        </w:rPr>
        <w:t xml:space="preserve">. </w:t>
      </w:r>
    </w:p>
    <w:p w14:paraId="70728A70" w14:textId="77777777" w:rsidR="002A4403" w:rsidRPr="004635E5" w:rsidRDefault="002A4403" w:rsidP="006E7655">
      <w:pPr>
        <w:pStyle w:val="WCPFC"/>
        <w:widowControl w:val="0"/>
        <w:numPr>
          <w:ilvl w:val="0"/>
          <w:numId w:val="0"/>
        </w:numPr>
        <w:adjustRightInd w:val="0"/>
        <w:spacing w:after="0"/>
        <w:rPr>
          <w:rFonts w:cs="Times New Roman"/>
        </w:rPr>
      </w:pPr>
    </w:p>
    <w:p w14:paraId="7535DEC0" w14:textId="77777777" w:rsidR="00DA53AB" w:rsidRPr="004635E5" w:rsidRDefault="00DA53AB" w:rsidP="006E7655">
      <w:pPr>
        <w:pStyle w:val="WCPFC"/>
        <w:widowControl w:val="0"/>
        <w:adjustRightInd w:val="0"/>
        <w:spacing w:after="0"/>
        <w:ind w:left="0" w:firstLine="0"/>
        <w:rPr>
          <w:rFonts w:cs="Times New Roman"/>
        </w:rPr>
      </w:pPr>
      <w:r w:rsidRPr="004635E5">
        <w:rPr>
          <w:rFonts w:cs="Times New Roman"/>
        </w:rPr>
        <w:t>SC14 noted that analysis of observer data by SPC shows that silky sharks in the WCPO are still being retained and silky shark products are still being traded at high levels in international markets, though the proportion among those from WCPO is unknown.</w:t>
      </w:r>
    </w:p>
    <w:p w14:paraId="2EAF5387" w14:textId="77777777" w:rsidR="00DA53AB" w:rsidRPr="004635E5" w:rsidRDefault="00DA53AB" w:rsidP="006E7655">
      <w:pPr>
        <w:pStyle w:val="ListParagraph"/>
        <w:widowControl w:val="0"/>
        <w:adjustRightInd w:val="0"/>
        <w:snapToGrid w:val="0"/>
        <w:rPr>
          <w:sz w:val="22"/>
          <w:szCs w:val="22"/>
        </w:rPr>
      </w:pPr>
    </w:p>
    <w:p w14:paraId="17242B8D" w14:textId="77777777" w:rsidR="00117C88" w:rsidRPr="004635E5" w:rsidRDefault="00117C88" w:rsidP="006E7655">
      <w:pPr>
        <w:pStyle w:val="WCPFC"/>
        <w:widowControl w:val="0"/>
        <w:adjustRightInd w:val="0"/>
        <w:spacing w:after="0"/>
        <w:ind w:left="0" w:firstLine="0"/>
        <w:rPr>
          <w:rFonts w:cs="Times New Roman"/>
        </w:rPr>
      </w:pPr>
      <w:r w:rsidRPr="004635E5">
        <w:rPr>
          <w:rFonts w:cs="Times New Roman"/>
        </w:rPr>
        <w:t xml:space="preserve">SC14 </w:t>
      </w:r>
      <w:r w:rsidR="00DA53AB" w:rsidRPr="004635E5">
        <w:rPr>
          <w:rFonts w:cs="Times New Roman"/>
          <w:lang w:eastAsia="ko-KR"/>
        </w:rPr>
        <w:t xml:space="preserve">also </w:t>
      </w:r>
      <w:r w:rsidRPr="004635E5">
        <w:rPr>
          <w:rFonts w:cs="Times New Roman"/>
        </w:rPr>
        <w:t xml:space="preserve">noted the clear increase in longline observers recording no sharks per set since 2013 in </w:t>
      </w:r>
      <w:r w:rsidR="005C3CE1">
        <w:rPr>
          <w:rFonts w:eastAsia="Batang"/>
          <w:lang w:eastAsia="ko-KR"/>
        </w:rPr>
        <w:t>SC14-EB</w:t>
      </w:r>
      <w:r w:rsidRPr="004635E5">
        <w:rPr>
          <w:rFonts w:cs="Times New Roman"/>
        </w:rPr>
        <w:t xml:space="preserve">-WP-02 (Figure 32), as well as concerns expressed in </w:t>
      </w:r>
      <w:r w:rsidR="005C3CE1">
        <w:rPr>
          <w:rFonts w:cs="Times New Roman"/>
        </w:rPr>
        <w:t>SC14-EB</w:t>
      </w:r>
      <w:r w:rsidRPr="004635E5">
        <w:rPr>
          <w:rFonts w:cs="Times New Roman"/>
        </w:rPr>
        <w:t>-WP-08 about the influence of no-retention measures on the uncertainties associated with estimates of catch rates and catches in stock assessments.</w:t>
      </w:r>
    </w:p>
    <w:p w14:paraId="61A77AF7" w14:textId="77777777" w:rsidR="002A4403" w:rsidRPr="004635E5" w:rsidRDefault="002A4403" w:rsidP="006E7655">
      <w:pPr>
        <w:pStyle w:val="WCPFC"/>
        <w:widowControl w:val="0"/>
        <w:numPr>
          <w:ilvl w:val="0"/>
          <w:numId w:val="0"/>
        </w:numPr>
        <w:adjustRightInd w:val="0"/>
        <w:spacing w:after="0"/>
        <w:rPr>
          <w:rFonts w:cs="Times New Roman"/>
        </w:rPr>
      </w:pPr>
    </w:p>
    <w:p w14:paraId="71253F27" w14:textId="77777777" w:rsidR="002A4403" w:rsidRPr="004635E5" w:rsidRDefault="009D13D7" w:rsidP="006E7655">
      <w:pPr>
        <w:pStyle w:val="WCPFC"/>
        <w:widowControl w:val="0"/>
        <w:numPr>
          <w:ilvl w:val="0"/>
          <w:numId w:val="0"/>
        </w:numPr>
        <w:adjustRightInd w:val="0"/>
        <w:spacing w:after="0"/>
        <w:rPr>
          <w:rFonts w:cs="Times New Roman"/>
          <w:b/>
          <w:lang w:eastAsia="ko-KR"/>
        </w:rPr>
      </w:pPr>
      <w:r w:rsidRPr="004635E5">
        <w:rPr>
          <w:rFonts w:cs="Times New Roman"/>
          <w:b/>
        </w:rPr>
        <w:t>Recommendation</w:t>
      </w:r>
      <w:r w:rsidR="004E76DF" w:rsidRPr="004635E5">
        <w:rPr>
          <w:rFonts w:cs="Times New Roman"/>
          <w:b/>
          <w:lang w:eastAsia="ko-KR"/>
        </w:rPr>
        <w:t>s</w:t>
      </w:r>
    </w:p>
    <w:p w14:paraId="3CF4AAD0" w14:textId="77777777" w:rsidR="002A4403" w:rsidRPr="004635E5" w:rsidRDefault="002A4403" w:rsidP="006E7655">
      <w:pPr>
        <w:pStyle w:val="WCPFC"/>
        <w:widowControl w:val="0"/>
        <w:numPr>
          <w:ilvl w:val="0"/>
          <w:numId w:val="0"/>
        </w:numPr>
        <w:adjustRightInd w:val="0"/>
        <w:spacing w:after="0"/>
        <w:rPr>
          <w:rFonts w:cs="Times New Roman"/>
          <w:b/>
        </w:rPr>
      </w:pPr>
    </w:p>
    <w:p w14:paraId="1149B9EB" w14:textId="77777777" w:rsidR="00117C88" w:rsidRPr="00D4326B" w:rsidRDefault="00117C88" w:rsidP="006E7655">
      <w:pPr>
        <w:pStyle w:val="WCPFC"/>
        <w:widowControl w:val="0"/>
        <w:adjustRightInd w:val="0"/>
        <w:spacing w:after="0"/>
        <w:ind w:left="0" w:firstLine="0"/>
        <w:rPr>
          <w:rFonts w:cs="Times New Roman"/>
          <w:b/>
        </w:rPr>
      </w:pPr>
      <w:r w:rsidRPr="00D4326B">
        <w:rPr>
          <w:rFonts w:cs="Times New Roman"/>
          <w:b/>
        </w:rPr>
        <w:t xml:space="preserve">Therefore SC14 recommends to WCPFC15 that: </w:t>
      </w:r>
    </w:p>
    <w:p w14:paraId="546E235E" w14:textId="77777777" w:rsidR="00117C88" w:rsidRPr="00D4326B" w:rsidRDefault="00117C88" w:rsidP="00580EA4">
      <w:pPr>
        <w:pStyle w:val="WCPFC"/>
        <w:widowControl w:val="0"/>
        <w:numPr>
          <w:ilvl w:val="1"/>
          <w:numId w:val="149"/>
        </w:numPr>
        <w:adjustRightInd w:val="0"/>
        <w:spacing w:after="0"/>
        <w:ind w:left="1080"/>
        <w:rPr>
          <w:rFonts w:cs="Times New Roman"/>
          <w:b/>
          <w:lang w:eastAsia="ko-KR"/>
        </w:rPr>
      </w:pPr>
      <w:r w:rsidRPr="00D4326B">
        <w:rPr>
          <w:rFonts w:cs="Times New Roman"/>
          <w:b/>
        </w:rPr>
        <w:t>The Scientific Services Provider be tasked with reviewing how observers record sharks that are cut free, and what data quality improvements might be achieved through improved observer training and/or protocols</w:t>
      </w:r>
      <w:r w:rsidR="00A16680" w:rsidRPr="00D4326B">
        <w:rPr>
          <w:rFonts w:cs="Times New Roman"/>
          <w:b/>
        </w:rPr>
        <w:t xml:space="preserve">. </w:t>
      </w:r>
    </w:p>
    <w:p w14:paraId="204FB36E" w14:textId="77777777" w:rsidR="00DA53AB" w:rsidRPr="00D4326B" w:rsidRDefault="00DA53AB" w:rsidP="00580EA4">
      <w:pPr>
        <w:pStyle w:val="WCPFC"/>
        <w:widowControl w:val="0"/>
        <w:numPr>
          <w:ilvl w:val="1"/>
          <w:numId w:val="149"/>
        </w:numPr>
        <w:adjustRightInd w:val="0"/>
        <w:spacing w:after="0"/>
        <w:ind w:left="1080"/>
        <w:rPr>
          <w:rFonts w:cs="Times New Roman"/>
          <w:b/>
          <w:lang w:eastAsia="ko-KR"/>
        </w:rPr>
      </w:pPr>
      <w:r w:rsidRPr="00D4326B">
        <w:rPr>
          <w:rFonts w:cs="Times New Roman"/>
          <w:b/>
        </w:rPr>
        <w:t>SC14 also recommends TCC14 and WCPFC15 to consider, through the comprehensive shark CMM, a requirement that non-retention and/or unwanted sharks be hauled alongside the vessel before being cut free in order to facilitate species identification.  This requirement shall only apply when an observer or electronic monitoring camera is present, and should only be implemented taking into consideration the safety of the crew and observer.</w:t>
      </w:r>
      <w:r w:rsidR="00F81EF0" w:rsidRPr="00D4326B">
        <w:rPr>
          <w:rFonts w:cs="Times New Roman"/>
          <w:b/>
        </w:rPr>
        <w:t xml:space="preserve"> </w:t>
      </w:r>
      <w:r w:rsidRPr="00D4326B">
        <w:rPr>
          <w:rFonts w:cs="Times New Roman"/>
          <w:b/>
        </w:rPr>
        <w:t>When adopted by the Commission, the guidelines for safe release of sharks and rays may be a useful guide for this activity.</w:t>
      </w:r>
    </w:p>
    <w:p w14:paraId="2CA3341E" w14:textId="77777777" w:rsidR="00DA53AB" w:rsidRPr="004635E5" w:rsidRDefault="00DA53AB" w:rsidP="006E7655">
      <w:pPr>
        <w:pStyle w:val="WCPFC"/>
        <w:widowControl w:val="0"/>
        <w:numPr>
          <w:ilvl w:val="0"/>
          <w:numId w:val="0"/>
        </w:numPr>
        <w:adjustRightInd w:val="0"/>
        <w:spacing w:after="0"/>
        <w:rPr>
          <w:rFonts w:cs="Times New Roman"/>
          <w:b/>
          <w:lang w:eastAsia="ko-KR"/>
        </w:rPr>
      </w:pPr>
    </w:p>
    <w:p w14:paraId="0C131C5F" w14:textId="77777777" w:rsidR="00100FF6" w:rsidRPr="004635E5" w:rsidRDefault="00100FF6" w:rsidP="00580EA4">
      <w:pPr>
        <w:pStyle w:val="SC3"/>
        <w:keepNext w:val="0"/>
        <w:widowControl w:val="0"/>
        <w:numPr>
          <w:ilvl w:val="3"/>
          <w:numId w:val="161"/>
        </w:numPr>
        <w:suppressLineNumbers w:val="0"/>
        <w:spacing w:after="0"/>
      </w:pPr>
      <w:r w:rsidRPr="004635E5">
        <w:t>CMM 2014-05 (CMM for sharks)</w:t>
      </w:r>
    </w:p>
    <w:p w14:paraId="54342833" w14:textId="77777777" w:rsidR="002A4403" w:rsidRPr="004635E5" w:rsidRDefault="002A4403" w:rsidP="006E7655">
      <w:pPr>
        <w:pStyle w:val="SC3"/>
        <w:keepNext w:val="0"/>
        <w:widowControl w:val="0"/>
        <w:numPr>
          <w:ilvl w:val="0"/>
          <w:numId w:val="0"/>
        </w:numPr>
        <w:suppressLineNumbers w:val="0"/>
        <w:spacing w:after="0"/>
        <w:ind w:left="1800"/>
      </w:pPr>
    </w:p>
    <w:p w14:paraId="6FF71580" w14:textId="77777777" w:rsidR="0000479C" w:rsidRPr="004635E5" w:rsidRDefault="002E1C66" w:rsidP="006E7655">
      <w:pPr>
        <w:pStyle w:val="WCPFC"/>
        <w:widowControl w:val="0"/>
        <w:adjustRightInd w:val="0"/>
        <w:spacing w:after="0"/>
        <w:ind w:left="0" w:firstLine="0"/>
        <w:rPr>
          <w:rFonts w:cs="Times New Roman"/>
        </w:rPr>
      </w:pPr>
      <w:r w:rsidRPr="004635E5">
        <w:rPr>
          <w:rFonts w:cs="Times New Roman"/>
        </w:rPr>
        <w:t xml:space="preserve">The </w:t>
      </w:r>
      <w:r w:rsidR="002E39E9" w:rsidRPr="004635E5">
        <w:rPr>
          <w:rFonts w:cs="Times New Roman"/>
        </w:rPr>
        <w:t>theme convener</w:t>
      </w:r>
      <w:r w:rsidRPr="004635E5">
        <w:rPr>
          <w:rFonts w:cs="Times New Roman"/>
        </w:rPr>
        <w:t xml:space="preserve"> noted that p</w:t>
      </w:r>
      <w:r w:rsidR="00100FF6" w:rsidRPr="004635E5">
        <w:rPr>
          <w:rFonts w:cs="Times New Roman"/>
        </w:rPr>
        <w:t xml:space="preserve">aragraph 2 of </w:t>
      </w:r>
      <w:r w:rsidRPr="004635E5">
        <w:rPr>
          <w:rFonts w:cs="Times New Roman"/>
        </w:rPr>
        <w:t xml:space="preserve">the </w:t>
      </w:r>
      <w:r w:rsidR="00100FF6" w:rsidRPr="004635E5">
        <w:rPr>
          <w:rFonts w:cs="Times New Roman"/>
        </w:rPr>
        <w:t xml:space="preserve">CMM </w:t>
      </w:r>
      <w:r w:rsidR="009A6D92" w:rsidRPr="004635E5">
        <w:rPr>
          <w:rFonts w:cs="Times New Roman"/>
          <w:lang w:eastAsia="ko-KR"/>
        </w:rPr>
        <w:t>stipulates</w:t>
      </w:r>
      <w:r w:rsidR="00100FF6" w:rsidRPr="004635E5">
        <w:rPr>
          <w:rFonts w:cs="Times New Roman"/>
        </w:rPr>
        <w:t xml:space="preserve"> that CCMs </w:t>
      </w:r>
      <w:r w:rsidR="00592BFF" w:rsidRPr="004635E5">
        <w:rPr>
          <w:rFonts w:cs="Times New Roman"/>
        </w:rPr>
        <w:t xml:space="preserve">targeting sharks in association with WCPFC longline fisheries </w:t>
      </w:r>
      <w:r w:rsidR="00100FF6" w:rsidRPr="004635E5">
        <w:rPr>
          <w:rFonts w:cs="Times New Roman"/>
        </w:rPr>
        <w:t xml:space="preserve">must develop a management plan, including specific </w:t>
      </w:r>
      <w:r w:rsidR="009A6D92" w:rsidRPr="004635E5">
        <w:rPr>
          <w:rFonts w:cs="Times New Roman"/>
        </w:rPr>
        <w:t>authorizations</w:t>
      </w:r>
      <w:r w:rsidR="00100FF6" w:rsidRPr="004635E5">
        <w:rPr>
          <w:rFonts w:cs="Times New Roman"/>
        </w:rPr>
        <w:t xml:space="preserve"> to fish and a TAC or other measure to limit the catch of shark to acceptable levels</w:t>
      </w:r>
      <w:r w:rsidR="00A16680" w:rsidRPr="004635E5">
        <w:rPr>
          <w:rFonts w:cs="Times New Roman"/>
        </w:rPr>
        <w:t xml:space="preserve">. </w:t>
      </w:r>
      <w:r w:rsidRPr="004635E5">
        <w:rPr>
          <w:rFonts w:cs="Times New Roman"/>
        </w:rPr>
        <w:t>He noted SC14-EB-</w:t>
      </w:r>
      <w:r w:rsidR="0000479C" w:rsidRPr="004635E5">
        <w:rPr>
          <w:rFonts w:cs="Times New Roman"/>
        </w:rPr>
        <w:t>IP-12</w:t>
      </w:r>
      <w:r w:rsidRPr="004635E5">
        <w:rPr>
          <w:rFonts w:cs="Times New Roman"/>
        </w:rPr>
        <w:t>.</w:t>
      </w:r>
      <w:r w:rsidR="0000479C" w:rsidRPr="004635E5">
        <w:rPr>
          <w:rFonts w:cs="Times New Roman"/>
        </w:rPr>
        <w:t xml:space="preserve"> </w:t>
      </w:r>
      <w:r w:rsidRPr="004635E5">
        <w:rPr>
          <w:rFonts w:eastAsia="Times New Roman" w:cs="Times New Roman"/>
          <w:bCs/>
          <w:i/>
        </w:rPr>
        <w:t xml:space="preserve">2017 Implementation </w:t>
      </w:r>
      <w:r w:rsidR="00A16680" w:rsidRPr="004635E5">
        <w:rPr>
          <w:rFonts w:eastAsia="Times New Roman" w:cs="Times New Roman"/>
          <w:bCs/>
          <w:i/>
        </w:rPr>
        <w:t>R</w:t>
      </w:r>
      <w:r w:rsidRPr="004635E5">
        <w:rPr>
          <w:rFonts w:eastAsia="Times New Roman" w:cs="Times New Roman"/>
          <w:bCs/>
          <w:i/>
        </w:rPr>
        <w:t>eport of the Management Plan for</w:t>
      </w:r>
      <w:r w:rsidRPr="004635E5">
        <w:rPr>
          <w:rFonts w:cs="Times New Roman"/>
          <w:bCs/>
          <w:i/>
        </w:rPr>
        <w:t xml:space="preserve"> </w:t>
      </w:r>
      <w:r w:rsidRPr="004635E5">
        <w:rPr>
          <w:rFonts w:eastAsia="Times New Roman" w:cs="Times New Roman"/>
          <w:bCs/>
          <w:i/>
        </w:rPr>
        <w:t>Longline Fisheries Targeting Sharks</w:t>
      </w:r>
      <w:r w:rsidRPr="004635E5">
        <w:rPr>
          <w:rFonts w:cs="Times New Roman"/>
          <w:bCs/>
          <w:i/>
        </w:rPr>
        <w:t>.</w:t>
      </w:r>
    </w:p>
    <w:p w14:paraId="7500BBB2" w14:textId="77777777" w:rsidR="002A4403" w:rsidRPr="004635E5" w:rsidRDefault="002A4403" w:rsidP="006E7655">
      <w:pPr>
        <w:pStyle w:val="WCPFC"/>
        <w:widowControl w:val="0"/>
        <w:numPr>
          <w:ilvl w:val="0"/>
          <w:numId w:val="0"/>
        </w:numPr>
        <w:adjustRightInd w:val="0"/>
        <w:spacing w:after="0"/>
        <w:rPr>
          <w:rFonts w:cs="Times New Roman"/>
        </w:rPr>
      </w:pPr>
    </w:p>
    <w:p w14:paraId="382D8098" w14:textId="77777777" w:rsidR="002E1C66" w:rsidRPr="004635E5" w:rsidRDefault="001B60B4" w:rsidP="006E7655">
      <w:pPr>
        <w:pStyle w:val="WCPFC"/>
        <w:widowControl w:val="0"/>
        <w:adjustRightInd w:val="0"/>
        <w:spacing w:after="0"/>
        <w:ind w:left="0" w:firstLine="0"/>
        <w:rPr>
          <w:rFonts w:cs="Times New Roman"/>
        </w:rPr>
      </w:pPr>
      <w:r w:rsidRPr="004635E5">
        <w:rPr>
          <w:rFonts w:cs="Times New Roman"/>
        </w:rPr>
        <w:t>There were n</w:t>
      </w:r>
      <w:r w:rsidR="002E1C66" w:rsidRPr="004635E5">
        <w:rPr>
          <w:rFonts w:cs="Times New Roman"/>
        </w:rPr>
        <w:t>o comments</w:t>
      </w:r>
      <w:r w:rsidRPr="004635E5">
        <w:rPr>
          <w:rFonts w:cs="Times New Roman"/>
        </w:rPr>
        <w:t xml:space="preserve"> received on this agenda item</w:t>
      </w:r>
      <w:r w:rsidR="002E1C66" w:rsidRPr="004635E5">
        <w:rPr>
          <w:rFonts w:cs="Times New Roman"/>
        </w:rPr>
        <w:t xml:space="preserve">. </w:t>
      </w:r>
    </w:p>
    <w:p w14:paraId="44AB1478" w14:textId="77777777" w:rsidR="002A4403" w:rsidRPr="004635E5" w:rsidRDefault="002A4403" w:rsidP="006E7655">
      <w:pPr>
        <w:pStyle w:val="WCPFC"/>
        <w:widowControl w:val="0"/>
        <w:numPr>
          <w:ilvl w:val="0"/>
          <w:numId w:val="0"/>
        </w:numPr>
        <w:adjustRightInd w:val="0"/>
        <w:spacing w:after="0"/>
        <w:ind w:left="360" w:hanging="360"/>
        <w:rPr>
          <w:rFonts w:cs="Times New Roman"/>
        </w:rPr>
      </w:pPr>
    </w:p>
    <w:p w14:paraId="723D23D8" w14:textId="77777777" w:rsidR="00A51635" w:rsidRPr="004635E5" w:rsidRDefault="00777EE3" w:rsidP="00580EA4">
      <w:pPr>
        <w:pStyle w:val="SC3"/>
        <w:keepNext w:val="0"/>
        <w:widowControl w:val="0"/>
        <w:numPr>
          <w:ilvl w:val="2"/>
          <w:numId w:val="161"/>
        </w:numPr>
        <w:suppressLineNumbers w:val="0"/>
        <w:spacing w:after="0"/>
      </w:pPr>
      <w:r w:rsidRPr="004635E5">
        <w:rPr>
          <w:rFonts w:eastAsiaTheme="minorEastAsia"/>
          <w:lang w:eastAsia="ko-KR"/>
        </w:rPr>
        <w:t>Safe release g</w:t>
      </w:r>
      <w:r w:rsidR="00A51635" w:rsidRPr="004635E5">
        <w:t xml:space="preserve">uidelines </w:t>
      </w:r>
    </w:p>
    <w:p w14:paraId="2E951705" w14:textId="77777777" w:rsidR="002A4403" w:rsidRPr="004635E5" w:rsidRDefault="002A4403" w:rsidP="006E7655">
      <w:pPr>
        <w:pStyle w:val="SC3"/>
        <w:keepNext w:val="0"/>
        <w:widowControl w:val="0"/>
        <w:numPr>
          <w:ilvl w:val="0"/>
          <w:numId w:val="0"/>
        </w:numPr>
        <w:suppressLineNumbers w:val="0"/>
        <w:spacing w:after="0"/>
        <w:ind w:left="1440"/>
      </w:pPr>
    </w:p>
    <w:p w14:paraId="28A0F6E8" w14:textId="77777777" w:rsidR="00383708" w:rsidRPr="004635E5" w:rsidRDefault="0045461D" w:rsidP="006E7655">
      <w:pPr>
        <w:pStyle w:val="WCPFC"/>
        <w:widowControl w:val="0"/>
        <w:autoSpaceDE w:val="0"/>
        <w:autoSpaceDN w:val="0"/>
        <w:adjustRightInd w:val="0"/>
        <w:spacing w:after="0"/>
        <w:ind w:left="0" w:firstLine="0"/>
        <w:rPr>
          <w:rFonts w:eastAsia="Batang" w:cs="Times New Roman"/>
          <w:lang w:eastAsia="ko-KR"/>
        </w:rPr>
      </w:pPr>
      <w:r w:rsidRPr="004635E5">
        <w:rPr>
          <w:rFonts w:cs="Times New Roman"/>
          <w:bCs/>
          <w:lang w:eastAsia="ko-KR"/>
        </w:rPr>
        <w:t xml:space="preserve">The Commission has adopted </w:t>
      </w:r>
      <w:hyperlink r:id="rId136" w:history="1">
        <w:r w:rsidRPr="004635E5">
          <w:rPr>
            <w:rStyle w:val="Hyperlink"/>
            <w:rFonts w:cs="Times New Roman"/>
            <w:i/>
            <w:color w:val="auto"/>
            <w:u w:val="none"/>
          </w:rPr>
          <w:t xml:space="preserve">Guidelines for the </w:t>
        </w:r>
        <w:r w:rsidRPr="004635E5">
          <w:rPr>
            <w:rStyle w:val="Hyperlink"/>
            <w:rFonts w:cs="Times New Roman"/>
            <w:i/>
            <w:color w:val="auto"/>
            <w:u w:val="none"/>
            <w:lang w:eastAsia="ko-KR"/>
          </w:rPr>
          <w:t>S</w:t>
        </w:r>
        <w:r w:rsidRPr="004635E5">
          <w:rPr>
            <w:rStyle w:val="Hyperlink"/>
            <w:rFonts w:cs="Times New Roman"/>
            <w:i/>
            <w:color w:val="auto"/>
            <w:u w:val="none"/>
          </w:rPr>
          <w:t xml:space="preserve">afe </w:t>
        </w:r>
        <w:r w:rsidRPr="004635E5">
          <w:rPr>
            <w:rStyle w:val="Hyperlink"/>
            <w:rFonts w:cs="Times New Roman"/>
            <w:i/>
            <w:color w:val="auto"/>
            <w:u w:val="none"/>
            <w:lang w:eastAsia="ko-KR"/>
          </w:rPr>
          <w:t>R</w:t>
        </w:r>
        <w:r w:rsidRPr="004635E5">
          <w:rPr>
            <w:rStyle w:val="Hyperlink"/>
            <w:rFonts w:cs="Times New Roman"/>
            <w:i/>
            <w:color w:val="auto"/>
            <w:u w:val="none"/>
          </w:rPr>
          <w:t xml:space="preserve">elease of </w:t>
        </w:r>
        <w:r w:rsidRPr="004635E5">
          <w:rPr>
            <w:rStyle w:val="Hyperlink"/>
            <w:rFonts w:cs="Times New Roman"/>
            <w:i/>
            <w:color w:val="auto"/>
            <w:u w:val="none"/>
            <w:lang w:eastAsia="ko-KR"/>
          </w:rPr>
          <w:t>E</w:t>
        </w:r>
        <w:r w:rsidRPr="004635E5">
          <w:rPr>
            <w:rStyle w:val="Hyperlink"/>
            <w:rFonts w:cs="Times New Roman"/>
            <w:i/>
            <w:color w:val="auto"/>
            <w:u w:val="none"/>
          </w:rPr>
          <w:t xml:space="preserve">ncircled </w:t>
        </w:r>
        <w:r w:rsidRPr="004635E5">
          <w:rPr>
            <w:rStyle w:val="Hyperlink"/>
            <w:rFonts w:cs="Times New Roman"/>
            <w:i/>
            <w:color w:val="auto"/>
            <w:u w:val="none"/>
            <w:lang w:eastAsia="ko-KR"/>
          </w:rPr>
          <w:t>W</w:t>
        </w:r>
        <w:r w:rsidRPr="004635E5">
          <w:rPr>
            <w:rStyle w:val="Hyperlink"/>
            <w:rFonts w:cs="Times New Roman"/>
            <w:i/>
            <w:color w:val="auto"/>
            <w:u w:val="none"/>
          </w:rPr>
          <w:t xml:space="preserve">hale </w:t>
        </w:r>
        <w:r w:rsidRPr="004635E5">
          <w:rPr>
            <w:rStyle w:val="Hyperlink"/>
            <w:rFonts w:cs="Times New Roman"/>
            <w:i/>
            <w:color w:val="auto"/>
            <w:u w:val="none"/>
            <w:lang w:eastAsia="ko-KR"/>
          </w:rPr>
          <w:t>S</w:t>
        </w:r>
        <w:r w:rsidRPr="004635E5">
          <w:rPr>
            <w:rStyle w:val="Hyperlink"/>
            <w:rFonts w:cs="Times New Roman"/>
            <w:i/>
            <w:color w:val="auto"/>
            <w:u w:val="none"/>
          </w:rPr>
          <w:t>harks</w:t>
        </w:r>
      </w:hyperlink>
      <w:r w:rsidRPr="004635E5">
        <w:rPr>
          <w:rFonts w:cs="Times New Roman"/>
          <w:i/>
          <w:lang w:eastAsia="ko-KR"/>
        </w:rPr>
        <w:t xml:space="preserve"> </w:t>
      </w:r>
      <w:r w:rsidRPr="004635E5">
        <w:rPr>
          <w:rFonts w:cs="Times New Roman"/>
          <w:lang w:eastAsia="ko-KR"/>
        </w:rPr>
        <w:t xml:space="preserve">and </w:t>
      </w:r>
      <w:r w:rsidRPr="004635E5">
        <w:rPr>
          <w:rFonts w:eastAsia="Batang" w:cs="Times New Roman"/>
          <w:i/>
          <w:lang w:eastAsia="ko-KR"/>
        </w:rPr>
        <w:t>Best Handling Practices for the Safe Release of Manta and Mobulids</w:t>
      </w:r>
      <w:r w:rsidRPr="004635E5">
        <w:rPr>
          <w:rFonts w:cs="Times New Roman"/>
          <w:bCs/>
          <w:lang w:eastAsia="ko-KR"/>
        </w:rPr>
        <w:t xml:space="preserve">. </w:t>
      </w:r>
      <w:r w:rsidR="003207CC" w:rsidRPr="004635E5">
        <w:rPr>
          <w:rFonts w:eastAsia="Batang" w:cs="Times New Roman"/>
          <w:lang w:eastAsia="ko-KR"/>
        </w:rPr>
        <w:t xml:space="preserve">In developing </w:t>
      </w:r>
      <w:r w:rsidR="00383708" w:rsidRPr="004635E5">
        <w:rPr>
          <w:rFonts w:eastAsia="Batang" w:cs="Times New Roman"/>
          <w:lang w:eastAsia="ko-KR"/>
        </w:rPr>
        <w:t>guidelines for safe release of rays and sharks, taking into account existing standards or guidelines adopted on other fora</w:t>
      </w:r>
      <w:r w:rsidR="003207CC" w:rsidRPr="004635E5">
        <w:rPr>
          <w:rFonts w:eastAsia="Batang" w:cs="Times New Roman"/>
          <w:lang w:eastAsia="ko-KR"/>
        </w:rPr>
        <w:t>,</w:t>
      </w:r>
      <w:r w:rsidR="00383708" w:rsidRPr="004635E5">
        <w:rPr>
          <w:rFonts w:eastAsia="Batang" w:cs="Times New Roman"/>
          <w:lang w:eastAsia="ko-KR"/>
        </w:rPr>
        <w:t xml:space="preserve"> WCPFC14 agreed that priority should be given to the development of </w:t>
      </w:r>
      <w:r w:rsidR="00383708" w:rsidRPr="004635E5">
        <w:rPr>
          <w:rFonts w:eastAsia="Batang" w:cs="Times New Roman"/>
          <w:i/>
          <w:lang w:eastAsia="ko-KR"/>
        </w:rPr>
        <w:t>Guidelines for Safe Release of Silky Shark and Oceanic Whitetip Sharks</w:t>
      </w:r>
      <w:r w:rsidR="001313FA" w:rsidRPr="004635E5">
        <w:rPr>
          <w:rFonts w:eastAsia="Batang" w:cs="Times New Roman"/>
          <w:i/>
          <w:lang w:eastAsia="ko-KR"/>
        </w:rPr>
        <w:t xml:space="preserve"> </w:t>
      </w:r>
      <w:r w:rsidR="001313FA" w:rsidRPr="004635E5">
        <w:rPr>
          <w:rFonts w:eastAsia="Batang" w:cs="Times New Roman"/>
          <w:lang w:eastAsia="ko-KR"/>
        </w:rPr>
        <w:t>(Paragraph 331, WCPFC14 Summary Report)</w:t>
      </w:r>
      <w:r w:rsidR="00383708" w:rsidRPr="004635E5">
        <w:rPr>
          <w:rFonts w:eastAsia="Batang" w:cs="Times New Roman"/>
          <w:i/>
          <w:lang w:eastAsia="ko-KR"/>
        </w:rPr>
        <w:t>.</w:t>
      </w:r>
    </w:p>
    <w:p w14:paraId="422CDED3" w14:textId="77777777" w:rsidR="002A4403" w:rsidRPr="004635E5" w:rsidRDefault="002A4403" w:rsidP="006E7655">
      <w:pPr>
        <w:pStyle w:val="WCPFC"/>
        <w:widowControl w:val="0"/>
        <w:numPr>
          <w:ilvl w:val="0"/>
          <w:numId w:val="0"/>
        </w:numPr>
        <w:autoSpaceDE w:val="0"/>
        <w:autoSpaceDN w:val="0"/>
        <w:adjustRightInd w:val="0"/>
        <w:spacing w:after="0"/>
        <w:rPr>
          <w:rFonts w:eastAsia="Batang" w:cs="Times New Roman"/>
          <w:lang w:eastAsia="ko-KR"/>
        </w:rPr>
      </w:pPr>
    </w:p>
    <w:p w14:paraId="4E6D1580" w14:textId="77777777" w:rsidR="00237365" w:rsidRPr="004635E5" w:rsidRDefault="00237365" w:rsidP="006E7655">
      <w:pPr>
        <w:pStyle w:val="WCPFC"/>
        <w:widowControl w:val="0"/>
        <w:autoSpaceDE w:val="0"/>
        <w:autoSpaceDN w:val="0"/>
        <w:adjustRightInd w:val="0"/>
        <w:spacing w:after="0"/>
        <w:ind w:left="0" w:firstLine="0"/>
        <w:rPr>
          <w:rFonts w:cs="Times New Roman"/>
          <w:lang w:eastAsia="ko-KR"/>
        </w:rPr>
      </w:pPr>
      <w:r w:rsidRPr="004635E5">
        <w:rPr>
          <w:rFonts w:cs="Times New Roman"/>
          <w:lang w:eastAsia="ko-KR"/>
        </w:rPr>
        <w:t xml:space="preserve">S. </w:t>
      </w:r>
      <w:r w:rsidRPr="004635E5">
        <w:rPr>
          <w:rFonts w:cs="Times New Roman"/>
          <w:bCs/>
          <w:lang w:eastAsia="ko-KR"/>
        </w:rPr>
        <w:t>Clarke</w:t>
      </w:r>
      <w:r w:rsidRPr="004635E5">
        <w:rPr>
          <w:rFonts w:cs="Times New Roman"/>
          <w:lang w:eastAsia="ko-KR"/>
        </w:rPr>
        <w:t xml:space="preserve"> presented </w:t>
      </w:r>
      <w:r w:rsidR="00961208">
        <w:rPr>
          <w:rFonts w:eastAsia="Calibri"/>
          <w:lang w:val="en-AU"/>
        </w:rPr>
        <w:t>SC14-</w:t>
      </w:r>
      <w:r w:rsidR="008E7325" w:rsidRPr="004635E5">
        <w:rPr>
          <w:rFonts w:cs="Times New Roman"/>
          <w:lang w:eastAsia="ko-KR"/>
        </w:rPr>
        <w:t xml:space="preserve">EB-WP-12 </w:t>
      </w:r>
      <w:r w:rsidR="008E7325" w:rsidRPr="004635E5">
        <w:rPr>
          <w:rFonts w:cs="Times New Roman"/>
          <w:i/>
          <w:lang w:eastAsia="ko-KR"/>
        </w:rPr>
        <w:t>ABNJ Tuna Project: Workshop on WCPFC Bycatch Mitigation Problem-Solving</w:t>
      </w:r>
      <w:r w:rsidRPr="004635E5">
        <w:rPr>
          <w:rFonts w:cs="Times New Roman"/>
          <w:lang w:eastAsia="ko-KR"/>
        </w:rPr>
        <w:t xml:space="preserve">. </w:t>
      </w:r>
      <w:r w:rsidR="003207CC" w:rsidRPr="004635E5">
        <w:rPr>
          <w:rFonts w:cs="Times New Roman"/>
          <w:lang w:eastAsia="ko-KR"/>
        </w:rPr>
        <w:t>A</w:t>
      </w:r>
      <w:r w:rsidRPr="004635E5">
        <w:rPr>
          <w:rFonts w:cs="Times New Roman"/>
          <w:lang w:eastAsia="ko-KR"/>
        </w:rPr>
        <w:t xml:space="preserve"> workshop on bycatch mitigation problem-solving using the Bycatch Management Information System (BMIS) was convened by the WCPFC with funding provided by the ABNJ Tuna Project from 28-30 May 2018</w:t>
      </w:r>
      <w:r w:rsidR="00A16680" w:rsidRPr="004635E5">
        <w:rPr>
          <w:rFonts w:cs="Times New Roman"/>
          <w:lang w:eastAsia="ko-KR"/>
        </w:rPr>
        <w:t xml:space="preserve">. </w:t>
      </w:r>
      <w:r w:rsidRPr="004635E5">
        <w:rPr>
          <w:rFonts w:cs="Times New Roman"/>
          <w:lang w:eastAsia="ko-KR"/>
        </w:rPr>
        <w:t>A total of 27 participants representing eleven WCPFC CCMs and seven inter-governmental and nongovernmental organizations with WCPFC observer status attended the workshop</w:t>
      </w:r>
      <w:r w:rsidR="00A16680" w:rsidRPr="004635E5">
        <w:rPr>
          <w:rFonts w:cs="Times New Roman"/>
          <w:lang w:eastAsia="ko-KR"/>
        </w:rPr>
        <w:t xml:space="preserve">. </w:t>
      </w:r>
      <w:r w:rsidRPr="004635E5">
        <w:rPr>
          <w:rFonts w:cs="Times New Roman"/>
          <w:lang w:eastAsia="ko-KR"/>
        </w:rPr>
        <w:t>The workshop was designed to introduce the BMIS and show how it can help address some of the bycatch issues facing the WCPFC</w:t>
      </w:r>
      <w:r w:rsidR="00A16680" w:rsidRPr="004635E5">
        <w:rPr>
          <w:rFonts w:cs="Times New Roman"/>
          <w:lang w:eastAsia="ko-KR"/>
        </w:rPr>
        <w:t xml:space="preserve">. </w:t>
      </w:r>
      <w:r w:rsidRPr="004635E5">
        <w:rPr>
          <w:rFonts w:cs="Times New Roman"/>
          <w:lang w:eastAsia="ko-KR"/>
        </w:rPr>
        <w:t>These objectives were addressed by activities and exercises exploring the scientific literature on circle hooks, operational changes, finfish bait and deterrents to reduce sea turtle interactions; and the use of bird scaring or tori lines, night setting, line weighting and bait sink rate, and hook shielding devices to reduce seabird interactions</w:t>
      </w:r>
      <w:r w:rsidR="00A16680" w:rsidRPr="004635E5">
        <w:rPr>
          <w:rFonts w:cs="Times New Roman"/>
          <w:lang w:eastAsia="ko-KR"/>
        </w:rPr>
        <w:t xml:space="preserve">. </w:t>
      </w:r>
      <w:r w:rsidRPr="004635E5">
        <w:rPr>
          <w:rFonts w:cs="Times New Roman"/>
          <w:lang w:eastAsia="ko-KR"/>
        </w:rPr>
        <w:t>Safe release techniques for sharks and seabirds were also reviewed and discussed</w:t>
      </w:r>
      <w:r w:rsidR="00A16680" w:rsidRPr="004635E5">
        <w:rPr>
          <w:rFonts w:cs="Times New Roman"/>
          <w:lang w:eastAsia="ko-KR"/>
        </w:rPr>
        <w:t xml:space="preserve">. </w:t>
      </w:r>
      <w:r w:rsidRPr="004635E5">
        <w:rPr>
          <w:rFonts w:cs="Times New Roman"/>
          <w:lang w:eastAsia="ko-KR"/>
        </w:rPr>
        <w:t>Finally, the workshop briefly discussed the current WCPFC Regional Observer Programme (ROP) minimum standard data fields (MSDF) and the data holdings available to describe bycatch mitigation use in the WCPFC</w:t>
      </w:r>
      <w:r w:rsidR="00A16680" w:rsidRPr="004635E5">
        <w:rPr>
          <w:rFonts w:cs="Times New Roman"/>
          <w:lang w:eastAsia="ko-KR"/>
        </w:rPr>
        <w:t xml:space="preserve">. </w:t>
      </w:r>
    </w:p>
    <w:p w14:paraId="49DEA8F7" w14:textId="77777777" w:rsidR="002A4403" w:rsidRPr="004635E5" w:rsidRDefault="002A4403" w:rsidP="006633A8">
      <w:pPr>
        <w:pStyle w:val="WCPFC"/>
        <w:numPr>
          <w:ilvl w:val="0"/>
          <w:numId w:val="0"/>
        </w:numPr>
        <w:autoSpaceDE w:val="0"/>
        <w:autoSpaceDN w:val="0"/>
        <w:adjustRightInd w:val="0"/>
        <w:spacing w:after="0"/>
        <w:rPr>
          <w:rFonts w:cs="Times New Roman"/>
          <w:lang w:eastAsia="ko-KR"/>
        </w:rPr>
      </w:pPr>
    </w:p>
    <w:p w14:paraId="7E04E0EC" w14:textId="77777777" w:rsidR="002A4403" w:rsidRPr="004635E5" w:rsidRDefault="00237365" w:rsidP="006633A8">
      <w:pPr>
        <w:adjustRightInd w:val="0"/>
        <w:snapToGrid w:val="0"/>
        <w:jc w:val="both"/>
        <w:rPr>
          <w:rFonts w:eastAsiaTheme="minorEastAsia"/>
          <w:b/>
          <w:sz w:val="22"/>
          <w:szCs w:val="22"/>
          <w:lang w:eastAsia="ko-KR"/>
        </w:rPr>
      </w:pPr>
      <w:r w:rsidRPr="004635E5">
        <w:rPr>
          <w:rFonts w:eastAsiaTheme="minorEastAsia"/>
          <w:b/>
          <w:sz w:val="22"/>
          <w:szCs w:val="22"/>
          <w:lang w:eastAsia="ko-KR"/>
        </w:rPr>
        <w:t>D</w:t>
      </w:r>
      <w:r w:rsidR="00C22459" w:rsidRPr="004635E5">
        <w:rPr>
          <w:rFonts w:eastAsiaTheme="minorEastAsia"/>
          <w:b/>
          <w:sz w:val="22"/>
          <w:szCs w:val="22"/>
          <w:lang w:eastAsia="ko-KR"/>
        </w:rPr>
        <w:t xml:space="preserve">iscussion </w:t>
      </w:r>
    </w:p>
    <w:p w14:paraId="1C35ABBB" w14:textId="77777777" w:rsidR="002A4403" w:rsidRPr="004635E5" w:rsidRDefault="002A4403" w:rsidP="006633A8">
      <w:pPr>
        <w:adjustRightInd w:val="0"/>
        <w:snapToGrid w:val="0"/>
        <w:jc w:val="both"/>
        <w:rPr>
          <w:rFonts w:eastAsiaTheme="minorEastAsia"/>
          <w:b/>
          <w:sz w:val="22"/>
          <w:szCs w:val="22"/>
          <w:lang w:eastAsia="ko-KR"/>
        </w:rPr>
      </w:pPr>
    </w:p>
    <w:p w14:paraId="5209F149" w14:textId="77777777" w:rsidR="002E1C66" w:rsidRPr="004635E5" w:rsidRDefault="002E39E9" w:rsidP="006633A8">
      <w:pPr>
        <w:pStyle w:val="WCPFC"/>
        <w:autoSpaceDE w:val="0"/>
        <w:autoSpaceDN w:val="0"/>
        <w:adjustRightInd w:val="0"/>
        <w:spacing w:after="0"/>
        <w:ind w:left="0" w:firstLine="0"/>
        <w:rPr>
          <w:rFonts w:cs="Times New Roman"/>
          <w:lang w:eastAsia="ko-KR"/>
        </w:rPr>
      </w:pPr>
      <w:r w:rsidRPr="004635E5">
        <w:rPr>
          <w:rFonts w:cs="Times New Roman"/>
          <w:lang w:eastAsia="ko-KR"/>
        </w:rPr>
        <w:t>New Zealand</w:t>
      </w:r>
      <w:r w:rsidR="002E1C66" w:rsidRPr="004635E5">
        <w:rPr>
          <w:rFonts w:cs="Times New Roman"/>
          <w:lang w:eastAsia="ko-KR"/>
        </w:rPr>
        <w:t xml:space="preserve"> noted that </w:t>
      </w:r>
      <w:r w:rsidR="00C22459" w:rsidRPr="004635E5">
        <w:rPr>
          <w:rFonts w:cs="Times New Roman"/>
          <w:lang w:eastAsia="ko-KR"/>
        </w:rPr>
        <w:t>intro</w:t>
      </w:r>
      <w:r w:rsidR="002E1C66" w:rsidRPr="004635E5">
        <w:rPr>
          <w:rFonts w:cs="Times New Roman"/>
          <w:lang w:eastAsia="ko-KR"/>
        </w:rPr>
        <w:t>duction</w:t>
      </w:r>
      <w:r w:rsidR="00C22459" w:rsidRPr="004635E5">
        <w:rPr>
          <w:rFonts w:cs="Times New Roman"/>
          <w:lang w:eastAsia="ko-KR"/>
        </w:rPr>
        <w:t xml:space="preserve"> o</w:t>
      </w:r>
      <w:r w:rsidR="002E1C66" w:rsidRPr="004635E5">
        <w:rPr>
          <w:rFonts w:cs="Times New Roman"/>
          <w:lang w:eastAsia="ko-KR"/>
        </w:rPr>
        <w:t>f</w:t>
      </w:r>
      <w:r w:rsidR="00C22459" w:rsidRPr="004635E5">
        <w:rPr>
          <w:rFonts w:cs="Times New Roman"/>
          <w:lang w:eastAsia="ko-KR"/>
        </w:rPr>
        <w:t xml:space="preserve"> guidelines for rel</w:t>
      </w:r>
      <w:r w:rsidR="002E1C66" w:rsidRPr="004635E5">
        <w:rPr>
          <w:rFonts w:cs="Times New Roman"/>
          <w:lang w:eastAsia="ko-KR"/>
        </w:rPr>
        <w:t>e</w:t>
      </w:r>
      <w:r w:rsidR="00C22459" w:rsidRPr="004635E5">
        <w:rPr>
          <w:rFonts w:cs="Times New Roman"/>
          <w:lang w:eastAsia="ko-KR"/>
        </w:rPr>
        <w:t>ase of</w:t>
      </w:r>
      <w:r w:rsidR="002E1C66" w:rsidRPr="004635E5">
        <w:rPr>
          <w:rFonts w:cs="Times New Roman"/>
          <w:lang w:eastAsia="ko-KR"/>
        </w:rPr>
        <w:t xml:space="preserve"> live-</w:t>
      </w:r>
      <w:r w:rsidR="00C22459" w:rsidRPr="004635E5">
        <w:rPr>
          <w:rFonts w:cs="Times New Roman"/>
          <w:lang w:eastAsia="ko-KR"/>
        </w:rPr>
        <w:t xml:space="preserve">caught </w:t>
      </w:r>
      <w:r w:rsidR="002E1C66" w:rsidRPr="004635E5">
        <w:rPr>
          <w:rFonts w:cs="Times New Roman"/>
          <w:lang w:eastAsia="ko-KR"/>
        </w:rPr>
        <w:t xml:space="preserve">seabirds </w:t>
      </w:r>
      <w:r w:rsidR="00C22459" w:rsidRPr="004635E5">
        <w:rPr>
          <w:rFonts w:cs="Times New Roman"/>
          <w:lang w:eastAsia="ko-KR"/>
        </w:rPr>
        <w:t>would be hel</w:t>
      </w:r>
      <w:r w:rsidR="002E1C66" w:rsidRPr="004635E5">
        <w:rPr>
          <w:rFonts w:cs="Times New Roman"/>
          <w:lang w:eastAsia="ko-KR"/>
        </w:rPr>
        <w:t>p</w:t>
      </w:r>
      <w:r w:rsidR="00C22459" w:rsidRPr="004635E5">
        <w:rPr>
          <w:rFonts w:cs="Times New Roman"/>
          <w:lang w:eastAsia="ko-KR"/>
        </w:rPr>
        <w:t xml:space="preserve">ful to reduce impact, </w:t>
      </w:r>
      <w:r w:rsidR="002E1C66" w:rsidRPr="004635E5">
        <w:rPr>
          <w:rFonts w:cs="Times New Roman"/>
          <w:lang w:eastAsia="ko-KR"/>
        </w:rPr>
        <w:t xml:space="preserve">and </w:t>
      </w:r>
      <w:r w:rsidR="00C22459" w:rsidRPr="004635E5">
        <w:rPr>
          <w:rFonts w:cs="Times New Roman"/>
          <w:lang w:eastAsia="ko-KR"/>
        </w:rPr>
        <w:t>would draft guid</w:t>
      </w:r>
      <w:r w:rsidR="002E1C66" w:rsidRPr="004635E5">
        <w:rPr>
          <w:rFonts w:cs="Times New Roman"/>
          <w:lang w:eastAsia="ko-KR"/>
        </w:rPr>
        <w:t>e</w:t>
      </w:r>
      <w:r w:rsidR="00C22459" w:rsidRPr="004635E5">
        <w:rPr>
          <w:rFonts w:cs="Times New Roman"/>
          <w:lang w:eastAsia="ko-KR"/>
        </w:rPr>
        <w:t xml:space="preserve">lines for consideration by SC15. </w:t>
      </w:r>
      <w:r w:rsidR="002E1C66" w:rsidRPr="004635E5">
        <w:rPr>
          <w:rFonts w:cs="Times New Roman"/>
          <w:lang w:eastAsia="ko-KR"/>
        </w:rPr>
        <w:t xml:space="preserve">They welcomed input from CCMs. </w:t>
      </w:r>
    </w:p>
    <w:p w14:paraId="627A5AE1" w14:textId="77777777" w:rsidR="002A4403" w:rsidRPr="004635E5" w:rsidRDefault="002A4403" w:rsidP="006633A8">
      <w:pPr>
        <w:pStyle w:val="WCPFC"/>
        <w:numPr>
          <w:ilvl w:val="0"/>
          <w:numId w:val="0"/>
        </w:numPr>
        <w:autoSpaceDE w:val="0"/>
        <w:autoSpaceDN w:val="0"/>
        <w:adjustRightInd w:val="0"/>
        <w:spacing w:after="0"/>
        <w:rPr>
          <w:rFonts w:cs="Times New Roman"/>
          <w:lang w:eastAsia="ko-KR"/>
        </w:rPr>
      </w:pPr>
    </w:p>
    <w:p w14:paraId="0AFD5005" w14:textId="77777777" w:rsidR="00C22459" w:rsidRPr="004635E5" w:rsidRDefault="00C22459" w:rsidP="006633A8">
      <w:pPr>
        <w:pStyle w:val="WCPFC"/>
        <w:autoSpaceDE w:val="0"/>
        <w:autoSpaceDN w:val="0"/>
        <w:adjustRightInd w:val="0"/>
        <w:spacing w:after="0"/>
        <w:ind w:left="0" w:firstLine="0"/>
        <w:rPr>
          <w:rFonts w:cs="Times New Roman"/>
          <w:lang w:eastAsia="ko-KR"/>
        </w:rPr>
      </w:pPr>
      <w:r w:rsidRPr="004635E5">
        <w:rPr>
          <w:rFonts w:cs="Times New Roman"/>
          <w:lang w:eastAsia="ko-KR"/>
        </w:rPr>
        <w:t>China</w:t>
      </w:r>
      <w:r w:rsidR="002E1C66" w:rsidRPr="004635E5">
        <w:rPr>
          <w:rFonts w:cs="Times New Roman"/>
          <w:lang w:eastAsia="ko-KR"/>
        </w:rPr>
        <w:t xml:space="preserve"> noted their interest in providing training that would enable longliners to apply for </w:t>
      </w:r>
      <w:r w:rsidR="000E114B">
        <w:rPr>
          <w:rFonts w:cs="Times New Roman" w:hint="eastAsia"/>
          <w:lang w:eastAsia="ko-KR"/>
        </w:rPr>
        <w:t>M</w:t>
      </w:r>
      <w:r w:rsidR="0051602E" w:rsidRPr="004635E5">
        <w:rPr>
          <w:rFonts w:cs="Times New Roman"/>
          <w:lang w:eastAsia="ko-KR"/>
        </w:rPr>
        <w:t>SC cert</w:t>
      </w:r>
      <w:r w:rsidR="002E1C66" w:rsidRPr="004635E5">
        <w:rPr>
          <w:rFonts w:cs="Times New Roman"/>
          <w:lang w:eastAsia="ko-KR"/>
        </w:rPr>
        <w:t xml:space="preserve">ification. </w:t>
      </w:r>
    </w:p>
    <w:p w14:paraId="32F380F8" w14:textId="77777777" w:rsidR="002A4403" w:rsidRPr="004635E5" w:rsidRDefault="002A4403" w:rsidP="006633A8">
      <w:pPr>
        <w:pStyle w:val="WCPFC"/>
        <w:numPr>
          <w:ilvl w:val="0"/>
          <w:numId w:val="0"/>
        </w:numPr>
        <w:autoSpaceDE w:val="0"/>
        <w:autoSpaceDN w:val="0"/>
        <w:adjustRightInd w:val="0"/>
        <w:spacing w:after="0"/>
        <w:rPr>
          <w:rFonts w:cs="Times New Roman"/>
          <w:lang w:eastAsia="ko-KR"/>
        </w:rPr>
      </w:pPr>
    </w:p>
    <w:p w14:paraId="42A789ED" w14:textId="77777777" w:rsidR="008E7325" w:rsidRPr="004635E5" w:rsidRDefault="002E1C66" w:rsidP="006633A8">
      <w:pPr>
        <w:pStyle w:val="WCPFC"/>
        <w:autoSpaceDE w:val="0"/>
        <w:autoSpaceDN w:val="0"/>
        <w:adjustRightInd w:val="0"/>
        <w:spacing w:after="0"/>
        <w:ind w:left="0" w:firstLine="0"/>
        <w:rPr>
          <w:rFonts w:cs="Times New Roman"/>
          <w:b/>
          <w:lang w:eastAsia="ko-KR"/>
        </w:rPr>
      </w:pPr>
      <w:r w:rsidRPr="004635E5">
        <w:rPr>
          <w:rFonts w:cs="Times New Roman"/>
          <w:lang w:eastAsia="ko-KR"/>
        </w:rPr>
        <w:t xml:space="preserve">S. Clarke introduced </w:t>
      </w:r>
      <w:r w:rsidR="00961208">
        <w:rPr>
          <w:rFonts w:eastAsia="Calibri"/>
          <w:lang w:val="en-AU"/>
        </w:rPr>
        <w:t>SC14-</w:t>
      </w:r>
      <w:r w:rsidR="008E7325" w:rsidRPr="004635E5">
        <w:rPr>
          <w:rFonts w:cs="Times New Roman"/>
          <w:lang w:eastAsia="ko-KR"/>
        </w:rPr>
        <w:t xml:space="preserve">EB-IP-03 </w:t>
      </w:r>
      <w:r w:rsidR="008E7325" w:rsidRPr="004635E5">
        <w:rPr>
          <w:rFonts w:cs="Times New Roman"/>
          <w:i/>
          <w:lang w:eastAsia="ko-KR"/>
        </w:rPr>
        <w:t>Draft safe release guidelines for sharks and rays</w:t>
      </w:r>
      <w:r w:rsidRPr="004635E5">
        <w:rPr>
          <w:rFonts w:cs="Times New Roman"/>
          <w:lang w:eastAsia="ko-KR"/>
        </w:rPr>
        <w:t xml:space="preserve"> to facilitate discussion in ISG</w:t>
      </w:r>
      <w:r w:rsidR="00A16680" w:rsidRPr="004635E5">
        <w:rPr>
          <w:rFonts w:cs="Times New Roman"/>
          <w:lang w:eastAsia="ko-KR"/>
        </w:rPr>
        <w:t>-06</w:t>
      </w:r>
      <w:r w:rsidRPr="004635E5">
        <w:rPr>
          <w:rFonts w:cs="Times New Roman"/>
          <w:lang w:eastAsia="ko-KR"/>
        </w:rPr>
        <w:t>.</w:t>
      </w:r>
      <w:r w:rsidRPr="004635E5">
        <w:rPr>
          <w:rFonts w:cs="Times New Roman"/>
          <w:b/>
          <w:lang w:eastAsia="ko-KR"/>
        </w:rPr>
        <w:t xml:space="preserve"> </w:t>
      </w:r>
    </w:p>
    <w:p w14:paraId="30632F27" w14:textId="77777777" w:rsidR="002A4403" w:rsidRPr="004635E5" w:rsidRDefault="002A4403" w:rsidP="006633A8">
      <w:pPr>
        <w:pStyle w:val="WCPFC"/>
        <w:numPr>
          <w:ilvl w:val="0"/>
          <w:numId w:val="0"/>
        </w:numPr>
        <w:autoSpaceDE w:val="0"/>
        <w:autoSpaceDN w:val="0"/>
        <w:adjustRightInd w:val="0"/>
        <w:spacing w:after="0"/>
        <w:rPr>
          <w:rFonts w:cs="Times New Roman"/>
          <w:b/>
          <w:lang w:eastAsia="ko-KR"/>
        </w:rPr>
      </w:pPr>
    </w:p>
    <w:p w14:paraId="6814ADC7" w14:textId="77777777" w:rsidR="001C7844" w:rsidRPr="004635E5" w:rsidRDefault="001C7844" w:rsidP="00580EA4">
      <w:pPr>
        <w:numPr>
          <w:ilvl w:val="0"/>
          <w:numId w:val="18"/>
        </w:numPr>
        <w:autoSpaceDE w:val="0"/>
        <w:autoSpaceDN w:val="0"/>
        <w:adjustRightInd w:val="0"/>
        <w:snapToGrid w:val="0"/>
        <w:ind w:left="0" w:firstLine="0"/>
        <w:jc w:val="both"/>
        <w:rPr>
          <w:sz w:val="22"/>
          <w:szCs w:val="22"/>
        </w:rPr>
      </w:pPr>
      <w:r w:rsidRPr="004635E5">
        <w:rPr>
          <w:sz w:val="22"/>
          <w:szCs w:val="22"/>
        </w:rPr>
        <w:t>Kiribati, on behalf of FFA members, stated their support for the development of guidelines for safe release of sharks and noted it is a practical and useful step to maximise the chance of post-release survival. However, these draft guidelines need considerable work to ensure both messaging and images are clear and that the safety of crew is prioritised.</w:t>
      </w:r>
      <w:r w:rsidR="00563469" w:rsidRPr="004635E5">
        <w:rPr>
          <w:sz w:val="22"/>
          <w:szCs w:val="22"/>
        </w:rPr>
        <w:t xml:space="preserve"> </w:t>
      </w:r>
      <w:r w:rsidRPr="004635E5">
        <w:rPr>
          <w:sz w:val="22"/>
          <w:szCs w:val="22"/>
        </w:rPr>
        <w:t>They propose</w:t>
      </w:r>
      <w:r w:rsidR="00563469" w:rsidRPr="004635E5">
        <w:rPr>
          <w:sz w:val="22"/>
          <w:szCs w:val="22"/>
        </w:rPr>
        <w:t>d</w:t>
      </w:r>
      <w:r w:rsidRPr="004635E5">
        <w:rPr>
          <w:sz w:val="22"/>
          <w:szCs w:val="22"/>
        </w:rPr>
        <w:t xml:space="preserve"> several points for further consideration:</w:t>
      </w:r>
    </w:p>
    <w:p w14:paraId="7C5B977C" w14:textId="77777777" w:rsidR="001C7844" w:rsidRPr="004635E5" w:rsidRDefault="001C7844" w:rsidP="00580EA4">
      <w:pPr>
        <w:pStyle w:val="ListParagraph"/>
        <w:numPr>
          <w:ilvl w:val="0"/>
          <w:numId w:val="34"/>
        </w:numPr>
        <w:autoSpaceDE w:val="0"/>
        <w:autoSpaceDN w:val="0"/>
        <w:adjustRightInd w:val="0"/>
        <w:snapToGrid w:val="0"/>
        <w:jc w:val="both"/>
        <w:rPr>
          <w:sz w:val="22"/>
          <w:szCs w:val="22"/>
        </w:rPr>
      </w:pPr>
      <w:r w:rsidRPr="004635E5">
        <w:rPr>
          <w:sz w:val="22"/>
          <w:szCs w:val="22"/>
        </w:rPr>
        <w:t>The use of ‘do’s’ and ‘do not’s’ is a clear and useful approach to focus the messages</w:t>
      </w:r>
    </w:p>
    <w:p w14:paraId="60CF7B56" w14:textId="77777777" w:rsidR="001C7844" w:rsidRPr="004635E5" w:rsidRDefault="001C7844" w:rsidP="00580EA4">
      <w:pPr>
        <w:pStyle w:val="ListParagraph"/>
        <w:numPr>
          <w:ilvl w:val="0"/>
          <w:numId w:val="34"/>
        </w:numPr>
        <w:autoSpaceDE w:val="0"/>
        <w:autoSpaceDN w:val="0"/>
        <w:adjustRightInd w:val="0"/>
        <w:snapToGrid w:val="0"/>
        <w:jc w:val="both"/>
        <w:rPr>
          <w:sz w:val="22"/>
          <w:szCs w:val="22"/>
        </w:rPr>
      </w:pPr>
      <w:r w:rsidRPr="004635E5">
        <w:rPr>
          <w:sz w:val="22"/>
          <w:szCs w:val="22"/>
        </w:rPr>
        <w:t>For each image we need to clearly review the accompanying message and ensure it is worded in clear and simple language for crew</w:t>
      </w:r>
    </w:p>
    <w:p w14:paraId="12BB85DC" w14:textId="77777777" w:rsidR="001C7844" w:rsidRPr="004635E5" w:rsidRDefault="001C7844" w:rsidP="00580EA4">
      <w:pPr>
        <w:pStyle w:val="ListParagraph"/>
        <w:numPr>
          <w:ilvl w:val="0"/>
          <w:numId w:val="34"/>
        </w:numPr>
        <w:autoSpaceDE w:val="0"/>
        <w:autoSpaceDN w:val="0"/>
        <w:adjustRightInd w:val="0"/>
        <w:snapToGrid w:val="0"/>
        <w:jc w:val="both"/>
        <w:rPr>
          <w:sz w:val="22"/>
          <w:szCs w:val="22"/>
        </w:rPr>
      </w:pPr>
      <w:r w:rsidRPr="004635E5">
        <w:rPr>
          <w:sz w:val="22"/>
          <w:szCs w:val="22"/>
        </w:rPr>
        <w:t xml:space="preserve">The guidelines should </w:t>
      </w:r>
      <w:r w:rsidR="00D4326B" w:rsidRPr="004635E5">
        <w:rPr>
          <w:sz w:val="22"/>
          <w:szCs w:val="22"/>
        </w:rPr>
        <w:t>emphasize</w:t>
      </w:r>
      <w:r w:rsidRPr="004635E5">
        <w:rPr>
          <w:sz w:val="22"/>
          <w:szCs w:val="22"/>
        </w:rPr>
        <w:t xml:space="preserve"> crew safety at all times when handling sharks.</w:t>
      </w:r>
    </w:p>
    <w:p w14:paraId="3F0B06D0" w14:textId="77777777" w:rsidR="001C7844" w:rsidRPr="004635E5" w:rsidRDefault="001C7844" w:rsidP="00580EA4">
      <w:pPr>
        <w:pStyle w:val="ListParagraph"/>
        <w:numPr>
          <w:ilvl w:val="0"/>
          <w:numId w:val="34"/>
        </w:numPr>
        <w:autoSpaceDE w:val="0"/>
        <w:autoSpaceDN w:val="0"/>
        <w:adjustRightInd w:val="0"/>
        <w:snapToGrid w:val="0"/>
        <w:jc w:val="both"/>
        <w:rPr>
          <w:sz w:val="22"/>
          <w:szCs w:val="22"/>
        </w:rPr>
      </w:pPr>
      <w:r w:rsidRPr="004635E5">
        <w:rPr>
          <w:sz w:val="22"/>
          <w:szCs w:val="22"/>
        </w:rPr>
        <w:t>Images should all be consistent in presentation and it is worth getting an illustrator to develop custom designs to meet the WCPFC purpose and needs on longline and purse seine vessels</w:t>
      </w:r>
    </w:p>
    <w:p w14:paraId="251134C1" w14:textId="77777777" w:rsidR="001C7844" w:rsidRPr="004635E5" w:rsidRDefault="001C7844" w:rsidP="00580EA4">
      <w:pPr>
        <w:pStyle w:val="ListParagraph"/>
        <w:numPr>
          <w:ilvl w:val="0"/>
          <w:numId w:val="34"/>
        </w:numPr>
        <w:autoSpaceDE w:val="0"/>
        <w:autoSpaceDN w:val="0"/>
        <w:adjustRightInd w:val="0"/>
        <w:snapToGrid w:val="0"/>
        <w:jc w:val="both"/>
        <w:rPr>
          <w:sz w:val="22"/>
          <w:szCs w:val="22"/>
        </w:rPr>
      </w:pPr>
      <w:r w:rsidRPr="004635E5">
        <w:rPr>
          <w:sz w:val="22"/>
          <w:szCs w:val="22"/>
        </w:rPr>
        <w:t>There is some uncertainty around the benefits of bringing small sharks onto the deck of the boats for longliners, and if this practice is recommended, we would like to ensure there are clearer guidelines for handling the sharks safely on the deck.</w:t>
      </w:r>
    </w:p>
    <w:p w14:paraId="202185C4" w14:textId="77777777" w:rsidR="00563469" w:rsidRPr="004635E5" w:rsidRDefault="00563469" w:rsidP="006633A8">
      <w:pPr>
        <w:pStyle w:val="ListParagraph"/>
        <w:autoSpaceDE w:val="0"/>
        <w:autoSpaceDN w:val="0"/>
        <w:adjustRightInd w:val="0"/>
        <w:snapToGrid w:val="0"/>
        <w:ind w:left="1080"/>
        <w:jc w:val="both"/>
        <w:rPr>
          <w:sz w:val="22"/>
          <w:szCs w:val="22"/>
        </w:rPr>
      </w:pPr>
    </w:p>
    <w:p w14:paraId="411565C7" w14:textId="77777777" w:rsidR="00615099" w:rsidRPr="004635E5" w:rsidRDefault="00563469" w:rsidP="00580EA4">
      <w:pPr>
        <w:numPr>
          <w:ilvl w:val="0"/>
          <w:numId w:val="18"/>
        </w:numPr>
        <w:autoSpaceDE w:val="0"/>
        <w:autoSpaceDN w:val="0"/>
        <w:adjustRightInd w:val="0"/>
        <w:snapToGrid w:val="0"/>
        <w:ind w:left="0" w:firstLine="0"/>
        <w:jc w:val="both"/>
        <w:rPr>
          <w:sz w:val="22"/>
          <w:szCs w:val="22"/>
        </w:rPr>
      </w:pPr>
      <w:r w:rsidRPr="004635E5">
        <w:rPr>
          <w:sz w:val="22"/>
          <w:szCs w:val="22"/>
        </w:rPr>
        <w:t xml:space="preserve">They </w:t>
      </w:r>
      <w:r w:rsidR="001C7844" w:rsidRPr="004635E5">
        <w:rPr>
          <w:sz w:val="22"/>
          <w:szCs w:val="22"/>
        </w:rPr>
        <w:t>look</w:t>
      </w:r>
      <w:r w:rsidRPr="004635E5">
        <w:rPr>
          <w:sz w:val="22"/>
          <w:szCs w:val="22"/>
        </w:rPr>
        <w:t>ed</w:t>
      </w:r>
      <w:r w:rsidR="001C7844" w:rsidRPr="004635E5">
        <w:rPr>
          <w:sz w:val="22"/>
          <w:szCs w:val="22"/>
        </w:rPr>
        <w:t xml:space="preserve"> forward to further </w:t>
      </w:r>
      <w:r w:rsidRPr="004635E5">
        <w:rPr>
          <w:sz w:val="22"/>
          <w:szCs w:val="22"/>
        </w:rPr>
        <w:t>discussion in ISG</w:t>
      </w:r>
      <w:r w:rsidR="0065075A" w:rsidRPr="004635E5">
        <w:rPr>
          <w:sz w:val="22"/>
          <w:szCs w:val="22"/>
        </w:rPr>
        <w:t>-06</w:t>
      </w:r>
      <w:r w:rsidR="00615099" w:rsidRPr="004635E5">
        <w:rPr>
          <w:sz w:val="22"/>
          <w:szCs w:val="22"/>
        </w:rPr>
        <w:t xml:space="preserve">. </w:t>
      </w:r>
    </w:p>
    <w:p w14:paraId="6CEE5842" w14:textId="77777777" w:rsidR="002A4403" w:rsidRPr="004635E5" w:rsidRDefault="002A4403" w:rsidP="006633A8">
      <w:pPr>
        <w:autoSpaceDE w:val="0"/>
        <w:autoSpaceDN w:val="0"/>
        <w:adjustRightInd w:val="0"/>
        <w:snapToGrid w:val="0"/>
        <w:jc w:val="both"/>
        <w:rPr>
          <w:sz w:val="22"/>
          <w:szCs w:val="22"/>
        </w:rPr>
      </w:pPr>
    </w:p>
    <w:p w14:paraId="0EBCDB6F" w14:textId="77777777" w:rsidR="001C7844" w:rsidRPr="004635E5" w:rsidRDefault="00615099" w:rsidP="00580EA4">
      <w:pPr>
        <w:numPr>
          <w:ilvl w:val="0"/>
          <w:numId w:val="18"/>
        </w:numPr>
        <w:autoSpaceDE w:val="0"/>
        <w:autoSpaceDN w:val="0"/>
        <w:adjustRightInd w:val="0"/>
        <w:snapToGrid w:val="0"/>
        <w:ind w:left="0" w:firstLine="0"/>
        <w:jc w:val="both"/>
        <w:rPr>
          <w:b/>
          <w:sz w:val="22"/>
          <w:szCs w:val="22"/>
        </w:rPr>
      </w:pPr>
      <w:r w:rsidRPr="004635E5">
        <w:rPr>
          <w:b/>
          <w:sz w:val="22"/>
          <w:szCs w:val="22"/>
        </w:rPr>
        <w:t>SC 14 adopted the outcomes of</w:t>
      </w:r>
      <w:r w:rsidR="00F81EF0">
        <w:rPr>
          <w:b/>
          <w:sz w:val="22"/>
          <w:szCs w:val="22"/>
        </w:rPr>
        <w:t xml:space="preserve"> </w:t>
      </w:r>
      <w:r w:rsidRPr="004635E5">
        <w:rPr>
          <w:b/>
          <w:sz w:val="22"/>
          <w:szCs w:val="22"/>
        </w:rPr>
        <w:t xml:space="preserve">ISG-06 regarding </w:t>
      </w:r>
      <w:r w:rsidR="00A16680" w:rsidRPr="004635E5">
        <w:rPr>
          <w:b/>
          <w:sz w:val="22"/>
          <w:szCs w:val="22"/>
        </w:rPr>
        <w:t>draft safe release guidelines for sharks and rays (A</w:t>
      </w:r>
      <w:r w:rsidRPr="004635E5">
        <w:rPr>
          <w:b/>
          <w:sz w:val="22"/>
          <w:szCs w:val="22"/>
        </w:rPr>
        <w:t xml:space="preserve">ttachment </w:t>
      </w:r>
      <w:r w:rsidR="00AB5148" w:rsidRPr="004635E5">
        <w:rPr>
          <w:b/>
          <w:sz w:val="22"/>
          <w:szCs w:val="22"/>
        </w:rPr>
        <w:t>G</w:t>
      </w:r>
      <w:r w:rsidRPr="004635E5">
        <w:rPr>
          <w:b/>
          <w:sz w:val="22"/>
          <w:szCs w:val="22"/>
        </w:rPr>
        <w:t>)</w:t>
      </w:r>
    </w:p>
    <w:p w14:paraId="7E3AE3BF" w14:textId="77777777" w:rsidR="002A4403" w:rsidRPr="004635E5" w:rsidRDefault="002A4403" w:rsidP="006633A8">
      <w:pPr>
        <w:autoSpaceDE w:val="0"/>
        <w:autoSpaceDN w:val="0"/>
        <w:adjustRightInd w:val="0"/>
        <w:snapToGrid w:val="0"/>
        <w:jc w:val="both"/>
        <w:rPr>
          <w:b/>
          <w:sz w:val="22"/>
          <w:szCs w:val="22"/>
        </w:rPr>
      </w:pPr>
    </w:p>
    <w:p w14:paraId="34401FF5" w14:textId="77777777" w:rsidR="00807662" w:rsidRPr="004635E5" w:rsidRDefault="00001D0B" w:rsidP="00580EA4">
      <w:pPr>
        <w:pStyle w:val="SC3"/>
        <w:numPr>
          <w:ilvl w:val="2"/>
          <w:numId w:val="161"/>
        </w:numPr>
        <w:spacing w:after="0"/>
        <w:rPr>
          <w:rFonts w:eastAsiaTheme="minorEastAsia"/>
          <w:lang w:eastAsia="ko-KR"/>
        </w:rPr>
      </w:pPr>
      <w:r w:rsidRPr="004635E5">
        <w:rPr>
          <w:rFonts w:eastAsiaTheme="minorEastAsia"/>
          <w:lang w:eastAsia="ko-KR"/>
        </w:rPr>
        <w:t xml:space="preserve">Progress of </w:t>
      </w:r>
      <w:r w:rsidR="00807662" w:rsidRPr="004635E5">
        <w:rPr>
          <w:rFonts w:eastAsiaTheme="minorEastAsia"/>
          <w:lang w:eastAsia="ko-KR"/>
        </w:rPr>
        <w:t>Shark Research Plan</w:t>
      </w:r>
    </w:p>
    <w:p w14:paraId="1B16C05D" w14:textId="77777777" w:rsidR="002A4403" w:rsidRPr="004635E5" w:rsidRDefault="002A4403" w:rsidP="006633A8">
      <w:pPr>
        <w:pStyle w:val="SC3"/>
        <w:numPr>
          <w:ilvl w:val="0"/>
          <w:numId w:val="0"/>
        </w:numPr>
        <w:spacing w:after="0"/>
        <w:ind w:left="1440"/>
        <w:rPr>
          <w:rFonts w:eastAsiaTheme="minorEastAsia"/>
          <w:lang w:eastAsia="ko-KR"/>
        </w:rPr>
      </w:pPr>
    </w:p>
    <w:p w14:paraId="52DE78C4" w14:textId="77777777" w:rsidR="002A4403" w:rsidRPr="004635E5" w:rsidRDefault="00615099" w:rsidP="00671F09">
      <w:pPr>
        <w:pStyle w:val="ListParagraph"/>
        <w:adjustRightInd w:val="0"/>
        <w:snapToGrid w:val="0"/>
        <w:ind w:left="0"/>
        <w:jc w:val="both"/>
        <w:rPr>
          <w:rStyle w:val="SCaChar"/>
          <w:rFonts w:eastAsiaTheme="minorEastAsia"/>
        </w:rPr>
      </w:pPr>
      <w:r w:rsidRPr="004635E5">
        <w:rPr>
          <w:b/>
          <w:sz w:val="22"/>
          <w:szCs w:val="22"/>
        </w:rPr>
        <w:t>a</w:t>
      </w:r>
      <w:r w:rsidRPr="004635E5">
        <w:rPr>
          <w:rStyle w:val="SCaChar"/>
          <w:b w:val="0"/>
        </w:rPr>
        <w:t>.</w:t>
      </w:r>
      <w:r w:rsidR="003207CC" w:rsidRPr="004635E5">
        <w:rPr>
          <w:rStyle w:val="SCaChar"/>
          <w:b w:val="0"/>
        </w:rPr>
        <w:tab/>
      </w:r>
      <w:r w:rsidR="002E0E6B" w:rsidRPr="004635E5">
        <w:rPr>
          <w:rStyle w:val="SCaChar"/>
        </w:rPr>
        <w:t xml:space="preserve">Review of shark data and </w:t>
      </w:r>
      <w:r w:rsidR="00A16680" w:rsidRPr="004635E5">
        <w:rPr>
          <w:rStyle w:val="SCaChar"/>
        </w:rPr>
        <w:t>modeling</w:t>
      </w:r>
      <w:r w:rsidR="002E0E6B" w:rsidRPr="004635E5">
        <w:rPr>
          <w:rStyle w:val="SCaChar"/>
        </w:rPr>
        <w:t xml:space="preserve"> framework to support stock assessments</w:t>
      </w:r>
      <w:r w:rsidR="003207CC" w:rsidRPr="004635E5">
        <w:rPr>
          <w:rStyle w:val="SCaChar"/>
        </w:rPr>
        <w:t xml:space="preserve"> (Project 78</w:t>
      </w:r>
      <w:r w:rsidR="002E0E6B" w:rsidRPr="004635E5">
        <w:rPr>
          <w:rStyle w:val="SCaChar"/>
          <w:rFonts w:eastAsiaTheme="minorEastAsia"/>
        </w:rPr>
        <w:t>)</w:t>
      </w:r>
    </w:p>
    <w:p w14:paraId="3BCBCDE5" w14:textId="77777777" w:rsidR="002A4403" w:rsidRPr="004635E5" w:rsidRDefault="002A4403" w:rsidP="006633A8">
      <w:pPr>
        <w:pStyle w:val="ListParagraph"/>
        <w:adjustRightInd w:val="0"/>
        <w:snapToGrid w:val="0"/>
        <w:ind w:left="1080"/>
        <w:jc w:val="both"/>
        <w:rPr>
          <w:rFonts w:eastAsiaTheme="minorEastAsia"/>
          <w:b/>
          <w:sz w:val="22"/>
          <w:szCs w:val="22"/>
        </w:rPr>
      </w:pPr>
    </w:p>
    <w:p w14:paraId="14A6AA1A" w14:textId="77777777" w:rsidR="005E3B0C" w:rsidRPr="004635E5" w:rsidRDefault="00D87A9D" w:rsidP="00580EA4">
      <w:pPr>
        <w:numPr>
          <w:ilvl w:val="0"/>
          <w:numId w:val="18"/>
        </w:numPr>
        <w:autoSpaceDE w:val="0"/>
        <w:autoSpaceDN w:val="0"/>
        <w:adjustRightInd w:val="0"/>
        <w:snapToGrid w:val="0"/>
        <w:ind w:left="0" w:firstLine="0"/>
        <w:jc w:val="both"/>
        <w:rPr>
          <w:rFonts w:eastAsiaTheme="minorEastAsia"/>
          <w:bCs/>
          <w:i/>
          <w:sz w:val="22"/>
          <w:szCs w:val="22"/>
          <w:lang w:eastAsia="ko-KR"/>
        </w:rPr>
      </w:pPr>
      <w:r w:rsidRPr="004635E5">
        <w:rPr>
          <w:rFonts w:eastAsiaTheme="minorEastAsia"/>
          <w:bCs/>
          <w:sz w:val="22"/>
          <w:szCs w:val="22"/>
          <w:lang w:eastAsia="ko-KR"/>
        </w:rPr>
        <w:t xml:space="preserve">J. Rice introduced </w:t>
      </w:r>
      <w:r w:rsidR="005E3B0C" w:rsidRPr="004635E5">
        <w:rPr>
          <w:rFonts w:eastAsiaTheme="minorEastAsia"/>
          <w:bCs/>
          <w:sz w:val="22"/>
          <w:szCs w:val="22"/>
          <w:lang w:eastAsia="ko-KR"/>
        </w:rPr>
        <w:t>SC14-EB-WP-02</w:t>
      </w:r>
      <w:r w:rsidR="00D31909" w:rsidRPr="004635E5">
        <w:rPr>
          <w:rFonts w:eastAsiaTheme="minorEastAsia"/>
          <w:bCs/>
          <w:sz w:val="22"/>
          <w:szCs w:val="22"/>
          <w:lang w:eastAsia="ko-KR"/>
        </w:rPr>
        <w:t xml:space="preserve"> </w:t>
      </w:r>
      <w:r w:rsidR="00B86874" w:rsidRPr="004635E5">
        <w:rPr>
          <w:rFonts w:eastAsiaTheme="minorEastAsia"/>
          <w:bCs/>
          <w:i/>
          <w:sz w:val="22"/>
          <w:szCs w:val="22"/>
          <w:lang w:eastAsia="ko-KR"/>
        </w:rPr>
        <w:t xml:space="preserve">Report for Project 78: Analysis of Observer and Logbook Data Pertaining to Key Shark Species in the Western and Central Pacific </w:t>
      </w:r>
      <w:r w:rsidR="00B86874" w:rsidRPr="004635E5">
        <w:rPr>
          <w:rFonts w:eastAsiaTheme="minorEastAsia"/>
          <w:bCs/>
          <w:sz w:val="22"/>
          <w:szCs w:val="22"/>
          <w:lang w:eastAsia="ko-KR"/>
        </w:rPr>
        <w:t>Ocean</w:t>
      </w:r>
      <w:r w:rsidRPr="004635E5">
        <w:rPr>
          <w:rFonts w:eastAsiaTheme="minorEastAsia"/>
          <w:bCs/>
          <w:sz w:val="22"/>
          <w:szCs w:val="22"/>
          <w:lang w:eastAsia="ko-KR"/>
        </w:rPr>
        <w:t xml:space="preserve">. The </w:t>
      </w:r>
      <w:r w:rsidR="005E3B0C" w:rsidRPr="004635E5">
        <w:rPr>
          <w:sz w:val="22"/>
          <w:szCs w:val="22"/>
        </w:rPr>
        <w:t xml:space="preserve">paper presents an analysis of data for sharks caught in longline and purse seine fisheries in the Western and Central Pacific Ocean (WCPO) held by The Pacific Community – Oceanic Fisheries Programme (SPC-OFP). </w:t>
      </w:r>
      <w:r w:rsidR="00A16680" w:rsidRPr="004635E5">
        <w:rPr>
          <w:sz w:val="22"/>
          <w:szCs w:val="22"/>
        </w:rPr>
        <w:t xml:space="preserve">The </w:t>
      </w:r>
      <w:r w:rsidR="005E3B0C" w:rsidRPr="004635E5">
        <w:rPr>
          <w:sz w:val="22"/>
          <w:szCs w:val="22"/>
        </w:rPr>
        <w:t xml:space="preserve">study considered data between 1995 and 2015. Overall the quality, with respect to the key shark species, of logbook and observer data currently held by SPC has been improving over time. The logbook data has increasing levels of spatial coverage and higher levels of reporting sharks to species. For both the longline and purse seine fisheries the logbook data is useful to support analytical and indicator assessments for some of the key shark species. Observer data coverage has required to be 100% in the purse seine fishery since 2010, but the data available do not represent 100% coverage, similarly the available data do not reach the required 5% coverage level in the longline fishery. Coverage, as a percent of total effort, has been increasing over time and has also increased in spatial coverage. In general, these observer data can support analytical (or indicator) assessments for the more commonly caught species but would require significant extrapolation to assess the less common species. </w:t>
      </w:r>
    </w:p>
    <w:p w14:paraId="58D86E1A" w14:textId="77777777" w:rsidR="002A4403" w:rsidRPr="004635E5" w:rsidRDefault="002A4403" w:rsidP="006633A8">
      <w:pPr>
        <w:autoSpaceDE w:val="0"/>
        <w:autoSpaceDN w:val="0"/>
        <w:adjustRightInd w:val="0"/>
        <w:snapToGrid w:val="0"/>
        <w:jc w:val="both"/>
        <w:rPr>
          <w:rFonts w:eastAsiaTheme="minorEastAsia"/>
          <w:bCs/>
          <w:i/>
          <w:sz w:val="22"/>
          <w:szCs w:val="22"/>
          <w:lang w:eastAsia="ko-KR"/>
        </w:rPr>
      </w:pPr>
    </w:p>
    <w:p w14:paraId="0204C04E" w14:textId="77777777" w:rsidR="005E3B0C" w:rsidRPr="004635E5" w:rsidRDefault="005E3B0C" w:rsidP="00580EA4">
      <w:pPr>
        <w:numPr>
          <w:ilvl w:val="0"/>
          <w:numId w:val="18"/>
        </w:numPr>
        <w:autoSpaceDE w:val="0"/>
        <w:autoSpaceDN w:val="0"/>
        <w:adjustRightInd w:val="0"/>
        <w:snapToGrid w:val="0"/>
        <w:ind w:left="0" w:firstLine="0"/>
        <w:jc w:val="both"/>
        <w:rPr>
          <w:sz w:val="22"/>
          <w:szCs w:val="22"/>
        </w:rPr>
      </w:pPr>
      <w:r w:rsidRPr="004635E5">
        <w:rPr>
          <w:sz w:val="22"/>
          <w:szCs w:val="22"/>
        </w:rPr>
        <w:t>Reporting of logsheet data by fleet is highly variable, with many fleets reporting significantly less than 100%</w:t>
      </w:r>
      <w:r w:rsidR="00A16680" w:rsidRPr="004635E5">
        <w:rPr>
          <w:sz w:val="22"/>
          <w:szCs w:val="22"/>
        </w:rPr>
        <w:t xml:space="preserve">. </w:t>
      </w:r>
      <w:r w:rsidRPr="004635E5">
        <w:rPr>
          <w:sz w:val="22"/>
          <w:szCs w:val="22"/>
        </w:rPr>
        <w:t>It is difficult to identify whether logsheet data are provided for all key species given that non-reporting may be a result of a zero catch event (e.g. whale sharks in the longline fishery) or a lack of reporting. The largest gap in the data is within the longline fishery. The longline observer data covers a fraction of the overall effort, is biased towards those fleets which have strong observer programs and is spatially concentrated within the EEZs, with little coverage on the high seas. The key mechanism to address the current data gaps would be an increase in observer coverage to at least the mandated 5% coverage level, potentially supplemented by electronic monitoring approaches. Without representative coverage any reconstruction of shark catch and CPUE estimation will likely be biased</w:t>
      </w:r>
      <w:r w:rsidR="00A16680" w:rsidRPr="004635E5">
        <w:rPr>
          <w:sz w:val="22"/>
          <w:szCs w:val="22"/>
        </w:rPr>
        <w:t xml:space="preserve">. </w:t>
      </w:r>
      <w:r w:rsidRPr="004635E5">
        <w:rPr>
          <w:sz w:val="22"/>
          <w:szCs w:val="22"/>
        </w:rPr>
        <w:t>One of the difficulties with the data analysis is that there is no readily identifiable mechanism to link logbook and observer data to the same set</w:t>
      </w:r>
      <w:r w:rsidR="00A16680" w:rsidRPr="004635E5">
        <w:rPr>
          <w:sz w:val="22"/>
          <w:szCs w:val="22"/>
        </w:rPr>
        <w:t xml:space="preserve">. </w:t>
      </w:r>
      <w:r w:rsidRPr="004635E5">
        <w:rPr>
          <w:sz w:val="22"/>
          <w:szCs w:val="22"/>
        </w:rPr>
        <w:t>Initial conclusions (based on data from 2010 – 2015) regarding the impact of WCPFC shark related CMMs on data quality is that the lack of reporting specifications within these CMMs have resulted in non-reporting of shark catch within the purse seine fishery logsheets, despite observed shark catch by observers and high levels of observer coverage</w:t>
      </w:r>
      <w:r w:rsidR="00A16680" w:rsidRPr="004635E5">
        <w:rPr>
          <w:sz w:val="22"/>
          <w:szCs w:val="22"/>
        </w:rPr>
        <w:t xml:space="preserve">. </w:t>
      </w:r>
      <w:r w:rsidRPr="004635E5">
        <w:rPr>
          <w:sz w:val="22"/>
          <w:szCs w:val="22"/>
        </w:rPr>
        <w:t>Within the longline fishery the reported catch of silky and oceanic whitetip sharks is similar to that before and after the CMMs banning retention came into force, however recent data from 2016 and 2017 indicate that the retention of silky sharks has decreased. The general recommendation is for fishers to receive further identification training to improve the provision of shark interaction information to the species level. This is especially important for manta and mobulid rays which are commonly recorded only to the generic level</w:t>
      </w:r>
      <w:r w:rsidR="00A16680" w:rsidRPr="004635E5">
        <w:rPr>
          <w:sz w:val="22"/>
          <w:szCs w:val="22"/>
        </w:rPr>
        <w:t xml:space="preserve">. </w:t>
      </w:r>
    </w:p>
    <w:p w14:paraId="0B52102F" w14:textId="77777777" w:rsidR="002A4403" w:rsidRPr="004635E5" w:rsidRDefault="002A4403" w:rsidP="006633A8">
      <w:pPr>
        <w:autoSpaceDE w:val="0"/>
        <w:autoSpaceDN w:val="0"/>
        <w:adjustRightInd w:val="0"/>
        <w:snapToGrid w:val="0"/>
        <w:jc w:val="both"/>
        <w:rPr>
          <w:sz w:val="22"/>
          <w:szCs w:val="22"/>
        </w:rPr>
      </w:pPr>
    </w:p>
    <w:p w14:paraId="6643961E" w14:textId="77777777" w:rsidR="002A4403" w:rsidRPr="004635E5" w:rsidRDefault="00DD4805" w:rsidP="006633A8">
      <w:pPr>
        <w:pStyle w:val="ListParagraph"/>
        <w:adjustRightInd w:val="0"/>
        <w:snapToGrid w:val="0"/>
        <w:ind w:left="0"/>
        <w:jc w:val="both"/>
        <w:rPr>
          <w:rFonts w:eastAsiaTheme="minorEastAsia"/>
          <w:b/>
          <w:bCs/>
          <w:sz w:val="22"/>
          <w:szCs w:val="22"/>
          <w:lang w:val="en-NZ" w:eastAsia="ko-KR"/>
        </w:rPr>
      </w:pPr>
      <w:r w:rsidRPr="004635E5">
        <w:rPr>
          <w:rFonts w:eastAsiaTheme="minorEastAsia"/>
          <w:b/>
          <w:bCs/>
          <w:sz w:val="22"/>
          <w:szCs w:val="22"/>
          <w:lang w:val="en-NZ" w:eastAsia="ko-KR"/>
        </w:rPr>
        <w:t>Discussion</w:t>
      </w:r>
    </w:p>
    <w:p w14:paraId="49E2F2D3" w14:textId="77777777" w:rsidR="002A4403" w:rsidRPr="004635E5" w:rsidRDefault="002A4403" w:rsidP="006633A8">
      <w:pPr>
        <w:pStyle w:val="ListParagraph"/>
        <w:adjustRightInd w:val="0"/>
        <w:snapToGrid w:val="0"/>
        <w:ind w:left="0"/>
        <w:jc w:val="both"/>
        <w:rPr>
          <w:rFonts w:eastAsiaTheme="minorEastAsia"/>
          <w:b/>
          <w:bCs/>
          <w:sz w:val="22"/>
          <w:szCs w:val="22"/>
          <w:lang w:val="en-NZ" w:eastAsia="ko-KR"/>
        </w:rPr>
      </w:pPr>
    </w:p>
    <w:p w14:paraId="228A75D3" w14:textId="77777777" w:rsidR="0063255B" w:rsidRPr="004635E5" w:rsidRDefault="0008578D" w:rsidP="00580EA4">
      <w:pPr>
        <w:numPr>
          <w:ilvl w:val="0"/>
          <w:numId w:val="18"/>
        </w:numPr>
        <w:autoSpaceDE w:val="0"/>
        <w:autoSpaceDN w:val="0"/>
        <w:adjustRightInd w:val="0"/>
        <w:snapToGrid w:val="0"/>
        <w:ind w:left="0" w:firstLine="0"/>
        <w:jc w:val="both"/>
        <w:rPr>
          <w:sz w:val="22"/>
          <w:szCs w:val="22"/>
        </w:rPr>
      </w:pPr>
      <w:r w:rsidRPr="004635E5">
        <w:rPr>
          <w:sz w:val="22"/>
          <w:szCs w:val="22"/>
        </w:rPr>
        <w:t xml:space="preserve">The </w:t>
      </w:r>
      <w:r w:rsidR="00C46C79" w:rsidRPr="004635E5">
        <w:rPr>
          <w:sz w:val="22"/>
          <w:szCs w:val="22"/>
        </w:rPr>
        <w:t>EU</w:t>
      </w:r>
      <w:r w:rsidR="00F81EF0">
        <w:rPr>
          <w:sz w:val="22"/>
          <w:szCs w:val="22"/>
        </w:rPr>
        <w:t xml:space="preserve"> </w:t>
      </w:r>
      <w:r w:rsidRPr="004635E5">
        <w:rPr>
          <w:sz w:val="22"/>
          <w:szCs w:val="22"/>
        </w:rPr>
        <w:t xml:space="preserve">noted the </w:t>
      </w:r>
      <w:r w:rsidR="00C46C79" w:rsidRPr="004635E5">
        <w:rPr>
          <w:sz w:val="22"/>
          <w:szCs w:val="22"/>
        </w:rPr>
        <w:t>interesting and comprehensive work</w:t>
      </w:r>
      <w:r w:rsidRPr="004635E5">
        <w:rPr>
          <w:sz w:val="22"/>
          <w:szCs w:val="22"/>
        </w:rPr>
        <w:t xml:space="preserve"> and inquired why </w:t>
      </w:r>
      <w:r w:rsidR="00C46C79" w:rsidRPr="004635E5">
        <w:rPr>
          <w:sz w:val="22"/>
          <w:szCs w:val="22"/>
        </w:rPr>
        <w:t>ob</w:t>
      </w:r>
      <w:r w:rsidRPr="004635E5">
        <w:rPr>
          <w:sz w:val="22"/>
          <w:szCs w:val="22"/>
        </w:rPr>
        <w:t>server</w:t>
      </w:r>
      <w:r w:rsidR="00C46C79" w:rsidRPr="004635E5">
        <w:rPr>
          <w:sz w:val="22"/>
          <w:szCs w:val="22"/>
        </w:rPr>
        <w:t xml:space="preserve"> data cov</w:t>
      </w:r>
      <w:r w:rsidRPr="004635E5">
        <w:rPr>
          <w:sz w:val="22"/>
          <w:szCs w:val="22"/>
        </w:rPr>
        <w:t>erage</w:t>
      </w:r>
      <w:r w:rsidR="00C46C79" w:rsidRPr="004635E5">
        <w:rPr>
          <w:sz w:val="22"/>
          <w:szCs w:val="22"/>
        </w:rPr>
        <w:t xml:space="preserve"> </w:t>
      </w:r>
      <w:r w:rsidRPr="004635E5">
        <w:rPr>
          <w:sz w:val="22"/>
          <w:szCs w:val="22"/>
        </w:rPr>
        <w:t xml:space="preserve">was </w:t>
      </w:r>
      <w:r w:rsidR="00C46C79" w:rsidRPr="004635E5">
        <w:rPr>
          <w:sz w:val="22"/>
          <w:szCs w:val="22"/>
        </w:rPr>
        <w:t>70</w:t>
      </w:r>
      <w:r w:rsidRPr="004635E5">
        <w:rPr>
          <w:sz w:val="22"/>
          <w:szCs w:val="22"/>
        </w:rPr>
        <w:t>%</w:t>
      </w:r>
      <w:r w:rsidR="00C46C79" w:rsidRPr="004635E5">
        <w:rPr>
          <w:sz w:val="22"/>
          <w:szCs w:val="22"/>
        </w:rPr>
        <w:t xml:space="preserve">-90% for </w:t>
      </w:r>
      <w:r w:rsidRPr="004635E5">
        <w:rPr>
          <w:sz w:val="22"/>
          <w:szCs w:val="22"/>
        </w:rPr>
        <w:t xml:space="preserve">the </w:t>
      </w:r>
      <w:r w:rsidR="00C46C79" w:rsidRPr="004635E5">
        <w:rPr>
          <w:sz w:val="22"/>
          <w:szCs w:val="22"/>
        </w:rPr>
        <w:t>period analyzed</w:t>
      </w:r>
      <w:r w:rsidRPr="004635E5">
        <w:rPr>
          <w:sz w:val="22"/>
          <w:szCs w:val="22"/>
        </w:rPr>
        <w:t xml:space="preserve">, rather than </w:t>
      </w:r>
      <w:r w:rsidR="00C46C79" w:rsidRPr="004635E5">
        <w:rPr>
          <w:sz w:val="22"/>
          <w:szCs w:val="22"/>
        </w:rPr>
        <w:t>100%</w:t>
      </w:r>
      <w:r w:rsidRPr="004635E5">
        <w:rPr>
          <w:sz w:val="22"/>
          <w:szCs w:val="22"/>
        </w:rPr>
        <w:t xml:space="preserve">. </w:t>
      </w:r>
      <w:r w:rsidR="00D660EB" w:rsidRPr="004635E5">
        <w:rPr>
          <w:sz w:val="22"/>
          <w:szCs w:val="22"/>
        </w:rPr>
        <w:t xml:space="preserve">J. Rice </w:t>
      </w:r>
      <w:r w:rsidRPr="004635E5">
        <w:rPr>
          <w:sz w:val="22"/>
          <w:szCs w:val="22"/>
        </w:rPr>
        <w:t xml:space="preserve">indicated that on a </w:t>
      </w:r>
      <w:r w:rsidR="00A16680" w:rsidRPr="004635E5">
        <w:rPr>
          <w:sz w:val="22"/>
          <w:szCs w:val="22"/>
        </w:rPr>
        <w:t>set-by-</w:t>
      </w:r>
      <w:r w:rsidR="00C04C09" w:rsidRPr="004635E5">
        <w:rPr>
          <w:sz w:val="22"/>
          <w:szCs w:val="22"/>
        </w:rPr>
        <w:t>set basis, not all sets were observed</w:t>
      </w:r>
      <w:r w:rsidRPr="004635E5">
        <w:rPr>
          <w:sz w:val="22"/>
          <w:szCs w:val="22"/>
        </w:rPr>
        <w:t xml:space="preserve">; the analysis used purse seine sets, coverage for which could differ from that for trips. </w:t>
      </w:r>
      <w:r w:rsidR="00C04C09" w:rsidRPr="004635E5">
        <w:rPr>
          <w:sz w:val="22"/>
          <w:szCs w:val="22"/>
        </w:rPr>
        <w:t>P</w:t>
      </w:r>
      <w:r w:rsidRPr="004635E5">
        <w:rPr>
          <w:sz w:val="22"/>
          <w:szCs w:val="22"/>
        </w:rPr>
        <w:t xml:space="preserve"> William (SPC) referenced coverage tables in </w:t>
      </w:r>
      <w:r w:rsidR="00A16680" w:rsidRPr="004635E5">
        <w:rPr>
          <w:sz w:val="22"/>
          <w:szCs w:val="22"/>
        </w:rPr>
        <w:t>SC14-</w:t>
      </w:r>
      <w:r w:rsidR="00C04C09" w:rsidRPr="004635E5">
        <w:rPr>
          <w:sz w:val="22"/>
          <w:szCs w:val="22"/>
        </w:rPr>
        <w:t>ST-IP</w:t>
      </w:r>
      <w:r w:rsidRPr="004635E5">
        <w:rPr>
          <w:sz w:val="22"/>
          <w:szCs w:val="22"/>
        </w:rPr>
        <w:t>-</w:t>
      </w:r>
      <w:r w:rsidR="00C04C09" w:rsidRPr="004635E5">
        <w:rPr>
          <w:sz w:val="22"/>
          <w:szCs w:val="22"/>
        </w:rPr>
        <w:t xml:space="preserve">02 </w:t>
      </w:r>
      <w:r w:rsidRPr="004635E5">
        <w:rPr>
          <w:sz w:val="22"/>
          <w:szCs w:val="22"/>
        </w:rPr>
        <w:t xml:space="preserve">showing </w:t>
      </w:r>
      <w:r w:rsidR="00A16680" w:rsidRPr="004635E5">
        <w:rPr>
          <w:sz w:val="22"/>
          <w:szCs w:val="22"/>
        </w:rPr>
        <w:t xml:space="preserve">purse seine data from </w:t>
      </w:r>
      <w:r w:rsidR="00C04C09" w:rsidRPr="004635E5">
        <w:rPr>
          <w:sz w:val="22"/>
          <w:szCs w:val="22"/>
        </w:rPr>
        <w:t>recent years</w:t>
      </w:r>
      <w:r w:rsidR="00D660EB" w:rsidRPr="004635E5">
        <w:rPr>
          <w:sz w:val="22"/>
          <w:szCs w:val="22"/>
        </w:rPr>
        <w:t xml:space="preserve"> and stated that in </w:t>
      </w:r>
      <w:r w:rsidR="00C04C09" w:rsidRPr="004635E5">
        <w:rPr>
          <w:sz w:val="22"/>
          <w:szCs w:val="22"/>
        </w:rPr>
        <w:t xml:space="preserve">some cases data </w:t>
      </w:r>
      <w:r w:rsidR="00A16680" w:rsidRPr="004635E5">
        <w:rPr>
          <w:sz w:val="22"/>
          <w:szCs w:val="22"/>
        </w:rPr>
        <w:t xml:space="preserve">were </w:t>
      </w:r>
      <w:r w:rsidR="00C04C09" w:rsidRPr="004635E5">
        <w:rPr>
          <w:sz w:val="22"/>
          <w:szCs w:val="22"/>
        </w:rPr>
        <w:t xml:space="preserve">not provided, or may </w:t>
      </w:r>
      <w:r w:rsidR="00D660EB" w:rsidRPr="004635E5">
        <w:rPr>
          <w:sz w:val="22"/>
          <w:szCs w:val="22"/>
        </w:rPr>
        <w:t xml:space="preserve">refer to </w:t>
      </w:r>
      <w:r w:rsidR="00C04C09" w:rsidRPr="004635E5">
        <w:rPr>
          <w:sz w:val="22"/>
          <w:szCs w:val="22"/>
        </w:rPr>
        <w:t xml:space="preserve">trips. </w:t>
      </w:r>
      <w:r w:rsidR="00D660EB" w:rsidRPr="004635E5">
        <w:rPr>
          <w:sz w:val="22"/>
          <w:szCs w:val="22"/>
        </w:rPr>
        <w:t xml:space="preserve">The </w:t>
      </w:r>
      <w:r w:rsidR="00C04C09" w:rsidRPr="004635E5">
        <w:rPr>
          <w:sz w:val="22"/>
          <w:szCs w:val="22"/>
        </w:rPr>
        <w:t>EU</w:t>
      </w:r>
      <w:r w:rsidR="00D660EB" w:rsidRPr="004635E5">
        <w:rPr>
          <w:sz w:val="22"/>
          <w:szCs w:val="22"/>
        </w:rPr>
        <w:t xml:space="preserve"> queried whether information was available to undertake </w:t>
      </w:r>
      <w:r w:rsidR="00C04C09" w:rsidRPr="004635E5">
        <w:rPr>
          <w:sz w:val="22"/>
          <w:szCs w:val="22"/>
        </w:rPr>
        <w:t>an analytical assessment</w:t>
      </w:r>
      <w:r w:rsidR="00D660EB" w:rsidRPr="004635E5">
        <w:rPr>
          <w:sz w:val="22"/>
          <w:szCs w:val="22"/>
        </w:rPr>
        <w:t xml:space="preserve"> of </w:t>
      </w:r>
      <w:r w:rsidR="00A16680" w:rsidRPr="004635E5">
        <w:rPr>
          <w:sz w:val="22"/>
          <w:szCs w:val="22"/>
        </w:rPr>
        <w:t>South Pacific blue shark</w:t>
      </w:r>
      <w:r w:rsidR="00D660EB" w:rsidRPr="004635E5">
        <w:rPr>
          <w:sz w:val="22"/>
          <w:szCs w:val="22"/>
        </w:rPr>
        <w:t xml:space="preserve">. SPC noted that </w:t>
      </w:r>
      <w:r w:rsidR="00C04C09" w:rsidRPr="004635E5">
        <w:rPr>
          <w:sz w:val="22"/>
          <w:szCs w:val="22"/>
        </w:rPr>
        <w:t>some type of analytical assessment</w:t>
      </w:r>
      <w:r w:rsidR="00D660EB" w:rsidRPr="004635E5">
        <w:rPr>
          <w:sz w:val="22"/>
          <w:szCs w:val="22"/>
        </w:rPr>
        <w:t xml:space="preserve"> was possible for </w:t>
      </w:r>
      <w:r w:rsidR="00A16680" w:rsidRPr="004635E5">
        <w:rPr>
          <w:sz w:val="22"/>
          <w:szCs w:val="22"/>
        </w:rPr>
        <w:t>South Pacific blue shark</w:t>
      </w:r>
      <w:r w:rsidR="00C04C09" w:rsidRPr="004635E5">
        <w:rPr>
          <w:sz w:val="22"/>
          <w:szCs w:val="22"/>
        </w:rPr>
        <w:t xml:space="preserve">, </w:t>
      </w:r>
      <w:r w:rsidR="00D660EB" w:rsidRPr="004635E5">
        <w:rPr>
          <w:sz w:val="22"/>
          <w:szCs w:val="22"/>
        </w:rPr>
        <w:t xml:space="preserve">although the appropriate </w:t>
      </w:r>
      <w:r w:rsidR="00C04C09" w:rsidRPr="004635E5">
        <w:rPr>
          <w:sz w:val="22"/>
          <w:szCs w:val="22"/>
        </w:rPr>
        <w:t>m</w:t>
      </w:r>
      <w:r w:rsidR="00D660EB" w:rsidRPr="004635E5">
        <w:rPr>
          <w:sz w:val="22"/>
          <w:szCs w:val="22"/>
        </w:rPr>
        <w:t>o</w:t>
      </w:r>
      <w:r w:rsidR="00C04C09" w:rsidRPr="004635E5">
        <w:rPr>
          <w:sz w:val="22"/>
          <w:szCs w:val="22"/>
        </w:rPr>
        <w:t>deling framework</w:t>
      </w:r>
      <w:r w:rsidR="00D660EB" w:rsidRPr="004635E5">
        <w:rPr>
          <w:sz w:val="22"/>
          <w:szCs w:val="22"/>
        </w:rPr>
        <w:t xml:space="preserve"> would need to be determined. The </w:t>
      </w:r>
      <w:r w:rsidR="00C04C09" w:rsidRPr="004635E5">
        <w:rPr>
          <w:sz w:val="22"/>
          <w:szCs w:val="22"/>
        </w:rPr>
        <w:t>EU</w:t>
      </w:r>
      <w:r w:rsidR="00D660EB" w:rsidRPr="004635E5">
        <w:rPr>
          <w:sz w:val="22"/>
          <w:szCs w:val="22"/>
        </w:rPr>
        <w:t xml:space="preserve"> inquired about the benefits of undertaking a </w:t>
      </w:r>
      <w:r w:rsidR="00CA73AC" w:rsidRPr="004635E5">
        <w:rPr>
          <w:sz w:val="22"/>
          <w:szCs w:val="22"/>
        </w:rPr>
        <w:t xml:space="preserve">PSA, </w:t>
      </w:r>
      <w:r w:rsidR="00D660EB" w:rsidRPr="004635E5">
        <w:rPr>
          <w:sz w:val="22"/>
          <w:szCs w:val="22"/>
        </w:rPr>
        <w:t xml:space="preserve">given that the </w:t>
      </w:r>
      <w:r w:rsidR="00CA73AC" w:rsidRPr="004635E5">
        <w:rPr>
          <w:sz w:val="22"/>
          <w:szCs w:val="22"/>
        </w:rPr>
        <w:t>key species</w:t>
      </w:r>
      <w:r w:rsidR="00D660EB" w:rsidRPr="004635E5">
        <w:rPr>
          <w:sz w:val="22"/>
          <w:szCs w:val="22"/>
        </w:rPr>
        <w:t xml:space="preserve"> are known</w:t>
      </w:r>
      <w:r w:rsidR="00CA73AC" w:rsidRPr="004635E5">
        <w:rPr>
          <w:sz w:val="22"/>
          <w:szCs w:val="22"/>
        </w:rPr>
        <w:t xml:space="preserve">, </w:t>
      </w:r>
      <w:r w:rsidR="00D660EB" w:rsidRPr="004635E5">
        <w:rPr>
          <w:sz w:val="22"/>
          <w:szCs w:val="22"/>
        </w:rPr>
        <w:t xml:space="preserve">and what is needed is </w:t>
      </w:r>
      <w:r w:rsidR="00CA73AC" w:rsidRPr="004635E5">
        <w:rPr>
          <w:sz w:val="22"/>
          <w:szCs w:val="22"/>
        </w:rPr>
        <w:t xml:space="preserve">their conservation status in </w:t>
      </w:r>
      <w:r w:rsidR="00D660EB" w:rsidRPr="004635E5">
        <w:rPr>
          <w:sz w:val="22"/>
          <w:szCs w:val="22"/>
        </w:rPr>
        <w:t xml:space="preserve">the </w:t>
      </w:r>
      <w:r w:rsidR="00CA73AC" w:rsidRPr="004635E5">
        <w:rPr>
          <w:sz w:val="22"/>
          <w:szCs w:val="22"/>
        </w:rPr>
        <w:t xml:space="preserve">WCPO. </w:t>
      </w:r>
      <w:r w:rsidR="00D660EB" w:rsidRPr="004635E5">
        <w:rPr>
          <w:sz w:val="22"/>
          <w:szCs w:val="22"/>
        </w:rPr>
        <w:t xml:space="preserve">J. Rice stated that </w:t>
      </w:r>
      <w:r w:rsidR="00CA73AC" w:rsidRPr="004635E5">
        <w:rPr>
          <w:sz w:val="22"/>
          <w:szCs w:val="22"/>
        </w:rPr>
        <w:t>a PSA for key shark species woul</w:t>
      </w:r>
      <w:r w:rsidR="00D660EB" w:rsidRPr="004635E5">
        <w:rPr>
          <w:sz w:val="22"/>
          <w:szCs w:val="22"/>
        </w:rPr>
        <w:t>d</w:t>
      </w:r>
      <w:r w:rsidR="00CA73AC" w:rsidRPr="004635E5">
        <w:rPr>
          <w:sz w:val="22"/>
          <w:szCs w:val="22"/>
        </w:rPr>
        <w:t xml:space="preserve"> hel</w:t>
      </w:r>
      <w:r w:rsidR="00D660EB" w:rsidRPr="004635E5">
        <w:rPr>
          <w:sz w:val="22"/>
          <w:szCs w:val="22"/>
        </w:rPr>
        <w:t>p</w:t>
      </w:r>
      <w:r w:rsidR="00CA73AC" w:rsidRPr="004635E5">
        <w:rPr>
          <w:sz w:val="22"/>
          <w:szCs w:val="22"/>
        </w:rPr>
        <w:t xml:space="preserve"> prio</w:t>
      </w:r>
      <w:r w:rsidR="00D660EB" w:rsidRPr="004635E5">
        <w:rPr>
          <w:sz w:val="22"/>
          <w:szCs w:val="22"/>
        </w:rPr>
        <w:t xml:space="preserve">ritize </w:t>
      </w:r>
      <w:r w:rsidR="00CA73AC" w:rsidRPr="004635E5">
        <w:rPr>
          <w:sz w:val="22"/>
          <w:szCs w:val="22"/>
        </w:rPr>
        <w:t>re</w:t>
      </w:r>
      <w:r w:rsidR="00D660EB" w:rsidRPr="004635E5">
        <w:rPr>
          <w:sz w:val="22"/>
          <w:szCs w:val="22"/>
        </w:rPr>
        <w:t>s</w:t>
      </w:r>
      <w:r w:rsidR="00CA73AC" w:rsidRPr="004635E5">
        <w:rPr>
          <w:sz w:val="22"/>
          <w:szCs w:val="22"/>
        </w:rPr>
        <w:t>e</w:t>
      </w:r>
      <w:r w:rsidR="00D660EB" w:rsidRPr="004635E5">
        <w:rPr>
          <w:sz w:val="22"/>
          <w:szCs w:val="22"/>
        </w:rPr>
        <w:t>a</w:t>
      </w:r>
      <w:r w:rsidR="00CA73AC" w:rsidRPr="004635E5">
        <w:rPr>
          <w:sz w:val="22"/>
          <w:szCs w:val="22"/>
        </w:rPr>
        <w:t>rch nee</w:t>
      </w:r>
      <w:r w:rsidR="00D660EB" w:rsidRPr="004635E5">
        <w:rPr>
          <w:sz w:val="22"/>
          <w:szCs w:val="22"/>
        </w:rPr>
        <w:t>d</w:t>
      </w:r>
      <w:r w:rsidR="00CA73AC" w:rsidRPr="004635E5">
        <w:rPr>
          <w:sz w:val="22"/>
          <w:szCs w:val="22"/>
        </w:rPr>
        <w:t xml:space="preserve">s for some key species. </w:t>
      </w:r>
    </w:p>
    <w:p w14:paraId="34D6EC15" w14:textId="77777777" w:rsidR="002A4403" w:rsidRPr="004635E5" w:rsidRDefault="002A4403" w:rsidP="006633A8">
      <w:pPr>
        <w:autoSpaceDE w:val="0"/>
        <w:autoSpaceDN w:val="0"/>
        <w:adjustRightInd w:val="0"/>
        <w:snapToGrid w:val="0"/>
        <w:jc w:val="both"/>
        <w:rPr>
          <w:sz w:val="22"/>
          <w:szCs w:val="22"/>
        </w:rPr>
      </w:pPr>
    </w:p>
    <w:p w14:paraId="342B9F98" w14:textId="77777777" w:rsidR="000872BD" w:rsidRPr="004635E5" w:rsidRDefault="00270656" w:rsidP="00580EA4">
      <w:pPr>
        <w:numPr>
          <w:ilvl w:val="0"/>
          <w:numId w:val="18"/>
        </w:numPr>
        <w:autoSpaceDE w:val="0"/>
        <w:autoSpaceDN w:val="0"/>
        <w:adjustRightInd w:val="0"/>
        <w:snapToGrid w:val="0"/>
        <w:ind w:left="0" w:firstLine="0"/>
        <w:jc w:val="both"/>
        <w:rPr>
          <w:sz w:val="22"/>
          <w:szCs w:val="22"/>
        </w:rPr>
      </w:pPr>
      <w:r w:rsidRPr="004635E5">
        <w:rPr>
          <w:sz w:val="22"/>
          <w:szCs w:val="22"/>
        </w:rPr>
        <w:t>Federated States of Micronesia</w:t>
      </w:r>
      <w:r w:rsidR="00A16680" w:rsidRPr="004635E5">
        <w:rPr>
          <w:sz w:val="22"/>
          <w:szCs w:val="22"/>
        </w:rPr>
        <w:t>,</w:t>
      </w:r>
      <w:r w:rsidR="00CA73AC" w:rsidRPr="004635E5">
        <w:rPr>
          <w:sz w:val="22"/>
          <w:szCs w:val="22"/>
        </w:rPr>
        <w:t xml:space="preserve"> on behalf of FFA</w:t>
      </w:r>
      <w:r w:rsidR="00302BA1" w:rsidRPr="004635E5">
        <w:rPr>
          <w:sz w:val="22"/>
          <w:szCs w:val="22"/>
        </w:rPr>
        <w:t xml:space="preserve"> </w:t>
      </w:r>
      <w:r w:rsidR="0063255B" w:rsidRPr="004635E5">
        <w:rPr>
          <w:sz w:val="22"/>
          <w:szCs w:val="22"/>
        </w:rPr>
        <w:t>members</w:t>
      </w:r>
      <w:r w:rsidR="00A16680" w:rsidRPr="004635E5">
        <w:rPr>
          <w:sz w:val="22"/>
          <w:szCs w:val="22"/>
        </w:rPr>
        <w:t>,</w:t>
      </w:r>
      <w:r w:rsidR="0063255B" w:rsidRPr="004635E5">
        <w:rPr>
          <w:sz w:val="22"/>
          <w:szCs w:val="22"/>
        </w:rPr>
        <w:t xml:space="preserve"> express</w:t>
      </w:r>
      <w:r w:rsidR="00A16680" w:rsidRPr="004635E5">
        <w:rPr>
          <w:sz w:val="22"/>
          <w:szCs w:val="22"/>
        </w:rPr>
        <w:t>ed</w:t>
      </w:r>
      <w:r w:rsidR="0063255B" w:rsidRPr="004635E5">
        <w:rPr>
          <w:sz w:val="22"/>
          <w:szCs w:val="22"/>
        </w:rPr>
        <w:t xml:space="preserve"> </w:t>
      </w:r>
      <w:r w:rsidR="00A16680" w:rsidRPr="004635E5">
        <w:rPr>
          <w:sz w:val="22"/>
          <w:szCs w:val="22"/>
        </w:rPr>
        <w:t xml:space="preserve">their </w:t>
      </w:r>
      <w:r w:rsidR="0063255B" w:rsidRPr="004635E5">
        <w:rPr>
          <w:sz w:val="22"/>
          <w:szCs w:val="22"/>
        </w:rPr>
        <w:t>appreciation for the work done on sharks</w:t>
      </w:r>
      <w:r w:rsidR="00A16680" w:rsidRPr="004635E5">
        <w:rPr>
          <w:sz w:val="22"/>
          <w:szCs w:val="22"/>
        </w:rPr>
        <w:t xml:space="preserve">, which they stated was </w:t>
      </w:r>
      <w:r w:rsidR="0063255B" w:rsidRPr="004635E5">
        <w:rPr>
          <w:sz w:val="22"/>
          <w:szCs w:val="22"/>
        </w:rPr>
        <w:t xml:space="preserve">important in supporting WCPFC’s ongoing responsibility to manage these species and deserves the support of all CCMs. However, </w:t>
      </w:r>
      <w:r w:rsidR="00A16680" w:rsidRPr="004635E5">
        <w:rPr>
          <w:sz w:val="22"/>
          <w:szCs w:val="22"/>
        </w:rPr>
        <w:t>they noted with disappointment</w:t>
      </w:r>
      <w:r w:rsidR="0063255B" w:rsidRPr="004635E5">
        <w:rPr>
          <w:sz w:val="22"/>
          <w:szCs w:val="22"/>
        </w:rPr>
        <w:t xml:space="preserve"> that little </w:t>
      </w:r>
      <w:r w:rsidR="00A16680" w:rsidRPr="004635E5">
        <w:rPr>
          <w:sz w:val="22"/>
          <w:szCs w:val="22"/>
        </w:rPr>
        <w:t xml:space="preserve">had </w:t>
      </w:r>
      <w:r w:rsidR="0063255B" w:rsidRPr="004635E5">
        <w:rPr>
          <w:sz w:val="22"/>
          <w:szCs w:val="22"/>
        </w:rPr>
        <w:t xml:space="preserve">changed with respect to observer coverage and catch reporting on key shark species since </w:t>
      </w:r>
      <w:r w:rsidR="00A16680" w:rsidRPr="004635E5">
        <w:rPr>
          <w:sz w:val="22"/>
          <w:szCs w:val="22"/>
        </w:rPr>
        <w:t>2017</w:t>
      </w:r>
      <w:r w:rsidR="0063255B" w:rsidRPr="004635E5">
        <w:rPr>
          <w:sz w:val="22"/>
          <w:szCs w:val="22"/>
        </w:rPr>
        <w:t xml:space="preserve">. FFA </w:t>
      </w:r>
      <w:r w:rsidR="00A16680" w:rsidRPr="004635E5">
        <w:rPr>
          <w:sz w:val="22"/>
          <w:szCs w:val="22"/>
        </w:rPr>
        <w:t>m</w:t>
      </w:r>
      <w:r w:rsidR="0063255B" w:rsidRPr="004635E5">
        <w:rPr>
          <w:sz w:val="22"/>
          <w:szCs w:val="22"/>
        </w:rPr>
        <w:t>embers note</w:t>
      </w:r>
      <w:r w:rsidR="00A16680" w:rsidRPr="004635E5">
        <w:rPr>
          <w:sz w:val="22"/>
          <w:szCs w:val="22"/>
        </w:rPr>
        <w:t>d</w:t>
      </w:r>
      <w:r w:rsidR="0063255B" w:rsidRPr="004635E5">
        <w:rPr>
          <w:sz w:val="22"/>
          <w:szCs w:val="22"/>
        </w:rPr>
        <w:t xml:space="preserve"> that the use of </w:t>
      </w:r>
      <w:r w:rsidR="00A16680" w:rsidRPr="004635E5">
        <w:rPr>
          <w:sz w:val="22"/>
          <w:szCs w:val="22"/>
        </w:rPr>
        <w:t xml:space="preserve">EM was </w:t>
      </w:r>
      <w:r w:rsidR="0063255B" w:rsidRPr="004635E5">
        <w:rPr>
          <w:sz w:val="22"/>
          <w:szCs w:val="22"/>
        </w:rPr>
        <w:t>again recommended as a possible augmentation to observer coverage and support</w:t>
      </w:r>
      <w:r w:rsidR="00A16680" w:rsidRPr="004635E5">
        <w:rPr>
          <w:sz w:val="22"/>
          <w:szCs w:val="22"/>
        </w:rPr>
        <w:t>ed</w:t>
      </w:r>
      <w:r w:rsidR="0063255B" w:rsidRPr="004635E5">
        <w:rPr>
          <w:sz w:val="22"/>
          <w:szCs w:val="22"/>
        </w:rPr>
        <w:t xml:space="preserve"> the ongoing work on EM. </w:t>
      </w:r>
      <w:r w:rsidR="00A16680" w:rsidRPr="004635E5">
        <w:rPr>
          <w:sz w:val="22"/>
          <w:szCs w:val="22"/>
        </w:rPr>
        <w:t xml:space="preserve">They </w:t>
      </w:r>
      <w:r w:rsidR="0063255B" w:rsidRPr="004635E5">
        <w:rPr>
          <w:sz w:val="22"/>
          <w:szCs w:val="22"/>
        </w:rPr>
        <w:t>acknowledge</w:t>
      </w:r>
      <w:r w:rsidR="00A16680" w:rsidRPr="004635E5">
        <w:rPr>
          <w:sz w:val="22"/>
          <w:szCs w:val="22"/>
        </w:rPr>
        <w:t>d</w:t>
      </w:r>
      <w:r w:rsidR="0063255B" w:rsidRPr="004635E5">
        <w:rPr>
          <w:sz w:val="22"/>
          <w:szCs w:val="22"/>
        </w:rPr>
        <w:t xml:space="preserve"> the need to reduce the impact of tuna fishing on biodiversity</w:t>
      </w:r>
      <w:r w:rsidR="00A16680" w:rsidRPr="004635E5">
        <w:rPr>
          <w:sz w:val="22"/>
          <w:szCs w:val="22"/>
        </w:rPr>
        <w:t>,</w:t>
      </w:r>
      <w:r w:rsidR="0063255B" w:rsidRPr="004635E5">
        <w:rPr>
          <w:sz w:val="22"/>
          <w:szCs w:val="22"/>
        </w:rPr>
        <w:t xml:space="preserve"> and express</w:t>
      </w:r>
      <w:r w:rsidR="00A16680" w:rsidRPr="004635E5">
        <w:rPr>
          <w:sz w:val="22"/>
          <w:szCs w:val="22"/>
        </w:rPr>
        <w:t>ed</w:t>
      </w:r>
      <w:r w:rsidR="0063255B" w:rsidRPr="004635E5">
        <w:rPr>
          <w:sz w:val="22"/>
          <w:szCs w:val="22"/>
        </w:rPr>
        <w:t xml:space="preserve"> appreciation for the contributions of SPC, </w:t>
      </w:r>
      <w:r w:rsidR="002E39E9" w:rsidRPr="004635E5">
        <w:rPr>
          <w:sz w:val="22"/>
          <w:szCs w:val="22"/>
        </w:rPr>
        <w:t>New Zealand</w:t>
      </w:r>
      <w:r w:rsidR="0063255B" w:rsidRPr="004635E5">
        <w:rPr>
          <w:sz w:val="22"/>
          <w:szCs w:val="22"/>
        </w:rPr>
        <w:t>, Fiji, New Caledonia and RMI in the post-release mortality tagging studies.</w:t>
      </w:r>
    </w:p>
    <w:p w14:paraId="08966C61" w14:textId="77777777" w:rsidR="002A4403" w:rsidRPr="004635E5" w:rsidRDefault="002A4403" w:rsidP="006633A8">
      <w:pPr>
        <w:autoSpaceDE w:val="0"/>
        <w:autoSpaceDN w:val="0"/>
        <w:adjustRightInd w:val="0"/>
        <w:snapToGrid w:val="0"/>
        <w:jc w:val="both"/>
        <w:rPr>
          <w:sz w:val="22"/>
          <w:szCs w:val="22"/>
        </w:rPr>
      </w:pPr>
    </w:p>
    <w:p w14:paraId="0DC876C5" w14:textId="77777777" w:rsidR="00236C18" w:rsidRPr="004635E5" w:rsidRDefault="0063255B" w:rsidP="00580EA4">
      <w:pPr>
        <w:numPr>
          <w:ilvl w:val="0"/>
          <w:numId w:val="18"/>
        </w:numPr>
        <w:autoSpaceDE w:val="0"/>
        <w:autoSpaceDN w:val="0"/>
        <w:adjustRightInd w:val="0"/>
        <w:snapToGrid w:val="0"/>
        <w:ind w:left="0" w:firstLine="0"/>
        <w:jc w:val="both"/>
        <w:rPr>
          <w:sz w:val="22"/>
          <w:szCs w:val="22"/>
        </w:rPr>
      </w:pPr>
      <w:r w:rsidRPr="004635E5">
        <w:rPr>
          <w:sz w:val="22"/>
          <w:szCs w:val="22"/>
        </w:rPr>
        <w:t xml:space="preserve"> </w:t>
      </w:r>
      <w:r w:rsidR="00CA73AC" w:rsidRPr="004635E5">
        <w:rPr>
          <w:sz w:val="22"/>
          <w:szCs w:val="22"/>
        </w:rPr>
        <w:t>Aus</w:t>
      </w:r>
      <w:r w:rsidR="002E1C66" w:rsidRPr="004635E5">
        <w:rPr>
          <w:sz w:val="22"/>
          <w:szCs w:val="22"/>
        </w:rPr>
        <w:t xml:space="preserve">tralia noted the </w:t>
      </w:r>
      <w:r w:rsidR="00CA73AC" w:rsidRPr="004635E5">
        <w:rPr>
          <w:sz w:val="22"/>
          <w:szCs w:val="22"/>
        </w:rPr>
        <w:t>technical diff</w:t>
      </w:r>
      <w:r w:rsidR="002E1C66" w:rsidRPr="004635E5">
        <w:rPr>
          <w:sz w:val="22"/>
          <w:szCs w:val="22"/>
        </w:rPr>
        <w:t xml:space="preserve">iculties </w:t>
      </w:r>
      <w:r w:rsidR="00A16680" w:rsidRPr="004635E5">
        <w:rPr>
          <w:sz w:val="22"/>
          <w:szCs w:val="22"/>
        </w:rPr>
        <w:t xml:space="preserve">facing </w:t>
      </w:r>
      <w:r w:rsidR="002E1C66" w:rsidRPr="004635E5">
        <w:rPr>
          <w:sz w:val="22"/>
          <w:szCs w:val="22"/>
        </w:rPr>
        <w:t xml:space="preserve">analysis in the absence of a </w:t>
      </w:r>
      <w:r w:rsidR="00CA73AC" w:rsidRPr="004635E5">
        <w:rPr>
          <w:sz w:val="22"/>
          <w:szCs w:val="22"/>
        </w:rPr>
        <w:t>mech</w:t>
      </w:r>
      <w:r w:rsidR="002E1C66" w:rsidRPr="004635E5">
        <w:rPr>
          <w:sz w:val="22"/>
          <w:szCs w:val="22"/>
        </w:rPr>
        <w:t>anism</w:t>
      </w:r>
      <w:r w:rsidR="00CA73AC" w:rsidRPr="004635E5">
        <w:rPr>
          <w:sz w:val="22"/>
          <w:szCs w:val="22"/>
        </w:rPr>
        <w:t xml:space="preserve"> to link logbook and obs</w:t>
      </w:r>
      <w:r w:rsidR="002E1C66" w:rsidRPr="004635E5">
        <w:rPr>
          <w:sz w:val="22"/>
          <w:szCs w:val="22"/>
        </w:rPr>
        <w:t>erver</w:t>
      </w:r>
      <w:r w:rsidR="00CA73AC" w:rsidRPr="004635E5">
        <w:rPr>
          <w:sz w:val="22"/>
          <w:szCs w:val="22"/>
        </w:rPr>
        <w:t xml:space="preserve"> data</w:t>
      </w:r>
      <w:r w:rsidR="002E1C66" w:rsidRPr="004635E5">
        <w:rPr>
          <w:sz w:val="22"/>
          <w:szCs w:val="22"/>
        </w:rPr>
        <w:t xml:space="preserve">, and noted this could be facilitated through a requirement </w:t>
      </w:r>
      <w:r w:rsidR="00CA73AC" w:rsidRPr="004635E5">
        <w:rPr>
          <w:sz w:val="22"/>
          <w:szCs w:val="22"/>
        </w:rPr>
        <w:t xml:space="preserve">to log </w:t>
      </w:r>
      <w:r w:rsidR="002E1C66" w:rsidRPr="004635E5">
        <w:rPr>
          <w:sz w:val="22"/>
          <w:szCs w:val="22"/>
        </w:rPr>
        <w:t xml:space="preserve">the </w:t>
      </w:r>
      <w:r w:rsidR="00CA73AC" w:rsidRPr="004635E5">
        <w:rPr>
          <w:sz w:val="22"/>
          <w:szCs w:val="22"/>
        </w:rPr>
        <w:t>date and time</w:t>
      </w:r>
      <w:r w:rsidR="002E1C66" w:rsidRPr="004635E5">
        <w:rPr>
          <w:sz w:val="22"/>
          <w:szCs w:val="22"/>
        </w:rPr>
        <w:t xml:space="preserve"> of sets</w:t>
      </w:r>
      <w:r w:rsidR="00CA73AC" w:rsidRPr="004635E5">
        <w:rPr>
          <w:sz w:val="22"/>
          <w:szCs w:val="22"/>
        </w:rPr>
        <w:t xml:space="preserve">. </w:t>
      </w:r>
      <w:r w:rsidR="002E1C66" w:rsidRPr="004635E5">
        <w:rPr>
          <w:sz w:val="22"/>
          <w:szCs w:val="22"/>
        </w:rPr>
        <w:t xml:space="preserve">SPC clarified that this was required under the </w:t>
      </w:r>
      <w:r w:rsidR="00BB5160">
        <w:rPr>
          <w:rFonts w:eastAsiaTheme="minorEastAsia" w:hint="eastAsia"/>
          <w:sz w:val="22"/>
          <w:szCs w:val="22"/>
          <w:lang w:eastAsia="ko-KR"/>
        </w:rPr>
        <w:t>TUFMAN</w:t>
      </w:r>
      <w:r w:rsidR="00BB5160" w:rsidRPr="004635E5">
        <w:rPr>
          <w:sz w:val="22"/>
          <w:szCs w:val="22"/>
        </w:rPr>
        <w:t xml:space="preserve"> </w:t>
      </w:r>
      <w:r w:rsidR="00CA73AC" w:rsidRPr="004635E5">
        <w:rPr>
          <w:sz w:val="22"/>
          <w:szCs w:val="22"/>
        </w:rPr>
        <w:t>2 obs</w:t>
      </w:r>
      <w:r w:rsidR="002E1C66" w:rsidRPr="004635E5">
        <w:rPr>
          <w:sz w:val="22"/>
          <w:szCs w:val="22"/>
        </w:rPr>
        <w:t xml:space="preserve">erver component, with </w:t>
      </w:r>
      <w:r w:rsidR="00CA73AC" w:rsidRPr="004635E5">
        <w:rPr>
          <w:sz w:val="22"/>
          <w:szCs w:val="22"/>
        </w:rPr>
        <w:t>trip data auto</w:t>
      </w:r>
      <w:r w:rsidR="002E1C66" w:rsidRPr="004635E5">
        <w:rPr>
          <w:sz w:val="22"/>
          <w:szCs w:val="22"/>
        </w:rPr>
        <w:t>-linked to trip log s</w:t>
      </w:r>
      <w:r w:rsidR="00CA73AC" w:rsidRPr="004635E5">
        <w:rPr>
          <w:sz w:val="22"/>
          <w:szCs w:val="22"/>
        </w:rPr>
        <w:t xml:space="preserve">ets. </w:t>
      </w:r>
      <w:r w:rsidR="002E1C66" w:rsidRPr="004635E5">
        <w:rPr>
          <w:sz w:val="22"/>
          <w:szCs w:val="22"/>
        </w:rPr>
        <w:t xml:space="preserve">Australia noted </w:t>
      </w:r>
      <w:r w:rsidR="00236C18" w:rsidRPr="004635E5">
        <w:rPr>
          <w:sz w:val="22"/>
          <w:szCs w:val="22"/>
        </w:rPr>
        <w:t>concerns re</w:t>
      </w:r>
      <w:r w:rsidR="002E1C66" w:rsidRPr="004635E5">
        <w:rPr>
          <w:sz w:val="22"/>
          <w:szCs w:val="22"/>
        </w:rPr>
        <w:t>garding</w:t>
      </w:r>
      <w:r w:rsidR="00236C18" w:rsidRPr="004635E5">
        <w:rPr>
          <w:sz w:val="22"/>
          <w:szCs w:val="22"/>
        </w:rPr>
        <w:t xml:space="preserve"> PSA</w:t>
      </w:r>
      <w:r w:rsidR="00A16680" w:rsidRPr="004635E5">
        <w:rPr>
          <w:sz w:val="22"/>
          <w:szCs w:val="22"/>
        </w:rPr>
        <w:t>s</w:t>
      </w:r>
      <w:r w:rsidR="00236C18" w:rsidRPr="004635E5">
        <w:rPr>
          <w:sz w:val="22"/>
          <w:szCs w:val="22"/>
        </w:rPr>
        <w:t xml:space="preserve">, </w:t>
      </w:r>
      <w:r w:rsidR="002E1C66" w:rsidRPr="004635E5">
        <w:rPr>
          <w:sz w:val="22"/>
          <w:szCs w:val="22"/>
        </w:rPr>
        <w:t xml:space="preserve">and inquired regarding </w:t>
      </w:r>
      <w:r w:rsidR="00236C18" w:rsidRPr="004635E5">
        <w:rPr>
          <w:sz w:val="22"/>
          <w:szCs w:val="22"/>
        </w:rPr>
        <w:t>consider</w:t>
      </w:r>
      <w:r w:rsidR="002E1C66" w:rsidRPr="004635E5">
        <w:rPr>
          <w:sz w:val="22"/>
          <w:szCs w:val="22"/>
        </w:rPr>
        <w:t xml:space="preserve">ation of </w:t>
      </w:r>
      <w:r w:rsidR="00236C18" w:rsidRPr="004635E5">
        <w:rPr>
          <w:sz w:val="22"/>
          <w:szCs w:val="22"/>
        </w:rPr>
        <w:t xml:space="preserve">area-based methods that provide estimates of F, </w:t>
      </w:r>
      <w:r w:rsidR="00A16680" w:rsidRPr="004635E5">
        <w:rPr>
          <w:sz w:val="22"/>
          <w:szCs w:val="22"/>
        </w:rPr>
        <w:t xml:space="preserve">yet </w:t>
      </w:r>
      <w:r w:rsidR="00236C18" w:rsidRPr="004635E5">
        <w:rPr>
          <w:sz w:val="22"/>
          <w:szCs w:val="22"/>
        </w:rPr>
        <w:t xml:space="preserve">are relatively data poor. </w:t>
      </w:r>
      <w:r w:rsidR="002E1C66" w:rsidRPr="004635E5">
        <w:rPr>
          <w:sz w:val="22"/>
          <w:szCs w:val="22"/>
        </w:rPr>
        <w:t xml:space="preserve">SPC noted the suggestion and indicated that a </w:t>
      </w:r>
      <w:r w:rsidR="00236C18" w:rsidRPr="004635E5">
        <w:rPr>
          <w:sz w:val="22"/>
          <w:szCs w:val="22"/>
        </w:rPr>
        <w:t xml:space="preserve">PSA would help </w:t>
      </w:r>
      <w:r w:rsidR="002E1C66" w:rsidRPr="004635E5">
        <w:rPr>
          <w:sz w:val="22"/>
          <w:szCs w:val="22"/>
        </w:rPr>
        <w:t xml:space="preserve">identify </w:t>
      </w:r>
      <w:r w:rsidR="00236C18" w:rsidRPr="004635E5">
        <w:rPr>
          <w:sz w:val="22"/>
          <w:szCs w:val="22"/>
        </w:rPr>
        <w:t>species need</w:t>
      </w:r>
      <w:r w:rsidR="002E1C66" w:rsidRPr="004635E5">
        <w:rPr>
          <w:sz w:val="22"/>
          <w:szCs w:val="22"/>
        </w:rPr>
        <w:t>ing</w:t>
      </w:r>
      <w:r w:rsidR="00236C18" w:rsidRPr="004635E5">
        <w:rPr>
          <w:sz w:val="22"/>
          <w:szCs w:val="22"/>
        </w:rPr>
        <w:t xml:space="preserve"> further work</w:t>
      </w:r>
      <w:r w:rsidR="002E1C66" w:rsidRPr="004635E5">
        <w:rPr>
          <w:sz w:val="22"/>
          <w:szCs w:val="22"/>
        </w:rPr>
        <w:t xml:space="preserve">, and </w:t>
      </w:r>
      <w:r w:rsidR="00236C18" w:rsidRPr="004635E5">
        <w:rPr>
          <w:sz w:val="22"/>
          <w:szCs w:val="22"/>
        </w:rPr>
        <w:t>could be done r</w:t>
      </w:r>
      <w:r w:rsidR="002E1C66" w:rsidRPr="004635E5">
        <w:rPr>
          <w:sz w:val="22"/>
          <w:szCs w:val="22"/>
        </w:rPr>
        <w:t>e</w:t>
      </w:r>
      <w:r w:rsidR="00236C18" w:rsidRPr="004635E5">
        <w:rPr>
          <w:sz w:val="22"/>
          <w:szCs w:val="22"/>
        </w:rPr>
        <w:t>latively quickly.</w:t>
      </w:r>
    </w:p>
    <w:p w14:paraId="5E811983" w14:textId="77777777" w:rsidR="002A4403" w:rsidRPr="004635E5" w:rsidRDefault="002A4403" w:rsidP="006633A8">
      <w:pPr>
        <w:autoSpaceDE w:val="0"/>
        <w:autoSpaceDN w:val="0"/>
        <w:adjustRightInd w:val="0"/>
        <w:snapToGrid w:val="0"/>
        <w:jc w:val="both"/>
        <w:rPr>
          <w:sz w:val="22"/>
          <w:szCs w:val="22"/>
        </w:rPr>
      </w:pPr>
    </w:p>
    <w:p w14:paraId="19BCAE67" w14:textId="77777777" w:rsidR="00236C18" w:rsidRPr="004635E5" w:rsidRDefault="00236C18" w:rsidP="006633A8">
      <w:pPr>
        <w:pStyle w:val="WCPFC"/>
        <w:autoSpaceDE w:val="0"/>
        <w:autoSpaceDN w:val="0"/>
        <w:adjustRightInd w:val="0"/>
        <w:spacing w:after="0"/>
        <w:ind w:left="0" w:firstLine="0"/>
        <w:rPr>
          <w:rFonts w:cs="Times New Roman"/>
        </w:rPr>
      </w:pPr>
      <w:r w:rsidRPr="004635E5">
        <w:rPr>
          <w:rFonts w:cs="Times New Roman"/>
        </w:rPr>
        <w:t>PNG</w:t>
      </w:r>
      <w:r w:rsidR="00A16680" w:rsidRPr="004635E5">
        <w:rPr>
          <w:rFonts w:cs="Times New Roman"/>
        </w:rPr>
        <w:t xml:space="preserve"> stated they would like </w:t>
      </w:r>
      <w:r w:rsidR="00B96EDF">
        <w:rPr>
          <w:rFonts w:cs="Times New Roman" w:hint="eastAsia"/>
          <w:lang w:eastAsia="ko-KR"/>
        </w:rPr>
        <w:t xml:space="preserve">to </w:t>
      </w:r>
      <w:r w:rsidR="0039429B" w:rsidRPr="004635E5">
        <w:rPr>
          <w:rFonts w:cs="Times New Roman"/>
        </w:rPr>
        <w:t xml:space="preserve">see the stock assessment schedule </w:t>
      </w:r>
      <w:r w:rsidR="00A16680" w:rsidRPr="004635E5">
        <w:rPr>
          <w:rFonts w:cs="Times New Roman"/>
        </w:rPr>
        <w:t xml:space="preserve">removed </w:t>
      </w:r>
      <w:r w:rsidR="0039429B" w:rsidRPr="004635E5">
        <w:rPr>
          <w:rFonts w:cs="Times New Roman"/>
        </w:rPr>
        <w:t>from the shark research plan, and have it placed as a standing reference table in the SC’s work plan</w:t>
      </w:r>
      <w:r w:rsidR="00A16680" w:rsidRPr="004635E5">
        <w:rPr>
          <w:rFonts w:cs="Times New Roman"/>
        </w:rPr>
        <w:t xml:space="preserve">, as it was </w:t>
      </w:r>
      <w:r w:rsidR="0039429B" w:rsidRPr="004635E5">
        <w:rPr>
          <w:rFonts w:cs="Times New Roman"/>
        </w:rPr>
        <w:t>currently oddly placed.</w:t>
      </w:r>
    </w:p>
    <w:p w14:paraId="767B69E6" w14:textId="77777777" w:rsidR="002A4403" w:rsidRPr="004635E5" w:rsidRDefault="002A4403" w:rsidP="006633A8">
      <w:pPr>
        <w:pStyle w:val="WCPFC"/>
        <w:numPr>
          <w:ilvl w:val="0"/>
          <w:numId w:val="0"/>
        </w:numPr>
        <w:autoSpaceDE w:val="0"/>
        <w:autoSpaceDN w:val="0"/>
        <w:adjustRightInd w:val="0"/>
        <w:spacing w:after="0"/>
        <w:rPr>
          <w:rFonts w:cs="Times New Roman"/>
        </w:rPr>
      </w:pPr>
    </w:p>
    <w:p w14:paraId="779A9D81" w14:textId="77777777" w:rsidR="002E1C66" w:rsidRPr="004635E5" w:rsidRDefault="002E1C66" w:rsidP="00580EA4">
      <w:pPr>
        <w:numPr>
          <w:ilvl w:val="0"/>
          <w:numId w:val="18"/>
        </w:numPr>
        <w:autoSpaceDE w:val="0"/>
        <w:autoSpaceDN w:val="0"/>
        <w:adjustRightInd w:val="0"/>
        <w:snapToGrid w:val="0"/>
        <w:ind w:left="0" w:firstLine="0"/>
        <w:jc w:val="both"/>
        <w:rPr>
          <w:sz w:val="22"/>
          <w:szCs w:val="22"/>
        </w:rPr>
      </w:pPr>
      <w:r w:rsidRPr="004635E5">
        <w:rPr>
          <w:sz w:val="22"/>
          <w:szCs w:val="22"/>
        </w:rPr>
        <w:t xml:space="preserve">In response to a comment from </w:t>
      </w:r>
      <w:r w:rsidR="00236C18" w:rsidRPr="004635E5">
        <w:rPr>
          <w:sz w:val="22"/>
          <w:szCs w:val="22"/>
        </w:rPr>
        <w:t>China</w:t>
      </w:r>
      <w:r w:rsidRPr="004635E5">
        <w:rPr>
          <w:sz w:val="22"/>
          <w:szCs w:val="22"/>
        </w:rPr>
        <w:t xml:space="preserve"> regarding varying observer coverage metrics, </w:t>
      </w:r>
      <w:r w:rsidR="00D71E62" w:rsidRPr="004635E5">
        <w:rPr>
          <w:sz w:val="22"/>
          <w:szCs w:val="22"/>
        </w:rPr>
        <w:t xml:space="preserve">J. Rice </w:t>
      </w:r>
      <w:r w:rsidRPr="004635E5">
        <w:rPr>
          <w:sz w:val="22"/>
          <w:szCs w:val="22"/>
        </w:rPr>
        <w:t xml:space="preserve">noted that it was important to quantify effective observed effort vs. total effort. This could only be achieved through hooks, and was usually quantified as CPUE/hooks, with a recommendation that coverage reach 5% of hooks. </w:t>
      </w:r>
    </w:p>
    <w:p w14:paraId="01994EEF" w14:textId="77777777" w:rsidR="002A4403" w:rsidRPr="004635E5" w:rsidRDefault="002A4403" w:rsidP="006633A8">
      <w:pPr>
        <w:autoSpaceDE w:val="0"/>
        <w:autoSpaceDN w:val="0"/>
        <w:adjustRightInd w:val="0"/>
        <w:snapToGrid w:val="0"/>
        <w:jc w:val="both"/>
        <w:rPr>
          <w:sz w:val="22"/>
          <w:szCs w:val="22"/>
        </w:rPr>
      </w:pPr>
    </w:p>
    <w:p w14:paraId="7175DE0B" w14:textId="77777777" w:rsidR="00AB65E4" w:rsidRPr="004635E5" w:rsidRDefault="00296DA5" w:rsidP="00580EA4">
      <w:pPr>
        <w:numPr>
          <w:ilvl w:val="0"/>
          <w:numId w:val="18"/>
        </w:numPr>
        <w:autoSpaceDE w:val="0"/>
        <w:autoSpaceDN w:val="0"/>
        <w:adjustRightInd w:val="0"/>
        <w:snapToGrid w:val="0"/>
        <w:ind w:left="0" w:firstLine="0"/>
        <w:jc w:val="both"/>
        <w:rPr>
          <w:sz w:val="22"/>
          <w:szCs w:val="22"/>
        </w:rPr>
      </w:pPr>
      <w:r w:rsidRPr="004635E5">
        <w:rPr>
          <w:sz w:val="22"/>
          <w:szCs w:val="22"/>
        </w:rPr>
        <w:t>Aus</w:t>
      </w:r>
      <w:r w:rsidR="00D71E62" w:rsidRPr="004635E5">
        <w:rPr>
          <w:sz w:val="22"/>
          <w:szCs w:val="22"/>
        </w:rPr>
        <w:t>tralia commented they were hesitant to support the recommendation for carrying out a PSA, noting the need to take into account issues raised by SC14-</w:t>
      </w:r>
      <w:r w:rsidRPr="004635E5">
        <w:rPr>
          <w:sz w:val="22"/>
          <w:szCs w:val="22"/>
        </w:rPr>
        <w:t>MI</w:t>
      </w:r>
      <w:r w:rsidR="00D71E62" w:rsidRPr="004635E5">
        <w:rPr>
          <w:sz w:val="22"/>
          <w:szCs w:val="22"/>
        </w:rPr>
        <w:t>-</w:t>
      </w:r>
      <w:r w:rsidRPr="004635E5">
        <w:rPr>
          <w:sz w:val="22"/>
          <w:szCs w:val="22"/>
        </w:rPr>
        <w:t>WP-07</w:t>
      </w:r>
      <w:r w:rsidR="00D71E62" w:rsidRPr="004635E5">
        <w:rPr>
          <w:sz w:val="22"/>
          <w:szCs w:val="22"/>
        </w:rPr>
        <w:t xml:space="preserve">. The </w:t>
      </w:r>
      <w:r w:rsidRPr="004635E5">
        <w:rPr>
          <w:sz w:val="22"/>
          <w:szCs w:val="22"/>
        </w:rPr>
        <w:t>EU</w:t>
      </w:r>
      <w:r w:rsidR="00D71E62" w:rsidRPr="004635E5">
        <w:rPr>
          <w:sz w:val="22"/>
          <w:szCs w:val="22"/>
        </w:rPr>
        <w:t xml:space="preserve"> concurred, and inquired regarding the </w:t>
      </w:r>
      <w:r w:rsidRPr="004635E5">
        <w:rPr>
          <w:sz w:val="22"/>
          <w:szCs w:val="22"/>
        </w:rPr>
        <w:t>purpose</w:t>
      </w:r>
      <w:r w:rsidR="00D71E62" w:rsidRPr="004635E5">
        <w:rPr>
          <w:sz w:val="22"/>
          <w:szCs w:val="22"/>
        </w:rPr>
        <w:t xml:space="preserve"> of the recommendation to increase coverage to </w:t>
      </w:r>
      <w:r w:rsidRPr="004635E5">
        <w:rPr>
          <w:sz w:val="22"/>
          <w:szCs w:val="22"/>
        </w:rPr>
        <w:t xml:space="preserve">5% </w:t>
      </w:r>
      <w:r w:rsidR="00D71E62" w:rsidRPr="004635E5">
        <w:rPr>
          <w:sz w:val="22"/>
          <w:szCs w:val="22"/>
        </w:rPr>
        <w:t xml:space="preserve">by hooks, while noting that </w:t>
      </w:r>
      <w:r w:rsidRPr="004635E5">
        <w:rPr>
          <w:sz w:val="22"/>
          <w:szCs w:val="22"/>
        </w:rPr>
        <w:t xml:space="preserve">even 5% </w:t>
      </w:r>
      <w:r w:rsidR="00D71E62" w:rsidRPr="004635E5">
        <w:rPr>
          <w:sz w:val="22"/>
          <w:szCs w:val="22"/>
        </w:rPr>
        <w:t xml:space="preserve">was </w:t>
      </w:r>
      <w:r w:rsidRPr="004635E5">
        <w:rPr>
          <w:sz w:val="22"/>
          <w:szCs w:val="22"/>
        </w:rPr>
        <w:t xml:space="preserve">not enough. </w:t>
      </w:r>
      <w:r w:rsidR="00D71E62" w:rsidRPr="004635E5">
        <w:rPr>
          <w:sz w:val="22"/>
          <w:szCs w:val="22"/>
        </w:rPr>
        <w:t xml:space="preserve">J. Rice discussed the fate </w:t>
      </w:r>
      <w:r w:rsidR="00AB65E4" w:rsidRPr="004635E5">
        <w:rPr>
          <w:sz w:val="22"/>
          <w:szCs w:val="22"/>
        </w:rPr>
        <w:t>of silky shark</w:t>
      </w:r>
      <w:r w:rsidR="00D71E62" w:rsidRPr="004635E5">
        <w:rPr>
          <w:sz w:val="22"/>
          <w:szCs w:val="22"/>
        </w:rPr>
        <w:t>s</w:t>
      </w:r>
      <w:r w:rsidR="00AB65E4" w:rsidRPr="004635E5">
        <w:rPr>
          <w:sz w:val="22"/>
          <w:szCs w:val="22"/>
        </w:rPr>
        <w:t xml:space="preserve"> caught </w:t>
      </w:r>
      <w:r w:rsidR="00D71E62" w:rsidRPr="004635E5">
        <w:rPr>
          <w:sz w:val="22"/>
          <w:szCs w:val="22"/>
        </w:rPr>
        <w:t xml:space="preserve">by </w:t>
      </w:r>
      <w:r w:rsidR="004421B3" w:rsidRPr="004635E5">
        <w:rPr>
          <w:sz w:val="22"/>
          <w:szCs w:val="22"/>
        </w:rPr>
        <w:t>longline</w:t>
      </w:r>
      <w:r w:rsidR="00AB65E4" w:rsidRPr="004635E5">
        <w:rPr>
          <w:sz w:val="22"/>
          <w:szCs w:val="22"/>
        </w:rPr>
        <w:t xml:space="preserve"> vessels</w:t>
      </w:r>
      <w:r w:rsidR="00D71E62" w:rsidRPr="004635E5">
        <w:rPr>
          <w:sz w:val="22"/>
          <w:szCs w:val="22"/>
        </w:rPr>
        <w:t xml:space="preserve">, and the </w:t>
      </w:r>
      <w:r w:rsidR="00AB65E4" w:rsidRPr="004635E5">
        <w:rPr>
          <w:sz w:val="22"/>
          <w:szCs w:val="22"/>
        </w:rPr>
        <w:t xml:space="preserve">likely effect of </w:t>
      </w:r>
      <w:r w:rsidR="00D71E62" w:rsidRPr="004635E5">
        <w:rPr>
          <w:sz w:val="22"/>
          <w:szCs w:val="22"/>
        </w:rPr>
        <w:t xml:space="preserve">the </w:t>
      </w:r>
      <w:r w:rsidR="00AB65E4" w:rsidRPr="004635E5">
        <w:rPr>
          <w:sz w:val="22"/>
          <w:szCs w:val="22"/>
        </w:rPr>
        <w:t>CMM</w:t>
      </w:r>
      <w:r w:rsidR="00D71E62" w:rsidRPr="004635E5">
        <w:rPr>
          <w:sz w:val="22"/>
          <w:szCs w:val="22"/>
        </w:rPr>
        <w:t>, noting m</w:t>
      </w:r>
      <w:r w:rsidR="00AB65E4" w:rsidRPr="004635E5">
        <w:rPr>
          <w:sz w:val="22"/>
          <w:szCs w:val="22"/>
        </w:rPr>
        <w:t xml:space="preserve">ost kept were landed with fins attached. </w:t>
      </w:r>
      <w:r w:rsidR="00A16680" w:rsidRPr="004635E5">
        <w:rPr>
          <w:sz w:val="22"/>
          <w:szCs w:val="22"/>
        </w:rPr>
        <w:t xml:space="preserve">The </w:t>
      </w:r>
      <w:r w:rsidR="00D71E62" w:rsidRPr="004635E5">
        <w:rPr>
          <w:sz w:val="22"/>
          <w:szCs w:val="22"/>
        </w:rPr>
        <w:t xml:space="preserve">FAO supported using a different approach than a </w:t>
      </w:r>
      <w:r w:rsidR="00AB65E4" w:rsidRPr="004635E5">
        <w:rPr>
          <w:sz w:val="22"/>
          <w:szCs w:val="22"/>
        </w:rPr>
        <w:t>PSA</w:t>
      </w:r>
      <w:r w:rsidR="00D71E62" w:rsidRPr="004635E5">
        <w:rPr>
          <w:sz w:val="22"/>
          <w:szCs w:val="22"/>
        </w:rPr>
        <w:t xml:space="preserve"> </w:t>
      </w:r>
      <w:r w:rsidR="00723322" w:rsidRPr="004635E5">
        <w:rPr>
          <w:sz w:val="22"/>
          <w:szCs w:val="22"/>
        </w:rPr>
        <w:t>to prioritize</w:t>
      </w:r>
      <w:r w:rsidR="00D71E62" w:rsidRPr="004635E5">
        <w:rPr>
          <w:sz w:val="22"/>
          <w:szCs w:val="22"/>
        </w:rPr>
        <w:t xml:space="preserve"> species, and suggested looking at the </w:t>
      </w:r>
      <w:r w:rsidR="00AB65E4" w:rsidRPr="004635E5">
        <w:rPr>
          <w:sz w:val="22"/>
          <w:szCs w:val="22"/>
        </w:rPr>
        <w:t xml:space="preserve">key species </w:t>
      </w:r>
      <w:r w:rsidR="00D71E62" w:rsidRPr="004635E5">
        <w:rPr>
          <w:sz w:val="22"/>
          <w:szCs w:val="22"/>
        </w:rPr>
        <w:t xml:space="preserve">for which </w:t>
      </w:r>
      <w:r w:rsidR="00AB65E4" w:rsidRPr="004635E5">
        <w:rPr>
          <w:sz w:val="22"/>
          <w:szCs w:val="22"/>
        </w:rPr>
        <w:t>an est</w:t>
      </w:r>
      <w:r w:rsidR="00D71E62" w:rsidRPr="004635E5">
        <w:rPr>
          <w:sz w:val="22"/>
          <w:szCs w:val="22"/>
        </w:rPr>
        <w:t>imate</w:t>
      </w:r>
      <w:r w:rsidR="00AB65E4" w:rsidRPr="004635E5">
        <w:rPr>
          <w:sz w:val="22"/>
          <w:szCs w:val="22"/>
        </w:rPr>
        <w:t xml:space="preserve"> </w:t>
      </w:r>
      <w:r w:rsidR="00723322" w:rsidRPr="004635E5">
        <w:rPr>
          <w:sz w:val="22"/>
          <w:szCs w:val="22"/>
        </w:rPr>
        <w:t>of</w:t>
      </w:r>
      <w:r w:rsidR="00F81EF0">
        <w:rPr>
          <w:sz w:val="22"/>
          <w:szCs w:val="22"/>
        </w:rPr>
        <w:t xml:space="preserve"> </w:t>
      </w:r>
      <w:r w:rsidR="00AB65E4" w:rsidRPr="004635E5">
        <w:rPr>
          <w:sz w:val="22"/>
          <w:szCs w:val="22"/>
        </w:rPr>
        <w:t>F or depletion</w:t>
      </w:r>
      <w:r w:rsidR="00D71E62" w:rsidRPr="004635E5">
        <w:rPr>
          <w:sz w:val="22"/>
          <w:szCs w:val="22"/>
        </w:rPr>
        <w:t xml:space="preserve"> could be established, noting a </w:t>
      </w:r>
      <w:r w:rsidR="00723322" w:rsidRPr="004635E5">
        <w:rPr>
          <w:sz w:val="22"/>
          <w:szCs w:val="22"/>
        </w:rPr>
        <w:t>range of assessment types</w:t>
      </w:r>
      <w:r w:rsidR="00D71E62" w:rsidRPr="004635E5">
        <w:rPr>
          <w:sz w:val="22"/>
          <w:szCs w:val="22"/>
        </w:rPr>
        <w:t xml:space="preserve"> could be used</w:t>
      </w:r>
      <w:r w:rsidR="00A16680" w:rsidRPr="004635E5">
        <w:rPr>
          <w:sz w:val="22"/>
          <w:szCs w:val="22"/>
        </w:rPr>
        <w:t xml:space="preserve">. </w:t>
      </w:r>
    </w:p>
    <w:p w14:paraId="51D4472E" w14:textId="77777777" w:rsidR="002A4403" w:rsidRPr="004635E5" w:rsidRDefault="002A4403" w:rsidP="006633A8">
      <w:pPr>
        <w:autoSpaceDE w:val="0"/>
        <w:autoSpaceDN w:val="0"/>
        <w:adjustRightInd w:val="0"/>
        <w:snapToGrid w:val="0"/>
        <w:jc w:val="both"/>
        <w:rPr>
          <w:sz w:val="22"/>
          <w:szCs w:val="22"/>
        </w:rPr>
      </w:pPr>
    </w:p>
    <w:p w14:paraId="57BB8667" w14:textId="77777777" w:rsidR="002A4403" w:rsidRPr="004635E5" w:rsidRDefault="00615099" w:rsidP="00671F09">
      <w:pPr>
        <w:pStyle w:val="SCa"/>
        <w:tabs>
          <w:tab w:val="clear" w:pos="1080"/>
        </w:tabs>
        <w:spacing w:after="0"/>
        <w:ind w:left="0"/>
      </w:pPr>
      <w:r w:rsidRPr="004635E5">
        <w:t>b.</w:t>
      </w:r>
      <w:r w:rsidR="003207CC" w:rsidRPr="004635E5">
        <w:tab/>
      </w:r>
      <w:r w:rsidRPr="004635E5">
        <w:t>Shark research plan update</w:t>
      </w:r>
    </w:p>
    <w:p w14:paraId="501FFD53" w14:textId="77777777" w:rsidR="002A4403" w:rsidRPr="004635E5" w:rsidRDefault="002A4403" w:rsidP="006633A8">
      <w:pPr>
        <w:pStyle w:val="SCa"/>
        <w:spacing w:after="0"/>
      </w:pPr>
    </w:p>
    <w:p w14:paraId="7646462C" w14:textId="77777777" w:rsidR="003024B1" w:rsidRPr="004635E5" w:rsidRDefault="00A16680" w:rsidP="00580EA4">
      <w:pPr>
        <w:numPr>
          <w:ilvl w:val="0"/>
          <w:numId w:val="18"/>
        </w:numPr>
        <w:autoSpaceDE w:val="0"/>
        <w:autoSpaceDN w:val="0"/>
        <w:adjustRightInd w:val="0"/>
        <w:snapToGrid w:val="0"/>
        <w:ind w:left="0" w:firstLine="0"/>
        <w:jc w:val="both"/>
        <w:rPr>
          <w:sz w:val="22"/>
          <w:szCs w:val="22"/>
        </w:rPr>
      </w:pPr>
      <w:r w:rsidRPr="004635E5">
        <w:rPr>
          <w:sz w:val="22"/>
          <w:szCs w:val="22"/>
        </w:rPr>
        <w:t>S.</w:t>
      </w:r>
      <w:r w:rsidR="003024B1" w:rsidRPr="004635E5">
        <w:rPr>
          <w:sz w:val="22"/>
          <w:szCs w:val="22"/>
        </w:rPr>
        <w:t xml:space="preserve"> Brouwer (SPC-OFP) presented SC14-EB-WP-04 </w:t>
      </w:r>
      <w:r w:rsidR="003024B1" w:rsidRPr="004635E5">
        <w:rPr>
          <w:i/>
          <w:sz w:val="22"/>
          <w:szCs w:val="22"/>
        </w:rPr>
        <w:t xml:space="preserve">Progress on the </w:t>
      </w:r>
      <w:r w:rsidR="00B76C74">
        <w:rPr>
          <w:rFonts w:eastAsiaTheme="minorEastAsia" w:hint="eastAsia"/>
          <w:i/>
          <w:sz w:val="22"/>
          <w:szCs w:val="22"/>
          <w:lang w:eastAsia="ko-KR"/>
        </w:rPr>
        <w:t>WCPFC</w:t>
      </w:r>
      <w:r w:rsidR="00B76C74" w:rsidRPr="004635E5">
        <w:rPr>
          <w:i/>
          <w:sz w:val="22"/>
          <w:szCs w:val="22"/>
        </w:rPr>
        <w:t xml:space="preserve"> </w:t>
      </w:r>
      <w:r w:rsidR="003024B1" w:rsidRPr="004635E5">
        <w:rPr>
          <w:i/>
          <w:sz w:val="22"/>
          <w:szCs w:val="22"/>
        </w:rPr>
        <w:t>stock assessments and shark research plan</w:t>
      </w:r>
      <w:r w:rsidR="003024B1" w:rsidRPr="004635E5">
        <w:rPr>
          <w:sz w:val="22"/>
          <w:szCs w:val="22"/>
        </w:rPr>
        <w:t xml:space="preserve"> (summary table), which provided an update and outlined previously agreed work and potential new work for 2019. SC14 was invited to review those projects and the stock assessment schedule, which included the shark research plan; recommend any changes to project list; and provide indicative budgets for each project. </w:t>
      </w:r>
    </w:p>
    <w:p w14:paraId="00FEEAD8" w14:textId="77777777" w:rsidR="002A4403" w:rsidRPr="004635E5" w:rsidRDefault="002A4403" w:rsidP="006633A8">
      <w:pPr>
        <w:autoSpaceDE w:val="0"/>
        <w:autoSpaceDN w:val="0"/>
        <w:adjustRightInd w:val="0"/>
        <w:snapToGrid w:val="0"/>
        <w:jc w:val="both"/>
        <w:rPr>
          <w:sz w:val="22"/>
          <w:szCs w:val="22"/>
        </w:rPr>
      </w:pPr>
    </w:p>
    <w:p w14:paraId="4E840076" w14:textId="77777777" w:rsidR="003024B1" w:rsidRPr="004635E5" w:rsidRDefault="003024B1" w:rsidP="006633A8">
      <w:pPr>
        <w:autoSpaceDE w:val="0"/>
        <w:autoSpaceDN w:val="0"/>
        <w:adjustRightInd w:val="0"/>
        <w:snapToGrid w:val="0"/>
        <w:jc w:val="both"/>
        <w:rPr>
          <w:b/>
          <w:sz w:val="22"/>
          <w:szCs w:val="22"/>
        </w:rPr>
      </w:pPr>
      <w:r w:rsidRPr="004635E5">
        <w:rPr>
          <w:b/>
          <w:sz w:val="22"/>
          <w:szCs w:val="22"/>
        </w:rPr>
        <w:t>Discussion</w:t>
      </w:r>
    </w:p>
    <w:p w14:paraId="39129E36" w14:textId="77777777" w:rsidR="002A4403" w:rsidRPr="004635E5" w:rsidRDefault="002A4403" w:rsidP="006633A8">
      <w:pPr>
        <w:autoSpaceDE w:val="0"/>
        <w:autoSpaceDN w:val="0"/>
        <w:adjustRightInd w:val="0"/>
        <w:snapToGrid w:val="0"/>
        <w:jc w:val="both"/>
        <w:rPr>
          <w:b/>
          <w:sz w:val="22"/>
          <w:szCs w:val="22"/>
        </w:rPr>
      </w:pPr>
    </w:p>
    <w:p w14:paraId="1A4C5FC7" w14:textId="77777777" w:rsidR="008E4CA2" w:rsidRPr="004635E5" w:rsidRDefault="00D71E62" w:rsidP="00580EA4">
      <w:pPr>
        <w:numPr>
          <w:ilvl w:val="0"/>
          <w:numId w:val="18"/>
        </w:numPr>
        <w:autoSpaceDE w:val="0"/>
        <w:autoSpaceDN w:val="0"/>
        <w:adjustRightInd w:val="0"/>
        <w:snapToGrid w:val="0"/>
        <w:ind w:left="0" w:firstLine="0"/>
        <w:jc w:val="both"/>
        <w:rPr>
          <w:sz w:val="22"/>
          <w:szCs w:val="22"/>
        </w:rPr>
      </w:pPr>
      <w:r w:rsidRPr="004635E5">
        <w:rPr>
          <w:sz w:val="22"/>
          <w:szCs w:val="22"/>
        </w:rPr>
        <w:t xml:space="preserve">In response to a query from </w:t>
      </w:r>
      <w:r w:rsidR="003024B1" w:rsidRPr="004635E5">
        <w:rPr>
          <w:sz w:val="22"/>
          <w:szCs w:val="22"/>
        </w:rPr>
        <w:t>Chinese Taipei</w:t>
      </w:r>
      <w:r w:rsidRPr="004635E5">
        <w:rPr>
          <w:sz w:val="22"/>
          <w:szCs w:val="22"/>
        </w:rPr>
        <w:t xml:space="preserve">, S. Brouwer noted that the </w:t>
      </w:r>
      <w:r w:rsidR="003024B1" w:rsidRPr="004635E5">
        <w:rPr>
          <w:sz w:val="22"/>
          <w:szCs w:val="22"/>
        </w:rPr>
        <w:t xml:space="preserve">intent </w:t>
      </w:r>
      <w:r w:rsidRPr="004635E5">
        <w:rPr>
          <w:sz w:val="22"/>
          <w:szCs w:val="22"/>
        </w:rPr>
        <w:t xml:space="preserve">was </w:t>
      </w:r>
      <w:r w:rsidR="003024B1" w:rsidRPr="004635E5">
        <w:rPr>
          <w:sz w:val="22"/>
          <w:szCs w:val="22"/>
        </w:rPr>
        <w:t>to review avail</w:t>
      </w:r>
      <w:r w:rsidRPr="004635E5">
        <w:rPr>
          <w:sz w:val="22"/>
          <w:szCs w:val="22"/>
        </w:rPr>
        <w:t>able</w:t>
      </w:r>
      <w:r w:rsidR="00F81EF0">
        <w:rPr>
          <w:sz w:val="22"/>
          <w:szCs w:val="22"/>
        </w:rPr>
        <w:t xml:space="preserve"> </w:t>
      </w:r>
      <w:r w:rsidR="003024B1" w:rsidRPr="004635E5">
        <w:rPr>
          <w:sz w:val="22"/>
          <w:szCs w:val="22"/>
        </w:rPr>
        <w:t>info</w:t>
      </w:r>
      <w:r w:rsidRPr="004635E5">
        <w:rPr>
          <w:sz w:val="22"/>
          <w:szCs w:val="22"/>
        </w:rPr>
        <w:t>rmation, and deter</w:t>
      </w:r>
      <w:r w:rsidR="003024B1" w:rsidRPr="004635E5">
        <w:rPr>
          <w:sz w:val="22"/>
          <w:szCs w:val="22"/>
        </w:rPr>
        <w:t xml:space="preserve">mine when and where to collect </w:t>
      </w:r>
      <w:r w:rsidRPr="004635E5">
        <w:rPr>
          <w:sz w:val="22"/>
          <w:szCs w:val="22"/>
        </w:rPr>
        <w:t>biological samples for hammerhead</w:t>
      </w:r>
      <w:r w:rsidR="003024B1" w:rsidRPr="004635E5">
        <w:rPr>
          <w:sz w:val="22"/>
          <w:szCs w:val="22"/>
        </w:rPr>
        <w:t xml:space="preserve">. </w:t>
      </w:r>
      <w:r w:rsidRPr="004635E5">
        <w:rPr>
          <w:sz w:val="22"/>
          <w:szCs w:val="22"/>
        </w:rPr>
        <w:t xml:space="preserve">Australia and the EU noted the </w:t>
      </w:r>
      <w:r w:rsidR="003024B1" w:rsidRPr="004635E5">
        <w:rPr>
          <w:sz w:val="22"/>
          <w:szCs w:val="22"/>
        </w:rPr>
        <w:t xml:space="preserve">need </w:t>
      </w:r>
      <w:r w:rsidRPr="004635E5">
        <w:rPr>
          <w:sz w:val="22"/>
          <w:szCs w:val="22"/>
        </w:rPr>
        <w:t>for ISG</w:t>
      </w:r>
      <w:r w:rsidR="00A16680" w:rsidRPr="004635E5">
        <w:rPr>
          <w:sz w:val="22"/>
          <w:szCs w:val="22"/>
        </w:rPr>
        <w:t>-07</w:t>
      </w:r>
      <w:r w:rsidRPr="004635E5">
        <w:rPr>
          <w:sz w:val="22"/>
          <w:szCs w:val="22"/>
        </w:rPr>
        <w:t xml:space="preserve"> to consider </w:t>
      </w:r>
      <w:r w:rsidR="003024B1" w:rsidRPr="004635E5">
        <w:rPr>
          <w:sz w:val="22"/>
          <w:szCs w:val="22"/>
        </w:rPr>
        <w:t>sched</w:t>
      </w:r>
      <w:r w:rsidRPr="004635E5">
        <w:rPr>
          <w:sz w:val="22"/>
          <w:szCs w:val="22"/>
        </w:rPr>
        <w:t xml:space="preserve">uling of </w:t>
      </w:r>
      <w:r w:rsidR="003024B1" w:rsidRPr="004635E5">
        <w:rPr>
          <w:sz w:val="22"/>
          <w:szCs w:val="22"/>
        </w:rPr>
        <w:t>ass</w:t>
      </w:r>
      <w:r w:rsidRPr="004635E5">
        <w:rPr>
          <w:sz w:val="22"/>
          <w:szCs w:val="22"/>
        </w:rPr>
        <w:t xml:space="preserve">essments, </w:t>
      </w:r>
      <w:r w:rsidR="003024B1" w:rsidRPr="004635E5">
        <w:rPr>
          <w:sz w:val="22"/>
          <w:szCs w:val="22"/>
        </w:rPr>
        <w:t>what type</w:t>
      </w:r>
      <w:r w:rsidR="00BB5160">
        <w:rPr>
          <w:rFonts w:eastAsiaTheme="minorEastAsia" w:hint="eastAsia"/>
          <w:sz w:val="22"/>
          <w:szCs w:val="22"/>
          <w:lang w:eastAsia="ko-KR"/>
        </w:rPr>
        <w:t>s</w:t>
      </w:r>
      <w:r w:rsidR="003024B1" w:rsidRPr="004635E5">
        <w:rPr>
          <w:sz w:val="22"/>
          <w:szCs w:val="22"/>
        </w:rPr>
        <w:t xml:space="preserve"> of ass</w:t>
      </w:r>
      <w:r w:rsidRPr="004635E5">
        <w:rPr>
          <w:sz w:val="22"/>
          <w:szCs w:val="22"/>
        </w:rPr>
        <w:t>essment</w:t>
      </w:r>
      <w:r w:rsidR="000E114B">
        <w:rPr>
          <w:rFonts w:eastAsiaTheme="minorEastAsia" w:hint="eastAsia"/>
          <w:sz w:val="22"/>
          <w:szCs w:val="22"/>
          <w:lang w:eastAsia="ko-KR"/>
        </w:rPr>
        <w:t>s</w:t>
      </w:r>
      <w:r w:rsidR="003024B1" w:rsidRPr="004635E5">
        <w:rPr>
          <w:sz w:val="22"/>
          <w:szCs w:val="22"/>
        </w:rPr>
        <w:t xml:space="preserve"> </w:t>
      </w:r>
      <w:r w:rsidRPr="004635E5">
        <w:rPr>
          <w:sz w:val="22"/>
          <w:szCs w:val="22"/>
        </w:rPr>
        <w:t xml:space="preserve">were needed, and the budget implications. </w:t>
      </w:r>
    </w:p>
    <w:p w14:paraId="7F0306D1" w14:textId="77777777" w:rsidR="002A4403" w:rsidRPr="004635E5" w:rsidRDefault="002A4403" w:rsidP="006633A8">
      <w:pPr>
        <w:autoSpaceDE w:val="0"/>
        <w:autoSpaceDN w:val="0"/>
        <w:adjustRightInd w:val="0"/>
        <w:snapToGrid w:val="0"/>
        <w:jc w:val="both"/>
        <w:rPr>
          <w:sz w:val="22"/>
          <w:szCs w:val="22"/>
        </w:rPr>
      </w:pPr>
    </w:p>
    <w:p w14:paraId="3229829A" w14:textId="77777777" w:rsidR="008E4CA2" w:rsidRPr="004635E5" w:rsidRDefault="008E4CA2" w:rsidP="00580EA4">
      <w:pPr>
        <w:numPr>
          <w:ilvl w:val="0"/>
          <w:numId w:val="18"/>
        </w:numPr>
        <w:autoSpaceDE w:val="0"/>
        <w:autoSpaceDN w:val="0"/>
        <w:adjustRightInd w:val="0"/>
        <w:snapToGrid w:val="0"/>
        <w:ind w:left="0" w:firstLine="0"/>
        <w:jc w:val="both"/>
        <w:rPr>
          <w:b/>
          <w:sz w:val="22"/>
          <w:szCs w:val="22"/>
        </w:rPr>
      </w:pPr>
      <w:r w:rsidRPr="004635E5">
        <w:rPr>
          <w:b/>
          <w:sz w:val="22"/>
          <w:szCs w:val="22"/>
        </w:rPr>
        <w:t xml:space="preserve">SC14 adopted the outputs of ISG-07 on the shark research plan, including provision of one research proposal Project 92 for the 2019 SC work program and budget (Attachment </w:t>
      </w:r>
      <w:r w:rsidR="00AB5148" w:rsidRPr="004635E5">
        <w:rPr>
          <w:b/>
          <w:sz w:val="22"/>
          <w:szCs w:val="22"/>
        </w:rPr>
        <w:t>H</w:t>
      </w:r>
      <w:r w:rsidRPr="004635E5">
        <w:rPr>
          <w:b/>
          <w:sz w:val="22"/>
          <w:szCs w:val="22"/>
        </w:rPr>
        <w:t>)</w:t>
      </w:r>
      <w:r w:rsidR="00A16680" w:rsidRPr="004635E5">
        <w:rPr>
          <w:b/>
          <w:sz w:val="22"/>
          <w:szCs w:val="22"/>
        </w:rPr>
        <w:t xml:space="preserve">. </w:t>
      </w:r>
    </w:p>
    <w:p w14:paraId="7D841F64" w14:textId="77777777" w:rsidR="002A4403" w:rsidRPr="004635E5" w:rsidRDefault="002A4403" w:rsidP="006633A8">
      <w:pPr>
        <w:autoSpaceDE w:val="0"/>
        <w:autoSpaceDN w:val="0"/>
        <w:adjustRightInd w:val="0"/>
        <w:snapToGrid w:val="0"/>
        <w:jc w:val="both"/>
        <w:rPr>
          <w:b/>
          <w:sz w:val="22"/>
          <w:szCs w:val="22"/>
        </w:rPr>
      </w:pPr>
    </w:p>
    <w:p w14:paraId="50B52A2D" w14:textId="77777777" w:rsidR="007D7C1D" w:rsidRPr="004635E5" w:rsidRDefault="00700B5B" w:rsidP="00580EA4">
      <w:pPr>
        <w:pStyle w:val="SC2"/>
        <w:numPr>
          <w:ilvl w:val="1"/>
          <w:numId w:val="161"/>
        </w:numPr>
        <w:spacing w:after="0"/>
        <w:ind w:left="0" w:firstLine="0"/>
      </w:pPr>
      <w:r w:rsidRPr="004635E5">
        <w:t>Seabirds</w:t>
      </w:r>
      <w:r w:rsidR="00EC2690" w:rsidRPr="004635E5">
        <w:t xml:space="preserve"> </w:t>
      </w:r>
    </w:p>
    <w:p w14:paraId="511FDB16" w14:textId="77777777" w:rsidR="002A4403" w:rsidRPr="004635E5" w:rsidRDefault="002A4403" w:rsidP="006633A8">
      <w:pPr>
        <w:pStyle w:val="SC2"/>
        <w:numPr>
          <w:ilvl w:val="0"/>
          <w:numId w:val="0"/>
        </w:numPr>
        <w:spacing w:after="0"/>
        <w:ind w:left="720"/>
      </w:pPr>
    </w:p>
    <w:p w14:paraId="4E24B38F" w14:textId="77777777" w:rsidR="00315B22" w:rsidRPr="004635E5" w:rsidRDefault="00315B22" w:rsidP="00580EA4">
      <w:pPr>
        <w:pStyle w:val="SC3"/>
        <w:numPr>
          <w:ilvl w:val="2"/>
          <w:numId w:val="161"/>
        </w:numPr>
        <w:spacing w:after="0"/>
      </w:pPr>
      <w:r w:rsidRPr="004635E5">
        <w:t>Review of Seabird Resea</w:t>
      </w:r>
      <w:r w:rsidR="007D78C8" w:rsidRPr="004635E5">
        <w:t>r</w:t>
      </w:r>
      <w:r w:rsidRPr="004635E5">
        <w:t>ches</w:t>
      </w:r>
    </w:p>
    <w:p w14:paraId="7109433F" w14:textId="77777777" w:rsidR="002A4403" w:rsidRPr="004635E5" w:rsidRDefault="002A4403" w:rsidP="006633A8">
      <w:pPr>
        <w:pStyle w:val="SC3"/>
        <w:numPr>
          <w:ilvl w:val="0"/>
          <w:numId w:val="0"/>
        </w:numPr>
        <w:spacing w:after="0"/>
        <w:ind w:left="1440"/>
      </w:pPr>
    </w:p>
    <w:p w14:paraId="0B65C0F9" w14:textId="77777777" w:rsidR="002B4CD7" w:rsidRPr="004635E5" w:rsidRDefault="002B4CD7" w:rsidP="00580EA4">
      <w:pPr>
        <w:numPr>
          <w:ilvl w:val="0"/>
          <w:numId w:val="18"/>
        </w:numPr>
        <w:autoSpaceDE w:val="0"/>
        <w:autoSpaceDN w:val="0"/>
        <w:adjustRightInd w:val="0"/>
        <w:snapToGrid w:val="0"/>
        <w:ind w:left="0" w:firstLine="0"/>
        <w:jc w:val="both"/>
        <w:rPr>
          <w:sz w:val="22"/>
          <w:szCs w:val="22"/>
        </w:rPr>
      </w:pPr>
      <w:r w:rsidRPr="004635E5">
        <w:rPr>
          <w:sz w:val="22"/>
          <w:szCs w:val="22"/>
        </w:rPr>
        <w:t xml:space="preserve">A. Wolfaardt presented SC14-EB-WP-13 </w:t>
      </w:r>
      <w:r w:rsidRPr="004E1B05">
        <w:rPr>
          <w:i/>
          <w:iCs/>
          <w:sz w:val="22"/>
          <w:szCs w:val="22"/>
        </w:rPr>
        <w:t>ACAP advice for reducing the impact of pelagic fishing operations on seabirds</w:t>
      </w:r>
      <w:r w:rsidRPr="004635E5">
        <w:rPr>
          <w:sz w:val="22"/>
          <w:szCs w:val="22"/>
        </w:rPr>
        <w:t>. The incidental mortality of seabirds, mostly albatrosses and petrels, in longline fisheries continues to be a serious global concern and was the major reason for the establishment of the Agreement on the Conservation of Albatrosses and Petrels (ACAP). ACAP routinely reviews the scientific literature regarding seabird bycatch mitigation in fisheries, and on the basis of these reviews updates its best practice advice. The most recent review was conducted in September 2017 during the Eighth Meeting of the ACAP Seabird Bycatch Working Group. ACAP’s advice is that the combined use of weighted branch lines, bird scaring lines and night setting remains the best practice approach to mitigate seabird bycatch in pelagic longline fisheries. In addition, ACAP has since 2016 also endorsed the inclusion of hook-shielding devices in the suite of best practice mitigation measures. These devices encase the point and barb of baited hooks until a prescribed depth or immersion time has been reached (set to correspond to a depth beyond the diving range of most seabirds) thus preventing seabirds gaining access to the hooks and becoming caught during line setting. A set of performance criteria have been developed to assess whether candidate hook-shielding devices are considered best practice. WCPFC CMM 2017-06 is based largely on ACAP’s advice from before 2016. Bird scaring line specifications for small (&lt;35m) pelagic longline vessels operating South of 30°S were revised in 2017 (CMM 2017-06 Annex 1 1b) and are consistent with this aspect of ACAP best practice advice. However, CMM 2017-06 does not reflect updated ACAP advice on line-weighting specifications (introduced in 2016); bird-scaring line specifications for the North Pacific vary substantially from ACAP’s advice on best practice and the CMM does not include hook-shielding devices recommended by ACAP as a best practice option.</w:t>
      </w:r>
    </w:p>
    <w:p w14:paraId="59A8D850" w14:textId="77777777" w:rsidR="002A4403" w:rsidRPr="004635E5" w:rsidRDefault="002A4403" w:rsidP="006633A8">
      <w:pPr>
        <w:autoSpaceDE w:val="0"/>
        <w:autoSpaceDN w:val="0"/>
        <w:adjustRightInd w:val="0"/>
        <w:snapToGrid w:val="0"/>
        <w:jc w:val="both"/>
        <w:rPr>
          <w:sz w:val="22"/>
          <w:szCs w:val="22"/>
        </w:rPr>
      </w:pPr>
    </w:p>
    <w:p w14:paraId="3D7F5652" w14:textId="77777777" w:rsidR="00E41D57" w:rsidRPr="004635E5" w:rsidRDefault="00A16680" w:rsidP="006633A8">
      <w:pPr>
        <w:autoSpaceDE w:val="0"/>
        <w:autoSpaceDN w:val="0"/>
        <w:adjustRightInd w:val="0"/>
        <w:snapToGrid w:val="0"/>
        <w:jc w:val="both"/>
        <w:rPr>
          <w:b/>
          <w:sz w:val="22"/>
          <w:szCs w:val="22"/>
        </w:rPr>
      </w:pPr>
      <w:r w:rsidRPr="004635E5">
        <w:rPr>
          <w:b/>
          <w:sz w:val="22"/>
          <w:szCs w:val="22"/>
        </w:rPr>
        <w:t>Discussion</w:t>
      </w:r>
    </w:p>
    <w:p w14:paraId="591F58C9" w14:textId="77777777" w:rsidR="00E41D57" w:rsidRPr="004635E5" w:rsidRDefault="00E41D57" w:rsidP="006633A8">
      <w:pPr>
        <w:autoSpaceDE w:val="0"/>
        <w:autoSpaceDN w:val="0"/>
        <w:adjustRightInd w:val="0"/>
        <w:snapToGrid w:val="0"/>
        <w:jc w:val="both"/>
        <w:rPr>
          <w:b/>
          <w:sz w:val="22"/>
          <w:szCs w:val="22"/>
        </w:rPr>
      </w:pPr>
    </w:p>
    <w:p w14:paraId="229DFE6C" w14:textId="77777777" w:rsidR="0000479C" w:rsidRPr="004635E5" w:rsidRDefault="003207CC" w:rsidP="006633A8">
      <w:pPr>
        <w:autoSpaceDE w:val="0"/>
        <w:autoSpaceDN w:val="0"/>
        <w:adjustRightInd w:val="0"/>
        <w:snapToGrid w:val="0"/>
        <w:jc w:val="both"/>
        <w:rPr>
          <w:rFonts w:eastAsiaTheme="minorEastAsia"/>
          <w:b/>
          <w:vanish/>
          <w:sz w:val="22"/>
          <w:szCs w:val="22"/>
          <w:lang w:val="en-NZ" w:eastAsia="ko-KR"/>
        </w:rPr>
      </w:pPr>
      <w:r w:rsidRPr="004635E5">
        <w:rPr>
          <w:rFonts w:eastAsiaTheme="minorEastAsia"/>
          <w:b/>
          <w:vanish/>
          <w:sz w:val="22"/>
          <w:szCs w:val="22"/>
          <w:lang w:val="en-NZ" w:eastAsia="ko-KR"/>
        </w:rPr>
        <w:t xml:space="preserve"> </w:t>
      </w:r>
    </w:p>
    <w:p w14:paraId="22364230" w14:textId="77777777" w:rsidR="002A4403" w:rsidRPr="004635E5" w:rsidRDefault="002A4403" w:rsidP="006633A8">
      <w:pPr>
        <w:autoSpaceDE w:val="0"/>
        <w:autoSpaceDN w:val="0"/>
        <w:adjustRightInd w:val="0"/>
        <w:snapToGrid w:val="0"/>
        <w:jc w:val="both"/>
        <w:rPr>
          <w:rFonts w:eastAsiaTheme="minorEastAsia"/>
          <w:b/>
          <w:vanish/>
          <w:sz w:val="22"/>
          <w:szCs w:val="22"/>
          <w:lang w:val="en-NZ" w:eastAsia="ko-KR"/>
        </w:rPr>
      </w:pPr>
    </w:p>
    <w:p w14:paraId="1695F3D2" w14:textId="77777777" w:rsidR="008A6380" w:rsidRPr="004635E5" w:rsidRDefault="00266AEF" w:rsidP="00580EA4">
      <w:pPr>
        <w:numPr>
          <w:ilvl w:val="0"/>
          <w:numId w:val="18"/>
        </w:numPr>
        <w:autoSpaceDE w:val="0"/>
        <w:autoSpaceDN w:val="0"/>
        <w:adjustRightInd w:val="0"/>
        <w:snapToGrid w:val="0"/>
        <w:ind w:left="0" w:firstLine="0"/>
        <w:jc w:val="both"/>
        <w:rPr>
          <w:sz w:val="22"/>
          <w:szCs w:val="22"/>
        </w:rPr>
      </w:pPr>
      <w:r w:rsidRPr="004635E5">
        <w:rPr>
          <w:sz w:val="22"/>
          <w:szCs w:val="22"/>
        </w:rPr>
        <w:t>Japan noted that best practic</w:t>
      </w:r>
      <w:r w:rsidR="008A6380" w:rsidRPr="004635E5">
        <w:rPr>
          <w:sz w:val="22"/>
          <w:szCs w:val="22"/>
        </w:rPr>
        <w:t>e rec</w:t>
      </w:r>
      <w:r w:rsidRPr="004635E5">
        <w:rPr>
          <w:sz w:val="22"/>
          <w:szCs w:val="22"/>
        </w:rPr>
        <w:t>ommendations</w:t>
      </w:r>
      <w:r w:rsidR="008A6380" w:rsidRPr="004635E5">
        <w:rPr>
          <w:sz w:val="22"/>
          <w:szCs w:val="22"/>
        </w:rPr>
        <w:t xml:space="preserve"> </w:t>
      </w:r>
      <w:r w:rsidRPr="004635E5">
        <w:rPr>
          <w:sz w:val="22"/>
          <w:szCs w:val="22"/>
        </w:rPr>
        <w:t xml:space="preserve">had </w:t>
      </w:r>
      <w:r w:rsidR="008A6380" w:rsidRPr="004635E5">
        <w:rPr>
          <w:sz w:val="22"/>
          <w:szCs w:val="22"/>
        </w:rPr>
        <w:t>been revised</w:t>
      </w:r>
      <w:r w:rsidRPr="004635E5">
        <w:rPr>
          <w:sz w:val="22"/>
          <w:szCs w:val="22"/>
        </w:rPr>
        <w:t xml:space="preserve">, and inquired how </w:t>
      </w:r>
      <w:r w:rsidR="00ED4384" w:rsidRPr="004635E5">
        <w:rPr>
          <w:sz w:val="22"/>
          <w:szCs w:val="22"/>
        </w:rPr>
        <w:t xml:space="preserve">much reduction </w:t>
      </w:r>
      <w:r w:rsidRPr="004635E5">
        <w:rPr>
          <w:sz w:val="22"/>
          <w:szCs w:val="22"/>
        </w:rPr>
        <w:t xml:space="preserve">could </w:t>
      </w:r>
      <w:r w:rsidR="000E114B">
        <w:rPr>
          <w:rFonts w:eastAsiaTheme="minorEastAsia" w:hint="eastAsia"/>
          <w:sz w:val="22"/>
          <w:szCs w:val="22"/>
          <w:lang w:eastAsia="ko-KR"/>
        </w:rPr>
        <w:t>b</w:t>
      </w:r>
      <w:r w:rsidR="000E114B" w:rsidRPr="004635E5">
        <w:rPr>
          <w:sz w:val="22"/>
          <w:szCs w:val="22"/>
        </w:rPr>
        <w:t xml:space="preserve">e </w:t>
      </w:r>
      <w:r w:rsidR="00ED4384" w:rsidRPr="004635E5">
        <w:rPr>
          <w:sz w:val="22"/>
          <w:szCs w:val="22"/>
        </w:rPr>
        <w:t>achieve</w:t>
      </w:r>
      <w:r w:rsidRPr="004635E5">
        <w:rPr>
          <w:sz w:val="22"/>
          <w:szCs w:val="22"/>
        </w:rPr>
        <w:t>d between just hook shielding</w:t>
      </w:r>
      <w:r w:rsidR="00ED4384" w:rsidRPr="004635E5">
        <w:rPr>
          <w:sz w:val="22"/>
          <w:szCs w:val="22"/>
        </w:rPr>
        <w:t xml:space="preserve"> and </w:t>
      </w:r>
      <w:r w:rsidRPr="004635E5">
        <w:rPr>
          <w:sz w:val="22"/>
          <w:szCs w:val="22"/>
        </w:rPr>
        <w:t xml:space="preserve">the </w:t>
      </w:r>
      <w:r w:rsidR="00ED4384" w:rsidRPr="004635E5">
        <w:rPr>
          <w:sz w:val="22"/>
          <w:szCs w:val="22"/>
        </w:rPr>
        <w:t>three measure</w:t>
      </w:r>
      <w:r w:rsidR="00BB5160">
        <w:rPr>
          <w:rFonts w:eastAsiaTheme="minorEastAsia" w:hint="eastAsia"/>
          <w:sz w:val="22"/>
          <w:szCs w:val="22"/>
          <w:lang w:eastAsia="ko-KR"/>
        </w:rPr>
        <w:t>s</w:t>
      </w:r>
      <w:r w:rsidR="00ED4384" w:rsidRPr="004635E5">
        <w:rPr>
          <w:sz w:val="22"/>
          <w:szCs w:val="22"/>
        </w:rPr>
        <w:t xml:space="preserve"> combined. </w:t>
      </w:r>
      <w:r w:rsidRPr="004635E5">
        <w:rPr>
          <w:sz w:val="22"/>
          <w:szCs w:val="22"/>
        </w:rPr>
        <w:t xml:space="preserve">A </w:t>
      </w:r>
      <w:r w:rsidR="00BF1269" w:rsidRPr="004635E5">
        <w:rPr>
          <w:sz w:val="22"/>
          <w:szCs w:val="22"/>
        </w:rPr>
        <w:t xml:space="preserve">Wolfaardt </w:t>
      </w:r>
      <w:r w:rsidRPr="004635E5">
        <w:rPr>
          <w:sz w:val="22"/>
          <w:szCs w:val="22"/>
        </w:rPr>
        <w:t>stated there was no specific da</w:t>
      </w:r>
      <w:r w:rsidR="00ED4384" w:rsidRPr="004635E5">
        <w:rPr>
          <w:sz w:val="22"/>
          <w:szCs w:val="22"/>
        </w:rPr>
        <w:t xml:space="preserve">ta on reduction between </w:t>
      </w:r>
      <w:r w:rsidRPr="004635E5">
        <w:rPr>
          <w:sz w:val="22"/>
          <w:szCs w:val="22"/>
        </w:rPr>
        <w:t xml:space="preserve">the </w:t>
      </w:r>
      <w:r w:rsidR="00ED4384" w:rsidRPr="004635E5">
        <w:rPr>
          <w:sz w:val="22"/>
          <w:szCs w:val="22"/>
        </w:rPr>
        <w:t xml:space="preserve">3 </w:t>
      </w:r>
      <w:r w:rsidRPr="004635E5">
        <w:rPr>
          <w:sz w:val="22"/>
          <w:szCs w:val="22"/>
        </w:rPr>
        <w:t>measures and the hook shie</w:t>
      </w:r>
      <w:r w:rsidR="00ED4384" w:rsidRPr="004635E5">
        <w:rPr>
          <w:sz w:val="22"/>
          <w:szCs w:val="22"/>
        </w:rPr>
        <w:t xml:space="preserve">lds, instead looked at current measures vs hook shields. </w:t>
      </w:r>
      <w:r w:rsidR="00D71E62" w:rsidRPr="004635E5">
        <w:rPr>
          <w:sz w:val="22"/>
          <w:szCs w:val="22"/>
        </w:rPr>
        <w:t xml:space="preserve">They </w:t>
      </w:r>
      <w:r w:rsidR="00ED4384" w:rsidRPr="004635E5">
        <w:rPr>
          <w:sz w:val="22"/>
          <w:szCs w:val="22"/>
        </w:rPr>
        <w:t xml:space="preserve">looked at using </w:t>
      </w:r>
      <w:r w:rsidR="00D71E62" w:rsidRPr="004635E5">
        <w:rPr>
          <w:sz w:val="22"/>
          <w:szCs w:val="22"/>
        </w:rPr>
        <w:t xml:space="preserve">two </w:t>
      </w:r>
      <w:r w:rsidR="00ED4384" w:rsidRPr="004635E5">
        <w:rPr>
          <w:sz w:val="22"/>
          <w:szCs w:val="22"/>
        </w:rPr>
        <w:t>o</w:t>
      </w:r>
      <w:r w:rsidR="00D71E62" w:rsidRPr="004635E5">
        <w:rPr>
          <w:sz w:val="22"/>
          <w:szCs w:val="22"/>
        </w:rPr>
        <w:t>f</w:t>
      </w:r>
      <w:r w:rsidR="00ED4384" w:rsidRPr="004635E5">
        <w:rPr>
          <w:sz w:val="22"/>
          <w:szCs w:val="22"/>
        </w:rPr>
        <w:t xml:space="preserve"> the three measures in fisheries, but not hook shielding devices speci</w:t>
      </w:r>
      <w:r w:rsidR="00D71E62" w:rsidRPr="004635E5">
        <w:rPr>
          <w:sz w:val="22"/>
          <w:szCs w:val="22"/>
        </w:rPr>
        <w:t>fi</w:t>
      </w:r>
      <w:r w:rsidR="00ED4384" w:rsidRPr="004635E5">
        <w:rPr>
          <w:sz w:val="22"/>
          <w:szCs w:val="22"/>
        </w:rPr>
        <w:t>cally.</w:t>
      </w:r>
    </w:p>
    <w:p w14:paraId="11B7849A" w14:textId="77777777" w:rsidR="002A4403" w:rsidRPr="004635E5" w:rsidRDefault="002A4403" w:rsidP="006633A8">
      <w:pPr>
        <w:autoSpaceDE w:val="0"/>
        <w:autoSpaceDN w:val="0"/>
        <w:adjustRightInd w:val="0"/>
        <w:snapToGrid w:val="0"/>
        <w:jc w:val="both"/>
        <w:rPr>
          <w:sz w:val="22"/>
          <w:szCs w:val="22"/>
        </w:rPr>
      </w:pPr>
    </w:p>
    <w:p w14:paraId="4866BC18" w14:textId="77777777" w:rsidR="00A16680" w:rsidRPr="004635E5" w:rsidRDefault="00ED4384" w:rsidP="00580EA4">
      <w:pPr>
        <w:numPr>
          <w:ilvl w:val="0"/>
          <w:numId w:val="18"/>
        </w:numPr>
        <w:autoSpaceDE w:val="0"/>
        <w:autoSpaceDN w:val="0"/>
        <w:adjustRightInd w:val="0"/>
        <w:snapToGrid w:val="0"/>
        <w:ind w:left="0" w:firstLine="0"/>
        <w:jc w:val="both"/>
        <w:rPr>
          <w:sz w:val="22"/>
          <w:szCs w:val="22"/>
        </w:rPr>
      </w:pPr>
      <w:r w:rsidRPr="004635E5">
        <w:rPr>
          <w:sz w:val="22"/>
          <w:szCs w:val="22"/>
        </w:rPr>
        <w:t>China</w:t>
      </w:r>
      <w:r w:rsidR="00D71E62" w:rsidRPr="004635E5">
        <w:rPr>
          <w:sz w:val="22"/>
          <w:szCs w:val="22"/>
        </w:rPr>
        <w:t xml:space="preserve"> inquired how </w:t>
      </w:r>
      <w:r w:rsidRPr="004635E5">
        <w:rPr>
          <w:sz w:val="22"/>
          <w:szCs w:val="22"/>
        </w:rPr>
        <w:t xml:space="preserve">small vessels </w:t>
      </w:r>
      <w:r w:rsidR="00D71E62" w:rsidRPr="004635E5">
        <w:rPr>
          <w:sz w:val="22"/>
          <w:szCs w:val="22"/>
        </w:rPr>
        <w:t>were define</w:t>
      </w:r>
      <w:r w:rsidR="00A16680" w:rsidRPr="004635E5">
        <w:rPr>
          <w:sz w:val="22"/>
          <w:szCs w:val="22"/>
        </w:rPr>
        <w:t>d</w:t>
      </w:r>
      <w:r w:rsidR="00D71E62" w:rsidRPr="004635E5">
        <w:rPr>
          <w:sz w:val="22"/>
          <w:szCs w:val="22"/>
        </w:rPr>
        <w:t>. A.</w:t>
      </w:r>
      <w:r w:rsidR="00BB5160">
        <w:rPr>
          <w:rFonts w:eastAsiaTheme="minorEastAsia" w:hint="eastAsia"/>
          <w:sz w:val="22"/>
          <w:szCs w:val="22"/>
          <w:lang w:eastAsia="ko-KR"/>
        </w:rPr>
        <w:t xml:space="preserve"> </w:t>
      </w:r>
      <w:r w:rsidR="00293C16" w:rsidRPr="004635E5">
        <w:rPr>
          <w:sz w:val="22"/>
          <w:szCs w:val="22"/>
        </w:rPr>
        <w:t xml:space="preserve">Wolfaardt </w:t>
      </w:r>
      <w:r w:rsidR="00D71E62" w:rsidRPr="004635E5">
        <w:rPr>
          <w:sz w:val="22"/>
          <w:szCs w:val="22"/>
        </w:rPr>
        <w:t xml:space="preserve">stated they had previously </w:t>
      </w:r>
      <w:r w:rsidRPr="004635E5">
        <w:rPr>
          <w:sz w:val="22"/>
          <w:szCs w:val="22"/>
        </w:rPr>
        <w:t xml:space="preserve">looked at </w:t>
      </w:r>
      <w:r w:rsidR="00D71E62" w:rsidRPr="004635E5">
        <w:rPr>
          <w:sz w:val="22"/>
          <w:szCs w:val="22"/>
        </w:rPr>
        <w:t xml:space="preserve">vessels larger and smaller than </w:t>
      </w:r>
      <w:r w:rsidRPr="004635E5">
        <w:rPr>
          <w:sz w:val="22"/>
          <w:szCs w:val="22"/>
        </w:rPr>
        <w:t>35</w:t>
      </w:r>
      <w:r w:rsidR="00A16680" w:rsidRPr="004635E5">
        <w:rPr>
          <w:sz w:val="22"/>
          <w:szCs w:val="22"/>
        </w:rPr>
        <w:t xml:space="preserve"> </w:t>
      </w:r>
      <w:r w:rsidRPr="004635E5">
        <w:rPr>
          <w:sz w:val="22"/>
          <w:szCs w:val="22"/>
        </w:rPr>
        <w:t>m</w:t>
      </w:r>
      <w:r w:rsidR="00D71E62" w:rsidRPr="004635E5">
        <w:rPr>
          <w:sz w:val="22"/>
          <w:szCs w:val="22"/>
        </w:rPr>
        <w:t xml:space="preserve">, </w:t>
      </w:r>
      <w:r w:rsidR="00A16680" w:rsidRPr="004635E5">
        <w:rPr>
          <w:sz w:val="22"/>
          <w:szCs w:val="22"/>
        </w:rPr>
        <w:t xml:space="preserve">and </w:t>
      </w:r>
      <w:r w:rsidR="00D71E62" w:rsidRPr="004635E5">
        <w:rPr>
          <w:sz w:val="22"/>
          <w:szCs w:val="22"/>
        </w:rPr>
        <w:t>f</w:t>
      </w:r>
      <w:r w:rsidRPr="004635E5">
        <w:rPr>
          <w:sz w:val="22"/>
          <w:szCs w:val="22"/>
        </w:rPr>
        <w:t>elt that ACAP did not need a 3rd cat</w:t>
      </w:r>
      <w:r w:rsidR="002A6696">
        <w:rPr>
          <w:rFonts w:eastAsiaTheme="minorEastAsia" w:hint="eastAsia"/>
          <w:sz w:val="22"/>
          <w:szCs w:val="22"/>
          <w:lang w:eastAsia="ko-KR"/>
        </w:rPr>
        <w:t>ego</w:t>
      </w:r>
      <w:r w:rsidR="00202EA7">
        <w:rPr>
          <w:rFonts w:eastAsiaTheme="minorEastAsia" w:hint="eastAsia"/>
          <w:sz w:val="22"/>
          <w:szCs w:val="22"/>
          <w:lang w:eastAsia="ko-KR"/>
        </w:rPr>
        <w:t>r</w:t>
      </w:r>
      <w:r w:rsidR="002A6696">
        <w:rPr>
          <w:rFonts w:eastAsiaTheme="minorEastAsia" w:hint="eastAsia"/>
          <w:sz w:val="22"/>
          <w:szCs w:val="22"/>
          <w:lang w:eastAsia="ko-KR"/>
        </w:rPr>
        <w:t>y</w:t>
      </w:r>
      <w:r w:rsidRPr="004635E5">
        <w:rPr>
          <w:sz w:val="22"/>
          <w:szCs w:val="22"/>
        </w:rPr>
        <w:t xml:space="preserve">. </w:t>
      </w:r>
    </w:p>
    <w:p w14:paraId="284ACEBE" w14:textId="77777777" w:rsidR="002A4403" w:rsidRPr="004635E5" w:rsidRDefault="002A4403" w:rsidP="006633A8">
      <w:pPr>
        <w:autoSpaceDE w:val="0"/>
        <w:autoSpaceDN w:val="0"/>
        <w:adjustRightInd w:val="0"/>
        <w:snapToGrid w:val="0"/>
        <w:jc w:val="both"/>
        <w:rPr>
          <w:sz w:val="22"/>
          <w:szCs w:val="22"/>
        </w:rPr>
      </w:pPr>
    </w:p>
    <w:p w14:paraId="58EA29AF" w14:textId="77777777" w:rsidR="00ED4384" w:rsidRPr="004635E5" w:rsidRDefault="00ED4384" w:rsidP="00580EA4">
      <w:pPr>
        <w:numPr>
          <w:ilvl w:val="0"/>
          <w:numId w:val="18"/>
        </w:numPr>
        <w:autoSpaceDE w:val="0"/>
        <w:autoSpaceDN w:val="0"/>
        <w:adjustRightInd w:val="0"/>
        <w:snapToGrid w:val="0"/>
        <w:ind w:left="0" w:firstLine="0"/>
        <w:jc w:val="both"/>
        <w:rPr>
          <w:sz w:val="22"/>
          <w:szCs w:val="22"/>
        </w:rPr>
      </w:pPr>
      <w:r w:rsidRPr="004635E5">
        <w:rPr>
          <w:sz w:val="22"/>
          <w:szCs w:val="22"/>
        </w:rPr>
        <w:t xml:space="preserve">Japan </w:t>
      </w:r>
      <w:r w:rsidR="00D71E62" w:rsidRPr="004635E5">
        <w:rPr>
          <w:sz w:val="22"/>
          <w:szCs w:val="22"/>
        </w:rPr>
        <w:t xml:space="preserve">noted that the </w:t>
      </w:r>
      <w:r w:rsidRPr="004635E5">
        <w:rPr>
          <w:sz w:val="22"/>
          <w:szCs w:val="22"/>
        </w:rPr>
        <w:t>current specs for tori line</w:t>
      </w:r>
      <w:r w:rsidR="00D71E62" w:rsidRPr="004635E5">
        <w:rPr>
          <w:sz w:val="22"/>
          <w:szCs w:val="22"/>
        </w:rPr>
        <w:t xml:space="preserve">s </w:t>
      </w:r>
      <w:r w:rsidRPr="004635E5">
        <w:rPr>
          <w:sz w:val="22"/>
          <w:szCs w:val="22"/>
        </w:rPr>
        <w:t xml:space="preserve">deployed in </w:t>
      </w:r>
      <w:r w:rsidR="00D71E62" w:rsidRPr="004635E5">
        <w:rPr>
          <w:sz w:val="22"/>
          <w:szCs w:val="22"/>
        </w:rPr>
        <w:t>the s</w:t>
      </w:r>
      <w:r w:rsidRPr="004635E5">
        <w:rPr>
          <w:sz w:val="22"/>
          <w:szCs w:val="22"/>
        </w:rPr>
        <w:t>outh</w:t>
      </w:r>
      <w:r w:rsidR="00D71E62" w:rsidRPr="004635E5">
        <w:rPr>
          <w:sz w:val="22"/>
          <w:szCs w:val="22"/>
        </w:rPr>
        <w:t>ern</w:t>
      </w:r>
      <w:r w:rsidRPr="004635E5">
        <w:rPr>
          <w:sz w:val="22"/>
          <w:szCs w:val="22"/>
        </w:rPr>
        <w:t xml:space="preserve"> hemisphere </w:t>
      </w:r>
      <w:r w:rsidR="00D71E62" w:rsidRPr="004635E5">
        <w:rPr>
          <w:sz w:val="22"/>
          <w:szCs w:val="22"/>
        </w:rPr>
        <w:t xml:space="preserve">were </w:t>
      </w:r>
      <w:r w:rsidRPr="004635E5">
        <w:rPr>
          <w:sz w:val="22"/>
          <w:szCs w:val="22"/>
        </w:rPr>
        <w:t>u</w:t>
      </w:r>
      <w:r w:rsidR="00D71E62" w:rsidRPr="004635E5">
        <w:rPr>
          <w:sz w:val="22"/>
          <w:szCs w:val="22"/>
        </w:rPr>
        <w:t>n</w:t>
      </w:r>
      <w:r w:rsidRPr="004635E5">
        <w:rPr>
          <w:sz w:val="22"/>
          <w:szCs w:val="22"/>
        </w:rPr>
        <w:t xml:space="preserve">suitable for </w:t>
      </w:r>
      <w:r w:rsidR="00D71E62" w:rsidRPr="004635E5">
        <w:rPr>
          <w:sz w:val="22"/>
          <w:szCs w:val="22"/>
        </w:rPr>
        <w:t xml:space="preserve">the northern hemisphere, but new specifications were </w:t>
      </w:r>
      <w:r w:rsidRPr="004635E5">
        <w:rPr>
          <w:sz w:val="22"/>
          <w:szCs w:val="22"/>
        </w:rPr>
        <w:t xml:space="preserve">under development. </w:t>
      </w:r>
      <w:r w:rsidR="00A16680" w:rsidRPr="004635E5">
        <w:rPr>
          <w:sz w:val="22"/>
          <w:szCs w:val="22"/>
        </w:rPr>
        <w:t xml:space="preserve">Japan noted it was undertaking research on </w:t>
      </w:r>
      <w:r w:rsidR="00F52544" w:rsidRPr="004635E5">
        <w:rPr>
          <w:sz w:val="22"/>
          <w:szCs w:val="22"/>
        </w:rPr>
        <w:t>tori line</w:t>
      </w:r>
      <w:r w:rsidR="00D71E62" w:rsidRPr="004635E5">
        <w:rPr>
          <w:sz w:val="22"/>
          <w:szCs w:val="22"/>
        </w:rPr>
        <w:t>s for small-</w:t>
      </w:r>
      <w:r w:rsidR="00F52544" w:rsidRPr="004635E5">
        <w:rPr>
          <w:sz w:val="22"/>
          <w:szCs w:val="22"/>
        </w:rPr>
        <w:t xml:space="preserve">scale </w:t>
      </w:r>
      <w:r w:rsidR="004421B3" w:rsidRPr="004635E5">
        <w:rPr>
          <w:sz w:val="22"/>
          <w:szCs w:val="22"/>
        </w:rPr>
        <w:t>longline</w:t>
      </w:r>
      <w:r w:rsidR="00F52544" w:rsidRPr="004635E5">
        <w:rPr>
          <w:sz w:val="22"/>
          <w:szCs w:val="22"/>
        </w:rPr>
        <w:t xml:space="preserve"> </w:t>
      </w:r>
      <w:r w:rsidR="00D71E62" w:rsidRPr="004635E5">
        <w:rPr>
          <w:sz w:val="22"/>
          <w:szCs w:val="22"/>
        </w:rPr>
        <w:t>vessels</w:t>
      </w:r>
      <w:r w:rsidR="00A16680" w:rsidRPr="004635E5">
        <w:rPr>
          <w:sz w:val="22"/>
          <w:szCs w:val="22"/>
        </w:rPr>
        <w:t xml:space="preserve">, and would </w:t>
      </w:r>
      <w:r w:rsidR="00F52544" w:rsidRPr="004635E5">
        <w:rPr>
          <w:sz w:val="22"/>
          <w:szCs w:val="22"/>
        </w:rPr>
        <w:t xml:space="preserve">share details with ACAP and </w:t>
      </w:r>
      <w:r w:rsidR="00A16680" w:rsidRPr="004635E5">
        <w:rPr>
          <w:sz w:val="22"/>
          <w:szCs w:val="22"/>
        </w:rPr>
        <w:t xml:space="preserve">the </w:t>
      </w:r>
      <w:r w:rsidR="00F52544" w:rsidRPr="004635E5">
        <w:rPr>
          <w:sz w:val="22"/>
          <w:szCs w:val="22"/>
        </w:rPr>
        <w:t>SC</w:t>
      </w:r>
      <w:r w:rsidR="00A16680" w:rsidRPr="004635E5">
        <w:rPr>
          <w:sz w:val="22"/>
          <w:szCs w:val="22"/>
        </w:rPr>
        <w:t xml:space="preserve"> when this was done</w:t>
      </w:r>
      <w:r w:rsidR="00F52544" w:rsidRPr="004635E5">
        <w:rPr>
          <w:sz w:val="22"/>
          <w:szCs w:val="22"/>
        </w:rPr>
        <w:t xml:space="preserve">. </w:t>
      </w:r>
      <w:r w:rsidR="00D71E62" w:rsidRPr="004635E5">
        <w:rPr>
          <w:sz w:val="22"/>
          <w:szCs w:val="22"/>
        </w:rPr>
        <w:t xml:space="preserve">A </w:t>
      </w:r>
      <w:r w:rsidR="00293C16" w:rsidRPr="004635E5">
        <w:rPr>
          <w:sz w:val="22"/>
          <w:szCs w:val="22"/>
        </w:rPr>
        <w:t xml:space="preserve">Wolfaardt </w:t>
      </w:r>
      <w:r w:rsidR="00D71E62" w:rsidRPr="004635E5">
        <w:rPr>
          <w:sz w:val="22"/>
          <w:szCs w:val="22"/>
        </w:rPr>
        <w:t>noted the challenges in using</w:t>
      </w:r>
      <w:r w:rsidR="00F52544" w:rsidRPr="004635E5">
        <w:rPr>
          <w:sz w:val="22"/>
          <w:szCs w:val="22"/>
        </w:rPr>
        <w:t xml:space="preserve"> </w:t>
      </w:r>
      <w:r w:rsidR="00D71E62" w:rsidRPr="004635E5">
        <w:rPr>
          <w:sz w:val="22"/>
          <w:szCs w:val="22"/>
        </w:rPr>
        <w:t>t</w:t>
      </w:r>
      <w:r w:rsidR="00F52544" w:rsidRPr="004635E5">
        <w:rPr>
          <w:sz w:val="22"/>
          <w:szCs w:val="22"/>
        </w:rPr>
        <w:t>ori lines on small vessels</w:t>
      </w:r>
      <w:r w:rsidR="00D71E62" w:rsidRPr="004635E5">
        <w:rPr>
          <w:sz w:val="22"/>
          <w:szCs w:val="22"/>
        </w:rPr>
        <w:t xml:space="preserve">, and commended </w:t>
      </w:r>
      <w:r w:rsidR="00F52544" w:rsidRPr="004635E5">
        <w:rPr>
          <w:sz w:val="22"/>
          <w:szCs w:val="22"/>
        </w:rPr>
        <w:t xml:space="preserve">efforts </w:t>
      </w:r>
      <w:r w:rsidR="00D71E62" w:rsidRPr="004635E5">
        <w:rPr>
          <w:sz w:val="22"/>
          <w:szCs w:val="22"/>
        </w:rPr>
        <w:t xml:space="preserve">by </w:t>
      </w:r>
      <w:r w:rsidR="002E39E9" w:rsidRPr="004635E5">
        <w:rPr>
          <w:sz w:val="22"/>
          <w:szCs w:val="22"/>
        </w:rPr>
        <w:t>New Zealand</w:t>
      </w:r>
      <w:r w:rsidR="00D71E62" w:rsidRPr="004635E5">
        <w:rPr>
          <w:sz w:val="22"/>
          <w:szCs w:val="22"/>
        </w:rPr>
        <w:t xml:space="preserve"> </w:t>
      </w:r>
      <w:r w:rsidR="00F52544" w:rsidRPr="004635E5">
        <w:rPr>
          <w:sz w:val="22"/>
          <w:szCs w:val="22"/>
        </w:rPr>
        <w:t>and Japan to design effective small</w:t>
      </w:r>
      <w:r w:rsidR="00A16680" w:rsidRPr="004635E5">
        <w:rPr>
          <w:sz w:val="22"/>
          <w:szCs w:val="22"/>
        </w:rPr>
        <w:t>-</w:t>
      </w:r>
      <w:r w:rsidR="00F52544" w:rsidRPr="004635E5">
        <w:rPr>
          <w:sz w:val="22"/>
          <w:szCs w:val="22"/>
        </w:rPr>
        <w:t xml:space="preserve">vessel </w:t>
      </w:r>
      <w:r w:rsidR="00D71E62" w:rsidRPr="004635E5">
        <w:rPr>
          <w:sz w:val="22"/>
          <w:szCs w:val="22"/>
        </w:rPr>
        <w:t>t</w:t>
      </w:r>
      <w:r w:rsidR="00F52544" w:rsidRPr="004635E5">
        <w:rPr>
          <w:sz w:val="22"/>
          <w:szCs w:val="22"/>
        </w:rPr>
        <w:t xml:space="preserve">ori </w:t>
      </w:r>
      <w:r w:rsidR="00D71E62" w:rsidRPr="004635E5">
        <w:rPr>
          <w:sz w:val="22"/>
          <w:szCs w:val="22"/>
        </w:rPr>
        <w:t>l</w:t>
      </w:r>
      <w:r w:rsidR="00F52544" w:rsidRPr="004635E5">
        <w:rPr>
          <w:sz w:val="22"/>
          <w:szCs w:val="22"/>
        </w:rPr>
        <w:t xml:space="preserve">ines. </w:t>
      </w:r>
    </w:p>
    <w:p w14:paraId="2A4E1689" w14:textId="77777777" w:rsidR="002A4403" w:rsidRPr="004635E5" w:rsidRDefault="002A4403" w:rsidP="006633A8">
      <w:pPr>
        <w:autoSpaceDE w:val="0"/>
        <w:autoSpaceDN w:val="0"/>
        <w:adjustRightInd w:val="0"/>
        <w:snapToGrid w:val="0"/>
        <w:jc w:val="both"/>
        <w:rPr>
          <w:sz w:val="22"/>
          <w:szCs w:val="22"/>
        </w:rPr>
      </w:pPr>
    </w:p>
    <w:p w14:paraId="10C35832" w14:textId="77777777" w:rsidR="00F52544" w:rsidRPr="004635E5" w:rsidRDefault="00D71E62" w:rsidP="00580EA4">
      <w:pPr>
        <w:numPr>
          <w:ilvl w:val="0"/>
          <w:numId w:val="18"/>
        </w:numPr>
        <w:autoSpaceDE w:val="0"/>
        <w:autoSpaceDN w:val="0"/>
        <w:adjustRightInd w:val="0"/>
        <w:snapToGrid w:val="0"/>
        <w:ind w:left="0" w:firstLine="0"/>
        <w:jc w:val="both"/>
        <w:rPr>
          <w:b/>
          <w:sz w:val="22"/>
          <w:szCs w:val="22"/>
        </w:rPr>
      </w:pPr>
      <w:r w:rsidRPr="004635E5">
        <w:rPr>
          <w:sz w:val="22"/>
          <w:szCs w:val="22"/>
        </w:rPr>
        <w:t xml:space="preserve">The </w:t>
      </w:r>
      <w:r w:rsidR="00F52544" w:rsidRPr="004635E5">
        <w:rPr>
          <w:sz w:val="22"/>
          <w:szCs w:val="22"/>
        </w:rPr>
        <w:t>EU</w:t>
      </w:r>
      <w:r w:rsidRPr="004635E5">
        <w:rPr>
          <w:sz w:val="22"/>
          <w:szCs w:val="22"/>
        </w:rPr>
        <w:t xml:space="preserve"> </w:t>
      </w:r>
      <w:r w:rsidR="00F52544" w:rsidRPr="004635E5">
        <w:rPr>
          <w:sz w:val="22"/>
          <w:szCs w:val="22"/>
        </w:rPr>
        <w:t>welcome</w:t>
      </w:r>
      <w:r w:rsidRPr="004635E5">
        <w:rPr>
          <w:sz w:val="22"/>
          <w:szCs w:val="22"/>
        </w:rPr>
        <w:t>d</w:t>
      </w:r>
      <w:r w:rsidR="00F52544" w:rsidRPr="004635E5">
        <w:rPr>
          <w:sz w:val="22"/>
          <w:szCs w:val="22"/>
        </w:rPr>
        <w:t xml:space="preserve"> cont</w:t>
      </w:r>
      <w:r w:rsidRPr="004635E5">
        <w:rPr>
          <w:sz w:val="22"/>
          <w:szCs w:val="22"/>
        </w:rPr>
        <w:t>inued</w:t>
      </w:r>
      <w:r w:rsidR="00F52544" w:rsidRPr="004635E5">
        <w:rPr>
          <w:sz w:val="22"/>
          <w:szCs w:val="22"/>
        </w:rPr>
        <w:t xml:space="preserve"> coop</w:t>
      </w:r>
      <w:r w:rsidRPr="004635E5">
        <w:rPr>
          <w:sz w:val="22"/>
          <w:szCs w:val="22"/>
        </w:rPr>
        <w:t>eration</w:t>
      </w:r>
      <w:r w:rsidR="00F52544" w:rsidRPr="004635E5">
        <w:rPr>
          <w:sz w:val="22"/>
          <w:szCs w:val="22"/>
        </w:rPr>
        <w:t xml:space="preserve"> with ACAP</w:t>
      </w:r>
      <w:r w:rsidRPr="004635E5">
        <w:rPr>
          <w:sz w:val="22"/>
          <w:szCs w:val="22"/>
        </w:rPr>
        <w:t>, and inquired regarding the</w:t>
      </w:r>
      <w:r w:rsidR="00F52544" w:rsidRPr="004635E5">
        <w:rPr>
          <w:sz w:val="22"/>
          <w:szCs w:val="22"/>
        </w:rPr>
        <w:t xml:space="preserve"> process by which </w:t>
      </w:r>
      <w:r w:rsidRPr="004635E5">
        <w:rPr>
          <w:sz w:val="22"/>
          <w:szCs w:val="22"/>
        </w:rPr>
        <w:t>b</w:t>
      </w:r>
      <w:r w:rsidR="00F52544" w:rsidRPr="004635E5">
        <w:rPr>
          <w:sz w:val="22"/>
          <w:szCs w:val="22"/>
        </w:rPr>
        <w:t>y</w:t>
      </w:r>
      <w:r w:rsidRPr="004635E5">
        <w:rPr>
          <w:sz w:val="22"/>
          <w:szCs w:val="22"/>
        </w:rPr>
        <w:t>ca</w:t>
      </w:r>
      <w:r w:rsidR="00F52544" w:rsidRPr="004635E5">
        <w:rPr>
          <w:sz w:val="22"/>
          <w:szCs w:val="22"/>
        </w:rPr>
        <w:t>t</w:t>
      </w:r>
      <w:r w:rsidRPr="004635E5">
        <w:rPr>
          <w:sz w:val="22"/>
          <w:szCs w:val="22"/>
        </w:rPr>
        <w:t>c</w:t>
      </w:r>
      <w:r w:rsidR="00F52544" w:rsidRPr="004635E5">
        <w:rPr>
          <w:sz w:val="22"/>
          <w:szCs w:val="22"/>
        </w:rPr>
        <w:t>h mit</w:t>
      </w:r>
      <w:r w:rsidRPr="004635E5">
        <w:rPr>
          <w:sz w:val="22"/>
          <w:szCs w:val="22"/>
        </w:rPr>
        <w:t xml:space="preserve">igation measures would be reviewed, and whether consultations with </w:t>
      </w:r>
      <w:r w:rsidR="00F52544" w:rsidRPr="004635E5">
        <w:rPr>
          <w:sz w:val="22"/>
          <w:szCs w:val="22"/>
        </w:rPr>
        <w:t>rel</w:t>
      </w:r>
      <w:r w:rsidRPr="004635E5">
        <w:rPr>
          <w:sz w:val="22"/>
          <w:szCs w:val="22"/>
        </w:rPr>
        <w:t>evant</w:t>
      </w:r>
      <w:r w:rsidR="00F52544" w:rsidRPr="004635E5">
        <w:rPr>
          <w:sz w:val="22"/>
          <w:szCs w:val="22"/>
        </w:rPr>
        <w:t xml:space="preserve"> RFMOs and other sci</w:t>
      </w:r>
      <w:r w:rsidR="00A16680" w:rsidRPr="004635E5">
        <w:rPr>
          <w:sz w:val="22"/>
          <w:szCs w:val="22"/>
        </w:rPr>
        <w:t>entific</w:t>
      </w:r>
      <w:r w:rsidR="00F52544" w:rsidRPr="004635E5">
        <w:rPr>
          <w:sz w:val="22"/>
          <w:szCs w:val="22"/>
        </w:rPr>
        <w:t xml:space="preserve"> bodies </w:t>
      </w:r>
      <w:r w:rsidRPr="004635E5">
        <w:rPr>
          <w:sz w:val="22"/>
          <w:szCs w:val="22"/>
        </w:rPr>
        <w:t xml:space="preserve">would be held to access </w:t>
      </w:r>
      <w:r w:rsidR="00F52544" w:rsidRPr="004635E5">
        <w:rPr>
          <w:sz w:val="22"/>
          <w:szCs w:val="22"/>
        </w:rPr>
        <w:t xml:space="preserve">data and benefit </w:t>
      </w:r>
      <w:r w:rsidRPr="004635E5">
        <w:rPr>
          <w:sz w:val="22"/>
          <w:szCs w:val="22"/>
        </w:rPr>
        <w:t xml:space="preserve">their scientific </w:t>
      </w:r>
      <w:r w:rsidR="00F52544" w:rsidRPr="004635E5">
        <w:rPr>
          <w:sz w:val="22"/>
          <w:szCs w:val="22"/>
        </w:rPr>
        <w:t>expertise</w:t>
      </w:r>
      <w:r w:rsidRPr="004635E5">
        <w:rPr>
          <w:sz w:val="22"/>
          <w:szCs w:val="22"/>
        </w:rPr>
        <w:t xml:space="preserve">. A </w:t>
      </w:r>
      <w:r w:rsidR="00293C16" w:rsidRPr="004635E5">
        <w:rPr>
          <w:sz w:val="22"/>
          <w:szCs w:val="22"/>
        </w:rPr>
        <w:t xml:space="preserve">Wolfaardt </w:t>
      </w:r>
      <w:r w:rsidRPr="004635E5">
        <w:rPr>
          <w:sz w:val="22"/>
          <w:szCs w:val="22"/>
        </w:rPr>
        <w:t xml:space="preserve">indicated </w:t>
      </w:r>
      <w:r w:rsidR="002A6696">
        <w:rPr>
          <w:rFonts w:eastAsiaTheme="minorEastAsia" w:hint="eastAsia"/>
          <w:sz w:val="22"/>
          <w:szCs w:val="22"/>
          <w:lang w:eastAsia="ko-KR"/>
        </w:rPr>
        <w:t>that</w:t>
      </w:r>
      <w:r w:rsidR="00F52544" w:rsidRPr="004635E5">
        <w:rPr>
          <w:sz w:val="22"/>
          <w:szCs w:val="22"/>
        </w:rPr>
        <w:t xml:space="preserve"> </w:t>
      </w:r>
      <w:r w:rsidRPr="004635E5">
        <w:rPr>
          <w:sz w:val="22"/>
          <w:szCs w:val="22"/>
        </w:rPr>
        <w:t>a working group with many members engaged in doing re</w:t>
      </w:r>
      <w:r w:rsidR="00F52544" w:rsidRPr="004635E5">
        <w:rPr>
          <w:sz w:val="22"/>
          <w:szCs w:val="22"/>
        </w:rPr>
        <w:t>se</w:t>
      </w:r>
      <w:r w:rsidRPr="004635E5">
        <w:rPr>
          <w:sz w:val="22"/>
          <w:szCs w:val="22"/>
        </w:rPr>
        <w:t>a</w:t>
      </w:r>
      <w:r w:rsidR="00F52544" w:rsidRPr="004635E5">
        <w:rPr>
          <w:sz w:val="22"/>
          <w:szCs w:val="22"/>
        </w:rPr>
        <w:t>rch</w:t>
      </w:r>
      <w:r w:rsidRPr="004635E5">
        <w:rPr>
          <w:sz w:val="22"/>
          <w:szCs w:val="22"/>
        </w:rPr>
        <w:t xml:space="preserve"> meets </w:t>
      </w:r>
      <w:r w:rsidR="00F52544" w:rsidRPr="004635E5">
        <w:rPr>
          <w:sz w:val="22"/>
          <w:szCs w:val="22"/>
        </w:rPr>
        <w:t xml:space="preserve">every 18 months </w:t>
      </w:r>
      <w:r w:rsidRPr="004635E5">
        <w:rPr>
          <w:sz w:val="22"/>
          <w:szCs w:val="22"/>
        </w:rPr>
        <w:t xml:space="preserve">to </w:t>
      </w:r>
      <w:r w:rsidR="00F52544" w:rsidRPr="004635E5">
        <w:rPr>
          <w:sz w:val="22"/>
          <w:szCs w:val="22"/>
        </w:rPr>
        <w:t>review research. MO</w:t>
      </w:r>
      <w:r w:rsidRPr="004635E5">
        <w:rPr>
          <w:sz w:val="22"/>
          <w:szCs w:val="22"/>
        </w:rPr>
        <w:t>U</w:t>
      </w:r>
      <w:r w:rsidR="00F52544" w:rsidRPr="004635E5">
        <w:rPr>
          <w:sz w:val="22"/>
          <w:szCs w:val="22"/>
        </w:rPr>
        <w:t xml:space="preserve">s </w:t>
      </w:r>
      <w:r w:rsidRPr="004635E5">
        <w:rPr>
          <w:sz w:val="22"/>
          <w:szCs w:val="22"/>
        </w:rPr>
        <w:t xml:space="preserve">are in place with </w:t>
      </w:r>
      <w:r w:rsidR="00F52544" w:rsidRPr="004635E5">
        <w:rPr>
          <w:sz w:val="22"/>
          <w:szCs w:val="22"/>
        </w:rPr>
        <w:t>rel</w:t>
      </w:r>
      <w:r w:rsidRPr="004635E5">
        <w:rPr>
          <w:sz w:val="22"/>
          <w:szCs w:val="22"/>
        </w:rPr>
        <w:t>evant</w:t>
      </w:r>
      <w:r w:rsidR="00F52544" w:rsidRPr="004635E5">
        <w:rPr>
          <w:sz w:val="22"/>
          <w:szCs w:val="22"/>
        </w:rPr>
        <w:t xml:space="preserve"> RFMO</w:t>
      </w:r>
      <w:r w:rsidRPr="004635E5">
        <w:rPr>
          <w:sz w:val="22"/>
          <w:szCs w:val="22"/>
        </w:rPr>
        <w:t xml:space="preserve">s, and there is extensive </w:t>
      </w:r>
      <w:r w:rsidR="00F52544" w:rsidRPr="004635E5">
        <w:rPr>
          <w:sz w:val="22"/>
          <w:szCs w:val="22"/>
        </w:rPr>
        <w:t>collab</w:t>
      </w:r>
      <w:r w:rsidR="00A16680" w:rsidRPr="004635E5">
        <w:rPr>
          <w:sz w:val="22"/>
          <w:szCs w:val="22"/>
        </w:rPr>
        <w:t>oration</w:t>
      </w:r>
      <w:r w:rsidR="00F52544" w:rsidRPr="004635E5">
        <w:rPr>
          <w:sz w:val="22"/>
          <w:szCs w:val="22"/>
        </w:rPr>
        <w:t xml:space="preserve"> </w:t>
      </w:r>
      <w:r w:rsidR="00A16680" w:rsidRPr="004635E5">
        <w:rPr>
          <w:sz w:val="22"/>
          <w:szCs w:val="22"/>
        </w:rPr>
        <w:t>with</w:t>
      </w:r>
      <w:r w:rsidR="00F52544" w:rsidRPr="004635E5">
        <w:rPr>
          <w:sz w:val="22"/>
          <w:szCs w:val="22"/>
        </w:rPr>
        <w:t xml:space="preserve"> sci</w:t>
      </w:r>
      <w:r w:rsidRPr="004635E5">
        <w:rPr>
          <w:sz w:val="22"/>
          <w:szCs w:val="22"/>
        </w:rPr>
        <w:t>entists</w:t>
      </w:r>
      <w:r w:rsidR="00F52544" w:rsidRPr="004635E5">
        <w:rPr>
          <w:sz w:val="22"/>
          <w:szCs w:val="22"/>
        </w:rPr>
        <w:t xml:space="preserve">. </w:t>
      </w:r>
      <w:r w:rsidRPr="004635E5">
        <w:rPr>
          <w:sz w:val="22"/>
          <w:szCs w:val="22"/>
        </w:rPr>
        <w:t>He invited CCMs to speak with him further on the issue.</w:t>
      </w:r>
      <w:r w:rsidR="00F52544" w:rsidRPr="004635E5">
        <w:rPr>
          <w:sz w:val="22"/>
          <w:szCs w:val="22"/>
        </w:rPr>
        <w:t xml:space="preserve"> </w:t>
      </w:r>
    </w:p>
    <w:p w14:paraId="311B2226" w14:textId="77777777" w:rsidR="002A4403" w:rsidRPr="004635E5" w:rsidRDefault="002A4403" w:rsidP="006633A8">
      <w:pPr>
        <w:autoSpaceDE w:val="0"/>
        <w:autoSpaceDN w:val="0"/>
        <w:adjustRightInd w:val="0"/>
        <w:snapToGrid w:val="0"/>
        <w:jc w:val="both"/>
        <w:rPr>
          <w:b/>
          <w:sz w:val="22"/>
          <w:szCs w:val="22"/>
        </w:rPr>
      </w:pPr>
    </w:p>
    <w:p w14:paraId="78F9D72E" w14:textId="77777777" w:rsidR="00966D1C" w:rsidRPr="004635E5" w:rsidRDefault="00315B22" w:rsidP="00580EA4">
      <w:pPr>
        <w:pStyle w:val="SC3"/>
        <w:numPr>
          <w:ilvl w:val="2"/>
          <w:numId w:val="161"/>
        </w:numPr>
        <w:spacing w:after="0"/>
      </w:pPr>
      <w:r w:rsidRPr="004635E5">
        <w:rPr>
          <w:rFonts w:eastAsiaTheme="minorEastAsia"/>
        </w:rPr>
        <w:t>Review of CMM 2017-06</w:t>
      </w:r>
      <w:r w:rsidRPr="004635E5">
        <w:rPr>
          <w:rFonts w:eastAsiaTheme="minorEastAsia"/>
          <w:lang w:eastAsia="ko-KR"/>
        </w:rPr>
        <w:t xml:space="preserve"> </w:t>
      </w:r>
      <w:r w:rsidR="00C425B2">
        <w:rPr>
          <w:rFonts w:eastAsiaTheme="minorEastAsia" w:hint="eastAsia"/>
          <w:lang w:eastAsia="ko-KR"/>
        </w:rPr>
        <w:t>(CMM on Seabirds)</w:t>
      </w:r>
    </w:p>
    <w:p w14:paraId="23C0F593" w14:textId="77777777" w:rsidR="002A4403" w:rsidRPr="004635E5" w:rsidRDefault="002A4403" w:rsidP="006633A8">
      <w:pPr>
        <w:pStyle w:val="SC3"/>
        <w:numPr>
          <w:ilvl w:val="0"/>
          <w:numId w:val="0"/>
        </w:numPr>
        <w:spacing w:after="0"/>
        <w:ind w:left="1440"/>
      </w:pPr>
    </w:p>
    <w:p w14:paraId="3C99D79A" w14:textId="77777777" w:rsidR="003207CC" w:rsidRPr="004635E5" w:rsidRDefault="00323D4D"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rPr>
        <w:t>I</w:t>
      </w:r>
      <w:r w:rsidRPr="004635E5">
        <w:rPr>
          <w:sz w:val="22"/>
          <w:szCs w:val="22"/>
          <w:lang w:val="en-NZ"/>
        </w:rPr>
        <w:t xml:space="preserve">. Debski (New Zealand) presented </w:t>
      </w:r>
      <w:r w:rsidR="003207CC" w:rsidRPr="004635E5">
        <w:rPr>
          <w:sz w:val="22"/>
          <w:szCs w:val="22"/>
          <w:lang w:val="en-NZ"/>
        </w:rPr>
        <w:t>SC14-EB-W</w:t>
      </w:r>
      <w:r w:rsidR="00E41D57" w:rsidRPr="004635E5">
        <w:rPr>
          <w:sz w:val="22"/>
          <w:szCs w:val="22"/>
          <w:lang w:val="en-NZ"/>
        </w:rPr>
        <w:t>P</w:t>
      </w:r>
      <w:r w:rsidR="003207CC" w:rsidRPr="004635E5">
        <w:rPr>
          <w:sz w:val="22"/>
          <w:szCs w:val="22"/>
          <w:lang w:val="en-NZ"/>
        </w:rPr>
        <w:t>-10 rev</w:t>
      </w:r>
      <w:r w:rsidR="00C425B2">
        <w:rPr>
          <w:rFonts w:eastAsiaTheme="minorEastAsia" w:hint="eastAsia"/>
          <w:sz w:val="22"/>
          <w:szCs w:val="22"/>
          <w:lang w:val="en-NZ" w:eastAsia="ko-KR"/>
        </w:rPr>
        <w:t>.</w:t>
      </w:r>
      <w:r w:rsidR="003207CC" w:rsidRPr="004635E5">
        <w:rPr>
          <w:sz w:val="22"/>
          <w:szCs w:val="22"/>
          <w:lang w:val="en-NZ"/>
        </w:rPr>
        <w:t>1</w:t>
      </w:r>
      <w:r w:rsidR="00C425B2">
        <w:rPr>
          <w:rFonts w:eastAsiaTheme="minorEastAsia" w:hint="eastAsia"/>
          <w:sz w:val="22"/>
          <w:szCs w:val="22"/>
          <w:lang w:val="en-NZ" w:eastAsia="ko-KR"/>
        </w:rPr>
        <w:t xml:space="preserve"> </w:t>
      </w:r>
      <w:r w:rsidR="003207CC" w:rsidRPr="004635E5">
        <w:rPr>
          <w:i/>
          <w:sz w:val="22"/>
          <w:szCs w:val="22"/>
          <w:lang w:val="en-GB"/>
        </w:rPr>
        <w:t>Hook-shielding devices to mitigate seabird bycatch: review of effectiveness</w:t>
      </w:r>
      <w:r w:rsidRPr="004635E5">
        <w:rPr>
          <w:sz w:val="22"/>
          <w:szCs w:val="22"/>
          <w:lang w:val="en-NZ"/>
        </w:rPr>
        <w:t xml:space="preserve">, a review of the effectiveness of hook-shielding devices to mitigate seabird bycatch. </w:t>
      </w:r>
    </w:p>
    <w:p w14:paraId="74F1088F" w14:textId="77777777" w:rsidR="00E269E7" w:rsidRPr="004635E5" w:rsidRDefault="00E269E7" w:rsidP="006633A8">
      <w:pPr>
        <w:autoSpaceDE w:val="0"/>
        <w:autoSpaceDN w:val="0"/>
        <w:adjustRightInd w:val="0"/>
        <w:snapToGrid w:val="0"/>
        <w:jc w:val="both"/>
        <w:rPr>
          <w:sz w:val="22"/>
          <w:szCs w:val="22"/>
          <w:lang w:val="en-NZ"/>
        </w:rPr>
      </w:pPr>
    </w:p>
    <w:p w14:paraId="5DE23914" w14:textId="77777777" w:rsidR="005E3B0C" w:rsidRPr="004635E5" w:rsidRDefault="00A16680"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The </w:t>
      </w:r>
      <w:r w:rsidR="00323D4D" w:rsidRPr="004635E5">
        <w:rPr>
          <w:sz w:val="22"/>
          <w:szCs w:val="22"/>
          <w:lang w:val="en-NZ"/>
        </w:rPr>
        <w:t xml:space="preserve">review was </w:t>
      </w:r>
      <w:r w:rsidR="003207CC" w:rsidRPr="004635E5">
        <w:rPr>
          <w:sz w:val="22"/>
          <w:szCs w:val="22"/>
          <w:lang w:val="en-NZ"/>
        </w:rPr>
        <w:t xml:space="preserve">undertaken in </w:t>
      </w:r>
      <w:r w:rsidR="00323D4D" w:rsidRPr="004635E5">
        <w:rPr>
          <w:sz w:val="22"/>
          <w:szCs w:val="22"/>
          <w:lang w:val="en-NZ"/>
        </w:rPr>
        <w:t>response to a tasking from WCPFC14. Debski focussed the review on Hookpods, the most widely tested hook-shielding device that meets the ACAP criteria for best practice seabird mitigation. Hookpods are a polycarbonate capsule that closes around the barb of the baited hook on setting, and releases the hook once it has reached a depth of 10 m, beyond the foraging range of most seabirds. As such,</w:t>
      </w:r>
      <w:r w:rsidR="000428DE" w:rsidRPr="004635E5">
        <w:rPr>
          <w:sz w:val="22"/>
          <w:szCs w:val="22"/>
          <w:lang w:val="en-NZ"/>
        </w:rPr>
        <w:t xml:space="preserve"> the Hookpod represents a stand-</w:t>
      </w:r>
      <w:r w:rsidR="00323D4D" w:rsidRPr="004635E5">
        <w:rPr>
          <w:sz w:val="22"/>
          <w:szCs w:val="22"/>
          <w:lang w:val="en-NZ"/>
        </w:rPr>
        <w:t>alone mitigation measure, and can be an alternative option to current requirements under CMM</w:t>
      </w:r>
      <w:r w:rsidR="00A4588D">
        <w:rPr>
          <w:sz w:val="22"/>
          <w:szCs w:val="22"/>
          <w:lang w:val="en-NZ"/>
        </w:rPr>
        <w:t xml:space="preserve"> </w:t>
      </w:r>
      <w:r w:rsidR="00323D4D" w:rsidRPr="004635E5">
        <w:rPr>
          <w:sz w:val="22"/>
          <w:szCs w:val="22"/>
          <w:lang w:val="en-NZ"/>
        </w:rPr>
        <w:t>2017-06 which requires the combined use of two existing mitigation measures. The review covered evidence from trials across a wide geographic range, including trials in the WCPFC area. Key evidence on the bycatch mitigation effectiveness of Hookpods was presented, including a reduction in seabird bycatch rate from 0.8 to 0.04 birds/1000 hooks across trials in Brazil, Australia and South Africa with a control of no mitigation, and a reduction from 0.248 to 0.079 birds/1000 hooks in trials in New Zealand, where the control was the use of status-quo mitigation as required by CMM</w:t>
      </w:r>
      <w:r w:rsidR="00A4588D">
        <w:rPr>
          <w:sz w:val="22"/>
          <w:szCs w:val="22"/>
          <w:lang w:val="en-NZ"/>
        </w:rPr>
        <w:t xml:space="preserve"> </w:t>
      </w:r>
      <w:r w:rsidR="00323D4D" w:rsidRPr="004635E5">
        <w:rPr>
          <w:sz w:val="22"/>
          <w:szCs w:val="22"/>
          <w:lang w:val="en-NZ"/>
        </w:rPr>
        <w:t>2017-06. This demonstrated that Hookpods are as effective, or more effective, in mitigating seabird bycatch than the use of mitigation options currently provided for under CMM</w:t>
      </w:r>
      <w:r w:rsidR="00A4588D">
        <w:rPr>
          <w:sz w:val="22"/>
          <w:szCs w:val="22"/>
          <w:lang w:val="en-NZ"/>
        </w:rPr>
        <w:t xml:space="preserve"> </w:t>
      </w:r>
      <w:r w:rsidR="00323D4D" w:rsidRPr="004635E5">
        <w:rPr>
          <w:sz w:val="22"/>
          <w:szCs w:val="22"/>
          <w:lang w:val="en-NZ"/>
        </w:rPr>
        <w:t>2017-06. All trials have confirmed there was no effect on target fish rate. It was noted that trials had not been conducted on all fleets operating across the WCPFC area, so whilst the full extent of applicability of this mitigation method could not be confirmed, the multiple trials to date did show they were widely compatible, for smaller-vessel fleets at least.</w:t>
      </w:r>
    </w:p>
    <w:p w14:paraId="4AB49A18" w14:textId="77777777" w:rsidR="00E269E7" w:rsidRPr="004635E5" w:rsidRDefault="00E269E7" w:rsidP="006633A8">
      <w:pPr>
        <w:autoSpaceDE w:val="0"/>
        <w:autoSpaceDN w:val="0"/>
        <w:adjustRightInd w:val="0"/>
        <w:snapToGrid w:val="0"/>
        <w:jc w:val="both"/>
        <w:rPr>
          <w:sz w:val="22"/>
          <w:szCs w:val="22"/>
          <w:lang w:val="en-NZ"/>
        </w:rPr>
      </w:pPr>
    </w:p>
    <w:p w14:paraId="0D885ECB" w14:textId="77777777" w:rsidR="005E3B0C" w:rsidRPr="004635E5" w:rsidRDefault="00D70010" w:rsidP="006633A8">
      <w:pPr>
        <w:pStyle w:val="WCPFC"/>
        <w:adjustRightInd w:val="0"/>
        <w:spacing w:after="0"/>
        <w:ind w:left="0" w:firstLine="0"/>
        <w:rPr>
          <w:rFonts w:cs="Times New Roman"/>
        </w:rPr>
      </w:pPr>
      <w:r w:rsidRPr="004635E5">
        <w:rPr>
          <w:rFonts w:cs="Times New Roman"/>
        </w:rPr>
        <w:t>Vanuatu, on behalf of FFA members</w:t>
      </w:r>
      <w:r w:rsidR="00A16680" w:rsidRPr="004635E5">
        <w:rPr>
          <w:rFonts w:cs="Times New Roman"/>
        </w:rPr>
        <w:t>,</w:t>
      </w:r>
      <w:r w:rsidRPr="004635E5">
        <w:rPr>
          <w:rFonts w:cs="Times New Roman"/>
        </w:rPr>
        <w:t xml:space="preserve"> </w:t>
      </w:r>
      <w:r w:rsidR="000F5C05" w:rsidRPr="004635E5">
        <w:rPr>
          <w:rFonts w:cs="Times New Roman"/>
        </w:rPr>
        <w:t xml:space="preserve">noted that </w:t>
      </w:r>
      <w:r w:rsidR="00A16680" w:rsidRPr="004635E5">
        <w:rPr>
          <w:rFonts w:cs="Times New Roman"/>
        </w:rPr>
        <w:t>CMM 2017-06 demonstrated</w:t>
      </w:r>
      <w:r w:rsidR="005E3B0C" w:rsidRPr="004635E5">
        <w:rPr>
          <w:rFonts w:cs="Times New Roman"/>
        </w:rPr>
        <w:t xml:space="preserve"> continued efforts to strengthen measures that reduce bycatch of seabirds in WCPFC fisheries. </w:t>
      </w:r>
      <w:r w:rsidR="00A16680" w:rsidRPr="004635E5">
        <w:rPr>
          <w:rFonts w:cs="Times New Roman"/>
        </w:rPr>
        <w:t>They noted, h</w:t>
      </w:r>
      <w:r w:rsidR="005E3B0C" w:rsidRPr="004635E5">
        <w:rPr>
          <w:rFonts w:cs="Times New Roman"/>
        </w:rPr>
        <w:t>owever, there are issues with CCMs not providing reports as required under Annex 2.</w:t>
      </w:r>
      <w:r w:rsidR="00C41183" w:rsidRPr="004635E5">
        <w:rPr>
          <w:rFonts w:cs="Times New Roman"/>
        </w:rPr>
        <w:t xml:space="preserve"> </w:t>
      </w:r>
      <w:r w:rsidR="005E3B0C" w:rsidRPr="004635E5">
        <w:rPr>
          <w:rFonts w:cs="Times New Roman"/>
        </w:rPr>
        <w:t xml:space="preserve">SC14 has been presented with information in </w:t>
      </w:r>
      <w:r w:rsidR="00961208">
        <w:rPr>
          <w:rFonts w:eastAsia="Calibri"/>
          <w:lang w:val="en-AU"/>
        </w:rPr>
        <w:t>SC14-</w:t>
      </w:r>
      <w:r w:rsidR="005E3B0C" w:rsidRPr="004635E5">
        <w:rPr>
          <w:rFonts w:cs="Times New Roman"/>
        </w:rPr>
        <w:t xml:space="preserve">EB-WP-11 and </w:t>
      </w:r>
      <w:r w:rsidR="00961208">
        <w:rPr>
          <w:rFonts w:eastAsia="Calibri"/>
          <w:lang w:val="en-AU"/>
        </w:rPr>
        <w:t>SC14-</w:t>
      </w:r>
      <w:r w:rsidR="005E3B0C" w:rsidRPr="004635E5">
        <w:rPr>
          <w:rFonts w:cs="Times New Roman"/>
        </w:rPr>
        <w:t>EB-WP-03 suggesting that actions under current and recent measures are not adequate to manage seabird interactions and reduce the risk of excessive seabird mortality from longline fishing in the WCPO.</w:t>
      </w:r>
      <w:r w:rsidR="00C41183" w:rsidRPr="004635E5">
        <w:rPr>
          <w:rFonts w:cs="Times New Roman"/>
        </w:rPr>
        <w:t xml:space="preserve"> </w:t>
      </w:r>
      <w:r w:rsidR="00A16680" w:rsidRPr="004635E5">
        <w:rPr>
          <w:rFonts w:cs="Times New Roman"/>
        </w:rPr>
        <w:t xml:space="preserve">FFA members noted </w:t>
      </w:r>
      <w:r w:rsidR="005E3B0C" w:rsidRPr="004635E5">
        <w:rPr>
          <w:rFonts w:cs="Times New Roman"/>
        </w:rPr>
        <w:t xml:space="preserve">the successful trials on hook shielding devices </w:t>
      </w:r>
      <w:r w:rsidR="00A16680" w:rsidRPr="004635E5">
        <w:rPr>
          <w:rFonts w:cs="Times New Roman"/>
        </w:rPr>
        <w:t xml:space="preserve">that </w:t>
      </w:r>
      <w:r w:rsidR="005E3B0C" w:rsidRPr="004635E5">
        <w:rPr>
          <w:rFonts w:cs="Times New Roman"/>
        </w:rPr>
        <w:t>have been carried out in several locations in the WCPO, and in other oceans</w:t>
      </w:r>
      <w:r w:rsidR="00A16680" w:rsidRPr="004635E5">
        <w:rPr>
          <w:rFonts w:cs="Times New Roman"/>
        </w:rPr>
        <w:t xml:space="preserve">, with the </w:t>
      </w:r>
      <w:r w:rsidR="005E3B0C" w:rsidRPr="004635E5">
        <w:rPr>
          <w:rFonts w:cs="Times New Roman"/>
        </w:rPr>
        <w:t>devices now used in several major longline fleets in the WCPO</w:t>
      </w:r>
      <w:r w:rsidR="00A16680" w:rsidRPr="004635E5">
        <w:rPr>
          <w:rFonts w:cs="Times New Roman"/>
        </w:rPr>
        <w:t xml:space="preserve">. </w:t>
      </w:r>
      <w:r w:rsidR="005E3B0C" w:rsidRPr="004635E5">
        <w:rPr>
          <w:rFonts w:cs="Times New Roman"/>
        </w:rPr>
        <w:t>The results of the trials support the effectiveness of hook shielding devices</w:t>
      </w:r>
      <w:r w:rsidR="00A16680" w:rsidRPr="004635E5">
        <w:rPr>
          <w:rFonts w:cs="Times New Roman"/>
        </w:rPr>
        <w:t>,</w:t>
      </w:r>
      <w:r w:rsidR="005E3B0C" w:rsidRPr="004635E5">
        <w:rPr>
          <w:rFonts w:cs="Times New Roman"/>
        </w:rPr>
        <w:t xml:space="preserve"> including their use on small vessels </w:t>
      </w:r>
      <w:r w:rsidR="00A16680" w:rsidRPr="004635E5">
        <w:rPr>
          <w:rFonts w:cs="Times New Roman"/>
        </w:rPr>
        <w:t>(</w:t>
      </w:r>
      <w:r w:rsidR="005E3B0C" w:rsidRPr="004635E5">
        <w:rPr>
          <w:rFonts w:cs="Times New Roman"/>
        </w:rPr>
        <w:t>&lt; 35m</w:t>
      </w:r>
      <w:r w:rsidR="00A16680" w:rsidRPr="004635E5">
        <w:rPr>
          <w:rFonts w:cs="Times New Roman"/>
        </w:rPr>
        <w:t>)</w:t>
      </w:r>
      <w:r w:rsidR="005E3B0C" w:rsidRPr="004635E5">
        <w:rPr>
          <w:rFonts w:cs="Times New Roman"/>
        </w:rPr>
        <w:t>.</w:t>
      </w:r>
      <w:r w:rsidR="00C41183" w:rsidRPr="004635E5">
        <w:rPr>
          <w:rFonts w:cs="Times New Roman"/>
        </w:rPr>
        <w:t xml:space="preserve"> </w:t>
      </w:r>
      <w:r w:rsidR="00A16680" w:rsidRPr="004635E5">
        <w:rPr>
          <w:rFonts w:cs="Times New Roman"/>
        </w:rPr>
        <w:t xml:space="preserve">They </w:t>
      </w:r>
      <w:r w:rsidR="005E3B0C" w:rsidRPr="004635E5">
        <w:rPr>
          <w:rFonts w:cs="Times New Roman"/>
        </w:rPr>
        <w:t>note</w:t>
      </w:r>
      <w:r w:rsidR="00A16680" w:rsidRPr="004635E5">
        <w:rPr>
          <w:rFonts w:cs="Times New Roman"/>
        </w:rPr>
        <w:t>d</w:t>
      </w:r>
      <w:r w:rsidR="005E3B0C" w:rsidRPr="004635E5">
        <w:rPr>
          <w:rFonts w:cs="Times New Roman"/>
        </w:rPr>
        <w:t xml:space="preserve"> the experimental results in </w:t>
      </w:r>
      <w:r w:rsidR="00961208">
        <w:rPr>
          <w:rFonts w:eastAsia="Calibri"/>
          <w:lang w:val="en-AU"/>
        </w:rPr>
        <w:t>SC14-</w:t>
      </w:r>
      <w:r w:rsidR="005E3B0C" w:rsidRPr="004635E5">
        <w:rPr>
          <w:rFonts w:cs="Times New Roman"/>
        </w:rPr>
        <w:t>EB-WP-11 concluded that the use of hook shielding devices did not impact catch rates of tuna species. The experimental evidence also suggests the hook shielding devices are effective and can be beneficial in areas with high seabird abundance.</w:t>
      </w:r>
      <w:r w:rsidR="00C41183" w:rsidRPr="004635E5">
        <w:rPr>
          <w:rFonts w:cs="Times New Roman"/>
        </w:rPr>
        <w:t xml:space="preserve"> </w:t>
      </w:r>
      <w:r w:rsidR="005E3B0C" w:rsidRPr="004635E5">
        <w:rPr>
          <w:rFonts w:cs="Times New Roman"/>
        </w:rPr>
        <w:t>FFA members support</w:t>
      </w:r>
      <w:r w:rsidR="00A16680" w:rsidRPr="004635E5">
        <w:rPr>
          <w:rFonts w:cs="Times New Roman"/>
        </w:rPr>
        <w:t>ed</w:t>
      </w:r>
      <w:r w:rsidR="005E3B0C" w:rsidRPr="004635E5">
        <w:rPr>
          <w:rFonts w:cs="Times New Roman"/>
        </w:rPr>
        <w:t xml:space="preserve"> SC recommend</w:t>
      </w:r>
      <w:r w:rsidR="00A16680" w:rsidRPr="004635E5">
        <w:rPr>
          <w:rFonts w:cs="Times New Roman"/>
        </w:rPr>
        <w:t>ing</w:t>
      </w:r>
      <w:r w:rsidR="005E3B0C" w:rsidRPr="004635E5">
        <w:rPr>
          <w:rFonts w:cs="Times New Roman"/>
        </w:rPr>
        <w:t xml:space="preserve"> that the Commission adopt hook shielding devices as a non-mandatory option to complement current mitigation options provided under CMM 2017-06.</w:t>
      </w:r>
    </w:p>
    <w:p w14:paraId="43A93D94" w14:textId="77777777" w:rsidR="00E269E7" w:rsidRPr="004635E5" w:rsidRDefault="00E269E7" w:rsidP="006633A8">
      <w:pPr>
        <w:pStyle w:val="WCPFC"/>
        <w:numPr>
          <w:ilvl w:val="0"/>
          <w:numId w:val="0"/>
        </w:numPr>
        <w:adjustRightInd w:val="0"/>
        <w:spacing w:after="0"/>
        <w:rPr>
          <w:rFonts w:cs="Times New Roman"/>
        </w:rPr>
      </w:pPr>
    </w:p>
    <w:p w14:paraId="4EAC3A92" w14:textId="77777777" w:rsidR="00850214" w:rsidRPr="004635E5" w:rsidRDefault="00D06383"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Japan</w:t>
      </w:r>
      <w:r w:rsidR="00C41183" w:rsidRPr="004635E5">
        <w:rPr>
          <w:sz w:val="22"/>
          <w:szCs w:val="22"/>
          <w:lang w:val="en-NZ"/>
        </w:rPr>
        <w:t xml:space="preserve"> stated that it did</w:t>
      </w:r>
      <w:r w:rsidRPr="004635E5">
        <w:rPr>
          <w:sz w:val="22"/>
          <w:szCs w:val="22"/>
          <w:lang w:val="en-NZ"/>
        </w:rPr>
        <w:t xml:space="preserve"> not oppose that this </w:t>
      </w:r>
      <w:r w:rsidR="00C41183" w:rsidRPr="004635E5">
        <w:rPr>
          <w:sz w:val="22"/>
          <w:szCs w:val="22"/>
          <w:lang w:val="en-NZ"/>
        </w:rPr>
        <w:t xml:space="preserve">could </w:t>
      </w:r>
      <w:r w:rsidRPr="004635E5">
        <w:rPr>
          <w:sz w:val="22"/>
          <w:szCs w:val="22"/>
          <w:lang w:val="en-NZ"/>
        </w:rPr>
        <w:t xml:space="preserve">be a mitigation measure, but </w:t>
      </w:r>
      <w:r w:rsidR="00C41183" w:rsidRPr="004635E5">
        <w:rPr>
          <w:sz w:val="22"/>
          <w:szCs w:val="22"/>
          <w:lang w:val="en-NZ"/>
        </w:rPr>
        <w:t xml:space="preserve">noted the need to consider practical factors of </w:t>
      </w:r>
      <w:r w:rsidRPr="004635E5">
        <w:rPr>
          <w:sz w:val="22"/>
          <w:szCs w:val="22"/>
          <w:lang w:val="en-NZ"/>
        </w:rPr>
        <w:t xml:space="preserve">costs, operationality, </w:t>
      </w:r>
      <w:r w:rsidR="00C41183" w:rsidRPr="004635E5">
        <w:rPr>
          <w:sz w:val="22"/>
          <w:szCs w:val="22"/>
          <w:lang w:val="en-NZ"/>
        </w:rPr>
        <w:t xml:space="preserve">and </w:t>
      </w:r>
      <w:r w:rsidRPr="004635E5">
        <w:rPr>
          <w:sz w:val="22"/>
          <w:szCs w:val="22"/>
          <w:lang w:val="en-NZ"/>
        </w:rPr>
        <w:t xml:space="preserve">practicality. </w:t>
      </w:r>
      <w:r w:rsidR="00C41183" w:rsidRPr="004635E5">
        <w:rPr>
          <w:sz w:val="22"/>
          <w:szCs w:val="22"/>
          <w:lang w:val="en-NZ"/>
        </w:rPr>
        <w:t>Japan was h</w:t>
      </w:r>
      <w:r w:rsidRPr="004635E5">
        <w:rPr>
          <w:sz w:val="22"/>
          <w:szCs w:val="22"/>
          <w:lang w:val="en-NZ"/>
        </w:rPr>
        <w:t>appy to allow members</w:t>
      </w:r>
      <w:r w:rsidR="00C41183" w:rsidRPr="004635E5">
        <w:rPr>
          <w:sz w:val="22"/>
          <w:szCs w:val="22"/>
          <w:lang w:val="en-NZ"/>
        </w:rPr>
        <w:t xml:space="preserve"> </w:t>
      </w:r>
      <w:r w:rsidRPr="004635E5">
        <w:rPr>
          <w:sz w:val="22"/>
          <w:szCs w:val="22"/>
          <w:lang w:val="en-NZ"/>
        </w:rPr>
        <w:t>to try</w:t>
      </w:r>
      <w:r w:rsidR="00C41183" w:rsidRPr="004635E5">
        <w:rPr>
          <w:sz w:val="22"/>
          <w:szCs w:val="22"/>
          <w:lang w:val="en-NZ"/>
        </w:rPr>
        <w:t xml:space="preserve"> hook shielding devices, but stressed they must be volun</w:t>
      </w:r>
      <w:r w:rsidRPr="004635E5">
        <w:rPr>
          <w:sz w:val="22"/>
          <w:szCs w:val="22"/>
          <w:lang w:val="en-NZ"/>
        </w:rPr>
        <w:t xml:space="preserve">tary. If </w:t>
      </w:r>
      <w:r w:rsidR="00C41183" w:rsidRPr="004635E5">
        <w:rPr>
          <w:sz w:val="22"/>
          <w:szCs w:val="22"/>
          <w:lang w:val="en-NZ"/>
        </w:rPr>
        <w:t>SC reco</w:t>
      </w:r>
      <w:r w:rsidRPr="004635E5">
        <w:rPr>
          <w:sz w:val="22"/>
          <w:szCs w:val="22"/>
          <w:lang w:val="en-NZ"/>
        </w:rPr>
        <w:t>m</w:t>
      </w:r>
      <w:r w:rsidR="00C41183" w:rsidRPr="004635E5">
        <w:rPr>
          <w:sz w:val="22"/>
          <w:szCs w:val="22"/>
          <w:lang w:val="en-NZ"/>
        </w:rPr>
        <w:t xml:space="preserve">mended this </w:t>
      </w:r>
      <w:r w:rsidRPr="004635E5">
        <w:rPr>
          <w:sz w:val="22"/>
          <w:szCs w:val="22"/>
          <w:lang w:val="en-NZ"/>
        </w:rPr>
        <w:t xml:space="preserve">as an option, </w:t>
      </w:r>
      <w:r w:rsidR="0051477B" w:rsidRPr="004635E5">
        <w:rPr>
          <w:sz w:val="22"/>
          <w:szCs w:val="22"/>
          <w:lang w:val="en-NZ"/>
        </w:rPr>
        <w:t xml:space="preserve">it first would </w:t>
      </w:r>
      <w:r w:rsidRPr="004635E5">
        <w:rPr>
          <w:sz w:val="22"/>
          <w:szCs w:val="22"/>
          <w:lang w:val="en-NZ"/>
        </w:rPr>
        <w:t xml:space="preserve">need to review </w:t>
      </w:r>
      <w:r w:rsidR="0051477B" w:rsidRPr="004635E5">
        <w:rPr>
          <w:sz w:val="22"/>
          <w:szCs w:val="22"/>
          <w:lang w:val="en-NZ"/>
        </w:rPr>
        <w:t xml:space="preserve">the </w:t>
      </w:r>
      <w:r w:rsidRPr="004635E5">
        <w:rPr>
          <w:sz w:val="22"/>
          <w:szCs w:val="22"/>
          <w:lang w:val="en-NZ"/>
        </w:rPr>
        <w:t xml:space="preserve">applicability. </w:t>
      </w:r>
      <w:r w:rsidR="00621989">
        <w:rPr>
          <w:sz w:val="22"/>
          <w:szCs w:val="22"/>
          <w:lang w:val="en-NZ"/>
        </w:rPr>
        <w:t xml:space="preserve">It was doubtful that </w:t>
      </w:r>
      <w:r w:rsidR="0051477B" w:rsidRPr="004635E5">
        <w:rPr>
          <w:sz w:val="22"/>
          <w:szCs w:val="22"/>
          <w:lang w:val="en-NZ"/>
        </w:rPr>
        <w:t xml:space="preserve">it would </w:t>
      </w:r>
      <w:r w:rsidRPr="004635E5">
        <w:rPr>
          <w:sz w:val="22"/>
          <w:szCs w:val="22"/>
          <w:lang w:val="en-NZ"/>
        </w:rPr>
        <w:t>be applied by all Japanese vessels.</w:t>
      </w:r>
      <w:r w:rsidR="00A16680" w:rsidRPr="004635E5">
        <w:rPr>
          <w:sz w:val="22"/>
          <w:szCs w:val="22"/>
          <w:lang w:val="en-NZ"/>
        </w:rPr>
        <w:t xml:space="preserve"> </w:t>
      </w:r>
      <w:r w:rsidR="00850214" w:rsidRPr="004635E5">
        <w:rPr>
          <w:sz w:val="22"/>
          <w:szCs w:val="22"/>
          <w:lang w:val="en-NZ"/>
        </w:rPr>
        <w:t>China</w:t>
      </w:r>
      <w:r w:rsidR="0051477B" w:rsidRPr="004635E5">
        <w:rPr>
          <w:sz w:val="22"/>
          <w:szCs w:val="22"/>
          <w:lang w:val="en-NZ"/>
        </w:rPr>
        <w:t xml:space="preserve"> also indicated they were </w:t>
      </w:r>
      <w:r w:rsidR="00850214" w:rsidRPr="004635E5">
        <w:rPr>
          <w:sz w:val="22"/>
          <w:szCs w:val="22"/>
          <w:lang w:val="en-NZ"/>
        </w:rPr>
        <w:t xml:space="preserve">happy with </w:t>
      </w:r>
      <w:r w:rsidR="0051477B" w:rsidRPr="004635E5">
        <w:rPr>
          <w:sz w:val="22"/>
          <w:szCs w:val="22"/>
          <w:lang w:val="en-NZ"/>
        </w:rPr>
        <w:t xml:space="preserve">hook shielding </w:t>
      </w:r>
      <w:r w:rsidR="00850214" w:rsidRPr="004635E5">
        <w:rPr>
          <w:sz w:val="22"/>
          <w:szCs w:val="22"/>
          <w:lang w:val="en-NZ"/>
        </w:rPr>
        <w:t>as an option.</w:t>
      </w:r>
      <w:r w:rsidR="00A16680" w:rsidRPr="004635E5">
        <w:rPr>
          <w:sz w:val="22"/>
          <w:szCs w:val="22"/>
          <w:lang w:val="en-NZ"/>
        </w:rPr>
        <w:t xml:space="preserve"> </w:t>
      </w:r>
      <w:r w:rsidR="00850214" w:rsidRPr="004635E5">
        <w:rPr>
          <w:sz w:val="22"/>
          <w:szCs w:val="22"/>
          <w:lang w:val="en-NZ"/>
        </w:rPr>
        <w:t>Japan</w:t>
      </w:r>
      <w:r w:rsidR="0051477B" w:rsidRPr="004635E5">
        <w:rPr>
          <w:sz w:val="22"/>
          <w:szCs w:val="22"/>
          <w:lang w:val="en-NZ"/>
        </w:rPr>
        <w:t xml:space="preserve"> asked </w:t>
      </w:r>
      <w:r w:rsidR="00850214" w:rsidRPr="004635E5">
        <w:rPr>
          <w:sz w:val="22"/>
          <w:szCs w:val="22"/>
          <w:lang w:val="en-NZ"/>
        </w:rPr>
        <w:t xml:space="preserve">which devices </w:t>
      </w:r>
      <w:r w:rsidR="0051477B" w:rsidRPr="004635E5">
        <w:rPr>
          <w:sz w:val="22"/>
          <w:szCs w:val="22"/>
          <w:lang w:val="en-NZ"/>
        </w:rPr>
        <w:t>were reco</w:t>
      </w:r>
      <w:r w:rsidR="00850214" w:rsidRPr="004635E5">
        <w:rPr>
          <w:sz w:val="22"/>
          <w:szCs w:val="22"/>
          <w:lang w:val="en-NZ"/>
        </w:rPr>
        <w:t xml:space="preserve">mmended under </w:t>
      </w:r>
      <w:r w:rsidR="0051477B" w:rsidRPr="004635E5">
        <w:rPr>
          <w:sz w:val="22"/>
          <w:szCs w:val="22"/>
          <w:lang w:val="en-NZ"/>
        </w:rPr>
        <w:t xml:space="preserve">the </w:t>
      </w:r>
      <w:r w:rsidR="00850214" w:rsidRPr="004635E5">
        <w:rPr>
          <w:sz w:val="22"/>
          <w:szCs w:val="22"/>
          <w:lang w:val="en-NZ"/>
        </w:rPr>
        <w:t>m</w:t>
      </w:r>
      <w:r w:rsidR="0051477B" w:rsidRPr="004635E5">
        <w:rPr>
          <w:sz w:val="22"/>
          <w:szCs w:val="22"/>
          <w:lang w:val="en-NZ"/>
        </w:rPr>
        <w:t>e</w:t>
      </w:r>
      <w:r w:rsidR="00850214" w:rsidRPr="004635E5">
        <w:rPr>
          <w:sz w:val="22"/>
          <w:szCs w:val="22"/>
          <w:lang w:val="en-NZ"/>
        </w:rPr>
        <w:t>asure</w:t>
      </w:r>
      <w:r w:rsidR="00F8291F" w:rsidRPr="004635E5">
        <w:rPr>
          <w:sz w:val="22"/>
          <w:szCs w:val="22"/>
          <w:lang w:val="en-NZ"/>
        </w:rPr>
        <w:t>.</w:t>
      </w:r>
      <w:r w:rsidR="00850214" w:rsidRPr="004635E5">
        <w:rPr>
          <w:sz w:val="22"/>
          <w:szCs w:val="22"/>
          <w:lang w:val="en-NZ"/>
        </w:rPr>
        <w:t xml:space="preserve"> I</w:t>
      </w:r>
      <w:r w:rsidR="0051477B" w:rsidRPr="004635E5">
        <w:rPr>
          <w:sz w:val="22"/>
          <w:szCs w:val="22"/>
          <w:lang w:val="en-NZ"/>
        </w:rPr>
        <w:t>. Debski stated it included hook sh</w:t>
      </w:r>
      <w:r w:rsidR="00850214" w:rsidRPr="004635E5">
        <w:rPr>
          <w:sz w:val="22"/>
          <w:szCs w:val="22"/>
          <w:lang w:val="en-NZ"/>
        </w:rPr>
        <w:t>i</w:t>
      </w:r>
      <w:r w:rsidR="0051477B" w:rsidRPr="004635E5">
        <w:rPr>
          <w:sz w:val="22"/>
          <w:szCs w:val="22"/>
          <w:lang w:val="en-NZ"/>
        </w:rPr>
        <w:t>el</w:t>
      </w:r>
      <w:r w:rsidR="00850214" w:rsidRPr="004635E5">
        <w:rPr>
          <w:sz w:val="22"/>
          <w:szCs w:val="22"/>
          <w:lang w:val="en-NZ"/>
        </w:rPr>
        <w:t>d</w:t>
      </w:r>
      <w:r w:rsidR="0051477B" w:rsidRPr="004635E5">
        <w:rPr>
          <w:sz w:val="22"/>
          <w:szCs w:val="22"/>
          <w:lang w:val="en-NZ"/>
        </w:rPr>
        <w:t>ing devices generically</w:t>
      </w:r>
      <w:r w:rsidR="00A16680" w:rsidRPr="004635E5">
        <w:rPr>
          <w:sz w:val="22"/>
          <w:szCs w:val="22"/>
          <w:lang w:val="en-NZ"/>
        </w:rPr>
        <w:t xml:space="preserve">, which </w:t>
      </w:r>
      <w:r w:rsidR="00A16680" w:rsidRPr="004635E5">
        <w:rPr>
          <w:sz w:val="22"/>
          <w:szCs w:val="22"/>
        </w:rPr>
        <w:t xml:space="preserve">encase the point and barb of baited hooks to prevent seabird attacks during line setting until a prescribed depth is reached (e.g. 10 m), or until after a minimum period of immersion has occurred (e.g. 10 minutes) that ensures that baited hooks are released beyond the foraging depth of most seabirds. </w:t>
      </w:r>
      <w:r w:rsidR="00A16680" w:rsidRPr="004635E5">
        <w:rPr>
          <w:sz w:val="22"/>
          <w:szCs w:val="22"/>
          <w:lang w:val="en-NZ"/>
        </w:rPr>
        <w:t xml:space="preserve">This </w:t>
      </w:r>
      <w:r w:rsidR="0051477B" w:rsidRPr="004635E5">
        <w:rPr>
          <w:sz w:val="22"/>
          <w:szCs w:val="22"/>
          <w:lang w:val="en-NZ"/>
        </w:rPr>
        <w:t xml:space="preserve">was </w:t>
      </w:r>
      <w:r w:rsidR="00850214" w:rsidRPr="004635E5">
        <w:rPr>
          <w:sz w:val="22"/>
          <w:szCs w:val="22"/>
          <w:lang w:val="en-NZ"/>
        </w:rPr>
        <w:t xml:space="preserve">more sensible than restricting </w:t>
      </w:r>
      <w:r w:rsidR="0051477B" w:rsidRPr="004635E5">
        <w:rPr>
          <w:sz w:val="22"/>
          <w:szCs w:val="22"/>
          <w:lang w:val="en-NZ"/>
        </w:rPr>
        <w:t xml:space="preserve">devices </w:t>
      </w:r>
      <w:r w:rsidR="00850214" w:rsidRPr="004635E5">
        <w:rPr>
          <w:sz w:val="22"/>
          <w:szCs w:val="22"/>
          <w:lang w:val="en-NZ"/>
        </w:rPr>
        <w:t>to a hook pod</w:t>
      </w:r>
      <w:r w:rsidR="0051477B" w:rsidRPr="004635E5">
        <w:rPr>
          <w:sz w:val="22"/>
          <w:szCs w:val="22"/>
          <w:lang w:val="en-NZ"/>
        </w:rPr>
        <w:t xml:space="preserve"> only</w:t>
      </w:r>
      <w:r w:rsidR="00850214" w:rsidRPr="004635E5">
        <w:rPr>
          <w:sz w:val="22"/>
          <w:szCs w:val="22"/>
          <w:lang w:val="en-NZ"/>
        </w:rPr>
        <w:t>. New products would hav</w:t>
      </w:r>
      <w:r w:rsidR="0051477B" w:rsidRPr="004635E5">
        <w:rPr>
          <w:sz w:val="22"/>
          <w:szCs w:val="22"/>
          <w:lang w:val="en-NZ"/>
        </w:rPr>
        <w:t>e to demonst</w:t>
      </w:r>
      <w:r w:rsidR="00850214" w:rsidRPr="004635E5">
        <w:rPr>
          <w:sz w:val="22"/>
          <w:szCs w:val="22"/>
          <w:lang w:val="en-NZ"/>
        </w:rPr>
        <w:t>r</w:t>
      </w:r>
      <w:r w:rsidR="0051477B" w:rsidRPr="004635E5">
        <w:rPr>
          <w:sz w:val="22"/>
          <w:szCs w:val="22"/>
          <w:lang w:val="en-NZ"/>
        </w:rPr>
        <w:t>a</w:t>
      </w:r>
      <w:r w:rsidR="00850214" w:rsidRPr="004635E5">
        <w:rPr>
          <w:sz w:val="22"/>
          <w:szCs w:val="22"/>
          <w:lang w:val="en-NZ"/>
        </w:rPr>
        <w:t xml:space="preserve">te they met </w:t>
      </w:r>
      <w:r w:rsidR="00A16680" w:rsidRPr="004635E5">
        <w:rPr>
          <w:sz w:val="22"/>
          <w:szCs w:val="22"/>
          <w:lang w:val="en-NZ"/>
        </w:rPr>
        <w:t xml:space="preserve">those </w:t>
      </w:r>
      <w:r w:rsidR="00850214" w:rsidRPr="004635E5">
        <w:rPr>
          <w:sz w:val="22"/>
          <w:szCs w:val="22"/>
          <w:lang w:val="en-NZ"/>
        </w:rPr>
        <w:t>criteria.</w:t>
      </w:r>
    </w:p>
    <w:p w14:paraId="404FCAC8" w14:textId="77777777" w:rsidR="00E269E7" w:rsidRPr="004635E5" w:rsidRDefault="00E269E7" w:rsidP="006633A8">
      <w:pPr>
        <w:autoSpaceDE w:val="0"/>
        <w:autoSpaceDN w:val="0"/>
        <w:adjustRightInd w:val="0"/>
        <w:snapToGrid w:val="0"/>
        <w:jc w:val="both"/>
        <w:rPr>
          <w:sz w:val="22"/>
          <w:szCs w:val="22"/>
          <w:lang w:val="en-NZ"/>
        </w:rPr>
      </w:pPr>
    </w:p>
    <w:p w14:paraId="50232908" w14:textId="77777777" w:rsidR="00850214" w:rsidRPr="004635E5" w:rsidRDefault="0051477B"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Indonesia commented that its </w:t>
      </w:r>
      <w:r w:rsidR="004421B3" w:rsidRPr="004635E5">
        <w:rPr>
          <w:sz w:val="22"/>
          <w:szCs w:val="22"/>
          <w:lang w:val="en-NZ"/>
        </w:rPr>
        <w:t>longline</w:t>
      </w:r>
      <w:r w:rsidR="00850214" w:rsidRPr="004635E5">
        <w:rPr>
          <w:sz w:val="22"/>
          <w:szCs w:val="22"/>
          <w:lang w:val="en-NZ"/>
        </w:rPr>
        <w:t xml:space="preserve"> fisheries</w:t>
      </w:r>
      <w:r w:rsidRPr="004635E5">
        <w:rPr>
          <w:sz w:val="22"/>
          <w:szCs w:val="22"/>
          <w:lang w:val="en-NZ"/>
        </w:rPr>
        <w:t xml:space="preserve"> had very low </w:t>
      </w:r>
      <w:r w:rsidR="00850214" w:rsidRPr="004635E5">
        <w:rPr>
          <w:sz w:val="22"/>
          <w:szCs w:val="22"/>
          <w:lang w:val="en-NZ"/>
        </w:rPr>
        <w:t>interactions with seabirds</w:t>
      </w:r>
      <w:r w:rsidRPr="004635E5">
        <w:rPr>
          <w:sz w:val="22"/>
          <w:szCs w:val="22"/>
          <w:lang w:val="en-NZ"/>
        </w:rPr>
        <w:t>, and expressed concerns</w:t>
      </w:r>
      <w:r w:rsidR="00850214" w:rsidRPr="004635E5">
        <w:rPr>
          <w:sz w:val="22"/>
          <w:szCs w:val="22"/>
          <w:lang w:val="en-NZ"/>
        </w:rPr>
        <w:t xml:space="preserve"> about cost. I</w:t>
      </w:r>
      <w:r w:rsidRPr="004635E5">
        <w:rPr>
          <w:sz w:val="22"/>
          <w:szCs w:val="22"/>
          <w:lang w:val="en-NZ"/>
        </w:rPr>
        <w:t xml:space="preserve">. Debski indicated the paper </w:t>
      </w:r>
      <w:r w:rsidR="00850214" w:rsidRPr="004635E5">
        <w:rPr>
          <w:sz w:val="22"/>
          <w:szCs w:val="22"/>
          <w:lang w:val="en-NZ"/>
        </w:rPr>
        <w:t>provi</w:t>
      </w:r>
      <w:r w:rsidRPr="004635E5">
        <w:rPr>
          <w:sz w:val="22"/>
          <w:szCs w:val="22"/>
          <w:lang w:val="en-NZ"/>
        </w:rPr>
        <w:t>ded</w:t>
      </w:r>
      <w:r w:rsidR="00850214" w:rsidRPr="004635E5">
        <w:rPr>
          <w:sz w:val="22"/>
          <w:szCs w:val="22"/>
          <w:lang w:val="en-NZ"/>
        </w:rPr>
        <w:t xml:space="preserve"> some cost info</w:t>
      </w:r>
      <w:r w:rsidR="006E6605" w:rsidRPr="004635E5">
        <w:rPr>
          <w:sz w:val="22"/>
          <w:szCs w:val="22"/>
          <w:lang w:val="en-NZ"/>
        </w:rPr>
        <w:t xml:space="preserve">rmation, and that more could be </w:t>
      </w:r>
      <w:r w:rsidR="00850214" w:rsidRPr="004635E5">
        <w:rPr>
          <w:sz w:val="22"/>
          <w:szCs w:val="22"/>
          <w:lang w:val="en-NZ"/>
        </w:rPr>
        <w:t>provide</w:t>
      </w:r>
      <w:r w:rsidR="006E6605" w:rsidRPr="004635E5">
        <w:rPr>
          <w:sz w:val="22"/>
          <w:szCs w:val="22"/>
          <w:lang w:val="en-NZ"/>
        </w:rPr>
        <w:t>d</w:t>
      </w:r>
      <w:r w:rsidR="00850214" w:rsidRPr="004635E5">
        <w:rPr>
          <w:sz w:val="22"/>
          <w:szCs w:val="22"/>
          <w:lang w:val="en-NZ"/>
        </w:rPr>
        <w:t xml:space="preserve">. </w:t>
      </w:r>
      <w:r w:rsidR="006E6605" w:rsidRPr="004635E5">
        <w:rPr>
          <w:sz w:val="22"/>
          <w:szCs w:val="22"/>
          <w:lang w:val="en-NZ"/>
        </w:rPr>
        <w:t xml:space="preserve">He acknowledged </w:t>
      </w:r>
      <w:r w:rsidR="006A708E" w:rsidRPr="004635E5">
        <w:rPr>
          <w:sz w:val="22"/>
          <w:szCs w:val="22"/>
          <w:lang w:val="en-NZ"/>
        </w:rPr>
        <w:t>that some operat</w:t>
      </w:r>
      <w:r w:rsidR="006E6605" w:rsidRPr="004635E5">
        <w:rPr>
          <w:sz w:val="22"/>
          <w:szCs w:val="22"/>
          <w:lang w:val="en-NZ"/>
        </w:rPr>
        <w:t>o</w:t>
      </w:r>
      <w:r w:rsidR="006A708E" w:rsidRPr="004635E5">
        <w:rPr>
          <w:sz w:val="22"/>
          <w:szCs w:val="22"/>
          <w:lang w:val="en-NZ"/>
        </w:rPr>
        <w:t xml:space="preserve">rs would not </w:t>
      </w:r>
      <w:r w:rsidR="006E6605" w:rsidRPr="004635E5">
        <w:rPr>
          <w:sz w:val="22"/>
          <w:szCs w:val="22"/>
          <w:lang w:val="en-NZ"/>
        </w:rPr>
        <w:t xml:space="preserve">find the cost </w:t>
      </w:r>
      <w:r w:rsidR="006A708E" w:rsidRPr="004635E5">
        <w:rPr>
          <w:sz w:val="22"/>
          <w:szCs w:val="22"/>
          <w:lang w:val="en-NZ"/>
        </w:rPr>
        <w:t>feasible</w:t>
      </w:r>
      <w:r w:rsidR="006E6605" w:rsidRPr="004635E5">
        <w:rPr>
          <w:sz w:val="22"/>
          <w:szCs w:val="22"/>
          <w:lang w:val="en-NZ"/>
        </w:rPr>
        <w:t xml:space="preserve">, but had no </w:t>
      </w:r>
      <w:r w:rsidR="006A708E" w:rsidRPr="004635E5">
        <w:rPr>
          <w:sz w:val="22"/>
          <w:szCs w:val="22"/>
          <w:lang w:val="en-NZ"/>
        </w:rPr>
        <w:t>data on this.</w:t>
      </w:r>
    </w:p>
    <w:p w14:paraId="6FE9F198" w14:textId="77777777" w:rsidR="00E269E7" w:rsidRPr="004635E5" w:rsidRDefault="00E269E7" w:rsidP="006633A8">
      <w:pPr>
        <w:autoSpaceDE w:val="0"/>
        <w:autoSpaceDN w:val="0"/>
        <w:adjustRightInd w:val="0"/>
        <w:snapToGrid w:val="0"/>
        <w:jc w:val="both"/>
        <w:rPr>
          <w:sz w:val="22"/>
          <w:szCs w:val="22"/>
          <w:lang w:val="en-NZ"/>
        </w:rPr>
      </w:pPr>
    </w:p>
    <w:p w14:paraId="7CE63E50" w14:textId="77777777" w:rsidR="006A708E" w:rsidRPr="004635E5" w:rsidRDefault="006A708E"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RMI</w:t>
      </w:r>
      <w:r w:rsidR="006E6605" w:rsidRPr="004635E5">
        <w:rPr>
          <w:sz w:val="22"/>
          <w:szCs w:val="22"/>
          <w:lang w:val="en-NZ"/>
        </w:rPr>
        <w:t xml:space="preserve"> expressed support for the </w:t>
      </w:r>
      <w:r w:rsidRPr="004635E5">
        <w:rPr>
          <w:sz w:val="22"/>
          <w:szCs w:val="22"/>
          <w:lang w:val="en-NZ"/>
        </w:rPr>
        <w:t>rec</w:t>
      </w:r>
      <w:r w:rsidR="006E6605" w:rsidRPr="004635E5">
        <w:rPr>
          <w:sz w:val="22"/>
          <w:szCs w:val="22"/>
          <w:lang w:val="en-NZ"/>
        </w:rPr>
        <w:t xml:space="preserve">ommendations, noting </w:t>
      </w:r>
      <w:r w:rsidRPr="004635E5">
        <w:rPr>
          <w:sz w:val="22"/>
          <w:szCs w:val="22"/>
          <w:lang w:val="en-NZ"/>
        </w:rPr>
        <w:t>diff</w:t>
      </w:r>
      <w:r w:rsidR="006E6605" w:rsidRPr="004635E5">
        <w:rPr>
          <w:sz w:val="22"/>
          <w:szCs w:val="22"/>
          <w:lang w:val="en-NZ"/>
        </w:rPr>
        <w:t>erence</w:t>
      </w:r>
      <w:r w:rsidRPr="004635E5">
        <w:rPr>
          <w:sz w:val="22"/>
          <w:szCs w:val="22"/>
          <w:lang w:val="en-NZ"/>
        </w:rPr>
        <w:t xml:space="preserve">s in </w:t>
      </w:r>
      <w:r w:rsidR="006E6605" w:rsidRPr="004635E5">
        <w:rPr>
          <w:sz w:val="22"/>
          <w:szCs w:val="22"/>
          <w:lang w:val="en-NZ"/>
        </w:rPr>
        <w:t>a</w:t>
      </w:r>
      <w:r w:rsidRPr="004635E5">
        <w:rPr>
          <w:sz w:val="22"/>
          <w:szCs w:val="22"/>
          <w:lang w:val="en-NZ"/>
        </w:rPr>
        <w:t>pplication in diff</w:t>
      </w:r>
      <w:r w:rsidR="006E6605" w:rsidRPr="004635E5">
        <w:rPr>
          <w:sz w:val="22"/>
          <w:szCs w:val="22"/>
          <w:lang w:val="en-NZ"/>
        </w:rPr>
        <w:t>erent</w:t>
      </w:r>
      <w:r w:rsidRPr="004635E5">
        <w:rPr>
          <w:sz w:val="22"/>
          <w:szCs w:val="22"/>
          <w:lang w:val="en-NZ"/>
        </w:rPr>
        <w:t xml:space="preserve"> areas. </w:t>
      </w:r>
      <w:r w:rsidR="006E6605" w:rsidRPr="004635E5">
        <w:rPr>
          <w:sz w:val="22"/>
          <w:szCs w:val="22"/>
          <w:lang w:val="en-NZ"/>
        </w:rPr>
        <w:t xml:space="preserve">He wondered if application could be more focussed in areas </w:t>
      </w:r>
      <w:r w:rsidRPr="004635E5">
        <w:rPr>
          <w:sz w:val="22"/>
          <w:szCs w:val="22"/>
          <w:lang w:val="en-NZ"/>
        </w:rPr>
        <w:t xml:space="preserve">of high </w:t>
      </w:r>
      <w:r w:rsidR="006E6605" w:rsidRPr="004635E5">
        <w:rPr>
          <w:sz w:val="22"/>
          <w:szCs w:val="22"/>
          <w:lang w:val="en-NZ"/>
        </w:rPr>
        <w:t>s</w:t>
      </w:r>
      <w:r w:rsidRPr="004635E5">
        <w:rPr>
          <w:sz w:val="22"/>
          <w:szCs w:val="22"/>
          <w:lang w:val="en-NZ"/>
        </w:rPr>
        <w:t>eabird abundance</w:t>
      </w:r>
      <w:r w:rsidR="006E6605" w:rsidRPr="004635E5">
        <w:rPr>
          <w:sz w:val="22"/>
          <w:szCs w:val="22"/>
          <w:lang w:val="en-NZ"/>
        </w:rPr>
        <w:t>, and whether it co</w:t>
      </w:r>
      <w:r w:rsidRPr="004635E5">
        <w:rPr>
          <w:sz w:val="22"/>
          <w:szCs w:val="22"/>
          <w:lang w:val="en-NZ"/>
        </w:rPr>
        <w:t>uld be voluntary</w:t>
      </w:r>
      <w:r w:rsidR="006E6605" w:rsidRPr="004635E5">
        <w:rPr>
          <w:sz w:val="22"/>
          <w:szCs w:val="22"/>
          <w:lang w:val="en-NZ"/>
        </w:rPr>
        <w:t>.</w:t>
      </w:r>
      <w:r w:rsidRPr="004635E5">
        <w:rPr>
          <w:sz w:val="22"/>
          <w:szCs w:val="22"/>
          <w:lang w:val="en-NZ"/>
        </w:rPr>
        <w:t xml:space="preserve"> I</w:t>
      </w:r>
      <w:r w:rsidR="006E6605" w:rsidRPr="004635E5">
        <w:rPr>
          <w:sz w:val="22"/>
          <w:szCs w:val="22"/>
          <w:lang w:val="en-NZ"/>
        </w:rPr>
        <w:t xml:space="preserve">. </w:t>
      </w:r>
      <w:r w:rsidR="006E6605" w:rsidRPr="004635E5">
        <w:rPr>
          <w:sz w:val="22"/>
          <w:szCs w:val="22"/>
        </w:rPr>
        <w:t>De</w:t>
      </w:r>
      <w:r w:rsidR="00F8291F" w:rsidRPr="004635E5">
        <w:rPr>
          <w:sz w:val="22"/>
          <w:szCs w:val="22"/>
        </w:rPr>
        <w:t>b</w:t>
      </w:r>
      <w:r w:rsidR="006E6605" w:rsidRPr="004635E5">
        <w:rPr>
          <w:sz w:val="22"/>
          <w:szCs w:val="22"/>
        </w:rPr>
        <w:t xml:space="preserve">ski indicated that the </w:t>
      </w:r>
      <w:r w:rsidRPr="004635E5">
        <w:rPr>
          <w:sz w:val="22"/>
          <w:szCs w:val="22"/>
        </w:rPr>
        <w:t>intent</w:t>
      </w:r>
      <w:r w:rsidRPr="004635E5">
        <w:rPr>
          <w:sz w:val="22"/>
          <w:szCs w:val="22"/>
          <w:lang w:val="en-NZ"/>
        </w:rPr>
        <w:t xml:space="preserve"> </w:t>
      </w:r>
      <w:r w:rsidR="006E6605" w:rsidRPr="004635E5">
        <w:rPr>
          <w:sz w:val="22"/>
          <w:szCs w:val="22"/>
          <w:lang w:val="en-NZ"/>
        </w:rPr>
        <w:t xml:space="preserve">was </w:t>
      </w:r>
      <w:r w:rsidRPr="004635E5">
        <w:rPr>
          <w:sz w:val="22"/>
          <w:szCs w:val="22"/>
          <w:lang w:val="en-NZ"/>
        </w:rPr>
        <w:t xml:space="preserve">that </w:t>
      </w:r>
      <w:r w:rsidR="006E6605" w:rsidRPr="004635E5">
        <w:rPr>
          <w:sz w:val="22"/>
          <w:szCs w:val="22"/>
          <w:lang w:val="en-NZ"/>
        </w:rPr>
        <w:t xml:space="preserve">the </w:t>
      </w:r>
      <w:r w:rsidRPr="004635E5">
        <w:rPr>
          <w:sz w:val="22"/>
          <w:szCs w:val="22"/>
          <w:lang w:val="en-NZ"/>
        </w:rPr>
        <w:t xml:space="preserve">measure </w:t>
      </w:r>
      <w:r w:rsidR="00741441">
        <w:rPr>
          <w:rFonts w:eastAsiaTheme="minorEastAsia" w:hint="eastAsia"/>
          <w:sz w:val="22"/>
          <w:szCs w:val="22"/>
          <w:lang w:val="en-NZ" w:eastAsia="ko-KR"/>
        </w:rPr>
        <w:t>has</w:t>
      </w:r>
      <w:r w:rsidR="00741441" w:rsidRPr="004635E5">
        <w:rPr>
          <w:sz w:val="22"/>
          <w:szCs w:val="22"/>
          <w:lang w:val="en-NZ"/>
        </w:rPr>
        <w:t xml:space="preserve"> </w:t>
      </w:r>
      <w:r w:rsidR="006E6605" w:rsidRPr="004635E5">
        <w:rPr>
          <w:sz w:val="22"/>
          <w:szCs w:val="22"/>
          <w:lang w:val="en-NZ"/>
        </w:rPr>
        <w:t xml:space="preserve">the </w:t>
      </w:r>
      <w:r w:rsidRPr="004635E5">
        <w:rPr>
          <w:sz w:val="22"/>
          <w:szCs w:val="22"/>
          <w:lang w:val="en-NZ"/>
        </w:rPr>
        <w:t xml:space="preserve">same spatial application as </w:t>
      </w:r>
      <w:r w:rsidR="006E6605" w:rsidRPr="004635E5">
        <w:rPr>
          <w:sz w:val="22"/>
          <w:szCs w:val="22"/>
          <w:lang w:val="en-NZ"/>
        </w:rPr>
        <w:t>existing</w:t>
      </w:r>
      <w:r w:rsidRPr="004635E5">
        <w:rPr>
          <w:sz w:val="22"/>
          <w:szCs w:val="22"/>
          <w:lang w:val="en-NZ"/>
        </w:rPr>
        <w:t xml:space="preserve"> measures</w:t>
      </w:r>
      <w:r w:rsidR="00A16680" w:rsidRPr="004635E5">
        <w:rPr>
          <w:sz w:val="22"/>
          <w:szCs w:val="22"/>
          <w:lang w:val="en-NZ"/>
        </w:rPr>
        <w:t>.</w:t>
      </w:r>
    </w:p>
    <w:p w14:paraId="27F18B0F" w14:textId="77777777" w:rsidR="00E269E7" w:rsidRPr="004635E5" w:rsidRDefault="00E269E7" w:rsidP="006633A8">
      <w:pPr>
        <w:autoSpaceDE w:val="0"/>
        <w:autoSpaceDN w:val="0"/>
        <w:adjustRightInd w:val="0"/>
        <w:snapToGrid w:val="0"/>
        <w:jc w:val="both"/>
        <w:rPr>
          <w:sz w:val="22"/>
          <w:szCs w:val="22"/>
          <w:lang w:val="en-NZ"/>
        </w:rPr>
      </w:pPr>
    </w:p>
    <w:p w14:paraId="78708BFF" w14:textId="77777777" w:rsidR="00E269E7" w:rsidRPr="004635E5" w:rsidRDefault="006E6605"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In response to a query from </w:t>
      </w:r>
      <w:r w:rsidR="006A708E" w:rsidRPr="004635E5">
        <w:rPr>
          <w:sz w:val="22"/>
          <w:szCs w:val="22"/>
          <w:lang w:val="en-NZ"/>
        </w:rPr>
        <w:t>Chinese Taipei</w:t>
      </w:r>
      <w:r w:rsidRPr="004635E5">
        <w:rPr>
          <w:sz w:val="22"/>
          <w:szCs w:val="22"/>
          <w:lang w:val="en-NZ"/>
        </w:rPr>
        <w:t>. I</w:t>
      </w:r>
      <w:r w:rsidR="00A16680" w:rsidRPr="004635E5">
        <w:rPr>
          <w:sz w:val="22"/>
          <w:szCs w:val="22"/>
          <w:lang w:val="en-NZ"/>
        </w:rPr>
        <w:t>.</w:t>
      </w:r>
      <w:r w:rsidRPr="004635E5">
        <w:rPr>
          <w:sz w:val="22"/>
          <w:szCs w:val="22"/>
          <w:lang w:val="en-NZ"/>
        </w:rPr>
        <w:t xml:space="preserve"> Debski clarified that </w:t>
      </w:r>
      <w:r w:rsidR="006A708E" w:rsidRPr="004635E5">
        <w:rPr>
          <w:sz w:val="22"/>
          <w:szCs w:val="22"/>
          <w:lang w:val="en-NZ"/>
        </w:rPr>
        <w:t>trial</w:t>
      </w:r>
      <w:r w:rsidRPr="004635E5">
        <w:rPr>
          <w:sz w:val="22"/>
          <w:szCs w:val="22"/>
          <w:lang w:val="en-NZ"/>
        </w:rPr>
        <w:t>s</w:t>
      </w:r>
      <w:r w:rsidR="006A708E" w:rsidRPr="004635E5">
        <w:rPr>
          <w:sz w:val="22"/>
          <w:szCs w:val="22"/>
          <w:lang w:val="en-NZ"/>
        </w:rPr>
        <w:t xml:space="preserve"> </w:t>
      </w:r>
      <w:r w:rsidRPr="004635E5">
        <w:rPr>
          <w:sz w:val="22"/>
          <w:szCs w:val="22"/>
          <w:lang w:val="en-NZ"/>
        </w:rPr>
        <w:t xml:space="preserve">were run </w:t>
      </w:r>
      <w:r w:rsidR="006A708E" w:rsidRPr="004635E5">
        <w:rPr>
          <w:sz w:val="22"/>
          <w:szCs w:val="22"/>
          <w:lang w:val="en-NZ"/>
        </w:rPr>
        <w:t xml:space="preserve">using small </w:t>
      </w:r>
      <w:r w:rsidR="004421B3" w:rsidRPr="004635E5">
        <w:rPr>
          <w:sz w:val="22"/>
          <w:szCs w:val="22"/>
          <w:lang w:val="en-NZ"/>
        </w:rPr>
        <w:t>longline</w:t>
      </w:r>
      <w:r w:rsidR="006A708E" w:rsidRPr="004635E5">
        <w:rPr>
          <w:sz w:val="22"/>
          <w:szCs w:val="22"/>
          <w:lang w:val="en-NZ"/>
        </w:rPr>
        <w:t xml:space="preserve"> </w:t>
      </w:r>
      <w:r w:rsidRPr="004635E5">
        <w:rPr>
          <w:sz w:val="22"/>
          <w:szCs w:val="22"/>
          <w:lang w:val="en-NZ"/>
        </w:rPr>
        <w:t xml:space="preserve">vessels </w:t>
      </w:r>
      <w:r w:rsidR="006A708E" w:rsidRPr="004635E5">
        <w:rPr>
          <w:sz w:val="22"/>
          <w:szCs w:val="22"/>
          <w:lang w:val="en-NZ"/>
        </w:rPr>
        <w:t>(under 24 m)</w:t>
      </w:r>
      <w:r w:rsidRPr="004635E5">
        <w:rPr>
          <w:sz w:val="22"/>
          <w:szCs w:val="22"/>
          <w:lang w:val="en-NZ"/>
        </w:rPr>
        <w:t xml:space="preserve">, as they have </w:t>
      </w:r>
      <w:r w:rsidR="006A708E" w:rsidRPr="004635E5">
        <w:rPr>
          <w:sz w:val="22"/>
          <w:szCs w:val="22"/>
          <w:lang w:val="en-NZ"/>
        </w:rPr>
        <w:t>more diff</w:t>
      </w:r>
      <w:r w:rsidRPr="004635E5">
        <w:rPr>
          <w:sz w:val="22"/>
          <w:szCs w:val="22"/>
          <w:lang w:val="en-NZ"/>
        </w:rPr>
        <w:t xml:space="preserve">iculty </w:t>
      </w:r>
      <w:r w:rsidR="006A708E" w:rsidRPr="004635E5">
        <w:rPr>
          <w:sz w:val="22"/>
          <w:szCs w:val="22"/>
          <w:lang w:val="en-NZ"/>
        </w:rPr>
        <w:t>with current measures.</w:t>
      </w:r>
    </w:p>
    <w:p w14:paraId="10B7B5C4" w14:textId="77777777" w:rsidR="006A708E" w:rsidRPr="004635E5" w:rsidRDefault="006A708E" w:rsidP="006633A8">
      <w:pPr>
        <w:autoSpaceDE w:val="0"/>
        <w:autoSpaceDN w:val="0"/>
        <w:adjustRightInd w:val="0"/>
        <w:snapToGrid w:val="0"/>
        <w:jc w:val="both"/>
        <w:rPr>
          <w:sz w:val="22"/>
          <w:szCs w:val="22"/>
          <w:lang w:val="en-NZ"/>
        </w:rPr>
      </w:pPr>
      <w:r w:rsidRPr="004635E5">
        <w:rPr>
          <w:sz w:val="22"/>
          <w:szCs w:val="22"/>
          <w:lang w:val="en-NZ"/>
        </w:rPr>
        <w:t xml:space="preserve"> </w:t>
      </w:r>
    </w:p>
    <w:p w14:paraId="72C4EB0E" w14:textId="77777777" w:rsidR="00A65DEE" w:rsidRPr="004635E5" w:rsidRDefault="000F5C05"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In response to a comment from Chinese Taipei regarding </w:t>
      </w:r>
      <w:r w:rsidR="003A14BB" w:rsidRPr="004635E5">
        <w:rPr>
          <w:sz w:val="22"/>
          <w:szCs w:val="22"/>
          <w:lang w:val="en-NZ"/>
        </w:rPr>
        <w:t>specification of a single measure, I</w:t>
      </w:r>
      <w:r w:rsidR="00A16680" w:rsidRPr="004635E5">
        <w:rPr>
          <w:sz w:val="22"/>
          <w:szCs w:val="22"/>
          <w:lang w:val="en-NZ"/>
        </w:rPr>
        <w:t>.</w:t>
      </w:r>
      <w:r w:rsidR="003A14BB" w:rsidRPr="004635E5">
        <w:rPr>
          <w:sz w:val="22"/>
          <w:szCs w:val="22"/>
          <w:lang w:val="en-NZ"/>
        </w:rPr>
        <w:t xml:space="preserve"> Debski </w:t>
      </w:r>
      <w:r w:rsidRPr="004635E5">
        <w:rPr>
          <w:sz w:val="22"/>
          <w:szCs w:val="22"/>
          <w:lang w:val="en-NZ"/>
        </w:rPr>
        <w:t xml:space="preserve">noted </w:t>
      </w:r>
      <w:r w:rsidR="003A14BB" w:rsidRPr="004635E5">
        <w:rPr>
          <w:sz w:val="22"/>
          <w:szCs w:val="22"/>
          <w:lang w:val="en-NZ"/>
        </w:rPr>
        <w:t xml:space="preserve">the intent was </w:t>
      </w:r>
      <w:r w:rsidR="00A65DEE" w:rsidRPr="004635E5">
        <w:rPr>
          <w:sz w:val="22"/>
          <w:szCs w:val="22"/>
          <w:lang w:val="en-NZ"/>
        </w:rPr>
        <w:t>that all hooks set need</w:t>
      </w:r>
      <w:r w:rsidR="00A16680" w:rsidRPr="004635E5">
        <w:rPr>
          <w:sz w:val="22"/>
          <w:szCs w:val="22"/>
          <w:lang w:val="en-NZ"/>
        </w:rPr>
        <w:t>ed</w:t>
      </w:r>
      <w:r w:rsidR="00A65DEE" w:rsidRPr="004635E5">
        <w:rPr>
          <w:sz w:val="22"/>
          <w:szCs w:val="22"/>
          <w:lang w:val="en-NZ"/>
        </w:rPr>
        <w:t xml:space="preserve"> to use either </w:t>
      </w:r>
      <w:r w:rsidR="003A14BB" w:rsidRPr="004635E5">
        <w:rPr>
          <w:sz w:val="22"/>
          <w:szCs w:val="22"/>
          <w:lang w:val="en-NZ"/>
        </w:rPr>
        <w:t>a shiel</w:t>
      </w:r>
      <w:r w:rsidR="00A65DEE" w:rsidRPr="004635E5">
        <w:rPr>
          <w:sz w:val="22"/>
          <w:szCs w:val="22"/>
          <w:lang w:val="en-NZ"/>
        </w:rPr>
        <w:t xml:space="preserve">ding device or existing measures. </w:t>
      </w:r>
      <w:r w:rsidR="003A14BB" w:rsidRPr="004635E5">
        <w:rPr>
          <w:sz w:val="22"/>
          <w:szCs w:val="22"/>
          <w:lang w:val="en-NZ"/>
        </w:rPr>
        <w:t xml:space="preserve">Some vessels may use different </w:t>
      </w:r>
      <w:r w:rsidR="00A65DEE" w:rsidRPr="004635E5">
        <w:rPr>
          <w:sz w:val="22"/>
          <w:szCs w:val="22"/>
          <w:lang w:val="en-NZ"/>
        </w:rPr>
        <w:t>tech</w:t>
      </w:r>
      <w:r w:rsidR="003A14BB" w:rsidRPr="004635E5">
        <w:rPr>
          <w:sz w:val="22"/>
          <w:szCs w:val="22"/>
          <w:lang w:val="en-NZ"/>
        </w:rPr>
        <w:t>niques during varying sets (e.g., day-</w:t>
      </w:r>
      <w:r w:rsidR="00A65DEE" w:rsidRPr="004635E5">
        <w:rPr>
          <w:sz w:val="22"/>
          <w:szCs w:val="22"/>
          <w:lang w:val="en-NZ"/>
        </w:rPr>
        <w:t>night differences)</w:t>
      </w:r>
      <w:r w:rsidR="003A14BB" w:rsidRPr="004635E5">
        <w:rPr>
          <w:sz w:val="22"/>
          <w:szCs w:val="22"/>
          <w:lang w:val="en-NZ"/>
        </w:rPr>
        <w:t xml:space="preserve">; to allow </w:t>
      </w:r>
      <w:r w:rsidR="00A65DEE" w:rsidRPr="004635E5">
        <w:rPr>
          <w:sz w:val="22"/>
          <w:szCs w:val="22"/>
          <w:lang w:val="en-NZ"/>
        </w:rPr>
        <w:t>max</w:t>
      </w:r>
      <w:r w:rsidR="003A14BB" w:rsidRPr="004635E5">
        <w:rPr>
          <w:sz w:val="22"/>
          <w:szCs w:val="22"/>
          <w:lang w:val="en-NZ"/>
        </w:rPr>
        <w:t>imum</w:t>
      </w:r>
      <w:r w:rsidR="00A65DEE" w:rsidRPr="004635E5">
        <w:rPr>
          <w:sz w:val="22"/>
          <w:szCs w:val="22"/>
          <w:lang w:val="en-NZ"/>
        </w:rPr>
        <w:t xml:space="preserve"> flexi</w:t>
      </w:r>
      <w:r w:rsidR="003A14BB" w:rsidRPr="004635E5">
        <w:rPr>
          <w:sz w:val="22"/>
          <w:szCs w:val="22"/>
          <w:lang w:val="en-NZ"/>
        </w:rPr>
        <w:t>bility t</w:t>
      </w:r>
      <w:r w:rsidR="00A65DEE" w:rsidRPr="004635E5">
        <w:rPr>
          <w:sz w:val="22"/>
          <w:szCs w:val="22"/>
          <w:lang w:val="en-NZ"/>
        </w:rPr>
        <w:t>o fishermen</w:t>
      </w:r>
      <w:r w:rsidR="003A14BB" w:rsidRPr="004635E5">
        <w:rPr>
          <w:sz w:val="22"/>
          <w:szCs w:val="22"/>
          <w:lang w:val="en-NZ"/>
        </w:rPr>
        <w:t xml:space="preserve"> </w:t>
      </w:r>
      <w:r w:rsidR="00A16680" w:rsidRPr="004635E5">
        <w:rPr>
          <w:sz w:val="22"/>
          <w:szCs w:val="22"/>
          <w:lang w:val="en-NZ"/>
        </w:rPr>
        <w:t xml:space="preserve">the measure </w:t>
      </w:r>
      <w:r w:rsidR="003A14BB" w:rsidRPr="004635E5">
        <w:rPr>
          <w:sz w:val="22"/>
          <w:szCs w:val="22"/>
          <w:lang w:val="en-NZ"/>
        </w:rPr>
        <w:t xml:space="preserve">should </w:t>
      </w:r>
      <w:r w:rsidR="00A65DEE" w:rsidRPr="004635E5">
        <w:rPr>
          <w:sz w:val="22"/>
          <w:szCs w:val="22"/>
          <w:lang w:val="en-NZ"/>
        </w:rPr>
        <w:t xml:space="preserve">not specify use of </w:t>
      </w:r>
      <w:r w:rsidR="00A16680" w:rsidRPr="004635E5">
        <w:rPr>
          <w:sz w:val="22"/>
          <w:szCs w:val="22"/>
          <w:lang w:val="en-NZ"/>
        </w:rPr>
        <w:t xml:space="preserve">one </w:t>
      </w:r>
      <w:r w:rsidR="00A65DEE" w:rsidRPr="004635E5">
        <w:rPr>
          <w:sz w:val="22"/>
          <w:szCs w:val="22"/>
          <w:lang w:val="en-NZ"/>
        </w:rPr>
        <w:t>mitigation measure or an</w:t>
      </w:r>
      <w:r w:rsidR="003A14BB" w:rsidRPr="004635E5">
        <w:rPr>
          <w:sz w:val="22"/>
          <w:szCs w:val="22"/>
          <w:lang w:val="en-NZ"/>
        </w:rPr>
        <w:t>o</w:t>
      </w:r>
      <w:r w:rsidR="00A65DEE" w:rsidRPr="004635E5">
        <w:rPr>
          <w:sz w:val="22"/>
          <w:szCs w:val="22"/>
          <w:lang w:val="en-NZ"/>
        </w:rPr>
        <w:t>ther.</w:t>
      </w:r>
    </w:p>
    <w:p w14:paraId="077A6389" w14:textId="77777777" w:rsidR="00E269E7" w:rsidRPr="004635E5" w:rsidRDefault="00E269E7" w:rsidP="006633A8">
      <w:pPr>
        <w:autoSpaceDE w:val="0"/>
        <w:autoSpaceDN w:val="0"/>
        <w:adjustRightInd w:val="0"/>
        <w:snapToGrid w:val="0"/>
        <w:jc w:val="both"/>
        <w:rPr>
          <w:sz w:val="22"/>
          <w:szCs w:val="22"/>
          <w:lang w:val="en-NZ"/>
        </w:rPr>
      </w:pPr>
    </w:p>
    <w:p w14:paraId="7D494486" w14:textId="77777777" w:rsidR="00BA35D9" w:rsidRPr="004635E5" w:rsidRDefault="003A14BB"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The </w:t>
      </w:r>
      <w:r w:rsidR="00A65DEE" w:rsidRPr="004635E5">
        <w:rPr>
          <w:sz w:val="22"/>
          <w:szCs w:val="22"/>
          <w:lang w:val="en-NZ"/>
        </w:rPr>
        <w:t>EU</w:t>
      </w:r>
      <w:r w:rsidRPr="004635E5">
        <w:rPr>
          <w:sz w:val="22"/>
          <w:szCs w:val="22"/>
          <w:lang w:val="en-NZ"/>
        </w:rPr>
        <w:t xml:space="preserve"> </w:t>
      </w:r>
      <w:r w:rsidR="00A65DEE" w:rsidRPr="004635E5">
        <w:rPr>
          <w:sz w:val="22"/>
          <w:szCs w:val="22"/>
          <w:lang w:val="en-NZ"/>
        </w:rPr>
        <w:t>agree</w:t>
      </w:r>
      <w:r w:rsidRPr="004635E5">
        <w:rPr>
          <w:sz w:val="22"/>
          <w:szCs w:val="22"/>
          <w:lang w:val="en-NZ"/>
        </w:rPr>
        <w:t>d</w:t>
      </w:r>
      <w:r w:rsidR="00A65DEE" w:rsidRPr="004635E5">
        <w:rPr>
          <w:sz w:val="22"/>
          <w:szCs w:val="22"/>
          <w:lang w:val="en-NZ"/>
        </w:rPr>
        <w:t xml:space="preserve"> this type of gear </w:t>
      </w:r>
      <w:r w:rsidRPr="004635E5">
        <w:rPr>
          <w:sz w:val="22"/>
          <w:szCs w:val="22"/>
          <w:lang w:val="en-NZ"/>
        </w:rPr>
        <w:t xml:space="preserve">should </w:t>
      </w:r>
      <w:r w:rsidR="00A65DEE" w:rsidRPr="004635E5">
        <w:rPr>
          <w:sz w:val="22"/>
          <w:szCs w:val="22"/>
          <w:lang w:val="en-NZ"/>
        </w:rPr>
        <w:t xml:space="preserve">be </w:t>
      </w:r>
      <w:r w:rsidRPr="004635E5">
        <w:rPr>
          <w:sz w:val="22"/>
          <w:szCs w:val="22"/>
          <w:lang w:val="en-NZ"/>
        </w:rPr>
        <w:t xml:space="preserve">available </w:t>
      </w:r>
      <w:r w:rsidR="00A65DEE" w:rsidRPr="004635E5">
        <w:rPr>
          <w:sz w:val="22"/>
          <w:szCs w:val="22"/>
          <w:lang w:val="en-NZ"/>
        </w:rPr>
        <w:t xml:space="preserve">as </w:t>
      </w:r>
      <w:r w:rsidRPr="004635E5">
        <w:rPr>
          <w:sz w:val="22"/>
          <w:szCs w:val="22"/>
          <w:lang w:val="en-NZ"/>
        </w:rPr>
        <w:t xml:space="preserve">an </w:t>
      </w:r>
      <w:r w:rsidR="00A65DEE" w:rsidRPr="004635E5">
        <w:rPr>
          <w:sz w:val="22"/>
          <w:szCs w:val="22"/>
          <w:lang w:val="en-NZ"/>
        </w:rPr>
        <w:t>add</w:t>
      </w:r>
      <w:r w:rsidRPr="004635E5">
        <w:rPr>
          <w:sz w:val="22"/>
          <w:szCs w:val="22"/>
          <w:lang w:val="en-NZ"/>
        </w:rPr>
        <w:t>i</w:t>
      </w:r>
      <w:r w:rsidR="00BA35D9" w:rsidRPr="004635E5">
        <w:rPr>
          <w:sz w:val="22"/>
          <w:szCs w:val="22"/>
          <w:lang w:val="en-NZ"/>
        </w:rPr>
        <w:t>ti</w:t>
      </w:r>
      <w:r w:rsidRPr="004635E5">
        <w:rPr>
          <w:sz w:val="22"/>
          <w:szCs w:val="22"/>
          <w:lang w:val="en-NZ"/>
        </w:rPr>
        <w:t xml:space="preserve">onal </w:t>
      </w:r>
      <w:r w:rsidR="00BA35D9" w:rsidRPr="004635E5">
        <w:rPr>
          <w:sz w:val="22"/>
          <w:szCs w:val="22"/>
          <w:lang w:val="en-NZ"/>
        </w:rPr>
        <w:t>o</w:t>
      </w:r>
      <w:r w:rsidR="00A65DEE" w:rsidRPr="004635E5">
        <w:rPr>
          <w:sz w:val="22"/>
          <w:szCs w:val="22"/>
          <w:lang w:val="en-NZ"/>
        </w:rPr>
        <w:t xml:space="preserve">ption, but </w:t>
      </w:r>
      <w:r w:rsidR="00A16680" w:rsidRPr="004635E5">
        <w:rPr>
          <w:sz w:val="22"/>
          <w:szCs w:val="22"/>
          <w:lang w:val="en-NZ"/>
        </w:rPr>
        <w:t>stated that inclusion</w:t>
      </w:r>
      <w:r w:rsidR="00BA35D9" w:rsidRPr="004635E5">
        <w:rPr>
          <w:sz w:val="22"/>
          <w:szCs w:val="22"/>
          <w:lang w:val="en-NZ"/>
        </w:rPr>
        <w:t xml:space="preserve"> </w:t>
      </w:r>
      <w:r w:rsidR="00A16680" w:rsidRPr="004635E5">
        <w:rPr>
          <w:sz w:val="22"/>
          <w:szCs w:val="22"/>
          <w:lang w:val="en-NZ"/>
        </w:rPr>
        <w:t xml:space="preserve">of </w:t>
      </w:r>
      <w:r w:rsidR="00BA35D9" w:rsidRPr="004635E5">
        <w:rPr>
          <w:sz w:val="22"/>
          <w:szCs w:val="22"/>
          <w:lang w:val="en-NZ"/>
        </w:rPr>
        <w:t>these types of gear</w:t>
      </w:r>
      <w:r w:rsidR="00A16680" w:rsidRPr="004635E5">
        <w:rPr>
          <w:sz w:val="22"/>
          <w:szCs w:val="22"/>
          <w:lang w:val="en-NZ"/>
        </w:rPr>
        <w:t xml:space="preserve"> could violate</w:t>
      </w:r>
      <w:r w:rsidR="00BA35D9" w:rsidRPr="004635E5">
        <w:rPr>
          <w:sz w:val="22"/>
          <w:szCs w:val="22"/>
          <w:lang w:val="en-NZ"/>
        </w:rPr>
        <w:t xml:space="preserve"> the </w:t>
      </w:r>
      <w:r w:rsidR="00A65DEE" w:rsidRPr="004635E5">
        <w:rPr>
          <w:sz w:val="22"/>
          <w:szCs w:val="22"/>
          <w:lang w:val="en-NZ"/>
        </w:rPr>
        <w:t xml:space="preserve">CMM </w:t>
      </w:r>
      <w:r w:rsidR="00BA35D9" w:rsidRPr="004635E5">
        <w:rPr>
          <w:sz w:val="22"/>
          <w:szCs w:val="22"/>
          <w:lang w:val="en-NZ"/>
        </w:rPr>
        <w:t xml:space="preserve">adopted </w:t>
      </w:r>
      <w:r w:rsidR="00A65DEE" w:rsidRPr="004635E5">
        <w:rPr>
          <w:sz w:val="22"/>
          <w:szCs w:val="22"/>
          <w:lang w:val="en-NZ"/>
        </w:rPr>
        <w:t>to addres</w:t>
      </w:r>
      <w:r w:rsidR="00BA35D9" w:rsidRPr="004635E5">
        <w:rPr>
          <w:sz w:val="22"/>
          <w:szCs w:val="22"/>
          <w:lang w:val="en-NZ"/>
        </w:rPr>
        <w:t>s</w:t>
      </w:r>
      <w:r w:rsidR="00A65DEE" w:rsidRPr="004635E5">
        <w:rPr>
          <w:sz w:val="22"/>
          <w:szCs w:val="22"/>
          <w:lang w:val="en-NZ"/>
        </w:rPr>
        <w:t xml:space="preserve"> marine lit</w:t>
      </w:r>
      <w:r w:rsidR="00BA35D9" w:rsidRPr="004635E5">
        <w:rPr>
          <w:sz w:val="22"/>
          <w:szCs w:val="22"/>
          <w:lang w:val="en-NZ"/>
        </w:rPr>
        <w:t>te</w:t>
      </w:r>
      <w:r w:rsidR="00A65DEE" w:rsidRPr="004635E5">
        <w:rPr>
          <w:sz w:val="22"/>
          <w:szCs w:val="22"/>
          <w:lang w:val="en-NZ"/>
        </w:rPr>
        <w:t>r</w:t>
      </w:r>
      <w:r w:rsidR="00BA35D9" w:rsidRPr="004635E5">
        <w:rPr>
          <w:sz w:val="22"/>
          <w:szCs w:val="22"/>
          <w:lang w:val="en-NZ"/>
        </w:rPr>
        <w:t>.</w:t>
      </w:r>
      <w:r w:rsidR="00A65DEE" w:rsidRPr="004635E5">
        <w:rPr>
          <w:sz w:val="22"/>
          <w:szCs w:val="22"/>
          <w:lang w:val="en-NZ"/>
        </w:rPr>
        <w:t xml:space="preserve"> </w:t>
      </w:r>
      <w:r w:rsidR="00A16680" w:rsidRPr="004635E5">
        <w:rPr>
          <w:sz w:val="22"/>
          <w:szCs w:val="22"/>
          <w:lang w:val="en-NZ"/>
        </w:rPr>
        <w:t>They stated the n</w:t>
      </w:r>
      <w:r w:rsidR="00011435" w:rsidRPr="004635E5">
        <w:rPr>
          <w:sz w:val="22"/>
          <w:szCs w:val="22"/>
          <w:lang w:val="en-NZ"/>
        </w:rPr>
        <w:t xml:space="preserve">eed to ensure that </w:t>
      </w:r>
      <w:r w:rsidR="00A16680" w:rsidRPr="004635E5">
        <w:rPr>
          <w:sz w:val="22"/>
          <w:szCs w:val="22"/>
          <w:lang w:val="en-NZ"/>
        </w:rPr>
        <w:t xml:space="preserve">the </w:t>
      </w:r>
      <w:r w:rsidR="00011435" w:rsidRPr="004635E5">
        <w:rPr>
          <w:sz w:val="22"/>
          <w:szCs w:val="22"/>
          <w:lang w:val="en-NZ"/>
        </w:rPr>
        <w:t>Comm</w:t>
      </w:r>
      <w:r w:rsidR="00A16680" w:rsidRPr="004635E5">
        <w:rPr>
          <w:sz w:val="22"/>
          <w:szCs w:val="22"/>
          <w:lang w:val="en-NZ"/>
        </w:rPr>
        <w:t>ission</w:t>
      </w:r>
      <w:r w:rsidR="00011435" w:rsidRPr="004635E5">
        <w:rPr>
          <w:sz w:val="22"/>
          <w:szCs w:val="22"/>
          <w:lang w:val="en-NZ"/>
        </w:rPr>
        <w:t xml:space="preserve"> </w:t>
      </w:r>
      <w:r w:rsidR="00A16680" w:rsidRPr="004635E5">
        <w:rPr>
          <w:sz w:val="22"/>
          <w:szCs w:val="22"/>
          <w:lang w:val="en-NZ"/>
        </w:rPr>
        <w:t xml:space="preserve">would </w:t>
      </w:r>
      <w:r w:rsidR="00011435" w:rsidRPr="004635E5">
        <w:rPr>
          <w:sz w:val="22"/>
          <w:szCs w:val="22"/>
          <w:lang w:val="en-NZ"/>
        </w:rPr>
        <w:t>re</w:t>
      </w:r>
      <w:r w:rsidR="00BA35D9" w:rsidRPr="004635E5">
        <w:rPr>
          <w:sz w:val="22"/>
          <w:szCs w:val="22"/>
          <w:lang w:val="en-NZ"/>
        </w:rPr>
        <w:t xml:space="preserve">ceive </w:t>
      </w:r>
      <w:r w:rsidR="00A16680" w:rsidRPr="004635E5">
        <w:rPr>
          <w:sz w:val="22"/>
          <w:szCs w:val="22"/>
          <w:lang w:val="en-NZ"/>
        </w:rPr>
        <w:t xml:space="preserve">full </w:t>
      </w:r>
      <w:r w:rsidR="00011435" w:rsidRPr="004635E5">
        <w:rPr>
          <w:sz w:val="22"/>
          <w:szCs w:val="22"/>
          <w:lang w:val="en-NZ"/>
        </w:rPr>
        <w:t>info</w:t>
      </w:r>
      <w:r w:rsidR="00BA35D9" w:rsidRPr="004635E5">
        <w:rPr>
          <w:sz w:val="22"/>
          <w:szCs w:val="22"/>
          <w:lang w:val="en-NZ"/>
        </w:rPr>
        <w:t>rmation</w:t>
      </w:r>
      <w:r w:rsidR="00011435" w:rsidRPr="004635E5">
        <w:rPr>
          <w:sz w:val="22"/>
          <w:szCs w:val="22"/>
          <w:lang w:val="en-NZ"/>
        </w:rPr>
        <w:t xml:space="preserve"> on </w:t>
      </w:r>
      <w:r w:rsidR="00A16680" w:rsidRPr="004635E5">
        <w:rPr>
          <w:sz w:val="22"/>
          <w:szCs w:val="22"/>
          <w:lang w:val="en-NZ"/>
        </w:rPr>
        <w:t xml:space="preserve">the </w:t>
      </w:r>
      <w:r w:rsidR="00011435" w:rsidRPr="004635E5">
        <w:rPr>
          <w:sz w:val="22"/>
          <w:szCs w:val="22"/>
          <w:lang w:val="en-NZ"/>
        </w:rPr>
        <w:t>issues that</w:t>
      </w:r>
      <w:r w:rsidR="00BA35D9" w:rsidRPr="004635E5">
        <w:rPr>
          <w:sz w:val="22"/>
          <w:szCs w:val="22"/>
          <w:lang w:val="en-NZ"/>
        </w:rPr>
        <w:t xml:space="preserve"> </w:t>
      </w:r>
      <w:r w:rsidR="00A16680" w:rsidRPr="004635E5">
        <w:rPr>
          <w:sz w:val="22"/>
          <w:szCs w:val="22"/>
          <w:lang w:val="en-NZ"/>
        </w:rPr>
        <w:t xml:space="preserve">had </w:t>
      </w:r>
      <w:r w:rsidR="00011435" w:rsidRPr="004635E5">
        <w:rPr>
          <w:sz w:val="22"/>
          <w:szCs w:val="22"/>
          <w:lang w:val="en-NZ"/>
        </w:rPr>
        <w:t xml:space="preserve">been </w:t>
      </w:r>
      <w:r w:rsidR="00BA35D9" w:rsidRPr="004635E5">
        <w:rPr>
          <w:sz w:val="22"/>
          <w:szCs w:val="22"/>
          <w:lang w:val="en-NZ"/>
        </w:rPr>
        <w:t xml:space="preserve">discussed, </w:t>
      </w:r>
      <w:r w:rsidR="00011435" w:rsidRPr="004635E5">
        <w:rPr>
          <w:sz w:val="22"/>
          <w:szCs w:val="22"/>
          <w:lang w:val="en-NZ"/>
        </w:rPr>
        <w:t xml:space="preserve">including collateral </w:t>
      </w:r>
      <w:r w:rsidR="00D71E62" w:rsidRPr="004635E5">
        <w:rPr>
          <w:sz w:val="22"/>
          <w:szCs w:val="22"/>
          <w:lang w:val="en-NZ"/>
        </w:rPr>
        <w:t>environmental</w:t>
      </w:r>
      <w:r w:rsidR="00011435" w:rsidRPr="004635E5">
        <w:rPr>
          <w:sz w:val="22"/>
          <w:szCs w:val="22"/>
          <w:lang w:val="en-NZ"/>
        </w:rPr>
        <w:t xml:space="preserve"> effects. </w:t>
      </w:r>
      <w:r w:rsidR="00BA35D9" w:rsidRPr="004635E5">
        <w:rPr>
          <w:sz w:val="22"/>
          <w:szCs w:val="22"/>
          <w:lang w:val="en-NZ"/>
        </w:rPr>
        <w:t>I. Debski note</w:t>
      </w:r>
      <w:r w:rsidR="00A16680" w:rsidRPr="004635E5">
        <w:rPr>
          <w:sz w:val="22"/>
          <w:szCs w:val="22"/>
          <w:lang w:val="en-NZ"/>
        </w:rPr>
        <w:t>d</w:t>
      </w:r>
      <w:r w:rsidR="00BA35D9" w:rsidRPr="004635E5">
        <w:rPr>
          <w:sz w:val="22"/>
          <w:szCs w:val="22"/>
          <w:lang w:val="en-NZ"/>
        </w:rPr>
        <w:t xml:space="preserve"> a possible need </w:t>
      </w:r>
      <w:r w:rsidR="00011435" w:rsidRPr="004635E5">
        <w:rPr>
          <w:sz w:val="22"/>
          <w:szCs w:val="22"/>
          <w:lang w:val="en-NZ"/>
        </w:rPr>
        <w:t>to s</w:t>
      </w:r>
      <w:r w:rsidR="00BA35D9" w:rsidRPr="004635E5">
        <w:rPr>
          <w:sz w:val="22"/>
          <w:szCs w:val="22"/>
          <w:lang w:val="en-NZ"/>
        </w:rPr>
        <w:t xml:space="preserve">pecify </w:t>
      </w:r>
      <w:r w:rsidR="00011435" w:rsidRPr="004635E5">
        <w:rPr>
          <w:sz w:val="22"/>
          <w:szCs w:val="22"/>
          <w:lang w:val="en-NZ"/>
        </w:rPr>
        <w:t xml:space="preserve">that hook </w:t>
      </w:r>
      <w:r w:rsidR="00BA35D9" w:rsidRPr="004635E5">
        <w:rPr>
          <w:sz w:val="22"/>
          <w:szCs w:val="22"/>
          <w:lang w:val="en-NZ"/>
        </w:rPr>
        <w:t xml:space="preserve">shielding </w:t>
      </w:r>
      <w:r w:rsidR="00011435" w:rsidRPr="004635E5">
        <w:rPr>
          <w:sz w:val="22"/>
          <w:szCs w:val="22"/>
          <w:lang w:val="en-NZ"/>
        </w:rPr>
        <w:t xml:space="preserve">devices are retained, </w:t>
      </w:r>
      <w:r w:rsidR="00B76C74">
        <w:rPr>
          <w:rFonts w:eastAsiaTheme="minorEastAsia" w:hint="eastAsia"/>
          <w:sz w:val="22"/>
          <w:szCs w:val="22"/>
          <w:lang w:val="en-NZ" w:eastAsia="ko-KR"/>
        </w:rPr>
        <w:t xml:space="preserve">and </w:t>
      </w:r>
      <w:r w:rsidR="00BA35D9" w:rsidRPr="004635E5">
        <w:rPr>
          <w:sz w:val="22"/>
          <w:szCs w:val="22"/>
          <w:lang w:val="en-NZ"/>
        </w:rPr>
        <w:t>suggest</w:t>
      </w:r>
      <w:r w:rsidR="00B76C74">
        <w:rPr>
          <w:rFonts w:eastAsiaTheme="minorEastAsia" w:hint="eastAsia"/>
          <w:sz w:val="22"/>
          <w:szCs w:val="22"/>
          <w:lang w:val="en-NZ" w:eastAsia="ko-KR"/>
        </w:rPr>
        <w:t>ed</w:t>
      </w:r>
      <w:r w:rsidR="00BA35D9" w:rsidRPr="004635E5">
        <w:rPr>
          <w:sz w:val="22"/>
          <w:szCs w:val="22"/>
          <w:lang w:val="en-NZ"/>
        </w:rPr>
        <w:t xml:space="preserve"> </w:t>
      </w:r>
      <w:r w:rsidR="00011435" w:rsidRPr="004635E5">
        <w:rPr>
          <w:sz w:val="22"/>
          <w:szCs w:val="22"/>
          <w:lang w:val="en-NZ"/>
        </w:rPr>
        <w:t>wo</w:t>
      </w:r>
      <w:r w:rsidR="00BA35D9" w:rsidRPr="004635E5">
        <w:rPr>
          <w:sz w:val="22"/>
          <w:szCs w:val="22"/>
          <w:lang w:val="en-NZ"/>
        </w:rPr>
        <w:t>r</w:t>
      </w:r>
      <w:r w:rsidR="00011435" w:rsidRPr="004635E5">
        <w:rPr>
          <w:sz w:val="22"/>
          <w:szCs w:val="22"/>
          <w:lang w:val="en-NZ"/>
        </w:rPr>
        <w:t xml:space="preserve">ding </w:t>
      </w:r>
      <w:r w:rsidR="00BA35D9" w:rsidRPr="004635E5">
        <w:rPr>
          <w:sz w:val="22"/>
          <w:szCs w:val="22"/>
          <w:lang w:val="en-NZ"/>
        </w:rPr>
        <w:t>could be added</w:t>
      </w:r>
      <w:r w:rsidR="00011435" w:rsidRPr="004635E5">
        <w:rPr>
          <w:sz w:val="22"/>
          <w:szCs w:val="22"/>
          <w:lang w:val="en-NZ"/>
        </w:rPr>
        <w:t xml:space="preserve">. </w:t>
      </w:r>
    </w:p>
    <w:p w14:paraId="7ED6CD00" w14:textId="77777777" w:rsidR="00232CB3" w:rsidRPr="004635E5" w:rsidRDefault="00232CB3" w:rsidP="006633A8">
      <w:pPr>
        <w:autoSpaceDE w:val="0"/>
        <w:autoSpaceDN w:val="0"/>
        <w:adjustRightInd w:val="0"/>
        <w:snapToGrid w:val="0"/>
        <w:jc w:val="both"/>
        <w:rPr>
          <w:sz w:val="22"/>
          <w:szCs w:val="22"/>
          <w:lang w:val="en-NZ"/>
        </w:rPr>
      </w:pPr>
    </w:p>
    <w:p w14:paraId="118370D0" w14:textId="77777777" w:rsidR="00232CB3" w:rsidRPr="004635E5" w:rsidRDefault="00232CB3" w:rsidP="00580EA4">
      <w:pPr>
        <w:numPr>
          <w:ilvl w:val="0"/>
          <w:numId w:val="18"/>
        </w:numPr>
        <w:tabs>
          <w:tab w:val="num" w:pos="927"/>
        </w:tabs>
        <w:autoSpaceDE w:val="0"/>
        <w:autoSpaceDN w:val="0"/>
        <w:adjustRightInd w:val="0"/>
        <w:snapToGrid w:val="0"/>
        <w:ind w:left="0" w:firstLine="0"/>
        <w:jc w:val="both"/>
        <w:rPr>
          <w:b/>
          <w:sz w:val="22"/>
          <w:szCs w:val="22"/>
          <w:lang w:val="en-GB"/>
        </w:rPr>
      </w:pPr>
      <w:r w:rsidRPr="004635E5">
        <w:rPr>
          <w:b/>
          <w:sz w:val="22"/>
          <w:szCs w:val="22"/>
          <w:lang w:val="en-GB"/>
        </w:rPr>
        <w:t>SC14 noted that hook-shielding devices are a novel seabird bycatch mitigation measure which encase</w:t>
      </w:r>
      <w:r w:rsidR="002937B4">
        <w:rPr>
          <w:rFonts w:eastAsiaTheme="minorEastAsia" w:hint="eastAsia"/>
          <w:b/>
          <w:sz w:val="22"/>
          <w:szCs w:val="22"/>
          <w:lang w:val="en-GB" w:eastAsia="ko-KR"/>
        </w:rPr>
        <w:t>s</w:t>
      </w:r>
      <w:r w:rsidRPr="004635E5">
        <w:rPr>
          <w:b/>
          <w:sz w:val="22"/>
          <w:szCs w:val="22"/>
          <w:lang w:val="en-GB"/>
        </w:rPr>
        <w:t xml:space="preserve"> the point and barb of baited hooks to prevent seabird attacks during line setting. </w:t>
      </w:r>
    </w:p>
    <w:p w14:paraId="7A8BA01E" w14:textId="77777777" w:rsidR="00232CB3" w:rsidRPr="004635E5" w:rsidRDefault="00232CB3" w:rsidP="006633A8">
      <w:pPr>
        <w:autoSpaceDE w:val="0"/>
        <w:autoSpaceDN w:val="0"/>
        <w:adjustRightInd w:val="0"/>
        <w:snapToGrid w:val="0"/>
        <w:jc w:val="both"/>
        <w:rPr>
          <w:b/>
          <w:sz w:val="22"/>
          <w:szCs w:val="22"/>
          <w:lang w:val="en-GB"/>
        </w:rPr>
      </w:pPr>
    </w:p>
    <w:p w14:paraId="598AA6D1" w14:textId="77777777" w:rsidR="00232CB3" w:rsidRPr="004635E5" w:rsidRDefault="00232CB3" w:rsidP="00580EA4">
      <w:pPr>
        <w:numPr>
          <w:ilvl w:val="0"/>
          <w:numId w:val="18"/>
        </w:numPr>
        <w:tabs>
          <w:tab w:val="num" w:pos="927"/>
        </w:tabs>
        <w:autoSpaceDE w:val="0"/>
        <w:autoSpaceDN w:val="0"/>
        <w:adjustRightInd w:val="0"/>
        <w:snapToGrid w:val="0"/>
        <w:ind w:left="0" w:firstLine="0"/>
        <w:jc w:val="both"/>
        <w:rPr>
          <w:b/>
          <w:sz w:val="22"/>
          <w:szCs w:val="22"/>
          <w:lang w:val="en-GB"/>
        </w:rPr>
      </w:pPr>
      <w:r w:rsidRPr="004635E5">
        <w:rPr>
          <w:b/>
          <w:sz w:val="22"/>
          <w:szCs w:val="22"/>
          <w:lang w:val="en-NZ"/>
        </w:rPr>
        <w:t>SC14 noted that the evidence presented on hook-shielding device effectiveness was for Hookpods, one hook-shielding device which met the following performance characteristics:</w:t>
      </w:r>
    </w:p>
    <w:p w14:paraId="372E8CF3" w14:textId="77777777" w:rsidR="00232CB3" w:rsidRPr="004635E5" w:rsidRDefault="00232CB3" w:rsidP="00580EA4">
      <w:pPr>
        <w:numPr>
          <w:ilvl w:val="1"/>
          <w:numId w:val="62"/>
        </w:numPr>
        <w:tabs>
          <w:tab w:val="clear" w:pos="1800"/>
        </w:tabs>
        <w:autoSpaceDE w:val="0"/>
        <w:autoSpaceDN w:val="0"/>
        <w:adjustRightInd w:val="0"/>
        <w:snapToGrid w:val="0"/>
        <w:ind w:left="1080"/>
        <w:jc w:val="both"/>
        <w:rPr>
          <w:b/>
          <w:sz w:val="22"/>
          <w:szCs w:val="22"/>
          <w:lang w:val="en-NZ"/>
        </w:rPr>
      </w:pPr>
      <w:r w:rsidRPr="004635E5">
        <w:rPr>
          <w:b/>
          <w:sz w:val="22"/>
          <w:szCs w:val="22"/>
          <w:lang w:val="en-NZ"/>
        </w:rPr>
        <w:t>the device encases the point and barb of the hook until it reaches a depth of at least 10 m or has been immersed for at least 10 minutes;</w:t>
      </w:r>
    </w:p>
    <w:p w14:paraId="0FE204C5" w14:textId="77777777" w:rsidR="00232CB3" w:rsidRPr="004635E5" w:rsidRDefault="00232CB3" w:rsidP="00580EA4">
      <w:pPr>
        <w:numPr>
          <w:ilvl w:val="1"/>
          <w:numId w:val="62"/>
        </w:numPr>
        <w:tabs>
          <w:tab w:val="clear" w:pos="1800"/>
        </w:tabs>
        <w:autoSpaceDE w:val="0"/>
        <w:autoSpaceDN w:val="0"/>
        <w:adjustRightInd w:val="0"/>
        <w:snapToGrid w:val="0"/>
        <w:ind w:left="1080"/>
        <w:jc w:val="both"/>
        <w:rPr>
          <w:b/>
          <w:sz w:val="22"/>
          <w:szCs w:val="22"/>
          <w:lang w:val="en-GB"/>
        </w:rPr>
      </w:pPr>
      <w:r w:rsidRPr="004635E5">
        <w:rPr>
          <w:b/>
          <w:sz w:val="22"/>
          <w:szCs w:val="22"/>
          <w:lang w:val="en-NZ"/>
        </w:rPr>
        <w:t>the device meets current minimum standards for branch line weighting as specified in the seabird bycatch CMM; and</w:t>
      </w:r>
    </w:p>
    <w:p w14:paraId="6CDDBFC6" w14:textId="77777777" w:rsidR="00232CB3" w:rsidRPr="004635E5" w:rsidRDefault="00232CB3" w:rsidP="00580EA4">
      <w:pPr>
        <w:numPr>
          <w:ilvl w:val="1"/>
          <w:numId w:val="62"/>
        </w:numPr>
        <w:tabs>
          <w:tab w:val="clear" w:pos="1800"/>
        </w:tabs>
        <w:autoSpaceDE w:val="0"/>
        <w:autoSpaceDN w:val="0"/>
        <w:adjustRightInd w:val="0"/>
        <w:snapToGrid w:val="0"/>
        <w:ind w:left="1080"/>
        <w:jc w:val="both"/>
        <w:rPr>
          <w:b/>
          <w:sz w:val="22"/>
          <w:szCs w:val="22"/>
          <w:lang w:val="en-GB"/>
        </w:rPr>
      </w:pPr>
      <w:r w:rsidRPr="004635E5">
        <w:rPr>
          <w:b/>
          <w:sz w:val="22"/>
          <w:szCs w:val="22"/>
          <w:lang w:val="en-NZ"/>
        </w:rPr>
        <w:t>the device is designed to be retained on the fishing gear rather than being lost.</w:t>
      </w:r>
    </w:p>
    <w:p w14:paraId="1212F057" w14:textId="77777777" w:rsidR="00232CB3" w:rsidRPr="004635E5" w:rsidRDefault="00232CB3" w:rsidP="006633A8">
      <w:pPr>
        <w:autoSpaceDE w:val="0"/>
        <w:autoSpaceDN w:val="0"/>
        <w:adjustRightInd w:val="0"/>
        <w:snapToGrid w:val="0"/>
        <w:ind w:left="1440"/>
        <w:jc w:val="both"/>
        <w:rPr>
          <w:b/>
          <w:sz w:val="22"/>
          <w:szCs w:val="22"/>
          <w:lang w:val="en-GB"/>
        </w:rPr>
      </w:pPr>
    </w:p>
    <w:p w14:paraId="7B9AF22C" w14:textId="77777777" w:rsidR="00232CB3" w:rsidRPr="004635E5" w:rsidRDefault="00232CB3" w:rsidP="00580EA4">
      <w:pPr>
        <w:numPr>
          <w:ilvl w:val="0"/>
          <w:numId w:val="18"/>
        </w:numPr>
        <w:tabs>
          <w:tab w:val="num" w:pos="927"/>
        </w:tabs>
        <w:autoSpaceDE w:val="0"/>
        <w:autoSpaceDN w:val="0"/>
        <w:adjustRightInd w:val="0"/>
        <w:snapToGrid w:val="0"/>
        <w:ind w:left="0" w:firstLine="0"/>
        <w:jc w:val="both"/>
        <w:rPr>
          <w:b/>
          <w:sz w:val="22"/>
          <w:szCs w:val="22"/>
          <w:lang w:val="en-GB"/>
        </w:rPr>
      </w:pPr>
      <w:r w:rsidRPr="004635E5">
        <w:rPr>
          <w:b/>
          <w:sz w:val="22"/>
          <w:szCs w:val="22"/>
          <w:lang w:val="en-GB"/>
        </w:rPr>
        <w:t>Some CCMs raised operational and cost-related concerns regarding the application of these devices to their fisheries.</w:t>
      </w:r>
    </w:p>
    <w:p w14:paraId="02498783" w14:textId="77777777" w:rsidR="00232CB3" w:rsidRPr="004635E5" w:rsidRDefault="00232CB3" w:rsidP="006633A8">
      <w:pPr>
        <w:autoSpaceDE w:val="0"/>
        <w:autoSpaceDN w:val="0"/>
        <w:adjustRightInd w:val="0"/>
        <w:snapToGrid w:val="0"/>
        <w:ind w:left="720"/>
        <w:jc w:val="both"/>
        <w:rPr>
          <w:b/>
          <w:sz w:val="22"/>
          <w:szCs w:val="22"/>
          <w:lang w:val="en-GB"/>
        </w:rPr>
      </w:pPr>
    </w:p>
    <w:p w14:paraId="59E05413" w14:textId="77777777" w:rsidR="00232CB3" w:rsidRPr="004635E5" w:rsidRDefault="00232CB3" w:rsidP="006633A8">
      <w:pPr>
        <w:autoSpaceDE w:val="0"/>
        <w:autoSpaceDN w:val="0"/>
        <w:adjustRightInd w:val="0"/>
        <w:snapToGrid w:val="0"/>
        <w:jc w:val="both"/>
        <w:rPr>
          <w:b/>
          <w:sz w:val="22"/>
          <w:szCs w:val="22"/>
          <w:lang w:val="en-GB"/>
        </w:rPr>
      </w:pPr>
      <w:r w:rsidRPr="004635E5">
        <w:rPr>
          <w:b/>
          <w:sz w:val="22"/>
          <w:szCs w:val="22"/>
          <w:lang w:val="en-GB"/>
        </w:rPr>
        <w:t>Recommendations</w:t>
      </w:r>
    </w:p>
    <w:p w14:paraId="0E06528C" w14:textId="77777777" w:rsidR="00232CB3" w:rsidRPr="004635E5" w:rsidRDefault="00232CB3" w:rsidP="006633A8">
      <w:pPr>
        <w:autoSpaceDE w:val="0"/>
        <w:autoSpaceDN w:val="0"/>
        <w:adjustRightInd w:val="0"/>
        <w:snapToGrid w:val="0"/>
        <w:jc w:val="both"/>
        <w:rPr>
          <w:b/>
          <w:sz w:val="22"/>
          <w:szCs w:val="22"/>
          <w:lang w:val="en-GB"/>
        </w:rPr>
      </w:pPr>
    </w:p>
    <w:p w14:paraId="23996FB8" w14:textId="77777777" w:rsidR="00232CB3" w:rsidRPr="004635E5" w:rsidRDefault="00232CB3" w:rsidP="006633A8">
      <w:pPr>
        <w:pStyle w:val="WCPFC"/>
        <w:adjustRightInd w:val="0"/>
        <w:spacing w:after="0"/>
        <w:rPr>
          <w:rFonts w:cs="Times New Roman"/>
          <w:b/>
        </w:rPr>
      </w:pPr>
      <w:r w:rsidRPr="004635E5">
        <w:rPr>
          <w:rFonts w:cs="Times New Roman"/>
          <w:b/>
        </w:rPr>
        <w:t>SC14 recommends:</w:t>
      </w:r>
    </w:p>
    <w:p w14:paraId="505FBBC9" w14:textId="77777777" w:rsidR="00232CB3" w:rsidRPr="00DB6C1D" w:rsidRDefault="00232CB3" w:rsidP="00580EA4">
      <w:pPr>
        <w:pStyle w:val="ListParagraph"/>
        <w:numPr>
          <w:ilvl w:val="3"/>
          <w:numId w:val="18"/>
        </w:numPr>
        <w:autoSpaceDE w:val="0"/>
        <w:autoSpaceDN w:val="0"/>
        <w:adjustRightInd w:val="0"/>
        <w:snapToGrid w:val="0"/>
        <w:ind w:left="1080"/>
        <w:jc w:val="both"/>
        <w:rPr>
          <w:b/>
          <w:sz w:val="22"/>
          <w:szCs w:val="22"/>
          <w:lang w:val="en-GB"/>
        </w:rPr>
      </w:pPr>
      <w:r w:rsidRPr="00DB6C1D">
        <w:rPr>
          <w:b/>
          <w:sz w:val="22"/>
          <w:szCs w:val="22"/>
          <w:lang w:val="en-GB"/>
        </w:rPr>
        <w:t xml:space="preserve">that TCC14 and WCPFC15 note that evidence is available to support the inclusion of hook-shielding devices, specifically Hookpods, on the list of seabird bycatch mitigation options, in addition to already existing mitigation options. </w:t>
      </w:r>
    </w:p>
    <w:p w14:paraId="03B3F4FA" w14:textId="77777777" w:rsidR="00232CB3" w:rsidRPr="00DB6C1D" w:rsidRDefault="00232CB3" w:rsidP="00580EA4">
      <w:pPr>
        <w:pStyle w:val="ListParagraph"/>
        <w:numPr>
          <w:ilvl w:val="3"/>
          <w:numId w:val="18"/>
        </w:numPr>
        <w:autoSpaceDE w:val="0"/>
        <w:autoSpaceDN w:val="0"/>
        <w:adjustRightInd w:val="0"/>
        <w:snapToGrid w:val="0"/>
        <w:ind w:left="1080"/>
        <w:jc w:val="both"/>
        <w:rPr>
          <w:b/>
          <w:sz w:val="22"/>
          <w:szCs w:val="22"/>
          <w:lang w:val="en-GB"/>
        </w:rPr>
      </w:pPr>
      <w:r w:rsidRPr="00DB6C1D">
        <w:rPr>
          <w:b/>
          <w:sz w:val="22"/>
          <w:szCs w:val="22"/>
          <w:lang w:val="en-GB"/>
        </w:rPr>
        <w:t xml:space="preserve">the revision of CMM 2017-06 to add the use of hook-shielding devices, specifically Hookpods, as an optional stand-alone seabird bycatch mitigation measure in order to provide more choices and greater flexibility to the fishing industry to mitigate seabird bycatch in their fishing operations. </w:t>
      </w:r>
    </w:p>
    <w:p w14:paraId="29C9BDF7" w14:textId="77777777" w:rsidR="00232CB3" w:rsidRPr="00DB6C1D" w:rsidRDefault="00232CB3" w:rsidP="00580EA4">
      <w:pPr>
        <w:pStyle w:val="ListParagraph"/>
        <w:numPr>
          <w:ilvl w:val="3"/>
          <w:numId w:val="18"/>
        </w:numPr>
        <w:autoSpaceDE w:val="0"/>
        <w:autoSpaceDN w:val="0"/>
        <w:adjustRightInd w:val="0"/>
        <w:snapToGrid w:val="0"/>
        <w:ind w:left="1080"/>
        <w:jc w:val="both"/>
        <w:rPr>
          <w:b/>
          <w:sz w:val="22"/>
          <w:szCs w:val="22"/>
          <w:lang w:val="en-GB"/>
        </w:rPr>
      </w:pPr>
      <w:r w:rsidRPr="00DB6C1D">
        <w:rPr>
          <w:b/>
          <w:sz w:val="22"/>
          <w:szCs w:val="22"/>
          <w:lang w:val="en-GB"/>
        </w:rPr>
        <w:t>that if hook-shielding options other than Hookpods, or any other innovative options, are proposed for use in WCPFC in the future, SC and TCC should review the evidence on effectiveness, efficiency, and practicality of the technology in mitigating seabird bycatch.</w:t>
      </w:r>
    </w:p>
    <w:p w14:paraId="3B89677A" w14:textId="77777777" w:rsidR="00232CB3" w:rsidRPr="00DB6C1D" w:rsidRDefault="00232CB3" w:rsidP="00580EA4">
      <w:pPr>
        <w:pStyle w:val="ListParagraph"/>
        <w:numPr>
          <w:ilvl w:val="3"/>
          <w:numId w:val="18"/>
        </w:numPr>
        <w:autoSpaceDE w:val="0"/>
        <w:autoSpaceDN w:val="0"/>
        <w:adjustRightInd w:val="0"/>
        <w:snapToGrid w:val="0"/>
        <w:ind w:left="1080"/>
        <w:jc w:val="both"/>
        <w:rPr>
          <w:b/>
          <w:sz w:val="22"/>
          <w:szCs w:val="22"/>
          <w:lang w:val="en-GB"/>
        </w:rPr>
      </w:pPr>
      <w:r w:rsidRPr="00DB6C1D">
        <w:rPr>
          <w:b/>
          <w:sz w:val="22"/>
          <w:szCs w:val="22"/>
          <w:lang w:val="en-GB"/>
        </w:rPr>
        <w:t>that if the revision of CMM 2017-06 to include hook-shielding devices is accepted, SC should be tasked with reviewing information on the use of Hookpods in commercial fishing operations no later than 3 years from the implementation date.</w:t>
      </w:r>
    </w:p>
    <w:p w14:paraId="21537662" w14:textId="77777777" w:rsidR="00232CB3" w:rsidRPr="00DB6C1D" w:rsidRDefault="00232CB3" w:rsidP="00580EA4">
      <w:pPr>
        <w:pStyle w:val="ListParagraph"/>
        <w:numPr>
          <w:ilvl w:val="3"/>
          <w:numId w:val="18"/>
        </w:numPr>
        <w:autoSpaceDE w:val="0"/>
        <w:autoSpaceDN w:val="0"/>
        <w:adjustRightInd w:val="0"/>
        <w:snapToGrid w:val="0"/>
        <w:ind w:left="1080"/>
        <w:jc w:val="both"/>
        <w:rPr>
          <w:b/>
          <w:sz w:val="22"/>
          <w:szCs w:val="22"/>
          <w:lang w:val="en-GB"/>
        </w:rPr>
      </w:pPr>
      <w:r w:rsidRPr="00DB6C1D">
        <w:rPr>
          <w:b/>
          <w:sz w:val="22"/>
          <w:szCs w:val="22"/>
          <w:lang w:val="en-GB"/>
        </w:rPr>
        <w:t xml:space="preserve">that while there was no proposal that hook-shielding devices be made mandatory, if this was proposed in future thorough review by SC and TCC would be required. </w:t>
      </w:r>
    </w:p>
    <w:p w14:paraId="19F156E2" w14:textId="77777777" w:rsidR="00232CB3" w:rsidRPr="004635E5" w:rsidRDefault="00232CB3" w:rsidP="006633A8">
      <w:pPr>
        <w:autoSpaceDE w:val="0"/>
        <w:autoSpaceDN w:val="0"/>
        <w:adjustRightInd w:val="0"/>
        <w:snapToGrid w:val="0"/>
        <w:jc w:val="both"/>
        <w:rPr>
          <w:b/>
          <w:sz w:val="22"/>
          <w:szCs w:val="22"/>
          <w:lang w:val="en-NZ"/>
        </w:rPr>
      </w:pPr>
    </w:p>
    <w:p w14:paraId="5A9EE84D" w14:textId="77777777" w:rsidR="00D42CDA" w:rsidRPr="004635E5" w:rsidRDefault="003E0684" w:rsidP="00580EA4">
      <w:pPr>
        <w:numPr>
          <w:ilvl w:val="0"/>
          <w:numId w:val="18"/>
        </w:numPr>
        <w:autoSpaceDE w:val="0"/>
        <w:autoSpaceDN w:val="0"/>
        <w:adjustRightInd w:val="0"/>
        <w:snapToGrid w:val="0"/>
        <w:ind w:left="0" w:firstLine="0"/>
        <w:jc w:val="both"/>
        <w:rPr>
          <w:sz w:val="22"/>
          <w:szCs w:val="22"/>
          <w:lang w:val="en-GB" w:eastAsia="ko-KR"/>
        </w:rPr>
      </w:pPr>
      <w:r w:rsidRPr="004635E5">
        <w:rPr>
          <w:rFonts w:eastAsiaTheme="minorEastAsia"/>
          <w:sz w:val="22"/>
          <w:szCs w:val="22"/>
          <w:lang w:eastAsia="ko-KR"/>
        </w:rPr>
        <w:t xml:space="preserve">Tom Peatman introduced </w:t>
      </w:r>
      <w:r w:rsidR="00D37E54" w:rsidRPr="004635E5">
        <w:rPr>
          <w:rFonts w:eastAsiaTheme="minorEastAsia"/>
          <w:sz w:val="22"/>
          <w:szCs w:val="22"/>
          <w:lang w:eastAsia="ko-KR"/>
        </w:rPr>
        <w:t>SC14-EB-WP-03</w:t>
      </w:r>
      <w:r w:rsidR="00D42CDA" w:rsidRPr="004635E5">
        <w:rPr>
          <w:rFonts w:eastAsiaTheme="minorEastAsia"/>
          <w:sz w:val="22"/>
          <w:szCs w:val="22"/>
          <w:lang w:eastAsia="ko-KR"/>
        </w:rPr>
        <w:t xml:space="preserve">, </w:t>
      </w:r>
      <w:r w:rsidR="00D37E54" w:rsidRPr="004635E5">
        <w:rPr>
          <w:rFonts w:eastAsiaTheme="minorEastAsia"/>
          <w:i/>
          <w:sz w:val="22"/>
          <w:szCs w:val="22"/>
          <w:lang w:eastAsia="ko-KR"/>
        </w:rPr>
        <w:t>A short note on the development of WCPFC seabird bycatch estimates for Project 68</w:t>
      </w:r>
      <w:r w:rsidR="00D37E54" w:rsidRPr="004635E5">
        <w:rPr>
          <w:rFonts w:eastAsiaTheme="minorEastAsia"/>
          <w:sz w:val="22"/>
          <w:szCs w:val="22"/>
          <w:lang w:eastAsia="ko-KR"/>
        </w:rPr>
        <w:t>.</w:t>
      </w:r>
      <w:r w:rsidR="00A16680" w:rsidRPr="004635E5">
        <w:rPr>
          <w:rFonts w:eastAsiaTheme="minorEastAsia"/>
          <w:sz w:val="22"/>
          <w:szCs w:val="22"/>
          <w:lang w:eastAsia="ko-KR"/>
        </w:rPr>
        <w:t xml:space="preserve"> </w:t>
      </w:r>
      <w:r w:rsidR="00D42CDA" w:rsidRPr="004635E5">
        <w:rPr>
          <w:sz w:val="22"/>
          <w:szCs w:val="22"/>
          <w:lang w:val="en-GB" w:eastAsia="ko-KR"/>
        </w:rPr>
        <w:t>Project 68 includes, but is not limited to: estimation of total annual seabird mortalit</w:t>
      </w:r>
      <w:r w:rsidR="00A16680" w:rsidRPr="004635E5">
        <w:rPr>
          <w:sz w:val="22"/>
          <w:szCs w:val="22"/>
          <w:lang w:val="en-GB" w:eastAsia="ko-KR"/>
        </w:rPr>
        <w:t>y</w:t>
      </w:r>
      <w:r w:rsidR="00D42CDA" w:rsidRPr="004635E5">
        <w:rPr>
          <w:sz w:val="22"/>
          <w:szCs w:val="22"/>
          <w:lang w:val="en-GB" w:eastAsia="ko-KR"/>
        </w:rPr>
        <w:t xml:space="preserve"> in WCPFC fisheries; assessment of whether there are any detectab</w:t>
      </w:r>
      <w:r w:rsidR="00A16680" w:rsidRPr="004635E5">
        <w:rPr>
          <w:sz w:val="22"/>
          <w:szCs w:val="22"/>
          <w:lang w:val="en-GB" w:eastAsia="ko-KR"/>
        </w:rPr>
        <w:t>le trends in seabird mortality</w:t>
      </w:r>
      <w:r w:rsidR="00D42CDA" w:rsidRPr="004635E5">
        <w:rPr>
          <w:sz w:val="22"/>
          <w:szCs w:val="22"/>
          <w:lang w:val="en-GB" w:eastAsia="ko-KR"/>
        </w:rPr>
        <w:t>; identification of limitations in available data to allow SC to generate advice to the Commission on what improvements are needed to enable better future analyses; and, generation of advice on what further seabird analyses can be conducted given the amount and quality of currently available data</w:t>
      </w:r>
      <w:r w:rsidR="00A16680" w:rsidRPr="004635E5">
        <w:rPr>
          <w:sz w:val="22"/>
          <w:szCs w:val="22"/>
          <w:lang w:val="en-GB" w:eastAsia="ko-KR"/>
        </w:rPr>
        <w:t xml:space="preserve">. </w:t>
      </w:r>
      <w:r w:rsidR="00D42CDA" w:rsidRPr="004635E5">
        <w:rPr>
          <w:sz w:val="22"/>
          <w:szCs w:val="22"/>
          <w:lang w:val="en-GB" w:eastAsia="ko-KR"/>
        </w:rPr>
        <w:t>The final report for Project 68 is to be submitted to SC15.</w:t>
      </w:r>
      <w:r w:rsidR="00A16680" w:rsidRPr="004635E5">
        <w:rPr>
          <w:sz w:val="22"/>
          <w:szCs w:val="22"/>
          <w:lang w:val="en-GB" w:eastAsia="ko-KR"/>
        </w:rPr>
        <w:t xml:space="preserve"> </w:t>
      </w:r>
      <w:r w:rsidR="00961208">
        <w:rPr>
          <w:rFonts w:eastAsia="Calibri"/>
          <w:sz w:val="22"/>
          <w:szCs w:val="22"/>
          <w:lang w:val="en-AU"/>
        </w:rPr>
        <w:t>SC14-</w:t>
      </w:r>
      <w:r w:rsidR="00D42CDA" w:rsidRPr="004635E5">
        <w:rPr>
          <w:sz w:val="22"/>
          <w:szCs w:val="22"/>
          <w:lang w:val="en-GB" w:eastAsia="ko-KR"/>
        </w:rPr>
        <w:t>EB-WP-03 focussed on seabird interactions in longline fisheries, given the low level of observed seabird interactions in the purse seine fishery. A high-level summary of SPC’s longline observer data holdings was provided, including the coverage of total effort, the total number of seabirds observed caught, and the condition of these individuals at-vessel</w:t>
      </w:r>
      <w:r w:rsidR="00A16680" w:rsidRPr="004635E5">
        <w:rPr>
          <w:sz w:val="22"/>
          <w:szCs w:val="22"/>
          <w:lang w:val="en-GB" w:eastAsia="ko-KR"/>
        </w:rPr>
        <w:t xml:space="preserve">. </w:t>
      </w:r>
      <w:r w:rsidR="00D42CDA" w:rsidRPr="004635E5">
        <w:rPr>
          <w:sz w:val="22"/>
          <w:szCs w:val="22"/>
          <w:lang w:val="en-GB" w:eastAsia="ko-KR"/>
        </w:rPr>
        <w:t>Preliminary bycatch rate models were fitted to observer data to inform what precision in estimated bycatch rates might be expected with the levels of available observer data</w:t>
      </w:r>
      <w:r w:rsidR="00A16680" w:rsidRPr="004635E5">
        <w:rPr>
          <w:sz w:val="22"/>
          <w:szCs w:val="22"/>
          <w:lang w:val="en-GB" w:eastAsia="ko-KR"/>
        </w:rPr>
        <w:t xml:space="preserve">. </w:t>
      </w:r>
      <w:r w:rsidR="00D42CDA" w:rsidRPr="004635E5">
        <w:rPr>
          <w:sz w:val="22"/>
          <w:szCs w:val="22"/>
          <w:lang w:val="en-GB" w:eastAsia="ko-KR"/>
        </w:rPr>
        <w:t>A work plan was developed, based on the work undertaken to date.</w:t>
      </w:r>
      <w:r w:rsidR="00A16680" w:rsidRPr="004635E5">
        <w:rPr>
          <w:sz w:val="22"/>
          <w:szCs w:val="22"/>
          <w:lang w:val="en-GB" w:eastAsia="ko-KR"/>
        </w:rPr>
        <w:t xml:space="preserve"> </w:t>
      </w:r>
      <w:r w:rsidR="00D42CDA" w:rsidRPr="004635E5">
        <w:rPr>
          <w:sz w:val="22"/>
          <w:szCs w:val="22"/>
          <w:lang w:val="en-GB" w:eastAsia="ko-KR"/>
        </w:rPr>
        <w:t>Observer coverage was limited across large areas of the north Pacific, particularly north of 25°N and west of 180°E</w:t>
      </w:r>
      <w:r w:rsidR="00A16680" w:rsidRPr="004635E5">
        <w:rPr>
          <w:sz w:val="22"/>
          <w:szCs w:val="22"/>
          <w:lang w:val="en-GB" w:eastAsia="ko-KR"/>
        </w:rPr>
        <w:t xml:space="preserve">. </w:t>
      </w:r>
      <w:r w:rsidR="00D42CDA" w:rsidRPr="004635E5">
        <w:rPr>
          <w:sz w:val="22"/>
          <w:szCs w:val="22"/>
          <w:lang w:val="en-GB" w:eastAsia="ko-KR"/>
        </w:rPr>
        <w:t>There are also domestic longline fisheries towards the western extent of the WCPFC Convention Area for which SPC holds little or no observer data, and no observer data from other fisheries that are likely to provide representative seabird bycatch rate estimates</w:t>
      </w:r>
      <w:r w:rsidR="00A16680" w:rsidRPr="004635E5">
        <w:rPr>
          <w:sz w:val="22"/>
          <w:szCs w:val="22"/>
          <w:lang w:val="en-GB" w:eastAsia="ko-KR"/>
        </w:rPr>
        <w:t xml:space="preserve">. </w:t>
      </w:r>
      <w:r w:rsidR="00D42CDA" w:rsidRPr="004635E5">
        <w:rPr>
          <w:sz w:val="22"/>
          <w:szCs w:val="22"/>
          <w:lang w:val="en-GB" w:eastAsia="ko-KR"/>
        </w:rPr>
        <w:t>Coefficients of variation (CVs) for bycatch rate estimates were 30 % for the albatross model and 60 % for the petrel and shearwater model</w:t>
      </w:r>
      <w:r w:rsidR="00A16680" w:rsidRPr="004635E5">
        <w:rPr>
          <w:sz w:val="22"/>
          <w:szCs w:val="22"/>
          <w:lang w:val="en-GB" w:eastAsia="ko-KR"/>
        </w:rPr>
        <w:t xml:space="preserve">. </w:t>
      </w:r>
      <w:r w:rsidR="00D42CDA" w:rsidRPr="004635E5">
        <w:rPr>
          <w:sz w:val="22"/>
          <w:szCs w:val="22"/>
          <w:lang w:val="en-GB" w:eastAsia="ko-KR"/>
        </w:rPr>
        <w:t xml:space="preserve">The catch rate models </w:t>
      </w:r>
      <w:r w:rsidR="00A16680" w:rsidRPr="004635E5">
        <w:rPr>
          <w:sz w:val="22"/>
          <w:szCs w:val="22"/>
          <w:lang w:val="en-GB" w:eastAsia="ko-KR"/>
        </w:rPr>
        <w:t xml:space="preserve">could </w:t>
      </w:r>
      <w:r w:rsidR="00D42CDA" w:rsidRPr="004635E5">
        <w:rPr>
          <w:sz w:val="22"/>
          <w:szCs w:val="22"/>
          <w:lang w:val="en-GB" w:eastAsia="ko-KR"/>
        </w:rPr>
        <w:t>readily be improved,</w:t>
      </w:r>
      <w:r w:rsidR="00A16680" w:rsidRPr="004635E5">
        <w:rPr>
          <w:sz w:val="22"/>
          <w:szCs w:val="22"/>
          <w:lang w:val="en-GB" w:eastAsia="ko-KR"/>
        </w:rPr>
        <w:t xml:space="preserve"> but estimated seabird bycatch and mortality</w:t>
      </w:r>
      <w:r w:rsidR="00D42CDA" w:rsidRPr="004635E5">
        <w:rPr>
          <w:sz w:val="22"/>
          <w:szCs w:val="22"/>
          <w:lang w:val="en-GB" w:eastAsia="ko-KR"/>
        </w:rPr>
        <w:t xml:space="preserve"> through Project 68 will likely be imprecise regardless of the methodology used.</w:t>
      </w:r>
    </w:p>
    <w:p w14:paraId="1D42C7C3" w14:textId="77777777" w:rsidR="00DB2BB1" w:rsidRPr="004635E5" w:rsidRDefault="00DB2BB1" w:rsidP="006633A8">
      <w:pPr>
        <w:autoSpaceDE w:val="0"/>
        <w:autoSpaceDN w:val="0"/>
        <w:adjustRightInd w:val="0"/>
        <w:snapToGrid w:val="0"/>
        <w:jc w:val="both"/>
        <w:rPr>
          <w:sz w:val="22"/>
          <w:szCs w:val="22"/>
          <w:lang w:val="en-GB" w:eastAsia="ko-KR"/>
        </w:rPr>
      </w:pPr>
    </w:p>
    <w:p w14:paraId="25F64BFF" w14:textId="77777777" w:rsidR="00D42CDA" w:rsidRPr="004635E5" w:rsidRDefault="00A16680" w:rsidP="00580EA4">
      <w:pPr>
        <w:numPr>
          <w:ilvl w:val="0"/>
          <w:numId w:val="18"/>
        </w:numPr>
        <w:autoSpaceDE w:val="0"/>
        <w:autoSpaceDN w:val="0"/>
        <w:adjustRightInd w:val="0"/>
        <w:snapToGrid w:val="0"/>
        <w:ind w:left="0" w:firstLine="0"/>
        <w:jc w:val="both"/>
        <w:rPr>
          <w:sz w:val="22"/>
          <w:szCs w:val="22"/>
          <w:lang w:val="en-GB" w:eastAsia="ko-KR"/>
        </w:rPr>
      </w:pPr>
      <w:r w:rsidRPr="004635E5">
        <w:rPr>
          <w:sz w:val="22"/>
          <w:szCs w:val="22"/>
          <w:lang w:val="en-GB" w:eastAsia="ko-KR"/>
        </w:rPr>
        <w:t>The report concluded</w:t>
      </w:r>
      <w:r w:rsidR="00D42CDA" w:rsidRPr="004635E5">
        <w:rPr>
          <w:sz w:val="22"/>
          <w:szCs w:val="22"/>
          <w:lang w:val="en-GB" w:eastAsia="ko-KR"/>
        </w:rPr>
        <w:t xml:space="preserve"> with </w:t>
      </w:r>
      <w:r w:rsidRPr="004635E5">
        <w:rPr>
          <w:sz w:val="22"/>
          <w:szCs w:val="22"/>
          <w:lang w:val="en-GB" w:eastAsia="ko-KR"/>
        </w:rPr>
        <w:t xml:space="preserve">the following </w:t>
      </w:r>
      <w:r w:rsidR="00D42CDA" w:rsidRPr="004635E5">
        <w:rPr>
          <w:sz w:val="22"/>
          <w:szCs w:val="22"/>
          <w:lang w:val="en-GB" w:eastAsia="ko-KR"/>
        </w:rPr>
        <w:t>recommendations</w:t>
      </w:r>
      <w:r w:rsidRPr="004635E5">
        <w:rPr>
          <w:sz w:val="22"/>
          <w:szCs w:val="22"/>
          <w:lang w:val="en-GB" w:eastAsia="ko-KR"/>
        </w:rPr>
        <w:t xml:space="preserve"> to SC14</w:t>
      </w:r>
      <w:r w:rsidR="00D42CDA" w:rsidRPr="004635E5">
        <w:rPr>
          <w:sz w:val="22"/>
          <w:szCs w:val="22"/>
          <w:lang w:val="en-GB" w:eastAsia="ko-KR"/>
        </w:rPr>
        <w:t>:</w:t>
      </w:r>
    </w:p>
    <w:p w14:paraId="74CE4C67" w14:textId="77777777" w:rsidR="00D42CDA" w:rsidRPr="004635E5" w:rsidRDefault="00A16680" w:rsidP="00580EA4">
      <w:pPr>
        <w:numPr>
          <w:ilvl w:val="0"/>
          <w:numId w:val="38"/>
        </w:numPr>
        <w:autoSpaceDE w:val="0"/>
        <w:autoSpaceDN w:val="0"/>
        <w:adjustRightInd w:val="0"/>
        <w:snapToGrid w:val="0"/>
        <w:ind w:left="1080"/>
        <w:jc w:val="both"/>
        <w:rPr>
          <w:sz w:val="22"/>
          <w:szCs w:val="22"/>
          <w:lang w:val="en-GB" w:eastAsia="ko-KR"/>
        </w:rPr>
      </w:pPr>
      <w:r w:rsidRPr="004635E5">
        <w:rPr>
          <w:sz w:val="22"/>
          <w:szCs w:val="22"/>
          <w:lang w:val="en-GB" w:eastAsia="ko-KR"/>
        </w:rPr>
        <w:t>c</w:t>
      </w:r>
      <w:r w:rsidR="00D42CDA" w:rsidRPr="004635E5">
        <w:rPr>
          <w:sz w:val="22"/>
          <w:szCs w:val="22"/>
          <w:lang w:val="en-GB" w:eastAsia="ko-KR"/>
        </w:rPr>
        <w:t>onsider the work undertaken to date</w:t>
      </w:r>
      <w:r w:rsidRPr="004635E5">
        <w:rPr>
          <w:sz w:val="22"/>
          <w:szCs w:val="22"/>
          <w:lang w:val="en-GB" w:eastAsia="ko-KR"/>
        </w:rPr>
        <w:t>;</w:t>
      </w:r>
    </w:p>
    <w:p w14:paraId="2955F24C" w14:textId="77777777" w:rsidR="00D42CDA" w:rsidRPr="004635E5" w:rsidRDefault="00A16680" w:rsidP="00580EA4">
      <w:pPr>
        <w:numPr>
          <w:ilvl w:val="0"/>
          <w:numId w:val="38"/>
        </w:numPr>
        <w:autoSpaceDE w:val="0"/>
        <w:autoSpaceDN w:val="0"/>
        <w:adjustRightInd w:val="0"/>
        <w:snapToGrid w:val="0"/>
        <w:ind w:left="1080"/>
        <w:jc w:val="both"/>
        <w:rPr>
          <w:sz w:val="22"/>
          <w:szCs w:val="22"/>
          <w:lang w:val="en-GB" w:eastAsia="ko-KR"/>
        </w:rPr>
      </w:pPr>
      <w:r w:rsidRPr="004635E5">
        <w:rPr>
          <w:sz w:val="22"/>
          <w:szCs w:val="22"/>
          <w:lang w:val="en-GB" w:eastAsia="ko-KR"/>
        </w:rPr>
        <w:t>t</w:t>
      </w:r>
      <w:r w:rsidR="00D42CDA" w:rsidRPr="004635E5">
        <w:rPr>
          <w:sz w:val="22"/>
          <w:szCs w:val="22"/>
          <w:lang w:val="en-GB" w:eastAsia="ko-KR"/>
        </w:rPr>
        <w:t>ake note of the high latitude areas with substantial fishing effort and limited or no available observer coverage in SPC data holdings</w:t>
      </w:r>
      <w:r w:rsidRPr="004635E5">
        <w:rPr>
          <w:sz w:val="22"/>
          <w:szCs w:val="22"/>
          <w:lang w:val="en-GB" w:eastAsia="ko-KR"/>
        </w:rPr>
        <w:t>;</w:t>
      </w:r>
    </w:p>
    <w:p w14:paraId="613D1038" w14:textId="77777777" w:rsidR="00D42CDA" w:rsidRPr="004635E5" w:rsidRDefault="00A16680" w:rsidP="00580EA4">
      <w:pPr>
        <w:numPr>
          <w:ilvl w:val="0"/>
          <w:numId w:val="38"/>
        </w:numPr>
        <w:autoSpaceDE w:val="0"/>
        <w:autoSpaceDN w:val="0"/>
        <w:adjustRightInd w:val="0"/>
        <w:snapToGrid w:val="0"/>
        <w:ind w:left="1080"/>
        <w:jc w:val="both"/>
        <w:rPr>
          <w:sz w:val="22"/>
          <w:szCs w:val="22"/>
          <w:lang w:val="en-GB" w:eastAsia="ko-KR"/>
        </w:rPr>
      </w:pPr>
      <w:r w:rsidRPr="004635E5">
        <w:rPr>
          <w:sz w:val="22"/>
          <w:szCs w:val="22"/>
          <w:lang w:val="en-GB" w:eastAsia="ko-KR"/>
        </w:rPr>
        <w:t>t</w:t>
      </w:r>
      <w:r w:rsidR="00D42CDA" w:rsidRPr="004635E5">
        <w:rPr>
          <w:sz w:val="22"/>
          <w:szCs w:val="22"/>
          <w:lang w:val="en-GB" w:eastAsia="ko-KR"/>
        </w:rPr>
        <w:t>ake note of fleets for which SPC holds no observer data (and no observer data that is likely to be representative of seabird bycatch for the fleets concerned), and for which seabird bycatch estimation is thus unlikely to be achievable</w:t>
      </w:r>
      <w:r w:rsidRPr="004635E5">
        <w:rPr>
          <w:sz w:val="22"/>
          <w:szCs w:val="22"/>
          <w:lang w:val="en-GB" w:eastAsia="ko-KR"/>
        </w:rPr>
        <w:t>;</w:t>
      </w:r>
      <w:r w:rsidR="00D42CDA" w:rsidRPr="004635E5">
        <w:rPr>
          <w:sz w:val="22"/>
          <w:szCs w:val="22"/>
          <w:lang w:val="en-GB" w:eastAsia="ko-KR"/>
        </w:rPr>
        <w:t xml:space="preserve"> and</w:t>
      </w:r>
    </w:p>
    <w:p w14:paraId="7EA42089" w14:textId="77777777" w:rsidR="00D42CDA" w:rsidRPr="004635E5" w:rsidRDefault="00A16680" w:rsidP="00580EA4">
      <w:pPr>
        <w:numPr>
          <w:ilvl w:val="0"/>
          <w:numId w:val="38"/>
        </w:numPr>
        <w:autoSpaceDE w:val="0"/>
        <w:autoSpaceDN w:val="0"/>
        <w:adjustRightInd w:val="0"/>
        <w:snapToGrid w:val="0"/>
        <w:ind w:left="1080"/>
        <w:jc w:val="both"/>
        <w:rPr>
          <w:sz w:val="22"/>
          <w:szCs w:val="22"/>
          <w:lang w:val="en-GB" w:eastAsia="ko-KR"/>
        </w:rPr>
      </w:pPr>
      <w:r w:rsidRPr="004635E5">
        <w:rPr>
          <w:sz w:val="22"/>
          <w:szCs w:val="22"/>
          <w:lang w:val="en-GB" w:eastAsia="ko-KR"/>
        </w:rPr>
        <w:t>c</w:t>
      </w:r>
      <w:r w:rsidR="00D42CDA" w:rsidRPr="004635E5">
        <w:rPr>
          <w:sz w:val="22"/>
          <w:szCs w:val="22"/>
          <w:lang w:val="en-GB" w:eastAsia="ko-KR"/>
        </w:rPr>
        <w:t>onsider the work plan for Project 68 in the context of work undertaken to date.</w:t>
      </w:r>
    </w:p>
    <w:p w14:paraId="7981330F" w14:textId="77777777" w:rsidR="00DB2BB1" w:rsidRPr="004635E5" w:rsidRDefault="00DB2BB1" w:rsidP="006633A8">
      <w:pPr>
        <w:autoSpaceDE w:val="0"/>
        <w:autoSpaceDN w:val="0"/>
        <w:adjustRightInd w:val="0"/>
        <w:snapToGrid w:val="0"/>
        <w:ind w:left="720"/>
        <w:jc w:val="both"/>
        <w:rPr>
          <w:sz w:val="22"/>
          <w:szCs w:val="22"/>
          <w:lang w:val="en-GB" w:eastAsia="ko-KR"/>
        </w:rPr>
      </w:pPr>
    </w:p>
    <w:p w14:paraId="6C90BA10" w14:textId="77777777" w:rsidR="0019369B" w:rsidRPr="004635E5" w:rsidRDefault="00D42CDA" w:rsidP="006633A8">
      <w:pPr>
        <w:autoSpaceDE w:val="0"/>
        <w:autoSpaceDN w:val="0"/>
        <w:adjustRightInd w:val="0"/>
        <w:snapToGrid w:val="0"/>
        <w:jc w:val="both"/>
        <w:rPr>
          <w:b/>
          <w:sz w:val="22"/>
          <w:szCs w:val="22"/>
          <w:lang w:eastAsia="ko-KR"/>
        </w:rPr>
      </w:pPr>
      <w:r w:rsidRPr="004635E5">
        <w:rPr>
          <w:b/>
          <w:sz w:val="22"/>
          <w:szCs w:val="22"/>
          <w:lang w:eastAsia="ko-KR"/>
        </w:rPr>
        <w:t>Discussion</w:t>
      </w:r>
    </w:p>
    <w:p w14:paraId="073EDC25" w14:textId="77777777" w:rsidR="00DB2BB1" w:rsidRPr="004635E5" w:rsidRDefault="00DB2BB1" w:rsidP="006633A8">
      <w:pPr>
        <w:autoSpaceDE w:val="0"/>
        <w:autoSpaceDN w:val="0"/>
        <w:adjustRightInd w:val="0"/>
        <w:snapToGrid w:val="0"/>
        <w:jc w:val="both"/>
        <w:rPr>
          <w:b/>
          <w:sz w:val="22"/>
          <w:szCs w:val="22"/>
          <w:lang w:eastAsia="ko-KR"/>
        </w:rPr>
      </w:pPr>
    </w:p>
    <w:p w14:paraId="11903350" w14:textId="77777777" w:rsidR="0019369B" w:rsidRPr="004635E5" w:rsidRDefault="0019369B" w:rsidP="00580EA4">
      <w:pPr>
        <w:numPr>
          <w:ilvl w:val="0"/>
          <w:numId w:val="18"/>
        </w:numPr>
        <w:autoSpaceDE w:val="0"/>
        <w:autoSpaceDN w:val="0"/>
        <w:adjustRightInd w:val="0"/>
        <w:snapToGrid w:val="0"/>
        <w:ind w:left="0" w:firstLine="0"/>
        <w:jc w:val="both"/>
        <w:rPr>
          <w:sz w:val="22"/>
          <w:szCs w:val="22"/>
          <w:lang w:eastAsia="ko-KR"/>
        </w:rPr>
      </w:pPr>
      <w:r w:rsidRPr="004635E5">
        <w:rPr>
          <w:sz w:val="22"/>
          <w:szCs w:val="22"/>
          <w:lang w:eastAsia="ko-KR"/>
        </w:rPr>
        <w:t>Japan</w:t>
      </w:r>
      <w:r w:rsidR="00BB73B9" w:rsidRPr="004635E5">
        <w:rPr>
          <w:sz w:val="22"/>
          <w:szCs w:val="22"/>
          <w:lang w:eastAsia="ko-KR"/>
        </w:rPr>
        <w:t xml:space="preserve"> noted they </w:t>
      </w:r>
      <w:r w:rsidR="00237D97" w:rsidRPr="004635E5">
        <w:rPr>
          <w:sz w:val="22"/>
          <w:szCs w:val="22"/>
          <w:lang w:eastAsia="ko-KR"/>
        </w:rPr>
        <w:t xml:space="preserve">were cooperating with New Zealand on a project, which was mentioned in the presentation, and </w:t>
      </w:r>
      <w:r w:rsidR="00BB73B9" w:rsidRPr="004635E5">
        <w:rPr>
          <w:sz w:val="22"/>
          <w:szCs w:val="22"/>
          <w:lang w:eastAsia="ko-KR"/>
        </w:rPr>
        <w:t xml:space="preserve">would be </w:t>
      </w:r>
      <w:r w:rsidRPr="004635E5">
        <w:rPr>
          <w:sz w:val="22"/>
          <w:szCs w:val="22"/>
          <w:lang w:eastAsia="ko-KR"/>
        </w:rPr>
        <w:t xml:space="preserve">happy to </w:t>
      </w:r>
      <w:r w:rsidR="00237D97" w:rsidRPr="004635E5">
        <w:rPr>
          <w:sz w:val="22"/>
          <w:szCs w:val="22"/>
          <w:lang w:eastAsia="ko-KR"/>
        </w:rPr>
        <w:t xml:space="preserve">share </w:t>
      </w:r>
      <w:r w:rsidRPr="004635E5">
        <w:rPr>
          <w:sz w:val="22"/>
          <w:szCs w:val="22"/>
          <w:lang w:eastAsia="ko-KR"/>
        </w:rPr>
        <w:t>info</w:t>
      </w:r>
      <w:r w:rsidR="00BB73B9" w:rsidRPr="004635E5">
        <w:rPr>
          <w:sz w:val="22"/>
          <w:szCs w:val="22"/>
          <w:lang w:eastAsia="ko-KR"/>
        </w:rPr>
        <w:t>rmation</w:t>
      </w:r>
      <w:r w:rsidRPr="004635E5">
        <w:rPr>
          <w:sz w:val="22"/>
          <w:szCs w:val="22"/>
          <w:lang w:eastAsia="ko-KR"/>
        </w:rPr>
        <w:t xml:space="preserve"> to </w:t>
      </w:r>
      <w:r w:rsidR="00BB73B9" w:rsidRPr="004635E5">
        <w:rPr>
          <w:sz w:val="22"/>
          <w:szCs w:val="22"/>
          <w:lang w:eastAsia="ko-KR"/>
        </w:rPr>
        <w:t>support the work</w:t>
      </w:r>
      <w:r w:rsidR="00237D97" w:rsidRPr="004635E5">
        <w:rPr>
          <w:sz w:val="22"/>
          <w:szCs w:val="22"/>
          <w:lang w:eastAsia="ko-KR"/>
        </w:rPr>
        <w:t xml:space="preserve"> discussed</w:t>
      </w:r>
      <w:r w:rsidR="00BB73B9" w:rsidRPr="004635E5">
        <w:rPr>
          <w:sz w:val="22"/>
          <w:szCs w:val="22"/>
          <w:lang w:eastAsia="ko-KR"/>
        </w:rPr>
        <w:t xml:space="preserve">. They suggested the </w:t>
      </w:r>
      <w:r w:rsidRPr="004635E5">
        <w:rPr>
          <w:sz w:val="22"/>
          <w:szCs w:val="22"/>
          <w:lang w:eastAsia="ko-KR"/>
        </w:rPr>
        <w:t xml:space="preserve">model </w:t>
      </w:r>
      <w:r w:rsidR="00BB73B9" w:rsidRPr="004635E5">
        <w:rPr>
          <w:sz w:val="22"/>
          <w:szCs w:val="22"/>
          <w:lang w:eastAsia="ko-KR"/>
        </w:rPr>
        <w:t xml:space="preserve">would benefit from being </w:t>
      </w:r>
      <w:r w:rsidRPr="004635E5">
        <w:rPr>
          <w:sz w:val="22"/>
          <w:szCs w:val="22"/>
          <w:lang w:eastAsia="ko-KR"/>
        </w:rPr>
        <w:t>divide</w:t>
      </w:r>
      <w:r w:rsidR="00BB73B9" w:rsidRPr="004635E5">
        <w:rPr>
          <w:sz w:val="22"/>
          <w:szCs w:val="22"/>
          <w:lang w:eastAsia="ko-KR"/>
        </w:rPr>
        <w:t>d</w:t>
      </w:r>
      <w:r w:rsidRPr="004635E5">
        <w:rPr>
          <w:sz w:val="22"/>
          <w:szCs w:val="22"/>
          <w:lang w:eastAsia="ko-KR"/>
        </w:rPr>
        <w:t xml:space="preserve"> into </w:t>
      </w:r>
      <w:r w:rsidR="00A16680" w:rsidRPr="004635E5">
        <w:rPr>
          <w:sz w:val="22"/>
          <w:szCs w:val="22"/>
          <w:lang w:eastAsia="ko-KR"/>
        </w:rPr>
        <w:t xml:space="preserve">northern and southern </w:t>
      </w:r>
      <w:r w:rsidR="00633679" w:rsidRPr="004635E5">
        <w:rPr>
          <w:sz w:val="22"/>
          <w:szCs w:val="22"/>
          <w:lang w:eastAsia="ko-KR"/>
        </w:rPr>
        <w:t>he</w:t>
      </w:r>
      <w:r w:rsidRPr="004635E5">
        <w:rPr>
          <w:sz w:val="22"/>
          <w:szCs w:val="22"/>
          <w:lang w:eastAsia="ko-KR"/>
        </w:rPr>
        <w:t>mispheres. As presented in past meeting</w:t>
      </w:r>
      <w:r w:rsidR="00A16680" w:rsidRPr="004635E5">
        <w:rPr>
          <w:sz w:val="22"/>
          <w:szCs w:val="22"/>
          <w:lang w:eastAsia="ko-KR"/>
        </w:rPr>
        <w:t>s</w:t>
      </w:r>
      <w:r w:rsidRPr="004635E5">
        <w:rPr>
          <w:sz w:val="22"/>
          <w:szCs w:val="22"/>
          <w:lang w:eastAsia="ko-KR"/>
        </w:rPr>
        <w:t>, seabird</w:t>
      </w:r>
      <w:r w:rsidR="00BB73B9" w:rsidRPr="004635E5">
        <w:rPr>
          <w:sz w:val="22"/>
          <w:szCs w:val="22"/>
          <w:lang w:eastAsia="ko-KR"/>
        </w:rPr>
        <w:t>s</w:t>
      </w:r>
      <w:r w:rsidRPr="004635E5">
        <w:rPr>
          <w:sz w:val="22"/>
          <w:szCs w:val="22"/>
          <w:lang w:eastAsia="ko-KR"/>
        </w:rPr>
        <w:t xml:space="preserve"> behave v</w:t>
      </w:r>
      <w:r w:rsidR="00BB73B9" w:rsidRPr="004635E5">
        <w:rPr>
          <w:sz w:val="22"/>
          <w:szCs w:val="22"/>
          <w:lang w:eastAsia="ko-KR"/>
        </w:rPr>
        <w:t>ery</w:t>
      </w:r>
      <w:r w:rsidRPr="004635E5">
        <w:rPr>
          <w:sz w:val="22"/>
          <w:szCs w:val="22"/>
          <w:lang w:eastAsia="ko-KR"/>
        </w:rPr>
        <w:t xml:space="preserve"> diff</w:t>
      </w:r>
      <w:r w:rsidR="00BB73B9" w:rsidRPr="004635E5">
        <w:rPr>
          <w:sz w:val="22"/>
          <w:szCs w:val="22"/>
          <w:lang w:eastAsia="ko-KR"/>
        </w:rPr>
        <w:t>erently</w:t>
      </w:r>
      <w:r w:rsidRPr="004635E5">
        <w:rPr>
          <w:sz w:val="22"/>
          <w:szCs w:val="22"/>
          <w:lang w:eastAsia="ko-KR"/>
        </w:rPr>
        <w:t xml:space="preserve"> in </w:t>
      </w:r>
      <w:r w:rsidR="00A16680" w:rsidRPr="004635E5">
        <w:rPr>
          <w:sz w:val="22"/>
          <w:szCs w:val="22"/>
          <w:lang w:eastAsia="ko-KR"/>
        </w:rPr>
        <w:t xml:space="preserve">the northern and southern </w:t>
      </w:r>
      <w:r w:rsidR="00BB73B9" w:rsidRPr="004635E5">
        <w:rPr>
          <w:sz w:val="22"/>
          <w:szCs w:val="22"/>
          <w:lang w:eastAsia="ko-KR"/>
        </w:rPr>
        <w:t xml:space="preserve">hemispheres, </w:t>
      </w:r>
      <w:r w:rsidRPr="004635E5">
        <w:rPr>
          <w:sz w:val="22"/>
          <w:szCs w:val="22"/>
          <w:lang w:eastAsia="ko-KR"/>
        </w:rPr>
        <w:t xml:space="preserve">and fishing customs </w:t>
      </w:r>
      <w:r w:rsidR="00BB73B9" w:rsidRPr="004635E5">
        <w:rPr>
          <w:sz w:val="22"/>
          <w:szCs w:val="22"/>
          <w:lang w:eastAsia="ko-KR"/>
        </w:rPr>
        <w:t xml:space="preserve">differ </w:t>
      </w:r>
      <w:r w:rsidRPr="004635E5">
        <w:rPr>
          <w:sz w:val="22"/>
          <w:szCs w:val="22"/>
          <w:lang w:eastAsia="ko-KR"/>
        </w:rPr>
        <w:t xml:space="preserve">as well. </w:t>
      </w:r>
      <w:r w:rsidR="00BB73B9" w:rsidRPr="004635E5">
        <w:rPr>
          <w:sz w:val="22"/>
          <w:szCs w:val="22"/>
          <w:lang w:eastAsia="ko-KR"/>
        </w:rPr>
        <w:t xml:space="preserve">T. Peatman confirmed that the hemispheres would be modeled </w:t>
      </w:r>
      <w:r w:rsidRPr="004635E5">
        <w:rPr>
          <w:sz w:val="22"/>
          <w:szCs w:val="22"/>
          <w:lang w:eastAsia="ko-KR"/>
        </w:rPr>
        <w:t>separately</w:t>
      </w:r>
      <w:r w:rsidR="00BB73B9" w:rsidRPr="004635E5">
        <w:rPr>
          <w:sz w:val="22"/>
          <w:szCs w:val="22"/>
          <w:lang w:eastAsia="ko-KR"/>
        </w:rPr>
        <w:t xml:space="preserve"> for </w:t>
      </w:r>
      <w:r w:rsidRPr="004635E5">
        <w:rPr>
          <w:sz w:val="22"/>
          <w:szCs w:val="22"/>
          <w:lang w:eastAsia="ko-KR"/>
        </w:rPr>
        <w:t>alb</w:t>
      </w:r>
      <w:r w:rsidR="00BB73B9" w:rsidRPr="004635E5">
        <w:rPr>
          <w:sz w:val="22"/>
          <w:szCs w:val="22"/>
          <w:lang w:eastAsia="ko-KR"/>
        </w:rPr>
        <w:t>acore</w:t>
      </w:r>
      <w:r w:rsidRPr="004635E5">
        <w:rPr>
          <w:sz w:val="22"/>
          <w:szCs w:val="22"/>
          <w:lang w:eastAsia="ko-KR"/>
        </w:rPr>
        <w:t xml:space="preserve"> species</w:t>
      </w:r>
      <w:r w:rsidR="00A16680" w:rsidRPr="004635E5">
        <w:rPr>
          <w:sz w:val="22"/>
          <w:szCs w:val="22"/>
          <w:lang w:eastAsia="ko-KR"/>
        </w:rPr>
        <w:t>, but stated that petrel and shearwater</w:t>
      </w:r>
      <w:r w:rsidRPr="004635E5">
        <w:rPr>
          <w:sz w:val="22"/>
          <w:szCs w:val="22"/>
          <w:lang w:eastAsia="ko-KR"/>
        </w:rPr>
        <w:t xml:space="preserve"> </w:t>
      </w:r>
      <w:r w:rsidR="00BB73B9" w:rsidRPr="004635E5">
        <w:rPr>
          <w:sz w:val="22"/>
          <w:szCs w:val="22"/>
          <w:lang w:eastAsia="ko-KR"/>
        </w:rPr>
        <w:t xml:space="preserve">bycatch </w:t>
      </w:r>
      <w:r w:rsidR="00A16680" w:rsidRPr="004635E5">
        <w:rPr>
          <w:sz w:val="22"/>
          <w:szCs w:val="22"/>
          <w:lang w:eastAsia="ko-KR"/>
        </w:rPr>
        <w:t xml:space="preserve">is </w:t>
      </w:r>
      <w:r w:rsidRPr="004635E5">
        <w:rPr>
          <w:sz w:val="22"/>
          <w:szCs w:val="22"/>
          <w:lang w:eastAsia="ko-KR"/>
        </w:rPr>
        <w:t xml:space="preserve">far lower, </w:t>
      </w:r>
      <w:r w:rsidR="00BB73B9" w:rsidRPr="004635E5">
        <w:rPr>
          <w:sz w:val="22"/>
          <w:szCs w:val="22"/>
          <w:lang w:eastAsia="ko-KR"/>
        </w:rPr>
        <w:t xml:space="preserve">and </w:t>
      </w:r>
      <w:r w:rsidR="00A16680" w:rsidRPr="004635E5">
        <w:rPr>
          <w:sz w:val="22"/>
          <w:szCs w:val="22"/>
          <w:lang w:eastAsia="ko-KR"/>
        </w:rPr>
        <w:t xml:space="preserve">that it had </w:t>
      </w:r>
      <w:r w:rsidR="00BB73B9" w:rsidRPr="004635E5">
        <w:rPr>
          <w:sz w:val="22"/>
          <w:szCs w:val="22"/>
          <w:lang w:eastAsia="ko-KR"/>
        </w:rPr>
        <w:t xml:space="preserve">not yet been </w:t>
      </w:r>
      <w:r w:rsidRPr="004635E5">
        <w:rPr>
          <w:sz w:val="22"/>
          <w:szCs w:val="22"/>
          <w:lang w:eastAsia="ko-KR"/>
        </w:rPr>
        <w:t>determine</w:t>
      </w:r>
      <w:r w:rsidR="00BB73B9" w:rsidRPr="004635E5">
        <w:rPr>
          <w:sz w:val="22"/>
          <w:szCs w:val="22"/>
          <w:lang w:eastAsia="ko-KR"/>
        </w:rPr>
        <w:t>d</w:t>
      </w:r>
      <w:r w:rsidRPr="004635E5">
        <w:rPr>
          <w:sz w:val="22"/>
          <w:szCs w:val="22"/>
          <w:lang w:eastAsia="ko-KR"/>
        </w:rPr>
        <w:t xml:space="preserve"> how best to </w:t>
      </w:r>
      <w:r w:rsidR="00BB73B9" w:rsidRPr="004635E5">
        <w:rPr>
          <w:sz w:val="22"/>
          <w:szCs w:val="22"/>
          <w:lang w:eastAsia="ko-KR"/>
        </w:rPr>
        <w:t xml:space="preserve">proceed for these species. He thanked Japan for their offer </w:t>
      </w:r>
      <w:r w:rsidRPr="004635E5">
        <w:rPr>
          <w:sz w:val="22"/>
          <w:szCs w:val="22"/>
          <w:lang w:eastAsia="ko-KR"/>
        </w:rPr>
        <w:t xml:space="preserve">of assistance. </w:t>
      </w:r>
    </w:p>
    <w:p w14:paraId="640D3C8E" w14:textId="77777777" w:rsidR="00DB2BB1" w:rsidRPr="004635E5" w:rsidRDefault="00DB2BB1" w:rsidP="006633A8">
      <w:pPr>
        <w:autoSpaceDE w:val="0"/>
        <w:autoSpaceDN w:val="0"/>
        <w:adjustRightInd w:val="0"/>
        <w:snapToGrid w:val="0"/>
        <w:jc w:val="both"/>
        <w:rPr>
          <w:sz w:val="22"/>
          <w:szCs w:val="22"/>
          <w:lang w:eastAsia="ko-KR"/>
        </w:rPr>
      </w:pPr>
    </w:p>
    <w:p w14:paraId="6AD91223" w14:textId="77777777" w:rsidR="00633679" w:rsidRPr="004635E5" w:rsidRDefault="0019369B" w:rsidP="00580EA4">
      <w:pPr>
        <w:numPr>
          <w:ilvl w:val="0"/>
          <w:numId w:val="18"/>
        </w:numPr>
        <w:autoSpaceDE w:val="0"/>
        <w:autoSpaceDN w:val="0"/>
        <w:adjustRightInd w:val="0"/>
        <w:snapToGrid w:val="0"/>
        <w:ind w:left="0" w:firstLine="0"/>
        <w:jc w:val="both"/>
        <w:rPr>
          <w:sz w:val="22"/>
          <w:szCs w:val="22"/>
          <w:lang w:eastAsia="ko-KR"/>
        </w:rPr>
      </w:pPr>
      <w:r w:rsidRPr="004635E5">
        <w:rPr>
          <w:sz w:val="22"/>
          <w:szCs w:val="22"/>
          <w:lang w:eastAsia="ko-KR"/>
        </w:rPr>
        <w:t>Palau</w:t>
      </w:r>
      <w:r w:rsidR="00D64CAE" w:rsidRPr="004635E5">
        <w:rPr>
          <w:sz w:val="22"/>
          <w:szCs w:val="22"/>
          <w:lang w:eastAsia="ko-KR"/>
        </w:rPr>
        <w:t xml:space="preserve">, on behalf of </w:t>
      </w:r>
      <w:r w:rsidR="00633679" w:rsidRPr="004635E5">
        <w:rPr>
          <w:sz w:val="22"/>
          <w:szCs w:val="22"/>
          <w:lang w:eastAsia="ko-KR"/>
        </w:rPr>
        <w:t xml:space="preserve">FFA </w:t>
      </w:r>
      <w:r w:rsidR="00D64CAE" w:rsidRPr="004635E5">
        <w:rPr>
          <w:sz w:val="22"/>
          <w:szCs w:val="22"/>
          <w:lang w:eastAsia="ko-KR"/>
        </w:rPr>
        <w:t>m</w:t>
      </w:r>
      <w:r w:rsidR="00633679" w:rsidRPr="004635E5">
        <w:rPr>
          <w:sz w:val="22"/>
          <w:szCs w:val="22"/>
          <w:lang w:eastAsia="ko-KR"/>
        </w:rPr>
        <w:t>embers</w:t>
      </w:r>
      <w:r w:rsidR="00A16680" w:rsidRPr="004635E5">
        <w:rPr>
          <w:sz w:val="22"/>
          <w:szCs w:val="22"/>
          <w:lang w:eastAsia="ko-KR"/>
        </w:rPr>
        <w:t>,</w:t>
      </w:r>
      <w:r w:rsidR="00633679" w:rsidRPr="004635E5">
        <w:rPr>
          <w:sz w:val="22"/>
          <w:szCs w:val="22"/>
          <w:lang w:eastAsia="ko-KR"/>
        </w:rPr>
        <w:t xml:space="preserve"> thank</w:t>
      </w:r>
      <w:r w:rsidR="00D64CAE" w:rsidRPr="004635E5">
        <w:rPr>
          <w:sz w:val="22"/>
          <w:szCs w:val="22"/>
          <w:lang w:eastAsia="ko-KR"/>
        </w:rPr>
        <w:t>ed</w:t>
      </w:r>
      <w:r w:rsidR="00633679" w:rsidRPr="004635E5">
        <w:rPr>
          <w:sz w:val="22"/>
          <w:szCs w:val="22"/>
          <w:lang w:eastAsia="ko-KR"/>
        </w:rPr>
        <w:t xml:space="preserve"> the authors for paper </w:t>
      </w:r>
      <w:r w:rsidR="00961208">
        <w:rPr>
          <w:rFonts w:eastAsia="Calibri"/>
          <w:sz w:val="22"/>
          <w:szCs w:val="22"/>
          <w:lang w:val="en-AU"/>
        </w:rPr>
        <w:t>SC14-</w:t>
      </w:r>
      <w:r w:rsidR="00633679" w:rsidRPr="004635E5">
        <w:rPr>
          <w:sz w:val="22"/>
          <w:szCs w:val="22"/>
          <w:lang w:eastAsia="ko-KR"/>
        </w:rPr>
        <w:t>EB-WP-03</w:t>
      </w:r>
      <w:r w:rsidR="00A16680" w:rsidRPr="004635E5">
        <w:rPr>
          <w:sz w:val="22"/>
          <w:szCs w:val="22"/>
          <w:lang w:eastAsia="ko-KR"/>
        </w:rPr>
        <w:t xml:space="preserve">, stating they hoped </w:t>
      </w:r>
      <w:r w:rsidR="00633679" w:rsidRPr="004635E5">
        <w:rPr>
          <w:sz w:val="22"/>
          <w:szCs w:val="22"/>
          <w:lang w:eastAsia="ko-KR"/>
        </w:rPr>
        <w:t xml:space="preserve">the results of the project, which </w:t>
      </w:r>
      <w:r w:rsidR="00A16680" w:rsidRPr="004635E5">
        <w:rPr>
          <w:sz w:val="22"/>
          <w:szCs w:val="22"/>
          <w:lang w:eastAsia="ko-KR"/>
        </w:rPr>
        <w:t xml:space="preserve">began </w:t>
      </w:r>
      <w:r w:rsidR="00633679" w:rsidRPr="004635E5">
        <w:rPr>
          <w:sz w:val="22"/>
          <w:szCs w:val="22"/>
          <w:lang w:eastAsia="ko-KR"/>
        </w:rPr>
        <w:t xml:space="preserve">in April </w:t>
      </w:r>
      <w:r w:rsidR="00A16680" w:rsidRPr="004635E5">
        <w:rPr>
          <w:sz w:val="22"/>
          <w:szCs w:val="22"/>
          <w:lang w:eastAsia="ko-KR"/>
        </w:rPr>
        <w:t>2018</w:t>
      </w:r>
      <w:r w:rsidR="00633679" w:rsidRPr="004635E5">
        <w:rPr>
          <w:sz w:val="22"/>
          <w:szCs w:val="22"/>
          <w:lang w:eastAsia="ko-KR"/>
        </w:rPr>
        <w:t>, would provide reliable estimate of seabird mortality in the WCPO</w:t>
      </w:r>
      <w:r w:rsidR="00A16680" w:rsidRPr="004635E5">
        <w:rPr>
          <w:sz w:val="22"/>
          <w:szCs w:val="22"/>
          <w:lang w:eastAsia="ko-KR"/>
        </w:rPr>
        <w:t>. They noted its importance,</w:t>
      </w:r>
      <w:r w:rsidR="00633679" w:rsidRPr="004635E5">
        <w:rPr>
          <w:sz w:val="22"/>
          <w:szCs w:val="22"/>
          <w:lang w:eastAsia="ko-KR"/>
        </w:rPr>
        <w:t xml:space="preserve"> because of increasing concerns </w:t>
      </w:r>
      <w:r w:rsidR="00A16680" w:rsidRPr="004635E5">
        <w:rPr>
          <w:sz w:val="22"/>
          <w:szCs w:val="22"/>
          <w:lang w:eastAsia="ko-KR"/>
        </w:rPr>
        <w:t xml:space="preserve">regarding </w:t>
      </w:r>
      <w:r w:rsidR="00633679" w:rsidRPr="004635E5">
        <w:rPr>
          <w:sz w:val="22"/>
          <w:szCs w:val="22"/>
          <w:lang w:eastAsia="ko-KR"/>
        </w:rPr>
        <w:t>the lack of sufficient evidence to support adoption of effective mitigation measures in WCPO fisheries. FFA members commend</w:t>
      </w:r>
      <w:r w:rsidR="00A16680" w:rsidRPr="004635E5">
        <w:rPr>
          <w:sz w:val="22"/>
          <w:szCs w:val="22"/>
          <w:lang w:eastAsia="ko-KR"/>
        </w:rPr>
        <w:t>ed</w:t>
      </w:r>
      <w:r w:rsidR="00633679" w:rsidRPr="004635E5">
        <w:rPr>
          <w:sz w:val="22"/>
          <w:szCs w:val="22"/>
          <w:lang w:eastAsia="ko-KR"/>
        </w:rPr>
        <w:t xml:space="preserve"> SPC for </w:t>
      </w:r>
      <w:r w:rsidR="00A16680" w:rsidRPr="004635E5">
        <w:rPr>
          <w:sz w:val="22"/>
          <w:szCs w:val="22"/>
          <w:lang w:eastAsia="ko-KR"/>
        </w:rPr>
        <w:t xml:space="preserve">the </w:t>
      </w:r>
      <w:r w:rsidR="00633679" w:rsidRPr="004635E5">
        <w:rPr>
          <w:sz w:val="22"/>
          <w:szCs w:val="22"/>
          <w:lang w:eastAsia="ko-KR"/>
        </w:rPr>
        <w:t>promising start to Project 68, recognising major data gaps present challenges to SPC scientists</w:t>
      </w:r>
      <w:r w:rsidR="00A16680" w:rsidRPr="004635E5">
        <w:rPr>
          <w:sz w:val="22"/>
          <w:szCs w:val="22"/>
          <w:lang w:eastAsia="ko-KR"/>
        </w:rPr>
        <w:t xml:space="preserve">. </w:t>
      </w:r>
      <w:r w:rsidR="00633679" w:rsidRPr="004635E5">
        <w:rPr>
          <w:sz w:val="22"/>
          <w:szCs w:val="22"/>
          <w:lang w:eastAsia="ko-KR"/>
        </w:rPr>
        <w:t>As the paper</w:t>
      </w:r>
      <w:r w:rsidR="00A16680" w:rsidRPr="004635E5">
        <w:rPr>
          <w:sz w:val="22"/>
          <w:szCs w:val="22"/>
          <w:lang w:eastAsia="ko-KR"/>
        </w:rPr>
        <w:t xml:space="preserve"> indicates</w:t>
      </w:r>
      <w:r w:rsidR="00633679" w:rsidRPr="004635E5">
        <w:rPr>
          <w:sz w:val="22"/>
          <w:szCs w:val="22"/>
          <w:lang w:eastAsia="ko-KR"/>
        </w:rPr>
        <w:t xml:space="preserve">, the coverage on the longline observer and logsheet catch and effort data is relatively low or non-existent. FFA members </w:t>
      </w:r>
      <w:r w:rsidR="00A16680" w:rsidRPr="004635E5">
        <w:rPr>
          <w:sz w:val="22"/>
          <w:szCs w:val="22"/>
          <w:lang w:eastAsia="ko-KR"/>
        </w:rPr>
        <w:t xml:space="preserve">encouraged that </w:t>
      </w:r>
      <w:r w:rsidR="00633679" w:rsidRPr="004635E5">
        <w:rPr>
          <w:sz w:val="22"/>
          <w:szCs w:val="22"/>
          <w:lang w:eastAsia="ko-KR"/>
        </w:rPr>
        <w:t xml:space="preserve">better access </w:t>
      </w:r>
      <w:r w:rsidR="00A16680" w:rsidRPr="004635E5">
        <w:rPr>
          <w:sz w:val="22"/>
          <w:szCs w:val="22"/>
          <w:lang w:eastAsia="ko-KR"/>
        </w:rPr>
        <w:t xml:space="preserve">be </w:t>
      </w:r>
      <w:r w:rsidR="00633679" w:rsidRPr="004635E5">
        <w:rPr>
          <w:sz w:val="22"/>
          <w:szCs w:val="22"/>
          <w:lang w:eastAsia="ko-KR"/>
        </w:rPr>
        <w:t>made available to observer data from longliners in the northwest of the WCPFC Convention Area</w:t>
      </w:r>
      <w:r w:rsidR="00A16680" w:rsidRPr="004635E5">
        <w:rPr>
          <w:sz w:val="22"/>
          <w:szCs w:val="22"/>
          <w:lang w:eastAsia="ko-KR"/>
        </w:rPr>
        <w:t xml:space="preserve">, as the </w:t>
      </w:r>
      <w:r w:rsidR="00633679" w:rsidRPr="004635E5">
        <w:rPr>
          <w:sz w:val="22"/>
          <w:szCs w:val="22"/>
          <w:lang w:eastAsia="ko-KR"/>
        </w:rPr>
        <w:t xml:space="preserve">missing datasets </w:t>
      </w:r>
      <w:r w:rsidR="00A16680" w:rsidRPr="004635E5">
        <w:rPr>
          <w:sz w:val="22"/>
          <w:szCs w:val="22"/>
          <w:lang w:eastAsia="ko-KR"/>
        </w:rPr>
        <w:t xml:space="preserve">are needed </w:t>
      </w:r>
      <w:r w:rsidR="00633679" w:rsidRPr="004635E5">
        <w:rPr>
          <w:sz w:val="22"/>
          <w:szCs w:val="22"/>
          <w:lang w:eastAsia="ko-KR"/>
        </w:rPr>
        <w:t>to support Project 68 and generate reliable WCPO-wide estimate</w:t>
      </w:r>
      <w:r w:rsidR="00A16680" w:rsidRPr="004635E5">
        <w:rPr>
          <w:sz w:val="22"/>
          <w:szCs w:val="22"/>
          <w:lang w:eastAsia="ko-KR"/>
        </w:rPr>
        <w:t>s</w:t>
      </w:r>
      <w:r w:rsidR="00633679" w:rsidRPr="004635E5">
        <w:rPr>
          <w:sz w:val="22"/>
          <w:szCs w:val="22"/>
          <w:lang w:eastAsia="ko-KR"/>
        </w:rPr>
        <w:t xml:space="preserve"> of seabird mortality. </w:t>
      </w:r>
    </w:p>
    <w:p w14:paraId="2499C0E7" w14:textId="77777777" w:rsidR="00DB2BB1" w:rsidRPr="004635E5" w:rsidRDefault="00DB2BB1" w:rsidP="006633A8">
      <w:pPr>
        <w:autoSpaceDE w:val="0"/>
        <w:autoSpaceDN w:val="0"/>
        <w:adjustRightInd w:val="0"/>
        <w:snapToGrid w:val="0"/>
        <w:jc w:val="both"/>
        <w:rPr>
          <w:sz w:val="22"/>
          <w:szCs w:val="22"/>
          <w:lang w:eastAsia="ko-KR"/>
        </w:rPr>
      </w:pPr>
    </w:p>
    <w:p w14:paraId="398A1EE2" w14:textId="77777777" w:rsidR="00D64CAE" w:rsidRPr="004635E5" w:rsidRDefault="0019369B" w:rsidP="00580EA4">
      <w:pPr>
        <w:numPr>
          <w:ilvl w:val="0"/>
          <w:numId w:val="18"/>
        </w:numPr>
        <w:autoSpaceDE w:val="0"/>
        <w:autoSpaceDN w:val="0"/>
        <w:adjustRightInd w:val="0"/>
        <w:snapToGrid w:val="0"/>
        <w:ind w:left="0" w:firstLine="0"/>
        <w:jc w:val="both"/>
        <w:rPr>
          <w:sz w:val="22"/>
          <w:szCs w:val="22"/>
          <w:lang w:eastAsia="ko-KR"/>
        </w:rPr>
      </w:pPr>
      <w:r w:rsidRPr="004635E5">
        <w:rPr>
          <w:sz w:val="22"/>
          <w:szCs w:val="22"/>
          <w:lang w:eastAsia="ko-KR"/>
        </w:rPr>
        <w:t>Tonga</w:t>
      </w:r>
      <w:r w:rsidR="00D64CAE" w:rsidRPr="004635E5">
        <w:rPr>
          <w:sz w:val="22"/>
          <w:szCs w:val="22"/>
          <w:lang w:eastAsia="ko-KR"/>
        </w:rPr>
        <w:t xml:space="preserve">, on behalf of </w:t>
      </w:r>
      <w:r w:rsidRPr="004635E5">
        <w:rPr>
          <w:sz w:val="22"/>
          <w:szCs w:val="22"/>
          <w:lang w:eastAsia="ko-KR"/>
        </w:rPr>
        <w:t>FFA members</w:t>
      </w:r>
      <w:r w:rsidR="00A16680" w:rsidRPr="004635E5">
        <w:rPr>
          <w:sz w:val="22"/>
          <w:szCs w:val="22"/>
          <w:lang w:eastAsia="ko-KR"/>
        </w:rPr>
        <w:t>,</w:t>
      </w:r>
      <w:r w:rsidRPr="004635E5">
        <w:rPr>
          <w:sz w:val="22"/>
          <w:szCs w:val="22"/>
          <w:lang w:eastAsia="ko-KR"/>
        </w:rPr>
        <w:t xml:space="preserve"> </w:t>
      </w:r>
      <w:r w:rsidR="00633679" w:rsidRPr="004635E5">
        <w:rPr>
          <w:sz w:val="22"/>
          <w:szCs w:val="22"/>
          <w:lang w:eastAsia="ko-KR"/>
        </w:rPr>
        <w:t>note</w:t>
      </w:r>
      <w:r w:rsidR="00D64CAE" w:rsidRPr="004635E5">
        <w:rPr>
          <w:sz w:val="22"/>
          <w:szCs w:val="22"/>
          <w:lang w:eastAsia="ko-KR"/>
        </w:rPr>
        <w:t>d</w:t>
      </w:r>
      <w:r w:rsidR="00633679" w:rsidRPr="004635E5">
        <w:rPr>
          <w:sz w:val="22"/>
          <w:szCs w:val="22"/>
          <w:lang w:eastAsia="ko-KR"/>
        </w:rPr>
        <w:t xml:space="preserve"> that Project 68 provides an opportunity for the SPC to provide annual updates to the SC on seabird bycatch</w:t>
      </w:r>
      <w:r w:rsidR="00A16680" w:rsidRPr="004635E5">
        <w:rPr>
          <w:sz w:val="22"/>
          <w:szCs w:val="22"/>
          <w:lang w:eastAsia="ko-KR"/>
        </w:rPr>
        <w:t xml:space="preserve">, which </w:t>
      </w:r>
      <w:r w:rsidR="00633679" w:rsidRPr="004635E5">
        <w:rPr>
          <w:sz w:val="22"/>
          <w:szCs w:val="22"/>
          <w:lang w:eastAsia="ko-KR"/>
        </w:rPr>
        <w:t>could reduce reporting requirements in Part 1 reports and ensure SC can consider available data.</w:t>
      </w:r>
      <w:r w:rsidR="00D64CAE" w:rsidRPr="004635E5">
        <w:rPr>
          <w:sz w:val="22"/>
          <w:szCs w:val="22"/>
          <w:lang w:eastAsia="ko-KR"/>
        </w:rPr>
        <w:t xml:space="preserve"> </w:t>
      </w:r>
      <w:r w:rsidR="00633679" w:rsidRPr="004635E5">
        <w:rPr>
          <w:sz w:val="22"/>
          <w:szCs w:val="22"/>
          <w:lang w:eastAsia="ko-KR"/>
        </w:rPr>
        <w:t>FFA members recommend</w:t>
      </w:r>
      <w:r w:rsidR="00A16680" w:rsidRPr="004635E5">
        <w:rPr>
          <w:sz w:val="22"/>
          <w:szCs w:val="22"/>
          <w:lang w:eastAsia="ko-KR"/>
        </w:rPr>
        <w:t>ed</w:t>
      </w:r>
      <w:r w:rsidR="00633679" w:rsidRPr="004635E5">
        <w:rPr>
          <w:sz w:val="22"/>
          <w:szCs w:val="22"/>
          <w:lang w:eastAsia="ko-KR"/>
        </w:rPr>
        <w:t xml:space="preserve"> that seabird bycatch summaries be presented at the species level and by area.</w:t>
      </w:r>
      <w:r w:rsidR="00D64CAE" w:rsidRPr="004635E5">
        <w:rPr>
          <w:sz w:val="22"/>
          <w:szCs w:val="22"/>
          <w:lang w:eastAsia="ko-KR"/>
        </w:rPr>
        <w:t xml:space="preserve"> </w:t>
      </w:r>
    </w:p>
    <w:p w14:paraId="02CF8A17" w14:textId="77777777" w:rsidR="00DB2BB1" w:rsidRPr="004635E5" w:rsidRDefault="00DB2BB1" w:rsidP="006633A8">
      <w:pPr>
        <w:autoSpaceDE w:val="0"/>
        <w:autoSpaceDN w:val="0"/>
        <w:adjustRightInd w:val="0"/>
        <w:snapToGrid w:val="0"/>
        <w:jc w:val="both"/>
        <w:rPr>
          <w:sz w:val="22"/>
          <w:szCs w:val="22"/>
          <w:lang w:eastAsia="ko-KR"/>
        </w:rPr>
      </w:pPr>
    </w:p>
    <w:p w14:paraId="6EF13A7E" w14:textId="77777777" w:rsidR="00237D97" w:rsidRPr="004635E5" w:rsidRDefault="00D64CAE" w:rsidP="00580EA4">
      <w:pPr>
        <w:numPr>
          <w:ilvl w:val="0"/>
          <w:numId w:val="18"/>
        </w:numPr>
        <w:autoSpaceDE w:val="0"/>
        <w:autoSpaceDN w:val="0"/>
        <w:adjustRightInd w:val="0"/>
        <w:snapToGrid w:val="0"/>
        <w:ind w:left="0" w:firstLine="0"/>
        <w:jc w:val="both"/>
        <w:rPr>
          <w:sz w:val="22"/>
          <w:szCs w:val="22"/>
          <w:lang w:eastAsia="ko-KR"/>
        </w:rPr>
      </w:pPr>
      <w:r w:rsidRPr="004635E5">
        <w:rPr>
          <w:sz w:val="22"/>
          <w:szCs w:val="22"/>
          <w:lang w:eastAsia="ko-KR"/>
        </w:rPr>
        <w:t xml:space="preserve">The </w:t>
      </w:r>
      <w:r w:rsidR="0019369B" w:rsidRPr="004635E5">
        <w:rPr>
          <w:sz w:val="22"/>
          <w:szCs w:val="22"/>
          <w:lang w:eastAsia="ko-KR"/>
        </w:rPr>
        <w:t xml:space="preserve">EU </w:t>
      </w:r>
      <w:r w:rsidRPr="004635E5">
        <w:rPr>
          <w:sz w:val="22"/>
          <w:szCs w:val="22"/>
          <w:lang w:eastAsia="ko-KR"/>
        </w:rPr>
        <w:t xml:space="preserve">noted that it was </w:t>
      </w:r>
      <w:r w:rsidR="0019369B" w:rsidRPr="004635E5">
        <w:rPr>
          <w:sz w:val="22"/>
          <w:szCs w:val="22"/>
          <w:lang w:eastAsia="ko-KR"/>
        </w:rPr>
        <w:t xml:space="preserve">important to see what </w:t>
      </w:r>
      <w:r w:rsidRPr="004635E5">
        <w:rPr>
          <w:sz w:val="22"/>
          <w:szCs w:val="22"/>
          <w:lang w:eastAsia="ko-KR"/>
        </w:rPr>
        <w:t xml:space="preserve">could </w:t>
      </w:r>
      <w:r w:rsidR="0019369B" w:rsidRPr="004635E5">
        <w:rPr>
          <w:sz w:val="22"/>
          <w:szCs w:val="22"/>
          <w:lang w:eastAsia="ko-KR"/>
        </w:rPr>
        <w:t xml:space="preserve">be extracted from the data. Looking at the list of potential work, </w:t>
      </w:r>
      <w:r w:rsidR="00A16680" w:rsidRPr="004635E5">
        <w:rPr>
          <w:sz w:val="22"/>
          <w:szCs w:val="22"/>
          <w:lang w:eastAsia="ko-KR"/>
        </w:rPr>
        <w:t xml:space="preserve">they stated their belief that </w:t>
      </w:r>
      <w:r w:rsidR="0019369B" w:rsidRPr="004635E5">
        <w:rPr>
          <w:sz w:val="22"/>
          <w:szCs w:val="22"/>
          <w:lang w:eastAsia="ko-KR"/>
        </w:rPr>
        <w:t xml:space="preserve">it </w:t>
      </w:r>
      <w:r w:rsidR="00A16680" w:rsidRPr="004635E5">
        <w:rPr>
          <w:sz w:val="22"/>
          <w:szCs w:val="22"/>
          <w:lang w:eastAsia="ko-KR"/>
        </w:rPr>
        <w:t xml:space="preserve">was </w:t>
      </w:r>
      <w:r w:rsidR="0019369B" w:rsidRPr="004635E5">
        <w:rPr>
          <w:sz w:val="22"/>
          <w:szCs w:val="22"/>
          <w:lang w:eastAsia="ko-KR"/>
        </w:rPr>
        <w:t>imp</w:t>
      </w:r>
      <w:r w:rsidR="00A16680" w:rsidRPr="004635E5">
        <w:rPr>
          <w:sz w:val="22"/>
          <w:szCs w:val="22"/>
          <w:lang w:eastAsia="ko-KR"/>
        </w:rPr>
        <w:t>ortant</w:t>
      </w:r>
      <w:r w:rsidR="0019369B" w:rsidRPr="004635E5">
        <w:rPr>
          <w:sz w:val="22"/>
          <w:szCs w:val="22"/>
          <w:lang w:eastAsia="ko-KR"/>
        </w:rPr>
        <w:t xml:space="preserve"> to </w:t>
      </w:r>
      <w:r w:rsidR="00A16680" w:rsidRPr="004635E5">
        <w:rPr>
          <w:sz w:val="22"/>
          <w:szCs w:val="22"/>
          <w:lang w:eastAsia="ko-KR"/>
        </w:rPr>
        <w:t xml:space="preserve">try to </w:t>
      </w:r>
      <w:r w:rsidR="0019369B" w:rsidRPr="004635E5">
        <w:rPr>
          <w:sz w:val="22"/>
          <w:szCs w:val="22"/>
          <w:lang w:eastAsia="ko-KR"/>
        </w:rPr>
        <w:t>understand trends in pop</w:t>
      </w:r>
      <w:r w:rsidRPr="004635E5">
        <w:rPr>
          <w:sz w:val="22"/>
          <w:szCs w:val="22"/>
          <w:lang w:eastAsia="ko-KR"/>
        </w:rPr>
        <w:t>ulation</w:t>
      </w:r>
      <w:r w:rsidR="0019369B" w:rsidRPr="004635E5">
        <w:rPr>
          <w:sz w:val="22"/>
          <w:szCs w:val="22"/>
          <w:lang w:eastAsia="ko-KR"/>
        </w:rPr>
        <w:t>s o</w:t>
      </w:r>
      <w:r w:rsidRPr="004635E5">
        <w:rPr>
          <w:sz w:val="22"/>
          <w:szCs w:val="22"/>
          <w:lang w:eastAsia="ko-KR"/>
        </w:rPr>
        <w:t>f</w:t>
      </w:r>
      <w:r w:rsidR="0019369B" w:rsidRPr="004635E5">
        <w:rPr>
          <w:sz w:val="22"/>
          <w:szCs w:val="22"/>
          <w:lang w:eastAsia="ko-KR"/>
        </w:rPr>
        <w:t xml:space="preserve"> seabirds of diff</w:t>
      </w:r>
      <w:r w:rsidRPr="004635E5">
        <w:rPr>
          <w:sz w:val="22"/>
          <w:szCs w:val="22"/>
          <w:lang w:eastAsia="ko-KR"/>
        </w:rPr>
        <w:t>erent</w:t>
      </w:r>
      <w:r w:rsidR="0019369B" w:rsidRPr="004635E5">
        <w:rPr>
          <w:sz w:val="22"/>
          <w:szCs w:val="22"/>
          <w:lang w:eastAsia="ko-KR"/>
        </w:rPr>
        <w:t xml:space="preserve"> species, </w:t>
      </w:r>
      <w:r w:rsidRPr="004635E5">
        <w:rPr>
          <w:sz w:val="22"/>
          <w:szCs w:val="22"/>
          <w:lang w:eastAsia="ko-KR"/>
        </w:rPr>
        <w:t xml:space="preserve">and </w:t>
      </w:r>
      <w:r w:rsidR="0019369B" w:rsidRPr="004635E5">
        <w:rPr>
          <w:sz w:val="22"/>
          <w:szCs w:val="22"/>
          <w:lang w:eastAsia="ko-KR"/>
        </w:rPr>
        <w:t>do better work on indicators</w:t>
      </w:r>
      <w:r w:rsidRPr="004635E5">
        <w:rPr>
          <w:sz w:val="22"/>
          <w:szCs w:val="22"/>
          <w:lang w:eastAsia="ko-KR"/>
        </w:rPr>
        <w:t xml:space="preserve"> (e.g., catch rates) to</w:t>
      </w:r>
      <w:r w:rsidR="0019369B" w:rsidRPr="004635E5">
        <w:rPr>
          <w:sz w:val="22"/>
          <w:szCs w:val="22"/>
          <w:lang w:eastAsia="ko-KR"/>
        </w:rPr>
        <w:t xml:space="preserve"> </w:t>
      </w:r>
      <w:r w:rsidRPr="004635E5">
        <w:rPr>
          <w:sz w:val="22"/>
          <w:szCs w:val="22"/>
          <w:lang w:eastAsia="ko-KR"/>
        </w:rPr>
        <w:t xml:space="preserve">develop </w:t>
      </w:r>
      <w:r w:rsidR="0019369B" w:rsidRPr="004635E5">
        <w:rPr>
          <w:sz w:val="22"/>
          <w:szCs w:val="22"/>
          <w:lang w:eastAsia="ko-KR"/>
        </w:rPr>
        <w:t xml:space="preserve">trends. </w:t>
      </w:r>
      <w:r w:rsidR="00A16680" w:rsidRPr="004635E5">
        <w:rPr>
          <w:sz w:val="22"/>
          <w:szCs w:val="22"/>
          <w:lang w:eastAsia="ko-KR"/>
        </w:rPr>
        <w:t>They noted that t</w:t>
      </w:r>
      <w:r w:rsidR="0019369B" w:rsidRPr="004635E5">
        <w:rPr>
          <w:sz w:val="22"/>
          <w:szCs w:val="22"/>
          <w:lang w:eastAsia="ko-KR"/>
        </w:rPr>
        <w:t>otal mortality numbers</w:t>
      </w:r>
      <w:r w:rsidRPr="004635E5">
        <w:rPr>
          <w:sz w:val="22"/>
          <w:szCs w:val="22"/>
          <w:lang w:eastAsia="ko-KR"/>
        </w:rPr>
        <w:t xml:space="preserve"> </w:t>
      </w:r>
      <w:r w:rsidR="0019369B" w:rsidRPr="004635E5">
        <w:rPr>
          <w:sz w:val="22"/>
          <w:szCs w:val="22"/>
          <w:lang w:eastAsia="ko-KR"/>
        </w:rPr>
        <w:t>would not nec</w:t>
      </w:r>
      <w:r w:rsidRPr="004635E5">
        <w:rPr>
          <w:sz w:val="22"/>
          <w:szCs w:val="22"/>
          <w:lang w:eastAsia="ko-KR"/>
        </w:rPr>
        <w:t>essarily</w:t>
      </w:r>
      <w:r w:rsidR="0019369B" w:rsidRPr="004635E5">
        <w:rPr>
          <w:sz w:val="22"/>
          <w:szCs w:val="22"/>
          <w:lang w:eastAsia="ko-KR"/>
        </w:rPr>
        <w:t xml:space="preserve"> b</w:t>
      </w:r>
      <w:r w:rsidRPr="004635E5">
        <w:rPr>
          <w:sz w:val="22"/>
          <w:szCs w:val="22"/>
          <w:lang w:eastAsia="ko-KR"/>
        </w:rPr>
        <w:t>e</w:t>
      </w:r>
      <w:r w:rsidR="0019369B" w:rsidRPr="004635E5">
        <w:rPr>
          <w:sz w:val="22"/>
          <w:szCs w:val="22"/>
          <w:lang w:eastAsia="ko-KR"/>
        </w:rPr>
        <w:t xml:space="preserve"> meaningful</w:t>
      </w:r>
      <w:r w:rsidR="00A16680" w:rsidRPr="004635E5">
        <w:rPr>
          <w:sz w:val="22"/>
          <w:szCs w:val="22"/>
          <w:lang w:eastAsia="ko-KR"/>
        </w:rPr>
        <w:t>,</w:t>
      </w:r>
      <w:r w:rsidRPr="004635E5">
        <w:rPr>
          <w:sz w:val="22"/>
          <w:szCs w:val="22"/>
          <w:lang w:eastAsia="ko-KR"/>
        </w:rPr>
        <w:t xml:space="preserve"> and it would be b</w:t>
      </w:r>
      <w:r w:rsidR="0019369B" w:rsidRPr="004635E5">
        <w:rPr>
          <w:sz w:val="22"/>
          <w:szCs w:val="22"/>
          <w:lang w:eastAsia="ko-KR"/>
        </w:rPr>
        <w:t xml:space="preserve">etter to focus on an appreciation of the </w:t>
      </w:r>
      <w:r w:rsidRPr="004635E5">
        <w:rPr>
          <w:sz w:val="22"/>
          <w:szCs w:val="22"/>
          <w:lang w:eastAsia="ko-KR"/>
        </w:rPr>
        <w:t xml:space="preserve">population </w:t>
      </w:r>
      <w:r w:rsidR="0019369B" w:rsidRPr="004635E5">
        <w:rPr>
          <w:sz w:val="22"/>
          <w:szCs w:val="22"/>
          <w:lang w:eastAsia="ko-KR"/>
        </w:rPr>
        <w:t>trend</w:t>
      </w:r>
      <w:r w:rsidRPr="004635E5">
        <w:rPr>
          <w:sz w:val="22"/>
          <w:szCs w:val="22"/>
          <w:lang w:eastAsia="ko-KR"/>
        </w:rPr>
        <w:t>s</w:t>
      </w:r>
      <w:r w:rsidR="0019369B" w:rsidRPr="004635E5">
        <w:rPr>
          <w:sz w:val="22"/>
          <w:szCs w:val="22"/>
          <w:lang w:eastAsia="ko-KR"/>
        </w:rPr>
        <w:t xml:space="preserve">. That would be </w:t>
      </w:r>
      <w:r w:rsidRPr="004635E5">
        <w:rPr>
          <w:sz w:val="22"/>
          <w:szCs w:val="22"/>
          <w:lang w:eastAsia="ko-KR"/>
        </w:rPr>
        <w:t xml:space="preserve">an </w:t>
      </w:r>
      <w:r w:rsidR="00237D97" w:rsidRPr="004635E5">
        <w:rPr>
          <w:sz w:val="22"/>
          <w:szCs w:val="22"/>
          <w:lang w:eastAsia="ko-KR"/>
        </w:rPr>
        <w:t>important</w:t>
      </w:r>
      <w:r w:rsidR="0019369B" w:rsidRPr="004635E5">
        <w:rPr>
          <w:sz w:val="22"/>
          <w:szCs w:val="22"/>
          <w:lang w:eastAsia="ko-KR"/>
        </w:rPr>
        <w:t xml:space="preserve"> area for future work, </w:t>
      </w:r>
      <w:r w:rsidRPr="004635E5">
        <w:rPr>
          <w:sz w:val="22"/>
          <w:szCs w:val="22"/>
          <w:lang w:eastAsia="ko-KR"/>
        </w:rPr>
        <w:t xml:space="preserve">if possible in conjunction with </w:t>
      </w:r>
      <w:r w:rsidR="0019369B" w:rsidRPr="004635E5">
        <w:rPr>
          <w:sz w:val="22"/>
          <w:szCs w:val="22"/>
          <w:lang w:eastAsia="ko-KR"/>
        </w:rPr>
        <w:t xml:space="preserve">an indication of </w:t>
      </w:r>
      <w:r w:rsidRPr="004635E5">
        <w:rPr>
          <w:sz w:val="22"/>
          <w:szCs w:val="22"/>
          <w:lang w:eastAsia="ko-KR"/>
        </w:rPr>
        <w:t xml:space="preserve">the </w:t>
      </w:r>
      <w:r w:rsidR="0019369B" w:rsidRPr="004635E5">
        <w:rPr>
          <w:sz w:val="22"/>
          <w:szCs w:val="22"/>
          <w:lang w:eastAsia="ko-KR"/>
        </w:rPr>
        <w:t>eff</w:t>
      </w:r>
      <w:r w:rsidRPr="004635E5">
        <w:rPr>
          <w:sz w:val="22"/>
          <w:szCs w:val="22"/>
          <w:lang w:eastAsia="ko-KR"/>
        </w:rPr>
        <w:t>ect</w:t>
      </w:r>
      <w:r w:rsidR="0019369B" w:rsidRPr="004635E5">
        <w:rPr>
          <w:sz w:val="22"/>
          <w:szCs w:val="22"/>
          <w:lang w:eastAsia="ko-KR"/>
        </w:rPr>
        <w:t xml:space="preserve"> of </w:t>
      </w:r>
      <w:r w:rsidRPr="004635E5">
        <w:rPr>
          <w:sz w:val="22"/>
          <w:szCs w:val="22"/>
          <w:lang w:eastAsia="ko-KR"/>
        </w:rPr>
        <w:t xml:space="preserve">existing </w:t>
      </w:r>
      <w:r w:rsidR="0019369B" w:rsidRPr="004635E5">
        <w:rPr>
          <w:sz w:val="22"/>
          <w:szCs w:val="22"/>
          <w:lang w:eastAsia="ko-KR"/>
        </w:rPr>
        <w:t>CMMs for s</w:t>
      </w:r>
      <w:r w:rsidRPr="004635E5">
        <w:rPr>
          <w:sz w:val="22"/>
          <w:szCs w:val="22"/>
          <w:lang w:eastAsia="ko-KR"/>
        </w:rPr>
        <w:t>ea</w:t>
      </w:r>
      <w:r w:rsidR="0019369B" w:rsidRPr="004635E5">
        <w:rPr>
          <w:sz w:val="22"/>
          <w:szCs w:val="22"/>
          <w:lang w:eastAsia="ko-KR"/>
        </w:rPr>
        <w:t xml:space="preserve">birds. </w:t>
      </w:r>
      <w:r w:rsidRPr="004635E5">
        <w:rPr>
          <w:sz w:val="22"/>
          <w:szCs w:val="22"/>
          <w:lang w:eastAsia="ko-KR"/>
        </w:rPr>
        <w:t xml:space="preserve">They inquired about </w:t>
      </w:r>
      <w:r w:rsidR="0019369B" w:rsidRPr="004635E5">
        <w:rPr>
          <w:sz w:val="22"/>
          <w:szCs w:val="22"/>
          <w:lang w:eastAsia="ko-KR"/>
        </w:rPr>
        <w:t xml:space="preserve">designing a multi-factorial experiment to </w:t>
      </w:r>
      <w:r w:rsidRPr="004635E5">
        <w:rPr>
          <w:sz w:val="22"/>
          <w:szCs w:val="22"/>
          <w:lang w:eastAsia="ko-KR"/>
        </w:rPr>
        <w:t xml:space="preserve">examine the </w:t>
      </w:r>
      <w:r w:rsidR="0019369B" w:rsidRPr="004635E5">
        <w:rPr>
          <w:sz w:val="22"/>
          <w:szCs w:val="22"/>
          <w:lang w:eastAsia="ko-KR"/>
        </w:rPr>
        <w:t>eff</w:t>
      </w:r>
      <w:r w:rsidRPr="004635E5">
        <w:rPr>
          <w:sz w:val="22"/>
          <w:szCs w:val="22"/>
          <w:lang w:eastAsia="ko-KR"/>
        </w:rPr>
        <w:t xml:space="preserve">ectiveness of </w:t>
      </w:r>
      <w:r w:rsidR="0019369B" w:rsidRPr="004635E5">
        <w:rPr>
          <w:sz w:val="22"/>
          <w:szCs w:val="22"/>
          <w:lang w:eastAsia="ko-KR"/>
        </w:rPr>
        <w:t>current measures</w:t>
      </w:r>
      <w:r w:rsidRPr="004635E5">
        <w:rPr>
          <w:sz w:val="22"/>
          <w:szCs w:val="22"/>
          <w:lang w:eastAsia="ko-KR"/>
        </w:rPr>
        <w:t xml:space="preserve">, </w:t>
      </w:r>
      <w:r w:rsidR="00D86E91" w:rsidRPr="004635E5">
        <w:rPr>
          <w:sz w:val="22"/>
          <w:szCs w:val="22"/>
          <w:lang w:eastAsia="ko-KR"/>
        </w:rPr>
        <w:t xml:space="preserve">suggesting that </w:t>
      </w:r>
      <w:r w:rsidR="0019369B" w:rsidRPr="004635E5">
        <w:rPr>
          <w:sz w:val="22"/>
          <w:szCs w:val="22"/>
          <w:lang w:eastAsia="ko-KR"/>
        </w:rPr>
        <w:t xml:space="preserve">new approaches </w:t>
      </w:r>
      <w:r w:rsidR="00D86E91" w:rsidRPr="004635E5">
        <w:rPr>
          <w:sz w:val="22"/>
          <w:szCs w:val="22"/>
          <w:lang w:eastAsia="ko-KR"/>
        </w:rPr>
        <w:t xml:space="preserve">be considered (as have been used for shark species) </w:t>
      </w:r>
      <w:r w:rsidR="0019369B" w:rsidRPr="004635E5">
        <w:rPr>
          <w:sz w:val="22"/>
          <w:szCs w:val="22"/>
          <w:lang w:eastAsia="ko-KR"/>
        </w:rPr>
        <w:t xml:space="preserve">that could </w:t>
      </w:r>
      <w:r w:rsidR="00D86E91" w:rsidRPr="004635E5">
        <w:rPr>
          <w:sz w:val="22"/>
          <w:szCs w:val="22"/>
          <w:lang w:eastAsia="ko-KR"/>
        </w:rPr>
        <w:t xml:space="preserve">inform members regarding </w:t>
      </w:r>
      <w:r w:rsidR="0019369B" w:rsidRPr="004635E5">
        <w:rPr>
          <w:sz w:val="22"/>
          <w:szCs w:val="22"/>
          <w:lang w:eastAsia="ko-KR"/>
        </w:rPr>
        <w:t>the conservation status of speci</w:t>
      </w:r>
      <w:r w:rsidR="00D86E91" w:rsidRPr="004635E5">
        <w:rPr>
          <w:sz w:val="22"/>
          <w:szCs w:val="22"/>
          <w:lang w:eastAsia="ko-KR"/>
        </w:rPr>
        <w:t>e</w:t>
      </w:r>
      <w:r w:rsidR="0019369B" w:rsidRPr="004635E5">
        <w:rPr>
          <w:sz w:val="22"/>
          <w:szCs w:val="22"/>
          <w:lang w:eastAsia="ko-KR"/>
        </w:rPr>
        <w:t xml:space="preserve">s </w:t>
      </w:r>
      <w:r w:rsidR="00D86E91" w:rsidRPr="004635E5">
        <w:rPr>
          <w:sz w:val="22"/>
          <w:szCs w:val="22"/>
          <w:lang w:eastAsia="ko-KR"/>
        </w:rPr>
        <w:t xml:space="preserve">despite the </w:t>
      </w:r>
      <w:r w:rsidR="0019369B" w:rsidRPr="004635E5">
        <w:rPr>
          <w:sz w:val="22"/>
          <w:szCs w:val="22"/>
          <w:lang w:eastAsia="ko-KR"/>
        </w:rPr>
        <w:t xml:space="preserve">limited </w:t>
      </w:r>
      <w:r w:rsidR="00D86E91" w:rsidRPr="004635E5">
        <w:rPr>
          <w:sz w:val="22"/>
          <w:szCs w:val="22"/>
          <w:lang w:eastAsia="ko-KR"/>
        </w:rPr>
        <w:t xml:space="preserve">amount of </w:t>
      </w:r>
      <w:r w:rsidR="0019369B" w:rsidRPr="004635E5">
        <w:rPr>
          <w:sz w:val="22"/>
          <w:szCs w:val="22"/>
          <w:lang w:eastAsia="ko-KR"/>
        </w:rPr>
        <w:t xml:space="preserve">data. </w:t>
      </w:r>
      <w:r w:rsidR="00E61798" w:rsidRPr="004635E5">
        <w:rPr>
          <w:sz w:val="22"/>
          <w:szCs w:val="22"/>
          <w:lang w:eastAsia="ko-KR"/>
        </w:rPr>
        <w:t>SPC</w:t>
      </w:r>
      <w:r w:rsidR="00D86E91" w:rsidRPr="004635E5">
        <w:rPr>
          <w:sz w:val="22"/>
          <w:szCs w:val="22"/>
          <w:lang w:eastAsia="ko-KR"/>
        </w:rPr>
        <w:t xml:space="preserve"> note</w:t>
      </w:r>
      <w:r w:rsidR="00B76C74">
        <w:rPr>
          <w:rFonts w:eastAsiaTheme="minorEastAsia" w:hint="eastAsia"/>
          <w:sz w:val="22"/>
          <w:szCs w:val="22"/>
          <w:lang w:eastAsia="ko-KR"/>
        </w:rPr>
        <w:t>d</w:t>
      </w:r>
      <w:r w:rsidR="00D86E91" w:rsidRPr="004635E5">
        <w:rPr>
          <w:sz w:val="22"/>
          <w:szCs w:val="22"/>
          <w:lang w:eastAsia="ko-KR"/>
        </w:rPr>
        <w:t xml:space="preserve"> that the </w:t>
      </w:r>
      <w:r w:rsidR="00E61798" w:rsidRPr="004635E5">
        <w:rPr>
          <w:sz w:val="22"/>
          <w:szCs w:val="22"/>
          <w:lang w:eastAsia="ko-KR"/>
        </w:rPr>
        <w:t xml:space="preserve">scope of work for </w:t>
      </w:r>
      <w:r w:rsidR="00D86E91" w:rsidRPr="004635E5">
        <w:rPr>
          <w:sz w:val="22"/>
          <w:szCs w:val="22"/>
          <w:lang w:eastAsia="ko-KR"/>
        </w:rPr>
        <w:t xml:space="preserve">the </w:t>
      </w:r>
      <w:r w:rsidR="00E61798" w:rsidRPr="004635E5">
        <w:rPr>
          <w:sz w:val="22"/>
          <w:szCs w:val="22"/>
          <w:lang w:eastAsia="ko-KR"/>
        </w:rPr>
        <w:t xml:space="preserve">project </w:t>
      </w:r>
      <w:r w:rsidR="00D86E91" w:rsidRPr="004635E5">
        <w:rPr>
          <w:sz w:val="22"/>
          <w:szCs w:val="22"/>
          <w:lang w:eastAsia="ko-KR"/>
        </w:rPr>
        <w:t xml:space="preserve">included developing an </w:t>
      </w:r>
      <w:r w:rsidR="00E61798" w:rsidRPr="004635E5">
        <w:rPr>
          <w:sz w:val="22"/>
          <w:szCs w:val="22"/>
          <w:lang w:eastAsia="ko-KR"/>
        </w:rPr>
        <w:t>est</w:t>
      </w:r>
      <w:r w:rsidR="00D86E91" w:rsidRPr="004635E5">
        <w:rPr>
          <w:sz w:val="22"/>
          <w:szCs w:val="22"/>
          <w:lang w:eastAsia="ko-KR"/>
        </w:rPr>
        <w:t>imate</w:t>
      </w:r>
      <w:r w:rsidR="00E61798" w:rsidRPr="004635E5">
        <w:rPr>
          <w:sz w:val="22"/>
          <w:szCs w:val="22"/>
          <w:lang w:eastAsia="ko-KR"/>
        </w:rPr>
        <w:t xml:space="preserve"> of total </w:t>
      </w:r>
      <w:r w:rsidR="00D86E91" w:rsidRPr="004635E5">
        <w:rPr>
          <w:sz w:val="22"/>
          <w:szCs w:val="22"/>
          <w:lang w:eastAsia="ko-KR"/>
        </w:rPr>
        <w:t>m</w:t>
      </w:r>
      <w:r w:rsidR="00E61798" w:rsidRPr="004635E5">
        <w:rPr>
          <w:sz w:val="22"/>
          <w:szCs w:val="22"/>
          <w:lang w:eastAsia="ko-KR"/>
        </w:rPr>
        <w:t xml:space="preserve">ortality, </w:t>
      </w:r>
      <w:r w:rsidR="00D86E91" w:rsidRPr="004635E5">
        <w:rPr>
          <w:sz w:val="22"/>
          <w:szCs w:val="22"/>
          <w:lang w:eastAsia="ko-KR"/>
        </w:rPr>
        <w:t xml:space="preserve">looking at </w:t>
      </w:r>
      <w:r w:rsidR="00E61798" w:rsidRPr="004635E5">
        <w:rPr>
          <w:sz w:val="22"/>
          <w:szCs w:val="22"/>
          <w:lang w:eastAsia="ko-KR"/>
        </w:rPr>
        <w:t>data limitations, and what level of assessment could be made at the species level</w:t>
      </w:r>
      <w:r w:rsidR="00A16680" w:rsidRPr="004635E5">
        <w:rPr>
          <w:sz w:val="22"/>
          <w:szCs w:val="22"/>
          <w:lang w:eastAsia="ko-KR"/>
        </w:rPr>
        <w:t>;</w:t>
      </w:r>
      <w:r w:rsidR="00D86E91" w:rsidRPr="004635E5">
        <w:rPr>
          <w:sz w:val="22"/>
          <w:szCs w:val="22"/>
          <w:lang w:eastAsia="ko-KR"/>
        </w:rPr>
        <w:t xml:space="preserve"> thus some of these issues were being addressed</w:t>
      </w:r>
      <w:r w:rsidR="00E61798" w:rsidRPr="004635E5">
        <w:rPr>
          <w:sz w:val="22"/>
          <w:szCs w:val="22"/>
          <w:lang w:eastAsia="ko-KR"/>
        </w:rPr>
        <w:t>.</w:t>
      </w:r>
      <w:r w:rsidR="00D86E91" w:rsidRPr="004635E5">
        <w:rPr>
          <w:sz w:val="22"/>
          <w:szCs w:val="22"/>
          <w:lang w:eastAsia="ko-KR"/>
        </w:rPr>
        <w:t xml:space="preserve"> </w:t>
      </w:r>
    </w:p>
    <w:p w14:paraId="375DDF13" w14:textId="77777777" w:rsidR="00DB2BB1" w:rsidRPr="004635E5" w:rsidRDefault="00DB2BB1" w:rsidP="006633A8">
      <w:pPr>
        <w:autoSpaceDE w:val="0"/>
        <w:autoSpaceDN w:val="0"/>
        <w:adjustRightInd w:val="0"/>
        <w:snapToGrid w:val="0"/>
        <w:jc w:val="both"/>
        <w:rPr>
          <w:sz w:val="22"/>
          <w:szCs w:val="22"/>
          <w:lang w:eastAsia="ko-KR"/>
        </w:rPr>
      </w:pPr>
    </w:p>
    <w:p w14:paraId="2743AAA7" w14:textId="77777777" w:rsidR="00D86E91" w:rsidRPr="004635E5" w:rsidRDefault="00237D97" w:rsidP="00580EA4">
      <w:pPr>
        <w:numPr>
          <w:ilvl w:val="0"/>
          <w:numId w:val="18"/>
        </w:numPr>
        <w:autoSpaceDE w:val="0"/>
        <w:autoSpaceDN w:val="0"/>
        <w:adjustRightInd w:val="0"/>
        <w:snapToGrid w:val="0"/>
        <w:ind w:left="0" w:firstLine="0"/>
        <w:jc w:val="both"/>
        <w:rPr>
          <w:sz w:val="22"/>
          <w:szCs w:val="22"/>
          <w:lang w:eastAsia="ko-KR"/>
        </w:rPr>
      </w:pPr>
      <w:r w:rsidRPr="004635E5">
        <w:rPr>
          <w:sz w:val="22"/>
          <w:szCs w:val="22"/>
          <w:lang w:eastAsia="ko-KR"/>
        </w:rPr>
        <w:t>New Zealand noted their view that bycatc</w:t>
      </w:r>
      <w:r w:rsidR="00A16680" w:rsidRPr="004635E5">
        <w:rPr>
          <w:sz w:val="22"/>
          <w:szCs w:val="22"/>
          <w:lang w:eastAsia="ko-KR"/>
        </w:rPr>
        <w:t>h studies of this type were not</w:t>
      </w:r>
      <w:r w:rsidRPr="004635E5">
        <w:rPr>
          <w:sz w:val="22"/>
          <w:szCs w:val="22"/>
          <w:lang w:eastAsia="ko-KR"/>
        </w:rPr>
        <w:t xml:space="preserve"> the best measure of population trends, which required studies independent of fisheries, and </w:t>
      </w:r>
      <w:r w:rsidR="00D86E91" w:rsidRPr="004635E5">
        <w:rPr>
          <w:sz w:val="22"/>
          <w:szCs w:val="22"/>
          <w:lang w:eastAsia="ko-KR"/>
        </w:rPr>
        <w:t>request</w:t>
      </w:r>
      <w:r w:rsidRPr="004635E5">
        <w:rPr>
          <w:sz w:val="22"/>
          <w:szCs w:val="22"/>
          <w:lang w:eastAsia="ko-KR"/>
        </w:rPr>
        <w:t>ed</w:t>
      </w:r>
      <w:r w:rsidR="00D86E91" w:rsidRPr="004635E5">
        <w:rPr>
          <w:sz w:val="22"/>
          <w:szCs w:val="22"/>
          <w:lang w:eastAsia="ko-KR"/>
        </w:rPr>
        <w:t xml:space="preserve"> clarification</w:t>
      </w:r>
      <w:r w:rsidRPr="004635E5">
        <w:rPr>
          <w:sz w:val="22"/>
          <w:szCs w:val="22"/>
          <w:lang w:eastAsia="ko-KR"/>
        </w:rPr>
        <w:t xml:space="preserve"> regarding the</w:t>
      </w:r>
      <w:r w:rsidR="00F81EF0">
        <w:rPr>
          <w:sz w:val="22"/>
          <w:szCs w:val="22"/>
          <w:lang w:eastAsia="ko-KR"/>
        </w:rPr>
        <w:t xml:space="preserve"> </w:t>
      </w:r>
      <w:r w:rsidR="00E61798" w:rsidRPr="004635E5">
        <w:rPr>
          <w:sz w:val="22"/>
          <w:szCs w:val="22"/>
          <w:lang w:eastAsia="ko-KR"/>
        </w:rPr>
        <w:t>EU</w:t>
      </w:r>
      <w:r w:rsidRPr="004635E5">
        <w:rPr>
          <w:sz w:val="22"/>
          <w:szCs w:val="22"/>
          <w:lang w:eastAsia="ko-KR"/>
        </w:rPr>
        <w:t xml:space="preserve">’s statement. EU </w:t>
      </w:r>
      <w:r w:rsidR="00D86E91" w:rsidRPr="004635E5">
        <w:rPr>
          <w:sz w:val="22"/>
          <w:szCs w:val="22"/>
          <w:lang w:eastAsia="ko-KR"/>
        </w:rPr>
        <w:t xml:space="preserve">noted the importance of </w:t>
      </w:r>
      <w:r w:rsidRPr="004635E5">
        <w:rPr>
          <w:sz w:val="22"/>
          <w:szCs w:val="22"/>
          <w:lang w:eastAsia="ko-KR"/>
        </w:rPr>
        <w:t xml:space="preserve">both types of studies to get an </w:t>
      </w:r>
      <w:r w:rsidR="00D86E91" w:rsidRPr="004635E5">
        <w:rPr>
          <w:sz w:val="22"/>
          <w:szCs w:val="22"/>
          <w:lang w:eastAsia="ko-KR"/>
        </w:rPr>
        <w:t xml:space="preserve">understanding </w:t>
      </w:r>
      <w:r w:rsidRPr="004635E5">
        <w:rPr>
          <w:sz w:val="22"/>
          <w:szCs w:val="22"/>
          <w:lang w:eastAsia="ko-KR"/>
        </w:rPr>
        <w:t xml:space="preserve">of </w:t>
      </w:r>
      <w:r w:rsidR="00E61798" w:rsidRPr="004635E5">
        <w:rPr>
          <w:sz w:val="22"/>
          <w:szCs w:val="22"/>
          <w:lang w:eastAsia="ko-KR"/>
        </w:rPr>
        <w:t xml:space="preserve">bycatch </w:t>
      </w:r>
      <w:r w:rsidR="00D86E91" w:rsidRPr="004635E5">
        <w:rPr>
          <w:sz w:val="22"/>
          <w:szCs w:val="22"/>
          <w:lang w:eastAsia="ko-KR"/>
        </w:rPr>
        <w:t xml:space="preserve">and </w:t>
      </w:r>
      <w:r w:rsidR="00E61798" w:rsidRPr="004635E5">
        <w:rPr>
          <w:sz w:val="22"/>
          <w:szCs w:val="22"/>
          <w:lang w:eastAsia="ko-KR"/>
        </w:rPr>
        <w:t>pop</w:t>
      </w:r>
      <w:r w:rsidR="00D86E91" w:rsidRPr="004635E5">
        <w:rPr>
          <w:sz w:val="22"/>
          <w:szCs w:val="22"/>
          <w:lang w:eastAsia="ko-KR"/>
        </w:rPr>
        <w:t>ulation</w:t>
      </w:r>
      <w:r w:rsidRPr="004635E5">
        <w:rPr>
          <w:sz w:val="22"/>
          <w:szCs w:val="22"/>
          <w:lang w:eastAsia="ko-KR"/>
        </w:rPr>
        <w:t xml:space="preserve"> trends</w:t>
      </w:r>
      <w:r w:rsidR="00D86E91" w:rsidRPr="004635E5">
        <w:rPr>
          <w:sz w:val="22"/>
          <w:szCs w:val="22"/>
          <w:lang w:eastAsia="ko-KR"/>
        </w:rPr>
        <w:t xml:space="preserve">. </w:t>
      </w:r>
    </w:p>
    <w:p w14:paraId="69F69ED5" w14:textId="77777777" w:rsidR="00DB2BB1" w:rsidRPr="004635E5" w:rsidRDefault="00DB2BB1" w:rsidP="006633A8">
      <w:pPr>
        <w:autoSpaceDE w:val="0"/>
        <w:autoSpaceDN w:val="0"/>
        <w:adjustRightInd w:val="0"/>
        <w:snapToGrid w:val="0"/>
        <w:jc w:val="both"/>
        <w:rPr>
          <w:sz w:val="22"/>
          <w:szCs w:val="22"/>
          <w:lang w:eastAsia="ko-KR"/>
        </w:rPr>
      </w:pPr>
    </w:p>
    <w:p w14:paraId="35384D3D" w14:textId="77777777" w:rsidR="00ED2DEC" w:rsidRPr="004635E5" w:rsidRDefault="00ED2DEC" w:rsidP="00580EA4">
      <w:pPr>
        <w:numPr>
          <w:ilvl w:val="0"/>
          <w:numId w:val="18"/>
        </w:numPr>
        <w:autoSpaceDE w:val="0"/>
        <w:autoSpaceDN w:val="0"/>
        <w:adjustRightInd w:val="0"/>
        <w:snapToGrid w:val="0"/>
        <w:ind w:left="0" w:firstLine="0"/>
        <w:jc w:val="both"/>
        <w:rPr>
          <w:sz w:val="22"/>
          <w:szCs w:val="22"/>
          <w:lang w:eastAsia="ko-KR"/>
        </w:rPr>
      </w:pPr>
      <w:r w:rsidRPr="004635E5">
        <w:rPr>
          <w:sz w:val="22"/>
          <w:szCs w:val="22"/>
          <w:lang w:eastAsia="ko-KR"/>
        </w:rPr>
        <w:t xml:space="preserve">BirdLife </w:t>
      </w:r>
      <w:r w:rsidR="00A16680" w:rsidRPr="004635E5">
        <w:rPr>
          <w:sz w:val="22"/>
          <w:szCs w:val="22"/>
          <w:lang w:eastAsia="ko-KR"/>
        </w:rPr>
        <w:t xml:space="preserve">stated that they </w:t>
      </w:r>
      <w:r w:rsidRPr="004635E5">
        <w:rPr>
          <w:sz w:val="22"/>
          <w:szCs w:val="22"/>
          <w:lang w:eastAsia="ko-KR"/>
        </w:rPr>
        <w:t xml:space="preserve">and other NGOs such as Pew </w:t>
      </w:r>
      <w:r w:rsidR="00A16680" w:rsidRPr="004635E5">
        <w:rPr>
          <w:sz w:val="22"/>
          <w:szCs w:val="22"/>
          <w:lang w:eastAsia="ko-KR"/>
        </w:rPr>
        <w:t xml:space="preserve">had </w:t>
      </w:r>
      <w:r w:rsidRPr="004635E5">
        <w:rPr>
          <w:sz w:val="22"/>
          <w:szCs w:val="22"/>
          <w:lang w:eastAsia="ko-KR"/>
        </w:rPr>
        <w:t>been strongly supportive of progressing Project 68</w:t>
      </w:r>
      <w:r w:rsidR="00A16680" w:rsidRPr="004635E5">
        <w:rPr>
          <w:sz w:val="22"/>
          <w:szCs w:val="22"/>
          <w:lang w:eastAsia="ko-KR"/>
        </w:rPr>
        <w:t>,</w:t>
      </w:r>
      <w:r w:rsidRPr="004635E5">
        <w:rPr>
          <w:sz w:val="22"/>
          <w:szCs w:val="22"/>
          <w:lang w:eastAsia="ko-KR"/>
        </w:rPr>
        <w:t xml:space="preserve"> as there </w:t>
      </w:r>
      <w:r w:rsidR="00A16680" w:rsidRPr="004635E5">
        <w:rPr>
          <w:sz w:val="22"/>
          <w:szCs w:val="22"/>
          <w:lang w:eastAsia="ko-KR"/>
        </w:rPr>
        <w:t xml:space="preserve">had </w:t>
      </w:r>
      <w:r w:rsidRPr="004635E5">
        <w:rPr>
          <w:sz w:val="22"/>
          <w:szCs w:val="22"/>
          <w:lang w:eastAsia="ko-KR"/>
        </w:rPr>
        <w:t xml:space="preserve">never been an assessment of the bycatch data holdings for the WCPFC to enable a total mortality estimate for seabirds in the WCPO. </w:t>
      </w:r>
      <w:r w:rsidR="00A16680" w:rsidRPr="004635E5">
        <w:rPr>
          <w:sz w:val="22"/>
          <w:szCs w:val="22"/>
          <w:lang w:eastAsia="ko-KR"/>
        </w:rPr>
        <w:t xml:space="preserve">They </w:t>
      </w:r>
      <w:r w:rsidRPr="004635E5">
        <w:rPr>
          <w:sz w:val="22"/>
          <w:szCs w:val="22"/>
          <w:lang w:eastAsia="ko-KR"/>
        </w:rPr>
        <w:t>thank</w:t>
      </w:r>
      <w:r w:rsidR="00A16680" w:rsidRPr="004635E5">
        <w:rPr>
          <w:sz w:val="22"/>
          <w:szCs w:val="22"/>
          <w:lang w:eastAsia="ko-KR"/>
        </w:rPr>
        <w:t>ed</w:t>
      </w:r>
      <w:r w:rsidRPr="004635E5">
        <w:rPr>
          <w:sz w:val="22"/>
          <w:szCs w:val="22"/>
          <w:lang w:eastAsia="ko-KR"/>
        </w:rPr>
        <w:t xml:space="preserve"> SPC for continuing to progress </w:t>
      </w:r>
      <w:r w:rsidR="00A16680" w:rsidRPr="004635E5">
        <w:rPr>
          <w:sz w:val="22"/>
          <w:szCs w:val="22"/>
          <w:lang w:eastAsia="ko-KR"/>
        </w:rPr>
        <w:t xml:space="preserve">the </w:t>
      </w:r>
      <w:r w:rsidRPr="004635E5">
        <w:rPr>
          <w:sz w:val="22"/>
          <w:szCs w:val="22"/>
          <w:lang w:eastAsia="ko-KR"/>
        </w:rPr>
        <w:t xml:space="preserve">project while recognising that results </w:t>
      </w:r>
      <w:r w:rsidR="00A16680" w:rsidRPr="004635E5">
        <w:rPr>
          <w:sz w:val="22"/>
          <w:szCs w:val="22"/>
          <w:lang w:eastAsia="ko-KR"/>
        </w:rPr>
        <w:t xml:space="preserve">were </w:t>
      </w:r>
      <w:r w:rsidRPr="004635E5">
        <w:rPr>
          <w:sz w:val="22"/>
          <w:szCs w:val="22"/>
          <w:lang w:eastAsia="ko-KR"/>
        </w:rPr>
        <w:t xml:space="preserve">very preliminary. </w:t>
      </w:r>
      <w:r w:rsidR="00A16680" w:rsidRPr="004635E5">
        <w:rPr>
          <w:sz w:val="22"/>
          <w:szCs w:val="22"/>
          <w:lang w:eastAsia="ko-KR"/>
        </w:rPr>
        <w:t xml:space="preserve">They noted data issues had </w:t>
      </w:r>
      <w:r w:rsidRPr="004635E5">
        <w:rPr>
          <w:sz w:val="22"/>
          <w:szCs w:val="22"/>
          <w:lang w:eastAsia="ko-KR"/>
        </w:rPr>
        <w:t>already been identified</w:t>
      </w:r>
      <w:r w:rsidR="00A16680" w:rsidRPr="004635E5">
        <w:rPr>
          <w:sz w:val="22"/>
          <w:szCs w:val="22"/>
          <w:lang w:eastAsia="ko-KR"/>
        </w:rPr>
        <w:t>,</w:t>
      </w:r>
      <w:r w:rsidRPr="004635E5">
        <w:rPr>
          <w:sz w:val="22"/>
          <w:szCs w:val="22"/>
          <w:lang w:eastAsia="ko-KR"/>
        </w:rPr>
        <w:t xml:space="preserve"> including extremely low levels of observer coverage</w:t>
      </w:r>
      <w:r w:rsidR="00A16680" w:rsidRPr="004635E5">
        <w:rPr>
          <w:sz w:val="22"/>
          <w:szCs w:val="22"/>
          <w:lang w:eastAsia="ko-KR"/>
        </w:rPr>
        <w:t>,</w:t>
      </w:r>
      <w:r w:rsidRPr="004635E5">
        <w:rPr>
          <w:sz w:val="22"/>
          <w:szCs w:val="22"/>
          <w:lang w:eastAsia="ko-KR"/>
        </w:rPr>
        <w:t xml:space="preserve"> even in areas with relatively high effort. </w:t>
      </w:r>
      <w:r w:rsidR="00A16680" w:rsidRPr="004635E5">
        <w:rPr>
          <w:sz w:val="22"/>
          <w:szCs w:val="22"/>
          <w:lang w:eastAsia="ko-KR"/>
        </w:rPr>
        <w:t xml:space="preserve">They </w:t>
      </w:r>
      <w:r w:rsidRPr="004635E5">
        <w:rPr>
          <w:sz w:val="22"/>
          <w:szCs w:val="22"/>
          <w:lang w:eastAsia="ko-KR"/>
        </w:rPr>
        <w:t>encourage</w:t>
      </w:r>
      <w:r w:rsidR="00A16680" w:rsidRPr="004635E5">
        <w:rPr>
          <w:sz w:val="22"/>
          <w:szCs w:val="22"/>
          <w:lang w:eastAsia="ko-KR"/>
        </w:rPr>
        <w:t>d</w:t>
      </w:r>
      <w:r w:rsidRPr="004635E5">
        <w:rPr>
          <w:sz w:val="22"/>
          <w:szCs w:val="22"/>
          <w:lang w:eastAsia="ko-KR"/>
        </w:rPr>
        <w:t xml:space="preserve"> CCMs to submit all observer data on bycatch to assist with </w:t>
      </w:r>
      <w:r w:rsidR="00A16680" w:rsidRPr="004635E5">
        <w:rPr>
          <w:sz w:val="22"/>
          <w:szCs w:val="22"/>
          <w:lang w:eastAsia="ko-KR"/>
        </w:rPr>
        <w:t xml:space="preserve">the </w:t>
      </w:r>
      <w:r w:rsidRPr="004635E5">
        <w:rPr>
          <w:sz w:val="22"/>
          <w:szCs w:val="22"/>
          <w:lang w:eastAsia="ko-KR"/>
        </w:rPr>
        <w:t xml:space="preserve">project. </w:t>
      </w:r>
      <w:r w:rsidR="00A16680" w:rsidRPr="004635E5">
        <w:rPr>
          <w:sz w:val="22"/>
          <w:szCs w:val="22"/>
          <w:lang w:eastAsia="ko-KR"/>
        </w:rPr>
        <w:t>They stated that a</w:t>
      </w:r>
      <w:r w:rsidRPr="004635E5">
        <w:rPr>
          <w:sz w:val="22"/>
          <w:szCs w:val="22"/>
          <w:lang w:eastAsia="ko-KR"/>
        </w:rPr>
        <w:t>chieving adequate temporal and spatial coverage for bycat</w:t>
      </w:r>
      <w:r w:rsidR="00A16680" w:rsidRPr="004635E5">
        <w:rPr>
          <w:sz w:val="22"/>
          <w:szCs w:val="22"/>
          <w:lang w:eastAsia="ko-KR"/>
        </w:rPr>
        <w:t>ch of rare events required</w:t>
      </w:r>
      <w:r w:rsidRPr="004635E5">
        <w:rPr>
          <w:sz w:val="22"/>
          <w:szCs w:val="22"/>
          <w:lang w:eastAsia="ko-KR"/>
        </w:rPr>
        <w:t xml:space="preserve"> a much higher level of observer coverage than </w:t>
      </w:r>
      <w:r w:rsidR="00A16680" w:rsidRPr="004635E5">
        <w:rPr>
          <w:sz w:val="22"/>
          <w:szCs w:val="22"/>
          <w:lang w:eastAsia="ko-KR"/>
        </w:rPr>
        <w:t xml:space="preserve">was </w:t>
      </w:r>
      <w:r w:rsidRPr="004635E5">
        <w:rPr>
          <w:sz w:val="22"/>
          <w:szCs w:val="22"/>
          <w:lang w:eastAsia="ko-KR"/>
        </w:rPr>
        <w:t xml:space="preserve">currently the target for </w:t>
      </w:r>
      <w:r w:rsidR="004421B3" w:rsidRPr="004635E5">
        <w:rPr>
          <w:sz w:val="22"/>
          <w:szCs w:val="22"/>
          <w:lang w:eastAsia="ko-KR"/>
        </w:rPr>
        <w:t>longline</w:t>
      </w:r>
      <w:r w:rsidR="00A16680" w:rsidRPr="004635E5">
        <w:rPr>
          <w:sz w:val="22"/>
          <w:szCs w:val="22"/>
          <w:lang w:eastAsia="ko-KR"/>
        </w:rPr>
        <w:t xml:space="preserve">, and </w:t>
      </w:r>
      <w:r w:rsidRPr="004635E5">
        <w:rPr>
          <w:sz w:val="22"/>
          <w:szCs w:val="22"/>
          <w:lang w:eastAsia="ko-KR"/>
        </w:rPr>
        <w:t>encourage</w:t>
      </w:r>
      <w:r w:rsidR="00A16680" w:rsidRPr="004635E5">
        <w:rPr>
          <w:sz w:val="22"/>
          <w:szCs w:val="22"/>
          <w:lang w:eastAsia="ko-KR"/>
        </w:rPr>
        <w:t>d</w:t>
      </w:r>
      <w:r w:rsidRPr="004635E5">
        <w:rPr>
          <w:sz w:val="22"/>
          <w:szCs w:val="22"/>
          <w:lang w:eastAsia="ko-KR"/>
        </w:rPr>
        <w:t xml:space="preserve"> CCMs to look for ways to enhance this</w:t>
      </w:r>
      <w:r w:rsidR="00A16680" w:rsidRPr="004635E5">
        <w:rPr>
          <w:sz w:val="22"/>
          <w:szCs w:val="22"/>
          <w:lang w:eastAsia="ko-KR"/>
        </w:rPr>
        <w:t>,</w:t>
      </w:r>
      <w:r w:rsidRPr="004635E5">
        <w:rPr>
          <w:sz w:val="22"/>
          <w:szCs w:val="22"/>
          <w:lang w:eastAsia="ko-KR"/>
        </w:rPr>
        <w:t xml:space="preserve"> such as through </w:t>
      </w:r>
      <w:r w:rsidR="00A16680" w:rsidRPr="004635E5">
        <w:rPr>
          <w:sz w:val="22"/>
          <w:szCs w:val="22"/>
          <w:lang w:eastAsia="ko-KR"/>
        </w:rPr>
        <w:t>EM</w:t>
      </w:r>
      <w:r w:rsidRPr="004635E5">
        <w:rPr>
          <w:sz w:val="22"/>
          <w:szCs w:val="22"/>
          <w:lang w:eastAsia="ko-KR"/>
        </w:rPr>
        <w:t>.</w:t>
      </w:r>
      <w:r w:rsidR="00A16680" w:rsidRPr="004635E5">
        <w:rPr>
          <w:sz w:val="22"/>
          <w:szCs w:val="22"/>
          <w:lang w:eastAsia="ko-KR"/>
        </w:rPr>
        <w:t xml:space="preserve"> They noted a</w:t>
      </w:r>
      <w:r w:rsidRPr="004635E5">
        <w:rPr>
          <w:sz w:val="22"/>
          <w:szCs w:val="22"/>
          <w:lang w:eastAsia="ko-KR"/>
        </w:rPr>
        <w:t xml:space="preserve"> number of other issues will be useful to highlight at the end of the project to help inform the Commission on how to facilitate better data capture methods </w:t>
      </w:r>
      <w:r w:rsidR="00A16680" w:rsidRPr="004635E5">
        <w:rPr>
          <w:sz w:val="22"/>
          <w:szCs w:val="22"/>
          <w:lang w:eastAsia="ko-KR"/>
        </w:rPr>
        <w:t xml:space="preserve">to develop </w:t>
      </w:r>
      <w:r w:rsidRPr="004635E5">
        <w:rPr>
          <w:sz w:val="22"/>
          <w:szCs w:val="22"/>
          <w:lang w:eastAsia="ko-KR"/>
        </w:rPr>
        <w:t>a better estimate of total mortality across years</w:t>
      </w:r>
      <w:r w:rsidR="00A16680" w:rsidRPr="004635E5">
        <w:rPr>
          <w:sz w:val="22"/>
          <w:szCs w:val="22"/>
          <w:lang w:eastAsia="ko-KR"/>
        </w:rPr>
        <w:t>,</w:t>
      </w:r>
      <w:r w:rsidRPr="004635E5">
        <w:rPr>
          <w:sz w:val="22"/>
          <w:szCs w:val="22"/>
          <w:lang w:eastAsia="ko-KR"/>
        </w:rPr>
        <w:t xml:space="preserve"> and eventually an understanding the effectiveness of mitigation</w:t>
      </w:r>
      <w:r w:rsidR="00A16680" w:rsidRPr="004635E5">
        <w:rPr>
          <w:sz w:val="22"/>
          <w:szCs w:val="22"/>
          <w:lang w:eastAsia="ko-KR"/>
        </w:rPr>
        <w:t>.</w:t>
      </w:r>
    </w:p>
    <w:p w14:paraId="4BF7DA4D" w14:textId="77777777" w:rsidR="00DB2BB1" w:rsidRPr="004635E5" w:rsidRDefault="00DB2BB1" w:rsidP="006633A8">
      <w:pPr>
        <w:autoSpaceDE w:val="0"/>
        <w:autoSpaceDN w:val="0"/>
        <w:adjustRightInd w:val="0"/>
        <w:snapToGrid w:val="0"/>
        <w:jc w:val="both"/>
        <w:rPr>
          <w:sz w:val="22"/>
          <w:szCs w:val="22"/>
          <w:lang w:eastAsia="ko-KR"/>
        </w:rPr>
      </w:pPr>
    </w:p>
    <w:p w14:paraId="7E7E9E33" w14:textId="77777777" w:rsidR="00952EC1" w:rsidRPr="004635E5" w:rsidRDefault="00D0468E" w:rsidP="00580EA4">
      <w:pPr>
        <w:numPr>
          <w:ilvl w:val="0"/>
          <w:numId w:val="18"/>
        </w:numPr>
        <w:autoSpaceDE w:val="0"/>
        <w:autoSpaceDN w:val="0"/>
        <w:adjustRightInd w:val="0"/>
        <w:snapToGrid w:val="0"/>
        <w:ind w:left="0" w:firstLine="0"/>
        <w:jc w:val="both"/>
        <w:rPr>
          <w:sz w:val="22"/>
          <w:szCs w:val="22"/>
          <w:lang w:eastAsia="ko-KR"/>
        </w:rPr>
      </w:pPr>
      <w:r w:rsidRPr="004635E5">
        <w:rPr>
          <w:sz w:val="22"/>
          <w:szCs w:val="22"/>
          <w:lang w:eastAsia="ko-KR"/>
        </w:rPr>
        <w:t xml:space="preserve">D. </w:t>
      </w:r>
      <w:r w:rsidR="00237D97" w:rsidRPr="004635E5">
        <w:rPr>
          <w:sz w:val="22"/>
          <w:szCs w:val="22"/>
          <w:lang w:eastAsia="ko-KR"/>
        </w:rPr>
        <w:t xml:space="preserve">Ochi </w:t>
      </w:r>
      <w:r w:rsidR="008C1958" w:rsidRPr="004635E5">
        <w:rPr>
          <w:sz w:val="22"/>
          <w:szCs w:val="22"/>
          <w:lang w:eastAsia="ko-KR"/>
        </w:rPr>
        <w:t xml:space="preserve">presented </w:t>
      </w:r>
      <w:r w:rsidR="00961208">
        <w:rPr>
          <w:rFonts w:eastAsia="Calibri"/>
          <w:sz w:val="22"/>
          <w:szCs w:val="22"/>
          <w:lang w:val="en-AU"/>
        </w:rPr>
        <w:t>SC14-</w:t>
      </w:r>
      <w:r w:rsidR="008C1958" w:rsidRPr="004635E5">
        <w:rPr>
          <w:sz w:val="22"/>
          <w:szCs w:val="22"/>
          <w:lang w:eastAsia="ko-KR"/>
        </w:rPr>
        <w:t xml:space="preserve">EB-WP-09 </w:t>
      </w:r>
      <w:r w:rsidR="008C1958" w:rsidRPr="004635E5">
        <w:rPr>
          <w:bCs/>
          <w:i/>
          <w:sz w:val="22"/>
          <w:szCs w:val="22"/>
          <w:lang w:eastAsia="ko-KR"/>
        </w:rPr>
        <w:t>Preliminary assessment of the risk of albatrosses by longline fisheries</w:t>
      </w:r>
      <w:r w:rsidR="00197717" w:rsidRPr="004635E5">
        <w:rPr>
          <w:bCs/>
          <w:i/>
          <w:sz w:val="22"/>
          <w:szCs w:val="22"/>
          <w:lang w:eastAsia="ko-KR"/>
        </w:rPr>
        <w:t>,</w:t>
      </w:r>
      <w:r w:rsidR="00197717" w:rsidRPr="004635E5">
        <w:rPr>
          <w:sz w:val="22"/>
          <w:szCs w:val="22"/>
          <w:lang w:val="en-GB" w:eastAsia="ko-KR"/>
        </w:rPr>
        <w:t xml:space="preserve"> which </w:t>
      </w:r>
      <w:r w:rsidR="00197717" w:rsidRPr="004635E5">
        <w:rPr>
          <w:bCs/>
          <w:sz w:val="22"/>
          <w:szCs w:val="22"/>
          <w:lang w:val="en-GB" w:eastAsia="ko-KR"/>
        </w:rPr>
        <w:t>presents the preliminary results of applying the Spatially Explicit Fisheries Risk Assessment framework (SEFRA) developed by New Zealand to assess the total mortality of great albatross caused by tuna longline operations in the southern hemisphere. The impacts of these mortalities on the sustainability of these albatross species are also considered</w:t>
      </w:r>
      <w:r w:rsidR="00A16680" w:rsidRPr="004635E5">
        <w:rPr>
          <w:bCs/>
          <w:sz w:val="22"/>
          <w:szCs w:val="22"/>
          <w:lang w:val="en-GB" w:eastAsia="ko-KR"/>
        </w:rPr>
        <w:t xml:space="preserve">. </w:t>
      </w:r>
      <w:r w:rsidR="00A16680" w:rsidRPr="004635E5">
        <w:rPr>
          <w:sz w:val="22"/>
          <w:szCs w:val="22"/>
          <w:lang w:eastAsia="ko-KR"/>
        </w:rPr>
        <w:t>Seabird bycatch was model</w:t>
      </w:r>
      <w:r w:rsidR="00197717" w:rsidRPr="004635E5">
        <w:rPr>
          <w:sz w:val="22"/>
          <w:szCs w:val="22"/>
          <w:lang w:eastAsia="ko-KR"/>
        </w:rPr>
        <w:t>ed as a multiplier of a temporal and spatial overlap between fishing and seabird distributions. Seabird catchability, defined as a combination of seabird-specific vulnerability to fishing gears and gear</w:t>
      </w:r>
      <w:r w:rsidR="002A6696">
        <w:rPr>
          <w:rFonts w:eastAsiaTheme="minorEastAsia" w:hint="eastAsia"/>
          <w:sz w:val="22"/>
          <w:szCs w:val="22"/>
          <w:lang w:eastAsia="ko-KR"/>
        </w:rPr>
        <w:t xml:space="preserve"> </w:t>
      </w:r>
      <w:r w:rsidR="00197717" w:rsidRPr="004635E5">
        <w:rPr>
          <w:sz w:val="22"/>
          <w:szCs w:val="22"/>
          <w:lang w:eastAsia="ko-KR"/>
        </w:rPr>
        <w:t>specific seabird catchability, was first estimated using the Japanese and New Zealand onboard observer data, and then applied to the total fishing efforts in the southern hemisphere for assessment of total annual bycatch mortality (ABM). High ABMs and high expected risks of longline bycatch to seabird population were identified in particular for wandering albatross, among seven species examined, even though the results were considered preliminary. The analysis demonstrated the capacity of SEFRA to deliver robust estimates of ABM and their impacts to seabird population from limited observer bycatch data, although some constraints and uncertainties, in particular for rarely caught species, remained. The authors intend to further develop the methodology and invite</w:t>
      </w:r>
      <w:r w:rsidR="00A16680" w:rsidRPr="004635E5">
        <w:rPr>
          <w:sz w:val="22"/>
          <w:szCs w:val="22"/>
          <w:lang w:eastAsia="ko-KR"/>
        </w:rPr>
        <w:t>d</w:t>
      </w:r>
      <w:r w:rsidR="00197717" w:rsidRPr="004635E5">
        <w:rPr>
          <w:sz w:val="22"/>
          <w:szCs w:val="22"/>
          <w:lang w:eastAsia="ko-KR"/>
        </w:rPr>
        <w:t xml:space="preserve"> interested WCPFC members to join the collaboration.</w:t>
      </w:r>
    </w:p>
    <w:p w14:paraId="5A880FC0" w14:textId="77777777" w:rsidR="00DB2BB1" w:rsidRPr="004635E5" w:rsidRDefault="00DB2BB1" w:rsidP="006633A8">
      <w:pPr>
        <w:autoSpaceDE w:val="0"/>
        <w:autoSpaceDN w:val="0"/>
        <w:adjustRightInd w:val="0"/>
        <w:snapToGrid w:val="0"/>
        <w:jc w:val="both"/>
        <w:rPr>
          <w:sz w:val="22"/>
          <w:szCs w:val="22"/>
          <w:lang w:eastAsia="ko-KR"/>
        </w:rPr>
      </w:pPr>
    </w:p>
    <w:p w14:paraId="30D11117" w14:textId="77777777" w:rsidR="0019369B" w:rsidRPr="004635E5" w:rsidRDefault="00783FEB" w:rsidP="006633A8">
      <w:pPr>
        <w:pStyle w:val="Default"/>
        <w:snapToGrid w:val="0"/>
        <w:jc w:val="both"/>
        <w:rPr>
          <w:b/>
          <w:sz w:val="22"/>
          <w:szCs w:val="22"/>
          <w:lang w:eastAsia="ko-KR"/>
        </w:rPr>
      </w:pPr>
      <w:r w:rsidRPr="004635E5">
        <w:rPr>
          <w:b/>
          <w:sz w:val="22"/>
          <w:szCs w:val="22"/>
          <w:lang w:eastAsia="ko-KR"/>
        </w:rPr>
        <w:t>Discussion</w:t>
      </w:r>
    </w:p>
    <w:p w14:paraId="5F897F1D" w14:textId="77777777" w:rsidR="00DB2BB1" w:rsidRPr="004635E5" w:rsidRDefault="00DB2BB1" w:rsidP="006633A8">
      <w:pPr>
        <w:pStyle w:val="Default"/>
        <w:snapToGrid w:val="0"/>
        <w:jc w:val="both"/>
        <w:rPr>
          <w:b/>
          <w:sz w:val="22"/>
          <w:szCs w:val="22"/>
          <w:lang w:eastAsia="ko-KR"/>
        </w:rPr>
      </w:pPr>
    </w:p>
    <w:p w14:paraId="38DE5A9F" w14:textId="77777777" w:rsidR="00237D97" w:rsidRPr="004635E5" w:rsidRDefault="00ED2DEC" w:rsidP="00580EA4">
      <w:pPr>
        <w:numPr>
          <w:ilvl w:val="0"/>
          <w:numId w:val="18"/>
        </w:numPr>
        <w:autoSpaceDE w:val="0"/>
        <w:autoSpaceDN w:val="0"/>
        <w:adjustRightInd w:val="0"/>
        <w:snapToGrid w:val="0"/>
        <w:ind w:left="0" w:firstLine="0"/>
        <w:jc w:val="both"/>
        <w:rPr>
          <w:sz w:val="22"/>
          <w:szCs w:val="22"/>
          <w:lang w:eastAsia="ko-KR"/>
        </w:rPr>
      </w:pPr>
      <w:r w:rsidRPr="004635E5">
        <w:rPr>
          <w:sz w:val="22"/>
          <w:szCs w:val="22"/>
          <w:lang w:eastAsia="ko-KR"/>
        </w:rPr>
        <w:t>BirdLife thank</w:t>
      </w:r>
      <w:r w:rsidR="00A16680" w:rsidRPr="004635E5">
        <w:rPr>
          <w:sz w:val="22"/>
          <w:szCs w:val="22"/>
          <w:lang w:eastAsia="ko-KR"/>
        </w:rPr>
        <w:t>ed</w:t>
      </w:r>
      <w:r w:rsidRPr="004635E5">
        <w:rPr>
          <w:sz w:val="22"/>
          <w:szCs w:val="22"/>
          <w:lang w:eastAsia="ko-KR"/>
        </w:rPr>
        <w:t xml:space="preserve"> Japan and </w:t>
      </w:r>
      <w:r w:rsidR="002E39E9" w:rsidRPr="004635E5">
        <w:rPr>
          <w:sz w:val="22"/>
          <w:szCs w:val="22"/>
          <w:lang w:eastAsia="ko-KR"/>
        </w:rPr>
        <w:t>New Zealand</w:t>
      </w:r>
      <w:r w:rsidRPr="004635E5">
        <w:rPr>
          <w:sz w:val="22"/>
          <w:szCs w:val="22"/>
          <w:lang w:eastAsia="ko-KR"/>
        </w:rPr>
        <w:t xml:space="preserve"> for their hard work </w:t>
      </w:r>
      <w:r w:rsidR="00A16680" w:rsidRPr="004635E5">
        <w:rPr>
          <w:sz w:val="22"/>
          <w:szCs w:val="22"/>
          <w:lang w:eastAsia="ko-KR"/>
        </w:rPr>
        <w:t xml:space="preserve">in </w:t>
      </w:r>
      <w:r w:rsidRPr="004635E5">
        <w:rPr>
          <w:sz w:val="22"/>
          <w:szCs w:val="22"/>
          <w:lang w:eastAsia="ko-KR"/>
        </w:rPr>
        <w:t xml:space="preserve">developing </w:t>
      </w:r>
      <w:r w:rsidR="00A16680" w:rsidRPr="004635E5">
        <w:rPr>
          <w:sz w:val="22"/>
          <w:szCs w:val="22"/>
          <w:lang w:eastAsia="ko-KR"/>
        </w:rPr>
        <w:t xml:space="preserve">a </w:t>
      </w:r>
      <w:r w:rsidRPr="004635E5">
        <w:rPr>
          <w:sz w:val="22"/>
          <w:szCs w:val="22"/>
          <w:lang w:eastAsia="ko-KR"/>
        </w:rPr>
        <w:t xml:space="preserve">global, spatially explicit fisheries risk assessment for albatrosses. </w:t>
      </w:r>
      <w:r w:rsidR="00A16680" w:rsidRPr="004635E5">
        <w:rPr>
          <w:sz w:val="22"/>
          <w:szCs w:val="22"/>
          <w:lang w:eastAsia="ko-KR"/>
        </w:rPr>
        <w:t>The</w:t>
      </w:r>
      <w:r w:rsidR="00621989">
        <w:rPr>
          <w:rFonts w:eastAsiaTheme="minorEastAsia" w:hint="eastAsia"/>
          <w:sz w:val="22"/>
          <w:szCs w:val="22"/>
          <w:lang w:eastAsia="ko-KR"/>
        </w:rPr>
        <w:t>y</w:t>
      </w:r>
      <w:r w:rsidR="00A16680" w:rsidRPr="004635E5">
        <w:rPr>
          <w:sz w:val="22"/>
          <w:szCs w:val="22"/>
          <w:lang w:eastAsia="ko-KR"/>
        </w:rPr>
        <w:t xml:space="preserve"> acknowledged </w:t>
      </w:r>
      <w:r w:rsidRPr="004635E5">
        <w:rPr>
          <w:sz w:val="22"/>
          <w:szCs w:val="22"/>
          <w:lang w:eastAsia="ko-KR"/>
        </w:rPr>
        <w:t>the authors recognise</w:t>
      </w:r>
      <w:r w:rsidR="00A16680" w:rsidRPr="004635E5">
        <w:rPr>
          <w:sz w:val="22"/>
          <w:szCs w:val="22"/>
          <w:lang w:eastAsia="ko-KR"/>
        </w:rPr>
        <w:t>d</w:t>
      </w:r>
      <w:r w:rsidRPr="004635E5">
        <w:rPr>
          <w:sz w:val="22"/>
          <w:szCs w:val="22"/>
          <w:lang w:eastAsia="ko-KR"/>
        </w:rPr>
        <w:t xml:space="preserve"> some potential limitations of </w:t>
      </w:r>
      <w:r w:rsidR="00A16680" w:rsidRPr="004635E5">
        <w:rPr>
          <w:sz w:val="22"/>
          <w:szCs w:val="22"/>
          <w:lang w:eastAsia="ko-KR"/>
        </w:rPr>
        <w:t xml:space="preserve">the </w:t>
      </w:r>
      <w:r w:rsidRPr="004635E5">
        <w:rPr>
          <w:sz w:val="22"/>
          <w:szCs w:val="22"/>
          <w:lang w:eastAsia="ko-KR"/>
        </w:rPr>
        <w:t>model</w:t>
      </w:r>
      <w:r w:rsidR="00A16680" w:rsidRPr="004635E5">
        <w:rPr>
          <w:sz w:val="22"/>
          <w:szCs w:val="22"/>
          <w:lang w:eastAsia="ko-KR"/>
        </w:rPr>
        <w:t>,</w:t>
      </w:r>
      <w:r w:rsidRPr="004635E5">
        <w:rPr>
          <w:sz w:val="22"/>
          <w:szCs w:val="22"/>
          <w:lang w:eastAsia="ko-KR"/>
        </w:rPr>
        <w:t xml:space="preserve"> and </w:t>
      </w:r>
      <w:r w:rsidR="00A16680" w:rsidRPr="004635E5">
        <w:rPr>
          <w:sz w:val="22"/>
          <w:szCs w:val="22"/>
          <w:lang w:eastAsia="ko-KR"/>
        </w:rPr>
        <w:t xml:space="preserve">noted their </w:t>
      </w:r>
      <w:r w:rsidRPr="004635E5">
        <w:rPr>
          <w:sz w:val="22"/>
          <w:szCs w:val="22"/>
          <w:lang w:eastAsia="ko-KR"/>
        </w:rPr>
        <w:t>concerns include such issues as cryptic mortality</w:t>
      </w:r>
      <w:r w:rsidR="00F81EF0">
        <w:rPr>
          <w:sz w:val="22"/>
          <w:szCs w:val="22"/>
          <w:lang w:eastAsia="ko-KR"/>
        </w:rPr>
        <w:t xml:space="preserve"> </w:t>
      </w:r>
      <w:r w:rsidRPr="004635E5">
        <w:rPr>
          <w:sz w:val="22"/>
          <w:szCs w:val="22"/>
          <w:lang w:eastAsia="ko-KR"/>
        </w:rPr>
        <w:t>(e.g. 70% of albatrosses are returned dead</w:t>
      </w:r>
      <w:r w:rsidR="00A16680" w:rsidRPr="004635E5">
        <w:rPr>
          <w:sz w:val="22"/>
          <w:szCs w:val="22"/>
          <w:lang w:eastAsia="ko-KR"/>
        </w:rPr>
        <w:t>,</w:t>
      </w:r>
      <w:r w:rsidRPr="004635E5">
        <w:rPr>
          <w:sz w:val="22"/>
          <w:szCs w:val="22"/>
          <w:lang w:eastAsia="ko-KR"/>
        </w:rPr>
        <w:t xml:space="preserve"> suggesting a high potential loss factor), identification of albatrosses, </w:t>
      </w:r>
      <w:r w:rsidR="00A16680" w:rsidRPr="004635E5">
        <w:rPr>
          <w:sz w:val="22"/>
          <w:szCs w:val="22"/>
          <w:lang w:eastAsia="ko-KR"/>
        </w:rPr>
        <w:t xml:space="preserve">and </w:t>
      </w:r>
      <w:r w:rsidRPr="004635E5">
        <w:rPr>
          <w:sz w:val="22"/>
          <w:szCs w:val="22"/>
          <w:lang w:eastAsia="ko-KR"/>
        </w:rPr>
        <w:t xml:space="preserve">bird distribution data would be enhanced by use of tracking data rather than range data. </w:t>
      </w:r>
      <w:r w:rsidR="00A16680" w:rsidRPr="004635E5">
        <w:rPr>
          <w:sz w:val="22"/>
          <w:szCs w:val="22"/>
          <w:lang w:eastAsia="ko-KR"/>
        </w:rPr>
        <w:t xml:space="preserve">They also </w:t>
      </w:r>
      <w:r w:rsidRPr="004635E5">
        <w:rPr>
          <w:sz w:val="22"/>
          <w:szCs w:val="22"/>
          <w:lang w:eastAsia="ko-KR"/>
        </w:rPr>
        <w:t>suggest</w:t>
      </w:r>
      <w:r w:rsidR="00A16680" w:rsidRPr="004635E5">
        <w:rPr>
          <w:sz w:val="22"/>
          <w:szCs w:val="22"/>
          <w:lang w:eastAsia="ko-KR"/>
        </w:rPr>
        <w:t>ed</w:t>
      </w:r>
      <w:r w:rsidRPr="004635E5">
        <w:rPr>
          <w:sz w:val="22"/>
          <w:szCs w:val="22"/>
          <w:lang w:eastAsia="ko-KR"/>
        </w:rPr>
        <w:t xml:space="preserve"> </w:t>
      </w:r>
      <w:r w:rsidR="00A16680" w:rsidRPr="004635E5">
        <w:rPr>
          <w:sz w:val="22"/>
          <w:szCs w:val="22"/>
          <w:lang w:eastAsia="ko-KR"/>
        </w:rPr>
        <w:t xml:space="preserve">that </w:t>
      </w:r>
      <w:r w:rsidRPr="004635E5">
        <w:rPr>
          <w:sz w:val="22"/>
          <w:szCs w:val="22"/>
          <w:lang w:eastAsia="ko-KR"/>
        </w:rPr>
        <w:t xml:space="preserve">a recovery factor be included in the model to allow more threatened species to recover. </w:t>
      </w:r>
      <w:r w:rsidR="00A16680" w:rsidRPr="004635E5">
        <w:rPr>
          <w:sz w:val="22"/>
          <w:szCs w:val="22"/>
          <w:lang w:eastAsia="ko-KR"/>
        </w:rPr>
        <w:t xml:space="preserve">They </w:t>
      </w:r>
      <w:r w:rsidRPr="004635E5">
        <w:rPr>
          <w:sz w:val="22"/>
          <w:szCs w:val="22"/>
          <w:lang w:eastAsia="ko-KR"/>
        </w:rPr>
        <w:t>support</w:t>
      </w:r>
      <w:r w:rsidR="00A16680" w:rsidRPr="004635E5">
        <w:rPr>
          <w:sz w:val="22"/>
          <w:szCs w:val="22"/>
          <w:lang w:eastAsia="ko-KR"/>
        </w:rPr>
        <w:t>ed</w:t>
      </w:r>
      <w:r w:rsidRPr="004635E5">
        <w:rPr>
          <w:sz w:val="22"/>
          <w:szCs w:val="22"/>
          <w:lang w:eastAsia="ko-KR"/>
        </w:rPr>
        <w:t xml:space="preserve"> </w:t>
      </w:r>
      <w:r w:rsidR="00A16680" w:rsidRPr="004635E5">
        <w:rPr>
          <w:sz w:val="22"/>
          <w:szCs w:val="22"/>
          <w:lang w:eastAsia="ko-KR"/>
        </w:rPr>
        <w:t>continued</w:t>
      </w:r>
      <w:r w:rsidRPr="004635E5">
        <w:rPr>
          <w:sz w:val="22"/>
          <w:szCs w:val="22"/>
          <w:lang w:eastAsia="ko-KR"/>
        </w:rPr>
        <w:t xml:space="preserve"> </w:t>
      </w:r>
      <w:r w:rsidR="00A16680" w:rsidRPr="004635E5">
        <w:rPr>
          <w:sz w:val="22"/>
          <w:szCs w:val="22"/>
          <w:lang w:eastAsia="ko-KR"/>
        </w:rPr>
        <w:t>work to further develop and refine</w:t>
      </w:r>
      <w:r w:rsidRPr="004635E5">
        <w:rPr>
          <w:sz w:val="22"/>
          <w:szCs w:val="22"/>
          <w:lang w:eastAsia="ko-KR"/>
        </w:rPr>
        <w:t xml:space="preserve"> </w:t>
      </w:r>
      <w:r w:rsidR="00A16680" w:rsidRPr="004635E5">
        <w:rPr>
          <w:sz w:val="22"/>
          <w:szCs w:val="22"/>
          <w:lang w:eastAsia="ko-KR"/>
        </w:rPr>
        <w:t xml:space="preserve">the </w:t>
      </w:r>
      <w:r w:rsidRPr="004635E5">
        <w:rPr>
          <w:sz w:val="22"/>
          <w:szCs w:val="22"/>
          <w:lang w:eastAsia="ko-KR"/>
        </w:rPr>
        <w:t>model and look</w:t>
      </w:r>
      <w:r w:rsidR="00A16680" w:rsidRPr="004635E5">
        <w:rPr>
          <w:sz w:val="22"/>
          <w:szCs w:val="22"/>
          <w:lang w:eastAsia="ko-KR"/>
        </w:rPr>
        <w:t>ed</w:t>
      </w:r>
      <w:r w:rsidRPr="004635E5">
        <w:rPr>
          <w:sz w:val="22"/>
          <w:szCs w:val="22"/>
          <w:lang w:eastAsia="ko-KR"/>
        </w:rPr>
        <w:t xml:space="preserve"> forward to future iterations at SC.</w:t>
      </w:r>
      <w:r w:rsidR="00A16680" w:rsidRPr="004635E5">
        <w:rPr>
          <w:sz w:val="22"/>
          <w:szCs w:val="22"/>
          <w:lang w:eastAsia="ko-KR"/>
        </w:rPr>
        <w:t xml:space="preserve"> D. Ochi </w:t>
      </w:r>
      <w:r w:rsidR="00237D97" w:rsidRPr="004635E5">
        <w:rPr>
          <w:sz w:val="22"/>
          <w:szCs w:val="22"/>
          <w:lang w:eastAsia="ko-KR"/>
        </w:rPr>
        <w:t>stated that this was a preliminary analysis for improvement of the model, and that they were working to reduce the data gaps.</w:t>
      </w:r>
    </w:p>
    <w:p w14:paraId="45474C7E" w14:textId="77777777" w:rsidR="00DB2BB1" w:rsidRPr="004635E5" w:rsidRDefault="00DB2BB1" w:rsidP="006633A8">
      <w:pPr>
        <w:autoSpaceDE w:val="0"/>
        <w:autoSpaceDN w:val="0"/>
        <w:adjustRightInd w:val="0"/>
        <w:snapToGrid w:val="0"/>
        <w:jc w:val="both"/>
        <w:rPr>
          <w:sz w:val="22"/>
          <w:szCs w:val="22"/>
          <w:lang w:eastAsia="ko-KR"/>
        </w:rPr>
      </w:pPr>
    </w:p>
    <w:p w14:paraId="5B4E6998" w14:textId="77777777" w:rsidR="00E0021C" w:rsidRPr="004635E5" w:rsidRDefault="00E0021C" w:rsidP="00580EA4">
      <w:pPr>
        <w:numPr>
          <w:ilvl w:val="0"/>
          <w:numId w:val="18"/>
        </w:numPr>
        <w:autoSpaceDE w:val="0"/>
        <w:autoSpaceDN w:val="0"/>
        <w:adjustRightInd w:val="0"/>
        <w:snapToGrid w:val="0"/>
        <w:ind w:left="0" w:firstLine="0"/>
        <w:jc w:val="both"/>
        <w:rPr>
          <w:sz w:val="22"/>
          <w:szCs w:val="22"/>
          <w:lang w:eastAsia="ko-KR"/>
        </w:rPr>
      </w:pPr>
      <w:r w:rsidRPr="004635E5">
        <w:rPr>
          <w:sz w:val="22"/>
          <w:szCs w:val="22"/>
          <w:lang w:eastAsia="ko-KR"/>
        </w:rPr>
        <w:t>I. Debski (New Zealand) presented SC14-EB-WB-11 Rev</w:t>
      </w:r>
      <w:r w:rsidR="002A6696">
        <w:rPr>
          <w:rFonts w:eastAsiaTheme="minorEastAsia" w:hint="eastAsia"/>
          <w:sz w:val="22"/>
          <w:szCs w:val="22"/>
          <w:lang w:eastAsia="ko-KR"/>
        </w:rPr>
        <w:t>.</w:t>
      </w:r>
      <w:r w:rsidRPr="004635E5">
        <w:rPr>
          <w:sz w:val="22"/>
          <w:szCs w:val="22"/>
          <w:lang w:eastAsia="ko-KR"/>
        </w:rPr>
        <w:t xml:space="preserve">1, </w:t>
      </w:r>
      <w:r w:rsidR="00677491" w:rsidRPr="004635E5">
        <w:rPr>
          <w:i/>
          <w:sz w:val="22"/>
          <w:szCs w:val="22"/>
          <w:lang w:val="en-NZ" w:eastAsia="ko-KR"/>
        </w:rPr>
        <w:t>Update on bycatch risks to seabirds in the Western Pacific.</w:t>
      </w:r>
      <w:r w:rsidR="00677491" w:rsidRPr="004635E5">
        <w:rPr>
          <w:b/>
          <w:i/>
          <w:sz w:val="22"/>
          <w:szCs w:val="22"/>
          <w:lang w:val="en-NZ" w:eastAsia="ko-KR"/>
        </w:rPr>
        <w:t xml:space="preserve"> </w:t>
      </w:r>
      <w:r w:rsidR="00621989">
        <w:rPr>
          <w:rFonts w:eastAsiaTheme="minorEastAsia" w:hint="eastAsia"/>
          <w:sz w:val="22"/>
          <w:szCs w:val="22"/>
          <w:lang w:eastAsia="ko-KR"/>
        </w:rPr>
        <w:t>T</w:t>
      </w:r>
      <w:r w:rsidRPr="004635E5">
        <w:rPr>
          <w:sz w:val="22"/>
          <w:szCs w:val="22"/>
          <w:lang w:eastAsia="ko-KR"/>
        </w:rPr>
        <w:t>he Antipodes Island population of the Antipodean wandering albatross has been identified as one of just nine global priority populations for conservation management by the Agreement on Conservation of Albatrosses and Petrels, and it was uplisted on IUCN Redlist to Endangered. At current rates of decline, this population will be functionally extinct in 20 years (SC13-EB-IP-11 Rev 1). Debski highlighted previous advice to SC on seabird distribution and their overlap with fishing effort, including information provided to SC12 on various New Zealand-breeding albatross and petrel species (SC12-EB-WP-09 Rev 1). The earlier information included data on the bycatch of banded Antipodean wandering albatross bycaught in WCPFC longline fisheries in the area between 25°S and 30°S. Debski highlighted that the decline of Antipodean wandering albatross was coincident with a shift in foraging distribution further to the north and east into the Pacific, where they overlap additional longline fishing effort. New information, collected in 2018, on their foraging distribution was presented. While limited in sample size (nine birds), and using geolocation tracking devices (which have an inherent level of uncertainty in the distributional information collected), the distribution pattern presented supported earlier data, showing the range extended up to and north of 25°S. In this area between 25°S and 30°S there is overlap with considerable WCPFC longline fishing effort, primarily in international waters, that pose bycatch risk as seabird mitigation use is not currently required by CMM</w:t>
      </w:r>
      <w:r w:rsidR="00A4588D">
        <w:rPr>
          <w:sz w:val="22"/>
          <w:szCs w:val="22"/>
          <w:lang w:eastAsia="ko-KR"/>
        </w:rPr>
        <w:t xml:space="preserve"> </w:t>
      </w:r>
      <w:r w:rsidRPr="004635E5">
        <w:rPr>
          <w:sz w:val="22"/>
          <w:szCs w:val="22"/>
          <w:lang w:eastAsia="ko-KR"/>
        </w:rPr>
        <w:t>2017-06 in this area.</w:t>
      </w:r>
    </w:p>
    <w:p w14:paraId="6A35D4AB" w14:textId="77777777" w:rsidR="00DB2BB1" w:rsidRPr="004635E5" w:rsidRDefault="00DB2BB1" w:rsidP="006633A8">
      <w:pPr>
        <w:autoSpaceDE w:val="0"/>
        <w:autoSpaceDN w:val="0"/>
        <w:adjustRightInd w:val="0"/>
        <w:snapToGrid w:val="0"/>
        <w:jc w:val="both"/>
        <w:rPr>
          <w:sz w:val="22"/>
          <w:szCs w:val="22"/>
          <w:lang w:eastAsia="ko-KR"/>
        </w:rPr>
      </w:pPr>
    </w:p>
    <w:p w14:paraId="2E2C85E7" w14:textId="77777777" w:rsidR="008C1958" w:rsidRPr="004635E5" w:rsidRDefault="00696DFB" w:rsidP="006633A8">
      <w:pPr>
        <w:pStyle w:val="Default"/>
        <w:snapToGrid w:val="0"/>
        <w:jc w:val="both"/>
        <w:rPr>
          <w:b/>
          <w:sz w:val="22"/>
          <w:szCs w:val="22"/>
          <w:lang w:eastAsia="ko-KR"/>
        </w:rPr>
      </w:pPr>
      <w:r w:rsidRPr="004635E5">
        <w:rPr>
          <w:b/>
          <w:sz w:val="22"/>
          <w:szCs w:val="22"/>
          <w:lang w:eastAsia="ko-KR"/>
        </w:rPr>
        <w:t>Discussion</w:t>
      </w:r>
    </w:p>
    <w:p w14:paraId="7D19CA54" w14:textId="77777777" w:rsidR="00DB2BB1" w:rsidRPr="004635E5" w:rsidRDefault="00DB2BB1" w:rsidP="006633A8">
      <w:pPr>
        <w:pStyle w:val="Default"/>
        <w:snapToGrid w:val="0"/>
        <w:jc w:val="both"/>
        <w:rPr>
          <w:b/>
          <w:sz w:val="22"/>
          <w:szCs w:val="22"/>
          <w:lang w:eastAsia="ko-KR"/>
        </w:rPr>
      </w:pPr>
    </w:p>
    <w:p w14:paraId="6173E96E" w14:textId="77777777" w:rsidR="00952EC1" w:rsidRPr="004635E5" w:rsidRDefault="00237D97" w:rsidP="00580EA4">
      <w:pPr>
        <w:numPr>
          <w:ilvl w:val="0"/>
          <w:numId w:val="18"/>
        </w:numPr>
        <w:autoSpaceDE w:val="0"/>
        <w:autoSpaceDN w:val="0"/>
        <w:adjustRightInd w:val="0"/>
        <w:snapToGrid w:val="0"/>
        <w:ind w:left="0" w:firstLine="0"/>
        <w:jc w:val="both"/>
        <w:rPr>
          <w:sz w:val="22"/>
          <w:szCs w:val="22"/>
          <w:lang w:eastAsia="ko-KR"/>
        </w:rPr>
      </w:pPr>
      <w:r w:rsidRPr="004635E5">
        <w:rPr>
          <w:sz w:val="22"/>
          <w:szCs w:val="22"/>
          <w:lang w:eastAsia="ko-KR"/>
        </w:rPr>
        <w:t xml:space="preserve">Chinese Taipei </w:t>
      </w:r>
      <w:r w:rsidR="00952EC1" w:rsidRPr="004635E5">
        <w:rPr>
          <w:sz w:val="22"/>
          <w:szCs w:val="22"/>
          <w:lang w:eastAsia="ko-KR"/>
        </w:rPr>
        <w:t>inquired how</w:t>
      </w:r>
      <w:r w:rsidR="00696DFB" w:rsidRPr="004635E5">
        <w:rPr>
          <w:sz w:val="22"/>
          <w:szCs w:val="22"/>
          <w:lang w:eastAsia="ko-KR"/>
        </w:rPr>
        <w:t xml:space="preserve"> the kernel </w:t>
      </w:r>
      <w:r w:rsidR="00952EC1" w:rsidRPr="004635E5">
        <w:rPr>
          <w:sz w:val="22"/>
          <w:szCs w:val="22"/>
          <w:lang w:eastAsia="ko-KR"/>
        </w:rPr>
        <w:t xml:space="preserve">was </w:t>
      </w:r>
      <w:r w:rsidRPr="004635E5">
        <w:rPr>
          <w:sz w:val="22"/>
          <w:szCs w:val="22"/>
          <w:lang w:eastAsia="ko-KR"/>
        </w:rPr>
        <w:t>derived</w:t>
      </w:r>
      <w:r w:rsidR="00952EC1" w:rsidRPr="004635E5">
        <w:rPr>
          <w:sz w:val="22"/>
          <w:szCs w:val="22"/>
          <w:lang w:eastAsia="ko-KR"/>
        </w:rPr>
        <w:t>.</w:t>
      </w:r>
      <w:r w:rsidR="00696DFB" w:rsidRPr="004635E5">
        <w:rPr>
          <w:sz w:val="22"/>
          <w:szCs w:val="22"/>
          <w:lang w:eastAsia="ko-KR"/>
        </w:rPr>
        <w:t xml:space="preserve"> I</w:t>
      </w:r>
      <w:r w:rsidR="00A16680" w:rsidRPr="004635E5">
        <w:rPr>
          <w:sz w:val="22"/>
          <w:szCs w:val="22"/>
          <w:lang w:eastAsia="ko-KR"/>
        </w:rPr>
        <w:t>.</w:t>
      </w:r>
      <w:r w:rsidR="00952EC1" w:rsidRPr="004635E5">
        <w:rPr>
          <w:sz w:val="22"/>
          <w:szCs w:val="22"/>
          <w:lang w:eastAsia="ko-KR"/>
        </w:rPr>
        <w:t xml:space="preserve"> Debski replied that </w:t>
      </w:r>
      <w:r w:rsidR="00696DFB" w:rsidRPr="004635E5">
        <w:rPr>
          <w:sz w:val="22"/>
          <w:szCs w:val="22"/>
          <w:lang w:eastAsia="ko-KR"/>
        </w:rPr>
        <w:t xml:space="preserve">the kernel </w:t>
      </w:r>
      <w:r w:rsidR="00952EC1" w:rsidRPr="004635E5">
        <w:rPr>
          <w:sz w:val="22"/>
          <w:szCs w:val="22"/>
          <w:lang w:eastAsia="ko-KR"/>
        </w:rPr>
        <w:t xml:space="preserve">was </w:t>
      </w:r>
      <w:r w:rsidR="00696DFB" w:rsidRPr="004635E5">
        <w:rPr>
          <w:sz w:val="22"/>
          <w:szCs w:val="22"/>
          <w:lang w:eastAsia="ko-KR"/>
        </w:rPr>
        <w:t>used to derive estimated locations</w:t>
      </w:r>
      <w:r w:rsidRPr="004635E5">
        <w:rPr>
          <w:sz w:val="22"/>
          <w:szCs w:val="22"/>
          <w:lang w:eastAsia="ko-KR"/>
        </w:rPr>
        <w:t xml:space="preserve"> using the light data </w:t>
      </w:r>
      <w:r w:rsidR="00952EC1" w:rsidRPr="004635E5">
        <w:rPr>
          <w:sz w:val="22"/>
          <w:szCs w:val="22"/>
          <w:lang w:eastAsia="ko-KR"/>
        </w:rPr>
        <w:t xml:space="preserve">from the Global Location Sensing (GSL) tags. </w:t>
      </w:r>
    </w:p>
    <w:p w14:paraId="36CF16F9" w14:textId="77777777" w:rsidR="00DB2BB1" w:rsidRPr="004635E5" w:rsidRDefault="00DB2BB1" w:rsidP="006633A8">
      <w:pPr>
        <w:autoSpaceDE w:val="0"/>
        <w:autoSpaceDN w:val="0"/>
        <w:adjustRightInd w:val="0"/>
        <w:snapToGrid w:val="0"/>
        <w:jc w:val="both"/>
        <w:rPr>
          <w:sz w:val="22"/>
          <w:szCs w:val="22"/>
          <w:lang w:eastAsia="ko-KR"/>
        </w:rPr>
      </w:pPr>
    </w:p>
    <w:p w14:paraId="41B12B85" w14:textId="77777777" w:rsidR="00696DFB" w:rsidRPr="004635E5" w:rsidRDefault="00E41955" w:rsidP="00580EA4">
      <w:pPr>
        <w:numPr>
          <w:ilvl w:val="0"/>
          <w:numId w:val="18"/>
        </w:numPr>
        <w:autoSpaceDE w:val="0"/>
        <w:autoSpaceDN w:val="0"/>
        <w:adjustRightInd w:val="0"/>
        <w:snapToGrid w:val="0"/>
        <w:ind w:left="0" w:firstLine="0"/>
        <w:jc w:val="both"/>
        <w:rPr>
          <w:sz w:val="22"/>
          <w:szCs w:val="22"/>
          <w:lang w:eastAsia="ko-KR"/>
        </w:rPr>
      </w:pPr>
      <w:r w:rsidRPr="004635E5">
        <w:rPr>
          <w:sz w:val="22"/>
          <w:szCs w:val="22"/>
          <w:lang w:eastAsia="ko-KR"/>
        </w:rPr>
        <w:t>Aus</w:t>
      </w:r>
      <w:r w:rsidR="00237D97" w:rsidRPr="004635E5">
        <w:rPr>
          <w:sz w:val="22"/>
          <w:szCs w:val="22"/>
          <w:lang w:eastAsia="ko-KR"/>
        </w:rPr>
        <w:t>tralia</w:t>
      </w:r>
      <w:r w:rsidR="00952EC1" w:rsidRPr="004635E5">
        <w:rPr>
          <w:sz w:val="22"/>
          <w:szCs w:val="22"/>
          <w:lang w:eastAsia="ko-KR"/>
        </w:rPr>
        <w:t xml:space="preserve"> commented that </w:t>
      </w:r>
      <w:r w:rsidR="00237D97" w:rsidRPr="004635E5">
        <w:rPr>
          <w:sz w:val="22"/>
          <w:szCs w:val="22"/>
          <w:lang w:eastAsia="ko-KR"/>
        </w:rPr>
        <w:t xml:space="preserve">clustering was to be expected near nesting grounds, and </w:t>
      </w:r>
      <w:r w:rsidR="00952EC1" w:rsidRPr="004635E5">
        <w:rPr>
          <w:sz w:val="22"/>
          <w:szCs w:val="22"/>
          <w:lang w:eastAsia="ko-KR"/>
        </w:rPr>
        <w:t xml:space="preserve">it would be helpful </w:t>
      </w:r>
      <w:r w:rsidRPr="004635E5">
        <w:rPr>
          <w:sz w:val="22"/>
          <w:szCs w:val="22"/>
          <w:lang w:eastAsia="ko-KR"/>
        </w:rPr>
        <w:t>to include some t</w:t>
      </w:r>
      <w:r w:rsidR="00952EC1" w:rsidRPr="004635E5">
        <w:rPr>
          <w:sz w:val="22"/>
          <w:szCs w:val="22"/>
          <w:lang w:eastAsia="ko-KR"/>
        </w:rPr>
        <w:t xml:space="preserve">racked </w:t>
      </w:r>
      <w:r w:rsidRPr="004635E5">
        <w:rPr>
          <w:sz w:val="22"/>
          <w:szCs w:val="22"/>
          <w:lang w:eastAsia="ko-KR"/>
        </w:rPr>
        <w:t>data plots</w:t>
      </w:r>
      <w:r w:rsidR="00237D97" w:rsidRPr="004635E5">
        <w:rPr>
          <w:sz w:val="22"/>
          <w:szCs w:val="22"/>
          <w:lang w:eastAsia="ko-KR"/>
        </w:rPr>
        <w:t>. J</w:t>
      </w:r>
      <w:r w:rsidR="00B72E0A" w:rsidRPr="004635E5">
        <w:rPr>
          <w:sz w:val="22"/>
          <w:szCs w:val="22"/>
          <w:lang w:eastAsia="ko-KR"/>
        </w:rPr>
        <w:t>apan indicated that although the paper premised it was based on new data, it recorded</w:t>
      </w:r>
      <w:r w:rsidR="007D065E" w:rsidRPr="004635E5">
        <w:rPr>
          <w:sz w:val="22"/>
          <w:szCs w:val="22"/>
          <w:lang w:eastAsia="ko-KR"/>
        </w:rPr>
        <w:t xml:space="preserve"> just</w:t>
      </w:r>
      <w:r w:rsidR="00B72E0A" w:rsidRPr="004635E5">
        <w:rPr>
          <w:sz w:val="22"/>
          <w:szCs w:val="22"/>
          <w:lang w:eastAsia="ko-KR"/>
        </w:rPr>
        <w:t xml:space="preserve"> 9 birds</w:t>
      </w:r>
      <w:r w:rsidR="007D065E" w:rsidRPr="004635E5">
        <w:rPr>
          <w:sz w:val="22"/>
          <w:szCs w:val="22"/>
          <w:lang w:eastAsia="ko-KR"/>
        </w:rPr>
        <w:t>,</w:t>
      </w:r>
      <w:r w:rsidR="00B72E0A" w:rsidRPr="004635E5">
        <w:rPr>
          <w:sz w:val="22"/>
          <w:szCs w:val="22"/>
          <w:lang w:eastAsia="ko-KR"/>
        </w:rPr>
        <w:t xml:space="preserve"> and it was difficult to assess the actual data given the presentation</w:t>
      </w:r>
      <w:r w:rsidRPr="004635E5">
        <w:rPr>
          <w:sz w:val="22"/>
          <w:szCs w:val="22"/>
          <w:lang w:eastAsia="ko-KR"/>
        </w:rPr>
        <w:t>.</w:t>
      </w:r>
      <w:r w:rsidR="00B72E0A" w:rsidRPr="004635E5">
        <w:rPr>
          <w:sz w:val="22"/>
          <w:szCs w:val="22"/>
          <w:lang w:eastAsia="ko-KR"/>
        </w:rPr>
        <w:t xml:space="preserve"> I. Debski explained the nature of </w:t>
      </w:r>
      <w:r w:rsidRPr="004635E5">
        <w:rPr>
          <w:sz w:val="22"/>
          <w:szCs w:val="22"/>
          <w:lang w:eastAsia="ko-KR"/>
        </w:rPr>
        <w:t xml:space="preserve">GLS data, </w:t>
      </w:r>
      <w:r w:rsidR="007D065E" w:rsidRPr="004635E5">
        <w:rPr>
          <w:sz w:val="22"/>
          <w:szCs w:val="22"/>
          <w:lang w:eastAsia="ko-KR"/>
        </w:rPr>
        <w:t xml:space="preserve">in which each day’s value or location </w:t>
      </w:r>
      <w:r w:rsidR="00B72E0A" w:rsidRPr="004635E5">
        <w:rPr>
          <w:sz w:val="22"/>
          <w:szCs w:val="22"/>
          <w:lang w:eastAsia="ko-KR"/>
        </w:rPr>
        <w:t xml:space="preserve">are not </w:t>
      </w:r>
      <w:r w:rsidRPr="004635E5">
        <w:rPr>
          <w:sz w:val="22"/>
          <w:szCs w:val="22"/>
          <w:lang w:eastAsia="ko-KR"/>
        </w:rPr>
        <w:t>recorded</w:t>
      </w:r>
      <w:r w:rsidR="00B72E0A" w:rsidRPr="004635E5">
        <w:rPr>
          <w:sz w:val="22"/>
          <w:szCs w:val="22"/>
          <w:lang w:eastAsia="ko-KR"/>
        </w:rPr>
        <w:t xml:space="preserve">, and </w:t>
      </w:r>
      <w:r w:rsidR="00A16680" w:rsidRPr="004635E5">
        <w:rPr>
          <w:sz w:val="22"/>
          <w:szCs w:val="22"/>
          <w:lang w:eastAsia="ko-KR"/>
        </w:rPr>
        <w:t>thus pr</w:t>
      </w:r>
      <w:r w:rsidR="007D065E" w:rsidRPr="004635E5">
        <w:rPr>
          <w:sz w:val="22"/>
          <w:szCs w:val="22"/>
          <w:lang w:eastAsia="ko-KR"/>
        </w:rPr>
        <w:t>ecise tracks could not be generated</w:t>
      </w:r>
      <w:r w:rsidR="00A16680" w:rsidRPr="004635E5">
        <w:rPr>
          <w:sz w:val="22"/>
          <w:szCs w:val="22"/>
          <w:lang w:eastAsia="ko-KR"/>
        </w:rPr>
        <w:t xml:space="preserve">. He explained </w:t>
      </w:r>
      <w:r w:rsidR="00B72E0A" w:rsidRPr="004635E5">
        <w:rPr>
          <w:sz w:val="22"/>
          <w:szCs w:val="22"/>
          <w:lang w:eastAsia="ko-KR"/>
        </w:rPr>
        <w:t>that the c</w:t>
      </w:r>
      <w:r w:rsidRPr="004635E5">
        <w:rPr>
          <w:sz w:val="22"/>
          <w:szCs w:val="22"/>
          <w:lang w:eastAsia="ko-KR"/>
        </w:rPr>
        <w:t xml:space="preserve">ommon practice </w:t>
      </w:r>
      <w:r w:rsidR="00B72E0A" w:rsidRPr="004635E5">
        <w:rPr>
          <w:sz w:val="22"/>
          <w:szCs w:val="22"/>
          <w:lang w:eastAsia="ko-KR"/>
        </w:rPr>
        <w:t xml:space="preserve">was </w:t>
      </w:r>
      <w:r w:rsidRPr="004635E5">
        <w:rPr>
          <w:sz w:val="22"/>
          <w:szCs w:val="22"/>
          <w:lang w:eastAsia="ko-KR"/>
        </w:rPr>
        <w:t xml:space="preserve">to present </w:t>
      </w:r>
      <w:r w:rsidR="00B72E0A" w:rsidRPr="004635E5">
        <w:rPr>
          <w:sz w:val="22"/>
          <w:szCs w:val="22"/>
          <w:lang w:eastAsia="ko-KR"/>
        </w:rPr>
        <w:t xml:space="preserve">data </w:t>
      </w:r>
      <w:r w:rsidRPr="004635E5">
        <w:rPr>
          <w:sz w:val="22"/>
          <w:szCs w:val="22"/>
          <w:lang w:eastAsia="ko-KR"/>
        </w:rPr>
        <w:t>kernels</w:t>
      </w:r>
      <w:r w:rsidR="00A16680" w:rsidRPr="004635E5">
        <w:rPr>
          <w:sz w:val="22"/>
          <w:szCs w:val="22"/>
          <w:lang w:eastAsia="ko-KR"/>
        </w:rPr>
        <w:t xml:space="preserve">, and </w:t>
      </w:r>
      <w:r w:rsidR="00B72E0A" w:rsidRPr="004635E5">
        <w:rPr>
          <w:sz w:val="22"/>
          <w:szCs w:val="22"/>
          <w:lang w:eastAsia="ko-KR"/>
        </w:rPr>
        <w:t xml:space="preserve">offered to </w:t>
      </w:r>
      <w:r w:rsidRPr="004635E5">
        <w:rPr>
          <w:sz w:val="22"/>
          <w:szCs w:val="22"/>
          <w:lang w:eastAsia="ko-KR"/>
        </w:rPr>
        <w:t xml:space="preserve">share </w:t>
      </w:r>
      <w:r w:rsidR="00B72E0A" w:rsidRPr="004635E5">
        <w:rPr>
          <w:sz w:val="22"/>
          <w:szCs w:val="22"/>
          <w:lang w:eastAsia="ko-KR"/>
        </w:rPr>
        <w:t>the data</w:t>
      </w:r>
      <w:r w:rsidRPr="004635E5">
        <w:rPr>
          <w:sz w:val="22"/>
          <w:szCs w:val="22"/>
          <w:lang w:eastAsia="ko-KR"/>
        </w:rPr>
        <w:t xml:space="preserve"> for </w:t>
      </w:r>
      <w:r w:rsidR="00B72E0A" w:rsidRPr="004635E5">
        <w:rPr>
          <w:sz w:val="22"/>
          <w:szCs w:val="22"/>
          <w:lang w:eastAsia="ko-KR"/>
        </w:rPr>
        <w:t>t</w:t>
      </w:r>
      <w:r w:rsidRPr="004635E5">
        <w:rPr>
          <w:sz w:val="22"/>
          <w:szCs w:val="22"/>
          <w:lang w:eastAsia="ko-KR"/>
        </w:rPr>
        <w:t>hose w</w:t>
      </w:r>
      <w:r w:rsidR="00B72E0A" w:rsidRPr="004635E5">
        <w:rPr>
          <w:sz w:val="22"/>
          <w:szCs w:val="22"/>
          <w:lang w:eastAsia="ko-KR"/>
        </w:rPr>
        <w:t>h</w:t>
      </w:r>
      <w:r w:rsidRPr="004635E5">
        <w:rPr>
          <w:sz w:val="22"/>
          <w:szCs w:val="22"/>
          <w:lang w:eastAsia="ko-KR"/>
        </w:rPr>
        <w:t>o want</w:t>
      </w:r>
      <w:r w:rsidR="00B72E0A" w:rsidRPr="004635E5">
        <w:rPr>
          <w:sz w:val="22"/>
          <w:szCs w:val="22"/>
          <w:lang w:eastAsia="ko-KR"/>
        </w:rPr>
        <w:t>ed</w:t>
      </w:r>
      <w:r w:rsidRPr="004635E5">
        <w:rPr>
          <w:sz w:val="22"/>
          <w:szCs w:val="22"/>
          <w:lang w:eastAsia="ko-KR"/>
        </w:rPr>
        <w:t xml:space="preserve"> to do an alt</w:t>
      </w:r>
      <w:r w:rsidR="00B72E0A" w:rsidRPr="004635E5">
        <w:rPr>
          <w:sz w:val="22"/>
          <w:szCs w:val="22"/>
          <w:lang w:eastAsia="ko-KR"/>
        </w:rPr>
        <w:t>ernate</w:t>
      </w:r>
      <w:r w:rsidRPr="004635E5">
        <w:rPr>
          <w:sz w:val="22"/>
          <w:szCs w:val="22"/>
          <w:lang w:eastAsia="ko-KR"/>
        </w:rPr>
        <w:t xml:space="preserve"> analysis. </w:t>
      </w:r>
    </w:p>
    <w:p w14:paraId="44DF57B8" w14:textId="77777777" w:rsidR="00DB2BB1" w:rsidRPr="004635E5" w:rsidRDefault="00DB2BB1" w:rsidP="006633A8">
      <w:pPr>
        <w:autoSpaceDE w:val="0"/>
        <w:autoSpaceDN w:val="0"/>
        <w:adjustRightInd w:val="0"/>
        <w:snapToGrid w:val="0"/>
        <w:jc w:val="both"/>
        <w:rPr>
          <w:sz w:val="22"/>
          <w:szCs w:val="22"/>
          <w:lang w:eastAsia="ko-KR"/>
        </w:rPr>
      </w:pPr>
    </w:p>
    <w:p w14:paraId="473515D8" w14:textId="77777777" w:rsidR="008C1958" w:rsidRPr="004635E5" w:rsidRDefault="00B72E0A" w:rsidP="00580EA4">
      <w:pPr>
        <w:numPr>
          <w:ilvl w:val="0"/>
          <w:numId w:val="18"/>
        </w:numPr>
        <w:autoSpaceDE w:val="0"/>
        <w:autoSpaceDN w:val="0"/>
        <w:adjustRightInd w:val="0"/>
        <w:snapToGrid w:val="0"/>
        <w:ind w:left="0" w:firstLine="0"/>
        <w:jc w:val="both"/>
        <w:rPr>
          <w:sz w:val="22"/>
          <w:szCs w:val="22"/>
          <w:lang w:eastAsia="ko-KR"/>
        </w:rPr>
      </w:pPr>
      <w:r w:rsidRPr="004635E5">
        <w:rPr>
          <w:sz w:val="22"/>
          <w:szCs w:val="22"/>
          <w:lang w:eastAsia="ko-KR"/>
        </w:rPr>
        <w:t xml:space="preserve">The </w:t>
      </w:r>
      <w:r w:rsidR="00E41955" w:rsidRPr="004635E5">
        <w:rPr>
          <w:sz w:val="22"/>
          <w:szCs w:val="22"/>
          <w:lang w:eastAsia="ko-KR"/>
        </w:rPr>
        <w:t>EU</w:t>
      </w:r>
      <w:r w:rsidRPr="004635E5">
        <w:rPr>
          <w:sz w:val="22"/>
          <w:szCs w:val="22"/>
          <w:lang w:eastAsia="ko-KR"/>
        </w:rPr>
        <w:t xml:space="preserve"> noted that it was very interesting to see this technology applied </w:t>
      </w:r>
      <w:r w:rsidR="00E41955" w:rsidRPr="004635E5">
        <w:rPr>
          <w:sz w:val="22"/>
          <w:szCs w:val="22"/>
          <w:lang w:eastAsia="ko-KR"/>
        </w:rPr>
        <w:t>for conservation purposes</w:t>
      </w:r>
      <w:r w:rsidRPr="004635E5">
        <w:rPr>
          <w:sz w:val="22"/>
          <w:szCs w:val="22"/>
          <w:lang w:eastAsia="ko-KR"/>
        </w:rPr>
        <w:t xml:space="preserve">, and asked </w:t>
      </w:r>
      <w:r w:rsidR="004555CF" w:rsidRPr="004635E5">
        <w:rPr>
          <w:sz w:val="22"/>
          <w:szCs w:val="22"/>
          <w:lang w:eastAsia="ko-KR"/>
        </w:rPr>
        <w:t xml:space="preserve">about the data error. I. Debski indicated the error was </w:t>
      </w:r>
      <w:r w:rsidR="00E41955" w:rsidRPr="004635E5">
        <w:rPr>
          <w:sz w:val="22"/>
          <w:szCs w:val="22"/>
          <w:lang w:eastAsia="ko-KR"/>
        </w:rPr>
        <w:t>+</w:t>
      </w:r>
      <w:r w:rsidR="004555CF" w:rsidRPr="004635E5">
        <w:rPr>
          <w:sz w:val="22"/>
          <w:szCs w:val="22"/>
          <w:lang w:eastAsia="ko-KR"/>
        </w:rPr>
        <w:t>/</w:t>
      </w:r>
      <w:r w:rsidR="00E41955" w:rsidRPr="004635E5">
        <w:rPr>
          <w:sz w:val="22"/>
          <w:szCs w:val="22"/>
          <w:lang w:eastAsia="ko-KR"/>
        </w:rPr>
        <w:t>- 200 km for any estim</w:t>
      </w:r>
      <w:r w:rsidR="004555CF" w:rsidRPr="004635E5">
        <w:rPr>
          <w:sz w:val="22"/>
          <w:szCs w:val="22"/>
          <w:lang w:eastAsia="ko-KR"/>
        </w:rPr>
        <w:t>a</w:t>
      </w:r>
      <w:r w:rsidR="00E41955" w:rsidRPr="004635E5">
        <w:rPr>
          <w:sz w:val="22"/>
          <w:szCs w:val="22"/>
          <w:lang w:eastAsia="ko-KR"/>
        </w:rPr>
        <w:t>ted point</w:t>
      </w:r>
      <w:r w:rsidR="004555CF" w:rsidRPr="004635E5">
        <w:rPr>
          <w:sz w:val="22"/>
          <w:szCs w:val="22"/>
          <w:lang w:eastAsia="ko-KR"/>
        </w:rPr>
        <w:t xml:space="preserve">, and that they would </w:t>
      </w:r>
      <w:r w:rsidR="00E41955" w:rsidRPr="004635E5">
        <w:rPr>
          <w:sz w:val="22"/>
          <w:szCs w:val="22"/>
          <w:lang w:eastAsia="ko-KR"/>
        </w:rPr>
        <w:t>be deploying GPS and GLS tags for each bird</w:t>
      </w:r>
      <w:r w:rsidR="004555CF" w:rsidRPr="004635E5">
        <w:rPr>
          <w:sz w:val="22"/>
          <w:szCs w:val="22"/>
          <w:lang w:eastAsia="ko-KR"/>
        </w:rPr>
        <w:t xml:space="preserve"> to better assess location </w:t>
      </w:r>
      <w:r w:rsidR="007D065E" w:rsidRPr="004635E5">
        <w:rPr>
          <w:sz w:val="22"/>
          <w:szCs w:val="22"/>
          <w:lang w:eastAsia="ko-KR"/>
        </w:rPr>
        <w:t>around equinoxes, when it was almost impossible to get estimates</w:t>
      </w:r>
      <w:r w:rsidR="00E41955" w:rsidRPr="004635E5">
        <w:rPr>
          <w:sz w:val="22"/>
          <w:szCs w:val="22"/>
          <w:lang w:eastAsia="ko-KR"/>
        </w:rPr>
        <w:t xml:space="preserve">. </w:t>
      </w:r>
      <w:r w:rsidR="00A16680" w:rsidRPr="004635E5">
        <w:rPr>
          <w:sz w:val="22"/>
          <w:szCs w:val="22"/>
          <w:lang w:eastAsia="ko-KR"/>
        </w:rPr>
        <w:t xml:space="preserve">FFA </w:t>
      </w:r>
      <w:r w:rsidR="004555CF" w:rsidRPr="004635E5">
        <w:rPr>
          <w:sz w:val="22"/>
          <w:szCs w:val="22"/>
          <w:lang w:eastAsia="ko-KR"/>
        </w:rPr>
        <w:t xml:space="preserve">acknowledged the </w:t>
      </w:r>
      <w:r w:rsidR="00376014" w:rsidRPr="004635E5">
        <w:rPr>
          <w:sz w:val="22"/>
          <w:szCs w:val="22"/>
          <w:lang w:eastAsia="ko-KR"/>
        </w:rPr>
        <w:t>small</w:t>
      </w:r>
      <w:r w:rsidR="004555CF" w:rsidRPr="004635E5">
        <w:rPr>
          <w:sz w:val="22"/>
          <w:szCs w:val="22"/>
          <w:lang w:eastAsia="ko-KR"/>
        </w:rPr>
        <w:t xml:space="preserve"> samp</w:t>
      </w:r>
      <w:r w:rsidR="00376014" w:rsidRPr="004635E5">
        <w:rPr>
          <w:sz w:val="22"/>
          <w:szCs w:val="22"/>
          <w:lang w:eastAsia="ko-KR"/>
        </w:rPr>
        <w:t xml:space="preserve">le size, but </w:t>
      </w:r>
      <w:r w:rsidR="004555CF" w:rsidRPr="004635E5">
        <w:rPr>
          <w:sz w:val="22"/>
          <w:szCs w:val="22"/>
          <w:lang w:eastAsia="ko-KR"/>
        </w:rPr>
        <w:t xml:space="preserve">noted that </w:t>
      </w:r>
      <w:r w:rsidR="00376014" w:rsidRPr="004635E5">
        <w:rPr>
          <w:sz w:val="22"/>
          <w:szCs w:val="22"/>
          <w:lang w:eastAsia="ko-KR"/>
        </w:rPr>
        <w:t xml:space="preserve">a precautionary approach </w:t>
      </w:r>
      <w:r w:rsidR="004555CF" w:rsidRPr="004635E5">
        <w:rPr>
          <w:sz w:val="22"/>
          <w:szCs w:val="22"/>
          <w:lang w:eastAsia="ko-KR"/>
        </w:rPr>
        <w:t xml:space="preserve">was </w:t>
      </w:r>
      <w:r w:rsidR="00376014" w:rsidRPr="004635E5">
        <w:rPr>
          <w:sz w:val="22"/>
          <w:szCs w:val="22"/>
          <w:lang w:eastAsia="ko-KR"/>
        </w:rPr>
        <w:t xml:space="preserve">needed, and </w:t>
      </w:r>
      <w:r w:rsidR="004555CF" w:rsidRPr="004635E5">
        <w:rPr>
          <w:sz w:val="22"/>
          <w:szCs w:val="22"/>
          <w:lang w:eastAsia="ko-KR"/>
        </w:rPr>
        <w:t xml:space="preserve">indicated they would </w:t>
      </w:r>
      <w:r w:rsidR="00376014" w:rsidRPr="004635E5">
        <w:rPr>
          <w:sz w:val="22"/>
          <w:szCs w:val="22"/>
          <w:lang w:eastAsia="ko-KR"/>
        </w:rPr>
        <w:t xml:space="preserve">bring a CMM to </w:t>
      </w:r>
      <w:r w:rsidR="004555CF" w:rsidRPr="004635E5">
        <w:rPr>
          <w:sz w:val="22"/>
          <w:szCs w:val="22"/>
          <w:lang w:eastAsia="ko-KR"/>
        </w:rPr>
        <w:t xml:space="preserve">WCPFC </w:t>
      </w:r>
      <w:r w:rsidR="00376014" w:rsidRPr="004635E5">
        <w:rPr>
          <w:sz w:val="22"/>
          <w:szCs w:val="22"/>
          <w:lang w:eastAsia="ko-KR"/>
        </w:rPr>
        <w:t xml:space="preserve">to </w:t>
      </w:r>
      <w:r w:rsidR="004555CF" w:rsidRPr="004635E5">
        <w:rPr>
          <w:sz w:val="22"/>
          <w:szCs w:val="22"/>
          <w:lang w:eastAsia="ko-KR"/>
        </w:rPr>
        <w:t xml:space="preserve">adjust the </w:t>
      </w:r>
      <w:r w:rsidR="00376014" w:rsidRPr="004635E5">
        <w:rPr>
          <w:sz w:val="22"/>
          <w:szCs w:val="22"/>
          <w:lang w:eastAsia="ko-KR"/>
        </w:rPr>
        <w:t xml:space="preserve">boundary line. </w:t>
      </w:r>
      <w:r w:rsidR="007D065E" w:rsidRPr="004635E5">
        <w:rPr>
          <w:sz w:val="22"/>
          <w:szCs w:val="22"/>
          <w:lang w:eastAsia="ko-KR"/>
        </w:rPr>
        <w:t xml:space="preserve">Australia noted the few individuals in the population, and commented that additional tagging might best be avoided. </w:t>
      </w:r>
    </w:p>
    <w:p w14:paraId="5A93DDCD" w14:textId="77777777" w:rsidR="00DB2BB1" w:rsidRPr="004635E5" w:rsidRDefault="00DB2BB1" w:rsidP="006633A8">
      <w:pPr>
        <w:autoSpaceDE w:val="0"/>
        <w:autoSpaceDN w:val="0"/>
        <w:adjustRightInd w:val="0"/>
        <w:snapToGrid w:val="0"/>
        <w:jc w:val="both"/>
        <w:rPr>
          <w:sz w:val="22"/>
          <w:szCs w:val="22"/>
          <w:lang w:eastAsia="ko-KR"/>
        </w:rPr>
      </w:pPr>
    </w:p>
    <w:p w14:paraId="75B0F59C" w14:textId="77777777" w:rsidR="000F4054" w:rsidRPr="004635E5" w:rsidRDefault="004555CF" w:rsidP="00580EA4">
      <w:pPr>
        <w:numPr>
          <w:ilvl w:val="0"/>
          <w:numId w:val="18"/>
        </w:numPr>
        <w:autoSpaceDE w:val="0"/>
        <w:autoSpaceDN w:val="0"/>
        <w:adjustRightInd w:val="0"/>
        <w:snapToGrid w:val="0"/>
        <w:ind w:left="0" w:firstLine="0"/>
        <w:jc w:val="both"/>
        <w:rPr>
          <w:sz w:val="22"/>
          <w:szCs w:val="22"/>
          <w:lang w:eastAsia="ko-KR"/>
        </w:rPr>
      </w:pPr>
      <w:r w:rsidRPr="004635E5">
        <w:rPr>
          <w:sz w:val="22"/>
          <w:szCs w:val="22"/>
          <w:lang w:eastAsia="ko-KR"/>
        </w:rPr>
        <w:t>Japan noted that the largest question in past discussion</w:t>
      </w:r>
      <w:r w:rsidR="00A16680" w:rsidRPr="004635E5">
        <w:rPr>
          <w:sz w:val="22"/>
          <w:szCs w:val="22"/>
          <w:lang w:eastAsia="ko-KR"/>
        </w:rPr>
        <w:t>s</w:t>
      </w:r>
      <w:r w:rsidRPr="004635E5">
        <w:rPr>
          <w:sz w:val="22"/>
          <w:szCs w:val="22"/>
          <w:lang w:eastAsia="ko-KR"/>
        </w:rPr>
        <w:t xml:space="preserve"> had been </w:t>
      </w:r>
      <w:r w:rsidR="00376014" w:rsidRPr="004635E5">
        <w:rPr>
          <w:sz w:val="22"/>
          <w:szCs w:val="22"/>
          <w:lang w:eastAsia="ko-KR"/>
        </w:rPr>
        <w:t xml:space="preserve">the </w:t>
      </w:r>
      <w:r w:rsidRPr="004635E5">
        <w:rPr>
          <w:sz w:val="22"/>
          <w:szCs w:val="22"/>
          <w:lang w:eastAsia="ko-KR"/>
        </w:rPr>
        <w:t xml:space="preserve">extent to which the species was present </w:t>
      </w:r>
      <w:r w:rsidR="00A16680" w:rsidRPr="004635E5">
        <w:rPr>
          <w:sz w:val="22"/>
          <w:szCs w:val="22"/>
          <w:lang w:eastAsia="ko-KR"/>
        </w:rPr>
        <w:t xml:space="preserve">north </w:t>
      </w:r>
      <w:r w:rsidR="00376014" w:rsidRPr="004635E5">
        <w:rPr>
          <w:sz w:val="22"/>
          <w:szCs w:val="22"/>
          <w:lang w:eastAsia="ko-KR"/>
        </w:rPr>
        <w:t>of 30</w:t>
      </w:r>
      <w:r w:rsidRPr="004635E5">
        <w:rPr>
          <w:sz w:val="22"/>
          <w:szCs w:val="22"/>
          <w:lang w:eastAsia="ko-KR"/>
        </w:rPr>
        <w:t xml:space="preserve">° </w:t>
      </w:r>
      <w:r w:rsidR="00376014" w:rsidRPr="004635E5">
        <w:rPr>
          <w:sz w:val="22"/>
          <w:szCs w:val="22"/>
          <w:lang w:eastAsia="ko-KR"/>
        </w:rPr>
        <w:t xml:space="preserve">S. </w:t>
      </w:r>
      <w:r w:rsidRPr="004635E5">
        <w:rPr>
          <w:sz w:val="22"/>
          <w:szCs w:val="22"/>
          <w:lang w:eastAsia="ko-KR"/>
        </w:rPr>
        <w:t>They noted they were s</w:t>
      </w:r>
      <w:r w:rsidR="00376014" w:rsidRPr="004635E5">
        <w:rPr>
          <w:sz w:val="22"/>
          <w:szCs w:val="22"/>
          <w:lang w:eastAsia="ko-KR"/>
        </w:rPr>
        <w:t xml:space="preserve">till </w:t>
      </w:r>
      <w:r w:rsidRPr="004635E5">
        <w:rPr>
          <w:sz w:val="22"/>
          <w:szCs w:val="22"/>
          <w:lang w:eastAsia="ko-KR"/>
        </w:rPr>
        <w:t xml:space="preserve">somewhat </w:t>
      </w:r>
      <w:r w:rsidR="00376014" w:rsidRPr="004635E5">
        <w:rPr>
          <w:sz w:val="22"/>
          <w:szCs w:val="22"/>
          <w:lang w:eastAsia="ko-KR"/>
        </w:rPr>
        <w:t xml:space="preserve">uncomfortable with how the data </w:t>
      </w:r>
      <w:r w:rsidRPr="004635E5">
        <w:rPr>
          <w:sz w:val="22"/>
          <w:szCs w:val="22"/>
          <w:lang w:eastAsia="ko-KR"/>
        </w:rPr>
        <w:t xml:space="preserve">was </w:t>
      </w:r>
      <w:r w:rsidR="00376014" w:rsidRPr="004635E5">
        <w:rPr>
          <w:sz w:val="22"/>
          <w:szCs w:val="22"/>
          <w:lang w:eastAsia="ko-KR"/>
        </w:rPr>
        <w:t>presented</w:t>
      </w:r>
      <w:r w:rsidR="000F4054" w:rsidRPr="004635E5">
        <w:rPr>
          <w:sz w:val="22"/>
          <w:szCs w:val="22"/>
          <w:lang w:eastAsia="ko-KR"/>
        </w:rPr>
        <w:t>, and</w:t>
      </w:r>
      <w:r w:rsidRPr="004635E5">
        <w:rPr>
          <w:sz w:val="22"/>
          <w:szCs w:val="22"/>
          <w:lang w:eastAsia="ko-KR"/>
        </w:rPr>
        <w:t xml:space="preserve"> would </w:t>
      </w:r>
      <w:r w:rsidR="00376014" w:rsidRPr="004635E5">
        <w:rPr>
          <w:sz w:val="22"/>
          <w:szCs w:val="22"/>
          <w:lang w:eastAsia="ko-KR"/>
        </w:rPr>
        <w:t xml:space="preserve">consult </w:t>
      </w:r>
      <w:r w:rsidRPr="004635E5">
        <w:rPr>
          <w:sz w:val="22"/>
          <w:szCs w:val="22"/>
          <w:lang w:eastAsia="ko-KR"/>
        </w:rPr>
        <w:t xml:space="preserve">further with the </w:t>
      </w:r>
      <w:r w:rsidR="002E39E9" w:rsidRPr="004635E5">
        <w:rPr>
          <w:sz w:val="22"/>
          <w:szCs w:val="22"/>
          <w:lang w:eastAsia="ko-KR"/>
        </w:rPr>
        <w:t>New Zealand</w:t>
      </w:r>
      <w:r w:rsidR="00376014" w:rsidRPr="004635E5">
        <w:rPr>
          <w:sz w:val="22"/>
          <w:szCs w:val="22"/>
          <w:lang w:eastAsia="ko-KR"/>
        </w:rPr>
        <w:t xml:space="preserve"> delegation </w:t>
      </w:r>
      <w:r w:rsidRPr="004635E5">
        <w:rPr>
          <w:sz w:val="22"/>
          <w:szCs w:val="22"/>
          <w:lang w:eastAsia="ko-KR"/>
        </w:rPr>
        <w:t>to better understand the issue</w:t>
      </w:r>
      <w:r w:rsidR="00376014" w:rsidRPr="004635E5">
        <w:rPr>
          <w:sz w:val="22"/>
          <w:szCs w:val="22"/>
          <w:lang w:eastAsia="ko-KR"/>
        </w:rPr>
        <w:t xml:space="preserve">. </w:t>
      </w:r>
    </w:p>
    <w:p w14:paraId="20CB5058" w14:textId="77777777" w:rsidR="00DB2BB1" w:rsidRPr="004635E5" w:rsidRDefault="00DB2BB1" w:rsidP="006633A8">
      <w:pPr>
        <w:autoSpaceDE w:val="0"/>
        <w:autoSpaceDN w:val="0"/>
        <w:adjustRightInd w:val="0"/>
        <w:snapToGrid w:val="0"/>
        <w:jc w:val="both"/>
        <w:rPr>
          <w:sz w:val="22"/>
          <w:szCs w:val="22"/>
          <w:lang w:eastAsia="ko-KR"/>
        </w:rPr>
      </w:pPr>
    </w:p>
    <w:p w14:paraId="32D5FE63" w14:textId="77777777" w:rsidR="000F4054" w:rsidRPr="004635E5" w:rsidRDefault="000F4054" w:rsidP="00580EA4">
      <w:pPr>
        <w:numPr>
          <w:ilvl w:val="0"/>
          <w:numId w:val="18"/>
        </w:numPr>
        <w:autoSpaceDE w:val="0"/>
        <w:autoSpaceDN w:val="0"/>
        <w:adjustRightInd w:val="0"/>
        <w:snapToGrid w:val="0"/>
        <w:ind w:left="0" w:firstLine="0"/>
        <w:jc w:val="both"/>
        <w:rPr>
          <w:sz w:val="22"/>
          <w:szCs w:val="22"/>
          <w:lang w:eastAsia="ko-KR"/>
        </w:rPr>
      </w:pPr>
      <w:r w:rsidRPr="004635E5">
        <w:rPr>
          <w:sz w:val="22"/>
          <w:szCs w:val="22"/>
          <w:lang w:eastAsia="ko-KR"/>
        </w:rPr>
        <w:t xml:space="preserve">Following further discussion from CCMs, the </w:t>
      </w:r>
      <w:r w:rsidR="002E39E9" w:rsidRPr="004635E5">
        <w:rPr>
          <w:sz w:val="22"/>
          <w:szCs w:val="22"/>
          <w:lang w:eastAsia="ko-KR"/>
        </w:rPr>
        <w:t>theme convener</w:t>
      </w:r>
      <w:r w:rsidRPr="004635E5">
        <w:rPr>
          <w:sz w:val="22"/>
          <w:szCs w:val="22"/>
          <w:lang w:eastAsia="ko-KR"/>
        </w:rPr>
        <w:t xml:space="preserve"> noted the proposed recommendations would be posted for consideration of CCMs, and the discussion would be continued. </w:t>
      </w:r>
    </w:p>
    <w:p w14:paraId="568CDB34" w14:textId="77777777" w:rsidR="00DB2BB1" w:rsidRDefault="00DB2BB1" w:rsidP="006633A8">
      <w:pPr>
        <w:autoSpaceDE w:val="0"/>
        <w:autoSpaceDN w:val="0"/>
        <w:adjustRightInd w:val="0"/>
        <w:snapToGrid w:val="0"/>
        <w:jc w:val="both"/>
        <w:rPr>
          <w:rFonts w:eastAsiaTheme="minorEastAsia"/>
          <w:sz w:val="22"/>
          <w:szCs w:val="22"/>
          <w:lang w:eastAsia="ko-KR"/>
        </w:rPr>
      </w:pPr>
    </w:p>
    <w:p w14:paraId="74C23F6A" w14:textId="77777777" w:rsidR="000E114B" w:rsidRPr="004635E5" w:rsidRDefault="000E114B" w:rsidP="006633A8">
      <w:pPr>
        <w:autoSpaceDE w:val="0"/>
        <w:autoSpaceDN w:val="0"/>
        <w:adjustRightInd w:val="0"/>
        <w:snapToGrid w:val="0"/>
        <w:jc w:val="both"/>
        <w:rPr>
          <w:rFonts w:eastAsiaTheme="minorEastAsia"/>
          <w:b/>
          <w:sz w:val="22"/>
          <w:szCs w:val="22"/>
          <w:lang w:eastAsia="ko-KR"/>
        </w:rPr>
      </w:pPr>
      <w:r w:rsidRPr="004635E5">
        <w:rPr>
          <w:b/>
          <w:sz w:val="22"/>
          <w:szCs w:val="22"/>
        </w:rPr>
        <w:t>Recommendation</w:t>
      </w:r>
      <w:r w:rsidRPr="004635E5">
        <w:rPr>
          <w:rFonts w:eastAsiaTheme="minorEastAsia"/>
          <w:b/>
          <w:sz w:val="22"/>
          <w:szCs w:val="22"/>
          <w:lang w:eastAsia="ko-KR"/>
        </w:rPr>
        <w:t>s</w:t>
      </w:r>
    </w:p>
    <w:p w14:paraId="5B07CA6E" w14:textId="77777777" w:rsidR="000E114B" w:rsidRPr="004635E5" w:rsidRDefault="000E114B" w:rsidP="006633A8">
      <w:pPr>
        <w:autoSpaceDE w:val="0"/>
        <w:autoSpaceDN w:val="0"/>
        <w:adjustRightInd w:val="0"/>
        <w:snapToGrid w:val="0"/>
        <w:jc w:val="both"/>
        <w:rPr>
          <w:b/>
          <w:sz w:val="22"/>
          <w:szCs w:val="22"/>
        </w:rPr>
      </w:pPr>
    </w:p>
    <w:p w14:paraId="54EDC0CA" w14:textId="77777777" w:rsidR="000E114B" w:rsidRPr="004635E5" w:rsidRDefault="000E114B" w:rsidP="00580EA4">
      <w:pPr>
        <w:numPr>
          <w:ilvl w:val="0"/>
          <w:numId w:val="18"/>
        </w:numPr>
        <w:autoSpaceDE w:val="0"/>
        <w:autoSpaceDN w:val="0"/>
        <w:adjustRightInd w:val="0"/>
        <w:snapToGrid w:val="0"/>
        <w:ind w:left="0" w:firstLine="0"/>
        <w:jc w:val="both"/>
        <w:rPr>
          <w:rFonts w:eastAsia="Calibri"/>
          <w:b/>
          <w:sz w:val="22"/>
          <w:szCs w:val="22"/>
          <w:lang w:val="en-GB"/>
        </w:rPr>
      </w:pPr>
      <w:r w:rsidRPr="004635E5">
        <w:rPr>
          <w:rFonts w:eastAsia="Calibri"/>
          <w:b/>
          <w:sz w:val="22"/>
          <w:szCs w:val="22"/>
          <w:lang w:val="en-GB"/>
        </w:rPr>
        <w:t>SC 14 noted that:</w:t>
      </w:r>
    </w:p>
    <w:p w14:paraId="4009F5A0" w14:textId="77777777" w:rsidR="000E114B" w:rsidRPr="004635E5" w:rsidRDefault="000E114B" w:rsidP="00580EA4">
      <w:pPr>
        <w:numPr>
          <w:ilvl w:val="0"/>
          <w:numId w:val="150"/>
        </w:numPr>
        <w:adjustRightInd w:val="0"/>
        <w:snapToGrid w:val="0"/>
        <w:rPr>
          <w:rFonts w:eastAsia="Calibri"/>
          <w:b/>
          <w:sz w:val="22"/>
          <w:szCs w:val="22"/>
          <w:lang w:val="en-GB"/>
        </w:rPr>
      </w:pPr>
      <w:r w:rsidRPr="004635E5">
        <w:rPr>
          <w:rFonts w:eastAsia="Calibri"/>
          <w:b/>
          <w:sz w:val="22"/>
          <w:szCs w:val="22"/>
          <w:lang w:val="en-GB"/>
        </w:rPr>
        <w:t xml:space="preserve">the most recent geolocation data on Antipodean wandering albatross, a priority population of conservation concern, indicates the extent of foraging up to and north of 25° S. </w:t>
      </w:r>
    </w:p>
    <w:p w14:paraId="5920D8B6" w14:textId="77777777" w:rsidR="000E114B" w:rsidRPr="004635E5" w:rsidRDefault="000E114B" w:rsidP="00580EA4">
      <w:pPr>
        <w:numPr>
          <w:ilvl w:val="0"/>
          <w:numId w:val="150"/>
        </w:numPr>
        <w:adjustRightInd w:val="0"/>
        <w:snapToGrid w:val="0"/>
        <w:rPr>
          <w:rFonts w:eastAsia="Calibri"/>
          <w:b/>
          <w:sz w:val="22"/>
          <w:szCs w:val="22"/>
          <w:lang w:val="en-GB"/>
        </w:rPr>
      </w:pPr>
      <w:r w:rsidRPr="004635E5">
        <w:rPr>
          <w:rFonts w:eastAsia="Calibri"/>
          <w:b/>
          <w:sz w:val="22"/>
          <w:szCs w:val="22"/>
          <w:lang w:val="en-GB"/>
        </w:rPr>
        <w:t xml:space="preserve">substantial fishing effort occurs in waters of the WCPFC area between 30°S and 25°S which is within the Antipodean wandering albatross foraging range. </w:t>
      </w:r>
    </w:p>
    <w:p w14:paraId="5C2692EF" w14:textId="77777777" w:rsidR="000E114B" w:rsidRPr="004635E5" w:rsidRDefault="000E114B" w:rsidP="00580EA4">
      <w:pPr>
        <w:numPr>
          <w:ilvl w:val="0"/>
          <w:numId w:val="150"/>
        </w:numPr>
        <w:adjustRightInd w:val="0"/>
        <w:snapToGrid w:val="0"/>
        <w:rPr>
          <w:rFonts w:eastAsia="Calibri"/>
          <w:b/>
          <w:sz w:val="22"/>
          <w:szCs w:val="22"/>
          <w:lang w:val="en-GB"/>
        </w:rPr>
      </w:pPr>
      <w:r w:rsidRPr="004635E5">
        <w:rPr>
          <w:rFonts w:eastAsia="Calibri"/>
          <w:b/>
          <w:sz w:val="22"/>
          <w:szCs w:val="22"/>
          <w:lang w:val="en-GB"/>
        </w:rPr>
        <w:t>as CMM</w:t>
      </w:r>
      <w:r w:rsidR="00C03231">
        <w:rPr>
          <w:rFonts w:eastAsiaTheme="minorEastAsia" w:hint="eastAsia"/>
          <w:b/>
          <w:sz w:val="22"/>
          <w:szCs w:val="22"/>
          <w:lang w:val="en-GB" w:eastAsia="ko-KR"/>
        </w:rPr>
        <w:t xml:space="preserve"> </w:t>
      </w:r>
      <w:r w:rsidRPr="004635E5">
        <w:rPr>
          <w:rFonts w:eastAsia="Calibri"/>
          <w:b/>
          <w:sz w:val="22"/>
          <w:szCs w:val="22"/>
          <w:lang w:val="en-GB"/>
        </w:rPr>
        <w:t xml:space="preserve">2017-06 does not require the use of seabird mitigation in the WCPFC area between 30°S and 25°S, this fishing effort poses a bycatch risk to Antipodean wandering albatross and other species foraging in the area. </w:t>
      </w:r>
    </w:p>
    <w:p w14:paraId="4EDFCC57" w14:textId="77777777" w:rsidR="000E114B" w:rsidRPr="004635E5" w:rsidRDefault="000E114B" w:rsidP="00580EA4">
      <w:pPr>
        <w:numPr>
          <w:ilvl w:val="0"/>
          <w:numId w:val="150"/>
        </w:numPr>
        <w:adjustRightInd w:val="0"/>
        <w:snapToGrid w:val="0"/>
        <w:rPr>
          <w:rFonts w:eastAsia="Calibri"/>
          <w:b/>
          <w:sz w:val="22"/>
          <w:szCs w:val="22"/>
          <w:lang w:val="en-GB"/>
        </w:rPr>
      </w:pPr>
      <w:r w:rsidRPr="004635E5">
        <w:rPr>
          <w:rFonts w:eastAsia="Calibri"/>
          <w:b/>
          <w:sz w:val="22"/>
          <w:szCs w:val="22"/>
          <w:lang w:val="en-GB"/>
        </w:rPr>
        <w:t>revision of CMM</w:t>
      </w:r>
      <w:r w:rsidR="00C03231">
        <w:rPr>
          <w:rFonts w:eastAsiaTheme="minorEastAsia" w:hint="eastAsia"/>
          <w:b/>
          <w:sz w:val="22"/>
          <w:szCs w:val="22"/>
          <w:lang w:val="en-GB" w:eastAsia="ko-KR"/>
        </w:rPr>
        <w:t xml:space="preserve"> </w:t>
      </w:r>
      <w:r w:rsidRPr="004635E5">
        <w:rPr>
          <w:rFonts w:eastAsia="Calibri"/>
          <w:b/>
          <w:sz w:val="22"/>
          <w:szCs w:val="22"/>
          <w:lang w:val="en-GB"/>
        </w:rPr>
        <w:t xml:space="preserve">2017-06 to extend the area of application up to 25°S will reduce the bycatch risks faced by Antipodean wandering albatross and other seabirds. </w:t>
      </w:r>
    </w:p>
    <w:p w14:paraId="7AAF068F" w14:textId="77777777" w:rsidR="000E114B" w:rsidRPr="004635E5" w:rsidRDefault="000E114B" w:rsidP="006633A8">
      <w:pPr>
        <w:adjustRightInd w:val="0"/>
        <w:snapToGrid w:val="0"/>
        <w:ind w:left="720"/>
        <w:rPr>
          <w:rFonts w:eastAsia="Calibri"/>
          <w:b/>
          <w:sz w:val="22"/>
          <w:szCs w:val="22"/>
          <w:lang w:val="en-GB"/>
        </w:rPr>
      </w:pPr>
    </w:p>
    <w:p w14:paraId="279B9DCD" w14:textId="77777777" w:rsidR="000E114B" w:rsidRPr="004635E5" w:rsidRDefault="000E114B" w:rsidP="00580EA4">
      <w:pPr>
        <w:numPr>
          <w:ilvl w:val="0"/>
          <w:numId w:val="18"/>
        </w:numPr>
        <w:autoSpaceDE w:val="0"/>
        <w:autoSpaceDN w:val="0"/>
        <w:adjustRightInd w:val="0"/>
        <w:snapToGrid w:val="0"/>
        <w:ind w:left="0" w:firstLine="0"/>
        <w:jc w:val="both"/>
        <w:rPr>
          <w:rFonts w:eastAsia="Calibri"/>
          <w:b/>
          <w:sz w:val="22"/>
          <w:szCs w:val="22"/>
          <w:lang w:val="en-GB"/>
        </w:rPr>
      </w:pPr>
      <w:r w:rsidRPr="004635E5">
        <w:rPr>
          <w:rFonts w:eastAsia="Calibri"/>
          <w:b/>
          <w:sz w:val="22"/>
          <w:szCs w:val="22"/>
          <w:lang w:val="en-GB"/>
        </w:rPr>
        <w:t>SC 14 recommended that</w:t>
      </w:r>
      <w:r w:rsidRPr="004635E5">
        <w:rPr>
          <w:rFonts w:eastAsiaTheme="minorEastAsia"/>
          <w:b/>
          <w:sz w:val="22"/>
          <w:szCs w:val="22"/>
          <w:lang w:val="en-GB" w:eastAsia="ko-KR"/>
        </w:rPr>
        <w:t xml:space="preserve"> </w:t>
      </w:r>
      <w:r w:rsidRPr="004635E5">
        <w:rPr>
          <w:rFonts w:eastAsia="Calibri"/>
          <w:b/>
          <w:sz w:val="22"/>
          <w:szCs w:val="22"/>
          <w:lang w:val="en-GB"/>
        </w:rPr>
        <w:t>TCC14 and WCPFC15 consider a revision to the southern area of application of CMM</w:t>
      </w:r>
      <w:r w:rsidR="00C03231">
        <w:rPr>
          <w:rFonts w:eastAsiaTheme="minorEastAsia" w:hint="eastAsia"/>
          <w:b/>
          <w:sz w:val="22"/>
          <w:szCs w:val="22"/>
          <w:lang w:val="en-GB" w:eastAsia="ko-KR"/>
        </w:rPr>
        <w:t xml:space="preserve"> </w:t>
      </w:r>
      <w:r w:rsidRPr="004635E5">
        <w:rPr>
          <w:rFonts w:eastAsia="Calibri"/>
          <w:b/>
          <w:sz w:val="22"/>
          <w:szCs w:val="22"/>
          <w:lang w:val="en-GB"/>
        </w:rPr>
        <w:t>2017-06, including implementation considerations of SIDS and Territories.</w:t>
      </w:r>
      <w:r w:rsidRPr="004635E5">
        <w:rPr>
          <w:rFonts w:eastAsiaTheme="minorEastAsia"/>
          <w:b/>
          <w:sz w:val="22"/>
          <w:szCs w:val="22"/>
          <w:lang w:val="en-GB" w:eastAsia="ko-KR"/>
        </w:rPr>
        <w:t xml:space="preserve"> </w:t>
      </w:r>
    </w:p>
    <w:p w14:paraId="18019313" w14:textId="77777777" w:rsidR="000E114B" w:rsidRPr="000E114B" w:rsidRDefault="000E114B" w:rsidP="006633A8">
      <w:pPr>
        <w:autoSpaceDE w:val="0"/>
        <w:autoSpaceDN w:val="0"/>
        <w:adjustRightInd w:val="0"/>
        <w:snapToGrid w:val="0"/>
        <w:jc w:val="both"/>
        <w:rPr>
          <w:rFonts w:eastAsiaTheme="minorEastAsia"/>
          <w:sz w:val="22"/>
          <w:szCs w:val="22"/>
          <w:lang w:eastAsia="ko-KR"/>
        </w:rPr>
      </w:pPr>
    </w:p>
    <w:p w14:paraId="0F73EBF7" w14:textId="77777777" w:rsidR="00A16680" w:rsidRPr="004635E5" w:rsidRDefault="00BF1269" w:rsidP="00580EA4">
      <w:pPr>
        <w:numPr>
          <w:ilvl w:val="0"/>
          <w:numId w:val="18"/>
        </w:numPr>
        <w:autoSpaceDE w:val="0"/>
        <w:autoSpaceDN w:val="0"/>
        <w:adjustRightInd w:val="0"/>
        <w:snapToGrid w:val="0"/>
        <w:ind w:left="0" w:firstLine="0"/>
        <w:jc w:val="both"/>
        <w:rPr>
          <w:sz w:val="22"/>
          <w:szCs w:val="22"/>
          <w:lang w:val="en-GB" w:eastAsia="ko-KR"/>
        </w:rPr>
      </w:pPr>
      <w:r w:rsidRPr="004635E5">
        <w:rPr>
          <w:sz w:val="22"/>
          <w:szCs w:val="22"/>
          <w:lang w:val="en-GB" w:eastAsia="ko-KR"/>
        </w:rPr>
        <w:t xml:space="preserve">A. Wolfaardt presented SC14-EB-WP-14 </w:t>
      </w:r>
      <w:r w:rsidRPr="004635E5">
        <w:rPr>
          <w:bCs/>
          <w:i/>
          <w:sz w:val="22"/>
          <w:szCs w:val="22"/>
          <w:lang w:eastAsia="ko-KR"/>
        </w:rPr>
        <w:t>conservation status and priorities for albatrosses and large petrels distributed in the WCPFC area</w:t>
      </w:r>
      <w:r w:rsidRPr="004635E5">
        <w:rPr>
          <w:sz w:val="22"/>
          <w:szCs w:val="22"/>
          <w:lang w:val="en-GB" w:eastAsia="ko-KR"/>
        </w:rPr>
        <w:t xml:space="preserve"> on the conservation status conservation status and priorities for albatrosses and large petrels distributed in the WCPFC area. Seabirds are amongst the most globally-threatened of all groups of birds, and conservation issues speciﬁc to albatrosses (Diomedeidae) and large petrels (</w:t>
      </w:r>
      <w:r w:rsidRPr="004635E5">
        <w:rPr>
          <w:i/>
          <w:sz w:val="22"/>
          <w:szCs w:val="22"/>
          <w:lang w:val="en-GB" w:eastAsia="ko-KR"/>
        </w:rPr>
        <w:t>Procellaria</w:t>
      </w:r>
      <w:r w:rsidRPr="004635E5">
        <w:rPr>
          <w:sz w:val="22"/>
          <w:szCs w:val="22"/>
          <w:lang w:val="en-GB" w:eastAsia="ko-KR"/>
        </w:rPr>
        <w:t xml:space="preserve"> spp. and giant petrels </w:t>
      </w:r>
      <w:r w:rsidRPr="004635E5">
        <w:rPr>
          <w:i/>
          <w:sz w:val="22"/>
          <w:szCs w:val="22"/>
          <w:lang w:val="en-GB" w:eastAsia="ko-KR"/>
        </w:rPr>
        <w:t>Macronectes</w:t>
      </w:r>
      <w:r w:rsidRPr="004635E5">
        <w:rPr>
          <w:sz w:val="22"/>
          <w:szCs w:val="22"/>
          <w:lang w:val="en-GB" w:eastAsia="ko-KR"/>
        </w:rPr>
        <w:t xml:space="preserve"> spp.) led to drafting of the multilateral Agreement on the Conservation of Albatrosses and Petrels (ACAP). </w:t>
      </w:r>
      <w:r w:rsidRPr="004635E5">
        <w:rPr>
          <w:sz w:val="22"/>
          <w:szCs w:val="22"/>
          <w:lang w:val="en-AU" w:eastAsia="ko-KR"/>
        </w:rPr>
        <w:t xml:space="preserve">Of the 22 ACAP species distributed in the WCPFC area, </w:t>
      </w:r>
      <w:r w:rsidRPr="004635E5">
        <w:rPr>
          <w:sz w:val="22"/>
          <w:szCs w:val="22"/>
          <w:lang w:val="en-GB" w:eastAsia="ko-KR"/>
        </w:rPr>
        <w:t>eight (</w:t>
      </w:r>
      <w:r w:rsidRPr="004635E5">
        <w:rPr>
          <w:i/>
          <w:sz w:val="22"/>
          <w:szCs w:val="22"/>
          <w:lang w:val="en-GB" w:eastAsia="ko-KR"/>
        </w:rPr>
        <w:t>c</w:t>
      </w:r>
      <w:r w:rsidRPr="004635E5">
        <w:rPr>
          <w:sz w:val="22"/>
          <w:szCs w:val="22"/>
          <w:lang w:val="en-GB" w:eastAsia="ko-KR"/>
        </w:rPr>
        <w:t>. 36%) are currently showing overall population declines over the last 20 years. Six species (</w:t>
      </w:r>
      <w:r w:rsidRPr="004635E5">
        <w:rPr>
          <w:i/>
          <w:sz w:val="22"/>
          <w:szCs w:val="22"/>
          <w:lang w:val="en-GB" w:eastAsia="ko-KR"/>
        </w:rPr>
        <w:t>c</w:t>
      </w:r>
      <w:r w:rsidRPr="004635E5">
        <w:rPr>
          <w:sz w:val="22"/>
          <w:szCs w:val="22"/>
          <w:lang w:val="en-GB" w:eastAsia="ko-KR"/>
        </w:rPr>
        <w:t>. 27%) appear to have been stable over that timeframe, and five species have increased in number</w:t>
      </w:r>
      <w:r w:rsidR="00A16680" w:rsidRPr="004635E5">
        <w:rPr>
          <w:sz w:val="22"/>
          <w:szCs w:val="22"/>
          <w:lang w:val="en-GB" w:eastAsia="ko-KR"/>
        </w:rPr>
        <w:t xml:space="preserve">. </w:t>
      </w:r>
      <w:r w:rsidRPr="004635E5">
        <w:rPr>
          <w:sz w:val="22"/>
          <w:szCs w:val="22"/>
          <w:lang w:val="en-GB" w:eastAsia="ko-KR"/>
        </w:rPr>
        <w:t>For three species (</w:t>
      </w:r>
      <w:r w:rsidRPr="004635E5">
        <w:rPr>
          <w:i/>
          <w:sz w:val="22"/>
          <w:szCs w:val="22"/>
          <w:lang w:val="en-GB" w:eastAsia="ko-KR"/>
        </w:rPr>
        <w:t>c.</w:t>
      </w:r>
      <w:r w:rsidRPr="004635E5">
        <w:rPr>
          <w:sz w:val="22"/>
          <w:szCs w:val="22"/>
          <w:lang w:val="en-GB" w:eastAsia="ko-KR"/>
        </w:rPr>
        <w:t xml:space="preserve"> 14%), the trend is unknown</w:t>
      </w:r>
      <w:r w:rsidR="00A16680" w:rsidRPr="004635E5">
        <w:rPr>
          <w:sz w:val="22"/>
          <w:szCs w:val="22"/>
          <w:lang w:val="en-GB" w:eastAsia="ko-KR"/>
        </w:rPr>
        <w:t xml:space="preserve">. </w:t>
      </w:r>
      <w:r w:rsidRPr="004635E5">
        <w:rPr>
          <w:sz w:val="22"/>
          <w:szCs w:val="22"/>
          <w:lang w:val="en-GB" w:eastAsia="ko-KR"/>
        </w:rPr>
        <w:t>The confidence of the assigned trend reflects both the accuracy and extent of the population data. In most cases, the primary threat to ACAP species remains incidental bycatch associated with fishing operations. There is an urgent need to better understand the nature and extent of bycatch in all fisheries overlapping with albatrosses and large petrels, and importantly to adopt and implement effective bycatch mitigation measures to reduce this threat. Of particular concern in respect of WCPFC is the Antipodean Albatross, which, based on rapid population declines since 2004, has recently (2017) been uplisted from ‘Vulnerable’ to ‘Endangered’ by BirdLife International and the IUCN, and included in the list of nine ACAP high priority populations</w:t>
      </w:r>
      <w:r w:rsidR="00A16680" w:rsidRPr="004635E5">
        <w:rPr>
          <w:sz w:val="22"/>
          <w:szCs w:val="22"/>
          <w:lang w:val="en-GB" w:eastAsia="ko-KR"/>
        </w:rPr>
        <w:t xml:space="preserve">. </w:t>
      </w:r>
    </w:p>
    <w:p w14:paraId="6D300EB6" w14:textId="77777777" w:rsidR="00DB2BB1" w:rsidRPr="004635E5" w:rsidRDefault="00DB2BB1" w:rsidP="006633A8">
      <w:pPr>
        <w:autoSpaceDE w:val="0"/>
        <w:autoSpaceDN w:val="0"/>
        <w:adjustRightInd w:val="0"/>
        <w:snapToGrid w:val="0"/>
        <w:jc w:val="both"/>
        <w:rPr>
          <w:sz w:val="22"/>
          <w:szCs w:val="22"/>
          <w:lang w:val="en-GB" w:eastAsia="ko-KR"/>
        </w:rPr>
      </w:pPr>
    </w:p>
    <w:p w14:paraId="67B14DDB" w14:textId="77777777" w:rsidR="00DB2BB1" w:rsidRPr="004635E5" w:rsidRDefault="00A16680" w:rsidP="00580EA4">
      <w:pPr>
        <w:numPr>
          <w:ilvl w:val="0"/>
          <w:numId w:val="18"/>
        </w:numPr>
        <w:autoSpaceDE w:val="0"/>
        <w:autoSpaceDN w:val="0"/>
        <w:adjustRightInd w:val="0"/>
        <w:snapToGrid w:val="0"/>
        <w:ind w:left="0" w:firstLine="0"/>
        <w:jc w:val="both"/>
        <w:rPr>
          <w:sz w:val="22"/>
          <w:szCs w:val="22"/>
          <w:lang w:val="en-GB" w:eastAsia="ko-KR"/>
        </w:rPr>
      </w:pPr>
      <w:r w:rsidRPr="004635E5">
        <w:rPr>
          <w:sz w:val="22"/>
          <w:szCs w:val="22"/>
          <w:lang w:eastAsia="ko-KR"/>
        </w:rPr>
        <w:t>There was no discussion on this paper.</w:t>
      </w:r>
    </w:p>
    <w:p w14:paraId="1804C093" w14:textId="77777777" w:rsidR="00692BD2" w:rsidRPr="004635E5" w:rsidRDefault="00A16680" w:rsidP="006633A8">
      <w:pPr>
        <w:autoSpaceDE w:val="0"/>
        <w:autoSpaceDN w:val="0"/>
        <w:adjustRightInd w:val="0"/>
        <w:snapToGrid w:val="0"/>
        <w:jc w:val="both"/>
        <w:rPr>
          <w:sz w:val="22"/>
          <w:szCs w:val="22"/>
          <w:lang w:val="en-GB" w:eastAsia="ko-KR"/>
        </w:rPr>
      </w:pPr>
      <w:r w:rsidRPr="004635E5">
        <w:rPr>
          <w:sz w:val="22"/>
          <w:szCs w:val="22"/>
          <w:lang w:eastAsia="ko-KR"/>
        </w:rPr>
        <w:t xml:space="preserve"> </w:t>
      </w:r>
    </w:p>
    <w:p w14:paraId="095C7E1B" w14:textId="77777777" w:rsidR="00AF5670" w:rsidRPr="004635E5" w:rsidRDefault="00AF5670" w:rsidP="00580EA4">
      <w:pPr>
        <w:numPr>
          <w:ilvl w:val="0"/>
          <w:numId w:val="18"/>
        </w:numPr>
        <w:autoSpaceDE w:val="0"/>
        <w:autoSpaceDN w:val="0"/>
        <w:adjustRightInd w:val="0"/>
        <w:snapToGrid w:val="0"/>
        <w:ind w:left="0" w:firstLine="0"/>
        <w:jc w:val="both"/>
        <w:rPr>
          <w:sz w:val="22"/>
          <w:szCs w:val="22"/>
          <w:lang w:val="en-GB" w:eastAsia="ko-KR"/>
        </w:rPr>
      </w:pPr>
      <w:r w:rsidRPr="004635E5">
        <w:rPr>
          <w:sz w:val="22"/>
          <w:szCs w:val="22"/>
          <w:lang w:val="en-GB" w:eastAsia="ko-KR"/>
        </w:rPr>
        <w:t xml:space="preserve">A. Wolfaardt presented </w:t>
      </w:r>
      <w:r w:rsidR="00961208">
        <w:rPr>
          <w:rFonts w:eastAsia="Calibri"/>
          <w:sz w:val="22"/>
          <w:szCs w:val="22"/>
          <w:lang w:val="en-AU"/>
        </w:rPr>
        <w:t>SC14-</w:t>
      </w:r>
      <w:r w:rsidRPr="004635E5">
        <w:rPr>
          <w:sz w:val="22"/>
          <w:szCs w:val="22"/>
          <w:lang w:eastAsia="ko-KR"/>
        </w:rPr>
        <w:t xml:space="preserve">EB-WP-15: </w:t>
      </w:r>
      <w:r w:rsidRPr="004635E5">
        <w:rPr>
          <w:bCs/>
          <w:i/>
          <w:sz w:val="22"/>
          <w:szCs w:val="22"/>
          <w:lang w:eastAsia="ko-KR"/>
        </w:rPr>
        <w:t>The development of ACAP seabird bycatch indicators, data needs, methodological approaches and reporting requirements</w:t>
      </w:r>
      <w:r w:rsidR="00A16680" w:rsidRPr="004635E5">
        <w:rPr>
          <w:bCs/>
          <w:sz w:val="22"/>
          <w:szCs w:val="22"/>
          <w:lang w:eastAsia="ko-KR"/>
        </w:rPr>
        <w:t xml:space="preserve">. </w:t>
      </w:r>
      <w:r w:rsidRPr="004635E5">
        <w:rPr>
          <w:sz w:val="22"/>
          <w:szCs w:val="22"/>
          <w:lang w:val="en-GB" w:eastAsia="ko-KR"/>
        </w:rPr>
        <w:t>ACAP is a multilateral environmental agreement that seeks to achieve and maintain a favourable conservation status for albatrosses and petrels</w:t>
      </w:r>
      <w:r w:rsidR="00A16680" w:rsidRPr="004635E5">
        <w:rPr>
          <w:sz w:val="22"/>
          <w:szCs w:val="22"/>
          <w:lang w:val="en-GB" w:eastAsia="ko-KR"/>
        </w:rPr>
        <w:t>;</w:t>
      </w:r>
      <w:r w:rsidR="00F81EF0">
        <w:rPr>
          <w:sz w:val="22"/>
          <w:szCs w:val="22"/>
          <w:lang w:val="en-GB" w:eastAsia="ko-KR"/>
        </w:rPr>
        <w:t xml:space="preserve"> </w:t>
      </w:r>
      <w:r w:rsidR="00A16680" w:rsidRPr="004635E5">
        <w:rPr>
          <w:sz w:val="22"/>
          <w:szCs w:val="22"/>
          <w:lang w:val="en-GB" w:eastAsia="ko-KR"/>
        </w:rPr>
        <w:t>t</w:t>
      </w:r>
      <w:r w:rsidRPr="004635E5">
        <w:rPr>
          <w:sz w:val="22"/>
          <w:szCs w:val="22"/>
          <w:lang w:val="en-GB" w:eastAsia="ko-KR"/>
        </w:rPr>
        <w:t xml:space="preserve">he </w:t>
      </w:r>
      <w:r w:rsidR="00A16680" w:rsidRPr="004635E5">
        <w:rPr>
          <w:sz w:val="22"/>
          <w:szCs w:val="22"/>
          <w:lang w:val="en-GB" w:eastAsia="ko-KR"/>
        </w:rPr>
        <w:t>a</w:t>
      </w:r>
      <w:r w:rsidRPr="004635E5">
        <w:rPr>
          <w:sz w:val="22"/>
          <w:szCs w:val="22"/>
          <w:lang w:val="en-GB" w:eastAsia="ko-KR"/>
        </w:rPr>
        <w:t xml:space="preserve">greement is currently ratified by 13 countries. In addition, a number of non-Party Range States and international organisations actively participate in the work of the </w:t>
      </w:r>
      <w:r w:rsidR="00A16680" w:rsidRPr="004635E5">
        <w:rPr>
          <w:sz w:val="22"/>
          <w:szCs w:val="22"/>
          <w:lang w:val="en-GB" w:eastAsia="ko-KR"/>
        </w:rPr>
        <w:t>a</w:t>
      </w:r>
      <w:r w:rsidRPr="004635E5">
        <w:rPr>
          <w:sz w:val="22"/>
          <w:szCs w:val="22"/>
          <w:lang w:val="en-GB" w:eastAsia="ko-KR"/>
        </w:rPr>
        <w:t xml:space="preserve">greement. The </w:t>
      </w:r>
      <w:r w:rsidR="00A16680" w:rsidRPr="004635E5">
        <w:rPr>
          <w:sz w:val="22"/>
          <w:szCs w:val="22"/>
          <w:lang w:val="en-GB" w:eastAsia="ko-KR"/>
        </w:rPr>
        <w:t>a</w:t>
      </w:r>
      <w:r w:rsidRPr="004635E5">
        <w:rPr>
          <w:sz w:val="22"/>
          <w:szCs w:val="22"/>
          <w:lang w:val="en-GB" w:eastAsia="ko-KR"/>
        </w:rPr>
        <w:t xml:space="preserve">greement provides a framework for coordinating and undertaking international activity to mitigate known threats to populations of affected species, including fisheries bycatch. In order to monitor and report on the performance of the </w:t>
      </w:r>
      <w:r w:rsidR="00A16680" w:rsidRPr="004635E5">
        <w:rPr>
          <w:sz w:val="22"/>
          <w:szCs w:val="22"/>
          <w:lang w:val="en-GB" w:eastAsia="ko-KR"/>
        </w:rPr>
        <w:t>a</w:t>
      </w:r>
      <w:r w:rsidRPr="004635E5">
        <w:rPr>
          <w:sz w:val="22"/>
          <w:szCs w:val="22"/>
          <w:lang w:val="en-GB" w:eastAsia="ko-KR"/>
        </w:rPr>
        <w:t xml:space="preserve">greement, a system of indicators following the </w:t>
      </w:r>
      <w:r w:rsidR="00A16680" w:rsidRPr="004635E5">
        <w:rPr>
          <w:sz w:val="22"/>
          <w:szCs w:val="22"/>
          <w:lang w:val="en-GB" w:eastAsia="ko-KR"/>
        </w:rPr>
        <w:t xml:space="preserve">pressure-state-response </w:t>
      </w:r>
      <w:r w:rsidRPr="004635E5">
        <w:rPr>
          <w:sz w:val="22"/>
          <w:szCs w:val="22"/>
          <w:lang w:val="en-GB" w:eastAsia="ko-KR"/>
        </w:rPr>
        <w:t xml:space="preserve">framework is being developed and implemented by ACAP. The primary </w:t>
      </w:r>
      <w:r w:rsidR="00A16680" w:rsidRPr="004635E5">
        <w:rPr>
          <w:sz w:val="22"/>
          <w:szCs w:val="22"/>
          <w:lang w:val="en-GB" w:eastAsia="ko-KR"/>
        </w:rPr>
        <w:t>p</w:t>
      </w:r>
      <w:r w:rsidRPr="004635E5">
        <w:rPr>
          <w:sz w:val="22"/>
          <w:szCs w:val="22"/>
          <w:lang w:val="en-GB" w:eastAsia="ko-KR"/>
        </w:rPr>
        <w:t xml:space="preserve">ressure indicator for bycatch comprises two linked components: (i) the seabird bycatch rate across each of the fisheries of member Parties, and (ii) the total number of birds killed (bycaught) per year of ACAP species (per species where possible). </w:t>
      </w:r>
      <w:r w:rsidR="00A16680" w:rsidRPr="004635E5">
        <w:rPr>
          <w:sz w:val="22"/>
          <w:szCs w:val="22"/>
          <w:lang w:val="en-GB" w:eastAsia="ko-KR"/>
        </w:rPr>
        <w:t xml:space="preserve">ACAP’s </w:t>
      </w:r>
      <w:r w:rsidRPr="004635E5">
        <w:rPr>
          <w:sz w:val="22"/>
          <w:szCs w:val="22"/>
          <w:lang w:val="en-GB" w:eastAsia="ko-KR"/>
        </w:rPr>
        <w:t>Seabird Bycatch Working Group is currently undertaking work to develop guidelines on issues that need to be considered in estimating and reporting against these bycatch indicators and, considering the estimation methods currently in use, to propose guidance and recommendations to achieve consistent reporting. SC14-EB-</w:t>
      </w:r>
      <w:r w:rsidR="00961208">
        <w:rPr>
          <w:sz w:val="22"/>
          <w:szCs w:val="22"/>
          <w:lang w:val="en-GB" w:eastAsia="ko-KR"/>
        </w:rPr>
        <w:t>WP-</w:t>
      </w:r>
      <w:r w:rsidRPr="004635E5">
        <w:rPr>
          <w:sz w:val="22"/>
          <w:szCs w:val="22"/>
          <w:lang w:val="en-GB" w:eastAsia="ko-KR"/>
        </w:rPr>
        <w:t xml:space="preserve">15 provides an outline of the recommendations and guidelines that have been developed to date. It </w:t>
      </w:r>
      <w:r w:rsidR="00A16680" w:rsidRPr="004635E5">
        <w:rPr>
          <w:sz w:val="22"/>
          <w:szCs w:val="22"/>
          <w:lang w:val="en-GB" w:eastAsia="ko-KR"/>
        </w:rPr>
        <w:t xml:space="preserve">was </w:t>
      </w:r>
      <w:r w:rsidRPr="004635E5">
        <w:rPr>
          <w:sz w:val="22"/>
          <w:szCs w:val="22"/>
          <w:lang w:val="en-GB" w:eastAsia="ko-KR"/>
        </w:rPr>
        <w:t>note</w:t>
      </w:r>
      <w:r w:rsidR="00A16680" w:rsidRPr="004635E5">
        <w:rPr>
          <w:sz w:val="22"/>
          <w:szCs w:val="22"/>
          <w:lang w:val="en-GB" w:eastAsia="ko-KR"/>
        </w:rPr>
        <w:t>d</w:t>
      </w:r>
      <w:r w:rsidRPr="004635E5">
        <w:rPr>
          <w:sz w:val="22"/>
          <w:szCs w:val="22"/>
          <w:lang w:val="en-GB" w:eastAsia="ko-KR"/>
        </w:rPr>
        <w:t xml:space="preserve"> </w:t>
      </w:r>
      <w:r w:rsidR="00A16680" w:rsidRPr="004635E5">
        <w:rPr>
          <w:sz w:val="22"/>
          <w:szCs w:val="22"/>
          <w:lang w:val="en-GB" w:eastAsia="ko-KR"/>
        </w:rPr>
        <w:t xml:space="preserve">the paper </w:t>
      </w:r>
      <w:r w:rsidRPr="004635E5">
        <w:rPr>
          <w:sz w:val="22"/>
          <w:szCs w:val="22"/>
          <w:lang w:val="en-GB" w:eastAsia="ko-KR"/>
        </w:rPr>
        <w:t xml:space="preserve">represents </w:t>
      </w:r>
      <w:r w:rsidR="00A16680" w:rsidRPr="004635E5">
        <w:rPr>
          <w:sz w:val="22"/>
          <w:szCs w:val="22"/>
          <w:lang w:val="en-GB" w:eastAsia="ko-KR"/>
        </w:rPr>
        <w:t xml:space="preserve">a </w:t>
      </w:r>
      <w:r w:rsidRPr="004635E5">
        <w:rPr>
          <w:sz w:val="22"/>
          <w:szCs w:val="22"/>
          <w:lang w:val="en-GB" w:eastAsia="ko-KR"/>
        </w:rPr>
        <w:t xml:space="preserve">work in progress, and </w:t>
      </w:r>
      <w:r w:rsidR="00A16680" w:rsidRPr="004635E5">
        <w:rPr>
          <w:sz w:val="22"/>
          <w:szCs w:val="22"/>
          <w:lang w:val="en-GB" w:eastAsia="ko-KR"/>
        </w:rPr>
        <w:t xml:space="preserve">was </w:t>
      </w:r>
      <w:r w:rsidRPr="004635E5">
        <w:rPr>
          <w:sz w:val="22"/>
          <w:szCs w:val="22"/>
          <w:lang w:val="en-GB" w:eastAsia="ko-KR"/>
        </w:rPr>
        <w:t>presented to help inform discussions regarding seabird bycatch estimation and reporting within the WCPFC and other RFMOs.</w:t>
      </w:r>
    </w:p>
    <w:p w14:paraId="3C5E75DA" w14:textId="77777777" w:rsidR="00DB2BB1" w:rsidRPr="004635E5" w:rsidRDefault="00DB2BB1" w:rsidP="006633A8">
      <w:pPr>
        <w:autoSpaceDE w:val="0"/>
        <w:autoSpaceDN w:val="0"/>
        <w:adjustRightInd w:val="0"/>
        <w:snapToGrid w:val="0"/>
        <w:jc w:val="both"/>
        <w:rPr>
          <w:sz w:val="22"/>
          <w:szCs w:val="22"/>
          <w:lang w:val="en-GB" w:eastAsia="ko-KR"/>
        </w:rPr>
      </w:pPr>
    </w:p>
    <w:p w14:paraId="0EDBEDD6" w14:textId="77777777" w:rsidR="00A16680" w:rsidRPr="004635E5" w:rsidRDefault="00A16680" w:rsidP="00580EA4">
      <w:pPr>
        <w:numPr>
          <w:ilvl w:val="0"/>
          <w:numId w:val="18"/>
        </w:numPr>
        <w:autoSpaceDE w:val="0"/>
        <w:autoSpaceDN w:val="0"/>
        <w:adjustRightInd w:val="0"/>
        <w:snapToGrid w:val="0"/>
        <w:ind w:left="0" w:firstLine="0"/>
        <w:jc w:val="both"/>
        <w:rPr>
          <w:sz w:val="22"/>
          <w:szCs w:val="22"/>
          <w:lang w:val="en-GB" w:eastAsia="ko-KR"/>
        </w:rPr>
      </w:pPr>
      <w:r w:rsidRPr="004635E5">
        <w:rPr>
          <w:sz w:val="22"/>
          <w:szCs w:val="22"/>
          <w:lang w:eastAsia="ko-KR"/>
        </w:rPr>
        <w:t xml:space="preserve">There was no discussion on this paper. </w:t>
      </w:r>
    </w:p>
    <w:p w14:paraId="263FE2B7" w14:textId="77777777" w:rsidR="00DB2BB1" w:rsidRPr="004635E5" w:rsidRDefault="00DB2BB1" w:rsidP="006633A8">
      <w:pPr>
        <w:autoSpaceDE w:val="0"/>
        <w:autoSpaceDN w:val="0"/>
        <w:adjustRightInd w:val="0"/>
        <w:snapToGrid w:val="0"/>
        <w:jc w:val="both"/>
        <w:rPr>
          <w:sz w:val="22"/>
          <w:szCs w:val="22"/>
          <w:lang w:val="en-GB" w:eastAsia="ko-KR"/>
        </w:rPr>
      </w:pPr>
    </w:p>
    <w:p w14:paraId="7BE95441" w14:textId="77777777" w:rsidR="00961E9A" w:rsidRPr="004635E5" w:rsidRDefault="00700B5B" w:rsidP="00580EA4">
      <w:pPr>
        <w:pStyle w:val="SC2"/>
        <w:numPr>
          <w:ilvl w:val="1"/>
          <w:numId w:val="161"/>
        </w:numPr>
        <w:spacing w:after="0"/>
      </w:pPr>
      <w:r w:rsidRPr="004635E5">
        <w:t>Sea turtles</w:t>
      </w:r>
      <w:r w:rsidR="00EC2690" w:rsidRPr="004635E5">
        <w:t xml:space="preserve"> </w:t>
      </w:r>
      <w:r w:rsidR="003D36D6" w:rsidRPr="004635E5">
        <w:tab/>
      </w:r>
    </w:p>
    <w:p w14:paraId="41523048" w14:textId="77777777" w:rsidR="00DB2BB1" w:rsidRPr="004635E5" w:rsidRDefault="00DB2BB1" w:rsidP="006633A8">
      <w:pPr>
        <w:pStyle w:val="SC2"/>
        <w:numPr>
          <w:ilvl w:val="0"/>
          <w:numId w:val="0"/>
        </w:numPr>
        <w:spacing w:after="0"/>
        <w:ind w:left="720"/>
      </w:pPr>
    </w:p>
    <w:p w14:paraId="09131EF0" w14:textId="77777777" w:rsidR="00966D1C" w:rsidRPr="004635E5" w:rsidRDefault="00966D1C" w:rsidP="00580EA4">
      <w:pPr>
        <w:pStyle w:val="SC3"/>
        <w:numPr>
          <w:ilvl w:val="2"/>
          <w:numId w:val="161"/>
        </w:numPr>
        <w:spacing w:after="0"/>
        <w:rPr>
          <w:rFonts w:eastAsiaTheme="minorEastAsia"/>
          <w:vanish/>
          <w:lang w:eastAsia="ko-KR"/>
        </w:rPr>
      </w:pPr>
      <w:r w:rsidRPr="004635E5">
        <w:rPr>
          <w:rFonts w:eastAsiaTheme="minorEastAsia"/>
          <w:lang w:eastAsia="ko-KR"/>
        </w:rPr>
        <w:t>Review of sea turtle researches</w:t>
      </w:r>
    </w:p>
    <w:p w14:paraId="3D969C6D" w14:textId="77777777" w:rsidR="00DB2BB1" w:rsidRPr="004635E5" w:rsidRDefault="00DB2BB1" w:rsidP="006633A8">
      <w:pPr>
        <w:pStyle w:val="SC3"/>
        <w:numPr>
          <w:ilvl w:val="0"/>
          <w:numId w:val="0"/>
        </w:numPr>
        <w:spacing w:after="0"/>
        <w:ind w:left="1440"/>
        <w:rPr>
          <w:rFonts w:eastAsiaTheme="minorEastAsia"/>
          <w:vanish/>
          <w:lang w:eastAsia="ko-KR"/>
        </w:rPr>
      </w:pPr>
    </w:p>
    <w:p w14:paraId="55FBE720" w14:textId="77777777" w:rsidR="00C425B2" w:rsidRDefault="00C425B2" w:rsidP="006633A8">
      <w:pPr>
        <w:adjustRightInd w:val="0"/>
        <w:snapToGrid w:val="0"/>
        <w:ind w:left="720"/>
        <w:jc w:val="both"/>
        <w:rPr>
          <w:rFonts w:eastAsiaTheme="minorEastAsia"/>
          <w:sz w:val="22"/>
          <w:szCs w:val="22"/>
          <w:lang w:val="en-NZ" w:eastAsia="ko-KR"/>
        </w:rPr>
      </w:pPr>
    </w:p>
    <w:p w14:paraId="3BDE952F" w14:textId="77777777" w:rsidR="00C425B2" w:rsidRDefault="00C425B2" w:rsidP="006633A8">
      <w:pPr>
        <w:adjustRightInd w:val="0"/>
        <w:snapToGrid w:val="0"/>
        <w:ind w:left="720"/>
        <w:jc w:val="both"/>
        <w:rPr>
          <w:rFonts w:eastAsiaTheme="minorEastAsia"/>
          <w:sz w:val="22"/>
          <w:szCs w:val="22"/>
          <w:lang w:val="en-NZ" w:eastAsia="ko-KR"/>
        </w:rPr>
      </w:pPr>
    </w:p>
    <w:p w14:paraId="650E0EC1" w14:textId="77777777" w:rsidR="00DB2BB1" w:rsidRPr="004635E5" w:rsidRDefault="00C425B2" w:rsidP="006633A8">
      <w:pPr>
        <w:pStyle w:val="WCPFC"/>
        <w:adjustRightInd w:val="0"/>
        <w:spacing w:after="0"/>
      </w:pPr>
      <w:r>
        <w:rPr>
          <w:lang w:eastAsia="ko-KR"/>
        </w:rPr>
        <w:t xml:space="preserve">This agenda is partially </w:t>
      </w:r>
      <w:r>
        <w:rPr>
          <w:rFonts w:hint="eastAsia"/>
          <w:lang w:eastAsia="ko-KR"/>
        </w:rPr>
        <w:t>c</w:t>
      </w:r>
      <w:r w:rsidR="00085BBA" w:rsidRPr="004635E5">
        <w:t xml:space="preserve">overed under Agenda Item </w:t>
      </w:r>
      <w:r w:rsidR="000D3884" w:rsidRPr="004635E5">
        <w:t>6.3.2</w:t>
      </w:r>
      <w:r>
        <w:rPr>
          <w:rFonts w:hint="eastAsia"/>
          <w:lang w:eastAsia="ko-KR"/>
        </w:rPr>
        <w:t>.</w:t>
      </w:r>
    </w:p>
    <w:p w14:paraId="6758E46B" w14:textId="77777777" w:rsidR="00DB2BB1" w:rsidRPr="004635E5" w:rsidRDefault="00DB2BB1" w:rsidP="006633A8">
      <w:pPr>
        <w:adjustRightInd w:val="0"/>
        <w:snapToGrid w:val="0"/>
        <w:ind w:left="720"/>
        <w:jc w:val="both"/>
        <w:rPr>
          <w:rFonts w:eastAsiaTheme="minorEastAsia"/>
          <w:sz w:val="22"/>
          <w:szCs w:val="22"/>
          <w:lang w:val="en-NZ" w:eastAsia="ko-KR"/>
        </w:rPr>
      </w:pPr>
    </w:p>
    <w:p w14:paraId="583FC2B3" w14:textId="77777777" w:rsidR="00A002C9" w:rsidRPr="004635E5" w:rsidRDefault="00A002C9" w:rsidP="00580EA4">
      <w:pPr>
        <w:pStyle w:val="SC3"/>
        <w:numPr>
          <w:ilvl w:val="2"/>
          <w:numId w:val="161"/>
        </w:numPr>
        <w:spacing w:after="0"/>
        <w:rPr>
          <w:rFonts w:eastAsiaTheme="minorEastAsia"/>
          <w:lang w:eastAsia="ko-KR"/>
        </w:rPr>
      </w:pPr>
      <w:r w:rsidRPr="004635E5">
        <w:rPr>
          <w:rFonts w:eastAsiaTheme="minorEastAsia"/>
          <w:lang w:eastAsia="ko-KR"/>
        </w:rPr>
        <w:t>Review of CMM 2008-03</w:t>
      </w:r>
    </w:p>
    <w:p w14:paraId="211D2119" w14:textId="77777777" w:rsidR="00DB2BB1" w:rsidRPr="004635E5" w:rsidRDefault="00DB2BB1" w:rsidP="006633A8">
      <w:pPr>
        <w:pStyle w:val="SC3"/>
        <w:numPr>
          <w:ilvl w:val="0"/>
          <w:numId w:val="0"/>
        </w:numPr>
        <w:spacing w:after="0"/>
        <w:ind w:left="1440"/>
        <w:rPr>
          <w:rFonts w:eastAsiaTheme="minorEastAsia"/>
          <w:lang w:eastAsia="ko-KR"/>
        </w:rPr>
      </w:pPr>
    </w:p>
    <w:p w14:paraId="758B8E47" w14:textId="77777777" w:rsidR="00174FEF" w:rsidRPr="004635E5" w:rsidRDefault="00787275"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sz w:val="22"/>
          <w:szCs w:val="22"/>
          <w:lang w:eastAsia="ko-KR"/>
        </w:rPr>
        <w:t xml:space="preserve">Y. Swimmer presented </w:t>
      </w:r>
      <w:r w:rsidR="00961208">
        <w:rPr>
          <w:rFonts w:eastAsia="Calibri"/>
          <w:sz w:val="22"/>
          <w:szCs w:val="22"/>
          <w:lang w:val="en-AU"/>
        </w:rPr>
        <w:t>SC14-</w:t>
      </w:r>
      <w:r w:rsidRPr="004635E5">
        <w:rPr>
          <w:rFonts w:eastAsiaTheme="minorEastAsia"/>
          <w:bCs/>
          <w:sz w:val="22"/>
          <w:szCs w:val="22"/>
          <w:lang w:eastAsia="ko-KR"/>
        </w:rPr>
        <w:t xml:space="preserve">EB-WP-06 </w:t>
      </w:r>
      <w:r w:rsidR="00174FEF" w:rsidRPr="004635E5">
        <w:rPr>
          <w:rFonts w:eastAsiaTheme="minorEastAsia"/>
          <w:i/>
          <w:sz w:val="22"/>
          <w:szCs w:val="22"/>
          <w:lang w:eastAsia="ko-KR"/>
        </w:rPr>
        <w:t>Catchability of target and non-target species by circle hook size in the Hawaii and American Samoa tuna longline fisheries</w:t>
      </w:r>
      <w:r w:rsidR="00A16680" w:rsidRPr="004635E5">
        <w:rPr>
          <w:rFonts w:eastAsiaTheme="minorEastAsia"/>
          <w:sz w:val="22"/>
          <w:szCs w:val="22"/>
          <w:lang w:eastAsia="ko-KR"/>
        </w:rPr>
        <w:t xml:space="preserve">. </w:t>
      </w:r>
      <w:r w:rsidR="00174FEF" w:rsidRPr="004635E5">
        <w:rPr>
          <w:rFonts w:eastAsiaTheme="minorEastAsia"/>
          <w:sz w:val="22"/>
          <w:szCs w:val="22"/>
          <w:lang w:eastAsia="ko-KR"/>
        </w:rPr>
        <w:t xml:space="preserve">Models were used to compare catchability (catch rate, number of fish per 1,000 hooks) as a function of hook size for several retained (target and non-target) and bycatch (discarded) species in two longline fisheries. </w:t>
      </w:r>
    </w:p>
    <w:p w14:paraId="05DE1D9A" w14:textId="77777777" w:rsidR="00DB2BB1" w:rsidRPr="004635E5" w:rsidRDefault="00DB2BB1" w:rsidP="006633A8">
      <w:pPr>
        <w:autoSpaceDE w:val="0"/>
        <w:autoSpaceDN w:val="0"/>
        <w:adjustRightInd w:val="0"/>
        <w:snapToGrid w:val="0"/>
        <w:jc w:val="both"/>
        <w:rPr>
          <w:rFonts w:eastAsiaTheme="minorEastAsia"/>
          <w:b/>
          <w:sz w:val="22"/>
          <w:szCs w:val="22"/>
          <w:lang w:eastAsia="ko-KR"/>
        </w:rPr>
      </w:pPr>
    </w:p>
    <w:p w14:paraId="35224E53" w14:textId="77777777" w:rsidR="00174FEF" w:rsidRPr="004635E5" w:rsidRDefault="00174FEF"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sz w:val="22"/>
          <w:szCs w:val="22"/>
          <w:lang w:eastAsia="ko-KR"/>
        </w:rPr>
        <w:t>Observer data from tuna longline fisheries in Hawaii and American Samoa were used to investigate catchability for 22 species in the Hawaii fishery and 16 species for the A. Samoa fishery. Generalized linear models (GLMs) were used to estimate catchability based on circle hook sizes, with comparisons for sizes 14/0 vs 15/0, 14/0 vs 16/0, and 15/0 vs 16/0 for the Hawaii fishery, and 13/0 vs 14/0 for the A. Samoa fishery. The results from the Hawaii fishery are more robust than the A. Samoa fishery as the Hawaii fishery monitored ~8 times (25.8 million) more hooks than the A. Samoa fishery (3.3 million hooks). In Hawaii, there was a significant increase in catchability with larger hook size for 11 of 13 retained species, including bigeye tuna (</w:t>
      </w:r>
      <w:r w:rsidRPr="00F45406">
        <w:rPr>
          <w:rFonts w:eastAsiaTheme="minorEastAsia"/>
          <w:i/>
          <w:sz w:val="22"/>
          <w:szCs w:val="22"/>
          <w:lang w:eastAsia="ko-KR"/>
        </w:rPr>
        <w:t>Thunnus obesus</w:t>
      </w:r>
      <w:r w:rsidRPr="004635E5">
        <w:rPr>
          <w:rFonts w:eastAsiaTheme="minorEastAsia"/>
          <w:sz w:val="22"/>
          <w:szCs w:val="22"/>
          <w:lang w:eastAsia="ko-KR"/>
        </w:rPr>
        <w:t>), the primary target species. There were numerous species that were not affected by hook sizes, including two bycatch shark species, oceanic whitetip shark (</w:t>
      </w:r>
      <w:r w:rsidRPr="00F45406">
        <w:rPr>
          <w:rFonts w:eastAsiaTheme="minorEastAsia"/>
          <w:i/>
          <w:sz w:val="22"/>
          <w:szCs w:val="22"/>
          <w:lang w:eastAsia="ko-KR"/>
        </w:rPr>
        <w:t>Carcharhinus longimanus</w:t>
      </w:r>
      <w:r w:rsidRPr="004635E5">
        <w:rPr>
          <w:rFonts w:eastAsiaTheme="minorEastAsia"/>
          <w:sz w:val="22"/>
          <w:szCs w:val="22"/>
          <w:lang w:eastAsia="ko-KR"/>
        </w:rPr>
        <w:t>) and silky shark (</w:t>
      </w:r>
      <w:r w:rsidRPr="00F45406">
        <w:rPr>
          <w:rFonts w:eastAsiaTheme="minorEastAsia"/>
          <w:i/>
          <w:sz w:val="22"/>
          <w:szCs w:val="22"/>
          <w:lang w:eastAsia="ko-KR"/>
        </w:rPr>
        <w:t>C. falciformis</w:t>
      </w:r>
      <w:r w:rsidRPr="004635E5">
        <w:rPr>
          <w:rFonts w:eastAsiaTheme="minorEastAsia"/>
          <w:sz w:val="22"/>
          <w:szCs w:val="22"/>
          <w:lang w:eastAsia="ko-KR"/>
        </w:rPr>
        <w:t>). Of the eight species of bycatch, catchability was higher on larger hooks only for blue shark (</w:t>
      </w:r>
      <w:r w:rsidRPr="00F45406">
        <w:rPr>
          <w:rFonts w:eastAsiaTheme="minorEastAsia"/>
          <w:i/>
          <w:sz w:val="22"/>
          <w:szCs w:val="22"/>
          <w:lang w:eastAsia="ko-KR"/>
        </w:rPr>
        <w:t>Prionace glauca</w:t>
      </w:r>
      <w:r w:rsidRPr="004635E5">
        <w:rPr>
          <w:rFonts w:eastAsiaTheme="minorEastAsia"/>
          <w:sz w:val="22"/>
          <w:szCs w:val="22"/>
          <w:lang w:eastAsia="ko-KR"/>
        </w:rPr>
        <w:t>). There was a significant decrease in catchability between 14/0 and larger hooks for five bycatch species, including shortfin mako shark (</w:t>
      </w:r>
      <w:r w:rsidRPr="00F45406">
        <w:rPr>
          <w:rFonts w:eastAsiaTheme="minorEastAsia"/>
          <w:i/>
          <w:sz w:val="22"/>
          <w:szCs w:val="22"/>
          <w:lang w:eastAsia="ko-KR"/>
        </w:rPr>
        <w:t>Isurus oxyrinchus</w:t>
      </w:r>
      <w:r w:rsidRPr="004635E5">
        <w:rPr>
          <w:rFonts w:eastAsiaTheme="minorEastAsia"/>
          <w:sz w:val="22"/>
          <w:szCs w:val="22"/>
          <w:lang w:eastAsia="ko-KR"/>
        </w:rPr>
        <w:t>), bigeye thresher (</w:t>
      </w:r>
      <w:r w:rsidRPr="00F45406">
        <w:rPr>
          <w:rFonts w:eastAsiaTheme="minorEastAsia"/>
          <w:i/>
          <w:sz w:val="22"/>
          <w:szCs w:val="22"/>
          <w:lang w:eastAsia="ko-KR"/>
        </w:rPr>
        <w:t>Alopias superciliosus</w:t>
      </w:r>
      <w:r w:rsidRPr="004635E5">
        <w:rPr>
          <w:rFonts w:eastAsiaTheme="minorEastAsia"/>
          <w:sz w:val="22"/>
          <w:szCs w:val="22"/>
          <w:lang w:eastAsia="ko-KR"/>
        </w:rPr>
        <w:t>), and pelagic stingray (</w:t>
      </w:r>
      <w:r w:rsidRPr="00F45406">
        <w:rPr>
          <w:rFonts w:eastAsiaTheme="minorEastAsia"/>
          <w:i/>
          <w:sz w:val="22"/>
          <w:szCs w:val="22"/>
          <w:lang w:eastAsia="ko-KR"/>
        </w:rPr>
        <w:t>Pteroplatytrygon violacea</w:t>
      </w:r>
      <w:r w:rsidRPr="004635E5">
        <w:rPr>
          <w:rFonts w:eastAsiaTheme="minorEastAsia"/>
          <w:sz w:val="22"/>
          <w:szCs w:val="22"/>
          <w:lang w:eastAsia="ko-KR"/>
        </w:rPr>
        <w:t>). In A. Samoa, there was a significant increase in catchability for the target species, albacore (T. alalunga), as well as for five of eight retained species between hook sizes 13/0 and 14/0. No catchability effects were found for three of the eight retained species. Catchability in a number of retained species had no effect with hook size. Regarding to bycatch species, larger (14/0) hooks were associated with higher catchability of pelagic stingray, blue shark, oceanic whitetip shark, silky shark, as well as a lower catchability for snake mackerel (</w:t>
      </w:r>
      <w:r w:rsidR="00F45406">
        <w:rPr>
          <w:rFonts w:eastAsiaTheme="minorEastAsia" w:hint="eastAsia"/>
          <w:i/>
          <w:sz w:val="22"/>
          <w:szCs w:val="22"/>
          <w:lang w:eastAsia="ko-KR"/>
        </w:rPr>
        <w:t>G</w:t>
      </w:r>
      <w:r w:rsidRPr="00F45406">
        <w:rPr>
          <w:rFonts w:eastAsiaTheme="minorEastAsia"/>
          <w:i/>
          <w:sz w:val="22"/>
          <w:szCs w:val="22"/>
          <w:lang w:eastAsia="ko-KR"/>
        </w:rPr>
        <w:t>empylus serpens</w:t>
      </w:r>
      <w:r w:rsidRPr="004635E5">
        <w:rPr>
          <w:rFonts w:eastAsiaTheme="minorEastAsia"/>
          <w:sz w:val="22"/>
          <w:szCs w:val="22"/>
          <w:lang w:eastAsia="ko-KR"/>
        </w:rPr>
        <w:t>). This study provides empirical evidence which suggests that for a tuna fishery in the Pacific Ocean, adoption of a larger hook could provide increased catchability of retained species while simultaneously serving as a conservation tool by decreasing catchability of a majority of bycatch species. With the exception of higher catchability of blue shark, the primary elasmobranch species caught, larger hook size implementation could reduce overall discards.</w:t>
      </w:r>
    </w:p>
    <w:p w14:paraId="00239488" w14:textId="77777777" w:rsidR="00DB2BB1" w:rsidRPr="004635E5" w:rsidRDefault="00DB2BB1" w:rsidP="006633A8">
      <w:pPr>
        <w:autoSpaceDE w:val="0"/>
        <w:autoSpaceDN w:val="0"/>
        <w:adjustRightInd w:val="0"/>
        <w:snapToGrid w:val="0"/>
        <w:jc w:val="both"/>
        <w:rPr>
          <w:rFonts w:eastAsiaTheme="minorEastAsia"/>
          <w:b/>
          <w:sz w:val="22"/>
          <w:szCs w:val="22"/>
          <w:lang w:eastAsia="ko-KR"/>
        </w:rPr>
      </w:pPr>
    </w:p>
    <w:p w14:paraId="7005D8BB" w14:textId="77777777" w:rsidR="00DB2BB1" w:rsidRPr="004635E5" w:rsidRDefault="008C6428" w:rsidP="006633A8">
      <w:pPr>
        <w:autoSpaceDE w:val="0"/>
        <w:autoSpaceDN w:val="0"/>
        <w:adjustRightInd w:val="0"/>
        <w:snapToGrid w:val="0"/>
        <w:jc w:val="both"/>
        <w:rPr>
          <w:rFonts w:eastAsiaTheme="minorEastAsia"/>
          <w:b/>
          <w:sz w:val="22"/>
          <w:szCs w:val="22"/>
          <w:lang w:eastAsia="ko-KR"/>
        </w:rPr>
      </w:pPr>
      <w:r w:rsidRPr="004635E5">
        <w:rPr>
          <w:rFonts w:eastAsiaTheme="minorEastAsia"/>
          <w:b/>
          <w:sz w:val="22"/>
          <w:szCs w:val="22"/>
          <w:lang w:eastAsia="ko-KR"/>
        </w:rPr>
        <w:t xml:space="preserve"> </w:t>
      </w:r>
      <w:r w:rsidR="00F71D31" w:rsidRPr="004635E5">
        <w:rPr>
          <w:rFonts w:eastAsiaTheme="minorEastAsia"/>
          <w:b/>
          <w:sz w:val="22"/>
          <w:szCs w:val="22"/>
          <w:lang w:eastAsia="ko-KR"/>
        </w:rPr>
        <w:t>Discussion</w:t>
      </w:r>
    </w:p>
    <w:p w14:paraId="2B586809" w14:textId="77777777" w:rsidR="00DB2BB1" w:rsidRPr="004635E5" w:rsidRDefault="00DB2BB1" w:rsidP="006633A8">
      <w:pPr>
        <w:autoSpaceDE w:val="0"/>
        <w:autoSpaceDN w:val="0"/>
        <w:adjustRightInd w:val="0"/>
        <w:snapToGrid w:val="0"/>
        <w:jc w:val="both"/>
        <w:rPr>
          <w:rFonts w:eastAsiaTheme="minorEastAsia"/>
          <w:b/>
          <w:sz w:val="22"/>
          <w:szCs w:val="22"/>
          <w:lang w:eastAsia="ko-KR"/>
        </w:rPr>
      </w:pPr>
    </w:p>
    <w:p w14:paraId="799BEAEC" w14:textId="77777777" w:rsidR="00F71D31" w:rsidRPr="004635E5" w:rsidRDefault="00F71D31"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Korea</w:t>
      </w:r>
      <w:r w:rsidR="009A285A" w:rsidRPr="004635E5">
        <w:rPr>
          <w:rFonts w:eastAsiaTheme="minorEastAsia"/>
          <w:sz w:val="22"/>
          <w:szCs w:val="22"/>
          <w:lang w:eastAsia="ko-KR"/>
        </w:rPr>
        <w:t xml:space="preserve"> noted that </w:t>
      </w:r>
      <w:r w:rsidRPr="004635E5">
        <w:rPr>
          <w:rFonts w:eastAsiaTheme="minorEastAsia"/>
          <w:sz w:val="22"/>
          <w:szCs w:val="22"/>
          <w:lang w:eastAsia="ko-KR"/>
        </w:rPr>
        <w:t xml:space="preserve">many </w:t>
      </w:r>
      <w:r w:rsidR="009A285A" w:rsidRPr="004635E5">
        <w:rPr>
          <w:rFonts w:eastAsiaTheme="minorEastAsia"/>
          <w:sz w:val="22"/>
          <w:szCs w:val="22"/>
          <w:lang w:eastAsia="ko-KR"/>
        </w:rPr>
        <w:t xml:space="preserve">of the </w:t>
      </w:r>
      <w:r w:rsidRPr="004635E5">
        <w:rPr>
          <w:rFonts w:eastAsiaTheme="minorEastAsia"/>
          <w:sz w:val="22"/>
          <w:szCs w:val="22"/>
          <w:lang w:eastAsia="ko-KR"/>
        </w:rPr>
        <w:t>vess</w:t>
      </w:r>
      <w:r w:rsidR="009A285A" w:rsidRPr="004635E5">
        <w:rPr>
          <w:rFonts w:eastAsiaTheme="minorEastAsia"/>
          <w:sz w:val="22"/>
          <w:szCs w:val="22"/>
          <w:lang w:eastAsia="ko-KR"/>
        </w:rPr>
        <w:t>el</w:t>
      </w:r>
      <w:r w:rsidRPr="004635E5">
        <w:rPr>
          <w:rFonts w:eastAsiaTheme="minorEastAsia"/>
          <w:sz w:val="22"/>
          <w:szCs w:val="22"/>
          <w:lang w:eastAsia="ko-KR"/>
        </w:rPr>
        <w:t xml:space="preserve">s </w:t>
      </w:r>
      <w:r w:rsidR="009A285A" w:rsidRPr="004635E5">
        <w:rPr>
          <w:rFonts w:eastAsiaTheme="minorEastAsia"/>
          <w:sz w:val="22"/>
          <w:szCs w:val="22"/>
          <w:lang w:eastAsia="ko-KR"/>
        </w:rPr>
        <w:t xml:space="preserve">in its fishery </w:t>
      </w:r>
      <w:r w:rsidRPr="004635E5">
        <w:rPr>
          <w:rFonts w:eastAsiaTheme="minorEastAsia"/>
          <w:sz w:val="22"/>
          <w:szCs w:val="22"/>
          <w:lang w:eastAsia="ko-KR"/>
        </w:rPr>
        <w:t xml:space="preserve">use circle hooks to minimize </w:t>
      </w:r>
      <w:r w:rsidR="009A285A" w:rsidRPr="004635E5">
        <w:rPr>
          <w:rFonts w:eastAsiaTheme="minorEastAsia"/>
          <w:sz w:val="22"/>
          <w:szCs w:val="22"/>
          <w:lang w:eastAsia="ko-KR"/>
        </w:rPr>
        <w:t>sea turtle by</w:t>
      </w:r>
      <w:r w:rsidRPr="004635E5">
        <w:rPr>
          <w:rFonts w:eastAsiaTheme="minorEastAsia"/>
          <w:sz w:val="22"/>
          <w:szCs w:val="22"/>
          <w:lang w:eastAsia="ko-KR"/>
        </w:rPr>
        <w:t>catch</w:t>
      </w:r>
      <w:r w:rsidR="009A285A" w:rsidRPr="004635E5">
        <w:rPr>
          <w:rFonts w:eastAsiaTheme="minorEastAsia"/>
          <w:sz w:val="22"/>
          <w:szCs w:val="22"/>
          <w:lang w:eastAsia="ko-KR"/>
        </w:rPr>
        <w:t>, with n</w:t>
      </w:r>
      <w:r w:rsidRPr="004635E5">
        <w:rPr>
          <w:rFonts w:eastAsiaTheme="minorEastAsia"/>
          <w:sz w:val="22"/>
          <w:szCs w:val="22"/>
          <w:lang w:eastAsia="ko-KR"/>
        </w:rPr>
        <w:t>o sig</w:t>
      </w:r>
      <w:r w:rsidR="009A285A" w:rsidRPr="004635E5">
        <w:rPr>
          <w:rFonts w:eastAsiaTheme="minorEastAsia"/>
          <w:sz w:val="22"/>
          <w:szCs w:val="22"/>
          <w:lang w:eastAsia="ko-KR"/>
        </w:rPr>
        <w:t xml:space="preserve">nificant negative </w:t>
      </w:r>
      <w:r w:rsidRPr="004635E5">
        <w:rPr>
          <w:rFonts w:eastAsiaTheme="minorEastAsia"/>
          <w:sz w:val="22"/>
          <w:szCs w:val="22"/>
          <w:lang w:eastAsia="ko-KR"/>
        </w:rPr>
        <w:t xml:space="preserve">effect on </w:t>
      </w:r>
      <w:r w:rsidR="009A285A" w:rsidRPr="004635E5">
        <w:rPr>
          <w:rFonts w:eastAsiaTheme="minorEastAsia"/>
          <w:sz w:val="22"/>
          <w:szCs w:val="22"/>
          <w:lang w:eastAsia="ko-KR"/>
        </w:rPr>
        <w:t xml:space="preserve">the </w:t>
      </w:r>
      <w:r w:rsidR="004421B3" w:rsidRPr="004635E5">
        <w:rPr>
          <w:rFonts w:eastAsiaTheme="minorEastAsia"/>
          <w:sz w:val="22"/>
          <w:szCs w:val="22"/>
          <w:lang w:eastAsia="ko-KR"/>
        </w:rPr>
        <w:t>longline</w:t>
      </w:r>
      <w:r w:rsidRPr="004635E5">
        <w:rPr>
          <w:rFonts w:eastAsiaTheme="minorEastAsia"/>
          <w:sz w:val="22"/>
          <w:szCs w:val="22"/>
          <w:lang w:eastAsia="ko-KR"/>
        </w:rPr>
        <w:t xml:space="preserve"> fishery</w:t>
      </w:r>
      <w:r w:rsidR="009A285A" w:rsidRPr="004635E5">
        <w:rPr>
          <w:rFonts w:eastAsiaTheme="minorEastAsia"/>
          <w:sz w:val="22"/>
          <w:szCs w:val="22"/>
          <w:lang w:eastAsia="ko-KR"/>
        </w:rPr>
        <w:t xml:space="preserve">, and commented that it would be useful </w:t>
      </w:r>
      <w:r w:rsidRPr="004635E5">
        <w:rPr>
          <w:rFonts w:eastAsiaTheme="minorEastAsia"/>
          <w:sz w:val="22"/>
          <w:szCs w:val="22"/>
          <w:lang w:eastAsia="ko-KR"/>
        </w:rPr>
        <w:t xml:space="preserve">to provide </w:t>
      </w:r>
      <w:r w:rsidR="009A285A" w:rsidRPr="004635E5">
        <w:rPr>
          <w:rFonts w:eastAsiaTheme="minorEastAsia"/>
          <w:sz w:val="22"/>
          <w:szCs w:val="22"/>
          <w:lang w:eastAsia="ko-KR"/>
        </w:rPr>
        <w:t xml:space="preserve">the </w:t>
      </w:r>
      <w:r w:rsidRPr="004635E5">
        <w:rPr>
          <w:rFonts w:eastAsiaTheme="minorEastAsia"/>
          <w:sz w:val="22"/>
          <w:szCs w:val="22"/>
          <w:lang w:eastAsia="ko-KR"/>
        </w:rPr>
        <w:t>info</w:t>
      </w:r>
      <w:r w:rsidR="009A285A" w:rsidRPr="004635E5">
        <w:rPr>
          <w:rFonts w:eastAsiaTheme="minorEastAsia"/>
          <w:sz w:val="22"/>
          <w:szCs w:val="22"/>
          <w:lang w:eastAsia="ko-KR"/>
        </w:rPr>
        <w:t xml:space="preserve">rmation provided in the paper during training of fishing vessel </w:t>
      </w:r>
      <w:r w:rsidRPr="004635E5">
        <w:rPr>
          <w:rFonts w:eastAsiaTheme="minorEastAsia"/>
          <w:sz w:val="22"/>
          <w:szCs w:val="22"/>
          <w:lang w:eastAsia="ko-KR"/>
        </w:rPr>
        <w:t>capt</w:t>
      </w:r>
      <w:r w:rsidR="009A285A" w:rsidRPr="004635E5">
        <w:rPr>
          <w:rFonts w:eastAsiaTheme="minorEastAsia"/>
          <w:sz w:val="22"/>
          <w:szCs w:val="22"/>
          <w:lang w:eastAsia="ko-KR"/>
        </w:rPr>
        <w:t>a</w:t>
      </w:r>
      <w:r w:rsidRPr="004635E5">
        <w:rPr>
          <w:rFonts w:eastAsiaTheme="minorEastAsia"/>
          <w:sz w:val="22"/>
          <w:szCs w:val="22"/>
          <w:lang w:eastAsia="ko-KR"/>
        </w:rPr>
        <w:t>in</w:t>
      </w:r>
      <w:r w:rsidR="00A16680" w:rsidRPr="004635E5">
        <w:rPr>
          <w:rFonts w:eastAsiaTheme="minorEastAsia"/>
          <w:sz w:val="22"/>
          <w:szCs w:val="22"/>
          <w:lang w:eastAsia="ko-KR"/>
        </w:rPr>
        <w:t>s</w:t>
      </w:r>
      <w:r w:rsidRPr="004635E5">
        <w:rPr>
          <w:rFonts w:eastAsiaTheme="minorEastAsia"/>
          <w:sz w:val="22"/>
          <w:szCs w:val="22"/>
          <w:lang w:eastAsia="ko-KR"/>
        </w:rPr>
        <w:t xml:space="preserve">. </w:t>
      </w:r>
      <w:r w:rsidR="009A285A" w:rsidRPr="004635E5">
        <w:rPr>
          <w:rFonts w:eastAsiaTheme="minorEastAsia"/>
          <w:sz w:val="22"/>
          <w:szCs w:val="22"/>
          <w:lang w:eastAsia="ko-KR"/>
        </w:rPr>
        <w:t xml:space="preserve">Korea inquired about the </w:t>
      </w:r>
      <w:r w:rsidRPr="004635E5">
        <w:rPr>
          <w:rFonts w:eastAsiaTheme="minorEastAsia"/>
          <w:sz w:val="22"/>
          <w:szCs w:val="22"/>
          <w:lang w:eastAsia="ko-KR"/>
        </w:rPr>
        <w:t>rel</w:t>
      </w:r>
      <w:r w:rsidR="009A285A" w:rsidRPr="004635E5">
        <w:rPr>
          <w:rFonts w:eastAsiaTheme="minorEastAsia"/>
          <w:sz w:val="22"/>
          <w:szCs w:val="22"/>
          <w:lang w:eastAsia="ko-KR"/>
        </w:rPr>
        <w:t>a</w:t>
      </w:r>
      <w:r w:rsidRPr="004635E5">
        <w:rPr>
          <w:rFonts w:eastAsiaTheme="minorEastAsia"/>
          <w:sz w:val="22"/>
          <w:szCs w:val="22"/>
          <w:lang w:eastAsia="ko-KR"/>
        </w:rPr>
        <w:t>tionship between hook size and fish size selectivity</w:t>
      </w:r>
      <w:r w:rsidR="009A285A" w:rsidRPr="004635E5">
        <w:rPr>
          <w:rFonts w:eastAsiaTheme="minorEastAsia"/>
          <w:sz w:val="22"/>
          <w:szCs w:val="22"/>
          <w:lang w:eastAsia="ko-KR"/>
        </w:rPr>
        <w:t xml:space="preserve">; Y Swimmer noted the data are </w:t>
      </w:r>
      <w:r w:rsidRPr="004635E5">
        <w:rPr>
          <w:rFonts w:eastAsiaTheme="minorEastAsia"/>
          <w:sz w:val="22"/>
          <w:szCs w:val="22"/>
          <w:lang w:eastAsia="ko-KR"/>
        </w:rPr>
        <w:t xml:space="preserve">in the working paper. </w:t>
      </w:r>
    </w:p>
    <w:p w14:paraId="6D904EC7" w14:textId="77777777" w:rsidR="00DB2BB1" w:rsidRPr="004635E5" w:rsidRDefault="00DB2BB1" w:rsidP="006633A8">
      <w:pPr>
        <w:autoSpaceDE w:val="0"/>
        <w:autoSpaceDN w:val="0"/>
        <w:adjustRightInd w:val="0"/>
        <w:snapToGrid w:val="0"/>
        <w:jc w:val="both"/>
        <w:rPr>
          <w:rFonts w:eastAsiaTheme="minorEastAsia"/>
          <w:sz w:val="22"/>
          <w:szCs w:val="22"/>
          <w:lang w:eastAsia="ko-KR"/>
        </w:rPr>
      </w:pPr>
    </w:p>
    <w:p w14:paraId="542B09A0" w14:textId="77777777" w:rsidR="00F71D31" w:rsidRPr="004635E5" w:rsidRDefault="00F71D31"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Indonesia</w:t>
      </w:r>
      <w:r w:rsidR="009A285A" w:rsidRPr="004635E5">
        <w:rPr>
          <w:rFonts w:eastAsiaTheme="minorEastAsia"/>
          <w:sz w:val="22"/>
          <w:szCs w:val="22"/>
          <w:lang w:eastAsia="ko-KR"/>
        </w:rPr>
        <w:t xml:space="preserve"> inquired about </w:t>
      </w:r>
      <w:r w:rsidR="00383C3F" w:rsidRPr="004635E5">
        <w:rPr>
          <w:rFonts w:eastAsiaTheme="minorEastAsia"/>
          <w:sz w:val="22"/>
          <w:szCs w:val="22"/>
          <w:lang w:eastAsia="ko-KR"/>
        </w:rPr>
        <w:t xml:space="preserve">the </w:t>
      </w:r>
      <w:r w:rsidRPr="004635E5">
        <w:rPr>
          <w:rFonts w:eastAsiaTheme="minorEastAsia"/>
          <w:sz w:val="22"/>
          <w:szCs w:val="22"/>
          <w:lang w:eastAsia="ko-KR"/>
        </w:rPr>
        <w:t>equation for predicting mean catch</w:t>
      </w:r>
      <w:r w:rsidR="00383C3F" w:rsidRPr="004635E5">
        <w:rPr>
          <w:rFonts w:eastAsiaTheme="minorEastAsia"/>
          <w:sz w:val="22"/>
          <w:szCs w:val="22"/>
          <w:lang w:eastAsia="ko-KR"/>
        </w:rPr>
        <w:t>, and what “</w:t>
      </w:r>
      <w:r w:rsidRPr="004635E5">
        <w:rPr>
          <w:rFonts w:eastAsiaTheme="minorEastAsia"/>
          <w:sz w:val="22"/>
          <w:szCs w:val="22"/>
          <w:lang w:eastAsia="ko-KR"/>
        </w:rPr>
        <w:t>mean local abu</w:t>
      </w:r>
      <w:r w:rsidR="00383C3F" w:rsidRPr="004635E5">
        <w:rPr>
          <w:rFonts w:eastAsiaTheme="minorEastAsia"/>
          <w:sz w:val="22"/>
          <w:szCs w:val="22"/>
          <w:lang w:eastAsia="ko-KR"/>
        </w:rPr>
        <w:t>ndance” referred to</w:t>
      </w:r>
      <w:r w:rsidRPr="004635E5">
        <w:rPr>
          <w:rFonts w:eastAsiaTheme="minorEastAsia"/>
          <w:sz w:val="22"/>
          <w:szCs w:val="22"/>
          <w:lang w:eastAsia="ko-KR"/>
        </w:rPr>
        <w:t xml:space="preserve">. </w:t>
      </w:r>
      <w:r w:rsidR="00383C3F" w:rsidRPr="004635E5">
        <w:rPr>
          <w:rFonts w:eastAsiaTheme="minorEastAsia"/>
          <w:sz w:val="22"/>
          <w:szCs w:val="22"/>
          <w:lang w:eastAsia="ko-KR"/>
        </w:rPr>
        <w:t xml:space="preserve">K. Bigelow noted that </w:t>
      </w:r>
      <w:r w:rsidR="00DB2BB1" w:rsidRPr="004635E5">
        <w:rPr>
          <w:rFonts w:eastAsiaTheme="minorEastAsia"/>
          <w:sz w:val="22"/>
          <w:szCs w:val="22"/>
          <w:lang w:eastAsia="ko-KR"/>
        </w:rPr>
        <w:t xml:space="preserve">it </w:t>
      </w:r>
      <w:r w:rsidR="00383C3F" w:rsidRPr="004635E5">
        <w:rPr>
          <w:rFonts w:eastAsiaTheme="minorEastAsia"/>
          <w:sz w:val="22"/>
          <w:szCs w:val="22"/>
          <w:lang w:eastAsia="ko-KR"/>
        </w:rPr>
        <w:t xml:space="preserve">referred to the </w:t>
      </w:r>
      <w:r w:rsidRPr="004635E5">
        <w:rPr>
          <w:rFonts w:eastAsiaTheme="minorEastAsia"/>
          <w:sz w:val="22"/>
          <w:szCs w:val="22"/>
          <w:lang w:eastAsia="ko-KR"/>
        </w:rPr>
        <w:t xml:space="preserve">average catch rate, modified by the other parameters. </w:t>
      </w:r>
    </w:p>
    <w:p w14:paraId="121D172B" w14:textId="77777777" w:rsidR="00DB2BB1" w:rsidRPr="004635E5" w:rsidRDefault="00DB2BB1" w:rsidP="006633A8">
      <w:pPr>
        <w:autoSpaceDE w:val="0"/>
        <w:autoSpaceDN w:val="0"/>
        <w:adjustRightInd w:val="0"/>
        <w:snapToGrid w:val="0"/>
        <w:jc w:val="both"/>
        <w:rPr>
          <w:rFonts w:eastAsiaTheme="minorEastAsia"/>
          <w:sz w:val="22"/>
          <w:szCs w:val="22"/>
          <w:lang w:eastAsia="ko-KR"/>
        </w:rPr>
      </w:pPr>
    </w:p>
    <w:p w14:paraId="010E9083" w14:textId="77777777" w:rsidR="00F71D31" w:rsidRPr="004635E5" w:rsidRDefault="00383C3F"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In response to a query from </w:t>
      </w:r>
      <w:r w:rsidR="00F71D31" w:rsidRPr="004635E5">
        <w:rPr>
          <w:rFonts w:eastAsiaTheme="minorEastAsia"/>
          <w:sz w:val="22"/>
          <w:szCs w:val="22"/>
          <w:lang w:eastAsia="ko-KR"/>
        </w:rPr>
        <w:t>Aus</w:t>
      </w:r>
      <w:r w:rsidRPr="004635E5">
        <w:rPr>
          <w:rFonts w:eastAsiaTheme="minorEastAsia"/>
          <w:sz w:val="22"/>
          <w:szCs w:val="22"/>
          <w:lang w:eastAsia="ko-KR"/>
        </w:rPr>
        <w:t xml:space="preserve">tralia about the variability of </w:t>
      </w:r>
      <w:r w:rsidR="00F71D31" w:rsidRPr="004635E5">
        <w:rPr>
          <w:rFonts w:eastAsiaTheme="minorEastAsia"/>
          <w:sz w:val="22"/>
          <w:szCs w:val="22"/>
          <w:lang w:eastAsia="ko-KR"/>
        </w:rPr>
        <w:t xml:space="preserve">the setting practices in the </w:t>
      </w:r>
      <w:r w:rsidR="00A16680" w:rsidRPr="004635E5">
        <w:rPr>
          <w:rFonts w:eastAsiaTheme="minorEastAsia"/>
          <w:sz w:val="22"/>
          <w:szCs w:val="22"/>
          <w:lang w:eastAsia="ko-KR"/>
        </w:rPr>
        <w:t>two</w:t>
      </w:r>
      <w:r w:rsidR="00F81EF0">
        <w:rPr>
          <w:rFonts w:eastAsiaTheme="minorEastAsia"/>
          <w:sz w:val="22"/>
          <w:szCs w:val="22"/>
          <w:lang w:eastAsia="ko-KR"/>
        </w:rPr>
        <w:t xml:space="preserve"> </w:t>
      </w:r>
      <w:r w:rsidR="00F71D31" w:rsidRPr="004635E5">
        <w:rPr>
          <w:rFonts w:eastAsiaTheme="minorEastAsia"/>
          <w:sz w:val="22"/>
          <w:szCs w:val="22"/>
          <w:lang w:eastAsia="ko-KR"/>
        </w:rPr>
        <w:t xml:space="preserve">fleets, </w:t>
      </w:r>
      <w:r w:rsidRPr="004635E5">
        <w:rPr>
          <w:rFonts w:eastAsiaTheme="minorEastAsia"/>
          <w:sz w:val="22"/>
          <w:szCs w:val="22"/>
          <w:lang w:eastAsia="ko-KR"/>
        </w:rPr>
        <w:t xml:space="preserve">and the potential availability </w:t>
      </w:r>
      <w:r w:rsidR="00F71D31" w:rsidRPr="004635E5">
        <w:rPr>
          <w:rFonts w:eastAsiaTheme="minorEastAsia"/>
          <w:sz w:val="22"/>
          <w:szCs w:val="22"/>
          <w:lang w:eastAsia="ko-KR"/>
        </w:rPr>
        <w:t>of</w:t>
      </w:r>
      <w:r w:rsidRPr="004635E5">
        <w:rPr>
          <w:rFonts w:eastAsiaTheme="minorEastAsia"/>
          <w:sz w:val="22"/>
          <w:szCs w:val="22"/>
          <w:lang w:eastAsia="ko-KR"/>
        </w:rPr>
        <w:t xml:space="preserve"> observer </w:t>
      </w:r>
      <w:r w:rsidR="00F71D31" w:rsidRPr="004635E5">
        <w:rPr>
          <w:rFonts w:eastAsiaTheme="minorEastAsia"/>
          <w:sz w:val="22"/>
          <w:szCs w:val="22"/>
          <w:lang w:eastAsia="ko-KR"/>
        </w:rPr>
        <w:t xml:space="preserve">gear setting </w:t>
      </w:r>
      <w:r w:rsidRPr="004635E5">
        <w:rPr>
          <w:rFonts w:eastAsiaTheme="minorEastAsia"/>
          <w:sz w:val="22"/>
          <w:szCs w:val="22"/>
          <w:lang w:eastAsia="ko-KR"/>
        </w:rPr>
        <w:t>data, K. Bigelow stated that they l</w:t>
      </w:r>
      <w:r w:rsidR="00CA4DE1" w:rsidRPr="004635E5">
        <w:rPr>
          <w:rFonts w:eastAsiaTheme="minorEastAsia"/>
          <w:sz w:val="22"/>
          <w:szCs w:val="22"/>
          <w:lang w:eastAsia="ko-KR"/>
        </w:rPr>
        <w:t xml:space="preserve">ooked at </w:t>
      </w:r>
      <w:r w:rsidR="00A16680" w:rsidRPr="004635E5">
        <w:rPr>
          <w:rFonts w:eastAsiaTheme="minorEastAsia"/>
          <w:sz w:val="22"/>
          <w:szCs w:val="22"/>
          <w:lang w:eastAsia="ko-KR"/>
        </w:rPr>
        <w:t xml:space="preserve">two </w:t>
      </w:r>
      <w:r w:rsidR="00CA4DE1" w:rsidRPr="004635E5">
        <w:rPr>
          <w:rFonts w:eastAsiaTheme="minorEastAsia"/>
          <w:sz w:val="22"/>
          <w:szCs w:val="22"/>
          <w:lang w:eastAsia="ko-KR"/>
        </w:rPr>
        <w:t>fleets</w:t>
      </w:r>
      <w:r w:rsidRPr="004635E5">
        <w:rPr>
          <w:rFonts w:eastAsiaTheme="minorEastAsia"/>
          <w:sz w:val="22"/>
          <w:szCs w:val="22"/>
          <w:lang w:eastAsia="ko-KR"/>
        </w:rPr>
        <w:t xml:space="preserve"> but did not </w:t>
      </w:r>
      <w:r w:rsidR="00CA4DE1" w:rsidRPr="004635E5">
        <w:rPr>
          <w:rFonts w:eastAsiaTheme="minorEastAsia"/>
          <w:sz w:val="22"/>
          <w:szCs w:val="22"/>
          <w:lang w:eastAsia="ko-KR"/>
        </w:rPr>
        <w:t>cons</w:t>
      </w:r>
      <w:r w:rsidRPr="004635E5">
        <w:rPr>
          <w:rFonts w:eastAsiaTheme="minorEastAsia"/>
          <w:sz w:val="22"/>
          <w:szCs w:val="22"/>
          <w:lang w:eastAsia="ko-KR"/>
        </w:rPr>
        <w:t>i</w:t>
      </w:r>
      <w:r w:rsidR="00CA4DE1" w:rsidRPr="004635E5">
        <w:rPr>
          <w:rFonts w:eastAsiaTheme="minorEastAsia"/>
          <w:sz w:val="22"/>
          <w:szCs w:val="22"/>
          <w:lang w:eastAsia="ko-KR"/>
        </w:rPr>
        <w:t xml:space="preserve">der set </w:t>
      </w:r>
      <w:r w:rsidRPr="004635E5">
        <w:rPr>
          <w:rFonts w:eastAsiaTheme="minorEastAsia"/>
          <w:sz w:val="22"/>
          <w:szCs w:val="22"/>
          <w:lang w:eastAsia="ko-KR"/>
        </w:rPr>
        <w:t>parameters</w:t>
      </w:r>
      <w:r w:rsidR="00CA4DE1" w:rsidRPr="004635E5">
        <w:rPr>
          <w:rFonts w:eastAsiaTheme="minorEastAsia"/>
          <w:sz w:val="22"/>
          <w:szCs w:val="22"/>
          <w:lang w:eastAsia="ko-KR"/>
        </w:rPr>
        <w:t>.</w:t>
      </w:r>
      <w:r w:rsidR="00A16680" w:rsidRPr="004635E5">
        <w:rPr>
          <w:rFonts w:eastAsiaTheme="minorEastAsia"/>
          <w:sz w:val="22"/>
          <w:szCs w:val="22"/>
          <w:lang w:eastAsia="ko-KR"/>
        </w:rPr>
        <w:t xml:space="preserve"> </w:t>
      </w:r>
      <w:r w:rsidR="00CA4DE1" w:rsidRPr="004635E5">
        <w:rPr>
          <w:rFonts w:eastAsiaTheme="minorEastAsia"/>
          <w:sz w:val="22"/>
          <w:szCs w:val="22"/>
          <w:lang w:eastAsia="ko-KR"/>
        </w:rPr>
        <w:t>Aus</w:t>
      </w:r>
      <w:r w:rsidR="00A16680" w:rsidRPr="004635E5">
        <w:rPr>
          <w:rFonts w:eastAsiaTheme="minorEastAsia"/>
          <w:sz w:val="22"/>
          <w:szCs w:val="22"/>
          <w:lang w:eastAsia="ko-KR"/>
        </w:rPr>
        <w:t>tralia</w:t>
      </w:r>
      <w:r w:rsidR="00CA4DE1" w:rsidRPr="004635E5">
        <w:rPr>
          <w:rFonts w:eastAsiaTheme="minorEastAsia"/>
          <w:sz w:val="22"/>
          <w:szCs w:val="22"/>
          <w:lang w:eastAsia="ko-KR"/>
        </w:rPr>
        <w:t xml:space="preserve"> </w:t>
      </w:r>
      <w:r w:rsidR="00BE1357" w:rsidRPr="004635E5">
        <w:rPr>
          <w:rFonts w:eastAsiaTheme="minorEastAsia"/>
          <w:sz w:val="22"/>
          <w:szCs w:val="22"/>
          <w:lang w:eastAsia="ko-KR"/>
        </w:rPr>
        <w:t>n</w:t>
      </w:r>
      <w:r w:rsidRPr="004635E5">
        <w:rPr>
          <w:rFonts w:eastAsiaTheme="minorEastAsia"/>
          <w:sz w:val="22"/>
          <w:szCs w:val="22"/>
          <w:lang w:eastAsia="ko-KR"/>
        </w:rPr>
        <w:t xml:space="preserve">oted </w:t>
      </w:r>
      <w:r w:rsidR="00BE1357" w:rsidRPr="004635E5">
        <w:rPr>
          <w:rFonts w:eastAsiaTheme="minorEastAsia"/>
          <w:sz w:val="22"/>
          <w:szCs w:val="22"/>
          <w:lang w:eastAsia="ko-KR"/>
        </w:rPr>
        <w:t>that m</w:t>
      </w:r>
      <w:r w:rsidR="00CA4DE1" w:rsidRPr="004635E5">
        <w:rPr>
          <w:rFonts w:eastAsiaTheme="minorEastAsia"/>
          <w:sz w:val="22"/>
          <w:szCs w:val="22"/>
          <w:lang w:eastAsia="ko-KR"/>
        </w:rPr>
        <w:t>in</w:t>
      </w:r>
      <w:r w:rsidR="00BE1357" w:rsidRPr="004635E5">
        <w:rPr>
          <w:rFonts w:eastAsiaTheme="minorEastAsia"/>
          <w:sz w:val="22"/>
          <w:szCs w:val="22"/>
          <w:lang w:eastAsia="ko-KR"/>
        </w:rPr>
        <w:t>imum</w:t>
      </w:r>
      <w:r w:rsidR="00CA4DE1" w:rsidRPr="004635E5">
        <w:rPr>
          <w:rFonts w:eastAsiaTheme="minorEastAsia"/>
          <w:sz w:val="22"/>
          <w:szCs w:val="22"/>
          <w:lang w:eastAsia="ko-KR"/>
        </w:rPr>
        <w:t xml:space="preserve"> hook size </w:t>
      </w:r>
      <w:r w:rsidR="00BE1357" w:rsidRPr="004635E5">
        <w:rPr>
          <w:rFonts w:eastAsiaTheme="minorEastAsia"/>
          <w:sz w:val="22"/>
          <w:szCs w:val="22"/>
          <w:lang w:eastAsia="ko-KR"/>
        </w:rPr>
        <w:t>varies</w:t>
      </w:r>
      <w:r w:rsidR="00CA4DE1" w:rsidRPr="004635E5">
        <w:rPr>
          <w:rFonts w:eastAsiaTheme="minorEastAsia"/>
          <w:sz w:val="22"/>
          <w:szCs w:val="22"/>
          <w:lang w:eastAsia="ko-KR"/>
        </w:rPr>
        <w:t xml:space="preserve"> between manufacturers</w:t>
      </w:r>
      <w:r w:rsidR="00BE1357" w:rsidRPr="004635E5">
        <w:rPr>
          <w:rFonts w:eastAsiaTheme="minorEastAsia"/>
          <w:sz w:val="22"/>
          <w:szCs w:val="22"/>
          <w:lang w:eastAsia="ko-KR"/>
        </w:rPr>
        <w:t xml:space="preserve">, and they </w:t>
      </w:r>
      <w:r w:rsidR="00CA4DE1" w:rsidRPr="004635E5">
        <w:rPr>
          <w:rFonts w:eastAsiaTheme="minorEastAsia"/>
          <w:sz w:val="22"/>
          <w:szCs w:val="22"/>
          <w:lang w:eastAsia="ko-KR"/>
        </w:rPr>
        <w:t>are now clearly defining what those sizes are</w:t>
      </w:r>
      <w:r w:rsidR="00A16680" w:rsidRPr="004635E5">
        <w:rPr>
          <w:rFonts w:eastAsiaTheme="minorEastAsia"/>
          <w:sz w:val="22"/>
          <w:szCs w:val="22"/>
          <w:lang w:eastAsia="ko-KR"/>
        </w:rPr>
        <w:t xml:space="preserve">, and recommended that </w:t>
      </w:r>
      <w:r w:rsidR="00BE1357" w:rsidRPr="004635E5">
        <w:rPr>
          <w:rFonts w:eastAsiaTheme="minorEastAsia"/>
          <w:sz w:val="22"/>
          <w:szCs w:val="22"/>
          <w:lang w:eastAsia="ko-KR"/>
        </w:rPr>
        <w:t xml:space="preserve">SC do the same </w:t>
      </w:r>
      <w:r w:rsidR="00CA4DE1" w:rsidRPr="004635E5">
        <w:rPr>
          <w:rFonts w:eastAsiaTheme="minorEastAsia"/>
          <w:sz w:val="22"/>
          <w:szCs w:val="22"/>
          <w:lang w:eastAsia="ko-KR"/>
        </w:rPr>
        <w:t>so when making rec</w:t>
      </w:r>
      <w:r w:rsidR="00BE1357" w:rsidRPr="004635E5">
        <w:rPr>
          <w:rFonts w:eastAsiaTheme="minorEastAsia"/>
          <w:sz w:val="22"/>
          <w:szCs w:val="22"/>
          <w:lang w:eastAsia="ko-KR"/>
        </w:rPr>
        <w:t>ommendation</w:t>
      </w:r>
      <w:r w:rsidR="00CA4DE1" w:rsidRPr="004635E5">
        <w:rPr>
          <w:rFonts w:eastAsiaTheme="minorEastAsia"/>
          <w:sz w:val="22"/>
          <w:szCs w:val="22"/>
          <w:lang w:eastAsia="ko-KR"/>
        </w:rPr>
        <w:t xml:space="preserve">s. </w:t>
      </w:r>
    </w:p>
    <w:p w14:paraId="26CA946F" w14:textId="77777777" w:rsidR="00DB2BB1" w:rsidRPr="004635E5" w:rsidRDefault="00DB2BB1" w:rsidP="006633A8">
      <w:pPr>
        <w:autoSpaceDE w:val="0"/>
        <w:autoSpaceDN w:val="0"/>
        <w:adjustRightInd w:val="0"/>
        <w:snapToGrid w:val="0"/>
        <w:jc w:val="both"/>
        <w:rPr>
          <w:rFonts w:eastAsiaTheme="minorEastAsia"/>
          <w:sz w:val="22"/>
          <w:szCs w:val="22"/>
          <w:lang w:eastAsia="ko-KR"/>
        </w:rPr>
      </w:pPr>
    </w:p>
    <w:p w14:paraId="44AD2B8F" w14:textId="77777777" w:rsidR="00BE1357" w:rsidRPr="004635E5" w:rsidRDefault="00CA4DE1"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S</w:t>
      </w:r>
      <w:r w:rsidR="00A16680" w:rsidRPr="004635E5">
        <w:rPr>
          <w:rFonts w:eastAsiaTheme="minorEastAsia"/>
          <w:sz w:val="22"/>
          <w:szCs w:val="22"/>
          <w:lang w:eastAsia="ko-KR"/>
        </w:rPr>
        <w:t xml:space="preserve">olomon Islands, </w:t>
      </w:r>
      <w:r w:rsidR="00BE1357" w:rsidRPr="004635E5">
        <w:rPr>
          <w:rFonts w:eastAsiaTheme="minorEastAsia"/>
          <w:sz w:val="22"/>
          <w:szCs w:val="22"/>
          <w:lang w:eastAsia="ko-KR"/>
        </w:rPr>
        <w:t>on behalf of FFA members</w:t>
      </w:r>
      <w:r w:rsidR="00A16680" w:rsidRPr="004635E5">
        <w:rPr>
          <w:rFonts w:eastAsiaTheme="minorEastAsia"/>
          <w:sz w:val="22"/>
          <w:szCs w:val="22"/>
          <w:lang w:eastAsia="ko-KR"/>
        </w:rPr>
        <w:t>,</w:t>
      </w:r>
      <w:r w:rsidR="00BE1357" w:rsidRPr="004635E5">
        <w:rPr>
          <w:rFonts w:eastAsiaTheme="minorEastAsia"/>
          <w:sz w:val="22"/>
          <w:szCs w:val="22"/>
          <w:lang w:eastAsia="ko-KR"/>
        </w:rPr>
        <w:t xml:space="preserve"> thanked the US</w:t>
      </w:r>
      <w:r w:rsidR="00A16680" w:rsidRPr="004635E5">
        <w:rPr>
          <w:rFonts w:eastAsiaTheme="minorEastAsia"/>
          <w:sz w:val="22"/>
          <w:szCs w:val="22"/>
          <w:lang w:eastAsia="ko-KR"/>
        </w:rPr>
        <w:t>A</w:t>
      </w:r>
      <w:r w:rsidR="00BE1357" w:rsidRPr="004635E5">
        <w:rPr>
          <w:rFonts w:eastAsiaTheme="minorEastAsia"/>
          <w:sz w:val="22"/>
          <w:szCs w:val="22"/>
          <w:lang w:eastAsia="ko-KR"/>
        </w:rPr>
        <w:t xml:space="preserve"> for presenting </w:t>
      </w:r>
      <w:r w:rsidR="00A16680" w:rsidRPr="004635E5">
        <w:rPr>
          <w:rFonts w:eastAsiaTheme="minorEastAsia"/>
          <w:sz w:val="22"/>
          <w:szCs w:val="22"/>
          <w:lang w:eastAsia="ko-KR"/>
        </w:rPr>
        <w:t xml:space="preserve">the </w:t>
      </w:r>
      <w:r w:rsidR="00BE1357" w:rsidRPr="004635E5">
        <w:rPr>
          <w:rFonts w:eastAsiaTheme="minorEastAsia"/>
          <w:sz w:val="22"/>
          <w:szCs w:val="22"/>
          <w:lang w:eastAsia="ko-KR"/>
        </w:rPr>
        <w:t xml:space="preserve">studies, noting they </w:t>
      </w:r>
      <w:r w:rsidR="00A16680" w:rsidRPr="004635E5">
        <w:rPr>
          <w:rFonts w:eastAsiaTheme="minorEastAsia"/>
          <w:sz w:val="22"/>
          <w:szCs w:val="22"/>
          <w:lang w:eastAsia="ko-KR"/>
        </w:rPr>
        <w:t>helped resolve</w:t>
      </w:r>
      <w:r w:rsidR="00BE1357" w:rsidRPr="004635E5">
        <w:rPr>
          <w:rFonts w:eastAsiaTheme="minorEastAsia"/>
          <w:sz w:val="22"/>
          <w:szCs w:val="22"/>
          <w:lang w:eastAsia="ko-KR"/>
        </w:rPr>
        <w:t xml:space="preserve"> some outstanding questions on the use of circle hooks, perhaps offering some pathway to resolving one of the weaknesses in the CMM of undefined “large circle hook’. </w:t>
      </w:r>
      <w:r w:rsidR="00A16680" w:rsidRPr="004635E5">
        <w:rPr>
          <w:rFonts w:eastAsiaTheme="minorEastAsia"/>
          <w:sz w:val="22"/>
          <w:szCs w:val="22"/>
          <w:lang w:eastAsia="ko-KR"/>
        </w:rPr>
        <w:t xml:space="preserve">The queried whether it would </w:t>
      </w:r>
      <w:r w:rsidR="00BE1357" w:rsidRPr="004635E5">
        <w:rPr>
          <w:rFonts w:eastAsiaTheme="minorEastAsia"/>
          <w:sz w:val="22"/>
          <w:szCs w:val="22"/>
          <w:lang w:eastAsia="ko-KR"/>
        </w:rPr>
        <w:t xml:space="preserve">be possible, based on </w:t>
      </w:r>
      <w:r w:rsidR="00A16680" w:rsidRPr="004635E5">
        <w:rPr>
          <w:rFonts w:eastAsiaTheme="minorEastAsia"/>
          <w:sz w:val="22"/>
          <w:szCs w:val="22"/>
          <w:lang w:eastAsia="ko-KR"/>
        </w:rPr>
        <w:t xml:space="preserve">the </w:t>
      </w:r>
      <w:r w:rsidR="00BE1357" w:rsidRPr="004635E5">
        <w:rPr>
          <w:rFonts w:eastAsiaTheme="minorEastAsia"/>
          <w:sz w:val="22"/>
          <w:szCs w:val="22"/>
          <w:lang w:eastAsia="ko-KR"/>
        </w:rPr>
        <w:t xml:space="preserve">study, to include </w:t>
      </w:r>
      <w:r w:rsidR="00A16680" w:rsidRPr="004635E5">
        <w:rPr>
          <w:rFonts w:eastAsiaTheme="minorEastAsia"/>
          <w:sz w:val="22"/>
          <w:szCs w:val="22"/>
          <w:lang w:eastAsia="ko-KR"/>
        </w:rPr>
        <w:t xml:space="preserve">a </w:t>
      </w:r>
      <w:r w:rsidR="00BE1357" w:rsidRPr="004635E5">
        <w:rPr>
          <w:rFonts w:eastAsiaTheme="minorEastAsia"/>
          <w:sz w:val="22"/>
          <w:szCs w:val="22"/>
          <w:lang w:eastAsia="ko-KR"/>
        </w:rPr>
        <w:t xml:space="preserve">reference to </w:t>
      </w:r>
      <w:r w:rsidR="00A16680" w:rsidRPr="004635E5">
        <w:rPr>
          <w:rFonts w:eastAsiaTheme="minorEastAsia"/>
          <w:sz w:val="22"/>
          <w:szCs w:val="22"/>
          <w:lang w:eastAsia="ko-KR"/>
        </w:rPr>
        <w:t xml:space="preserve">a </w:t>
      </w:r>
      <w:r w:rsidR="00BE1357" w:rsidRPr="004635E5">
        <w:rPr>
          <w:rFonts w:eastAsiaTheme="minorEastAsia"/>
          <w:sz w:val="22"/>
          <w:szCs w:val="22"/>
          <w:lang w:eastAsia="ko-KR"/>
        </w:rPr>
        <w:t>specific hook size in any future draft amendments to the CMM</w:t>
      </w:r>
      <w:r w:rsidR="00A16680" w:rsidRPr="004635E5">
        <w:rPr>
          <w:rFonts w:eastAsiaTheme="minorEastAsia"/>
          <w:sz w:val="22"/>
          <w:szCs w:val="22"/>
          <w:lang w:eastAsia="ko-KR"/>
        </w:rPr>
        <w:t>.</w:t>
      </w:r>
      <w:r w:rsidR="00BE1357" w:rsidRPr="004635E5">
        <w:rPr>
          <w:rFonts w:eastAsiaTheme="minorEastAsia"/>
          <w:sz w:val="22"/>
          <w:szCs w:val="22"/>
          <w:lang w:eastAsia="ko-KR"/>
        </w:rPr>
        <w:t xml:space="preserve"> The</w:t>
      </w:r>
      <w:r w:rsidR="00A16680" w:rsidRPr="004635E5">
        <w:rPr>
          <w:rFonts w:eastAsiaTheme="minorEastAsia"/>
          <w:sz w:val="22"/>
          <w:szCs w:val="22"/>
          <w:lang w:eastAsia="ko-KR"/>
        </w:rPr>
        <w:t>y</w:t>
      </w:r>
      <w:r w:rsidR="00BE1357" w:rsidRPr="004635E5">
        <w:rPr>
          <w:rFonts w:eastAsiaTheme="minorEastAsia"/>
          <w:sz w:val="22"/>
          <w:szCs w:val="22"/>
          <w:lang w:eastAsia="ko-KR"/>
        </w:rPr>
        <w:t xml:space="preserve"> noted the study was confined to two fisheries</w:t>
      </w:r>
      <w:r w:rsidR="00A16680" w:rsidRPr="004635E5">
        <w:rPr>
          <w:rFonts w:eastAsiaTheme="minorEastAsia"/>
          <w:sz w:val="22"/>
          <w:szCs w:val="22"/>
          <w:lang w:eastAsia="ko-KR"/>
        </w:rPr>
        <w:t xml:space="preserve">, and asked if </w:t>
      </w:r>
      <w:r w:rsidR="00BE1357" w:rsidRPr="004635E5">
        <w:rPr>
          <w:rFonts w:eastAsiaTheme="minorEastAsia"/>
          <w:sz w:val="22"/>
          <w:szCs w:val="22"/>
          <w:lang w:eastAsia="ko-KR"/>
        </w:rPr>
        <w:t xml:space="preserve">it </w:t>
      </w:r>
      <w:r w:rsidR="00A16680" w:rsidRPr="004635E5">
        <w:rPr>
          <w:rFonts w:eastAsiaTheme="minorEastAsia"/>
          <w:sz w:val="22"/>
          <w:szCs w:val="22"/>
          <w:lang w:eastAsia="ko-KR"/>
        </w:rPr>
        <w:t xml:space="preserve">would </w:t>
      </w:r>
      <w:r w:rsidR="00BE1357" w:rsidRPr="004635E5">
        <w:rPr>
          <w:rFonts w:eastAsiaTheme="minorEastAsia"/>
          <w:sz w:val="22"/>
          <w:szCs w:val="22"/>
          <w:lang w:eastAsia="ko-KR"/>
        </w:rPr>
        <w:t>be necessary</w:t>
      </w:r>
      <w:r w:rsidR="00A16680" w:rsidRPr="004635E5">
        <w:rPr>
          <w:rFonts w:eastAsiaTheme="minorEastAsia"/>
          <w:sz w:val="22"/>
          <w:szCs w:val="22"/>
          <w:lang w:eastAsia="ko-KR"/>
        </w:rPr>
        <w:t xml:space="preserve"> or </w:t>
      </w:r>
      <w:r w:rsidR="00BE1357" w:rsidRPr="004635E5">
        <w:rPr>
          <w:rFonts w:eastAsiaTheme="minorEastAsia"/>
          <w:sz w:val="22"/>
          <w:szCs w:val="22"/>
          <w:lang w:eastAsia="ko-KR"/>
        </w:rPr>
        <w:t xml:space="preserve">desirable to expand the spatial scope of </w:t>
      </w:r>
      <w:r w:rsidR="00A16680" w:rsidRPr="004635E5">
        <w:rPr>
          <w:rFonts w:eastAsiaTheme="minorEastAsia"/>
          <w:sz w:val="22"/>
          <w:szCs w:val="22"/>
          <w:lang w:eastAsia="ko-KR"/>
        </w:rPr>
        <w:t xml:space="preserve">the </w:t>
      </w:r>
      <w:r w:rsidR="00BE1357" w:rsidRPr="004635E5">
        <w:rPr>
          <w:rFonts w:eastAsiaTheme="minorEastAsia"/>
          <w:sz w:val="22"/>
          <w:szCs w:val="22"/>
          <w:lang w:eastAsia="ko-KR"/>
        </w:rPr>
        <w:t>large circle hook tests beyond the two fisheries in the study to more conclusively demonstrate that they will not result in reduction</w:t>
      </w:r>
      <w:r w:rsidR="00A16680" w:rsidRPr="004635E5">
        <w:rPr>
          <w:rFonts w:eastAsiaTheme="minorEastAsia"/>
          <w:sz w:val="22"/>
          <w:szCs w:val="22"/>
          <w:lang w:eastAsia="ko-KR"/>
        </w:rPr>
        <w:t>s in target species catch rates.</w:t>
      </w:r>
    </w:p>
    <w:p w14:paraId="426CEBFF" w14:textId="77777777" w:rsidR="00DB2BB1" w:rsidRPr="004635E5" w:rsidRDefault="00DB2BB1" w:rsidP="006633A8">
      <w:pPr>
        <w:autoSpaceDE w:val="0"/>
        <w:autoSpaceDN w:val="0"/>
        <w:adjustRightInd w:val="0"/>
        <w:snapToGrid w:val="0"/>
        <w:jc w:val="both"/>
        <w:rPr>
          <w:rFonts w:eastAsiaTheme="minorEastAsia"/>
          <w:sz w:val="22"/>
          <w:szCs w:val="22"/>
          <w:lang w:eastAsia="ko-KR"/>
        </w:rPr>
      </w:pPr>
    </w:p>
    <w:p w14:paraId="67A66C1A" w14:textId="77777777" w:rsidR="00A16680" w:rsidRPr="004635E5" w:rsidRDefault="00BE1357"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CD6739">
        <w:rPr>
          <w:rFonts w:eastAsiaTheme="minorEastAsia"/>
          <w:sz w:val="22"/>
          <w:szCs w:val="22"/>
          <w:lang w:eastAsia="ko-KR"/>
        </w:rPr>
        <w:t xml:space="preserve">The </w:t>
      </w:r>
      <w:r w:rsidR="00CA4DE1" w:rsidRPr="00CD6739">
        <w:rPr>
          <w:rFonts w:eastAsiaTheme="minorEastAsia"/>
          <w:sz w:val="22"/>
          <w:szCs w:val="22"/>
          <w:lang w:eastAsia="ko-KR"/>
        </w:rPr>
        <w:t>USA</w:t>
      </w:r>
      <w:r w:rsidRPr="00CD6739">
        <w:rPr>
          <w:rFonts w:eastAsiaTheme="minorEastAsia"/>
          <w:sz w:val="22"/>
          <w:szCs w:val="22"/>
          <w:lang w:eastAsia="ko-KR"/>
        </w:rPr>
        <w:t xml:space="preserve"> noted they were </w:t>
      </w:r>
      <w:r w:rsidR="00CA4DE1" w:rsidRPr="00CD6739">
        <w:rPr>
          <w:rFonts w:eastAsiaTheme="minorEastAsia"/>
          <w:sz w:val="22"/>
          <w:szCs w:val="22"/>
          <w:lang w:eastAsia="ko-KR"/>
        </w:rPr>
        <w:t xml:space="preserve">defining large circle hooks </w:t>
      </w:r>
      <w:r w:rsidRPr="00CD6739">
        <w:rPr>
          <w:rFonts w:eastAsiaTheme="minorEastAsia"/>
          <w:sz w:val="22"/>
          <w:szCs w:val="22"/>
          <w:lang w:eastAsia="ko-KR"/>
        </w:rPr>
        <w:t xml:space="preserve">as </w:t>
      </w:r>
      <w:r w:rsidR="00A16680" w:rsidRPr="00CD6739">
        <w:rPr>
          <w:rFonts w:eastAsiaTheme="minorEastAsia"/>
          <w:sz w:val="22"/>
          <w:szCs w:val="22"/>
          <w:lang w:eastAsia="ko-KR"/>
        </w:rPr>
        <w:t xml:space="preserve">16/0, </w:t>
      </w:r>
      <w:r w:rsidRPr="00CD6739">
        <w:rPr>
          <w:rFonts w:eastAsiaTheme="minorEastAsia"/>
          <w:sz w:val="22"/>
          <w:szCs w:val="22"/>
          <w:lang w:eastAsia="ko-KR"/>
        </w:rPr>
        <w:t xml:space="preserve">having a minimum </w:t>
      </w:r>
      <w:r w:rsidR="00CA4DE1" w:rsidRPr="00CD6739">
        <w:rPr>
          <w:rFonts w:eastAsiaTheme="minorEastAsia"/>
          <w:sz w:val="22"/>
          <w:szCs w:val="22"/>
          <w:lang w:eastAsia="ko-KR"/>
        </w:rPr>
        <w:t xml:space="preserve">4.4 cm width. </w:t>
      </w:r>
      <w:r w:rsidR="00A16680" w:rsidRPr="00CD6739">
        <w:rPr>
          <w:rFonts w:eastAsiaTheme="minorEastAsia"/>
          <w:sz w:val="22"/>
          <w:szCs w:val="22"/>
          <w:lang w:eastAsia="ko-KR"/>
        </w:rPr>
        <w:t xml:space="preserve">They noted there </w:t>
      </w:r>
      <w:r w:rsidRPr="00CD6739">
        <w:rPr>
          <w:rFonts w:eastAsiaTheme="minorEastAsia"/>
          <w:sz w:val="22"/>
          <w:szCs w:val="22"/>
          <w:lang w:eastAsia="ko-KR"/>
        </w:rPr>
        <w:t xml:space="preserve">have been numerous studies </w:t>
      </w:r>
      <w:r w:rsidR="00A16680" w:rsidRPr="00CD6739">
        <w:rPr>
          <w:rFonts w:eastAsiaTheme="minorEastAsia"/>
          <w:sz w:val="22"/>
          <w:szCs w:val="22"/>
          <w:lang w:eastAsia="ko-KR"/>
        </w:rPr>
        <w:t xml:space="preserve">(e.g., </w:t>
      </w:r>
      <w:r w:rsidR="00A16680" w:rsidRPr="00CD6739">
        <w:rPr>
          <w:rFonts w:eastAsiaTheme="minorEastAsia"/>
          <w:sz w:val="22"/>
          <w:szCs w:val="22"/>
          <w:lang w:val="en-AU" w:eastAsia="ko-KR"/>
        </w:rPr>
        <w:t xml:space="preserve">Curran and Beverly (2012) in the Bulletin of Marine Science 88 (3)) </w:t>
      </w:r>
      <w:r w:rsidRPr="00CD6739">
        <w:rPr>
          <w:rFonts w:eastAsiaTheme="minorEastAsia"/>
          <w:sz w:val="22"/>
          <w:szCs w:val="22"/>
          <w:lang w:eastAsia="ko-KR"/>
        </w:rPr>
        <w:t>that document</w:t>
      </w:r>
      <w:r w:rsidR="00CA4DE1" w:rsidRPr="00CD6739">
        <w:rPr>
          <w:rFonts w:eastAsiaTheme="minorEastAsia"/>
          <w:sz w:val="22"/>
          <w:szCs w:val="22"/>
          <w:lang w:eastAsia="ko-KR"/>
        </w:rPr>
        <w:t xml:space="preserve"> the </w:t>
      </w:r>
      <w:r w:rsidRPr="00CD6739">
        <w:rPr>
          <w:rFonts w:eastAsiaTheme="minorEastAsia"/>
          <w:sz w:val="22"/>
          <w:szCs w:val="22"/>
          <w:lang w:eastAsia="ko-KR"/>
        </w:rPr>
        <w:t>correlation between</w:t>
      </w:r>
      <w:r w:rsidRPr="004635E5">
        <w:rPr>
          <w:rFonts w:eastAsiaTheme="minorEastAsia"/>
          <w:sz w:val="22"/>
          <w:szCs w:val="22"/>
          <w:lang w:eastAsia="ko-KR"/>
        </w:rPr>
        <w:t xml:space="preserve"> hook size and reduction in </w:t>
      </w:r>
      <w:r w:rsidR="00CA4DE1" w:rsidRPr="004635E5">
        <w:rPr>
          <w:rFonts w:eastAsiaTheme="minorEastAsia"/>
          <w:sz w:val="22"/>
          <w:szCs w:val="22"/>
          <w:lang w:eastAsia="ko-KR"/>
        </w:rPr>
        <w:t xml:space="preserve">sea turtle interactions. </w:t>
      </w:r>
      <w:r w:rsidR="00A16680" w:rsidRPr="004635E5">
        <w:rPr>
          <w:rFonts w:eastAsiaTheme="minorEastAsia"/>
          <w:sz w:val="22"/>
          <w:szCs w:val="22"/>
          <w:lang w:eastAsia="ko-KR"/>
        </w:rPr>
        <w:t xml:space="preserve">They stated that smaller hooks </w:t>
      </w:r>
      <w:r w:rsidR="00CA4DE1" w:rsidRPr="004635E5">
        <w:rPr>
          <w:rFonts w:eastAsiaTheme="minorEastAsia"/>
          <w:sz w:val="22"/>
          <w:szCs w:val="22"/>
          <w:lang w:eastAsia="ko-KR"/>
        </w:rPr>
        <w:t xml:space="preserve">would </w:t>
      </w:r>
      <w:r w:rsidRPr="004635E5">
        <w:rPr>
          <w:rFonts w:eastAsiaTheme="minorEastAsia"/>
          <w:sz w:val="22"/>
          <w:szCs w:val="22"/>
          <w:lang w:eastAsia="ko-KR"/>
        </w:rPr>
        <w:t xml:space="preserve">result in more interactions </w:t>
      </w:r>
      <w:r w:rsidR="00A16680" w:rsidRPr="004635E5">
        <w:rPr>
          <w:rFonts w:eastAsiaTheme="minorEastAsia"/>
          <w:sz w:val="22"/>
          <w:szCs w:val="22"/>
          <w:lang w:eastAsia="ko-KR"/>
        </w:rPr>
        <w:t xml:space="preserve">than </w:t>
      </w:r>
      <w:r w:rsidRPr="004635E5">
        <w:rPr>
          <w:rFonts w:eastAsiaTheme="minorEastAsia"/>
          <w:sz w:val="22"/>
          <w:szCs w:val="22"/>
          <w:lang w:eastAsia="ko-KR"/>
        </w:rPr>
        <w:t>larger hook</w:t>
      </w:r>
      <w:r w:rsidR="00A16680" w:rsidRPr="004635E5">
        <w:rPr>
          <w:rFonts w:eastAsiaTheme="minorEastAsia"/>
          <w:sz w:val="22"/>
          <w:szCs w:val="22"/>
          <w:lang w:eastAsia="ko-KR"/>
        </w:rPr>
        <w:t>s</w:t>
      </w:r>
      <w:r w:rsidR="00DB2BB1" w:rsidRPr="004635E5">
        <w:rPr>
          <w:rFonts w:eastAsiaTheme="minorEastAsia"/>
          <w:sz w:val="22"/>
          <w:szCs w:val="22"/>
          <w:lang w:eastAsia="ko-KR"/>
        </w:rPr>
        <w:t>.</w:t>
      </w:r>
    </w:p>
    <w:p w14:paraId="768E12CF" w14:textId="77777777" w:rsidR="00DB2BB1" w:rsidRPr="004635E5" w:rsidRDefault="00DB2BB1" w:rsidP="006633A8">
      <w:pPr>
        <w:autoSpaceDE w:val="0"/>
        <w:autoSpaceDN w:val="0"/>
        <w:adjustRightInd w:val="0"/>
        <w:snapToGrid w:val="0"/>
        <w:jc w:val="both"/>
        <w:rPr>
          <w:rFonts w:eastAsiaTheme="minorEastAsia"/>
          <w:sz w:val="22"/>
          <w:szCs w:val="22"/>
          <w:lang w:eastAsia="ko-KR"/>
        </w:rPr>
      </w:pPr>
    </w:p>
    <w:p w14:paraId="43748895" w14:textId="77777777" w:rsidR="00A16680" w:rsidRPr="004635E5" w:rsidRDefault="00A16680" w:rsidP="00580EA4">
      <w:pPr>
        <w:numPr>
          <w:ilvl w:val="0"/>
          <w:numId w:val="18"/>
        </w:numPr>
        <w:autoSpaceDE w:val="0"/>
        <w:autoSpaceDN w:val="0"/>
        <w:adjustRightInd w:val="0"/>
        <w:snapToGrid w:val="0"/>
        <w:ind w:left="0" w:firstLine="0"/>
        <w:jc w:val="both"/>
        <w:rPr>
          <w:rFonts w:eastAsiaTheme="minorEastAsia"/>
          <w:sz w:val="22"/>
          <w:szCs w:val="22"/>
          <w:lang w:val="en-AU" w:eastAsia="ko-KR"/>
        </w:rPr>
      </w:pPr>
      <w:r w:rsidRPr="004635E5">
        <w:rPr>
          <w:rFonts w:eastAsiaTheme="minorEastAsia"/>
          <w:sz w:val="22"/>
          <w:szCs w:val="22"/>
          <w:lang w:eastAsia="ko-KR"/>
        </w:rPr>
        <w:t xml:space="preserve">The </w:t>
      </w:r>
      <w:r w:rsidR="00CA4DE1" w:rsidRPr="004635E5">
        <w:rPr>
          <w:rFonts w:eastAsiaTheme="minorEastAsia"/>
          <w:sz w:val="22"/>
          <w:szCs w:val="22"/>
          <w:lang w:eastAsia="ko-KR"/>
        </w:rPr>
        <w:t>EU</w:t>
      </w:r>
      <w:r w:rsidRPr="004635E5">
        <w:rPr>
          <w:rFonts w:eastAsiaTheme="minorEastAsia"/>
          <w:sz w:val="22"/>
          <w:szCs w:val="22"/>
          <w:lang w:eastAsia="ko-KR"/>
        </w:rPr>
        <w:t xml:space="preserve"> </w:t>
      </w:r>
      <w:r w:rsidR="00CA4DE1" w:rsidRPr="004635E5">
        <w:rPr>
          <w:rFonts w:eastAsiaTheme="minorEastAsia"/>
          <w:sz w:val="22"/>
          <w:szCs w:val="22"/>
          <w:lang w:eastAsia="ko-KR"/>
        </w:rPr>
        <w:t>note</w:t>
      </w:r>
      <w:r w:rsidRPr="004635E5">
        <w:rPr>
          <w:rFonts w:eastAsiaTheme="minorEastAsia"/>
          <w:sz w:val="22"/>
          <w:szCs w:val="22"/>
          <w:lang w:eastAsia="ko-KR"/>
        </w:rPr>
        <w:t>d</w:t>
      </w:r>
      <w:r w:rsidR="00CA4DE1" w:rsidRPr="004635E5">
        <w:rPr>
          <w:rFonts w:eastAsiaTheme="minorEastAsia"/>
          <w:sz w:val="22"/>
          <w:szCs w:val="22"/>
          <w:lang w:eastAsia="ko-KR"/>
        </w:rPr>
        <w:t xml:space="preserve"> </w:t>
      </w:r>
      <w:r w:rsidRPr="004635E5">
        <w:rPr>
          <w:rFonts w:eastAsiaTheme="minorEastAsia"/>
          <w:sz w:val="22"/>
          <w:szCs w:val="22"/>
          <w:lang w:eastAsia="ko-KR"/>
        </w:rPr>
        <w:t xml:space="preserve">the </w:t>
      </w:r>
      <w:r w:rsidR="00CA4DE1" w:rsidRPr="004635E5">
        <w:rPr>
          <w:rFonts w:eastAsiaTheme="minorEastAsia"/>
          <w:sz w:val="22"/>
          <w:szCs w:val="22"/>
          <w:lang w:eastAsia="ko-KR"/>
        </w:rPr>
        <w:t xml:space="preserve">study </w:t>
      </w:r>
      <w:r w:rsidRPr="004635E5">
        <w:rPr>
          <w:rFonts w:eastAsiaTheme="minorEastAsia"/>
          <w:sz w:val="22"/>
          <w:szCs w:val="22"/>
          <w:lang w:eastAsia="ko-KR"/>
        </w:rPr>
        <w:t xml:space="preserve">focused on two fisheries, but </w:t>
      </w:r>
      <w:r w:rsidR="00CA4DE1" w:rsidRPr="004635E5">
        <w:rPr>
          <w:rFonts w:eastAsiaTheme="minorEastAsia"/>
          <w:sz w:val="22"/>
          <w:szCs w:val="22"/>
          <w:lang w:eastAsia="ko-KR"/>
        </w:rPr>
        <w:t xml:space="preserve">should be done </w:t>
      </w:r>
      <w:r w:rsidRPr="004635E5">
        <w:rPr>
          <w:rFonts w:eastAsiaTheme="minorEastAsia"/>
          <w:sz w:val="22"/>
          <w:szCs w:val="22"/>
          <w:lang w:eastAsia="ko-KR"/>
        </w:rPr>
        <w:t>on a fishery-specific ba</w:t>
      </w:r>
      <w:r w:rsidR="00CA4DE1" w:rsidRPr="004635E5">
        <w:rPr>
          <w:rFonts w:eastAsiaTheme="minorEastAsia"/>
          <w:sz w:val="22"/>
          <w:szCs w:val="22"/>
          <w:lang w:eastAsia="ko-KR"/>
        </w:rPr>
        <w:t xml:space="preserve">sis. </w:t>
      </w:r>
      <w:r w:rsidRPr="004635E5">
        <w:rPr>
          <w:rFonts w:eastAsiaTheme="minorEastAsia"/>
          <w:sz w:val="22"/>
          <w:szCs w:val="22"/>
          <w:lang w:eastAsia="ko-KR"/>
        </w:rPr>
        <w:t xml:space="preserve">In response to a query regarding the use of a polynomial vs. a spline in the GLM model, the USA noted the approach reflected that used in </w:t>
      </w:r>
      <w:r w:rsidR="00AE7DAC" w:rsidRPr="004635E5">
        <w:rPr>
          <w:rFonts w:eastAsiaTheme="minorEastAsia"/>
          <w:sz w:val="22"/>
          <w:szCs w:val="22"/>
          <w:lang w:eastAsia="ko-KR"/>
        </w:rPr>
        <w:t xml:space="preserve">an earlier </w:t>
      </w:r>
      <w:r w:rsidRPr="004635E5">
        <w:rPr>
          <w:rFonts w:eastAsiaTheme="minorEastAsia"/>
          <w:sz w:val="22"/>
          <w:szCs w:val="22"/>
          <w:lang w:eastAsia="ko-KR"/>
        </w:rPr>
        <w:t xml:space="preserve">(2011) </w:t>
      </w:r>
      <w:r w:rsidR="00AE7DAC" w:rsidRPr="004635E5">
        <w:rPr>
          <w:rFonts w:eastAsiaTheme="minorEastAsia"/>
          <w:sz w:val="22"/>
          <w:szCs w:val="22"/>
          <w:lang w:eastAsia="ko-KR"/>
        </w:rPr>
        <w:t xml:space="preserve">study </w:t>
      </w:r>
      <w:r w:rsidRPr="004635E5">
        <w:rPr>
          <w:rFonts w:eastAsiaTheme="minorEastAsia"/>
          <w:sz w:val="22"/>
          <w:szCs w:val="22"/>
          <w:lang w:eastAsia="ko-KR"/>
        </w:rPr>
        <w:t xml:space="preserve">and that it likely made little </w:t>
      </w:r>
      <w:r w:rsidR="00AE7DAC" w:rsidRPr="004635E5">
        <w:rPr>
          <w:rFonts w:eastAsiaTheme="minorEastAsia"/>
          <w:sz w:val="22"/>
          <w:szCs w:val="22"/>
          <w:lang w:eastAsia="ko-KR"/>
        </w:rPr>
        <w:t xml:space="preserve">difference. </w:t>
      </w:r>
      <w:r w:rsidRPr="004635E5">
        <w:rPr>
          <w:rFonts w:eastAsiaTheme="minorEastAsia"/>
          <w:sz w:val="22"/>
          <w:szCs w:val="22"/>
          <w:lang w:eastAsia="ko-KR"/>
        </w:rPr>
        <w:t xml:space="preserve">In response to a query from the EU regarding whether further work would be undertaken on shallow setting longlines, as referenced in the CMM, the USA </w:t>
      </w:r>
      <w:r w:rsidRPr="004635E5">
        <w:rPr>
          <w:rFonts w:eastAsiaTheme="minorEastAsia"/>
          <w:sz w:val="22"/>
          <w:szCs w:val="22"/>
          <w:lang w:val="en-AU" w:eastAsia="ko-KR"/>
        </w:rPr>
        <w:t>referred to the comprehensive ABNJ report that lists examples on both deep and shallow sets.</w:t>
      </w:r>
    </w:p>
    <w:p w14:paraId="68A89FDB" w14:textId="77777777" w:rsidR="00DB2BB1" w:rsidRPr="004635E5" w:rsidRDefault="00DB2BB1" w:rsidP="006633A8">
      <w:pPr>
        <w:autoSpaceDE w:val="0"/>
        <w:autoSpaceDN w:val="0"/>
        <w:adjustRightInd w:val="0"/>
        <w:snapToGrid w:val="0"/>
        <w:jc w:val="both"/>
        <w:rPr>
          <w:rFonts w:eastAsiaTheme="minorEastAsia"/>
          <w:sz w:val="22"/>
          <w:szCs w:val="22"/>
          <w:lang w:val="en-AU" w:eastAsia="ko-KR"/>
        </w:rPr>
      </w:pPr>
    </w:p>
    <w:p w14:paraId="28098BB2" w14:textId="77777777" w:rsidR="008C6428" w:rsidRPr="004635E5" w:rsidRDefault="009A285A"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Cs/>
          <w:sz w:val="22"/>
          <w:szCs w:val="22"/>
          <w:lang w:eastAsia="ko-KR"/>
        </w:rPr>
        <w:t xml:space="preserve">K Okamoto introduced </w:t>
      </w:r>
      <w:r w:rsidR="00961208">
        <w:rPr>
          <w:rFonts w:eastAsia="Calibri"/>
          <w:sz w:val="22"/>
          <w:szCs w:val="22"/>
          <w:lang w:val="en-AU"/>
        </w:rPr>
        <w:t>SC14-</w:t>
      </w:r>
      <w:r w:rsidRPr="004635E5">
        <w:rPr>
          <w:rFonts w:eastAsiaTheme="minorEastAsia"/>
          <w:bCs/>
          <w:sz w:val="22"/>
          <w:szCs w:val="22"/>
          <w:lang w:eastAsia="ko-KR"/>
        </w:rPr>
        <w:t>EB-WP-08</w:t>
      </w:r>
      <w:r w:rsidRPr="004635E5">
        <w:rPr>
          <w:rFonts w:eastAsiaTheme="minorEastAsia"/>
          <w:sz w:val="22"/>
          <w:szCs w:val="22"/>
          <w:lang w:eastAsia="ko-KR"/>
        </w:rPr>
        <w:t xml:space="preserve">. </w:t>
      </w:r>
      <w:r w:rsidRPr="004635E5">
        <w:rPr>
          <w:rFonts w:eastAsiaTheme="minorEastAsia"/>
          <w:i/>
          <w:sz w:val="22"/>
          <w:szCs w:val="22"/>
          <w:lang w:eastAsia="ko-KR"/>
        </w:rPr>
        <w:t>Review of studies on catch rates of commercial and bycatch species by hook type using in pelagic tuna longline fisheries</w:t>
      </w:r>
      <w:r w:rsidR="008C6428" w:rsidRPr="004635E5">
        <w:rPr>
          <w:rFonts w:eastAsiaTheme="minorEastAsia"/>
          <w:sz w:val="22"/>
          <w:szCs w:val="22"/>
          <w:lang w:eastAsia="ko-KR"/>
        </w:rPr>
        <w:t>.</w:t>
      </w:r>
      <w:r w:rsidR="008C6428" w:rsidRPr="004635E5">
        <w:rPr>
          <w:rFonts w:eastAsiaTheme="minorEastAsia"/>
          <w:b/>
          <w:sz w:val="22"/>
          <w:szCs w:val="22"/>
          <w:lang w:eastAsia="ko-KR"/>
        </w:rPr>
        <w:t xml:space="preserve"> </w:t>
      </w:r>
      <w:r w:rsidR="008C6428" w:rsidRPr="004635E5">
        <w:rPr>
          <w:rFonts w:eastAsiaTheme="minorEastAsia"/>
          <w:sz w:val="22"/>
          <w:szCs w:val="22"/>
          <w:lang w:eastAsia="ko-KR"/>
        </w:rPr>
        <w:t>Japan presented study review of existing literature that reports the difference in catch rates of target and non-target species among J-hooks, Japanese tuna hooks, and large circle hooks. It was found that the comparison in the shallow sets systematically indicated an increase of catch rates in tunas and shark species and reduction of catch rates for sea turtles, when significant statistical differences were obtained. However, there were extremely limited information available for deep-set on direct comparison of catch rates between hook types and it concluded that there is insufficient information for deep-set to evaluate the catch rates of target and non-target species among hook types at the current point</w:t>
      </w:r>
      <w:r w:rsidR="008C6428" w:rsidRPr="004635E5">
        <w:rPr>
          <w:rFonts w:eastAsiaTheme="minorEastAsia"/>
          <w:bCs/>
          <w:sz w:val="22"/>
          <w:szCs w:val="22"/>
          <w:lang w:eastAsia="ko-KR"/>
        </w:rPr>
        <w:t>.</w:t>
      </w:r>
    </w:p>
    <w:p w14:paraId="1140FE2A" w14:textId="77777777" w:rsidR="00DB2BB1" w:rsidRPr="004635E5" w:rsidRDefault="00DB2BB1" w:rsidP="006633A8">
      <w:pPr>
        <w:autoSpaceDE w:val="0"/>
        <w:autoSpaceDN w:val="0"/>
        <w:adjustRightInd w:val="0"/>
        <w:snapToGrid w:val="0"/>
        <w:jc w:val="both"/>
        <w:rPr>
          <w:rFonts w:eastAsiaTheme="minorEastAsia"/>
          <w:b/>
          <w:sz w:val="22"/>
          <w:szCs w:val="22"/>
          <w:lang w:eastAsia="ko-KR"/>
        </w:rPr>
      </w:pPr>
    </w:p>
    <w:p w14:paraId="05634437" w14:textId="77777777" w:rsidR="00656F8D" w:rsidRPr="004635E5" w:rsidRDefault="00383C3F" w:rsidP="006633A8">
      <w:pPr>
        <w:adjustRightInd w:val="0"/>
        <w:snapToGrid w:val="0"/>
        <w:jc w:val="both"/>
        <w:rPr>
          <w:rFonts w:eastAsiaTheme="minorEastAsia"/>
          <w:b/>
          <w:sz w:val="22"/>
          <w:szCs w:val="22"/>
          <w:lang w:eastAsia="ko-KR"/>
        </w:rPr>
      </w:pPr>
      <w:r w:rsidRPr="004635E5">
        <w:rPr>
          <w:rFonts w:eastAsiaTheme="minorEastAsia"/>
          <w:b/>
          <w:sz w:val="22"/>
          <w:szCs w:val="22"/>
          <w:lang w:eastAsia="ko-KR"/>
        </w:rPr>
        <w:t xml:space="preserve">Discussion </w:t>
      </w:r>
    </w:p>
    <w:p w14:paraId="4C3C92E0" w14:textId="77777777" w:rsidR="00DB2BB1" w:rsidRPr="004635E5" w:rsidRDefault="00DB2BB1" w:rsidP="006633A8">
      <w:pPr>
        <w:adjustRightInd w:val="0"/>
        <w:snapToGrid w:val="0"/>
        <w:jc w:val="both"/>
        <w:rPr>
          <w:rFonts w:eastAsiaTheme="minorEastAsia"/>
          <w:b/>
          <w:sz w:val="22"/>
          <w:szCs w:val="22"/>
          <w:lang w:eastAsia="ko-KR"/>
        </w:rPr>
      </w:pPr>
    </w:p>
    <w:p w14:paraId="4ADB6B40" w14:textId="77777777" w:rsidR="00656F8D" w:rsidRPr="004635E5" w:rsidRDefault="00677491" w:rsidP="00580EA4">
      <w:pPr>
        <w:numPr>
          <w:ilvl w:val="0"/>
          <w:numId w:val="18"/>
        </w:numPr>
        <w:autoSpaceDE w:val="0"/>
        <w:autoSpaceDN w:val="0"/>
        <w:adjustRightInd w:val="0"/>
        <w:snapToGrid w:val="0"/>
        <w:ind w:left="0" w:firstLine="0"/>
        <w:jc w:val="both"/>
        <w:rPr>
          <w:rFonts w:eastAsiaTheme="minorEastAsia"/>
          <w:sz w:val="22"/>
          <w:szCs w:val="22"/>
          <w:lang w:val="en-AU" w:eastAsia="ko-KR"/>
        </w:rPr>
      </w:pPr>
      <w:r w:rsidRPr="004635E5">
        <w:rPr>
          <w:rFonts w:eastAsiaTheme="minorEastAsia"/>
          <w:sz w:val="22"/>
          <w:szCs w:val="22"/>
          <w:lang w:eastAsia="ko-KR"/>
        </w:rPr>
        <w:t xml:space="preserve">The </w:t>
      </w:r>
      <w:r w:rsidR="00656F8D" w:rsidRPr="004635E5">
        <w:rPr>
          <w:rFonts w:eastAsiaTheme="minorEastAsia"/>
          <w:sz w:val="22"/>
          <w:szCs w:val="22"/>
          <w:lang w:eastAsia="ko-KR"/>
        </w:rPr>
        <w:t>USA</w:t>
      </w:r>
      <w:r w:rsidRPr="004635E5">
        <w:rPr>
          <w:rFonts w:eastAsiaTheme="minorEastAsia"/>
          <w:sz w:val="22"/>
          <w:szCs w:val="22"/>
          <w:lang w:eastAsia="ko-KR"/>
        </w:rPr>
        <w:t xml:space="preserve"> noted the importance when comparing hook type </w:t>
      </w:r>
      <w:r w:rsidR="00822D89" w:rsidRPr="004635E5">
        <w:rPr>
          <w:rFonts w:eastAsiaTheme="minorEastAsia"/>
          <w:sz w:val="22"/>
          <w:szCs w:val="22"/>
          <w:lang w:eastAsia="ko-KR"/>
        </w:rPr>
        <w:t xml:space="preserve">to </w:t>
      </w:r>
      <w:r w:rsidRPr="004635E5">
        <w:rPr>
          <w:rFonts w:eastAsiaTheme="minorEastAsia"/>
          <w:sz w:val="22"/>
          <w:szCs w:val="22"/>
          <w:lang w:eastAsia="ko-KR"/>
        </w:rPr>
        <w:t>also l</w:t>
      </w:r>
      <w:r w:rsidR="00822D89" w:rsidRPr="004635E5">
        <w:rPr>
          <w:rFonts w:eastAsiaTheme="minorEastAsia"/>
          <w:sz w:val="22"/>
          <w:szCs w:val="22"/>
          <w:lang w:eastAsia="ko-KR"/>
        </w:rPr>
        <w:t>ook at hook si</w:t>
      </w:r>
      <w:r w:rsidRPr="004635E5">
        <w:rPr>
          <w:rFonts w:eastAsiaTheme="minorEastAsia"/>
          <w:sz w:val="22"/>
          <w:szCs w:val="22"/>
          <w:lang w:eastAsia="ko-KR"/>
        </w:rPr>
        <w:t>ze</w:t>
      </w:r>
      <w:r w:rsidR="00822D89" w:rsidRPr="004635E5">
        <w:rPr>
          <w:rFonts w:eastAsiaTheme="minorEastAsia"/>
          <w:sz w:val="22"/>
          <w:szCs w:val="22"/>
          <w:lang w:eastAsia="ko-KR"/>
        </w:rPr>
        <w:t xml:space="preserve">. </w:t>
      </w:r>
      <w:r w:rsidR="00A16680" w:rsidRPr="004635E5">
        <w:rPr>
          <w:rFonts w:eastAsiaTheme="minorEastAsia"/>
          <w:sz w:val="22"/>
          <w:szCs w:val="22"/>
          <w:lang w:eastAsia="ko-KR"/>
        </w:rPr>
        <w:t xml:space="preserve">They suggested a </w:t>
      </w:r>
      <w:r w:rsidR="000A4ED9" w:rsidRPr="004635E5">
        <w:rPr>
          <w:rFonts w:eastAsiaTheme="minorEastAsia"/>
          <w:sz w:val="22"/>
          <w:szCs w:val="22"/>
          <w:lang w:eastAsia="ko-KR"/>
        </w:rPr>
        <w:t xml:space="preserve">reason studies may </w:t>
      </w:r>
      <w:r w:rsidR="000A4ED9" w:rsidRPr="004635E5">
        <w:rPr>
          <w:rFonts w:eastAsiaTheme="minorEastAsia"/>
          <w:sz w:val="22"/>
          <w:szCs w:val="22"/>
          <w:lang w:val="en-AU" w:eastAsia="ko-KR"/>
        </w:rPr>
        <w:t xml:space="preserve">find no significant relationships is low sample size, which prevents detection </w:t>
      </w:r>
      <w:r w:rsidR="00A16680" w:rsidRPr="004635E5">
        <w:rPr>
          <w:rFonts w:eastAsiaTheme="minorEastAsia"/>
          <w:sz w:val="22"/>
          <w:szCs w:val="22"/>
          <w:lang w:val="en-AU" w:eastAsia="ko-KR"/>
        </w:rPr>
        <w:t xml:space="preserve">of </w:t>
      </w:r>
      <w:r w:rsidR="000A4ED9" w:rsidRPr="004635E5">
        <w:rPr>
          <w:rFonts w:eastAsiaTheme="minorEastAsia"/>
          <w:sz w:val="22"/>
          <w:szCs w:val="22"/>
          <w:lang w:val="en-AU" w:eastAsia="ko-KR"/>
        </w:rPr>
        <w:t xml:space="preserve">significant differences, especially when many variables are being tested simultaneously. </w:t>
      </w:r>
      <w:r w:rsidR="00A16680" w:rsidRPr="004635E5">
        <w:rPr>
          <w:rFonts w:eastAsiaTheme="minorEastAsia"/>
          <w:sz w:val="22"/>
          <w:szCs w:val="22"/>
          <w:lang w:val="en-AU" w:eastAsia="ko-KR"/>
        </w:rPr>
        <w:t xml:space="preserve">They noted </w:t>
      </w:r>
      <w:r w:rsidR="00656F8D" w:rsidRPr="004635E5">
        <w:rPr>
          <w:rFonts w:eastAsiaTheme="minorEastAsia"/>
          <w:sz w:val="22"/>
          <w:szCs w:val="22"/>
          <w:lang w:eastAsia="ko-KR"/>
        </w:rPr>
        <w:t>stati</w:t>
      </w:r>
      <w:r w:rsidR="000A4ED9" w:rsidRPr="004635E5">
        <w:rPr>
          <w:rFonts w:eastAsiaTheme="minorEastAsia"/>
          <w:sz w:val="22"/>
          <w:szCs w:val="22"/>
          <w:lang w:eastAsia="ko-KR"/>
        </w:rPr>
        <w:t>sti</w:t>
      </w:r>
      <w:r w:rsidR="00656F8D" w:rsidRPr="004635E5">
        <w:rPr>
          <w:rFonts w:eastAsiaTheme="minorEastAsia"/>
          <w:sz w:val="22"/>
          <w:szCs w:val="22"/>
          <w:lang w:eastAsia="ko-KR"/>
        </w:rPr>
        <w:t>cal diff</w:t>
      </w:r>
      <w:r w:rsidR="000A4ED9" w:rsidRPr="004635E5">
        <w:rPr>
          <w:rFonts w:eastAsiaTheme="minorEastAsia"/>
          <w:sz w:val="22"/>
          <w:szCs w:val="22"/>
          <w:lang w:eastAsia="ko-KR"/>
        </w:rPr>
        <w:t>erence</w:t>
      </w:r>
      <w:r w:rsidR="00656F8D" w:rsidRPr="004635E5">
        <w:rPr>
          <w:rFonts w:eastAsiaTheme="minorEastAsia"/>
          <w:sz w:val="22"/>
          <w:szCs w:val="22"/>
          <w:lang w:eastAsia="ko-KR"/>
        </w:rPr>
        <w:t>s in hook interaction</w:t>
      </w:r>
      <w:r w:rsidR="00A16680" w:rsidRPr="004635E5">
        <w:rPr>
          <w:rFonts w:eastAsiaTheme="minorEastAsia"/>
          <w:sz w:val="22"/>
          <w:szCs w:val="22"/>
          <w:lang w:eastAsia="ko-KR"/>
        </w:rPr>
        <w:t xml:space="preserve"> in Hawaii</w:t>
      </w:r>
      <w:r w:rsidR="00656F8D" w:rsidRPr="004635E5">
        <w:rPr>
          <w:rFonts w:eastAsiaTheme="minorEastAsia"/>
          <w:sz w:val="22"/>
          <w:szCs w:val="22"/>
          <w:lang w:eastAsia="ko-KR"/>
        </w:rPr>
        <w:t xml:space="preserve">, </w:t>
      </w:r>
      <w:r w:rsidR="00DA681A" w:rsidRPr="004635E5">
        <w:rPr>
          <w:rFonts w:eastAsiaTheme="minorEastAsia"/>
          <w:sz w:val="22"/>
          <w:szCs w:val="22"/>
          <w:lang w:eastAsia="ko-KR"/>
        </w:rPr>
        <w:t xml:space="preserve">but </w:t>
      </w:r>
      <w:r w:rsidR="00A16680" w:rsidRPr="004635E5">
        <w:rPr>
          <w:rFonts w:eastAsiaTheme="minorEastAsia"/>
          <w:sz w:val="22"/>
          <w:szCs w:val="22"/>
          <w:lang w:eastAsia="ko-KR"/>
        </w:rPr>
        <w:t xml:space="preserve">observed </w:t>
      </w:r>
      <w:r w:rsidR="00DA681A" w:rsidRPr="004635E5">
        <w:rPr>
          <w:rFonts w:eastAsiaTheme="minorEastAsia"/>
          <w:sz w:val="22"/>
          <w:szCs w:val="22"/>
          <w:lang w:eastAsia="ko-KR"/>
        </w:rPr>
        <w:t xml:space="preserve">current interactions are too low to support this research. </w:t>
      </w:r>
      <w:r w:rsidR="00DA681A" w:rsidRPr="004635E5">
        <w:rPr>
          <w:rFonts w:eastAsiaTheme="minorEastAsia"/>
          <w:sz w:val="22"/>
          <w:szCs w:val="22"/>
          <w:lang w:val="en-AU" w:eastAsia="ko-KR"/>
        </w:rPr>
        <w:t xml:space="preserve">They noted </w:t>
      </w:r>
      <w:r w:rsidR="00A16680" w:rsidRPr="004635E5">
        <w:rPr>
          <w:rFonts w:eastAsiaTheme="minorEastAsia"/>
          <w:sz w:val="22"/>
          <w:szCs w:val="22"/>
          <w:lang w:val="en-AU" w:eastAsia="ko-KR"/>
        </w:rPr>
        <w:t>the</w:t>
      </w:r>
      <w:r w:rsidR="00DA681A" w:rsidRPr="004635E5">
        <w:rPr>
          <w:rFonts w:eastAsiaTheme="minorEastAsia"/>
          <w:sz w:val="22"/>
          <w:szCs w:val="22"/>
          <w:lang w:val="en-AU" w:eastAsia="ko-KR"/>
        </w:rPr>
        <w:t xml:space="preserve"> ABNJ report </w:t>
      </w:r>
      <w:r w:rsidR="00A16680" w:rsidRPr="004635E5">
        <w:rPr>
          <w:rFonts w:eastAsiaTheme="minorEastAsia"/>
          <w:sz w:val="22"/>
          <w:szCs w:val="22"/>
          <w:lang w:val="en-AU" w:eastAsia="ko-KR"/>
        </w:rPr>
        <w:t xml:space="preserve">as </w:t>
      </w:r>
      <w:r w:rsidR="00DA681A" w:rsidRPr="004635E5">
        <w:rPr>
          <w:rFonts w:eastAsiaTheme="minorEastAsia"/>
          <w:sz w:val="22"/>
          <w:szCs w:val="22"/>
          <w:lang w:val="en-AU" w:eastAsia="ko-KR"/>
        </w:rPr>
        <w:t xml:space="preserve">a good reference as it has a database that identifies levels of interaction rates by hook and bait types, </w:t>
      </w:r>
      <w:r w:rsidR="00C91E28" w:rsidRPr="004635E5">
        <w:rPr>
          <w:rFonts w:eastAsiaTheme="minorEastAsia"/>
          <w:sz w:val="22"/>
          <w:szCs w:val="22"/>
          <w:lang w:val="en-AU" w:eastAsia="ko-KR"/>
        </w:rPr>
        <w:t xml:space="preserve">looks at shallow and deep sets, </w:t>
      </w:r>
      <w:r w:rsidR="00DA681A" w:rsidRPr="004635E5">
        <w:rPr>
          <w:rFonts w:eastAsiaTheme="minorEastAsia"/>
          <w:sz w:val="22"/>
          <w:szCs w:val="22"/>
          <w:lang w:val="en-AU" w:eastAsia="ko-KR"/>
        </w:rPr>
        <w:t xml:space="preserve">with a clear signal for circle hooks. </w:t>
      </w:r>
      <w:r w:rsidR="00C91E28" w:rsidRPr="004635E5">
        <w:rPr>
          <w:rFonts w:eastAsiaTheme="minorEastAsia"/>
          <w:sz w:val="22"/>
          <w:szCs w:val="22"/>
          <w:lang w:val="en-AU" w:eastAsia="ko-KR"/>
        </w:rPr>
        <w:t xml:space="preserve">K. Okamoto noted </w:t>
      </w:r>
      <w:r w:rsidR="00C91E28" w:rsidRPr="004635E5">
        <w:rPr>
          <w:rFonts w:eastAsiaTheme="minorEastAsia"/>
          <w:sz w:val="22"/>
          <w:szCs w:val="22"/>
          <w:lang w:eastAsia="ko-KR"/>
        </w:rPr>
        <w:t xml:space="preserve">that only a few studies </w:t>
      </w:r>
      <w:r w:rsidR="00F92289" w:rsidRPr="004635E5">
        <w:rPr>
          <w:rFonts w:eastAsiaTheme="minorEastAsia"/>
          <w:sz w:val="22"/>
          <w:szCs w:val="22"/>
          <w:lang w:eastAsia="ko-KR"/>
        </w:rPr>
        <w:t xml:space="preserve">examined </w:t>
      </w:r>
      <w:r w:rsidR="00C91E28" w:rsidRPr="004635E5">
        <w:rPr>
          <w:rFonts w:eastAsiaTheme="minorEastAsia"/>
          <w:sz w:val="22"/>
          <w:szCs w:val="22"/>
          <w:lang w:eastAsia="ko-KR"/>
        </w:rPr>
        <w:t>target and non-</w:t>
      </w:r>
      <w:r w:rsidR="00656F8D" w:rsidRPr="004635E5">
        <w:rPr>
          <w:rFonts w:eastAsiaTheme="minorEastAsia"/>
          <w:sz w:val="22"/>
          <w:szCs w:val="22"/>
          <w:lang w:eastAsia="ko-KR"/>
        </w:rPr>
        <w:t>target species, esp</w:t>
      </w:r>
      <w:r w:rsidR="00F92289" w:rsidRPr="004635E5">
        <w:rPr>
          <w:rFonts w:eastAsiaTheme="minorEastAsia"/>
          <w:sz w:val="22"/>
          <w:szCs w:val="22"/>
          <w:lang w:eastAsia="ko-KR"/>
        </w:rPr>
        <w:t>ecially</w:t>
      </w:r>
      <w:r w:rsidR="00656F8D" w:rsidRPr="004635E5">
        <w:rPr>
          <w:rFonts w:eastAsiaTheme="minorEastAsia"/>
          <w:sz w:val="22"/>
          <w:szCs w:val="22"/>
          <w:lang w:eastAsia="ko-KR"/>
        </w:rPr>
        <w:t xml:space="preserve"> </w:t>
      </w:r>
      <w:r w:rsidR="00F92289" w:rsidRPr="004635E5">
        <w:rPr>
          <w:rFonts w:eastAsiaTheme="minorEastAsia"/>
          <w:sz w:val="22"/>
          <w:szCs w:val="22"/>
          <w:lang w:eastAsia="ko-KR"/>
        </w:rPr>
        <w:t xml:space="preserve">with </w:t>
      </w:r>
      <w:r w:rsidR="00656F8D" w:rsidRPr="004635E5">
        <w:rPr>
          <w:rFonts w:eastAsiaTheme="minorEastAsia"/>
          <w:sz w:val="22"/>
          <w:szCs w:val="22"/>
          <w:lang w:eastAsia="ko-KR"/>
        </w:rPr>
        <w:t>de</w:t>
      </w:r>
      <w:r w:rsidR="00F92289" w:rsidRPr="004635E5">
        <w:rPr>
          <w:rFonts w:eastAsiaTheme="minorEastAsia"/>
          <w:sz w:val="22"/>
          <w:szCs w:val="22"/>
          <w:lang w:eastAsia="ko-KR"/>
        </w:rPr>
        <w:t>e</w:t>
      </w:r>
      <w:r w:rsidR="00656F8D" w:rsidRPr="004635E5">
        <w:rPr>
          <w:rFonts w:eastAsiaTheme="minorEastAsia"/>
          <w:sz w:val="22"/>
          <w:szCs w:val="22"/>
          <w:lang w:eastAsia="ko-KR"/>
        </w:rPr>
        <w:t>p set</w:t>
      </w:r>
      <w:r w:rsidR="00F92289" w:rsidRPr="004635E5">
        <w:rPr>
          <w:rFonts w:eastAsiaTheme="minorEastAsia"/>
          <w:sz w:val="22"/>
          <w:szCs w:val="22"/>
          <w:lang w:eastAsia="ko-KR"/>
        </w:rPr>
        <w:t>s</w:t>
      </w:r>
      <w:r w:rsidR="00656F8D" w:rsidRPr="004635E5">
        <w:rPr>
          <w:rFonts w:eastAsiaTheme="minorEastAsia"/>
          <w:sz w:val="22"/>
          <w:szCs w:val="22"/>
          <w:lang w:eastAsia="ko-KR"/>
        </w:rPr>
        <w:t xml:space="preserve">, </w:t>
      </w:r>
      <w:r w:rsidR="00F92289" w:rsidRPr="004635E5">
        <w:rPr>
          <w:rFonts w:eastAsiaTheme="minorEastAsia"/>
          <w:sz w:val="22"/>
          <w:szCs w:val="22"/>
          <w:lang w:eastAsia="ko-KR"/>
        </w:rPr>
        <w:t xml:space="preserve">thus there is a need to include </w:t>
      </w:r>
      <w:r w:rsidR="00656F8D" w:rsidRPr="004635E5">
        <w:rPr>
          <w:rFonts w:eastAsiaTheme="minorEastAsia"/>
          <w:sz w:val="22"/>
          <w:szCs w:val="22"/>
          <w:lang w:eastAsia="ko-KR"/>
        </w:rPr>
        <w:t>hook type, si</w:t>
      </w:r>
      <w:r w:rsidR="00F92289" w:rsidRPr="004635E5">
        <w:rPr>
          <w:rFonts w:eastAsiaTheme="minorEastAsia"/>
          <w:sz w:val="22"/>
          <w:szCs w:val="22"/>
          <w:lang w:eastAsia="ko-KR"/>
        </w:rPr>
        <w:t>z</w:t>
      </w:r>
      <w:r w:rsidR="00656F8D" w:rsidRPr="004635E5">
        <w:rPr>
          <w:rFonts w:eastAsiaTheme="minorEastAsia"/>
          <w:sz w:val="22"/>
          <w:szCs w:val="22"/>
          <w:lang w:eastAsia="ko-KR"/>
        </w:rPr>
        <w:t>e and bait type.</w:t>
      </w:r>
    </w:p>
    <w:p w14:paraId="5EAE41DA" w14:textId="77777777" w:rsidR="00DB2BB1" w:rsidRPr="004635E5" w:rsidRDefault="00DB2BB1" w:rsidP="006633A8">
      <w:pPr>
        <w:autoSpaceDE w:val="0"/>
        <w:autoSpaceDN w:val="0"/>
        <w:adjustRightInd w:val="0"/>
        <w:snapToGrid w:val="0"/>
        <w:jc w:val="both"/>
        <w:rPr>
          <w:rFonts w:eastAsiaTheme="minorEastAsia"/>
          <w:sz w:val="22"/>
          <w:szCs w:val="22"/>
          <w:lang w:val="en-AU" w:eastAsia="ko-KR"/>
        </w:rPr>
      </w:pPr>
    </w:p>
    <w:p w14:paraId="5E212C99" w14:textId="77777777" w:rsidR="00D4082A" w:rsidRPr="004635E5" w:rsidRDefault="00F92289"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S. Clarke </w:t>
      </w:r>
      <w:r w:rsidR="001710D5" w:rsidRPr="004635E5">
        <w:rPr>
          <w:rFonts w:eastAsiaTheme="minorEastAsia"/>
          <w:sz w:val="22"/>
          <w:szCs w:val="22"/>
          <w:lang w:eastAsia="ko-KR"/>
        </w:rPr>
        <w:t xml:space="preserve">(ABNJ) commented </w:t>
      </w:r>
      <w:r w:rsidRPr="004635E5">
        <w:rPr>
          <w:rFonts w:eastAsiaTheme="minorEastAsia"/>
          <w:sz w:val="22"/>
          <w:szCs w:val="22"/>
          <w:lang w:eastAsia="ko-KR"/>
        </w:rPr>
        <w:t xml:space="preserve">that that the ABNJ </w:t>
      </w:r>
      <w:r w:rsidR="00656F8D" w:rsidRPr="004635E5">
        <w:rPr>
          <w:rFonts w:eastAsiaTheme="minorEastAsia"/>
          <w:sz w:val="22"/>
          <w:szCs w:val="22"/>
          <w:lang w:eastAsia="ko-KR"/>
        </w:rPr>
        <w:t>w</w:t>
      </w:r>
      <w:r w:rsidR="003B5977" w:rsidRPr="004635E5">
        <w:rPr>
          <w:rFonts w:eastAsiaTheme="minorEastAsia"/>
          <w:sz w:val="22"/>
          <w:szCs w:val="22"/>
          <w:lang w:eastAsia="ko-KR"/>
        </w:rPr>
        <w:t>ork</w:t>
      </w:r>
      <w:r w:rsidR="00656F8D" w:rsidRPr="004635E5">
        <w:rPr>
          <w:rFonts w:eastAsiaTheme="minorEastAsia"/>
          <w:sz w:val="22"/>
          <w:szCs w:val="22"/>
          <w:lang w:eastAsia="ko-KR"/>
        </w:rPr>
        <w:t>shop</w:t>
      </w:r>
      <w:r w:rsidR="00A14B82" w:rsidRPr="004635E5">
        <w:rPr>
          <w:rFonts w:eastAsiaTheme="minorEastAsia"/>
          <w:sz w:val="22"/>
          <w:szCs w:val="22"/>
          <w:lang w:eastAsia="ko-KR"/>
        </w:rPr>
        <w:t xml:space="preserve"> report reported on data collected on deep sets of circle hooks in the WCPO, and was not extrapolated from shallow sets</w:t>
      </w:r>
      <w:r w:rsidR="00A16680" w:rsidRPr="004635E5">
        <w:rPr>
          <w:rFonts w:eastAsiaTheme="minorEastAsia"/>
          <w:sz w:val="22"/>
          <w:szCs w:val="22"/>
          <w:lang w:eastAsia="ko-KR"/>
        </w:rPr>
        <w:t xml:space="preserve">, and </w:t>
      </w:r>
      <w:r w:rsidR="00A14B82" w:rsidRPr="004635E5">
        <w:rPr>
          <w:rFonts w:eastAsiaTheme="minorEastAsia"/>
          <w:sz w:val="22"/>
          <w:szCs w:val="22"/>
          <w:lang w:eastAsia="ko-KR"/>
        </w:rPr>
        <w:t xml:space="preserve">suggested that although circle hooks may increase catch rates for some non-target species, </w:t>
      </w:r>
      <w:r w:rsidR="001710D5" w:rsidRPr="004635E5">
        <w:rPr>
          <w:rFonts w:eastAsiaTheme="minorEastAsia"/>
          <w:sz w:val="22"/>
          <w:szCs w:val="22"/>
          <w:lang w:eastAsia="ko-KR"/>
        </w:rPr>
        <w:t xml:space="preserve">this should be weighed against </w:t>
      </w:r>
      <w:r w:rsidR="00A14B82" w:rsidRPr="004635E5">
        <w:rPr>
          <w:rFonts w:eastAsiaTheme="minorEastAsia"/>
          <w:sz w:val="22"/>
          <w:szCs w:val="22"/>
          <w:lang w:eastAsia="ko-KR"/>
        </w:rPr>
        <w:t xml:space="preserve">benefits </w:t>
      </w:r>
      <w:r w:rsidR="001710D5" w:rsidRPr="004635E5">
        <w:rPr>
          <w:rFonts w:eastAsiaTheme="minorEastAsia"/>
          <w:sz w:val="22"/>
          <w:szCs w:val="22"/>
          <w:lang w:eastAsia="ko-KR"/>
        </w:rPr>
        <w:t>of reduced mortality for other species groups</w:t>
      </w:r>
      <w:r w:rsidR="00D4082A" w:rsidRPr="004635E5">
        <w:rPr>
          <w:rFonts w:eastAsiaTheme="minorEastAsia"/>
          <w:sz w:val="22"/>
          <w:szCs w:val="22"/>
          <w:lang w:eastAsia="ko-KR"/>
        </w:rPr>
        <w:t xml:space="preserve">, and considered in conjunction with other measures such as shark </w:t>
      </w:r>
      <w:r w:rsidR="00656F8D" w:rsidRPr="004635E5">
        <w:rPr>
          <w:rFonts w:eastAsiaTheme="minorEastAsia"/>
          <w:sz w:val="22"/>
          <w:szCs w:val="22"/>
          <w:lang w:eastAsia="ko-KR"/>
        </w:rPr>
        <w:t>non-ret</w:t>
      </w:r>
      <w:r w:rsidR="001710D5" w:rsidRPr="004635E5">
        <w:rPr>
          <w:rFonts w:eastAsiaTheme="minorEastAsia"/>
          <w:sz w:val="22"/>
          <w:szCs w:val="22"/>
          <w:lang w:eastAsia="ko-KR"/>
        </w:rPr>
        <w:t>e</w:t>
      </w:r>
      <w:r w:rsidR="00656F8D" w:rsidRPr="004635E5">
        <w:rPr>
          <w:rFonts w:eastAsiaTheme="minorEastAsia"/>
          <w:sz w:val="22"/>
          <w:szCs w:val="22"/>
          <w:lang w:eastAsia="ko-KR"/>
        </w:rPr>
        <w:t>ntion</w:t>
      </w:r>
      <w:r w:rsidR="00F81EF0">
        <w:rPr>
          <w:rFonts w:eastAsiaTheme="minorEastAsia"/>
          <w:sz w:val="22"/>
          <w:szCs w:val="22"/>
          <w:lang w:eastAsia="ko-KR"/>
        </w:rPr>
        <w:t xml:space="preserve"> </w:t>
      </w:r>
      <w:r w:rsidR="00656F8D" w:rsidRPr="004635E5">
        <w:rPr>
          <w:rFonts w:eastAsiaTheme="minorEastAsia"/>
          <w:sz w:val="22"/>
          <w:szCs w:val="22"/>
          <w:lang w:eastAsia="ko-KR"/>
        </w:rPr>
        <w:t>measures and sa</w:t>
      </w:r>
      <w:r w:rsidR="00D4082A" w:rsidRPr="004635E5">
        <w:rPr>
          <w:rFonts w:eastAsiaTheme="minorEastAsia"/>
          <w:sz w:val="22"/>
          <w:szCs w:val="22"/>
          <w:lang w:eastAsia="ko-KR"/>
        </w:rPr>
        <w:t>f</w:t>
      </w:r>
      <w:r w:rsidR="00656F8D" w:rsidRPr="004635E5">
        <w:rPr>
          <w:rFonts w:eastAsiaTheme="minorEastAsia"/>
          <w:sz w:val="22"/>
          <w:szCs w:val="22"/>
          <w:lang w:eastAsia="ko-KR"/>
        </w:rPr>
        <w:t>e rel</w:t>
      </w:r>
      <w:r w:rsidR="00D4082A" w:rsidRPr="004635E5">
        <w:rPr>
          <w:rFonts w:eastAsiaTheme="minorEastAsia"/>
          <w:sz w:val="22"/>
          <w:szCs w:val="22"/>
          <w:lang w:eastAsia="ko-KR"/>
        </w:rPr>
        <w:t>e</w:t>
      </w:r>
      <w:r w:rsidR="00656F8D" w:rsidRPr="004635E5">
        <w:rPr>
          <w:rFonts w:eastAsiaTheme="minorEastAsia"/>
          <w:sz w:val="22"/>
          <w:szCs w:val="22"/>
          <w:lang w:eastAsia="ko-KR"/>
        </w:rPr>
        <w:t xml:space="preserve">ase guidelines. </w:t>
      </w:r>
      <w:r w:rsidR="00D4082A" w:rsidRPr="004635E5">
        <w:rPr>
          <w:rFonts w:eastAsiaTheme="minorEastAsia"/>
          <w:sz w:val="22"/>
          <w:szCs w:val="22"/>
          <w:lang w:eastAsia="ko-KR"/>
        </w:rPr>
        <w:t xml:space="preserve">K Okamoto noted that catch rates were </w:t>
      </w:r>
      <w:r w:rsidR="00656F8D" w:rsidRPr="004635E5">
        <w:rPr>
          <w:rFonts w:eastAsiaTheme="minorEastAsia"/>
          <w:sz w:val="22"/>
          <w:szCs w:val="22"/>
          <w:lang w:eastAsia="ko-KR"/>
        </w:rPr>
        <w:t>higher w</w:t>
      </w:r>
      <w:r w:rsidR="00D4082A" w:rsidRPr="004635E5">
        <w:rPr>
          <w:rFonts w:eastAsiaTheme="minorEastAsia"/>
          <w:sz w:val="22"/>
          <w:szCs w:val="22"/>
          <w:lang w:eastAsia="ko-KR"/>
        </w:rPr>
        <w:t>ith ci</w:t>
      </w:r>
      <w:r w:rsidR="00656F8D" w:rsidRPr="004635E5">
        <w:rPr>
          <w:rFonts w:eastAsiaTheme="minorEastAsia"/>
          <w:sz w:val="22"/>
          <w:szCs w:val="22"/>
          <w:lang w:eastAsia="ko-KR"/>
        </w:rPr>
        <w:t>r</w:t>
      </w:r>
      <w:r w:rsidR="00D4082A" w:rsidRPr="004635E5">
        <w:rPr>
          <w:rFonts w:eastAsiaTheme="minorEastAsia"/>
          <w:sz w:val="22"/>
          <w:szCs w:val="22"/>
          <w:lang w:eastAsia="ko-KR"/>
        </w:rPr>
        <w:t>c</w:t>
      </w:r>
      <w:r w:rsidR="00656F8D" w:rsidRPr="004635E5">
        <w:rPr>
          <w:rFonts w:eastAsiaTheme="minorEastAsia"/>
          <w:sz w:val="22"/>
          <w:szCs w:val="22"/>
          <w:lang w:eastAsia="ko-KR"/>
        </w:rPr>
        <w:t>l</w:t>
      </w:r>
      <w:r w:rsidR="00D4082A" w:rsidRPr="004635E5">
        <w:rPr>
          <w:rFonts w:eastAsiaTheme="minorEastAsia"/>
          <w:sz w:val="22"/>
          <w:szCs w:val="22"/>
          <w:lang w:eastAsia="ko-KR"/>
        </w:rPr>
        <w:t>e</w:t>
      </w:r>
      <w:r w:rsidR="00656F8D" w:rsidRPr="004635E5">
        <w:rPr>
          <w:rFonts w:eastAsiaTheme="minorEastAsia"/>
          <w:sz w:val="22"/>
          <w:szCs w:val="22"/>
          <w:lang w:eastAsia="ko-KR"/>
        </w:rPr>
        <w:t xml:space="preserve"> hooks, and mortal</w:t>
      </w:r>
      <w:r w:rsidR="00D4082A" w:rsidRPr="004635E5">
        <w:rPr>
          <w:rFonts w:eastAsiaTheme="minorEastAsia"/>
          <w:sz w:val="22"/>
          <w:szCs w:val="22"/>
          <w:lang w:eastAsia="ko-KR"/>
        </w:rPr>
        <w:t>ity</w:t>
      </w:r>
      <w:r w:rsidR="00656F8D" w:rsidRPr="004635E5">
        <w:rPr>
          <w:rFonts w:eastAsiaTheme="minorEastAsia"/>
          <w:sz w:val="22"/>
          <w:szCs w:val="22"/>
          <w:lang w:eastAsia="ko-KR"/>
        </w:rPr>
        <w:t xml:space="preserve"> lower. </w:t>
      </w:r>
      <w:r w:rsidR="00D4082A" w:rsidRPr="004635E5">
        <w:rPr>
          <w:rFonts w:eastAsiaTheme="minorEastAsia"/>
          <w:sz w:val="22"/>
          <w:szCs w:val="22"/>
          <w:lang w:eastAsia="ko-KR"/>
        </w:rPr>
        <w:t xml:space="preserve">A paper presented at the 2018 ICCAT meeting documented a higher number </w:t>
      </w:r>
      <w:r w:rsidR="00656F8D" w:rsidRPr="004635E5">
        <w:rPr>
          <w:rFonts w:eastAsiaTheme="minorEastAsia"/>
          <w:sz w:val="22"/>
          <w:szCs w:val="22"/>
          <w:lang w:eastAsia="ko-KR"/>
        </w:rPr>
        <w:t xml:space="preserve">of sharks </w:t>
      </w:r>
      <w:r w:rsidR="00D4082A" w:rsidRPr="004635E5">
        <w:rPr>
          <w:rFonts w:eastAsiaTheme="minorEastAsia"/>
          <w:sz w:val="22"/>
          <w:szCs w:val="22"/>
          <w:lang w:eastAsia="ko-KR"/>
        </w:rPr>
        <w:t xml:space="preserve">were caught, although the </w:t>
      </w:r>
      <w:r w:rsidR="00656F8D" w:rsidRPr="004635E5">
        <w:rPr>
          <w:rFonts w:eastAsiaTheme="minorEastAsia"/>
          <w:sz w:val="22"/>
          <w:szCs w:val="22"/>
          <w:lang w:eastAsia="ko-KR"/>
        </w:rPr>
        <w:t>mort</w:t>
      </w:r>
      <w:r w:rsidR="00D4082A" w:rsidRPr="004635E5">
        <w:rPr>
          <w:rFonts w:eastAsiaTheme="minorEastAsia"/>
          <w:sz w:val="22"/>
          <w:szCs w:val="22"/>
          <w:lang w:eastAsia="ko-KR"/>
        </w:rPr>
        <w:t>ality was reduced</w:t>
      </w:r>
      <w:r w:rsidR="00656F8D" w:rsidRPr="004635E5">
        <w:rPr>
          <w:rFonts w:eastAsiaTheme="minorEastAsia"/>
          <w:sz w:val="22"/>
          <w:szCs w:val="22"/>
          <w:lang w:eastAsia="ko-KR"/>
        </w:rPr>
        <w:t xml:space="preserve">. </w:t>
      </w:r>
      <w:r w:rsidR="00D4082A" w:rsidRPr="004635E5">
        <w:rPr>
          <w:rFonts w:eastAsiaTheme="minorEastAsia"/>
          <w:sz w:val="22"/>
          <w:szCs w:val="22"/>
          <w:lang w:eastAsia="ko-KR"/>
        </w:rPr>
        <w:t xml:space="preserve">He noted the need to </w:t>
      </w:r>
      <w:r w:rsidR="00621989">
        <w:rPr>
          <w:rFonts w:eastAsiaTheme="minorEastAsia"/>
          <w:sz w:val="22"/>
          <w:szCs w:val="22"/>
          <w:lang w:eastAsia="ko-KR"/>
        </w:rPr>
        <w:t xml:space="preserve">estimate the </w:t>
      </w:r>
      <w:r w:rsidR="00D4082A" w:rsidRPr="004635E5">
        <w:rPr>
          <w:rFonts w:eastAsiaTheme="minorEastAsia"/>
          <w:sz w:val="22"/>
          <w:szCs w:val="22"/>
          <w:lang w:eastAsia="ko-KR"/>
        </w:rPr>
        <w:t xml:space="preserve">catch of both </w:t>
      </w:r>
      <w:r w:rsidR="00C43853" w:rsidRPr="004635E5">
        <w:rPr>
          <w:rFonts w:eastAsiaTheme="minorEastAsia"/>
          <w:sz w:val="22"/>
          <w:szCs w:val="22"/>
          <w:lang w:eastAsia="ko-KR"/>
        </w:rPr>
        <w:t xml:space="preserve">sea turtles </w:t>
      </w:r>
      <w:r w:rsidR="00D4082A" w:rsidRPr="004635E5">
        <w:rPr>
          <w:rFonts w:eastAsiaTheme="minorEastAsia"/>
          <w:sz w:val="22"/>
          <w:szCs w:val="22"/>
          <w:lang w:eastAsia="ko-KR"/>
        </w:rPr>
        <w:t xml:space="preserve">and </w:t>
      </w:r>
      <w:r w:rsidR="00C43853" w:rsidRPr="004635E5">
        <w:rPr>
          <w:rFonts w:eastAsiaTheme="minorEastAsia"/>
          <w:sz w:val="22"/>
          <w:szCs w:val="22"/>
          <w:lang w:eastAsia="ko-KR"/>
        </w:rPr>
        <w:t xml:space="preserve">sharks. </w:t>
      </w:r>
    </w:p>
    <w:p w14:paraId="39B8D2B5" w14:textId="77777777" w:rsidR="00DB2BB1" w:rsidRPr="004635E5" w:rsidRDefault="00DB2BB1" w:rsidP="006633A8">
      <w:pPr>
        <w:autoSpaceDE w:val="0"/>
        <w:autoSpaceDN w:val="0"/>
        <w:adjustRightInd w:val="0"/>
        <w:snapToGrid w:val="0"/>
        <w:jc w:val="both"/>
        <w:rPr>
          <w:rFonts w:eastAsiaTheme="minorEastAsia"/>
          <w:sz w:val="22"/>
          <w:szCs w:val="22"/>
          <w:lang w:eastAsia="ko-KR"/>
        </w:rPr>
      </w:pPr>
    </w:p>
    <w:p w14:paraId="02783D87" w14:textId="77777777" w:rsidR="00C43853" w:rsidRPr="004635E5" w:rsidRDefault="00D4082A"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The </w:t>
      </w:r>
      <w:r w:rsidR="00C43853" w:rsidRPr="004635E5">
        <w:rPr>
          <w:rFonts w:eastAsiaTheme="minorEastAsia"/>
          <w:sz w:val="22"/>
          <w:szCs w:val="22"/>
          <w:lang w:eastAsia="ko-KR"/>
        </w:rPr>
        <w:t>USA</w:t>
      </w:r>
      <w:r w:rsidR="001F20A3" w:rsidRPr="004635E5">
        <w:rPr>
          <w:rFonts w:eastAsiaTheme="minorEastAsia"/>
          <w:sz w:val="22"/>
          <w:szCs w:val="22"/>
          <w:lang w:eastAsia="ko-KR"/>
        </w:rPr>
        <w:t xml:space="preserve"> noted a number of WCPO fleets (</w:t>
      </w:r>
      <w:r w:rsidR="00C43853" w:rsidRPr="004635E5">
        <w:rPr>
          <w:rFonts w:eastAsiaTheme="minorEastAsia"/>
          <w:sz w:val="22"/>
          <w:szCs w:val="22"/>
          <w:lang w:eastAsia="ko-KR"/>
        </w:rPr>
        <w:t>USA, Aus</w:t>
      </w:r>
      <w:r w:rsidR="001F20A3" w:rsidRPr="004635E5">
        <w:rPr>
          <w:rFonts w:eastAsiaTheme="minorEastAsia"/>
          <w:sz w:val="22"/>
          <w:szCs w:val="22"/>
          <w:lang w:eastAsia="ko-KR"/>
        </w:rPr>
        <w:t xml:space="preserve">tralia and </w:t>
      </w:r>
      <w:r w:rsidR="00C43853" w:rsidRPr="004635E5">
        <w:rPr>
          <w:rFonts w:eastAsiaTheme="minorEastAsia"/>
          <w:sz w:val="22"/>
          <w:szCs w:val="22"/>
          <w:lang w:eastAsia="ko-KR"/>
        </w:rPr>
        <w:t>Korea</w:t>
      </w:r>
      <w:r w:rsidR="001F20A3" w:rsidRPr="004635E5">
        <w:rPr>
          <w:rFonts w:eastAsiaTheme="minorEastAsia"/>
          <w:sz w:val="22"/>
          <w:szCs w:val="22"/>
          <w:lang w:eastAsia="ko-KR"/>
        </w:rPr>
        <w:t>)</w:t>
      </w:r>
      <w:r w:rsidR="00C43853" w:rsidRPr="004635E5">
        <w:rPr>
          <w:rFonts w:eastAsiaTheme="minorEastAsia"/>
          <w:sz w:val="22"/>
          <w:szCs w:val="22"/>
          <w:lang w:eastAsia="ko-KR"/>
        </w:rPr>
        <w:t xml:space="preserve"> </w:t>
      </w:r>
      <w:r w:rsidR="001F20A3" w:rsidRPr="004635E5">
        <w:rPr>
          <w:rFonts w:eastAsiaTheme="minorEastAsia"/>
          <w:sz w:val="22"/>
          <w:szCs w:val="22"/>
          <w:lang w:eastAsia="ko-KR"/>
        </w:rPr>
        <w:t xml:space="preserve">are using </w:t>
      </w:r>
      <w:r w:rsidR="00C43853" w:rsidRPr="004635E5">
        <w:rPr>
          <w:rFonts w:eastAsiaTheme="minorEastAsia"/>
          <w:sz w:val="22"/>
          <w:szCs w:val="22"/>
          <w:lang w:eastAsia="ko-KR"/>
        </w:rPr>
        <w:t>circle hooks</w:t>
      </w:r>
      <w:r w:rsidR="001F20A3" w:rsidRPr="004635E5">
        <w:rPr>
          <w:rFonts w:eastAsiaTheme="minorEastAsia"/>
          <w:sz w:val="22"/>
          <w:szCs w:val="22"/>
          <w:lang w:eastAsia="ko-KR"/>
        </w:rPr>
        <w:t xml:space="preserve"> and </w:t>
      </w:r>
      <w:r w:rsidR="00C43853" w:rsidRPr="004635E5">
        <w:rPr>
          <w:rFonts w:eastAsiaTheme="minorEastAsia"/>
          <w:sz w:val="22"/>
          <w:szCs w:val="22"/>
          <w:lang w:eastAsia="ko-KR"/>
        </w:rPr>
        <w:t>still c</w:t>
      </w:r>
      <w:r w:rsidR="001F20A3" w:rsidRPr="004635E5">
        <w:rPr>
          <w:rFonts w:eastAsiaTheme="minorEastAsia"/>
          <w:sz w:val="22"/>
          <w:szCs w:val="22"/>
          <w:lang w:eastAsia="ko-KR"/>
        </w:rPr>
        <w:t>at</w:t>
      </w:r>
      <w:r w:rsidR="00C43853" w:rsidRPr="004635E5">
        <w:rPr>
          <w:rFonts w:eastAsiaTheme="minorEastAsia"/>
          <w:sz w:val="22"/>
          <w:szCs w:val="22"/>
          <w:lang w:eastAsia="ko-KR"/>
        </w:rPr>
        <w:t>ching fish. J</w:t>
      </w:r>
      <w:r w:rsidR="001F20A3" w:rsidRPr="004635E5">
        <w:rPr>
          <w:rFonts w:eastAsiaTheme="minorEastAsia"/>
          <w:sz w:val="22"/>
          <w:szCs w:val="22"/>
          <w:lang w:eastAsia="ko-KR"/>
        </w:rPr>
        <w:t xml:space="preserve">apan indicated that the </w:t>
      </w:r>
      <w:r w:rsidR="00C43853" w:rsidRPr="004635E5">
        <w:rPr>
          <w:rFonts w:eastAsiaTheme="minorEastAsia"/>
          <w:sz w:val="22"/>
          <w:szCs w:val="22"/>
          <w:lang w:eastAsia="ko-KR"/>
        </w:rPr>
        <w:t xml:space="preserve">catch rate </w:t>
      </w:r>
      <w:r w:rsidR="001F20A3" w:rsidRPr="004635E5">
        <w:rPr>
          <w:rFonts w:eastAsiaTheme="minorEastAsia"/>
          <w:sz w:val="22"/>
          <w:szCs w:val="22"/>
          <w:lang w:eastAsia="ko-KR"/>
        </w:rPr>
        <w:t xml:space="preserve">and </w:t>
      </w:r>
      <w:r w:rsidR="00C43853" w:rsidRPr="004635E5">
        <w:rPr>
          <w:rFonts w:eastAsiaTheme="minorEastAsia"/>
          <w:sz w:val="22"/>
          <w:szCs w:val="22"/>
          <w:lang w:eastAsia="ko-KR"/>
        </w:rPr>
        <w:t xml:space="preserve">mortality </w:t>
      </w:r>
      <w:r w:rsidR="001F20A3" w:rsidRPr="004635E5">
        <w:rPr>
          <w:rFonts w:eastAsiaTheme="minorEastAsia"/>
          <w:sz w:val="22"/>
          <w:szCs w:val="22"/>
          <w:lang w:eastAsia="ko-KR"/>
        </w:rPr>
        <w:t>of sharks was increasing w/ circle</w:t>
      </w:r>
      <w:r w:rsidR="00C43853" w:rsidRPr="004635E5">
        <w:rPr>
          <w:rFonts w:eastAsiaTheme="minorEastAsia"/>
          <w:sz w:val="22"/>
          <w:szCs w:val="22"/>
          <w:lang w:eastAsia="ko-KR"/>
        </w:rPr>
        <w:t xml:space="preserve"> hooks, </w:t>
      </w:r>
      <w:r w:rsidR="001F20A3" w:rsidRPr="004635E5">
        <w:rPr>
          <w:rFonts w:eastAsiaTheme="minorEastAsia"/>
          <w:sz w:val="22"/>
          <w:szCs w:val="22"/>
          <w:lang w:eastAsia="ko-KR"/>
        </w:rPr>
        <w:t xml:space="preserve">raising </w:t>
      </w:r>
      <w:r w:rsidR="00C43853" w:rsidRPr="004635E5">
        <w:rPr>
          <w:rFonts w:eastAsiaTheme="minorEastAsia"/>
          <w:sz w:val="22"/>
          <w:szCs w:val="22"/>
          <w:lang w:eastAsia="ko-KR"/>
        </w:rPr>
        <w:t>c</w:t>
      </w:r>
      <w:r w:rsidR="001F20A3" w:rsidRPr="004635E5">
        <w:rPr>
          <w:rFonts w:eastAsiaTheme="minorEastAsia"/>
          <w:sz w:val="22"/>
          <w:szCs w:val="22"/>
          <w:lang w:eastAsia="ko-KR"/>
        </w:rPr>
        <w:t>o</w:t>
      </w:r>
      <w:r w:rsidR="00C43853" w:rsidRPr="004635E5">
        <w:rPr>
          <w:rFonts w:eastAsiaTheme="minorEastAsia"/>
          <w:sz w:val="22"/>
          <w:szCs w:val="22"/>
          <w:lang w:eastAsia="ko-KR"/>
        </w:rPr>
        <w:t>ncer</w:t>
      </w:r>
      <w:r w:rsidR="001F20A3" w:rsidRPr="004635E5">
        <w:rPr>
          <w:rFonts w:eastAsiaTheme="minorEastAsia"/>
          <w:sz w:val="22"/>
          <w:szCs w:val="22"/>
          <w:lang w:eastAsia="ko-KR"/>
        </w:rPr>
        <w:t>n</w:t>
      </w:r>
      <w:r w:rsidR="00C43853" w:rsidRPr="004635E5">
        <w:rPr>
          <w:rFonts w:eastAsiaTheme="minorEastAsia"/>
          <w:sz w:val="22"/>
          <w:szCs w:val="22"/>
          <w:lang w:eastAsia="ko-KR"/>
        </w:rPr>
        <w:t>s for a number of shark species</w:t>
      </w:r>
      <w:r w:rsidR="001F20A3" w:rsidRPr="004635E5">
        <w:rPr>
          <w:rFonts w:eastAsiaTheme="minorEastAsia"/>
          <w:sz w:val="22"/>
          <w:szCs w:val="22"/>
          <w:lang w:eastAsia="ko-KR"/>
        </w:rPr>
        <w:t xml:space="preserve">, and pointing to a need to </w:t>
      </w:r>
      <w:r w:rsidR="00C43853" w:rsidRPr="004635E5">
        <w:rPr>
          <w:rFonts w:eastAsiaTheme="minorEastAsia"/>
          <w:sz w:val="22"/>
          <w:szCs w:val="22"/>
          <w:lang w:eastAsia="ko-KR"/>
        </w:rPr>
        <w:t>collect add</w:t>
      </w:r>
      <w:r w:rsidR="001F20A3" w:rsidRPr="004635E5">
        <w:rPr>
          <w:rFonts w:eastAsiaTheme="minorEastAsia"/>
          <w:sz w:val="22"/>
          <w:szCs w:val="22"/>
          <w:lang w:eastAsia="ko-KR"/>
        </w:rPr>
        <w:t xml:space="preserve">itional </w:t>
      </w:r>
      <w:r w:rsidR="00C43853" w:rsidRPr="004635E5">
        <w:rPr>
          <w:rFonts w:eastAsiaTheme="minorEastAsia"/>
          <w:sz w:val="22"/>
          <w:szCs w:val="22"/>
          <w:lang w:eastAsia="ko-KR"/>
        </w:rPr>
        <w:t>info</w:t>
      </w:r>
      <w:r w:rsidR="001F20A3" w:rsidRPr="004635E5">
        <w:rPr>
          <w:rFonts w:eastAsiaTheme="minorEastAsia"/>
          <w:sz w:val="22"/>
          <w:szCs w:val="22"/>
          <w:lang w:eastAsia="ko-KR"/>
        </w:rPr>
        <w:t>rmation</w:t>
      </w:r>
      <w:r w:rsidR="00C43853" w:rsidRPr="004635E5">
        <w:rPr>
          <w:rFonts w:eastAsiaTheme="minorEastAsia"/>
          <w:sz w:val="22"/>
          <w:szCs w:val="22"/>
          <w:lang w:eastAsia="ko-KR"/>
        </w:rPr>
        <w:t xml:space="preserve"> on effect</w:t>
      </w:r>
      <w:r w:rsidR="001F20A3" w:rsidRPr="004635E5">
        <w:rPr>
          <w:rFonts w:eastAsiaTheme="minorEastAsia"/>
          <w:sz w:val="22"/>
          <w:szCs w:val="22"/>
          <w:lang w:eastAsia="ko-KR"/>
        </w:rPr>
        <w:t>s</w:t>
      </w:r>
      <w:r w:rsidR="00C43853" w:rsidRPr="004635E5">
        <w:rPr>
          <w:rFonts w:eastAsiaTheme="minorEastAsia"/>
          <w:sz w:val="22"/>
          <w:szCs w:val="22"/>
          <w:lang w:eastAsia="ko-KR"/>
        </w:rPr>
        <w:t xml:space="preserve"> on other species. </w:t>
      </w:r>
      <w:r w:rsidR="001F20A3" w:rsidRPr="004635E5">
        <w:rPr>
          <w:rFonts w:eastAsiaTheme="minorEastAsia"/>
          <w:sz w:val="22"/>
          <w:szCs w:val="22"/>
          <w:lang w:eastAsia="ko-KR"/>
        </w:rPr>
        <w:t xml:space="preserve">They noted that the ABNJ workshop </w:t>
      </w:r>
      <w:r w:rsidR="00C43853" w:rsidRPr="004635E5">
        <w:rPr>
          <w:rFonts w:eastAsiaTheme="minorEastAsia"/>
          <w:sz w:val="22"/>
          <w:szCs w:val="22"/>
          <w:lang w:eastAsia="ko-KR"/>
        </w:rPr>
        <w:t xml:space="preserve">results </w:t>
      </w:r>
      <w:r w:rsidR="001F20A3" w:rsidRPr="004635E5">
        <w:rPr>
          <w:rFonts w:eastAsiaTheme="minorEastAsia"/>
          <w:sz w:val="22"/>
          <w:szCs w:val="22"/>
          <w:lang w:eastAsia="ko-KR"/>
        </w:rPr>
        <w:t xml:space="preserve">were </w:t>
      </w:r>
      <w:r w:rsidR="00C43853" w:rsidRPr="004635E5">
        <w:rPr>
          <w:rFonts w:eastAsiaTheme="minorEastAsia"/>
          <w:sz w:val="22"/>
          <w:szCs w:val="22"/>
          <w:lang w:eastAsia="ko-KR"/>
        </w:rPr>
        <w:t>linked to fleet</w:t>
      </w:r>
      <w:r w:rsidR="001F20A3" w:rsidRPr="004635E5">
        <w:rPr>
          <w:rFonts w:eastAsiaTheme="minorEastAsia"/>
          <w:sz w:val="22"/>
          <w:szCs w:val="22"/>
          <w:lang w:eastAsia="ko-KR"/>
        </w:rPr>
        <w:t>s</w:t>
      </w:r>
      <w:r w:rsidR="00C43853" w:rsidRPr="004635E5">
        <w:rPr>
          <w:rFonts w:eastAsiaTheme="minorEastAsia"/>
          <w:sz w:val="22"/>
          <w:szCs w:val="22"/>
          <w:lang w:eastAsia="ko-KR"/>
        </w:rPr>
        <w:t xml:space="preserve">, </w:t>
      </w:r>
      <w:r w:rsidR="001F20A3" w:rsidRPr="004635E5">
        <w:rPr>
          <w:rFonts w:eastAsiaTheme="minorEastAsia"/>
          <w:sz w:val="22"/>
          <w:szCs w:val="22"/>
          <w:lang w:eastAsia="ko-KR"/>
        </w:rPr>
        <w:t xml:space="preserve">and noted the </w:t>
      </w:r>
      <w:r w:rsidR="00C43853" w:rsidRPr="004635E5">
        <w:rPr>
          <w:rFonts w:eastAsiaTheme="minorEastAsia"/>
          <w:sz w:val="22"/>
          <w:szCs w:val="22"/>
          <w:lang w:eastAsia="ko-KR"/>
        </w:rPr>
        <w:t>diff</w:t>
      </w:r>
      <w:r w:rsidR="001F20A3" w:rsidRPr="004635E5">
        <w:rPr>
          <w:rFonts w:eastAsiaTheme="minorEastAsia"/>
          <w:sz w:val="22"/>
          <w:szCs w:val="22"/>
          <w:lang w:eastAsia="ko-KR"/>
        </w:rPr>
        <w:t>iculty in getting fleet-</w:t>
      </w:r>
      <w:r w:rsidR="00C43853" w:rsidRPr="004635E5">
        <w:rPr>
          <w:rFonts w:eastAsiaTheme="minorEastAsia"/>
          <w:sz w:val="22"/>
          <w:szCs w:val="22"/>
          <w:lang w:eastAsia="ko-KR"/>
        </w:rPr>
        <w:t xml:space="preserve">specific results, </w:t>
      </w:r>
      <w:r w:rsidR="001F20A3" w:rsidRPr="004635E5">
        <w:rPr>
          <w:rFonts w:eastAsiaTheme="minorEastAsia"/>
          <w:sz w:val="22"/>
          <w:szCs w:val="22"/>
          <w:lang w:eastAsia="ko-KR"/>
        </w:rPr>
        <w:t xml:space="preserve">and their preference </w:t>
      </w:r>
      <w:r w:rsidR="00C43853" w:rsidRPr="004635E5">
        <w:rPr>
          <w:rFonts w:eastAsiaTheme="minorEastAsia"/>
          <w:sz w:val="22"/>
          <w:szCs w:val="22"/>
          <w:lang w:eastAsia="ko-KR"/>
        </w:rPr>
        <w:t xml:space="preserve">to have </w:t>
      </w:r>
      <w:r w:rsidR="00B26413" w:rsidRPr="004635E5">
        <w:rPr>
          <w:rFonts w:eastAsiaTheme="minorEastAsia"/>
          <w:sz w:val="22"/>
          <w:szCs w:val="22"/>
          <w:lang w:eastAsia="ko-KR"/>
        </w:rPr>
        <w:t>a direc</w:t>
      </w:r>
      <w:r w:rsidR="00C43853" w:rsidRPr="004635E5">
        <w:rPr>
          <w:rFonts w:eastAsiaTheme="minorEastAsia"/>
          <w:sz w:val="22"/>
          <w:szCs w:val="22"/>
          <w:lang w:eastAsia="ko-KR"/>
        </w:rPr>
        <w:t>t comp</w:t>
      </w:r>
      <w:r w:rsidR="00B26413" w:rsidRPr="004635E5">
        <w:rPr>
          <w:rFonts w:eastAsiaTheme="minorEastAsia"/>
          <w:sz w:val="22"/>
          <w:szCs w:val="22"/>
          <w:lang w:eastAsia="ko-KR"/>
        </w:rPr>
        <w:t xml:space="preserve">arison of the </w:t>
      </w:r>
      <w:r w:rsidR="00C43853" w:rsidRPr="004635E5">
        <w:rPr>
          <w:rFonts w:eastAsiaTheme="minorEastAsia"/>
          <w:sz w:val="22"/>
          <w:szCs w:val="22"/>
          <w:lang w:eastAsia="ko-KR"/>
        </w:rPr>
        <w:t>c</w:t>
      </w:r>
      <w:r w:rsidR="00B26413" w:rsidRPr="004635E5">
        <w:rPr>
          <w:rFonts w:eastAsiaTheme="minorEastAsia"/>
          <w:sz w:val="22"/>
          <w:szCs w:val="22"/>
          <w:lang w:eastAsia="ko-KR"/>
        </w:rPr>
        <w:t>a</w:t>
      </w:r>
      <w:r w:rsidR="00C43853" w:rsidRPr="004635E5">
        <w:rPr>
          <w:rFonts w:eastAsiaTheme="minorEastAsia"/>
          <w:sz w:val="22"/>
          <w:szCs w:val="22"/>
          <w:lang w:eastAsia="ko-KR"/>
        </w:rPr>
        <w:t>tch rate, esp</w:t>
      </w:r>
      <w:r w:rsidR="00B26413" w:rsidRPr="004635E5">
        <w:rPr>
          <w:rFonts w:eastAsiaTheme="minorEastAsia"/>
          <w:sz w:val="22"/>
          <w:szCs w:val="22"/>
          <w:lang w:eastAsia="ko-KR"/>
        </w:rPr>
        <w:t>ecially</w:t>
      </w:r>
      <w:r w:rsidR="00C43853" w:rsidRPr="004635E5">
        <w:rPr>
          <w:rFonts w:eastAsiaTheme="minorEastAsia"/>
          <w:sz w:val="22"/>
          <w:szCs w:val="22"/>
          <w:lang w:eastAsia="ko-KR"/>
        </w:rPr>
        <w:t xml:space="preserve"> w</w:t>
      </w:r>
      <w:r w:rsidR="00B26413" w:rsidRPr="004635E5">
        <w:rPr>
          <w:rFonts w:eastAsiaTheme="minorEastAsia"/>
          <w:sz w:val="22"/>
          <w:szCs w:val="22"/>
          <w:lang w:eastAsia="ko-KR"/>
        </w:rPr>
        <w:t xml:space="preserve">ith regard to </w:t>
      </w:r>
      <w:r w:rsidR="00C43853" w:rsidRPr="004635E5">
        <w:rPr>
          <w:rFonts w:eastAsiaTheme="minorEastAsia"/>
          <w:sz w:val="22"/>
          <w:szCs w:val="22"/>
          <w:lang w:eastAsia="ko-KR"/>
        </w:rPr>
        <w:t>impact</w:t>
      </w:r>
      <w:r w:rsidR="00B26413" w:rsidRPr="004635E5">
        <w:rPr>
          <w:rFonts w:eastAsiaTheme="minorEastAsia"/>
          <w:sz w:val="22"/>
          <w:szCs w:val="22"/>
          <w:lang w:eastAsia="ko-KR"/>
        </w:rPr>
        <w:t>s</w:t>
      </w:r>
      <w:r w:rsidR="00C43853" w:rsidRPr="004635E5">
        <w:rPr>
          <w:rFonts w:eastAsiaTheme="minorEastAsia"/>
          <w:sz w:val="22"/>
          <w:szCs w:val="22"/>
          <w:lang w:eastAsia="ko-KR"/>
        </w:rPr>
        <w:t xml:space="preserve"> on </w:t>
      </w:r>
      <w:r w:rsidR="00B26413" w:rsidRPr="004635E5">
        <w:rPr>
          <w:rFonts w:eastAsiaTheme="minorEastAsia"/>
          <w:sz w:val="22"/>
          <w:szCs w:val="22"/>
          <w:lang w:eastAsia="ko-KR"/>
        </w:rPr>
        <w:t xml:space="preserve">deep set </w:t>
      </w:r>
      <w:r w:rsidR="004421B3" w:rsidRPr="004635E5">
        <w:rPr>
          <w:rFonts w:eastAsiaTheme="minorEastAsia"/>
          <w:sz w:val="22"/>
          <w:szCs w:val="22"/>
          <w:lang w:eastAsia="ko-KR"/>
        </w:rPr>
        <w:t>longline</w:t>
      </w:r>
      <w:r w:rsidR="00C43853" w:rsidRPr="004635E5">
        <w:rPr>
          <w:rFonts w:eastAsiaTheme="minorEastAsia"/>
          <w:sz w:val="22"/>
          <w:szCs w:val="22"/>
          <w:lang w:eastAsia="ko-KR"/>
        </w:rPr>
        <w:t xml:space="preserve">. </w:t>
      </w:r>
      <w:r w:rsidR="00B26413" w:rsidRPr="004635E5">
        <w:rPr>
          <w:rFonts w:eastAsiaTheme="minorEastAsia"/>
          <w:sz w:val="22"/>
          <w:szCs w:val="22"/>
          <w:lang w:eastAsia="ko-KR"/>
        </w:rPr>
        <w:t xml:space="preserve">The </w:t>
      </w:r>
      <w:r w:rsidR="00C43853" w:rsidRPr="004635E5">
        <w:rPr>
          <w:rFonts w:eastAsiaTheme="minorEastAsia"/>
          <w:sz w:val="22"/>
          <w:szCs w:val="22"/>
          <w:lang w:eastAsia="ko-KR"/>
        </w:rPr>
        <w:t>USA</w:t>
      </w:r>
      <w:r w:rsidR="00B26413" w:rsidRPr="004635E5">
        <w:rPr>
          <w:rFonts w:eastAsiaTheme="minorEastAsia"/>
          <w:sz w:val="22"/>
          <w:szCs w:val="22"/>
          <w:lang w:eastAsia="ko-KR"/>
        </w:rPr>
        <w:t xml:space="preserve"> noted that </w:t>
      </w:r>
      <w:r w:rsidR="00C43853" w:rsidRPr="004635E5">
        <w:rPr>
          <w:rFonts w:eastAsiaTheme="minorEastAsia"/>
          <w:sz w:val="22"/>
          <w:szCs w:val="22"/>
          <w:lang w:eastAsia="ko-KR"/>
        </w:rPr>
        <w:t xml:space="preserve">results </w:t>
      </w:r>
      <w:r w:rsidR="00B26413" w:rsidRPr="004635E5">
        <w:rPr>
          <w:rFonts w:eastAsiaTheme="minorEastAsia"/>
          <w:sz w:val="22"/>
          <w:szCs w:val="22"/>
          <w:lang w:eastAsia="ko-KR"/>
        </w:rPr>
        <w:t>for s</w:t>
      </w:r>
      <w:r w:rsidR="00C43853" w:rsidRPr="004635E5">
        <w:rPr>
          <w:rFonts w:eastAsiaTheme="minorEastAsia"/>
          <w:sz w:val="22"/>
          <w:szCs w:val="22"/>
          <w:lang w:eastAsia="ko-KR"/>
        </w:rPr>
        <w:t xml:space="preserve">harks </w:t>
      </w:r>
      <w:r w:rsidR="00B26413" w:rsidRPr="004635E5">
        <w:rPr>
          <w:rFonts w:eastAsiaTheme="minorEastAsia"/>
          <w:sz w:val="22"/>
          <w:szCs w:val="22"/>
          <w:lang w:eastAsia="ko-KR"/>
        </w:rPr>
        <w:t xml:space="preserve">were </w:t>
      </w:r>
      <w:r w:rsidR="00C43853" w:rsidRPr="004635E5">
        <w:rPr>
          <w:rFonts w:eastAsiaTheme="minorEastAsia"/>
          <w:sz w:val="22"/>
          <w:szCs w:val="22"/>
          <w:lang w:eastAsia="ko-KR"/>
        </w:rPr>
        <w:t>va</w:t>
      </w:r>
      <w:r w:rsidR="00B26413" w:rsidRPr="004635E5">
        <w:rPr>
          <w:rFonts w:eastAsiaTheme="minorEastAsia"/>
          <w:sz w:val="22"/>
          <w:szCs w:val="22"/>
          <w:lang w:eastAsia="ko-KR"/>
        </w:rPr>
        <w:t>riable</w:t>
      </w:r>
      <w:r w:rsidR="00C43853" w:rsidRPr="004635E5">
        <w:rPr>
          <w:rFonts w:eastAsiaTheme="minorEastAsia"/>
          <w:sz w:val="22"/>
          <w:szCs w:val="22"/>
          <w:lang w:eastAsia="ko-KR"/>
        </w:rPr>
        <w:t xml:space="preserve">, sometime the CPUE </w:t>
      </w:r>
      <w:r w:rsidR="00B26413" w:rsidRPr="004635E5">
        <w:rPr>
          <w:rFonts w:eastAsiaTheme="minorEastAsia"/>
          <w:sz w:val="22"/>
          <w:szCs w:val="22"/>
          <w:lang w:eastAsia="ko-KR"/>
        </w:rPr>
        <w:t xml:space="preserve">was </w:t>
      </w:r>
      <w:r w:rsidR="00C43853" w:rsidRPr="004635E5">
        <w:rPr>
          <w:rFonts w:eastAsiaTheme="minorEastAsia"/>
          <w:sz w:val="22"/>
          <w:szCs w:val="22"/>
          <w:lang w:eastAsia="ko-KR"/>
        </w:rPr>
        <w:t xml:space="preserve">higher, but </w:t>
      </w:r>
      <w:r w:rsidR="00B26413" w:rsidRPr="004635E5">
        <w:rPr>
          <w:rFonts w:eastAsiaTheme="minorEastAsia"/>
          <w:sz w:val="22"/>
          <w:szCs w:val="22"/>
          <w:lang w:eastAsia="ko-KR"/>
        </w:rPr>
        <w:t xml:space="preserve">sharks were </w:t>
      </w:r>
      <w:r w:rsidR="00C43853" w:rsidRPr="004635E5">
        <w:rPr>
          <w:rFonts w:eastAsiaTheme="minorEastAsia"/>
          <w:sz w:val="22"/>
          <w:szCs w:val="22"/>
          <w:lang w:eastAsia="ko-KR"/>
        </w:rPr>
        <w:t xml:space="preserve">hooked </w:t>
      </w:r>
      <w:r w:rsidR="00B26413" w:rsidRPr="004635E5">
        <w:rPr>
          <w:rFonts w:eastAsiaTheme="minorEastAsia"/>
          <w:sz w:val="22"/>
          <w:szCs w:val="22"/>
          <w:lang w:eastAsia="ko-KR"/>
        </w:rPr>
        <w:t>by mou</w:t>
      </w:r>
      <w:r w:rsidR="00C43853" w:rsidRPr="004635E5">
        <w:rPr>
          <w:rFonts w:eastAsiaTheme="minorEastAsia"/>
          <w:sz w:val="22"/>
          <w:szCs w:val="22"/>
          <w:lang w:eastAsia="ko-KR"/>
        </w:rPr>
        <w:t xml:space="preserve">th, and </w:t>
      </w:r>
      <w:r w:rsidR="00B26413" w:rsidRPr="004635E5">
        <w:rPr>
          <w:rFonts w:eastAsiaTheme="minorEastAsia"/>
          <w:sz w:val="22"/>
          <w:szCs w:val="22"/>
          <w:lang w:eastAsia="ko-KR"/>
        </w:rPr>
        <w:t xml:space="preserve">could be </w:t>
      </w:r>
      <w:r w:rsidR="00C43853" w:rsidRPr="004635E5">
        <w:rPr>
          <w:rFonts w:eastAsiaTheme="minorEastAsia"/>
          <w:sz w:val="22"/>
          <w:szCs w:val="22"/>
          <w:lang w:eastAsia="ko-KR"/>
        </w:rPr>
        <w:t xml:space="preserve">released. </w:t>
      </w:r>
      <w:r w:rsidR="00B26413" w:rsidRPr="004635E5">
        <w:rPr>
          <w:rFonts w:eastAsiaTheme="minorEastAsia"/>
          <w:sz w:val="22"/>
          <w:szCs w:val="22"/>
          <w:lang w:eastAsia="ko-KR"/>
        </w:rPr>
        <w:t xml:space="preserve">A USA </w:t>
      </w:r>
      <w:r w:rsidR="00C43853" w:rsidRPr="004635E5">
        <w:rPr>
          <w:rFonts w:eastAsiaTheme="minorEastAsia"/>
          <w:sz w:val="22"/>
          <w:szCs w:val="22"/>
          <w:lang w:eastAsia="ko-KR"/>
        </w:rPr>
        <w:t>study in 2011 monito</w:t>
      </w:r>
      <w:r w:rsidR="00B26413" w:rsidRPr="004635E5">
        <w:rPr>
          <w:rFonts w:eastAsiaTheme="minorEastAsia"/>
          <w:sz w:val="22"/>
          <w:szCs w:val="22"/>
          <w:lang w:eastAsia="ko-KR"/>
        </w:rPr>
        <w:t>red</w:t>
      </w:r>
      <w:r w:rsidR="00C43853" w:rsidRPr="004635E5">
        <w:rPr>
          <w:rFonts w:eastAsiaTheme="minorEastAsia"/>
          <w:sz w:val="22"/>
          <w:szCs w:val="22"/>
          <w:lang w:eastAsia="ko-KR"/>
        </w:rPr>
        <w:t xml:space="preserve"> 2 million hooks 18/0 hooks, </w:t>
      </w:r>
      <w:r w:rsidR="00B26413" w:rsidRPr="004635E5">
        <w:rPr>
          <w:rFonts w:eastAsiaTheme="minorEastAsia"/>
          <w:sz w:val="22"/>
          <w:szCs w:val="22"/>
          <w:lang w:eastAsia="ko-KR"/>
        </w:rPr>
        <w:t xml:space="preserve">and recorded a </w:t>
      </w:r>
      <w:r w:rsidR="00C43853" w:rsidRPr="004635E5">
        <w:rPr>
          <w:rFonts w:eastAsiaTheme="minorEastAsia"/>
          <w:sz w:val="22"/>
          <w:szCs w:val="22"/>
          <w:lang w:eastAsia="ko-KR"/>
        </w:rPr>
        <w:t xml:space="preserve">30% decline in shark catches, </w:t>
      </w:r>
      <w:r w:rsidR="00B26413" w:rsidRPr="004635E5">
        <w:rPr>
          <w:rFonts w:eastAsiaTheme="minorEastAsia"/>
          <w:sz w:val="22"/>
          <w:szCs w:val="22"/>
          <w:lang w:eastAsia="ko-KR"/>
        </w:rPr>
        <w:t xml:space="preserve">and </w:t>
      </w:r>
      <w:r w:rsidR="00C43853" w:rsidRPr="004635E5">
        <w:rPr>
          <w:rFonts w:eastAsiaTheme="minorEastAsia"/>
          <w:sz w:val="22"/>
          <w:szCs w:val="22"/>
          <w:lang w:eastAsia="ko-KR"/>
        </w:rPr>
        <w:t>in some marlin species</w:t>
      </w:r>
      <w:r w:rsidR="00B26413" w:rsidRPr="004635E5">
        <w:rPr>
          <w:rFonts w:eastAsiaTheme="minorEastAsia"/>
          <w:sz w:val="22"/>
          <w:szCs w:val="22"/>
          <w:lang w:eastAsia="ko-KR"/>
        </w:rPr>
        <w:t xml:space="preserve">, while </w:t>
      </w:r>
      <w:r w:rsidR="00C43853" w:rsidRPr="004635E5">
        <w:rPr>
          <w:rFonts w:eastAsiaTheme="minorEastAsia"/>
          <w:sz w:val="22"/>
          <w:szCs w:val="22"/>
          <w:lang w:eastAsia="ko-KR"/>
        </w:rPr>
        <w:t>main</w:t>
      </w:r>
      <w:r w:rsidR="00B26413" w:rsidRPr="004635E5">
        <w:rPr>
          <w:rFonts w:eastAsiaTheme="minorEastAsia"/>
          <w:sz w:val="22"/>
          <w:szCs w:val="22"/>
          <w:lang w:eastAsia="ko-KR"/>
        </w:rPr>
        <w:t xml:space="preserve">taining </w:t>
      </w:r>
      <w:r w:rsidR="00C43853" w:rsidRPr="004635E5">
        <w:rPr>
          <w:rFonts w:eastAsiaTheme="minorEastAsia"/>
          <w:sz w:val="22"/>
          <w:szCs w:val="22"/>
          <w:lang w:eastAsia="ko-KR"/>
        </w:rPr>
        <w:t>target species catch.</w:t>
      </w:r>
    </w:p>
    <w:p w14:paraId="59DD1A5D" w14:textId="77777777" w:rsidR="00DB2BB1" w:rsidRPr="004635E5" w:rsidRDefault="00DB2BB1" w:rsidP="006633A8">
      <w:pPr>
        <w:autoSpaceDE w:val="0"/>
        <w:autoSpaceDN w:val="0"/>
        <w:adjustRightInd w:val="0"/>
        <w:snapToGrid w:val="0"/>
        <w:jc w:val="both"/>
        <w:rPr>
          <w:rFonts w:eastAsiaTheme="minorEastAsia"/>
          <w:sz w:val="22"/>
          <w:szCs w:val="22"/>
          <w:lang w:eastAsia="ko-KR"/>
        </w:rPr>
      </w:pPr>
    </w:p>
    <w:p w14:paraId="12495614" w14:textId="77777777" w:rsidR="00241D60" w:rsidRPr="004635E5" w:rsidRDefault="00B26413"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In response to a query by the </w:t>
      </w:r>
      <w:r w:rsidR="00A16680" w:rsidRPr="004635E5">
        <w:rPr>
          <w:rFonts w:eastAsiaTheme="minorEastAsia"/>
          <w:sz w:val="22"/>
          <w:szCs w:val="22"/>
          <w:lang w:eastAsia="ko-KR"/>
        </w:rPr>
        <w:t>c</w:t>
      </w:r>
      <w:r w:rsidRPr="004635E5">
        <w:rPr>
          <w:rFonts w:eastAsiaTheme="minorEastAsia"/>
          <w:sz w:val="22"/>
          <w:szCs w:val="22"/>
          <w:lang w:eastAsia="ko-KR"/>
        </w:rPr>
        <w:t xml:space="preserve">onvener whether </w:t>
      </w:r>
      <w:r w:rsidR="00C43853" w:rsidRPr="004635E5">
        <w:rPr>
          <w:rFonts w:eastAsiaTheme="minorEastAsia"/>
          <w:sz w:val="22"/>
          <w:szCs w:val="22"/>
          <w:lang w:eastAsia="ko-KR"/>
        </w:rPr>
        <w:t xml:space="preserve">SC </w:t>
      </w:r>
      <w:r w:rsidRPr="004635E5">
        <w:rPr>
          <w:rFonts w:eastAsiaTheme="minorEastAsia"/>
          <w:sz w:val="22"/>
          <w:szCs w:val="22"/>
          <w:lang w:eastAsia="ko-KR"/>
        </w:rPr>
        <w:t xml:space="preserve">was recommending </w:t>
      </w:r>
      <w:r w:rsidR="00C43853" w:rsidRPr="004635E5">
        <w:rPr>
          <w:rFonts w:eastAsiaTheme="minorEastAsia"/>
          <w:sz w:val="22"/>
          <w:szCs w:val="22"/>
          <w:lang w:eastAsia="ko-KR"/>
        </w:rPr>
        <w:t>further research</w:t>
      </w:r>
      <w:r w:rsidR="00AE6AB6" w:rsidRPr="004635E5">
        <w:rPr>
          <w:rFonts w:eastAsiaTheme="minorEastAsia"/>
          <w:sz w:val="22"/>
          <w:szCs w:val="22"/>
          <w:lang w:eastAsia="ko-KR"/>
        </w:rPr>
        <w:t xml:space="preserve"> or evaluating </w:t>
      </w:r>
      <w:r w:rsidR="00621989">
        <w:rPr>
          <w:rFonts w:eastAsiaTheme="minorEastAsia" w:hint="eastAsia"/>
          <w:sz w:val="22"/>
          <w:szCs w:val="22"/>
          <w:lang w:eastAsia="ko-KR"/>
        </w:rPr>
        <w:t xml:space="preserve">the </w:t>
      </w:r>
      <w:r w:rsidR="00AE6AB6" w:rsidRPr="004635E5">
        <w:rPr>
          <w:rFonts w:eastAsiaTheme="minorEastAsia"/>
          <w:sz w:val="22"/>
          <w:szCs w:val="22"/>
          <w:lang w:eastAsia="ko-KR"/>
        </w:rPr>
        <w:t xml:space="preserve">existing </w:t>
      </w:r>
      <w:r w:rsidR="00C43853" w:rsidRPr="004635E5">
        <w:rPr>
          <w:rFonts w:eastAsiaTheme="minorEastAsia"/>
          <w:sz w:val="22"/>
          <w:szCs w:val="22"/>
          <w:lang w:eastAsia="ko-KR"/>
        </w:rPr>
        <w:t>results</w:t>
      </w:r>
      <w:r w:rsidR="00AE6AB6" w:rsidRPr="004635E5">
        <w:rPr>
          <w:rFonts w:eastAsiaTheme="minorEastAsia"/>
          <w:sz w:val="22"/>
          <w:szCs w:val="22"/>
          <w:lang w:eastAsia="ko-KR"/>
        </w:rPr>
        <w:t xml:space="preserve">, </w:t>
      </w:r>
      <w:r w:rsidR="001372C0" w:rsidRPr="004635E5">
        <w:rPr>
          <w:rFonts w:eastAsiaTheme="minorEastAsia"/>
          <w:sz w:val="22"/>
          <w:szCs w:val="22"/>
          <w:lang w:eastAsia="ko-KR"/>
        </w:rPr>
        <w:t>Japan</w:t>
      </w:r>
      <w:r w:rsidR="00AE6AB6" w:rsidRPr="004635E5">
        <w:rPr>
          <w:rFonts w:eastAsiaTheme="minorEastAsia"/>
          <w:sz w:val="22"/>
          <w:szCs w:val="22"/>
          <w:lang w:eastAsia="ko-KR"/>
        </w:rPr>
        <w:t xml:space="preserve"> noted it would </w:t>
      </w:r>
      <w:r w:rsidR="001372C0" w:rsidRPr="004635E5">
        <w:rPr>
          <w:rFonts w:eastAsiaTheme="minorEastAsia"/>
          <w:sz w:val="22"/>
          <w:szCs w:val="22"/>
          <w:lang w:eastAsia="ko-KR"/>
        </w:rPr>
        <w:t xml:space="preserve">encourage research </w:t>
      </w:r>
      <w:r w:rsidR="00AE6AB6" w:rsidRPr="004635E5">
        <w:rPr>
          <w:rFonts w:eastAsiaTheme="minorEastAsia"/>
          <w:sz w:val="22"/>
          <w:szCs w:val="22"/>
          <w:lang w:eastAsia="ko-KR"/>
        </w:rPr>
        <w:t xml:space="preserve">on the topic by individual </w:t>
      </w:r>
      <w:r w:rsidR="001372C0" w:rsidRPr="004635E5">
        <w:rPr>
          <w:rFonts w:eastAsiaTheme="minorEastAsia"/>
          <w:sz w:val="22"/>
          <w:szCs w:val="22"/>
          <w:lang w:eastAsia="ko-KR"/>
        </w:rPr>
        <w:t>CCMs</w:t>
      </w:r>
      <w:r w:rsidR="00AE6AB6" w:rsidRPr="004635E5">
        <w:rPr>
          <w:rFonts w:eastAsiaTheme="minorEastAsia"/>
          <w:sz w:val="22"/>
          <w:szCs w:val="22"/>
          <w:lang w:eastAsia="ko-KR"/>
        </w:rPr>
        <w:t>, not necessarily through a dedicated WCPFC project</w:t>
      </w:r>
      <w:r w:rsidR="001372C0" w:rsidRPr="004635E5">
        <w:rPr>
          <w:rFonts w:eastAsiaTheme="minorEastAsia"/>
          <w:sz w:val="22"/>
          <w:szCs w:val="22"/>
          <w:lang w:eastAsia="ko-KR"/>
        </w:rPr>
        <w:t xml:space="preserve">. </w:t>
      </w:r>
      <w:r w:rsidR="00AE6AB6" w:rsidRPr="004635E5">
        <w:rPr>
          <w:rFonts w:eastAsiaTheme="minorEastAsia"/>
          <w:sz w:val="22"/>
          <w:szCs w:val="22"/>
          <w:lang w:eastAsia="ko-KR"/>
        </w:rPr>
        <w:t xml:space="preserve">ABNJ </w:t>
      </w:r>
      <w:r w:rsidR="001372C0" w:rsidRPr="004635E5">
        <w:rPr>
          <w:rFonts w:eastAsiaTheme="minorEastAsia"/>
          <w:sz w:val="22"/>
          <w:szCs w:val="22"/>
          <w:lang w:eastAsia="ko-KR"/>
        </w:rPr>
        <w:t>app</w:t>
      </w:r>
      <w:r w:rsidR="00AE6AB6" w:rsidRPr="004635E5">
        <w:rPr>
          <w:rFonts w:eastAsiaTheme="minorEastAsia"/>
          <w:sz w:val="22"/>
          <w:szCs w:val="22"/>
          <w:lang w:eastAsia="ko-KR"/>
        </w:rPr>
        <w:t xml:space="preserve">reciated </w:t>
      </w:r>
      <w:r w:rsidR="001372C0" w:rsidRPr="004635E5">
        <w:rPr>
          <w:rFonts w:eastAsiaTheme="minorEastAsia"/>
          <w:sz w:val="22"/>
          <w:szCs w:val="22"/>
          <w:lang w:eastAsia="ko-KR"/>
        </w:rPr>
        <w:t>the interventions from Japan</w:t>
      </w:r>
      <w:r w:rsidR="00AE6AB6" w:rsidRPr="004635E5">
        <w:rPr>
          <w:rFonts w:eastAsiaTheme="minorEastAsia"/>
          <w:sz w:val="22"/>
          <w:szCs w:val="22"/>
          <w:lang w:eastAsia="ko-KR"/>
        </w:rPr>
        <w:t>, and discussed a</w:t>
      </w:r>
      <w:r w:rsidR="001372C0" w:rsidRPr="004635E5">
        <w:rPr>
          <w:rFonts w:eastAsiaTheme="minorEastAsia"/>
          <w:sz w:val="22"/>
          <w:szCs w:val="22"/>
          <w:lang w:eastAsia="ko-KR"/>
        </w:rPr>
        <w:t xml:space="preserve"> recent </w:t>
      </w:r>
      <w:r w:rsidR="00AE6AB6" w:rsidRPr="004635E5">
        <w:rPr>
          <w:rFonts w:eastAsiaTheme="minorEastAsia"/>
          <w:sz w:val="22"/>
          <w:szCs w:val="22"/>
          <w:lang w:eastAsia="ko-KR"/>
        </w:rPr>
        <w:t xml:space="preserve">very robust meta-analysis of </w:t>
      </w:r>
      <w:r w:rsidR="001372C0" w:rsidRPr="004635E5">
        <w:rPr>
          <w:rFonts w:eastAsiaTheme="minorEastAsia"/>
          <w:sz w:val="22"/>
          <w:szCs w:val="22"/>
          <w:lang w:eastAsia="ko-KR"/>
        </w:rPr>
        <w:t>over 5</w:t>
      </w:r>
      <w:r w:rsidR="00AE6AB6" w:rsidRPr="004635E5">
        <w:rPr>
          <w:rFonts w:eastAsiaTheme="minorEastAsia"/>
          <w:sz w:val="22"/>
          <w:szCs w:val="22"/>
          <w:lang w:eastAsia="ko-KR"/>
        </w:rPr>
        <w:t>0 studies that showed reduced bycatch associated with use of circle hooks. The ABNJ report analysis included data for 6 fleets using deep setting</w:t>
      </w:r>
      <w:r w:rsidR="00241D60" w:rsidRPr="004635E5">
        <w:rPr>
          <w:rFonts w:eastAsiaTheme="minorEastAsia"/>
          <w:sz w:val="22"/>
          <w:szCs w:val="22"/>
          <w:lang w:eastAsia="ko-KR"/>
        </w:rPr>
        <w:t xml:space="preserve">, </w:t>
      </w:r>
      <w:r w:rsidR="00AE6AB6" w:rsidRPr="004635E5">
        <w:rPr>
          <w:rFonts w:eastAsiaTheme="minorEastAsia"/>
          <w:sz w:val="22"/>
          <w:szCs w:val="22"/>
          <w:lang w:eastAsia="ko-KR"/>
        </w:rPr>
        <w:t xml:space="preserve">so the results </w:t>
      </w:r>
      <w:r w:rsidR="00241D60" w:rsidRPr="004635E5">
        <w:rPr>
          <w:rFonts w:eastAsiaTheme="minorEastAsia"/>
          <w:sz w:val="22"/>
          <w:szCs w:val="22"/>
          <w:lang w:eastAsia="ko-KR"/>
        </w:rPr>
        <w:t xml:space="preserve">were not </w:t>
      </w:r>
      <w:r w:rsidR="00AE6AB6" w:rsidRPr="004635E5">
        <w:rPr>
          <w:rFonts w:eastAsiaTheme="minorEastAsia"/>
          <w:sz w:val="22"/>
          <w:szCs w:val="22"/>
          <w:lang w:eastAsia="ko-KR"/>
        </w:rPr>
        <w:t>fleet-specific</w:t>
      </w:r>
      <w:r w:rsidR="00241D60" w:rsidRPr="004635E5">
        <w:rPr>
          <w:rFonts w:eastAsiaTheme="minorEastAsia"/>
          <w:sz w:val="22"/>
          <w:szCs w:val="22"/>
          <w:lang w:eastAsia="ko-KR"/>
        </w:rPr>
        <w:t>;</w:t>
      </w:r>
      <w:r w:rsidR="00AE6AB6" w:rsidRPr="004635E5">
        <w:rPr>
          <w:rFonts w:eastAsiaTheme="minorEastAsia"/>
          <w:sz w:val="22"/>
          <w:szCs w:val="22"/>
          <w:lang w:eastAsia="ko-KR"/>
        </w:rPr>
        <w:t xml:space="preserve"> fleet was dropped as a variable in the GAM model used to estimate effects.</w:t>
      </w:r>
      <w:r w:rsidR="00241D60" w:rsidRPr="004635E5">
        <w:rPr>
          <w:rFonts w:eastAsiaTheme="minorEastAsia"/>
          <w:sz w:val="22"/>
          <w:szCs w:val="22"/>
          <w:lang w:eastAsia="ko-KR"/>
        </w:rPr>
        <w:t xml:space="preserve"> </w:t>
      </w:r>
    </w:p>
    <w:p w14:paraId="22780426" w14:textId="77777777" w:rsidR="00DB2BB1" w:rsidRPr="004635E5" w:rsidRDefault="00DB2BB1" w:rsidP="006633A8">
      <w:pPr>
        <w:autoSpaceDE w:val="0"/>
        <w:autoSpaceDN w:val="0"/>
        <w:adjustRightInd w:val="0"/>
        <w:snapToGrid w:val="0"/>
        <w:jc w:val="both"/>
        <w:rPr>
          <w:rFonts w:eastAsiaTheme="minorEastAsia"/>
          <w:sz w:val="22"/>
          <w:szCs w:val="22"/>
          <w:lang w:eastAsia="ko-KR"/>
        </w:rPr>
      </w:pPr>
    </w:p>
    <w:p w14:paraId="7143F932" w14:textId="77777777" w:rsidR="00A16680" w:rsidRPr="004635E5" w:rsidRDefault="00241D60"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Chinese Taipei </w:t>
      </w:r>
      <w:r w:rsidR="001372C0" w:rsidRPr="004635E5">
        <w:rPr>
          <w:rFonts w:eastAsiaTheme="minorEastAsia"/>
          <w:sz w:val="22"/>
          <w:szCs w:val="22"/>
          <w:lang w:eastAsia="ko-KR"/>
        </w:rPr>
        <w:t>support</w:t>
      </w:r>
      <w:r w:rsidRPr="004635E5">
        <w:rPr>
          <w:rFonts w:eastAsiaTheme="minorEastAsia"/>
          <w:sz w:val="22"/>
          <w:szCs w:val="22"/>
          <w:lang w:eastAsia="ko-KR"/>
        </w:rPr>
        <w:t>ed</w:t>
      </w:r>
      <w:r w:rsidR="001372C0" w:rsidRPr="004635E5">
        <w:rPr>
          <w:rFonts w:eastAsiaTheme="minorEastAsia"/>
          <w:sz w:val="22"/>
          <w:szCs w:val="22"/>
          <w:lang w:eastAsia="ko-KR"/>
        </w:rPr>
        <w:t xml:space="preserve"> further research</w:t>
      </w:r>
      <w:r w:rsidRPr="004635E5">
        <w:rPr>
          <w:rFonts w:eastAsiaTheme="minorEastAsia"/>
          <w:sz w:val="22"/>
          <w:szCs w:val="22"/>
          <w:lang w:eastAsia="ko-KR"/>
        </w:rPr>
        <w:t xml:space="preserve"> trial in the </w:t>
      </w:r>
      <w:r w:rsidR="001372C0" w:rsidRPr="004635E5">
        <w:rPr>
          <w:rFonts w:eastAsiaTheme="minorEastAsia"/>
          <w:sz w:val="22"/>
          <w:szCs w:val="22"/>
          <w:lang w:eastAsia="ko-KR"/>
        </w:rPr>
        <w:t xml:space="preserve">deepset </w:t>
      </w:r>
      <w:r w:rsidR="004421B3" w:rsidRPr="004635E5">
        <w:rPr>
          <w:rFonts w:eastAsiaTheme="minorEastAsia"/>
          <w:sz w:val="22"/>
          <w:szCs w:val="22"/>
          <w:lang w:eastAsia="ko-KR"/>
        </w:rPr>
        <w:t>longline</w:t>
      </w:r>
      <w:r w:rsidR="001372C0" w:rsidRPr="004635E5">
        <w:rPr>
          <w:rFonts w:eastAsiaTheme="minorEastAsia"/>
          <w:sz w:val="22"/>
          <w:szCs w:val="22"/>
          <w:lang w:eastAsia="ko-KR"/>
        </w:rPr>
        <w:t xml:space="preserve"> fleet</w:t>
      </w:r>
      <w:r w:rsidRPr="004635E5">
        <w:rPr>
          <w:rFonts w:eastAsiaTheme="minorEastAsia"/>
          <w:sz w:val="22"/>
          <w:szCs w:val="22"/>
          <w:lang w:eastAsia="ko-KR"/>
        </w:rPr>
        <w:t xml:space="preserve">, while </w:t>
      </w:r>
      <w:r w:rsidR="001372C0" w:rsidRPr="004635E5">
        <w:rPr>
          <w:rFonts w:eastAsiaTheme="minorEastAsia"/>
          <w:sz w:val="22"/>
          <w:szCs w:val="22"/>
          <w:lang w:eastAsia="ko-KR"/>
        </w:rPr>
        <w:t>China</w:t>
      </w:r>
      <w:r w:rsidRPr="004635E5">
        <w:rPr>
          <w:rFonts w:eastAsiaTheme="minorEastAsia"/>
          <w:sz w:val="22"/>
          <w:szCs w:val="22"/>
          <w:lang w:eastAsia="ko-KR"/>
        </w:rPr>
        <w:t xml:space="preserve"> inquired </w:t>
      </w:r>
      <w:r w:rsidR="00A16680" w:rsidRPr="004635E5">
        <w:rPr>
          <w:rFonts w:eastAsiaTheme="minorEastAsia"/>
          <w:sz w:val="22"/>
          <w:szCs w:val="22"/>
          <w:lang w:eastAsia="ko-KR"/>
        </w:rPr>
        <w:t xml:space="preserve">regarding </w:t>
      </w:r>
      <w:r w:rsidRPr="004635E5">
        <w:rPr>
          <w:rFonts w:eastAsiaTheme="minorEastAsia"/>
          <w:sz w:val="22"/>
          <w:szCs w:val="22"/>
          <w:lang w:eastAsia="ko-KR"/>
        </w:rPr>
        <w:t xml:space="preserve">the need for additional research regarding </w:t>
      </w:r>
      <w:r w:rsidR="001372C0" w:rsidRPr="004635E5">
        <w:rPr>
          <w:rFonts w:eastAsiaTheme="minorEastAsia"/>
          <w:sz w:val="22"/>
          <w:szCs w:val="22"/>
          <w:lang w:eastAsia="ko-KR"/>
        </w:rPr>
        <w:t>hook size</w:t>
      </w:r>
      <w:r w:rsidRPr="004635E5">
        <w:rPr>
          <w:rFonts w:eastAsiaTheme="minorEastAsia"/>
          <w:sz w:val="22"/>
          <w:szCs w:val="22"/>
          <w:lang w:eastAsia="ko-KR"/>
        </w:rPr>
        <w:t xml:space="preserve"> and</w:t>
      </w:r>
      <w:r w:rsidR="00F81EF0">
        <w:rPr>
          <w:rFonts w:eastAsiaTheme="minorEastAsia"/>
          <w:sz w:val="22"/>
          <w:szCs w:val="22"/>
          <w:lang w:eastAsia="ko-KR"/>
        </w:rPr>
        <w:t xml:space="preserve"> </w:t>
      </w:r>
      <w:r w:rsidR="001372C0" w:rsidRPr="004635E5">
        <w:rPr>
          <w:rFonts w:eastAsiaTheme="minorEastAsia"/>
          <w:sz w:val="22"/>
          <w:szCs w:val="22"/>
          <w:lang w:eastAsia="ko-KR"/>
        </w:rPr>
        <w:t xml:space="preserve">type </w:t>
      </w:r>
      <w:r w:rsidRPr="004635E5">
        <w:rPr>
          <w:rFonts w:eastAsiaTheme="minorEastAsia"/>
          <w:sz w:val="22"/>
          <w:szCs w:val="22"/>
          <w:lang w:eastAsia="ko-KR"/>
        </w:rPr>
        <w:t xml:space="preserve">and the use of </w:t>
      </w:r>
      <w:r w:rsidR="001372C0" w:rsidRPr="004635E5">
        <w:rPr>
          <w:rFonts w:eastAsiaTheme="minorEastAsia"/>
          <w:sz w:val="22"/>
          <w:szCs w:val="22"/>
          <w:lang w:eastAsia="ko-KR"/>
        </w:rPr>
        <w:t>J hook</w:t>
      </w:r>
      <w:r w:rsidRPr="004635E5">
        <w:rPr>
          <w:rFonts w:eastAsiaTheme="minorEastAsia"/>
          <w:sz w:val="22"/>
          <w:szCs w:val="22"/>
          <w:lang w:eastAsia="ko-KR"/>
        </w:rPr>
        <w:t xml:space="preserve">s. The </w:t>
      </w:r>
      <w:r w:rsidR="001372C0" w:rsidRPr="004635E5">
        <w:rPr>
          <w:rFonts w:eastAsiaTheme="minorEastAsia"/>
          <w:sz w:val="22"/>
          <w:szCs w:val="22"/>
          <w:lang w:eastAsia="ko-KR"/>
        </w:rPr>
        <w:t>USA</w:t>
      </w:r>
      <w:r w:rsidRPr="004635E5">
        <w:rPr>
          <w:rFonts w:eastAsiaTheme="minorEastAsia"/>
          <w:sz w:val="22"/>
          <w:szCs w:val="22"/>
          <w:lang w:eastAsia="ko-KR"/>
        </w:rPr>
        <w:t xml:space="preserve"> indicated it would not be undertaking such research </w:t>
      </w:r>
      <w:r w:rsidR="001372C0" w:rsidRPr="004635E5">
        <w:rPr>
          <w:rFonts w:eastAsiaTheme="minorEastAsia"/>
          <w:sz w:val="22"/>
          <w:szCs w:val="22"/>
          <w:lang w:eastAsia="ko-KR"/>
        </w:rPr>
        <w:t xml:space="preserve">because </w:t>
      </w:r>
      <w:r w:rsidRPr="004635E5">
        <w:rPr>
          <w:rFonts w:eastAsiaTheme="minorEastAsia"/>
          <w:sz w:val="22"/>
          <w:szCs w:val="22"/>
          <w:lang w:eastAsia="ko-KR"/>
        </w:rPr>
        <w:t xml:space="preserve">they had </w:t>
      </w:r>
      <w:r w:rsidR="00A16680" w:rsidRPr="004635E5">
        <w:rPr>
          <w:rFonts w:eastAsiaTheme="minorEastAsia"/>
          <w:sz w:val="22"/>
          <w:szCs w:val="22"/>
          <w:lang w:eastAsia="ko-KR"/>
        </w:rPr>
        <w:t xml:space="preserve">already </w:t>
      </w:r>
      <w:r w:rsidRPr="004635E5">
        <w:rPr>
          <w:rFonts w:eastAsiaTheme="minorEastAsia"/>
          <w:sz w:val="22"/>
          <w:szCs w:val="22"/>
          <w:lang w:eastAsia="ko-KR"/>
        </w:rPr>
        <w:t xml:space="preserve">implemented </w:t>
      </w:r>
      <w:r w:rsidR="00A16680" w:rsidRPr="004635E5">
        <w:rPr>
          <w:rFonts w:eastAsiaTheme="minorEastAsia"/>
          <w:sz w:val="22"/>
          <w:szCs w:val="22"/>
          <w:lang w:eastAsia="ko-KR"/>
        </w:rPr>
        <w:t xml:space="preserve">the </w:t>
      </w:r>
      <w:r w:rsidR="001372C0" w:rsidRPr="004635E5">
        <w:rPr>
          <w:rFonts w:eastAsiaTheme="minorEastAsia"/>
          <w:sz w:val="22"/>
          <w:szCs w:val="22"/>
          <w:lang w:eastAsia="ko-KR"/>
        </w:rPr>
        <w:t>use of circ</w:t>
      </w:r>
      <w:r w:rsidRPr="004635E5">
        <w:rPr>
          <w:rFonts w:eastAsiaTheme="minorEastAsia"/>
          <w:sz w:val="22"/>
          <w:szCs w:val="22"/>
          <w:lang w:eastAsia="ko-KR"/>
        </w:rPr>
        <w:t>le</w:t>
      </w:r>
      <w:r w:rsidR="001372C0" w:rsidRPr="004635E5">
        <w:rPr>
          <w:rFonts w:eastAsiaTheme="minorEastAsia"/>
          <w:sz w:val="22"/>
          <w:szCs w:val="22"/>
          <w:lang w:eastAsia="ko-KR"/>
        </w:rPr>
        <w:t xml:space="preserve"> hooks.</w:t>
      </w:r>
      <w:r w:rsidR="00A16680" w:rsidRPr="004635E5">
        <w:rPr>
          <w:rFonts w:eastAsiaTheme="minorEastAsia"/>
          <w:sz w:val="22"/>
          <w:szCs w:val="22"/>
          <w:lang w:eastAsia="ko-KR"/>
        </w:rPr>
        <w:t xml:space="preserve"> </w:t>
      </w:r>
      <w:r w:rsidRPr="004635E5">
        <w:rPr>
          <w:rFonts w:eastAsiaTheme="minorEastAsia"/>
          <w:sz w:val="22"/>
          <w:szCs w:val="22"/>
          <w:lang w:eastAsia="ko-KR"/>
        </w:rPr>
        <w:t>J</w:t>
      </w:r>
      <w:r w:rsidR="001372C0" w:rsidRPr="004635E5">
        <w:rPr>
          <w:rFonts w:eastAsiaTheme="minorEastAsia"/>
          <w:sz w:val="22"/>
          <w:szCs w:val="22"/>
          <w:lang w:eastAsia="ko-KR"/>
        </w:rPr>
        <w:t>apan</w:t>
      </w:r>
      <w:r w:rsidRPr="004635E5">
        <w:rPr>
          <w:rFonts w:eastAsiaTheme="minorEastAsia"/>
          <w:sz w:val="22"/>
          <w:szCs w:val="22"/>
          <w:lang w:eastAsia="ko-KR"/>
        </w:rPr>
        <w:t xml:space="preserve"> noted that shape </w:t>
      </w:r>
      <w:r w:rsidR="005A33B3" w:rsidRPr="004635E5">
        <w:rPr>
          <w:rFonts w:eastAsiaTheme="minorEastAsia"/>
          <w:sz w:val="22"/>
          <w:szCs w:val="22"/>
          <w:lang w:eastAsia="ko-KR"/>
        </w:rPr>
        <w:t xml:space="preserve">was the critical factor, and that they did not support specification of hook size, but that large hooks were preferable when using </w:t>
      </w:r>
      <w:r w:rsidR="008C4469" w:rsidRPr="004635E5">
        <w:rPr>
          <w:rFonts w:eastAsiaTheme="minorEastAsia"/>
          <w:sz w:val="22"/>
          <w:szCs w:val="22"/>
          <w:lang w:eastAsia="ko-KR"/>
        </w:rPr>
        <w:t>circle hook</w:t>
      </w:r>
      <w:r w:rsidR="005A33B3" w:rsidRPr="004635E5">
        <w:rPr>
          <w:rFonts w:eastAsiaTheme="minorEastAsia"/>
          <w:sz w:val="22"/>
          <w:szCs w:val="22"/>
          <w:lang w:eastAsia="ko-KR"/>
        </w:rPr>
        <w:t>s</w:t>
      </w:r>
      <w:r w:rsidR="008C4469" w:rsidRPr="004635E5">
        <w:rPr>
          <w:rFonts w:eastAsiaTheme="minorEastAsia"/>
          <w:sz w:val="22"/>
          <w:szCs w:val="22"/>
          <w:lang w:eastAsia="ko-KR"/>
        </w:rPr>
        <w:t>.</w:t>
      </w:r>
      <w:r w:rsidR="00A16680" w:rsidRPr="004635E5">
        <w:rPr>
          <w:rFonts w:eastAsiaTheme="minorEastAsia"/>
          <w:sz w:val="22"/>
          <w:szCs w:val="22"/>
          <w:lang w:eastAsia="ko-KR"/>
        </w:rPr>
        <w:t xml:space="preserve"> </w:t>
      </w:r>
      <w:r w:rsidR="008C4469" w:rsidRPr="004635E5">
        <w:rPr>
          <w:rFonts w:eastAsiaTheme="minorEastAsia"/>
          <w:sz w:val="22"/>
          <w:szCs w:val="22"/>
          <w:lang w:eastAsia="ko-KR"/>
        </w:rPr>
        <w:t>Korea support</w:t>
      </w:r>
      <w:r w:rsidR="005A33B3" w:rsidRPr="004635E5">
        <w:rPr>
          <w:rFonts w:eastAsiaTheme="minorEastAsia"/>
          <w:sz w:val="22"/>
          <w:szCs w:val="22"/>
          <w:lang w:eastAsia="ko-KR"/>
        </w:rPr>
        <w:t>ed</w:t>
      </w:r>
      <w:r w:rsidR="008C4469" w:rsidRPr="004635E5">
        <w:rPr>
          <w:rFonts w:eastAsiaTheme="minorEastAsia"/>
          <w:sz w:val="22"/>
          <w:szCs w:val="22"/>
          <w:lang w:eastAsia="ko-KR"/>
        </w:rPr>
        <w:t xml:space="preserve"> the rec</w:t>
      </w:r>
      <w:r w:rsidR="005A33B3" w:rsidRPr="004635E5">
        <w:rPr>
          <w:rFonts w:eastAsiaTheme="minorEastAsia"/>
          <w:sz w:val="22"/>
          <w:szCs w:val="22"/>
          <w:lang w:eastAsia="ko-KR"/>
        </w:rPr>
        <w:t>ommendation by Japan for additional research</w:t>
      </w:r>
      <w:r w:rsidR="008C4469" w:rsidRPr="004635E5">
        <w:rPr>
          <w:rFonts w:eastAsiaTheme="minorEastAsia"/>
          <w:sz w:val="22"/>
          <w:szCs w:val="22"/>
          <w:lang w:eastAsia="ko-KR"/>
        </w:rPr>
        <w:t>.</w:t>
      </w:r>
      <w:r w:rsidR="00A16680" w:rsidRPr="004635E5">
        <w:rPr>
          <w:rFonts w:eastAsiaTheme="minorEastAsia"/>
          <w:sz w:val="22"/>
          <w:szCs w:val="22"/>
          <w:lang w:eastAsia="ko-KR"/>
        </w:rPr>
        <w:t xml:space="preserve"> </w:t>
      </w:r>
    </w:p>
    <w:p w14:paraId="57BBF9BC" w14:textId="77777777" w:rsidR="00DB2BB1" w:rsidRPr="004635E5" w:rsidRDefault="00DB2BB1" w:rsidP="006633A8">
      <w:pPr>
        <w:autoSpaceDE w:val="0"/>
        <w:autoSpaceDN w:val="0"/>
        <w:adjustRightInd w:val="0"/>
        <w:snapToGrid w:val="0"/>
        <w:jc w:val="both"/>
        <w:rPr>
          <w:rFonts w:eastAsiaTheme="minorEastAsia"/>
          <w:sz w:val="22"/>
          <w:szCs w:val="22"/>
          <w:lang w:eastAsia="ko-KR"/>
        </w:rPr>
      </w:pPr>
    </w:p>
    <w:p w14:paraId="616883D3" w14:textId="77777777" w:rsidR="00621989" w:rsidRPr="00621989" w:rsidRDefault="00621989" w:rsidP="00580EA4">
      <w:pPr>
        <w:numPr>
          <w:ilvl w:val="0"/>
          <w:numId w:val="18"/>
        </w:numPr>
        <w:autoSpaceDE w:val="0"/>
        <w:autoSpaceDN w:val="0"/>
        <w:adjustRightInd w:val="0"/>
        <w:snapToGrid w:val="0"/>
        <w:ind w:left="0" w:firstLine="0"/>
        <w:jc w:val="both"/>
        <w:rPr>
          <w:rFonts w:eastAsiaTheme="minorEastAsia"/>
          <w:b/>
          <w:bCs/>
          <w:sz w:val="22"/>
          <w:szCs w:val="22"/>
          <w:lang w:eastAsia="ko-KR"/>
        </w:rPr>
      </w:pPr>
      <w:r w:rsidRPr="00621989">
        <w:rPr>
          <w:rFonts w:eastAsiaTheme="minorEastAsia"/>
          <w:b/>
          <w:bCs/>
          <w:sz w:val="22"/>
          <w:szCs w:val="22"/>
          <w:lang w:eastAsia="ko-KR"/>
        </w:rPr>
        <w:t>SC14 noted that only limited information exists on direct comparison of catch rates of target and non-target species among J hook, Japanese tuna hook, and large circle hook, in particular for deep longline set</w:t>
      </w:r>
      <w:r w:rsidR="00CD6739">
        <w:rPr>
          <w:rFonts w:eastAsiaTheme="minorEastAsia"/>
          <w:b/>
          <w:bCs/>
          <w:sz w:val="22"/>
          <w:szCs w:val="22"/>
          <w:lang w:eastAsia="ko-KR"/>
        </w:rPr>
        <w:t>s</w:t>
      </w:r>
      <w:r w:rsidRPr="00621989">
        <w:rPr>
          <w:rFonts w:eastAsiaTheme="minorEastAsia" w:hint="eastAsia"/>
          <w:b/>
          <w:bCs/>
          <w:sz w:val="22"/>
          <w:szCs w:val="22"/>
          <w:lang w:eastAsia="ko-KR"/>
        </w:rPr>
        <w:t>.</w:t>
      </w:r>
    </w:p>
    <w:p w14:paraId="01963064" w14:textId="77777777" w:rsidR="00621989" w:rsidRDefault="00621989" w:rsidP="006633A8">
      <w:pPr>
        <w:pStyle w:val="ListParagraph"/>
        <w:adjustRightInd w:val="0"/>
        <w:snapToGrid w:val="0"/>
        <w:rPr>
          <w:rFonts w:eastAsiaTheme="minorEastAsia"/>
          <w:sz w:val="22"/>
          <w:szCs w:val="22"/>
          <w:lang w:eastAsia="ko-KR"/>
        </w:rPr>
      </w:pPr>
    </w:p>
    <w:p w14:paraId="79CB0DAB" w14:textId="77777777" w:rsidR="00621989" w:rsidRPr="00621989" w:rsidRDefault="00621989"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621989">
        <w:rPr>
          <w:rFonts w:eastAsiaTheme="minorEastAsia"/>
          <w:b/>
          <w:bCs/>
          <w:sz w:val="22"/>
          <w:szCs w:val="22"/>
          <w:lang w:eastAsia="ko-KR"/>
        </w:rPr>
        <w:t>SC14 encouraged CCMs to collect further information on catch rates of target and non-target species separated by hook types and hook sizes and to report them to the WCPFC.</w:t>
      </w:r>
      <w:r>
        <w:rPr>
          <w:rFonts w:eastAsiaTheme="minorEastAsia" w:hint="eastAsia"/>
          <w:b/>
          <w:bCs/>
          <w:sz w:val="22"/>
          <w:szCs w:val="22"/>
          <w:lang w:eastAsia="ko-KR"/>
        </w:rPr>
        <w:t xml:space="preserve"> </w:t>
      </w:r>
    </w:p>
    <w:p w14:paraId="7DD852CD" w14:textId="77777777" w:rsidR="00DB2BB1" w:rsidRPr="004635E5" w:rsidRDefault="00DB2BB1" w:rsidP="006633A8">
      <w:pPr>
        <w:autoSpaceDE w:val="0"/>
        <w:autoSpaceDN w:val="0"/>
        <w:adjustRightInd w:val="0"/>
        <w:snapToGrid w:val="0"/>
        <w:ind w:left="360"/>
        <w:jc w:val="both"/>
        <w:rPr>
          <w:rFonts w:eastAsiaTheme="minorEastAsia"/>
          <w:sz w:val="22"/>
          <w:szCs w:val="22"/>
          <w:lang w:eastAsia="ko-KR"/>
        </w:rPr>
      </w:pPr>
    </w:p>
    <w:p w14:paraId="6EED8D9D" w14:textId="77777777" w:rsidR="009D13D7" w:rsidRPr="004635E5" w:rsidRDefault="009D13D7" w:rsidP="006633A8">
      <w:pPr>
        <w:autoSpaceDE w:val="0"/>
        <w:autoSpaceDN w:val="0"/>
        <w:adjustRightInd w:val="0"/>
        <w:snapToGrid w:val="0"/>
        <w:jc w:val="both"/>
        <w:rPr>
          <w:rFonts w:eastAsiaTheme="minorEastAsia"/>
          <w:b/>
          <w:sz w:val="22"/>
          <w:szCs w:val="22"/>
          <w:lang w:eastAsia="ko-KR"/>
        </w:rPr>
      </w:pPr>
      <w:r w:rsidRPr="004635E5">
        <w:rPr>
          <w:rFonts w:eastAsiaTheme="minorEastAsia"/>
          <w:b/>
          <w:sz w:val="22"/>
          <w:szCs w:val="22"/>
          <w:lang w:eastAsia="ko-KR"/>
        </w:rPr>
        <w:t>Recommendation</w:t>
      </w:r>
    </w:p>
    <w:p w14:paraId="2A5EA5B7" w14:textId="77777777" w:rsidR="00DB2BB1" w:rsidRPr="004635E5" w:rsidRDefault="00DB2BB1" w:rsidP="006633A8">
      <w:pPr>
        <w:autoSpaceDE w:val="0"/>
        <w:autoSpaceDN w:val="0"/>
        <w:adjustRightInd w:val="0"/>
        <w:snapToGrid w:val="0"/>
        <w:jc w:val="both"/>
        <w:rPr>
          <w:rFonts w:eastAsiaTheme="minorEastAsia"/>
          <w:b/>
          <w:sz w:val="22"/>
          <w:szCs w:val="22"/>
          <w:lang w:eastAsia="ko-KR"/>
        </w:rPr>
      </w:pPr>
    </w:p>
    <w:p w14:paraId="0C0823B1" w14:textId="77777777" w:rsidR="00A16680" w:rsidRPr="004635E5" w:rsidRDefault="00A16680" w:rsidP="00580EA4">
      <w:pPr>
        <w:numPr>
          <w:ilvl w:val="0"/>
          <w:numId w:val="18"/>
        </w:numPr>
        <w:autoSpaceDE w:val="0"/>
        <w:autoSpaceDN w:val="0"/>
        <w:adjustRightInd w:val="0"/>
        <w:snapToGrid w:val="0"/>
        <w:ind w:left="0" w:firstLine="0"/>
        <w:jc w:val="both"/>
        <w:rPr>
          <w:rFonts w:eastAsiaTheme="minorEastAsia"/>
          <w:b/>
          <w:sz w:val="22"/>
          <w:szCs w:val="22"/>
          <w:lang w:val="en-NZ" w:eastAsia="ko-KR"/>
        </w:rPr>
      </w:pPr>
      <w:r w:rsidRPr="004635E5">
        <w:rPr>
          <w:rFonts w:eastAsiaTheme="minorEastAsia"/>
          <w:b/>
          <w:sz w:val="22"/>
          <w:szCs w:val="22"/>
          <w:lang w:val="en-NZ" w:eastAsia="ko-KR"/>
        </w:rPr>
        <w:t>SC14 recommended that the Commission note that:</w:t>
      </w:r>
    </w:p>
    <w:p w14:paraId="2F4DF858" w14:textId="77777777" w:rsidR="00A16680" w:rsidRPr="004635E5" w:rsidRDefault="00A16680" w:rsidP="00580EA4">
      <w:pPr>
        <w:numPr>
          <w:ilvl w:val="0"/>
          <w:numId w:val="63"/>
        </w:numPr>
        <w:autoSpaceDE w:val="0"/>
        <w:autoSpaceDN w:val="0"/>
        <w:adjustRightInd w:val="0"/>
        <w:snapToGrid w:val="0"/>
        <w:ind w:left="1080"/>
        <w:jc w:val="both"/>
        <w:rPr>
          <w:rFonts w:eastAsiaTheme="minorEastAsia"/>
          <w:b/>
          <w:sz w:val="22"/>
          <w:szCs w:val="22"/>
          <w:lang w:val="en-NZ" w:eastAsia="ko-KR"/>
        </w:rPr>
      </w:pPr>
      <w:r w:rsidRPr="004635E5">
        <w:rPr>
          <w:rFonts w:eastAsiaTheme="minorEastAsia"/>
          <w:b/>
          <w:sz w:val="22"/>
          <w:szCs w:val="22"/>
          <w:lang w:val="en-NZ" w:eastAsia="ko-KR"/>
        </w:rPr>
        <w:t>less than 1% of Western and Central Pacific Ocean (WCPO) longline effort is subject to mitigation under CMM 2008-03, even though approximately 20% of the WCPO longline effort consists of shallow sets.</w:t>
      </w:r>
      <w:r w:rsidR="00F81EF0">
        <w:rPr>
          <w:rFonts w:eastAsiaTheme="minorEastAsia"/>
          <w:b/>
          <w:sz w:val="22"/>
          <w:szCs w:val="22"/>
          <w:lang w:val="en-NZ" w:eastAsia="ko-KR"/>
        </w:rPr>
        <w:t xml:space="preserve"> </w:t>
      </w:r>
      <w:r w:rsidRPr="004635E5">
        <w:rPr>
          <w:rFonts w:eastAsiaTheme="minorEastAsia"/>
          <w:b/>
          <w:sz w:val="22"/>
          <w:szCs w:val="22"/>
          <w:lang w:val="en-NZ" w:eastAsia="ko-KR"/>
        </w:rPr>
        <w:t>This results because CMM 2008-03 only applies to longline vessels that fish for swordfish in a shallow-set manner.</w:t>
      </w:r>
    </w:p>
    <w:p w14:paraId="5D3D26E7" w14:textId="77777777" w:rsidR="00A16680" w:rsidRPr="004635E5" w:rsidRDefault="00A16680" w:rsidP="00580EA4">
      <w:pPr>
        <w:numPr>
          <w:ilvl w:val="0"/>
          <w:numId w:val="63"/>
        </w:numPr>
        <w:autoSpaceDE w:val="0"/>
        <w:autoSpaceDN w:val="0"/>
        <w:adjustRightInd w:val="0"/>
        <w:snapToGrid w:val="0"/>
        <w:ind w:left="1080"/>
        <w:jc w:val="both"/>
        <w:rPr>
          <w:rFonts w:eastAsiaTheme="minorEastAsia"/>
          <w:b/>
          <w:sz w:val="22"/>
          <w:szCs w:val="22"/>
          <w:lang w:val="en-NZ" w:eastAsia="ko-KR"/>
        </w:rPr>
      </w:pPr>
      <w:r w:rsidRPr="004635E5">
        <w:rPr>
          <w:rFonts w:eastAsiaTheme="minorEastAsia"/>
          <w:b/>
          <w:sz w:val="22"/>
          <w:szCs w:val="22"/>
          <w:lang w:val="en-NZ" w:eastAsia="ko-KR"/>
        </w:rPr>
        <w:t xml:space="preserve">Noting that SC13 recommended that:  </w:t>
      </w:r>
    </w:p>
    <w:p w14:paraId="0E0A4B15" w14:textId="77777777" w:rsidR="00A16680" w:rsidRPr="004635E5" w:rsidRDefault="00A16680" w:rsidP="006633A8">
      <w:pPr>
        <w:autoSpaceDE w:val="0"/>
        <w:autoSpaceDN w:val="0"/>
        <w:adjustRightInd w:val="0"/>
        <w:snapToGrid w:val="0"/>
        <w:ind w:left="1080"/>
        <w:jc w:val="both"/>
        <w:rPr>
          <w:rFonts w:eastAsiaTheme="minorEastAsia"/>
          <w:b/>
          <w:sz w:val="22"/>
          <w:szCs w:val="22"/>
          <w:lang w:val="en-AU" w:eastAsia="ko-KR"/>
        </w:rPr>
      </w:pPr>
      <w:r w:rsidRPr="004635E5">
        <w:rPr>
          <w:rFonts w:eastAsiaTheme="minorEastAsia"/>
          <w:b/>
          <w:sz w:val="22"/>
          <w:szCs w:val="22"/>
          <w:lang w:val="en-AU" w:eastAsia="ko-KR"/>
        </w:rPr>
        <w:t xml:space="preserve">TCC and the Commission note the following findings of the Joint Analysis of Sea Turtle Mitigation Effectiveness Workshop when discussing sea turtle mitigation in the WCPF Convention Area:  </w:t>
      </w:r>
    </w:p>
    <w:p w14:paraId="3BEF0BF8" w14:textId="77777777" w:rsidR="00A16680" w:rsidRPr="004635E5" w:rsidRDefault="00A16680" w:rsidP="00580EA4">
      <w:pPr>
        <w:numPr>
          <w:ilvl w:val="0"/>
          <w:numId w:val="64"/>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The WCPFC does not hold sufficient information to quantify the severity of the threat posed by longline fisheries to sea turtle populations;</w:t>
      </w:r>
    </w:p>
    <w:p w14:paraId="5CAAEA6E" w14:textId="77777777" w:rsidR="00A16680" w:rsidRPr="004635E5" w:rsidRDefault="00A16680" w:rsidP="00580EA4">
      <w:pPr>
        <w:numPr>
          <w:ilvl w:val="0"/>
          <w:numId w:val="64"/>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The effect of large circle hooks (size 16/0 or larger) in reducing interactions is generally greater than the effect of fish bait;</w:t>
      </w:r>
    </w:p>
    <w:p w14:paraId="23F066CA" w14:textId="77777777" w:rsidR="00A16680" w:rsidRPr="004635E5" w:rsidRDefault="00A16680" w:rsidP="00580EA4">
      <w:pPr>
        <w:numPr>
          <w:ilvl w:val="0"/>
          <w:numId w:val="64"/>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 xml:space="preserve">The effect of fish bait in reducing both interactions and mortality is generally similar to that of removal of the first hook position closest to each float; </w:t>
      </w:r>
    </w:p>
    <w:p w14:paraId="58A40B47" w14:textId="77777777" w:rsidR="00A16680" w:rsidRPr="004635E5" w:rsidRDefault="00A16680" w:rsidP="00580EA4">
      <w:pPr>
        <w:numPr>
          <w:ilvl w:val="0"/>
          <w:numId w:val="64"/>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 xml:space="preserve">The effect of large circle hooks (size 16/0 or larger) in reducing both interactions and mortality is generally similar to that of removal of the first two hook positions closest to each float; </w:t>
      </w:r>
    </w:p>
    <w:p w14:paraId="28518FF7" w14:textId="77777777" w:rsidR="00A16680" w:rsidRPr="004635E5" w:rsidRDefault="00A16680" w:rsidP="00580EA4">
      <w:pPr>
        <w:numPr>
          <w:ilvl w:val="0"/>
          <w:numId w:val="64"/>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 xml:space="preserve">While approximately 20% of the WCPO longline effort is in shallow sets, analysis suggests that &lt;1% of WCPO longline effort is currently subject to mitigation;  </w:t>
      </w:r>
    </w:p>
    <w:p w14:paraId="5C0CC328" w14:textId="77777777" w:rsidR="00A16680" w:rsidRPr="004635E5" w:rsidRDefault="00A16680" w:rsidP="00580EA4">
      <w:pPr>
        <w:numPr>
          <w:ilvl w:val="0"/>
          <w:numId w:val="64"/>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Noting that the workshop separated shallow and deep sets at 10 hooks per basket, it found that although interaction rates are higher in shallow-set longlines, introducing mitigation to deep-set longlines would deliver greater reductions in total interactions as compared to shallow-set longlines due to the four-times greater effort in deep-set longline fisheries;</w:t>
      </w:r>
    </w:p>
    <w:p w14:paraId="70A7B9DC" w14:textId="77777777" w:rsidR="00A16680" w:rsidRPr="004635E5" w:rsidRDefault="00A16680" w:rsidP="00580EA4">
      <w:pPr>
        <w:numPr>
          <w:ilvl w:val="0"/>
          <w:numId w:val="64"/>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 xml:space="preserve">Similarly, introducing mitigation to deep-set longlines would deliver greater reductions in at-vessel mortality as compared to shallow-set mitigation because sea turtles have a higher probability of asphyxiation in deep sets; </w:t>
      </w:r>
    </w:p>
    <w:p w14:paraId="6D920F13" w14:textId="77777777" w:rsidR="00A16680" w:rsidRPr="004635E5" w:rsidRDefault="00A16680" w:rsidP="00580EA4">
      <w:pPr>
        <w:numPr>
          <w:ilvl w:val="0"/>
          <w:numId w:val="64"/>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 xml:space="preserve">The effects of these and other combinations of mitigation measures are quantified and discussed in the final workshop report “Joint Analysis of Sea Turtle Mitigation Effectiveness” which can serve as a reference for the Commission’s further consideration of CMM 2008-03. </w:t>
      </w:r>
    </w:p>
    <w:p w14:paraId="17594A4F" w14:textId="77777777" w:rsidR="00A16680" w:rsidRPr="004635E5" w:rsidRDefault="00A16680" w:rsidP="00580EA4">
      <w:pPr>
        <w:numPr>
          <w:ilvl w:val="0"/>
          <w:numId w:val="64"/>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 xml:space="preserve">It be determined if sufficient data exist to conduct further analyses to evaluate the impacts of various mitigation measures on fisheries operations in WCPO and on populations of sea turtle species. </w:t>
      </w:r>
    </w:p>
    <w:p w14:paraId="57847CA8" w14:textId="77777777" w:rsidR="00CB147D" w:rsidRDefault="00CB147D" w:rsidP="006633A8">
      <w:pPr>
        <w:autoSpaceDE w:val="0"/>
        <w:autoSpaceDN w:val="0"/>
        <w:adjustRightInd w:val="0"/>
        <w:snapToGrid w:val="0"/>
        <w:jc w:val="both"/>
        <w:rPr>
          <w:rFonts w:eastAsiaTheme="minorEastAsia"/>
          <w:sz w:val="22"/>
          <w:szCs w:val="22"/>
          <w:lang w:val="en-NZ" w:eastAsia="ko-KR"/>
        </w:rPr>
      </w:pPr>
    </w:p>
    <w:p w14:paraId="10AF2F92" w14:textId="77777777" w:rsidR="00A16680" w:rsidRPr="00CB147D" w:rsidRDefault="00A16680" w:rsidP="006633A8">
      <w:pPr>
        <w:pStyle w:val="WCPFC"/>
        <w:adjustRightInd w:val="0"/>
        <w:spacing w:after="0"/>
        <w:rPr>
          <w:b/>
          <w:bCs/>
        </w:rPr>
      </w:pPr>
      <w:r w:rsidRPr="00CB147D">
        <w:rPr>
          <w:b/>
          <w:bCs/>
        </w:rPr>
        <w:t>In responding to the Commission’s request in WCPFC14 Summary Report, para 362, SC14 discussed two papers (WCPFC-2018-SC14/EB-WP-06 and SC14</w:t>
      </w:r>
      <w:r w:rsidR="00961208">
        <w:rPr>
          <w:b/>
          <w:bCs/>
        </w:rPr>
        <w:t>-</w:t>
      </w:r>
      <w:r w:rsidRPr="00CB147D">
        <w:rPr>
          <w:b/>
          <w:bCs/>
        </w:rPr>
        <w:t>EB-WP-08) examining the effects of circle hooks on target and other bycatch species, but did not reach consensus on the effectiveness of circle hooks compared to other hook types on catch rates of target and other bycatch species.</w:t>
      </w:r>
    </w:p>
    <w:p w14:paraId="2BC0B527" w14:textId="77777777" w:rsidR="00DB2BB1" w:rsidRPr="004635E5" w:rsidRDefault="00DB2BB1" w:rsidP="006633A8">
      <w:pPr>
        <w:autoSpaceDE w:val="0"/>
        <w:autoSpaceDN w:val="0"/>
        <w:adjustRightInd w:val="0"/>
        <w:snapToGrid w:val="0"/>
        <w:jc w:val="both"/>
        <w:rPr>
          <w:rFonts w:eastAsiaTheme="minorEastAsia"/>
          <w:sz w:val="22"/>
          <w:szCs w:val="22"/>
          <w:lang w:val="en-NZ" w:eastAsia="ko-KR"/>
        </w:rPr>
      </w:pPr>
    </w:p>
    <w:p w14:paraId="1AF26D17" w14:textId="77777777" w:rsidR="0053244F" w:rsidRPr="004635E5" w:rsidRDefault="00DA740B" w:rsidP="00580EA4">
      <w:pPr>
        <w:pStyle w:val="SC2"/>
        <w:numPr>
          <w:ilvl w:val="1"/>
          <w:numId w:val="161"/>
        </w:numPr>
        <w:spacing w:after="0"/>
        <w:ind w:left="0" w:firstLine="0"/>
        <w:rPr>
          <w:rFonts w:eastAsiaTheme="minorEastAsia"/>
          <w:lang w:eastAsia="ko-KR"/>
        </w:rPr>
      </w:pPr>
      <w:r w:rsidRPr="004635E5">
        <w:rPr>
          <w:rFonts w:eastAsiaTheme="minorEastAsia"/>
          <w:lang w:eastAsia="ko-KR"/>
        </w:rPr>
        <w:t>Bycatch management</w:t>
      </w:r>
      <w:r w:rsidR="007240A1" w:rsidRPr="004635E5">
        <w:rPr>
          <w:rFonts w:eastAsiaTheme="minorEastAsia"/>
          <w:lang w:eastAsia="ko-KR"/>
        </w:rPr>
        <w:t xml:space="preserve"> </w:t>
      </w:r>
    </w:p>
    <w:p w14:paraId="614FCF9D" w14:textId="77777777" w:rsidR="00DB2BB1" w:rsidRPr="004635E5" w:rsidRDefault="00DB2BB1" w:rsidP="006633A8">
      <w:pPr>
        <w:pStyle w:val="SC2"/>
        <w:numPr>
          <w:ilvl w:val="0"/>
          <w:numId w:val="0"/>
        </w:numPr>
        <w:spacing w:after="0"/>
        <w:ind w:left="720"/>
        <w:rPr>
          <w:rFonts w:eastAsiaTheme="minorEastAsia"/>
          <w:lang w:eastAsia="ko-KR"/>
        </w:rPr>
      </w:pPr>
    </w:p>
    <w:p w14:paraId="4DDCA615" w14:textId="77777777" w:rsidR="00DB2BB1" w:rsidRPr="004635E5" w:rsidRDefault="00E97114" w:rsidP="006633A8">
      <w:pPr>
        <w:pStyle w:val="WCPFC"/>
        <w:adjustRightInd w:val="0"/>
        <w:spacing w:after="0"/>
        <w:ind w:left="0" w:firstLine="0"/>
        <w:rPr>
          <w:rStyle w:val="Hyperlink"/>
          <w:rFonts w:cs="Times New Roman"/>
          <w:color w:val="auto"/>
          <w:u w:val="none"/>
          <w:lang w:eastAsia="ko-KR"/>
        </w:rPr>
      </w:pPr>
      <w:r w:rsidRPr="004635E5">
        <w:rPr>
          <w:rStyle w:val="Hyperlink"/>
          <w:rFonts w:cs="Times New Roman"/>
          <w:color w:val="auto"/>
          <w:u w:val="none"/>
          <w:lang w:eastAsia="ko-KR"/>
        </w:rPr>
        <w:t>SC-14</w:t>
      </w:r>
      <w:r w:rsidR="00F81EF0">
        <w:rPr>
          <w:rStyle w:val="Hyperlink"/>
          <w:rFonts w:cs="Times New Roman"/>
          <w:color w:val="auto"/>
          <w:u w:val="none"/>
          <w:lang w:eastAsia="ko-KR"/>
        </w:rPr>
        <w:t xml:space="preserve"> </w:t>
      </w:r>
      <w:r w:rsidR="00174FEF" w:rsidRPr="004635E5">
        <w:rPr>
          <w:rStyle w:val="Hyperlink"/>
          <w:rFonts w:cs="Times New Roman"/>
          <w:color w:val="auto"/>
          <w:u w:val="none"/>
          <w:lang w:eastAsia="ko-KR"/>
        </w:rPr>
        <w:t>noted SC14-</w:t>
      </w:r>
      <w:r w:rsidRPr="004635E5">
        <w:rPr>
          <w:rStyle w:val="Hyperlink"/>
          <w:rFonts w:cs="Times New Roman"/>
          <w:color w:val="auto"/>
          <w:u w:val="none"/>
          <w:lang w:eastAsia="ko-KR"/>
        </w:rPr>
        <w:t xml:space="preserve">EB-IP-10 </w:t>
      </w:r>
      <w:r w:rsidRPr="004635E5">
        <w:rPr>
          <w:rStyle w:val="Hyperlink"/>
          <w:rFonts w:cs="Times New Roman"/>
          <w:i/>
          <w:color w:val="auto"/>
          <w:u w:val="none"/>
          <w:lang w:eastAsia="ko-KR"/>
        </w:rPr>
        <w:t>Bycatch Management Information System (BMIS): redevelopment update</w:t>
      </w:r>
      <w:r w:rsidRPr="004635E5">
        <w:rPr>
          <w:rStyle w:val="Hyperlink"/>
          <w:rFonts w:cs="Times New Roman"/>
          <w:color w:val="auto"/>
          <w:u w:val="none"/>
          <w:lang w:eastAsia="ko-KR"/>
        </w:rPr>
        <w:t>.</w:t>
      </w:r>
      <w:r w:rsidR="00174FEF" w:rsidRPr="004635E5">
        <w:rPr>
          <w:rStyle w:val="Hyperlink"/>
          <w:rFonts w:cs="Times New Roman"/>
          <w:color w:val="auto"/>
          <w:u w:val="none"/>
          <w:lang w:eastAsia="ko-KR"/>
        </w:rPr>
        <w:t xml:space="preserve"> There was no discussion on this agenda item.</w:t>
      </w:r>
    </w:p>
    <w:p w14:paraId="24DC4A9F" w14:textId="77777777" w:rsidR="00DB2BB1" w:rsidRPr="004635E5" w:rsidRDefault="00DB2BB1" w:rsidP="006633A8">
      <w:pPr>
        <w:pStyle w:val="ListParagraph"/>
        <w:adjustRightInd w:val="0"/>
        <w:snapToGrid w:val="0"/>
        <w:ind w:left="0"/>
        <w:jc w:val="both"/>
        <w:rPr>
          <w:rStyle w:val="Hyperlink"/>
          <w:rFonts w:eastAsiaTheme="minorEastAsia"/>
          <w:color w:val="auto"/>
          <w:sz w:val="22"/>
          <w:szCs w:val="22"/>
          <w:u w:val="none"/>
          <w:lang w:eastAsia="ko-KR"/>
        </w:rPr>
      </w:pPr>
    </w:p>
    <w:p w14:paraId="32278B2E" w14:textId="77777777" w:rsidR="002666B8" w:rsidRPr="004635E5" w:rsidRDefault="00CF45C6" w:rsidP="00580EA4">
      <w:pPr>
        <w:pStyle w:val="SC2"/>
        <w:numPr>
          <w:ilvl w:val="1"/>
          <w:numId w:val="161"/>
        </w:numPr>
        <w:spacing w:after="0"/>
        <w:ind w:left="0" w:firstLine="0"/>
        <w:rPr>
          <w:rFonts w:eastAsiaTheme="minorEastAsia"/>
          <w:lang w:eastAsia="ko-KR"/>
        </w:rPr>
      </w:pPr>
      <w:r w:rsidRPr="004635E5">
        <w:rPr>
          <w:rFonts w:eastAsiaTheme="minorEastAsia"/>
          <w:lang w:eastAsia="ko-KR"/>
        </w:rPr>
        <w:t xml:space="preserve"> </w:t>
      </w:r>
      <w:r w:rsidR="002666B8" w:rsidRPr="004635E5">
        <w:rPr>
          <w:rFonts w:eastAsiaTheme="minorEastAsia"/>
          <w:lang w:eastAsia="ko-KR"/>
        </w:rPr>
        <w:t>Other issues</w:t>
      </w:r>
    </w:p>
    <w:p w14:paraId="32134040" w14:textId="77777777" w:rsidR="00DB2BB1" w:rsidRPr="004635E5" w:rsidRDefault="00DB2BB1" w:rsidP="006633A8">
      <w:pPr>
        <w:pStyle w:val="SC2"/>
        <w:numPr>
          <w:ilvl w:val="0"/>
          <w:numId w:val="0"/>
        </w:numPr>
        <w:spacing w:after="0"/>
        <w:ind w:left="720"/>
        <w:rPr>
          <w:rFonts w:eastAsiaTheme="minorEastAsia"/>
          <w:lang w:eastAsia="ko-KR"/>
        </w:rPr>
      </w:pPr>
    </w:p>
    <w:p w14:paraId="2794973E" w14:textId="77777777" w:rsidR="004E76DF" w:rsidRPr="004635E5" w:rsidRDefault="00070CD5" w:rsidP="006633A8">
      <w:pPr>
        <w:pStyle w:val="WCPFC"/>
        <w:adjustRightInd w:val="0"/>
        <w:spacing w:after="0"/>
        <w:ind w:left="0" w:firstLine="0"/>
        <w:rPr>
          <w:rFonts w:cs="Times New Roman"/>
        </w:rPr>
      </w:pPr>
      <w:r w:rsidRPr="004635E5">
        <w:rPr>
          <w:rFonts w:cs="Times New Roman"/>
        </w:rPr>
        <w:t>No other issues were raised.</w:t>
      </w:r>
    </w:p>
    <w:p w14:paraId="0A7ADDA6" w14:textId="77777777" w:rsidR="00F610B1" w:rsidRPr="004635E5" w:rsidRDefault="00F610B1" w:rsidP="006633A8">
      <w:pPr>
        <w:pStyle w:val="WCPFC"/>
        <w:numPr>
          <w:ilvl w:val="0"/>
          <w:numId w:val="0"/>
        </w:numPr>
        <w:adjustRightInd w:val="0"/>
        <w:spacing w:after="0"/>
        <w:rPr>
          <w:rFonts w:cs="Times New Roman"/>
          <w:lang w:eastAsia="ko-KR"/>
        </w:rPr>
      </w:pPr>
    </w:p>
    <w:p w14:paraId="2695DEA8" w14:textId="77777777" w:rsidR="00F610B1" w:rsidRPr="004635E5" w:rsidRDefault="00F610B1" w:rsidP="006633A8">
      <w:pPr>
        <w:pStyle w:val="Heading1"/>
        <w:numPr>
          <w:ilvl w:val="0"/>
          <w:numId w:val="0"/>
        </w:numPr>
        <w:adjustRightInd w:val="0"/>
        <w:snapToGrid w:val="0"/>
        <w:spacing w:after="0"/>
        <w:ind w:left="360"/>
        <w:rPr>
          <w:lang w:eastAsia="ko-KR"/>
        </w:rPr>
      </w:pPr>
    </w:p>
    <w:p w14:paraId="5E8B9318" w14:textId="03BA5C28" w:rsidR="00B64775" w:rsidRPr="004635E5" w:rsidRDefault="009D13D7" w:rsidP="006633A8">
      <w:pPr>
        <w:pStyle w:val="Heading1"/>
        <w:numPr>
          <w:ilvl w:val="0"/>
          <w:numId w:val="0"/>
        </w:numPr>
        <w:adjustRightInd w:val="0"/>
        <w:snapToGrid w:val="0"/>
        <w:spacing w:after="0"/>
        <w:ind w:left="360"/>
      </w:pPr>
      <w:r w:rsidRPr="004635E5">
        <w:t>AGENDA ITEM 7</w:t>
      </w:r>
      <w:r w:rsidR="00174FEF" w:rsidRPr="004635E5">
        <w:t xml:space="preserve"> — </w:t>
      </w:r>
      <w:bookmarkStart w:id="126" w:name="_Hlk10606999"/>
      <w:r w:rsidR="00B64775" w:rsidRPr="004635E5">
        <w:t>OTHER RESEARCH PROJECTS</w:t>
      </w:r>
      <w:bookmarkEnd w:id="126"/>
      <w:r w:rsidR="006C1132" w:rsidRPr="004635E5">
        <w:rPr>
          <w:rFonts w:eastAsiaTheme="minorEastAsia"/>
          <w:lang w:eastAsia="ko-KR"/>
        </w:rPr>
        <w:fldChar w:fldCharType="begin"/>
      </w:r>
      <w:r w:rsidR="006C1132" w:rsidRPr="004635E5">
        <w:instrText xml:space="preserve"> TC "</w:instrText>
      </w:r>
      <w:bookmarkStart w:id="127" w:name="_Toc16418021"/>
      <w:r w:rsidR="006C1132" w:rsidRPr="004635E5">
        <w:rPr>
          <w:rFonts w:eastAsiaTheme="minorEastAsia"/>
          <w:lang w:eastAsia="ko-KR"/>
        </w:rPr>
        <w:instrText xml:space="preserve">AGENDA ITEM </w:instrText>
      </w:r>
      <w:r w:rsidR="006C1132">
        <w:rPr>
          <w:rFonts w:eastAsiaTheme="minorEastAsia"/>
          <w:lang w:eastAsia="ko-KR"/>
        </w:rPr>
        <w:instrText>7</w:instrText>
      </w:r>
      <w:r w:rsidR="006C1132" w:rsidRPr="004635E5">
        <w:rPr>
          <w:rFonts w:eastAsiaTheme="minorEastAsia"/>
          <w:lang w:eastAsia="ko-KR"/>
        </w:rPr>
        <w:instrText xml:space="preserve">— </w:instrText>
      </w:r>
      <w:r w:rsidR="006C1132" w:rsidRPr="004635E5">
        <w:instrText>OTHER RESEARCH PROJECTS</w:instrText>
      </w:r>
      <w:bookmarkEnd w:id="127"/>
      <w:r w:rsidR="006C1132" w:rsidRPr="004635E5">
        <w:instrText xml:space="preserve"> " \f C \l "1" </w:instrText>
      </w:r>
      <w:r w:rsidR="006C1132" w:rsidRPr="004635E5">
        <w:rPr>
          <w:rFonts w:eastAsiaTheme="minorEastAsia"/>
          <w:lang w:eastAsia="ko-KR"/>
        </w:rPr>
        <w:fldChar w:fldCharType="end"/>
      </w:r>
    </w:p>
    <w:p w14:paraId="2B96E52C" w14:textId="77777777" w:rsidR="00A15147" w:rsidRPr="004635E5" w:rsidRDefault="00A15147" w:rsidP="00580EA4">
      <w:pPr>
        <w:pStyle w:val="ListParagraph"/>
        <w:numPr>
          <w:ilvl w:val="0"/>
          <w:numId w:val="161"/>
        </w:numPr>
        <w:adjustRightInd w:val="0"/>
        <w:snapToGrid w:val="0"/>
        <w:jc w:val="both"/>
        <w:rPr>
          <w:b/>
          <w:vanish/>
          <w:sz w:val="22"/>
          <w:szCs w:val="22"/>
          <w:lang w:val="en-NZ"/>
        </w:rPr>
      </w:pPr>
    </w:p>
    <w:p w14:paraId="56E2A093" w14:textId="77777777" w:rsidR="00F610B1" w:rsidRPr="004635E5" w:rsidRDefault="00F610B1" w:rsidP="006633A8">
      <w:pPr>
        <w:pStyle w:val="SC2"/>
        <w:numPr>
          <w:ilvl w:val="0"/>
          <w:numId w:val="0"/>
        </w:numPr>
        <w:spacing w:after="0"/>
        <w:ind w:left="720"/>
      </w:pPr>
    </w:p>
    <w:p w14:paraId="4F370E34" w14:textId="77777777" w:rsidR="00B64775" w:rsidRPr="004635E5" w:rsidRDefault="00B64775" w:rsidP="00580EA4">
      <w:pPr>
        <w:pStyle w:val="SC2"/>
        <w:numPr>
          <w:ilvl w:val="1"/>
          <w:numId w:val="161"/>
        </w:numPr>
        <w:spacing w:after="0"/>
        <w:ind w:left="0" w:firstLine="0"/>
      </w:pPr>
      <w:r w:rsidRPr="004635E5">
        <w:t>West Pacific East Asia Project</w:t>
      </w:r>
      <w:r w:rsidR="00EC2690" w:rsidRPr="004635E5">
        <w:t xml:space="preserve"> </w:t>
      </w:r>
    </w:p>
    <w:p w14:paraId="0E28C2D3" w14:textId="77777777" w:rsidR="00792486" w:rsidRPr="004635E5" w:rsidRDefault="00792486" w:rsidP="006633A8">
      <w:pPr>
        <w:pStyle w:val="SC2"/>
        <w:numPr>
          <w:ilvl w:val="0"/>
          <w:numId w:val="0"/>
        </w:numPr>
        <w:spacing w:after="0"/>
        <w:ind w:left="720"/>
      </w:pPr>
    </w:p>
    <w:p w14:paraId="4CC6DBA3" w14:textId="77777777" w:rsidR="00BD2855" w:rsidRPr="004635E5" w:rsidRDefault="005A5865" w:rsidP="00580EA4">
      <w:pPr>
        <w:numPr>
          <w:ilvl w:val="0"/>
          <w:numId w:val="18"/>
        </w:numPr>
        <w:autoSpaceDE w:val="0"/>
        <w:autoSpaceDN w:val="0"/>
        <w:adjustRightInd w:val="0"/>
        <w:snapToGrid w:val="0"/>
        <w:ind w:left="0" w:firstLine="0"/>
        <w:jc w:val="both"/>
        <w:rPr>
          <w:sz w:val="22"/>
          <w:szCs w:val="22"/>
          <w:lang w:val="en-NZ"/>
        </w:rPr>
      </w:pPr>
      <w:r w:rsidRPr="004635E5">
        <w:rPr>
          <w:rFonts w:eastAsiaTheme="minorEastAsia"/>
          <w:sz w:val="22"/>
          <w:szCs w:val="22"/>
          <w:lang w:eastAsia="ko-KR"/>
        </w:rPr>
        <w:t>S. Soh (Secretariat)</w:t>
      </w:r>
      <w:r w:rsidRPr="004635E5">
        <w:rPr>
          <w:rFonts w:eastAsiaTheme="minorEastAsia"/>
          <w:b/>
          <w:sz w:val="22"/>
          <w:szCs w:val="22"/>
          <w:lang w:eastAsia="ko-KR"/>
        </w:rPr>
        <w:t xml:space="preserve"> </w:t>
      </w:r>
      <w:r w:rsidR="00472BD1" w:rsidRPr="004635E5">
        <w:rPr>
          <w:sz w:val="22"/>
          <w:szCs w:val="22"/>
          <w:lang w:val="en-NZ"/>
        </w:rPr>
        <w:t xml:space="preserve">introduced </w:t>
      </w:r>
      <w:r w:rsidR="00E97114" w:rsidRPr="004635E5">
        <w:rPr>
          <w:sz w:val="22"/>
          <w:szCs w:val="22"/>
          <w:lang w:val="en-NZ"/>
        </w:rPr>
        <w:t xml:space="preserve">SC14-WPEA-01 </w:t>
      </w:r>
      <w:r w:rsidR="00E97114" w:rsidRPr="004635E5">
        <w:rPr>
          <w:i/>
          <w:sz w:val="22"/>
          <w:szCs w:val="22"/>
          <w:lang w:val="en-NZ"/>
        </w:rPr>
        <w:t>WPEA Project Progress Report</w:t>
      </w:r>
      <w:r w:rsidR="00472BD1" w:rsidRPr="004635E5">
        <w:rPr>
          <w:i/>
          <w:sz w:val="22"/>
          <w:szCs w:val="22"/>
          <w:lang w:val="en-NZ"/>
        </w:rPr>
        <w:t>.</w:t>
      </w:r>
      <w:r w:rsidRPr="004635E5">
        <w:rPr>
          <w:sz w:val="22"/>
          <w:szCs w:val="22"/>
          <w:lang w:val="en-NZ"/>
        </w:rPr>
        <w:t xml:space="preserve"> </w:t>
      </w:r>
      <w:r w:rsidR="00F14A29" w:rsidRPr="004635E5">
        <w:rPr>
          <w:rFonts w:eastAsiaTheme="minorEastAsia"/>
          <w:sz w:val="22"/>
          <w:szCs w:val="22"/>
          <w:lang w:val="en-NZ" w:eastAsia="ko-KR"/>
        </w:rPr>
        <w:t xml:space="preserve">The project will be terminated in April 2019, and terminal evaluation of the project is scheduled to start later this year. </w:t>
      </w:r>
      <w:r w:rsidR="00BD2855" w:rsidRPr="004635E5">
        <w:rPr>
          <w:rFonts w:eastAsiaTheme="minorEastAsia"/>
          <w:sz w:val="22"/>
          <w:szCs w:val="22"/>
          <w:lang w:val="en-NZ" w:eastAsia="ko-KR"/>
        </w:rPr>
        <w:t>Key project activities include:</w:t>
      </w:r>
    </w:p>
    <w:p w14:paraId="03E4E4E5" w14:textId="77777777" w:rsidR="00BD2855" w:rsidRPr="004635E5" w:rsidRDefault="00BD2855" w:rsidP="00580EA4">
      <w:pPr>
        <w:pStyle w:val="ListParagraph"/>
        <w:numPr>
          <w:ilvl w:val="0"/>
          <w:numId w:val="145"/>
        </w:numPr>
        <w:autoSpaceDE w:val="0"/>
        <w:autoSpaceDN w:val="0"/>
        <w:adjustRightInd w:val="0"/>
        <w:snapToGrid w:val="0"/>
        <w:ind w:left="1260"/>
        <w:jc w:val="both"/>
        <w:rPr>
          <w:sz w:val="22"/>
          <w:szCs w:val="22"/>
          <w:lang w:val="en-NZ"/>
        </w:rPr>
      </w:pPr>
      <w:r w:rsidRPr="004635E5">
        <w:rPr>
          <w:rFonts w:eastAsiaTheme="minorEastAsia"/>
          <w:sz w:val="22"/>
          <w:szCs w:val="22"/>
          <w:lang w:val="en-NZ" w:eastAsia="ko-KR"/>
        </w:rPr>
        <w:t xml:space="preserve">Tuna catch data collection and estimation of national </w:t>
      </w:r>
      <w:r w:rsidR="00F14A29" w:rsidRPr="004635E5">
        <w:rPr>
          <w:rFonts w:eastAsiaTheme="minorEastAsia"/>
          <w:sz w:val="22"/>
          <w:szCs w:val="22"/>
          <w:lang w:val="en-NZ" w:eastAsia="ko-KR"/>
        </w:rPr>
        <w:t>annual</w:t>
      </w:r>
      <w:r w:rsidRPr="004635E5">
        <w:rPr>
          <w:rFonts w:eastAsiaTheme="minorEastAsia"/>
          <w:sz w:val="22"/>
          <w:szCs w:val="22"/>
          <w:lang w:val="en-NZ" w:eastAsia="ko-KR"/>
        </w:rPr>
        <w:t xml:space="preserve"> tuna catch by species and by gear;</w:t>
      </w:r>
    </w:p>
    <w:p w14:paraId="7F2DCF26" w14:textId="77777777" w:rsidR="00BD2855" w:rsidRPr="004635E5" w:rsidRDefault="00BD2855" w:rsidP="00580EA4">
      <w:pPr>
        <w:pStyle w:val="ListParagraph"/>
        <w:numPr>
          <w:ilvl w:val="0"/>
          <w:numId w:val="145"/>
        </w:numPr>
        <w:autoSpaceDE w:val="0"/>
        <w:autoSpaceDN w:val="0"/>
        <w:adjustRightInd w:val="0"/>
        <w:snapToGrid w:val="0"/>
        <w:ind w:left="1260"/>
        <w:jc w:val="both"/>
        <w:rPr>
          <w:sz w:val="22"/>
          <w:szCs w:val="22"/>
          <w:lang w:val="en-NZ"/>
        </w:rPr>
      </w:pPr>
      <w:r w:rsidRPr="004635E5">
        <w:rPr>
          <w:rFonts w:eastAsiaTheme="minorEastAsia"/>
          <w:sz w:val="22"/>
          <w:szCs w:val="22"/>
          <w:lang w:val="en-NZ" w:eastAsia="ko-KR"/>
        </w:rPr>
        <w:t>Capacity building in science;</w:t>
      </w:r>
    </w:p>
    <w:p w14:paraId="1B70DA38" w14:textId="77777777" w:rsidR="00BD2855" w:rsidRPr="004635E5" w:rsidRDefault="00BD2855" w:rsidP="00580EA4">
      <w:pPr>
        <w:pStyle w:val="ListParagraph"/>
        <w:numPr>
          <w:ilvl w:val="0"/>
          <w:numId w:val="145"/>
        </w:numPr>
        <w:autoSpaceDE w:val="0"/>
        <w:autoSpaceDN w:val="0"/>
        <w:adjustRightInd w:val="0"/>
        <w:snapToGrid w:val="0"/>
        <w:ind w:left="1260"/>
        <w:jc w:val="both"/>
        <w:rPr>
          <w:sz w:val="22"/>
          <w:szCs w:val="22"/>
          <w:lang w:val="en-NZ"/>
        </w:rPr>
      </w:pPr>
      <w:r w:rsidRPr="004635E5">
        <w:rPr>
          <w:sz w:val="22"/>
          <w:szCs w:val="22"/>
        </w:rPr>
        <w:t>Development of guidelines on adaptive management and monitoring of HMS to address climate change</w:t>
      </w:r>
      <w:r w:rsidRPr="004635E5">
        <w:rPr>
          <w:rFonts w:eastAsiaTheme="minorEastAsia"/>
          <w:sz w:val="22"/>
          <w:szCs w:val="22"/>
          <w:lang w:eastAsia="ko-KR"/>
        </w:rPr>
        <w:t>;</w:t>
      </w:r>
    </w:p>
    <w:p w14:paraId="53706218" w14:textId="77777777" w:rsidR="00BD2855" w:rsidRPr="004635E5" w:rsidRDefault="00BD2855" w:rsidP="00580EA4">
      <w:pPr>
        <w:pStyle w:val="ListParagraph"/>
        <w:numPr>
          <w:ilvl w:val="0"/>
          <w:numId w:val="145"/>
        </w:numPr>
        <w:autoSpaceDE w:val="0"/>
        <w:autoSpaceDN w:val="0"/>
        <w:adjustRightInd w:val="0"/>
        <w:snapToGrid w:val="0"/>
        <w:ind w:left="1260"/>
        <w:jc w:val="both"/>
        <w:rPr>
          <w:sz w:val="22"/>
          <w:szCs w:val="22"/>
          <w:lang w:val="en-NZ"/>
        </w:rPr>
      </w:pPr>
      <w:r w:rsidRPr="004635E5">
        <w:rPr>
          <w:sz w:val="22"/>
          <w:szCs w:val="22"/>
        </w:rPr>
        <w:t>Market-based sustainability</w:t>
      </w:r>
      <w:r w:rsidRPr="004635E5">
        <w:rPr>
          <w:rFonts w:eastAsiaTheme="minorEastAsia"/>
          <w:sz w:val="22"/>
          <w:szCs w:val="22"/>
          <w:lang w:eastAsia="ko-KR"/>
        </w:rPr>
        <w:t>, including c</w:t>
      </w:r>
      <w:r w:rsidRPr="004635E5">
        <w:rPr>
          <w:sz w:val="22"/>
          <w:szCs w:val="22"/>
        </w:rPr>
        <w:t>haracterizing tuna supply chain in each country</w:t>
      </w:r>
      <w:r w:rsidRPr="004635E5">
        <w:rPr>
          <w:rFonts w:eastAsiaTheme="minorEastAsia"/>
          <w:sz w:val="22"/>
          <w:szCs w:val="22"/>
          <w:lang w:eastAsia="ko-KR"/>
        </w:rPr>
        <w:t xml:space="preserve"> and e</w:t>
      </w:r>
      <w:r w:rsidRPr="004635E5">
        <w:rPr>
          <w:sz w:val="22"/>
          <w:szCs w:val="22"/>
        </w:rPr>
        <w:t>stablishing certification/eco-labeling system</w:t>
      </w:r>
      <w:r w:rsidRPr="004635E5">
        <w:rPr>
          <w:rFonts w:eastAsiaTheme="minorEastAsia"/>
          <w:sz w:val="22"/>
          <w:szCs w:val="22"/>
          <w:lang w:eastAsia="ko-KR"/>
        </w:rPr>
        <w:t>;</w:t>
      </w:r>
    </w:p>
    <w:p w14:paraId="19702510" w14:textId="77777777" w:rsidR="00BD2855" w:rsidRPr="004635E5" w:rsidRDefault="00BD2855" w:rsidP="00580EA4">
      <w:pPr>
        <w:pStyle w:val="ListParagraph"/>
        <w:numPr>
          <w:ilvl w:val="0"/>
          <w:numId w:val="145"/>
        </w:numPr>
        <w:autoSpaceDE w:val="0"/>
        <w:autoSpaceDN w:val="0"/>
        <w:adjustRightInd w:val="0"/>
        <w:snapToGrid w:val="0"/>
        <w:ind w:left="1260"/>
        <w:jc w:val="both"/>
        <w:rPr>
          <w:sz w:val="22"/>
          <w:szCs w:val="22"/>
          <w:lang w:val="en-NZ"/>
        </w:rPr>
      </w:pPr>
      <w:r w:rsidRPr="004635E5">
        <w:rPr>
          <w:sz w:val="22"/>
          <w:szCs w:val="22"/>
        </w:rPr>
        <w:t>Development of reference points and harvest control rules at national level</w:t>
      </w:r>
      <w:r w:rsidRPr="004635E5">
        <w:rPr>
          <w:rFonts w:eastAsiaTheme="minorEastAsia"/>
          <w:sz w:val="22"/>
          <w:szCs w:val="22"/>
          <w:lang w:eastAsia="ko-KR"/>
        </w:rPr>
        <w:t>;</w:t>
      </w:r>
    </w:p>
    <w:p w14:paraId="7E4A9154" w14:textId="77777777" w:rsidR="00BD2855" w:rsidRPr="004635E5" w:rsidRDefault="00BD2855" w:rsidP="00580EA4">
      <w:pPr>
        <w:pStyle w:val="ListParagraph"/>
        <w:numPr>
          <w:ilvl w:val="0"/>
          <w:numId w:val="145"/>
        </w:numPr>
        <w:autoSpaceDE w:val="0"/>
        <w:autoSpaceDN w:val="0"/>
        <w:adjustRightInd w:val="0"/>
        <w:snapToGrid w:val="0"/>
        <w:ind w:left="1260"/>
        <w:jc w:val="both"/>
        <w:rPr>
          <w:sz w:val="22"/>
          <w:szCs w:val="22"/>
          <w:lang w:val="en-NZ"/>
        </w:rPr>
      </w:pPr>
      <w:r w:rsidRPr="004635E5">
        <w:rPr>
          <w:sz w:val="22"/>
          <w:szCs w:val="22"/>
        </w:rPr>
        <w:t>Application of an EAFM to selected tuna fisheries</w:t>
      </w:r>
      <w:r w:rsidRPr="004635E5">
        <w:rPr>
          <w:rFonts w:eastAsiaTheme="minorEastAsia"/>
          <w:sz w:val="22"/>
          <w:szCs w:val="22"/>
          <w:lang w:eastAsia="ko-KR"/>
        </w:rPr>
        <w:t>;</w:t>
      </w:r>
    </w:p>
    <w:p w14:paraId="0DB63E67" w14:textId="77777777" w:rsidR="00BD2855" w:rsidRPr="004635E5" w:rsidRDefault="00BD2855" w:rsidP="00580EA4">
      <w:pPr>
        <w:pStyle w:val="ListParagraph"/>
        <w:numPr>
          <w:ilvl w:val="0"/>
          <w:numId w:val="145"/>
        </w:numPr>
        <w:autoSpaceDE w:val="0"/>
        <w:autoSpaceDN w:val="0"/>
        <w:adjustRightInd w:val="0"/>
        <w:snapToGrid w:val="0"/>
        <w:ind w:left="1260"/>
        <w:jc w:val="both"/>
        <w:rPr>
          <w:sz w:val="22"/>
          <w:szCs w:val="22"/>
          <w:lang w:val="en-NZ"/>
        </w:rPr>
      </w:pPr>
      <w:r w:rsidRPr="004635E5">
        <w:rPr>
          <w:sz w:val="22"/>
          <w:szCs w:val="22"/>
        </w:rPr>
        <w:t>Updating National Tuna Management Plan, and National Tuna Fishery Profile</w:t>
      </w:r>
      <w:r w:rsidRPr="004635E5">
        <w:rPr>
          <w:rFonts w:eastAsiaTheme="minorEastAsia"/>
          <w:sz w:val="22"/>
          <w:szCs w:val="22"/>
          <w:lang w:eastAsia="ko-KR"/>
        </w:rPr>
        <w:t>;</w:t>
      </w:r>
    </w:p>
    <w:p w14:paraId="2384A4B3" w14:textId="77777777" w:rsidR="00BD2855" w:rsidRPr="004635E5" w:rsidRDefault="00BD2855" w:rsidP="00580EA4">
      <w:pPr>
        <w:pStyle w:val="ListParagraph"/>
        <w:numPr>
          <w:ilvl w:val="0"/>
          <w:numId w:val="145"/>
        </w:numPr>
        <w:autoSpaceDE w:val="0"/>
        <w:autoSpaceDN w:val="0"/>
        <w:adjustRightInd w:val="0"/>
        <w:snapToGrid w:val="0"/>
        <w:ind w:left="1260"/>
        <w:jc w:val="both"/>
        <w:rPr>
          <w:sz w:val="22"/>
          <w:szCs w:val="22"/>
          <w:lang w:val="en-NZ"/>
        </w:rPr>
      </w:pPr>
      <w:r w:rsidRPr="004635E5">
        <w:rPr>
          <w:sz w:val="22"/>
          <w:szCs w:val="22"/>
        </w:rPr>
        <w:t xml:space="preserve">Review of legal, policy and institutional arrangements </w:t>
      </w:r>
      <w:r w:rsidR="00F14A29" w:rsidRPr="004635E5">
        <w:rPr>
          <w:rFonts w:eastAsiaTheme="minorEastAsia"/>
          <w:sz w:val="22"/>
          <w:szCs w:val="22"/>
          <w:lang w:eastAsia="ko-KR"/>
        </w:rPr>
        <w:t>in line with</w:t>
      </w:r>
      <w:r w:rsidRPr="004635E5">
        <w:rPr>
          <w:sz w:val="22"/>
          <w:szCs w:val="22"/>
        </w:rPr>
        <w:t xml:space="preserve"> WCPFC’s requirements</w:t>
      </w:r>
      <w:r w:rsidR="00F14A29" w:rsidRPr="004635E5">
        <w:rPr>
          <w:rFonts w:eastAsiaTheme="minorEastAsia"/>
          <w:sz w:val="22"/>
          <w:szCs w:val="22"/>
          <w:lang w:eastAsia="ko-KR"/>
        </w:rPr>
        <w:t>; etc.</w:t>
      </w:r>
    </w:p>
    <w:p w14:paraId="32AF321B" w14:textId="77777777" w:rsidR="00BD2855" w:rsidRPr="004635E5" w:rsidRDefault="00BD2855" w:rsidP="006633A8">
      <w:pPr>
        <w:autoSpaceDE w:val="0"/>
        <w:autoSpaceDN w:val="0"/>
        <w:adjustRightInd w:val="0"/>
        <w:snapToGrid w:val="0"/>
        <w:jc w:val="both"/>
        <w:rPr>
          <w:sz w:val="22"/>
          <w:szCs w:val="22"/>
          <w:lang w:val="en-NZ"/>
        </w:rPr>
      </w:pPr>
    </w:p>
    <w:p w14:paraId="06220FCD" w14:textId="77777777" w:rsidR="00E97114" w:rsidRPr="004635E5" w:rsidRDefault="00822D89" w:rsidP="006633A8">
      <w:pPr>
        <w:autoSpaceDE w:val="0"/>
        <w:autoSpaceDN w:val="0"/>
        <w:adjustRightInd w:val="0"/>
        <w:snapToGrid w:val="0"/>
        <w:jc w:val="both"/>
        <w:rPr>
          <w:b/>
          <w:sz w:val="22"/>
          <w:szCs w:val="22"/>
          <w:lang w:val="en-NZ"/>
        </w:rPr>
      </w:pPr>
      <w:r w:rsidRPr="004635E5">
        <w:rPr>
          <w:b/>
          <w:sz w:val="22"/>
          <w:szCs w:val="22"/>
          <w:lang w:val="en-NZ"/>
        </w:rPr>
        <w:t>Discussion</w:t>
      </w:r>
    </w:p>
    <w:p w14:paraId="63C4E4B7" w14:textId="77777777" w:rsidR="00792486" w:rsidRPr="004635E5" w:rsidRDefault="00792486" w:rsidP="006633A8">
      <w:pPr>
        <w:autoSpaceDE w:val="0"/>
        <w:autoSpaceDN w:val="0"/>
        <w:adjustRightInd w:val="0"/>
        <w:snapToGrid w:val="0"/>
        <w:jc w:val="both"/>
        <w:rPr>
          <w:sz w:val="22"/>
          <w:szCs w:val="22"/>
          <w:lang w:val="en-NZ"/>
        </w:rPr>
      </w:pPr>
    </w:p>
    <w:p w14:paraId="138737FE" w14:textId="77777777" w:rsidR="000872BD" w:rsidRPr="004635E5" w:rsidRDefault="00822D89"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Japan</w:t>
      </w:r>
      <w:r w:rsidR="000872BD" w:rsidRPr="004635E5">
        <w:rPr>
          <w:sz w:val="22"/>
          <w:szCs w:val="22"/>
          <w:lang w:val="en-NZ"/>
        </w:rPr>
        <w:t xml:space="preserve"> noted the </w:t>
      </w:r>
      <w:r w:rsidRPr="004635E5">
        <w:rPr>
          <w:sz w:val="22"/>
          <w:szCs w:val="22"/>
          <w:lang w:val="en-NZ"/>
        </w:rPr>
        <w:t xml:space="preserve">ongoing </w:t>
      </w:r>
      <w:r w:rsidR="000872BD" w:rsidRPr="004635E5">
        <w:rPr>
          <w:sz w:val="22"/>
          <w:szCs w:val="22"/>
          <w:lang w:val="en-NZ"/>
        </w:rPr>
        <w:t xml:space="preserve">efforts to improve data collection in WCPFC and IOTC, and the importance of ensuring data </w:t>
      </w:r>
      <w:r w:rsidRPr="004635E5">
        <w:rPr>
          <w:sz w:val="22"/>
          <w:szCs w:val="22"/>
          <w:lang w:val="en-NZ"/>
        </w:rPr>
        <w:t>p</w:t>
      </w:r>
      <w:r w:rsidR="000872BD" w:rsidRPr="004635E5">
        <w:rPr>
          <w:sz w:val="22"/>
          <w:szCs w:val="22"/>
          <w:lang w:val="en-NZ"/>
        </w:rPr>
        <w:t>r</w:t>
      </w:r>
      <w:r w:rsidRPr="004635E5">
        <w:rPr>
          <w:sz w:val="22"/>
          <w:szCs w:val="22"/>
          <w:lang w:val="en-NZ"/>
        </w:rPr>
        <w:t>ocedures</w:t>
      </w:r>
      <w:r w:rsidR="000872BD" w:rsidRPr="004635E5">
        <w:rPr>
          <w:sz w:val="22"/>
          <w:szCs w:val="22"/>
          <w:lang w:val="en-NZ"/>
        </w:rPr>
        <w:t xml:space="preserve"> are harmonized to avoid </w:t>
      </w:r>
      <w:r w:rsidRPr="004635E5">
        <w:rPr>
          <w:sz w:val="22"/>
          <w:szCs w:val="22"/>
          <w:lang w:val="en-NZ"/>
        </w:rPr>
        <w:t>end</w:t>
      </w:r>
      <w:r w:rsidR="000872BD" w:rsidRPr="004635E5">
        <w:rPr>
          <w:sz w:val="22"/>
          <w:szCs w:val="22"/>
          <w:lang w:val="en-NZ"/>
        </w:rPr>
        <w:t>ing</w:t>
      </w:r>
      <w:r w:rsidRPr="004635E5">
        <w:rPr>
          <w:sz w:val="22"/>
          <w:szCs w:val="22"/>
          <w:lang w:val="en-NZ"/>
        </w:rPr>
        <w:t xml:space="preserve"> up </w:t>
      </w:r>
      <w:r w:rsidR="00F729F0" w:rsidRPr="004635E5">
        <w:rPr>
          <w:sz w:val="22"/>
          <w:szCs w:val="22"/>
          <w:lang w:val="en-NZ"/>
        </w:rPr>
        <w:t>with</w:t>
      </w:r>
      <w:r w:rsidRPr="004635E5">
        <w:rPr>
          <w:sz w:val="22"/>
          <w:szCs w:val="22"/>
          <w:lang w:val="en-NZ"/>
        </w:rPr>
        <w:t xml:space="preserve"> </w:t>
      </w:r>
      <w:r w:rsidR="00F729F0" w:rsidRPr="004635E5">
        <w:rPr>
          <w:sz w:val="22"/>
          <w:szCs w:val="22"/>
          <w:lang w:val="en-NZ"/>
        </w:rPr>
        <w:t xml:space="preserve">two </w:t>
      </w:r>
      <w:r w:rsidRPr="004635E5">
        <w:rPr>
          <w:sz w:val="22"/>
          <w:szCs w:val="22"/>
          <w:lang w:val="en-NZ"/>
        </w:rPr>
        <w:t>systems</w:t>
      </w:r>
      <w:r w:rsidR="00F32B86" w:rsidRPr="004635E5">
        <w:rPr>
          <w:sz w:val="22"/>
          <w:szCs w:val="22"/>
          <w:lang w:val="en-NZ"/>
        </w:rPr>
        <w:t xml:space="preserve"> </w:t>
      </w:r>
      <w:r w:rsidRPr="004635E5">
        <w:rPr>
          <w:sz w:val="22"/>
          <w:szCs w:val="22"/>
          <w:lang w:val="en-NZ"/>
        </w:rPr>
        <w:t xml:space="preserve">for </w:t>
      </w:r>
      <w:r w:rsidR="00F32B86" w:rsidRPr="004635E5">
        <w:rPr>
          <w:sz w:val="22"/>
          <w:szCs w:val="22"/>
          <w:lang w:val="en-NZ"/>
        </w:rPr>
        <w:t xml:space="preserve">the </w:t>
      </w:r>
      <w:r w:rsidRPr="004635E5">
        <w:rPr>
          <w:sz w:val="22"/>
          <w:szCs w:val="22"/>
          <w:lang w:val="en-NZ"/>
        </w:rPr>
        <w:t>Pac</w:t>
      </w:r>
      <w:r w:rsidR="00F729F0" w:rsidRPr="004635E5">
        <w:rPr>
          <w:sz w:val="22"/>
          <w:szCs w:val="22"/>
          <w:lang w:val="en-NZ"/>
        </w:rPr>
        <w:t>ific</w:t>
      </w:r>
      <w:r w:rsidRPr="004635E5">
        <w:rPr>
          <w:sz w:val="22"/>
          <w:szCs w:val="22"/>
          <w:lang w:val="en-NZ"/>
        </w:rPr>
        <w:t xml:space="preserve"> and Indian ocean</w:t>
      </w:r>
      <w:r w:rsidR="00F32B86" w:rsidRPr="004635E5">
        <w:rPr>
          <w:sz w:val="22"/>
          <w:szCs w:val="22"/>
          <w:lang w:val="en-NZ"/>
        </w:rPr>
        <w:t>s</w:t>
      </w:r>
      <w:r w:rsidRPr="004635E5">
        <w:rPr>
          <w:sz w:val="22"/>
          <w:szCs w:val="22"/>
          <w:lang w:val="en-NZ"/>
        </w:rPr>
        <w:t>.</w:t>
      </w:r>
    </w:p>
    <w:p w14:paraId="457BDA3F" w14:textId="77777777" w:rsidR="00792486" w:rsidRPr="004635E5" w:rsidRDefault="00792486" w:rsidP="006633A8">
      <w:pPr>
        <w:autoSpaceDE w:val="0"/>
        <w:autoSpaceDN w:val="0"/>
        <w:adjustRightInd w:val="0"/>
        <w:snapToGrid w:val="0"/>
        <w:jc w:val="both"/>
        <w:rPr>
          <w:sz w:val="22"/>
          <w:szCs w:val="22"/>
          <w:lang w:val="en-NZ"/>
        </w:rPr>
      </w:pPr>
    </w:p>
    <w:p w14:paraId="3B708DF6" w14:textId="77777777" w:rsidR="000872BD" w:rsidRPr="004635E5" w:rsidRDefault="00822D89"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China</w:t>
      </w:r>
      <w:r w:rsidR="00F729F0" w:rsidRPr="004635E5">
        <w:rPr>
          <w:sz w:val="22"/>
          <w:szCs w:val="22"/>
          <w:lang w:val="en-NZ"/>
        </w:rPr>
        <w:t xml:space="preserve"> noted that some areas (Indonesian and Philippine territorial waters, and waters in the South China Sea) </w:t>
      </w:r>
      <w:r w:rsidR="00F32B86" w:rsidRPr="004635E5">
        <w:rPr>
          <w:sz w:val="22"/>
          <w:szCs w:val="22"/>
          <w:lang w:val="en-NZ"/>
        </w:rPr>
        <w:t xml:space="preserve">where data was collected </w:t>
      </w:r>
      <w:r w:rsidR="00F729F0" w:rsidRPr="004635E5">
        <w:rPr>
          <w:sz w:val="22"/>
          <w:szCs w:val="22"/>
          <w:lang w:val="en-NZ"/>
        </w:rPr>
        <w:t xml:space="preserve">were not </w:t>
      </w:r>
      <w:r w:rsidRPr="004635E5">
        <w:rPr>
          <w:sz w:val="22"/>
          <w:szCs w:val="22"/>
          <w:lang w:val="en-NZ"/>
        </w:rPr>
        <w:t xml:space="preserve">part of </w:t>
      </w:r>
      <w:r w:rsidR="00F729F0" w:rsidRPr="004635E5">
        <w:rPr>
          <w:sz w:val="22"/>
          <w:szCs w:val="22"/>
          <w:lang w:val="en-NZ"/>
        </w:rPr>
        <w:t xml:space="preserve">the </w:t>
      </w:r>
      <w:r w:rsidRPr="004635E5">
        <w:rPr>
          <w:sz w:val="22"/>
          <w:szCs w:val="22"/>
          <w:lang w:val="en-NZ"/>
        </w:rPr>
        <w:t>Conv</w:t>
      </w:r>
      <w:r w:rsidR="00F729F0" w:rsidRPr="004635E5">
        <w:rPr>
          <w:sz w:val="22"/>
          <w:szCs w:val="22"/>
          <w:lang w:val="en-NZ"/>
        </w:rPr>
        <w:t>ention</w:t>
      </w:r>
      <w:r w:rsidRPr="004635E5">
        <w:rPr>
          <w:sz w:val="22"/>
          <w:szCs w:val="22"/>
          <w:lang w:val="en-NZ"/>
        </w:rPr>
        <w:t xml:space="preserve"> area, but </w:t>
      </w:r>
      <w:r w:rsidR="00F729F0" w:rsidRPr="004635E5">
        <w:rPr>
          <w:sz w:val="22"/>
          <w:szCs w:val="22"/>
          <w:lang w:val="en-NZ"/>
        </w:rPr>
        <w:t xml:space="preserve">that they appreciated the efforts made to collect scientific data. They stated that the </w:t>
      </w:r>
      <w:r w:rsidRPr="004635E5">
        <w:rPr>
          <w:sz w:val="22"/>
          <w:szCs w:val="22"/>
          <w:lang w:val="en-NZ"/>
        </w:rPr>
        <w:t xml:space="preserve">catch </w:t>
      </w:r>
      <w:r w:rsidR="00F32B86" w:rsidRPr="004635E5">
        <w:rPr>
          <w:sz w:val="22"/>
          <w:szCs w:val="22"/>
          <w:lang w:val="en-NZ"/>
        </w:rPr>
        <w:t xml:space="preserve">in </w:t>
      </w:r>
      <w:r w:rsidR="00F729F0" w:rsidRPr="004635E5">
        <w:rPr>
          <w:sz w:val="22"/>
          <w:szCs w:val="22"/>
          <w:lang w:val="en-NZ"/>
        </w:rPr>
        <w:t xml:space="preserve">these areas was </w:t>
      </w:r>
      <w:r w:rsidRPr="004635E5">
        <w:rPr>
          <w:sz w:val="22"/>
          <w:szCs w:val="22"/>
          <w:lang w:val="en-NZ"/>
        </w:rPr>
        <w:t>v</w:t>
      </w:r>
      <w:r w:rsidR="00F729F0" w:rsidRPr="004635E5">
        <w:rPr>
          <w:sz w:val="22"/>
          <w:szCs w:val="22"/>
          <w:lang w:val="en-NZ"/>
        </w:rPr>
        <w:t>ery</w:t>
      </w:r>
      <w:r w:rsidRPr="004635E5">
        <w:rPr>
          <w:sz w:val="22"/>
          <w:szCs w:val="22"/>
          <w:lang w:val="en-NZ"/>
        </w:rPr>
        <w:t xml:space="preserve"> high</w:t>
      </w:r>
      <w:r w:rsidR="00F729F0" w:rsidRPr="004635E5">
        <w:rPr>
          <w:sz w:val="22"/>
          <w:szCs w:val="22"/>
          <w:lang w:val="en-NZ"/>
        </w:rPr>
        <w:t xml:space="preserve">, and asked if there was a mechanism </w:t>
      </w:r>
      <w:r w:rsidRPr="004635E5">
        <w:rPr>
          <w:sz w:val="22"/>
          <w:szCs w:val="22"/>
          <w:lang w:val="en-NZ"/>
        </w:rPr>
        <w:t xml:space="preserve">to verify </w:t>
      </w:r>
      <w:r w:rsidR="00F729F0" w:rsidRPr="004635E5">
        <w:rPr>
          <w:sz w:val="22"/>
          <w:szCs w:val="22"/>
          <w:lang w:val="en-NZ"/>
        </w:rPr>
        <w:t>t</w:t>
      </w:r>
      <w:r w:rsidRPr="004635E5">
        <w:rPr>
          <w:sz w:val="22"/>
          <w:szCs w:val="22"/>
          <w:lang w:val="en-NZ"/>
        </w:rPr>
        <w:t xml:space="preserve">he catch level </w:t>
      </w:r>
      <w:r w:rsidR="00F729F0" w:rsidRPr="004635E5">
        <w:rPr>
          <w:sz w:val="22"/>
          <w:szCs w:val="22"/>
          <w:lang w:val="en-NZ"/>
        </w:rPr>
        <w:t xml:space="preserve">from the </w:t>
      </w:r>
      <w:r w:rsidRPr="004635E5">
        <w:rPr>
          <w:sz w:val="22"/>
          <w:szCs w:val="22"/>
          <w:lang w:val="en-NZ"/>
        </w:rPr>
        <w:t>S</w:t>
      </w:r>
      <w:r w:rsidR="00F729F0" w:rsidRPr="004635E5">
        <w:rPr>
          <w:sz w:val="22"/>
          <w:szCs w:val="22"/>
          <w:lang w:val="en-NZ"/>
        </w:rPr>
        <w:t>outh</w:t>
      </w:r>
      <w:r w:rsidRPr="004635E5">
        <w:rPr>
          <w:sz w:val="22"/>
          <w:szCs w:val="22"/>
          <w:lang w:val="en-NZ"/>
        </w:rPr>
        <w:t xml:space="preserve"> China Sea</w:t>
      </w:r>
      <w:r w:rsidR="00F729F0" w:rsidRPr="004635E5">
        <w:rPr>
          <w:sz w:val="22"/>
          <w:szCs w:val="22"/>
          <w:lang w:val="en-NZ"/>
        </w:rPr>
        <w:t>, and whether trade data was included</w:t>
      </w:r>
      <w:r w:rsidRPr="004635E5">
        <w:rPr>
          <w:sz w:val="22"/>
          <w:szCs w:val="22"/>
          <w:lang w:val="en-NZ"/>
        </w:rPr>
        <w:t xml:space="preserve">. </w:t>
      </w:r>
      <w:r w:rsidR="00F32B86" w:rsidRPr="004635E5">
        <w:rPr>
          <w:sz w:val="22"/>
          <w:szCs w:val="22"/>
          <w:lang w:val="en-NZ"/>
        </w:rPr>
        <w:t xml:space="preserve">The Secretariat </w:t>
      </w:r>
      <w:r w:rsidR="00F729F0" w:rsidRPr="004635E5">
        <w:rPr>
          <w:sz w:val="22"/>
          <w:szCs w:val="22"/>
          <w:lang w:val="en-NZ"/>
        </w:rPr>
        <w:t xml:space="preserve">noted that the </w:t>
      </w:r>
      <w:r w:rsidRPr="004635E5">
        <w:rPr>
          <w:sz w:val="22"/>
          <w:szCs w:val="22"/>
          <w:lang w:val="en-NZ"/>
        </w:rPr>
        <w:t>catch est</w:t>
      </w:r>
      <w:r w:rsidR="00F729F0" w:rsidRPr="004635E5">
        <w:rPr>
          <w:sz w:val="22"/>
          <w:szCs w:val="22"/>
          <w:lang w:val="en-NZ"/>
        </w:rPr>
        <w:t>imates</w:t>
      </w:r>
      <w:r w:rsidRPr="004635E5">
        <w:rPr>
          <w:sz w:val="22"/>
          <w:szCs w:val="22"/>
          <w:lang w:val="en-NZ"/>
        </w:rPr>
        <w:t xml:space="preserve"> </w:t>
      </w:r>
      <w:r w:rsidR="00F729F0" w:rsidRPr="004635E5">
        <w:rPr>
          <w:sz w:val="22"/>
          <w:szCs w:val="22"/>
          <w:lang w:val="en-NZ"/>
        </w:rPr>
        <w:t xml:space="preserve">were developed through stock assessment </w:t>
      </w:r>
      <w:r w:rsidRPr="004635E5">
        <w:rPr>
          <w:sz w:val="22"/>
          <w:szCs w:val="22"/>
          <w:lang w:val="en-NZ"/>
        </w:rPr>
        <w:t>w</w:t>
      </w:r>
      <w:r w:rsidR="00F729F0" w:rsidRPr="004635E5">
        <w:rPr>
          <w:sz w:val="22"/>
          <w:szCs w:val="22"/>
          <w:lang w:val="en-NZ"/>
        </w:rPr>
        <w:t xml:space="preserve">orkshops that produced </w:t>
      </w:r>
      <w:r w:rsidRPr="004635E5">
        <w:rPr>
          <w:sz w:val="22"/>
          <w:szCs w:val="22"/>
          <w:lang w:val="en-NZ"/>
        </w:rPr>
        <w:t>est</w:t>
      </w:r>
      <w:r w:rsidR="00F729F0" w:rsidRPr="004635E5">
        <w:rPr>
          <w:sz w:val="22"/>
          <w:szCs w:val="22"/>
          <w:lang w:val="en-NZ"/>
        </w:rPr>
        <w:t>imates</w:t>
      </w:r>
      <w:r w:rsidRPr="004635E5">
        <w:rPr>
          <w:sz w:val="22"/>
          <w:szCs w:val="22"/>
          <w:lang w:val="en-NZ"/>
        </w:rPr>
        <w:t xml:space="preserve"> of catch by type and gear</w:t>
      </w:r>
      <w:r w:rsidR="00F729F0" w:rsidRPr="004635E5">
        <w:rPr>
          <w:sz w:val="22"/>
          <w:szCs w:val="22"/>
          <w:lang w:val="en-NZ"/>
        </w:rPr>
        <w:t xml:space="preserve">, with outcomes approved by the respective governments, and that </w:t>
      </w:r>
      <w:r w:rsidRPr="004635E5">
        <w:rPr>
          <w:sz w:val="22"/>
          <w:szCs w:val="22"/>
          <w:lang w:val="en-NZ"/>
        </w:rPr>
        <w:t xml:space="preserve">trading data </w:t>
      </w:r>
      <w:r w:rsidR="00F729F0" w:rsidRPr="004635E5">
        <w:rPr>
          <w:sz w:val="22"/>
          <w:szCs w:val="22"/>
          <w:lang w:val="en-NZ"/>
        </w:rPr>
        <w:t>was</w:t>
      </w:r>
      <w:r w:rsidRPr="004635E5">
        <w:rPr>
          <w:sz w:val="22"/>
          <w:szCs w:val="22"/>
          <w:lang w:val="en-NZ"/>
        </w:rPr>
        <w:t xml:space="preserve"> included. </w:t>
      </w:r>
    </w:p>
    <w:p w14:paraId="6802DF7F" w14:textId="77777777" w:rsidR="00792486" w:rsidRPr="004635E5" w:rsidRDefault="00792486" w:rsidP="006633A8">
      <w:pPr>
        <w:autoSpaceDE w:val="0"/>
        <w:autoSpaceDN w:val="0"/>
        <w:adjustRightInd w:val="0"/>
        <w:snapToGrid w:val="0"/>
        <w:jc w:val="both"/>
        <w:rPr>
          <w:sz w:val="22"/>
          <w:szCs w:val="22"/>
          <w:lang w:val="en-NZ"/>
        </w:rPr>
      </w:pPr>
    </w:p>
    <w:p w14:paraId="5144EFC4" w14:textId="77777777" w:rsidR="000872BD" w:rsidRPr="004635E5" w:rsidRDefault="00D13876"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Indo</w:t>
      </w:r>
      <w:r w:rsidR="00F729F0" w:rsidRPr="004635E5">
        <w:rPr>
          <w:sz w:val="22"/>
          <w:szCs w:val="22"/>
          <w:lang w:val="en-NZ"/>
        </w:rPr>
        <w:t xml:space="preserve">nesia </w:t>
      </w:r>
      <w:r w:rsidR="00F32B86" w:rsidRPr="004635E5">
        <w:rPr>
          <w:sz w:val="22"/>
          <w:szCs w:val="22"/>
          <w:lang w:val="en-NZ"/>
        </w:rPr>
        <w:t xml:space="preserve">described that </w:t>
      </w:r>
      <w:r w:rsidR="00F729F0" w:rsidRPr="004635E5">
        <w:rPr>
          <w:sz w:val="22"/>
          <w:szCs w:val="22"/>
          <w:lang w:val="en-NZ"/>
        </w:rPr>
        <w:t xml:space="preserve">the work they were undertaking to improve data collection, and </w:t>
      </w:r>
      <w:r w:rsidRPr="004635E5">
        <w:rPr>
          <w:sz w:val="22"/>
          <w:szCs w:val="22"/>
          <w:lang w:val="en-NZ"/>
        </w:rPr>
        <w:t>thank</w:t>
      </w:r>
      <w:r w:rsidR="00F729F0" w:rsidRPr="004635E5">
        <w:rPr>
          <w:sz w:val="22"/>
          <w:szCs w:val="22"/>
          <w:lang w:val="en-NZ"/>
        </w:rPr>
        <w:t xml:space="preserve">ed the Secretariat and UNDP </w:t>
      </w:r>
      <w:r w:rsidRPr="004635E5">
        <w:rPr>
          <w:sz w:val="22"/>
          <w:szCs w:val="22"/>
          <w:lang w:val="en-NZ"/>
        </w:rPr>
        <w:t xml:space="preserve">for </w:t>
      </w:r>
      <w:r w:rsidR="00E24812" w:rsidRPr="004635E5">
        <w:rPr>
          <w:sz w:val="22"/>
          <w:szCs w:val="22"/>
          <w:lang w:val="en-NZ"/>
        </w:rPr>
        <w:t>their assistance, including in terms of capacity building,</w:t>
      </w:r>
      <w:r w:rsidR="00F81EF0">
        <w:rPr>
          <w:sz w:val="22"/>
          <w:szCs w:val="22"/>
          <w:lang w:val="en-NZ"/>
        </w:rPr>
        <w:t xml:space="preserve"> </w:t>
      </w:r>
      <w:r w:rsidR="00E24812" w:rsidRPr="004635E5">
        <w:rPr>
          <w:sz w:val="22"/>
          <w:szCs w:val="22"/>
          <w:lang w:val="en-NZ"/>
        </w:rPr>
        <w:t xml:space="preserve">and in developing a national tuna management plan (their first) and harvest strategy. They also thanked the </w:t>
      </w:r>
      <w:r w:rsidRPr="004635E5">
        <w:rPr>
          <w:sz w:val="22"/>
          <w:szCs w:val="22"/>
          <w:lang w:val="en-NZ"/>
        </w:rPr>
        <w:t>Phi</w:t>
      </w:r>
      <w:r w:rsidR="00E24812" w:rsidRPr="004635E5">
        <w:rPr>
          <w:sz w:val="22"/>
          <w:szCs w:val="22"/>
          <w:lang w:val="en-NZ"/>
        </w:rPr>
        <w:t xml:space="preserve">lippines </w:t>
      </w:r>
      <w:r w:rsidRPr="004635E5">
        <w:rPr>
          <w:sz w:val="22"/>
          <w:szCs w:val="22"/>
          <w:lang w:val="en-NZ"/>
        </w:rPr>
        <w:t>and Vie</w:t>
      </w:r>
      <w:r w:rsidR="00E24812" w:rsidRPr="004635E5">
        <w:rPr>
          <w:sz w:val="22"/>
          <w:szCs w:val="22"/>
          <w:lang w:val="en-NZ"/>
        </w:rPr>
        <w:t>tnam</w:t>
      </w:r>
      <w:r w:rsidRPr="004635E5">
        <w:rPr>
          <w:sz w:val="22"/>
          <w:szCs w:val="22"/>
          <w:lang w:val="en-NZ"/>
        </w:rPr>
        <w:t xml:space="preserve"> for their collab</w:t>
      </w:r>
      <w:r w:rsidR="00E24812" w:rsidRPr="004635E5">
        <w:rPr>
          <w:sz w:val="22"/>
          <w:szCs w:val="22"/>
          <w:lang w:val="en-NZ"/>
        </w:rPr>
        <w:t>oration</w:t>
      </w:r>
      <w:r w:rsidR="00FB2384" w:rsidRPr="004635E5">
        <w:rPr>
          <w:sz w:val="22"/>
          <w:szCs w:val="22"/>
          <w:lang w:val="en-NZ"/>
        </w:rPr>
        <w:t xml:space="preserve">, noted the </w:t>
      </w:r>
      <w:r w:rsidRPr="004635E5">
        <w:rPr>
          <w:sz w:val="22"/>
          <w:szCs w:val="22"/>
          <w:lang w:val="en-NZ"/>
        </w:rPr>
        <w:t>MOU between WCPFC and Indo</w:t>
      </w:r>
      <w:r w:rsidR="00FB2384" w:rsidRPr="004635E5">
        <w:rPr>
          <w:sz w:val="22"/>
          <w:szCs w:val="22"/>
          <w:lang w:val="en-NZ"/>
        </w:rPr>
        <w:t>nesia</w:t>
      </w:r>
      <w:r w:rsidRPr="004635E5">
        <w:rPr>
          <w:sz w:val="22"/>
          <w:szCs w:val="22"/>
          <w:lang w:val="en-NZ"/>
        </w:rPr>
        <w:t xml:space="preserve">, and </w:t>
      </w:r>
      <w:r w:rsidR="00FB2384" w:rsidRPr="004635E5">
        <w:rPr>
          <w:sz w:val="22"/>
          <w:szCs w:val="22"/>
          <w:lang w:val="en-NZ"/>
        </w:rPr>
        <w:t xml:space="preserve">the thanked the </w:t>
      </w:r>
      <w:r w:rsidR="002E39E9" w:rsidRPr="004635E5">
        <w:rPr>
          <w:sz w:val="22"/>
          <w:szCs w:val="22"/>
          <w:lang w:val="en-NZ"/>
        </w:rPr>
        <w:t>New Zealand</w:t>
      </w:r>
      <w:r w:rsidRPr="004635E5">
        <w:rPr>
          <w:sz w:val="22"/>
          <w:szCs w:val="22"/>
          <w:lang w:val="en-NZ"/>
        </w:rPr>
        <w:t xml:space="preserve"> gov</w:t>
      </w:r>
      <w:r w:rsidR="00FB2384" w:rsidRPr="004635E5">
        <w:rPr>
          <w:sz w:val="22"/>
          <w:szCs w:val="22"/>
          <w:lang w:val="en-NZ"/>
        </w:rPr>
        <w:t xml:space="preserve">ernment </w:t>
      </w:r>
      <w:r w:rsidRPr="004635E5">
        <w:rPr>
          <w:sz w:val="22"/>
          <w:szCs w:val="22"/>
          <w:lang w:val="en-NZ"/>
        </w:rPr>
        <w:t>for their support.</w:t>
      </w:r>
    </w:p>
    <w:p w14:paraId="5CAF09DE" w14:textId="77777777" w:rsidR="00792486" w:rsidRPr="004635E5" w:rsidRDefault="00792486" w:rsidP="006633A8">
      <w:pPr>
        <w:autoSpaceDE w:val="0"/>
        <w:autoSpaceDN w:val="0"/>
        <w:adjustRightInd w:val="0"/>
        <w:snapToGrid w:val="0"/>
        <w:jc w:val="both"/>
        <w:rPr>
          <w:sz w:val="22"/>
          <w:szCs w:val="22"/>
          <w:lang w:val="en-NZ"/>
        </w:rPr>
      </w:pPr>
    </w:p>
    <w:p w14:paraId="421A776B" w14:textId="77777777" w:rsidR="006F236F" w:rsidRPr="004635E5" w:rsidRDefault="00676790"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The Philippines thanked</w:t>
      </w:r>
      <w:r w:rsidR="00D13876" w:rsidRPr="004635E5">
        <w:rPr>
          <w:sz w:val="22"/>
          <w:szCs w:val="22"/>
          <w:lang w:val="en-NZ"/>
        </w:rPr>
        <w:t xml:space="preserve"> t</w:t>
      </w:r>
      <w:r w:rsidRPr="004635E5">
        <w:rPr>
          <w:sz w:val="22"/>
          <w:szCs w:val="22"/>
          <w:lang w:val="en-NZ"/>
        </w:rPr>
        <w:t>he</w:t>
      </w:r>
      <w:r w:rsidR="00D13876" w:rsidRPr="004635E5">
        <w:rPr>
          <w:sz w:val="22"/>
          <w:szCs w:val="22"/>
          <w:lang w:val="en-NZ"/>
        </w:rPr>
        <w:t xml:space="preserve"> Comm</w:t>
      </w:r>
      <w:r w:rsidRPr="004635E5">
        <w:rPr>
          <w:sz w:val="22"/>
          <w:szCs w:val="22"/>
          <w:lang w:val="en-NZ"/>
        </w:rPr>
        <w:t>ission</w:t>
      </w:r>
      <w:r w:rsidR="00D13876" w:rsidRPr="004635E5">
        <w:rPr>
          <w:sz w:val="22"/>
          <w:szCs w:val="22"/>
          <w:lang w:val="en-NZ"/>
        </w:rPr>
        <w:t xml:space="preserve"> for </w:t>
      </w:r>
      <w:r w:rsidRPr="004635E5">
        <w:rPr>
          <w:sz w:val="22"/>
          <w:szCs w:val="22"/>
          <w:lang w:val="en-NZ"/>
        </w:rPr>
        <w:t xml:space="preserve">their </w:t>
      </w:r>
      <w:r w:rsidR="00D13876" w:rsidRPr="004635E5">
        <w:rPr>
          <w:sz w:val="22"/>
          <w:szCs w:val="22"/>
          <w:lang w:val="en-NZ"/>
        </w:rPr>
        <w:t xml:space="preserve">support, </w:t>
      </w:r>
      <w:r w:rsidRPr="004635E5">
        <w:rPr>
          <w:sz w:val="22"/>
          <w:szCs w:val="22"/>
          <w:lang w:val="en-NZ"/>
        </w:rPr>
        <w:t xml:space="preserve">and in </w:t>
      </w:r>
      <w:r w:rsidR="00D13876" w:rsidRPr="004635E5">
        <w:rPr>
          <w:sz w:val="22"/>
          <w:szCs w:val="22"/>
          <w:lang w:val="en-NZ"/>
        </w:rPr>
        <w:t>partic</w:t>
      </w:r>
      <w:r w:rsidRPr="004635E5">
        <w:rPr>
          <w:sz w:val="22"/>
          <w:szCs w:val="22"/>
          <w:lang w:val="en-NZ"/>
        </w:rPr>
        <w:t>ular</w:t>
      </w:r>
      <w:r w:rsidR="00D13876" w:rsidRPr="004635E5">
        <w:rPr>
          <w:sz w:val="22"/>
          <w:szCs w:val="22"/>
          <w:lang w:val="en-NZ"/>
        </w:rPr>
        <w:t xml:space="preserve"> </w:t>
      </w:r>
      <w:r w:rsidR="003B5F06" w:rsidRPr="004635E5">
        <w:rPr>
          <w:sz w:val="22"/>
          <w:szCs w:val="22"/>
          <w:lang w:val="en-NZ"/>
        </w:rPr>
        <w:t xml:space="preserve">the </w:t>
      </w:r>
      <w:r w:rsidRPr="004635E5">
        <w:rPr>
          <w:sz w:val="22"/>
          <w:szCs w:val="22"/>
          <w:lang w:val="en-NZ"/>
        </w:rPr>
        <w:t>Science Manager</w:t>
      </w:r>
      <w:r w:rsidR="003B5F06" w:rsidRPr="004635E5">
        <w:rPr>
          <w:sz w:val="22"/>
          <w:szCs w:val="22"/>
          <w:lang w:val="en-NZ"/>
        </w:rPr>
        <w:t xml:space="preserve"> and Secretariat staff;</w:t>
      </w:r>
      <w:r w:rsidRPr="004635E5">
        <w:rPr>
          <w:sz w:val="22"/>
          <w:szCs w:val="22"/>
          <w:lang w:val="en-NZ"/>
        </w:rPr>
        <w:t xml:space="preserve"> and </w:t>
      </w:r>
      <w:r w:rsidR="00D13876" w:rsidRPr="004635E5">
        <w:rPr>
          <w:sz w:val="22"/>
          <w:szCs w:val="22"/>
          <w:lang w:val="en-NZ"/>
        </w:rPr>
        <w:t>P. Williams</w:t>
      </w:r>
      <w:r w:rsidR="003B5F06" w:rsidRPr="004635E5">
        <w:rPr>
          <w:sz w:val="22"/>
          <w:szCs w:val="22"/>
          <w:lang w:val="en-NZ"/>
        </w:rPr>
        <w:t xml:space="preserve"> and SPC staff</w:t>
      </w:r>
      <w:r w:rsidRPr="004635E5">
        <w:rPr>
          <w:sz w:val="22"/>
          <w:szCs w:val="22"/>
          <w:lang w:val="en-NZ"/>
        </w:rPr>
        <w:t>.</w:t>
      </w:r>
      <w:r w:rsidR="00D13876" w:rsidRPr="004635E5">
        <w:rPr>
          <w:sz w:val="22"/>
          <w:szCs w:val="22"/>
          <w:lang w:val="en-NZ"/>
        </w:rPr>
        <w:t xml:space="preserve"> </w:t>
      </w:r>
      <w:r w:rsidRPr="004635E5">
        <w:rPr>
          <w:sz w:val="22"/>
          <w:szCs w:val="22"/>
          <w:lang w:val="en-NZ"/>
        </w:rPr>
        <w:t xml:space="preserve">They </w:t>
      </w:r>
      <w:r w:rsidR="00D13876" w:rsidRPr="004635E5">
        <w:rPr>
          <w:sz w:val="22"/>
          <w:szCs w:val="22"/>
          <w:lang w:val="en-NZ"/>
        </w:rPr>
        <w:t>ackn</w:t>
      </w:r>
      <w:r w:rsidRPr="004635E5">
        <w:rPr>
          <w:sz w:val="22"/>
          <w:szCs w:val="22"/>
          <w:lang w:val="en-NZ"/>
        </w:rPr>
        <w:t>owledged</w:t>
      </w:r>
      <w:r w:rsidR="00D13876" w:rsidRPr="004635E5">
        <w:rPr>
          <w:sz w:val="22"/>
          <w:szCs w:val="22"/>
          <w:lang w:val="en-NZ"/>
        </w:rPr>
        <w:t xml:space="preserve"> the concerns </w:t>
      </w:r>
      <w:r w:rsidRPr="004635E5">
        <w:rPr>
          <w:sz w:val="22"/>
          <w:szCs w:val="22"/>
          <w:lang w:val="en-NZ"/>
        </w:rPr>
        <w:t>of Jap</w:t>
      </w:r>
      <w:r w:rsidR="00D13876" w:rsidRPr="004635E5">
        <w:rPr>
          <w:sz w:val="22"/>
          <w:szCs w:val="22"/>
          <w:lang w:val="en-NZ"/>
        </w:rPr>
        <w:t xml:space="preserve">an and </w:t>
      </w:r>
      <w:r w:rsidRPr="004635E5">
        <w:rPr>
          <w:sz w:val="22"/>
          <w:szCs w:val="22"/>
          <w:lang w:val="en-NZ"/>
        </w:rPr>
        <w:t>Chi</w:t>
      </w:r>
      <w:r w:rsidR="00D13876" w:rsidRPr="004635E5">
        <w:rPr>
          <w:sz w:val="22"/>
          <w:szCs w:val="22"/>
          <w:lang w:val="en-NZ"/>
        </w:rPr>
        <w:t>na</w:t>
      </w:r>
      <w:r w:rsidRPr="004635E5">
        <w:rPr>
          <w:sz w:val="22"/>
          <w:szCs w:val="22"/>
          <w:lang w:val="en-NZ"/>
        </w:rPr>
        <w:t>, and expressed their c</w:t>
      </w:r>
      <w:r w:rsidR="00D13876" w:rsidRPr="004635E5">
        <w:rPr>
          <w:sz w:val="22"/>
          <w:szCs w:val="22"/>
          <w:lang w:val="en-NZ"/>
        </w:rPr>
        <w:t>ommit</w:t>
      </w:r>
      <w:r w:rsidRPr="004635E5">
        <w:rPr>
          <w:sz w:val="22"/>
          <w:szCs w:val="22"/>
          <w:lang w:val="en-NZ"/>
        </w:rPr>
        <w:t>ment</w:t>
      </w:r>
      <w:r w:rsidR="00D13876" w:rsidRPr="004635E5">
        <w:rPr>
          <w:sz w:val="22"/>
          <w:szCs w:val="22"/>
          <w:lang w:val="en-NZ"/>
        </w:rPr>
        <w:t xml:space="preserve"> to continue support</w:t>
      </w:r>
      <w:r w:rsidRPr="004635E5">
        <w:rPr>
          <w:sz w:val="22"/>
          <w:szCs w:val="22"/>
          <w:lang w:val="en-NZ"/>
        </w:rPr>
        <w:t>ing</w:t>
      </w:r>
      <w:r w:rsidR="00D13876" w:rsidRPr="004635E5">
        <w:rPr>
          <w:sz w:val="22"/>
          <w:szCs w:val="22"/>
          <w:lang w:val="en-NZ"/>
        </w:rPr>
        <w:t xml:space="preserve"> </w:t>
      </w:r>
      <w:r w:rsidRPr="004635E5">
        <w:rPr>
          <w:sz w:val="22"/>
          <w:szCs w:val="22"/>
          <w:lang w:val="en-NZ"/>
        </w:rPr>
        <w:t>p</w:t>
      </w:r>
      <w:r w:rsidR="00D13876" w:rsidRPr="004635E5">
        <w:rPr>
          <w:sz w:val="22"/>
          <w:szCs w:val="22"/>
          <w:lang w:val="en-NZ"/>
        </w:rPr>
        <w:t xml:space="preserve">ort </w:t>
      </w:r>
      <w:r w:rsidRPr="004635E5">
        <w:rPr>
          <w:sz w:val="22"/>
          <w:szCs w:val="22"/>
          <w:lang w:val="en-NZ"/>
        </w:rPr>
        <w:t>s</w:t>
      </w:r>
      <w:r w:rsidR="00D13876" w:rsidRPr="004635E5">
        <w:rPr>
          <w:sz w:val="22"/>
          <w:szCs w:val="22"/>
          <w:lang w:val="en-NZ"/>
        </w:rPr>
        <w:t>amp</w:t>
      </w:r>
      <w:r w:rsidRPr="004635E5">
        <w:rPr>
          <w:sz w:val="22"/>
          <w:szCs w:val="22"/>
          <w:lang w:val="en-NZ"/>
        </w:rPr>
        <w:t>ling</w:t>
      </w:r>
      <w:r w:rsidR="00D13876" w:rsidRPr="004635E5">
        <w:rPr>
          <w:sz w:val="22"/>
          <w:szCs w:val="22"/>
          <w:lang w:val="en-NZ"/>
        </w:rPr>
        <w:t xml:space="preserve"> activi</w:t>
      </w:r>
      <w:r w:rsidRPr="004635E5">
        <w:rPr>
          <w:sz w:val="22"/>
          <w:szCs w:val="22"/>
          <w:lang w:val="en-NZ"/>
        </w:rPr>
        <w:t>ti</w:t>
      </w:r>
      <w:r w:rsidR="00D13876" w:rsidRPr="004635E5">
        <w:rPr>
          <w:sz w:val="22"/>
          <w:szCs w:val="22"/>
          <w:lang w:val="en-NZ"/>
        </w:rPr>
        <w:t>es aft</w:t>
      </w:r>
      <w:r w:rsidRPr="004635E5">
        <w:rPr>
          <w:sz w:val="22"/>
          <w:szCs w:val="22"/>
          <w:lang w:val="en-NZ"/>
        </w:rPr>
        <w:t>e</w:t>
      </w:r>
      <w:r w:rsidR="00D13876" w:rsidRPr="004635E5">
        <w:rPr>
          <w:sz w:val="22"/>
          <w:szCs w:val="22"/>
          <w:lang w:val="en-NZ"/>
        </w:rPr>
        <w:t xml:space="preserve">r </w:t>
      </w:r>
      <w:r w:rsidRPr="004635E5">
        <w:rPr>
          <w:sz w:val="22"/>
          <w:szCs w:val="22"/>
          <w:lang w:val="en-NZ"/>
        </w:rPr>
        <w:t xml:space="preserve">the </w:t>
      </w:r>
      <w:r w:rsidR="00D13876" w:rsidRPr="004635E5">
        <w:rPr>
          <w:sz w:val="22"/>
          <w:szCs w:val="22"/>
          <w:lang w:val="en-NZ"/>
        </w:rPr>
        <w:t>project ends</w:t>
      </w:r>
      <w:r w:rsidR="00F81EF0">
        <w:rPr>
          <w:sz w:val="22"/>
          <w:szCs w:val="22"/>
          <w:lang w:val="en-NZ"/>
        </w:rPr>
        <w:t xml:space="preserve"> </w:t>
      </w:r>
      <w:r w:rsidR="00D13876" w:rsidRPr="004635E5">
        <w:rPr>
          <w:sz w:val="22"/>
          <w:szCs w:val="22"/>
          <w:lang w:val="en-NZ"/>
        </w:rPr>
        <w:t xml:space="preserve">as </w:t>
      </w:r>
      <w:r w:rsidR="003B5F06" w:rsidRPr="004635E5">
        <w:rPr>
          <w:sz w:val="22"/>
          <w:szCs w:val="22"/>
          <w:lang w:val="en-NZ"/>
        </w:rPr>
        <w:t xml:space="preserve">one of their obligations as a CCM. </w:t>
      </w:r>
    </w:p>
    <w:p w14:paraId="0C6421AF" w14:textId="77777777" w:rsidR="00792486" w:rsidRPr="004635E5" w:rsidRDefault="00792486" w:rsidP="006633A8">
      <w:pPr>
        <w:autoSpaceDE w:val="0"/>
        <w:autoSpaceDN w:val="0"/>
        <w:adjustRightInd w:val="0"/>
        <w:snapToGrid w:val="0"/>
        <w:jc w:val="both"/>
        <w:rPr>
          <w:sz w:val="22"/>
          <w:szCs w:val="22"/>
          <w:lang w:val="en-NZ"/>
        </w:rPr>
      </w:pPr>
    </w:p>
    <w:p w14:paraId="786CF9EE" w14:textId="77777777" w:rsidR="00B64775" w:rsidRPr="004635E5" w:rsidRDefault="009941F4" w:rsidP="00580EA4">
      <w:pPr>
        <w:pStyle w:val="SC2"/>
        <w:numPr>
          <w:ilvl w:val="1"/>
          <w:numId w:val="161"/>
        </w:numPr>
        <w:spacing w:after="0"/>
        <w:ind w:left="0" w:firstLine="0"/>
      </w:pPr>
      <w:r w:rsidRPr="004635E5">
        <w:t xml:space="preserve">Pacific Tuna Tagging Project </w:t>
      </w:r>
      <w:r w:rsidR="00EC2690" w:rsidRPr="004635E5">
        <w:t xml:space="preserve"> </w:t>
      </w:r>
    </w:p>
    <w:p w14:paraId="07BD2AFB" w14:textId="77777777" w:rsidR="00792486" w:rsidRPr="004635E5" w:rsidRDefault="00792486" w:rsidP="006633A8">
      <w:pPr>
        <w:pStyle w:val="SC2"/>
        <w:numPr>
          <w:ilvl w:val="0"/>
          <w:numId w:val="0"/>
        </w:numPr>
        <w:spacing w:after="0"/>
        <w:ind w:left="720"/>
      </w:pPr>
    </w:p>
    <w:p w14:paraId="7F269B0C" w14:textId="77777777" w:rsidR="00A15147" w:rsidRPr="004635E5" w:rsidRDefault="006F236F" w:rsidP="00580EA4">
      <w:pPr>
        <w:numPr>
          <w:ilvl w:val="0"/>
          <w:numId w:val="18"/>
        </w:numPr>
        <w:autoSpaceDE w:val="0"/>
        <w:autoSpaceDN w:val="0"/>
        <w:adjustRightInd w:val="0"/>
        <w:snapToGrid w:val="0"/>
        <w:ind w:left="0" w:firstLine="0"/>
        <w:jc w:val="both"/>
        <w:rPr>
          <w:b/>
          <w:bCs/>
          <w:sz w:val="22"/>
          <w:szCs w:val="22"/>
          <w:lang w:val="en-NZ"/>
        </w:rPr>
      </w:pPr>
      <w:r w:rsidRPr="004635E5">
        <w:rPr>
          <w:bCs/>
          <w:sz w:val="22"/>
          <w:szCs w:val="22"/>
          <w:lang w:val="en-NZ"/>
        </w:rPr>
        <w:t xml:space="preserve">J. Hampton </w:t>
      </w:r>
      <w:r w:rsidR="005A5865" w:rsidRPr="004635E5">
        <w:rPr>
          <w:bCs/>
          <w:sz w:val="22"/>
          <w:szCs w:val="22"/>
          <w:lang w:val="en-NZ"/>
        </w:rPr>
        <w:t xml:space="preserve">(SPC) </w:t>
      </w:r>
      <w:r w:rsidRPr="004635E5">
        <w:rPr>
          <w:bCs/>
          <w:sz w:val="22"/>
          <w:szCs w:val="22"/>
          <w:lang w:val="en-NZ"/>
        </w:rPr>
        <w:t>introduced</w:t>
      </w:r>
      <w:r w:rsidR="00F81EF0">
        <w:rPr>
          <w:bCs/>
          <w:sz w:val="22"/>
          <w:szCs w:val="22"/>
          <w:lang w:val="en-NZ"/>
        </w:rPr>
        <w:t xml:space="preserve"> </w:t>
      </w:r>
      <w:r w:rsidRPr="004635E5">
        <w:rPr>
          <w:bCs/>
          <w:sz w:val="22"/>
          <w:szCs w:val="22"/>
          <w:lang w:val="en-NZ"/>
        </w:rPr>
        <w:t>SC14-RP-PTTP-01</w:t>
      </w:r>
      <w:r w:rsidR="00447371" w:rsidRPr="004635E5">
        <w:rPr>
          <w:bCs/>
          <w:sz w:val="22"/>
          <w:szCs w:val="22"/>
          <w:lang w:val="en-NZ"/>
        </w:rPr>
        <w:t xml:space="preserve">. </w:t>
      </w:r>
      <w:r w:rsidR="00447371" w:rsidRPr="004635E5">
        <w:rPr>
          <w:bCs/>
          <w:i/>
          <w:sz w:val="22"/>
          <w:szCs w:val="22"/>
          <w:lang w:val="en-NZ"/>
        </w:rPr>
        <w:t>Report of the PTTP Steering Committee</w:t>
      </w:r>
      <w:r w:rsidRPr="004635E5">
        <w:rPr>
          <w:bCs/>
          <w:sz w:val="22"/>
          <w:szCs w:val="22"/>
          <w:lang w:val="en-NZ"/>
        </w:rPr>
        <w:t xml:space="preserve">. </w:t>
      </w:r>
      <w:r w:rsidR="00A15147" w:rsidRPr="004635E5">
        <w:rPr>
          <w:bCs/>
          <w:sz w:val="22"/>
          <w:szCs w:val="22"/>
        </w:rPr>
        <w:t xml:space="preserve">The Pacific Tuna Tagging Programme (PTTP) is a joint research project being implemented by SPC. The goal of the PTTP is to improve stock assessment and management of skipjack, yellowfin and bigeye tuna in the Pacific Ocean. </w:t>
      </w:r>
      <w:r w:rsidR="00F32B86" w:rsidRPr="004635E5">
        <w:rPr>
          <w:bCs/>
          <w:sz w:val="22"/>
          <w:szCs w:val="22"/>
        </w:rPr>
        <w:t>I</w:t>
      </w:r>
      <w:r w:rsidR="00A15147" w:rsidRPr="004635E5">
        <w:rPr>
          <w:bCs/>
          <w:sz w:val="22"/>
          <w:szCs w:val="22"/>
        </w:rPr>
        <w:t>nformation collected includes age</w:t>
      </w:r>
      <w:r w:rsidR="00A15147" w:rsidRPr="004635E5">
        <w:rPr>
          <w:rFonts w:ascii="Cambria Math" w:hAnsi="Cambria Math" w:cs="Cambria Math"/>
          <w:bCs/>
          <w:sz w:val="22"/>
          <w:szCs w:val="22"/>
        </w:rPr>
        <w:t>‐</w:t>
      </w:r>
      <w:r w:rsidR="00A15147" w:rsidRPr="004635E5">
        <w:rPr>
          <w:bCs/>
          <w:sz w:val="22"/>
          <w:szCs w:val="22"/>
        </w:rPr>
        <w:t>specific rates of movement and mixing, movement between this region and other adjacent regions of the Pacific basin, species</w:t>
      </w:r>
      <w:r w:rsidR="00A15147" w:rsidRPr="004635E5">
        <w:rPr>
          <w:rFonts w:ascii="Cambria Math" w:hAnsi="Cambria Math" w:cs="Cambria Math"/>
          <w:bCs/>
          <w:sz w:val="22"/>
          <w:szCs w:val="22"/>
        </w:rPr>
        <w:t>‐</w:t>
      </w:r>
      <w:r w:rsidR="00F32B86" w:rsidRPr="004635E5">
        <w:rPr>
          <w:bCs/>
          <w:sz w:val="22"/>
          <w:szCs w:val="22"/>
        </w:rPr>
        <w:t>specific vertical habitat utiliz</w:t>
      </w:r>
      <w:r w:rsidR="00A15147" w:rsidRPr="004635E5">
        <w:rPr>
          <w:bCs/>
          <w:sz w:val="22"/>
          <w:szCs w:val="22"/>
        </w:rPr>
        <w:t>ation by tunas, and</w:t>
      </w:r>
      <w:r w:rsidR="00F32B86" w:rsidRPr="004635E5">
        <w:rPr>
          <w:bCs/>
          <w:sz w:val="22"/>
          <w:szCs w:val="22"/>
        </w:rPr>
        <w:t xml:space="preserve"> the impacts of FADs on behavio</w:t>
      </w:r>
      <w:r w:rsidR="00A15147" w:rsidRPr="004635E5">
        <w:rPr>
          <w:bCs/>
          <w:sz w:val="22"/>
          <w:szCs w:val="22"/>
        </w:rPr>
        <w:t xml:space="preserve">r. </w:t>
      </w:r>
    </w:p>
    <w:p w14:paraId="07172096" w14:textId="77777777" w:rsidR="00792486" w:rsidRPr="004635E5" w:rsidRDefault="00792486" w:rsidP="006633A8">
      <w:pPr>
        <w:autoSpaceDE w:val="0"/>
        <w:autoSpaceDN w:val="0"/>
        <w:adjustRightInd w:val="0"/>
        <w:snapToGrid w:val="0"/>
        <w:jc w:val="both"/>
        <w:rPr>
          <w:b/>
          <w:bCs/>
          <w:sz w:val="22"/>
          <w:szCs w:val="22"/>
          <w:lang w:val="en-NZ"/>
        </w:rPr>
      </w:pPr>
    </w:p>
    <w:p w14:paraId="1D49CC79" w14:textId="77777777" w:rsidR="00792486" w:rsidRPr="004635E5" w:rsidRDefault="00A15147" w:rsidP="00580EA4">
      <w:pPr>
        <w:numPr>
          <w:ilvl w:val="0"/>
          <w:numId w:val="18"/>
        </w:numPr>
        <w:autoSpaceDE w:val="0"/>
        <w:autoSpaceDN w:val="0"/>
        <w:adjustRightInd w:val="0"/>
        <w:snapToGrid w:val="0"/>
        <w:ind w:left="0" w:firstLine="0"/>
        <w:jc w:val="both"/>
        <w:rPr>
          <w:bCs/>
          <w:sz w:val="22"/>
          <w:szCs w:val="22"/>
          <w:lang w:val="en-NZ"/>
        </w:rPr>
      </w:pPr>
      <w:r w:rsidRPr="004635E5">
        <w:rPr>
          <w:bCs/>
          <w:sz w:val="22"/>
          <w:szCs w:val="22"/>
        </w:rPr>
        <w:t>The PTTP Steering Committee recommended to SC that it</w:t>
      </w:r>
    </w:p>
    <w:p w14:paraId="3335F75A" w14:textId="77777777" w:rsidR="00A15147" w:rsidRPr="004635E5" w:rsidRDefault="00A15147" w:rsidP="00580EA4">
      <w:pPr>
        <w:pStyle w:val="ListParagraph"/>
        <w:numPr>
          <w:ilvl w:val="0"/>
          <w:numId w:val="59"/>
        </w:numPr>
        <w:autoSpaceDE w:val="0"/>
        <w:autoSpaceDN w:val="0"/>
        <w:adjustRightInd w:val="0"/>
        <w:snapToGrid w:val="0"/>
        <w:ind w:left="1260"/>
        <w:jc w:val="both"/>
        <w:rPr>
          <w:bCs/>
          <w:sz w:val="22"/>
          <w:szCs w:val="22"/>
          <w:lang w:val="en-NZ"/>
        </w:rPr>
      </w:pPr>
      <w:r w:rsidRPr="004635E5">
        <w:rPr>
          <w:bCs/>
          <w:sz w:val="22"/>
          <w:szCs w:val="22"/>
        </w:rPr>
        <w:t xml:space="preserve">note the successful 2017 research voyage, including participation from local science staff in PNG waters, and that the 2018 voyage is currently underway; </w:t>
      </w:r>
    </w:p>
    <w:p w14:paraId="385F16C8" w14:textId="77777777" w:rsidR="00A15147" w:rsidRPr="004635E5" w:rsidRDefault="00A15147" w:rsidP="00580EA4">
      <w:pPr>
        <w:pStyle w:val="ListParagraph"/>
        <w:numPr>
          <w:ilvl w:val="0"/>
          <w:numId w:val="59"/>
        </w:numPr>
        <w:autoSpaceDE w:val="0"/>
        <w:autoSpaceDN w:val="0"/>
        <w:adjustRightInd w:val="0"/>
        <w:snapToGrid w:val="0"/>
        <w:ind w:left="1260"/>
        <w:jc w:val="both"/>
        <w:rPr>
          <w:bCs/>
          <w:sz w:val="22"/>
          <w:szCs w:val="22"/>
          <w:lang w:val="en-NZ"/>
        </w:rPr>
      </w:pPr>
      <w:r w:rsidRPr="004635E5">
        <w:rPr>
          <w:bCs/>
          <w:sz w:val="22"/>
          <w:szCs w:val="22"/>
        </w:rPr>
        <w:t xml:space="preserve">request members to actively support the tag recovery network; </w:t>
      </w:r>
    </w:p>
    <w:p w14:paraId="32F9BD64" w14:textId="77777777" w:rsidR="00A15147" w:rsidRPr="004635E5" w:rsidRDefault="00A15147" w:rsidP="00580EA4">
      <w:pPr>
        <w:pStyle w:val="ListParagraph"/>
        <w:numPr>
          <w:ilvl w:val="0"/>
          <w:numId w:val="59"/>
        </w:numPr>
        <w:autoSpaceDE w:val="0"/>
        <w:autoSpaceDN w:val="0"/>
        <w:adjustRightInd w:val="0"/>
        <w:snapToGrid w:val="0"/>
        <w:ind w:left="1260"/>
        <w:jc w:val="both"/>
        <w:rPr>
          <w:bCs/>
          <w:sz w:val="22"/>
          <w:szCs w:val="22"/>
          <w:lang w:val="en-NZ"/>
        </w:rPr>
      </w:pPr>
      <w:r w:rsidRPr="004635E5">
        <w:rPr>
          <w:bCs/>
          <w:sz w:val="22"/>
          <w:szCs w:val="22"/>
        </w:rPr>
        <w:t xml:space="preserve">support the 2019 tagging programme, and associated budget; </w:t>
      </w:r>
    </w:p>
    <w:p w14:paraId="31E36ACA" w14:textId="77777777" w:rsidR="00A15147" w:rsidRPr="004635E5" w:rsidRDefault="00A15147" w:rsidP="00580EA4">
      <w:pPr>
        <w:pStyle w:val="ListParagraph"/>
        <w:numPr>
          <w:ilvl w:val="0"/>
          <w:numId w:val="59"/>
        </w:numPr>
        <w:autoSpaceDE w:val="0"/>
        <w:autoSpaceDN w:val="0"/>
        <w:adjustRightInd w:val="0"/>
        <w:snapToGrid w:val="0"/>
        <w:ind w:left="1260"/>
        <w:jc w:val="both"/>
        <w:rPr>
          <w:bCs/>
          <w:sz w:val="22"/>
          <w:szCs w:val="22"/>
          <w:lang w:val="en-NZ"/>
        </w:rPr>
      </w:pPr>
      <w:r w:rsidRPr="004635E5">
        <w:rPr>
          <w:bCs/>
          <w:sz w:val="22"/>
          <w:szCs w:val="22"/>
        </w:rPr>
        <w:t xml:space="preserve">support the 2020-2021 tagging programme, and associated indicative budget; </w:t>
      </w:r>
    </w:p>
    <w:p w14:paraId="7C848977" w14:textId="77777777" w:rsidR="00A15147" w:rsidRPr="004635E5" w:rsidRDefault="00A15147" w:rsidP="00580EA4">
      <w:pPr>
        <w:pStyle w:val="ListParagraph"/>
        <w:numPr>
          <w:ilvl w:val="0"/>
          <w:numId w:val="59"/>
        </w:numPr>
        <w:autoSpaceDE w:val="0"/>
        <w:autoSpaceDN w:val="0"/>
        <w:adjustRightInd w:val="0"/>
        <w:snapToGrid w:val="0"/>
        <w:ind w:left="1260"/>
        <w:jc w:val="both"/>
        <w:rPr>
          <w:bCs/>
          <w:sz w:val="22"/>
          <w:szCs w:val="22"/>
          <w:lang w:val="en-NZ"/>
        </w:rPr>
      </w:pPr>
      <w:r w:rsidRPr="004635E5">
        <w:rPr>
          <w:bCs/>
          <w:sz w:val="22"/>
          <w:szCs w:val="22"/>
        </w:rPr>
        <w:t xml:space="preserve">support the PTTP workplan for 2019-2021, noting that should available budget and pole-and-line vessel availability dictate, that the research voyage schedule be modified to conduct CP14 in 2019 and defer WP5 to 2020 if necessary; and support the project to address the increasingly urgent issue of cost-effectiveness of vessel charter in relation to acquiring a dedicated tagging vessel by increasing its priority from medium to high. </w:t>
      </w:r>
    </w:p>
    <w:p w14:paraId="039AA261" w14:textId="77777777" w:rsidR="00A15147" w:rsidRPr="004635E5" w:rsidRDefault="00A15147" w:rsidP="006633A8">
      <w:pPr>
        <w:pStyle w:val="ListParagraph"/>
        <w:autoSpaceDE w:val="0"/>
        <w:autoSpaceDN w:val="0"/>
        <w:adjustRightInd w:val="0"/>
        <w:snapToGrid w:val="0"/>
        <w:jc w:val="both"/>
        <w:rPr>
          <w:bCs/>
          <w:sz w:val="22"/>
          <w:szCs w:val="22"/>
        </w:rPr>
      </w:pPr>
    </w:p>
    <w:p w14:paraId="5E54185C" w14:textId="77777777" w:rsidR="00792486" w:rsidRPr="004635E5" w:rsidRDefault="00A15147" w:rsidP="006633A8">
      <w:pPr>
        <w:autoSpaceDE w:val="0"/>
        <w:autoSpaceDN w:val="0"/>
        <w:adjustRightInd w:val="0"/>
        <w:snapToGrid w:val="0"/>
        <w:jc w:val="both"/>
        <w:rPr>
          <w:b/>
          <w:bCs/>
          <w:sz w:val="22"/>
          <w:szCs w:val="22"/>
          <w:lang w:val="en-NZ"/>
        </w:rPr>
      </w:pPr>
      <w:r w:rsidRPr="004635E5">
        <w:rPr>
          <w:b/>
          <w:bCs/>
          <w:sz w:val="22"/>
          <w:szCs w:val="22"/>
          <w:lang w:val="en-NZ"/>
        </w:rPr>
        <w:t>Dis</w:t>
      </w:r>
      <w:r w:rsidR="00792486" w:rsidRPr="004635E5">
        <w:rPr>
          <w:b/>
          <w:bCs/>
          <w:sz w:val="22"/>
          <w:szCs w:val="22"/>
          <w:lang w:val="en-NZ"/>
        </w:rPr>
        <w:t>cussion</w:t>
      </w:r>
    </w:p>
    <w:p w14:paraId="5B37794E" w14:textId="77777777" w:rsidR="00792486" w:rsidRPr="004635E5" w:rsidRDefault="00792486" w:rsidP="006633A8">
      <w:pPr>
        <w:autoSpaceDE w:val="0"/>
        <w:autoSpaceDN w:val="0"/>
        <w:adjustRightInd w:val="0"/>
        <w:snapToGrid w:val="0"/>
        <w:jc w:val="both"/>
        <w:rPr>
          <w:b/>
          <w:bCs/>
          <w:sz w:val="22"/>
          <w:szCs w:val="22"/>
          <w:lang w:val="en-NZ"/>
        </w:rPr>
      </w:pPr>
    </w:p>
    <w:p w14:paraId="7A359726" w14:textId="77777777" w:rsidR="00DA681A" w:rsidRPr="004635E5" w:rsidRDefault="00EF3149" w:rsidP="00580EA4">
      <w:pPr>
        <w:numPr>
          <w:ilvl w:val="0"/>
          <w:numId w:val="18"/>
        </w:numPr>
        <w:autoSpaceDE w:val="0"/>
        <w:autoSpaceDN w:val="0"/>
        <w:adjustRightInd w:val="0"/>
        <w:snapToGrid w:val="0"/>
        <w:ind w:left="0" w:firstLine="0"/>
        <w:jc w:val="both"/>
        <w:rPr>
          <w:bCs/>
          <w:sz w:val="22"/>
          <w:szCs w:val="22"/>
          <w:lang w:val="en-NZ"/>
        </w:rPr>
      </w:pPr>
      <w:r w:rsidRPr="004635E5">
        <w:rPr>
          <w:bCs/>
          <w:sz w:val="22"/>
          <w:szCs w:val="22"/>
          <w:lang w:val="en-NZ"/>
        </w:rPr>
        <w:t xml:space="preserve">Solomon Islands on behalf of </w:t>
      </w:r>
      <w:r w:rsidR="00DA681A" w:rsidRPr="004635E5">
        <w:rPr>
          <w:bCs/>
          <w:sz w:val="22"/>
          <w:szCs w:val="22"/>
          <w:lang w:val="en-NZ"/>
        </w:rPr>
        <w:t>FFA members</w:t>
      </w:r>
      <w:r w:rsidR="005A5865" w:rsidRPr="004635E5">
        <w:rPr>
          <w:bCs/>
          <w:sz w:val="22"/>
          <w:szCs w:val="22"/>
          <w:lang w:val="en-NZ"/>
        </w:rPr>
        <w:t xml:space="preserve"> </w:t>
      </w:r>
      <w:r w:rsidRPr="004635E5">
        <w:rPr>
          <w:bCs/>
          <w:sz w:val="22"/>
          <w:szCs w:val="22"/>
          <w:lang w:val="en-NZ"/>
        </w:rPr>
        <w:t xml:space="preserve">noted the value of the PTTP and supported the continued inclusion of a dedicated tagging program for tropical tuna species in the WCPFC-CA. Noting the importance of understanding stock movements and connectivity, and maintaining a reliable measure of abundance for skipjack, they stated that tuna tagging data are likely to become increasingly important to support work on MSE and harvest strategies. </w:t>
      </w:r>
    </w:p>
    <w:p w14:paraId="74F489A2" w14:textId="77777777" w:rsidR="00792486" w:rsidRPr="004635E5" w:rsidRDefault="00792486" w:rsidP="006633A8">
      <w:pPr>
        <w:autoSpaceDE w:val="0"/>
        <w:autoSpaceDN w:val="0"/>
        <w:adjustRightInd w:val="0"/>
        <w:snapToGrid w:val="0"/>
        <w:jc w:val="both"/>
        <w:rPr>
          <w:bCs/>
          <w:sz w:val="22"/>
          <w:szCs w:val="22"/>
          <w:lang w:val="en-NZ"/>
        </w:rPr>
      </w:pPr>
    </w:p>
    <w:p w14:paraId="6450FD5E" w14:textId="77777777" w:rsidR="006216D1" w:rsidRPr="004635E5" w:rsidRDefault="00DA681A" w:rsidP="00580EA4">
      <w:pPr>
        <w:numPr>
          <w:ilvl w:val="0"/>
          <w:numId w:val="18"/>
        </w:numPr>
        <w:autoSpaceDE w:val="0"/>
        <w:autoSpaceDN w:val="0"/>
        <w:adjustRightInd w:val="0"/>
        <w:snapToGrid w:val="0"/>
        <w:ind w:left="0" w:firstLine="0"/>
        <w:jc w:val="both"/>
        <w:rPr>
          <w:bCs/>
          <w:sz w:val="22"/>
          <w:szCs w:val="22"/>
          <w:lang w:val="en-NZ"/>
        </w:rPr>
      </w:pPr>
      <w:r w:rsidRPr="004635E5">
        <w:rPr>
          <w:bCs/>
          <w:sz w:val="22"/>
          <w:szCs w:val="22"/>
          <w:lang w:val="en-NZ"/>
        </w:rPr>
        <w:t>Korea</w:t>
      </w:r>
      <w:r w:rsidR="00A42047" w:rsidRPr="004635E5">
        <w:rPr>
          <w:bCs/>
          <w:sz w:val="22"/>
          <w:szCs w:val="22"/>
          <w:lang w:val="en-NZ"/>
        </w:rPr>
        <w:t xml:space="preserve"> indicated they would provide </w:t>
      </w:r>
      <w:r w:rsidRPr="004635E5">
        <w:rPr>
          <w:bCs/>
          <w:sz w:val="22"/>
          <w:szCs w:val="22"/>
          <w:lang w:val="en-NZ"/>
        </w:rPr>
        <w:t>add</w:t>
      </w:r>
      <w:r w:rsidR="00A42047" w:rsidRPr="004635E5">
        <w:rPr>
          <w:bCs/>
          <w:sz w:val="22"/>
          <w:szCs w:val="22"/>
          <w:lang w:val="en-NZ"/>
        </w:rPr>
        <w:t>itional</w:t>
      </w:r>
      <w:r w:rsidRPr="004635E5">
        <w:rPr>
          <w:bCs/>
          <w:sz w:val="22"/>
          <w:szCs w:val="22"/>
          <w:lang w:val="en-NZ"/>
        </w:rPr>
        <w:t xml:space="preserve"> </w:t>
      </w:r>
      <w:r w:rsidR="00A42047" w:rsidRPr="004635E5">
        <w:rPr>
          <w:bCs/>
          <w:sz w:val="22"/>
          <w:szCs w:val="22"/>
          <w:lang w:val="en-NZ"/>
        </w:rPr>
        <w:t>financial support (</w:t>
      </w:r>
      <w:r w:rsidRPr="004635E5">
        <w:rPr>
          <w:bCs/>
          <w:sz w:val="22"/>
          <w:szCs w:val="22"/>
          <w:lang w:val="en-NZ"/>
        </w:rPr>
        <w:t>thr</w:t>
      </w:r>
      <w:r w:rsidR="00A42047" w:rsidRPr="004635E5">
        <w:rPr>
          <w:bCs/>
          <w:sz w:val="22"/>
          <w:szCs w:val="22"/>
          <w:lang w:val="en-NZ"/>
        </w:rPr>
        <w:t>ough</w:t>
      </w:r>
      <w:r w:rsidRPr="004635E5">
        <w:rPr>
          <w:bCs/>
          <w:sz w:val="22"/>
          <w:szCs w:val="22"/>
          <w:lang w:val="en-NZ"/>
        </w:rPr>
        <w:t xml:space="preserve"> 2023</w:t>
      </w:r>
      <w:r w:rsidR="00A42047" w:rsidRPr="004635E5">
        <w:rPr>
          <w:bCs/>
          <w:sz w:val="22"/>
          <w:szCs w:val="22"/>
          <w:lang w:val="en-NZ"/>
        </w:rPr>
        <w:t xml:space="preserve">), and thanked the project participants for their </w:t>
      </w:r>
      <w:r w:rsidRPr="004635E5">
        <w:rPr>
          <w:bCs/>
          <w:sz w:val="22"/>
          <w:szCs w:val="22"/>
          <w:lang w:val="en-NZ"/>
        </w:rPr>
        <w:t>work.</w:t>
      </w:r>
      <w:r w:rsidR="006216D1" w:rsidRPr="004635E5">
        <w:rPr>
          <w:bCs/>
          <w:sz w:val="22"/>
          <w:szCs w:val="22"/>
          <w:lang w:val="en-NZ"/>
        </w:rPr>
        <w:t xml:space="preserve"> </w:t>
      </w:r>
      <w:r w:rsidR="00A42047" w:rsidRPr="004635E5">
        <w:rPr>
          <w:bCs/>
          <w:sz w:val="22"/>
          <w:szCs w:val="22"/>
          <w:lang w:val="en-NZ"/>
        </w:rPr>
        <w:t xml:space="preserve">The </w:t>
      </w:r>
      <w:r w:rsidRPr="004635E5">
        <w:rPr>
          <w:bCs/>
          <w:sz w:val="22"/>
          <w:szCs w:val="22"/>
          <w:lang w:val="en-NZ"/>
        </w:rPr>
        <w:t>EU</w:t>
      </w:r>
      <w:r w:rsidR="00A42047" w:rsidRPr="004635E5">
        <w:rPr>
          <w:bCs/>
          <w:sz w:val="22"/>
          <w:szCs w:val="22"/>
          <w:lang w:val="en-NZ"/>
        </w:rPr>
        <w:t xml:space="preserve"> </w:t>
      </w:r>
      <w:r w:rsidRPr="004635E5">
        <w:rPr>
          <w:bCs/>
          <w:sz w:val="22"/>
          <w:szCs w:val="22"/>
          <w:lang w:val="en-NZ"/>
        </w:rPr>
        <w:t>agree</w:t>
      </w:r>
      <w:r w:rsidR="00A42047" w:rsidRPr="004635E5">
        <w:rPr>
          <w:bCs/>
          <w:sz w:val="22"/>
          <w:szCs w:val="22"/>
          <w:lang w:val="en-NZ"/>
        </w:rPr>
        <w:t>d</w:t>
      </w:r>
      <w:r w:rsidRPr="004635E5">
        <w:rPr>
          <w:bCs/>
          <w:sz w:val="22"/>
          <w:szCs w:val="22"/>
          <w:lang w:val="en-NZ"/>
        </w:rPr>
        <w:t xml:space="preserve"> that </w:t>
      </w:r>
      <w:r w:rsidR="00A42047" w:rsidRPr="004635E5">
        <w:rPr>
          <w:bCs/>
          <w:sz w:val="22"/>
          <w:szCs w:val="22"/>
          <w:lang w:val="en-NZ"/>
        </w:rPr>
        <w:t xml:space="preserve">the </w:t>
      </w:r>
      <w:r w:rsidRPr="004635E5">
        <w:rPr>
          <w:bCs/>
          <w:sz w:val="22"/>
          <w:szCs w:val="22"/>
          <w:lang w:val="en-NZ"/>
        </w:rPr>
        <w:t>prog</w:t>
      </w:r>
      <w:r w:rsidR="00A42047" w:rsidRPr="004635E5">
        <w:rPr>
          <w:bCs/>
          <w:sz w:val="22"/>
          <w:szCs w:val="22"/>
          <w:lang w:val="en-NZ"/>
        </w:rPr>
        <w:t>ram</w:t>
      </w:r>
      <w:r w:rsidRPr="004635E5">
        <w:rPr>
          <w:bCs/>
          <w:sz w:val="22"/>
          <w:szCs w:val="22"/>
          <w:lang w:val="en-NZ"/>
        </w:rPr>
        <w:t xml:space="preserve"> </w:t>
      </w:r>
      <w:r w:rsidR="006216D1" w:rsidRPr="004635E5">
        <w:rPr>
          <w:bCs/>
          <w:sz w:val="22"/>
          <w:szCs w:val="22"/>
          <w:lang w:val="en-NZ"/>
        </w:rPr>
        <w:t xml:space="preserve">is </w:t>
      </w:r>
      <w:r w:rsidRPr="004635E5">
        <w:rPr>
          <w:bCs/>
          <w:sz w:val="22"/>
          <w:szCs w:val="22"/>
          <w:lang w:val="en-NZ"/>
        </w:rPr>
        <w:t>essential</w:t>
      </w:r>
      <w:r w:rsidR="00A42047" w:rsidRPr="004635E5">
        <w:rPr>
          <w:bCs/>
          <w:sz w:val="22"/>
          <w:szCs w:val="22"/>
          <w:lang w:val="en-NZ"/>
        </w:rPr>
        <w:t xml:space="preserve"> and</w:t>
      </w:r>
      <w:r w:rsidRPr="004635E5">
        <w:rPr>
          <w:bCs/>
          <w:sz w:val="22"/>
          <w:szCs w:val="22"/>
          <w:lang w:val="en-NZ"/>
        </w:rPr>
        <w:t xml:space="preserve"> needs to be suff</w:t>
      </w:r>
      <w:r w:rsidR="00A42047" w:rsidRPr="004635E5">
        <w:rPr>
          <w:bCs/>
          <w:sz w:val="22"/>
          <w:szCs w:val="22"/>
          <w:lang w:val="en-NZ"/>
        </w:rPr>
        <w:t>iciently</w:t>
      </w:r>
      <w:r w:rsidRPr="004635E5">
        <w:rPr>
          <w:bCs/>
          <w:sz w:val="22"/>
          <w:szCs w:val="22"/>
          <w:lang w:val="en-NZ"/>
        </w:rPr>
        <w:t xml:space="preserve"> funded. </w:t>
      </w:r>
      <w:r w:rsidR="00A42047" w:rsidRPr="004635E5">
        <w:rPr>
          <w:bCs/>
          <w:sz w:val="22"/>
          <w:szCs w:val="22"/>
          <w:lang w:val="en-NZ"/>
        </w:rPr>
        <w:t xml:space="preserve">They noted the </w:t>
      </w:r>
      <w:r w:rsidRPr="004635E5">
        <w:rPr>
          <w:bCs/>
          <w:sz w:val="22"/>
          <w:szCs w:val="22"/>
          <w:lang w:val="en-NZ"/>
        </w:rPr>
        <w:t xml:space="preserve">EU </w:t>
      </w:r>
      <w:r w:rsidR="00A42047" w:rsidRPr="004635E5">
        <w:rPr>
          <w:bCs/>
          <w:sz w:val="22"/>
          <w:szCs w:val="22"/>
          <w:lang w:val="en-NZ"/>
        </w:rPr>
        <w:t>had provided support (€</w:t>
      </w:r>
      <w:r w:rsidRPr="004635E5">
        <w:rPr>
          <w:bCs/>
          <w:sz w:val="22"/>
          <w:szCs w:val="22"/>
          <w:lang w:val="en-NZ"/>
        </w:rPr>
        <w:t>700</w:t>
      </w:r>
      <w:r w:rsidR="00A42047" w:rsidRPr="004635E5">
        <w:rPr>
          <w:bCs/>
          <w:sz w:val="22"/>
          <w:szCs w:val="22"/>
          <w:lang w:val="en-NZ"/>
        </w:rPr>
        <w:t xml:space="preserve">,000) in 2017, and expressed their full support for </w:t>
      </w:r>
      <w:r w:rsidRPr="004635E5">
        <w:rPr>
          <w:bCs/>
          <w:sz w:val="22"/>
          <w:szCs w:val="22"/>
          <w:lang w:val="en-NZ"/>
        </w:rPr>
        <w:t>the w</w:t>
      </w:r>
      <w:r w:rsidR="00A42047" w:rsidRPr="004635E5">
        <w:rPr>
          <w:bCs/>
          <w:sz w:val="22"/>
          <w:szCs w:val="22"/>
          <w:lang w:val="en-NZ"/>
        </w:rPr>
        <w:t>or</w:t>
      </w:r>
      <w:r w:rsidRPr="004635E5">
        <w:rPr>
          <w:bCs/>
          <w:sz w:val="22"/>
          <w:szCs w:val="22"/>
          <w:lang w:val="en-NZ"/>
        </w:rPr>
        <w:t xml:space="preserve">kplan. </w:t>
      </w:r>
      <w:r w:rsidR="00A42047" w:rsidRPr="004635E5">
        <w:rPr>
          <w:bCs/>
          <w:sz w:val="22"/>
          <w:szCs w:val="22"/>
          <w:lang w:val="en-NZ"/>
        </w:rPr>
        <w:t>They s</w:t>
      </w:r>
      <w:r w:rsidR="006216D1" w:rsidRPr="004635E5">
        <w:rPr>
          <w:bCs/>
          <w:sz w:val="22"/>
          <w:szCs w:val="22"/>
          <w:lang w:val="en-NZ"/>
        </w:rPr>
        <w:t>t</w:t>
      </w:r>
      <w:r w:rsidR="00A42047" w:rsidRPr="004635E5">
        <w:rPr>
          <w:bCs/>
          <w:sz w:val="22"/>
          <w:szCs w:val="22"/>
          <w:lang w:val="en-NZ"/>
        </w:rPr>
        <w:t xml:space="preserve">ated they understood the </w:t>
      </w:r>
      <w:r w:rsidRPr="004635E5">
        <w:rPr>
          <w:bCs/>
          <w:sz w:val="22"/>
          <w:szCs w:val="22"/>
          <w:lang w:val="en-NZ"/>
        </w:rPr>
        <w:t xml:space="preserve">rationale </w:t>
      </w:r>
      <w:r w:rsidR="00A42047" w:rsidRPr="004635E5">
        <w:rPr>
          <w:bCs/>
          <w:sz w:val="22"/>
          <w:szCs w:val="22"/>
          <w:lang w:val="en-NZ"/>
        </w:rPr>
        <w:t xml:space="preserve">for acquisition of a vessel, and the </w:t>
      </w:r>
      <w:r w:rsidRPr="004635E5">
        <w:rPr>
          <w:bCs/>
          <w:sz w:val="22"/>
          <w:szCs w:val="22"/>
          <w:lang w:val="en-NZ"/>
        </w:rPr>
        <w:t xml:space="preserve">link with the work of the SC, </w:t>
      </w:r>
      <w:r w:rsidR="0041312E" w:rsidRPr="004635E5">
        <w:rPr>
          <w:bCs/>
          <w:sz w:val="22"/>
          <w:szCs w:val="22"/>
          <w:lang w:val="en-NZ"/>
        </w:rPr>
        <w:t xml:space="preserve">but </w:t>
      </w:r>
      <w:r w:rsidR="00A42047" w:rsidRPr="004635E5">
        <w:rPr>
          <w:bCs/>
          <w:sz w:val="22"/>
          <w:szCs w:val="22"/>
          <w:lang w:val="en-NZ"/>
        </w:rPr>
        <w:t xml:space="preserve">suggested the SC was not the correct forum for assessing the cost-effectiveness of </w:t>
      </w:r>
      <w:r w:rsidR="0041312E" w:rsidRPr="004635E5">
        <w:rPr>
          <w:bCs/>
          <w:sz w:val="22"/>
          <w:szCs w:val="22"/>
          <w:lang w:val="en-NZ"/>
        </w:rPr>
        <w:t>vessel acquisition</w:t>
      </w:r>
      <w:r w:rsidR="00A42047" w:rsidRPr="004635E5">
        <w:rPr>
          <w:bCs/>
          <w:sz w:val="22"/>
          <w:szCs w:val="22"/>
          <w:lang w:val="en-NZ"/>
        </w:rPr>
        <w:t xml:space="preserve"> vs. other options</w:t>
      </w:r>
      <w:r w:rsidR="0041312E" w:rsidRPr="004635E5">
        <w:rPr>
          <w:bCs/>
          <w:sz w:val="22"/>
          <w:szCs w:val="22"/>
          <w:lang w:val="en-NZ"/>
        </w:rPr>
        <w:t>.</w:t>
      </w:r>
      <w:r w:rsidR="006216D1" w:rsidRPr="004635E5">
        <w:rPr>
          <w:bCs/>
          <w:sz w:val="22"/>
          <w:szCs w:val="22"/>
          <w:lang w:val="en-NZ"/>
        </w:rPr>
        <w:t xml:space="preserve"> </w:t>
      </w:r>
      <w:r w:rsidR="0041312E" w:rsidRPr="004635E5">
        <w:rPr>
          <w:bCs/>
          <w:sz w:val="22"/>
          <w:szCs w:val="22"/>
          <w:lang w:val="en-NZ"/>
        </w:rPr>
        <w:t>RMI</w:t>
      </w:r>
      <w:r w:rsidR="00A42047" w:rsidRPr="004635E5">
        <w:rPr>
          <w:bCs/>
          <w:sz w:val="22"/>
          <w:szCs w:val="22"/>
          <w:lang w:val="en-NZ"/>
        </w:rPr>
        <w:t xml:space="preserve"> stated that PNA supported</w:t>
      </w:r>
      <w:r w:rsidR="003B5F06" w:rsidRPr="004635E5">
        <w:rPr>
          <w:bCs/>
          <w:sz w:val="22"/>
          <w:szCs w:val="22"/>
          <w:lang w:val="en-NZ"/>
        </w:rPr>
        <w:t xml:space="preserve"> </w:t>
      </w:r>
      <w:r w:rsidR="0041312E" w:rsidRPr="004635E5">
        <w:rPr>
          <w:bCs/>
          <w:sz w:val="22"/>
          <w:szCs w:val="22"/>
          <w:lang w:val="en-NZ"/>
        </w:rPr>
        <w:t>f</w:t>
      </w:r>
      <w:r w:rsidR="00A42047" w:rsidRPr="004635E5">
        <w:rPr>
          <w:bCs/>
          <w:sz w:val="22"/>
          <w:szCs w:val="22"/>
          <w:lang w:val="en-NZ"/>
        </w:rPr>
        <w:t>u</w:t>
      </w:r>
      <w:r w:rsidR="0041312E" w:rsidRPr="004635E5">
        <w:rPr>
          <w:bCs/>
          <w:sz w:val="22"/>
          <w:szCs w:val="22"/>
          <w:lang w:val="en-NZ"/>
        </w:rPr>
        <w:t xml:space="preserve">nding a new vessel for </w:t>
      </w:r>
      <w:r w:rsidR="00A42047" w:rsidRPr="004635E5">
        <w:rPr>
          <w:bCs/>
          <w:sz w:val="22"/>
          <w:szCs w:val="22"/>
          <w:lang w:val="en-NZ"/>
        </w:rPr>
        <w:t xml:space="preserve">the </w:t>
      </w:r>
      <w:r w:rsidR="0041312E" w:rsidRPr="004635E5">
        <w:rPr>
          <w:bCs/>
          <w:sz w:val="22"/>
          <w:szCs w:val="22"/>
          <w:lang w:val="en-NZ"/>
        </w:rPr>
        <w:t>tagging project.</w:t>
      </w:r>
      <w:r w:rsidR="006216D1" w:rsidRPr="004635E5">
        <w:rPr>
          <w:bCs/>
          <w:sz w:val="22"/>
          <w:szCs w:val="22"/>
          <w:lang w:val="en-NZ"/>
        </w:rPr>
        <w:t xml:space="preserve"> </w:t>
      </w:r>
      <w:r w:rsidR="00A42047" w:rsidRPr="004635E5">
        <w:rPr>
          <w:bCs/>
          <w:sz w:val="22"/>
          <w:szCs w:val="22"/>
          <w:lang w:val="en-NZ"/>
        </w:rPr>
        <w:t xml:space="preserve">Chinese Taipei agreed with the </w:t>
      </w:r>
      <w:r w:rsidR="0041312E" w:rsidRPr="004635E5">
        <w:rPr>
          <w:bCs/>
          <w:sz w:val="22"/>
          <w:szCs w:val="22"/>
          <w:lang w:val="en-NZ"/>
        </w:rPr>
        <w:t>EU</w:t>
      </w:r>
      <w:r w:rsidR="00A42047" w:rsidRPr="004635E5">
        <w:rPr>
          <w:bCs/>
          <w:sz w:val="22"/>
          <w:szCs w:val="22"/>
          <w:lang w:val="en-NZ"/>
        </w:rPr>
        <w:t xml:space="preserve">, noting the need to </w:t>
      </w:r>
      <w:r w:rsidR="0041312E" w:rsidRPr="004635E5">
        <w:rPr>
          <w:bCs/>
          <w:sz w:val="22"/>
          <w:szCs w:val="22"/>
          <w:lang w:val="en-NZ"/>
        </w:rPr>
        <w:t>cons</w:t>
      </w:r>
      <w:r w:rsidR="00A42047" w:rsidRPr="004635E5">
        <w:rPr>
          <w:bCs/>
          <w:sz w:val="22"/>
          <w:szCs w:val="22"/>
          <w:lang w:val="en-NZ"/>
        </w:rPr>
        <w:t>i</w:t>
      </w:r>
      <w:r w:rsidR="0041312E" w:rsidRPr="004635E5">
        <w:rPr>
          <w:bCs/>
          <w:sz w:val="22"/>
          <w:szCs w:val="22"/>
          <w:lang w:val="en-NZ"/>
        </w:rPr>
        <w:t>der fut</w:t>
      </w:r>
      <w:r w:rsidR="00A42047" w:rsidRPr="004635E5">
        <w:rPr>
          <w:bCs/>
          <w:sz w:val="22"/>
          <w:szCs w:val="22"/>
          <w:lang w:val="en-NZ"/>
        </w:rPr>
        <w:t>u</w:t>
      </w:r>
      <w:r w:rsidR="0041312E" w:rsidRPr="004635E5">
        <w:rPr>
          <w:bCs/>
          <w:sz w:val="22"/>
          <w:szCs w:val="22"/>
          <w:lang w:val="en-NZ"/>
        </w:rPr>
        <w:t xml:space="preserve">re costs of all </w:t>
      </w:r>
      <w:r w:rsidR="00A42047" w:rsidRPr="004635E5">
        <w:rPr>
          <w:bCs/>
          <w:sz w:val="22"/>
          <w:szCs w:val="22"/>
          <w:lang w:val="en-NZ"/>
        </w:rPr>
        <w:t>aspects of the program</w:t>
      </w:r>
      <w:r w:rsidR="0041312E" w:rsidRPr="004635E5">
        <w:rPr>
          <w:bCs/>
          <w:sz w:val="22"/>
          <w:szCs w:val="22"/>
          <w:lang w:val="en-NZ"/>
        </w:rPr>
        <w:t>.</w:t>
      </w:r>
      <w:r w:rsidR="006216D1" w:rsidRPr="004635E5">
        <w:rPr>
          <w:bCs/>
          <w:sz w:val="22"/>
          <w:szCs w:val="22"/>
          <w:lang w:val="en-NZ"/>
        </w:rPr>
        <w:t xml:space="preserve"> </w:t>
      </w:r>
      <w:r w:rsidR="0041312E" w:rsidRPr="004635E5">
        <w:rPr>
          <w:bCs/>
          <w:sz w:val="22"/>
          <w:szCs w:val="22"/>
          <w:lang w:val="en-NZ"/>
        </w:rPr>
        <w:t>Palau</w:t>
      </w:r>
      <w:r w:rsidR="00A42047" w:rsidRPr="004635E5">
        <w:rPr>
          <w:bCs/>
          <w:sz w:val="22"/>
          <w:szCs w:val="22"/>
          <w:lang w:val="en-NZ"/>
        </w:rPr>
        <w:t xml:space="preserve"> stated that while they </w:t>
      </w:r>
      <w:r w:rsidR="0041312E" w:rsidRPr="004635E5">
        <w:rPr>
          <w:bCs/>
          <w:sz w:val="22"/>
          <w:szCs w:val="22"/>
          <w:lang w:val="en-NZ"/>
        </w:rPr>
        <w:t>sympathize</w:t>
      </w:r>
      <w:r w:rsidR="00A42047" w:rsidRPr="004635E5">
        <w:rPr>
          <w:bCs/>
          <w:sz w:val="22"/>
          <w:szCs w:val="22"/>
          <w:lang w:val="en-NZ"/>
        </w:rPr>
        <w:t>d</w:t>
      </w:r>
      <w:r w:rsidR="0041312E" w:rsidRPr="004635E5">
        <w:rPr>
          <w:bCs/>
          <w:sz w:val="22"/>
          <w:szCs w:val="22"/>
          <w:lang w:val="en-NZ"/>
        </w:rPr>
        <w:t xml:space="preserve"> wit</w:t>
      </w:r>
      <w:r w:rsidR="00A42047" w:rsidRPr="004635E5">
        <w:rPr>
          <w:bCs/>
          <w:sz w:val="22"/>
          <w:szCs w:val="22"/>
          <w:lang w:val="en-NZ"/>
        </w:rPr>
        <w:t>h</w:t>
      </w:r>
      <w:r w:rsidR="0041312E" w:rsidRPr="004635E5">
        <w:rPr>
          <w:bCs/>
          <w:sz w:val="22"/>
          <w:szCs w:val="22"/>
          <w:lang w:val="en-NZ"/>
        </w:rPr>
        <w:t xml:space="preserve"> </w:t>
      </w:r>
      <w:r w:rsidR="00A42047" w:rsidRPr="004635E5">
        <w:rPr>
          <w:bCs/>
          <w:sz w:val="22"/>
          <w:szCs w:val="22"/>
          <w:lang w:val="en-NZ"/>
        </w:rPr>
        <w:t xml:space="preserve">the EU, they noted the importance of </w:t>
      </w:r>
      <w:r w:rsidR="0041312E" w:rsidRPr="004635E5">
        <w:rPr>
          <w:bCs/>
          <w:sz w:val="22"/>
          <w:szCs w:val="22"/>
          <w:lang w:val="en-NZ"/>
        </w:rPr>
        <w:t xml:space="preserve">data </w:t>
      </w:r>
      <w:r w:rsidR="00A42047" w:rsidRPr="004635E5">
        <w:rPr>
          <w:bCs/>
          <w:sz w:val="22"/>
          <w:szCs w:val="22"/>
          <w:lang w:val="en-NZ"/>
        </w:rPr>
        <w:t xml:space="preserve">gathering </w:t>
      </w:r>
      <w:r w:rsidR="0041312E" w:rsidRPr="004635E5">
        <w:rPr>
          <w:bCs/>
          <w:sz w:val="22"/>
          <w:szCs w:val="22"/>
          <w:lang w:val="en-NZ"/>
        </w:rPr>
        <w:t xml:space="preserve">for </w:t>
      </w:r>
      <w:r w:rsidR="00A42047" w:rsidRPr="004635E5">
        <w:rPr>
          <w:bCs/>
          <w:sz w:val="22"/>
          <w:szCs w:val="22"/>
          <w:lang w:val="en-NZ"/>
        </w:rPr>
        <w:t xml:space="preserve">stock </w:t>
      </w:r>
      <w:r w:rsidR="0041312E" w:rsidRPr="004635E5">
        <w:rPr>
          <w:bCs/>
          <w:sz w:val="22"/>
          <w:szCs w:val="22"/>
          <w:lang w:val="en-NZ"/>
        </w:rPr>
        <w:t>assessment</w:t>
      </w:r>
      <w:r w:rsidR="00A42047" w:rsidRPr="004635E5">
        <w:rPr>
          <w:bCs/>
          <w:sz w:val="22"/>
          <w:szCs w:val="22"/>
          <w:lang w:val="en-NZ"/>
        </w:rPr>
        <w:t>, and voiced their support</w:t>
      </w:r>
      <w:r w:rsidR="0041312E" w:rsidRPr="004635E5">
        <w:rPr>
          <w:bCs/>
          <w:sz w:val="22"/>
          <w:szCs w:val="22"/>
          <w:lang w:val="en-NZ"/>
        </w:rPr>
        <w:t xml:space="preserve"> for all </w:t>
      </w:r>
      <w:r w:rsidR="00A42047" w:rsidRPr="004635E5">
        <w:rPr>
          <w:bCs/>
          <w:sz w:val="22"/>
          <w:szCs w:val="22"/>
          <w:lang w:val="en-NZ"/>
        </w:rPr>
        <w:t xml:space="preserve">the </w:t>
      </w:r>
      <w:r w:rsidR="0041312E" w:rsidRPr="004635E5">
        <w:rPr>
          <w:bCs/>
          <w:sz w:val="22"/>
          <w:szCs w:val="22"/>
          <w:lang w:val="en-NZ"/>
        </w:rPr>
        <w:t>rec</w:t>
      </w:r>
      <w:r w:rsidR="00A42047" w:rsidRPr="004635E5">
        <w:rPr>
          <w:bCs/>
          <w:sz w:val="22"/>
          <w:szCs w:val="22"/>
          <w:lang w:val="en-NZ"/>
        </w:rPr>
        <w:t>ommendation</w:t>
      </w:r>
      <w:r w:rsidR="0041312E" w:rsidRPr="004635E5">
        <w:rPr>
          <w:bCs/>
          <w:sz w:val="22"/>
          <w:szCs w:val="22"/>
          <w:lang w:val="en-NZ"/>
        </w:rPr>
        <w:t xml:space="preserve">s. </w:t>
      </w:r>
      <w:r w:rsidR="002E39E9" w:rsidRPr="004635E5">
        <w:rPr>
          <w:bCs/>
          <w:sz w:val="22"/>
          <w:szCs w:val="22"/>
          <w:lang w:val="en-NZ"/>
        </w:rPr>
        <w:t>New Zealand</w:t>
      </w:r>
      <w:r w:rsidR="00A42047" w:rsidRPr="004635E5">
        <w:rPr>
          <w:bCs/>
          <w:sz w:val="22"/>
          <w:szCs w:val="22"/>
          <w:lang w:val="en-NZ"/>
        </w:rPr>
        <w:t xml:space="preserve"> supported</w:t>
      </w:r>
      <w:r w:rsidR="0041312E" w:rsidRPr="004635E5">
        <w:rPr>
          <w:bCs/>
          <w:sz w:val="22"/>
          <w:szCs w:val="22"/>
          <w:lang w:val="en-NZ"/>
        </w:rPr>
        <w:t xml:space="preserve"> </w:t>
      </w:r>
      <w:r w:rsidR="00A42047" w:rsidRPr="004635E5">
        <w:rPr>
          <w:bCs/>
          <w:sz w:val="22"/>
          <w:szCs w:val="22"/>
          <w:lang w:val="en-NZ"/>
        </w:rPr>
        <w:t xml:space="preserve">the comments </w:t>
      </w:r>
      <w:r w:rsidR="006216D1" w:rsidRPr="004635E5">
        <w:rPr>
          <w:bCs/>
          <w:sz w:val="22"/>
          <w:szCs w:val="22"/>
          <w:lang w:val="en-NZ"/>
        </w:rPr>
        <w:t>from RMI</w:t>
      </w:r>
      <w:r w:rsidR="0041312E" w:rsidRPr="004635E5">
        <w:rPr>
          <w:bCs/>
          <w:sz w:val="22"/>
          <w:szCs w:val="22"/>
          <w:lang w:val="en-NZ"/>
        </w:rPr>
        <w:t xml:space="preserve"> and Palau, </w:t>
      </w:r>
      <w:r w:rsidR="00A42047" w:rsidRPr="004635E5">
        <w:rPr>
          <w:bCs/>
          <w:sz w:val="22"/>
          <w:szCs w:val="22"/>
          <w:lang w:val="en-NZ"/>
        </w:rPr>
        <w:t xml:space="preserve">especially regarding vessel acquisition, and </w:t>
      </w:r>
      <w:r w:rsidR="0041312E" w:rsidRPr="004635E5">
        <w:rPr>
          <w:bCs/>
          <w:sz w:val="22"/>
          <w:szCs w:val="22"/>
          <w:lang w:val="en-NZ"/>
        </w:rPr>
        <w:t>support</w:t>
      </w:r>
      <w:r w:rsidR="00A42047" w:rsidRPr="004635E5">
        <w:rPr>
          <w:bCs/>
          <w:sz w:val="22"/>
          <w:szCs w:val="22"/>
          <w:lang w:val="en-NZ"/>
        </w:rPr>
        <w:t>ed</w:t>
      </w:r>
      <w:r w:rsidR="0041312E" w:rsidRPr="004635E5">
        <w:rPr>
          <w:bCs/>
          <w:sz w:val="22"/>
          <w:szCs w:val="22"/>
          <w:lang w:val="en-NZ"/>
        </w:rPr>
        <w:t xml:space="preserve"> </w:t>
      </w:r>
      <w:r w:rsidR="00A42047" w:rsidRPr="004635E5">
        <w:rPr>
          <w:bCs/>
          <w:sz w:val="22"/>
          <w:szCs w:val="22"/>
          <w:lang w:val="en-NZ"/>
        </w:rPr>
        <w:t xml:space="preserve">efforts by the project to </w:t>
      </w:r>
      <w:r w:rsidR="0041312E" w:rsidRPr="004635E5">
        <w:rPr>
          <w:bCs/>
          <w:sz w:val="22"/>
          <w:szCs w:val="22"/>
          <w:lang w:val="en-NZ"/>
        </w:rPr>
        <w:t xml:space="preserve">make a determination of the best way to move </w:t>
      </w:r>
      <w:r w:rsidR="00A42047" w:rsidRPr="004635E5">
        <w:rPr>
          <w:bCs/>
          <w:sz w:val="22"/>
          <w:szCs w:val="22"/>
          <w:lang w:val="en-NZ"/>
        </w:rPr>
        <w:t>proceed</w:t>
      </w:r>
      <w:r w:rsidR="005F2962">
        <w:rPr>
          <w:rFonts w:eastAsiaTheme="minorEastAsia" w:hint="eastAsia"/>
          <w:bCs/>
          <w:sz w:val="22"/>
          <w:szCs w:val="22"/>
          <w:lang w:val="en-NZ" w:eastAsia="ko-KR"/>
        </w:rPr>
        <w:t>.</w:t>
      </w:r>
      <w:r w:rsidR="00A42047" w:rsidRPr="004635E5">
        <w:rPr>
          <w:bCs/>
          <w:sz w:val="22"/>
          <w:szCs w:val="22"/>
          <w:lang w:val="en-NZ"/>
        </w:rPr>
        <w:t xml:space="preserve"> </w:t>
      </w:r>
      <w:r w:rsidR="0041312E" w:rsidRPr="004635E5">
        <w:rPr>
          <w:bCs/>
          <w:sz w:val="22"/>
          <w:szCs w:val="22"/>
          <w:lang w:val="en-NZ"/>
        </w:rPr>
        <w:t xml:space="preserve">Japan </w:t>
      </w:r>
      <w:r w:rsidR="00A42047" w:rsidRPr="004635E5">
        <w:rPr>
          <w:bCs/>
          <w:sz w:val="22"/>
          <w:szCs w:val="22"/>
          <w:lang w:val="en-NZ"/>
        </w:rPr>
        <w:t xml:space="preserve">stated that while they </w:t>
      </w:r>
      <w:r w:rsidR="0041312E" w:rsidRPr="004635E5">
        <w:rPr>
          <w:bCs/>
          <w:sz w:val="22"/>
          <w:szCs w:val="22"/>
          <w:lang w:val="en-NZ"/>
        </w:rPr>
        <w:t>underst</w:t>
      </w:r>
      <w:r w:rsidR="00A42047" w:rsidRPr="004635E5">
        <w:rPr>
          <w:bCs/>
          <w:sz w:val="22"/>
          <w:szCs w:val="22"/>
          <w:lang w:val="en-NZ"/>
        </w:rPr>
        <w:t>ood the differing perspectives</w:t>
      </w:r>
      <w:r w:rsidR="0041312E" w:rsidRPr="004635E5">
        <w:rPr>
          <w:bCs/>
          <w:sz w:val="22"/>
          <w:szCs w:val="22"/>
          <w:lang w:val="en-NZ"/>
        </w:rPr>
        <w:t xml:space="preserve">, </w:t>
      </w:r>
      <w:r w:rsidR="00A42047" w:rsidRPr="004635E5">
        <w:rPr>
          <w:bCs/>
          <w:sz w:val="22"/>
          <w:szCs w:val="22"/>
          <w:lang w:val="en-NZ"/>
        </w:rPr>
        <w:t xml:space="preserve">they </w:t>
      </w:r>
      <w:r w:rsidR="0041312E" w:rsidRPr="004635E5">
        <w:rPr>
          <w:bCs/>
          <w:sz w:val="22"/>
          <w:szCs w:val="22"/>
          <w:lang w:val="en-NZ"/>
        </w:rPr>
        <w:t>support</w:t>
      </w:r>
      <w:r w:rsidR="00A42047" w:rsidRPr="004635E5">
        <w:rPr>
          <w:bCs/>
          <w:sz w:val="22"/>
          <w:szCs w:val="22"/>
          <w:lang w:val="en-NZ"/>
        </w:rPr>
        <w:t>ed</w:t>
      </w:r>
      <w:r w:rsidR="0041312E" w:rsidRPr="004635E5">
        <w:rPr>
          <w:bCs/>
          <w:sz w:val="22"/>
          <w:szCs w:val="22"/>
          <w:lang w:val="en-NZ"/>
        </w:rPr>
        <w:t xml:space="preserve"> EU</w:t>
      </w:r>
      <w:r w:rsidR="00A42047" w:rsidRPr="004635E5">
        <w:rPr>
          <w:bCs/>
          <w:sz w:val="22"/>
          <w:szCs w:val="22"/>
          <w:lang w:val="en-NZ"/>
        </w:rPr>
        <w:t xml:space="preserve">’s statement. Japan suggested the matter should be referred to the </w:t>
      </w:r>
      <w:r w:rsidR="00C6333E">
        <w:rPr>
          <w:rFonts w:eastAsiaTheme="minorEastAsia" w:hint="eastAsia"/>
          <w:bCs/>
          <w:sz w:val="22"/>
          <w:szCs w:val="22"/>
          <w:lang w:val="en-NZ" w:eastAsia="ko-KR"/>
        </w:rPr>
        <w:t>C</w:t>
      </w:r>
      <w:r w:rsidR="00A42047" w:rsidRPr="004635E5">
        <w:rPr>
          <w:bCs/>
          <w:sz w:val="22"/>
          <w:szCs w:val="22"/>
          <w:lang w:val="en-NZ"/>
        </w:rPr>
        <w:t>ommission to make a decision</w:t>
      </w:r>
      <w:r w:rsidR="005F2962">
        <w:rPr>
          <w:rFonts w:eastAsiaTheme="minorEastAsia" w:hint="eastAsia"/>
          <w:bCs/>
          <w:sz w:val="22"/>
          <w:szCs w:val="22"/>
          <w:lang w:val="en-NZ" w:eastAsia="ko-KR"/>
        </w:rPr>
        <w:t>.</w:t>
      </w:r>
      <w:r w:rsidR="00C6333E">
        <w:rPr>
          <w:rFonts w:eastAsiaTheme="minorEastAsia" w:hint="eastAsia"/>
          <w:bCs/>
          <w:sz w:val="22"/>
          <w:szCs w:val="22"/>
          <w:lang w:val="en-NZ" w:eastAsia="ko-KR"/>
        </w:rPr>
        <w:t xml:space="preserve"> </w:t>
      </w:r>
      <w:r w:rsidR="008476BA" w:rsidRPr="004635E5">
        <w:rPr>
          <w:bCs/>
          <w:sz w:val="22"/>
          <w:szCs w:val="22"/>
          <w:lang w:val="en-NZ"/>
        </w:rPr>
        <w:t>PNG</w:t>
      </w:r>
      <w:r w:rsidR="00A42047" w:rsidRPr="004635E5">
        <w:rPr>
          <w:bCs/>
          <w:sz w:val="22"/>
          <w:szCs w:val="22"/>
          <w:lang w:val="en-NZ"/>
        </w:rPr>
        <w:t xml:space="preserve"> noted its long </w:t>
      </w:r>
      <w:r w:rsidR="008476BA" w:rsidRPr="004635E5">
        <w:rPr>
          <w:bCs/>
          <w:sz w:val="22"/>
          <w:szCs w:val="22"/>
          <w:lang w:val="en-NZ"/>
        </w:rPr>
        <w:t>ex</w:t>
      </w:r>
      <w:r w:rsidR="00A42047" w:rsidRPr="004635E5">
        <w:rPr>
          <w:bCs/>
          <w:sz w:val="22"/>
          <w:szCs w:val="22"/>
          <w:lang w:val="en-NZ"/>
        </w:rPr>
        <w:t>perience</w:t>
      </w:r>
      <w:r w:rsidR="008476BA" w:rsidRPr="004635E5">
        <w:rPr>
          <w:bCs/>
          <w:sz w:val="22"/>
          <w:szCs w:val="22"/>
          <w:lang w:val="en-NZ"/>
        </w:rPr>
        <w:t xml:space="preserve"> with </w:t>
      </w:r>
      <w:r w:rsidR="00A42047" w:rsidRPr="004635E5">
        <w:rPr>
          <w:bCs/>
          <w:sz w:val="22"/>
          <w:szCs w:val="22"/>
          <w:lang w:val="en-NZ"/>
        </w:rPr>
        <w:t xml:space="preserve">the </w:t>
      </w:r>
      <w:r w:rsidR="008476BA" w:rsidRPr="004635E5">
        <w:rPr>
          <w:bCs/>
          <w:sz w:val="22"/>
          <w:szCs w:val="22"/>
          <w:lang w:val="en-NZ"/>
        </w:rPr>
        <w:t>project</w:t>
      </w:r>
      <w:r w:rsidR="00A42047" w:rsidRPr="004635E5">
        <w:rPr>
          <w:bCs/>
          <w:sz w:val="22"/>
          <w:szCs w:val="22"/>
          <w:lang w:val="en-NZ"/>
        </w:rPr>
        <w:t xml:space="preserve"> and</w:t>
      </w:r>
      <w:r w:rsidR="008476BA" w:rsidRPr="004635E5">
        <w:rPr>
          <w:bCs/>
          <w:sz w:val="22"/>
          <w:szCs w:val="22"/>
          <w:lang w:val="en-NZ"/>
        </w:rPr>
        <w:t xml:space="preserve"> support</w:t>
      </w:r>
      <w:r w:rsidR="00A42047" w:rsidRPr="004635E5">
        <w:rPr>
          <w:bCs/>
          <w:sz w:val="22"/>
          <w:szCs w:val="22"/>
          <w:lang w:val="en-NZ"/>
        </w:rPr>
        <w:t>ed</w:t>
      </w:r>
      <w:r w:rsidR="008476BA" w:rsidRPr="004635E5">
        <w:rPr>
          <w:bCs/>
          <w:sz w:val="22"/>
          <w:szCs w:val="22"/>
          <w:lang w:val="en-NZ"/>
        </w:rPr>
        <w:t xml:space="preserve"> its continuation. </w:t>
      </w:r>
    </w:p>
    <w:p w14:paraId="1214E02F" w14:textId="77777777" w:rsidR="00792486" w:rsidRPr="004635E5" w:rsidRDefault="00792486" w:rsidP="006633A8">
      <w:pPr>
        <w:autoSpaceDE w:val="0"/>
        <w:autoSpaceDN w:val="0"/>
        <w:adjustRightInd w:val="0"/>
        <w:snapToGrid w:val="0"/>
        <w:jc w:val="both"/>
        <w:rPr>
          <w:bCs/>
          <w:sz w:val="22"/>
          <w:szCs w:val="22"/>
          <w:lang w:val="en-NZ"/>
        </w:rPr>
      </w:pPr>
    </w:p>
    <w:p w14:paraId="45E9272B" w14:textId="77777777" w:rsidR="008476BA" w:rsidRPr="004635E5" w:rsidRDefault="008476BA" w:rsidP="00580EA4">
      <w:pPr>
        <w:numPr>
          <w:ilvl w:val="0"/>
          <w:numId w:val="18"/>
        </w:numPr>
        <w:autoSpaceDE w:val="0"/>
        <w:autoSpaceDN w:val="0"/>
        <w:adjustRightInd w:val="0"/>
        <w:snapToGrid w:val="0"/>
        <w:ind w:left="0" w:firstLine="0"/>
        <w:jc w:val="both"/>
        <w:rPr>
          <w:bCs/>
          <w:sz w:val="22"/>
          <w:szCs w:val="22"/>
          <w:lang w:val="en-NZ"/>
        </w:rPr>
      </w:pPr>
      <w:r w:rsidRPr="004635E5">
        <w:rPr>
          <w:bCs/>
          <w:sz w:val="22"/>
          <w:szCs w:val="22"/>
          <w:lang w:val="en-NZ"/>
        </w:rPr>
        <w:t>Palau</w:t>
      </w:r>
      <w:r w:rsidR="002428D2" w:rsidRPr="004635E5">
        <w:rPr>
          <w:bCs/>
          <w:sz w:val="22"/>
          <w:szCs w:val="22"/>
          <w:lang w:val="en-NZ"/>
        </w:rPr>
        <w:t xml:space="preserve"> </w:t>
      </w:r>
      <w:r w:rsidRPr="004635E5">
        <w:rPr>
          <w:bCs/>
          <w:sz w:val="22"/>
          <w:szCs w:val="22"/>
          <w:lang w:val="en-NZ"/>
        </w:rPr>
        <w:t>thank</w:t>
      </w:r>
      <w:r w:rsidR="002428D2" w:rsidRPr="004635E5">
        <w:rPr>
          <w:bCs/>
          <w:sz w:val="22"/>
          <w:szCs w:val="22"/>
          <w:lang w:val="en-NZ"/>
        </w:rPr>
        <w:t>ed</w:t>
      </w:r>
      <w:r w:rsidRPr="004635E5">
        <w:rPr>
          <w:bCs/>
          <w:sz w:val="22"/>
          <w:szCs w:val="22"/>
          <w:lang w:val="en-NZ"/>
        </w:rPr>
        <w:t xml:space="preserve"> </w:t>
      </w:r>
      <w:r w:rsidR="002428D2" w:rsidRPr="004635E5">
        <w:rPr>
          <w:bCs/>
          <w:sz w:val="22"/>
          <w:szCs w:val="22"/>
          <w:lang w:val="en-NZ"/>
        </w:rPr>
        <w:t>K</w:t>
      </w:r>
      <w:r w:rsidRPr="004635E5">
        <w:rPr>
          <w:bCs/>
          <w:sz w:val="22"/>
          <w:szCs w:val="22"/>
          <w:lang w:val="en-NZ"/>
        </w:rPr>
        <w:t xml:space="preserve">orea for </w:t>
      </w:r>
      <w:r w:rsidR="002428D2" w:rsidRPr="004635E5">
        <w:rPr>
          <w:bCs/>
          <w:sz w:val="22"/>
          <w:szCs w:val="22"/>
          <w:lang w:val="en-NZ"/>
        </w:rPr>
        <w:t xml:space="preserve">their </w:t>
      </w:r>
      <w:r w:rsidRPr="004635E5">
        <w:rPr>
          <w:bCs/>
          <w:sz w:val="22"/>
          <w:szCs w:val="22"/>
          <w:lang w:val="en-NZ"/>
        </w:rPr>
        <w:t>cont</w:t>
      </w:r>
      <w:r w:rsidR="002428D2" w:rsidRPr="004635E5">
        <w:rPr>
          <w:bCs/>
          <w:sz w:val="22"/>
          <w:szCs w:val="22"/>
          <w:lang w:val="en-NZ"/>
        </w:rPr>
        <w:t>inuing</w:t>
      </w:r>
      <w:r w:rsidRPr="004635E5">
        <w:rPr>
          <w:bCs/>
          <w:sz w:val="22"/>
          <w:szCs w:val="22"/>
          <w:lang w:val="en-NZ"/>
        </w:rPr>
        <w:t xml:space="preserve"> support for the prog</w:t>
      </w:r>
      <w:r w:rsidR="002428D2" w:rsidRPr="004635E5">
        <w:rPr>
          <w:bCs/>
          <w:sz w:val="22"/>
          <w:szCs w:val="22"/>
          <w:lang w:val="en-NZ"/>
        </w:rPr>
        <w:t>ram</w:t>
      </w:r>
      <w:r w:rsidRPr="004635E5">
        <w:rPr>
          <w:bCs/>
          <w:sz w:val="22"/>
          <w:szCs w:val="22"/>
          <w:lang w:val="en-NZ"/>
        </w:rPr>
        <w:t>.</w:t>
      </w:r>
      <w:r w:rsidR="006216D1" w:rsidRPr="004635E5">
        <w:rPr>
          <w:bCs/>
          <w:sz w:val="22"/>
          <w:szCs w:val="22"/>
          <w:lang w:val="en-NZ"/>
        </w:rPr>
        <w:t xml:space="preserve"> </w:t>
      </w:r>
      <w:r w:rsidR="002428D2" w:rsidRPr="004635E5">
        <w:rPr>
          <w:bCs/>
          <w:sz w:val="22"/>
          <w:szCs w:val="22"/>
          <w:lang w:val="en-NZ"/>
        </w:rPr>
        <w:t xml:space="preserve">The </w:t>
      </w:r>
      <w:r w:rsidRPr="004635E5">
        <w:rPr>
          <w:bCs/>
          <w:sz w:val="22"/>
          <w:szCs w:val="22"/>
          <w:lang w:val="en-NZ"/>
        </w:rPr>
        <w:t>EU</w:t>
      </w:r>
      <w:r w:rsidR="002428D2" w:rsidRPr="004635E5">
        <w:rPr>
          <w:bCs/>
          <w:sz w:val="22"/>
          <w:szCs w:val="22"/>
          <w:lang w:val="en-NZ"/>
        </w:rPr>
        <w:t xml:space="preserve"> thanked</w:t>
      </w:r>
      <w:r w:rsidRPr="004635E5">
        <w:rPr>
          <w:bCs/>
          <w:sz w:val="22"/>
          <w:szCs w:val="22"/>
          <w:lang w:val="en-NZ"/>
        </w:rPr>
        <w:t xml:space="preserve"> Korea for their contrib</w:t>
      </w:r>
      <w:r w:rsidR="002428D2" w:rsidRPr="004635E5">
        <w:rPr>
          <w:bCs/>
          <w:sz w:val="22"/>
          <w:szCs w:val="22"/>
          <w:lang w:val="en-NZ"/>
        </w:rPr>
        <w:t xml:space="preserve">ution, and noted the </w:t>
      </w:r>
      <w:r w:rsidRPr="004635E5">
        <w:rPr>
          <w:bCs/>
          <w:sz w:val="22"/>
          <w:szCs w:val="22"/>
          <w:lang w:val="en-NZ"/>
        </w:rPr>
        <w:t>need to l</w:t>
      </w:r>
      <w:r w:rsidR="002428D2" w:rsidRPr="004635E5">
        <w:rPr>
          <w:bCs/>
          <w:sz w:val="22"/>
          <w:szCs w:val="22"/>
          <w:lang w:val="en-NZ"/>
        </w:rPr>
        <w:t>o</w:t>
      </w:r>
      <w:r w:rsidRPr="004635E5">
        <w:rPr>
          <w:bCs/>
          <w:sz w:val="22"/>
          <w:szCs w:val="22"/>
          <w:lang w:val="en-NZ"/>
        </w:rPr>
        <w:t xml:space="preserve">ok at </w:t>
      </w:r>
      <w:r w:rsidR="002428D2" w:rsidRPr="004635E5">
        <w:rPr>
          <w:bCs/>
          <w:sz w:val="22"/>
          <w:szCs w:val="22"/>
          <w:lang w:val="en-NZ"/>
        </w:rPr>
        <w:t xml:space="preserve">the </w:t>
      </w:r>
      <w:r w:rsidRPr="004635E5">
        <w:rPr>
          <w:bCs/>
          <w:sz w:val="22"/>
          <w:szCs w:val="22"/>
          <w:lang w:val="en-NZ"/>
        </w:rPr>
        <w:t>cost</w:t>
      </w:r>
      <w:r w:rsidR="002428D2" w:rsidRPr="004635E5">
        <w:rPr>
          <w:bCs/>
          <w:sz w:val="22"/>
          <w:szCs w:val="22"/>
          <w:lang w:val="en-NZ"/>
        </w:rPr>
        <w:t>-</w:t>
      </w:r>
      <w:r w:rsidRPr="004635E5">
        <w:rPr>
          <w:bCs/>
          <w:sz w:val="22"/>
          <w:szCs w:val="22"/>
          <w:lang w:val="en-NZ"/>
        </w:rPr>
        <w:t xml:space="preserve">effectiveness of this and other projects </w:t>
      </w:r>
      <w:r w:rsidR="002428D2" w:rsidRPr="004635E5">
        <w:rPr>
          <w:bCs/>
          <w:sz w:val="22"/>
          <w:szCs w:val="22"/>
          <w:lang w:val="en-NZ"/>
        </w:rPr>
        <w:t>that were proposed</w:t>
      </w:r>
      <w:r w:rsidRPr="004635E5">
        <w:rPr>
          <w:bCs/>
          <w:sz w:val="22"/>
          <w:szCs w:val="22"/>
          <w:lang w:val="en-NZ"/>
        </w:rPr>
        <w:t xml:space="preserve">. </w:t>
      </w:r>
      <w:r w:rsidR="002428D2" w:rsidRPr="004635E5">
        <w:rPr>
          <w:bCs/>
          <w:sz w:val="22"/>
          <w:szCs w:val="22"/>
          <w:lang w:val="en-NZ"/>
        </w:rPr>
        <w:t xml:space="preserve">They inquired whether the </w:t>
      </w:r>
      <w:r w:rsidRPr="004635E5">
        <w:rPr>
          <w:bCs/>
          <w:sz w:val="22"/>
          <w:szCs w:val="22"/>
          <w:lang w:val="en-NZ"/>
        </w:rPr>
        <w:t xml:space="preserve">work </w:t>
      </w:r>
      <w:r w:rsidR="002428D2" w:rsidRPr="004635E5">
        <w:rPr>
          <w:bCs/>
          <w:sz w:val="22"/>
          <w:szCs w:val="22"/>
          <w:lang w:val="en-NZ"/>
        </w:rPr>
        <w:t xml:space="preserve">was </w:t>
      </w:r>
      <w:r w:rsidRPr="004635E5">
        <w:rPr>
          <w:bCs/>
          <w:sz w:val="22"/>
          <w:szCs w:val="22"/>
          <w:lang w:val="en-NZ"/>
        </w:rPr>
        <w:t xml:space="preserve">commensurate with the </w:t>
      </w:r>
      <w:r w:rsidR="002428D2" w:rsidRPr="004635E5">
        <w:rPr>
          <w:bCs/>
          <w:sz w:val="22"/>
          <w:szCs w:val="22"/>
          <w:lang w:val="en-NZ"/>
        </w:rPr>
        <w:t xml:space="preserve">money </w:t>
      </w:r>
      <w:r w:rsidRPr="004635E5">
        <w:rPr>
          <w:bCs/>
          <w:sz w:val="22"/>
          <w:szCs w:val="22"/>
          <w:lang w:val="en-NZ"/>
        </w:rPr>
        <w:t>spent</w:t>
      </w:r>
      <w:r w:rsidR="002428D2" w:rsidRPr="004635E5">
        <w:rPr>
          <w:bCs/>
          <w:sz w:val="22"/>
          <w:szCs w:val="22"/>
          <w:lang w:val="en-NZ"/>
        </w:rPr>
        <w:t xml:space="preserve">. SPC noted that </w:t>
      </w:r>
      <w:r w:rsidRPr="004635E5">
        <w:rPr>
          <w:bCs/>
          <w:sz w:val="22"/>
          <w:szCs w:val="22"/>
          <w:lang w:val="en-NZ"/>
        </w:rPr>
        <w:t xml:space="preserve">all </w:t>
      </w:r>
      <w:r w:rsidR="002428D2" w:rsidRPr="004635E5">
        <w:rPr>
          <w:bCs/>
          <w:sz w:val="22"/>
          <w:szCs w:val="22"/>
          <w:lang w:val="en-NZ"/>
        </w:rPr>
        <w:t xml:space="preserve">SC </w:t>
      </w:r>
      <w:r w:rsidRPr="004635E5">
        <w:rPr>
          <w:bCs/>
          <w:sz w:val="22"/>
          <w:szCs w:val="22"/>
          <w:lang w:val="en-NZ"/>
        </w:rPr>
        <w:t xml:space="preserve">projects proposed </w:t>
      </w:r>
      <w:r w:rsidR="002428D2" w:rsidRPr="004635E5">
        <w:rPr>
          <w:bCs/>
          <w:sz w:val="22"/>
          <w:szCs w:val="22"/>
          <w:lang w:val="en-NZ"/>
        </w:rPr>
        <w:t xml:space="preserve">were </w:t>
      </w:r>
      <w:r w:rsidRPr="004635E5">
        <w:rPr>
          <w:bCs/>
          <w:sz w:val="22"/>
          <w:szCs w:val="22"/>
          <w:lang w:val="en-NZ"/>
        </w:rPr>
        <w:t xml:space="preserve">assessed by </w:t>
      </w:r>
      <w:r w:rsidR="002428D2" w:rsidRPr="004635E5">
        <w:rPr>
          <w:bCs/>
          <w:sz w:val="22"/>
          <w:szCs w:val="22"/>
          <w:lang w:val="en-NZ"/>
        </w:rPr>
        <w:t xml:space="preserve">the </w:t>
      </w:r>
      <w:r w:rsidRPr="004635E5">
        <w:rPr>
          <w:bCs/>
          <w:sz w:val="22"/>
          <w:szCs w:val="22"/>
          <w:lang w:val="en-NZ"/>
        </w:rPr>
        <w:t xml:space="preserve">FAC, </w:t>
      </w:r>
      <w:r w:rsidR="006216D1" w:rsidRPr="004635E5">
        <w:rPr>
          <w:bCs/>
          <w:sz w:val="22"/>
          <w:szCs w:val="22"/>
          <w:lang w:val="en-NZ"/>
        </w:rPr>
        <w:t xml:space="preserve">with decisions </w:t>
      </w:r>
      <w:r w:rsidR="002428D2" w:rsidRPr="004635E5">
        <w:rPr>
          <w:bCs/>
          <w:sz w:val="22"/>
          <w:szCs w:val="22"/>
          <w:lang w:val="en-NZ"/>
        </w:rPr>
        <w:t>ultimately made by the C</w:t>
      </w:r>
      <w:r w:rsidRPr="004635E5">
        <w:rPr>
          <w:bCs/>
          <w:sz w:val="22"/>
          <w:szCs w:val="22"/>
          <w:lang w:val="en-NZ"/>
        </w:rPr>
        <w:t xml:space="preserve">ommission. </w:t>
      </w:r>
      <w:r w:rsidR="006216D1" w:rsidRPr="004635E5">
        <w:rPr>
          <w:bCs/>
          <w:sz w:val="22"/>
          <w:szCs w:val="22"/>
          <w:lang w:val="en-NZ"/>
        </w:rPr>
        <w:t xml:space="preserve">They stated that no </w:t>
      </w:r>
      <w:r w:rsidRPr="004635E5">
        <w:rPr>
          <w:bCs/>
          <w:sz w:val="22"/>
          <w:szCs w:val="22"/>
          <w:lang w:val="en-NZ"/>
        </w:rPr>
        <w:t xml:space="preserve">divergence </w:t>
      </w:r>
      <w:r w:rsidR="002428D2" w:rsidRPr="004635E5">
        <w:rPr>
          <w:bCs/>
          <w:sz w:val="22"/>
          <w:szCs w:val="22"/>
          <w:lang w:val="en-NZ"/>
        </w:rPr>
        <w:t xml:space="preserve">from that </w:t>
      </w:r>
      <w:r w:rsidRPr="004635E5">
        <w:rPr>
          <w:bCs/>
          <w:sz w:val="22"/>
          <w:szCs w:val="22"/>
          <w:lang w:val="en-NZ"/>
        </w:rPr>
        <w:t>app</w:t>
      </w:r>
      <w:r w:rsidR="002428D2" w:rsidRPr="004635E5">
        <w:rPr>
          <w:bCs/>
          <w:sz w:val="22"/>
          <w:szCs w:val="22"/>
          <w:lang w:val="en-NZ"/>
        </w:rPr>
        <w:t>roach</w:t>
      </w:r>
      <w:r w:rsidRPr="004635E5">
        <w:rPr>
          <w:bCs/>
          <w:sz w:val="22"/>
          <w:szCs w:val="22"/>
          <w:lang w:val="en-NZ"/>
        </w:rPr>
        <w:t xml:space="preserve"> </w:t>
      </w:r>
      <w:r w:rsidR="002428D2" w:rsidRPr="004635E5">
        <w:rPr>
          <w:bCs/>
          <w:sz w:val="22"/>
          <w:szCs w:val="22"/>
          <w:lang w:val="en-NZ"/>
        </w:rPr>
        <w:t xml:space="preserve">was </w:t>
      </w:r>
      <w:r w:rsidRPr="004635E5">
        <w:rPr>
          <w:bCs/>
          <w:sz w:val="22"/>
          <w:szCs w:val="22"/>
          <w:lang w:val="en-NZ"/>
        </w:rPr>
        <w:t xml:space="preserve">being suggested for this project. </w:t>
      </w:r>
    </w:p>
    <w:p w14:paraId="1C906A06" w14:textId="77777777" w:rsidR="00792486" w:rsidRPr="004635E5" w:rsidRDefault="00792486" w:rsidP="006633A8">
      <w:pPr>
        <w:autoSpaceDE w:val="0"/>
        <w:autoSpaceDN w:val="0"/>
        <w:adjustRightInd w:val="0"/>
        <w:snapToGrid w:val="0"/>
        <w:jc w:val="both"/>
        <w:rPr>
          <w:bCs/>
          <w:sz w:val="22"/>
          <w:szCs w:val="22"/>
          <w:lang w:val="en-NZ"/>
        </w:rPr>
      </w:pPr>
    </w:p>
    <w:p w14:paraId="6B403401" w14:textId="77777777" w:rsidR="006D34D1" w:rsidRPr="004635E5" w:rsidRDefault="002428D2" w:rsidP="00580EA4">
      <w:pPr>
        <w:numPr>
          <w:ilvl w:val="0"/>
          <w:numId w:val="18"/>
        </w:numPr>
        <w:autoSpaceDE w:val="0"/>
        <w:autoSpaceDN w:val="0"/>
        <w:adjustRightInd w:val="0"/>
        <w:snapToGrid w:val="0"/>
        <w:ind w:left="0" w:firstLine="0"/>
        <w:jc w:val="both"/>
        <w:rPr>
          <w:bCs/>
          <w:sz w:val="22"/>
          <w:szCs w:val="22"/>
          <w:lang w:val="en-NZ"/>
        </w:rPr>
      </w:pPr>
      <w:r w:rsidRPr="004635E5">
        <w:rPr>
          <w:bCs/>
          <w:sz w:val="22"/>
          <w:szCs w:val="22"/>
          <w:lang w:val="en-NZ"/>
        </w:rPr>
        <w:t xml:space="preserve">The </w:t>
      </w:r>
      <w:r w:rsidR="008476BA" w:rsidRPr="004635E5">
        <w:rPr>
          <w:bCs/>
          <w:sz w:val="22"/>
          <w:szCs w:val="22"/>
          <w:lang w:val="en-NZ"/>
        </w:rPr>
        <w:t>USA</w:t>
      </w:r>
      <w:r w:rsidRPr="004635E5">
        <w:rPr>
          <w:bCs/>
          <w:sz w:val="22"/>
          <w:szCs w:val="22"/>
          <w:lang w:val="en-NZ"/>
        </w:rPr>
        <w:t xml:space="preserve"> asked whether the project had been </w:t>
      </w:r>
      <w:r w:rsidR="008476BA" w:rsidRPr="004635E5">
        <w:rPr>
          <w:bCs/>
          <w:sz w:val="22"/>
          <w:szCs w:val="22"/>
          <w:lang w:val="en-NZ"/>
        </w:rPr>
        <w:t>rev</w:t>
      </w:r>
      <w:r w:rsidRPr="004635E5">
        <w:rPr>
          <w:bCs/>
          <w:sz w:val="22"/>
          <w:szCs w:val="22"/>
          <w:lang w:val="en-NZ"/>
        </w:rPr>
        <w:t xml:space="preserve">iewed </w:t>
      </w:r>
      <w:r w:rsidR="008476BA" w:rsidRPr="004635E5">
        <w:rPr>
          <w:bCs/>
          <w:sz w:val="22"/>
          <w:szCs w:val="22"/>
          <w:lang w:val="en-NZ"/>
        </w:rPr>
        <w:t>in an ISG</w:t>
      </w:r>
      <w:r w:rsidR="006216D1" w:rsidRPr="004635E5">
        <w:rPr>
          <w:bCs/>
          <w:sz w:val="22"/>
          <w:szCs w:val="22"/>
          <w:lang w:val="en-NZ"/>
        </w:rPr>
        <w:t>.</w:t>
      </w:r>
      <w:r w:rsidRPr="004635E5">
        <w:rPr>
          <w:bCs/>
          <w:sz w:val="22"/>
          <w:szCs w:val="22"/>
          <w:lang w:val="en-NZ"/>
        </w:rPr>
        <w:t xml:space="preserve"> The SC Chair stated that ISG</w:t>
      </w:r>
      <w:r w:rsidR="00070CD5" w:rsidRPr="004635E5">
        <w:rPr>
          <w:bCs/>
          <w:sz w:val="22"/>
          <w:szCs w:val="22"/>
          <w:lang w:val="en-NZ"/>
        </w:rPr>
        <w:t>-08</w:t>
      </w:r>
      <w:r w:rsidRPr="004635E5">
        <w:rPr>
          <w:bCs/>
          <w:sz w:val="22"/>
          <w:szCs w:val="22"/>
          <w:lang w:val="en-NZ"/>
        </w:rPr>
        <w:t xml:space="preserve"> had </w:t>
      </w:r>
      <w:r w:rsidR="008476BA" w:rsidRPr="004635E5">
        <w:rPr>
          <w:bCs/>
          <w:sz w:val="22"/>
          <w:szCs w:val="22"/>
          <w:lang w:val="en-NZ"/>
        </w:rPr>
        <w:t>decided to retain the project, but no</w:t>
      </w:r>
      <w:r w:rsidRPr="004635E5">
        <w:rPr>
          <w:bCs/>
          <w:sz w:val="22"/>
          <w:szCs w:val="22"/>
          <w:lang w:val="en-NZ"/>
        </w:rPr>
        <w:t>t agreed</w:t>
      </w:r>
      <w:r w:rsidR="008476BA" w:rsidRPr="004635E5">
        <w:rPr>
          <w:bCs/>
          <w:sz w:val="22"/>
          <w:szCs w:val="22"/>
          <w:lang w:val="en-NZ"/>
        </w:rPr>
        <w:t xml:space="preserve"> on </w:t>
      </w:r>
      <w:r w:rsidRPr="004635E5">
        <w:rPr>
          <w:bCs/>
          <w:sz w:val="22"/>
          <w:szCs w:val="22"/>
          <w:lang w:val="en-NZ"/>
        </w:rPr>
        <w:t xml:space="preserve">a </w:t>
      </w:r>
      <w:r w:rsidR="008476BA" w:rsidRPr="004635E5">
        <w:rPr>
          <w:bCs/>
          <w:sz w:val="22"/>
          <w:szCs w:val="22"/>
          <w:lang w:val="en-NZ"/>
        </w:rPr>
        <w:t xml:space="preserve">ranking. </w:t>
      </w:r>
      <w:r w:rsidR="006D34D1" w:rsidRPr="004635E5">
        <w:rPr>
          <w:bCs/>
          <w:sz w:val="22"/>
          <w:szCs w:val="22"/>
          <w:lang w:val="en-NZ"/>
        </w:rPr>
        <w:t>RMI</w:t>
      </w:r>
      <w:r w:rsidRPr="004635E5">
        <w:rPr>
          <w:bCs/>
          <w:sz w:val="22"/>
          <w:szCs w:val="22"/>
          <w:lang w:val="en-NZ"/>
        </w:rPr>
        <w:t xml:space="preserve"> on behalf of the </w:t>
      </w:r>
      <w:r w:rsidR="006D34D1" w:rsidRPr="004635E5">
        <w:rPr>
          <w:bCs/>
          <w:sz w:val="22"/>
          <w:szCs w:val="22"/>
          <w:lang w:val="en-NZ"/>
        </w:rPr>
        <w:t xml:space="preserve">PNA </w:t>
      </w:r>
      <w:r w:rsidRPr="004635E5">
        <w:rPr>
          <w:bCs/>
          <w:sz w:val="22"/>
          <w:szCs w:val="22"/>
          <w:lang w:val="en-NZ"/>
        </w:rPr>
        <w:t xml:space="preserve">stated that </w:t>
      </w:r>
      <w:r w:rsidR="006D34D1" w:rsidRPr="004635E5">
        <w:rPr>
          <w:bCs/>
          <w:sz w:val="22"/>
          <w:szCs w:val="22"/>
          <w:lang w:val="en-NZ"/>
        </w:rPr>
        <w:t xml:space="preserve">at least </w:t>
      </w:r>
      <w:r w:rsidRPr="004635E5">
        <w:rPr>
          <w:bCs/>
          <w:sz w:val="22"/>
          <w:szCs w:val="22"/>
          <w:lang w:val="en-NZ"/>
        </w:rPr>
        <w:t xml:space="preserve">two </w:t>
      </w:r>
      <w:r w:rsidR="006D34D1" w:rsidRPr="004635E5">
        <w:rPr>
          <w:bCs/>
          <w:sz w:val="22"/>
          <w:szCs w:val="22"/>
          <w:lang w:val="en-NZ"/>
        </w:rPr>
        <w:t xml:space="preserve">projects </w:t>
      </w:r>
      <w:r w:rsidRPr="004635E5">
        <w:rPr>
          <w:bCs/>
          <w:sz w:val="22"/>
          <w:szCs w:val="22"/>
          <w:lang w:val="en-NZ"/>
        </w:rPr>
        <w:t xml:space="preserve">in the </w:t>
      </w:r>
      <w:r w:rsidR="006D34D1" w:rsidRPr="004635E5">
        <w:rPr>
          <w:bCs/>
          <w:sz w:val="22"/>
          <w:szCs w:val="22"/>
          <w:lang w:val="en-NZ"/>
        </w:rPr>
        <w:t>draft w</w:t>
      </w:r>
      <w:r w:rsidRPr="004635E5">
        <w:rPr>
          <w:bCs/>
          <w:sz w:val="22"/>
          <w:szCs w:val="22"/>
          <w:lang w:val="en-NZ"/>
        </w:rPr>
        <w:t>or</w:t>
      </w:r>
      <w:r w:rsidR="006D34D1" w:rsidRPr="004635E5">
        <w:rPr>
          <w:bCs/>
          <w:sz w:val="22"/>
          <w:szCs w:val="22"/>
          <w:lang w:val="en-NZ"/>
        </w:rPr>
        <w:t xml:space="preserve">kplan </w:t>
      </w:r>
      <w:r w:rsidRPr="004635E5">
        <w:rPr>
          <w:bCs/>
          <w:sz w:val="22"/>
          <w:szCs w:val="22"/>
          <w:lang w:val="en-NZ"/>
        </w:rPr>
        <w:t xml:space="preserve">were </w:t>
      </w:r>
      <w:r w:rsidR="006D34D1" w:rsidRPr="004635E5">
        <w:rPr>
          <w:bCs/>
          <w:sz w:val="22"/>
          <w:szCs w:val="22"/>
          <w:lang w:val="en-NZ"/>
        </w:rPr>
        <w:t>less imp</w:t>
      </w:r>
      <w:r w:rsidRPr="004635E5">
        <w:rPr>
          <w:bCs/>
          <w:sz w:val="22"/>
          <w:szCs w:val="22"/>
          <w:lang w:val="en-NZ"/>
        </w:rPr>
        <w:t xml:space="preserve">ortant </w:t>
      </w:r>
      <w:r w:rsidR="006D34D1" w:rsidRPr="004635E5">
        <w:rPr>
          <w:bCs/>
          <w:sz w:val="22"/>
          <w:szCs w:val="22"/>
          <w:lang w:val="en-NZ"/>
        </w:rPr>
        <w:t xml:space="preserve">to </w:t>
      </w:r>
      <w:r w:rsidRPr="004635E5">
        <w:rPr>
          <w:bCs/>
          <w:sz w:val="22"/>
          <w:szCs w:val="22"/>
          <w:lang w:val="en-NZ"/>
        </w:rPr>
        <w:t xml:space="preserve">the </w:t>
      </w:r>
      <w:r w:rsidR="006D34D1" w:rsidRPr="004635E5">
        <w:rPr>
          <w:bCs/>
          <w:sz w:val="22"/>
          <w:szCs w:val="22"/>
          <w:lang w:val="en-NZ"/>
        </w:rPr>
        <w:t xml:space="preserve">PNA than </w:t>
      </w:r>
      <w:r w:rsidRPr="004635E5">
        <w:rPr>
          <w:bCs/>
          <w:sz w:val="22"/>
          <w:szCs w:val="22"/>
          <w:lang w:val="en-NZ"/>
        </w:rPr>
        <w:t>the PTTP</w:t>
      </w:r>
      <w:r w:rsidR="006D34D1" w:rsidRPr="004635E5">
        <w:rPr>
          <w:bCs/>
          <w:sz w:val="22"/>
          <w:szCs w:val="22"/>
          <w:lang w:val="en-NZ"/>
        </w:rPr>
        <w:t>.</w:t>
      </w:r>
      <w:r w:rsidR="00F81EF0">
        <w:rPr>
          <w:bCs/>
          <w:sz w:val="22"/>
          <w:szCs w:val="22"/>
          <w:lang w:val="en-NZ"/>
        </w:rPr>
        <w:t xml:space="preserve"> </w:t>
      </w:r>
      <w:r w:rsidRPr="004635E5">
        <w:rPr>
          <w:bCs/>
          <w:sz w:val="22"/>
          <w:szCs w:val="22"/>
          <w:lang w:val="en-NZ"/>
        </w:rPr>
        <w:t xml:space="preserve">The </w:t>
      </w:r>
      <w:r w:rsidR="006D34D1" w:rsidRPr="004635E5">
        <w:rPr>
          <w:bCs/>
          <w:sz w:val="22"/>
          <w:szCs w:val="22"/>
          <w:lang w:val="en-NZ"/>
        </w:rPr>
        <w:t xml:space="preserve">EU </w:t>
      </w:r>
      <w:r w:rsidRPr="004635E5">
        <w:rPr>
          <w:bCs/>
          <w:sz w:val="22"/>
          <w:szCs w:val="22"/>
          <w:lang w:val="en-NZ"/>
        </w:rPr>
        <w:t xml:space="preserve">noted that CCMs </w:t>
      </w:r>
      <w:r w:rsidR="006D34D1" w:rsidRPr="004635E5">
        <w:rPr>
          <w:bCs/>
          <w:sz w:val="22"/>
          <w:szCs w:val="22"/>
          <w:lang w:val="en-NZ"/>
        </w:rPr>
        <w:t>agree</w:t>
      </w:r>
      <w:r w:rsidRPr="004635E5">
        <w:rPr>
          <w:bCs/>
          <w:sz w:val="22"/>
          <w:szCs w:val="22"/>
          <w:lang w:val="en-NZ"/>
        </w:rPr>
        <w:t>d</w:t>
      </w:r>
      <w:r w:rsidR="006D34D1" w:rsidRPr="004635E5">
        <w:rPr>
          <w:bCs/>
          <w:sz w:val="22"/>
          <w:szCs w:val="22"/>
          <w:lang w:val="en-NZ"/>
        </w:rPr>
        <w:t xml:space="preserve"> about </w:t>
      </w:r>
      <w:r w:rsidRPr="004635E5">
        <w:rPr>
          <w:bCs/>
          <w:sz w:val="22"/>
          <w:szCs w:val="22"/>
          <w:lang w:val="en-NZ"/>
        </w:rPr>
        <w:t xml:space="preserve">the importance of the </w:t>
      </w:r>
      <w:r w:rsidR="006D34D1" w:rsidRPr="004635E5">
        <w:rPr>
          <w:bCs/>
          <w:sz w:val="22"/>
          <w:szCs w:val="22"/>
          <w:lang w:val="en-NZ"/>
        </w:rPr>
        <w:t>tagging prog</w:t>
      </w:r>
      <w:r w:rsidRPr="004635E5">
        <w:rPr>
          <w:bCs/>
          <w:sz w:val="22"/>
          <w:szCs w:val="22"/>
          <w:lang w:val="en-NZ"/>
        </w:rPr>
        <w:t xml:space="preserve">ram, the need to continue it, and were pleased to </w:t>
      </w:r>
      <w:r w:rsidR="006D34D1" w:rsidRPr="004635E5">
        <w:rPr>
          <w:bCs/>
          <w:sz w:val="22"/>
          <w:szCs w:val="22"/>
          <w:lang w:val="en-NZ"/>
        </w:rPr>
        <w:t xml:space="preserve">see there </w:t>
      </w:r>
      <w:r w:rsidRPr="004635E5">
        <w:rPr>
          <w:bCs/>
          <w:sz w:val="22"/>
          <w:szCs w:val="22"/>
          <w:lang w:val="en-NZ"/>
        </w:rPr>
        <w:t xml:space="preserve">was </w:t>
      </w:r>
      <w:r w:rsidR="006D34D1" w:rsidRPr="004635E5">
        <w:rPr>
          <w:bCs/>
          <w:sz w:val="22"/>
          <w:szCs w:val="22"/>
          <w:lang w:val="en-NZ"/>
        </w:rPr>
        <w:t xml:space="preserve">a financial commitment </w:t>
      </w:r>
      <w:r w:rsidRPr="004635E5">
        <w:rPr>
          <w:bCs/>
          <w:sz w:val="22"/>
          <w:szCs w:val="22"/>
          <w:lang w:val="en-NZ"/>
        </w:rPr>
        <w:t xml:space="preserve">by </w:t>
      </w:r>
      <w:r w:rsidR="003646E9">
        <w:rPr>
          <w:rFonts w:eastAsiaTheme="minorEastAsia" w:hint="eastAsia"/>
          <w:bCs/>
          <w:sz w:val="22"/>
          <w:szCs w:val="22"/>
          <w:lang w:val="en-NZ" w:eastAsia="ko-KR"/>
        </w:rPr>
        <w:t>CC</w:t>
      </w:r>
      <w:r w:rsidRPr="004635E5">
        <w:rPr>
          <w:bCs/>
          <w:sz w:val="22"/>
          <w:szCs w:val="22"/>
          <w:lang w:val="en-NZ"/>
        </w:rPr>
        <w:t xml:space="preserve">Ms. However, they stated that </w:t>
      </w:r>
      <w:r w:rsidR="006D34D1" w:rsidRPr="004635E5">
        <w:rPr>
          <w:bCs/>
          <w:sz w:val="22"/>
          <w:szCs w:val="22"/>
          <w:lang w:val="en-NZ"/>
        </w:rPr>
        <w:t xml:space="preserve">how </w:t>
      </w:r>
      <w:r w:rsidRPr="004635E5">
        <w:rPr>
          <w:bCs/>
          <w:sz w:val="22"/>
          <w:szCs w:val="22"/>
          <w:lang w:val="en-NZ"/>
        </w:rPr>
        <w:t xml:space="preserve">the tagging should be </w:t>
      </w:r>
      <w:r w:rsidR="006D34D1" w:rsidRPr="004635E5">
        <w:rPr>
          <w:bCs/>
          <w:sz w:val="22"/>
          <w:szCs w:val="22"/>
          <w:lang w:val="en-NZ"/>
        </w:rPr>
        <w:t>done</w:t>
      </w:r>
      <w:r w:rsidRPr="004635E5">
        <w:rPr>
          <w:bCs/>
          <w:sz w:val="22"/>
          <w:szCs w:val="22"/>
          <w:lang w:val="en-NZ"/>
        </w:rPr>
        <w:t xml:space="preserve"> — </w:t>
      </w:r>
      <w:r w:rsidR="006D34D1" w:rsidRPr="004635E5">
        <w:rPr>
          <w:bCs/>
          <w:sz w:val="22"/>
          <w:szCs w:val="22"/>
          <w:lang w:val="en-NZ"/>
        </w:rPr>
        <w:t>i</w:t>
      </w:r>
      <w:r w:rsidRPr="004635E5">
        <w:rPr>
          <w:bCs/>
          <w:sz w:val="22"/>
          <w:szCs w:val="22"/>
          <w:lang w:val="en-NZ"/>
        </w:rPr>
        <w:t>n terms of cost-</w:t>
      </w:r>
      <w:r w:rsidR="006D34D1" w:rsidRPr="004635E5">
        <w:rPr>
          <w:bCs/>
          <w:sz w:val="22"/>
          <w:szCs w:val="22"/>
          <w:lang w:val="en-NZ"/>
        </w:rPr>
        <w:t>effective</w:t>
      </w:r>
      <w:r w:rsidRPr="004635E5">
        <w:rPr>
          <w:bCs/>
          <w:sz w:val="22"/>
          <w:szCs w:val="22"/>
          <w:lang w:val="en-NZ"/>
        </w:rPr>
        <w:t>ness and resourc</w:t>
      </w:r>
      <w:r w:rsidR="006D34D1" w:rsidRPr="004635E5">
        <w:rPr>
          <w:bCs/>
          <w:sz w:val="22"/>
          <w:szCs w:val="22"/>
          <w:lang w:val="en-NZ"/>
        </w:rPr>
        <w:t>ing</w:t>
      </w:r>
      <w:r w:rsidRPr="004635E5">
        <w:rPr>
          <w:bCs/>
          <w:sz w:val="22"/>
          <w:szCs w:val="22"/>
          <w:lang w:val="en-NZ"/>
        </w:rPr>
        <w:t xml:space="preserve"> —</w:t>
      </w:r>
      <w:r w:rsidR="006D34D1" w:rsidRPr="004635E5">
        <w:rPr>
          <w:bCs/>
          <w:sz w:val="22"/>
          <w:szCs w:val="22"/>
          <w:lang w:val="en-NZ"/>
        </w:rPr>
        <w:t xml:space="preserve"> </w:t>
      </w:r>
      <w:r w:rsidRPr="004635E5">
        <w:rPr>
          <w:bCs/>
          <w:sz w:val="22"/>
          <w:szCs w:val="22"/>
          <w:lang w:val="en-NZ"/>
        </w:rPr>
        <w:t>was not a topic that should be decided by the SC, and should possibly be proposed to the FAC</w:t>
      </w:r>
      <w:r w:rsidR="006D34D1" w:rsidRPr="004635E5">
        <w:rPr>
          <w:bCs/>
          <w:sz w:val="22"/>
          <w:szCs w:val="22"/>
          <w:lang w:val="en-NZ"/>
        </w:rPr>
        <w:t>.</w:t>
      </w:r>
      <w:r w:rsidR="006216D1" w:rsidRPr="004635E5">
        <w:rPr>
          <w:bCs/>
          <w:sz w:val="22"/>
          <w:szCs w:val="22"/>
          <w:lang w:val="en-NZ"/>
        </w:rPr>
        <w:t xml:space="preserve"> </w:t>
      </w:r>
      <w:r w:rsidR="002E39E9" w:rsidRPr="004635E5">
        <w:rPr>
          <w:bCs/>
          <w:sz w:val="22"/>
          <w:szCs w:val="22"/>
          <w:lang w:val="en-NZ"/>
        </w:rPr>
        <w:t>New Zealand</w:t>
      </w:r>
      <w:r w:rsidRPr="004635E5">
        <w:rPr>
          <w:bCs/>
          <w:sz w:val="22"/>
          <w:szCs w:val="22"/>
          <w:lang w:val="en-NZ"/>
        </w:rPr>
        <w:t xml:space="preserve">, supported by Palau, stated its view that the </w:t>
      </w:r>
      <w:r w:rsidR="006D34D1" w:rsidRPr="004635E5">
        <w:rPr>
          <w:bCs/>
          <w:sz w:val="22"/>
          <w:szCs w:val="22"/>
          <w:lang w:val="en-NZ"/>
        </w:rPr>
        <w:t>SC</w:t>
      </w:r>
      <w:r w:rsidRPr="004635E5">
        <w:rPr>
          <w:bCs/>
          <w:sz w:val="22"/>
          <w:szCs w:val="22"/>
          <w:lang w:val="en-NZ"/>
        </w:rPr>
        <w:t>,</w:t>
      </w:r>
      <w:r w:rsidR="006D34D1" w:rsidRPr="004635E5">
        <w:rPr>
          <w:bCs/>
          <w:sz w:val="22"/>
          <w:szCs w:val="22"/>
          <w:lang w:val="en-NZ"/>
        </w:rPr>
        <w:t xml:space="preserve"> </w:t>
      </w:r>
      <w:r w:rsidRPr="004635E5">
        <w:rPr>
          <w:bCs/>
          <w:sz w:val="22"/>
          <w:szCs w:val="22"/>
          <w:lang w:val="en-NZ"/>
        </w:rPr>
        <w:t xml:space="preserve">through the </w:t>
      </w:r>
      <w:r w:rsidR="006216D1" w:rsidRPr="004635E5">
        <w:rPr>
          <w:bCs/>
          <w:sz w:val="22"/>
          <w:szCs w:val="22"/>
          <w:lang w:val="en-NZ"/>
        </w:rPr>
        <w:t>C</w:t>
      </w:r>
      <w:r w:rsidR="006D34D1" w:rsidRPr="004635E5">
        <w:rPr>
          <w:bCs/>
          <w:sz w:val="22"/>
          <w:szCs w:val="22"/>
          <w:lang w:val="en-NZ"/>
        </w:rPr>
        <w:t>omm</w:t>
      </w:r>
      <w:r w:rsidRPr="004635E5">
        <w:rPr>
          <w:bCs/>
          <w:sz w:val="22"/>
          <w:szCs w:val="22"/>
          <w:lang w:val="en-NZ"/>
        </w:rPr>
        <w:t>ission</w:t>
      </w:r>
      <w:r w:rsidR="00782815" w:rsidRPr="004635E5">
        <w:rPr>
          <w:bCs/>
          <w:sz w:val="22"/>
          <w:szCs w:val="22"/>
          <w:lang w:val="en-NZ"/>
        </w:rPr>
        <w:t xml:space="preserve">, </w:t>
      </w:r>
      <w:r w:rsidR="006216D1" w:rsidRPr="004635E5">
        <w:rPr>
          <w:bCs/>
          <w:sz w:val="22"/>
          <w:szCs w:val="22"/>
          <w:lang w:val="en-NZ"/>
        </w:rPr>
        <w:t>sh</w:t>
      </w:r>
      <w:r w:rsidR="00782815" w:rsidRPr="004635E5">
        <w:rPr>
          <w:bCs/>
          <w:sz w:val="22"/>
          <w:szCs w:val="22"/>
          <w:lang w:val="en-NZ"/>
        </w:rPr>
        <w:t>ould contract a con</w:t>
      </w:r>
      <w:r w:rsidR="006D34D1" w:rsidRPr="004635E5">
        <w:rPr>
          <w:bCs/>
          <w:sz w:val="22"/>
          <w:szCs w:val="22"/>
          <w:lang w:val="en-NZ"/>
        </w:rPr>
        <w:t>sult</w:t>
      </w:r>
      <w:r w:rsidR="00782815" w:rsidRPr="004635E5">
        <w:rPr>
          <w:bCs/>
          <w:sz w:val="22"/>
          <w:szCs w:val="22"/>
          <w:lang w:val="en-NZ"/>
        </w:rPr>
        <w:t>a</w:t>
      </w:r>
      <w:r w:rsidR="006D34D1" w:rsidRPr="004635E5">
        <w:rPr>
          <w:bCs/>
          <w:sz w:val="22"/>
          <w:szCs w:val="22"/>
          <w:lang w:val="en-NZ"/>
        </w:rPr>
        <w:t xml:space="preserve">nt to </w:t>
      </w:r>
      <w:r w:rsidR="00782815" w:rsidRPr="004635E5">
        <w:rPr>
          <w:bCs/>
          <w:sz w:val="22"/>
          <w:szCs w:val="22"/>
          <w:lang w:val="en-NZ"/>
        </w:rPr>
        <w:t xml:space="preserve">undertake </w:t>
      </w:r>
      <w:r w:rsidR="006D34D1" w:rsidRPr="004635E5">
        <w:rPr>
          <w:bCs/>
          <w:sz w:val="22"/>
          <w:szCs w:val="22"/>
          <w:lang w:val="en-NZ"/>
        </w:rPr>
        <w:t>a study based on TORs provided</w:t>
      </w:r>
      <w:r w:rsidR="00782815" w:rsidRPr="004635E5">
        <w:rPr>
          <w:bCs/>
          <w:sz w:val="22"/>
          <w:szCs w:val="22"/>
          <w:lang w:val="en-NZ"/>
        </w:rPr>
        <w:t>. One issue</w:t>
      </w:r>
      <w:r w:rsidR="006D34D1" w:rsidRPr="004635E5">
        <w:rPr>
          <w:bCs/>
          <w:sz w:val="22"/>
          <w:szCs w:val="22"/>
          <w:lang w:val="en-NZ"/>
        </w:rPr>
        <w:t xml:space="preserve"> woul</w:t>
      </w:r>
      <w:r w:rsidR="00782815" w:rsidRPr="004635E5">
        <w:rPr>
          <w:bCs/>
          <w:sz w:val="22"/>
          <w:szCs w:val="22"/>
          <w:lang w:val="en-NZ"/>
        </w:rPr>
        <w:t>d</w:t>
      </w:r>
      <w:r w:rsidR="006D34D1" w:rsidRPr="004635E5">
        <w:rPr>
          <w:bCs/>
          <w:sz w:val="22"/>
          <w:szCs w:val="22"/>
          <w:lang w:val="en-NZ"/>
        </w:rPr>
        <w:t xml:space="preserve"> be to assess the cost–</w:t>
      </w:r>
      <w:r w:rsidR="00782815" w:rsidRPr="004635E5">
        <w:rPr>
          <w:bCs/>
          <w:sz w:val="22"/>
          <w:szCs w:val="22"/>
          <w:lang w:val="en-NZ"/>
        </w:rPr>
        <w:t xml:space="preserve">effectiveness </w:t>
      </w:r>
      <w:r w:rsidR="006D34D1" w:rsidRPr="004635E5">
        <w:rPr>
          <w:bCs/>
          <w:sz w:val="22"/>
          <w:szCs w:val="22"/>
          <w:lang w:val="en-NZ"/>
        </w:rPr>
        <w:t xml:space="preserve">of the proposal. </w:t>
      </w:r>
      <w:r w:rsidR="00782815" w:rsidRPr="004635E5">
        <w:rPr>
          <w:bCs/>
          <w:sz w:val="22"/>
          <w:szCs w:val="22"/>
          <w:lang w:val="en-NZ"/>
        </w:rPr>
        <w:t>T</w:t>
      </w:r>
      <w:r w:rsidR="006D34D1" w:rsidRPr="004635E5">
        <w:rPr>
          <w:bCs/>
          <w:sz w:val="22"/>
          <w:szCs w:val="22"/>
          <w:lang w:val="en-NZ"/>
        </w:rPr>
        <w:t>his would then be passed to the Comm</w:t>
      </w:r>
      <w:r w:rsidR="00782815" w:rsidRPr="004635E5">
        <w:rPr>
          <w:bCs/>
          <w:sz w:val="22"/>
          <w:szCs w:val="22"/>
          <w:lang w:val="en-NZ"/>
        </w:rPr>
        <w:t>is</w:t>
      </w:r>
      <w:r w:rsidR="006216D1" w:rsidRPr="004635E5">
        <w:rPr>
          <w:bCs/>
          <w:sz w:val="22"/>
          <w:szCs w:val="22"/>
          <w:lang w:val="en-NZ"/>
        </w:rPr>
        <w:t>s</w:t>
      </w:r>
      <w:r w:rsidR="00782815" w:rsidRPr="004635E5">
        <w:rPr>
          <w:bCs/>
          <w:sz w:val="22"/>
          <w:szCs w:val="22"/>
          <w:lang w:val="en-NZ"/>
        </w:rPr>
        <w:t>ion</w:t>
      </w:r>
      <w:r w:rsidR="006D34D1" w:rsidRPr="004635E5">
        <w:rPr>
          <w:bCs/>
          <w:sz w:val="22"/>
          <w:szCs w:val="22"/>
          <w:lang w:val="en-NZ"/>
        </w:rPr>
        <w:t xml:space="preserve">. </w:t>
      </w:r>
    </w:p>
    <w:p w14:paraId="191803AD" w14:textId="77777777" w:rsidR="00792486" w:rsidRPr="004635E5" w:rsidRDefault="00792486" w:rsidP="006633A8">
      <w:pPr>
        <w:autoSpaceDE w:val="0"/>
        <w:autoSpaceDN w:val="0"/>
        <w:adjustRightInd w:val="0"/>
        <w:snapToGrid w:val="0"/>
        <w:jc w:val="both"/>
        <w:rPr>
          <w:bCs/>
          <w:sz w:val="22"/>
          <w:szCs w:val="22"/>
          <w:lang w:val="en-NZ"/>
        </w:rPr>
      </w:pPr>
    </w:p>
    <w:p w14:paraId="4951BA52" w14:textId="77777777" w:rsidR="00174FEF" w:rsidRPr="004635E5" w:rsidRDefault="00174FEF" w:rsidP="006633A8">
      <w:pPr>
        <w:autoSpaceDE w:val="0"/>
        <w:autoSpaceDN w:val="0"/>
        <w:adjustRightInd w:val="0"/>
        <w:snapToGrid w:val="0"/>
        <w:jc w:val="both"/>
        <w:rPr>
          <w:b/>
          <w:bCs/>
          <w:sz w:val="22"/>
          <w:szCs w:val="22"/>
          <w:lang w:val="en-NZ"/>
        </w:rPr>
      </w:pPr>
      <w:r w:rsidRPr="004635E5">
        <w:rPr>
          <w:b/>
          <w:bCs/>
          <w:sz w:val="22"/>
          <w:szCs w:val="22"/>
          <w:lang w:val="en-NZ"/>
        </w:rPr>
        <w:t>Recommendations</w:t>
      </w:r>
    </w:p>
    <w:p w14:paraId="5F65B7A6" w14:textId="77777777" w:rsidR="00792486" w:rsidRPr="004635E5" w:rsidRDefault="00792486" w:rsidP="006633A8">
      <w:pPr>
        <w:autoSpaceDE w:val="0"/>
        <w:autoSpaceDN w:val="0"/>
        <w:adjustRightInd w:val="0"/>
        <w:snapToGrid w:val="0"/>
        <w:jc w:val="both"/>
        <w:rPr>
          <w:b/>
          <w:bCs/>
          <w:sz w:val="22"/>
          <w:szCs w:val="22"/>
          <w:lang w:val="en-NZ"/>
        </w:rPr>
      </w:pPr>
    </w:p>
    <w:p w14:paraId="5C434FAB" w14:textId="77777777" w:rsidR="006216D1" w:rsidRPr="004635E5" w:rsidRDefault="005F0249" w:rsidP="00580EA4">
      <w:pPr>
        <w:numPr>
          <w:ilvl w:val="0"/>
          <w:numId w:val="18"/>
        </w:numPr>
        <w:autoSpaceDE w:val="0"/>
        <w:autoSpaceDN w:val="0"/>
        <w:adjustRightInd w:val="0"/>
        <w:snapToGrid w:val="0"/>
        <w:ind w:left="0" w:firstLine="0"/>
        <w:jc w:val="both"/>
        <w:rPr>
          <w:b/>
          <w:bCs/>
          <w:sz w:val="22"/>
          <w:szCs w:val="22"/>
          <w:lang w:val="en-NZ"/>
        </w:rPr>
      </w:pPr>
      <w:r w:rsidRPr="004635E5">
        <w:rPr>
          <w:b/>
          <w:bCs/>
          <w:sz w:val="22"/>
          <w:szCs w:val="22"/>
          <w:lang w:val="en-NZ"/>
        </w:rPr>
        <w:t>SC14 agreed that continuing the tagging work is essential because of its importance in providing critical information for the assessments of tropical tuna stocks.</w:t>
      </w:r>
    </w:p>
    <w:p w14:paraId="1D543056" w14:textId="77777777" w:rsidR="00792486" w:rsidRPr="004635E5" w:rsidRDefault="00792486" w:rsidP="006633A8">
      <w:pPr>
        <w:autoSpaceDE w:val="0"/>
        <w:autoSpaceDN w:val="0"/>
        <w:adjustRightInd w:val="0"/>
        <w:snapToGrid w:val="0"/>
        <w:jc w:val="both"/>
        <w:rPr>
          <w:b/>
          <w:bCs/>
          <w:sz w:val="22"/>
          <w:szCs w:val="22"/>
          <w:lang w:val="en-NZ"/>
        </w:rPr>
      </w:pPr>
    </w:p>
    <w:p w14:paraId="41CF0538" w14:textId="77777777" w:rsidR="005F0249" w:rsidRPr="004635E5" w:rsidRDefault="005F0249" w:rsidP="00580EA4">
      <w:pPr>
        <w:numPr>
          <w:ilvl w:val="0"/>
          <w:numId w:val="18"/>
        </w:numPr>
        <w:autoSpaceDE w:val="0"/>
        <w:autoSpaceDN w:val="0"/>
        <w:adjustRightInd w:val="0"/>
        <w:snapToGrid w:val="0"/>
        <w:ind w:left="0" w:firstLine="0"/>
        <w:jc w:val="both"/>
        <w:rPr>
          <w:b/>
          <w:bCs/>
          <w:sz w:val="22"/>
          <w:szCs w:val="22"/>
          <w:lang w:val="en-NZ"/>
        </w:rPr>
      </w:pPr>
      <w:r w:rsidRPr="004635E5">
        <w:rPr>
          <w:b/>
          <w:bCs/>
          <w:sz w:val="22"/>
          <w:szCs w:val="22"/>
          <w:lang w:val="en-NZ"/>
        </w:rPr>
        <w:t>SC14 acknowledged the voluntary contributions from the Republic of Korea, European Union, Papua New Guinea, Australia, New Zealand and ISSF</w:t>
      </w:r>
      <w:r w:rsidR="00A16680" w:rsidRPr="004635E5">
        <w:rPr>
          <w:b/>
          <w:bCs/>
          <w:sz w:val="22"/>
          <w:szCs w:val="22"/>
          <w:lang w:val="en-NZ"/>
        </w:rPr>
        <w:t xml:space="preserve">. </w:t>
      </w:r>
      <w:r w:rsidRPr="004635E5">
        <w:rPr>
          <w:b/>
          <w:bCs/>
          <w:sz w:val="22"/>
          <w:szCs w:val="22"/>
          <w:lang w:val="en-NZ"/>
        </w:rPr>
        <w:t>SC14 encouraged other CCMs and observer organisations to consider contributing to this important work. Further SC14 acknowledged the support of national fisheries administrations, observer programmes and the tuna fishing industry in assisting with the project, in particular in the recovery of recaptured tags.</w:t>
      </w:r>
    </w:p>
    <w:p w14:paraId="3E08151A" w14:textId="77777777" w:rsidR="00792486" w:rsidRPr="004635E5" w:rsidRDefault="00792486" w:rsidP="006633A8">
      <w:pPr>
        <w:autoSpaceDE w:val="0"/>
        <w:autoSpaceDN w:val="0"/>
        <w:adjustRightInd w:val="0"/>
        <w:snapToGrid w:val="0"/>
        <w:jc w:val="both"/>
        <w:rPr>
          <w:b/>
          <w:bCs/>
          <w:sz w:val="22"/>
          <w:szCs w:val="22"/>
          <w:lang w:val="en-NZ"/>
        </w:rPr>
      </w:pPr>
    </w:p>
    <w:p w14:paraId="571E6587" w14:textId="77777777" w:rsidR="006216D1" w:rsidRPr="004635E5" w:rsidRDefault="005F0249" w:rsidP="00580EA4">
      <w:pPr>
        <w:numPr>
          <w:ilvl w:val="0"/>
          <w:numId w:val="18"/>
        </w:numPr>
        <w:autoSpaceDE w:val="0"/>
        <w:autoSpaceDN w:val="0"/>
        <w:adjustRightInd w:val="0"/>
        <w:snapToGrid w:val="0"/>
        <w:ind w:left="0" w:firstLine="0"/>
        <w:jc w:val="both"/>
        <w:rPr>
          <w:b/>
          <w:bCs/>
          <w:sz w:val="22"/>
          <w:szCs w:val="22"/>
          <w:lang w:val="en-NZ"/>
        </w:rPr>
      </w:pPr>
      <w:r w:rsidRPr="004635E5">
        <w:rPr>
          <w:b/>
          <w:bCs/>
          <w:sz w:val="22"/>
          <w:szCs w:val="22"/>
          <w:lang w:val="en-NZ"/>
        </w:rPr>
        <w:t>SC14 recommended that the Commission support the PTTP work plan and associated budget for 2019 and the work plan and associated indicative budget for 2020-2021, noting that it includes consideration of the recent voluntary contribution from the Republic of Korea.</w:t>
      </w:r>
    </w:p>
    <w:p w14:paraId="4429D923" w14:textId="77777777" w:rsidR="00792486" w:rsidRPr="004635E5" w:rsidRDefault="00792486" w:rsidP="006633A8">
      <w:pPr>
        <w:autoSpaceDE w:val="0"/>
        <w:autoSpaceDN w:val="0"/>
        <w:adjustRightInd w:val="0"/>
        <w:snapToGrid w:val="0"/>
        <w:jc w:val="both"/>
        <w:rPr>
          <w:b/>
          <w:bCs/>
          <w:sz w:val="22"/>
          <w:szCs w:val="22"/>
          <w:lang w:val="en-NZ"/>
        </w:rPr>
      </w:pPr>
    </w:p>
    <w:p w14:paraId="147BFF8A" w14:textId="77777777" w:rsidR="006216D1" w:rsidRPr="004635E5" w:rsidRDefault="005F0249" w:rsidP="00580EA4">
      <w:pPr>
        <w:numPr>
          <w:ilvl w:val="0"/>
          <w:numId w:val="18"/>
        </w:numPr>
        <w:autoSpaceDE w:val="0"/>
        <w:autoSpaceDN w:val="0"/>
        <w:adjustRightInd w:val="0"/>
        <w:snapToGrid w:val="0"/>
        <w:ind w:left="0" w:firstLine="0"/>
        <w:jc w:val="both"/>
        <w:rPr>
          <w:b/>
          <w:bCs/>
          <w:sz w:val="22"/>
          <w:szCs w:val="22"/>
          <w:lang w:val="en-NZ"/>
        </w:rPr>
      </w:pPr>
      <w:r w:rsidRPr="004635E5">
        <w:rPr>
          <w:b/>
          <w:bCs/>
          <w:sz w:val="22"/>
          <w:szCs w:val="22"/>
          <w:lang w:val="en-NZ"/>
        </w:rPr>
        <w:t>SC14 noted the advice of the Scientific Services Provider and the PTTP Steering Committee (SC14-RP-PTTP-01) that the availability and cost of suitable tuna fishing vessels to undertake tagging charters is subject to considerable uncertainty</w:t>
      </w:r>
      <w:r w:rsidR="00A16680" w:rsidRPr="004635E5">
        <w:rPr>
          <w:b/>
          <w:bCs/>
          <w:sz w:val="22"/>
          <w:szCs w:val="22"/>
          <w:lang w:val="en-NZ"/>
        </w:rPr>
        <w:t xml:space="preserve">. </w:t>
      </w:r>
      <w:r w:rsidRPr="004635E5">
        <w:rPr>
          <w:b/>
          <w:bCs/>
          <w:sz w:val="22"/>
          <w:szCs w:val="22"/>
          <w:lang w:val="en-NZ"/>
        </w:rPr>
        <w:t>SC14 recommended that should available budget be insufficient or if a suitable pole-and-line vessel makes it impossible to conduct WP5 in 2019 as scheduled in the work plan, the Executive Director may authorize an amendment to the schedule such that CP14 be conducted in 2019 and WP5 be conducted in 2020.</w:t>
      </w:r>
    </w:p>
    <w:p w14:paraId="74071337" w14:textId="77777777" w:rsidR="00792486" w:rsidRPr="004635E5" w:rsidRDefault="00792486" w:rsidP="006633A8">
      <w:pPr>
        <w:autoSpaceDE w:val="0"/>
        <w:autoSpaceDN w:val="0"/>
        <w:adjustRightInd w:val="0"/>
        <w:snapToGrid w:val="0"/>
        <w:jc w:val="both"/>
        <w:rPr>
          <w:b/>
          <w:bCs/>
          <w:sz w:val="22"/>
          <w:szCs w:val="22"/>
          <w:lang w:val="en-NZ"/>
        </w:rPr>
      </w:pPr>
    </w:p>
    <w:p w14:paraId="4E792D20" w14:textId="77777777" w:rsidR="005F0249" w:rsidRPr="004635E5" w:rsidRDefault="005F0249" w:rsidP="00580EA4">
      <w:pPr>
        <w:numPr>
          <w:ilvl w:val="0"/>
          <w:numId w:val="18"/>
        </w:numPr>
        <w:autoSpaceDE w:val="0"/>
        <w:autoSpaceDN w:val="0"/>
        <w:adjustRightInd w:val="0"/>
        <w:snapToGrid w:val="0"/>
        <w:ind w:left="0" w:firstLine="0"/>
        <w:jc w:val="both"/>
        <w:rPr>
          <w:b/>
          <w:bCs/>
          <w:sz w:val="22"/>
          <w:szCs w:val="22"/>
          <w:lang w:val="en-NZ"/>
        </w:rPr>
      </w:pPr>
      <w:r w:rsidRPr="004635E5">
        <w:rPr>
          <w:b/>
          <w:bCs/>
          <w:sz w:val="22"/>
          <w:szCs w:val="22"/>
          <w:lang w:val="en-NZ"/>
        </w:rPr>
        <w:t>SC14 also noted the advice of the Scientific Services Provider and the PTTP Steering Committee (SC14-RP-PTTP-01) that there is considerable uncertainty in the long-term sustainability of the tagging programme due to the escalating costs of vessel charter and limited availability of suitable vessels. SC14 therefore recommended that the Finance and Administration Committee and the Commission consider the proposed Project 83, in which it is proposed to assess the business case for the acquisition and operation of a dedicated research vessel for this purpose, with a view to realising cost-savings for the Commission over the long term.</w:t>
      </w:r>
      <w:r w:rsidR="00E4316F" w:rsidRPr="004635E5">
        <w:rPr>
          <w:b/>
          <w:bCs/>
          <w:sz w:val="22"/>
          <w:szCs w:val="22"/>
          <w:lang w:val="en-NZ"/>
        </w:rPr>
        <w:t xml:space="preserve"> However one CCM did not consider that Project 83 was a scientific project and it should be possibly funded under another more appropriate budget line.</w:t>
      </w:r>
    </w:p>
    <w:p w14:paraId="19C5001D" w14:textId="77777777" w:rsidR="00792486" w:rsidRPr="004635E5" w:rsidRDefault="00792486" w:rsidP="006633A8">
      <w:pPr>
        <w:autoSpaceDE w:val="0"/>
        <w:autoSpaceDN w:val="0"/>
        <w:adjustRightInd w:val="0"/>
        <w:snapToGrid w:val="0"/>
        <w:jc w:val="both"/>
        <w:rPr>
          <w:b/>
          <w:bCs/>
          <w:sz w:val="22"/>
          <w:szCs w:val="22"/>
          <w:lang w:val="en-NZ"/>
        </w:rPr>
      </w:pPr>
    </w:p>
    <w:p w14:paraId="35A22A0F" w14:textId="77777777" w:rsidR="00792486" w:rsidRPr="004635E5" w:rsidRDefault="00792486" w:rsidP="006633A8">
      <w:pPr>
        <w:autoSpaceDE w:val="0"/>
        <w:autoSpaceDN w:val="0"/>
        <w:adjustRightInd w:val="0"/>
        <w:snapToGrid w:val="0"/>
        <w:jc w:val="both"/>
        <w:rPr>
          <w:b/>
          <w:bCs/>
          <w:sz w:val="22"/>
          <w:szCs w:val="22"/>
          <w:lang w:val="en-NZ"/>
        </w:rPr>
      </w:pPr>
    </w:p>
    <w:p w14:paraId="29344CE7" w14:textId="77777777" w:rsidR="001F539C" w:rsidRPr="004635E5" w:rsidRDefault="001F539C" w:rsidP="00580EA4">
      <w:pPr>
        <w:pStyle w:val="SC2"/>
        <w:numPr>
          <w:ilvl w:val="1"/>
          <w:numId w:val="161"/>
        </w:numPr>
        <w:spacing w:after="0"/>
        <w:ind w:left="0" w:firstLine="0"/>
      </w:pPr>
      <w:r w:rsidRPr="004635E5">
        <w:t xml:space="preserve">ABNJ </w:t>
      </w:r>
      <w:r w:rsidR="00B1385D" w:rsidRPr="004635E5">
        <w:t>(Common Oceans) Tuna Project-</w:t>
      </w:r>
      <w:r w:rsidRPr="004635E5">
        <w:t xml:space="preserve">Shark and </w:t>
      </w:r>
      <w:r w:rsidR="00B1385D" w:rsidRPr="004635E5">
        <w:t>Bycatch Components</w:t>
      </w:r>
    </w:p>
    <w:p w14:paraId="56771062" w14:textId="77777777" w:rsidR="00792486" w:rsidRPr="004635E5" w:rsidRDefault="00792486" w:rsidP="006633A8">
      <w:pPr>
        <w:pStyle w:val="SC2"/>
        <w:numPr>
          <w:ilvl w:val="0"/>
          <w:numId w:val="0"/>
        </w:numPr>
        <w:spacing w:after="0"/>
        <w:ind w:left="720"/>
      </w:pPr>
    </w:p>
    <w:p w14:paraId="30BC70F8" w14:textId="77777777" w:rsidR="00174FEF" w:rsidRPr="004635E5" w:rsidRDefault="00C91E28" w:rsidP="00580EA4">
      <w:pPr>
        <w:numPr>
          <w:ilvl w:val="0"/>
          <w:numId w:val="18"/>
        </w:numPr>
        <w:autoSpaceDE w:val="0"/>
        <w:autoSpaceDN w:val="0"/>
        <w:adjustRightInd w:val="0"/>
        <w:snapToGrid w:val="0"/>
        <w:ind w:left="0" w:firstLine="0"/>
        <w:jc w:val="both"/>
        <w:rPr>
          <w:rFonts w:eastAsiaTheme="minorEastAsia"/>
          <w:bCs/>
          <w:sz w:val="22"/>
          <w:szCs w:val="22"/>
          <w:lang w:val="en-NZ" w:eastAsia="ko-KR"/>
        </w:rPr>
      </w:pPr>
      <w:r w:rsidRPr="004635E5">
        <w:rPr>
          <w:rFonts w:eastAsiaTheme="minorEastAsia"/>
          <w:bCs/>
          <w:sz w:val="22"/>
          <w:szCs w:val="22"/>
          <w:lang w:val="en-NZ" w:eastAsia="ko-KR"/>
        </w:rPr>
        <w:t>S. Clarke introduce</w:t>
      </w:r>
      <w:r w:rsidR="00174FEF" w:rsidRPr="004635E5">
        <w:rPr>
          <w:rFonts w:eastAsiaTheme="minorEastAsia"/>
          <w:bCs/>
          <w:sz w:val="22"/>
          <w:szCs w:val="22"/>
          <w:lang w:val="en-NZ" w:eastAsia="ko-KR"/>
        </w:rPr>
        <w:t>d</w:t>
      </w:r>
      <w:r w:rsidRPr="004635E5">
        <w:rPr>
          <w:rFonts w:eastAsiaTheme="minorEastAsia"/>
          <w:bCs/>
          <w:sz w:val="22"/>
          <w:szCs w:val="22"/>
          <w:lang w:val="en-NZ" w:eastAsia="ko-KR"/>
        </w:rPr>
        <w:t xml:space="preserve"> </w:t>
      </w:r>
      <w:r w:rsidR="00E97114" w:rsidRPr="004635E5">
        <w:rPr>
          <w:rFonts w:eastAsiaTheme="minorEastAsia"/>
          <w:bCs/>
          <w:sz w:val="22"/>
          <w:szCs w:val="22"/>
          <w:lang w:val="en-NZ" w:eastAsia="ko-KR"/>
        </w:rPr>
        <w:t>SC-14 RP-ABNJ-01</w:t>
      </w:r>
      <w:r w:rsidRPr="004635E5">
        <w:rPr>
          <w:rFonts w:eastAsiaTheme="minorEastAsia"/>
          <w:bCs/>
          <w:sz w:val="22"/>
          <w:szCs w:val="22"/>
          <w:lang w:val="en-NZ" w:eastAsia="ko-KR"/>
        </w:rPr>
        <w:t xml:space="preserve"> </w:t>
      </w:r>
      <w:r w:rsidR="00E97114" w:rsidRPr="004635E5">
        <w:rPr>
          <w:rFonts w:eastAsiaTheme="minorEastAsia"/>
          <w:bCs/>
          <w:i/>
          <w:sz w:val="22"/>
          <w:szCs w:val="22"/>
          <w:lang w:val="en-NZ" w:eastAsia="ko-KR"/>
        </w:rPr>
        <w:t>Update on the ABNJ (Common Oceans) Tuna Project’s Shark and Bycatch Components</w:t>
      </w:r>
      <w:r w:rsidR="00174FEF" w:rsidRPr="004635E5">
        <w:rPr>
          <w:rFonts w:eastAsiaTheme="minorEastAsia"/>
          <w:bCs/>
          <w:sz w:val="22"/>
          <w:szCs w:val="22"/>
          <w:lang w:val="en-NZ" w:eastAsia="ko-KR"/>
        </w:rPr>
        <w:t xml:space="preserve">, and provided </w:t>
      </w:r>
      <w:r w:rsidR="00174FEF" w:rsidRPr="004635E5">
        <w:rPr>
          <w:rFonts w:eastAsiaTheme="minorEastAsia"/>
          <w:bCs/>
          <w:sz w:val="22"/>
          <w:szCs w:val="22"/>
          <w:lang w:eastAsia="ko-KR"/>
        </w:rPr>
        <w:t xml:space="preserve">a brief overview of the Tuna Project activities being led by the WCPFC Secretariat with scientific support from SPC. The activities comprised shark data improvement and harmonization, shark stock status assessment, and bycatch information and management. In 2017-2018 the Pacific shark post-release mortality tagging study continued with completion of tagging in New Zealand and work underway in Fiji, New Caledonia and the Marshall Islands. Final stock status assessments were completed for Pacific-wide bigeye thresher shark and Southern Hemisphere porbeagle shark, and new assessments were presented to SC14 for Pacific-wide silky shark and Pacific-wide whale shark. </w:t>
      </w:r>
      <w:r w:rsidR="005E15B7" w:rsidRPr="004635E5">
        <w:rPr>
          <w:rFonts w:eastAsiaTheme="minorEastAsia"/>
          <w:bCs/>
          <w:sz w:val="22"/>
          <w:szCs w:val="22"/>
          <w:lang w:eastAsia="ko-KR"/>
        </w:rPr>
        <w:t xml:space="preserve">The </w:t>
      </w:r>
      <w:r w:rsidR="00174FEF" w:rsidRPr="004635E5">
        <w:rPr>
          <w:rFonts w:eastAsiaTheme="minorEastAsia"/>
          <w:bCs/>
          <w:sz w:val="22"/>
          <w:szCs w:val="22"/>
          <w:lang w:eastAsia="ko-KR"/>
        </w:rPr>
        <w:t>Bycatch Mitigation Problem-Solving Workshop using BMIS was held in Nouméa in May 2018, attended by 11 WCPFC CCMs and 7 IGOs/NGOs. Under a no-cost extension project work must be completed by August 2019; a second phase is under consideration.</w:t>
      </w:r>
    </w:p>
    <w:p w14:paraId="4846AD1D" w14:textId="77777777" w:rsidR="00792486" w:rsidRPr="004635E5" w:rsidRDefault="00792486" w:rsidP="006633A8">
      <w:pPr>
        <w:autoSpaceDE w:val="0"/>
        <w:autoSpaceDN w:val="0"/>
        <w:adjustRightInd w:val="0"/>
        <w:snapToGrid w:val="0"/>
        <w:jc w:val="both"/>
        <w:rPr>
          <w:rFonts w:eastAsiaTheme="minorEastAsia"/>
          <w:bCs/>
          <w:sz w:val="22"/>
          <w:szCs w:val="22"/>
          <w:lang w:val="en-NZ" w:eastAsia="ko-KR"/>
        </w:rPr>
      </w:pPr>
    </w:p>
    <w:p w14:paraId="5A6C1543" w14:textId="77777777" w:rsidR="003B5977" w:rsidRPr="004635E5" w:rsidRDefault="003B5977" w:rsidP="006633A8">
      <w:pPr>
        <w:autoSpaceDE w:val="0"/>
        <w:autoSpaceDN w:val="0"/>
        <w:adjustRightInd w:val="0"/>
        <w:snapToGrid w:val="0"/>
        <w:jc w:val="both"/>
        <w:rPr>
          <w:rFonts w:eastAsiaTheme="minorEastAsia"/>
          <w:b/>
          <w:bCs/>
          <w:sz w:val="22"/>
          <w:szCs w:val="22"/>
          <w:lang w:val="en-NZ" w:eastAsia="ko-KR"/>
        </w:rPr>
      </w:pPr>
      <w:r w:rsidRPr="004635E5">
        <w:rPr>
          <w:rFonts w:eastAsiaTheme="minorEastAsia"/>
          <w:b/>
          <w:bCs/>
          <w:sz w:val="22"/>
          <w:szCs w:val="22"/>
          <w:lang w:val="en-NZ" w:eastAsia="ko-KR"/>
        </w:rPr>
        <w:t>Discussion</w:t>
      </w:r>
    </w:p>
    <w:p w14:paraId="7F78A279" w14:textId="77777777" w:rsidR="00792486" w:rsidRPr="004635E5" w:rsidRDefault="00792486" w:rsidP="006633A8">
      <w:pPr>
        <w:autoSpaceDE w:val="0"/>
        <w:autoSpaceDN w:val="0"/>
        <w:adjustRightInd w:val="0"/>
        <w:snapToGrid w:val="0"/>
        <w:jc w:val="both"/>
        <w:rPr>
          <w:rFonts w:eastAsiaTheme="minorEastAsia"/>
          <w:bCs/>
          <w:sz w:val="22"/>
          <w:szCs w:val="22"/>
          <w:lang w:val="en-NZ" w:eastAsia="ko-KR"/>
        </w:rPr>
      </w:pPr>
    </w:p>
    <w:p w14:paraId="51FDF4D1" w14:textId="77777777" w:rsidR="00E87BDF" w:rsidRPr="004635E5" w:rsidRDefault="003B5977" w:rsidP="00580EA4">
      <w:pPr>
        <w:numPr>
          <w:ilvl w:val="0"/>
          <w:numId w:val="18"/>
        </w:numPr>
        <w:autoSpaceDE w:val="0"/>
        <w:autoSpaceDN w:val="0"/>
        <w:adjustRightInd w:val="0"/>
        <w:snapToGrid w:val="0"/>
        <w:ind w:left="0" w:firstLine="0"/>
        <w:jc w:val="both"/>
        <w:rPr>
          <w:rFonts w:eastAsiaTheme="minorEastAsia"/>
          <w:bCs/>
          <w:sz w:val="22"/>
          <w:szCs w:val="22"/>
          <w:lang w:val="en-NZ" w:eastAsia="ko-KR"/>
        </w:rPr>
      </w:pPr>
      <w:r w:rsidRPr="004635E5">
        <w:rPr>
          <w:bCs/>
          <w:sz w:val="22"/>
          <w:szCs w:val="22"/>
          <w:lang w:val="en-NZ"/>
        </w:rPr>
        <w:t>J</w:t>
      </w:r>
      <w:r w:rsidR="00E87BDF" w:rsidRPr="004635E5">
        <w:rPr>
          <w:bCs/>
          <w:sz w:val="22"/>
          <w:szCs w:val="22"/>
          <w:lang w:val="en-NZ"/>
        </w:rPr>
        <w:t>apan</w:t>
      </w:r>
      <w:r w:rsidRPr="004635E5">
        <w:rPr>
          <w:rFonts w:eastAsiaTheme="minorEastAsia"/>
          <w:bCs/>
          <w:sz w:val="22"/>
          <w:szCs w:val="22"/>
          <w:lang w:val="en-NZ" w:eastAsia="ko-KR"/>
        </w:rPr>
        <w:t xml:space="preserve"> </w:t>
      </w:r>
      <w:r w:rsidR="00E87BDF" w:rsidRPr="004635E5">
        <w:rPr>
          <w:rFonts w:eastAsiaTheme="minorEastAsia"/>
          <w:bCs/>
          <w:sz w:val="22"/>
          <w:szCs w:val="22"/>
          <w:lang w:val="en-NZ" w:eastAsia="ko-KR"/>
        </w:rPr>
        <w:t xml:space="preserve">noted that they </w:t>
      </w:r>
      <w:r w:rsidRPr="004635E5">
        <w:rPr>
          <w:rFonts w:eastAsiaTheme="minorEastAsia"/>
          <w:bCs/>
          <w:sz w:val="22"/>
          <w:szCs w:val="22"/>
          <w:lang w:val="en-NZ" w:eastAsia="ko-KR"/>
        </w:rPr>
        <w:t>appreciate</w:t>
      </w:r>
      <w:r w:rsidR="00E87BDF" w:rsidRPr="004635E5">
        <w:rPr>
          <w:rFonts w:eastAsiaTheme="minorEastAsia"/>
          <w:bCs/>
          <w:sz w:val="22"/>
          <w:szCs w:val="22"/>
          <w:lang w:val="en-NZ" w:eastAsia="ko-KR"/>
        </w:rPr>
        <w:t>d</w:t>
      </w:r>
      <w:r w:rsidRPr="004635E5">
        <w:rPr>
          <w:rFonts w:eastAsiaTheme="minorEastAsia"/>
          <w:bCs/>
          <w:sz w:val="22"/>
          <w:szCs w:val="22"/>
          <w:lang w:val="en-NZ" w:eastAsia="ko-KR"/>
        </w:rPr>
        <w:t xml:space="preserve"> the assistance from the project. </w:t>
      </w:r>
      <w:r w:rsidR="00E87BDF" w:rsidRPr="004635E5">
        <w:rPr>
          <w:rFonts w:eastAsiaTheme="minorEastAsia"/>
          <w:bCs/>
          <w:sz w:val="22"/>
          <w:szCs w:val="22"/>
          <w:lang w:val="en-NZ" w:eastAsia="ko-KR"/>
        </w:rPr>
        <w:t xml:space="preserve">Regarding future projects, they </w:t>
      </w:r>
      <w:r w:rsidR="005E15B7" w:rsidRPr="004635E5">
        <w:rPr>
          <w:rFonts w:eastAsiaTheme="minorEastAsia"/>
          <w:bCs/>
          <w:sz w:val="22"/>
          <w:szCs w:val="22"/>
          <w:lang w:val="en-NZ" w:eastAsia="ko-KR"/>
        </w:rPr>
        <w:t xml:space="preserve">stated that </w:t>
      </w:r>
      <w:r w:rsidR="00E87BDF" w:rsidRPr="004635E5">
        <w:rPr>
          <w:rFonts w:eastAsiaTheme="minorEastAsia"/>
          <w:bCs/>
          <w:sz w:val="22"/>
          <w:szCs w:val="22"/>
          <w:lang w:val="en-NZ" w:eastAsia="ko-KR"/>
        </w:rPr>
        <w:t xml:space="preserve">most </w:t>
      </w:r>
      <w:r w:rsidRPr="004635E5">
        <w:rPr>
          <w:rFonts w:eastAsiaTheme="minorEastAsia"/>
          <w:bCs/>
          <w:sz w:val="22"/>
          <w:szCs w:val="22"/>
          <w:lang w:val="en-NZ" w:eastAsia="ko-KR"/>
        </w:rPr>
        <w:t xml:space="preserve">shark species </w:t>
      </w:r>
      <w:r w:rsidR="00E87BDF" w:rsidRPr="004635E5">
        <w:rPr>
          <w:rFonts w:eastAsiaTheme="minorEastAsia"/>
          <w:bCs/>
          <w:sz w:val="22"/>
          <w:szCs w:val="22"/>
          <w:lang w:val="en-NZ" w:eastAsia="ko-KR"/>
        </w:rPr>
        <w:t xml:space="preserve">were </w:t>
      </w:r>
      <w:r w:rsidRPr="004635E5">
        <w:rPr>
          <w:rFonts w:eastAsiaTheme="minorEastAsia"/>
          <w:bCs/>
          <w:sz w:val="22"/>
          <w:szCs w:val="22"/>
          <w:lang w:val="en-NZ" w:eastAsia="ko-KR"/>
        </w:rPr>
        <w:t xml:space="preserve">now </w:t>
      </w:r>
      <w:r w:rsidR="00E87BDF" w:rsidRPr="004635E5">
        <w:rPr>
          <w:rFonts w:eastAsiaTheme="minorEastAsia"/>
          <w:bCs/>
          <w:sz w:val="22"/>
          <w:szCs w:val="22"/>
          <w:lang w:val="en-NZ" w:eastAsia="ko-KR"/>
        </w:rPr>
        <w:t xml:space="preserve">covered by </w:t>
      </w:r>
      <w:r w:rsidRPr="004635E5">
        <w:rPr>
          <w:rFonts w:eastAsiaTheme="minorEastAsia"/>
          <w:bCs/>
          <w:sz w:val="22"/>
          <w:szCs w:val="22"/>
          <w:lang w:val="en-NZ" w:eastAsia="ko-KR"/>
        </w:rPr>
        <w:t>non-retention measures</w:t>
      </w:r>
      <w:r w:rsidR="00E87BDF" w:rsidRPr="004635E5">
        <w:rPr>
          <w:rFonts w:eastAsiaTheme="minorEastAsia"/>
          <w:bCs/>
          <w:sz w:val="22"/>
          <w:szCs w:val="22"/>
          <w:lang w:val="en-NZ" w:eastAsia="ko-KR"/>
        </w:rPr>
        <w:t xml:space="preserve">, meaning less information is being collected, but </w:t>
      </w:r>
      <w:r w:rsidR="005E15B7" w:rsidRPr="004635E5">
        <w:rPr>
          <w:rFonts w:eastAsiaTheme="minorEastAsia"/>
          <w:bCs/>
          <w:sz w:val="22"/>
          <w:szCs w:val="22"/>
          <w:lang w:val="en-NZ" w:eastAsia="ko-KR"/>
        </w:rPr>
        <w:t xml:space="preserve">that </w:t>
      </w:r>
      <w:r w:rsidRPr="004635E5">
        <w:rPr>
          <w:rFonts w:eastAsiaTheme="minorEastAsia"/>
          <w:bCs/>
          <w:sz w:val="22"/>
          <w:szCs w:val="22"/>
          <w:lang w:val="en-NZ" w:eastAsia="ko-KR"/>
        </w:rPr>
        <w:t xml:space="preserve">stock </w:t>
      </w:r>
      <w:r w:rsidR="00E87BDF" w:rsidRPr="004635E5">
        <w:rPr>
          <w:rFonts w:eastAsiaTheme="minorEastAsia"/>
          <w:bCs/>
          <w:sz w:val="22"/>
          <w:szCs w:val="22"/>
          <w:lang w:val="en-NZ" w:eastAsia="ko-KR"/>
        </w:rPr>
        <w:t>status appeared OK</w:t>
      </w:r>
      <w:r w:rsidRPr="004635E5">
        <w:rPr>
          <w:rFonts w:eastAsiaTheme="minorEastAsia"/>
          <w:bCs/>
          <w:sz w:val="22"/>
          <w:szCs w:val="22"/>
          <w:lang w:val="en-NZ" w:eastAsia="ko-KR"/>
        </w:rPr>
        <w:t xml:space="preserve">. </w:t>
      </w:r>
      <w:r w:rsidR="00E87BDF" w:rsidRPr="004635E5">
        <w:rPr>
          <w:rFonts w:eastAsiaTheme="minorEastAsia"/>
          <w:bCs/>
          <w:sz w:val="22"/>
          <w:szCs w:val="22"/>
          <w:lang w:val="en-NZ" w:eastAsia="ko-KR"/>
        </w:rPr>
        <w:t xml:space="preserve">They highlighted the need for funding of tuna projects (e.g., </w:t>
      </w:r>
      <w:r w:rsidR="004421B3" w:rsidRPr="004635E5">
        <w:rPr>
          <w:rFonts w:eastAsiaTheme="minorEastAsia"/>
          <w:bCs/>
          <w:sz w:val="22"/>
          <w:szCs w:val="22"/>
          <w:lang w:val="en-NZ" w:eastAsia="ko-KR"/>
        </w:rPr>
        <w:t>bigeye tuna</w:t>
      </w:r>
      <w:r w:rsidR="00E87BDF" w:rsidRPr="004635E5">
        <w:rPr>
          <w:rFonts w:eastAsiaTheme="minorEastAsia"/>
          <w:bCs/>
          <w:sz w:val="22"/>
          <w:szCs w:val="22"/>
          <w:lang w:val="en-NZ" w:eastAsia="ko-KR"/>
        </w:rPr>
        <w:t xml:space="preserve"> assessment and </w:t>
      </w:r>
      <w:r w:rsidRPr="004635E5">
        <w:rPr>
          <w:rFonts w:eastAsiaTheme="minorEastAsia"/>
          <w:bCs/>
          <w:sz w:val="22"/>
          <w:szCs w:val="22"/>
          <w:lang w:val="en-NZ" w:eastAsia="ko-KR"/>
        </w:rPr>
        <w:t>tagging needs</w:t>
      </w:r>
      <w:r w:rsidR="00E87BDF" w:rsidRPr="004635E5">
        <w:rPr>
          <w:rFonts w:eastAsiaTheme="minorEastAsia"/>
          <w:bCs/>
          <w:sz w:val="22"/>
          <w:szCs w:val="22"/>
          <w:lang w:val="en-NZ" w:eastAsia="ko-KR"/>
        </w:rPr>
        <w:t>).</w:t>
      </w:r>
      <w:r w:rsidRPr="004635E5">
        <w:rPr>
          <w:rFonts w:eastAsiaTheme="minorEastAsia"/>
          <w:bCs/>
          <w:sz w:val="22"/>
          <w:szCs w:val="22"/>
          <w:lang w:val="en-NZ" w:eastAsia="ko-KR"/>
        </w:rPr>
        <w:t xml:space="preserve"> </w:t>
      </w:r>
      <w:r w:rsidR="00E87BDF" w:rsidRPr="004635E5">
        <w:rPr>
          <w:rFonts w:eastAsiaTheme="minorEastAsia"/>
          <w:bCs/>
          <w:sz w:val="22"/>
          <w:szCs w:val="22"/>
          <w:lang w:val="en-NZ" w:eastAsia="ko-KR"/>
        </w:rPr>
        <w:t xml:space="preserve">ABNJ </w:t>
      </w:r>
      <w:r w:rsidR="005E15B7" w:rsidRPr="004635E5">
        <w:rPr>
          <w:rFonts w:eastAsiaTheme="minorEastAsia"/>
          <w:bCs/>
          <w:sz w:val="22"/>
          <w:szCs w:val="22"/>
          <w:lang w:val="en-NZ" w:eastAsia="ko-KR"/>
        </w:rPr>
        <w:t xml:space="preserve">stated </w:t>
      </w:r>
      <w:r w:rsidR="00E87BDF" w:rsidRPr="004635E5">
        <w:rPr>
          <w:rFonts w:eastAsiaTheme="minorEastAsia"/>
          <w:bCs/>
          <w:sz w:val="22"/>
          <w:szCs w:val="22"/>
          <w:lang w:val="en-NZ" w:eastAsia="ko-KR"/>
        </w:rPr>
        <w:t>that the majority of the project funding was directed to tuna</w:t>
      </w:r>
      <w:r w:rsidR="005E15B7" w:rsidRPr="004635E5">
        <w:rPr>
          <w:rFonts w:eastAsiaTheme="minorEastAsia"/>
          <w:bCs/>
          <w:sz w:val="22"/>
          <w:szCs w:val="22"/>
          <w:lang w:val="en-NZ" w:eastAsia="ko-KR"/>
        </w:rPr>
        <w:t>,</w:t>
      </w:r>
      <w:r w:rsidR="00E87BDF" w:rsidRPr="004635E5">
        <w:rPr>
          <w:rFonts w:eastAsiaTheme="minorEastAsia"/>
          <w:bCs/>
          <w:sz w:val="22"/>
          <w:szCs w:val="22"/>
          <w:lang w:val="en-NZ" w:eastAsia="ko-KR"/>
        </w:rPr>
        <w:t xml:space="preserve"> and that there would be a </w:t>
      </w:r>
      <w:r w:rsidRPr="004635E5">
        <w:rPr>
          <w:rFonts w:eastAsiaTheme="minorEastAsia"/>
          <w:bCs/>
          <w:sz w:val="22"/>
          <w:szCs w:val="22"/>
          <w:lang w:val="en-NZ" w:eastAsia="ko-KR"/>
        </w:rPr>
        <w:t>pres</w:t>
      </w:r>
      <w:r w:rsidR="00E87BDF" w:rsidRPr="004635E5">
        <w:rPr>
          <w:rFonts w:eastAsiaTheme="minorEastAsia"/>
          <w:bCs/>
          <w:sz w:val="22"/>
          <w:szCs w:val="22"/>
          <w:lang w:val="en-NZ" w:eastAsia="ko-KR"/>
        </w:rPr>
        <w:t>e</w:t>
      </w:r>
      <w:r w:rsidRPr="004635E5">
        <w:rPr>
          <w:rFonts w:eastAsiaTheme="minorEastAsia"/>
          <w:bCs/>
          <w:sz w:val="22"/>
          <w:szCs w:val="22"/>
          <w:lang w:val="en-NZ" w:eastAsia="ko-KR"/>
        </w:rPr>
        <w:t>n</w:t>
      </w:r>
      <w:r w:rsidR="00E87BDF" w:rsidRPr="004635E5">
        <w:rPr>
          <w:rFonts w:eastAsiaTheme="minorEastAsia"/>
          <w:bCs/>
          <w:sz w:val="22"/>
          <w:szCs w:val="22"/>
          <w:lang w:val="en-NZ" w:eastAsia="ko-KR"/>
        </w:rPr>
        <w:t>tati</w:t>
      </w:r>
      <w:r w:rsidRPr="004635E5">
        <w:rPr>
          <w:rFonts w:eastAsiaTheme="minorEastAsia"/>
          <w:bCs/>
          <w:sz w:val="22"/>
          <w:szCs w:val="22"/>
          <w:lang w:val="en-NZ" w:eastAsia="ko-KR"/>
        </w:rPr>
        <w:t xml:space="preserve">on on </w:t>
      </w:r>
      <w:r w:rsidR="00E87BDF" w:rsidRPr="004635E5">
        <w:rPr>
          <w:rFonts w:eastAsiaTheme="minorEastAsia"/>
          <w:bCs/>
          <w:sz w:val="22"/>
          <w:szCs w:val="22"/>
          <w:lang w:val="en-NZ" w:eastAsia="ko-KR"/>
        </w:rPr>
        <w:t xml:space="preserve">the </w:t>
      </w:r>
      <w:r w:rsidRPr="004635E5">
        <w:rPr>
          <w:rFonts w:eastAsiaTheme="minorEastAsia"/>
          <w:bCs/>
          <w:sz w:val="22"/>
          <w:szCs w:val="22"/>
          <w:lang w:val="en-NZ" w:eastAsia="ko-KR"/>
        </w:rPr>
        <w:t xml:space="preserve">tuna aspects of the project at </w:t>
      </w:r>
      <w:r w:rsidR="00E87BDF" w:rsidRPr="004635E5">
        <w:rPr>
          <w:rFonts w:eastAsiaTheme="minorEastAsia"/>
          <w:bCs/>
          <w:sz w:val="22"/>
          <w:szCs w:val="22"/>
          <w:lang w:val="en-NZ" w:eastAsia="ko-KR"/>
        </w:rPr>
        <w:t>WCPFC15</w:t>
      </w:r>
      <w:r w:rsidRPr="004635E5">
        <w:rPr>
          <w:rFonts w:eastAsiaTheme="minorEastAsia"/>
          <w:bCs/>
          <w:sz w:val="22"/>
          <w:szCs w:val="22"/>
          <w:lang w:val="en-NZ" w:eastAsia="ko-KR"/>
        </w:rPr>
        <w:t>.</w:t>
      </w:r>
    </w:p>
    <w:p w14:paraId="16A5CF51" w14:textId="77777777" w:rsidR="00792486" w:rsidRPr="004635E5" w:rsidRDefault="00792486" w:rsidP="006633A8">
      <w:pPr>
        <w:autoSpaceDE w:val="0"/>
        <w:autoSpaceDN w:val="0"/>
        <w:adjustRightInd w:val="0"/>
        <w:snapToGrid w:val="0"/>
        <w:jc w:val="both"/>
        <w:rPr>
          <w:rFonts w:eastAsiaTheme="minorEastAsia"/>
          <w:bCs/>
          <w:sz w:val="22"/>
          <w:szCs w:val="22"/>
          <w:lang w:val="en-NZ" w:eastAsia="ko-KR"/>
        </w:rPr>
      </w:pPr>
    </w:p>
    <w:p w14:paraId="720F24A6" w14:textId="77777777" w:rsidR="003B5977" w:rsidRPr="004635E5" w:rsidRDefault="00E87BDF" w:rsidP="00580EA4">
      <w:pPr>
        <w:numPr>
          <w:ilvl w:val="0"/>
          <w:numId w:val="18"/>
        </w:numPr>
        <w:autoSpaceDE w:val="0"/>
        <w:autoSpaceDN w:val="0"/>
        <w:adjustRightInd w:val="0"/>
        <w:snapToGrid w:val="0"/>
        <w:ind w:left="0" w:firstLine="0"/>
        <w:jc w:val="both"/>
        <w:rPr>
          <w:rFonts w:eastAsiaTheme="minorEastAsia"/>
          <w:bCs/>
          <w:sz w:val="22"/>
          <w:szCs w:val="22"/>
          <w:lang w:val="en-NZ" w:eastAsia="ko-KR"/>
        </w:rPr>
      </w:pPr>
      <w:r w:rsidRPr="004635E5">
        <w:rPr>
          <w:rFonts w:eastAsiaTheme="minorEastAsia"/>
          <w:bCs/>
          <w:sz w:val="22"/>
          <w:szCs w:val="22"/>
          <w:lang w:val="en-NZ" w:eastAsia="ko-KR"/>
        </w:rPr>
        <w:t xml:space="preserve">The </w:t>
      </w:r>
      <w:r w:rsidR="003B5977" w:rsidRPr="004635E5">
        <w:rPr>
          <w:rFonts w:eastAsiaTheme="minorEastAsia"/>
          <w:bCs/>
          <w:sz w:val="22"/>
          <w:szCs w:val="22"/>
          <w:lang w:val="en-NZ" w:eastAsia="ko-KR"/>
        </w:rPr>
        <w:t>EU</w:t>
      </w:r>
      <w:r w:rsidRPr="004635E5">
        <w:rPr>
          <w:rFonts w:eastAsiaTheme="minorEastAsia"/>
          <w:bCs/>
          <w:sz w:val="22"/>
          <w:szCs w:val="22"/>
          <w:lang w:val="en-NZ" w:eastAsia="ko-KR"/>
        </w:rPr>
        <w:t xml:space="preserve"> acknowledged the </w:t>
      </w:r>
      <w:r w:rsidR="003B5977" w:rsidRPr="004635E5">
        <w:rPr>
          <w:rFonts w:eastAsiaTheme="minorEastAsia"/>
          <w:bCs/>
          <w:sz w:val="22"/>
          <w:szCs w:val="22"/>
          <w:lang w:val="en-NZ" w:eastAsia="ko-KR"/>
        </w:rPr>
        <w:t>contrib</w:t>
      </w:r>
      <w:r w:rsidRPr="004635E5">
        <w:rPr>
          <w:rFonts w:eastAsiaTheme="minorEastAsia"/>
          <w:bCs/>
          <w:sz w:val="22"/>
          <w:szCs w:val="22"/>
          <w:lang w:val="en-NZ" w:eastAsia="ko-KR"/>
        </w:rPr>
        <w:t>utions</w:t>
      </w:r>
      <w:r w:rsidR="003B5977" w:rsidRPr="004635E5">
        <w:rPr>
          <w:rFonts w:eastAsiaTheme="minorEastAsia"/>
          <w:bCs/>
          <w:sz w:val="22"/>
          <w:szCs w:val="22"/>
          <w:lang w:val="en-NZ" w:eastAsia="ko-KR"/>
        </w:rPr>
        <w:t xml:space="preserve"> of the project in supporting WCPFC</w:t>
      </w:r>
      <w:r w:rsidRPr="004635E5">
        <w:rPr>
          <w:rFonts w:eastAsiaTheme="minorEastAsia"/>
          <w:bCs/>
          <w:sz w:val="22"/>
          <w:szCs w:val="22"/>
          <w:lang w:val="en-NZ" w:eastAsia="ko-KR"/>
        </w:rPr>
        <w:t>’s</w:t>
      </w:r>
      <w:r w:rsidR="003B5977" w:rsidRPr="004635E5">
        <w:rPr>
          <w:rFonts w:eastAsiaTheme="minorEastAsia"/>
          <w:bCs/>
          <w:sz w:val="22"/>
          <w:szCs w:val="22"/>
          <w:lang w:val="en-NZ" w:eastAsia="ko-KR"/>
        </w:rPr>
        <w:t xml:space="preserve"> work</w:t>
      </w:r>
      <w:r w:rsidR="007009FB" w:rsidRPr="004635E5">
        <w:rPr>
          <w:rFonts w:eastAsiaTheme="minorEastAsia"/>
          <w:bCs/>
          <w:sz w:val="22"/>
          <w:szCs w:val="22"/>
          <w:lang w:val="en-NZ" w:eastAsia="ko-KR"/>
        </w:rPr>
        <w:t xml:space="preserve"> in </w:t>
      </w:r>
      <w:r w:rsidR="003B5977" w:rsidRPr="004635E5">
        <w:rPr>
          <w:rFonts w:eastAsiaTheme="minorEastAsia"/>
          <w:bCs/>
          <w:sz w:val="22"/>
          <w:szCs w:val="22"/>
          <w:lang w:val="en-NZ" w:eastAsia="ko-KR"/>
        </w:rPr>
        <w:t xml:space="preserve">addressing and mitigating impacts </w:t>
      </w:r>
      <w:r w:rsidR="007009FB" w:rsidRPr="004635E5">
        <w:rPr>
          <w:rFonts w:eastAsiaTheme="minorEastAsia"/>
          <w:bCs/>
          <w:sz w:val="22"/>
          <w:szCs w:val="22"/>
          <w:lang w:val="en-NZ" w:eastAsia="ko-KR"/>
        </w:rPr>
        <w:t xml:space="preserve">to </w:t>
      </w:r>
      <w:r w:rsidR="003B5977" w:rsidRPr="004635E5">
        <w:rPr>
          <w:rFonts w:eastAsiaTheme="minorEastAsia"/>
          <w:bCs/>
          <w:sz w:val="22"/>
          <w:szCs w:val="22"/>
          <w:lang w:val="en-NZ" w:eastAsia="ko-KR"/>
        </w:rPr>
        <w:t xml:space="preserve">bycatch species. </w:t>
      </w:r>
      <w:r w:rsidR="007009FB" w:rsidRPr="004635E5">
        <w:rPr>
          <w:rFonts w:eastAsiaTheme="minorEastAsia"/>
          <w:bCs/>
          <w:sz w:val="22"/>
          <w:szCs w:val="22"/>
          <w:lang w:val="en-NZ" w:eastAsia="ko-KR"/>
        </w:rPr>
        <w:t xml:space="preserve">They </w:t>
      </w:r>
      <w:r w:rsidR="003B5977" w:rsidRPr="004635E5">
        <w:rPr>
          <w:rFonts w:eastAsiaTheme="minorEastAsia"/>
          <w:bCs/>
          <w:sz w:val="22"/>
          <w:szCs w:val="22"/>
          <w:lang w:val="en-NZ" w:eastAsia="ko-KR"/>
        </w:rPr>
        <w:t>commend</w:t>
      </w:r>
      <w:r w:rsidR="007009FB" w:rsidRPr="004635E5">
        <w:rPr>
          <w:rFonts w:eastAsiaTheme="minorEastAsia"/>
          <w:bCs/>
          <w:sz w:val="22"/>
          <w:szCs w:val="22"/>
          <w:lang w:val="en-NZ" w:eastAsia="ko-KR"/>
        </w:rPr>
        <w:t>ed</w:t>
      </w:r>
      <w:r w:rsidR="003B5977" w:rsidRPr="004635E5">
        <w:rPr>
          <w:rFonts w:eastAsiaTheme="minorEastAsia"/>
          <w:bCs/>
          <w:sz w:val="22"/>
          <w:szCs w:val="22"/>
          <w:lang w:val="en-NZ" w:eastAsia="ko-KR"/>
        </w:rPr>
        <w:t xml:space="preserve"> </w:t>
      </w:r>
      <w:r w:rsidR="007009FB" w:rsidRPr="004635E5">
        <w:rPr>
          <w:rFonts w:eastAsiaTheme="minorEastAsia"/>
          <w:bCs/>
          <w:sz w:val="22"/>
          <w:szCs w:val="22"/>
          <w:lang w:val="en-NZ" w:eastAsia="ko-KR"/>
        </w:rPr>
        <w:t xml:space="preserve">the work of the project </w:t>
      </w:r>
      <w:r w:rsidR="003B5977" w:rsidRPr="004635E5">
        <w:rPr>
          <w:rFonts w:eastAsiaTheme="minorEastAsia"/>
          <w:bCs/>
          <w:sz w:val="22"/>
          <w:szCs w:val="22"/>
          <w:lang w:val="en-NZ" w:eastAsia="ko-KR"/>
        </w:rPr>
        <w:t>coordinator.</w:t>
      </w:r>
      <w:r w:rsidR="007009FB" w:rsidRPr="004635E5">
        <w:rPr>
          <w:rFonts w:eastAsiaTheme="minorEastAsia"/>
          <w:bCs/>
          <w:sz w:val="22"/>
          <w:szCs w:val="22"/>
          <w:lang w:val="en-NZ" w:eastAsia="ko-KR"/>
        </w:rPr>
        <w:t xml:space="preserve"> They expressed </w:t>
      </w:r>
      <w:r w:rsidR="003B5977" w:rsidRPr="004635E5">
        <w:rPr>
          <w:rFonts w:eastAsiaTheme="minorEastAsia"/>
          <w:bCs/>
          <w:sz w:val="22"/>
          <w:szCs w:val="22"/>
          <w:lang w:val="en-NZ" w:eastAsia="ko-KR"/>
        </w:rPr>
        <w:t>concern that</w:t>
      </w:r>
      <w:r w:rsidR="005E15B7" w:rsidRPr="004635E5">
        <w:rPr>
          <w:rFonts w:eastAsiaTheme="minorEastAsia"/>
          <w:bCs/>
          <w:sz w:val="22"/>
          <w:szCs w:val="22"/>
          <w:lang w:val="en-NZ" w:eastAsia="ko-KR"/>
        </w:rPr>
        <w:t>,</w:t>
      </w:r>
      <w:r w:rsidR="003B5977" w:rsidRPr="004635E5">
        <w:rPr>
          <w:rFonts w:eastAsiaTheme="minorEastAsia"/>
          <w:bCs/>
          <w:sz w:val="22"/>
          <w:szCs w:val="22"/>
          <w:lang w:val="en-NZ" w:eastAsia="ko-KR"/>
        </w:rPr>
        <w:t xml:space="preserve"> </w:t>
      </w:r>
      <w:r w:rsidR="005E15B7" w:rsidRPr="004635E5">
        <w:rPr>
          <w:rFonts w:eastAsiaTheme="minorEastAsia"/>
          <w:bCs/>
          <w:sz w:val="22"/>
          <w:szCs w:val="22"/>
          <w:lang w:val="en-NZ" w:eastAsia="ko-KR"/>
        </w:rPr>
        <w:t xml:space="preserve">should the </w:t>
      </w:r>
      <w:r w:rsidR="007009FB" w:rsidRPr="004635E5">
        <w:rPr>
          <w:rFonts w:eastAsiaTheme="minorEastAsia"/>
          <w:bCs/>
          <w:sz w:val="22"/>
          <w:szCs w:val="22"/>
          <w:lang w:val="en-NZ" w:eastAsia="ko-KR"/>
        </w:rPr>
        <w:t xml:space="preserve">project </w:t>
      </w:r>
      <w:r w:rsidR="005E15B7" w:rsidRPr="004635E5">
        <w:rPr>
          <w:rFonts w:eastAsiaTheme="minorEastAsia"/>
          <w:bCs/>
          <w:sz w:val="22"/>
          <w:szCs w:val="22"/>
          <w:lang w:val="en-NZ" w:eastAsia="ko-KR"/>
        </w:rPr>
        <w:t xml:space="preserve">end, </w:t>
      </w:r>
      <w:r w:rsidR="003B5977" w:rsidRPr="004635E5">
        <w:rPr>
          <w:rFonts w:eastAsiaTheme="minorEastAsia"/>
          <w:bCs/>
          <w:sz w:val="22"/>
          <w:szCs w:val="22"/>
          <w:lang w:val="en-NZ" w:eastAsia="ko-KR"/>
        </w:rPr>
        <w:t>resources av</w:t>
      </w:r>
      <w:r w:rsidR="007009FB" w:rsidRPr="004635E5">
        <w:rPr>
          <w:rFonts w:eastAsiaTheme="minorEastAsia"/>
          <w:bCs/>
          <w:sz w:val="22"/>
          <w:szCs w:val="22"/>
          <w:lang w:val="en-NZ" w:eastAsia="ko-KR"/>
        </w:rPr>
        <w:t>a</w:t>
      </w:r>
      <w:r w:rsidR="003B5977" w:rsidRPr="004635E5">
        <w:rPr>
          <w:rFonts w:eastAsiaTheme="minorEastAsia"/>
          <w:bCs/>
          <w:sz w:val="22"/>
          <w:szCs w:val="22"/>
          <w:lang w:val="en-NZ" w:eastAsia="ko-KR"/>
        </w:rPr>
        <w:t>il</w:t>
      </w:r>
      <w:r w:rsidR="007009FB" w:rsidRPr="004635E5">
        <w:rPr>
          <w:rFonts w:eastAsiaTheme="minorEastAsia"/>
          <w:bCs/>
          <w:sz w:val="22"/>
          <w:szCs w:val="22"/>
          <w:lang w:val="en-NZ" w:eastAsia="ko-KR"/>
        </w:rPr>
        <w:t>able</w:t>
      </w:r>
      <w:r w:rsidR="005E15B7" w:rsidRPr="004635E5">
        <w:rPr>
          <w:rFonts w:eastAsiaTheme="minorEastAsia"/>
          <w:bCs/>
          <w:sz w:val="22"/>
          <w:szCs w:val="22"/>
          <w:lang w:val="en-NZ" w:eastAsia="ko-KR"/>
        </w:rPr>
        <w:t xml:space="preserve"> for bycatch spec</w:t>
      </w:r>
      <w:r w:rsidR="003B5977" w:rsidRPr="004635E5">
        <w:rPr>
          <w:rFonts w:eastAsiaTheme="minorEastAsia"/>
          <w:bCs/>
          <w:sz w:val="22"/>
          <w:szCs w:val="22"/>
          <w:lang w:val="en-NZ" w:eastAsia="ko-KR"/>
        </w:rPr>
        <w:t>ies</w:t>
      </w:r>
      <w:r w:rsidR="005E15B7" w:rsidRPr="004635E5">
        <w:rPr>
          <w:rFonts w:eastAsiaTheme="minorEastAsia"/>
          <w:bCs/>
          <w:sz w:val="22"/>
          <w:szCs w:val="22"/>
          <w:lang w:val="en-NZ" w:eastAsia="ko-KR"/>
        </w:rPr>
        <w:t xml:space="preserve"> would be reduced</w:t>
      </w:r>
      <w:r w:rsidR="003B5977" w:rsidRPr="004635E5">
        <w:rPr>
          <w:rFonts w:eastAsiaTheme="minorEastAsia"/>
          <w:bCs/>
          <w:sz w:val="22"/>
          <w:szCs w:val="22"/>
          <w:lang w:val="en-NZ" w:eastAsia="ko-KR"/>
        </w:rPr>
        <w:t xml:space="preserve">, </w:t>
      </w:r>
      <w:r w:rsidR="007009FB" w:rsidRPr="004635E5">
        <w:rPr>
          <w:rFonts w:eastAsiaTheme="minorEastAsia"/>
          <w:bCs/>
          <w:sz w:val="22"/>
          <w:szCs w:val="22"/>
          <w:lang w:val="en-NZ" w:eastAsia="ko-KR"/>
        </w:rPr>
        <w:t xml:space="preserve">noting that many </w:t>
      </w:r>
      <w:r w:rsidR="003B5977" w:rsidRPr="004635E5">
        <w:rPr>
          <w:rFonts w:eastAsiaTheme="minorEastAsia"/>
          <w:bCs/>
          <w:sz w:val="22"/>
          <w:szCs w:val="22"/>
          <w:lang w:val="en-NZ" w:eastAsia="ko-KR"/>
        </w:rPr>
        <w:t>assessment</w:t>
      </w:r>
      <w:r w:rsidR="007009FB" w:rsidRPr="004635E5">
        <w:rPr>
          <w:rFonts w:eastAsiaTheme="minorEastAsia"/>
          <w:bCs/>
          <w:sz w:val="22"/>
          <w:szCs w:val="22"/>
          <w:lang w:val="en-NZ" w:eastAsia="ko-KR"/>
        </w:rPr>
        <w:t>s</w:t>
      </w:r>
      <w:r w:rsidR="003B5977" w:rsidRPr="004635E5">
        <w:rPr>
          <w:rFonts w:eastAsiaTheme="minorEastAsia"/>
          <w:bCs/>
          <w:sz w:val="22"/>
          <w:szCs w:val="22"/>
          <w:lang w:val="en-NZ" w:eastAsia="ko-KR"/>
        </w:rPr>
        <w:t xml:space="preserve"> </w:t>
      </w:r>
      <w:r w:rsidR="007009FB" w:rsidRPr="004635E5">
        <w:rPr>
          <w:rFonts w:eastAsiaTheme="minorEastAsia"/>
          <w:bCs/>
          <w:sz w:val="22"/>
          <w:szCs w:val="22"/>
          <w:lang w:val="en-NZ" w:eastAsia="ko-KR"/>
        </w:rPr>
        <w:t xml:space="preserve">had </w:t>
      </w:r>
      <w:r w:rsidR="003B5977" w:rsidRPr="004635E5">
        <w:rPr>
          <w:rFonts w:eastAsiaTheme="minorEastAsia"/>
          <w:bCs/>
          <w:sz w:val="22"/>
          <w:szCs w:val="22"/>
          <w:lang w:val="en-NZ" w:eastAsia="ko-KR"/>
        </w:rPr>
        <w:t>b</w:t>
      </w:r>
      <w:r w:rsidR="007009FB" w:rsidRPr="004635E5">
        <w:rPr>
          <w:rFonts w:eastAsiaTheme="minorEastAsia"/>
          <w:bCs/>
          <w:sz w:val="22"/>
          <w:szCs w:val="22"/>
          <w:lang w:val="en-NZ" w:eastAsia="ko-KR"/>
        </w:rPr>
        <w:t>e</w:t>
      </w:r>
      <w:r w:rsidR="003B5977" w:rsidRPr="004635E5">
        <w:rPr>
          <w:rFonts w:eastAsiaTheme="minorEastAsia"/>
          <w:bCs/>
          <w:sz w:val="22"/>
          <w:szCs w:val="22"/>
          <w:lang w:val="en-NZ" w:eastAsia="ko-KR"/>
        </w:rPr>
        <w:t xml:space="preserve">en </w:t>
      </w:r>
      <w:r w:rsidR="007009FB" w:rsidRPr="004635E5">
        <w:rPr>
          <w:rFonts w:eastAsiaTheme="minorEastAsia"/>
          <w:bCs/>
          <w:sz w:val="22"/>
          <w:szCs w:val="22"/>
          <w:lang w:val="en-NZ" w:eastAsia="ko-KR"/>
        </w:rPr>
        <w:t xml:space="preserve">made </w:t>
      </w:r>
      <w:r w:rsidR="003B5977" w:rsidRPr="004635E5">
        <w:rPr>
          <w:rFonts w:eastAsiaTheme="minorEastAsia"/>
          <w:bCs/>
          <w:sz w:val="22"/>
          <w:szCs w:val="22"/>
          <w:lang w:val="en-NZ" w:eastAsia="ko-KR"/>
        </w:rPr>
        <w:t>poss</w:t>
      </w:r>
      <w:r w:rsidR="007009FB" w:rsidRPr="004635E5">
        <w:rPr>
          <w:rFonts w:eastAsiaTheme="minorEastAsia"/>
          <w:bCs/>
          <w:sz w:val="22"/>
          <w:szCs w:val="22"/>
          <w:lang w:val="en-NZ" w:eastAsia="ko-KR"/>
        </w:rPr>
        <w:t>ible</w:t>
      </w:r>
      <w:r w:rsidR="003B5977" w:rsidRPr="004635E5">
        <w:rPr>
          <w:rFonts w:eastAsiaTheme="minorEastAsia"/>
          <w:bCs/>
          <w:sz w:val="22"/>
          <w:szCs w:val="22"/>
          <w:lang w:val="en-NZ" w:eastAsia="ko-KR"/>
        </w:rPr>
        <w:t xml:space="preserve"> only </w:t>
      </w:r>
      <w:r w:rsidR="007009FB" w:rsidRPr="004635E5">
        <w:rPr>
          <w:rFonts w:eastAsiaTheme="minorEastAsia"/>
          <w:bCs/>
          <w:sz w:val="22"/>
          <w:szCs w:val="22"/>
          <w:lang w:val="en-NZ" w:eastAsia="ko-KR"/>
        </w:rPr>
        <w:t xml:space="preserve">through </w:t>
      </w:r>
      <w:r w:rsidR="003B5977" w:rsidRPr="004635E5">
        <w:rPr>
          <w:rFonts w:eastAsiaTheme="minorEastAsia"/>
          <w:bCs/>
          <w:sz w:val="22"/>
          <w:szCs w:val="22"/>
          <w:lang w:val="en-NZ" w:eastAsia="ko-KR"/>
        </w:rPr>
        <w:t xml:space="preserve">this funding. </w:t>
      </w:r>
      <w:r w:rsidR="005E15B7" w:rsidRPr="004635E5">
        <w:rPr>
          <w:rFonts w:eastAsiaTheme="minorEastAsia"/>
          <w:bCs/>
          <w:sz w:val="22"/>
          <w:szCs w:val="22"/>
          <w:lang w:val="en-NZ" w:eastAsia="ko-KR"/>
        </w:rPr>
        <w:t>The EU observed that o</w:t>
      </w:r>
      <w:r w:rsidR="003B5977" w:rsidRPr="004635E5">
        <w:rPr>
          <w:rFonts w:eastAsiaTheme="minorEastAsia"/>
          <w:bCs/>
          <w:sz w:val="22"/>
          <w:szCs w:val="22"/>
          <w:lang w:val="en-NZ" w:eastAsia="ko-KR"/>
        </w:rPr>
        <w:t>ngoing tagging</w:t>
      </w:r>
      <w:r w:rsidR="007009FB" w:rsidRPr="004635E5">
        <w:rPr>
          <w:rFonts w:eastAsiaTheme="minorEastAsia"/>
          <w:bCs/>
          <w:sz w:val="22"/>
          <w:szCs w:val="22"/>
          <w:lang w:val="en-NZ" w:eastAsia="ko-KR"/>
        </w:rPr>
        <w:t xml:space="preserve"> post-</w:t>
      </w:r>
      <w:r w:rsidR="003B5977" w:rsidRPr="004635E5">
        <w:rPr>
          <w:rFonts w:eastAsiaTheme="minorEastAsia"/>
          <w:bCs/>
          <w:sz w:val="22"/>
          <w:szCs w:val="22"/>
          <w:lang w:val="en-NZ" w:eastAsia="ko-KR"/>
        </w:rPr>
        <w:t xml:space="preserve">release mortality </w:t>
      </w:r>
      <w:r w:rsidR="007009FB" w:rsidRPr="004635E5">
        <w:rPr>
          <w:rFonts w:eastAsiaTheme="minorEastAsia"/>
          <w:bCs/>
          <w:sz w:val="22"/>
          <w:szCs w:val="22"/>
          <w:lang w:val="en-NZ" w:eastAsia="ko-KR"/>
        </w:rPr>
        <w:t xml:space="preserve">research was also </w:t>
      </w:r>
      <w:r w:rsidR="003B5977" w:rsidRPr="004635E5">
        <w:rPr>
          <w:rFonts w:eastAsiaTheme="minorEastAsia"/>
          <w:bCs/>
          <w:sz w:val="22"/>
          <w:szCs w:val="22"/>
          <w:lang w:val="en-NZ" w:eastAsia="ko-KR"/>
        </w:rPr>
        <w:t>supported</w:t>
      </w:r>
      <w:r w:rsidR="007009FB" w:rsidRPr="004635E5">
        <w:rPr>
          <w:rFonts w:eastAsiaTheme="minorEastAsia"/>
          <w:bCs/>
          <w:sz w:val="22"/>
          <w:szCs w:val="22"/>
          <w:lang w:val="en-NZ" w:eastAsia="ko-KR"/>
        </w:rPr>
        <w:t xml:space="preserve">, and inquired </w:t>
      </w:r>
      <w:r w:rsidR="003B5977" w:rsidRPr="004635E5">
        <w:rPr>
          <w:rFonts w:eastAsiaTheme="minorEastAsia"/>
          <w:bCs/>
          <w:sz w:val="22"/>
          <w:szCs w:val="22"/>
          <w:lang w:val="en-NZ" w:eastAsia="ko-KR"/>
        </w:rPr>
        <w:t xml:space="preserve">how </w:t>
      </w:r>
      <w:r w:rsidR="007009FB" w:rsidRPr="004635E5">
        <w:rPr>
          <w:rFonts w:eastAsiaTheme="minorEastAsia"/>
          <w:bCs/>
          <w:sz w:val="22"/>
          <w:szCs w:val="22"/>
          <w:lang w:val="en-NZ" w:eastAsia="ko-KR"/>
        </w:rPr>
        <w:t xml:space="preserve">would </w:t>
      </w:r>
      <w:r w:rsidR="003B5977" w:rsidRPr="004635E5">
        <w:rPr>
          <w:rFonts w:eastAsiaTheme="minorEastAsia"/>
          <w:bCs/>
          <w:sz w:val="22"/>
          <w:szCs w:val="22"/>
          <w:lang w:val="en-NZ" w:eastAsia="ko-KR"/>
        </w:rPr>
        <w:t>be contin</w:t>
      </w:r>
      <w:r w:rsidR="007009FB" w:rsidRPr="004635E5">
        <w:rPr>
          <w:rFonts w:eastAsiaTheme="minorEastAsia"/>
          <w:bCs/>
          <w:sz w:val="22"/>
          <w:szCs w:val="22"/>
          <w:lang w:val="en-NZ" w:eastAsia="ko-KR"/>
        </w:rPr>
        <w:t>ued af</w:t>
      </w:r>
      <w:r w:rsidR="003B5977" w:rsidRPr="004635E5">
        <w:rPr>
          <w:rFonts w:eastAsiaTheme="minorEastAsia"/>
          <w:bCs/>
          <w:sz w:val="22"/>
          <w:szCs w:val="22"/>
          <w:lang w:val="en-NZ" w:eastAsia="ko-KR"/>
        </w:rPr>
        <w:t>t</w:t>
      </w:r>
      <w:r w:rsidR="007009FB" w:rsidRPr="004635E5">
        <w:rPr>
          <w:rFonts w:eastAsiaTheme="minorEastAsia"/>
          <w:bCs/>
          <w:sz w:val="22"/>
          <w:szCs w:val="22"/>
          <w:lang w:val="en-NZ" w:eastAsia="ko-KR"/>
        </w:rPr>
        <w:t>e</w:t>
      </w:r>
      <w:r w:rsidR="003B5977" w:rsidRPr="004635E5">
        <w:rPr>
          <w:rFonts w:eastAsiaTheme="minorEastAsia"/>
          <w:bCs/>
          <w:sz w:val="22"/>
          <w:szCs w:val="22"/>
          <w:lang w:val="en-NZ" w:eastAsia="ko-KR"/>
        </w:rPr>
        <w:t xml:space="preserve">r the close of the project. </w:t>
      </w:r>
      <w:r w:rsidR="005E15B7" w:rsidRPr="004635E5">
        <w:rPr>
          <w:rFonts w:eastAsiaTheme="minorEastAsia"/>
          <w:bCs/>
          <w:sz w:val="22"/>
          <w:szCs w:val="22"/>
          <w:lang w:val="en-NZ" w:eastAsia="ko-KR"/>
        </w:rPr>
        <w:t xml:space="preserve">The EU also </w:t>
      </w:r>
      <w:r w:rsidR="007009FB" w:rsidRPr="004635E5">
        <w:rPr>
          <w:rFonts w:eastAsiaTheme="minorEastAsia"/>
          <w:bCs/>
          <w:sz w:val="22"/>
          <w:szCs w:val="22"/>
          <w:lang w:val="en-NZ" w:eastAsia="ko-KR"/>
        </w:rPr>
        <w:t xml:space="preserve">noted </w:t>
      </w:r>
      <w:r w:rsidR="005E15B7" w:rsidRPr="004635E5">
        <w:rPr>
          <w:rFonts w:eastAsiaTheme="minorEastAsia"/>
          <w:bCs/>
          <w:sz w:val="22"/>
          <w:szCs w:val="22"/>
          <w:lang w:val="en-NZ" w:eastAsia="ko-KR"/>
        </w:rPr>
        <w:t xml:space="preserve">that </w:t>
      </w:r>
      <w:r w:rsidR="003B5977" w:rsidRPr="004635E5">
        <w:rPr>
          <w:rFonts w:eastAsiaTheme="minorEastAsia"/>
          <w:bCs/>
          <w:sz w:val="22"/>
          <w:szCs w:val="22"/>
          <w:lang w:val="en-NZ" w:eastAsia="ko-KR"/>
        </w:rPr>
        <w:t>the Comm</w:t>
      </w:r>
      <w:r w:rsidR="007009FB" w:rsidRPr="004635E5">
        <w:rPr>
          <w:rFonts w:eastAsiaTheme="minorEastAsia"/>
          <w:bCs/>
          <w:sz w:val="22"/>
          <w:szCs w:val="22"/>
          <w:lang w:val="en-NZ" w:eastAsia="ko-KR"/>
        </w:rPr>
        <w:t xml:space="preserve">ission should be informed </w:t>
      </w:r>
      <w:r w:rsidR="005E15B7" w:rsidRPr="004635E5">
        <w:rPr>
          <w:rFonts w:eastAsiaTheme="minorEastAsia"/>
          <w:bCs/>
          <w:sz w:val="22"/>
          <w:szCs w:val="22"/>
          <w:lang w:val="en-NZ" w:eastAsia="ko-KR"/>
        </w:rPr>
        <w:t xml:space="preserve">that when </w:t>
      </w:r>
      <w:r w:rsidR="007009FB" w:rsidRPr="004635E5">
        <w:rPr>
          <w:rFonts w:eastAsiaTheme="minorEastAsia"/>
          <w:bCs/>
          <w:sz w:val="22"/>
          <w:szCs w:val="22"/>
          <w:lang w:val="en-NZ" w:eastAsia="ko-KR"/>
        </w:rPr>
        <w:t xml:space="preserve">the project </w:t>
      </w:r>
      <w:r w:rsidR="005E15B7" w:rsidRPr="004635E5">
        <w:rPr>
          <w:rFonts w:eastAsiaTheme="minorEastAsia"/>
          <w:bCs/>
          <w:sz w:val="22"/>
          <w:szCs w:val="22"/>
          <w:lang w:val="en-NZ" w:eastAsia="ko-KR"/>
        </w:rPr>
        <w:t>ended</w:t>
      </w:r>
      <w:r w:rsidR="003B5977" w:rsidRPr="004635E5">
        <w:rPr>
          <w:rFonts w:eastAsiaTheme="minorEastAsia"/>
          <w:bCs/>
          <w:sz w:val="22"/>
          <w:szCs w:val="22"/>
          <w:lang w:val="en-NZ" w:eastAsia="ko-KR"/>
        </w:rPr>
        <w:t xml:space="preserve"> </w:t>
      </w:r>
      <w:r w:rsidR="007009FB" w:rsidRPr="004635E5">
        <w:rPr>
          <w:rFonts w:eastAsiaTheme="minorEastAsia"/>
          <w:bCs/>
          <w:sz w:val="22"/>
          <w:szCs w:val="22"/>
          <w:lang w:val="en-NZ" w:eastAsia="ko-KR"/>
        </w:rPr>
        <w:t xml:space="preserve">there </w:t>
      </w:r>
      <w:r w:rsidR="005E15B7" w:rsidRPr="004635E5">
        <w:rPr>
          <w:rFonts w:eastAsiaTheme="minorEastAsia"/>
          <w:bCs/>
          <w:sz w:val="22"/>
          <w:szCs w:val="22"/>
          <w:lang w:val="en-NZ" w:eastAsia="ko-KR"/>
        </w:rPr>
        <w:t xml:space="preserve">could be </w:t>
      </w:r>
      <w:r w:rsidR="007009FB" w:rsidRPr="004635E5">
        <w:rPr>
          <w:rFonts w:eastAsiaTheme="minorEastAsia"/>
          <w:bCs/>
          <w:sz w:val="22"/>
          <w:szCs w:val="22"/>
          <w:lang w:val="en-NZ" w:eastAsia="ko-KR"/>
        </w:rPr>
        <w:t xml:space="preserve">shortage of funding </w:t>
      </w:r>
      <w:r w:rsidR="003B5977" w:rsidRPr="004635E5">
        <w:rPr>
          <w:rFonts w:eastAsiaTheme="minorEastAsia"/>
          <w:bCs/>
          <w:sz w:val="22"/>
          <w:szCs w:val="22"/>
          <w:lang w:val="en-NZ" w:eastAsia="ko-KR"/>
        </w:rPr>
        <w:t xml:space="preserve">to cover some of </w:t>
      </w:r>
      <w:r w:rsidR="007009FB" w:rsidRPr="004635E5">
        <w:rPr>
          <w:rFonts w:eastAsiaTheme="minorEastAsia"/>
          <w:bCs/>
          <w:sz w:val="22"/>
          <w:szCs w:val="22"/>
          <w:lang w:val="en-NZ" w:eastAsia="ko-KR"/>
        </w:rPr>
        <w:t xml:space="preserve">the </w:t>
      </w:r>
      <w:r w:rsidR="003B5977" w:rsidRPr="004635E5">
        <w:rPr>
          <w:rFonts w:eastAsiaTheme="minorEastAsia"/>
          <w:bCs/>
          <w:sz w:val="22"/>
          <w:szCs w:val="22"/>
          <w:lang w:val="en-NZ" w:eastAsia="ko-KR"/>
        </w:rPr>
        <w:t xml:space="preserve">key tasks of </w:t>
      </w:r>
      <w:r w:rsidR="007009FB" w:rsidRPr="004635E5">
        <w:rPr>
          <w:rFonts w:eastAsiaTheme="minorEastAsia"/>
          <w:bCs/>
          <w:sz w:val="22"/>
          <w:szCs w:val="22"/>
          <w:lang w:val="en-NZ" w:eastAsia="ko-KR"/>
        </w:rPr>
        <w:t xml:space="preserve">the </w:t>
      </w:r>
      <w:r w:rsidR="00AF40E4" w:rsidRPr="004635E5">
        <w:rPr>
          <w:rFonts w:eastAsiaTheme="minorEastAsia"/>
          <w:bCs/>
          <w:sz w:val="22"/>
          <w:szCs w:val="22"/>
          <w:lang w:val="en-NZ" w:eastAsia="ko-KR"/>
        </w:rPr>
        <w:t>Commission</w:t>
      </w:r>
      <w:r w:rsidR="003B5977" w:rsidRPr="004635E5">
        <w:rPr>
          <w:rFonts w:eastAsiaTheme="minorEastAsia"/>
          <w:bCs/>
          <w:sz w:val="22"/>
          <w:szCs w:val="22"/>
          <w:lang w:val="en-NZ" w:eastAsia="ko-KR"/>
        </w:rPr>
        <w:t>. A</w:t>
      </w:r>
      <w:r w:rsidR="007009FB" w:rsidRPr="004635E5">
        <w:rPr>
          <w:rFonts w:eastAsiaTheme="minorEastAsia"/>
          <w:bCs/>
          <w:sz w:val="22"/>
          <w:szCs w:val="22"/>
          <w:lang w:val="en-NZ" w:eastAsia="ko-KR"/>
        </w:rPr>
        <w:t>ustralia</w:t>
      </w:r>
      <w:r w:rsidR="003B5977" w:rsidRPr="004635E5">
        <w:rPr>
          <w:rFonts w:eastAsiaTheme="minorEastAsia"/>
          <w:bCs/>
          <w:sz w:val="22"/>
          <w:szCs w:val="22"/>
          <w:lang w:val="en-NZ" w:eastAsia="ko-KR"/>
        </w:rPr>
        <w:t xml:space="preserve"> ackn</w:t>
      </w:r>
      <w:r w:rsidR="007009FB" w:rsidRPr="004635E5">
        <w:rPr>
          <w:rFonts w:eastAsiaTheme="minorEastAsia"/>
          <w:bCs/>
          <w:sz w:val="22"/>
          <w:szCs w:val="22"/>
          <w:lang w:val="en-NZ" w:eastAsia="ko-KR"/>
        </w:rPr>
        <w:t xml:space="preserve">owledged </w:t>
      </w:r>
      <w:r w:rsidR="003B5977" w:rsidRPr="004635E5">
        <w:rPr>
          <w:rFonts w:eastAsiaTheme="minorEastAsia"/>
          <w:bCs/>
          <w:sz w:val="22"/>
          <w:szCs w:val="22"/>
          <w:lang w:val="en-NZ" w:eastAsia="ko-KR"/>
        </w:rPr>
        <w:t>the contri</w:t>
      </w:r>
      <w:r w:rsidR="007009FB" w:rsidRPr="004635E5">
        <w:rPr>
          <w:rFonts w:eastAsiaTheme="minorEastAsia"/>
          <w:bCs/>
          <w:sz w:val="22"/>
          <w:szCs w:val="22"/>
          <w:lang w:val="en-NZ" w:eastAsia="ko-KR"/>
        </w:rPr>
        <w:t xml:space="preserve">butions </w:t>
      </w:r>
      <w:r w:rsidR="003B5977" w:rsidRPr="004635E5">
        <w:rPr>
          <w:rFonts w:eastAsiaTheme="minorEastAsia"/>
          <w:bCs/>
          <w:sz w:val="22"/>
          <w:szCs w:val="22"/>
          <w:lang w:val="en-NZ" w:eastAsia="ko-KR"/>
        </w:rPr>
        <w:t xml:space="preserve">of the project and </w:t>
      </w:r>
      <w:r w:rsidR="007009FB" w:rsidRPr="004635E5">
        <w:rPr>
          <w:rFonts w:eastAsiaTheme="minorEastAsia"/>
          <w:bCs/>
          <w:sz w:val="22"/>
          <w:szCs w:val="22"/>
          <w:lang w:val="en-NZ" w:eastAsia="ko-KR"/>
        </w:rPr>
        <w:t>the coordinator</w:t>
      </w:r>
      <w:r w:rsidR="003B5977" w:rsidRPr="004635E5">
        <w:rPr>
          <w:rFonts w:eastAsiaTheme="minorEastAsia"/>
          <w:bCs/>
          <w:sz w:val="22"/>
          <w:szCs w:val="22"/>
          <w:lang w:val="en-NZ" w:eastAsia="ko-KR"/>
        </w:rPr>
        <w:t xml:space="preserve">, </w:t>
      </w:r>
      <w:r w:rsidR="007009FB" w:rsidRPr="004635E5">
        <w:rPr>
          <w:rFonts w:eastAsiaTheme="minorEastAsia"/>
          <w:bCs/>
          <w:sz w:val="22"/>
          <w:szCs w:val="22"/>
          <w:lang w:val="en-NZ" w:eastAsia="ko-KR"/>
        </w:rPr>
        <w:t xml:space="preserve">noting WCPFC had </w:t>
      </w:r>
      <w:r w:rsidR="003B5977" w:rsidRPr="004635E5">
        <w:rPr>
          <w:rFonts w:eastAsiaTheme="minorEastAsia"/>
          <w:bCs/>
          <w:sz w:val="22"/>
          <w:szCs w:val="22"/>
          <w:lang w:val="en-NZ" w:eastAsia="ko-KR"/>
        </w:rPr>
        <w:t xml:space="preserve">been a major beneficiary </w:t>
      </w:r>
      <w:r w:rsidR="007009FB" w:rsidRPr="004635E5">
        <w:rPr>
          <w:rFonts w:eastAsiaTheme="minorEastAsia"/>
          <w:bCs/>
          <w:sz w:val="22"/>
          <w:szCs w:val="22"/>
          <w:lang w:val="en-NZ" w:eastAsia="ko-KR"/>
        </w:rPr>
        <w:t xml:space="preserve">in </w:t>
      </w:r>
      <w:r w:rsidR="003B5977" w:rsidRPr="004635E5">
        <w:rPr>
          <w:rFonts w:eastAsiaTheme="minorEastAsia"/>
          <w:bCs/>
          <w:sz w:val="22"/>
          <w:szCs w:val="22"/>
          <w:lang w:val="en-NZ" w:eastAsia="ko-KR"/>
        </w:rPr>
        <w:t>some y</w:t>
      </w:r>
      <w:r w:rsidR="007009FB" w:rsidRPr="004635E5">
        <w:rPr>
          <w:rFonts w:eastAsiaTheme="minorEastAsia"/>
          <w:bCs/>
          <w:sz w:val="22"/>
          <w:szCs w:val="22"/>
          <w:lang w:val="en-NZ" w:eastAsia="ko-KR"/>
        </w:rPr>
        <w:t>ear</w:t>
      </w:r>
      <w:r w:rsidR="003B5977" w:rsidRPr="004635E5">
        <w:rPr>
          <w:rFonts w:eastAsiaTheme="minorEastAsia"/>
          <w:bCs/>
          <w:sz w:val="22"/>
          <w:szCs w:val="22"/>
          <w:lang w:val="en-NZ" w:eastAsia="ko-KR"/>
        </w:rPr>
        <w:t xml:space="preserve">s. </w:t>
      </w:r>
      <w:r w:rsidR="007009FB" w:rsidRPr="004635E5">
        <w:rPr>
          <w:rFonts w:eastAsiaTheme="minorEastAsia"/>
          <w:bCs/>
          <w:sz w:val="22"/>
          <w:szCs w:val="22"/>
          <w:lang w:val="en-NZ" w:eastAsia="ko-KR"/>
        </w:rPr>
        <w:t xml:space="preserve">They asked about the timing of consideration of a second phase of the </w:t>
      </w:r>
      <w:r w:rsidR="003B5977" w:rsidRPr="004635E5">
        <w:rPr>
          <w:rFonts w:eastAsiaTheme="minorEastAsia"/>
          <w:bCs/>
          <w:sz w:val="22"/>
          <w:szCs w:val="22"/>
          <w:lang w:val="en-NZ" w:eastAsia="ko-KR"/>
        </w:rPr>
        <w:t>project</w:t>
      </w:r>
      <w:r w:rsidR="00AF40E4" w:rsidRPr="004635E5">
        <w:rPr>
          <w:rFonts w:eastAsiaTheme="minorEastAsia"/>
          <w:bCs/>
          <w:sz w:val="22"/>
          <w:szCs w:val="22"/>
          <w:lang w:val="en-NZ" w:eastAsia="ko-KR"/>
        </w:rPr>
        <w:t>.</w:t>
      </w:r>
      <w:r w:rsidR="007009FB" w:rsidRPr="004635E5">
        <w:rPr>
          <w:rFonts w:eastAsiaTheme="minorEastAsia"/>
          <w:bCs/>
          <w:sz w:val="22"/>
          <w:szCs w:val="22"/>
          <w:lang w:val="en-NZ" w:eastAsia="ko-KR"/>
        </w:rPr>
        <w:t xml:space="preserve"> ABNJ indicated there would be a consulta</w:t>
      </w:r>
      <w:r w:rsidR="003B5977" w:rsidRPr="004635E5">
        <w:rPr>
          <w:rFonts w:eastAsiaTheme="minorEastAsia"/>
          <w:bCs/>
          <w:sz w:val="22"/>
          <w:szCs w:val="22"/>
          <w:lang w:val="en-NZ" w:eastAsia="ko-KR"/>
        </w:rPr>
        <w:t xml:space="preserve">tion </w:t>
      </w:r>
      <w:r w:rsidR="007009FB" w:rsidRPr="004635E5">
        <w:rPr>
          <w:rFonts w:eastAsiaTheme="minorEastAsia"/>
          <w:bCs/>
          <w:sz w:val="22"/>
          <w:szCs w:val="22"/>
          <w:lang w:val="en-NZ" w:eastAsia="ko-KR"/>
        </w:rPr>
        <w:t>at WCPFC15</w:t>
      </w:r>
      <w:r w:rsidR="003B5977" w:rsidRPr="004635E5">
        <w:rPr>
          <w:rFonts w:eastAsiaTheme="minorEastAsia"/>
          <w:bCs/>
          <w:sz w:val="22"/>
          <w:szCs w:val="22"/>
          <w:lang w:val="en-NZ" w:eastAsia="ko-KR"/>
        </w:rPr>
        <w:t>.</w:t>
      </w:r>
      <w:r w:rsidR="00AF40E4" w:rsidRPr="004635E5">
        <w:rPr>
          <w:rFonts w:eastAsiaTheme="minorEastAsia"/>
          <w:bCs/>
          <w:sz w:val="22"/>
          <w:szCs w:val="22"/>
          <w:lang w:val="en-NZ" w:eastAsia="ko-KR"/>
        </w:rPr>
        <w:t xml:space="preserve"> </w:t>
      </w:r>
      <w:r w:rsidR="007009FB" w:rsidRPr="004635E5">
        <w:rPr>
          <w:rFonts w:eastAsiaTheme="minorEastAsia"/>
          <w:bCs/>
          <w:sz w:val="22"/>
          <w:szCs w:val="22"/>
          <w:lang w:val="en-NZ" w:eastAsia="ko-KR"/>
        </w:rPr>
        <w:t xml:space="preserve">The </w:t>
      </w:r>
      <w:r w:rsidR="003B5977" w:rsidRPr="004635E5">
        <w:rPr>
          <w:rFonts w:eastAsiaTheme="minorEastAsia"/>
          <w:bCs/>
          <w:sz w:val="22"/>
          <w:szCs w:val="22"/>
          <w:lang w:val="en-NZ" w:eastAsia="ko-KR"/>
        </w:rPr>
        <w:t>USA</w:t>
      </w:r>
      <w:r w:rsidR="007009FB" w:rsidRPr="004635E5">
        <w:rPr>
          <w:rFonts w:eastAsiaTheme="minorEastAsia"/>
          <w:bCs/>
          <w:sz w:val="22"/>
          <w:szCs w:val="22"/>
          <w:lang w:val="en-NZ" w:eastAsia="ko-KR"/>
        </w:rPr>
        <w:t xml:space="preserve"> thanked</w:t>
      </w:r>
      <w:r w:rsidR="003B5977" w:rsidRPr="004635E5">
        <w:rPr>
          <w:rFonts w:eastAsiaTheme="minorEastAsia"/>
          <w:bCs/>
          <w:sz w:val="22"/>
          <w:szCs w:val="22"/>
          <w:lang w:val="en-NZ" w:eastAsia="ko-KR"/>
        </w:rPr>
        <w:t xml:space="preserve"> </w:t>
      </w:r>
      <w:r w:rsidR="007009FB" w:rsidRPr="004635E5">
        <w:rPr>
          <w:rFonts w:eastAsiaTheme="minorEastAsia"/>
          <w:bCs/>
          <w:sz w:val="22"/>
          <w:szCs w:val="22"/>
          <w:lang w:val="en-NZ" w:eastAsia="ko-KR"/>
        </w:rPr>
        <w:t xml:space="preserve">the </w:t>
      </w:r>
      <w:r w:rsidR="003B5977" w:rsidRPr="004635E5">
        <w:rPr>
          <w:rFonts w:eastAsiaTheme="minorEastAsia"/>
          <w:bCs/>
          <w:sz w:val="22"/>
          <w:szCs w:val="22"/>
          <w:lang w:val="en-NZ" w:eastAsia="ko-KR"/>
        </w:rPr>
        <w:t xml:space="preserve">project </w:t>
      </w:r>
      <w:r w:rsidR="00A14B82" w:rsidRPr="004635E5">
        <w:rPr>
          <w:rFonts w:eastAsiaTheme="minorEastAsia"/>
          <w:bCs/>
          <w:sz w:val="22"/>
          <w:szCs w:val="22"/>
          <w:lang w:val="en-NZ" w:eastAsia="ko-KR"/>
        </w:rPr>
        <w:t xml:space="preserve">and </w:t>
      </w:r>
      <w:r w:rsidR="007009FB" w:rsidRPr="004635E5">
        <w:rPr>
          <w:rFonts w:eastAsiaTheme="minorEastAsia"/>
          <w:bCs/>
          <w:sz w:val="22"/>
          <w:szCs w:val="22"/>
          <w:lang w:val="en-NZ" w:eastAsia="ko-KR"/>
        </w:rPr>
        <w:t xml:space="preserve">the coordinator, and looked forward to </w:t>
      </w:r>
      <w:r w:rsidR="00A14B82" w:rsidRPr="004635E5">
        <w:rPr>
          <w:rFonts w:eastAsiaTheme="minorEastAsia"/>
          <w:bCs/>
          <w:sz w:val="22"/>
          <w:szCs w:val="22"/>
          <w:lang w:val="en-NZ" w:eastAsia="ko-KR"/>
        </w:rPr>
        <w:t>add</w:t>
      </w:r>
      <w:r w:rsidR="007009FB" w:rsidRPr="004635E5">
        <w:rPr>
          <w:rFonts w:eastAsiaTheme="minorEastAsia"/>
          <w:bCs/>
          <w:sz w:val="22"/>
          <w:szCs w:val="22"/>
          <w:lang w:val="en-NZ" w:eastAsia="ko-KR"/>
        </w:rPr>
        <w:t>itional bycatch work and eco</w:t>
      </w:r>
      <w:r w:rsidR="00A14B82" w:rsidRPr="004635E5">
        <w:rPr>
          <w:rFonts w:eastAsiaTheme="minorEastAsia"/>
          <w:bCs/>
          <w:sz w:val="22"/>
          <w:szCs w:val="22"/>
          <w:lang w:val="en-NZ" w:eastAsia="ko-KR"/>
        </w:rPr>
        <w:t>syste</w:t>
      </w:r>
      <w:r w:rsidR="007009FB" w:rsidRPr="004635E5">
        <w:rPr>
          <w:rFonts w:eastAsiaTheme="minorEastAsia"/>
          <w:bCs/>
          <w:sz w:val="22"/>
          <w:szCs w:val="22"/>
          <w:lang w:val="en-NZ" w:eastAsia="ko-KR"/>
        </w:rPr>
        <w:t>m-</w:t>
      </w:r>
      <w:r w:rsidR="00A14B82" w:rsidRPr="004635E5">
        <w:rPr>
          <w:rFonts w:eastAsiaTheme="minorEastAsia"/>
          <w:bCs/>
          <w:sz w:val="22"/>
          <w:szCs w:val="22"/>
          <w:lang w:val="en-NZ" w:eastAsia="ko-KR"/>
        </w:rPr>
        <w:t xml:space="preserve">related </w:t>
      </w:r>
      <w:r w:rsidR="007009FB" w:rsidRPr="004635E5">
        <w:rPr>
          <w:rFonts w:eastAsiaTheme="minorEastAsia"/>
          <w:bCs/>
          <w:sz w:val="22"/>
          <w:szCs w:val="22"/>
          <w:lang w:val="en-NZ" w:eastAsia="ko-KR"/>
        </w:rPr>
        <w:t xml:space="preserve">research </w:t>
      </w:r>
      <w:r w:rsidR="00A14B82" w:rsidRPr="004635E5">
        <w:rPr>
          <w:rFonts w:eastAsiaTheme="minorEastAsia"/>
          <w:bCs/>
          <w:sz w:val="22"/>
          <w:szCs w:val="22"/>
          <w:lang w:val="en-NZ" w:eastAsia="ko-KR"/>
        </w:rPr>
        <w:t xml:space="preserve">in </w:t>
      </w:r>
      <w:r w:rsidR="007009FB" w:rsidRPr="004635E5">
        <w:rPr>
          <w:rFonts w:eastAsiaTheme="minorEastAsia"/>
          <w:bCs/>
          <w:sz w:val="22"/>
          <w:szCs w:val="22"/>
          <w:lang w:val="en-NZ" w:eastAsia="ko-KR"/>
        </w:rPr>
        <w:t xml:space="preserve">WCPFC </w:t>
      </w:r>
      <w:r w:rsidR="00A14B82" w:rsidRPr="004635E5">
        <w:rPr>
          <w:rFonts w:eastAsiaTheme="minorEastAsia"/>
          <w:bCs/>
          <w:sz w:val="22"/>
          <w:szCs w:val="22"/>
          <w:lang w:val="en-NZ" w:eastAsia="ko-KR"/>
        </w:rPr>
        <w:t xml:space="preserve">and other tuna RFMOs. </w:t>
      </w:r>
    </w:p>
    <w:p w14:paraId="49FDE66C" w14:textId="77777777" w:rsidR="00792486" w:rsidRPr="004635E5" w:rsidRDefault="00792486" w:rsidP="006633A8">
      <w:pPr>
        <w:autoSpaceDE w:val="0"/>
        <w:autoSpaceDN w:val="0"/>
        <w:adjustRightInd w:val="0"/>
        <w:snapToGrid w:val="0"/>
        <w:jc w:val="both"/>
        <w:rPr>
          <w:rFonts w:eastAsiaTheme="minorEastAsia"/>
          <w:bCs/>
          <w:sz w:val="22"/>
          <w:szCs w:val="22"/>
          <w:lang w:val="en-NZ" w:eastAsia="ko-KR"/>
        </w:rPr>
      </w:pPr>
    </w:p>
    <w:p w14:paraId="2C7D894A" w14:textId="77777777" w:rsidR="00A1476E" w:rsidRPr="004635E5" w:rsidRDefault="00A1476E" w:rsidP="00580EA4">
      <w:pPr>
        <w:pStyle w:val="SC2"/>
        <w:numPr>
          <w:ilvl w:val="1"/>
          <w:numId w:val="161"/>
        </w:numPr>
        <w:spacing w:after="0"/>
        <w:ind w:left="0" w:firstLine="0"/>
      </w:pPr>
      <w:r w:rsidRPr="004635E5">
        <w:t>WCPFC Tissue Bank (Project 35b)</w:t>
      </w:r>
    </w:p>
    <w:p w14:paraId="67089D5E" w14:textId="77777777" w:rsidR="00792486" w:rsidRPr="004635E5" w:rsidRDefault="00792486" w:rsidP="006633A8">
      <w:pPr>
        <w:pStyle w:val="SC2"/>
        <w:numPr>
          <w:ilvl w:val="0"/>
          <w:numId w:val="0"/>
        </w:numPr>
        <w:spacing w:after="0"/>
        <w:ind w:left="720"/>
      </w:pPr>
    </w:p>
    <w:p w14:paraId="508A15E9" w14:textId="77777777" w:rsidR="00EB09BF" w:rsidRPr="004635E5" w:rsidRDefault="00EB09BF" w:rsidP="00580EA4">
      <w:pPr>
        <w:numPr>
          <w:ilvl w:val="0"/>
          <w:numId w:val="18"/>
        </w:numPr>
        <w:autoSpaceDE w:val="0"/>
        <w:autoSpaceDN w:val="0"/>
        <w:adjustRightInd w:val="0"/>
        <w:snapToGrid w:val="0"/>
        <w:ind w:left="0" w:firstLine="0"/>
        <w:jc w:val="both"/>
        <w:rPr>
          <w:rFonts w:eastAsia="Calibri"/>
          <w:sz w:val="22"/>
          <w:szCs w:val="22"/>
          <w:lang w:val="en-AU"/>
        </w:rPr>
      </w:pPr>
      <w:r w:rsidRPr="004635E5">
        <w:rPr>
          <w:rFonts w:eastAsia="Calibri"/>
          <w:sz w:val="22"/>
          <w:szCs w:val="22"/>
          <w:lang w:val="en-AU"/>
        </w:rPr>
        <w:t>N. Smith</w:t>
      </w:r>
      <w:r w:rsidR="00F81EF0">
        <w:rPr>
          <w:rFonts w:eastAsia="Calibri"/>
          <w:sz w:val="22"/>
          <w:szCs w:val="22"/>
          <w:lang w:val="en-AU"/>
        </w:rPr>
        <w:t xml:space="preserve"> </w:t>
      </w:r>
      <w:r w:rsidRPr="004635E5">
        <w:rPr>
          <w:rFonts w:eastAsia="Calibri"/>
          <w:bCs/>
          <w:sz w:val="22"/>
          <w:szCs w:val="22"/>
          <w:lang w:val="en-NZ"/>
        </w:rPr>
        <w:t>(SPC) introduced</w:t>
      </w:r>
      <w:r w:rsidR="00F81EF0">
        <w:rPr>
          <w:rFonts w:eastAsia="Calibri"/>
          <w:bCs/>
          <w:sz w:val="22"/>
          <w:szCs w:val="22"/>
          <w:lang w:val="en-NZ"/>
        </w:rPr>
        <w:t xml:space="preserve"> </w:t>
      </w:r>
      <w:r w:rsidRPr="004635E5">
        <w:rPr>
          <w:rFonts w:eastAsia="Calibri"/>
          <w:bCs/>
          <w:sz w:val="22"/>
          <w:szCs w:val="22"/>
          <w:lang w:val="en-NZ"/>
        </w:rPr>
        <w:t>SC14-RP-P35b-01</w:t>
      </w:r>
      <w:r w:rsidRPr="004635E5">
        <w:rPr>
          <w:rFonts w:eastAsia="Calibri"/>
          <w:bCs/>
          <w:sz w:val="22"/>
          <w:szCs w:val="22"/>
          <w:lang w:val="en-NZ"/>
        </w:rPr>
        <w:tab/>
        <w:t xml:space="preserve">Project 35b: </w:t>
      </w:r>
      <w:r w:rsidRPr="004635E5">
        <w:rPr>
          <w:rFonts w:eastAsia="Calibri"/>
          <w:bCs/>
          <w:i/>
          <w:sz w:val="22"/>
          <w:szCs w:val="22"/>
          <w:lang w:val="en-NZ"/>
        </w:rPr>
        <w:t>WCPFC Tuna Tissue Bank</w:t>
      </w:r>
      <w:r w:rsidRPr="004635E5">
        <w:rPr>
          <w:rFonts w:eastAsia="Calibri"/>
          <w:bCs/>
          <w:sz w:val="22"/>
          <w:szCs w:val="22"/>
          <w:lang w:val="en-NZ"/>
        </w:rPr>
        <w:t xml:space="preserve">, </w:t>
      </w:r>
      <w:r w:rsidRPr="004635E5">
        <w:rPr>
          <w:rFonts w:eastAsia="Calibri"/>
          <w:sz w:val="22"/>
          <w:szCs w:val="22"/>
          <w:lang w:val="en-AU"/>
        </w:rPr>
        <w:t>which reported on the work of the WCPFC Tuna Tissue Bank (TTB) in 2017-2019 as outlined in detail in RP-P35b-01.</w:t>
      </w:r>
      <w:r w:rsidR="00AF40E4" w:rsidRPr="004635E5">
        <w:rPr>
          <w:rFonts w:eastAsia="Calibri"/>
          <w:sz w:val="22"/>
          <w:szCs w:val="22"/>
          <w:lang w:val="en-AU"/>
        </w:rPr>
        <w:t xml:space="preserve"> </w:t>
      </w:r>
      <w:r w:rsidRPr="004635E5">
        <w:rPr>
          <w:rFonts w:eastAsia="Calibri"/>
          <w:sz w:val="22"/>
          <w:szCs w:val="22"/>
          <w:lang w:val="en-AU"/>
        </w:rPr>
        <w:t>The efforts of people of the region contributing to the TTB were recognised as core to maintaining the TTB. Over the period 01 July 2017 through 30 June 2018 an additional 1,112 specimens were deposited, the storage in Noumea expanded by 11%, the sampling effort per year was similar to 2016-17, and three new requests for third party use of specimens were processed. The TTB also supported the extended bigeye tuna age and growth analysis (</w:t>
      </w:r>
      <w:r w:rsidR="005C3CE1">
        <w:rPr>
          <w:rFonts w:eastAsia="Calibri"/>
          <w:sz w:val="22"/>
          <w:szCs w:val="22"/>
          <w:lang w:val="en-AU"/>
        </w:rPr>
        <w:t>SC14-</w:t>
      </w:r>
      <w:r w:rsidRPr="004635E5">
        <w:rPr>
          <w:rFonts w:eastAsia="Calibri"/>
          <w:sz w:val="22"/>
          <w:szCs w:val="22"/>
          <w:lang w:val="en-AU"/>
        </w:rPr>
        <w:t>SA-WP-01) and the commencement of the yellowfin tuna age and growth analysis (</w:t>
      </w:r>
      <w:r w:rsidR="005C3CE1">
        <w:rPr>
          <w:rFonts w:eastAsia="Calibri"/>
          <w:sz w:val="22"/>
          <w:szCs w:val="22"/>
          <w:lang w:val="en-AU"/>
        </w:rPr>
        <w:t>SC14-</w:t>
      </w:r>
      <w:r w:rsidRPr="004635E5">
        <w:rPr>
          <w:rFonts w:eastAsia="Calibri"/>
          <w:sz w:val="22"/>
          <w:szCs w:val="22"/>
          <w:lang w:val="en-AU"/>
        </w:rPr>
        <w:t xml:space="preserve">SA-WP-13). The online and database components of the TTB continue to be enhanced, with the multi-level log-in to the web portal for researchers now implemented. The TTB is an important supporting component of the WCPFC science system and continues to be developed and enhanced. </w:t>
      </w:r>
      <w:r w:rsidRPr="004635E5">
        <w:rPr>
          <w:rFonts w:eastAsia="Calibri"/>
          <w:sz w:val="22"/>
          <w:szCs w:val="22"/>
          <w:lang w:val="en-NZ"/>
        </w:rPr>
        <w:t>Recommendations arising from the Tuna Tissue Bank project include:</w:t>
      </w:r>
    </w:p>
    <w:p w14:paraId="5C7761A9" w14:textId="77777777" w:rsidR="00EB09BF" w:rsidRPr="004635E5" w:rsidRDefault="00EB09BF" w:rsidP="00580EA4">
      <w:pPr>
        <w:numPr>
          <w:ilvl w:val="0"/>
          <w:numId w:val="45"/>
        </w:numPr>
        <w:adjustRightInd w:val="0"/>
        <w:snapToGrid w:val="0"/>
        <w:ind w:left="1080"/>
        <w:rPr>
          <w:rFonts w:eastAsia="Calibri"/>
          <w:sz w:val="22"/>
          <w:szCs w:val="22"/>
          <w:lang w:val="en-NZ"/>
        </w:rPr>
      </w:pPr>
      <w:r w:rsidRPr="004635E5">
        <w:rPr>
          <w:rFonts w:eastAsia="Calibri"/>
          <w:sz w:val="22"/>
          <w:szCs w:val="22"/>
          <w:lang w:val="en-NZ"/>
        </w:rPr>
        <w:t xml:space="preserve">So that regular age and growth analyses for future stock assessments can be scheduled and budgeted for, </w:t>
      </w:r>
      <w:r w:rsidRPr="004635E5">
        <w:rPr>
          <w:rFonts w:eastAsia="Calibri"/>
          <w:sz w:val="22"/>
          <w:szCs w:val="22"/>
          <w:lang w:val="en-AU"/>
        </w:rPr>
        <w:t>develop a plan for age and growth sample collection for tuna and tuna-like stocks aligned with the stock assessment schedule</w:t>
      </w:r>
      <w:r w:rsidRPr="004635E5">
        <w:rPr>
          <w:rFonts w:eastAsia="Calibri"/>
          <w:sz w:val="22"/>
          <w:szCs w:val="22"/>
          <w:lang w:val="en-NZ"/>
        </w:rPr>
        <w:t xml:space="preserve"> </w:t>
      </w:r>
    </w:p>
    <w:p w14:paraId="6AEA7E50" w14:textId="77777777" w:rsidR="00EB09BF" w:rsidRPr="004635E5" w:rsidRDefault="00EB09BF" w:rsidP="00580EA4">
      <w:pPr>
        <w:numPr>
          <w:ilvl w:val="0"/>
          <w:numId w:val="45"/>
        </w:numPr>
        <w:adjustRightInd w:val="0"/>
        <w:snapToGrid w:val="0"/>
        <w:ind w:left="1080"/>
        <w:rPr>
          <w:rFonts w:eastAsia="Calibri"/>
          <w:sz w:val="22"/>
          <w:szCs w:val="22"/>
          <w:lang w:val="en-NZ"/>
        </w:rPr>
      </w:pPr>
      <w:r w:rsidRPr="004635E5">
        <w:rPr>
          <w:rFonts w:eastAsia="Calibri"/>
          <w:sz w:val="22"/>
          <w:szCs w:val="22"/>
          <w:lang w:val="en-NZ"/>
        </w:rPr>
        <w:t>Incorporate the identified budget into the 2019 budget and 2020-21 indicative budgets</w:t>
      </w:r>
    </w:p>
    <w:p w14:paraId="40FCAECF" w14:textId="77777777" w:rsidR="00EB09BF" w:rsidRPr="004635E5" w:rsidRDefault="00EB09BF" w:rsidP="00580EA4">
      <w:pPr>
        <w:numPr>
          <w:ilvl w:val="0"/>
          <w:numId w:val="45"/>
        </w:numPr>
        <w:adjustRightInd w:val="0"/>
        <w:snapToGrid w:val="0"/>
        <w:ind w:left="1080"/>
        <w:rPr>
          <w:rFonts w:eastAsia="Calibri"/>
          <w:sz w:val="22"/>
          <w:szCs w:val="22"/>
          <w:lang w:val="en-NZ"/>
        </w:rPr>
      </w:pPr>
      <w:r w:rsidRPr="004635E5">
        <w:rPr>
          <w:rFonts w:eastAsia="Calibri"/>
          <w:sz w:val="22"/>
          <w:szCs w:val="22"/>
          <w:lang w:val="en-NZ"/>
        </w:rPr>
        <w:t>SC participants visit the TTB web-portal and provide feedback intersessionally to SPC</w:t>
      </w:r>
    </w:p>
    <w:p w14:paraId="38CB1CD5" w14:textId="77777777" w:rsidR="00EB09BF" w:rsidRPr="004635E5" w:rsidRDefault="00EB09BF" w:rsidP="00580EA4">
      <w:pPr>
        <w:numPr>
          <w:ilvl w:val="0"/>
          <w:numId w:val="45"/>
        </w:numPr>
        <w:adjustRightInd w:val="0"/>
        <w:snapToGrid w:val="0"/>
        <w:ind w:left="1080"/>
        <w:rPr>
          <w:rFonts w:eastAsia="Calibri"/>
          <w:sz w:val="22"/>
          <w:szCs w:val="22"/>
          <w:lang w:val="en-NZ"/>
        </w:rPr>
      </w:pPr>
      <w:r w:rsidRPr="004635E5">
        <w:rPr>
          <w:rFonts w:eastAsia="Calibri"/>
          <w:sz w:val="22"/>
          <w:szCs w:val="22"/>
          <w:lang w:val="en-NZ"/>
        </w:rPr>
        <w:t>In addition to maintaining and operating the TTB in 2018-19, the identified work plan should be undertaken by the Scientific Services Provider</w:t>
      </w:r>
    </w:p>
    <w:p w14:paraId="631DE4DA" w14:textId="77777777" w:rsidR="00EB09BF" w:rsidRPr="004635E5" w:rsidRDefault="00EB09BF" w:rsidP="00580EA4">
      <w:pPr>
        <w:numPr>
          <w:ilvl w:val="0"/>
          <w:numId w:val="45"/>
        </w:numPr>
        <w:adjustRightInd w:val="0"/>
        <w:snapToGrid w:val="0"/>
        <w:ind w:left="1080"/>
        <w:rPr>
          <w:rFonts w:eastAsia="Calibri"/>
          <w:sz w:val="22"/>
          <w:szCs w:val="22"/>
          <w:lang w:val="en-NZ"/>
        </w:rPr>
      </w:pPr>
      <w:r w:rsidRPr="004635E5">
        <w:rPr>
          <w:rFonts w:eastAsia="Calibri"/>
          <w:sz w:val="22"/>
          <w:szCs w:val="22"/>
          <w:lang w:val="en-NZ"/>
        </w:rPr>
        <w:t>Support the proposal to begin to manage the process of TTB reporting during SC in a similar manner to the PTTP</w:t>
      </w:r>
    </w:p>
    <w:p w14:paraId="0CE1785C" w14:textId="77777777" w:rsidR="00EB09BF" w:rsidRPr="004635E5" w:rsidRDefault="00EB09BF" w:rsidP="00580EA4">
      <w:pPr>
        <w:numPr>
          <w:ilvl w:val="0"/>
          <w:numId w:val="45"/>
        </w:numPr>
        <w:adjustRightInd w:val="0"/>
        <w:snapToGrid w:val="0"/>
        <w:ind w:left="1080"/>
        <w:rPr>
          <w:rFonts w:eastAsia="Calibri"/>
          <w:sz w:val="22"/>
          <w:szCs w:val="22"/>
          <w:lang w:val="en-NZ"/>
        </w:rPr>
      </w:pPr>
      <w:r w:rsidRPr="004635E5">
        <w:rPr>
          <w:rFonts w:eastAsia="Calibri"/>
          <w:sz w:val="22"/>
          <w:szCs w:val="22"/>
          <w:lang w:val="en-NZ"/>
        </w:rPr>
        <w:t>Support proposal to seek technical advice on the implications of the Nagoya Protocol for the TTB, noting this may need additional resourcing, and</w:t>
      </w:r>
    </w:p>
    <w:p w14:paraId="40D309E2" w14:textId="77777777" w:rsidR="00EB09BF" w:rsidRPr="004635E5" w:rsidRDefault="00EB09BF" w:rsidP="00580EA4">
      <w:pPr>
        <w:numPr>
          <w:ilvl w:val="0"/>
          <w:numId w:val="45"/>
        </w:numPr>
        <w:adjustRightInd w:val="0"/>
        <w:snapToGrid w:val="0"/>
        <w:ind w:left="1080"/>
        <w:rPr>
          <w:rFonts w:eastAsia="Calibri"/>
          <w:sz w:val="22"/>
          <w:szCs w:val="22"/>
          <w:lang w:val="en-NZ"/>
        </w:rPr>
      </w:pPr>
      <w:r w:rsidRPr="004635E5">
        <w:rPr>
          <w:rFonts w:eastAsia="Calibri"/>
          <w:sz w:val="22"/>
          <w:szCs w:val="22"/>
          <w:lang w:val="en-NZ"/>
        </w:rPr>
        <w:t>To ensure longevity of TTB samples, support initiatives to obtain super-cold storage capacity.</w:t>
      </w:r>
    </w:p>
    <w:p w14:paraId="7B2F003C" w14:textId="77777777" w:rsidR="00EB09BF" w:rsidRPr="004635E5" w:rsidRDefault="00EB09BF" w:rsidP="006633A8">
      <w:pPr>
        <w:adjustRightInd w:val="0"/>
        <w:snapToGrid w:val="0"/>
        <w:rPr>
          <w:rFonts w:eastAsia="Calibri"/>
          <w:sz w:val="22"/>
          <w:szCs w:val="22"/>
          <w:lang w:val="en-NZ"/>
        </w:rPr>
      </w:pPr>
    </w:p>
    <w:p w14:paraId="5528F588" w14:textId="77777777" w:rsidR="00EB09BF" w:rsidRPr="004635E5" w:rsidRDefault="00EB09BF" w:rsidP="006633A8">
      <w:pPr>
        <w:pStyle w:val="ListParagraph"/>
        <w:adjustRightInd w:val="0"/>
        <w:snapToGrid w:val="0"/>
        <w:ind w:left="0"/>
        <w:rPr>
          <w:rFonts w:eastAsiaTheme="minorEastAsia"/>
          <w:b/>
          <w:bCs/>
          <w:sz w:val="22"/>
          <w:szCs w:val="22"/>
          <w:lang w:val="en-NZ" w:eastAsia="ko-KR"/>
        </w:rPr>
      </w:pPr>
      <w:r w:rsidRPr="004635E5">
        <w:rPr>
          <w:rFonts w:eastAsiaTheme="minorEastAsia"/>
          <w:b/>
          <w:bCs/>
          <w:sz w:val="22"/>
          <w:szCs w:val="22"/>
          <w:lang w:val="en-NZ" w:eastAsia="ko-KR"/>
        </w:rPr>
        <w:t>Discussion</w:t>
      </w:r>
    </w:p>
    <w:p w14:paraId="1F604670" w14:textId="77777777" w:rsidR="00792486" w:rsidRPr="004635E5" w:rsidRDefault="00792486" w:rsidP="006633A8">
      <w:pPr>
        <w:pStyle w:val="ListParagraph"/>
        <w:adjustRightInd w:val="0"/>
        <w:snapToGrid w:val="0"/>
        <w:ind w:left="0"/>
        <w:rPr>
          <w:rFonts w:eastAsiaTheme="minorEastAsia"/>
          <w:b/>
          <w:bCs/>
          <w:sz w:val="22"/>
          <w:szCs w:val="22"/>
          <w:lang w:val="en-NZ" w:eastAsia="ko-KR"/>
        </w:rPr>
      </w:pPr>
    </w:p>
    <w:p w14:paraId="4B7AFCF8" w14:textId="77777777" w:rsidR="00EB09BF" w:rsidRPr="004635E5" w:rsidRDefault="00EB09BF" w:rsidP="00580EA4">
      <w:pPr>
        <w:numPr>
          <w:ilvl w:val="0"/>
          <w:numId w:val="18"/>
        </w:numPr>
        <w:autoSpaceDE w:val="0"/>
        <w:autoSpaceDN w:val="0"/>
        <w:adjustRightInd w:val="0"/>
        <w:snapToGrid w:val="0"/>
        <w:ind w:left="0" w:firstLine="0"/>
        <w:jc w:val="both"/>
        <w:rPr>
          <w:rFonts w:eastAsiaTheme="minorEastAsia"/>
          <w:bCs/>
          <w:sz w:val="22"/>
          <w:szCs w:val="22"/>
          <w:lang w:val="en-NZ" w:eastAsia="ko-KR"/>
        </w:rPr>
      </w:pPr>
      <w:r w:rsidRPr="004635E5">
        <w:rPr>
          <w:rFonts w:eastAsiaTheme="minorEastAsia"/>
          <w:bCs/>
          <w:sz w:val="22"/>
          <w:szCs w:val="22"/>
          <w:lang w:val="en-NZ" w:eastAsia="ko-KR"/>
        </w:rPr>
        <w:t>Samoa</w:t>
      </w:r>
      <w:r w:rsidR="005D03CD" w:rsidRPr="004635E5">
        <w:rPr>
          <w:rFonts w:eastAsiaTheme="minorEastAsia"/>
          <w:bCs/>
          <w:sz w:val="22"/>
          <w:szCs w:val="22"/>
          <w:lang w:val="en-NZ" w:eastAsia="ko-KR"/>
        </w:rPr>
        <w:t xml:space="preserve"> no</w:t>
      </w:r>
      <w:r w:rsidR="00EF3149" w:rsidRPr="004635E5">
        <w:rPr>
          <w:rFonts w:eastAsiaTheme="minorEastAsia"/>
          <w:bCs/>
          <w:sz w:val="22"/>
          <w:szCs w:val="22"/>
          <w:lang w:val="en-NZ" w:eastAsia="ko-KR"/>
        </w:rPr>
        <w:t>t</w:t>
      </w:r>
      <w:r w:rsidR="005D03CD" w:rsidRPr="004635E5">
        <w:rPr>
          <w:rFonts w:eastAsiaTheme="minorEastAsia"/>
          <w:bCs/>
          <w:sz w:val="22"/>
          <w:szCs w:val="22"/>
          <w:lang w:val="en-NZ" w:eastAsia="ko-KR"/>
        </w:rPr>
        <w:t>e</w:t>
      </w:r>
      <w:r w:rsidR="0068229C" w:rsidRPr="004635E5">
        <w:rPr>
          <w:rFonts w:eastAsiaTheme="minorEastAsia"/>
          <w:bCs/>
          <w:sz w:val="22"/>
          <w:szCs w:val="22"/>
          <w:lang w:val="en-NZ" w:eastAsia="ko-KR"/>
        </w:rPr>
        <w:t xml:space="preserve">d its </w:t>
      </w:r>
      <w:r w:rsidRPr="004635E5">
        <w:rPr>
          <w:rFonts w:eastAsiaTheme="minorEastAsia"/>
          <w:bCs/>
          <w:sz w:val="22"/>
          <w:szCs w:val="22"/>
          <w:lang w:val="en-NZ" w:eastAsia="ko-KR"/>
        </w:rPr>
        <w:t>support</w:t>
      </w:r>
      <w:r w:rsidR="0068229C" w:rsidRPr="004635E5">
        <w:rPr>
          <w:rFonts w:eastAsiaTheme="minorEastAsia"/>
          <w:bCs/>
          <w:sz w:val="22"/>
          <w:szCs w:val="22"/>
          <w:lang w:val="en-NZ" w:eastAsia="ko-KR"/>
        </w:rPr>
        <w:t xml:space="preserve"> for the </w:t>
      </w:r>
      <w:r w:rsidRPr="004635E5">
        <w:rPr>
          <w:rFonts w:eastAsiaTheme="minorEastAsia"/>
          <w:bCs/>
          <w:sz w:val="22"/>
          <w:szCs w:val="22"/>
          <w:lang w:val="en-NZ" w:eastAsia="ko-KR"/>
        </w:rPr>
        <w:t>tissue bank</w:t>
      </w:r>
      <w:r w:rsidR="00EF3149" w:rsidRPr="004635E5">
        <w:rPr>
          <w:rFonts w:eastAsiaTheme="minorEastAsia"/>
          <w:bCs/>
          <w:sz w:val="22"/>
          <w:szCs w:val="22"/>
          <w:lang w:val="en-NZ" w:eastAsia="ko-KR"/>
        </w:rPr>
        <w:t xml:space="preserve"> project, including the areas of future work</w:t>
      </w:r>
      <w:r w:rsidR="005D03CD" w:rsidRPr="004635E5">
        <w:rPr>
          <w:rFonts w:eastAsiaTheme="minorEastAsia"/>
          <w:bCs/>
          <w:sz w:val="22"/>
          <w:szCs w:val="22"/>
          <w:lang w:val="en-NZ" w:eastAsia="ko-KR"/>
        </w:rPr>
        <w:t xml:space="preserve">, stating the </w:t>
      </w:r>
      <w:r w:rsidR="00EF3149" w:rsidRPr="004635E5">
        <w:rPr>
          <w:rFonts w:eastAsiaTheme="minorEastAsia"/>
          <w:bCs/>
          <w:sz w:val="22"/>
          <w:szCs w:val="22"/>
          <w:lang w:val="en-NZ" w:eastAsia="ko-KR"/>
        </w:rPr>
        <w:t xml:space="preserve">benefits of the project were being realized in improved analysis of life history characteristics and stock assessments </w:t>
      </w:r>
    </w:p>
    <w:p w14:paraId="48479E78" w14:textId="77777777" w:rsidR="00EF3149" w:rsidRPr="004635E5" w:rsidRDefault="00EF3149" w:rsidP="006633A8">
      <w:pPr>
        <w:autoSpaceDE w:val="0"/>
        <w:autoSpaceDN w:val="0"/>
        <w:adjustRightInd w:val="0"/>
        <w:snapToGrid w:val="0"/>
        <w:jc w:val="both"/>
        <w:rPr>
          <w:rFonts w:eastAsiaTheme="minorEastAsia"/>
          <w:bCs/>
          <w:sz w:val="22"/>
          <w:szCs w:val="22"/>
          <w:lang w:val="en-NZ" w:eastAsia="ko-KR"/>
        </w:rPr>
      </w:pPr>
    </w:p>
    <w:p w14:paraId="7E973C67" w14:textId="77777777" w:rsidR="00EB09BF" w:rsidRPr="004635E5" w:rsidRDefault="004C7047" w:rsidP="00580EA4">
      <w:pPr>
        <w:numPr>
          <w:ilvl w:val="0"/>
          <w:numId w:val="18"/>
        </w:numPr>
        <w:autoSpaceDE w:val="0"/>
        <w:autoSpaceDN w:val="0"/>
        <w:adjustRightInd w:val="0"/>
        <w:snapToGrid w:val="0"/>
        <w:ind w:left="0" w:firstLine="0"/>
        <w:jc w:val="both"/>
        <w:rPr>
          <w:rFonts w:eastAsiaTheme="minorEastAsia"/>
          <w:bCs/>
          <w:sz w:val="22"/>
          <w:szCs w:val="22"/>
          <w:lang w:val="en-NZ" w:eastAsia="ko-KR"/>
        </w:rPr>
      </w:pPr>
      <w:r w:rsidRPr="004635E5">
        <w:rPr>
          <w:rFonts w:eastAsiaTheme="minorEastAsia"/>
          <w:bCs/>
          <w:sz w:val="22"/>
          <w:szCs w:val="22"/>
          <w:lang w:val="en-NZ" w:eastAsia="ko-KR"/>
        </w:rPr>
        <w:t>RMI stated that they contributed to the project through provision of biological and observer samples, and supported the project, in particular work to enhance training standards, ID guidelines</w:t>
      </w:r>
      <w:r w:rsidR="005D03CD" w:rsidRPr="004635E5">
        <w:rPr>
          <w:rFonts w:eastAsiaTheme="minorEastAsia"/>
          <w:bCs/>
          <w:sz w:val="22"/>
          <w:szCs w:val="22"/>
          <w:lang w:val="en-NZ" w:eastAsia="ko-KR"/>
        </w:rPr>
        <w:t xml:space="preserve">. They suggested </w:t>
      </w:r>
      <w:r w:rsidRPr="004635E5">
        <w:rPr>
          <w:rFonts w:eastAsiaTheme="minorEastAsia"/>
          <w:bCs/>
          <w:sz w:val="22"/>
          <w:szCs w:val="22"/>
          <w:lang w:val="en-NZ" w:eastAsia="ko-KR"/>
        </w:rPr>
        <w:t xml:space="preserve">the work of the TTB </w:t>
      </w:r>
      <w:r w:rsidR="005D03CD" w:rsidRPr="004635E5">
        <w:rPr>
          <w:rFonts w:eastAsiaTheme="minorEastAsia"/>
          <w:bCs/>
          <w:sz w:val="22"/>
          <w:szCs w:val="22"/>
          <w:lang w:val="en-NZ" w:eastAsia="ko-KR"/>
        </w:rPr>
        <w:t xml:space="preserve">be reviewed </w:t>
      </w:r>
      <w:r w:rsidRPr="004635E5">
        <w:rPr>
          <w:rFonts w:eastAsiaTheme="minorEastAsia"/>
          <w:bCs/>
          <w:sz w:val="22"/>
          <w:szCs w:val="22"/>
          <w:lang w:val="en-NZ" w:eastAsia="ko-KR"/>
        </w:rPr>
        <w:t xml:space="preserve">in SC meetings in a manner similar to how </w:t>
      </w:r>
      <w:r w:rsidR="005D03CD" w:rsidRPr="004635E5">
        <w:rPr>
          <w:rFonts w:eastAsiaTheme="minorEastAsia"/>
          <w:bCs/>
          <w:sz w:val="22"/>
          <w:szCs w:val="22"/>
          <w:lang w:val="en-NZ" w:eastAsia="ko-KR"/>
        </w:rPr>
        <w:t xml:space="preserve">the </w:t>
      </w:r>
      <w:r w:rsidRPr="004635E5">
        <w:rPr>
          <w:rFonts w:eastAsiaTheme="minorEastAsia"/>
          <w:bCs/>
          <w:sz w:val="22"/>
          <w:szCs w:val="22"/>
          <w:lang w:val="en-NZ" w:eastAsia="ko-KR"/>
        </w:rPr>
        <w:t xml:space="preserve">PTTP is reviewed. </w:t>
      </w:r>
    </w:p>
    <w:p w14:paraId="0AF54152" w14:textId="77777777" w:rsidR="00EB09BF" w:rsidRPr="004635E5" w:rsidRDefault="00EB09BF" w:rsidP="006633A8">
      <w:pPr>
        <w:pStyle w:val="ListParagraph"/>
        <w:adjustRightInd w:val="0"/>
        <w:snapToGrid w:val="0"/>
        <w:ind w:left="0"/>
        <w:rPr>
          <w:rFonts w:eastAsiaTheme="minorEastAsia"/>
          <w:bCs/>
          <w:sz w:val="22"/>
          <w:szCs w:val="22"/>
          <w:lang w:val="en-NZ" w:eastAsia="ko-KR"/>
        </w:rPr>
      </w:pPr>
    </w:p>
    <w:p w14:paraId="7DD78AAD" w14:textId="77777777" w:rsidR="005D03CD" w:rsidRPr="004635E5" w:rsidRDefault="00EB09BF" w:rsidP="00580EA4">
      <w:pPr>
        <w:numPr>
          <w:ilvl w:val="0"/>
          <w:numId w:val="18"/>
        </w:numPr>
        <w:autoSpaceDE w:val="0"/>
        <w:autoSpaceDN w:val="0"/>
        <w:adjustRightInd w:val="0"/>
        <w:snapToGrid w:val="0"/>
        <w:ind w:left="0" w:firstLine="0"/>
        <w:jc w:val="both"/>
        <w:rPr>
          <w:rFonts w:eastAsiaTheme="minorEastAsia"/>
          <w:bCs/>
          <w:sz w:val="22"/>
          <w:szCs w:val="22"/>
          <w:lang w:val="en-NZ" w:eastAsia="ko-KR"/>
        </w:rPr>
      </w:pPr>
      <w:r w:rsidRPr="004635E5">
        <w:rPr>
          <w:rFonts w:eastAsiaTheme="minorEastAsia"/>
          <w:bCs/>
          <w:sz w:val="22"/>
          <w:szCs w:val="22"/>
          <w:lang w:val="en-NZ" w:eastAsia="ko-KR"/>
        </w:rPr>
        <w:t>The EU inquired whether the budget of the tissue bank included sample collection and analysis. N. Smith stated the bank did full curation of samples (e.g., including cleaning, weighing</w:t>
      </w:r>
      <w:r w:rsidR="00F81EF0">
        <w:rPr>
          <w:rFonts w:eastAsiaTheme="minorEastAsia"/>
          <w:bCs/>
          <w:sz w:val="22"/>
          <w:szCs w:val="22"/>
          <w:lang w:val="en-NZ" w:eastAsia="ko-KR"/>
        </w:rPr>
        <w:t xml:space="preserve"> </w:t>
      </w:r>
      <w:r w:rsidRPr="004635E5">
        <w:rPr>
          <w:rFonts w:eastAsiaTheme="minorEastAsia"/>
          <w:bCs/>
          <w:sz w:val="22"/>
          <w:szCs w:val="22"/>
          <w:lang w:val="en-NZ" w:eastAsia="ko-KR"/>
        </w:rPr>
        <w:t>and storage) but not full analysis.</w:t>
      </w:r>
    </w:p>
    <w:p w14:paraId="50F00F46" w14:textId="77777777" w:rsidR="005D03CD" w:rsidRPr="004635E5" w:rsidRDefault="005D03CD" w:rsidP="006633A8">
      <w:pPr>
        <w:autoSpaceDE w:val="0"/>
        <w:autoSpaceDN w:val="0"/>
        <w:adjustRightInd w:val="0"/>
        <w:snapToGrid w:val="0"/>
        <w:jc w:val="both"/>
        <w:rPr>
          <w:rFonts w:eastAsiaTheme="minorEastAsia"/>
          <w:bCs/>
          <w:sz w:val="22"/>
          <w:szCs w:val="22"/>
          <w:lang w:val="en-NZ" w:eastAsia="ko-KR"/>
        </w:rPr>
      </w:pPr>
    </w:p>
    <w:p w14:paraId="2486D729" w14:textId="77777777" w:rsidR="00EB09BF" w:rsidRPr="004635E5" w:rsidRDefault="00EB09BF" w:rsidP="00580EA4">
      <w:pPr>
        <w:numPr>
          <w:ilvl w:val="0"/>
          <w:numId w:val="18"/>
        </w:numPr>
        <w:autoSpaceDE w:val="0"/>
        <w:autoSpaceDN w:val="0"/>
        <w:adjustRightInd w:val="0"/>
        <w:snapToGrid w:val="0"/>
        <w:ind w:left="0" w:firstLine="0"/>
        <w:jc w:val="both"/>
        <w:rPr>
          <w:rFonts w:eastAsiaTheme="minorEastAsia"/>
          <w:bCs/>
          <w:sz w:val="22"/>
          <w:szCs w:val="22"/>
          <w:lang w:val="en-NZ" w:eastAsia="ko-KR"/>
        </w:rPr>
      </w:pPr>
      <w:r w:rsidRPr="004635E5">
        <w:rPr>
          <w:rFonts w:eastAsiaTheme="minorEastAsia"/>
          <w:bCs/>
          <w:sz w:val="22"/>
          <w:szCs w:val="22"/>
          <w:lang w:val="en-NZ" w:eastAsia="ko-KR"/>
        </w:rPr>
        <w:t xml:space="preserve"> C</w:t>
      </w:r>
      <w:r w:rsidR="004C7047" w:rsidRPr="004635E5">
        <w:rPr>
          <w:rFonts w:eastAsiaTheme="minorEastAsia"/>
          <w:bCs/>
          <w:sz w:val="22"/>
          <w:szCs w:val="22"/>
          <w:lang w:val="en-NZ" w:eastAsia="ko-KR"/>
        </w:rPr>
        <w:t xml:space="preserve">ook Islands </w:t>
      </w:r>
      <w:r w:rsidR="005D03CD" w:rsidRPr="004635E5">
        <w:rPr>
          <w:rFonts w:eastAsiaTheme="minorEastAsia"/>
          <w:bCs/>
          <w:sz w:val="22"/>
          <w:szCs w:val="22"/>
          <w:lang w:val="en-NZ" w:eastAsia="ko-KR"/>
        </w:rPr>
        <w:t xml:space="preserve">and FSM concurred with the comments offered by Samoa and RMI, and voiced their support for the tissue bank. </w:t>
      </w:r>
    </w:p>
    <w:p w14:paraId="63F8F47E" w14:textId="77777777" w:rsidR="0000467F" w:rsidRPr="004635E5" w:rsidRDefault="0000467F" w:rsidP="006633A8">
      <w:pPr>
        <w:autoSpaceDE w:val="0"/>
        <w:autoSpaceDN w:val="0"/>
        <w:adjustRightInd w:val="0"/>
        <w:snapToGrid w:val="0"/>
        <w:jc w:val="both"/>
        <w:rPr>
          <w:rFonts w:eastAsiaTheme="minorEastAsia"/>
          <w:bCs/>
          <w:sz w:val="22"/>
          <w:szCs w:val="22"/>
          <w:lang w:val="en-NZ" w:eastAsia="ko-KR"/>
        </w:rPr>
      </w:pPr>
    </w:p>
    <w:p w14:paraId="60C8733E" w14:textId="77777777" w:rsidR="00D7158C" w:rsidRPr="004635E5" w:rsidRDefault="00D7158C" w:rsidP="00580EA4">
      <w:pPr>
        <w:numPr>
          <w:ilvl w:val="0"/>
          <w:numId w:val="18"/>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bCs/>
          <w:sz w:val="22"/>
          <w:szCs w:val="22"/>
          <w:lang w:val="en-NZ" w:eastAsia="ko-KR"/>
        </w:rPr>
        <w:t>The Scientific Committee reconfirmed that maintaining and enhancing the WCPFC Tuna Tissue Bank (P35b) is an essential project and recommended </w:t>
      </w:r>
      <w:r w:rsidRPr="004635E5">
        <w:rPr>
          <w:rFonts w:eastAsiaTheme="minorEastAsia"/>
          <w:b/>
          <w:bCs/>
          <w:sz w:val="22"/>
          <w:szCs w:val="22"/>
          <w:lang w:val="en-AU" w:eastAsia="ko-KR"/>
        </w:rPr>
        <w:t xml:space="preserve">the </w:t>
      </w:r>
      <w:r w:rsidRPr="004635E5">
        <w:rPr>
          <w:rFonts w:eastAsiaTheme="minorEastAsia"/>
          <w:b/>
          <w:bCs/>
          <w:sz w:val="22"/>
          <w:szCs w:val="22"/>
          <w:lang w:val="en-NZ" w:eastAsia="ko-KR"/>
        </w:rPr>
        <w:t>Commission</w:t>
      </w:r>
      <w:r w:rsidRPr="004635E5">
        <w:rPr>
          <w:rFonts w:eastAsiaTheme="minorEastAsia"/>
          <w:b/>
          <w:bCs/>
          <w:sz w:val="22"/>
          <w:szCs w:val="22"/>
          <w:lang w:val="en-AU" w:eastAsia="ko-KR"/>
        </w:rPr>
        <w:t xml:space="preserve"> support the work plan and associated budget for 2019, and the work plan and associated indicative budget for 2020-2021</w:t>
      </w:r>
      <w:r w:rsidRPr="004635E5">
        <w:rPr>
          <w:rFonts w:eastAsiaTheme="minorEastAsia"/>
          <w:b/>
          <w:bCs/>
          <w:sz w:val="22"/>
          <w:szCs w:val="22"/>
          <w:lang w:val="en-NZ" w:eastAsia="ko-KR"/>
        </w:rPr>
        <w:t>.</w:t>
      </w:r>
    </w:p>
    <w:p w14:paraId="04F9F9D4" w14:textId="77777777" w:rsidR="00D7158C" w:rsidRPr="004635E5" w:rsidRDefault="00D7158C" w:rsidP="00580EA4">
      <w:pPr>
        <w:numPr>
          <w:ilvl w:val="0"/>
          <w:numId w:val="37"/>
        </w:numPr>
        <w:tabs>
          <w:tab w:val="clear" w:pos="720"/>
        </w:tabs>
        <w:adjustRightInd w:val="0"/>
        <w:snapToGrid w:val="0"/>
        <w:ind w:left="1080"/>
        <w:jc w:val="both"/>
        <w:rPr>
          <w:rFonts w:eastAsiaTheme="minorEastAsia"/>
          <w:b/>
          <w:sz w:val="22"/>
          <w:szCs w:val="22"/>
          <w:lang w:eastAsia="ko-KR"/>
        </w:rPr>
      </w:pPr>
      <w:r w:rsidRPr="004635E5">
        <w:rPr>
          <w:rFonts w:eastAsiaTheme="minorEastAsia"/>
          <w:b/>
          <w:bCs/>
          <w:sz w:val="22"/>
          <w:szCs w:val="22"/>
          <w:lang w:val="en-AU" w:eastAsia="ko-KR"/>
        </w:rPr>
        <w:t>The Scientific Committee agreed to run the process of WCPFC Tuna Tissue Bank (P35b) reporting in a similar manner to the PTTP (P42) at SC15.</w:t>
      </w:r>
    </w:p>
    <w:p w14:paraId="04F1E780" w14:textId="77777777" w:rsidR="00D7158C" w:rsidRPr="004635E5" w:rsidRDefault="00D7158C" w:rsidP="00580EA4">
      <w:pPr>
        <w:numPr>
          <w:ilvl w:val="0"/>
          <w:numId w:val="37"/>
        </w:numPr>
        <w:tabs>
          <w:tab w:val="clear" w:pos="720"/>
        </w:tabs>
        <w:adjustRightInd w:val="0"/>
        <w:snapToGrid w:val="0"/>
        <w:ind w:left="1080"/>
        <w:jc w:val="both"/>
        <w:rPr>
          <w:rFonts w:eastAsiaTheme="minorEastAsia"/>
          <w:b/>
          <w:sz w:val="22"/>
          <w:szCs w:val="22"/>
          <w:lang w:eastAsia="ko-KR"/>
        </w:rPr>
      </w:pPr>
      <w:r w:rsidRPr="004635E5">
        <w:rPr>
          <w:rFonts w:eastAsiaTheme="minorEastAsia"/>
          <w:b/>
          <w:bCs/>
          <w:sz w:val="22"/>
          <w:szCs w:val="22"/>
          <w:lang w:val="en-NZ" w:eastAsia="ko-KR"/>
        </w:rPr>
        <w:t>The Scientific Committee agreed that that the Secretariat and the Scientific Services Provider should work together to investigate any issues arising from the Nagoya Protocol for the Tuna Tissue Bank and provide advice on this matter to the Commission as appropriate.</w:t>
      </w:r>
    </w:p>
    <w:p w14:paraId="4F4AD6CA" w14:textId="77777777" w:rsidR="00792486" w:rsidRPr="004635E5" w:rsidRDefault="00792486" w:rsidP="006633A8">
      <w:pPr>
        <w:adjustRightInd w:val="0"/>
        <w:snapToGrid w:val="0"/>
        <w:ind w:left="720"/>
        <w:jc w:val="both"/>
        <w:rPr>
          <w:rFonts w:eastAsiaTheme="minorEastAsia"/>
          <w:b/>
          <w:sz w:val="22"/>
          <w:szCs w:val="22"/>
          <w:lang w:eastAsia="ko-KR"/>
        </w:rPr>
      </w:pPr>
    </w:p>
    <w:p w14:paraId="051EF38E" w14:textId="77777777" w:rsidR="00D6480D" w:rsidRPr="004635E5" w:rsidRDefault="00D6480D" w:rsidP="00580EA4">
      <w:pPr>
        <w:pStyle w:val="SC2"/>
        <w:numPr>
          <w:ilvl w:val="1"/>
          <w:numId w:val="161"/>
        </w:numPr>
        <w:spacing w:after="0"/>
        <w:ind w:left="0" w:firstLine="0"/>
      </w:pPr>
      <w:r w:rsidRPr="004635E5">
        <w:t>Other Projects</w:t>
      </w:r>
    </w:p>
    <w:p w14:paraId="0F723ED8" w14:textId="77777777" w:rsidR="00792486" w:rsidRPr="004635E5" w:rsidRDefault="00792486" w:rsidP="006633A8">
      <w:pPr>
        <w:pStyle w:val="SC2"/>
        <w:numPr>
          <w:ilvl w:val="0"/>
          <w:numId w:val="0"/>
        </w:numPr>
        <w:spacing w:after="0"/>
        <w:ind w:left="720"/>
      </w:pPr>
    </w:p>
    <w:p w14:paraId="2CE1970C" w14:textId="77777777" w:rsidR="003E209F" w:rsidRPr="004635E5" w:rsidRDefault="003E209F" w:rsidP="00580EA4">
      <w:pPr>
        <w:numPr>
          <w:ilvl w:val="0"/>
          <w:numId w:val="18"/>
        </w:numPr>
        <w:autoSpaceDE w:val="0"/>
        <w:autoSpaceDN w:val="0"/>
        <w:adjustRightInd w:val="0"/>
        <w:snapToGrid w:val="0"/>
        <w:ind w:left="0" w:firstLine="0"/>
        <w:jc w:val="both"/>
        <w:rPr>
          <w:rFonts w:eastAsiaTheme="minorEastAsia"/>
          <w:b/>
          <w:sz w:val="22"/>
          <w:szCs w:val="22"/>
          <w:lang w:val="en-NZ" w:eastAsia="ko-KR"/>
        </w:rPr>
      </w:pPr>
      <w:r w:rsidRPr="004635E5">
        <w:rPr>
          <w:rFonts w:eastAsiaTheme="minorEastAsia"/>
          <w:sz w:val="22"/>
          <w:szCs w:val="22"/>
          <w:lang w:eastAsia="ko-KR"/>
        </w:rPr>
        <w:t xml:space="preserve">S. Soh (Secretariat) </w:t>
      </w:r>
      <w:r w:rsidR="00811833" w:rsidRPr="004635E5">
        <w:rPr>
          <w:rFonts w:eastAsiaTheme="minorEastAsia"/>
          <w:sz w:val="22"/>
          <w:szCs w:val="22"/>
          <w:lang w:eastAsia="ko-KR"/>
        </w:rPr>
        <w:t>referenced SC142018/GN-WP-04, which outlines the voluntary support Members and Observers of the Commission voluntarily provided for the scientific work of the Commission. The European Union made available to WCPFC in 2016/17</w:t>
      </w:r>
      <w:r w:rsidR="00F81EF0">
        <w:rPr>
          <w:rFonts w:eastAsiaTheme="minorEastAsia"/>
          <w:sz w:val="22"/>
          <w:szCs w:val="22"/>
          <w:lang w:eastAsia="ko-KR"/>
        </w:rPr>
        <w:t xml:space="preserve"> </w:t>
      </w:r>
      <w:r w:rsidR="00811833" w:rsidRPr="004635E5">
        <w:rPr>
          <w:rFonts w:eastAsiaTheme="minorEastAsia"/>
          <w:sz w:val="22"/>
          <w:szCs w:val="22"/>
          <w:lang w:eastAsia="ko-KR"/>
        </w:rPr>
        <w:t>approx</w:t>
      </w:r>
      <w:r w:rsidR="00223043" w:rsidRPr="004635E5">
        <w:rPr>
          <w:rFonts w:eastAsiaTheme="minorEastAsia"/>
          <w:sz w:val="22"/>
          <w:szCs w:val="22"/>
          <w:lang w:eastAsia="ko-KR"/>
        </w:rPr>
        <w:t>imately</w:t>
      </w:r>
      <w:r w:rsidR="00F81EF0">
        <w:rPr>
          <w:rFonts w:eastAsiaTheme="minorEastAsia"/>
          <w:sz w:val="22"/>
          <w:szCs w:val="22"/>
          <w:lang w:eastAsia="ko-KR"/>
        </w:rPr>
        <w:t xml:space="preserve"> </w:t>
      </w:r>
      <w:r w:rsidR="00223043" w:rsidRPr="004635E5">
        <w:rPr>
          <w:rFonts w:eastAsiaTheme="minorEastAsia"/>
          <w:sz w:val="22"/>
          <w:szCs w:val="22"/>
          <w:lang w:eastAsia="ko-KR"/>
        </w:rPr>
        <w:t>$</w:t>
      </w:r>
      <w:r w:rsidR="00811833" w:rsidRPr="004635E5">
        <w:rPr>
          <w:rFonts w:eastAsiaTheme="minorEastAsia"/>
          <w:sz w:val="22"/>
          <w:szCs w:val="22"/>
          <w:lang w:eastAsia="ko-KR"/>
        </w:rPr>
        <w:t>1</w:t>
      </w:r>
      <w:r w:rsidR="00223043" w:rsidRPr="004635E5">
        <w:rPr>
          <w:rFonts w:eastAsiaTheme="minorEastAsia"/>
          <w:sz w:val="22"/>
          <w:szCs w:val="22"/>
          <w:lang w:eastAsia="ko-KR"/>
        </w:rPr>
        <w:t xml:space="preserve"> </w:t>
      </w:r>
      <w:r w:rsidR="00811833" w:rsidRPr="004635E5">
        <w:rPr>
          <w:rFonts w:eastAsiaTheme="minorEastAsia"/>
          <w:sz w:val="22"/>
          <w:szCs w:val="22"/>
          <w:lang w:eastAsia="ko-KR"/>
        </w:rPr>
        <w:t xml:space="preserve">million for various research projects </w:t>
      </w:r>
      <w:r w:rsidR="00223043" w:rsidRPr="004635E5">
        <w:rPr>
          <w:rFonts w:eastAsiaTheme="minorEastAsia"/>
          <w:sz w:val="22"/>
          <w:szCs w:val="22"/>
          <w:lang w:eastAsia="ko-KR"/>
        </w:rPr>
        <w:t xml:space="preserve">(e.g., </w:t>
      </w:r>
      <w:r w:rsidR="00811833" w:rsidRPr="004635E5">
        <w:rPr>
          <w:rFonts w:eastAsiaTheme="minorEastAsia"/>
          <w:sz w:val="22"/>
          <w:szCs w:val="22"/>
          <w:lang w:eastAsia="ko-KR"/>
        </w:rPr>
        <w:t>simulation testing of reference points, e</w:t>
      </w:r>
      <w:r w:rsidR="00223043" w:rsidRPr="004635E5">
        <w:rPr>
          <w:rFonts w:eastAsiaTheme="minorEastAsia"/>
          <w:sz w:val="22"/>
          <w:szCs w:val="22"/>
          <w:lang w:eastAsia="ko-KR"/>
        </w:rPr>
        <w:t>stimation of post-release shark and ray</w:t>
      </w:r>
      <w:r w:rsidR="00811833" w:rsidRPr="004635E5">
        <w:rPr>
          <w:rFonts w:eastAsiaTheme="minorEastAsia"/>
          <w:sz w:val="22"/>
          <w:szCs w:val="22"/>
          <w:lang w:eastAsia="ko-KR"/>
        </w:rPr>
        <w:t xml:space="preserve"> survival </w:t>
      </w:r>
      <w:r w:rsidR="00223043" w:rsidRPr="004635E5">
        <w:rPr>
          <w:rFonts w:eastAsiaTheme="minorEastAsia"/>
          <w:sz w:val="22"/>
          <w:szCs w:val="22"/>
          <w:lang w:eastAsia="ko-KR"/>
        </w:rPr>
        <w:t xml:space="preserve">in </w:t>
      </w:r>
      <w:r w:rsidR="00811833" w:rsidRPr="004635E5">
        <w:rPr>
          <w:rFonts w:eastAsiaTheme="minorEastAsia"/>
          <w:sz w:val="22"/>
          <w:szCs w:val="22"/>
          <w:lang w:eastAsia="ko-KR"/>
        </w:rPr>
        <w:t>longline and purse seine fisheries</w:t>
      </w:r>
      <w:r w:rsidR="00223043" w:rsidRPr="004635E5">
        <w:rPr>
          <w:rFonts w:eastAsiaTheme="minorEastAsia"/>
          <w:sz w:val="22"/>
          <w:szCs w:val="22"/>
          <w:lang w:eastAsia="ko-KR"/>
        </w:rPr>
        <w:t>,</w:t>
      </w:r>
      <w:r w:rsidR="00811833" w:rsidRPr="004635E5">
        <w:rPr>
          <w:rFonts w:eastAsiaTheme="minorEastAsia"/>
          <w:sz w:val="22"/>
          <w:szCs w:val="22"/>
          <w:lang w:eastAsia="ko-KR"/>
        </w:rPr>
        <w:t xml:space="preserve"> and bigeye/yellowfin juvenile </w:t>
      </w:r>
      <w:r w:rsidR="00223043" w:rsidRPr="004635E5">
        <w:rPr>
          <w:rFonts w:eastAsiaTheme="minorEastAsia"/>
          <w:sz w:val="22"/>
          <w:szCs w:val="22"/>
          <w:lang w:eastAsia="ko-KR"/>
        </w:rPr>
        <w:t>by</w:t>
      </w:r>
      <w:r w:rsidR="00811833" w:rsidRPr="004635E5">
        <w:rPr>
          <w:rFonts w:eastAsiaTheme="minorEastAsia"/>
          <w:sz w:val="22"/>
          <w:szCs w:val="22"/>
          <w:lang w:eastAsia="ko-KR"/>
        </w:rPr>
        <w:t>catch mitigation</w:t>
      </w:r>
      <w:r w:rsidR="00223043" w:rsidRPr="004635E5">
        <w:rPr>
          <w:rFonts w:eastAsiaTheme="minorEastAsia"/>
          <w:sz w:val="22"/>
          <w:szCs w:val="22"/>
          <w:lang w:eastAsia="ko-KR"/>
        </w:rPr>
        <w:t>)</w:t>
      </w:r>
      <w:r w:rsidR="00811833" w:rsidRPr="004635E5">
        <w:rPr>
          <w:rFonts w:eastAsiaTheme="minorEastAsia"/>
          <w:sz w:val="22"/>
          <w:szCs w:val="22"/>
          <w:lang w:eastAsia="ko-KR"/>
        </w:rPr>
        <w:t xml:space="preserve">. The second 5-year programme of the Korean government to support the SPC’s Pacific Tuna Tagging Project </w:t>
      </w:r>
      <w:r w:rsidR="00223043" w:rsidRPr="004635E5">
        <w:rPr>
          <w:rFonts w:eastAsiaTheme="minorEastAsia"/>
          <w:sz w:val="22"/>
          <w:szCs w:val="22"/>
          <w:lang w:eastAsia="ko-KR"/>
        </w:rPr>
        <w:t xml:space="preserve">began </w:t>
      </w:r>
      <w:r w:rsidRPr="004635E5">
        <w:rPr>
          <w:rFonts w:eastAsiaTheme="minorEastAsia"/>
          <w:sz w:val="22"/>
          <w:szCs w:val="22"/>
          <w:lang w:eastAsia="ko-KR"/>
        </w:rPr>
        <w:t>in 2014, providing about $</w:t>
      </w:r>
      <w:r w:rsidR="00811833" w:rsidRPr="004635E5">
        <w:rPr>
          <w:rFonts w:eastAsiaTheme="minorEastAsia"/>
          <w:sz w:val="22"/>
          <w:szCs w:val="22"/>
          <w:lang w:eastAsia="ko-KR"/>
        </w:rPr>
        <w:t xml:space="preserve">175,000 per year. During SC14, the Korean delegation confirmed that they will continue to provide funding support for the Pacific Tuna Tagging Project for another </w:t>
      </w:r>
      <w:r w:rsidRPr="004635E5">
        <w:rPr>
          <w:rFonts w:eastAsiaTheme="minorEastAsia"/>
          <w:sz w:val="22"/>
          <w:szCs w:val="22"/>
          <w:lang w:eastAsia="ko-KR"/>
        </w:rPr>
        <w:t xml:space="preserve">5 </w:t>
      </w:r>
      <w:r w:rsidR="00811833" w:rsidRPr="004635E5">
        <w:rPr>
          <w:rFonts w:eastAsiaTheme="minorEastAsia"/>
          <w:sz w:val="22"/>
          <w:szCs w:val="22"/>
          <w:lang w:eastAsia="ko-KR"/>
        </w:rPr>
        <w:t>years (2019-2023).</w:t>
      </w:r>
      <w:r w:rsidRPr="004635E5">
        <w:rPr>
          <w:rFonts w:eastAsiaTheme="minorEastAsia"/>
          <w:sz w:val="22"/>
          <w:szCs w:val="22"/>
          <w:lang w:eastAsia="ko-KR"/>
        </w:rPr>
        <w:t xml:space="preserve"> </w:t>
      </w:r>
    </w:p>
    <w:p w14:paraId="656C7223" w14:textId="77777777" w:rsidR="00792486" w:rsidRPr="004635E5" w:rsidRDefault="00792486" w:rsidP="006633A8">
      <w:pPr>
        <w:autoSpaceDE w:val="0"/>
        <w:autoSpaceDN w:val="0"/>
        <w:adjustRightInd w:val="0"/>
        <w:snapToGrid w:val="0"/>
        <w:jc w:val="both"/>
        <w:rPr>
          <w:rFonts w:eastAsiaTheme="minorEastAsia"/>
          <w:b/>
          <w:sz w:val="22"/>
          <w:szCs w:val="22"/>
          <w:lang w:val="en-NZ" w:eastAsia="ko-KR"/>
        </w:rPr>
      </w:pPr>
    </w:p>
    <w:p w14:paraId="0C638D32" w14:textId="77777777" w:rsidR="00223043" w:rsidRPr="004635E5" w:rsidRDefault="0068229C" w:rsidP="006633A8">
      <w:pPr>
        <w:pStyle w:val="ListParagraph"/>
        <w:adjustRightInd w:val="0"/>
        <w:snapToGrid w:val="0"/>
        <w:ind w:left="0"/>
        <w:jc w:val="both"/>
        <w:rPr>
          <w:rFonts w:eastAsiaTheme="minorEastAsia"/>
          <w:b/>
          <w:sz w:val="22"/>
          <w:szCs w:val="22"/>
          <w:lang w:val="en-NZ" w:eastAsia="ko-KR"/>
        </w:rPr>
      </w:pPr>
      <w:r w:rsidRPr="004635E5">
        <w:rPr>
          <w:rFonts w:eastAsiaTheme="minorEastAsia"/>
          <w:b/>
          <w:sz w:val="22"/>
          <w:szCs w:val="22"/>
          <w:lang w:val="en-NZ" w:eastAsia="ko-KR"/>
        </w:rPr>
        <w:t>Discussion</w:t>
      </w:r>
    </w:p>
    <w:p w14:paraId="622C80E4" w14:textId="77777777" w:rsidR="00792486" w:rsidRPr="004635E5" w:rsidRDefault="00792486" w:rsidP="006633A8">
      <w:pPr>
        <w:pStyle w:val="ListParagraph"/>
        <w:adjustRightInd w:val="0"/>
        <w:snapToGrid w:val="0"/>
        <w:ind w:left="0"/>
        <w:jc w:val="both"/>
        <w:rPr>
          <w:rFonts w:eastAsiaTheme="minorEastAsia"/>
          <w:b/>
          <w:sz w:val="22"/>
          <w:szCs w:val="22"/>
          <w:lang w:val="en-NZ" w:eastAsia="ko-KR"/>
        </w:rPr>
      </w:pPr>
    </w:p>
    <w:p w14:paraId="6059A0D7" w14:textId="77777777" w:rsidR="00D6480D" w:rsidRPr="004635E5" w:rsidRDefault="006A68FF"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T</w:t>
      </w:r>
      <w:r w:rsidR="00223043" w:rsidRPr="004635E5">
        <w:rPr>
          <w:rFonts w:eastAsiaTheme="minorEastAsia"/>
          <w:sz w:val="22"/>
          <w:szCs w:val="22"/>
          <w:lang w:val="en-NZ" w:eastAsia="ko-KR"/>
        </w:rPr>
        <w:t xml:space="preserve">he EU requested that </w:t>
      </w:r>
      <w:r w:rsidRPr="004635E5">
        <w:rPr>
          <w:rFonts w:eastAsiaTheme="minorEastAsia"/>
          <w:sz w:val="22"/>
          <w:szCs w:val="22"/>
          <w:lang w:val="en-NZ" w:eastAsia="ko-KR"/>
        </w:rPr>
        <w:t xml:space="preserve">information regarding funding </w:t>
      </w:r>
      <w:r w:rsidR="0068229C" w:rsidRPr="004635E5">
        <w:rPr>
          <w:rFonts w:eastAsiaTheme="minorEastAsia"/>
          <w:sz w:val="22"/>
          <w:szCs w:val="22"/>
          <w:lang w:val="en-NZ" w:eastAsia="ko-KR"/>
        </w:rPr>
        <w:t xml:space="preserve">be provided </w:t>
      </w:r>
      <w:r w:rsidRPr="004635E5">
        <w:rPr>
          <w:rFonts w:eastAsiaTheme="minorEastAsia"/>
          <w:sz w:val="22"/>
          <w:szCs w:val="22"/>
          <w:lang w:val="en-NZ" w:eastAsia="ko-KR"/>
        </w:rPr>
        <w:t>by project</w:t>
      </w:r>
      <w:r w:rsidR="00D71A21" w:rsidRPr="004635E5">
        <w:rPr>
          <w:rFonts w:eastAsiaTheme="minorEastAsia"/>
          <w:sz w:val="22"/>
          <w:szCs w:val="22"/>
          <w:lang w:val="en-NZ" w:eastAsia="ko-KR"/>
        </w:rPr>
        <w:t xml:space="preserve">. </w:t>
      </w:r>
    </w:p>
    <w:p w14:paraId="697C352A" w14:textId="77777777" w:rsidR="004E76DF" w:rsidRPr="004635E5" w:rsidRDefault="004E76DF" w:rsidP="006633A8">
      <w:pPr>
        <w:adjustRightInd w:val="0"/>
        <w:snapToGrid w:val="0"/>
        <w:rPr>
          <w:rFonts w:eastAsiaTheme="minorEastAsia"/>
          <w:sz w:val="22"/>
          <w:szCs w:val="22"/>
          <w:lang w:val="en-NZ" w:eastAsia="ko-KR"/>
        </w:rPr>
      </w:pPr>
    </w:p>
    <w:p w14:paraId="5D107D06" w14:textId="77777777" w:rsidR="004E76DF" w:rsidRPr="004635E5" w:rsidRDefault="004E76DF" w:rsidP="006633A8">
      <w:pPr>
        <w:adjustRightInd w:val="0"/>
        <w:snapToGrid w:val="0"/>
        <w:rPr>
          <w:rFonts w:eastAsiaTheme="minorEastAsia"/>
          <w:sz w:val="22"/>
          <w:szCs w:val="22"/>
          <w:lang w:val="en-NZ" w:eastAsia="ko-KR"/>
        </w:rPr>
      </w:pPr>
    </w:p>
    <w:p w14:paraId="5C99372E" w14:textId="77777777" w:rsidR="00A83306" w:rsidRPr="004635E5" w:rsidRDefault="005D03CD" w:rsidP="006633A8">
      <w:pPr>
        <w:pStyle w:val="Heading1"/>
        <w:numPr>
          <w:ilvl w:val="0"/>
          <w:numId w:val="0"/>
        </w:numPr>
        <w:adjustRightInd w:val="0"/>
        <w:snapToGrid w:val="0"/>
        <w:spacing w:after="0"/>
        <w:ind w:left="720"/>
      </w:pPr>
      <w:r w:rsidRPr="004635E5">
        <w:t>AGENDA ITEM 8</w:t>
      </w:r>
      <w:r w:rsidR="00174FEF" w:rsidRPr="004635E5">
        <w:t xml:space="preserve"> — </w:t>
      </w:r>
      <w:r w:rsidR="00A83306" w:rsidRPr="004635E5">
        <w:t>COOPERATION WITH OTHER ORGANISATIONS</w:t>
      </w:r>
      <w:r w:rsidR="00472973" w:rsidRPr="004635E5">
        <w:fldChar w:fldCharType="begin"/>
      </w:r>
      <w:r w:rsidRPr="004635E5">
        <w:instrText xml:space="preserve"> TC "</w:instrText>
      </w:r>
      <w:bookmarkStart w:id="128" w:name="_Toc522810368"/>
      <w:bookmarkStart w:id="129" w:name="_Toc16418022"/>
      <w:r w:rsidRPr="004635E5">
        <w:instrText>AGENDA ITEM 8 — COOPERATION WITH OTHER ORGANISATIONS</w:instrText>
      </w:r>
      <w:bookmarkEnd w:id="128"/>
      <w:bookmarkEnd w:id="129"/>
      <w:r w:rsidRPr="004635E5">
        <w:instrText xml:space="preserve">" \f C \l "1" </w:instrText>
      </w:r>
      <w:r w:rsidR="00472973" w:rsidRPr="004635E5">
        <w:fldChar w:fldCharType="end"/>
      </w:r>
    </w:p>
    <w:p w14:paraId="7CE6BE0B" w14:textId="77777777" w:rsidR="00792486" w:rsidRPr="004635E5" w:rsidRDefault="00792486" w:rsidP="006633A8">
      <w:pPr>
        <w:adjustRightInd w:val="0"/>
        <w:snapToGrid w:val="0"/>
        <w:rPr>
          <w:sz w:val="22"/>
          <w:szCs w:val="22"/>
          <w:lang w:val="en-NZ"/>
        </w:rPr>
      </w:pPr>
    </w:p>
    <w:p w14:paraId="3B15A023" w14:textId="77777777" w:rsidR="006A1F5B" w:rsidRPr="004635E5" w:rsidRDefault="00D05EB1" w:rsidP="00580EA4">
      <w:pPr>
        <w:numPr>
          <w:ilvl w:val="0"/>
          <w:numId w:val="18"/>
        </w:numPr>
        <w:autoSpaceDE w:val="0"/>
        <w:autoSpaceDN w:val="0"/>
        <w:adjustRightInd w:val="0"/>
        <w:snapToGrid w:val="0"/>
        <w:ind w:left="0" w:firstLine="0"/>
        <w:jc w:val="both"/>
        <w:rPr>
          <w:i/>
          <w:vanish/>
          <w:sz w:val="22"/>
          <w:szCs w:val="22"/>
          <w:lang w:val="en-NZ"/>
        </w:rPr>
      </w:pPr>
      <w:r w:rsidRPr="004635E5">
        <w:rPr>
          <w:vanish/>
          <w:sz w:val="22"/>
          <w:szCs w:val="22"/>
          <w:lang w:val="en-NZ"/>
        </w:rPr>
        <w:t xml:space="preserve">The Secretariat tabled </w:t>
      </w:r>
      <w:r w:rsidRPr="004635E5">
        <w:rPr>
          <w:sz w:val="22"/>
          <w:szCs w:val="22"/>
          <w:lang w:val="en-NZ"/>
        </w:rPr>
        <w:t xml:space="preserve">GN-IP-01, </w:t>
      </w:r>
      <w:r w:rsidRPr="004635E5">
        <w:rPr>
          <w:i/>
          <w:sz w:val="22"/>
          <w:szCs w:val="22"/>
          <w:lang w:val="en-NZ"/>
        </w:rPr>
        <w:t>Cooperation with other Organizations.</w:t>
      </w:r>
      <w:r w:rsidR="00174FEF" w:rsidRPr="004635E5">
        <w:rPr>
          <w:sz w:val="22"/>
          <w:szCs w:val="22"/>
          <w:lang w:val="en-NZ"/>
        </w:rPr>
        <w:t xml:space="preserve"> There was no discussion under this agenda item.</w:t>
      </w:r>
      <w:r w:rsidRPr="004635E5">
        <w:rPr>
          <w:i/>
          <w:sz w:val="22"/>
          <w:szCs w:val="22"/>
          <w:lang w:val="en-NZ"/>
        </w:rPr>
        <w:t xml:space="preserve"> </w:t>
      </w:r>
    </w:p>
    <w:p w14:paraId="47AD272C" w14:textId="77777777" w:rsidR="00A15147" w:rsidRPr="004635E5" w:rsidRDefault="00A15147" w:rsidP="006633A8">
      <w:pPr>
        <w:adjustRightInd w:val="0"/>
        <w:snapToGrid w:val="0"/>
        <w:rPr>
          <w:rFonts w:eastAsiaTheme="minorEastAsia"/>
          <w:b/>
          <w:sz w:val="22"/>
          <w:szCs w:val="22"/>
          <w:lang w:val="en-NZ" w:eastAsia="ko-KR"/>
        </w:rPr>
      </w:pPr>
    </w:p>
    <w:p w14:paraId="58C48F43" w14:textId="77777777" w:rsidR="004E76DF" w:rsidRPr="004635E5" w:rsidRDefault="004E76DF" w:rsidP="006633A8">
      <w:pPr>
        <w:adjustRightInd w:val="0"/>
        <w:snapToGrid w:val="0"/>
        <w:rPr>
          <w:rFonts w:eastAsiaTheme="minorEastAsia"/>
          <w:b/>
          <w:sz w:val="22"/>
          <w:szCs w:val="22"/>
          <w:lang w:val="en-NZ" w:eastAsia="ko-KR"/>
        </w:rPr>
      </w:pPr>
    </w:p>
    <w:p w14:paraId="07B8D3BC" w14:textId="77777777" w:rsidR="004E76DF" w:rsidRPr="004635E5" w:rsidRDefault="004E76DF" w:rsidP="006633A8">
      <w:pPr>
        <w:adjustRightInd w:val="0"/>
        <w:snapToGrid w:val="0"/>
        <w:rPr>
          <w:rFonts w:eastAsiaTheme="minorEastAsia"/>
          <w:b/>
          <w:sz w:val="22"/>
          <w:szCs w:val="22"/>
          <w:lang w:val="en-NZ" w:eastAsia="ko-KR"/>
        </w:rPr>
      </w:pPr>
    </w:p>
    <w:p w14:paraId="589F9755" w14:textId="77777777" w:rsidR="00174FEF" w:rsidRPr="004635E5" w:rsidRDefault="005D03CD" w:rsidP="006633A8">
      <w:pPr>
        <w:pStyle w:val="Heading1"/>
        <w:numPr>
          <w:ilvl w:val="0"/>
          <w:numId w:val="0"/>
        </w:numPr>
        <w:adjustRightInd w:val="0"/>
        <w:snapToGrid w:val="0"/>
        <w:spacing w:after="0"/>
        <w:ind w:left="360"/>
      </w:pPr>
      <w:r w:rsidRPr="004635E5">
        <w:t>AGENDA ITEM 9</w:t>
      </w:r>
      <w:r w:rsidR="00174FEF" w:rsidRPr="004635E5">
        <w:t xml:space="preserve"> — </w:t>
      </w:r>
      <w:r w:rsidR="00A83306" w:rsidRPr="004635E5">
        <w:t xml:space="preserve">SPECIAL REQUIREMENTS OF DEVELOPING STATES </w:t>
      </w:r>
    </w:p>
    <w:p w14:paraId="7D7D6F04" w14:textId="1E2E8B4F" w:rsidR="005B5D29" w:rsidRPr="004635E5" w:rsidRDefault="00A83306" w:rsidP="006633A8">
      <w:pPr>
        <w:pStyle w:val="Heading1"/>
        <w:numPr>
          <w:ilvl w:val="0"/>
          <w:numId w:val="0"/>
        </w:numPr>
        <w:adjustRightInd w:val="0"/>
        <w:snapToGrid w:val="0"/>
        <w:spacing w:after="0"/>
        <w:ind w:left="720"/>
      </w:pPr>
      <w:r w:rsidRPr="004635E5">
        <w:t>AND PARTICIPATING TERRITORIES</w:t>
      </w:r>
      <w:r w:rsidR="002F3B07" w:rsidRPr="004635E5">
        <w:fldChar w:fldCharType="begin"/>
      </w:r>
      <w:r w:rsidR="002F3B07" w:rsidRPr="004635E5">
        <w:instrText xml:space="preserve"> TC "</w:instrText>
      </w:r>
      <w:bookmarkStart w:id="130" w:name="_Toc16418023"/>
      <w:r w:rsidR="002F3B07">
        <w:instrText>A</w:instrText>
      </w:r>
      <w:r w:rsidR="002F3B07" w:rsidRPr="004635E5">
        <w:instrText>GENDA ITEM 9 — SPECIAL REQUIREMENTS OF DEVELOPING STATES</w:instrText>
      </w:r>
      <w:bookmarkEnd w:id="130"/>
      <w:r w:rsidR="002F3B07" w:rsidRPr="004635E5">
        <w:instrText xml:space="preserve"> " \f C \l "1" </w:instrText>
      </w:r>
      <w:r w:rsidR="002F3B07" w:rsidRPr="004635E5">
        <w:fldChar w:fldCharType="end"/>
      </w:r>
    </w:p>
    <w:p w14:paraId="5018F62C" w14:textId="77777777" w:rsidR="00792486" w:rsidRPr="004635E5" w:rsidRDefault="00792486" w:rsidP="006633A8">
      <w:pPr>
        <w:adjustRightInd w:val="0"/>
        <w:snapToGrid w:val="0"/>
        <w:rPr>
          <w:sz w:val="22"/>
          <w:szCs w:val="22"/>
          <w:lang w:val="en-NZ"/>
        </w:rPr>
      </w:pPr>
    </w:p>
    <w:p w14:paraId="68A8CA6D" w14:textId="77777777" w:rsidR="00792486" w:rsidRPr="005F2962" w:rsidRDefault="002266FC"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sz w:val="22"/>
          <w:szCs w:val="22"/>
          <w:lang w:val="en-AU"/>
        </w:rPr>
        <w:t xml:space="preserve">T. Beeching </w:t>
      </w:r>
      <w:r w:rsidR="005A5865" w:rsidRPr="004635E5">
        <w:rPr>
          <w:sz w:val="22"/>
          <w:szCs w:val="22"/>
          <w:lang w:val="en-AU"/>
        </w:rPr>
        <w:t xml:space="preserve">(Secretariat) </w:t>
      </w:r>
      <w:r w:rsidRPr="004635E5">
        <w:rPr>
          <w:sz w:val="22"/>
          <w:szCs w:val="22"/>
          <w:lang w:val="en-AU"/>
        </w:rPr>
        <w:t xml:space="preserve">presented </w:t>
      </w:r>
      <w:r w:rsidRPr="004635E5">
        <w:rPr>
          <w:bCs/>
          <w:sz w:val="22"/>
          <w:szCs w:val="22"/>
          <w:lang w:val="en-AU"/>
        </w:rPr>
        <w:t>SC14-RP-JTF-01</w:t>
      </w:r>
      <w:r w:rsidRPr="004635E5">
        <w:rPr>
          <w:sz w:val="22"/>
          <w:szCs w:val="22"/>
          <w:lang w:val="en-AU"/>
        </w:rPr>
        <w:t xml:space="preserve"> </w:t>
      </w:r>
      <w:r w:rsidRPr="004635E5">
        <w:rPr>
          <w:i/>
          <w:sz w:val="22"/>
          <w:szCs w:val="22"/>
          <w:lang w:val="en-AU"/>
        </w:rPr>
        <w:t>Japan Trust Fund Status Report (2018)</w:t>
      </w:r>
      <w:r w:rsidRPr="004635E5">
        <w:rPr>
          <w:sz w:val="22"/>
          <w:szCs w:val="22"/>
          <w:lang w:val="en-AU"/>
        </w:rPr>
        <w:t xml:space="preserve">; and </w:t>
      </w:r>
      <w:r w:rsidRPr="004635E5">
        <w:rPr>
          <w:bCs/>
          <w:sz w:val="22"/>
          <w:szCs w:val="22"/>
          <w:lang w:val="en-AU"/>
        </w:rPr>
        <w:t>SC14-RP-JTF-02</w:t>
      </w:r>
      <w:r w:rsidRPr="004635E5">
        <w:rPr>
          <w:sz w:val="22"/>
          <w:szCs w:val="22"/>
          <w:lang w:val="en-AU"/>
        </w:rPr>
        <w:t xml:space="preserve"> </w:t>
      </w:r>
      <w:r w:rsidRPr="004635E5">
        <w:rPr>
          <w:i/>
          <w:sz w:val="22"/>
          <w:szCs w:val="22"/>
          <w:lang w:val="en-AU"/>
        </w:rPr>
        <w:t>Japan Trust Fund Steering Committee Report</w:t>
      </w:r>
      <w:r w:rsidR="005A5865" w:rsidRPr="004635E5">
        <w:rPr>
          <w:sz w:val="22"/>
          <w:szCs w:val="22"/>
          <w:lang w:val="en-AU"/>
        </w:rPr>
        <w:t xml:space="preserve">. </w:t>
      </w:r>
    </w:p>
    <w:p w14:paraId="2E6AACA3" w14:textId="77777777" w:rsidR="005F2962" w:rsidRDefault="005F2962" w:rsidP="006633A8">
      <w:pPr>
        <w:autoSpaceDE w:val="0"/>
        <w:autoSpaceDN w:val="0"/>
        <w:adjustRightInd w:val="0"/>
        <w:snapToGrid w:val="0"/>
        <w:jc w:val="both"/>
        <w:rPr>
          <w:rFonts w:eastAsiaTheme="minorEastAsia"/>
          <w:sz w:val="22"/>
          <w:szCs w:val="22"/>
          <w:lang w:eastAsia="ko-KR"/>
        </w:rPr>
      </w:pPr>
    </w:p>
    <w:p w14:paraId="4D6DB86A" w14:textId="77777777" w:rsidR="005F2962" w:rsidRPr="004635E5" w:rsidRDefault="005F2962"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0B78A4">
        <w:rPr>
          <w:rFonts w:eastAsiaTheme="minorEastAsia"/>
          <w:sz w:val="22"/>
          <w:szCs w:val="22"/>
          <w:lang w:eastAsia="ko-KR"/>
        </w:rPr>
        <w:t>WCPFC Assistant Science Manager, T</w:t>
      </w:r>
      <w:r w:rsidR="00C6333E">
        <w:rPr>
          <w:rFonts w:eastAsiaTheme="minorEastAsia" w:hint="eastAsia"/>
          <w:sz w:val="22"/>
          <w:szCs w:val="22"/>
          <w:lang w:eastAsia="ko-KR"/>
        </w:rPr>
        <w:t>.</w:t>
      </w:r>
      <w:r w:rsidRPr="000B78A4">
        <w:rPr>
          <w:rFonts w:eastAsiaTheme="minorEastAsia"/>
          <w:sz w:val="22"/>
          <w:szCs w:val="22"/>
          <w:lang w:eastAsia="ko-KR"/>
        </w:rPr>
        <w:t xml:space="preserve"> Beeching, </w:t>
      </w:r>
      <w:r>
        <w:rPr>
          <w:rFonts w:eastAsiaTheme="minorEastAsia"/>
          <w:sz w:val="22"/>
          <w:szCs w:val="22"/>
          <w:lang w:eastAsia="ko-KR"/>
        </w:rPr>
        <w:t xml:space="preserve">mentioned that 2018 was the second </w:t>
      </w:r>
      <w:r w:rsidRPr="000B78A4">
        <w:rPr>
          <w:rFonts w:eastAsiaTheme="minorEastAsia"/>
          <w:sz w:val="22"/>
          <w:szCs w:val="22"/>
          <w:lang w:eastAsia="ko-KR"/>
        </w:rPr>
        <w:t>extension year of the second phase of the JTF; and WCPFC disbursed USD128,84</w:t>
      </w:r>
      <w:r>
        <w:rPr>
          <w:rFonts w:eastAsiaTheme="minorEastAsia"/>
          <w:sz w:val="22"/>
          <w:szCs w:val="22"/>
          <w:lang w:eastAsia="ko-KR"/>
        </w:rPr>
        <w:t>9.73</w:t>
      </w:r>
      <w:r w:rsidRPr="000B78A4">
        <w:rPr>
          <w:rFonts w:eastAsiaTheme="minorEastAsia"/>
          <w:sz w:val="22"/>
          <w:szCs w:val="22"/>
          <w:lang w:eastAsia="ko-KR"/>
        </w:rPr>
        <w:t xml:space="preserve"> </w:t>
      </w:r>
      <w:r>
        <w:rPr>
          <w:rFonts w:eastAsiaTheme="minorEastAsia"/>
          <w:sz w:val="22"/>
          <w:szCs w:val="22"/>
          <w:lang w:eastAsia="ko-KR"/>
        </w:rPr>
        <w:t xml:space="preserve">in support of five projects </w:t>
      </w:r>
      <w:r w:rsidRPr="000B78A4">
        <w:rPr>
          <w:rFonts w:eastAsiaTheme="minorEastAsia"/>
          <w:sz w:val="22"/>
          <w:szCs w:val="22"/>
          <w:lang w:eastAsia="ko-KR"/>
        </w:rPr>
        <w:t>Tonga (x</w:t>
      </w:r>
      <w:r>
        <w:rPr>
          <w:rFonts w:eastAsiaTheme="minorEastAsia"/>
          <w:sz w:val="22"/>
          <w:szCs w:val="22"/>
          <w:lang w:eastAsia="ko-KR"/>
        </w:rPr>
        <w:t>3</w:t>
      </w:r>
      <w:r w:rsidRPr="000B78A4">
        <w:rPr>
          <w:rFonts w:eastAsiaTheme="minorEastAsia"/>
          <w:sz w:val="22"/>
          <w:szCs w:val="22"/>
          <w:lang w:eastAsia="ko-KR"/>
        </w:rPr>
        <w:t>)</w:t>
      </w:r>
      <w:r>
        <w:rPr>
          <w:rFonts w:eastAsiaTheme="minorEastAsia"/>
          <w:sz w:val="22"/>
          <w:szCs w:val="22"/>
          <w:lang w:eastAsia="ko-KR"/>
        </w:rPr>
        <w:t>, Tuvalu and Vietnam</w:t>
      </w:r>
      <w:r w:rsidRPr="000B78A4">
        <w:rPr>
          <w:rFonts w:eastAsiaTheme="minorEastAsia"/>
          <w:sz w:val="22"/>
          <w:szCs w:val="22"/>
          <w:lang w:eastAsia="ko-KR"/>
        </w:rPr>
        <w:t>. A JTF steering committee meeting held in the margins of SC1</w:t>
      </w:r>
      <w:r>
        <w:rPr>
          <w:rFonts w:eastAsiaTheme="minorEastAsia"/>
          <w:sz w:val="22"/>
          <w:szCs w:val="22"/>
          <w:lang w:eastAsia="ko-KR"/>
        </w:rPr>
        <w:t>4</w:t>
      </w:r>
      <w:r w:rsidRPr="000B78A4">
        <w:rPr>
          <w:rFonts w:eastAsiaTheme="minorEastAsia"/>
          <w:sz w:val="22"/>
          <w:szCs w:val="22"/>
          <w:lang w:eastAsia="ko-KR"/>
        </w:rPr>
        <w:t xml:space="preserve"> discussed the status and any challenges of current projects and projects carried over from earlier years</w:t>
      </w:r>
      <w:r>
        <w:rPr>
          <w:rFonts w:eastAsiaTheme="minorEastAsia"/>
          <w:sz w:val="22"/>
          <w:szCs w:val="22"/>
          <w:lang w:eastAsia="ko-KR"/>
        </w:rPr>
        <w:t xml:space="preserve">. The current projects are all on course to finish by the end of 2018. Three projects carried over from earlier years, one each from 2015, 2016 and 2017, </w:t>
      </w:r>
      <w:r>
        <w:rPr>
          <w:rFonts w:eastAsiaTheme="minorEastAsia" w:hint="eastAsia"/>
          <w:sz w:val="22"/>
          <w:szCs w:val="22"/>
          <w:lang w:eastAsia="ko-KR"/>
        </w:rPr>
        <w:t>submitted</w:t>
      </w:r>
      <w:r>
        <w:rPr>
          <w:rFonts w:eastAsiaTheme="minorEastAsia"/>
          <w:sz w:val="22"/>
          <w:szCs w:val="22"/>
          <w:lang w:eastAsia="ko-KR"/>
        </w:rPr>
        <w:t xml:space="preserve"> refreshed proposals and requests for extensions, and were granted further extensions into 2019. It is anticipated that there will be call for proposals for a third extensions of the JTF, and members were encouraged to prepare their applications as soon as possible in advance of the call.</w:t>
      </w:r>
    </w:p>
    <w:p w14:paraId="05489420" w14:textId="77777777" w:rsidR="00D05EB1" w:rsidRPr="004635E5" w:rsidRDefault="005A5865" w:rsidP="006633A8">
      <w:pPr>
        <w:autoSpaceDE w:val="0"/>
        <w:autoSpaceDN w:val="0"/>
        <w:adjustRightInd w:val="0"/>
        <w:snapToGrid w:val="0"/>
        <w:jc w:val="both"/>
        <w:rPr>
          <w:rFonts w:eastAsiaTheme="minorEastAsia"/>
          <w:sz w:val="22"/>
          <w:szCs w:val="22"/>
          <w:lang w:eastAsia="ko-KR"/>
        </w:rPr>
      </w:pPr>
      <w:r w:rsidRPr="004635E5">
        <w:rPr>
          <w:rFonts w:eastAsiaTheme="minorEastAsia"/>
          <w:sz w:val="22"/>
          <w:szCs w:val="22"/>
          <w:lang w:eastAsia="ko-KR"/>
        </w:rPr>
        <w:t xml:space="preserve"> </w:t>
      </w:r>
    </w:p>
    <w:p w14:paraId="4C674C64" w14:textId="77777777" w:rsidR="00127D8E" w:rsidRPr="004635E5" w:rsidRDefault="00D05EB1" w:rsidP="006633A8">
      <w:pPr>
        <w:adjustRightInd w:val="0"/>
        <w:snapToGrid w:val="0"/>
        <w:jc w:val="both"/>
        <w:rPr>
          <w:rFonts w:eastAsiaTheme="minorEastAsia"/>
          <w:b/>
          <w:sz w:val="22"/>
          <w:szCs w:val="22"/>
          <w:lang w:eastAsia="ko-KR"/>
        </w:rPr>
      </w:pPr>
      <w:r w:rsidRPr="004635E5">
        <w:rPr>
          <w:rFonts w:eastAsiaTheme="minorEastAsia"/>
          <w:b/>
          <w:sz w:val="22"/>
          <w:szCs w:val="22"/>
          <w:lang w:eastAsia="ko-KR"/>
        </w:rPr>
        <w:t>Discussion</w:t>
      </w:r>
    </w:p>
    <w:p w14:paraId="31EA7E15" w14:textId="77777777" w:rsidR="00792486" w:rsidRPr="004635E5" w:rsidRDefault="00792486" w:rsidP="006633A8">
      <w:pPr>
        <w:adjustRightInd w:val="0"/>
        <w:snapToGrid w:val="0"/>
        <w:jc w:val="both"/>
        <w:rPr>
          <w:rFonts w:eastAsiaTheme="minorEastAsia"/>
          <w:b/>
          <w:sz w:val="22"/>
          <w:szCs w:val="22"/>
          <w:lang w:eastAsia="ko-KR"/>
        </w:rPr>
      </w:pPr>
    </w:p>
    <w:p w14:paraId="0BF3B8BC" w14:textId="77777777" w:rsidR="00624746" w:rsidRPr="004635E5" w:rsidRDefault="002266FC"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 xml:space="preserve">Tuvalu noted that </w:t>
      </w:r>
      <w:r w:rsidR="00D05EB1" w:rsidRPr="004635E5">
        <w:rPr>
          <w:rFonts w:eastAsiaTheme="minorEastAsia"/>
          <w:sz w:val="22"/>
          <w:szCs w:val="22"/>
          <w:lang w:eastAsia="ko-KR"/>
        </w:rPr>
        <w:t xml:space="preserve">FFA members are appreciative of genuine efforts made by certain CCMs to support the special requirements of </w:t>
      </w:r>
      <w:r w:rsidR="00C6333E">
        <w:rPr>
          <w:rFonts w:eastAsiaTheme="minorEastAsia" w:hint="eastAsia"/>
          <w:sz w:val="22"/>
          <w:szCs w:val="22"/>
          <w:lang w:eastAsia="ko-KR"/>
        </w:rPr>
        <w:t>SIDS</w:t>
      </w:r>
      <w:r w:rsidR="00D05EB1" w:rsidRPr="004635E5">
        <w:rPr>
          <w:rFonts w:eastAsiaTheme="minorEastAsia"/>
          <w:sz w:val="22"/>
          <w:szCs w:val="22"/>
          <w:lang w:eastAsia="ko-KR"/>
        </w:rPr>
        <w:t xml:space="preserve">. </w:t>
      </w:r>
      <w:r w:rsidR="003E209F" w:rsidRPr="004635E5">
        <w:rPr>
          <w:rFonts w:eastAsiaTheme="minorEastAsia"/>
          <w:sz w:val="22"/>
          <w:szCs w:val="22"/>
          <w:lang w:eastAsia="ko-KR"/>
        </w:rPr>
        <w:t xml:space="preserve">They </w:t>
      </w:r>
      <w:r w:rsidR="00D05EB1" w:rsidRPr="004635E5">
        <w:rPr>
          <w:rFonts w:eastAsiaTheme="minorEastAsia"/>
          <w:sz w:val="22"/>
          <w:szCs w:val="22"/>
          <w:lang w:eastAsia="ko-KR"/>
        </w:rPr>
        <w:t>note</w:t>
      </w:r>
      <w:r w:rsidR="003E209F" w:rsidRPr="004635E5">
        <w:rPr>
          <w:rFonts w:eastAsiaTheme="minorEastAsia"/>
          <w:sz w:val="22"/>
          <w:szCs w:val="22"/>
          <w:lang w:eastAsia="ko-KR"/>
        </w:rPr>
        <w:t>d</w:t>
      </w:r>
      <w:r w:rsidR="00D05EB1" w:rsidRPr="004635E5">
        <w:rPr>
          <w:rFonts w:eastAsiaTheme="minorEastAsia"/>
          <w:sz w:val="22"/>
          <w:szCs w:val="22"/>
          <w:lang w:eastAsia="ko-KR"/>
        </w:rPr>
        <w:t xml:space="preserve"> the Chinese-Taipei Trust Fund is in its second year of implementation, and thank</w:t>
      </w:r>
      <w:r w:rsidR="003E209F" w:rsidRPr="004635E5">
        <w:rPr>
          <w:rFonts w:eastAsiaTheme="minorEastAsia"/>
          <w:sz w:val="22"/>
          <w:szCs w:val="22"/>
          <w:lang w:eastAsia="ko-KR"/>
        </w:rPr>
        <w:t>ed</w:t>
      </w:r>
      <w:r w:rsidR="00D05EB1" w:rsidRPr="004635E5">
        <w:rPr>
          <w:rFonts w:eastAsiaTheme="minorEastAsia"/>
          <w:sz w:val="22"/>
          <w:szCs w:val="22"/>
          <w:lang w:eastAsia="ko-KR"/>
        </w:rPr>
        <w:t xml:space="preserve"> Chinese-Taipei for their commitment to supporting SIDS capacity development needs. </w:t>
      </w:r>
      <w:r w:rsidR="003E209F" w:rsidRPr="004635E5">
        <w:rPr>
          <w:rFonts w:eastAsiaTheme="minorEastAsia"/>
          <w:sz w:val="22"/>
          <w:szCs w:val="22"/>
          <w:lang w:eastAsia="ko-KR"/>
        </w:rPr>
        <w:t xml:space="preserve">They </w:t>
      </w:r>
      <w:r w:rsidR="00D05EB1" w:rsidRPr="004635E5">
        <w:rPr>
          <w:rFonts w:eastAsiaTheme="minorEastAsia"/>
          <w:sz w:val="22"/>
          <w:szCs w:val="22"/>
          <w:lang w:eastAsia="ko-KR"/>
        </w:rPr>
        <w:t>request</w:t>
      </w:r>
      <w:r w:rsidR="003E209F" w:rsidRPr="004635E5">
        <w:rPr>
          <w:rFonts w:eastAsiaTheme="minorEastAsia"/>
          <w:sz w:val="22"/>
          <w:szCs w:val="22"/>
          <w:lang w:eastAsia="ko-KR"/>
        </w:rPr>
        <w:t>ed</w:t>
      </w:r>
      <w:r w:rsidR="00D05EB1" w:rsidRPr="004635E5">
        <w:rPr>
          <w:rFonts w:eastAsiaTheme="minorEastAsia"/>
          <w:sz w:val="22"/>
          <w:szCs w:val="22"/>
          <w:lang w:eastAsia="ko-KR"/>
        </w:rPr>
        <w:t xml:space="preserve"> however, that an annual report be provided by Chinese-Taipei on the projects supported under this fund to help coordinate various capacity assistance efforts.</w:t>
      </w:r>
      <w:r w:rsidR="00F81EF0">
        <w:rPr>
          <w:rFonts w:eastAsiaTheme="minorEastAsia"/>
          <w:sz w:val="22"/>
          <w:szCs w:val="22"/>
          <w:lang w:eastAsia="ko-KR"/>
        </w:rPr>
        <w:t xml:space="preserve"> </w:t>
      </w:r>
      <w:r w:rsidR="003E209F" w:rsidRPr="004635E5">
        <w:rPr>
          <w:rFonts w:eastAsiaTheme="minorEastAsia"/>
          <w:sz w:val="22"/>
          <w:szCs w:val="22"/>
          <w:lang w:eastAsia="ko-KR"/>
        </w:rPr>
        <w:t xml:space="preserve">They </w:t>
      </w:r>
      <w:r w:rsidR="00D05EB1" w:rsidRPr="004635E5">
        <w:rPr>
          <w:rFonts w:eastAsiaTheme="minorEastAsia"/>
          <w:sz w:val="22"/>
          <w:szCs w:val="22"/>
          <w:lang w:eastAsia="ko-KR"/>
        </w:rPr>
        <w:t>note</w:t>
      </w:r>
      <w:r w:rsidR="003E209F" w:rsidRPr="004635E5">
        <w:rPr>
          <w:rFonts w:eastAsiaTheme="minorEastAsia"/>
          <w:sz w:val="22"/>
          <w:szCs w:val="22"/>
          <w:lang w:eastAsia="ko-KR"/>
        </w:rPr>
        <w:t>d</w:t>
      </w:r>
      <w:r w:rsidR="00D05EB1" w:rsidRPr="004635E5">
        <w:rPr>
          <w:rFonts w:eastAsiaTheme="minorEastAsia"/>
          <w:sz w:val="22"/>
          <w:szCs w:val="22"/>
          <w:lang w:eastAsia="ko-KR"/>
        </w:rPr>
        <w:t xml:space="preserve"> the important work being undertaken by the virtual special requirements fund IWG in the development of a strategic investment plan, but also that opportunities to enhance the scientific capacity of individuals and fisheries administrations of SIDS should continue to be supported beyond this. The ability for SIDS to participate in the SC and consider the highly technical nature and content of its deliberations has improved over time, but requires further commitment by all CCMs and stakeholders of the Commission to ensure that the provisions in CMM 2013-07, particularly paragraphs 4</w:t>
      </w:r>
      <w:r w:rsidR="00624746" w:rsidRPr="004635E5">
        <w:rPr>
          <w:rFonts w:eastAsiaTheme="minorEastAsia"/>
          <w:sz w:val="22"/>
          <w:szCs w:val="22"/>
          <w:lang w:eastAsia="ko-KR"/>
        </w:rPr>
        <w:t>–</w:t>
      </w:r>
      <w:r w:rsidR="00D05EB1" w:rsidRPr="004635E5">
        <w:rPr>
          <w:rFonts w:eastAsiaTheme="minorEastAsia"/>
          <w:sz w:val="22"/>
          <w:szCs w:val="22"/>
          <w:lang w:eastAsia="ko-KR"/>
        </w:rPr>
        <w:t>7</w:t>
      </w:r>
      <w:r w:rsidR="00624746" w:rsidRPr="004635E5">
        <w:rPr>
          <w:rFonts w:eastAsiaTheme="minorEastAsia"/>
          <w:sz w:val="22"/>
          <w:szCs w:val="22"/>
          <w:lang w:eastAsia="ko-KR"/>
        </w:rPr>
        <w:t>,</w:t>
      </w:r>
      <w:r w:rsidR="00D05EB1" w:rsidRPr="004635E5">
        <w:rPr>
          <w:rFonts w:eastAsiaTheme="minorEastAsia"/>
          <w:sz w:val="22"/>
          <w:szCs w:val="22"/>
          <w:lang w:eastAsia="ko-KR"/>
        </w:rPr>
        <w:t xml:space="preserve"> are proactively implemented.</w:t>
      </w:r>
    </w:p>
    <w:p w14:paraId="2002B441" w14:textId="77777777" w:rsidR="00624746" w:rsidRPr="004635E5" w:rsidRDefault="00624746" w:rsidP="006633A8">
      <w:pPr>
        <w:autoSpaceDE w:val="0"/>
        <w:autoSpaceDN w:val="0"/>
        <w:adjustRightInd w:val="0"/>
        <w:snapToGrid w:val="0"/>
        <w:jc w:val="both"/>
        <w:rPr>
          <w:rFonts w:eastAsiaTheme="minorEastAsia"/>
          <w:sz w:val="22"/>
          <w:szCs w:val="22"/>
          <w:lang w:eastAsia="ko-KR"/>
        </w:rPr>
      </w:pPr>
    </w:p>
    <w:p w14:paraId="22C9DEAF" w14:textId="77777777" w:rsidR="009A455E" w:rsidRPr="004635E5" w:rsidRDefault="00FA2B00"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Tonga</w:t>
      </w:r>
      <w:r w:rsidR="00624746" w:rsidRPr="004635E5">
        <w:rPr>
          <w:rFonts w:eastAsiaTheme="minorEastAsia"/>
          <w:sz w:val="22"/>
          <w:szCs w:val="22"/>
          <w:lang w:eastAsia="ko-KR"/>
        </w:rPr>
        <w:t xml:space="preserve">, on behalf of </w:t>
      </w:r>
      <w:r w:rsidRPr="004635E5">
        <w:rPr>
          <w:rFonts w:eastAsiaTheme="minorEastAsia"/>
          <w:sz w:val="22"/>
          <w:szCs w:val="22"/>
          <w:lang w:eastAsia="ko-KR"/>
        </w:rPr>
        <w:t>FFA members</w:t>
      </w:r>
      <w:r w:rsidR="00624746" w:rsidRPr="004635E5">
        <w:rPr>
          <w:rFonts w:eastAsiaTheme="minorEastAsia"/>
          <w:sz w:val="22"/>
          <w:szCs w:val="22"/>
          <w:lang w:eastAsia="ko-KR"/>
        </w:rPr>
        <w:t>, thanked the government of Japan</w:t>
      </w:r>
      <w:r w:rsidRPr="004635E5">
        <w:rPr>
          <w:rFonts w:eastAsiaTheme="minorEastAsia"/>
          <w:sz w:val="22"/>
          <w:szCs w:val="22"/>
          <w:lang w:eastAsia="ko-KR"/>
        </w:rPr>
        <w:t xml:space="preserve"> </w:t>
      </w:r>
      <w:r w:rsidR="00624746" w:rsidRPr="004635E5">
        <w:rPr>
          <w:rFonts w:eastAsiaTheme="minorEastAsia"/>
          <w:sz w:val="22"/>
          <w:szCs w:val="22"/>
          <w:lang w:eastAsia="ko-KR"/>
        </w:rPr>
        <w:t xml:space="preserve">regarding the Japanese Trust Fund, which they stated had been very helpful in supporting some of their activities.  </w:t>
      </w:r>
    </w:p>
    <w:p w14:paraId="35709479" w14:textId="77777777" w:rsidR="00624746" w:rsidRPr="004635E5" w:rsidRDefault="00624746" w:rsidP="006633A8">
      <w:pPr>
        <w:autoSpaceDE w:val="0"/>
        <w:autoSpaceDN w:val="0"/>
        <w:adjustRightInd w:val="0"/>
        <w:snapToGrid w:val="0"/>
        <w:jc w:val="both"/>
        <w:rPr>
          <w:rFonts w:eastAsiaTheme="minorEastAsia"/>
          <w:sz w:val="22"/>
          <w:szCs w:val="22"/>
          <w:lang w:eastAsia="ko-KR"/>
        </w:rPr>
      </w:pPr>
    </w:p>
    <w:p w14:paraId="3AFCC8F0" w14:textId="77777777" w:rsidR="00FA2B00" w:rsidRPr="004635E5" w:rsidRDefault="00FA2B00" w:rsidP="00580EA4">
      <w:pPr>
        <w:numPr>
          <w:ilvl w:val="0"/>
          <w:numId w:val="18"/>
        </w:numPr>
        <w:autoSpaceDE w:val="0"/>
        <w:autoSpaceDN w:val="0"/>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Japan</w:t>
      </w:r>
      <w:r w:rsidR="006319C1" w:rsidRPr="004635E5">
        <w:rPr>
          <w:rFonts w:eastAsiaTheme="minorEastAsia"/>
          <w:sz w:val="22"/>
          <w:szCs w:val="22"/>
          <w:lang w:eastAsia="ko-KR"/>
        </w:rPr>
        <w:t xml:space="preserve"> thanked</w:t>
      </w:r>
      <w:r w:rsidRPr="004635E5">
        <w:rPr>
          <w:rFonts w:eastAsiaTheme="minorEastAsia"/>
          <w:sz w:val="22"/>
          <w:szCs w:val="22"/>
          <w:lang w:eastAsia="ko-KR"/>
        </w:rPr>
        <w:t xml:space="preserve"> CCMs using </w:t>
      </w:r>
      <w:r w:rsidR="006319C1" w:rsidRPr="004635E5">
        <w:rPr>
          <w:rFonts w:eastAsiaTheme="minorEastAsia"/>
          <w:sz w:val="22"/>
          <w:szCs w:val="22"/>
          <w:lang w:eastAsia="ko-KR"/>
        </w:rPr>
        <w:t xml:space="preserve">the </w:t>
      </w:r>
      <w:r w:rsidRPr="004635E5">
        <w:rPr>
          <w:rFonts w:eastAsiaTheme="minorEastAsia"/>
          <w:sz w:val="22"/>
          <w:szCs w:val="22"/>
          <w:lang w:eastAsia="ko-KR"/>
        </w:rPr>
        <w:t xml:space="preserve">JTF, and </w:t>
      </w:r>
      <w:r w:rsidR="006319C1" w:rsidRPr="004635E5">
        <w:rPr>
          <w:rFonts w:eastAsiaTheme="minorEastAsia"/>
          <w:sz w:val="22"/>
          <w:szCs w:val="22"/>
          <w:lang w:eastAsia="ko-KR"/>
        </w:rPr>
        <w:t xml:space="preserve">the </w:t>
      </w:r>
      <w:r w:rsidRPr="004635E5">
        <w:rPr>
          <w:rFonts w:eastAsiaTheme="minorEastAsia"/>
          <w:sz w:val="22"/>
          <w:szCs w:val="22"/>
          <w:lang w:eastAsia="ko-KR"/>
        </w:rPr>
        <w:t>Sec</w:t>
      </w:r>
      <w:r w:rsidR="006319C1" w:rsidRPr="004635E5">
        <w:rPr>
          <w:rFonts w:eastAsiaTheme="minorEastAsia"/>
          <w:sz w:val="22"/>
          <w:szCs w:val="22"/>
          <w:lang w:eastAsia="ko-KR"/>
        </w:rPr>
        <w:t>retariat</w:t>
      </w:r>
      <w:r w:rsidRPr="004635E5">
        <w:rPr>
          <w:rFonts w:eastAsiaTheme="minorEastAsia"/>
          <w:sz w:val="22"/>
          <w:szCs w:val="22"/>
          <w:lang w:eastAsia="ko-KR"/>
        </w:rPr>
        <w:t xml:space="preserve"> </w:t>
      </w:r>
      <w:r w:rsidR="006319C1" w:rsidRPr="004635E5">
        <w:rPr>
          <w:rFonts w:eastAsiaTheme="minorEastAsia"/>
          <w:sz w:val="22"/>
          <w:szCs w:val="22"/>
          <w:lang w:eastAsia="ko-KR"/>
        </w:rPr>
        <w:t xml:space="preserve">for its </w:t>
      </w:r>
      <w:r w:rsidRPr="004635E5">
        <w:rPr>
          <w:rFonts w:eastAsiaTheme="minorEastAsia"/>
          <w:sz w:val="22"/>
          <w:szCs w:val="22"/>
          <w:lang w:eastAsia="ko-KR"/>
        </w:rPr>
        <w:t xml:space="preserve">support of </w:t>
      </w:r>
      <w:r w:rsidR="006319C1" w:rsidRPr="004635E5">
        <w:rPr>
          <w:rFonts w:eastAsiaTheme="minorEastAsia"/>
          <w:sz w:val="22"/>
          <w:szCs w:val="22"/>
          <w:lang w:eastAsia="ko-KR"/>
        </w:rPr>
        <w:t xml:space="preserve">the </w:t>
      </w:r>
      <w:r w:rsidRPr="004635E5">
        <w:rPr>
          <w:rFonts w:eastAsiaTheme="minorEastAsia"/>
          <w:sz w:val="22"/>
          <w:szCs w:val="22"/>
          <w:lang w:eastAsia="ko-KR"/>
        </w:rPr>
        <w:t xml:space="preserve">fund. </w:t>
      </w:r>
      <w:r w:rsidR="006319C1" w:rsidRPr="004635E5">
        <w:rPr>
          <w:rFonts w:eastAsiaTheme="minorEastAsia"/>
          <w:sz w:val="22"/>
          <w:szCs w:val="22"/>
          <w:lang w:eastAsia="ko-KR"/>
        </w:rPr>
        <w:t xml:space="preserve">Japan noted that the WCPFC was </w:t>
      </w:r>
      <w:r w:rsidRPr="004635E5">
        <w:rPr>
          <w:rFonts w:eastAsiaTheme="minorEastAsia"/>
          <w:sz w:val="22"/>
          <w:szCs w:val="22"/>
          <w:lang w:eastAsia="ko-KR"/>
        </w:rPr>
        <w:t xml:space="preserve">unique </w:t>
      </w:r>
      <w:r w:rsidR="006319C1" w:rsidRPr="004635E5">
        <w:rPr>
          <w:rFonts w:eastAsiaTheme="minorEastAsia"/>
          <w:sz w:val="22"/>
          <w:szCs w:val="22"/>
          <w:lang w:eastAsia="ko-KR"/>
        </w:rPr>
        <w:t xml:space="preserve">among RFMOs in that most of the </w:t>
      </w:r>
      <w:r w:rsidRPr="004635E5">
        <w:rPr>
          <w:rFonts w:eastAsiaTheme="minorEastAsia"/>
          <w:sz w:val="22"/>
          <w:szCs w:val="22"/>
          <w:lang w:eastAsia="ko-KR"/>
        </w:rPr>
        <w:t>fish</w:t>
      </w:r>
      <w:r w:rsidR="006319C1" w:rsidRPr="004635E5">
        <w:rPr>
          <w:rFonts w:eastAsiaTheme="minorEastAsia"/>
          <w:sz w:val="22"/>
          <w:szCs w:val="22"/>
          <w:lang w:eastAsia="ko-KR"/>
        </w:rPr>
        <w:t>ing</w:t>
      </w:r>
      <w:r w:rsidRPr="004635E5">
        <w:rPr>
          <w:rFonts w:eastAsiaTheme="minorEastAsia"/>
          <w:sz w:val="22"/>
          <w:szCs w:val="22"/>
          <w:lang w:eastAsia="ko-KR"/>
        </w:rPr>
        <w:t xml:space="preserve"> gr</w:t>
      </w:r>
      <w:r w:rsidR="006319C1" w:rsidRPr="004635E5">
        <w:rPr>
          <w:rFonts w:eastAsiaTheme="minorEastAsia"/>
          <w:sz w:val="22"/>
          <w:szCs w:val="22"/>
          <w:lang w:eastAsia="ko-KR"/>
        </w:rPr>
        <w:t>ou</w:t>
      </w:r>
      <w:r w:rsidRPr="004635E5">
        <w:rPr>
          <w:rFonts w:eastAsiaTheme="minorEastAsia"/>
          <w:sz w:val="22"/>
          <w:szCs w:val="22"/>
          <w:lang w:eastAsia="ko-KR"/>
        </w:rPr>
        <w:t xml:space="preserve">nds are in </w:t>
      </w:r>
      <w:r w:rsidR="006319C1" w:rsidRPr="004635E5">
        <w:rPr>
          <w:rFonts w:eastAsiaTheme="minorEastAsia"/>
          <w:sz w:val="22"/>
          <w:szCs w:val="22"/>
          <w:lang w:eastAsia="ko-KR"/>
        </w:rPr>
        <w:t xml:space="preserve">within the </w:t>
      </w:r>
      <w:r w:rsidRPr="004635E5">
        <w:rPr>
          <w:rFonts w:eastAsiaTheme="minorEastAsia"/>
          <w:sz w:val="22"/>
          <w:szCs w:val="22"/>
          <w:lang w:eastAsia="ko-KR"/>
        </w:rPr>
        <w:t>EEZs of dev</w:t>
      </w:r>
      <w:r w:rsidR="006319C1" w:rsidRPr="004635E5">
        <w:rPr>
          <w:rFonts w:eastAsiaTheme="minorEastAsia"/>
          <w:sz w:val="22"/>
          <w:szCs w:val="22"/>
          <w:lang w:eastAsia="ko-KR"/>
        </w:rPr>
        <w:t>eloping</w:t>
      </w:r>
      <w:r w:rsidR="002266FC" w:rsidRPr="004635E5">
        <w:rPr>
          <w:rFonts w:eastAsiaTheme="minorEastAsia"/>
          <w:sz w:val="22"/>
          <w:szCs w:val="22"/>
          <w:lang w:eastAsia="ko-KR"/>
        </w:rPr>
        <w:t xml:space="preserve"> states, noting it was essential </w:t>
      </w:r>
      <w:r w:rsidRPr="004635E5">
        <w:rPr>
          <w:rFonts w:eastAsiaTheme="minorEastAsia"/>
          <w:sz w:val="22"/>
          <w:szCs w:val="22"/>
          <w:lang w:eastAsia="ko-KR"/>
        </w:rPr>
        <w:t xml:space="preserve">to help </w:t>
      </w:r>
      <w:r w:rsidR="002266FC" w:rsidRPr="004635E5">
        <w:rPr>
          <w:rFonts w:eastAsiaTheme="minorEastAsia"/>
          <w:sz w:val="22"/>
          <w:szCs w:val="22"/>
          <w:lang w:eastAsia="ko-KR"/>
        </w:rPr>
        <w:t>SIDS develop their fisheries management capacity</w:t>
      </w:r>
      <w:r w:rsidRPr="004635E5">
        <w:rPr>
          <w:rFonts w:eastAsiaTheme="minorEastAsia"/>
          <w:sz w:val="22"/>
          <w:szCs w:val="22"/>
          <w:lang w:eastAsia="ko-KR"/>
        </w:rPr>
        <w:t xml:space="preserve">. </w:t>
      </w:r>
      <w:r w:rsidR="002266FC" w:rsidRPr="004635E5">
        <w:rPr>
          <w:rFonts w:eastAsiaTheme="minorEastAsia"/>
          <w:sz w:val="22"/>
          <w:szCs w:val="22"/>
          <w:lang w:eastAsia="ko-KR"/>
        </w:rPr>
        <w:t xml:space="preserve">They encouraged CCMs to apply for and </w:t>
      </w:r>
      <w:r w:rsidRPr="004635E5">
        <w:rPr>
          <w:rFonts w:eastAsiaTheme="minorEastAsia"/>
          <w:sz w:val="22"/>
          <w:szCs w:val="22"/>
          <w:lang w:eastAsia="ko-KR"/>
        </w:rPr>
        <w:t xml:space="preserve">fully use </w:t>
      </w:r>
      <w:r w:rsidR="002266FC" w:rsidRPr="004635E5">
        <w:rPr>
          <w:rFonts w:eastAsiaTheme="minorEastAsia"/>
          <w:sz w:val="22"/>
          <w:szCs w:val="22"/>
          <w:lang w:eastAsia="ko-KR"/>
        </w:rPr>
        <w:t>JTF funds</w:t>
      </w:r>
      <w:r w:rsidRPr="004635E5">
        <w:rPr>
          <w:rFonts w:eastAsiaTheme="minorEastAsia"/>
          <w:sz w:val="22"/>
          <w:szCs w:val="22"/>
          <w:lang w:eastAsia="ko-KR"/>
        </w:rPr>
        <w:t>.</w:t>
      </w:r>
    </w:p>
    <w:p w14:paraId="0EB57702" w14:textId="77777777" w:rsidR="00FA2B00" w:rsidRPr="004635E5" w:rsidRDefault="00FA2B00" w:rsidP="006633A8">
      <w:pPr>
        <w:adjustRightInd w:val="0"/>
        <w:snapToGrid w:val="0"/>
        <w:ind w:left="720"/>
        <w:jc w:val="both"/>
        <w:rPr>
          <w:rFonts w:eastAsiaTheme="minorEastAsia"/>
          <w:sz w:val="22"/>
          <w:szCs w:val="22"/>
          <w:lang w:eastAsia="ko-KR"/>
        </w:rPr>
      </w:pPr>
      <w:r w:rsidRPr="004635E5">
        <w:rPr>
          <w:rFonts w:eastAsiaTheme="minorEastAsia"/>
          <w:sz w:val="22"/>
          <w:szCs w:val="22"/>
          <w:lang w:eastAsia="ko-KR"/>
        </w:rPr>
        <w:t xml:space="preserve">. </w:t>
      </w:r>
    </w:p>
    <w:p w14:paraId="62A336B4" w14:textId="77777777" w:rsidR="004E76DF" w:rsidRPr="004635E5" w:rsidRDefault="004E76DF" w:rsidP="006633A8">
      <w:pPr>
        <w:pStyle w:val="Heading1"/>
        <w:numPr>
          <w:ilvl w:val="0"/>
          <w:numId w:val="0"/>
        </w:numPr>
        <w:adjustRightInd w:val="0"/>
        <w:snapToGrid w:val="0"/>
        <w:spacing w:after="0"/>
        <w:rPr>
          <w:lang w:eastAsia="ko-KR"/>
        </w:rPr>
      </w:pPr>
    </w:p>
    <w:p w14:paraId="2A769353" w14:textId="77777777" w:rsidR="00E41D57" w:rsidRPr="004635E5" w:rsidRDefault="005D03CD" w:rsidP="006633A8">
      <w:pPr>
        <w:pStyle w:val="Heading1"/>
        <w:numPr>
          <w:ilvl w:val="0"/>
          <w:numId w:val="0"/>
        </w:numPr>
        <w:adjustRightInd w:val="0"/>
        <w:snapToGrid w:val="0"/>
        <w:spacing w:after="0"/>
      </w:pPr>
      <w:r w:rsidRPr="004635E5">
        <w:t xml:space="preserve"> AGENDA ITEM 10 </w:t>
      </w:r>
      <w:r w:rsidR="00174FEF" w:rsidRPr="004635E5">
        <w:t xml:space="preserve">— </w:t>
      </w:r>
      <w:r w:rsidR="00A83306" w:rsidRPr="004635E5">
        <w:t>FUTURE WORK PROGRAM AND BUDGET</w:t>
      </w:r>
    </w:p>
    <w:p w14:paraId="21FE9B44" w14:textId="77777777" w:rsidR="00F47D4E" w:rsidRPr="004635E5" w:rsidRDefault="00472973" w:rsidP="006633A8">
      <w:pPr>
        <w:pStyle w:val="Heading1"/>
        <w:numPr>
          <w:ilvl w:val="0"/>
          <w:numId w:val="0"/>
        </w:numPr>
        <w:adjustRightInd w:val="0"/>
        <w:snapToGrid w:val="0"/>
        <w:spacing w:after="0"/>
      </w:pPr>
      <w:r w:rsidRPr="004635E5">
        <w:fldChar w:fldCharType="begin"/>
      </w:r>
      <w:r w:rsidR="005D03CD" w:rsidRPr="004635E5">
        <w:instrText xml:space="preserve"> TC "</w:instrText>
      </w:r>
      <w:bookmarkStart w:id="131" w:name="_Toc522810370"/>
      <w:bookmarkStart w:id="132" w:name="_Toc16418024"/>
      <w:r w:rsidR="005D03CD" w:rsidRPr="004635E5">
        <w:instrText>AGENDA ITEM 10 — FUTURE WORK PROGRAM AND BUDGET</w:instrText>
      </w:r>
      <w:bookmarkEnd w:id="131"/>
      <w:bookmarkEnd w:id="132"/>
      <w:r w:rsidR="005D03CD" w:rsidRPr="004635E5">
        <w:instrText xml:space="preserve">" \f C \l "1" </w:instrText>
      </w:r>
      <w:r w:rsidRPr="004635E5">
        <w:fldChar w:fldCharType="end"/>
      </w:r>
    </w:p>
    <w:p w14:paraId="3F973773" w14:textId="77777777" w:rsidR="00A15147" w:rsidRPr="004635E5" w:rsidRDefault="00A15147" w:rsidP="00580EA4">
      <w:pPr>
        <w:pStyle w:val="ListParagraph"/>
        <w:numPr>
          <w:ilvl w:val="0"/>
          <w:numId w:val="161"/>
        </w:numPr>
        <w:adjustRightInd w:val="0"/>
        <w:snapToGrid w:val="0"/>
        <w:jc w:val="both"/>
        <w:rPr>
          <w:b/>
          <w:vanish/>
          <w:sz w:val="22"/>
          <w:szCs w:val="22"/>
          <w:lang w:val="en-NZ"/>
        </w:rPr>
      </w:pPr>
    </w:p>
    <w:p w14:paraId="27371603" w14:textId="77777777" w:rsidR="00A15147" w:rsidRPr="004635E5" w:rsidRDefault="00A15147" w:rsidP="00580EA4">
      <w:pPr>
        <w:pStyle w:val="ListParagraph"/>
        <w:numPr>
          <w:ilvl w:val="0"/>
          <w:numId w:val="161"/>
        </w:numPr>
        <w:adjustRightInd w:val="0"/>
        <w:snapToGrid w:val="0"/>
        <w:jc w:val="both"/>
        <w:rPr>
          <w:b/>
          <w:vanish/>
          <w:sz w:val="22"/>
          <w:szCs w:val="22"/>
          <w:lang w:val="en-NZ"/>
        </w:rPr>
      </w:pPr>
    </w:p>
    <w:p w14:paraId="075445C3" w14:textId="77777777" w:rsidR="00A15147" w:rsidRPr="004635E5" w:rsidRDefault="00A15147" w:rsidP="00580EA4">
      <w:pPr>
        <w:pStyle w:val="ListParagraph"/>
        <w:numPr>
          <w:ilvl w:val="0"/>
          <w:numId w:val="161"/>
        </w:numPr>
        <w:adjustRightInd w:val="0"/>
        <w:snapToGrid w:val="0"/>
        <w:jc w:val="both"/>
        <w:rPr>
          <w:b/>
          <w:vanish/>
          <w:sz w:val="22"/>
          <w:szCs w:val="22"/>
          <w:lang w:val="en-NZ"/>
        </w:rPr>
      </w:pPr>
    </w:p>
    <w:p w14:paraId="4705070E" w14:textId="77777777" w:rsidR="001B45B8" w:rsidRPr="004635E5" w:rsidRDefault="001B45B8" w:rsidP="00580EA4">
      <w:pPr>
        <w:pStyle w:val="SC2"/>
        <w:numPr>
          <w:ilvl w:val="1"/>
          <w:numId w:val="161"/>
        </w:numPr>
        <w:spacing w:after="0"/>
      </w:pPr>
      <w:r w:rsidRPr="004635E5">
        <w:t>Review of the Scientific Committee Work Programme</w:t>
      </w:r>
    </w:p>
    <w:p w14:paraId="26EC8D4A" w14:textId="77777777" w:rsidR="00792486" w:rsidRPr="004635E5" w:rsidRDefault="00792486" w:rsidP="006633A8">
      <w:pPr>
        <w:pStyle w:val="SC2"/>
        <w:numPr>
          <w:ilvl w:val="0"/>
          <w:numId w:val="0"/>
        </w:numPr>
        <w:spacing w:after="0"/>
        <w:ind w:left="720"/>
      </w:pPr>
    </w:p>
    <w:p w14:paraId="5BF50442" w14:textId="77777777" w:rsidR="00792486" w:rsidRDefault="001F2446" w:rsidP="006633A8">
      <w:pPr>
        <w:pStyle w:val="WCPFC"/>
        <w:adjustRightInd w:val="0"/>
        <w:spacing w:after="0"/>
        <w:ind w:left="0" w:firstLine="0"/>
        <w:rPr>
          <w:rFonts w:cs="Times New Roman"/>
        </w:rPr>
      </w:pPr>
      <w:r w:rsidRPr="004635E5">
        <w:rPr>
          <w:rFonts w:cs="Times New Roman"/>
          <w:lang w:val="en-AU"/>
        </w:rPr>
        <w:t xml:space="preserve">T. Beeching </w:t>
      </w:r>
      <w:r w:rsidR="005A5865" w:rsidRPr="004635E5">
        <w:rPr>
          <w:rFonts w:cs="Times New Roman"/>
          <w:lang w:val="en-AU"/>
        </w:rPr>
        <w:t xml:space="preserve">(Secretariat) </w:t>
      </w:r>
      <w:r w:rsidRPr="004635E5">
        <w:rPr>
          <w:rFonts w:cs="Times New Roman"/>
        </w:rPr>
        <w:t>provided</w:t>
      </w:r>
      <w:r w:rsidR="00FA2B00" w:rsidRPr="004635E5">
        <w:rPr>
          <w:rFonts w:cs="Times New Roman"/>
        </w:rPr>
        <w:t xml:space="preserve"> </w:t>
      </w:r>
      <w:r w:rsidRPr="004635E5">
        <w:rPr>
          <w:rFonts w:cs="Times New Roman"/>
        </w:rPr>
        <w:t xml:space="preserve">an </w:t>
      </w:r>
      <w:r w:rsidR="00FA2B00" w:rsidRPr="004635E5">
        <w:rPr>
          <w:rFonts w:cs="Times New Roman"/>
        </w:rPr>
        <w:t xml:space="preserve">update of </w:t>
      </w:r>
      <w:r w:rsidRPr="004635E5">
        <w:rPr>
          <w:rFonts w:cs="Times New Roman"/>
        </w:rPr>
        <w:t xml:space="preserve">services provided to the WCPFC by the </w:t>
      </w:r>
      <w:r w:rsidR="00C93CB8">
        <w:rPr>
          <w:rFonts w:cs="Times New Roman" w:hint="eastAsia"/>
          <w:lang w:eastAsia="ko-KR"/>
        </w:rPr>
        <w:t>Scientific</w:t>
      </w:r>
      <w:r w:rsidR="00C93CB8" w:rsidRPr="004635E5">
        <w:rPr>
          <w:rFonts w:cs="Times New Roman"/>
        </w:rPr>
        <w:t xml:space="preserve"> </w:t>
      </w:r>
      <w:r w:rsidRPr="004635E5">
        <w:rPr>
          <w:rFonts w:cs="Times New Roman"/>
        </w:rPr>
        <w:t>Services Provider</w:t>
      </w:r>
      <w:r w:rsidR="00FA2B00" w:rsidRPr="004635E5">
        <w:rPr>
          <w:rFonts w:cs="Times New Roman"/>
        </w:rPr>
        <w:t xml:space="preserve">. </w:t>
      </w:r>
      <w:r w:rsidR="005A5865" w:rsidRPr="004635E5">
        <w:rPr>
          <w:rFonts w:cs="Times New Roman"/>
        </w:rPr>
        <w:t xml:space="preserve"> </w:t>
      </w:r>
    </w:p>
    <w:p w14:paraId="61B1308A" w14:textId="77777777" w:rsidR="00C2755B" w:rsidRDefault="00C2755B" w:rsidP="006633A8">
      <w:pPr>
        <w:pStyle w:val="WCPFC"/>
        <w:numPr>
          <w:ilvl w:val="0"/>
          <w:numId w:val="0"/>
        </w:numPr>
        <w:adjustRightInd w:val="0"/>
        <w:spacing w:after="0"/>
        <w:ind w:left="360"/>
        <w:rPr>
          <w:rFonts w:cs="Times New Roman"/>
        </w:rPr>
      </w:pPr>
    </w:p>
    <w:p w14:paraId="65A012CB" w14:textId="77777777" w:rsidR="00C2755B" w:rsidRPr="004635E5" w:rsidRDefault="00C2755B" w:rsidP="006633A8">
      <w:pPr>
        <w:pStyle w:val="WCPFC"/>
        <w:adjustRightInd w:val="0"/>
        <w:spacing w:after="0"/>
        <w:ind w:left="0" w:firstLine="0"/>
        <w:rPr>
          <w:rFonts w:cs="Times New Roman"/>
        </w:rPr>
      </w:pPr>
      <w:r w:rsidRPr="0048709A">
        <w:rPr>
          <w:rFonts w:eastAsia="Times New Roman" w:cs="Times New Roman"/>
          <w:color w:val="auto"/>
          <w:lang w:eastAsia="en-US"/>
        </w:rPr>
        <w:t>Regarding GN-WP-04 Intersessional Activities of the Scientific Committee, SC1</w:t>
      </w:r>
      <w:r>
        <w:rPr>
          <w:rFonts w:eastAsia="Times New Roman" w:cs="Times New Roman"/>
          <w:color w:val="auto"/>
          <w:lang w:eastAsia="en-US"/>
        </w:rPr>
        <w:t>4</w:t>
      </w:r>
      <w:r w:rsidRPr="0048709A">
        <w:rPr>
          <w:rFonts w:eastAsia="Times New Roman" w:cs="Times New Roman"/>
          <w:color w:val="auto"/>
          <w:lang w:eastAsia="en-US"/>
        </w:rPr>
        <w:t xml:space="preserve"> was briefed on the status of the SC1</w:t>
      </w:r>
      <w:r>
        <w:rPr>
          <w:rFonts w:eastAsia="Times New Roman" w:cs="Times New Roman"/>
          <w:color w:val="auto"/>
          <w:lang w:eastAsia="en-US"/>
        </w:rPr>
        <w:t>3</w:t>
      </w:r>
      <w:r w:rsidRPr="0048709A">
        <w:rPr>
          <w:rFonts w:eastAsia="Times New Roman" w:cs="Times New Roman"/>
          <w:color w:val="auto"/>
          <w:lang w:eastAsia="en-US"/>
        </w:rPr>
        <w:t xml:space="preserve"> work programme. In addition to the ongoing data management and other advisory services provided by SPC, the Assistant Science Manager highlighted as specific outputs, the stock assessment</w:t>
      </w:r>
      <w:r>
        <w:rPr>
          <w:rFonts w:eastAsia="Times New Roman" w:cs="Times New Roman"/>
          <w:color w:val="auto"/>
          <w:lang w:eastAsia="en-US"/>
        </w:rPr>
        <w:t xml:space="preserve"> update for </w:t>
      </w:r>
      <w:r w:rsidRPr="0048709A">
        <w:rPr>
          <w:rFonts w:eastAsia="Times New Roman" w:cs="Times New Roman"/>
          <w:color w:val="auto"/>
          <w:lang w:eastAsia="en-US"/>
        </w:rPr>
        <w:t xml:space="preserve">bigeye and </w:t>
      </w:r>
      <w:r>
        <w:rPr>
          <w:rFonts w:eastAsia="Times New Roman" w:cs="Times New Roman"/>
          <w:color w:val="auto"/>
          <w:lang w:eastAsia="en-US"/>
        </w:rPr>
        <w:t>the south pacific albacore stock assessment</w:t>
      </w:r>
      <w:r w:rsidRPr="0048709A">
        <w:rPr>
          <w:rFonts w:eastAsia="Times New Roman" w:cs="Times New Roman"/>
          <w:color w:val="auto"/>
          <w:lang w:eastAsia="en-US"/>
        </w:rPr>
        <w:t xml:space="preserve">, </w:t>
      </w:r>
      <w:r>
        <w:rPr>
          <w:rFonts w:eastAsia="Times New Roman" w:cs="Times New Roman"/>
          <w:color w:val="auto"/>
          <w:lang w:eastAsia="en-US"/>
        </w:rPr>
        <w:t xml:space="preserve">plus the </w:t>
      </w:r>
      <w:r w:rsidRPr="0048709A">
        <w:rPr>
          <w:rFonts w:eastAsia="Times New Roman" w:cs="Times New Roman"/>
          <w:color w:val="auto"/>
          <w:lang w:eastAsia="en-US"/>
        </w:rPr>
        <w:t xml:space="preserve">supporting science, notably on the biology and growth of bigeye </w:t>
      </w:r>
      <w:r>
        <w:rPr>
          <w:rFonts w:eastAsia="Times New Roman" w:cs="Times New Roman"/>
          <w:color w:val="auto"/>
          <w:lang w:eastAsia="en-US"/>
        </w:rPr>
        <w:t xml:space="preserve">and yellowfin tuna. </w:t>
      </w:r>
      <w:r w:rsidRPr="0048709A">
        <w:rPr>
          <w:rFonts w:eastAsia="Times New Roman" w:cs="Times New Roman"/>
          <w:color w:val="auto"/>
          <w:lang w:eastAsia="en-US"/>
        </w:rPr>
        <w:t>SPC authored or co-authored 49 papers submitted to SC1</w:t>
      </w:r>
      <w:r>
        <w:rPr>
          <w:rFonts w:eastAsia="Times New Roman" w:cs="Times New Roman"/>
          <w:color w:val="auto"/>
          <w:lang w:eastAsia="en-US"/>
        </w:rPr>
        <w:t>4</w:t>
      </w:r>
      <w:r w:rsidRPr="0048709A">
        <w:rPr>
          <w:rFonts w:eastAsia="Times New Roman" w:cs="Times New Roman"/>
          <w:color w:val="auto"/>
          <w:lang w:eastAsia="en-US"/>
        </w:rPr>
        <w:t>, (2</w:t>
      </w:r>
      <w:r>
        <w:rPr>
          <w:rFonts w:eastAsia="Times New Roman" w:cs="Times New Roman"/>
          <w:color w:val="auto"/>
          <w:lang w:eastAsia="en-US"/>
        </w:rPr>
        <w:t>4</w:t>
      </w:r>
      <w:r w:rsidRPr="0048709A">
        <w:rPr>
          <w:rFonts w:eastAsia="Times New Roman" w:cs="Times New Roman"/>
          <w:color w:val="auto"/>
          <w:lang w:eastAsia="en-US"/>
        </w:rPr>
        <w:t xml:space="preserve"> of which were working papers)</w:t>
      </w:r>
      <w:r>
        <w:rPr>
          <w:rFonts w:eastAsia="Times New Roman" w:cs="Times New Roman"/>
          <w:color w:val="auto"/>
          <w:lang w:eastAsia="en-US"/>
        </w:rPr>
        <w:t>. Attention of the SC was drawn to the substantial work done by SPC-OFP in support of Management Issues Theme, with the submission of 9 working papers and 4 information papers.</w:t>
      </w:r>
      <w:r w:rsidRPr="0048709A">
        <w:rPr>
          <w:rFonts w:eastAsia="Times New Roman" w:cs="Times New Roman"/>
          <w:color w:val="auto"/>
          <w:lang w:eastAsia="en-US"/>
        </w:rPr>
        <w:t xml:space="preserve"> It was noted that an unobligated budget was not provided for 201</w:t>
      </w:r>
      <w:r>
        <w:rPr>
          <w:rFonts w:eastAsia="Times New Roman" w:cs="Times New Roman"/>
          <w:color w:val="auto"/>
          <w:lang w:eastAsia="en-US"/>
        </w:rPr>
        <w:t>7</w:t>
      </w:r>
      <w:r w:rsidRPr="0048709A">
        <w:rPr>
          <w:rFonts w:eastAsia="Times New Roman" w:cs="Times New Roman"/>
          <w:color w:val="auto"/>
          <w:lang w:eastAsia="en-US"/>
        </w:rPr>
        <w:t>/1</w:t>
      </w:r>
      <w:r>
        <w:rPr>
          <w:rFonts w:eastAsia="Times New Roman" w:cs="Times New Roman"/>
          <w:color w:val="auto"/>
          <w:lang w:eastAsia="en-US"/>
        </w:rPr>
        <w:t>8</w:t>
      </w:r>
      <w:r w:rsidRPr="0048709A">
        <w:rPr>
          <w:rFonts w:eastAsia="Times New Roman" w:cs="Times New Roman"/>
          <w:color w:val="auto"/>
          <w:lang w:eastAsia="en-US"/>
        </w:rPr>
        <w:t>. Finally, three science projects supported by EU supplementary funding were detailed.</w:t>
      </w:r>
    </w:p>
    <w:p w14:paraId="48FDEED4" w14:textId="77777777" w:rsidR="00792486" w:rsidRPr="004635E5" w:rsidRDefault="00792486" w:rsidP="006633A8">
      <w:pPr>
        <w:adjustRightInd w:val="0"/>
        <w:snapToGrid w:val="0"/>
        <w:jc w:val="both"/>
        <w:rPr>
          <w:sz w:val="22"/>
          <w:szCs w:val="22"/>
          <w:lang w:val="en-NZ"/>
        </w:rPr>
      </w:pPr>
    </w:p>
    <w:p w14:paraId="50C0293C" w14:textId="77777777" w:rsidR="002266FC" w:rsidRPr="004635E5" w:rsidRDefault="00FA2B00" w:rsidP="006633A8">
      <w:pPr>
        <w:adjustRightInd w:val="0"/>
        <w:snapToGrid w:val="0"/>
        <w:jc w:val="both"/>
        <w:rPr>
          <w:b/>
          <w:sz w:val="22"/>
          <w:szCs w:val="22"/>
          <w:lang w:val="en-NZ"/>
        </w:rPr>
      </w:pPr>
      <w:r w:rsidRPr="004635E5">
        <w:rPr>
          <w:b/>
          <w:sz w:val="22"/>
          <w:szCs w:val="22"/>
          <w:lang w:val="en-NZ"/>
        </w:rPr>
        <w:t>Discussion</w:t>
      </w:r>
    </w:p>
    <w:p w14:paraId="76FAC40D" w14:textId="77777777" w:rsidR="00792486" w:rsidRPr="004635E5" w:rsidRDefault="00792486" w:rsidP="006633A8">
      <w:pPr>
        <w:adjustRightInd w:val="0"/>
        <w:snapToGrid w:val="0"/>
        <w:jc w:val="both"/>
        <w:rPr>
          <w:b/>
          <w:sz w:val="22"/>
          <w:szCs w:val="22"/>
          <w:lang w:val="en-NZ"/>
        </w:rPr>
      </w:pPr>
    </w:p>
    <w:p w14:paraId="0D401E16" w14:textId="77777777" w:rsidR="002266FC" w:rsidRPr="004635E5" w:rsidRDefault="002266FC"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The </w:t>
      </w:r>
      <w:r w:rsidR="00FA2B00" w:rsidRPr="004635E5">
        <w:rPr>
          <w:sz w:val="22"/>
          <w:szCs w:val="22"/>
          <w:lang w:val="en-NZ"/>
        </w:rPr>
        <w:t>EU commend</w:t>
      </w:r>
      <w:r w:rsidRPr="004635E5">
        <w:rPr>
          <w:sz w:val="22"/>
          <w:szCs w:val="22"/>
          <w:lang w:val="en-NZ"/>
        </w:rPr>
        <w:t>ed</w:t>
      </w:r>
      <w:r w:rsidR="00FA2B00" w:rsidRPr="004635E5">
        <w:rPr>
          <w:sz w:val="22"/>
          <w:szCs w:val="22"/>
          <w:lang w:val="en-NZ"/>
        </w:rPr>
        <w:t xml:space="preserve"> SPC for their work and cont</w:t>
      </w:r>
      <w:r w:rsidRPr="004635E5">
        <w:rPr>
          <w:sz w:val="22"/>
          <w:szCs w:val="22"/>
          <w:lang w:val="en-NZ"/>
        </w:rPr>
        <w:t>inued</w:t>
      </w:r>
      <w:r w:rsidR="00F81EF0">
        <w:rPr>
          <w:sz w:val="22"/>
          <w:szCs w:val="22"/>
          <w:lang w:val="en-NZ"/>
        </w:rPr>
        <w:t xml:space="preserve"> </w:t>
      </w:r>
      <w:r w:rsidR="00FA2B00" w:rsidRPr="004635E5">
        <w:rPr>
          <w:sz w:val="22"/>
          <w:szCs w:val="22"/>
          <w:lang w:val="en-NZ"/>
        </w:rPr>
        <w:t>support for the work of the SC.</w:t>
      </w:r>
    </w:p>
    <w:p w14:paraId="6FCEF31A" w14:textId="77777777" w:rsidR="00FA2B00" w:rsidRPr="004635E5" w:rsidRDefault="00FA2B00" w:rsidP="006633A8">
      <w:pPr>
        <w:autoSpaceDE w:val="0"/>
        <w:autoSpaceDN w:val="0"/>
        <w:adjustRightInd w:val="0"/>
        <w:snapToGrid w:val="0"/>
        <w:jc w:val="both"/>
        <w:rPr>
          <w:sz w:val="22"/>
          <w:szCs w:val="22"/>
          <w:lang w:val="en-NZ"/>
        </w:rPr>
      </w:pPr>
      <w:r w:rsidRPr="004635E5">
        <w:rPr>
          <w:sz w:val="22"/>
          <w:szCs w:val="22"/>
          <w:lang w:val="en-NZ"/>
        </w:rPr>
        <w:t xml:space="preserve"> </w:t>
      </w:r>
    </w:p>
    <w:p w14:paraId="715126BA" w14:textId="77777777" w:rsidR="002C13A9" w:rsidRPr="004635E5" w:rsidRDefault="007A31CF" w:rsidP="00580EA4">
      <w:pPr>
        <w:pStyle w:val="SC2"/>
        <w:numPr>
          <w:ilvl w:val="1"/>
          <w:numId w:val="161"/>
        </w:numPr>
        <w:spacing w:after="0"/>
        <w:ind w:left="720" w:hanging="720"/>
      </w:pPr>
      <w:r w:rsidRPr="004635E5">
        <w:t>Development of</w:t>
      </w:r>
      <w:r w:rsidR="004C3451" w:rsidRPr="004635E5">
        <w:t xml:space="preserve"> </w:t>
      </w:r>
      <w:r w:rsidR="00B9482F" w:rsidRPr="004635E5">
        <w:t xml:space="preserve">the </w:t>
      </w:r>
      <w:r w:rsidR="00C048B3" w:rsidRPr="004635E5">
        <w:t>201</w:t>
      </w:r>
      <w:r w:rsidR="00094FED" w:rsidRPr="004635E5">
        <w:rPr>
          <w:rFonts w:eastAsiaTheme="minorEastAsia"/>
        </w:rPr>
        <w:t>9</w:t>
      </w:r>
      <w:r w:rsidR="00C048B3" w:rsidRPr="004635E5">
        <w:t xml:space="preserve"> </w:t>
      </w:r>
      <w:r w:rsidR="00094FED" w:rsidRPr="004635E5">
        <w:rPr>
          <w:rFonts w:eastAsiaTheme="minorEastAsia"/>
        </w:rPr>
        <w:t>w</w:t>
      </w:r>
      <w:r w:rsidR="00094FED" w:rsidRPr="004635E5">
        <w:t xml:space="preserve">ork </w:t>
      </w:r>
      <w:r w:rsidR="00094FED" w:rsidRPr="004635E5">
        <w:rPr>
          <w:rFonts w:eastAsiaTheme="minorEastAsia"/>
        </w:rPr>
        <w:t>p</w:t>
      </w:r>
      <w:r w:rsidR="00094FED" w:rsidRPr="004635E5">
        <w:t xml:space="preserve">rogramme </w:t>
      </w:r>
      <w:r w:rsidR="007A5942" w:rsidRPr="004635E5">
        <w:t xml:space="preserve">and budget, and </w:t>
      </w:r>
      <w:r w:rsidR="004C3451" w:rsidRPr="004635E5">
        <w:t xml:space="preserve">projection of </w:t>
      </w:r>
      <w:r w:rsidR="00C048B3" w:rsidRPr="004635E5">
        <w:t>20</w:t>
      </w:r>
      <w:r w:rsidR="00094FED" w:rsidRPr="004635E5">
        <w:rPr>
          <w:rFonts w:eastAsiaTheme="minorEastAsia"/>
        </w:rPr>
        <w:t>20</w:t>
      </w:r>
      <w:r w:rsidR="007A5942" w:rsidRPr="004635E5">
        <w:t>-</w:t>
      </w:r>
      <w:r w:rsidR="00C048B3" w:rsidRPr="004635E5">
        <w:t>20</w:t>
      </w:r>
      <w:r w:rsidR="00CF62CA" w:rsidRPr="004635E5">
        <w:t>2</w:t>
      </w:r>
      <w:r w:rsidR="00094FED" w:rsidRPr="004635E5">
        <w:rPr>
          <w:rFonts w:eastAsiaTheme="minorEastAsia"/>
        </w:rPr>
        <w:t>1</w:t>
      </w:r>
      <w:r w:rsidR="00C048B3" w:rsidRPr="004635E5">
        <w:t xml:space="preserve"> </w:t>
      </w:r>
      <w:r w:rsidR="007A5942" w:rsidRPr="004635E5">
        <w:t xml:space="preserve">provisional </w:t>
      </w:r>
      <w:r w:rsidR="00094FED" w:rsidRPr="004635E5">
        <w:rPr>
          <w:rFonts w:eastAsiaTheme="minorEastAsia"/>
        </w:rPr>
        <w:t>w</w:t>
      </w:r>
      <w:r w:rsidR="00094FED" w:rsidRPr="004635E5">
        <w:t xml:space="preserve">ork </w:t>
      </w:r>
      <w:r w:rsidR="00094FED" w:rsidRPr="004635E5">
        <w:rPr>
          <w:rFonts w:eastAsiaTheme="minorEastAsia"/>
        </w:rPr>
        <w:t>p</w:t>
      </w:r>
      <w:r w:rsidR="00094FED" w:rsidRPr="004635E5">
        <w:t xml:space="preserve">rogramme </w:t>
      </w:r>
      <w:r w:rsidR="007A5942" w:rsidRPr="004635E5">
        <w:t>and indicative budget</w:t>
      </w:r>
      <w:r w:rsidR="00EC2690" w:rsidRPr="004635E5">
        <w:t xml:space="preserve"> </w:t>
      </w:r>
    </w:p>
    <w:p w14:paraId="51479831" w14:textId="77777777" w:rsidR="00792486" w:rsidRPr="004635E5" w:rsidRDefault="00792486" w:rsidP="006633A8">
      <w:pPr>
        <w:pStyle w:val="SC2"/>
        <w:numPr>
          <w:ilvl w:val="0"/>
          <w:numId w:val="0"/>
        </w:numPr>
        <w:spacing w:after="0"/>
        <w:ind w:left="720"/>
      </w:pPr>
    </w:p>
    <w:p w14:paraId="42A67BEC" w14:textId="77777777" w:rsidR="00FA2B00" w:rsidRPr="004635E5" w:rsidRDefault="00FA2B00" w:rsidP="00580EA4">
      <w:pPr>
        <w:numPr>
          <w:ilvl w:val="0"/>
          <w:numId w:val="18"/>
        </w:numPr>
        <w:autoSpaceDE w:val="0"/>
        <w:autoSpaceDN w:val="0"/>
        <w:adjustRightInd w:val="0"/>
        <w:snapToGrid w:val="0"/>
        <w:ind w:left="0" w:firstLine="0"/>
        <w:jc w:val="both"/>
        <w:rPr>
          <w:sz w:val="22"/>
          <w:szCs w:val="22"/>
        </w:rPr>
      </w:pPr>
      <w:r w:rsidRPr="004635E5">
        <w:rPr>
          <w:sz w:val="22"/>
          <w:szCs w:val="22"/>
        </w:rPr>
        <w:t>SC14 noted the recommendation from the Finance and Administration Committee to the Commission (Para 71, FAC9 Summary Report) that “</w:t>
      </w:r>
      <w:r w:rsidRPr="004635E5">
        <w:rPr>
          <w:i/>
          <w:sz w:val="22"/>
          <w:szCs w:val="22"/>
        </w:rPr>
        <w:t>WCPFC12 task SC with carefully considering proposed scientific projects in the context of the indicative budget agreed for the coming year.</w:t>
      </w:r>
      <w:r w:rsidRPr="004635E5">
        <w:rPr>
          <w:sz w:val="22"/>
          <w:szCs w:val="22"/>
        </w:rPr>
        <w:t xml:space="preserve">” </w:t>
      </w:r>
    </w:p>
    <w:p w14:paraId="07ECEAB3" w14:textId="77777777" w:rsidR="00FA2B00" w:rsidRPr="004635E5" w:rsidRDefault="00FA2B00" w:rsidP="006633A8">
      <w:pPr>
        <w:pStyle w:val="ListParagraph"/>
        <w:adjustRightInd w:val="0"/>
        <w:snapToGrid w:val="0"/>
        <w:rPr>
          <w:sz w:val="22"/>
          <w:szCs w:val="22"/>
        </w:rPr>
      </w:pPr>
    </w:p>
    <w:p w14:paraId="26F47FF7" w14:textId="77777777" w:rsidR="001F2446" w:rsidRPr="004635E5" w:rsidRDefault="00FA2B00" w:rsidP="00580EA4">
      <w:pPr>
        <w:numPr>
          <w:ilvl w:val="0"/>
          <w:numId w:val="18"/>
        </w:numPr>
        <w:autoSpaceDE w:val="0"/>
        <w:autoSpaceDN w:val="0"/>
        <w:adjustRightInd w:val="0"/>
        <w:snapToGrid w:val="0"/>
        <w:ind w:left="0" w:firstLine="0"/>
        <w:jc w:val="both"/>
        <w:rPr>
          <w:rFonts w:eastAsiaTheme="minorEastAsia"/>
          <w:b/>
          <w:sz w:val="22"/>
          <w:szCs w:val="22"/>
          <w:lang w:val="en-NZ" w:eastAsia="ko-KR"/>
        </w:rPr>
      </w:pPr>
      <w:r w:rsidRPr="004635E5">
        <w:rPr>
          <w:sz w:val="22"/>
          <w:szCs w:val="22"/>
        </w:rPr>
        <w:t xml:space="preserve">The SC </w:t>
      </w:r>
      <w:r w:rsidR="002266FC" w:rsidRPr="004635E5">
        <w:rPr>
          <w:sz w:val="22"/>
          <w:szCs w:val="22"/>
        </w:rPr>
        <w:t>C</w:t>
      </w:r>
      <w:r w:rsidRPr="004635E5">
        <w:rPr>
          <w:sz w:val="22"/>
          <w:szCs w:val="22"/>
        </w:rPr>
        <w:t xml:space="preserve">hair </w:t>
      </w:r>
      <w:r w:rsidR="002266FC" w:rsidRPr="004635E5">
        <w:rPr>
          <w:sz w:val="22"/>
          <w:szCs w:val="22"/>
        </w:rPr>
        <w:t xml:space="preserve">noted that </w:t>
      </w:r>
      <w:r w:rsidRPr="004635E5">
        <w:rPr>
          <w:sz w:val="22"/>
          <w:szCs w:val="22"/>
        </w:rPr>
        <w:t>ISG</w:t>
      </w:r>
      <w:r w:rsidR="002266FC" w:rsidRPr="004635E5">
        <w:rPr>
          <w:sz w:val="22"/>
          <w:szCs w:val="22"/>
        </w:rPr>
        <w:t>-08</w:t>
      </w:r>
      <w:r w:rsidRPr="004635E5">
        <w:rPr>
          <w:sz w:val="22"/>
          <w:szCs w:val="22"/>
        </w:rPr>
        <w:t xml:space="preserve"> </w:t>
      </w:r>
      <w:r w:rsidR="001F2446" w:rsidRPr="004635E5">
        <w:rPr>
          <w:sz w:val="22"/>
          <w:szCs w:val="22"/>
        </w:rPr>
        <w:t xml:space="preserve">held four meetings to discuss the </w:t>
      </w:r>
      <w:r w:rsidR="002266FC" w:rsidRPr="004635E5">
        <w:rPr>
          <w:sz w:val="22"/>
          <w:szCs w:val="22"/>
        </w:rPr>
        <w:t>Scientific Committee Work Programme and Budget for 2019-2021</w:t>
      </w:r>
      <w:r w:rsidR="001F2446" w:rsidRPr="004635E5">
        <w:rPr>
          <w:sz w:val="22"/>
          <w:szCs w:val="22"/>
        </w:rPr>
        <w:t xml:space="preserve">. The Secretariat </w:t>
      </w:r>
      <w:r w:rsidR="001F2446" w:rsidRPr="004635E5">
        <w:rPr>
          <w:sz w:val="22"/>
          <w:szCs w:val="22"/>
          <w:lang w:val="en-NZ"/>
        </w:rPr>
        <w:t xml:space="preserve">noted that the proposed budget for 2019 was an increase of about </w:t>
      </w:r>
      <w:r w:rsidRPr="004635E5">
        <w:rPr>
          <w:rFonts w:eastAsiaTheme="minorEastAsia"/>
          <w:sz w:val="22"/>
          <w:szCs w:val="22"/>
          <w:lang w:eastAsia="ko-KR"/>
        </w:rPr>
        <w:t xml:space="preserve">15% </w:t>
      </w:r>
      <w:r w:rsidR="001F2446" w:rsidRPr="004635E5">
        <w:rPr>
          <w:rFonts w:eastAsiaTheme="minorEastAsia"/>
          <w:sz w:val="22"/>
          <w:szCs w:val="22"/>
          <w:lang w:eastAsia="ko-KR"/>
        </w:rPr>
        <w:t xml:space="preserve">over the </w:t>
      </w:r>
      <w:r w:rsidRPr="004635E5">
        <w:rPr>
          <w:rFonts w:eastAsiaTheme="minorEastAsia"/>
          <w:sz w:val="22"/>
          <w:szCs w:val="22"/>
          <w:lang w:eastAsia="ko-KR"/>
        </w:rPr>
        <w:t xml:space="preserve">allocated budget for 2018. </w:t>
      </w:r>
    </w:p>
    <w:p w14:paraId="0CDDDD48" w14:textId="77777777" w:rsidR="001F2446" w:rsidRPr="004635E5" w:rsidRDefault="001F2446" w:rsidP="006633A8">
      <w:pPr>
        <w:autoSpaceDE w:val="0"/>
        <w:autoSpaceDN w:val="0"/>
        <w:adjustRightInd w:val="0"/>
        <w:snapToGrid w:val="0"/>
        <w:jc w:val="both"/>
        <w:rPr>
          <w:rFonts w:eastAsiaTheme="minorEastAsia"/>
          <w:b/>
          <w:sz w:val="22"/>
          <w:szCs w:val="22"/>
          <w:lang w:val="en-NZ" w:eastAsia="ko-KR"/>
        </w:rPr>
      </w:pPr>
    </w:p>
    <w:p w14:paraId="367ECFA0" w14:textId="77777777" w:rsidR="002635B6" w:rsidRPr="004635E5" w:rsidRDefault="00FA2B00" w:rsidP="00580EA4">
      <w:pPr>
        <w:numPr>
          <w:ilvl w:val="0"/>
          <w:numId w:val="18"/>
        </w:numPr>
        <w:autoSpaceDE w:val="0"/>
        <w:autoSpaceDN w:val="0"/>
        <w:adjustRightInd w:val="0"/>
        <w:snapToGrid w:val="0"/>
        <w:ind w:left="0" w:firstLine="0"/>
        <w:jc w:val="both"/>
        <w:rPr>
          <w:rFonts w:eastAsiaTheme="minorEastAsia"/>
          <w:b/>
          <w:sz w:val="22"/>
          <w:szCs w:val="22"/>
          <w:lang w:val="en-NZ" w:eastAsia="ko-KR"/>
        </w:rPr>
      </w:pPr>
      <w:r w:rsidRPr="004635E5">
        <w:rPr>
          <w:rFonts w:eastAsiaTheme="minorEastAsia"/>
          <w:b/>
          <w:sz w:val="22"/>
          <w:szCs w:val="22"/>
          <w:lang w:val="en-NZ" w:eastAsia="ko-KR"/>
        </w:rPr>
        <w:t xml:space="preserve">SC14 adopted the proposed budget (Table </w:t>
      </w:r>
      <w:r w:rsidR="00624746" w:rsidRPr="004635E5">
        <w:rPr>
          <w:rFonts w:eastAsiaTheme="minorEastAsia"/>
          <w:b/>
          <w:sz w:val="22"/>
          <w:szCs w:val="22"/>
          <w:lang w:val="en-NZ" w:eastAsia="ko-KR"/>
        </w:rPr>
        <w:t>B-1</w:t>
      </w:r>
      <w:r w:rsidRPr="004635E5">
        <w:rPr>
          <w:rFonts w:eastAsiaTheme="minorEastAsia"/>
          <w:b/>
          <w:sz w:val="22"/>
          <w:szCs w:val="22"/>
          <w:lang w:val="en-NZ" w:eastAsia="ko-KR"/>
        </w:rPr>
        <w:t xml:space="preserve">) and forwarded it to the </w:t>
      </w:r>
      <w:r w:rsidR="004606AE" w:rsidRPr="004635E5">
        <w:rPr>
          <w:rFonts w:eastAsiaTheme="minorEastAsia"/>
          <w:b/>
          <w:sz w:val="22"/>
          <w:szCs w:val="22"/>
          <w:lang w:val="en-NZ" w:eastAsia="ko-KR"/>
        </w:rPr>
        <w:t xml:space="preserve">WCPFC15 </w:t>
      </w:r>
      <w:r w:rsidRPr="004635E5">
        <w:rPr>
          <w:rFonts w:eastAsiaTheme="minorEastAsia"/>
          <w:b/>
          <w:sz w:val="22"/>
          <w:szCs w:val="22"/>
          <w:lang w:val="en-NZ" w:eastAsia="ko-KR"/>
        </w:rPr>
        <w:t xml:space="preserve">FAC </w:t>
      </w:r>
      <w:r w:rsidR="001F2446" w:rsidRPr="004635E5">
        <w:rPr>
          <w:rFonts w:eastAsiaTheme="minorEastAsia"/>
          <w:b/>
          <w:sz w:val="22"/>
          <w:szCs w:val="22"/>
          <w:lang w:val="en-NZ" w:eastAsia="ko-KR"/>
        </w:rPr>
        <w:t>meeting</w:t>
      </w:r>
      <w:r w:rsidRPr="004635E5">
        <w:rPr>
          <w:rFonts w:eastAsiaTheme="minorEastAsia"/>
          <w:b/>
          <w:sz w:val="22"/>
          <w:szCs w:val="22"/>
          <w:lang w:val="en-NZ" w:eastAsia="ko-KR"/>
        </w:rPr>
        <w:t xml:space="preserve">. </w:t>
      </w:r>
    </w:p>
    <w:p w14:paraId="39EFF701" w14:textId="77777777" w:rsidR="00B5503F" w:rsidRPr="004635E5" w:rsidRDefault="00B5503F" w:rsidP="006633A8">
      <w:pPr>
        <w:autoSpaceDE w:val="0"/>
        <w:autoSpaceDN w:val="0"/>
        <w:adjustRightInd w:val="0"/>
        <w:snapToGrid w:val="0"/>
        <w:jc w:val="both"/>
        <w:rPr>
          <w:rFonts w:eastAsiaTheme="minorEastAsia"/>
          <w:b/>
          <w:sz w:val="22"/>
          <w:szCs w:val="22"/>
          <w:lang w:val="en-NZ" w:eastAsia="ko-KR"/>
        </w:rPr>
      </w:pPr>
    </w:p>
    <w:p w14:paraId="45E3BEF3" w14:textId="77777777" w:rsidR="00CB6C95" w:rsidRDefault="00CB6C95">
      <w:pPr>
        <w:rPr>
          <w:rFonts w:eastAsiaTheme="minorEastAsia"/>
          <w:b/>
          <w:bCs/>
          <w:sz w:val="22"/>
          <w:szCs w:val="22"/>
          <w:lang w:val="en-NZ" w:eastAsia="ko-KR"/>
        </w:rPr>
      </w:pPr>
      <w:r>
        <w:rPr>
          <w:rFonts w:eastAsiaTheme="minorEastAsia"/>
          <w:b/>
          <w:bCs/>
          <w:sz w:val="22"/>
          <w:szCs w:val="22"/>
          <w:lang w:val="en-NZ" w:eastAsia="ko-KR"/>
        </w:rPr>
        <w:br w:type="page"/>
      </w:r>
    </w:p>
    <w:p w14:paraId="4D214518" w14:textId="77777777" w:rsidR="002635B6" w:rsidRPr="004635E5" w:rsidRDefault="002635B6" w:rsidP="006633A8">
      <w:pPr>
        <w:autoSpaceDE w:val="0"/>
        <w:autoSpaceDN w:val="0"/>
        <w:adjustRightInd w:val="0"/>
        <w:snapToGrid w:val="0"/>
        <w:jc w:val="both"/>
        <w:rPr>
          <w:rFonts w:eastAsiaTheme="minorEastAsia"/>
          <w:b/>
          <w:sz w:val="22"/>
          <w:szCs w:val="22"/>
          <w:lang w:val="en-NZ" w:eastAsia="ko-KR"/>
        </w:rPr>
      </w:pPr>
      <w:r w:rsidRPr="004635E5">
        <w:rPr>
          <w:rFonts w:eastAsiaTheme="minorEastAsia"/>
          <w:b/>
          <w:bCs/>
          <w:sz w:val="22"/>
          <w:szCs w:val="22"/>
          <w:lang w:val="en-NZ" w:eastAsia="ko-KR"/>
        </w:rPr>
        <w:t xml:space="preserve">Table </w:t>
      </w:r>
      <w:r w:rsidR="00624746" w:rsidRPr="004635E5">
        <w:rPr>
          <w:rFonts w:eastAsiaTheme="minorEastAsia"/>
          <w:b/>
          <w:bCs/>
          <w:sz w:val="22"/>
          <w:szCs w:val="22"/>
          <w:lang w:val="en-NZ" w:eastAsia="ko-KR"/>
        </w:rPr>
        <w:t>B-</w:t>
      </w:r>
      <w:r w:rsidRPr="004635E5">
        <w:rPr>
          <w:rFonts w:eastAsiaTheme="minorEastAsia"/>
          <w:b/>
          <w:bCs/>
          <w:sz w:val="22"/>
          <w:szCs w:val="22"/>
          <w:lang w:val="en-NZ" w:eastAsia="ko-KR"/>
        </w:rPr>
        <w:t xml:space="preserve">1. </w:t>
      </w:r>
      <w:r w:rsidRPr="004635E5">
        <w:rPr>
          <w:rFonts w:eastAsiaTheme="minorEastAsia"/>
          <w:b/>
          <w:sz w:val="22"/>
          <w:szCs w:val="22"/>
          <w:lang w:val="en-NZ" w:eastAsia="ko-KR"/>
        </w:rPr>
        <w:t>Summary of SC work programme titles and budget for 2019, and indicative budget for 2020–2021, which requires funding from the Commission’s core budget (USD).</w:t>
      </w:r>
    </w:p>
    <w:tbl>
      <w:tblPr>
        <w:tblW w:w="5000" w:type="pct"/>
        <w:tblLayout w:type="fixed"/>
        <w:tblLook w:val="04A0" w:firstRow="1" w:lastRow="0" w:firstColumn="1" w:lastColumn="0" w:noHBand="0" w:noVBand="1"/>
      </w:tblPr>
      <w:tblGrid>
        <w:gridCol w:w="3898"/>
        <w:gridCol w:w="900"/>
        <w:gridCol w:w="990"/>
        <w:gridCol w:w="801"/>
        <w:gridCol w:w="990"/>
        <w:gridCol w:w="990"/>
        <w:gridCol w:w="1007"/>
      </w:tblGrid>
      <w:tr w:rsidR="002635B6" w:rsidRPr="00DA3B20" w14:paraId="168EB469" w14:textId="77777777" w:rsidTr="002635B6">
        <w:trPr>
          <w:trHeight w:val="20"/>
          <w:tblHeader/>
        </w:trPr>
        <w:tc>
          <w:tcPr>
            <w:tcW w:w="2035" w:type="pct"/>
            <w:tcBorders>
              <w:top w:val="single" w:sz="4" w:space="0" w:color="auto"/>
              <w:left w:val="single" w:sz="4" w:space="0" w:color="auto"/>
              <w:right w:val="single" w:sz="4" w:space="0" w:color="auto"/>
            </w:tcBorders>
            <w:shd w:val="clear" w:color="auto" w:fill="D9D9D9"/>
            <w:vAlign w:val="center"/>
            <w:hideMark/>
          </w:tcPr>
          <w:p w14:paraId="10649B3D" w14:textId="77777777" w:rsidR="001F2446" w:rsidRPr="00DA3B20" w:rsidRDefault="001F2446" w:rsidP="006633A8">
            <w:pPr>
              <w:adjustRightInd w:val="0"/>
              <w:snapToGrid w:val="0"/>
              <w:jc w:val="center"/>
              <w:rPr>
                <w:rFonts w:eastAsia="Malgun Gothic"/>
                <w:b/>
                <w:bCs/>
                <w:color w:val="000000"/>
                <w:sz w:val="19"/>
                <w:szCs w:val="19"/>
                <w:lang w:eastAsia="ko-KR"/>
              </w:rPr>
            </w:pPr>
            <w:r w:rsidRPr="00DA3B20">
              <w:rPr>
                <w:b/>
                <w:bCs/>
                <w:color w:val="000000"/>
                <w:sz w:val="19"/>
                <w:szCs w:val="19"/>
                <w:lang w:eastAsia="zh-CN"/>
              </w:rPr>
              <w:t>Project</w:t>
            </w:r>
            <w:r w:rsidRPr="00DA3B20">
              <w:rPr>
                <w:rFonts w:eastAsia="Malgun Gothic"/>
                <w:b/>
                <w:bCs/>
                <w:color w:val="000000"/>
                <w:sz w:val="19"/>
                <w:szCs w:val="19"/>
                <w:lang w:eastAsia="ko-KR"/>
              </w:rPr>
              <w:t xml:space="preserve"> title</w:t>
            </w:r>
          </w:p>
        </w:tc>
        <w:tc>
          <w:tcPr>
            <w:tcW w:w="470" w:type="pct"/>
            <w:tcBorders>
              <w:top w:val="single" w:sz="4" w:space="0" w:color="auto"/>
              <w:left w:val="single" w:sz="4" w:space="0" w:color="auto"/>
              <w:right w:val="single" w:sz="4" w:space="0" w:color="auto"/>
            </w:tcBorders>
            <w:shd w:val="clear" w:color="auto" w:fill="D9D9D9"/>
            <w:vAlign w:val="center"/>
          </w:tcPr>
          <w:p w14:paraId="7EA42DC0" w14:textId="77777777" w:rsidR="001F2446" w:rsidRPr="00DA3B20" w:rsidRDefault="001F2446" w:rsidP="006633A8">
            <w:pPr>
              <w:adjustRightInd w:val="0"/>
              <w:snapToGrid w:val="0"/>
              <w:jc w:val="center"/>
              <w:rPr>
                <w:rFonts w:eastAsia="Malgun Gothic"/>
                <w:b/>
                <w:bCs/>
                <w:color w:val="000000"/>
                <w:sz w:val="19"/>
                <w:szCs w:val="19"/>
                <w:lang w:eastAsia="ko-KR"/>
              </w:rPr>
            </w:pPr>
            <w:r w:rsidRPr="00DA3B20">
              <w:rPr>
                <w:rFonts w:eastAsia="Malgun Gothic"/>
                <w:b/>
                <w:bCs/>
                <w:color w:val="000000"/>
                <w:sz w:val="19"/>
                <w:szCs w:val="19"/>
                <w:lang w:eastAsia="ko-KR"/>
              </w:rPr>
              <w:t>TORs</w:t>
            </w:r>
          </w:p>
        </w:tc>
        <w:tc>
          <w:tcPr>
            <w:tcW w:w="517" w:type="pct"/>
            <w:tcBorders>
              <w:top w:val="single" w:sz="4" w:space="0" w:color="auto"/>
              <w:left w:val="single" w:sz="4" w:space="0" w:color="auto"/>
              <w:right w:val="single" w:sz="4" w:space="0" w:color="auto"/>
            </w:tcBorders>
            <w:shd w:val="clear" w:color="auto" w:fill="D9D9D9"/>
            <w:vAlign w:val="center"/>
            <w:hideMark/>
          </w:tcPr>
          <w:p w14:paraId="7B7C2099" w14:textId="77777777" w:rsidR="001F2446" w:rsidRPr="00DA3B20" w:rsidRDefault="001F2446" w:rsidP="006633A8">
            <w:pPr>
              <w:adjustRightInd w:val="0"/>
              <w:snapToGrid w:val="0"/>
              <w:jc w:val="center"/>
              <w:rPr>
                <w:rFonts w:eastAsia="Malgun Gothic"/>
                <w:b/>
                <w:bCs/>
                <w:color w:val="000000"/>
                <w:sz w:val="19"/>
                <w:szCs w:val="19"/>
                <w:lang w:eastAsia="ko-KR"/>
              </w:rPr>
            </w:pPr>
            <w:r w:rsidRPr="00DA3B20">
              <w:rPr>
                <w:rFonts w:eastAsia="Malgun Gothic"/>
                <w:b/>
                <w:bCs/>
                <w:color w:val="000000"/>
                <w:sz w:val="19"/>
                <w:szCs w:val="19"/>
                <w:lang w:eastAsia="ko-KR"/>
              </w:rPr>
              <w:t>Essential</w:t>
            </w:r>
          </w:p>
        </w:tc>
        <w:tc>
          <w:tcPr>
            <w:tcW w:w="418" w:type="pct"/>
            <w:tcBorders>
              <w:top w:val="single" w:sz="4" w:space="0" w:color="auto"/>
              <w:left w:val="single" w:sz="4" w:space="0" w:color="auto"/>
              <w:right w:val="single" w:sz="4" w:space="0" w:color="auto"/>
            </w:tcBorders>
            <w:shd w:val="clear" w:color="auto" w:fill="D9D9D9" w:themeFill="background1" w:themeFillShade="D9"/>
            <w:vAlign w:val="center"/>
            <w:hideMark/>
          </w:tcPr>
          <w:p w14:paraId="63FB858A" w14:textId="77777777" w:rsidR="001F2446" w:rsidRPr="00DA3B20" w:rsidRDefault="001F2446" w:rsidP="006633A8">
            <w:pPr>
              <w:adjustRightInd w:val="0"/>
              <w:snapToGrid w:val="0"/>
              <w:jc w:val="center"/>
              <w:rPr>
                <w:b/>
                <w:bCs/>
                <w:color w:val="000000"/>
                <w:sz w:val="19"/>
                <w:szCs w:val="19"/>
                <w:lang w:eastAsia="zh-CN"/>
              </w:rPr>
            </w:pPr>
            <w:r w:rsidRPr="00DA3B20">
              <w:rPr>
                <w:b/>
                <w:bCs/>
                <w:color w:val="000000"/>
                <w:sz w:val="19"/>
                <w:szCs w:val="19"/>
                <w:lang w:eastAsia="zh-CN"/>
              </w:rPr>
              <w:t>P</w:t>
            </w:r>
            <w:r w:rsidRPr="00DA3B20">
              <w:rPr>
                <w:rFonts w:eastAsia="Malgun Gothic"/>
                <w:b/>
                <w:bCs/>
                <w:color w:val="000000"/>
                <w:sz w:val="19"/>
                <w:szCs w:val="19"/>
                <w:lang w:eastAsia="ko-KR"/>
              </w:rPr>
              <w:t xml:space="preserve">riority rank </w:t>
            </w:r>
          </w:p>
        </w:tc>
        <w:tc>
          <w:tcPr>
            <w:tcW w:w="517" w:type="pct"/>
            <w:tcBorders>
              <w:top w:val="single" w:sz="4" w:space="0" w:color="auto"/>
              <w:left w:val="single" w:sz="4" w:space="0" w:color="auto"/>
              <w:right w:val="single" w:sz="4" w:space="0" w:color="auto"/>
            </w:tcBorders>
            <w:shd w:val="clear" w:color="auto" w:fill="D9D9D9" w:themeFill="background1" w:themeFillShade="D9"/>
            <w:noWrap/>
            <w:vAlign w:val="center"/>
          </w:tcPr>
          <w:p w14:paraId="433EF7FE" w14:textId="77777777" w:rsidR="001F2446" w:rsidRPr="00DA3B20" w:rsidRDefault="001F2446" w:rsidP="006633A8">
            <w:pPr>
              <w:adjustRightInd w:val="0"/>
              <w:snapToGrid w:val="0"/>
              <w:jc w:val="center"/>
              <w:rPr>
                <w:rFonts w:eastAsia="Malgun Gothic"/>
                <w:b/>
                <w:bCs/>
                <w:color w:val="000000"/>
                <w:sz w:val="19"/>
                <w:szCs w:val="19"/>
                <w:lang w:eastAsia="ko-KR"/>
              </w:rPr>
            </w:pPr>
            <w:r w:rsidRPr="00DA3B20">
              <w:rPr>
                <w:b/>
                <w:bCs/>
                <w:color w:val="000000"/>
                <w:sz w:val="19"/>
                <w:szCs w:val="19"/>
                <w:lang w:eastAsia="zh-CN"/>
              </w:rPr>
              <w:t>201</w:t>
            </w:r>
            <w:r w:rsidRPr="00DA3B20">
              <w:rPr>
                <w:rFonts w:eastAsia="Malgun Gothic"/>
                <w:b/>
                <w:bCs/>
                <w:color w:val="000000"/>
                <w:sz w:val="19"/>
                <w:szCs w:val="19"/>
                <w:lang w:eastAsia="ko-KR"/>
              </w:rPr>
              <w:t>9</w:t>
            </w:r>
          </w:p>
        </w:tc>
        <w:tc>
          <w:tcPr>
            <w:tcW w:w="517" w:type="pct"/>
            <w:tcBorders>
              <w:top w:val="single" w:sz="4" w:space="0" w:color="auto"/>
              <w:left w:val="single" w:sz="4" w:space="0" w:color="auto"/>
              <w:right w:val="single" w:sz="4" w:space="0" w:color="auto"/>
            </w:tcBorders>
            <w:shd w:val="clear" w:color="auto" w:fill="D9D9D9" w:themeFill="background1" w:themeFillShade="D9"/>
            <w:vAlign w:val="center"/>
          </w:tcPr>
          <w:p w14:paraId="61BCA496" w14:textId="77777777" w:rsidR="001F2446" w:rsidRPr="00DA3B20" w:rsidRDefault="001F2446" w:rsidP="006633A8">
            <w:pPr>
              <w:adjustRightInd w:val="0"/>
              <w:snapToGrid w:val="0"/>
              <w:jc w:val="center"/>
              <w:rPr>
                <w:rFonts w:eastAsia="Malgun Gothic"/>
                <w:b/>
                <w:bCs/>
                <w:color w:val="000000"/>
                <w:sz w:val="19"/>
                <w:szCs w:val="19"/>
                <w:lang w:eastAsia="ko-KR"/>
              </w:rPr>
            </w:pPr>
            <w:r w:rsidRPr="00DA3B20">
              <w:rPr>
                <w:rFonts w:eastAsia="Malgun Gothic"/>
                <w:b/>
                <w:bCs/>
                <w:color w:val="000000"/>
                <w:sz w:val="19"/>
                <w:szCs w:val="19"/>
                <w:lang w:eastAsia="ko-KR"/>
              </w:rPr>
              <w:t>2020</w:t>
            </w:r>
          </w:p>
        </w:tc>
        <w:tc>
          <w:tcPr>
            <w:tcW w:w="526" w:type="pct"/>
            <w:tcBorders>
              <w:top w:val="single" w:sz="4" w:space="0" w:color="auto"/>
              <w:left w:val="single" w:sz="4" w:space="0" w:color="auto"/>
              <w:right w:val="single" w:sz="4" w:space="0" w:color="auto"/>
            </w:tcBorders>
            <w:shd w:val="clear" w:color="auto" w:fill="D9D9D9" w:themeFill="background1" w:themeFillShade="D9"/>
            <w:vAlign w:val="center"/>
          </w:tcPr>
          <w:p w14:paraId="1D02FC1D" w14:textId="77777777" w:rsidR="001F2446" w:rsidRPr="00DA3B20" w:rsidRDefault="001F2446" w:rsidP="006633A8">
            <w:pPr>
              <w:adjustRightInd w:val="0"/>
              <w:snapToGrid w:val="0"/>
              <w:jc w:val="center"/>
              <w:rPr>
                <w:rFonts w:eastAsia="Malgun Gothic"/>
                <w:b/>
                <w:bCs/>
                <w:color w:val="000000"/>
                <w:sz w:val="19"/>
                <w:szCs w:val="19"/>
                <w:lang w:eastAsia="ko-KR"/>
              </w:rPr>
            </w:pPr>
            <w:r w:rsidRPr="00DA3B20">
              <w:rPr>
                <w:rFonts w:eastAsia="Malgun Gothic"/>
                <w:b/>
                <w:bCs/>
                <w:color w:val="000000"/>
                <w:sz w:val="19"/>
                <w:szCs w:val="19"/>
                <w:lang w:eastAsia="ko-KR"/>
              </w:rPr>
              <w:t>2021</w:t>
            </w:r>
          </w:p>
        </w:tc>
      </w:tr>
      <w:tr w:rsidR="002635B6" w:rsidRPr="00DA3B20" w14:paraId="3C26BC18"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BEBBE" w14:textId="77777777" w:rsidR="001F2446" w:rsidRPr="00DA3B20" w:rsidRDefault="001F2446" w:rsidP="006633A8">
            <w:pPr>
              <w:adjustRightInd w:val="0"/>
              <w:snapToGrid w:val="0"/>
              <w:rPr>
                <w:rFonts w:eastAsia="Malgun Gothic"/>
                <w:b/>
                <w:color w:val="000000"/>
                <w:sz w:val="19"/>
                <w:szCs w:val="19"/>
                <w:lang w:eastAsia="ko-KR"/>
              </w:rPr>
            </w:pPr>
            <w:r w:rsidRPr="00DA3B20">
              <w:rPr>
                <w:b/>
                <w:color w:val="000000"/>
                <w:sz w:val="19"/>
                <w:szCs w:val="19"/>
                <w:lang w:eastAsia="zh-CN"/>
              </w:rPr>
              <w:t>SPC Oceanic Fisheries Programme Budget</w:t>
            </w:r>
          </w:p>
        </w:tc>
        <w:tc>
          <w:tcPr>
            <w:tcW w:w="470" w:type="pct"/>
            <w:tcBorders>
              <w:top w:val="single" w:sz="4" w:space="0" w:color="auto"/>
              <w:left w:val="single" w:sz="4" w:space="0" w:color="auto"/>
              <w:bottom w:val="single" w:sz="4" w:space="0" w:color="auto"/>
              <w:right w:val="single" w:sz="4" w:space="0" w:color="auto"/>
            </w:tcBorders>
            <w:vAlign w:val="center"/>
          </w:tcPr>
          <w:p w14:paraId="0D7FE2CB"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MOU</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2C4881" w14:textId="77777777" w:rsidR="001F2446" w:rsidRPr="00DA3B20" w:rsidRDefault="001F2446" w:rsidP="006633A8">
            <w:pPr>
              <w:adjustRightInd w:val="0"/>
              <w:snapToGrid w:val="0"/>
              <w:jc w:val="center"/>
              <w:rPr>
                <w:color w:val="000000"/>
                <w:sz w:val="19"/>
                <w:szCs w:val="19"/>
                <w:lang w:eastAsia="zh-CN"/>
              </w:rPr>
            </w:pPr>
            <w:r w:rsidRPr="00DA3B20">
              <w:rPr>
                <w:color w:val="000000"/>
                <w:sz w:val="19"/>
                <w:szCs w:val="19"/>
                <w:lang w:eastAsia="zh-CN"/>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E67700"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1</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B6FF179"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906,396</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08F8AD2"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924,524</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2DCD684A"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943,015</w:t>
            </w:r>
          </w:p>
        </w:tc>
      </w:tr>
      <w:tr w:rsidR="002635B6" w:rsidRPr="00DA3B20" w14:paraId="5C874531"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350ABD0F" w14:textId="77777777" w:rsidR="001F2446" w:rsidRPr="00DA3B20" w:rsidRDefault="001F2446" w:rsidP="006633A8">
            <w:pPr>
              <w:adjustRightInd w:val="0"/>
              <w:snapToGrid w:val="0"/>
              <w:rPr>
                <w:rFonts w:eastAsia="Batang"/>
                <w:b/>
                <w:color w:val="000000"/>
                <w:sz w:val="19"/>
                <w:szCs w:val="19"/>
                <w:lang w:eastAsia="ko-KR"/>
              </w:rPr>
            </w:pPr>
            <w:r w:rsidRPr="00DA3B20">
              <w:rPr>
                <w:rFonts w:eastAsia="Malgun Gothic"/>
                <w:b/>
                <w:color w:val="000000"/>
                <w:sz w:val="19"/>
                <w:szCs w:val="19"/>
                <w:lang w:eastAsia="ko-KR"/>
              </w:rPr>
              <w:t xml:space="preserve">SPC – </w:t>
            </w:r>
            <w:r w:rsidRPr="00DA3B20">
              <w:rPr>
                <w:rFonts w:eastAsia="Batang"/>
                <w:b/>
                <w:color w:val="000000"/>
                <w:sz w:val="19"/>
                <w:szCs w:val="19"/>
                <w:lang w:eastAsia="zh-CN"/>
              </w:rPr>
              <w:t xml:space="preserve">Additional </w:t>
            </w:r>
            <w:r w:rsidRPr="00DA3B20">
              <w:rPr>
                <w:rFonts w:eastAsia="Malgun Gothic"/>
                <w:b/>
                <w:color w:val="000000"/>
                <w:sz w:val="19"/>
                <w:szCs w:val="19"/>
                <w:lang w:eastAsia="ko-KR"/>
              </w:rPr>
              <w:t>r</w:t>
            </w:r>
            <w:r w:rsidRPr="00DA3B20">
              <w:rPr>
                <w:rFonts w:eastAsia="Batang"/>
                <w:b/>
                <w:color w:val="000000"/>
                <w:sz w:val="19"/>
                <w:szCs w:val="19"/>
                <w:lang w:eastAsia="zh-CN"/>
              </w:rPr>
              <w:t>esourcing for harvest strategy evaluation, including stock assessments</w:t>
            </w:r>
            <w:r w:rsidRPr="00DA3B20">
              <w:rPr>
                <w:rFonts w:eastAsia="Batang"/>
                <w:b/>
                <w:color w:val="000000"/>
                <w:sz w:val="19"/>
                <w:szCs w:val="19"/>
                <w:vertAlign w:val="superscript"/>
                <w:lang w:eastAsia="zh-CN"/>
              </w:rPr>
              <w:footnoteReference w:id="8"/>
            </w:r>
            <w:r w:rsidRPr="00DA3B20">
              <w:rPr>
                <w:rFonts w:eastAsia="Batang"/>
                <w:b/>
                <w:color w:val="000000"/>
                <w:sz w:val="19"/>
                <w:szCs w:val="19"/>
                <w:lang w:eastAsia="ko-KR"/>
              </w:rPr>
              <w:t xml:space="preserve"> (Rob Scott)</w:t>
            </w:r>
          </w:p>
        </w:tc>
        <w:tc>
          <w:tcPr>
            <w:tcW w:w="470" w:type="pct"/>
            <w:tcBorders>
              <w:top w:val="single" w:sz="4" w:space="0" w:color="auto"/>
              <w:left w:val="single" w:sz="4" w:space="0" w:color="auto"/>
              <w:bottom w:val="single" w:sz="4" w:space="0" w:color="auto"/>
              <w:right w:val="single" w:sz="4" w:space="0" w:color="auto"/>
            </w:tcBorders>
            <w:vAlign w:val="center"/>
          </w:tcPr>
          <w:p w14:paraId="7803C834"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MOU</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4247857" w14:textId="77777777" w:rsidR="001F2446" w:rsidRPr="00DA3B20" w:rsidRDefault="001F2446" w:rsidP="006633A8">
            <w:pPr>
              <w:adjustRightInd w:val="0"/>
              <w:snapToGrid w:val="0"/>
              <w:jc w:val="center"/>
              <w:rPr>
                <w:color w:val="000000"/>
                <w:sz w:val="19"/>
                <w:szCs w:val="19"/>
                <w:lang w:eastAsia="zh-CN"/>
              </w:rPr>
            </w:pPr>
            <w:r w:rsidRPr="00DA3B20">
              <w:rPr>
                <w:color w:val="000000"/>
                <w:sz w:val="19"/>
                <w:szCs w:val="19"/>
                <w:lang w:eastAsia="zh-CN"/>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4629686A"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1</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D9776EF"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164,832</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6BA9326"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166,480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6EAC2152"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168,145</w:t>
            </w:r>
          </w:p>
        </w:tc>
      </w:tr>
      <w:tr w:rsidR="002635B6" w:rsidRPr="00DA3B20" w14:paraId="3C4DB350"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4C765320" w14:textId="77777777" w:rsidR="001F2446" w:rsidRPr="00DA3B20" w:rsidRDefault="001F2446" w:rsidP="006633A8">
            <w:pPr>
              <w:adjustRightInd w:val="0"/>
              <w:snapToGrid w:val="0"/>
              <w:rPr>
                <w:b/>
                <w:color w:val="000000"/>
                <w:sz w:val="19"/>
                <w:szCs w:val="19"/>
                <w:lang w:eastAsia="zh-CN"/>
              </w:rPr>
            </w:pPr>
            <w:r w:rsidRPr="00DA3B20">
              <w:rPr>
                <w:b/>
                <w:color w:val="000000"/>
                <w:sz w:val="19"/>
                <w:szCs w:val="19"/>
                <w:lang w:eastAsia="zh-CN"/>
              </w:rPr>
              <w:t>Project 35b. Maintenance and enhancement of the WCPFC Tissue Bank</w:t>
            </w:r>
          </w:p>
        </w:tc>
        <w:tc>
          <w:tcPr>
            <w:tcW w:w="470" w:type="pct"/>
            <w:tcBorders>
              <w:top w:val="single" w:sz="4" w:space="0" w:color="auto"/>
              <w:left w:val="single" w:sz="4" w:space="0" w:color="auto"/>
              <w:bottom w:val="single" w:sz="4" w:space="0" w:color="auto"/>
              <w:right w:val="single" w:sz="4" w:space="0" w:color="auto"/>
            </w:tcBorders>
            <w:vAlign w:val="center"/>
          </w:tcPr>
          <w:p w14:paraId="725FC2CC"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EC0F395" w14:textId="77777777" w:rsidR="001F2446" w:rsidRPr="00DA3B20" w:rsidRDefault="001F2446" w:rsidP="006633A8">
            <w:pPr>
              <w:adjustRightInd w:val="0"/>
              <w:snapToGrid w:val="0"/>
              <w:jc w:val="center"/>
              <w:rPr>
                <w:color w:val="000000"/>
                <w:sz w:val="19"/>
                <w:szCs w:val="19"/>
                <w:lang w:eastAsia="zh-CN"/>
              </w:rPr>
            </w:pPr>
            <w:r w:rsidRPr="00DA3B20">
              <w:rPr>
                <w:color w:val="000000"/>
                <w:sz w:val="19"/>
                <w:szCs w:val="19"/>
                <w:lang w:eastAsia="zh-CN"/>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2B4D957D"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color w:val="000000"/>
                <w:sz w:val="19"/>
                <w:szCs w:val="19"/>
                <w:lang w:eastAsia="zh-CN"/>
              </w:rPr>
              <w:t>High</w:t>
            </w:r>
            <w:r w:rsidRPr="00DA3B20">
              <w:rPr>
                <w:rFonts w:eastAsia="Malgun Gothic"/>
                <w:color w:val="000000"/>
                <w:sz w:val="19"/>
                <w:szCs w:val="19"/>
                <w:lang w:eastAsia="ko-KR"/>
              </w:rPr>
              <w:t xml:space="preserve"> 1</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6CA7A3" w14:textId="77777777" w:rsidR="001F2446" w:rsidRPr="00DA3B20" w:rsidRDefault="001F2446" w:rsidP="006633A8">
            <w:pPr>
              <w:adjustRightInd w:val="0"/>
              <w:snapToGrid w:val="0"/>
              <w:jc w:val="right"/>
              <w:rPr>
                <w:color w:val="000000"/>
                <w:sz w:val="19"/>
                <w:szCs w:val="19"/>
                <w:lang w:eastAsia="zh-CN"/>
              </w:rPr>
            </w:pPr>
            <w:r w:rsidRPr="00DA3B20">
              <w:rPr>
                <w:rFonts w:eastAsia="Malgun Gothic"/>
                <w:color w:val="000000"/>
                <w:sz w:val="19"/>
                <w:szCs w:val="19"/>
                <w:lang w:eastAsia="ko-KR"/>
              </w:rPr>
              <w:t>97,200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15680025" w14:textId="77777777" w:rsidR="001F2446" w:rsidRPr="00DA3B20" w:rsidRDefault="001F2446" w:rsidP="006633A8">
            <w:pPr>
              <w:adjustRightInd w:val="0"/>
              <w:snapToGrid w:val="0"/>
              <w:jc w:val="right"/>
              <w:rPr>
                <w:color w:val="000000"/>
                <w:sz w:val="19"/>
                <w:szCs w:val="19"/>
                <w:lang w:eastAsia="zh-CN"/>
              </w:rPr>
            </w:pPr>
            <w:r w:rsidRPr="00DA3B20">
              <w:rPr>
                <w:rFonts w:eastAsia="Malgun Gothic"/>
                <w:color w:val="000000"/>
                <w:sz w:val="19"/>
                <w:szCs w:val="19"/>
                <w:lang w:eastAsia="ko-KR"/>
              </w:rPr>
              <w:t>99,195</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51DA3C72"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101,180</w:t>
            </w:r>
          </w:p>
        </w:tc>
      </w:tr>
      <w:tr w:rsidR="002635B6" w:rsidRPr="00DA3B20" w14:paraId="530E39BC"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0BE4CBFF" w14:textId="77777777" w:rsidR="001F2446" w:rsidRPr="00DA3B20" w:rsidRDefault="001F2446" w:rsidP="006633A8">
            <w:pPr>
              <w:adjustRightInd w:val="0"/>
              <w:snapToGrid w:val="0"/>
              <w:rPr>
                <w:rFonts w:eastAsia="Malgun Gothic"/>
                <w:color w:val="000000"/>
                <w:sz w:val="19"/>
                <w:szCs w:val="19"/>
                <w:lang w:eastAsia="ko-KR"/>
              </w:rPr>
            </w:pPr>
            <w:r w:rsidRPr="00DA3B20">
              <w:rPr>
                <w:rFonts w:eastAsia="Batang"/>
                <w:b/>
                <w:color w:val="000000"/>
                <w:sz w:val="19"/>
                <w:szCs w:val="19"/>
                <w:lang w:eastAsia="ko-KR"/>
              </w:rPr>
              <w:t>Project 42 Pacific Tuna Tagging Program (PTTP)</w:t>
            </w:r>
            <w:r w:rsidR="002635B6" w:rsidRPr="00DA3B20">
              <w:rPr>
                <w:rFonts w:eastAsia="Batang"/>
                <w:b/>
                <w:color w:val="000000"/>
                <w:sz w:val="19"/>
                <w:szCs w:val="19"/>
                <w:lang w:eastAsia="ko-KR"/>
              </w:rPr>
              <w:t xml:space="preserve">  </w:t>
            </w:r>
            <w:r w:rsidRPr="00DA3B20">
              <w:rPr>
                <w:rFonts w:eastAsia="Malgun Gothic"/>
                <w:color w:val="000000"/>
                <w:sz w:val="19"/>
                <w:szCs w:val="19"/>
                <w:lang w:eastAsia="ko-KR"/>
              </w:rPr>
              <w:t>Other: Approx. $170,000 from Korea</w:t>
            </w:r>
          </w:p>
        </w:tc>
        <w:tc>
          <w:tcPr>
            <w:tcW w:w="470" w:type="pct"/>
            <w:tcBorders>
              <w:top w:val="single" w:sz="4" w:space="0" w:color="auto"/>
              <w:left w:val="single" w:sz="4" w:space="0" w:color="auto"/>
              <w:bottom w:val="single" w:sz="4" w:space="0" w:color="auto"/>
              <w:right w:val="single" w:sz="4" w:space="0" w:color="auto"/>
            </w:tcBorders>
            <w:vAlign w:val="center"/>
          </w:tcPr>
          <w:p w14:paraId="6372B77F"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2F67660" w14:textId="77777777" w:rsidR="001F2446" w:rsidRPr="00DA3B20" w:rsidRDefault="001F2446" w:rsidP="006633A8">
            <w:pPr>
              <w:adjustRightInd w:val="0"/>
              <w:snapToGrid w:val="0"/>
              <w:jc w:val="center"/>
              <w:rPr>
                <w:color w:val="000000"/>
                <w:sz w:val="19"/>
                <w:szCs w:val="19"/>
                <w:lang w:eastAsia="zh-CN"/>
              </w:rPr>
            </w:pPr>
            <w:r w:rsidRPr="00DA3B20">
              <w:rPr>
                <w:color w:val="000000"/>
                <w:sz w:val="19"/>
                <w:szCs w:val="19"/>
                <w:lang w:eastAsia="zh-CN"/>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042828A8"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color w:val="000000"/>
                <w:sz w:val="19"/>
                <w:szCs w:val="19"/>
                <w:lang w:eastAsia="zh-CN"/>
              </w:rPr>
              <w:t>High</w:t>
            </w:r>
            <w:r w:rsidRPr="00DA3B20">
              <w:rPr>
                <w:rFonts w:eastAsia="Malgun Gothic"/>
                <w:color w:val="000000"/>
                <w:sz w:val="19"/>
                <w:szCs w:val="19"/>
                <w:lang w:eastAsia="ko-KR"/>
              </w:rPr>
              <w:t xml:space="preserve"> 1</w:t>
            </w:r>
          </w:p>
        </w:tc>
        <w:tc>
          <w:tcPr>
            <w:tcW w:w="517" w:type="pct"/>
            <w:tcBorders>
              <w:top w:val="single" w:sz="4" w:space="0" w:color="auto"/>
              <w:left w:val="single" w:sz="4" w:space="0" w:color="auto"/>
              <w:right w:val="single" w:sz="4" w:space="0" w:color="auto"/>
            </w:tcBorders>
            <w:shd w:val="clear" w:color="auto" w:fill="auto"/>
            <w:noWrap/>
            <w:vAlign w:val="center"/>
          </w:tcPr>
          <w:p w14:paraId="13AC581A" w14:textId="77777777" w:rsidR="001F2446" w:rsidRPr="00DA3B20" w:rsidRDefault="001F2446" w:rsidP="006633A8">
            <w:pPr>
              <w:adjustRightInd w:val="0"/>
              <w:snapToGrid w:val="0"/>
              <w:jc w:val="right"/>
              <w:rPr>
                <w:rFonts w:eastAsia="Batang"/>
                <w:color w:val="000000"/>
                <w:sz w:val="19"/>
                <w:szCs w:val="19"/>
                <w:lang w:eastAsia="ko-KR"/>
              </w:rPr>
            </w:pPr>
            <w:r w:rsidRPr="00DA3B20">
              <w:rPr>
                <w:rFonts w:eastAsia="Batang"/>
                <w:color w:val="000000"/>
                <w:sz w:val="19"/>
                <w:szCs w:val="19"/>
                <w:lang w:eastAsia="ko-KR"/>
              </w:rPr>
              <w:t>645,000</w:t>
            </w:r>
          </w:p>
        </w:tc>
        <w:tc>
          <w:tcPr>
            <w:tcW w:w="517" w:type="pct"/>
            <w:tcBorders>
              <w:top w:val="single" w:sz="4" w:space="0" w:color="auto"/>
              <w:left w:val="single" w:sz="4" w:space="0" w:color="auto"/>
              <w:right w:val="single" w:sz="4" w:space="0" w:color="auto"/>
            </w:tcBorders>
            <w:shd w:val="clear" w:color="auto" w:fill="auto"/>
            <w:vAlign w:val="center"/>
          </w:tcPr>
          <w:p w14:paraId="55BC9138" w14:textId="77777777" w:rsidR="001F2446" w:rsidRPr="00DA3B20" w:rsidRDefault="001F2446" w:rsidP="006633A8">
            <w:pPr>
              <w:adjustRightInd w:val="0"/>
              <w:snapToGrid w:val="0"/>
              <w:jc w:val="right"/>
              <w:rPr>
                <w:rFonts w:eastAsia="Batang"/>
                <w:color w:val="000000"/>
                <w:sz w:val="19"/>
                <w:szCs w:val="19"/>
                <w:lang w:eastAsia="ko-KR"/>
              </w:rPr>
            </w:pPr>
            <w:r w:rsidRPr="00DA3B20">
              <w:rPr>
                <w:rFonts w:eastAsia="Batang"/>
                <w:color w:val="000000"/>
                <w:sz w:val="19"/>
                <w:szCs w:val="19"/>
                <w:lang w:eastAsia="ko-KR"/>
              </w:rPr>
              <w:t>645,000</w:t>
            </w:r>
          </w:p>
        </w:tc>
        <w:tc>
          <w:tcPr>
            <w:tcW w:w="526" w:type="pct"/>
            <w:tcBorders>
              <w:top w:val="single" w:sz="4" w:space="0" w:color="auto"/>
              <w:left w:val="single" w:sz="4" w:space="0" w:color="auto"/>
              <w:right w:val="single" w:sz="4" w:space="0" w:color="auto"/>
            </w:tcBorders>
            <w:shd w:val="clear" w:color="auto" w:fill="auto"/>
            <w:vAlign w:val="center"/>
          </w:tcPr>
          <w:p w14:paraId="3E1BFEE4" w14:textId="77777777" w:rsidR="001F2446" w:rsidRPr="00DA3B20" w:rsidRDefault="001F2446" w:rsidP="006633A8">
            <w:pPr>
              <w:adjustRightInd w:val="0"/>
              <w:snapToGrid w:val="0"/>
              <w:jc w:val="right"/>
              <w:rPr>
                <w:rFonts w:eastAsia="Batang"/>
                <w:color w:val="000000"/>
                <w:sz w:val="19"/>
                <w:szCs w:val="19"/>
                <w:lang w:eastAsia="ko-KR"/>
              </w:rPr>
            </w:pPr>
            <w:r w:rsidRPr="00DA3B20">
              <w:rPr>
                <w:rFonts w:eastAsia="Batang"/>
                <w:color w:val="000000"/>
                <w:sz w:val="19"/>
                <w:szCs w:val="19"/>
                <w:lang w:eastAsia="ko-KR"/>
              </w:rPr>
              <w:t>730,000</w:t>
            </w:r>
          </w:p>
        </w:tc>
      </w:tr>
      <w:tr w:rsidR="002635B6" w:rsidRPr="00DA3B20" w14:paraId="61782F1F"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63C9B105" w14:textId="77777777" w:rsidR="001F2446" w:rsidRPr="00DA3B20" w:rsidRDefault="001F2446" w:rsidP="006633A8">
            <w:pPr>
              <w:adjustRightInd w:val="0"/>
              <w:snapToGrid w:val="0"/>
              <w:rPr>
                <w:rFonts w:eastAsia="Batang"/>
                <w:b/>
                <w:color w:val="000000"/>
                <w:sz w:val="19"/>
                <w:szCs w:val="19"/>
                <w:lang w:val="en-NZ" w:eastAsia="ko-KR"/>
              </w:rPr>
            </w:pPr>
            <w:r w:rsidRPr="00DA3B20">
              <w:rPr>
                <w:rFonts w:eastAsia="Batang"/>
                <w:b/>
                <w:color w:val="000000"/>
                <w:sz w:val="19"/>
                <w:szCs w:val="19"/>
                <w:lang w:eastAsia="ja-JP"/>
              </w:rPr>
              <w:t xml:space="preserve">Project 57. </w:t>
            </w:r>
            <w:r w:rsidRPr="00DA3B20">
              <w:rPr>
                <w:rFonts w:eastAsia="Batang"/>
                <w:b/>
                <w:color w:val="000000"/>
                <w:sz w:val="19"/>
                <w:szCs w:val="19"/>
                <w:lang w:val="en-NZ" w:eastAsia="zh-CN"/>
              </w:rPr>
              <w:t>Limit Reference Points (LRPs) for elasmobranchs within the WCPFC</w:t>
            </w:r>
          </w:p>
        </w:tc>
        <w:tc>
          <w:tcPr>
            <w:tcW w:w="470" w:type="pct"/>
            <w:tcBorders>
              <w:top w:val="single" w:sz="4" w:space="0" w:color="auto"/>
              <w:left w:val="single" w:sz="4" w:space="0" w:color="auto"/>
              <w:bottom w:val="single" w:sz="4" w:space="0" w:color="auto"/>
              <w:right w:val="single" w:sz="4" w:space="0" w:color="auto"/>
            </w:tcBorders>
            <w:vAlign w:val="center"/>
          </w:tcPr>
          <w:p w14:paraId="4B98F0D8"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55C7B1D" w14:textId="77777777" w:rsidR="001F2446" w:rsidRPr="00DA3B20" w:rsidRDefault="001F2446" w:rsidP="006633A8">
            <w:pPr>
              <w:adjustRightInd w:val="0"/>
              <w:snapToGrid w:val="0"/>
              <w:jc w:val="center"/>
              <w:rPr>
                <w:color w:val="000000"/>
                <w:sz w:val="19"/>
                <w:szCs w:val="19"/>
                <w:lang w:eastAsia="zh-CN"/>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07EBEFEA" w14:textId="77777777" w:rsidR="001F2446" w:rsidRPr="00DA3B20" w:rsidRDefault="001F2446" w:rsidP="006633A8">
            <w:pPr>
              <w:adjustRightInd w:val="0"/>
              <w:snapToGrid w:val="0"/>
              <w:jc w:val="center"/>
              <w:rPr>
                <w:rFonts w:eastAsia="Malgun Gothic"/>
                <w:color w:val="000000"/>
                <w:sz w:val="19"/>
                <w:szCs w:val="19"/>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5F9876" w14:textId="77777777" w:rsidR="001F2446" w:rsidRPr="00DA3B20" w:rsidRDefault="001F2446" w:rsidP="006633A8">
            <w:pPr>
              <w:adjustRightInd w:val="0"/>
              <w:snapToGrid w:val="0"/>
              <w:jc w:val="right"/>
              <w:rPr>
                <w:rFonts w:eastAsia="Malgun Gothic"/>
                <w:color w:val="000000"/>
                <w:sz w:val="19"/>
                <w:szCs w:val="19"/>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B68A009" w14:textId="77777777"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07D069D1" w14:textId="77777777" w:rsidR="001F2446" w:rsidRPr="00DA3B20" w:rsidRDefault="001F2446" w:rsidP="006633A8">
            <w:pPr>
              <w:adjustRightInd w:val="0"/>
              <w:snapToGrid w:val="0"/>
              <w:jc w:val="right"/>
              <w:rPr>
                <w:rFonts w:eastAsia="Malgun Gothic"/>
                <w:color w:val="000000"/>
                <w:sz w:val="19"/>
                <w:szCs w:val="19"/>
                <w:lang w:eastAsia="ko-KR"/>
              </w:rPr>
            </w:pPr>
          </w:p>
        </w:tc>
      </w:tr>
      <w:tr w:rsidR="002635B6" w:rsidRPr="00DA3B20" w14:paraId="00BC82EC"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5AB49AF1" w14:textId="77777777" w:rsidR="001F2446" w:rsidRPr="00DA3B20" w:rsidRDefault="001F2446" w:rsidP="006633A8">
            <w:pPr>
              <w:adjustRightInd w:val="0"/>
              <w:snapToGrid w:val="0"/>
              <w:rPr>
                <w:rFonts w:eastAsia="Malgun Gothic"/>
                <w:b/>
                <w:color w:val="000000"/>
                <w:sz w:val="19"/>
                <w:szCs w:val="19"/>
                <w:lang w:eastAsia="ko-KR"/>
              </w:rPr>
            </w:pPr>
            <w:r w:rsidRPr="00DA3B20">
              <w:rPr>
                <w:b/>
                <w:color w:val="000000"/>
                <w:sz w:val="19"/>
                <w:szCs w:val="19"/>
                <w:lang w:eastAsia="zh-CN"/>
              </w:rPr>
              <w:t>Project 60: Improving purse seine species composition</w:t>
            </w:r>
          </w:p>
          <w:p w14:paraId="5DA8F1DB" w14:textId="77777777" w:rsidR="001F2446" w:rsidRPr="00DA3B20" w:rsidRDefault="001F2446" w:rsidP="006633A8">
            <w:pPr>
              <w:adjustRightInd w:val="0"/>
              <w:snapToGrid w:val="0"/>
              <w:rPr>
                <w:rFonts w:eastAsia="Malgun Gothic"/>
                <w:b/>
                <w:color w:val="000000"/>
                <w:sz w:val="19"/>
                <w:szCs w:val="19"/>
                <w:lang w:eastAsia="ko-KR"/>
              </w:rPr>
            </w:pPr>
            <w:r w:rsidRPr="00DA3B20">
              <w:rPr>
                <w:rFonts w:eastAsia="Malgun Gothic"/>
                <w:b/>
                <w:color w:val="000000"/>
                <w:sz w:val="19"/>
                <w:szCs w:val="19"/>
                <w:lang w:eastAsia="ko-KR"/>
              </w:rPr>
              <w:t xml:space="preserve">* </w:t>
            </w:r>
            <w:r w:rsidRPr="00DA3B20">
              <w:rPr>
                <w:rFonts w:eastAsia="Batang"/>
                <w:color w:val="000000"/>
                <w:sz w:val="19"/>
                <w:szCs w:val="19"/>
                <w:lang w:eastAsia="zh-CN"/>
              </w:rPr>
              <w:t>SPC will utilise funding from other sources in 2019</w:t>
            </w:r>
          </w:p>
        </w:tc>
        <w:tc>
          <w:tcPr>
            <w:tcW w:w="470" w:type="pct"/>
            <w:tcBorders>
              <w:top w:val="single" w:sz="4" w:space="0" w:color="auto"/>
              <w:left w:val="single" w:sz="4" w:space="0" w:color="auto"/>
              <w:bottom w:val="single" w:sz="4" w:space="0" w:color="auto"/>
              <w:right w:val="single" w:sz="4" w:space="0" w:color="auto"/>
            </w:tcBorders>
            <w:vAlign w:val="center"/>
          </w:tcPr>
          <w:p w14:paraId="35534463"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6735E09" w14:textId="77777777" w:rsidR="001F2446" w:rsidRPr="00DA3B20" w:rsidRDefault="001F2446" w:rsidP="006633A8">
            <w:pPr>
              <w:adjustRightInd w:val="0"/>
              <w:snapToGrid w:val="0"/>
              <w:jc w:val="center"/>
              <w:rPr>
                <w:rFonts w:eastAsia="Malgun Gothic"/>
                <w:color w:val="000000"/>
                <w:sz w:val="19"/>
                <w:szCs w:val="19"/>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22EB5178" w14:textId="77777777" w:rsidR="001F2446" w:rsidRPr="00DA3B20" w:rsidRDefault="001F2446" w:rsidP="006633A8">
            <w:pPr>
              <w:adjustRightInd w:val="0"/>
              <w:snapToGrid w:val="0"/>
              <w:jc w:val="center"/>
              <w:rPr>
                <w:rFonts w:eastAsia="Malgun Gothic"/>
                <w:color w:val="000000"/>
                <w:sz w:val="19"/>
                <w:szCs w:val="19"/>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A12609"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193CFF03"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40,000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540FE477"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40,000</w:t>
            </w:r>
          </w:p>
        </w:tc>
      </w:tr>
      <w:tr w:rsidR="002635B6" w:rsidRPr="00DA3B20" w14:paraId="4D74F3FB"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5AF75B78" w14:textId="77777777" w:rsidR="001F2446" w:rsidRPr="00DA3B20" w:rsidRDefault="001F2446" w:rsidP="006633A8">
            <w:pPr>
              <w:adjustRightInd w:val="0"/>
              <w:snapToGrid w:val="0"/>
              <w:rPr>
                <w:rFonts w:eastAsia="Malgun Gothic"/>
                <w:b/>
                <w:color w:val="000000"/>
                <w:sz w:val="19"/>
                <w:szCs w:val="19"/>
                <w:lang w:eastAsia="ko-KR"/>
              </w:rPr>
            </w:pPr>
            <w:r w:rsidRPr="00DA3B20">
              <w:rPr>
                <w:rFonts w:eastAsia="Malgun Gothic"/>
                <w:b/>
                <w:color w:val="000000"/>
                <w:sz w:val="19"/>
                <w:szCs w:val="19"/>
                <w:lang w:eastAsia="ko-KR"/>
              </w:rPr>
              <w:t xml:space="preserve">Project 68. Estimation of </w:t>
            </w:r>
            <w:r w:rsidRPr="00DA3B20">
              <w:rPr>
                <w:rFonts w:eastAsia="Batang"/>
                <w:b/>
                <w:color w:val="000000"/>
                <w:sz w:val="19"/>
                <w:szCs w:val="19"/>
                <w:lang w:eastAsia="zh-CN"/>
              </w:rPr>
              <w:t>seabird mortality across the WCPO Convention area</w:t>
            </w:r>
            <w:r w:rsidRPr="00DA3B20">
              <w:rPr>
                <w:rFonts w:eastAsia="Malgun Gothic"/>
                <w:b/>
                <w:color w:val="000000"/>
                <w:sz w:val="19"/>
                <w:szCs w:val="19"/>
                <w:lang w:eastAsia="ko-KR"/>
              </w:rPr>
              <w:t xml:space="preserve"> </w:t>
            </w:r>
          </w:p>
        </w:tc>
        <w:tc>
          <w:tcPr>
            <w:tcW w:w="470" w:type="pct"/>
            <w:tcBorders>
              <w:top w:val="single" w:sz="4" w:space="0" w:color="auto"/>
              <w:left w:val="single" w:sz="4" w:space="0" w:color="auto"/>
              <w:bottom w:val="single" w:sz="4" w:space="0" w:color="auto"/>
              <w:right w:val="single" w:sz="4" w:space="0" w:color="auto"/>
            </w:tcBorders>
            <w:vAlign w:val="center"/>
          </w:tcPr>
          <w:p w14:paraId="5E7CEC3A"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97F4602"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No</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22ADABDF"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2</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A74846"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17,500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B8CA375" w14:textId="77777777"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3D67AD6D" w14:textId="77777777" w:rsidR="001F2446" w:rsidRPr="00DA3B20" w:rsidRDefault="001F2446" w:rsidP="006633A8">
            <w:pPr>
              <w:adjustRightInd w:val="0"/>
              <w:snapToGrid w:val="0"/>
              <w:jc w:val="right"/>
              <w:rPr>
                <w:rFonts w:eastAsia="Batang"/>
                <w:color w:val="000000"/>
                <w:sz w:val="19"/>
                <w:szCs w:val="19"/>
                <w:lang w:eastAsia="ko-KR"/>
              </w:rPr>
            </w:pPr>
          </w:p>
        </w:tc>
      </w:tr>
      <w:tr w:rsidR="002635B6" w:rsidRPr="00DA3B20" w14:paraId="71956B5D"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AC0C5AB" w14:textId="77777777" w:rsidR="001F2446" w:rsidRPr="00DA3B20" w:rsidRDefault="001F2446" w:rsidP="006633A8">
            <w:pPr>
              <w:adjustRightInd w:val="0"/>
              <w:snapToGrid w:val="0"/>
              <w:rPr>
                <w:b/>
                <w:color w:val="000000"/>
                <w:sz w:val="19"/>
                <w:szCs w:val="19"/>
                <w:lang w:eastAsia="ko-KR"/>
              </w:rPr>
            </w:pPr>
            <w:r w:rsidRPr="00DA3B20">
              <w:rPr>
                <w:rFonts w:eastAsia="Malgun Gothic"/>
                <w:b/>
                <w:color w:val="000000"/>
                <w:sz w:val="19"/>
                <w:szCs w:val="19"/>
                <w:lang w:eastAsia="ko-KR"/>
              </w:rPr>
              <w:t xml:space="preserve">Project 81. </w:t>
            </w:r>
            <w:r w:rsidRPr="00DA3B20">
              <w:rPr>
                <w:rFonts w:eastAsia="Batang"/>
                <w:b/>
                <w:color w:val="000000"/>
                <w:sz w:val="19"/>
                <w:szCs w:val="19"/>
                <w:lang w:eastAsia="zh-CN"/>
              </w:rPr>
              <w:t>Further work on bigeye tuna age and growth</w:t>
            </w:r>
            <w:r w:rsidRPr="00DA3B20">
              <w:rPr>
                <w:rFonts w:eastAsia="Batang"/>
                <w:b/>
                <w:color w:val="000000"/>
                <w:sz w:val="19"/>
                <w:szCs w:val="19"/>
                <w:lang w:eastAsia="ko-KR"/>
              </w:rPr>
              <w:t xml:space="preserve"> </w:t>
            </w:r>
          </w:p>
        </w:tc>
        <w:tc>
          <w:tcPr>
            <w:tcW w:w="470" w:type="pct"/>
            <w:tcBorders>
              <w:top w:val="single" w:sz="4" w:space="0" w:color="auto"/>
              <w:left w:val="single" w:sz="4" w:space="0" w:color="auto"/>
              <w:bottom w:val="single" w:sz="4" w:space="0" w:color="auto"/>
              <w:right w:val="single" w:sz="4" w:space="0" w:color="auto"/>
            </w:tcBorders>
            <w:vAlign w:val="center"/>
          </w:tcPr>
          <w:p w14:paraId="706BF0A8"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7FC5E6E" w14:textId="77777777" w:rsidR="001F2446" w:rsidRPr="00DA3B20" w:rsidRDefault="001F2446" w:rsidP="006633A8">
            <w:pPr>
              <w:adjustRightInd w:val="0"/>
              <w:snapToGrid w:val="0"/>
              <w:jc w:val="center"/>
              <w:rPr>
                <w:rFonts w:eastAsia="Malgun Gothic"/>
                <w:color w:val="000000"/>
                <w:sz w:val="19"/>
                <w:szCs w:val="19"/>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27BF967A" w14:textId="77777777" w:rsidR="001F2446" w:rsidRPr="00DA3B20" w:rsidRDefault="001F2446" w:rsidP="006633A8">
            <w:pPr>
              <w:adjustRightInd w:val="0"/>
              <w:snapToGrid w:val="0"/>
              <w:jc w:val="center"/>
              <w:rPr>
                <w:rFonts w:eastAsia="Malgun Gothic"/>
                <w:color w:val="000000"/>
                <w:sz w:val="19"/>
                <w:szCs w:val="19"/>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FC8B2D" w14:textId="77777777" w:rsidR="001F2446" w:rsidRPr="00DA3B20" w:rsidRDefault="001F2446" w:rsidP="006633A8">
            <w:pPr>
              <w:adjustRightInd w:val="0"/>
              <w:snapToGrid w:val="0"/>
              <w:jc w:val="right"/>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2743AC8" w14:textId="77777777" w:rsidR="001F2446" w:rsidRPr="00DA3B20" w:rsidRDefault="001F2446" w:rsidP="006633A8">
            <w:pPr>
              <w:adjustRightInd w:val="0"/>
              <w:snapToGrid w:val="0"/>
              <w:jc w:val="right"/>
              <w:rPr>
                <w:color w:val="000000"/>
                <w:sz w:val="19"/>
                <w:szCs w:val="19"/>
                <w:lang w:eastAsia="zh-CN"/>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5FFFC0D4" w14:textId="77777777" w:rsidR="001F2446" w:rsidRPr="00DA3B20" w:rsidRDefault="001F2446" w:rsidP="006633A8">
            <w:pPr>
              <w:adjustRightInd w:val="0"/>
              <w:snapToGrid w:val="0"/>
              <w:jc w:val="right"/>
              <w:rPr>
                <w:color w:val="000000"/>
                <w:sz w:val="19"/>
                <w:szCs w:val="19"/>
                <w:lang w:eastAsia="zh-CN"/>
              </w:rPr>
            </w:pPr>
          </w:p>
        </w:tc>
      </w:tr>
      <w:tr w:rsidR="002635B6" w:rsidRPr="00DA3B20" w14:paraId="43D5DC8C"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0C44D3A3" w14:textId="77777777" w:rsidR="001F2446" w:rsidRPr="00DA3B20" w:rsidRDefault="001F2446" w:rsidP="006633A8">
            <w:pPr>
              <w:adjustRightInd w:val="0"/>
              <w:snapToGrid w:val="0"/>
              <w:rPr>
                <w:rFonts w:eastAsia="Malgun Gothic"/>
                <w:b/>
                <w:color w:val="000000"/>
                <w:sz w:val="19"/>
                <w:szCs w:val="19"/>
                <w:lang w:eastAsia="ko-KR"/>
              </w:rPr>
            </w:pPr>
            <w:r w:rsidRPr="00DA3B20">
              <w:rPr>
                <w:rFonts w:eastAsia="Malgun Gothic"/>
                <w:b/>
                <w:color w:val="000000"/>
                <w:sz w:val="19"/>
                <w:szCs w:val="19"/>
                <w:lang w:eastAsia="ko-KR"/>
              </w:rPr>
              <w:t xml:space="preserve">Project 82. </w:t>
            </w:r>
            <w:r w:rsidRPr="00DA3B20">
              <w:rPr>
                <w:rFonts w:eastAsia="Batang"/>
                <w:b/>
                <w:color w:val="000000"/>
                <w:sz w:val="19"/>
                <w:szCs w:val="19"/>
                <w:lang w:eastAsia="zh-CN"/>
              </w:rPr>
              <w:t>Yellowfin tuna age and growth</w:t>
            </w:r>
          </w:p>
        </w:tc>
        <w:tc>
          <w:tcPr>
            <w:tcW w:w="470" w:type="pct"/>
            <w:tcBorders>
              <w:top w:val="single" w:sz="4" w:space="0" w:color="auto"/>
              <w:left w:val="single" w:sz="4" w:space="0" w:color="auto"/>
              <w:bottom w:val="single" w:sz="4" w:space="0" w:color="auto"/>
              <w:right w:val="single" w:sz="4" w:space="0" w:color="auto"/>
            </w:tcBorders>
            <w:vAlign w:val="center"/>
          </w:tcPr>
          <w:p w14:paraId="4777C9A3"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97F5F9C"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0683C502"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1</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298F55"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85,000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D6C6CCC" w14:textId="77777777"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03969B70" w14:textId="77777777" w:rsidR="001F2446" w:rsidRPr="00DA3B20" w:rsidRDefault="001F2446" w:rsidP="006633A8">
            <w:pPr>
              <w:adjustRightInd w:val="0"/>
              <w:snapToGrid w:val="0"/>
              <w:jc w:val="right"/>
              <w:rPr>
                <w:color w:val="000000"/>
                <w:sz w:val="19"/>
                <w:szCs w:val="19"/>
                <w:lang w:eastAsia="zh-CN"/>
              </w:rPr>
            </w:pPr>
          </w:p>
        </w:tc>
      </w:tr>
      <w:tr w:rsidR="002635B6" w:rsidRPr="00DA3B20" w14:paraId="7D64C799"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7E7ABDEC" w14:textId="77777777" w:rsidR="001F2446" w:rsidRPr="00DA3B20" w:rsidRDefault="001F2446" w:rsidP="006633A8">
            <w:pPr>
              <w:adjustRightInd w:val="0"/>
              <w:snapToGrid w:val="0"/>
              <w:rPr>
                <w:rFonts w:eastAsia="Batang"/>
                <w:color w:val="000000"/>
                <w:sz w:val="19"/>
                <w:szCs w:val="19"/>
                <w:lang w:eastAsia="ja-JP"/>
              </w:rPr>
            </w:pPr>
            <w:r w:rsidRPr="00DA3B20">
              <w:rPr>
                <w:rFonts w:eastAsia="Malgun Gothic"/>
                <w:b/>
                <w:color w:val="000000"/>
                <w:sz w:val="19"/>
                <w:szCs w:val="19"/>
                <w:lang w:eastAsia="ko-KR"/>
              </w:rPr>
              <w:t>Project 83. Investigating the potential for a WCPFC tag vessel (</w:t>
            </w:r>
            <w:r w:rsidRPr="00DA3B20">
              <w:rPr>
                <w:rFonts w:eastAsia="Malgun Gothic"/>
                <w:color w:val="000000"/>
                <w:sz w:val="19"/>
                <w:szCs w:val="19"/>
                <w:lang w:eastAsia="ko-KR"/>
              </w:rPr>
              <w:t>Co-funded to be sought)</w:t>
            </w:r>
          </w:p>
        </w:tc>
        <w:tc>
          <w:tcPr>
            <w:tcW w:w="470" w:type="pct"/>
            <w:tcBorders>
              <w:top w:val="single" w:sz="4" w:space="0" w:color="auto"/>
              <w:left w:val="single" w:sz="4" w:space="0" w:color="auto"/>
              <w:bottom w:val="single" w:sz="4" w:space="0" w:color="auto"/>
              <w:right w:val="single" w:sz="4" w:space="0" w:color="auto"/>
            </w:tcBorders>
            <w:vAlign w:val="center"/>
          </w:tcPr>
          <w:p w14:paraId="45D5097C"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18D9B28A"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No</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72A31F76"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2</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FAEF12"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95,000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13B27376" w14:textId="77777777"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40043B53" w14:textId="77777777" w:rsidR="001F2446" w:rsidRPr="00DA3B20" w:rsidRDefault="001F2446" w:rsidP="006633A8">
            <w:pPr>
              <w:adjustRightInd w:val="0"/>
              <w:snapToGrid w:val="0"/>
              <w:jc w:val="right"/>
              <w:rPr>
                <w:rFonts w:eastAsia="Malgun Gothic"/>
                <w:color w:val="000000"/>
                <w:sz w:val="19"/>
                <w:szCs w:val="19"/>
                <w:lang w:eastAsia="ko-KR"/>
              </w:rPr>
            </w:pPr>
          </w:p>
        </w:tc>
      </w:tr>
      <w:tr w:rsidR="002635B6" w:rsidRPr="00DA3B20" w14:paraId="3F2C0AAE"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E4A40BB" w14:textId="77777777" w:rsidR="001F2446" w:rsidRPr="00DA3B20" w:rsidRDefault="001F2446" w:rsidP="006633A8">
            <w:pPr>
              <w:adjustRightInd w:val="0"/>
              <w:snapToGrid w:val="0"/>
              <w:rPr>
                <w:b/>
                <w:color w:val="000000"/>
                <w:sz w:val="19"/>
                <w:szCs w:val="19"/>
                <w:lang w:eastAsia="zh-CN"/>
              </w:rPr>
            </w:pPr>
            <w:r w:rsidRPr="00DA3B20">
              <w:rPr>
                <w:rFonts w:eastAsia="Batang"/>
                <w:b/>
                <w:bCs/>
                <w:color w:val="000000"/>
                <w:sz w:val="19"/>
                <w:szCs w:val="19"/>
                <w:lang w:eastAsia="zh-CN"/>
              </w:rPr>
              <w:t xml:space="preserve">Project 88. </w:t>
            </w:r>
            <w:r w:rsidRPr="00DA3B20">
              <w:rPr>
                <w:b/>
                <w:color w:val="000000"/>
                <w:sz w:val="19"/>
                <w:szCs w:val="19"/>
                <w:lang w:eastAsia="zh-CN"/>
              </w:rPr>
              <w:t>Acoustic FAD analyses</w:t>
            </w:r>
          </w:p>
        </w:tc>
        <w:tc>
          <w:tcPr>
            <w:tcW w:w="470" w:type="pct"/>
            <w:tcBorders>
              <w:top w:val="single" w:sz="4" w:space="0" w:color="auto"/>
              <w:left w:val="single" w:sz="4" w:space="0" w:color="auto"/>
              <w:bottom w:val="single" w:sz="4" w:space="0" w:color="auto"/>
              <w:right w:val="single" w:sz="4" w:space="0" w:color="auto"/>
            </w:tcBorders>
            <w:vAlign w:val="center"/>
          </w:tcPr>
          <w:p w14:paraId="21A1FB0F"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E293FF8" w14:textId="77777777" w:rsidR="001F2446" w:rsidRPr="00DA3B20" w:rsidRDefault="001F2446" w:rsidP="006633A8">
            <w:pPr>
              <w:adjustRightInd w:val="0"/>
              <w:snapToGrid w:val="0"/>
              <w:jc w:val="center"/>
              <w:rPr>
                <w:color w:val="000000"/>
                <w:sz w:val="19"/>
                <w:szCs w:val="19"/>
                <w:lang w:eastAsia="zh-CN"/>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6F87FEE8" w14:textId="77777777" w:rsidR="001F2446" w:rsidRPr="00DA3B20" w:rsidRDefault="001F2446" w:rsidP="006633A8">
            <w:pPr>
              <w:adjustRightInd w:val="0"/>
              <w:snapToGrid w:val="0"/>
              <w:jc w:val="center"/>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4B071C" w14:textId="77777777" w:rsidR="001F2446" w:rsidRPr="00DA3B20" w:rsidRDefault="001F2446" w:rsidP="006633A8">
            <w:pPr>
              <w:adjustRightInd w:val="0"/>
              <w:snapToGrid w:val="0"/>
              <w:jc w:val="right"/>
              <w:rPr>
                <w:rFonts w:eastAsia="Malgun Gothic"/>
                <w:color w:val="000000"/>
                <w:sz w:val="19"/>
                <w:szCs w:val="19"/>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C5CAEB1"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120,000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5AA676E5"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72,000</w:t>
            </w:r>
          </w:p>
        </w:tc>
      </w:tr>
      <w:tr w:rsidR="002635B6" w:rsidRPr="00DA3B20" w14:paraId="041EF203"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7A286BC" w14:textId="77777777" w:rsidR="001F2446" w:rsidRPr="00DA3B20" w:rsidRDefault="001F2446" w:rsidP="006633A8">
            <w:pPr>
              <w:adjustRightInd w:val="0"/>
              <w:snapToGrid w:val="0"/>
              <w:rPr>
                <w:rFonts w:eastAsia="Malgun Gothic"/>
                <w:b/>
                <w:color w:val="000000"/>
                <w:sz w:val="19"/>
                <w:szCs w:val="19"/>
                <w:lang w:eastAsia="ko-KR"/>
              </w:rPr>
            </w:pPr>
            <w:r w:rsidRPr="00DA3B20">
              <w:rPr>
                <w:rFonts w:eastAsia="Malgun Gothic"/>
                <w:b/>
                <w:color w:val="000000"/>
                <w:sz w:val="19"/>
                <w:szCs w:val="19"/>
                <w:lang w:eastAsia="ko-KR"/>
              </w:rPr>
              <w:t>Project 90. Better data on fish weights and lengths for scientific analyses</w:t>
            </w:r>
          </w:p>
        </w:tc>
        <w:tc>
          <w:tcPr>
            <w:tcW w:w="470" w:type="pct"/>
            <w:tcBorders>
              <w:top w:val="single" w:sz="4" w:space="0" w:color="auto"/>
              <w:left w:val="single" w:sz="4" w:space="0" w:color="auto"/>
              <w:bottom w:val="single" w:sz="4" w:space="0" w:color="auto"/>
              <w:right w:val="single" w:sz="4" w:space="0" w:color="auto"/>
            </w:tcBorders>
            <w:vAlign w:val="center"/>
          </w:tcPr>
          <w:p w14:paraId="5117A5C0"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133E8D38"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No</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61BC6858"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2</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FBF15B" w14:textId="77777777" w:rsidR="001F2446" w:rsidRPr="00DA3B20" w:rsidRDefault="001F2446" w:rsidP="006633A8">
            <w:pPr>
              <w:adjustRightInd w:val="0"/>
              <w:snapToGrid w:val="0"/>
              <w:ind w:right="120"/>
              <w:jc w:val="right"/>
              <w:rPr>
                <w:rFonts w:eastAsia="Malgun Gothic"/>
                <w:color w:val="000000"/>
                <w:sz w:val="19"/>
                <w:szCs w:val="19"/>
                <w:lang w:eastAsia="ko-KR"/>
              </w:rPr>
            </w:pPr>
            <w:r w:rsidRPr="00DA3B20">
              <w:rPr>
                <w:rFonts w:eastAsia="Malgun Gothic"/>
                <w:color w:val="000000"/>
                <w:sz w:val="19"/>
                <w:szCs w:val="19"/>
                <w:lang w:eastAsia="ko-KR"/>
              </w:rPr>
              <w:t>60,000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366ED6D"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30,000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5EAF3F5E"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20,000</w:t>
            </w:r>
          </w:p>
        </w:tc>
      </w:tr>
      <w:tr w:rsidR="002635B6" w:rsidRPr="00DA3B20" w14:paraId="1F853F08"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3237100B" w14:textId="77777777" w:rsidR="001F2446" w:rsidRPr="00DA3B20" w:rsidRDefault="001F2446" w:rsidP="006633A8">
            <w:pPr>
              <w:adjustRightInd w:val="0"/>
              <w:snapToGrid w:val="0"/>
              <w:rPr>
                <w:rFonts w:eastAsia="Batang"/>
                <w:b/>
                <w:color w:val="000000"/>
                <w:sz w:val="19"/>
                <w:szCs w:val="19"/>
                <w:lang w:eastAsia="ko-KR"/>
              </w:rPr>
            </w:pPr>
            <w:r w:rsidRPr="00DA3B20">
              <w:rPr>
                <w:rFonts w:eastAsia="Malgun Gothic"/>
                <w:b/>
                <w:color w:val="000000"/>
                <w:sz w:val="19"/>
                <w:szCs w:val="19"/>
                <w:lang w:eastAsia="ko-KR"/>
              </w:rPr>
              <w:t xml:space="preserve">Project 91. </w:t>
            </w:r>
            <w:r w:rsidRPr="00DA3B20">
              <w:rPr>
                <w:rFonts w:eastAsia="Batang"/>
                <w:b/>
                <w:color w:val="000000"/>
                <w:sz w:val="19"/>
                <w:szCs w:val="19"/>
                <w:lang w:eastAsia="zh-CN"/>
              </w:rPr>
              <w:t>Operational planning for shark biological data improvement</w:t>
            </w:r>
          </w:p>
          <w:p w14:paraId="056F3D42" w14:textId="77777777" w:rsidR="001F2446" w:rsidRPr="00DA3B20" w:rsidRDefault="001F2446" w:rsidP="006633A8">
            <w:pPr>
              <w:adjustRightInd w:val="0"/>
              <w:snapToGrid w:val="0"/>
              <w:rPr>
                <w:rFonts w:eastAsia="Malgun Gothic"/>
                <w:color w:val="000000"/>
                <w:sz w:val="19"/>
                <w:szCs w:val="19"/>
                <w:lang w:eastAsia="ko-KR"/>
              </w:rPr>
            </w:pPr>
            <w:r w:rsidRPr="00DA3B20">
              <w:rPr>
                <w:rFonts w:eastAsia="Batang"/>
                <w:color w:val="000000"/>
                <w:sz w:val="19"/>
                <w:szCs w:val="19"/>
                <w:lang w:eastAsia="ko-KR"/>
              </w:rPr>
              <w:t>*ABNJ-funded project ($30,000) – need to re-advertise</w:t>
            </w:r>
          </w:p>
        </w:tc>
        <w:tc>
          <w:tcPr>
            <w:tcW w:w="470" w:type="pct"/>
            <w:tcBorders>
              <w:top w:val="single" w:sz="4" w:space="0" w:color="auto"/>
              <w:left w:val="single" w:sz="4" w:space="0" w:color="auto"/>
              <w:bottom w:val="single" w:sz="4" w:space="0" w:color="auto"/>
              <w:right w:val="single" w:sz="4" w:space="0" w:color="auto"/>
            </w:tcBorders>
          </w:tcPr>
          <w:p w14:paraId="178DB67D" w14:textId="77777777" w:rsidR="001F2446" w:rsidRPr="00DA3B20" w:rsidRDefault="001F2446" w:rsidP="006633A8">
            <w:pPr>
              <w:adjustRightInd w:val="0"/>
              <w:snapToGrid w:val="0"/>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29EA504" w14:textId="77777777" w:rsidR="001F2446" w:rsidRPr="00DA3B20" w:rsidRDefault="001F2446" w:rsidP="006633A8">
            <w:pPr>
              <w:adjustRightInd w:val="0"/>
              <w:snapToGrid w:val="0"/>
              <w:jc w:val="center"/>
              <w:rPr>
                <w:color w:val="000000"/>
                <w:sz w:val="19"/>
                <w:szCs w:val="19"/>
                <w:lang w:eastAsia="zh-CN"/>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0B2D487F" w14:textId="77777777" w:rsidR="001F2446" w:rsidRPr="00DA3B20" w:rsidRDefault="001F2446" w:rsidP="006633A8">
            <w:pPr>
              <w:adjustRightInd w:val="0"/>
              <w:snapToGrid w:val="0"/>
              <w:jc w:val="center"/>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42F2E5" w14:textId="77777777" w:rsidR="001F2446" w:rsidRPr="00DA3B20" w:rsidRDefault="001F2446" w:rsidP="006633A8">
            <w:pPr>
              <w:adjustRightInd w:val="0"/>
              <w:snapToGrid w:val="0"/>
              <w:jc w:val="right"/>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1A6D3554" w14:textId="77777777"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6AA38DD6" w14:textId="77777777" w:rsidR="001F2446" w:rsidRPr="00DA3B20" w:rsidRDefault="001F2446" w:rsidP="006633A8">
            <w:pPr>
              <w:adjustRightInd w:val="0"/>
              <w:snapToGrid w:val="0"/>
              <w:jc w:val="right"/>
              <w:rPr>
                <w:rFonts w:eastAsia="Malgun Gothic"/>
                <w:color w:val="000000"/>
                <w:sz w:val="19"/>
                <w:szCs w:val="19"/>
                <w:lang w:eastAsia="ko-KR"/>
              </w:rPr>
            </w:pPr>
          </w:p>
        </w:tc>
      </w:tr>
      <w:tr w:rsidR="002635B6" w:rsidRPr="00DA3B20" w14:paraId="728A5CC3"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55CFEC26" w14:textId="77777777" w:rsidR="001F2446" w:rsidRPr="00DA3B20" w:rsidRDefault="001F2446" w:rsidP="006633A8">
            <w:pPr>
              <w:adjustRightInd w:val="0"/>
              <w:snapToGrid w:val="0"/>
              <w:rPr>
                <w:rFonts w:eastAsia="Malgun Gothic"/>
                <w:b/>
                <w:color w:val="000000"/>
                <w:sz w:val="19"/>
                <w:szCs w:val="19"/>
                <w:lang w:eastAsia="ko-KR"/>
              </w:rPr>
            </w:pPr>
            <w:r w:rsidRPr="00DA3B20">
              <w:rPr>
                <w:rFonts w:eastAsia="Malgun Gothic"/>
                <w:b/>
                <w:color w:val="000000"/>
                <w:sz w:val="19"/>
                <w:szCs w:val="19"/>
                <w:lang w:eastAsia="ko-KR"/>
              </w:rPr>
              <w:t xml:space="preserve">Project 92. </w:t>
            </w:r>
            <w:r w:rsidRPr="00DA3B20">
              <w:rPr>
                <w:rFonts w:eastAsia="Batang"/>
                <w:b/>
                <w:color w:val="000000"/>
                <w:sz w:val="19"/>
                <w:szCs w:val="19"/>
                <w:lang w:val="en-NZ" w:eastAsia="zh-CN"/>
              </w:rPr>
              <w:t>Testing the performance of alternative stock assessments approaches for oceanic whitetip shark</w:t>
            </w:r>
            <w:r w:rsidR="00A16680" w:rsidRPr="00DA3B20">
              <w:rPr>
                <w:rFonts w:eastAsia="Batang"/>
                <w:b/>
                <w:color w:val="000000"/>
                <w:sz w:val="19"/>
                <w:szCs w:val="19"/>
                <w:lang w:val="en-NZ" w:eastAsia="zh-CN"/>
              </w:rPr>
              <w:t xml:space="preserve">. </w:t>
            </w:r>
          </w:p>
        </w:tc>
        <w:tc>
          <w:tcPr>
            <w:tcW w:w="470" w:type="pct"/>
            <w:tcBorders>
              <w:top w:val="single" w:sz="4" w:space="0" w:color="auto"/>
              <w:left w:val="single" w:sz="4" w:space="0" w:color="auto"/>
              <w:bottom w:val="single" w:sz="4" w:space="0" w:color="auto"/>
              <w:right w:val="single" w:sz="4" w:space="0" w:color="auto"/>
            </w:tcBorders>
            <w:vAlign w:val="center"/>
          </w:tcPr>
          <w:p w14:paraId="24A34A45"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764F217"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No</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66A81899"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2</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480EB"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75,000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292A151" w14:textId="77777777"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2E439A7C" w14:textId="77777777" w:rsidR="001F2446" w:rsidRPr="00DA3B20" w:rsidRDefault="001F2446" w:rsidP="006633A8">
            <w:pPr>
              <w:adjustRightInd w:val="0"/>
              <w:snapToGrid w:val="0"/>
              <w:jc w:val="right"/>
              <w:rPr>
                <w:rFonts w:eastAsia="Malgun Gothic"/>
                <w:color w:val="000000"/>
                <w:sz w:val="19"/>
                <w:szCs w:val="19"/>
                <w:lang w:eastAsia="ko-KR"/>
              </w:rPr>
            </w:pPr>
          </w:p>
        </w:tc>
      </w:tr>
      <w:tr w:rsidR="002635B6" w:rsidRPr="00DA3B20" w14:paraId="346F5B38"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41159D40" w14:textId="77777777" w:rsidR="001F2446" w:rsidRPr="00DA3B20" w:rsidRDefault="001F2446" w:rsidP="006633A8">
            <w:pPr>
              <w:adjustRightInd w:val="0"/>
              <w:snapToGrid w:val="0"/>
              <w:rPr>
                <w:rFonts w:eastAsia="Malgun Gothic"/>
                <w:b/>
                <w:color w:val="000000"/>
                <w:sz w:val="19"/>
                <w:szCs w:val="19"/>
                <w:lang w:eastAsia="ko-KR"/>
              </w:rPr>
            </w:pPr>
            <w:r w:rsidRPr="00DA3B20">
              <w:rPr>
                <w:rFonts w:eastAsia="Malgun Gothic"/>
                <w:b/>
                <w:color w:val="000000"/>
                <w:sz w:val="19"/>
                <w:szCs w:val="19"/>
                <w:lang w:eastAsia="ko-KR"/>
              </w:rPr>
              <w:t xml:space="preserve">Project 93. </w:t>
            </w:r>
            <w:r w:rsidRPr="00DA3B20">
              <w:rPr>
                <w:rFonts w:eastAsia="Batang"/>
                <w:b/>
                <w:color w:val="000000"/>
                <w:sz w:val="19"/>
                <w:szCs w:val="19"/>
                <w:lang w:eastAsia="zh-CN"/>
              </w:rPr>
              <w:t>Review of the Commission’s data needs and collection programs</w:t>
            </w:r>
          </w:p>
        </w:tc>
        <w:tc>
          <w:tcPr>
            <w:tcW w:w="470" w:type="pct"/>
            <w:tcBorders>
              <w:top w:val="single" w:sz="4" w:space="0" w:color="auto"/>
              <w:left w:val="single" w:sz="4" w:space="0" w:color="auto"/>
              <w:bottom w:val="single" w:sz="4" w:space="0" w:color="auto"/>
              <w:right w:val="single" w:sz="4" w:space="0" w:color="auto"/>
            </w:tcBorders>
            <w:vAlign w:val="center"/>
          </w:tcPr>
          <w:p w14:paraId="753E7631" w14:textId="77777777" w:rsidR="001F2446" w:rsidRPr="00DA3B20" w:rsidRDefault="001F2446" w:rsidP="006633A8">
            <w:pPr>
              <w:adjustRightInd w:val="0"/>
              <w:snapToGrid w:val="0"/>
              <w:rPr>
                <w:color w:val="000000"/>
                <w:sz w:val="19"/>
                <w:szCs w:val="19"/>
                <w:lang w:eastAsia="zh-CN"/>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8491CC0" w14:textId="77777777" w:rsidR="001F2446" w:rsidRPr="00DA3B20" w:rsidRDefault="001F2446" w:rsidP="006633A8">
            <w:pPr>
              <w:adjustRightInd w:val="0"/>
              <w:snapToGrid w:val="0"/>
              <w:jc w:val="center"/>
              <w:rPr>
                <w:color w:val="000000"/>
                <w:sz w:val="19"/>
                <w:szCs w:val="19"/>
                <w:lang w:eastAsia="zh-CN"/>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27E0E1C5" w14:textId="77777777" w:rsidR="001F2446" w:rsidRPr="00DA3B20" w:rsidRDefault="001F2446" w:rsidP="006633A8">
            <w:pPr>
              <w:adjustRightInd w:val="0"/>
              <w:snapToGrid w:val="0"/>
              <w:jc w:val="center"/>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420B52" w14:textId="77777777" w:rsidR="001F2446" w:rsidRPr="00DA3B20" w:rsidRDefault="001F2446" w:rsidP="006633A8">
            <w:pPr>
              <w:adjustRightInd w:val="0"/>
              <w:snapToGrid w:val="0"/>
              <w:jc w:val="right"/>
              <w:rPr>
                <w:rFonts w:eastAsia="Malgun Gothic"/>
                <w:color w:val="000000"/>
                <w:sz w:val="19"/>
                <w:szCs w:val="19"/>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5B930F0" w14:textId="77777777"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5C97539B" w14:textId="77777777" w:rsidR="001F2446" w:rsidRPr="00DA3B20" w:rsidRDefault="001F2446" w:rsidP="006633A8">
            <w:pPr>
              <w:adjustRightInd w:val="0"/>
              <w:snapToGrid w:val="0"/>
              <w:jc w:val="right"/>
              <w:rPr>
                <w:rFonts w:eastAsia="Malgun Gothic"/>
                <w:color w:val="000000"/>
                <w:sz w:val="19"/>
                <w:szCs w:val="19"/>
                <w:lang w:eastAsia="ko-KR"/>
              </w:rPr>
            </w:pPr>
          </w:p>
        </w:tc>
      </w:tr>
      <w:tr w:rsidR="002635B6" w:rsidRPr="00DA3B20" w14:paraId="277018BE"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2F0B3B20" w14:textId="77777777" w:rsidR="001F2446" w:rsidRPr="00DA3B20" w:rsidRDefault="001F2446" w:rsidP="006633A8">
            <w:pPr>
              <w:adjustRightInd w:val="0"/>
              <w:snapToGrid w:val="0"/>
              <w:rPr>
                <w:rFonts w:eastAsia="Malgun Gothic"/>
                <w:b/>
                <w:color w:val="000000"/>
                <w:sz w:val="19"/>
                <w:szCs w:val="19"/>
                <w:lang w:eastAsia="ko-KR"/>
              </w:rPr>
            </w:pPr>
            <w:r w:rsidRPr="00DA3B20">
              <w:rPr>
                <w:rFonts w:eastAsia="Malgun Gothic"/>
                <w:b/>
                <w:color w:val="000000"/>
                <w:sz w:val="19"/>
                <w:szCs w:val="19"/>
                <w:lang w:eastAsia="ko-KR"/>
              </w:rPr>
              <w:t xml:space="preserve">Project 94. </w:t>
            </w:r>
            <w:r w:rsidRPr="00DA3B20">
              <w:rPr>
                <w:rFonts w:eastAsia="Batang"/>
                <w:b/>
                <w:color w:val="000000"/>
                <w:sz w:val="19"/>
                <w:szCs w:val="19"/>
                <w:lang w:eastAsia="zh-CN"/>
              </w:rPr>
              <w:t>Workshop on yellowfin and bigeye tuna age and growth</w:t>
            </w:r>
          </w:p>
        </w:tc>
        <w:tc>
          <w:tcPr>
            <w:tcW w:w="470" w:type="pct"/>
            <w:tcBorders>
              <w:top w:val="single" w:sz="4" w:space="0" w:color="auto"/>
              <w:left w:val="single" w:sz="4" w:space="0" w:color="auto"/>
              <w:bottom w:val="single" w:sz="4" w:space="0" w:color="auto"/>
              <w:right w:val="single" w:sz="4" w:space="0" w:color="auto"/>
            </w:tcBorders>
            <w:vAlign w:val="center"/>
          </w:tcPr>
          <w:p w14:paraId="5CE814EA" w14:textId="77777777" w:rsidR="001F2446" w:rsidRPr="00DA3B20" w:rsidRDefault="001F2446" w:rsidP="006633A8">
            <w:pPr>
              <w:adjustRightInd w:val="0"/>
              <w:snapToGrid w:val="0"/>
              <w:rPr>
                <w:color w:val="000000"/>
                <w:sz w:val="19"/>
                <w:szCs w:val="19"/>
                <w:lang w:eastAsia="zh-CN"/>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E772A20"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4C97F4A7" w14:textId="77777777"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1</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917B23" w14:textId="77777777" w:rsidR="001F2446" w:rsidRPr="00DA3B20" w:rsidRDefault="001F2446" w:rsidP="006633A8">
            <w:pPr>
              <w:adjustRightInd w:val="0"/>
              <w:snapToGrid w:val="0"/>
              <w:jc w:val="right"/>
              <w:rPr>
                <w:color w:val="000000"/>
                <w:sz w:val="19"/>
                <w:szCs w:val="19"/>
                <w:lang w:eastAsia="zh-CN"/>
              </w:rPr>
            </w:pPr>
            <w:r w:rsidRPr="00DA3B20">
              <w:rPr>
                <w:rFonts w:eastAsia="Malgun Gothic"/>
                <w:color w:val="000000"/>
                <w:sz w:val="19"/>
                <w:szCs w:val="19"/>
                <w:lang w:eastAsia="ko-KR"/>
              </w:rPr>
              <w:t>15,000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42DF110" w14:textId="77777777"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2185DCB0" w14:textId="77777777" w:rsidR="001F2446" w:rsidRPr="00DA3B20" w:rsidRDefault="001F2446" w:rsidP="006633A8">
            <w:pPr>
              <w:adjustRightInd w:val="0"/>
              <w:snapToGrid w:val="0"/>
              <w:jc w:val="right"/>
              <w:rPr>
                <w:rFonts w:eastAsia="Malgun Gothic"/>
                <w:color w:val="000000"/>
                <w:sz w:val="19"/>
                <w:szCs w:val="19"/>
                <w:lang w:eastAsia="ko-KR"/>
              </w:rPr>
            </w:pPr>
          </w:p>
        </w:tc>
      </w:tr>
      <w:tr w:rsidR="002635B6" w:rsidRPr="00DA3B20" w14:paraId="7157CB7D"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271EB78" w14:textId="77777777" w:rsidR="001F2446" w:rsidRPr="00DA3B20" w:rsidRDefault="001F2446" w:rsidP="006633A8">
            <w:pPr>
              <w:adjustRightInd w:val="0"/>
              <w:snapToGrid w:val="0"/>
              <w:rPr>
                <w:rFonts w:eastAsia="Malgun Gothic"/>
                <w:b/>
                <w:color w:val="000000"/>
                <w:sz w:val="19"/>
                <w:szCs w:val="19"/>
                <w:lang w:eastAsia="ko-KR"/>
              </w:rPr>
            </w:pPr>
            <w:r w:rsidRPr="00DA3B20">
              <w:rPr>
                <w:b/>
                <w:color w:val="000000"/>
                <w:sz w:val="19"/>
                <w:szCs w:val="19"/>
                <w:lang w:eastAsia="zh-CN"/>
              </w:rPr>
              <w:t>Unobligated</w:t>
            </w:r>
            <w:r w:rsidRPr="00DA3B20">
              <w:rPr>
                <w:rFonts w:eastAsia="Batang"/>
                <w:b/>
                <w:color w:val="000000"/>
                <w:sz w:val="19"/>
                <w:szCs w:val="19"/>
                <w:lang w:eastAsia="zh-CN"/>
              </w:rPr>
              <w:t xml:space="preserve"> (Contingency)</w:t>
            </w:r>
            <w:r w:rsidRPr="00DA3B20">
              <w:rPr>
                <w:b/>
                <w:color w:val="000000"/>
                <w:sz w:val="19"/>
                <w:szCs w:val="19"/>
                <w:lang w:eastAsia="zh-CN"/>
              </w:rPr>
              <w:t xml:space="preserve"> Budget </w:t>
            </w:r>
          </w:p>
          <w:p w14:paraId="37632825" w14:textId="77777777" w:rsidR="001F2446" w:rsidRPr="00DA3B20" w:rsidRDefault="001F2446" w:rsidP="006633A8">
            <w:pPr>
              <w:adjustRightInd w:val="0"/>
              <w:snapToGrid w:val="0"/>
              <w:rPr>
                <w:rFonts w:eastAsia="Malgun Gothic"/>
                <w:color w:val="000000"/>
                <w:sz w:val="19"/>
                <w:szCs w:val="19"/>
                <w:lang w:eastAsia="ko-KR"/>
              </w:rPr>
            </w:pPr>
            <w:r w:rsidRPr="00DA3B20">
              <w:rPr>
                <w:rFonts w:eastAsia="Malgun Gothic"/>
                <w:color w:val="000000"/>
                <w:sz w:val="19"/>
                <w:szCs w:val="19"/>
                <w:u w:val="single"/>
                <w:lang w:eastAsia="ko-KR"/>
              </w:rPr>
              <w:t>Note</w:t>
            </w:r>
            <w:r w:rsidRPr="00DA3B20">
              <w:rPr>
                <w:rFonts w:eastAsia="Malgun Gothic"/>
                <w:color w:val="000000"/>
                <w:sz w:val="19"/>
                <w:szCs w:val="19"/>
                <w:lang w:eastAsia="ko-KR"/>
              </w:rPr>
              <w:t>: A</w:t>
            </w:r>
            <w:r w:rsidRPr="00DA3B20">
              <w:rPr>
                <w:rFonts w:eastAsia="Batang"/>
                <w:color w:val="000000"/>
                <w:sz w:val="19"/>
                <w:szCs w:val="19"/>
                <w:lang w:eastAsia="zh-CN"/>
              </w:rPr>
              <w:t>ny science-related projects requested by the Commission with no budget allocation</w:t>
            </w:r>
          </w:p>
        </w:tc>
        <w:tc>
          <w:tcPr>
            <w:tcW w:w="470" w:type="pct"/>
            <w:tcBorders>
              <w:top w:val="single" w:sz="4" w:space="0" w:color="auto"/>
              <w:left w:val="single" w:sz="4" w:space="0" w:color="auto"/>
              <w:bottom w:val="single" w:sz="4" w:space="0" w:color="auto"/>
              <w:right w:val="single" w:sz="4" w:space="0" w:color="auto"/>
            </w:tcBorders>
          </w:tcPr>
          <w:p w14:paraId="7207ED34" w14:textId="77777777" w:rsidR="001F2446" w:rsidRPr="00DA3B20" w:rsidRDefault="001F2446" w:rsidP="006633A8">
            <w:pPr>
              <w:adjustRightInd w:val="0"/>
              <w:snapToGrid w:val="0"/>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523D4F5" w14:textId="77777777" w:rsidR="001F2446" w:rsidRPr="00DA3B20" w:rsidRDefault="001F2446" w:rsidP="006633A8">
            <w:pPr>
              <w:adjustRightInd w:val="0"/>
              <w:snapToGrid w:val="0"/>
              <w:jc w:val="center"/>
              <w:rPr>
                <w:color w:val="000000"/>
                <w:sz w:val="19"/>
                <w:szCs w:val="19"/>
                <w:lang w:eastAsia="zh-CN"/>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3AAD9897" w14:textId="77777777" w:rsidR="001F2446" w:rsidRPr="00DA3B20" w:rsidRDefault="001F2446" w:rsidP="006633A8">
            <w:pPr>
              <w:adjustRightInd w:val="0"/>
              <w:snapToGrid w:val="0"/>
              <w:jc w:val="center"/>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C3ADAD" w14:textId="77777777" w:rsidR="001F2446" w:rsidRPr="00DA3B20" w:rsidRDefault="001F2446" w:rsidP="006633A8">
            <w:pPr>
              <w:adjustRightInd w:val="0"/>
              <w:snapToGrid w:val="0"/>
              <w:jc w:val="right"/>
              <w:rPr>
                <w:rFonts w:eastAsia="Malgun Gothic"/>
                <w:color w:val="000000"/>
                <w:sz w:val="19"/>
                <w:szCs w:val="19"/>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DEA9100"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83,000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0AC98DF6" w14:textId="77777777"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83,000</w:t>
            </w:r>
          </w:p>
        </w:tc>
      </w:tr>
      <w:tr w:rsidR="002635B6" w:rsidRPr="00DA3B20" w14:paraId="7EF295AA" w14:textId="77777777"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026724B" w14:textId="77777777" w:rsidR="001F2446" w:rsidRPr="00DA3B20" w:rsidRDefault="001F2446" w:rsidP="006633A8">
            <w:pPr>
              <w:adjustRightInd w:val="0"/>
              <w:snapToGrid w:val="0"/>
              <w:jc w:val="center"/>
              <w:rPr>
                <w:b/>
                <w:bCs/>
                <w:color w:val="000000"/>
                <w:sz w:val="19"/>
                <w:szCs w:val="19"/>
                <w:lang w:eastAsia="zh-CN"/>
              </w:rPr>
            </w:pPr>
            <w:r w:rsidRPr="00DA3B20">
              <w:rPr>
                <w:b/>
                <w:bCs/>
                <w:color w:val="000000"/>
                <w:sz w:val="19"/>
                <w:szCs w:val="19"/>
                <w:lang w:eastAsia="zh-CN"/>
              </w:rPr>
              <w:t>SC1</w:t>
            </w:r>
            <w:r w:rsidRPr="00DA3B20">
              <w:rPr>
                <w:rFonts w:eastAsia="Malgun Gothic"/>
                <w:b/>
                <w:bCs/>
                <w:color w:val="000000"/>
                <w:sz w:val="19"/>
                <w:szCs w:val="19"/>
                <w:lang w:eastAsia="ko-KR"/>
              </w:rPr>
              <w:t>4</w:t>
            </w:r>
            <w:r w:rsidRPr="00DA3B20">
              <w:rPr>
                <w:b/>
                <w:bCs/>
                <w:color w:val="000000"/>
                <w:sz w:val="19"/>
                <w:szCs w:val="19"/>
                <w:lang w:eastAsia="zh-CN"/>
              </w:rPr>
              <w:t xml:space="preserve"> TOTAL BUDGET</w:t>
            </w:r>
          </w:p>
        </w:tc>
        <w:tc>
          <w:tcPr>
            <w:tcW w:w="1405"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6DFB990F" w14:textId="77777777" w:rsidR="001F2446" w:rsidRPr="00DA3B20" w:rsidRDefault="001F2446" w:rsidP="006633A8">
            <w:pPr>
              <w:adjustRightInd w:val="0"/>
              <w:snapToGrid w:val="0"/>
              <w:jc w:val="center"/>
              <w:rPr>
                <w:b/>
                <w:bCs/>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2BD147" w14:textId="77777777" w:rsidR="001F2446" w:rsidRPr="00DA3B20" w:rsidRDefault="001F2446" w:rsidP="006633A8">
            <w:pPr>
              <w:adjustRightInd w:val="0"/>
              <w:snapToGrid w:val="0"/>
              <w:jc w:val="right"/>
              <w:rPr>
                <w:rFonts w:eastAsia="Malgun Gothic"/>
                <w:b/>
                <w:sz w:val="19"/>
                <w:szCs w:val="19"/>
                <w:lang w:eastAsia="ko-KR"/>
              </w:rPr>
            </w:pPr>
            <w:r w:rsidRPr="00DA3B20">
              <w:rPr>
                <w:rFonts w:eastAsia="Malgun Gothic"/>
                <w:b/>
                <w:color w:val="000000"/>
                <w:sz w:val="19"/>
                <w:szCs w:val="19"/>
                <w:lang w:eastAsia="ko-KR"/>
              </w:rPr>
              <w:t>2,160,928</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408824E" w14:textId="77777777" w:rsidR="001F2446" w:rsidRPr="00DA3B20" w:rsidRDefault="00AB3713" w:rsidP="006633A8">
            <w:pPr>
              <w:adjustRightInd w:val="0"/>
              <w:snapToGrid w:val="0"/>
              <w:jc w:val="right"/>
              <w:rPr>
                <w:rFonts w:eastAsia="Malgun Gothic"/>
                <w:b/>
                <w:sz w:val="19"/>
                <w:szCs w:val="19"/>
                <w:lang w:eastAsia="ko-KR"/>
              </w:rPr>
            </w:pPr>
            <w:r>
              <w:rPr>
                <w:rFonts w:eastAsia="Malgun Gothic" w:hint="eastAsia"/>
                <w:b/>
                <w:sz w:val="19"/>
                <w:szCs w:val="19"/>
                <w:lang w:eastAsia="ko-KR"/>
              </w:rPr>
              <w:t>2,108,199</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057BF1A9" w14:textId="77777777" w:rsidR="001F2446" w:rsidRPr="00DA3B20" w:rsidRDefault="00AB3713" w:rsidP="006633A8">
            <w:pPr>
              <w:adjustRightInd w:val="0"/>
              <w:snapToGrid w:val="0"/>
              <w:jc w:val="right"/>
              <w:rPr>
                <w:rFonts w:eastAsia="Malgun Gothic"/>
                <w:b/>
                <w:sz w:val="19"/>
                <w:szCs w:val="19"/>
                <w:lang w:eastAsia="ko-KR"/>
              </w:rPr>
            </w:pPr>
            <w:r>
              <w:rPr>
                <w:rFonts w:eastAsia="Malgun Gothic" w:hint="eastAsia"/>
                <w:b/>
                <w:sz w:val="19"/>
                <w:szCs w:val="19"/>
                <w:lang w:eastAsia="ko-KR"/>
              </w:rPr>
              <w:t>2,157,340</w:t>
            </w:r>
          </w:p>
        </w:tc>
      </w:tr>
    </w:tbl>
    <w:p w14:paraId="3B64A095" w14:textId="77777777" w:rsidR="0049142C" w:rsidRPr="004635E5" w:rsidRDefault="0049142C" w:rsidP="006633A8">
      <w:pPr>
        <w:pStyle w:val="WCPFC"/>
        <w:numPr>
          <w:ilvl w:val="0"/>
          <w:numId w:val="0"/>
        </w:numPr>
        <w:adjustRightInd w:val="0"/>
        <w:spacing w:after="0"/>
        <w:rPr>
          <w:rFonts w:cs="Times New Roman"/>
        </w:rPr>
      </w:pPr>
    </w:p>
    <w:p w14:paraId="1E71377E" w14:textId="77777777" w:rsidR="009244FA" w:rsidRDefault="002635B6" w:rsidP="006633A8">
      <w:pPr>
        <w:pStyle w:val="WCPFC"/>
        <w:adjustRightInd w:val="0"/>
        <w:spacing w:after="0"/>
        <w:ind w:left="0" w:firstLine="0"/>
        <w:rPr>
          <w:rFonts w:cs="Times New Roman"/>
        </w:rPr>
      </w:pPr>
      <w:r w:rsidRPr="004635E5">
        <w:rPr>
          <w:rFonts w:cs="Times New Roman"/>
        </w:rPr>
        <w:t>Detailed description</w:t>
      </w:r>
      <w:r w:rsidR="0049142C" w:rsidRPr="004635E5">
        <w:rPr>
          <w:rFonts w:cs="Times New Roman"/>
        </w:rPr>
        <w:t>s</w:t>
      </w:r>
      <w:r w:rsidRPr="004635E5">
        <w:rPr>
          <w:rFonts w:cs="Times New Roman"/>
        </w:rPr>
        <w:t xml:space="preserve"> of </w:t>
      </w:r>
      <w:r w:rsidR="0049142C" w:rsidRPr="004635E5">
        <w:rPr>
          <w:rFonts w:cs="Times New Roman"/>
        </w:rPr>
        <w:t xml:space="preserve">the </w:t>
      </w:r>
      <w:r w:rsidRPr="004635E5">
        <w:rPr>
          <w:rFonts w:cs="Times New Roman"/>
        </w:rPr>
        <w:t xml:space="preserve">SC14 work programme, budget and terms of reference for each project are in </w:t>
      </w:r>
      <w:r w:rsidRPr="004635E5">
        <w:rPr>
          <w:rFonts w:cs="Times New Roman"/>
          <w:b/>
        </w:rPr>
        <w:t xml:space="preserve">Attachment </w:t>
      </w:r>
      <w:r w:rsidR="00142577">
        <w:rPr>
          <w:rFonts w:cs="Times New Roman" w:hint="eastAsia"/>
          <w:b/>
          <w:lang w:eastAsia="ko-KR"/>
        </w:rPr>
        <w:t>I</w:t>
      </w:r>
      <w:r w:rsidRPr="004635E5">
        <w:rPr>
          <w:rFonts w:cs="Times New Roman"/>
        </w:rPr>
        <w:t>.</w:t>
      </w:r>
    </w:p>
    <w:p w14:paraId="786A9B8F" w14:textId="77777777" w:rsidR="006E7655" w:rsidRPr="004635E5" w:rsidRDefault="006E7655" w:rsidP="006E7655">
      <w:pPr>
        <w:pStyle w:val="WCPFC"/>
        <w:numPr>
          <w:ilvl w:val="0"/>
          <w:numId w:val="0"/>
        </w:numPr>
        <w:adjustRightInd w:val="0"/>
        <w:spacing w:after="0"/>
        <w:rPr>
          <w:rFonts w:cs="Times New Roman"/>
        </w:rPr>
      </w:pPr>
    </w:p>
    <w:p w14:paraId="2CDEC565" w14:textId="77777777" w:rsidR="002635B6" w:rsidRPr="004635E5" w:rsidRDefault="00F90661" w:rsidP="006633A8">
      <w:pPr>
        <w:pStyle w:val="WCPFC"/>
        <w:adjustRightInd w:val="0"/>
        <w:spacing w:after="0"/>
        <w:ind w:left="0" w:firstLine="0"/>
        <w:rPr>
          <w:rFonts w:cs="Times New Roman"/>
          <w:lang w:eastAsia="ko-KR"/>
        </w:rPr>
      </w:pPr>
      <w:r w:rsidRPr="004635E5">
        <w:rPr>
          <w:rFonts w:cs="Times New Roman"/>
          <w:lang w:eastAsia="ko-KR"/>
        </w:rPr>
        <w:t xml:space="preserve">SC14 agreed that SPC will conduct </w:t>
      </w:r>
      <w:r w:rsidR="00981134" w:rsidRPr="004635E5">
        <w:rPr>
          <w:rFonts w:cs="Times New Roman"/>
          <w:lang w:eastAsia="ko-KR"/>
        </w:rPr>
        <w:t xml:space="preserve">stock assessments </w:t>
      </w:r>
      <w:r w:rsidRPr="004635E5">
        <w:rPr>
          <w:rFonts w:cs="Times New Roman"/>
          <w:lang w:eastAsia="ko-KR"/>
        </w:rPr>
        <w:t xml:space="preserve">for </w:t>
      </w:r>
      <w:r w:rsidR="00981134" w:rsidRPr="004635E5">
        <w:rPr>
          <w:rFonts w:cs="Times New Roman"/>
          <w:lang w:eastAsia="ko-KR"/>
        </w:rPr>
        <w:t xml:space="preserve">skipjack tuna and South Pacific striped marlin </w:t>
      </w:r>
      <w:r w:rsidRPr="004635E5">
        <w:rPr>
          <w:rFonts w:cs="Times New Roman"/>
          <w:lang w:eastAsia="ko-KR"/>
        </w:rPr>
        <w:t>in 2019</w:t>
      </w:r>
      <w:r w:rsidR="000B096E" w:rsidRPr="004635E5">
        <w:rPr>
          <w:rFonts w:cs="Times New Roman"/>
          <w:lang w:eastAsia="ko-KR"/>
        </w:rPr>
        <w:t xml:space="preserve"> (Table SA-1)</w:t>
      </w:r>
      <w:r w:rsidR="00981134" w:rsidRPr="004635E5">
        <w:rPr>
          <w:rFonts w:cs="Times New Roman"/>
          <w:lang w:eastAsia="ko-KR"/>
        </w:rPr>
        <w:t>.</w:t>
      </w:r>
    </w:p>
    <w:p w14:paraId="794784B0" w14:textId="77777777" w:rsidR="000B096E" w:rsidRPr="004635E5" w:rsidRDefault="000B096E" w:rsidP="006633A8">
      <w:pPr>
        <w:pStyle w:val="WCPFC"/>
        <w:numPr>
          <w:ilvl w:val="0"/>
          <w:numId w:val="0"/>
        </w:numPr>
        <w:adjustRightInd w:val="0"/>
        <w:spacing w:after="0"/>
        <w:rPr>
          <w:rFonts w:cs="Times New Roman"/>
          <w:lang w:eastAsia="ko-KR"/>
        </w:rPr>
      </w:pPr>
    </w:p>
    <w:p w14:paraId="47BA3B57" w14:textId="77777777" w:rsidR="009244FA" w:rsidRPr="004635E5" w:rsidRDefault="000B096E" w:rsidP="006E7655">
      <w:pPr>
        <w:adjustRightInd w:val="0"/>
        <w:snapToGrid w:val="0"/>
        <w:rPr>
          <w:rFonts w:eastAsiaTheme="minorEastAsia"/>
          <w:sz w:val="22"/>
          <w:szCs w:val="22"/>
          <w:lang w:val="en-NZ" w:eastAsia="ko-KR"/>
        </w:rPr>
      </w:pPr>
      <w:r w:rsidRPr="006E7655">
        <w:rPr>
          <w:rFonts w:eastAsiaTheme="minorEastAsia"/>
          <w:b/>
          <w:bCs/>
          <w:sz w:val="22"/>
          <w:szCs w:val="22"/>
          <w:lang w:val="en-NZ" w:eastAsia="ko-KR"/>
        </w:rPr>
        <w:t>Table SA-1</w:t>
      </w:r>
      <w:r w:rsidRPr="004635E5">
        <w:rPr>
          <w:rFonts w:eastAsiaTheme="minorEastAsia"/>
          <w:sz w:val="22"/>
          <w:szCs w:val="22"/>
          <w:lang w:val="en-NZ" w:eastAsia="ko-KR"/>
        </w:rPr>
        <w:t>: Stock Assessment Schedule</w:t>
      </w:r>
    </w:p>
    <w:tbl>
      <w:tblPr>
        <w:tblW w:w="5000" w:type="pct"/>
        <w:tblLook w:val="04A0" w:firstRow="1" w:lastRow="0" w:firstColumn="1" w:lastColumn="0" w:noHBand="0" w:noVBand="1"/>
      </w:tblPr>
      <w:tblGrid>
        <w:gridCol w:w="1342"/>
        <w:gridCol w:w="1124"/>
        <w:gridCol w:w="1195"/>
        <w:gridCol w:w="1078"/>
        <w:gridCol w:w="994"/>
        <w:gridCol w:w="850"/>
        <w:gridCol w:w="923"/>
        <w:gridCol w:w="896"/>
        <w:gridCol w:w="1174"/>
      </w:tblGrid>
      <w:tr w:rsidR="00981134" w:rsidRPr="00DA3B20" w14:paraId="27E9E492" w14:textId="77777777" w:rsidTr="006E7655">
        <w:trPr>
          <w:trHeight w:val="20"/>
        </w:trPr>
        <w:tc>
          <w:tcPr>
            <w:tcW w:w="700"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4E83458E" w14:textId="77777777" w:rsidR="009244FA" w:rsidRPr="00DA3B20" w:rsidRDefault="009244FA" w:rsidP="006633A8">
            <w:pPr>
              <w:adjustRightInd w:val="0"/>
              <w:snapToGrid w:val="0"/>
              <w:jc w:val="center"/>
              <w:rPr>
                <w:b/>
                <w:bCs/>
                <w:color w:val="000000"/>
                <w:sz w:val="20"/>
                <w:szCs w:val="20"/>
              </w:rPr>
            </w:pPr>
            <w:r w:rsidRPr="00DA3B20">
              <w:rPr>
                <w:b/>
                <w:bCs/>
                <w:color w:val="000000"/>
                <w:sz w:val="20"/>
                <w:szCs w:val="20"/>
              </w:rPr>
              <w:t>Species</w:t>
            </w:r>
          </w:p>
        </w:tc>
        <w:tc>
          <w:tcPr>
            <w:tcW w:w="587" w:type="pct"/>
            <w:tcBorders>
              <w:top w:val="single" w:sz="4" w:space="0" w:color="auto"/>
              <w:left w:val="nil"/>
              <w:bottom w:val="single" w:sz="4" w:space="0" w:color="auto"/>
              <w:right w:val="single" w:sz="4" w:space="0" w:color="auto"/>
            </w:tcBorders>
            <w:shd w:val="clear" w:color="000000" w:fill="BFBFBF"/>
            <w:vAlign w:val="center"/>
            <w:hideMark/>
          </w:tcPr>
          <w:p w14:paraId="1D104755" w14:textId="77777777" w:rsidR="009244FA" w:rsidRPr="00DA3B20" w:rsidRDefault="009244FA" w:rsidP="006633A8">
            <w:pPr>
              <w:adjustRightInd w:val="0"/>
              <w:snapToGrid w:val="0"/>
              <w:jc w:val="center"/>
              <w:rPr>
                <w:b/>
                <w:bCs/>
                <w:color w:val="000000"/>
                <w:sz w:val="20"/>
                <w:szCs w:val="20"/>
              </w:rPr>
            </w:pPr>
            <w:r w:rsidRPr="00DA3B20">
              <w:rPr>
                <w:b/>
                <w:bCs/>
                <w:color w:val="000000"/>
                <w:sz w:val="20"/>
                <w:szCs w:val="20"/>
              </w:rPr>
              <w:t>Region</w:t>
            </w:r>
          </w:p>
        </w:tc>
        <w:tc>
          <w:tcPr>
            <w:tcW w:w="624" w:type="pct"/>
            <w:tcBorders>
              <w:top w:val="single" w:sz="4" w:space="0" w:color="auto"/>
              <w:left w:val="nil"/>
              <w:bottom w:val="single" w:sz="4" w:space="0" w:color="auto"/>
              <w:right w:val="single" w:sz="4" w:space="0" w:color="auto"/>
            </w:tcBorders>
            <w:shd w:val="clear" w:color="000000" w:fill="BFBFBF"/>
            <w:vAlign w:val="center"/>
            <w:hideMark/>
          </w:tcPr>
          <w:p w14:paraId="148D4D31" w14:textId="77777777" w:rsidR="009244FA" w:rsidRPr="00DA3B20" w:rsidRDefault="009244FA" w:rsidP="006633A8">
            <w:pPr>
              <w:adjustRightInd w:val="0"/>
              <w:snapToGrid w:val="0"/>
              <w:jc w:val="center"/>
              <w:rPr>
                <w:b/>
                <w:bCs/>
                <w:color w:val="000000"/>
                <w:sz w:val="20"/>
                <w:szCs w:val="20"/>
              </w:rPr>
            </w:pPr>
            <w:r w:rsidRPr="00DA3B20">
              <w:rPr>
                <w:b/>
                <w:bCs/>
                <w:color w:val="000000"/>
                <w:sz w:val="20"/>
                <w:szCs w:val="20"/>
              </w:rPr>
              <w:t>Last assessment</w:t>
            </w:r>
          </w:p>
        </w:tc>
        <w:tc>
          <w:tcPr>
            <w:tcW w:w="563" w:type="pct"/>
            <w:tcBorders>
              <w:top w:val="single" w:sz="4" w:space="0" w:color="auto"/>
              <w:left w:val="nil"/>
              <w:bottom w:val="single" w:sz="4" w:space="0" w:color="auto"/>
              <w:right w:val="single" w:sz="4" w:space="0" w:color="auto"/>
            </w:tcBorders>
            <w:shd w:val="clear" w:color="000000" w:fill="BFBFBF"/>
            <w:vAlign w:val="center"/>
            <w:hideMark/>
          </w:tcPr>
          <w:p w14:paraId="0BD704F4" w14:textId="77777777" w:rsidR="009244FA" w:rsidRPr="00DA3B20" w:rsidRDefault="009244FA" w:rsidP="006633A8">
            <w:pPr>
              <w:adjustRightInd w:val="0"/>
              <w:snapToGrid w:val="0"/>
              <w:jc w:val="center"/>
              <w:rPr>
                <w:b/>
                <w:bCs/>
                <w:color w:val="000000"/>
                <w:sz w:val="20"/>
                <w:szCs w:val="20"/>
              </w:rPr>
            </w:pPr>
            <w:r w:rsidRPr="00DA3B20">
              <w:rPr>
                <w:b/>
                <w:bCs/>
                <w:color w:val="000000"/>
                <w:sz w:val="20"/>
                <w:szCs w:val="20"/>
              </w:rPr>
              <w:t>2018</w:t>
            </w:r>
          </w:p>
        </w:tc>
        <w:tc>
          <w:tcPr>
            <w:tcW w:w="519" w:type="pct"/>
            <w:tcBorders>
              <w:top w:val="single" w:sz="4" w:space="0" w:color="auto"/>
              <w:left w:val="nil"/>
              <w:bottom w:val="single" w:sz="4" w:space="0" w:color="auto"/>
              <w:right w:val="single" w:sz="4" w:space="0" w:color="auto"/>
            </w:tcBorders>
            <w:shd w:val="clear" w:color="000000" w:fill="BFBFBF"/>
            <w:vAlign w:val="center"/>
            <w:hideMark/>
          </w:tcPr>
          <w:p w14:paraId="52E5C84D" w14:textId="77777777" w:rsidR="009244FA" w:rsidRPr="00DA3B20" w:rsidRDefault="009244FA" w:rsidP="006633A8">
            <w:pPr>
              <w:adjustRightInd w:val="0"/>
              <w:snapToGrid w:val="0"/>
              <w:jc w:val="center"/>
              <w:rPr>
                <w:b/>
                <w:bCs/>
                <w:color w:val="000000"/>
                <w:sz w:val="20"/>
                <w:szCs w:val="20"/>
              </w:rPr>
            </w:pPr>
            <w:r w:rsidRPr="00DA3B20">
              <w:rPr>
                <w:b/>
                <w:bCs/>
                <w:color w:val="000000"/>
                <w:sz w:val="20"/>
                <w:szCs w:val="20"/>
              </w:rPr>
              <w:t>2019</w:t>
            </w:r>
          </w:p>
        </w:tc>
        <w:tc>
          <w:tcPr>
            <w:tcW w:w="444" w:type="pct"/>
            <w:tcBorders>
              <w:top w:val="single" w:sz="4" w:space="0" w:color="auto"/>
              <w:left w:val="nil"/>
              <w:bottom w:val="single" w:sz="4" w:space="0" w:color="auto"/>
              <w:right w:val="single" w:sz="4" w:space="0" w:color="auto"/>
            </w:tcBorders>
            <w:shd w:val="clear" w:color="000000" w:fill="BFBFBF"/>
            <w:vAlign w:val="center"/>
            <w:hideMark/>
          </w:tcPr>
          <w:p w14:paraId="54420CA3" w14:textId="77777777" w:rsidR="009244FA" w:rsidRPr="00DA3B20" w:rsidRDefault="009244FA" w:rsidP="006633A8">
            <w:pPr>
              <w:adjustRightInd w:val="0"/>
              <w:snapToGrid w:val="0"/>
              <w:jc w:val="center"/>
              <w:rPr>
                <w:b/>
                <w:bCs/>
                <w:color w:val="000000"/>
                <w:sz w:val="20"/>
                <w:szCs w:val="20"/>
              </w:rPr>
            </w:pPr>
            <w:r w:rsidRPr="00DA3B20">
              <w:rPr>
                <w:b/>
                <w:bCs/>
                <w:color w:val="000000"/>
                <w:sz w:val="20"/>
                <w:szCs w:val="20"/>
              </w:rPr>
              <w:t>2020</w:t>
            </w:r>
          </w:p>
        </w:tc>
        <w:tc>
          <w:tcPr>
            <w:tcW w:w="482" w:type="pct"/>
            <w:tcBorders>
              <w:top w:val="single" w:sz="4" w:space="0" w:color="auto"/>
              <w:left w:val="nil"/>
              <w:bottom w:val="single" w:sz="4" w:space="0" w:color="auto"/>
              <w:right w:val="single" w:sz="4" w:space="0" w:color="auto"/>
            </w:tcBorders>
            <w:shd w:val="clear" w:color="000000" w:fill="BFBFBF"/>
            <w:vAlign w:val="center"/>
            <w:hideMark/>
          </w:tcPr>
          <w:p w14:paraId="04EB9AD1" w14:textId="77777777" w:rsidR="009244FA" w:rsidRPr="00DA3B20" w:rsidRDefault="009244FA" w:rsidP="006633A8">
            <w:pPr>
              <w:adjustRightInd w:val="0"/>
              <w:snapToGrid w:val="0"/>
              <w:jc w:val="center"/>
              <w:rPr>
                <w:b/>
                <w:bCs/>
                <w:color w:val="000000"/>
                <w:sz w:val="20"/>
                <w:szCs w:val="20"/>
              </w:rPr>
            </w:pPr>
            <w:r w:rsidRPr="00DA3B20">
              <w:rPr>
                <w:b/>
                <w:bCs/>
                <w:color w:val="000000"/>
                <w:sz w:val="20"/>
                <w:szCs w:val="20"/>
              </w:rPr>
              <w:t>2021</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5D9EEFFB" w14:textId="77777777" w:rsidR="009244FA" w:rsidRPr="00DA3B20" w:rsidRDefault="009244FA" w:rsidP="006633A8">
            <w:pPr>
              <w:adjustRightInd w:val="0"/>
              <w:snapToGrid w:val="0"/>
              <w:jc w:val="center"/>
              <w:rPr>
                <w:b/>
                <w:bCs/>
                <w:color w:val="000000"/>
                <w:sz w:val="20"/>
                <w:szCs w:val="20"/>
              </w:rPr>
            </w:pPr>
            <w:r w:rsidRPr="00DA3B20">
              <w:rPr>
                <w:b/>
                <w:bCs/>
                <w:color w:val="000000"/>
                <w:sz w:val="20"/>
                <w:szCs w:val="20"/>
              </w:rPr>
              <w:t>2022</w:t>
            </w:r>
          </w:p>
        </w:tc>
        <w:tc>
          <w:tcPr>
            <w:tcW w:w="613" w:type="pct"/>
            <w:tcBorders>
              <w:top w:val="single" w:sz="4" w:space="0" w:color="auto"/>
              <w:left w:val="nil"/>
              <w:bottom w:val="single" w:sz="4" w:space="0" w:color="auto"/>
              <w:right w:val="single" w:sz="4" w:space="0" w:color="auto"/>
            </w:tcBorders>
            <w:shd w:val="clear" w:color="000000" w:fill="BFBFBF"/>
            <w:vAlign w:val="center"/>
            <w:hideMark/>
          </w:tcPr>
          <w:p w14:paraId="356968E5" w14:textId="77777777" w:rsidR="009244FA" w:rsidRPr="00DA3B20" w:rsidRDefault="009244FA" w:rsidP="006633A8">
            <w:pPr>
              <w:adjustRightInd w:val="0"/>
              <w:snapToGrid w:val="0"/>
              <w:jc w:val="center"/>
              <w:rPr>
                <w:b/>
                <w:bCs/>
                <w:color w:val="000000"/>
                <w:sz w:val="20"/>
                <w:szCs w:val="20"/>
              </w:rPr>
            </w:pPr>
            <w:r w:rsidRPr="00DA3B20">
              <w:rPr>
                <w:b/>
                <w:bCs/>
                <w:color w:val="000000"/>
                <w:sz w:val="20"/>
                <w:szCs w:val="20"/>
              </w:rPr>
              <w:t>Notes</w:t>
            </w:r>
          </w:p>
        </w:tc>
      </w:tr>
      <w:tr w:rsidR="009244FA" w:rsidRPr="00DA3B20" w14:paraId="16ACC3A0" w14:textId="77777777" w:rsidTr="006E7655">
        <w:trPr>
          <w:trHeight w:val="20"/>
        </w:trPr>
        <w:tc>
          <w:tcPr>
            <w:tcW w:w="4387" w:type="pct"/>
            <w:gridSpan w:val="8"/>
            <w:tcBorders>
              <w:top w:val="single" w:sz="4" w:space="0" w:color="auto"/>
              <w:left w:val="single" w:sz="4" w:space="0" w:color="auto"/>
              <w:bottom w:val="single" w:sz="4" w:space="0" w:color="auto"/>
              <w:right w:val="single" w:sz="4" w:space="0" w:color="auto"/>
            </w:tcBorders>
            <w:shd w:val="clear" w:color="000000" w:fill="C6D9F1"/>
            <w:vAlign w:val="center"/>
            <w:hideMark/>
          </w:tcPr>
          <w:p w14:paraId="52F2848A" w14:textId="77777777" w:rsidR="009244FA" w:rsidRPr="00DA3B20" w:rsidRDefault="009244FA" w:rsidP="006633A8">
            <w:pPr>
              <w:adjustRightInd w:val="0"/>
              <w:snapToGrid w:val="0"/>
              <w:jc w:val="center"/>
              <w:rPr>
                <w:color w:val="000000"/>
                <w:sz w:val="20"/>
                <w:szCs w:val="20"/>
              </w:rPr>
            </w:pPr>
            <w:r w:rsidRPr="00DA3B20">
              <w:rPr>
                <w:color w:val="000000"/>
                <w:sz w:val="20"/>
                <w:szCs w:val="20"/>
              </w:rPr>
              <w:t>TUNA and BILLFISH</w:t>
            </w:r>
          </w:p>
        </w:tc>
        <w:tc>
          <w:tcPr>
            <w:tcW w:w="613" w:type="pct"/>
            <w:tcBorders>
              <w:top w:val="nil"/>
              <w:left w:val="nil"/>
              <w:bottom w:val="single" w:sz="4" w:space="0" w:color="auto"/>
              <w:right w:val="single" w:sz="4" w:space="0" w:color="auto"/>
            </w:tcBorders>
            <w:shd w:val="clear" w:color="auto" w:fill="auto"/>
            <w:noWrap/>
            <w:vAlign w:val="bottom"/>
            <w:hideMark/>
          </w:tcPr>
          <w:p w14:paraId="3CD37142" w14:textId="77777777" w:rsidR="009244FA" w:rsidRPr="00DA3B20" w:rsidRDefault="009244FA" w:rsidP="006633A8">
            <w:pPr>
              <w:adjustRightInd w:val="0"/>
              <w:snapToGrid w:val="0"/>
              <w:rPr>
                <w:color w:val="000000"/>
                <w:sz w:val="20"/>
                <w:szCs w:val="20"/>
              </w:rPr>
            </w:pPr>
            <w:r w:rsidRPr="00DA3B20">
              <w:rPr>
                <w:color w:val="000000"/>
                <w:sz w:val="20"/>
                <w:szCs w:val="20"/>
              </w:rPr>
              <w:t> </w:t>
            </w:r>
          </w:p>
        </w:tc>
      </w:tr>
      <w:tr w:rsidR="00981134" w:rsidRPr="00DA3B20" w14:paraId="1F85CA60" w14:textId="77777777" w:rsidTr="006E7655">
        <w:trPr>
          <w:trHeight w:val="20"/>
        </w:trPr>
        <w:tc>
          <w:tcPr>
            <w:tcW w:w="700" w:type="pct"/>
            <w:tcBorders>
              <w:top w:val="nil"/>
              <w:left w:val="single" w:sz="4" w:space="0" w:color="auto"/>
              <w:bottom w:val="single" w:sz="4" w:space="0" w:color="auto"/>
              <w:right w:val="single" w:sz="4" w:space="0" w:color="auto"/>
            </w:tcBorders>
            <w:shd w:val="clear" w:color="000000" w:fill="D9D9D9"/>
            <w:vAlign w:val="center"/>
            <w:hideMark/>
          </w:tcPr>
          <w:p w14:paraId="7CD99202" w14:textId="77777777" w:rsidR="009244FA" w:rsidRPr="00DA3B20" w:rsidRDefault="009244FA" w:rsidP="006633A8">
            <w:pPr>
              <w:adjustRightInd w:val="0"/>
              <w:snapToGrid w:val="0"/>
              <w:rPr>
                <w:b/>
                <w:bCs/>
                <w:color w:val="000000"/>
                <w:sz w:val="20"/>
                <w:szCs w:val="20"/>
              </w:rPr>
            </w:pPr>
            <w:r w:rsidRPr="00DA3B20">
              <w:rPr>
                <w:b/>
                <w:bCs/>
                <w:color w:val="000000"/>
                <w:sz w:val="20"/>
                <w:szCs w:val="20"/>
              </w:rPr>
              <w:t>Bigeye tuna</w:t>
            </w:r>
          </w:p>
        </w:tc>
        <w:tc>
          <w:tcPr>
            <w:tcW w:w="587" w:type="pct"/>
            <w:tcBorders>
              <w:top w:val="nil"/>
              <w:left w:val="nil"/>
              <w:bottom w:val="single" w:sz="4" w:space="0" w:color="auto"/>
              <w:right w:val="single" w:sz="4" w:space="0" w:color="auto"/>
            </w:tcBorders>
            <w:shd w:val="clear" w:color="000000" w:fill="D9D9D9"/>
            <w:vAlign w:val="center"/>
            <w:hideMark/>
          </w:tcPr>
          <w:p w14:paraId="41C36278" w14:textId="77777777" w:rsidR="009244FA" w:rsidRPr="00DA3B20" w:rsidRDefault="009244FA" w:rsidP="006633A8">
            <w:pPr>
              <w:adjustRightInd w:val="0"/>
              <w:snapToGrid w:val="0"/>
              <w:jc w:val="center"/>
              <w:rPr>
                <w:color w:val="000000"/>
                <w:sz w:val="20"/>
                <w:szCs w:val="20"/>
              </w:rPr>
            </w:pPr>
            <w:r w:rsidRPr="00DA3B20">
              <w:rPr>
                <w:color w:val="000000"/>
                <w:sz w:val="20"/>
                <w:szCs w:val="20"/>
              </w:rPr>
              <w:t>WCPO</w:t>
            </w:r>
          </w:p>
        </w:tc>
        <w:tc>
          <w:tcPr>
            <w:tcW w:w="624" w:type="pct"/>
            <w:tcBorders>
              <w:top w:val="nil"/>
              <w:left w:val="nil"/>
              <w:bottom w:val="single" w:sz="4" w:space="0" w:color="auto"/>
              <w:right w:val="single" w:sz="4" w:space="0" w:color="auto"/>
            </w:tcBorders>
            <w:shd w:val="clear" w:color="000000" w:fill="D9D9D9"/>
            <w:vAlign w:val="center"/>
            <w:hideMark/>
          </w:tcPr>
          <w:p w14:paraId="7FA5664A" w14:textId="77777777" w:rsidR="009244FA" w:rsidRPr="00DA3B20" w:rsidRDefault="009244FA" w:rsidP="006633A8">
            <w:pPr>
              <w:adjustRightInd w:val="0"/>
              <w:snapToGrid w:val="0"/>
              <w:jc w:val="center"/>
              <w:rPr>
                <w:color w:val="000000"/>
                <w:sz w:val="20"/>
                <w:szCs w:val="20"/>
              </w:rPr>
            </w:pPr>
            <w:r w:rsidRPr="00DA3B20">
              <w:rPr>
                <w:color w:val="000000"/>
                <w:sz w:val="20"/>
                <w:szCs w:val="20"/>
              </w:rPr>
              <w:t>2017</w:t>
            </w:r>
          </w:p>
        </w:tc>
        <w:tc>
          <w:tcPr>
            <w:tcW w:w="563" w:type="pct"/>
            <w:tcBorders>
              <w:top w:val="nil"/>
              <w:left w:val="nil"/>
              <w:bottom w:val="single" w:sz="4" w:space="0" w:color="auto"/>
              <w:right w:val="single" w:sz="4" w:space="0" w:color="auto"/>
            </w:tcBorders>
            <w:shd w:val="clear" w:color="000000" w:fill="D9D9D9"/>
            <w:vAlign w:val="center"/>
            <w:hideMark/>
          </w:tcPr>
          <w:p w14:paraId="075216C7" w14:textId="77777777" w:rsidR="009244FA" w:rsidRPr="00DA3B20" w:rsidRDefault="000B096E" w:rsidP="006633A8">
            <w:pPr>
              <w:adjustRightInd w:val="0"/>
              <w:snapToGrid w:val="0"/>
              <w:jc w:val="center"/>
              <w:rPr>
                <w:color w:val="000000"/>
                <w:sz w:val="20"/>
                <w:szCs w:val="20"/>
              </w:rPr>
            </w:pPr>
            <w:r w:rsidRPr="00DA3B20">
              <w:rPr>
                <w:b/>
                <w:color w:val="000000"/>
                <w:sz w:val="20"/>
                <w:szCs w:val="20"/>
              </w:rPr>
              <w:t xml:space="preserve">SPC </w:t>
            </w:r>
            <w:r w:rsidR="009244FA" w:rsidRPr="00DA3B20">
              <w:rPr>
                <w:b/>
                <w:color w:val="000000"/>
                <w:sz w:val="20"/>
                <w:szCs w:val="20"/>
              </w:rPr>
              <w:t>Update</w:t>
            </w:r>
            <w:r w:rsidR="009244FA" w:rsidRPr="00DA3B20">
              <w:rPr>
                <w:color w:val="000000"/>
                <w:sz w:val="20"/>
                <w:szCs w:val="20"/>
              </w:rPr>
              <w:br/>
              <w:t xml:space="preserve">(SC14-SA-WP-03) </w:t>
            </w:r>
          </w:p>
        </w:tc>
        <w:tc>
          <w:tcPr>
            <w:tcW w:w="519" w:type="pct"/>
            <w:tcBorders>
              <w:top w:val="nil"/>
              <w:left w:val="nil"/>
              <w:bottom w:val="single" w:sz="4" w:space="0" w:color="auto"/>
              <w:right w:val="single" w:sz="4" w:space="0" w:color="auto"/>
            </w:tcBorders>
            <w:shd w:val="clear" w:color="000000" w:fill="D9D9D9"/>
            <w:vAlign w:val="center"/>
            <w:hideMark/>
          </w:tcPr>
          <w:p w14:paraId="7340875D" w14:textId="77777777"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44" w:type="pct"/>
            <w:tcBorders>
              <w:top w:val="nil"/>
              <w:left w:val="nil"/>
              <w:bottom w:val="single" w:sz="4" w:space="0" w:color="auto"/>
              <w:right w:val="single" w:sz="4" w:space="0" w:color="auto"/>
            </w:tcBorders>
            <w:shd w:val="clear" w:color="000000" w:fill="D9D9D9"/>
            <w:vAlign w:val="center"/>
            <w:hideMark/>
          </w:tcPr>
          <w:p w14:paraId="0D95E809" w14:textId="77777777" w:rsidR="009244FA" w:rsidRPr="00DA3B20" w:rsidRDefault="009244FA" w:rsidP="006633A8">
            <w:pPr>
              <w:adjustRightInd w:val="0"/>
              <w:snapToGrid w:val="0"/>
              <w:jc w:val="center"/>
              <w:rPr>
                <w:b/>
                <w:color w:val="000000"/>
                <w:sz w:val="20"/>
                <w:szCs w:val="20"/>
              </w:rPr>
            </w:pPr>
            <w:r w:rsidRPr="00DA3B20">
              <w:rPr>
                <w:b/>
                <w:color w:val="000000"/>
                <w:sz w:val="20"/>
                <w:szCs w:val="20"/>
              </w:rPr>
              <w:t>SPC</w:t>
            </w:r>
          </w:p>
        </w:tc>
        <w:tc>
          <w:tcPr>
            <w:tcW w:w="482" w:type="pct"/>
            <w:tcBorders>
              <w:top w:val="nil"/>
              <w:left w:val="nil"/>
              <w:bottom w:val="single" w:sz="4" w:space="0" w:color="auto"/>
              <w:right w:val="single" w:sz="4" w:space="0" w:color="auto"/>
            </w:tcBorders>
            <w:shd w:val="clear" w:color="000000" w:fill="D9D9D9"/>
            <w:vAlign w:val="center"/>
            <w:hideMark/>
          </w:tcPr>
          <w:p w14:paraId="4AF34E73" w14:textId="77777777"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67" w:type="pct"/>
            <w:tcBorders>
              <w:top w:val="nil"/>
              <w:left w:val="nil"/>
              <w:bottom w:val="single" w:sz="4" w:space="0" w:color="auto"/>
              <w:right w:val="single" w:sz="4" w:space="0" w:color="auto"/>
            </w:tcBorders>
            <w:shd w:val="clear" w:color="000000" w:fill="D9D9D9"/>
            <w:vAlign w:val="center"/>
            <w:hideMark/>
          </w:tcPr>
          <w:p w14:paraId="73157FEB" w14:textId="77777777"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613" w:type="pct"/>
            <w:tcBorders>
              <w:top w:val="nil"/>
              <w:left w:val="nil"/>
              <w:bottom w:val="single" w:sz="4" w:space="0" w:color="auto"/>
              <w:right w:val="single" w:sz="4" w:space="0" w:color="auto"/>
            </w:tcBorders>
            <w:shd w:val="clear" w:color="000000" w:fill="D9D9D9"/>
            <w:vAlign w:val="center"/>
            <w:hideMark/>
          </w:tcPr>
          <w:p w14:paraId="1AD95B07" w14:textId="77777777" w:rsidR="009244FA" w:rsidRPr="00DA3B20" w:rsidRDefault="009244FA" w:rsidP="006633A8">
            <w:pPr>
              <w:adjustRightInd w:val="0"/>
              <w:snapToGrid w:val="0"/>
              <w:rPr>
                <w:color w:val="000000"/>
                <w:sz w:val="20"/>
                <w:szCs w:val="20"/>
              </w:rPr>
            </w:pPr>
            <w:r w:rsidRPr="00DA3B20">
              <w:rPr>
                <w:color w:val="000000"/>
                <w:sz w:val="20"/>
                <w:szCs w:val="20"/>
              </w:rPr>
              <w:t>3 year cycle</w:t>
            </w:r>
          </w:p>
        </w:tc>
      </w:tr>
      <w:tr w:rsidR="000B096E" w:rsidRPr="00DA3B20" w14:paraId="4D8F6482" w14:textId="77777777" w:rsidTr="006E7655">
        <w:trPr>
          <w:trHeight w:val="20"/>
        </w:trPr>
        <w:tc>
          <w:tcPr>
            <w:tcW w:w="700" w:type="pct"/>
            <w:tcBorders>
              <w:top w:val="nil"/>
              <w:left w:val="single" w:sz="4" w:space="0" w:color="auto"/>
              <w:bottom w:val="single" w:sz="4" w:space="0" w:color="auto"/>
              <w:right w:val="single" w:sz="4" w:space="0" w:color="auto"/>
            </w:tcBorders>
            <w:shd w:val="clear" w:color="auto" w:fill="auto"/>
            <w:vAlign w:val="center"/>
            <w:hideMark/>
          </w:tcPr>
          <w:p w14:paraId="6AB18C81" w14:textId="77777777" w:rsidR="009244FA" w:rsidRPr="00DA3B20" w:rsidRDefault="009244FA" w:rsidP="006633A8">
            <w:pPr>
              <w:adjustRightInd w:val="0"/>
              <w:snapToGrid w:val="0"/>
              <w:rPr>
                <w:b/>
                <w:bCs/>
                <w:color w:val="000000"/>
                <w:sz w:val="20"/>
                <w:szCs w:val="20"/>
              </w:rPr>
            </w:pPr>
            <w:r w:rsidRPr="00DA3B20">
              <w:rPr>
                <w:b/>
                <w:bCs/>
                <w:color w:val="000000"/>
                <w:sz w:val="20"/>
                <w:szCs w:val="20"/>
              </w:rPr>
              <w:t>Skipjack tuna</w:t>
            </w:r>
          </w:p>
        </w:tc>
        <w:tc>
          <w:tcPr>
            <w:tcW w:w="587" w:type="pct"/>
            <w:tcBorders>
              <w:top w:val="nil"/>
              <w:left w:val="nil"/>
              <w:bottom w:val="single" w:sz="4" w:space="0" w:color="auto"/>
              <w:right w:val="single" w:sz="4" w:space="0" w:color="auto"/>
            </w:tcBorders>
            <w:shd w:val="clear" w:color="auto" w:fill="auto"/>
            <w:vAlign w:val="center"/>
            <w:hideMark/>
          </w:tcPr>
          <w:p w14:paraId="38682394" w14:textId="77777777" w:rsidR="009244FA" w:rsidRPr="00DA3B20" w:rsidRDefault="009244FA" w:rsidP="006633A8">
            <w:pPr>
              <w:adjustRightInd w:val="0"/>
              <w:snapToGrid w:val="0"/>
              <w:jc w:val="center"/>
              <w:rPr>
                <w:color w:val="000000"/>
                <w:sz w:val="20"/>
                <w:szCs w:val="20"/>
              </w:rPr>
            </w:pPr>
            <w:r w:rsidRPr="00DA3B20">
              <w:rPr>
                <w:color w:val="000000"/>
                <w:sz w:val="20"/>
                <w:szCs w:val="20"/>
              </w:rPr>
              <w:t>WCPO</w:t>
            </w:r>
          </w:p>
        </w:tc>
        <w:tc>
          <w:tcPr>
            <w:tcW w:w="624" w:type="pct"/>
            <w:tcBorders>
              <w:top w:val="nil"/>
              <w:left w:val="nil"/>
              <w:bottom w:val="single" w:sz="4" w:space="0" w:color="auto"/>
              <w:right w:val="single" w:sz="4" w:space="0" w:color="auto"/>
            </w:tcBorders>
            <w:shd w:val="clear" w:color="auto" w:fill="auto"/>
            <w:vAlign w:val="center"/>
            <w:hideMark/>
          </w:tcPr>
          <w:p w14:paraId="0E29C221" w14:textId="77777777" w:rsidR="009244FA" w:rsidRPr="00DA3B20" w:rsidRDefault="009244FA" w:rsidP="006633A8">
            <w:pPr>
              <w:adjustRightInd w:val="0"/>
              <w:snapToGrid w:val="0"/>
              <w:jc w:val="center"/>
              <w:rPr>
                <w:color w:val="000000"/>
                <w:sz w:val="20"/>
                <w:szCs w:val="20"/>
              </w:rPr>
            </w:pPr>
            <w:r w:rsidRPr="00DA3B20">
              <w:rPr>
                <w:color w:val="000000"/>
                <w:sz w:val="20"/>
                <w:szCs w:val="20"/>
              </w:rPr>
              <w:t>2016</w:t>
            </w:r>
          </w:p>
        </w:tc>
        <w:tc>
          <w:tcPr>
            <w:tcW w:w="563" w:type="pct"/>
            <w:tcBorders>
              <w:top w:val="nil"/>
              <w:left w:val="nil"/>
              <w:bottom w:val="single" w:sz="4" w:space="0" w:color="auto"/>
              <w:right w:val="single" w:sz="4" w:space="0" w:color="auto"/>
            </w:tcBorders>
            <w:shd w:val="clear" w:color="auto" w:fill="auto"/>
            <w:vAlign w:val="center"/>
            <w:hideMark/>
          </w:tcPr>
          <w:p w14:paraId="73092BE6" w14:textId="77777777"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519" w:type="pct"/>
            <w:tcBorders>
              <w:top w:val="nil"/>
              <w:left w:val="nil"/>
              <w:bottom w:val="single" w:sz="4" w:space="0" w:color="auto"/>
              <w:right w:val="single" w:sz="4" w:space="0" w:color="auto"/>
            </w:tcBorders>
            <w:shd w:val="clear" w:color="auto" w:fill="auto"/>
            <w:vAlign w:val="center"/>
            <w:hideMark/>
          </w:tcPr>
          <w:p w14:paraId="41E6146F" w14:textId="77777777" w:rsidR="009244FA" w:rsidRPr="00DA3B20" w:rsidRDefault="009244FA" w:rsidP="006633A8">
            <w:pPr>
              <w:adjustRightInd w:val="0"/>
              <w:snapToGrid w:val="0"/>
              <w:jc w:val="center"/>
              <w:rPr>
                <w:b/>
                <w:bCs/>
                <w:color w:val="000000"/>
                <w:sz w:val="20"/>
                <w:szCs w:val="20"/>
              </w:rPr>
            </w:pPr>
            <w:r w:rsidRPr="00DA3B20">
              <w:rPr>
                <w:b/>
                <w:bCs/>
                <w:color w:val="000000"/>
                <w:sz w:val="20"/>
                <w:szCs w:val="20"/>
              </w:rPr>
              <w:t>SPC</w:t>
            </w:r>
          </w:p>
        </w:tc>
        <w:tc>
          <w:tcPr>
            <w:tcW w:w="444" w:type="pct"/>
            <w:tcBorders>
              <w:top w:val="nil"/>
              <w:left w:val="nil"/>
              <w:bottom w:val="single" w:sz="4" w:space="0" w:color="auto"/>
              <w:right w:val="single" w:sz="4" w:space="0" w:color="auto"/>
            </w:tcBorders>
            <w:shd w:val="clear" w:color="auto" w:fill="auto"/>
            <w:vAlign w:val="center"/>
            <w:hideMark/>
          </w:tcPr>
          <w:p w14:paraId="32AAC629" w14:textId="77777777"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82" w:type="pct"/>
            <w:tcBorders>
              <w:top w:val="nil"/>
              <w:left w:val="nil"/>
              <w:bottom w:val="single" w:sz="4" w:space="0" w:color="auto"/>
              <w:right w:val="single" w:sz="4" w:space="0" w:color="auto"/>
            </w:tcBorders>
            <w:shd w:val="clear" w:color="auto" w:fill="auto"/>
            <w:vAlign w:val="center"/>
            <w:hideMark/>
          </w:tcPr>
          <w:p w14:paraId="5C80D295" w14:textId="77777777"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67" w:type="pct"/>
            <w:tcBorders>
              <w:top w:val="nil"/>
              <w:left w:val="nil"/>
              <w:bottom w:val="single" w:sz="4" w:space="0" w:color="auto"/>
              <w:right w:val="single" w:sz="4" w:space="0" w:color="auto"/>
            </w:tcBorders>
            <w:shd w:val="clear" w:color="auto" w:fill="auto"/>
            <w:vAlign w:val="center"/>
            <w:hideMark/>
          </w:tcPr>
          <w:p w14:paraId="551B871A" w14:textId="77777777" w:rsidR="009244FA" w:rsidRPr="00DA3B20" w:rsidRDefault="009244FA" w:rsidP="006633A8">
            <w:pPr>
              <w:adjustRightInd w:val="0"/>
              <w:snapToGrid w:val="0"/>
              <w:jc w:val="center"/>
              <w:rPr>
                <w:color w:val="000000"/>
                <w:sz w:val="20"/>
                <w:szCs w:val="20"/>
              </w:rPr>
            </w:pPr>
            <w:r w:rsidRPr="00DA3B20">
              <w:rPr>
                <w:b/>
                <w:color w:val="000000"/>
                <w:sz w:val="20"/>
                <w:szCs w:val="20"/>
              </w:rPr>
              <w:t>SPC</w:t>
            </w:r>
          </w:p>
        </w:tc>
        <w:tc>
          <w:tcPr>
            <w:tcW w:w="613" w:type="pct"/>
            <w:tcBorders>
              <w:top w:val="nil"/>
              <w:left w:val="nil"/>
              <w:bottom w:val="single" w:sz="4" w:space="0" w:color="auto"/>
              <w:right w:val="single" w:sz="4" w:space="0" w:color="auto"/>
            </w:tcBorders>
            <w:shd w:val="clear" w:color="auto" w:fill="auto"/>
            <w:vAlign w:val="center"/>
            <w:hideMark/>
          </w:tcPr>
          <w:p w14:paraId="1C1ADCA5" w14:textId="77777777" w:rsidR="009244FA" w:rsidRPr="00DA3B20" w:rsidRDefault="009244FA" w:rsidP="006633A8">
            <w:pPr>
              <w:adjustRightInd w:val="0"/>
              <w:snapToGrid w:val="0"/>
              <w:rPr>
                <w:color w:val="000000"/>
                <w:sz w:val="20"/>
                <w:szCs w:val="20"/>
              </w:rPr>
            </w:pPr>
            <w:r w:rsidRPr="00DA3B20">
              <w:rPr>
                <w:color w:val="000000"/>
                <w:sz w:val="20"/>
                <w:szCs w:val="20"/>
              </w:rPr>
              <w:t>3 year cycle</w:t>
            </w:r>
          </w:p>
        </w:tc>
      </w:tr>
      <w:tr w:rsidR="00981134" w:rsidRPr="00DA3B20" w14:paraId="44ED408A" w14:textId="77777777" w:rsidTr="006E7655">
        <w:trPr>
          <w:trHeight w:val="20"/>
        </w:trPr>
        <w:tc>
          <w:tcPr>
            <w:tcW w:w="700" w:type="pct"/>
            <w:tcBorders>
              <w:top w:val="nil"/>
              <w:left w:val="single" w:sz="4" w:space="0" w:color="auto"/>
              <w:bottom w:val="single" w:sz="4" w:space="0" w:color="auto"/>
              <w:right w:val="single" w:sz="4" w:space="0" w:color="auto"/>
            </w:tcBorders>
            <w:shd w:val="clear" w:color="000000" w:fill="D9D9D9"/>
            <w:vAlign w:val="center"/>
            <w:hideMark/>
          </w:tcPr>
          <w:p w14:paraId="110F9C68" w14:textId="77777777" w:rsidR="009244FA" w:rsidRPr="00DA3B20" w:rsidRDefault="009244FA" w:rsidP="006633A8">
            <w:pPr>
              <w:adjustRightInd w:val="0"/>
              <w:snapToGrid w:val="0"/>
              <w:rPr>
                <w:b/>
                <w:bCs/>
                <w:color w:val="000000"/>
                <w:sz w:val="20"/>
                <w:szCs w:val="20"/>
              </w:rPr>
            </w:pPr>
            <w:r w:rsidRPr="00DA3B20">
              <w:rPr>
                <w:b/>
                <w:bCs/>
                <w:color w:val="000000"/>
                <w:sz w:val="20"/>
                <w:szCs w:val="20"/>
              </w:rPr>
              <w:t>Yellowfin tuna</w:t>
            </w:r>
          </w:p>
        </w:tc>
        <w:tc>
          <w:tcPr>
            <w:tcW w:w="587" w:type="pct"/>
            <w:tcBorders>
              <w:top w:val="nil"/>
              <w:left w:val="nil"/>
              <w:bottom w:val="single" w:sz="4" w:space="0" w:color="auto"/>
              <w:right w:val="single" w:sz="4" w:space="0" w:color="auto"/>
            </w:tcBorders>
            <w:shd w:val="clear" w:color="000000" w:fill="D9D9D9"/>
            <w:vAlign w:val="center"/>
            <w:hideMark/>
          </w:tcPr>
          <w:p w14:paraId="1EEFF8B5" w14:textId="77777777" w:rsidR="009244FA" w:rsidRPr="00DA3B20" w:rsidRDefault="009244FA" w:rsidP="006633A8">
            <w:pPr>
              <w:adjustRightInd w:val="0"/>
              <w:snapToGrid w:val="0"/>
              <w:jc w:val="center"/>
              <w:rPr>
                <w:color w:val="000000"/>
                <w:sz w:val="20"/>
                <w:szCs w:val="20"/>
              </w:rPr>
            </w:pPr>
            <w:r w:rsidRPr="00DA3B20">
              <w:rPr>
                <w:color w:val="000000"/>
                <w:sz w:val="20"/>
                <w:szCs w:val="20"/>
              </w:rPr>
              <w:t>WCPO</w:t>
            </w:r>
          </w:p>
        </w:tc>
        <w:tc>
          <w:tcPr>
            <w:tcW w:w="624" w:type="pct"/>
            <w:tcBorders>
              <w:top w:val="nil"/>
              <w:left w:val="nil"/>
              <w:bottom w:val="single" w:sz="4" w:space="0" w:color="auto"/>
              <w:right w:val="single" w:sz="4" w:space="0" w:color="auto"/>
            </w:tcBorders>
            <w:shd w:val="clear" w:color="000000" w:fill="D9D9D9"/>
            <w:vAlign w:val="center"/>
            <w:hideMark/>
          </w:tcPr>
          <w:p w14:paraId="7724F0B2" w14:textId="77777777" w:rsidR="009244FA" w:rsidRPr="00DA3B20" w:rsidRDefault="009244FA" w:rsidP="006633A8">
            <w:pPr>
              <w:adjustRightInd w:val="0"/>
              <w:snapToGrid w:val="0"/>
              <w:jc w:val="center"/>
              <w:rPr>
                <w:color w:val="000000"/>
                <w:sz w:val="20"/>
                <w:szCs w:val="20"/>
              </w:rPr>
            </w:pPr>
            <w:r w:rsidRPr="00DA3B20">
              <w:rPr>
                <w:color w:val="000000"/>
                <w:sz w:val="20"/>
                <w:szCs w:val="20"/>
              </w:rPr>
              <w:t>2017</w:t>
            </w:r>
          </w:p>
        </w:tc>
        <w:tc>
          <w:tcPr>
            <w:tcW w:w="563" w:type="pct"/>
            <w:tcBorders>
              <w:top w:val="nil"/>
              <w:left w:val="nil"/>
              <w:bottom w:val="single" w:sz="4" w:space="0" w:color="auto"/>
              <w:right w:val="single" w:sz="4" w:space="0" w:color="auto"/>
            </w:tcBorders>
            <w:shd w:val="clear" w:color="000000" w:fill="D9D9D9"/>
            <w:vAlign w:val="center"/>
            <w:hideMark/>
          </w:tcPr>
          <w:p w14:paraId="5F32DEAA" w14:textId="77777777"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519" w:type="pct"/>
            <w:tcBorders>
              <w:top w:val="nil"/>
              <w:left w:val="nil"/>
              <w:bottom w:val="single" w:sz="4" w:space="0" w:color="auto"/>
              <w:right w:val="single" w:sz="4" w:space="0" w:color="auto"/>
            </w:tcBorders>
            <w:shd w:val="clear" w:color="000000" w:fill="D9D9D9"/>
            <w:vAlign w:val="center"/>
            <w:hideMark/>
          </w:tcPr>
          <w:p w14:paraId="3D94FF4B" w14:textId="77777777"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44" w:type="pct"/>
            <w:tcBorders>
              <w:top w:val="nil"/>
              <w:left w:val="nil"/>
              <w:bottom w:val="single" w:sz="4" w:space="0" w:color="auto"/>
              <w:right w:val="single" w:sz="4" w:space="0" w:color="auto"/>
            </w:tcBorders>
            <w:shd w:val="clear" w:color="000000" w:fill="D9D9D9"/>
            <w:vAlign w:val="center"/>
            <w:hideMark/>
          </w:tcPr>
          <w:p w14:paraId="1812AA6E" w14:textId="77777777" w:rsidR="009244FA" w:rsidRPr="00DA3B20" w:rsidRDefault="009244FA" w:rsidP="006633A8">
            <w:pPr>
              <w:adjustRightInd w:val="0"/>
              <w:snapToGrid w:val="0"/>
              <w:jc w:val="center"/>
              <w:rPr>
                <w:b/>
                <w:color w:val="000000"/>
                <w:sz w:val="20"/>
                <w:szCs w:val="20"/>
              </w:rPr>
            </w:pPr>
            <w:r w:rsidRPr="00DA3B20">
              <w:rPr>
                <w:b/>
                <w:color w:val="000000"/>
                <w:sz w:val="20"/>
                <w:szCs w:val="20"/>
              </w:rPr>
              <w:t>SPC</w:t>
            </w:r>
          </w:p>
        </w:tc>
        <w:tc>
          <w:tcPr>
            <w:tcW w:w="482" w:type="pct"/>
            <w:tcBorders>
              <w:top w:val="nil"/>
              <w:left w:val="nil"/>
              <w:bottom w:val="single" w:sz="4" w:space="0" w:color="auto"/>
              <w:right w:val="single" w:sz="4" w:space="0" w:color="auto"/>
            </w:tcBorders>
            <w:shd w:val="clear" w:color="000000" w:fill="D9D9D9"/>
            <w:vAlign w:val="center"/>
            <w:hideMark/>
          </w:tcPr>
          <w:p w14:paraId="1F20EAB2" w14:textId="77777777"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67" w:type="pct"/>
            <w:tcBorders>
              <w:top w:val="nil"/>
              <w:left w:val="nil"/>
              <w:bottom w:val="single" w:sz="4" w:space="0" w:color="auto"/>
              <w:right w:val="single" w:sz="4" w:space="0" w:color="auto"/>
            </w:tcBorders>
            <w:shd w:val="clear" w:color="000000" w:fill="D9D9D9"/>
            <w:vAlign w:val="center"/>
            <w:hideMark/>
          </w:tcPr>
          <w:p w14:paraId="4CD87300" w14:textId="77777777"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613" w:type="pct"/>
            <w:tcBorders>
              <w:top w:val="nil"/>
              <w:left w:val="nil"/>
              <w:bottom w:val="single" w:sz="4" w:space="0" w:color="auto"/>
              <w:right w:val="single" w:sz="4" w:space="0" w:color="auto"/>
            </w:tcBorders>
            <w:shd w:val="clear" w:color="000000" w:fill="D9D9D9"/>
            <w:vAlign w:val="center"/>
            <w:hideMark/>
          </w:tcPr>
          <w:p w14:paraId="26C093A7" w14:textId="77777777" w:rsidR="009244FA" w:rsidRPr="00DA3B20" w:rsidRDefault="009244FA" w:rsidP="006633A8">
            <w:pPr>
              <w:adjustRightInd w:val="0"/>
              <w:snapToGrid w:val="0"/>
              <w:rPr>
                <w:color w:val="000000"/>
                <w:sz w:val="20"/>
                <w:szCs w:val="20"/>
              </w:rPr>
            </w:pPr>
            <w:r w:rsidRPr="00DA3B20">
              <w:rPr>
                <w:color w:val="000000"/>
                <w:sz w:val="20"/>
                <w:szCs w:val="20"/>
              </w:rPr>
              <w:t>3 year cycle</w:t>
            </w:r>
          </w:p>
        </w:tc>
      </w:tr>
      <w:tr w:rsidR="000B096E" w:rsidRPr="00DA3B20" w14:paraId="7D736FBD" w14:textId="77777777" w:rsidTr="006E7655">
        <w:trPr>
          <w:trHeight w:val="20"/>
        </w:trPr>
        <w:tc>
          <w:tcPr>
            <w:tcW w:w="700" w:type="pct"/>
            <w:tcBorders>
              <w:top w:val="nil"/>
              <w:left w:val="single" w:sz="4" w:space="0" w:color="auto"/>
              <w:bottom w:val="single" w:sz="4" w:space="0" w:color="auto"/>
              <w:right w:val="single" w:sz="4" w:space="0" w:color="auto"/>
            </w:tcBorders>
            <w:shd w:val="clear" w:color="auto" w:fill="auto"/>
            <w:vAlign w:val="center"/>
            <w:hideMark/>
          </w:tcPr>
          <w:p w14:paraId="5CD1C3ED" w14:textId="77777777" w:rsidR="009244FA" w:rsidRPr="00DA3B20" w:rsidRDefault="009244FA" w:rsidP="006633A8">
            <w:pPr>
              <w:adjustRightInd w:val="0"/>
              <w:snapToGrid w:val="0"/>
              <w:rPr>
                <w:b/>
                <w:bCs/>
                <w:color w:val="000000"/>
                <w:sz w:val="20"/>
                <w:szCs w:val="20"/>
              </w:rPr>
            </w:pPr>
            <w:r w:rsidRPr="00DA3B20">
              <w:rPr>
                <w:b/>
                <w:bCs/>
                <w:color w:val="000000"/>
                <w:sz w:val="20"/>
                <w:szCs w:val="20"/>
              </w:rPr>
              <w:t>Albacore</w:t>
            </w:r>
          </w:p>
        </w:tc>
        <w:tc>
          <w:tcPr>
            <w:tcW w:w="587" w:type="pct"/>
            <w:tcBorders>
              <w:top w:val="nil"/>
              <w:left w:val="nil"/>
              <w:bottom w:val="single" w:sz="4" w:space="0" w:color="auto"/>
              <w:right w:val="single" w:sz="4" w:space="0" w:color="auto"/>
            </w:tcBorders>
            <w:shd w:val="clear" w:color="auto" w:fill="auto"/>
            <w:vAlign w:val="center"/>
            <w:hideMark/>
          </w:tcPr>
          <w:p w14:paraId="7656341C" w14:textId="77777777" w:rsidR="009244FA" w:rsidRPr="00DA3B20" w:rsidRDefault="009244FA" w:rsidP="006633A8">
            <w:pPr>
              <w:adjustRightInd w:val="0"/>
              <w:snapToGrid w:val="0"/>
              <w:jc w:val="center"/>
              <w:rPr>
                <w:color w:val="000000"/>
                <w:sz w:val="20"/>
                <w:szCs w:val="20"/>
              </w:rPr>
            </w:pPr>
            <w:r w:rsidRPr="00DA3B20">
              <w:rPr>
                <w:color w:val="000000"/>
                <w:sz w:val="20"/>
                <w:szCs w:val="20"/>
              </w:rPr>
              <w:t>South Pacific</w:t>
            </w:r>
          </w:p>
        </w:tc>
        <w:tc>
          <w:tcPr>
            <w:tcW w:w="624" w:type="pct"/>
            <w:tcBorders>
              <w:top w:val="nil"/>
              <w:left w:val="nil"/>
              <w:bottom w:val="single" w:sz="4" w:space="0" w:color="auto"/>
              <w:right w:val="single" w:sz="4" w:space="0" w:color="auto"/>
            </w:tcBorders>
            <w:shd w:val="clear" w:color="auto" w:fill="auto"/>
            <w:vAlign w:val="center"/>
            <w:hideMark/>
          </w:tcPr>
          <w:p w14:paraId="641A0E48" w14:textId="77777777" w:rsidR="009244FA" w:rsidRPr="00DA3B20" w:rsidRDefault="009244FA" w:rsidP="006633A8">
            <w:pPr>
              <w:adjustRightInd w:val="0"/>
              <w:snapToGrid w:val="0"/>
              <w:jc w:val="center"/>
              <w:rPr>
                <w:color w:val="000000"/>
                <w:sz w:val="20"/>
                <w:szCs w:val="20"/>
              </w:rPr>
            </w:pPr>
            <w:r w:rsidRPr="00DA3B20">
              <w:rPr>
                <w:color w:val="000000"/>
                <w:sz w:val="20"/>
                <w:szCs w:val="20"/>
              </w:rPr>
              <w:t>2015</w:t>
            </w:r>
          </w:p>
        </w:tc>
        <w:tc>
          <w:tcPr>
            <w:tcW w:w="563" w:type="pct"/>
            <w:tcBorders>
              <w:top w:val="nil"/>
              <w:left w:val="nil"/>
              <w:bottom w:val="single" w:sz="4" w:space="0" w:color="auto"/>
              <w:right w:val="single" w:sz="4" w:space="0" w:color="auto"/>
            </w:tcBorders>
            <w:shd w:val="clear" w:color="auto" w:fill="auto"/>
            <w:vAlign w:val="center"/>
            <w:hideMark/>
          </w:tcPr>
          <w:p w14:paraId="56A2C097" w14:textId="77777777" w:rsidR="009244FA" w:rsidRPr="00DA3B20" w:rsidRDefault="000B096E" w:rsidP="006633A8">
            <w:pPr>
              <w:adjustRightInd w:val="0"/>
              <w:snapToGrid w:val="0"/>
              <w:jc w:val="center"/>
              <w:rPr>
                <w:color w:val="000000"/>
                <w:sz w:val="20"/>
                <w:szCs w:val="20"/>
              </w:rPr>
            </w:pPr>
            <w:r w:rsidRPr="00DA3B20">
              <w:rPr>
                <w:b/>
                <w:color w:val="000000"/>
                <w:sz w:val="20"/>
                <w:szCs w:val="20"/>
              </w:rPr>
              <w:t>SPC</w:t>
            </w:r>
            <w:r w:rsidRPr="00DA3B20">
              <w:rPr>
                <w:color w:val="000000"/>
                <w:sz w:val="20"/>
                <w:szCs w:val="20"/>
              </w:rPr>
              <w:t xml:space="preserve"> </w:t>
            </w:r>
            <w:r w:rsidR="009244FA" w:rsidRPr="00DA3B20">
              <w:rPr>
                <w:color w:val="000000"/>
                <w:sz w:val="20"/>
                <w:szCs w:val="20"/>
              </w:rPr>
              <w:br/>
              <w:t xml:space="preserve"> (</w:t>
            </w:r>
            <w:r w:rsidRPr="00DA3B20">
              <w:rPr>
                <w:color w:val="000000"/>
                <w:sz w:val="20"/>
                <w:szCs w:val="20"/>
              </w:rPr>
              <w:t>S</w:t>
            </w:r>
            <w:r w:rsidR="009244FA" w:rsidRPr="00DA3B20">
              <w:rPr>
                <w:color w:val="000000"/>
                <w:sz w:val="20"/>
                <w:szCs w:val="20"/>
              </w:rPr>
              <w:t xml:space="preserve">C14-SA-WP-05) </w:t>
            </w:r>
          </w:p>
        </w:tc>
        <w:tc>
          <w:tcPr>
            <w:tcW w:w="519" w:type="pct"/>
            <w:tcBorders>
              <w:top w:val="nil"/>
              <w:left w:val="nil"/>
              <w:bottom w:val="single" w:sz="4" w:space="0" w:color="auto"/>
              <w:right w:val="single" w:sz="4" w:space="0" w:color="auto"/>
            </w:tcBorders>
            <w:shd w:val="clear" w:color="auto" w:fill="auto"/>
            <w:vAlign w:val="center"/>
            <w:hideMark/>
          </w:tcPr>
          <w:p w14:paraId="3CC331EE" w14:textId="77777777"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44" w:type="pct"/>
            <w:tcBorders>
              <w:top w:val="nil"/>
              <w:left w:val="nil"/>
              <w:bottom w:val="single" w:sz="4" w:space="0" w:color="auto"/>
              <w:right w:val="single" w:sz="4" w:space="0" w:color="auto"/>
            </w:tcBorders>
            <w:shd w:val="clear" w:color="auto" w:fill="auto"/>
            <w:vAlign w:val="center"/>
            <w:hideMark/>
          </w:tcPr>
          <w:p w14:paraId="275F3F78" w14:textId="77777777"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82" w:type="pct"/>
            <w:tcBorders>
              <w:top w:val="nil"/>
              <w:left w:val="nil"/>
              <w:bottom w:val="single" w:sz="4" w:space="0" w:color="auto"/>
              <w:right w:val="single" w:sz="4" w:space="0" w:color="auto"/>
            </w:tcBorders>
            <w:shd w:val="clear" w:color="auto" w:fill="auto"/>
            <w:vAlign w:val="center"/>
            <w:hideMark/>
          </w:tcPr>
          <w:p w14:paraId="0C12A76D" w14:textId="77777777" w:rsidR="009244FA" w:rsidRPr="00DA3B20" w:rsidRDefault="009244FA" w:rsidP="006633A8">
            <w:pPr>
              <w:adjustRightInd w:val="0"/>
              <w:snapToGrid w:val="0"/>
              <w:jc w:val="center"/>
              <w:rPr>
                <w:color w:val="000000"/>
                <w:sz w:val="20"/>
                <w:szCs w:val="20"/>
              </w:rPr>
            </w:pPr>
            <w:r w:rsidRPr="00DA3B20">
              <w:rPr>
                <w:b/>
                <w:color w:val="000000"/>
                <w:sz w:val="20"/>
                <w:szCs w:val="20"/>
              </w:rPr>
              <w:t>SPC</w:t>
            </w:r>
          </w:p>
        </w:tc>
        <w:tc>
          <w:tcPr>
            <w:tcW w:w="467" w:type="pct"/>
            <w:tcBorders>
              <w:top w:val="nil"/>
              <w:left w:val="nil"/>
              <w:bottom w:val="single" w:sz="4" w:space="0" w:color="auto"/>
              <w:right w:val="single" w:sz="4" w:space="0" w:color="auto"/>
            </w:tcBorders>
            <w:shd w:val="clear" w:color="auto" w:fill="auto"/>
            <w:vAlign w:val="center"/>
            <w:hideMark/>
          </w:tcPr>
          <w:p w14:paraId="42ADC95A" w14:textId="77777777"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613" w:type="pct"/>
            <w:tcBorders>
              <w:top w:val="nil"/>
              <w:left w:val="nil"/>
              <w:bottom w:val="single" w:sz="4" w:space="0" w:color="auto"/>
              <w:right w:val="single" w:sz="4" w:space="0" w:color="auto"/>
            </w:tcBorders>
            <w:shd w:val="clear" w:color="auto" w:fill="auto"/>
            <w:vAlign w:val="center"/>
            <w:hideMark/>
          </w:tcPr>
          <w:p w14:paraId="201269D9" w14:textId="77777777" w:rsidR="009244FA" w:rsidRPr="00DA3B20" w:rsidRDefault="009244FA" w:rsidP="006633A8">
            <w:pPr>
              <w:adjustRightInd w:val="0"/>
              <w:snapToGrid w:val="0"/>
              <w:rPr>
                <w:color w:val="000000"/>
                <w:sz w:val="20"/>
                <w:szCs w:val="20"/>
              </w:rPr>
            </w:pPr>
            <w:r w:rsidRPr="00DA3B20">
              <w:rPr>
                <w:color w:val="000000"/>
                <w:sz w:val="20"/>
                <w:szCs w:val="20"/>
              </w:rPr>
              <w:t>3 year cycle</w:t>
            </w:r>
          </w:p>
        </w:tc>
      </w:tr>
      <w:tr w:rsidR="00981134" w:rsidRPr="00DA3B20" w14:paraId="5DC614C0" w14:textId="77777777" w:rsidTr="006E7655">
        <w:trPr>
          <w:trHeight w:val="20"/>
        </w:trPr>
        <w:tc>
          <w:tcPr>
            <w:tcW w:w="700" w:type="pct"/>
            <w:tcBorders>
              <w:top w:val="nil"/>
              <w:left w:val="single" w:sz="4" w:space="0" w:color="auto"/>
              <w:bottom w:val="single" w:sz="4" w:space="0" w:color="auto"/>
              <w:right w:val="single" w:sz="4" w:space="0" w:color="auto"/>
            </w:tcBorders>
            <w:shd w:val="clear" w:color="000000" w:fill="D9D9D9"/>
            <w:vAlign w:val="center"/>
            <w:hideMark/>
          </w:tcPr>
          <w:p w14:paraId="5092918E" w14:textId="77777777" w:rsidR="009244FA" w:rsidRPr="00DA3B20" w:rsidRDefault="009244FA" w:rsidP="006633A8">
            <w:pPr>
              <w:adjustRightInd w:val="0"/>
              <w:snapToGrid w:val="0"/>
              <w:rPr>
                <w:b/>
                <w:bCs/>
                <w:color w:val="000000"/>
                <w:sz w:val="20"/>
                <w:szCs w:val="20"/>
              </w:rPr>
            </w:pPr>
            <w:r w:rsidRPr="00DA3B20">
              <w:rPr>
                <w:b/>
                <w:bCs/>
                <w:color w:val="000000"/>
                <w:sz w:val="20"/>
                <w:szCs w:val="20"/>
              </w:rPr>
              <w:t>Pacific bluefin</w:t>
            </w:r>
          </w:p>
        </w:tc>
        <w:tc>
          <w:tcPr>
            <w:tcW w:w="587" w:type="pct"/>
            <w:tcBorders>
              <w:top w:val="nil"/>
              <w:left w:val="nil"/>
              <w:bottom w:val="single" w:sz="4" w:space="0" w:color="auto"/>
              <w:right w:val="single" w:sz="4" w:space="0" w:color="auto"/>
            </w:tcBorders>
            <w:shd w:val="clear" w:color="000000" w:fill="D9D9D9"/>
            <w:vAlign w:val="center"/>
            <w:hideMark/>
          </w:tcPr>
          <w:p w14:paraId="21E6E402" w14:textId="77777777" w:rsidR="009244FA" w:rsidRPr="00DA3B20" w:rsidRDefault="009244FA" w:rsidP="006633A8">
            <w:pPr>
              <w:adjustRightInd w:val="0"/>
              <w:snapToGrid w:val="0"/>
              <w:jc w:val="center"/>
              <w:rPr>
                <w:color w:val="000000"/>
                <w:sz w:val="20"/>
                <w:szCs w:val="20"/>
              </w:rPr>
            </w:pPr>
            <w:r w:rsidRPr="00DA3B20">
              <w:rPr>
                <w:color w:val="000000"/>
                <w:sz w:val="20"/>
                <w:szCs w:val="20"/>
              </w:rPr>
              <w:t>North Pacific</w:t>
            </w:r>
          </w:p>
        </w:tc>
        <w:tc>
          <w:tcPr>
            <w:tcW w:w="624" w:type="pct"/>
            <w:tcBorders>
              <w:top w:val="nil"/>
              <w:left w:val="nil"/>
              <w:bottom w:val="single" w:sz="4" w:space="0" w:color="auto"/>
              <w:right w:val="single" w:sz="4" w:space="0" w:color="auto"/>
            </w:tcBorders>
            <w:shd w:val="clear" w:color="000000" w:fill="D9D9D9"/>
            <w:vAlign w:val="center"/>
            <w:hideMark/>
          </w:tcPr>
          <w:p w14:paraId="31C5D806" w14:textId="77777777" w:rsidR="009244FA" w:rsidRPr="00DA3B20" w:rsidRDefault="009244FA" w:rsidP="006633A8">
            <w:pPr>
              <w:adjustRightInd w:val="0"/>
              <w:snapToGrid w:val="0"/>
              <w:jc w:val="center"/>
              <w:rPr>
                <w:color w:val="000000"/>
                <w:sz w:val="20"/>
                <w:szCs w:val="20"/>
              </w:rPr>
            </w:pPr>
            <w:r w:rsidRPr="00DA3B20">
              <w:rPr>
                <w:color w:val="000000"/>
                <w:sz w:val="20"/>
                <w:szCs w:val="20"/>
              </w:rPr>
              <w:t>2016</w:t>
            </w:r>
          </w:p>
        </w:tc>
        <w:tc>
          <w:tcPr>
            <w:tcW w:w="563" w:type="pct"/>
            <w:tcBorders>
              <w:top w:val="nil"/>
              <w:left w:val="nil"/>
              <w:bottom w:val="single" w:sz="4" w:space="0" w:color="auto"/>
              <w:right w:val="single" w:sz="4" w:space="0" w:color="auto"/>
            </w:tcBorders>
            <w:shd w:val="clear" w:color="000000" w:fill="D9D9D9"/>
            <w:vAlign w:val="center"/>
            <w:hideMark/>
          </w:tcPr>
          <w:p w14:paraId="0DFD39F8" w14:textId="77777777" w:rsidR="009244FA" w:rsidRPr="006E7655" w:rsidRDefault="000B096E" w:rsidP="006633A8">
            <w:pPr>
              <w:adjustRightInd w:val="0"/>
              <w:snapToGrid w:val="0"/>
              <w:jc w:val="center"/>
              <w:rPr>
                <w:sz w:val="20"/>
                <w:szCs w:val="20"/>
              </w:rPr>
            </w:pPr>
            <w:r w:rsidRPr="006E7655">
              <w:rPr>
                <w:b/>
                <w:sz w:val="20"/>
                <w:szCs w:val="20"/>
              </w:rPr>
              <w:t>ISC</w:t>
            </w:r>
            <w:r w:rsidR="009244FA" w:rsidRPr="006E7655">
              <w:rPr>
                <w:sz w:val="20"/>
                <w:szCs w:val="20"/>
              </w:rPr>
              <w:br/>
              <w:t xml:space="preserve"> (SC14-SA-WP-06) ISC</w:t>
            </w:r>
          </w:p>
        </w:tc>
        <w:tc>
          <w:tcPr>
            <w:tcW w:w="519" w:type="pct"/>
            <w:tcBorders>
              <w:top w:val="nil"/>
              <w:left w:val="nil"/>
              <w:bottom w:val="single" w:sz="4" w:space="0" w:color="auto"/>
              <w:right w:val="single" w:sz="4" w:space="0" w:color="auto"/>
            </w:tcBorders>
            <w:shd w:val="clear" w:color="000000" w:fill="D9D9D9"/>
            <w:vAlign w:val="center"/>
            <w:hideMark/>
          </w:tcPr>
          <w:p w14:paraId="46A5A620" w14:textId="77777777" w:rsidR="009244FA" w:rsidRPr="006E7655" w:rsidRDefault="009244FA" w:rsidP="006633A8">
            <w:pPr>
              <w:adjustRightInd w:val="0"/>
              <w:snapToGrid w:val="0"/>
              <w:jc w:val="center"/>
              <w:rPr>
                <w:sz w:val="20"/>
                <w:szCs w:val="20"/>
              </w:rPr>
            </w:pPr>
            <w:r w:rsidRPr="006E7655">
              <w:rPr>
                <w:sz w:val="20"/>
                <w:szCs w:val="20"/>
              </w:rPr>
              <w:t> </w:t>
            </w:r>
          </w:p>
        </w:tc>
        <w:tc>
          <w:tcPr>
            <w:tcW w:w="444" w:type="pct"/>
            <w:tcBorders>
              <w:top w:val="nil"/>
              <w:left w:val="nil"/>
              <w:bottom w:val="single" w:sz="4" w:space="0" w:color="auto"/>
              <w:right w:val="single" w:sz="4" w:space="0" w:color="auto"/>
            </w:tcBorders>
            <w:shd w:val="clear" w:color="000000" w:fill="D9D9D9"/>
            <w:vAlign w:val="center"/>
            <w:hideMark/>
          </w:tcPr>
          <w:p w14:paraId="5BE2FAF5" w14:textId="77777777" w:rsidR="009244FA" w:rsidRPr="006E7655" w:rsidRDefault="009244FA" w:rsidP="006633A8">
            <w:pPr>
              <w:adjustRightInd w:val="0"/>
              <w:snapToGrid w:val="0"/>
              <w:jc w:val="center"/>
              <w:rPr>
                <w:sz w:val="20"/>
                <w:szCs w:val="20"/>
              </w:rPr>
            </w:pPr>
            <w:r w:rsidRPr="006E7655">
              <w:rPr>
                <w:sz w:val="20"/>
                <w:szCs w:val="20"/>
              </w:rPr>
              <w:t> </w:t>
            </w:r>
          </w:p>
        </w:tc>
        <w:tc>
          <w:tcPr>
            <w:tcW w:w="482" w:type="pct"/>
            <w:tcBorders>
              <w:top w:val="nil"/>
              <w:left w:val="nil"/>
              <w:bottom w:val="single" w:sz="4" w:space="0" w:color="auto"/>
              <w:right w:val="single" w:sz="4" w:space="0" w:color="auto"/>
            </w:tcBorders>
            <w:shd w:val="clear" w:color="000000" w:fill="D9D9D9"/>
            <w:vAlign w:val="center"/>
            <w:hideMark/>
          </w:tcPr>
          <w:p w14:paraId="2DC260F9" w14:textId="77777777" w:rsidR="009244FA" w:rsidRPr="006E7655" w:rsidRDefault="009244FA" w:rsidP="006633A8">
            <w:pPr>
              <w:adjustRightInd w:val="0"/>
              <w:snapToGrid w:val="0"/>
              <w:jc w:val="center"/>
              <w:rPr>
                <w:b/>
                <w:sz w:val="20"/>
                <w:szCs w:val="20"/>
              </w:rPr>
            </w:pPr>
            <w:r w:rsidRPr="006E7655">
              <w:rPr>
                <w:b/>
                <w:sz w:val="20"/>
                <w:szCs w:val="20"/>
              </w:rPr>
              <w:t>ISC</w:t>
            </w:r>
          </w:p>
        </w:tc>
        <w:tc>
          <w:tcPr>
            <w:tcW w:w="467" w:type="pct"/>
            <w:tcBorders>
              <w:top w:val="nil"/>
              <w:left w:val="nil"/>
              <w:bottom w:val="single" w:sz="4" w:space="0" w:color="auto"/>
              <w:right w:val="single" w:sz="4" w:space="0" w:color="auto"/>
            </w:tcBorders>
            <w:shd w:val="clear" w:color="000000" w:fill="D9D9D9"/>
            <w:vAlign w:val="center"/>
            <w:hideMark/>
          </w:tcPr>
          <w:p w14:paraId="150EED60" w14:textId="77777777" w:rsidR="009244FA" w:rsidRPr="006E7655" w:rsidRDefault="009244FA" w:rsidP="006633A8">
            <w:pPr>
              <w:adjustRightInd w:val="0"/>
              <w:snapToGrid w:val="0"/>
              <w:jc w:val="center"/>
              <w:rPr>
                <w:sz w:val="20"/>
                <w:szCs w:val="20"/>
              </w:rPr>
            </w:pPr>
            <w:r w:rsidRPr="006E7655">
              <w:rPr>
                <w:sz w:val="20"/>
                <w:szCs w:val="20"/>
              </w:rPr>
              <w:t> </w:t>
            </w:r>
          </w:p>
        </w:tc>
        <w:tc>
          <w:tcPr>
            <w:tcW w:w="613" w:type="pct"/>
            <w:tcBorders>
              <w:top w:val="nil"/>
              <w:left w:val="nil"/>
              <w:bottom w:val="single" w:sz="4" w:space="0" w:color="auto"/>
              <w:right w:val="single" w:sz="4" w:space="0" w:color="auto"/>
            </w:tcBorders>
            <w:shd w:val="clear" w:color="000000" w:fill="D9D9D9"/>
            <w:vAlign w:val="center"/>
            <w:hideMark/>
          </w:tcPr>
          <w:p w14:paraId="78B54933" w14:textId="77777777" w:rsidR="009244FA" w:rsidRPr="006E7655" w:rsidRDefault="000B096E" w:rsidP="006633A8">
            <w:pPr>
              <w:adjustRightInd w:val="0"/>
              <w:snapToGrid w:val="0"/>
              <w:rPr>
                <w:sz w:val="20"/>
                <w:szCs w:val="20"/>
              </w:rPr>
            </w:pPr>
            <w:r w:rsidRPr="006E7655">
              <w:rPr>
                <w:sz w:val="20"/>
                <w:szCs w:val="20"/>
              </w:rPr>
              <w:t xml:space="preserve">To be confirmed by </w:t>
            </w:r>
            <w:r w:rsidR="009244FA" w:rsidRPr="006E7655">
              <w:rPr>
                <w:sz w:val="20"/>
                <w:szCs w:val="20"/>
              </w:rPr>
              <w:t>ISC</w:t>
            </w:r>
          </w:p>
        </w:tc>
      </w:tr>
      <w:tr w:rsidR="000B096E" w:rsidRPr="00DA3B20" w14:paraId="67BC5F6D" w14:textId="77777777" w:rsidTr="006E7655">
        <w:trPr>
          <w:trHeight w:val="20"/>
        </w:trPr>
        <w:tc>
          <w:tcPr>
            <w:tcW w:w="700" w:type="pct"/>
            <w:vMerge w:val="restart"/>
            <w:tcBorders>
              <w:top w:val="nil"/>
              <w:left w:val="single" w:sz="4" w:space="0" w:color="auto"/>
              <w:bottom w:val="single" w:sz="4" w:space="0" w:color="auto"/>
              <w:right w:val="single" w:sz="4" w:space="0" w:color="auto"/>
            </w:tcBorders>
            <w:shd w:val="clear" w:color="auto" w:fill="auto"/>
            <w:vAlign w:val="center"/>
            <w:hideMark/>
          </w:tcPr>
          <w:p w14:paraId="1316E0E5" w14:textId="77777777" w:rsidR="009244FA" w:rsidRPr="00DA3B20" w:rsidRDefault="009244FA" w:rsidP="006633A8">
            <w:pPr>
              <w:adjustRightInd w:val="0"/>
              <w:snapToGrid w:val="0"/>
              <w:rPr>
                <w:b/>
                <w:bCs/>
                <w:color w:val="000000"/>
                <w:sz w:val="20"/>
                <w:szCs w:val="20"/>
              </w:rPr>
            </w:pPr>
            <w:r w:rsidRPr="00DA3B20">
              <w:rPr>
                <w:b/>
                <w:bCs/>
                <w:color w:val="000000"/>
                <w:sz w:val="20"/>
                <w:szCs w:val="20"/>
              </w:rPr>
              <w:t>Striped marlin</w:t>
            </w:r>
          </w:p>
        </w:tc>
        <w:tc>
          <w:tcPr>
            <w:tcW w:w="587" w:type="pct"/>
            <w:tcBorders>
              <w:top w:val="nil"/>
              <w:left w:val="nil"/>
              <w:bottom w:val="single" w:sz="4" w:space="0" w:color="auto"/>
              <w:right w:val="single" w:sz="4" w:space="0" w:color="auto"/>
            </w:tcBorders>
            <w:shd w:val="clear" w:color="auto" w:fill="auto"/>
            <w:vAlign w:val="center"/>
            <w:hideMark/>
          </w:tcPr>
          <w:p w14:paraId="6FBE6E2E" w14:textId="77777777" w:rsidR="009244FA" w:rsidRPr="00DA3B20" w:rsidRDefault="009244FA" w:rsidP="006633A8">
            <w:pPr>
              <w:adjustRightInd w:val="0"/>
              <w:snapToGrid w:val="0"/>
              <w:jc w:val="center"/>
              <w:rPr>
                <w:color w:val="000000"/>
                <w:sz w:val="20"/>
                <w:szCs w:val="20"/>
              </w:rPr>
            </w:pPr>
            <w:r w:rsidRPr="00DA3B20">
              <w:rPr>
                <w:color w:val="000000"/>
                <w:sz w:val="20"/>
                <w:szCs w:val="20"/>
              </w:rPr>
              <w:t>Southwest Pacific</w:t>
            </w:r>
          </w:p>
        </w:tc>
        <w:tc>
          <w:tcPr>
            <w:tcW w:w="624" w:type="pct"/>
            <w:tcBorders>
              <w:top w:val="nil"/>
              <w:left w:val="nil"/>
              <w:bottom w:val="single" w:sz="4" w:space="0" w:color="auto"/>
              <w:right w:val="single" w:sz="4" w:space="0" w:color="auto"/>
            </w:tcBorders>
            <w:shd w:val="clear" w:color="auto" w:fill="auto"/>
            <w:vAlign w:val="center"/>
            <w:hideMark/>
          </w:tcPr>
          <w:p w14:paraId="7795D55E" w14:textId="77777777" w:rsidR="009244FA" w:rsidRPr="00DA3B20" w:rsidRDefault="009244FA" w:rsidP="006633A8">
            <w:pPr>
              <w:adjustRightInd w:val="0"/>
              <w:snapToGrid w:val="0"/>
              <w:jc w:val="center"/>
              <w:rPr>
                <w:color w:val="000000"/>
                <w:sz w:val="20"/>
                <w:szCs w:val="20"/>
              </w:rPr>
            </w:pPr>
            <w:r w:rsidRPr="00DA3B20">
              <w:rPr>
                <w:color w:val="000000"/>
                <w:sz w:val="20"/>
                <w:szCs w:val="20"/>
              </w:rPr>
              <w:t>2012</w:t>
            </w:r>
          </w:p>
        </w:tc>
        <w:tc>
          <w:tcPr>
            <w:tcW w:w="563" w:type="pct"/>
            <w:tcBorders>
              <w:top w:val="nil"/>
              <w:left w:val="nil"/>
              <w:bottom w:val="single" w:sz="4" w:space="0" w:color="auto"/>
              <w:right w:val="single" w:sz="4" w:space="0" w:color="auto"/>
            </w:tcBorders>
            <w:shd w:val="clear" w:color="auto" w:fill="auto"/>
            <w:vAlign w:val="center"/>
            <w:hideMark/>
          </w:tcPr>
          <w:p w14:paraId="4A275E53" w14:textId="77777777" w:rsidR="009244FA" w:rsidRPr="006E7655" w:rsidRDefault="009244FA" w:rsidP="006633A8">
            <w:pPr>
              <w:adjustRightInd w:val="0"/>
              <w:snapToGrid w:val="0"/>
              <w:jc w:val="center"/>
              <w:rPr>
                <w:sz w:val="20"/>
                <w:szCs w:val="20"/>
              </w:rPr>
            </w:pPr>
            <w:r w:rsidRPr="006E7655">
              <w:rPr>
                <w:sz w:val="20"/>
                <w:szCs w:val="20"/>
              </w:rPr>
              <w:t> </w:t>
            </w:r>
          </w:p>
        </w:tc>
        <w:tc>
          <w:tcPr>
            <w:tcW w:w="519" w:type="pct"/>
            <w:tcBorders>
              <w:top w:val="nil"/>
              <w:left w:val="nil"/>
              <w:bottom w:val="single" w:sz="4" w:space="0" w:color="auto"/>
              <w:right w:val="single" w:sz="4" w:space="0" w:color="auto"/>
            </w:tcBorders>
            <w:shd w:val="clear" w:color="auto" w:fill="auto"/>
            <w:vAlign w:val="center"/>
            <w:hideMark/>
          </w:tcPr>
          <w:p w14:paraId="635A74A3" w14:textId="77777777" w:rsidR="009244FA" w:rsidRPr="006E7655" w:rsidRDefault="009244FA" w:rsidP="006633A8">
            <w:pPr>
              <w:adjustRightInd w:val="0"/>
              <w:snapToGrid w:val="0"/>
              <w:jc w:val="center"/>
              <w:rPr>
                <w:b/>
                <w:bCs/>
                <w:sz w:val="20"/>
                <w:szCs w:val="20"/>
              </w:rPr>
            </w:pPr>
            <w:r w:rsidRPr="006E7655">
              <w:rPr>
                <w:b/>
                <w:bCs/>
                <w:sz w:val="20"/>
                <w:szCs w:val="20"/>
              </w:rPr>
              <w:t>SPC</w:t>
            </w:r>
            <w:r w:rsidRPr="006E7655">
              <w:rPr>
                <w:b/>
                <w:bCs/>
                <w:sz w:val="20"/>
                <w:szCs w:val="20"/>
              </w:rPr>
              <w:br/>
            </w:r>
            <w:r w:rsidR="000B096E" w:rsidRPr="006E7655">
              <w:rPr>
                <w:bCs/>
                <w:sz w:val="20"/>
                <w:szCs w:val="20"/>
              </w:rPr>
              <w:t>(</w:t>
            </w:r>
            <w:r w:rsidRPr="006E7655">
              <w:rPr>
                <w:bCs/>
                <w:sz w:val="20"/>
                <w:szCs w:val="20"/>
              </w:rPr>
              <w:t>deferred from 2018</w:t>
            </w:r>
            <w:r w:rsidR="000B096E" w:rsidRPr="006E7655">
              <w:rPr>
                <w:bCs/>
                <w:sz w:val="20"/>
                <w:szCs w:val="20"/>
              </w:rPr>
              <w:t>)</w:t>
            </w:r>
          </w:p>
        </w:tc>
        <w:tc>
          <w:tcPr>
            <w:tcW w:w="444" w:type="pct"/>
            <w:tcBorders>
              <w:top w:val="nil"/>
              <w:left w:val="nil"/>
              <w:bottom w:val="single" w:sz="4" w:space="0" w:color="auto"/>
              <w:right w:val="single" w:sz="4" w:space="0" w:color="auto"/>
            </w:tcBorders>
            <w:shd w:val="clear" w:color="auto" w:fill="auto"/>
            <w:vAlign w:val="center"/>
            <w:hideMark/>
          </w:tcPr>
          <w:p w14:paraId="20396CEE" w14:textId="77777777" w:rsidR="009244FA" w:rsidRPr="006E7655" w:rsidRDefault="009244FA" w:rsidP="006633A8">
            <w:pPr>
              <w:adjustRightInd w:val="0"/>
              <w:snapToGrid w:val="0"/>
              <w:jc w:val="center"/>
              <w:rPr>
                <w:sz w:val="20"/>
                <w:szCs w:val="20"/>
              </w:rPr>
            </w:pPr>
            <w:r w:rsidRPr="006E7655">
              <w:rPr>
                <w:sz w:val="20"/>
                <w:szCs w:val="20"/>
              </w:rPr>
              <w:t> </w:t>
            </w:r>
          </w:p>
        </w:tc>
        <w:tc>
          <w:tcPr>
            <w:tcW w:w="482" w:type="pct"/>
            <w:tcBorders>
              <w:top w:val="nil"/>
              <w:left w:val="nil"/>
              <w:bottom w:val="single" w:sz="4" w:space="0" w:color="auto"/>
              <w:right w:val="single" w:sz="4" w:space="0" w:color="auto"/>
            </w:tcBorders>
            <w:shd w:val="clear" w:color="auto" w:fill="auto"/>
            <w:vAlign w:val="center"/>
            <w:hideMark/>
          </w:tcPr>
          <w:p w14:paraId="5614A686" w14:textId="77777777" w:rsidR="009244FA" w:rsidRPr="006E7655" w:rsidRDefault="009244FA" w:rsidP="006633A8">
            <w:pPr>
              <w:adjustRightInd w:val="0"/>
              <w:snapToGrid w:val="0"/>
              <w:jc w:val="center"/>
              <w:rPr>
                <w:sz w:val="20"/>
                <w:szCs w:val="20"/>
              </w:rPr>
            </w:pPr>
            <w:r w:rsidRPr="006E7655">
              <w:rPr>
                <w:sz w:val="20"/>
                <w:szCs w:val="20"/>
              </w:rPr>
              <w:t> </w:t>
            </w:r>
          </w:p>
        </w:tc>
        <w:tc>
          <w:tcPr>
            <w:tcW w:w="467" w:type="pct"/>
            <w:tcBorders>
              <w:top w:val="nil"/>
              <w:left w:val="nil"/>
              <w:bottom w:val="single" w:sz="4" w:space="0" w:color="auto"/>
              <w:right w:val="single" w:sz="4" w:space="0" w:color="auto"/>
            </w:tcBorders>
            <w:shd w:val="clear" w:color="auto" w:fill="auto"/>
            <w:vAlign w:val="center"/>
            <w:hideMark/>
          </w:tcPr>
          <w:p w14:paraId="71454821" w14:textId="77777777" w:rsidR="009244FA" w:rsidRPr="006E7655" w:rsidRDefault="009244FA" w:rsidP="006633A8">
            <w:pPr>
              <w:adjustRightInd w:val="0"/>
              <w:snapToGrid w:val="0"/>
              <w:jc w:val="center"/>
              <w:rPr>
                <w:sz w:val="20"/>
                <w:szCs w:val="20"/>
              </w:rPr>
            </w:pPr>
            <w:r w:rsidRPr="006E7655">
              <w:rPr>
                <w:sz w:val="20"/>
                <w:szCs w:val="20"/>
              </w:rPr>
              <w:t> </w:t>
            </w:r>
          </w:p>
        </w:tc>
        <w:tc>
          <w:tcPr>
            <w:tcW w:w="613" w:type="pct"/>
            <w:tcBorders>
              <w:top w:val="nil"/>
              <w:left w:val="nil"/>
              <w:bottom w:val="single" w:sz="4" w:space="0" w:color="auto"/>
              <w:right w:val="single" w:sz="4" w:space="0" w:color="auto"/>
            </w:tcBorders>
            <w:shd w:val="clear" w:color="auto" w:fill="auto"/>
            <w:vAlign w:val="center"/>
            <w:hideMark/>
          </w:tcPr>
          <w:p w14:paraId="09ED17F2" w14:textId="77777777" w:rsidR="009244FA" w:rsidRPr="006E7655" w:rsidRDefault="009244FA" w:rsidP="006633A8">
            <w:pPr>
              <w:adjustRightInd w:val="0"/>
              <w:snapToGrid w:val="0"/>
              <w:rPr>
                <w:sz w:val="20"/>
                <w:szCs w:val="20"/>
              </w:rPr>
            </w:pPr>
            <w:r w:rsidRPr="006E7655">
              <w:rPr>
                <w:sz w:val="20"/>
                <w:szCs w:val="20"/>
              </w:rPr>
              <w:t>5 year cycle</w:t>
            </w:r>
          </w:p>
        </w:tc>
      </w:tr>
      <w:tr w:rsidR="000B096E" w:rsidRPr="00DA3B20" w14:paraId="13E954B5" w14:textId="77777777" w:rsidTr="006E7655">
        <w:trPr>
          <w:trHeight w:val="20"/>
        </w:trPr>
        <w:tc>
          <w:tcPr>
            <w:tcW w:w="700" w:type="pct"/>
            <w:vMerge/>
            <w:tcBorders>
              <w:top w:val="nil"/>
              <w:left w:val="single" w:sz="4" w:space="0" w:color="auto"/>
              <w:bottom w:val="single" w:sz="4" w:space="0" w:color="auto"/>
              <w:right w:val="single" w:sz="4" w:space="0" w:color="auto"/>
            </w:tcBorders>
            <w:vAlign w:val="center"/>
            <w:hideMark/>
          </w:tcPr>
          <w:p w14:paraId="40A5C17F" w14:textId="77777777" w:rsidR="009244FA" w:rsidRPr="00DA3B20" w:rsidRDefault="009244FA" w:rsidP="006633A8">
            <w:pPr>
              <w:adjustRightInd w:val="0"/>
              <w:snapToGrid w:val="0"/>
              <w:rPr>
                <w:b/>
                <w:bCs/>
                <w:color w:val="000000"/>
                <w:sz w:val="20"/>
                <w:szCs w:val="20"/>
              </w:rPr>
            </w:pPr>
          </w:p>
        </w:tc>
        <w:tc>
          <w:tcPr>
            <w:tcW w:w="587" w:type="pct"/>
            <w:tcBorders>
              <w:top w:val="nil"/>
              <w:left w:val="nil"/>
              <w:bottom w:val="single" w:sz="4" w:space="0" w:color="auto"/>
              <w:right w:val="single" w:sz="4" w:space="0" w:color="auto"/>
            </w:tcBorders>
            <w:shd w:val="clear" w:color="auto" w:fill="auto"/>
            <w:vAlign w:val="center"/>
            <w:hideMark/>
          </w:tcPr>
          <w:p w14:paraId="31FD0A5E" w14:textId="77777777" w:rsidR="009244FA" w:rsidRPr="00DA3B20" w:rsidRDefault="009244FA" w:rsidP="006633A8">
            <w:pPr>
              <w:adjustRightInd w:val="0"/>
              <w:snapToGrid w:val="0"/>
              <w:jc w:val="center"/>
              <w:rPr>
                <w:color w:val="000000"/>
                <w:sz w:val="20"/>
                <w:szCs w:val="20"/>
              </w:rPr>
            </w:pPr>
            <w:r w:rsidRPr="00DA3B20">
              <w:rPr>
                <w:color w:val="000000"/>
                <w:sz w:val="20"/>
                <w:szCs w:val="20"/>
              </w:rPr>
              <w:t>Northwest Pacific</w:t>
            </w:r>
          </w:p>
        </w:tc>
        <w:tc>
          <w:tcPr>
            <w:tcW w:w="624" w:type="pct"/>
            <w:tcBorders>
              <w:top w:val="nil"/>
              <w:left w:val="nil"/>
              <w:bottom w:val="single" w:sz="4" w:space="0" w:color="auto"/>
              <w:right w:val="single" w:sz="4" w:space="0" w:color="auto"/>
            </w:tcBorders>
            <w:shd w:val="clear" w:color="auto" w:fill="auto"/>
            <w:vAlign w:val="center"/>
            <w:hideMark/>
          </w:tcPr>
          <w:p w14:paraId="53837AD5" w14:textId="77777777" w:rsidR="009244FA" w:rsidRPr="00DA3B20" w:rsidRDefault="009244FA" w:rsidP="006633A8">
            <w:pPr>
              <w:adjustRightInd w:val="0"/>
              <w:snapToGrid w:val="0"/>
              <w:jc w:val="center"/>
              <w:rPr>
                <w:color w:val="000000"/>
                <w:sz w:val="20"/>
                <w:szCs w:val="20"/>
              </w:rPr>
            </w:pPr>
            <w:r w:rsidRPr="00DA3B20">
              <w:rPr>
                <w:color w:val="000000"/>
                <w:sz w:val="20"/>
                <w:szCs w:val="20"/>
              </w:rPr>
              <w:t>2012</w:t>
            </w:r>
          </w:p>
        </w:tc>
        <w:tc>
          <w:tcPr>
            <w:tcW w:w="563" w:type="pct"/>
            <w:tcBorders>
              <w:top w:val="nil"/>
              <w:left w:val="nil"/>
              <w:bottom w:val="single" w:sz="4" w:space="0" w:color="auto"/>
              <w:right w:val="single" w:sz="4" w:space="0" w:color="auto"/>
            </w:tcBorders>
            <w:shd w:val="clear" w:color="auto" w:fill="auto"/>
            <w:vAlign w:val="center"/>
            <w:hideMark/>
          </w:tcPr>
          <w:p w14:paraId="760C308A" w14:textId="77777777" w:rsidR="009244FA" w:rsidRPr="006E7655" w:rsidRDefault="009244FA" w:rsidP="006633A8">
            <w:pPr>
              <w:adjustRightInd w:val="0"/>
              <w:snapToGrid w:val="0"/>
              <w:jc w:val="center"/>
              <w:rPr>
                <w:sz w:val="20"/>
                <w:szCs w:val="20"/>
              </w:rPr>
            </w:pPr>
            <w:r w:rsidRPr="006E7655">
              <w:rPr>
                <w:sz w:val="20"/>
                <w:szCs w:val="20"/>
              </w:rPr>
              <w:t> </w:t>
            </w:r>
          </w:p>
        </w:tc>
        <w:tc>
          <w:tcPr>
            <w:tcW w:w="519" w:type="pct"/>
            <w:tcBorders>
              <w:top w:val="nil"/>
              <w:left w:val="nil"/>
              <w:bottom w:val="single" w:sz="4" w:space="0" w:color="auto"/>
              <w:right w:val="single" w:sz="4" w:space="0" w:color="auto"/>
            </w:tcBorders>
            <w:shd w:val="clear" w:color="auto" w:fill="auto"/>
            <w:vAlign w:val="center"/>
            <w:hideMark/>
          </w:tcPr>
          <w:p w14:paraId="4CAF254E" w14:textId="77777777" w:rsidR="009244FA" w:rsidRPr="006E7655" w:rsidRDefault="009244FA" w:rsidP="006633A8">
            <w:pPr>
              <w:adjustRightInd w:val="0"/>
              <w:snapToGrid w:val="0"/>
              <w:jc w:val="center"/>
              <w:rPr>
                <w:b/>
                <w:sz w:val="20"/>
                <w:szCs w:val="20"/>
              </w:rPr>
            </w:pPr>
            <w:r w:rsidRPr="006E7655">
              <w:rPr>
                <w:b/>
                <w:sz w:val="20"/>
                <w:szCs w:val="20"/>
              </w:rPr>
              <w:t>ISC</w:t>
            </w:r>
          </w:p>
        </w:tc>
        <w:tc>
          <w:tcPr>
            <w:tcW w:w="444" w:type="pct"/>
            <w:tcBorders>
              <w:top w:val="nil"/>
              <w:left w:val="nil"/>
              <w:bottom w:val="single" w:sz="4" w:space="0" w:color="auto"/>
              <w:right w:val="single" w:sz="4" w:space="0" w:color="auto"/>
            </w:tcBorders>
            <w:shd w:val="clear" w:color="auto" w:fill="auto"/>
            <w:vAlign w:val="center"/>
            <w:hideMark/>
          </w:tcPr>
          <w:p w14:paraId="7636EEE2" w14:textId="77777777" w:rsidR="009244FA" w:rsidRPr="006E7655" w:rsidRDefault="009244FA" w:rsidP="006633A8">
            <w:pPr>
              <w:adjustRightInd w:val="0"/>
              <w:snapToGrid w:val="0"/>
              <w:jc w:val="center"/>
              <w:rPr>
                <w:sz w:val="20"/>
                <w:szCs w:val="20"/>
              </w:rPr>
            </w:pPr>
            <w:r w:rsidRPr="006E7655">
              <w:rPr>
                <w:sz w:val="20"/>
                <w:szCs w:val="20"/>
              </w:rPr>
              <w:t> </w:t>
            </w:r>
          </w:p>
        </w:tc>
        <w:tc>
          <w:tcPr>
            <w:tcW w:w="482" w:type="pct"/>
            <w:tcBorders>
              <w:top w:val="nil"/>
              <w:left w:val="nil"/>
              <w:bottom w:val="single" w:sz="4" w:space="0" w:color="auto"/>
              <w:right w:val="single" w:sz="4" w:space="0" w:color="auto"/>
            </w:tcBorders>
            <w:shd w:val="clear" w:color="auto" w:fill="auto"/>
            <w:vAlign w:val="center"/>
            <w:hideMark/>
          </w:tcPr>
          <w:p w14:paraId="3477543B" w14:textId="77777777" w:rsidR="009244FA" w:rsidRPr="006E7655" w:rsidRDefault="009244FA" w:rsidP="006633A8">
            <w:pPr>
              <w:adjustRightInd w:val="0"/>
              <w:snapToGrid w:val="0"/>
              <w:jc w:val="center"/>
              <w:rPr>
                <w:sz w:val="20"/>
                <w:szCs w:val="20"/>
              </w:rPr>
            </w:pPr>
            <w:r w:rsidRPr="006E7655">
              <w:rPr>
                <w:sz w:val="20"/>
                <w:szCs w:val="20"/>
              </w:rPr>
              <w:t> </w:t>
            </w:r>
          </w:p>
        </w:tc>
        <w:tc>
          <w:tcPr>
            <w:tcW w:w="467" w:type="pct"/>
            <w:tcBorders>
              <w:top w:val="nil"/>
              <w:left w:val="nil"/>
              <w:bottom w:val="single" w:sz="4" w:space="0" w:color="auto"/>
              <w:right w:val="single" w:sz="4" w:space="0" w:color="auto"/>
            </w:tcBorders>
            <w:shd w:val="clear" w:color="auto" w:fill="auto"/>
            <w:vAlign w:val="center"/>
            <w:hideMark/>
          </w:tcPr>
          <w:p w14:paraId="60E72649" w14:textId="77777777" w:rsidR="009244FA" w:rsidRPr="006E7655" w:rsidRDefault="009244FA" w:rsidP="006633A8">
            <w:pPr>
              <w:adjustRightInd w:val="0"/>
              <w:snapToGrid w:val="0"/>
              <w:jc w:val="center"/>
              <w:rPr>
                <w:sz w:val="20"/>
                <w:szCs w:val="20"/>
              </w:rPr>
            </w:pPr>
            <w:r w:rsidRPr="006E7655">
              <w:rPr>
                <w:sz w:val="20"/>
                <w:szCs w:val="20"/>
              </w:rPr>
              <w:t> </w:t>
            </w:r>
          </w:p>
        </w:tc>
        <w:tc>
          <w:tcPr>
            <w:tcW w:w="613" w:type="pct"/>
            <w:tcBorders>
              <w:top w:val="nil"/>
              <w:left w:val="nil"/>
              <w:bottom w:val="single" w:sz="4" w:space="0" w:color="auto"/>
              <w:right w:val="single" w:sz="4" w:space="0" w:color="auto"/>
            </w:tcBorders>
            <w:shd w:val="clear" w:color="auto" w:fill="auto"/>
            <w:vAlign w:val="center"/>
            <w:hideMark/>
          </w:tcPr>
          <w:p w14:paraId="1EB4A9F8" w14:textId="77777777" w:rsidR="009244FA" w:rsidRPr="006E7655" w:rsidRDefault="000B096E" w:rsidP="006633A8">
            <w:pPr>
              <w:adjustRightInd w:val="0"/>
              <w:snapToGrid w:val="0"/>
              <w:rPr>
                <w:sz w:val="20"/>
                <w:szCs w:val="20"/>
              </w:rPr>
            </w:pPr>
            <w:r w:rsidRPr="006E7655">
              <w:rPr>
                <w:sz w:val="20"/>
                <w:szCs w:val="20"/>
              </w:rPr>
              <w:t>To be confirmed by ISC</w:t>
            </w:r>
          </w:p>
        </w:tc>
      </w:tr>
      <w:tr w:rsidR="00981134" w:rsidRPr="00DA3B20" w14:paraId="2ADEBF6F" w14:textId="77777777" w:rsidTr="006E7655">
        <w:trPr>
          <w:trHeight w:val="20"/>
        </w:trPr>
        <w:tc>
          <w:tcPr>
            <w:tcW w:w="700" w:type="pct"/>
            <w:vMerge w:val="restart"/>
            <w:tcBorders>
              <w:top w:val="nil"/>
              <w:left w:val="single" w:sz="4" w:space="0" w:color="auto"/>
              <w:bottom w:val="single" w:sz="4" w:space="0" w:color="auto"/>
              <w:right w:val="single" w:sz="4" w:space="0" w:color="auto"/>
            </w:tcBorders>
            <w:shd w:val="clear" w:color="000000" w:fill="D9D9D9"/>
            <w:vAlign w:val="center"/>
            <w:hideMark/>
          </w:tcPr>
          <w:p w14:paraId="79634D69" w14:textId="77777777" w:rsidR="009244FA" w:rsidRPr="00DA3B20" w:rsidRDefault="009244FA" w:rsidP="006633A8">
            <w:pPr>
              <w:adjustRightInd w:val="0"/>
              <w:snapToGrid w:val="0"/>
              <w:rPr>
                <w:b/>
                <w:bCs/>
                <w:color w:val="000000"/>
                <w:sz w:val="20"/>
                <w:szCs w:val="20"/>
              </w:rPr>
            </w:pPr>
            <w:r w:rsidRPr="00DA3B20">
              <w:rPr>
                <w:b/>
                <w:bCs/>
                <w:color w:val="000000"/>
                <w:sz w:val="20"/>
                <w:szCs w:val="20"/>
              </w:rPr>
              <w:t>Swordfish</w:t>
            </w:r>
          </w:p>
        </w:tc>
        <w:tc>
          <w:tcPr>
            <w:tcW w:w="587" w:type="pct"/>
            <w:tcBorders>
              <w:top w:val="nil"/>
              <w:left w:val="nil"/>
              <w:bottom w:val="single" w:sz="4" w:space="0" w:color="auto"/>
              <w:right w:val="single" w:sz="4" w:space="0" w:color="auto"/>
            </w:tcBorders>
            <w:shd w:val="clear" w:color="000000" w:fill="D9D9D9"/>
            <w:vAlign w:val="center"/>
            <w:hideMark/>
          </w:tcPr>
          <w:p w14:paraId="719DB50B" w14:textId="77777777" w:rsidR="009244FA" w:rsidRPr="00DA3B20" w:rsidRDefault="009244FA" w:rsidP="006633A8">
            <w:pPr>
              <w:adjustRightInd w:val="0"/>
              <w:snapToGrid w:val="0"/>
              <w:jc w:val="center"/>
              <w:rPr>
                <w:color w:val="000000"/>
                <w:sz w:val="20"/>
                <w:szCs w:val="20"/>
              </w:rPr>
            </w:pPr>
            <w:r w:rsidRPr="00DA3B20">
              <w:rPr>
                <w:color w:val="000000"/>
                <w:sz w:val="20"/>
                <w:szCs w:val="20"/>
              </w:rPr>
              <w:t>Southwest Pacific</w:t>
            </w:r>
          </w:p>
        </w:tc>
        <w:tc>
          <w:tcPr>
            <w:tcW w:w="624" w:type="pct"/>
            <w:tcBorders>
              <w:top w:val="nil"/>
              <w:left w:val="nil"/>
              <w:bottom w:val="single" w:sz="4" w:space="0" w:color="auto"/>
              <w:right w:val="single" w:sz="4" w:space="0" w:color="auto"/>
            </w:tcBorders>
            <w:shd w:val="clear" w:color="000000" w:fill="D9D9D9"/>
            <w:vAlign w:val="center"/>
            <w:hideMark/>
          </w:tcPr>
          <w:p w14:paraId="4A376999" w14:textId="77777777" w:rsidR="009244FA" w:rsidRPr="00DA3B20" w:rsidRDefault="009244FA" w:rsidP="006633A8">
            <w:pPr>
              <w:adjustRightInd w:val="0"/>
              <w:snapToGrid w:val="0"/>
              <w:jc w:val="center"/>
              <w:rPr>
                <w:color w:val="000000"/>
                <w:sz w:val="20"/>
                <w:szCs w:val="20"/>
              </w:rPr>
            </w:pPr>
            <w:r w:rsidRPr="00DA3B20">
              <w:rPr>
                <w:color w:val="000000"/>
                <w:sz w:val="20"/>
                <w:szCs w:val="20"/>
              </w:rPr>
              <w:t>2017</w:t>
            </w:r>
          </w:p>
        </w:tc>
        <w:tc>
          <w:tcPr>
            <w:tcW w:w="563" w:type="pct"/>
            <w:tcBorders>
              <w:top w:val="nil"/>
              <w:left w:val="nil"/>
              <w:bottom w:val="single" w:sz="4" w:space="0" w:color="auto"/>
              <w:right w:val="single" w:sz="4" w:space="0" w:color="auto"/>
            </w:tcBorders>
            <w:shd w:val="clear" w:color="000000" w:fill="D9D9D9"/>
            <w:vAlign w:val="center"/>
            <w:hideMark/>
          </w:tcPr>
          <w:p w14:paraId="4ADADD23" w14:textId="77777777" w:rsidR="009244FA" w:rsidRPr="006E7655" w:rsidRDefault="009244FA" w:rsidP="006633A8">
            <w:pPr>
              <w:adjustRightInd w:val="0"/>
              <w:snapToGrid w:val="0"/>
              <w:jc w:val="center"/>
              <w:rPr>
                <w:sz w:val="20"/>
                <w:szCs w:val="20"/>
              </w:rPr>
            </w:pPr>
            <w:r w:rsidRPr="006E7655">
              <w:rPr>
                <w:sz w:val="20"/>
                <w:szCs w:val="20"/>
              </w:rPr>
              <w:t> </w:t>
            </w:r>
          </w:p>
        </w:tc>
        <w:tc>
          <w:tcPr>
            <w:tcW w:w="519" w:type="pct"/>
            <w:tcBorders>
              <w:top w:val="nil"/>
              <w:left w:val="nil"/>
              <w:bottom w:val="single" w:sz="4" w:space="0" w:color="auto"/>
              <w:right w:val="single" w:sz="4" w:space="0" w:color="auto"/>
            </w:tcBorders>
            <w:shd w:val="clear" w:color="000000" w:fill="D9D9D9"/>
            <w:vAlign w:val="center"/>
            <w:hideMark/>
          </w:tcPr>
          <w:p w14:paraId="4962574A" w14:textId="77777777" w:rsidR="009244FA" w:rsidRPr="006E7655" w:rsidRDefault="009244FA" w:rsidP="006633A8">
            <w:pPr>
              <w:adjustRightInd w:val="0"/>
              <w:snapToGrid w:val="0"/>
              <w:jc w:val="center"/>
              <w:rPr>
                <w:sz w:val="20"/>
                <w:szCs w:val="20"/>
              </w:rPr>
            </w:pPr>
            <w:r w:rsidRPr="006E7655">
              <w:rPr>
                <w:sz w:val="20"/>
                <w:szCs w:val="20"/>
              </w:rPr>
              <w:t> </w:t>
            </w:r>
          </w:p>
        </w:tc>
        <w:tc>
          <w:tcPr>
            <w:tcW w:w="444" w:type="pct"/>
            <w:tcBorders>
              <w:top w:val="nil"/>
              <w:left w:val="nil"/>
              <w:bottom w:val="single" w:sz="4" w:space="0" w:color="auto"/>
              <w:right w:val="single" w:sz="4" w:space="0" w:color="auto"/>
            </w:tcBorders>
            <w:shd w:val="clear" w:color="000000" w:fill="D9D9D9"/>
            <w:vAlign w:val="center"/>
            <w:hideMark/>
          </w:tcPr>
          <w:p w14:paraId="5CBB87F9" w14:textId="77777777" w:rsidR="009244FA" w:rsidRPr="006E7655" w:rsidRDefault="009244FA" w:rsidP="006633A8">
            <w:pPr>
              <w:adjustRightInd w:val="0"/>
              <w:snapToGrid w:val="0"/>
              <w:jc w:val="center"/>
              <w:rPr>
                <w:sz w:val="20"/>
                <w:szCs w:val="20"/>
              </w:rPr>
            </w:pPr>
            <w:r w:rsidRPr="006E7655">
              <w:rPr>
                <w:sz w:val="20"/>
                <w:szCs w:val="20"/>
              </w:rPr>
              <w:t> </w:t>
            </w:r>
          </w:p>
        </w:tc>
        <w:tc>
          <w:tcPr>
            <w:tcW w:w="482" w:type="pct"/>
            <w:tcBorders>
              <w:top w:val="nil"/>
              <w:left w:val="nil"/>
              <w:bottom w:val="single" w:sz="4" w:space="0" w:color="auto"/>
              <w:right w:val="single" w:sz="4" w:space="0" w:color="auto"/>
            </w:tcBorders>
            <w:shd w:val="clear" w:color="000000" w:fill="D9D9D9"/>
            <w:vAlign w:val="center"/>
            <w:hideMark/>
          </w:tcPr>
          <w:p w14:paraId="215C5059" w14:textId="77777777" w:rsidR="009244FA" w:rsidRPr="006E7655" w:rsidRDefault="009244FA" w:rsidP="006633A8">
            <w:pPr>
              <w:adjustRightInd w:val="0"/>
              <w:snapToGrid w:val="0"/>
              <w:jc w:val="center"/>
              <w:rPr>
                <w:sz w:val="20"/>
                <w:szCs w:val="20"/>
              </w:rPr>
            </w:pPr>
            <w:r w:rsidRPr="006E7655">
              <w:rPr>
                <w:sz w:val="20"/>
                <w:szCs w:val="20"/>
              </w:rPr>
              <w:t> </w:t>
            </w:r>
          </w:p>
        </w:tc>
        <w:tc>
          <w:tcPr>
            <w:tcW w:w="467" w:type="pct"/>
            <w:tcBorders>
              <w:top w:val="nil"/>
              <w:left w:val="nil"/>
              <w:bottom w:val="single" w:sz="4" w:space="0" w:color="auto"/>
              <w:right w:val="single" w:sz="4" w:space="0" w:color="auto"/>
            </w:tcBorders>
            <w:shd w:val="clear" w:color="000000" w:fill="D9D9D9"/>
            <w:vAlign w:val="center"/>
            <w:hideMark/>
          </w:tcPr>
          <w:p w14:paraId="6D832798" w14:textId="77777777" w:rsidR="009244FA" w:rsidRPr="006E7655" w:rsidRDefault="009244FA" w:rsidP="006633A8">
            <w:pPr>
              <w:adjustRightInd w:val="0"/>
              <w:snapToGrid w:val="0"/>
              <w:jc w:val="center"/>
              <w:rPr>
                <w:sz w:val="20"/>
                <w:szCs w:val="20"/>
              </w:rPr>
            </w:pPr>
            <w:r w:rsidRPr="006E7655">
              <w:rPr>
                <w:b/>
                <w:sz w:val="20"/>
                <w:szCs w:val="20"/>
              </w:rPr>
              <w:t>ISC</w:t>
            </w:r>
          </w:p>
        </w:tc>
        <w:tc>
          <w:tcPr>
            <w:tcW w:w="613" w:type="pct"/>
            <w:tcBorders>
              <w:top w:val="nil"/>
              <w:left w:val="nil"/>
              <w:bottom w:val="single" w:sz="4" w:space="0" w:color="auto"/>
              <w:right w:val="single" w:sz="4" w:space="0" w:color="auto"/>
            </w:tcBorders>
            <w:shd w:val="clear" w:color="000000" w:fill="D9D9D9"/>
            <w:vAlign w:val="center"/>
            <w:hideMark/>
          </w:tcPr>
          <w:p w14:paraId="5B92D413" w14:textId="77777777" w:rsidR="009244FA" w:rsidRPr="006E7655" w:rsidRDefault="009244FA" w:rsidP="006633A8">
            <w:pPr>
              <w:adjustRightInd w:val="0"/>
              <w:snapToGrid w:val="0"/>
              <w:rPr>
                <w:sz w:val="20"/>
                <w:szCs w:val="20"/>
              </w:rPr>
            </w:pPr>
            <w:r w:rsidRPr="006E7655">
              <w:rPr>
                <w:sz w:val="20"/>
                <w:szCs w:val="20"/>
              </w:rPr>
              <w:t>5 year cycle</w:t>
            </w:r>
          </w:p>
        </w:tc>
      </w:tr>
      <w:tr w:rsidR="00981134" w:rsidRPr="00DA3B20" w14:paraId="6F86ED7A" w14:textId="77777777" w:rsidTr="006E7655">
        <w:trPr>
          <w:trHeight w:val="20"/>
        </w:trPr>
        <w:tc>
          <w:tcPr>
            <w:tcW w:w="700" w:type="pct"/>
            <w:vMerge/>
            <w:tcBorders>
              <w:top w:val="nil"/>
              <w:left w:val="single" w:sz="4" w:space="0" w:color="auto"/>
              <w:bottom w:val="single" w:sz="4" w:space="0" w:color="auto"/>
              <w:right w:val="single" w:sz="4" w:space="0" w:color="auto"/>
            </w:tcBorders>
            <w:vAlign w:val="center"/>
            <w:hideMark/>
          </w:tcPr>
          <w:p w14:paraId="3E62D9B2" w14:textId="77777777" w:rsidR="009244FA" w:rsidRPr="00DA3B20" w:rsidRDefault="009244FA" w:rsidP="006633A8">
            <w:pPr>
              <w:adjustRightInd w:val="0"/>
              <w:snapToGrid w:val="0"/>
              <w:rPr>
                <w:b/>
                <w:bCs/>
                <w:color w:val="000000"/>
                <w:sz w:val="20"/>
                <w:szCs w:val="20"/>
              </w:rPr>
            </w:pPr>
          </w:p>
        </w:tc>
        <w:tc>
          <w:tcPr>
            <w:tcW w:w="587" w:type="pct"/>
            <w:tcBorders>
              <w:top w:val="nil"/>
              <w:left w:val="nil"/>
              <w:bottom w:val="single" w:sz="4" w:space="0" w:color="auto"/>
              <w:right w:val="single" w:sz="4" w:space="0" w:color="auto"/>
            </w:tcBorders>
            <w:shd w:val="clear" w:color="000000" w:fill="D9D9D9"/>
            <w:vAlign w:val="center"/>
            <w:hideMark/>
          </w:tcPr>
          <w:p w14:paraId="7146495E" w14:textId="77777777" w:rsidR="009244FA" w:rsidRPr="00DA3B20" w:rsidRDefault="009244FA" w:rsidP="006633A8">
            <w:pPr>
              <w:adjustRightInd w:val="0"/>
              <w:snapToGrid w:val="0"/>
              <w:jc w:val="center"/>
              <w:rPr>
                <w:color w:val="000000"/>
                <w:sz w:val="20"/>
                <w:szCs w:val="20"/>
              </w:rPr>
            </w:pPr>
            <w:r w:rsidRPr="00DA3B20">
              <w:rPr>
                <w:color w:val="000000"/>
                <w:sz w:val="20"/>
                <w:szCs w:val="20"/>
              </w:rPr>
              <w:t>North Pacific</w:t>
            </w:r>
          </w:p>
        </w:tc>
        <w:tc>
          <w:tcPr>
            <w:tcW w:w="624" w:type="pct"/>
            <w:tcBorders>
              <w:top w:val="nil"/>
              <w:left w:val="nil"/>
              <w:bottom w:val="single" w:sz="4" w:space="0" w:color="auto"/>
              <w:right w:val="single" w:sz="4" w:space="0" w:color="auto"/>
            </w:tcBorders>
            <w:shd w:val="clear" w:color="000000" w:fill="D9D9D9"/>
            <w:vAlign w:val="center"/>
            <w:hideMark/>
          </w:tcPr>
          <w:p w14:paraId="307994D5" w14:textId="77777777" w:rsidR="009244FA" w:rsidRPr="00DA3B20" w:rsidRDefault="009244FA" w:rsidP="006633A8">
            <w:pPr>
              <w:adjustRightInd w:val="0"/>
              <w:snapToGrid w:val="0"/>
              <w:jc w:val="center"/>
              <w:rPr>
                <w:color w:val="000000"/>
                <w:sz w:val="20"/>
                <w:szCs w:val="20"/>
              </w:rPr>
            </w:pPr>
            <w:r w:rsidRPr="00DA3B20">
              <w:rPr>
                <w:color w:val="000000"/>
                <w:sz w:val="20"/>
                <w:szCs w:val="20"/>
              </w:rPr>
              <w:t>2014</w:t>
            </w:r>
          </w:p>
        </w:tc>
        <w:tc>
          <w:tcPr>
            <w:tcW w:w="563" w:type="pct"/>
            <w:tcBorders>
              <w:top w:val="nil"/>
              <w:left w:val="nil"/>
              <w:bottom w:val="single" w:sz="4" w:space="0" w:color="auto"/>
              <w:right w:val="single" w:sz="4" w:space="0" w:color="auto"/>
            </w:tcBorders>
            <w:shd w:val="clear" w:color="000000" w:fill="D9D9D9"/>
            <w:vAlign w:val="center"/>
            <w:hideMark/>
          </w:tcPr>
          <w:p w14:paraId="434F889E" w14:textId="77777777" w:rsidR="009244FA" w:rsidRPr="006E7655" w:rsidRDefault="000B096E" w:rsidP="006633A8">
            <w:pPr>
              <w:adjustRightInd w:val="0"/>
              <w:snapToGrid w:val="0"/>
              <w:jc w:val="center"/>
              <w:rPr>
                <w:sz w:val="20"/>
                <w:szCs w:val="20"/>
              </w:rPr>
            </w:pPr>
            <w:r w:rsidRPr="006E7655">
              <w:rPr>
                <w:b/>
                <w:sz w:val="20"/>
                <w:szCs w:val="20"/>
              </w:rPr>
              <w:t>ISC</w:t>
            </w:r>
            <w:r w:rsidR="009244FA" w:rsidRPr="006E7655">
              <w:rPr>
                <w:sz w:val="20"/>
                <w:szCs w:val="20"/>
              </w:rPr>
              <w:br/>
              <w:t xml:space="preserve">(SC14-SA-WP-07) </w:t>
            </w:r>
          </w:p>
        </w:tc>
        <w:tc>
          <w:tcPr>
            <w:tcW w:w="519" w:type="pct"/>
            <w:tcBorders>
              <w:top w:val="nil"/>
              <w:left w:val="nil"/>
              <w:bottom w:val="single" w:sz="4" w:space="0" w:color="auto"/>
              <w:right w:val="single" w:sz="4" w:space="0" w:color="auto"/>
            </w:tcBorders>
            <w:shd w:val="clear" w:color="000000" w:fill="D9D9D9"/>
            <w:vAlign w:val="center"/>
            <w:hideMark/>
          </w:tcPr>
          <w:p w14:paraId="5D38FC0C" w14:textId="77777777" w:rsidR="009244FA" w:rsidRPr="006E7655" w:rsidRDefault="009244FA" w:rsidP="006633A8">
            <w:pPr>
              <w:adjustRightInd w:val="0"/>
              <w:snapToGrid w:val="0"/>
              <w:jc w:val="center"/>
              <w:rPr>
                <w:sz w:val="20"/>
                <w:szCs w:val="20"/>
              </w:rPr>
            </w:pPr>
            <w:r w:rsidRPr="006E7655">
              <w:rPr>
                <w:sz w:val="20"/>
                <w:szCs w:val="20"/>
              </w:rPr>
              <w:t> </w:t>
            </w:r>
          </w:p>
        </w:tc>
        <w:tc>
          <w:tcPr>
            <w:tcW w:w="444" w:type="pct"/>
            <w:tcBorders>
              <w:top w:val="nil"/>
              <w:left w:val="nil"/>
              <w:bottom w:val="single" w:sz="4" w:space="0" w:color="auto"/>
              <w:right w:val="single" w:sz="4" w:space="0" w:color="auto"/>
            </w:tcBorders>
            <w:shd w:val="clear" w:color="000000" w:fill="D9D9D9"/>
            <w:vAlign w:val="center"/>
            <w:hideMark/>
          </w:tcPr>
          <w:p w14:paraId="6E2A52B7" w14:textId="77777777" w:rsidR="009244FA" w:rsidRPr="006E7655" w:rsidRDefault="009244FA" w:rsidP="006633A8">
            <w:pPr>
              <w:adjustRightInd w:val="0"/>
              <w:snapToGrid w:val="0"/>
              <w:jc w:val="center"/>
              <w:rPr>
                <w:sz w:val="20"/>
                <w:szCs w:val="20"/>
              </w:rPr>
            </w:pPr>
            <w:r w:rsidRPr="006E7655">
              <w:rPr>
                <w:sz w:val="20"/>
                <w:szCs w:val="20"/>
              </w:rPr>
              <w:t> </w:t>
            </w:r>
          </w:p>
        </w:tc>
        <w:tc>
          <w:tcPr>
            <w:tcW w:w="482" w:type="pct"/>
            <w:tcBorders>
              <w:top w:val="nil"/>
              <w:left w:val="nil"/>
              <w:bottom w:val="single" w:sz="4" w:space="0" w:color="auto"/>
              <w:right w:val="single" w:sz="4" w:space="0" w:color="auto"/>
            </w:tcBorders>
            <w:shd w:val="clear" w:color="000000" w:fill="D9D9D9"/>
            <w:vAlign w:val="center"/>
            <w:hideMark/>
          </w:tcPr>
          <w:p w14:paraId="68B42812" w14:textId="77777777" w:rsidR="009244FA" w:rsidRPr="006E7655" w:rsidRDefault="009244FA" w:rsidP="006633A8">
            <w:pPr>
              <w:adjustRightInd w:val="0"/>
              <w:snapToGrid w:val="0"/>
              <w:jc w:val="center"/>
              <w:rPr>
                <w:sz w:val="20"/>
                <w:szCs w:val="20"/>
              </w:rPr>
            </w:pPr>
            <w:r w:rsidRPr="006E7655">
              <w:rPr>
                <w:sz w:val="20"/>
                <w:szCs w:val="20"/>
              </w:rPr>
              <w:t> </w:t>
            </w:r>
          </w:p>
        </w:tc>
        <w:tc>
          <w:tcPr>
            <w:tcW w:w="467" w:type="pct"/>
            <w:tcBorders>
              <w:top w:val="nil"/>
              <w:left w:val="nil"/>
              <w:bottom w:val="single" w:sz="4" w:space="0" w:color="auto"/>
              <w:right w:val="single" w:sz="4" w:space="0" w:color="auto"/>
            </w:tcBorders>
            <w:shd w:val="clear" w:color="000000" w:fill="D9D9D9"/>
            <w:vAlign w:val="center"/>
            <w:hideMark/>
          </w:tcPr>
          <w:p w14:paraId="62722276" w14:textId="77777777" w:rsidR="009244FA" w:rsidRPr="006E7655" w:rsidRDefault="009244FA" w:rsidP="006633A8">
            <w:pPr>
              <w:adjustRightInd w:val="0"/>
              <w:snapToGrid w:val="0"/>
              <w:jc w:val="center"/>
              <w:rPr>
                <w:sz w:val="20"/>
                <w:szCs w:val="20"/>
              </w:rPr>
            </w:pPr>
            <w:r w:rsidRPr="006E7655">
              <w:rPr>
                <w:sz w:val="20"/>
                <w:szCs w:val="20"/>
              </w:rPr>
              <w:t> </w:t>
            </w:r>
          </w:p>
        </w:tc>
        <w:tc>
          <w:tcPr>
            <w:tcW w:w="613" w:type="pct"/>
            <w:tcBorders>
              <w:top w:val="nil"/>
              <w:left w:val="nil"/>
              <w:bottom w:val="single" w:sz="4" w:space="0" w:color="auto"/>
              <w:right w:val="single" w:sz="4" w:space="0" w:color="auto"/>
            </w:tcBorders>
            <w:shd w:val="clear" w:color="000000" w:fill="D9D9D9"/>
            <w:vAlign w:val="center"/>
            <w:hideMark/>
          </w:tcPr>
          <w:p w14:paraId="4FA10699" w14:textId="77777777" w:rsidR="009244FA" w:rsidRPr="006E7655" w:rsidRDefault="000B096E" w:rsidP="006633A8">
            <w:pPr>
              <w:adjustRightInd w:val="0"/>
              <w:snapToGrid w:val="0"/>
              <w:rPr>
                <w:sz w:val="20"/>
                <w:szCs w:val="20"/>
              </w:rPr>
            </w:pPr>
            <w:r w:rsidRPr="006E7655">
              <w:rPr>
                <w:sz w:val="20"/>
                <w:szCs w:val="20"/>
              </w:rPr>
              <w:t>To be confirmed by ISC</w:t>
            </w:r>
          </w:p>
        </w:tc>
      </w:tr>
    </w:tbl>
    <w:p w14:paraId="26514F9E" w14:textId="77777777" w:rsidR="009244FA" w:rsidRPr="004635E5" w:rsidRDefault="009244FA" w:rsidP="006633A8">
      <w:pPr>
        <w:adjustRightInd w:val="0"/>
        <w:snapToGrid w:val="0"/>
        <w:rPr>
          <w:rFonts w:eastAsiaTheme="minorEastAsia"/>
          <w:sz w:val="22"/>
          <w:szCs w:val="22"/>
          <w:highlight w:val="yellow"/>
          <w:lang w:val="en-NZ" w:eastAsia="ko-KR"/>
        </w:rPr>
      </w:pPr>
    </w:p>
    <w:p w14:paraId="18682243" w14:textId="77777777" w:rsidR="002D074D" w:rsidRPr="004635E5" w:rsidRDefault="002D074D" w:rsidP="006633A8">
      <w:pPr>
        <w:pStyle w:val="Heading1"/>
        <w:numPr>
          <w:ilvl w:val="0"/>
          <w:numId w:val="0"/>
        </w:numPr>
        <w:adjustRightInd w:val="0"/>
        <w:snapToGrid w:val="0"/>
        <w:spacing w:after="0"/>
        <w:ind w:left="360"/>
        <w:rPr>
          <w:lang w:eastAsia="ko-KR"/>
        </w:rPr>
      </w:pPr>
    </w:p>
    <w:p w14:paraId="6DF73137" w14:textId="77777777" w:rsidR="00E41D57" w:rsidRPr="004635E5" w:rsidRDefault="000B096E" w:rsidP="006633A8">
      <w:pPr>
        <w:pStyle w:val="Heading1"/>
        <w:numPr>
          <w:ilvl w:val="0"/>
          <w:numId w:val="0"/>
        </w:numPr>
        <w:adjustRightInd w:val="0"/>
        <w:snapToGrid w:val="0"/>
        <w:spacing w:after="0"/>
        <w:ind w:left="360"/>
      </w:pPr>
      <w:r w:rsidRPr="004635E5">
        <w:t xml:space="preserve">AGENDA ITEM 11 </w:t>
      </w:r>
      <w:r w:rsidR="00A15147" w:rsidRPr="004635E5">
        <w:t xml:space="preserve">— </w:t>
      </w:r>
      <w:r w:rsidR="00A83306" w:rsidRPr="004635E5">
        <w:t>ADMINISTRATIVE MATTERS</w:t>
      </w:r>
    </w:p>
    <w:p w14:paraId="3F27F2C2" w14:textId="57337F1C" w:rsidR="00A83306" w:rsidRPr="004635E5" w:rsidRDefault="00472973" w:rsidP="006633A8">
      <w:pPr>
        <w:pStyle w:val="Heading1"/>
        <w:numPr>
          <w:ilvl w:val="0"/>
          <w:numId w:val="0"/>
        </w:numPr>
        <w:adjustRightInd w:val="0"/>
        <w:snapToGrid w:val="0"/>
        <w:spacing w:after="0"/>
        <w:ind w:left="360"/>
      </w:pPr>
      <w:r w:rsidRPr="004635E5">
        <w:fldChar w:fldCharType="begin"/>
      </w:r>
      <w:r w:rsidR="0035399F" w:rsidRPr="004635E5">
        <w:instrText xml:space="preserve"> TC "</w:instrText>
      </w:r>
      <w:bookmarkStart w:id="133" w:name="_Toc522810371"/>
      <w:bookmarkStart w:id="134" w:name="_Toc16418025"/>
      <w:r w:rsidR="0035399F" w:rsidRPr="004635E5">
        <w:instrText>AGENDA ITEM 11 — ADMINISTRATIVE MATTERS</w:instrText>
      </w:r>
      <w:bookmarkEnd w:id="133"/>
      <w:bookmarkEnd w:id="134"/>
      <w:r w:rsidR="0035399F" w:rsidRPr="004635E5">
        <w:instrText xml:space="preserve">" \f C \l "1" </w:instrText>
      </w:r>
      <w:r w:rsidRPr="004635E5">
        <w:fldChar w:fldCharType="end"/>
      </w:r>
    </w:p>
    <w:p w14:paraId="7A98C5FA" w14:textId="77777777" w:rsidR="00A15147" w:rsidRPr="004635E5" w:rsidRDefault="00A15147" w:rsidP="00580EA4">
      <w:pPr>
        <w:pStyle w:val="ListParagraph"/>
        <w:numPr>
          <w:ilvl w:val="0"/>
          <w:numId w:val="161"/>
        </w:numPr>
        <w:adjustRightInd w:val="0"/>
        <w:snapToGrid w:val="0"/>
        <w:jc w:val="both"/>
        <w:rPr>
          <w:b/>
          <w:vanish/>
          <w:sz w:val="22"/>
          <w:szCs w:val="22"/>
          <w:lang w:val="en-NZ"/>
        </w:rPr>
      </w:pPr>
    </w:p>
    <w:p w14:paraId="51F00F4A" w14:textId="77777777" w:rsidR="00A83306" w:rsidRPr="004635E5" w:rsidRDefault="00A83306" w:rsidP="00580EA4">
      <w:pPr>
        <w:pStyle w:val="SC2"/>
        <w:numPr>
          <w:ilvl w:val="1"/>
          <w:numId w:val="161"/>
        </w:numPr>
        <w:spacing w:after="0"/>
      </w:pPr>
      <w:r w:rsidRPr="004635E5">
        <w:t>Future operation of the Scientific Committee</w:t>
      </w:r>
      <w:r w:rsidR="00AC4C8D" w:rsidRPr="004635E5">
        <w:t xml:space="preserve"> </w:t>
      </w:r>
    </w:p>
    <w:p w14:paraId="01877350" w14:textId="77777777" w:rsidR="00E41D57" w:rsidRPr="004635E5" w:rsidRDefault="00E41D57" w:rsidP="006633A8">
      <w:pPr>
        <w:pStyle w:val="SC2"/>
        <w:numPr>
          <w:ilvl w:val="0"/>
          <w:numId w:val="0"/>
        </w:numPr>
        <w:spacing w:after="0"/>
        <w:ind w:left="720"/>
      </w:pPr>
    </w:p>
    <w:p w14:paraId="445F66FB" w14:textId="77777777" w:rsidR="00F17BC4" w:rsidRPr="004635E5" w:rsidRDefault="002E39E9" w:rsidP="00580EA4">
      <w:pPr>
        <w:numPr>
          <w:ilvl w:val="0"/>
          <w:numId w:val="18"/>
        </w:numPr>
        <w:autoSpaceDE w:val="0"/>
        <w:autoSpaceDN w:val="0"/>
        <w:adjustRightInd w:val="0"/>
        <w:snapToGrid w:val="0"/>
        <w:ind w:left="0" w:firstLine="0"/>
        <w:jc w:val="both"/>
        <w:rPr>
          <w:color w:val="222222"/>
          <w:sz w:val="22"/>
          <w:szCs w:val="22"/>
        </w:rPr>
      </w:pPr>
      <w:r w:rsidRPr="004635E5">
        <w:rPr>
          <w:color w:val="222222"/>
          <w:sz w:val="22"/>
          <w:szCs w:val="22"/>
          <w:lang w:val="en-AU"/>
        </w:rPr>
        <w:t>New Zealand</w:t>
      </w:r>
      <w:r w:rsidR="00322D6A" w:rsidRPr="004635E5">
        <w:rPr>
          <w:color w:val="222222"/>
          <w:sz w:val="22"/>
          <w:szCs w:val="22"/>
          <w:lang w:val="en-AU"/>
        </w:rPr>
        <w:t>, o</w:t>
      </w:r>
      <w:r w:rsidR="00F17BC4" w:rsidRPr="004635E5">
        <w:rPr>
          <w:color w:val="222222"/>
          <w:sz w:val="22"/>
          <w:szCs w:val="22"/>
          <w:lang w:val="en-AU"/>
        </w:rPr>
        <w:t xml:space="preserve">n behalf of FFA </w:t>
      </w:r>
      <w:r w:rsidR="00BA4705" w:rsidRPr="004635E5">
        <w:rPr>
          <w:color w:val="222222"/>
          <w:sz w:val="22"/>
          <w:szCs w:val="22"/>
          <w:lang w:val="en-AU"/>
        </w:rPr>
        <w:t xml:space="preserve">made the following </w:t>
      </w:r>
      <w:r w:rsidR="00F17BC4" w:rsidRPr="004635E5">
        <w:rPr>
          <w:color w:val="222222"/>
          <w:sz w:val="22"/>
          <w:szCs w:val="22"/>
          <w:lang w:val="en-AU"/>
        </w:rPr>
        <w:t>comments on the management of the SC</w:t>
      </w:r>
      <w:r w:rsidR="00A16680" w:rsidRPr="004635E5">
        <w:rPr>
          <w:color w:val="222222"/>
          <w:sz w:val="22"/>
          <w:szCs w:val="22"/>
          <w:lang w:val="en-AU"/>
        </w:rPr>
        <w:t xml:space="preserve">. </w:t>
      </w:r>
      <w:r w:rsidR="00F17BC4" w:rsidRPr="004635E5">
        <w:rPr>
          <w:color w:val="222222"/>
          <w:sz w:val="22"/>
          <w:szCs w:val="22"/>
          <w:lang w:val="en-AU"/>
        </w:rPr>
        <w:t>As we all know, this meeting is a fairly lengthy one, and has a substantial volume of material to consider. Several years ago the SC was restructured, which has helped to streamline its functions and focus how it undertakes its work. However, we continue to look for ways in which this can be improved</w:t>
      </w:r>
      <w:r w:rsidR="00A16680" w:rsidRPr="004635E5">
        <w:rPr>
          <w:color w:val="222222"/>
          <w:sz w:val="22"/>
          <w:szCs w:val="22"/>
          <w:lang w:val="en-AU"/>
        </w:rPr>
        <w:t xml:space="preserve">. </w:t>
      </w:r>
      <w:r w:rsidR="00F17BC4" w:rsidRPr="004635E5">
        <w:rPr>
          <w:color w:val="222222"/>
          <w:sz w:val="22"/>
          <w:szCs w:val="22"/>
          <w:lang w:val="en-AU"/>
        </w:rPr>
        <w:t>This consideration is important given the volume of work over the next several years and the potential for the science management dialogue to be added on to the end of this meeting, making it even longer.</w:t>
      </w:r>
      <w:r w:rsidR="0049142C" w:rsidRPr="004635E5">
        <w:rPr>
          <w:color w:val="222222"/>
          <w:sz w:val="22"/>
          <w:szCs w:val="22"/>
        </w:rPr>
        <w:t xml:space="preserve"> </w:t>
      </w:r>
      <w:r w:rsidR="00F17BC4" w:rsidRPr="004635E5">
        <w:rPr>
          <w:color w:val="222222"/>
          <w:sz w:val="22"/>
          <w:szCs w:val="22"/>
          <w:lang w:val="en-AU"/>
        </w:rPr>
        <w:t xml:space="preserve">One area we consider needs to be addressed is the timeframe in which papers are submitted to the SC for consideration. There </w:t>
      </w:r>
      <w:r w:rsidR="00C6333E" w:rsidRPr="004635E5">
        <w:rPr>
          <w:color w:val="222222"/>
          <w:sz w:val="22"/>
          <w:szCs w:val="22"/>
          <w:lang w:val="en-AU"/>
        </w:rPr>
        <w:t>are</w:t>
      </w:r>
      <w:r w:rsidR="00F17BC4" w:rsidRPr="004635E5">
        <w:rPr>
          <w:color w:val="222222"/>
          <w:sz w:val="22"/>
          <w:szCs w:val="22"/>
          <w:lang w:val="en-AU"/>
        </w:rPr>
        <w:t xml:space="preserve"> a significant number of papers to digest before the SC can develop recommendations and advice to the Commission. The provision of papers 2 weeks prior to the meeting provides insufficient notice and we suggest that the Committee look to conditionally extending this deadline.</w:t>
      </w:r>
      <w:r w:rsidR="0049142C" w:rsidRPr="004635E5">
        <w:rPr>
          <w:color w:val="222222"/>
          <w:sz w:val="22"/>
          <w:szCs w:val="22"/>
        </w:rPr>
        <w:t xml:space="preserve"> </w:t>
      </w:r>
      <w:r w:rsidR="00F17BC4" w:rsidRPr="004635E5">
        <w:rPr>
          <w:color w:val="222222"/>
          <w:sz w:val="22"/>
          <w:szCs w:val="22"/>
          <w:lang w:val="en-AU"/>
        </w:rPr>
        <w:t>We fully appreciate that seeking an earlier paper submission date may prove difficult for some papers from the scientific services provider, given the existing deadlines for provision of data, but consider that for other contributors papers should be provided at least 1 month in advance of the SC</w:t>
      </w:r>
      <w:r w:rsidR="00A16680" w:rsidRPr="004635E5">
        <w:rPr>
          <w:color w:val="222222"/>
          <w:sz w:val="22"/>
          <w:szCs w:val="22"/>
          <w:lang w:val="en-AU"/>
        </w:rPr>
        <w:t xml:space="preserve">. </w:t>
      </w:r>
      <w:r w:rsidR="00F17BC4" w:rsidRPr="004635E5">
        <w:rPr>
          <w:color w:val="222222"/>
          <w:sz w:val="22"/>
          <w:szCs w:val="22"/>
          <w:lang w:val="en-AU"/>
        </w:rPr>
        <w:t>Alternatively a stricter application of deadlines for paper submission could also be considered.</w:t>
      </w:r>
    </w:p>
    <w:p w14:paraId="1AFE7764" w14:textId="77777777" w:rsidR="00F17BC4" w:rsidRPr="004635E5" w:rsidRDefault="00F17BC4" w:rsidP="006633A8">
      <w:pPr>
        <w:autoSpaceDE w:val="0"/>
        <w:autoSpaceDN w:val="0"/>
        <w:adjustRightInd w:val="0"/>
        <w:snapToGrid w:val="0"/>
        <w:jc w:val="both"/>
        <w:rPr>
          <w:color w:val="222222"/>
          <w:sz w:val="22"/>
          <w:szCs w:val="22"/>
          <w:lang w:val="en-AU"/>
        </w:rPr>
      </w:pPr>
      <w:r w:rsidRPr="004635E5">
        <w:rPr>
          <w:color w:val="222222"/>
          <w:sz w:val="22"/>
          <w:szCs w:val="22"/>
          <w:lang w:val="en-AU"/>
        </w:rPr>
        <w:t> </w:t>
      </w:r>
    </w:p>
    <w:p w14:paraId="2F36EBDB" w14:textId="77777777" w:rsidR="00BA4705" w:rsidRPr="004635E5" w:rsidRDefault="00F17BC4" w:rsidP="00580EA4">
      <w:pPr>
        <w:numPr>
          <w:ilvl w:val="0"/>
          <w:numId w:val="18"/>
        </w:numPr>
        <w:autoSpaceDE w:val="0"/>
        <w:autoSpaceDN w:val="0"/>
        <w:adjustRightInd w:val="0"/>
        <w:snapToGrid w:val="0"/>
        <w:ind w:left="0" w:firstLine="0"/>
        <w:jc w:val="both"/>
        <w:rPr>
          <w:color w:val="222222"/>
          <w:sz w:val="22"/>
          <w:szCs w:val="22"/>
          <w:lang w:val="en-AU"/>
        </w:rPr>
      </w:pPr>
      <w:r w:rsidRPr="004635E5">
        <w:rPr>
          <w:color w:val="222222"/>
          <w:sz w:val="22"/>
          <w:szCs w:val="22"/>
          <w:lang w:val="en-AU"/>
        </w:rPr>
        <w:t>Finally Chair, we see progress on harvest strategies as essential to the long term health of tuna stocks and of our fisheries</w:t>
      </w:r>
      <w:r w:rsidR="00A16680" w:rsidRPr="004635E5">
        <w:rPr>
          <w:color w:val="222222"/>
          <w:sz w:val="22"/>
          <w:szCs w:val="22"/>
          <w:lang w:val="en-AU"/>
        </w:rPr>
        <w:t xml:space="preserve">. </w:t>
      </w:r>
      <w:r w:rsidRPr="004635E5">
        <w:rPr>
          <w:color w:val="222222"/>
          <w:sz w:val="22"/>
          <w:szCs w:val="22"/>
          <w:lang w:val="en-AU"/>
        </w:rPr>
        <w:t>To make progress we consider the science management dialogue to be critical but recognize that adding days to an already long meeting is difficult</w:t>
      </w:r>
      <w:r w:rsidR="00A16680" w:rsidRPr="004635E5">
        <w:rPr>
          <w:color w:val="222222"/>
          <w:sz w:val="22"/>
          <w:szCs w:val="22"/>
          <w:lang w:val="en-AU"/>
        </w:rPr>
        <w:t xml:space="preserve">. </w:t>
      </w:r>
      <w:r w:rsidRPr="004635E5">
        <w:rPr>
          <w:color w:val="222222"/>
          <w:sz w:val="22"/>
          <w:szCs w:val="22"/>
          <w:lang w:val="en-AU"/>
        </w:rPr>
        <w:t>Therefore, to make the total number of days more manageable we suggest the SC agenda for next year be looked at critically and suggest that the number of items considered under the EB theme be shortened to help manage the total number of days next year</w:t>
      </w:r>
    </w:p>
    <w:p w14:paraId="6902F0B2" w14:textId="77777777" w:rsidR="00BA4705" w:rsidRPr="004635E5" w:rsidRDefault="00BA4705" w:rsidP="006633A8">
      <w:pPr>
        <w:autoSpaceDE w:val="0"/>
        <w:autoSpaceDN w:val="0"/>
        <w:adjustRightInd w:val="0"/>
        <w:snapToGrid w:val="0"/>
        <w:jc w:val="both"/>
        <w:rPr>
          <w:color w:val="222222"/>
          <w:sz w:val="22"/>
          <w:szCs w:val="22"/>
          <w:lang w:val="en-AU"/>
        </w:rPr>
      </w:pPr>
    </w:p>
    <w:p w14:paraId="30D8C916" w14:textId="77777777" w:rsidR="00BA4705" w:rsidRPr="004635E5" w:rsidRDefault="002A2E88" w:rsidP="00580EA4">
      <w:pPr>
        <w:numPr>
          <w:ilvl w:val="0"/>
          <w:numId w:val="18"/>
        </w:numPr>
        <w:autoSpaceDE w:val="0"/>
        <w:autoSpaceDN w:val="0"/>
        <w:adjustRightInd w:val="0"/>
        <w:snapToGrid w:val="0"/>
        <w:ind w:left="0" w:firstLine="0"/>
        <w:jc w:val="both"/>
        <w:rPr>
          <w:color w:val="222222"/>
          <w:sz w:val="22"/>
          <w:szCs w:val="22"/>
          <w:lang w:val="en-AU"/>
        </w:rPr>
      </w:pPr>
      <w:r w:rsidRPr="004635E5">
        <w:rPr>
          <w:rFonts w:eastAsiaTheme="minorEastAsia"/>
          <w:sz w:val="22"/>
          <w:szCs w:val="22"/>
          <w:lang w:val="en-NZ" w:eastAsia="ko-KR"/>
        </w:rPr>
        <w:t xml:space="preserve">The </w:t>
      </w:r>
      <w:r w:rsidR="00FA2B00" w:rsidRPr="004635E5">
        <w:rPr>
          <w:rFonts w:eastAsiaTheme="minorEastAsia"/>
          <w:sz w:val="22"/>
          <w:szCs w:val="22"/>
          <w:lang w:val="en-NZ" w:eastAsia="ko-KR"/>
        </w:rPr>
        <w:t xml:space="preserve">EU </w:t>
      </w:r>
      <w:r w:rsidRPr="004635E5">
        <w:rPr>
          <w:rFonts w:eastAsiaTheme="minorEastAsia"/>
          <w:sz w:val="22"/>
          <w:szCs w:val="22"/>
          <w:lang w:val="en-NZ" w:eastAsia="ko-KR"/>
        </w:rPr>
        <w:t>stated they were broadl</w:t>
      </w:r>
      <w:r w:rsidR="00FA2B00" w:rsidRPr="004635E5">
        <w:rPr>
          <w:rFonts w:eastAsiaTheme="minorEastAsia"/>
          <w:sz w:val="22"/>
          <w:szCs w:val="22"/>
          <w:lang w:val="en-NZ" w:eastAsia="ko-KR"/>
        </w:rPr>
        <w:t xml:space="preserve">y supportive of </w:t>
      </w:r>
      <w:r w:rsidR="00CE707C" w:rsidRPr="004635E5">
        <w:rPr>
          <w:rFonts w:eastAsiaTheme="minorEastAsia"/>
          <w:sz w:val="22"/>
          <w:szCs w:val="22"/>
          <w:lang w:val="en-NZ" w:eastAsia="ko-KR"/>
        </w:rPr>
        <w:t>the proposal to submit papers more than 2 weeks</w:t>
      </w:r>
      <w:r w:rsidR="00FA2B00" w:rsidRPr="004635E5">
        <w:rPr>
          <w:rFonts w:eastAsiaTheme="minorEastAsia"/>
          <w:sz w:val="22"/>
          <w:szCs w:val="22"/>
          <w:lang w:val="en-NZ" w:eastAsia="ko-KR"/>
        </w:rPr>
        <w:t xml:space="preserve"> ahead of </w:t>
      </w:r>
      <w:r w:rsidR="00CE707C" w:rsidRPr="004635E5">
        <w:rPr>
          <w:rFonts w:eastAsiaTheme="minorEastAsia"/>
          <w:sz w:val="22"/>
          <w:szCs w:val="22"/>
          <w:lang w:val="en-NZ" w:eastAsia="ko-KR"/>
        </w:rPr>
        <w:t xml:space="preserve">the meeting, and Japan also expressed support. </w:t>
      </w:r>
    </w:p>
    <w:p w14:paraId="07A72477" w14:textId="77777777" w:rsidR="00BA4705" w:rsidRPr="004635E5" w:rsidRDefault="00BA4705" w:rsidP="006633A8">
      <w:pPr>
        <w:autoSpaceDE w:val="0"/>
        <w:autoSpaceDN w:val="0"/>
        <w:adjustRightInd w:val="0"/>
        <w:snapToGrid w:val="0"/>
        <w:jc w:val="both"/>
        <w:rPr>
          <w:color w:val="222222"/>
          <w:sz w:val="22"/>
          <w:szCs w:val="22"/>
          <w:lang w:val="en-AU"/>
        </w:rPr>
      </w:pPr>
    </w:p>
    <w:p w14:paraId="322EAA0B" w14:textId="77777777" w:rsidR="000B7D69" w:rsidRPr="004635E5" w:rsidRDefault="00CE707C"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The Ecosystem and Bycatch </w:t>
      </w:r>
      <w:r w:rsidR="002E39E9" w:rsidRPr="004635E5">
        <w:rPr>
          <w:rFonts w:eastAsiaTheme="minorEastAsia"/>
          <w:sz w:val="22"/>
          <w:szCs w:val="22"/>
          <w:lang w:val="en-NZ" w:eastAsia="ko-KR"/>
        </w:rPr>
        <w:t xml:space="preserve">theme convener </w:t>
      </w:r>
      <w:r w:rsidRPr="004635E5">
        <w:rPr>
          <w:rFonts w:eastAsiaTheme="minorEastAsia"/>
          <w:sz w:val="22"/>
          <w:szCs w:val="22"/>
          <w:lang w:val="en-NZ" w:eastAsia="ko-KR"/>
        </w:rPr>
        <w:t xml:space="preserve">noted that the </w:t>
      </w:r>
      <w:r w:rsidR="00FA2B00" w:rsidRPr="004635E5">
        <w:rPr>
          <w:rFonts w:eastAsiaTheme="minorEastAsia"/>
          <w:sz w:val="22"/>
          <w:szCs w:val="22"/>
          <w:lang w:val="en-NZ" w:eastAsia="ko-KR"/>
        </w:rPr>
        <w:t xml:space="preserve">draft agenda </w:t>
      </w:r>
      <w:r w:rsidRPr="004635E5">
        <w:rPr>
          <w:rFonts w:eastAsiaTheme="minorEastAsia"/>
          <w:sz w:val="22"/>
          <w:szCs w:val="22"/>
          <w:lang w:val="en-NZ" w:eastAsia="ko-KR"/>
        </w:rPr>
        <w:t xml:space="preserve">they received </w:t>
      </w:r>
      <w:r w:rsidR="00FA2B00" w:rsidRPr="004635E5">
        <w:rPr>
          <w:rFonts w:eastAsiaTheme="minorEastAsia"/>
          <w:sz w:val="22"/>
          <w:szCs w:val="22"/>
          <w:lang w:val="en-NZ" w:eastAsia="ko-KR"/>
        </w:rPr>
        <w:t xml:space="preserve">from </w:t>
      </w:r>
      <w:r w:rsidRPr="004635E5">
        <w:rPr>
          <w:rFonts w:eastAsiaTheme="minorEastAsia"/>
          <w:sz w:val="22"/>
          <w:szCs w:val="22"/>
          <w:lang w:val="en-NZ" w:eastAsia="ko-KR"/>
        </w:rPr>
        <w:t xml:space="preserve">the Secretariat included </w:t>
      </w:r>
      <w:r w:rsidR="00FA2B00" w:rsidRPr="004635E5">
        <w:rPr>
          <w:rFonts w:eastAsiaTheme="minorEastAsia"/>
          <w:sz w:val="22"/>
          <w:szCs w:val="22"/>
          <w:lang w:val="en-NZ" w:eastAsia="ko-KR"/>
        </w:rPr>
        <w:t xml:space="preserve">90 issues </w:t>
      </w:r>
      <w:r w:rsidRPr="004635E5">
        <w:rPr>
          <w:rFonts w:eastAsiaTheme="minorEastAsia"/>
          <w:sz w:val="22"/>
          <w:szCs w:val="22"/>
          <w:lang w:val="en-NZ" w:eastAsia="ko-KR"/>
        </w:rPr>
        <w:t>with directions from the Commission that SC “</w:t>
      </w:r>
      <w:r w:rsidR="00FA2B00" w:rsidRPr="004635E5">
        <w:rPr>
          <w:rFonts w:eastAsiaTheme="minorEastAsia"/>
          <w:sz w:val="22"/>
          <w:szCs w:val="22"/>
          <w:lang w:val="en-NZ" w:eastAsia="ko-KR"/>
        </w:rPr>
        <w:t>shall or will consider</w:t>
      </w:r>
      <w:r w:rsidRPr="004635E5">
        <w:rPr>
          <w:rFonts w:eastAsiaTheme="minorEastAsia"/>
          <w:sz w:val="22"/>
          <w:szCs w:val="22"/>
          <w:lang w:val="en-NZ" w:eastAsia="ko-KR"/>
        </w:rPr>
        <w:t xml:space="preserve">” those topics, </w:t>
      </w:r>
      <w:r w:rsidR="00FA2B00" w:rsidRPr="004635E5">
        <w:rPr>
          <w:rFonts w:eastAsiaTheme="minorEastAsia"/>
          <w:sz w:val="22"/>
          <w:szCs w:val="22"/>
          <w:lang w:val="en-NZ" w:eastAsia="ko-KR"/>
        </w:rPr>
        <w:t xml:space="preserve">and 19 </w:t>
      </w:r>
      <w:r w:rsidRPr="004635E5">
        <w:rPr>
          <w:rFonts w:eastAsiaTheme="minorEastAsia"/>
          <w:sz w:val="22"/>
          <w:szCs w:val="22"/>
          <w:lang w:val="en-NZ" w:eastAsia="ko-KR"/>
        </w:rPr>
        <w:t xml:space="preserve">that it “may” </w:t>
      </w:r>
      <w:r w:rsidR="00FA2B00" w:rsidRPr="004635E5">
        <w:rPr>
          <w:rFonts w:eastAsiaTheme="minorEastAsia"/>
          <w:sz w:val="22"/>
          <w:szCs w:val="22"/>
          <w:lang w:val="en-NZ" w:eastAsia="ko-KR"/>
        </w:rPr>
        <w:t xml:space="preserve">consider </w:t>
      </w:r>
      <w:r w:rsidRPr="004635E5">
        <w:rPr>
          <w:rFonts w:eastAsiaTheme="minorEastAsia"/>
          <w:sz w:val="22"/>
          <w:szCs w:val="22"/>
          <w:lang w:val="en-NZ" w:eastAsia="ko-KR"/>
        </w:rPr>
        <w:t xml:space="preserve">them; thus </w:t>
      </w:r>
      <w:r w:rsidR="00FA2B00" w:rsidRPr="004635E5">
        <w:rPr>
          <w:rFonts w:eastAsiaTheme="minorEastAsia"/>
          <w:sz w:val="22"/>
          <w:szCs w:val="22"/>
          <w:lang w:val="en-NZ" w:eastAsia="ko-KR"/>
        </w:rPr>
        <w:t>over 100 diff</w:t>
      </w:r>
      <w:r w:rsidRPr="004635E5">
        <w:rPr>
          <w:rFonts w:eastAsiaTheme="minorEastAsia"/>
          <w:sz w:val="22"/>
          <w:szCs w:val="22"/>
          <w:lang w:val="en-NZ" w:eastAsia="ko-KR"/>
        </w:rPr>
        <w:t>erent</w:t>
      </w:r>
      <w:r w:rsidR="00FA2B00" w:rsidRPr="004635E5">
        <w:rPr>
          <w:rFonts w:eastAsiaTheme="minorEastAsia"/>
          <w:sz w:val="22"/>
          <w:szCs w:val="22"/>
          <w:lang w:val="en-NZ" w:eastAsia="ko-KR"/>
        </w:rPr>
        <w:t xml:space="preserve"> requests. </w:t>
      </w:r>
      <w:r w:rsidRPr="004635E5">
        <w:rPr>
          <w:rFonts w:eastAsiaTheme="minorEastAsia"/>
          <w:sz w:val="22"/>
          <w:szCs w:val="22"/>
          <w:lang w:val="en-NZ" w:eastAsia="ko-KR"/>
        </w:rPr>
        <w:t xml:space="preserve">The </w:t>
      </w:r>
      <w:r w:rsidR="002E39E9" w:rsidRPr="004635E5">
        <w:rPr>
          <w:rFonts w:eastAsiaTheme="minorEastAsia"/>
          <w:sz w:val="22"/>
          <w:szCs w:val="22"/>
          <w:lang w:val="en-NZ" w:eastAsia="ko-KR"/>
        </w:rPr>
        <w:t>theme convener</w:t>
      </w:r>
      <w:r w:rsidRPr="004635E5">
        <w:rPr>
          <w:rFonts w:eastAsiaTheme="minorEastAsia"/>
          <w:sz w:val="22"/>
          <w:szCs w:val="22"/>
          <w:lang w:val="en-NZ" w:eastAsia="ko-KR"/>
        </w:rPr>
        <w:t xml:space="preserve"> suggested reviewing the issue with the C</w:t>
      </w:r>
      <w:r w:rsidR="00FA2B00" w:rsidRPr="004635E5">
        <w:rPr>
          <w:rFonts w:eastAsiaTheme="minorEastAsia"/>
          <w:sz w:val="22"/>
          <w:szCs w:val="22"/>
          <w:lang w:val="en-NZ" w:eastAsia="ko-KR"/>
        </w:rPr>
        <w:t>omm</w:t>
      </w:r>
      <w:r w:rsidRPr="004635E5">
        <w:rPr>
          <w:rFonts w:eastAsiaTheme="minorEastAsia"/>
          <w:sz w:val="22"/>
          <w:szCs w:val="22"/>
          <w:lang w:val="en-NZ" w:eastAsia="ko-KR"/>
        </w:rPr>
        <w:t xml:space="preserve">ission </w:t>
      </w:r>
      <w:r w:rsidR="00FA2B00" w:rsidRPr="004635E5">
        <w:rPr>
          <w:rFonts w:eastAsiaTheme="minorEastAsia"/>
          <w:sz w:val="22"/>
          <w:szCs w:val="22"/>
          <w:lang w:val="en-NZ" w:eastAsia="ko-KR"/>
        </w:rPr>
        <w:t>a v</w:t>
      </w:r>
      <w:r w:rsidRPr="004635E5">
        <w:rPr>
          <w:rFonts w:eastAsiaTheme="minorEastAsia"/>
          <w:sz w:val="22"/>
          <w:szCs w:val="22"/>
          <w:lang w:val="en-NZ" w:eastAsia="ko-KR"/>
        </w:rPr>
        <w:t>i</w:t>
      </w:r>
      <w:r w:rsidR="00FA2B00" w:rsidRPr="004635E5">
        <w:rPr>
          <w:rFonts w:eastAsiaTheme="minorEastAsia"/>
          <w:sz w:val="22"/>
          <w:szCs w:val="22"/>
          <w:lang w:val="en-NZ" w:eastAsia="ko-KR"/>
        </w:rPr>
        <w:t>ew to ra</w:t>
      </w:r>
      <w:r w:rsidRPr="004635E5">
        <w:rPr>
          <w:rFonts w:eastAsiaTheme="minorEastAsia"/>
          <w:sz w:val="22"/>
          <w:szCs w:val="22"/>
          <w:lang w:val="en-NZ" w:eastAsia="ko-KR"/>
        </w:rPr>
        <w:t>t</w:t>
      </w:r>
      <w:r w:rsidR="00FA2B00" w:rsidRPr="004635E5">
        <w:rPr>
          <w:rFonts w:eastAsiaTheme="minorEastAsia"/>
          <w:sz w:val="22"/>
          <w:szCs w:val="22"/>
          <w:lang w:val="en-NZ" w:eastAsia="ko-KR"/>
        </w:rPr>
        <w:t xml:space="preserve">ionalizing </w:t>
      </w:r>
      <w:r w:rsidRPr="004635E5">
        <w:rPr>
          <w:rFonts w:eastAsiaTheme="minorEastAsia"/>
          <w:sz w:val="22"/>
          <w:szCs w:val="22"/>
          <w:lang w:val="en-NZ" w:eastAsia="ko-KR"/>
        </w:rPr>
        <w:t xml:space="preserve">the </w:t>
      </w:r>
      <w:r w:rsidR="00FA2B00" w:rsidRPr="004635E5">
        <w:rPr>
          <w:rFonts w:eastAsiaTheme="minorEastAsia"/>
          <w:sz w:val="22"/>
          <w:szCs w:val="22"/>
          <w:lang w:val="en-NZ" w:eastAsia="ko-KR"/>
        </w:rPr>
        <w:t xml:space="preserve">demands </w:t>
      </w:r>
      <w:r w:rsidRPr="004635E5">
        <w:rPr>
          <w:rFonts w:eastAsiaTheme="minorEastAsia"/>
          <w:sz w:val="22"/>
          <w:szCs w:val="22"/>
          <w:lang w:val="en-NZ" w:eastAsia="ko-KR"/>
        </w:rPr>
        <w:t xml:space="preserve">on the SC. </w:t>
      </w:r>
    </w:p>
    <w:p w14:paraId="433E4668" w14:textId="77777777" w:rsidR="00AA718F" w:rsidRDefault="00AA718F" w:rsidP="00FC3C6F">
      <w:pPr>
        <w:autoSpaceDE w:val="0"/>
        <w:autoSpaceDN w:val="0"/>
        <w:adjustRightInd w:val="0"/>
        <w:snapToGrid w:val="0"/>
        <w:jc w:val="both"/>
        <w:rPr>
          <w:rFonts w:eastAsiaTheme="minorEastAsia"/>
          <w:sz w:val="22"/>
          <w:szCs w:val="22"/>
          <w:lang w:val="en-NZ" w:eastAsia="ko-KR"/>
        </w:rPr>
      </w:pPr>
    </w:p>
    <w:p w14:paraId="471FD886" w14:textId="77777777" w:rsidR="00A15147" w:rsidRPr="004635E5" w:rsidRDefault="000B7D69"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 xml:space="preserve">New Zealand agreed to develop a proposal for consideration by </w:t>
      </w:r>
      <w:r w:rsidR="00FA2B00" w:rsidRPr="004635E5">
        <w:rPr>
          <w:rFonts w:eastAsiaTheme="minorEastAsia"/>
          <w:sz w:val="22"/>
          <w:szCs w:val="22"/>
          <w:lang w:val="en-NZ" w:eastAsia="ko-KR"/>
        </w:rPr>
        <w:t>SC</w:t>
      </w:r>
      <w:r w:rsidRPr="004635E5">
        <w:rPr>
          <w:rFonts w:eastAsiaTheme="minorEastAsia"/>
          <w:sz w:val="22"/>
          <w:szCs w:val="22"/>
          <w:lang w:val="en-NZ" w:eastAsia="ko-KR"/>
        </w:rPr>
        <w:t>15</w:t>
      </w:r>
      <w:r w:rsidR="00FA2B00" w:rsidRPr="004635E5">
        <w:rPr>
          <w:rFonts w:eastAsiaTheme="minorEastAsia"/>
          <w:sz w:val="22"/>
          <w:szCs w:val="22"/>
          <w:lang w:val="en-NZ" w:eastAsia="ko-KR"/>
        </w:rPr>
        <w:t>.</w:t>
      </w:r>
    </w:p>
    <w:p w14:paraId="2BC2773B" w14:textId="77777777" w:rsidR="00792486" w:rsidRPr="004635E5" w:rsidRDefault="00792486" w:rsidP="006633A8">
      <w:pPr>
        <w:autoSpaceDE w:val="0"/>
        <w:autoSpaceDN w:val="0"/>
        <w:adjustRightInd w:val="0"/>
        <w:snapToGrid w:val="0"/>
        <w:jc w:val="both"/>
        <w:rPr>
          <w:rFonts w:eastAsiaTheme="minorEastAsia"/>
          <w:sz w:val="22"/>
          <w:szCs w:val="22"/>
          <w:lang w:val="en-NZ" w:eastAsia="ko-KR"/>
        </w:rPr>
      </w:pPr>
    </w:p>
    <w:p w14:paraId="5E64D126" w14:textId="77777777" w:rsidR="00C9286B" w:rsidRPr="004635E5" w:rsidRDefault="00FA2B00" w:rsidP="00580EA4">
      <w:pPr>
        <w:pStyle w:val="SC2"/>
        <w:numPr>
          <w:ilvl w:val="1"/>
          <w:numId w:val="161"/>
        </w:numPr>
        <w:spacing w:after="0"/>
        <w:rPr>
          <w:rFonts w:eastAsiaTheme="minorEastAsia"/>
          <w:lang w:eastAsia="ko-KR"/>
        </w:rPr>
      </w:pPr>
      <w:r w:rsidRPr="004635E5">
        <w:t xml:space="preserve"> </w:t>
      </w:r>
      <w:r w:rsidR="00C9286B" w:rsidRPr="004635E5">
        <w:t xml:space="preserve">Election of </w:t>
      </w:r>
      <w:r w:rsidR="00BB5AB8" w:rsidRPr="004635E5">
        <w:t>Officers</w:t>
      </w:r>
      <w:r w:rsidR="00C9286B" w:rsidRPr="004635E5">
        <w:t xml:space="preserve"> of the Scientific Committee</w:t>
      </w:r>
      <w:r w:rsidR="00EC2690" w:rsidRPr="004635E5">
        <w:t xml:space="preserve"> </w:t>
      </w:r>
    </w:p>
    <w:p w14:paraId="5CB879EB" w14:textId="77777777" w:rsidR="00792486" w:rsidRPr="004635E5" w:rsidRDefault="00792486" w:rsidP="006633A8">
      <w:pPr>
        <w:pStyle w:val="SC2"/>
        <w:numPr>
          <w:ilvl w:val="0"/>
          <w:numId w:val="0"/>
        </w:numPr>
        <w:spacing w:after="0"/>
        <w:ind w:left="720"/>
        <w:rPr>
          <w:rFonts w:eastAsiaTheme="minorEastAsia"/>
          <w:lang w:eastAsia="ko-KR"/>
        </w:rPr>
      </w:pPr>
    </w:p>
    <w:p w14:paraId="2C2A016B" w14:textId="77777777" w:rsidR="00F17BC4" w:rsidRPr="004635E5" w:rsidRDefault="00F17BC4"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The SC Chair requested nominations for SC Vice-Chair and a stock assessment theme co-convener. No nominations were made. Members were asked to further consider potential nominations in the intersessional period, with a view to naming a co-convener well before SC15. </w:t>
      </w:r>
    </w:p>
    <w:p w14:paraId="62851F90" w14:textId="77777777" w:rsidR="000B7D69" w:rsidRPr="004635E5" w:rsidRDefault="000B7D69" w:rsidP="006633A8">
      <w:pPr>
        <w:autoSpaceDE w:val="0"/>
        <w:autoSpaceDN w:val="0"/>
        <w:adjustRightInd w:val="0"/>
        <w:snapToGrid w:val="0"/>
        <w:jc w:val="both"/>
        <w:rPr>
          <w:sz w:val="22"/>
          <w:szCs w:val="22"/>
          <w:lang w:val="en-AU"/>
        </w:rPr>
      </w:pPr>
    </w:p>
    <w:p w14:paraId="2818D246" w14:textId="77777777" w:rsidR="00A83306" w:rsidRPr="004635E5" w:rsidRDefault="00A83306" w:rsidP="00580EA4">
      <w:pPr>
        <w:pStyle w:val="SC2"/>
        <w:numPr>
          <w:ilvl w:val="1"/>
          <w:numId w:val="161"/>
        </w:numPr>
        <w:spacing w:after="0"/>
      </w:pPr>
      <w:r w:rsidRPr="004635E5">
        <w:t>Next meeting</w:t>
      </w:r>
      <w:r w:rsidR="00EC2690" w:rsidRPr="004635E5">
        <w:t xml:space="preserve"> </w:t>
      </w:r>
      <w:r w:rsidR="00AC4C8D" w:rsidRPr="004635E5">
        <w:t xml:space="preserve"> </w:t>
      </w:r>
    </w:p>
    <w:p w14:paraId="5B477DAD" w14:textId="77777777" w:rsidR="00E41D57" w:rsidRPr="004635E5" w:rsidRDefault="00E41D57" w:rsidP="006633A8">
      <w:pPr>
        <w:pStyle w:val="SC2"/>
        <w:numPr>
          <w:ilvl w:val="0"/>
          <w:numId w:val="0"/>
        </w:numPr>
        <w:spacing w:after="0"/>
        <w:ind w:left="720"/>
      </w:pPr>
    </w:p>
    <w:p w14:paraId="60AD432B" w14:textId="77777777" w:rsidR="00FF5D9B" w:rsidRPr="004635E5" w:rsidRDefault="00F17BC4" w:rsidP="00580EA4">
      <w:pPr>
        <w:numPr>
          <w:ilvl w:val="0"/>
          <w:numId w:val="18"/>
        </w:numPr>
        <w:autoSpaceDE w:val="0"/>
        <w:autoSpaceDN w:val="0"/>
        <w:adjustRightInd w:val="0"/>
        <w:snapToGrid w:val="0"/>
        <w:ind w:left="0" w:firstLine="0"/>
        <w:jc w:val="both"/>
        <w:rPr>
          <w:sz w:val="22"/>
          <w:szCs w:val="22"/>
          <w:lang w:val="en-AU"/>
        </w:rPr>
      </w:pPr>
      <w:r w:rsidRPr="004635E5">
        <w:rPr>
          <w:sz w:val="22"/>
          <w:szCs w:val="22"/>
          <w:lang w:val="en-AU"/>
        </w:rPr>
        <w:t xml:space="preserve">SC14 confirmed that </w:t>
      </w:r>
      <w:r w:rsidR="00BB5AB8" w:rsidRPr="004635E5">
        <w:rPr>
          <w:sz w:val="22"/>
          <w:szCs w:val="22"/>
          <w:lang w:val="en-AU"/>
        </w:rPr>
        <w:t>SC1</w:t>
      </w:r>
      <w:r w:rsidRPr="004635E5">
        <w:rPr>
          <w:sz w:val="22"/>
          <w:szCs w:val="22"/>
          <w:lang w:val="en-AU"/>
        </w:rPr>
        <w:t xml:space="preserve">5 would be held in Pohnpei, </w:t>
      </w:r>
      <w:r w:rsidR="00270656" w:rsidRPr="004635E5">
        <w:rPr>
          <w:sz w:val="22"/>
          <w:szCs w:val="22"/>
          <w:lang w:val="en-AU"/>
        </w:rPr>
        <w:t>Federated States of Micronesia</w:t>
      </w:r>
      <w:r w:rsidR="00FA2B00" w:rsidRPr="004635E5">
        <w:rPr>
          <w:sz w:val="22"/>
          <w:szCs w:val="22"/>
          <w:lang w:val="en-AU"/>
        </w:rPr>
        <w:t xml:space="preserve"> </w:t>
      </w:r>
      <w:r w:rsidRPr="004635E5">
        <w:rPr>
          <w:sz w:val="22"/>
          <w:szCs w:val="22"/>
          <w:lang w:val="en-AU"/>
        </w:rPr>
        <w:t xml:space="preserve">during </w:t>
      </w:r>
      <w:r w:rsidR="00FA2B00" w:rsidRPr="004635E5">
        <w:rPr>
          <w:sz w:val="22"/>
          <w:szCs w:val="22"/>
          <w:lang w:val="en-AU"/>
        </w:rPr>
        <w:t xml:space="preserve">7-15 August 2019. </w:t>
      </w:r>
      <w:r w:rsidR="00F90661" w:rsidRPr="004635E5">
        <w:rPr>
          <w:sz w:val="22"/>
          <w:szCs w:val="22"/>
          <w:lang w:val="en-AU"/>
        </w:rPr>
        <w:t xml:space="preserve">Samoa offered to host for 2020. </w:t>
      </w:r>
    </w:p>
    <w:p w14:paraId="71F6A2FB" w14:textId="77777777" w:rsidR="002D074D" w:rsidRPr="004635E5" w:rsidRDefault="002D074D" w:rsidP="006633A8">
      <w:pPr>
        <w:autoSpaceDE w:val="0"/>
        <w:autoSpaceDN w:val="0"/>
        <w:adjustRightInd w:val="0"/>
        <w:snapToGrid w:val="0"/>
        <w:jc w:val="both"/>
        <w:rPr>
          <w:rFonts w:eastAsiaTheme="minorEastAsia"/>
          <w:sz w:val="22"/>
          <w:szCs w:val="22"/>
          <w:lang w:val="en-AU" w:eastAsia="ko-KR"/>
        </w:rPr>
      </w:pPr>
    </w:p>
    <w:p w14:paraId="1DD779A3" w14:textId="77777777" w:rsidR="002D074D" w:rsidRPr="004635E5" w:rsidRDefault="002D074D" w:rsidP="006633A8">
      <w:pPr>
        <w:autoSpaceDE w:val="0"/>
        <w:autoSpaceDN w:val="0"/>
        <w:adjustRightInd w:val="0"/>
        <w:snapToGrid w:val="0"/>
        <w:jc w:val="both"/>
        <w:rPr>
          <w:rFonts w:eastAsiaTheme="minorEastAsia"/>
          <w:sz w:val="22"/>
          <w:szCs w:val="22"/>
          <w:lang w:val="en-AU" w:eastAsia="ko-KR"/>
        </w:rPr>
      </w:pPr>
    </w:p>
    <w:p w14:paraId="6E621ED4" w14:textId="77777777" w:rsidR="00E41D57" w:rsidRPr="004635E5" w:rsidRDefault="0035399F" w:rsidP="006633A8">
      <w:pPr>
        <w:pStyle w:val="Heading1"/>
        <w:numPr>
          <w:ilvl w:val="0"/>
          <w:numId w:val="0"/>
        </w:numPr>
        <w:adjustRightInd w:val="0"/>
        <w:snapToGrid w:val="0"/>
        <w:spacing w:after="0"/>
        <w:ind w:left="720"/>
      </w:pPr>
      <w:r w:rsidRPr="004635E5">
        <w:t xml:space="preserve">AGENDA ITEM 12 — </w:t>
      </w:r>
      <w:r w:rsidR="00A83306" w:rsidRPr="004635E5">
        <w:t>OTHER MATTERS</w:t>
      </w:r>
    </w:p>
    <w:p w14:paraId="4545A932" w14:textId="77777777" w:rsidR="00A83306" w:rsidRPr="004635E5" w:rsidRDefault="00472973" w:rsidP="006633A8">
      <w:pPr>
        <w:pStyle w:val="Heading1"/>
        <w:numPr>
          <w:ilvl w:val="0"/>
          <w:numId w:val="0"/>
        </w:numPr>
        <w:adjustRightInd w:val="0"/>
        <w:snapToGrid w:val="0"/>
        <w:spacing w:after="0"/>
        <w:ind w:left="720"/>
      </w:pPr>
      <w:r w:rsidRPr="004635E5">
        <w:fldChar w:fldCharType="begin"/>
      </w:r>
      <w:r w:rsidR="0035399F" w:rsidRPr="004635E5">
        <w:instrText xml:space="preserve"> TC "</w:instrText>
      </w:r>
      <w:bookmarkStart w:id="135" w:name="_Toc522810373"/>
      <w:bookmarkStart w:id="136" w:name="_Toc16418026"/>
      <w:r w:rsidR="0035399F" w:rsidRPr="004635E5">
        <w:instrText>AGENDA ITEM 12 — OTHER MATTERS</w:instrText>
      </w:r>
      <w:bookmarkEnd w:id="135"/>
      <w:bookmarkEnd w:id="136"/>
      <w:r w:rsidR="0035399F" w:rsidRPr="004635E5">
        <w:instrText xml:space="preserve">" \f C \l "1" </w:instrText>
      </w:r>
      <w:r w:rsidRPr="004635E5">
        <w:fldChar w:fldCharType="end"/>
      </w:r>
    </w:p>
    <w:p w14:paraId="1C78B883" w14:textId="77777777" w:rsidR="000B7D69" w:rsidRPr="004635E5" w:rsidRDefault="00FA2B00" w:rsidP="00580EA4">
      <w:pPr>
        <w:numPr>
          <w:ilvl w:val="0"/>
          <w:numId w:val="18"/>
        </w:numPr>
        <w:autoSpaceDE w:val="0"/>
        <w:autoSpaceDN w:val="0"/>
        <w:adjustRightInd w:val="0"/>
        <w:snapToGrid w:val="0"/>
        <w:ind w:left="0" w:firstLine="0"/>
        <w:jc w:val="both"/>
        <w:rPr>
          <w:rFonts w:eastAsiaTheme="minorEastAsia"/>
          <w:sz w:val="22"/>
          <w:szCs w:val="22"/>
          <w:lang w:val="en-NZ" w:eastAsia="ko-KR"/>
        </w:rPr>
      </w:pPr>
      <w:r w:rsidRPr="004635E5">
        <w:rPr>
          <w:rFonts w:eastAsiaTheme="minorEastAsia"/>
          <w:sz w:val="22"/>
          <w:szCs w:val="22"/>
          <w:lang w:val="en-NZ" w:eastAsia="ko-KR"/>
        </w:rPr>
        <w:t>Indonesia</w:t>
      </w:r>
      <w:r w:rsidR="00E74906" w:rsidRPr="004635E5">
        <w:rPr>
          <w:rFonts w:eastAsiaTheme="minorEastAsia"/>
          <w:sz w:val="22"/>
          <w:szCs w:val="22"/>
          <w:lang w:val="en-NZ" w:eastAsia="ko-KR"/>
        </w:rPr>
        <w:t xml:space="preserve"> invited all SC</w:t>
      </w:r>
      <w:r w:rsidR="000B7D69" w:rsidRPr="004635E5">
        <w:rPr>
          <w:rFonts w:eastAsiaTheme="minorEastAsia"/>
          <w:sz w:val="22"/>
          <w:szCs w:val="22"/>
          <w:lang w:val="en-NZ" w:eastAsia="ko-KR"/>
        </w:rPr>
        <w:t>14</w:t>
      </w:r>
      <w:r w:rsidR="00E74906" w:rsidRPr="004635E5">
        <w:rPr>
          <w:rFonts w:eastAsiaTheme="minorEastAsia"/>
          <w:sz w:val="22"/>
          <w:szCs w:val="22"/>
          <w:lang w:val="en-NZ" w:eastAsia="ko-KR"/>
        </w:rPr>
        <w:t xml:space="preserve"> participants to attend the </w:t>
      </w:r>
      <w:r w:rsidRPr="004635E5">
        <w:rPr>
          <w:rFonts w:eastAsiaTheme="minorEastAsia"/>
          <w:sz w:val="22"/>
          <w:szCs w:val="22"/>
        </w:rPr>
        <w:t xml:space="preserve">2018 Ocean Conference in </w:t>
      </w:r>
      <w:r w:rsidR="00E74906" w:rsidRPr="004635E5">
        <w:rPr>
          <w:rFonts w:eastAsiaTheme="minorEastAsia"/>
          <w:sz w:val="22"/>
          <w:szCs w:val="22"/>
        </w:rPr>
        <w:t>B</w:t>
      </w:r>
      <w:r w:rsidRPr="004635E5">
        <w:rPr>
          <w:rFonts w:eastAsiaTheme="minorEastAsia"/>
          <w:sz w:val="22"/>
          <w:szCs w:val="22"/>
        </w:rPr>
        <w:t xml:space="preserve">ali, </w:t>
      </w:r>
      <w:r w:rsidR="00E74906" w:rsidRPr="004635E5">
        <w:rPr>
          <w:rFonts w:eastAsiaTheme="minorEastAsia"/>
          <w:sz w:val="22"/>
          <w:szCs w:val="22"/>
        </w:rPr>
        <w:t xml:space="preserve">during </w:t>
      </w:r>
      <w:r w:rsidRPr="004635E5">
        <w:rPr>
          <w:rFonts w:eastAsiaTheme="minorEastAsia"/>
          <w:sz w:val="22"/>
          <w:szCs w:val="22"/>
        </w:rPr>
        <w:t>29-30 Oct</w:t>
      </w:r>
      <w:r w:rsidR="00E74906" w:rsidRPr="004635E5">
        <w:rPr>
          <w:rFonts w:eastAsiaTheme="minorEastAsia"/>
          <w:sz w:val="22"/>
          <w:szCs w:val="22"/>
        </w:rPr>
        <w:t>ober</w:t>
      </w:r>
      <w:r w:rsidRPr="004635E5">
        <w:rPr>
          <w:rFonts w:eastAsiaTheme="minorEastAsia"/>
          <w:sz w:val="22"/>
          <w:szCs w:val="22"/>
        </w:rPr>
        <w:t xml:space="preserve">, </w:t>
      </w:r>
      <w:r w:rsidR="00E74906" w:rsidRPr="004635E5">
        <w:rPr>
          <w:rFonts w:eastAsiaTheme="minorEastAsia"/>
          <w:sz w:val="22"/>
          <w:szCs w:val="22"/>
        </w:rPr>
        <w:t xml:space="preserve">which </w:t>
      </w:r>
      <w:r w:rsidRPr="004635E5">
        <w:rPr>
          <w:rFonts w:eastAsiaTheme="minorEastAsia"/>
          <w:sz w:val="22"/>
          <w:szCs w:val="22"/>
        </w:rPr>
        <w:t>will focus on key ocean issues</w:t>
      </w:r>
      <w:r w:rsidR="00E74906" w:rsidRPr="004635E5">
        <w:rPr>
          <w:rFonts w:eastAsiaTheme="minorEastAsia"/>
          <w:sz w:val="22"/>
          <w:szCs w:val="22"/>
        </w:rPr>
        <w:t xml:space="preserve"> and </w:t>
      </w:r>
      <w:r w:rsidRPr="004635E5">
        <w:rPr>
          <w:rFonts w:eastAsiaTheme="minorEastAsia"/>
          <w:sz w:val="22"/>
          <w:szCs w:val="22"/>
        </w:rPr>
        <w:t xml:space="preserve">involve </w:t>
      </w:r>
      <w:r w:rsidR="00E74906" w:rsidRPr="004635E5">
        <w:rPr>
          <w:rFonts w:eastAsiaTheme="minorEastAsia"/>
          <w:sz w:val="22"/>
          <w:szCs w:val="22"/>
        </w:rPr>
        <w:t xml:space="preserve">a </w:t>
      </w:r>
      <w:r w:rsidRPr="004635E5">
        <w:rPr>
          <w:rFonts w:eastAsiaTheme="minorEastAsia"/>
          <w:sz w:val="22"/>
          <w:szCs w:val="22"/>
        </w:rPr>
        <w:t>wide range of stakeholders.</w:t>
      </w:r>
    </w:p>
    <w:p w14:paraId="5E4B28CB" w14:textId="77777777" w:rsidR="00FF5D9B" w:rsidRPr="004635E5" w:rsidRDefault="00FA2B00" w:rsidP="006633A8">
      <w:pPr>
        <w:autoSpaceDE w:val="0"/>
        <w:autoSpaceDN w:val="0"/>
        <w:adjustRightInd w:val="0"/>
        <w:snapToGrid w:val="0"/>
        <w:jc w:val="both"/>
        <w:rPr>
          <w:rFonts w:eastAsiaTheme="minorEastAsia"/>
          <w:sz w:val="22"/>
          <w:szCs w:val="22"/>
          <w:lang w:val="en-NZ" w:eastAsia="ko-KR"/>
        </w:rPr>
      </w:pPr>
      <w:r w:rsidRPr="004635E5">
        <w:rPr>
          <w:rFonts w:eastAsiaTheme="minorEastAsia"/>
          <w:sz w:val="22"/>
          <w:szCs w:val="22"/>
        </w:rPr>
        <w:t xml:space="preserve"> </w:t>
      </w:r>
    </w:p>
    <w:p w14:paraId="0468DE39" w14:textId="77777777" w:rsidR="005D03CD" w:rsidRPr="004635E5" w:rsidRDefault="005D03CD" w:rsidP="006633A8">
      <w:pPr>
        <w:adjustRightInd w:val="0"/>
        <w:snapToGrid w:val="0"/>
        <w:rPr>
          <w:rFonts w:eastAsiaTheme="majorEastAsia"/>
          <w:b/>
          <w:bCs/>
          <w:sz w:val="22"/>
          <w:szCs w:val="22"/>
          <w:lang w:val="en-NZ"/>
        </w:rPr>
      </w:pPr>
    </w:p>
    <w:p w14:paraId="4621E874" w14:textId="77777777" w:rsidR="00E41D57" w:rsidRPr="004635E5" w:rsidRDefault="0035399F" w:rsidP="006633A8">
      <w:pPr>
        <w:pStyle w:val="Heading1"/>
        <w:numPr>
          <w:ilvl w:val="0"/>
          <w:numId w:val="0"/>
        </w:numPr>
        <w:adjustRightInd w:val="0"/>
        <w:snapToGrid w:val="0"/>
        <w:spacing w:after="0"/>
        <w:ind w:left="720"/>
      </w:pPr>
      <w:r w:rsidRPr="004635E5">
        <w:t xml:space="preserve">AGENDA ITEM 13 — </w:t>
      </w:r>
      <w:r w:rsidR="00A83306" w:rsidRPr="004635E5">
        <w:t xml:space="preserve">ADOPTION OF THE </w:t>
      </w:r>
      <w:r w:rsidR="00FE70E2" w:rsidRPr="004635E5">
        <w:t xml:space="preserve">SUMMARY </w:t>
      </w:r>
      <w:r w:rsidR="00A83306" w:rsidRPr="004635E5">
        <w:t>RE</w:t>
      </w:r>
      <w:r w:rsidR="008240F3" w:rsidRPr="004635E5">
        <w:rPr>
          <w:rFonts w:eastAsia="Batang"/>
          <w:lang w:eastAsia="ko-KR"/>
        </w:rPr>
        <w:t>P</w:t>
      </w:r>
      <w:r w:rsidR="00A83306" w:rsidRPr="004635E5">
        <w:t xml:space="preserve">ORT OF THE </w:t>
      </w:r>
      <w:r w:rsidR="002851F6" w:rsidRPr="004635E5">
        <w:rPr>
          <w:rFonts w:eastAsia="Batang"/>
          <w:lang w:eastAsia="ko-KR"/>
        </w:rPr>
        <w:t xml:space="preserve">FOURTEENTH </w:t>
      </w:r>
      <w:r w:rsidR="00F62583" w:rsidRPr="004635E5">
        <w:rPr>
          <w:rFonts w:eastAsia="Batang"/>
          <w:lang w:eastAsia="ko-KR"/>
        </w:rPr>
        <w:t>REGULAR</w:t>
      </w:r>
      <w:r w:rsidR="00A83306" w:rsidRPr="004635E5">
        <w:t xml:space="preserve"> SESSION OF THE SCIENTIFIC COMMITTEE</w:t>
      </w:r>
    </w:p>
    <w:p w14:paraId="1DDF8960" w14:textId="77777777" w:rsidR="00A83306" w:rsidRPr="004635E5" w:rsidRDefault="00472973" w:rsidP="006633A8">
      <w:pPr>
        <w:pStyle w:val="Heading1"/>
        <w:numPr>
          <w:ilvl w:val="0"/>
          <w:numId w:val="0"/>
        </w:numPr>
        <w:adjustRightInd w:val="0"/>
        <w:snapToGrid w:val="0"/>
        <w:spacing w:after="0"/>
        <w:ind w:left="720"/>
      </w:pPr>
      <w:r w:rsidRPr="004635E5">
        <w:fldChar w:fldCharType="begin"/>
      </w:r>
      <w:r w:rsidR="0035399F" w:rsidRPr="004635E5">
        <w:instrText xml:space="preserve"> TC "</w:instrText>
      </w:r>
      <w:bookmarkStart w:id="137" w:name="_Toc522810374"/>
      <w:bookmarkStart w:id="138" w:name="_Toc16418027"/>
      <w:r w:rsidR="0035399F" w:rsidRPr="004635E5">
        <w:instrText xml:space="preserve">AGENDA ITEM 13 — ADOPTION OF THE </w:instrText>
      </w:r>
      <w:r w:rsidR="00E37274" w:rsidRPr="004635E5">
        <w:instrText>SC14 REPORT</w:instrText>
      </w:r>
      <w:bookmarkEnd w:id="137"/>
      <w:bookmarkEnd w:id="138"/>
      <w:r w:rsidR="0035399F" w:rsidRPr="004635E5">
        <w:instrText xml:space="preserve">" \f C \l "1" </w:instrText>
      </w:r>
      <w:r w:rsidRPr="004635E5">
        <w:fldChar w:fldCharType="end"/>
      </w:r>
    </w:p>
    <w:p w14:paraId="23A5FC8C" w14:textId="77777777" w:rsidR="0035399F" w:rsidRPr="004635E5" w:rsidRDefault="00210206" w:rsidP="00580EA4">
      <w:pPr>
        <w:numPr>
          <w:ilvl w:val="0"/>
          <w:numId w:val="18"/>
        </w:numPr>
        <w:autoSpaceDE w:val="0"/>
        <w:autoSpaceDN w:val="0"/>
        <w:adjustRightInd w:val="0"/>
        <w:snapToGrid w:val="0"/>
        <w:ind w:left="0" w:firstLine="0"/>
        <w:jc w:val="both"/>
        <w:rPr>
          <w:rFonts w:eastAsia="Batang"/>
          <w:sz w:val="22"/>
          <w:szCs w:val="22"/>
          <w:lang w:eastAsia="ko-KR"/>
        </w:rPr>
      </w:pPr>
      <w:r w:rsidRPr="004635E5">
        <w:rPr>
          <w:rFonts w:eastAsia="Batang"/>
          <w:sz w:val="22"/>
          <w:szCs w:val="22"/>
          <w:lang w:eastAsia="ko-KR"/>
        </w:rPr>
        <w:t>SC14</w:t>
      </w:r>
      <w:r w:rsidR="009A2768" w:rsidRPr="004635E5">
        <w:rPr>
          <w:rFonts w:eastAsia="Batang"/>
          <w:sz w:val="22"/>
          <w:szCs w:val="22"/>
          <w:lang w:eastAsia="ko-KR"/>
        </w:rPr>
        <w:t xml:space="preserve"> </w:t>
      </w:r>
      <w:r w:rsidR="00FF5D9B" w:rsidRPr="004635E5">
        <w:rPr>
          <w:rFonts w:eastAsia="Batang"/>
          <w:sz w:val="22"/>
          <w:szCs w:val="22"/>
          <w:lang w:eastAsia="ko-KR"/>
        </w:rPr>
        <w:t>adopt</w:t>
      </w:r>
      <w:r w:rsidR="0035399F" w:rsidRPr="004635E5">
        <w:rPr>
          <w:rFonts w:eastAsia="Batang"/>
          <w:sz w:val="22"/>
          <w:szCs w:val="22"/>
          <w:lang w:eastAsia="ko-KR"/>
        </w:rPr>
        <w:t>ed</w:t>
      </w:r>
      <w:r w:rsidR="00FF5D9B" w:rsidRPr="004635E5">
        <w:rPr>
          <w:rFonts w:eastAsia="Batang"/>
          <w:sz w:val="22"/>
          <w:szCs w:val="22"/>
          <w:lang w:eastAsia="ko-KR"/>
        </w:rPr>
        <w:t xml:space="preserve"> </w:t>
      </w:r>
      <w:r w:rsidR="0035399F" w:rsidRPr="004635E5">
        <w:rPr>
          <w:rFonts w:eastAsia="Batang"/>
          <w:sz w:val="22"/>
          <w:szCs w:val="22"/>
          <w:lang w:eastAsia="ko-KR"/>
        </w:rPr>
        <w:t xml:space="preserve">the </w:t>
      </w:r>
      <w:r w:rsidR="00E35945" w:rsidRPr="004635E5">
        <w:rPr>
          <w:rFonts w:eastAsia="Batang"/>
          <w:sz w:val="22"/>
          <w:szCs w:val="22"/>
          <w:lang w:eastAsia="ko-KR"/>
        </w:rPr>
        <w:t xml:space="preserve">recommendations </w:t>
      </w:r>
      <w:r w:rsidR="00FF5D9B" w:rsidRPr="004635E5">
        <w:rPr>
          <w:rFonts w:eastAsia="Batang"/>
          <w:sz w:val="22"/>
          <w:szCs w:val="22"/>
          <w:lang w:eastAsia="ko-KR"/>
        </w:rPr>
        <w:t xml:space="preserve">of </w:t>
      </w:r>
      <w:r w:rsidR="00E35945" w:rsidRPr="004635E5">
        <w:rPr>
          <w:rFonts w:eastAsia="Batang"/>
          <w:sz w:val="22"/>
          <w:szCs w:val="22"/>
          <w:lang w:eastAsia="ko-KR"/>
        </w:rPr>
        <w:t>the</w:t>
      </w:r>
      <w:r w:rsidR="00FF5D9B" w:rsidRPr="004635E5">
        <w:rPr>
          <w:rFonts w:eastAsia="Batang"/>
          <w:sz w:val="22"/>
          <w:szCs w:val="22"/>
          <w:lang w:eastAsia="ko-KR"/>
        </w:rPr>
        <w:t xml:space="preserve"> </w:t>
      </w:r>
      <w:r w:rsidR="002851F6" w:rsidRPr="004635E5">
        <w:rPr>
          <w:rFonts w:eastAsia="Batang"/>
          <w:sz w:val="22"/>
          <w:szCs w:val="22"/>
          <w:lang w:eastAsia="ko-KR"/>
        </w:rPr>
        <w:t xml:space="preserve">Fourteenth </w:t>
      </w:r>
      <w:r w:rsidR="00FF5D9B" w:rsidRPr="004635E5">
        <w:rPr>
          <w:rFonts w:eastAsia="Batang"/>
          <w:sz w:val="22"/>
          <w:szCs w:val="22"/>
          <w:lang w:eastAsia="ko-KR"/>
        </w:rPr>
        <w:t>Regular Session</w:t>
      </w:r>
      <w:r w:rsidR="00F73649" w:rsidRPr="004635E5">
        <w:rPr>
          <w:rFonts w:eastAsia="Batang"/>
          <w:sz w:val="22"/>
          <w:szCs w:val="22"/>
          <w:lang w:eastAsia="ko-KR"/>
        </w:rPr>
        <w:t xml:space="preserve"> of the Scientific Committee</w:t>
      </w:r>
      <w:r w:rsidR="00FF5D9B" w:rsidRPr="004635E5">
        <w:rPr>
          <w:rFonts w:eastAsia="Batang"/>
          <w:sz w:val="22"/>
          <w:szCs w:val="22"/>
          <w:lang w:eastAsia="ko-KR"/>
        </w:rPr>
        <w:t>.</w:t>
      </w:r>
      <w:r w:rsidR="00E35945" w:rsidRPr="004635E5">
        <w:rPr>
          <w:rFonts w:eastAsia="Batang"/>
          <w:sz w:val="22"/>
          <w:szCs w:val="22"/>
          <w:lang w:eastAsia="ko-KR"/>
        </w:rPr>
        <w:t xml:space="preserve"> </w:t>
      </w:r>
      <w:r w:rsidR="0035399F" w:rsidRPr="004635E5">
        <w:rPr>
          <w:rFonts w:eastAsia="Batang"/>
          <w:sz w:val="22"/>
          <w:szCs w:val="22"/>
          <w:lang w:eastAsia="ko-KR"/>
        </w:rPr>
        <w:t xml:space="preserve">The </w:t>
      </w:r>
      <w:r w:rsidRPr="004635E5">
        <w:rPr>
          <w:rFonts w:eastAsia="Batang"/>
          <w:sz w:val="22"/>
          <w:szCs w:val="22"/>
          <w:lang w:eastAsia="ko-KR"/>
        </w:rPr>
        <w:t>SC14</w:t>
      </w:r>
      <w:r w:rsidR="00E35945" w:rsidRPr="004635E5">
        <w:rPr>
          <w:rFonts w:eastAsia="Batang"/>
          <w:sz w:val="22"/>
          <w:szCs w:val="22"/>
          <w:lang w:eastAsia="ko-KR"/>
        </w:rPr>
        <w:t xml:space="preserve"> Summary Report will be </w:t>
      </w:r>
      <w:r w:rsidR="0035399F" w:rsidRPr="004635E5">
        <w:rPr>
          <w:rFonts w:eastAsia="Batang"/>
          <w:sz w:val="22"/>
          <w:szCs w:val="22"/>
          <w:lang w:eastAsia="ko-KR"/>
        </w:rPr>
        <w:t>adopted intersessionally according to the following schedule:</w:t>
      </w:r>
    </w:p>
    <w:p w14:paraId="31D64414" w14:textId="77777777" w:rsidR="00CB6C95" w:rsidRDefault="00CB6C95">
      <w:pPr>
        <w:rPr>
          <w:rFonts w:eastAsia="Batang"/>
          <w:sz w:val="22"/>
          <w:szCs w:val="22"/>
          <w:lang w:eastAsia="ko-KR"/>
        </w:rPr>
      </w:pPr>
      <w:r>
        <w:rPr>
          <w:rFonts w:eastAsia="Batang"/>
          <w:sz w:val="22"/>
          <w:szCs w:val="22"/>
          <w:lang w:eastAsia="ko-KR"/>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8000"/>
      </w:tblGrid>
      <w:tr w:rsidR="0035399F" w:rsidRPr="00DA3B20" w14:paraId="769249A3" w14:textId="77777777" w:rsidTr="006E7655">
        <w:trPr>
          <w:trHeight w:val="404"/>
        </w:trPr>
        <w:tc>
          <w:tcPr>
            <w:tcW w:w="823" w:type="pct"/>
            <w:shd w:val="clear" w:color="auto" w:fill="D9D9D9" w:themeFill="background1" w:themeFillShade="D9"/>
            <w:vAlign w:val="center"/>
          </w:tcPr>
          <w:p w14:paraId="03FE761B" w14:textId="77777777" w:rsidR="0035399F" w:rsidRPr="00DA3B20" w:rsidRDefault="0035399F" w:rsidP="006633A8">
            <w:pPr>
              <w:tabs>
                <w:tab w:val="left" w:pos="2977"/>
              </w:tabs>
              <w:autoSpaceDE w:val="0"/>
              <w:autoSpaceDN w:val="0"/>
              <w:adjustRightInd w:val="0"/>
              <w:snapToGrid w:val="0"/>
              <w:jc w:val="center"/>
              <w:rPr>
                <w:rFonts w:eastAsia="Malgun Gothic"/>
                <w:b/>
                <w:sz w:val="20"/>
                <w:szCs w:val="20"/>
                <w:lang w:val="en-NZ" w:eastAsia="ko-KR"/>
              </w:rPr>
            </w:pPr>
            <w:r w:rsidRPr="00DA3B20">
              <w:rPr>
                <w:rFonts w:eastAsia="Malgun Gothic"/>
                <w:b/>
                <w:sz w:val="20"/>
                <w:szCs w:val="20"/>
                <w:lang w:val="en-NZ" w:eastAsia="ko-KR"/>
              </w:rPr>
              <w:t>Due by</w:t>
            </w:r>
          </w:p>
        </w:tc>
        <w:tc>
          <w:tcPr>
            <w:tcW w:w="4177" w:type="pct"/>
            <w:shd w:val="clear" w:color="auto" w:fill="D9D9D9" w:themeFill="background1" w:themeFillShade="D9"/>
            <w:vAlign w:val="center"/>
          </w:tcPr>
          <w:p w14:paraId="54059E2F" w14:textId="77777777" w:rsidR="0035399F" w:rsidRPr="00DA3B20" w:rsidRDefault="0035399F" w:rsidP="006633A8">
            <w:pPr>
              <w:tabs>
                <w:tab w:val="left" w:pos="2977"/>
              </w:tabs>
              <w:autoSpaceDE w:val="0"/>
              <w:autoSpaceDN w:val="0"/>
              <w:adjustRightInd w:val="0"/>
              <w:snapToGrid w:val="0"/>
              <w:jc w:val="center"/>
              <w:rPr>
                <w:rFonts w:eastAsiaTheme="minorEastAsia"/>
                <w:b/>
                <w:sz w:val="20"/>
                <w:szCs w:val="20"/>
                <w:lang w:val="en-NZ" w:eastAsia="ko-KR"/>
              </w:rPr>
            </w:pPr>
            <w:r w:rsidRPr="00DA3B20">
              <w:rPr>
                <w:rFonts w:eastAsiaTheme="minorEastAsia"/>
                <w:b/>
                <w:sz w:val="20"/>
                <w:szCs w:val="20"/>
                <w:lang w:val="en-NZ" w:eastAsia="ko-KR"/>
              </w:rPr>
              <w:t>Actions to be taken</w:t>
            </w:r>
          </w:p>
        </w:tc>
      </w:tr>
      <w:tr w:rsidR="0035399F" w:rsidRPr="00DA3B20" w14:paraId="09BFBA5C" w14:textId="77777777" w:rsidTr="006E7655">
        <w:tc>
          <w:tcPr>
            <w:tcW w:w="823" w:type="pct"/>
          </w:tcPr>
          <w:p w14:paraId="651FE6E0" w14:textId="77777777"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16 August</w:t>
            </w:r>
          </w:p>
        </w:tc>
        <w:tc>
          <w:tcPr>
            <w:tcW w:w="4177" w:type="pct"/>
          </w:tcPr>
          <w:p w14:paraId="13E91889" w14:textId="77777777"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 xml:space="preserve">Close of SC14 </w:t>
            </w:r>
          </w:p>
          <w:p w14:paraId="705F0E97" w14:textId="77777777"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By 27 August, SC14 decisions will be distributed to all CCMs and observers (within 7 working days, Rules of Procedure).</w:t>
            </w:r>
          </w:p>
        </w:tc>
      </w:tr>
      <w:tr w:rsidR="0035399F" w:rsidRPr="00DA3B20" w14:paraId="62B0B9B4" w14:textId="77777777" w:rsidTr="006E7655">
        <w:tc>
          <w:tcPr>
            <w:tcW w:w="823" w:type="pct"/>
          </w:tcPr>
          <w:p w14:paraId="1B5D0682" w14:textId="77777777"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23 August</w:t>
            </w:r>
          </w:p>
        </w:tc>
        <w:tc>
          <w:tcPr>
            <w:tcW w:w="4177" w:type="pct"/>
          </w:tcPr>
          <w:p w14:paraId="5ACF6DB6" w14:textId="77777777"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Secretariat will receive Draft Summary Report from the rapporteur.</w:t>
            </w:r>
          </w:p>
        </w:tc>
      </w:tr>
      <w:tr w:rsidR="0035399F" w:rsidRPr="00DA3B20" w14:paraId="630A6269" w14:textId="77777777" w:rsidTr="006E7655">
        <w:tc>
          <w:tcPr>
            <w:tcW w:w="823" w:type="pct"/>
          </w:tcPr>
          <w:p w14:paraId="30D11F62" w14:textId="77777777"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7</w:t>
            </w:r>
            <w:r w:rsidRPr="00DA3B20">
              <w:rPr>
                <w:rFonts w:eastAsia="MS Mincho"/>
                <w:sz w:val="20"/>
                <w:szCs w:val="20"/>
                <w:lang w:val="en-NZ" w:eastAsia="en-NZ"/>
              </w:rPr>
              <w:t xml:space="preserve"> </w:t>
            </w:r>
            <w:r w:rsidRPr="00DA3B20">
              <w:rPr>
                <w:rFonts w:eastAsiaTheme="minorEastAsia"/>
                <w:sz w:val="20"/>
                <w:szCs w:val="20"/>
                <w:lang w:val="en-NZ" w:eastAsia="ko-KR"/>
              </w:rPr>
              <w:t>September</w:t>
            </w:r>
          </w:p>
        </w:tc>
        <w:tc>
          <w:tcPr>
            <w:tcW w:w="4177" w:type="pct"/>
            <w:hideMark/>
          </w:tcPr>
          <w:p w14:paraId="61ADC924" w14:textId="77777777"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 xml:space="preserve">Secretariat will clear the Draft report, and distribute the cleaned report to all </w:t>
            </w:r>
            <w:r w:rsidRPr="00DA3B20">
              <w:rPr>
                <w:rFonts w:eastAsia="MS Mincho"/>
                <w:sz w:val="20"/>
                <w:szCs w:val="20"/>
                <w:lang w:val="en-NZ" w:eastAsia="en-NZ"/>
              </w:rPr>
              <w:t xml:space="preserve">Theme </w:t>
            </w:r>
            <w:r w:rsidRPr="00DA3B20">
              <w:rPr>
                <w:rFonts w:eastAsiaTheme="minorEastAsia"/>
                <w:sz w:val="20"/>
                <w:szCs w:val="20"/>
                <w:lang w:val="en-NZ" w:eastAsia="ko-KR"/>
              </w:rPr>
              <w:t>C</w:t>
            </w:r>
            <w:r w:rsidRPr="00DA3B20">
              <w:rPr>
                <w:rFonts w:eastAsia="MS Mincho"/>
                <w:sz w:val="20"/>
                <w:szCs w:val="20"/>
                <w:lang w:val="en-NZ" w:eastAsia="en-NZ"/>
              </w:rPr>
              <w:t>onvenors</w:t>
            </w:r>
            <w:r w:rsidRPr="00DA3B20">
              <w:rPr>
                <w:rFonts w:eastAsiaTheme="minorEastAsia"/>
                <w:sz w:val="20"/>
                <w:szCs w:val="20"/>
                <w:lang w:val="en-NZ" w:eastAsia="ko-KR"/>
              </w:rPr>
              <w:t xml:space="preserve"> for review.</w:t>
            </w:r>
          </w:p>
        </w:tc>
      </w:tr>
      <w:tr w:rsidR="0035399F" w:rsidRPr="00DA3B20" w14:paraId="0774A9B8" w14:textId="77777777" w:rsidTr="006E7655">
        <w:tc>
          <w:tcPr>
            <w:tcW w:w="823" w:type="pct"/>
          </w:tcPr>
          <w:p w14:paraId="206E4B69" w14:textId="77777777" w:rsidR="0035399F" w:rsidRPr="00DA3B20" w:rsidRDefault="0035399F" w:rsidP="006633A8">
            <w:pPr>
              <w:tabs>
                <w:tab w:val="left" w:pos="2977"/>
              </w:tabs>
              <w:autoSpaceDE w:val="0"/>
              <w:autoSpaceDN w:val="0"/>
              <w:adjustRightInd w:val="0"/>
              <w:snapToGrid w:val="0"/>
              <w:rPr>
                <w:rFonts w:eastAsiaTheme="minorEastAsia"/>
                <w:sz w:val="20"/>
                <w:szCs w:val="20"/>
                <w:lang w:val="en-NZ" w:eastAsia="en-NZ"/>
              </w:rPr>
            </w:pPr>
            <w:r w:rsidRPr="00DA3B20">
              <w:rPr>
                <w:rFonts w:eastAsiaTheme="minorEastAsia"/>
                <w:sz w:val="20"/>
                <w:szCs w:val="20"/>
                <w:lang w:val="en-NZ" w:eastAsia="ko-KR"/>
              </w:rPr>
              <w:t>14 September</w:t>
            </w:r>
          </w:p>
        </w:tc>
        <w:tc>
          <w:tcPr>
            <w:tcW w:w="4177" w:type="pct"/>
            <w:hideMark/>
          </w:tcPr>
          <w:p w14:paraId="424FB8E3" w14:textId="77777777"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Theme conveners will</w:t>
            </w:r>
            <w:r w:rsidRPr="00DA3B20">
              <w:rPr>
                <w:rFonts w:eastAsia="MS Mincho"/>
                <w:sz w:val="20"/>
                <w:szCs w:val="20"/>
                <w:lang w:val="en-NZ" w:eastAsia="en-NZ"/>
              </w:rPr>
              <w:t xml:space="preserve"> </w:t>
            </w:r>
            <w:r w:rsidRPr="00DA3B20">
              <w:rPr>
                <w:rFonts w:eastAsia="Malgun Gothic"/>
                <w:sz w:val="20"/>
                <w:szCs w:val="20"/>
                <w:lang w:val="en-NZ" w:eastAsia="ko-KR"/>
              </w:rPr>
              <w:t xml:space="preserve">review the report and </w:t>
            </w:r>
            <w:r w:rsidRPr="00DA3B20">
              <w:rPr>
                <w:rFonts w:eastAsiaTheme="minorEastAsia"/>
                <w:sz w:val="20"/>
                <w:szCs w:val="20"/>
                <w:lang w:val="en-NZ" w:eastAsia="ko-KR"/>
              </w:rPr>
              <w:t>return it back</w:t>
            </w:r>
            <w:r w:rsidRPr="00DA3B20">
              <w:rPr>
                <w:rFonts w:eastAsia="MS Mincho"/>
                <w:sz w:val="20"/>
                <w:szCs w:val="20"/>
                <w:lang w:val="en-NZ" w:eastAsia="en-NZ"/>
              </w:rPr>
              <w:t xml:space="preserve"> </w:t>
            </w:r>
            <w:r w:rsidRPr="00DA3B20">
              <w:rPr>
                <w:rFonts w:eastAsiaTheme="minorEastAsia"/>
                <w:sz w:val="20"/>
                <w:szCs w:val="20"/>
                <w:lang w:val="en-NZ" w:eastAsia="ko-KR"/>
              </w:rPr>
              <w:t>to the Secretariat</w:t>
            </w:r>
          </w:p>
        </w:tc>
      </w:tr>
      <w:tr w:rsidR="0035399F" w:rsidRPr="00DA3B20" w14:paraId="6A17190E" w14:textId="77777777" w:rsidTr="006E7655">
        <w:tc>
          <w:tcPr>
            <w:tcW w:w="823" w:type="pct"/>
          </w:tcPr>
          <w:p w14:paraId="219FB5BD" w14:textId="77777777"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17 September</w:t>
            </w:r>
          </w:p>
        </w:tc>
        <w:tc>
          <w:tcPr>
            <w:tcW w:w="4177" w:type="pct"/>
            <w:hideMark/>
          </w:tcPr>
          <w:p w14:paraId="070BC87D" w14:textId="77777777"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Malgun Gothic"/>
                <w:sz w:val="20"/>
                <w:szCs w:val="20"/>
                <w:lang w:val="en-NZ" w:eastAsia="ko-KR"/>
              </w:rPr>
              <w:t xml:space="preserve">The </w:t>
            </w:r>
            <w:r w:rsidRPr="00DA3B20">
              <w:rPr>
                <w:rFonts w:eastAsia="MS Mincho"/>
                <w:sz w:val="20"/>
                <w:szCs w:val="20"/>
                <w:lang w:val="en-NZ" w:eastAsia="en-NZ"/>
              </w:rPr>
              <w:t xml:space="preserve">Secretariat </w:t>
            </w:r>
            <w:r w:rsidRPr="00DA3B20">
              <w:rPr>
                <w:rFonts w:eastAsiaTheme="minorEastAsia"/>
                <w:sz w:val="20"/>
                <w:szCs w:val="20"/>
                <w:lang w:val="en-NZ" w:eastAsia="ko-KR"/>
              </w:rPr>
              <w:t xml:space="preserve">will </w:t>
            </w:r>
            <w:r w:rsidRPr="00DA3B20">
              <w:rPr>
                <w:rFonts w:eastAsia="Malgun Gothic"/>
                <w:sz w:val="20"/>
                <w:szCs w:val="20"/>
                <w:lang w:val="en-NZ" w:eastAsia="ko-KR"/>
              </w:rPr>
              <w:t>distribute</w:t>
            </w:r>
            <w:r w:rsidRPr="00DA3B20">
              <w:rPr>
                <w:rFonts w:eastAsiaTheme="minorEastAsia"/>
                <w:sz w:val="20"/>
                <w:szCs w:val="20"/>
                <w:lang w:val="en-NZ" w:eastAsia="ko-KR"/>
              </w:rPr>
              <w:t xml:space="preserve">/post </w:t>
            </w:r>
            <w:r w:rsidRPr="00DA3B20">
              <w:rPr>
                <w:rFonts w:eastAsia="MS Mincho"/>
                <w:sz w:val="20"/>
                <w:szCs w:val="20"/>
                <w:lang w:val="en-NZ" w:eastAsia="en-NZ"/>
              </w:rPr>
              <w:t xml:space="preserve">the </w:t>
            </w:r>
            <w:r w:rsidRPr="00DA3B20">
              <w:rPr>
                <w:rFonts w:eastAsia="Malgun Gothic"/>
                <w:sz w:val="20"/>
                <w:szCs w:val="20"/>
                <w:lang w:val="en-NZ" w:eastAsia="ko-KR"/>
              </w:rPr>
              <w:t>draft Summary</w:t>
            </w:r>
            <w:r w:rsidRPr="00DA3B20">
              <w:rPr>
                <w:rFonts w:eastAsia="MS Mincho"/>
                <w:sz w:val="20"/>
                <w:szCs w:val="20"/>
                <w:lang w:val="en-NZ" w:eastAsia="en-NZ"/>
              </w:rPr>
              <w:t xml:space="preserve"> Report </w:t>
            </w:r>
            <w:r w:rsidRPr="00DA3B20">
              <w:rPr>
                <w:rFonts w:eastAsia="Malgun Gothic"/>
                <w:sz w:val="20"/>
                <w:szCs w:val="20"/>
                <w:lang w:val="en-NZ" w:eastAsia="ko-KR"/>
              </w:rPr>
              <w:t>for all CCMs’ and Observers</w:t>
            </w:r>
            <w:r w:rsidRPr="00DA3B20">
              <w:rPr>
                <w:rFonts w:eastAsiaTheme="minorEastAsia"/>
                <w:sz w:val="20"/>
                <w:szCs w:val="20"/>
                <w:lang w:val="en-NZ" w:eastAsia="ko-KR"/>
              </w:rPr>
              <w:t>’ review</w:t>
            </w:r>
          </w:p>
        </w:tc>
      </w:tr>
      <w:tr w:rsidR="0035399F" w:rsidRPr="00DA3B20" w14:paraId="53401BEA" w14:textId="77777777" w:rsidTr="006E7655">
        <w:tc>
          <w:tcPr>
            <w:tcW w:w="823" w:type="pct"/>
          </w:tcPr>
          <w:p w14:paraId="13293064" w14:textId="77777777" w:rsidR="0035399F" w:rsidRPr="00DA3B20" w:rsidRDefault="0035399F" w:rsidP="006633A8">
            <w:pPr>
              <w:tabs>
                <w:tab w:val="left" w:pos="2977"/>
              </w:tabs>
              <w:autoSpaceDE w:val="0"/>
              <w:autoSpaceDN w:val="0"/>
              <w:adjustRightInd w:val="0"/>
              <w:snapToGrid w:val="0"/>
              <w:rPr>
                <w:rFonts w:eastAsiaTheme="minorEastAsia"/>
                <w:sz w:val="20"/>
                <w:szCs w:val="20"/>
                <w:lang w:val="en-NZ" w:eastAsia="en-NZ"/>
              </w:rPr>
            </w:pPr>
            <w:r w:rsidRPr="00DA3B20">
              <w:rPr>
                <w:rFonts w:eastAsiaTheme="minorEastAsia"/>
                <w:sz w:val="20"/>
                <w:szCs w:val="20"/>
                <w:lang w:val="en-NZ" w:eastAsia="ko-KR"/>
              </w:rPr>
              <w:t xml:space="preserve">29 October </w:t>
            </w:r>
          </w:p>
        </w:tc>
        <w:tc>
          <w:tcPr>
            <w:tcW w:w="4177" w:type="pct"/>
            <w:hideMark/>
          </w:tcPr>
          <w:p w14:paraId="2E321AEF" w14:textId="77777777" w:rsidR="0035399F" w:rsidRPr="00DA3B20" w:rsidRDefault="0035399F" w:rsidP="006633A8">
            <w:pPr>
              <w:tabs>
                <w:tab w:val="left" w:pos="2977"/>
              </w:tabs>
              <w:autoSpaceDE w:val="0"/>
              <w:autoSpaceDN w:val="0"/>
              <w:adjustRightInd w:val="0"/>
              <w:snapToGrid w:val="0"/>
              <w:rPr>
                <w:rFonts w:eastAsia="MS Mincho"/>
                <w:sz w:val="20"/>
                <w:szCs w:val="20"/>
                <w:lang w:val="en-NZ" w:eastAsia="en-NZ"/>
              </w:rPr>
            </w:pPr>
            <w:r w:rsidRPr="00DA3B20">
              <w:rPr>
                <w:rFonts w:eastAsia="Malgun Gothic"/>
                <w:sz w:val="20"/>
                <w:szCs w:val="20"/>
                <w:lang w:val="en-NZ" w:eastAsia="ko-KR"/>
              </w:rPr>
              <w:t>Deadline for the submission of comments from CCMs and Observers</w:t>
            </w:r>
          </w:p>
        </w:tc>
      </w:tr>
    </w:tbl>
    <w:p w14:paraId="5D7BB8B9" w14:textId="77777777" w:rsidR="00127D8E" w:rsidRPr="004635E5" w:rsidRDefault="00127D8E" w:rsidP="006633A8">
      <w:pPr>
        <w:adjustRightInd w:val="0"/>
        <w:snapToGrid w:val="0"/>
        <w:ind w:left="720"/>
        <w:jc w:val="both"/>
        <w:rPr>
          <w:rFonts w:eastAsiaTheme="minorEastAsia"/>
          <w:sz w:val="22"/>
          <w:szCs w:val="22"/>
          <w:lang w:val="en-NZ" w:eastAsia="ko-KR"/>
        </w:rPr>
      </w:pPr>
    </w:p>
    <w:p w14:paraId="6E6A6D71" w14:textId="77777777" w:rsidR="002D074D" w:rsidRPr="004635E5" w:rsidRDefault="002D074D" w:rsidP="006633A8">
      <w:pPr>
        <w:adjustRightInd w:val="0"/>
        <w:snapToGrid w:val="0"/>
        <w:ind w:left="720"/>
        <w:jc w:val="both"/>
        <w:rPr>
          <w:rFonts w:eastAsiaTheme="minorEastAsia"/>
          <w:sz w:val="22"/>
          <w:szCs w:val="22"/>
          <w:lang w:val="en-NZ" w:eastAsia="ko-KR"/>
        </w:rPr>
      </w:pPr>
    </w:p>
    <w:p w14:paraId="03F578E6" w14:textId="77777777" w:rsidR="00E41D57" w:rsidRPr="004635E5" w:rsidRDefault="0035399F" w:rsidP="006633A8">
      <w:pPr>
        <w:pStyle w:val="Heading1"/>
        <w:numPr>
          <w:ilvl w:val="0"/>
          <w:numId w:val="0"/>
        </w:numPr>
        <w:adjustRightInd w:val="0"/>
        <w:snapToGrid w:val="0"/>
        <w:spacing w:after="0"/>
        <w:ind w:left="720"/>
      </w:pPr>
      <w:r w:rsidRPr="004635E5">
        <w:t xml:space="preserve">AGENDA ITEM 14 — </w:t>
      </w:r>
      <w:r w:rsidR="00A83306" w:rsidRPr="004635E5">
        <w:t>CLOSE OF MEETING</w:t>
      </w:r>
    </w:p>
    <w:p w14:paraId="7B2BB1F2" w14:textId="77777777" w:rsidR="00A83306" w:rsidRPr="004635E5" w:rsidRDefault="00472973" w:rsidP="006633A8">
      <w:pPr>
        <w:pStyle w:val="Heading1"/>
        <w:numPr>
          <w:ilvl w:val="0"/>
          <w:numId w:val="0"/>
        </w:numPr>
        <w:adjustRightInd w:val="0"/>
        <w:snapToGrid w:val="0"/>
        <w:spacing w:after="0"/>
        <w:ind w:left="720"/>
      </w:pPr>
      <w:r w:rsidRPr="004635E5">
        <w:fldChar w:fldCharType="begin"/>
      </w:r>
      <w:r w:rsidR="0035399F" w:rsidRPr="004635E5">
        <w:instrText xml:space="preserve"> TC "</w:instrText>
      </w:r>
      <w:bookmarkStart w:id="139" w:name="_Toc522810375"/>
      <w:bookmarkStart w:id="140" w:name="_Toc16418028"/>
      <w:r w:rsidR="0035399F" w:rsidRPr="004635E5">
        <w:instrText>AGENDA ITEM 14 — CLOSE OF MEETING</w:instrText>
      </w:r>
      <w:bookmarkEnd w:id="139"/>
      <w:bookmarkEnd w:id="140"/>
      <w:r w:rsidR="0035399F" w:rsidRPr="004635E5">
        <w:instrText xml:space="preserve">" \f C \l "1" </w:instrText>
      </w:r>
      <w:r w:rsidRPr="004635E5">
        <w:fldChar w:fldCharType="end"/>
      </w:r>
    </w:p>
    <w:p w14:paraId="56567910" w14:textId="77777777" w:rsidR="0049142C" w:rsidRPr="004635E5" w:rsidRDefault="00DC118F" w:rsidP="00580EA4">
      <w:pPr>
        <w:numPr>
          <w:ilvl w:val="0"/>
          <w:numId w:val="18"/>
        </w:numPr>
        <w:autoSpaceDE w:val="0"/>
        <w:autoSpaceDN w:val="0"/>
        <w:adjustRightInd w:val="0"/>
        <w:snapToGrid w:val="0"/>
        <w:ind w:left="0" w:firstLine="0"/>
        <w:jc w:val="both"/>
        <w:rPr>
          <w:sz w:val="22"/>
          <w:szCs w:val="22"/>
          <w:lang w:val="en-NZ"/>
        </w:rPr>
      </w:pPr>
      <w:r w:rsidRPr="004635E5">
        <w:rPr>
          <w:sz w:val="22"/>
          <w:szCs w:val="22"/>
          <w:lang w:val="en-NZ"/>
        </w:rPr>
        <w:t xml:space="preserve">On behalf of Korea, </w:t>
      </w:r>
      <w:r w:rsidR="00B5503F" w:rsidRPr="004635E5">
        <w:rPr>
          <w:rFonts w:eastAsiaTheme="minorEastAsia"/>
          <w:sz w:val="22"/>
          <w:szCs w:val="22"/>
          <w:lang w:val="en-NZ" w:eastAsia="ko-KR"/>
        </w:rPr>
        <w:t>D. Kim</w:t>
      </w:r>
      <w:r w:rsidRPr="004635E5">
        <w:rPr>
          <w:sz w:val="22"/>
          <w:szCs w:val="22"/>
          <w:lang w:val="en-NZ"/>
        </w:rPr>
        <w:t xml:space="preserve"> thanked the CCMs delegates, </w:t>
      </w:r>
      <w:r w:rsidR="00E74906" w:rsidRPr="004635E5">
        <w:rPr>
          <w:sz w:val="22"/>
          <w:szCs w:val="22"/>
          <w:lang w:val="en-NZ"/>
        </w:rPr>
        <w:t xml:space="preserve">observers </w:t>
      </w:r>
      <w:r w:rsidRPr="004635E5">
        <w:rPr>
          <w:sz w:val="22"/>
          <w:szCs w:val="22"/>
          <w:lang w:val="en-NZ"/>
        </w:rPr>
        <w:t xml:space="preserve">and </w:t>
      </w:r>
      <w:r w:rsidR="00FA2B00" w:rsidRPr="004635E5">
        <w:rPr>
          <w:sz w:val="22"/>
          <w:szCs w:val="22"/>
          <w:lang w:val="en-NZ"/>
        </w:rPr>
        <w:t>Sec</w:t>
      </w:r>
      <w:r w:rsidRPr="004635E5">
        <w:rPr>
          <w:sz w:val="22"/>
          <w:szCs w:val="22"/>
          <w:lang w:val="en-NZ"/>
        </w:rPr>
        <w:t xml:space="preserve">retariat </w:t>
      </w:r>
      <w:r w:rsidR="00FA2B00" w:rsidRPr="004635E5">
        <w:rPr>
          <w:sz w:val="22"/>
          <w:szCs w:val="22"/>
          <w:lang w:val="en-NZ"/>
        </w:rPr>
        <w:t xml:space="preserve">for </w:t>
      </w:r>
      <w:r w:rsidRPr="004635E5">
        <w:rPr>
          <w:sz w:val="22"/>
          <w:szCs w:val="22"/>
          <w:lang w:val="en-NZ"/>
        </w:rPr>
        <w:t xml:space="preserve">their </w:t>
      </w:r>
      <w:r w:rsidR="00FA2B00" w:rsidRPr="004635E5">
        <w:rPr>
          <w:sz w:val="22"/>
          <w:szCs w:val="22"/>
          <w:lang w:val="en-NZ"/>
        </w:rPr>
        <w:t xml:space="preserve">contributions. </w:t>
      </w:r>
      <w:r w:rsidRPr="004635E5">
        <w:rPr>
          <w:sz w:val="22"/>
          <w:szCs w:val="22"/>
          <w:lang w:val="en-NZ"/>
        </w:rPr>
        <w:t xml:space="preserve">The SC Chair </w:t>
      </w:r>
      <w:r w:rsidR="00E74906" w:rsidRPr="004635E5">
        <w:rPr>
          <w:sz w:val="22"/>
          <w:szCs w:val="22"/>
          <w:lang w:val="en-NZ"/>
        </w:rPr>
        <w:t>g</w:t>
      </w:r>
      <w:r w:rsidRPr="004635E5">
        <w:rPr>
          <w:sz w:val="22"/>
          <w:szCs w:val="22"/>
          <w:lang w:val="en-NZ"/>
        </w:rPr>
        <w:t xml:space="preserve">ave his closing remarks, thanking the </w:t>
      </w:r>
      <w:r w:rsidR="00FA2B00" w:rsidRPr="004635E5">
        <w:rPr>
          <w:sz w:val="22"/>
          <w:szCs w:val="22"/>
          <w:lang w:val="en-NZ"/>
        </w:rPr>
        <w:t xml:space="preserve">Korean head of delegation and </w:t>
      </w:r>
      <w:r w:rsidRPr="004635E5">
        <w:rPr>
          <w:sz w:val="22"/>
          <w:szCs w:val="22"/>
          <w:lang w:val="en-NZ"/>
        </w:rPr>
        <w:t xml:space="preserve">Korean government </w:t>
      </w:r>
      <w:r w:rsidR="00FA2B00" w:rsidRPr="004635E5">
        <w:rPr>
          <w:sz w:val="22"/>
          <w:szCs w:val="22"/>
          <w:lang w:val="en-NZ"/>
        </w:rPr>
        <w:t xml:space="preserve">for </w:t>
      </w:r>
      <w:r w:rsidRPr="004635E5">
        <w:rPr>
          <w:sz w:val="22"/>
          <w:szCs w:val="22"/>
          <w:lang w:val="en-NZ"/>
        </w:rPr>
        <w:t xml:space="preserve">their generous </w:t>
      </w:r>
      <w:r w:rsidR="00FA2B00" w:rsidRPr="004635E5">
        <w:rPr>
          <w:sz w:val="22"/>
          <w:szCs w:val="22"/>
          <w:lang w:val="en-NZ"/>
        </w:rPr>
        <w:t>hosting</w:t>
      </w:r>
      <w:r w:rsidRPr="004635E5">
        <w:rPr>
          <w:sz w:val="22"/>
          <w:szCs w:val="22"/>
          <w:lang w:val="en-NZ"/>
        </w:rPr>
        <w:t xml:space="preserve"> arrangements, and all those involved in the meeting for making it a success. </w:t>
      </w:r>
      <w:r w:rsidR="0049142C" w:rsidRPr="004635E5">
        <w:rPr>
          <w:sz w:val="22"/>
          <w:szCs w:val="22"/>
          <w:lang w:val="en-NZ"/>
        </w:rPr>
        <w:t>On behalf of</w:t>
      </w:r>
      <w:r w:rsidR="00B5503F" w:rsidRPr="004635E5">
        <w:rPr>
          <w:sz w:val="22"/>
          <w:szCs w:val="22"/>
          <w:lang w:val="en-NZ"/>
        </w:rPr>
        <w:t xml:space="preserve"> all CCMs, New Zealand thanked </w:t>
      </w:r>
      <w:r w:rsidR="0049142C" w:rsidRPr="004635E5">
        <w:rPr>
          <w:sz w:val="22"/>
          <w:szCs w:val="22"/>
          <w:lang w:val="en-NZ"/>
        </w:rPr>
        <w:t>the SC Chair for his leadership.</w:t>
      </w:r>
    </w:p>
    <w:p w14:paraId="4E6F473C" w14:textId="77777777" w:rsidR="0049142C" w:rsidRPr="004635E5" w:rsidRDefault="0049142C" w:rsidP="006633A8">
      <w:pPr>
        <w:autoSpaceDE w:val="0"/>
        <w:autoSpaceDN w:val="0"/>
        <w:adjustRightInd w:val="0"/>
        <w:snapToGrid w:val="0"/>
        <w:jc w:val="both"/>
        <w:rPr>
          <w:sz w:val="22"/>
          <w:szCs w:val="22"/>
          <w:lang w:val="en-NZ"/>
        </w:rPr>
      </w:pPr>
    </w:p>
    <w:p w14:paraId="1E0C9C45" w14:textId="77777777" w:rsidR="00AB5148" w:rsidRPr="004635E5" w:rsidRDefault="00FF5D9B" w:rsidP="00580EA4">
      <w:pPr>
        <w:numPr>
          <w:ilvl w:val="0"/>
          <w:numId w:val="18"/>
        </w:numPr>
        <w:autoSpaceDE w:val="0"/>
        <w:autoSpaceDN w:val="0"/>
        <w:adjustRightInd w:val="0"/>
        <w:snapToGrid w:val="0"/>
        <w:ind w:left="0" w:firstLine="0"/>
        <w:jc w:val="both"/>
        <w:rPr>
          <w:rFonts w:eastAsia="Batang"/>
          <w:sz w:val="22"/>
          <w:szCs w:val="22"/>
          <w:lang w:eastAsia="ko-KR"/>
        </w:rPr>
      </w:pPr>
      <w:r w:rsidRPr="004635E5">
        <w:rPr>
          <w:rFonts w:eastAsia="Batang"/>
          <w:sz w:val="22"/>
          <w:szCs w:val="22"/>
          <w:lang w:eastAsia="ko-KR"/>
        </w:rPr>
        <w:t>Th</w:t>
      </w:r>
      <w:r w:rsidR="00FA2B00" w:rsidRPr="004635E5">
        <w:rPr>
          <w:rFonts w:eastAsia="Batang"/>
          <w:sz w:val="22"/>
          <w:szCs w:val="22"/>
          <w:lang w:eastAsia="ko-KR"/>
        </w:rPr>
        <w:t xml:space="preserve">e meeting closed </w:t>
      </w:r>
      <w:r w:rsidRPr="004635E5">
        <w:rPr>
          <w:rFonts w:eastAsia="Batang"/>
          <w:sz w:val="22"/>
          <w:szCs w:val="22"/>
          <w:lang w:eastAsia="ko-KR"/>
        </w:rPr>
        <w:t xml:space="preserve">at </w:t>
      </w:r>
      <w:r w:rsidR="00FA2B00" w:rsidRPr="004635E5">
        <w:rPr>
          <w:rFonts w:eastAsia="Batang"/>
          <w:sz w:val="22"/>
          <w:szCs w:val="22"/>
          <w:lang w:eastAsia="ko-KR"/>
        </w:rPr>
        <w:t xml:space="preserve">4:40 </w:t>
      </w:r>
      <w:r w:rsidRPr="004635E5">
        <w:rPr>
          <w:rFonts w:eastAsia="Batang"/>
          <w:sz w:val="22"/>
          <w:szCs w:val="22"/>
          <w:lang w:eastAsia="ko-KR"/>
        </w:rPr>
        <w:t xml:space="preserve">on </w:t>
      </w:r>
      <w:r w:rsidR="00BA3D86" w:rsidRPr="004635E5">
        <w:rPr>
          <w:rFonts w:eastAsia="Batang"/>
          <w:sz w:val="22"/>
          <w:szCs w:val="22"/>
          <w:lang w:eastAsia="ko-KR"/>
        </w:rPr>
        <w:t>1</w:t>
      </w:r>
      <w:r w:rsidR="00D16DAE" w:rsidRPr="004635E5">
        <w:rPr>
          <w:rFonts w:eastAsia="Batang"/>
          <w:sz w:val="22"/>
          <w:szCs w:val="22"/>
          <w:lang w:eastAsia="ko-KR"/>
        </w:rPr>
        <w:t>6</w:t>
      </w:r>
      <w:r w:rsidRPr="004635E5">
        <w:rPr>
          <w:rFonts w:eastAsia="Batang"/>
          <w:sz w:val="22"/>
          <w:szCs w:val="22"/>
          <w:lang w:eastAsia="ko-KR"/>
        </w:rPr>
        <w:t xml:space="preserve"> August </w:t>
      </w:r>
      <w:r w:rsidR="00BE0EEE" w:rsidRPr="004635E5">
        <w:rPr>
          <w:rFonts w:eastAsia="Batang"/>
          <w:sz w:val="22"/>
          <w:szCs w:val="22"/>
          <w:lang w:eastAsia="ko-KR"/>
        </w:rPr>
        <w:t>201</w:t>
      </w:r>
      <w:r w:rsidR="00D16DAE" w:rsidRPr="004635E5">
        <w:rPr>
          <w:rFonts w:eastAsia="Batang"/>
          <w:sz w:val="22"/>
          <w:szCs w:val="22"/>
          <w:lang w:eastAsia="ko-KR"/>
        </w:rPr>
        <w:t>8</w:t>
      </w:r>
      <w:r w:rsidRPr="004635E5">
        <w:rPr>
          <w:rFonts w:eastAsia="Batang"/>
          <w:sz w:val="22"/>
          <w:szCs w:val="22"/>
          <w:lang w:eastAsia="ko-KR"/>
        </w:rPr>
        <w:t>.</w:t>
      </w:r>
    </w:p>
    <w:p w14:paraId="64D3C3E1" w14:textId="77777777" w:rsidR="00AB5148" w:rsidRPr="004635E5" w:rsidRDefault="00AB5148" w:rsidP="006633A8">
      <w:pPr>
        <w:adjustRightInd w:val="0"/>
        <w:snapToGrid w:val="0"/>
        <w:rPr>
          <w:rFonts w:eastAsia="Batang"/>
          <w:sz w:val="22"/>
          <w:szCs w:val="22"/>
          <w:lang w:eastAsia="ko-KR"/>
        </w:rPr>
      </w:pPr>
      <w:r w:rsidRPr="004635E5">
        <w:rPr>
          <w:rFonts w:eastAsia="Batang"/>
          <w:sz w:val="22"/>
          <w:szCs w:val="22"/>
          <w:lang w:eastAsia="ko-KR"/>
        </w:rPr>
        <w:br w:type="page"/>
      </w:r>
    </w:p>
    <w:p w14:paraId="2B0E6D26" w14:textId="77777777" w:rsidR="00167860" w:rsidRPr="00CB6C95" w:rsidRDefault="00167860" w:rsidP="00167860">
      <w:pPr>
        <w:autoSpaceDE w:val="0"/>
        <w:autoSpaceDN w:val="0"/>
        <w:adjustRightInd w:val="0"/>
        <w:snapToGrid w:val="0"/>
        <w:jc w:val="right"/>
        <w:rPr>
          <w:b/>
          <w:bCs/>
          <w:sz w:val="22"/>
          <w:szCs w:val="22"/>
          <w:lang w:val="en-AU" w:eastAsia="en-NZ"/>
        </w:rPr>
      </w:pPr>
      <w:r w:rsidRPr="00CB6C95">
        <w:rPr>
          <w:b/>
          <w:bCs/>
          <w:sz w:val="22"/>
          <w:szCs w:val="22"/>
          <w:lang w:val="en-AU" w:eastAsia="en-NZ"/>
        </w:rPr>
        <w:t>Attachment A</w:t>
      </w:r>
    </w:p>
    <w:p w14:paraId="637E1F8C" w14:textId="77777777" w:rsidR="00167860" w:rsidRPr="00CB6C95" w:rsidRDefault="00167860" w:rsidP="00167860">
      <w:pPr>
        <w:autoSpaceDE w:val="0"/>
        <w:autoSpaceDN w:val="0"/>
        <w:adjustRightInd w:val="0"/>
        <w:snapToGrid w:val="0"/>
        <w:jc w:val="center"/>
        <w:rPr>
          <w:b/>
          <w:bCs/>
          <w:sz w:val="22"/>
          <w:szCs w:val="22"/>
          <w:lang w:val="en-AU" w:eastAsia="en-NZ"/>
        </w:rPr>
      </w:pPr>
    </w:p>
    <w:p w14:paraId="788D2867" w14:textId="77777777" w:rsidR="00167860" w:rsidRPr="00CB6C95" w:rsidRDefault="00167860" w:rsidP="00167860">
      <w:pPr>
        <w:autoSpaceDE w:val="0"/>
        <w:autoSpaceDN w:val="0"/>
        <w:adjustRightInd w:val="0"/>
        <w:snapToGrid w:val="0"/>
        <w:jc w:val="center"/>
        <w:rPr>
          <w:b/>
          <w:bCs/>
          <w:sz w:val="22"/>
          <w:szCs w:val="22"/>
          <w:lang w:val="en-AU" w:eastAsia="en-NZ"/>
        </w:rPr>
      </w:pPr>
      <w:r w:rsidRPr="00CB6C95">
        <w:rPr>
          <w:b/>
          <w:bCs/>
          <w:sz w:val="22"/>
          <w:szCs w:val="22"/>
          <w:lang w:val="en-AU" w:eastAsia="en-NZ"/>
        </w:rPr>
        <w:t xml:space="preserve">The Commission for the Conservation and Management of </w:t>
      </w:r>
      <w:r w:rsidRPr="00CB6C95">
        <w:rPr>
          <w:b/>
          <w:bCs/>
          <w:sz w:val="22"/>
          <w:szCs w:val="22"/>
          <w:lang w:val="en-AU" w:eastAsia="en-NZ"/>
        </w:rPr>
        <w:br/>
        <w:t>Highly Migratory Fish Stocks in the Western and Central Pacific Ocean</w:t>
      </w:r>
    </w:p>
    <w:p w14:paraId="5A5402DC" w14:textId="77777777" w:rsidR="00167860" w:rsidRPr="00CB6C95" w:rsidRDefault="00167860" w:rsidP="00167860">
      <w:pPr>
        <w:autoSpaceDE w:val="0"/>
        <w:autoSpaceDN w:val="0"/>
        <w:adjustRightInd w:val="0"/>
        <w:snapToGrid w:val="0"/>
        <w:jc w:val="center"/>
        <w:rPr>
          <w:b/>
          <w:bCs/>
          <w:sz w:val="22"/>
          <w:szCs w:val="22"/>
          <w:lang w:val="en-AU" w:eastAsia="ko-KR"/>
        </w:rPr>
      </w:pPr>
      <w:r w:rsidRPr="00CB6C95">
        <w:rPr>
          <w:b/>
          <w:bCs/>
          <w:sz w:val="22"/>
          <w:szCs w:val="22"/>
          <w:lang w:val="en-AU" w:eastAsia="en-NZ"/>
        </w:rPr>
        <w:t xml:space="preserve">Scientific Committee </w:t>
      </w:r>
    </w:p>
    <w:p w14:paraId="63FE8D1C" w14:textId="77777777" w:rsidR="00167860" w:rsidRPr="00CB6C95" w:rsidRDefault="00167860" w:rsidP="00167860">
      <w:pPr>
        <w:autoSpaceDE w:val="0"/>
        <w:autoSpaceDN w:val="0"/>
        <w:adjustRightInd w:val="0"/>
        <w:snapToGrid w:val="0"/>
        <w:jc w:val="center"/>
        <w:rPr>
          <w:b/>
          <w:bCs/>
          <w:sz w:val="22"/>
          <w:szCs w:val="22"/>
          <w:lang w:val="en-AU" w:eastAsia="ko-KR"/>
        </w:rPr>
      </w:pPr>
      <w:r w:rsidRPr="00CB6C95">
        <w:rPr>
          <w:b/>
          <w:bCs/>
          <w:sz w:val="22"/>
          <w:szCs w:val="22"/>
          <w:lang w:val="en-AU" w:eastAsia="en-NZ"/>
        </w:rPr>
        <w:t>Fourteenth Regular Session</w:t>
      </w:r>
    </w:p>
    <w:p w14:paraId="3778472F" w14:textId="77777777" w:rsidR="00167860" w:rsidRPr="00CB6C95" w:rsidRDefault="00167860" w:rsidP="00167860">
      <w:pPr>
        <w:autoSpaceDE w:val="0"/>
        <w:autoSpaceDN w:val="0"/>
        <w:adjustRightInd w:val="0"/>
        <w:snapToGrid w:val="0"/>
        <w:jc w:val="center"/>
        <w:rPr>
          <w:bCs/>
          <w:sz w:val="22"/>
          <w:szCs w:val="22"/>
          <w:lang w:val="en-AU" w:eastAsia="en-NZ"/>
        </w:rPr>
      </w:pPr>
      <w:r w:rsidRPr="00CB6C95">
        <w:rPr>
          <w:bCs/>
          <w:sz w:val="22"/>
          <w:szCs w:val="22"/>
          <w:lang w:val="en-AU" w:eastAsia="en-NZ"/>
        </w:rPr>
        <w:t>Busan, Republic of Korea</w:t>
      </w:r>
      <w:r w:rsidRPr="00CB6C95">
        <w:rPr>
          <w:bCs/>
          <w:sz w:val="22"/>
          <w:szCs w:val="22"/>
          <w:lang w:val="en-AU" w:eastAsia="en-NZ"/>
        </w:rPr>
        <w:br/>
        <w:t>8 - 16 August 2018</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167860" w:rsidRPr="00CB6C95" w14:paraId="386CF20F" w14:textId="77777777" w:rsidTr="006633A8">
        <w:tc>
          <w:tcPr>
            <w:tcW w:w="9576" w:type="dxa"/>
            <w:tcBorders>
              <w:top w:val="single" w:sz="12" w:space="0" w:color="auto"/>
              <w:left w:val="nil"/>
              <w:bottom w:val="single" w:sz="12" w:space="0" w:color="auto"/>
              <w:right w:val="nil"/>
            </w:tcBorders>
            <w:hideMark/>
          </w:tcPr>
          <w:p w14:paraId="7C767362" w14:textId="305006F2" w:rsidR="006C1132" w:rsidRPr="004635E5" w:rsidRDefault="002F3B07" w:rsidP="006C1132">
            <w:pPr>
              <w:pStyle w:val="Heading1"/>
              <w:numPr>
                <w:ilvl w:val="0"/>
                <w:numId w:val="0"/>
              </w:numPr>
              <w:adjustRightInd w:val="0"/>
              <w:snapToGrid w:val="0"/>
              <w:spacing w:after="0"/>
              <w:ind w:left="720"/>
            </w:pPr>
            <w:r w:rsidRPr="00CB6C95">
              <w:rPr>
                <w:rFonts w:eastAsia="Malgun Gothic"/>
                <w:lang w:val="en-AU" w:eastAsia="ko-KR"/>
              </w:rPr>
              <w:t>LIST OF PARTICIPANTS</w:t>
            </w:r>
            <w:r w:rsidR="006C1132" w:rsidRPr="004635E5">
              <w:t xml:space="preserve"> </w:t>
            </w:r>
            <w:r w:rsidR="001365CB" w:rsidRPr="004635E5">
              <w:fldChar w:fldCharType="begin"/>
            </w:r>
            <w:r w:rsidR="001365CB" w:rsidRPr="004635E5">
              <w:instrText xml:space="preserve"> TC "</w:instrText>
            </w:r>
            <w:bookmarkStart w:id="141" w:name="_Toc16418029"/>
            <w:r w:rsidR="001365CB">
              <w:instrText>ATTACHMENTS</w:instrText>
            </w:r>
            <w:bookmarkEnd w:id="141"/>
            <w:r w:rsidR="001365CB" w:rsidRPr="004635E5">
              <w:instrText xml:space="preserve"> " \f C \l "1" </w:instrText>
            </w:r>
            <w:r w:rsidR="001365CB" w:rsidRPr="004635E5">
              <w:fldChar w:fldCharType="end"/>
            </w:r>
            <w:r w:rsidR="006C1132" w:rsidRPr="004635E5">
              <w:fldChar w:fldCharType="begin"/>
            </w:r>
            <w:r w:rsidR="006C1132" w:rsidRPr="004635E5">
              <w:instrText xml:space="preserve"> TC "</w:instrText>
            </w:r>
            <w:bookmarkStart w:id="142" w:name="_Toc16418030"/>
            <w:r>
              <w:instrText xml:space="preserve">ATTACHMENT A — </w:instrText>
            </w:r>
            <w:r w:rsidR="006C1132">
              <w:instrText>LIST OF PARTICIPANTS</w:instrText>
            </w:r>
            <w:bookmarkEnd w:id="142"/>
            <w:r w:rsidR="006C1132" w:rsidRPr="004635E5">
              <w:instrText xml:space="preserve">" \f C \l "1" </w:instrText>
            </w:r>
            <w:r w:rsidR="006C1132" w:rsidRPr="004635E5">
              <w:fldChar w:fldCharType="end"/>
            </w:r>
          </w:p>
          <w:p w14:paraId="1C4FB204" w14:textId="4F7B2C01" w:rsidR="00167860" w:rsidRPr="00CB6C95" w:rsidRDefault="00167860" w:rsidP="006633A8">
            <w:pPr>
              <w:adjustRightInd w:val="0"/>
              <w:snapToGrid w:val="0"/>
              <w:jc w:val="center"/>
              <w:rPr>
                <w:rFonts w:eastAsia="Malgun Gothic"/>
                <w:b/>
                <w:sz w:val="22"/>
                <w:szCs w:val="22"/>
                <w:lang w:val="en-AU" w:eastAsia="ko-KR"/>
              </w:rPr>
            </w:pPr>
          </w:p>
        </w:tc>
      </w:tr>
    </w:tbl>
    <w:p w14:paraId="468F028A" w14:textId="77777777" w:rsidR="00167860" w:rsidRPr="00CB6C95" w:rsidRDefault="00167860" w:rsidP="00167860">
      <w:pPr>
        <w:pStyle w:val="WCPFC"/>
        <w:numPr>
          <w:ilvl w:val="0"/>
          <w:numId w:val="0"/>
        </w:numPr>
        <w:adjustRightInd w:val="0"/>
        <w:spacing w:after="0"/>
        <w:ind w:left="567" w:hanging="567"/>
        <w:rPr>
          <w:rFonts w:cs="Times New Roman"/>
        </w:rPr>
      </w:pPr>
    </w:p>
    <w:p w14:paraId="776140D8" w14:textId="77777777" w:rsidR="00167860" w:rsidRPr="00CB6C95" w:rsidRDefault="00167860" w:rsidP="00167860">
      <w:pPr>
        <w:adjustRightInd w:val="0"/>
        <w:snapToGrid w:val="0"/>
        <w:rPr>
          <w:color w:val="000000"/>
          <w:sz w:val="22"/>
          <w:szCs w:val="22"/>
        </w:rPr>
        <w:sectPr w:rsidR="00167860" w:rsidRPr="00CB6C95" w:rsidSect="007C29E5">
          <w:footerReference w:type="default" r:id="rId137"/>
          <w:pgSz w:w="12240" w:h="15840" w:code="1"/>
          <w:pgMar w:top="1440" w:right="1440" w:bottom="1440" w:left="1440" w:header="706" w:footer="706" w:gutter="0"/>
          <w:cols w:space="708"/>
          <w:docGrid w:linePitch="360"/>
        </w:sectPr>
      </w:pPr>
    </w:p>
    <w:p w14:paraId="6901A111" w14:textId="77777777" w:rsidR="00167860" w:rsidRPr="00CB6C95" w:rsidRDefault="00167860" w:rsidP="00167860">
      <w:pPr>
        <w:adjustRightInd w:val="0"/>
        <w:snapToGrid w:val="0"/>
        <w:rPr>
          <w:color w:val="000000"/>
          <w:sz w:val="22"/>
          <w:szCs w:val="22"/>
        </w:rPr>
      </w:pPr>
    </w:p>
    <w:p w14:paraId="7E8CFA17" w14:textId="77777777" w:rsidR="00167860" w:rsidRPr="00CB6C95" w:rsidRDefault="00167860" w:rsidP="00167860">
      <w:pPr>
        <w:adjustRightInd w:val="0"/>
        <w:snapToGrid w:val="0"/>
        <w:rPr>
          <w:b/>
          <w:i/>
          <w:caps/>
          <w:sz w:val="22"/>
          <w:szCs w:val="22"/>
          <w:lang w:eastAsia="ko-KR"/>
        </w:rPr>
        <w:sectPr w:rsidR="00167860" w:rsidRPr="00CB6C95" w:rsidSect="006633A8">
          <w:type w:val="continuous"/>
          <w:pgSz w:w="12240" w:h="15840" w:code="1"/>
          <w:pgMar w:top="1440" w:right="1440" w:bottom="1440" w:left="1440" w:header="706" w:footer="706" w:gutter="0"/>
          <w:cols w:space="708"/>
          <w:docGrid w:linePitch="360"/>
        </w:sectPr>
      </w:pPr>
    </w:p>
    <w:p w14:paraId="01633A4C"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Chair</w:t>
      </w:r>
    </w:p>
    <w:p w14:paraId="56C0257D" w14:textId="77777777" w:rsidR="00167860" w:rsidRPr="00CB6C95" w:rsidRDefault="00167860" w:rsidP="00167860">
      <w:pPr>
        <w:adjustRightInd w:val="0"/>
        <w:snapToGrid w:val="0"/>
        <w:rPr>
          <w:b/>
          <w:sz w:val="22"/>
          <w:szCs w:val="22"/>
          <w:lang w:eastAsia="ko-KR"/>
        </w:rPr>
      </w:pPr>
    </w:p>
    <w:p w14:paraId="246B08E0" w14:textId="77777777" w:rsidR="00167860" w:rsidRPr="00CB6C95" w:rsidRDefault="00167860" w:rsidP="00167860">
      <w:pPr>
        <w:adjustRightInd w:val="0"/>
        <w:snapToGrid w:val="0"/>
        <w:rPr>
          <w:b/>
          <w:sz w:val="22"/>
          <w:szCs w:val="22"/>
          <w:lang w:eastAsia="ko-KR"/>
        </w:rPr>
      </w:pPr>
      <w:r w:rsidRPr="00CB6C95">
        <w:rPr>
          <w:b/>
          <w:sz w:val="22"/>
          <w:szCs w:val="22"/>
          <w:lang w:eastAsia="ko-KR"/>
        </w:rPr>
        <w:t>Ueta Jr. Faasili</w:t>
      </w:r>
    </w:p>
    <w:p w14:paraId="39403DDC"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Principal Fisheries Officer</w:t>
      </w:r>
    </w:p>
    <w:p w14:paraId="7091FB82"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Ministry of Agriculture and Fisheries</w:t>
      </w:r>
    </w:p>
    <w:p w14:paraId="2B6A9B38" w14:textId="77777777" w:rsidR="00167860" w:rsidRPr="00CB6C95" w:rsidRDefault="00167860" w:rsidP="00167860">
      <w:pPr>
        <w:adjustRightInd w:val="0"/>
        <w:snapToGrid w:val="0"/>
        <w:rPr>
          <w:sz w:val="22"/>
          <w:szCs w:val="22"/>
          <w:lang w:eastAsia="ko-KR"/>
        </w:rPr>
      </w:pPr>
      <w:r w:rsidRPr="00CB6C95">
        <w:rPr>
          <w:sz w:val="22"/>
          <w:szCs w:val="22"/>
          <w:lang w:eastAsia="ko-KR"/>
        </w:rPr>
        <w:t>Samoaueta.faasili@maf.gov.ws</w:t>
      </w:r>
    </w:p>
    <w:p w14:paraId="33D189E3" w14:textId="77777777" w:rsidR="00167860" w:rsidRPr="00CB6C95" w:rsidRDefault="00167860" w:rsidP="00167860">
      <w:pPr>
        <w:adjustRightInd w:val="0"/>
        <w:snapToGrid w:val="0"/>
        <w:rPr>
          <w:sz w:val="22"/>
          <w:szCs w:val="22"/>
          <w:lang w:eastAsia="ko-KR"/>
        </w:rPr>
      </w:pPr>
    </w:p>
    <w:p w14:paraId="08A39B71"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Australia</w:t>
      </w:r>
    </w:p>
    <w:p w14:paraId="078EE697" w14:textId="77777777" w:rsidR="00167860" w:rsidRPr="00CB6C95" w:rsidRDefault="00167860" w:rsidP="00167860">
      <w:pPr>
        <w:adjustRightInd w:val="0"/>
        <w:snapToGrid w:val="0"/>
        <w:rPr>
          <w:b/>
          <w:sz w:val="22"/>
          <w:szCs w:val="22"/>
          <w:lang w:eastAsia="ko-KR"/>
        </w:rPr>
      </w:pPr>
    </w:p>
    <w:p w14:paraId="1030EC9A" w14:textId="77777777" w:rsidR="00167860" w:rsidRPr="00CB6C95" w:rsidRDefault="00167860" w:rsidP="00167860">
      <w:pPr>
        <w:adjustRightInd w:val="0"/>
        <w:snapToGrid w:val="0"/>
        <w:rPr>
          <w:b/>
          <w:sz w:val="22"/>
          <w:szCs w:val="22"/>
          <w:lang w:eastAsia="ko-KR"/>
        </w:rPr>
      </w:pPr>
      <w:r w:rsidRPr="00CB6C95">
        <w:rPr>
          <w:b/>
          <w:sz w:val="22"/>
          <w:szCs w:val="22"/>
          <w:lang w:eastAsia="ko-KR"/>
        </w:rPr>
        <w:t>James Larcombe</w:t>
      </w:r>
    </w:p>
    <w:p w14:paraId="3FF176D5" w14:textId="77777777" w:rsidR="00167860" w:rsidRPr="00CB6C95" w:rsidRDefault="00167860" w:rsidP="00167860">
      <w:pPr>
        <w:adjustRightInd w:val="0"/>
        <w:snapToGrid w:val="0"/>
        <w:rPr>
          <w:sz w:val="22"/>
          <w:szCs w:val="22"/>
          <w:lang w:eastAsia="ko-KR"/>
        </w:rPr>
      </w:pPr>
      <w:r w:rsidRPr="00CB6C95">
        <w:rPr>
          <w:sz w:val="22"/>
          <w:szCs w:val="22"/>
          <w:lang w:eastAsia="ko-KR"/>
        </w:rPr>
        <w:t>Senior Scientist</w:t>
      </w:r>
    </w:p>
    <w:p w14:paraId="2D68ADA2" w14:textId="77777777" w:rsidR="00167860" w:rsidRPr="00CB6C95" w:rsidRDefault="00167860" w:rsidP="00167860">
      <w:pPr>
        <w:adjustRightInd w:val="0"/>
        <w:snapToGrid w:val="0"/>
        <w:rPr>
          <w:sz w:val="22"/>
          <w:szCs w:val="22"/>
          <w:lang w:eastAsia="ko-KR"/>
        </w:rPr>
      </w:pPr>
      <w:r w:rsidRPr="00CB6C95">
        <w:rPr>
          <w:sz w:val="22"/>
          <w:szCs w:val="22"/>
          <w:lang w:eastAsia="ko-KR"/>
        </w:rPr>
        <w:t>Australian Department of Agriculture</w:t>
      </w:r>
    </w:p>
    <w:p w14:paraId="23D9FB0B" w14:textId="77777777" w:rsidR="00167860" w:rsidRPr="00CB6C95" w:rsidRDefault="00167860" w:rsidP="00167860">
      <w:pPr>
        <w:adjustRightInd w:val="0"/>
        <w:snapToGrid w:val="0"/>
        <w:rPr>
          <w:sz w:val="22"/>
          <w:szCs w:val="22"/>
          <w:lang w:eastAsia="ko-KR"/>
        </w:rPr>
      </w:pPr>
      <w:r w:rsidRPr="00CB6C95">
        <w:rPr>
          <w:sz w:val="22"/>
          <w:szCs w:val="22"/>
          <w:lang w:eastAsia="ko-KR"/>
        </w:rPr>
        <w:t>GPO Box 858</w:t>
      </w:r>
      <w:r w:rsidRPr="00CB6C95">
        <w:rPr>
          <w:sz w:val="22"/>
          <w:szCs w:val="22"/>
          <w:lang w:eastAsia="ko-KR"/>
        </w:rPr>
        <w:br/>
        <w:t>Canberra City ACT 2601 Australia</w:t>
      </w:r>
      <w:r w:rsidRPr="00CB6C95">
        <w:rPr>
          <w:sz w:val="22"/>
          <w:szCs w:val="22"/>
          <w:lang w:eastAsia="ko-KR"/>
        </w:rPr>
        <w:br/>
        <w:t>+01415084514</w:t>
      </w:r>
    </w:p>
    <w:p w14:paraId="7C808AA4" w14:textId="77777777" w:rsidR="00167860" w:rsidRPr="00CB6C95" w:rsidRDefault="00167860" w:rsidP="00167860">
      <w:pPr>
        <w:adjustRightInd w:val="0"/>
        <w:snapToGrid w:val="0"/>
        <w:rPr>
          <w:sz w:val="22"/>
          <w:szCs w:val="22"/>
          <w:lang w:eastAsia="ko-KR"/>
        </w:rPr>
      </w:pPr>
      <w:r w:rsidRPr="00CB6C95">
        <w:rPr>
          <w:sz w:val="22"/>
          <w:szCs w:val="22"/>
          <w:lang w:eastAsia="ko-KR"/>
        </w:rPr>
        <w:t>jwp.larcombe@gmail.com</w:t>
      </w:r>
    </w:p>
    <w:p w14:paraId="6A53B7E0" w14:textId="77777777" w:rsidR="00167860" w:rsidRPr="00CB6C95" w:rsidRDefault="00167860" w:rsidP="00167860">
      <w:pPr>
        <w:adjustRightInd w:val="0"/>
        <w:snapToGrid w:val="0"/>
        <w:rPr>
          <w:sz w:val="22"/>
          <w:szCs w:val="22"/>
          <w:lang w:eastAsia="ko-KR"/>
        </w:rPr>
      </w:pPr>
    </w:p>
    <w:p w14:paraId="28C207C9" w14:textId="77777777" w:rsidR="00167860" w:rsidRPr="00CB6C95" w:rsidRDefault="00167860" w:rsidP="00167860">
      <w:pPr>
        <w:adjustRightInd w:val="0"/>
        <w:snapToGrid w:val="0"/>
        <w:rPr>
          <w:b/>
          <w:sz w:val="22"/>
          <w:szCs w:val="22"/>
          <w:lang w:eastAsia="ko-KR"/>
        </w:rPr>
      </w:pPr>
      <w:r w:rsidRPr="00CB6C95">
        <w:rPr>
          <w:b/>
          <w:sz w:val="22"/>
          <w:szCs w:val="22"/>
          <w:lang w:eastAsia="ko-KR"/>
        </w:rPr>
        <w:t>Robert Campbell</w:t>
      </w:r>
    </w:p>
    <w:p w14:paraId="36B163B7"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Senior Fisheries Scientist</w:t>
      </w:r>
    </w:p>
    <w:p w14:paraId="4E4B3813"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CSIRO</w:t>
      </w:r>
    </w:p>
    <w:p w14:paraId="36B30D84"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Private Bag No. 1</w:t>
      </w:r>
    </w:p>
    <w:p w14:paraId="0E1A47EA"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Aspendale VIC 3195 Australia</w:t>
      </w:r>
    </w:p>
    <w:p w14:paraId="21459003" w14:textId="77777777" w:rsidR="00167860" w:rsidRPr="00CB6C95" w:rsidRDefault="00167860" w:rsidP="00167860">
      <w:pPr>
        <w:adjustRightInd w:val="0"/>
        <w:snapToGrid w:val="0"/>
        <w:rPr>
          <w:sz w:val="22"/>
          <w:szCs w:val="22"/>
          <w:lang w:eastAsia="ko-KR"/>
        </w:rPr>
      </w:pPr>
      <w:r w:rsidRPr="00CB6C95">
        <w:rPr>
          <w:sz w:val="22"/>
          <w:szCs w:val="22"/>
          <w:lang w:eastAsia="ko-KR"/>
        </w:rPr>
        <w:t>+61 3 9239 4681</w:t>
      </w:r>
    </w:p>
    <w:p w14:paraId="04B278D1" w14:textId="77777777" w:rsidR="00167860" w:rsidRPr="00CB6C95" w:rsidRDefault="00167860" w:rsidP="00167860">
      <w:pPr>
        <w:adjustRightInd w:val="0"/>
        <w:snapToGrid w:val="0"/>
        <w:rPr>
          <w:sz w:val="22"/>
          <w:szCs w:val="22"/>
          <w:lang w:eastAsia="ko-KR"/>
        </w:rPr>
      </w:pPr>
      <w:r w:rsidRPr="00CB6C95">
        <w:rPr>
          <w:sz w:val="22"/>
          <w:szCs w:val="22"/>
          <w:lang w:eastAsia="ko-KR"/>
        </w:rPr>
        <w:t>Robert.Campbell@csiro.au</w:t>
      </w:r>
    </w:p>
    <w:p w14:paraId="4DD1A678" w14:textId="77777777" w:rsidR="00167860" w:rsidRPr="00CB6C95" w:rsidRDefault="00167860" w:rsidP="00167860">
      <w:pPr>
        <w:adjustRightInd w:val="0"/>
        <w:snapToGrid w:val="0"/>
        <w:rPr>
          <w:sz w:val="22"/>
          <w:szCs w:val="22"/>
          <w:lang w:eastAsia="ko-KR"/>
        </w:rPr>
      </w:pPr>
    </w:p>
    <w:p w14:paraId="7EEC1A70" w14:textId="77777777" w:rsidR="00167860" w:rsidRPr="00CB6C95" w:rsidRDefault="00167860" w:rsidP="00167860">
      <w:pPr>
        <w:adjustRightInd w:val="0"/>
        <w:snapToGrid w:val="0"/>
        <w:rPr>
          <w:b/>
          <w:sz w:val="22"/>
          <w:szCs w:val="22"/>
          <w:lang w:eastAsia="ko-KR"/>
        </w:rPr>
      </w:pPr>
      <w:r w:rsidRPr="00CB6C95">
        <w:rPr>
          <w:b/>
          <w:sz w:val="22"/>
          <w:szCs w:val="22"/>
          <w:lang w:eastAsia="ko-KR"/>
        </w:rPr>
        <w:t>Kerry Smith</w:t>
      </w:r>
    </w:p>
    <w:p w14:paraId="42BF3A84"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Senior Manager, Foreign Compliance</w:t>
      </w:r>
    </w:p>
    <w:p w14:paraId="3D34AF4C"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Australian Fisheries Management</w:t>
      </w:r>
    </w:p>
    <w:p w14:paraId="2935CC2E"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Authority (AFMA)</w:t>
      </w:r>
    </w:p>
    <w:p w14:paraId="0FE6C4D3"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c/ Australian Fisheries Management</w:t>
      </w:r>
    </w:p>
    <w:p w14:paraId="23198A67"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Authority</w:t>
      </w:r>
    </w:p>
    <w:p w14:paraId="25DF4A4A"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PO Box 7051 Canberra BC, ACT</w:t>
      </w:r>
    </w:p>
    <w:p w14:paraId="0231CD8E" w14:textId="77777777" w:rsidR="00167860" w:rsidRPr="00CB6C95" w:rsidRDefault="00167860" w:rsidP="00167860">
      <w:pPr>
        <w:adjustRightInd w:val="0"/>
        <w:snapToGrid w:val="0"/>
        <w:rPr>
          <w:sz w:val="22"/>
          <w:szCs w:val="22"/>
          <w:lang w:eastAsia="ko-KR"/>
        </w:rPr>
      </w:pPr>
      <w:r w:rsidRPr="00CB6C95">
        <w:rPr>
          <w:sz w:val="22"/>
          <w:szCs w:val="22"/>
          <w:lang w:eastAsia="ko-KR"/>
        </w:rPr>
        <w:t>AUSTRALIA 2601</w:t>
      </w:r>
    </w:p>
    <w:p w14:paraId="4BA77DCD" w14:textId="77777777" w:rsidR="00167860" w:rsidRPr="00CB6C95" w:rsidRDefault="00167860" w:rsidP="00167860">
      <w:pPr>
        <w:adjustRightInd w:val="0"/>
        <w:snapToGrid w:val="0"/>
        <w:rPr>
          <w:sz w:val="22"/>
          <w:szCs w:val="22"/>
          <w:lang w:eastAsia="ko-KR"/>
        </w:rPr>
      </w:pPr>
      <w:r w:rsidRPr="00CB6C95">
        <w:rPr>
          <w:sz w:val="22"/>
          <w:szCs w:val="22"/>
          <w:lang w:eastAsia="ko-KR"/>
        </w:rPr>
        <w:t>kerry.smith@afma.gov.au</w:t>
      </w:r>
    </w:p>
    <w:p w14:paraId="73920AAC" w14:textId="77777777" w:rsidR="00167860" w:rsidRPr="00CB6C95" w:rsidRDefault="00167860" w:rsidP="00167860">
      <w:pPr>
        <w:adjustRightInd w:val="0"/>
        <w:snapToGrid w:val="0"/>
        <w:rPr>
          <w:sz w:val="22"/>
          <w:szCs w:val="22"/>
          <w:lang w:eastAsia="ko-KR"/>
        </w:rPr>
      </w:pPr>
    </w:p>
    <w:p w14:paraId="44B05A3A" w14:textId="77777777" w:rsidR="00167860" w:rsidRPr="00CB6C95" w:rsidRDefault="00167860" w:rsidP="00167860">
      <w:pPr>
        <w:adjustRightInd w:val="0"/>
        <w:snapToGrid w:val="0"/>
        <w:rPr>
          <w:b/>
          <w:sz w:val="22"/>
          <w:szCs w:val="22"/>
          <w:lang w:eastAsia="ko-KR"/>
        </w:rPr>
      </w:pPr>
      <w:r w:rsidRPr="00CB6C95">
        <w:rPr>
          <w:b/>
          <w:sz w:val="22"/>
          <w:szCs w:val="22"/>
          <w:lang w:eastAsia="ko-KR"/>
        </w:rPr>
        <w:t>Timothy Emery</w:t>
      </w:r>
    </w:p>
    <w:p w14:paraId="3C8232B8"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Fisheries Scientist</w:t>
      </w:r>
    </w:p>
    <w:p w14:paraId="69E099E7" w14:textId="77777777" w:rsidR="00167860" w:rsidRPr="00CB6C95" w:rsidRDefault="00167860" w:rsidP="00167860">
      <w:pPr>
        <w:adjustRightInd w:val="0"/>
        <w:snapToGrid w:val="0"/>
        <w:rPr>
          <w:sz w:val="22"/>
          <w:szCs w:val="22"/>
          <w:lang w:eastAsia="ko-KR"/>
        </w:rPr>
      </w:pPr>
      <w:r w:rsidRPr="00CB6C95">
        <w:rPr>
          <w:sz w:val="22"/>
          <w:szCs w:val="22"/>
          <w:lang w:eastAsia="ko-KR"/>
        </w:rPr>
        <w:t>Department of Agriculture and Water Resources</w:t>
      </w:r>
    </w:p>
    <w:p w14:paraId="687D23AF" w14:textId="77777777" w:rsidR="00167860" w:rsidRPr="00CB6C95" w:rsidRDefault="00167860" w:rsidP="00167860">
      <w:pPr>
        <w:adjustRightInd w:val="0"/>
        <w:snapToGrid w:val="0"/>
        <w:rPr>
          <w:sz w:val="22"/>
          <w:szCs w:val="22"/>
          <w:lang w:eastAsia="ko-KR"/>
        </w:rPr>
      </w:pPr>
      <w:r w:rsidRPr="00CB6C95">
        <w:rPr>
          <w:sz w:val="22"/>
          <w:szCs w:val="22"/>
          <w:lang w:eastAsia="ko-KR"/>
        </w:rPr>
        <w:t>timothy.emery@agriculture.gov.au</w:t>
      </w:r>
    </w:p>
    <w:p w14:paraId="23CED894" w14:textId="77777777" w:rsidR="00167860" w:rsidRPr="00CB6C95" w:rsidRDefault="00167860" w:rsidP="00167860">
      <w:pPr>
        <w:adjustRightInd w:val="0"/>
        <w:snapToGrid w:val="0"/>
        <w:rPr>
          <w:sz w:val="22"/>
          <w:szCs w:val="22"/>
          <w:lang w:eastAsia="ko-KR"/>
        </w:rPr>
      </w:pPr>
    </w:p>
    <w:p w14:paraId="51575DBD" w14:textId="77777777" w:rsidR="00167860" w:rsidRPr="00CB6C95" w:rsidRDefault="00167860" w:rsidP="00167860">
      <w:pPr>
        <w:adjustRightInd w:val="0"/>
        <w:snapToGrid w:val="0"/>
        <w:rPr>
          <w:b/>
          <w:sz w:val="22"/>
          <w:szCs w:val="22"/>
          <w:lang w:eastAsia="ko-KR"/>
        </w:rPr>
      </w:pPr>
      <w:r w:rsidRPr="00CB6C95">
        <w:rPr>
          <w:b/>
          <w:sz w:val="22"/>
          <w:szCs w:val="22"/>
          <w:lang w:eastAsia="ko-KR"/>
        </w:rPr>
        <w:t>Jessica Farley</w:t>
      </w:r>
    </w:p>
    <w:p w14:paraId="1FB3E970"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Senior Experimental Scientist</w:t>
      </w:r>
    </w:p>
    <w:p w14:paraId="540F35FE"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CSIRO</w:t>
      </w:r>
    </w:p>
    <w:p w14:paraId="669735FA"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GPO Box 1538, Hobart, Tasmania</w:t>
      </w:r>
    </w:p>
    <w:p w14:paraId="51FE9674"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7001, Australia</w:t>
      </w:r>
    </w:p>
    <w:p w14:paraId="2EDEC9CA" w14:textId="77777777" w:rsidR="00167860" w:rsidRPr="00CB6C95" w:rsidRDefault="00167860" w:rsidP="00167860">
      <w:pPr>
        <w:adjustRightInd w:val="0"/>
        <w:snapToGrid w:val="0"/>
        <w:rPr>
          <w:sz w:val="22"/>
          <w:szCs w:val="22"/>
          <w:lang w:eastAsia="ko-KR"/>
        </w:rPr>
      </w:pPr>
      <w:r w:rsidRPr="00CB6C95">
        <w:rPr>
          <w:sz w:val="22"/>
          <w:szCs w:val="22"/>
          <w:lang w:eastAsia="ko-KR"/>
        </w:rPr>
        <w:t>+61 3623 25189</w:t>
      </w:r>
    </w:p>
    <w:p w14:paraId="33F02892" w14:textId="77777777" w:rsidR="00167860" w:rsidRPr="00CB6C95" w:rsidRDefault="00167860" w:rsidP="00167860">
      <w:pPr>
        <w:adjustRightInd w:val="0"/>
        <w:snapToGrid w:val="0"/>
        <w:rPr>
          <w:sz w:val="22"/>
          <w:szCs w:val="22"/>
          <w:lang w:eastAsia="ko-KR"/>
        </w:rPr>
      </w:pPr>
      <w:r w:rsidRPr="00CB6C95">
        <w:rPr>
          <w:sz w:val="22"/>
          <w:szCs w:val="22"/>
          <w:lang w:eastAsia="ko-KR"/>
        </w:rPr>
        <w:t>jessica.farley@csiro.au</w:t>
      </w:r>
    </w:p>
    <w:p w14:paraId="1F5128E1" w14:textId="77777777" w:rsidR="00167860" w:rsidRPr="00CB6C95" w:rsidRDefault="00167860" w:rsidP="00167860">
      <w:pPr>
        <w:adjustRightInd w:val="0"/>
        <w:snapToGrid w:val="0"/>
        <w:rPr>
          <w:sz w:val="22"/>
          <w:szCs w:val="22"/>
          <w:lang w:eastAsia="ko-KR"/>
        </w:rPr>
      </w:pPr>
    </w:p>
    <w:p w14:paraId="079A104A"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China</w:t>
      </w:r>
    </w:p>
    <w:p w14:paraId="3C6FA479" w14:textId="77777777" w:rsidR="00167860" w:rsidRPr="00CB6C95" w:rsidRDefault="00167860" w:rsidP="00167860">
      <w:pPr>
        <w:adjustRightInd w:val="0"/>
        <w:snapToGrid w:val="0"/>
        <w:rPr>
          <w:b/>
          <w:sz w:val="22"/>
          <w:szCs w:val="22"/>
          <w:lang w:eastAsia="ko-KR"/>
        </w:rPr>
      </w:pPr>
    </w:p>
    <w:p w14:paraId="22059BA3" w14:textId="77777777" w:rsidR="00167860" w:rsidRPr="00CB6C95" w:rsidRDefault="00167860" w:rsidP="00167860">
      <w:pPr>
        <w:adjustRightInd w:val="0"/>
        <w:snapToGrid w:val="0"/>
        <w:rPr>
          <w:b/>
          <w:sz w:val="22"/>
          <w:szCs w:val="22"/>
          <w:lang w:eastAsia="ko-KR"/>
        </w:rPr>
      </w:pPr>
      <w:r w:rsidRPr="00CB6C95">
        <w:rPr>
          <w:b/>
          <w:sz w:val="22"/>
          <w:szCs w:val="22"/>
          <w:lang w:eastAsia="ko-KR"/>
        </w:rPr>
        <w:t>Xiaojie Dai</w:t>
      </w:r>
    </w:p>
    <w:p w14:paraId="4C308259" w14:textId="77777777" w:rsidR="00167860" w:rsidRPr="00CB6C95" w:rsidRDefault="00167860" w:rsidP="00167860">
      <w:pPr>
        <w:adjustRightInd w:val="0"/>
        <w:snapToGrid w:val="0"/>
        <w:rPr>
          <w:sz w:val="22"/>
          <w:szCs w:val="22"/>
          <w:lang w:eastAsia="ko-KR"/>
        </w:rPr>
      </w:pPr>
      <w:r w:rsidRPr="00CB6C95">
        <w:rPr>
          <w:sz w:val="22"/>
          <w:szCs w:val="22"/>
          <w:lang w:eastAsia="ko-KR"/>
        </w:rPr>
        <w:t>Shanghai Ocean University</w:t>
      </w:r>
    </w:p>
    <w:p w14:paraId="7C056AC4"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999 Hucheng Huan Road,201306,Shanghai, </w:t>
      </w:r>
    </w:p>
    <w:p w14:paraId="76DDEA9E" w14:textId="77777777" w:rsidR="00167860" w:rsidRPr="00CB6C95" w:rsidRDefault="00167860" w:rsidP="00167860">
      <w:pPr>
        <w:adjustRightInd w:val="0"/>
        <w:snapToGrid w:val="0"/>
        <w:rPr>
          <w:sz w:val="22"/>
          <w:szCs w:val="22"/>
          <w:lang w:eastAsia="ko-KR"/>
        </w:rPr>
      </w:pPr>
      <w:r w:rsidRPr="00CB6C95">
        <w:rPr>
          <w:sz w:val="22"/>
          <w:szCs w:val="22"/>
          <w:lang w:eastAsia="ko-KR"/>
        </w:rPr>
        <w:t>86-15692165351</w:t>
      </w:r>
    </w:p>
    <w:p w14:paraId="3A7EB4B2" w14:textId="77777777" w:rsidR="00167860" w:rsidRPr="00CB6C95" w:rsidRDefault="00167860" w:rsidP="00167860">
      <w:pPr>
        <w:adjustRightInd w:val="0"/>
        <w:snapToGrid w:val="0"/>
        <w:rPr>
          <w:sz w:val="22"/>
          <w:szCs w:val="22"/>
          <w:lang w:eastAsia="ko-KR"/>
        </w:rPr>
      </w:pPr>
      <w:r w:rsidRPr="00CB6C95">
        <w:rPr>
          <w:sz w:val="22"/>
          <w:szCs w:val="22"/>
          <w:lang w:eastAsia="ko-KR"/>
        </w:rPr>
        <w:t>xjdai@shou.edu.cn</w:t>
      </w:r>
    </w:p>
    <w:p w14:paraId="29E6EFE6" w14:textId="77777777" w:rsidR="00167860" w:rsidRPr="00CB6C95" w:rsidRDefault="00167860" w:rsidP="00167860">
      <w:pPr>
        <w:adjustRightInd w:val="0"/>
        <w:snapToGrid w:val="0"/>
        <w:rPr>
          <w:sz w:val="22"/>
          <w:szCs w:val="22"/>
          <w:lang w:eastAsia="ko-KR"/>
        </w:rPr>
      </w:pPr>
    </w:p>
    <w:p w14:paraId="1B8E1F3A" w14:textId="77777777" w:rsidR="00167860" w:rsidRPr="00CB6C95" w:rsidRDefault="00167860" w:rsidP="00167860">
      <w:pPr>
        <w:adjustRightInd w:val="0"/>
        <w:snapToGrid w:val="0"/>
        <w:rPr>
          <w:b/>
          <w:sz w:val="22"/>
          <w:szCs w:val="22"/>
          <w:lang w:eastAsia="ko-KR"/>
        </w:rPr>
      </w:pPr>
      <w:r w:rsidRPr="00CB6C95">
        <w:rPr>
          <w:b/>
          <w:sz w:val="22"/>
          <w:szCs w:val="22"/>
          <w:lang w:eastAsia="ko-KR"/>
        </w:rPr>
        <w:t>Xiaobing Liu</w:t>
      </w:r>
    </w:p>
    <w:p w14:paraId="3650B14A" w14:textId="77777777" w:rsidR="00167860" w:rsidRPr="00CB6C95" w:rsidRDefault="00167860" w:rsidP="00167860">
      <w:pPr>
        <w:adjustRightInd w:val="0"/>
        <w:snapToGrid w:val="0"/>
        <w:rPr>
          <w:sz w:val="22"/>
          <w:szCs w:val="22"/>
          <w:lang w:eastAsia="ko-KR"/>
        </w:rPr>
      </w:pPr>
      <w:r w:rsidRPr="00CB6C95">
        <w:rPr>
          <w:sz w:val="22"/>
          <w:szCs w:val="22"/>
          <w:lang w:eastAsia="ko-KR"/>
        </w:rPr>
        <w:t>Adviser</w:t>
      </w:r>
    </w:p>
    <w:p w14:paraId="50AE26B8" w14:textId="77777777" w:rsidR="00167860" w:rsidRPr="00CB6C95" w:rsidRDefault="00167860" w:rsidP="00167860">
      <w:pPr>
        <w:adjustRightInd w:val="0"/>
        <w:snapToGrid w:val="0"/>
        <w:rPr>
          <w:sz w:val="22"/>
          <w:szCs w:val="22"/>
          <w:lang w:eastAsia="ko-KR"/>
        </w:rPr>
      </w:pPr>
      <w:r w:rsidRPr="00CB6C95">
        <w:rPr>
          <w:sz w:val="22"/>
          <w:szCs w:val="22"/>
          <w:lang w:eastAsia="ko-KR"/>
        </w:rPr>
        <w:t>China Oversess Fisheries Association</w:t>
      </w:r>
    </w:p>
    <w:p w14:paraId="44103B95" w14:textId="77777777" w:rsidR="00167860" w:rsidRPr="00CB6C95" w:rsidRDefault="00167860" w:rsidP="00167860">
      <w:pPr>
        <w:adjustRightInd w:val="0"/>
        <w:snapToGrid w:val="0"/>
        <w:rPr>
          <w:sz w:val="22"/>
          <w:szCs w:val="22"/>
          <w:lang w:eastAsia="ko-KR"/>
        </w:rPr>
      </w:pPr>
      <w:r w:rsidRPr="00CB6C95">
        <w:rPr>
          <w:sz w:val="22"/>
          <w:szCs w:val="22"/>
          <w:lang w:eastAsia="ko-KR"/>
        </w:rPr>
        <w:t>Room 3-1101, Biulding Jia 9</w:t>
      </w:r>
      <w:r w:rsidRPr="00CB6C95">
        <w:rPr>
          <w:rFonts w:eastAsia="SimSun"/>
          <w:sz w:val="22"/>
          <w:szCs w:val="22"/>
          <w:lang w:eastAsia="ko-KR"/>
        </w:rPr>
        <w:t>，</w:t>
      </w:r>
      <w:r w:rsidRPr="00CB6C95">
        <w:rPr>
          <w:sz w:val="22"/>
          <w:szCs w:val="22"/>
          <w:lang w:eastAsia="ko-KR"/>
        </w:rPr>
        <w:t>No</w:t>
      </w:r>
      <w:r w:rsidRPr="00CB6C95">
        <w:rPr>
          <w:rFonts w:eastAsia="SimSun"/>
          <w:sz w:val="22"/>
          <w:szCs w:val="22"/>
          <w:lang w:eastAsia="ko-KR"/>
        </w:rPr>
        <w:t>，</w:t>
      </w:r>
      <w:r w:rsidRPr="00CB6C95">
        <w:rPr>
          <w:sz w:val="22"/>
          <w:szCs w:val="22"/>
          <w:lang w:eastAsia="ko-KR"/>
        </w:rPr>
        <w:t>12</w:t>
      </w:r>
      <w:r w:rsidRPr="00CB6C95" w:rsidDel="00734ABA">
        <w:rPr>
          <w:sz w:val="22"/>
          <w:szCs w:val="22"/>
          <w:lang w:eastAsia="ko-KR"/>
        </w:rPr>
        <w:t xml:space="preserve"> </w:t>
      </w:r>
    </w:p>
    <w:p w14:paraId="3DCA9BB2"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Zhongguancun Nandajie, Beijing,</w:t>
      </w:r>
    </w:p>
    <w:p w14:paraId="20C3C9F7" w14:textId="77777777" w:rsidR="00167860" w:rsidRPr="00CB6C95" w:rsidRDefault="00167860" w:rsidP="00167860">
      <w:pPr>
        <w:adjustRightInd w:val="0"/>
        <w:snapToGrid w:val="0"/>
        <w:rPr>
          <w:sz w:val="22"/>
          <w:szCs w:val="22"/>
          <w:lang w:eastAsia="ko-KR"/>
        </w:rPr>
      </w:pPr>
      <w:r w:rsidRPr="00CB6C95">
        <w:rPr>
          <w:sz w:val="22"/>
          <w:szCs w:val="22"/>
          <w:lang w:eastAsia="ko-KR"/>
        </w:rPr>
        <w:t>China, 100081</w:t>
      </w:r>
    </w:p>
    <w:p w14:paraId="1227DB74" w14:textId="77777777" w:rsidR="00167860" w:rsidRPr="00CB6C95" w:rsidRDefault="00167860" w:rsidP="00167860">
      <w:pPr>
        <w:adjustRightInd w:val="0"/>
        <w:snapToGrid w:val="0"/>
        <w:rPr>
          <w:sz w:val="22"/>
          <w:szCs w:val="22"/>
          <w:lang w:eastAsia="ko-KR"/>
        </w:rPr>
      </w:pPr>
      <w:r w:rsidRPr="00CB6C95">
        <w:rPr>
          <w:sz w:val="22"/>
          <w:szCs w:val="22"/>
          <w:lang w:eastAsia="ko-KR"/>
        </w:rPr>
        <w:t>86-13501359986</w:t>
      </w:r>
    </w:p>
    <w:p w14:paraId="1E1AB900" w14:textId="77777777" w:rsidR="00167860" w:rsidRPr="00CB6C95" w:rsidRDefault="00167860" w:rsidP="00167860">
      <w:pPr>
        <w:adjustRightInd w:val="0"/>
        <w:snapToGrid w:val="0"/>
        <w:rPr>
          <w:sz w:val="22"/>
          <w:szCs w:val="22"/>
          <w:lang w:eastAsia="ko-KR"/>
        </w:rPr>
      </w:pPr>
      <w:r w:rsidRPr="00CB6C95">
        <w:rPr>
          <w:sz w:val="22"/>
          <w:szCs w:val="22"/>
          <w:lang w:eastAsia="ko-KR"/>
        </w:rPr>
        <w:t>xiaobing.liu@hotmail.com</w:t>
      </w:r>
    </w:p>
    <w:p w14:paraId="0237EFE6" w14:textId="77777777" w:rsidR="00167860" w:rsidRPr="00CB6C95" w:rsidRDefault="00167860" w:rsidP="00167860">
      <w:pPr>
        <w:adjustRightInd w:val="0"/>
        <w:snapToGrid w:val="0"/>
        <w:rPr>
          <w:sz w:val="22"/>
          <w:szCs w:val="22"/>
          <w:lang w:eastAsia="ko-KR"/>
        </w:rPr>
      </w:pPr>
    </w:p>
    <w:p w14:paraId="36FAF531" w14:textId="77777777" w:rsidR="00167860" w:rsidRPr="00CB6C95" w:rsidRDefault="00167860" w:rsidP="00167860">
      <w:pPr>
        <w:adjustRightInd w:val="0"/>
        <w:snapToGrid w:val="0"/>
        <w:rPr>
          <w:b/>
          <w:sz w:val="22"/>
          <w:szCs w:val="22"/>
          <w:lang w:eastAsia="ko-KR"/>
        </w:rPr>
      </w:pPr>
      <w:r w:rsidRPr="00CB6C95">
        <w:rPr>
          <w:b/>
          <w:sz w:val="22"/>
          <w:szCs w:val="22"/>
          <w:lang w:eastAsia="ko-KR"/>
        </w:rPr>
        <w:t>Chen Yong</w:t>
      </w:r>
    </w:p>
    <w:p w14:paraId="549D19D7" w14:textId="77777777" w:rsidR="00167860" w:rsidRPr="00CB6C95" w:rsidRDefault="00167860" w:rsidP="00167860">
      <w:pPr>
        <w:adjustRightInd w:val="0"/>
        <w:snapToGrid w:val="0"/>
        <w:rPr>
          <w:sz w:val="22"/>
          <w:szCs w:val="22"/>
          <w:lang w:eastAsia="ko-KR"/>
        </w:rPr>
      </w:pPr>
      <w:r w:rsidRPr="00CB6C95">
        <w:rPr>
          <w:sz w:val="22"/>
          <w:szCs w:val="22"/>
          <w:lang w:eastAsia="ko-KR"/>
        </w:rPr>
        <w:t>Professor</w:t>
      </w:r>
    </w:p>
    <w:p w14:paraId="29F53110" w14:textId="77777777" w:rsidR="00167860" w:rsidRPr="00CB6C95" w:rsidRDefault="00167860" w:rsidP="00167860">
      <w:pPr>
        <w:adjustRightInd w:val="0"/>
        <w:snapToGrid w:val="0"/>
        <w:rPr>
          <w:sz w:val="22"/>
          <w:szCs w:val="22"/>
          <w:lang w:eastAsia="ko-KR"/>
        </w:rPr>
      </w:pPr>
      <w:r w:rsidRPr="00CB6C95">
        <w:rPr>
          <w:sz w:val="22"/>
          <w:szCs w:val="22"/>
          <w:lang w:eastAsia="ko-KR"/>
        </w:rPr>
        <w:t>Shanghai Ocean University</w:t>
      </w:r>
    </w:p>
    <w:p w14:paraId="3E67F221" w14:textId="77777777" w:rsidR="00167860" w:rsidRPr="00CB6C95" w:rsidRDefault="00167860" w:rsidP="00167860">
      <w:pPr>
        <w:adjustRightInd w:val="0"/>
        <w:snapToGrid w:val="0"/>
        <w:rPr>
          <w:sz w:val="22"/>
          <w:szCs w:val="22"/>
          <w:lang w:eastAsia="ko-KR"/>
        </w:rPr>
      </w:pPr>
      <w:r w:rsidRPr="00CB6C95">
        <w:rPr>
          <w:sz w:val="22"/>
          <w:szCs w:val="22"/>
          <w:lang w:eastAsia="ko-KR"/>
        </w:rPr>
        <w:t>cheny@shou.edu.cn</w:t>
      </w:r>
    </w:p>
    <w:p w14:paraId="34C0A21F" w14:textId="77777777" w:rsidR="00167860" w:rsidRPr="00CB6C95" w:rsidRDefault="00167860" w:rsidP="00167860">
      <w:pPr>
        <w:adjustRightInd w:val="0"/>
        <w:snapToGrid w:val="0"/>
        <w:rPr>
          <w:sz w:val="22"/>
          <w:szCs w:val="22"/>
          <w:lang w:eastAsia="ko-KR"/>
        </w:rPr>
      </w:pPr>
    </w:p>
    <w:p w14:paraId="5D1859B3" w14:textId="77777777" w:rsidR="00167860" w:rsidRPr="00CB6C95" w:rsidRDefault="00167860" w:rsidP="00167860">
      <w:pPr>
        <w:adjustRightInd w:val="0"/>
        <w:snapToGrid w:val="0"/>
        <w:rPr>
          <w:b/>
          <w:sz w:val="22"/>
          <w:szCs w:val="22"/>
          <w:lang w:eastAsia="ko-KR"/>
        </w:rPr>
      </w:pPr>
      <w:r w:rsidRPr="00CB6C95">
        <w:rPr>
          <w:b/>
          <w:sz w:val="22"/>
          <w:szCs w:val="22"/>
          <w:lang w:eastAsia="ko-KR"/>
        </w:rPr>
        <w:t>Xu Liuxiong</w:t>
      </w:r>
    </w:p>
    <w:p w14:paraId="0A360B16" w14:textId="77777777" w:rsidR="00167860" w:rsidRPr="00CB6C95" w:rsidRDefault="00167860" w:rsidP="00167860">
      <w:pPr>
        <w:adjustRightInd w:val="0"/>
        <w:snapToGrid w:val="0"/>
        <w:rPr>
          <w:sz w:val="22"/>
          <w:szCs w:val="22"/>
          <w:lang w:eastAsia="ko-KR"/>
        </w:rPr>
      </w:pPr>
      <w:r w:rsidRPr="00CB6C95">
        <w:rPr>
          <w:sz w:val="22"/>
          <w:szCs w:val="22"/>
          <w:lang w:eastAsia="ko-KR"/>
        </w:rPr>
        <w:t>Professor</w:t>
      </w:r>
    </w:p>
    <w:p w14:paraId="5654036A" w14:textId="77777777" w:rsidR="00167860" w:rsidRPr="00CB6C95" w:rsidRDefault="00167860" w:rsidP="00167860">
      <w:pPr>
        <w:adjustRightInd w:val="0"/>
        <w:snapToGrid w:val="0"/>
        <w:rPr>
          <w:sz w:val="22"/>
          <w:szCs w:val="22"/>
          <w:lang w:eastAsia="ko-KR"/>
        </w:rPr>
      </w:pPr>
      <w:r w:rsidRPr="00CB6C95">
        <w:rPr>
          <w:sz w:val="22"/>
          <w:szCs w:val="22"/>
          <w:lang w:eastAsia="ko-KR"/>
        </w:rPr>
        <w:t>Shanghai Ocean University</w:t>
      </w:r>
    </w:p>
    <w:p w14:paraId="7013CABA" w14:textId="77777777" w:rsidR="00167860" w:rsidRPr="00CB6C95" w:rsidRDefault="00167860" w:rsidP="00167860">
      <w:pPr>
        <w:adjustRightInd w:val="0"/>
        <w:snapToGrid w:val="0"/>
        <w:rPr>
          <w:sz w:val="22"/>
          <w:szCs w:val="22"/>
          <w:lang w:eastAsia="ko-KR"/>
        </w:rPr>
      </w:pPr>
      <w:r w:rsidRPr="00CB6C95">
        <w:rPr>
          <w:sz w:val="22"/>
          <w:szCs w:val="22"/>
          <w:lang w:eastAsia="ko-KR"/>
        </w:rPr>
        <w:t>lxxu@shou.edu.cn</w:t>
      </w:r>
    </w:p>
    <w:p w14:paraId="42553DE0" w14:textId="77777777" w:rsidR="00167860" w:rsidRPr="00CB6C95" w:rsidRDefault="00167860" w:rsidP="00167860">
      <w:pPr>
        <w:adjustRightInd w:val="0"/>
        <w:snapToGrid w:val="0"/>
        <w:rPr>
          <w:sz w:val="22"/>
          <w:szCs w:val="22"/>
          <w:lang w:eastAsia="ko-KR"/>
        </w:rPr>
      </w:pPr>
    </w:p>
    <w:p w14:paraId="5B33A166" w14:textId="77777777" w:rsidR="00167860" w:rsidRPr="00CB6C95" w:rsidRDefault="00167860" w:rsidP="00167860">
      <w:pPr>
        <w:adjustRightInd w:val="0"/>
        <w:snapToGrid w:val="0"/>
        <w:rPr>
          <w:b/>
          <w:sz w:val="22"/>
          <w:szCs w:val="22"/>
          <w:lang w:eastAsia="ko-KR"/>
        </w:rPr>
      </w:pPr>
      <w:r w:rsidRPr="00CB6C95">
        <w:rPr>
          <w:b/>
          <w:sz w:val="22"/>
          <w:szCs w:val="22"/>
          <w:lang w:eastAsia="ko-KR"/>
        </w:rPr>
        <w:t>Yanan Li</w:t>
      </w:r>
    </w:p>
    <w:p w14:paraId="66C3BCE4" w14:textId="77777777" w:rsidR="00167860" w:rsidRPr="00CB6C95" w:rsidRDefault="00167860" w:rsidP="00167860">
      <w:pPr>
        <w:adjustRightInd w:val="0"/>
        <w:snapToGrid w:val="0"/>
        <w:rPr>
          <w:sz w:val="22"/>
          <w:szCs w:val="22"/>
          <w:lang w:eastAsia="ko-KR"/>
        </w:rPr>
      </w:pPr>
      <w:r w:rsidRPr="00CB6C95">
        <w:rPr>
          <w:sz w:val="22"/>
          <w:szCs w:val="22"/>
          <w:lang w:eastAsia="ko-KR"/>
        </w:rPr>
        <w:t>Student</w:t>
      </w:r>
    </w:p>
    <w:p w14:paraId="7E3253D0" w14:textId="77777777" w:rsidR="00167860" w:rsidRPr="00CB6C95" w:rsidRDefault="00167860" w:rsidP="00167860">
      <w:pPr>
        <w:adjustRightInd w:val="0"/>
        <w:snapToGrid w:val="0"/>
        <w:rPr>
          <w:sz w:val="22"/>
          <w:szCs w:val="22"/>
          <w:lang w:eastAsia="ko-KR"/>
        </w:rPr>
      </w:pPr>
      <w:r w:rsidRPr="00CB6C95">
        <w:rPr>
          <w:sz w:val="22"/>
          <w:szCs w:val="22"/>
          <w:lang w:eastAsia="ko-KR"/>
        </w:rPr>
        <w:t>SHANGHAI OCEAN UNIVERSITY</w:t>
      </w:r>
    </w:p>
    <w:p w14:paraId="6BC63C5C" w14:textId="77777777" w:rsidR="00167860" w:rsidRPr="00CB6C95" w:rsidRDefault="00167860" w:rsidP="00167860">
      <w:pPr>
        <w:adjustRightInd w:val="0"/>
        <w:snapToGrid w:val="0"/>
        <w:rPr>
          <w:sz w:val="22"/>
          <w:szCs w:val="22"/>
          <w:lang w:eastAsia="ko-KR"/>
        </w:rPr>
      </w:pPr>
      <w:r w:rsidRPr="00CB6C95">
        <w:rPr>
          <w:sz w:val="22"/>
          <w:szCs w:val="22"/>
          <w:lang w:eastAsia="ko-KR"/>
        </w:rPr>
        <w:t>liyananxiada@yeah.net</w:t>
      </w:r>
    </w:p>
    <w:p w14:paraId="2F06818B" w14:textId="77777777" w:rsidR="00167860" w:rsidRPr="00CB6C95" w:rsidRDefault="00167860" w:rsidP="00167860">
      <w:pPr>
        <w:adjustRightInd w:val="0"/>
        <w:snapToGrid w:val="0"/>
        <w:rPr>
          <w:sz w:val="22"/>
          <w:szCs w:val="22"/>
          <w:lang w:eastAsia="ko-KR"/>
        </w:rPr>
      </w:pPr>
    </w:p>
    <w:p w14:paraId="27A48F88" w14:textId="77777777" w:rsidR="00167860" w:rsidRPr="00CB6C95" w:rsidRDefault="00167860" w:rsidP="00167860">
      <w:pPr>
        <w:adjustRightInd w:val="0"/>
        <w:snapToGrid w:val="0"/>
        <w:rPr>
          <w:b/>
          <w:sz w:val="22"/>
          <w:szCs w:val="22"/>
          <w:lang w:eastAsia="ko-KR"/>
        </w:rPr>
      </w:pPr>
      <w:r w:rsidRPr="00CB6C95">
        <w:rPr>
          <w:b/>
          <w:sz w:val="22"/>
          <w:szCs w:val="22"/>
          <w:lang w:eastAsia="ko-KR"/>
        </w:rPr>
        <w:t>Lin Qinqin</w:t>
      </w:r>
    </w:p>
    <w:p w14:paraId="6F232CAB" w14:textId="77777777" w:rsidR="00167860" w:rsidRPr="00CB6C95" w:rsidRDefault="00167860" w:rsidP="00167860">
      <w:pPr>
        <w:adjustRightInd w:val="0"/>
        <w:snapToGrid w:val="0"/>
        <w:rPr>
          <w:sz w:val="22"/>
          <w:szCs w:val="22"/>
          <w:lang w:eastAsia="ko-KR"/>
        </w:rPr>
      </w:pPr>
      <w:r w:rsidRPr="00CB6C95">
        <w:rPr>
          <w:sz w:val="22"/>
          <w:szCs w:val="22"/>
          <w:lang w:eastAsia="ko-KR"/>
        </w:rPr>
        <w:t>Student</w:t>
      </w:r>
    </w:p>
    <w:p w14:paraId="33759B47" w14:textId="77777777" w:rsidR="00167860" w:rsidRPr="00CB6C95" w:rsidRDefault="00167860" w:rsidP="00167860">
      <w:pPr>
        <w:adjustRightInd w:val="0"/>
        <w:snapToGrid w:val="0"/>
        <w:rPr>
          <w:sz w:val="22"/>
          <w:szCs w:val="22"/>
          <w:lang w:eastAsia="ko-KR"/>
        </w:rPr>
      </w:pPr>
      <w:r w:rsidRPr="00CB6C95">
        <w:rPr>
          <w:sz w:val="22"/>
          <w:szCs w:val="22"/>
          <w:lang w:eastAsia="ko-KR"/>
        </w:rPr>
        <w:t>Shanghai Ocean University</w:t>
      </w:r>
    </w:p>
    <w:p w14:paraId="41D2AFB6" w14:textId="77777777" w:rsidR="00167860" w:rsidRPr="00CB6C95" w:rsidRDefault="00167860" w:rsidP="00167860">
      <w:pPr>
        <w:adjustRightInd w:val="0"/>
        <w:snapToGrid w:val="0"/>
        <w:rPr>
          <w:sz w:val="22"/>
          <w:szCs w:val="22"/>
          <w:lang w:eastAsia="ko-KR"/>
        </w:rPr>
      </w:pPr>
      <w:r w:rsidRPr="00CB6C95">
        <w:rPr>
          <w:sz w:val="22"/>
          <w:szCs w:val="22"/>
          <w:lang w:eastAsia="ko-KR"/>
        </w:rPr>
        <w:t>qinqinlin_lucky@yeah.net</w:t>
      </w:r>
    </w:p>
    <w:p w14:paraId="4AABA671" w14:textId="77777777" w:rsidR="00167860" w:rsidRPr="00CB6C95" w:rsidRDefault="00167860" w:rsidP="00167860">
      <w:pPr>
        <w:adjustRightInd w:val="0"/>
        <w:snapToGrid w:val="0"/>
        <w:rPr>
          <w:sz w:val="22"/>
          <w:szCs w:val="22"/>
          <w:lang w:eastAsia="ko-KR"/>
        </w:rPr>
      </w:pPr>
    </w:p>
    <w:p w14:paraId="361D2846"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Cook Islands</w:t>
      </w:r>
    </w:p>
    <w:p w14:paraId="179EDC80" w14:textId="77777777" w:rsidR="00167860" w:rsidRPr="00CB6C95" w:rsidRDefault="00167860" w:rsidP="00167860">
      <w:pPr>
        <w:adjustRightInd w:val="0"/>
        <w:snapToGrid w:val="0"/>
        <w:rPr>
          <w:b/>
          <w:sz w:val="22"/>
          <w:szCs w:val="22"/>
          <w:lang w:eastAsia="ko-KR"/>
        </w:rPr>
      </w:pPr>
    </w:p>
    <w:p w14:paraId="447DD086" w14:textId="77777777" w:rsidR="00167860" w:rsidRPr="00CB6C95" w:rsidRDefault="00167860" w:rsidP="00167860">
      <w:pPr>
        <w:adjustRightInd w:val="0"/>
        <w:snapToGrid w:val="0"/>
        <w:rPr>
          <w:b/>
          <w:sz w:val="22"/>
          <w:szCs w:val="22"/>
          <w:lang w:eastAsia="ko-KR"/>
        </w:rPr>
      </w:pPr>
      <w:r w:rsidRPr="00CB6C95">
        <w:rPr>
          <w:b/>
          <w:sz w:val="22"/>
          <w:szCs w:val="22"/>
          <w:lang w:eastAsia="ko-KR"/>
        </w:rPr>
        <w:t>Marino Wichman</w:t>
      </w:r>
    </w:p>
    <w:p w14:paraId="29B57D19" w14:textId="77777777" w:rsidR="00167860" w:rsidRPr="00CB6C95" w:rsidRDefault="00167860" w:rsidP="00167860">
      <w:pPr>
        <w:adjustRightInd w:val="0"/>
        <w:snapToGrid w:val="0"/>
        <w:rPr>
          <w:sz w:val="22"/>
          <w:szCs w:val="22"/>
          <w:lang w:eastAsia="ko-KR"/>
        </w:rPr>
      </w:pPr>
      <w:r w:rsidRPr="00CB6C95">
        <w:rPr>
          <w:sz w:val="22"/>
          <w:szCs w:val="22"/>
          <w:lang w:eastAsia="ko-KR"/>
        </w:rPr>
        <w:t>Data Manager</w:t>
      </w:r>
    </w:p>
    <w:p w14:paraId="328CE872"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Marine Resources</w:t>
      </w:r>
    </w:p>
    <w:p w14:paraId="62BE3860" w14:textId="77777777" w:rsidR="00167860" w:rsidRPr="00CB6C95" w:rsidRDefault="00167860" w:rsidP="00167860">
      <w:pPr>
        <w:adjustRightInd w:val="0"/>
        <w:snapToGrid w:val="0"/>
        <w:rPr>
          <w:sz w:val="22"/>
          <w:szCs w:val="22"/>
          <w:lang w:eastAsia="ko-KR"/>
        </w:rPr>
      </w:pPr>
      <w:r w:rsidRPr="00CB6C95">
        <w:rPr>
          <w:sz w:val="22"/>
          <w:szCs w:val="22"/>
          <w:lang w:eastAsia="ko-KR"/>
        </w:rPr>
        <w:t>m.wichman@mmr.gov.ck</w:t>
      </w:r>
    </w:p>
    <w:p w14:paraId="3685A859" w14:textId="77777777" w:rsidR="00167860" w:rsidRPr="00CB6C95" w:rsidRDefault="00167860" w:rsidP="00167860">
      <w:pPr>
        <w:adjustRightInd w:val="0"/>
        <w:snapToGrid w:val="0"/>
        <w:rPr>
          <w:sz w:val="22"/>
          <w:szCs w:val="22"/>
          <w:lang w:eastAsia="ko-KR"/>
        </w:rPr>
      </w:pPr>
    </w:p>
    <w:p w14:paraId="40982045"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European Union</w:t>
      </w:r>
    </w:p>
    <w:p w14:paraId="271ACAEA" w14:textId="77777777" w:rsidR="00167860" w:rsidRPr="00CB6C95" w:rsidRDefault="00167860" w:rsidP="00167860">
      <w:pPr>
        <w:adjustRightInd w:val="0"/>
        <w:snapToGrid w:val="0"/>
        <w:rPr>
          <w:b/>
          <w:sz w:val="22"/>
          <w:szCs w:val="22"/>
          <w:lang w:eastAsia="ko-KR"/>
        </w:rPr>
      </w:pPr>
    </w:p>
    <w:p w14:paraId="49E7304D" w14:textId="77777777" w:rsidR="00167860" w:rsidRPr="00CB6C95" w:rsidRDefault="00167860" w:rsidP="00167860">
      <w:pPr>
        <w:adjustRightInd w:val="0"/>
        <w:snapToGrid w:val="0"/>
        <w:rPr>
          <w:b/>
          <w:sz w:val="22"/>
          <w:szCs w:val="22"/>
          <w:lang w:eastAsia="ko-KR"/>
        </w:rPr>
      </w:pPr>
      <w:r w:rsidRPr="00CB6C95">
        <w:rPr>
          <w:b/>
          <w:sz w:val="22"/>
          <w:szCs w:val="22"/>
          <w:lang w:eastAsia="ko-KR"/>
        </w:rPr>
        <w:t>Stamatios Varsamos</w:t>
      </w:r>
    </w:p>
    <w:p w14:paraId="4534C3C7" w14:textId="77777777" w:rsidR="00167860" w:rsidRPr="00CB6C95" w:rsidRDefault="00167860" w:rsidP="00167860">
      <w:pPr>
        <w:autoSpaceDE w:val="0"/>
        <w:autoSpaceDN w:val="0"/>
        <w:adjustRightInd w:val="0"/>
        <w:snapToGrid w:val="0"/>
        <w:rPr>
          <w:sz w:val="22"/>
          <w:szCs w:val="22"/>
          <w:lang w:eastAsia="ko-KR"/>
        </w:rPr>
      </w:pPr>
      <w:r w:rsidRPr="00CB6C95">
        <w:rPr>
          <w:sz w:val="22"/>
          <w:szCs w:val="22"/>
          <w:lang w:eastAsia="ko-KR"/>
        </w:rPr>
        <w:t>International relations officer/Scientific Officer</w:t>
      </w:r>
    </w:p>
    <w:p w14:paraId="14477FEA" w14:textId="77777777" w:rsidR="00167860" w:rsidRPr="00CB6C95" w:rsidRDefault="00167860" w:rsidP="00167860">
      <w:pPr>
        <w:adjustRightInd w:val="0"/>
        <w:snapToGrid w:val="0"/>
        <w:rPr>
          <w:sz w:val="22"/>
          <w:szCs w:val="22"/>
          <w:lang w:eastAsia="ko-KR"/>
        </w:rPr>
      </w:pPr>
      <w:r w:rsidRPr="00CB6C95">
        <w:rPr>
          <w:sz w:val="22"/>
          <w:szCs w:val="22"/>
          <w:lang w:eastAsia="ko-KR"/>
        </w:rPr>
        <w:t>Directorate General for Fisheries &amp; Maritime Affairs</w:t>
      </w:r>
    </w:p>
    <w:p w14:paraId="1602E696" w14:textId="77777777" w:rsidR="00167860" w:rsidRPr="00CB6C95" w:rsidRDefault="00167860" w:rsidP="00167860">
      <w:pPr>
        <w:adjustRightInd w:val="0"/>
        <w:snapToGrid w:val="0"/>
        <w:rPr>
          <w:sz w:val="22"/>
          <w:szCs w:val="22"/>
          <w:lang w:eastAsia="ko-KR"/>
        </w:rPr>
      </w:pPr>
      <w:r w:rsidRPr="00CB6C95">
        <w:rPr>
          <w:sz w:val="22"/>
          <w:szCs w:val="22"/>
          <w:lang w:eastAsia="ko-KR"/>
        </w:rPr>
        <w:t>stamatios.varsamos@ec.europa.eu</w:t>
      </w:r>
    </w:p>
    <w:p w14:paraId="0854D346" w14:textId="77777777" w:rsidR="00167860" w:rsidRPr="00CB6C95" w:rsidRDefault="00167860" w:rsidP="00167860">
      <w:pPr>
        <w:adjustRightInd w:val="0"/>
        <w:snapToGrid w:val="0"/>
        <w:rPr>
          <w:sz w:val="22"/>
          <w:szCs w:val="22"/>
          <w:lang w:eastAsia="ko-KR"/>
        </w:rPr>
      </w:pPr>
    </w:p>
    <w:p w14:paraId="3939E28C" w14:textId="77777777" w:rsidR="00167860" w:rsidRPr="00CB6C95" w:rsidRDefault="00167860" w:rsidP="00167860">
      <w:pPr>
        <w:adjustRightInd w:val="0"/>
        <w:snapToGrid w:val="0"/>
        <w:rPr>
          <w:b/>
          <w:sz w:val="22"/>
          <w:szCs w:val="22"/>
          <w:lang w:eastAsia="ko-KR"/>
        </w:rPr>
      </w:pPr>
      <w:r w:rsidRPr="00CB6C95">
        <w:rPr>
          <w:b/>
          <w:sz w:val="22"/>
          <w:szCs w:val="22"/>
          <w:lang w:eastAsia="ko-KR"/>
        </w:rPr>
        <w:t>Javier De La Cal</w:t>
      </w:r>
    </w:p>
    <w:p w14:paraId="7CB4DE96" w14:textId="77777777" w:rsidR="00167860" w:rsidRPr="00CB6C95" w:rsidRDefault="00167860" w:rsidP="00167860">
      <w:pPr>
        <w:adjustRightInd w:val="0"/>
        <w:snapToGrid w:val="0"/>
        <w:rPr>
          <w:sz w:val="22"/>
          <w:szCs w:val="22"/>
          <w:lang w:eastAsia="ko-KR"/>
        </w:rPr>
      </w:pPr>
      <w:r w:rsidRPr="00CB6C95">
        <w:rPr>
          <w:sz w:val="22"/>
          <w:szCs w:val="22"/>
          <w:lang w:eastAsia="ko-KR"/>
        </w:rPr>
        <w:t>Electronic Monitoring Project Manager</w:t>
      </w:r>
    </w:p>
    <w:p w14:paraId="41CC1681" w14:textId="77777777" w:rsidR="00167860" w:rsidRPr="00CB6C95" w:rsidRDefault="00167860" w:rsidP="00167860">
      <w:pPr>
        <w:adjustRightInd w:val="0"/>
        <w:snapToGrid w:val="0"/>
        <w:rPr>
          <w:sz w:val="22"/>
          <w:szCs w:val="22"/>
          <w:lang w:eastAsia="ko-KR"/>
        </w:rPr>
      </w:pPr>
      <w:r w:rsidRPr="00CB6C95">
        <w:rPr>
          <w:sz w:val="22"/>
          <w:szCs w:val="22"/>
          <w:lang w:eastAsia="ko-KR"/>
        </w:rPr>
        <w:t>Satlink, Spain</w:t>
      </w:r>
    </w:p>
    <w:p w14:paraId="4D883000" w14:textId="77777777" w:rsidR="00167860" w:rsidRPr="00CB6C95" w:rsidRDefault="00167860" w:rsidP="00167860">
      <w:pPr>
        <w:adjustRightInd w:val="0"/>
        <w:snapToGrid w:val="0"/>
        <w:rPr>
          <w:sz w:val="22"/>
          <w:szCs w:val="22"/>
          <w:lang w:eastAsia="ko-KR"/>
        </w:rPr>
      </w:pPr>
      <w:r w:rsidRPr="00CB6C95">
        <w:rPr>
          <w:sz w:val="22"/>
          <w:szCs w:val="22"/>
          <w:lang w:eastAsia="ko-KR"/>
        </w:rPr>
        <w:t>672281590</w:t>
      </w:r>
    </w:p>
    <w:p w14:paraId="7CA6415E" w14:textId="77777777" w:rsidR="00167860" w:rsidRPr="00CB6C95" w:rsidRDefault="00167860" w:rsidP="00167860">
      <w:pPr>
        <w:adjustRightInd w:val="0"/>
        <w:snapToGrid w:val="0"/>
        <w:rPr>
          <w:sz w:val="22"/>
          <w:szCs w:val="22"/>
          <w:lang w:eastAsia="ko-KR"/>
        </w:rPr>
      </w:pPr>
      <w:r w:rsidRPr="00CB6C95">
        <w:rPr>
          <w:sz w:val="22"/>
          <w:szCs w:val="22"/>
          <w:lang w:eastAsia="ko-KR"/>
        </w:rPr>
        <w:t>jdc@satlink.es</w:t>
      </w:r>
    </w:p>
    <w:p w14:paraId="1126BD65" w14:textId="77777777" w:rsidR="00167860" w:rsidRPr="00CB6C95" w:rsidRDefault="00167860" w:rsidP="00167860">
      <w:pPr>
        <w:adjustRightInd w:val="0"/>
        <w:snapToGrid w:val="0"/>
        <w:rPr>
          <w:sz w:val="22"/>
          <w:szCs w:val="22"/>
          <w:lang w:eastAsia="ko-KR"/>
        </w:rPr>
      </w:pPr>
    </w:p>
    <w:p w14:paraId="163C841E" w14:textId="77777777" w:rsidR="00167860" w:rsidRPr="00CB6C95" w:rsidRDefault="00167860" w:rsidP="00167860">
      <w:pPr>
        <w:adjustRightInd w:val="0"/>
        <w:snapToGrid w:val="0"/>
        <w:rPr>
          <w:b/>
          <w:sz w:val="22"/>
          <w:szCs w:val="22"/>
          <w:lang w:eastAsia="ko-KR"/>
        </w:rPr>
      </w:pPr>
      <w:r w:rsidRPr="00CB6C95">
        <w:rPr>
          <w:b/>
          <w:sz w:val="22"/>
          <w:szCs w:val="22"/>
          <w:lang w:eastAsia="ko-KR"/>
        </w:rPr>
        <w:t>Gonzalo Legorburu</w:t>
      </w:r>
    </w:p>
    <w:p w14:paraId="2AA51DC2" w14:textId="77777777" w:rsidR="00167860" w:rsidRPr="00CB6C95" w:rsidRDefault="00167860" w:rsidP="00167860">
      <w:pPr>
        <w:adjustRightInd w:val="0"/>
        <w:snapToGrid w:val="0"/>
        <w:rPr>
          <w:sz w:val="22"/>
          <w:szCs w:val="22"/>
          <w:lang w:eastAsia="ko-KR"/>
        </w:rPr>
      </w:pPr>
      <w:r w:rsidRPr="00CB6C95">
        <w:rPr>
          <w:sz w:val="22"/>
          <w:szCs w:val="22"/>
          <w:lang w:eastAsia="ko-KR"/>
        </w:rPr>
        <w:t>Director</w:t>
      </w:r>
    </w:p>
    <w:p w14:paraId="1B73716C" w14:textId="77777777" w:rsidR="00167860" w:rsidRPr="00CB6C95" w:rsidRDefault="00167860" w:rsidP="00167860">
      <w:pPr>
        <w:adjustRightInd w:val="0"/>
        <w:snapToGrid w:val="0"/>
        <w:rPr>
          <w:sz w:val="22"/>
          <w:szCs w:val="22"/>
          <w:lang w:eastAsia="ko-KR"/>
        </w:rPr>
      </w:pPr>
      <w:r w:rsidRPr="00CB6C95">
        <w:rPr>
          <w:sz w:val="22"/>
          <w:szCs w:val="22"/>
          <w:lang w:eastAsia="ko-KR"/>
        </w:rPr>
        <w:t>Digital Observer Services</w:t>
      </w:r>
    </w:p>
    <w:p w14:paraId="36D2FCD3"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Ribera de Axpe 50, 48950 Erandio, </w:t>
      </w:r>
    </w:p>
    <w:p w14:paraId="5739F428" w14:textId="77777777" w:rsidR="00167860" w:rsidRPr="00CB6C95" w:rsidRDefault="00167860" w:rsidP="00167860">
      <w:pPr>
        <w:adjustRightInd w:val="0"/>
        <w:snapToGrid w:val="0"/>
        <w:rPr>
          <w:sz w:val="22"/>
          <w:szCs w:val="22"/>
          <w:lang w:eastAsia="ko-KR"/>
        </w:rPr>
      </w:pPr>
      <w:r w:rsidRPr="00CB6C95">
        <w:rPr>
          <w:sz w:val="22"/>
          <w:szCs w:val="22"/>
          <w:lang w:eastAsia="ko-KR"/>
        </w:rPr>
        <w:t>Bizkaia. Spain</w:t>
      </w:r>
    </w:p>
    <w:p w14:paraId="655883A3" w14:textId="77777777" w:rsidR="00167860" w:rsidRPr="00CB6C95" w:rsidRDefault="00167860" w:rsidP="00167860">
      <w:pPr>
        <w:adjustRightInd w:val="0"/>
        <w:snapToGrid w:val="0"/>
        <w:rPr>
          <w:sz w:val="22"/>
          <w:szCs w:val="22"/>
          <w:lang w:eastAsia="ko-KR"/>
        </w:rPr>
      </w:pPr>
      <w:r w:rsidRPr="00CB6C95">
        <w:rPr>
          <w:sz w:val="22"/>
          <w:szCs w:val="22"/>
          <w:lang w:eastAsia="ko-KR"/>
        </w:rPr>
        <w:t>0034 944 361 710</w:t>
      </w:r>
    </w:p>
    <w:p w14:paraId="0FBEEDA4" w14:textId="77777777" w:rsidR="00167860" w:rsidRPr="00CB6C95" w:rsidRDefault="00167860" w:rsidP="00167860">
      <w:pPr>
        <w:adjustRightInd w:val="0"/>
        <w:snapToGrid w:val="0"/>
        <w:rPr>
          <w:sz w:val="22"/>
          <w:szCs w:val="22"/>
          <w:lang w:eastAsia="ko-KR"/>
        </w:rPr>
      </w:pPr>
      <w:r w:rsidRPr="00CB6C95">
        <w:rPr>
          <w:sz w:val="22"/>
          <w:szCs w:val="22"/>
          <w:lang w:eastAsia="ko-KR"/>
        </w:rPr>
        <w:t>glm@digitalobserver.org</w:t>
      </w:r>
    </w:p>
    <w:p w14:paraId="2AAF75DC" w14:textId="77777777" w:rsidR="00167860" w:rsidRPr="00CB6C95" w:rsidRDefault="00167860" w:rsidP="00167860">
      <w:pPr>
        <w:adjustRightInd w:val="0"/>
        <w:snapToGrid w:val="0"/>
        <w:rPr>
          <w:sz w:val="22"/>
          <w:szCs w:val="22"/>
          <w:lang w:eastAsia="ko-KR"/>
        </w:rPr>
      </w:pPr>
    </w:p>
    <w:p w14:paraId="28494520" w14:textId="77777777" w:rsidR="00167860" w:rsidRPr="00CB6C95" w:rsidRDefault="00167860" w:rsidP="00167860">
      <w:pPr>
        <w:adjustRightInd w:val="0"/>
        <w:snapToGrid w:val="0"/>
        <w:rPr>
          <w:b/>
          <w:sz w:val="22"/>
          <w:szCs w:val="22"/>
          <w:lang w:eastAsia="ko-KR"/>
        </w:rPr>
      </w:pPr>
      <w:r w:rsidRPr="00CB6C95">
        <w:rPr>
          <w:b/>
          <w:sz w:val="22"/>
          <w:szCs w:val="22"/>
          <w:lang w:eastAsia="ko-KR"/>
        </w:rPr>
        <w:t>Francisco J. Abascal</w:t>
      </w:r>
    </w:p>
    <w:p w14:paraId="1DEDAC0D" w14:textId="77777777" w:rsidR="00167860" w:rsidRPr="00CB6C95" w:rsidRDefault="00167860" w:rsidP="00167860">
      <w:pPr>
        <w:adjustRightInd w:val="0"/>
        <w:snapToGrid w:val="0"/>
        <w:rPr>
          <w:sz w:val="22"/>
          <w:szCs w:val="22"/>
          <w:lang w:eastAsia="ko-KR"/>
        </w:rPr>
      </w:pPr>
      <w:r w:rsidRPr="00CB6C95">
        <w:rPr>
          <w:sz w:val="22"/>
          <w:szCs w:val="22"/>
          <w:lang w:eastAsia="ko-KR"/>
        </w:rPr>
        <w:t>Fisheries Scientist</w:t>
      </w:r>
    </w:p>
    <w:p w14:paraId="41EE36E1" w14:textId="77777777" w:rsidR="00167860" w:rsidRPr="00CB6C95" w:rsidRDefault="00167860" w:rsidP="00167860">
      <w:pPr>
        <w:adjustRightInd w:val="0"/>
        <w:snapToGrid w:val="0"/>
        <w:rPr>
          <w:sz w:val="22"/>
          <w:szCs w:val="22"/>
          <w:lang w:eastAsia="ko-KR"/>
        </w:rPr>
      </w:pPr>
      <w:r w:rsidRPr="00CB6C95">
        <w:rPr>
          <w:sz w:val="22"/>
          <w:szCs w:val="22"/>
          <w:lang w:eastAsia="ko-KR"/>
        </w:rPr>
        <w:t>Spanish Institute of Oceanography</w:t>
      </w:r>
    </w:p>
    <w:p w14:paraId="6ABC2C81"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Centro Oceanografico de Canarias Via Espaldon. </w:t>
      </w:r>
    </w:p>
    <w:p w14:paraId="500437BD" w14:textId="77777777" w:rsidR="00167860" w:rsidRPr="00CB6C95" w:rsidRDefault="00167860" w:rsidP="00167860">
      <w:pPr>
        <w:adjustRightInd w:val="0"/>
        <w:snapToGrid w:val="0"/>
        <w:rPr>
          <w:sz w:val="22"/>
          <w:szCs w:val="22"/>
          <w:lang w:eastAsia="ko-KR"/>
        </w:rPr>
      </w:pPr>
      <w:r w:rsidRPr="00CB6C95">
        <w:rPr>
          <w:sz w:val="22"/>
          <w:szCs w:val="22"/>
          <w:lang w:eastAsia="ko-KR"/>
        </w:rPr>
        <w:t>Dársena Pesquera PCL 8</w:t>
      </w:r>
      <w:r w:rsidRPr="00CB6C95">
        <w:rPr>
          <w:sz w:val="22"/>
          <w:szCs w:val="22"/>
          <w:lang w:eastAsia="ko-KR"/>
        </w:rPr>
        <w:br/>
        <w:t>38180 Santa Cruz de Tenerife. Spain</w:t>
      </w:r>
    </w:p>
    <w:p w14:paraId="4CDB368F" w14:textId="77777777" w:rsidR="00167860" w:rsidRPr="00CB6C95" w:rsidRDefault="00167860" w:rsidP="00167860">
      <w:pPr>
        <w:adjustRightInd w:val="0"/>
        <w:snapToGrid w:val="0"/>
        <w:rPr>
          <w:sz w:val="22"/>
          <w:szCs w:val="22"/>
          <w:lang w:eastAsia="ko-KR"/>
        </w:rPr>
      </w:pPr>
      <w:r w:rsidRPr="00CB6C95">
        <w:rPr>
          <w:sz w:val="22"/>
          <w:szCs w:val="22"/>
          <w:lang w:eastAsia="ko-KR"/>
        </w:rPr>
        <w:t>francisco.abascal@ieo.es</w:t>
      </w:r>
    </w:p>
    <w:p w14:paraId="10C8F12E" w14:textId="77777777" w:rsidR="00167860" w:rsidRPr="00CB6C95" w:rsidRDefault="00167860" w:rsidP="00167860">
      <w:pPr>
        <w:adjustRightInd w:val="0"/>
        <w:snapToGrid w:val="0"/>
        <w:rPr>
          <w:sz w:val="22"/>
          <w:szCs w:val="22"/>
          <w:lang w:eastAsia="ko-KR"/>
        </w:rPr>
      </w:pPr>
    </w:p>
    <w:p w14:paraId="07D93467" w14:textId="77777777" w:rsidR="00167860" w:rsidRPr="00CB6C95" w:rsidRDefault="00167860" w:rsidP="00167860">
      <w:pPr>
        <w:adjustRightInd w:val="0"/>
        <w:snapToGrid w:val="0"/>
        <w:rPr>
          <w:b/>
          <w:sz w:val="22"/>
          <w:szCs w:val="22"/>
          <w:lang w:eastAsia="ko-KR"/>
        </w:rPr>
      </w:pPr>
      <w:r w:rsidRPr="00CB6C95">
        <w:rPr>
          <w:b/>
          <w:sz w:val="22"/>
          <w:szCs w:val="22"/>
          <w:lang w:eastAsia="ko-KR"/>
        </w:rPr>
        <w:t>Josu Santiago</w:t>
      </w:r>
    </w:p>
    <w:p w14:paraId="32BBF9DB" w14:textId="77777777" w:rsidR="00167860" w:rsidRPr="00CB6C95" w:rsidRDefault="00167860" w:rsidP="00167860">
      <w:pPr>
        <w:adjustRightInd w:val="0"/>
        <w:snapToGrid w:val="0"/>
        <w:rPr>
          <w:sz w:val="22"/>
          <w:szCs w:val="22"/>
          <w:lang w:eastAsia="ko-KR"/>
        </w:rPr>
      </w:pPr>
      <w:r w:rsidRPr="00CB6C95">
        <w:rPr>
          <w:sz w:val="22"/>
          <w:szCs w:val="22"/>
          <w:lang w:eastAsia="ko-KR"/>
        </w:rPr>
        <w:t>Head of the Tuna Research Area</w:t>
      </w:r>
    </w:p>
    <w:p w14:paraId="706D275D" w14:textId="77777777" w:rsidR="00167860" w:rsidRPr="00CB6C95" w:rsidRDefault="00167860" w:rsidP="00167860">
      <w:pPr>
        <w:adjustRightInd w:val="0"/>
        <w:snapToGrid w:val="0"/>
        <w:rPr>
          <w:sz w:val="22"/>
          <w:szCs w:val="22"/>
          <w:lang w:eastAsia="ko-KR"/>
        </w:rPr>
      </w:pPr>
      <w:r w:rsidRPr="00CB6C95">
        <w:rPr>
          <w:sz w:val="22"/>
          <w:szCs w:val="22"/>
          <w:lang w:eastAsia="ko-KR"/>
        </w:rPr>
        <w:t>AZTI</w:t>
      </w:r>
    </w:p>
    <w:p w14:paraId="268C0EB3"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Txatxarramendi Ugartea z/g. E-48395 </w:t>
      </w:r>
    </w:p>
    <w:p w14:paraId="661CC2DD" w14:textId="77777777" w:rsidR="00167860" w:rsidRPr="00CB6C95" w:rsidRDefault="00167860" w:rsidP="00167860">
      <w:pPr>
        <w:adjustRightInd w:val="0"/>
        <w:snapToGrid w:val="0"/>
        <w:rPr>
          <w:sz w:val="22"/>
          <w:szCs w:val="22"/>
          <w:lang w:eastAsia="ko-KR"/>
        </w:rPr>
      </w:pPr>
      <w:r w:rsidRPr="00CB6C95">
        <w:rPr>
          <w:sz w:val="22"/>
          <w:szCs w:val="22"/>
          <w:lang w:eastAsia="ko-KR"/>
        </w:rPr>
        <w:t>Sukarrieta – BIZKAIA, Spain</w:t>
      </w:r>
    </w:p>
    <w:p w14:paraId="786C9051" w14:textId="77777777" w:rsidR="00167860" w:rsidRPr="00CB6C95" w:rsidRDefault="00167860" w:rsidP="00167860">
      <w:pPr>
        <w:adjustRightInd w:val="0"/>
        <w:snapToGrid w:val="0"/>
        <w:rPr>
          <w:sz w:val="22"/>
          <w:szCs w:val="22"/>
          <w:lang w:eastAsia="ko-KR"/>
        </w:rPr>
      </w:pPr>
      <w:r w:rsidRPr="00CB6C95">
        <w:rPr>
          <w:sz w:val="22"/>
          <w:szCs w:val="22"/>
          <w:lang w:eastAsia="ko-KR"/>
        </w:rPr>
        <w:t>+34 664303631</w:t>
      </w:r>
    </w:p>
    <w:p w14:paraId="77E9732D" w14:textId="77777777" w:rsidR="00167860" w:rsidRPr="00CB6C95" w:rsidRDefault="00167860" w:rsidP="00167860">
      <w:pPr>
        <w:adjustRightInd w:val="0"/>
        <w:snapToGrid w:val="0"/>
        <w:rPr>
          <w:sz w:val="22"/>
          <w:szCs w:val="22"/>
          <w:lang w:eastAsia="ko-KR"/>
        </w:rPr>
      </w:pPr>
      <w:r w:rsidRPr="00CB6C95">
        <w:rPr>
          <w:sz w:val="22"/>
          <w:szCs w:val="22"/>
          <w:lang w:eastAsia="ko-KR"/>
        </w:rPr>
        <w:t>jsantiago@azti.es</w:t>
      </w:r>
    </w:p>
    <w:p w14:paraId="51F47A03" w14:textId="77777777" w:rsidR="00167860" w:rsidRPr="00CB6C95" w:rsidRDefault="00167860" w:rsidP="00167860">
      <w:pPr>
        <w:adjustRightInd w:val="0"/>
        <w:snapToGrid w:val="0"/>
        <w:rPr>
          <w:sz w:val="22"/>
          <w:szCs w:val="22"/>
          <w:lang w:eastAsia="ko-KR"/>
        </w:rPr>
      </w:pPr>
    </w:p>
    <w:p w14:paraId="2AF997E3" w14:textId="77777777" w:rsidR="00167860" w:rsidRPr="00CB6C95" w:rsidRDefault="00167860" w:rsidP="00167860">
      <w:pPr>
        <w:adjustRightInd w:val="0"/>
        <w:snapToGrid w:val="0"/>
        <w:rPr>
          <w:b/>
          <w:sz w:val="22"/>
          <w:szCs w:val="22"/>
          <w:lang w:eastAsia="ko-KR"/>
        </w:rPr>
      </w:pPr>
      <w:r w:rsidRPr="00CB6C95">
        <w:rPr>
          <w:b/>
          <w:sz w:val="22"/>
          <w:szCs w:val="22"/>
          <w:lang w:eastAsia="ko-KR"/>
        </w:rPr>
        <w:t>Massimiliano Cardinale</w:t>
      </w:r>
    </w:p>
    <w:p w14:paraId="4444AE4A" w14:textId="77777777" w:rsidR="00167860" w:rsidRPr="00CB6C95" w:rsidRDefault="00167860" w:rsidP="00167860">
      <w:pPr>
        <w:adjustRightInd w:val="0"/>
        <w:snapToGrid w:val="0"/>
        <w:rPr>
          <w:sz w:val="22"/>
          <w:szCs w:val="22"/>
          <w:lang w:eastAsia="ko-KR"/>
        </w:rPr>
      </w:pPr>
      <w:r w:rsidRPr="00CB6C95">
        <w:rPr>
          <w:sz w:val="22"/>
          <w:szCs w:val="22"/>
          <w:lang w:eastAsia="ko-KR"/>
        </w:rPr>
        <w:t>Scientist</w:t>
      </w:r>
    </w:p>
    <w:p w14:paraId="19DF2A05" w14:textId="77777777" w:rsidR="00167860" w:rsidRPr="00CB6C95" w:rsidRDefault="00167860" w:rsidP="00167860">
      <w:pPr>
        <w:adjustRightInd w:val="0"/>
        <w:snapToGrid w:val="0"/>
        <w:rPr>
          <w:sz w:val="22"/>
          <w:szCs w:val="22"/>
          <w:lang w:eastAsia="ko-KR"/>
        </w:rPr>
      </w:pPr>
      <w:r w:rsidRPr="00CB6C95">
        <w:rPr>
          <w:sz w:val="22"/>
          <w:szCs w:val="22"/>
          <w:lang w:eastAsia="ko-KR"/>
        </w:rPr>
        <w:t>EU/SLU</w:t>
      </w:r>
    </w:p>
    <w:p w14:paraId="215BD331" w14:textId="77777777" w:rsidR="00167860" w:rsidRPr="00CB6C95" w:rsidRDefault="00167860" w:rsidP="00167860">
      <w:pPr>
        <w:adjustRightInd w:val="0"/>
        <w:snapToGrid w:val="0"/>
        <w:rPr>
          <w:sz w:val="22"/>
          <w:szCs w:val="22"/>
          <w:lang w:eastAsia="ko-KR"/>
        </w:rPr>
      </w:pPr>
      <w:r w:rsidRPr="00CB6C95">
        <w:rPr>
          <w:sz w:val="22"/>
          <w:szCs w:val="22"/>
          <w:lang w:eastAsia="ko-KR"/>
        </w:rPr>
        <w:t>Nyponvägen, 27, 45338, Lysekil, Sweden</w:t>
      </w:r>
    </w:p>
    <w:p w14:paraId="5AC1BC51" w14:textId="77777777" w:rsidR="00167860" w:rsidRPr="00CB6C95" w:rsidRDefault="00167860" w:rsidP="00167860">
      <w:pPr>
        <w:adjustRightInd w:val="0"/>
        <w:snapToGrid w:val="0"/>
        <w:rPr>
          <w:sz w:val="22"/>
          <w:szCs w:val="22"/>
          <w:lang w:eastAsia="ko-KR"/>
        </w:rPr>
      </w:pPr>
      <w:r w:rsidRPr="00CB6C95">
        <w:rPr>
          <w:sz w:val="22"/>
          <w:szCs w:val="22"/>
          <w:lang w:eastAsia="ko-KR"/>
        </w:rPr>
        <w:t>+46761268005</w:t>
      </w:r>
    </w:p>
    <w:p w14:paraId="55624E22" w14:textId="77777777" w:rsidR="00167860" w:rsidRPr="00CB6C95" w:rsidRDefault="00167860" w:rsidP="00167860">
      <w:pPr>
        <w:adjustRightInd w:val="0"/>
        <w:snapToGrid w:val="0"/>
        <w:rPr>
          <w:sz w:val="22"/>
          <w:szCs w:val="22"/>
          <w:lang w:eastAsia="ko-KR"/>
        </w:rPr>
      </w:pPr>
      <w:r w:rsidRPr="00CB6C95">
        <w:rPr>
          <w:sz w:val="22"/>
          <w:szCs w:val="22"/>
          <w:lang w:eastAsia="ko-KR"/>
        </w:rPr>
        <w:t>massimiliano.cardinale@slu.se</w:t>
      </w:r>
    </w:p>
    <w:p w14:paraId="375C5EF8" w14:textId="77777777" w:rsidR="00167860" w:rsidRPr="00CB6C95" w:rsidRDefault="00167860" w:rsidP="00167860">
      <w:pPr>
        <w:adjustRightInd w:val="0"/>
        <w:snapToGrid w:val="0"/>
        <w:rPr>
          <w:sz w:val="22"/>
          <w:szCs w:val="22"/>
          <w:lang w:eastAsia="ko-KR"/>
        </w:rPr>
      </w:pPr>
    </w:p>
    <w:p w14:paraId="6DB42A28"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Federated States of Micronesia</w:t>
      </w:r>
    </w:p>
    <w:p w14:paraId="33C2271C" w14:textId="77777777" w:rsidR="00167860" w:rsidRPr="00CB6C95" w:rsidRDefault="00167860" w:rsidP="00167860">
      <w:pPr>
        <w:adjustRightInd w:val="0"/>
        <w:snapToGrid w:val="0"/>
        <w:rPr>
          <w:b/>
          <w:sz w:val="22"/>
          <w:szCs w:val="22"/>
          <w:lang w:eastAsia="ko-KR"/>
        </w:rPr>
      </w:pPr>
    </w:p>
    <w:p w14:paraId="3A632A46" w14:textId="77777777" w:rsidR="00167860" w:rsidRPr="00CB6C95" w:rsidRDefault="00167860" w:rsidP="00167860">
      <w:pPr>
        <w:adjustRightInd w:val="0"/>
        <w:snapToGrid w:val="0"/>
        <w:rPr>
          <w:b/>
          <w:sz w:val="22"/>
          <w:szCs w:val="22"/>
          <w:lang w:eastAsia="ko-KR"/>
        </w:rPr>
      </w:pPr>
      <w:r w:rsidRPr="00CB6C95">
        <w:rPr>
          <w:b/>
          <w:sz w:val="22"/>
          <w:szCs w:val="22"/>
          <w:lang w:eastAsia="ko-KR"/>
        </w:rPr>
        <w:t>Naiten Bradley Phillip Jr</w:t>
      </w:r>
    </w:p>
    <w:p w14:paraId="095995C0" w14:textId="77777777" w:rsidR="00167860" w:rsidRPr="00CB6C95" w:rsidRDefault="00167860" w:rsidP="00167860">
      <w:pPr>
        <w:adjustRightInd w:val="0"/>
        <w:snapToGrid w:val="0"/>
        <w:rPr>
          <w:sz w:val="22"/>
          <w:szCs w:val="22"/>
          <w:lang w:eastAsia="ko-KR"/>
        </w:rPr>
      </w:pPr>
      <w:r w:rsidRPr="00CB6C95">
        <w:rPr>
          <w:sz w:val="22"/>
          <w:szCs w:val="22"/>
          <w:lang w:eastAsia="ko-KR"/>
        </w:rPr>
        <w:t>Chief of Research</w:t>
      </w:r>
    </w:p>
    <w:p w14:paraId="4CD2A3D1" w14:textId="77777777" w:rsidR="00167860" w:rsidRPr="00CB6C95" w:rsidRDefault="00167860" w:rsidP="00167860">
      <w:pPr>
        <w:adjustRightInd w:val="0"/>
        <w:snapToGrid w:val="0"/>
        <w:rPr>
          <w:sz w:val="22"/>
          <w:szCs w:val="22"/>
          <w:lang w:eastAsia="ko-KR"/>
        </w:rPr>
      </w:pPr>
      <w:r w:rsidRPr="00CB6C95">
        <w:rPr>
          <w:sz w:val="22"/>
          <w:szCs w:val="22"/>
          <w:lang w:eastAsia="ko-KR"/>
        </w:rPr>
        <w:t>National Oceanic Resource Management Authority</w:t>
      </w:r>
    </w:p>
    <w:p w14:paraId="47E36430" w14:textId="77777777" w:rsidR="00167860" w:rsidRPr="00CB6C95" w:rsidRDefault="00167860" w:rsidP="00167860">
      <w:pPr>
        <w:adjustRightInd w:val="0"/>
        <w:snapToGrid w:val="0"/>
        <w:rPr>
          <w:sz w:val="22"/>
          <w:szCs w:val="22"/>
          <w:lang w:eastAsia="ko-KR"/>
        </w:rPr>
      </w:pPr>
      <w:r w:rsidRPr="00CB6C95">
        <w:rPr>
          <w:sz w:val="22"/>
          <w:szCs w:val="22"/>
          <w:lang w:eastAsia="ko-KR"/>
        </w:rPr>
        <w:t>bradley.phillip@norma.fm</w:t>
      </w:r>
    </w:p>
    <w:p w14:paraId="7987686A" w14:textId="77777777" w:rsidR="00167860" w:rsidRPr="00CB6C95" w:rsidRDefault="00167860" w:rsidP="00167860">
      <w:pPr>
        <w:adjustRightInd w:val="0"/>
        <w:snapToGrid w:val="0"/>
        <w:rPr>
          <w:sz w:val="22"/>
          <w:szCs w:val="22"/>
          <w:lang w:eastAsia="ko-KR"/>
        </w:rPr>
      </w:pPr>
    </w:p>
    <w:p w14:paraId="5ABDA8B0" w14:textId="77777777" w:rsidR="00167860" w:rsidRPr="00CB6C95" w:rsidRDefault="00167860" w:rsidP="00167860">
      <w:pPr>
        <w:adjustRightInd w:val="0"/>
        <w:snapToGrid w:val="0"/>
        <w:rPr>
          <w:b/>
          <w:sz w:val="22"/>
          <w:szCs w:val="22"/>
          <w:lang w:eastAsia="ko-KR"/>
        </w:rPr>
      </w:pPr>
      <w:r w:rsidRPr="00CB6C95">
        <w:rPr>
          <w:b/>
          <w:sz w:val="22"/>
          <w:szCs w:val="22"/>
          <w:lang w:eastAsia="ko-KR"/>
        </w:rPr>
        <w:t>Mathew Y. Chigiyal</w:t>
      </w:r>
    </w:p>
    <w:p w14:paraId="38FD3D48" w14:textId="77777777" w:rsidR="00167860" w:rsidRPr="00CB6C95" w:rsidRDefault="00167860" w:rsidP="00167860">
      <w:pPr>
        <w:adjustRightInd w:val="0"/>
        <w:snapToGrid w:val="0"/>
        <w:rPr>
          <w:sz w:val="22"/>
          <w:szCs w:val="22"/>
          <w:lang w:eastAsia="ko-KR"/>
        </w:rPr>
      </w:pPr>
      <w:r w:rsidRPr="00CB6C95">
        <w:rPr>
          <w:sz w:val="22"/>
          <w:szCs w:val="22"/>
          <w:lang w:eastAsia="ko-KR"/>
        </w:rPr>
        <w:t>Deputy Director</w:t>
      </w:r>
    </w:p>
    <w:p w14:paraId="6624C8B9" w14:textId="77777777" w:rsidR="00167860" w:rsidRPr="00CB6C95" w:rsidRDefault="00167860" w:rsidP="00167860">
      <w:pPr>
        <w:adjustRightInd w:val="0"/>
        <w:snapToGrid w:val="0"/>
        <w:rPr>
          <w:sz w:val="22"/>
          <w:szCs w:val="22"/>
          <w:lang w:eastAsia="ko-KR"/>
        </w:rPr>
      </w:pPr>
      <w:r w:rsidRPr="00CB6C95">
        <w:rPr>
          <w:sz w:val="22"/>
          <w:szCs w:val="22"/>
          <w:lang w:eastAsia="ko-KR"/>
        </w:rPr>
        <w:t>National Oceanic Resource Management Authority</w:t>
      </w:r>
    </w:p>
    <w:p w14:paraId="2C354BAF" w14:textId="77777777" w:rsidR="00167860" w:rsidRPr="00CB6C95" w:rsidRDefault="00167860" w:rsidP="00167860">
      <w:pPr>
        <w:adjustRightInd w:val="0"/>
        <w:snapToGrid w:val="0"/>
        <w:rPr>
          <w:sz w:val="22"/>
          <w:szCs w:val="22"/>
          <w:lang w:eastAsia="ko-KR"/>
        </w:rPr>
      </w:pPr>
      <w:r w:rsidRPr="00CB6C95">
        <w:rPr>
          <w:sz w:val="22"/>
          <w:szCs w:val="22"/>
          <w:lang w:eastAsia="ko-KR"/>
        </w:rPr>
        <w:t>P.O. Box PS122, Plaikir, Pohnpei FM 96941</w:t>
      </w:r>
    </w:p>
    <w:p w14:paraId="13A53053" w14:textId="77777777" w:rsidR="00167860" w:rsidRPr="00CB6C95" w:rsidRDefault="00167860" w:rsidP="00167860">
      <w:pPr>
        <w:adjustRightInd w:val="0"/>
        <w:snapToGrid w:val="0"/>
        <w:rPr>
          <w:sz w:val="22"/>
          <w:szCs w:val="22"/>
          <w:lang w:eastAsia="ko-KR"/>
        </w:rPr>
      </w:pPr>
      <w:r w:rsidRPr="00CB6C95">
        <w:rPr>
          <w:sz w:val="22"/>
          <w:szCs w:val="22"/>
          <w:lang w:eastAsia="ko-KR"/>
        </w:rPr>
        <w:t>320-2700</w:t>
      </w:r>
    </w:p>
    <w:p w14:paraId="433B9906" w14:textId="77777777" w:rsidR="00167860" w:rsidRPr="00CB6C95" w:rsidRDefault="00167860" w:rsidP="00167860">
      <w:pPr>
        <w:adjustRightInd w:val="0"/>
        <w:snapToGrid w:val="0"/>
        <w:rPr>
          <w:sz w:val="22"/>
          <w:szCs w:val="22"/>
          <w:lang w:eastAsia="ko-KR"/>
        </w:rPr>
      </w:pPr>
      <w:r w:rsidRPr="00CB6C95">
        <w:rPr>
          <w:sz w:val="22"/>
          <w:szCs w:val="22"/>
          <w:lang w:eastAsia="ko-KR"/>
        </w:rPr>
        <w:t>mchigiyal@norma.fm</w:t>
      </w:r>
    </w:p>
    <w:p w14:paraId="606A4FD9" w14:textId="77777777" w:rsidR="00167860" w:rsidRPr="00CB6C95" w:rsidRDefault="00167860" w:rsidP="00167860">
      <w:pPr>
        <w:adjustRightInd w:val="0"/>
        <w:snapToGrid w:val="0"/>
        <w:rPr>
          <w:sz w:val="22"/>
          <w:szCs w:val="22"/>
          <w:lang w:eastAsia="ko-KR"/>
        </w:rPr>
      </w:pPr>
    </w:p>
    <w:p w14:paraId="69861B69" w14:textId="77777777" w:rsidR="00167860" w:rsidRPr="00CB6C95" w:rsidRDefault="00167860" w:rsidP="00167860">
      <w:pPr>
        <w:adjustRightInd w:val="0"/>
        <w:snapToGrid w:val="0"/>
        <w:rPr>
          <w:b/>
          <w:sz w:val="22"/>
          <w:szCs w:val="22"/>
          <w:lang w:eastAsia="ko-KR"/>
        </w:rPr>
      </w:pPr>
      <w:r w:rsidRPr="00CB6C95">
        <w:rPr>
          <w:b/>
          <w:sz w:val="22"/>
          <w:szCs w:val="22"/>
          <w:lang w:eastAsia="ko-KR"/>
        </w:rPr>
        <w:t>Mavrick Adolf</w:t>
      </w:r>
    </w:p>
    <w:p w14:paraId="58D67458" w14:textId="77777777" w:rsidR="00167860" w:rsidRPr="00CB6C95" w:rsidRDefault="00167860" w:rsidP="00167860">
      <w:pPr>
        <w:adjustRightInd w:val="0"/>
        <w:snapToGrid w:val="0"/>
        <w:rPr>
          <w:sz w:val="22"/>
          <w:szCs w:val="22"/>
          <w:lang w:eastAsia="ko-KR"/>
        </w:rPr>
      </w:pPr>
      <w:r w:rsidRPr="00CB6C95">
        <w:rPr>
          <w:sz w:val="22"/>
          <w:szCs w:val="22"/>
          <w:lang w:eastAsia="ko-KR"/>
        </w:rPr>
        <w:t>Electronic Reporting Officer</w:t>
      </w:r>
    </w:p>
    <w:p w14:paraId="363A2EB5" w14:textId="77777777" w:rsidR="00167860" w:rsidRPr="00CB6C95" w:rsidRDefault="00167860" w:rsidP="00167860">
      <w:pPr>
        <w:adjustRightInd w:val="0"/>
        <w:snapToGrid w:val="0"/>
        <w:rPr>
          <w:sz w:val="22"/>
          <w:szCs w:val="22"/>
          <w:lang w:eastAsia="ko-KR"/>
        </w:rPr>
      </w:pPr>
      <w:r w:rsidRPr="00CB6C95">
        <w:rPr>
          <w:sz w:val="22"/>
          <w:szCs w:val="22"/>
          <w:lang w:eastAsia="ko-KR"/>
        </w:rPr>
        <w:t>National Oceanic Resource Management Authority</w:t>
      </w:r>
    </w:p>
    <w:p w14:paraId="711EAE51" w14:textId="77777777" w:rsidR="00167860" w:rsidRPr="00CB6C95" w:rsidRDefault="00167860" w:rsidP="00167860">
      <w:pPr>
        <w:adjustRightInd w:val="0"/>
        <w:snapToGrid w:val="0"/>
        <w:rPr>
          <w:sz w:val="22"/>
          <w:szCs w:val="22"/>
          <w:lang w:eastAsia="ko-KR"/>
        </w:rPr>
      </w:pPr>
      <w:r w:rsidRPr="00CB6C95">
        <w:rPr>
          <w:sz w:val="22"/>
          <w:szCs w:val="22"/>
          <w:lang w:eastAsia="ko-KR"/>
        </w:rPr>
        <w:t>madfmav1987@gmail.com</w:t>
      </w:r>
    </w:p>
    <w:p w14:paraId="41124E17" w14:textId="77777777" w:rsidR="00167860" w:rsidRPr="00CB6C95" w:rsidRDefault="00167860" w:rsidP="00167860">
      <w:pPr>
        <w:adjustRightInd w:val="0"/>
        <w:snapToGrid w:val="0"/>
        <w:rPr>
          <w:sz w:val="22"/>
          <w:szCs w:val="22"/>
          <w:lang w:eastAsia="ko-KR"/>
        </w:rPr>
      </w:pPr>
    </w:p>
    <w:p w14:paraId="764A9B26" w14:textId="77777777" w:rsidR="00167860" w:rsidRPr="00CB6C95" w:rsidRDefault="00167860" w:rsidP="00167860">
      <w:pPr>
        <w:adjustRightInd w:val="0"/>
        <w:snapToGrid w:val="0"/>
        <w:rPr>
          <w:b/>
          <w:sz w:val="22"/>
          <w:szCs w:val="22"/>
          <w:lang w:eastAsia="ko-KR"/>
        </w:rPr>
      </w:pPr>
      <w:r w:rsidRPr="00CB6C95">
        <w:rPr>
          <w:b/>
          <w:sz w:val="22"/>
          <w:szCs w:val="22"/>
          <w:lang w:eastAsia="ko-KR"/>
        </w:rPr>
        <w:t>Okean Ehmes</w:t>
      </w:r>
    </w:p>
    <w:p w14:paraId="272EF5FF" w14:textId="77777777" w:rsidR="00167860" w:rsidRPr="00CB6C95" w:rsidRDefault="00167860" w:rsidP="00167860">
      <w:pPr>
        <w:adjustRightInd w:val="0"/>
        <w:snapToGrid w:val="0"/>
        <w:rPr>
          <w:sz w:val="22"/>
          <w:szCs w:val="22"/>
          <w:lang w:eastAsia="ko-KR"/>
        </w:rPr>
      </w:pPr>
      <w:r w:rsidRPr="00CB6C95">
        <w:rPr>
          <w:sz w:val="22"/>
          <w:szCs w:val="22"/>
          <w:lang w:eastAsia="ko-KR"/>
        </w:rPr>
        <w:t>Project Coordinator</w:t>
      </w:r>
    </w:p>
    <w:p w14:paraId="4F9FEE69" w14:textId="77777777" w:rsidR="00167860" w:rsidRPr="00CB6C95" w:rsidRDefault="00167860" w:rsidP="00167860">
      <w:pPr>
        <w:adjustRightInd w:val="0"/>
        <w:snapToGrid w:val="0"/>
        <w:rPr>
          <w:sz w:val="22"/>
          <w:szCs w:val="22"/>
          <w:lang w:eastAsia="ko-KR"/>
        </w:rPr>
      </w:pPr>
      <w:r w:rsidRPr="00CB6C95">
        <w:rPr>
          <w:sz w:val="22"/>
          <w:szCs w:val="22"/>
          <w:lang w:eastAsia="ko-KR"/>
        </w:rPr>
        <w:t>FSM National Oceanic Resources Management Authority</w:t>
      </w:r>
    </w:p>
    <w:p w14:paraId="458A0384" w14:textId="77777777" w:rsidR="00167860" w:rsidRPr="00CB6C95" w:rsidRDefault="00167860" w:rsidP="00167860">
      <w:pPr>
        <w:adjustRightInd w:val="0"/>
        <w:snapToGrid w:val="0"/>
        <w:rPr>
          <w:sz w:val="22"/>
          <w:szCs w:val="22"/>
          <w:lang w:eastAsia="ko-KR"/>
        </w:rPr>
      </w:pPr>
      <w:r w:rsidRPr="00CB6C95">
        <w:rPr>
          <w:sz w:val="22"/>
          <w:szCs w:val="22"/>
          <w:lang w:eastAsia="ko-KR"/>
        </w:rPr>
        <w:t>P.O. Box PS-122</w:t>
      </w:r>
      <w:r w:rsidRPr="00CB6C95">
        <w:rPr>
          <w:sz w:val="22"/>
          <w:szCs w:val="22"/>
          <w:lang w:eastAsia="ko-KR"/>
        </w:rPr>
        <w:br/>
        <w:t>Pohnpei, FSM   96941</w:t>
      </w:r>
    </w:p>
    <w:p w14:paraId="5AB5C2D5" w14:textId="77777777" w:rsidR="00167860" w:rsidRPr="00CB6C95" w:rsidRDefault="00167860" w:rsidP="00167860">
      <w:pPr>
        <w:adjustRightInd w:val="0"/>
        <w:snapToGrid w:val="0"/>
        <w:rPr>
          <w:sz w:val="22"/>
          <w:szCs w:val="22"/>
          <w:lang w:eastAsia="ko-KR"/>
        </w:rPr>
      </w:pPr>
      <w:r w:rsidRPr="00CB6C95">
        <w:rPr>
          <w:sz w:val="22"/>
          <w:szCs w:val="22"/>
          <w:lang w:eastAsia="ko-KR"/>
        </w:rPr>
        <w:t>691-320-2700</w:t>
      </w:r>
    </w:p>
    <w:p w14:paraId="0A004418" w14:textId="77777777" w:rsidR="00167860" w:rsidRPr="00CB6C95" w:rsidRDefault="00167860" w:rsidP="00167860">
      <w:pPr>
        <w:adjustRightInd w:val="0"/>
        <w:snapToGrid w:val="0"/>
        <w:rPr>
          <w:sz w:val="22"/>
          <w:szCs w:val="22"/>
          <w:lang w:eastAsia="ko-KR"/>
        </w:rPr>
      </w:pPr>
      <w:r w:rsidRPr="00CB6C95">
        <w:rPr>
          <w:sz w:val="22"/>
          <w:szCs w:val="22"/>
          <w:lang w:eastAsia="ko-KR"/>
        </w:rPr>
        <w:t>okean.ehmes@norma.fm</w:t>
      </w:r>
    </w:p>
    <w:p w14:paraId="4740F09C" w14:textId="77777777" w:rsidR="00167860" w:rsidRPr="00CB6C95" w:rsidRDefault="00167860" w:rsidP="00167860">
      <w:pPr>
        <w:adjustRightInd w:val="0"/>
        <w:snapToGrid w:val="0"/>
        <w:rPr>
          <w:sz w:val="22"/>
          <w:szCs w:val="22"/>
          <w:lang w:eastAsia="ko-KR"/>
        </w:rPr>
      </w:pPr>
    </w:p>
    <w:p w14:paraId="215B6ABD" w14:textId="77777777" w:rsidR="00167860" w:rsidRPr="00CB6C95" w:rsidRDefault="00167860" w:rsidP="00167860">
      <w:pPr>
        <w:adjustRightInd w:val="0"/>
        <w:snapToGrid w:val="0"/>
        <w:rPr>
          <w:b/>
          <w:sz w:val="22"/>
          <w:szCs w:val="22"/>
          <w:lang w:eastAsia="ko-KR"/>
        </w:rPr>
      </w:pPr>
      <w:r w:rsidRPr="00CB6C95">
        <w:rPr>
          <w:b/>
          <w:sz w:val="22"/>
          <w:szCs w:val="22"/>
          <w:lang w:eastAsia="ko-KR"/>
        </w:rPr>
        <w:t>Jamel T James</w:t>
      </w:r>
    </w:p>
    <w:p w14:paraId="4B1A94E0" w14:textId="77777777" w:rsidR="00167860" w:rsidRPr="00CB6C95" w:rsidRDefault="00167860" w:rsidP="00167860">
      <w:pPr>
        <w:adjustRightInd w:val="0"/>
        <w:snapToGrid w:val="0"/>
        <w:rPr>
          <w:sz w:val="22"/>
          <w:szCs w:val="22"/>
          <w:lang w:eastAsia="ko-KR"/>
        </w:rPr>
      </w:pPr>
      <w:r w:rsidRPr="00CB6C95">
        <w:rPr>
          <w:sz w:val="22"/>
          <w:szCs w:val="22"/>
          <w:lang w:eastAsia="ko-KR"/>
        </w:rPr>
        <w:t>Assistant Fisheries Biologist</w:t>
      </w:r>
    </w:p>
    <w:p w14:paraId="55CE2266" w14:textId="77777777" w:rsidR="00167860" w:rsidRPr="00CB6C95" w:rsidRDefault="00167860" w:rsidP="00167860">
      <w:pPr>
        <w:adjustRightInd w:val="0"/>
        <w:snapToGrid w:val="0"/>
        <w:rPr>
          <w:sz w:val="22"/>
          <w:szCs w:val="22"/>
          <w:lang w:eastAsia="ko-KR"/>
        </w:rPr>
      </w:pPr>
      <w:r w:rsidRPr="00CB6C95">
        <w:rPr>
          <w:sz w:val="22"/>
          <w:szCs w:val="22"/>
          <w:lang w:eastAsia="ko-KR"/>
        </w:rPr>
        <w:t>National Oceanic Resource Management Authority (NORMA)</w:t>
      </w:r>
    </w:p>
    <w:p w14:paraId="600A98C4" w14:textId="77777777" w:rsidR="00167860" w:rsidRPr="00CB6C95" w:rsidRDefault="00167860" w:rsidP="00167860">
      <w:pPr>
        <w:adjustRightInd w:val="0"/>
        <w:snapToGrid w:val="0"/>
        <w:rPr>
          <w:sz w:val="22"/>
          <w:szCs w:val="22"/>
          <w:lang w:eastAsia="ko-KR"/>
        </w:rPr>
      </w:pPr>
      <w:r w:rsidRPr="00CB6C95">
        <w:rPr>
          <w:sz w:val="22"/>
          <w:szCs w:val="22"/>
          <w:lang w:eastAsia="ko-KR"/>
        </w:rPr>
        <w:t>P.O. Box PS-122</w:t>
      </w:r>
      <w:r w:rsidRPr="00CB6C95">
        <w:rPr>
          <w:sz w:val="22"/>
          <w:szCs w:val="22"/>
          <w:lang w:eastAsia="ko-KR"/>
        </w:rPr>
        <w:br/>
        <w:t>Palikir, Pohnpei FSM 96941</w:t>
      </w:r>
    </w:p>
    <w:p w14:paraId="11937EC2" w14:textId="77777777" w:rsidR="00167860" w:rsidRPr="00CB6C95" w:rsidRDefault="00167860" w:rsidP="00167860">
      <w:pPr>
        <w:adjustRightInd w:val="0"/>
        <w:snapToGrid w:val="0"/>
        <w:rPr>
          <w:sz w:val="22"/>
          <w:szCs w:val="22"/>
          <w:lang w:eastAsia="ko-KR"/>
        </w:rPr>
      </w:pPr>
      <w:r w:rsidRPr="00CB6C95">
        <w:rPr>
          <w:sz w:val="22"/>
          <w:szCs w:val="22"/>
          <w:lang w:eastAsia="ko-KR"/>
        </w:rPr>
        <w:t>691-320-2700 | 5181</w:t>
      </w:r>
    </w:p>
    <w:p w14:paraId="62728D00" w14:textId="77777777" w:rsidR="00167860" w:rsidRPr="00CB6C95" w:rsidRDefault="00167860" w:rsidP="00167860">
      <w:pPr>
        <w:adjustRightInd w:val="0"/>
        <w:snapToGrid w:val="0"/>
        <w:rPr>
          <w:sz w:val="22"/>
          <w:szCs w:val="22"/>
          <w:lang w:eastAsia="ko-KR"/>
        </w:rPr>
      </w:pPr>
      <w:r w:rsidRPr="00CB6C95">
        <w:rPr>
          <w:sz w:val="22"/>
          <w:szCs w:val="22"/>
          <w:lang w:eastAsia="ko-KR"/>
        </w:rPr>
        <w:t>jamel.james@norma.fm</w:t>
      </w:r>
    </w:p>
    <w:p w14:paraId="5F981F80" w14:textId="77777777" w:rsidR="00167860" w:rsidRPr="00CB6C95" w:rsidRDefault="00167860" w:rsidP="00167860">
      <w:pPr>
        <w:adjustRightInd w:val="0"/>
        <w:snapToGrid w:val="0"/>
        <w:rPr>
          <w:sz w:val="22"/>
          <w:szCs w:val="22"/>
          <w:lang w:eastAsia="ko-KR"/>
        </w:rPr>
      </w:pPr>
    </w:p>
    <w:p w14:paraId="69FD5DEB"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Fiji</w:t>
      </w:r>
    </w:p>
    <w:p w14:paraId="3808FA35" w14:textId="77777777" w:rsidR="00167860" w:rsidRPr="00CB6C95" w:rsidRDefault="00167860" w:rsidP="00167860">
      <w:pPr>
        <w:adjustRightInd w:val="0"/>
        <w:snapToGrid w:val="0"/>
        <w:rPr>
          <w:b/>
          <w:sz w:val="22"/>
          <w:szCs w:val="22"/>
          <w:lang w:eastAsia="ko-KR"/>
        </w:rPr>
      </w:pPr>
    </w:p>
    <w:p w14:paraId="4B738411" w14:textId="77777777" w:rsidR="00167860" w:rsidRPr="00CB6C95" w:rsidRDefault="00167860" w:rsidP="00167860">
      <w:pPr>
        <w:adjustRightInd w:val="0"/>
        <w:snapToGrid w:val="0"/>
        <w:rPr>
          <w:b/>
          <w:sz w:val="22"/>
          <w:szCs w:val="22"/>
          <w:lang w:eastAsia="ko-KR"/>
        </w:rPr>
      </w:pPr>
      <w:r w:rsidRPr="00CB6C95">
        <w:rPr>
          <w:b/>
          <w:sz w:val="22"/>
          <w:szCs w:val="22"/>
          <w:lang w:eastAsia="ko-KR"/>
        </w:rPr>
        <w:t xml:space="preserve">Aisake Batibasaga </w:t>
      </w:r>
    </w:p>
    <w:p w14:paraId="299E5E96" w14:textId="77777777" w:rsidR="00167860" w:rsidRPr="00CB6C95" w:rsidRDefault="00167860" w:rsidP="00167860">
      <w:pPr>
        <w:adjustRightInd w:val="0"/>
        <w:snapToGrid w:val="0"/>
        <w:rPr>
          <w:sz w:val="22"/>
          <w:szCs w:val="22"/>
          <w:lang w:eastAsia="ko-KR"/>
        </w:rPr>
      </w:pPr>
      <w:r w:rsidRPr="00CB6C95">
        <w:rPr>
          <w:sz w:val="22"/>
          <w:szCs w:val="22"/>
          <w:lang w:eastAsia="ko-KR"/>
        </w:rPr>
        <w:t>Director Fisheries</w:t>
      </w:r>
    </w:p>
    <w:p w14:paraId="3B9F753D"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Fisheries</w:t>
      </w:r>
    </w:p>
    <w:p w14:paraId="6F616958"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Takayawa Building Levle 1 </w:t>
      </w:r>
      <w:r w:rsidRPr="00CB6C95">
        <w:rPr>
          <w:sz w:val="22"/>
          <w:szCs w:val="22"/>
          <w:lang w:eastAsia="ko-KR"/>
        </w:rPr>
        <w:br/>
        <w:t xml:space="preserve">Toorak, Suva, Fiji Islands </w:t>
      </w:r>
    </w:p>
    <w:p w14:paraId="07133A0D" w14:textId="77777777" w:rsidR="00167860" w:rsidRPr="00CB6C95" w:rsidRDefault="00167860" w:rsidP="00167860">
      <w:pPr>
        <w:adjustRightInd w:val="0"/>
        <w:snapToGrid w:val="0"/>
        <w:rPr>
          <w:sz w:val="22"/>
          <w:szCs w:val="22"/>
          <w:lang w:eastAsia="ko-KR"/>
        </w:rPr>
      </w:pPr>
      <w:r w:rsidRPr="00CB6C95">
        <w:rPr>
          <w:sz w:val="22"/>
          <w:szCs w:val="22"/>
          <w:lang w:eastAsia="ko-KR"/>
        </w:rPr>
        <w:t>(679) 3301611</w:t>
      </w:r>
    </w:p>
    <w:p w14:paraId="07A6B98D" w14:textId="77777777" w:rsidR="00167860" w:rsidRPr="00CB6C95" w:rsidRDefault="00167860" w:rsidP="00167860">
      <w:pPr>
        <w:adjustRightInd w:val="0"/>
        <w:snapToGrid w:val="0"/>
        <w:rPr>
          <w:sz w:val="22"/>
          <w:szCs w:val="22"/>
          <w:lang w:eastAsia="ko-KR"/>
        </w:rPr>
      </w:pPr>
      <w:r w:rsidRPr="00CB6C95">
        <w:rPr>
          <w:sz w:val="22"/>
          <w:szCs w:val="22"/>
          <w:lang w:eastAsia="ko-KR"/>
        </w:rPr>
        <w:t>abatibasaga@gmail.com</w:t>
      </w:r>
    </w:p>
    <w:p w14:paraId="22290BE0" w14:textId="77777777" w:rsidR="00167860" w:rsidRPr="00CB6C95" w:rsidRDefault="00167860" w:rsidP="00167860">
      <w:pPr>
        <w:adjustRightInd w:val="0"/>
        <w:snapToGrid w:val="0"/>
        <w:rPr>
          <w:sz w:val="22"/>
          <w:szCs w:val="22"/>
          <w:lang w:eastAsia="ko-KR"/>
        </w:rPr>
      </w:pPr>
    </w:p>
    <w:p w14:paraId="1BB945F4" w14:textId="77777777" w:rsidR="00167860" w:rsidRPr="00CB6C95" w:rsidRDefault="00167860" w:rsidP="00167860">
      <w:pPr>
        <w:adjustRightInd w:val="0"/>
        <w:snapToGrid w:val="0"/>
        <w:rPr>
          <w:b/>
          <w:sz w:val="22"/>
          <w:szCs w:val="22"/>
          <w:lang w:eastAsia="ko-KR"/>
        </w:rPr>
      </w:pPr>
      <w:r w:rsidRPr="00CB6C95">
        <w:rPr>
          <w:b/>
          <w:sz w:val="22"/>
          <w:szCs w:val="22"/>
          <w:lang w:eastAsia="ko-KR"/>
        </w:rPr>
        <w:t>Vakaoca Kedrayate</w:t>
      </w:r>
    </w:p>
    <w:p w14:paraId="2DBD503F"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Senior Foreign Service Officer </w:t>
      </w:r>
    </w:p>
    <w:p w14:paraId="52BC59FA"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Foreign Affairs Fiji</w:t>
      </w:r>
    </w:p>
    <w:p w14:paraId="1ED4A48A" w14:textId="77777777" w:rsidR="00167860" w:rsidRPr="00CB6C95" w:rsidRDefault="00167860" w:rsidP="00167860">
      <w:pPr>
        <w:adjustRightInd w:val="0"/>
        <w:snapToGrid w:val="0"/>
        <w:rPr>
          <w:sz w:val="22"/>
          <w:szCs w:val="22"/>
          <w:lang w:eastAsia="ko-KR"/>
        </w:rPr>
      </w:pPr>
      <w:r w:rsidRPr="00CB6C95">
        <w:rPr>
          <w:sz w:val="22"/>
          <w:szCs w:val="22"/>
          <w:lang w:eastAsia="ko-KR"/>
        </w:rPr>
        <w:t>vakaoca.kedrayate@gmail.com</w:t>
      </w:r>
    </w:p>
    <w:p w14:paraId="5EB8F801" w14:textId="77777777" w:rsidR="00167860" w:rsidRPr="00CB6C95" w:rsidRDefault="00167860" w:rsidP="00167860">
      <w:pPr>
        <w:adjustRightInd w:val="0"/>
        <w:snapToGrid w:val="0"/>
        <w:rPr>
          <w:sz w:val="22"/>
          <w:szCs w:val="22"/>
          <w:lang w:eastAsia="ko-KR"/>
        </w:rPr>
      </w:pPr>
    </w:p>
    <w:p w14:paraId="790F2F34" w14:textId="77777777" w:rsidR="00167860" w:rsidRPr="00CB6C95" w:rsidRDefault="00167860" w:rsidP="00167860">
      <w:pPr>
        <w:adjustRightInd w:val="0"/>
        <w:snapToGrid w:val="0"/>
        <w:rPr>
          <w:b/>
          <w:sz w:val="22"/>
          <w:szCs w:val="22"/>
          <w:lang w:eastAsia="ko-KR"/>
        </w:rPr>
      </w:pPr>
      <w:r w:rsidRPr="00CB6C95">
        <w:rPr>
          <w:b/>
          <w:sz w:val="22"/>
          <w:szCs w:val="22"/>
          <w:lang w:eastAsia="ko-KR"/>
        </w:rPr>
        <w:t xml:space="preserve">Jyanti Singh </w:t>
      </w:r>
    </w:p>
    <w:p w14:paraId="5692CCDC"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Fisheries Technical Officer [Data Managment ] </w:t>
      </w:r>
    </w:p>
    <w:p w14:paraId="58C9EE36"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Fisheries</w:t>
      </w:r>
    </w:p>
    <w:p w14:paraId="55C462BC"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Takayawa Building Levle 1 </w:t>
      </w:r>
      <w:r w:rsidRPr="00CB6C95">
        <w:rPr>
          <w:sz w:val="22"/>
          <w:szCs w:val="22"/>
          <w:lang w:eastAsia="ko-KR"/>
        </w:rPr>
        <w:br/>
        <w:t>Toorak, Suva</w:t>
      </w:r>
      <w:r w:rsidRPr="00CB6C95">
        <w:rPr>
          <w:sz w:val="22"/>
          <w:szCs w:val="22"/>
          <w:lang w:eastAsia="ko-KR"/>
        </w:rPr>
        <w:br/>
        <w:t>(679) 3301611</w:t>
      </w:r>
    </w:p>
    <w:p w14:paraId="6A0CAD52" w14:textId="77777777" w:rsidR="00167860" w:rsidRPr="00CB6C95" w:rsidRDefault="00167860" w:rsidP="00167860">
      <w:pPr>
        <w:adjustRightInd w:val="0"/>
        <w:snapToGrid w:val="0"/>
        <w:rPr>
          <w:sz w:val="22"/>
          <w:szCs w:val="22"/>
          <w:lang w:eastAsia="ko-KR"/>
        </w:rPr>
      </w:pPr>
      <w:r w:rsidRPr="00CB6C95">
        <w:rPr>
          <w:sz w:val="22"/>
          <w:szCs w:val="22"/>
          <w:lang w:eastAsia="ko-KR"/>
        </w:rPr>
        <w:t>singhjyanti13@gmail.com</w:t>
      </w:r>
    </w:p>
    <w:p w14:paraId="036219A1" w14:textId="77777777" w:rsidR="00167860" w:rsidRPr="00CB6C95" w:rsidRDefault="00167860" w:rsidP="00167860">
      <w:pPr>
        <w:adjustRightInd w:val="0"/>
        <w:snapToGrid w:val="0"/>
        <w:rPr>
          <w:sz w:val="22"/>
          <w:szCs w:val="22"/>
          <w:lang w:eastAsia="ko-KR"/>
        </w:rPr>
      </w:pPr>
    </w:p>
    <w:p w14:paraId="657DEC1C" w14:textId="77777777" w:rsidR="00167860" w:rsidRPr="00CB6C95" w:rsidRDefault="00167860" w:rsidP="00167860">
      <w:pPr>
        <w:adjustRightInd w:val="0"/>
        <w:snapToGrid w:val="0"/>
        <w:rPr>
          <w:b/>
          <w:sz w:val="22"/>
          <w:szCs w:val="22"/>
          <w:lang w:eastAsia="ko-KR"/>
        </w:rPr>
      </w:pPr>
      <w:r w:rsidRPr="00CB6C95">
        <w:rPr>
          <w:b/>
          <w:sz w:val="22"/>
          <w:szCs w:val="22"/>
          <w:lang w:eastAsia="ko-KR"/>
        </w:rPr>
        <w:t xml:space="preserve">Shelvin Sudesh Chand </w:t>
      </w:r>
    </w:p>
    <w:p w14:paraId="2AD7D7F9"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Fisheries Officer [ Data Management] </w:t>
      </w:r>
    </w:p>
    <w:p w14:paraId="35853137"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Fisheries</w:t>
      </w:r>
    </w:p>
    <w:p w14:paraId="51BDE8F1"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Takayawa Building Levle 1 </w:t>
      </w:r>
      <w:r w:rsidRPr="00CB6C95">
        <w:rPr>
          <w:sz w:val="22"/>
          <w:szCs w:val="22"/>
          <w:lang w:eastAsia="ko-KR"/>
        </w:rPr>
        <w:br/>
        <w:t>Toorak, Suva</w:t>
      </w:r>
      <w:r w:rsidRPr="00CB6C95">
        <w:rPr>
          <w:sz w:val="22"/>
          <w:szCs w:val="22"/>
          <w:lang w:eastAsia="ko-KR"/>
        </w:rPr>
        <w:br/>
        <w:t>(679) 3301611</w:t>
      </w:r>
    </w:p>
    <w:p w14:paraId="7D9E36D8" w14:textId="77777777" w:rsidR="00167860" w:rsidRPr="00CB6C95" w:rsidRDefault="00167860" w:rsidP="00167860">
      <w:pPr>
        <w:adjustRightInd w:val="0"/>
        <w:snapToGrid w:val="0"/>
        <w:rPr>
          <w:sz w:val="22"/>
          <w:szCs w:val="22"/>
          <w:lang w:eastAsia="ko-KR"/>
        </w:rPr>
      </w:pPr>
      <w:r w:rsidRPr="00CB6C95">
        <w:rPr>
          <w:sz w:val="22"/>
          <w:szCs w:val="22"/>
          <w:lang w:eastAsia="ko-KR"/>
        </w:rPr>
        <w:t>chand13.shelvin@gmail.com</w:t>
      </w:r>
    </w:p>
    <w:p w14:paraId="39AAFFBE" w14:textId="77777777" w:rsidR="00167860" w:rsidRPr="00CB6C95" w:rsidRDefault="00167860" w:rsidP="00167860">
      <w:pPr>
        <w:adjustRightInd w:val="0"/>
        <w:snapToGrid w:val="0"/>
        <w:rPr>
          <w:sz w:val="22"/>
          <w:szCs w:val="22"/>
          <w:lang w:eastAsia="ko-KR"/>
        </w:rPr>
      </w:pPr>
    </w:p>
    <w:p w14:paraId="7021FEDA" w14:textId="77777777" w:rsidR="00167860" w:rsidRPr="00CB6C95" w:rsidRDefault="00167860" w:rsidP="00167860">
      <w:pPr>
        <w:adjustRightInd w:val="0"/>
        <w:snapToGrid w:val="0"/>
        <w:rPr>
          <w:b/>
          <w:sz w:val="22"/>
          <w:szCs w:val="22"/>
          <w:lang w:eastAsia="ko-KR"/>
        </w:rPr>
      </w:pPr>
      <w:r w:rsidRPr="00CB6C95">
        <w:rPr>
          <w:b/>
          <w:sz w:val="22"/>
          <w:szCs w:val="22"/>
          <w:lang w:eastAsia="ko-KR"/>
        </w:rPr>
        <w:t>Netani Tevaga</w:t>
      </w:r>
    </w:p>
    <w:p w14:paraId="633AE170" w14:textId="77777777" w:rsidR="00167860" w:rsidRPr="00CB6C95" w:rsidRDefault="00167860" w:rsidP="00167860">
      <w:pPr>
        <w:adjustRightInd w:val="0"/>
        <w:snapToGrid w:val="0"/>
        <w:rPr>
          <w:sz w:val="22"/>
          <w:szCs w:val="22"/>
          <w:lang w:eastAsia="ko-KR"/>
        </w:rPr>
      </w:pPr>
      <w:r w:rsidRPr="00CB6C95">
        <w:rPr>
          <w:sz w:val="22"/>
          <w:szCs w:val="22"/>
          <w:lang w:eastAsia="ko-KR"/>
        </w:rPr>
        <w:t>ABNJ-TP Coordinator [FIJI]</w:t>
      </w:r>
    </w:p>
    <w:p w14:paraId="64E7636C"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Fisheries</w:t>
      </w:r>
    </w:p>
    <w:p w14:paraId="1BDE08FE" w14:textId="77777777" w:rsidR="00167860" w:rsidRPr="00CB6C95" w:rsidRDefault="00167860" w:rsidP="00167860">
      <w:pPr>
        <w:adjustRightInd w:val="0"/>
        <w:snapToGrid w:val="0"/>
        <w:rPr>
          <w:sz w:val="22"/>
          <w:szCs w:val="22"/>
          <w:lang w:eastAsia="ko-KR"/>
        </w:rPr>
      </w:pPr>
      <w:r w:rsidRPr="00CB6C95">
        <w:rPr>
          <w:sz w:val="22"/>
          <w:szCs w:val="22"/>
          <w:lang w:eastAsia="ko-KR"/>
        </w:rPr>
        <w:t>Po Box 2214</w:t>
      </w:r>
      <w:r w:rsidRPr="00CB6C95">
        <w:rPr>
          <w:sz w:val="22"/>
          <w:szCs w:val="22"/>
          <w:lang w:eastAsia="ko-KR"/>
        </w:rPr>
        <w:br/>
        <w:t>Government Buildings</w:t>
      </w:r>
      <w:r w:rsidRPr="00CB6C95">
        <w:rPr>
          <w:sz w:val="22"/>
          <w:szCs w:val="22"/>
          <w:lang w:eastAsia="ko-KR"/>
        </w:rPr>
        <w:br/>
        <w:t>Ministry of Fisheries</w:t>
      </w:r>
      <w:r w:rsidRPr="00CB6C95">
        <w:rPr>
          <w:sz w:val="22"/>
          <w:szCs w:val="22"/>
          <w:lang w:eastAsia="ko-KR"/>
        </w:rPr>
        <w:br/>
        <w:t>Suva, Fiji</w:t>
      </w:r>
    </w:p>
    <w:p w14:paraId="300BBB30" w14:textId="77777777" w:rsidR="00167860" w:rsidRPr="00CB6C95" w:rsidRDefault="00167860" w:rsidP="00167860">
      <w:pPr>
        <w:adjustRightInd w:val="0"/>
        <w:snapToGrid w:val="0"/>
        <w:rPr>
          <w:sz w:val="22"/>
          <w:szCs w:val="22"/>
          <w:lang w:eastAsia="ko-KR"/>
        </w:rPr>
      </w:pPr>
      <w:r w:rsidRPr="00CB6C95">
        <w:rPr>
          <w:sz w:val="22"/>
          <w:szCs w:val="22"/>
          <w:lang w:eastAsia="ko-KR"/>
        </w:rPr>
        <w:t>3301611</w:t>
      </w:r>
    </w:p>
    <w:p w14:paraId="4D18DBC8" w14:textId="77777777" w:rsidR="00167860" w:rsidRPr="00CB6C95" w:rsidRDefault="00167860" w:rsidP="00167860">
      <w:pPr>
        <w:adjustRightInd w:val="0"/>
        <w:snapToGrid w:val="0"/>
        <w:rPr>
          <w:sz w:val="22"/>
          <w:szCs w:val="22"/>
          <w:lang w:eastAsia="ko-KR"/>
        </w:rPr>
      </w:pPr>
      <w:r w:rsidRPr="00CB6C95">
        <w:rPr>
          <w:sz w:val="22"/>
          <w:szCs w:val="22"/>
          <w:lang w:eastAsia="ko-KR"/>
        </w:rPr>
        <w:t>tavaga.netani@gmail.com</w:t>
      </w:r>
    </w:p>
    <w:p w14:paraId="4DB45C1A" w14:textId="77777777" w:rsidR="00167860" w:rsidRPr="00CB6C95" w:rsidRDefault="00167860" w:rsidP="00167860">
      <w:pPr>
        <w:adjustRightInd w:val="0"/>
        <w:snapToGrid w:val="0"/>
        <w:rPr>
          <w:sz w:val="22"/>
          <w:szCs w:val="22"/>
          <w:lang w:eastAsia="ko-KR"/>
        </w:rPr>
      </w:pPr>
    </w:p>
    <w:p w14:paraId="1B3E201F"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Indonesia</w:t>
      </w:r>
    </w:p>
    <w:p w14:paraId="39631476" w14:textId="77777777" w:rsidR="00167860" w:rsidRPr="00CB6C95" w:rsidRDefault="00167860" w:rsidP="00167860">
      <w:pPr>
        <w:adjustRightInd w:val="0"/>
        <w:snapToGrid w:val="0"/>
        <w:rPr>
          <w:b/>
          <w:sz w:val="22"/>
          <w:szCs w:val="22"/>
          <w:lang w:eastAsia="ko-KR"/>
        </w:rPr>
      </w:pPr>
    </w:p>
    <w:p w14:paraId="2914CC7C" w14:textId="77777777" w:rsidR="00167860" w:rsidRPr="00CB6C95" w:rsidRDefault="00167860" w:rsidP="00167860">
      <w:pPr>
        <w:adjustRightInd w:val="0"/>
        <w:snapToGrid w:val="0"/>
        <w:rPr>
          <w:b/>
          <w:sz w:val="22"/>
          <w:szCs w:val="22"/>
          <w:lang w:eastAsia="ko-KR"/>
        </w:rPr>
      </w:pPr>
      <w:r w:rsidRPr="00CB6C95">
        <w:rPr>
          <w:b/>
          <w:sz w:val="22"/>
          <w:szCs w:val="22"/>
          <w:lang w:eastAsia="ko-KR"/>
        </w:rPr>
        <w:t>Fayakun Satria</w:t>
      </w:r>
    </w:p>
    <w:p w14:paraId="1DF56DD1" w14:textId="77777777" w:rsidR="00167860" w:rsidRPr="00CB6C95" w:rsidRDefault="00167860" w:rsidP="00167860">
      <w:pPr>
        <w:adjustRightInd w:val="0"/>
        <w:snapToGrid w:val="0"/>
        <w:rPr>
          <w:sz w:val="22"/>
          <w:szCs w:val="22"/>
          <w:lang w:eastAsia="ko-KR"/>
        </w:rPr>
      </w:pPr>
      <w:r w:rsidRPr="00CB6C95">
        <w:rPr>
          <w:sz w:val="22"/>
          <w:szCs w:val="22"/>
          <w:lang w:eastAsia="ko-KR"/>
        </w:rPr>
        <w:t>Head of RIMF</w:t>
      </w:r>
    </w:p>
    <w:p w14:paraId="6B82AA50" w14:textId="77777777" w:rsidR="00167860" w:rsidRPr="00CB6C95" w:rsidRDefault="00167860" w:rsidP="00167860">
      <w:pPr>
        <w:adjustRightInd w:val="0"/>
        <w:snapToGrid w:val="0"/>
        <w:rPr>
          <w:sz w:val="22"/>
          <w:szCs w:val="22"/>
          <w:lang w:eastAsia="ko-KR"/>
        </w:rPr>
      </w:pPr>
      <w:r w:rsidRPr="00CB6C95">
        <w:rPr>
          <w:sz w:val="22"/>
          <w:szCs w:val="22"/>
          <w:lang w:eastAsia="ko-KR"/>
        </w:rPr>
        <w:t>Research Institute for Marine Fisheries (RIMF)</w:t>
      </w:r>
    </w:p>
    <w:p w14:paraId="0ECCB288" w14:textId="77777777" w:rsidR="00167860" w:rsidRPr="00CB6C95" w:rsidRDefault="00167860" w:rsidP="00167860">
      <w:pPr>
        <w:adjustRightInd w:val="0"/>
        <w:snapToGrid w:val="0"/>
        <w:rPr>
          <w:sz w:val="22"/>
          <w:szCs w:val="22"/>
          <w:lang w:eastAsia="ko-KR"/>
        </w:rPr>
      </w:pPr>
      <w:r w:rsidRPr="00CB6C95">
        <w:rPr>
          <w:sz w:val="22"/>
          <w:szCs w:val="22"/>
          <w:lang w:eastAsia="ko-KR"/>
        </w:rPr>
        <w:t>JL Rava Bogor KM 47</w:t>
      </w:r>
      <w:r w:rsidRPr="00CB6C95">
        <w:rPr>
          <w:sz w:val="22"/>
          <w:szCs w:val="22"/>
          <w:lang w:eastAsia="ko-KR"/>
        </w:rPr>
        <w:br/>
        <w:t>Nanggewer, Cibintong Bogor</w:t>
      </w:r>
      <w:r w:rsidRPr="00CB6C95">
        <w:rPr>
          <w:sz w:val="22"/>
          <w:szCs w:val="22"/>
          <w:lang w:eastAsia="ko-KR"/>
        </w:rPr>
        <w:br/>
        <w:t>Jawa Barat 16912</w:t>
      </w:r>
    </w:p>
    <w:p w14:paraId="5DE9BB6F" w14:textId="77777777" w:rsidR="00167860" w:rsidRPr="00CB6C95" w:rsidRDefault="00167860" w:rsidP="00167860">
      <w:pPr>
        <w:adjustRightInd w:val="0"/>
        <w:snapToGrid w:val="0"/>
        <w:rPr>
          <w:sz w:val="22"/>
          <w:szCs w:val="22"/>
          <w:lang w:eastAsia="ko-KR"/>
        </w:rPr>
      </w:pPr>
      <w:r w:rsidRPr="00CB6C95">
        <w:rPr>
          <w:sz w:val="22"/>
          <w:szCs w:val="22"/>
          <w:lang w:eastAsia="ko-KR"/>
        </w:rPr>
        <w:t>fsatria70@gmail.com</w:t>
      </w:r>
    </w:p>
    <w:p w14:paraId="6AC87BB8" w14:textId="77777777" w:rsidR="00167860" w:rsidRPr="00CB6C95" w:rsidRDefault="00167860" w:rsidP="00167860">
      <w:pPr>
        <w:adjustRightInd w:val="0"/>
        <w:snapToGrid w:val="0"/>
        <w:rPr>
          <w:sz w:val="22"/>
          <w:szCs w:val="22"/>
          <w:lang w:eastAsia="ko-KR"/>
        </w:rPr>
      </w:pPr>
    </w:p>
    <w:p w14:paraId="283F3F5A" w14:textId="77777777" w:rsidR="00167860" w:rsidRPr="00CB6C95" w:rsidRDefault="00167860" w:rsidP="00167860">
      <w:pPr>
        <w:adjustRightInd w:val="0"/>
        <w:snapToGrid w:val="0"/>
        <w:rPr>
          <w:b/>
          <w:sz w:val="22"/>
          <w:szCs w:val="22"/>
          <w:lang w:eastAsia="ko-KR"/>
        </w:rPr>
      </w:pPr>
      <w:r w:rsidRPr="00CB6C95">
        <w:rPr>
          <w:b/>
          <w:sz w:val="22"/>
          <w:szCs w:val="22"/>
          <w:lang w:eastAsia="ko-KR"/>
        </w:rPr>
        <w:t>Ismayanti</w:t>
      </w:r>
    </w:p>
    <w:p w14:paraId="1D6E1CC4" w14:textId="77777777" w:rsidR="00167860" w:rsidRPr="00CB6C95" w:rsidRDefault="00167860" w:rsidP="00167860">
      <w:pPr>
        <w:adjustRightInd w:val="0"/>
        <w:snapToGrid w:val="0"/>
        <w:rPr>
          <w:sz w:val="22"/>
          <w:szCs w:val="22"/>
          <w:lang w:eastAsia="ko-KR"/>
        </w:rPr>
      </w:pPr>
      <w:r w:rsidRPr="00CB6C95">
        <w:rPr>
          <w:sz w:val="22"/>
          <w:szCs w:val="22"/>
          <w:lang w:eastAsia="ko-KR"/>
        </w:rPr>
        <w:t>Head of Division for Statistic Data, Center for Data, Information, and Statistic</w:t>
      </w:r>
    </w:p>
    <w:p w14:paraId="2452401B"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Marine Affairs and Fisheries</w:t>
      </w:r>
    </w:p>
    <w:p w14:paraId="0272086E" w14:textId="77777777" w:rsidR="00167860" w:rsidRPr="00CB6C95" w:rsidRDefault="00167860" w:rsidP="00167860">
      <w:pPr>
        <w:adjustRightInd w:val="0"/>
        <w:snapToGrid w:val="0"/>
        <w:rPr>
          <w:sz w:val="22"/>
          <w:szCs w:val="22"/>
          <w:lang w:eastAsia="ko-KR"/>
        </w:rPr>
      </w:pPr>
      <w:r w:rsidRPr="00CB6C95">
        <w:rPr>
          <w:sz w:val="22"/>
          <w:szCs w:val="22"/>
          <w:lang w:eastAsia="ko-KR"/>
        </w:rPr>
        <w:t>Gedung Mina Bahari II. Jl. Medan Merdeka Timur No. 16 Jakarta Pusat</w:t>
      </w:r>
    </w:p>
    <w:p w14:paraId="6BBA1569" w14:textId="77777777" w:rsidR="00167860" w:rsidRPr="00CB6C95" w:rsidRDefault="00167860" w:rsidP="00167860">
      <w:pPr>
        <w:adjustRightInd w:val="0"/>
        <w:snapToGrid w:val="0"/>
        <w:rPr>
          <w:sz w:val="22"/>
          <w:szCs w:val="22"/>
          <w:lang w:eastAsia="ko-KR"/>
        </w:rPr>
      </w:pPr>
      <w:r w:rsidRPr="00CB6C95">
        <w:rPr>
          <w:sz w:val="22"/>
          <w:szCs w:val="22"/>
          <w:lang w:eastAsia="ko-KR"/>
        </w:rPr>
        <w:t>(+62-21) 3519070</w:t>
      </w:r>
    </w:p>
    <w:p w14:paraId="5CD458DA" w14:textId="77777777" w:rsidR="00167860" w:rsidRPr="00CB6C95" w:rsidRDefault="00167860" w:rsidP="00167860">
      <w:pPr>
        <w:adjustRightInd w:val="0"/>
        <w:snapToGrid w:val="0"/>
        <w:rPr>
          <w:sz w:val="22"/>
          <w:szCs w:val="22"/>
          <w:lang w:eastAsia="ko-KR"/>
        </w:rPr>
      </w:pPr>
      <w:r w:rsidRPr="00CB6C95">
        <w:rPr>
          <w:sz w:val="22"/>
          <w:szCs w:val="22"/>
          <w:lang w:eastAsia="ko-KR"/>
        </w:rPr>
        <w:t>ismayanti@kkp.go.id</w:t>
      </w:r>
    </w:p>
    <w:p w14:paraId="59618FC4" w14:textId="77777777" w:rsidR="00167860" w:rsidRPr="00CB6C95" w:rsidRDefault="00167860" w:rsidP="00167860">
      <w:pPr>
        <w:adjustRightInd w:val="0"/>
        <w:snapToGrid w:val="0"/>
        <w:rPr>
          <w:sz w:val="22"/>
          <w:szCs w:val="22"/>
          <w:lang w:eastAsia="ko-KR"/>
        </w:rPr>
      </w:pPr>
    </w:p>
    <w:p w14:paraId="0ED5339D" w14:textId="77777777" w:rsidR="00167860" w:rsidRPr="00CB6C95" w:rsidRDefault="00167860" w:rsidP="00167860">
      <w:pPr>
        <w:adjustRightInd w:val="0"/>
        <w:snapToGrid w:val="0"/>
        <w:rPr>
          <w:b/>
          <w:sz w:val="22"/>
          <w:szCs w:val="22"/>
          <w:lang w:eastAsia="ko-KR"/>
        </w:rPr>
      </w:pPr>
      <w:r w:rsidRPr="00CB6C95">
        <w:rPr>
          <w:b/>
          <w:sz w:val="22"/>
          <w:szCs w:val="22"/>
          <w:lang w:eastAsia="ko-KR"/>
        </w:rPr>
        <w:t>Putuh Suadela</w:t>
      </w:r>
    </w:p>
    <w:p w14:paraId="2429C69C" w14:textId="77777777" w:rsidR="00167860" w:rsidRPr="00CB6C95" w:rsidRDefault="00167860" w:rsidP="00167860">
      <w:pPr>
        <w:adjustRightInd w:val="0"/>
        <w:snapToGrid w:val="0"/>
        <w:rPr>
          <w:sz w:val="22"/>
          <w:szCs w:val="22"/>
          <w:lang w:eastAsia="ko-KR"/>
        </w:rPr>
      </w:pPr>
      <w:r w:rsidRPr="00CB6C95">
        <w:rPr>
          <w:sz w:val="22"/>
          <w:szCs w:val="22"/>
          <w:lang w:eastAsia="ko-KR"/>
        </w:rPr>
        <w:t>Fisheries Inspector</w:t>
      </w:r>
    </w:p>
    <w:p w14:paraId="71B50777"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Marine Affairs and Fisheries</w:t>
      </w:r>
    </w:p>
    <w:p w14:paraId="48EC544B" w14:textId="77777777" w:rsidR="00167860" w:rsidRPr="00CB6C95" w:rsidRDefault="00167860" w:rsidP="00167860">
      <w:pPr>
        <w:adjustRightInd w:val="0"/>
        <w:snapToGrid w:val="0"/>
        <w:rPr>
          <w:sz w:val="22"/>
          <w:szCs w:val="22"/>
          <w:lang w:eastAsia="ko-KR"/>
        </w:rPr>
      </w:pPr>
      <w:r w:rsidRPr="00CB6C95">
        <w:rPr>
          <w:sz w:val="22"/>
          <w:szCs w:val="22"/>
          <w:lang w:eastAsia="ko-KR"/>
        </w:rPr>
        <w:t>Gedung Mina Bahari II Lt. 14, Jl. Medan Merdeka Timur No. 16, Jakarta Pusat</w:t>
      </w:r>
    </w:p>
    <w:p w14:paraId="2D6AA906" w14:textId="77777777" w:rsidR="00167860" w:rsidRPr="00CB6C95" w:rsidRDefault="00167860" w:rsidP="00167860">
      <w:pPr>
        <w:adjustRightInd w:val="0"/>
        <w:snapToGrid w:val="0"/>
        <w:rPr>
          <w:sz w:val="22"/>
          <w:szCs w:val="22"/>
          <w:lang w:eastAsia="ko-KR"/>
        </w:rPr>
      </w:pPr>
      <w:r w:rsidRPr="00CB6C95">
        <w:rPr>
          <w:sz w:val="22"/>
          <w:szCs w:val="22"/>
          <w:lang w:eastAsia="ko-KR"/>
        </w:rPr>
        <w:t>(+62-21) 3453008</w:t>
      </w:r>
    </w:p>
    <w:p w14:paraId="6FE3149B" w14:textId="77777777" w:rsidR="00167860" w:rsidRPr="00CB6C95" w:rsidRDefault="00167860" w:rsidP="00167860">
      <w:pPr>
        <w:adjustRightInd w:val="0"/>
        <w:snapToGrid w:val="0"/>
        <w:rPr>
          <w:sz w:val="22"/>
          <w:szCs w:val="22"/>
          <w:lang w:eastAsia="ko-KR"/>
        </w:rPr>
      </w:pPr>
      <w:r w:rsidRPr="00CB6C95">
        <w:rPr>
          <w:sz w:val="22"/>
          <w:szCs w:val="22"/>
          <w:lang w:eastAsia="ko-KR"/>
        </w:rPr>
        <w:t>sdi.djpt@yahoo.com</w:t>
      </w:r>
    </w:p>
    <w:p w14:paraId="759A7ECF" w14:textId="77777777" w:rsidR="00167860" w:rsidRPr="00CB6C95" w:rsidRDefault="00167860" w:rsidP="00167860">
      <w:pPr>
        <w:adjustRightInd w:val="0"/>
        <w:snapToGrid w:val="0"/>
        <w:rPr>
          <w:sz w:val="22"/>
          <w:szCs w:val="22"/>
          <w:lang w:eastAsia="ko-KR"/>
        </w:rPr>
      </w:pPr>
    </w:p>
    <w:p w14:paraId="42FFB8D2" w14:textId="77777777" w:rsidR="00167860" w:rsidRPr="00CB6C95" w:rsidRDefault="00167860" w:rsidP="00167860">
      <w:pPr>
        <w:adjustRightInd w:val="0"/>
        <w:snapToGrid w:val="0"/>
        <w:rPr>
          <w:b/>
          <w:sz w:val="22"/>
          <w:szCs w:val="22"/>
          <w:lang w:eastAsia="ko-KR"/>
        </w:rPr>
      </w:pPr>
      <w:r w:rsidRPr="00CB6C95">
        <w:rPr>
          <w:b/>
          <w:sz w:val="22"/>
          <w:szCs w:val="22"/>
          <w:lang w:eastAsia="ko-KR"/>
        </w:rPr>
        <w:t>Muhammad Anas</w:t>
      </w:r>
    </w:p>
    <w:p w14:paraId="6762203C" w14:textId="77777777" w:rsidR="00167860" w:rsidRPr="00CB6C95" w:rsidRDefault="00167860" w:rsidP="00167860">
      <w:pPr>
        <w:adjustRightInd w:val="0"/>
        <w:snapToGrid w:val="0"/>
        <w:rPr>
          <w:sz w:val="22"/>
          <w:szCs w:val="22"/>
          <w:lang w:eastAsia="ko-KR"/>
        </w:rPr>
      </w:pPr>
      <w:r w:rsidRPr="00CB6C95">
        <w:rPr>
          <w:sz w:val="22"/>
          <w:szCs w:val="22"/>
          <w:lang w:eastAsia="ko-KR"/>
        </w:rPr>
        <w:t>Head Sub Division of Data</w:t>
      </w:r>
    </w:p>
    <w:p w14:paraId="3A7B96BB"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Marine Affairs and Fisheries</w:t>
      </w:r>
    </w:p>
    <w:p w14:paraId="32526438"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 Gedung Mina Bahari II Lt. 12, Jl. Medan Merdeka Timur No. 16, Jakarta Pusat</w:t>
      </w:r>
    </w:p>
    <w:p w14:paraId="1DDB7B7B" w14:textId="77777777" w:rsidR="00167860" w:rsidRPr="00CB6C95" w:rsidRDefault="00167860" w:rsidP="00167860">
      <w:pPr>
        <w:adjustRightInd w:val="0"/>
        <w:snapToGrid w:val="0"/>
        <w:rPr>
          <w:sz w:val="22"/>
          <w:szCs w:val="22"/>
          <w:lang w:eastAsia="ko-KR"/>
        </w:rPr>
      </w:pPr>
      <w:r w:rsidRPr="00CB6C95">
        <w:rPr>
          <w:sz w:val="22"/>
          <w:szCs w:val="22"/>
          <w:lang w:eastAsia="ko-KR"/>
        </w:rPr>
        <w:t>(+62-21) 3519070</w:t>
      </w:r>
    </w:p>
    <w:p w14:paraId="081CEDEF" w14:textId="77777777" w:rsidR="00167860" w:rsidRPr="00CB6C95" w:rsidRDefault="00167860" w:rsidP="00167860">
      <w:pPr>
        <w:adjustRightInd w:val="0"/>
        <w:snapToGrid w:val="0"/>
        <w:rPr>
          <w:sz w:val="22"/>
          <w:szCs w:val="22"/>
          <w:lang w:eastAsia="ko-KR"/>
        </w:rPr>
      </w:pPr>
      <w:r w:rsidRPr="00CB6C95">
        <w:rPr>
          <w:sz w:val="22"/>
          <w:szCs w:val="22"/>
          <w:lang w:eastAsia="ko-KR"/>
        </w:rPr>
        <w:t>mymoghane@gmail.com</w:t>
      </w:r>
    </w:p>
    <w:p w14:paraId="58E0B1E7" w14:textId="77777777" w:rsidR="00167860" w:rsidRPr="00CB6C95" w:rsidRDefault="00167860" w:rsidP="00167860">
      <w:pPr>
        <w:adjustRightInd w:val="0"/>
        <w:snapToGrid w:val="0"/>
        <w:rPr>
          <w:sz w:val="22"/>
          <w:szCs w:val="22"/>
          <w:lang w:eastAsia="ko-KR"/>
        </w:rPr>
      </w:pPr>
    </w:p>
    <w:p w14:paraId="3F15E115" w14:textId="77777777" w:rsidR="00167860" w:rsidRPr="00CB6C95" w:rsidRDefault="00167860" w:rsidP="00167860">
      <w:pPr>
        <w:adjustRightInd w:val="0"/>
        <w:snapToGrid w:val="0"/>
        <w:rPr>
          <w:b/>
          <w:sz w:val="22"/>
          <w:szCs w:val="22"/>
          <w:lang w:eastAsia="ko-KR"/>
        </w:rPr>
      </w:pPr>
      <w:r w:rsidRPr="00CB6C95">
        <w:rPr>
          <w:b/>
          <w:sz w:val="22"/>
          <w:szCs w:val="22"/>
          <w:lang w:eastAsia="ko-KR"/>
        </w:rPr>
        <w:t>Lilis Sadiyah</w:t>
      </w:r>
    </w:p>
    <w:p w14:paraId="4568A743" w14:textId="77777777" w:rsidR="00167860" w:rsidRPr="00CB6C95" w:rsidRDefault="00167860" w:rsidP="00167860">
      <w:pPr>
        <w:adjustRightInd w:val="0"/>
        <w:snapToGrid w:val="0"/>
        <w:rPr>
          <w:sz w:val="22"/>
          <w:szCs w:val="22"/>
          <w:lang w:eastAsia="ko-KR"/>
        </w:rPr>
      </w:pPr>
      <w:r w:rsidRPr="00CB6C95">
        <w:rPr>
          <w:sz w:val="22"/>
          <w:szCs w:val="22"/>
          <w:lang w:eastAsia="ko-KR"/>
        </w:rPr>
        <w:t>Researcher Center for Fisheries Research (CFA)</w:t>
      </w:r>
    </w:p>
    <w:p w14:paraId="5AE59DDD"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Marine Affairs and Fisheries</w:t>
      </w:r>
    </w:p>
    <w:p w14:paraId="35E61009" w14:textId="77777777" w:rsidR="00167860" w:rsidRPr="00CB6C95" w:rsidRDefault="00167860" w:rsidP="00167860">
      <w:pPr>
        <w:adjustRightInd w:val="0"/>
        <w:snapToGrid w:val="0"/>
        <w:rPr>
          <w:sz w:val="22"/>
          <w:szCs w:val="22"/>
          <w:lang w:eastAsia="ko-KR"/>
        </w:rPr>
      </w:pPr>
      <w:r w:rsidRPr="00CB6C95">
        <w:rPr>
          <w:sz w:val="22"/>
          <w:szCs w:val="22"/>
          <w:lang w:eastAsia="ko-KR"/>
        </w:rPr>
        <w:t>Gedung Balitbang KP II. Jl. Pasir Putih II, Ancol Timur, Jakarta Utara 14430</w:t>
      </w:r>
    </w:p>
    <w:p w14:paraId="5602008F" w14:textId="77777777" w:rsidR="00167860" w:rsidRPr="00CB6C95" w:rsidRDefault="00167860" w:rsidP="00167860">
      <w:pPr>
        <w:adjustRightInd w:val="0"/>
        <w:snapToGrid w:val="0"/>
        <w:rPr>
          <w:sz w:val="22"/>
          <w:szCs w:val="22"/>
          <w:lang w:eastAsia="ko-KR"/>
        </w:rPr>
      </w:pPr>
      <w:r w:rsidRPr="00CB6C95">
        <w:rPr>
          <w:sz w:val="22"/>
          <w:szCs w:val="22"/>
          <w:lang w:eastAsia="ko-KR"/>
        </w:rPr>
        <w:t>(+62-21) 64700928</w:t>
      </w:r>
    </w:p>
    <w:p w14:paraId="25DC5F3E" w14:textId="77777777" w:rsidR="00167860" w:rsidRPr="00CB6C95" w:rsidRDefault="00167860" w:rsidP="00167860">
      <w:pPr>
        <w:adjustRightInd w:val="0"/>
        <w:snapToGrid w:val="0"/>
        <w:rPr>
          <w:sz w:val="22"/>
          <w:szCs w:val="22"/>
          <w:lang w:eastAsia="ko-KR"/>
        </w:rPr>
      </w:pPr>
      <w:r w:rsidRPr="00CB6C95">
        <w:rPr>
          <w:sz w:val="22"/>
          <w:szCs w:val="22"/>
          <w:lang w:eastAsia="ko-KR"/>
        </w:rPr>
        <w:t>lilis_sadiyah@yahoo.com</w:t>
      </w:r>
    </w:p>
    <w:p w14:paraId="123E9994" w14:textId="77777777" w:rsidR="00167860" w:rsidRPr="00CB6C95" w:rsidRDefault="00167860" w:rsidP="00167860">
      <w:pPr>
        <w:adjustRightInd w:val="0"/>
        <w:snapToGrid w:val="0"/>
        <w:rPr>
          <w:sz w:val="22"/>
          <w:szCs w:val="22"/>
          <w:lang w:eastAsia="ko-KR"/>
        </w:rPr>
      </w:pPr>
    </w:p>
    <w:p w14:paraId="06968442" w14:textId="77777777" w:rsidR="00167860" w:rsidRPr="00CB6C95" w:rsidRDefault="00167860" w:rsidP="00167860">
      <w:pPr>
        <w:adjustRightInd w:val="0"/>
        <w:snapToGrid w:val="0"/>
        <w:rPr>
          <w:b/>
          <w:sz w:val="22"/>
          <w:szCs w:val="22"/>
          <w:lang w:eastAsia="ko-KR"/>
        </w:rPr>
      </w:pPr>
      <w:r w:rsidRPr="00CB6C95">
        <w:rPr>
          <w:b/>
          <w:sz w:val="22"/>
          <w:szCs w:val="22"/>
          <w:lang w:eastAsia="ko-KR"/>
        </w:rPr>
        <w:t>Syahril Abd. Rauf</w:t>
      </w:r>
    </w:p>
    <w:p w14:paraId="575C8203" w14:textId="77777777" w:rsidR="00167860" w:rsidRPr="00CB6C95" w:rsidRDefault="00167860" w:rsidP="00167860">
      <w:pPr>
        <w:adjustRightInd w:val="0"/>
        <w:snapToGrid w:val="0"/>
        <w:rPr>
          <w:sz w:val="22"/>
          <w:szCs w:val="22"/>
          <w:lang w:eastAsia="ko-KR"/>
        </w:rPr>
      </w:pPr>
      <w:r w:rsidRPr="00CB6C95">
        <w:rPr>
          <w:sz w:val="22"/>
          <w:szCs w:val="22"/>
          <w:lang w:eastAsia="ko-KR"/>
        </w:rPr>
        <w:t>Head of Monitoring and Analysis for Fish Resources Management</w:t>
      </w:r>
    </w:p>
    <w:p w14:paraId="12F4831C"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Marine Affairs and Fisheries</w:t>
      </w:r>
    </w:p>
    <w:p w14:paraId="495690BA" w14:textId="77777777" w:rsidR="00167860" w:rsidRPr="00CB6C95" w:rsidRDefault="00167860" w:rsidP="00167860">
      <w:pPr>
        <w:adjustRightInd w:val="0"/>
        <w:snapToGrid w:val="0"/>
        <w:rPr>
          <w:sz w:val="22"/>
          <w:szCs w:val="22"/>
          <w:lang w:eastAsia="ko-KR"/>
        </w:rPr>
      </w:pPr>
      <w:r w:rsidRPr="00CB6C95">
        <w:rPr>
          <w:sz w:val="22"/>
          <w:szCs w:val="22"/>
          <w:lang w:eastAsia="ko-KR"/>
        </w:rPr>
        <w:t>Gedung Mina Bahari II Lt. 14, Jl. Medan Merdeka Timur No. 16, Jakarta Pusat</w:t>
      </w:r>
    </w:p>
    <w:p w14:paraId="18FB1B52" w14:textId="77777777" w:rsidR="00167860" w:rsidRPr="00CB6C95" w:rsidRDefault="00167860" w:rsidP="00167860">
      <w:pPr>
        <w:adjustRightInd w:val="0"/>
        <w:snapToGrid w:val="0"/>
        <w:rPr>
          <w:sz w:val="22"/>
          <w:szCs w:val="22"/>
          <w:lang w:eastAsia="ko-KR"/>
        </w:rPr>
      </w:pPr>
      <w:r w:rsidRPr="00CB6C95">
        <w:rPr>
          <w:sz w:val="22"/>
          <w:szCs w:val="22"/>
          <w:lang w:eastAsia="ko-KR"/>
        </w:rPr>
        <w:t>(+62-21) 3453008</w:t>
      </w:r>
    </w:p>
    <w:p w14:paraId="7453D3E8" w14:textId="77777777" w:rsidR="00167860" w:rsidRPr="00CB6C95" w:rsidRDefault="00167860" w:rsidP="00167860">
      <w:pPr>
        <w:adjustRightInd w:val="0"/>
        <w:snapToGrid w:val="0"/>
        <w:rPr>
          <w:sz w:val="22"/>
          <w:szCs w:val="22"/>
          <w:lang w:eastAsia="ko-KR"/>
        </w:rPr>
      </w:pPr>
      <w:r w:rsidRPr="00CB6C95">
        <w:rPr>
          <w:sz w:val="22"/>
          <w:szCs w:val="22"/>
          <w:lang w:eastAsia="ko-KR"/>
        </w:rPr>
        <w:t>chaliarrauf@yahoo.com</w:t>
      </w:r>
    </w:p>
    <w:p w14:paraId="4EF5512F" w14:textId="77777777" w:rsidR="00167860" w:rsidRPr="00CB6C95" w:rsidRDefault="00167860" w:rsidP="00167860">
      <w:pPr>
        <w:adjustRightInd w:val="0"/>
        <w:snapToGrid w:val="0"/>
        <w:rPr>
          <w:sz w:val="22"/>
          <w:szCs w:val="22"/>
          <w:lang w:eastAsia="ko-KR"/>
        </w:rPr>
      </w:pPr>
    </w:p>
    <w:p w14:paraId="3438531D"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Japan</w:t>
      </w:r>
    </w:p>
    <w:p w14:paraId="6FD94D9C" w14:textId="77777777" w:rsidR="00167860" w:rsidRPr="00CB6C95" w:rsidRDefault="00167860" w:rsidP="00167860">
      <w:pPr>
        <w:adjustRightInd w:val="0"/>
        <w:snapToGrid w:val="0"/>
        <w:rPr>
          <w:b/>
          <w:sz w:val="22"/>
          <w:szCs w:val="22"/>
          <w:lang w:eastAsia="ko-KR"/>
        </w:rPr>
      </w:pPr>
    </w:p>
    <w:p w14:paraId="7E833DD9" w14:textId="77777777" w:rsidR="00167860" w:rsidRPr="00CB6C95" w:rsidRDefault="00167860" w:rsidP="00167860">
      <w:pPr>
        <w:adjustRightInd w:val="0"/>
        <w:snapToGrid w:val="0"/>
        <w:rPr>
          <w:b/>
          <w:sz w:val="22"/>
          <w:szCs w:val="22"/>
          <w:lang w:eastAsia="ko-KR"/>
        </w:rPr>
      </w:pPr>
      <w:r w:rsidRPr="00CB6C95">
        <w:rPr>
          <w:b/>
          <w:sz w:val="22"/>
          <w:szCs w:val="22"/>
          <w:lang w:eastAsia="ko-KR"/>
        </w:rPr>
        <w:t>Shuya Nakatsuka</w:t>
      </w:r>
    </w:p>
    <w:p w14:paraId="0BE8A87E" w14:textId="77777777" w:rsidR="00167860" w:rsidRPr="00CB6C95" w:rsidRDefault="00167860" w:rsidP="00167860">
      <w:pPr>
        <w:adjustRightInd w:val="0"/>
        <w:snapToGrid w:val="0"/>
        <w:rPr>
          <w:sz w:val="22"/>
          <w:szCs w:val="22"/>
          <w:lang w:eastAsia="ko-KR"/>
        </w:rPr>
      </w:pPr>
      <w:r w:rsidRPr="00CB6C95">
        <w:rPr>
          <w:sz w:val="22"/>
          <w:szCs w:val="22"/>
          <w:lang w:eastAsia="ko-KR"/>
        </w:rPr>
        <w:t>Head, Pacific Bluefin Tuna Resources Group</w:t>
      </w:r>
    </w:p>
    <w:p w14:paraId="7794AA95" w14:textId="77777777" w:rsidR="00167860" w:rsidRPr="00CB6C95" w:rsidRDefault="00167860" w:rsidP="00167860">
      <w:pPr>
        <w:adjustRightInd w:val="0"/>
        <w:snapToGrid w:val="0"/>
        <w:rPr>
          <w:sz w:val="22"/>
          <w:szCs w:val="22"/>
          <w:lang w:eastAsia="ko-KR"/>
        </w:rPr>
      </w:pPr>
      <w:r w:rsidRPr="00CB6C95">
        <w:rPr>
          <w:sz w:val="22"/>
          <w:szCs w:val="22"/>
          <w:lang w:eastAsia="ko-KR"/>
        </w:rPr>
        <w:t>National Research Institute of Far Seas Fisheries</w:t>
      </w:r>
    </w:p>
    <w:p w14:paraId="1D611AE7" w14:textId="77777777" w:rsidR="00167860" w:rsidRPr="00CB6C95" w:rsidRDefault="00167860" w:rsidP="00167860">
      <w:pPr>
        <w:adjustRightInd w:val="0"/>
        <w:snapToGrid w:val="0"/>
        <w:rPr>
          <w:sz w:val="22"/>
          <w:szCs w:val="22"/>
          <w:lang w:eastAsia="ko-KR"/>
        </w:rPr>
      </w:pPr>
      <w:r w:rsidRPr="00CB6C95">
        <w:rPr>
          <w:sz w:val="22"/>
          <w:szCs w:val="22"/>
          <w:lang w:eastAsia="ko-KR"/>
        </w:rPr>
        <w:t>5-7-1, Orido, Shimizu, Shizuoka, JAPAN</w:t>
      </w:r>
    </w:p>
    <w:p w14:paraId="3151E4AA" w14:textId="77777777" w:rsidR="00167860" w:rsidRPr="00CB6C95" w:rsidRDefault="00167860" w:rsidP="00167860">
      <w:pPr>
        <w:adjustRightInd w:val="0"/>
        <w:snapToGrid w:val="0"/>
        <w:rPr>
          <w:sz w:val="22"/>
          <w:szCs w:val="22"/>
          <w:lang w:eastAsia="ko-KR"/>
        </w:rPr>
      </w:pPr>
      <w:r w:rsidRPr="00CB6C95">
        <w:rPr>
          <w:sz w:val="22"/>
          <w:szCs w:val="22"/>
          <w:lang w:eastAsia="ko-KR"/>
        </w:rPr>
        <w:t>-543365954</w:t>
      </w:r>
    </w:p>
    <w:p w14:paraId="2DBE11F2" w14:textId="77777777" w:rsidR="00167860" w:rsidRPr="00CB6C95" w:rsidRDefault="00167860" w:rsidP="00167860">
      <w:pPr>
        <w:adjustRightInd w:val="0"/>
        <w:snapToGrid w:val="0"/>
        <w:rPr>
          <w:sz w:val="22"/>
          <w:szCs w:val="22"/>
          <w:lang w:eastAsia="ko-KR"/>
        </w:rPr>
      </w:pPr>
      <w:r w:rsidRPr="00CB6C95">
        <w:rPr>
          <w:sz w:val="22"/>
          <w:szCs w:val="22"/>
          <w:lang w:eastAsia="ko-KR"/>
        </w:rPr>
        <w:t>snakatsuka@affrc.go.jp</w:t>
      </w:r>
    </w:p>
    <w:p w14:paraId="6FC32FA0" w14:textId="77777777" w:rsidR="00167860" w:rsidRPr="00CB6C95" w:rsidRDefault="00167860" w:rsidP="00167860">
      <w:pPr>
        <w:adjustRightInd w:val="0"/>
        <w:snapToGrid w:val="0"/>
        <w:rPr>
          <w:sz w:val="22"/>
          <w:szCs w:val="22"/>
          <w:lang w:eastAsia="ko-KR"/>
        </w:rPr>
      </w:pPr>
    </w:p>
    <w:p w14:paraId="2E070E9A" w14:textId="77777777" w:rsidR="00167860" w:rsidRPr="00CB6C95" w:rsidRDefault="00167860" w:rsidP="00167860">
      <w:pPr>
        <w:adjustRightInd w:val="0"/>
        <w:snapToGrid w:val="0"/>
        <w:rPr>
          <w:b/>
          <w:sz w:val="22"/>
          <w:szCs w:val="22"/>
          <w:lang w:eastAsia="ko-KR"/>
        </w:rPr>
      </w:pPr>
      <w:r w:rsidRPr="00CB6C95">
        <w:rPr>
          <w:b/>
          <w:sz w:val="22"/>
          <w:szCs w:val="22"/>
          <w:lang w:eastAsia="ko-KR"/>
        </w:rPr>
        <w:t>Hiroshi Minami</w:t>
      </w:r>
    </w:p>
    <w:p w14:paraId="5FC7FEFD" w14:textId="77777777" w:rsidR="00167860" w:rsidRPr="00CB6C95" w:rsidRDefault="00167860" w:rsidP="00167860">
      <w:pPr>
        <w:adjustRightInd w:val="0"/>
        <w:snapToGrid w:val="0"/>
        <w:rPr>
          <w:sz w:val="22"/>
          <w:szCs w:val="22"/>
          <w:lang w:eastAsia="ko-KR"/>
        </w:rPr>
      </w:pPr>
      <w:r w:rsidRPr="00CB6C95">
        <w:rPr>
          <w:sz w:val="22"/>
          <w:szCs w:val="22"/>
          <w:lang w:eastAsia="ko-KR"/>
        </w:rPr>
        <w:t>Director, Department</w:t>
      </w:r>
    </w:p>
    <w:p w14:paraId="168E0FF9" w14:textId="77777777" w:rsidR="00167860" w:rsidRPr="00CB6C95" w:rsidRDefault="00167860" w:rsidP="00167860">
      <w:pPr>
        <w:adjustRightInd w:val="0"/>
        <w:snapToGrid w:val="0"/>
        <w:rPr>
          <w:sz w:val="22"/>
          <w:szCs w:val="22"/>
          <w:lang w:eastAsia="ko-KR"/>
        </w:rPr>
      </w:pPr>
      <w:r w:rsidRPr="00CB6C95">
        <w:rPr>
          <w:sz w:val="22"/>
          <w:szCs w:val="22"/>
          <w:lang w:eastAsia="ko-KR"/>
        </w:rPr>
        <w:t>National Research Institute of Far Seas Fisheries</w:t>
      </w:r>
    </w:p>
    <w:p w14:paraId="630771B0" w14:textId="77777777" w:rsidR="00167860" w:rsidRPr="00CB6C95" w:rsidRDefault="00167860" w:rsidP="00167860">
      <w:pPr>
        <w:adjustRightInd w:val="0"/>
        <w:snapToGrid w:val="0"/>
        <w:rPr>
          <w:sz w:val="22"/>
          <w:szCs w:val="22"/>
          <w:lang w:eastAsia="ko-KR"/>
        </w:rPr>
      </w:pPr>
      <w:r w:rsidRPr="00CB6C95">
        <w:rPr>
          <w:sz w:val="22"/>
          <w:szCs w:val="22"/>
          <w:lang w:eastAsia="ko-KR"/>
        </w:rPr>
        <w:t>5-7-1, Orido, Shimizu, Shizuoka 424-8633, Japan</w:t>
      </w:r>
    </w:p>
    <w:p w14:paraId="2FA1498D" w14:textId="77777777" w:rsidR="00167860" w:rsidRPr="00CB6C95" w:rsidRDefault="00167860" w:rsidP="00167860">
      <w:pPr>
        <w:adjustRightInd w:val="0"/>
        <w:snapToGrid w:val="0"/>
        <w:rPr>
          <w:sz w:val="22"/>
          <w:szCs w:val="22"/>
          <w:lang w:eastAsia="ko-KR"/>
        </w:rPr>
      </w:pPr>
      <w:r w:rsidRPr="00CB6C95">
        <w:rPr>
          <w:sz w:val="22"/>
          <w:szCs w:val="22"/>
          <w:lang w:eastAsia="ko-KR"/>
        </w:rPr>
        <w:t>hminami@affrc.go.jp</w:t>
      </w:r>
    </w:p>
    <w:p w14:paraId="598F6D2E" w14:textId="77777777" w:rsidR="00167860" w:rsidRPr="00CB6C95" w:rsidRDefault="00167860" w:rsidP="00167860">
      <w:pPr>
        <w:adjustRightInd w:val="0"/>
        <w:snapToGrid w:val="0"/>
        <w:rPr>
          <w:sz w:val="22"/>
          <w:szCs w:val="22"/>
          <w:lang w:eastAsia="ko-KR"/>
        </w:rPr>
      </w:pPr>
    </w:p>
    <w:p w14:paraId="6E5C5812" w14:textId="77777777" w:rsidR="00167860" w:rsidRPr="00CB6C95" w:rsidRDefault="00167860" w:rsidP="00167860">
      <w:pPr>
        <w:adjustRightInd w:val="0"/>
        <w:snapToGrid w:val="0"/>
        <w:rPr>
          <w:b/>
          <w:sz w:val="22"/>
          <w:szCs w:val="22"/>
          <w:lang w:eastAsia="ko-KR"/>
        </w:rPr>
      </w:pPr>
      <w:r w:rsidRPr="00CB6C95">
        <w:rPr>
          <w:b/>
          <w:sz w:val="22"/>
          <w:szCs w:val="22"/>
          <w:lang w:eastAsia="ko-KR"/>
        </w:rPr>
        <w:t>Nobuhiro Katsumata</w:t>
      </w:r>
    </w:p>
    <w:p w14:paraId="67ABACFD" w14:textId="77777777" w:rsidR="00167860" w:rsidRPr="00CB6C95" w:rsidRDefault="00167860" w:rsidP="00167860">
      <w:pPr>
        <w:adjustRightInd w:val="0"/>
        <w:snapToGrid w:val="0"/>
        <w:rPr>
          <w:sz w:val="22"/>
          <w:szCs w:val="22"/>
          <w:lang w:eastAsia="ko-KR"/>
        </w:rPr>
      </w:pPr>
      <w:r w:rsidRPr="00CB6C95">
        <w:rPr>
          <w:sz w:val="22"/>
          <w:szCs w:val="22"/>
          <w:lang w:eastAsia="ko-KR"/>
        </w:rPr>
        <w:t>Associate Scientist</w:t>
      </w:r>
    </w:p>
    <w:p w14:paraId="401848E4"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Ecologically Related Species Group, </w:t>
      </w:r>
    </w:p>
    <w:p w14:paraId="7EB12AA4" w14:textId="77777777" w:rsidR="00167860" w:rsidRPr="00CB6C95" w:rsidRDefault="00167860" w:rsidP="00167860">
      <w:pPr>
        <w:adjustRightInd w:val="0"/>
        <w:snapToGrid w:val="0"/>
        <w:rPr>
          <w:sz w:val="22"/>
          <w:szCs w:val="22"/>
          <w:lang w:eastAsia="ko-KR"/>
        </w:rPr>
      </w:pPr>
      <w:r w:rsidRPr="00CB6C95">
        <w:rPr>
          <w:sz w:val="22"/>
          <w:szCs w:val="22"/>
          <w:lang w:eastAsia="ko-KR"/>
        </w:rPr>
        <w:t>National Research Institute of Far Seas Fisheries</w:t>
      </w:r>
    </w:p>
    <w:p w14:paraId="6DBDD148" w14:textId="77777777" w:rsidR="00167860" w:rsidRPr="00CB6C95" w:rsidRDefault="00167860" w:rsidP="00167860">
      <w:pPr>
        <w:adjustRightInd w:val="0"/>
        <w:snapToGrid w:val="0"/>
        <w:rPr>
          <w:sz w:val="22"/>
          <w:szCs w:val="22"/>
          <w:lang w:eastAsia="ko-KR"/>
        </w:rPr>
      </w:pPr>
      <w:r w:rsidRPr="00CB6C95">
        <w:rPr>
          <w:sz w:val="22"/>
          <w:szCs w:val="22"/>
          <w:lang w:eastAsia="ko-KR"/>
        </w:rPr>
        <w:t>5-7-1, Orido, Shimizu, Shizuoka, 424-8633, Japan</w:t>
      </w:r>
    </w:p>
    <w:p w14:paraId="2612B32A" w14:textId="77777777" w:rsidR="00167860" w:rsidRPr="00CB6C95" w:rsidRDefault="00167860" w:rsidP="00167860">
      <w:pPr>
        <w:adjustRightInd w:val="0"/>
        <w:snapToGrid w:val="0"/>
        <w:rPr>
          <w:sz w:val="22"/>
          <w:szCs w:val="22"/>
          <w:lang w:eastAsia="ko-KR"/>
        </w:rPr>
      </w:pPr>
      <w:r w:rsidRPr="00CB6C95">
        <w:rPr>
          <w:sz w:val="22"/>
          <w:szCs w:val="22"/>
          <w:lang w:eastAsia="ko-KR"/>
        </w:rPr>
        <w:t>81-54-336-6046</w:t>
      </w:r>
    </w:p>
    <w:p w14:paraId="36701D69" w14:textId="77777777" w:rsidR="00167860" w:rsidRPr="00CB6C95" w:rsidRDefault="00167860" w:rsidP="00167860">
      <w:pPr>
        <w:adjustRightInd w:val="0"/>
        <w:snapToGrid w:val="0"/>
        <w:rPr>
          <w:sz w:val="22"/>
          <w:szCs w:val="22"/>
          <w:lang w:eastAsia="ko-KR"/>
        </w:rPr>
      </w:pPr>
      <w:r w:rsidRPr="00CB6C95">
        <w:rPr>
          <w:sz w:val="22"/>
          <w:szCs w:val="22"/>
          <w:lang w:eastAsia="ko-KR"/>
        </w:rPr>
        <w:t>katsumta@affrc.go.jp</w:t>
      </w:r>
    </w:p>
    <w:p w14:paraId="0625261B" w14:textId="77777777" w:rsidR="00167860" w:rsidRPr="00CB6C95" w:rsidRDefault="00167860" w:rsidP="00167860">
      <w:pPr>
        <w:adjustRightInd w:val="0"/>
        <w:snapToGrid w:val="0"/>
        <w:rPr>
          <w:sz w:val="22"/>
          <w:szCs w:val="22"/>
          <w:lang w:eastAsia="ko-KR"/>
        </w:rPr>
      </w:pPr>
    </w:p>
    <w:p w14:paraId="5A338EEE" w14:textId="77777777" w:rsidR="00167860" w:rsidRPr="00CB6C95" w:rsidRDefault="00167860" w:rsidP="00167860">
      <w:pPr>
        <w:adjustRightInd w:val="0"/>
        <w:snapToGrid w:val="0"/>
        <w:rPr>
          <w:b/>
          <w:sz w:val="22"/>
          <w:szCs w:val="22"/>
          <w:lang w:eastAsia="ko-KR"/>
        </w:rPr>
      </w:pPr>
      <w:r w:rsidRPr="00CB6C95">
        <w:rPr>
          <w:b/>
          <w:sz w:val="22"/>
          <w:szCs w:val="22"/>
          <w:lang w:eastAsia="ko-KR"/>
        </w:rPr>
        <w:t>Hiroaki Okamoto</w:t>
      </w:r>
    </w:p>
    <w:p w14:paraId="06FF385A" w14:textId="77777777" w:rsidR="00167860" w:rsidRPr="00CB6C95" w:rsidRDefault="00167860" w:rsidP="00167860">
      <w:pPr>
        <w:adjustRightInd w:val="0"/>
        <w:snapToGrid w:val="0"/>
        <w:rPr>
          <w:sz w:val="22"/>
          <w:szCs w:val="22"/>
          <w:lang w:eastAsia="ko-KR"/>
        </w:rPr>
      </w:pPr>
      <w:r w:rsidRPr="00CB6C95">
        <w:rPr>
          <w:sz w:val="22"/>
          <w:szCs w:val="22"/>
          <w:lang w:eastAsia="ko-KR"/>
        </w:rPr>
        <w:t>Bluefin Tuna Resources Department</w:t>
      </w:r>
    </w:p>
    <w:p w14:paraId="082179CA" w14:textId="77777777" w:rsidR="00167860" w:rsidRPr="00CB6C95" w:rsidRDefault="00167860" w:rsidP="00167860">
      <w:pPr>
        <w:adjustRightInd w:val="0"/>
        <w:snapToGrid w:val="0"/>
        <w:rPr>
          <w:sz w:val="22"/>
          <w:szCs w:val="22"/>
          <w:lang w:eastAsia="ko-KR"/>
        </w:rPr>
      </w:pPr>
      <w:r w:rsidRPr="00CB6C95">
        <w:rPr>
          <w:sz w:val="22"/>
          <w:szCs w:val="22"/>
          <w:lang w:eastAsia="ko-KR"/>
        </w:rPr>
        <w:t>National Research Institute of Far Seas Fisheries</w:t>
      </w:r>
    </w:p>
    <w:p w14:paraId="0749EA7E" w14:textId="77777777" w:rsidR="00167860" w:rsidRPr="00CB6C95" w:rsidRDefault="00167860" w:rsidP="00167860">
      <w:pPr>
        <w:adjustRightInd w:val="0"/>
        <w:snapToGrid w:val="0"/>
        <w:rPr>
          <w:sz w:val="22"/>
          <w:szCs w:val="22"/>
          <w:lang w:eastAsia="ko-KR"/>
        </w:rPr>
      </w:pPr>
      <w:r w:rsidRPr="00CB6C95">
        <w:rPr>
          <w:sz w:val="22"/>
          <w:szCs w:val="22"/>
          <w:lang w:eastAsia="ko-KR"/>
        </w:rPr>
        <w:t>5-7-1 Orido, Shimizu-Ku, Shizuoka-Shi, Shizuoka 4248633, Japan</w:t>
      </w:r>
    </w:p>
    <w:p w14:paraId="39B5886A" w14:textId="77777777" w:rsidR="00167860" w:rsidRPr="00CB6C95" w:rsidRDefault="00167860" w:rsidP="00167860">
      <w:pPr>
        <w:adjustRightInd w:val="0"/>
        <w:snapToGrid w:val="0"/>
        <w:rPr>
          <w:sz w:val="22"/>
          <w:szCs w:val="22"/>
          <w:lang w:eastAsia="ko-KR"/>
        </w:rPr>
      </w:pPr>
      <w:r w:rsidRPr="00CB6C95">
        <w:rPr>
          <w:sz w:val="22"/>
          <w:szCs w:val="22"/>
          <w:lang w:eastAsia="ko-KR"/>
        </w:rPr>
        <w:t>okamoto@affrc.go.jp</w:t>
      </w:r>
    </w:p>
    <w:p w14:paraId="043F1D88" w14:textId="77777777" w:rsidR="00167860" w:rsidRPr="00CB6C95" w:rsidRDefault="00167860" w:rsidP="00167860">
      <w:pPr>
        <w:adjustRightInd w:val="0"/>
        <w:snapToGrid w:val="0"/>
        <w:rPr>
          <w:sz w:val="22"/>
          <w:szCs w:val="22"/>
          <w:lang w:eastAsia="ko-KR"/>
        </w:rPr>
      </w:pPr>
    </w:p>
    <w:p w14:paraId="045CA7C7" w14:textId="77777777" w:rsidR="00167860" w:rsidRPr="00CB6C95" w:rsidRDefault="00167860" w:rsidP="00167860">
      <w:pPr>
        <w:adjustRightInd w:val="0"/>
        <w:snapToGrid w:val="0"/>
        <w:rPr>
          <w:b/>
          <w:sz w:val="22"/>
          <w:szCs w:val="22"/>
          <w:lang w:eastAsia="ko-KR"/>
        </w:rPr>
      </w:pPr>
      <w:r w:rsidRPr="00CB6C95">
        <w:rPr>
          <w:b/>
          <w:sz w:val="22"/>
          <w:szCs w:val="22"/>
          <w:lang w:eastAsia="ko-KR"/>
        </w:rPr>
        <w:t>Hidetada Kiyofuji</w:t>
      </w:r>
    </w:p>
    <w:p w14:paraId="719D27B3" w14:textId="77777777" w:rsidR="00167860" w:rsidRPr="00CB6C95" w:rsidRDefault="00167860" w:rsidP="00167860">
      <w:pPr>
        <w:adjustRightInd w:val="0"/>
        <w:snapToGrid w:val="0"/>
        <w:rPr>
          <w:sz w:val="22"/>
          <w:szCs w:val="22"/>
          <w:lang w:eastAsia="ko-KR"/>
        </w:rPr>
      </w:pPr>
      <w:r w:rsidRPr="00CB6C95">
        <w:rPr>
          <w:sz w:val="22"/>
          <w:szCs w:val="22"/>
          <w:lang w:eastAsia="ko-KR"/>
        </w:rPr>
        <w:t>Skipjack and Albacore Group, Tuna and Skipjack Resource Department</w:t>
      </w:r>
    </w:p>
    <w:p w14:paraId="3508F6E3" w14:textId="77777777" w:rsidR="00167860" w:rsidRPr="00CB6C95" w:rsidRDefault="00167860" w:rsidP="00167860">
      <w:pPr>
        <w:adjustRightInd w:val="0"/>
        <w:snapToGrid w:val="0"/>
        <w:rPr>
          <w:sz w:val="22"/>
          <w:szCs w:val="22"/>
          <w:lang w:eastAsia="ko-KR"/>
        </w:rPr>
      </w:pPr>
      <w:r w:rsidRPr="00CB6C95">
        <w:rPr>
          <w:sz w:val="22"/>
          <w:szCs w:val="22"/>
          <w:lang w:eastAsia="ko-KR"/>
        </w:rPr>
        <w:t>National Research Institute of Far Seas Fisheries</w:t>
      </w:r>
    </w:p>
    <w:p w14:paraId="33F43BDB" w14:textId="77777777" w:rsidR="00167860" w:rsidRPr="00CB6C95" w:rsidRDefault="00167860" w:rsidP="00167860">
      <w:pPr>
        <w:adjustRightInd w:val="0"/>
        <w:snapToGrid w:val="0"/>
        <w:rPr>
          <w:sz w:val="22"/>
          <w:szCs w:val="22"/>
          <w:lang w:eastAsia="ko-KR"/>
        </w:rPr>
      </w:pPr>
      <w:r w:rsidRPr="00CB6C95">
        <w:rPr>
          <w:sz w:val="22"/>
          <w:szCs w:val="22"/>
          <w:lang w:eastAsia="ko-KR"/>
        </w:rPr>
        <w:t>5-7-1 Orido, Shimizu, Shizuoka, Shizuoka</w:t>
      </w:r>
      <w:r w:rsidRPr="00CB6C95">
        <w:rPr>
          <w:sz w:val="22"/>
          <w:szCs w:val="22"/>
          <w:lang w:eastAsia="ko-KR"/>
        </w:rPr>
        <w:br/>
        <w:t>424-8611 JAPAN</w:t>
      </w:r>
    </w:p>
    <w:p w14:paraId="3BA90EC9" w14:textId="77777777" w:rsidR="00167860" w:rsidRPr="00CB6C95" w:rsidRDefault="00167860" w:rsidP="00167860">
      <w:pPr>
        <w:adjustRightInd w:val="0"/>
        <w:snapToGrid w:val="0"/>
        <w:rPr>
          <w:sz w:val="22"/>
          <w:szCs w:val="22"/>
          <w:lang w:eastAsia="ko-KR"/>
        </w:rPr>
      </w:pPr>
      <w:r w:rsidRPr="00CB6C95">
        <w:rPr>
          <w:sz w:val="22"/>
          <w:szCs w:val="22"/>
          <w:lang w:eastAsia="ko-KR"/>
        </w:rPr>
        <w:t>hkiyofuj@affrc.go.jp</w:t>
      </w:r>
    </w:p>
    <w:p w14:paraId="5FA900C5" w14:textId="77777777" w:rsidR="00167860" w:rsidRPr="00CB6C95" w:rsidRDefault="00167860" w:rsidP="00167860">
      <w:pPr>
        <w:adjustRightInd w:val="0"/>
        <w:snapToGrid w:val="0"/>
        <w:rPr>
          <w:sz w:val="22"/>
          <w:szCs w:val="22"/>
          <w:lang w:eastAsia="ko-KR"/>
        </w:rPr>
      </w:pPr>
    </w:p>
    <w:p w14:paraId="718F77E7" w14:textId="77777777" w:rsidR="00167860" w:rsidRPr="00CB6C95" w:rsidRDefault="00167860" w:rsidP="00167860">
      <w:pPr>
        <w:adjustRightInd w:val="0"/>
        <w:snapToGrid w:val="0"/>
        <w:rPr>
          <w:b/>
          <w:sz w:val="22"/>
          <w:szCs w:val="22"/>
          <w:lang w:eastAsia="ko-KR"/>
        </w:rPr>
      </w:pPr>
      <w:r w:rsidRPr="00CB6C95">
        <w:rPr>
          <w:b/>
          <w:sz w:val="22"/>
          <w:szCs w:val="22"/>
          <w:lang w:eastAsia="ko-KR"/>
        </w:rPr>
        <w:t>Kei Okamoto</w:t>
      </w:r>
    </w:p>
    <w:p w14:paraId="27F7E02A" w14:textId="77777777" w:rsidR="00167860" w:rsidRPr="00CB6C95" w:rsidRDefault="00167860" w:rsidP="00167860">
      <w:pPr>
        <w:adjustRightInd w:val="0"/>
        <w:snapToGrid w:val="0"/>
        <w:rPr>
          <w:sz w:val="22"/>
          <w:szCs w:val="22"/>
          <w:lang w:eastAsia="ko-KR"/>
        </w:rPr>
      </w:pPr>
      <w:r w:rsidRPr="00CB6C95">
        <w:rPr>
          <w:sz w:val="22"/>
          <w:szCs w:val="22"/>
          <w:lang w:eastAsia="ko-KR"/>
        </w:rPr>
        <w:t>Associate Scientist</w:t>
      </w:r>
    </w:p>
    <w:p w14:paraId="6B5F7FD9" w14:textId="77777777" w:rsidR="00167860" w:rsidRPr="00CB6C95" w:rsidRDefault="00167860" w:rsidP="00167860">
      <w:pPr>
        <w:adjustRightInd w:val="0"/>
        <w:snapToGrid w:val="0"/>
        <w:rPr>
          <w:sz w:val="22"/>
          <w:szCs w:val="22"/>
          <w:lang w:eastAsia="ko-KR"/>
        </w:rPr>
      </w:pPr>
      <w:r w:rsidRPr="00CB6C95">
        <w:rPr>
          <w:sz w:val="22"/>
          <w:szCs w:val="22"/>
          <w:lang w:eastAsia="ko-KR"/>
        </w:rPr>
        <w:t>National Research Institute of Far Seas Fisheries</w:t>
      </w:r>
    </w:p>
    <w:p w14:paraId="49B8AACE" w14:textId="77777777" w:rsidR="00167860" w:rsidRPr="00CB6C95" w:rsidRDefault="00167860" w:rsidP="00167860">
      <w:pPr>
        <w:adjustRightInd w:val="0"/>
        <w:snapToGrid w:val="0"/>
        <w:rPr>
          <w:sz w:val="22"/>
          <w:szCs w:val="22"/>
          <w:lang w:eastAsia="ko-KR"/>
        </w:rPr>
      </w:pPr>
      <w:r w:rsidRPr="00CB6C95">
        <w:rPr>
          <w:sz w:val="22"/>
          <w:szCs w:val="22"/>
          <w:lang w:eastAsia="ko-KR"/>
        </w:rPr>
        <w:t>5-7-1, Orido, Shimizu, Shizuoka, 424-8633, Japan</w:t>
      </w:r>
    </w:p>
    <w:p w14:paraId="4C7D8E28" w14:textId="77777777" w:rsidR="00167860" w:rsidRPr="00CB6C95" w:rsidRDefault="00167860" w:rsidP="00167860">
      <w:pPr>
        <w:adjustRightInd w:val="0"/>
        <w:snapToGrid w:val="0"/>
        <w:rPr>
          <w:sz w:val="22"/>
          <w:szCs w:val="22"/>
          <w:lang w:eastAsia="ko-KR"/>
        </w:rPr>
      </w:pPr>
      <w:r w:rsidRPr="00CB6C95">
        <w:rPr>
          <w:sz w:val="22"/>
          <w:szCs w:val="22"/>
          <w:lang w:eastAsia="ko-KR"/>
        </w:rPr>
        <w:t>keiokamoto@affrc.go.jp</w:t>
      </w:r>
    </w:p>
    <w:p w14:paraId="07C36EE6" w14:textId="77777777" w:rsidR="00167860" w:rsidRPr="00CB6C95" w:rsidRDefault="00167860" w:rsidP="00167860">
      <w:pPr>
        <w:adjustRightInd w:val="0"/>
        <w:snapToGrid w:val="0"/>
        <w:rPr>
          <w:sz w:val="22"/>
          <w:szCs w:val="22"/>
          <w:lang w:eastAsia="ko-KR"/>
        </w:rPr>
      </w:pPr>
    </w:p>
    <w:p w14:paraId="6F822347" w14:textId="77777777" w:rsidR="00167860" w:rsidRPr="00CB6C95" w:rsidRDefault="00167860" w:rsidP="00167860">
      <w:pPr>
        <w:adjustRightInd w:val="0"/>
        <w:snapToGrid w:val="0"/>
        <w:rPr>
          <w:b/>
          <w:sz w:val="22"/>
          <w:szCs w:val="22"/>
          <w:lang w:eastAsia="ko-KR"/>
        </w:rPr>
      </w:pPr>
      <w:r w:rsidRPr="00CB6C95">
        <w:rPr>
          <w:b/>
          <w:sz w:val="22"/>
          <w:szCs w:val="22"/>
          <w:lang w:eastAsia="ko-KR"/>
        </w:rPr>
        <w:t>Keisuke Satoh</w:t>
      </w:r>
    </w:p>
    <w:p w14:paraId="6E903DB2" w14:textId="77777777" w:rsidR="00167860" w:rsidRPr="00CB6C95" w:rsidRDefault="00167860" w:rsidP="00167860">
      <w:pPr>
        <w:adjustRightInd w:val="0"/>
        <w:snapToGrid w:val="0"/>
        <w:rPr>
          <w:sz w:val="22"/>
          <w:szCs w:val="22"/>
          <w:lang w:eastAsia="ko-KR"/>
        </w:rPr>
      </w:pPr>
      <w:r w:rsidRPr="00CB6C95">
        <w:rPr>
          <w:sz w:val="22"/>
          <w:szCs w:val="22"/>
          <w:lang w:eastAsia="ko-KR"/>
        </w:rPr>
        <w:t>Tuna Fisheries Resources Group</w:t>
      </w:r>
    </w:p>
    <w:p w14:paraId="2E9BCCE0"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National Research Institute of Far Seas Fisheries </w:t>
      </w:r>
    </w:p>
    <w:p w14:paraId="2A0F86EA" w14:textId="77777777" w:rsidR="00167860" w:rsidRPr="00CB6C95" w:rsidRDefault="00167860" w:rsidP="00167860">
      <w:pPr>
        <w:adjustRightInd w:val="0"/>
        <w:snapToGrid w:val="0"/>
        <w:rPr>
          <w:sz w:val="22"/>
          <w:szCs w:val="22"/>
          <w:lang w:eastAsia="ko-KR"/>
        </w:rPr>
      </w:pPr>
      <w:r w:rsidRPr="00CB6C95">
        <w:rPr>
          <w:sz w:val="22"/>
          <w:szCs w:val="22"/>
          <w:lang w:eastAsia="ko-KR"/>
        </w:rPr>
        <w:t>5-7-1 Orido, Shimizu-ku, Shizuoka, Shizuoka, 424-8633, JAPAN</w:t>
      </w:r>
    </w:p>
    <w:p w14:paraId="30B79B2C" w14:textId="77777777" w:rsidR="00167860" w:rsidRPr="00CB6C95" w:rsidRDefault="00167860" w:rsidP="00167860">
      <w:pPr>
        <w:adjustRightInd w:val="0"/>
        <w:snapToGrid w:val="0"/>
        <w:rPr>
          <w:sz w:val="22"/>
          <w:szCs w:val="22"/>
          <w:lang w:eastAsia="ko-KR"/>
        </w:rPr>
      </w:pPr>
      <w:r w:rsidRPr="00CB6C95">
        <w:rPr>
          <w:sz w:val="22"/>
          <w:szCs w:val="22"/>
          <w:lang w:eastAsia="ko-KR"/>
        </w:rPr>
        <w:t>kstu21@fra.affrc.go.jp</w:t>
      </w:r>
    </w:p>
    <w:p w14:paraId="0EC8AA80" w14:textId="77777777" w:rsidR="00167860" w:rsidRPr="00CB6C95" w:rsidRDefault="00167860" w:rsidP="00167860">
      <w:pPr>
        <w:adjustRightInd w:val="0"/>
        <w:snapToGrid w:val="0"/>
        <w:rPr>
          <w:sz w:val="22"/>
          <w:szCs w:val="22"/>
          <w:lang w:eastAsia="ko-KR"/>
        </w:rPr>
      </w:pPr>
    </w:p>
    <w:p w14:paraId="434196DD" w14:textId="77777777" w:rsidR="00167860" w:rsidRPr="00CB6C95" w:rsidRDefault="00167860" w:rsidP="00167860">
      <w:pPr>
        <w:adjustRightInd w:val="0"/>
        <w:snapToGrid w:val="0"/>
        <w:rPr>
          <w:b/>
          <w:sz w:val="22"/>
          <w:szCs w:val="22"/>
          <w:lang w:eastAsia="ko-KR"/>
        </w:rPr>
      </w:pPr>
      <w:r w:rsidRPr="00CB6C95">
        <w:rPr>
          <w:b/>
          <w:sz w:val="22"/>
          <w:szCs w:val="22"/>
          <w:lang w:eastAsia="ko-KR"/>
        </w:rPr>
        <w:t>Mikihiko Kai</w:t>
      </w:r>
    </w:p>
    <w:p w14:paraId="46457620" w14:textId="77777777" w:rsidR="00167860" w:rsidRPr="00CB6C95" w:rsidRDefault="00167860" w:rsidP="00167860">
      <w:pPr>
        <w:adjustRightInd w:val="0"/>
        <w:snapToGrid w:val="0"/>
        <w:rPr>
          <w:sz w:val="22"/>
          <w:szCs w:val="22"/>
          <w:lang w:eastAsia="ko-KR"/>
        </w:rPr>
      </w:pPr>
      <w:r w:rsidRPr="00CB6C95">
        <w:rPr>
          <w:sz w:val="22"/>
          <w:szCs w:val="22"/>
          <w:lang w:eastAsia="ko-KR"/>
        </w:rPr>
        <w:t>Tuna and Skipjack Resources Department</w:t>
      </w:r>
    </w:p>
    <w:p w14:paraId="71D17B4B" w14:textId="77777777" w:rsidR="00167860" w:rsidRPr="00CB6C95" w:rsidRDefault="00167860" w:rsidP="00167860">
      <w:pPr>
        <w:adjustRightInd w:val="0"/>
        <w:snapToGrid w:val="0"/>
        <w:rPr>
          <w:sz w:val="22"/>
          <w:szCs w:val="22"/>
          <w:lang w:eastAsia="ko-KR"/>
        </w:rPr>
      </w:pPr>
      <w:r w:rsidRPr="00CB6C95">
        <w:rPr>
          <w:sz w:val="22"/>
          <w:szCs w:val="22"/>
          <w:lang w:eastAsia="ko-KR"/>
        </w:rPr>
        <w:t>National Research Institute of Far Seas Fisheries</w:t>
      </w:r>
    </w:p>
    <w:p w14:paraId="0C73EC01" w14:textId="77777777" w:rsidR="00167860" w:rsidRPr="00CB6C95" w:rsidRDefault="00167860" w:rsidP="00167860">
      <w:pPr>
        <w:adjustRightInd w:val="0"/>
        <w:snapToGrid w:val="0"/>
        <w:rPr>
          <w:sz w:val="22"/>
          <w:szCs w:val="22"/>
          <w:lang w:eastAsia="ko-KR"/>
        </w:rPr>
      </w:pPr>
      <w:r w:rsidRPr="00CB6C95">
        <w:rPr>
          <w:sz w:val="22"/>
          <w:szCs w:val="22"/>
          <w:lang w:eastAsia="ko-KR"/>
        </w:rPr>
        <w:t>5-7-1, Orido, Shimizu, Shizuoka 424-8633</w:t>
      </w:r>
    </w:p>
    <w:p w14:paraId="56318A4D" w14:textId="77777777" w:rsidR="00167860" w:rsidRPr="00CB6C95" w:rsidRDefault="00167860" w:rsidP="00167860">
      <w:pPr>
        <w:adjustRightInd w:val="0"/>
        <w:snapToGrid w:val="0"/>
        <w:rPr>
          <w:sz w:val="22"/>
          <w:szCs w:val="22"/>
          <w:lang w:eastAsia="ko-KR"/>
        </w:rPr>
      </w:pPr>
      <w:r w:rsidRPr="00CB6C95">
        <w:rPr>
          <w:sz w:val="22"/>
          <w:szCs w:val="22"/>
          <w:lang w:eastAsia="ko-KR"/>
        </w:rPr>
        <w:t>kaim@affrc.go.jp</w:t>
      </w:r>
    </w:p>
    <w:p w14:paraId="45937EB2" w14:textId="77777777" w:rsidR="00167860" w:rsidRPr="00CB6C95" w:rsidRDefault="00167860" w:rsidP="00167860">
      <w:pPr>
        <w:adjustRightInd w:val="0"/>
        <w:snapToGrid w:val="0"/>
        <w:rPr>
          <w:sz w:val="22"/>
          <w:szCs w:val="22"/>
          <w:lang w:eastAsia="ko-KR"/>
        </w:rPr>
      </w:pPr>
    </w:p>
    <w:p w14:paraId="46703A85" w14:textId="77777777" w:rsidR="00167860" w:rsidRPr="00CB6C95" w:rsidRDefault="00167860" w:rsidP="00167860">
      <w:pPr>
        <w:adjustRightInd w:val="0"/>
        <w:snapToGrid w:val="0"/>
        <w:rPr>
          <w:b/>
          <w:sz w:val="22"/>
          <w:szCs w:val="22"/>
          <w:lang w:eastAsia="ko-KR"/>
        </w:rPr>
      </w:pPr>
      <w:r w:rsidRPr="00CB6C95">
        <w:rPr>
          <w:b/>
          <w:sz w:val="22"/>
          <w:szCs w:val="22"/>
          <w:lang w:eastAsia="ko-KR"/>
        </w:rPr>
        <w:t>Yoshinori Aoki</w:t>
      </w:r>
    </w:p>
    <w:p w14:paraId="5A81E192"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Skipjack and albacore group, </w:t>
      </w:r>
    </w:p>
    <w:p w14:paraId="43B79566"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National Research Institute of Far Sea Fisheries, </w:t>
      </w:r>
    </w:p>
    <w:p w14:paraId="74EB5174" w14:textId="77777777" w:rsidR="00167860" w:rsidRPr="00CB6C95" w:rsidRDefault="00167860" w:rsidP="00167860">
      <w:pPr>
        <w:adjustRightInd w:val="0"/>
        <w:snapToGrid w:val="0"/>
        <w:rPr>
          <w:sz w:val="22"/>
          <w:szCs w:val="22"/>
          <w:lang w:eastAsia="ko-KR"/>
        </w:rPr>
      </w:pPr>
      <w:r w:rsidRPr="00CB6C95">
        <w:rPr>
          <w:sz w:val="22"/>
          <w:szCs w:val="22"/>
          <w:lang w:eastAsia="ko-KR"/>
        </w:rPr>
        <w:t>Japan Fisheries Research and Education Agency</w:t>
      </w:r>
    </w:p>
    <w:p w14:paraId="02A0C276" w14:textId="77777777" w:rsidR="00167860" w:rsidRPr="00CB6C95" w:rsidRDefault="00167860" w:rsidP="00167860">
      <w:pPr>
        <w:adjustRightInd w:val="0"/>
        <w:snapToGrid w:val="0"/>
        <w:rPr>
          <w:sz w:val="22"/>
          <w:szCs w:val="22"/>
          <w:lang w:eastAsia="ko-KR"/>
        </w:rPr>
      </w:pPr>
      <w:r w:rsidRPr="00CB6C95">
        <w:rPr>
          <w:sz w:val="22"/>
          <w:szCs w:val="22"/>
          <w:lang w:eastAsia="ko-KR"/>
        </w:rPr>
        <w:t>5-7-1, Orido, Shimizu, Shizuoka, 424-8611, Japan</w:t>
      </w:r>
    </w:p>
    <w:p w14:paraId="6C50CAF5" w14:textId="77777777" w:rsidR="00167860" w:rsidRPr="00CB6C95" w:rsidRDefault="00167860" w:rsidP="00167860">
      <w:pPr>
        <w:adjustRightInd w:val="0"/>
        <w:snapToGrid w:val="0"/>
        <w:rPr>
          <w:sz w:val="22"/>
          <w:szCs w:val="22"/>
          <w:lang w:eastAsia="ko-KR"/>
        </w:rPr>
      </w:pPr>
      <w:r w:rsidRPr="00CB6C95">
        <w:rPr>
          <w:sz w:val="22"/>
          <w:szCs w:val="22"/>
          <w:lang w:eastAsia="ko-KR"/>
        </w:rPr>
        <w:t>aokiyoshinori@affrc.go.jp</w:t>
      </w:r>
    </w:p>
    <w:p w14:paraId="72870BA5" w14:textId="77777777" w:rsidR="00167860" w:rsidRPr="00CB6C95" w:rsidRDefault="00167860" w:rsidP="00167860">
      <w:pPr>
        <w:adjustRightInd w:val="0"/>
        <w:snapToGrid w:val="0"/>
        <w:rPr>
          <w:sz w:val="22"/>
          <w:szCs w:val="22"/>
          <w:lang w:eastAsia="ko-KR"/>
        </w:rPr>
      </w:pPr>
    </w:p>
    <w:p w14:paraId="41D6A669" w14:textId="77777777" w:rsidR="00167860" w:rsidRPr="00CB6C95" w:rsidRDefault="00167860" w:rsidP="00167860">
      <w:pPr>
        <w:adjustRightInd w:val="0"/>
        <w:snapToGrid w:val="0"/>
        <w:rPr>
          <w:b/>
          <w:sz w:val="22"/>
          <w:szCs w:val="22"/>
          <w:lang w:eastAsia="ko-KR"/>
        </w:rPr>
      </w:pPr>
      <w:r w:rsidRPr="00CB6C95">
        <w:rPr>
          <w:b/>
          <w:sz w:val="22"/>
          <w:szCs w:val="22"/>
          <w:lang w:eastAsia="ko-KR"/>
        </w:rPr>
        <w:t>Daisuke Ochi</w:t>
      </w:r>
    </w:p>
    <w:p w14:paraId="62BAF285" w14:textId="77777777" w:rsidR="00167860" w:rsidRPr="00CB6C95" w:rsidRDefault="00167860" w:rsidP="00167860">
      <w:pPr>
        <w:adjustRightInd w:val="0"/>
        <w:snapToGrid w:val="0"/>
        <w:rPr>
          <w:sz w:val="22"/>
          <w:szCs w:val="22"/>
          <w:lang w:eastAsia="ko-KR"/>
        </w:rPr>
      </w:pPr>
      <w:r w:rsidRPr="00CB6C95">
        <w:rPr>
          <w:sz w:val="22"/>
          <w:szCs w:val="22"/>
          <w:lang w:eastAsia="ko-KR"/>
        </w:rPr>
        <w:t>Tuna and Skipjack Resources Section</w:t>
      </w:r>
    </w:p>
    <w:p w14:paraId="38F6B321" w14:textId="77777777" w:rsidR="00167860" w:rsidRPr="00CB6C95" w:rsidRDefault="00167860" w:rsidP="00167860">
      <w:pPr>
        <w:adjustRightInd w:val="0"/>
        <w:snapToGrid w:val="0"/>
        <w:rPr>
          <w:sz w:val="22"/>
          <w:szCs w:val="22"/>
          <w:lang w:eastAsia="ko-KR"/>
        </w:rPr>
      </w:pPr>
      <w:r w:rsidRPr="00CB6C95">
        <w:rPr>
          <w:sz w:val="22"/>
          <w:szCs w:val="22"/>
          <w:lang w:eastAsia="ko-KR"/>
        </w:rPr>
        <w:t>National Research Institute of Far Seas Fisheries</w:t>
      </w:r>
    </w:p>
    <w:p w14:paraId="6B42D885" w14:textId="77777777" w:rsidR="00167860" w:rsidRPr="00CB6C95" w:rsidRDefault="00167860" w:rsidP="00167860">
      <w:pPr>
        <w:adjustRightInd w:val="0"/>
        <w:snapToGrid w:val="0"/>
        <w:rPr>
          <w:sz w:val="22"/>
          <w:szCs w:val="22"/>
          <w:lang w:eastAsia="ko-KR"/>
        </w:rPr>
      </w:pPr>
      <w:r w:rsidRPr="00CB6C95">
        <w:rPr>
          <w:sz w:val="22"/>
          <w:szCs w:val="22"/>
          <w:lang w:eastAsia="ko-KR"/>
        </w:rPr>
        <w:t>5-7-1 Orido, Shimizu, Shizuoka, 4248633, Japan</w:t>
      </w:r>
    </w:p>
    <w:p w14:paraId="7E7956DB" w14:textId="77777777" w:rsidR="00167860" w:rsidRPr="00CB6C95" w:rsidRDefault="00167860" w:rsidP="00167860">
      <w:pPr>
        <w:adjustRightInd w:val="0"/>
        <w:snapToGrid w:val="0"/>
        <w:rPr>
          <w:sz w:val="22"/>
          <w:szCs w:val="22"/>
          <w:lang w:eastAsia="ko-KR"/>
        </w:rPr>
      </w:pPr>
      <w:r w:rsidRPr="00CB6C95">
        <w:rPr>
          <w:sz w:val="22"/>
          <w:szCs w:val="22"/>
          <w:lang w:eastAsia="ko-KR"/>
        </w:rPr>
        <w:t>81543366047</w:t>
      </w:r>
    </w:p>
    <w:p w14:paraId="1006092C" w14:textId="77777777" w:rsidR="00167860" w:rsidRPr="00CB6C95" w:rsidRDefault="00167860" w:rsidP="00167860">
      <w:pPr>
        <w:adjustRightInd w:val="0"/>
        <w:snapToGrid w:val="0"/>
        <w:rPr>
          <w:sz w:val="22"/>
          <w:szCs w:val="22"/>
          <w:lang w:eastAsia="ko-KR"/>
        </w:rPr>
      </w:pPr>
      <w:r w:rsidRPr="00CB6C95">
        <w:rPr>
          <w:sz w:val="22"/>
          <w:szCs w:val="22"/>
          <w:lang w:eastAsia="ko-KR"/>
        </w:rPr>
        <w:t>otthii@affrc.go.jp</w:t>
      </w:r>
    </w:p>
    <w:p w14:paraId="529A88F7" w14:textId="77777777" w:rsidR="00167860" w:rsidRPr="00CB6C95" w:rsidRDefault="00167860" w:rsidP="00167860">
      <w:pPr>
        <w:adjustRightInd w:val="0"/>
        <w:snapToGrid w:val="0"/>
        <w:rPr>
          <w:sz w:val="22"/>
          <w:szCs w:val="22"/>
          <w:lang w:eastAsia="ko-KR"/>
        </w:rPr>
      </w:pPr>
    </w:p>
    <w:p w14:paraId="0D855D7A" w14:textId="77777777" w:rsidR="00167860" w:rsidRPr="00CB6C95" w:rsidRDefault="00167860" w:rsidP="00167860">
      <w:pPr>
        <w:adjustRightInd w:val="0"/>
        <w:snapToGrid w:val="0"/>
        <w:rPr>
          <w:b/>
          <w:sz w:val="22"/>
          <w:szCs w:val="22"/>
          <w:lang w:eastAsia="ko-KR"/>
        </w:rPr>
      </w:pPr>
      <w:r w:rsidRPr="00CB6C95">
        <w:rPr>
          <w:b/>
          <w:sz w:val="22"/>
          <w:szCs w:val="22"/>
          <w:lang w:eastAsia="ko-KR"/>
        </w:rPr>
        <w:t>Hirotaka Ijima</w:t>
      </w:r>
    </w:p>
    <w:p w14:paraId="505FBA75" w14:textId="77777777" w:rsidR="00167860" w:rsidRPr="00CB6C95" w:rsidRDefault="00167860" w:rsidP="00167860">
      <w:pPr>
        <w:adjustRightInd w:val="0"/>
        <w:snapToGrid w:val="0"/>
        <w:rPr>
          <w:sz w:val="22"/>
          <w:szCs w:val="22"/>
          <w:lang w:eastAsia="ko-KR"/>
        </w:rPr>
      </w:pPr>
      <w:r w:rsidRPr="00CB6C95">
        <w:rPr>
          <w:sz w:val="22"/>
          <w:szCs w:val="22"/>
          <w:lang w:eastAsia="ko-KR"/>
        </w:rPr>
        <w:t>Tuna Fisheries Resources Group</w:t>
      </w:r>
    </w:p>
    <w:p w14:paraId="0380E9A2"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National Research Institute of Far Seas Fisheries, </w:t>
      </w:r>
    </w:p>
    <w:p w14:paraId="038F9823" w14:textId="77777777" w:rsidR="00167860" w:rsidRPr="00CB6C95" w:rsidRDefault="00167860" w:rsidP="00167860">
      <w:pPr>
        <w:adjustRightInd w:val="0"/>
        <w:snapToGrid w:val="0"/>
        <w:rPr>
          <w:sz w:val="22"/>
          <w:szCs w:val="22"/>
          <w:lang w:eastAsia="ko-KR"/>
        </w:rPr>
      </w:pPr>
      <w:r w:rsidRPr="00CB6C95">
        <w:rPr>
          <w:sz w:val="22"/>
          <w:szCs w:val="22"/>
          <w:lang w:eastAsia="ko-KR"/>
        </w:rPr>
        <w:t>5-21, Orido, Shimizu, Shizuoka 424-8633</w:t>
      </w:r>
    </w:p>
    <w:p w14:paraId="36CC379B" w14:textId="77777777" w:rsidR="00167860" w:rsidRPr="00CB6C95" w:rsidRDefault="00167860" w:rsidP="00167860">
      <w:pPr>
        <w:adjustRightInd w:val="0"/>
        <w:snapToGrid w:val="0"/>
        <w:rPr>
          <w:sz w:val="22"/>
          <w:szCs w:val="22"/>
          <w:lang w:eastAsia="ko-KR"/>
        </w:rPr>
      </w:pPr>
      <w:r w:rsidRPr="00CB6C95">
        <w:rPr>
          <w:sz w:val="22"/>
          <w:szCs w:val="22"/>
          <w:lang w:eastAsia="ko-KR"/>
        </w:rPr>
        <w:t>81543365835</w:t>
      </w:r>
    </w:p>
    <w:p w14:paraId="537DF453" w14:textId="77777777" w:rsidR="00167860" w:rsidRPr="00CB6C95" w:rsidRDefault="00167860" w:rsidP="00167860">
      <w:pPr>
        <w:adjustRightInd w:val="0"/>
        <w:snapToGrid w:val="0"/>
        <w:rPr>
          <w:sz w:val="22"/>
          <w:szCs w:val="22"/>
          <w:lang w:eastAsia="ko-KR"/>
        </w:rPr>
      </w:pPr>
      <w:r w:rsidRPr="00CB6C95">
        <w:rPr>
          <w:sz w:val="22"/>
          <w:szCs w:val="22"/>
          <w:lang w:eastAsia="ko-KR"/>
        </w:rPr>
        <w:t>ijima@affrc.go.jp</w:t>
      </w:r>
    </w:p>
    <w:p w14:paraId="2212E4C7" w14:textId="77777777" w:rsidR="00167860" w:rsidRPr="00CB6C95" w:rsidRDefault="00167860" w:rsidP="00167860">
      <w:pPr>
        <w:adjustRightInd w:val="0"/>
        <w:snapToGrid w:val="0"/>
        <w:rPr>
          <w:sz w:val="22"/>
          <w:szCs w:val="22"/>
          <w:lang w:eastAsia="ko-KR"/>
        </w:rPr>
      </w:pPr>
    </w:p>
    <w:p w14:paraId="49DF6ADA" w14:textId="77777777" w:rsidR="00167860" w:rsidRPr="00CB6C95" w:rsidRDefault="00167860" w:rsidP="00167860">
      <w:pPr>
        <w:adjustRightInd w:val="0"/>
        <w:snapToGrid w:val="0"/>
        <w:rPr>
          <w:b/>
          <w:sz w:val="22"/>
          <w:szCs w:val="22"/>
          <w:lang w:eastAsia="ko-KR"/>
        </w:rPr>
      </w:pPr>
      <w:r w:rsidRPr="00CB6C95">
        <w:rPr>
          <w:b/>
          <w:sz w:val="22"/>
          <w:szCs w:val="22"/>
          <w:lang w:eastAsia="ko-KR"/>
        </w:rPr>
        <w:t>Hiromu Fukuda</w:t>
      </w:r>
    </w:p>
    <w:p w14:paraId="1B130EC1" w14:textId="77777777" w:rsidR="00167860" w:rsidRPr="00CB6C95" w:rsidRDefault="00167860" w:rsidP="00167860">
      <w:pPr>
        <w:adjustRightInd w:val="0"/>
        <w:snapToGrid w:val="0"/>
        <w:rPr>
          <w:sz w:val="22"/>
          <w:szCs w:val="22"/>
          <w:lang w:eastAsia="ko-KR"/>
        </w:rPr>
      </w:pPr>
      <w:r w:rsidRPr="00CB6C95">
        <w:rPr>
          <w:sz w:val="22"/>
          <w:szCs w:val="22"/>
          <w:lang w:eastAsia="ko-KR"/>
        </w:rPr>
        <w:t>Bluefin Tuna Resources Group</w:t>
      </w:r>
    </w:p>
    <w:p w14:paraId="4529C89F"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Japan Fisheries Research and Education Agency, </w:t>
      </w:r>
    </w:p>
    <w:p w14:paraId="6F0252AD" w14:textId="77777777" w:rsidR="00167860" w:rsidRPr="00CB6C95" w:rsidRDefault="00167860" w:rsidP="00167860">
      <w:pPr>
        <w:adjustRightInd w:val="0"/>
        <w:snapToGrid w:val="0"/>
        <w:rPr>
          <w:sz w:val="22"/>
          <w:szCs w:val="22"/>
          <w:lang w:eastAsia="ko-KR"/>
        </w:rPr>
      </w:pPr>
      <w:r w:rsidRPr="00CB6C95">
        <w:rPr>
          <w:sz w:val="22"/>
          <w:szCs w:val="22"/>
          <w:lang w:eastAsia="ko-KR"/>
        </w:rPr>
        <w:t>National Research Institute of Far Seas Fisheries</w:t>
      </w:r>
    </w:p>
    <w:p w14:paraId="472AABA9" w14:textId="77777777" w:rsidR="00167860" w:rsidRPr="00CB6C95" w:rsidRDefault="00167860" w:rsidP="00167860">
      <w:pPr>
        <w:adjustRightInd w:val="0"/>
        <w:snapToGrid w:val="0"/>
        <w:rPr>
          <w:sz w:val="22"/>
          <w:szCs w:val="22"/>
          <w:lang w:eastAsia="ko-KR"/>
        </w:rPr>
      </w:pPr>
      <w:r w:rsidRPr="00CB6C95">
        <w:rPr>
          <w:sz w:val="22"/>
          <w:szCs w:val="22"/>
          <w:lang w:eastAsia="ko-KR"/>
        </w:rPr>
        <w:t>5-7-1 Orido, Shimizu-ku, Shizuoka, SHIZUOKA 424-8633 JAPAN</w:t>
      </w:r>
    </w:p>
    <w:p w14:paraId="4B085320" w14:textId="77777777" w:rsidR="00167860" w:rsidRPr="00CB6C95" w:rsidRDefault="00167860" w:rsidP="00167860">
      <w:pPr>
        <w:adjustRightInd w:val="0"/>
        <w:snapToGrid w:val="0"/>
        <w:rPr>
          <w:sz w:val="22"/>
          <w:szCs w:val="22"/>
          <w:lang w:eastAsia="ko-KR"/>
        </w:rPr>
      </w:pPr>
      <w:r w:rsidRPr="00CB6C95">
        <w:rPr>
          <w:sz w:val="22"/>
          <w:szCs w:val="22"/>
          <w:lang w:eastAsia="ko-KR"/>
        </w:rPr>
        <w:t>fukudahiromu@affrc.go.jp</w:t>
      </w:r>
    </w:p>
    <w:p w14:paraId="1969DF93" w14:textId="77777777" w:rsidR="00167860" w:rsidRPr="00CB6C95" w:rsidRDefault="00167860" w:rsidP="00167860">
      <w:pPr>
        <w:adjustRightInd w:val="0"/>
        <w:snapToGrid w:val="0"/>
        <w:rPr>
          <w:sz w:val="22"/>
          <w:szCs w:val="22"/>
          <w:lang w:eastAsia="ko-KR"/>
        </w:rPr>
      </w:pPr>
    </w:p>
    <w:p w14:paraId="0DB2C1ED" w14:textId="77777777" w:rsidR="00167860" w:rsidRPr="00CB6C95" w:rsidRDefault="00167860" w:rsidP="00167860">
      <w:pPr>
        <w:adjustRightInd w:val="0"/>
        <w:snapToGrid w:val="0"/>
        <w:rPr>
          <w:b/>
          <w:sz w:val="22"/>
          <w:szCs w:val="22"/>
          <w:lang w:eastAsia="ko-KR"/>
        </w:rPr>
      </w:pPr>
      <w:r w:rsidRPr="00CB6C95">
        <w:rPr>
          <w:b/>
          <w:sz w:val="22"/>
          <w:szCs w:val="22"/>
          <w:lang w:eastAsia="ko-KR"/>
        </w:rPr>
        <w:t>Wataru Tanoue</w:t>
      </w:r>
    </w:p>
    <w:p w14:paraId="1DC66B6E" w14:textId="77777777" w:rsidR="00167860" w:rsidRPr="00CB6C95" w:rsidRDefault="00167860" w:rsidP="00167860">
      <w:pPr>
        <w:adjustRightInd w:val="0"/>
        <w:snapToGrid w:val="0"/>
        <w:rPr>
          <w:sz w:val="22"/>
          <w:szCs w:val="22"/>
          <w:lang w:eastAsia="ko-KR"/>
        </w:rPr>
      </w:pPr>
      <w:r w:rsidRPr="00CB6C95">
        <w:rPr>
          <w:sz w:val="22"/>
          <w:szCs w:val="22"/>
          <w:lang w:eastAsia="ko-KR"/>
        </w:rPr>
        <w:t>Assistant Director, International Affairs Division</w:t>
      </w:r>
    </w:p>
    <w:p w14:paraId="601415A1" w14:textId="77777777" w:rsidR="00167860" w:rsidRPr="00CB6C95" w:rsidRDefault="00167860" w:rsidP="00167860">
      <w:pPr>
        <w:adjustRightInd w:val="0"/>
        <w:snapToGrid w:val="0"/>
        <w:rPr>
          <w:sz w:val="22"/>
          <w:szCs w:val="22"/>
          <w:lang w:eastAsia="ko-KR"/>
        </w:rPr>
      </w:pPr>
      <w:r w:rsidRPr="00CB6C95">
        <w:rPr>
          <w:sz w:val="22"/>
          <w:szCs w:val="22"/>
          <w:lang w:eastAsia="ko-KR"/>
        </w:rPr>
        <w:t>Fisheries Agency of Japan</w:t>
      </w:r>
    </w:p>
    <w:p w14:paraId="7D8EA3F1" w14:textId="77777777" w:rsidR="00167860" w:rsidRPr="00CB6C95" w:rsidRDefault="00167860" w:rsidP="00167860">
      <w:pPr>
        <w:adjustRightInd w:val="0"/>
        <w:snapToGrid w:val="0"/>
        <w:rPr>
          <w:sz w:val="22"/>
          <w:szCs w:val="22"/>
          <w:lang w:eastAsia="ko-KR"/>
        </w:rPr>
      </w:pPr>
      <w:r w:rsidRPr="00CB6C95">
        <w:rPr>
          <w:sz w:val="22"/>
          <w:szCs w:val="22"/>
          <w:lang w:eastAsia="ko-KR"/>
        </w:rPr>
        <w:t>1-2-1 Kasumigaseki, Chiyoda-ku, Tokyo</w:t>
      </w:r>
    </w:p>
    <w:p w14:paraId="64344850" w14:textId="77777777" w:rsidR="00167860" w:rsidRPr="00CB6C95" w:rsidRDefault="00167860" w:rsidP="00167860">
      <w:pPr>
        <w:adjustRightInd w:val="0"/>
        <w:snapToGrid w:val="0"/>
        <w:rPr>
          <w:sz w:val="22"/>
          <w:szCs w:val="22"/>
          <w:lang w:eastAsia="ko-KR"/>
        </w:rPr>
      </w:pPr>
      <w:r w:rsidRPr="00CB6C95">
        <w:rPr>
          <w:sz w:val="22"/>
          <w:szCs w:val="22"/>
          <w:lang w:eastAsia="ko-KR"/>
        </w:rPr>
        <w:t>wataru_tanoe630@maff.go.jp</w:t>
      </w:r>
    </w:p>
    <w:p w14:paraId="44C71754" w14:textId="77777777" w:rsidR="00167860" w:rsidRPr="00CB6C95" w:rsidRDefault="00167860" w:rsidP="00167860">
      <w:pPr>
        <w:adjustRightInd w:val="0"/>
        <w:snapToGrid w:val="0"/>
        <w:rPr>
          <w:sz w:val="22"/>
          <w:szCs w:val="22"/>
          <w:lang w:eastAsia="ko-KR"/>
        </w:rPr>
      </w:pPr>
    </w:p>
    <w:p w14:paraId="24D6CB6E" w14:textId="77777777" w:rsidR="00167860" w:rsidRPr="00CB6C95" w:rsidRDefault="00167860" w:rsidP="00167860">
      <w:pPr>
        <w:adjustRightInd w:val="0"/>
        <w:snapToGrid w:val="0"/>
        <w:rPr>
          <w:b/>
          <w:sz w:val="22"/>
          <w:szCs w:val="22"/>
          <w:lang w:eastAsia="ko-KR"/>
        </w:rPr>
      </w:pPr>
      <w:r w:rsidRPr="00CB6C95">
        <w:rPr>
          <w:b/>
          <w:sz w:val="22"/>
          <w:szCs w:val="22"/>
          <w:lang w:eastAsia="ko-KR"/>
        </w:rPr>
        <w:t>Koji Uosaki</w:t>
      </w:r>
    </w:p>
    <w:p w14:paraId="5F471399" w14:textId="77777777" w:rsidR="00167860" w:rsidRPr="00CB6C95" w:rsidRDefault="00167860" w:rsidP="00167860">
      <w:pPr>
        <w:adjustRightInd w:val="0"/>
        <w:snapToGrid w:val="0"/>
        <w:rPr>
          <w:sz w:val="22"/>
          <w:szCs w:val="22"/>
          <w:lang w:eastAsia="ko-KR"/>
        </w:rPr>
      </w:pPr>
      <w:r w:rsidRPr="00CB6C95">
        <w:rPr>
          <w:sz w:val="22"/>
          <w:szCs w:val="22"/>
          <w:lang w:eastAsia="ko-KR"/>
        </w:rPr>
        <w:t>Tuna and Skipjack Resources Division</w:t>
      </w:r>
    </w:p>
    <w:p w14:paraId="44C7D037" w14:textId="77777777" w:rsidR="00167860" w:rsidRPr="00CB6C95" w:rsidRDefault="00167860" w:rsidP="00167860">
      <w:pPr>
        <w:adjustRightInd w:val="0"/>
        <w:snapToGrid w:val="0"/>
        <w:rPr>
          <w:sz w:val="22"/>
          <w:szCs w:val="22"/>
          <w:lang w:eastAsia="ko-KR"/>
        </w:rPr>
      </w:pPr>
      <w:r w:rsidRPr="00CB6C95">
        <w:rPr>
          <w:sz w:val="22"/>
          <w:szCs w:val="22"/>
          <w:lang w:eastAsia="ko-KR"/>
        </w:rPr>
        <w:t>National Research Institute of Far Seas Fisheries</w:t>
      </w:r>
    </w:p>
    <w:p w14:paraId="408B9C95" w14:textId="77777777" w:rsidR="00167860" w:rsidRPr="00CB6C95" w:rsidRDefault="00167860" w:rsidP="00167860">
      <w:pPr>
        <w:adjustRightInd w:val="0"/>
        <w:snapToGrid w:val="0"/>
        <w:rPr>
          <w:sz w:val="22"/>
          <w:szCs w:val="22"/>
          <w:lang w:eastAsia="ko-KR"/>
        </w:rPr>
      </w:pPr>
      <w:r w:rsidRPr="00CB6C95">
        <w:rPr>
          <w:sz w:val="22"/>
          <w:szCs w:val="22"/>
          <w:lang w:eastAsia="ko-KR"/>
        </w:rPr>
        <w:t>Orido 5-7-1, Shimizu-ku, Shizuoka-shi, Shizuoka, Japan</w:t>
      </w:r>
      <w:r w:rsidRPr="00CB6C95">
        <w:rPr>
          <w:sz w:val="22"/>
          <w:szCs w:val="22"/>
          <w:lang w:eastAsia="ko-KR"/>
        </w:rPr>
        <w:br/>
        <w:t>424-8633</w:t>
      </w:r>
    </w:p>
    <w:p w14:paraId="4702C85C" w14:textId="77777777" w:rsidR="00167860" w:rsidRPr="00CB6C95" w:rsidRDefault="00167860" w:rsidP="00167860">
      <w:pPr>
        <w:adjustRightInd w:val="0"/>
        <w:snapToGrid w:val="0"/>
        <w:rPr>
          <w:sz w:val="22"/>
          <w:szCs w:val="22"/>
          <w:lang w:eastAsia="ko-KR"/>
        </w:rPr>
      </w:pPr>
      <w:r w:rsidRPr="00CB6C95">
        <w:rPr>
          <w:sz w:val="22"/>
          <w:szCs w:val="22"/>
          <w:lang w:eastAsia="ko-KR"/>
        </w:rPr>
        <w:t>uosaki@affrc.go.jp</w:t>
      </w:r>
    </w:p>
    <w:p w14:paraId="50CD4F28" w14:textId="77777777" w:rsidR="00167860" w:rsidRPr="00CB6C95" w:rsidRDefault="00167860" w:rsidP="00167860">
      <w:pPr>
        <w:adjustRightInd w:val="0"/>
        <w:snapToGrid w:val="0"/>
        <w:rPr>
          <w:sz w:val="22"/>
          <w:szCs w:val="22"/>
          <w:lang w:eastAsia="ko-KR"/>
        </w:rPr>
      </w:pPr>
    </w:p>
    <w:p w14:paraId="6F629449" w14:textId="77777777" w:rsidR="00167860" w:rsidRPr="00CB6C95" w:rsidRDefault="00167860" w:rsidP="00167860">
      <w:pPr>
        <w:adjustRightInd w:val="0"/>
        <w:snapToGrid w:val="0"/>
        <w:rPr>
          <w:b/>
          <w:sz w:val="22"/>
          <w:szCs w:val="22"/>
          <w:lang w:eastAsia="ko-KR"/>
        </w:rPr>
      </w:pPr>
      <w:r w:rsidRPr="00CB6C95">
        <w:rPr>
          <w:b/>
          <w:sz w:val="22"/>
          <w:szCs w:val="22"/>
          <w:lang w:eastAsia="ko-KR"/>
        </w:rPr>
        <w:t>Ziro Suzuki</w:t>
      </w:r>
    </w:p>
    <w:p w14:paraId="33DF9DCB" w14:textId="77777777" w:rsidR="00167860" w:rsidRPr="00CB6C95" w:rsidRDefault="00167860" w:rsidP="00167860">
      <w:pPr>
        <w:adjustRightInd w:val="0"/>
        <w:snapToGrid w:val="0"/>
        <w:rPr>
          <w:sz w:val="22"/>
          <w:szCs w:val="22"/>
          <w:lang w:eastAsia="ko-KR"/>
        </w:rPr>
      </w:pPr>
      <w:r w:rsidRPr="00CB6C95">
        <w:rPr>
          <w:sz w:val="22"/>
          <w:szCs w:val="22"/>
          <w:lang w:eastAsia="ko-KR"/>
        </w:rPr>
        <w:t>Visiting Scientist</w:t>
      </w:r>
    </w:p>
    <w:p w14:paraId="24B55688" w14:textId="77777777" w:rsidR="00167860" w:rsidRPr="00CB6C95" w:rsidRDefault="00167860" w:rsidP="00167860">
      <w:pPr>
        <w:adjustRightInd w:val="0"/>
        <w:snapToGrid w:val="0"/>
        <w:rPr>
          <w:sz w:val="22"/>
          <w:szCs w:val="22"/>
          <w:lang w:eastAsia="ko-KR"/>
        </w:rPr>
      </w:pPr>
      <w:r w:rsidRPr="00CB6C95">
        <w:rPr>
          <w:sz w:val="22"/>
          <w:szCs w:val="22"/>
          <w:lang w:eastAsia="ko-KR"/>
        </w:rPr>
        <w:t>National Research Institute of Far Seas Fisheries</w:t>
      </w:r>
    </w:p>
    <w:p w14:paraId="5BC55474" w14:textId="77777777" w:rsidR="00167860" w:rsidRPr="00CB6C95" w:rsidRDefault="00167860" w:rsidP="00167860">
      <w:pPr>
        <w:adjustRightInd w:val="0"/>
        <w:snapToGrid w:val="0"/>
        <w:rPr>
          <w:sz w:val="22"/>
          <w:szCs w:val="22"/>
          <w:lang w:eastAsia="ko-KR"/>
        </w:rPr>
      </w:pPr>
      <w:r w:rsidRPr="00CB6C95">
        <w:rPr>
          <w:sz w:val="22"/>
          <w:szCs w:val="22"/>
          <w:lang w:eastAsia="ko-KR"/>
        </w:rPr>
        <w:t>sszuzukizziro@gmail.com</w:t>
      </w:r>
    </w:p>
    <w:p w14:paraId="3C45D70F" w14:textId="77777777" w:rsidR="00167860" w:rsidRPr="00CB6C95" w:rsidRDefault="00167860" w:rsidP="00167860">
      <w:pPr>
        <w:adjustRightInd w:val="0"/>
        <w:snapToGrid w:val="0"/>
        <w:rPr>
          <w:sz w:val="22"/>
          <w:szCs w:val="22"/>
          <w:lang w:eastAsia="ko-KR"/>
        </w:rPr>
      </w:pPr>
    </w:p>
    <w:p w14:paraId="5E582A06" w14:textId="77777777" w:rsidR="00167860" w:rsidRPr="00CB6C95" w:rsidRDefault="00167860" w:rsidP="00167860">
      <w:pPr>
        <w:adjustRightInd w:val="0"/>
        <w:snapToGrid w:val="0"/>
        <w:rPr>
          <w:b/>
          <w:sz w:val="22"/>
          <w:szCs w:val="22"/>
          <w:lang w:eastAsia="ko-KR"/>
        </w:rPr>
      </w:pPr>
      <w:r w:rsidRPr="00CB6C95">
        <w:rPr>
          <w:b/>
          <w:sz w:val="22"/>
          <w:szCs w:val="22"/>
          <w:lang w:eastAsia="ko-KR"/>
        </w:rPr>
        <w:t>Yuji Uozumi</w:t>
      </w:r>
    </w:p>
    <w:p w14:paraId="7750FE45" w14:textId="77777777" w:rsidR="00167860" w:rsidRPr="00CB6C95" w:rsidRDefault="00167860" w:rsidP="00167860">
      <w:pPr>
        <w:adjustRightInd w:val="0"/>
        <w:snapToGrid w:val="0"/>
        <w:rPr>
          <w:sz w:val="22"/>
          <w:szCs w:val="22"/>
          <w:lang w:eastAsia="ko-KR"/>
        </w:rPr>
      </w:pPr>
      <w:r w:rsidRPr="00CB6C95">
        <w:rPr>
          <w:sz w:val="22"/>
          <w:szCs w:val="22"/>
          <w:lang w:eastAsia="ko-KR"/>
        </w:rPr>
        <w:t>Visiting Scientist</w:t>
      </w:r>
    </w:p>
    <w:p w14:paraId="793791F4" w14:textId="77777777" w:rsidR="00167860" w:rsidRPr="00CB6C95" w:rsidRDefault="00167860" w:rsidP="00167860">
      <w:pPr>
        <w:adjustRightInd w:val="0"/>
        <w:snapToGrid w:val="0"/>
        <w:rPr>
          <w:sz w:val="22"/>
          <w:szCs w:val="22"/>
          <w:lang w:eastAsia="ko-KR"/>
        </w:rPr>
      </w:pPr>
      <w:r w:rsidRPr="00CB6C95">
        <w:rPr>
          <w:sz w:val="22"/>
          <w:szCs w:val="22"/>
          <w:lang w:eastAsia="ko-KR"/>
        </w:rPr>
        <w:t>National Research Institute of Far Seas Fisheries</w:t>
      </w:r>
    </w:p>
    <w:p w14:paraId="63E72544" w14:textId="77777777" w:rsidR="00167860" w:rsidRPr="00CB6C95" w:rsidRDefault="00167860" w:rsidP="00167860">
      <w:pPr>
        <w:adjustRightInd w:val="0"/>
        <w:snapToGrid w:val="0"/>
        <w:rPr>
          <w:sz w:val="22"/>
          <w:szCs w:val="22"/>
          <w:lang w:eastAsia="ko-KR"/>
        </w:rPr>
      </w:pPr>
      <w:r w:rsidRPr="00CB6C95">
        <w:rPr>
          <w:sz w:val="22"/>
          <w:szCs w:val="22"/>
          <w:lang w:eastAsia="ko-KR"/>
        </w:rPr>
        <w:t>5-7-1 orido shimizu shizuoka city 424 8633</w:t>
      </w:r>
    </w:p>
    <w:p w14:paraId="358D83A3" w14:textId="77777777" w:rsidR="00167860" w:rsidRPr="00CB6C95" w:rsidRDefault="00167860" w:rsidP="00167860">
      <w:pPr>
        <w:adjustRightInd w:val="0"/>
        <w:snapToGrid w:val="0"/>
        <w:rPr>
          <w:sz w:val="22"/>
          <w:szCs w:val="22"/>
          <w:lang w:eastAsia="ko-KR"/>
        </w:rPr>
      </w:pPr>
      <w:r w:rsidRPr="00CB6C95">
        <w:rPr>
          <w:sz w:val="22"/>
          <w:szCs w:val="22"/>
          <w:lang w:eastAsia="ko-KR"/>
        </w:rPr>
        <w:t>uozumi@affrc.go.jp</w:t>
      </w:r>
    </w:p>
    <w:p w14:paraId="10FFC734" w14:textId="77777777" w:rsidR="00167860" w:rsidRPr="00CB6C95" w:rsidRDefault="00167860" w:rsidP="00167860">
      <w:pPr>
        <w:adjustRightInd w:val="0"/>
        <w:snapToGrid w:val="0"/>
        <w:rPr>
          <w:sz w:val="22"/>
          <w:szCs w:val="22"/>
          <w:lang w:eastAsia="ko-KR"/>
        </w:rPr>
      </w:pPr>
    </w:p>
    <w:p w14:paraId="3F89D834" w14:textId="77777777" w:rsidR="00167860" w:rsidRPr="00CB6C95" w:rsidRDefault="00167860" w:rsidP="00167860">
      <w:pPr>
        <w:adjustRightInd w:val="0"/>
        <w:snapToGrid w:val="0"/>
        <w:rPr>
          <w:b/>
          <w:sz w:val="22"/>
          <w:szCs w:val="22"/>
          <w:lang w:eastAsia="ko-KR"/>
        </w:rPr>
      </w:pPr>
      <w:r w:rsidRPr="00CB6C95">
        <w:rPr>
          <w:b/>
          <w:sz w:val="22"/>
          <w:szCs w:val="22"/>
          <w:lang w:eastAsia="ko-KR"/>
        </w:rPr>
        <w:t>Sachiko Tsuji</w:t>
      </w:r>
    </w:p>
    <w:p w14:paraId="26381337" w14:textId="77777777" w:rsidR="00167860" w:rsidRPr="00CB6C95" w:rsidRDefault="00167860" w:rsidP="00167860">
      <w:pPr>
        <w:adjustRightInd w:val="0"/>
        <w:snapToGrid w:val="0"/>
        <w:rPr>
          <w:sz w:val="22"/>
          <w:szCs w:val="22"/>
          <w:lang w:eastAsia="ko-KR"/>
        </w:rPr>
      </w:pPr>
      <w:r w:rsidRPr="00CB6C95">
        <w:rPr>
          <w:sz w:val="22"/>
          <w:szCs w:val="22"/>
          <w:lang w:eastAsia="ko-KR"/>
        </w:rPr>
        <w:t>Technical Advisor</w:t>
      </w:r>
    </w:p>
    <w:p w14:paraId="5045F407" w14:textId="77777777" w:rsidR="00167860" w:rsidRPr="00CB6C95" w:rsidRDefault="00167860" w:rsidP="00167860">
      <w:pPr>
        <w:adjustRightInd w:val="0"/>
        <w:snapToGrid w:val="0"/>
        <w:rPr>
          <w:sz w:val="22"/>
          <w:szCs w:val="22"/>
          <w:lang w:eastAsia="ko-KR"/>
        </w:rPr>
      </w:pPr>
      <w:r w:rsidRPr="00CB6C95">
        <w:rPr>
          <w:sz w:val="22"/>
          <w:szCs w:val="22"/>
          <w:lang w:eastAsia="ko-KR"/>
        </w:rPr>
        <w:t>National Institute of Far Seas Fisheries</w:t>
      </w:r>
    </w:p>
    <w:p w14:paraId="26AFA296" w14:textId="77777777" w:rsidR="00167860" w:rsidRPr="00CB6C95" w:rsidRDefault="00167860" w:rsidP="00167860">
      <w:pPr>
        <w:adjustRightInd w:val="0"/>
        <w:snapToGrid w:val="0"/>
        <w:rPr>
          <w:sz w:val="22"/>
          <w:szCs w:val="22"/>
          <w:lang w:eastAsia="ko-KR"/>
        </w:rPr>
      </w:pPr>
      <w:r w:rsidRPr="00CB6C95">
        <w:rPr>
          <w:sz w:val="22"/>
          <w:szCs w:val="22"/>
          <w:lang w:eastAsia="ko-KR"/>
        </w:rPr>
        <w:t>5-7-1 Orido, Shimizu, Shizuoka</w:t>
      </w:r>
      <w:r w:rsidRPr="00CB6C95">
        <w:rPr>
          <w:sz w:val="22"/>
          <w:szCs w:val="22"/>
          <w:lang w:eastAsia="ko-KR"/>
        </w:rPr>
        <w:br/>
        <w:t>423-8633 Japan</w:t>
      </w:r>
    </w:p>
    <w:p w14:paraId="3AFD1980" w14:textId="77777777" w:rsidR="00167860" w:rsidRPr="00CB6C95" w:rsidRDefault="00167860" w:rsidP="00167860">
      <w:pPr>
        <w:adjustRightInd w:val="0"/>
        <w:snapToGrid w:val="0"/>
        <w:rPr>
          <w:sz w:val="22"/>
          <w:szCs w:val="22"/>
          <w:lang w:eastAsia="ko-KR"/>
        </w:rPr>
      </w:pPr>
      <w:r w:rsidRPr="00CB6C95">
        <w:rPr>
          <w:sz w:val="22"/>
          <w:szCs w:val="22"/>
          <w:lang w:eastAsia="ko-KR"/>
        </w:rPr>
        <w:t>+81 45 788 7511</w:t>
      </w:r>
    </w:p>
    <w:p w14:paraId="1AC82882" w14:textId="77777777" w:rsidR="00167860" w:rsidRPr="00CB6C95" w:rsidRDefault="00167860" w:rsidP="00167860">
      <w:pPr>
        <w:adjustRightInd w:val="0"/>
        <w:snapToGrid w:val="0"/>
        <w:rPr>
          <w:sz w:val="22"/>
          <w:szCs w:val="22"/>
          <w:lang w:eastAsia="ko-KR"/>
        </w:rPr>
      </w:pPr>
      <w:r w:rsidRPr="00CB6C95">
        <w:rPr>
          <w:sz w:val="22"/>
          <w:szCs w:val="22"/>
          <w:lang w:eastAsia="ko-KR"/>
        </w:rPr>
        <w:t>sachiko27tsuji@gmail.com</w:t>
      </w:r>
    </w:p>
    <w:p w14:paraId="0BC6B103" w14:textId="77777777" w:rsidR="00167860" w:rsidRPr="00CB6C95" w:rsidRDefault="00167860" w:rsidP="00167860">
      <w:pPr>
        <w:adjustRightInd w:val="0"/>
        <w:snapToGrid w:val="0"/>
        <w:rPr>
          <w:sz w:val="22"/>
          <w:szCs w:val="22"/>
          <w:lang w:eastAsia="ko-KR"/>
        </w:rPr>
      </w:pPr>
    </w:p>
    <w:p w14:paraId="608172E4" w14:textId="77777777" w:rsidR="00167860" w:rsidRPr="00CB6C95" w:rsidRDefault="00167860" w:rsidP="00167860">
      <w:pPr>
        <w:adjustRightInd w:val="0"/>
        <w:snapToGrid w:val="0"/>
        <w:rPr>
          <w:b/>
          <w:sz w:val="22"/>
          <w:szCs w:val="22"/>
          <w:lang w:eastAsia="ko-KR"/>
        </w:rPr>
      </w:pPr>
      <w:r w:rsidRPr="00CB6C95">
        <w:rPr>
          <w:b/>
          <w:sz w:val="22"/>
          <w:szCs w:val="22"/>
          <w:lang w:eastAsia="ko-KR"/>
        </w:rPr>
        <w:t>Michio Shimizu</w:t>
      </w:r>
    </w:p>
    <w:p w14:paraId="61217483" w14:textId="77777777" w:rsidR="00167860" w:rsidRPr="00CB6C95" w:rsidRDefault="00167860" w:rsidP="00167860">
      <w:pPr>
        <w:adjustRightInd w:val="0"/>
        <w:snapToGrid w:val="0"/>
        <w:rPr>
          <w:sz w:val="22"/>
          <w:szCs w:val="22"/>
          <w:lang w:eastAsia="ko-KR"/>
        </w:rPr>
      </w:pPr>
      <w:r w:rsidRPr="00CB6C95">
        <w:rPr>
          <w:sz w:val="22"/>
          <w:szCs w:val="22"/>
          <w:lang w:eastAsia="ko-KR"/>
        </w:rPr>
        <w:t>Executive Secretary</w:t>
      </w:r>
    </w:p>
    <w:p w14:paraId="5B7F9DB4" w14:textId="77777777" w:rsidR="00167860" w:rsidRPr="00CB6C95" w:rsidRDefault="00167860" w:rsidP="00167860">
      <w:pPr>
        <w:adjustRightInd w:val="0"/>
        <w:snapToGrid w:val="0"/>
        <w:rPr>
          <w:sz w:val="22"/>
          <w:szCs w:val="22"/>
          <w:lang w:eastAsia="ko-KR"/>
        </w:rPr>
      </w:pPr>
      <w:r w:rsidRPr="00CB6C95">
        <w:rPr>
          <w:sz w:val="22"/>
          <w:szCs w:val="22"/>
          <w:lang w:eastAsia="ko-KR"/>
        </w:rPr>
        <w:t>National Ocean Tuna Fishery Association</w:t>
      </w:r>
    </w:p>
    <w:p w14:paraId="49D1F39B" w14:textId="77777777" w:rsidR="00167860" w:rsidRPr="00CB6C95" w:rsidRDefault="00167860" w:rsidP="00167860">
      <w:pPr>
        <w:adjustRightInd w:val="0"/>
        <w:snapToGrid w:val="0"/>
        <w:rPr>
          <w:sz w:val="22"/>
          <w:szCs w:val="22"/>
          <w:lang w:eastAsia="ko-KR"/>
        </w:rPr>
      </w:pPr>
      <w:r w:rsidRPr="00CB6C95">
        <w:rPr>
          <w:sz w:val="22"/>
          <w:szCs w:val="22"/>
          <w:lang w:eastAsia="ko-KR"/>
        </w:rPr>
        <w:t>Co-op Bldg 7F, 1-1-12 Uchikanda, Chiyoda-ku, Tokyo 101-0047</w:t>
      </w:r>
    </w:p>
    <w:p w14:paraId="167B6CC2" w14:textId="77777777" w:rsidR="00167860" w:rsidRPr="00CB6C95" w:rsidRDefault="00167860" w:rsidP="00167860">
      <w:pPr>
        <w:adjustRightInd w:val="0"/>
        <w:snapToGrid w:val="0"/>
        <w:rPr>
          <w:sz w:val="22"/>
          <w:szCs w:val="22"/>
          <w:lang w:eastAsia="ko-KR"/>
        </w:rPr>
      </w:pPr>
      <w:r w:rsidRPr="00CB6C95">
        <w:rPr>
          <w:sz w:val="22"/>
          <w:szCs w:val="22"/>
          <w:lang w:eastAsia="ko-KR"/>
        </w:rPr>
        <w:t>81-3-3294-9633</w:t>
      </w:r>
    </w:p>
    <w:p w14:paraId="18081416" w14:textId="77777777" w:rsidR="00167860" w:rsidRPr="00CB6C95" w:rsidRDefault="00167860" w:rsidP="00167860">
      <w:pPr>
        <w:adjustRightInd w:val="0"/>
        <w:snapToGrid w:val="0"/>
        <w:rPr>
          <w:sz w:val="22"/>
          <w:szCs w:val="22"/>
          <w:lang w:eastAsia="ko-KR"/>
        </w:rPr>
      </w:pPr>
      <w:r w:rsidRPr="00CB6C95">
        <w:rPr>
          <w:sz w:val="22"/>
          <w:szCs w:val="22"/>
          <w:lang w:eastAsia="ko-KR"/>
        </w:rPr>
        <w:t>mic-shimizu@zengyoren.jf-net.ne.jp</w:t>
      </w:r>
    </w:p>
    <w:p w14:paraId="08F76005" w14:textId="77777777" w:rsidR="00167860" w:rsidRPr="00CB6C95" w:rsidRDefault="00167860" w:rsidP="00167860">
      <w:pPr>
        <w:adjustRightInd w:val="0"/>
        <w:snapToGrid w:val="0"/>
        <w:rPr>
          <w:sz w:val="22"/>
          <w:szCs w:val="22"/>
          <w:lang w:eastAsia="ko-KR"/>
        </w:rPr>
      </w:pPr>
    </w:p>
    <w:p w14:paraId="152B52FF" w14:textId="77777777" w:rsidR="00167860" w:rsidRPr="00CB6C95" w:rsidRDefault="00167860" w:rsidP="00167860">
      <w:pPr>
        <w:adjustRightInd w:val="0"/>
        <w:snapToGrid w:val="0"/>
        <w:rPr>
          <w:b/>
          <w:sz w:val="22"/>
          <w:szCs w:val="22"/>
          <w:lang w:eastAsia="ko-KR"/>
        </w:rPr>
      </w:pPr>
      <w:r w:rsidRPr="00CB6C95">
        <w:rPr>
          <w:b/>
          <w:sz w:val="22"/>
          <w:szCs w:val="22"/>
          <w:lang w:eastAsia="ko-KR"/>
        </w:rPr>
        <w:t>Reiko Ohashi</w:t>
      </w:r>
    </w:p>
    <w:p w14:paraId="3A1BB670" w14:textId="77777777" w:rsidR="00167860" w:rsidRPr="00CB6C95" w:rsidRDefault="00167860" w:rsidP="00167860">
      <w:pPr>
        <w:adjustRightInd w:val="0"/>
        <w:snapToGrid w:val="0"/>
        <w:rPr>
          <w:sz w:val="22"/>
          <w:szCs w:val="22"/>
          <w:lang w:eastAsia="ko-KR"/>
        </w:rPr>
      </w:pPr>
      <w:r w:rsidRPr="00CB6C95">
        <w:rPr>
          <w:sz w:val="22"/>
          <w:szCs w:val="22"/>
          <w:lang w:eastAsia="ko-KR"/>
        </w:rPr>
        <w:t>Japan Tuna Fisheries Co-operative Association</w:t>
      </w:r>
    </w:p>
    <w:p w14:paraId="5432AA32" w14:textId="77777777" w:rsidR="00167860" w:rsidRPr="00CB6C95" w:rsidRDefault="00167860" w:rsidP="00167860">
      <w:pPr>
        <w:adjustRightInd w:val="0"/>
        <w:snapToGrid w:val="0"/>
        <w:rPr>
          <w:sz w:val="22"/>
          <w:szCs w:val="22"/>
          <w:lang w:eastAsia="ko-KR"/>
        </w:rPr>
      </w:pPr>
      <w:r w:rsidRPr="00CB6C95">
        <w:rPr>
          <w:sz w:val="22"/>
          <w:szCs w:val="22"/>
          <w:lang w:eastAsia="ko-KR"/>
        </w:rPr>
        <w:t>135-0034 31-1 2-chome Eitai Koto-ku Tokyo Japan</w:t>
      </w:r>
    </w:p>
    <w:p w14:paraId="36B83341" w14:textId="77777777" w:rsidR="00167860" w:rsidRPr="00CB6C95" w:rsidRDefault="00167860" w:rsidP="00167860">
      <w:pPr>
        <w:adjustRightInd w:val="0"/>
        <w:snapToGrid w:val="0"/>
        <w:rPr>
          <w:sz w:val="22"/>
          <w:szCs w:val="22"/>
          <w:lang w:eastAsia="ko-KR"/>
        </w:rPr>
      </w:pPr>
      <w:r w:rsidRPr="00CB6C95">
        <w:rPr>
          <w:sz w:val="22"/>
          <w:szCs w:val="22"/>
          <w:lang w:eastAsia="ko-KR"/>
        </w:rPr>
        <w:t>ohashi@japantuna.or.jp</w:t>
      </w:r>
    </w:p>
    <w:p w14:paraId="53931E74" w14:textId="77777777" w:rsidR="00167860" w:rsidRPr="00CB6C95" w:rsidRDefault="00167860" w:rsidP="00167860">
      <w:pPr>
        <w:adjustRightInd w:val="0"/>
        <w:snapToGrid w:val="0"/>
        <w:rPr>
          <w:sz w:val="22"/>
          <w:szCs w:val="22"/>
          <w:lang w:eastAsia="ko-KR"/>
        </w:rPr>
      </w:pPr>
    </w:p>
    <w:p w14:paraId="4E0419D0" w14:textId="77777777" w:rsidR="00167860" w:rsidRPr="00CB6C95" w:rsidRDefault="00167860" w:rsidP="00167860">
      <w:pPr>
        <w:adjustRightInd w:val="0"/>
        <w:snapToGrid w:val="0"/>
        <w:rPr>
          <w:b/>
          <w:sz w:val="22"/>
          <w:szCs w:val="22"/>
          <w:lang w:eastAsia="ko-KR"/>
        </w:rPr>
      </w:pPr>
      <w:r w:rsidRPr="00CB6C95">
        <w:rPr>
          <w:b/>
          <w:sz w:val="22"/>
          <w:szCs w:val="22"/>
          <w:lang w:eastAsia="ko-KR"/>
        </w:rPr>
        <w:t>Yumi Okochi</w:t>
      </w:r>
    </w:p>
    <w:p w14:paraId="0E5F19F5" w14:textId="77777777" w:rsidR="00167860" w:rsidRPr="00CB6C95" w:rsidRDefault="00167860" w:rsidP="00167860">
      <w:pPr>
        <w:adjustRightInd w:val="0"/>
        <w:snapToGrid w:val="0"/>
        <w:rPr>
          <w:sz w:val="22"/>
          <w:szCs w:val="22"/>
          <w:lang w:eastAsia="ko-KR"/>
        </w:rPr>
      </w:pPr>
      <w:r w:rsidRPr="00CB6C95">
        <w:rPr>
          <w:sz w:val="22"/>
          <w:szCs w:val="22"/>
          <w:lang w:eastAsia="ko-KR"/>
        </w:rPr>
        <w:t>Staff</w:t>
      </w:r>
    </w:p>
    <w:p w14:paraId="717373DD" w14:textId="77777777" w:rsidR="00167860" w:rsidRPr="00CB6C95" w:rsidRDefault="00167860" w:rsidP="00167860">
      <w:pPr>
        <w:adjustRightInd w:val="0"/>
        <w:snapToGrid w:val="0"/>
        <w:rPr>
          <w:sz w:val="22"/>
          <w:szCs w:val="22"/>
          <w:lang w:eastAsia="ko-KR"/>
        </w:rPr>
      </w:pPr>
      <w:r w:rsidRPr="00CB6C95">
        <w:rPr>
          <w:sz w:val="22"/>
          <w:szCs w:val="22"/>
          <w:lang w:eastAsia="ko-KR"/>
        </w:rPr>
        <w:t>Japan NUS CO., LTD.</w:t>
      </w:r>
    </w:p>
    <w:p w14:paraId="7530D766" w14:textId="77777777" w:rsidR="00167860" w:rsidRPr="00CB6C95" w:rsidRDefault="00167860" w:rsidP="00167860">
      <w:pPr>
        <w:adjustRightInd w:val="0"/>
        <w:snapToGrid w:val="0"/>
        <w:rPr>
          <w:sz w:val="22"/>
          <w:szCs w:val="22"/>
          <w:lang w:eastAsia="ko-KR"/>
        </w:rPr>
      </w:pPr>
      <w:r w:rsidRPr="00CB6C95">
        <w:rPr>
          <w:sz w:val="22"/>
          <w:szCs w:val="22"/>
          <w:lang w:eastAsia="ko-KR"/>
        </w:rPr>
        <w:t>7-5-25 Nishi-Shinjuku, Shinjuku-ku, Tokyo 160-0023 Japan</w:t>
      </w:r>
    </w:p>
    <w:p w14:paraId="6DC45678" w14:textId="77777777" w:rsidR="00167860" w:rsidRPr="00CB6C95" w:rsidRDefault="00167860" w:rsidP="00167860">
      <w:pPr>
        <w:adjustRightInd w:val="0"/>
        <w:snapToGrid w:val="0"/>
        <w:rPr>
          <w:sz w:val="22"/>
          <w:szCs w:val="22"/>
          <w:lang w:eastAsia="ko-KR"/>
        </w:rPr>
      </w:pPr>
      <w:r w:rsidRPr="00CB6C95">
        <w:rPr>
          <w:sz w:val="22"/>
          <w:szCs w:val="22"/>
          <w:lang w:eastAsia="ko-KR"/>
        </w:rPr>
        <w:t>81-3-5925-6770</w:t>
      </w:r>
    </w:p>
    <w:p w14:paraId="20362186" w14:textId="77777777" w:rsidR="00167860" w:rsidRPr="00CB6C95" w:rsidRDefault="00167860" w:rsidP="00167860">
      <w:pPr>
        <w:adjustRightInd w:val="0"/>
        <w:snapToGrid w:val="0"/>
        <w:rPr>
          <w:sz w:val="22"/>
          <w:szCs w:val="22"/>
          <w:lang w:eastAsia="ko-KR"/>
        </w:rPr>
      </w:pPr>
      <w:r w:rsidRPr="00CB6C95">
        <w:rPr>
          <w:sz w:val="22"/>
          <w:szCs w:val="22"/>
          <w:lang w:eastAsia="ko-KR"/>
        </w:rPr>
        <w:t>okochi-y@janus.co.jp</w:t>
      </w:r>
    </w:p>
    <w:p w14:paraId="57B0C2C2" w14:textId="77777777" w:rsidR="00167860" w:rsidRPr="00CB6C95" w:rsidRDefault="00167860" w:rsidP="00167860">
      <w:pPr>
        <w:adjustRightInd w:val="0"/>
        <w:snapToGrid w:val="0"/>
        <w:rPr>
          <w:sz w:val="22"/>
          <w:szCs w:val="22"/>
          <w:lang w:eastAsia="ko-KR"/>
        </w:rPr>
      </w:pPr>
    </w:p>
    <w:p w14:paraId="332C6558" w14:textId="77777777" w:rsidR="00167860" w:rsidRPr="00CB6C95" w:rsidRDefault="00167860" w:rsidP="00167860">
      <w:pPr>
        <w:adjustRightInd w:val="0"/>
        <w:snapToGrid w:val="0"/>
        <w:rPr>
          <w:b/>
          <w:sz w:val="22"/>
          <w:szCs w:val="22"/>
          <w:lang w:eastAsia="ko-KR"/>
        </w:rPr>
      </w:pPr>
      <w:r w:rsidRPr="00CB6C95">
        <w:rPr>
          <w:b/>
          <w:sz w:val="22"/>
          <w:szCs w:val="22"/>
          <w:lang w:eastAsia="ko-KR"/>
        </w:rPr>
        <w:t>Naohisa Kanda</w:t>
      </w:r>
    </w:p>
    <w:p w14:paraId="4938A4C7" w14:textId="77777777" w:rsidR="00167860" w:rsidRPr="00CB6C95" w:rsidRDefault="00167860" w:rsidP="00167860">
      <w:pPr>
        <w:adjustRightInd w:val="0"/>
        <w:snapToGrid w:val="0"/>
        <w:rPr>
          <w:sz w:val="22"/>
          <w:szCs w:val="22"/>
          <w:lang w:eastAsia="ko-KR"/>
        </w:rPr>
      </w:pPr>
      <w:r w:rsidRPr="00CB6C95">
        <w:rPr>
          <w:sz w:val="22"/>
          <w:szCs w:val="22"/>
          <w:lang w:eastAsia="ko-KR"/>
        </w:rPr>
        <w:t>Consultant</w:t>
      </w:r>
    </w:p>
    <w:p w14:paraId="1D164EE5" w14:textId="77777777" w:rsidR="00167860" w:rsidRPr="00CB6C95" w:rsidRDefault="00167860" w:rsidP="00167860">
      <w:pPr>
        <w:adjustRightInd w:val="0"/>
        <w:snapToGrid w:val="0"/>
        <w:rPr>
          <w:sz w:val="22"/>
          <w:szCs w:val="22"/>
          <w:lang w:eastAsia="ko-KR"/>
        </w:rPr>
      </w:pPr>
      <w:r w:rsidRPr="00CB6C95">
        <w:rPr>
          <w:sz w:val="22"/>
          <w:szCs w:val="22"/>
          <w:lang w:eastAsia="ko-KR"/>
        </w:rPr>
        <w:t>Japan NUS Co., Ltd.</w:t>
      </w:r>
    </w:p>
    <w:p w14:paraId="7BDD708B" w14:textId="77777777" w:rsidR="00167860" w:rsidRPr="00CB6C95" w:rsidRDefault="00167860" w:rsidP="00167860">
      <w:pPr>
        <w:adjustRightInd w:val="0"/>
        <w:snapToGrid w:val="0"/>
        <w:rPr>
          <w:sz w:val="22"/>
          <w:szCs w:val="22"/>
          <w:lang w:eastAsia="ko-KR"/>
        </w:rPr>
      </w:pPr>
      <w:r w:rsidRPr="00CB6C95">
        <w:rPr>
          <w:sz w:val="22"/>
          <w:szCs w:val="22"/>
          <w:lang w:eastAsia="ko-KR"/>
        </w:rPr>
        <w:t>Environmental Management Unit</w:t>
      </w:r>
      <w:r w:rsidRPr="00CB6C95">
        <w:rPr>
          <w:sz w:val="22"/>
          <w:szCs w:val="22"/>
          <w:lang w:eastAsia="ko-KR"/>
        </w:rPr>
        <w:br/>
        <w:t>Japan NUS Co., Ltd.</w:t>
      </w:r>
      <w:r w:rsidRPr="00CB6C95">
        <w:rPr>
          <w:sz w:val="22"/>
          <w:szCs w:val="22"/>
          <w:lang w:eastAsia="ko-KR"/>
        </w:rPr>
        <w:br/>
        <w:t>Nishi-Shinjuku Prime Square Bldg 5F</w:t>
      </w:r>
      <w:r w:rsidRPr="00CB6C95">
        <w:rPr>
          <w:sz w:val="22"/>
          <w:szCs w:val="22"/>
          <w:lang w:eastAsia="ko-KR"/>
        </w:rPr>
        <w:br/>
        <w:t>7-5-25, Nishi-Shinjuku, Shinjuku-ku,Tokyo 160-0023 Japan</w:t>
      </w:r>
    </w:p>
    <w:p w14:paraId="79337E07"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81-3-5925-6845 </w:t>
      </w:r>
    </w:p>
    <w:p w14:paraId="4776C45C" w14:textId="77777777" w:rsidR="00167860" w:rsidRPr="00CB6C95" w:rsidRDefault="00167860" w:rsidP="00167860">
      <w:pPr>
        <w:adjustRightInd w:val="0"/>
        <w:snapToGrid w:val="0"/>
        <w:rPr>
          <w:sz w:val="22"/>
          <w:szCs w:val="22"/>
          <w:lang w:eastAsia="ko-KR"/>
        </w:rPr>
      </w:pPr>
      <w:r w:rsidRPr="00CB6C95">
        <w:rPr>
          <w:sz w:val="22"/>
          <w:szCs w:val="22"/>
          <w:lang w:eastAsia="ko-KR"/>
        </w:rPr>
        <w:t>kanda-n@janus.co.jp</w:t>
      </w:r>
    </w:p>
    <w:p w14:paraId="3257D3F7" w14:textId="77777777" w:rsidR="00167860" w:rsidRPr="00CB6C95" w:rsidRDefault="00167860" w:rsidP="00167860">
      <w:pPr>
        <w:adjustRightInd w:val="0"/>
        <w:snapToGrid w:val="0"/>
        <w:rPr>
          <w:sz w:val="22"/>
          <w:szCs w:val="22"/>
          <w:lang w:eastAsia="ko-KR"/>
        </w:rPr>
      </w:pPr>
    </w:p>
    <w:p w14:paraId="6E6B7CB3" w14:textId="77777777" w:rsidR="00167860" w:rsidRPr="00CB6C95" w:rsidRDefault="00167860" w:rsidP="00167860">
      <w:pPr>
        <w:adjustRightInd w:val="0"/>
        <w:snapToGrid w:val="0"/>
        <w:rPr>
          <w:b/>
          <w:sz w:val="22"/>
          <w:szCs w:val="22"/>
          <w:lang w:eastAsia="ko-KR"/>
        </w:rPr>
      </w:pPr>
      <w:r w:rsidRPr="00CB6C95">
        <w:rPr>
          <w:b/>
          <w:sz w:val="22"/>
          <w:szCs w:val="22"/>
          <w:lang w:eastAsia="ko-KR"/>
        </w:rPr>
        <w:t>Notomi  Yoshihiro</w:t>
      </w:r>
    </w:p>
    <w:p w14:paraId="2C9BD44B" w14:textId="77777777" w:rsidR="00167860" w:rsidRPr="00CB6C95" w:rsidRDefault="00167860" w:rsidP="00167860">
      <w:pPr>
        <w:adjustRightInd w:val="0"/>
        <w:snapToGrid w:val="0"/>
        <w:rPr>
          <w:sz w:val="22"/>
          <w:szCs w:val="22"/>
          <w:lang w:eastAsia="ko-KR"/>
        </w:rPr>
      </w:pPr>
      <w:r w:rsidRPr="00CB6C95">
        <w:rPr>
          <w:sz w:val="22"/>
          <w:szCs w:val="22"/>
          <w:lang w:eastAsia="ko-KR"/>
        </w:rPr>
        <w:t>Managing Director</w:t>
      </w:r>
    </w:p>
    <w:p w14:paraId="712BFF0F" w14:textId="77777777" w:rsidR="00167860" w:rsidRPr="00CB6C95" w:rsidRDefault="00167860" w:rsidP="00167860">
      <w:pPr>
        <w:adjustRightInd w:val="0"/>
        <w:snapToGrid w:val="0"/>
        <w:rPr>
          <w:sz w:val="22"/>
          <w:szCs w:val="22"/>
          <w:lang w:eastAsia="ko-KR"/>
        </w:rPr>
      </w:pPr>
      <w:r w:rsidRPr="00CB6C95">
        <w:rPr>
          <w:sz w:val="22"/>
          <w:szCs w:val="22"/>
          <w:lang w:eastAsia="ko-KR"/>
        </w:rPr>
        <w:t>National Offshore Tuna Fisheries Association of Japan</w:t>
      </w:r>
    </w:p>
    <w:p w14:paraId="3FE4DD08" w14:textId="77777777" w:rsidR="00167860" w:rsidRPr="00CB6C95" w:rsidRDefault="00167860" w:rsidP="00167860">
      <w:pPr>
        <w:adjustRightInd w:val="0"/>
        <w:snapToGrid w:val="0"/>
        <w:rPr>
          <w:sz w:val="22"/>
          <w:szCs w:val="22"/>
          <w:lang w:eastAsia="ko-KR"/>
        </w:rPr>
      </w:pPr>
      <w:r w:rsidRPr="00CB6C95">
        <w:rPr>
          <w:sz w:val="22"/>
          <w:szCs w:val="22"/>
          <w:lang w:eastAsia="ko-KR"/>
        </w:rPr>
        <w:t>notomi@kinkatsukyo.or.jp</w:t>
      </w:r>
    </w:p>
    <w:p w14:paraId="4A005C0A" w14:textId="77777777" w:rsidR="00167860" w:rsidRPr="00CB6C95" w:rsidRDefault="00167860" w:rsidP="00167860">
      <w:pPr>
        <w:adjustRightInd w:val="0"/>
        <w:snapToGrid w:val="0"/>
        <w:rPr>
          <w:sz w:val="22"/>
          <w:szCs w:val="22"/>
          <w:lang w:eastAsia="ko-KR"/>
        </w:rPr>
      </w:pPr>
    </w:p>
    <w:p w14:paraId="0AD7C733" w14:textId="77777777" w:rsidR="00167860" w:rsidRPr="00CB6C95" w:rsidRDefault="00167860" w:rsidP="00167860">
      <w:pPr>
        <w:adjustRightInd w:val="0"/>
        <w:snapToGrid w:val="0"/>
        <w:rPr>
          <w:b/>
          <w:sz w:val="22"/>
          <w:szCs w:val="22"/>
          <w:lang w:eastAsia="ko-KR"/>
        </w:rPr>
      </w:pPr>
      <w:r w:rsidRPr="00CB6C95">
        <w:rPr>
          <w:b/>
          <w:sz w:val="22"/>
          <w:szCs w:val="22"/>
          <w:lang w:eastAsia="ko-KR"/>
        </w:rPr>
        <w:t>Akihito Fukuyama</w:t>
      </w:r>
    </w:p>
    <w:p w14:paraId="1301A1A8" w14:textId="77777777" w:rsidR="00167860" w:rsidRPr="00CB6C95" w:rsidRDefault="00167860" w:rsidP="00167860">
      <w:pPr>
        <w:adjustRightInd w:val="0"/>
        <w:snapToGrid w:val="0"/>
        <w:rPr>
          <w:sz w:val="22"/>
          <w:szCs w:val="22"/>
          <w:lang w:eastAsia="ko-KR"/>
        </w:rPr>
      </w:pPr>
      <w:r w:rsidRPr="00CB6C95">
        <w:rPr>
          <w:sz w:val="22"/>
          <w:szCs w:val="22"/>
          <w:lang w:eastAsia="ko-KR"/>
        </w:rPr>
        <w:t>Executive Secretary</w:t>
      </w:r>
    </w:p>
    <w:p w14:paraId="40A3715D" w14:textId="77777777" w:rsidR="00167860" w:rsidRPr="00CB6C95" w:rsidRDefault="00167860" w:rsidP="00167860">
      <w:pPr>
        <w:adjustRightInd w:val="0"/>
        <w:snapToGrid w:val="0"/>
        <w:rPr>
          <w:sz w:val="22"/>
          <w:szCs w:val="22"/>
          <w:lang w:eastAsia="ko-KR"/>
        </w:rPr>
      </w:pPr>
      <w:r w:rsidRPr="00CB6C95">
        <w:rPr>
          <w:sz w:val="22"/>
          <w:szCs w:val="22"/>
          <w:lang w:eastAsia="ko-KR"/>
        </w:rPr>
        <w:t>Japan Far Seas Purse Seine Fishing Association</w:t>
      </w:r>
    </w:p>
    <w:p w14:paraId="5940D3A0" w14:textId="77777777" w:rsidR="00167860" w:rsidRPr="00CB6C95" w:rsidRDefault="00167860" w:rsidP="00167860">
      <w:pPr>
        <w:adjustRightInd w:val="0"/>
        <w:snapToGrid w:val="0"/>
        <w:rPr>
          <w:sz w:val="22"/>
          <w:szCs w:val="22"/>
          <w:lang w:eastAsia="ko-KR"/>
        </w:rPr>
      </w:pPr>
      <w:r w:rsidRPr="00CB6C95">
        <w:rPr>
          <w:sz w:val="22"/>
          <w:szCs w:val="22"/>
          <w:lang w:eastAsia="ko-KR"/>
        </w:rPr>
        <w:t>14-10, 1 Cohme Ginza, Chuo-ku, Tokyo</w:t>
      </w:r>
    </w:p>
    <w:p w14:paraId="27038EF9" w14:textId="77777777" w:rsidR="00167860" w:rsidRPr="00CB6C95" w:rsidRDefault="00167860" w:rsidP="00167860">
      <w:pPr>
        <w:adjustRightInd w:val="0"/>
        <w:snapToGrid w:val="0"/>
        <w:rPr>
          <w:sz w:val="22"/>
          <w:szCs w:val="22"/>
          <w:lang w:eastAsia="ko-KR"/>
        </w:rPr>
      </w:pPr>
      <w:r w:rsidRPr="00CB6C95">
        <w:rPr>
          <w:sz w:val="22"/>
          <w:szCs w:val="22"/>
          <w:lang w:eastAsia="ko-KR"/>
        </w:rPr>
        <w:t>-5801</w:t>
      </w:r>
    </w:p>
    <w:p w14:paraId="4E90A4DF" w14:textId="77777777" w:rsidR="00167860" w:rsidRPr="00CB6C95" w:rsidRDefault="00167860" w:rsidP="00167860">
      <w:pPr>
        <w:adjustRightInd w:val="0"/>
        <w:snapToGrid w:val="0"/>
        <w:rPr>
          <w:sz w:val="22"/>
          <w:szCs w:val="22"/>
          <w:lang w:eastAsia="ko-KR"/>
        </w:rPr>
      </w:pPr>
      <w:r w:rsidRPr="00CB6C95">
        <w:rPr>
          <w:sz w:val="22"/>
          <w:szCs w:val="22"/>
          <w:lang w:eastAsia="ko-KR"/>
        </w:rPr>
        <w:t>fukuyama@kaimaki.or.jp</w:t>
      </w:r>
    </w:p>
    <w:p w14:paraId="1E11E49E" w14:textId="77777777" w:rsidR="00167860" w:rsidRPr="00CB6C95" w:rsidRDefault="00167860" w:rsidP="00167860">
      <w:pPr>
        <w:adjustRightInd w:val="0"/>
        <w:snapToGrid w:val="0"/>
        <w:rPr>
          <w:sz w:val="22"/>
          <w:szCs w:val="22"/>
          <w:lang w:eastAsia="ko-KR"/>
        </w:rPr>
      </w:pPr>
    </w:p>
    <w:p w14:paraId="2F7C4090"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Kiribati</w:t>
      </w:r>
    </w:p>
    <w:p w14:paraId="4CC5B2DF" w14:textId="77777777" w:rsidR="00167860" w:rsidRPr="00CB6C95" w:rsidRDefault="00167860" w:rsidP="00167860">
      <w:pPr>
        <w:adjustRightInd w:val="0"/>
        <w:snapToGrid w:val="0"/>
        <w:rPr>
          <w:b/>
          <w:sz w:val="22"/>
          <w:szCs w:val="22"/>
          <w:lang w:eastAsia="ko-KR"/>
        </w:rPr>
      </w:pPr>
    </w:p>
    <w:p w14:paraId="576BF7B1" w14:textId="77777777" w:rsidR="00167860" w:rsidRPr="00CB6C95" w:rsidRDefault="00167860" w:rsidP="00167860">
      <w:pPr>
        <w:adjustRightInd w:val="0"/>
        <w:snapToGrid w:val="0"/>
        <w:rPr>
          <w:b/>
          <w:sz w:val="22"/>
          <w:szCs w:val="22"/>
          <w:lang w:eastAsia="ko-KR"/>
        </w:rPr>
      </w:pPr>
      <w:r w:rsidRPr="00CB6C95">
        <w:rPr>
          <w:b/>
          <w:sz w:val="22"/>
          <w:szCs w:val="22"/>
          <w:lang w:eastAsia="ko-KR"/>
        </w:rPr>
        <w:t>Kaon Tiamere</w:t>
      </w:r>
    </w:p>
    <w:p w14:paraId="640A239B" w14:textId="77777777" w:rsidR="00167860" w:rsidRPr="00CB6C95" w:rsidRDefault="00167860" w:rsidP="00167860">
      <w:pPr>
        <w:adjustRightInd w:val="0"/>
        <w:snapToGrid w:val="0"/>
        <w:rPr>
          <w:sz w:val="22"/>
          <w:szCs w:val="22"/>
          <w:lang w:eastAsia="ko-KR"/>
        </w:rPr>
      </w:pPr>
      <w:r w:rsidRPr="00CB6C95">
        <w:rPr>
          <w:sz w:val="22"/>
          <w:szCs w:val="22"/>
          <w:lang w:eastAsia="ko-KR"/>
        </w:rPr>
        <w:t>Fisheries Officer</w:t>
      </w:r>
    </w:p>
    <w:p w14:paraId="7404D722"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Fisheries &amp; Marine Resource Development</w:t>
      </w:r>
    </w:p>
    <w:p w14:paraId="78BE2DC8" w14:textId="77777777" w:rsidR="00167860" w:rsidRPr="00CB6C95" w:rsidRDefault="00167860" w:rsidP="00167860">
      <w:pPr>
        <w:adjustRightInd w:val="0"/>
        <w:snapToGrid w:val="0"/>
        <w:rPr>
          <w:sz w:val="22"/>
          <w:szCs w:val="22"/>
          <w:lang w:eastAsia="ko-KR"/>
        </w:rPr>
      </w:pPr>
      <w:r w:rsidRPr="00CB6C95">
        <w:rPr>
          <w:sz w:val="22"/>
          <w:szCs w:val="22"/>
          <w:lang w:eastAsia="ko-KR"/>
        </w:rPr>
        <w:t>Betio, Tarawa, Kiribati</w:t>
      </w:r>
    </w:p>
    <w:p w14:paraId="32EF4A5E" w14:textId="77777777" w:rsidR="00167860" w:rsidRPr="00CB6C95" w:rsidRDefault="00167860" w:rsidP="00167860">
      <w:pPr>
        <w:adjustRightInd w:val="0"/>
        <w:snapToGrid w:val="0"/>
        <w:rPr>
          <w:sz w:val="22"/>
          <w:szCs w:val="22"/>
          <w:lang w:eastAsia="ko-KR"/>
        </w:rPr>
      </w:pPr>
      <w:r w:rsidRPr="00CB6C95">
        <w:rPr>
          <w:sz w:val="22"/>
          <w:szCs w:val="22"/>
          <w:lang w:eastAsia="ko-KR"/>
        </w:rPr>
        <w:t>73041183</w:t>
      </w:r>
    </w:p>
    <w:p w14:paraId="2104C39A" w14:textId="77777777" w:rsidR="00167860" w:rsidRPr="00CB6C95" w:rsidRDefault="00167860" w:rsidP="00167860">
      <w:pPr>
        <w:adjustRightInd w:val="0"/>
        <w:snapToGrid w:val="0"/>
        <w:rPr>
          <w:sz w:val="22"/>
          <w:szCs w:val="22"/>
          <w:lang w:eastAsia="ko-KR"/>
        </w:rPr>
      </w:pPr>
      <w:r w:rsidRPr="00CB6C95">
        <w:rPr>
          <w:sz w:val="22"/>
          <w:szCs w:val="22"/>
          <w:lang w:eastAsia="ko-KR"/>
        </w:rPr>
        <w:t>kaont@mfmrd.gov.ki</w:t>
      </w:r>
    </w:p>
    <w:p w14:paraId="4ED0C169" w14:textId="77777777" w:rsidR="00167860" w:rsidRPr="00CB6C95" w:rsidRDefault="00167860" w:rsidP="00167860">
      <w:pPr>
        <w:adjustRightInd w:val="0"/>
        <w:snapToGrid w:val="0"/>
        <w:rPr>
          <w:sz w:val="22"/>
          <w:szCs w:val="22"/>
          <w:lang w:eastAsia="ko-KR"/>
        </w:rPr>
      </w:pPr>
    </w:p>
    <w:p w14:paraId="3998CA83" w14:textId="77777777" w:rsidR="00167860" w:rsidRPr="00CB6C95" w:rsidRDefault="00167860" w:rsidP="00167860">
      <w:pPr>
        <w:adjustRightInd w:val="0"/>
        <w:snapToGrid w:val="0"/>
        <w:rPr>
          <w:b/>
          <w:sz w:val="22"/>
          <w:szCs w:val="22"/>
          <w:lang w:eastAsia="ko-KR"/>
        </w:rPr>
      </w:pPr>
      <w:r w:rsidRPr="00CB6C95">
        <w:rPr>
          <w:b/>
          <w:sz w:val="22"/>
          <w:szCs w:val="22"/>
          <w:lang w:eastAsia="ko-KR"/>
        </w:rPr>
        <w:t>Teeteu Moriti</w:t>
      </w:r>
    </w:p>
    <w:p w14:paraId="359DD69D" w14:textId="77777777" w:rsidR="00167860" w:rsidRPr="00CB6C95" w:rsidRDefault="00167860" w:rsidP="00167860">
      <w:pPr>
        <w:adjustRightInd w:val="0"/>
        <w:snapToGrid w:val="0"/>
        <w:rPr>
          <w:sz w:val="22"/>
          <w:szCs w:val="22"/>
          <w:lang w:eastAsia="ko-KR"/>
        </w:rPr>
      </w:pPr>
      <w:r w:rsidRPr="00CB6C95">
        <w:rPr>
          <w:sz w:val="22"/>
          <w:szCs w:val="22"/>
          <w:lang w:eastAsia="ko-KR"/>
        </w:rPr>
        <w:t>Data Control</w:t>
      </w:r>
    </w:p>
    <w:p w14:paraId="033F0268"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 Ministry of Fisheries &amp; Marine Resource</w:t>
      </w:r>
    </w:p>
    <w:p w14:paraId="234BFA31" w14:textId="77777777" w:rsidR="00167860" w:rsidRPr="00CB6C95" w:rsidRDefault="00167860" w:rsidP="00167860">
      <w:pPr>
        <w:adjustRightInd w:val="0"/>
        <w:snapToGrid w:val="0"/>
        <w:rPr>
          <w:sz w:val="22"/>
          <w:szCs w:val="22"/>
          <w:lang w:eastAsia="ko-KR"/>
        </w:rPr>
      </w:pPr>
      <w:r w:rsidRPr="00CB6C95">
        <w:rPr>
          <w:sz w:val="22"/>
          <w:szCs w:val="22"/>
          <w:lang w:eastAsia="ko-KR"/>
        </w:rPr>
        <w:t>Bairiki, Tarawa, Republic of Kiribati</w:t>
      </w:r>
    </w:p>
    <w:p w14:paraId="34C9FC4D" w14:textId="77777777" w:rsidR="00167860" w:rsidRPr="00CB6C95" w:rsidRDefault="00167860" w:rsidP="00167860">
      <w:pPr>
        <w:adjustRightInd w:val="0"/>
        <w:snapToGrid w:val="0"/>
        <w:rPr>
          <w:sz w:val="22"/>
          <w:szCs w:val="22"/>
          <w:lang w:eastAsia="ko-KR"/>
        </w:rPr>
      </w:pPr>
      <w:r w:rsidRPr="00CB6C95">
        <w:rPr>
          <w:sz w:val="22"/>
          <w:szCs w:val="22"/>
          <w:lang w:eastAsia="ko-KR"/>
        </w:rPr>
        <w:t>68673009633</w:t>
      </w:r>
    </w:p>
    <w:p w14:paraId="43E0DFED" w14:textId="77777777" w:rsidR="00167860" w:rsidRPr="00CB6C95" w:rsidRDefault="00167860" w:rsidP="00167860">
      <w:pPr>
        <w:adjustRightInd w:val="0"/>
        <w:snapToGrid w:val="0"/>
        <w:rPr>
          <w:sz w:val="22"/>
          <w:szCs w:val="22"/>
          <w:lang w:eastAsia="ko-KR"/>
        </w:rPr>
      </w:pPr>
      <w:r w:rsidRPr="00CB6C95">
        <w:rPr>
          <w:sz w:val="22"/>
          <w:szCs w:val="22"/>
          <w:lang w:eastAsia="ko-KR"/>
        </w:rPr>
        <w:t>kaont@mfmrd.gov.ki</w:t>
      </w:r>
    </w:p>
    <w:p w14:paraId="24FB6BA7" w14:textId="77777777" w:rsidR="00167860" w:rsidRPr="00CB6C95" w:rsidRDefault="00167860" w:rsidP="00167860">
      <w:pPr>
        <w:adjustRightInd w:val="0"/>
        <w:snapToGrid w:val="0"/>
        <w:rPr>
          <w:sz w:val="22"/>
          <w:szCs w:val="22"/>
          <w:lang w:eastAsia="ko-KR"/>
        </w:rPr>
      </w:pPr>
    </w:p>
    <w:p w14:paraId="5C5DB65D"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Republic of Korea</w:t>
      </w:r>
    </w:p>
    <w:p w14:paraId="1229FFAE" w14:textId="77777777" w:rsidR="00167860" w:rsidRPr="00CB6C95" w:rsidRDefault="00167860" w:rsidP="00167860">
      <w:pPr>
        <w:adjustRightInd w:val="0"/>
        <w:snapToGrid w:val="0"/>
        <w:rPr>
          <w:b/>
          <w:sz w:val="22"/>
          <w:szCs w:val="22"/>
          <w:lang w:eastAsia="ko-KR"/>
        </w:rPr>
      </w:pPr>
    </w:p>
    <w:p w14:paraId="70426D48" w14:textId="77777777" w:rsidR="00167860" w:rsidRPr="00CB6C95" w:rsidRDefault="00167860" w:rsidP="00167860">
      <w:pPr>
        <w:adjustRightInd w:val="0"/>
        <w:snapToGrid w:val="0"/>
        <w:rPr>
          <w:b/>
          <w:sz w:val="22"/>
          <w:szCs w:val="22"/>
          <w:lang w:eastAsia="ko-KR"/>
        </w:rPr>
      </w:pPr>
      <w:r w:rsidRPr="00CB6C95">
        <w:rPr>
          <w:b/>
          <w:sz w:val="22"/>
          <w:szCs w:val="22"/>
          <w:lang w:eastAsia="ko-KR"/>
        </w:rPr>
        <w:t>Doo Nam Kim</w:t>
      </w:r>
    </w:p>
    <w:p w14:paraId="3F675067" w14:textId="77777777" w:rsidR="00167860" w:rsidRPr="00CB6C95" w:rsidRDefault="00167860" w:rsidP="00167860">
      <w:pPr>
        <w:adjustRightInd w:val="0"/>
        <w:snapToGrid w:val="0"/>
        <w:rPr>
          <w:sz w:val="22"/>
          <w:szCs w:val="22"/>
          <w:lang w:eastAsia="ko-KR"/>
        </w:rPr>
      </w:pPr>
      <w:r w:rsidRPr="00CB6C95">
        <w:rPr>
          <w:sz w:val="22"/>
          <w:szCs w:val="22"/>
          <w:lang w:eastAsia="ko-KR"/>
        </w:rPr>
        <w:t>Senior Scientist</w:t>
      </w:r>
    </w:p>
    <w:p w14:paraId="798452F6" w14:textId="77777777" w:rsidR="00167860" w:rsidRPr="00CB6C95" w:rsidRDefault="00167860" w:rsidP="00167860">
      <w:pPr>
        <w:adjustRightInd w:val="0"/>
        <w:snapToGrid w:val="0"/>
        <w:rPr>
          <w:sz w:val="22"/>
          <w:szCs w:val="22"/>
          <w:lang w:eastAsia="ko-KR"/>
        </w:rPr>
      </w:pPr>
      <w:r w:rsidRPr="00CB6C95">
        <w:rPr>
          <w:sz w:val="22"/>
          <w:szCs w:val="22"/>
          <w:lang w:eastAsia="ko-KR"/>
        </w:rPr>
        <w:t>National Institute of Fisheries Science</w:t>
      </w:r>
    </w:p>
    <w:p w14:paraId="646F9583" w14:textId="77777777" w:rsidR="00167860" w:rsidRPr="00CB6C95" w:rsidRDefault="00167860" w:rsidP="00167860">
      <w:pPr>
        <w:adjustRightInd w:val="0"/>
        <w:snapToGrid w:val="0"/>
        <w:rPr>
          <w:sz w:val="22"/>
          <w:szCs w:val="22"/>
          <w:lang w:eastAsia="ko-KR"/>
        </w:rPr>
      </w:pPr>
      <w:r w:rsidRPr="00CB6C95">
        <w:rPr>
          <w:sz w:val="22"/>
          <w:szCs w:val="22"/>
          <w:lang w:eastAsia="ko-KR"/>
        </w:rPr>
        <w:t>216, Gijanghaean-ro, Gijang-eup, Gijang-gun, Busan, 46083, Rep. of Korea</w:t>
      </w:r>
    </w:p>
    <w:p w14:paraId="27C79D08" w14:textId="77777777" w:rsidR="00167860" w:rsidRPr="00CB6C95" w:rsidRDefault="00167860" w:rsidP="00167860">
      <w:pPr>
        <w:adjustRightInd w:val="0"/>
        <w:snapToGrid w:val="0"/>
        <w:rPr>
          <w:sz w:val="22"/>
          <w:szCs w:val="22"/>
          <w:lang w:eastAsia="ko-KR"/>
        </w:rPr>
      </w:pPr>
      <w:r w:rsidRPr="00CB6C95">
        <w:rPr>
          <w:sz w:val="22"/>
          <w:szCs w:val="22"/>
          <w:lang w:eastAsia="ko-KR"/>
        </w:rPr>
        <w:t>82-51-720-2330</w:t>
      </w:r>
    </w:p>
    <w:p w14:paraId="2FDFF899" w14:textId="77777777" w:rsidR="00167860" w:rsidRPr="00CB6C95" w:rsidRDefault="00167860" w:rsidP="00167860">
      <w:pPr>
        <w:adjustRightInd w:val="0"/>
        <w:snapToGrid w:val="0"/>
        <w:rPr>
          <w:sz w:val="22"/>
          <w:szCs w:val="22"/>
          <w:lang w:eastAsia="ko-KR"/>
        </w:rPr>
      </w:pPr>
      <w:r w:rsidRPr="00CB6C95">
        <w:rPr>
          <w:sz w:val="22"/>
          <w:szCs w:val="22"/>
          <w:lang w:eastAsia="ko-KR"/>
        </w:rPr>
        <w:t>doonam@korea.kr</w:t>
      </w:r>
    </w:p>
    <w:p w14:paraId="3E50E45E" w14:textId="77777777" w:rsidR="00167860" w:rsidRPr="00CB6C95" w:rsidRDefault="00167860" w:rsidP="00167860">
      <w:pPr>
        <w:adjustRightInd w:val="0"/>
        <w:snapToGrid w:val="0"/>
        <w:rPr>
          <w:sz w:val="22"/>
          <w:szCs w:val="22"/>
          <w:lang w:eastAsia="ko-KR"/>
        </w:rPr>
      </w:pPr>
    </w:p>
    <w:p w14:paraId="4055BB5F" w14:textId="77777777" w:rsidR="00167860" w:rsidRPr="00CB6C95" w:rsidRDefault="00167860" w:rsidP="00167860">
      <w:pPr>
        <w:adjustRightInd w:val="0"/>
        <w:snapToGrid w:val="0"/>
        <w:rPr>
          <w:b/>
          <w:sz w:val="22"/>
          <w:szCs w:val="22"/>
          <w:lang w:eastAsia="ko-KR"/>
        </w:rPr>
      </w:pPr>
      <w:r w:rsidRPr="00CB6C95">
        <w:rPr>
          <w:b/>
          <w:sz w:val="22"/>
          <w:szCs w:val="22"/>
          <w:lang w:eastAsia="ko-KR"/>
        </w:rPr>
        <w:t>Sung Il Lee</w:t>
      </w:r>
    </w:p>
    <w:p w14:paraId="34020175" w14:textId="77777777" w:rsidR="00167860" w:rsidRPr="00CB6C95" w:rsidRDefault="00167860" w:rsidP="00167860">
      <w:pPr>
        <w:adjustRightInd w:val="0"/>
        <w:snapToGrid w:val="0"/>
        <w:rPr>
          <w:sz w:val="22"/>
          <w:szCs w:val="22"/>
          <w:lang w:eastAsia="ko-KR"/>
        </w:rPr>
      </w:pPr>
      <w:r w:rsidRPr="00CB6C95">
        <w:rPr>
          <w:sz w:val="22"/>
          <w:szCs w:val="22"/>
          <w:lang w:eastAsia="ko-KR"/>
        </w:rPr>
        <w:t>Scientist</w:t>
      </w:r>
    </w:p>
    <w:p w14:paraId="4BFEA617" w14:textId="77777777" w:rsidR="00167860" w:rsidRPr="00CB6C95" w:rsidRDefault="00167860" w:rsidP="00167860">
      <w:pPr>
        <w:adjustRightInd w:val="0"/>
        <w:snapToGrid w:val="0"/>
        <w:rPr>
          <w:sz w:val="22"/>
          <w:szCs w:val="22"/>
          <w:lang w:eastAsia="ko-KR"/>
        </w:rPr>
      </w:pPr>
      <w:r w:rsidRPr="00CB6C95">
        <w:rPr>
          <w:sz w:val="22"/>
          <w:szCs w:val="22"/>
          <w:lang w:eastAsia="ko-KR"/>
        </w:rPr>
        <w:t>National Institute of Fisheries Science</w:t>
      </w:r>
    </w:p>
    <w:p w14:paraId="0336B03A" w14:textId="77777777" w:rsidR="00167860" w:rsidRPr="00CB6C95" w:rsidRDefault="00167860" w:rsidP="00167860">
      <w:pPr>
        <w:adjustRightInd w:val="0"/>
        <w:snapToGrid w:val="0"/>
        <w:rPr>
          <w:sz w:val="22"/>
          <w:szCs w:val="22"/>
          <w:lang w:eastAsia="ko-KR"/>
        </w:rPr>
      </w:pPr>
      <w:r w:rsidRPr="00CB6C95">
        <w:rPr>
          <w:sz w:val="22"/>
          <w:szCs w:val="22"/>
          <w:lang w:eastAsia="ko-KR"/>
        </w:rPr>
        <w:t>216, Gijanghaean-ro, Gijang-eup, Gijang-gun, Busan, 46083, Rep. of Korea</w:t>
      </w:r>
    </w:p>
    <w:p w14:paraId="64135BD0" w14:textId="77777777" w:rsidR="00167860" w:rsidRPr="00CB6C95" w:rsidRDefault="00167860" w:rsidP="00167860">
      <w:pPr>
        <w:adjustRightInd w:val="0"/>
        <w:snapToGrid w:val="0"/>
        <w:rPr>
          <w:sz w:val="22"/>
          <w:szCs w:val="22"/>
          <w:lang w:eastAsia="ko-KR"/>
        </w:rPr>
      </w:pPr>
      <w:r w:rsidRPr="00CB6C95">
        <w:rPr>
          <w:sz w:val="22"/>
          <w:szCs w:val="22"/>
          <w:lang w:eastAsia="ko-KR"/>
        </w:rPr>
        <w:t>82-51-720-2331</w:t>
      </w:r>
    </w:p>
    <w:p w14:paraId="55B623FD" w14:textId="77777777" w:rsidR="00167860" w:rsidRPr="00CB6C95" w:rsidRDefault="00167860" w:rsidP="00167860">
      <w:pPr>
        <w:adjustRightInd w:val="0"/>
        <w:snapToGrid w:val="0"/>
        <w:rPr>
          <w:sz w:val="22"/>
          <w:szCs w:val="22"/>
          <w:lang w:eastAsia="ko-KR"/>
        </w:rPr>
      </w:pPr>
      <w:r w:rsidRPr="00CB6C95">
        <w:rPr>
          <w:sz w:val="22"/>
          <w:szCs w:val="22"/>
          <w:lang w:eastAsia="ko-KR"/>
        </w:rPr>
        <w:t>k.sungillee@gmail.com</w:t>
      </w:r>
    </w:p>
    <w:p w14:paraId="478F8131" w14:textId="77777777" w:rsidR="00167860" w:rsidRPr="00CB6C95" w:rsidRDefault="00167860" w:rsidP="00167860">
      <w:pPr>
        <w:adjustRightInd w:val="0"/>
        <w:snapToGrid w:val="0"/>
        <w:rPr>
          <w:sz w:val="22"/>
          <w:szCs w:val="22"/>
          <w:lang w:eastAsia="ko-KR"/>
        </w:rPr>
      </w:pPr>
    </w:p>
    <w:p w14:paraId="675C1E4C" w14:textId="77777777" w:rsidR="00167860" w:rsidRPr="00CB6C95" w:rsidRDefault="00167860" w:rsidP="00167860">
      <w:pPr>
        <w:adjustRightInd w:val="0"/>
        <w:snapToGrid w:val="0"/>
        <w:rPr>
          <w:b/>
          <w:sz w:val="22"/>
          <w:szCs w:val="22"/>
          <w:lang w:eastAsia="ko-KR"/>
        </w:rPr>
      </w:pPr>
      <w:r w:rsidRPr="00CB6C95">
        <w:rPr>
          <w:b/>
          <w:sz w:val="22"/>
          <w:szCs w:val="22"/>
          <w:lang w:eastAsia="ko-KR"/>
        </w:rPr>
        <w:t>Mi Kyung Lee</w:t>
      </w:r>
    </w:p>
    <w:p w14:paraId="54034038" w14:textId="77777777" w:rsidR="00167860" w:rsidRPr="00CB6C95" w:rsidRDefault="00167860" w:rsidP="00167860">
      <w:pPr>
        <w:adjustRightInd w:val="0"/>
        <w:snapToGrid w:val="0"/>
        <w:rPr>
          <w:sz w:val="22"/>
          <w:szCs w:val="22"/>
          <w:lang w:eastAsia="ko-KR"/>
        </w:rPr>
      </w:pPr>
      <w:r w:rsidRPr="00CB6C95">
        <w:rPr>
          <w:sz w:val="22"/>
          <w:szCs w:val="22"/>
          <w:lang w:eastAsia="ko-KR"/>
        </w:rPr>
        <w:t>Scientist</w:t>
      </w:r>
    </w:p>
    <w:p w14:paraId="1BC392CA" w14:textId="77777777" w:rsidR="00167860" w:rsidRPr="00CB6C95" w:rsidRDefault="00167860" w:rsidP="00167860">
      <w:pPr>
        <w:adjustRightInd w:val="0"/>
        <w:snapToGrid w:val="0"/>
        <w:rPr>
          <w:sz w:val="22"/>
          <w:szCs w:val="22"/>
          <w:lang w:eastAsia="ko-KR"/>
        </w:rPr>
      </w:pPr>
      <w:r w:rsidRPr="00CB6C95">
        <w:rPr>
          <w:sz w:val="22"/>
          <w:szCs w:val="22"/>
          <w:lang w:eastAsia="ko-KR"/>
        </w:rPr>
        <w:t>National Institute of Fisheries Science</w:t>
      </w:r>
    </w:p>
    <w:p w14:paraId="38E31F2F" w14:textId="77777777" w:rsidR="00167860" w:rsidRPr="00CB6C95" w:rsidRDefault="00167860" w:rsidP="00167860">
      <w:pPr>
        <w:adjustRightInd w:val="0"/>
        <w:snapToGrid w:val="0"/>
        <w:rPr>
          <w:sz w:val="22"/>
          <w:szCs w:val="22"/>
          <w:lang w:eastAsia="ko-KR"/>
        </w:rPr>
      </w:pPr>
      <w:r w:rsidRPr="00CB6C95">
        <w:rPr>
          <w:sz w:val="22"/>
          <w:szCs w:val="22"/>
          <w:lang w:eastAsia="ko-KR"/>
        </w:rPr>
        <w:t>216, Gijanghaean-ro, Gijang-eup, Gijang-gun, Busan, 46083, Rep. of Korea</w:t>
      </w:r>
    </w:p>
    <w:p w14:paraId="7C3012B5" w14:textId="77777777" w:rsidR="00167860" w:rsidRPr="00CB6C95" w:rsidRDefault="00167860" w:rsidP="00167860">
      <w:pPr>
        <w:adjustRightInd w:val="0"/>
        <w:snapToGrid w:val="0"/>
        <w:rPr>
          <w:sz w:val="22"/>
          <w:szCs w:val="22"/>
          <w:lang w:eastAsia="ko-KR"/>
        </w:rPr>
      </w:pPr>
      <w:r w:rsidRPr="00CB6C95">
        <w:rPr>
          <w:sz w:val="22"/>
          <w:szCs w:val="22"/>
          <w:lang w:eastAsia="ko-KR"/>
        </w:rPr>
        <w:t>82-51-720-2332</w:t>
      </w:r>
    </w:p>
    <w:p w14:paraId="5B4A9247" w14:textId="77777777" w:rsidR="00167860" w:rsidRPr="00CB6C95" w:rsidRDefault="00167860" w:rsidP="00167860">
      <w:pPr>
        <w:adjustRightInd w:val="0"/>
        <w:snapToGrid w:val="0"/>
        <w:rPr>
          <w:sz w:val="22"/>
          <w:szCs w:val="22"/>
          <w:lang w:eastAsia="ko-KR"/>
        </w:rPr>
      </w:pPr>
      <w:r w:rsidRPr="00CB6C95">
        <w:rPr>
          <w:sz w:val="22"/>
          <w:szCs w:val="22"/>
          <w:lang w:eastAsia="ko-KR"/>
        </w:rPr>
        <w:t>ccmklee@korea.kr</w:t>
      </w:r>
    </w:p>
    <w:p w14:paraId="56DA969E" w14:textId="77777777" w:rsidR="00167860" w:rsidRPr="00CB6C95" w:rsidRDefault="00167860" w:rsidP="00167860">
      <w:pPr>
        <w:adjustRightInd w:val="0"/>
        <w:snapToGrid w:val="0"/>
        <w:rPr>
          <w:sz w:val="22"/>
          <w:szCs w:val="22"/>
          <w:lang w:eastAsia="ko-KR"/>
        </w:rPr>
      </w:pPr>
    </w:p>
    <w:p w14:paraId="1AD109A9" w14:textId="77777777" w:rsidR="00167860" w:rsidRPr="00CB6C95" w:rsidRDefault="00167860" w:rsidP="00167860">
      <w:pPr>
        <w:adjustRightInd w:val="0"/>
        <w:snapToGrid w:val="0"/>
        <w:rPr>
          <w:b/>
          <w:sz w:val="22"/>
          <w:szCs w:val="22"/>
          <w:lang w:eastAsia="ko-KR"/>
        </w:rPr>
      </w:pPr>
      <w:r w:rsidRPr="00CB6C95">
        <w:rPr>
          <w:b/>
          <w:sz w:val="22"/>
          <w:szCs w:val="22"/>
          <w:lang w:eastAsia="ko-KR"/>
        </w:rPr>
        <w:t>Zang Geun Kim</w:t>
      </w:r>
    </w:p>
    <w:p w14:paraId="606C5F33" w14:textId="77777777" w:rsidR="00167860" w:rsidRPr="00CB6C95" w:rsidRDefault="00167860" w:rsidP="00167860">
      <w:pPr>
        <w:adjustRightInd w:val="0"/>
        <w:snapToGrid w:val="0"/>
        <w:rPr>
          <w:sz w:val="22"/>
          <w:szCs w:val="22"/>
          <w:lang w:eastAsia="ko-KR"/>
        </w:rPr>
      </w:pPr>
      <w:r w:rsidRPr="00CB6C95">
        <w:rPr>
          <w:sz w:val="22"/>
          <w:szCs w:val="22"/>
          <w:lang w:eastAsia="ko-KR"/>
        </w:rPr>
        <w:t>Invited Scientist</w:t>
      </w:r>
    </w:p>
    <w:p w14:paraId="388D1A51" w14:textId="77777777" w:rsidR="00167860" w:rsidRPr="00CB6C95" w:rsidRDefault="00167860" w:rsidP="00167860">
      <w:pPr>
        <w:adjustRightInd w:val="0"/>
        <w:snapToGrid w:val="0"/>
        <w:rPr>
          <w:sz w:val="22"/>
          <w:szCs w:val="22"/>
          <w:lang w:eastAsia="ko-KR"/>
        </w:rPr>
      </w:pPr>
      <w:r w:rsidRPr="00CB6C95">
        <w:rPr>
          <w:sz w:val="22"/>
          <w:szCs w:val="22"/>
          <w:lang w:eastAsia="ko-KR"/>
        </w:rPr>
        <w:t>National Institute of fisheries Science</w:t>
      </w:r>
    </w:p>
    <w:p w14:paraId="183779C2" w14:textId="77777777" w:rsidR="00167860" w:rsidRPr="00CB6C95" w:rsidRDefault="00167860" w:rsidP="00167860">
      <w:pPr>
        <w:adjustRightInd w:val="0"/>
        <w:snapToGrid w:val="0"/>
        <w:rPr>
          <w:sz w:val="22"/>
          <w:szCs w:val="22"/>
          <w:lang w:eastAsia="ko-KR"/>
        </w:rPr>
      </w:pPr>
      <w:r w:rsidRPr="00CB6C95">
        <w:rPr>
          <w:sz w:val="22"/>
          <w:szCs w:val="22"/>
          <w:lang w:eastAsia="ko-KR"/>
        </w:rPr>
        <w:t>216, Gijanghaean-ro, Gijang-eup, Gijang-gun, Busan, 46083, Rep. of Korea</w:t>
      </w:r>
    </w:p>
    <w:p w14:paraId="2346C345" w14:textId="77777777" w:rsidR="00167860" w:rsidRPr="00CB6C95" w:rsidRDefault="00167860" w:rsidP="00167860">
      <w:pPr>
        <w:adjustRightInd w:val="0"/>
        <w:snapToGrid w:val="0"/>
        <w:rPr>
          <w:sz w:val="22"/>
          <w:szCs w:val="22"/>
          <w:lang w:eastAsia="ko-KR"/>
        </w:rPr>
      </w:pPr>
      <w:r w:rsidRPr="00CB6C95">
        <w:rPr>
          <w:sz w:val="22"/>
          <w:szCs w:val="22"/>
          <w:lang w:eastAsia="ko-KR"/>
        </w:rPr>
        <w:t>82-51-720-2333</w:t>
      </w:r>
    </w:p>
    <w:p w14:paraId="6CBE05F4" w14:textId="77777777" w:rsidR="00167860" w:rsidRPr="00CB6C95" w:rsidRDefault="00167860" w:rsidP="00167860">
      <w:pPr>
        <w:adjustRightInd w:val="0"/>
        <w:snapToGrid w:val="0"/>
        <w:rPr>
          <w:sz w:val="22"/>
          <w:szCs w:val="22"/>
          <w:lang w:eastAsia="ko-KR"/>
        </w:rPr>
      </w:pPr>
      <w:r w:rsidRPr="00CB6C95">
        <w:rPr>
          <w:sz w:val="22"/>
          <w:szCs w:val="22"/>
          <w:lang w:eastAsia="ko-KR"/>
        </w:rPr>
        <w:t>zgkim5676@gmail.com</w:t>
      </w:r>
    </w:p>
    <w:p w14:paraId="50F76451" w14:textId="77777777" w:rsidR="00167860" w:rsidRPr="00CB6C95" w:rsidRDefault="00167860" w:rsidP="00167860">
      <w:pPr>
        <w:adjustRightInd w:val="0"/>
        <w:snapToGrid w:val="0"/>
        <w:rPr>
          <w:sz w:val="22"/>
          <w:szCs w:val="22"/>
          <w:lang w:eastAsia="ko-KR"/>
        </w:rPr>
      </w:pPr>
    </w:p>
    <w:p w14:paraId="3DD048E0" w14:textId="77777777" w:rsidR="00167860" w:rsidRPr="00CB6C95" w:rsidRDefault="00167860" w:rsidP="00167860">
      <w:pPr>
        <w:adjustRightInd w:val="0"/>
        <w:snapToGrid w:val="0"/>
        <w:rPr>
          <w:b/>
          <w:sz w:val="22"/>
          <w:szCs w:val="22"/>
          <w:lang w:eastAsia="ko-KR"/>
        </w:rPr>
      </w:pPr>
      <w:r w:rsidRPr="00CB6C95">
        <w:rPr>
          <w:b/>
          <w:sz w:val="22"/>
          <w:szCs w:val="22"/>
          <w:lang w:eastAsia="ko-KR"/>
        </w:rPr>
        <w:t>Heon Ju Jo</w:t>
      </w:r>
    </w:p>
    <w:p w14:paraId="7A887DDB" w14:textId="77777777" w:rsidR="00167860" w:rsidRPr="00CB6C95" w:rsidRDefault="00167860" w:rsidP="00167860">
      <w:pPr>
        <w:adjustRightInd w:val="0"/>
        <w:snapToGrid w:val="0"/>
        <w:rPr>
          <w:sz w:val="22"/>
          <w:szCs w:val="22"/>
          <w:lang w:eastAsia="ko-KR"/>
        </w:rPr>
      </w:pPr>
      <w:r w:rsidRPr="00CB6C95">
        <w:rPr>
          <w:sz w:val="22"/>
          <w:szCs w:val="22"/>
          <w:lang w:eastAsia="ko-KR"/>
        </w:rPr>
        <w:t>Researcher</w:t>
      </w:r>
    </w:p>
    <w:p w14:paraId="61513B82" w14:textId="77777777" w:rsidR="00167860" w:rsidRPr="00CB6C95" w:rsidRDefault="00167860" w:rsidP="00167860">
      <w:pPr>
        <w:adjustRightInd w:val="0"/>
        <w:snapToGrid w:val="0"/>
        <w:rPr>
          <w:sz w:val="22"/>
          <w:szCs w:val="22"/>
          <w:lang w:eastAsia="ko-KR"/>
        </w:rPr>
      </w:pPr>
      <w:r w:rsidRPr="00CB6C95">
        <w:rPr>
          <w:sz w:val="22"/>
          <w:szCs w:val="22"/>
          <w:lang w:eastAsia="ko-KR"/>
        </w:rPr>
        <w:t>National Institute of Fisheries Science</w:t>
      </w:r>
    </w:p>
    <w:p w14:paraId="0464DB4C" w14:textId="77777777" w:rsidR="00167860" w:rsidRPr="00CB6C95" w:rsidRDefault="00167860" w:rsidP="00167860">
      <w:pPr>
        <w:adjustRightInd w:val="0"/>
        <w:snapToGrid w:val="0"/>
        <w:rPr>
          <w:sz w:val="22"/>
          <w:szCs w:val="22"/>
          <w:lang w:eastAsia="ko-KR"/>
        </w:rPr>
      </w:pPr>
      <w:r w:rsidRPr="00CB6C95">
        <w:rPr>
          <w:sz w:val="22"/>
          <w:szCs w:val="22"/>
          <w:lang w:eastAsia="ko-KR"/>
        </w:rPr>
        <w:t>216, Gijanghaean-ro, Gijang-eup, Gijang-gun, Busan, 46083, Rep. of Korea</w:t>
      </w:r>
    </w:p>
    <w:p w14:paraId="2C3DA9C2" w14:textId="77777777" w:rsidR="00167860" w:rsidRPr="00CB6C95" w:rsidRDefault="00167860" w:rsidP="00167860">
      <w:pPr>
        <w:adjustRightInd w:val="0"/>
        <w:snapToGrid w:val="0"/>
        <w:rPr>
          <w:sz w:val="22"/>
          <w:szCs w:val="22"/>
          <w:lang w:eastAsia="ko-KR"/>
        </w:rPr>
      </w:pPr>
      <w:r w:rsidRPr="00CB6C95">
        <w:rPr>
          <w:sz w:val="22"/>
          <w:szCs w:val="22"/>
          <w:lang w:eastAsia="ko-KR"/>
        </w:rPr>
        <w:t>82-51-720-2334</w:t>
      </w:r>
    </w:p>
    <w:p w14:paraId="54A64553" w14:textId="77777777" w:rsidR="00167860" w:rsidRPr="00CB6C95" w:rsidRDefault="00167860" w:rsidP="00167860">
      <w:pPr>
        <w:adjustRightInd w:val="0"/>
        <w:snapToGrid w:val="0"/>
        <w:rPr>
          <w:sz w:val="22"/>
          <w:szCs w:val="22"/>
          <w:lang w:eastAsia="ko-KR"/>
        </w:rPr>
      </w:pPr>
      <w:r w:rsidRPr="00CB6C95">
        <w:rPr>
          <w:sz w:val="22"/>
          <w:szCs w:val="22"/>
          <w:lang w:eastAsia="ko-KR"/>
        </w:rPr>
        <w:t>ddgjswn@naver.com</w:t>
      </w:r>
    </w:p>
    <w:p w14:paraId="09BE76CB" w14:textId="77777777" w:rsidR="00167860" w:rsidRPr="00CB6C95" w:rsidRDefault="00167860" w:rsidP="00167860">
      <w:pPr>
        <w:adjustRightInd w:val="0"/>
        <w:snapToGrid w:val="0"/>
        <w:rPr>
          <w:sz w:val="22"/>
          <w:szCs w:val="22"/>
          <w:lang w:eastAsia="ko-KR"/>
        </w:rPr>
      </w:pPr>
    </w:p>
    <w:p w14:paraId="6AE003F7" w14:textId="77777777" w:rsidR="00167860" w:rsidRPr="00CB6C95" w:rsidRDefault="00167860" w:rsidP="00167860">
      <w:pPr>
        <w:adjustRightInd w:val="0"/>
        <w:snapToGrid w:val="0"/>
        <w:rPr>
          <w:b/>
          <w:sz w:val="22"/>
          <w:szCs w:val="22"/>
          <w:lang w:eastAsia="ko-KR"/>
        </w:rPr>
      </w:pPr>
      <w:r w:rsidRPr="00CB6C95">
        <w:rPr>
          <w:b/>
          <w:sz w:val="22"/>
          <w:szCs w:val="22"/>
          <w:lang w:eastAsia="ko-KR"/>
        </w:rPr>
        <w:t>Su Yeon Kim</w:t>
      </w:r>
    </w:p>
    <w:p w14:paraId="2F04F9BE" w14:textId="77777777" w:rsidR="00167860" w:rsidRPr="00CB6C95" w:rsidRDefault="00167860" w:rsidP="00167860">
      <w:pPr>
        <w:adjustRightInd w:val="0"/>
        <w:snapToGrid w:val="0"/>
        <w:rPr>
          <w:sz w:val="22"/>
          <w:szCs w:val="22"/>
          <w:lang w:eastAsia="ko-KR"/>
        </w:rPr>
      </w:pPr>
      <w:r w:rsidRPr="00CB6C95">
        <w:rPr>
          <w:sz w:val="22"/>
          <w:szCs w:val="22"/>
          <w:lang w:eastAsia="ko-KR"/>
        </w:rPr>
        <w:t>Advisor</w:t>
      </w:r>
    </w:p>
    <w:p w14:paraId="6CEDADC9" w14:textId="77777777" w:rsidR="00167860" w:rsidRPr="00CB6C95" w:rsidRDefault="00167860" w:rsidP="00167860">
      <w:pPr>
        <w:adjustRightInd w:val="0"/>
        <w:snapToGrid w:val="0"/>
        <w:rPr>
          <w:sz w:val="22"/>
          <w:szCs w:val="22"/>
          <w:lang w:eastAsia="ko-KR"/>
        </w:rPr>
      </w:pPr>
      <w:r w:rsidRPr="00CB6C95">
        <w:rPr>
          <w:sz w:val="22"/>
          <w:szCs w:val="22"/>
          <w:lang w:eastAsia="ko-KR"/>
        </w:rPr>
        <w:t>Fisheries Monitoring Center</w:t>
      </w:r>
    </w:p>
    <w:p w14:paraId="7530E7F6" w14:textId="77777777" w:rsidR="00167860" w:rsidRPr="00CB6C95" w:rsidRDefault="00167860" w:rsidP="00167860">
      <w:pPr>
        <w:adjustRightInd w:val="0"/>
        <w:snapToGrid w:val="0"/>
        <w:rPr>
          <w:sz w:val="22"/>
          <w:szCs w:val="22"/>
          <w:lang w:eastAsia="ko-KR"/>
        </w:rPr>
      </w:pPr>
      <w:r w:rsidRPr="00CB6C95">
        <w:rPr>
          <w:sz w:val="22"/>
          <w:szCs w:val="22"/>
          <w:lang w:eastAsia="ko-KR"/>
        </w:rPr>
        <w:t>638, Gijanghaean-ro, Gijang-eup, Gijang-gun, Busan, 46079, Rep. of Korea</w:t>
      </w:r>
    </w:p>
    <w:p w14:paraId="703FB097" w14:textId="77777777" w:rsidR="00167860" w:rsidRPr="00CB6C95" w:rsidRDefault="00167860" w:rsidP="00167860">
      <w:pPr>
        <w:adjustRightInd w:val="0"/>
        <w:snapToGrid w:val="0"/>
        <w:rPr>
          <w:sz w:val="22"/>
          <w:szCs w:val="22"/>
          <w:lang w:eastAsia="ko-KR"/>
        </w:rPr>
      </w:pPr>
      <w:r w:rsidRPr="00CB6C95">
        <w:rPr>
          <w:sz w:val="22"/>
          <w:szCs w:val="22"/>
          <w:lang w:eastAsia="ko-KR"/>
        </w:rPr>
        <w:t>fmc2014@korea.kr</w:t>
      </w:r>
    </w:p>
    <w:p w14:paraId="5666842B" w14:textId="77777777" w:rsidR="00167860" w:rsidRPr="00CB6C95" w:rsidRDefault="00167860" w:rsidP="00167860">
      <w:pPr>
        <w:adjustRightInd w:val="0"/>
        <w:snapToGrid w:val="0"/>
        <w:rPr>
          <w:sz w:val="22"/>
          <w:szCs w:val="22"/>
          <w:lang w:eastAsia="ko-KR"/>
        </w:rPr>
      </w:pPr>
    </w:p>
    <w:p w14:paraId="35E95471" w14:textId="77777777" w:rsidR="00167860" w:rsidRPr="00CB6C95" w:rsidRDefault="00167860" w:rsidP="00167860">
      <w:pPr>
        <w:adjustRightInd w:val="0"/>
        <w:snapToGrid w:val="0"/>
        <w:rPr>
          <w:b/>
          <w:sz w:val="22"/>
          <w:szCs w:val="22"/>
          <w:lang w:eastAsia="ko-KR"/>
        </w:rPr>
      </w:pPr>
      <w:r w:rsidRPr="00CB6C95">
        <w:rPr>
          <w:b/>
          <w:sz w:val="22"/>
          <w:szCs w:val="22"/>
          <w:lang w:eastAsia="ko-KR"/>
        </w:rPr>
        <w:t>Chan Won Jo</w:t>
      </w:r>
    </w:p>
    <w:p w14:paraId="53593F54" w14:textId="77777777" w:rsidR="00167860" w:rsidRPr="00CB6C95" w:rsidRDefault="00167860" w:rsidP="00167860">
      <w:pPr>
        <w:adjustRightInd w:val="0"/>
        <w:snapToGrid w:val="0"/>
        <w:rPr>
          <w:sz w:val="22"/>
          <w:szCs w:val="22"/>
          <w:lang w:eastAsia="ko-KR"/>
        </w:rPr>
      </w:pPr>
      <w:r w:rsidRPr="00CB6C95">
        <w:rPr>
          <w:sz w:val="22"/>
          <w:szCs w:val="22"/>
          <w:lang w:eastAsia="ko-KR"/>
        </w:rPr>
        <w:t>Staff</w:t>
      </w:r>
    </w:p>
    <w:p w14:paraId="21DF4FE9" w14:textId="77777777" w:rsidR="00167860" w:rsidRPr="00CB6C95" w:rsidRDefault="00167860" w:rsidP="00167860">
      <w:pPr>
        <w:adjustRightInd w:val="0"/>
        <w:snapToGrid w:val="0"/>
        <w:rPr>
          <w:sz w:val="22"/>
          <w:szCs w:val="22"/>
          <w:lang w:eastAsia="ko-KR"/>
        </w:rPr>
      </w:pPr>
      <w:r w:rsidRPr="00CB6C95">
        <w:rPr>
          <w:sz w:val="22"/>
          <w:szCs w:val="22"/>
          <w:lang w:eastAsia="ko-KR"/>
        </w:rPr>
        <w:t>SAJO Industries Co., Ltd.</w:t>
      </w:r>
    </w:p>
    <w:p w14:paraId="0F0961AF" w14:textId="77777777" w:rsidR="00167860" w:rsidRPr="00CB6C95" w:rsidRDefault="00167860" w:rsidP="00167860">
      <w:pPr>
        <w:adjustRightInd w:val="0"/>
        <w:snapToGrid w:val="0"/>
        <w:rPr>
          <w:sz w:val="22"/>
          <w:szCs w:val="22"/>
          <w:lang w:eastAsia="ko-KR"/>
        </w:rPr>
      </w:pPr>
      <w:r w:rsidRPr="00CB6C95">
        <w:rPr>
          <w:sz w:val="22"/>
          <w:szCs w:val="22"/>
          <w:lang w:eastAsia="ko-KR"/>
        </w:rPr>
        <w:t>107-39, Tongil-no, Seodaemun-gu, Seoul, 03740, Rep. of Korea</w:t>
      </w:r>
    </w:p>
    <w:p w14:paraId="75F52759" w14:textId="77777777" w:rsidR="00167860" w:rsidRPr="00CB6C95" w:rsidRDefault="00167860" w:rsidP="00167860">
      <w:pPr>
        <w:adjustRightInd w:val="0"/>
        <w:snapToGrid w:val="0"/>
        <w:rPr>
          <w:sz w:val="22"/>
          <w:szCs w:val="22"/>
          <w:lang w:eastAsia="ko-KR"/>
        </w:rPr>
      </w:pPr>
      <w:r w:rsidRPr="00CB6C95">
        <w:rPr>
          <w:sz w:val="22"/>
          <w:szCs w:val="22"/>
          <w:lang w:eastAsia="ko-KR"/>
        </w:rPr>
        <w:t>cwjo@sajo.co.kr</w:t>
      </w:r>
    </w:p>
    <w:p w14:paraId="58F38B0D" w14:textId="77777777" w:rsidR="00167860" w:rsidRPr="00CB6C95" w:rsidRDefault="00167860" w:rsidP="00167860">
      <w:pPr>
        <w:adjustRightInd w:val="0"/>
        <w:snapToGrid w:val="0"/>
        <w:rPr>
          <w:sz w:val="22"/>
          <w:szCs w:val="22"/>
          <w:lang w:eastAsia="ko-KR"/>
        </w:rPr>
      </w:pPr>
    </w:p>
    <w:p w14:paraId="122A462C" w14:textId="77777777" w:rsidR="00167860" w:rsidRPr="00CB6C95" w:rsidRDefault="00167860" w:rsidP="00167860">
      <w:pPr>
        <w:adjustRightInd w:val="0"/>
        <w:snapToGrid w:val="0"/>
        <w:rPr>
          <w:b/>
          <w:sz w:val="22"/>
          <w:szCs w:val="22"/>
          <w:lang w:eastAsia="ko-KR"/>
        </w:rPr>
      </w:pPr>
      <w:r w:rsidRPr="00CB6C95">
        <w:rPr>
          <w:b/>
          <w:sz w:val="22"/>
          <w:szCs w:val="22"/>
          <w:lang w:eastAsia="ko-KR"/>
        </w:rPr>
        <w:t>Ho Woon Kim</w:t>
      </w:r>
    </w:p>
    <w:p w14:paraId="7AD2AE4B" w14:textId="77777777" w:rsidR="00167860" w:rsidRPr="00CB6C95" w:rsidRDefault="00167860" w:rsidP="00167860">
      <w:pPr>
        <w:adjustRightInd w:val="0"/>
        <w:snapToGrid w:val="0"/>
        <w:rPr>
          <w:sz w:val="22"/>
          <w:szCs w:val="22"/>
          <w:lang w:eastAsia="ko-KR"/>
        </w:rPr>
      </w:pPr>
      <w:r w:rsidRPr="00CB6C95">
        <w:rPr>
          <w:sz w:val="22"/>
          <w:szCs w:val="22"/>
          <w:lang w:eastAsia="ko-KR"/>
        </w:rPr>
        <w:t>Executive Director</w:t>
      </w:r>
    </w:p>
    <w:p w14:paraId="7F7568CE" w14:textId="77777777" w:rsidR="00167860" w:rsidRPr="00CB6C95" w:rsidRDefault="00167860" w:rsidP="00167860">
      <w:pPr>
        <w:adjustRightInd w:val="0"/>
        <w:snapToGrid w:val="0"/>
        <w:rPr>
          <w:sz w:val="22"/>
          <w:szCs w:val="22"/>
          <w:lang w:eastAsia="ko-KR"/>
        </w:rPr>
      </w:pPr>
      <w:r w:rsidRPr="00CB6C95">
        <w:rPr>
          <w:sz w:val="22"/>
          <w:szCs w:val="22"/>
          <w:lang w:eastAsia="ko-KR"/>
        </w:rPr>
        <w:t>SILLA Co., Ltd.</w:t>
      </w:r>
    </w:p>
    <w:p w14:paraId="5642A6E3" w14:textId="77777777" w:rsidR="00167860" w:rsidRPr="00CB6C95" w:rsidRDefault="00167860" w:rsidP="00167860">
      <w:pPr>
        <w:adjustRightInd w:val="0"/>
        <w:snapToGrid w:val="0"/>
        <w:rPr>
          <w:sz w:val="22"/>
          <w:szCs w:val="22"/>
          <w:lang w:eastAsia="ko-KR"/>
        </w:rPr>
      </w:pPr>
      <w:r w:rsidRPr="00CB6C95">
        <w:rPr>
          <w:sz w:val="22"/>
          <w:szCs w:val="22"/>
          <w:lang w:eastAsia="ko-KR"/>
        </w:rPr>
        <w:t>362, Baekjegobun-ro, Songpa-gu, Seoul, 13065, Rep. of Korea</w:t>
      </w:r>
    </w:p>
    <w:p w14:paraId="56093CA3" w14:textId="77777777" w:rsidR="00167860" w:rsidRPr="00CB6C95" w:rsidRDefault="00167860" w:rsidP="00167860">
      <w:pPr>
        <w:adjustRightInd w:val="0"/>
        <w:snapToGrid w:val="0"/>
        <w:rPr>
          <w:sz w:val="22"/>
          <w:szCs w:val="22"/>
          <w:lang w:eastAsia="ko-KR"/>
        </w:rPr>
      </w:pPr>
      <w:r w:rsidRPr="00CB6C95">
        <w:rPr>
          <w:sz w:val="22"/>
          <w:szCs w:val="22"/>
          <w:lang w:eastAsia="ko-KR"/>
        </w:rPr>
        <w:t>kimhoon@sla.co.kr</w:t>
      </w:r>
    </w:p>
    <w:p w14:paraId="3B6821D1" w14:textId="77777777" w:rsidR="00167860" w:rsidRPr="00CB6C95" w:rsidRDefault="00167860" w:rsidP="00167860">
      <w:pPr>
        <w:adjustRightInd w:val="0"/>
        <w:snapToGrid w:val="0"/>
        <w:rPr>
          <w:sz w:val="22"/>
          <w:szCs w:val="22"/>
          <w:lang w:eastAsia="ko-KR"/>
        </w:rPr>
      </w:pPr>
    </w:p>
    <w:p w14:paraId="24E61848" w14:textId="77777777" w:rsidR="00167860" w:rsidRPr="00CB6C95" w:rsidRDefault="00167860" w:rsidP="00167860">
      <w:pPr>
        <w:adjustRightInd w:val="0"/>
        <w:snapToGrid w:val="0"/>
        <w:rPr>
          <w:b/>
          <w:sz w:val="22"/>
          <w:szCs w:val="22"/>
          <w:lang w:eastAsia="ko-KR"/>
        </w:rPr>
      </w:pPr>
      <w:r w:rsidRPr="00CB6C95">
        <w:rPr>
          <w:b/>
          <w:sz w:val="22"/>
          <w:szCs w:val="22"/>
          <w:lang w:eastAsia="ko-KR"/>
        </w:rPr>
        <w:t>Kyung Pill Kim</w:t>
      </w:r>
    </w:p>
    <w:p w14:paraId="2A3E5554" w14:textId="77777777" w:rsidR="00167860" w:rsidRPr="00CB6C95" w:rsidRDefault="00167860" w:rsidP="00167860">
      <w:pPr>
        <w:adjustRightInd w:val="0"/>
        <w:snapToGrid w:val="0"/>
        <w:rPr>
          <w:sz w:val="22"/>
          <w:szCs w:val="22"/>
          <w:lang w:eastAsia="ko-KR"/>
        </w:rPr>
      </w:pPr>
      <w:r w:rsidRPr="00CB6C95">
        <w:rPr>
          <w:sz w:val="22"/>
          <w:szCs w:val="22"/>
          <w:lang w:eastAsia="ko-KR"/>
        </w:rPr>
        <w:t>Staff</w:t>
      </w:r>
    </w:p>
    <w:p w14:paraId="345C42D2" w14:textId="77777777" w:rsidR="00167860" w:rsidRPr="00CB6C95" w:rsidRDefault="00167860" w:rsidP="00167860">
      <w:pPr>
        <w:adjustRightInd w:val="0"/>
        <w:snapToGrid w:val="0"/>
        <w:rPr>
          <w:sz w:val="22"/>
          <w:szCs w:val="22"/>
          <w:lang w:eastAsia="ko-KR"/>
        </w:rPr>
      </w:pPr>
      <w:r w:rsidRPr="00CB6C95">
        <w:rPr>
          <w:sz w:val="22"/>
          <w:szCs w:val="22"/>
          <w:lang w:eastAsia="ko-KR"/>
        </w:rPr>
        <w:t>Dongwon Industries Co., Ltd.</w:t>
      </w:r>
    </w:p>
    <w:p w14:paraId="527C3AD2" w14:textId="77777777" w:rsidR="00167860" w:rsidRPr="00CB6C95" w:rsidRDefault="00167860" w:rsidP="00167860">
      <w:pPr>
        <w:adjustRightInd w:val="0"/>
        <w:snapToGrid w:val="0"/>
        <w:rPr>
          <w:sz w:val="22"/>
          <w:szCs w:val="22"/>
          <w:lang w:eastAsia="ko-KR"/>
        </w:rPr>
      </w:pPr>
      <w:r w:rsidRPr="00CB6C95">
        <w:rPr>
          <w:sz w:val="22"/>
          <w:szCs w:val="22"/>
          <w:lang w:eastAsia="ko-KR"/>
        </w:rPr>
        <w:t>68, Mabang-ro, Seocho-gu, Seoul, 06775, Rep. of Korea</w:t>
      </w:r>
    </w:p>
    <w:p w14:paraId="02E95D8A" w14:textId="77777777" w:rsidR="00167860" w:rsidRPr="00CB6C95" w:rsidRDefault="00167860" w:rsidP="00167860">
      <w:pPr>
        <w:adjustRightInd w:val="0"/>
        <w:snapToGrid w:val="0"/>
        <w:rPr>
          <w:sz w:val="22"/>
          <w:szCs w:val="22"/>
          <w:lang w:eastAsia="ko-KR"/>
        </w:rPr>
      </w:pPr>
      <w:r w:rsidRPr="00CB6C95">
        <w:rPr>
          <w:sz w:val="22"/>
          <w:szCs w:val="22"/>
          <w:lang w:eastAsia="ko-KR"/>
        </w:rPr>
        <w:t>kp2714@dongwon.com</w:t>
      </w:r>
    </w:p>
    <w:p w14:paraId="4DB6230A" w14:textId="77777777" w:rsidR="00167860" w:rsidRPr="00CB6C95" w:rsidRDefault="00167860" w:rsidP="00167860">
      <w:pPr>
        <w:adjustRightInd w:val="0"/>
        <w:snapToGrid w:val="0"/>
        <w:rPr>
          <w:sz w:val="22"/>
          <w:szCs w:val="22"/>
          <w:lang w:eastAsia="ko-KR"/>
        </w:rPr>
      </w:pPr>
    </w:p>
    <w:p w14:paraId="5F6B2168" w14:textId="77777777" w:rsidR="00167860" w:rsidRPr="00CB6C95" w:rsidRDefault="00167860" w:rsidP="00167860">
      <w:pPr>
        <w:adjustRightInd w:val="0"/>
        <w:snapToGrid w:val="0"/>
        <w:rPr>
          <w:b/>
          <w:sz w:val="22"/>
          <w:szCs w:val="22"/>
          <w:lang w:eastAsia="ko-KR"/>
        </w:rPr>
      </w:pPr>
      <w:r w:rsidRPr="00CB6C95">
        <w:rPr>
          <w:b/>
          <w:sz w:val="22"/>
          <w:szCs w:val="22"/>
          <w:lang w:eastAsia="ko-KR"/>
        </w:rPr>
        <w:t>Yu Gyu Lee</w:t>
      </w:r>
    </w:p>
    <w:p w14:paraId="2BED7D68" w14:textId="77777777" w:rsidR="00167860" w:rsidRPr="00CB6C95" w:rsidRDefault="00167860" w:rsidP="00167860">
      <w:pPr>
        <w:adjustRightInd w:val="0"/>
        <w:snapToGrid w:val="0"/>
        <w:rPr>
          <w:sz w:val="22"/>
          <w:szCs w:val="22"/>
          <w:lang w:eastAsia="ko-KR"/>
        </w:rPr>
      </w:pPr>
      <w:r w:rsidRPr="00CB6C95">
        <w:rPr>
          <w:sz w:val="22"/>
          <w:szCs w:val="22"/>
          <w:lang w:eastAsia="ko-KR"/>
        </w:rPr>
        <w:t>Associate</w:t>
      </w:r>
    </w:p>
    <w:p w14:paraId="50F0C477" w14:textId="77777777" w:rsidR="00167860" w:rsidRPr="000C5372" w:rsidRDefault="00167860" w:rsidP="00167860">
      <w:pPr>
        <w:adjustRightInd w:val="0"/>
        <w:snapToGrid w:val="0"/>
        <w:rPr>
          <w:rFonts w:eastAsiaTheme="minorEastAsia"/>
          <w:sz w:val="22"/>
          <w:szCs w:val="22"/>
          <w:lang w:eastAsia="ko-KR"/>
        </w:rPr>
      </w:pPr>
      <w:r w:rsidRPr="00CB6C95">
        <w:rPr>
          <w:sz w:val="22"/>
          <w:szCs w:val="22"/>
          <w:lang w:eastAsia="ko-KR"/>
        </w:rPr>
        <w:t>Dongwon Industries Co., Ltd.</w:t>
      </w:r>
    </w:p>
    <w:p w14:paraId="3FADE039" w14:textId="77777777" w:rsidR="00167860" w:rsidRPr="00CB6C95" w:rsidRDefault="00167860" w:rsidP="00167860">
      <w:pPr>
        <w:adjustRightInd w:val="0"/>
        <w:snapToGrid w:val="0"/>
        <w:rPr>
          <w:sz w:val="22"/>
          <w:szCs w:val="22"/>
          <w:lang w:eastAsia="ko-KR"/>
        </w:rPr>
      </w:pPr>
      <w:r w:rsidRPr="00CB6C95">
        <w:rPr>
          <w:sz w:val="22"/>
          <w:szCs w:val="22"/>
          <w:lang w:eastAsia="ko-KR"/>
        </w:rPr>
        <w:t>70, Jungangdae-ro, Jung-gu, Busan, 48941, Rep. of Korea</w:t>
      </w:r>
    </w:p>
    <w:p w14:paraId="0C7FC021" w14:textId="77777777" w:rsidR="00167860" w:rsidRPr="00CB6C95" w:rsidRDefault="00167860" w:rsidP="00167860">
      <w:pPr>
        <w:adjustRightInd w:val="0"/>
        <w:snapToGrid w:val="0"/>
        <w:rPr>
          <w:sz w:val="22"/>
          <w:szCs w:val="22"/>
          <w:lang w:eastAsia="ko-KR"/>
        </w:rPr>
      </w:pPr>
      <w:r w:rsidRPr="00CB6C95">
        <w:rPr>
          <w:sz w:val="22"/>
          <w:szCs w:val="22"/>
          <w:lang w:eastAsia="ko-KR"/>
        </w:rPr>
        <w:t>82-10-3217-1316</w:t>
      </w:r>
    </w:p>
    <w:p w14:paraId="1BFA682A" w14:textId="77777777" w:rsidR="00167860" w:rsidRPr="00CB6C95" w:rsidRDefault="00167860" w:rsidP="00167860">
      <w:pPr>
        <w:adjustRightInd w:val="0"/>
        <w:snapToGrid w:val="0"/>
        <w:rPr>
          <w:sz w:val="22"/>
          <w:szCs w:val="22"/>
          <w:lang w:eastAsia="ko-KR"/>
        </w:rPr>
      </w:pPr>
      <w:r w:rsidRPr="00CB6C95">
        <w:rPr>
          <w:sz w:val="22"/>
          <w:szCs w:val="22"/>
          <w:lang w:eastAsia="ko-KR"/>
        </w:rPr>
        <w:t>lyg1316@dongwon.com</w:t>
      </w:r>
    </w:p>
    <w:p w14:paraId="707AD33E" w14:textId="77777777" w:rsidR="00167860" w:rsidRPr="00CB6C95" w:rsidRDefault="00167860" w:rsidP="00167860">
      <w:pPr>
        <w:adjustRightInd w:val="0"/>
        <w:snapToGrid w:val="0"/>
        <w:rPr>
          <w:sz w:val="22"/>
          <w:szCs w:val="22"/>
          <w:lang w:eastAsia="ko-KR"/>
        </w:rPr>
      </w:pPr>
    </w:p>
    <w:p w14:paraId="3306F65F" w14:textId="77777777" w:rsidR="00167860" w:rsidRPr="00CB6C95" w:rsidRDefault="00167860" w:rsidP="00167860">
      <w:pPr>
        <w:adjustRightInd w:val="0"/>
        <w:snapToGrid w:val="0"/>
        <w:rPr>
          <w:b/>
          <w:sz w:val="22"/>
          <w:szCs w:val="22"/>
          <w:lang w:eastAsia="ko-KR"/>
        </w:rPr>
      </w:pPr>
      <w:r w:rsidRPr="00CB6C95">
        <w:rPr>
          <w:b/>
          <w:sz w:val="22"/>
          <w:szCs w:val="22"/>
          <w:lang w:eastAsia="ko-KR"/>
        </w:rPr>
        <w:t>Take Young Kim</w:t>
      </w:r>
    </w:p>
    <w:p w14:paraId="2D26764D" w14:textId="77777777" w:rsidR="00167860" w:rsidRPr="00CB6C95" w:rsidRDefault="00167860" w:rsidP="00167860">
      <w:pPr>
        <w:adjustRightInd w:val="0"/>
        <w:snapToGrid w:val="0"/>
        <w:rPr>
          <w:sz w:val="22"/>
          <w:szCs w:val="22"/>
          <w:lang w:eastAsia="ko-KR"/>
        </w:rPr>
      </w:pPr>
      <w:r w:rsidRPr="00CB6C95">
        <w:rPr>
          <w:sz w:val="22"/>
          <w:szCs w:val="22"/>
          <w:lang w:eastAsia="ko-KR"/>
        </w:rPr>
        <w:t>Assistant manager</w:t>
      </w:r>
    </w:p>
    <w:p w14:paraId="37952F01" w14:textId="77777777" w:rsidR="00167860" w:rsidRPr="00CB6C95" w:rsidRDefault="00167860" w:rsidP="00167860">
      <w:pPr>
        <w:adjustRightInd w:val="0"/>
        <w:snapToGrid w:val="0"/>
        <w:rPr>
          <w:sz w:val="22"/>
          <w:szCs w:val="22"/>
          <w:lang w:eastAsia="ko-KR"/>
        </w:rPr>
      </w:pPr>
      <w:r w:rsidRPr="00CB6C95">
        <w:rPr>
          <w:sz w:val="22"/>
          <w:szCs w:val="22"/>
          <w:lang w:eastAsia="ko-KR"/>
        </w:rPr>
        <w:t>Dongwon Industries Co., Ltd.</w:t>
      </w:r>
    </w:p>
    <w:p w14:paraId="71391AB1" w14:textId="77777777" w:rsidR="00167860" w:rsidRPr="00CB6C95" w:rsidRDefault="00167860" w:rsidP="00167860">
      <w:pPr>
        <w:adjustRightInd w:val="0"/>
        <w:snapToGrid w:val="0"/>
        <w:rPr>
          <w:sz w:val="22"/>
          <w:szCs w:val="22"/>
          <w:lang w:eastAsia="ko-KR"/>
        </w:rPr>
      </w:pPr>
      <w:r w:rsidRPr="00CB6C95">
        <w:rPr>
          <w:sz w:val="22"/>
          <w:szCs w:val="22"/>
          <w:lang w:eastAsia="ko-KR"/>
        </w:rPr>
        <w:t>70, Jungangdae-ro, jung-gu, Busan, 48941, Rep. of Korea</w:t>
      </w:r>
    </w:p>
    <w:p w14:paraId="36C1F6A1" w14:textId="77777777" w:rsidR="00167860" w:rsidRPr="00CB6C95" w:rsidRDefault="00167860" w:rsidP="00167860">
      <w:pPr>
        <w:adjustRightInd w:val="0"/>
        <w:snapToGrid w:val="0"/>
        <w:rPr>
          <w:sz w:val="22"/>
          <w:szCs w:val="22"/>
          <w:lang w:eastAsia="ko-KR"/>
        </w:rPr>
      </w:pPr>
      <w:r w:rsidRPr="00CB6C95">
        <w:rPr>
          <w:sz w:val="22"/>
          <w:szCs w:val="22"/>
          <w:lang w:eastAsia="ko-KR"/>
        </w:rPr>
        <w:t>82-10-9396-8946</w:t>
      </w:r>
    </w:p>
    <w:p w14:paraId="4A1F61EB" w14:textId="77777777" w:rsidR="00167860" w:rsidRPr="00CB6C95" w:rsidRDefault="00167860" w:rsidP="00167860">
      <w:pPr>
        <w:adjustRightInd w:val="0"/>
        <w:snapToGrid w:val="0"/>
        <w:rPr>
          <w:sz w:val="22"/>
          <w:szCs w:val="22"/>
          <w:lang w:eastAsia="ko-KR"/>
        </w:rPr>
      </w:pPr>
      <w:r w:rsidRPr="00CB6C95">
        <w:rPr>
          <w:sz w:val="22"/>
          <w:szCs w:val="22"/>
          <w:lang w:eastAsia="ko-KR"/>
        </w:rPr>
        <w:t>kty0922@dongwon.com</w:t>
      </w:r>
    </w:p>
    <w:p w14:paraId="30FC4FA3" w14:textId="77777777" w:rsidR="00167860" w:rsidRPr="00CB6C95" w:rsidRDefault="00167860" w:rsidP="00167860">
      <w:pPr>
        <w:adjustRightInd w:val="0"/>
        <w:snapToGrid w:val="0"/>
        <w:rPr>
          <w:sz w:val="22"/>
          <w:szCs w:val="22"/>
          <w:lang w:eastAsia="ko-KR"/>
        </w:rPr>
      </w:pPr>
    </w:p>
    <w:p w14:paraId="5A87DCD5" w14:textId="77777777" w:rsidR="00167860" w:rsidRPr="00CB6C95" w:rsidRDefault="00167860" w:rsidP="00167860">
      <w:pPr>
        <w:adjustRightInd w:val="0"/>
        <w:snapToGrid w:val="0"/>
        <w:rPr>
          <w:b/>
          <w:sz w:val="22"/>
          <w:szCs w:val="22"/>
          <w:lang w:eastAsia="ko-KR"/>
        </w:rPr>
      </w:pPr>
      <w:r w:rsidRPr="00CB6C95">
        <w:rPr>
          <w:b/>
          <w:sz w:val="22"/>
          <w:szCs w:val="22"/>
          <w:lang w:eastAsia="ko-KR"/>
        </w:rPr>
        <w:t>Sun Ho Lee</w:t>
      </w:r>
    </w:p>
    <w:p w14:paraId="292FAF32" w14:textId="77777777" w:rsidR="00167860" w:rsidRPr="00CB6C95" w:rsidRDefault="00167860" w:rsidP="00167860">
      <w:pPr>
        <w:adjustRightInd w:val="0"/>
        <w:snapToGrid w:val="0"/>
        <w:rPr>
          <w:sz w:val="22"/>
          <w:szCs w:val="22"/>
          <w:lang w:eastAsia="ko-KR"/>
        </w:rPr>
      </w:pPr>
      <w:r w:rsidRPr="00CB6C95">
        <w:rPr>
          <w:sz w:val="22"/>
          <w:szCs w:val="22"/>
          <w:lang w:eastAsia="ko-KR"/>
        </w:rPr>
        <w:t>Assistant manager</w:t>
      </w:r>
    </w:p>
    <w:p w14:paraId="2560E682" w14:textId="77777777" w:rsidR="00167860" w:rsidRPr="00CB6C95" w:rsidRDefault="00167860" w:rsidP="00167860">
      <w:pPr>
        <w:adjustRightInd w:val="0"/>
        <w:snapToGrid w:val="0"/>
        <w:rPr>
          <w:sz w:val="22"/>
          <w:szCs w:val="22"/>
          <w:lang w:eastAsia="ko-KR"/>
        </w:rPr>
      </w:pPr>
      <w:r w:rsidRPr="00CB6C95">
        <w:rPr>
          <w:sz w:val="22"/>
          <w:szCs w:val="22"/>
          <w:lang w:eastAsia="ko-KR"/>
        </w:rPr>
        <w:t>Dongwon Industries Co., Ltd.</w:t>
      </w:r>
    </w:p>
    <w:p w14:paraId="1177DECC" w14:textId="77777777" w:rsidR="00167860" w:rsidRPr="00CB6C95" w:rsidRDefault="00167860" w:rsidP="00167860">
      <w:pPr>
        <w:adjustRightInd w:val="0"/>
        <w:snapToGrid w:val="0"/>
        <w:rPr>
          <w:sz w:val="22"/>
          <w:szCs w:val="22"/>
          <w:lang w:eastAsia="ko-KR"/>
        </w:rPr>
      </w:pPr>
      <w:r w:rsidRPr="00CB6C95">
        <w:rPr>
          <w:sz w:val="22"/>
          <w:szCs w:val="22"/>
          <w:lang w:eastAsia="ko-KR"/>
        </w:rPr>
        <w:t>70, Jungangdae-ro, Jung-gu, Busan, 48941, Rep. of Korea</w:t>
      </w:r>
    </w:p>
    <w:p w14:paraId="3EAAFC38" w14:textId="77777777" w:rsidR="00167860" w:rsidRPr="00CB6C95" w:rsidRDefault="00167860" w:rsidP="00167860">
      <w:pPr>
        <w:adjustRightInd w:val="0"/>
        <w:snapToGrid w:val="0"/>
        <w:rPr>
          <w:sz w:val="22"/>
          <w:szCs w:val="22"/>
          <w:lang w:eastAsia="ko-KR"/>
        </w:rPr>
      </w:pPr>
      <w:r w:rsidRPr="00CB6C95">
        <w:rPr>
          <w:sz w:val="22"/>
          <w:szCs w:val="22"/>
          <w:lang w:eastAsia="ko-KR"/>
        </w:rPr>
        <w:t>82-10-4908-6498</w:t>
      </w:r>
    </w:p>
    <w:p w14:paraId="409ACE74" w14:textId="77777777" w:rsidR="00167860" w:rsidRPr="00CB6C95" w:rsidRDefault="00167860" w:rsidP="00167860">
      <w:pPr>
        <w:adjustRightInd w:val="0"/>
        <w:snapToGrid w:val="0"/>
        <w:rPr>
          <w:sz w:val="22"/>
          <w:szCs w:val="22"/>
          <w:lang w:eastAsia="ko-KR"/>
        </w:rPr>
      </w:pPr>
      <w:r w:rsidRPr="00CB6C95">
        <w:rPr>
          <w:sz w:val="22"/>
          <w:szCs w:val="22"/>
          <w:lang w:eastAsia="ko-KR"/>
        </w:rPr>
        <w:t>lsh6498@dongwon.com</w:t>
      </w:r>
    </w:p>
    <w:p w14:paraId="0DEF1761" w14:textId="77777777" w:rsidR="00167860" w:rsidRPr="00CB6C95" w:rsidRDefault="00167860" w:rsidP="00167860">
      <w:pPr>
        <w:adjustRightInd w:val="0"/>
        <w:snapToGrid w:val="0"/>
        <w:rPr>
          <w:sz w:val="22"/>
          <w:szCs w:val="22"/>
          <w:lang w:eastAsia="ko-KR"/>
        </w:rPr>
      </w:pPr>
    </w:p>
    <w:p w14:paraId="2860928C" w14:textId="77777777" w:rsidR="00167860" w:rsidRPr="00CB6C95" w:rsidRDefault="00167860" w:rsidP="00167860">
      <w:pPr>
        <w:adjustRightInd w:val="0"/>
        <w:snapToGrid w:val="0"/>
        <w:rPr>
          <w:b/>
          <w:sz w:val="22"/>
          <w:szCs w:val="22"/>
          <w:lang w:eastAsia="ko-KR"/>
        </w:rPr>
      </w:pPr>
      <w:r w:rsidRPr="00CB6C95">
        <w:rPr>
          <w:b/>
          <w:sz w:val="22"/>
          <w:szCs w:val="22"/>
          <w:lang w:eastAsia="ko-KR"/>
        </w:rPr>
        <w:t>Nam Hee Kim</w:t>
      </w:r>
    </w:p>
    <w:p w14:paraId="1BE2C214" w14:textId="77777777" w:rsidR="00167860" w:rsidRPr="00CB6C95" w:rsidRDefault="00167860" w:rsidP="00167860">
      <w:pPr>
        <w:adjustRightInd w:val="0"/>
        <w:snapToGrid w:val="0"/>
        <w:rPr>
          <w:sz w:val="22"/>
          <w:szCs w:val="22"/>
          <w:lang w:eastAsia="ko-KR"/>
        </w:rPr>
      </w:pPr>
      <w:r w:rsidRPr="00CB6C95">
        <w:rPr>
          <w:sz w:val="22"/>
          <w:szCs w:val="22"/>
          <w:lang w:eastAsia="ko-KR"/>
        </w:rPr>
        <w:t>Staff</w:t>
      </w:r>
    </w:p>
    <w:p w14:paraId="653C3C1A" w14:textId="77777777" w:rsidR="00167860" w:rsidRPr="00CB6C95" w:rsidRDefault="00167860" w:rsidP="00167860">
      <w:pPr>
        <w:adjustRightInd w:val="0"/>
        <w:snapToGrid w:val="0"/>
        <w:rPr>
          <w:sz w:val="22"/>
          <w:szCs w:val="22"/>
          <w:lang w:eastAsia="ko-KR"/>
        </w:rPr>
      </w:pPr>
      <w:r w:rsidRPr="00CB6C95">
        <w:rPr>
          <w:sz w:val="22"/>
          <w:szCs w:val="22"/>
          <w:lang w:eastAsia="ko-KR"/>
        </w:rPr>
        <w:t>SILLA Co., Ltd.</w:t>
      </w:r>
    </w:p>
    <w:p w14:paraId="52DA8C2F" w14:textId="77777777" w:rsidR="00167860" w:rsidRPr="00CB6C95" w:rsidRDefault="00167860" w:rsidP="00167860">
      <w:pPr>
        <w:adjustRightInd w:val="0"/>
        <w:snapToGrid w:val="0"/>
        <w:rPr>
          <w:sz w:val="22"/>
          <w:szCs w:val="22"/>
          <w:lang w:eastAsia="ko-KR"/>
        </w:rPr>
      </w:pPr>
      <w:r w:rsidRPr="00CB6C95">
        <w:rPr>
          <w:sz w:val="22"/>
          <w:szCs w:val="22"/>
          <w:lang w:eastAsia="ko-KR"/>
        </w:rPr>
        <w:t>362, Baekjegobun-ro, Songpa-gu, Seoul, 19064, Rep. of Korea</w:t>
      </w:r>
    </w:p>
    <w:p w14:paraId="2540BFA4" w14:textId="77777777" w:rsidR="00167860" w:rsidRPr="00CB6C95" w:rsidRDefault="00167860" w:rsidP="00167860">
      <w:pPr>
        <w:adjustRightInd w:val="0"/>
        <w:snapToGrid w:val="0"/>
        <w:rPr>
          <w:sz w:val="22"/>
          <w:szCs w:val="22"/>
          <w:lang w:eastAsia="ko-KR"/>
        </w:rPr>
      </w:pPr>
      <w:r w:rsidRPr="00CB6C95">
        <w:rPr>
          <w:sz w:val="22"/>
          <w:szCs w:val="22"/>
          <w:lang w:eastAsia="ko-KR"/>
        </w:rPr>
        <w:t>nhkim815@gmail.com</w:t>
      </w:r>
    </w:p>
    <w:p w14:paraId="4004C4E1" w14:textId="77777777" w:rsidR="00167860" w:rsidRPr="00CB6C95" w:rsidRDefault="00167860" w:rsidP="00167860">
      <w:pPr>
        <w:adjustRightInd w:val="0"/>
        <w:snapToGrid w:val="0"/>
        <w:rPr>
          <w:sz w:val="22"/>
          <w:szCs w:val="22"/>
          <w:lang w:eastAsia="ko-KR"/>
        </w:rPr>
      </w:pPr>
    </w:p>
    <w:p w14:paraId="1201BE76" w14:textId="77777777" w:rsidR="00167860" w:rsidRPr="00CB6C95" w:rsidRDefault="00167860" w:rsidP="00167860">
      <w:pPr>
        <w:adjustRightInd w:val="0"/>
        <w:snapToGrid w:val="0"/>
        <w:rPr>
          <w:b/>
          <w:sz w:val="22"/>
          <w:szCs w:val="22"/>
          <w:lang w:eastAsia="ko-KR"/>
        </w:rPr>
      </w:pPr>
      <w:r w:rsidRPr="00CB6C95">
        <w:rPr>
          <w:b/>
          <w:sz w:val="22"/>
          <w:szCs w:val="22"/>
          <w:lang w:eastAsia="ko-KR"/>
        </w:rPr>
        <w:t>Gun Hoon Kwak</w:t>
      </w:r>
    </w:p>
    <w:p w14:paraId="67F47CB9" w14:textId="77777777" w:rsidR="00167860" w:rsidRPr="00CB6C95" w:rsidRDefault="00167860" w:rsidP="00167860">
      <w:pPr>
        <w:adjustRightInd w:val="0"/>
        <w:snapToGrid w:val="0"/>
        <w:rPr>
          <w:sz w:val="22"/>
          <w:szCs w:val="22"/>
          <w:lang w:eastAsia="ko-KR"/>
        </w:rPr>
      </w:pPr>
      <w:r w:rsidRPr="00CB6C95">
        <w:rPr>
          <w:sz w:val="22"/>
          <w:szCs w:val="22"/>
          <w:lang w:eastAsia="ko-KR"/>
        </w:rPr>
        <w:t>SILLA Co., Ltd.</w:t>
      </w:r>
    </w:p>
    <w:p w14:paraId="2961A677" w14:textId="77777777" w:rsidR="00167860" w:rsidRPr="00CB6C95" w:rsidRDefault="00167860" w:rsidP="00167860">
      <w:pPr>
        <w:adjustRightInd w:val="0"/>
        <w:snapToGrid w:val="0"/>
        <w:rPr>
          <w:sz w:val="22"/>
          <w:szCs w:val="22"/>
          <w:lang w:eastAsia="ko-KR"/>
        </w:rPr>
      </w:pPr>
      <w:r w:rsidRPr="00CB6C95">
        <w:rPr>
          <w:sz w:val="22"/>
          <w:szCs w:val="22"/>
          <w:lang w:eastAsia="ko-KR"/>
        </w:rPr>
        <w:t>362, Baekjegobun-ro, Songpa-gu, Seoul, 19064, Rep. of Korea</w:t>
      </w:r>
    </w:p>
    <w:p w14:paraId="223BF43B" w14:textId="77777777" w:rsidR="00167860" w:rsidRPr="00CB6C95" w:rsidRDefault="00167860" w:rsidP="00167860">
      <w:pPr>
        <w:adjustRightInd w:val="0"/>
        <w:snapToGrid w:val="0"/>
        <w:rPr>
          <w:sz w:val="22"/>
          <w:szCs w:val="22"/>
          <w:lang w:eastAsia="ko-KR"/>
        </w:rPr>
      </w:pPr>
      <w:r w:rsidRPr="00CB6C95">
        <w:rPr>
          <w:sz w:val="22"/>
          <w:szCs w:val="22"/>
          <w:lang w:eastAsia="ko-KR"/>
        </w:rPr>
        <w:t>ghkwak@sla.co.kr</w:t>
      </w:r>
    </w:p>
    <w:p w14:paraId="71153C78" w14:textId="77777777" w:rsidR="00167860" w:rsidRPr="00CB6C95" w:rsidRDefault="00167860" w:rsidP="00167860">
      <w:pPr>
        <w:adjustRightInd w:val="0"/>
        <w:snapToGrid w:val="0"/>
        <w:rPr>
          <w:sz w:val="22"/>
          <w:szCs w:val="22"/>
          <w:lang w:eastAsia="ko-KR"/>
        </w:rPr>
      </w:pPr>
    </w:p>
    <w:p w14:paraId="56BDBAE8" w14:textId="77777777" w:rsidR="00167860" w:rsidRPr="00CB6C95" w:rsidRDefault="00167860" w:rsidP="00167860">
      <w:pPr>
        <w:adjustRightInd w:val="0"/>
        <w:snapToGrid w:val="0"/>
        <w:rPr>
          <w:b/>
          <w:sz w:val="22"/>
          <w:szCs w:val="22"/>
          <w:lang w:eastAsia="ko-KR"/>
        </w:rPr>
      </w:pPr>
      <w:r w:rsidRPr="00CB6C95">
        <w:rPr>
          <w:b/>
          <w:sz w:val="22"/>
          <w:szCs w:val="22"/>
          <w:lang w:eastAsia="ko-KR"/>
        </w:rPr>
        <w:t>Sandy Park</w:t>
      </w:r>
    </w:p>
    <w:p w14:paraId="47B8451A" w14:textId="77777777" w:rsidR="00167860" w:rsidRPr="00CB6C95" w:rsidRDefault="00167860" w:rsidP="00167860">
      <w:pPr>
        <w:adjustRightInd w:val="0"/>
        <w:snapToGrid w:val="0"/>
        <w:rPr>
          <w:sz w:val="22"/>
          <w:szCs w:val="22"/>
          <w:lang w:eastAsia="ko-KR"/>
        </w:rPr>
      </w:pPr>
      <w:r w:rsidRPr="00CB6C95">
        <w:rPr>
          <w:sz w:val="22"/>
          <w:szCs w:val="22"/>
          <w:lang w:eastAsia="ko-KR"/>
        </w:rPr>
        <w:t>Assistant Manager</w:t>
      </w:r>
    </w:p>
    <w:p w14:paraId="033FC2BA" w14:textId="77777777" w:rsidR="00167860" w:rsidRPr="00CB6C95" w:rsidRDefault="00167860" w:rsidP="00167860">
      <w:pPr>
        <w:adjustRightInd w:val="0"/>
        <w:snapToGrid w:val="0"/>
        <w:rPr>
          <w:sz w:val="22"/>
          <w:szCs w:val="22"/>
          <w:lang w:eastAsia="ko-KR"/>
        </w:rPr>
      </w:pPr>
      <w:r w:rsidRPr="00CB6C95">
        <w:rPr>
          <w:sz w:val="22"/>
          <w:szCs w:val="22"/>
          <w:lang w:eastAsia="ko-KR"/>
        </w:rPr>
        <w:t>Dongwon Industries Co., Ltd.</w:t>
      </w:r>
    </w:p>
    <w:p w14:paraId="401E099A" w14:textId="77777777" w:rsidR="00167860" w:rsidRPr="00CB6C95" w:rsidRDefault="00167860" w:rsidP="00167860">
      <w:pPr>
        <w:adjustRightInd w:val="0"/>
        <w:snapToGrid w:val="0"/>
        <w:rPr>
          <w:sz w:val="22"/>
          <w:szCs w:val="22"/>
          <w:lang w:eastAsia="ko-KR"/>
        </w:rPr>
      </w:pPr>
      <w:r w:rsidRPr="00CB6C95">
        <w:rPr>
          <w:sz w:val="22"/>
          <w:szCs w:val="22"/>
          <w:lang w:eastAsia="ko-KR"/>
        </w:rPr>
        <w:t>68, Mabang-ro, Seocho-gu, Seoul, 06775, Rep. of Korea</w:t>
      </w:r>
    </w:p>
    <w:p w14:paraId="5B631CFB" w14:textId="77777777" w:rsidR="00167860" w:rsidRPr="00CB6C95" w:rsidRDefault="00167860" w:rsidP="00167860">
      <w:pPr>
        <w:adjustRightInd w:val="0"/>
        <w:snapToGrid w:val="0"/>
        <w:rPr>
          <w:sz w:val="22"/>
          <w:szCs w:val="22"/>
          <w:lang w:eastAsia="ko-KR"/>
        </w:rPr>
      </w:pPr>
      <w:r w:rsidRPr="00CB6C95">
        <w:rPr>
          <w:sz w:val="22"/>
          <w:szCs w:val="22"/>
          <w:lang w:eastAsia="ko-KR"/>
        </w:rPr>
        <w:t>82-2-589-3563</w:t>
      </w:r>
    </w:p>
    <w:p w14:paraId="045BB755" w14:textId="77777777" w:rsidR="00167860" w:rsidRPr="00CB6C95" w:rsidRDefault="00167860" w:rsidP="00167860">
      <w:pPr>
        <w:adjustRightInd w:val="0"/>
        <w:snapToGrid w:val="0"/>
        <w:rPr>
          <w:sz w:val="22"/>
          <w:szCs w:val="22"/>
          <w:lang w:eastAsia="ko-KR"/>
        </w:rPr>
      </w:pPr>
      <w:r w:rsidRPr="00CB6C95">
        <w:rPr>
          <w:sz w:val="22"/>
          <w:szCs w:val="22"/>
          <w:lang w:eastAsia="ko-KR"/>
        </w:rPr>
        <w:t>psh0103@dongwon.com</w:t>
      </w:r>
    </w:p>
    <w:p w14:paraId="4D94EBCE" w14:textId="77777777" w:rsidR="00167860" w:rsidRPr="00CB6C95" w:rsidRDefault="00167860" w:rsidP="00167860">
      <w:pPr>
        <w:adjustRightInd w:val="0"/>
        <w:snapToGrid w:val="0"/>
        <w:rPr>
          <w:sz w:val="22"/>
          <w:szCs w:val="22"/>
          <w:lang w:eastAsia="ko-KR"/>
        </w:rPr>
      </w:pPr>
    </w:p>
    <w:p w14:paraId="652712F4" w14:textId="77777777" w:rsidR="00167860" w:rsidRPr="00CB6C95" w:rsidRDefault="00167860" w:rsidP="00167860">
      <w:pPr>
        <w:adjustRightInd w:val="0"/>
        <w:snapToGrid w:val="0"/>
        <w:rPr>
          <w:b/>
          <w:sz w:val="22"/>
          <w:szCs w:val="22"/>
          <w:lang w:eastAsia="ko-KR"/>
        </w:rPr>
      </w:pPr>
      <w:r w:rsidRPr="00CB6C95">
        <w:rPr>
          <w:b/>
          <w:sz w:val="22"/>
          <w:szCs w:val="22"/>
          <w:lang w:eastAsia="ko-KR"/>
        </w:rPr>
        <w:t>Duck Lim Kim</w:t>
      </w:r>
    </w:p>
    <w:p w14:paraId="270F01AB" w14:textId="77777777" w:rsidR="00167860" w:rsidRPr="00CB6C95" w:rsidRDefault="00167860" w:rsidP="00167860">
      <w:pPr>
        <w:adjustRightInd w:val="0"/>
        <w:snapToGrid w:val="0"/>
        <w:rPr>
          <w:sz w:val="22"/>
          <w:szCs w:val="22"/>
          <w:lang w:eastAsia="ko-KR"/>
        </w:rPr>
      </w:pPr>
      <w:r w:rsidRPr="00CB6C95">
        <w:rPr>
          <w:sz w:val="22"/>
          <w:szCs w:val="22"/>
          <w:lang w:eastAsia="ko-KR"/>
        </w:rPr>
        <w:t>Assistant Manager</w:t>
      </w:r>
    </w:p>
    <w:p w14:paraId="05BFCD99" w14:textId="77777777" w:rsidR="00167860" w:rsidRPr="00CB6C95" w:rsidRDefault="00167860" w:rsidP="00167860">
      <w:pPr>
        <w:adjustRightInd w:val="0"/>
        <w:snapToGrid w:val="0"/>
        <w:rPr>
          <w:sz w:val="22"/>
          <w:szCs w:val="22"/>
          <w:lang w:eastAsia="ko-KR"/>
        </w:rPr>
      </w:pPr>
      <w:r w:rsidRPr="00CB6C95">
        <w:rPr>
          <w:sz w:val="22"/>
          <w:szCs w:val="22"/>
          <w:lang w:eastAsia="ko-KR"/>
        </w:rPr>
        <w:t>Sajo Industries Co., Ltd.</w:t>
      </w:r>
    </w:p>
    <w:p w14:paraId="2A3F1D35" w14:textId="77777777" w:rsidR="00167860" w:rsidRPr="00CB6C95" w:rsidRDefault="00167860" w:rsidP="00167860">
      <w:pPr>
        <w:adjustRightInd w:val="0"/>
        <w:snapToGrid w:val="0"/>
        <w:rPr>
          <w:sz w:val="22"/>
          <w:szCs w:val="22"/>
          <w:lang w:eastAsia="ko-KR"/>
        </w:rPr>
      </w:pPr>
      <w:r w:rsidRPr="00CB6C95">
        <w:rPr>
          <w:sz w:val="22"/>
          <w:szCs w:val="22"/>
          <w:lang w:eastAsia="ko-KR"/>
        </w:rPr>
        <w:t>107-39, Tongil-ro, Seodaemun-gu, Seoul, 03740, Rep. of Korea</w:t>
      </w:r>
    </w:p>
    <w:p w14:paraId="52503DB0" w14:textId="77777777" w:rsidR="00167860" w:rsidRPr="00CB6C95" w:rsidRDefault="00167860" w:rsidP="00167860">
      <w:pPr>
        <w:adjustRightInd w:val="0"/>
        <w:snapToGrid w:val="0"/>
        <w:rPr>
          <w:sz w:val="22"/>
          <w:szCs w:val="22"/>
          <w:lang w:eastAsia="ko-KR"/>
        </w:rPr>
      </w:pPr>
      <w:r w:rsidRPr="00CB6C95">
        <w:rPr>
          <w:sz w:val="22"/>
          <w:szCs w:val="22"/>
          <w:lang w:eastAsia="ko-KR"/>
        </w:rPr>
        <w:t>k1855111@naver.com</w:t>
      </w:r>
    </w:p>
    <w:p w14:paraId="6B5B750F" w14:textId="77777777" w:rsidR="00167860" w:rsidRPr="00CB6C95" w:rsidRDefault="00167860" w:rsidP="00167860">
      <w:pPr>
        <w:adjustRightInd w:val="0"/>
        <w:snapToGrid w:val="0"/>
        <w:rPr>
          <w:sz w:val="22"/>
          <w:szCs w:val="22"/>
          <w:lang w:eastAsia="ko-KR"/>
        </w:rPr>
      </w:pPr>
    </w:p>
    <w:p w14:paraId="2EA69E69" w14:textId="77777777" w:rsidR="00167860" w:rsidRPr="00CB6C95" w:rsidRDefault="00167860" w:rsidP="00167860">
      <w:pPr>
        <w:adjustRightInd w:val="0"/>
        <w:snapToGrid w:val="0"/>
        <w:rPr>
          <w:b/>
          <w:sz w:val="22"/>
          <w:szCs w:val="22"/>
          <w:lang w:eastAsia="ko-KR"/>
        </w:rPr>
      </w:pPr>
      <w:r w:rsidRPr="00CB6C95">
        <w:rPr>
          <w:b/>
          <w:sz w:val="22"/>
          <w:szCs w:val="22"/>
          <w:lang w:eastAsia="ko-KR"/>
        </w:rPr>
        <w:t>Jae Hoon (Joseph) Choi</w:t>
      </w:r>
    </w:p>
    <w:p w14:paraId="4917F397"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Manager </w:t>
      </w:r>
    </w:p>
    <w:p w14:paraId="36E8D2B4" w14:textId="77777777" w:rsidR="00167860" w:rsidRPr="00CB6C95" w:rsidRDefault="00167860" w:rsidP="00167860">
      <w:pPr>
        <w:adjustRightInd w:val="0"/>
        <w:snapToGrid w:val="0"/>
        <w:rPr>
          <w:sz w:val="22"/>
          <w:szCs w:val="22"/>
          <w:lang w:eastAsia="ko-KR"/>
        </w:rPr>
      </w:pPr>
      <w:r w:rsidRPr="00CB6C95">
        <w:rPr>
          <w:sz w:val="22"/>
          <w:szCs w:val="22"/>
          <w:lang w:eastAsia="ko-KR"/>
        </w:rPr>
        <w:t>Dongwon Industries Co., Ltd.</w:t>
      </w:r>
    </w:p>
    <w:p w14:paraId="1CE81DFB" w14:textId="77777777" w:rsidR="00167860" w:rsidRPr="00CB6C95" w:rsidRDefault="00167860" w:rsidP="00167860">
      <w:pPr>
        <w:adjustRightInd w:val="0"/>
        <w:snapToGrid w:val="0"/>
        <w:rPr>
          <w:sz w:val="22"/>
          <w:szCs w:val="22"/>
          <w:lang w:eastAsia="ko-KR"/>
        </w:rPr>
      </w:pPr>
      <w:r w:rsidRPr="00CB6C95">
        <w:rPr>
          <w:sz w:val="22"/>
          <w:szCs w:val="22"/>
          <w:lang w:eastAsia="ko-KR"/>
        </w:rPr>
        <w:t>68, Mabang-ro, Seocho-gu, Seoul, 06775, Rep. of Korea</w:t>
      </w:r>
    </w:p>
    <w:p w14:paraId="0FD2F0D1" w14:textId="77777777" w:rsidR="00167860" w:rsidRPr="00CB6C95" w:rsidRDefault="00167860" w:rsidP="00167860">
      <w:pPr>
        <w:adjustRightInd w:val="0"/>
        <w:snapToGrid w:val="0"/>
        <w:rPr>
          <w:sz w:val="22"/>
          <w:szCs w:val="22"/>
          <w:lang w:eastAsia="ko-KR"/>
        </w:rPr>
      </w:pPr>
      <w:r w:rsidRPr="00CB6C95">
        <w:rPr>
          <w:sz w:val="22"/>
          <w:szCs w:val="22"/>
          <w:lang w:eastAsia="ko-KR"/>
        </w:rPr>
        <w:t>82-2-589-3108</w:t>
      </w:r>
    </w:p>
    <w:p w14:paraId="2A6D321B" w14:textId="77777777" w:rsidR="00167860" w:rsidRPr="00CB6C95" w:rsidRDefault="00167860" w:rsidP="00167860">
      <w:pPr>
        <w:adjustRightInd w:val="0"/>
        <w:snapToGrid w:val="0"/>
        <w:rPr>
          <w:sz w:val="22"/>
          <w:szCs w:val="22"/>
          <w:lang w:eastAsia="ko-KR"/>
        </w:rPr>
      </w:pPr>
      <w:r w:rsidRPr="00CB6C95">
        <w:rPr>
          <w:sz w:val="22"/>
          <w:szCs w:val="22"/>
          <w:lang w:eastAsia="ko-KR"/>
        </w:rPr>
        <w:t>joseph.choi@dongwon.com</w:t>
      </w:r>
    </w:p>
    <w:p w14:paraId="3A2807C8" w14:textId="77777777" w:rsidR="00167860" w:rsidRPr="00CB6C95" w:rsidRDefault="00167860" w:rsidP="00167860">
      <w:pPr>
        <w:adjustRightInd w:val="0"/>
        <w:snapToGrid w:val="0"/>
        <w:rPr>
          <w:sz w:val="22"/>
          <w:szCs w:val="22"/>
          <w:lang w:eastAsia="ko-KR"/>
        </w:rPr>
      </w:pPr>
    </w:p>
    <w:p w14:paraId="2CBF528F" w14:textId="77777777" w:rsidR="00167860" w:rsidRPr="00CB6C95" w:rsidRDefault="00167860" w:rsidP="00167860">
      <w:pPr>
        <w:adjustRightInd w:val="0"/>
        <w:snapToGrid w:val="0"/>
        <w:rPr>
          <w:b/>
          <w:sz w:val="22"/>
          <w:szCs w:val="22"/>
          <w:lang w:eastAsia="ko-KR"/>
        </w:rPr>
      </w:pPr>
      <w:r w:rsidRPr="00CB6C95">
        <w:rPr>
          <w:b/>
          <w:sz w:val="22"/>
          <w:szCs w:val="22"/>
          <w:lang w:eastAsia="ko-KR"/>
        </w:rPr>
        <w:t>Jae Hua (Jay) Lee</w:t>
      </w:r>
    </w:p>
    <w:p w14:paraId="42CEF5B1" w14:textId="77777777" w:rsidR="00167860" w:rsidRPr="00CB6C95" w:rsidRDefault="00167860" w:rsidP="00167860">
      <w:pPr>
        <w:adjustRightInd w:val="0"/>
        <w:snapToGrid w:val="0"/>
        <w:rPr>
          <w:sz w:val="22"/>
          <w:szCs w:val="22"/>
          <w:lang w:eastAsia="ko-KR"/>
        </w:rPr>
      </w:pPr>
      <w:r w:rsidRPr="00CB6C95">
        <w:rPr>
          <w:sz w:val="22"/>
          <w:szCs w:val="22"/>
          <w:lang w:eastAsia="ko-KR"/>
        </w:rPr>
        <w:t>Assistant Manager</w:t>
      </w:r>
    </w:p>
    <w:p w14:paraId="18B4548E" w14:textId="77777777" w:rsidR="00167860" w:rsidRPr="00CB6C95" w:rsidRDefault="00167860" w:rsidP="00167860">
      <w:pPr>
        <w:adjustRightInd w:val="0"/>
        <w:snapToGrid w:val="0"/>
        <w:rPr>
          <w:sz w:val="22"/>
          <w:szCs w:val="22"/>
          <w:lang w:eastAsia="ko-KR"/>
        </w:rPr>
      </w:pPr>
      <w:r w:rsidRPr="00CB6C95">
        <w:rPr>
          <w:sz w:val="22"/>
          <w:szCs w:val="22"/>
          <w:lang w:eastAsia="ko-KR"/>
        </w:rPr>
        <w:t>Dongwon Industries Co., Ltd.</w:t>
      </w:r>
    </w:p>
    <w:p w14:paraId="591C897A" w14:textId="77777777" w:rsidR="00167860" w:rsidRPr="00CB6C95" w:rsidRDefault="00167860" w:rsidP="00167860">
      <w:pPr>
        <w:adjustRightInd w:val="0"/>
        <w:snapToGrid w:val="0"/>
        <w:rPr>
          <w:sz w:val="22"/>
          <w:szCs w:val="22"/>
          <w:lang w:eastAsia="ko-KR"/>
        </w:rPr>
      </w:pPr>
      <w:r w:rsidRPr="00CB6C95">
        <w:rPr>
          <w:sz w:val="22"/>
          <w:szCs w:val="22"/>
          <w:lang w:eastAsia="ko-KR"/>
        </w:rPr>
        <w:t>68, Mabang-ro, Seocho-gu, Seoul, 06775, Rep. of Korea</w:t>
      </w:r>
    </w:p>
    <w:p w14:paraId="36D2E882" w14:textId="77777777" w:rsidR="00167860" w:rsidRPr="00CB6C95" w:rsidRDefault="00167860" w:rsidP="00167860">
      <w:pPr>
        <w:adjustRightInd w:val="0"/>
        <w:snapToGrid w:val="0"/>
        <w:rPr>
          <w:sz w:val="22"/>
          <w:szCs w:val="22"/>
          <w:lang w:eastAsia="ko-KR"/>
        </w:rPr>
      </w:pPr>
      <w:r w:rsidRPr="00CB6C95">
        <w:rPr>
          <w:sz w:val="22"/>
          <w:szCs w:val="22"/>
          <w:lang w:eastAsia="ko-KR"/>
        </w:rPr>
        <w:t>82-2-589-3562</w:t>
      </w:r>
    </w:p>
    <w:p w14:paraId="542E9F3D" w14:textId="77777777" w:rsidR="00167860" w:rsidRPr="00CB6C95" w:rsidRDefault="00167860" w:rsidP="00167860">
      <w:pPr>
        <w:adjustRightInd w:val="0"/>
        <w:snapToGrid w:val="0"/>
        <w:rPr>
          <w:sz w:val="22"/>
          <w:szCs w:val="22"/>
          <w:lang w:eastAsia="ko-KR"/>
        </w:rPr>
      </w:pPr>
      <w:r w:rsidRPr="00CB6C95">
        <w:rPr>
          <w:sz w:val="22"/>
          <w:szCs w:val="22"/>
          <w:lang w:eastAsia="ko-KR"/>
        </w:rPr>
        <w:t>jhlee33@dongwon.com</w:t>
      </w:r>
    </w:p>
    <w:p w14:paraId="1B9FC31A" w14:textId="77777777" w:rsidR="00167860" w:rsidRPr="00CB6C95" w:rsidRDefault="00167860" w:rsidP="00167860">
      <w:pPr>
        <w:adjustRightInd w:val="0"/>
        <w:snapToGrid w:val="0"/>
        <w:rPr>
          <w:sz w:val="22"/>
          <w:szCs w:val="22"/>
          <w:lang w:eastAsia="ko-KR"/>
        </w:rPr>
      </w:pPr>
    </w:p>
    <w:p w14:paraId="5B0C6B0D" w14:textId="77777777" w:rsidR="00167860" w:rsidRPr="00CB6C95" w:rsidRDefault="00167860" w:rsidP="00167860">
      <w:pPr>
        <w:adjustRightInd w:val="0"/>
        <w:snapToGrid w:val="0"/>
        <w:rPr>
          <w:b/>
          <w:sz w:val="22"/>
          <w:szCs w:val="22"/>
          <w:lang w:eastAsia="ko-KR"/>
        </w:rPr>
      </w:pPr>
      <w:r w:rsidRPr="00CB6C95">
        <w:rPr>
          <w:b/>
          <w:sz w:val="22"/>
          <w:szCs w:val="22"/>
          <w:lang w:eastAsia="ko-KR"/>
        </w:rPr>
        <w:t>Ju Hyeong Lee</w:t>
      </w:r>
    </w:p>
    <w:p w14:paraId="0673AAD1" w14:textId="77777777" w:rsidR="00167860" w:rsidRPr="00CB6C95" w:rsidRDefault="00167860" w:rsidP="00167860">
      <w:pPr>
        <w:adjustRightInd w:val="0"/>
        <w:snapToGrid w:val="0"/>
        <w:rPr>
          <w:sz w:val="22"/>
          <w:szCs w:val="22"/>
          <w:lang w:eastAsia="ko-KR"/>
        </w:rPr>
      </w:pPr>
      <w:r w:rsidRPr="00CB6C95">
        <w:rPr>
          <w:sz w:val="22"/>
          <w:szCs w:val="22"/>
          <w:lang w:eastAsia="ko-KR"/>
        </w:rPr>
        <w:t>Staff</w:t>
      </w:r>
    </w:p>
    <w:p w14:paraId="1E6CC648" w14:textId="77777777" w:rsidR="00167860" w:rsidRPr="00CB6C95" w:rsidRDefault="00167860" w:rsidP="00167860">
      <w:pPr>
        <w:adjustRightInd w:val="0"/>
        <w:snapToGrid w:val="0"/>
        <w:rPr>
          <w:sz w:val="22"/>
          <w:szCs w:val="22"/>
          <w:lang w:eastAsia="ko-KR"/>
        </w:rPr>
      </w:pPr>
      <w:r w:rsidRPr="00CB6C95">
        <w:rPr>
          <w:sz w:val="22"/>
          <w:szCs w:val="22"/>
          <w:lang w:eastAsia="ko-KR"/>
        </w:rPr>
        <w:t>Korea Overseas Fisheries Association</w:t>
      </w:r>
    </w:p>
    <w:p w14:paraId="4DFF6E07" w14:textId="77777777" w:rsidR="00167860" w:rsidRPr="00CB6C95" w:rsidRDefault="00167860" w:rsidP="00167860">
      <w:pPr>
        <w:adjustRightInd w:val="0"/>
        <w:snapToGrid w:val="0"/>
        <w:rPr>
          <w:sz w:val="22"/>
          <w:szCs w:val="22"/>
          <w:lang w:eastAsia="ko-KR"/>
        </w:rPr>
      </w:pPr>
      <w:r w:rsidRPr="00CB6C95">
        <w:rPr>
          <w:sz w:val="22"/>
          <w:szCs w:val="22"/>
          <w:lang w:eastAsia="ko-KR"/>
        </w:rPr>
        <w:t>83, Nonhyeon-ro, Seocho-gu, Seoul, 06775, Rep. of Korea</w:t>
      </w:r>
    </w:p>
    <w:p w14:paraId="5B2CF362" w14:textId="77777777" w:rsidR="00167860" w:rsidRPr="00CB6C95" w:rsidRDefault="00167860" w:rsidP="00167860">
      <w:pPr>
        <w:adjustRightInd w:val="0"/>
        <w:snapToGrid w:val="0"/>
        <w:rPr>
          <w:sz w:val="22"/>
          <w:szCs w:val="22"/>
          <w:lang w:eastAsia="ko-KR"/>
        </w:rPr>
      </w:pPr>
      <w:r w:rsidRPr="00CB6C95">
        <w:rPr>
          <w:sz w:val="22"/>
          <w:szCs w:val="22"/>
          <w:lang w:eastAsia="ko-KR"/>
        </w:rPr>
        <w:t>82-10-7231-4757</w:t>
      </w:r>
    </w:p>
    <w:p w14:paraId="6681E591" w14:textId="77777777" w:rsidR="00167860" w:rsidRPr="00CB6C95" w:rsidRDefault="00167860" w:rsidP="00167860">
      <w:pPr>
        <w:adjustRightInd w:val="0"/>
        <w:snapToGrid w:val="0"/>
        <w:rPr>
          <w:sz w:val="22"/>
          <w:szCs w:val="22"/>
          <w:lang w:eastAsia="ko-KR"/>
        </w:rPr>
      </w:pPr>
      <w:r w:rsidRPr="00CB6C95">
        <w:rPr>
          <w:sz w:val="22"/>
          <w:szCs w:val="22"/>
          <w:lang w:eastAsia="ko-KR"/>
        </w:rPr>
        <w:t>jhlee@kosfa.org</w:t>
      </w:r>
    </w:p>
    <w:p w14:paraId="2050EC41" w14:textId="77777777" w:rsidR="00167860" w:rsidRPr="00CB6C95" w:rsidRDefault="00167860" w:rsidP="00167860">
      <w:pPr>
        <w:adjustRightInd w:val="0"/>
        <w:snapToGrid w:val="0"/>
        <w:rPr>
          <w:sz w:val="22"/>
          <w:szCs w:val="22"/>
          <w:lang w:eastAsia="ko-KR"/>
        </w:rPr>
      </w:pPr>
    </w:p>
    <w:p w14:paraId="5B8447C3" w14:textId="77777777" w:rsidR="00167860" w:rsidRPr="00CB6C95" w:rsidRDefault="00167860" w:rsidP="00167860">
      <w:pPr>
        <w:adjustRightInd w:val="0"/>
        <w:snapToGrid w:val="0"/>
        <w:rPr>
          <w:b/>
          <w:sz w:val="22"/>
          <w:szCs w:val="22"/>
          <w:lang w:eastAsia="ko-KR"/>
        </w:rPr>
      </w:pPr>
      <w:r w:rsidRPr="00CB6C95">
        <w:rPr>
          <w:b/>
          <w:sz w:val="22"/>
          <w:szCs w:val="22"/>
          <w:lang w:eastAsia="ko-KR"/>
        </w:rPr>
        <w:t>Paul Park</w:t>
      </w:r>
    </w:p>
    <w:p w14:paraId="7CC1EEFC" w14:textId="77777777" w:rsidR="00167860" w:rsidRPr="00CB6C95" w:rsidRDefault="00167860" w:rsidP="00167860">
      <w:pPr>
        <w:adjustRightInd w:val="0"/>
        <w:snapToGrid w:val="0"/>
        <w:rPr>
          <w:sz w:val="22"/>
          <w:szCs w:val="22"/>
          <w:lang w:eastAsia="ko-KR"/>
        </w:rPr>
      </w:pPr>
      <w:r w:rsidRPr="00CB6C95">
        <w:rPr>
          <w:sz w:val="22"/>
          <w:szCs w:val="22"/>
          <w:lang w:eastAsia="ko-KR"/>
        </w:rPr>
        <w:t>Staff</w:t>
      </w:r>
    </w:p>
    <w:p w14:paraId="36FA3002" w14:textId="77777777" w:rsidR="00167860" w:rsidRPr="00CB6C95" w:rsidRDefault="00167860" w:rsidP="00167860">
      <w:pPr>
        <w:adjustRightInd w:val="0"/>
        <w:snapToGrid w:val="0"/>
        <w:rPr>
          <w:sz w:val="22"/>
          <w:szCs w:val="22"/>
          <w:lang w:eastAsia="ko-KR"/>
        </w:rPr>
      </w:pPr>
      <w:r w:rsidRPr="00CB6C95">
        <w:rPr>
          <w:sz w:val="22"/>
          <w:szCs w:val="22"/>
          <w:lang w:eastAsia="ko-KR"/>
        </w:rPr>
        <w:t>Hansung Enterprise Co. Ltd.</w:t>
      </w:r>
    </w:p>
    <w:p w14:paraId="37109D4F" w14:textId="77777777" w:rsidR="00167860" w:rsidRPr="00CB6C95" w:rsidRDefault="00167860" w:rsidP="00167860">
      <w:pPr>
        <w:adjustRightInd w:val="0"/>
        <w:snapToGrid w:val="0"/>
        <w:rPr>
          <w:sz w:val="22"/>
          <w:szCs w:val="22"/>
          <w:lang w:eastAsia="ko-KR"/>
        </w:rPr>
      </w:pPr>
      <w:r w:rsidRPr="00CB6C95">
        <w:rPr>
          <w:sz w:val="22"/>
          <w:szCs w:val="22"/>
          <w:lang w:eastAsia="ko-KR"/>
        </w:rPr>
        <w:t>63, Taejongro, Yeongdo-gu, Busan, 49037, Rep. of Korea</w:t>
      </w:r>
    </w:p>
    <w:p w14:paraId="136FBEB6" w14:textId="77777777" w:rsidR="00167860" w:rsidRPr="00CB6C95" w:rsidRDefault="00167860" w:rsidP="00167860">
      <w:pPr>
        <w:adjustRightInd w:val="0"/>
        <w:snapToGrid w:val="0"/>
        <w:rPr>
          <w:sz w:val="22"/>
          <w:szCs w:val="22"/>
          <w:lang w:eastAsia="ko-KR"/>
        </w:rPr>
      </w:pPr>
      <w:r w:rsidRPr="00CB6C95">
        <w:rPr>
          <w:sz w:val="22"/>
          <w:szCs w:val="22"/>
          <w:lang w:eastAsia="ko-KR"/>
        </w:rPr>
        <w:t>paul.park@hsep.com</w:t>
      </w:r>
    </w:p>
    <w:p w14:paraId="40F40BE2" w14:textId="77777777" w:rsidR="00167860" w:rsidRPr="00CB6C95" w:rsidRDefault="00167860" w:rsidP="00167860">
      <w:pPr>
        <w:adjustRightInd w:val="0"/>
        <w:snapToGrid w:val="0"/>
        <w:rPr>
          <w:sz w:val="22"/>
          <w:szCs w:val="22"/>
          <w:lang w:eastAsia="ko-KR"/>
        </w:rPr>
      </w:pPr>
    </w:p>
    <w:p w14:paraId="6D78A6AE" w14:textId="77777777" w:rsidR="00167860" w:rsidRPr="00CB6C95" w:rsidRDefault="00167860" w:rsidP="00167860">
      <w:pPr>
        <w:adjustRightInd w:val="0"/>
        <w:snapToGrid w:val="0"/>
        <w:rPr>
          <w:b/>
          <w:sz w:val="22"/>
          <w:szCs w:val="22"/>
          <w:lang w:eastAsia="ko-KR"/>
        </w:rPr>
      </w:pPr>
      <w:r w:rsidRPr="00CB6C95">
        <w:rPr>
          <w:b/>
          <w:sz w:val="22"/>
          <w:szCs w:val="22"/>
          <w:lang w:eastAsia="ko-KR"/>
        </w:rPr>
        <w:t>Mitch Ma</w:t>
      </w:r>
    </w:p>
    <w:p w14:paraId="489F4949" w14:textId="77777777" w:rsidR="00167860" w:rsidRPr="00CB6C95" w:rsidRDefault="00167860" w:rsidP="00167860">
      <w:pPr>
        <w:adjustRightInd w:val="0"/>
        <w:snapToGrid w:val="0"/>
        <w:rPr>
          <w:sz w:val="22"/>
          <w:szCs w:val="22"/>
          <w:lang w:eastAsia="ko-KR"/>
        </w:rPr>
      </w:pPr>
      <w:r w:rsidRPr="00CB6C95">
        <w:rPr>
          <w:sz w:val="22"/>
          <w:szCs w:val="22"/>
          <w:lang w:eastAsia="ko-KR"/>
        </w:rPr>
        <w:t>Staff</w:t>
      </w:r>
    </w:p>
    <w:p w14:paraId="21CB5AE6" w14:textId="77777777" w:rsidR="00167860" w:rsidRPr="00CB6C95" w:rsidRDefault="00167860" w:rsidP="00167860">
      <w:pPr>
        <w:adjustRightInd w:val="0"/>
        <w:snapToGrid w:val="0"/>
        <w:rPr>
          <w:sz w:val="22"/>
          <w:szCs w:val="22"/>
          <w:lang w:eastAsia="ko-KR"/>
        </w:rPr>
      </w:pPr>
      <w:r w:rsidRPr="00CB6C95">
        <w:rPr>
          <w:sz w:val="22"/>
          <w:szCs w:val="22"/>
          <w:lang w:eastAsia="ko-KR"/>
        </w:rPr>
        <w:t>SILLA Co., Ltd.</w:t>
      </w:r>
    </w:p>
    <w:p w14:paraId="116AFA2E" w14:textId="77777777" w:rsidR="00167860" w:rsidRPr="00CB6C95" w:rsidRDefault="00167860" w:rsidP="00167860">
      <w:pPr>
        <w:adjustRightInd w:val="0"/>
        <w:snapToGrid w:val="0"/>
        <w:rPr>
          <w:sz w:val="22"/>
          <w:szCs w:val="22"/>
          <w:lang w:eastAsia="ko-KR"/>
        </w:rPr>
      </w:pPr>
      <w:r w:rsidRPr="00CB6C95">
        <w:rPr>
          <w:sz w:val="22"/>
          <w:szCs w:val="22"/>
          <w:lang w:eastAsia="ko-KR"/>
        </w:rPr>
        <w:t>362, Baekjegobun-ro, Songpa-gu, Seoul, 19064, Rep. of Korea</w:t>
      </w:r>
    </w:p>
    <w:p w14:paraId="500C7B45" w14:textId="77777777" w:rsidR="00167860" w:rsidRPr="00CB6C95" w:rsidRDefault="00167860" w:rsidP="00167860">
      <w:pPr>
        <w:adjustRightInd w:val="0"/>
        <w:snapToGrid w:val="0"/>
        <w:rPr>
          <w:sz w:val="22"/>
          <w:szCs w:val="22"/>
          <w:lang w:eastAsia="ko-KR"/>
        </w:rPr>
      </w:pPr>
      <w:r w:rsidRPr="00CB6C95">
        <w:rPr>
          <w:sz w:val="22"/>
          <w:szCs w:val="22"/>
          <w:lang w:eastAsia="ko-KR"/>
        </w:rPr>
        <w:t>hjma@sla.co.kr</w:t>
      </w:r>
    </w:p>
    <w:p w14:paraId="09E1E7A0" w14:textId="77777777" w:rsidR="00167860" w:rsidRPr="00CB6C95" w:rsidRDefault="00167860" w:rsidP="00167860">
      <w:pPr>
        <w:adjustRightInd w:val="0"/>
        <w:snapToGrid w:val="0"/>
        <w:rPr>
          <w:sz w:val="22"/>
          <w:szCs w:val="22"/>
          <w:lang w:eastAsia="ko-KR"/>
        </w:rPr>
      </w:pPr>
    </w:p>
    <w:p w14:paraId="3A7FABA2" w14:textId="77777777" w:rsidR="00167860" w:rsidRPr="00CB6C95" w:rsidRDefault="00167860" w:rsidP="00167860">
      <w:pPr>
        <w:adjustRightInd w:val="0"/>
        <w:snapToGrid w:val="0"/>
        <w:rPr>
          <w:b/>
          <w:sz w:val="22"/>
          <w:szCs w:val="22"/>
          <w:lang w:eastAsia="ko-KR"/>
        </w:rPr>
      </w:pPr>
      <w:r w:rsidRPr="00CB6C95">
        <w:rPr>
          <w:b/>
          <w:sz w:val="22"/>
          <w:szCs w:val="22"/>
          <w:lang w:eastAsia="ko-KR"/>
        </w:rPr>
        <w:t>Bong Jun Choi</w:t>
      </w:r>
    </w:p>
    <w:p w14:paraId="4EE83CC5" w14:textId="77777777" w:rsidR="00167860" w:rsidRPr="00CB6C95" w:rsidRDefault="00167860" w:rsidP="00167860">
      <w:pPr>
        <w:adjustRightInd w:val="0"/>
        <w:snapToGrid w:val="0"/>
        <w:rPr>
          <w:sz w:val="22"/>
          <w:szCs w:val="22"/>
          <w:lang w:eastAsia="ko-KR"/>
        </w:rPr>
      </w:pPr>
      <w:r w:rsidRPr="00CB6C95">
        <w:rPr>
          <w:sz w:val="22"/>
          <w:szCs w:val="22"/>
          <w:lang w:eastAsia="ko-KR"/>
        </w:rPr>
        <w:t>Assistant Manager</w:t>
      </w:r>
    </w:p>
    <w:p w14:paraId="3E702004" w14:textId="77777777" w:rsidR="00167860" w:rsidRPr="00CB6C95" w:rsidRDefault="00167860" w:rsidP="00167860">
      <w:pPr>
        <w:adjustRightInd w:val="0"/>
        <w:snapToGrid w:val="0"/>
        <w:rPr>
          <w:sz w:val="22"/>
          <w:szCs w:val="22"/>
          <w:lang w:eastAsia="ko-KR"/>
        </w:rPr>
      </w:pPr>
      <w:r w:rsidRPr="00CB6C95">
        <w:rPr>
          <w:sz w:val="22"/>
          <w:szCs w:val="22"/>
          <w:lang w:eastAsia="ko-KR"/>
        </w:rPr>
        <w:t>Korea Overseas Fisheries Association</w:t>
      </w:r>
    </w:p>
    <w:p w14:paraId="6E891A1C" w14:textId="77777777" w:rsidR="00167860" w:rsidRPr="00CB6C95" w:rsidRDefault="00167860" w:rsidP="00167860">
      <w:pPr>
        <w:adjustRightInd w:val="0"/>
        <w:snapToGrid w:val="0"/>
        <w:rPr>
          <w:sz w:val="22"/>
          <w:szCs w:val="22"/>
          <w:lang w:eastAsia="ko-KR"/>
        </w:rPr>
      </w:pPr>
      <w:r w:rsidRPr="00CB6C95">
        <w:rPr>
          <w:sz w:val="22"/>
          <w:szCs w:val="22"/>
          <w:lang w:eastAsia="ko-KR"/>
        </w:rPr>
        <w:t>83, Nonhyeon-ro, Seocho-gu, Seoul, 06775, Rep. of Korea</w:t>
      </w:r>
    </w:p>
    <w:p w14:paraId="1CBB8A27" w14:textId="77777777" w:rsidR="00167860" w:rsidRPr="00CB6C95" w:rsidRDefault="00167860" w:rsidP="00167860">
      <w:pPr>
        <w:adjustRightInd w:val="0"/>
        <w:snapToGrid w:val="0"/>
        <w:rPr>
          <w:sz w:val="22"/>
          <w:szCs w:val="22"/>
          <w:lang w:eastAsia="ko-KR"/>
        </w:rPr>
      </w:pPr>
      <w:r w:rsidRPr="00CB6C95">
        <w:rPr>
          <w:sz w:val="22"/>
          <w:szCs w:val="22"/>
          <w:lang w:eastAsia="ko-KR"/>
        </w:rPr>
        <w:t>bj@kosfa.org</w:t>
      </w:r>
    </w:p>
    <w:p w14:paraId="61AFB5E2" w14:textId="77777777" w:rsidR="00167860" w:rsidRPr="00CB6C95" w:rsidRDefault="00167860" w:rsidP="00167860">
      <w:pPr>
        <w:adjustRightInd w:val="0"/>
        <w:snapToGrid w:val="0"/>
        <w:rPr>
          <w:sz w:val="22"/>
          <w:szCs w:val="22"/>
          <w:lang w:eastAsia="ko-KR"/>
        </w:rPr>
      </w:pPr>
    </w:p>
    <w:p w14:paraId="2CE19664" w14:textId="77777777" w:rsidR="00167860" w:rsidRPr="00CB6C95" w:rsidRDefault="00167860" w:rsidP="00167860">
      <w:pPr>
        <w:adjustRightInd w:val="0"/>
        <w:snapToGrid w:val="0"/>
        <w:rPr>
          <w:b/>
          <w:sz w:val="22"/>
          <w:szCs w:val="22"/>
          <w:lang w:eastAsia="ko-KR"/>
        </w:rPr>
      </w:pPr>
      <w:r w:rsidRPr="00CB6C95">
        <w:rPr>
          <w:b/>
          <w:sz w:val="22"/>
          <w:szCs w:val="22"/>
          <w:lang w:eastAsia="ko-KR"/>
        </w:rPr>
        <w:t>Yong Hyun (Kei) Kim</w:t>
      </w:r>
    </w:p>
    <w:p w14:paraId="65533465" w14:textId="77777777" w:rsidR="00167860" w:rsidRPr="00CB6C95" w:rsidRDefault="00167860" w:rsidP="00167860">
      <w:pPr>
        <w:adjustRightInd w:val="0"/>
        <w:snapToGrid w:val="0"/>
        <w:rPr>
          <w:sz w:val="22"/>
          <w:szCs w:val="22"/>
          <w:lang w:eastAsia="ko-KR"/>
        </w:rPr>
      </w:pPr>
      <w:r w:rsidRPr="00CB6C95">
        <w:rPr>
          <w:sz w:val="22"/>
          <w:szCs w:val="22"/>
          <w:lang w:eastAsia="ko-KR"/>
        </w:rPr>
        <w:t>Assistant Manager</w:t>
      </w:r>
    </w:p>
    <w:p w14:paraId="440DFE21" w14:textId="77777777" w:rsidR="00167860" w:rsidRPr="00CB6C95" w:rsidRDefault="00167860" w:rsidP="00167860">
      <w:pPr>
        <w:adjustRightInd w:val="0"/>
        <w:snapToGrid w:val="0"/>
        <w:rPr>
          <w:sz w:val="22"/>
          <w:szCs w:val="22"/>
          <w:lang w:eastAsia="ko-KR"/>
        </w:rPr>
      </w:pPr>
      <w:r w:rsidRPr="00CB6C95">
        <w:rPr>
          <w:sz w:val="22"/>
          <w:szCs w:val="22"/>
          <w:lang w:eastAsia="ko-KR"/>
        </w:rPr>
        <w:t>SILLA Co., Ltd.</w:t>
      </w:r>
    </w:p>
    <w:p w14:paraId="67DAFFFE" w14:textId="77777777" w:rsidR="00167860" w:rsidRPr="00CB6C95" w:rsidRDefault="00167860" w:rsidP="00167860">
      <w:pPr>
        <w:adjustRightInd w:val="0"/>
        <w:snapToGrid w:val="0"/>
        <w:rPr>
          <w:sz w:val="22"/>
          <w:szCs w:val="22"/>
          <w:lang w:eastAsia="ko-KR"/>
        </w:rPr>
      </w:pPr>
      <w:r w:rsidRPr="00CB6C95">
        <w:rPr>
          <w:sz w:val="22"/>
          <w:szCs w:val="22"/>
          <w:lang w:eastAsia="ko-KR"/>
        </w:rPr>
        <w:t>362, Baekjegobun-ro, Songpa-gu, Seoul, 19064, Rep. of Korea</w:t>
      </w:r>
    </w:p>
    <w:p w14:paraId="579BA277" w14:textId="77777777" w:rsidR="00167860" w:rsidRPr="00CB6C95" w:rsidRDefault="00167860" w:rsidP="00167860">
      <w:pPr>
        <w:adjustRightInd w:val="0"/>
        <w:snapToGrid w:val="0"/>
        <w:rPr>
          <w:sz w:val="22"/>
          <w:szCs w:val="22"/>
          <w:lang w:eastAsia="ko-KR"/>
        </w:rPr>
      </w:pPr>
      <w:r w:rsidRPr="00CB6C95">
        <w:rPr>
          <w:sz w:val="22"/>
          <w:szCs w:val="22"/>
          <w:lang w:eastAsia="ko-KR"/>
        </w:rPr>
        <w:t>82-10-9293-9099</w:t>
      </w:r>
    </w:p>
    <w:p w14:paraId="08B49E5A" w14:textId="77777777" w:rsidR="00167860" w:rsidRPr="00CB6C95" w:rsidRDefault="00167860" w:rsidP="00167860">
      <w:pPr>
        <w:adjustRightInd w:val="0"/>
        <w:snapToGrid w:val="0"/>
        <w:rPr>
          <w:sz w:val="22"/>
          <w:szCs w:val="22"/>
          <w:lang w:eastAsia="ko-KR"/>
        </w:rPr>
      </w:pPr>
      <w:r w:rsidRPr="00CB6C95">
        <w:rPr>
          <w:sz w:val="22"/>
          <w:szCs w:val="22"/>
          <w:lang w:eastAsia="ko-KR"/>
        </w:rPr>
        <w:t>yhkim@sla.co.kr</w:t>
      </w:r>
    </w:p>
    <w:p w14:paraId="142BA47C" w14:textId="77777777" w:rsidR="00167860" w:rsidRPr="00CB6C95" w:rsidRDefault="00167860" w:rsidP="00167860">
      <w:pPr>
        <w:adjustRightInd w:val="0"/>
        <w:snapToGrid w:val="0"/>
        <w:rPr>
          <w:sz w:val="22"/>
          <w:szCs w:val="22"/>
          <w:lang w:eastAsia="ko-KR"/>
        </w:rPr>
      </w:pPr>
    </w:p>
    <w:p w14:paraId="6951EEF4" w14:textId="77777777" w:rsidR="00167860" w:rsidRPr="00CB6C95" w:rsidRDefault="00167860" w:rsidP="00167860">
      <w:pPr>
        <w:adjustRightInd w:val="0"/>
        <w:snapToGrid w:val="0"/>
        <w:rPr>
          <w:b/>
          <w:sz w:val="22"/>
          <w:szCs w:val="22"/>
          <w:lang w:eastAsia="ko-KR"/>
        </w:rPr>
      </w:pPr>
      <w:r w:rsidRPr="00CB6C95">
        <w:rPr>
          <w:b/>
          <w:sz w:val="22"/>
          <w:szCs w:val="22"/>
          <w:lang w:eastAsia="ko-KR"/>
        </w:rPr>
        <w:t>Jake Choi</w:t>
      </w:r>
    </w:p>
    <w:p w14:paraId="0748F28B" w14:textId="77777777" w:rsidR="00167860" w:rsidRPr="00CB6C95" w:rsidRDefault="00167860" w:rsidP="00167860">
      <w:pPr>
        <w:adjustRightInd w:val="0"/>
        <w:snapToGrid w:val="0"/>
        <w:rPr>
          <w:sz w:val="22"/>
          <w:szCs w:val="22"/>
          <w:lang w:eastAsia="ko-KR"/>
        </w:rPr>
      </w:pPr>
      <w:r w:rsidRPr="00CB6C95">
        <w:rPr>
          <w:sz w:val="22"/>
          <w:szCs w:val="22"/>
          <w:lang w:eastAsia="ko-KR"/>
        </w:rPr>
        <w:t>Staff</w:t>
      </w:r>
    </w:p>
    <w:p w14:paraId="148D6131" w14:textId="77777777" w:rsidR="00167860" w:rsidRPr="00CB6C95" w:rsidRDefault="00167860" w:rsidP="00167860">
      <w:pPr>
        <w:adjustRightInd w:val="0"/>
        <w:snapToGrid w:val="0"/>
        <w:rPr>
          <w:sz w:val="22"/>
          <w:szCs w:val="22"/>
          <w:lang w:eastAsia="ko-KR"/>
        </w:rPr>
      </w:pPr>
      <w:r w:rsidRPr="00CB6C95">
        <w:rPr>
          <w:sz w:val="22"/>
          <w:szCs w:val="22"/>
          <w:lang w:eastAsia="ko-KR"/>
        </w:rPr>
        <w:t>Hansung Enterprise Co. Ltd.</w:t>
      </w:r>
    </w:p>
    <w:p w14:paraId="0ED64C1A" w14:textId="77777777" w:rsidR="00167860" w:rsidRPr="00CB6C95" w:rsidRDefault="00167860" w:rsidP="00167860">
      <w:pPr>
        <w:adjustRightInd w:val="0"/>
        <w:snapToGrid w:val="0"/>
        <w:rPr>
          <w:sz w:val="22"/>
          <w:szCs w:val="22"/>
          <w:lang w:eastAsia="ko-KR"/>
        </w:rPr>
      </w:pPr>
      <w:r w:rsidRPr="00CB6C95">
        <w:rPr>
          <w:sz w:val="22"/>
          <w:szCs w:val="22"/>
          <w:lang w:eastAsia="ko-KR"/>
        </w:rPr>
        <w:t>63, Taejong-ro, Yeongdo-gu, Busan, 49037, Rep. of Korea</w:t>
      </w:r>
    </w:p>
    <w:p w14:paraId="4E3236DE" w14:textId="77777777" w:rsidR="00167860" w:rsidRPr="00CB6C95" w:rsidRDefault="00167860" w:rsidP="00167860">
      <w:pPr>
        <w:adjustRightInd w:val="0"/>
        <w:snapToGrid w:val="0"/>
        <w:rPr>
          <w:sz w:val="22"/>
          <w:szCs w:val="22"/>
          <w:lang w:eastAsia="ko-KR"/>
        </w:rPr>
      </w:pPr>
      <w:r w:rsidRPr="00CB6C95">
        <w:rPr>
          <w:sz w:val="22"/>
          <w:szCs w:val="22"/>
          <w:lang w:eastAsia="ko-KR"/>
        </w:rPr>
        <w:t>jake.choi@hsep.com</w:t>
      </w:r>
    </w:p>
    <w:p w14:paraId="776FD00A" w14:textId="77777777" w:rsidR="00167860" w:rsidRPr="00CB6C95" w:rsidRDefault="00167860" w:rsidP="00167860">
      <w:pPr>
        <w:adjustRightInd w:val="0"/>
        <w:snapToGrid w:val="0"/>
        <w:rPr>
          <w:sz w:val="22"/>
          <w:szCs w:val="22"/>
          <w:lang w:eastAsia="ko-KR"/>
        </w:rPr>
      </w:pPr>
    </w:p>
    <w:p w14:paraId="178D1755" w14:textId="77777777" w:rsidR="00167860" w:rsidRPr="00CB6C95" w:rsidRDefault="00167860" w:rsidP="00167860">
      <w:pPr>
        <w:adjustRightInd w:val="0"/>
        <w:snapToGrid w:val="0"/>
        <w:rPr>
          <w:b/>
          <w:sz w:val="22"/>
          <w:szCs w:val="22"/>
          <w:lang w:eastAsia="ko-KR"/>
        </w:rPr>
      </w:pPr>
      <w:r w:rsidRPr="00CB6C95">
        <w:rPr>
          <w:b/>
          <w:sz w:val="22"/>
          <w:szCs w:val="22"/>
          <w:lang w:eastAsia="ko-KR"/>
        </w:rPr>
        <w:t>Chan Ho Park</w:t>
      </w:r>
    </w:p>
    <w:p w14:paraId="1AC4C98F" w14:textId="77777777" w:rsidR="00167860" w:rsidRPr="00CB6C95" w:rsidRDefault="00167860" w:rsidP="00167860">
      <w:pPr>
        <w:adjustRightInd w:val="0"/>
        <w:snapToGrid w:val="0"/>
        <w:rPr>
          <w:sz w:val="22"/>
          <w:szCs w:val="22"/>
          <w:lang w:eastAsia="ko-KR"/>
        </w:rPr>
      </w:pPr>
      <w:r w:rsidRPr="00CB6C95">
        <w:rPr>
          <w:sz w:val="22"/>
          <w:szCs w:val="22"/>
          <w:lang w:eastAsia="ko-KR"/>
        </w:rPr>
        <w:t>Manager</w:t>
      </w:r>
    </w:p>
    <w:p w14:paraId="0A7536D6" w14:textId="77777777" w:rsidR="00167860" w:rsidRPr="00CB6C95" w:rsidRDefault="00167860" w:rsidP="00167860">
      <w:pPr>
        <w:adjustRightInd w:val="0"/>
        <w:snapToGrid w:val="0"/>
        <w:rPr>
          <w:sz w:val="22"/>
          <w:szCs w:val="22"/>
          <w:lang w:eastAsia="ko-KR"/>
        </w:rPr>
      </w:pPr>
      <w:r w:rsidRPr="00CB6C95">
        <w:rPr>
          <w:sz w:val="22"/>
          <w:szCs w:val="22"/>
          <w:lang w:eastAsia="ko-KR"/>
        </w:rPr>
        <w:t>Hansung Enterprise Co. Ltd.</w:t>
      </w:r>
    </w:p>
    <w:p w14:paraId="4DC578F2" w14:textId="77777777" w:rsidR="00167860" w:rsidRPr="00CB6C95" w:rsidRDefault="00167860" w:rsidP="00167860">
      <w:pPr>
        <w:adjustRightInd w:val="0"/>
        <w:snapToGrid w:val="0"/>
        <w:rPr>
          <w:sz w:val="22"/>
          <w:szCs w:val="22"/>
          <w:lang w:eastAsia="ko-KR"/>
        </w:rPr>
      </w:pPr>
      <w:r w:rsidRPr="00CB6C95">
        <w:rPr>
          <w:sz w:val="22"/>
          <w:szCs w:val="22"/>
          <w:lang w:eastAsia="ko-KR"/>
        </w:rPr>
        <w:t>63, Taejong-ro, Yeongdo-gu, Busan, 49037, Rep. of Korea</w:t>
      </w:r>
    </w:p>
    <w:p w14:paraId="2BBDC783" w14:textId="77777777" w:rsidR="00167860" w:rsidRPr="00CB6C95" w:rsidRDefault="00167860" w:rsidP="00167860">
      <w:pPr>
        <w:adjustRightInd w:val="0"/>
        <w:snapToGrid w:val="0"/>
        <w:rPr>
          <w:sz w:val="22"/>
          <w:szCs w:val="22"/>
          <w:lang w:eastAsia="ko-KR"/>
        </w:rPr>
      </w:pPr>
      <w:r w:rsidRPr="00CB6C95">
        <w:rPr>
          <w:sz w:val="22"/>
          <w:szCs w:val="22"/>
          <w:lang w:eastAsia="ko-KR"/>
        </w:rPr>
        <w:t>pch30642@hsep.com</w:t>
      </w:r>
    </w:p>
    <w:p w14:paraId="2A9BC023" w14:textId="77777777" w:rsidR="00167860" w:rsidRPr="00CB6C95" w:rsidRDefault="00167860" w:rsidP="00167860">
      <w:pPr>
        <w:adjustRightInd w:val="0"/>
        <w:snapToGrid w:val="0"/>
        <w:rPr>
          <w:sz w:val="22"/>
          <w:szCs w:val="22"/>
          <w:lang w:eastAsia="ko-KR"/>
        </w:rPr>
      </w:pPr>
    </w:p>
    <w:p w14:paraId="3426C67F" w14:textId="77777777" w:rsidR="00167860" w:rsidRPr="00CB6C95" w:rsidRDefault="00167860" w:rsidP="00167860">
      <w:pPr>
        <w:adjustRightInd w:val="0"/>
        <w:snapToGrid w:val="0"/>
        <w:rPr>
          <w:b/>
          <w:sz w:val="22"/>
          <w:szCs w:val="22"/>
          <w:lang w:eastAsia="ko-KR"/>
        </w:rPr>
      </w:pPr>
      <w:r w:rsidRPr="00CB6C95">
        <w:rPr>
          <w:b/>
          <w:sz w:val="22"/>
          <w:szCs w:val="22"/>
          <w:lang w:eastAsia="ko-KR"/>
        </w:rPr>
        <w:t>Jae Un Park</w:t>
      </w:r>
    </w:p>
    <w:p w14:paraId="4E99D06D" w14:textId="77777777" w:rsidR="00167860" w:rsidRPr="00CB6C95" w:rsidRDefault="00167860" w:rsidP="00167860">
      <w:pPr>
        <w:adjustRightInd w:val="0"/>
        <w:snapToGrid w:val="0"/>
        <w:rPr>
          <w:sz w:val="22"/>
          <w:szCs w:val="22"/>
          <w:lang w:eastAsia="ko-KR"/>
        </w:rPr>
      </w:pPr>
      <w:r w:rsidRPr="00CB6C95">
        <w:rPr>
          <w:sz w:val="22"/>
          <w:szCs w:val="22"/>
          <w:lang w:eastAsia="ko-KR"/>
        </w:rPr>
        <w:t>Deputy General Manager</w:t>
      </w:r>
    </w:p>
    <w:p w14:paraId="7DDDBAB6" w14:textId="77777777" w:rsidR="00167860" w:rsidRPr="00CB6C95" w:rsidRDefault="00167860" w:rsidP="00167860">
      <w:pPr>
        <w:adjustRightInd w:val="0"/>
        <w:snapToGrid w:val="0"/>
        <w:rPr>
          <w:sz w:val="22"/>
          <w:szCs w:val="22"/>
          <w:lang w:eastAsia="ko-KR"/>
        </w:rPr>
      </w:pPr>
      <w:r w:rsidRPr="00CB6C95">
        <w:rPr>
          <w:sz w:val="22"/>
          <w:szCs w:val="22"/>
          <w:lang w:eastAsia="ko-KR"/>
        </w:rPr>
        <w:t>Hansung Enterprise Co. Ltd.</w:t>
      </w:r>
    </w:p>
    <w:p w14:paraId="3E50E582" w14:textId="77777777" w:rsidR="00167860" w:rsidRPr="00CB6C95" w:rsidRDefault="00167860" w:rsidP="00167860">
      <w:pPr>
        <w:adjustRightInd w:val="0"/>
        <w:snapToGrid w:val="0"/>
        <w:rPr>
          <w:sz w:val="22"/>
          <w:szCs w:val="22"/>
          <w:lang w:eastAsia="ko-KR"/>
        </w:rPr>
      </w:pPr>
      <w:r w:rsidRPr="00CB6C95">
        <w:rPr>
          <w:sz w:val="22"/>
          <w:szCs w:val="22"/>
          <w:lang w:eastAsia="ko-KR"/>
        </w:rPr>
        <w:t>63, Taejong-ro, Yeongdo-gu, Busan, 49037, Rep. of Korea</w:t>
      </w:r>
    </w:p>
    <w:p w14:paraId="40817CC6" w14:textId="77777777" w:rsidR="00167860" w:rsidRPr="00CB6C95" w:rsidRDefault="00167860" w:rsidP="00167860">
      <w:pPr>
        <w:adjustRightInd w:val="0"/>
        <w:snapToGrid w:val="0"/>
        <w:rPr>
          <w:sz w:val="22"/>
          <w:szCs w:val="22"/>
          <w:lang w:eastAsia="ko-KR"/>
        </w:rPr>
      </w:pPr>
      <w:r w:rsidRPr="00CB6C95">
        <w:rPr>
          <w:sz w:val="22"/>
          <w:szCs w:val="22"/>
          <w:lang w:eastAsia="ko-KR"/>
        </w:rPr>
        <w:t>jupark1024@hsep.com</w:t>
      </w:r>
    </w:p>
    <w:p w14:paraId="429C9BE2" w14:textId="77777777" w:rsidR="00167860" w:rsidRPr="00CB6C95" w:rsidRDefault="00167860" w:rsidP="00167860">
      <w:pPr>
        <w:adjustRightInd w:val="0"/>
        <w:snapToGrid w:val="0"/>
        <w:rPr>
          <w:sz w:val="22"/>
          <w:szCs w:val="22"/>
          <w:lang w:eastAsia="ko-KR"/>
        </w:rPr>
      </w:pPr>
    </w:p>
    <w:p w14:paraId="0D1512C8" w14:textId="77777777" w:rsidR="00167860" w:rsidRPr="00CB6C95" w:rsidRDefault="00167860" w:rsidP="00167860">
      <w:pPr>
        <w:adjustRightInd w:val="0"/>
        <w:snapToGrid w:val="0"/>
        <w:rPr>
          <w:b/>
          <w:sz w:val="22"/>
          <w:szCs w:val="22"/>
          <w:lang w:eastAsia="ko-KR"/>
        </w:rPr>
      </w:pPr>
      <w:r w:rsidRPr="00CB6C95">
        <w:rPr>
          <w:b/>
          <w:sz w:val="22"/>
          <w:szCs w:val="22"/>
          <w:lang w:eastAsia="ko-KR"/>
        </w:rPr>
        <w:t>Kwan Su Chae</w:t>
      </w:r>
    </w:p>
    <w:p w14:paraId="7C7E48C9" w14:textId="77777777" w:rsidR="00167860" w:rsidRPr="00CB6C95" w:rsidRDefault="00167860" w:rsidP="00167860">
      <w:pPr>
        <w:adjustRightInd w:val="0"/>
        <w:snapToGrid w:val="0"/>
        <w:rPr>
          <w:sz w:val="22"/>
          <w:szCs w:val="22"/>
          <w:lang w:eastAsia="ko-KR"/>
        </w:rPr>
      </w:pPr>
      <w:r w:rsidRPr="00CB6C95">
        <w:rPr>
          <w:sz w:val="22"/>
          <w:szCs w:val="22"/>
          <w:lang w:eastAsia="ko-KR"/>
        </w:rPr>
        <w:t>Staff</w:t>
      </w:r>
    </w:p>
    <w:p w14:paraId="13BB47D3" w14:textId="77777777" w:rsidR="00167860" w:rsidRPr="00CB6C95" w:rsidRDefault="00167860" w:rsidP="00167860">
      <w:pPr>
        <w:adjustRightInd w:val="0"/>
        <w:snapToGrid w:val="0"/>
        <w:rPr>
          <w:sz w:val="22"/>
          <w:szCs w:val="22"/>
          <w:lang w:eastAsia="ko-KR"/>
        </w:rPr>
      </w:pPr>
      <w:r w:rsidRPr="00CB6C95">
        <w:rPr>
          <w:sz w:val="22"/>
          <w:szCs w:val="22"/>
          <w:lang w:eastAsia="ko-KR"/>
        </w:rPr>
        <w:t>SILLA Co., Ltd.</w:t>
      </w:r>
    </w:p>
    <w:p w14:paraId="12BF266C" w14:textId="77777777" w:rsidR="00167860" w:rsidRPr="00CB6C95" w:rsidRDefault="00167860" w:rsidP="00167860">
      <w:pPr>
        <w:adjustRightInd w:val="0"/>
        <w:snapToGrid w:val="0"/>
        <w:rPr>
          <w:sz w:val="22"/>
          <w:szCs w:val="22"/>
          <w:lang w:eastAsia="ko-KR"/>
        </w:rPr>
      </w:pPr>
      <w:r w:rsidRPr="00CB6C95">
        <w:rPr>
          <w:sz w:val="22"/>
          <w:szCs w:val="22"/>
          <w:lang w:eastAsia="ko-KR"/>
        </w:rPr>
        <w:t>362, Baekjegobun-ro, Songpa-gu, Seoul, 19064, Rep. of Korea</w:t>
      </w:r>
    </w:p>
    <w:p w14:paraId="4A31BCA0" w14:textId="77777777" w:rsidR="00167860" w:rsidRPr="00CB6C95" w:rsidRDefault="00167860" w:rsidP="00167860">
      <w:pPr>
        <w:adjustRightInd w:val="0"/>
        <w:snapToGrid w:val="0"/>
        <w:rPr>
          <w:sz w:val="22"/>
          <w:szCs w:val="22"/>
          <w:lang w:eastAsia="ko-KR"/>
        </w:rPr>
      </w:pPr>
      <w:r w:rsidRPr="00CB6C95">
        <w:rPr>
          <w:sz w:val="22"/>
          <w:szCs w:val="22"/>
          <w:lang w:eastAsia="ko-KR"/>
        </w:rPr>
        <w:t>kschae@sla.co.kr</w:t>
      </w:r>
    </w:p>
    <w:p w14:paraId="711E1339" w14:textId="77777777" w:rsidR="00167860" w:rsidRPr="00CB6C95" w:rsidRDefault="00167860" w:rsidP="00167860">
      <w:pPr>
        <w:adjustRightInd w:val="0"/>
        <w:snapToGrid w:val="0"/>
        <w:rPr>
          <w:sz w:val="22"/>
          <w:szCs w:val="22"/>
          <w:lang w:eastAsia="ko-KR"/>
        </w:rPr>
      </w:pPr>
    </w:p>
    <w:p w14:paraId="29D46E64" w14:textId="77777777" w:rsidR="00167860" w:rsidRPr="00CB6C95" w:rsidRDefault="00167860" w:rsidP="00167860">
      <w:pPr>
        <w:adjustRightInd w:val="0"/>
        <w:snapToGrid w:val="0"/>
        <w:rPr>
          <w:b/>
          <w:sz w:val="22"/>
          <w:szCs w:val="22"/>
          <w:lang w:eastAsia="ko-KR"/>
        </w:rPr>
      </w:pPr>
      <w:r w:rsidRPr="00CB6C95">
        <w:rPr>
          <w:b/>
          <w:sz w:val="22"/>
          <w:szCs w:val="22"/>
          <w:lang w:eastAsia="ko-KR"/>
        </w:rPr>
        <w:t>Sung Chul Kim</w:t>
      </w:r>
    </w:p>
    <w:p w14:paraId="559BAF65" w14:textId="77777777" w:rsidR="00167860" w:rsidRPr="00CB6C95" w:rsidRDefault="00167860" w:rsidP="00167860">
      <w:pPr>
        <w:adjustRightInd w:val="0"/>
        <w:snapToGrid w:val="0"/>
        <w:rPr>
          <w:sz w:val="22"/>
          <w:szCs w:val="22"/>
          <w:lang w:eastAsia="ko-KR"/>
        </w:rPr>
      </w:pPr>
      <w:r w:rsidRPr="00CB6C95">
        <w:rPr>
          <w:sz w:val="22"/>
          <w:szCs w:val="22"/>
          <w:lang w:eastAsia="ko-KR"/>
        </w:rPr>
        <w:t>Operation Manager</w:t>
      </w:r>
    </w:p>
    <w:p w14:paraId="50A490F4" w14:textId="77777777" w:rsidR="00167860" w:rsidRPr="00CB6C95" w:rsidRDefault="00167860" w:rsidP="00167860">
      <w:pPr>
        <w:adjustRightInd w:val="0"/>
        <w:snapToGrid w:val="0"/>
        <w:rPr>
          <w:sz w:val="22"/>
          <w:szCs w:val="22"/>
          <w:lang w:eastAsia="ko-KR"/>
        </w:rPr>
      </w:pPr>
      <w:r w:rsidRPr="00CB6C95">
        <w:rPr>
          <w:sz w:val="22"/>
          <w:szCs w:val="22"/>
          <w:lang w:eastAsia="ko-KR"/>
        </w:rPr>
        <w:t>SILLA Co., Ltd.</w:t>
      </w:r>
    </w:p>
    <w:p w14:paraId="5459C39F" w14:textId="77777777" w:rsidR="00167860" w:rsidRPr="00CB6C95" w:rsidRDefault="00167860" w:rsidP="00167860">
      <w:pPr>
        <w:adjustRightInd w:val="0"/>
        <w:snapToGrid w:val="0"/>
        <w:rPr>
          <w:sz w:val="22"/>
          <w:szCs w:val="22"/>
          <w:lang w:eastAsia="ko-KR"/>
        </w:rPr>
      </w:pPr>
      <w:r w:rsidRPr="00CB6C95">
        <w:rPr>
          <w:sz w:val="22"/>
          <w:szCs w:val="22"/>
          <w:lang w:eastAsia="ko-KR"/>
        </w:rPr>
        <w:t>362, Baekjegobun-ro, Songpa-gu, Seoul, 19064, Rep. of Korea</w:t>
      </w:r>
    </w:p>
    <w:p w14:paraId="12B28295" w14:textId="77777777" w:rsidR="00167860" w:rsidRPr="00CB6C95" w:rsidRDefault="00167860" w:rsidP="00167860">
      <w:pPr>
        <w:adjustRightInd w:val="0"/>
        <w:snapToGrid w:val="0"/>
        <w:rPr>
          <w:sz w:val="22"/>
          <w:szCs w:val="22"/>
          <w:lang w:eastAsia="ko-KR"/>
        </w:rPr>
      </w:pPr>
      <w:r w:rsidRPr="00CB6C95">
        <w:rPr>
          <w:sz w:val="22"/>
          <w:szCs w:val="22"/>
          <w:lang w:eastAsia="ko-KR"/>
        </w:rPr>
        <w:t>sancho@sla.co.kr</w:t>
      </w:r>
    </w:p>
    <w:p w14:paraId="65483D1B" w14:textId="77777777" w:rsidR="00167860" w:rsidRPr="00CB6C95" w:rsidRDefault="00167860" w:rsidP="00167860">
      <w:pPr>
        <w:adjustRightInd w:val="0"/>
        <w:snapToGrid w:val="0"/>
        <w:rPr>
          <w:sz w:val="22"/>
          <w:szCs w:val="22"/>
          <w:lang w:eastAsia="ko-KR"/>
        </w:rPr>
      </w:pPr>
    </w:p>
    <w:p w14:paraId="1F5D30BE" w14:textId="77777777" w:rsidR="00167860" w:rsidRPr="00CB6C95" w:rsidRDefault="00167860" w:rsidP="00167860">
      <w:pPr>
        <w:adjustRightInd w:val="0"/>
        <w:snapToGrid w:val="0"/>
        <w:rPr>
          <w:b/>
          <w:sz w:val="22"/>
          <w:szCs w:val="22"/>
          <w:lang w:eastAsia="ko-KR"/>
        </w:rPr>
      </w:pPr>
      <w:r w:rsidRPr="00CB6C95">
        <w:rPr>
          <w:b/>
          <w:sz w:val="22"/>
          <w:szCs w:val="22"/>
          <w:lang w:eastAsia="ko-KR"/>
        </w:rPr>
        <w:t>Jong Il (Nick) Jung</w:t>
      </w:r>
    </w:p>
    <w:p w14:paraId="5523AD22" w14:textId="77777777" w:rsidR="00167860" w:rsidRPr="00CB6C95" w:rsidRDefault="00167860" w:rsidP="00167860">
      <w:pPr>
        <w:adjustRightInd w:val="0"/>
        <w:snapToGrid w:val="0"/>
        <w:rPr>
          <w:sz w:val="22"/>
          <w:szCs w:val="22"/>
          <w:lang w:eastAsia="ko-KR"/>
        </w:rPr>
      </w:pPr>
      <w:r w:rsidRPr="00CB6C95">
        <w:rPr>
          <w:sz w:val="22"/>
          <w:szCs w:val="22"/>
          <w:lang w:eastAsia="ko-KR"/>
        </w:rPr>
        <w:t>Assistant manager</w:t>
      </w:r>
    </w:p>
    <w:p w14:paraId="54B5CF76" w14:textId="77777777" w:rsidR="00167860" w:rsidRPr="00CB6C95" w:rsidRDefault="00167860" w:rsidP="00167860">
      <w:pPr>
        <w:adjustRightInd w:val="0"/>
        <w:snapToGrid w:val="0"/>
        <w:rPr>
          <w:sz w:val="22"/>
          <w:szCs w:val="22"/>
          <w:lang w:eastAsia="ko-KR"/>
        </w:rPr>
      </w:pPr>
      <w:r w:rsidRPr="00CB6C95">
        <w:rPr>
          <w:sz w:val="22"/>
          <w:szCs w:val="22"/>
          <w:lang w:eastAsia="ko-KR"/>
        </w:rPr>
        <w:t>Sajo Industries Co., Ltd.</w:t>
      </w:r>
    </w:p>
    <w:p w14:paraId="5DE4C119" w14:textId="77777777" w:rsidR="00167860" w:rsidRPr="00CB6C95" w:rsidRDefault="00167860" w:rsidP="00167860">
      <w:pPr>
        <w:adjustRightInd w:val="0"/>
        <w:snapToGrid w:val="0"/>
        <w:rPr>
          <w:sz w:val="22"/>
          <w:szCs w:val="22"/>
          <w:lang w:eastAsia="ko-KR"/>
        </w:rPr>
      </w:pPr>
      <w:r w:rsidRPr="00CB6C95">
        <w:rPr>
          <w:sz w:val="22"/>
          <w:szCs w:val="22"/>
          <w:lang w:eastAsia="ko-KR"/>
        </w:rPr>
        <w:t>107-39, Tongil-ro, Seodaemun-gu, Seoul, 03740, Rep. of Korea</w:t>
      </w:r>
    </w:p>
    <w:p w14:paraId="2BD0D71E" w14:textId="77777777" w:rsidR="00167860" w:rsidRPr="00CB6C95" w:rsidRDefault="00167860" w:rsidP="00167860">
      <w:pPr>
        <w:adjustRightInd w:val="0"/>
        <w:snapToGrid w:val="0"/>
        <w:rPr>
          <w:sz w:val="22"/>
          <w:szCs w:val="22"/>
          <w:lang w:eastAsia="ko-KR"/>
        </w:rPr>
      </w:pPr>
      <w:r w:rsidRPr="00CB6C95">
        <w:rPr>
          <w:sz w:val="22"/>
          <w:szCs w:val="22"/>
          <w:lang w:eastAsia="ko-KR"/>
        </w:rPr>
        <w:t>nick@sajo.co.kr</w:t>
      </w:r>
    </w:p>
    <w:p w14:paraId="05D9571E" w14:textId="77777777" w:rsidR="00167860" w:rsidRPr="00CB6C95" w:rsidRDefault="00167860" w:rsidP="00167860">
      <w:pPr>
        <w:adjustRightInd w:val="0"/>
        <w:snapToGrid w:val="0"/>
        <w:rPr>
          <w:b/>
          <w:sz w:val="22"/>
          <w:szCs w:val="22"/>
          <w:lang w:eastAsia="ko-KR"/>
        </w:rPr>
      </w:pPr>
      <w:r w:rsidRPr="00CB6C95">
        <w:rPr>
          <w:b/>
          <w:sz w:val="22"/>
          <w:szCs w:val="22"/>
          <w:lang w:eastAsia="ko-KR"/>
        </w:rPr>
        <w:t xml:space="preserve">Jong Hyun Choi </w:t>
      </w:r>
    </w:p>
    <w:p w14:paraId="7DEFDCBB" w14:textId="77777777" w:rsidR="00167860" w:rsidRPr="00CB6C95" w:rsidRDefault="00167860" w:rsidP="00167860">
      <w:pPr>
        <w:adjustRightInd w:val="0"/>
        <w:snapToGrid w:val="0"/>
        <w:rPr>
          <w:sz w:val="22"/>
          <w:szCs w:val="22"/>
          <w:lang w:eastAsia="ko-KR"/>
        </w:rPr>
      </w:pPr>
      <w:r w:rsidRPr="00CB6C95">
        <w:rPr>
          <w:sz w:val="22"/>
          <w:szCs w:val="22"/>
          <w:lang w:eastAsia="ko-KR"/>
        </w:rPr>
        <w:t>Senior Staff</w:t>
      </w:r>
    </w:p>
    <w:p w14:paraId="75F3F308" w14:textId="77777777" w:rsidR="00167860" w:rsidRPr="00CB6C95" w:rsidRDefault="00167860" w:rsidP="00167860">
      <w:pPr>
        <w:adjustRightInd w:val="0"/>
        <w:snapToGrid w:val="0"/>
        <w:rPr>
          <w:sz w:val="22"/>
          <w:szCs w:val="22"/>
          <w:lang w:eastAsia="ko-KR"/>
        </w:rPr>
      </w:pPr>
      <w:r w:rsidRPr="00CB6C95">
        <w:rPr>
          <w:sz w:val="22"/>
          <w:szCs w:val="22"/>
          <w:lang w:eastAsia="ko-KR"/>
        </w:rPr>
        <w:t>Sajo Industries Co., Ltd.</w:t>
      </w:r>
    </w:p>
    <w:p w14:paraId="2ABF78E9" w14:textId="77777777" w:rsidR="00167860" w:rsidRPr="00CB6C95" w:rsidRDefault="00167860" w:rsidP="00167860">
      <w:pPr>
        <w:adjustRightInd w:val="0"/>
        <w:snapToGrid w:val="0"/>
        <w:rPr>
          <w:sz w:val="22"/>
          <w:szCs w:val="22"/>
          <w:lang w:eastAsia="ko-KR"/>
        </w:rPr>
      </w:pPr>
      <w:r w:rsidRPr="00CB6C95">
        <w:rPr>
          <w:sz w:val="22"/>
          <w:szCs w:val="22"/>
          <w:lang w:eastAsia="ko-KR"/>
        </w:rPr>
        <w:t>107-39, Tongil-ro, Seodaemun-gu, Seoul, 03740, Rep. of Korea</w:t>
      </w:r>
    </w:p>
    <w:p w14:paraId="0E8E57FE" w14:textId="77777777" w:rsidR="00167860" w:rsidRPr="00CB6C95" w:rsidRDefault="00167860" w:rsidP="00167860">
      <w:pPr>
        <w:adjustRightInd w:val="0"/>
        <w:snapToGrid w:val="0"/>
        <w:rPr>
          <w:sz w:val="22"/>
          <w:szCs w:val="22"/>
          <w:lang w:eastAsia="ko-KR"/>
        </w:rPr>
      </w:pPr>
      <w:r w:rsidRPr="00CB6C95">
        <w:rPr>
          <w:sz w:val="22"/>
          <w:szCs w:val="22"/>
          <w:lang w:eastAsia="ko-KR"/>
        </w:rPr>
        <w:t>82-2-3277-1665</w:t>
      </w:r>
    </w:p>
    <w:p w14:paraId="05D25A7B" w14:textId="77777777" w:rsidR="00167860" w:rsidRPr="00CB6C95" w:rsidRDefault="00167860" w:rsidP="00167860">
      <w:pPr>
        <w:adjustRightInd w:val="0"/>
        <w:snapToGrid w:val="0"/>
        <w:rPr>
          <w:sz w:val="22"/>
          <w:szCs w:val="22"/>
          <w:lang w:eastAsia="ko-KR"/>
        </w:rPr>
      </w:pPr>
      <w:r w:rsidRPr="00CB6C95">
        <w:rPr>
          <w:sz w:val="22"/>
          <w:szCs w:val="22"/>
          <w:lang w:eastAsia="ko-KR"/>
        </w:rPr>
        <w:t>cjh@sajo.co.kr</w:t>
      </w:r>
    </w:p>
    <w:p w14:paraId="71E5E4CA" w14:textId="77777777" w:rsidR="00167860" w:rsidRPr="00CB6C95" w:rsidRDefault="00167860" w:rsidP="00167860">
      <w:pPr>
        <w:adjustRightInd w:val="0"/>
        <w:snapToGrid w:val="0"/>
        <w:rPr>
          <w:sz w:val="22"/>
          <w:szCs w:val="22"/>
          <w:lang w:eastAsia="ko-KR"/>
        </w:rPr>
      </w:pPr>
    </w:p>
    <w:p w14:paraId="1B871DDC" w14:textId="77777777" w:rsidR="00167860" w:rsidRPr="00CB6C95" w:rsidRDefault="00167860" w:rsidP="00167860">
      <w:pPr>
        <w:adjustRightInd w:val="0"/>
        <w:snapToGrid w:val="0"/>
        <w:rPr>
          <w:b/>
          <w:sz w:val="22"/>
          <w:szCs w:val="22"/>
          <w:lang w:eastAsia="ko-KR"/>
        </w:rPr>
      </w:pPr>
      <w:r w:rsidRPr="00CB6C95">
        <w:rPr>
          <w:b/>
          <w:sz w:val="22"/>
          <w:szCs w:val="22"/>
          <w:lang w:eastAsia="ko-KR"/>
        </w:rPr>
        <w:t>Eui Sup Shin</w:t>
      </w:r>
    </w:p>
    <w:p w14:paraId="299139CB" w14:textId="77777777" w:rsidR="00167860" w:rsidRPr="00CB6C95" w:rsidRDefault="00167860" w:rsidP="00167860">
      <w:pPr>
        <w:adjustRightInd w:val="0"/>
        <w:snapToGrid w:val="0"/>
        <w:rPr>
          <w:sz w:val="22"/>
          <w:szCs w:val="22"/>
          <w:lang w:eastAsia="ko-KR"/>
        </w:rPr>
      </w:pPr>
      <w:r w:rsidRPr="00CB6C95">
        <w:rPr>
          <w:sz w:val="22"/>
          <w:szCs w:val="22"/>
          <w:lang w:eastAsia="ko-KR"/>
        </w:rPr>
        <w:t>Staff</w:t>
      </w:r>
    </w:p>
    <w:p w14:paraId="4362F56A" w14:textId="77777777" w:rsidR="00167860" w:rsidRPr="00CB6C95" w:rsidRDefault="00167860" w:rsidP="00167860">
      <w:pPr>
        <w:adjustRightInd w:val="0"/>
        <w:snapToGrid w:val="0"/>
        <w:rPr>
          <w:sz w:val="22"/>
          <w:szCs w:val="22"/>
          <w:lang w:eastAsia="ko-KR"/>
        </w:rPr>
      </w:pPr>
      <w:r w:rsidRPr="00CB6C95">
        <w:rPr>
          <w:sz w:val="22"/>
          <w:szCs w:val="22"/>
          <w:lang w:eastAsia="ko-KR"/>
        </w:rPr>
        <w:t>Sajo Industries Co., Ltd.</w:t>
      </w:r>
    </w:p>
    <w:p w14:paraId="466DC716" w14:textId="77777777" w:rsidR="00167860" w:rsidRPr="00CB6C95" w:rsidRDefault="00167860" w:rsidP="00167860">
      <w:pPr>
        <w:adjustRightInd w:val="0"/>
        <w:snapToGrid w:val="0"/>
        <w:rPr>
          <w:sz w:val="22"/>
          <w:szCs w:val="22"/>
          <w:lang w:eastAsia="ko-KR"/>
        </w:rPr>
      </w:pPr>
      <w:r w:rsidRPr="00CB6C95">
        <w:rPr>
          <w:sz w:val="22"/>
          <w:szCs w:val="22"/>
          <w:lang w:eastAsia="ko-KR"/>
        </w:rPr>
        <w:t>107-39, Tongil-ro, Seodaemun-gu, Seoul, 03740, Rep. of Korea</w:t>
      </w:r>
    </w:p>
    <w:p w14:paraId="7C7B8030" w14:textId="77777777" w:rsidR="00167860" w:rsidRPr="00CB6C95" w:rsidRDefault="00167860" w:rsidP="00167860">
      <w:pPr>
        <w:adjustRightInd w:val="0"/>
        <w:snapToGrid w:val="0"/>
        <w:rPr>
          <w:sz w:val="22"/>
          <w:szCs w:val="22"/>
          <w:lang w:eastAsia="ko-KR"/>
        </w:rPr>
      </w:pPr>
      <w:r w:rsidRPr="00CB6C95">
        <w:rPr>
          <w:sz w:val="22"/>
          <w:szCs w:val="22"/>
          <w:lang w:eastAsia="ko-KR"/>
        </w:rPr>
        <w:t>82-2-3277-1667</w:t>
      </w:r>
    </w:p>
    <w:p w14:paraId="28F1B28A" w14:textId="77777777" w:rsidR="00167860" w:rsidRPr="00CB6C95" w:rsidRDefault="00167860" w:rsidP="00167860">
      <w:pPr>
        <w:adjustRightInd w:val="0"/>
        <w:snapToGrid w:val="0"/>
        <w:rPr>
          <w:sz w:val="22"/>
          <w:szCs w:val="22"/>
          <w:lang w:eastAsia="ko-KR"/>
        </w:rPr>
      </w:pPr>
      <w:r w:rsidRPr="00CB6C95">
        <w:rPr>
          <w:sz w:val="22"/>
          <w:szCs w:val="22"/>
          <w:lang w:eastAsia="ko-KR"/>
        </w:rPr>
        <w:t>eui@sajo.co.kr</w:t>
      </w:r>
    </w:p>
    <w:p w14:paraId="5B5B30C6" w14:textId="77777777" w:rsidR="00167860" w:rsidRPr="00CB6C95" w:rsidRDefault="00167860" w:rsidP="00167860">
      <w:pPr>
        <w:adjustRightInd w:val="0"/>
        <w:snapToGrid w:val="0"/>
        <w:rPr>
          <w:sz w:val="22"/>
          <w:szCs w:val="22"/>
          <w:lang w:eastAsia="ko-KR"/>
        </w:rPr>
      </w:pPr>
    </w:p>
    <w:p w14:paraId="546AF132" w14:textId="77777777" w:rsidR="00167860" w:rsidRPr="00CB6C95" w:rsidRDefault="00167860" w:rsidP="00167860">
      <w:pPr>
        <w:adjustRightInd w:val="0"/>
        <w:snapToGrid w:val="0"/>
        <w:rPr>
          <w:b/>
          <w:sz w:val="22"/>
          <w:szCs w:val="22"/>
          <w:lang w:eastAsia="ko-KR"/>
        </w:rPr>
      </w:pPr>
      <w:r w:rsidRPr="00CB6C95">
        <w:rPr>
          <w:b/>
          <w:sz w:val="22"/>
          <w:szCs w:val="22"/>
          <w:lang w:eastAsia="ko-KR"/>
        </w:rPr>
        <w:t>Min Sung Lee</w:t>
      </w:r>
    </w:p>
    <w:p w14:paraId="25B40021" w14:textId="77777777" w:rsidR="00167860" w:rsidRPr="00CB6C95" w:rsidRDefault="00167860" w:rsidP="00167860">
      <w:pPr>
        <w:adjustRightInd w:val="0"/>
        <w:snapToGrid w:val="0"/>
        <w:rPr>
          <w:sz w:val="22"/>
          <w:szCs w:val="22"/>
          <w:lang w:eastAsia="ko-KR"/>
        </w:rPr>
      </w:pPr>
      <w:r w:rsidRPr="00CB6C95">
        <w:rPr>
          <w:sz w:val="22"/>
          <w:szCs w:val="22"/>
          <w:lang w:eastAsia="ko-KR"/>
        </w:rPr>
        <w:t>Assistant manager</w:t>
      </w:r>
    </w:p>
    <w:p w14:paraId="0575BA39" w14:textId="77777777" w:rsidR="00167860" w:rsidRPr="00CB6C95" w:rsidRDefault="00167860" w:rsidP="00167860">
      <w:pPr>
        <w:adjustRightInd w:val="0"/>
        <w:snapToGrid w:val="0"/>
        <w:rPr>
          <w:sz w:val="22"/>
          <w:szCs w:val="22"/>
          <w:lang w:eastAsia="ko-KR"/>
        </w:rPr>
      </w:pPr>
      <w:r w:rsidRPr="00CB6C95">
        <w:rPr>
          <w:sz w:val="22"/>
          <w:szCs w:val="22"/>
          <w:lang w:eastAsia="ko-KR"/>
        </w:rPr>
        <w:t>Sajo Industries Co., Ltd.</w:t>
      </w:r>
    </w:p>
    <w:p w14:paraId="1075D415" w14:textId="77777777" w:rsidR="00167860" w:rsidRPr="00CB6C95" w:rsidRDefault="00167860" w:rsidP="00167860">
      <w:pPr>
        <w:adjustRightInd w:val="0"/>
        <w:snapToGrid w:val="0"/>
        <w:rPr>
          <w:sz w:val="22"/>
          <w:szCs w:val="22"/>
          <w:lang w:eastAsia="ko-KR"/>
        </w:rPr>
      </w:pPr>
      <w:r w:rsidRPr="00CB6C95">
        <w:rPr>
          <w:sz w:val="22"/>
          <w:szCs w:val="22"/>
          <w:lang w:eastAsia="ko-KR"/>
        </w:rPr>
        <w:t>107-39, Tongil-ro, Seodaemun-gu, Seoul, 03740, Rep. of Korea</w:t>
      </w:r>
    </w:p>
    <w:p w14:paraId="1355E606" w14:textId="77777777" w:rsidR="00167860" w:rsidRPr="00CB6C95" w:rsidRDefault="00167860" w:rsidP="00167860">
      <w:pPr>
        <w:adjustRightInd w:val="0"/>
        <w:snapToGrid w:val="0"/>
        <w:rPr>
          <w:sz w:val="22"/>
          <w:szCs w:val="22"/>
          <w:lang w:eastAsia="ko-KR"/>
        </w:rPr>
      </w:pPr>
      <w:r w:rsidRPr="00CB6C95">
        <w:rPr>
          <w:sz w:val="22"/>
          <w:szCs w:val="22"/>
          <w:lang w:eastAsia="ko-KR"/>
        </w:rPr>
        <w:t>sajops@sajo.co.kr</w:t>
      </w:r>
    </w:p>
    <w:p w14:paraId="61663717" w14:textId="77777777" w:rsidR="00167860" w:rsidRPr="00CB6C95" w:rsidRDefault="00167860" w:rsidP="00167860">
      <w:pPr>
        <w:adjustRightInd w:val="0"/>
        <w:snapToGrid w:val="0"/>
        <w:rPr>
          <w:sz w:val="22"/>
          <w:szCs w:val="22"/>
          <w:lang w:eastAsia="ko-KR"/>
        </w:rPr>
      </w:pPr>
    </w:p>
    <w:p w14:paraId="295C4F10" w14:textId="77777777" w:rsidR="00167860" w:rsidRPr="00CB6C95" w:rsidRDefault="00167860" w:rsidP="00167860">
      <w:pPr>
        <w:adjustRightInd w:val="0"/>
        <w:snapToGrid w:val="0"/>
        <w:rPr>
          <w:b/>
          <w:sz w:val="22"/>
          <w:szCs w:val="22"/>
          <w:lang w:eastAsia="ko-KR"/>
        </w:rPr>
      </w:pPr>
      <w:r w:rsidRPr="00CB6C95">
        <w:rPr>
          <w:b/>
          <w:sz w:val="22"/>
          <w:szCs w:val="22"/>
          <w:lang w:eastAsia="ko-KR"/>
        </w:rPr>
        <w:t>Jin Seok Park</w:t>
      </w:r>
    </w:p>
    <w:p w14:paraId="5551ED41" w14:textId="77777777" w:rsidR="00167860" w:rsidRPr="00CB6C95" w:rsidRDefault="00167860" w:rsidP="00167860">
      <w:pPr>
        <w:adjustRightInd w:val="0"/>
        <w:snapToGrid w:val="0"/>
        <w:rPr>
          <w:sz w:val="22"/>
          <w:szCs w:val="22"/>
          <w:lang w:eastAsia="ko-KR"/>
        </w:rPr>
      </w:pPr>
      <w:r w:rsidRPr="00CB6C95">
        <w:rPr>
          <w:sz w:val="22"/>
          <w:szCs w:val="22"/>
          <w:lang w:eastAsia="ko-KR"/>
        </w:rPr>
        <w:t>Manager</w:t>
      </w:r>
    </w:p>
    <w:p w14:paraId="4307CBA7" w14:textId="77777777" w:rsidR="00167860" w:rsidRPr="00CB6C95" w:rsidRDefault="00167860" w:rsidP="00167860">
      <w:pPr>
        <w:adjustRightInd w:val="0"/>
        <w:snapToGrid w:val="0"/>
        <w:rPr>
          <w:sz w:val="22"/>
          <w:szCs w:val="22"/>
          <w:lang w:eastAsia="ko-KR"/>
        </w:rPr>
      </w:pPr>
      <w:r w:rsidRPr="00CB6C95">
        <w:rPr>
          <w:sz w:val="22"/>
          <w:szCs w:val="22"/>
          <w:lang w:eastAsia="ko-KR"/>
        </w:rPr>
        <w:t>Sajo Industries Co., Ltd.</w:t>
      </w:r>
    </w:p>
    <w:p w14:paraId="1D1C94DF" w14:textId="77777777" w:rsidR="00167860" w:rsidRPr="00CB6C95" w:rsidRDefault="00167860" w:rsidP="00167860">
      <w:pPr>
        <w:adjustRightInd w:val="0"/>
        <w:snapToGrid w:val="0"/>
        <w:rPr>
          <w:sz w:val="22"/>
          <w:szCs w:val="22"/>
          <w:lang w:eastAsia="ko-KR"/>
        </w:rPr>
      </w:pPr>
      <w:r w:rsidRPr="00CB6C95">
        <w:rPr>
          <w:sz w:val="22"/>
          <w:szCs w:val="22"/>
          <w:lang w:eastAsia="ko-KR"/>
        </w:rPr>
        <w:t>107-39, Tongil-ro, Seodaemun-gu, Seoul, 03740, Rep. of Korea</w:t>
      </w:r>
    </w:p>
    <w:p w14:paraId="6C87E243" w14:textId="77777777" w:rsidR="00167860" w:rsidRPr="00CB6C95" w:rsidRDefault="00167860" w:rsidP="00167860">
      <w:pPr>
        <w:adjustRightInd w:val="0"/>
        <w:snapToGrid w:val="0"/>
        <w:rPr>
          <w:sz w:val="22"/>
          <w:szCs w:val="22"/>
          <w:lang w:eastAsia="ko-KR"/>
        </w:rPr>
      </w:pPr>
      <w:r w:rsidRPr="00CB6C95">
        <w:rPr>
          <w:sz w:val="22"/>
          <w:szCs w:val="22"/>
          <w:lang w:eastAsia="ko-KR"/>
        </w:rPr>
        <w:t>82-10-2857-1786</w:t>
      </w:r>
    </w:p>
    <w:p w14:paraId="34000779" w14:textId="77777777" w:rsidR="00167860" w:rsidRPr="00CB6C95" w:rsidRDefault="00167860" w:rsidP="00167860">
      <w:pPr>
        <w:adjustRightInd w:val="0"/>
        <w:snapToGrid w:val="0"/>
        <w:rPr>
          <w:sz w:val="22"/>
          <w:szCs w:val="22"/>
          <w:lang w:eastAsia="ko-KR"/>
        </w:rPr>
      </w:pPr>
      <w:r w:rsidRPr="00CB6C95">
        <w:rPr>
          <w:sz w:val="22"/>
          <w:szCs w:val="22"/>
          <w:lang w:eastAsia="ko-KR"/>
        </w:rPr>
        <w:t>goodtime9@sajo.co.kr</w:t>
      </w:r>
    </w:p>
    <w:p w14:paraId="002B6C6D" w14:textId="77777777" w:rsidR="00167860" w:rsidRPr="00CB6C95" w:rsidRDefault="00167860" w:rsidP="00167860">
      <w:pPr>
        <w:adjustRightInd w:val="0"/>
        <w:snapToGrid w:val="0"/>
        <w:rPr>
          <w:sz w:val="22"/>
          <w:szCs w:val="22"/>
          <w:lang w:eastAsia="ko-KR"/>
        </w:rPr>
      </w:pPr>
    </w:p>
    <w:p w14:paraId="1CEB3F4E" w14:textId="77777777" w:rsidR="00167860" w:rsidRPr="00CB6C95" w:rsidRDefault="00167860" w:rsidP="00167860">
      <w:pPr>
        <w:adjustRightInd w:val="0"/>
        <w:snapToGrid w:val="0"/>
        <w:rPr>
          <w:b/>
          <w:sz w:val="22"/>
          <w:szCs w:val="22"/>
          <w:lang w:eastAsia="ko-KR"/>
        </w:rPr>
      </w:pPr>
      <w:r w:rsidRPr="00CB6C95">
        <w:rPr>
          <w:b/>
          <w:sz w:val="22"/>
          <w:szCs w:val="22"/>
          <w:lang w:eastAsia="ko-KR"/>
        </w:rPr>
        <w:t>Kyung Yung Lee</w:t>
      </w:r>
    </w:p>
    <w:p w14:paraId="07E8658A" w14:textId="77777777" w:rsidR="00167860" w:rsidRPr="00CB6C95" w:rsidRDefault="00167860" w:rsidP="00167860">
      <w:pPr>
        <w:adjustRightInd w:val="0"/>
        <w:snapToGrid w:val="0"/>
        <w:rPr>
          <w:sz w:val="22"/>
          <w:szCs w:val="22"/>
          <w:lang w:eastAsia="ko-KR"/>
        </w:rPr>
      </w:pPr>
      <w:r w:rsidRPr="00CB6C95">
        <w:rPr>
          <w:sz w:val="22"/>
          <w:szCs w:val="22"/>
          <w:lang w:eastAsia="ko-KR"/>
        </w:rPr>
        <w:t>Deputy Genenral Manager</w:t>
      </w:r>
    </w:p>
    <w:p w14:paraId="798C0498" w14:textId="77777777" w:rsidR="00167860" w:rsidRPr="00CB6C95" w:rsidRDefault="00167860" w:rsidP="00167860">
      <w:pPr>
        <w:adjustRightInd w:val="0"/>
        <w:snapToGrid w:val="0"/>
        <w:rPr>
          <w:sz w:val="22"/>
          <w:szCs w:val="22"/>
          <w:lang w:eastAsia="ko-KR"/>
        </w:rPr>
      </w:pPr>
      <w:r w:rsidRPr="00CB6C95">
        <w:rPr>
          <w:sz w:val="22"/>
          <w:szCs w:val="22"/>
          <w:lang w:eastAsia="ko-KR"/>
        </w:rPr>
        <w:t>Sajo Industries Co., Ltd.</w:t>
      </w:r>
    </w:p>
    <w:p w14:paraId="0B993488" w14:textId="77777777" w:rsidR="00167860" w:rsidRPr="00CB6C95" w:rsidRDefault="00167860" w:rsidP="00167860">
      <w:pPr>
        <w:adjustRightInd w:val="0"/>
        <w:snapToGrid w:val="0"/>
        <w:rPr>
          <w:sz w:val="22"/>
          <w:szCs w:val="22"/>
          <w:lang w:eastAsia="ko-KR"/>
        </w:rPr>
      </w:pPr>
      <w:r w:rsidRPr="00CB6C95">
        <w:rPr>
          <w:sz w:val="22"/>
          <w:szCs w:val="22"/>
          <w:lang w:eastAsia="ko-KR"/>
        </w:rPr>
        <w:t>107-39, Tongil-ro, Seodaemun-gu, Seoul, 03740, Rep. of Korea</w:t>
      </w:r>
    </w:p>
    <w:p w14:paraId="0F80FBE2" w14:textId="77777777" w:rsidR="00167860" w:rsidRPr="00CB6C95" w:rsidRDefault="00167860" w:rsidP="00167860">
      <w:pPr>
        <w:adjustRightInd w:val="0"/>
        <w:snapToGrid w:val="0"/>
        <w:rPr>
          <w:sz w:val="22"/>
          <w:szCs w:val="22"/>
          <w:lang w:eastAsia="ko-KR"/>
        </w:rPr>
      </w:pPr>
      <w:r w:rsidRPr="00CB6C95">
        <w:rPr>
          <w:sz w:val="22"/>
          <w:szCs w:val="22"/>
          <w:lang w:eastAsia="ko-KR"/>
        </w:rPr>
        <w:t>dada1000@sajo.co.kr</w:t>
      </w:r>
    </w:p>
    <w:p w14:paraId="624BC299" w14:textId="77777777" w:rsidR="00167860" w:rsidRPr="00CB6C95" w:rsidRDefault="00167860" w:rsidP="00167860">
      <w:pPr>
        <w:adjustRightInd w:val="0"/>
        <w:snapToGrid w:val="0"/>
        <w:rPr>
          <w:sz w:val="22"/>
          <w:szCs w:val="22"/>
          <w:lang w:eastAsia="ko-KR"/>
        </w:rPr>
      </w:pPr>
    </w:p>
    <w:p w14:paraId="0F755BF3"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Republic of Marshall Islands</w:t>
      </w:r>
    </w:p>
    <w:p w14:paraId="24553020" w14:textId="77777777" w:rsidR="00167860" w:rsidRPr="00CB6C95" w:rsidRDefault="00167860" w:rsidP="00167860">
      <w:pPr>
        <w:adjustRightInd w:val="0"/>
        <w:snapToGrid w:val="0"/>
        <w:rPr>
          <w:b/>
          <w:sz w:val="22"/>
          <w:szCs w:val="22"/>
          <w:lang w:eastAsia="ko-KR"/>
        </w:rPr>
      </w:pPr>
    </w:p>
    <w:p w14:paraId="732413F6" w14:textId="77777777" w:rsidR="00167860" w:rsidRPr="00CB6C95" w:rsidRDefault="00167860" w:rsidP="00167860">
      <w:pPr>
        <w:adjustRightInd w:val="0"/>
        <w:snapToGrid w:val="0"/>
        <w:rPr>
          <w:b/>
          <w:sz w:val="22"/>
          <w:szCs w:val="22"/>
          <w:lang w:eastAsia="ko-KR"/>
        </w:rPr>
      </w:pPr>
      <w:r w:rsidRPr="00CB6C95">
        <w:rPr>
          <w:b/>
          <w:sz w:val="22"/>
          <w:szCs w:val="22"/>
          <w:lang w:eastAsia="ko-KR"/>
        </w:rPr>
        <w:t xml:space="preserve">Glen Joseph </w:t>
      </w:r>
    </w:p>
    <w:p w14:paraId="4A1ECA7D"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Director </w:t>
      </w:r>
    </w:p>
    <w:p w14:paraId="1A4AFCA6"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Marshall Islands Marine Resources Authority </w:t>
      </w:r>
    </w:p>
    <w:p w14:paraId="49CB1A9C" w14:textId="77777777" w:rsidR="00167860" w:rsidRPr="00CB6C95" w:rsidRDefault="00167860" w:rsidP="00167860">
      <w:pPr>
        <w:adjustRightInd w:val="0"/>
        <w:snapToGrid w:val="0"/>
        <w:rPr>
          <w:sz w:val="22"/>
          <w:szCs w:val="22"/>
          <w:lang w:eastAsia="ko-KR"/>
        </w:rPr>
      </w:pPr>
      <w:r w:rsidRPr="00CB6C95">
        <w:rPr>
          <w:sz w:val="22"/>
          <w:szCs w:val="22"/>
          <w:lang w:eastAsia="ko-KR"/>
        </w:rPr>
        <w:t>gjoseph@mimra.com</w:t>
      </w:r>
    </w:p>
    <w:p w14:paraId="0FC8B641" w14:textId="77777777" w:rsidR="00167860" w:rsidRPr="00CB6C95" w:rsidRDefault="00167860" w:rsidP="00167860">
      <w:pPr>
        <w:adjustRightInd w:val="0"/>
        <w:snapToGrid w:val="0"/>
        <w:rPr>
          <w:sz w:val="22"/>
          <w:szCs w:val="22"/>
          <w:lang w:eastAsia="ko-KR"/>
        </w:rPr>
      </w:pPr>
    </w:p>
    <w:p w14:paraId="22049E74" w14:textId="77777777" w:rsidR="00167860" w:rsidRPr="00CB6C95" w:rsidRDefault="00167860" w:rsidP="00167860">
      <w:pPr>
        <w:adjustRightInd w:val="0"/>
        <w:snapToGrid w:val="0"/>
        <w:rPr>
          <w:b/>
          <w:sz w:val="22"/>
          <w:szCs w:val="22"/>
          <w:lang w:eastAsia="ko-KR"/>
        </w:rPr>
      </w:pPr>
      <w:r w:rsidRPr="00CB6C95">
        <w:rPr>
          <w:b/>
          <w:sz w:val="22"/>
          <w:szCs w:val="22"/>
          <w:lang w:eastAsia="ko-KR"/>
        </w:rPr>
        <w:t>Mark Beau Bigler</w:t>
      </w:r>
    </w:p>
    <w:p w14:paraId="263F7C84"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Fisheries Officer </w:t>
      </w:r>
    </w:p>
    <w:p w14:paraId="6C98AC84"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Marshall Islands Marine Resources Authority </w:t>
      </w:r>
    </w:p>
    <w:p w14:paraId="381F389E" w14:textId="77777777" w:rsidR="00167860" w:rsidRPr="00CB6C95" w:rsidRDefault="00167860" w:rsidP="00167860">
      <w:pPr>
        <w:adjustRightInd w:val="0"/>
        <w:snapToGrid w:val="0"/>
        <w:rPr>
          <w:sz w:val="22"/>
          <w:szCs w:val="22"/>
          <w:lang w:eastAsia="ko-KR"/>
        </w:rPr>
      </w:pPr>
      <w:r w:rsidRPr="00CB6C95">
        <w:rPr>
          <w:sz w:val="22"/>
          <w:szCs w:val="22"/>
          <w:lang w:eastAsia="ko-KR"/>
        </w:rPr>
        <w:t>bbigler@mimra.com</w:t>
      </w:r>
    </w:p>
    <w:p w14:paraId="20CBD832" w14:textId="77777777" w:rsidR="00167860" w:rsidRPr="00CB6C95" w:rsidRDefault="00167860" w:rsidP="00167860">
      <w:pPr>
        <w:adjustRightInd w:val="0"/>
        <w:snapToGrid w:val="0"/>
        <w:rPr>
          <w:sz w:val="22"/>
          <w:szCs w:val="22"/>
          <w:lang w:eastAsia="ko-KR"/>
        </w:rPr>
      </w:pPr>
    </w:p>
    <w:p w14:paraId="4731C4FD"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Nauru</w:t>
      </w:r>
    </w:p>
    <w:p w14:paraId="5B5EFB0B" w14:textId="77777777" w:rsidR="00167860" w:rsidRPr="00CB6C95" w:rsidRDefault="00167860" w:rsidP="00167860">
      <w:pPr>
        <w:adjustRightInd w:val="0"/>
        <w:snapToGrid w:val="0"/>
        <w:rPr>
          <w:b/>
          <w:sz w:val="22"/>
          <w:szCs w:val="22"/>
          <w:lang w:eastAsia="ko-KR"/>
        </w:rPr>
      </w:pPr>
    </w:p>
    <w:p w14:paraId="65D1CCBB" w14:textId="77777777" w:rsidR="00167860" w:rsidRPr="00CB6C95" w:rsidRDefault="00167860" w:rsidP="00167860">
      <w:pPr>
        <w:adjustRightInd w:val="0"/>
        <w:snapToGrid w:val="0"/>
        <w:rPr>
          <w:b/>
          <w:sz w:val="22"/>
          <w:szCs w:val="22"/>
          <w:lang w:eastAsia="ko-KR"/>
        </w:rPr>
      </w:pPr>
      <w:r w:rsidRPr="00CB6C95">
        <w:rPr>
          <w:b/>
          <w:sz w:val="22"/>
          <w:szCs w:val="22"/>
          <w:lang w:eastAsia="ko-KR"/>
        </w:rPr>
        <w:t>Murin Jeremiah</w:t>
      </w:r>
    </w:p>
    <w:p w14:paraId="3CA805D0" w14:textId="77777777" w:rsidR="00167860" w:rsidRPr="00CB6C95" w:rsidRDefault="00167860" w:rsidP="00167860">
      <w:pPr>
        <w:adjustRightInd w:val="0"/>
        <w:snapToGrid w:val="0"/>
        <w:rPr>
          <w:sz w:val="22"/>
          <w:szCs w:val="22"/>
          <w:lang w:eastAsia="ko-KR"/>
        </w:rPr>
      </w:pPr>
      <w:r w:rsidRPr="00CB6C95">
        <w:rPr>
          <w:sz w:val="22"/>
          <w:szCs w:val="22"/>
          <w:lang w:eastAsia="ko-KR"/>
        </w:rPr>
        <w:t>Oceanic Fisheries Manager</w:t>
      </w:r>
    </w:p>
    <w:p w14:paraId="14F3DB46" w14:textId="77777777" w:rsidR="00167860" w:rsidRPr="00CB6C95" w:rsidRDefault="00167860" w:rsidP="00167860">
      <w:pPr>
        <w:adjustRightInd w:val="0"/>
        <w:snapToGrid w:val="0"/>
        <w:rPr>
          <w:sz w:val="22"/>
          <w:szCs w:val="22"/>
          <w:lang w:eastAsia="ko-KR"/>
        </w:rPr>
      </w:pPr>
      <w:r w:rsidRPr="00CB6C95">
        <w:rPr>
          <w:sz w:val="22"/>
          <w:szCs w:val="22"/>
          <w:lang w:eastAsia="ko-KR"/>
        </w:rPr>
        <w:t>NFMRA</w:t>
      </w:r>
    </w:p>
    <w:p w14:paraId="6A2FD6AE" w14:textId="77777777" w:rsidR="00167860" w:rsidRPr="00CB6C95" w:rsidRDefault="00167860" w:rsidP="00167860">
      <w:pPr>
        <w:adjustRightInd w:val="0"/>
        <w:snapToGrid w:val="0"/>
        <w:rPr>
          <w:sz w:val="22"/>
          <w:szCs w:val="22"/>
          <w:lang w:eastAsia="ko-KR"/>
        </w:rPr>
      </w:pPr>
      <w:r w:rsidRPr="00CB6C95">
        <w:rPr>
          <w:sz w:val="22"/>
          <w:szCs w:val="22"/>
          <w:lang w:eastAsia="ko-KR"/>
        </w:rPr>
        <w:t>Meneng District, Republic of Nauru</w:t>
      </w:r>
    </w:p>
    <w:p w14:paraId="484BD1A3" w14:textId="77777777" w:rsidR="00167860" w:rsidRPr="00CB6C95" w:rsidRDefault="00167860" w:rsidP="00167860">
      <w:pPr>
        <w:adjustRightInd w:val="0"/>
        <w:snapToGrid w:val="0"/>
        <w:rPr>
          <w:sz w:val="22"/>
          <w:szCs w:val="22"/>
          <w:lang w:eastAsia="ko-KR"/>
        </w:rPr>
      </w:pPr>
      <w:r w:rsidRPr="00CB6C95">
        <w:rPr>
          <w:sz w:val="22"/>
          <w:szCs w:val="22"/>
          <w:lang w:eastAsia="ko-KR"/>
        </w:rPr>
        <w:t>+674 557 3733</w:t>
      </w:r>
    </w:p>
    <w:p w14:paraId="1FB640CB" w14:textId="77777777" w:rsidR="00167860" w:rsidRPr="00CB6C95" w:rsidRDefault="00167860" w:rsidP="00167860">
      <w:pPr>
        <w:adjustRightInd w:val="0"/>
        <w:snapToGrid w:val="0"/>
        <w:rPr>
          <w:sz w:val="22"/>
          <w:szCs w:val="22"/>
          <w:lang w:eastAsia="ko-KR"/>
        </w:rPr>
      </w:pPr>
      <w:r w:rsidRPr="00CB6C95">
        <w:rPr>
          <w:sz w:val="22"/>
          <w:szCs w:val="22"/>
          <w:lang w:eastAsia="ko-KR"/>
        </w:rPr>
        <w:t>mhzjere@gmail.com</w:t>
      </w:r>
    </w:p>
    <w:p w14:paraId="2DE078C6" w14:textId="77777777" w:rsidR="00167860" w:rsidRPr="00CB6C95" w:rsidRDefault="00167860" w:rsidP="00167860">
      <w:pPr>
        <w:adjustRightInd w:val="0"/>
        <w:snapToGrid w:val="0"/>
        <w:rPr>
          <w:sz w:val="22"/>
          <w:szCs w:val="22"/>
          <w:lang w:eastAsia="ko-KR"/>
        </w:rPr>
      </w:pPr>
    </w:p>
    <w:p w14:paraId="17861348" w14:textId="77777777" w:rsidR="00167860" w:rsidRPr="00CB6C95" w:rsidRDefault="00167860" w:rsidP="00167860">
      <w:pPr>
        <w:adjustRightInd w:val="0"/>
        <w:snapToGrid w:val="0"/>
        <w:rPr>
          <w:b/>
          <w:sz w:val="22"/>
          <w:szCs w:val="22"/>
          <w:lang w:eastAsia="ko-KR"/>
        </w:rPr>
      </w:pPr>
      <w:r w:rsidRPr="00CB6C95">
        <w:rPr>
          <w:b/>
          <w:sz w:val="22"/>
          <w:szCs w:val="22"/>
          <w:lang w:eastAsia="ko-KR"/>
        </w:rPr>
        <w:t>Gabriel Ika</w:t>
      </w:r>
    </w:p>
    <w:p w14:paraId="0D9E7259" w14:textId="77777777" w:rsidR="00167860" w:rsidRPr="00CB6C95" w:rsidRDefault="00167860" w:rsidP="00167860">
      <w:pPr>
        <w:adjustRightInd w:val="0"/>
        <w:snapToGrid w:val="0"/>
        <w:rPr>
          <w:sz w:val="22"/>
          <w:szCs w:val="22"/>
          <w:lang w:eastAsia="ko-KR"/>
        </w:rPr>
      </w:pPr>
      <w:r w:rsidRPr="00CB6C95">
        <w:rPr>
          <w:sz w:val="22"/>
          <w:szCs w:val="22"/>
          <w:lang w:eastAsia="ko-KR"/>
        </w:rPr>
        <w:t>Director of Board</w:t>
      </w:r>
    </w:p>
    <w:p w14:paraId="129574DC" w14:textId="77777777" w:rsidR="00167860" w:rsidRPr="00CB6C95" w:rsidRDefault="00167860" w:rsidP="00167860">
      <w:pPr>
        <w:adjustRightInd w:val="0"/>
        <w:snapToGrid w:val="0"/>
        <w:rPr>
          <w:sz w:val="22"/>
          <w:szCs w:val="22"/>
          <w:lang w:eastAsia="ko-KR"/>
        </w:rPr>
      </w:pPr>
      <w:r w:rsidRPr="00CB6C95">
        <w:rPr>
          <w:sz w:val="22"/>
          <w:szCs w:val="22"/>
          <w:lang w:eastAsia="ko-KR"/>
        </w:rPr>
        <w:t>NFMRA</w:t>
      </w:r>
    </w:p>
    <w:p w14:paraId="0AB0DC10" w14:textId="77777777" w:rsidR="00167860" w:rsidRPr="00CB6C95" w:rsidRDefault="00167860" w:rsidP="00167860">
      <w:pPr>
        <w:adjustRightInd w:val="0"/>
        <w:snapToGrid w:val="0"/>
        <w:rPr>
          <w:sz w:val="22"/>
          <w:szCs w:val="22"/>
          <w:lang w:eastAsia="ko-KR"/>
        </w:rPr>
      </w:pPr>
      <w:r w:rsidRPr="00CB6C95">
        <w:rPr>
          <w:sz w:val="22"/>
          <w:szCs w:val="22"/>
          <w:lang w:eastAsia="ko-KR"/>
        </w:rPr>
        <w:t>Baitsi District, Republic of Nauru</w:t>
      </w:r>
    </w:p>
    <w:p w14:paraId="3DF717DF" w14:textId="77777777" w:rsidR="00167860" w:rsidRPr="00CB6C95" w:rsidRDefault="00167860" w:rsidP="00167860">
      <w:pPr>
        <w:adjustRightInd w:val="0"/>
        <w:snapToGrid w:val="0"/>
        <w:rPr>
          <w:sz w:val="22"/>
          <w:szCs w:val="22"/>
          <w:lang w:eastAsia="ko-KR"/>
        </w:rPr>
      </w:pPr>
      <w:r w:rsidRPr="00CB6C95">
        <w:rPr>
          <w:sz w:val="22"/>
          <w:szCs w:val="22"/>
          <w:lang w:eastAsia="ko-KR"/>
        </w:rPr>
        <w:t>naurufish@gmail.com</w:t>
      </w:r>
    </w:p>
    <w:p w14:paraId="4B5B997B" w14:textId="77777777" w:rsidR="00167860" w:rsidRPr="00CB6C95" w:rsidRDefault="00167860" w:rsidP="00167860">
      <w:pPr>
        <w:adjustRightInd w:val="0"/>
        <w:snapToGrid w:val="0"/>
        <w:rPr>
          <w:sz w:val="22"/>
          <w:szCs w:val="22"/>
          <w:lang w:eastAsia="ko-KR"/>
        </w:rPr>
      </w:pPr>
    </w:p>
    <w:p w14:paraId="141BEADD" w14:textId="77777777" w:rsidR="00167860" w:rsidRPr="00CB6C95" w:rsidRDefault="00167860" w:rsidP="00167860">
      <w:pPr>
        <w:adjustRightInd w:val="0"/>
        <w:snapToGrid w:val="0"/>
        <w:rPr>
          <w:b/>
          <w:sz w:val="22"/>
          <w:szCs w:val="22"/>
          <w:lang w:eastAsia="ko-KR"/>
        </w:rPr>
      </w:pPr>
      <w:r w:rsidRPr="00CB6C95">
        <w:rPr>
          <w:b/>
          <w:sz w:val="22"/>
          <w:szCs w:val="22"/>
          <w:lang w:eastAsia="ko-KR"/>
        </w:rPr>
        <w:t>Ace Capelle</w:t>
      </w:r>
    </w:p>
    <w:p w14:paraId="0E0DD856" w14:textId="77777777" w:rsidR="00167860" w:rsidRPr="00CB6C95" w:rsidRDefault="00167860" w:rsidP="00167860">
      <w:pPr>
        <w:adjustRightInd w:val="0"/>
        <w:snapToGrid w:val="0"/>
        <w:rPr>
          <w:sz w:val="22"/>
          <w:szCs w:val="22"/>
          <w:lang w:eastAsia="ko-KR"/>
        </w:rPr>
      </w:pPr>
      <w:r w:rsidRPr="00CB6C95">
        <w:rPr>
          <w:sz w:val="22"/>
          <w:szCs w:val="22"/>
          <w:lang w:eastAsia="ko-KR"/>
        </w:rPr>
        <w:t>Senior Observer Coordinator</w:t>
      </w:r>
    </w:p>
    <w:p w14:paraId="4431099F" w14:textId="77777777" w:rsidR="00167860" w:rsidRPr="00CB6C95" w:rsidRDefault="00167860" w:rsidP="00167860">
      <w:pPr>
        <w:adjustRightInd w:val="0"/>
        <w:snapToGrid w:val="0"/>
        <w:rPr>
          <w:sz w:val="22"/>
          <w:szCs w:val="22"/>
          <w:lang w:eastAsia="ko-KR"/>
        </w:rPr>
      </w:pPr>
      <w:r w:rsidRPr="00CB6C95">
        <w:rPr>
          <w:sz w:val="22"/>
          <w:szCs w:val="22"/>
          <w:lang w:eastAsia="ko-KR"/>
        </w:rPr>
        <w:t>NFMRA</w:t>
      </w:r>
    </w:p>
    <w:p w14:paraId="284B0350" w14:textId="77777777" w:rsidR="00167860" w:rsidRPr="00CB6C95" w:rsidRDefault="00167860" w:rsidP="00167860">
      <w:pPr>
        <w:adjustRightInd w:val="0"/>
        <w:snapToGrid w:val="0"/>
        <w:rPr>
          <w:sz w:val="22"/>
          <w:szCs w:val="22"/>
          <w:lang w:eastAsia="ko-KR"/>
        </w:rPr>
      </w:pPr>
      <w:r w:rsidRPr="00CB6C95">
        <w:rPr>
          <w:sz w:val="22"/>
          <w:szCs w:val="22"/>
          <w:lang w:eastAsia="ko-KR"/>
        </w:rPr>
        <w:t>Denig District, Republic of Nauru</w:t>
      </w:r>
    </w:p>
    <w:p w14:paraId="60CAD2C7" w14:textId="77777777" w:rsidR="00167860" w:rsidRPr="00CB6C95" w:rsidRDefault="00167860" w:rsidP="00167860">
      <w:pPr>
        <w:adjustRightInd w:val="0"/>
        <w:snapToGrid w:val="0"/>
        <w:rPr>
          <w:sz w:val="22"/>
          <w:szCs w:val="22"/>
          <w:lang w:eastAsia="ko-KR"/>
        </w:rPr>
      </w:pPr>
      <w:r w:rsidRPr="00CB6C95">
        <w:rPr>
          <w:sz w:val="22"/>
          <w:szCs w:val="22"/>
          <w:lang w:eastAsia="ko-KR"/>
        </w:rPr>
        <w:t>+674 557 3911</w:t>
      </w:r>
    </w:p>
    <w:p w14:paraId="6004F767" w14:textId="77777777" w:rsidR="00167860" w:rsidRPr="00CB6C95" w:rsidRDefault="00167860" w:rsidP="00167860">
      <w:pPr>
        <w:adjustRightInd w:val="0"/>
        <w:snapToGrid w:val="0"/>
        <w:rPr>
          <w:sz w:val="22"/>
          <w:szCs w:val="22"/>
          <w:lang w:eastAsia="ko-KR"/>
        </w:rPr>
      </w:pPr>
      <w:r w:rsidRPr="00CB6C95">
        <w:rPr>
          <w:sz w:val="22"/>
          <w:szCs w:val="22"/>
          <w:lang w:eastAsia="ko-KR"/>
        </w:rPr>
        <w:t>acecapelle@gmail.com</w:t>
      </w:r>
    </w:p>
    <w:p w14:paraId="399425D3" w14:textId="77777777" w:rsidR="00167860" w:rsidRPr="00CB6C95" w:rsidRDefault="00167860" w:rsidP="00167860">
      <w:pPr>
        <w:adjustRightInd w:val="0"/>
        <w:snapToGrid w:val="0"/>
        <w:rPr>
          <w:sz w:val="22"/>
          <w:szCs w:val="22"/>
          <w:lang w:eastAsia="ko-KR"/>
        </w:rPr>
      </w:pPr>
    </w:p>
    <w:p w14:paraId="037BEFB7" w14:textId="77777777" w:rsidR="00167860" w:rsidRPr="00CB6C95" w:rsidRDefault="00167860" w:rsidP="00167860">
      <w:pPr>
        <w:adjustRightInd w:val="0"/>
        <w:snapToGrid w:val="0"/>
        <w:rPr>
          <w:b/>
          <w:sz w:val="22"/>
          <w:szCs w:val="22"/>
          <w:lang w:eastAsia="ko-KR"/>
        </w:rPr>
      </w:pPr>
      <w:r w:rsidRPr="00CB6C95">
        <w:rPr>
          <w:b/>
          <w:sz w:val="22"/>
          <w:szCs w:val="22"/>
          <w:lang w:eastAsia="ko-KR"/>
        </w:rPr>
        <w:t>Karlick Agir</w:t>
      </w:r>
    </w:p>
    <w:p w14:paraId="44A7EDB6" w14:textId="77777777" w:rsidR="00167860" w:rsidRPr="00CB6C95" w:rsidRDefault="00167860" w:rsidP="00167860">
      <w:pPr>
        <w:adjustRightInd w:val="0"/>
        <w:snapToGrid w:val="0"/>
        <w:rPr>
          <w:sz w:val="22"/>
          <w:szCs w:val="22"/>
          <w:lang w:eastAsia="ko-KR"/>
        </w:rPr>
      </w:pPr>
      <w:r w:rsidRPr="00CB6C95">
        <w:rPr>
          <w:sz w:val="22"/>
          <w:szCs w:val="22"/>
          <w:lang w:eastAsia="ko-KR"/>
        </w:rPr>
        <w:t>Catch Data Officer</w:t>
      </w:r>
    </w:p>
    <w:p w14:paraId="79573BBA" w14:textId="77777777" w:rsidR="00167860" w:rsidRPr="00CB6C95" w:rsidRDefault="00167860" w:rsidP="00167860">
      <w:pPr>
        <w:adjustRightInd w:val="0"/>
        <w:snapToGrid w:val="0"/>
        <w:rPr>
          <w:sz w:val="22"/>
          <w:szCs w:val="22"/>
          <w:lang w:eastAsia="ko-KR"/>
        </w:rPr>
      </w:pPr>
      <w:r w:rsidRPr="00CB6C95">
        <w:rPr>
          <w:sz w:val="22"/>
          <w:szCs w:val="22"/>
          <w:lang w:eastAsia="ko-KR"/>
        </w:rPr>
        <w:t>Nauru Fisheries and Marine Resources Authority</w:t>
      </w:r>
    </w:p>
    <w:p w14:paraId="229B3BE5" w14:textId="77777777" w:rsidR="00167860" w:rsidRPr="00CB6C95" w:rsidRDefault="00167860" w:rsidP="00167860">
      <w:pPr>
        <w:adjustRightInd w:val="0"/>
        <w:snapToGrid w:val="0"/>
        <w:rPr>
          <w:sz w:val="22"/>
          <w:szCs w:val="22"/>
          <w:lang w:eastAsia="ko-KR"/>
        </w:rPr>
      </w:pPr>
      <w:r w:rsidRPr="00CB6C95">
        <w:rPr>
          <w:sz w:val="22"/>
          <w:szCs w:val="22"/>
          <w:lang w:eastAsia="ko-KR"/>
        </w:rPr>
        <w:t>Yaren District, Republic of Nauru</w:t>
      </w:r>
      <w:r w:rsidRPr="00CB6C95">
        <w:rPr>
          <w:sz w:val="22"/>
          <w:szCs w:val="22"/>
          <w:lang w:eastAsia="ko-KR"/>
        </w:rPr>
        <w:br/>
        <w:t>6745573733</w:t>
      </w:r>
    </w:p>
    <w:p w14:paraId="38557444" w14:textId="77777777" w:rsidR="00167860" w:rsidRPr="00CB6C95" w:rsidRDefault="00167860" w:rsidP="00167860">
      <w:pPr>
        <w:adjustRightInd w:val="0"/>
        <w:snapToGrid w:val="0"/>
        <w:rPr>
          <w:sz w:val="22"/>
          <w:szCs w:val="22"/>
          <w:lang w:eastAsia="ko-KR"/>
        </w:rPr>
      </w:pPr>
      <w:r w:rsidRPr="00CB6C95">
        <w:rPr>
          <w:sz w:val="22"/>
          <w:szCs w:val="22"/>
          <w:lang w:eastAsia="ko-KR"/>
        </w:rPr>
        <w:t>k.agir1957@gmail.com</w:t>
      </w:r>
    </w:p>
    <w:p w14:paraId="415A37C2" w14:textId="77777777" w:rsidR="00167860" w:rsidRPr="00CB6C95" w:rsidRDefault="00167860" w:rsidP="00167860">
      <w:pPr>
        <w:adjustRightInd w:val="0"/>
        <w:snapToGrid w:val="0"/>
        <w:rPr>
          <w:sz w:val="22"/>
          <w:szCs w:val="22"/>
          <w:lang w:eastAsia="ko-KR"/>
        </w:rPr>
      </w:pPr>
    </w:p>
    <w:p w14:paraId="3D19EC43" w14:textId="77777777" w:rsidR="00167860" w:rsidRPr="00CB6C95" w:rsidRDefault="00167860" w:rsidP="00167860">
      <w:pPr>
        <w:adjustRightInd w:val="0"/>
        <w:snapToGrid w:val="0"/>
        <w:rPr>
          <w:b/>
          <w:sz w:val="22"/>
          <w:szCs w:val="22"/>
          <w:lang w:eastAsia="ko-KR"/>
        </w:rPr>
      </w:pPr>
      <w:r w:rsidRPr="00CB6C95">
        <w:rPr>
          <w:b/>
          <w:sz w:val="22"/>
          <w:szCs w:val="22"/>
          <w:lang w:eastAsia="ko-KR"/>
        </w:rPr>
        <w:t>Camalus Ambrose Reiyetsi</w:t>
      </w:r>
    </w:p>
    <w:p w14:paraId="26899790" w14:textId="77777777" w:rsidR="00167860" w:rsidRPr="00CB6C95" w:rsidRDefault="00167860" w:rsidP="00167860">
      <w:pPr>
        <w:adjustRightInd w:val="0"/>
        <w:snapToGrid w:val="0"/>
        <w:rPr>
          <w:sz w:val="22"/>
          <w:szCs w:val="22"/>
          <w:lang w:eastAsia="ko-KR"/>
        </w:rPr>
      </w:pPr>
      <w:r w:rsidRPr="00CB6C95">
        <w:rPr>
          <w:sz w:val="22"/>
          <w:szCs w:val="22"/>
          <w:lang w:eastAsia="ko-KR"/>
        </w:rPr>
        <w:t>Senior Oceanic Fisheries Officer</w:t>
      </w:r>
    </w:p>
    <w:p w14:paraId="07884542" w14:textId="77777777" w:rsidR="00167860" w:rsidRPr="00CB6C95" w:rsidRDefault="00167860" w:rsidP="00167860">
      <w:pPr>
        <w:adjustRightInd w:val="0"/>
        <w:snapToGrid w:val="0"/>
        <w:rPr>
          <w:sz w:val="22"/>
          <w:szCs w:val="22"/>
          <w:lang w:eastAsia="ko-KR"/>
        </w:rPr>
      </w:pPr>
      <w:r w:rsidRPr="00CB6C95">
        <w:rPr>
          <w:sz w:val="22"/>
          <w:szCs w:val="22"/>
          <w:lang w:eastAsia="ko-KR"/>
        </w:rPr>
        <w:t>Nauru Fisheries and Marine Resources Authority</w:t>
      </w:r>
    </w:p>
    <w:p w14:paraId="11D5B591" w14:textId="77777777" w:rsidR="00167860" w:rsidRPr="00CB6C95" w:rsidRDefault="00167860" w:rsidP="00167860">
      <w:pPr>
        <w:adjustRightInd w:val="0"/>
        <w:snapToGrid w:val="0"/>
        <w:rPr>
          <w:sz w:val="22"/>
          <w:szCs w:val="22"/>
          <w:lang w:eastAsia="ko-KR"/>
        </w:rPr>
      </w:pPr>
      <w:r w:rsidRPr="00CB6C95">
        <w:rPr>
          <w:sz w:val="22"/>
          <w:szCs w:val="22"/>
          <w:lang w:eastAsia="ko-KR"/>
        </w:rPr>
        <w:t>Uaboe District, Republic of Nauru</w:t>
      </w:r>
      <w:r w:rsidRPr="00CB6C95">
        <w:rPr>
          <w:sz w:val="22"/>
          <w:szCs w:val="22"/>
          <w:lang w:eastAsia="ko-KR"/>
        </w:rPr>
        <w:br/>
        <w:t>6745573733</w:t>
      </w:r>
    </w:p>
    <w:p w14:paraId="4EA3452E" w14:textId="77777777" w:rsidR="00167860" w:rsidRPr="00CB6C95" w:rsidRDefault="00167860" w:rsidP="00167860">
      <w:pPr>
        <w:adjustRightInd w:val="0"/>
        <w:snapToGrid w:val="0"/>
        <w:rPr>
          <w:sz w:val="22"/>
          <w:szCs w:val="22"/>
          <w:lang w:eastAsia="ko-KR"/>
        </w:rPr>
      </w:pPr>
      <w:r w:rsidRPr="00CB6C95">
        <w:rPr>
          <w:sz w:val="22"/>
          <w:szCs w:val="22"/>
          <w:lang w:eastAsia="ko-KR"/>
        </w:rPr>
        <w:t>camalus.reiyetsi@gmail.com</w:t>
      </w:r>
    </w:p>
    <w:p w14:paraId="68A1D6D1" w14:textId="77777777" w:rsidR="00167860" w:rsidRPr="00CB6C95" w:rsidRDefault="00167860" w:rsidP="00167860">
      <w:pPr>
        <w:adjustRightInd w:val="0"/>
        <w:snapToGrid w:val="0"/>
        <w:rPr>
          <w:sz w:val="22"/>
          <w:szCs w:val="22"/>
          <w:lang w:eastAsia="ko-KR"/>
        </w:rPr>
      </w:pPr>
    </w:p>
    <w:p w14:paraId="23BAF95A"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New Zealand</w:t>
      </w:r>
    </w:p>
    <w:p w14:paraId="56FCBAF9" w14:textId="77777777" w:rsidR="00167860" w:rsidRPr="00CB6C95" w:rsidRDefault="00167860" w:rsidP="00167860">
      <w:pPr>
        <w:adjustRightInd w:val="0"/>
        <w:snapToGrid w:val="0"/>
        <w:rPr>
          <w:b/>
          <w:sz w:val="22"/>
          <w:szCs w:val="22"/>
          <w:lang w:eastAsia="ko-KR"/>
        </w:rPr>
      </w:pPr>
    </w:p>
    <w:p w14:paraId="389DD506" w14:textId="77777777" w:rsidR="00167860" w:rsidRPr="00CB6C95" w:rsidRDefault="00167860" w:rsidP="00167860">
      <w:pPr>
        <w:adjustRightInd w:val="0"/>
        <w:snapToGrid w:val="0"/>
        <w:rPr>
          <w:b/>
          <w:sz w:val="22"/>
          <w:szCs w:val="22"/>
          <w:lang w:eastAsia="ko-KR"/>
        </w:rPr>
      </w:pPr>
      <w:r w:rsidRPr="00CB6C95">
        <w:rPr>
          <w:b/>
          <w:sz w:val="22"/>
          <w:szCs w:val="22"/>
          <w:lang w:eastAsia="ko-KR"/>
        </w:rPr>
        <w:t>John H Annala</w:t>
      </w:r>
    </w:p>
    <w:p w14:paraId="1A02169B" w14:textId="77777777" w:rsidR="00167860" w:rsidRPr="00CB6C95" w:rsidRDefault="00167860" w:rsidP="00167860">
      <w:pPr>
        <w:adjustRightInd w:val="0"/>
        <w:snapToGrid w:val="0"/>
        <w:rPr>
          <w:sz w:val="22"/>
          <w:szCs w:val="22"/>
          <w:lang w:eastAsia="ko-KR"/>
        </w:rPr>
      </w:pPr>
      <w:r w:rsidRPr="00CB6C95">
        <w:rPr>
          <w:sz w:val="22"/>
          <w:szCs w:val="22"/>
          <w:lang w:eastAsia="ko-KR"/>
        </w:rPr>
        <w:t>Principal Scientist</w:t>
      </w:r>
    </w:p>
    <w:p w14:paraId="5D2A0077" w14:textId="77777777" w:rsidR="00167860" w:rsidRPr="00CB6C95" w:rsidRDefault="00167860" w:rsidP="00167860">
      <w:pPr>
        <w:adjustRightInd w:val="0"/>
        <w:snapToGrid w:val="0"/>
        <w:rPr>
          <w:sz w:val="22"/>
          <w:szCs w:val="22"/>
          <w:lang w:eastAsia="ko-KR"/>
        </w:rPr>
      </w:pPr>
      <w:r w:rsidRPr="00CB6C95">
        <w:rPr>
          <w:sz w:val="22"/>
          <w:szCs w:val="22"/>
          <w:lang w:eastAsia="ko-KR"/>
        </w:rPr>
        <w:t>New Zealand Ministry for Primary Industries</w:t>
      </w:r>
    </w:p>
    <w:p w14:paraId="2F60AC00" w14:textId="77777777" w:rsidR="00167860" w:rsidRPr="00CB6C95" w:rsidRDefault="00167860" w:rsidP="00167860">
      <w:pPr>
        <w:adjustRightInd w:val="0"/>
        <w:snapToGrid w:val="0"/>
        <w:rPr>
          <w:sz w:val="22"/>
          <w:szCs w:val="22"/>
          <w:lang w:eastAsia="ko-KR"/>
        </w:rPr>
      </w:pPr>
      <w:r w:rsidRPr="00CB6C95">
        <w:rPr>
          <w:sz w:val="22"/>
          <w:szCs w:val="22"/>
          <w:lang w:eastAsia="ko-KR"/>
        </w:rPr>
        <w:t>Pastoral House</w:t>
      </w:r>
      <w:r w:rsidRPr="00CB6C95">
        <w:rPr>
          <w:sz w:val="22"/>
          <w:szCs w:val="22"/>
          <w:lang w:eastAsia="ko-KR"/>
        </w:rPr>
        <w:br/>
        <w:t>25 The Terrace. Wellington  6011</w:t>
      </w:r>
    </w:p>
    <w:p w14:paraId="2AB33C84" w14:textId="77777777" w:rsidR="00167860" w:rsidRPr="00CB6C95" w:rsidRDefault="00167860" w:rsidP="00167860">
      <w:pPr>
        <w:adjustRightInd w:val="0"/>
        <w:snapToGrid w:val="0"/>
        <w:rPr>
          <w:sz w:val="22"/>
          <w:szCs w:val="22"/>
          <w:lang w:eastAsia="ko-KR"/>
        </w:rPr>
      </w:pPr>
      <w:r w:rsidRPr="00CB6C95">
        <w:rPr>
          <w:sz w:val="22"/>
          <w:szCs w:val="22"/>
          <w:lang w:eastAsia="ko-KR"/>
        </w:rPr>
        <w:t>644-819-4718</w:t>
      </w:r>
    </w:p>
    <w:p w14:paraId="3925567D" w14:textId="77777777" w:rsidR="00167860" w:rsidRPr="00CB6C95" w:rsidRDefault="00167860" w:rsidP="00167860">
      <w:pPr>
        <w:adjustRightInd w:val="0"/>
        <w:snapToGrid w:val="0"/>
        <w:rPr>
          <w:sz w:val="22"/>
          <w:szCs w:val="22"/>
          <w:lang w:eastAsia="ko-KR"/>
        </w:rPr>
      </w:pPr>
      <w:r w:rsidRPr="00CB6C95">
        <w:rPr>
          <w:sz w:val="22"/>
          <w:szCs w:val="22"/>
          <w:lang w:eastAsia="ko-KR"/>
        </w:rPr>
        <w:t>john.annala@mpi.govt.nz</w:t>
      </w:r>
    </w:p>
    <w:p w14:paraId="6873DEA3" w14:textId="77777777" w:rsidR="00167860" w:rsidRPr="00CB6C95" w:rsidRDefault="00167860" w:rsidP="00167860">
      <w:pPr>
        <w:adjustRightInd w:val="0"/>
        <w:snapToGrid w:val="0"/>
        <w:rPr>
          <w:sz w:val="22"/>
          <w:szCs w:val="22"/>
          <w:lang w:eastAsia="ko-KR"/>
        </w:rPr>
      </w:pPr>
    </w:p>
    <w:p w14:paraId="4030FC44" w14:textId="77777777" w:rsidR="00167860" w:rsidRPr="00CB6C95" w:rsidRDefault="00167860" w:rsidP="00167860">
      <w:pPr>
        <w:adjustRightInd w:val="0"/>
        <w:snapToGrid w:val="0"/>
        <w:rPr>
          <w:b/>
          <w:sz w:val="22"/>
          <w:szCs w:val="22"/>
          <w:lang w:eastAsia="ko-KR"/>
        </w:rPr>
      </w:pPr>
      <w:r w:rsidRPr="00CB6C95">
        <w:rPr>
          <w:b/>
          <w:sz w:val="22"/>
          <w:szCs w:val="22"/>
          <w:lang w:eastAsia="ko-KR"/>
        </w:rPr>
        <w:t>Aimeee Komugabe-Dixson</w:t>
      </w:r>
    </w:p>
    <w:p w14:paraId="324A8981" w14:textId="77777777" w:rsidR="00167860" w:rsidRPr="00CB6C95" w:rsidRDefault="00167860" w:rsidP="00167860">
      <w:pPr>
        <w:adjustRightInd w:val="0"/>
        <w:snapToGrid w:val="0"/>
        <w:rPr>
          <w:sz w:val="22"/>
          <w:szCs w:val="22"/>
          <w:lang w:eastAsia="ko-KR"/>
        </w:rPr>
      </w:pPr>
      <w:r w:rsidRPr="00CB6C95">
        <w:rPr>
          <w:sz w:val="22"/>
          <w:szCs w:val="22"/>
          <w:lang w:eastAsia="ko-KR"/>
        </w:rPr>
        <w:t>Pacific Fisheries Advisor</w:t>
      </w:r>
    </w:p>
    <w:p w14:paraId="7089FAAB" w14:textId="77777777" w:rsidR="00167860" w:rsidRPr="00CB6C95" w:rsidRDefault="00167860" w:rsidP="00167860">
      <w:pPr>
        <w:adjustRightInd w:val="0"/>
        <w:snapToGrid w:val="0"/>
        <w:rPr>
          <w:sz w:val="22"/>
          <w:szCs w:val="22"/>
          <w:lang w:eastAsia="ko-KR"/>
        </w:rPr>
      </w:pPr>
      <w:r w:rsidRPr="00CB6C95">
        <w:rPr>
          <w:sz w:val="22"/>
          <w:szCs w:val="22"/>
          <w:lang w:eastAsia="ko-KR"/>
        </w:rPr>
        <w:t>Ministry for Primary Industries</w:t>
      </w:r>
    </w:p>
    <w:p w14:paraId="78626608" w14:textId="77777777" w:rsidR="00167860" w:rsidRPr="00CB6C95" w:rsidRDefault="00167860" w:rsidP="00167860">
      <w:pPr>
        <w:adjustRightInd w:val="0"/>
        <w:snapToGrid w:val="0"/>
        <w:rPr>
          <w:sz w:val="22"/>
          <w:szCs w:val="22"/>
          <w:lang w:eastAsia="ko-KR"/>
        </w:rPr>
      </w:pPr>
      <w:r w:rsidRPr="00CB6C95">
        <w:rPr>
          <w:sz w:val="22"/>
          <w:szCs w:val="22"/>
          <w:lang w:eastAsia="ko-KR"/>
        </w:rPr>
        <w:t>17 Maurice Wilson Ave,</w:t>
      </w:r>
      <w:r w:rsidRPr="00CB6C95">
        <w:rPr>
          <w:sz w:val="22"/>
          <w:szCs w:val="22"/>
          <w:lang w:eastAsia="ko-KR"/>
        </w:rPr>
        <w:br/>
        <w:t>Mangere, Auckland, New Zealand</w:t>
      </w:r>
    </w:p>
    <w:p w14:paraId="71F1411B" w14:textId="77777777" w:rsidR="00167860" w:rsidRPr="00CB6C95" w:rsidRDefault="00167860" w:rsidP="00167860">
      <w:pPr>
        <w:adjustRightInd w:val="0"/>
        <w:snapToGrid w:val="0"/>
        <w:rPr>
          <w:sz w:val="22"/>
          <w:szCs w:val="22"/>
          <w:lang w:eastAsia="ko-KR"/>
        </w:rPr>
      </w:pPr>
      <w:r w:rsidRPr="00CB6C95">
        <w:rPr>
          <w:sz w:val="22"/>
          <w:szCs w:val="22"/>
          <w:lang w:eastAsia="ko-KR"/>
        </w:rPr>
        <w:t>Aimee.komugabe-dixson@mpi.govt.nz</w:t>
      </w:r>
    </w:p>
    <w:p w14:paraId="4F5BA0EB" w14:textId="77777777" w:rsidR="00167860" w:rsidRPr="00CB6C95" w:rsidRDefault="00167860" w:rsidP="00167860">
      <w:pPr>
        <w:adjustRightInd w:val="0"/>
        <w:snapToGrid w:val="0"/>
        <w:rPr>
          <w:sz w:val="22"/>
          <w:szCs w:val="22"/>
          <w:lang w:eastAsia="ko-KR"/>
        </w:rPr>
      </w:pPr>
    </w:p>
    <w:p w14:paraId="093937CF" w14:textId="77777777" w:rsidR="00167860" w:rsidRPr="00CB6C95" w:rsidRDefault="00167860" w:rsidP="00167860">
      <w:pPr>
        <w:adjustRightInd w:val="0"/>
        <w:snapToGrid w:val="0"/>
        <w:rPr>
          <w:b/>
          <w:sz w:val="22"/>
          <w:szCs w:val="22"/>
          <w:lang w:eastAsia="ko-KR"/>
        </w:rPr>
      </w:pPr>
      <w:r w:rsidRPr="00CB6C95">
        <w:rPr>
          <w:b/>
          <w:sz w:val="22"/>
          <w:szCs w:val="22"/>
          <w:lang w:eastAsia="ko-KR"/>
        </w:rPr>
        <w:t>Sarah Williams</w:t>
      </w:r>
    </w:p>
    <w:p w14:paraId="731EAAE8" w14:textId="77777777" w:rsidR="00167860" w:rsidRPr="00CB6C95" w:rsidRDefault="00167860" w:rsidP="00167860">
      <w:pPr>
        <w:adjustRightInd w:val="0"/>
        <w:snapToGrid w:val="0"/>
        <w:rPr>
          <w:sz w:val="22"/>
          <w:szCs w:val="22"/>
          <w:lang w:eastAsia="ko-KR"/>
        </w:rPr>
      </w:pPr>
      <w:r w:rsidRPr="00CB6C95">
        <w:rPr>
          <w:sz w:val="22"/>
          <w:szCs w:val="22"/>
          <w:lang w:eastAsia="ko-KR"/>
        </w:rPr>
        <w:t>Senior International Advisor</w:t>
      </w:r>
    </w:p>
    <w:p w14:paraId="7A8F74A6" w14:textId="77777777" w:rsidR="00167860" w:rsidRPr="00CB6C95" w:rsidRDefault="00167860" w:rsidP="00167860">
      <w:pPr>
        <w:adjustRightInd w:val="0"/>
        <w:snapToGrid w:val="0"/>
        <w:rPr>
          <w:sz w:val="22"/>
          <w:szCs w:val="22"/>
          <w:lang w:eastAsia="ko-KR"/>
        </w:rPr>
      </w:pPr>
      <w:r w:rsidRPr="00CB6C95">
        <w:rPr>
          <w:sz w:val="22"/>
          <w:szCs w:val="22"/>
          <w:lang w:eastAsia="ko-KR"/>
        </w:rPr>
        <w:t>Ministry for Primary Industries</w:t>
      </w:r>
    </w:p>
    <w:p w14:paraId="6C7AF392" w14:textId="77777777" w:rsidR="00167860" w:rsidRPr="00CB6C95" w:rsidRDefault="00167860" w:rsidP="00167860">
      <w:pPr>
        <w:adjustRightInd w:val="0"/>
        <w:snapToGrid w:val="0"/>
        <w:rPr>
          <w:sz w:val="22"/>
          <w:szCs w:val="22"/>
          <w:lang w:eastAsia="ko-KR"/>
        </w:rPr>
      </w:pPr>
      <w:r w:rsidRPr="00CB6C95">
        <w:rPr>
          <w:sz w:val="22"/>
          <w:szCs w:val="22"/>
          <w:lang w:eastAsia="ko-KR"/>
        </w:rPr>
        <w:t>Pastoral House, 25 The Terrace, Wellington, NZ, 6011</w:t>
      </w:r>
    </w:p>
    <w:p w14:paraId="43DF1E33" w14:textId="77777777" w:rsidR="00167860" w:rsidRPr="00CB6C95" w:rsidRDefault="00167860" w:rsidP="00167860">
      <w:pPr>
        <w:adjustRightInd w:val="0"/>
        <w:snapToGrid w:val="0"/>
        <w:rPr>
          <w:sz w:val="22"/>
          <w:szCs w:val="22"/>
          <w:lang w:eastAsia="ko-KR"/>
        </w:rPr>
      </w:pPr>
      <w:r w:rsidRPr="00CB6C95">
        <w:rPr>
          <w:sz w:val="22"/>
          <w:szCs w:val="22"/>
          <w:lang w:eastAsia="ko-KR"/>
        </w:rPr>
        <w:t>6448940644</w:t>
      </w:r>
    </w:p>
    <w:p w14:paraId="61967599" w14:textId="77777777" w:rsidR="00167860" w:rsidRPr="00CB6C95" w:rsidRDefault="00167860" w:rsidP="00167860">
      <w:pPr>
        <w:adjustRightInd w:val="0"/>
        <w:snapToGrid w:val="0"/>
        <w:rPr>
          <w:sz w:val="22"/>
          <w:szCs w:val="22"/>
          <w:lang w:eastAsia="ko-KR"/>
        </w:rPr>
      </w:pPr>
      <w:r w:rsidRPr="00CB6C95">
        <w:rPr>
          <w:sz w:val="22"/>
          <w:szCs w:val="22"/>
          <w:lang w:eastAsia="ko-KR"/>
        </w:rPr>
        <w:t>Sarah.williams@mpi.govt.mz</w:t>
      </w:r>
    </w:p>
    <w:p w14:paraId="642A5E13" w14:textId="77777777" w:rsidR="00167860" w:rsidRPr="00CB6C95" w:rsidRDefault="00167860" w:rsidP="00167860">
      <w:pPr>
        <w:adjustRightInd w:val="0"/>
        <w:snapToGrid w:val="0"/>
        <w:rPr>
          <w:sz w:val="22"/>
          <w:szCs w:val="22"/>
          <w:lang w:eastAsia="ko-KR"/>
        </w:rPr>
      </w:pPr>
    </w:p>
    <w:p w14:paraId="4867E388" w14:textId="77777777" w:rsidR="00167860" w:rsidRPr="00CB6C95" w:rsidRDefault="00167860" w:rsidP="00167860">
      <w:pPr>
        <w:adjustRightInd w:val="0"/>
        <w:snapToGrid w:val="0"/>
        <w:rPr>
          <w:b/>
          <w:sz w:val="22"/>
          <w:szCs w:val="22"/>
          <w:lang w:eastAsia="ko-KR"/>
        </w:rPr>
      </w:pPr>
      <w:r w:rsidRPr="00CB6C95">
        <w:rPr>
          <w:b/>
          <w:sz w:val="22"/>
          <w:szCs w:val="22"/>
          <w:lang w:eastAsia="ko-KR"/>
        </w:rPr>
        <w:t>Igor Debski</w:t>
      </w:r>
    </w:p>
    <w:p w14:paraId="5490B012" w14:textId="77777777" w:rsidR="00167860" w:rsidRPr="00CB6C95" w:rsidRDefault="00167860" w:rsidP="00167860">
      <w:pPr>
        <w:adjustRightInd w:val="0"/>
        <w:snapToGrid w:val="0"/>
        <w:rPr>
          <w:sz w:val="22"/>
          <w:szCs w:val="22"/>
          <w:lang w:eastAsia="ko-KR"/>
        </w:rPr>
      </w:pPr>
      <w:r w:rsidRPr="00CB6C95">
        <w:rPr>
          <w:sz w:val="22"/>
          <w:szCs w:val="22"/>
          <w:lang w:eastAsia="ko-KR"/>
        </w:rPr>
        <w:t>Science Advisor</w:t>
      </w:r>
    </w:p>
    <w:p w14:paraId="4DBF904F" w14:textId="77777777" w:rsidR="00167860" w:rsidRPr="00CB6C95" w:rsidRDefault="00167860" w:rsidP="00167860">
      <w:pPr>
        <w:adjustRightInd w:val="0"/>
        <w:snapToGrid w:val="0"/>
        <w:rPr>
          <w:sz w:val="22"/>
          <w:szCs w:val="22"/>
          <w:lang w:eastAsia="ko-KR"/>
        </w:rPr>
      </w:pPr>
      <w:r w:rsidRPr="00CB6C95">
        <w:rPr>
          <w:sz w:val="22"/>
          <w:szCs w:val="22"/>
          <w:lang w:eastAsia="ko-KR"/>
        </w:rPr>
        <w:t>Department of Conservation</w:t>
      </w:r>
    </w:p>
    <w:p w14:paraId="49100482" w14:textId="77777777" w:rsidR="00167860" w:rsidRPr="00CB6C95" w:rsidRDefault="00167860" w:rsidP="00167860">
      <w:pPr>
        <w:adjustRightInd w:val="0"/>
        <w:snapToGrid w:val="0"/>
        <w:rPr>
          <w:sz w:val="22"/>
          <w:szCs w:val="22"/>
          <w:lang w:eastAsia="ko-KR"/>
        </w:rPr>
      </w:pPr>
      <w:r w:rsidRPr="00CB6C95">
        <w:rPr>
          <w:sz w:val="22"/>
          <w:szCs w:val="22"/>
          <w:lang w:eastAsia="ko-KR"/>
        </w:rPr>
        <w:t>idebski@doc.govt.nz</w:t>
      </w:r>
    </w:p>
    <w:p w14:paraId="0689D8F4" w14:textId="77777777" w:rsidR="00167860" w:rsidRPr="00CB6C95" w:rsidRDefault="00167860" w:rsidP="00167860">
      <w:pPr>
        <w:adjustRightInd w:val="0"/>
        <w:snapToGrid w:val="0"/>
        <w:rPr>
          <w:sz w:val="22"/>
          <w:szCs w:val="22"/>
          <w:lang w:eastAsia="ko-KR"/>
        </w:rPr>
      </w:pPr>
    </w:p>
    <w:p w14:paraId="7154C76E"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Palau</w:t>
      </w:r>
    </w:p>
    <w:p w14:paraId="5C73A90A" w14:textId="77777777" w:rsidR="00167860" w:rsidRPr="00CB6C95" w:rsidRDefault="00167860" w:rsidP="00167860">
      <w:pPr>
        <w:adjustRightInd w:val="0"/>
        <w:snapToGrid w:val="0"/>
        <w:rPr>
          <w:b/>
          <w:sz w:val="22"/>
          <w:szCs w:val="22"/>
          <w:lang w:eastAsia="ko-KR"/>
        </w:rPr>
      </w:pPr>
    </w:p>
    <w:p w14:paraId="5C28DBFE" w14:textId="77777777" w:rsidR="00167860" w:rsidRPr="00CB6C95" w:rsidRDefault="00167860" w:rsidP="00167860">
      <w:pPr>
        <w:adjustRightInd w:val="0"/>
        <w:snapToGrid w:val="0"/>
        <w:rPr>
          <w:b/>
          <w:sz w:val="22"/>
          <w:szCs w:val="22"/>
          <w:lang w:eastAsia="ko-KR"/>
        </w:rPr>
      </w:pPr>
      <w:r w:rsidRPr="00CB6C95">
        <w:rPr>
          <w:b/>
          <w:sz w:val="22"/>
          <w:szCs w:val="22"/>
          <w:lang w:eastAsia="ko-KR"/>
        </w:rPr>
        <w:t>Kathleen Sisior</w:t>
      </w:r>
    </w:p>
    <w:p w14:paraId="268C86AD" w14:textId="77777777" w:rsidR="00167860" w:rsidRPr="00CB6C95" w:rsidRDefault="00167860" w:rsidP="00167860">
      <w:pPr>
        <w:adjustRightInd w:val="0"/>
        <w:snapToGrid w:val="0"/>
        <w:rPr>
          <w:sz w:val="22"/>
          <w:szCs w:val="22"/>
          <w:lang w:eastAsia="ko-KR"/>
        </w:rPr>
      </w:pPr>
      <w:r w:rsidRPr="00CB6C95">
        <w:rPr>
          <w:sz w:val="22"/>
          <w:szCs w:val="22"/>
          <w:lang w:eastAsia="ko-KR"/>
        </w:rPr>
        <w:t>Fisheries Licensing/Revenue Officer II</w:t>
      </w:r>
    </w:p>
    <w:p w14:paraId="781767CC"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Natural Resources Environment and Tourism</w:t>
      </w:r>
    </w:p>
    <w:p w14:paraId="34F5EBDB" w14:textId="77777777" w:rsidR="00167860" w:rsidRPr="00CB6C95" w:rsidRDefault="00167860" w:rsidP="00167860">
      <w:pPr>
        <w:adjustRightInd w:val="0"/>
        <w:snapToGrid w:val="0"/>
        <w:rPr>
          <w:sz w:val="22"/>
          <w:szCs w:val="22"/>
          <w:lang w:eastAsia="ko-KR"/>
        </w:rPr>
      </w:pPr>
      <w:r w:rsidRPr="00CB6C95">
        <w:rPr>
          <w:sz w:val="22"/>
          <w:szCs w:val="22"/>
          <w:lang w:eastAsia="ko-KR"/>
        </w:rPr>
        <w:t>P.O.BOX 117, Malakal Street</w:t>
      </w:r>
      <w:r w:rsidRPr="00CB6C95">
        <w:rPr>
          <w:sz w:val="22"/>
          <w:szCs w:val="22"/>
          <w:lang w:eastAsia="ko-KR"/>
        </w:rPr>
        <w:br/>
        <w:t>Koror, Republic of Palau 96940</w:t>
      </w:r>
    </w:p>
    <w:p w14:paraId="5965F604" w14:textId="77777777" w:rsidR="00167860" w:rsidRPr="00CB6C95" w:rsidRDefault="00167860" w:rsidP="00167860">
      <w:pPr>
        <w:adjustRightInd w:val="0"/>
        <w:snapToGrid w:val="0"/>
        <w:rPr>
          <w:sz w:val="22"/>
          <w:szCs w:val="22"/>
          <w:lang w:eastAsia="ko-KR"/>
        </w:rPr>
      </w:pPr>
      <w:r w:rsidRPr="00CB6C95">
        <w:rPr>
          <w:sz w:val="22"/>
          <w:szCs w:val="22"/>
          <w:lang w:eastAsia="ko-KR"/>
        </w:rPr>
        <w:t>6804884394</w:t>
      </w:r>
    </w:p>
    <w:p w14:paraId="379BDFE7" w14:textId="77777777" w:rsidR="00167860" w:rsidRPr="00CB6C95" w:rsidRDefault="00167860" w:rsidP="00167860">
      <w:pPr>
        <w:adjustRightInd w:val="0"/>
        <w:snapToGrid w:val="0"/>
        <w:rPr>
          <w:sz w:val="22"/>
          <w:szCs w:val="22"/>
          <w:lang w:eastAsia="ko-KR"/>
        </w:rPr>
      </w:pPr>
      <w:r w:rsidRPr="00CB6C95">
        <w:rPr>
          <w:sz w:val="22"/>
          <w:szCs w:val="22"/>
          <w:lang w:eastAsia="ko-KR"/>
        </w:rPr>
        <w:t>utau.sisior@gmail.com</w:t>
      </w:r>
    </w:p>
    <w:p w14:paraId="71E982B2" w14:textId="77777777" w:rsidR="00167860" w:rsidRPr="00CB6C95" w:rsidRDefault="00167860" w:rsidP="00167860">
      <w:pPr>
        <w:adjustRightInd w:val="0"/>
        <w:snapToGrid w:val="0"/>
        <w:rPr>
          <w:sz w:val="22"/>
          <w:szCs w:val="22"/>
          <w:lang w:eastAsia="ko-KR"/>
        </w:rPr>
      </w:pPr>
    </w:p>
    <w:p w14:paraId="2647E871" w14:textId="77777777" w:rsidR="00167860" w:rsidRPr="00CB6C95" w:rsidRDefault="00167860" w:rsidP="00167860">
      <w:pPr>
        <w:adjustRightInd w:val="0"/>
        <w:snapToGrid w:val="0"/>
        <w:rPr>
          <w:b/>
          <w:sz w:val="22"/>
          <w:szCs w:val="22"/>
          <w:lang w:eastAsia="ko-KR"/>
        </w:rPr>
      </w:pPr>
      <w:r w:rsidRPr="00CB6C95">
        <w:rPr>
          <w:b/>
          <w:sz w:val="22"/>
          <w:szCs w:val="22"/>
          <w:lang w:eastAsia="ko-KR"/>
        </w:rPr>
        <w:t>Zilah D. Oiterong</w:t>
      </w:r>
    </w:p>
    <w:p w14:paraId="2FAD019B" w14:textId="77777777" w:rsidR="00167860" w:rsidRPr="00CB6C95" w:rsidRDefault="00167860" w:rsidP="00167860">
      <w:pPr>
        <w:adjustRightInd w:val="0"/>
        <w:snapToGrid w:val="0"/>
        <w:rPr>
          <w:sz w:val="22"/>
          <w:szCs w:val="22"/>
          <w:lang w:eastAsia="ko-KR"/>
        </w:rPr>
      </w:pPr>
      <w:r w:rsidRPr="00CB6C95">
        <w:rPr>
          <w:sz w:val="22"/>
          <w:szCs w:val="22"/>
          <w:lang w:eastAsia="ko-KR"/>
        </w:rPr>
        <w:t>Data Entry Clerk</w:t>
      </w:r>
    </w:p>
    <w:p w14:paraId="1B2366E3"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Natural Resources Environment and Tourism</w:t>
      </w:r>
    </w:p>
    <w:p w14:paraId="382EC232" w14:textId="77777777" w:rsidR="00167860" w:rsidRPr="00CB6C95" w:rsidRDefault="00167860" w:rsidP="00167860">
      <w:pPr>
        <w:adjustRightInd w:val="0"/>
        <w:snapToGrid w:val="0"/>
        <w:rPr>
          <w:sz w:val="22"/>
          <w:szCs w:val="22"/>
          <w:lang w:eastAsia="ko-KR"/>
        </w:rPr>
      </w:pPr>
      <w:r w:rsidRPr="00CB6C95">
        <w:rPr>
          <w:sz w:val="22"/>
          <w:szCs w:val="22"/>
          <w:lang w:eastAsia="ko-KR"/>
        </w:rPr>
        <w:t>P.O. Box 117, Malakal Street</w:t>
      </w:r>
      <w:r w:rsidRPr="00CB6C95">
        <w:rPr>
          <w:sz w:val="22"/>
          <w:szCs w:val="22"/>
          <w:lang w:eastAsia="ko-KR"/>
        </w:rPr>
        <w:br/>
        <w:t>Koror, Palau 96940</w:t>
      </w:r>
    </w:p>
    <w:p w14:paraId="74DCC6B0" w14:textId="77777777" w:rsidR="00167860" w:rsidRPr="00CB6C95" w:rsidRDefault="00167860" w:rsidP="00167860">
      <w:pPr>
        <w:adjustRightInd w:val="0"/>
        <w:snapToGrid w:val="0"/>
        <w:rPr>
          <w:sz w:val="22"/>
          <w:szCs w:val="22"/>
          <w:lang w:eastAsia="ko-KR"/>
        </w:rPr>
      </w:pPr>
      <w:r w:rsidRPr="00CB6C95">
        <w:rPr>
          <w:sz w:val="22"/>
          <w:szCs w:val="22"/>
          <w:lang w:eastAsia="ko-KR"/>
        </w:rPr>
        <w:t>(680) 488-4394</w:t>
      </w:r>
    </w:p>
    <w:p w14:paraId="54BF3590" w14:textId="77777777" w:rsidR="00167860" w:rsidRPr="00CB6C95" w:rsidRDefault="00167860" w:rsidP="00167860">
      <w:pPr>
        <w:adjustRightInd w:val="0"/>
        <w:snapToGrid w:val="0"/>
        <w:rPr>
          <w:sz w:val="22"/>
          <w:szCs w:val="22"/>
          <w:lang w:eastAsia="ko-KR"/>
        </w:rPr>
      </w:pPr>
      <w:r w:rsidRPr="00CB6C95">
        <w:rPr>
          <w:sz w:val="22"/>
          <w:szCs w:val="22"/>
          <w:lang w:eastAsia="ko-KR"/>
        </w:rPr>
        <w:t>dirremeang@gmail.com</w:t>
      </w:r>
    </w:p>
    <w:p w14:paraId="4676B73E" w14:textId="77777777" w:rsidR="00167860" w:rsidRPr="00CB6C95" w:rsidRDefault="00167860" w:rsidP="00167860">
      <w:pPr>
        <w:adjustRightInd w:val="0"/>
        <w:snapToGrid w:val="0"/>
        <w:rPr>
          <w:sz w:val="22"/>
          <w:szCs w:val="22"/>
          <w:lang w:eastAsia="ko-KR"/>
        </w:rPr>
      </w:pPr>
    </w:p>
    <w:p w14:paraId="5360AEDF"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Papua New Guinea</w:t>
      </w:r>
    </w:p>
    <w:p w14:paraId="3F2189B0" w14:textId="77777777" w:rsidR="00167860" w:rsidRPr="00CB6C95" w:rsidRDefault="00167860" w:rsidP="00167860">
      <w:pPr>
        <w:adjustRightInd w:val="0"/>
        <w:snapToGrid w:val="0"/>
        <w:rPr>
          <w:b/>
          <w:sz w:val="22"/>
          <w:szCs w:val="22"/>
          <w:lang w:eastAsia="ko-KR"/>
        </w:rPr>
      </w:pPr>
    </w:p>
    <w:p w14:paraId="04ABF544" w14:textId="77777777" w:rsidR="00167860" w:rsidRPr="00CB6C95" w:rsidRDefault="00167860" w:rsidP="00167860">
      <w:pPr>
        <w:adjustRightInd w:val="0"/>
        <w:snapToGrid w:val="0"/>
        <w:rPr>
          <w:b/>
          <w:sz w:val="22"/>
          <w:szCs w:val="22"/>
          <w:lang w:eastAsia="ko-KR"/>
        </w:rPr>
      </w:pPr>
      <w:r w:rsidRPr="00CB6C95">
        <w:rPr>
          <w:b/>
          <w:sz w:val="22"/>
          <w:szCs w:val="22"/>
          <w:lang w:eastAsia="ko-KR"/>
        </w:rPr>
        <w:t>Benthly Sabub</w:t>
      </w:r>
    </w:p>
    <w:p w14:paraId="53ECDA63" w14:textId="77777777" w:rsidR="00167860" w:rsidRPr="00CB6C95" w:rsidRDefault="00167860" w:rsidP="00167860">
      <w:pPr>
        <w:adjustRightInd w:val="0"/>
        <w:snapToGrid w:val="0"/>
        <w:rPr>
          <w:sz w:val="22"/>
          <w:szCs w:val="22"/>
          <w:lang w:eastAsia="ko-KR"/>
        </w:rPr>
      </w:pPr>
      <w:r w:rsidRPr="00CB6C95">
        <w:rPr>
          <w:sz w:val="22"/>
          <w:szCs w:val="22"/>
          <w:lang w:eastAsia="ko-KR"/>
        </w:rPr>
        <w:t>Fisheries Management Officer - Tuna Fishery</w:t>
      </w:r>
    </w:p>
    <w:p w14:paraId="4082FA02" w14:textId="77777777" w:rsidR="00167860" w:rsidRPr="00CB6C95" w:rsidRDefault="00167860" w:rsidP="00167860">
      <w:pPr>
        <w:adjustRightInd w:val="0"/>
        <w:snapToGrid w:val="0"/>
        <w:rPr>
          <w:sz w:val="22"/>
          <w:szCs w:val="22"/>
          <w:lang w:eastAsia="ko-KR"/>
        </w:rPr>
      </w:pPr>
      <w:r w:rsidRPr="00CB6C95">
        <w:rPr>
          <w:sz w:val="22"/>
          <w:szCs w:val="22"/>
          <w:lang w:eastAsia="ko-KR"/>
        </w:rPr>
        <w:t>PNG National Fisheries Authority</w:t>
      </w:r>
    </w:p>
    <w:p w14:paraId="7BBDE3BB" w14:textId="77777777" w:rsidR="00167860" w:rsidRPr="00CB6C95" w:rsidRDefault="00167860" w:rsidP="00167860">
      <w:pPr>
        <w:adjustRightInd w:val="0"/>
        <w:snapToGrid w:val="0"/>
        <w:rPr>
          <w:sz w:val="22"/>
          <w:szCs w:val="22"/>
          <w:lang w:eastAsia="ko-KR"/>
        </w:rPr>
      </w:pPr>
      <w:r w:rsidRPr="00CB6C95">
        <w:rPr>
          <w:sz w:val="22"/>
          <w:szCs w:val="22"/>
          <w:lang w:eastAsia="ko-KR"/>
        </w:rPr>
        <w:t>P.O.Box 2016, Port Moresby, NCD 0121. Papua New Guinea</w:t>
      </w:r>
    </w:p>
    <w:p w14:paraId="3ED6884D" w14:textId="77777777" w:rsidR="00167860" w:rsidRPr="00CB6C95" w:rsidRDefault="00167860" w:rsidP="00167860">
      <w:pPr>
        <w:adjustRightInd w:val="0"/>
        <w:snapToGrid w:val="0"/>
        <w:rPr>
          <w:sz w:val="22"/>
          <w:szCs w:val="22"/>
          <w:lang w:eastAsia="ko-KR"/>
        </w:rPr>
      </w:pPr>
      <w:r w:rsidRPr="00CB6C95">
        <w:rPr>
          <w:sz w:val="22"/>
          <w:szCs w:val="22"/>
          <w:lang w:eastAsia="ko-KR"/>
        </w:rPr>
        <w:t>+675 3090444</w:t>
      </w:r>
    </w:p>
    <w:p w14:paraId="4737C61E" w14:textId="77777777" w:rsidR="00167860" w:rsidRPr="00CB6C95" w:rsidRDefault="00167860" w:rsidP="00167860">
      <w:pPr>
        <w:adjustRightInd w:val="0"/>
        <w:snapToGrid w:val="0"/>
        <w:rPr>
          <w:sz w:val="22"/>
          <w:szCs w:val="22"/>
          <w:lang w:eastAsia="ko-KR"/>
        </w:rPr>
      </w:pPr>
      <w:r w:rsidRPr="00CB6C95">
        <w:rPr>
          <w:sz w:val="22"/>
          <w:szCs w:val="22"/>
          <w:lang w:eastAsia="ko-KR"/>
        </w:rPr>
        <w:t>bsabub@fisheries.gov.pg</w:t>
      </w:r>
    </w:p>
    <w:p w14:paraId="41B84610" w14:textId="77777777" w:rsidR="00167860" w:rsidRPr="00CB6C95" w:rsidRDefault="00167860" w:rsidP="00167860">
      <w:pPr>
        <w:adjustRightInd w:val="0"/>
        <w:snapToGrid w:val="0"/>
        <w:rPr>
          <w:sz w:val="22"/>
          <w:szCs w:val="22"/>
          <w:lang w:eastAsia="ko-KR"/>
        </w:rPr>
      </w:pPr>
    </w:p>
    <w:p w14:paraId="5564B37F" w14:textId="77777777" w:rsidR="00167860" w:rsidRPr="00CB6C95" w:rsidRDefault="00167860" w:rsidP="00167860">
      <w:pPr>
        <w:adjustRightInd w:val="0"/>
        <w:snapToGrid w:val="0"/>
        <w:rPr>
          <w:b/>
          <w:sz w:val="22"/>
          <w:szCs w:val="22"/>
          <w:lang w:eastAsia="ko-KR"/>
        </w:rPr>
      </w:pPr>
      <w:r w:rsidRPr="00CB6C95">
        <w:rPr>
          <w:b/>
          <w:sz w:val="22"/>
          <w:szCs w:val="22"/>
          <w:lang w:eastAsia="ko-KR"/>
        </w:rPr>
        <w:t>Gisa Komangin</w:t>
      </w:r>
    </w:p>
    <w:p w14:paraId="1346E741" w14:textId="77777777" w:rsidR="00167860" w:rsidRPr="00CB6C95" w:rsidRDefault="00167860" w:rsidP="00167860">
      <w:pPr>
        <w:adjustRightInd w:val="0"/>
        <w:snapToGrid w:val="0"/>
        <w:rPr>
          <w:sz w:val="22"/>
          <w:szCs w:val="22"/>
          <w:lang w:eastAsia="ko-KR"/>
        </w:rPr>
      </w:pPr>
      <w:r w:rsidRPr="00CB6C95">
        <w:rPr>
          <w:sz w:val="22"/>
          <w:szCs w:val="22"/>
          <w:lang w:eastAsia="ko-KR"/>
        </w:rPr>
        <w:t>Executive Manager MCS</w:t>
      </w:r>
    </w:p>
    <w:p w14:paraId="22227378" w14:textId="77777777" w:rsidR="00167860" w:rsidRPr="00CB6C95" w:rsidRDefault="00167860" w:rsidP="00167860">
      <w:pPr>
        <w:adjustRightInd w:val="0"/>
        <w:snapToGrid w:val="0"/>
        <w:rPr>
          <w:sz w:val="22"/>
          <w:szCs w:val="22"/>
          <w:lang w:eastAsia="ko-KR"/>
        </w:rPr>
      </w:pPr>
      <w:r w:rsidRPr="00CB6C95">
        <w:rPr>
          <w:sz w:val="22"/>
          <w:szCs w:val="22"/>
          <w:lang w:eastAsia="ko-KR"/>
        </w:rPr>
        <w:t>PNG NFA</w:t>
      </w:r>
    </w:p>
    <w:p w14:paraId="1EB487AE" w14:textId="77777777" w:rsidR="00167860" w:rsidRPr="00CB6C95" w:rsidRDefault="00167860" w:rsidP="00167860">
      <w:pPr>
        <w:adjustRightInd w:val="0"/>
        <w:snapToGrid w:val="0"/>
        <w:rPr>
          <w:sz w:val="22"/>
          <w:szCs w:val="22"/>
          <w:lang w:eastAsia="ko-KR"/>
        </w:rPr>
      </w:pPr>
      <w:r w:rsidRPr="00CB6C95">
        <w:rPr>
          <w:sz w:val="22"/>
          <w:szCs w:val="22"/>
          <w:lang w:eastAsia="ko-KR"/>
        </w:rPr>
        <w:t>PO Box 2016, Port Moresby, PNG</w:t>
      </w:r>
    </w:p>
    <w:p w14:paraId="0EC5E3D3" w14:textId="77777777" w:rsidR="00167860" w:rsidRPr="00CB6C95" w:rsidRDefault="00167860" w:rsidP="00167860">
      <w:pPr>
        <w:adjustRightInd w:val="0"/>
        <w:snapToGrid w:val="0"/>
        <w:rPr>
          <w:sz w:val="22"/>
          <w:szCs w:val="22"/>
          <w:lang w:eastAsia="ko-KR"/>
        </w:rPr>
      </w:pPr>
      <w:r w:rsidRPr="00CB6C95">
        <w:rPr>
          <w:sz w:val="22"/>
          <w:szCs w:val="22"/>
          <w:lang w:eastAsia="ko-KR"/>
        </w:rPr>
        <w:t>+675 3090444</w:t>
      </w:r>
    </w:p>
    <w:p w14:paraId="58C1BF50" w14:textId="77777777" w:rsidR="00167860" w:rsidRPr="00CB6C95" w:rsidRDefault="00167860" w:rsidP="00167860">
      <w:pPr>
        <w:adjustRightInd w:val="0"/>
        <w:snapToGrid w:val="0"/>
        <w:rPr>
          <w:sz w:val="22"/>
          <w:szCs w:val="22"/>
          <w:lang w:eastAsia="ko-KR"/>
        </w:rPr>
      </w:pPr>
      <w:r w:rsidRPr="00CB6C95">
        <w:rPr>
          <w:sz w:val="22"/>
          <w:szCs w:val="22"/>
          <w:lang w:eastAsia="ko-KR"/>
        </w:rPr>
        <w:t>skomangin@gmail.com</w:t>
      </w:r>
    </w:p>
    <w:p w14:paraId="1BD5399B" w14:textId="77777777" w:rsidR="00167860" w:rsidRPr="00CB6C95" w:rsidRDefault="00167860" w:rsidP="00167860">
      <w:pPr>
        <w:adjustRightInd w:val="0"/>
        <w:snapToGrid w:val="0"/>
        <w:rPr>
          <w:sz w:val="22"/>
          <w:szCs w:val="22"/>
          <w:lang w:eastAsia="ko-KR"/>
        </w:rPr>
      </w:pPr>
    </w:p>
    <w:p w14:paraId="5E0FA51B" w14:textId="77777777" w:rsidR="00167860" w:rsidRPr="00CB6C95" w:rsidRDefault="00167860" w:rsidP="00167860">
      <w:pPr>
        <w:adjustRightInd w:val="0"/>
        <w:snapToGrid w:val="0"/>
        <w:rPr>
          <w:b/>
          <w:sz w:val="22"/>
          <w:szCs w:val="22"/>
          <w:lang w:eastAsia="ko-KR"/>
        </w:rPr>
      </w:pPr>
      <w:r w:rsidRPr="00CB6C95">
        <w:rPr>
          <w:b/>
          <w:sz w:val="22"/>
          <w:szCs w:val="22"/>
          <w:lang w:eastAsia="ko-KR"/>
        </w:rPr>
        <w:t>Adrian J. Nanguromo</w:t>
      </w:r>
    </w:p>
    <w:p w14:paraId="193DE6AF" w14:textId="77777777" w:rsidR="00167860" w:rsidRPr="00CB6C95" w:rsidRDefault="00167860" w:rsidP="00167860">
      <w:pPr>
        <w:adjustRightInd w:val="0"/>
        <w:snapToGrid w:val="0"/>
        <w:rPr>
          <w:sz w:val="22"/>
          <w:szCs w:val="22"/>
          <w:lang w:eastAsia="ko-KR"/>
        </w:rPr>
      </w:pPr>
      <w:r w:rsidRPr="00CB6C95">
        <w:rPr>
          <w:sz w:val="22"/>
          <w:szCs w:val="22"/>
          <w:lang w:eastAsia="ko-KR"/>
        </w:rPr>
        <w:t>Acting Observer Manager</w:t>
      </w:r>
    </w:p>
    <w:p w14:paraId="76C7944C" w14:textId="77777777" w:rsidR="00167860" w:rsidRPr="00CB6C95" w:rsidRDefault="00167860" w:rsidP="00167860">
      <w:pPr>
        <w:adjustRightInd w:val="0"/>
        <w:snapToGrid w:val="0"/>
        <w:rPr>
          <w:sz w:val="22"/>
          <w:szCs w:val="22"/>
          <w:lang w:eastAsia="ko-KR"/>
        </w:rPr>
      </w:pPr>
      <w:r w:rsidRPr="00CB6C95">
        <w:rPr>
          <w:sz w:val="22"/>
          <w:szCs w:val="22"/>
          <w:lang w:eastAsia="ko-KR"/>
        </w:rPr>
        <w:t>National Fisheries Authority</w:t>
      </w:r>
    </w:p>
    <w:p w14:paraId="619127CF" w14:textId="77777777" w:rsidR="00167860" w:rsidRPr="00CB6C95" w:rsidRDefault="00167860" w:rsidP="00167860">
      <w:pPr>
        <w:adjustRightInd w:val="0"/>
        <w:snapToGrid w:val="0"/>
        <w:rPr>
          <w:sz w:val="22"/>
          <w:szCs w:val="22"/>
          <w:lang w:eastAsia="ko-KR"/>
        </w:rPr>
      </w:pPr>
      <w:r w:rsidRPr="00CB6C95">
        <w:rPr>
          <w:sz w:val="22"/>
          <w:szCs w:val="22"/>
          <w:lang w:eastAsia="ko-KR"/>
        </w:rPr>
        <w:t>P.O. Box 2016, Port Moresby NCD</w:t>
      </w:r>
    </w:p>
    <w:p w14:paraId="18B12850" w14:textId="77777777" w:rsidR="00167860" w:rsidRPr="00CB6C95" w:rsidRDefault="00167860" w:rsidP="00167860">
      <w:pPr>
        <w:adjustRightInd w:val="0"/>
        <w:snapToGrid w:val="0"/>
        <w:rPr>
          <w:sz w:val="22"/>
          <w:szCs w:val="22"/>
          <w:lang w:eastAsia="ko-KR"/>
        </w:rPr>
      </w:pPr>
      <w:r w:rsidRPr="00CB6C95">
        <w:rPr>
          <w:sz w:val="22"/>
          <w:szCs w:val="22"/>
          <w:lang w:eastAsia="ko-KR"/>
        </w:rPr>
        <w:t>6753090400</w:t>
      </w:r>
    </w:p>
    <w:p w14:paraId="5F643F0E" w14:textId="77777777" w:rsidR="00167860" w:rsidRPr="00CB6C95" w:rsidRDefault="00167860" w:rsidP="00167860">
      <w:pPr>
        <w:adjustRightInd w:val="0"/>
        <w:snapToGrid w:val="0"/>
        <w:rPr>
          <w:sz w:val="22"/>
          <w:szCs w:val="22"/>
          <w:lang w:eastAsia="ko-KR"/>
        </w:rPr>
      </w:pPr>
      <w:r w:rsidRPr="00CB6C95">
        <w:rPr>
          <w:sz w:val="22"/>
          <w:szCs w:val="22"/>
          <w:lang w:eastAsia="ko-KR"/>
        </w:rPr>
        <w:t>ajnanguromo@gmail.com</w:t>
      </w:r>
    </w:p>
    <w:p w14:paraId="23D3EC8E" w14:textId="77777777" w:rsidR="00167860" w:rsidRPr="00CB6C95" w:rsidRDefault="00167860" w:rsidP="00167860">
      <w:pPr>
        <w:adjustRightInd w:val="0"/>
        <w:snapToGrid w:val="0"/>
        <w:rPr>
          <w:sz w:val="22"/>
          <w:szCs w:val="22"/>
          <w:lang w:eastAsia="ko-KR"/>
        </w:rPr>
      </w:pPr>
    </w:p>
    <w:p w14:paraId="1426CFB7" w14:textId="77777777" w:rsidR="00167860" w:rsidRPr="00CB6C95" w:rsidRDefault="00167860" w:rsidP="00167860">
      <w:pPr>
        <w:adjustRightInd w:val="0"/>
        <w:snapToGrid w:val="0"/>
        <w:rPr>
          <w:b/>
          <w:sz w:val="22"/>
          <w:szCs w:val="22"/>
          <w:lang w:eastAsia="ko-KR"/>
        </w:rPr>
      </w:pPr>
      <w:r w:rsidRPr="00CB6C95">
        <w:rPr>
          <w:b/>
          <w:sz w:val="22"/>
          <w:szCs w:val="22"/>
          <w:lang w:eastAsia="ko-KR"/>
        </w:rPr>
        <w:t>Joseph Kendou</w:t>
      </w:r>
    </w:p>
    <w:p w14:paraId="2FFB67F0" w14:textId="77777777" w:rsidR="00167860" w:rsidRPr="00CB6C95" w:rsidRDefault="00167860" w:rsidP="00167860">
      <w:pPr>
        <w:adjustRightInd w:val="0"/>
        <w:snapToGrid w:val="0"/>
        <w:rPr>
          <w:sz w:val="22"/>
          <w:szCs w:val="22"/>
          <w:lang w:eastAsia="ko-KR"/>
        </w:rPr>
      </w:pPr>
      <w:r w:rsidRPr="00CB6C95">
        <w:rPr>
          <w:sz w:val="22"/>
          <w:szCs w:val="22"/>
          <w:lang w:eastAsia="ko-KR"/>
        </w:rPr>
        <w:t>Senior Compliance Officer - MCS</w:t>
      </w:r>
    </w:p>
    <w:p w14:paraId="5ACF2E77" w14:textId="77777777" w:rsidR="00167860" w:rsidRPr="00CB6C95" w:rsidRDefault="00167860" w:rsidP="00167860">
      <w:pPr>
        <w:adjustRightInd w:val="0"/>
        <w:snapToGrid w:val="0"/>
        <w:rPr>
          <w:sz w:val="22"/>
          <w:szCs w:val="22"/>
          <w:lang w:eastAsia="ko-KR"/>
        </w:rPr>
      </w:pPr>
      <w:r w:rsidRPr="00CB6C95">
        <w:rPr>
          <w:sz w:val="22"/>
          <w:szCs w:val="22"/>
          <w:lang w:eastAsia="ko-KR"/>
        </w:rPr>
        <w:t>PNG National Fisheries Authority</w:t>
      </w:r>
    </w:p>
    <w:p w14:paraId="5936619F" w14:textId="77777777" w:rsidR="00167860" w:rsidRPr="00CB6C95" w:rsidRDefault="00167860" w:rsidP="00167860">
      <w:pPr>
        <w:adjustRightInd w:val="0"/>
        <w:snapToGrid w:val="0"/>
        <w:rPr>
          <w:sz w:val="22"/>
          <w:szCs w:val="22"/>
          <w:lang w:eastAsia="ko-KR"/>
        </w:rPr>
      </w:pPr>
      <w:r w:rsidRPr="00CB6C95">
        <w:rPr>
          <w:sz w:val="22"/>
          <w:szCs w:val="22"/>
          <w:lang w:eastAsia="ko-KR"/>
        </w:rPr>
        <w:t>P.O.Box 2016, Port Moresby, NCD 0121. Papua New Guinea</w:t>
      </w:r>
    </w:p>
    <w:p w14:paraId="164BFB2A" w14:textId="77777777" w:rsidR="00167860" w:rsidRPr="00CB6C95" w:rsidRDefault="00167860" w:rsidP="00167860">
      <w:pPr>
        <w:adjustRightInd w:val="0"/>
        <w:snapToGrid w:val="0"/>
        <w:rPr>
          <w:sz w:val="22"/>
          <w:szCs w:val="22"/>
          <w:lang w:eastAsia="ko-KR"/>
        </w:rPr>
      </w:pPr>
      <w:r w:rsidRPr="00CB6C95">
        <w:rPr>
          <w:sz w:val="22"/>
          <w:szCs w:val="22"/>
          <w:lang w:eastAsia="ko-KR"/>
        </w:rPr>
        <w:t>+675 3090444</w:t>
      </w:r>
    </w:p>
    <w:p w14:paraId="7BEF2B08" w14:textId="77777777" w:rsidR="00167860" w:rsidRPr="00CB6C95" w:rsidRDefault="00167860" w:rsidP="00167860">
      <w:pPr>
        <w:adjustRightInd w:val="0"/>
        <w:snapToGrid w:val="0"/>
        <w:rPr>
          <w:sz w:val="22"/>
          <w:szCs w:val="22"/>
          <w:lang w:eastAsia="ko-KR"/>
        </w:rPr>
      </w:pPr>
      <w:r w:rsidRPr="00CB6C95">
        <w:rPr>
          <w:sz w:val="22"/>
          <w:szCs w:val="22"/>
          <w:lang w:eastAsia="ko-KR"/>
        </w:rPr>
        <w:t>jkendou@fisheries.gov.pg</w:t>
      </w:r>
    </w:p>
    <w:p w14:paraId="2152DBA0" w14:textId="77777777" w:rsidR="00167860" w:rsidRPr="00CB6C95" w:rsidRDefault="00167860" w:rsidP="00167860">
      <w:pPr>
        <w:adjustRightInd w:val="0"/>
        <w:snapToGrid w:val="0"/>
        <w:rPr>
          <w:sz w:val="22"/>
          <w:szCs w:val="22"/>
          <w:lang w:eastAsia="ko-KR"/>
        </w:rPr>
      </w:pPr>
    </w:p>
    <w:p w14:paraId="02C05D93"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Philippines</w:t>
      </w:r>
    </w:p>
    <w:p w14:paraId="28D278B7" w14:textId="77777777" w:rsidR="00167860" w:rsidRPr="00CB6C95" w:rsidRDefault="00167860" w:rsidP="00167860">
      <w:pPr>
        <w:adjustRightInd w:val="0"/>
        <w:snapToGrid w:val="0"/>
        <w:rPr>
          <w:b/>
          <w:sz w:val="22"/>
          <w:szCs w:val="22"/>
          <w:lang w:eastAsia="ko-KR"/>
        </w:rPr>
      </w:pPr>
    </w:p>
    <w:p w14:paraId="2D6DD3AF" w14:textId="77777777" w:rsidR="00167860" w:rsidRPr="00CB6C95" w:rsidRDefault="00167860" w:rsidP="00167860">
      <w:pPr>
        <w:adjustRightInd w:val="0"/>
        <w:snapToGrid w:val="0"/>
        <w:rPr>
          <w:b/>
          <w:sz w:val="22"/>
          <w:szCs w:val="22"/>
          <w:lang w:eastAsia="ko-KR"/>
        </w:rPr>
      </w:pPr>
      <w:r w:rsidRPr="00CB6C95">
        <w:rPr>
          <w:b/>
          <w:sz w:val="22"/>
          <w:szCs w:val="22"/>
          <w:lang w:eastAsia="ko-KR"/>
        </w:rPr>
        <w:t>Rafael Ramiscal</w:t>
      </w:r>
    </w:p>
    <w:p w14:paraId="695EAAD3" w14:textId="77777777" w:rsidR="00167860" w:rsidRPr="00CB6C95" w:rsidRDefault="00167860" w:rsidP="00167860">
      <w:pPr>
        <w:adjustRightInd w:val="0"/>
        <w:snapToGrid w:val="0"/>
        <w:rPr>
          <w:sz w:val="22"/>
          <w:szCs w:val="22"/>
          <w:lang w:eastAsia="ko-KR"/>
        </w:rPr>
      </w:pPr>
      <w:r w:rsidRPr="00CB6C95">
        <w:rPr>
          <w:sz w:val="22"/>
          <w:szCs w:val="22"/>
          <w:lang w:eastAsia="ko-KR"/>
        </w:rPr>
        <w:t>Chief, Capture Fisheries Division</w:t>
      </w:r>
    </w:p>
    <w:p w14:paraId="6FCC6114" w14:textId="77777777" w:rsidR="00167860" w:rsidRPr="00CB6C95" w:rsidRDefault="00167860" w:rsidP="00167860">
      <w:pPr>
        <w:adjustRightInd w:val="0"/>
        <w:snapToGrid w:val="0"/>
        <w:rPr>
          <w:sz w:val="22"/>
          <w:szCs w:val="22"/>
          <w:lang w:eastAsia="ko-KR"/>
        </w:rPr>
      </w:pPr>
      <w:r w:rsidRPr="00CB6C95">
        <w:rPr>
          <w:sz w:val="22"/>
          <w:szCs w:val="22"/>
          <w:lang w:eastAsia="ko-KR"/>
        </w:rPr>
        <w:t>Bureau of Fisheries and Aquatic Resources</w:t>
      </w:r>
    </w:p>
    <w:p w14:paraId="0EB522D9" w14:textId="77777777" w:rsidR="00167860" w:rsidRPr="00CB6C95" w:rsidRDefault="00167860" w:rsidP="00167860">
      <w:pPr>
        <w:adjustRightInd w:val="0"/>
        <w:snapToGrid w:val="0"/>
        <w:rPr>
          <w:sz w:val="22"/>
          <w:szCs w:val="22"/>
          <w:lang w:eastAsia="ko-KR"/>
        </w:rPr>
      </w:pPr>
      <w:r w:rsidRPr="00CB6C95">
        <w:rPr>
          <w:sz w:val="22"/>
          <w:szCs w:val="22"/>
          <w:lang w:eastAsia="ko-KR"/>
        </w:rPr>
        <w:t>3F PCA Building, Eliptical Road,</w:t>
      </w:r>
      <w:r w:rsidRPr="00CB6C95">
        <w:rPr>
          <w:sz w:val="22"/>
          <w:szCs w:val="22"/>
          <w:lang w:eastAsia="ko-KR"/>
        </w:rPr>
        <w:br/>
        <w:t>Diliman, Quezon City, Philippines 1103</w:t>
      </w:r>
    </w:p>
    <w:p w14:paraId="56068592" w14:textId="77777777" w:rsidR="00167860" w:rsidRPr="00CB6C95" w:rsidRDefault="00167860" w:rsidP="00167860">
      <w:pPr>
        <w:adjustRightInd w:val="0"/>
        <w:snapToGrid w:val="0"/>
        <w:rPr>
          <w:sz w:val="22"/>
          <w:szCs w:val="22"/>
          <w:lang w:eastAsia="ko-KR"/>
        </w:rPr>
      </w:pPr>
      <w:r w:rsidRPr="00CB6C95">
        <w:rPr>
          <w:sz w:val="22"/>
          <w:szCs w:val="22"/>
          <w:lang w:eastAsia="ko-KR"/>
        </w:rPr>
        <w:t>6329559493</w:t>
      </w:r>
    </w:p>
    <w:p w14:paraId="533F085B" w14:textId="77777777" w:rsidR="00167860" w:rsidRPr="00CB6C95" w:rsidRDefault="00167860" w:rsidP="00167860">
      <w:pPr>
        <w:adjustRightInd w:val="0"/>
        <w:snapToGrid w:val="0"/>
        <w:rPr>
          <w:sz w:val="22"/>
          <w:szCs w:val="22"/>
          <w:lang w:eastAsia="ko-KR"/>
        </w:rPr>
      </w:pPr>
      <w:r w:rsidRPr="00CB6C95">
        <w:rPr>
          <w:sz w:val="22"/>
          <w:szCs w:val="22"/>
          <w:lang w:eastAsia="ko-KR"/>
        </w:rPr>
        <w:t>rv_ram55@yahoo.com</w:t>
      </w:r>
    </w:p>
    <w:p w14:paraId="34306E7D" w14:textId="77777777" w:rsidR="00167860" w:rsidRPr="00CB6C95" w:rsidRDefault="00167860" w:rsidP="00167860">
      <w:pPr>
        <w:adjustRightInd w:val="0"/>
        <w:snapToGrid w:val="0"/>
        <w:rPr>
          <w:sz w:val="22"/>
          <w:szCs w:val="22"/>
          <w:lang w:eastAsia="ko-KR"/>
        </w:rPr>
      </w:pPr>
    </w:p>
    <w:p w14:paraId="410B8CAC" w14:textId="77777777" w:rsidR="00167860" w:rsidRPr="00CB6C95" w:rsidRDefault="00167860" w:rsidP="00167860">
      <w:pPr>
        <w:adjustRightInd w:val="0"/>
        <w:snapToGrid w:val="0"/>
        <w:rPr>
          <w:b/>
          <w:sz w:val="22"/>
          <w:szCs w:val="22"/>
          <w:lang w:eastAsia="ko-KR"/>
        </w:rPr>
      </w:pPr>
      <w:r w:rsidRPr="00CB6C95">
        <w:rPr>
          <w:b/>
          <w:sz w:val="22"/>
          <w:szCs w:val="22"/>
          <w:lang w:eastAsia="ko-KR"/>
        </w:rPr>
        <w:t>Elaine G. Garvilles</w:t>
      </w:r>
    </w:p>
    <w:p w14:paraId="73208576"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Aquaculturist </w:t>
      </w:r>
    </w:p>
    <w:p w14:paraId="41ACFE0C" w14:textId="77777777" w:rsidR="00167860" w:rsidRPr="00CB6C95" w:rsidRDefault="00167860" w:rsidP="00167860">
      <w:pPr>
        <w:adjustRightInd w:val="0"/>
        <w:snapToGrid w:val="0"/>
        <w:rPr>
          <w:sz w:val="22"/>
          <w:szCs w:val="22"/>
          <w:lang w:eastAsia="ko-KR"/>
        </w:rPr>
      </w:pPr>
      <w:r w:rsidRPr="00CB6C95">
        <w:rPr>
          <w:sz w:val="22"/>
          <w:szCs w:val="22"/>
          <w:lang w:eastAsia="ko-KR"/>
        </w:rPr>
        <w:t>Bureau of Fisheries and Aquatic Resources</w:t>
      </w:r>
    </w:p>
    <w:p w14:paraId="249AE7B4" w14:textId="77777777" w:rsidR="00167860" w:rsidRPr="00CB6C95" w:rsidRDefault="00167860" w:rsidP="00167860">
      <w:pPr>
        <w:adjustRightInd w:val="0"/>
        <w:snapToGrid w:val="0"/>
        <w:rPr>
          <w:sz w:val="22"/>
          <w:szCs w:val="22"/>
          <w:lang w:eastAsia="ko-KR"/>
        </w:rPr>
      </w:pPr>
      <w:r w:rsidRPr="00CB6C95">
        <w:rPr>
          <w:sz w:val="22"/>
          <w:szCs w:val="22"/>
          <w:lang w:eastAsia="ko-KR"/>
        </w:rPr>
        <w:t>3F PCA Building, Elliptical Road, Diliman, Quezon City, Philippines 1103</w:t>
      </w:r>
    </w:p>
    <w:p w14:paraId="65B7B9F5" w14:textId="77777777" w:rsidR="00167860" w:rsidRPr="00CB6C95" w:rsidRDefault="00167860" w:rsidP="00167860">
      <w:pPr>
        <w:adjustRightInd w:val="0"/>
        <w:snapToGrid w:val="0"/>
        <w:rPr>
          <w:sz w:val="22"/>
          <w:szCs w:val="22"/>
          <w:lang w:eastAsia="ko-KR"/>
        </w:rPr>
      </w:pPr>
      <w:r w:rsidRPr="00CB6C95">
        <w:rPr>
          <w:sz w:val="22"/>
          <w:szCs w:val="22"/>
          <w:lang w:eastAsia="ko-KR"/>
        </w:rPr>
        <w:t>6329559493</w:t>
      </w:r>
    </w:p>
    <w:p w14:paraId="5465D67A" w14:textId="77777777" w:rsidR="00167860" w:rsidRPr="00CB6C95" w:rsidRDefault="00167860" w:rsidP="00167860">
      <w:pPr>
        <w:adjustRightInd w:val="0"/>
        <w:snapToGrid w:val="0"/>
        <w:rPr>
          <w:sz w:val="22"/>
          <w:szCs w:val="22"/>
          <w:lang w:eastAsia="ko-KR"/>
        </w:rPr>
      </w:pPr>
      <w:r w:rsidRPr="00CB6C95">
        <w:rPr>
          <w:sz w:val="22"/>
          <w:szCs w:val="22"/>
          <w:lang w:eastAsia="ko-KR"/>
        </w:rPr>
        <w:t>egarvilles@yahoo.com</w:t>
      </w:r>
    </w:p>
    <w:p w14:paraId="61E1E46E" w14:textId="77777777" w:rsidR="00167860" w:rsidRPr="00CB6C95" w:rsidRDefault="00167860" w:rsidP="00167860">
      <w:pPr>
        <w:adjustRightInd w:val="0"/>
        <w:snapToGrid w:val="0"/>
        <w:rPr>
          <w:sz w:val="22"/>
          <w:szCs w:val="22"/>
          <w:lang w:eastAsia="ko-KR"/>
        </w:rPr>
      </w:pPr>
    </w:p>
    <w:p w14:paraId="32052F32" w14:textId="77777777" w:rsidR="00167860" w:rsidRPr="00CB6C95" w:rsidRDefault="00167860" w:rsidP="00167860">
      <w:pPr>
        <w:adjustRightInd w:val="0"/>
        <w:snapToGrid w:val="0"/>
        <w:rPr>
          <w:b/>
          <w:sz w:val="22"/>
          <w:szCs w:val="22"/>
          <w:lang w:eastAsia="ko-KR"/>
        </w:rPr>
      </w:pPr>
      <w:r w:rsidRPr="00CB6C95">
        <w:rPr>
          <w:b/>
          <w:sz w:val="22"/>
          <w:szCs w:val="22"/>
          <w:lang w:eastAsia="ko-KR"/>
        </w:rPr>
        <w:t>Rafael L. Lapitan</w:t>
      </w:r>
    </w:p>
    <w:p w14:paraId="0BF065D6" w14:textId="77777777" w:rsidR="00167860" w:rsidRPr="00CB6C95" w:rsidRDefault="00167860" w:rsidP="00167860">
      <w:pPr>
        <w:adjustRightInd w:val="0"/>
        <w:snapToGrid w:val="0"/>
        <w:rPr>
          <w:sz w:val="22"/>
          <w:szCs w:val="22"/>
          <w:lang w:eastAsia="ko-KR"/>
        </w:rPr>
      </w:pPr>
      <w:r w:rsidRPr="00CB6C95">
        <w:rPr>
          <w:sz w:val="22"/>
          <w:szCs w:val="22"/>
          <w:lang w:eastAsia="ko-KR"/>
        </w:rPr>
        <w:t>Senior Operations Manager</w:t>
      </w:r>
    </w:p>
    <w:p w14:paraId="207F7FF6" w14:textId="77777777" w:rsidR="00167860" w:rsidRPr="00CB6C95" w:rsidRDefault="00167860" w:rsidP="00167860">
      <w:pPr>
        <w:adjustRightInd w:val="0"/>
        <w:snapToGrid w:val="0"/>
        <w:rPr>
          <w:sz w:val="22"/>
          <w:szCs w:val="22"/>
          <w:lang w:eastAsia="ko-KR"/>
        </w:rPr>
      </w:pPr>
      <w:r w:rsidRPr="00CB6C95">
        <w:rPr>
          <w:sz w:val="22"/>
          <w:szCs w:val="22"/>
          <w:lang w:eastAsia="ko-KR"/>
        </w:rPr>
        <w:t>RD Fishing PNG Ltd.</w:t>
      </w:r>
      <w:r w:rsidRPr="00CB6C95">
        <w:rPr>
          <w:sz w:val="22"/>
          <w:szCs w:val="22"/>
          <w:lang w:eastAsia="ko-KR"/>
        </w:rPr>
        <w:br/>
        <w:t>Portion 1352 Vidar NCR</w:t>
      </w:r>
      <w:r w:rsidRPr="00CB6C95">
        <w:rPr>
          <w:sz w:val="22"/>
          <w:szCs w:val="22"/>
          <w:lang w:eastAsia="ko-KR"/>
        </w:rPr>
        <w:br/>
        <w:t>Madang, Papua New Guinea</w:t>
      </w:r>
    </w:p>
    <w:p w14:paraId="565CC334" w14:textId="77777777" w:rsidR="00167860" w:rsidRPr="00CB6C95" w:rsidRDefault="00167860" w:rsidP="00167860">
      <w:pPr>
        <w:adjustRightInd w:val="0"/>
        <w:snapToGrid w:val="0"/>
        <w:rPr>
          <w:sz w:val="22"/>
          <w:szCs w:val="22"/>
          <w:lang w:eastAsia="ko-KR"/>
        </w:rPr>
      </w:pPr>
      <w:r w:rsidRPr="00CB6C95">
        <w:rPr>
          <w:sz w:val="22"/>
          <w:szCs w:val="22"/>
          <w:lang w:eastAsia="ko-KR"/>
        </w:rPr>
        <w:t>67571900006</w:t>
      </w:r>
    </w:p>
    <w:p w14:paraId="3FB97CA1" w14:textId="77777777" w:rsidR="00167860" w:rsidRPr="00CB6C95" w:rsidRDefault="00167860" w:rsidP="00167860">
      <w:pPr>
        <w:adjustRightInd w:val="0"/>
        <w:snapToGrid w:val="0"/>
        <w:rPr>
          <w:sz w:val="22"/>
          <w:szCs w:val="22"/>
          <w:lang w:eastAsia="ko-KR"/>
        </w:rPr>
      </w:pPr>
      <w:r w:rsidRPr="00CB6C95">
        <w:rPr>
          <w:sz w:val="22"/>
          <w:szCs w:val="22"/>
          <w:lang w:eastAsia="ko-KR"/>
        </w:rPr>
        <w:t>rllapitan@rdfishing-png.com</w:t>
      </w:r>
    </w:p>
    <w:p w14:paraId="49EF050E" w14:textId="77777777" w:rsidR="00167860" w:rsidRPr="00CB6C95" w:rsidRDefault="00167860" w:rsidP="00167860">
      <w:pPr>
        <w:adjustRightInd w:val="0"/>
        <w:snapToGrid w:val="0"/>
        <w:rPr>
          <w:sz w:val="22"/>
          <w:szCs w:val="22"/>
          <w:lang w:eastAsia="ko-KR"/>
        </w:rPr>
      </w:pPr>
    </w:p>
    <w:p w14:paraId="71A1B862" w14:textId="77777777" w:rsidR="00167860" w:rsidRPr="00CB6C95" w:rsidRDefault="00167860" w:rsidP="00167860">
      <w:pPr>
        <w:adjustRightInd w:val="0"/>
        <w:snapToGrid w:val="0"/>
        <w:rPr>
          <w:b/>
          <w:sz w:val="22"/>
          <w:szCs w:val="22"/>
          <w:lang w:eastAsia="ko-KR"/>
        </w:rPr>
      </w:pPr>
      <w:r w:rsidRPr="00CB6C95">
        <w:rPr>
          <w:b/>
          <w:sz w:val="22"/>
          <w:szCs w:val="22"/>
          <w:lang w:eastAsia="ko-KR"/>
        </w:rPr>
        <w:t>Rosanna Bernadette Contreras</w:t>
      </w:r>
    </w:p>
    <w:p w14:paraId="642B80AF" w14:textId="77777777" w:rsidR="00167860" w:rsidRPr="00CB6C95" w:rsidRDefault="00167860" w:rsidP="00167860">
      <w:pPr>
        <w:adjustRightInd w:val="0"/>
        <w:snapToGrid w:val="0"/>
        <w:rPr>
          <w:sz w:val="22"/>
          <w:szCs w:val="22"/>
          <w:lang w:eastAsia="ko-KR"/>
        </w:rPr>
      </w:pPr>
      <w:r w:rsidRPr="00CB6C95">
        <w:rPr>
          <w:sz w:val="22"/>
          <w:szCs w:val="22"/>
          <w:lang w:eastAsia="ko-KR"/>
        </w:rPr>
        <w:t>Executive Director</w:t>
      </w:r>
    </w:p>
    <w:p w14:paraId="73F4A7CA" w14:textId="77777777" w:rsidR="00167860" w:rsidRPr="00CB6C95" w:rsidRDefault="00167860" w:rsidP="00167860">
      <w:pPr>
        <w:adjustRightInd w:val="0"/>
        <w:snapToGrid w:val="0"/>
        <w:rPr>
          <w:sz w:val="22"/>
          <w:szCs w:val="22"/>
          <w:lang w:eastAsia="ko-KR"/>
        </w:rPr>
      </w:pPr>
      <w:r w:rsidRPr="00CB6C95">
        <w:rPr>
          <w:sz w:val="22"/>
          <w:szCs w:val="22"/>
          <w:lang w:eastAsia="ko-KR"/>
        </w:rPr>
        <w:t>Socksargen Federation of Fishing and Allied Industries Inc.</w:t>
      </w:r>
    </w:p>
    <w:p w14:paraId="0BD5F802" w14:textId="77777777" w:rsidR="00167860" w:rsidRPr="00CB6C95" w:rsidRDefault="00167860" w:rsidP="00167860">
      <w:pPr>
        <w:adjustRightInd w:val="0"/>
        <w:snapToGrid w:val="0"/>
        <w:rPr>
          <w:sz w:val="22"/>
          <w:szCs w:val="22"/>
          <w:lang w:eastAsia="ko-KR"/>
        </w:rPr>
      </w:pPr>
      <w:r w:rsidRPr="00CB6C95">
        <w:rPr>
          <w:sz w:val="22"/>
          <w:szCs w:val="22"/>
          <w:lang w:eastAsia="ko-KR"/>
        </w:rPr>
        <w:t>Market 3 Hall, General Santos Fish Port Complex</w:t>
      </w:r>
      <w:r w:rsidRPr="00CB6C95">
        <w:rPr>
          <w:sz w:val="22"/>
          <w:szCs w:val="22"/>
          <w:lang w:eastAsia="ko-KR"/>
        </w:rPr>
        <w:br/>
        <w:t>Tambler, General Santos City, Philippines</w:t>
      </w:r>
    </w:p>
    <w:p w14:paraId="2A980F83" w14:textId="77777777" w:rsidR="00167860" w:rsidRPr="00CB6C95" w:rsidRDefault="00167860" w:rsidP="00167860">
      <w:pPr>
        <w:adjustRightInd w:val="0"/>
        <w:snapToGrid w:val="0"/>
        <w:rPr>
          <w:sz w:val="22"/>
          <w:szCs w:val="22"/>
          <w:lang w:eastAsia="ko-KR"/>
        </w:rPr>
      </w:pPr>
      <w:r w:rsidRPr="00CB6C95">
        <w:rPr>
          <w:sz w:val="22"/>
          <w:szCs w:val="22"/>
          <w:lang w:eastAsia="ko-KR"/>
        </w:rPr>
        <w:t>fishing.federation@gmail.com</w:t>
      </w:r>
    </w:p>
    <w:p w14:paraId="2697E391" w14:textId="77777777" w:rsidR="00167860" w:rsidRPr="00CB6C95" w:rsidRDefault="00167860" w:rsidP="00167860">
      <w:pPr>
        <w:adjustRightInd w:val="0"/>
        <w:snapToGrid w:val="0"/>
        <w:rPr>
          <w:sz w:val="22"/>
          <w:szCs w:val="22"/>
          <w:lang w:eastAsia="ko-KR"/>
        </w:rPr>
      </w:pPr>
    </w:p>
    <w:p w14:paraId="2C01F663"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Samoa</w:t>
      </w:r>
    </w:p>
    <w:p w14:paraId="6255FD18" w14:textId="77777777" w:rsidR="00167860" w:rsidRPr="00CB6C95" w:rsidRDefault="00167860" w:rsidP="00167860">
      <w:pPr>
        <w:adjustRightInd w:val="0"/>
        <w:snapToGrid w:val="0"/>
        <w:rPr>
          <w:b/>
          <w:sz w:val="22"/>
          <w:szCs w:val="22"/>
          <w:lang w:eastAsia="ko-KR"/>
        </w:rPr>
      </w:pPr>
    </w:p>
    <w:p w14:paraId="17DB665A" w14:textId="77777777" w:rsidR="00167860" w:rsidRPr="00CB6C95" w:rsidRDefault="00167860" w:rsidP="00167860">
      <w:pPr>
        <w:adjustRightInd w:val="0"/>
        <w:snapToGrid w:val="0"/>
        <w:rPr>
          <w:b/>
          <w:sz w:val="22"/>
          <w:szCs w:val="22"/>
          <w:lang w:eastAsia="ko-KR"/>
        </w:rPr>
      </w:pPr>
      <w:r w:rsidRPr="00CB6C95">
        <w:rPr>
          <w:b/>
          <w:sz w:val="22"/>
          <w:szCs w:val="22"/>
          <w:lang w:eastAsia="ko-KR"/>
        </w:rPr>
        <w:t>Lui Apela Johannes Junior Bell</w:t>
      </w:r>
    </w:p>
    <w:p w14:paraId="56F23BFF" w14:textId="77777777" w:rsidR="00167860" w:rsidRPr="00CB6C95" w:rsidRDefault="00167860" w:rsidP="00167860">
      <w:pPr>
        <w:adjustRightInd w:val="0"/>
        <w:snapToGrid w:val="0"/>
        <w:rPr>
          <w:sz w:val="22"/>
          <w:szCs w:val="22"/>
          <w:lang w:eastAsia="ko-KR"/>
        </w:rPr>
      </w:pPr>
      <w:r w:rsidRPr="00CB6C95">
        <w:rPr>
          <w:sz w:val="22"/>
          <w:szCs w:val="22"/>
          <w:lang w:eastAsia="ko-KR"/>
        </w:rPr>
        <w:t>Senior Fisheries Officer</w:t>
      </w:r>
    </w:p>
    <w:p w14:paraId="25F49369"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Agriculture and Fisheries, Samoa</w:t>
      </w:r>
    </w:p>
    <w:p w14:paraId="32C7DA98" w14:textId="77777777" w:rsidR="00167860" w:rsidRPr="00CB6C95" w:rsidRDefault="00167860" w:rsidP="00167860">
      <w:pPr>
        <w:adjustRightInd w:val="0"/>
        <w:snapToGrid w:val="0"/>
        <w:rPr>
          <w:sz w:val="22"/>
          <w:szCs w:val="22"/>
          <w:lang w:eastAsia="ko-KR"/>
        </w:rPr>
      </w:pPr>
      <w:r w:rsidRPr="00CB6C95">
        <w:rPr>
          <w:sz w:val="22"/>
          <w:szCs w:val="22"/>
          <w:lang w:eastAsia="ko-KR"/>
        </w:rPr>
        <w:t>PO BOX 1874, Apia, Samoa</w:t>
      </w:r>
    </w:p>
    <w:p w14:paraId="3819BC95" w14:textId="77777777" w:rsidR="00167860" w:rsidRPr="00CB6C95" w:rsidRDefault="00167860" w:rsidP="00167860">
      <w:pPr>
        <w:adjustRightInd w:val="0"/>
        <w:snapToGrid w:val="0"/>
        <w:rPr>
          <w:sz w:val="22"/>
          <w:szCs w:val="22"/>
          <w:lang w:eastAsia="ko-KR"/>
        </w:rPr>
      </w:pPr>
      <w:r w:rsidRPr="00CB6C95">
        <w:rPr>
          <w:sz w:val="22"/>
          <w:szCs w:val="22"/>
          <w:lang w:eastAsia="ko-KR"/>
        </w:rPr>
        <w:t>6857634579</w:t>
      </w:r>
    </w:p>
    <w:p w14:paraId="4E645EEB" w14:textId="77777777" w:rsidR="00167860" w:rsidRPr="00CB6C95" w:rsidRDefault="00167860" w:rsidP="00167860">
      <w:pPr>
        <w:adjustRightInd w:val="0"/>
        <w:snapToGrid w:val="0"/>
        <w:rPr>
          <w:sz w:val="22"/>
          <w:szCs w:val="22"/>
          <w:lang w:eastAsia="ko-KR"/>
        </w:rPr>
      </w:pPr>
      <w:r w:rsidRPr="00CB6C95">
        <w:rPr>
          <w:sz w:val="22"/>
          <w:szCs w:val="22"/>
          <w:lang w:eastAsia="ko-KR"/>
        </w:rPr>
        <w:t>lui.bell.jnr@gmail.com</w:t>
      </w:r>
    </w:p>
    <w:p w14:paraId="7B9A3F73" w14:textId="77777777" w:rsidR="00167860" w:rsidRPr="00CB6C95" w:rsidRDefault="00167860" w:rsidP="00167860">
      <w:pPr>
        <w:adjustRightInd w:val="0"/>
        <w:snapToGrid w:val="0"/>
        <w:rPr>
          <w:sz w:val="22"/>
          <w:szCs w:val="22"/>
          <w:lang w:eastAsia="ko-KR"/>
        </w:rPr>
      </w:pPr>
    </w:p>
    <w:p w14:paraId="67811610"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Solomon Islands</w:t>
      </w:r>
    </w:p>
    <w:p w14:paraId="5E38443E" w14:textId="77777777" w:rsidR="00167860" w:rsidRPr="00CB6C95" w:rsidRDefault="00167860" w:rsidP="00167860">
      <w:pPr>
        <w:adjustRightInd w:val="0"/>
        <w:snapToGrid w:val="0"/>
        <w:rPr>
          <w:b/>
          <w:sz w:val="22"/>
          <w:szCs w:val="22"/>
          <w:lang w:eastAsia="ko-KR"/>
        </w:rPr>
      </w:pPr>
    </w:p>
    <w:p w14:paraId="2F9EF5F6" w14:textId="77777777" w:rsidR="00167860" w:rsidRPr="00CB6C95" w:rsidRDefault="00167860" w:rsidP="00167860">
      <w:pPr>
        <w:adjustRightInd w:val="0"/>
        <w:snapToGrid w:val="0"/>
        <w:rPr>
          <w:b/>
          <w:sz w:val="22"/>
          <w:szCs w:val="22"/>
          <w:lang w:eastAsia="ko-KR"/>
        </w:rPr>
      </w:pPr>
      <w:r w:rsidRPr="00CB6C95">
        <w:rPr>
          <w:b/>
          <w:sz w:val="22"/>
          <w:szCs w:val="22"/>
          <w:lang w:eastAsia="ko-KR"/>
        </w:rPr>
        <w:t>Francis Tofuakalo</w:t>
      </w:r>
    </w:p>
    <w:p w14:paraId="004EA661" w14:textId="77777777" w:rsidR="00167860" w:rsidRPr="00CB6C95" w:rsidRDefault="00167860" w:rsidP="00167860">
      <w:pPr>
        <w:adjustRightInd w:val="0"/>
        <w:snapToGrid w:val="0"/>
        <w:rPr>
          <w:sz w:val="22"/>
          <w:szCs w:val="22"/>
          <w:lang w:eastAsia="ko-KR"/>
        </w:rPr>
      </w:pPr>
      <w:r w:rsidRPr="00CB6C95">
        <w:rPr>
          <w:sz w:val="22"/>
          <w:szCs w:val="22"/>
          <w:lang w:eastAsia="ko-KR"/>
        </w:rPr>
        <w:t>Deputy Director Offshore Fisheries</w:t>
      </w:r>
    </w:p>
    <w:p w14:paraId="645179B4"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Fisheries and Marine Resources</w:t>
      </w:r>
    </w:p>
    <w:p w14:paraId="24B6DD83"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Fisheries and Marine Resources</w:t>
      </w:r>
      <w:r w:rsidRPr="00CB6C95">
        <w:rPr>
          <w:sz w:val="22"/>
          <w:szCs w:val="22"/>
          <w:lang w:eastAsia="ko-KR"/>
        </w:rPr>
        <w:br/>
        <w:t>P.O.Box G2, Kukum High way</w:t>
      </w:r>
      <w:r w:rsidRPr="00CB6C95">
        <w:rPr>
          <w:sz w:val="22"/>
          <w:szCs w:val="22"/>
          <w:lang w:eastAsia="ko-KR"/>
        </w:rPr>
        <w:br/>
        <w:t>Honiara, Solomon Islands</w:t>
      </w:r>
    </w:p>
    <w:p w14:paraId="165CBAC4" w14:textId="77777777" w:rsidR="00167860" w:rsidRPr="00CB6C95" w:rsidRDefault="00167860" w:rsidP="00167860">
      <w:pPr>
        <w:adjustRightInd w:val="0"/>
        <w:snapToGrid w:val="0"/>
        <w:rPr>
          <w:sz w:val="22"/>
          <w:szCs w:val="22"/>
          <w:lang w:eastAsia="ko-KR"/>
        </w:rPr>
      </w:pPr>
      <w:r w:rsidRPr="00CB6C95">
        <w:rPr>
          <w:sz w:val="22"/>
          <w:szCs w:val="22"/>
          <w:lang w:eastAsia="ko-KR"/>
        </w:rPr>
        <w:t>+677 39143</w:t>
      </w:r>
    </w:p>
    <w:p w14:paraId="7E75B250" w14:textId="77777777" w:rsidR="00167860" w:rsidRPr="00CB6C95" w:rsidRDefault="00167860" w:rsidP="00167860">
      <w:pPr>
        <w:adjustRightInd w:val="0"/>
        <w:snapToGrid w:val="0"/>
        <w:rPr>
          <w:sz w:val="22"/>
          <w:szCs w:val="22"/>
          <w:lang w:eastAsia="ko-KR"/>
        </w:rPr>
      </w:pPr>
      <w:r w:rsidRPr="00CB6C95">
        <w:rPr>
          <w:sz w:val="22"/>
          <w:szCs w:val="22"/>
          <w:lang w:eastAsia="ko-KR"/>
        </w:rPr>
        <w:t>ftofuakalo@fisheries.gov.sb</w:t>
      </w:r>
    </w:p>
    <w:p w14:paraId="0446A159" w14:textId="77777777" w:rsidR="00167860" w:rsidRPr="00CB6C95" w:rsidRDefault="00167860" w:rsidP="00167860">
      <w:pPr>
        <w:adjustRightInd w:val="0"/>
        <w:snapToGrid w:val="0"/>
        <w:rPr>
          <w:sz w:val="22"/>
          <w:szCs w:val="22"/>
          <w:lang w:eastAsia="ko-KR"/>
        </w:rPr>
      </w:pPr>
    </w:p>
    <w:p w14:paraId="24A89798" w14:textId="77777777" w:rsidR="00167860" w:rsidRPr="00CB6C95" w:rsidRDefault="00167860" w:rsidP="00167860">
      <w:pPr>
        <w:adjustRightInd w:val="0"/>
        <w:snapToGrid w:val="0"/>
        <w:rPr>
          <w:b/>
          <w:sz w:val="22"/>
          <w:szCs w:val="22"/>
          <w:lang w:eastAsia="ko-KR"/>
        </w:rPr>
      </w:pPr>
      <w:r w:rsidRPr="00CB6C95">
        <w:rPr>
          <w:b/>
          <w:sz w:val="22"/>
          <w:szCs w:val="22"/>
          <w:lang w:eastAsia="ko-KR"/>
        </w:rPr>
        <w:t>Derrick Tagosia</w:t>
      </w:r>
    </w:p>
    <w:p w14:paraId="72CC67E6" w14:textId="77777777" w:rsidR="00167860" w:rsidRPr="00CB6C95" w:rsidRDefault="00167860" w:rsidP="00167860">
      <w:pPr>
        <w:adjustRightInd w:val="0"/>
        <w:snapToGrid w:val="0"/>
        <w:rPr>
          <w:sz w:val="22"/>
          <w:szCs w:val="22"/>
          <w:lang w:eastAsia="ko-KR"/>
        </w:rPr>
      </w:pPr>
      <w:r w:rsidRPr="00CB6C95">
        <w:rPr>
          <w:sz w:val="22"/>
          <w:szCs w:val="22"/>
          <w:lang w:eastAsia="ko-KR"/>
        </w:rPr>
        <w:t>ER EM Coordinator</w:t>
      </w:r>
    </w:p>
    <w:p w14:paraId="26BADFE9" w14:textId="77777777" w:rsidR="00167860" w:rsidRPr="00CB6C95" w:rsidRDefault="00167860" w:rsidP="00167860">
      <w:pPr>
        <w:adjustRightInd w:val="0"/>
        <w:snapToGrid w:val="0"/>
        <w:rPr>
          <w:sz w:val="22"/>
          <w:szCs w:val="22"/>
          <w:lang w:eastAsia="ko-KR"/>
        </w:rPr>
      </w:pPr>
      <w:r w:rsidRPr="00CB6C95">
        <w:rPr>
          <w:sz w:val="22"/>
          <w:szCs w:val="22"/>
          <w:lang w:eastAsia="ko-KR"/>
        </w:rPr>
        <w:t>MFMR, P.O. Box G2</w:t>
      </w:r>
      <w:r w:rsidRPr="00CB6C95">
        <w:rPr>
          <w:sz w:val="22"/>
          <w:szCs w:val="22"/>
          <w:lang w:eastAsia="ko-KR"/>
        </w:rPr>
        <w:br/>
        <w:t>Honiara, Solomon Islands</w:t>
      </w:r>
    </w:p>
    <w:p w14:paraId="6A2CC323" w14:textId="77777777" w:rsidR="00167860" w:rsidRPr="00CB6C95" w:rsidRDefault="00167860" w:rsidP="00167860">
      <w:pPr>
        <w:adjustRightInd w:val="0"/>
        <w:snapToGrid w:val="0"/>
        <w:rPr>
          <w:sz w:val="22"/>
          <w:szCs w:val="22"/>
          <w:lang w:eastAsia="ko-KR"/>
        </w:rPr>
      </w:pPr>
      <w:r w:rsidRPr="00CB6C95">
        <w:rPr>
          <w:sz w:val="22"/>
          <w:szCs w:val="22"/>
          <w:lang w:eastAsia="ko-KR"/>
        </w:rPr>
        <w:t>+677 39143</w:t>
      </w:r>
    </w:p>
    <w:p w14:paraId="5246F938" w14:textId="77777777" w:rsidR="00167860" w:rsidRPr="00CB6C95" w:rsidRDefault="00167860" w:rsidP="00167860">
      <w:pPr>
        <w:adjustRightInd w:val="0"/>
        <w:snapToGrid w:val="0"/>
        <w:rPr>
          <w:sz w:val="22"/>
          <w:szCs w:val="22"/>
          <w:lang w:eastAsia="ko-KR"/>
        </w:rPr>
      </w:pPr>
      <w:r w:rsidRPr="00CB6C95">
        <w:rPr>
          <w:sz w:val="22"/>
          <w:szCs w:val="22"/>
          <w:lang w:eastAsia="ko-KR"/>
        </w:rPr>
        <w:t>dtagosia@fisheries.gov.sb</w:t>
      </w:r>
    </w:p>
    <w:p w14:paraId="07D3BB94" w14:textId="77777777" w:rsidR="00167860" w:rsidRPr="00CB6C95" w:rsidRDefault="00167860" w:rsidP="00167860">
      <w:pPr>
        <w:adjustRightInd w:val="0"/>
        <w:snapToGrid w:val="0"/>
        <w:rPr>
          <w:sz w:val="22"/>
          <w:szCs w:val="22"/>
          <w:lang w:eastAsia="ko-KR"/>
        </w:rPr>
      </w:pPr>
    </w:p>
    <w:p w14:paraId="60CFD543" w14:textId="77777777" w:rsidR="00167860" w:rsidRPr="00CB6C95" w:rsidRDefault="00167860" w:rsidP="00167860">
      <w:pPr>
        <w:adjustRightInd w:val="0"/>
        <w:snapToGrid w:val="0"/>
        <w:rPr>
          <w:b/>
          <w:sz w:val="22"/>
          <w:szCs w:val="22"/>
          <w:lang w:eastAsia="ko-KR"/>
        </w:rPr>
      </w:pPr>
      <w:r w:rsidRPr="00CB6C95">
        <w:rPr>
          <w:b/>
          <w:sz w:val="22"/>
          <w:szCs w:val="22"/>
          <w:lang w:eastAsia="ko-KR"/>
        </w:rPr>
        <w:t>Leon Starford Hickie</w:t>
      </w:r>
    </w:p>
    <w:p w14:paraId="20354388" w14:textId="77777777" w:rsidR="00167860" w:rsidRPr="00CB6C95" w:rsidRDefault="00167860" w:rsidP="00167860">
      <w:pPr>
        <w:adjustRightInd w:val="0"/>
        <w:snapToGrid w:val="0"/>
        <w:rPr>
          <w:sz w:val="22"/>
          <w:szCs w:val="22"/>
          <w:lang w:eastAsia="ko-KR"/>
        </w:rPr>
      </w:pPr>
      <w:r w:rsidRPr="00CB6C95">
        <w:rPr>
          <w:sz w:val="22"/>
          <w:szCs w:val="22"/>
          <w:lang w:eastAsia="ko-KR"/>
        </w:rPr>
        <w:t>Principle Fisheries Officer</w:t>
      </w:r>
    </w:p>
    <w:p w14:paraId="366C8A3B"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Fisheries and Marine Resources</w:t>
      </w:r>
    </w:p>
    <w:p w14:paraId="7CFFBA65" w14:textId="77777777" w:rsidR="00167860" w:rsidRPr="00CB6C95" w:rsidRDefault="00167860" w:rsidP="00167860">
      <w:pPr>
        <w:adjustRightInd w:val="0"/>
        <w:snapToGrid w:val="0"/>
        <w:rPr>
          <w:sz w:val="22"/>
          <w:szCs w:val="22"/>
          <w:lang w:eastAsia="ko-KR"/>
        </w:rPr>
      </w:pPr>
      <w:r w:rsidRPr="00CB6C95">
        <w:rPr>
          <w:sz w:val="22"/>
          <w:szCs w:val="22"/>
          <w:lang w:eastAsia="ko-KR"/>
        </w:rPr>
        <w:t>MFMR, P.O Box G2, Honiara Solomon Islands</w:t>
      </w:r>
    </w:p>
    <w:p w14:paraId="799EA109" w14:textId="77777777" w:rsidR="00167860" w:rsidRPr="00CB6C95" w:rsidRDefault="00167860" w:rsidP="00167860">
      <w:pPr>
        <w:adjustRightInd w:val="0"/>
        <w:snapToGrid w:val="0"/>
        <w:rPr>
          <w:sz w:val="22"/>
          <w:szCs w:val="22"/>
          <w:lang w:eastAsia="ko-KR"/>
        </w:rPr>
      </w:pPr>
      <w:r w:rsidRPr="00CB6C95">
        <w:rPr>
          <w:sz w:val="22"/>
          <w:szCs w:val="22"/>
          <w:lang w:eastAsia="ko-KR"/>
        </w:rPr>
        <w:t>677 39139</w:t>
      </w:r>
    </w:p>
    <w:p w14:paraId="5594C949" w14:textId="77777777" w:rsidR="00167860" w:rsidRPr="00CB6C95" w:rsidRDefault="00167860" w:rsidP="00167860">
      <w:pPr>
        <w:adjustRightInd w:val="0"/>
        <w:snapToGrid w:val="0"/>
        <w:rPr>
          <w:sz w:val="22"/>
          <w:szCs w:val="22"/>
          <w:lang w:eastAsia="ko-KR"/>
        </w:rPr>
      </w:pPr>
      <w:r w:rsidRPr="00CB6C95">
        <w:rPr>
          <w:sz w:val="22"/>
          <w:szCs w:val="22"/>
          <w:lang w:eastAsia="ko-KR"/>
        </w:rPr>
        <w:t>lhickie@fisheries.gov.sb</w:t>
      </w:r>
    </w:p>
    <w:p w14:paraId="47FAC877" w14:textId="77777777" w:rsidR="00167860" w:rsidRPr="00CB6C95" w:rsidRDefault="00167860" w:rsidP="00167860">
      <w:pPr>
        <w:adjustRightInd w:val="0"/>
        <w:snapToGrid w:val="0"/>
        <w:rPr>
          <w:sz w:val="22"/>
          <w:szCs w:val="22"/>
          <w:lang w:eastAsia="ko-KR"/>
        </w:rPr>
      </w:pPr>
    </w:p>
    <w:p w14:paraId="7AE959FD" w14:textId="77777777" w:rsidR="00167860" w:rsidRPr="00CB6C95" w:rsidRDefault="00167860" w:rsidP="00167860">
      <w:pPr>
        <w:adjustRightInd w:val="0"/>
        <w:snapToGrid w:val="0"/>
        <w:rPr>
          <w:b/>
          <w:sz w:val="22"/>
          <w:szCs w:val="22"/>
          <w:lang w:eastAsia="ko-KR"/>
        </w:rPr>
      </w:pPr>
      <w:r w:rsidRPr="00CB6C95">
        <w:rPr>
          <w:b/>
          <w:sz w:val="22"/>
          <w:szCs w:val="22"/>
          <w:lang w:eastAsia="ko-KR"/>
        </w:rPr>
        <w:t>Lily Wheatley</w:t>
      </w:r>
    </w:p>
    <w:p w14:paraId="652E3A2A" w14:textId="77777777" w:rsidR="00167860" w:rsidRPr="00CB6C95" w:rsidRDefault="00167860" w:rsidP="00167860">
      <w:pPr>
        <w:adjustRightInd w:val="0"/>
        <w:snapToGrid w:val="0"/>
        <w:rPr>
          <w:sz w:val="22"/>
          <w:szCs w:val="22"/>
          <w:lang w:eastAsia="ko-KR"/>
        </w:rPr>
      </w:pPr>
      <w:r w:rsidRPr="00CB6C95">
        <w:rPr>
          <w:sz w:val="22"/>
          <w:szCs w:val="22"/>
          <w:lang w:eastAsia="ko-KR"/>
        </w:rPr>
        <w:t>Fisheries Economist</w:t>
      </w:r>
    </w:p>
    <w:p w14:paraId="397A55D1" w14:textId="77777777" w:rsidR="00167860" w:rsidRPr="00CB6C95" w:rsidRDefault="00167860" w:rsidP="00167860">
      <w:pPr>
        <w:adjustRightInd w:val="0"/>
        <w:snapToGrid w:val="0"/>
        <w:rPr>
          <w:sz w:val="22"/>
          <w:szCs w:val="22"/>
          <w:lang w:eastAsia="ko-KR"/>
        </w:rPr>
      </w:pPr>
      <w:r w:rsidRPr="00CB6C95">
        <w:rPr>
          <w:sz w:val="22"/>
          <w:szCs w:val="22"/>
          <w:lang w:eastAsia="ko-KR"/>
        </w:rPr>
        <w:t>Solomon Islands Ministry of Fisheries and Marine Resources</w:t>
      </w:r>
    </w:p>
    <w:p w14:paraId="253B16BB" w14:textId="77777777" w:rsidR="00167860" w:rsidRPr="00CB6C95" w:rsidRDefault="00167860" w:rsidP="00167860">
      <w:pPr>
        <w:adjustRightInd w:val="0"/>
        <w:snapToGrid w:val="0"/>
        <w:rPr>
          <w:sz w:val="22"/>
          <w:szCs w:val="22"/>
          <w:lang w:eastAsia="ko-KR"/>
        </w:rPr>
      </w:pPr>
      <w:r w:rsidRPr="00CB6C95">
        <w:rPr>
          <w:sz w:val="22"/>
          <w:szCs w:val="22"/>
          <w:lang w:eastAsia="ko-KR"/>
        </w:rPr>
        <w:t>P. O. Box G2, Prince Phillip Kukum Highway,</w:t>
      </w:r>
      <w:r w:rsidRPr="00CB6C95">
        <w:rPr>
          <w:sz w:val="22"/>
          <w:szCs w:val="22"/>
          <w:lang w:eastAsia="ko-KR"/>
        </w:rPr>
        <w:br/>
        <w:t>Honiara, Solomon Islands.</w:t>
      </w:r>
    </w:p>
    <w:p w14:paraId="66E3DBAC" w14:textId="77777777" w:rsidR="00167860" w:rsidRPr="00CB6C95" w:rsidRDefault="00167860" w:rsidP="00167860">
      <w:pPr>
        <w:adjustRightInd w:val="0"/>
        <w:snapToGrid w:val="0"/>
        <w:rPr>
          <w:sz w:val="22"/>
          <w:szCs w:val="22"/>
          <w:lang w:eastAsia="ko-KR"/>
        </w:rPr>
      </w:pPr>
      <w:r w:rsidRPr="00CB6C95">
        <w:rPr>
          <w:sz w:val="22"/>
          <w:szCs w:val="22"/>
          <w:lang w:eastAsia="ko-KR"/>
        </w:rPr>
        <w:t>+677 8800481</w:t>
      </w:r>
    </w:p>
    <w:p w14:paraId="4E6F4A39" w14:textId="77777777" w:rsidR="00167860" w:rsidRPr="00CB6C95" w:rsidRDefault="00167860" w:rsidP="00167860">
      <w:pPr>
        <w:adjustRightInd w:val="0"/>
        <w:snapToGrid w:val="0"/>
        <w:rPr>
          <w:sz w:val="22"/>
          <w:szCs w:val="22"/>
          <w:lang w:eastAsia="ko-KR"/>
        </w:rPr>
      </w:pPr>
      <w:r w:rsidRPr="00CB6C95">
        <w:rPr>
          <w:sz w:val="22"/>
          <w:szCs w:val="22"/>
          <w:lang w:eastAsia="ko-KR"/>
        </w:rPr>
        <w:t>LWheatley@fisheries.gov.sb</w:t>
      </w:r>
    </w:p>
    <w:p w14:paraId="1E7F4666" w14:textId="77777777" w:rsidR="00167860" w:rsidRPr="00CB6C95" w:rsidRDefault="00167860" w:rsidP="00167860">
      <w:pPr>
        <w:adjustRightInd w:val="0"/>
        <w:snapToGrid w:val="0"/>
        <w:rPr>
          <w:sz w:val="22"/>
          <w:szCs w:val="22"/>
          <w:lang w:eastAsia="ko-KR"/>
        </w:rPr>
      </w:pPr>
    </w:p>
    <w:p w14:paraId="13BC7ACB"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Chinese Taipei</w:t>
      </w:r>
    </w:p>
    <w:p w14:paraId="40BF7904" w14:textId="77777777" w:rsidR="00167860" w:rsidRPr="00CB6C95" w:rsidRDefault="00167860" w:rsidP="00167860">
      <w:pPr>
        <w:adjustRightInd w:val="0"/>
        <w:snapToGrid w:val="0"/>
        <w:rPr>
          <w:b/>
          <w:sz w:val="22"/>
          <w:szCs w:val="22"/>
          <w:lang w:eastAsia="ko-KR"/>
        </w:rPr>
      </w:pPr>
    </w:p>
    <w:p w14:paraId="0C925BEF" w14:textId="77777777" w:rsidR="00167860" w:rsidRPr="00CB6C95" w:rsidRDefault="00167860" w:rsidP="00167860">
      <w:pPr>
        <w:adjustRightInd w:val="0"/>
        <w:snapToGrid w:val="0"/>
        <w:rPr>
          <w:b/>
          <w:sz w:val="22"/>
          <w:szCs w:val="22"/>
          <w:lang w:eastAsia="ko-KR"/>
        </w:rPr>
      </w:pPr>
      <w:r w:rsidRPr="00CB6C95">
        <w:rPr>
          <w:b/>
          <w:sz w:val="22"/>
          <w:szCs w:val="22"/>
          <w:lang w:eastAsia="ko-KR"/>
        </w:rPr>
        <w:t>Hsiang-Yi Yu</w:t>
      </w:r>
    </w:p>
    <w:p w14:paraId="65DD8C41" w14:textId="77777777" w:rsidR="00167860" w:rsidRPr="00CB6C95" w:rsidRDefault="00167860" w:rsidP="00167860">
      <w:pPr>
        <w:adjustRightInd w:val="0"/>
        <w:snapToGrid w:val="0"/>
        <w:rPr>
          <w:sz w:val="22"/>
          <w:szCs w:val="22"/>
          <w:lang w:eastAsia="ko-KR"/>
        </w:rPr>
      </w:pPr>
      <w:r w:rsidRPr="00CB6C95">
        <w:rPr>
          <w:sz w:val="22"/>
          <w:szCs w:val="22"/>
          <w:lang w:eastAsia="ko-KR"/>
        </w:rPr>
        <w:t>Secretary</w:t>
      </w:r>
    </w:p>
    <w:p w14:paraId="7F5A8ECC" w14:textId="77777777" w:rsidR="00167860" w:rsidRPr="00CB6C95" w:rsidRDefault="00167860" w:rsidP="00167860">
      <w:pPr>
        <w:adjustRightInd w:val="0"/>
        <w:snapToGrid w:val="0"/>
        <w:rPr>
          <w:sz w:val="22"/>
          <w:szCs w:val="22"/>
          <w:lang w:eastAsia="ko-KR"/>
        </w:rPr>
      </w:pPr>
      <w:r w:rsidRPr="00CB6C95">
        <w:rPr>
          <w:sz w:val="22"/>
          <w:szCs w:val="22"/>
          <w:lang w:eastAsia="ko-KR"/>
        </w:rPr>
        <w:t>Fisheries Agency, Council of Agriculture</w:t>
      </w:r>
    </w:p>
    <w:p w14:paraId="50252B9C" w14:textId="77777777" w:rsidR="00167860" w:rsidRPr="00CB6C95" w:rsidRDefault="00167860" w:rsidP="00167860">
      <w:pPr>
        <w:adjustRightInd w:val="0"/>
        <w:snapToGrid w:val="0"/>
        <w:rPr>
          <w:sz w:val="22"/>
          <w:szCs w:val="22"/>
          <w:lang w:eastAsia="ko-KR"/>
        </w:rPr>
      </w:pPr>
      <w:r w:rsidRPr="00CB6C95">
        <w:rPr>
          <w:sz w:val="22"/>
          <w:szCs w:val="22"/>
          <w:lang w:eastAsia="ko-KR"/>
        </w:rPr>
        <w:t>hsiangyi@ms1.fa.gov.tw</w:t>
      </w:r>
    </w:p>
    <w:p w14:paraId="3D06D11F" w14:textId="77777777" w:rsidR="00167860" w:rsidRPr="00CB6C95" w:rsidRDefault="00167860" w:rsidP="00167860">
      <w:pPr>
        <w:adjustRightInd w:val="0"/>
        <w:snapToGrid w:val="0"/>
        <w:rPr>
          <w:sz w:val="22"/>
          <w:szCs w:val="22"/>
          <w:lang w:eastAsia="ko-KR"/>
        </w:rPr>
      </w:pPr>
    </w:p>
    <w:p w14:paraId="499156BF" w14:textId="77777777" w:rsidR="00167860" w:rsidRPr="00CB6C95" w:rsidRDefault="00167860" w:rsidP="00167860">
      <w:pPr>
        <w:adjustRightInd w:val="0"/>
        <w:snapToGrid w:val="0"/>
        <w:rPr>
          <w:b/>
          <w:sz w:val="22"/>
          <w:szCs w:val="22"/>
          <w:lang w:eastAsia="ko-KR"/>
        </w:rPr>
      </w:pPr>
      <w:r w:rsidRPr="00CB6C95">
        <w:rPr>
          <w:b/>
          <w:sz w:val="22"/>
          <w:szCs w:val="22"/>
          <w:lang w:eastAsia="ko-KR"/>
        </w:rPr>
        <w:t>Teresa Hsu</w:t>
      </w:r>
    </w:p>
    <w:p w14:paraId="67B9B7F9" w14:textId="77777777" w:rsidR="00167860" w:rsidRPr="00CB6C95" w:rsidRDefault="00167860" w:rsidP="00167860">
      <w:pPr>
        <w:adjustRightInd w:val="0"/>
        <w:snapToGrid w:val="0"/>
        <w:rPr>
          <w:sz w:val="22"/>
          <w:szCs w:val="22"/>
          <w:lang w:eastAsia="ko-KR"/>
        </w:rPr>
      </w:pPr>
      <w:r w:rsidRPr="00CB6C95">
        <w:rPr>
          <w:sz w:val="22"/>
          <w:szCs w:val="22"/>
          <w:lang w:eastAsia="ko-KR"/>
        </w:rPr>
        <w:t>Manager</w:t>
      </w:r>
    </w:p>
    <w:p w14:paraId="5AD3BC73" w14:textId="77777777" w:rsidR="00167860" w:rsidRPr="00CB6C95" w:rsidRDefault="00167860" w:rsidP="00167860">
      <w:pPr>
        <w:adjustRightInd w:val="0"/>
        <w:snapToGrid w:val="0"/>
        <w:rPr>
          <w:sz w:val="22"/>
          <w:szCs w:val="22"/>
          <w:lang w:eastAsia="ko-KR"/>
        </w:rPr>
      </w:pPr>
      <w:r w:rsidRPr="00CB6C95">
        <w:rPr>
          <w:sz w:val="22"/>
          <w:szCs w:val="22"/>
          <w:lang w:eastAsia="ko-KR"/>
        </w:rPr>
        <w:t>Fong Kuo Fishery Co. Ltd.</w:t>
      </w:r>
    </w:p>
    <w:p w14:paraId="07F15E53" w14:textId="77777777" w:rsidR="00167860" w:rsidRPr="00CB6C95" w:rsidRDefault="00167860" w:rsidP="00167860">
      <w:pPr>
        <w:adjustRightInd w:val="0"/>
        <w:snapToGrid w:val="0"/>
        <w:rPr>
          <w:sz w:val="22"/>
          <w:szCs w:val="22"/>
          <w:lang w:eastAsia="ko-KR"/>
        </w:rPr>
      </w:pPr>
      <w:r w:rsidRPr="00CB6C95">
        <w:rPr>
          <w:sz w:val="22"/>
          <w:szCs w:val="22"/>
          <w:lang w:eastAsia="ko-KR"/>
        </w:rPr>
        <w:t>twthsu@fongkuo.com.tw</w:t>
      </w:r>
    </w:p>
    <w:p w14:paraId="51BC41C3" w14:textId="77777777" w:rsidR="00167860" w:rsidRPr="00CB6C95" w:rsidRDefault="00167860" w:rsidP="00167860">
      <w:pPr>
        <w:adjustRightInd w:val="0"/>
        <w:snapToGrid w:val="0"/>
        <w:rPr>
          <w:sz w:val="22"/>
          <w:szCs w:val="22"/>
          <w:lang w:eastAsia="ko-KR"/>
        </w:rPr>
      </w:pPr>
    </w:p>
    <w:p w14:paraId="3E33A4BD" w14:textId="77777777" w:rsidR="00167860" w:rsidRPr="00CB6C95" w:rsidRDefault="00167860" w:rsidP="00167860">
      <w:pPr>
        <w:adjustRightInd w:val="0"/>
        <w:snapToGrid w:val="0"/>
        <w:rPr>
          <w:b/>
          <w:sz w:val="22"/>
          <w:szCs w:val="22"/>
          <w:lang w:eastAsia="ko-KR"/>
        </w:rPr>
      </w:pPr>
      <w:r w:rsidRPr="00CB6C95">
        <w:rPr>
          <w:b/>
          <w:sz w:val="22"/>
          <w:szCs w:val="22"/>
          <w:lang w:eastAsia="ko-KR"/>
        </w:rPr>
        <w:t>Harry Chen</w:t>
      </w:r>
    </w:p>
    <w:p w14:paraId="5E43CAC3" w14:textId="77777777" w:rsidR="00167860" w:rsidRPr="00CB6C95" w:rsidRDefault="00167860" w:rsidP="00167860">
      <w:pPr>
        <w:adjustRightInd w:val="0"/>
        <w:snapToGrid w:val="0"/>
        <w:rPr>
          <w:sz w:val="22"/>
          <w:szCs w:val="22"/>
          <w:lang w:eastAsia="ko-KR"/>
        </w:rPr>
      </w:pPr>
      <w:r w:rsidRPr="00CB6C95">
        <w:rPr>
          <w:sz w:val="22"/>
          <w:szCs w:val="22"/>
          <w:lang w:eastAsia="ko-KR"/>
        </w:rPr>
        <w:t>Senior specialized assistant</w:t>
      </w:r>
    </w:p>
    <w:p w14:paraId="69C68E74" w14:textId="77777777" w:rsidR="00167860" w:rsidRPr="00CB6C95" w:rsidRDefault="00167860" w:rsidP="00167860">
      <w:pPr>
        <w:adjustRightInd w:val="0"/>
        <w:snapToGrid w:val="0"/>
        <w:rPr>
          <w:sz w:val="22"/>
          <w:szCs w:val="22"/>
          <w:lang w:eastAsia="ko-KR"/>
        </w:rPr>
      </w:pPr>
      <w:r w:rsidRPr="00CB6C95">
        <w:rPr>
          <w:sz w:val="22"/>
          <w:szCs w:val="22"/>
          <w:lang w:eastAsia="ko-KR"/>
        </w:rPr>
        <w:t>F.C.F Fishery Co., Ltd</w:t>
      </w:r>
    </w:p>
    <w:p w14:paraId="0153DC66" w14:textId="77777777" w:rsidR="00167860" w:rsidRPr="00CB6C95" w:rsidRDefault="00167860" w:rsidP="00167860">
      <w:pPr>
        <w:adjustRightInd w:val="0"/>
        <w:snapToGrid w:val="0"/>
        <w:rPr>
          <w:sz w:val="22"/>
          <w:szCs w:val="22"/>
          <w:lang w:eastAsia="ko-KR"/>
        </w:rPr>
      </w:pPr>
      <w:r w:rsidRPr="00CB6C95">
        <w:rPr>
          <w:sz w:val="22"/>
          <w:szCs w:val="22"/>
          <w:lang w:eastAsia="ko-KR"/>
        </w:rPr>
        <w:t>harry@fcf.com.tw</w:t>
      </w:r>
    </w:p>
    <w:p w14:paraId="093AE9E2" w14:textId="77777777" w:rsidR="00167860" w:rsidRPr="00CB6C95" w:rsidRDefault="00167860" w:rsidP="00167860">
      <w:pPr>
        <w:adjustRightInd w:val="0"/>
        <w:snapToGrid w:val="0"/>
        <w:rPr>
          <w:sz w:val="22"/>
          <w:szCs w:val="22"/>
          <w:lang w:eastAsia="ko-KR"/>
        </w:rPr>
      </w:pPr>
    </w:p>
    <w:p w14:paraId="342B38C1" w14:textId="77777777" w:rsidR="00167860" w:rsidRPr="00CB6C95" w:rsidRDefault="00167860" w:rsidP="00167860">
      <w:pPr>
        <w:adjustRightInd w:val="0"/>
        <w:snapToGrid w:val="0"/>
        <w:rPr>
          <w:b/>
          <w:sz w:val="22"/>
          <w:szCs w:val="22"/>
          <w:lang w:eastAsia="ko-KR"/>
        </w:rPr>
      </w:pPr>
      <w:r w:rsidRPr="00CB6C95">
        <w:rPr>
          <w:b/>
          <w:sz w:val="22"/>
          <w:szCs w:val="22"/>
          <w:lang w:eastAsia="ko-KR"/>
        </w:rPr>
        <w:t>Tzu-Yu Sun</w:t>
      </w:r>
    </w:p>
    <w:p w14:paraId="792D052F" w14:textId="77777777" w:rsidR="00167860" w:rsidRPr="00CB6C95" w:rsidRDefault="00167860" w:rsidP="00167860">
      <w:pPr>
        <w:adjustRightInd w:val="0"/>
        <w:snapToGrid w:val="0"/>
        <w:rPr>
          <w:sz w:val="22"/>
          <w:szCs w:val="22"/>
          <w:lang w:eastAsia="ko-KR"/>
        </w:rPr>
      </w:pPr>
      <w:r w:rsidRPr="00CB6C95">
        <w:rPr>
          <w:sz w:val="22"/>
          <w:szCs w:val="22"/>
          <w:lang w:eastAsia="ko-KR"/>
        </w:rPr>
        <w:t>Specialized Assistant</w:t>
      </w:r>
    </w:p>
    <w:p w14:paraId="4F2CE60E" w14:textId="77777777" w:rsidR="00167860" w:rsidRPr="00CB6C95" w:rsidRDefault="00167860" w:rsidP="00167860">
      <w:pPr>
        <w:adjustRightInd w:val="0"/>
        <w:snapToGrid w:val="0"/>
        <w:rPr>
          <w:sz w:val="22"/>
          <w:szCs w:val="22"/>
          <w:lang w:eastAsia="ko-KR"/>
        </w:rPr>
      </w:pPr>
      <w:r w:rsidRPr="00CB6C95">
        <w:rPr>
          <w:sz w:val="22"/>
          <w:szCs w:val="22"/>
          <w:lang w:eastAsia="ko-KR"/>
        </w:rPr>
        <w:t>F.C.F Fishery Co., Ltd</w:t>
      </w:r>
    </w:p>
    <w:p w14:paraId="088280A1" w14:textId="77777777" w:rsidR="00167860" w:rsidRPr="00CB6C95" w:rsidRDefault="00167860" w:rsidP="00167860">
      <w:pPr>
        <w:adjustRightInd w:val="0"/>
        <w:snapToGrid w:val="0"/>
        <w:rPr>
          <w:sz w:val="22"/>
          <w:szCs w:val="22"/>
          <w:lang w:eastAsia="ko-KR"/>
        </w:rPr>
      </w:pPr>
      <w:r w:rsidRPr="00CB6C95">
        <w:rPr>
          <w:sz w:val="22"/>
          <w:szCs w:val="22"/>
          <w:lang w:eastAsia="ko-KR"/>
        </w:rPr>
        <w:t>jubby@fcf.com.tw</w:t>
      </w:r>
    </w:p>
    <w:p w14:paraId="118D564A" w14:textId="77777777" w:rsidR="00167860" w:rsidRPr="00CB6C95" w:rsidRDefault="00167860" w:rsidP="00167860">
      <w:pPr>
        <w:adjustRightInd w:val="0"/>
        <w:snapToGrid w:val="0"/>
        <w:rPr>
          <w:sz w:val="22"/>
          <w:szCs w:val="22"/>
          <w:lang w:eastAsia="ko-KR"/>
        </w:rPr>
      </w:pPr>
    </w:p>
    <w:p w14:paraId="76341864" w14:textId="77777777" w:rsidR="00167860" w:rsidRPr="00CB6C95" w:rsidRDefault="00167860" w:rsidP="00167860">
      <w:pPr>
        <w:adjustRightInd w:val="0"/>
        <w:snapToGrid w:val="0"/>
        <w:rPr>
          <w:b/>
          <w:sz w:val="22"/>
          <w:szCs w:val="22"/>
          <w:lang w:eastAsia="ko-KR"/>
        </w:rPr>
      </w:pPr>
      <w:r w:rsidRPr="00CB6C95">
        <w:rPr>
          <w:b/>
          <w:sz w:val="22"/>
          <w:szCs w:val="22"/>
          <w:lang w:eastAsia="ko-KR"/>
        </w:rPr>
        <w:t>Yi-Jay Chang</w:t>
      </w:r>
    </w:p>
    <w:p w14:paraId="4798A76B" w14:textId="77777777" w:rsidR="00167860" w:rsidRPr="00CB6C95" w:rsidRDefault="00167860" w:rsidP="00167860">
      <w:pPr>
        <w:adjustRightInd w:val="0"/>
        <w:snapToGrid w:val="0"/>
        <w:rPr>
          <w:sz w:val="22"/>
          <w:szCs w:val="22"/>
          <w:lang w:eastAsia="ko-KR"/>
        </w:rPr>
      </w:pPr>
      <w:r w:rsidRPr="00CB6C95">
        <w:rPr>
          <w:sz w:val="22"/>
          <w:szCs w:val="22"/>
          <w:lang w:eastAsia="ko-KR"/>
        </w:rPr>
        <w:t>Assistant Professor</w:t>
      </w:r>
    </w:p>
    <w:p w14:paraId="465B8DB6" w14:textId="77777777" w:rsidR="00167860" w:rsidRPr="00CB6C95" w:rsidRDefault="00167860" w:rsidP="00167860">
      <w:pPr>
        <w:adjustRightInd w:val="0"/>
        <w:snapToGrid w:val="0"/>
        <w:rPr>
          <w:sz w:val="22"/>
          <w:szCs w:val="22"/>
          <w:lang w:eastAsia="ko-KR"/>
        </w:rPr>
      </w:pPr>
      <w:r w:rsidRPr="00CB6C95">
        <w:rPr>
          <w:sz w:val="22"/>
          <w:szCs w:val="22"/>
          <w:lang w:eastAsia="ko-KR"/>
        </w:rPr>
        <w:t>National Taiwan University</w:t>
      </w:r>
    </w:p>
    <w:p w14:paraId="415850CA" w14:textId="77777777" w:rsidR="00167860" w:rsidRPr="00CB6C95" w:rsidRDefault="00167860" w:rsidP="00167860">
      <w:pPr>
        <w:adjustRightInd w:val="0"/>
        <w:snapToGrid w:val="0"/>
        <w:rPr>
          <w:sz w:val="22"/>
          <w:szCs w:val="22"/>
          <w:lang w:eastAsia="ko-KR"/>
        </w:rPr>
      </w:pPr>
      <w:r w:rsidRPr="00CB6C95">
        <w:rPr>
          <w:sz w:val="22"/>
          <w:szCs w:val="22"/>
          <w:lang w:eastAsia="ko-KR"/>
        </w:rPr>
        <w:t> yjchang@ntu.edu.tw</w:t>
      </w:r>
    </w:p>
    <w:p w14:paraId="74202EC5" w14:textId="77777777" w:rsidR="00167860" w:rsidRPr="00CB6C95" w:rsidRDefault="00167860" w:rsidP="00167860">
      <w:pPr>
        <w:adjustRightInd w:val="0"/>
        <w:snapToGrid w:val="0"/>
        <w:rPr>
          <w:sz w:val="22"/>
          <w:szCs w:val="22"/>
          <w:lang w:eastAsia="ko-KR"/>
        </w:rPr>
      </w:pPr>
    </w:p>
    <w:p w14:paraId="11AF3028" w14:textId="77777777" w:rsidR="00167860" w:rsidRPr="00CB6C95" w:rsidRDefault="00167860" w:rsidP="00167860">
      <w:pPr>
        <w:adjustRightInd w:val="0"/>
        <w:snapToGrid w:val="0"/>
        <w:rPr>
          <w:b/>
          <w:sz w:val="22"/>
          <w:szCs w:val="22"/>
          <w:lang w:eastAsia="ko-KR"/>
        </w:rPr>
      </w:pPr>
      <w:r w:rsidRPr="00CB6C95">
        <w:rPr>
          <w:b/>
          <w:sz w:val="22"/>
          <w:szCs w:val="22"/>
          <w:lang w:eastAsia="ko-KR"/>
        </w:rPr>
        <w:t>Hung-I Liu</w:t>
      </w:r>
    </w:p>
    <w:p w14:paraId="08D73A4A" w14:textId="77777777" w:rsidR="00167860" w:rsidRPr="00CB6C95" w:rsidRDefault="00167860" w:rsidP="00167860">
      <w:pPr>
        <w:adjustRightInd w:val="0"/>
        <w:snapToGrid w:val="0"/>
        <w:rPr>
          <w:sz w:val="22"/>
          <w:szCs w:val="22"/>
          <w:lang w:eastAsia="ko-KR"/>
        </w:rPr>
      </w:pPr>
      <w:r w:rsidRPr="00CB6C95">
        <w:rPr>
          <w:sz w:val="22"/>
          <w:szCs w:val="22"/>
          <w:lang w:eastAsia="ko-KR"/>
        </w:rPr>
        <w:t>Fisheries Statistician</w:t>
      </w:r>
    </w:p>
    <w:p w14:paraId="43E3CE7F" w14:textId="77777777" w:rsidR="00167860" w:rsidRPr="00CB6C95" w:rsidRDefault="00167860" w:rsidP="00167860">
      <w:pPr>
        <w:adjustRightInd w:val="0"/>
        <w:snapToGrid w:val="0"/>
        <w:rPr>
          <w:sz w:val="22"/>
          <w:szCs w:val="22"/>
          <w:lang w:eastAsia="ko-KR"/>
        </w:rPr>
      </w:pPr>
      <w:r w:rsidRPr="00CB6C95">
        <w:rPr>
          <w:sz w:val="22"/>
          <w:szCs w:val="22"/>
          <w:lang w:eastAsia="ko-KR"/>
        </w:rPr>
        <w:t>Overseas Fisheries Development Council</w:t>
      </w:r>
    </w:p>
    <w:p w14:paraId="1575BF06" w14:textId="77777777" w:rsidR="00167860" w:rsidRPr="00CB6C95" w:rsidRDefault="00167860" w:rsidP="00167860">
      <w:pPr>
        <w:adjustRightInd w:val="0"/>
        <w:snapToGrid w:val="0"/>
        <w:rPr>
          <w:sz w:val="22"/>
          <w:szCs w:val="22"/>
          <w:lang w:eastAsia="ko-KR"/>
        </w:rPr>
      </w:pPr>
      <w:r w:rsidRPr="00CB6C95">
        <w:rPr>
          <w:sz w:val="22"/>
          <w:szCs w:val="22"/>
          <w:lang w:eastAsia="ko-KR"/>
        </w:rPr>
        <w:t>luoe@ofdc.org.tw</w:t>
      </w:r>
    </w:p>
    <w:p w14:paraId="612DF755" w14:textId="77777777" w:rsidR="00167860" w:rsidRPr="00CB6C95" w:rsidRDefault="00167860" w:rsidP="00167860">
      <w:pPr>
        <w:adjustRightInd w:val="0"/>
        <w:snapToGrid w:val="0"/>
        <w:rPr>
          <w:sz w:val="22"/>
          <w:szCs w:val="22"/>
          <w:lang w:eastAsia="ko-KR"/>
        </w:rPr>
      </w:pPr>
    </w:p>
    <w:p w14:paraId="3B7673E3" w14:textId="77777777" w:rsidR="00167860" w:rsidRPr="00CB6C95" w:rsidRDefault="00167860" w:rsidP="00167860">
      <w:pPr>
        <w:adjustRightInd w:val="0"/>
        <w:snapToGrid w:val="0"/>
        <w:rPr>
          <w:b/>
          <w:sz w:val="22"/>
          <w:szCs w:val="22"/>
          <w:lang w:eastAsia="ko-KR"/>
        </w:rPr>
      </w:pPr>
      <w:r w:rsidRPr="00CB6C95">
        <w:rPr>
          <w:b/>
          <w:sz w:val="22"/>
          <w:szCs w:val="22"/>
          <w:lang w:eastAsia="ko-KR"/>
        </w:rPr>
        <w:t>Ren-Fen Wu</w:t>
      </w:r>
    </w:p>
    <w:p w14:paraId="4A48968B" w14:textId="77777777" w:rsidR="00167860" w:rsidRPr="00CB6C95" w:rsidRDefault="00167860" w:rsidP="00167860">
      <w:pPr>
        <w:adjustRightInd w:val="0"/>
        <w:snapToGrid w:val="0"/>
        <w:rPr>
          <w:sz w:val="22"/>
          <w:szCs w:val="22"/>
          <w:lang w:eastAsia="ko-KR"/>
        </w:rPr>
      </w:pPr>
      <w:r w:rsidRPr="00CB6C95">
        <w:rPr>
          <w:sz w:val="22"/>
          <w:szCs w:val="22"/>
          <w:lang w:eastAsia="ko-KR"/>
        </w:rPr>
        <w:t>Director of Information Division</w:t>
      </w:r>
    </w:p>
    <w:p w14:paraId="5DC42C7C" w14:textId="77777777" w:rsidR="00167860" w:rsidRPr="00CB6C95" w:rsidRDefault="00167860" w:rsidP="00167860">
      <w:pPr>
        <w:adjustRightInd w:val="0"/>
        <w:snapToGrid w:val="0"/>
        <w:rPr>
          <w:sz w:val="22"/>
          <w:szCs w:val="22"/>
          <w:lang w:eastAsia="ko-KR"/>
        </w:rPr>
      </w:pPr>
      <w:r w:rsidRPr="00CB6C95">
        <w:rPr>
          <w:sz w:val="22"/>
          <w:szCs w:val="22"/>
          <w:lang w:eastAsia="ko-KR"/>
        </w:rPr>
        <w:t>Overseas Fisheries Development Council</w:t>
      </w:r>
    </w:p>
    <w:p w14:paraId="49EB70A8" w14:textId="77777777" w:rsidR="00167860" w:rsidRPr="00CB6C95" w:rsidRDefault="00167860" w:rsidP="00167860">
      <w:pPr>
        <w:adjustRightInd w:val="0"/>
        <w:snapToGrid w:val="0"/>
        <w:rPr>
          <w:sz w:val="22"/>
          <w:szCs w:val="22"/>
          <w:lang w:eastAsia="ko-KR"/>
        </w:rPr>
      </w:pPr>
      <w:r w:rsidRPr="00CB6C95">
        <w:rPr>
          <w:sz w:val="22"/>
          <w:szCs w:val="22"/>
          <w:lang w:eastAsia="ko-KR"/>
        </w:rPr>
        <w:t>fan@ofdc.org.tw</w:t>
      </w:r>
    </w:p>
    <w:p w14:paraId="684DAE2D" w14:textId="77777777" w:rsidR="00167860" w:rsidRPr="00CB6C95" w:rsidRDefault="00167860" w:rsidP="00167860">
      <w:pPr>
        <w:adjustRightInd w:val="0"/>
        <w:snapToGrid w:val="0"/>
        <w:rPr>
          <w:sz w:val="22"/>
          <w:szCs w:val="22"/>
          <w:lang w:eastAsia="ko-KR"/>
        </w:rPr>
      </w:pPr>
    </w:p>
    <w:p w14:paraId="071FE9B0"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Tonga</w:t>
      </w:r>
    </w:p>
    <w:p w14:paraId="6E54C9A5" w14:textId="77777777" w:rsidR="00167860" w:rsidRPr="00CB6C95" w:rsidRDefault="00167860" w:rsidP="00167860">
      <w:pPr>
        <w:adjustRightInd w:val="0"/>
        <w:snapToGrid w:val="0"/>
        <w:rPr>
          <w:b/>
          <w:sz w:val="22"/>
          <w:szCs w:val="22"/>
          <w:lang w:eastAsia="ko-KR"/>
        </w:rPr>
      </w:pPr>
    </w:p>
    <w:p w14:paraId="45C8AE6F" w14:textId="77777777" w:rsidR="00167860" w:rsidRPr="00CB6C95" w:rsidRDefault="00167860" w:rsidP="00167860">
      <w:pPr>
        <w:adjustRightInd w:val="0"/>
        <w:snapToGrid w:val="0"/>
        <w:rPr>
          <w:b/>
          <w:sz w:val="22"/>
          <w:szCs w:val="22"/>
          <w:lang w:eastAsia="ko-KR"/>
        </w:rPr>
      </w:pPr>
      <w:r w:rsidRPr="00CB6C95">
        <w:rPr>
          <w:b/>
          <w:sz w:val="22"/>
          <w:szCs w:val="22"/>
          <w:lang w:eastAsia="ko-KR"/>
        </w:rPr>
        <w:t>Tuikolongahau Halafihi</w:t>
      </w:r>
    </w:p>
    <w:p w14:paraId="3ED8BCF4" w14:textId="77777777" w:rsidR="00167860" w:rsidRPr="00CB6C95" w:rsidRDefault="00167860" w:rsidP="00167860">
      <w:pPr>
        <w:adjustRightInd w:val="0"/>
        <w:snapToGrid w:val="0"/>
        <w:rPr>
          <w:sz w:val="22"/>
          <w:szCs w:val="22"/>
          <w:lang w:eastAsia="ko-KR"/>
        </w:rPr>
      </w:pPr>
      <w:r w:rsidRPr="00CB6C95">
        <w:rPr>
          <w:sz w:val="22"/>
          <w:szCs w:val="22"/>
          <w:lang w:eastAsia="ko-KR"/>
        </w:rPr>
        <w:t>CEO</w:t>
      </w:r>
    </w:p>
    <w:p w14:paraId="1BD5B44F"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Fisheries</w:t>
      </w:r>
    </w:p>
    <w:p w14:paraId="7073021A" w14:textId="77777777" w:rsidR="00167860" w:rsidRPr="00CB6C95" w:rsidRDefault="00167860" w:rsidP="00167860">
      <w:pPr>
        <w:adjustRightInd w:val="0"/>
        <w:snapToGrid w:val="0"/>
        <w:rPr>
          <w:sz w:val="22"/>
          <w:szCs w:val="22"/>
          <w:lang w:eastAsia="ko-KR"/>
        </w:rPr>
      </w:pPr>
      <w:r w:rsidRPr="00CB6C95">
        <w:rPr>
          <w:sz w:val="22"/>
          <w:szCs w:val="22"/>
          <w:lang w:eastAsia="ko-KR"/>
        </w:rPr>
        <w:t>PO.Box 871, Nuku'alofa. Tonga</w:t>
      </w:r>
    </w:p>
    <w:p w14:paraId="0724A39F" w14:textId="77777777" w:rsidR="00167860" w:rsidRPr="00CB6C95" w:rsidRDefault="00167860" w:rsidP="00167860">
      <w:pPr>
        <w:adjustRightInd w:val="0"/>
        <w:snapToGrid w:val="0"/>
        <w:rPr>
          <w:sz w:val="22"/>
          <w:szCs w:val="22"/>
          <w:lang w:eastAsia="ko-KR"/>
        </w:rPr>
      </w:pPr>
      <w:r w:rsidRPr="00CB6C95">
        <w:rPr>
          <w:sz w:val="22"/>
          <w:szCs w:val="22"/>
          <w:lang w:eastAsia="ko-KR"/>
        </w:rPr>
        <w:t>676 21 399</w:t>
      </w:r>
    </w:p>
    <w:p w14:paraId="23A5CE20" w14:textId="77777777" w:rsidR="00167860" w:rsidRPr="00CB6C95" w:rsidRDefault="00167860" w:rsidP="00167860">
      <w:pPr>
        <w:adjustRightInd w:val="0"/>
        <w:snapToGrid w:val="0"/>
        <w:rPr>
          <w:sz w:val="22"/>
          <w:szCs w:val="22"/>
          <w:lang w:eastAsia="ko-KR"/>
        </w:rPr>
      </w:pPr>
      <w:r w:rsidRPr="00CB6C95">
        <w:rPr>
          <w:sz w:val="22"/>
          <w:szCs w:val="22"/>
          <w:lang w:eastAsia="ko-KR"/>
        </w:rPr>
        <w:t>ceo@tongafish.gov.to</w:t>
      </w:r>
    </w:p>
    <w:p w14:paraId="2AE1606B" w14:textId="77777777" w:rsidR="00167860" w:rsidRPr="00CB6C95" w:rsidRDefault="00167860" w:rsidP="00167860">
      <w:pPr>
        <w:adjustRightInd w:val="0"/>
        <w:snapToGrid w:val="0"/>
        <w:rPr>
          <w:sz w:val="22"/>
          <w:szCs w:val="22"/>
          <w:lang w:eastAsia="ko-KR"/>
        </w:rPr>
      </w:pPr>
    </w:p>
    <w:p w14:paraId="233CA497" w14:textId="77777777" w:rsidR="00167860" w:rsidRPr="00CB6C95" w:rsidRDefault="00167860" w:rsidP="00167860">
      <w:pPr>
        <w:adjustRightInd w:val="0"/>
        <w:snapToGrid w:val="0"/>
        <w:rPr>
          <w:b/>
          <w:sz w:val="22"/>
          <w:szCs w:val="22"/>
          <w:lang w:eastAsia="ko-KR"/>
        </w:rPr>
      </w:pPr>
      <w:r w:rsidRPr="00CB6C95">
        <w:rPr>
          <w:b/>
          <w:sz w:val="22"/>
          <w:szCs w:val="22"/>
          <w:lang w:eastAsia="ko-KR"/>
        </w:rPr>
        <w:t>Lavinia Vaipuna</w:t>
      </w:r>
    </w:p>
    <w:p w14:paraId="688305C7" w14:textId="77777777" w:rsidR="00167860" w:rsidRPr="00CB6C95" w:rsidRDefault="00167860" w:rsidP="00167860">
      <w:pPr>
        <w:adjustRightInd w:val="0"/>
        <w:snapToGrid w:val="0"/>
        <w:rPr>
          <w:sz w:val="22"/>
          <w:szCs w:val="22"/>
          <w:lang w:eastAsia="ko-KR"/>
        </w:rPr>
      </w:pPr>
      <w:r w:rsidRPr="00CB6C95">
        <w:rPr>
          <w:sz w:val="22"/>
          <w:szCs w:val="22"/>
          <w:lang w:eastAsia="ko-KR"/>
        </w:rPr>
        <w:t>Fisheries Officer</w:t>
      </w:r>
    </w:p>
    <w:p w14:paraId="058183BB"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Fisheries</w:t>
      </w:r>
    </w:p>
    <w:p w14:paraId="54A747A4" w14:textId="77777777" w:rsidR="00167860" w:rsidRPr="00CB6C95" w:rsidRDefault="00167860" w:rsidP="00167860">
      <w:pPr>
        <w:adjustRightInd w:val="0"/>
        <w:snapToGrid w:val="0"/>
        <w:rPr>
          <w:sz w:val="22"/>
          <w:szCs w:val="22"/>
          <w:lang w:eastAsia="ko-KR"/>
        </w:rPr>
      </w:pPr>
      <w:r w:rsidRPr="00CB6C95">
        <w:rPr>
          <w:sz w:val="22"/>
          <w:szCs w:val="22"/>
          <w:lang w:eastAsia="ko-KR"/>
        </w:rPr>
        <w:t>P.O.Box 871, Nuku'alofa. Tonga</w:t>
      </w:r>
    </w:p>
    <w:p w14:paraId="30744CF3" w14:textId="77777777" w:rsidR="00167860" w:rsidRPr="00CB6C95" w:rsidRDefault="00167860" w:rsidP="00167860">
      <w:pPr>
        <w:adjustRightInd w:val="0"/>
        <w:snapToGrid w:val="0"/>
        <w:rPr>
          <w:sz w:val="22"/>
          <w:szCs w:val="22"/>
          <w:lang w:eastAsia="ko-KR"/>
        </w:rPr>
      </w:pPr>
      <w:r w:rsidRPr="00CB6C95">
        <w:rPr>
          <w:sz w:val="22"/>
          <w:szCs w:val="22"/>
          <w:lang w:eastAsia="ko-KR"/>
        </w:rPr>
        <w:t>676 21 399</w:t>
      </w:r>
    </w:p>
    <w:p w14:paraId="78B8CF1B" w14:textId="77777777" w:rsidR="00167860" w:rsidRPr="00CB6C95" w:rsidRDefault="00167860" w:rsidP="00167860">
      <w:pPr>
        <w:adjustRightInd w:val="0"/>
        <w:snapToGrid w:val="0"/>
        <w:rPr>
          <w:sz w:val="22"/>
          <w:szCs w:val="22"/>
          <w:lang w:eastAsia="ko-KR"/>
        </w:rPr>
      </w:pPr>
      <w:r w:rsidRPr="00CB6C95">
        <w:rPr>
          <w:sz w:val="22"/>
          <w:szCs w:val="22"/>
          <w:lang w:eastAsia="ko-KR"/>
        </w:rPr>
        <w:t>laviniav@tongafish.gov.to</w:t>
      </w:r>
    </w:p>
    <w:p w14:paraId="64EE2DED" w14:textId="77777777" w:rsidR="00167860" w:rsidRPr="00CB6C95" w:rsidRDefault="00167860" w:rsidP="00167860">
      <w:pPr>
        <w:adjustRightInd w:val="0"/>
        <w:snapToGrid w:val="0"/>
        <w:rPr>
          <w:sz w:val="22"/>
          <w:szCs w:val="22"/>
          <w:lang w:eastAsia="ko-KR"/>
        </w:rPr>
      </w:pPr>
    </w:p>
    <w:p w14:paraId="2064C553" w14:textId="77777777" w:rsidR="00167860" w:rsidRPr="00CB6C95" w:rsidRDefault="00167860" w:rsidP="00167860">
      <w:pPr>
        <w:adjustRightInd w:val="0"/>
        <w:snapToGrid w:val="0"/>
        <w:rPr>
          <w:b/>
          <w:sz w:val="22"/>
          <w:szCs w:val="22"/>
          <w:lang w:eastAsia="ko-KR"/>
        </w:rPr>
      </w:pPr>
      <w:r w:rsidRPr="00CB6C95">
        <w:rPr>
          <w:b/>
          <w:sz w:val="22"/>
          <w:szCs w:val="22"/>
          <w:lang w:eastAsia="ko-KR"/>
        </w:rPr>
        <w:t>Siola'a Malimali</w:t>
      </w:r>
    </w:p>
    <w:p w14:paraId="54F2CE07" w14:textId="77777777" w:rsidR="00167860" w:rsidRPr="00CB6C95" w:rsidRDefault="00167860" w:rsidP="00167860">
      <w:pPr>
        <w:adjustRightInd w:val="0"/>
        <w:snapToGrid w:val="0"/>
        <w:rPr>
          <w:sz w:val="22"/>
          <w:szCs w:val="22"/>
          <w:lang w:eastAsia="ko-KR"/>
        </w:rPr>
      </w:pPr>
      <w:r w:rsidRPr="00CB6C95">
        <w:rPr>
          <w:sz w:val="22"/>
          <w:szCs w:val="22"/>
          <w:lang w:eastAsia="ko-KR"/>
        </w:rPr>
        <w:t>Deputy CEO - Science Division</w:t>
      </w:r>
    </w:p>
    <w:p w14:paraId="01D6CA53"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Fisheries</w:t>
      </w:r>
    </w:p>
    <w:p w14:paraId="281C7538" w14:textId="77777777" w:rsidR="00167860" w:rsidRPr="00CB6C95" w:rsidRDefault="00167860" w:rsidP="00167860">
      <w:pPr>
        <w:adjustRightInd w:val="0"/>
        <w:snapToGrid w:val="0"/>
        <w:rPr>
          <w:sz w:val="22"/>
          <w:szCs w:val="22"/>
          <w:lang w:eastAsia="ko-KR"/>
        </w:rPr>
      </w:pPr>
      <w:r w:rsidRPr="00CB6C95">
        <w:rPr>
          <w:sz w:val="22"/>
          <w:szCs w:val="22"/>
          <w:lang w:eastAsia="ko-KR"/>
        </w:rPr>
        <w:t>PO.Box 871, Nuku'alofa. Tonga</w:t>
      </w:r>
    </w:p>
    <w:p w14:paraId="66C9BF7C" w14:textId="77777777" w:rsidR="00167860" w:rsidRPr="00CB6C95" w:rsidRDefault="00167860" w:rsidP="00167860">
      <w:pPr>
        <w:adjustRightInd w:val="0"/>
        <w:snapToGrid w:val="0"/>
        <w:rPr>
          <w:sz w:val="22"/>
          <w:szCs w:val="22"/>
          <w:lang w:eastAsia="ko-KR"/>
        </w:rPr>
      </w:pPr>
      <w:r w:rsidRPr="00CB6C95">
        <w:rPr>
          <w:sz w:val="22"/>
          <w:szCs w:val="22"/>
          <w:lang w:eastAsia="ko-KR"/>
        </w:rPr>
        <w:t>676 21 399</w:t>
      </w:r>
    </w:p>
    <w:p w14:paraId="64C3D63B" w14:textId="77777777" w:rsidR="00167860" w:rsidRPr="00CB6C95" w:rsidRDefault="00167860" w:rsidP="00167860">
      <w:pPr>
        <w:adjustRightInd w:val="0"/>
        <w:snapToGrid w:val="0"/>
        <w:rPr>
          <w:sz w:val="22"/>
          <w:szCs w:val="22"/>
          <w:lang w:eastAsia="ko-KR"/>
        </w:rPr>
      </w:pPr>
      <w:r w:rsidRPr="00CB6C95">
        <w:rPr>
          <w:sz w:val="22"/>
          <w:szCs w:val="22"/>
          <w:lang w:eastAsia="ko-KR"/>
        </w:rPr>
        <w:t>siolaamalimali@gmail.com</w:t>
      </w:r>
    </w:p>
    <w:p w14:paraId="47FE7BA3" w14:textId="77777777" w:rsidR="00167860" w:rsidRPr="00CB6C95" w:rsidRDefault="00167860" w:rsidP="00167860">
      <w:pPr>
        <w:adjustRightInd w:val="0"/>
        <w:snapToGrid w:val="0"/>
        <w:rPr>
          <w:sz w:val="22"/>
          <w:szCs w:val="22"/>
          <w:lang w:eastAsia="ko-KR"/>
        </w:rPr>
      </w:pPr>
    </w:p>
    <w:p w14:paraId="08D9ECC4"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Tuvalu</w:t>
      </w:r>
    </w:p>
    <w:p w14:paraId="2B5CD8CC" w14:textId="77777777" w:rsidR="00167860" w:rsidRPr="00CB6C95" w:rsidRDefault="00167860" w:rsidP="00167860">
      <w:pPr>
        <w:adjustRightInd w:val="0"/>
        <w:snapToGrid w:val="0"/>
        <w:rPr>
          <w:b/>
          <w:sz w:val="22"/>
          <w:szCs w:val="22"/>
          <w:lang w:eastAsia="ko-KR"/>
        </w:rPr>
      </w:pPr>
    </w:p>
    <w:p w14:paraId="23F5C96D" w14:textId="77777777" w:rsidR="00167860" w:rsidRPr="00CB6C95" w:rsidRDefault="00167860" w:rsidP="00167860">
      <w:pPr>
        <w:adjustRightInd w:val="0"/>
        <w:snapToGrid w:val="0"/>
        <w:rPr>
          <w:b/>
          <w:sz w:val="22"/>
          <w:szCs w:val="22"/>
          <w:lang w:eastAsia="ko-KR"/>
        </w:rPr>
      </w:pPr>
      <w:r w:rsidRPr="00CB6C95">
        <w:rPr>
          <w:b/>
          <w:sz w:val="22"/>
          <w:szCs w:val="22"/>
          <w:lang w:eastAsia="ko-KR"/>
        </w:rPr>
        <w:t>Samasoni A Finikaso</w:t>
      </w:r>
    </w:p>
    <w:p w14:paraId="273D20BB" w14:textId="77777777" w:rsidR="00167860" w:rsidRPr="00CB6C95" w:rsidRDefault="00167860" w:rsidP="00167860">
      <w:pPr>
        <w:adjustRightInd w:val="0"/>
        <w:snapToGrid w:val="0"/>
        <w:rPr>
          <w:sz w:val="22"/>
          <w:szCs w:val="22"/>
          <w:lang w:eastAsia="ko-KR"/>
        </w:rPr>
      </w:pPr>
      <w:r w:rsidRPr="00CB6C95">
        <w:rPr>
          <w:sz w:val="22"/>
          <w:szCs w:val="22"/>
          <w:lang w:eastAsia="ko-KR"/>
        </w:rPr>
        <w:t>Director of Fisheries</w:t>
      </w:r>
    </w:p>
    <w:p w14:paraId="6F1D805F" w14:textId="77777777" w:rsidR="00167860" w:rsidRPr="00CB6C95" w:rsidRDefault="00167860" w:rsidP="00167860">
      <w:pPr>
        <w:adjustRightInd w:val="0"/>
        <w:snapToGrid w:val="0"/>
        <w:rPr>
          <w:sz w:val="22"/>
          <w:szCs w:val="22"/>
          <w:lang w:eastAsia="ko-KR"/>
        </w:rPr>
      </w:pPr>
      <w:r w:rsidRPr="00CB6C95">
        <w:rPr>
          <w:sz w:val="22"/>
          <w:szCs w:val="22"/>
          <w:lang w:eastAsia="ko-KR"/>
        </w:rPr>
        <w:t>Tuvalu Fiheries</w:t>
      </w:r>
    </w:p>
    <w:p w14:paraId="59D29F91" w14:textId="77777777" w:rsidR="00167860" w:rsidRPr="00CB6C95" w:rsidRDefault="00167860" w:rsidP="00167860">
      <w:pPr>
        <w:adjustRightInd w:val="0"/>
        <w:snapToGrid w:val="0"/>
        <w:rPr>
          <w:sz w:val="22"/>
          <w:szCs w:val="22"/>
          <w:lang w:eastAsia="ko-KR"/>
        </w:rPr>
      </w:pPr>
      <w:r w:rsidRPr="00CB6C95">
        <w:rPr>
          <w:sz w:val="22"/>
          <w:szCs w:val="22"/>
          <w:lang w:eastAsia="ko-KR"/>
        </w:rPr>
        <w:t>Department of Fisheries</w:t>
      </w:r>
      <w:r w:rsidRPr="00CB6C95">
        <w:rPr>
          <w:sz w:val="22"/>
          <w:szCs w:val="22"/>
          <w:lang w:eastAsia="ko-KR"/>
        </w:rPr>
        <w:br/>
        <w:t>Teone, Funafuti, TUVALU</w:t>
      </w:r>
    </w:p>
    <w:p w14:paraId="00405C9D" w14:textId="77777777" w:rsidR="00167860" w:rsidRPr="00CB6C95" w:rsidRDefault="00167860" w:rsidP="00167860">
      <w:pPr>
        <w:adjustRightInd w:val="0"/>
        <w:snapToGrid w:val="0"/>
        <w:rPr>
          <w:sz w:val="22"/>
          <w:szCs w:val="22"/>
          <w:lang w:eastAsia="ko-KR"/>
        </w:rPr>
      </w:pPr>
      <w:r w:rsidRPr="00CB6C95">
        <w:rPr>
          <w:sz w:val="22"/>
          <w:szCs w:val="22"/>
          <w:lang w:eastAsia="ko-KR"/>
        </w:rPr>
        <w:t>(688) 20344</w:t>
      </w:r>
    </w:p>
    <w:p w14:paraId="402DABD5" w14:textId="77777777" w:rsidR="00167860" w:rsidRPr="00CB6C95" w:rsidRDefault="00167860" w:rsidP="00167860">
      <w:pPr>
        <w:adjustRightInd w:val="0"/>
        <w:snapToGrid w:val="0"/>
        <w:rPr>
          <w:sz w:val="22"/>
          <w:szCs w:val="22"/>
          <w:lang w:eastAsia="ko-KR"/>
        </w:rPr>
      </w:pPr>
      <w:r w:rsidRPr="00CB6C95">
        <w:rPr>
          <w:sz w:val="22"/>
          <w:szCs w:val="22"/>
          <w:lang w:eastAsia="ko-KR"/>
        </w:rPr>
        <w:t>samfinikaso70@gmail.com</w:t>
      </w:r>
    </w:p>
    <w:p w14:paraId="3325D815" w14:textId="77777777" w:rsidR="00167860" w:rsidRPr="00CB6C95" w:rsidRDefault="00167860" w:rsidP="00167860">
      <w:pPr>
        <w:adjustRightInd w:val="0"/>
        <w:snapToGrid w:val="0"/>
        <w:rPr>
          <w:sz w:val="22"/>
          <w:szCs w:val="22"/>
          <w:lang w:eastAsia="ko-KR"/>
        </w:rPr>
      </w:pPr>
    </w:p>
    <w:p w14:paraId="4DDF6D5A" w14:textId="77777777" w:rsidR="00167860" w:rsidRPr="00CB6C95" w:rsidRDefault="00167860" w:rsidP="00167860">
      <w:pPr>
        <w:adjustRightInd w:val="0"/>
        <w:snapToGrid w:val="0"/>
        <w:rPr>
          <w:b/>
          <w:sz w:val="22"/>
          <w:szCs w:val="22"/>
          <w:lang w:eastAsia="ko-KR"/>
        </w:rPr>
      </w:pPr>
      <w:r w:rsidRPr="00CB6C95">
        <w:rPr>
          <w:b/>
          <w:sz w:val="22"/>
          <w:szCs w:val="22"/>
          <w:lang w:eastAsia="ko-KR"/>
        </w:rPr>
        <w:t>Uni Liufau</w:t>
      </w:r>
    </w:p>
    <w:p w14:paraId="0F72F9BA" w14:textId="77777777" w:rsidR="00167860" w:rsidRPr="00CB6C95" w:rsidRDefault="00167860" w:rsidP="00167860">
      <w:pPr>
        <w:adjustRightInd w:val="0"/>
        <w:snapToGrid w:val="0"/>
        <w:rPr>
          <w:sz w:val="22"/>
          <w:szCs w:val="22"/>
          <w:lang w:eastAsia="ko-KR"/>
        </w:rPr>
      </w:pPr>
      <w:r w:rsidRPr="00CB6C95">
        <w:rPr>
          <w:sz w:val="22"/>
          <w:szCs w:val="22"/>
          <w:lang w:eastAsia="ko-KR"/>
        </w:rPr>
        <w:t>Compliance Officer</w:t>
      </w:r>
    </w:p>
    <w:p w14:paraId="48E31ADA" w14:textId="77777777" w:rsidR="00167860" w:rsidRPr="00CB6C95" w:rsidRDefault="00167860" w:rsidP="00167860">
      <w:pPr>
        <w:adjustRightInd w:val="0"/>
        <w:snapToGrid w:val="0"/>
        <w:rPr>
          <w:sz w:val="22"/>
          <w:szCs w:val="22"/>
          <w:lang w:eastAsia="ko-KR"/>
        </w:rPr>
      </w:pPr>
      <w:r w:rsidRPr="00CB6C95">
        <w:rPr>
          <w:sz w:val="22"/>
          <w:szCs w:val="22"/>
          <w:lang w:eastAsia="ko-KR"/>
        </w:rPr>
        <w:t>Tuvalu Fisheries Department</w:t>
      </w:r>
    </w:p>
    <w:p w14:paraId="4B8A0592" w14:textId="77777777" w:rsidR="00167860" w:rsidRPr="00CB6C95" w:rsidRDefault="00167860" w:rsidP="00167860">
      <w:pPr>
        <w:adjustRightInd w:val="0"/>
        <w:snapToGrid w:val="0"/>
        <w:rPr>
          <w:sz w:val="22"/>
          <w:szCs w:val="22"/>
          <w:lang w:eastAsia="ko-KR"/>
        </w:rPr>
      </w:pPr>
      <w:r w:rsidRPr="00CB6C95">
        <w:rPr>
          <w:sz w:val="22"/>
          <w:szCs w:val="22"/>
          <w:lang w:eastAsia="ko-KR"/>
        </w:rPr>
        <w:t>Teone, Funafuti, Tuvalu</w:t>
      </w:r>
    </w:p>
    <w:p w14:paraId="09048CDB" w14:textId="77777777" w:rsidR="00167860" w:rsidRPr="00CB6C95" w:rsidRDefault="00167860" w:rsidP="00167860">
      <w:pPr>
        <w:adjustRightInd w:val="0"/>
        <w:snapToGrid w:val="0"/>
        <w:rPr>
          <w:sz w:val="22"/>
          <w:szCs w:val="22"/>
          <w:lang w:eastAsia="ko-KR"/>
        </w:rPr>
      </w:pPr>
      <w:r w:rsidRPr="00CB6C95">
        <w:rPr>
          <w:sz w:val="22"/>
          <w:szCs w:val="22"/>
          <w:lang w:eastAsia="ko-KR"/>
        </w:rPr>
        <w:t>(688)20343</w:t>
      </w:r>
    </w:p>
    <w:p w14:paraId="0E9C66BB" w14:textId="77777777" w:rsidR="00167860" w:rsidRPr="00CB6C95" w:rsidRDefault="00167860" w:rsidP="00167860">
      <w:pPr>
        <w:adjustRightInd w:val="0"/>
        <w:snapToGrid w:val="0"/>
        <w:rPr>
          <w:sz w:val="22"/>
          <w:szCs w:val="22"/>
          <w:lang w:eastAsia="ko-KR"/>
        </w:rPr>
      </w:pPr>
      <w:r w:rsidRPr="00CB6C95">
        <w:rPr>
          <w:sz w:val="22"/>
          <w:szCs w:val="22"/>
          <w:lang w:eastAsia="ko-KR"/>
        </w:rPr>
        <w:t>punatau89@gmail.com</w:t>
      </w:r>
    </w:p>
    <w:p w14:paraId="211DDE1D" w14:textId="77777777" w:rsidR="00167860" w:rsidRPr="00CB6C95" w:rsidRDefault="00167860" w:rsidP="00167860">
      <w:pPr>
        <w:adjustRightInd w:val="0"/>
        <w:snapToGrid w:val="0"/>
        <w:rPr>
          <w:sz w:val="22"/>
          <w:szCs w:val="22"/>
          <w:lang w:eastAsia="ko-KR"/>
        </w:rPr>
      </w:pPr>
    </w:p>
    <w:p w14:paraId="11DED1A2" w14:textId="77777777" w:rsidR="00167860" w:rsidRPr="00CB6C95" w:rsidRDefault="00167860" w:rsidP="00167860">
      <w:pPr>
        <w:adjustRightInd w:val="0"/>
        <w:snapToGrid w:val="0"/>
        <w:rPr>
          <w:b/>
          <w:sz w:val="22"/>
          <w:szCs w:val="22"/>
          <w:lang w:eastAsia="ko-KR"/>
        </w:rPr>
      </w:pPr>
      <w:r w:rsidRPr="00CB6C95">
        <w:rPr>
          <w:b/>
          <w:sz w:val="22"/>
          <w:szCs w:val="22"/>
          <w:lang w:eastAsia="ko-KR"/>
        </w:rPr>
        <w:t>Siouala Malua</w:t>
      </w:r>
    </w:p>
    <w:p w14:paraId="2C1CF830" w14:textId="77777777" w:rsidR="00167860" w:rsidRPr="00CB6C95" w:rsidRDefault="00167860" w:rsidP="00167860">
      <w:pPr>
        <w:adjustRightInd w:val="0"/>
        <w:snapToGrid w:val="0"/>
        <w:rPr>
          <w:sz w:val="22"/>
          <w:szCs w:val="22"/>
          <w:lang w:eastAsia="ko-KR"/>
        </w:rPr>
      </w:pPr>
      <w:r w:rsidRPr="00CB6C95">
        <w:rPr>
          <w:sz w:val="22"/>
          <w:szCs w:val="22"/>
          <w:lang w:eastAsia="ko-KR"/>
        </w:rPr>
        <w:t>Senior Fisheries Officer - Licensing &amp; Data</w:t>
      </w:r>
    </w:p>
    <w:p w14:paraId="6E6A1616" w14:textId="77777777" w:rsidR="00167860" w:rsidRPr="00CB6C95" w:rsidRDefault="00167860" w:rsidP="00167860">
      <w:pPr>
        <w:adjustRightInd w:val="0"/>
        <w:snapToGrid w:val="0"/>
        <w:rPr>
          <w:sz w:val="22"/>
          <w:szCs w:val="22"/>
          <w:lang w:eastAsia="ko-KR"/>
        </w:rPr>
      </w:pPr>
      <w:r w:rsidRPr="00CB6C95">
        <w:rPr>
          <w:sz w:val="22"/>
          <w:szCs w:val="22"/>
          <w:lang w:eastAsia="ko-KR"/>
        </w:rPr>
        <w:t>Tuvalu Fisheries Department</w:t>
      </w:r>
    </w:p>
    <w:p w14:paraId="76DE4339"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Natural Resources</w:t>
      </w:r>
      <w:r w:rsidRPr="00CB6C95">
        <w:rPr>
          <w:sz w:val="22"/>
          <w:szCs w:val="22"/>
          <w:lang w:eastAsia="ko-KR"/>
        </w:rPr>
        <w:br/>
        <w:t>Teone, Funafuti, TUVALU</w:t>
      </w:r>
    </w:p>
    <w:p w14:paraId="47C5DE03" w14:textId="77777777" w:rsidR="00167860" w:rsidRPr="00CB6C95" w:rsidRDefault="00167860" w:rsidP="00167860">
      <w:pPr>
        <w:adjustRightInd w:val="0"/>
        <w:snapToGrid w:val="0"/>
        <w:rPr>
          <w:sz w:val="22"/>
          <w:szCs w:val="22"/>
          <w:lang w:eastAsia="ko-KR"/>
        </w:rPr>
      </w:pPr>
      <w:r w:rsidRPr="00CB6C95">
        <w:rPr>
          <w:sz w:val="22"/>
          <w:szCs w:val="22"/>
          <w:lang w:eastAsia="ko-KR"/>
        </w:rPr>
        <w:t>68820343</w:t>
      </w:r>
    </w:p>
    <w:p w14:paraId="0CE3001F" w14:textId="77777777" w:rsidR="00167860" w:rsidRPr="00CB6C95" w:rsidRDefault="00167860" w:rsidP="00167860">
      <w:pPr>
        <w:adjustRightInd w:val="0"/>
        <w:snapToGrid w:val="0"/>
        <w:rPr>
          <w:sz w:val="22"/>
          <w:szCs w:val="22"/>
          <w:lang w:eastAsia="ko-KR"/>
        </w:rPr>
      </w:pPr>
      <w:r w:rsidRPr="00CB6C95">
        <w:rPr>
          <w:sz w:val="22"/>
          <w:szCs w:val="22"/>
          <w:lang w:eastAsia="ko-KR"/>
        </w:rPr>
        <w:t>vaitulu.tupz@gmail.com</w:t>
      </w:r>
    </w:p>
    <w:p w14:paraId="7B884F5E" w14:textId="77777777" w:rsidR="00167860" w:rsidRPr="00CB6C95" w:rsidRDefault="00167860" w:rsidP="00167860">
      <w:pPr>
        <w:adjustRightInd w:val="0"/>
        <w:snapToGrid w:val="0"/>
        <w:rPr>
          <w:sz w:val="22"/>
          <w:szCs w:val="22"/>
          <w:lang w:eastAsia="ko-KR"/>
        </w:rPr>
      </w:pPr>
    </w:p>
    <w:p w14:paraId="3759CC80"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United States of America</w:t>
      </w:r>
    </w:p>
    <w:p w14:paraId="0B070E04" w14:textId="77777777" w:rsidR="00167860" w:rsidRPr="00CB6C95" w:rsidRDefault="00167860" w:rsidP="00167860">
      <w:pPr>
        <w:adjustRightInd w:val="0"/>
        <w:snapToGrid w:val="0"/>
        <w:rPr>
          <w:b/>
          <w:sz w:val="22"/>
          <w:szCs w:val="22"/>
          <w:lang w:eastAsia="ko-KR"/>
        </w:rPr>
      </w:pPr>
    </w:p>
    <w:p w14:paraId="28B155D1" w14:textId="77777777" w:rsidR="00167860" w:rsidRPr="00CB6C95" w:rsidRDefault="00167860" w:rsidP="00167860">
      <w:pPr>
        <w:adjustRightInd w:val="0"/>
        <w:snapToGrid w:val="0"/>
        <w:rPr>
          <w:b/>
          <w:sz w:val="22"/>
          <w:szCs w:val="22"/>
          <w:lang w:eastAsia="ko-KR"/>
        </w:rPr>
      </w:pPr>
      <w:r w:rsidRPr="00CB6C95">
        <w:rPr>
          <w:b/>
          <w:sz w:val="22"/>
          <w:szCs w:val="22"/>
          <w:lang w:eastAsia="ko-KR"/>
        </w:rPr>
        <w:t>Keith Bigelow</w:t>
      </w:r>
    </w:p>
    <w:p w14:paraId="36360CC4" w14:textId="77777777" w:rsidR="00167860" w:rsidRPr="00CB6C95" w:rsidRDefault="00167860" w:rsidP="00167860">
      <w:pPr>
        <w:adjustRightInd w:val="0"/>
        <w:snapToGrid w:val="0"/>
        <w:rPr>
          <w:sz w:val="22"/>
          <w:szCs w:val="22"/>
          <w:lang w:eastAsia="ko-KR"/>
        </w:rPr>
      </w:pPr>
      <w:r w:rsidRPr="00CB6C95">
        <w:rPr>
          <w:sz w:val="22"/>
          <w:szCs w:val="22"/>
          <w:lang w:eastAsia="ko-KR"/>
        </w:rPr>
        <w:t>Fisheries Biologist</w:t>
      </w:r>
    </w:p>
    <w:p w14:paraId="52948CE0" w14:textId="77777777" w:rsidR="00167860" w:rsidRPr="00CB6C95" w:rsidRDefault="00167860" w:rsidP="00167860">
      <w:pPr>
        <w:adjustRightInd w:val="0"/>
        <w:snapToGrid w:val="0"/>
        <w:rPr>
          <w:sz w:val="22"/>
          <w:szCs w:val="22"/>
          <w:lang w:eastAsia="ko-KR"/>
        </w:rPr>
      </w:pPr>
      <w:r w:rsidRPr="00CB6C95">
        <w:rPr>
          <w:sz w:val="22"/>
          <w:szCs w:val="22"/>
          <w:lang w:eastAsia="ko-KR"/>
        </w:rPr>
        <w:t>NOAA PIFSC</w:t>
      </w:r>
    </w:p>
    <w:p w14:paraId="27ED46C4" w14:textId="77777777" w:rsidR="00167860" w:rsidRPr="00CB6C95" w:rsidRDefault="00167860" w:rsidP="00167860">
      <w:pPr>
        <w:adjustRightInd w:val="0"/>
        <w:snapToGrid w:val="0"/>
        <w:rPr>
          <w:sz w:val="22"/>
          <w:szCs w:val="22"/>
          <w:lang w:eastAsia="ko-KR"/>
        </w:rPr>
      </w:pPr>
      <w:r w:rsidRPr="00CB6C95">
        <w:rPr>
          <w:sz w:val="22"/>
          <w:szCs w:val="22"/>
          <w:lang w:eastAsia="ko-KR"/>
        </w:rPr>
        <w:t>keith.bigelow@noaa.gov</w:t>
      </w:r>
    </w:p>
    <w:p w14:paraId="54C09B6D" w14:textId="77777777" w:rsidR="00167860" w:rsidRPr="00CB6C95" w:rsidRDefault="00167860" w:rsidP="00167860">
      <w:pPr>
        <w:adjustRightInd w:val="0"/>
        <w:snapToGrid w:val="0"/>
        <w:rPr>
          <w:sz w:val="22"/>
          <w:szCs w:val="22"/>
          <w:lang w:eastAsia="ko-KR"/>
        </w:rPr>
      </w:pPr>
    </w:p>
    <w:p w14:paraId="7C1796B6" w14:textId="77777777" w:rsidR="00167860" w:rsidRPr="00CB6C95" w:rsidRDefault="00167860" w:rsidP="00167860">
      <w:pPr>
        <w:adjustRightInd w:val="0"/>
        <w:snapToGrid w:val="0"/>
        <w:rPr>
          <w:b/>
          <w:sz w:val="22"/>
          <w:szCs w:val="22"/>
          <w:lang w:eastAsia="ko-KR"/>
        </w:rPr>
      </w:pPr>
      <w:r w:rsidRPr="00CB6C95">
        <w:rPr>
          <w:b/>
          <w:sz w:val="22"/>
          <w:szCs w:val="22"/>
          <w:lang w:eastAsia="ko-KR"/>
        </w:rPr>
        <w:t>Valerie Post</w:t>
      </w:r>
    </w:p>
    <w:p w14:paraId="2FFDB676" w14:textId="77777777" w:rsidR="00167860" w:rsidRPr="00CB6C95" w:rsidRDefault="00167860" w:rsidP="00167860">
      <w:pPr>
        <w:adjustRightInd w:val="0"/>
        <w:snapToGrid w:val="0"/>
        <w:rPr>
          <w:sz w:val="22"/>
          <w:szCs w:val="22"/>
          <w:lang w:eastAsia="ko-KR"/>
        </w:rPr>
      </w:pPr>
      <w:r w:rsidRPr="00CB6C95">
        <w:rPr>
          <w:sz w:val="22"/>
          <w:szCs w:val="22"/>
          <w:lang w:eastAsia="ko-KR"/>
        </w:rPr>
        <w:t>Fishery Policy Analyst</w:t>
      </w:r>
    </w:p>
    <w:p w14:paraId="334D878A" w14:textId="77777777" w:rsidR="00167860" w:rsidRPr="00CB6C95" w:rsidRDefault="00167860" w:rsidP="00167860">
      <w:pPr>
        <w:adjustRightInd w:val="0"/>
        <w:snapToGrid w:val="0"/>
        <w:rPr>
          <w:sz w:val="22"/>
          <w:szCs w:val="22"/>
          <w:lang w:eastAsia="ko-KR"/>
        </w:rPr>
      </w:pPr>
      <w:r w:rsidRPr="00CB6C95">
        <w:rPr>
          <w:sz w:val="22"/>
          <w:szCs w:val="22"/>
          <w:lang w:eastAsia="ko-KR"/>
        </w:rPr>
        <w:t>NOAA PIRO</w:t>
      </w:r>
    </w:p>
    <w:p w14:paraId="4055753A" w14:textId="77777777" w:rsidR="00167860" w:rsidRPr="00CB6C95" w:rsidRDefault="00167860" w:rsidP="00167860">
      <w:pPr>
        <w:adjustRightInd w:val="0"/>
        <w:snapToGrid w:val="0"/>
        <w:rPr>
          <w:sz w:val="22"/>
          <w:szCs w:val="22"/>
          <w:lang w:eastAsia="ko-KR"/>
        </w:rPr>
      </w:pPr>
      <w:r w:rsidRPr="00CB6C95">
        <w:rPr>
          <w:sz w:val="22"/>
          <w:szCs w:val="22"/>
          <w:lang w:eastAsia="ko-KR"/>
        </w:rPr>
        <w:t>1845 Wasp Blvd, Bldg 176</w:t>
      </w:r>
      <w:r w:rsidRPr="00CB6C95">
        <w:rPr>
          <w:sz w:val="22"/>
          <w:szCs w:val="22"/>
          <w:lang w:eastAsia="ko-KR"/>
        </w:rPr>
        <w:br/>
        <w:t>Honolulu, HI 96818</w:t>
      </w:r>
    </w:p>
    <w:p w14:paraId="297EFF79" w14:textId="77777777" w:rsidR="00167860" w:rsidRPr="00CB6C95" w:rsidRDefault="00167860" w:rsidP="00167860">
      <w:pPr>
        <w:adjustRightInd w:val="0"/>
        <w:snapToGrid w:val="0"/>
        <w:rPr>
          <w:sz w:val="22"/>
          <w:szCs w:val="22"/>
          <w:lang w:eastAsia="ko-KR"/>
        </w:rPr>
      </w:pPr>
      <w:r w:rsidRPr="00CB6C95">
        <w:rPr>
          <w:sz w:val="22"/>
          <w:szCs w:val="22"/>
          <w:lang w:eastAsia="ko-KR"/>
        </w:rPr>
        <w:t>valerie.post@noaa.gov</w:t>
      </w:r>
    </w:p>
    <w:p w14:paraId="081B90CA" w14:textId="77777777" w:rsidR="00167860" w:rsidRPr="00CB6C95" w:rsidRDefault="00167860" w:rsidP="00167860">
      <w:pPr>
        <w:adjustRightInd w:val="0"/>
        <w:snapToGrid w:val="0"/>
        <w:rPr>
          <w:sz w:val="22"/>
          <w:szCs w:val="22"/>
          <w:lang w:eastAsia="ko-KR"/>
        </w:rPr>
      </w:pPr>
    </w:p>
    <w:p w14:paraId="248E41F8" w14:textId="77777777" w:rsidR="00167860" w:rsidRPr="00CB6C95" w:rsidRDefault="00167860" w:rsidP="00167860">
      <w:pPr>
        <w:adjustRightInd w:val="0"/>
        <w:snapToGrid w:val="0"/>
        <w:rPr>
          <w:b/>
          <w:sz w:val="22"/>
          <w:szCs w:val="22"/>
          <w:lang w:eastAsia="ko-KR"/>
        </w:rPr>
      </w:pPr>
      <w:r w:rsidRPr="00CB6C95">
        <w:rPr>
          <w:b/>
          <w:sz w:val="22"/>
          <w:szCs w:val="22"/>
          <w:lang w:eastAsia="ko-KR"/>
        </w:rPr>
        <w:t>Jon Kenton Tarsus Brodziak</w:t>
      </w:r>
    </w:p>
    <w:p w14:paraId="00857D7F" w14:textId="77777777" w:rsidR="00167860" w:rsidRPr="00CB6C95" w:rsidRDefault="00167860" w:rsidP="00167860">
      <w:pPr>
        <w:adjustRightInd w:val="0"/>
        <w:snapToGrid w:val="0"/>
        <w:rPr>
          <w:sz w:val="22"/>
          <w:szCs w:val="22"/>
          <w:lang w:eastAsia="ko-KR"/>
        </w:rPr>
      </w:pPr>
      <w:r w:rsidRPr="00CB6C95">
        <w:rPr>
          <w:sz w:val="22"/>
          <w:szCs w:val="22"/>
          <w:lang w:eastAsia="ko-KR"/>
        </w:rPr>
        <w:t>Senior Stock Assessment Scientist</w:t>
      </w:r>
    </w:p>
    <w:p w14:paraId="1C2C1FAB" w14:textId="77777777" w:rsidR="00167860" w:rsidRPr="00CB6C95" w:rsidRDefault="00167860" w:rsidP="00167860">
      <w:pPr>
        <w:adjustRightInd w:val="0"/>
        <w:snapToGrid w:val="0"/>
        <w:rPr>
          <w:sz w:val="22"/>
          <w:szCs w:val="22"/>
          <w:lang w:eastAsia="ko-KR"/>
        </w:rPr>
      </w:pPr>
      <w:r w:rsidRPr="00CB6C95">
        <w:rPr>
          <w:sz w:val="22"/>
          <w:szCs w:val="22"/>
          <w:lang w:eastAsia="ko-KR"/>
        </w:rPr>
        <w:t>NOAA Fisheries/Pacific Islands Fisheries Science Center</w:t>
      </w:r>
    </w:p>
    <w:p w14:paraId="63C7B53E" w14:textId="77777777" w:rsidR="00167860" w:rsidRPr="00CB6C95" w:rsidRDefault="00167860" w:rsidP="00167860">
      <w:pPr>
        <w:adjustRightInd w:val="0"/>
        <w:snapToGrid w:val="0"/>
        <w:rPr>
          <w:sz w:val="22"/>
          <w:szCs w:val="22"/>
          <w:lang w:eastAsia="ko-KR"/>
        </w:rPr>
      </w:pPr>
      <w:r w:rsidRPr="00CB6C95">
        <w:rPr>
          <w:sz w:val="22"/>
          <w:szCs w:val="22"/>
          <w:lang w:eastAsia="ko-KR"/>
        </w:rPr>
        <w:t>8087255617</w:t>
      </w:r>
    </w:p>
    <w:p w14:paraId="7F80F3DC" w14:textId="77777777" w:rsidR="00167860" w:rsidRPr="00CB6C95" w:rsidRDefault="00167860" w:rsidP="00167860">
      <w:pPr>
        <w:adjustRightInd w:val="0"/>
        <w:snapToGrid w:val="0"/>
        <w:rPr>
          <w:sz w:val="22"/>
          <w:szCs w:val="22"/>
          <w:lang w:eastAsia="ko-KR"/>
        </w:rPr>
      </w:pPr>
      <w:r w:rsidRPr="00CB6C95">
        <w:rPr>
          <w:sz w:val="22"/>
          <w:szCs w:val="22"/>
          <w:lang w:eastAsia="ko-KR"/>
        </w:rPr>
        <w:t>jon.brodziak@noaa.gov</w:t>
      </w:r>
    </w:p>
    <w:p w14:paraId="11182979" w14:textId="77777777" w:rsidR="00167860" w:rsidRPr="00CB6C95" w:rsidRDefault="00167860" w:rsidP="00167860">
      <w:pPr>
        <w:adjustRightInd w:val="0"/>
        <w:snapToGrid w:val="0"/>
        <w:rPr>
          <w:sz w:val="22"/>
          <w:szCs w:val="22"/>
          <w:lang w:eastAsia="ko-KR"/>
        </w:rPr>
      </w:pPr>
    </w:p>
    <w:p w14:paraId="66FBC5D2" w14:textId="77777777" w:rsidR="00167860" w:rsidRPr="00CB6C95" w:rsidRDefault="00167860" w:rsidP="00167860">
      <w:pPr>
        <w:adjustRightInd w:val="0"/>
        <w:snapToGrid w:val="0"/>
        <w:rPr>
          <w:b/>
          <w:sz w:val="22"/>
          <w:szCs w:val="22"/>
          <w:lang w:eastAsia="ko-KR"/>
        </w:rPr>
      </w:pPr>
      <w:r w:rsidRPr="00CB6C95">
        <w:rPr>
          <w:b/>
          <w:sz w:val="22"/>
          <w:szCs w:val="22"/>
          <w:lang w:eastAsia="ko-KR"/>
        </w:rPr>
        <w:t>Yonat Swimmer</w:t>
      </w:r>
    </w:p>
    <w:p w14:paraId="63E0F256" w14:textId="77777777" w:rsidR="00167860" w:rsidRPr="00CB6C95" w:rsidRDefault="00167860" w:rsidP="00167860">
      <w:pPr>
        <w:adjustRightInd w:val="0"/>
        <w:snapToGrid w:val="0"/>
        <w:rPr>
          <w:sz w:val="22"/>
          <w:szCs w:val="22"/>
          <w:lang w:eastAsia="ko-KR"/>
        </w:rPr>
      </w:pPr>
      <w:r w:rsidRPr="00CB6C95">
        <w:rPr>
          <w:sz w:val="22"/>
          <w:szCs w:val="22"/>
          <w:lang w:eastAsia="ko-KR"/>
        </w:rPr>
        <w:t>Fisheries Biologist</w:t>
      </w:r>
    </w:p>
    <w:p w14:paraId="47BDC068" w14:textId="77777777" w:rsidR="00167860" w:rsidRPr="00CB6C95" w:rsidRDefault="00167860" w:rsidP="00167860">
      <w:pPr>
        <w:adjustRightInd w:val="0"/>
        <w:snapToGrid w:val="0"/>
        <w:rPr>
          <w:sz w:val="22"/>
          <w:szCs w:val="22"/>
          <w:lang w:eastAsia="ko-KR"/>
        </w:rPr>
      </w:pPr>
      <w:r w:rsidRPr="00CB6C95">
        <w:rPr>
          <w:sz w:val="22"/>
          <w:szCs w:val="22"/>
          <w:lang w:eastAsia="ko-KR"/>
        </w:rPr>
        <w:t>NOAA PIFSC</w:t>
      </w:r>
    </w:p>
    <w:p w14:paraId="558B3696" w14:textId="77777777" w:rsidR="00167860" w:rsidRPr="00CB6C95" w:rsidRDefault="00167860" w:rsidP="00167860">
      <w:pPr>
        <w:adjustRightInd w:val="0"/>
        <w:snapToGrid w:val="0"/>
        <w:rPr>
          <w:sz w:val="22"/>
          <w:szCs w:val="22"/>
          <w:lang w:eastAsia="ko-KR"/>
        </w:rPr>
      </w:pPr>
      <w:r w:rsidRPr="00CB6C95">
        <w:rPr>
          <w:sz w:val="22"/>
          <w:szCs w:val="22"/>
          <w:lang w:eastAsia="ko-KR"/>
        </w:rPr>
        <w:t>501 W. Ocean Blvd #4200</w:t>
      </w:r>
      <w:r w:rsidRPr="00CB6C95">
        <w:rPr>
          <w:sz w:val="22"/>
          <w:szCs w:val="22"/>
          <w:lang w:eastAsia="ko-KR"/>
        </w:rPr>
        <w:br/>
        <w:t>Long Beach, CA 90802, USA</w:t>
      </w:r>
    </w:p>
    <w:p w14:paraId="58BA0C68" w14:textId="77777777" w:rsidR="00167860" w:rsidRPr="00CB6C95" w:rsidRDefault="00167860" w:rsidP="00167860">
      <w:pPr>
        <w:adjustRightInd w:val="0"/>
        <w:snapToGrid w:val="0"/>
        <w:rPr>
          <w:sz w:val="22"/>
          <w:szCs w:val="22"/>
          <w:lang w:eastAsia="ko-KR"/>
        </w:rPr>
      </w:pPr>
      <w:r w:rsidRPr="00CB6C95">
        <w:rPr>
          <w:sz w:val="22"/>
          <w:szCs w:val="22"/>
          <w:lang w:eastAsia="ko-KR"/>
        </w:rPr>
        <w:t>yonat.swimmer@noaa.gov</w:t>
      </w:r>
    </w:p>
    <w:p w14:paraId="747ACB8B" w14:textId="77777777" w:rsidR="00167860" w:rsidRPr="00CB6C95" w:rsidRDefault="00167860" w:rsidP="00167860">
      <w:pPr>
        <w:adjustRightInd w:val="0"/>
        <w:snapToGrid w:val="0"/>
        <w:rPr>
          <w:sz w:val="22"/>
          <w:szCs w:val="22"/>
          <w:lang w:eastAsia="ko-KR"/>
        </w:rPr>
      </w:pPr>
    </w:p>
    <w:p w14:paraId="25DF8491" w14:textId="77777777" w:rsidR="00167860" w:rsidRPr="00CB6C95" w:rsidRDefault="00167860" w:rsidP="00167860">
      <w:pPr>
        <w:adjustRightInd w:val="0"/>
        <w:snapToGrid w:val="0"/>
        <w:rPr>
          <w:b/>
          <w:sz w:val="22"/>
          <w:szCs w:val="22"/>
          <w:lang w:eastAsia="ko-KR"/>
        </w:rPr>
      </w:pPr>
      <w:r w:rsidRPr="00CB6C95">
        <w:rPr>
          <w:b/>
          <w:sz w:val="22"/>
          <w:szCs w:val="22"/>
          <w:lang w:eastAsia="ko-KR"/>
        </w:rPr>
        <w:t>Daniel Curran</w:t>
      </w:r>
    </w:p>
    <w:p w14:paraId="0AED65E7" w14:textId="77777777" w:rsidR="00167860" w:rsidRPr="00CB6C95" w:rsidRDefault="00167860" w:rsidP="00167860">
      <w:pPr>
        <w:adjustRightInd w:val="0"/>
        <w:snapToGrid w:val="0"/>
        <w:rPr>
          <w:sz w:val="22"/>
          <w:szCs w:val="22"/>
          <w:lang w:eastAsia="ko-KR"/>
        </w:rPr>
      </w:pPr>
      <w:r w:rsidRPr="00CB6C95">
        <w:rPr>
          <w:sz w:val="22"/>
          <w:szCs w:val="22"/>
          <w:lang w:eastAsia="ko-KR"/>
        </w:rPr>
        <w:t>Fisheries Biologist</w:t>
      </w:r>
    </w:p>
    <w:p w14:paraId="506AFD5F" w14:textId="77777777" w:rsidR="00167860" w:rsidRPr="00CB6C95" w:rsidRDefault="00167860" w:rsidP="00167860">
      <w:pPr>
        <w:adjustRightInd w:val="0"/>
        <w:snapToGrid w:val="0"/>
        <w:rPr>
          <w:sz w:val="22"/>
          <w:szCs w:val="22"/>
          <w:lang w:eastAsia="ko-KR"/>
        </w:rPr>
      </w:pPr>
      <w:r w:rsidRPr="00CB6C95">
        <w:rPr>
          <w:sz w:val="22"/>
          <w:szCs w:val="22"/>
          <w:lang w:eastAsia="ko-KR"/>
        </w:rPr>
        <w:t>NOAA PIFSC</w:t>
      </w:r>
    </w:p>
    <w:p w14:paraId="33871707" w14:textId="77777777" w:rsidR="00167860" w:rsidRPr="00CB6C95" w:rsidRDefault="00167860" w:rsidP="00167860">
      <w:pPr>
        <w:adjustRightInd w:val="0"/>
        <w:snapToGrid w:val="0"/>
        <w:rPr>
          <w:sz w:val="22"/>
          <w:szCs w:val="22"/>
          <w:lang w:eastAsia="ko-KR"/>
        </w:rPr>
      </w:pPr>
      <w:r w:rsidRPr="00CB6C95">
        <w:rPr>
          <w:sz w:val="22"/>
          <w:szCs w:val="22"/>
          <w:lang w:eastAsia="ko-KR"/>
        </w:rPr>
        <w:t>daniel.curran@noaa.gov</w:t>
      </w:r>
    </w:p>
    <w:p w14:paraId="608B4880" w14:textId="77777777" w:rsidR="00167860" w:rsidRPr="00CB6C95" w:rsidRDefault="00167860" w:rsidP="00167860">
      <w:pPr>
        <w:adjustRightInd w:val="0"/>
        <w:snapToGrid w:val="0"/>
        <w:rPr>
          <w:sz w:val="22"/>
          <w:szCs w:val="22"/>
          <w:lang w:eastAsia="ko-KR"/>
        </w:rPr>
      </w:pPr>
    </w:p>
    <w:p w14:paraId="5A6931FC" w14:textId="77777777" w:rsidR="00167860" w:rsidRPr="00CB6C95" w:rsidRDefault="00167860" w:rsidP="00167860">
      <w:pPr>
        <w:adjustRightInd w:val="0"/>
        <w:snapToGrid w:val="0"/>
        <w:rPr>
          <w:b/>
          <w:sz w:val="22"/>
          <w:szCs w:val="22"/>
          <w:lang w:eastAsia="ko-KR"/>
        </w:rPr>
      </w:pPr>
      <w:r w:rsidRPr="00CB6C95">
        <w:rPr>
          <w:b/>
          <w:sz w:val="22"/>
          <w:szCs w:val="22"/>
          <w:lang w:eastAsia="ko-KR"/>
        </w:rPr>
        <w:t>Mark Fitchett</w:t>
      </w:r>
    </w:p>
    <w:p w14:paraId="10AF886F" w14:textId="77777777" w:rsidR="00167860" w:rsidRPr="00CB6C95" w:rsidRDefault="00167860" w:rsidP="00167860">
      <w:pPr>
        <w:adjustRightInd w:val="0"/>
        <w:snapToGrid w:val="0"/>
        <w:rPr>
          <w:sz w:val="22"/>
          <w:szCs w:val="22"/>
          <w:lang w:eastAsia="ko-KR"/>
        </w:rPr>
      </w:pPr>
      <w:r w:rsidRPr="00CB6C95">
        <w:rPr>
          <w:sz w:val="22"/>
          <w:szCs w:val="22"/>
          <w:lang w:eastAsia="ko-KR"/>
        </w:rPr>
        <w:t>Pelagic Ecosystem Fisheries Scientist</w:t>
      </w:r>
    </w:p>
    <w:p w14:paraId="3911D5C7" w14:textId="77777777" w:rsidR="00167860" w:rsidRPr="00CB6C95" w:rsidRDefault="00167860" w:rsidP="00167860">
      <w:pPr>
        <w:adjustRightInd w:val="0"/>
        <w:snapToGrid w:val="0"/>
        <w:rPr>
          <w:sz w:val="22"/>
          <w:szCs w:val="22"/>
          <w:lang w:eastAsia="ko-KR"/>
        </w:rPr>
      </w:pPr>
      <w:r w:rsidRPr="00CB6C95">
        <w:rPr>
          <w:sz w:val="22"/>
          <w:szCs w:val="22"/>
          <w:lang w:eastAsia="ko-KR"/>
        </w:rPr>
        <w:t>WPRFMC</w:t>
      </w:r>
    </w:p>
    <w:p w14:paraId="7C4309C2" w14:textId="77777777" w:rsidR="00167860" w:rsidRPr="00CB6C95" w:rsidRDefault="00167860" w:rsidP="00167860">
      <w:pPr>
        <w:adjustRightInd w:val="0"/>
        <w:snapToGrid w:val="0"/>
        <w:rPr>
          <w:sz w:val="22"/>
          <w:szCs w:val="22"/>
          <w:lang w:eastAsia="ko-KR"/>
        </w:rPr>
      </w:pPr>
      <w:r w:rsidRPr="00CB6C95">
        <w:rPr>
          <w:sz w:val="22"/>
          <w:szCs w:val="22"/>
          <w:lang w:eastAsia="ko-KR"/>
        </w:rPr>
        <w:t>1164 Bishop Street</w:t>
      </w:r>
      <w:r w:rsidRPr="00CB6C95">
        <w:rPr>
          <w:sz w:val="22"/>
          <w:szCs w:val="22"/>
          <w:lang w:eastAsia="ko-KR"/>
        </w:rPr>
        <w:br/>
        <w:t>Suite 1400</w:t>
      </w:r>
      <w:r w:rsidRPr="00CB6C95">
        <w:rPr>
          <w:sz w:val="22"/>
          <w:szCs w:val="22"/>
          <w:lang w:eastAsia="ko-KR"/>
        </w:rPr>
        <w:br/>
        <w:t>Honolulu, HI 96813</w:t>
      </w:r>
    </w:p>
    <w:p w14:paraId="32DA48D8" w14:textId="77777777" w:rsidR="00167860" w:rsidRPr="00CB6C95" w:rsidRDefault="00167860" w:rsidP="00167860">
      <w:pPr>
        <w:adjustRightInd w:val="0"/>
        <w:snapToGrid w:val="0"/>
        <w:rPr>
          <w:sz w:val="22"/>
          <w:szCs w:val="22"/>
          <w:lang w:eastAsia="ko-KR"/>
        </w:rPr>
      </w:pPr>
      <w:r w:rsidRPr="00CB6C95">
        <w:rPr>
          <w:sz w:val="22"/>
          <w:szCs w:val="22"/>
          <w:lang w:eastAsia="ko-KR"/>
        </w:rPr>
        <w:t>mark.fitchett@wpcouncil.org</w:t>
      </w:r>
    </w:p>
    <w:p w14:paraId="7B295990" w14:textId="77777777" w:rsidR="00167860" w:rsidRPr="00CB6C95" w:rsidRDefault="00167860" w:rsidP="00167860">
      <w:pPr>
        <w:adjustRightInd w:val="0"/>
        <w:snapToGrid w:val="0"/>
        <w:rPr>
          <w:sz w:val="22"/>
          <w:szCs w:val="22"/>
          <w:lang w:eastAsia="ko-KR"/>
        </w:rPr>
      </w:pPr>
    </w:p>
    <w:p w14:paraId="7C5DD402" w14:textId="77777777" w:rsidR="00167860" w:rsidRPr="00CB6C95" w:rsidRDefault="00167860" w:rsidP="00167860">
      <w:pPr>
        <w:adjustRightInd w:val="0"/>
        <w:snapToGrid w:val="0"/>
        <w:rPr>
          <w:b/>
          <w:sz w:val="22"/>
          <w:szCs w:val="22"/>
          <w:lang w:eastAsia="ko-KR"/>
        </w:rPr>
      </w:pPr>
      <w:r w:rsidRPr="00CB6C95">
        <w:rPr>
          <w:b/>
          <w:sz w:val="22"/>
          <w:szCs w:val="22"/>
          <w:lang w:eastAsia="ko-KR"/>
        </w:rPr>
        <w:t>Eric Kingma</w:t>
      </w:r>
    </w:p>
    <w:p w14:paraId="369B43BE" w14:textId="77777777" w:rsidR="00167860" w:rsidRPr="00CB6C95" w:rsidRDefault="00167860" w:rsidP="00167860">
      <w:pPr>
        <w:adjustRightInd w:val="0"/>
        <w:snapToGrid w:val="0"/>
        <w:rPr>
          <w:sz w:val="22"/>
          <w:szCs w:val="22"/>
          <w:lang w:eastAsia="ko-KR"/>
        </w:rPr>
      </w:pPr>
      <w:r w:rsidRPr="00CB6C95">
        <w:rPr>
          <w:sz w:val="22"/>
          <w:szCs w:val="22"/>
          <w:lang w:eastAsia="ko-KR"/>
        </w:rPr>
        <w:t>Intl. Fisheries, NEPA, Enforcement Coord.</w:t>
      </w:r>
    </w:p>
    <w:p w14:paraId="7D82A2F7" w14:textId="77777777" w:rsidR="00167860" w:rsidRPr="00CB6C95" w:rsidRDefault="00167860" w:rsidP="00167860">
      <w:pPr>
        <w:adjustRightInd w:val="0"/>
        <w:snapToGrid w:val="0"/>
        <w:rPr>
          <w:sz w:val="22"/>
          <w:szCs w:val="22"/>
          <w:lang w:eastAsia="ko-KR"/>
        </w:rPr>
      </w:pPr>
      <w:r w:rsidRPr="00CB6C95">
        <w:rPr>
          <w:sz w:val="22"/>
          <w:szCs w:val="22"/>
          <w:lang w:eastAsia="ko-KR"/>
        </w:rPr>
        <w:t>WPRFMC</w:t>
      </w:r>
    </w:p>
    <w:p w14:paraId="17B2E0DC" w14:textId="77777777" w:rsidR="00167860" w:rsidRPr="00CB6C95" w:rsidRDefault="00167860" w:rsidP="00167860">
      <w:pPr>
        <w:adjustRightInd w:val="0"/>
        <w:snapToGrid w:val="0"/>
        <w:rPr>
          <w:sz w:val="22"/>
          <w:szCs w:val="22"/>
          <w:lang w:eastAsia="ko-KR"/>
        </w:rPr>
      </w:pPr>
      <w:r w:rsidRPr="00CB6C95">
        <w:rPr>
          <w:sz w:val="22"/>
          <w:szCs w:val="22"/>
          <w:lang w:eastAsia="ko-KR"/>
        </w:rPr>
        <w:t>1164 Bishop Street</w:t>
      </w:r>
      <w:r w:rsidRPr="00CB6C95">
        <w:rPr>
          <w:sz w:val="22"/>
          <w:szCs w:val="22"/>
          <w:lang w:eastAsia="ko-KR"/>
        </w:rPr>
        <w:br/>
        <w:t>Suite 1400</w:t>
      </w:r>
      <w:r w:rsidRPr="00CB6C95">
        <w:rPr>
          <w:sz w:val="22"/>
          <w:szCs w:val="22"/>
          <w:lang w:eastAsia="ko-KR"/>
        </w:rPr>
        <w:br/>
        <w:t>Honolulu, HI 96813</w:t>
      </w:r>
    </w:p>
    <w:p w14:paraId="4469069A" w14:textId="77777777" w:rsidR="00167860" w:rsidRPr="00CB6C95" w:rsidRDefault="00167860" w:rsidP="00167860">
      <w:pPr>
        <w:adjustRightInd w:val="0"/>
        <w:snapToGrid w:val="0"/>
        <w:rPr>
          <w:sz w:val="22"/>
          <w:szCs w:val="22"/>
          <w:lang w:eastAsia="ko-KR"/>
        </w:rPr>
      </w:pPr>
      <w:r w:rsidRPr="00CB6C95">
        <w:rPr>
          <w:sz w:val="22"/>
          <w:szCs w:val="22"/>
          <w:lang w:eastAsia="ko-KR"/>
        </w:rPr>
        <w:t>eric.kingma@wpcouncil.org</w:t>
      </w:r>
    </w:p>
    <w:p w14:paraId="0C2F2202" w14:textId="77777777" w:rsidR="00167860" w:rsidRPr="00CB6C95" w:rsidRDefault="00167860" w:rsidP="00167860">
      <w:pPr>
        <w:adjustRightInd w:val="0"/>
        <w:snapToGrid w:val="0"/>
        <w:rPr>
          <w:sz w:val="22"/>
          <w:szCs w:val="22"/>
          <w:lang w:eastAsia="ko-KR"/>
        </w:rPr>
      </w:pPr>
    </w:p>
    <w:p w14:paraId="073854F6" w14:textId="77777777" w:rsidR="00167860" w:rsidRPr="00CB6C95" w:rsidRDefault="00167860" w:rsidP="00167860">
      <w:pPr>
        <w:adjustRightInd w:val="0"/>
        <w:snapToGrid w:val="0"/>
        <w:rPr>
          <w:b/>
          <w:sz w:val="22"/>
          <w:szCs w:val="22"/>
          <w:lang w:eastAsia="ko-KR"/>
        </w:rPr>
      </w:pPr>
      <w:r w:rsidRPr="00CB6C95">
        <w:rPr>
          <w:b/>
          <w:sz w:val="22"/>
          <w:szCs w:val="22"/>
          <w:lang w:eastAsia="ko-KR"/>
        </w:rPr>
        <w:t>Felipe Carvalho</w:t>
      </w:r>
    </w:p>
    <w:p w14:paraId="1720179E" w14:textId="77777777" w:rsidR="00167860" w:rsidRPr="00CB6C95" w:rsidRDefault="00167860" w:rsidP="00167860">
      <w:pPr>
        <w:adjustRightInd w:val="0"/>
        <w:snapToGrid w:val="0"/>
        <w:rPr>
          <w:sz w:val="22"/>
          <w:szCs w:val="22"/>
          <w:lang w:eastAsia="ko-KR"/>
        </w:rPr>
      </w:pPr>
      <w:r w:rsidRPr="00CB6C95">
        <w:rPr>
          <w:sz w:val="22"/>
          <w:szCs w:val="22"/>
          <w:lang w:eastAsia="ko-KR"/>
        </w:rPr>
        <w:t>Research Mathematical Statistician</w:t>
      </w:r>
    </w:p>
    <w:p w14:paraId="4536CF5B" w14:textId="77777777" w:rsidR="00167860" w:rsidRPr="00CB6C95" w:rsidRDefault="00167860" w:rsidP="00167860">
      <w:pPr>
        <w:adjustRightInd w:val="0"/>
        <w:snapToGrid w:val="0"/>
        <w:rPr>
          <w:sz w:val="22"/>
          <w:szCs w:val="22"/>
          <w:lang w:eastAsia="ko-KR"/>
        </w:rPr>
      </w:pPr>
      <w:r w:rsidRPr="00CB6C95">
        <w:rPr>
          <w:sz w:val="22"/>
          <w:szCs w:val="22"/>
          <w:lang w:eastAsia="ko-KR"/>
        </w:rPr>
        <w:t>NOAA PIFSC</w:t>
      </w:r>
    </w:p>
    <w:p w14:paraId="62BDB06C" w14:textId="77777777" w:rsidR="00167860" w:rsidRPr="00CB6C95" w:rsidRDefault="00167860" w:rsidP="00167860">
      <w:pPr>
        <w:adjustRightInd w:val="0"/>
        <w:snapToGrid w:val="0"/>
        <w:rPr>
          <w:sz w:val="22"/>
          <w:szCs w:val="22"/>
          <w:lang w:eastAsia="ko-KR"/>
        </w:rPr>
      </w:pPr>
      <w:r w:rsidRPr="00CB6C95">
        <w:rPr>
          <w:sz w:val="22"/>
          <w:szCs w:val="22"/>
          <w:lang w:eastAsia="ko-KR"/>
        </w:rPr>
        <w:t>felipe.carvalho@noaa.gov</w:t>
      </w:r>
    </w:p>
    <w:p w14:paraId="2225FB53" w14:textId="77777777" w:rsidR="00167860" w:rsidRPr="00CB6C95" w:rsidRDefault="00167860" w:rsidP="00167860">
      <w:pPr>
        <w:adjustRightInd w:val="0"/>
        <w:snapToGrid w:val="0"/>
        <w:rPr>
          <w:sz w:val="22"/>
          <w:szCs w:val="22"/>
          <w:lang w:eastAsia="ko-KR"/>
        </w:rPr>
      </w:pPr>
    </w:p>
    <w:p w14:paraId="26275BB2" w14:textId="77777777" w:rsidR="00167860" w:rsidRPr="00CB6C95" w:rsidRDefault="00167860" w:rsidP="00167860">
      <w:pPr>
        <w:adjustRightInd w:val="0"/>
        <w:snapToGrid w:val="0"/>
        <w:rPr>
          <w:b/>
          <w:sz w:val="22"/>
          <w:szCs w:val="22"/>
          <w:lang w:eastAsia="ko-KR"/>
        </w:rPr>
      </w:pPr>
      <w:r w:rsidRPr="00CB6C95">
        <w:rPr>
          <w:b/>
          <w:sz w:val="22"/>
          <w:szCs w:val="22"/>
          <w:lang w:eastAsia="ko-KR"/>
        </w:rPr>
        <w:t>Matthew Owens</w:t>
      </w:r>
    </w:p>
    <w:p w14:paraId="4EF58C83" w14:textId="77777777" w:rsidR="00167860" w:rsidRPr="00CB6C95" w:rsidRDefault="00167860" w:rsidP="00167860">
      <w:pPr>
        <w:adjustRightInd w:val="0"/>
        <w:snapToGrid w:val="0"/>
        <w:rPr>
          <w:sz w:val="22"/>
          <w:szCs w:val="22"/>
          <w:lang w:eastAsia="ko-KR"/>
        </w:rPr>
      </w:pPr>
      <w:r w:rsidRPr="00CB6C95">
        <w:rPr>
          <w:sz w:val="22"/>
          <w:szCs w:val="22"/>
          <w:lang w:eastAsia="ko-KR"/>
        </w:rPr>
        <w:t>Director, Sustainability</w:t>
      </w:r>
    </w:p>
    <w:p w14:paraId="3D1C570E" w14:textId="77777777" w:rsidR="00167860" w:rsidRPr="00CB6C95" w:rsidRDefault="00167860" w:rsidP="00167860">
      <w:pPr>
        <w:adjustRightInd w:val="0"/>
        <w:snapToGrid w:val="0"/>
        <w:rPr>
          <w:sz w:val="22"/>
          <w:szCs w:val="22"/>
          <w:lang w:eastAsia="ko-KR"/>
        </w:rPr>
      </w:pPr>
      <w:r w:rsidRPr="00CB6C95">
        <w:rPr>
          <w:sz w:val="22"/>
          <w:szCs w:val="22"/>
          <w:lang w:eastAsia="ko-KR"/>
        </w:rPr>
        <w:t>Trimarine</w:t>
      </w:r>
    </w:p>
    <w:p w14:paraId="03448949" w14:textId="77777777" w:rsidR="00167860" w:rsidRPr="00CB6C95" w:rsidRDefault="00167860" w:rsidP="00167860">
      <w:pPr>
        <w:adjustRightInd w:val="0"/>
        <w:snapToGrid w:val="0"/>
        <w:rPr>
          <w:sz w:val="22"/>
          <w:szCs w:val="22"/>
          <w:lang w:eastAsia="ko-KR"/>
        </w:rPr>
      </w:pPr>
      <w:r w:rsidRPr="00CB6C95">
        <w:rPr>
          <w:sz w:val="22"/>
          <w:szCs w:val="22"/>
          <w:lang w:eastAsia="ko-KR"/>
        </w:rPr>
        <w:t>mowens@trimarinegroup.com</w:t>
      </w:r>
    </w:p>
    <w:p w14:paraId="775356C9" w14:textId="77777777" w:rsidR="00167860" w:rsidRPr="00CB6C95" w:rsidRDefault="00167860" w:rsidP="00167860">
      <w:pPr>
        <w:adjustRightInd w:val="0"/>
        <w:snapToGrid w:val="0"/>
        <w:rPr>
          <w:sz w:val="22"/>
          <w:szCs w:val="22"/>
          <w:lang w:eastAsia="ko-KR"/>
        </w:rPr>
      </w:pPr>
    </w:p>
    <w:p w14:paraId="53354FBC" w14:textId="77777777" w:rsidR="00167860" w:rsidRPr="00CB6C95" w:rsidRDefault="00167860" w:rsidP="00167860">
      <w:pPr>
        <w:adjustRightInd w:val="0"/>
        <w:snapToGrid w:val="0"/>
        <w:rPr>
          <w:b/>
          <w:sz w:val="22"/>
          <w:szCs w:val="22"/>
          <w:lang w:eastAsia="ko-KR"/>
        </w:rPr>
      </w:pPr>
      <w:r w:rsidRPr="00CB6C95">
        <w:rPr>
          <w:b/>
          <w:sz w:val="22"/>
          <w:szCs w:val="22"/>
          <w:lang w:eastAsia="ko-KR"/>
        </w:rPr>
        <w:t>Stuart Chikami</w:t>
      </w:r>
    </w:p>
    <w:p w14:paraId="3F40D3A9" w14:textId="77777777" w:rsidR="00167860" w:rsidRPr="00CB6C95" w:rsidRDefault="00167860" w:rsidP="00167860">
      <w:pPr>
        <w:adjustRightInd w:val="0"/>
        <w:snapToGrid w:val="0"/>
        <w:rPr>
          <w:sz w:val="22"/>
          <w:szCs w:val="22"/>
          <w:lang w:eastAsia="ko-KR"/>
        </w:rPr>
      </w:pPr>
      <w:r w:rsidRPr="00CB6C95">
        <w:rPr>
          <w:sz w:val="22"/>
          <w:szCs w:val="22"/>
          <w:lang w:eastAsia="ko-KR"/>
        </w:rPr>
        <w:t>Manager</w:t>
      </w:r>
    </w:p>
    <w:p w14:paraId="3504D79B" w14:textId="77777777" w:rsidR="00167860" w:rsidRPr="00CB6C95" w:rsidRDefault="00167860" w:rsidP="00167860">
      <w:pPr>
        <w:adjustRightInd w:val="0"/>
        <w:snapToGrid w:val="0"/>
        <w:rPr>
          <w:sz w:val="22"/>
          <w:szCs w:val="22"/>
          <w:lang w:eastAsia="ko-KR"/>
        </w:rPr>
      </w:pPr>
      <w:r w:rsidRPr="00CB6C95">
        <w:rPr>
          <w:sz w:val="22"/>
          <w:szCs w:val="22"/>
          <w:lang w:eastAsia="ko-KR"/>
        </w:rPr>
        <w:t>Western Pacific Fisheries, Inc.</w:t>
      </w:r>
    </w:p>
    <w:p w14:paraId="15D02DA7" w14:textId="77777777" w:rsidR="00167860" w:rsidRPr="00CB6C95" w:rsidRDefault="00167860" w:rsidP="00167860">
      <w:pPr>
        <w:adjustRightInd w:val="0"/>
        <w:snapToGrid w:val="0"/>
        <w:rPr>
          <w:sz w:val="22"/>
          <w:szCs w:val="22"/>
          <w:lang w:eastAsia="ko-KR"/>
        </w:rPr>
      </w:pPr>
      <w:r w:rsidRPr="00CB6C95">
        <w:rPr>
          <w:sz w:val="22"/>
          <w:szCs w:val="22"/>
          <w:lang w:eastAsia="ko-KR"/>
        </w:rPr>
        <w:t>schikami@westpacfish.com</w:t>
      </w:r>
    </w:p>
    <w:p w14:paraId="6E74190F" w14:textId="77777777" w:rsidR="00167860" w:rsidRPr="00CB6C95" w:rsidRDefault="00167860" w:rsidP="00167860">
      <w:pPr>
        <w:adjustRightInd w:val="0"/>
        <w:snapToGrid w:val="0"/>
        <w:rPr>
          <w:sz w:val="22"/>
          <w:szCs w:val="22"/>
          <w:lang w:eastAsia="ko-KR"/>
        </w:rPr>
      </w:pPr>
    </w:p>
    <w:p w14:paraId="76F259E5" w14:textId="77777777" w:rsidR="00167860" w:rsidRPr="00CB6C95" w:rsidRDefault="00167860" w:rsidP="00167860">
      <w:pPr>
        <w:adjustRightInd w:val="0"/>
        <w:snapToGrid w:val="0"/>
        <w:rPr>
          <w:b/>
          <w:sz w:val="22"/>
          <w:szCs w:val="22"/>
          <w:lang w:eastAsia="ko-KR"/>
        </w:rPr>
      </w:pPr>
      <w:r w:rsidRPr="00CB6C95">
        <w:rPr>
          <w:b/>
          <w:sz w:val="22"/>
          <w:szCs w:val="22"/>
          <w:lang w:eastAsia="ko-KR"/>
        </w:rPr>
        <w:t>Randi Thomas</w:t>
      </w:r>
    </w:p>
    <w:p w14:paraId="4A6F935D" w14:textId="77777777" w:rsidR="00167860" w:rsidRPr="00CB6C95" w:rsidRDefault="00167860" w:rsidP="00167860">
      <w:pPr>
        <w:adjustRightInd w:val="0"/>
        <w:snapToGrid w:val="0"/>
        <w:rPr>
          <w:sz w:val="22"/>
          <w:szCs w:val="22"/>
          <w:lang w:eastAsia="ko-KR"/>
        </w:rPr>
      </w:pPr>
      <w:r w:rsidRPr="00CB6C95">
        <w:rPr>
          <w:sz w:val="22"/>
          <w:szCs w:val="22"/>
          <w:lang w:eastAsia="ko-KR"/>
        </w:rPr>
        <w:t>Consultant</w:t>
      </w:r>
    </w:p>
    <w:p w14:paraId="3575234A" w14:textId="77777777" w:rsidR="00167860" w:rsidRPr="00CB6C95" w:rsidRDefault="00167860" w:rsidP="00167860">
      <w:pPr>
        <w:adjustRightInd w:val="0"/>
        <w:snapToGrid w:val="0"/>
        <w:rPr>
          <w:sz w:val="22"/>
          <w:szCs w:val="22"/>
          <w:lang w:eastAsia="ko-KR"/>
        </w:rPr>
      </w:pPr>
      <w:r w:rsidRPr="00CB6C95">
        <w:rPr>
          <w:sz w:val="22"/>
          <w:szCs w:val="22"/>
          <w:lang w:eastAsia="ko-KR"/>
        </w:rPr>
        <w:t>ATA</w:t>
      </w:r>
    </w:p>
    <w:p w14:paraId="69D792D1" w14:textId="77777777" w:rsidR="00167860" w:rsidRPr="00CB6C95" w:rsidRDefault="00167860" w:rsidP="00167860">
      <w:pPr>
        <w:adjustRightInd w:val="0"/>
        <w:snapToGrid w:val="0"/>
        <w:rPr>
          <w:sz w:val="22"/>
          <w:szCs w:val="22"/>
          <w:lang w:eastAsia="ko-KR"/>
        </w:rPr>
      </w:pPr>
      <w:r w:rsidRPr="00CB6C95">
        <w:rPr>
          <w:sz w:val="22"/>
          <w:szCs w:val="22"/>
          <w:lang w:eastAsia="ko-KR"/>
        </w:rPr>
        <w:t>One Tuna Lane</w:t>
      </w:r>
      <w:r w:rsidRPr="00CB6C95">
        <w:rPr>
          <w:sz w:val="22"/>
          <w:szCs w:val="22"/>
          <w:lang w:eastAsia="ko-KR"/>
        </w:rPr>
        <w:br/>
        <w:t>San Diego CA 92101</w:t>
      </w:r>
    </w:p>
    <w:p w14:paraId="0E2839F7" w14:textId="77777777" w:rsidR="00167860" w:rsidRPr="00CB6C95" w:rsidRDefault="00167860" w:rsidP="00167860">
      <w:pPr>
        <w:adjustRightInd w:val="0"/>
        <w:snapToGrid w:val="0"/>
        <w:rPr>
          <w:sz w:val="22"/>
          <w:szCs w:val="22"/>
          <w:lang w:eastAsia="ko-KR"/>
        </w:rPr>
      </w:pPr>
      <w:r w:rsidRPr="00CB6C95">
        <w:rPr>
          <w:sz w:val="22"/>
          <w:szCs w:val="22"/>
          <w:lang w:eastAsia="ko-KR"/>
        </w:rPr>
        <w:t>rthomas@rptadvisors.com</w:t>
      </w:r>
    </w:p>
    <w:p w14:paraId="38446AA2" w14:textId="77777777" w:rsidR="00167860" w:rsidRPr="00CB6C95" w:rsidRDefault="00167860" w:rsidP="00167860">
      <w:pPr>
        <w:adjustRightInd w:val="0"/>
        <w:snapToGrid w:val="0"/>
        <w:rPr>
          <w:sz w:val="22"/>
          <w:szCs w:val="22"/>
          <w:lang w:eastAsia="ko-KR"/>
        </w:rPr>
      </w:pPr>
    </w:p>
    <w:p w14:paraId="33BBA1A5" w14:textId="77777777" w:rsidR="00167860" w:rsidRPr="00CB6C95" w:rsidRDefault="00167860" w:rsidP="00167860">
      <w:pPr>
        <w:adjustRightInd w:val="0"/>
        <w:snapToGrid w:val="0"/>
        <w:rPr>
          <w:b/>
          <w:sz w:val="22"/>
          <w:szCs w:val="22"/>
          <w:lang w:eastAsia="ko-KR"/>
        </w:rPr>
      </w:pPr>
      <w:r w:rsidRPr="00CB6C95">
        <w:rPr>
          <w:b/>
          <w:sz w:val="22"/>
          <w:szCs w:val="22"/>
          <w:lang w:eastAsia="ko-KR"/>
        </w:rPr>
        <w:t>Michelle Sculley</w:t>
      </w:r>
    </w:p>
    <w:p w14:paraId="4034F3C9" w14:textId="77777777" w:rsidR="00167860" w:rsidRPr="00CB6C95" w:rsidRDefault="00167860" w:rsidP="00167860">
      <w:pPr>
        <w:adjustRightInd w:val="0"/>
        <w:snapToGrid w:val="0"/>
        <w:rPr>
          <w:sz w:val="22"/>
          <w:szCs w:val="22"/>
          <w:lang w:eastAsia="ko-KR"/>
        </w:rPr>
      </w:pPr>
      <w:r w:rsidRPr="00CB6C95">
        <w:rPr>
          <w:sz w:val="22"/>
          <w:szCs w:val="22"/>
          <w:lang w:eastAsia="ko-KR"/>
        </w:rPr>
        <w:t>Stock Assessment Scientist</w:t>
      </w:r>
    </w:p>
    <w:p w14:paraId="4A792C60" w14:textId="77777777" w:rsidR="00167860" w:rsidRPr="00CB6C95" w:rsidRDefault="00167860" w:rsidP="00167860">
      <w:pPr>
        <w:adjustRightInd w:val="0"/>
        <w:snapToGrid w:val="0"/>
        <w:rPr>
          <w:sz w:val="22"/>
          <w:szCs w:val="22"/>
          <w:lang w:eastAsia="ko-KR"/>
        </w:rPr>
      </w:pPr>
      <w:r w:rsidRPr="00CB6C95">
        <w:rPr>
          <w:sz w:val="22"/>
          <w:szCs w:val="22"/>
          <w:lang w:eastAsia="ko-KR"/>
        </w:rPr>
        <w:t>JIMAR</w:t>
      </w:r>
    </w:p>
    <w:p w14:paraId="25A84E38" w14:textId="77777777" w:rsidR="00167860" w:rsidRPr="00CB6C95" w:rsidRDefault="00167860" w:rsidP="00167860">
      <w:pPr>
        <w:adjustRightInd w:val="0"/>
        <w:snapToGrid w:val="0"/>
        <w:rPr>
          <w:sz w:val="22"/>
          <w:szCs w:val="22"/>
          <w:lang w:eastAsia="ko-KR"/>
        </w:rPr>
      </w:pPr>
      <w:r w:rsidRPr="00CB6C95">
        <w:rPr>
          <w:sz w:val="22"/>
          <w:szCs w:val="22"/>
          <w:lang w:eastAsia="ko-KR"/>
        </w:rPr>
        <w:t>1845 WASP Blvd Building 176</w:t>
      </w:r>
      <w:r w:rsidRPr="00CB6C95">
        <w:rPr>
          <w:sz w:val="22"/>
          <w:szCs w:val="22"/>
          <w:lang w:eastAsia="ko-KR"/>
        </w:rPr>
        <w:br/>
        <w:t>Honolulu, HI 96818</w:t>
      </w:r>
    </w:p>
    <w:p w14:paraId="44CD9109" w14:textId="77777777" w:rsidR="00167860" w:rsidRPr="00CB6C95" w:rsidRDefault="00167860" w:rsidP="00167860">
      <w:pPr>
        <w:adjustRightInd w:val="0"/>
        <w:snapToGrid w:val="0"/>
        <w:rPr>
          <w:sz w:val="22"/>
          <w:szCs w:val="22"/>
          <w:lang w:eastAsia="ko-KR"/>
        </w:rPr>
      </w:pPr>
      <w:r w:rsidRPr="00CB6C95">
        <w:rPr>
          <w:sz w:val="22"/>
          <w:szCs w:val="22"/>
          <w:lang w:eastAsia="ko-KR"/>
        </w:rPr>
        <w:t>michelle.sculley@noaa.gov</w:t>
      </w:r>
    </w:p>
    <w:p w14:paraId="1D41E62E" w14:textId="77777777" w:rsidR="00167860" w:rsidRPr="00CB6C95" w:rsidRDefault="00167860" w:rsidP="00167860">
      <w:pPr>
        <w:adjustRightInd w:val="0"/>
        <w:snapToGrid w:val="0"/>
        <w:rPr>
          <w:sz w:val="22"/>
          <w:szCs w:val="22"/>
          <w:lang w:eastAsia="ko-KR"/>
        </w:rPr>
      </w:pPr>
    </w:p>
    <w:p w14:paraId="0428395F"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Vanuatu</w:t>
      </w:r>
    </w:p>
    <w:p w14:paraId="162DB001" w14:textId="77777777" w:rsidR="00167860" w:rsidRPr="00CB6C95" w:rsidRDefault="00167860" w:rsidP="00167860">
      <w:pPr>
        <w:adjustRightInd w:val="0"/>
        <w:snapToGrid w:val="0"/>
        <w:rPr>
          <w:b/>
          <w:sz w:val="22"/>
          <w:szCs w:val="22"/>
          <w:lang w:eastAsia="ko-KR"/>
        </w:rPr>
      </w:pPr>
    </w:p>
    <w:p w14:paraId="71C5DC92" w14:textId="77777777" w:rsidR="00167860" w:rsidRPr="00CB6C95" w:rsidRDefault="00167860" w:rsidP="00167860">
      <w:pPr>
        <w:adjustRightInd w:val="0"/>
        <w:snapToGrid w:val="0"/>
        <w:rPr>
          <w:b/>
          <w:sz w:val="22"/>
          <w:szCs w:val="22"/>
          <w:lang w:eastAsia="ko-KR"/>
        </w:rPr>
      </w:pPr>
      <w:r w:rsidRPr="00CB6C95">
        <w:rPr>
          <w:b/>
          <w:sz w:val="22"/>
          <w:szCs w:val="22"/>
          <w:lang w:eastAsia="ko-KR"/>
        </w:rPr>
        <w:t>Tony Taleo</w:t>
      </w:r>
    </w:p>
    <w:p w14:paraId="4EABAE72" w14:textId="77777777" w:rsidR="00167860" w:rsidRPr="00CB6C95" w:rsidRDefault="00167860" w:rsidP="00167860">
      <w:pPr>
        <w:adjustRightInd w:val="0"/>
        <w:snapToGrid w:val="0"/>
        <w:rPr>
          <w:sz w:val="22"/>
          <w:szCs w:val="22"/>
          <w:lang w:eastAsia="ko-KR"/>
        </w:rPr>
      </w:pPr>
      <w:r w:rsidRPr="00CB6C95">
        <w:rPr>
          <w:sz w:val="22"/>
          <w:szCs w:val="22"/>
          <w:lang w:eastAsia="ko-KR"/>
        </w:rPr>
        <w:t>Principal Data Officer</w:t>
      </w:r>
    </w:p>
    <w:p w14:paraId="2B502A5A" w14:textId="77777777" w:rsidR="00167860" w:rsidRPr="00CB6C95" w:rsidRDefault="00167860" w:rsidP="00167860">
      <w:pPr>
        <w:adjustRightInd w:val="0"/>
        <w:snapToGrid w:val="0"/>
        <w:rPr>
          <w:sz w:val="22"/>
          <w:szCs w:val="22"/>
          <w:lang w:eastAsia="ko-KR"/>
        </w:rPr>
      </w:pPr>
      <w:r w:rsidRPr="00CB6C95">
        <w:rPr>
          <w:sz w:val="22"/>
          <w:szCs w:val="22"/>
          <w:lang w:eastAsia="ko-KR"/>
        </w:rPr>
        <w:t>Vanuatu Fisheries Department</w:t>
      </w:r>
    </w:p>
    <w:p w14:paraId="3D75777E" w14:textId="77777777" w:rsidR="00167860" w:rsidRPr="00CB6C95" w:rsidRDefault="00167860" w:rsidP="00167860">
      <w:pPr>
        <w:adjustRightInd w:val="0"/>
        <w:snapToGrid w:val="0"/>
        <w:rPr>
          <w:sz w:val="22"/>
          <w:szCs w:val="22"/>
          <w:lang w:eastAsia="ko-KR"/>
        </w:rPr>
      </w:pPr>
      <w:r w:rsidRPr="00CB6C95">
        <w:rPr>
          <w:sz w:val="22"/>
          <w:szCs w:val="22"/>
          <w:lang w:eastAsia="ko-KR"/>
        </w:rPr>
        <w:t>PMB 9045</w:t>
      </w:r>
      <w:r w:rsidRPr="00CB6C95">
        <w:rPr>
          <w:sz w:val="22"/>
          <w:szCs w:val="22"/>
          <w:lang w:eastAsia="ko-KR"/>
        </w:rPr>
        <w:br/>
        <w:t>Port Vila, Vanuatu</w:t>
      </w:r>
    </w:p>
    <w:p w14:paraId="5E75EA79" w14:textId="77777777" w:rsidR="00167860" w:rsidRPr="00CB6C95" w:rsidRDefault="00167860" w:rsidP="00167860">
      <w:pPr>
        <w:adjustRightInd w:val="0"/>
        <w:snapToGrid w:val="0"/>
        <w:rPr>
          <w:sz w:val="22"/>
          <w:szCs w:val="22"/>
          <w:lang w:eastAsia="ko-KR"/>
        </w:rPr>
      </w:pPr>
      <w:r w:rsidRPr="00CB6C95">
        <w:rPr>
          <w:sz w:val="22"/>
          <w:szCs w:val="22"/>
          <w:lang w:eastAsia="ko-KR"/>
        </w:rPr>
        <w:t>ttaleo@vanuatu.gov.vu</w:t>
      </w:r>
    </w:p>
    <w:p w14:paraId="6CB10BA8" w14:textId="77777777" w:rsidR="00167860" w:rsidRPr="00CB6C95" w:rsidRDefault="00167860" w:rsidP="00167860">
      <w:pPr>
        <w:adjustRightInd w:val="0"/>
        <w:snapToGrid w:val="0"/>
        <w:rPr>
          <w:sz w:val="22"/>
          <w:szCs w:val="22"/>
          <w:lang w:eastAsia="ko-KR"/>
        </w:rPr>
      </w:pPr>
    </w:p>
    <w:p w14:paraId="5F1914DB" w14:textId="77777777" w:rsidR="00167860" w:rsidRPr="00CB6C95" w:rsidRDefault="00167860" w:rsidP="00167860">
      <w:pPr>
        <w:adjustRightInd w:val="0"/>
        <w:snapToGrid w:val="0"/>
        <w:rPr>
          <w:b/>
          <w:sz w:val="22"/>
          <w:szCs w:val="22"/>
          <w:lang w:eastAsia="ko-KR"/>
        </w:rPr>
      </w:pPr>
      <w:r w:rsidRPr="00CB6C95">
        <w:rPr>
          <w:b/>
          <w:sz w:val="22"/>
          <w:szCs w:val="22"/>
          <w:lang w:eastAsia="ko-KR"/>
        </w:rPr>
        <w:t>Guan Oon</w:t>
      </w:r>
    </w:p>
    <w:p w14:paraId="6041F3E4" w14:textId="77777777" w:rsidR="00167860" w:rsidRPr="00CB6C95" w:rsidRDefault="00167860" w:rsidP="00167860">
      <w:pPr>
        <w:adjustRightInd w:val="0"/>
        <w:snapToGrid w:val="0"/>
        <w:rPr>
          <w:sz w:val="22"/>
          <w:szCs w:val="22"/>
          <w:lang w:eastAsia="ko-KR"/>
        </w:rPr>
      </w:pPr>
      <w:r w:rsidRPr="00CB6C95">
        <w:rPr>
          <w:sz w:val="22"/>
          <w:szCs w:val="22"/>
          <w:lang w:eastAsia="ko-KR"/>
        </w:rPr>
        <w:t>Technical Advisor / Service Provider</w:t>
      </w:r>
    </w:p>
    <w:p w14:paraId="5D3665F7" w14:textId="77777777" w:rsidR="00167860" w:rsidRPr="00CB6C95" w:rsidRDefault="00167860" w:rsidP="00167860">
      <w:pPr>
        <w:adjustRightInd w:val="0"/>
        <w:snapToGrid w:val="0"/>
        <w:rPr>
          <w:sz w:val="22"/>
          <w:szCs w:val="22"/>
          <w:lang w:eastAsia="ko-KR"/>
        </w:rPr>
      </w:pPr>
      <w:r w:rsidRPr="00CB6C95">
        <w:rPr>
          <w:sz w:val="22"/>
          <w:szCs w:val="22"/>
          <w:lang w:eastAsia="ko-KR"/>
        </w:rPr>
        <w:t>c/- Vanuatu Fisheries Department</w:t>
      </w:r>
    </w:p>
    <w:p w14:paraId="0AF2A367" w14:textId="77777777" w:rsidR="00167860" w:rsidRPr="00CB6C95" w:rsidRDefault="00167860" w:rsidP="00167860">
      <w:pPr>
        <w:adjustRightInd w:val="0"/>
        <w:snapToGrid w:val="0"/>
        <w:rPr>
          <w:sz w:val="22"/>
          <w:szCs w:val="22"/>
          <w:lang w:eastAsia="ko-KR"/>
        </w:rPr>
      </w:pPr>
      <w:r w:rsidRPr="00CB6C95">
        <w:rPr>
          <w:sz w:val="22"/>
          <w:szCs w:val="22"/>
          <w:lang w:eastAsia="ko-KR"/>
        </w:rPr>
        <w:t>PO BOX 42. SOUTH YARRA</w:t>
      </w:r>
      <w:r w:rsidRPr="00CB6C95">
        <w:rPr>
          <w:sz w:val="22"/>
          <w:szCs w:val="22"/>
          <w:lang w:eastAsia="ko-KR"/>
        </w:rPr>
        <w:br/>
        <w:t>VICTORIA 3141, AUSTRALIA</w:t>
      </w:r>
    </w:p>
    <w:p w14:paraId="197364C3" w14:textId="77777777" w:rsidR="00167860" w:rsidRPr="00CB6C95" w:rsidRDefault="00167860" w:rsidP="00167860">
      <w:pPr>
        <w:adjustRightInd w:val="0"/>
        <w:snapToGrid w:val="0"/>
        <w:rPr>
          <w:sz w:val="22"/>
          <w:szCs w:val="22"/>
          <w:lang w:eastAsia="ko-KR"/>
        </w:rPr>
      </w:pPr>
      <w:r w:rsidRPr="00CB6C95">
        <w:rPr>
          <w:sz w:val="22"/>
          <w:szCs w:val="22"/>
          <w:lang w:eastAsia="ko-KR"/>
        </w:rPr>
        <w:t>guan.oon@gmail.com</w:t>
      </w:r>
    </w:p>
    <w:p w14:paraId="7AED451C" w14:textId="77777777" w:rsidR="00167860" w:rsidRPr="00CB6C95" w:rsidRDefault="00167860" w:rsidP="00167860">
      <w:pPr>
        <w:adjustRightInd w:val="0"/>
        <w:snapToGrid w:val="0"/>
        <w:rPr>
          <w:sz w:val="22"/>
          <w:szCs w:val="22"/>
          <w:lang w:eastAsia="ko-KR"/>
        </w:rPr>
      </w:pPr>
    </w:p>
    <w:p w14:paraId="7B812CD1" w14:textId="77777777" w:rsidR="00167860" w:rsidRPr="00CB6C95" w:rsidRDefault="00167860" w:rsidP="00167860">
      <w:pPr>
        <w:adjustRightInd w:val="0"/>
        <w:snapToGrid w:val="0"/>
        <w:rPr>
          <w:b/>
          <w:noProof/>
          <w:color w:val="000000"/>
          <w:sz w:val="22"/>
          <w:szCs w:val="22"/>
        </w:rPr>
      </w:pPr>
      <w:r w:rsidRPr="00CB6C95">
        <w:rPr>
          <w:b/>
          <w:noProof/>
          <w:color w:val="000000"/>
          <w:sz w:val="22"/>
          <w:szCs w:val="22"/>
        </w:rPr>
        <w:t>PARTICIPATING TERRITORIES</w:t>
      </w:r>
    </w:p>
    <w:p w14:paraId="25A152A0" w14:textId="77777777" w:rsidR="00167860" w:rsidRPr="00CB6C95" w:rsidRDefault="00167860" w:rsidP="00167860">
      <w:pPr>
        <w:adjustRightInd w:val="0"/>
        <w:snapToGrid w:val="0"/>
        <w:rPr>
          <w:b/>
          <w:i/>
          <w:caps/>
          <w:sz w:val="22"/>
          <w:szCs w:val="22"/>
          <w:lang w:eastAsia="ko-KR"/>
        </w:rPr>
      </w:pPr>
    </w:p>
    <w:p w14:paraId="38EB91FA"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French Polynesia</w:t>
      </w:r>
    </w:p>
    <w:p w14:paraId="404BF318" w14:textId="77777777" w:rsidR="00167860" w:rsidRPr="00CB6C95" w:rsidRDefault="00167860" w:rsidP="00167860">
      <w:pPr>
        <w:adjustRightInd w:val="0"/>
        <w:snapToGrid w:val="0"/>
        <w:rPr>
          <w:b/>
          <w:sz w:val="22"/>
          <w:szCs w:val="22"/>
          <w:lang w:eastAsia="ko-KR"/>
        </w:rPr>
      </w:pPr>
    </w:p>
    <w:p w14:paraId="3CB9C04D" w14:textId="77777777" w:rsidR="00167860" w:rsidRPr="00CB6C95" w:rsidRDefault="00167860" w:rsidP="00167860">
      <w:pPr>
        <w:adjustRightInd w:val="0"/>
        <w:snapToGrid w:val="0"/>
        <w:rPr>
          <w:b/>
          <w:sz w:val="22"/>
          <w:szCs w:val="22"/>
          <w:lang w:eastAsia="ko-KR"/>
        </w:rPr>
      </w:pPr>
      <w:r w:rsidRPr="00CB6C95">
        <w:rPr>
          <w:b/>
          <w:sz w:val="22"/>
          <w:szCs w:val="22"/>
          <w:lang w:eastAsia="ko-KR"/>
        </w:rPr>
        <w:t>Marie Soehnlen</w:t>
      </w:r>
    </w:p>
    <w:p w14:paraId="3D1328FB" w14:textId="77777777" w:rsidR="00167860" w:rsidRPr="00CB6C95" w:rsidRDefault="00167860" w:rsidP="00167860">
      <w:pPr>
        <w:adjustRightInd w:val="0"/>
        <w:snapToGrid w:val="0"/>
        <w:rPr>
          <w:sz w:val="22"/>
          <w:szCs w:val="22"/>
          <w:lang w:eastAsia="ko-KR"/>
        </w:rPr>
      </w:pPr>
      <w:r w:rsidRPr="00CB6C95">
        <w:rPr>
          <w:sz w:val="22"/>
          <w:szCs w:val="22"/>
          <w:lang w:eastAsia="ko-KR"/>
        </w:rPr>
        <w:t>Fisheries Officer</w:t>
      </w:r>
    </w:p>
    <w:p w14:paraId="23180B50"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Direction des ressources marines et </w:t>
      </w:r>
      <w:r w:rsidRPr="00CB6C95">
        <w:rPr>
          <w:noProof/>
          <w:color w:val="000000"/>
          <w:sz w:val="22"/>
          <w:szCs w:val="22"/>
        </w:rPr>
        <w:t xml:space="preserve">minières </w:t>
      </w:r>
      <w:r w:rsidRPr="00CB6C95">
        <w:rPr>
          <w:sz w:val="22"/>
          <w:szCs w:val="22"/>
          <w:lang w:eastAsia="ko-KR"/>
        </w:rPr>
        <w:t>(marine resources and mining department)</w:t>
      </w:r>
    </w:p>
    <w:p w14:paraId="6C76C5A4" w14:textId="77777777" w:rsidR="00167860" w:rsidRPr="00CB6C95" w:rsidRDefault="00167860" w:rsidP="00167860">
      <w:pPr>
        <w:adjustRightInd w:val="0"/>
        <w:snapToGrid w:val="0"/>
        <w:rPr>
          <w:sz w:val="22"/>
          <w:szCs w:val="22"/>
          <w:lang w:eastAsia="ko-KR"/>
        </w:rPr>
      </w:pPr>
      <w:r w:rsidRPr="00CB6C95">
        <w:rPr>
          <w:sz w:val="22"/>
          <w:szCs w:val="22"/>
          <w:lang w:eastAsia="ko-KR"/>
        </w:rPr>
        <w:t>P.O box 20 - 98713 Papeete</w:t>
      </w:r>
      <w:r w:rsidRPr="00CB6C95">
        <w:rPr>
          <w:sz w:val="22"/>
          <w:szCs w:val="22"/>
          <w:lang w:eastAsia="ko-KR"/>
        </w:rPr>
        <w:br/>
        <w:t>French Polynesia</w:t>
      </w:r>
    </w:p>
    <w:p w14:paraId="23890CA8" w14:textId="77777777" w:rsidR="00167860" w:rsidRPr="00CB6C95" w:rsidRDefault="00167860" w:rsidP="00167860">
      <w:pPr>
        <w:adjustRightInd w:val="0"/>
        <w:snapToGrid w:val="0"/>
        <w:rPr>
          <w:sz w:val="22"/>
          <w:szCs w:val="22"/>
          <w:lang w:eastAsia="ko-KR"/>
        </w:rPr>
      </w:pPr>
      <w:r w:rsidRPr="00CB6C95">
        <w:rPr>
          <w:sz w:val="22"/>
          <w:szCs w:val="22"/>
          <w:lang w:eastAsia="ko-KR"/>
        </w:rPr>
        <w:t>+ 689 40 50 25 50</w:t>
      </w:r>
    </w:p>
    <w:p w14:paraId="5BB7480B" w14:textId="77777777" w:rsidR="00167860" w:rsidRPr="00CB6C95" w:rsidRDefault="00167860" w:rsidP="00167860">
      <w:pPr>
        <w:adjustRightInd w:val="0"/>
        <w:snapToGrid w:val="0"/>
        <w:rPr>
          <w:sz w:val="22"/>
          <w:szCs w:val="22"/>
          <w:lang w:eastAsia="ko-KR"/>
        </w:rPr>
      </w:pPr>
      <w:r w:rsidRPr="00CB6C95">
        <w:rPr>
          <w:sz w:val="22"/>
          <w:szCs w:val="22"/>
          <w:lang w:eastAsia="ko-KR"/>
        </w:rPr>
        <w:t>marie.soehnlen@drm.gov.pf</w:t>
      </w:r>
    </w:p>
    <w:p w14:paraId="2153C4FC" w14:textId="77777777" w:rsidR="00167860" w:rsidRPr="00CB6C95" w:rsidRDefault="00167860" w:rsidP="00167860">
      <w:pPr>
        <w:adjustRightInd w:val="0"/>
        <w:snapToGrid w:val="0"/>
        <w:rPr>
          <w:sz w:val="22"/>
          <w:szCs w:val="22"/>
          <w:lang w:eastAsia="ko-KR"/>
        </w:rPr>
      </w:pPr>
    </w:p>
    <w:p w14:paraId="25B8BC1C"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New Caledonia</w:t>
      </w:r>
    </w:p>
    <w:p w14:paraId="3B15395E" w14:textId="77777777" w:rsidR="00167860" w:rsidRPr="00CB6C95" w:rsidRDefault="00167860" w:rsidP="00167860">
      <w:pPr>
        <w:adjustRightInd w:val="0"/>
        <w:snapToGrid w:val="0"/>
        <w:rPr>
          <w:b/>
          <w:sz w:val="22"/>
          <w:szCs w:val="22"/>
          <w:lang w:eastAsia="ko-KR"/>
        </w:rPr>
      </w:pPr>
    </w:p>
    <w:p w14:paraId="384691A8" w14:textId="77777777" w:rsidR="00167860" w:rsidRPr="00CB6C95" w:rsidRDefault="00167860" w:rsidP="00167860">
      <w:pPr>
        <w:adjustRightInd w:val="0"/>
        <w:snapToGrid w:val="0"/>
        <w:rPr>
          <w:b/>
          <w:sz w:val="22"/>
          <w:szCs w:val="22"/>
          <w:lang w:eastAsia="ko-KR"/>
        </w:rPr>
      </w:pPr>
      <w:r w:rsidRPr="00CB6C95">
        <w:rPr>
          <w:b/>
          <w:sz w:val="22"/>
          <w:szCs w:val="22"/>
          <w:lang w:eastAsia="ko-KR"/>
        </w:rPr>
        <w:t>Christophe Fonfreyde</w:t>
      </w:r>
    </w:p>
    <w:p w14:paraId="064EB0F4" w14:textId="77777777" w:rsidR="00167860" w:rsidRPr="00CB6C95" w:rsidRDefault="00167860" w:rsidP="00167860">
      <w:pPr>
        <w:adjustRightInd w:val="0"/>
        <w:snapToGrid w:val="0"/>
        <w:rPr>
          <w:sz w:val="22"/>
          <w:szCs w:val="22"/>
          <w:lang w:eastAsia="ko-KR"/>
        </w:rPr>
      </w:pPr>
      <w:r w:rsidRPr="00CB6C95">
        <w:rPr>
          <w:sz w:val="22"/>
          <w:szCs w:val="22"/>
          <w:lang w:eastAsia="ko-KR"/>
        </w:rPr>
        <w:t>Head of fisheries</w:t>
      </w:r>
    </w:p>
    <w:p w14:paraId="13E728BB" w14:textId="77777777" w:rsidR="00167860" w:rsidRPr="00CB6C95" w:rsidRDefault="00167860" w:rsidP="00167860">
      <w:pPr>
        <w:adjustRightInd w:val="0"/>
        <w:snapToGrid w:val="0"/>
        <w:rPr>
          <w:sz w:val="22"/>
          <w:szCs w:val="22"/>
          <w:lang w:eastAsia="ko-KR"/>
        </w:rPr>
      </w:pPr>
      <w:r w:rsidRPr="00CB6C95">
        <w:rPr>
          <w:sz w:val="22"/>
          <w:szCs w:val="22"/>
          <w:lang w:eastAsia="ko-KR"/>
        </w:rPr>
        <w:t>New Caledonia Government</w:t>
      </w:r>
    </w:p>
    <w:p w14:paraId="2612483B" w14:textId="77777777" w:rsidR="00167860" w:rsidRPr="00CB6C95" w:rsidRDefault="00167860" w:rsidP="00167860">
      <w:pPr>
        <w:adjustRightInd w:val="0"/>
        <w:snapToGrid w:val="0"/>
        <w:rPr>
          <w:sz w:val="22"/>
          <w:szCs w:val="22"/>
          <w:lang w:eastAsia="ko-KR"/>
        </w:rPr>
      </w:pPr>
      <w:r w:rsidRPr="00CB6C95">
        <w:rPr>
          <w:sz w:val="22"/>
          <w:szCs w:val="22"/>
          <w:lang w:eastAsia="ko-KR"/>
        </w:rPr>
        <w:t>BP 36</w:t>
      </w:r>
      <w:r w:rsidRPr="00CB6C95">
        <w:rPr>
          <w:sz w:val="22"/>
          <w:szCs w:val="22"/>
          <w:lang w:eastAsia="ko-KR"/>
        </w:rPr>
        <w:br/>
        <w:t>98845 NOUMEA, NEW CALEDONIA</w:t>
      </w:r>
    </w:p>
    <w:p w14:paraId="2669BF0D" w14:textId="77777777" w:rsidR="00167860" w:rsidRPr="00CB6C95" w:rsidRDefault="00167860" w:rsidP="00167860">
      <w:pPr>
        <w:adjustRightInd w:val="0"/>
        <w:snapToGrid w:val="0"/>
        <w:rPr>
          <w:sz w:val="22"/>
          <w:szCs w:val="22"/>
          <w:lang w:eastAsia="ko-KR"/>
        </w:rPr>
      </w:pPr>
      <w:r w:rsidRPr="00CB6C95">
        <w:rPr>
          <w:sz w:val="22"/>
          <w:szCs w:val="22"/>
          <w:lang w:eastAsia="ko-KR"/>
        </w:rPr>
        <w:t>687272626</w:t>
      </w:r>
    </w:p>
    <w:p w14:paraId="41D3115E" w14:textId="77777777" w:rsidR="00167860" w:rsidRPr="00CB6C95" w:rsidRDefault="00167860" w:rsidP="00167860">
      <w:pPr>
        <w:adjustRightInd w:val="0"/>
        <w:snapToGrid w:val="0"/>
        <w:rPr>
          <w:sz w:val="22"/>
          <w:szCs w:val="22"/>
          <w:lang w:eastAsia="ko-KR"/>
        </w:rPr>
      </w:pPr>
      <w:r w:rsidRPr="00CB6C95">
        <w:rPr>
          <w:sz w:val="22"/>
          <w:szCs w:val="22"/>
          <w:lang w:eastAsia="ko-KR"/>
        </w:rPr>
        <w:t>christophe.fonf'reyde@gouv.nc</w:t>
      </w:r>
    </w:p>
    <w:p w14:paraId="594E0D1A" w14:textId="77777777" w:rsidR="00167860" w:rsidRPr="00CB6C95" w:rsidRDefault="00167860" w:rsidP="00167860">
      <w:pPr>
        <w:adjustRightInd w:val="0"/>
        <w:snapToGrid w:val="0"/>
        <w:rPr>
          <w:sz w:val="22"/>
          <w:szCs w:val="22"/>
          <w:lang w:eastAsia="ko-KR"/>
        </w:rPr>
      </w:pPr>
    </w:p>
    <w:p w14:paraId="22598300"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Tokelau</w:t>
      </w:r>
    </w:p>
    <w:p w14:paraId="5F0367B2" w14:textId="77777777" w:rsidR="00167860" w:rsidRPr="00CB6C95" w:rsidRDefault="00167860" w:rsidP="00167860">
      <w:pPr>
        <w:adjustRightInd w:val="0"/>
        <w:snapToGrid w:val="0"/>
        <w:rPr>
          <w:b/>
          <w:sz w:val="22"/>
          <w:szCs w:val="22"/>
          <w:lang w:eastAsia="ko-KR"/>
        </w:rPr>
      </w:pPr>
    </w:p>
    <w:p w14:paraId="20AE098F" w14:textId="77777777" w:rsidR="00167860" w:rsidRPr="00CB6C95" w:rsidRDefault="00167860" w:rsidP="00167860">
      <w:pPr>
        <w:adjustRightInd w:val="0"/>
        <w:snapToGrid w:val="0"/>
        <w:rPr>
          <w:b/>
          <w:sz w:val="22"/>
          <w:szCs w:val="22"/>
          <w:lang w:eastAsia="ko-KR"/>
        </w:rPr>
      </w:pPr>
      <w:r w:rsidRPr="00CB6C95">
        <w:rPr>
          <w:b/>
          <w:sz w:val="22"/>
          <w:szCs w:val="22"/>
          <w:lang w:eastAsia="ko-KR"/>
        </w:rPr>
        <w:t>Luisa Naseri-Sale</w:t>
      </w:r>
    </w:p>
    <w:p w14:paraId="4FB16A05" w14:textId="77777777" w:rsidR="00167860" w:rsidRPr="00CB6C95" w:rsidRDefault="00167860" w:rsidP="00167860">
      <w:pPr>
        <w:adjustRightInd w:val="0"/>
        <w:snapToGrid w:val="0"/>
        <w:rPr>
          <w:sz w:val="22"/>
          <w:szCs w:val="22"/>
          <w:lang w:eastAsia="ko-KR"/>
        </w:rPr>
      </w:pPr>
      <w:r w:rsidRPr="00CB6C95">
        <w:rPr>
          <w:sz w:val="22"/>
          <w:szCs w:val="22"/>
          <w:lang w:eastAsia="ko-KR"/>
        </w:rPr>
        <w:t>Manager, Policy &amp; Planning</w:t>
      </w:r>
    </w:p>
    <w:p w14:paraId="643D2F0F" w14:textId="77777777" w:rsidR="00167860" w:rsidRPr="00CB6C95" w:rsidRDefault="00167860" w:rsidP="00167860">
      <w:pPr>
        <w:adjustRightInd w:val="0"/>
        <w:snapToGrid w:val="0"/>
        <w:rPr>
          <w:sz w:val="22"/>
          <w:szCs w:val="22"/>
          <w:lang w:eastAsia="ko-KR"/>
        </w:rPr>
      </w:pPr>
      <w:r w:rsidRPr="00CB6C95">
        <w:rPr>
          <w:sz w:val="22"/>
          <w:szCs w:val="22"/>
          <w:lang w:eastAsia="ko-KR"/>
        </w:rPr>
        <w:t>Fisheries Management Agency</w:t>
      </w:r>
    </w:p>
    <w:p w14:paraId="1A434C36" w14:textId="77777777" w:rsidR="00167860" w:rsidRPr="00CB6C95" w:rsidRDefault="00167860" w:rsidP="00167860">
      <w:pPr>
        <w:adjustRightInd w:val="0"/>
        <w:snapToGrid w:val="0"/>
        <w:rPr>
          <w:sz w:val="22"/>
          <w:szCs w:val="22"/>
          <w:lang w:eastAsia="ko-KR"/>
        </w:rPr>
      </w:pPr>
      <w:r w:rsidRPr="00CB6C95">
        <w:rPr>
          <w:sz w:val="22"/>
          <w:szCs w:val="22"/>
          <w:lang w:eastAsia="ko-KR"/>
        </w:rPr>
        <w:t>Atafu, Tokelau</w:t>
      </w:r>
    </w:p>
    <w:p w14:paraId="22CF6D77" w14:textId="77777777" w:rsidR="00167860" w:rsidRPr="00CB6C95" w:rsidRDefault="00167860" w:rsidP="00167860">
      <w:pPr>
        <w:adjustRightInd w:val="0"/>
        <w:snapToGrid w:val="0"/>
        <w:rPr>
          <w:sz w:val="22"/>
          <w:szCs w:val="22"/>
          <w:lang w:eastAsia="ko-KR"/>
        </w:rPr>
      </w:pPr>
      <w:r w:rsidRPr="00CB6C95">
        <w:rPr>
          <w:sz w:val="22"/>
          <w:szCs w:val="22"/>
          <w:lang w:eastAsia="ko-KR"/>
        </w:rPr>
        <w:t>naserisale@gmail.com</w:t>
      </w:r>
    </w:p>
    <w:p w14:paraId="0AA72A67" w14:textId="77777777" w:rsidR="00167860" w:rsidRPr="00CB6C95" w:rsidRDefault="00167860" w:rsidP="00167860">
      <w:pPr>
        <w:adjustRightInd w:val="0"/>
        <w:snapToGrid w:val="0"/>
        <w:rPr>
          <w:sz w:val="22"/>
          <w:szCs w:val="22"/>
          <w:lang w:eastAsia="ko-KR"/>
        </w:rPr>
      </w:pPr>
    </w:p>
    <w:p w14:paraId="4A125F6C" w14:textId="77777777" w:rsidR="00167860" w:rsidRPr="00CB6C95" w:rsidRDefault="00167860" w:rsidP="00167860">
      <w:pPr>
        <w:adjustRightInd w:val="0"/>
        <w:snapToGrid w:val="0"/>
        <w:rPr>
          <w:b/>
          <w:sz w:val="22"/>
          <w:szCs w:val="22"/>
          <w:lang w:eastAsia="ko-KR"/>
        </w:rPr>
      </w:pPr>
      <w:r w:rsidRPr="00CB6C95">
        <w:rPr>
          <w:b/>
          <w:sz w:val="22"/>
          <w:szCs w:val="22"/>
          <w:lang w:eastAsia="ko-KR"/>
        </w:rPr>
        <w:t>Feleti Tulafono</w:t>
      </w:r>
    </w:p>
    <w:p w14:paraId="3DE3A04E" w14:textId="77777777" w:rsidR="00167860" w:rsidRPr="00CB6C95" w:rsidRDefault="00167860" w:rsidP="00167860">
      <w:pPr>
        <w:adjustRightInd w:val="0"/>
        <w:snapToGrid w:val="0"/>
        <w:rPr>
          <w:sz w:val="22"/>
          <w:szCs w:val="22"/>
          <w:lang w:eastAsia="ko-KR"/>
        </w:rPr>
      </w:pPr>
      <w:r w:rsidRPr="00CB6C95">
        <w:rPr>
          <w:sz w:val="22"/>
          <w:szCs w:val="22"/>
          <w:lang w:eastAsia="ko-KR"/>
        </w:rPr>
        <w:t>Director</w:t>
      </w:r>
    </w:p>
    <w:p w14:paraId="6089A3A8" w14:textId="77777777" w:rsidR="00167860" w:rsidRPr="00CB6C95" w:rsidRDefault="00167860" w:rsidP="00167860">
      <w:pPr>
        <w:adjustRightInd w:val="0"/>
        <w:snapToGrid w:val="0"/>
        <w:rPr>
          <w:sz w:val="22"/>
          <w:szCs w:val="22"/>
          <w:lang w:eastAsia="ko-KR"/>
        </w:rPr>
      </w:pPr>
      <w:r w:rsidRPr="00CB6C95">
        <w:rPr>
          <w:sz w:val="22"/>
          <w:szCs w:val="22"/>
          <w:lang w:eastAsia="ko-KR"/>
        </w:rPr>
        <w:t>Fisheries Management Agency</w:t>
      </w:r>
    </w:p>
    <w:p w14:paraId="1B583D46" w14:textId="77777777" w:rsidR="00167860" w:rsidRPr="00CB6C95" w:rsidRDefault="00167860" w:rsidP="00167860">
      <w:pPr>
        <w:adjustRightInd w:val="0"/>
        <w:snapToGrid w:val="0"/>
        <w:rPr>
          <w:sz w:val="22"/>
          <w:szCs w:val="22"/>
          <w:lang w:eastAsia="ko-KR"/>
        </w:rPr>
      </w:pPr>
      <w:r w:rsidRPr="00CB6C95">
        <w:rPr>
          <w:sz w:val="22"/>
          <w:szCs w:val="22"/>
          <w:lang w:eastAsia="ko-KR"/>
        </w:rPr>
        <w:t>Fakaofo, Tokelau</w:t>
      </w:r>
    </w:p>
    <w:p w14:paraId="233366B8" w14:textId="77777777" w:rsidR="00167860" w:rsidRPr="00CB6C95" w:rsidRDefault="00167860" w:rsidP="00167860">
      <w:pPr>
        <w:adjustRightInd w:val="0"/>
        <w:snapToGrid w:val="0"/>
        <w:rPr>
          <w:sz w:val="22"/>
          <w:szCs w:val="22"/>
          <w:lang w:eastAsia="ko-KR"/>
        </w:rPr>
      </w:pPr>
      <w:r w:rsidRPr="00CB6C95">
        <w:rPr>
          <w:sz w:val="22"/>
          <w:szCs w:val="22"/>
          <w:lang w:eastAsia="ko-KR"/>
        </w:rPr>
        <w:t>+690 23113</w:t>
      </w:r>
    </w:p>
    <w:p w14:paraId="05F874D8" w14:textId="77777777" w:rsidR="00167860" w:rsidRPr="00CB6C95" w:rsidRDefault="00167860" w:rsidP="00167860">
      <w:pPr>
        <w:adjustRightInd w:val="0"/>
        <w:snapToGrid w:val="0"/>
        <w:rPr>
          <w:sz w:val="22"/>
          <w:szCs w:val="22"/>
          <w:lang w:eastAsia="ko-KR"/>
        </w:rPr>
      </w:pPr>
      <w:r w:rsidRPr="00CB6C95">
        <w:rPr>
          <w:sz w:val="22"/>
          <w:szCs w:val="22"/>
          <w:lang w:eastAsia="ko-KR"/>
        </w:rPr>
        <w:t>ftulafono@gmail.com</w:t>
      </w:r>
    </w:p>
    <w:p w14:paraId="27A72756" w14:textId="77777777" w:rsidR="00167860" w:rsidRPr="00CB6C95" w:rsidRDefault="00167860" w:rsidP="00167860">
      <w:pPr>
        <w:adjustRightInd w:val="0"/>
        <w:snapToGrid w:val="0"/>
        <w:rPr>
          <w:sz w:val="22"/>
          <w:szCs w:val="22"/>
          <w:lang w:eastAsia="ko-KR"/>
        </w:rPr>
      </w:pPr>
    </w:p>
    <w:p w14:paraId="529CCFCE" w14:textId="77777777" w:rsidR="00167860" w:rsidRPr="00CB6C95" w:rsidRDefault="00167860" w:rsidP="00167860">
      <w:pPr>
        <w:adjustRightInd w:val="0"/>
        <w:snapToGrid w:val="0"/>
        <w:rPr>
          <w:b/>
          <w:sz w:val="22"/>
          <w:szCs w:val="22"/>
          <w:lang w:eastAsia="ko-KR"/>
        </w:rPr>
      </w:pPr>
      <w:r w:rsidRPr="00CB6C95">
        <w:rPr>
          <w:b/>
          <w:sz w:val="22"/>
          <w:szCs w:val="22"/>
          <w:lang w:eastAsia="ko-KR"/>
        </w:rPr>
        <w:t>Solomua Ionatana</w:t>
      </w:r>
    </w:p>
    <w:p w14:paraId="64DCE933" w14:textId="77777777" w:rsidR="00167860" w:rsidRPr="00CB6C95" w:rsidRDefault="00167860" w:rsidP="00167860">
      <w:pPr>
        <w:adjustRightInd w:val="0"/>
        <w:snapToGrid w:val="0"/>
        <w:rPr>
          <w:sz w:val="22"/>
          <w:szCs w:val="22"/>
          <w:lang w:eastAsia="ko-KR"/>
        </w:rPr>
      </w:pPr>
      <w:r w:rsidRPr="00CB6C95">
        <w:rPr>
          <w:sz w:val="22"/>
          <w:szCs w:val="22"/>
          <w:lang w:eastAsia="ko-KR"/>
        </w:rPr>
        <w:t>Access Manager</w:t>
      </w:r>
    </w:p>
    <w:p w14:paraId="09EB41CA" w14:textId="77777777" w:rsidR="00167860" w:rsidRPr="00CB6C95" w:rsidRDefault="00167860" w:rsidP="00167860">
      <w:pPr>
        <w:adjustRightInd w:val="0"/>
        <w:snapToGrid w:val="0"/>
        <w:rPr>
          <w:sz w:val="22"/>
          <w:szCs w:val="22"/>
          <w:lang w:eastAsia="ko-KR"/>
        </w:rPr>
      </w:pPr>
      <w:r w:rsidRPr="00CB6C95">
        <w:rPr>
          <w:sz w:val="22"/>
          <w:szCs w:val="22"/>
          <w:lang w:eastAsia="ko-KR"/>
        </w:rPr>
        <w:t>Fisheries Management Agency</w:t>
      </w:r>
    </w:p>
    <w:p w14:paraId="2147AA51" w14:textId="77777777" w:rsidR="00167860" w:rsidRPr="00CB6C95" w:rsidRDefault="00167860" w:rsidP="00167860">
      <w:pPr>
        <w:adjustRightInd w:val="0"/>
        <w:snapToGrid w:val="0"/>
        <w:rPr>
          <w:sz w:val="22"/>
          <w:szCs w:val="22"/>
          <w:lang w:eastAsia="ko-KR"/>
        </w:rPr>
      </w:pPr>
      <w:r w:rsidRPr="00CB6C95">
        <w:rPr>
          <w:sz w:val="22"/>
          <w:szCs w:val="22"/>
          <w:lang w:eastAsia="ko-KR"/>
        </w:rPr>
        <w:t>Fakaofo, TOKELAU</w:t>
      </w:r>
    </w:p>
    <w:p w14:paraId="555DA749" w14:textId="77777777" w:rsidR="00167860" w:rsidRPr="00CB6C95" w:rsidRDefault="00167860" w:rsidP="00167860">
      <w:pPr>
        <w:adjustRightInd w:val="0"/>
        <w:snapToGrid w:val="0"/>
        <w:rPr>
          <w:sz w:val="22"/>
          <w:szCs w:val="22"/>
          <w:lang w:eastAsia="ko-KR"/>
        </w:rPr>
      </w:pPr>
      <w:r w:rsidRPr="00CB6C95">
        <w:rPr>
          <w:sz w:val="22"/>
          <w:szCs w:val="22"/>
          <w:lang w:eastAsia="ko-KR"/>
        </w:rPr>
        <w:t>+690 23113</w:t>
      </w:r>
    </w:p>
    <w:p w14:paraId="04E78EC3" w14:textId="77777777" w:rsidR="00167860" w:rsidRPr="00CB6C95" w:rsidRDefault="00167860" w:rsidP="00167860">
      <w:pPr>
        <w:adjustRightInd w:val="0"/>
        <w:snapToGrid w:val="0"/>
        <w:rPr>
          <w:sz w:val="22"/>
          <w:szCs w:val="22"/>
          <w:lang w:eastAsia="ko-KR"/>
        </w:rPr>
      </w:pPr>
      <w:r w:rsidRPr="00CB6C95">
        <w:rPr>
          <w:sz w:val="22"/>
          <w:szCs w:val="22"/>
          <w:lang w:eastAsia="ko-KR"/>
        </w:rPr>
        <w:t>tualen@gmail.com</w:t>
      </w:r>
    </w:p>
    <w:p w14:paraId="425C9041" w14:textId="77777777" w:rsidR="00167860" w:rsidRPr="00CB6C95" w:rsidRDefault="00167860" w:rsidP="00167860">
      <w:pPr>
        <w:adjustRightInd w:val="0"/>
        <w:snapToGrid w:val="0"/>
        <w:rPr>
          <w:sz w:val="22"/>
          <w:szCs w:val="22"/>
          <w:lang w:eastAsia="ko-KR"/>
        </w:rPr>
      </w:pPr>
    </w:p>
    <w:p w14:paraId="7416D70A" w14:textId="77777777" w:rsidR="00167860" w:rsidRPr="00CB6C95" w:rsidRDefault="00167860" w:rsidP="00167860">
      <w:pPr>
        <w:adjustRightInd w:val="0"/>
        <w:snapToGrid w:val="0"/>
        <w:rPr>
          <w:b/>
          <w:noProof/>
          <w:color w:val="000000"/>
          <w:sz w:val="22"/>
          <w:szCs w:val="22"/>
        </w:rPr>
      </w:pPr>
      <w:r w:rsidRPr="00CB6C95">
        <w:rPr>
          <w:b/>
          <w:noProof/>
          <w:color w:val="000000"/>
          <w:sz w:val="22"/>
          <w:szCs w:val="22"/>
        </w:rPr>
        <w:t>COOPERATING NON MEMBER</w:t>
      </w:r>
    </w:p>
    <w:p w14:paraId="2B449B23" w14:textId="77777777" w:rsidR="00167860" w:rsidRPr="00CB6C95" w:rsidRDefault="00167860" w:rsidP="00167860">
      <w:pPr>
        <w:adjustRightInd w:val="0"/>
        <w:snapToGrid w:val="0"/>
        <w:rPr>
          <w:b/>
          <w:i/>
          <w:caps/>
          <w:sz w:val="22"/>
          <w:szCs w:val="22"/>
          <w:lang w:eastAsia="ko-KR"/>
        </w:rPr>
      </w:pPr>
    </w:p>
    <w:p w14:paraId="020054FA"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Vietnam</w:t>
      </w:r>
    </w:p>
    <w:p w14:paraId="61C8A454" w14:textId="77777777" w:rsidR="00167860" w:rsidRPr="00CB6C95" w:rsidRDefault="00167860" w:rsidP="00167860">
      <w:pPr>
        <w:adjustRightInd w:val="0"/>
        <w:snapToGrid w:val="0"/>
        <w:rPr>
          <w:b/>
          <w:sz w:val="22"/>
          <w:szCs w:val="22"/>
          <w:lang w:eastAsia="ko-KR"/>
        </w:rPr>
      </w:pPr>
    </w:p>
    <w:p w14:paraId="69551C7B" w14:textId="77777777" w:rsidR="00167860" w:rsidRPr="00CB6C95" w:rsidRDefault="00167860" w:rsidP="00167860">
      <w:pPr>
        <w:adjustRightInd w:val="0"/>
        <w:snapToGrid w:val="0"/>
        <w:rPr>
          <w:b/>
          <w:sz w:val="22"/>
          <w:szCs w:val="22"/>
          <w:lang w:eastAsia="ko-KR"/>
        </w:rPr>
      </w:pPr>
      <w:r w:rsidRPr="00CB6C95">
        <w:rPr>
          <w:b/>
          <w:sz w:val="22"/>
          <w:szCs w:val="22"/>
          <w:lang w:eastAsia="ko-KR"/>
        </w:rPr>
        <w:t>Nguyen Phu Quoc</w:t>
      </w:r>
    </w:p>
    <w:p w14:paraId="01329618" w14:textId="77777777" w:rsidR="00167860" w:rsidRPr="00CB6C95" w:rsidRDefault="00167860" w:rsidP="00167860">
      <w:pPr>
        <w:adjustRightInd w:val="0"/>
        <w:snapToGrid w:val="0"/>
        <w:rPr>
          <w:sz w:val="22"/>
          <w:szCs w:val="22"/>
          <w:lang w:eastAsia="ko-KR"/>
        </w:rPr>
      </w:pPr>
      <w:r w:rsidRPr="00CB6C95">
        <w:rPr>
          <w:sz w:val="22"/>
          <w:szCs w:val="22"/>
          <w:lang w:eastAsia="ko-KR"/>
        </w:rPr>
        <w:t>Deputy Director</w:t>
      </w:r>
    </w:p>
    <w:p w14:paraId="0CB4D06B" w14:textId="77777777" w:rsidR="00167860" w:rsidRPr="00CB6C95" w:rsidRDefault="00167860" w:rsidP="00167860">
      <w:pPr>
        <w:adjustRightInd w:val="0"/>
        <w:snapToGrid w:val="0"/>
        <w:rPr>
          <w:sz w:val="22"/>
          <w:szCs w:val="22"/>
          <w:lang w:eastAsia="ko-KR"/>
        </w:rPr>
      </w:pPr>
      <w:r w:rsidRPr="00CB6C95">
        <w:rPr>
          <w:sz w:val="22"/>
          <w:szCs w:val="22"/>
          <w:lang w:eastAsia="ko-KR"/>
        </w:rPr>
        <w:t>Ministry of Agriculture and Rural Development, Directorate of Fisheries</w:t>
      </w:r>
    </w:p>
    <w:p w14:paraId="0FAC471B" w14:textId="77777777" w:rsidR="00167860" w:rsidRPr="00CB6C95" w:rsidRDefault="00167860" w:rsidP="00167860">
      <w:pPr>
        <w:adjustRightInd w:val="0"/>
        <w:snapToGrid w:val="0"/>
        <w:rPr>
          <w:sz w:val="22"/>
          <w:szCs w:val="22"/>
          <w:lang w:eastAsia="ko-KR"/>
        </w:rPr>
      </w:pPr>
      <w:r w:rsidRPr="00CB6C95">
        <w:rPr>
          <w:sz w:val="22"/>
          <w:szCs w:val="22"/>
          <w:lang w:eastAsia="ko-KR"/>
        </w:rPr>
        <w:t>Department of Capture Fisheries</w:t>
      </w:r>
      <w:r w:rsidRPr="00CB6C95">
        <w:rPr>
          <w:sz w:val="22"/>
          <w:szCs w:val="22"/>
          <w:lang w:eastAsia="ko-KR"/>
        </w:rPr>
        <w:br/>
        <w:t>Room 209, Building B1</w:t>
      </w:r>
      <w:r w:rsidRPr="00CB6C95">
        <w:rPr>
          <w:sz w:val="22"/>
          <w:szCs w:val="22"/>
          <w:lang w:eastAsia="ko-KR"/>
        </w:rPr>
        <w:br/>
        <w:t>10 Nguyen Cong Hoan, Ba Dinh, Ha Noi, Viet Nam</w:t>
      </w:r>
    </w:p>
    <w:p w14:paraId="5F30988E" w14:textId="77777777" w:rsidR="00167860" w:rsidRPr="00CB6C95" w:rsidRDefault="00167860" w:rsidP="00167860">
      <w:pPr>
        <w:adjustRightInd w:val="0"/>
        <w:snapToGrid w:val="0"/>
        <w:rPr>
          <w:sz w:val="22"/>
          <w:szCs w:val="22"/>
          <w:lang w:eastAsia="ko-KR"/>
        </w:rPr>
      </w:pPr>
      <w:r w:rsidRPr="00CB6C95">
        <w:rPr>
          <w:sz w:val="22"/>
          <w:szCs w:val="22"/>
          <w:lang w:eastAsia="ko-KR"/>
        </w:rPr>
        <w:t>quocnp.tcts@mard.gov.vn</w:t>
      </w:r>
    </w:p>
    <w:p w14:paraId="66597B8E" w14:textId="77777777" w:rsidR="00167860" w:rsidRPr="00CB6C95" w:rsidRDefault="00167860" w:rsidP="00167860">
      <w:pPr>
        <w:adjustRightInd w:val="0"/>
        <w:snapToGrid w:val="0"/>
        <w:rPr>
          <w:sz w:val="22"/>
          <w:szCs w:val="22"/>
          <w:lang w:eastAsia="ko-KR"/>
        </w:rPr>
      </w:pPr>
    </w:p>
    <w:p w14:paraId="11E5D167" w14:textId="77777777" w:rsidR="00167860" w:rsidRPr="00CB6C95" w:rsidRDefault="00167860" w:rsidP="00167860">
      <w:pPr>
        <w:adjustRightInd w:val="0"/>
        <w:snapToGrid w:val="0"/>
        <w:rPr>
          <w:b/>
          <w:noProof/>
          <w:color w:val="000000"/>
          <w:sz w:val="22"/>
          <w:szCs w:val="22"/>
        </w:rPr>
      </w:pPr>
      <w:r w:rsidRPr="00CB6C95">
        <w:rPr>
          <w:b/>
          <w:noProof/>
          <w:color w:val="000000"/>
          <w:sz w:val="22"/>
          <w:szCs w:val="22"/>
        </w:rPr>
        <w:t>OBSERVERS</w:t>
      </w:r>
    </w:p>
    <w:p w14:paraId="389F1597" w14:textId="77777777" w:rsidR="00167860" w:rsidRPr="00CB6C95" w:rsidRDefault="00167860" w:rsidP="00167860">
      <w:pPr>
        <w:adjustRightInd w:val="0"/>
        <w:snapToGrid w:val="0"/>
        <w:rPr>
          <w:b/>
          <w:i/>
          <w:caps/>
          <w:sz w:val="22"/>
          <w:szCs w:val="22"/>
          <w:lang w:eastAsia="ko-KR"/>
        </w:rPr>
      </w:pPr>
    </w:p>
    <w:p w14:paraId="4A0C0C09"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Agreement for the Conservation of Albatross and Petrels (ACAP)</w:t>
      </w:r>
    </w:p>
    <w:p w14:paraId="4B36885D" w14:textId="77777777" w:rsidR="00167860" w:rsidRPr="00CB6C95" w:rsidRDefault="00167860" w:rsidP="00167860">
      <w:pPr>
        <w:adjustRightInd w:val="0"/>
        <w:snapToGrid w:val="0"/>
        <w:rPr>
          <w:b/>
          <w:sz w:val="22"/>
          <w:szCs w:val="22"/>
          <w:lang w:eastAsia="ko-KR"/>
        </w:rPr>
      </w:pPr>
    </w:p>
    <w:p w14:paraId="061A427D" w14:textId="77777777" w:rsidR="00167860" w:rsidRPr="00CB6C95" w:rsidRDefault="00167860" w:rsidP="00167860">
      <w:pPr>
        <w:adjustRightInd w:val="0"/>
        <w:snapToGrid w:val="0"/>
        <w:rPr>
          <w:b/>
          <w:sz w:val="22"/>
          <w:szCs w:val="22"/>
          <w:lang w:eastAsia="ko-KR"/>
        </w:rPr>
      </w:pPr>
      <w:r w:rsidRPr="00CB6C95">
        <w:rPr>
          <w:b/>
          <w:sz w:val="22"/>
          <w:szCs w:val="22"/>
          <w:lang w:eastAsia="ko-KR"/>
        </w:rPr>
        <w:t>Anton Wolfaardt</w:t>
      </w:r>
    </w:p>
    <w:p w14:paraId="38755BB3" w14:textId="77777777" w:rsidR="00167860" w:rsidRPr="00CB6C95" w:rsidRDefault="00167860" w:rsidP="00167860">
      <w:pPr>
        <w:adjustRightInd w:val="0"/>
        <w:snapToGrid w:val="0"/>
        <w:rPr>
          <w:sz w:val="22"/>
          <w:szCs w:val="22"/>
          <w:lang w:eastAsia="ko-KR"/>
        </w:rPr>
      </w:pPr>
      <w:r w:rsidRPr="00CB6C95">
        <w:rPr>
          <w:sz w:val="22"/>
          <w:szCs w:val="22"/>
          <w:lang w:eastAsia="ko-KR"/>
        </w:rPr>
        <w:t>Co-convenor, Seabird Bycatch Working Group</w:t>
      </w:r>
    </w:p>
    <w:p w14:paraId="094BB4E7" w14:textId="77777777" w:rsidR="00167860" w:rsidRPr="00CB6C95" w:rsidRDefault="00167860" w:rsidP="00167860">
      <w:pPr>
        <w:adjustRightInd w:val="0"/>
        <w:snapToGrid w:val="0"/>
        <w:rPr>
          <w:sz w:val="22"/>
          <w:szCs w:val="22"/>
          <w:lang w:eastAsia="ko-KR"/>
        </w:rPr>
      </w:pPr>
      <w:r w:rsidRPr="00CB6C95">
        <w:rPr>
          <w:sz w:val="22"/>
          <w:szCs w:val="22"/>
          <w:lang w:eastAsia="ko-KR"/>
        </w:rPr>
        <w:t>Agreement on the Conservation of Albatrosses and Petrels (ACAP)</w:t>
      </w:r>
    </w:p>
    <w:p w14:paraId="3867B159" w14:textId="77777777" w:rsidR="00167860" w:rsidRPr="00CB6C95" w:rsidRDefault="00167860" w:rsidP="00167860">
      <w:pPr>
        <w:adjustRightInd w:val="0"/>
        <w:snapToGrid w:val="0"/>
        <w:rPr>
          <w:sz w:val="22"/>
          <w:szCs w:val="22"/>
          <w:lang w:eastAsia="ko-KR"/>
        </w:rPr>
      </w:pPr>
      <w:r w:rsidRPr="00CB6C95">
        <w:rPr>
          <w:sz w:val="22"/>
          <w:szCs w:val="22"/>
          <w:lang w:eastAsia="ko-KR"/>
        </w:rPr>
        <w:t>Secretariat, Agreement on the Conservation of Albatrosses and Petrels, Level 2, 119 Macquarie Street, Hobart, 7000, Tasmania, Australia</w:t>
      </w:r>
    </w:p>
    <w:p w14:paraId="7D0B7C58" w14:textId="77777777" w:rsidR="00167860" w:rsidRPr="00CB6C95" w:rsidRDefault="00167860" w:rsidP="00167860">
      <w:pPr>
        <w:adjustRightInd w:val="0"/>
        <w:snapToGrid w:val="0"/>
        <w:rPr>
          <w:sz w:val="22"/>
          <w:szCs w:val="22"/>
          <w:lang w:eastAsia="ko-KR"/>
        </w:rPr>
      </w:pPr>
      <w:r w:rsidRPr="00CB6C95">
        <w:rPr>
          <w:sz w:val="22"/>
          <w:szCs w:val="22"/>
          <w:lang w:eastAsia="ko-KR"/>
        </w:rPr>
        <w:t>+27 716229678</w:t>
      </w:r>
    </w:p>
    <w:p w14:paraId="3CAE3414" w14:textId="77777777" w:rsidR="00167860" w:rsidRPr="00CB6C95" w:rsidRDefault="00167860" w:rsidP="00167860">
      <w:pPr>
        <w:adjustRightInd w:val="0"/>
        <w:snapToGrid w:val="0"/>
        <w:rPr>
          <w:sz w:val="22"/>
          <w:szCs w:val="22"/>
          <w:lang w:eastAsia="ko-KR"/>
        </w:rPr>
      </w:pPr>
      <w:r w:rsidRPr="00CB6C95">
        <w:rPr>
          <w:sz w:val="22"/>
          <w:szCs w:val="22"/>
          <w:lang w:eastAsia="ko-KR"/>
        </w:rPr>
        <w:t>acwolfaardt@gmail.com</w:t>
      </w:r>
    </w:p>
    <w:p w14:paraId="0210C3B4" w14:textId="77777777" w:rsidR="00167860" w:rsidRPr="00CB6C95" w:rsidRDefault="00167860" w:rsidP="00167860">
      <w:pPr>
        <w:adjustRightInd w:val="0"/>
        <w:snapToGrid w:val="0"/>
        <w:rPr>
          <w:sz w:val="22"/>
          <w:szCs w:val="22"/>
          <w:lang w:eastAsia="ko-KR"/>
        </w:rPr>
      </w:pPr>
    </w:p>
    <w:p w14:paraId="58307B19"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Birdlife International</w:t>
      </w:r>
    </w:p>
    <w:p w14:paraId="56EF5C74" w14:textId="77777777" w:rsidR="00167860" w:rsidRPr="00CB6C95" w:rsidRDefault="00167860" w:rsidP="00167860">
      <w:pPr>
        <w:adjustRightInd w:val="0"/>
        <w:snapToGrid w:val="0"/>
        <w:rPr>
          <w:b/>
          <w:sz w:val="22"/>
          <w:szCs w:val="22"/>
          <w:lang w:eastAsia="ko-KR"/>
        </w:rPr>
      </w:pPr>
    </w:p>
    <w:p w14:paraId="37BAADFA" w14:textId="77777777" w:rsidR="00167860" w:rsidRPr="00CB6C95" w:rsidRDefault="00167860" w:rsidP="00167860">
      <w:pPr>
        <w:adjustRightInd w:val="0"/>
        <w:snapToGrid w:val="0"/>
        <w:rPr>
          <w:b/>
          <w:sz w:val="22"/>
          <w:szCs w:val="22"/>
          <w:lang w:eastAsia="ko-KR"/>
        </w:rPr>
      </w:pPr>
      <w:r w:rsidRPr="00CB6C95">
        <w:rPr>
          <w:b/>
          <w:sz w:val="22"/>
          <w:szCs w:val="22"/>
          <w:lang w:eastAsia="ko-KR"/>
        </w:rPr>
        <w:t>Karen Anne Baird</w:t>
      </w:r>
    </w:p>
    <w:p w14:paraId="0FB10F83" w14:textId="77777777" w:rsidR="00167860" w:rsidRPr="00CB6C95" w:rsidRDefault="00167860" w:rsidP="00167860">
      <w:pPr>
        <w:adjustRightInd w:val="0"/>
        <w:snapToGrid w:val="0"/>
        <w:rPr>
          <w:sz w:val="22"/>
          <w:szCs w:val="22"/>
          <w:lang w:eastAsia="ko-KR"/>
        </w:rPr>
      </w:pPr>
      <w:r w:rsidRPr="00CB6C95">
        <w:rPr>
          <w:sz w:val="22"/>
          <w:szCs w:val="22"/>
          <w:lang w:eastAsia="ko-KR"/>
        </w:rPr>
        <w:t>Regional Coordinator Oceania BirdLife Marine Programme</w:t>
      </w:r>
    </w:p>
    <w:p w14:paraId="16ACD734" w14:textId="77777777" w:rsidR="00167860" w:rsidRPr="00CB6C95" w:rsidRDefault="00167860" w:rsidP="00167860">
      <w:pPr>
        <w:adjustRightInd w:val="0"/>
        <w:snapToGrid w:val="0"/>
        <w:rPr>
          <w:sz w:val="22"/>
          <w:szCs w:val="22"/>
          <w:lang w:eastAsia="ko-KR"/>
        </w:rPr>
      </w:pPr>
      <w:r w:rsidRPr="00CB6C95">
        <w:rPr>
          <w:sz w:val="22"/>
          <w:szCs w:val="22"/>
          <w:lang w:eastAsia="ko-KR"/>
        </w:rPr>
        <w:t>BirdLife International</w:t>
      </w:r>
    </w:p>
    <w:p w14:paraId="7FC8ABB8" w14:textId="77777777" w:rsidR="00167860" w:rsidRPr="00CB6C95" w:rsidRDefault="00167860" w:rsidP="00167860">
      <w:pPr>
        <w:adjustRightInd w:val="0"/>
        <w:snapToGrid w:val="0"/>
        <w:rPr>
          <w:sz w:val="22"/>
          <w:szCs w:val="22"/>
          <w:lang w:eastAsia="ko-KR"/>
        </w:rPr>
      </w:pPr>
      <w:r w:rsidRPr="00CB6C95">
        <w:rPr>
          <w:sz w:val="22"/>
          <w:szCs w:val="22"/>
          <w:lang w:eastAsia="ko-KR"/>
        </w:rPr>
        <w:t>400 Leigh Road RD 5, Warkworth, New Zealand</w:t>
      </w:r>
    </w:p>
    <w:p w14:paraId="5070BD23" w14:textId="77777777" w:rsidR="00167860" w:rsidRPr="00CB6C95" w:rsidRDefault="00167860" w:rsidP="00167860">
      <w:pPr>
        <w:adjustRightInd w:val="0"/>
        <w:snapToGrid w:val="0"/>
        <w:rPr>
          <w:sz w:val="22"/>
          <w:szCs w:val="22"/>
          <w:lang w:eastAsia="ko-KR"/>
        </w:rPr>
      </w:pPr>
      <w:r w:rsidRPr="00CB6C95">
        <w:rPr>
          <w:sz w:val="22"/>
          <w:szCs w:val="22"/>
          <w:lang w:eastAsia="ko-KR"/>
        </w:rPr>
        <w:t>6494226868</w:t>
      </w:r>
    </w:p>
    <w:p w14:paraId="1014B4F8" w14:textId="77777777" w:rsidR="00167860" w:rsidRPr="00CB6C95" w:rsidRDefault="00167860" w:rsidP="00167860">
      <w:pPr>
        <w:adjustRightInd w:val="0"/>
        <w:snapToGrid w:val="0"/>
        <w:rPr>
          <w:sz w:val="22"/>
          <w:szCs w:val="22"/>
          <w:lang w:eastAsia="ko-KR"/>
        </w:rPr>
      </w:pPr>
      <w:r w:rsidRPr="00CB6C95">
        <w:rPr>
          <w:sz w:val="22"/>
          <w:szCs w:val="22"/>
          <w:lang w:eastAsia="ko-KR"/>
        </w:rPr>
        <w:t>k.baird@forestandbird.org.nz</w:t>
      </w:r>
    </w:p>
    <w:p w14:paraId="056F4BFD" w14:textId="77777777" w:rsidR="00167860" w:rsidRPr="00CB6C95" w:rsidRDefault="00167860" w:rsidP="00167860">
      <w:pPr>
        <w:adjustRightInd w:val="0"/>
        <w:snapToGrid w:val="0"/>
        <w:rPr>
          <w:sz w:val="22"/>
          <w:szCs w:val="22"/>
          <w:lang w:eastAsia="ko-KR"/>
        </w:rPr>
      </w:pPr>
    </w:p>
    <w:p w14:paraId="19C2DDBD"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Environmental Defense Fund (EDF)</w:t>
      </w:r>
    </w:p>
    <w:p w14:paraId="63C1514F" w14:textId="77777777" w:rsidR="00167860" w:rsidRPr="00CB6C95" w:rsidRDefault="00167860" w:rsidP="00167860">
      <w:pPr>
        <w:adjustRightInd w:val="0"/>
        <w:snapToGrid w:val="0"/>
        <w:rPr>
          <w:b/>
          <w:sz w:val="22"/>
          <w:szCs w:val="22"/>
          <w:lang w:eastAsia="ko-KR"/>
        </w:rPr>
      </w:pPr>
    </w:p>
    <w:p w14:paraId="0A591FA4" w14:textId="77777777" w:rsidR="00167860" w:rsidRPr="00CB6C95" w:rsidRDefault="00167860" w:rsidP="00167860">
      <w:pPr>
        <w:adjustRightInd w:val="0"/>
        <w:snapToGrid w:val="0"/>
        <w:rPr>
          <w:b/>
          <w:sz w:val="22"/>
          <w:szCs w:val="22"/>
          <w:lang w:eastAsia="ko-KR"/>
        </w:rPr>
      </w:pPr>
      <w:r w:rsidRPr="00CB6C95">
        <w:rPr>
          <w:b/>
          <w:sz w:val="22"/>
          <w:szCs w:val="22"/>
          <w:lang w:eastAsia="ko-KR"/>
        </w:rPr>
        <w:t>Lars Olsen</w:t>
      </w:r>
    </w:p>
    <w:p w14:paraId="181F8530" w14:textId="77777777" w:rsidR="00167860" w:rsidRPr="00CB6C95" w:rsidRDefault="00167860" w:rsidP="00167860">
      <w:pPr>
        <w:adjustRightInd w:val="0"/>
        <w:snapToGrid w:val="0"/>
        <w:rPr>
          <w:sz w:val="22"/>
          <w:szCs w:val="22"/>
          <w:lang w:eastAsia="ko-KR"/>
        </w:rPr>
      </w:pPr>
      <w:r w:rsidRPr="00CB6C95">
        <w:rPr>
          <w:sz w:val="22"/>
          <w:szCs w:val="22"/>
          <w:lang w:eastAsia="ko-KR"/>
        </w:rPr>
        <w:t>Consultant</w:t>
      </w:r>
    </w:p>
    <w:p w14:paraId="0C45352B" w14:textId="77777777" w:rsidR="00167860" w:rsidRPr="00CB6C95" w:rsidRDefault="00167860" w:rsidP="00167860">
      <w:pPr>
        <w:adjustRightInd w:val="0"/>
        <w:snapToGrid w:val="0"/>
        <w:rPr>
          <w:sz w:val="22"/>
          <w:szCs w:val="22"/>
          <w:lang w:eastAsia="ko-KR"/>
        </w:rPr>
      </w:pPr>
      <w:r w:rsidRPr="00CB6C95">
        <w:rPr>
          <w:sz w:val="22"/>
          <w:szCs w:val="22"/>
          <w:lang w:eastAsia="ko-KR"/>
        </w:rPr>
        <w:t>Environmental Defense Fund</w:t>
      </w:r>
    </w:p>
    <w:p w14:paraId="561564F9" w14:textId="77777777" w:rsidR="00167860" w:rsidRPr="00CB6C95" w:rsidRDefault="00167860" w:rsidP="00167860">
      <w:pPr>
        <w:adjustRightInd w:val="0"/>
        <w:snapToGrid w:val="0"/>
        <w:rPr>
          <w:sz w:val="22"/>
          <w:szCs w:val="22"/>
          <w:lang w:eastAsia="ko-KR"/>
        </w:rPr>
      </w:pPr>
      <w:r w:rsidRPr="00CB6C95">
        <w:rPr>
          <w:sz w:val="22"/>
          <w:szCs w:val="22"/>
          <w:lang w:eastAsia="ko-KR"/>
        </w:rPr>
        <w:t>PO Box 283299</w:t>
      </w:r>
      <w:r w:rsidRPr="00CB6C95">
        <w:rPr>
          <w:sz w:val="22"/>
          <w:szCs w:val="22"/>
          <w:lang w:eastAsia="ko-KR"/>
        </w:rPr>
        <w:br/>
        <w:t>Honolulu, HI 96828</w:t>
      </w:r>
    </w:p>
    <w:p w14:paraId="0DCF80B2" w14:textId="77777777" w:rsidR="00167860" w:rsidRPr="00CB6C95" w:rsidRDefault="00167860" w:rsidP="00167860">
      <w:pPr>
        <w:adjustRightInd w:val="0"/>
        <w:snapToGrid w:val="0"/>
        <w:rPr>
          <w:sz w:val="22"/>
          <w:szCs w:val="22"/>
          <w:lang w:eastAsia="ko-KR"/>
        </w:rPr>
      </w:pPr>
      <w:r w:rsidRPr="00CB6C95">
        <w:rPr>
          <w:sz w:val="22"/>
          <w:szCs w:val="22"/>
          <w:lang w:eastAsia="ko-KR"/>
        </w:rPr>
        <w:t>+1 808 265 6519</w:t>
      </w:r>
    </w:p>
    <w:p w14:paraId="6C88F724" w14:textId="77777777" w:rsidR="00167860" w:rsidRPr="00CB6C95" w:rsidRDefault="00167860" w:rsidP="00167860">
      <w:pPr>
        <w:adjustRightInd w:val="0"/>
        <w:snapToGrid w:val="0"/>
        <w:rPr>
          <w:sz w:val="22"/>
          <w:szCs w:val="22"/>
          <w:lang w:eastAsia="ko-KR"/>
        </w:rPr>
      </w:pPr>
      <w:r w:rsidRPr="00CB6C95">
        <w:rPr>
          <w:sz w:val="22"/>
          <w:szCs w:val="22"/>
          <w:lang w:eastAsia="ko-KR"/>
        </w:rPr>
        <w:t>Olsenpacific@gmail.com</w:t>
      </w:r>
    </w:p>
    <w:p w14:paraId="5D7E0F0C" w14:textId="77777777" w:rsidR="00167860" w:rsidRPr="00CB6C95" w:rsidRDefault="00167860" w:rsidP="00167860">
      <w:pPr>
        <w:adjustRightInd w:val="0"/>
        <w:snapToGrid w:val="0"/>
        <w:rPr>
          <w:sz w:val="22"/>
          <w:szCs w:val="22"/>
          <w:lang w:eastAsia="ko-KR"/>
        </w:rPr>
      </w:pPr>
    </w:p>
    <w:p w14:paraId="481419A6"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Food and Agriculture Organisation of the United Nations (FAO)</w:t>
      </w:r>
    </w:p>
    <w:p w14:paraId="4628CA6C" w14:textId="77777777" w:rsidR="00167860" w:rsidRPr="00CB6C95" w:rsidRDefault="00167860" w:rsidP="00167860">
      <w:pPr>
        <w:adjustRightInd w:val="0"/>
        <w:snapToGrid w:val="0"/>
        <w:rPr>
          <w:b/>
          <w:sz w:val="22"/>
          <w:szCs w:val="22"/>
          <w:lang w:eastAsia="ko-KR"/>
        </w:rPr>
      </w:pPr>
    </w:p>
    <w:p w14:paraId="25EA7843" w14:textId="77777777" w:rsidR="00167860" w:rsidRPr="00CB6C95" w:rsidRDefault="00167860" w:rsidP="00167860">
      <w:pPr>
        <w:adjustRightInd w:val="0"/>
        <w:snapToGrid w:val="0"/>
        <w:rPr>
          <w:b/>
          <w:sz w:val="22"/>
          <w:szCs w:val="22"/>
          <w:lang w:eastAsia="ko-KR"/>
        </w:rPr>
      </w:pPr>
      <w:r w:rsidRPr="00CB6C95">
        <w:rPr>
          <w:b/>
          <w:sz w:val="22"/>
          <w:szCs w:val="22"/>
          <w:lang w:eastAsia="ko-KR"/>
        </w:rPr>
        <w:t>Kim A. Stobberup</w:t>
      </w:r>
    </w:p>
    <w:p w14:paraId="2F1472D0" w14:textId="77777777" w:rsidR="00167860" w:rsidRPr="00CB6C95" w:rsidRDefault="00167860" w:rsidP="00167860">
      <w:pPr>
        <w:adjustRightInd w:val="0"/>
        <w:snapToGrid w:val="0"/>
        <w:rPr>
          <w:sz w:val="22"/>
          <w:szCs w:val="22"/>
          <w:lang w:eastAsia="ko-KR"/>
        </w:rPr>
      </w:pPr>
      <w:r w:rsidRPr="00CB6C95">
        <w:rPr>
          <w:sz w:val="22"/>
          <w:szCs w:val="22"/>
          <w:lang w:eastAsia="ko-KR"/>
        </w:rPr>
        <w:t>MCS Consultant</w:t>
      </w:r>
    </w:p>
    <w:p w14:paraId="3E85728D" w14:textId="77777777" w:rsidR="00167860" w:rsidRPr="00CB6C95" w:rsidRDefault="00167860" w:rsidP="00167860">
      <w:pPr>
        <w:adjustRightInd w:val="0"/>
        <w:snapToGrid w:val="0"/>
        <w:rPr>
          <w:sz w:val="22"/>
          <w:szCs w:val="22"/>
          <w:lang w:eastAsia="ko-KR"/>
        </w:rPr>
      </w:pPr>
      <w:r w:rsidRPr="00CB6C95">
        <w:rPr>
          <w:sz w:val="22"/>
          <w:szCs w:val="22"/>
          <w:lang w:eastAsia="ko-KR"/>
        </w:rPr>
        <w:t>UNFAO Room F322</w:t>
      </w:r>
    </w:p>
    <w:p w14:paraId="20884EA9" w14:textId="77777777" w:rsidR="00167860" w:rsidRPr="00CB6C95" w:rsidRDefault="00167860" w:rsidP="00167860">
      <w:pPr>
        <w:adjustRightInd w:val="0"/>
        <w:snapToGrid w:val="0"/>
        <w:rPr>
          <w:sz w:val="22"/>
          <w:szCs w:val="22"/>
          <w:lang w:eastAsia="ko-KR"/>
        </w:rPr>
      </w:pPr>
      <w:r w:rsidRPr="00CB6C95">
        <w:rPr>
          <w:sz w:val="22"/>
          <w:szCs w:val="22"/>
          <w:lang w:eastAsia="ko-KR"/>
        </w:rPr>
        <w:t>Common Oceans (ABNJ) Tuna Project</w:t>
      </w:r>
      <w:r w:rsidRPr="00CB6C95">
        <w:rPr>
          <w:sz w:val="22"/>
          <w:szCs w:val="22"/>
          <w:lang w:eastAsia="ko-KR"/>
        </w:rPr>
        <w:br/>
        <w:t>Viale delle Terme di Caracalla, Rome, Italy 00153</w:t>
      </w:r>
    </w:p>
    <w:p w14:paraId="283E6F28" w14:textId="77777777" w:rsidR="00167860" w:rsidRPr="00CB6C95" w:rsidRDefault="00167860" w:rsidP="00167860">
      <w:pPr>
        <w:adjustRightInd w:val="0"/>
        <w:snapToGrid w:val="0"/>
        <w:rPr>
          <w:sz w:val="22"/>
          <w:szCs w:val="22"/>
          <w:lang w:eastAsia="ko-KR"/>
        </w:rPr>
      </w:pPr>
      <w:r w:rsidRPr="00CB6C95">
        <w:rPr>
          <w:sz w:val="22"/>
          <w:szCs w:val="22"/>
          <w:lang w:eastAsia="ko-KR"/>
        </w:rPr>
        <w:t>+39 06 570 55740</w:t>
      </w:r>
    </w:p>
    <w:p w14:paraId="7E3B0920" w14:textId="77777777" w:rsidR="00167860" w:rsidRPr="00CB6C95" w:rsidRDefault="00167860" w:rsidP="00167860">
      <w:pPr>
        <w:adjustRightInd w:val="0"/>
        <w:snapToGrid w:val="0"/>
        <w:rPr>
          <w:sz w:val="22"/>
          <w:szCs w:val="22"/>
          <w:lang w:eastAsia="ko-KR"/>
        </w:rPr>
      </w:pPr>
      <w:r w:rsidRPr="00CB6C95">
        <w:rPr>
          <w:sz w:val="22"/>
          <w:szCs w:val="22"/>
          <w:lang w:eastAsia="ko-KR"/>
        </w:rPr>
        <w:t>kim.stobberup@fao.org</w:t>
      </w:r>
    </w:p>
    <w:p w14:paraId="39DA0849" w14:textId="77777777" w:rsidR="00167860" w:rsidRPr="00CB6C95" w:rsidRDefault="00167860" w:rsidP="00167860">
      <w:pPr>
        <w:adjustRightInd w:val="0"/>
        <w:snapToGrid w:val="0"/>
        <w:rPr>
          <w:sz w:val="22"/>
          <w:szCs w:val="22"/>
          <w:lang w:eastAsia="ko-KR"/>
        </w:rPr>
      </w:pPr>
    </w:p>
    <w:p w14:paraId="7C7CB581" w14:textId="77777777" w:rsidR="00167860" w:rsidRPr="00CB6C95" w:rsidRDefault="00167860" w:rsidP="00167860">
      <w:pPr>
        <w:adjustRightInd w:val="0"/>
        <w:snapToGrid w:val="0"/>
        <w:rPr>
          <w:b/>
          <w:sz w:val="22"/>
          <w:szCs w:val="22"/>
          <w:lang w:eastAsia="ko-KR"/>
        </w:rPr>
      </w:pPr>
      <w:r w:rsidRPr="00CB6C95">
        <w:rPr>
          <w:b/>
          <w:sz w:val="22"/>
          <w:szCs w:val="22"/>
          <w:lang w:eastAsia="ko-KR"/>
        </w:rPr>
        <w:t>Shelley Clarke</w:t>
      </w:r>
    </w:p>
    <w:p w14:paraId="574BFFA9" w14:textId="77777777" w:rsidR="00167860" w:rsidRPr="00CB6C95" w:rsidRDefault="00167860" w:rsidP="00167860">
      <w:pPr>
        <w:adjustRightInd w:val="0"/>
        <w:snapToGrid w:val="0"/>
        <w:rPr>
          <w:sz w:val="22"/>
          <w:szCs w:val="22"/>
          <w:lang w:eastAsia="ko-KR"/>
        </w:rPr>
      </w:pPr>
      <w:r w:rsidRPr="00CB6C95">
        <w:rPr>
          <w:sz w:val="22"/>
          <w:szCs w:val="22"/>
          <w:lang w:eastAsia="ko-KR"/>
        </w:rPr>
        <w:t>Senior Fishery Officer</w:t>
      </w:r>
    </w:p>
    <w:p w14:paraId="199BE285" w14:textId="77777777" w:rsidR="00167860" w:rsidRPr="00CB6C95" w:rsidRDefault="00167860" w:rsidP="00167860">
      <w:pPr>
        <w:adjustRightInd w:val="0"/>
        <w:snapToGrid w:val="0"/>
        <w:rPr>
          <w:sz w:val="22"/>
          <w:szCs w:val="22"/>
          <w:lang w:eastAsia="ko-KR"/>
        </w:rPr>
      </w:pPr>
      <w:r w:rsidRPr="00CB6C95">
        <w:rPr>
          <w:sz w:val="22"/>
          <w:szCs w:val="22"/>
          <w:lang w:eastAsia="ko-KR"/>
        </w:rPr>
        <w:t>UNFAO Room F322</w:t>
      </w:r>
    </w:p>
    <w:p w14:paraId="0C4DBFEB" w14:textId="77777777" w:rsidR="00167860" w:rsidRPr="00CB6C95" w:rsidRDefault="00167860" w:rsidP="00167860">
      <w:pPr>
        <w:adjustRightInd w:val="0"/>
        <w:snapToGrid w:val="0"/>
        <w:rPr>
          <w:sz w:val="22"/>
          <w:szCs w:val="22"/>
          <w:lang w:eastAsia="ko-KR"/>
        </w:rPr>
      </w:pPr>
      <w:r w:rsidRPr="00CB6C95">
        <w:rPr>
          <w:sz w:val="22"/>
          <w:szCs w:val="22"/>
          <w:lang w:eastAsia="ko-KR"/>
        </w:rPr>
        <w:t>Common Oceans (ABNJ) Tuna Project</w:t>
      </w:r>
      <w:r w:rsidRPr="00CB6C95">
        <w:rPr>
          <w:sz w:val="22"/>
          <w:szCs w:val="22"/>
          <w:lang w:eastAsia="ko-KR"/>
        </w:rPr>
        <w:br/>
        <w:t>Viale delle Terme di Caracalla, Rome, Italy  00153</w:t>
      </w:r>
    </w:p>
    <w:p w14:paraId="1DC8454F" w14:textId="77777777" w:rsidR="00167860" w:rsidRPr="00CB6C95" w:rsidRDefault="00167860" w:rsidP="00167860">
      <w:pPr>
        <w:adjustRightInd w:val="0"/>
        <w:snapToGrid w:val="0"/>
        <w:rPr>
          <w:sz w:val="22"/>
          <w:szCs w:val="22"/>
          <w:lang w:eastAsia="ko-KR"/>
        </w:rPr>
      </w:pPr>
      <w:r w:rsidRPr="00CB6C95">
        <w:rPr>
          <w:sz w:val="22"/>
          <w:szCs w:val="22"/>
          <w:lang w:eastAsia="ko-KR"/>
        </w:rPr>
        <w:t>+39 06 570 55740</w:t>
      </w:r>
    </w:p>
    <w:p w14:paraId="27179E40" w14:textId="77777777" w:rsidR="00167860" w:rsidRPr="00CB6C95" w:rsidRDefault="00167860" w:rsidP="00167860">
      <w:pPr>
        <w:adjustRightInd w:val="0"/>
        <w:snapToGrid w:val="0"/>
        <w:rPr>
          <w:sz w:val="22"/>
          <w:szCs w:val="22"/>
          <w:lang w:eastAsia="ko-KR"/>
        </w:rPr>
      </w:pPr>
      <w:r w:rsidRPr="00CB6C95">
        <w:rPr>
          <w:sz w:val="22"/>
          <w:szCs w:val="22"/>
          <w:lang w:eastAsia="ko-KR"/>
        </w:rPr>
        <w:t>shelley.clarke@fao.org</w:t>
      </w:r>
    </w:p>
    <w:p w14:paraId="501EB9B7" w14:textId="77777777" w:rsidR="00167860" w:rsidRPr="00CB6C95" w:rsidRDefault="00167860" w:rsidP="00167860">
      <w:pPr>
        <w:adjustRightInd w:val="0"/>
        <w:snapToGrid w:val="0"/>
        <w:rPr>
          <w:sz w:val="22"/>
          <w:szCs w:val="22"/>
          <w:lang w:eastAsia="ko-KR"/>
        </w:rPr>
      </w:pPr>
    </w:p>
    <w:p w14:paraId="45C791B9"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Inter-American Tropical Tuna Commission (IATTC)</w:t>
      </w:r>
    </w:p>
    <w:p w14:paraId="142E43CC" w14:textId="77777777" w:rsidR="00167860" w:rsidRPr="00CB6C95" w:rsidRDefault="00167860" w:rsidP="00167860">
      <w:pPr>
        <w:adjustRightInd w:val="0"/>
        <w:snapToGrid w:val="0"/>
        <w:rPr>
          <w:b/>
          <w:sz w:val="22"/>
          <w:szCs w:val="22"/>
          <w:lang w:eastAsia="ko-KR"/>
        </w:rPr>
      </w:pPr>
    </w:p>
    <w:p w14:paraId="4DEB9790" w14:textId="77777777" w:rsidR="00167860" w:rsidRPr="00CB6C95" w:rsidRDefault="00167860" w:rsidP="00167860">
      <w:pPr>
        <w:adjustRightInd w:val="0"/>
        <w:snapToGrid w:val="0"/>
        <w:rPr>
          <w:b/>
          <w:sz w:val="22"/>
          <w:szCs w:val="22"/>
          <w:lang w:eastAsia="ko-KR"/>
        </w:rPr>
      </w:pPr>
      <w:r w:rsidRPr="00CB6C95">
        <w:rPr>
          <w:b/>
          <w:sz w:val="22"/>
          <w:szCs w:val="22"/>
          <w:lang w:eastAsia="ko-KR"/>
        </w:rPr>
        <w:t>Kurt Schaefer</w:t>
      </w:r>
    </w:p>
    <w:p w14:paraId="622260D4" w14:textId="77777777" w:rsidR="00167860" w:rsidRPr="00CB6C95" w:rsidRDefault="00167860" w:rsidP="00167860">
      <w:pPr>
        <w:adjustRightInd w:val="0"/>
        <w:snapToGrid w:val="0"/>
        <w:rPr>
          <w:sz w:val="22"/>
          <w:szCs w:val="22"/>
          <w:lang w:eastAsia="ko-KR"/>
        </w:rPr>
      </w:pPr>
      <w:r w:rsidRPr="00CB6C95">
        <w:rPr>
          <w:sz w:val="22"/>
          <w:szCs w:val="22"/>
          <w:lang w:eastAsia="ko-KR"/>
        </w:rPr>
        <w:t>Senior Scientist</w:t>
      </w:r>
    </w:p>
    <w:p w14:paraId="5BE985F9" w14:textId="77777777" w:rsidR="00167860" w:rsidRPr="00CB6C95" w:rsidRDefault="00167860" w:rsidP="00167860">
      <w:pPr>
        <w:adjustRightInd w:val="0"/>
        <w:snapToGrid w:val="0"/>
        <w:rPr>
          <w:sz w:val="22"/>
          <w:szCs w:val="22"/>
          <w:lang w:eastAsia="ko-KR"/>
        </w:rPr>
      </w:pPr>
      <w:r w:rsidRPr="00CB6C95">
        <w:rPr>
          <w:sz w:val="22"/>
          <w:szCs w:val="22"/>
          <w:lang w:eastAsia="ko-KR"/>
        </w:rPr>
        <w:t>Inter-American Tropical Tuna Commission</w:t>
      </w:r>
    </w:p>
    <w:p w14:paraId="28C57CF2" w14:textId="77777777" w:rsidR="00167860" w:rsidRPr="00CB6C95" w:rsidRDefault="00167860" w:rsidP="00167860">
      <w:pPr>
        <w:adjustRightInd w:val="0"/>
        <w:snapToGrid w:val="0"/>
        <w:rPr>
          <w:sz w:val="22"/>
          <w:szCs w:val="22"/>
          <w:lang w:eastAsia="ko-KR"/>
        </w:rPr>
      </w:pPr>
      <w:r w:rsidRPr="00CB6C95">
        <w:rPr>
          <w:sz w:val="22"/>
          <w:szCs w:val="22"/>
          <w:lang w:eastAsia="ko-KR"/>
        </w:rPr>
        <w:t>8901 La Jolla Shores Drive</w:t>
      </w:r>
      <w:r w:rsidRPr="00CB6C95">
        <w:rPr>
          <w:sz w:val="22"/>
          <w:szCs w:val="22"/>
          <w:lang w:eastAsia="ko-KR"/>
        </w:rPr>
        <w:br/>
        <w:t>La Jolla, CA 92037</w:t>
      </w:r>
      <w:r w:rsidRPr="00CB6C95">
        <w:rPr>
          <w:sz w:val="22"/>
          <w:szCs w:val="22"/>
          <w:lang w:eastAsia="ko-KR"/>
        </w:rPr>
        <w:br/>
        <w:t>USA</w:t>
      </w:r>
    </w:p>
    <w:p w14:paraId="3B572170" w14:textId="77777777" w:rsidR="00167860" w:rsidRPr="00CB6C95" w:rsidRDefault="00167860" w:rsidP="00167860">
      <w:pPr>
        <w:adjustRightInd w:val="0"/>
        <w:snapToGrid w:val="0"/>
        <w:rPr>
          <w:sz w:val="22"/>
          <w:szCs w:val="22"/>
          <w:lang w:eastAsia="ko-KR"/>
        </w:rPr>
      </w:pPr>
      <w:r w:rsidRPr="00CB6C95">
        <w:rPr>
          <w:sz w:val="22"/>
          <w:szCs w:val="22"/>
          <w:lang w:eastAsia="ko-KR"/>
        </w:rPr>
        <w:t>858 546 7159</w:t>
      </w:r>
    </w:p>
    <w:p w14:paraId="18AA9125" w14:textId="77777777" w:rsidR="00167860" w:rsidRPr="00CB6C95" w:rsidRDefault="00167860" w:rsidP="00167860">
      <w:pPr>
        <w:adjustRightInd w:val="0"/>
        <w:snapToGrid w:val="0"/>
        <w:rPr>
          <w:sz w:val="22"/>
          <w:szCs w:val="22"/>
          <w:lang w:eastAsia="ko-KR"/>
        </w:rPr>
      </w:pPr>
      <w:r w:rsidRPr="00CB6C95">
        <w:rPr>
          <w:sz w:val="22"/>
          <w:szCs w:val="22"/>
          <w:lang w:eastAsia="ko-KR"/>
        </w:rPr>
        <w:t>kschaefer@iattc.org</w:t>
      </w:r>
    </w:p>
    <w:p w14:paraId="628EE88B" w14:textId="77777777" w:rsidR="00167860" w:rsidRPr="00CB6C95" w:rsidRDefault="00167860" w:rsidP="00167860">
      <w:pPr>
        <w:adjustRightInd w:val="0"/>
        <w:snapToGrid w:val="0"/>
        <w:rPr>
          <w:sz w:val="22"/>
          <w:szCs w:val="22"/>
          <w:lang w:eastAsia="ko-KR"/>
        </w:rPr>
      </w:pPr>
    </w:p>
    <w:p w14:paraId="1F7C0DDD"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International Seafood Sustainability Foundation (ISSF)</w:t>
      </w:r>
    </w:p>
    <w:p w14:paraId="752CAA4E" w14:textId="77777777" w:rsidR="00167860" w:rsidRPr="00CB6C95" w:rsidRDefault="00167860" w:rsidP="00167860">
      <w:pPr>
        <w:adjustRightInd w:val="0"/>
        <w:snapToGrid w:val="0"/>
        <w:rPr>
          <w:b/>
          <w:sz w:val="22"/>
          <w:szCs w:val="22"/>
          <w:lang w:eastAsia="ko-KR"/>
        </w:rPr>
      </w:pPr>
    </w:p>
    <w:p w14:paraId="4D8E5611" w14:textId="77777777" w:rsidR="00167860" w:rsidRPr="00CB6C95" w:rsidRDefault="00167860" w:rsidP="00167860">
      <w:pPr>
        <w:adjustRightInd w:val="0"/>
        <w:snapToGrid w:val="0"/>
        <w:rPr>
          <w:b/>
          <w:sz w:val="22"/>
          <w:szCs w:val="22"/>
          <w:lang w:eastAsia="ko-KR"/>
        </w:rPr>
      </w:pPr>
      <w:r w:rsidRPr="00CB6C95">
        <w:rPr>
          <w:b/>
          <w:sz w:val="22"/>
          <w:szCs w:val="22"/>
          <w:lang w:eastAsia="ko-KR"/>
        </w:rPr>
        <w:t>Ana Justel</w:t>
      </w:r>
    </w:p>
    <w:p w14:paraId="68889B05" w14:textId="77777777" w:rsidR="00167860" w:rsidRPr="00CB6C95" w:rsidRDefault="00167860" w:rsidP="00167860">
      <w:pPr>
        <w:adjustRightInd w:val="0"/>
        <w:snapToGrid w:val="0"/>
        <w:rPr>
          <w:sz w:val="22"/>
          <w:szCs w:val="22"/>
          <w:lang w:eastAsia="ko-KR"/>
        </w:rPr>
      </w:pPr>
      <w:r w:rsidRPr="00CB6C95">
        <w:rPr>
          <w:sz w:val="22"/>
          <w:szCs w:val="22"/>
          <w:lang w:eastAsia="ko-KR"/>
        </w:rPr>
        <w:t>Scientific assistant</w:t>
      </w:r>
    </w:p>
    <w:p w14:paraId="5BB00EA5" w14:textId="77777777" w:rsidR="00167860" w:rsidRPr="00CB6C95" w:rsidRDefault="00167860" w:rsidP="00167860">
      <w:pPr>
        <w:adjustRightInd w:val="0"/>
        <w:snapToGrid w:val="0"/>
        <w:rPr>
          <w:sz w:val="22"/>
          <w:szCs w:val="22"/>
          <w:lang w:eastAsia="ko-KR"/>
        </w:rPr>
      </w:pPr>
      <w:r w:rsidRPr="00CB6C95">
        <w:rPr>
          <w:sz w:val="22"/>
          <w:szCs w:val="22"/>
          <w:lang w:eastAsia="ko-KR"/>
        </w:rPr>
        <w:t>International Seafood Sustainability Foundation (ISSF)</w:t>
      </w:r>
    </w:p>
    <w:p w14:paraId="0C2EA523" w14:textId="77777777" w:rsidR="00167860" w:rsidRPr="00CB6C95" w:rsidRDefault="00167860" w:rsidP="00167860">
      <w:pPr>
        <w:adjustRightInd w:val="0"/>
        <w:snapToGrid w:val="0"/>
        <w:rPr>
          <w:sz w:val="22"/>
          <w:szCs w:val="22"/>
          <w:lang w:eastAsia="ko-KR"/>
        </w:rPr>
      </w:pPr>
      <w:r w:rsidRPr="00CB6C95">
        <w:rPr>
          <w:sz w:val="22"/>
          <w:szCs w:val="22"/>
          <w:lang w:eastAsia="ko-KR"/>
        </w:rPr>
        <w:t>+34 696557530</w:t>
      </w:r>
    </w:p>
    <w:p w14:paraId="7481F758" w14:textId="77777777" w:rsidR="00167860" w:rsidRPr="00CB6C95" w:rsidRDefault="00167860" w:rsidP="00167860">
      <w:pPr>
        <w:adjustRightInd w:val="0"/>
        <w:snapToGrid w:val="0"/>
        <w:rPr>
          <w:sz w:val="22"/>
          <w:szCs w:val="22"/>
          <w:lang w:eastAsia="ko-KR"/>
        </w:rPr>
      </w:pPr>
      <w:r w:rsidRPr="00CB6C95">
        <w:rPr>
          <w:sz w:val="22"/>
          <w:szCs w:val="22"/>
          <w:lang w:eastAsia="ko-KR"/>
        </w:rPr>
        <w:t>ajustel@iss-foundation.org</w:t>
      </w:r>
    </w:p>
    <w:p w14:paraId="38FADDAF" w14:textId="77777777" w:rsidR="00167860" w:rsidRPr="00CB6C95" w:rsidRDefault="00167860" w:rsidP="00167860">
      <w:pPr>
        <w:adjustRightInd w:val="0"/>
        <w:snapToGrid w:val="0"/>
        <w:rPr>
          <w:sz w:val="22"/>
          <w:szCs w:val="22"/>
          <w:lang w:eastAsia="ko-KR"/>
        </w:rPr>
      </w:pPr>
    </w:p>
    <w:p w14:paraId="0B176003"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Marine Stewardship Council</w:t>
      </w:r>
    </w:p>
    <w:p w14:paraId="1ACB19F9" w14:textId="77777777" w:rsidR="00167860" w:rsidRPr="00CB6C95" w:rsidRDefault="00167860" w:rsidP="00167860">
      <w:pPr>
        <w:adjustRightInd w:val="0"/>
        <w:snapToGrid w:val="0"/>
        <w:rPr>
          <w:b/>
          <w:sz w:val="22"/>
          <w:szCs w:val="22"/>
          <w:lang w:eastAsia="ko-KR"/>
        </w:rPr>
      </w:pPr>
    </w:p>
    <w:p w14:paraId="7CB038D9" w14:textId="77777777" w:rsidR="00167860" w:rsidRPr="00CB6C95" w:rsidRDefault="00167860" w:rsidP="00167860">
      <w:pPr>
        <w:adjustRightInd w:val="0"/>
        <w:snapToGrid w:val="0"/>
        <w:rPr>
          <w:b/>
          <w:sz w:val="22"/>
          <w:szCs w:val="22"/>
          <w:lang w:eastAsia="ko-KR"/>
        </w:rPr>
      </w:pPr>
      <w:r w:rsidRPr="00CB6C95">
        <w:rPr>
          <w:b/>
          <w:sz w:val="22"/>
          <w:szCs w:val="22"/>
          <w:lang w:eastAsia="ko-KR"/>
        </w:rPr>
        <w:t>Adrian Gutteridge</w:t>
      </w:r>
    </w:p>
    <w:p w14:paraId="0F81E368" w14:textId="77777777" w:rsidR="00167860" w:rsidRPr="00CB6C95" w:rsidRDefault="00167860" w:rsidP="00167860">
      <w:pPr>
        <w:adjustRightInd w:val="0"/>
        <w:snapToGrid w:val="0"/>
        <w:rPr>
          <w:sz w:val="22"/>
          <w:szCs w:val="22"/>
          <w:lang w:eastAsia="ko-KR"/>
        </w:rPr>
      </w:pPr>
      <w:r w:rsidRPr="00CB6C95">
        <w:rPr>
          <w:sz w:val="22"/>
          <w:szCs w:val="22"/>
          <w:lang w:eastAsia="ko-KR"/>
        </w:rPr>
        <w:t>Fishery Assessment Manager</w:t>
      </w:r>
    </w:p>
    <w:p w14:paraId="04FDC8F4" w14:textId="77777777" w:rsidR="00167860" w:rsidRPr="00CB6C95" w:rsidRDefault="00167860" w:rsidP="00167860">
      <w:pPr>
        <w:adjustRightInd w:val="0"/>
        <w:snapToGrid w:val="0"/>
        <w:rPr>
          <w:sz w:val="22"/>
          <w:szCs w:val="22"/>
          <w:lang w:eastAsia="ko-KR"/>
        </w:rPr>
      </w:pPr>
      <w:r w:rsidRPr="00CB6C95">
        <w:rPr>
          <w:sz w:val="22"/>
          <w:szCs w:val="22"/>
          <w:lang w:eastAsia="ko-KR"/>
        </w:rPr>
        <w:t>Marine Stewardship Council</w:t>
      </w:r>
    </w:p>
    <w:p w14:paraId="1712E6A6" w14:textId="77777777" w:rsidR="00167860" w:rsidRPr="00CB6C95" w:rsidRDefault="00167860" w:rsidP="00167860">
      <w:pPr>
        <w:adjustRightInd w:val="0"/>
        <w:snapToGrid w:val="0"/>
        <w:rPr>
          <w:sz w:val="22"/>
          <w:szCs w:val="22"/>
          <w:lang w:eastAsia="ko-KR"/>
        </w:rPr>
      </w:pPr>
      <w:r w:rsidRPr="00CB6C95">
        <w:rPr>
          <w:sz w:val="22"/>
          <w:szCs w:val="22"/>
          <w:lang w:eastAsia="ko-KR"/>
        </w:rPr>
        <w:t>61202 Nicholson Parade</w:t>
      </w:r>
      <w:r w:rsidRPr="00CB6C95">
        <w:rPr>
          <w:sz w:val="22"/>
          <w:szCs w:val="22"/>
          <w:lang w:eastAsia="ko-KR"/>
        </w:rPr>
        <w:br/>
        <w:t>Cronulla, NSW, 2230</w:t>
      </w:r>
    </w:p>
    <w:p w14:paraId="4B273603" w14:textId="77777777" w:rsidR="00167860" w:rsidRPr="00CB6C95" w:rsidRDefault="00167860" w:rsidP="00167860">
      <w:pPr>
        <w:adjustRightInd w:val="0"/>
        <w:snapToGrid w:val="0"/>
        <w:rPr>
          <w:sz w:val="22"/>
          <w:szCs w:val="22"/>
          <w:lang w:eastAsia="ko-KR"/>
        </w:rPr>
      </w:pPr>
      <w:r w:rsidRPr="00CB6C95">
        <w:rPr>
          <w:sz w:val="22"/>
          <w:szCs w:val="22"/>
          <w:lang w:eastAsia="ko-KR"/>
        </w:rPr>
        <w:t>61405390660</w:t>
      </w:r>
    </w:p>
    <w:p w14:paraId="3A4FE469" w14:textId="77777777" w:rsidR="00167860" w:rsidRPr="00CB6C95" w:rsidRDefault="00167860" w:rsidP="00167860">
      <w:pPr>
        <w:adjustRightInd w:val="0"/>
        <w:snapToGrid w:val="0"/>
        <w:rPr>
          <w:sz w:val="22"/>
          <w:szCs w:val="22"/>
          <w:lang w:eastAsia="ko-KR"/>
        </w:rPr>
      </w:pPr>
      <w:r w:rsidRPr="00CB6C95">
        <w:rPr>
          <w:sz w:val="22"/>
          <w:szCs w:val="22"/>
          <w:lang w:eastAsia="ko-KR"/>
        </w:rPr>
        <w:t>adrian.gutteridge@msc.org</w:t>
      </w:r>
    </w:p>
    <w:p w14:paraId="25FA6963" w14:textId="77777777" w:rsidR="00167860" w:rsidRPr="00CB6C95" w:rsidRDefault="00167860" w:rsidP="00167860">
      <w:pPr>
        <w:adjustRightInd w:val="0"/>
        <w:snapToGrid w:val="0"/>
        <w:rPr>
          <w:sz w:val="22"/>
          <w:szCs w:val="22"/>
          <w:lang w:eastAsia="ko-KR"/>
        </w:rPr>
      </w:pPr>
    </w:p>
    <w:p w14:paraId="12A9BB42"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Pacific Islands Forum Fisheries Agency (FFA)</w:t>
      </w:r>
    </w:p>
    <w:p w14:paraId="1481809C" w14:textId="77777777" w:rsidR="00167860" w:rsidRPr="00CB6C95" w:rsidRDefault="00167860" w:rsidP="00167860">
      <w:pPr>
        <w:adjustRightInd w:val="0"/>
        <w:snapToGrid w:val="0"/>
        <w:rPr>
          <w:b/>
          <w:sz w:val="22"/>
          <w:szCs w:val="22"/>
          <w:lang w:eastAsia="ko-KR"/>
        </w:rPr>
      </w:pPr>
    </w:p>
    <w:p w14:paraId="472FABE6" w14:textId="77777777" w:rsidR="00167860" w:rsidRPr="00CB6C95" w:rsidRDefault="00167860" w:rsidP="00167860">
      <w:pPr>
        <w:adjustRightInd w:val="0"/>
        <w:snapToGrid w:val="0"/>
        <w:rPr>
          <w:b/>
          <w:sz w:val="22"/>
          <w:szCs w:val="22"/>
          <w:lang w:eastAsia="ko-KR"/>
        </w:rPr>
      </w:pPr>
      <w:r w:rsidRPr="00CB6C95">
        <w:rPr>
          <w:b/>
          <w:sz w:val="22"/>
          <w:szCs w:val="22"/>
          <w:lang w:eastAsia="ko-KR"/>
        </w:rPr>
        <w:t>Viv Fernandes</w:t>
      </w:r>
    </w:p>
    <w:p w14:paraId="0AE27E7C" w14:textId="77777777" w:rsidR="00167860" w:rsidRPr="00CB6C95" w:rsidRDefault="00167860" w:rsidP="00167860">
      <w:pPr>
        <w:adjustRightInd w:val="0"/>
        <w:snapToGrid w:val="0"/>
        <w:rPr>
          <w:sz w:val="22"/>
          <w:szCs w:val="22"/>
          <w:lang w:eastAsia="ko-KR"/>
        </w:rPr>
      </w:pPr>
      <w:r w:rsidRPr="00CB6C95">
        <w:rPr>
          <w:sz w:val="22"/>
          <w:szCs w:val="22"/>
          <w:lang w:eastAsia="ko-KR"/>
        </w:rPr>
        <w:t>Compliance Policy Adviser</w:t>
      </w:r>
    </w:p>
    <w:p w14:paraId="2E1B0C0D" w14:textId="77777777" w:rsidR="00167860" w:rsidRPr="00CB6C95" w:rsidRDefault="00167860" w:rsidP="00167860">
      <w:pPr>
        <w:adjustRightInd w:val="0"/>
        <w:snapToGrid w:val="0"/>
        <w:rPr>
          <w:sz w:val="22"/>
          <w:szCs w:val="22"/>
          <w:lang w:eastAsia="ko-KR"/>
        </w:rPr>
      </w:pPr>
      <w:r w:rsidRPr="00CB6C95">
        <w:rPr>
          <w:sz w:val="22"/>
          <w:szCs w:val="22"/>
          <w:lang w:eastAsia="ko-KR"/>
        </w:rPr>
        <w:t>FFA</w:t>
      </w:r>
    </w:p>
    <w:p w14:paraId="5EAA209E" w14:textId="77777777" w:rsidR="00167860" w:rsidRPr="00CB6C95" w:rsidRDefault="00167860" w:rsidP="00167860">
      <w:pPr>
        <w:adjustRightInd w:val="0"/>
        <w:snapToGrid w:val="0"/>
        <w:rPr>
          <w:sz w:val="22"/>
          <w:szCs w:val="22"/>
          <w:lang w:eastAsia="ko-KR"/>
        </w:rPr>
      </w:pPr>
      <w:r w:rsidRPr="00CB6C95">
        <w:rPr>
          <w:sz w:val="22"/>
          <w:szCs w:val="22"/>
          <w:lang w:eastAsia="ko-KR"/>
        </w:rPr>
        <w:t>Fisheries Development</w:t>
      </w:r>
      <w:r w:rsidRPr="00CB6C95">
        <w:rPr>
          <w:sz w:val="22"/>
          <w:szCs w:val="22"/>
          <w:lang w:eastAsia="ko-KR"/>
        </w:rPr>
        <w:br/>
        <w:t>1 FFA road PO box 629</w:t>
      </w:r>
      <w:r w:rsidRPr="00CB6C95">
        <w:rPr>
          <w:sz w:val="22"/>
          <w:szCs w:val="22"/>
          <w:lang w:eastAsia="ko-KR"/>
        </w:rPr>
        <w:br/>
        <w:t>Honiara, Solomon Islands</w:t>
      </w:r>
    </w:p>
    <w:p w14:paraId="3FB23BB1" w14:textId="77777777" w:rsidR="00167860" w:rsidRPr="00CB6C95" w:rsidRDefault="00167860" w:rsidP="00167860">
      <w:pPr>
        <w:adjustRightInd w:val="0"/>
        <w:snapToGrid w:val="0"/>
        <w:rPr>
          <w:sz w:val="22"/>
          <w:szCs w:val="22"/>
          <w:lang w:eastAsia="ko-KR"/>
        </w:rPr>
      </w:pPr>
      <w:r w:rsidRPr="00CB6C95">
        <w:rPr>
          <w:sz w:val="22"/>
          <w:szCs w:val="22"/>
          <w:lang w:eastAsia="ko-KR"/>
        </w:rPr>
        <w:t>vivian.fernandes@ffa.int</w:t>
      </w:r>
    </w:p>
    <w:p w14:paraId="33A8DD87" w14:textId="77777777" w:rsidR="00167860" w:rsidRPr="00CB6C95" w:rsidRDefault="00167860" w:rsidP="00167860">
      <w:pPr>
        <w:adjustRightInd w:val="0"/>
        <w:snapToGrid w:val="0"/>
        <w:rPr>
          <w:sz w:val="22"/>
          <w:szCs w:val="22"/>
          <w:lang w:eastAsia="ko-KR"/>
        </w:rPr>
      </w:pPr>
    </w:p>
    <w:p w14:paraId="704750EB" w14:textId="77777777" w:rsidR="00167860" w:rsidRPr="00CB6C95" w:rsidRDefault="00167860" w:rsidP="00167860">
      <w:pPr>
        <w:adjustRightInd w:val="0"/>
        <w:snapToGrid w:val="0"/>
        <w:rPr>
          <w:b/>
          <w:sz w:val="22"/>
          <w:szCs w:val="22"/>
          <w:lang w:eastAsia="ko-KR"/>
        </w:rPr>
      </w:pPr>
      <w:r w:rsidRPr="00CB6C95">
        <w:rPr>
          <w:b/>
          <w:sz w:val="22"/>
          <w:szCs w:val="22"/>
          <w:lang w:eastAsia="ko-KR"/>
        </w:rPr>
        <w:t>Matthew Hooper</w:t>
      </w:r>
    </w:p>
    <w:p w14:paraId="7AF82F25" w14:textId="77777777" w:rsidR="00167860" w:rsidRPr="00CB6C95" w:rsidRDefault="00167860" w:rsidP="00167860">
      <w:pPr>
        <w:adjustRightInd w:val="0"/>
        <w:snapToGrid w:val="0"/>
        <w:rPr>
          <w:sz w:val="22"/>
          <w:szCs w:val="22"/>
          <w:lang w:eastAsia="ko-KR"/>
        </w:rPr>
      </w:pPr>
      <w:r w:rsidRPr="00CB6C95">
        <w:rPr>
          <w:sz w:val="22"/>
          <w:szCs w:val="22"/>
          <w:lang w:eastAsia="ko-KR"/>
        </w:rPr>
        <w:t>Deputy Director General</w:t>
      </w:r>
    </w:p>
    <w:p w14:paraId="1E358E50" w14:textId="77777777" w:rsidR="00167860" w:rsidRPr="00CB6C95" w:rsidRDefault="00167860" w:rsidP="00167860">
      <w:pPr>
        <w:adjustRightInd w:val="0"/>
        <w:snapToGrid w:val="0"/>
        <w:rPr>
          <w:sz w:val="22"/>
          <w:szCs w:val="22"/>
          <w:lang w:eastAsia="ko-KR"/>
        </w:rPr>
      </w:pPr>
      <w:r w:rsidRPr="00CB6C95">
        <w:rPr>
          <w:sz w:val="22"/>
          <w:szCs w:val="22"/>
          <w:lang w:eastAsia="ko-KR"/>
        </w:rPr>
        <w:t>FFA</w:t>
      </w:r>
    </w:p>
    <w:p w14:paraId="07A14DE3" w14:textId="77777777" w:rsidR="00167860" w:rsidRPr="00CB6C95" w:rsidRDefault="00167860" w:rsidP="00167860">
      <w:pPr>
        <w:adjustRightInd w:val="0"/>
        <w:snapToGrid w:val="0"/>
        <w:rPr>
          <w:sz w:val="22"/>
          <w:szCs w:val="22"/>
          <w:lang w:eastAsia="ko-KR"/>
        </w:rPr>
      </w:pPr>
      <w:r w:rsidRPr="00CB6C95">
        <w:rPr>
          <w:sz w:val="22"/>
          <w:szCs w:val="22"/>
          <w:lang w:eastAsia="ko-KR"/>
        </w:rPr>
        <w:t>Fisheries Development</w:t>
      </w:r>
      <w:r w:rsidRPr="00CB6C95">
        <w:rPr>
          <w:sz w:val="22"/>
          <w:szCs w:val="22"/>
          <w:lang w:eastAsia="ko-KR"/>
        </w:rPr>
        <w:br/>
        <w:t xml:space="preserve">1 FFA road PO box 629 </w:t>
      </w:r>
      <w:r w:rsidRPr="00CB6C95">
        <w:rPr>
          <w:sz w:val="22"/>
          <w:szCs w:val="22"/>
          <w:lang w:eastAsia="ko-KR"/>
        </w:rPr>
        <w:br/>
        <w:t>Honiara, Solomon Islands</w:t>
      </w:r>
    </w:p>
    <w:p w14:paraId="5235A121" w14:textId="77777777" w:rsidR="00167860" w:rsidRPr="00CB6C95" w:rsidRDefault="00167860" w:rsidP="00167860">
      <w:pPr>
        <w:adjustRightInd w:val="0"/>
        <w:snapToGrid w:val="0"/>
        <w:rPr>
          <w:sz w:val="22"/>
          <w:szCs w:val="22"/>
          <w:lang w:eastAsia="ko-KR"/>
        </w:rPr>
      </w:pPr>
      <w:r w:rsidRPr="00CB6C95">
        <w:rPr>
          <w:sz w:val="22"/>
          <w:szCs w:val="22"/>
          <w:lang w:eastAsia="ko-KR"/>
        </w:rPr>
        <w:t>matt.hooper@ffa.int</w:t>
      </w:r>
    </w:p>
    <w:p w14:paraId="6E735A82" w14:textId="77777777" w:rsidR="00167860" w:rsidRPr="00CB6C95" w:rsidRDefault="00167860" w:rsidP="00167860">
      <w:pPr>
        <w:adjustRightInd w:val="0"/>
        <w:snapToGrid w:val="0"/>
        <w:rPr>
          <w:sz w:val="22"/>
          <w:szCs w:val="22"/>
          <w:lang w:eastAsia="ko-KR"/>
        </w:rPr>
      </w:pPr>
    </w:p>
    <w:p w14:paraId="5A64202A" w14:textId="77777777" w:rsidR="00167860" w:rsidRPr="00CB6C95" w:rsidRDefault="00167860" w:rsidP="00167860">
      <w:pPr>
        <w:adjustRightInd w:val="0"/>
        <w:snapToGrid w:val="0"/>
        <w:rPr>
          <w:b/>
          <w:sz w:val="22"/>
          <w:szCs w:val="22"/>
          <w:lang w:eastAsia="ko-KR"/>
        </w:rPr>
      </w:pPr>
      <w:r w:rsidRPr="00CB6C95">
        <w:rPr>
          <w:b/>
          <w:sz w:val="22"/>
          <w:szCs w:val="22"/>
          <w:lang w:eastAsia="ko-KR"/>
        </w:rPr>
        <w:t>Manu Tupou-Roosen</w:t>
      </w:r>
    </w:p>
    <w:p w14:paraId="4E32DDAC" w14:textId="77777777" w:rsidR="00167860" w:rsidRPr="00CB6C95" w:rsidRDefault="00167860" w:rsidP="00167860">
      <w:pPr>
        <w:adjustRightInd w:val="0"/>
        <w:snapToGrid w:val="0"/>
        <w:rPr>
          <w:sz w:val="22"/>
          <w:szCs w:val="22"/>
          <w:lang w:eastAsia="ko-KR"/>
        </w:rPr>
      </w:pPr>
      <w:r w:rsidRPr="00CB6C95">
        <w:rPr>
          <w:sz w:val="22"/>
          <w:szCs w:val="22"/>
          <w:lang w:eastAsia="ko-KR"/>
        </w:rPr>
        <w:t>Legal Counsel</w:t>
      </w:r>
    </w:p>
    <w:p w14:paraId="106EF757" w14:textId="77777777" w:rsidR="00167860" w:rsidRPr="00CB6C95" w:rsidRDefault="00167860" w:rsidP="00167860">
      <w:pPr>
        <w:adjustRightInd w:val="0"/>
        <w:snapToGrid w:val="0"/>
        <w:rPr>
          <w:sz w:val="22"/>
          <w:szCs w:val="22"/>
          <w:lang w:eastAsia="ko-KR"/>
        </w:rPr>
      </w:pPr>
      <w:r w:rsidRPr="00CB6C95">
        <w:rPr>
          <w:sz w:val="22"/>
          <w:szCs w:val="22"/>
          <w:lang w:eastAsia="ko-KR"/>
        </w:rPr>
        <w:t>FFA</w:t>
      </w:r>
    </w:p>
    <w:p w14:paraId="0C136EA5"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1 FFA Road, Honiara, Solomon Islands </w:t>
      </w:r>
    </w:p>
    <w:p w14:paraId="60885F98" w14:textId="77777777" w:rsidR="00167860" w:rsidRPr="00CB6C95" w:rsidRDefault="00167860" w:rsidP="00167860">
      <w:pPr>
        <w:adjustRightInd w:val="0"/>
        <w:snapToGrid w:val="0"/>
        <w:rPr>
          <w:sz w:val="22"/>
          <w:szCs w:val="22"/>
          <w:lang w:eastAsia="ko-KR"/>
        </w:rPr>
      </w:pPr>
      <w:r w:rsidRPr="00CB6C95">
        <w:rPr>
          <w:sz w:val="22"/>
          <w:szCs w:val="22"/>
          <w:lang w:eastAsia="ko-KR"/>
        </w:rPr>
        <w:t>+677 21124</w:t>
      </w:r>
    </w:p>
    <w:p w14:paraId="6AC83823" w14:textId="77777777" w:rsidR="00167860" w:rsidRPr="00CB6C95" w:rsidRDefault="00167860" w:rsidP="00167860">
      <w:pPr>
        <w:adjustRightInd w:val="0"/>
        <w:snapToGrid w:val="0"/>
        <w:rPr>
          <w:sz w:val="22"/>
          <w:szCs w:val="22"/>
          <w:lang w:eastAsia="ko-KR"/>
        </w:rPr>
      </w:pPr>
      <w:r w:rsidRPr="00CB6C95">
        <w:rPr>
          <w:sz w:val="22"/>
          <w:szCs w:val="22"/>
          <w:lang w:eastAsia="ko-KR"/>
        </w:rPr>
        <w:t>manu.tupou-roosen@ffa.int</w:t>
      </w:r>
    </w:p>
    <w:p w14:paraId="1E1E8277" w14:textId="77777777" w:rsidR="00167860" w:rsidRPr="00CB6C95" w:rsidRDefault="00167860" w:rsidP="00167860">
      <w:pPr>
        <w:adjustRightInd w:val="0"/>
        <w:snapToGrid w:val="0"/>
        <w:rPr>
          <w:sz w:val="22"/>
          <w:szCs w:val="22"/>
          <w:lang w:eastAsia="ko-KR"/>
        </w:rPr>
      </w:pPr>
    </w:p>
    <w:p w14:paraId="137FCA80" w14:textId="77777777" w:rsidR="00167860" w:rsidRPr="00CB6C95" w:rsidRDefault="00167860" w:rsidP="00167860">
      <w:pPr>
        <w:adjustRightInd w:val="0"/>
        <w:snapToGrid w:val="0"/>
        <w:rPr>
          <w:b/>
          <w:sz w:val="22"/>
          <w:szCs w:val="22"/>
          <w:lang w:eastAsia="ko-KR"/>
        </w:rPr>
      </w:pPr>
      <w:r w:rsidRPr="00CB6C95">
        <w:rPr>
          <w:b/>
          <w:sz w:val="22"/>
          <w:szCs w:val="22"/>
          <w:lang w:eastAsia="ko-KR"/>
        </w:rPr>
        <w:t>Samasoni Sauni</w:t>
      </w:r>
    </w:p>
    <w:p w14:paraId="28885DFA" w14:textId="77777777" w:rsidR="00167860" w:rsidRPr="00CB6C95" w:rsidRDefault="00167860" w:rsidP="00167860">
      <w:pPr>
        <w:adjustRightInd w:val="0"/>
        <w:snapToGrid w:val="0"/>
        <w:rPr>
          <w:sz w:val="22"/>
          <w:szCs w:val="22"/>
          <w:lang w:eastAsia="ko-KR"/>
        </w:rPr>
      </w:pPr>
      <w:r w:rsidRPr="00CB6C95">
        <w:rPr>
          <w:sz w:val="22"/>
          <w:szCs w:val="22"/>
          <w:lang w:eastAsia="ko-KR"/>
        </w:rPr>
        <w:t>Fisheries Management Advisor</w:t>
      </w:r>
    </w:p>
    <w:p w14:paraId="128A129F" w14:textId="77777777" w:rsidR="00167860" w:rsidRPr="00CB6C95" w:rsidRDefault="00167860" w:rsidP="00167860">
      <w:pPr>
        <w:adjustRightInd w:val="0"/>
        <w:snapToGrid w:val="0"/>
        <w:rPr>
          <w:sz w:val="22"/>
          <w:szCs w:val="22"/>
          <w:lang w:eastAsia="ko-KR"/>
        </w:rPr>
      </w:pPr>
      <w:r w:rsidRPr="00CB6C95">
        <w:rPr>
          <w:sz w:val="22"/>
          <w:szCs w:val="22"/>
          <w:lang w:eastAsia="ko-KR"/>
        </w:rPr>
        <w:t>Pacific Islands Forum Fisheries Agency</w:t>
      </w:r>
    </w:p>
    <w:p w14:paraId="55F90639" w14:textId="77777777" w:rsidR="00167860" w:rsidRPr="00CB6C95" w:rsidRDefault="00167860" w:rsidP="00167860">
      <w:pPr>
        <w:adjustRightInd w:val="0"/>
        <w:snapToGrid w:val="0"/>
        <w:rPr>
          <w:sz w:val="22"/>
          <w:szCs w:val="22"/>
          <w:lang w:eastAsia="ko-KR"/>
        </w:rPr>
      </w:pPr>
      <w:r w:rsidRPr="00CB6C95">
        <w:rPr>
          <w:sz w:val="22"/>
          <w:szCs w:val="22"/>
          <w:lang w:eastAsia="ko-KR"/>
        </w:rPr>
        <w:t>1 FFA Road</w:t>
      </w:r>
      <w:r w:rsidRPr="00CB6C95">
        <w:rPr>
          <w:sz w:val="22"/>
          <w:szCs w:val="22"/>
          <w:lang w:eastAsia="ko-KR"/>
        </w:rPr>
        <w:br/>
        <w:t>PO Box 629, Honiara, Solomon Islands</w:t>
      </w:r>
    </w:p>
    <w:p w14:paraId="4D7095D8" w14:textId="77777777" w:rsidR="00167860" w:rsidRPr="00CB6C95" w:rsidRDefault="00167860" w:rsidP="00167860">
      <w:pPr>
        <w:adjustRightInd w:val="0"/>
        <w:snapToGrid w:val="0"/>
        <w:rPr>
          <w:sz w:val="22"/>
          <w:szCs w:val="22"/>
          <w:lang w:eastAsia="ko-KR"/>
        </w:rPr>
      </w:pPr>
      <w:r w:rsidRPr="00CB6C95">
        <w:rPr>
          <w:sz w:val="22"/>
          <w:szCs w:val="22"/>
          <w:lang w:eastAsia="ko-KR"/>
        </w:rPr>
        <w:t>21124</w:t>
      </w:r>
    </w:p>
    <w:p w14:paraId="733150D7" w14:textId="77777777" w:rsidR="00167860" w:rsidRPr="00CB6C95" w:rsidRDefault="00167860" w:rsidP="00167860">
      <w:pPr>
        <w:adjustRightInd w:val="0"/>
        <w:snapToGrid w:val="0"/>
        <w:rPr>
          <w:sz w:val="22"/>
          <w:szCs w:val="22"/>
          <w:lang w:eastAsia="ko-KR"/>
        </w:rPr>
      </w:pPr>
      <w:r w:rsidRPr="00CB6C95">
        <w:rPr>
          <w:sz w:val="22"/>
          <w:szCs w:val="22"/>
          <w:lang w:eastAsia="ko-KR"/>
        </w:rPr>
        <w:t>samasoni.sauni@ffa.int</w:t>
      </w:r>
    </w:p>
    <w:p w14:paraId="45F72BFC" w14:textId="77777777" w:rsidR="00167860" w:rsidRPr="00CB6C95" w:rsidRDefault="00167860" w:rsidP="00167860">
      <w:pPr>
        <w:adjustRightInd w:val="0"/>
        <w:snapToGrid w:val="0"/>
        <w:rPr>
          <w:sz w:val="22"/>
          <w:szCs w:val="22"/>
          <w:lang w:eastAsia="ko-KR"/>
        </w:rPr>
      </w:pPr>
    </w:p>
    <w:p w14:paraId="365F4155" w14:textId="77777777" w:rsidR="00167860" w:rsidRPr="00CB6C95" w:rsidRDefault="00167860" w:rsidP="00167860">
      <w:pPr>
        <w:adjustRightInd w:val="0"/>
        <w:snapToGrid w:val="0"/>
        <w:rPr>
          <w:b/>
          <w:sz w:val="22"/>
          <w:szCs w:val="22"/>
          <w:lang w:eastAsia="ko-KR"/>
        </w:rPr>
      </w:pPr>
      <w:r w:rsidRPr="00CB6C95">
        <w:rPr>
          <w:b/>
          <w:sz w:val="22"/>
          <w:szCs w:val="22"/>
          <w:lang w:eastAsia="ko-KR"/>
        </w:rPr>
        <w:t>Maggie Skirtun</w:t>
      </w:r>
    </w:p>
    <w:p w14:paraId="7F5A2B19" w14:textId="77777777" w:rsidR="00167860" w:rsidRPr="00CB6C95" w:rsidRDefault="00167860" w:rsidP="00167860">
      <w:pPr>
        <w:adjustRightInd w:val="0"/>
        <w:snapToGrid w:val="0"/>
        <w:rPr>
          <w:sz w:val="22"/>
          <w:szCs w:val="22"/>
          <w:lang w:eastAsia="ko-KR"/>
        </w:rPr>
      </w:pPr>
      <w:r w:rsidRPr="00CB6C95">
        <w:rPr>
          <w:sz w:val="22"/>
          <w:szCs w:val="22"/>
          <w:lang w:eastAsia="ko-KR"/>
        </w:rPr>
        <w:t>Fisheries Economist</w:t>
      </w:r>
    </w:p>
    <w:p w14:paraId="41345A63" w14:textId="77777777" w:rsidR="00167860" w:rsidRPr="00CB6C95" w:rsidRDefault="00167860" w:rsidP="00167860">
      <w:pPr>
        <w:adjustRightInd w:val="0"/>
        <w:snapToGrid w:val="0"/>
        <w:rPr>
          <w:sz w:val="22"/>
          <w:szCs w:val="22"/>
          <w:lang w:eastAsia="ko-KR"/>
        </w:rPr>
      </w:pPr>
      <w:r w:rsidRPr="00CB6C95">
        <w:rPr>
          <w:sz w:val="22"/>
          <w:szCs w:val="22"/>
          <w:lang w:eastAsia="ko-KR"/>
        </w:rPr>
        <w:t>Forum Fisheries Agency</w:t>
      </w:r>
    </w:p>
    <w:p w14:paraId="107C6EFF" w14:textId="77777777" w:rsidR="00167860" w:rsidRPr="00CB6C95" w:rsidRDefault="00167860" w:rsidP="00167860">
      <w:pPr>
        <w:adjustRightInd w:val="0"/>
        <w:snapToGrid w:val="0"/>
        <w:rPr>
          <w:sz w:val="22"/>
          <w:szCs w:val="22"/>
          <w:lang w:eastAsia="ko-KR"/>
        </w:rPr>
      </w:pPr>
      <w:r w:rsidRPr="00CB6C95">
        <w:rPr>
          <w:sz w:val="22"/>
          <w:szCs w:val="22"/>
          <w:lang w:eastAsia="ko-KR"/>
        </w:rPr>
        <w:t>Honiara, Solomon Islands</w:t>
      </w:r>
      <w:r w:rsidRPr="00CB6C95">
        <w:rPr>
          <w:sz w:val="22"/>
          <w:szCs w:val="22"/>
          <w:lang w:eastAsia="ko-KR"/>
        </w:rPr>
        <w:br/>
        <w:t>Fisheries Development</w:t>
      </w:r>
      <w:r w:rsidRPr="00CB6C95">
        <w:rPr>
          <w:sz w:val="22"/>
          <w:szCs w:val="22"/>
          <w:lang w:eastAsia="ko-KR"/>
        </w:rPr>
        <w:br/>
        <w:t>1 FFA road  PO box 629 Honiara</w:t>
      </w:r>
      <w:r w:rsidRPr="00CB6C95">
        <w:rPr>
          <w:sz w:val="22"/>
          <w:szCs w:val="22"/>
          <w:lang w:eastAsia="ko-KR"/>
        </w:rPr>
        <w:br/>
        <w:t>Solomon Islands</w:t>
      </w:r>
    </w:p>
    <w:p w14:paraId="10BAD6C0" w14:textId="77777777" w:rsidR="00167860" w:rsidRPr="00CB6C95" w:rsidRDefault="00167860" w:rsidP="00167860">
      <w:pPr>
        <w:adjustRightInd w:val="0"/>
        <w:snapToGrid w:val="0"/>
        <w:rPr>
          <w:sz w:val="22"/>
          <w:szCs w:val="22"/>
          <w:lang w:eastAsia="ko-KR"/>
        </w:rPr>
      </w:pPr>
      <w:r w:rsidRPr="00CB6C95">
        <w:rPr>
          <w:sz w:val="22"/>
          <w:szCs w:val="22"/>
          <w:lang w:eastAsia="ko-KR"/>
        </w:rPr>
        <w:t>maggie.skirtun@ffa.int</w:t>
      </w:r>
    </w:p>
    <w:p w14:paraId="6ACD3A5F" w14:textId="77777777" w:rsidR="00167860" w:rsidRPr="00CB6C95" w:rsidRDefault="00167860" w:rsidP="00167860">
      <w:pPr>
        <w:adjustRightInd w:val="0"/>
        <w:snapToGrid w:val="0"/>
        <w:rPr>
          <w:sz w:val="22"/>
          <w:szCs w:val="22"/>
          <w:lang w:eastAsia="ko-KR"/>
        </w:rPr>
      </w:pPr>
    </w:p>
    <w:p w14:paraId="5E45384F" w14:textId="77777777" w:rsidR="00167860" w:rsidRPr="00CB6C95" w:rsidRDefault="00167860" w:rsidP="00167860">
      <w:pPr>
        <w:adjustRightInd w:val="0"/>
        <w:snapToGrid w:val="0"/>
        <w:rPr>
          <w:b/>
          <w:sz w:val="22"/>
          <w:szCs w:val="22"/>
          <w:lang w:eastAsia="ko-KR"/>
        </w:rPr>
      </w:pPr>
      <w:r w:rsidRPr="00CB6C95">
        <w:rPr>
          <w:b/>
          <w:sz w:val="22"/>
          <w:szCs w:val="22"/>
          <w:lang w:eastAsia="ko-KR"/>
        </w:rPr>
        <w:t>Brian Kumasi</w:t>
      </w:r>
    </w:p>
    <w:p w14:paraId="208E1AD3" w14:textId="77777777" w:rsidR="00167860" w:rsidRPr="00CB6C95" w:rsidRDefault="00167860" w:rsidP="00167860">
      <w:pPr>
        <w:adjustRightInd w:val="0"/>
        <w:snapToGrid w:val="0"/>
        <w:rPr>
          <w:sz w:val="22"/>
          <w:szCs w:val="22"/>
          <w:lang w:eastAsia="ko-KR"/>
        </w:rPr>
      </w:pPr>
      <w:r w:rsidRPr="00CB6C95">
        <w:rPr>
          <w:sz w:val="22"/>
          <w:szCs w:val="22"/>
          <w:lang w:eastAsia="ko-KR"/>
        </w:rPr>
        <w:t>Fisheries Management Adviser</w:t>
      </w:r>
    </w:p>
    <w:p w14:paraId="06A7C841" w14:textId="77777777" w:rsidR="00167860" w:rsidRPr="00CB6C95" w:rsidRDefault="00167860" w:rsidP="00167860">
      <w:pPr>
        <w:adjustRightInd w:val="0"/>
        <w:snapToGrid w:val="0"/>
        <w:rPr>
          <w:sz w:val="22"/>
          <w:szCs w:val="22"/>
          <w:lang w:eastAsia="ko-KR"/>
        </w:rPr>
      </w:pPr>
      <w:r w:rsidRPr="00CB6C95">
        <w:rPr>
          <w:sz w:val="22"/>
          <w:szCs w:val="22"/>
          <w:lang w:eastAsia="ko-KR"/>
        </w:rPr>
        <w:t>Pacific Islands Forum Fisheries Agency</w:t>
      </w:r>
    </w:p>
    <w:p w14:paraId="6DBA108B" w14:textId="77777777" w:rsidR="00167860" w:rsidRPr="00CB6C95" w:rsidRDefault="00167860" w:rsidP="00167860">
      <w:pPr>
        <w:adjustRightInd w:val="0"/>
        <w:snapToGrid w:val="0"/>
        <w:rPr>
          <w:sz w:val="22"/>
          <w:szCs w:val="22"/>
          <w:lang w:eastAsia="ko-KR"/>
        </w:rPr>
      </w:pPr>
      <w:r w:rsidRPr="00CB6C95">
        <w:rPr>
          <w:sz w:val="22"/>
          <w:szCs w:val="22"/>
          <w:lang w:eastAsia="ko-KR"/>
        </w:rPr>
        <w:t>PO Box 629,</w:t>
      </w:r>
      <w:r w:rsidRPr="00CB6C95">
        <w:rPr>
          <w:sz w:val="22"/>
          <w:szCs w:val="22"/>
          <w:lang w:eastAsia="ko-KR"/>
        </w:rPr>
        <w:br/>
        <w:t xml:space="preserve">1 FFA Road, Kolale, </w:t>
      </w:r>
      <w:r w:rsidRPr="00CB6C95">
        <w:rPr>
          <w:sz w:val="22"/>
          <w:szCs w:val="22"/>
          <w:lang w:eastAsia="ko-KR"/>
        </w:rPr>
        <w:br/>
        <w:t>Honiara,  Solomon Islands</w:t>
      </w:r>
    </w:p>
    <w:p w14:paraId="1619A7C6" w14:textId="77777777" w:rsidR="00167860" w:rsidRPr="00CB6C95" w:rsidRDefault="00167860" w:rsidP="00167860">
      <w:pPr>
        <w:adjustRightInd w:val="0"/>
        <w:snapToGrid w:val="0"/>
        <w:rPr>
          <w:sz w:val="22"/>
          <w:szCs w:val="22"/>
          <w:lang w:eastAsia="ko-KR"/>
        </w:rPr>
      </w:pPr>
      <w:r w:rsidRPr="00CB6C95">
        <w:rPr>
          <w:sz w:val="22"/>
          <w:szCs w:val="22"/>
          <w:lang w:eastAsia="ko-KR"/>
        </w:rPr>
        <w:t>brian.kumasi@ffa.int</w:t>
      </w:r>
    </w:p>
    <w:p w14:paraId="71461365" w14:textId="77777777" w:rsidR="00167860" w:rsidRPr="00CB6C95" w:rsidRDefault="00167860" w:rsidP="00167860">
      <w:pPr>
        <w:adjustRightInd w:val="0"/>
        <w:snapToGrid w:val="0"/>
        <w:rPr>
          <w:sz w:val="22"/>
          <w:szCs w:val="22"/>
          <w:lang w:eastAsia="ko-KR"/>
        </w:rPr>
      </w:pPr>
    </w:p>
    <w:p w14:paraId="2862F9F0" w14:textId="77777777" w:rsidR="00167860" w:rsidRPr="00CB6C95" w:rsidRDefault="00167860" w:rsidP="00167860">
      <w:pPr>
        <w:adjustRightInd w:val="0"/>
        <w:snapToGrid w:val="0"/>
        <w:rPr>
          <w:b/>
          <w:sz w:val="22"/>
          <w:szCs w:val="22"/>
          <w:lang w:eastAsia="ko-KR"/>
        </w:rPr>
      </w:pPr>
      <w:r w:rsidRPr="00CB6C95">
        <w:rPr>
          <w:b/>
          <w:sz w:val="22"/>
          <w:szCs w:val="22"/>
          <w:lang w:eastAsia="ko-KR"/>
        </w:rPr>
        <w:t>David Power</w:t>
      </w:r>
    </w:p>
    <w:p w14:paraId="781B238E" w14:textId="77777777" w:rsidR="00167860" w:rsidRPr="00CB6C95" w:rsidRDefault="00167860" w:rsidP="00167860">
      <w:pPr>
        <w:adjustRightInd w:val="0"/>
        <w:snapToGrid w:val="0"/>
        <w:rPr>
          <w:sz w:val="22"/>
          <w:szCs w:val="22"/>
          <w:lang w:eastAsia="ko-KR"/>
        </w:rPr>
      </w:pPr>
      <w:r w:rsidRPr="00CB6C95">
        <w:rPr>
          <w:sz w:val="22"/>
          <w:szCs w:val="22"/>
          <w:lang w:eastAsia="ko-KR"/>
        </w:rPr>
        <w:t>Management Adviser</w:t>
      </w:r>
    </w:p>
    <w:p w14:paraId="443007B4" w14:textId="77777777" w:rsidR="00167860" w:rsidRPr="00CB6C95" w:rsidRDefault="00167860" w:rsidP="00167860">
      <w:pPr>
        <w:adjustRightInd w:val="0"/>
        <w:snapToGrid w:val="0"/>
        <w:rPr>
          <w:sz w:val="22"/>
          <w:szCs w:val="22"/>
          <w:lang w:eastAsia="ko-KR"/>
        </w:rPr>
      </w:pPr>
      <w:r w:rsidRPr="00CB6C95">
        <w:rPr>
          <w:sz w:val="22"/>
          <w:szCs w:val="22"/>
          <w:lang w:eastAsia="ko-KR"/>
        </w:rPr>
        <w:t>Forum Fisheries Agency (FFA)</w:t>
      </w:r>
    </w:p>
    <w:p w14:paraId="01A46DD2" w14:textId="77777777" w:rsidR="00167860" w:rsidRPr="00CB6C95" w:rsidRDefault="00167860" w:rsidP="00167860">
      <w:pPr>
        <w:adjustRightInd w:val="0"/>
        <w:snapToGrid w:val="0"/>
        <w:rPr>
          <w:sz w:val="22"/>
          <w:szCs w:val="22"/>
          <w:lang w:eastAsia="ko-KR"/>
        </w:rPr>
      </w:pPr>
      <w:r w:rsidRPr="00CB6C95">
        <w:rPr>
          <w:sz w:val="22"/>
          <w:szCs w:val="22"/>
          <w:lang w:eastAsia="ko-KR"/>
        </w:rPr>
        <w:t>1 FFA Road</w:t>
      </w:r>
      <w:r w:rsidRPr="00CB6C95">
        <w:rPr>
          <w:sz w:val="22"/>
          <w:szCs w:val="22"/>
          <w:lang w:eastAsia="ko-KR"/>
        </w:rPr>
        <w:br/>
        <w:t>Honiara. Solomon Islands</w:t>
      </w:r>
    </w:p>
    <w:p w14:paraId="1C15B435" w14:textId="77777777" w:rsidR="00167860" w:rsidRPr="00CB6C95" w:rsidRDefault="00167860" w:rsidP="00167860">
      <w:pPr>
        <w:adjustRightInd w:val="0"/>
        <w:snapToGrid w:val="0"/>
        <w:rPr>
          <w:sz w:val="22"/>
          <w:szCs w:val="22"/>
          <w:lang w:eastAsia="ko-KR"/>
        </w:rPr>
      </w:pPr>
      <w:r w:rsidRPr="00CB6C95">
        <w:rPr>
          <w:sz w:val="22"/>
          <w:szCs w:val="22"/>
          <w:lang w:eastAsia="ko-KR"/>
        </w:rPr>
        <w:t>david.power@ffa.int</w:t>
      </w:r>
    </w:p>
    <w:p w14:paraId="07AF2176" w14:textId="77777777" w:rsidR="00167860" w:rsidRPr="00CB6C95" w:rsidRDefault="00167860" w:rsidP="00167860">
      <w:pPr>
        <w:adjustRightInd w:val="0"/>
        <w:snapToGrid w:val="0"/>
        <w:rPr>
          <w:sz w:val="22"/>
          <w:szCs w:val="22"/>
          <w:lang w:eastAsia="ko-KR"/>
        </w:rPr>
      </w:pPr>
    </w:p>
    <w:p w14:paraId="64A3606D" w14:textId="77777777" w:rsidR="00167860" w:rsidRPr="00CB6C95" w:rsidRDefault="00167860" w:rsidP="00167860">
      <w:pPr>
        <w:adjustRightInd w:val="0"/>
        <w:snapToGrid w:val="0"/>
        <w:rPr>
          <w:b/>
          <w:sz w:val="22"/>
          <w:szCs w:val="22"/>
          <w:lang w:eastAsia="ko-KR"/>
        </w:rPr>
      </w:pPr>
      <w:r w:rsidRPr="00CB6C95">
        <w:rPr>
          <w:b/>
          <w:sz w:val="22"/>
          <w:szCs w:val="22"/>
          <w:lang w:eastAsia="ko-KR"/>
        </w:rPr>
        <w:t>Christopher Reid</w:t>
      </w:r>
    </w:p>
    <w:p w14:paraId="6AB732C3" w14:textId="77777777" w:rsidR="00167860" w:rsidRPr="00CB6C95" w:rsidRDefault="00167860" w:rsidP="00167860">
      <w:pPr>
        <w:adjustRightInd w:val="0"/>
        <w:snapToGrid w:val="0"/>
        <w:rPr>
          <w:sz w:val="22"/>
          <w:szCs w:val="22"/>
          <w:lang w:eastAsia="ko-KR"/>
        </w:rPr>
      </w:pPr>
      <w:r w:rsidRPr="00CB6C95">
        <w:rPr>
          <w:sz w:val="22"/>
          <w:szCs w:val="22"/>
          <w:lang w:eastAsia="ko-KR"/>
        </w:rPr>
        <w:t>Chief Economist</w:t>
      </w:r>
    </w:p>
    <w:p w14:paraId="1123606C" w14:textId="77777777" w:rsidR="00167860" w:rsidRPr="00CB6C95" w:rsidRDefault="00167860" w:rsidP="00167860">
      <w:pPr>
        <w:adjustRightInd w:val="0"/>
        <w:snapToGrid w:val="0"/>
        <w:rPr>
          <w:sz w:val="22"/>
          <w:szCs w:val="22"/>
          <w:lang w:eastAsia="ko-KR"/>
        </w:rPr>
      </w:pPr>
      <w:r w:rsidRPr="00CB6C95">
        <w:rPr>
          <w:sz w:val="22"/>
          <w:szCs w:val="22"/>
          <w:lang w:eastAsia="ko-KR"/>
        </w:rPr>
        <w:t>FFA</w:t>
      </w:r>
    </w:p>
    <w:p w14:paraId="1536D333" w14:textId="77777777" w:rsidR="00167860" w:rsidRPr="00CB6C95" w:rsidRDefault="00167860" w:rsidP="00167860">
      <w:pPr>
        <w:adjustRightInd w:val="0"/>
        <w:snapToGrid w:val="0"/>
        <w:rPr>
          <w:sz w:val="22"/>
          <w:szCs w:val="22"/>
          <w:lang w:eastAsia="ko-KR"/>
        </w:rPr>
      </w:pPr>
      <w:r w:rsidRPr="00CB6C95">
        <w:rPr>
          <w:sz w:val="22"/>
          <w:szCs w:val="22"/>
          <w:lang w:eastAsia="ko-KR"/>
        </w:rPr>
        <w:t>PO Box 629, Honiara, Solomon Islands</w:t>
      </w:r>
    </w:p>
    <w:p w14:paraId="7350F556" w14:textId="77777777" w:rsidR="00167860" w:rsidRPr="00CB6C95" w:rsidRDefault="00167860" w:rsidP="00167860">
      <w:pPr>
        <w:adjustRightInd w:val="0"/>
        <w:snapToGrid w:val="0"/>
        <w:rPr>
          <w:sz w:val="22"/>
          <w:szCs w:val="22"/>
          <w:lang w:eastAsia="ko-KR"/>
        </w:rPr>
      </w:pPr>
      <w:r w:rsidRPr="00CB6C95">
        <w:rPr>
          <w:sz w:val="22"/>
          <w:szCs w:val="22"/>
          <w:lang w:eastAsia="ko-KR"/>
        </w:rPr>
        <w:t>+677 21124</w:t>
      </w:r>
    </w:p>
    <w:p w14:paraId="03E0CBB9" w14:textId="77777777" w:rsidR="00167860" w:rsidRPr="00CB6C95" w:rsidRDefault="00167860" w:rsidP="00167860">
      <w:pPr>
        <w:adjustRightInd w:val="0"/>
        <w:snapToGrid w:val="0"/>
        <w:rPr>
          <w:sz w:val="22"/>
          <w:szCs w:val="22"/>
          <w:lang w:eastAsia="ko-KR"/>
        </w:rPr>
      </w:pPr>
      <w:r w:rsidRPr="00CB6C95">
        <w:rPr>
          <w:sz w:val="22"/>
          <w:szCs w:val="22"/>
          <w:lang w:eastAsia="ko-KR"/>
        </w:rPr>
        <w:t>chris.reid@ffa.int</w:t>
      </w:r>
    </w:p>
    <w:p w14:paraId="61F425D6" w14:textId="77777777" w:rsidR="00167860" w:rsidRPr="00CB6C95" w:rsidRDefault="00167860" w:rsidP="00167860">
      <w:pPr>
        <w:adjustRightInd w:val="0"/>
        <w:snapToGrid w:val="0"/>
        <w:rPr>
          <w:sz w:val="22"/>
          <w:szCs w:val="22"/>
          <w:lang w:eastAsia="ko-KR"/>
        </w:rPr>
      </w:pPr>
    </w:p>
    <w:p w14:paraId="6E5C7455" w14:textId="77777777" w:rsidR="00167860" w:rsidRPr="00CB6C95" w:rsidRDefault="00167860" w:rsidP="00167860">
      <w:pPr>
        <w:adjustRightInd w:val="0"/>
        <w:snapToGrid w:val="0"/>
        <w:rPr>
          <w:b/>
          <w:sz w:val="22"/>
          <w:szCs w:val="22"/>
          <w:lang w:eastAsia="ko-KR"/>
        </w:rPr>
      </w:pPr>
      <w:r w:rsidRPr="00CB6C95">
        <w:rPr>
          <w:b/>
          <w:sz w:val="22"/>
          <w:szCs w:val="22"/>
          <w:lang w:eastAsia="ko-KR"/>
        </w:rPr>
        <w:t>Wetjens Dimmlich</w:t>
      </w:r>
    </w:p>
    <w:p w14:paraId="6BE7C8CD" w14:textId="77777777" w:rsidR="00167860" w:rsidRPr="00CB6C95" w:rsidRDefault="00167860" w:rsidP="00167860">
      <w:pPr>
        <w:adjustRightInd w:val="0"/>
        <w:snapToGrid w:val="0"/>
        <w:rPr>
          <w:sz w:val="22"/>
          <w:szCs w:val="22"/>
          <w:lang w:eastAsia="ko-KR"/>
        </w:rPr>
      </w:pPr>
      <w:r w:rsidRPr="00CB6C95">
        <w:rPr>
          <w:sz w:val="22"/>
          <w:szCs w:val="22"/>
          <w:lang w:eastAsia="ko-KR"/>
        </w:rPr>
        <w:t>Fishery Management Advisor</w:t>
      </w:r>
    </w:p>
    <w:p w14:paraId="360F5E47" w14:textId="77777777" w:rsidR="00167860" w:rsidRPr="00CB6C95" w:rsidRDefault="00167860" w:rsidP="00167860">
      <w:pPr>
        <w:adjustRightInd w:val="0"/>
        <w:snapToGrid w:val="0"/>
        <w:rPr>
          <w:sz w:val="22"/>
          <w:szCs w:val="22"/>
          <w:lang w:eastAsia="ko-KR"/>
        </w:rPr>
      </w:pPr>
      <w:r w:rsidRPr="00CB6C95">
        <w:rPr>
          <w:sz w:val="22"/>
          <w:szCs w:val="22"/>
          <w:lang w:eastAsia="ko-KR"/>
        </w:rPr>
        <w:t>FFA</w:t>
      </w:r>
    </w:p>
    <w:p w14:paraId="06A0A2BD" w14:textId="77777777" w:rsidR="00167860" w:rsidRPr="00CB6C95" w:rsidRDefault="00167860" w:rsidP="00167860">
      <w:pPr>
        <w:adjustRightInd w:val="0"/>
        <w:snapToGrid w:val="0"/>
        <w:rPr>
          <w:sz w:val="22"/>
          <w:szCs w:val="22"/>
          <w:lang w:eastAsia="ko-KR"/>
        </w:rPr>
      </w:pPr>
      <w:r w:rsidRPr="00CB6C95">
        <w:rPr>
          <w:sz w:val="22"/>
          <w:szCs w:val="22"/>
          <w:lang w:eastAsia="ko-KR"/>
        </w:rPr>
        <w:t>Honiara, Solomon Islands</w:t>
      </w:r>
    </w:p>
    <w:p w14:paraId="5B8FD113" w14:textId="77777777" w:rsidR="00167860" w:rsidRPr="00CB6C95" w:rsidRDefault="00167860" w:rsidP="00167860">
      <w:pPr>
        <w:adjustRightInd w:val="0"/>
        <w:snapToGrid w:val="0"/>
        <w:rPr>
          <w:sz w:val="22"/>
          <w:szCs w:val="22"/>
          <w:lang w:eastAsia="ko-KR"/>
        </w:rPr>
      </w:pPr>
      <w:r w:rsidRPr="00CB6C95">
        <w:rPr>
          <w:sz w:val="22"/>
          <w:szCs w:val="22"/>
          <w:lang w:eastAsia="ko-KR"/>
        </w:rPr>
        <w:t>+677 8998 600</w:t>
      </w:r>
    </w:p>
    <w:p w14:paraId="3754AA62" w14:textId="77777777" w:rsidR="00167860" w:rsidRPr="00CB6C95" w:rsidRDefault="00167860" w:rsidP="00167860">
      <w:pPr>
        <w:adjustRightInd w:val="0"/>
        <w:snapToGrid w:val="0"/>
        <w:rPr>
          <w:sz w:val="22"/>
          <w:szCs w:val="22"/>
          <w:lang w:eastAsia="ko-KR"/>
        </w:rPr>
      </w:pPr>
      <w:r w:rsidRPr="00CB6C95">
        <w:rPr>
          <w:sz w:val="22"/>
          <w:szCs w:val="22"/>
          <w:lang w:eastAsia="ko-KR"/>
        </w:rPr>
        <w:t>wetjens@ffa.int</w:t>
      </w:r>
    </w:p>
    <w:p w14:paraId="46193B55" w14:textId="77777777" w:rsidR="00167860" w:rsidRPr="00CB6C95" w:rsidRDefault="00167860" w:rsidP="00167860">
      <w:pPr>
        <w:adjustRightInd w:val="0"/>
        <w:snapToGrid w:val="0"/>
        <w:rPr>
          <w:sz w:val="22"/>
          <w:szCs w:val="22"/>
          <w:lang w:eastAsia="ko-KR"/>
        </w:rPr>
      </w:pPr>
    </w:p>
    <w:p w14:paraId="5105FB87" w14:textId="77777777" w:rsidR="00167860" w:rsidRPr="00CB6C95" w:rsidRDefault="00167860" w:rsidP="00167860">
      <w:pPr>
        <w:adjustRightInd w:val="0"/>
        <w:snapToGrid w:val="0"/>
        <w:rPr>
          <w:b/>
          <w:sz w:val="22"/>
          <w:szCs w:val="22"/>
          <w:lang w:eastAsia="ko-KR"/>
        </w:rPr>
      </w:pPr>
      <w:r w:rsidRPr="00CB6C95">
        <w:rPr>
          <w:b/>
          <w:sz w:val="22"/>
          <w:szCs w:val="22"/>
          <w:lang w:eastAsia="ko-KR"/>
        </w:rPr>
        <w:t>Tim Adams</w:t>
      </w:r>
    </w:p>
    <w:p w14:paraId="6D8F471A" w14:textId="77777777" w:rsidR="00167860" w:rsidRPr="00CB6C95" w:rsidRDefault="00167860" w:rsidP="00167860">
      <w:pPr>
        <w:adjustRightInd w:val="0"/>
        <w:snapToGrid w:val="0"/>
        <w:rPr>
          <w:sz w:val="22"/>
          <w:szCs w:val="22"/>
          <w:lang w:eastAsia="ko-KR"/>
        </w:rPr>
      </w:pPr>
      <w:r w:rsidRPr="00CB6C95">
        <w:rPr>
          <w:sz w:val="22"/>
          <w:szCs w:val="22"/>
          <w:lang w:eastAsia="ko-KR"/>
        </w:rPr>
        <w:t>Director of Fisheries Management</w:t>
      </w:r>
    </w:p>
    <w:p w14:paraId="2CA7A137" w14:textId="77777777" w:rsidR="00167860" w:rsidRPr="00CB6C95" w:rsidRDefault="00167860" w:rsidP="00167860">
      <w:pPr>
        <w:adjustRightInd w:val="0"/>
        <w:snapToGrid w:val="0"/>
        <w:rPr>
          <w:sz w:val="22"/>
          <w:szCs w:val="22"/>
          <w:lang w:eastAsia="ko-KR"/>
        </w:rPr>
      </w:pPr>
      <w:r w:rsidRPr="00CB6C95">
        <w:rPr>
          <w:sz w:val="22"/>
          <w:szCs w:val="22"/>
          <w:lang w:eastAsia="ko-KR"/>
        </w:rPr>
        <w:t>Pacific Islands Forum Fisheries Agency</w:t>
      </w:r>
    </w:p>
    <w:p w14:paraId="35E07CB2" w14:textId="77777777" w:rsidR="00167860" w:rsidRPr="00CB6C95" w:rsidRDefault="00167860" w:rsidP="00167860">
      <w:pPr>
        <w:adjustRightInd w:val="0"/>
        <w:snapToGrid w:val="0"/>
        <w:rPr>
          <w:sz w:val="22"/>
          <w:szCs w:val="22"/>
          <w:lang w:eastAsia="ko-KR"/>
        </w:rPr>
      </w:pPr>
      <w:r w:rsidRPr="00CB6C95">
        <w:rPr>
          <w:sz w:val="22"/>
          <w:szCs w:val="22"/>
          <w:lang w:eastAsia="ko-KR"/>
        </w:rPr>
        <w:t>1 FFA Road</w:t>
      </w:r>
      <w:r w:rsidRPr="00CB6C95">
        <w:rPr>
          <w:sz w:val="22"/>
          <w:szCs w:val="22"/>
          <w:lang w:eastAsia="ko-KR"/>
        </w:rPr>
        <w:br/>
        <w:t>Honiara, Solomon Islands</w:t>
      </w:r>
    </w:p>
    <w:p w14:paraId="001C779C" w14:textId="77777777" w:rsidR="00167860" w:rsidRPr="00CB6C95" w:rsidRDefault="00167860" w:rsidP="00167860">
      <w:pPr>
        <w:adjustRightInd w:val="0"/>
        <w:snapToGrid w:val="0"/>
        <w:rPr>
          <w:sz w:val="22"/>
          <w:szCs w:val="22"/>
          <w:lang w:eastAsia="ko-KR"/>
        </w:rPr>
      </w:pPr>
      <w:r w:rsidRPr="00CB6C95">
        <w:rPr>
          <w:sz w:val="22"/>
          <w:szCs w:val="22"/>
          <w:lang w:eastAsia="ko-KR"/>
        </w:rPr>
        <w:t>+677 21124</w:t>
      </w:r>
    </w:p>
    <w:p w14:paraId="5F253EF6" w14:textId="77777777" w:rsidR="00167860" w:rsidRPr="00CB6C95" w:rsidRDefault="00167860" w:rsidP="00167860">
      <w:pPr>
        <w:adjustRightInd w:val="0"/>
        <w:snapToGrid w:val="0"/>
        <w:rPr>
          <w:sz w:val="22"/>
          <w:szCs w:val="22"/>
          <w:lang w:eastAsia="ko-KR"/>
        </w:rPr>
      </w:pPr>
      <w:r w:rsidRPr="00CB6C95">
        <w:rPr>
          <w:sz w:val="22"/>
          <w:szCs w:val="22"/>
          <w:lang w:eastAsia="ko-KR"/>
        </w:rPr>
        <w:t>tim.adams@ffa.int</w:t>
      </w:r>
    </w:p>
    <w:p w14:paraId="32ED526A" w14:textId="77777777" w:rsidR="00167860" w:rsidRPr="00CB6C95" w:rsidRDefault="00167860" w:rsidP="00167860">
      <w:pPr>
        <w:adjustRightInd w:val="0"/>
        <w:snapToGrid w:val="0"/>
        <w:rPr>
          <w:sz w:val="22"/>
          <w:szCs w:val="22"/>
          <w:lang w:eastAsia="ko-KR"/>
        </w:rPr>
      </w:pPr>
    </w:p>
    <w:p w14:paraId="557F75B6" w14:textId="77777777" w:rsidR="00167860" w:rsidRPr="00CB6C95" w:rsidRDefault="00167860" w:rsidP="00167860">
      <w:pPr>
        <w:adjustRightInd w:val="0"/>
        <w:snapToGrid w:val="0"/>
        <w:rPr>
          <w:b/>
          <w:sz w:val="22"/>
          <w:szCs w:val="22"/>
          <w:lang w:eastAsia="ko-KR"/>
        </w:rPr>
      </w:pPr>
      <w:r w:rsidRPr="00CB6C95">
        <w:rPr>
          <w:b/>
          <w:sz w:val="22"/>
          <w:szCs w:val="22"/>
          <w:lang w:eastAsia="ko-KR"/>
        </w:rPr>
        <w:t>Joyce Samuelu Ah Leong</w:t>
      </w:r>
    </w:p>
    <w:p w14:paraId="15D3B2B8" w14:textId="77777777" w:rsidR="00167860" w:rsidRPr="00CB6C95" w:rsidRDefault="00167860" w:rsidP="00167860">
      <w:pPr>
        <w:adjustRightInd w:val="0"/>
        <w:snapToGrid w:val="0"/>
        <w:rPr>
          <w:sz w:val="22"/>
          <w:szCs w:val="22"/>
          <w:lang w:eastAsia="ko-KR"/>
        </w:rPr>
      </w:pPr>
      <w:r w:rsidRPr="00CB6C95">
        <w:rPr>
          <w:sz w:val="22"/>
          <w:szCs w:val="22"/>
          <w:lang w:eastAsia="ko-KR"/>
        </w:rPr>
        <w:t>Fisheries Managment Adviser</w:t>
      </w:r>
    </w:p>
    <w:p w14:paraId="757BEA06" w14:textId="77777777" w:rsidR="00167860" w:rsidRPr="00CB6C95" w:rsidRDefault="00167860" w:rsidP="00167860">
      <w:pPr>
        <w:adjustRightInd w:val="0"/>
        <w:snapToGrid w:val="0"/>
        <w:rPr>
          <w:sz w:val="22"/>
          <w:szCs w:val="22"/>
          <w:lang w:eastAsia="ko-KR"/>
        </w:rPr>
      </w:pPr>
      <w:r w:rsidRPr="00CB6C95">
        <w:rPr>
          <w:sz w:val="22"/>
          <w:szCs w:val="22"/>
          <w:lang w:eastAsia="ko-KR"/>
        </w:rPr>
        <w:t>Pacific Island Forum Fisheries Agency</w:t>
      </w:r>
    </w:p>
    <w:p w14:paraId="2DCDD653" w14:textId="77777777" w:rsidR="00167860" w:rsidRPr="00CB6C95" w:rsidRDefault="00167860" w:rsidP="00167860">
      <w:pPr>
        <w:adjustRightInd w:val="0"/>
        <w:snapToGrid w:val="0"/>
        <w:rPr>
          <w:sz w:val="22"/>
          <w:szCs w:val="22"/>
          <w:lang w:eastAsia="ko-KR"/>
        </w:rPr>
      </w:pPr>
      <w:r w:rsidRPr="00CB6C95">
        <w:rPr>
          <w:sz w:val="22"/>
          <w:szCs w:val="22"/>
          <w:lang w:eastAsia="ko-KR"/>
        </w:rPr>
        <w:t>Fisheries Development</w:t>
      </w:r>
      <w:r w:rsidRPr="00CB6C95">
        <w:rPr>
          <w:sz w:val="22"/>
          <w:szCs w:val="22"/>
          <w:lang w:eastAsia="ko-KR"/>
        </w:rPr>
        <w:br/>
        <w:t>1 FFA road PO box 629</w:t>
      </w:r>
      <w:r w:rsidRPr="00CB6C95">
        <w:rPr>
          <w:sz w:val="22"/>
          <w:szCs w:val="22"/>
          <w:lang w:eastAsia="ko-KR"/>
        </w:rPr>
        <w:br/>
        <w:t>Honiara, Solomon Islands</w:t>
      </w:r>
    </w:p>
    <w:p w14:paraId="4CA40897" w14:textId="77777777" w:rsidR="00167860" w:rsidRPr="00CB6C95" w:rsidRDefault="00167860" w:rsidP="00167860">
      <w:pPr>
        <w:adjustRightInd w:val="0"/>
        <w:snapToGrid w:val="0"/>
        <w:rPr>
          <w:sz w:val="22"/>
          <w:szCs w:val="22"/>
          <w:lang w:eastAsia="ko-KR"/>
        </w:rPr>
      </w:pPr>
      <w:r w:rsidRPr="00CB6C95">
        <w:rPr>
          <w:sz w:val="22"/>
          <w:szCs w:val="22"/>
          <w:lang w:eastAsia="ko-KR"/>
        </w:rPr>
        <w:t>joyce.samuelu-ahleong@ffa.int</w:t>
      </w:r>
    </w:p>
    <w:p w14:paraId="4BEA6BE9" w14:textId="77777777" w:rsidR="00167860" w:rsidRPr="00CB6C95" w:rsidRDefault="00167860" w:rsidP="00167860">
      <w:pPr>
        <w:adjustRightInd w:val="0"/>
        <w:snapToGrid w:val="0"/>
        <w:rPr>
          <w:sz w:val="22"/>
          <w:szCs w:val="22"/>
          <w:lang w:eastAsia="ko-KR"/>
        </w:rPr>
      </w:pPr>
    </w:p>
    <w:p w14:paraId="7B3AA86D" w14:textId="77777777" w:rsidR="00167860" w:rsidRPr="00CB6C95" w:rsidRDefault="00167860" w:rsidP="00167860">
      <w:pPr>
        <w:adjustRightInd w:val="0"/>
        <w:snapToGrid w:val="0"/>
        <w:rPr>
          <w:b/>
          <w:sz w:val="22"/>
          <w:szCs w:val="22"/>
          <w:lang w:eastAsia="ko-KR"/>
        </w:rPr>
      </w:pPr>
      <w:r w:rsidRPr="00CB6C95">
        <w:rPr>
          <w:b/>
          <w:sz w:val="22"/>
          <w:szCs w:val="22"/>
          <w:lang w:eastAsia="ko-KR"/>
        </w:rPr>
        <w:t>Taro Kawamoto</w:t>
      </w:r>
    </w:p>
    <w:p w14:paraId="145C5530" w14:textId="77777777" w:rsidR="00167860" w:rsidRPr="00CB6C95" w:rsidRDefault="00167860" w:rsidP="00167860">
      <w:pPr>
        <w:adjustRightInd w:val="0"/>
        <w:snapToGrid w:val="0"/>
        <w:rPr>
          <w:sz w:val="22"/>
          <w:szCs w:val="22"/>
          <w:lang w:eastAsia="ko-KR"/>
        </w:rPr>
      </w:pPr>
      <w:r w:rsidRPr="00CB6C95">
        <w:rPr>
          <w:sz w:val="22"/>
          <w:szCs w:val="22"/>
          <w:lang w:eastAsia="ko-KR"/>
        </w:rPr>
        <w:t>Honiara, Solomon Is.</w:t>
      </w:r>
    </w:p>
    <w:p w14:paraId="353CC205" w14:textId="77777777" w:rsidR="00167860" w:rsidRPr="00CB6C95" w:rsidRDefault="00167860" w:rsidP="00167860">
      <w:pPr>
        <w:adjustRightInd w:val="0"/>
        <w:snapToGrid w:val="0"/>
        <w:rPr>
          <w:sz w:val="22"/>
          <w:szCs w:val="22"/>
          <w:lang w:eastAsia="ko-KR"/>
        </w:rPr>
      </w:pPr>
      <w:r w:rsidRPr="00CB6C95">
        <w:rPr>
          <w:sz w:val="22"/>
          <w:szCs w:val="22"/>
          <w:lang w:eastAsia="ko-KR"/>
        </w:rPr>
        <w:t>Fisheries Development</w:t>
      </w:r>
    </w:p>
    <w:p w14:paraId="76EBFA67" w14:textId="77777777" w:rsidR="00167860" w:rsidRPr="00CB6C95" w:rsidRDefault="00167860" w:rsidP="00167860">
      <w:pPr>
        <w:adjustRightInd w:val="0"/>
        <w:snapToGrid w:val="0"/>
        <w:rPr>
          <w:sz w:val="22"/>
          <w:szCs w:val="22"/>
          <w:lang w:eastAsia="ko-KR"/>
        </w:rPr>
      </w:pPr>
      <w:r w:rsidRPr="00CB6C95">
        <w:rPr>
          <w:sz w:val="22"/>
          <w:szCs w:val="22"/>
          <w:lang w:eastAsia="ko-KR"/>
        </w:rPr>
        <w:t>1 FFA road PO box 629 Honiara Solomon Islands</w:t>
      </w:r>
    </w:p>
    <w:p w14:paraId="55F23149" w14:textId="77777777" w:rsidR="00167860" w:rsidRPr="00CB6C95" w:rsidRDefault="00167860" w:rsidP="00167860">
      <w:pPr>
        <w:adjustRightInd w:val="0"/>
        <w:snapToGrid w:val="0"/>
        <w:rPr>
          <w:sz w:val="22"/>
          <w:szCs w:val="22"/>
          <w:lang w:eastAsia="ko-KR"/>
        </w:rPr>
      </w:pPr>
      <w:r w:rsidRPr="00CB6C95">
        <w:rPr>
          <w:sz w:val="22"/>
          <w:szCs w:val="22"/>
          <w:lang w:eastAsia="ko-KR"/>
        </w:rPr>
        <w:t>taro.kawamoto@ffa.int</w:t>
      </w:r>
    </w:p>
    <w:p w14:paraId="47599EB4" w14:textId="77777777" w:rsidR="00167860" w:rsidRPr="00CB6C95" w:rsidRDefault="00167860" w:rsidP="00167860">
      <w:pPr>
        <w:adjustRightInd w:val="0"/>
        <w:snapToGrid w:val="0"/>
        <w:rPr>
          <w:b/>
          <w:sz w:val="22"/>
          <w:szCs w:val="22"/>
          <w:lang w:eastAsia="ko-KR"/>
        </w:rPr>
      </w:pPr>
    </w:p>
    <w:p w14:paraId="542A296B" w14:textId="77777777" w:rsidR="00167860" w:rsidRPr="00CB6C95" w:rsidRDefault="00167860" w:rsidP="00167860">
      <w:pPr>
        <w:adjustRightInd w:val="0"/>
        <w:snapToGrid w:val="0"/>
        <w:rPr>
          <w:b/>
          <w:sz w:val="22"/>
          <w:szCs w:val="22"/>
          <w:lang w:eastAsia="ko-KR"/>
        </w:rPr>
      </w:pPr>
      <w:r w:rsidRPr="00CB6C95">
        <w:rPr>
          <w:b/>
          <w:sz w:val="22"/>
          <w:szCs w:val="22"/>
          <w:lang w:eastAsia="ko-KR"/>
        </w:rPr>
        <w:t>Pamela Maru</w:t>
      </w:r>
    </w:p>
    <w:p w14:paraId="7083D964" w14:textId="77777777" w:rsidR="00167860" w:rsidRPr="00CB6C95" w:rsidRDefault="00167860" w:rsidP="00167860">
      <w:pPr>
        <w:adjustRightInd w:val="0"/>
        <w:snapToGrid w:val="0"/>
        <w:rPr>
          <w:sz w:val="22"/>
          <w:szCs w:val="22"/>
          <w:lang w:eastAsia="ko-KR"/>
        </w:rPr>
      </w:pPr>
      <w:r w:rsidRPr="00CB6C95">
        <w:rPr>
          <w:sz w:val="22"/>
          <w:szCs w:val="22"/>
          <w:lang w:eastAsia="ko-KR"/>
        </w:rPr>
        <w:t>Fisheries Management Adviser</w:t>
      </w:r>
    </w:p>
    <w:p w14:paraId="0D37C446" w14:textId="77777777" w:rsidR="00167860" w:rsidRPr="00CB6C95" w:rsidRDefault="00167860" w:rsidP="00167860">
      <w:pPr>
        <w:adjustRightInd w:val="0"/>
        <w:snapToGrid w:val="0"/>
        <w:rPr>
          <w:sz w:val="22"/>
          <w:szCs w:val="22"/>
          <w:lang w:eastAsia="ko-KR"/>
        </w:rPr>
      </w:pPr>
      <w:r w:rsidRPr="00CB6C95">
        <w:rPr>
          <w:sz w:val="22"/>
          <w:szCs w:val="22"/>
          <w:lang w:eastAsia="ko-KR"/>
        </w:rPr>
        <w:t>Pacific Islands Forum Fisheries Agency</w:t>
      </w:r>
    </w:p>
    <w:p w14:paraId="2F71571F" w14:textId="77777777" w:rsidR="00167860" w:rsidRPr="00CB6C95" w:rsidRDefault="00167860" w:rsidP="00167860">
      <w:pPr>
        <w:adjustRightInd w:val="0"/>
        <w:snapToGrid w:val="0"/>
        <w:rPr>
          <w:sz w:val="22"/>
          <w:szCs w:val="22"/>
          <w:lang w:eastAsia="ko-KR"/>
        </w:rPr>
      </w:pPr>
      <w:r w:rsidRPr="00CB6C95">
        <w:rPr>
          <w:sz w:val="22"/>
          <w:szCs w:val="22"/>
          <w:lang w:eastAsia="ko-KR"/>
        </w:rPr>
        <w:t>PO Box 629</w:t>
      </w:r>
      <w:r w:rsidRPr="00CB6C95">
        <w:rPr>
          <w:sz w:val="22"/>
          <w:szCs w:val="22"/>
          <w:lang w:eastAsia="ko-KR"/>
        </w:rPr>
        <w:br/>
        <w:t>1 FFA Road</w:t>
      </w:r>
      <w:r w:rsidRPr="00CB6C95">
        <w:rPr>
          <w:sz w:val="22"/>
          <w:szCs w:val="22"/>
          <w:lang w:eastAsia="ko-KR"/>
        </w:rPr>
        <w:br/>
        <w:t>West Kola'a Ridge</w:t>
      </w:r>
      <w:r w:rsidRPr="00CB6C95">
        <w:rPr>
          <w:sz w:val="22"/>
          <w:szCs w:val="22"/>
          <w:lang w:eastAsia="ko-KR"/>
        </w:rPr>
        <w:br/>
        <w:t>Honiara, Solomon Islands</w:t>
      </w:r>
      <w:r w:rsidRPr="00CB6C95">
        <w:rPr>
          <w:sz w:val="22"/>
          <w:szCs w:val="22"/>
          <w:lang w:eastAsia="ko-KR"/>
        </w:rPr>
        <w:br/>
        <w:t xml:space="preserve">Email:info@ffa.int </w:t>
      </w:r>
    </w:p>
    <w:p w14:paraId="2A2801C0" w14:textId="77777777" w:rsidR="00167860" w:rsidRPr="00CB6C95" w:rsidRDefault="00167860" w:rsidP="00167860">
      <w:pPr>
        <w:adjustRightInd w:val="0"/>
        <w:snapToGrid w:val="0"/>
        <w:rPr>
          <w:sz w:val="22"/>
          <w:szCs w:val="22"/>
          <w:lang w:eastAsia="ko-KR"/>
        </w:rPr>
      </w:pPr>
      <w:r w:rsidRPr="00CB6C95">
        <w:rPr>
          <w:sz w:val="22"/>
          <w:szCs w:val="22"/>
          <w:lang w:eastAsia="ko-KR"/>
        </w:rPr>
        <w:t>67721124</w:t>
      </w:r>
    </w:p>
    <w:p w14:paraId="5BD7F326" w14:textId="77777777" w:rsidR="00167860" w:rsidRPr="00CB6C95" w:rsidRDefault="00167860" w:rsidP="00167860">
      <w:pPr>
        <w:adjustRightInd w:val="0"/>
        <w:snapToGrid w:val="0"/>
        <w:rPr>
          <w:sz w:val="22"/>
          <w:szCs w:val="22"/>
          <w:lang w:eastAsia="ko-KR"/>
        </w:rPr>
      </w:pPr>
      <w:r w:rsidRPr="00CB6C95">
        <w:rPr>
          <w:sz w:val="22"/>
          <w:szCs w:val="22"/>
          <w:lang w:eastAsia="ko-KR"/>
        </w:rPr>
        <w:t>pamela.maru@ffa.int</w:t>
      </w:r>
    </w:p>
    <w:p w14:paraId="0697CED4" w14:textId="77777777" w:rsidR="00167860" w:rsidRPr="00CB6C95" w:rsidRDefault="00167860" w:rsidP="00167860">
      <w:pPr>
        <w:adjustRightInd w:val="0"/>
        <w:snapToGrid w:val="0"/>
        <w:rPr>
          <w:sz w:val="22"/>
          <w:szCs w:val="22"/>
          <w:lang w:eastAsia="ko-KR"/>
        </w:rPr>
      </w:pPr>
    </w:p>
    <w:p w14:paraId="08E63C36"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Pacific Islands Tuna Industry Association</w:t>
      </w:r>
    </w:p>
    <w:p w14:paraId="03A0A901" w14:textId="77777777" w:rsidR="00167860" w:rsidRPr="00CB6C95" w:rsidRDefault="00167860" w:rsidP="00167860">
      <w:pPr>
        <w:adjustRightInd w:val="0"/>
        <w:snapToGrid w:val="0"/>
        <w:rPr>
          <w:b/>
          <w:sz w:val="22"/>
          <w:szCs w:val="22"/>
          <w:lang w:eastAsia="ko-KR"/>
        </w:rPr>
      </w:pPr>
    </w:p>
    <w:p w14:paraId="4580467B" w14:textId="77777777" w:rsidR="00167860" w:rsidRPr="00CB6C95" w:rsidRDefault="00167860" w:rsidP="00167860">
      <w:pPr>
        <w:adjustRightInd w:val="0"/>
        <w:snapToGrid w:val="0"/>
        <w:rPr>
          <w:b/>
          <w:sz w:val="22"/>
          <w:szCs w:val="22"/>
          <w:lang w:eastAsia="ko-KR"/>
        </w:rPr>
      </w:pPr>
      <w:r w:rsidRPr="00CB6C95">
        <w:rPr>
          <w:b/>
          <w:sz w:val="22"/>
          <w:szCs w:val="22"/>
          <w:lang w:eastAsia="ko-KR"/>
        </w:rPr>
        <w:t>John Maefiti</w:t>
      </w:r>
    </w:p>
    <w:p w14:paraId="651CC296"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Executive Officer </w:t>
      </w:r>
    </w:p>
    <w:p w14:paraId="1B61CF88" w14:textId="77777777" w:rsidR="00167860" w:rsidRPr="00CB6C95" w:rsidRDefault="00167860" w:rsidP="00167860">
      <w:pPr>
        <w:adjustRightInd w:val="0"/>
        <w:snapToGrid w:val="0"/>
        <w:rPr>
          <w:sz w:val="22"/>
          <w:szCs w:val="22"/>
          <w:lang w:eastAsia="ko-KR"/>
        </w:rPr>
      </w:pPr>
      <w:r w:rsidRPr="00CB6C95">
        <w:rPr>
          <w:sz w:val="22"/>
          <w:szCs w:val="22"/>
          <w:lang w:eastAsia="ko-KR"/>
        </w:rPr>
        <w:t>PITIA</w:t>
      </w:r>
    </w:p>
    <w:p w14:paraId="1263627C"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46 Gordon St, Suva, Fiji Islands </w:t>
      </w:r>
    </w:p>
    <w:p w14:paraId="09C5ECDE" w14:textId="77777777" w:rsidR="00167860" w:rsidRPr="00CB6C95" w:rsidRDefault="00167860" w:rsidP="00167860">
      <w:pPr>
        <w:adjustRightInd w:val="0"/>
        <w:snapToGrid w:val="0"/>
        <w:rPr>
          <w:sz w:val="22"/>
          <w:szCs w:val="22"/>
          <w:lang w:eastAsia="ko-KR"/>
        </w:rPr>
      </w:pPr>
      <w:r w:rsidRPr="00CB6C95">
        <w:rPr>
          <w:sz w:val="22"/>
          <w:szCs w:val="22"/>
          <w:lang w:eastAsia="ko-KR"/>
        </w:rPr>
        <w:t>jmaefiti@pacifictuna.org</w:t>
      </w:r>
    </w:p>
    <w:p w14:paraId="091CAE82" w14:textId="77777777" w:rsidR="00167860" w:rsidRPr="00CB6C95" w:rsidRDefault="00167860" w:rsidP="00167860">
      <w:pPr>
        <w:adjustRightInd w:val="0"/>
        <w:snapToGrid w:val="0"/>
        <w:rPr>
          <w:sz w:val="22"/>
          <w:szCs w:val="22"/>
          <w:lang w:eastAsia="ko-KR"/>
        </w:rPr>
      </w:pPr>
    </w:p>
    <w:p w14:paraId="2C5F6AFF" w14:textId="77777777" w:rsidR="00167860" w:rsidRPr="00CB6C95" w:rsidRDefault="00167860" w:rsidP="00167860">
      <w:pPr>
        <w:adjustRightInd w:val="0"/>
        <w:snapToGrid w:val="0"/>
        <w:rPr>
          <w:b/>
          <w:sz w:val="22"/>
          <w:szCs w:val="22"/>
          <w:lang w:eastAsia="ko-KR"/>
        </w:rPr>
      </w:pPr>
      <w:r w:rsidRPr="00CB6C95">
        <w:rPr>
          <w:b/>
          <w:sz w:val="22"/>
          <w:szCs w:val="22"/>
          <w:lang w:eastAsia="ko-KR"/>
        </w:rPr>
        <w:t>Joshua S. Rivera</w:t>
      </w:r>
    </w:p>
    <w:p w14:paraId="63989432" w14:textId="77777777" w:rsidR="00167860" w:rsidRPr="00CB6C95" w:rsidRDefault="00167860" w:rsidP="00167860">
      <w:pPr>
        <w:adjustRightInd w:val="0"/>
        <w:snapToGrid w:val="0"/>
        <w:rPr>
          <w:sz w:val="22"/>
          <w:szCs w:val="22"/>
          <w:lang w:eastAsia="ko-KR"/>
        </w:rPr>
      </w:pPr>
      <w:r w:rsidRPr="00CB6C95">
        <w:rPr>
          <w:sz w:val="22"/>
          <w:szCs w:val="22"/>
          <w:lang w:eastAsia="ko-KR"/>
        </w:rPr>
        <w:t>Assistant Operations Head</w:t>
      </w:r>
    </w:p>
    <w:p w14:paraId="6F7A4104" w14:textId="77777777" w:rsidR="00167860" w:rsidRPr="00CB6C95" w:rsidRDefault="00167860" w:rsidP="00167860">
      <w:pPr>
        <w:adjustRightInd w:val="0"/>
        <w:snapToGrid w:val="0"/>
        <w:rPr>
          <w:sz w:val="22"/>
          <w:szCs w:val="22"/>
          <w:lang w:eastAsia="ko-KR"/>
        </w:rPr>
      </w:pPr>
      <w:r w:rsidRPr="00CB6C95">
        <w:rPr>
          <w:sz w:val="22"/>
          <w:szCs w:val="22"/>
          <w:lang w:eastAsia="ko-KR"/>
        </w:rPr>
        <w:t>RD Fishing Industry Inc.</w:t>
      </w:r>
    </w:p>
    <w:p w14:paraId="401D2426" w14:textId="77777777" w:rsidR="00167860" w:rsidRPr="00CB6C95" w:rsidRDefault="00167860" w:rsidP="00167860">
      <w:pPr>
        <w:adjustRightInd w:val="0"/>
        <w:snapToGrid w:val="0"/>
        <w:rPr>
          <w:sz w:val="22"/>
          <w:szCs w:val="22"/>
          <w:lang w:eastAsia="ko-KR"/>
        </w:rPr>
      </w:pPr>
      <w:r w:rsidRPr="00CB6C95">
        <w:rPr>
          <w:sz w:val="22"/>
          <w:szCs w:val="22"/>
          <w:lang w:eastAsia="ko-KR"/>
        </w:rPr>
        <w:t>1st Road Calumpang</w:t>
      </w:r>
    </w:p>
    <w:p w14:paraId="39009CA6" w14:textId="77777777" w:rsidR="00167860" w:rsidRPr="00CB6C95" w:rsidRDefault="00167860" w:rsidP="00167860">
      <w:pPr>
        <w:adjustRightInd w:val="0"/>
        <w:snapToGrid w:val="0"/>
        <w:rPr>
          <w:sz w:val="22"/>
          <w:szCs w:val="22"/>
          <w:lang w:eastAsia="ko-KR"/>
        </w:rPr>
      </w:pPr>
      <w:r w:rsidRPr="00CB6C95">
        <w:rPr>
          <w:sz w:val="22"/>
          <w:szCs w:val="22"/>
          <w:lang w:eastAsia="ko-KR"/>
        </w:rPr>
        <w:t>joshuarivera77@gmail.com</w:t>
      </w:r>
    </w:p>
    <w:p w14:paraId="678653C9" w14:textId="77777777" w:rsidR="00167860" w:rsidRPr="00CB6C95" w:rsidRDefault="00167860" w:rsidP="00167860">
      <w:pPr>
        <w:adjustRightInd w:val="0"/>
        <w:snapToGrid w:val="0"/>
        <w:rPr>
          <w:sz w:val="22"/>
          <w:szCs w:val="22"/>
          <w:lang w:eastAsia="ko-KR"/>
        </w:rPr>
      </w:pPr>
    </w:p>
    <w:p w14:paraId="27492ACD"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Parties to the Nauru Agreement (PNA)</w:t>
      </w:r>
    </w:p>
    <w:p w14:paraId="3CFBB9B6" w14:textId="77777777" w:rsidR="00167860" w:rsidRPr="00CB6C95" w:rsidRDefault="00167860" w:rsidP="00167860">
      <w:pPr>
        <w:adjustRightInd w:val="0"/>
        <w:snapToGrid w:val="0"/>
        <w:rPr>
          <w:b/>
          <w:sz w:val="22"/>
          <w:szCs w:val="22"/>
          <w:lang w:eastAsia="ko-KR"/>
        </w:rPr>
      </w:pPr>
    </w:p>
    <w:p w14:paraId="201060A6" w14:textId="77777777" w:rsidR="00167860" w:rsidRPr="00CB6C95" w:rsidRDefault="00167860" w:rsidP="00167860">
      <w:pPr>
        <w:adjustRightInd w:val="0"/>
        <w:snapToGrid w:val="0"/>
        <w:rPr>
          <w:b/>
          <w:sz w:val="22"/>
          <w:szCs w:val="22"/>
          <w:lang w:eastAsia="ko-KR"/>
        </w:rPr>
      </w:pPr>
      <w:r w:rsidRPr="00CB6C95">
        <w:rPr>
          <w:b/>
          <w:sz w:val="22"/>
          <w:szCs w:val="22"/>
          <w:lang w:eastAsia="ko-KR"/>
        </w:rPr>
        <w:t>John Kelimana</w:t>
      </w:r>
    </w:p>
    <w:p w14:paraId="2F587881" w14:textId="77777777" w:rsidR="00167860" w:rsidRPr="00CB6C95" w:rsidRDefault="00167860" w:rsidP="00167860">
      <w:pPr>
        <w:adjustRightInd w:val="0"/>
        <w:snapToGrid w:val="0"/>
        <w:rPr>
          <w:sz w:val="22"/>
          <w:szCs w:val="22"/>
          <w:lang w:eastAsia="ko-KR"/>
        </w:rPr>
      </w:pPr>
      <w:r w:rsidRPr="00CB6C95">
        <w:rPr>
          <w:sz w:val="22"/>
          <w:szCs w:val="22"/>
          <w:lang w:eastAsia="ko-KR"/>
        </w:rPr>
        <w:t>IT/MSC Officer</w:t>
      </w:r>
    </w:p>
    <w:p w14:paraId="7013A92E" w14:textId="77777777" w:rsidR="00167860" w:rsidRPr="00CB6C95" w:rsidRDefault="00167860" w:rsidP="00167860">
      <w:pPr>
        <w:adjustRightInd w:val="0"/>
        <w:snapToGrid w:val="0"/>
        <w:rPr>
          <w:sz w:val="22"/>
          <w:szCs w:val="22"/>
          <w:lang w:eastAsia="ko-KR"/>
        </w:rPr>
      </w:pPr>
      <w:r w:rsidRPr="00CB6C95">
        <w:rPr>
          <w:sz w:val="22"/>
          <w:szCs w:val="22"/>
          <w:lang w:eastAsia="ko-KR"/>
        </w:rPr>
        <w:t>Parties to the Nauru Agreement</w:t>
      </w:r>
    </w:p>
    <w:p w14:paraId="3D4E2C04" w14:textId="77777777" w:rsidR="00167860" w:rsidRPr="00CB6C95" w:rsidRDefault="00167860" w:rsidP="00167860">
      <w:pPr>
        <w:adjustRightInd w:val="0"/>
        <w:snapToGrid w:val="0"/>
        <w:rPr>
          <w:sz w:val="22"/>
          <w:szCs w:val="22"/>
          <w:lang w:eastAsia="ko-KR"/>
        </w:rPr>
      </w:pPr>
      <w:r w:rsidRPr="00CB6C95">
        <w:rPr>
          <w:sz w:val="22"/>
          <w:szCs w:val="22"/>
          <w:lang w:eastAsia="ko-KR"/>
        </w:rPr>
        <w:t>P.O box 3992, 6924565148</w:t>
      </w:r>
    </w:p>
    <w:p w14:paraId="7AFB7B47" w14:textId="77777777" w:rsidR="00167860" w:rsidRPr="00CB6C95" w:rsidRDefault="00167860" w:rsidP="00167860">
      <w:pPr>
        <w:adjustRightInd w:val="0"/>
        <w:snapToGrid w:val="0"/>
        <w:rPr>
          <w:sz w:val="22"/>
          <w:szCs w:val="22"/>
          <w:lang w:eastAsia="ko-KR"/>
        </w:rPr>
      </w:pPr>
      <w:r w:rsidRPr="00CB6C95">
        <w:rPr>
          <w:sz w:val="22"/>
          <w:szCs w:val="22"/>
          <w:lang w:eastAsia="ko-KR"/>
        </w:rPr>
        <w:t>john@pnatuna.com</w:t>
      </w:r>
    </w:p>
    <w:p w14:paraId="1CB54D3A" w14:textId="77777777" w:rsidR="00167860" w:rsidRPr="00CB6C95" w:rsidRDefault="00167860" w:rsidP="00167860">
      <w:pPr>
        <w:adjustRightInd w:val="0"/>
        <w:snapToGrid w:val="0"/>
        <w:rPr>
          <w:sz w:val="22"/>
          <w:szCs w:val="22"/>
          <w:lang w:eastAsia="ko-KR"/>
        </w:rPr>
      </w:pPr>
    </w:p>
    <w:p w14:paraId="72607C6A" w14:textId="77777777" w:rsidR="00167860" w:rsidRPr="00CB6C95" w:rsidRDefault="00167860" w:rsidP="00167860">
      <w:pPr>
        <w:adjustRightInd w:val="0"/>
        <w:snapToGrid w:val="0"/>
        <w:rPr>
          <w:b/>
          <w:sz w:val="22"/>
          <w:szCs w:val="22"/>
          <w:lang w:eastAsia="ko-KR"/>
        </w:rPr>
      </w:pPr>
      <w:r w:rsidRPr="00CB6C95">
        <w:rPr>
          <w:b/>
          <w:sz w:val="22"/>
          <w:szCs w:val="22"/>
          <w:lang w:eastAsia="ko-KR"/>
        </w:rPr>
        <w:t>Penihulo Lopati</w:t>
      </w:r>
    </w:p>
    <w:p w14:paraId="7A91E03F" w14:textId="77777777" w:rsidR="00167860" w:rsidRPr="00CB6C95" w:rsidRDefault="00167860" w:rsidP="00167860">
      <w:pPr>
        <w:adjustRightInd w:val="0"/>
        <w:snapToGrid w:val="0"/>
        <w:rPr>
          <w:sz w:val="22"/>
          <w:szCs w:val="22"/>
          <w:lang w:eastAsia="ko-KR"/>
        </w:rPr>
      </w:pPr>
      <w:r w:rsidRPr="00CB6C95">
        <w:rPr>
          <w:sz w:val="22"/>
          <w:szCs w:val="22"/>
          <w:lang w:eastAsia="ko-KR"/>
        </w:rPr>
        <w:t>VDS/ VMS Officer</w:t>
      </w:r>
    </w:p>
    <w:p w14:paraId="4954C6E6" w14:textId="77777777" w:rsidR="00167860" w:rsidRPr="00CB6C95" w:rsidRDefault="00167860" w:rsidP="00167860">
      <w:pPr>
        <w:adjustRightInd w:val="0"/>
        <w:snapToGrid w:val="0"/>
        <w:rPr>
          <w:sz w:val="22"/>
          <w:szCs w:val="22"/>
          <w:lang w:eastAsia="ko-KR"/>
        </w:rPr>
      </w:pPr>
      <w:r w:rsidRPr="00CB6C95">
        <w:rPr>
          <w:sz w:val="22"/>
          <w:szCs w:val="22"/>
          <w:lang w:eastAsia="ko-KR"/>
        </w:rPr>
        <w:t>PNAO</w:t>
      </w:r>
    </w:p>
    <w:p w14:paraId="545F42B1" w14:textId="77777777" w:rsidR="00167860" w:rsidRPr="00CB6C95" w:rsidRDefault="00167860" w:rsidP="00167860">
      <w:pPr>
        <w:adjustRightInd w:val="0"/>
        <w:snapToGrid w:val="0"/>
        <w:rPr>
          <w:sz w:val="22"/>
          <w:szCs w:val="22"/>
          <w:lang w:eastAsia="ko-KR"/>
        </w:rPr>
      </w:pPr>
      <w:r w:rsidRPr="00CB6C95">
        <w:rPr>
          <w:sz w:val="22"/>
          <w:szCs w:val="22"/>
          <w:lang w:eastAsia="ko-KR"/>
        </w:rPr>
        <w:t>penihulo@pnatuna.com</w:t>
      </w:r>
    </w:p>
    <w:p w14:paraId="658E51AC" w14:textId="77777777" w:rsidR="00167860" w:rsidRPr="00CB6C95" w:rsidRDefault="00167860" w:rsidP="00167860">
      <w:pPr>
        <w:adjustRightInd w:val="0"/>
        <w:snapToGrid w:val="0"/>
        <w:rPr>
          <w:sz w:val="22"/>
          <w:szCs w:val="22"/>
          <w:lang w:eastAsia="ko-KR"/>
        </w:rPr>
      </w:pPr>
    </w:p>
    <w:p w14:paraId="1FE0175E" w14:textId="77777777" w:rsidR="00167860" w:rsidRPr="00CB6C95" w:rsidRDefault="00167860" w:rsidP="00167860">
      <w:pPr>
        <w:adjustRightInd w:val="0"/>
        <w:snapToGrid w:val="0"/>
        <w:rPr>
          <w:b/>
          <w:sz w:val="22"/>
          <w:szCs w:val="22"/>
          <w:lang w:eastAsia="ko-KR"/>
        </w:rPr>
      </w:pPr>
      <w:r w:rsidRPr="00CB6C95">
        <w:rPr>
          <w:b/>
          <w:sz w:val="22"/>
          <w:szCs w:val="22"/>
          <w:lang w:eastAsia="ko-KR"/>
        </w:rPr>
        <w:t>Wez Norris</w:t>
      </w:r>
    </w:p>
    <w:p w14:paraId="72ED297E" w14:textId="77777777" w:rsidR="00167860" w:rsidRPr="00CB6C95" w:rsidRDefault="00167860" w:rsidP="00167860">
      <w:pPr>
        <w:adjustRightInd w:val="0"/>
        <w:snapToGrid w:val="0"/>
        <w:rPr>
          <w:sz w:val="22"/>
          <w:szCs w:val="22"/>
          <w:lang w:eastAsia="ko-KR"/>
        </w:rPr>
      </w:pPr>
      <w:r w:rsidRPr="00CB6C95">
        <w:rPr>
          <w:sz w:val="22"/>
          <w:szCs w:val="22"/>
          <w:lang w:eastAsia="ko-KR"/>
        </w:rPr>
        <w:t>Adviser</w:t>
      </w:r>
    </w:p>
    <w:p w14:paraId="0F5DB765" w14:textId="77777777" w:rsidR="00167860" w:rsidRPr="00CB6C95" w:rsidRDefault="00167860" w:rsidP="00167860">
      <w:pPr>
        <w:adjustRightInd w:val="0"/>
        <w:snapToGrid w:val="0"/>
        <w:rPr>
          <w:sz w:val="22"/>
          <w:szCs w:val="22"/>
          <w:lang w:eastAsia="ko-KR"/>
        </w:rPr>
      </w:pPr>
      <w:r w:rsidRPr="00CB6C95">
        <w:rPr>
          <w:sz w:val="22"/>
          <w:szCs w:val="22"/>
          <w:lang w:eastAsia="ko-KR"/>
        </w:rPr>
        <w:t>Parties to the Nauru Agreement Office</w:t>
      </w:r>
    </w:p>
    <w:p w14:paraId="19515178" w14:textId="77777777" w:rsidR="00167860" w:rsidRPr="00CB6C95" w:rsidRDefault="00167860" w:rsidP="00167860">
      <w:pPr>
        <w:adjustRightInd w:val="0"/>
        <w:snapToGrid w:val="0"/>
        <w:rPr>
          <w:sz w:val="22"/>
          <w:szCs w:val="22"/>
          <w:lang w:eastAsia="ko-KR"/>
        </w:rPr>
      </w:pPr>
      <w:r w:rsidRPr="00CB6C95">
        <w:rPr>
          <w:sz w:val="22"/>
          <w:szCs w:val="22"/>
          <w:lang w:eastAsia="ko-KR"/>
        </w:rPr>
        <w:t>PNAO, Majuro</w:t>
      </w:r>
      <w:r w:rsidRPr="00CB6C95">
        <w:rPr>
          <w:sz w:val="22"/>
          <w:szCs w:val="22"/>
          <w:lang w:eastAsia="ko-KR"/>
        </w:rPr>
        <w:br/>
        <w:t>Republic of Marshall Islands</w:t>
      </w:r>
    </w:p>
    <w:p w14:paraId="5FAF2FC6" w14:textId="77777777" w:rsidR="00167860" w:rsidRPr="00CB6C95" w:rsidRDefault="00167860" w:rsidP="00167860">
      <w:pPr>
        <w:adjustRightInd w:val="0"/>
        <w:snapToGrid w:val="0"/>
        <w:rPr>
          <w:sz w:val="22"/>
          <w:szCs w:val="22"/>
          <w:lang w:eastAsia="ko-KR"/>
        </w:rPr>
      </w:pPr>
      <w:r w:rsidRPr="00CB6C95">
        <w:rPr>
          <w:sz w:val="22"/>
          <w:szCs w:val="22"/>
          <w:lang w:eastAsia="ko-KR"/>
        </w:rPr>
        <w:t>61411885566</w:t>
      </w:r>
    </w:p>
    <w:p w14:paraId="5EC8AE32" w14:textId="77777777" w:rsidR="00167860" w:rsidRPr="00CB6C95" w:rsidRDefault="00167860" w:rsidP="00167860">
      <w:pPr>
        <w:adjustRightInd w:val="0"/>
        <w:snapToGrid w:val="0"/>
        <w:rPr>
          <w:sz w:val="22"/>
          <w:szCs w:val="22"/>
          <w:lang w:eastAsia="ko-KR"/>
        </w:rPr>
      </w:pPr>
      <w:r w:rsidRPr="00CB6C95">
        <w:rPr>
          <w:sz w:val="22"/>
          <w:szCs w:val="22"/>
          <w:lang w:eastAsia="ko-KR"/>
        </w:rPr>
        <w:t>wez.norris@pontus.com.au</w:t>
      </w:r>
    </w:p>
    <w:p w14:paraId="53CFAA40" w14:textId="77777777" w:rsidR="00167860" w:rsidRPr="00CB6C95" w:rsidRDefault="00167860" w:rsidP="00167860">
      <w:pPr>
        <w:adjustRightInd w:val="0"/>
        <w:snapToGrid w:val="0"/>
        <w:rPr>
          <w:sz w:val="22"/>
          <w:szCs w:val="22"/>
          <w:lang w:eastAsia="ko-KR"/>
        </w:rPr>
      </w:pPr>
    </w:p>
    <w:p w14:paraId="60C33D47"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Pew Charitable TrustS</w:t>
      </w:r>
    </w:p>
    <w:p w14:paraId="3D12B971" w14:textId="77777777" w:rsidR="00167860" w:rsidRPr="00CB6C95" w:rsidRDefault="00167860" w:rsidP="00167860">
      <w:pPr>
        <w:adjustRightInd w:val="0"/>
        <w:snapToGrid w:val="0"/>
        <w:rPr>
          <w:b/>
          <w:sz w:val="22"/>
          <w:szCs w:val="22"/>
          <w:lang w:eastAsia="ko-KR"/>
        </w:rPr>
      </w:pPr>
    </w:p>
    <w:p w14:paraId="1260E611" w14:textId="77777777" w:rsidR="00167860" w:rsidRPr="00CB6C95" w:rsidRDefault="00167860" w:rsidP="00167860">
      <w:pPr>
        <w:adjustRightInd w:val="0"/>
        <w:snapToGrid w:val="0"/>
        <w:rPr>
          <w:b/>
          <w:sz w:val="22"/>
          <w:szCs w:val="22"/>
          <w:lang w:eastAsia="ko-KR"/>
        </w:rPr>
      </w:pPr>
      <w:r w:rsidRPr="00CB6C95">
        <w:rPr>
          <w:b/>
          <w:sz w:val="22"/>
          <w:szCs w:val="22"/>
          <w:lang w:eastAsia="ko-KR"/>
        </w:rPr>
        <w:t>Glen Holmes</w:t>
      </w:r>
    </w:p>
    <w:p w14:paraId="2A66CEA1" w14:textId="77777777" w:rsidR="00167860" w:rsidRPr="00CB6C95" w:rsidRDefault="00167860" w:rsidP="00167860">
      <w:pPr>
        <w:adjustRightInd w:val="0"/>
        <w:snapToGrid w:val="0"/>
        <w:rPr>
          <w:sz w:val="22"/>
          <w:szCs w:val="22"/>
          <w:lang w:eastAsia="ko-KR"/>
        </w:rPr>
      </w:pPr>
      <w:r w:rsidRPr="00CB6C95">
        <w:rPr>
          <w:sz w:val="22"/>
          <w:szCs w:val="22"/>
          <w:lang w:eastAsia="ko-KR"/>
        </w:rPr>
        <w:t>Officer</w:t>
      </w:r>
    </w:p>
    <w:p w14:paraId="4511AFA9" w14:textId="77777777" w:rsidR="00167860" w:rsidRPr="00CB6C95" w:rsidRDefault="00167860" w:rsidP="00167860">
      <w:pPr>
        <w:adjustRightInd w:val="0"/>
        <w:snapToGrid w:val="0"/>
        <w:rPr>
          <w:sz w:val="22"/>
          <w:szCs w:val="22"/>
          <w:lang w:eastAsia="ko-KR"/>
        </w:rPr>
      </w:pPr>
      <w:r w:rsidRPr="00CB6C95">
        <w:rPr>
          <w:sz w:val="22"/>
          <w:szCs w:val="22"/>
          <w:lang w:eastAsia="ko-KR"/>
        </w:rPr>
        <w:t>The Pew Charitable Trusts</w:t>
      </w:r>
    </w:p>
    <w:p w14:paraId="528CB093" w14:textId="77777777" w:rsidR="00167860" w:rsidRPr="00CB6C95" w:rsidRDefault="00167860" w:rsidP="00167860">
      <w:pPr>
        <w:adjustRightInd w:val="0"/>
        <w:snapToGrid w:val="0"/>
        <w:rPr>
          <w:sz w:val="22"/>
          <w:szCs w:val="22"/>
          <w:lang w:eastAsia="ko-KR"/>
        </w:rPr>
      </w:pPr>
      <w:r w:rsidRPr="00CB6C95">
        <w:rPr>
          <w:sz w:val="22"/>
          <w:szCs w:val="22"/>
          <w:lang w:eastAsia="ko-KR"/>
        </w:rPr>
        <w:t>gholmes@pewtrusts.org</w:t>
      </w:r>
    </w:p>
    <w:p w14:paraId="7A5ECA7F" w14:textId="77777777" w:rsidR="00167860" w:rsidRPr="00CB6C95" w:rsidRDefault="00167860" w:rsidP="00167860">
      <w:pPr>
        <w:adjustRightInd w:val="0"/>
        <w:snapToGrid w:val="0"/>
        <w:rPr>
          <w:sz w:val="22"/>
          <w:szCs w:val="22"/>
          <w:lang w:eastAsia="ko-KR"/>
        </w:rPr>
      </w:pPr>
    </w:p>
    <w:p w14:paraId="218B54D6"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Secretariat of the Pacific Community (SPC)</w:t>
      </w:r>
    </w:p>
    <w:p w14:paraId="79426264" w14:textId="77777777" w:rsidR="00167860" w:rsidRPr="00CB6C95" w:rsidRDefault="00167860" w:rsidP="00167860">
      <w:pPr>
        <w:adjustRightInd w:val="0"/>
        <w:snapToGrid w:val="0"/>
        <w:rPr>
          <w:b/>
          <w:sz w:val="22"/>
          <w:szCs w:val="22"/>
          <w:lang w:eastAsia="ko-KR"/>
        </w:rPr>
      </w:pPr>
    </w:p>
    <w:p w14:paraId="02C58F91" w14:textId="77777777" w:rsidR="00167860" w:rsidRPr="00CB6C95" w:rsidRDefault="00167860" w:rsidP="00167860">
      <w:pPr>
        <w:adjustRightInd w:val="0"/>
        <w:snapToGrid w:val="0"/>
        <w:rPr>
          <w:b/>
          <w:sz w:val="22"/>
          <w:szCs w:val="22"/>
          <w:lang w:eastAsia="ko-KR"/>
        </w:rPr>
      </w:pPr>
      <w:r w:rsidRPr="00CB6C95">
        <w:rPr>
          <w:b/>
          <w:sz w:val="22"/>
          <w:szCs w:val="22"/>
          <w:lang w:eastAsia="ko-KR"/>
        </w:rPr>
        <w:t>John Hampton</w:t>
      </w:r>
    </w:p>
    <w:p w14:paraId="70215D41" w14:textId="77777777" w:rsidR="00167860" w:rsidRPr="00CB6C95" w:rsidRDefault="00167860" w:rsidP="00167860">
      <w:pPr>
        <w:adjustRightInd w:val="0"/>
        <w:snapToGrid w:val="0"/>
        <w:rPr>
          <w:sz w:val="22"/>
          <w:szCs w:val="22"/>
          <w:lang w:eastAsia="ko-KR"/>
        </w:rPr>
      </w:pPr>
      <w:r w:rsidRPr="00CB6C95">
        <w:rPr>
          <w:sz w:val="22"/>
          <w:szCs w:val="22"/>
          <w:lang w:eastAsia="ko-KR"/>
        </w:rPr>
        <w:t>Chief Scientist</w:t>
      </w:r>
    </w:p>
    <w:p w14:paraId="4B036D91" w14:textId="77777777" w:rsidR="00167860" w:rsidRPr="00CB6C95" w:rsidRDefault="00167860" w:rsidP="00167860">
      <w:pPr>
        <w:adjustRightInd w:val="0"/>
        <w:snapToGrid w:val="0"/>
        <w:rPr>
          <w:sz w:val="22"/>
          <w:szCs w:val="22"/>
          <w:lang w:eastAsia="ko-KR"/>
        </w:rPr>
      </w:pPr>
      <w:r w:rsidRPr="00CB6C95">
        <w:rPr>
          <w:sz w:val="22"/>
          <w:szCs w:val="22"/>
          <w:lang w:eastAsia="ko-KR"/>
        </w:rPr>
        <w:t>The Pacific Community (SPC)</w:t>
      </w:r>
    </w:p>
    <w:p w14:paraId="5D8F3442" w14:textId="77777777" w:rsidR="00167860" w:rsidRPr="00CB6C95" w:rsidRDefault="00167860" w:rsidP="00167860">
      <w:pPr>
        <w:adjustRightInd w:val="0"/>
        <w:snapToGrid w:val="0"/>
        <w:rPr>
          <w:sz w:val="22"/>
          <w:szCs w:val="22"/>
          <w:lang w:eastAsia="ko-KR"/>
        </w:rPr>
      </w:pPr>
      <w:r w:rsidRPr="00CB6C95">
        <w:rPr>
          <w:sz w:val="22"/>
          <w:szCs w:val="22"/>
          <w:lang w:eastAsia="ko-KR"/>
        </w:rPr>
        <w:t>B.P D5 98848 Noumea Cedex</w:t>
      </w:r>
      <w:r w:rsidRPr="00CB6C95">
        <w:rPr>
          <w:sz w:val="22"/>
          <w:szCs w:val="22"/>
          <w:lang w:eastAsia="ko-KR"/>
        </w:rPr>
        <w:br/>
        <w:t>New Caledonia</w:t>
      </w:r>
    </w:p>
    <w:p w14:paraId="59D4A6FC" w14:textId="77777777" w:rsidR="00167860" w:rsidRPr="00CB6C95" w:rsidRDefault="00167860" w:rsidP="00167860">
      <w:pPr>
        <w:adjustRightInd w:val="0"/>
        <w:snapToGrid w:val="0"/>
        <w:rPr>
          <w:sz w:val="22"/>
          <w:szCs w:val="22"/>
          <w:lang w:eastAsia="ko-KR"/>
        </w:rPr>
      </w:pPr>
      <w:r w:rsidRPr="00CB6C95">
        <w:rPr>
          <w:sz w:val="22"/>
          <w:szCs w:val="22"/>
          <w:lang w:eastAsia="ko-KR"/>
        </w:rPr>
        <w:t>262000</w:t>
      </w:r>
    </w:p>
    <w:p w14:paraId="4E16F7AC" w14:textId="77777777" w:rsidR="00167860" w:rsidRPr="00CB6C95" w:rsidRDefault="00167860" w:rsidP="00167860">
      <w:pPr>
        <w:adjustRightInd w:val="0"/>
        <w:snapToGrid w:val="0"/>
        <w:rPr>
          <w:sz w:val="22"/>
          <w:szCs w:val="22"/>
          <w:lang w:eastAsia="ko-KR"/>
        </w:rPr>
      </w:pPr>
      <w:r w:rsidRPr="00CB6C95">
        <w:rPr>
          <w:sz w:val="22"/>
          <w:szCs w:val="22"/>
          <w:lang w:eastAsia="ko-KR"/>
        </w:rPr>
        <w:t>johnh@spc.int</w:t>
      </w:r>
    </w:p>
    <w:p w14:paraId="6228716D" w14:textId="77777777" w:rsidR="00167860" w:rsidRPr="00CB6C95" w:rsidRDefault="00167860" w:rsidP="00167860">
      <w:pPr>
        <w:adjustRightInd w:val="0"/>
        <w:snapToGrid w:val="0"/>
        <w:rPr>
          <w:sz w:val="22"/>
          <w:szCs w:val="22"/>
          <w:lang w:eastAsia="ko-KR"/>
        </w:rPr>
      </w:pPr>
    </w:p>
    <w:p w14:paraId="44944AAC" w14:textId="77777777" w:rsidR="00167860" w:rsidRPr="00CB6C95" w:rsidRDefault="00167860" w:rsidP="00167860">
      <w:pPr>
        <w:adjustRightInd w:val="0"/>
        <w:snapToGrid w:val="0"/>
        <w:rPr>
          <w:b/>
          <w:sz w:val="22"/>
          <w:szCs w:val="22"/>
          <w:lang w:eastAsia="ko-KR"/>
        </w:rPr>
      </w:pPr>
      <w:r w:rsidRPr="00CB6C95">
        <w:rPr>
          <w:b/>
          <w:sz w:val="22"/>
          <w:szCs w:val="22"/>
          <w:lang w:eastAsia="ko-KR"/>
        </w:rPr>
        <w:t>Graham Pilling</w:t>
      </w:r>
    </w:p>
    <w:p w14:paraId="08018DCB" w14:textId="77777777" w:rsidR="00167860" w:rsidRPr="00CB6C95" w:rsidRDefault="00167860" w:rsidP="00167860">
      <w:pPr>
        <w:adjustRightInd w:val="0"/>
        <w:snapToGrid w:val="0"/>
        <w:rPr>
          <w:sz w:val="22"/>
          <w:szCs w:val="22"/>
          <w:lang w:eastAsia="ko-KR"/>
        </w:rPr>
      </w:pPr>
      <w:r w:rsidRPr="00CB6C95">
        <w:rPr>
          <w:sz w:val="22"/>
          <w:szCs w:val="22"/>
          <w:lang w:eastAsia="ko-KR"/>
        </w:rPr>
        <w:t>Principal Fisheries Scientist (Stock assessment and modelling), OFP</w:t>
      </w:r>
    </w:p>
    <w:p w14:paraId="3EA9480A" w14:textId="77777777" w:rsidR="00167860" w:rsidRPr="00CB6C95" w:rsidRDefault="00167860" w:rsidP="00167860">
      <w:pPr>
        <w:adjustRightInd w:val="0"/>
        <w:snapToGrid w:val="0"/>
        <w:rPr>
          <w:sz w:val="22"/>
          <w:szCs w:val="22"/>
          <w:lang w:eastAsia="ko-KR"/>
        </w:rPr>
      </w:pPr>
      <w:r w:rsidRPr="00CB6C95">
        <w:rPr>
          <w:sz w:val="22"/>
          <w:szCs w:val="22"/>
          <w:lang w:eastAsia="ko-KR"/>
        </w:rPr>
        <w:t>The Pacific Community (SPC)</w:t>
      </w:r>
    </w:p>
    <w:p w14:paraId="7F3D704F" w14:textId="77777777" w:rsidR="00167860" w:rsidRPr="00CB6C95" w:rsidRDefault="00167860" w:rsidP="00167860">
      <w:pPr>
        <w:adjustRightInd w:val="0"/>
        <w:snapToGrid w:val="0"/>
        <w:rPr>
          <w:sz w:val="22"/>
          <w:szCs w:val="22"/>
          <w:lang w:eastAsia="ko-KR"/>
        </w:rPr>
      </w:pPr>
      <w:r w:rsidRPr="00CB6C95">
        <w:rPr>
          <w:sz w:val="22"/>
          <w:szCs w:val="22"/>
          <w:lang w:eastAsia="ko-KR"/>
        </w:rPr>
        <w:t>grahamp@spc.int</w:t>
      </w:r>
    </w:p>
    <w:p w14:paraId="730A8E3E" w14:textId="77777777" w:rsidR="00167860" w:rsidRPr="00CB6C95" w:rsidRDefault="00167860" w:rsidP="00167860">
      <w:pPr>
        <w:adjustRightInd w:val="0"/>
        <w:snapToGrid w:val="0"/>
        <w:rPr>
          <w:sz w:val="22"/>
          <w:szCs w:val="22"/>
          <w:lang w:eastAsia="ko-KR"/>
        </w:rPr>
      </w:pPr>
    </w:p>
    <w:p w14:paraId="76FFD0FD" w14:textId="77777777" w:rsidR="00167860" w:rsidRPr="00CB6C95" w:rsidRDefault="00167860" w:rsidP="00167860">
      <w:pPr>
        <w:adjustRightInd w:val="0"/>
        <w:snapToGrid w:val="0"/>
        <w:rPr>
          <w:b/>
          <w:sz w:val="22"/>
          <w:szCs w:val="22"/>
          <w:lang w:eastAsia="ko-KR"/>
        </w:rPr>
      </w:pPr>
      <w:r w:rsidRPr="00CB6C95">
        <w:rPr>
          <w:b/>
          <w:sz w:val="22"/>
          <w:szCs w:val="22"/>
          <w:lang w:eastAsia="ko-KR"/>
        </w:rPr>
        <w:t>Peter Williams</w:t>
      </w:r>
    </w:p>
    <w:p w14:paraId="4F016C7A" w14:textId="77777777" w:rsidR="00167860" w:rsidRPr="00CB6C95" w:rsidRDefault="00167860" w:rsidP="00167860">
      <w:pPr>
        <w:adjustRightInd w:val="0"/>
        <w:snapToGrid w:val="0"/>
        <w:rPr>
          <w:sz w:val="22"/>
          <w:szCs w:val="22"/>
          <w:lang w:eastAsia="ko-KR"/>
        </w:rPr>
      </w:pPr>
      <w:r w:rsidRPr="00CB6C95">
        <w:rPr>
          <w:sz w:val="22"/>
          <w:szCs w:val="22"/>
          <w:lang w:eastAsia="ko-KR"/>
        </w:rPr>
        <w:t>Principal Fisheries Scientist (Data Management)</w:t>
      </w:r>
    </w:p>
    <w:p w14:paraId="04AB53D3" w14:textId="77777777" w:rsidR="00167860" w:rsidRPr="00CB6C95" w:rsidRDefault="00167860" w:rsidP="00167860">
      <w:pPr>
        <w:adjustRightInd w:val="0"/>
        <w:snapToGrid w:val="0"/>
        <w:rPr>
          <w:sz w:val="22"/>
          <w:szCs w:val="22"/>
          <w:lang w:eastAsia="ko-KR"/>
        </w:rPr>
      </w:pPr>
      <w:r w:rsidRPr="00CB6C95">
        <w:rPr>
          <w:sz w:val="22"/>
          <w:szCs w:val="22"/>
          <w:lang w:eastAsia="ko-KR"/>
        </w:rPr>
        <w:t>The Pacific Community (SPC)</w:t>
      </w:r>
    </w:p>
    <w:p w14:paraId="3BBB6E6A" w14:textId="77777777" w:rsidR="00167860" w:rsidRPr="00CB6C95" w:rsidRDefault="00167860" w:rsidP="00167860">
      <w:pPr>
        <w:adjustRightInd w:val="0"/>
        <w:snapToGrid w:val="0"/>
        <w:rPr>
          <w:sz w:val="22"/>
          <w:szCs w:val="22"/>
          <w:lang w:eastAsia="ko-KR"/>
        </w:rPr>
      </w:pPr>
      <w:r w:rsidRPr="00CB6C95">
        <w:rPr>
          <w:sz w:val="22"/>
          <w:szCs w:val="22"/>
          <w:lang w:eastAsia="ko-KR"/>
        </w:rPr>
        <w:t>Peterw@spc.int</w:t>
      </w:r>
    </w:p>
    <w:p w14:paraId="2087AB28" w14:textId="77777777" w:rsidR="00167860" w:rsidRPr="00CB6C95" w:rsidRDefault="00167860" w:rsidP="00167860">
      <w:pPr>
        <w:adjustRightInd w:val="0"/>
        <w:snapToGrid w:val="0"/>
        <w:rPr>
          <w:sz w:val="22"/>
          <w:szCs w:val="22"/>
          <w:lang w:eastAsia="ko-KR"/>
        </w:rPr>
      </w:pPr>
    </w:p>
    <w:p w14:paraId="0FBDDE6C" w14:textId="77777777" w:rsidR="00167860" w:rsidRPr="00CB6C95" w:rsidRDefault="00167860" w:rsidP="00167860">
      <w:pPr>
        <w:adjustRightInd w:val="0"/>
        <w:snapToGrid w:val="0"/>
        <w:rPr>
          <w:b/>
          <w:sz w:val="22"/>
          <w:szCs w:val="22"/>
          <w:lang w:eastAsia="ko-KR"/>
        </w:rPr>
      </w:pPr>
      <w:r w:rsidRPr="00CB6C95">
        <w:rPr>
          <w:b/>
          <w:sz w:val="22"/>
          <w:szCs w:val="22"/>
          <w:lang w:eastAsia="ko-KR"/>
        </w:rPr>
        <w:t>Neville Smith</w:t>
      </w:r>
    </w:p>
    <w:p w14:paraId="020A9441" w14:textId="77777777" w:rsidR="00167860" w:rsidRPr="00CB6C95" w:rsidRDefault="00167860" w:rsidP="00167860">
      <w:pPr>
        <w:adjustRightInd w:val="0"/>
        <w:snapToGrid w:val="0"/>
        <w:rPr>
          <w:sz w:val="22"/>
          <w:szCs w:val="22"/>
          <w:lang w:eastAsia="ko-KR"/>
        </w:rPr>
      </w:pPr>
      <w:r w:rsidRPr="00CB6C95">
        <w:rPr>
          <w:sz w:val="22"/>
          <w:szCs w:val="22"/>
          <w:lang w:eastAsia="ko-KR"/>
        </w:rPr>
        <w:t>Principal Fisheries Scientist (Fisheries and Ecosystems Monitoring and Analysis)</w:t>
      </w:r>
    </w:p>
    <w:p w14:paraId="6AE62BDF" w14:textId="77777777" w:rsidR="00167860" w:rsidRPr="00CB6C95" w:rsidRDefault="00167860" w:rsidP="00167860">
      <w:pPr>
        <w:adjustRightInd w:val="0"/>
        <w:snapToGrid w:val="0"/>
        <w:rPr>
          <w:sz w:val="22"/>
          <w:szCs w:val="22"/>
          <w:lang w:eastAsia="ko-KR"/>
        </w:rPr>
      </w:pPr>
      <w:r w:rsidRPr="00CB6C95">
        <w:rPr>
          <w:sz w:val="22"/>
          <w:szCs w:val="22"/>
          <w:lang w:eastAsia="ko-KR"/>
        </w:rPr>
        <w:t>The Pacific Community (SPC)</w:t>
      </w:r>
    </w:p>
    <w:p w14:paraId="1B2DF4F0" w14:textId="77777777" w:rsidR="00167860" w:rsidRPr="00CB6C95" w:rsidRDefault="00167860" w:rsidP="00167860">
      <w:pPr>
        <w:adjustRightInd w:val="0"/>
        <w:snapToGrid w:val="0"/>
        <w:rPr>
          <w:sz w:val="22"/>
          <w:szCs w:val="22"/>
          <w:lang w:eastAsia="ko-KR"/>
        </w:rPr>
      </w:pPr>
      <w:r w:rsidRPr="00CB6C95">
        <w:rPr>
          <w:sz w:val="22"/>
          <w:szCs w:val="22"/>
          <w:lang w:eastAsia="ko-KR"/>
        </w:rPr>
        <w:t>nevilles@spc.int</w:t>
      </w:r>
    </w:p>
    <w:p w14:paraId="4D1A6D62" w14:textId="77777777" w:rsidR="00167860" w:rsidRPr="00CB6C95" w:rsidRDefault="00167860" w:rsidP="00167860">
      <w:pPr>
        <w:adjustRightInd w:val="0"/>
        <w:snapToGrid w:val="0"/>
        <w:rPr>
          <w:sz w:val="22"/>
          <w:szCs w:val="22"/>
          <w:lang w:eastAsia="ko-KR"/>
        </w:rPr>
      </w:pPr>
    </w:p>
    <w:p w14:paraId="09E32C69" w14:textId="77777777" w:rsidR="00167860" w:rsidRPr="00CB6C95" w:rsidRDefault="00167860" w:rsidP="00167860">
      <w:pPr>
        <w:adjustRightInd w:val="0"/>
        <w:snapToGrid w:val="0"/>
        <w:rPr>
          <w:b/>
          <w:sz w:val="22"/>
          <w:szCs w:val="22"/>
          <w:lang w:eastAsia="ko-KR"/>
        </w:rPr>
      </w:pPr>
      <w:r w:rsidRPr="00CB6C95">
        <w:rPr>
          <w:b/>
          <w:sz w:val="22"/>
          <w:szCs w:val="22"/>
          <w:lang w:eastAsia="ko-KR"/>
        </w:rPr>
        <w:t>Laura Tremblay-Boyer</w:t>
      </w:r>
    </w:p>
    <w:p w14:paraId="6B2B6985" w14:textId="77777777" w:rsidR="00167860" w:rsidRPr="00CB6C95" w:rsidRDefault="00167860" w:rsidP="00167860">
      <w:pPr>
        <w:adjustRightInd w:val="0"/>
        <w:snapToGrid w:val="0"/>
        <w:rPr>
          <w:sz w:val="22"/>
          <w:szCs w:val="22"/>
          <w:lang w:eastAsia="ko-KR"/>
        </w:rPr>
      </w:pPr>
      <w:r w:rsidRPr="00CB6C95">
        <w:rPr>
          <w:sz w:val="22"/>
          <w:szCs w:val="22"/>
          <w:lang w:eastAsia="ko-KR"/>
        </w:rPr>
        <w:t>Stock assessment scientist</w:t>
      </w:r>
    </w:p>
    <w:p w14:paraId="7B7C080D" w14:textId="77777777" w:rsidR="00167860" w:rsidRPr="00CB6C95" w:rsidRDefault="00167860" w:rsidP="00167860">
      <w:pPr>
        <w:adjustRightInd w:val="0"/>
        <w:snapToGrid w:val="0"/>
        <w:rPr>
          <w:sz w:val="22"/>
          <w:szCs w:val="22"/>
          <w:lang w:eastAsia="ko-KR"/>
        </w:rPr>
      </w:pPr>
      <w:r w:rsidRPr="00CB6C95">
        <w:rPr>
          <w:sz w:val="22"/>
          <w:szCs w:val="22"/>
          <w:lang w:eastAsia="ko-KR"/>
        </w:rPr>
        <w:t>The Pacific Community (SPC)</w:t>
      </w:r>
    </w:p>
    <w:p w14:paraId="604DDAEC" w14:textId="77777777" w:rsidR="00167860" w:rsidRPr="00CB6C95" w:rsidRDefault="00167860" w:rsidP="00167860">
      <w:pPr>
        <w:adjustRightInd w:val="0"/>
        <w:snapToGrid w:val="0"/>
        <w:rPr>
          <w:sz w:val="22"/>
          <w:szCs w:val="22"/>
          <w:lang w:eastAsia="ko-KR"/>
        </w:rPr>
      </w:pPr>
      <w:r w:rsidRPr="00CB6C95">
        <w:rPr>
          <w:sz w:val="22"/>
          <w:szCs w:val="22"/>
          <w:lang w:eastAsia="ko-KR"/>
        </w:rPr>
        <w:t>lauratb@spc.int</w:t>
      </w:r>
    </w:p>
    <w:p w14:paraId="25D487D9" w14:textId="77777777" w:rsidR="00167860" w:rsidRPr="00CB6C95" w:rsidRDefault="00167860" w:rsidP="00167860">
      <w:pPr>
        <w:adjustRightInd w:val="0"/>
        <w:snapToGrid w:val="0"/>
        <w:rPr>
          <w:sz w:val="22"/>
          <w:szCs w:val="22"/>
          <w:lang w:eastAsia="ko-KR"/>
        </w:rPr>
      </w:pPr>
    </w:p>
    <w:p w14:paraId="656C49D3" w14:textId="77777777" w:rsidR="00167860" w:rsidRPr="00CB6C95" w:rsidRDefault="00167860" w:rsidP="00167860">
      <w:pPr>
        <w:adjustRightInd w:val="0"/>
        <w:snapToGrid w:val="0"/>
        <w:rPr>
          <w:b/>
          <w:sz w:val="22"/>
          <w:szCs w:val="22"/>
          <w:lang w:eastAsia="ko-KR"/>
        </w:rPr>
      </w:pPr>
      <w:r w:rsidRPr="00CB6C95">
        <w:rPr>
          <w:b/>
          <w:sz w:val="22"/>
          <w:szCs w:val="22"/>
          <w:lang w:eastAsia="ko-KR"/>
        </w:rPr>
        <w:t>Tom Peatman</w:t>
      </w:r>
    </w:p>
    <w:p w14:paraId="06591420" w14:textId="77777777" w:rsidR="00167860" w:rsidRPr="00CB6C95" w:rsidRDefault="00167860" w:rsidP="00167860">
      <w:pPr>
        <w:adjustRightInd w:val="0"/>
        <w:snapToGrid w:val="0"/>
        <w:rPr>
          <w:sz w:val="22"/>
          <w:szCs w:val="22"/>
          <w:lang w:eastAsia="ko-KR"/>
        </w:rPr>
      </w:pPr>
      <w:r w:rsidRPr="00CB6C95">
        <w:rPr>
          <w:sz w:val="22"/>
          <w:szCs w:val="22"/>
          <w:lang w:eastAsia="ko-KR"/>
        </w:rPr>
        <w:t>Senior Fisheries Scientist</w:t>
      </w:r>
    </w:p>
    <w:p w14:paraId="2265B564" w14:textId="77777777" w:rsidR="00167860" w:rsidRPr="00CB6C95" w:rsidRDefault="00167860" w:rsidP="00167860">
      <w:pPr>
        <w:adjustRightInd w:val="0"/>
        <w:snapToGrid w:val="0"/>
        <w:rPr>
          <w:sz w:val="22"/>
          <w:szCs w:val="22"/>
          <w:lang w:eastAsia="ko-KR"/>
        </w:rPr>
      </w:pPr>
      <w:r w:rsidRPr="00CB6C95">
        <w:rPr>
          <w:sz w:val="22"/>
          <w:szCs w:val="22"/>
          <w:lang w:eastAsia="ko-KR"/>
        </w:rPr>
        <w:t>The Pacific Community (SPC)</w:t>
      </w:r>
    </w:p>
    <w:p w14:paraId="32EC85C9" w14:textId="77777777" w:rsidR="00167860" w:rsidRPr="00CB6C95" w:rsidRDefault="00167860" w:rsidP="00167860">
      <w:pPr>
        <w:adjustRightInd w:val="0"/>
        <w:snapToGrid w:val="0"/>
        <w:rPr>
          <w:sz w:val="22"/>
          <w:szCs w:val="22"/>
          <w:lang w:eastAsia="ko-KR"/>
        </w:rPr>
      </w:pPr>
      <w:r w:rsidRPr="00CB6C95">
        <w:rPr>
          <w:sz w:val="22"/>
          <w:szCs w:val="22"/>
          <w:lang w:eastAsia="ko-KR"/>
        </w:rPr>
        <w:t>thomasp@spc.int</w:t>
      </w:r>
    </w:p>
    <w:p w14:paraId="36D53C4C" w14:textId="77777777" w:rsidR="00167860" w:rsidRPr="00CB6C95" w:rsidRDefault="00167860" w:rsidP="00167860">
      <w:pPr>
        <w:adjustRightInd w:val="0"/>
        <w:snapToGrid w:val="0"/>
        <w:rPr>
          <w:sz w:val="22"/>
          <w:szCs w:val="22"/>
          <w:lang w:eastAsia="ko-KR"/>
        </w:rPr>
      </w:pPr>
    </w:p>
    <w:p w14:paraId="2D770601" w14:textId="77777777" w:rsidR="00167860" w:rsidRPr="00CB6C95" w:rsidRDefault="00167860" w:rsidP="00167860">
      <w:pPr>
        <w:adjustRightInd w:val="0"/>
        <w:snapToGrid w:val="0"/>
        <w:rPr>
          <w:b/>
          <w:sz w:val="22"/>
          <w:szCs w:val="22"/>
          <w:lang w:eastAsia="ko-KR"/>
        </w:rPr>
      </w:pPr>
      <w:r w:rsidRPr="00CB6C95">
        <w:rPr>
          <w:b/>
          <w:sz w:val="22"/>
          <w:szCs w:val="22"/>
          <w:lang w:eastAsia="ko-KR"/>
        </w:rPr>
        <w:t>Robert Scott</w:t>
      </w:r>
    </w:p>
    <w:p w14:paraId="4A2E1866" w14:textId="77777777" w:rsidR="00167860" w:rsidRPr="00CB6C95" w:rsidRDefault="00167860" w:rsidP="00167860">
      <w:pPr>
        <w:adjustRightInd w:val="0"/>
        <w:snapToGrid w:val="0"/>
        <w:rPr>
          <w:sz w:val="22"/>
          <w:szCs w:val="22"/>
          <w:lang w:eastAsia="ko-KR"/>
        </w:rPr>
      </w:pPr>
      <w:r w:rsidRPr="00CB6C95">
        <w:rPr>
          <w:sz w:val="22"/>
          <w:szCs w:val="22"/>
          <w:lang w:eastAsia="ko-KR"/>
        </w:rPr>
        <w:t>Senior Fisheries Scientist</w:t>
      </w:r>
    </w:p>
    <w:p w14:paraId="656AD832" w14:textId="77777777" w:rsidR="00167860" w:rsidRPr="00CB6C95" w:rsidRDefault="00167860" w:rsidP="00167860">
      <w:pPr>
        <w:adjustRightInd w:val="0"/>
        <w:snapToGrid w:val="0"/>
        <w:rPr>
          <w:sz w:val="22"/>
          <w:szCs w:val="22"/>
          <w:lang w:eastAsia="ko-KR"/>
        </w:rPr>
      </w:pPr>
      <w:r w:rsidRPr="00CB6C95">
        <w:rPr>
          <w:sz w:val="22"/>
          <w:szCs w:val="22"/>
          <w:lang w:eastAsia="ko-KR"/>
        </w:rPr>
        <w:t>The Pacific Community (SPC)</w:t>
      </w:r>
    </w:p>
    <w:p w14:paraId="4EF4D985" w14:textId="77777777" w:rsidR="00167860" w:rsidRPr="00CB6C95" w:rsidRDefault="00167860" w:rsidP="00167860">
      <w:pPr>
        <w:adjustRightInd w:val="0"/>
        <w:snapToGrid w:val="0"/>
        <w:rPr>
          <w:sz w:val="22"/>
          <w:szCs w:val="22"/>
          <w:lang w:eastAsia="ko-KR"/>
        </w:rPr>
      </w:pPr>
      <w:r w:rsidRPr="00CB6C95">
        <w:rPr>
          <w:sz w:val="22"/>
          <w:szCs w:val="22"/>
          <w:lang w:eastAsia="ko-KR"/>
        </w:rPr>
        <w:t>robertsc@spc.int</w:t>
      </w:r>
    </w:p>
    <w:p w14:paraId="2249979D" w14:textId="77777777" w:rsidR="00167860" w:rsidRPr="00CB6C95" w:rsidRDefault="00167860" w:rsidP="00167860">
      <w:pPr>
        <w:adjustRightInd w:val="0"/>
        <w:snapToGrid w:val="0"/>
        <w:rPr>
          <w:sz w:val="22"/>
          <w:szCs w:val="22"/>
          <w:lang w:eastAsia="ko-KR"/>
        </w:rPr>
      </w:pPr>
    </w:p>
    <w:p w14:paraId="7C4A22C5" w14:textId="77777777" w:rsidR="00167860" w:rsidRPr="00CB6C95" w:rsidRDefault="00167860" w:rsidP="00167860">
      <w:pPr>
        <w:adjustRightInd w:val="0"/>
        <w:snapToGrid w:val="0"/>
        <w:rPr>
          <w:b/>
          <w:sz w:val="22"/>
          <w:szCs w:val="22"/>
          <w:lang w:eastAsia="ko-KR"/>
        </w:rPr>
      </w:pPr>
      <w:r w:rsidRPr="00CB6C95">
        <w:rPr>
          <w:b/>
          <w:sz w:val="22"/>
          <w:szCs w:val="22"/>
          <w:lang w:eastAsia="ko-KR"/>
        </w:rPr>
        <w:t>Finlay Scott</w:t>
      </w:r>
    </w:p>
    <w:p w14:paraId="4324DD5F" w14:textId="77777777" w:rsidR="00167860" w:rsidRPr="00CB6C95" w:rsidRDefault="00167860" w:rsidP="00167860">
      <w:pPr>
        <w:adjustRightInd w:val="0"/>
        <w:snapToGrid w:val="0"/>
        <w:rPr>
          <w:sz w:val="22"/>
          <w:szCs w:val="22"/>
          <w:lang w:eastAsia="ko-KR"/>
        </w:rPr>
      </w:pPr>
      <w:r w:rsidRPr="00CB6C95">
        <w:rPr>
          <w:sz w:val="22"/>
          <w:szCs w:val="22"/>
          <w:lang w:eastAsia="ko-KR"/>
        </w:rPr>
        <w:t>Senior Fisheries Scientist</w:t>
      </w:r>
    </w:p>
    <w:p w14:paraId="784D5E73" w14:textId="77777777" w:rsidR="00167860" w:rsidRPr="00CB6C95" w:rsidRDefault="00167860" w:rsidP="00167860">
      <w:pPr>
        <w:adjustRightInd w:val="0"/>
        <w:snapToGrid w:val="0"/>
        <w:rPr>
          <w:sz w:val="22"/>
          <w:szCs w:val="22"/>
          <w:lang w:eastAsia="ko-KR"/>
        </w:rPr>
      </w:pPr>
      <w:r w:rsidRPr="00CB6C95">
        <w:rPr>
          <w:sz w:val="22"/>
          <w:szCs w:val="22"/>
          <w:lang w:eastAsia="ko-KR"/>
        </w:rPr>
        <w:t>The Pacific Community (SPC)</w:t>
      </w:r>
    </w:p>
    <w:p w14:paraId="4B2D52EB" w14:textId="77777777" w:rsidR="00167860" w:rsidRPr="00CB6C95" w:rsidRDefault="00167860" w:rsidP="00167860">
      <w:pPr>
        <w:adjustRightInd w:val="0"/>
        <w:snapToGrid w:val="0"/>
        <w:rPr>
          <w:sz w:val="22"/>
          <w:szCs w:val="22"/>
          <w:lang w:eastAsia="ko-KR"/>
        </w:rPr>
      </w:pPr>
      <w:r w:rsidRPr="00CB6C95">
        <w:rPr>
          <w:sz w:val="22"/>
          <w:szCs w:val="22"/>
          <w:lang w:eastAsia="ko-KR"/>
        </w:rPr>
        <w:t>finlays@spc.int</w:t>
      </w:r>
    </w:p>
    <w:p w14:paraId="24D2E600" w14:textId="77777777" w:rsidR="00167860" w:rsidRPr="00CB6C95" w:rsidRDefault="00167860" w:rsidP="00167860">
      <w:pPr>
        <w:adjustRightInd w:val="0"/>
        <w:snapToGrid w:val="0"/>
        <w:rPr>
          <w:sz w:val="22"/>
          <w:szCs w:val="22"/>
          <w:lang w:eastAsia="ko-KR"/>
        </w:rPr>
      </w:pPr>
    </w:p>
    <w:p w14:paraId="49CE65AA" w14:textId="77777777" w:rsidR="00167860" w:rsidRPr="00CB6C95" w:rsidRDefault="00167860" w:rsidP="00167860">
      <w:pPr>
        <w:adjustRightInd w:val="0"/>
        <w:snapToGrid w:val="0"/>
        <w:rPr>
          <w:b/>
          <w:sz w:val="22"/>
          <w:szCs w:val="22"/>
          <w:lang w:eastAsia="ko-KR"/>
        </w:rPr>
      </w:pPr>
      <w:r w:rsidRPr="00CB6C95">
        <w:rPr>
          <w:b/>
          <w:sz w:val="22"/>
          <w:szCs w:val="22"/>
          <w:lang w:eastAsia="ko-KR"/>
        </w:rPr>
        <w:t>Matthew Vincent</w:t>
      </w:r>
    </w:p>
    <w:p w14:paraId="0E1F1888" w14:textId="77777777" w:rsidR="00167860" w:rsidRPr="00CB6C95" w:rsidRDefault="00167860" w:rsidP="00167860">
      <w:pPr>
        <w:adjustRightInd w:val="0"/>
        <w:snapToGrid w:val="0"/>
        <w:rPr>
          <w:sz w:val="22"/>
          <w:szCs w:val="22"/>
          <w:lang w:eastAsia="ko-KR"/>
        </w:rPr>
      </w:pPr>
      <w:r w:rsidRPr="00CB6C95">
        <w:rPr>
          <w:sz w:val="22"/>
          <w:szCs w:val="22"/>
          <w:lang w:eastAsia="ko-KR"/>
        </w:rPr>
        <w:t>Fisheries Scientist (Stock Assessment)</w:t>
      </w:r>
    </w:p>
    <w:p w14:paraId="59FCD0DA" w14:textId="77777777" w:rsidR="00167860" w:rsidRPr="00CB6C95" w:rsidRDefault="00167860" w:rsidP="00167860">
      <w:pPr>
        <w:adjustRightInd w:val="0"/>
        <w:snapToGrid w:val="0"/>
        <w:rPr>
          <w:sz w:val="22"/>
          <w:szCs w:val="22"/>
          <w:lang w:eastAsia="ko-KR"/>
        </w:rPr>
      </w:pPr>
      <w:r w:rsidRPr="00CB6C95">
        <w:rPr>
          <w:sz w:val="22"/>
          <w:szCs w:val="22"/>
          <w:lang w:eastAsia="ko-KR"/>
        </w:rPr>
        <w:t>The Pacific Community (SPC)</w:t>
      </w:r>
    </w:p>
    <w:p w14:paraId="52E524EB" w14:textId="77777777" w:rsidR="00167860" w:rsidRPr="00CB6C95" w:rsidRDefault="00167860" w:rsidP="00167860">
      <w:pPr>
        <w:adjustRightInd w:val="0"/>
        <w:snapToGrid w:val="0"/>
        <w:rPr>
          <w:sz w:val="22"/>
          <w:szCs w:val="22"/>
          <w:lang w:eastAsia="ko-KR"/>
        </w:rPr>
      </w:pPr>
      <w:r w:rsidRPr="00CB6C95">
        <w:rPr>
          <w:sz w:val="22"/>
          <w:szCs w:val="22"/>
          <w:lang w:eastAsia="ko-KR"/>
        </w:rPr>
        <w:t>matthewv@spc.int</w:t>
      </w:r>
    </w:p>
    <w:p w14:paraId="3BC63086" w14:textId="77777777" w:rsidR="00167860" w:rsidRPr="00CB6C95" w:rsidRDefault="00167860" w:rsidP="00167860">
      <w:pPr>
        <w:adjustRightInd w:val="0"/>
        <w:snapToGrid w:val="0"/>
        <w:rPr>
          <w:sz w:val="22"/>
          <w:szCs w:val="22"/>
          <w:lang w:eastAsia="ko-KR"/>
        </w:rPr>
      </w:pPr>
    </w:p>
    <w:p w14:paraId="3D4066C3" w14:textId="77777777" w:rsidR="00167860" w:rsidRPr="00CB6C95" w:rsidRDefault="00167860" w:rsidP="00167860">
      <w:pPr>
        <w:adjustRightInd w:val="0"/>
        <w:snapToGrid w:val="0"/>
        <w:rPr>
          <w:b/>
          <w:sz w:val="22"/>
          <w:szCs w:val="22"/>
          <w:lang w:eastAsia="ko-KR"/>
        </w:rPr>
      </w:pPr>
      <w:r w:rsidRPr="00CB6C95">
        <w:rPr>
          <w:b/>
          <w:sz w:val="22"/>
          <w:szCs w:val="22"/>
          <w:lang w:eastAsia="ko-KR"/>
        </w:rPr>
        <w:t>Stephen Brouwer</w:t>
      </w:r>
    </w:p>
    <w:p w14:paraId="6AB317C3"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Senior Fisheries Scientist  </w:t>
      </w:r>
    </w:p>
    <w:p w14:paraId="73A37445" w14:textId="77777777" w:rsidR="00167860" w:rsidRPr="00CB6C95" w:rsidRDefault="00167860" w:rsidP="00167860">
      <w:pPr>
        <w:adjustRightInd w:val="0"/>
        <w:snapToGrid w:val="0"/>
        <w:rPr>
          <w:sz w:val="22"/>
          <w:szCs w:val="22"/>
          <w:lang w:eastAsia="ko-KR"/>
        </w:rPr>
      </w:pPr>
      <w:r w:rsidRPr="00CB6C95">
        <w:rPr>
          <w:sz w:val="22"/>
          <w:szCs w:val="22"/>
          <w:lang w:eastAsia="ko-KR"/>
        </w:rPr>
        <w:t>The Pacific Community (SPC)</w:t>
      </w:r>
    </w:p>
    <w:p w14:paraId="60B07280" w14:textId="77777777" w:rsidR="00167860" w:rsidRPr="00CB6C95" w:rsidRDefault="00167860" w:rsidP="00167860">
      <w:pPr>
        <w:adjustRightInd w:val="0"/>
        <w:snapToGrid w:val="0"/>
        <w:rPr>
          <w:sz w:val="22"/>
          <w:szCs w:val="22"/>
          <w:lang w:eastAsia="ko-KR"/>
        </w:rPr>
      </w:pPr>
      <w:r w:rsidRPr="00CB6C95">
        <w:rPr>
          <w:sz w:val="22"/>
          <w:szCs w:val="22"/>
          <w:lang w:eastAsia="ko-KR"/>
        </w:rPr>
        <w:t>stephenb@spc.int</w:t>
      </w:r>
    </w:p>
    <w:p w14:paraId="6C258704" w14:textId="77777777" w:rsidR="00167860" w:rsidRPr="00CB6C95" w:rsidRDefault="00167860" w:rsidP="00167860">
      <w:pPr>
        <w:adjustRightInd w:val="0"/>
        <w:snapToGrid w:val="0"/>
        <w:rPr>
          <w:sz w:val="22"/>
          <w:szCs w:val="22"/>
          <w:lang w:eastAsia="ko-KR"/>
        </w:rPr>
      </w:pPr>
    </w:p>
    <w:p w14:paraId="76B9A195" w14:textId="77777777" w:rsidR="00167860" w:rsidRPr="00CB6C95" w:rsidRDefault="00167860" w:rsidP="00167860">
      <w:pPr>
        <w:adjustRightInd w:val="0"/>
        <w:snapToGrid w:val="0"/>
        <w:rPr>
          <w:b/>
          <w:sz w:val="22"/>
          <w:szCs w:val="22"/>
          <w:lang w:eastAsia="ko-KR"/>
        </w:rPr>
      </w:pPr>
      <w:r w:rsidRPr="00CB6C95">
        <w:rPr>
          <w:b/>
          <w:sz w:val="22"/>
          <w:szCs w:val="22"/>
          <w:lang w:eastAsia="ko-KR"/>
        </w:rPr>
        <w:t>Yukio Takeuchi</w:t>
      </w:r>
    </w:p>
    <w:p w14:paraId="4A78B828"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Senior Fisheries Scientist (Stock Assessment) </w:t>
      </w:r>
    </w:p>
    <w:p w14:paraId="143DA715" w14:textId="77777777" w:rsidR="00167860" w:rsidRPr="00CB6C95" w:rsidRDefault="00167860" w:rsidP="00167860">
      <w:pPr>
        <w:adjustRightInd w:val="0"/>
        <w:snapToGrid w:val="0"/>
        <w:rPr>
          <w:sz w:val="22"/>
          <w:szCs w:val="22"/>
          <w:lang w:eastAsia="ko-KR"/>
        </w:rPr>
      </w:pPr>
      <w:r w:rsidRPr="00CB6C95">
        <w:rPr>
          <w:sz w:val="22"/>
          <w:szCs w:val="22"/>
          <w:lang w:eastAsia="ko-KR"/>
        </w:rPr>
        <w:t>The Pacific Community (SPC)</w:t>
      </w:r>
    </w:p>
    <w:p w14:paraId="1C3F8E39" w14:textId="77777777" w:rsidR="00167860" w:rsidRPr="00CB6C95" w:rsidRDefault="00167860" w:rsidP="00167860">
      <w:pPr>
        <w:adjustRightInd w:val="0"/>
        <w:snapToGrid w:val="0"/>
        <w:rPr>
          <w:sz w:val="22"/>
          <w:szCs w:val="22"/>
          <w:lang w:eastAsia="ko-KR"/>
        </w:rPr>
      </w:pPr>
      <w:r w:rsidRPr="00CB6C95">
        <w:rPr>
          <w:sz w:val="22"/>
          <w:szCs w:val="22"/>
          <w:lang w:eastAsia="ko-KR"/>
        </w:rPr>
        <w:t>yukiot@spc.int</w:t>
      </w:r>
    </w:p>
    <w:p w14:paraId="4D3FE005" w14:textId="77777777" w:rsidR="00167860" w:rsidRPr="00CB6C95" w:rsidRDefault="00167860" w:rsidP="00167860">
      <w:pPr>
        <w:adjustRightInd w:val="0"/>
        <w:snapToGrid w:val="0"/>
        <w:rPr>
          <w:sz w:val="22"/>
          <w:szCs w:val="22"/>
          <w:lang w:eastAsia="ko-KR"/>
        </w:rPr>
      </w:pPr>
    </w:p>
    <w:p w14:paraId="26820C50" w14:textId="77777777" w:rsidR="00167860" w:rsidRPr="00CB6C95" w:rsidRDefault="00167860" w:rsidP="00167860">
      <w:pPr>
        <w:adjustRightInd w:val="0"/>
        <w:snapToGrid w:val="0"/>
        <w:rPr>
          <w:b/>
          <w:sz w:val="22"/>
          <w:szCs w:val="22"/>
          <w:lang w:eastAsia="ko-KR"/>
        </w:rPr>
      </w:pPr>
      <w:r w:rsidRPr="00CB6C95">
        <w:rPr>
          <w:b/>
          <w:sz w:val="22"/>
          <w:szCs w:val="22"/>
          <w:lang w:eastAsia="ko-KR"/>
        </w:rPr>
        <w:t>Lauriane Escalle</w:t>
      </w:r>
    </w:p>
    <w:p w14:paraId="661F3380" w14:textId="77777777" w:rsidR="00167860" w:rsidRPr="00CB6C95" w:rsidRDefault="00167860" w:rsidP="00167860">
      <w:pPr>
        <w:adjustRightInd w:val="0"/>
        <w:snapToGrid w:val="0"/>
        <w:rPr>
          <w:sz w:val="22"/>
          <w:szCs w:val="22"/>
          <w:lang w:eastAsia="ko-KR"/>
        </w:rPr>
      </w:pPr>
      <w:r w:rsidRPr="00CB6C95">
        <w:rPr>
          <w:sz w:val="22"/>
          <w:szCs w:val="22"/>
          <w:lang w:eastAsia="ko-KR"/>
        </w:rPr>
        <w:t>Fishery Scientist</w:t>
      </w:r>
    </w:p>
    <w:p w14:paraId="5607988E" w14:textId="77777777" w:rsidR="00167860" w:rsidRPr="00CB6C95" w:rsidRDefault="00167860" w:rsidP="00167860">
      <w:pPr>
        <w:adjustRightInd w:val="0"/>
        <w:snapToGrid w:val="0"/>
        <w:rPr>
          <w:sz w:val="22"/>
          <w:szCs w:val="22"/>
          <w:lang w:eastAsia="ko-KR"/>
        </w:rPr>
      </w:pPr>
      <w:r w:rsidRPr="00CB6C95">
        <w:rPr>
          <w:sz w:val="22"/>
          <w:szCs w:val="22"/>
          <w:lang w:eastAsia="ko-KR"/>
        </w:rPr>
        <w:t>The Pacific Community (SPC)</w:t>
      </w:r>
    </w:p>
    <w:p w14:paraId="7C745E5E" w14:textId="77777777" w:rsidR="00167860" w:rsidRPr="00CB6C95" w:rsidRDefault="00167860" w:rsidP="00167860">
      <w:pPr>
        <w:adjustRightInd w:val="0"/>
        <w:snapToGrid w:val="0"/>
        <w:rPr>
          <w:sz w:val="22"/>
          <w:szCs w:val="22"/>
          <w:lang w:eastAsia="ko-KR"/>
        </w:rPr>
      </w:pPr>
      <w:r w:rsidRPr="00CB6C95">
        <w:rPr>
          <w:sz w:val="22"/>
          <w:szCs w:val="22"/>
          <w:lang w:eastAsia="ko-KR"/>
        </w:rPr>
        <w:t>laurianee@spc.int</w:t>
      </w:r>
    </w:p>
    <w:p w14:paraId="175533BD" w14:textId="77777777" w:rsidR="00167860" w:rsidRPr="00CB6C95" w:rsidRDefault="00167860" w:rsidP="00167860">
      <w:pPr>
        <w:adjustRightInd w:val="0"/>
        <w:snapToGrid w:val="0"/>
        <w:rPr>
          <w:sz w:val="22"/>
          <w:szCs w:val="22"/>
          <w:lang w:eastAsia="ko-KR"/>
        </w:rPr>
      </w:pPr>
    </w:p>
    <w:p w14:paraId="3AAE893E" w14:textId="77777777" w:rsidR="00167860" w:rsidRPr="00CB6C95" w:rsidRDefault="00167860" w:rsidP="00167860">
      <w:pPr>
        <w:adjustRightInd w:val="0"/>
        <w:snapToGrid w:val="0"/>
        <w:rPr>
          <w:b/>
          <w:sz w:val="22"/>
          <w:szCs w:val="22"/>
          <w:lang w:eastAsia="ko-KR"/>
        </w:rPr>
      </w:pPr>
      <w:r w:rsidRPr="00CB6C95">
        <w:rPr>
          <w:b/>
          <w:sz w:val="22"/>
          <w:szCs w:val="22"/>
          <w:lang w:eastAsia="ko-KR"/>
        </w:rPr>
        <w:t>Andrew Hunt</w:t>
      </w:r>
    </w:p>
    <w:p w14:paraId="54D3D01C" w14:textId="77777777" w:rsidR="00167860" w:rsidRPr="00CB6C95" w:rsidRDefault="00167860" w:rsidP="00167860">
      <w:pPr>
        <w:adjustRightInd w:val="0"/>
        <w:snapToGrid w:val="0"/>
        <w:rPr>
          <w:sz w:val="22"/>
          <w:szCs w:val="22"/>
          <w:lang w:eastAsia="ko-KR"/>
        </w:rPr>
      </w:pPr>
      <w:r w:rsidRPr="00CB6C95">
        <w:rPr>
          <w:sz w:val="22"/>
          <w:szCs w:val="22"/>
          <w:lang w:eastAsia="ko-KR"/>
        </w:rPr>
        <w:t>Data Analyst/Trainer</w:t>
      </w:r>
    </w:p>
    <w:p w14:paraId="5CE3B20A" w14:textId="77777777" w:rsidR="00167860" w:rsidRPr="00CB6C95" w:rsidRDefault="00167860" w:rsidP="00167860">
      <w:pPr>
        <w:adjustRightInd w:val="0"/>
        <w:snapToGrid w:val="0"/>
        <w:rPr>
          <w:sz w:val="22"/>
          <w:szCs w:val="22"/>
          <w:lang w:eastAsia="ko-KR"/>
        </w:rPr>
      </w:pPr>
      <w:r w:rsidRPr="00CB6C95">
        <w:rPr>
          <w:sz w:val="22"/>
          <w:szCs w:val="22"/>
          <w:lang w:eastAsia="ko-KR"/>
        </w:rPr>
        <w:t>The Pacific Community (SPC)</w:t>
      </w:r>
    </w:p>
    <w:p w14:paraId="26320ABE" w14:textId="77777777" w:rsidR="00167860" w:rsidRPr="00CB6C95" w:rsidRDefault="00167860" w:rsidP="00167860">
      <w:pPr>
        <w:adjustRightInd w:val="0"/>
        <w:snapToGrid w:val="0"/>
        <w:rPr>
          <w:sz w:val="22"/>
          <w:szCs w:val="22"/>
          <w:lang w:eastAsia="ko-KR"/>
        </w:rPr>
      </w:pPr>
      <w:r w:rsidRPr="00CB6C95">
        <w:rPr>
          <w:sz w:val="22"/>
          <w:szCs w:val="22"/>
          <w:lang w:eastAsia="ko-KR"/>
        </w:rPr>
        <w:t>andrewh@spc.int</w:t>
      </w:r>
    </w:p>
    <w:p w14:paraId="68D2DE15" w14:textId="77777777" w:rsidR="00167860" w:rsidRPr="00CB6C95" w:rsidRDefault="00167860" w:rsidP="00167860">
      <w:pPr>
        <w:adjustRightInd w:val="0"/>
        <w:snapToGrid w:val="0"/>
        <w:rPr>
          <w:sz w:val="22"/>
          <w:szCs w:val="22"/>
          <w:lang w:eastAsia="ko-KR"/>
        </w:rPr>
      </w:pPr>
    </w:p>
    <w:p w14:paraId="7C9EBB45" w14:textId="77777777" w:rsidR="00167860" w:rsidRPr="00CB6C95" w:rsidRDefault="00167860" w:rsidP="00167860">
      <w:pPr>
        <w:adjustRightInd w:val="0"/>
        <w:snapToGrid w:val="0"/>
        <w:rPr>
          <w:b/>
          <w:sz w:val="22"/>
          <w:szCs w:val="22"/>
          <w:lang w:eastAsia="ko-KR"/>
        </w:rPr>
      </w:pPr>
      <w:r w:rsidRPr="00CB6C95">
        <w:rPr>
          <w:b/>
          <w:sz w:val="22"/>
          <w:szCs w:val="22"/>
          <w:lang w:eastAsia="ko-KR"/>
        </w:rPr>
        <w:t>Joel Rice</w:t>
      </w:r>
    </w:p>
    <w:p w14:paraId="708338A1" w14:textId="77777777" w:rsidR="00167860" w:rsidRPr="00CB6C95" w:rsidRDefault="00167860" w:rsidP="00167860">
      <w:pPr>
        <w:adjustRightInd w:val="0"/>
        <w:snapToGrid w:val="0"/>
        <w:rPr>
          <w:sz w:val="22"/>
          <w:szCs w:val="22"/>
          <w:lang w:eastAsia="ko-KR"/>
        </w:rPr>
      </w:pPr>
      <w:r w:rsidRPr="00CB6C95">
        <w:rPr>
          <w:sz w:val="22"/>
          <w:szCs w:val="22"/>
          <w:lang w:eastAsia="ko-KR"/>
        </w:rPr>
        <w:t>Principal</w:t>
      </w:r>
    </w:p>
    <w:p w14:paraId="75206E59" w14:textId="77777777" w:rsidR="00167860" w:rsidRPr="00CB6C95" w:rsidRDefault="00167860" w:rsidP="00167860">
      <w:pPr>
        <w:adjustRightInd w:val="0"/>
        <w:snapToGrid w:val="0"/>
        <w:rPr>
          <w:sz w:val="22"/>
          <w:szCs w:val="22"/>
          <w:lang w:eastAsia="ko-KR"/>
        </w:rPr>
      </w:pPr>
      <w:r w:rsidRPr="00CB6C95">
        <w:rPr>
          <w:sz w:val="22"/>
          <w:szCs w:val="22"/>
          <w:lang w:eastAsia="ko-KR"/>
        </w:rPr>
        <w:t>Joel Rice Consulting</w:t>
      </w:r>
    </w:p>
    <w:p w14:paraId="783641E4" w14:textId="77777777" w:rsidR="00167860" w:rsidRPr="00CB6C95" w:rsidRDefault="00167860" w:rsidP="00167860">
      <w:pPr>
        <w:adjustRightInd w:val="0"/>
        <w:snapToGrid w:val="0"/>
        <w:rPr>
          <w:sz w:val="22"/>
          <w:szCs w:val="22"/>
          <w:lang w:eastAsia="ko-KR"/>
        </w:rPr>
      </w:pPr>
      <w:r w:rsidRPr="00CB6C95">
        <w:rPr>
          <w:sz w:val="22"/>
          <w:szCs w:val="22"/>
          <w:lang w:eastAsia="ko-KR"/>
        </w:rPr>
        <w:t>joelrice@uw.edu</w:t>
      </w:r>
    </w:p>
    <w:p w14:paraId="548AC7E1" w14:textId="77777777" w:rsidR="00167860" w:rsidRPr="00CB6C95" w:rsidRDefault="00167860" w:rsidP="00167860">
      <w:pPr>
        <w:adjustRightInd w:val="0"/>
        <w:snapToGrid w:val="0"/>
        <w:rPr>
          <w:sz w:val="22"/>
          <w:szCs w:val="22"/>
          <w:lang w:eastAsia="ko-KR"/>
        </w:rPr>
      </w:pPr>
    </w:p>
    <w:p w14:paraId="6B22ECE9"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The Nature Conservancy (TNC)</w:t>
      </w:r>
    </w:p>
    <w:p w14:paraId="35E78F3F" w14:textId="77777777" w:rsidR="00167860" w:rsidRPr="00CB6C95" w:rsidRDefault="00167860" w:rsidP="00167860">
      <w:pPr>
        <w:adjustRightInd w:val="0"/>
        <w:snapToGrid w:val="0"/>
        <w:rPr>
          <w:b/>
          <w:sz w:val="22"/>
          <w:szCs w:val="22"/>
          <w:lang w:eastAsia="ko-KR"/>
        </w:rPr>
      </w:pPr>
    </w:p>
    <w:p w14:paraId="0F6F2D3F" w14:textId="77777777" w:rsidR="00167860" w:rsidRPr="00CB6C95" w:rsidRDefault="00167860" w:rsidP="00167860">
      <w:pPr>
        <w:adjustRightInd w:val="0"/>
        <w:snapToGrid w:val="0"/>
        <w:rPr>
          <w:b/>
          <w:sz w:val="22"/>
          <w:szCs w:val="22"/>
          <w:lang w:eastAsia="ko-KR"/>
        </w:rPr>
      </w:pPr>
      <w:r w:rsidRPr="00CB6C95">
        <w:rPr>
          <w:b/>
          <w:sz w:val="22"/>
          <w:szCs w:val="22"/>
          <w:lang w:eastAsia="ko-KR"/>
        </w:rPr>
        <w:t>Craig Franklin Heberer</w:t>
      </w:r>
    </w:p>
    <w:p w14:paraId="372776B2" w14:textId="77777777" w:rsidR="00167860" w:rsidRPr="00CB6C95" w:rsidRDefault="00167860" w:rsidP="00167860">
      <w:pPr>
        <w:adjustRightInd w:val="0"/>
        <w:snapToGrid w:val="0"/>
        <w:rPr>
          <w:sz w:val="22"/>
          <w:szCs w:val="22"/>
          <w:lang w:eastAsia="ko-KR"/>
        </w:rPr>
      </w:pPr>
      <w:r w:rsidRPr="00CB6C95">
        <w:rPr>
          <w:sz w:val="22"/>
          <w:szCs w:val="22"/>
          <w:lang w:eastAsia="ko-KR"/>
        </w:rPr>
        <w:t>Deputy Director, Indo-Pacific Tuna Program</w:t>
      </w:r>
    </w:p>
    <w:p w14:paraId="000155F9" w14:textId="77777777" w:rsidR="00167860" w:rsidRPr="00CB6C95" w:rsidRDefault="00167860" w:rsidP="00167860">
      <w:pPr>
        <w:adjustRightInd w:val="0"/>
        <w:snapToGrid w:val="0"/>
        <w:rPr>
          <w:sz w:val="22"/>
          <w:szCs w:val="22"/>
          <w:lang w:eastAsia="ko-KR"/>
        </w:rPr>
      </w:pPr>
      <w:r w:rsidRPr="00CB6C95">
        <w:rPr>
          <w:sz w:val="22"/>
          <w:szCs w:val="22"/>
          <w:lang w:eastAsia="ko-KR"/>
        </w:rPr>
        <w:t>The Nature Conservancy (TNC)</w:t>
      </w:r>
    </w:p>
    <w:p w14:paraId="4E4BD3A0" w14:textId="77777777" w:rsidR="00167860" w:rsidRPr="00CB6C95" w:rsidRDefault="00167860" w:rsidP="00167860">
      <w:pPr>
        <w:adjustRightInd w:val="0"/>
        <w:snapToGrid w:val="0"/>
        <w:rPr>
          <w:sz w:val="22"/>
          <w:szCs w:val="22"/>
          <w:lang w:eastAsia="ko-KR"/>
        </w:rPr>
      </w:pPr>
      <w:r w:rsidRPr="00CB6C95">
        <w:rPr>
          <w:sz w:val="22"/>
          <w:szCs w:val="22"/>
          <w:lang w:eastAsia="ko-KR"/>
        </w:rPr>
        <w:t>402 W. Broadway, Suite 1350, San Diego, California, USA</w:t>
      </w:r>
    </w:p>
    <w:p w14:paraId="4E02745F" w14:textId="77777777" w:rsidR="00167860" w:rsidRPr="00CB6C95" w:rsidRDefault="00167860" w:rsidP="00167860">
      <w:pPr>
        <w:adjustRightInd w:val="0"/>
        <w:snapToGrid w:val="0"/>
        <w:rPr>
          <w:sz w:val="22"/>
          <w:szCs w:val="22"/>
          <w:lang w:eastAsia="ko-KR"/>
        </w:rPr>
      </w:pPr>
      <w:r w:rsidRPr="00CB6C95">
        <w:rPr>
          <w:sz w:val="22"/>
          <w:szCs w:val="22"/>
          <w:lang w:eastAsia="ko-KR"/>
        </w:rPr>
        <w:t>1 760 805-5984</w:t>
      </w:r>
    </w:p>
    <w:p w14:paraId="4F3740A5" w14:textId="77777777" w:rsidR="00167860" w:rsidRPr="00CB6C95" w:rsidRDefault="00167860" w:rsidP="00167860">
      <w:pPr>
        <w:adjustRightInd w:val="0"/>
        <w:snapToGrid w:val="0"/>
        <w:rPr>
          <w:sz w:val="22"/>
          <w:szCs w:val="22"/>
          <w:lang w:eastAsia="ko-KR"/>
        </w:rPr>
      </w:pPr>
      <w:r w:rsidRPr="00CB6C95">
        <w:rPr>
          <w:sz w:val="22"/>
          <w:szCs w:val="22"/>
          <w:lang w:eastAsia="ko-KR"/>
        </w:rPr>
        <w:t>craig.heberer@tnc.org</w:t>
      </w:r>
    </w:p>
    <w:p w14:paraId="15B7D582" w14:textId="77777777" w:rsidR="00167860" w:rsidRPr="00CB6C95" w:rsidRDefault="00167860" w:rsidP="00167860">
      <w:pPr>
        <w:adjustRightInd w:val="0"/>
        <w:snapToGrid w:val="0"/>
        <w:rPr>
          <w:sz w:val="22"/>
          <w:szCs w:val="22"/>
          <w:lang w:eastAsia="ko-KR"/>
        </w:rPr>
      </w:pPr>
    </w:p>
    <w:p w14:paraId="48868E5A" w14:textId="77777777" w:rsidR="00167860" w:rsidRPr="00CB6C95" w:rsidRDefault="00167860" w:rsidP="00167860">
      <w:pPr>
        <w:adjustRightInd w:val="0"/>
        <w:snapToGrid w:val="0"/>
        <w:rPr>
          <w:b/>
          <w:sz w:val="22"/>
          <w:szCs w:val="22"/>
          <w:lang w:eastAsia="ko-KR"/>
        </w:rPr>
      </w:pPr>
      <w:r w:rsidRPr="00CB6C95">
        <w:rPr>
          <w:b/>
          <w:sz w:val="22"/>
          <w:szCs w:val="22"/>
          <w:lang w:eastAsia="ko-KR"/>
        </w:rPr>
        <w:t>David George Itano</w:t>
      </w:r>
    </w:p>
    <w:p w14:paraId="6D100063" w14:textId="77777777" w:rsidR="00167860" w:rsidRPr="00CB6C95" w:rsidRDefault="00167860" w:rsidP="00167860">
      <w:pPr>
        <w:adjustRightInd w:val="0"/>
        <w:snapToGrid w:val="0"/>
        <w:rPr>
          <w:sz w:val="22"/>
          <w:szCs w:val="22"/>
          <w:lang w:eastAsia="ko-KR"/>
        </w:rPr>
      </w:pPr>
      <w:r w:rsidRPr="00CB6C95">
        <w:rPr>
          <w:sz w:val="22"/>
          <w:szCs w:val="22"/>
          <w:lang w:eastAsia="ko-KR"/>
        </w:rPr>
        <w:t>Fisheries advisor</w:t>
      </w:r>
    </w:p>
    <w:p w14:paraId="19EBD32C" w14:textId="77777777" w:rsidR="00167860" w:rsidRPr="00CB6C95" w:rsidRDefault="00167860" w:rsidP="00167860">
      <w:pPr>
        <w:adjustRightInd w:val="0"/>
        <w:snapToGrid w:val="0"/>
        <w:rPr>
          <w:sz w:val="22"/>
          <w:szCs w:val="22"/>
          <w:lang w:eastAsia="ko-KR"/>
        </w:rPr>
      </w:pPr>
      <w:r w:rsidRPr="00CB6C95">
        <w:rPr>
          <w:sz w:val="22"/>
          <w:szCs w:val="22"/>
          <w:lang w:eastAsia="ko-KR"/>
        </w:rPr>
        <w:t>The Nature Conservancy</w:t>
      </w:r>
    </w:p>
    <w:p w14:paraId="0711068B" w14:textId="77777777" w:rsidR="00167860" w:rsidRPr="00CB6C95" w:rsidRDefault="00167860" w:rsidP="00167860">
      <w:pPr>
        <w:adjustRightInd w:val="0"/>
        <w:snapToGrid w:val="0"/>
        <w:rPr>
          <w:sz w:val="22"/>
          <w:szCs w:val="22"/>
          <w:lang w:eastAsia="ko-KR"/>
        </w:rPr>
      </w:pPr>
      <w:r w:rsidRPr="00CB6C95">
        <w:rPr>
          <w:sz w:val="22"/>
          <w:szCs w:val="22"/>
          <w:lang w:eastAsia="ko-KR"/>
        </w:rPr>
        <w:t>689 Kaumakani Street</w:t>
      </w:r>
      <w:r w:rsidRPr="00CB6C95">
        <w:rPr>
          <w:sz w:val="22"/>
          <w:szCs w:val="22"/>
          <w:lang w:eastAsia="ko-KR"/>
        </w:rPr>
        <w:br/>
        <w:t>Honolulu, Hawaii 96825 USA</w:t>
      </w:r>
    </w:p>
    <w:p w14:paraId="3334C7E1" w14:textId="77777777" w:rsidR="00167860" w:rsidRPr="00CB6C95" w:rsidRDefault="00167860" w:rsidP="00167860">
      <w:pPr>
        <w:adjustRightInd w:val="0"/>
        <w:snapToGrid w:val="0"/>
        <w:rPr>
          <w:sz w:val="22"/>
          <w:szCs w:val="22"/>
          <w:lang w:eastAsia="ko-KR"/>
        </w:rPr>
      </w:pPr>
      <w:r w:rsidRPr="00CB6C95">
        <w:rPr>
          <w:sz w:val="22"/>
          <w:szCs w:val="22"/>
          <w:lang w:eastAsia="ko-KR"/>
        </w:rPr>
        <w:t>1 808 3875430</w:t>
      </w:r>
    </w:p>
    <w:p w14:paraId="0AE4E439" w14:textId="77777777" w:rsidR="00167860" w:rsidRPr="00CB6C95" w:rsidRDefault="00167860" w:rsidP="00167860">
      <w:pPr>
        <w:adjustRightInd w:val="0"/>
        <w:snapToGrid w:val="0"/>
        <w:rPr>
          <w:sz w:val="22"/>
          <w:szCs w:val="22"/>
          <w:lang w:eastAsia="ko-KR"/>
        </w:rPr>
      </w:pPr>
      <w:r w:rsidRPr="00CB6C95">
        <w:rPr>
          <w:sz w:val="22"/>
          <w:szCs w:val="22"/>
          <w:lang w:eastAsia="ko-KR"/>
        </w:rPr>
        <w:t>daveitano@gmail.com</w:t>
      </w:r>
    </w:p>
    <w:p w14:paraId="0A141E40" w14:textId="77777777" w:rsidR="00167860" w:rsidRPr="00CB6C95" w:rsidRDefault="00167860" w:rsidP="00167860">
      <w:pPr>
        <w:adjustRightInd w:val="0"/>
        <w:snapToGrid w:val="0"/>
        <w:rPr>
          <w:sz w:val="22"/>
          <w:szCs w:val="22"/>
          <w:lang w:eastAsia="ko-KR"/>
        </w:rPr>
      </w:pPr>
    </w:p>
    <w:p w14:paraId="40D931ED" w14:textId="77777777" w:rsidR="00167860" w:rsidRPr="00CB6C95" w:rsidRDefault="00167860" w:rsidP="00167860">
      <w:pPr>
        <w:adjustRightInd w:val="0"/>
        <w:snapToGrid w:val="0"/>
        <w:rPr>
          <w:b/>
          <w:sz w:val="22"/>
          <w:szCs w:val="22"/>
          <w:lang w:eastAsia="ko-KR"/>
        </w:rPr>
      </w:pPr>
      <w:r w:rsidRPr="00CB6C95">
        <w:rPr>
          <w:b/>
          <w:sz w:val="22"/>
          <w:szCs w:val="22"/>
          <w:lang w:eastAsia="ko-KR"/>
        </w:rPr>
        <w:t>N.Barbara Hanchard</w:t>
      </w:r>
    </w:p>
    <w:p w14:paraId="675D1F2C" w14:textId="77777777" w:rsidR="00167860" w:rsidRPr="00CB6C95" w:rsidRDefault="00167860" w:rsidP="00167860">
      <w:pPr>
        <w:adjustRightInd w:val="0"/>
        <w:snapToGrid w:val="0"/>
        <w:rPr>
          <w:sz w:val="22"/>
          <w:szCs w:val="22"/>
          <w:lang w:eastAsia="ko-KR"/>
        </w:rPr>
      </w:pPr>
      <w:r w:rsidRPr="00CB6C95">
        <w:rPr>
          <w:sz w:val="22"/>
          <w:szCs w:val="22"/>
          <w:lang w:eastAsia="ko-KR"/>
        </w:rPr>
        <w:t>Consultant</w:t>
      </w:r>
    </w:p>
    <w:p w14:paraId="7A81BF29" w14:textId="77777777" w:rsidR="00167860" w:rsidRPr="00CB6C95" w:rsidRDefault="00167860" w:rsidP="00167860">
      <w:pPr>
        <w:adjustRightInd w:val="0"/>
        <w:snapToGrid w:val="0"/>
        <w:rPr>
          <w:sz w:val="22"/>
          <w:szCs w:val="22"/>
          <w:lang w:eastAsia="ko-KR"/>
        </w:rPr>
      </w:pPr>
      <w:r w:rsidRPr="00CB6C95">
        <w:rPr>
          <w:sz w:val="22"/>
          <w:szCs w:val="22"/>
          <w:lang w:eastAsia="ko-KR"/>
        </w:rPr>
        <w:t>The Nature Conservancy (TNC)</w:t>
      </w:r>
    </w:p>
    <w:p w14:paraId="5E8F827A" w14:textId="77777777" w:rsidR="00167860" w:rsidRPr="00CB6C95" w:rsidRDefault="00167860" w:rsidP="00167860">
      <w:pPr>
        <w:adjustRightInd w:val="0"/>
        <w:snapToGrid w:val="0"/>
        <w:rPr>
          <w:sz w:val="22"/>
          <w:szCs w:val="22"/>
          <w:lang w:eastAsia="ko-KR"/>
        </w:rPr>
      </w:pPr>
      <w:r w:rsidRPr="00CB6C95">
        <w:rPr>
          <w:sz w:val="22"/>
          <w:szCs w:val="22"/>
          <w:lang w:eastAsia="ko-KR"/>
        </w:rPr>
        <w:t>P.O Box 2132</w:t>
      </w:r>
      <w:r w:rsidRPr="00CB6C95">
        <w:rPr>
          <w:sz w:val="22"/>
          <w:szCs w:val="22"/>
          <w:lang w:eastAsia="ko-KR"/>
        </w:rPr>
        <w:br/>
        <w:t>Arorangi, Rarotonga</w:t>
      </w:r>
      <w:r w:rsidRPr="00CB6C95">
        <w:rPr>
          <w:sz w:val="22"/>
          <w:szCs w:val="22"/>
          <w:lang w:eastAsia="ko-KR"/>
        </w:rPr>
        <w:br/>
        <w:t>COOK ISLANDS</w:t>
      </w:r>
    </w:p>
    <w:p w14:paraId="428D6274" w14:textId="77777777" w:rsidR="00167860" w:rsidRPr="00CB6C95" w:rsidRDefault="00167860" w:rsidP="00167860">
      <w:pPr>
        <w:adjustRightInd w:val="0"/>
        <w:snapToGrid w:val="0"/>
        <w:rPr>
          <w:sz w:val="22"/>
          <w:szCs w:val="22"/>
          <w:lang w:eastAsia="ko-KR"/>
        </w:rPr>
      </w:pPr>
      <w:r w:rsidRPr="00CB6C95">
        <w:rPr>
          <w:sz w:val="22"/>
          <w:szCs w:val="22"/>
          <w:lang w:eastAsia="ko-KR"/>
        </w:rPr>
        <w:t>+682 81020</w:t>
      </w:r>
    </w:p>
    <w:p w14:paraId="4506D7B4" w14:textId="77777777" w:rsidR="00167860" w:rsidRPr="00CB6C95" w:rsidRDefault="00167860" w:rsidP="00167860">
      <w:pPr>
        <w:adjustRightInd w:val="0"/>
        <w:snapToGrid w:val="0"/>
        <w:rPr>
          <w:sz w:val="22"/>
          <w:szCs w:val="22"/>
          <w:lang w:eastAsia="ko-KR"/>
        </w:rPr>
      </w:pPr>
      <w:r w:rsidRPr="00CB6C95">
        <w:rPr>
          <w:sz w:val="22"/>
          <w:szCs w:val="22"/>
          <w:lang w:eastAsia="ko-KR"/>
        </w:rPr>
        <w:t>barbara@hanchard.net</w:t>
      </w:r>
    </w:p>
    <w:p w14:paraId="328DECE2" w14:textId="77777777" w:rsidR="00167860" w:rsidRPr="00CB6C95" w:rsidRDefault="00167860" w:rsidP="00167860">
      <w:pPr>
        <w:adjustRightInd w:val="0"/>
        <w:snapToGrid w:val="0"/>
        <w:rPr>
          <w:sz w:val="22"/>
          <w:szCs w:val="22"/>
          <w:lang w:eastAsia="ko-KR"/>
        </w:rPr>
      </w:pPr>
    </w:p>
    <w:p w14:paraId="09C56170"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World Tuna Purse Seine Organisation (WTPO)</w:t>
      </w:r>
    </w:p>
    <w:p w14:paraId="7437B62A" w14:textId="77777777" w:rsidR="00167860" w:rsidRPr="00CB6C95" w:rsidRDefault="00167860" w:rsidP="00167860">
      <w:pPr>
        <w:adjustRightInd w:val="0"/>
        <w:snapToGrid w:val="0"/>
        <w:rPr>
          <w:b/>
          <w:sz w:val="22"/>
          <w:szCs w:val="22"/>
          <w:lang w:eastAsia="ko-KR"/>
        </w:rPr>
      </w:pPr>
    </w:p>
    <w:p w14:paraId="1854571B" w14:textId="77777777" w:rsidR="00167860" w:rsidRPr="00CB6C95" w:rsidRDefault="00167860" w:rsidP="00167860">
      <w:pPr>
        <w:adjustRightInd w:val="0"/>
        <w:snapToGrid w:val="0"/>
        <w:rPr>
          <w:b/>
          <w:sz w:val="22"/>
          <w:szCs w:val="22"/>
          <w:lang w:eastAsia="ko-KR"/>
        </w:rPr>
      </w:pPr>
      <w:r w:rsidRPr="00CB6C95">
        <w:rPr>
          <w:b/>
          <w:sz w:val="22"/>
          <w:szCs w:val="22"/>
          <w:lang w:eastAsia="ko-KR"/>
        </w:rPr>
        <w:t>Anthony Kim</w:t>
      </w:r>
    </w:p>
    <w:p w14:paraId="769E655F" w14:textId="77777777" w:rsidR="00167860" w:rsidRPr="00CB6C95" w:rsidRDefault="00167860" w:rsidP="00167860">
      <w:pPr>
        <w:adjustRightInd w:val="0"/>
        <w:snapToGrid w:val="0"/>
        <w:rPr>
          <w:sz w:val="22"/>
          <w:szCs w:val="22"/>
          <w:lang w:eastAsia="ko-KR"/>
        </w:rPr>
      </w:pPr>
      <w:r w:rsidRPr="00CB6C95">
        <w:rPr>
          <w:sz w:val="22"/>
          <w:szCs w:val="22"/>
          <w:lang w:eastAsia="ko-KR"/>
        </w:rPr>
        <w:t>Vice Chairman</w:t>
      </w:r>
    </w:p>
    <w:p w14:paraId="35A3E10D" w14:textId="77777777" w:rsidR="00167860" w:rsidRPr="00CB6C95" w:rsidRDefault="00167860" w:rsidP="00167860">
      <w:pPr>
        <w:adjustRightInd w:val="0"/>
        <w:snapToGrid w:val="0"/>
        <w:rPr>
          <w:sz w:val="22"/>
          <w:szCs w:val="22"/>
          <w:lang w:eastAsia="ko-KR"/>
        </w:rPr>
      </w:pPr>
      <w:r w:rsidRPr="00CB6C95">
        <w:rPr>
          <w:sz w:val="22"/>
          <w:szCs w:val="22"/>
          <w:lang w:eastAsia="ko-KR"/>
        </w:rPr>
        <w:t>World Tuna Purse Seine Organization</w:t>
      </w:r>
    </w:p>
    <w:p w14:paraId="6AFD8D28" w14:textId="77777777" w:rsidR="00167860" w:rsidRPr="00CB6C95" w:rsidRDefault="00167860" w:rsidP="00167860">
      <w:pPr>
        <w:adjustRightInd w:val="0"/>
        <w:snapToGrid w:val="0"/>
        <w:rPr>
          <w:sz w:val="22"/>
          <w:szCs w:val="22"/>
          <w:lang w:eastAsia="ko-KR"/>
        </w:rPr>
      </w:pPr>
      <w:r w:rsidRPr="00CB6C95">
        <w:rPr>
          <w:sz w:val="22"/>
          <w:szCs w:val="22"/>
          <w:lang w:eastAsia="ko-KR"/>
        </w:rPr>
        <w:t>17 Floor Frabelle Business</w:t>
      </w:r>
      <w:r w:rsidRPr="00CB6C95">
        <w:rPr>
          <w:sz w:val="22"/>
          <w:szCs w:val="22"/>
          <w:lang w:eastAsia="ko-KR"/>
        </w:rPr>
        <w:br/>
        <w:t>Centre, 111 Rada Street, Legaspi Village, Makati City, Metro Manila, Philippines</w:t>
      </w:r>
    </w:p>
    <w:p w14:paraId="1C1D24C7" w14:textId="77777777" w:rsidR="00167860" w:rsidRPr="00CB6C95" w:rsidRDefault="00167860" w:rsidP="00167860">
      <w:pPr>
        <w:adjustRightInd w:val="0"/>
        <w:snapToGrid w:val="0"/>
        <w:rPr>
          <w:sz w:val="22"/>
          <w:szCs w:val="22"/>
          <w:lang w:eastAsia="ko-KR"/>
        </w:rPr>
      </w:pPr>
      <w:r w:rsidRPr="00CB6C95">
        <w:rPr>
          <w:sz w:val="22"/>
          <w:szCs w:val="22"/>
          <w:lang w:eastAsia="ko-KR"/>
        </w:rPr>
        <w:t>+63 9179469370</w:t>
      </w:r>
    </w:p>
    <w:p w14:paraId="2518B9D7" w14:textId="77777777" w:rsidR="00167860" w:rsidRPr="00CB6C95" w:rsidRDefault="00167860" w:rsidP="00167860">
      <w:pPr>
        <w:adjustRightInd w:val="0"/>
        <w:snapToGrid w:val="0"/>
        <w:rPr>
          <w:sz w:val="22"/>
          <w:szCs w:val="22"/>
          <w:lang w:eastAsia="ko-KR"/>
        </w:rPr>
      </w:pPr>
      <w:r w:rsidRPr="00CB6C95">
        <w:rPr>
          <w:sz w:val="22"/>
          <w:szCs w:val="22"/>
          <w:lang w:eastAsia="ko-KR"/>
        </w:rPr>
        <w:t>wtpo.secretariat.manila@gmail.com</w:t>
      </w:r>
    </w:p>
    <w:p w14:paraId="409E34E3" w14:textId="77777777" w:rsidR="00167860" w:rsidRPr="00CB6C95" w:rsidRDefault="00167860" w:rsidP="00167860">
      <w:pPr>
        <w:adjustRightInd w:val="0"/>
        <w:snapToGrid w:val="0"/>
        <w:rPr>
          <w:sz w:val="22"/>
          <w:szCs w:val="22"/>
          <w:lang w:eastAsia="ko-KR"/>
        </w:rPr>
      </w:pPr>
    </w:p>
    <w:p w14:paraId="105FC2C2" w14:textId="77777777" w:rsidR="00167860" w:rsidRPr="00CB6C95" w:rsidRDefault="00167860" w:rsidP="00167860">
      <w:pPr>
        <w:adjustRightInd w:val="0"/>
        <w:snapToGrid w:val="0"/>
        <w:rPr>
          <w:b/>
          <w:sz w:val="22"/>
          <w:szCs w:val="22"/>
          <w:lang w:eastAsia="ko-KR"/>
        </w:rPr>
      </w:pPr>
      <w:r w:rsidRPr="00CB6C95">
        <w:rPr>
          <w:b/>
          <w:sz w:val="22"/>
          <w:szCs w:val="22"/>
          <w:lang w:eastAsia="ko-KR"/>
        </w:rPr>
        <w:t>Minho Kim</w:t>
      </w:r>
    </w:p>
    <w:p w14:paraId="44BF3B3B" w14:textId="77777777" w:rsidR="00167860" w:rsidRPr="00CB6C95" w:rsidRDefault="00167860" w:rsidP="00167860">
      <w:pPr>
        <w:adjustRightInd w:val="0"/>
        <w:snapToGrid w:val="0"/>
        <w:rPr>
          <w:sz w:val="22"/>
          <w:szCs w:val="22"/>
          <w:lang w:eastAsia="ko-KR"/>
        </w:rPr>
      </w:pPr>
      <w:r w:rsidRPr="00CB6C95">
        <w:rPr>
          <w:sz w:val="22"/>
          <w:szCs w:val="22"/>
          <w:lang w:eastAsia="ko-KR"/>
        </w:rPr>
        <w:t>Seoul</w:t>
      </w:r>
    </w:p>
    <w:p w14:paraId="77502D75" w14:textId="77777777" w:rsidR="00167860" w:rsidRPr="00CB6C95" w:rsidRDefault="00167860" w:rsidP="00167860">
      <w:pPr>
        <w:adjustRightInd w:val="0"/>
        <w:snapToGrid w:val="0"/>
        <w:rPr>
          <w:sz w:val="22"/>
          <w:szCs w:val="22"/>
          <w:lang w:eastAsia="ko-KR"/>
        </w:rPr>
      </w:pPr>
      <w:r w:rsidRPr="00CB6C95">
        <w:rPr>
          <w:sz w:val="22"/>
          <w:szCs w:val="22"/>
          <w:lang w:eastAsia="ko-KR"/>
        </w:rPr>
        <w:t>Dongwon Industries</w:t>
      </w:r>
    </w:p>
    <w:p w14:paraId="59ECD857" w14:textId="77777777" w:rsidR="00167860" w:rsidRPr="00CB6C95" w:rsidRDefault="00167860" w:rsidP="00167860">
      <w:pPr>
        <w:adjustRightInd w:val="0"/>
        <w:snapToGrid w:val="0"/>
        <w:rPr>
          <w:sz w:val="22"/>
          <w:szCs w:val="22"/>
          <w:lang w:eastAsia="ko-KR"/>
        </w:rPr>
      </w:pPr>
      <w:r w:rsidRPr="00CB6C95">
        <w:rPr>
          <w:sz w:val="22"/>
          <w:szCs w:val="22"/>
          <w:lang w:eastAsia="ko-KR"/>
        </w:rPr>
        <w:t>Dongwon industries building 5floor, yangjae-dong, seocho-gu. Seoul</w:t>
      </w:r>
    </w:p>
    <w:p w14:paraId="6E345EBD" w14:textId="77777777" w:rsidR="00167860" w:rsidRPr="00CB6C95" w:rsidRDefault="00167860" w:rsidP="00167860">
      <w:pPr>
        <w:adjustRightInd w:val="0"/>
        <w:snapToGrid w:val="0"/>
        <w:rPr>
          <w:sz w:val="22"/>
          <w:szCs w:val="22"/>
          <w:lang w:eastAsia="ko-KR"/>
        </w:rPr>
      </w:pPr>
      <w:r w:rsidRPr="00CB6C95">
        <w:rPr>
          <w:sz w:val="22"/>
          <w:szCs w:val="22"/>
          <w:lang w:eastAsia="ko-KR"/>
        </w:rPr>
        <w:t>minho888@dongwom.com</w:t>
      </w:r>
    </w:p>
    <w:p w14:paraId="6A237065" w14:textId="77777777" w:rsidR="00167860" w:rsidRPr="00CB6C95" w:rsidRDefault="00167860" w:rsidP="00167860">
      <w:pPr>
        <w:adjustRightInd w:val="0"/>
        <w:snapToGrid w:val="0"/>
        <w:rPr>
          <w:b/>
          <w:sz w:val="22"/>
          <w:szCs w:val="22"/>
          <w:lang w:eastAsia="ko-KR"/>
        </w:rPr>
      </w:pPr>
    </w:p>
    <w:p w14:paraId="6C9BB6B8"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World Wide Fund for Nature (WWF)</w:t>
      </w:r>
    </w:p>
    <w:p w14:paraId="2CBD9D7E" w14:textId="77777777" w:rsidR="00167860" w:rsidRPr="00CB6C95" w:rsidRDefault="00167860" w:rsidP="00167860">
      <w:pPr>
        <w:adjustRightInd w:val="0"/>
        <w:snapToGrid w:val="0"/>
        <w:rPr>
          <w:b/>
          <w:sz w:val="22"/>
          <w:szCs w:val="22"/>
          <w:lang w:eastAsia="ko-KR"/>
        </w:rPr>
      </w:pPr>
    </w:p>
    <w:p w14:paraId="014FACF0" w14:textId="77777777" w:rsidR="00167860" w:rsidRPr="00CB6C95" w:rsidRDefault="00167860" w:rsidP="00167860">
      <w:pPr>
        <w:adjustRightInd w:val="0"/>
        <w:snapToGrid w:val="0"/>
        <w:rPr>
          <w:b/>
          <w:sz w:val="22"/>
          <w:szCs w:val="22"/>
          <w:lang w:eastAsia="ko-KR"/>
        </w:rPr>
      </w:pPr>
      <w:r w:rsidRPr="00CB6C95">
        <w:rPr>
          <w:b/>
          <w:sz w:val="22"/>
          <w:szCs w:val="22"/>
          <w:lang w:eastAsia="ko-KR"/>
        </w:rPr>
        <w:t>Anare Rawalui</w:t>
      </w:r>
    </w:p>
    <w:p w14:paraId="68AA3592" w14:textId="77777777" w:rsidR="00167860" w:rsidRPr="00CB6C95" w:rsidRDefault="00167860" w:rsidP="00167860">
      <w:pPr>
        <w:adjustRightInd w:val="0"/>
        <w:snapToGrid w:val="0"/>
        <w:rPr>
          <w:sz w:val="22"/>
          <w:szCs w:val="22"/>
          <w:lang w:eastAsia="ko-KR"/>
        </w:rPr>
      </w:pPr>
      <w:r w:rsidRPr="00CB6C95">
        <w:rPr>
          <w:sz w:val="22"/>
          <w:szCs w:val="22"/>
          <w:lang w:eastAsia="ko-KR"/>
        </w:rPr>
        <w:t>Executive Officer</w:t>
      </w:r>
    </w:p>
    <w:p w14:paraId="64D61FB1"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Fiji Fishing Industry Association </w:t>
      </w:r>
    </w:p>
    <w:p w14:paraId="058AC60F" w14:textId="77777777" w:rsidR="00167860" w:rsidRPr="00CB6C95" w:rsidRDefault="00167860" w:rsidP="00167860">
      <w:pPr>
        <w:adjustRightInd w:val="0"/>
        <w:snapToGrid w:val="0"/>
        <w:rPr>
          <w:sz w:val="22"/>
          <w:szCs w:val="22"/>
          <w:lang w:eastAsia="ko-KR"/>
        </w:rPr>
      </w:pPr>
      <w:r w:rsidRPr="00CB6C95">
        <w:rPr>
          <w:sz w:val="22"/>
          <w:szCs w:val="22"/>
          <w:lang w:eastAsia="ko-KR"/>
        </w:rPr>
        <w:t>46 Gordon Street, Suva, Fiji</w:t>
      </w:r>
    </w:p>
    <w:p w14:paraId="37DCF17C" w14:textId="77777777" w:rsidR="00167860" w:rsidRPr="00CB6C95" w:rsidRDefault="00167860" w:rsidP="00167860">
      <w:pPr>
        <w:adjustRightInd w:val="0"/>
        <w:snapToGrid w:val="0"/>
        <w:rPr>
          <w:sz w:val="22"/>
          <w:szCs w:val="22"/>
          <w:lang w:eastAsia="ko-KR"/>
        </w:rPr>
      </w:pPr>
      <w:r w:rsidRPr="00CB6C95">
        <w:rPr>
          <w:sz w:val="22"/>
          <w:szCs w:val="22"/>
          <w:lang w:eastAsia="ko-KR"/>
        </w:rPr>
        <w:t>+679 7112244</w:t>
      </w:r>
    </w:p>
    <w:p w14:paraId="3228F931" w14:textId="77777777" w:rsidR="00167860" w:rsidRPr="00CB6C95" w:rsidRDefault="00167860" w:rsidP="00167860">
      <w:pPr>
        <w:adjustRightInd w:val="0"/>
        <w:snapToGrid w:val="0"/>
        <w:rPr>
          <w:sz w:val="22"/>
          <w:szCs w:val="22"/>
          <w:lang w:eastAsia="ko-KR"/>
        </w:rPr>
      </w:pPr>
      <w:r w:rsidRPr="00CB6C95">
        <w:rPr>
          <w:sz w:val="22"/>
          <w:szCs w:val="22"/>
          <w:lang w:eastAsia="ko-KR"/>
        </w:rPr>
        <w:t>raiwalui.anare@gmail.com</w:t>
      </w:r>
    </w:p>
    <w:p w14:paraId="68EC89CA" w14:textId="77777777" w:rsidR="00167860" w:rsidRPr="00CB6C95" w:rsidRDefault="00167860" w:rsidP="00167860">
      <w:pPr>
        <w:adjustRightInd w:val="0"/>
        <w:snapToGrid w:val="0"/>
        <w:rPr>
          <w:sz w:val="22"/>
          <w:szCs w:val="22"/>
          <w:lang w:eastAsia="ko-KR"/>
        </w:rPr>
      </w:pPr>
    </w:p>
    <w:p w14:paraId="556F050A" w14:textId="77777777" w:rsidR="00167860" w:rsidRPr="00CB6C95" w:rsidRDefault="00167860" w:rsidP="00167860">
      <w:pPr>
        <w:adjustRightInd w:val="0"/>
        <w:snapToGrid w:val="0"/>
        <w:rPr>
          <w:b/>
          <w:sz w:val="22"/>
          <w:szCs w:val="22"/>
          <w:lang w:eastAsia="ko-KR"/>
        </w:rPr>
      </w:pPr>
      <w:r w:rsidRPr="00CB6C95">
        <w:rPr>
          <w:b/>
          <w:sz w:val="22"/>
          <w:szCs w:val="22"/>
          <w:lang w:eastAsia="ko-KR"/>
        </w:rPr>
        <w:t>Bubba Cook</w:t>
      </w:r>
    </w:p>
    <w:p w14:paraId="1F2137BD" w14:textId="77777777" w:rsidR="00167860" w:rsidRPr="00CB6C95" w:rsidRDefault="00167860" w:rsidP="00167860">
      <w:pPr>
        <w:adjustRightInd w:val="0"/>
        <w:snapToGrid w:val="0"/>
        <w:rPr>
          <w:sz w:val="22"/>
          <w:szCs w:val="22"/>
          <w:lang w:eastAsia="ko-KR"/>
        </w:rPr>
      </w:pPr>
      <w:r w:rsidRPr="00CB6C95">
        <w:rPr>
          <w:sz w:val="22"/>
          <w:szCs w:val="22"/>
          <w:lang w:eastAsia="ko-KR"/>
        </w:rPr>
        <w:t>Western and Central Pacific Tuna Programme Manager</w:t>
      </w:r>
    </w:p>
    <w:p w14:paraId="5863FEBD" w14:textId="77777777" w:rsidR="00167860" w:rsidRPr="00CB6C95" w:rsidRDefault="00167860" w:rsidP="00167860">
      <w:pPr>
        <w:adjustRightInd w:val="0"/>
        <w:snapToGrid w:val="0"/>
        <w:rPr>
          <w:sz w:val="22"/>
          <w:szCs w:val="22"/>
          <w:lang w:eastAsia="ko-KR"/>
        </w:rPr>
      </w:pPr>
      <w:r w:rsidRPr="00CB6C95">
        <w:rPr>
          <w:sz w:val="22"/>
          <w:szCs w:val="22"/>
          <w:lang w:eastAsia="ko-KR"/>
        </w:rPr>
        <w:t>World Wide Fund for Nature</w:t>
      </w:r>
    </w:p>
    <w:p w14:paraId="0F307187" w14:textId="77777777" w:rsidR="00167860" w:rsidRPr="00CB6C95" w:rsidRDefault="00167860" w:rsidP="00167860">
      <w:pPr>
        <w:adjustRightInd w:val="0"/>
        <w:snapToGrid w:val="0"/>
        <w:rPr>
          <w:sz w:val="22"/>
          <w:szCs w:val="22"/>
          <w:lang w:eastAsia="ko-KR"/>
        </w:rPr>
      </w:pPr>
      <w:r w:rsidRPr="00CB6C95">
        <w:rPr>
          <w:sz w:val="22"/>
          <w:szCs w:val="22"/>
          <w:lang w:eastAsia="ko-KR"/>
        </w:rPr>
        <w:t>PO Box 6237, Marion Square</w:t>
      </w:r>
    </w:p>
    <w:p w14:paraId="50800BDA" w14:textId="77777777" w:rsidR="00167860" w:rsidRPr="00CB6C95" w:rsidRDefault="00167860" w:rsidP="00167860">
      <w:pPr>
        <w:adjustRightInd w:val="0"/>
        <w:snapToGrid w:val="0"/>
        <w:rPr>
          <w:sz w:val="22"/>
          <w:szCs w:val="22"/>
          <w:lang w:eastAsia="ko-KR"/>
        </w:rPr>
      </w:pPr>
      <w:r w:rsidRPr="00CB6C95">
        <w:rPr>
          <w:sz w:val="22"/>
          <w:szCs w:val="22"/>
          <w:lang w:eastAsia="ko-KR"/>
        </w:rPr>
        <w:t>+64 (0)27 833 0537</w:t>
      </w:r>
    </w:p>
    <w:p w14:paraId="5B5392CB" w14:textId="77777777" w:rsidR="00167860" w:rsidRPr="00CB6C95" w:rsidRDefault="00167860" w:rsidP="00167860">
      <w:pPr>
        <w:adjustRightInd w:val="0"/>
        <w:snapToGrid w:val="0"/>
        <w:rPr>
          <w:sz w:val="22"/>
          <w:szCs w:val="22"/>
          <w:lang w:eastAsia="ko-KR"/>
        </w:rPr>
      </w:pPr>
      <w:r w:rsidRPr="00CB6C95">
        <w:rPr>
          <w:sz w:val="22"/>
          <w:szCs w:val="22"/>
          <w:lang w:eastAsia="ko-KR"/>
        </w:rPr>
        <w:t>acook@wwf.panda.org</w:t>
      </w:r>
    </w:p>
    <w:p w14:paraId="30336577" w14:textId="77777777" w:rsidR="00167860" w:rsidRPr="00CB6C95" w:rsidRDefault="00167860" w:rsidP="00167860">
      <w:pPr>
        <w:adjustRightInd w:val="0"/>
        <w:snapToGrid w:val="0"/>
        <w:rPr>
          <w:sz w:val="22"/>
          <w:szCs w:val="22"/>
          <w:lang w:eastAsia="ko-KR"/>
        </w:rPr>
      </w:pPr>
    </w:p>
    <w:p w14:paraId="3EC85967" w14:textId="77777777" w:rsidR="00167860" w:rsidRPr="00CB6C95" w:rsidRDefault="00167860" w:rsidP="00167860">
      <w:pPr>
        <w:adjustRightInd w:val="0"/>
        <w:snapToGrid w:val="0"/>
        <w:rPr>
          <w:b/>
          <w:sz w:val="22"/>
          <w:szCs w:val="22"/>
          <w:lang w:eastAsia="ko-KR"/>
        </w:rPr>
      </w:pPr>
      <w:r w:rsidRPr="00CB6C95">
        <w:rPr>
          <w:b/>
          <w:sz w:val="22"/>
          <w:szCs w:val="22"/>
          <w:lang w:eastAsia="ko-KR"/>
        </w:rPr>
        <w:t>Doohun Park</w:t>
      </w:r>
    </w:p>
    <w:p w14:paraId="271A8FB9" w14:textId="77777777" w:rsidR="00167860" w:rsidRPr="00CB6C95" w:rsidRDefault="00167860" w:rsidP="00167860">
      <w:pPr>
        <w:adjustRightInd w:val="0"/>
        <w:snapToGrid w:val="0"/>
        <w:rPr>
          <w:sz w:val="22"/>
          <w:szCs w:val="22"/>
          <w:lang w:eastAsia="ko-KR"/>
        </w:rPr>
      </w:pPr>
      <w:r w:rsidRPr="00CB6C95">
        <w:rPr>
          <w:sz w:val="22"/>
          <w:szCs w:val="22"/>
          <w:lang w:eastAsia="ko-KR"/>
        </w:rPr>
        <w:t>Ocean Programme Officer</w:t>
      </w:r>
    </w:p>
    <w:p w14:paraId="410874BD" w14:textId="77777777" w:rsidR="00167860" w:rsidRPr="00CB6C95" w:rsidRDefault="00167860" w:rsidP="00167860">
      <w:pPr>
        <w:adjustRightInd w:val="0"/>
        <w:snapToGrid w:val="0"/>
        <w:rPr>
          <w:sz w:val="22"/>
          <w:szCs w:val="22"/>
          <w:lang w:eastAsia="ko-KR"/>
        </w:rPr>
      </w:pPr>
      <w:r w:rsidRPr="00CB6C95">
        <w:rPr>
          <w:sz w:val="22"/>
          <w:szCs w:val="22"/>
          <w:lang w:eastAsia="ko-KR"/>
        </w:rPr>
        <w:t>WWF Korea</w:t>
      </w:r>
    </w:p>
    <w:p w14:paraId="7C7349E7" w14:textId="77777777" w:rsidR="00167860" w:rsidRPr="00CB6C95" w:rsidRDefault="00167860" w:rsidP="00167860">
      <w:pPr>
        <w:adjustRightInd w:val="0"/>
        <w:snapToGrid w:val="0"/>
        <w:rPr>
          <w:sz w:val="22"/>
          <w:szCs w:val="22"/>
          <w:lang w:eastAsia="ko-KR"/>
        </w:rPr>
      </w:pPr>
      <w:r w:rsidRPr="00CB6C95">
        <w:rPr>
          <w:sz w:val="22"/>
          <w:szCs w:val="22"/>
          <w:lang w:eastAsia="ko-KR"/>
        </w:rPr>
        <w:t>Seoul Global Center, 38, Jong-ro, Jongno-gu, Seoul, Republic of Korea</w:t>
      </w:r>
    </w:p>
    <w:p w14:paraId="6DE71B8D" w14:textId="77777777" w:rsidR="00167860" w:rsidRPr="00CB6C95" w:rsidRDefault="00167860" w:rsidP="00167860">
      <w:pPr>
        <w:adjustRightInd w:val="0"/>
        <w:snapToGrid w:val="0"/>
        <w:rPr>
          <w:sz w:val="22"/>
          <w:szCs w:val="22"/>
          <w:lang w:eastAsia="ko-KR"/>
        </w:rPr>
      </w:pPr>
      <w:r w:rsidRPr="00CB6C95">
        <w:rPr>
          <w:sz w:val="22"/>
          <w:szCs w:val="22"/>
          <w:lang w:eastAsia="ko-KR"/>
        </w:rPr>
        <w:t>+82 (0)10 7327 3478</w:t>
      </w:r>
    </w:p>
    <w:p w14:paraId="5618DB25" w14:textId="77777777" w:rsidR="00167860" w:rsidRPr="00CB6C95" w:rsidRDefault="00167860" w:rsidP="00167860">
      <w:pPr>
        <w:adjustRightInd w:val="0"/>
        <w:snapToGrid w:val="0"/>
        <w:rPr>
          <w:sz w:val="22"/>
          <w:szCs w:val="22"/>
          <w:lang w:eastAsia="ko-KR"/>
        </w:rPr>
      </w:pPr>
      <w:r w:rsidRPr="00CB6C95">
        <w:rPr>
          <w:sz w:val="22"/>
          <w:szCs w:val="22"/>
          <w:lang w:eastAsia="ko-KR"/>
        </w:rPr>
        <w:t>dpark@wwfkorea.or.kr</w:t>
      </w:r>
    </w:p>
    <w:p w14:paraId="129BFC13" w14:textId="77777777" w:rsidR="00167860" w:rsidRPr="00CB6C95" w:rsidRDefault="00167860" w:rsidP="00167860">
      <w:pPr>
        <w:adjustRightInd w:val="0"/>
        <w:snapToGrid w:val="0"/>
        <w:rPr>
          <w:sz w:val="22"/>
          <w:szCs w:val="22"/>
          <w:lang w:eastAsia="ko-KR"/>
        </w:rPr>
      </w:pPr>
    </w:p>
    <w:p w14:paraId="05223262" w14:textId="77777777" w:rsidR="00167860" w:rsidRPr="00CB6C95" w:rsidRDefault="00167860" w:rsidP="00167860">
      <w:pPr>
        <w:adjustRightInd w:val="0"/>
        <w:snapToGrid w:val="0"/>
        <w:rPr>
          <w:b/>
          <w:sz w:val="22"/>
          <w:szCs w:val="22"/>
          <w:lang w:eastAsia="ko-KR"/>
        </w:rPr>
      </w:pPr>
      <w:r w:rsidRPr="00CB6C95">
        <w:rPr>
          <w:b/>
          <w:sz w:val="22"/>
          <w:szCs w:val="22"/>
          <w:lang w:eastAsia="ko-KR"/>
        </w:rPr>
        <w:t>Ian Campbell</w:t>
      </w:r>
    </w:p>
    <w:p w14:paraId="0BF3860A" w14:textId="77777777" w:rsidR="00167860" w:rsidRPr="00CB6C95" w:rsidRDefault="00167860" w:rsidP="00167860">
      <w:pPr>
        <w:adjustRightInd w:val="0"/>
        <w:snapToGrid w:val="0"/>
        <w:rPr>
          <w:sz w:val="22"/>
          <w:szCs w:val="22"/>
          <w:lang w:eastAsia="ko-KR"/>
        </w:rPr>
      </w:pPr>
      <w:r w:rsidRPr="00CB6C95">
        <w:rPr>
          <w:sz w:val="22"/>
          <w:szCs w:val="22"/>
          <w:lang w:eastAsia="ko-KR"/>
        </w:rPr>
        <w:t>Shark and Ray Programme Manager</w:t>
      </w:r>
    </w:p>
    <w:p w14:paraId="1869D619" w14:textId="77777777" w:rsidR="00167860" w:rsidRPr="00CB6C95" w:rsidRDefault="00167860" w:rsidP="00167860">
      <w:pPr>
        <w:adjustRightInd w:val="0"/>
        <w:snapToGrid w:val="0"/>
        <w:rPr>
          <w:sz w:val="22"/>
          <w:szCs w:val="22"/>
          <w:lang w:eastAsia="ko-KR"/>
        </w:rPr>
      </w:pPr>
      <w:r w:rsidRPr="00CB6C95">
        <w:rPr>
          <w:sz w:val="22"/>
          <w:szCs w:val="22"/>
          <w:lang w:eastAsia="ko-KR"/>
        </w:rPr>
        <w:t>WWF</w:t>
      </w:r>
    </w:p>
    <w:p w14:paraId="2F4733DB" w14:textId="77777777" w:rsidR="00167860" w:rsidRPr="00CB6C95" w:rsidRDefault="00167860" w:rsidP="00167860">
      <w:pPr>
        <w:adjustRightInd w:val="0"/>
        <w:snapToGrid w:val="0"/>
        <w:rPr>
          <w:sz w:val="22"/>
          <w:szCs w:val="22"/>
          <w:lang w:eastAsia="ko-KR"/>
        </w:rPr>
      </w:pPr>
      <w:r w:rsidRPr="00CB6C95">
        <w:rPr>
          <w:sz w:val="22"/>
          <w:szCs w:val="22"/>
          <w:lang w:eastAsia="ko-KR"/>
        </w:rPr>
        <w:t>4 Ma'afu Street</w:t>
      </w:r>
    </w:p>
    <w:p w14:paraId="599D29EE" w14:textId="77777777" w:rsidR="00167860" w:rsidRPr="00CB6C95" w:rsidRDefault="00167860" w:rsidP="00167860">
      <w:pPr>
        <w:adjustRightInd w:val="0"/>
        <w:snapToGrid w:val="0"/>
        <w:rPr>
          <w:sz w:val="22"/>
          <w:szCs w:val="22"/>
          <w:lang w:eastAsia="ko-KR"/>
        </w:rPr>
      </w:pPr>
      <w:r w:rsidRPr="00CB6C95">
        <w:rPr>
          <w:sz w:val="22"/>
          <w:szCs w:val="22"/>
          <w:lang w:eastAsia="ko-KR"/>
        </w:rPr>
        <w:t>6797661955</w:t>
      </w:r>
    </w:p>
    <w:p w14:paraId="7D5E7356" w14:textId="77777777" w:rsidR="00167860" w:rsidRPr="00CB6C95" w:rsidRDefault="00167860" w:rsidP="00167860">
      <w:pPr>
        <w:adjustRightInd w:val="0"/>
        <w:snapToGrid w:val="0"/>
        <w:rPr>
          <w:sz w:val="22"/>
          <w:szCs w:val="22"/>
          <w:lang w:eastAsia="ko-KR"/>
        </w:rPr>
      </w:pPr>
      <w:r w:rsidRPr="00CB6C95">
        <w:rPr>
          <w:sz w:val="22"/>
          <w:szCs w:val="22"/>
          <w:lang w:eastAsia="ko-KR"/>
        </w:rPr>
        <w:t>icampbell@wwfpacific.org</w:t>
      </w:r>
    </w:p>
    <w:p w14:paraId="2B7BAF51" w14:textId="77777777" w:rsidR="00167860" w:rsidRPr="00CB6C95" w:rsidRDefault="00167860" w:rsidP="00167860">
      <w:pPr>
        <w:adjustRightInd w:val="0"/>
        <w:snapToGrid w:val="0"/>
        <w:rPr>
          <w:sz w:val="22"/>
          <w:szCs w:val="22"/>
          <w:lang w:eastAsia="ko-KR"/>
        </w:rPr>
      </w:pPr>
    </w:p>
    <w:p w14:paraId="430180AE" w14:textId="77777777" w:rsidR="00167860" w:rsidRPr="00CB6C95" w:rsidRDefault="00167860" w:rsidP="00167860">
      <w:pPr>
        <w:adjustRightInd w:val="0"/>
        <w:snapToGrid w:val="0"/>
        <w:rPr>
          <w:b/>
          <w:sz w:val="22"/>
          <w:szCs w:val="22"/>
          <w:lang w:eastAsia="ko-KR"/>
        </w:rPr>
      </w:pPr>
      <w:r w:rsidRPr="00CB6C95">
        <w:rPr>
          <w:b/>
          <w:sz w:val="22"/>
          <w:szCs w:val="22"/>
          <w:lang w:eastAsia="ko-KR"/>
        </w:rPr>
        <w:t>Duncan Williams</w:t>
      </w:r>
    </w:p>
    <w:p w14:paraId="2BB26D47"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Program Manager, Sustainable Fisheries and Seafood </w:t>
      </w:r>
    </w:p>
    <w:p w14:paraId="7716FD01" w14:textId="77777777" w:rsidR="00167860" w:rsidRPr="00CB6C95" w:rsidRDefault="00167860" w:rsidP="00167860">
      <w:pPr>
        <w:adjustRightInd w:val="0"/>
        <w:snapToGrid w:val="0"/>
        <w:rPr>
          <w:sz w:val="22"/>
          <w:szCs w:val="22"/>
          <w:lang w:eastAsia="ko-KR"/>
        </w:rPr>
      </w:pPr>
      <w:r w:rsidRPr="00CB6C95">
        <w:rPr>
          <w:sz w:val="22"/>
          <w:szCs w:val="22"/>
          <w:lang w:eastAsia="ko-KR"/>
        </w:rPr>
        <w:t>WWF</w:t>
      </w:r>
    </w:p>
    <w:p w14:paraId="47F502C1" w14:textId="77777777" w:rsidR="00167860" w:rsidRPr="00CB6C95" w:rsidRDefault="00167860" w:rsidP="00167860">
      <w:pPr>
        <w:adjustRightInd w:val="0"/>
        <w:snapToGrid w:val="0"/>
        <w:rPr>
          <w:sz w:val="22"/>
          <w:szCs w:val="22"/>
          <w:lang w:eastAsia="ko-KR"/>
        </w:rPr>
      </w:pPr>
      <w:r w:rsidRPr="00CB6C95">
        <w:rPr>
          <w:sz w:val="22"/>
          <w:szCs w:val="22"/>
          <w:lang w:eastAsia="ko-KR"/>
        </w:rPr>
        <w:t>4 Ma'afu Street, Suva, Fiji|</w:t>
      </w:r>
    </w:p>
    <w:p w14:paraId="1D777577"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 +679 331 5533</w:t>
      </w:r>
    </w:p>
    <w:p w14:paraId="0AE2176C" w14:textId="77777777" w:rsidR="00167860" w:rsidRPr="00CB6C95" w:rsidRDefault="00167860" w:rsidP="00167860">
      <w:pPr>
        <w:adjustRightInd w:val="0"/>
        <w:snapToGrid w:val="0"/>
        <w:rPr>
          <w:sz w:val="22"/>
          <w:szCs w:val="22"/>
          <w:lang w:eastAsia="ko-KR"/>
        </w:rPr>
      </w:pPr>
      <w:r w:rsidRPr="00CB6C95">
        <w:rPr>
          <w:sz w:val="22"/>
          <w:szCs w:val="22"/>
          <w:lang w:eastAsia="ko-KR"/>
        </w:rPr>
        <w:t>dwilliams@wwfpacific.org</w:t>
      </w:r>
    </w:p>
    <w:p w14:paraId="1EA93EC3" w14:textId="77777777" w:rsidR="00167860" w:rsidRPr="00CB6C95" w:rsidRDefault="00167860" w:rsidP="00167860">
      <w:pPr>
        <w:adjustRightInd w:val="0"/>
        <w:snapToGrid w:val="0"/>
        <w:rPr>
          <w:sz w:val="22"/>
          <w:szCs w:val="22"/>
          <w:lang w:eastAsia="ko-KR"/>
        </w:rPr>
      </w:pPr>
    </w:p>
    <w:p w14:paraId="5DD97EFA" w14:textId="77777777" w:rsidR="00167860" w:rsidRPr="00CB6C95" w:rsidRDefault="00167860" w:rsidP="00167860">
      <w:pPr>
        <w:adjustRightInd w:val="0"/>
        <w:snapToGrid w:val="0"/>
        <w:rPr>
          <w:b/>
          <w:i/>
          <w:caps/>
          <w:sz w:val="22"/>
          <w:szCs w:val="22"/>
          <w:lang w:eastAsia="ko-KR"/>
        </w:rPr>
      </w:pPr>
      <w:r w:rsidRPr="00CB6C95">
        <w:rPr>
          <w:b/>
          <w:i/>
          <w:caps/>
          <w:sz w:val="22"/>
          <w:szCs w:val="22"/>
          <w:lang w:eastAsia="ko-KR"/>
        </w:rPr>
        <w:t>WCPFC Secretariat</w:t>
      </w:r>
    </w:p>
    <w:p w14:paraId="7BE9293D" w14:textId="77777777" w:rsidR="00167860" w:rsidRPr="00CB6C95" w:rsidRDefault="00167860" w:rsidP="00167860">
      <w:pPr>
        <w:adjustRightInd w:val="0"/>
        <w:snapToGrid w:val="0"/>
        <w:rPr>
          <w:b/>
          <w:sz w:val="22"/>
          <w:szCs w:val="22"/>
          <w:lang w:eastAsia="ko-KR"/>
        </w:rPr>
      </w:pPr>
    </w:p>
    <w:p w14:paraId="3AE002FF" w14:textId="77777777" w:rsidR="00167860" w:rsidRPr="00CB6C95" w:rsidRDefault="00167860" w:rsidP="00167860">
      <w:pPr>
        <w:adjustRightInd w:val="0"/>
        <w:snapToGrid w:val="0"/>
        <w:rPr>
          <w:b/>
          <w:sz w:val="22"/>
          <w:szCs w:val="22"/>
          <w:lang w:eastAsia="ko-KR"/>
        </w:rPr>
      </w:pPr>
      <w:r w:rsidRPr="00CB6C95">
        <w:rPr>
          <w:b/>
          <w:sz w:val="22"/>
          <w:szCs w:val="22"/>
          <w:lang w:eastAsia="ko-KR"/>
        </w:rPr>
        <w:t>Rhea Moss-Christian</w:t>
      </w:r>
    </w:p>
    <w:p w14:paraId="3EDFB19A" w14:textId="77777777" w:rsidR="00167860" w:rsidRPr="00CB6C95" w:rsidRDefault="00167860" w:rsidP="00167860">
      <w:pPr>
        <w:adjustRightInd w:val="0"/>
        <w:snapToGrid w:val="0"/>
        <w:rPr>
          <w:sz w:val="22"/>
          <w:szCs w:val="22"/>
          <w:lang w:eastAsia="ko-KR"/>
        </w:rPr>
      </w:pPr>
      <w:r w:rsidRPr="00CB6C95">
        <w:rPr>
          <w:sz w:val="22"/>
          <w:szCs w:val="22"/>
          <w:lang w:eastAsia="ko-KR"/>
        </w:rPr>
        <w:t>WCPFC Commission Chair</w:t>
      </w:r>
    </w:p>
    <w:p w14:paraId="26AD26EE" w14:textId="77777777" w:rsidR="00167860" w:rsidRPr="00CB6C95" w:rsidRDefault="00167860" w:rsidP="00167860">
      <w:pPr>
        <w:adjustRightInd w:val="0"/>
        <w:snapToGrid w:val="0"/>
        <w:rPr>
          <w:sz w:val="22"/>
          <w:szCs w:val="22"/>
          <w:lang w:eastAsia="ko-KR"/>
        </w:rPr>
      </w:pPr>
      <w:r w:rsidRPr="00CB6C95">
        <w:rPr>
          <w:sz w:val="22"/>
          <w:szCs w:val="22"/>
          <w:lang w:eastAsia="ko-KR"/>
        </w:rPr>
        <w:t>rhea.moss@gmail.com</w:t>
      </w:r>
    </w:p>
    <w:p w14:paraId="5BBB44F6" w14:textId="77777777" w:rsidR="00167860" w:rsidRPr="00CB6C95" w:rsidRDefault="00167860" w:rsidP="00167860">
      <w:pPr>
        <w:adjustRightInd w:val="0"/>
        <w:snapToGrid w:val="0"/>
        <w:rPr>
          <w:sz w:val="22"/>
          <w:szCs w:val="22"/>
          <w:lang w:eastAsia="ko-KR"/>
        </w:rPr>
      </w:pPr>
      <w:r w:rsidRPr="00CB6C95">
        <w:rPr>
          <w:sz w:val="22"/>
          <w:szCs w:val="22"/>
          <w:lang w:eastAsia="ko-KR"/>
        </w:rPr>
        <w:t> </w:t>
      </w:r>
    </w:p>
    <w:p w14:paraId="3A517CAA" w14:textId="77777777" w:rsidR="00167860" w:rsidRPr="00CB6C95" w:rsidRDefault="00167860" w:rsidP="00167860">
      <w:pPr>
        <w:adjustRightInd w:val="0"/>
        <w:snapToGrid w:val="0"/>
        <w:rPr>
          <w:b/>
          <w:sz w:val="22"/>
          <w:szCs w:val="22"/>
          <w:lang w:eastAsia="ko-KR"/>
        </w:rPr>
      </w:pPr>
      <w:r w:rsidRPr="00CB6C95">
        <w:rPr>
          <w:b/>
          <w:sz w:val="22"/>
          <w:szCs w:val="22"/>
          <w:lang w:eastAsia="ko-KR"/>
        </w:rPr>
        <w:t>Feleti P. Teo</w:t>
      </w:r>
    </w:p>
    <w:p w14:paraId="632863CA" w14:textId="77777777" w:rsidR="00167860" w:rsidRPr="00CB6C95" w:rsidRDefault="00167860" w:rsidP="00167860">
      <w:pPr>
        <w:adjustRightInd w:val="0"/>
        <w:snapToGrid w:val="0"/>
        <w:rPr>
          <w:sz w:val="22"/>
          <w:szCs w:val="22"/>
          <w:lang w:eastAsia="ko-KR"/>
        </w:rPr>
      </w:pPr>
      <w:r w:rsidRPr="00CB6C95">
        <w:rPr>
          <w:sz w:val="22"/>
          <w:szCs w:val="22"/>
          <w:lang w:eastAsia="ko-KR"/>
        </w:rPr>
        <w:t>Executive Director</w:t>
      </w:r>
    </w:p>
    <w:p w14:paraId="1F893B04" w14:textId="77777777" w:rsidR="00167860" w:rsidRPr="00CB6C95" w:rsidRDefault="00167860" w:rsidP="00167860">
      <w:pPr>
        <w:adjustRightInd w:val="0"/>
        <w:snapToGrid w:val="0"/>
        <w:rPr>
          <w:sz w:val="22"/>
          <w:szCs w:val="22"/>
          <w:lang w:eastAsia="ko-KR"/>
        </w:rPr>
      </w:pPr>
      <w:r w:rsidRPr="00CB6C95">
        <w:rPr>
          <w:sz w:val="22"/>
          <w:szCs w:val="22"/>
          <w:lang w:eastAsia="ko-KR"/>
        </w:rPr>
        <w:t>WCPFC Secretariat</w:t>
      </w:r>
    </w:p>
    <w:p w14:paraId="6EA9BAE1" w14:textId="77777777" w:rsidR="00167860" w:rsidRPr="00CB6C95" w:rsidRDefault="00167860" w:rsidP="00167860">
      <w:pPr>
        <w:adjustRightInd w:val="0"/>
        <w:snapToGrid w:val="0"/>
        <w:rPr>
          <w:sz w:val="22"/>
          <w:szCs w:val="22"/>
          <w:lang w:eastAsia="ko-KR"/>
        </w:rPr>
      </w:pPr>
      <w:r w:rsidRPr="00CB6C95">
        <w:rPr>
          <w:sz w:val="22"/>
          <w:szCs w:val="22"/>
          <w:lang w:eastAsia="ko-KR"/>
        </w:rPr>
        <w:t>PO Box 2356</w:t>
      </w:r>
      <w:r w:rsidRPr="00CB6C95">
        <w:rPr>
          <w:sz w:val="22"/>
          <w:szCs w:val="22"/>
          <w:lang w:eastAsia="ko-KR"/>
        </w:rPr>
        <w:br/>
        <w:t>Kolonia, Pohnpei   96941</w:t>
      </w:r>
      <w:r w:rsidRPr="00CB6C95">
        <w:rPr>
          <w:sz w:val="22"/>
          <w:szCs w:val="22"/>
          <w:lang w:eastAsia="ko-KR"/>
        </w:rPr>
        <w:br/>
        <w:t>Federated States of Micronesia </w:t>
      </w:r>
    </w:p>
    <w:p w14:paraId="00732CF3" w14:textId="77777777" w:rsidR="00167860" w:rsidRPr="00CB6C95" w:rsidRDefault="00167860" w:rsidP="00167860">
      <w:pPr>
        <w:adjustRightInd w:val="0"/>
        <w:snapToGrid w:val="0"/>
        <w:rPr>
          <w:sz w:val="22"/>
          <w:szCs w:val="22"/>
          <w:lang w:eastAsia="ko-KR"/>
        </w:rPr>
      </w:pPr>
      <w:r w:rsidRPr="00CB6C95">
        <w:rPr>
          <w:sz w:val="22"/>
          <w:szCs w:val="22"/>
          <w:lang w:eastAsia="ko-KR"/>
        </w:rPr>
        <w:t>+691 3201992</w:t>
      </w:r>
    </w:p>
    <w:p w14:paraId="5D900645" w14:textId="77777777" w:rsidR="00167860" w:rsidRPr="00CB6C95" w:rsidRDefault="00BC5151" w:rsidP="00167860">
      <w:pPr>
        <w:adjustRightInd w:val="0"/>
        <w:snapToGrid w:val="0"/>
        <w:rPr>
          <w:bCs/>
          <w:sz w:val="22"/>
          <w:szCs w:val="22"/>
          <w:lang w:eastAsia="ko-KR"/>
        </w:rPr>
      </w:pPr>
      <w:hyperlink r:id="rId138" w:history="1">
        <w:r w:rsidR="00167860" w:rsidRPr="00CB6C95">
          <w:rPr>
            <w:rStyle w:val="Hyperlink"/>
            <w:bCs/>
            <w:sz w:val="22"/>
            <w:szCs w:val="22"/>
            <w:lang w:eastAsia="ko-KR"/>
          </w:rPr>
          <w:t>feleti.teo@wcpfc.int</w:t>
        </w:r>
      </w:hyperlink>
    </w:p>
    <w:p w14:paraId="794D7468" w14:textId="77777777" w:rsidR="00167860" w:rsidRPr="00CB6C95" w:rsidRDefault="00167860" w:rsidP="00167860">
      <w:pPr>
        <w:adjustRightInd w:val="0"/>
        <w:snapToGrid w:val="0"/>
        <w:rPr>
          <w:b/>
          <w:sz w:val="22"/>
          <w:szCs w:val="22"/>
          <w:lang w:eastAsia="ko-KR"/>
        </w:rPr>
      </w:pPr>
    </w:p>
    <w:p w14:paraId="2B77C24D" w14:textId="77777777" w:rsidR="00167860" w:rsidRPr="00CB6C95" w:rsidRDefault="00167860" w:rsidP="00167860">
      <w:pPr>
        <w:adjustRightInd w:val="0"/>
        <w:snapToGrid w:val="0"/>
        <w:rPr>
          <w:b/>
          <w:sz w:val="22"/>
          <w:szCs w:val="22"/>
          <w:lang w:eastAsia="ko-KR"/>
        </w:rPr>
      </w:pPr>
      <w:r w:rsidRPr="00CB6C95">
        <w:rPr>
          <w:b/>
          <w:sz w:val="22"/>
          <w:szCs w:val="22"/>
          <w:lang w:eastAsia="ko-KR"/>
        </w:rPr>
        <w:t>SungKwon Soh</w:t>
      </w:r>
    </w:p>
    <w:p w14:paraId="2C65DC04" w14:textId="77777777" w:rsidR="00167860" w:rsidRPr="00CB6C95" w:rsidRDefault="00167860" w:rsidP="00167860">
      <w:pPr>
        <w:adjustRightInd w:val="0"/>
        <w:snapToGrid w:val="0"/>
        <w:rPr>
          <w:sz w:val="22"/>
          <w:szCs w:val="22"/>
          <w:lang w:eastAsia="ko-KR"/>
        </w:rPr>
      </w:pPr>
      <w:r w:rsidRPr="00CB6C95">
        <w:rPr>
          <w:sz w:val="22"/>
          <w:szCs w:val="22"/>
          <w:lang w:eastAsia="ko-KR"/>
        </w:rPr>
        <w:t>Science Manager</w:t>
      </w:r>
    </w:p>
    <w:p w14:paraId="5AB64956" w14:textId="77777777" w:rsidR="00167860" w:rsidRPr="00CB6C95" w:rsidRDefault="00167860" w:rsidP="00167860">
      <w:pPr>
        <w:adjustRightInd w:val="0"/>
        <w:snapToGrid w:val="0"/>
        <w:rPr>
          <w:sz w:val="22"/>
          <w:szCs w:val="22"/>
          <w:lang w:eastAsia="ko-KR"/>
        </w:rPr>
      </w:pPr>
      <w:r w:rsidRPr="00CB6C95">
        <w:rPr>
          <w:sz w:val="22"/>
          <w:szCs w:val="22"/>
          <w:lang w:eastAsia="ko-KR"/>
        </w:rPr>
        <w:t>WCPFC Secretariat</w:t>
      </w:r>
    </w:p>
    <w:p w14:paraId="1E2857D0" w14:textId="77777777" w:rsidR="00167860" w:rsidRPr="00CB6C95" w:rsidRDefault="00167860" w:rsidP="00167860">
      <w:pPr>
        <w:adjustRightInd w:val="0"/>
        <w:snapToGrid w:val="0"/>
        <w:rPr>
          <w:sz w:val="22"/>
          <w:szCs w:val="22"/>
          <w:lang w:eastAsia="ko-KR"/>
        </w:rPr>
      </w:pPr>
      <w:r w:rsidRPr="00CB6C95">
        <w:rPr>
          <w:sz w:val="22"/>
          <w:szCs w:val="22"/>
          <w:lang w:eastAsia="ko-KR"/>
        </w:rPr>
        <w:t>sungkwon.soh@wcpfc.int</w:t>
      </w:r>
    </w:p>
    <w:p w14:paraId="0CBD8BCD" w14:textId="77777777" w:rsidR="00167860" w:rsidRPr="00CB6C95" w:rsidRDefault="00167860" w:rsidP="00167860">
      <w:pPr>
        <w:adjustRightInd w:val="0"/>
        <w:snapToGrid w:val="0"/>
        <w:rPr>
          <w:b/>
          <w:sz w:val="22"/>
          <w:szCs w:val="22"/>
          <w:lang w:eastAsia="ko-KR"/>
        </w:rPr>
      </w:pPr>
    </w:p>
    <w:p w14:paraId="5EA8E4A7" w14:textId="77777777" w:rsidR="00167860" w:rsidRPr="00CB6C95" w:rsidRDefault="00167860" w:rsidP="00167860">
      <w:pPr>
        <w:adjustRightInd w:val="0"/>
        <w:snapToGrid w:val="0"/>
        <w:rPr>
          <w:b/>
          <w:sz w:val="22"/>
          <w:szCs w:val="22"/>
          <w:lang w:eastAsia="ko-KR"/>
        </w:rPr>
      </w:pPr>
      <w:r w:rsidRPr="00CB6C95">
        <w:rPr>
          <w:b/>
          <w:sz w:val="22"/>
          <w:szCs w:val="22"/>
          <w:lang w:eastAsia="ko-KR"/>
        </w:rPr>
        <w:t>Lara Manarangi-Trott</w:t>
      </w:r>
    </w:p>
    <w:p w14:paraId="1058C8D1" w14:textId="77777777" w:rsidR="00167860" w:rsidRPr="00CB6C95" w:rsidRDefault="00167860" w:rsidP="00167860">
      <w:pPr>
        <w:adjustRightInd w:val="0"/>
        <w:snapToGrid w:val="0"/>
        <w:rPr>
          <w:sz w:val="22"/>
          <w:szCs w:val="22"/>
          <w:lang w:eastAsia="ko-KR"/>
        </w:rPr>
      </w:pPr>
      <w:r w:rsidRPr="00CB6C95">
        <w:rPr>
          <w:sz w:val="22"/>
          <w:szCs w:val="22"/>
          <w:lang w:eastAsia="ko-KR"/>
        </w:rPr>
        <w:t>Compliance Manager</w:t>
      </w:r>
    </w:p>
    <w:p w14:paraId="391CADDA" w14:textId="77777777" w:rsidR="00167860" w:rsidRPr="00CB6C95" w:rsidRDefault="00167860" w:rsidP="00167860">
      <w:pPr>
        <w:adjustRightInd w:val="0"/>
        <w:snapToGrid w:val="0"/>
        <w:rPr>
          <w:sz w:val="22"/>
          <w:szCs w:val="22"/>
          <w:lang w:eastAsia="ko-KR"/>
        </w:rPr>
      </w:pPr>
      <w:r w:rsidRPr="00CB6C95">
        <w:rPr>
          <w:sz w:val="22"/>
          <w:szCs w:val="22"/>
          <w:lang w:eastAsia="ko-KR"/>
        </w:rPr>
        <w:t>WCPFC Secretariat</w:t>
      </w:r>
    </w:p>
    <w:p w14:paraId="1C465951" w14:textId="77777777" w:rsidR="00167860" w:rsidRPr="00CB6C95" w:rsidRDefault="00167860" w:rsidP="00167860">
      <w:pPr>
        <w:adjustRightInd w:val="0"/>
        <w:snapToGrid w:val="0"/>
        <w:rPr>
          <w:sz w:val="22"/>
          <w:szCs w:val="22"/>
          <w:lang w:eastAsia="ko-KR"/>
        </w:rPr>
      </w:pPr>
      <w:r w:rsidRPr="00CB6C95">
        <w:rPr>
          <w:sz w:val="22"/>
          <w:szCs w:val="22"/>
          <w:lang w:eastAsia="ko-KR"/>
        </w:rPr>
        <w:t>Lara.Manarangi-Trott@wcpfc.int</w:t>
      </w:r>
    </w:p>
    <w:p w14:paraId="51DD3917" w14:textId="77777777" w:rsidR="00167860" w:rsidRPr="00CB6C95" w:rsidRDefault="00167860" w:rsidP="00167860">
      <w:pPr>
        <w:adjustRightInd w:val="0"/>
        <w:snapToGrid w:val="0"/>
        <w:rPr>
          <w:sz w:val="22"/>
          <w:szCs w:val="22"/>
          <w:lang w:eastAsia="ko-KR"/>
        </w:rPr>
      </w:pPr>
      <w:r w:rsidRPr="00CB6C95">
        <w:rPr>
          <w:sz w:val="22"/>
          <w:szCs w:val="22"/>
          <w:lang w:eastAsia="ko-KR"/>
        </w:rPr>
        <w:t> </w:t>
      </w:r>
    </w:p>
    <w:p w14:paraId="2EE3F7D4" w14:textId="77777777" w:rsidR="00167860" w:rsidRPr="00CB6C95" w:rsidRDefault="00167860" w:rsidP="00167860">
      <w:pPr>
        <w:adjustRightInd w:val="0"/>
        <w:snapToGrid w:val="0"/>
        <w:rPr>
          <w:b/>
          <w:sz w:val="22"/>
          <w:szCs w:val="22"/>
          <w:lang w:eastAsia="ko-KR"/>
        </w:rPr>
      </w:pPr>
      <w:r w:rsidRPr="00CB6C95">
        <w:rPr>
          <w:b/>
          <w:sz w:val="22"/>
          <w:szCs w:val="22"/>
          <w:lang w:eastAsia="ko-KR"/>
        </w:rPr>
        <w:t>Aaron Nighswander</w:t>
      </w:r>
    </w:p>
    <w:p w14:paraId="7AA75D00" w14:textId="77777777" w:rsidR="00167860" w:rsidRPr="00CB6C95" w:rsidRDefault="00167860" w:rsidP="00167860">
      <w:pPr>
        <w:adjustRightInd w:val="0"/>
        <w:snapToGrid w:val="0"/>
        <w:rPr>
          <w:sz w:val="22"/>
          <w:szCs w:val="22"/>
          <w:lang w:eastAsia="ko-KR"/>
        </w:rPr>
      </w:pPr>
      <w:r w:rsidRPr="00CB6C95">
        <w:rPr>
          <w:sz w:val="22"/>
          <w:szCs w:val="22"/>
          <w:lang w:eastAsia="ko-KR"/>
        </w:rPr>
        <w:t>Finance and Administrative Manager</w:t>
      </w:r>
    </w:p>
    <w:p w14:paraId="01A7B2CE" w14:textId="77777777" w:rsidR="00167860" w:rsidRPr="00CB6C95" w:rsidRDefault="00167860" w:rsidP="00167860">
      <w:pPr>
        <w:adjustRightInd w:val="0"/>
        <w:snapToGrid w:val="0"/>
        <w:rPr>
          <w:sz w:val="22"/>
          <w:szCs w:val="22"/>
          <w:lang w:eastAsia="ko-KR"/>
        </w:rPr>
      </w:pPr>
      <w:r w:rsidRPr="00CB6C95">
        <w:rPr>
          <w:sz w:val="22"/>
          <w:szCs w:val="22"/>
          <w:lang w:eastAsia="ko-KR"/>
        </w:rPr>
        <w:t>WCPFC Secretariat</w:t>
      </w:r>
    </w:p>
    <w:p w14:paraId="1983283C" w14:textId="77777777" w:rsidR="00167860" w:rsidRPr="00CB6C95" w:rsidRDefault="00BC5151" w:rsidP="00167860">
      <w:pPr>
        <w:adjustRightInd w:val="0"/>
        <w:snapToGrid w:val="0"/>
        <w:rPr>
          <w:sz w:val="22"/>
          <w:szCs w:val="22"/>
          <w:lang w:eastAsia="ko-KR"/>
        </w:rPr>
      </w:pPr>
      <w:hyperlink r:id="rId139" w:history="1">
        <w:r w:rsidR="00167860" w:rsidRPr="00CB6C95">
          <w:rPr>
            <w:rStyle w:val="Hyperlink"/>
            <w:sz w:val="22"/>
            <w:szCs w:val="22"/>
            <w:lang w:eastAsia="ko-KR"/>
          </w:rPr>
          <w:t>Aaron.Nighswander@wcpfc.int</w:t>
        </w:r>
      </w:hyperlink>
    </w:p>
    <w:p w14:paraId="57AB3D65" w14:textId="77777777" w:rsidR="00167860" w:rsidRPr="00CB6C95" w:rsidRDefault="00167860" w:rsidP="00167860">
      <w:pPr>
        <w:adjustRightInd w:val="0"/>
        <w:snapToGrid w:val="0"/>
        <w:rPr>
          <w:sz w:val="22"/>
          <w:szCs w:val="22"/>
          <w:lang w:eastAsia="ko-KR"/>
        </w:rPr>
      </w:pPr>
      <w:r w:rsidRPr="00CB6C95">
        <w:rPr>
          <w:sz w:val="22"/>
          <w:szCs w:val="22"/>
          <w:lang w:eastAsia="ko-KR"/>
        </w:rPr>
        <w:t> </w:t>
      </w:r>
    </w:p>
    <w:p w14:paraId="5F5F287D" w14:textId="77777777" w:rsidR="00167860" w:rsidRPr="00CB6C95" w:rsidRDefault="00167860" w:rsidP="00167860">
      <w:pPr>
        <w:adjustRightInd w:val="0"/>
        <w:snapToGrid w:val="0"/>
        <w:rPr>
          <w:b/>
          <w:sz w:val="22"/>
          <w:szCs w:val="22"/>
          <w:lang w:eastAsia="ko-KR"/>
        </w:rPr>
      </w:pPr>
      <w:r w:rsidRPr="00CB6C95">
        <w:rPr>
          <w:b/>
          <w:sz w:val="22"/>
          <w:szCs w:val="22"/>
          <w:lang w:eastAsia="ko-KR"/>
        </w:rPr>
        <w:t>Karl Staisch</w:t>
      </w:r>
    </w:p>
    <w:p w14:paraId="60A12F01" w14:textId="77777777" w:rsidR="00167860" w:rsidRPr="00CB6C95" w:rsidRDefault="00167860" w:rsidP="00167860">
      <w:pPr>
        <w:adjustRightInd w:val="0"/>
        <w:snapToGrid w:val="0"/>
        <w:rPr>
          <w:sz w:val="22"/>
          <w:szCs w:val="22"/>
          <w:lang w:eastAsia="ko-KR"/>
        </w:rPr>
      </w:pPr>
      <w:r w:rsidRPr="00CB6C95">
        <w:rPr>
          <w:sz w:val="22"/>
          <w:szCs w:val="22"/>
          <w:lang w:eastAsia="ko-KR"/>
        </w:rPr>
        <w:t>ROP Manager</w:t>
      </w:r>
    </w:p>
    <w:p w14:paraId="22953346" w14:textId="77777777" w:rsidR="00167860" w:rsidRPr="00CB6C95" w:rsidRDefault="00167860" w:rsidP="00167860">
      <w:pPr>
        <w:adjustRightInd w:val="0"/>
        <w:snapToGrid w:val="0"/>
        <w:rPr>
          <w:sz w:val="22"/>
          <w:szCs w:val="22"/>
          <w:lang w:eastAsia="ko-KR"/>
        </w:rPr>
      </w:pPr>
      <w:r w:rsidRPr="00CB6C95">
        <w:rPr>
          <w:sz w:val="22"/>
          <w:szCs w:val="22"/>
          <w:lang w:eastAsia="ko-KR"/>
        </w:rPr>
        <w:t>WCPFC Secretariat</w:t>
      </w:r>
    </w:p>
    <w:p w14:paraId="50DCCC36" w14:textId="77777777" w:rsidR="00167860" w:rsidRPr="00CB6C95" w:rsidRDefault="00BC5151" w:rsidP="00167860">
      <w:pPr>
        <w:adjustRightInd w:val="0"/>
        <w:snapToGrid w:val="0"/>
        <w:rPr>
          <w:bCs/>
          <w:sz w:val="22"/>
          <w:szCs w:val="22"/>
          <w:lang w:eastAsia="ko-KR"/>
        </w:rPr>
      </w:pPr>
      <w:hyperlink r:id="rId140" w:history="1">
        <w:r w:rsidR="00167860" w:rsidRPr="00CB6C95">
          <w:rPr>
            <w:rStyle w:val="Hyperlink"/>
            <w:bCs/>
            <w:sz w:val="22"/>
            <w:szCs w:val="22"/>
            <w:lang w:eastAsia="ko-KR"/>
          </w:rPr>
          <w:t>Karl.Staisch@wcpfc.int</w:t>
        </w:r>
      </w:hyperlink>
    </w:p>
    <w:p w14:paraId="41930DE8" w14:textId="77777777" w:rsidR="00167860" w:rsidRPr="00CB6C95" w:rsidRDefault="00167860" w:rsidP="00167860">
      <w:pPr>
        <w:adjustRightInd w:val="0"/>
        <w:snapToGrid w:val="0"/>
        <w:rPr>
          <w:b/>
          <w:sz w:val="22"/>
          <w:szCs w:val="22"/>
          <w:lang w:eastAsia="ko-KR"/>
        </w:rPr>
      </w:pPr>
    </w:p>
    <w:p w14:paraId="41895266" w14:textId="77777777" w:rsidR="00167860" w:rsidRPr="00CB6C95" w:rsidRDefault="00167860" w:rsidP="00167860">
      <w:pPr>
        <w:adjustRightInd w:val="0"/>
        <w:snapToGrid w:val="0"/>
        <w:rPr>
          <w:b/>
          <w:sz w:val="22"/>
          <w:szCs w:val="22"/>
          <w:lang w:eastAsia="ko-KR"/>
        </w:rPr>
      </w:pPr>
      <w:r w:rsidRPr="00CB6C95">
        <w:rPr>
          <w:b/>
          <w:sz w:val="22"/>
          <w:szCs w:val="22"/>
          <w:lang w:eastAsia="ko-KR"/>
        </w:rPr>
        <w:t>Sam Taufao</w:t>
      </w:r>
    </w:p>
    <w:p w14:paraId="4C2AFA15" w14:textId="77777777" w:rsidR="00167860" w:rsidRPr="00CB6C95" w:rsidRDefault="00167860" w:rsidP="00167860">
      <w:pPr>
        <w:adjustRightInd w:val="0"/>
        <w:snapToGrid w:val="0"/>
        <w:rPr>
          <w:sz w:val="22"/>
          <w:szCs w:val="22"/>
          <w:lang w:eastAsia="ko-KR"/>
        </w:rPr>
      </w:pPr>
      <w:r w:rsidRPr="00CB6C95">
        <w:rPr>
          <w:sz w:val="22"/>
          <w:szCs w:val="22"/>
          <w:lang w:eastAsia="ko-KR"/>
        </w:rPr>
        <w:t>ICT Manager</w:t>
      </w:r>
    </w:p>
    <w:p w14:paraId="27C8C81B" w14:textId="77777777" w:rsidR="00167860" w:rsidRPr="00CB6C95" w:rsidRDefault="00167860" w:rsidP="00167860">
      <w:pPr>
        <w:adjustRightInd w:val="0"/>
        <w:snapToGrid w:val="0"/>
        <w:rPr>
          <w:sz w:val="22"/>
          <w:szCs w:val="22"/>
          <w:lang w:eastAsia="ko-KR"/>
        </w:rPr>
      </w:pPr>
      <w:r w:rsidRPr="00CB6C95">
        <w:rPr>
          <w:sz w:val="22"/>
          <w:szCs w:val="22"/>
          <w:lang w:eastAsia="ko-KR"/>
        </w:rPr>
        <w:t>WCPFC Secretariat</w:t>
      </w:r>
    </w:p>
    <w:p w14:paraId="5CB16A6E" w14:textId="77777777" w:rsidR="00167860" w:rsidRPr="00CB6C95" w:rsidRDefault="00167860" w:rsidP="00167860">
      <w:pPr>
        <w:adjustRightInd w:val="0"/>
        <w:snapToGrid w:val="0"/>
        <w:rPr>
          <w:sz w:val="22"/>
          <w:szCs w:val="22"/>
          <w:lang w:eastAsia="ko-KR"/>
        </w:rPr>
      </w:pPr>
      <w:r w:rsidRPr="00CB6C95">
        <w:rPr>
          <w:sz w:val="22"/>
          <w:szCs w:val="22"/>
          <w:lang w:eastAsia="ko-KR"/>
        </w:rPr>
        <w:t> Samuelu.Taufao@wcpfc.int</w:t>
      </w:r>
    </w:p>
    <w:p w14:paraId="1D4CE7C3" w14:textId="77777777" w:rsidR="00167860" w:rsidRPr="00CB6C95" w:rsidRDefault="00167860" w:rsidP="00167860">
      <w:pPr>
        <w:adjustRightInd w:val="0"/>
        <w:snapToGrid w:val="0"/>
        <w:rPr>
          <w:sz w:val="22"/>
          <w:szCs w:val="22"/>
          <w:lang w:eastAsia="ko-KR"/>
        </w:rPr>
      </w:pPr>
    </w:p>
    <w:p w14:paraId="2A63E99A" w14:textId="77777777" w:rsidR="00167860" w:rsidRPr="00CB6C95" w:rsidRDefault="00167860" w:rsidP="00167860">
      <w:pPr>
        <w:adjustRightInd w:val="0"/>
        <w:snapToGrid w:val="0"/>
        <w:rPr>
          <w:b/>
          <w:sz w:val="22"/>
          <w:szCs w:val="22"/>
          <w:lang w:eastAsia="ko-KR"/>
        </w:rPr>
      </w:pPr>
      <w:r w:rsidRPr="00CB6C95">
        <w:rPr>
          <w:b/>
          <w:sz w:val="22"/>
          <w:szCs w:val="22"/>
          <w:lang w:eastAsia="ko-KR"/>
        </w:rPr>
        <w:t>Anthony Beeching</w:t>
      </w:r>
    </w:p>
    <w:p w14:paraId="5605708B" w14:textId="77777777" w:rsidR="00167860" w:rsidRPr="00CB6C95" w:rsidRDefault="00167860" w:rsidP="00167860">
      <w:pPr>
        <w:adjustRightInd w:val="0"/>
        <w:snapToGrid w:val="0"/>
        <w:rPr>
          <w:sz w:val="22"/>
          <w:szCs w:val="22"/>
          <w:lang w:eastAsia="ko-KR"/>
        </w:rPr>
      </w:pPr>
      <w:r w:rsidRPr="00CB6C95">
        <w:rPr>
          <w:sz w:val="22"/>
          <w:szCs w:val="22"/>
          <w:lang w:eastAsia="ko-KR"/>
        </w:rPr>
        <w:t>Assistant Science Manager</w:t>
      </w:r>
    </w:p>
    <w:p w14:paraId="29BB55CC" w14:textId="77777777" w:rsidR="00167860" w:rsidRPr="00CB6C95" w:rsidRDefault="00167860" w:rsidP="00167860">
      <w:pPr>
        <w:adjustRightInd w:val="0"/>
        <w:snapToGrid w:val="0"/>
        <w:rPr>
          <w:sz w:val="22"/>
          <w:szCs w:val="22"/>
          <w:lang w:eastAsia="ko-KR"/>
        </w:rPr>
      </w:pPr>
      <w:r w:rsidRPr="00CB6C95">
        <w:rPr>
          <w:sz w:val="22"/>
          <w:szCs w:val="22"/>
          <w:lang w:eastAsia="ko-KR"/>
        </w:rPr>
        <w:t>WCPFC Secretariat</w:t>
      </w:r>
    </w:p>
    <w:p w14:paraId="12D729A9" w14:textId="77777777" w:rsidR="00167860" w:rsidRPr="00CB6C95" w:rsidRDefault="00BC5151" w:rsidP="00167860">
      <w:pPr>
        <w:adjustRightInd w:val="0"/>
        <w:snapToGrid w:val="0"/>
        <w:rPr>
          <w:sz w:val="22"/>
          <w:szCs w:val="22"/>
          <w:lang w:eastAsia="ko-KR"/>
        </w:rPr>
      </w:pPr>
      <w:hyperlink r:id="rId141" w:history="1">
        <w:r w:rsidR="00167860" w:rsidRPr="00CB6C95">
          <w:rPr>
            <w:rStyle w:val="Hyperlink"/>
            <w:sz w:val="22"/>
            <w:szCs w:val="22"/>
            <w:lang w:eastAsia="ko-KR"/>
          </w:rPr>
          <w:t>Anthony.Beeching@wcpfc.int</w:t>
        </w:r>
      </w:hyperlink>
    </w:p>
    <w:p w14:paraId="6365F4DC" w14:textId="77777777" w:rsidR="00167860" w:rsidRPr="00CB6C95" w:rsidRDefault="00167860" w:rsidP="00167860">
      <w:pPr>
        <w:adjustRightInd w:val="0"/>
        <w:snapToGrid w:val="0"/>
        <w:rPr>
          <w:sz w:val="22"/>
          <w:szCs w:val="22"/>
          <w:lang w:eastAsia="ko-KR"/>
        </w:rPr>
      </w:pPr>
      <w:r w:rsidRPr="00CB6C95">
        <w:rPr>
          <w:sz w:val="22"/>
          <w:szCs w:val="22"/>
          <w:lang w:eastAsia="ko-KR"/>
        </w:rPr>
        <w:t> </w:t>
      </w:r>
    </w:p>
    <w:p w14:paraId="596F8C2A" w14:textId="77777777" w:rsidR="00167860" w:rsidRPr="00CB6C95" w:rsidRDefault="00167860" w:rsidP="00167860">
      <w:pPr>
        <w:adjustRightInd w:val="0"/>
        <w:snapToGrid w:val="0"/>
        <w:rPr>
          <w:b/>
          <w:sz w:val="22"/>
          <w:szCs w:val="22"/>
          <w:lang w:eastAsia="ko-KR"/>
        </w:rPr>
      </w:pPr>
      <w:r w:rsidRPr="00CB6C95">
        <w:rPr>
          <w:b/>
          <w:sz w:val="22"/>
          <w:szCs w:val="22"/>
          <w:lang w:eastAsia="ko-KR"/>
        </w:rPr>
        <w:t>Ana Taholo</w:t>
      </w:r>
    </w:p>
    <w:p w14:paraId="276104D8" w14:textId="77777777" w:rsidR="00167860" w:rsidRPr="00CB6C95" w:rsidRDefault="00167860" w:rsidP="00167860">
      <w:pPr>
        <w:adjustRightInd w:val="0"/>
        <w:snapToGrid w:val="0"/>
        <w:rPr>
          <w:sz w:val="22"/>
          <w:szCs w:val="22"/>
          <w:lang w:eastAsia="ko-KR"/>
        </w:rPr>
      </w:pPr>
      <w:r w:rsidRPr="00CB6C95">
        <w:rPr>
          <w:sz w:val="22"/>
          <w:szCs w:val="22"/>
          <w:lang w:eastAsia="ko-KR"/>
        </w:rPr>
        <w:t>Compliance Assistant Manager</w:t>
      </w:r>
    </w:p>
    <w:p w14:paraId="5003A749" w14:textId="77777777" w:rsidR="00167860" w:rsidRPr="00CB6C95" w:rsidRDefault="00167860" w:rsidP="00167860">
      <w:pPr>
        <w:adjustRightInd w:val="0"/>
        <w:snapToGrid w:val="0"/>
        <w:rPr>
          <w:sz w:val="22"/>
          <w:szCs w:val="22"/>
          <w:lang w:eastAsia="ko-KR"/>
        </w:rPr>
      </w:pPr>
      <w:r w:rsidRPr="00CB6C95">
        <w:rPr>
          <w:sz w:val="22"/>
          <w:szCs w:val="22"/>
          <w:lang w:eastAsia="ko-KR"/>
        </w:rPr>
        <w:t>WCPFC Secretariat</w:t>
      </w:r>
    </w:p>
    <w:p w14:paraId="37358D09" w14:textId="77777777" w:rsidR="00167860" w:rsidRPr="00CB6C95" w:rsidRDefault="00BC5151" w:rsidP="00167860">
      <w:pPr>
        <w:adjustRightInd w:val="0"/>
        <w:snapToGrid w:val="0"/>
        <w:rPr>
          <w:sz w:val="22"/>
          <w:szCs w:val="22"/>
          <w:lang w:eastAsia="ko-KR"/>
        </w:rPr>
      </w:pPr>
      <w:hyperlink r:id="rId142" w:history="1">
        <w:r w:rsidR="00167860" w:rsidRPr="00CB6C95">
          <w:rPr>
            <w:rStyle w:val="Hyperlink"/>
            <w:sz w:val="22"/>
            <w:szCs w:val="22"/>
            <w:lang w:eastAsia="ko-KR"/>
          </w:rPr>
          <w:t>Ana.Taholo@wcpfc.int</w:t>
        </w:r>
      </w:hyperlink>
    </w:p>
    <w:p w14:paraId="1C70733B" w14:textId="77777777" w:rsidR="00167860" w:rsidRPr="00CB6C95" w:rsidRDefault="00167860" w:rsidP="00167860">
      <w:pPr>
        <w:adjustRightInd w:val="0"/>
        <w:snapToGrid w:val="0"/>
        <w:rPr>
          <w:sz w:val="22"/>
          <w:szCs w:val="22"/>
          <w:lang w:eastAsia="ko-KR"/>
        </w:rPr>
      </w:pPr>
      <w:r w:rsidRPr="00CB6C95">
        <w:rPr>
          <w:sz w:val="22"/>
          <w:szCs w:val="22"/>
          <w:lang w:eastAsia="ko-KR"/>
        </w:rPr>
        <w:t> </w:t>
      </w:r>
    </w:p>
    <w:p w14:paraId="2101538F" w14:textId="77777777" w:rsidR="00167860" w:rsidRPr="00CB6C95" w:rsidRDefault="00167860" w:rsidP="00167860">
      <w:pPr>
        <w:adjustRightInd w:val="0"/>
        <w:snapToGrid w:val="0"/>
        <w:rPr>
          <w:b/>
          <w:sz w:val="22"/>
          <w:szCs w:val="22"/>
          <w:lang w:eastAsia="ko-KR"/>
        </w:rPr>
      </w:pPr>
      <w:r w:rsidRPr="00CB6C95">
        <w:rPr>
          <w:b/>
          <w:sz w:val="22"/>
          <w:szCs w:val="22"/>
          <w:lang w:eastAsia="ko-KR"/>
        </w:rPr>
        <w:t>Arlene Takesy</w:t>
      </w:r>
    </w:p>
    <w:p w14:paraId="4AEF6679" w14:textId="77777777" w:rsidR="00167860" w:rsidRPr="00CB6C95" w:rsidRDefault="00167860" w:rsidP="00167860">
      <w:pPr>
        <w:adjustRightInd w:val="0"/>
        <w:snapToGrid w:val="0"/>
        <w:rPr>
          <w:sz w:val="22"/>
          <w:szCs w:val="22"/>
          <w:lang w:eastAsia="ko-KR"/>
        </w:rPr>
      </w:pPr>
      <w:r w:rsidRPr="00CB6C95">
        <w:rPr>
          <w:sz w:val="22"/>
          <w:szCs w:val="22"/>
          <w:lang w:eastAsia="ko-KR"/>
        </w:rPr>
        <w:t>Executive Assistant</w:t>
      </w:r>
    </w:p>
    <w:p w14:paraId="5D3AFB69" w14:textId="77777777" w:rsidR="00167860" w:rsidRPr="00CB6C95" w:rsidRDefault="00167860" w:rsidP="00167860">
      <w:pPr>
        <w:adjustRightInd w:val="0"/>
        <w:snapToGrid w:val="0"/>
        <w:rPr>
          <w:sz w:val="22"/>
          <w:szCs w:val="22"/>
          <w:lang w:eastAsia="ko-KR"/>
        </w:rPr>
      </w:pPr>
      <w:r w:rsidRPr="00CB6C95">
        <w:rPr>
          <w:sz w:val="22"/>
          <w:szCs w:val="22"/>
          <w:lang w:eastAsia="ko-KR"/>
        </w:rPr>
        <w:t>WCPFC Secretariat</w:t>
      </w:r>
    </w:p>
    <w:p w14:paraId="3ACBC19D" w14:textId="77777777" w:rsidR="00167860" w:rsidRPr="00CB6C95" w:rsidRDefault="00167860" w:rsidP="00167860">
      <w:pPr>
        <w:adjustRightInd w:val="0"/>
        <w:snapToGrid w:val="0"/>
        <w:rPr>
          <w:sz w:val="22"/>
          <w:szCs w:val="22"/>
          <w:lang w:eastAsia="ko-KR"/>
        </w:rPr>
      </w:pPr>
      <w:r w:rsidRPr="00CB6C95">
        <w:rPr>
          <w:sz w:val="22"/>
          <w:szCs w:val="22"/>
          <w:lang w:eastAsia="ko-KR"/>
        </w:rPr>
        <w:t> Arlene.Takesy@wcpfc.int</w:t>
      </w:r>
    </w:p>
    <w:p w14:paraId="35CF6F0A" w14:textId="77777777" w:rsidR="00167860" w:rsidRPr="00CB6C95" w:rsidRDefault="00167860" w:rsidP="00167860">
      <w:pPr>
        <w:adjustRightInd w:val="0"/>
        <w:snapToGrid w:val="0"/>
        <w:rPr>
          <w:sz w:val="22"/>
          <w:szCs w:val="22"/>
          <w:lang w:eastAsia="ko-KR"/>
        </w:rPr>
      </w:pPr>
    </w:p>
    <w:p w14:paraId="71E3A5A7" w14:textId="77777777" w:rsidR="00167860" w:rsidRPr="00CB6C95" w:rsidRDefault="00167860" w:rsidP="00167860">
      <w:pPr>
        <w:adjustRightInd w:val="0"/>
        <w:snapToGrid w:val="0"/>
        <w:rPr>
          <w:b/>
          <w:sz w:val="22"/>
          <w:szCs w:val="22"/>
          <w:lang w:eastAsia="ko-KR"/>
        </w:rPr>
      </w:pPr>
      <w:r w:rsidRPr="00CB6C95">
        <w:rPr>
          <w:b/>
          <w:sz w:val="22"/>
          <w:szCs w:val="22"/>
          <w:lang w:eastAsia="ko-KR"/>
        </w:rPr>
        <w:t>Merisa Delcampo</w:t>
      </w:r>
    </w:p>
    <w:p w14:paraId="4556DB66" w14:textId="77777777" w:rsidR="00167860" w:rsidRPr="00CB6C95" w:rsidRDefault="00167860" w:rsidP="00167860">
      <w:pPr>
        <w:adjustRightInd w:val="0"/>
        <w:snapToGrid w:val="0"/>
        <w:rPr>
          <w:sz w:val="22"/>
          <w:szCs w:val="22"/>
          <w:lang w:eastAsia="ko-KR"/>
        </w:rPr>
      </w:pPr>
      <w:r w:rsidRPr="00CB6C95">
        <w:rPr>
          <w:sz w:val="22"/>
          <w:szCs w:val="22"/>
          <w:lang w:eastAsia="ko-KR"/>
        </w:rPr>
        <w:t>Finance Officer</w:t>
      </w:r>
    </w:p>
    <w:p w14:paraId="302BA8E7" w14:textId="77777777" w:rsidR="00167860" w:rsidRPr="00CB6C95" w:rsidRDefault="00167860" w:rsidP="00167860">
      <w:pPr>
        <w:adjustRightInd w:val="0"/>
        <w:snapToGrid w:val="0"/>
        <w:rPr>
          <w:sz w:val="22"/>
          <w:szCs w:val="22"/>
          <w:lang w:eastAsia="ko-KR"/>
        </w:rPr>
      </w:pPr>
      <w:r w:rsidRPr="00CB6C95">
        <w:rPr>
          <w:sz w:val="22"/>
          <w:szCs w:val="22"/>
          <w:lang w:eastAsia="ko-KR"/>
        </w:rPr>
        <w:t>WCPFC Secretariat</w:t>
      </w:r>
    </w:p>
    <w:p w14:paraId="15FB7F63" w14:textId="77777777" w:rsidR="00167860" w:rsidRPr="00CB6C95" w:rsidRDefault="00167860" w:rsidP="00167860">
      <w:pPr>
        <w:adjustRightInd w:val="0"/>
        <w:snapToGrid w:val="0"/>
        <w:rPr>
          <w:sz w:val="22"/>
          <w:szCs w:val="22"/>
          <w:lang w:eastAsia="ko-KR"/>
        </w:rPr>
      </w:pPr>
      <w:r w:rsidRPr="00CB6C95">
        <w:rPr>
          <w:sz w:val="22"/>
          <w:szCs w:val="22"/>
          <w:lang w:eastAsia="ko-KR"/>
        </w:rPr>
        <w:t>Merisa.Delcampo@wcpfc.int</w:t>
      </w:r>
    </w:p>
    <w:p w14:paraId="6C52A7CB" w14:textId="77777777" w:rsidR="00167860" w:rsidRPr="00CB6C95" w:rsidRDefault="00167860" w:rsidP="00167860">
      <w:pPr>
        <w:adjustRightInd w:val="0"/>
        <w:snapToGrid w:val="0"/>
        <w:rPr>
          <w:b/>
          <w:sz w:val="22"/>
          <w:szCs w:val="22"/>
          <w:lang w:eastAsia="ko-KR"/>
        </w:rPr>
      </w:pPr>
    </w:p>
    <w:p w14:paraId="39FC04BE" w14:textId="77777777" w:rsidR="00167860" w:rsidRPr="00CB6C95" w:rsidRDefault="00167860" w:rsidP="00167860">
      <w:pPr>
        <w:adjustRightInd w:val="0"/>
        <w:snapToGrid w:val="0"/>
        <w:rPr>
          <w:b/>
          <w:sz w:val="22"/>
          <w:szCs w:val="22"/>
          <w:lang w:eastAsia="ko-KR"/>
        </w:rPr>
      </w:pPr>
      <w:r w:rsidRPr="00CB6C95">
        <w:rPr>
          <w:b/>
          <w:sz w:val="22"/>
          <w:szCs w:val="22"/>
          <w:lang w:eastAsia="ko-KR"/>
        </w:rPr>
        <w:t>Adam Langley</w:t>
      </w:r>
    </w:p>
    <w:p w14:paraId="144EB961" w14:textId="77777777" w:rsidR="00167860" w:rsidRPr="00CB6C95" w:rsidRDefault="00167860" w:rsidP="00167860">
      <w:pPr>
        <w:adjustRightInd w:val="0"/>
        <w:snapToGrid w:val="0"/>
        <w:rPr>
          <w:sz w:val="22"/>
          <w:szCs w:val="22"/>
          <w:lang w:eastAsia="ko-KR"/>
        </w:rPr>
      </w:pPr>
      <w:r w:rsidRPr="00CB6C95">
        <w:rPr>
          <w:sz w:val="22"/>
          <w:szCs w:val="22"/>
          <w:lang w:eastAsia="ko-KR"/>
        </w:rPr>
        <w:t>Consultant</w:t>
      </w:r>
    </w:p>
    <w:p w14:paraId="2B2A753D" w14:textId="77777777" w:rsidR="00167860" w:rsidRPr="00CB6C95" w:rsidRDefault="00167860" w:rsidP="00167860">
      <w:pPr>
        <w:adjustRightInd w:val="0"/>
        <w:snapToGrid w:val="0"/>
        <w:rPr>
          <w:sz w:val="22"/>
          <w:szCs w:val="22"/>
          <w:lang w:eastAsia="ko-KR"/>
        </w:rPr>
      </w:pPr>
      <w:r w:rsidRPr="00CB6C95">
        <w:rPr>
          <w:sz w:val="22"/>
          <w:szCs w:val="22"/>
          <w:lang w:eastAsia="ko-KR"/>
        </w:rPr>
        <w:t> </w:t>
      </w:r>
    </w:p>
    <w:p w14:paraId="16E06514" w14:textId="77777777" w:rsidR="00167860" w:rsidRPr="00CB6C95" w:rsidRDefault="00167860" w:rsidP="00167860">
      <w:pPr>
        <w:adjustRightInd w:val="0"/>
        <w:snapToGrid w:val="0"/>
        <w:rPr>
          <w:b/>
          <w:sz w:val="22"/>
          <w:szCs w:val="22"/>
          <w:lang w:eastAsia="ko-KR"/>
        </w:rPr>
      </w:pPr>
      <w:r w:rsidRPr="00CB6C95">
        <w:rPr>
          <w:b/>
          <w:sz w:val="22"/>
          <w:szCs w:val="22"/>
          <w:lang w:eastAsia="ko-KR"/>
        </w:rPr>
        <w:t>Matthew Dunn</w:t>
      </w:r>
    </w:p>
    <w:p w14:paraId="3992616B" w14:textId="77777777" w:rsidR="00167860" w:rsidRPr="00CB6C95" w:rsidRDefault="00167860" w:rsidP="00167860">
      <w:pPr>
        <w:adjustRightInd w:val="0"/>
        <w:snapToGrid w:val="0"/>
        <w:rPr>
          <w:sz w:val="22"/>
          <w:szCs w:val="22"/>
          <w:lang w:eastAsia="ko-KR"/>
        </w:rPr>
      </w:pPr>
      <w:r w:rsidRPr="00CB6C95">
        <w:rPr>
          <w:sz w:val="22"/>
          <w:szCs w:val="22"/>
          <w:lang w:eastAsia="ko-KR"/>
        </w:rPr>
        <w:t>Principal scientist</w:t>
      </w:r>
    </w:p>
    <w:p w14:paraId="3FB025B4" w14:textId="77777777" w:rsidR="00167860" w:rsidRPr="00CB6C95" w:rsidRDefault="00167860" w:rsidP="00167860">
      <w:pPr>
        <w:adjustRightInd w:val="0"/>
        <w:snapToGrid w:val="0"/>
        <w:rPr>
          <w:sz w:val="22"/>
          <w:szCs w:val="22"/>
          <w:lang w:eastAsia="ko-KR"/>
        </w:rPr>
      </w:pPr>
      <w:r w:rsidRPr="00CB6C95">
        <w:rPr>
          <w:sz w:val="22"/>
          <w:szCs w:val="22"/>
          <w:lang w:eastAsia="ko-KR"/>
        </w:rPr>
        <w:t>NIWA</w:t>
      </w:r>
    </w:p>
    <w:p w14:paraId="63A35071" w14:textId="77777777" w:rsidR="00167860" w:rsidRPr="00CB6C95" w:rsidRDefault="00167860" w:rsidP="00167860">
      <w:pPr>
        <w:adjustRightInd w:val="0"/>
        <w:snapToGrid w:val="0"/>
        <w:rPr>
          <w:sz w:val="22"/>
          <w:szCs w:val="22"/>
          <w:lang w:eastAsia="ko-KR"/>
        </w:rPr>
      </w:pPr>
      <w:r w:rsidRPr="00CB6C95">
        <w:rPr>
          <w:sz w:val="22"/>
          <w:szCs w:val="22"/>
          <w:lang w:eastAsia="ko-KR"/>
        </w:rPr>
        <w:t> </w:t>
      </w:r>
    </w:p>
    <w:p w14:paraId="0B51E807" w14:textId="77777777" w:rsidR="00167860" w:rsidRPr="00CB6C95" w:rsidRDefault="00167860" w:rsidP="00167860">
      <w:pPr>
        <w:adjustRightInd w:val="0"/>
        <w:snapToGrid w:val="0"/>
        <w:rPr>
          <w:b/>
          <w:sz w:val="22"/>
          <w:szCs w:val="22"/>
          <w:lang w:eastAsia="ko-KR"/>
        </w:rPr>
      </w:pPr>
      <w:r w:rsidRPr="00CB6C95">
        <w:rPr>
          <w:b/>
          <w:sz w:val="22"/>
          <w:szCs w:val="22"/>
          <w:lang w:eastAsia="ko-KR"/>
        </w:rPr>
        <w:t>Shijie Zhou</w:t>
      </w:r>
    </w:p>
    <w:p w14:paraId="603F1A60" w14:textId="77777777" w:rsidR="00167860" w:rsidRPr="00CB6C95" w:rsidRDefault="00167860" w:rsidP="00167860">
      <w:pPr>
        <w:adjustRightInd w:val="0"/>
        <w:snapToGrid w:val="0"/>
        <w:rPr>
          <w:sz w:val="22"/>
          <w:szCs w:val="22"/>
          <w:lang w:eastAsia="ko-KR"/>
        </w:rPr>
      </w:pPr>
      <w:r w:rsidRPr="00CB6C95">
        <w:rPr>
          <w:sz w:val="22"/>
          <w:szCs w:val="22"/>
          <w:lang w:eastAsia="ko-KR"/>
        </w:rPr>
        <w:t>Senior Principal Research Scientist</w:t>
      </w:r>
    </w:p>
    <w:p w14:paraId="6FE3B9CD" w14:textId="77777777" w:rsidR="00167860" w:rsidRPr="00CB6C95" w:rsidRDefault="00167860" w:rsidP="00167860">
      <w:pPr>
        <w:adjustRightInd w:val="0"/>
        <w:snapToGrid w:val="0"/>
        <w:rPr>
          <w:sz w:val="22"/>
          <w:szCs w:val="22"/>
          <w:lang w:eastAsia="ko-KR"/>
        </w:rPr>
      </w:pPr>
      <w:r w:rsidRPr="00CB6C95">
        <w:rPr>
          <w:sz w:val="22"/>
          <w:szCs w:val="22"/>
          <w:lang w:eastAsia="ko-KR"/>
        </w:rPr>
        <w:t>CSIRO</w:t>
      </w:r>
    </w:p>
    <w:p w14:paraId="0E5BE104" w14:textId="77777777" w:rsidR="00167860" w:rsidRPr="00CB6C95" w:rsidRDefault="00167860" w:rsidP="00167860">
      <w:pPr>
        <w:adjustRightInd w:val="0"/>
        <w:snapToGrid w:val="0"/>
        <w:rPr>
          <w:sz w:val="22"/>
          <w:szCs w:val="22"/>
          <w:lang w:eastAsia="ko-KR"/>
        </w:rPr>
      </w:pPr>
      <w:r w:rsidRPr="00CB6C95">
        <w:rPr>
          <w:sz w:val="22"/>
          <w:szCs w:val="22"/>
          <w:lang w:eastAsia="ko-KR"/>
        </w:rPr>
        <w:t> </w:t>
      </w:r>
    </w:p>
    <w:p w14:paraId="75D40D86" w14:textId="77777777" w:rsidR="00167860" w:rsidRPr="00CB6C95" w:rsidRDefault="00167860" w:rsidP="00167860">
      <w:pPr>
        <w:adjustRightInd w:val="0"/>
        <w:snapToGrid w:val="0"/>
        <w:rPr>
          <w:b/>
          <w:sz w:val="22"/>
          <w:szCs w:val="22"/>
          <w:lang w:eastAsia="ko-KR"/>
        </w:rPr>
      </w:pPr>
      <w:r w:rsidRPr="00CB6C95">
        <w:rPr>
          <w:b/>
          <w:sz w:val="22"/>
          <w:szCs w:val="22"/>
          <w:lang w:eastAsia="ko-KR"/>
        </w:rPr>
        <w:t>Philipp Neubauer</w:t>
      </w:r>
    </w:p>
    <w:p w14:paraId="6317BAEC" w14:textId="77777777" w:rsidR="00167860" w:rsidRPr="00CB6C95" w:rsidRDefault="00167860" w:rsidP="00167860">
      <w:pPr>
        <w:adjustRightInd w:val="0"/>
        <w:snapToGrid w:val="0"/>
        <w:rPr>
          <w:sz w:val="22"/>
          <w:szCs w:val="22"/>
          <w:lang w:eastAsia="ko-KR"/>
        </w:rPr>
      </w:pPr>
      <w:r w:rsidRPr="00CB6C95">
        <w:rPr>
          <w:sz w:val="22"/>
          <w:szCs w:val="22"/>
          <w:lang w:eastAsia="ko-KR"/>
        </w:rPr>
        <w:t>Consultant - whale shark assessment</w:t>
      </w:r>
    </w:p>
    <w:p w14:paraId="206AE9A5" w14:textId="77777777" w:rsidR="00167860" w:rsidRPr="00CB6C95" w:rsidRDefault="00167860" w:rsidP="00167860">
      <w:pPr>
        <w:adjustRightInd w:val="0"/>
        <w:snapToGrid w:val="0"/>
        <w:rPr>
          <w:sz w:val="22"/>
          <w:szCs w:val="22"/>
          <w:lang w:eastAsia="ko-KR"/>
        </w:rPr>
      </w:pPr>
      <w:r w:rsidRPr="00CB6C95">
        <w:rPr>
          <w:sz w:val="22"/>
          <w:szCs w:val="22"/>
          <w:lang w:eastAsia="ko-KR"/>
        </w:rPr>
        <w:t>Dragonfly Data Science</w:t>
      </w:r>
    </w:p>
    <w:p w14:paraId="409226B9" w14:textId="77777777" w:rsidR="00167860" w:rsidRPr="00CB6C95" w:rsidRDefault="00167860" w:rsidP="00167860">
      <w:pPr>
        <w:adjustRightInd w:val="0"/>
        <w:snapToGrid w:val="0"/>
        <w:rPr>
          <w:sz w:val="22"/>
          <w:szCs w:val="22"/>
          <w:lang w:eastAsia="ko-KR"/>
        </w:rPr>
      </w:pPr>
      <w:r w:rsidRPr="00CB6C95">
        <w:rPr>
          <w:sz w:val="22"/>
          <w:szCs w:val="22"/>
          <w:lang w:eastAsia="ko-KR"/>
        </w:rPr>
        <w:t>Level 4, 158 Victoria St</w:t>
      </w:r>
      <w:r w:rsidRPr="00CB6C95">
        <w:rPr>
          <w:sz w:val="22"/>
          <w:szCs w:val="22"/>
          <w:lang w:eastAsia="ko-KR"/>
        </w:rPr>
        <w:br/>
        <w:t>Stephenson &amp; Turner House</w:t>
      </w:r>
      <w:r w:rsidRPr="00CB6C95">
        <w:rPr>
          <w:sz w:val="22"/>
          <w:szCs w:val="22"/>
          <w:lang w:eastAsia="ko-KR"/>
        </w:rPr>
        <w:br/>
        <w:t>Te Aro, Wellington 6011</w:t>
      </w:r>
      <w:r w:rsidRPr="00CB6C95">
        <w:rPr>
          <w:sz w:val="22"/>
          <w:szCs w:val="22"/>
          <w:lang w:eastAsia="ko-KR"/>
        </w:rPr>
        <w:br/>
        <w:t>New Zealand</w:t>
      </w:r>
    </w:p>
    <w:p w14:paraId="41E4617F" w14:textId="77777777" w:rsidR="00167860" w:rsidRPr="00CB6C95" w:rsidRDefault="00167860" w:rsidP="00167860">
      <w:pPr>
        <w:adjustRightInd w:val="0"/>
        <w:snapToGrid w:val="0"/>
        <w:rPr>
          <w:sz w:val="22"/>
          <w:szCs w:val="22"/>
          <w:lang w:eastAsia="ko-KR"/>
        </w:rPr>
      </w:pPr>
      <w:r w:rsidRPr="00CB6C95">
        <w:rPr>
          <w:sz w:val="22"/>
          <w:szCs w:val="22"/>
          <w:lang w:eastAsia="ko-KR"/>
        </w:rPr>
        <w:t>6421963923</w:t>
      </w:r>
    </w:p>
    <w:p w14:paraId="717D1A41" w14:textId="77777777" w:rsidR="00167860" w:rsidRPr="00CB6C95" w:rsidRDefault="00167860" w:rsidP="00167860">
      <w:pPr>
        <w:adjustRightInd w:val="0"/>
        <w:snapToGrid w:val="0"/>
        <w:rPr>
          <w:sz w:val="22"/>
          <w:szCs w:val="22"/>
          <w:lang w:eastAsia="ko-KR"/>
        </w:rPr>
      </w:pPr>
      <w:r w:rsidRPr="00CB6C95">
        <w:rPr>
          <w:sz w:val="22"/>
          <w:szCs w:val="22"/>
          <w:lang w:eastAsia="ko-KR"/>
        </w:rPr>
        <w:t> </w:t>
      </w:r>
    </w:p>
    <w:p w14:paraId="676516A3" w14:textId="77777777" w:rsidR="00167860" w:rsidRPr="00CB6C95" w:rsidRDefault="00167860" w:rsidP="00167860">
      <w:pPr>
        <w:adjustRightInd w:val="0"/>
        <w:snapToGrid w:val="0"/>
        <w:rPr>
          <w:b/>
          <w:sz w:val="22"/>
          <w:szCs w:val="22"/>
          <w:lang w:eastAsia="ko-KR"/>
        </w:rPr>
      </w:pPr>
      <w:r w:rsidRPr="00CB6C95">
        <w:rPr>
          <w:b/>
          <w:sz w:val="22"/>
          <w:szCs w:val="22"/>
          <w:lang w:eastAsia="ko-KR"/>
        </w:rPr>
        <w:t>Mark Smaalders</w:t>
      </w:r>
    </w:p>
    <w:p w14:paraId="2C226221" w14:textId="77777777" w:rsidR="00167860" w:rsidRPr="00CB6C95" w:rsidRDefault="00167860" w:rsidP="00167860">
      <w:pPr>
        <w:adjustRightInd w:val="0"/>
        <w:snapToGrid w:val="0"/>
        <w:rPr>
          <w:sz w:val="22"/>
          <w:szCs w:val="22"/>
          <w:lang w:eastAsia="ko-KR"/>
        </w:rPr>
      </w:pPr>
      <w:r w:rsidRPr="00CB6C95">
        <w:rPr>
          <w:sz w:val="22"/>
          <w:szCs w:val="22"/>
          <w:lang w:eastAsia="ko-KR"/>
        </w:rPr>
        <w:t>Meeting Rapporteur</w:t>
      </w:r>
    </w:p>
    <w:p w14:paraId="3E1B4994" w14:textId="77777777" w:rsidR="00167860" w:rsidRPr="00CB6C95" w:rsidRDefault="00167860" w:rsidP="00167860">
      <w:pPr>
        <w:adjustRightInd w:val="0"/>
        <w:snapToGrid w:val="0"/>
        <w:rPr>
          <w:sz w:val="22"/>
          <w:szCs w:val="22"/>
          <w:lang w:eastAsia="ko-KR"/>
        </w:rPr>
      </w:pPr>
      <w:r w:rsidRPr="00CB6C95">
        <w:rPr>
          <w:sz w:val="22"/>
          <w:szCs w:val="22"/>
          <w:lang w:eastAsia="ko-KR"/>
        </w:rPr>
        <w:t>Western and Central Pacific Fisheries Commission</w:t>
      </w:r>
    </w:p>
    <w:p w14:paraId="37E29872" w14:textId="77777777" w:rsidR="00167860" w:rsidRPr="00CB6C95" w:rsidRDefault="00167860" w:rsidP="00167860">
      <w:pPr>
        <w:adjustRightInd w:val="0"/>
        <w:snapToGrid w:val="0"/>
        <w:rPr>
          <w:sz w:val="22"/>
          <w:szCs w:val="22"/>
          <w:lang w:eastAsia="ko-KR"/>
        </w:rPr>
      </w:pPr>
      <w:r w:rsidRPr="00CB6C95">
        <w:rPr>
          <w:sz w:val="22"/>
          <w:szCs w:val="22"/>
          <w:lang w:eastAsia="ko-KR"/>
        </w:rPr>
        <w:t xml:space="preserve">P.O. Box 1626 </w:t>
      </w:r>
      <w:r w:rsidRPr="00CB6C95">
        <w:rPr>
          <w:sz w:val="22"/>
          <w:szCs w:val="22"/>
          <w:lang w:eastAsia="ko-KR"/>
        </w:rPr>
        <w:br/>
        <w:t>Eastsound WA, USA 98245</w:t>
      </w:r>
    </w:p>
    <w:p w14:paraId="0AFF138D" w14:textId="77777777" w:rsidR="00167860" w:rsidRPr="00CB6C95" w:rsidRDefault="00167860" w:rsidP="00167860">
      <w:pPr>
        <w:adjustRightInd w:val="0"/>
        <w:snapToGrid w:val="0"/>
        <w:rPr>
          <w:sz w:val="22"/>
          <w:szCs w:val="22"/>
          <w:lang w:eastAsia="ko-KR"/>
        </w:rPr>
      </w:pPr>
      <w:r w:rsidRPr="00CB6C95">
        <w:rPr>
          <w:sz w:val="22"/>
          <w:szCs w:val="22"/>
          <w:lang w:eastAsia="ko-KR"/>
        </w:rPr>
        <w:t>(360) 298-2295</w:t>
      </w:r>
    </w:p>
    <w:p w14:paraId="769DBC4B" w14:textId="77777777" w:rsidR="00167860" w:rsidRPr="00CB6C95" w:rsidRDefault="00167860" w:rsidP="00167860">
      <w:pPr>
        <w:adjustRightInd w:val="0"/>
        <w:snapToGrid w:val="0"/>
        <w:rPr>
          <w:sz w:val="22"/>
          <w:szCs w:val="22"/>
          <w:lang w:eastAsia="ko-KR"/>
        </w:rPr>
      </w:pPr>
      <w:r w:rsidRPr="00CB6C95">
        <w:rPr>
          <w:sz w:val="22"/>
          <w:szCs w:val="22"/>
          <w:lang w:eastAsia="ko-KR"/>
        </w:rPr>
        <w:t>marksmaalders@gmail.com</w:t>
      </w:r>
    </w:p>
    <w:p w14:paraId="1C4D92AB" w14:textId="77777777" w:rsidR="00167860" w:rsidRPr="00CB6C95" w:rsidRDefault="00167860" w:rsidP="00167860">
      <w:pPr>
        <w:adjustRightInd w:val="0"/>
        <w:snapToGrid w:val="0"/>
        <w:rPr>
          <w:sz w:val="22"/>
          <w:szCs w:val="22"/>
          <w:lang w:eastAsia="ko-KR"/>
        </w:rPr>
      </w:pPr>
      <w:r w:rsidRPr="00CB6C95">
        <w:rPr>
          <w:sz w:val="22"/>
          <w:szCs w:val="22"/>
          <w:lang w:eastAsia="ko-KR"/>
        </w:rPr>
        <w:t> </w:t>
      </w:r>
    </w:p>
    <w:p w14:paraId="670062B1" w14:textId="77777777" w:rsidR="00167860" w:rsidRPr="00CB6C95" w:rsidRDefault="00167860" w:rsidP="00167860">
      <w:pPr>
        <w:adjustRightInd w:val="0"/>
        <w:snapToGrid w:val="0"/>
        <w:rPr>
          <w:sz w:val="22"/>
          <w:szCs w:val="22"/>
        </w:rPr>
        <w:sectPr w:rsidR="00167860" w:rsidRPr="00CB6C95" w:rsidSect="00167860">
          <w:footerReference w:type="default" r:id="rId143"/>
          <w:footerReference w:type="first" r:id="rId144"/>
          <w:type w:val="continuous"/>
          <w:pgSz w:w="12240" w:h="15840" w:code="1"/>
          <w:pgMar w:top="1440" w:right="1440" w:bottom="1440" w:left="1440" w:header="0" w:footer="720" w:gutter="0"/>
          <w:cols w:num="2" w:space="708"/>
          <w:titlePg/>
          <w:docGrid w:linePitch="360"/>
        </w:sectPr>
      </w:pPr>
    </w:p>
    <w:p w14:paraId="14D6FF76" w14:textId="77777777" w:rsidR="00167860" w:rsidRPr="00CB6C95" w:rsidRDefault="00167860" w:rsidP="00167860">
      <w:pPr>
        <w:adjustRightInd w:val="0"/>
        <w:snapToGrid w:val="0"/>
        <w:rPr>
          <w:sz w:val="22"/>
          <w:szCs w:val="22"/>
        </w:rPr>
      </w:pPr>
    </w:p>
    <w:p w14:paraId="17131F92" w14:textId="77777777" w:rsidR="001A14BC" w:rsidRPr="00CB6C95" w:rsidRDefault="001A14BC" w:rsidP="00E41116">
      <w:pPr>
        <w:autoSpaceDE w:val="0"/>
        <w:autoSpaceDN w:val="0"/>
        <w:adjustRightInd w:val="0"/>
        <w:snapToGrid w:val="0"/>
        <w:jc w:val="both"/>
        <w:rPr>
          <w:b/>
          <w:i/>
          <w:sz w:val="22"/>
          <w:szCs w:val="22"/>
          <w:lang w:val="en-NZ"/>
        </w:rPr>
        <w:sectPr w:rsidR="001A14BC" w:rsidRPr="00CB6C95" w:rsidSect="00436E03">
          <w:type w:val="continuous"/>
          <w:pgSz w:w="12240" w:h="15840" w:code="1"/>
          <w:pgMar w:top="1440" w:right="1440" w:bottom="1440" w:left="1440" w:header="0" w:footer="720" w:gutter="0"/>
          <w:cols w:space="708"/>
          <w:titlePg/>
          <w:docGrid w:linePitch="360"/>
        </w:sectPr>
      </w:pPr>
    </w:p>
    <w:p w14:paraId="53AEE560" w14:textId="77777777" w:rsidR="000D47A6" w:rsidRPr="00CB6C95" w:rsidRDefault="000D47A6" w:rsidP="00E41116">
      <w:pPr>
        <w:autoSpaceDE w:val="0"/>
        <w:autoSpaceDN w:val="0"/>
        <w:adjustRightInd w:val="0"/>
        <w:snapToGrid w:val="0"/>
        <w:jc w:val="both"/>
        <w:rPr>
          <w:sz w:val="22"/>
          <w:szCs w:val="22"/>
          <w:lang w:val="en-NZ"/>
        </w:rPr>
      </w:pPr>
    </w:p>
    <w:p w14:paraId="77A27CB2" w14:textId="77777777" w:rsidR="003851AF" w:rsidRPr="00CB6C95" w:rsidRDefault="003851AF" w:rsidP="00E41116">
      <w:pPr>
        <w:autoSpaceDE w:val="0"/>
        <w:autoSpaceDN w:val="0"/>
        <w:adjustRightInd w:val="0"/>
        <w:snapToGrid w:val="0"/>
        <w:jc w:val="both"/>
        <w:rPr>
          <w:sz w:val="22"/>
          <w:szCs w:val="22"/>
          <w:lang w:val="en-NZ"/>
        </w:rPr>
      </w:pPr>
    </w:p>
    <w:p w14:paraId="2F96BD4A" w14:textId="77777777" w:rsidR="003851AF" w:rsidRPr="00CB6C95" w:rsidRDefault="003851AF" w:rsidP="00E41116">
      <w:pPr>
        <w:autoSpaceDE w:val="0"/>
        <w:autoSpaceDN w:val="0"/>
        <w:adjustRightInd w:val="0"/>
        <w:snapToGrid w:val="0"/>
        <w:jc w:val="both"/>
        <w:rPr>
          <w:sz w:val="22"/>
          <w:szCs w:val="22"/>
          <w:lang w:val="en-NZ"/>
        </w:rPr>
      </w:pPr>
    </w:p>
    <w:p w14:paraId="44E886D7" w14:textId="77777777" w:rsidR="003851AF" w:rsidRPr="00CB6C95" w:rsidRDefault="003851AF" w:rsidP="00E41116">
      <w:pPr>
        <w:autoSpaceDE w:val="0"/>
        <w:autoSpaceDN w:val="0"/>
        <w:adjustRightInd w:val="0"/>
        <w:snapToGrid w:val="0"/>
        <w:jc w:val="both"/>
        <w:rPr>
          <w:sz w:val="22"/>
          <w:szCs w:val="22"/>
          <w:lang w:val="en-NZ"/>
        </w:rPr>
      </w:pPr>
    </w:p>
    <w:p w14:paraId="2789C079" w14:textId="77777777" w:rsidR="003851AF" w:rsidRPr="00CB6C95" w:rsidRDefault="003851AF" w:rsidP="00E41116">
      <w:pPr>
        <w:autoSpaceDE w:val="0"/>
        <w:autoSpaceDN w:val="0"/>
        <w:adjustRightInd w:val="0"/>
        <w:snapToGrid w:val="0"/>
        <w:jc w:val="both"/>
        <w:rPr>
          <w:sz w:val="22"/>
          <w:szCs w:val="22"/>
          <w:lang w:val="en-NZ"/>
        </w:rPr>
      </w:pPr>
    </w:p>
    <w:p w14:paraId="6AA997AE" w14:textId="77777777" w:rsidR="003851AF" w:rsidRPr="00CB6C95" w:rsidRDefault="003851AF" w:rsidP="00E41116">
      <w:pPr>
        <w:autoSpaceDE w:val="0"/>
        <w:autoSpaceDN w:val="0"/>
        <w:adjustRightInd w:val="0"/>
        <w:snapToGrid w:val="0"/>
        <w:jc w:val="both"/>
        <w:rPr>
          <w:sz w:val="22"/>
          <w:szCs w:val="22"/>
          <w:lang w:val="en-NZ"/>
        </w:rPr>
      </w:pPr>
    </w:p>
    <w:p w14:paraId="072CD11F" w14:textId="77777777" w:rsidR="003851AF" w:rsidRPr="00CB6C95" w:rsidRDefault="003851AF" w:rsidP="00E41116">
      <w:pPr>
        <w:autoSpaceDE w:val="0"/>
        <w:autoSpaceDN w:val="0"/>
        <w:adjustRightInd w:val="0"/>
        <w:snapToGrid w:val="0"/>
        <w:jc w:val="both"/>
        <w:rPr>
          <w:sz w:val="22"/>
          <w:szCs w:val="22"/>
          <w:lang w:val="en-NZ"/>
        </w:rPr>
      </w:pPr>
    </w:p>
    <w:p w14:paraId="5D5F3CBF" w14:textId="77777777" w:rsidR="003851AF" w:rsidRPr="00CB6C95" w:rsidRDefault="003851AF" w:rsidP="00E41116">
      <w:pPr>
        <w:autoSpaceDE w:val="0"/>
        <w:autoSpaceDN w:val="0"/>
        <w:adjustRightInd w:val="0"/>
        <w:snapToGrid w:val="0"/>
        <w:jc w:val="both"/>
        <w:rPr>
          <w:sz w:val="22"/>
          <w:szCs w:val="22"/>
          <w:lang w:val="en-NZ"/>
        </w:rPr>
      </w:pPr>
    </w:p>
    <w:p w14:paraId="29AA44DA" w14:textId="77777777" w:rsidR="003851AF" w:rsidRPr="00CB6C95" w:rsidRDefault="003851AF" w:rsidP="00E41116">
      <w:pPr>
        <w:autoSpaceDE w:val="0"/>
        <w:autoSpaceDN w:val="0"/>
        <w:adjustRightInd w:val="0"/>
        <w:snapToGrid w:val="0"/>
        <w:jc w:val="both"/>
        <w:rPr>
          <w:sz w:val="22"/>
          <w:szCs w:val="22"/>
          <w:lang w:val="en-NZ"/>
        </w:rPr>
      </w:pPr>
    </w:p>
    <w:p w14:paraId="04203465" w14:textId="77777777" w:rsidR="003851AF" w:rsidRPr="00CB6C95" w:rsidRDefault="003851AF" w:rsidP="00E41116">
      <w:pPr>
        <w:autoSpaceDE w:val="0"/>
        <w:autoSpaceDN w:val="0"/>
        <w:adjustRightInd w:val="0"/>
        <w:snapToGrid w:val="0"/>
        <w:jc w:val="both"/>
        <w:rPr>
          <w:sz w:val="22"/>
          <w:szCs w:val="22"/>
          <w:lang w:val="en-NZ"/>
        </w:rPr>
      </w:pPr>
    </w:p>
    <w:p w14:paraId="6286A7F5" w14:textId="77777777" w:rsidR="003851AF" w:rsidRPr="00CB6C95" w:rsidRDefault="003851AF" w:rsidP="00E41116">
      <w:pPr>
        <w:autoSpaceDE w:val="0"/>
        <w:autoSpaceDN w:val="0"/>
        <w:adjustRightInd w:val="0"/>
        <w:snapToGrid w:val="0"/>
        <w:jc w:val="both"/>
        <w:rPr>
          <w:sz w:val="22"/>
          <w:szCs w:val="22"/>
          <w:lang w:val="en-NZ"/>
        </w:rPr>
      </w:pPr>
    </w:p>
    <w:p w14:paraId="62E654B8" w14:textId="77777777" w:rsidR="003851AF" w:rsidRPr="00CB6C95" w:rsidRDefault="003851AF" w:rsidP="00E41116">
      <w:pPr>
        <w:autoSpaceDE w:val="0"/>
        <w:autoSpaceDN w:val="0"/>
        <w:adjustRightInd w:val="0"/>
        <w:snapToGrid w:val="0"/>
        <w:jc w:val="both"/>
        <w:rPr>
          <w:sz w:val="22"/>
          <w:szCs w:val="22"/>
          <w:lang w:val="en-NZ"/>
        </w:rPr>
      </w:pPr>
    </w:p>
    <w:p w14:paraId="394CF435" w14:textId="77777777" w:rsidR="003851AF" w:rsidRPr="004635E5" w:rsidRDefault="003851AF" w:rsidP="00E41116">
      <w:pPr>
        <w:autoSpaceDE w:val="0"/>
        <w:autoSpaceDN w:val="0"/>
        <w:adjustRightInd w:val="0"/>
        <w:snapToGrid w:val="0"/>
        <w:jc w:val="both"/>
        <w:rPr>
          <w:sz w:val="22"/>
          <w:szCs w:val="22"/>
          <w:lang w:val="en-NZ"/>
        </w:rPr>
      </w:pPr>
    </w:p>
    <w:p w14:paraId="5841552B" w14:textId="77777777" w:rsidR="007F6B71" w:rsidRPr="004635E5" w:rsidRDefault="007F6B71" w:rsidP="00E41116">
      <w:pPr>
        <w:autoSpaceDE w:val="0"/>
        <w:autoSpaceDN w:val="0"/>
        <w:adjustRightInd w:val="0"/>
        <w:snapToGrid w:val="0"/>
        <w:jc w:val="both"/>
        <w:rPr>
          <w:sz w:val="22"/>
          <w:szCs w:val="22"/>
          <w:lang w:val="en-NZ"/>
        </w:rPr>
        <w:sectPr w:rsidR="007F6B71" w:rsidRPr="004635E5" w:rsidSect="00436E03">
          <w:type w:val="continuous"/>
          <w:pgSz w:w="12240" w:h="15840" w:code="1"/>
          <w:pgMar w:top="1440" w:right="1440" w:bottom="1440" w:left="1440" w:header="720" w:footer="720" w:gutter="0"/>
          <w:cols w:space="720"/>
          <w:docGrid w:linePitch="360"/>
        </w:sectPr>
      </w:pPr>
    </w:p>
    <w:p w14:paraId="5D6D2A23" w14:textId="77777777" w:rsidR="007F6B71" w:rsidRPr="004635E5" w:rsidRDefault="007F6B71" w:rsidP="00E41116">
      <w:pPr>
        <w:adjustRightInd w:val="0"/>
        <w:snapToGrid w:val="0"/>
        <w:jc w:val="right"/>
        <w:rPr>
          <w:b/>
          <w:bCs/>
          <w:sz w:val="22"/>
          <w:szCs w:val="22"/>
          <w:lang w:val="en-AU" w:eastAsia="en-NZ"/>
        </w:rPr>
      </w:pPr>
      <w:r w:rsidRPr="004635E5">
        <w:rPr>
          <w:b/>
          <w:bCs/>
          <w:sz w:val="22"/>
          <w:szCs w:val="22"/>
          <w:lang w:val="en-AU" w:eastAsia="en-NZ"/>
        </w:rPr>
        <w:t xml:space="preserve">Attachment </w:t>
      </w:r>
      <w:r w:rsidR="00E37274" w:rsidRPr="004635E5">
        <w:rPr>
          <w:b/>
          <w:bCs/>
          <w:sz w:val="22"/>
          <w:szCs w:val="22"/>
          <w:lang w:val="en-AU" w:eastAsia="en-NZ"/>
        </w:rPr>
        <w:t>B</w:t>
      </w:r>
    </w:p>
    <w:p w14:paraId="3FF6608C" w14:textId="77777777" w:rsidR="007F6B71" w:rsidRPr="004635E5" w:rsidRDefault="007F6B71" w:rsidP="00E41116">
      <w:pPr>
        <w:adjustRightInd w:val="0"/>
        <w:snapToGrid w:val="0"/>
        <w:jc w:val="center"/>
        <w:rPr>
          <w:b/>
          <w:bCs/>
          <w:sz w:val="22"/>
          <w:szCs w:val="22"/>
          <w:lang w:val="en-AU" w:eastAsia="en-NZ"/>
        </w:rPr>
      </w:pPr>
    </w:p>
    <w:p w14:paraId="69E2C0E9" w14:textId="77777777" w:rsidR="007F6B71" w:rsidRPr="004635E5" w:rsidRDefault="007F6B71" w:rsidP="00E41116">
      <w:pPr>
        <w:adjustRightInd w:val="0"/>
        <w:snapToGrid w:val="0"/>
        <w:jc w:val="center"/>
        <w:rPr>
          <w:b/>
          <w:bCs/>
          <w:sz w:val="22"/>
          <w:szCs w:val="22"/>
          <w:lang w:val="en-AU" w:eastAsia="en-NZ"/>
        </w:rPr>
      </w:pPr>
      <w:r w:rsidRPr="004635E5">
        <w:rPr>
          <w:b/>
          <w:bCs/>
          <w:sz w:val="22"/>
          <w:szCs w:val="22"/>
          <w:lang w:val="en-AU" w:eastAsia="en-NZ"/>
        </w:rPr>
        <w:t xml:space="preserve">The Commission for the Conservation and Management of </w:t>
      </w:r>
      <w:r w:rsidRPr="004635E5">
        <w:rPr>
          <w:b/>
          <w:bCs/>
          <w:sz w:val="22"/>
          <w:szCs w:val="22"/>
          <w:lang w:val="en-AU" w:eastAsia="en-NZ"/>
        </w:rPr>
        <w:br/>
        <w:t>Highly Migratory Fish Stocks in the Western and Central Pacific Ocean</w:t>
      </w:r>
    </w:p>
    <w:p w14:paraId="3B0F939F" w14:textId="77777777" w:rsidR="007F6B71" w:rsidRPr="004635E5" w:rsidRDefault="007F6B71"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 xml:space="preserve">Scientific Committee </w:t>
      </w:r>
    </w:p>
    <w:p w14:paraId="5F9F0098" w14:textId="77777777" w:rsidR="007F6B71" w:rsidRPr="004635E5" w:rsidRDefault="007F6B71"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Fourteenth Regular Session</w:t>
      </w:r>
    </w:p>
    <w:p w14:paraId="71E6AC25" w14:textId="77777777" w:rsidR="007F6B71" w:rsidRPr="004635E5" w:rsidRDefault="007F6B71" w:rsidP="00E41116">
      <w:pPr>
        <w:adjustRightInd w:val="0"/>
        <w:snapToGrid w:val="0"/>
        <w:jc w:val="center"/>
        <w:rPr>
          <w:bCs/>
          <w:sz w:val="22"/>
          <w:szCs w:val="22"/>
        </w:rPr>
      </w:pPr>
      <w:r w:rsidRPr="004635E5">
        <w:rPr>
          <w:rFonts w:eastAsiaTheme="minorEastAsia"/>
          <w:bCs/>
          <w:sz w:val="22"/>
          <w:szCs w:val="22"/>
          <w:lang w:eastAsia="ko-KR"/>
        </w:rPr>
        <w:t>Busan, Republic of Korea</w:t>
      </w:r>
    </w:p>
    <w:p w14:paraId="3966FAFB" w14:textId="77777777" w:rsidR="007F6B71" w:rsidRPr="004635E5" w:rsidRDefault="007F6B71" w:rsidP="00E41116">
      <w:pPr>
        <w:adjustRightInd w:val="0"/>
        <w:snapToGrid w:val="0"/>
        <w:jc w:val="center"/>
        <w:rPr>
          <w:rFonts w:eastAsiaTheme="minorEastAsia"/>
          <w:bCs/>
          <w:sz w:val="22"/>
          <w:szCs w:val="22"/>
          <w:lang w:eastAsia="ko-KR"/>
        </w:rPr>
      </w:pPr>
      <w:r w:rsidRPr="004635E5">
        <w:rPr>
          <w:rFonts w:eastAsiaTheme="minorEastAsia"/>
          <w:bCs/>
          <w:sz w:val="22"/>
          <w:szCs w:val="22"/>
          <w:lang w:eastAsia="ko-KR"/>
        </w:rPr>
        <w:t>8–16</w:t>
      </w:r>
      <w:r w:rsidRPr="004635E5">
        <w:rPr>
          <w:bCs/>
          <w:sz w:val="22"/>
          <w:szCs w:val="22"/>
        </w:rPr>
        <w:t xml:space="preserve"> August 201</w:t>
      </w:r>
      <w:r w:rsidRPr="004635E5">
        <w:rPr>
          <w:rFonts w:eastAsiaTheme="minorEastAsia"/>
          <w:bCs/>
          <w:sz w:val="22"/>
          <w:szCs w:val="22"/>
          <w:lang w:eastAsia="ko-KR"/>
        </w:rPr>
        <w:t>8</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7F6B71" w:rsidRPr="004635E5" w14:paraId="570F6273" w14:textId="77777777" w:rsidTr="007F6B71">
        <w:tc>
          <w:tcPr>
            <w:tcW w:w="9576" w:type="dxa"/>
            <w:tcBorders>
              <w:top w:val="single" w:sz="12" w:space="0" w:color="auto"/>
              <w:left w:val="nil"/>
              <w:bottom w:val="single" w:sz="12" w:space="0" w:color="auto"/>
              <w:right w:val="nil"/>
            </w:tcBorders>
            <w:hideMark/>
          </w:tcPr>
          <w:p w14:paraId="3EB74C9F" w14:textId="77777777" w:rsidR="007F6B71" w:rsidRPr="004635E5" w:rsidRDefault="007F6B71" w:rsidP="00E41116">
            <w:pPr>
              <w:autoSpaceDE w:val="0"/>
              <w:autoSpaceDN w:val="0"/>
              <w:adjustRightInd w:val="0"/>
              <w:snapToGrid w:val="0"/>
              <w:jc w:val="center"/>
              <w:rPr>
                <w:b/>
                <w:sz w:val="22"/>
                <w:szCs w:val="22"/>
              </w:rPr>
            </w:pPr>
            <w:r w:rsidRPr="004635E5">
              <w:rPr>
                <w:b/>
                <w:sz w:val="22"/>
                <w:szCs w:val="22"/>
                <w:lang w:val="en-NZ"/>
              </w:rPr>
              <w:t xml:space="preserve">Opening Remarks by the </w:t>
            </w:r>
          </w:p>
          <w:p w14:paraId="190336A6" w14:textId="77777777" w:rsidR="007F6B71" w:rsidRPr="004635E5" w:rsidRDefault="007F6B71" w:rsidP="00E41116">
            <w:pPr>
              <w:autoSpaceDE w:val="0"/>
              <w:autoSpaceDN w:val="0"/>
              <w:adjustRightInd w:val="0"/>
              <w:snapToGrid w:val="0"/>
              <w:jc w:val="center"/>
              <w:rPr>
                <w:b/>
                <w:sz w:val="22"/>
                <w:szCs w:val="22"/>
              </w:rPr>
            </w:pPr>
            <w:r w:rsidRPr="004635E5">
              <w:rPr>
                <w:b/>
                <w:sz w:val="22"/>
                <w:szCs w:val="22"/>
              </w:rPr>
              <w:t>Director General for Distant Water Fisheries and International Policy Bureau</w:t>
            </w:r>
          </w:p>
          <w:p w14:paraId="2B542B57" w14:textId="77777777" w:rsidR="007F6B71" w:rsidRPr="004635E5" w:rsidRDefault="007F6B71" w:rsidP="00E41116">
            <w:pPr>
              <w:autoSpaceDE w:val="0"/>
              <w:autoSpaceDN w:val="0"/>
              <w:adjustRightInd w:val="0"/>
              <w:snapToGrid w:val="0"/>
              <w:jc w:val="center"/>
              <w:rPr>
                <w:b/>
                <w:sz w:val="22"/>
                <w:szCs w:val="22"/>
                <w:lang w:val="en-AU"/>
              </w:rPr>
            </w:pPr>
            <w:r w:rsidRPr="004635E5">
              <w:rPr>
                <w:b/>
                <w:sz w:val="22"/>
                <w:szCs w:val="22"/>
              </w:rPr>
              <w:t>Mr. Yang Dong-yeob</w:t>
            </w:r>
            <w:r w:rsidR="00472973" w:rsidRPr="004635E5">
              <w:rPr>
                <w:b/>
                <w:sz w:val="22"/>
                <w:szCs w:val="22"/>
              </w:rPr>
              <w:fldChar w:fldCharType="begin"/>
            </w:r>
            <w:r w:rsidR="00E37274" w:rsidRPr="004635E5">
              <w:rPr>
                <w:sz w:val="22"/>
                <w:szCs w:val="22"/>
              </w:rPr>
              <w:instrText xml:space="preserve"> TC "</w:instrText>
            </w:r>
            <w:r w:rsidR="00E37274" w:rsidRPr="004635E5">
              <w:rPr>
                <w:b/>
                <w:sz w:val="22"/>
                <w:szCs w:val="22"/>
                <w:lang w:val="en-NZ"/>
              </w:rPr>
              <w:instrText xml:space="preserve"> </w:instrText>
            </w:r>
            <w:bookmarkStart w:id="143" w:name="_Toc16418031"/>
            <w:r w:rsidR="00EE2E72" w:rsidRPr="004635E5">
              <w:rPr>
                <w:sz w:val="22"/>
                <w:szCs w:val="22"/>
                <w:lang w:val="en-NZ"/>
              </w:rPr>
              <w:instrText>ATTACHMENT B — OPENING REMARKS BY DIRECTOR</w:instrText>
            </w:r>
            <w:r w:rsidR="00B32A9E" w:rsidRPr="004635E5">
              <w:rPr>
                <w:sz w:val="22"/>
                <w:szCs w:val="22"/>
                <w:lang w:val="en-NZ"/>
              </w:rPr>
              <w:instrText xml:space="preserve"> </w:instrText>
            </w:r>
            <w:r w:rsidR="00EE2E72" w:rsidRPr="004635E5">
              <w:rPr>
                <w:sz w:val="22"/>
                <w:szCs w:val="22"/>
              </w:rPr>
              <w:instrText>YANG DONG-YEOB</w:instrText>
            </w:r>
            <w:bookmarkEnd w:id="143"/>
            <w:r w:rsidR="00E37274" w:rsidRPr="004635E5">
              <w:rPr>
                <w:sz w:val="22"/>
                <w:szCs w:val="22"/>
              </w:rPr>
              <w:instrText xml:space="preserve">" \f C \l "1" </w:instrText>
            </w:r>
            <w:r w:rsidR="00472973" w:rsidRPr="004635E5">
              <w:rPr>
                <w:b/>
                <w:sz w:val="22"/>
                <w:szCs w:val="22"/>
              </w:rPr>
              <w:fldChar w:fldCharType="end"/>
            </w:r>
            <w:r w:rsidRPr="004635E5">
              <w:rPr>
                <w:b/>
                <w:sz w:val="22"/>
                <w:szCs w:val="22"/>
              </w:rPr>
              <w:t xml:space="preserve"> </w:t>
            </w:r>
          </w:p>
        </w:tc>
      </w:tr>
    </w:tbl>
    <w:p w14:paraId="0440B850" w14:textId="77777777" w:rsidR="003851AF" w:rsidRPr="004635E5" w:rsidRDefault="003851AF" w:rsidP="00E41116">
      <w:pPr>
        <w:autoSpaceDE w:val="0"/>
        <w:autoSpaceDN w:val="0"/>
        <w:adjustRightInd w:val="0"/>
        <w:snapToGrid w:val="0"/>
        <w:jc w:val="both"/>
        <w:rPr>
          <w:sz w:val="22"/>
          <w:szCs w:val="22"/>
          <w:lang w:val="en-NZ"/>
        </w:rPr>
      </w:pPr>
    </w:p>
    <w:p w14:paraId="41EB8312" w14:textId="77777777" w:rsidR="003851AF" w:rsidRPr="004635E5" w:rsidRDefault="003851AF" w:rsidP="00E41116">
      <w:pPr>
        <w:autoSpaceDE w:val="0"/>
        <w:autoSpaceDN w:val="0"/>
        <w:adjustRightInd w:val="0"/>
        <w:snapToGrid w:val="0"/>
        <w:jc w:val="both"/>
        <w:rPr>
          <w:sz w:val="22"/>
          <w:szCs w:val="22"/>
          <w:lang w:val="en-NZ"/>
        </w:rPr>
      </w:pPr>
    </w:p>
    <w:p w14:paraId="03101140" w14:textId="77777777" w:rsidR="007F6B71" w:rsidRPr="004635E5" w:rsidRDefault="007F6B71" w:rsidP="00E41116">
      <w:pPr>
        <w:autoSpaceDE w:val="0"/>
        <w:autoSpaceDN w:val="0"/>
        <w:adjustRightInd w:val="0"/>
        <w:snapToGrid w:val="0"/>
        <w:jc w:val="both"/>
        <w:rPr>
          <w:sz w:val="22"/>
          <w:szCs w:val="22"/>
        </w:rPr>
      </w:pPr>
      <w:r w:rsidRPr="004635E5">
        <w:rPr>
          <w:sz w:val="22"/>
          <w:szCs w:val="22"/>
        </w:rPr>
        <w:t>Ms. Rhea Moss-Christian, the Chair of the Western and Central Pacific Fisheries Commission;</w:t>
      </w:r>
    </w:p>
    <w:p w14:paraId="1A727136" w14:textId="77777777" w:rsidR="007F6B71" w:rsidRPr="004635E5" w:rsidRDefault="007F6B71" w:rsidP="00E41116">
      <w:pPr>
        <w:autoSpaceDE w:val="0"/>
        <w:autoSpaceDN w:val="0"/>
        <w:adjustRightInd w:val="0"/>
        <w:snapToGrid w:val="0"/>
        <w:jc w:val="both"/>
        <w:rPr>
          <w:sz w:val="22"/>
          <w:szCs w:val="22"/>
        </w:rPr>
      </w:pPr>
    </w:p>
    <w:p w14:paraId="336DD77F" w14:textId="77777777" w:rsidR="007F6B71" w:rsidRPr="004635E5" w:rsidRDefault="007F6B71" w:rsidP="00E41116">
      <w:pPr>
        <w:autoSpaceDE w:val="0"/>
        <w:autoSpaceDN w:val="0"/>
        <w:adjustRightInd w:val="0"/>
        <w:snapToGrid w:val="0"/>
        <w:jc w:val="both"/>
        <w:rPr>
          <w:sz w:val="22"/>
          <w:szCs w:val="22"/>
        </w:rPr>
      </w:pPr>
      <w:r w:rsidRPr="004635E5">
        <w:rPr>
          <w:sz w:val="22"/>
          <w:szCs w:val="22"/>
        </w:rPr>
        <w:t>Mr. Ueta Jr. Fassili, the Chair of the Scientific Committee;</w:t>
      </w:r>
    </w:p>
    <w:p w14:paraId="17F0FA6E" w14:textId="77777777" w:rsidR="007F6B71" w:rsidRPr="004635E5" w:rsidRDefault="007F6B71" w:rsidP="00E41116">
      <w:pPr>
        <w:autoSpaceDE w:val="0"/>
        <w:autoSpaceDN w:val="0"/>
        <w:adjustRightInd w:val="0"/>
        <w:snapToGrid w:val="0"/>
        <w:jc w:val="both"/>
        <w:rPr>
          <w:sz w:val="22"/>
          <w:szCs w:val="22"/>
        </w:rPr>
      </w:pPr>
    </w:p>
    <w:p w14:paraId="12C418E4" w14:textId="77777777" w:rsidR="007F6B71" w:rsidRPr="004635E5" w:rsidRDefault="007F6B71" w:rsidP="00E41116">
      <w:pPr>
        <w:autoSpaceDE w:val="0"/>
        <w:autoSpaceDN w:val="0"/>
        <w:adjustRightInd w:val="0"/>
        <w:snapToGrid w:val="0"/>
        <w:jc w:val="both"/>
        <w:rPr>
          <w:sz w:val="22"/>
          <w:szCs w:val="22"/>
        </w:rPr>
      </w:pPr>
      <w:r w:rsidRPr="004635E5">
        <w:rPr>
          <w:sz w:val="22"/>
          <w:szCs w:val="22"/>
        </w:rPr>
        <w:t>Mr. Feleti Teo, the Executive Director of the WCPFC;</w:t>
      </w:r>
    </w:p>
    <w:p w14:paraId="07FBAEE2" w14:textId="77777777" w:rsidR="007F6B71" w:rsidRPr="004635E5" w:rsidRDefault="007F6B71" w:rsidP="00E41116">
      <w:pPr>
        <w:autoSpaceDE w:val="0"/>
        <w:autoSpaceDN w:val="0"/>
        <w:adjustRightInd w:val="0"/>
        <w:snapToGrid w:val="0"/>
        <w:jc w:val="both"/>
        <w:rPr>
          <w:sz w:val="22"/>
          <w:szCs w:val="22"/>
        </w:rPr>
      </w:pPr>
    </w:p>
    <w:p w14:paraId="5D70D596" w14:textId="77777777" w:rsidR="007F6B71" w:rsidRPr="004635E5" w:rsidRDefault="007F6B71" w:rsidP="00E41116">
      <w:pPr>
        <w:autoSpaceDE w:val="0"/>
        <w:autoSpaceDN w:val="0"/>
        <w:adjustRightInd w:val="0"/>
        <w:snapToGrid w:val="0"/>
        <w:jc w:val="both"/>
        <w:rPr>
          <w:sz w:val="22"/>
          <w:szCs w:val="22"/>
        </w:rPr>
      </w:pPr>
      <w:r w:rsidRPr="004635E5">
        <w:rPr>
          <w:sz w:val="22"/>
          <w:szCs w:val="22"/>
        </w:rPr>
        <w:t>Distinguished Guests, ladies and gentlemen;</w:t>
      </w:r>
    </w:p>
    <w:p w14:paraId="4CBED241" w14:textId="77777777" w:rsidR="007F6B71" w:rsidRPr="004635E5" w:rsidRDefault="007F6B71" w:rsidP="00E41116">
      <w:pPr>
        <w:autoSpaceDE w:val="0"/>
        <w:autoSpaceDN w:val="0"/>
        <w:adjustRightInd w:val="0"/>
        <w:snapToGrid w:val="0"/>
        <w:jc w:val="both"/>
        <w:rPr>
          <w:sz w:val="22"/>
          <w:szCs w:val="22"/>
        </w:rPr>
      </w:pPr>
    </w:p>
    <w:p w14:paraId="4F94DDA1" w14:textId="77777777" w:rsidR="007F6B71" w:rsidRPr="004635E5" w:rsidRDefault="007F6B71" w:rsidP="00E41116">
      <w:pPr>
        <w:autoSpaceDE w:val="0"/>
        <w:autoSpaceDN w:val="0"/>
        <w:adjustRightInd w:val="0"/>
        <w:snapToGrid w:val="0"/>
        <w:jc w:val="both"/>
        <w:rPr>
          <w:sz w:val="22"/>
          <w:szCs w:val="22"/>
        </w:rPr>
      </w:pPr>
      <w:r w:rsidRPr="004635E5">
        <w:rPr>
          <w:sz w:val="22"/>
          <w:szCs w:val="22"/>
        </w:rPr>
        <w:t>I would like to extend my warm welcome to all of you to the 14</w:t>
      </w:r>
      <w:r w:rsidRPr="004635E5">
        <w:rPr>
          <w:sz w:val="22"/>
          <w:szCs w:val="22"/>
          <w:vertAlign w:val="superscript"/>
        </w:rPr>
        <w:t>th</w:t>
      </w:r>
      <w:r w:rsidRPr="004635E5">
        <w:rPr>
          <w:sz w:val="22"/>
          <w:szCs w:val="22"/>
        </w:rPr>
        <w:t xml:space="preserve"> session of the Scientific Committee of the WCPFC here in Busan.</w:t>
      </w:r>
    </w:p>
    <w:p w14:paraId="1D075769" w14:textId="77777777" w:rsidR="007F6B71" w:rsidRPr="004635E5" w:rsidRDefault="007F6B71" w:rsidP="00E41116">
      <w:pPr>
        <w:autoSpaceDE w:val="0"/>
        <w:autoSpaceDN w:val="0"/>
        <w:adjustRightInd w:val="0"/>
        <w:snapToGrid w:val="0"/>
        <w:jc w:val="both"/>
        <w:rPr>
          <w:sz w:val="22"/>
          <w:szCs w:val="22"/>
        </w:rPr>
      </w:pPr>
    </w:p>
    <w:p w14:paraId="3DB11C87" w14:textId="77777777" w:rsidR="007F6B71" w:rsidRPr="004635E5" w:rsidRDefault="007F6B71" w:rsidP="00E41116">
      <w:pPr>
        <w:autoSpaceDE w:val="0"/>
        <w:autoSpaceDN w:val="0"/>
        <w:adjustRightInd w:val="0"/>
        <w:snapToGrid w:val="0"/>
        <w:jc w:val="both"/>
        <w:rPr>
          <w:sz w:val="22"/>
          <w:szCs w:val="22"/>
        </w:rPr>
      </w:pPr>
      <w:r w:rsidRPr="004635E5">
        <w:rPr>
          <w:sz w:val="22"/>
          <w:szCs w:val="22"/>
        </w:rPr>
        <w:t>I also would like to take this opportunity to thank the Working Group conveners, science providers and the Secretariat for your efforts leading up to this meeting.</w:t>
      </w:r>
    </w:p>
    <w:p w14:paraId="4EA04886" w14:textId="77777777" w:rsidR="007F6B71" w:rsidRPr="004635E5" w:rsidRDefault="007F6B71" w:rsidP="00E41116">
      <w:pPr>
        <w:autoSpaceDE w:val="0"/>
        <w:autoSpaceDN w:val="0"/>
        <w:adjustRightInd w:val="0"/>
        <w:snapToGrid w:val="0"/>
        <w:jc w:val="both"/>
        <w:rPr>
          <w:sz w:val="22"/>
          <w:szCs w:val="22"/>
        </w:rPr>
      </w:pPr>
    </w:p>
    <w:p w14:paraId="760B2294" w14:textId="77777777" w:rsidR="007F6B71" w:rsidRPr="004635E5" w:rsidRDefault="007F6B71" w:rsidP="00E41116">
      <w:pPr>
        <w:autoSpaceDE w:val="0"/>
        <w:autoSpaceDN w:val="0"/>
        <w:adjustRightInd w:val="0"/>
        <w:snapToGrid w:val="0"/>
        <w:jc w:val="both"/>
        <w:rPr>
          <w:sz w:val="22"/>
          <w:szCs w:val="22"/>
        </w:rPr>
      </w:pPr>
      <w:r w:rsidRPr="004635E5">
        <w:rPr>
          <w:sz w:val="22"/>
          <w:szCs w:val="22"/>
        </w:rPr>
        <w:t>I still have vivid memories from the days of participating in the Multilateral High-Level Conference that gave birth to the Commission. Back then in the early 2000s, Dr. Soh, the current Science Manager, and I led the Korean delegation and joined the to-be-Members in laying the foundation.</w:t>
      </w:r>
    </w:p>
    <w:p w14:paraId="243A892B" w14:textId="77777777" w:rsidR="007F6B71" w:rsidRPr="004635E5" w:rsidRDefault="007F6B71" w:rsidP="00E41116">
      <w:pPr>
        <w:autoSpaceDE w:val="0"/>
        <w:autoSpaceDN w:val="0"/>
        <w:adjustRightInd w:val="0"/>
        <w:snapToGrid w:val="0"/>
        <w:jc w:val="both"/>
        <w:rPr>
          <w:sz w:val="22"/>
          <w:szCs w:val="22"/>
        </w:rPr>
      </w:pPr>
    </w:p>
    <w:p w14:paraId="74AD04C5" w14:textId="77777777" w:rsidR="007F6B71" w:rsidRPr="004635E5" w:rsidRDefault="007F6B71" w:rsidP="00E41116">
      <w:pPr>
        <w:autoSpaceDE w:val="0"/>
        <w:autoSpaceDN w:val="0"/>
        <w:adjustRightInd w:val="0"/>
        <w:snapToGrid w:val="0"/>
        <w:jc w:val="both"/>
        <w:rPr>
          <w:sz w:val="22"/>
          <w:szCs w:val="22"/>
        </w:rPr>
      </w:pPr>
      <w:r w:rsidRPr="004635E5">
        <w:rPr>
          <w:sz w:val="22"/>
          <w:szCs w:val="22"/>
        </w:rPr>
        <w:t>In addition, Busan happens to be the place where I was born and raised, and this makes this occasion all the more meaningful and closer to home for me.</w:t>
      </w:r>
    </w:p>
    <w:p w14:paraId="2C9CE4B7" w14:textId="77777777" w:rsidR="007F6B71" w:rsidRPr="004635E5" w:rsidRDefault="007F6B71" w:rsidP="00E41116">
      <w:pPr>
        <w:autoSpaceDE w:val="0"/>
        <w:autoSpaceDN w:val="0"/>
        <w:adjustRightInd w:val="0"/>
        <w:snapToGrid w:val="0"/>
        <w:jc w:val="both"/>
        <w:rPr>
          <w:sz w:val="22"/>
          <w:szCs w:val="22"/>
        </w:rPr>
      </w:pPr>
    </w:p>
    <w:p w14:paraId="19FF10BB" w14:textId="77777777" w:rsidR="007F6B71" w:rsidRPr="004635E5" w:rsidRDefault="007F6B71" w:rsidP="00E41116">
      <w:pPr>
        <w:autoSpaceDE w:val="0"/>
        <w:autoSpaceDN w:val="0"/>
        <w:adjustRightInd w:val="0"/>
        <w:snapToGrid w:val="0"/>
        <w:jc w:val="both"/>
        <w:rPr>
          <w:sz w:val="22"/>
          <w:szCs w:val="22"/>
        </w:rPr>
      </w:pPr>
      <w:r w:rsidRPr="004635E5">
        <w:rPr>
          <w:sz w:val="22"/>
          <w:szCs w:val="22"/>
        </w:rPr>
        <w:t>It has been almost 15 years since the inaugural session of the WCPFC took place in Pohnpei in 2004. For this decade and a half, the WCPFC has established itself as one of the most important tuna RFMOs in the world.</w:t>
      </w:r>
    </w:p>
    <w:p w14:paraId="69319E03" w14:textId="77777777" w:rsidR="007F6B71" w:rsidRPr="004635E5" w:rsidRDefault="007F6B71" w:rsidP="00E41116">
      <w:pPr>
        <w:autoSpaceDE w:val="0"/>
        <w:autoSpaceDN w:val="0"/>
        <w:adjustRightInd w:val="0"/>
        <w:snapToGrid w:val="0"/>
        <w:jc w:val="both"/>
        <w:rPr>
          <w:sz w:val="22"/>
          <w:szCs w:val="22"/>
        </w:rPr>
      </w:pPr>
    </w:p>
    <w:p w14:paraId="2F87CF41" w14:textId="77777777" w:rsidR="007F6B71" w:rsidRPr="004635E5" w:rsidRDefault="007F6B71" w:rsidP="00E41116">
      <w:pPr>
        <w:autoSpaceDE w:val="0"/>
        <w:autoSpaceDN w:val="0"/>
        <w:adjustRightInd w:val="0"/>
        <w:snapToGrid w:val="0"/>
        <w:jc w:val="both"/>
        <w:rPr>
          <w:sz w:val="22"/>
          <w:szCs w:val="22"/>
        </w:rPr>
      </w:pPr>
      <w:r w:rsidRPr="004635E5">
        <w:rPr>
          <w:sz w:val="22"/>
          <w:szCs w:val="22"/>
        </w:rPr>
        <w:t>I am convinced that behind this stellar growth of the Commission lies the robust support and best available scientific advice from the Scientific Committee that enabled the Commission to translate the precautionary approach and ecosystem management into actions.</w:t>
      </w:r>
    </w:p>
    <w:p w14:paraId="0826B540" w14:textId="77777777" w:rsidR="007F6B71" w:rsidRPr="004635E5" w:rsidRDefault="007F6B71" w:rsidP="00E41116">
      <w:pPr>
        <w:autoSpaceDE w:val="0"/>
        <w:autoSpaceDN w:val="0"/>
        <w:adjustRightInd w:val="0"/>
        <w:snapToGrid w:val="0"/>
        <w:jc w:val="both"/>
        <w:rPr>
          <w:sz w:val="22"/>
          <w:szCs w:val="22"/>
        </w:rPr>
      </w:pPr>
    </w:p>
    <w:p w14:paraId="50041A69" w14:textId="77777777" w:rsidR="007F6B71" w:rsidRPr="004635E5" w:rsidRDefault="007F6B71" w:rsidP="00E41116">
      <w:pPr>
        <w:autoSpaceDE w:val="0"/>
        <w:autoSpaceDN w:val="0"/>
        <w:adjustRightInd w:val="0"/>
        <w:snapToGrid w:val="0"/>
        <w:jc w:val="both"/>
        <w:rPr>
          <w:sz w:val="22"/>
          <w:szCs w:val="22"/>
        </w:rPr>
      </w:pPr>
      <w:r w:rsidRPr="004635E5">
        <w:rPr>
          <w:sz w:val="22"/>
          <w:szCs w:val="22"/>
        </w:rPr>
        <w:t>The Scientific Committee has greatly contributed to the recovery process for bigeye tuna that started in 2008, which resulted in good news last year that the bigeye resource had been turned for the better from their overexploited status in 10 years.</w:t>
      </w:r>
    </w:p>
    <w:p w14:paraId="487616E5" w14:textId="77777777" w:rsidR="007F6B71" w:rsidRPr="004635E5" w:rsidRDefault="007F6B71" w:rsidP="00E41116">
      <w:pPr>
        <w:autoSpaceDE w:val="0"/>
        <w:autoSpaceDN w:val="0"/>
        <w:adjustRightInd w:val="0"/>
        <w:snapToGrid w:val="0"/>
        <w:jc w:val="both"/>
        <w:rPr>
          <w:sz w:val="22"/>
          <w:szCs w:val="22"/>
        </w:rPr>
      </w:pPr>
    </w:p>
    <w:p w14:paraId="7559267B" w14:textId="77777777" w:rsidR="007F6B71" w:rsidRPr="004635E5" w:rsidRDefault="007F6B71" w:rsidP="00E41116">
      <w:pPr>
        <w:autoSpaceDE w:val="0"/>
        <w:autoSpaceDN w:val="0"/>
        <w:adjustRightInd w:val="0"/>
        <w:snapToGrid w:val="0"/>
        <w:jc w:val="both"/>
        <w:rPr>
          <w:sz w:val="22"/>
          <w:szCs w:val="22"/>
        </w:rPr>
      </w:pPr>
      <w:r w:rsidRPr="004635E5">
        <w:rPr>
          <w:sz w:val="22"/>
          <w:szCs w:val="22"/>
        </w:rPr>
        <w:t>The SC also plays important roles in the Commission’s journey to the Harvest Control Rules, providing advice on the limit reference points for the three major tuna species and the interim target reference point for skipjack.</w:t>
      </w:r>
    </w:p>
    <w:p w14:paraId="78262DF9" w14:textId="77777777" w:rsidR="007F6B71" w:rsidRPr="004635E5" w:rsidRDefault="007F6B71" w:rsidP="00E41116">
      <w:pPr>
        <w:autoSpaceDE w:val="0"/>
        <w:autoSpaceDN w:val="0"/>
        <w:adjustRightInd w:val="0"/>
        <w:snapToGrid w:val="0"/>
        <w:jc w:val="both"/>
        <w:rPr>
          <w:sz w:val="22"/>
          <w:szCs w:val="22"/>
        </w:rPr>
      </w:pPr>
    </w:p>
    <w:p w14:paraId="6BBE9BDF" w14:textId="77777777" w:rsidR="007F6B71" w:rsidRPr="004635E5" w:rsidRDefault="007F6B71" w:rsidP="00E41116">
      <w:pPr>
        <w:autoSpaceDE w:val="0"/>
        <w:autoSpaceDN w:val="0"/>
        <w:adjustRightInd w:val="0"/>
        <w:snapToGrid w:val="0"/>
        <w:jc w:val="both"/>
        <w:rPr>
          <w:sz w:val="22"/>
          <w:szCs w:val="22"/>
        </w:rPr>
      </w:pPr>
      <w:r w:rsidRPr="004635E5">
        <w:rPr>
          <w:sz w:val="22"/>
          <w:szCs w:val="22"/>
        </w:rPr>
        <w:t>This demonstrates that the Commission relies on Science more than ever. I saw that the agenda for this year’s SC filled as many as five pages, which simply shows how tall and important the tasks for the SC are.</w:t>
      </w:r>
    </w:p>
    <w:p w14:paraId="0A6EA1F1" w14:textId="77777777" w:rsidR="007F6B71" w:rsidRPr="004635E5" w:rsidRDefault="007F6B71" w:rsidP="00E41116">
      <w:pPr>
        <w:autoSpaceDE w:val="0"/>
        <w:autoSpaceDN w:val="0"/>
        <w:adjustRightInd w:val="0"/>
        <w:snapToGrid w:val="0"/>
        <w:jc w:val="both"/>
        <w:rPr>
          <w:sz w:val="22"/>
          <w:szCs w:val="22"/>
        </w:rPr>
      </w:pPr>
    </w:p>
    <w:p w14:paraId="51474BA1" w14:textId="77777777" w:rsidR="007F6B71" w:rsidRPr="004635E5" w:rsidRDefault="007F6B71" w:rsidP="00E41116">
      <w:pPr>
        <w:autoSpaceDE w:val="0"/>
        <w:autoSpaceDN w:val="0"/>
        <w:adjustRightInd w:val="0"/>
        <w:snapToGrid w:val="0"/>
        <w:jc w:val="both"/>
        <w:rPr>
          <w:sz w:val="22"/>
          <w:szCs w:val="22"/>
        </w:rPr>
      </w:pPr>
      <w:r w:rsidRPr="004635E5">
        <w:rPr>
          <w:sz w:val="22"/>
          <w:szCs w:val="22"/>
        </w:rPr>
        <w:t>The 14</w:t>
      </w:r>
      <w:r w:rsidRPr="004635E5">
        <w:rPr>
          <w:sz w:val="22"/>
          <w:szCs w:val="22"/>
          <w:vertAlign w:val="superscript"/>
        </w:rPr>
        <w:t>th</w:t>
      </w:r>
      <w:r w:rsidRPr="004635E5">
        <w:rPr>
          <w:sz w:val="22"/>
          <w:szCs w:val="22"/>
        </w:rPr>
        <w:t xml:space="preserve"> session of the SC will be addressing the stock assessment results for the albacore, North Pacific swordfish, North Pacific mako shark and updated assessment for the bigeye, yellowfin and skip</w:t>
      </w:r>
      <w:r w:rsidR="00C6333E">
        <w:rPr>
          <w:rFonts w:eastAsiaTheme="minorEastAsia" w:hint="eastAsia"/>
          <w:sz w:val="22"/>
          <w:szCs w:val="22"/>
          <w:lang w:eastAsia="ko-KR"/>
        </w:rPr>
        <w:t>j</w:t>
      </w:r>
      <w:r w:rsidRPr="004635E5">
        <w:rPr>
          <w:sz w:val="22"/>
          <w:szCs w:val="22"/>
        </w:rPr>
        <w:t>ack tuna to come up with robust recommendations and advice to the Commission. The SC will also take a closer look at its 2017 recommendation on the stock status of the bigeye to see if the stock is still stable or the Commission will need to change its course.</w:t>
      </w:r>
    </w:p>
    <w:p w14:paraId="372D385B" w14:textId="77777777" w:rsidR="007F6B71" w:rsidRPr="004635E5" w:rsidRDefault="007F6B71" w:rsidP="00E41116">
      <w:pPr>
        <w:autoSpaceDE w:val="0"/>
        <w:autoSpaceDN w:val="0"/>
        <w:adjustRightInd w:val="0"/>
        <w:snapToGrid w:val="0"/>
        <w:jc w:val="both"/>
        <w:rPr>
          <w:sz w:val="22"/>
          <w:szCs w:val="22"/>
        </w:rPr>
      </w:pPr>
    </w:p>
    <w:p w14:paraId="5CD7BEDE" w14:textId="77777777" w:rsidR="007F6B71" w:rsidRPr="004635E5" w:rsidRDefault="007F6B71" w:rsidP="00E41116">
      <w:pPr>
        <w:autoSpaceDE w:val="0"/>
        <w:autoSpaceDN w:val="0"/>
        <w:adjustRightInd w:val="0"/>
        <w:snapToGrid w:val="0"/>
        <w:jc w:val="both"/>
        <w:rPr>
          <w:sz w:val="22"/>
          <w:szCs w:val="22"/>
        </w:rPr>
      </w:pPr>
      <w:r w:rsidRPr="004635E5">
        <w:rPr>
          <w:sz w:val="22"/>
          <w:szCs w:val="22"/>
        </w:rPr>
        <w:t xml:space="preserve">Distinguished guests, ladies and gentlemen, </w:t>
      </w:r>
    </w:p>
    <w:p w14:paraId="5BC2333F" w14:textId="77777777" w:rsidR="007F6B71" w:rsidRPr="004635E5" w:rsidRDefault="007F6B71" w:rsidP="00E41116">
      <w:pPr>
        <w:autoSpaceDE w:val="0"/>
        <w:autoSpaceDN w:val="0"/>
        <w:adjustRightInd w:val="0"/>
        <w:snapToGrid w:val="0"/>
        <w:jc w:val="both"/>
        <w:rPr>
          <w:sz w:val="22"/>
          <w:szCs w:val="22"/>
        </w:rPr>
      </w:pPr>
    </w:p>
    <w:p w14:paraId="4434E79B" w14:textId="77777777" w:rsidR="007F6B71" w:rsidRPr="004635E5" w:rsidRDefault="007F6B71" w:rsidP="00E41116">
      <w:pPr>
        <w:autoSpaceDE w:val="0"/>
        <w:autoSpaceDN w:val="0"/>
        <w:adjustRightInd w:val="0"/>
        <w:snapToGrid w:val="0"/>
        <w:jc w:val="both"/>
        <w:rPr>
          <w:sz w:val="22"/>
          <w:szCs w:val="22"/>
        </w:rPr>
      </w:pPr>
      <w:r w:rsidRPr="004635E5">
        <w:rPr>
          <w:sz w:val="22"/>
          <w:szCs w:val="22"/>
        </w:rPr>
        <w:t>Sustainability has become one of the words that define the 21</w:t>
      </w:r>
      <w:r w:rsidRPr="004635E5">
        <w:rPr>
          <w:sz w:val="22"/>
          <w:szCs w:val="22"/>
          <w:vertAlign w:val="superscript"/>
        </w:rPr>
        <w:t>st</w:t>
      </w:r>
      <w:r w:rsidRPr="004635E5">
        <w:rPr>
          <w:sz w:val="22"/>
          <w:szCs w:val="22"/>
        </w:rPr>
        <w:t xml:space="preserve"> century, and this was underscored by the United Nations in 2015, when the Organization adopted the Sustainable Development Goals, 14</w:t>
      </w:r>
      <w:r w:rsidRPr="004635E5">
        <w:rPr>
          <w:sz w:val="22"/>
          <w:szCs w:val="22"/>
          <w:vertAlign w:val="superscript"/>
        </w:rPr>
        <w:t>th</w:t>
      </w:r>
      <w:r w:rsidRPr="004635E5">
        <w:rPr>
          <w:sz w:val="22"/>
          <w:szCs w:val="22"/>
        </w:rPr>
        <w:t xml:space="preserve"> of which is about </w:t>
      </w:r>
      <w:r w:rsidRPr="004635E5">
        <w:rPr>
          <w:i/>
          <w:sz w:val="22"/>
          <w:szCs w:val="22"/>
        </w:rPr>
        <w:t>Life below Water</w:t>
      </w:r>
      <w:r w:rsidRPr="004635E5">
        <w:rPr>
          <w:sz w:val="22"/>
          <w:szCs w:val="22"/>
        </w:rPr>
        <w:t>.</w:t>
      </w:r>
    </w:p>
    <w:p w14:paraId="3CA5F87B" w14:textId="77777777" w:rsidR="007F6B71" w:rsidRPr="004635E5" w:rsidRDefault="007F6B71" w:rsidP="00E41116">
      <w:pPr>
        <w:autoSpaceDE w:val="0"/>
        <w:autoSpaceDN w:val="0"/>
        <w:adjustRightInd w:val="0"/>
        <w:snapToGrid w:val="0"/>
        <w:jc w:val="both"/>
        <w:rPr>
          <w:sz w:val="22"/>
          <w:szCs w:val="22"/>
        </w:rPr>
      </w:pPr>
    </w:p>
    <w:p w14:paraId="463A51FD" w14:textId="77777777" w:rsidR="007F6B71" w:rsidRPr="004635E5" w:rsidRDefault="007F6B71" w:rsidP="00E41116">
      <w:pPr>
        <w:autoSpaceDE w:val="0"/>
        <w:autoSpaceDN w:val="0"/>
        <w:adjustRightInd w:val="0"/>
        <w:snapToGrid w:val="0"/>
        <w:jc w:val="both"/>
        <w:rPr>
          <w:sz w:val="22"/>
          <w:szCs w:val="22"/>
        </w:rPr>
      </w:pPr>
      <w:r w:rsidRPr="004635E5">
        <w:rPr>
          <w:sz w:val="22"/>
          <w:szCs w:val="22"/>
        </w:rPr>
        <w:t>In this regard, I believe that the WCPFC is leading the journey of sustainable fishery management, thanks to the dedication and contribution of the Member scientists and science providers to the robust foundation of science-based conservation and management of the fishery resources and the related ecosystem in the Western and Central Pacific Ocean.</w:t>
      </w:r>
    </w:p>
    <w:p w14:paraId="46681F71" w14:textId="77777777" w:rsidR="007F6B71" w:rsidRPr="004635E5" w:rsidRDefault="007F6B71" w:rsidP="00E41116">
      <w:pPr>
        <w:autoSpaceDE w:val="0"/>
        <w:autoSpaceDN w:val="0"/>
        <w:adjustRightInd w:val="0"/>
        <w:snapToGrid w:val="0"/>
        <w:jc w:val="both"/>
        <w:rPr>
          <w:sz w:val="22"/>
          <w:szCs w:val="22"/>
        </w:rPr>
      </w:pPr>
    </w:p>
    <w:p w14:paraId="238B054C" w14:textId="77777777" w:rsidR="007F6B71" w:rsidRPr="004635E5" w:rsidRDefault="007F6B71" w:rsidP="00E41116">
      <w:pPr>
        <w:autoSpaceDE w:val="0"/>
        <w:autoSpaceDN w:val="0"/>
        <w:adjustRightInd w:val="0"/>
        <w:snapToGrid w:val="0"/>
        <w:jc w:val="both"/>
        <w:rPr>
          <w:sz w:val="22"/>
          <w:szCs w:val="22"/>
        </w:rPr>
      </w:pPr>
      <w:r w:rsidRPr="004635E5">
        <w:rPr>
          <w:sz w:val="22"/>
          <w:szCs w:val="22"/>
        </w:rPr>
        <w:t>I hope that all of you here today will share your ideas, insight, experience and knowledge to inform and advise the Commission so that we can ensure that we are on the right path.</w:t>
      </w:r>
    </w:p>
    <w:p w14:paraId="275706E2" w14:textId="77777777" w:rsidR="007F6B71" w:rsidRPr="004635E5" w:rsidRDefault="007F6B71" w:rsidP="00E41116">
      <w:pPr>
        <w:autoSpaceDE w:val="0"/>
        <w:autoSpaceDN w:val="0"/>
        <w:adjustRightInd w:val="0"/>
        <w:snapToGrid w:val="0"/>
        <w:jc w:val="both"/>
        <w:rPr>
          <w:sz w:val="22"/>
          <w:szCs w:val="22"/>
        </w:rPr>
      </w:pPr>
    </w:p>
    <w:p w14:paraId="50AFD083" w14:textId="77777777" w:rsidR="007F6B71" w:rsidRPr="004635E5" w:rsidRDefault="007F6B71" w:rsidP="00E41116">
      <w:pPr>
        <w:autoSpaceDE w:val="0"/>
        <w:autoSpaceDN w:val="0"/>
        <w:adjustRightInd w:val="0"/>
        <w:snapToGrid w:val="0"/>
        <w:jc w:val="both"/>
        <w:rPr>
          <w:sz w:val="22"/>
          <w:szCs w:val="22"/>
        </w:rPr>
      </w:pPr>
      <w:r w:rsidRPr="004635E5">
        <w:rPr>
          <w:sz w:val="22"/>
          <w:szCs w:val="22"/>
        </w:rPr>
        <w:t>This year, the Korean peninsula is going through the hottest summer in a century. I assume that your enthusiasm and heated discussions will only bring up the temperature a notch.</w:t>
      </w:r>
    </w:p>
    <w:p w14:paraId="03DF0537" w14:textId="77777777" w:rsidR="007F6B71" w:rsidRPr="004635E5" w:rsidRDefault="007F6B71" w:rsidP="00E41116">
      <w:pPr>
        <w:autoSpaceDE w:val="0"/>
        <w:autoSpaceDN w:val="0"/>
        <w:adjustRightInd w:val="0"/>
        <w:snapToGrid w:val="0"/>
        <w:jc w:val="both"/>
        <w:rPr>
          <w:sz w:val="22"/>
          <w:szCs w:val="22"/>
        </w:rPr>
      </w:pPr>
    </w:p>
    <w:p w14:paraId="1DD7B75F" w14:textId="77777777" w:rsidR="007F6B71" w:rsidRPr="004635E5" w:rsidRDefault="007F6B71" w:rsidP="00E41116">
      <w:pPr>
        <w:autoSpaceDE w:val="0"/>
        <w:autoSpaceDN w:val="0"/>
        <w:adjustRightInd w:val="0"/>
        <w:snapToGrid w:val="0"/>
        <w:jc w:val="both"/>
        <w:rPr>
          <w:sz w:val="22"/>
          <w:szCs w:val="22"/>
        </w:rPr>
      </w:pPr>
      <w:r w:rsidRPr="004635E5">
        <w:rPr>
          <w:sz w:val="22"/>
          <w:szCs w:val="22"/>
        </w:rPr>
        <w:t>And please don’t forget to find some time despite your busy schedule to take a look around Busan and enjoy what this exciting city has to offer, so that you can bring back home wonderful memories.</w:t>
      </w:r>
    </w:p>
    <w:p w14:paraId="77A26750" w14:textId="77777777" w:rsidR="007F6B71" w:rsidRPr="004635E5" w:rsidRDefault="007F6B71" w:rsidP="00E41116">
      <w:pPr>
        <w:autoSpaceDE w:val="0"/>
        <w:autoSpaceDN w:val="0"/>
        <w:adjustRightInd w:val="0"/>
        <w:snapToGrid w:val="0"/>
        <w:jc w:val="both"/>
        <w:rPr>
          <w:sz w:val="22"/>
          <w:szCs w:val="22"/>
        </w:rPr>
      </w:pPr>
    </w:p>
    <w:p w14:paraId="2C6263EC" w14:textId="77777777" w:rsidR="007F6B71" w:rsidRPr="004635E5" w:rsidRDefault="007F6B71" w:rsidP="00E41116">
      <w:pPr>
        <w:autoSpaceDE w:val="0"/>
        <w:autoSpaceDN w:val="0"/>
        <w:adjustRightInd w:val="0"/>
        <w:snapToGrid w:val="0"/>
        <w:jc w:val="both"/>
        <w:rPr>
          <w:sz w:val="22"/>
          <w:szCs w:val="22"/>
        </w:rPr>
      </w:pPr>
      <w:r w:rsidRPr="004635E5">
        <w:rPr>
          <w:sz w:val="22"/>
          <w:szCs w:val="22"/>
        </w:rPr>
        <w:t>Before closing, I would like to once again welcome all of you to Busan and wish every one of you the best.</w:t>
      </w:r>
    </w:p>
    <w:p w14:paraId="55A011F3" w14:textId="77777777" w:rsidR="007F6B71" w:rsidRPr="004635E5" w:rsidRDefault="007F6B71" w:rsidP="00E41116">
      <w:pPr>
        <w:autoSpaceDE w:val="0"/>
        <w:autoSpaceDN w:val="0"/>
        <w:adjustRightInd w:val="0"/>
        <w:snapToGrid w:val="0"/>
        <w:jc w:val="both"/>
        <w:rPr>
          <w:sz w:val="22"/>
          <w:szCs w:val="22"/>
        </w:rPr>
      </w:pPr>
    </w:p>
    <w:p w14:paraId="78DD8079" w14:textId="77777777" w:rsidR="007F6B71" w:rsidRPr="004635E5" w:rsidRDefault="007F6B71" w:rsidP="00E41116">
      <w:pPr>
        <w:autoSpaceDE w:val="0"/>
        <w:autoSpaceDN w:val="0"/>
        <w:adjustRightInd w:val="0"/>
        <w:snapToGrid w:val="0"/>
        <w:jc w:val="both"/>
        <w:rPr>
          <w:sz w:val="22"/>
          <w:szCs w:val="22"/>
        </w:rPr>
      </w:pPr>
      <w:r w:rsidRPr="004635E5">
        <w:rPr>
          <w:sz w:val="22"/>
          <w:szCs w:val="22"/>
        </w:rPr>
        <w:t>Thank you.</w:t>
      </w:r>
    </w:p>
    <w:p w14:paraId="6496A30E" w14:textId="77777777" w:rsidR="003851AF" w:rsidRPr="004635E5" w:rsidRDefault="003851AF" w:rsidP="00E41116">
      <w:pPr>
        <w:autoSpaceDE w:val="0"/>
        <w:autoSpaceDN w:val="0"/>
        <w:adjustRightInd w:val="0"/>
        <w:snapToGrid w:val="0"/>
        <w:jc w:val="both"/>
        <w:rPr>
          <w:sz w:val="22"/>
          <w:szCs w:val="22"/>
          <w:lang w:val="en-NZ"/>
        </w:rPr>
      </w:pPr>
    </w:p>
    <w:p w14:paraId="01FA4F18" w14:textId="77777777" w:rsidR="003851AF" w:rsidRPr="004635E5" w:rsidRDefault="003851AF" w:rsidP="00E41116">
      <w:pPr>
        <w:autoSpaceDE w:val="0"/>
        <w:autoSpaceDN w:val="0"/>
        <w:adjustRightInd w:val="0"/>
        <w:snapToGrid w:val="0"/>
        <w:jc w:val="both"/>
        <w:rPr>
          <w:sz w:val="22"/>
          <w:szCs w:val="22"/>
          <w:lang w:val="en-NZ"/>
        </w:rPr>
      </w:pPr>
    </w:p>
    <w:p w14:paraId="7AB8FA9F" w14:textId="77777777" w:rsidR="003851AF" w:rsidRPr="004635E5" w:rsidRDefault="003851AF" w:rsidP="00E41116">
      <w:pPr>
        <w:autoSpaceDE w:val="0"/>
        <w:autoSpaceDN w:val="0"/>
        <w:adjustRightInd w:val="0"/>
        <w:snapToGrid w:val="0"/>
        <w:jc w:val="both"/>
        <w:rPr>
          <w:sz w:val="22"/>
          <w:szCs w:val="22"/>
          <w:lang w:val="en-NZ"/>
        </w:rPr>
      </w:pPr>
    </w:p>
    <w:p w14:paraId="25739ABB" w14:textId="77777777" w:rsidR="003851AF" w:rsidRPr="004635E5" w:rsidRDefault="003851AF" w:rsidP="00E41116">
      <w:pPr>
        <w:autoSpaceDE w:val="0"/>
        <w:autoSpaceDN w:val="0"/>
        <w:adjustRightInd w:val="0"/>
        <w:snapToGrid w:val="0"/>
        <w:jc w:val="both"/>
        <w:rPr>
          <w:sz w:val="22"/>
          <w:szCs w:val="22"/>
          <w:lang w:val="en-NZ"/>
        </w:rPr>
      </w:pPr>
    </w:p>
    <w:p w14:paraId="5F03B0CD" w14:textId="77777777" w:rsidR="003851AF" w:rsidRPr="004635E5" w:rsidRDefault="003851AF" w:rsidP="00E41116">
      <w:pPr>
        <w:autoSpaceDE w:val="0"/>
        <w:autoSpaceDN w:val="0"/>
        <w:adjustRightInd w:val="0"/>
        <w:snapToGrid w:val="0"/>
        <w:jc w:val="both"/>
        <w:rPr>
          <w:sz w:val="22"/>
          <w:szCs w:val="22"/>
          <w:lang w:val="en-NZ"/>
        </w:rPr>
        <w:sectPr w:rsidR="003851AF" w:rsidRPr="004635E5" w:rsidSect="00436E03">
          <w:pgSz w:w="12240" w:h="15840" w:code="1"/>
          <w:pgMar w:top="1440" w:right="1440" w:bottom="1440" w:left="1440" w:header="720" w:footer="720" w:gutter="0"/>
          <w:cols w:space="720"/>
          <w:docGrid w:linePitch="360"/>
        </w:sectPr>
      </w:pPr>
    </w:p>
    <w:p w14:paraId="2BA2A382" w14:textId="77777777" w:rsidR="003851AF" w:rsidRPr="004635E5" w:rsidRDefault="003851AF" w:rsidP="00E41116">
      <w:pPr>
        <w:adjustRightInd w:val="0"/>
        <w:snapToGrid w:val="0"/>
        <w:jc w:val="right"/>
        <w:rPr>
          <w:b/>
          <w:bCs/>
          <w:sz w:val="22"/>
          <w:szCs w:val="22"/>
          <w:lang w:val="en-AU" w:eastAsia="en-NZ"/>
        </w:rPr>
      </w:pPr>
      <w:r w:rsidRPr="004635E5">
        <w:rPr>
          <w:b/>
          <w:bCs/>
          <w:sz w:val="22"/>
          <w:szCs w:val="22"/>
          <w:lang w:val="en-AU" w:eastAsia="en-NZ"/>
        </w:rPr>
        <w:t>Attachment C</w:t>
      </w:r>
    </w:p>
    <w:p w14:paraId="19676F72" w14:textId="77777777" w:rsidR="003851AF" w:rsidRPr="004635E5" w:rsidRDefault="003851AF" w:rsidP="00E41116">
      <w:pPr>
        <w:adjustRightInd w:val="0"/>
        <w:snapToGrid w:val="0"/>
        <w:jc w:val="center"/>
        <w:rPr>
          <w:b/>
          <w:bCs/>
          <w:sz w:val="22"/>
          <w:szCs w:val="22"/>
          <w:lang w:val="en-AU" w:eastAsia="en-NZ"/>
        </w:rPr>
      </w:pPr>
    </w:p>
    <w:p w14:paraId="302B2B40" w14:textId="77777777" w:rsidR="003851AF" w:rsidRPr="004635E5" w:rsidRDefault="003851AF" w:rsidP="00E41116">
      <w:pPr>
        <w:adjustRightInd w:val="0"/>
        <w:snapToGrid w:val="0"/>
        <w:jc w:val="center"/>
        <w:rPr>
          <w:b/>
          <w:bCs/>
          <w:sz w:val="22"/>
          <w:szCs w:val="22"/>
          <w:lang w:val="en-AU" w:eastAsia="en-NZ"/>
        </w:rPr>
      </w:pPr>
      <w:r w:rsidRPr="004635E5">
        <w:rPr>
          <w:b/>
          <w:bCs/>
          <w:sz w:val="22"/>
          <w:szCs w:val="22"/>
          <w:lang w:val="en-AU" w:eastAsia="en-NZ"/>
        </w:rPr>
        <w:t xml:space="preserve">The Commission for the Conservation and Management of </w:t>
      </w:r>
      <w:r w:rsidRPr="004635E5">
        <w:rPr>
          <w:b/>
          <w:bCs/>
          <w:sz w:val="22"/>
          <w:szCs w:val="22"/>
          <w:lang w:val="en-AU" w:eastAsia="en-NZ"/>
        </w:rPr>
        <w:br/>
        <w:t>Highly Migratory Fish Stocks in the Western and Central Pacific Ocean</w:t>
      </w:r>
    </w:p>
    <w:p w14:paraId="032710FE" w14:textId="77777777" w:rsidR="003851AF" w:rsidRPr="004635E5" w:rsidRDefault="003851AF"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 xml:space="preserve">Scientific Committee </w:t>
      </w:r>
    </w:p>
    <w:p w14:paraId="0CC3927B" w14:textId="77777777" w:rsidR="003851AF" w:rsidRPr="004635E5" w:rsidRDefault="003851AF"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Fourteenth Regular Session</w:t>
      </w:r>
    </w:p>
    <w:p w14:paraId="45D7209F" w14:textId="77777777" w:rsidR="003851AF" w:rsidRPr="004635E5" w:rsidRDefault="003851AF" w:rsidP="00E41116">
      <w:pPr>
        <w:adjustRightInd w:val="0"/>
        <w:snapToGrid w:val="0"/>
        <w:jc w:val="center"/>
        <w:rPr>
          <w:bCs/>
          <w:sz w:val="22"/>
          <w:szCs w:val="22"/>
        </w:rPr>
      </w:pPr>
      <w:r w:rsidRPr="004635E5">
        <w:rPr>
          <w:rFonts w:eastAsiaTheme="minorEastAsia"/>
          <w:bCs/>
          <w:sz w:val="22"/>
          <w:szCs w:val="22"/>
          <w:lang w:eastAsia="ko-KR"/>
        </w:rPr>
        <w:t>Busan, Republic of Korea</w:t>
      </w:r>
    </w:p>
    <w:p w14:paraId="690B5D79" w14:textId="77777777" w:rsidR="003851AF" w:rsidRPr="004635E5" w:rsidRDefault="003851AF" w:rsidP="00E41116">
      <w:pPr>
        <w:adjustRightInd w:val="0"/>
        <w:snapToGrid w:val="0"/>
        <w:jc w:val="center"/>
        <w:rPr>
          <w:rFonts w:eastAsiaTheme="minorEastAsia"/>
          <w:bCs/>
          <w:sz w:val="22"/>
          <w:szCs w:val="22"/>
          <w:lang w:eastAsia="ko-KR"/>
        </w:rPr>
      </w:pPr>
      <w:r w:rsidRPr="004635E5">
        <w:rPr>
          <w:rFonts w:eastAsiaTheme="minorEastAsia"/>
          <w:bCs/>
          <w:sz w:val="22"/>
          <w:szCs w:val="22"/>
          <w:lang w:eastAsia="ko-KR"/>
        </w:rPr>
        <w:t>8–16</w:t>
      </w:r>
      <w:r w:rsidRPr="004635E5">
        <w:rPr>
          <w:bCs/>
          <w:sz w:val="22"/>
          <w:szCs w:val="22"/>
        </w:rPr>
        <w:t xml:space="preserve"> August 201</w:t>
      </w:r>
      <w:r w:rsidRPr="004635E5">
        <w:rPr>
          <w:rFonts w:eastAsiaTheme="minorEastAsia"/>
          <w:bCs/>
          <w:sz w:val="22"/>
          <w:szCs w:val="22"/>
          <w:lang w:eastAsia="ko-KR"/>
        </w:rPr>
        <w:t>8</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3851AF" w:rsidRPr="004635E5" w14:paraId="546AFC6B" w14:textId="77777777" w:rsidTr="007F6B71">
        <w:tc>
          <w:tcPr>
            <w:tcW w:w="9576" w:type="dxa"/>
            <w:tcBorders>
              <w:top w:val="single" w:sz="12" w:space="0" w:color="auto"/>
              <w:left w:val="nil"/>
              <w:bottom w:val="single" w:sz="12" w:space="0" w:color="auto"/>
              <w:right w:val="nil"/>
            </w:tcBorders>
            <w:hideMark/>
          </w:tcPr>
          <w:p w14:paraId="740DE72F" w14:textId="77777777" w:rsidR="003851AF" w:rsidRPr="004635E5" w:rsidRDefault="003851AF" w:rsidP="00E41116">
            <w:pPr>
              <w:autoSpaceDE w:val="0"/>
              <w:autoSpaceDN w:val="0"/>
              <w:adjustRightInd w:val="0"/>
              <w:snapToGrid w:val="0"/>
              <w:jc w:val="center"/>
              <w:rPr>
                <w:b/>
                <w:sz w:val="22"/>
                <w:szCs w:val="22"/>
                <w:lang w:val="en-AU"/>
              </w:rPr>
            </w:pPr>
            <w:r w:rsidRPr="004635E5">
              <w:rPr>
                <w:b/>
                <w:sz w:val="22"/>
                <w:szCs w:val="22"/>
                <w:lang w:val="en-NZ"/>
              </w:rPr>
              <w:t>Opening Remarks by WCPFC Chair</w:t>
            </w:r>
            <w:r w:rsidR="005B5D29" w:rsidRPr="004635E5">
              <w:rPr>
                <w:b/>
                <w:sz w:val="22"/>
                <w:szCs w:val="22"/>
                <w:lang w:val="en-NZ"/>
              </w:rPr>
              <w:t xml:space="preserve"> </w:t>
            </w:r>
            <w:r w:rsidR="007F6B71" w:rsidRPr="004635E5">
              <w:rPr>
                <w:b/>
                <w:sz w:val="22"/>
                <w:szCs w:val="22"/>
              </w:rPr>
              <w:t xml:space="preserve">Ms. </w:t>
            </w:r>
            <w:r w:rsidRPr="004635E5">
              <w:rPr>
                <w:b/>
                <w:sz w:val="22"/>
                <w:szCs w:val="22"/>
              </w:rPr>
              <w:t>Rhea Moss-Christian</w:t>
            </w:r>
            <w:r w:rsidR="00472973" w:rsidRPr="004635E5">
              <w:rPr>
                <w:b/>
                <w:sz w:val="22"/>
                <w:szCs w:val="22"/>
              </w:rPr>
              <w:fldChar w:fldCharType="begin"/>
            </w:r>
            <w:r w:rsidR="00B61847" w:rsidRPr="004635E5">
              <w:rPr>
                <w:b/>
                <w:sz w:val="22"/>
                <w:szCs w:val="22"/>
              </w:rPr>
              <w:instrText xml:space="preserve"> TC "</w:instrText>
            </w:r>
            <w:r w:rsidR="00B61847" w:rsidRPr="004635E5">
              <w:rPr>
                <w:b/>
                <w:sz w:val="22"/>
                <w:szCs w:val="22"/>
                <w:lang w:val="en-NZ"/>
              </w:rPr>
              <w:instrText xml:space="preserve"> </w:instrText>
            </w:r>
            <w:bookmarkStart w:id="144" w:name="_Toc16418032"/>
            <w:r w:rsidR="00EE2E72" w:rsidRPr="004635E5">
              <w:rPr>
                <w:sz w:val="22"/>
                <w:szCs w:val="22"/>
                <w:lang w:val="en-NZ"/>
              </w:rPr>
              <w:instrText>ATTACHMENT C — OPENING REMARKS BY THE WCPFC CHAIR</w:instrText>
            </w:r>
            <w:bookmarkEnd w:id="144"/>
            <w:r w:rsidR="00B61847" w:rsidRPr="004635E5">
              <w:rPr>
                <w:b/>
                <w:sz w:val="22"/>
                <w:szCs w:val="22"/>
              </w:rPr>
              <w:instrText xml:space="preserve">" \f C \l "1" </w:instrText>
            </w:r>
            <w:r w:rsidR="00472973" w:rsidRPr="004635E5">
              <w:rPr>
                <w:b/>
                <w:sz w:val="22"/>
                <w:szCs w:val="22"/>
              </w:rPr>
              <w:fldChar w:fldCharType="end"/>
            </w:r>
          </w:p>
        </w:tc>
      </w:tr>
    </w:tbl>
    <w:p w14:paraId="276288F0" w14:textId="77777777" w:rsidR="003851AF" w:rsidRPr="004635E5" w:rsidRDefault="003851AF" w:rsidP="00E41116">
      <w:pPr>
        <w:autoSpaceDE w:val="0"/>
        <w:autoSpaceDN w:val="0"/>
        <w:adjustRightInd w:val="0"/>
        <w:snapToGrid w:val="0"/>
        <w:jc w:val="both"/>
        <w:rPr>
          <w:sz w:val="22"/>
          <w:szCs w:val="22"/>
          <w:lang w:val="en-NZ"/>
        </w:rPr>
      </w:pPr>
    </w:p>
    <w:p w14:paraId="0A2C2087" w14:textId="77777777" w:rsidR="003851AF" w:rsidRPr="004635E5" w:rsidRDefault="003851AF" w:rsidP="00E41116">
      <w:pPr>
        <w:autoSpaceDE w:val="0"/>
        <w:autoSpaceDN w:val="0"/>
        <w:adjustRightInd w:val="0"/>
        <w:snapToGrid w:val="0"/>
        <w:jc w:val="both"/>
        <w:rPr>
          <w:sz w:val="22"/>
          <w:szCs w:val="22"/>
        </w:rPr>
      </w:pPr>
      <w:r w:rsidRPr="004635E5">
        <w:rPr>
          <w:sz w:val="22"/>
          <w:szCs w:val="22"/>
        </w:rPr>
        <w:t xml:space="preserve">Good morning, I will be brief in my remarks this morning. </w:t>
      </w:r>
    </w:p>
    <w:p w14:paraId="59E89D81" w14:textId="77777777" w:rsidR="003851AF" w:rsidRPr="004635E5" w:rsidRDefault="003851AF" w:rsidP="00E41116">
      <w:pPr>
        <w:autoSpaceDE w:val="0"/>
        <w:autoSpaceDN w:val="0"/>
        <w:adjustRightInd w:val="0"/>
        <w:snapToGrid w:val="0"/>
        <w:jc w:val="both"/>
        <w:rPr>
          <w:sz w:val="22"/>
          <w:szCs w:val="22"/>
        </w:rPr>
      </w:pPr>
    </w:p>
    <w:p w14:paraId="4BEF3C1F" w14:textId="77777777" w:rsidR="003851AF" w:rsidRPr="004635E5" w:rsidRDefault="003851AF" w:rsidP="00E41116">
      <w:pPr>
        <w:autoSpaceDE w:val="0"/>
        <w:autoSpaceDN w:val="0"/>
        <w:adjustRightInd w:val="0"/>
        <w:snapToGrid w:val="0"/>
        <w:jc w:val="both"/>
        <w:rPr>
          <w:sz w:val="22"/>
          <w:szCs w:val="22"/>
        </w:rPr>
      </w:pPr>
      <w:r w:rsidRPr="004635E5">
        <w:rPr>
          <w:sz w:val="22"/>
          <w:szCs w:val="22"/>
        </w:rPr>
        <w:t>I’m honored to address the 14</w:t>
      </w:r>
      <w:r w:rsidRPr="004635E5">
        <w:rPr>
          <w:sz w:val="22"/>
          <w:szCs w:val="22"/>
          <w:vertAlign w:val="superscript"/>
        </w:rPr>
        <w:t>th</w:t>
      </w:r>
      <w:r w:rsidRPr="004635E5">
        <w:rPr>
          <w:sz w:val="22"/>
          <w:szCs w:val="22"/>
        </w:rPr>
        <w:t xml:space="preserve"> Regular Session of the Scientific Committee and am grateful to Director General Yang for being with us this morning and for your opening remarks. On behalf of the Commission, I wish to thank you and your government for hosting SC14, this year, and for providing the Commission with excellent support to kick off its series of 2018 meetings, beginning with the E</w:t>
      </w:r>
      <w:r w:rsidR="00C40607">
        <w:rPr>
          <w:sz w:val="22"/>
          <w:szCs w:val="22"/>
        </w:rPr>
        <w:t>R</w:t>
      </w:r>
      <w:r w:rsidR="0006402D">
        <w:rPr>
          <w:sz w:val="22"/>
          <w:szCs w:val="22"/>
        </w:rPr>
        <w:t>and</w:t>
      </w:r>
      <w:r w:rsidRPr="004635E5">
        <w:rPr>
          <w:sz w:val="22"/>
          <w:szCs w:val="22"/>
        </w:rPr>
        <w:t>E</w:t>
      </w:r>
      <w:r w:rsidR="00C40607">
        <w:rPr>
          <w:sz w:val="22"/>
          <w:szCs w:val="22"/>
        </w:rPr>
        <w:t>M</w:t>
      </w:r>
      <w:r w:rsidRPr="004635E5">
        <w:rPr>
          <w:sz w:val="22"/>
          <w:szCs w:val="22"/>
        </w:rPr>
        <w:t xml:space="preserve"> Working Group that met over the last two days, and this meeting of the Commission’s Scientific Committee. </w:t>
      </w:r>
    </w:p>
    <w:p w14:paraId="33E25E6F" w14:textId="77777777" w:rsidR="003851AF" w:rsidRPr="004635E5" w:rsidRDefault="003851AF" w:rsidP="00E41116">
      <w:pPr>
        <w:autoSpaceDE w:val="0"/>
        <w:autoSpaceDN w:val="0"/>
        <w:adjustRightInd w:val="0"/>
        <w:snapToGrid w:val="0"/>
        <w:jc w:val="both"/>
        <w:rPr>
          <w:sz w:val="22"/>
          <w:szCs w:val="22"/>
        </w:rPr>
      </w:pPr>
    </w:p>
    <w:p w14:paraId="0E4D94C1" w14:textId="77777777" w:rsidR="003851AF" w:rsidRPr="004635E5" w:rsidRDefault="003851AF" w:rsidP="00E41116">
      <w:pPr>
        <w:autoSpaceDE w:val="0"/>
        <w:autoSpaceDN w:val="0"/>
        <w:adjustRightInd w:val="0"/>
        <w:snapToGrid w:val="0"/>
        <w:jc w:val="both"/>
        <w:rPr>
          <w:sz w:val="22"/>
          <w:szCs w:val="22"/>
        </w:rPr>
      </w:pPr>
      <w:r w:rsidRPr="004635E5">
        <w:rPr>
          <w:sz w:val="22"/>
          <w:szCs w:val="22"/>
        </w:rPr>
        <w:t xml:space="preserve">I want to first recognize the work of delegates for your important contributions to the Commission’s foundation, which is the knowledge that science gives us in order to make decisions that support our core objective. </w:t>
      </w:r>
    </w:p>
    <w:p w14:paraId="51506E14" w14:textId="77777777" w:rsidR="003851AF" w:rsidRPr="004635E5" w:rsidRDefault="003851AF" w:rsidP="00E41116">
      <w:pPr>
        <w:autoSpaceDE w:val="0"/>
        <w:autoSpaceDN w:val="0"/>
        <w:adjustRightInd w:val="0"/>
        <w:snapToGrid w:val="0"/>
        <w:jc w:val="both"/>
        <w:rPr>
          <w:sz w:val="22"/>
          <w:szCs w:val="22"/>
        </w:rPr>
      </w:pPr>
    </w:p>
    <w:p w14:paraId="159BD76D" w14:textId="77777777" w:rsidR="003851AF" w:rsidRPr="004635E5" w:rsidRDefault="003851AF" w:rsidP="00E41116">
      <w:pPr>
        <w:autoSpaceDE w:val="0"/>
        <w:autoSpaceDN w:val="0"/>
        <w:adjustRightInd w:val="0"/>
        <w:snapToGrid w:val="0"/>
        <w:jc w:val="both"/>
        <w:rPr>
          <w:sz w:val="22"/>
          <w:szCs w:val="22"/>
        </w:rPr>
      </w:pPr>
      <w:r w:rsidRPr="004635E5">
        <w:rPr>
          <w:sz w:val="22"/>
          <w:szCs w:val="22"/>
        </w:rPr>
        <w:t>The Commission at its 14</w:t>
      </w:r>
      <w:r w:rsidRPr="004635E5">
        <w:rPr>
          <w:sz w:val="22"/>
          <w:szCs w:val="22"/>
          <w:vertAlign w:val="superscript"/>
        </w:rPr>
        <w:t>th</w:t>
      </w:r>
      <w:r w:rsidRPr="004635E5">
        <w:rPr>
          <w:sz w:val="22"/>
          <w:szCs w:val="22"/>
        </w:rPr>
        <w:t xml:space="preserve"> Annual Meeting in Manila last year, tasked itself with considerable intersessional work for 2018. Intersessional Working Groups were established for E</w:t>
      </w:r>
      <w:r w:rsidR="00C40607">
        <w:rPr>
          <w:sz w:val="22"/>
          <w:szCs w:val="22"/>
        </w:rPr>
        <w:t>R</w:t>
      </w:r>
      <w:r w:rsidR="0006402D">
        <w:rPr>
          <w:sz w:val="22"/>
          <w:szCs w:val="22"/>
        </w:rPr>
        <w:t>and</w:t>
      </w:r>
      <w:r w:rsidRPr="004635E5">
        <w:rPr>
          <w:sz w:val="22"/>
          <w:szCs w:val="22"/>
        </w:rPr>
        <w:t>E</w:t>
      </w:r>
      <w:r w:rsidR="00C40607">
        <w:rPr>
          <w:sz w:val="22"/>
          <w:szCs w:val="22"/>
        </w:rPr>
        <w:t>M</w:t>
      </w:r>
      <w:r w:rsidRPr="004635E5">
        <w:rPr>
          <w:sz w:val="22"/>
          <w:szCs w:val="22"/>
        </w:rPr>
        <w:t xml:space="preserve">, CMS, </w:t>
      </w:r>
      <w:r w:rsidR="002D5D17" w:rsidRPr="004635E5">
        <w:rPr>
          <w:sz w:val="22"/>
          <w:szCs w:val="22"/>
        </w:rPr>
        <w:t>South Pacific</w:t>
      </w:r>
      <w:r w:rsidRPr="004635E5">
        <w:rPr>
          <w:sz w:val="22"/>
          <w:szCs w:val="22"/>
        </w:rPr>
        <w:t xml:space="preserve"> Albacore, ROP, and Sharks/Rays. This work is critical to keeping the Commission moving forward and making progress on key issues. </w:t>
      </w:r>
    </w:p>
    <w:p w14:paraId="16A42221" w14:textId="77777777" w:rsidR="003851AF" w:rsidRPr="004635E5" w:rsidRDefault="003851AF" w:rsidP="00E41116">
      <w:pPr>
        <w:autoSpaceDE w:val="0"/>
        <w:autoSpaceDN w:val="0"/>
        <w:adjustRightInd w:val="0"/>
        <w:snapToGrid w:val="0"/>
        <w:jc w:val="both"/>
        <w:rPr>
          <w:sz w:val="22"/>
          <w:szCs w:val="22"/>
        </w:rPr>
      </w:pPr>
    </w:p>
    <w:p w14:paraId="31BE01F0" w14:textId="77777777" w:rsidR="003851AF" w:rsidRPr="004635E5" w:rsidRDefault="003851AF" w:rsidP="00E41116">
      <w:pPr>
        <w:autoSpaceDE w:val="0"/>
        <w:autoSpaceDN w:val="0"/>
        <w:adjustRightInd w:val="0"/>
        <w:snapToGrid w:val="0"/>
        <w:jc w:val="both"/>
        <w:rPr>
          <w:sz w:val="22"/>
          <w:szCs w:val="22"/>
        </w:rPr>
      </w:pPr>
      <w:r w:rsidRPr="004635E5">
        <w:rPr>
          <w:sz w:val="22"/>
          <w:szCs w:val="22"/>
        </w:rPr>
        <w:t xml:space="preserve">With the adoption of a new tropical tuna measure in 2017, the Commission has some breathing space for its annual meeting in 2018. Five of the six key tuna stocks managed by the Commission are in biologically stable condition. Although I recognize that this is subject to a certain degree of context, it is fair to say that we are not now faced with the biological sustainability issues that we have experienced in the recent past with bigeye tuna. Bluefin tuna remains a concern and this will be addressed by the Northern Committee next month. Key tuna management work for the Commission this year is to adopt a Target Reference Point for South Pacific Albacore. For Yellowfin, Bigeye, and Skipjack, the Commission will review the measures that applied only for 2018, and will consider measures for 2019 and 2020. </w:t>
      </w:r>
    </w:p>
    <w:p w14:paraId="615D25A2" w14:textId="77777777" w:rsidR="003851AF" w:rsidRPr="004635E5" w:rsidRDefault="003851AF" w:rsidP="00E41116">
      <w:pPr>
        <w:autoSpaceDE w:val="0"/>
        <w:autoSpaceDN w:val="0"/>
        <w:adjustRightInd w:val="0"/>
        <w:snapToGrid w:val="0"/>
        <w:jc w:val="both"/>
        <w:rPr>
          <w:sz w:val="22"/>
          <w:szCs w:val="22"/>
        </w:rPr>
      </w:pPr>
    </w:p>
    <w:p w14:paraId="4D79A2B3" w14:textId="77777777" w:rsidR="003851AF" w:rsidRPr="004635E5" w:rsidRDefault="003851AF" w:rsidP="00E41116">
      <w:pPr>
        <w:autoSpaceDE w:val="0"/>
        <w:autoSpaceDN w:val="0"/>
        <w:adjustRightInd w:val="0"/>
        <w:snapToGrid w:val="0"/>
        <w:jc w:val="both"/>
        <w:rPr>
          <w:sz w:val="22"/>
          <w:szCs w:val="22"/>
        </w:rPr>
      </w:pPr>
      <w:r w:rsidRPr="004635E5">
        <w:rPr>
          <w:sz w:val="22"/>
          <w:szCs w:val="22"/>
        </w:rPr>
        <w:t xml:space="preserve">The Commission needs to make progress on its harvest strategy, this year. I want to acknowledge the work of SPC, in this regard, and appreciate that most of their resources were devoted in 2017 to supporting the work required for the tropical tuna measure negotiations. I am aware that since the beginning of this year, some work on harvest strategies is underway at SPC and that SC will have extra time this year to consider key elements of the harvest strategy, as a result. I look forward to outcomes of this meeting that support the Commission making progress on its harvest strategy in December. </w:t>
      </w:r>
    </w:p>
    <w:p w14:paraId="4E63879D" w14:textId="77777777" w:rsidR="003851AF" w:rsidRPr="004635E5" w:rsidRDefault="003851AF" w:rsidP="00E41116">
      <w:pPr>
        <w:autoSpaceDE w:val="0"/>
        <w:autoSpaceDN w:val="0"/>
        <w:adjustRightInd w:val="0"/>
        <w:snapToGrid w:val="0"/>
        <w:jc w:val="both"/>
        <w:rPr>
          <w:sz w:val="22"/>
          <w:szCs w:val="22"/>
        </w:rPr>
      </w:pPr>
    </w:p>
    <w:p w14:paraId="5B568307" w14:textId="77777777" w:rsidR="003851AF" w:rsidRPr="004635E5" w:rsidRDefault="003851AF" w:rsidP="00E41116">
      <w:pPr>
        <w:autoSpaceDE w:val="0"/>
        <w:autoSpaceDN w:val="0"/>
        <w:adjustRightInd w:val="0"/>
        <w:snapToGrid w:val="0"/>
        <w:jc w:val="both"/>
        <w:rPr>
          <w:sz w:val="22"/>
          <w:szCs w:val="22"/>
        </w:rPr>
      </w:pPr>
      <w:r w:rsidRPr="004635E5">
        <w:rPr>
          <w:sz w:val="22"/>
          <w:szCs w:val="22"/>
        </w:rPr>
        <w:t xml:space="preserve">With that, I want to thank the WCPFC Executive Director Feleti Teo and Commission Science Manager SungKwon Soh, and your support team, for the preparations for this meeting. I want to thank Dr. John Hampton of SPC as the Commission’s Science Service Provider for your essential contributions to the work of the Scientific Committee, as well. </w:t>
      </w:r>
    </w:p>
    <w:p w14:paraId="20ED7A16" w14:textId="77777777" w:rsidR="003851AF" w:rsidRPr="004635E5" w:rsidRDefault="003851AF" w:rsidP="00E41116">
      <w:pPr>
        <w:autoSpaceDE w:val="0"/>
        <w:autoSpaceDN w:val="0"/>
        <w:adjustRightInd w:val="0"/>
        <w:snapToGrid w:val="0"/>
        <w:jc w:val="both"/>
        <w:rPr>
          <w:sz w:val="22"/>
          <w:szCs w:val="22"/>
        </w:rPr>
      </w:pPr>
    </w:p>
    <w:p w14:paraId="51716FF7" w14:textId="77777777" w:rsidR="003851AF" w:rsidRPr="004635E5" w:rsidRDefault="003851AF" w:rsidP="00E41116">
      <w:pPr>
        <w:autoSpaceDE w:val="0"/>
        <w:autoSpaceDN w:val="0"/>
        <w:adjustRightInd w:val="0"/>
        <w:snapToGrid w:val="0"/>
        <w:jc w:val="both"/>
        <w:rPr>
          <w:sz w:val="22"/>
          <w:szCs w:val="22"/>
        </w:rPr>
      </w:pPr>
      <w:r w:rsidRPr="004635E5">
        <w:rPr>
          <w:sz w:val="22"/>
          <w:szCs w:val="22"/>
        </w:rPr>
        <w:t>I also congratulate the new SC Chair, Ueta Faasili, Jr, and thank you in advance for your guidance over the SC’s work. You are well supported by your Theme Convenors and I thank them in advance, as well, for your facilitation of SC’s discussions.</w:t>
      </w:r>
    </w:p>
    <w:p w14:paraId="07E125A2" w14:textId="77777777" w:rsidR="003851AF" w:rsidRPr="004635E5" w:rsidRDefault="003851AF" w:rsidP="00E41116">
      <w:pPr>
        <w:autoSpaceDE w:val="0"/>
        <w:autoSpaceDN w:val="0"/>
        <w:adjustRightInd w:val="0"/>
        <w:snapToGrid w:val="0"/>
        <w:jc w:val="both"/>
        <w:rPr>
          <w:sz w:val="22"/>
          <w:szCs w:val="22"/>
        </w:rPr>
      </w:pPr>
    </w:p>
    <w:p w14:paraId="636D7597" w14:textId="77777777" w:rsidR="003851AF" w:rsidRPr="004635E5" w:rsidRDefault="003851AF" w:rsidP="00E41116">
      <w:pPr>
        <w:autoSpaceDE w:val="0"/>
        <w:autoSpaceDN w:val="0"/>
        <w:adjustRightInd w:val="0"/>
        <w:snapToGrid w:val="0"/>
        <w:jc w:val="both"/>
        <w:rPr>
          <w:sz w:val="22"/>
          <w:szCs w:val="22"/>
        </w:rPr>
      </w:pPr>
      <w:r w:rsidRPr="004635E5">
        <w:rPr>
          <w:sz w:val="22"/>
          <w:szCs w:val="22"/>
        </w:rPr>
        <w:t xml:space="preserve">I wish you all the best over the next few days and thank you, again, for the opportunity to address you this morning. </w:t>
      </w:r>
    </w:p>
    <w:p w14:paraId="79451577" w14:textId="77777777" w:rsidR="003851AF" w:rsidRPr="004635E5" w:rsidRDefault="003851AF" w:rsidP="00E41116">
      <w:pPr>
        <w:autoSpaceDE w:val="0"/>
        <w:autoSpaceDN w:val="0"/>
        <w:adjustRightInd w:val="0"/>
        <w:snapToGrid w:val="0"/>
        <w:jc w:val="both"/>
        <w:rPr>
          <w:sz w:val="22"/>
          <w:szCs w:val="22"/>
          <w:lang w:val="en-NZ"/>
        </w:rPr>
        <w:sectPr w:rsidR="003851AF" w:rsidRPr="004635E5" w:rsidSect="00436E03">
          <w:pgSz w:w="12240" w:h="15840" w:code="1"/>
          <w:pgMar w:top="1440" w:right="1440" w:bottom="1440" w:left="1440" w:header="720" w:footer="720" w:gutter="0"/>
          <w:cols w:space="720"/>
          <w:docGrid w:linePitch="360"/>
        </w:sectPr>
      </w:pPr>
    </w:p>
    <w:p w14:paraId="6A5580D8" w14:textId="77777777" w:rsidR="003851AF" w:rsidRPr="004635E5" w:rsidRDefault="003851AF" w:rsidP="00E41116">
      <w:pPr>
        <w:adjustRightInd w:val="0"/>
        <w:snapToGrid w:val="0"/>
        <w:jc w:val="right"/>
        <w:rPr>
          <w:b/>
          <w:bCs/>
          <w:sz w:val="22"/>
          <w:szCs w:val="22"/>
          <w:lang w:val="en-AU" w:eastAsia="en-NZ"/>
        </w:rPr>
      </w:pPr>
      <w:r w:rsidRPr="004635E5">
        <w:rPr>
          <w:b/>
          <w:bCs/>
          <w:sz w:val="22"/>
          <w:szCs w:val="22"/>
          <w:lang w:val="en-AU" w:eastAsia="en-NZ"/>
        </w:rPr>
        <w:t>Attachment D</w:t>
      </w:r>
    </w:p>
    <w:p w14:paraId="6D3CE02B" w14:textId="77777777" w:rsidR="003851AF" w:rsidRPr="004635E5" w:rsidRDefault="003851AF" w:rsidP="00E41116">
      <w:pPr>
        <w:adjustRightInd w:val="0"/>
        <w:snapToGrid w:val="0"/>
        <w:jc w:val="center"/>
        <w:rPr>
          <w:b/>
          <w:bCs/>
          <w:sz w:val="22"/>
          <w:szCs w:val="22"/>
          <w:lang w:val="en-AU" w:eastAsia="en-NZ"/>
        </w:rPr>
      </w:pPr>
    </w:p>
    <w:p w14:paraId="5370BB92" w14:textId="77777777" w:rsidR="003851AF" w:rsidRPr="004635E5" w:rsidRDefault="003851AF" w:rsidP="00E41116">
      <w:pPr>
        <w:adjustRightInd w:val="0"/>
        <w:snapToGrid w:val="0"/>
        <w:jc w:val="center"/>
        <w:rPr>
          <w:b/>
          <w:bCs/>
          <w:sz w:val="22"/>
          <w:szCs w:val="22"/>
          <w:lang w:val="en-AU" w:eastAsia="en-NZ"/>
        </w:rPr>
      </w:pPr>
      <w:r w:rsidRPr="004635E5">
        <w:rPr>
          <w:b/>
          <w:bCs/>
          <w:sz w:val="22"/>
          <w:szCs w:val="22"/>
          <w:lang w:val="en-AU" w:eastAsia="en-NZ"/>
        </w:rPr>
        <w:t xml:space="preserve">The Commission for the Conservation and Management of </w:t>
      </w:r>
      <w:r w:rsidRPr="004635E5">
        <w:rPr>
          <w:b/>
          <w:bCs/>
          <w:sz w:val="22"/>
          <w:szCs w:val="22"/>
          <w:lang w:val="en-AU" w:eastAsia="en-NZ"/>
        </w:rPr>
        <w:br/>
        <w:t>Highly Migratory Fish Stocks in the Western and Central Pacific Ocean</w:t>
      </w:r>
    </w:p>
    <w:p w14:paraId="26D8A3E3" w14:textId="77777777" w:rsidR="003851AF" w:rsidRPr="004635E5" w:rsidRDefault="003851AF"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 xml:space="preserve">Scientific Committee </w:t>
      </w:r>
    </w:p>
    <w:p w14:paraId="6013F8C1" w14:textId="77777777" w:rsidR="003851AF" w:rsidRPr="004635E5" w:rsidRDefault="003851AF"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Fourteenth Regular Session</w:t>
      </w:r>
    </w:p>
    <w:p w14:paraId="793AF447" w14:textId="77777777" w:rsidR="003851AF" w:rsidRPr="004635E5" w:rsidRDefault="003851AF" w:rsidP="00E41116">
      <w:pPr>
        <w:adjustRightInd w:val="0"/>
        <w:snapToGrid w:val="0"/>
        <w:jc w:val="center"/>
        <w:rPr>
          <w:bCs/>
          <w:sz w:val="22"/>
          <w:szCs w:val="22"/>
        </w:rPr>
      </w:pPr>
      <w:r w:rsidRPr="004635E5">
        <w:rPr>
          <w:rFonts w:eastAsiaTheme="minorEastAsia"/>
          <w:bCs/>
          <w:sz w:val="22"/>
          <w:szCs w:val="22"/>
          <w:lang w:eastAsia="ko-KR"/>
        </w:rPr>
        <w:t>Busan, Republic of Korea</w:t>
      </w:r>
    </w:p>
    <w:p w14:paraId="65BA44C5" w14:textId="77777777" w:rsidR="003851AF" w:rsidRPr="004635E5" w:rsidRDefault="003851AF" w:rsidP="00E41116">
      <w:pPr>
        <w:adjustRightInd w:val="0"/>
        <w:snapToGrid w:val="0"/>
        <w:jc w:val="center"/>
        <w:rPr>
          <w:rFonts w:eastAsiaTheme="minorEastAsia"/>
          <w:bCs/>
          <w:sz w:val="22"/>
          <w:szCs w:val="22"/>
          <w:lang w:eastAsia="ko-KR"/>
        </w:rPr>
      </w:pPr>
      <w:r w:rsidRPr="004635E5">
        <w:rPr>
          <w:rFonts w:eastAsiaTheme="minorEastAsia"/>
          <w:bCs/>
          <w:sz w:val="22"/>
          <w:szCs w:val="22"/>
          <w:lang w:eastAsia="ko-KR"/>
        </w:rPr>
        <w:t>8–16</w:t>
      </w:r>
      <w:r w:rsidRPr="004635E5">
        <w:rPr>
          <w:bCs/>
          <w:sz w:val="22"/>
          <w:szCs w:val="22"/>
        </w:rPr>
        <w:t xml:space="preserve"> August 201</w:t>
      </w:r>
      <w:r w:rsidRPr="004635E5">
        <w:rPr>
          <w:rFonts w:eastAsiaTheme="minorEastAsia"/>
          <w:bCs/>
          <w:sz w:val="22"/>
          <w:szCs w:val="22"/>
          <w:lang w:eastAsia="ko-KR"/>
        </w:rPr>
        <w:t>8</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3851AF" w:rsidRPr="004635E5" w14:paraId="68AB8DCA" w14:textId="77777777" w:rsidTr="007F6B71">
        <w:tc>
          <w:tcPr>
            <w:tcW w:w="9576" w:type="dxa"/>
            <w:tcBorders>
              <w:top w:val="single" w:sz="12" w:space="0" w:color="auto"/>
              <w:left w:val="nil"/>
              <w:bottom w:val="single" w:sz="12" w:space="0" w:color="auto"/>
              <w:right w:val="nil"/>
            </w:tcBorders>
            <w:hideMark/>
          </w:tcPr>
          <w:p w14:paraId="35ED38DF" w14:textId="77777777" w:rsidR="003851AF" w:rsidRPr="004635E5" w:rsidRDefault="003851AF" w:rsidP="00E41116">
            <w:pPr>
              <w:autoSpaceDE w:val="0"/>
              <w:autoSpaceDN w:val="0"/>
              <w:adjustRightInd w:val="0"/>
              <w:snapToGrid w:val="0"/>
              <w:jc w:val="center"/>
              <w:rPr>
                <w:b/>
                <w:sz w:val="22"/>
                <w:szCs w:val="22"/>
                <w:lang w:val="en-AU"/>
              </w:rPr>
            </w:pPr>
            <w:r w:rsidRPr="004635E5">
              <w:rPr>
                <w:b/>
                <w:sz w:val="22"/>
                <w:szCs w:val="22"/>
                <w:lang w:val="en-NZ"/>
              </w:rPr>
              <w:t>Opening Remarks by WCPFC Executive Director</w:t>
            </w:r>
            <w:r w:rsidR="005B5D29" w:rsidRPr="004635E5">
              <w:rPr>
                <w:b/>
                <w:sz w:val="22"/>
                <w:szCs w:val="22"/>
                <w:lang w:val="en-NZ"/>
              </w:rPr>
              <w:t xml:space="preserve"> </w:t>
            </w:r>
            <w:r w:rsidRPr="004635E5">
              <w:rPr>
                <w:b/>
                <w:sz w:val="22"/>
                <w:szCs w:val="22"/>
                <w:lang w:val="en-NZ"/>
              </w:rPr>
              <w:t>Mr</w:t>
            </w:r>
            <w:r w:rsidR="005B5D29" w:rsidRPr="004635E5">
              <w:rPr>
                <w:b/>
                <w:sz w:val="22"/>
                <w:szCs w:val="22"/>
                <w:lang w:val="en-NZ"/>
              </w:rPr>
              <w:t>.</w:t>
            </w:r>
            <w:r w:rsidRPr="004635E5">
              <w:rPr>
                <w:b/>
                <w:sz w:val="22"/>
                <w:szCs w:val="22"/>
                <w:lang w:val="en-NZ"/>
              </w:rPr>
              <w:t xml:space="preserve"> Feleti P Teo</w:t>
            </w:r>
            <w:r w:rsidR="00EE2E72" w:rsidRPr="004635E5">
              <w:rPr>
                <w:b/>
                <w:sz w:val="22"/>
                <w:szCs w:val="22"/>
              </w:rPr>
              <w:t xml:space="preserve"> </w:t>
            </w:r>
            <w:r w:rsidR="00472973" w:rsidRPr="004635E5">
              <w:rPr>
                <w:b/>
                <w:sz w:val="22"/>
                <w:szCs w:val="22"/>
              </w:rPr>
              <w:fldChar w:fldCharType="begin"/>
            </w:r>
            <w:r w:rsidR="00EE2E72" w:rsidRPr="004635E5">
              <w:rPr>
                <w:b/>
                <w:sz w:val="22"/>
                <w:szCs w:val="22"/>
              </w:rPr>
              <w:instrText xml:space="preserve"> TC "</w:instrText>
            </w:r>
            <w:r w:rsidR="00EE2E72" w:rsidRPr="004635E5">
              <w:rPr>
                <w:b/>
                <w:sz w:val="22"/>
                <w:szCs w:val="22"/>
                <w:lang w:val="en-NZ"/>
              </w:rPr>
              <w:instrText xml:space="preserve"> </w:instrText>
            </w:r>
            <w:bookmarkStart w:id="145" w:name="_Toc16418033"/>
            <w:r w:rsidR="00EE2E72" w:rsidRPr="004635E5">
              <w:rPr>
                <w:sz w:val="22"/>
                <w:szCs w:val="22"/>
                <w:lang w:val="en-NZ"/>
              </w:rPr>
              <w:instrText>ATTACHMENT D — OPENING REMARKS BY THE WCPFC EXECUTIVE DIRECTOR</w:instrText>
            </w:r>
            <w:bookmarkEnd w:id="145"/>
            <w:r w:rsidR="00EE2E72" w:rsidRPr="004635E5">
              <w:rPr>
                <w:b/>
                <w:sz w:val="22"/>
                <w:szCs w:val="22"/>
              </w:rPr>
              <w:instrText xml:space="preserve">" \f C \l "1" </w:instrText>
            </w:r>
            <w:r w:rsidR="00472973" w:rsidRPr="004635E5">
              <w:rPr>
                <w:b/>
                <w:sz w:val="22"/>
                <w:szCs w:val="22"/>
              </w:rPr>
              <w:fldChar w:fldCharType="end"/>
            </w:r>
          </w:p>
        </w:tc>
      </w:tr>
    </w:tbl>
    <w:p w14:paraId="186B62DD" w14:textId="77777777" w:rsidR="003851AF" w:rsidRPr="004635E5" w:rsidRDefault="003851AF" w:rsidP="00E41116">
      <w:pPr>
        <w:autoSpaceDE w:val="0"/>
        <w:autoSpaceDN w:val="0"/>
        <w:adjustRightInd w:val="0"/>
        <w:snapToGrid w:val="0"/>
        <w:jc w:val="both"/>
        <w:rPr>
          <w:sz w:val="22"/>
          <w:szCs w:val="22"/>
          <w:lang w:val="en-AU"/>
        </w:rPr>
      </w:pPr>
    </w:p>
    <w:p w14:paraId="6ABC8203"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Chair of the Scientific Committee of the WCPFC Mr Ueta Faasili, congratulations on your assumption of your new role. The Secretariat looks forward to supporting you and working with you in your new capacity.</w:t>
      </w:r>
    </w:p>
    <w:p w14:paraId="5CD4A31A" w14:textId="77777777" w:rsidR="003851AF" w:rsidRPr="004635E5" w:rsidRDefault="003851AF" w:rsidP="00E41116">
      <w:pPr>
        <w:autoSpaceDE w:val="0"/>
        <w:autoSpaceDN w:val="0"/>
        <w:adjustRightInd w:val="0"/>
        <w:snapToGrid w:val="0"/>
        <w:jc w:val="both"/>
        <w:rPr>
          <w:sz w:val="22"/>
          <w:szCs w:val="22"/>
          <w:lang w:val="en-PH"/>
        </w:rPr>
      </w:pPr>
    </w:p>
    <w:p w14:paraId="6481F981"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And thank you for affording me this opportunity to make some brief remarks at this opening session of the 14</w:t>
      </w:r>
      <w:r w:rsidRPr="004635E5">
        <w:rPr>
          <w:sz w:val="22"/>
          <w:szCs w:val="22"/>
          <w:vertAlign w:val="superscript"/>
          <w:lang w:val="en-PH"/>
        </w:rPr>
        <w:t>th</w:t>
      </w:r>
      <w:r w:rsidRPr="004635E5">
        <w:rPr>
          <w:sz w:val="22"/>
          <w:szCs w:val="22"/>
          <w:lang w:val="en-PH"/>
        </w:rPr>
        <w:t xml:space="preserve"> regular session of the SC here in Bussan, South Korea.</w:t>
      </w:r>
    </w:p>
    <w:p w14:paraId="694DBAA1" w14:textId="77777777" w:rsidR="003851AF" w:rsidRPr="004635E5" w:rsidRDefault="003851AF" w:rsidP="00E41116">
      <w:pPr>
        <w:autoSpaceDE w:val="0"/>
        <w:autoSpaceDN w:val="0"/>
        <w:adjustRightInd w:val="0"/>
        <w:snapToGrid w:val="0"/>
        <w:jc w:val="both"/>
        <w:rPr>
          <w:sz w:val="22"/>
          <w:szCs w:val="22"/>
          <w:lang w:val="en-PH"/>
        </w:rPr>
      </w:pPr>
    </w:p>
    <w:p w14:paraId="65FD9A7D"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The WCPFC seems to have some unique relationship (or attraction) with this city of Bussan. As earlier mentioned this is the fourth time that the Commission has had its meeting here in Bussan. Initially it had its annual Commission meeting in 2008, a session of the Scientific Committee meeting in 2012, the Northern Committee meeting was held here last year in 2017, and now another session of the Scientific Committee.</w:t>
      </w:r>
    </w:p>
    <w:p w14:paraId="4D1C8BBF" w14:textId="77777777" w:rsidR="003851AF" w:rsidRPr="004635E5" w:rsidRDefault="003851AF" w:rsidP="00E41116">
      <w:pPr>
        <w:autoSpaceDE w:val="0"/>
        <w:autoSpaceDN w:val="0"/>
        <w:adjustRightInd w:val="0"/>
        <w:snapToGrid w:val="0"/>
        <w:jc w:val="both"/>
        <w:rPr>
          <w:sz w:val="22"/>
          <w:szCs w:val="22"/>
          <w:lang w:val="en-PH"/>
        </w:rPr>
      </w:pPr>
    </w:p>
    <w:p w14:paraId="5B29EC29"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 xml:space="preserve">As the Executive Director of the Commission, I can now appreciate the attraction and beauty of Bussan that seem to attract meetings of the Commission to Bussan. With such magnificent facility and generous meeting arrangements they certainly provide for a conducive environment for productive deliberations.   </w:t>
      </w:r>
    </w:p>
    <w:p w14:paraId="7255CF90" w14:textId="77777777" w:rsidR="003851AF" w:rsidRPr="004635E5" w:rsidRDefault="003851AF" w:rsidP="00E41116">
      <w:pPr>
        <w:autoSpaceDE w:val="0"/>
        <w:autoSpaceDN w:val="0"/>
        <w:adjustRightInd w:val="0"/>
        <w:snapToGrid w:val="0"/>
        <w:jc w:val="both"/>
        <w:rPr>
          <w:sz w:val="22"/>
          <w:szCs w:val="22"/>
          <w:lang w:val="en-PH"/>
        </w:rPr>
      </w:pPr>
    </w:p>
    <w:p w14:paraId="6108AC04"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So, to our Gracious Host Yang Dong-yeob Director General for the Overseas Fisheries and International Policy Bureau of the government of the Republic of South Korea, please convey the meeting’s collective appreciation and gratitude to your government and your staff for their generous hospitality and for these elaborate and eloquent meeting arrangements.</w:t>
      </w:r>
    </w:p>
    <w:p w14:paraId="24BBF417" w14:textId="77777777" w:rsidR="003851AF" w:rsidRPr="004635E5" w:rsidRDefault="003851AF" w:rsidP="00E41116">
      <w:pPr>
        <w:autoSpaceDE w:val="0"/>
        <w:autoSpaceDN w:val="0"/>
        <w:adjustRightInd w:val="0"/>
        <w:snapToGrid w:val="0"/>
        <w:jc w:val="both"/>
        <w:rPr>
          <w:sz w:val="22"/>
          <w:szCs w:val="22"/>
          <w:lang w:val="en-PH"/>
        </w:rPr>
      </w:pPr>
    </w:p>
    <w:p w14:paraId="598FD9A4"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Before I proceed with my remarks let me acknowledge the presence and attendance of the Commission Chair Madam Rhea Moss-Christian; and I also acknowledge distinguished member delegates and observer delegates; and representative of international and regional organizations and non-government organizations.</w:t>
      </w:r>
    </w:p>
    <w:p w14:paraId="7E9D46C2" w14:textId="77777777" w:rsidR="003851AF" w:rsidRPr="004635E5" w:rsidRDefault="003851AF" w:rsidP="00E41116">
      <w:pPr>
        <w:autoSpaceDE w:val="0"/>
        <w:autoSpaceDN w:val="0"/>
        <w:adjustRightInd w:val="0"/>
        <w:snapToGrid w:val="0"/>
        <w:jc w:val="both"/>
        <w:rPr>
          <w:sz w:val="22"/>
          <w:szCs w:val="22"/>
          <w:lang w:val="en-PH"/>
        </w:rPr>
      </w:pPr>
    </w:p>
    <w:p w14:paraId="72B08D0A"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Mr Chairman.</w:t>
      </w:r>
    </w:p>
    <w:p w14:paraId="7A1FAF8A" w14:textId="77777777" w:rsidR="003851AF" w:rsidRPr="004635E5" w:rsidRDefault="003851AF" w:rsidP="00E41116">
      <w:pPr>
        <w:autoSpaceDE w:val="0"/>
        <w:autoSpaceDN w:val="0"/>
        <w:adjustRightInd w:val="0"/>
        <w:snapToGrid w:val="0"/>
        <w:jc w:val="both"/>
        <w:rPr>
          <w:sz w:val="22"/>
          <w:szCs w:val="22"/>
          <w:lang w:val="en-PH"/>
        </w:rPr>
      </w:pPr>
    </w:p>
    <w:p w14:paraId="2C9E4B87"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 xml:space="preserve">I will keep my comments brief as I know the agenda for this meeting as in previous meetings is very substantial. It is in a way reflective of the extensive and critical role entrusted to this Committee by the Commission and its Establishment Convention. </w:t>
      </w:r>
    </w:p>
    <w:p w14:paraId="4FC44066" w14:textId="77777777" w:rsidR="003851AF" w:rsidRPr="004635E5" w:rsidRDefault="003851AF" w:rsidP="00E41116">
      <w:pPr>
        <w:autoSpaceDE w:val="0"/>
        <w:autoSpaceDN w:val="0"/>
        <w:adjustRightInd w:val="0"/>
        <w:snapToGrid w:val="0"/>
        <w:jc w:val="both"/>
        <w:rPr>
          <w:sz w:val="22"/>
          <w:szCs w:val="22"/>
          <w:lang w:val="en-PH"/>
        </w:rPr>
      </w:pPr>
    </w:p>
    <w:p w14:paraId="36E77866"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The Commission, as required by its Convention, must base its work and decisions on the best available scientific information and advice. So, the work of this Committee is at the very core of the work of the Commission.</w:t>
      </w:r>
    </w:p>
    <w:p w14:paraId="6902B7BF" w14:textId="77777777" w:rsidR="003851AF" w:rsidRPr="004635E5" w:rsidRDefault="003851AF" w:rsidP="00E41116">
      <w:pPr>
        <w:autoSpaceDE w:val="0"/>
        <w:autoSpaceDN w:val="0"/>
        <w:adjustRightInd w:val="0"/>
        <w:snapToGrid w:val="0"/>
        <w:jc w:val="both"/>
        <w:rPr>
          <w:sz w:val="22"/>
          <w:szCs w:val="22"/>
          <w:lang w:val="en-PH"/>
        </w:rPr>
      </w:pPr>
    </w:p>
    <w:p w14:paraId="284FFA4C"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Distinguished Delegates.</w:t>
      </w:r>
    </w:p>
    <w:p w14:paraId="1F41FC45" w14:textId="77777777" w:rsidR="003851AF" w:rsidRPr="004635E5" w:rsidRDefault="003851AF" w:rsidP="00E41116">
      <w:pPr>
        <w:autoSpaceDE w:val="0"/>
        <w:autoSpaceDN w:val="0"/>
        <w:adjustRightInd w:val="0"/>
        <w:snapToGrid w:val="0"/>
        <w:jc w:val="both"/>
        <w:rPr>
          <w:sz w:val="22"/>
          <w:szCs w:val="22"/>
          <w:lang w:val="en-PH"/>
        </w:rPr>
      </w:pPr>
    </w:p>
    <w:p w14:paraId="4177A18F"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 xml:space="preserve">The Commission Chair has provided an overview of some of the key tasks that the Commission specifically tasked this session of the Scientific Committee to consider and advice the Commission on. </w:t>
      </w:r>
    </w:p>
    <w:p w14:paraId="257DB129" w14:textId="77777777" w:rsidR="003851AF" w:rsidRPr="004635E5" w:rsidRDefault="003851AF" w:rsidP="00E41116">
      <w:pPr>
        <w:autoSpaceDE w:val="0"/>
        <w:autoSpaceDN w:val="0"/>
        <w:adjustRightInd w:val="0"/>
        <w:snapToGrid w:val="0"/>
        <w:jc w:val="both"/>
        <w:rPr>
          <w:sz w:val="22"/>
          <w:szCs w:val="22"/>
          <w:lang w:val="en-PH"/>
        </w:rPr>
      </w:pPr>
    </w:p>
    <w:p w14:paraId="62022CF0"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 xml:space="preserve">Those tasks cover a broad range of issues that the Commission awaits targeted advice and information to consider when deliberating on significant Commission priorities at its annual meeting later in the year in Honolulu in December. Those issues are embedded in your meeting agenda for the next 8 days. </w:t>
      </w:r>
    </w:p>
    <w:p w14:paraId="0882D220" w14:textId="77777777" w:rsidR="003851AF" w:rsidRPr="004635E5" w:rsidRDefault="003851AF" w:rsidP="00E41116">
      <w:pPr>
        <w:autoSpaceDE w:val="0"/>
        <w:autoSpaceDN w:val="0"/>
        <w:adjustRightInd w:val="0"/>
        <w:snapToGrid w:val="0"/>
        <w:jc w:val="both"/>
        <w:rPr>
          <w:sz w:val="22"/>
          <w:szCs w:val="22"/>
          <w:lang w:val="en-PH"/>
        </w:rPr>
      </w:pPr>
    </w:p>
    <w:p w14:paraId="1DC3CE6C"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 xml:space="preserve">To facilitate the discussion of those issues, your Secretariat with the enormous support of the Commission Scientific Services provider the Oceanic Fisheries Programme of the Pacific Community (SPC-OFP) has prepared a voluminous number of documents to inform your deliberations. So, I will like to again publicly acknowledge the Commission’s gratitude and appreciation to Dr John Hampton and his team at SPC-OFP for the quality scientific services rendered to the work of this Committee and ultimately to the Commission. </w:t>
      </w:r>
    </w:p>
    <w:p w14:paraId="7BD2D2EF" w14:textId="77777777" w:rsidR="003851AF" w:rsidRPr="004635E5" w:rsidRDefault="003851AF" w:rsidP="00E41116">
      <w:pPr>
        <w:autoSpaceDE w:val="0"/>
        <w:autoSpaceDN w:val="0"/>
        <w:adjustRightInd w:val="0"/>
        <w:snapToGrid w:val="0"/>
        <w:jc w:val="both"/>
        <w:rPr>
          <w:sz w:val="22"/>
          <w:szCs w:val="22"/>
          <w:lang w:val="en-PH"/>
        </w:rPr>
      </w:pPr>
    </w:p>
    <w:p w14:paraId="61F30286"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 xml:space="preserve">In the same vein, I likewise acknowledge with appreciation the contribution of meeting materials by member countries, regional and international organizations and non-government organizations. This has made the combine documentation for the Scientific Committee quite a sizable mountain of documentation to get through in 8 days.  </w:t>
      </w:r>
    </w:p>
    <w:p w14:paraId="42B4B781" w14:textId="77777777" w:rsidR="003851AF" w:rsidRPr="004635E5" w:rsidRDefault="003851AF" w:rsidP="00E41116">
      <w:pPr>
        <w:autoSpaceDE w:val="0"/>
        <w:autoSpaceDN w:val="0"/>
        <w:adjustRightInd w:val="0"/>
        <w:snapToGrid w:val="0"/>
        <w:jc w:val="both"/>
        <w:rPr>
          <w:sz w:val="22"/>
          <w:szCs w:val="22"/>
          <w:lang w:val="en-PH"/>
        </w:rPr>
      </w:pPr>
    </w:p>
    <w:p w14:paraId="29F0AE20"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 xml:space="preserve">Despite the extensive agenda and the mountain of meeting material and documentation, the Scientific Committee has been served well by its Theme Conveners who facilitate the main technical discussions under the four thematic areas that the Committee organized its work around and I want to single out their efforts and contributions which in most cases go unnoticed. To Jon Brodziak and Valerie Post of the USA; John Annala of </w:t>
      </w:r>
      <w:r w:rsidR="002E39E9" w:rsidRPr="004635E5">
        <w:rPr>
          <w:sz w:val="22"/>
          <w:szCs w:val="22"/>
          <w:lang w:val="en-PH"/>
        </w:rPr>
        <w:t>New Zealand</w:t>
      </w:r>
      <w:r w:rsidRPr="004635E5">
        <w:rPr>
          <w:sz w:val="22"/>
          <w:szCs w:val="22"/>
          <w:lang w:val="en-PH"/>
        </w:rPr>
        <w:t>; Robert Campbell of Australia and Hiroshi Minami of Japan I express the Commission’s collective appreciation and gratitude for your invaluable contribution to the work of the Scientific Committee.</w:t>
      </w:r>
    </w:p>
    <w:p w14:paraId="1154C86F" w14:textId="77777777" w:rsidR="003851AF" w:rsidRPr="004635E5" w:rsidRDefault="003851AF" w:rsidP="00E41116">
      <w:pPr>
        <w:autoSpaceDE w:val="0"/>
        <w:autoSpaceDN w:val="0"/>
        <w:adjustRightInd w:val="0"/>
        <w:snapToGrid w:val="0"/>
        <w:jc w:val="both"/>
        <w:rPr>
          <w:sz w:val="22"/>
          <w:szCs w:val="22"/>
          <w:lang w:val="en-PH"/>
        </w:rPr>
      </w:pPr>
    </w:p>
    <w:p w14:paraId="7C9A16BF"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 xml:space="preserve">Chair, you have expressed the desire to coopt some new co-conveners for a number of thematic areas and I expressed the hope that we are able to find some volunteers and suitable candidates for those important roles. </w:t>
      </w:r>
    </w:p>
    <w:p w14:paraId="3E67A814" w14:textId="77777777" w:rsidR="003851AF" w:rsidRPr="004635E5" w:rsidRDefault="003851AF" w:rsidP="00E41116">
      <w:pPr>
        <w:autoSpaceDE w:val="0"/>
        <w:autoSpaceDN w:val="0"/>
        <w:adjustRightInd w:val="0"/>
        <w:snapToGrid w:val="0"/>
        <w:jc w:val="both"/>
        <w:rPr>
          <w:sz w:val="22"/>
          <w:szCs w:val="22"/>
          <w:lang w:val="en-PH"/>
        </w:rPr>
      </w:pPr>
    </w:p>
    <w:p w14:paraId="29A7E980"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Distinguished delegates.</w:t>
      </w:r>
    </w:p>
    <w:p w14:paraId="29B58BFF" w14:textId="77777777" w:rsidR="003851AF" w:rsidRPr="004635E5" w:rsidRDefault="003851AF" w:rsidP="00E41116">
      <w:pPr>
        <w:autoSpaceDE w:val="0"/>
        <w:autoSpaceDN w:val="0"/>
        <w:adjustRightInd w:val="0"/>
        <w:snapToGrid w:val="0"/>
        <w:jc w:val="both"/>
        <w:rPr>
          <w:sz w:val="22"/>
          <w:szCs w:val="22"/>
          <w:lang w:val="en-PH"/>
        </w:rPr>
      </w:pPr>
    </w:p>
    <w:p w14:paraId="34C88DD4"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 xml:space="preserve">This meeting of the Scientific Committee of the Commission usually announces the start of what I have come to term the Commission’s meetings season. </w:t>
      </w:r>
    </w:p>
    <w:p w14:paraId="0CF5CFD7" w14:textId="77777777" w:rsidR="003851AF" w:rsidRPr="004635E5" w:rsidRDefault="003851AF" w:rsidP="00E41116">
      <w:pPr>
        <w:autoSpaceDE w:val="0"/>
        <w:autoSpaceDN w:val="0"/>
        <w:adjustRightInd w:val="0"/>
        <w:snapToGrid w:val="0"/>
        <w:jc w:val="both"/>
        <w:rPr>
          <w:sz w:val="22"/>
          <w:szCs w:val="22"/>
          <w:lang w:val="en-PH"/>
        </w:rPr>
      </w:pPr>
    </w:p>
    <w:p w14:paraId="4D332C11"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 xml:space="preserve">Follow on from this meeting will be the meeting of the Northern Committee and the Technical and Compliance Committee in September and October and then the annual Commission meeting in December. </w:t>
      </w:r>
    </w:p>
    <w:p w14:paraId="3F2E7486" w14:textId="77777777" w:rsidR="003851AF" w:rsidRPr="004635E5" w:rsidRDefault="003851AF" w:rsidP="00E41116">
      <w:pPr>
        <w:autoSpaceDE w:val="0"/>
        <w:autoSpaceDN w:val="0"/>
        <w:adjustRightInd w:val="0"/>
        <w:snapToGrid w:val="0"/>
        <w:jc w:val="both"/>
        <w:rPr>
          <w:sz w:val="22"/>
          <w:szCs w:val="22"/>
          <w:lang w:val="en-PH"/>
        </w:rPr>
      </w:pPr>
    </w:p>
    <w:p w14:paraId="7439052E"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 xml:space="preserve">In addition to those regular meetings, the intersessional work programme of the Commission for this year is particularly intense and heavy with face to face meetings of two intersessional working groups. The Electronic Reporting and Electronic Monitoring working group which met over the last two days here in Busan and the FAD Management Options working group which will meet in the margins of the TCC in Majuro, Marshall Islands in October. </w:t>
      </w:r>
    </w:p>
    <w:p w14:paraId="4A88A102" w14:textId="77777777" w:rsidR="003851AF" w:rsidRPr="004635E5" w:rsidRDefault="003851AF" w:rsidP="00E41116">
      <w:pPr>
        <w:autoSpaceDE w:val="0"/>
        <w:autoSpaceDN w:val="0"/>
        <w:adjustRightInd w:val="0"/>
        <w:snapToGrid w:val="0"/>
        <w:jc w:val="both"/>
        <w:rPr>
          <w:sz w:val="22"/>
          <w:szCs w:val="22"/>
          <w:lang w:val="en-PH"/>
        </w:rPr>
      </w:pPr>
    </w:p>
    <w:p w14:paraId="7695A7C2"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There are also other virtual working groups tasked to work electronically to progress other key Commission priorities including the development of a comprehensive shark management framework and a measure for the Compliance Monitoring Scheme that takes into account the recent independent review report of the compliance monitoring scheme.</w:t>
      </w:r>
    </w:p>
    <w:p w14:paraId="6651BC1A" w14:textId="77777777" w:rsidR="003851AF" w:rsidRPr="004635E5" w:rsidRDefault="003851AF" w:rsidP="00E41116">
      <w:pPr>
        <w:autoSpaceDE w:val="0"/>
        <w:autoSpaceDN w:val="0"/>
        <w:adjustRightInd w:val="0"/>
        <w:snapToGrid w:val="0"/>
        <w:jc w:val="both"/>
        <w:rPr>
          <w:sz w:val="22"/>
          <w:szCs w:val="22"/>
          <w:lang w:val="en-PH"/>
        </w:rPr>
      </w:pPr>
    </w:p>
    <w:p w14:paraId="68AA30BF"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Mr Chairman, Distinguished delegates</w:t>
      </w:r>
    </w:p>
    <w:p w14:paraId="641D0087" w14:textId="77777777" w:rsidR="003851AF" w:rsidRPr="004635E5" w:rsidRDefault="003851AF" w:rsidP="00E41116">
      <w:pPr>
        <w:autoSpaceDE w:val="0"/>
        <w:autoSpaceDN w:val="0"/>
        <w:adjustRightInd w:val="0"/>
        <w:snapToGrid w:val="0"/>
        <w:jc w:val="both"/>
        <w:rPr>
          <w:sz w:val="22"/>
          <w:szCs w:val="22"/>
          <w:lang w:val="en-PH"/>
        </w:rPr>
      </w:pPr>
    </w:p>
    <w:p w14:paraId="47AA1F86"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 xml:space="preserve">I mentioned this outstanding work to give you a snapshot of the extent of the work for the Commission for the remainder of the year. And the progress of a number of those key work areas of the Commission </w:t>
      </w:r>
      <w:r w:rsidR="00C6333E">
        <w:rPr>
          <w:rFonts w:eastAsiaTheme="minorEastAsia" w:hint="eastAsia"/>
          <w:sz w:val="22"/>
          <w:szCs w:val="22"/>
          <w:lang w:val="en-PH" w:eastAsia="ko-KR"/>
        </w:rPr>
        <w:t>is</w:t>
      </w:r>
      <w:r w:rsidR="00C6333E" w:rsidRPr="004635E5">
        <w:rPr>
          <w:sz w:val="22"/>
          <w:szCs w:val="22"/>
          <w:lang w:val="en-PH"/>
        </w:rPr>
        <w:t xml:space="preserve"> </w:t>
      </w:r>
      <w:r w:rsidRPr="004635E5">
        <w:rPr>
          <w:sz w:val="22"/>
          <w:szCs w:val="22"/>
          <w:lang w:val="en-PH"/>
        </w:rPr>
        <w:t>contingent on the outcomes of your work over the next 8 days. So, I will like to wish the Committee and all delegates and yourself Mr Chairman well and good and productive deliberations.</w:t>
      </w:r>
    </w:p>
    <w:p w14:paraId="64882168" w14:textId="77777777" w:rsidR="003851AF" w:rsidRPr="004635E5" w:rsidRDefault="003851AF" w:rsidP="00E41116">
      <w:pPr>
        <w:autoSpaceDE w:val="0"/>
        <w:autoSpaceDN w:val="0"/>
        <w:adjustRightInd w:val="0"/>
        <w:snapToGrid w:val="0"/>
        <w:jc w:val="both"/>
        <w:rPr>
          <w:sz w:val="22"/>
          <w:szCs w:val="22"/>
          <w:lang w:val="en-PH"/>
        </w:rPr>
      </w:pPr>
    </w:p>
    <w:p w14:paraId="557688CB"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You have the full compliment of your Secretariat staff and staff of the SPC-OFP to assist and support your deliberations.</w:t>
      </w:r>
    </w:p>
    <w:p w14:paraId="3F6AB0CF" w14:textId="77777777" w:rsidR="003851AF" w:rsidRPr="004635E5" w:rsidRDefault="003851AF" w:rsidP="00E41116">
      <w:pPr>
        <w:autoSpaceDE w:val="0"/>
        <w:autoSpaceDN w:val="0"/>
        <w:adjustRightInd w:val="0"/>
        <w:snapToGrid w:val="0"/>
        <w:jc w:val="both"/>
        <w:rPr>
          <w:sz w:val="22"/>
          <w:szCs w:val="22"/>
          <w:lang w:val="en-PH"/>
        </w:rPr>
      </w:pPr>
    </w:p>
    <w:p w14:paraId="7B0DBF9A" w14:textId="77777777" w:rsidR="003851AF" w:rsidRPr="004635E5" w:rsidRDefault="003851AF" w:rsidP="00E41116">
      <w:pPr>
        <w:autoSpaceDE w:val="0"/>
        <w:autoSpaceDN w:val="0"/>
        <w:adjustRightInd w:val="0"/>
        <w:snapToGrid w:val="0"/>
        <w:jc w:val="both"/>
        <w:rPr>
          <w:sz w:val="22"/>
          <w:szCs w:val="22"/>
          <w:lang w:val="en-PH"/>
        </w:rPr>
      </w:pPr>
      <w:r w:rsidRPr="004635E5">
        <w:rPr>
          <w:sz w:val="22"/>
          <w:szCs w:val="22"/>
          <w:lang w:val="en-PH"/>
        </w:rPr>
        <w:t>Thank you.</w:t>
      </w:r>
    </w:p>
    <w:p w14:paraId="597C5EF2" w14:textId="77777777" w:rsidR="007F6B71" w:rsidRPr="004635E5" w:rsidRDefault="007F6B71" w:rsidP="00E41116">
      <w:pPr>
        <w:autoSpaceDE w:val="0"/>
        <w:autoSpaceDN w:val="0"/>
        <w:adjustRightInd w:val="0"/>
        <w:snapToGrid w:val="0"/>
        <w:jc w:val="both"/>
        <w:rPr>
          <w:sz w:val="22"/>
          <w:szCs w:val="22"/>
          <w:lang w:val="en-NZ"/>
        </w:rPr>
        <w:sectPr w:rsidR="007F6B71" w:rsidRPr="004635E5" w:rsidSect="00436E03">
          <w:pgSz w:w="12240" w:h="15840" w:code="1"/>
          <w:pgMar w:top="1440" w:right="1440" w:bottom="1440" w:left="1440" w:header="720" w:footer="720" w:gutter="0"/>
          <w:cols w:space="720"/>
          <w:docGrid w:linePitch="360"/>
        </w:sectPr>
      </w:pPr>
    </w:p>
    <w:p w14:paraId="13534840" w14:textId="77777777" w:rsidR="00D41635" w:rsidRPr="004635E5" w:rsidRDefault="00D41635" w:rsidP="00E41116">
      <w:pPr>
        <w:adjustRightInd w:val="0"/>
        <w:snapToGrid w:val="0"/>
        <w:jc w:val="right"/>
        <w:rPr>
          <w:b/>
          <w:bCs/>
          <w:sz w:val="22"/>
          <w:szCs w:val="22"/>
          <w:lang w:val="en-AU" w:eastAsia="en-NZ"/>
        </w:rPr>
      </w:pPr>
      <w:r w:rsidRPr="004635E5">
        <w:rPr>
          <w:b/>
          <w:bCs/>
          <w:sz w:val="22"/>
          <w:szCs w:val="22"/>
          <w:lang w:val="en-AU" w:eastAsia="en-NZ"/>
        </w:rPr>
        <w:t xml:space="preserve">Attachment E </w:t>
      </w:r>
    </w:p>
    <w:p w14:paraId="7D078D06" w14:textId="77777777" w:rsidR="00D41635" w:rsidRPr="004635E5" w:rsidRDefault="00D41635" w:rsidP="00E41116">
      <w:pPr>
        <w:adjustRightInd w:val="0"/>
        <w:snapToGrid w:val="0"/>
        <w:jc w:val="right"/>
        <w:rPr>
          <w:b/>
          <w:bCs/>
          <w:sz w:val="22"/>
          <w:szCs w:val="22"/>
          <w:lang w:val="en-AU" w:eastAsia="en-NZ"/>
        </w:rPr>
      </w:pPr>
    </w:p>
    <w:p w14:paraId="25BA0DDA" w14:textId="77777777" w:rsidR="007F6B71" w:rsidRPr="004635E5" w:rsidRDefault="007F6B71" w:rsidP="00E41116">
      <w:pPr>
        <w:adjustRightInd w:val="0"/>
        <w:snapToGrid w:val="0"/>
        <w:jc w:val="center"/>
        <w:rPr>
          <w:b/>
          <w:bCs/>
          <w:sz w:val="22"/>
          <w:szCs w:val="22"/>
          <w:lang w:val="en-AU" w:eastAsia="en-NZ"/>
        </w:rPr>
      </w:pPr>
      <w:r w:rsidRPr="004635E5">
        <w:rPr>
          <w:b/>
          <w:bCs/>
          <w:sz w:val="22"/>
          <w:szCs w:val="22"/>
          <w:lang w:val="en-AU" w:eastAsia="en-NZ"/>
        </w:rPr>
        <w:t xml:space="preserve">The Commission for the Conservation and Management of </w:t>
      </w:r>
      <w:r w:rsidRPr="004635E5">
        <w:rPr>
          <w:b/>
          <w:bCs/>
          <w:sz w:val="22"/>
          <w:szCs w:val="22"/>
          <w:lang w:val="en-AU" w:eastAsia="en-NZ"/>
        </w:rPr>
        <w:br/>
        <w:t>Highly Migratory Fish Stocks in the Western and Central Pacific Ocean</w:t>
      </w:r>
    </w:p>
    <w:p w14:paraId="6DB2229C" w14:textId="77777777" w:rsidR="007F6B71" w:rsidRPr="004635E5" w:rsidRDefault="007F6B71"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 xml:space="preserve">Scientific Committee </w:t>
      </w:r>
    </w:p>
    <w:p w14:paraId="65E6A046" w14:textId="77777777" w:rsidR="007F6B71" w:rsidRPr="004635E5" w:rsidRDefault="007F6B71"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Fourteenth Regular Session</w:t>
      </w:r>
    </w:p>
    <w:p w14:paraId="5B9F82F5" w14:textId="77777777" w:rsidR="007F6B71" w:rsidRPr="004635E5" w:rsidRDefault="007F6B71" w:rsidP="00E41116">
      <w:pPr>
        <w:adjustRightInd w:val="0"/>
        <w:snapToGrid w:val="0"/>
        <w:jc w:val="center"/>
        <w:rPr>
          <w:bCs/>
          <w:sz w:val="22"/>
          <w:szCs w:val="22"/>
        </w:rPr>
      </w:pPr>
      <w:r w:rsidRPr="004635E5">
        <w:rPr>
          <w:rFonts w:eastAsiaTheme="minorEastAsia"/>
          <w:bCs/>
          <w:sz w:val="22"/>
          <w:szCs w:val="22"/>
          <w:lang w:eastAsia="ko-KR"/>
        </w:rPr>
        <w:t>Busan, Republic of Korea</w:t>
      </w:r>
    </w:p>
    <w:p w14:paraId="116FCF91" w14:textId="77777777" w:rsidR="007F6B71" w:rsidRPr="004635E5" w:rsidRDefault="007F6B71" w:rsidP="00E41116">
      <w:pPr>
        <w:adjustRightInd w:val="0"/>
        <w:snapToGrid w:val="0"/>
        <w:jc w:val="center"/>
        <w:rPr>
          <w:rFonts w:eastAsiaTheme="minorEastAsia"/>
          <w:bCs/>
          <w:sz w:val="22"/>
          <w:szCs w:val="22"/>
          <w:lang w:eastAsia="ko-KR"/>
        </w:rPr>
      </w:pPr>
      <w:r w:rsidRPr="004635E5">
        <w:rPr>
          <w:rFonts w:eastAsiaTheme="minorEastAsia"/>
          <w:bCs/>
          <w:sz w:val="22"/>
          <w:szCs w:val="22"/>
          <w:lang w:eastAsia="ko-KR"/>
        </w:rPr>
        <w:t>8–16</w:t>
      </w:r>
      <w:r w:rsidRPr="004635E5">
        <w:rPr>
          <w:bCs/>
          <w:sz w:val="22"/>
          <w:szCs w:val="22"/>
        </w:rPr>
        <w:t xml:space="preserve"> August 201</w:t>
      </w:r>
      <w:r w:rsidRPr="004635E5">
        <w:rPr>
          <w:rFonts w:eastAsiaTheme="minorEastAsia"/>
          <w:bCs/>
          <w:sz w:val="22"/>
          <w:szCs w:val="22"/>
          <w:lang w:eastAsia="ko-KR"/>
        </w:rPr>
        <w:t>8</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7F6B71" w:rsidRPr="004635E5" w14:paraId="41D85794" w14:textId="77777777" w:rsidTr="007F6B71">
        <w:tc>
          <w:tcPr>
            <w:tcW w:w="9576" w:type="dxa"/>
            <w:tcBorders>
              <w:top w:val="single" w:sz="12" w:space="0" w:color="auto"/>
              <w:left w:val="nil"/>
              <w:bottom w:val="single" w:sz="12" w:space="0" w:color="auto"/>
              <w:right w:val="nil"/>
            </w:tcBorders>
            <w:hideMark/>
          </w:tcPr>
          <w:p w14:paraId="097AA9FF" w14:textId="77777777" w:rsidR="007F6B71" w:rsidRPr="004635E5" w:rsidRDefault="00EE2E72" w:rsidP="00E41116">
            <w:pPr>
              <w:autoSpaceDE w:val="0"/>
              <w:autoSpaceDN w:val="0"/>
              <w:adjustRightInd w:val="0"/>
              <w:snapToGrid w:val="0"/>
              <w:jc w:val="center"/>
              <w:rPr>
                <w:b/>
                <w:sz w:val="22"/>
                <w:szCs w:val="22"/>
                <w:lang w:val="en-AU"/>
              </w:rPr>
            </w:pPr>
            <w:r w:rsidRPr="004635E5">
              <w:rPr>
                <w:b/>
                <w:sz w:val="22"/>
                <w:szCs w:val="22"/>
                <w:lang w:val="en-NZ"/>
              </w:rPr>
              <w:t>AGENDA</w:t>
            </w:r>
            <w:r w:rsidR="00472973" w:rsidRPr="004635E5">
              <w:rPr>
                <w:b/>
                <w:sz w:val="22"/>
                <w:szCs w:val="22"/>
              </w:rPr>
              <w:fldChar w:fldCharType="begin"/>
            </w:r>
            <w:r w:rsidRPr="004635E5">
              <w:rPr>
                <w:b/>
                <w:sz w:val="22"/>
                <w:szCs w:val="22"/>
              </w:rPr>
              <w:instrText xml:space="preserve"> TC "</w:instrText>
            </w:r>
            <w:r w:rsidRPr="004635E5">
              <w:rPr>
                <w:b/>
                <w:sz w:val="22"/>
                <w:szCs w:val="22"/>
                <w:lang w:val="en-NZ"/>
              </w:rPr>
              <w:instrText xml:space="preserve"> </w:instrText>
            </w:r>
            <w:bookmarkStart w:id="146" w:name="_Toc16418034"/>
            <w:r w:rsidRPr="004635E5">
              <w:rPr>
                <w:sz w:val="22"/>
                <w:szCs w:val="22"/>
                <w:lang w:val="en-NZ"/>
              </w:rPr>
              <w:instrText>ATTACHMENT E — AGENDA</w:instrText>
            </w:r>
            <w:bookmarkEnd w:id="146"/>
            <w:r w:rsidRPr="004635E5">
              <w:rPr>
                <w:b/>
                <w:sz w:val="22"/>
                <w:szCs w:val="22"/>
              </w:rPr>
              <w:instrText xml:space="preserve">" \f C \l "1" </w:instrText>
            </w:r>
            <w:r w:rsidR="00472973" w:rsidRPr="004635E5">
              <w:rPr>
                <w:b/>
                <w:sz w:val="22"/>
                <w:szCs w:val="22"/>
              </w:rPr>
              <w:fldChar w:fldCharType="end"/>
            </w:r>
          </w:p>
        </w:tc>
      </w:tr>
    </w:tbl>
    <w:p w14:paraId="23A4AE98" w14:textId="77777777" w:rsidR="003851AF" w:rsidRPr="004635E5" w:rsidRDefault="003851AF" w:rsidP="00E41116">
      <w:pPr>
        <w:autoSpaceDE w:val="0"/>
        <w:autoSpaceDN w:val="0"/>
        <w:adjustRightInd w:val="0"/>
        <w:snapToGrid w:val="0"/>
        <w:jc w:val="both"/>
        <w:rPr>
          <w:sz w:val="22"/>
          <w:szCs w:val="22"/>
          <w:lang w:val="en-NZ"/>
        </w:rPr>
      </w:pPr>
    </w:p>
    <w:p w14:paraId="7FCAD149" w14:textId="77777777" w:rsidR="00D41635" w:rsidRPr="004635E5" w:rsidRDefault="00EE2E72" w:rsidP="00E41116">
      <w:pPr>
        <w:adjustRightInd w:val="0"/>
        <w:snapToGrid w:val="0"/>
        <w:jc w:val="both"/>
        <w:rPr>
          <w:b/>
          <w:sz w:val="22"/>
          <w:szCs w:val="22"/>
          <w:lang w:val="en-NZ"/>
        </w:rPr>
      </w:pPr>
      <w:r w:rsidRPr="004635E5">
        <w:rPr>
          <w:b/>
          <w:sz w:val="22"/>
          <w:szCs w:val="22"/>
          <w:lang w:val="en-NZ"/>
        </w:rPr>
        <w:t xml:space="preserve">AGENDA ITEM 1 — </w:t>
      </w:r>
      <w:r w:rsidR="00D41635" w:rsidRPr="004635E5">
        <w:rPr>
          <w:b/>
          <w:sz w:val="22"/>
          <w:szCs w:val="22"/>
          <w:lang w:val="en-NZ"/>
        </w:rPr>
        <w:t>OPENING OF THE MEETING</w:t>
      </w:r>
    </w:p>
    <w:p w14:paraId="22CBD615" w14:textId="77777777" w:rsidR="00D41635" w:rsidRPr="004635E5" w:rsidRDefault="00D41635" w:rsidP="00E41116">
      <w:pPr>
        <w:adjustRightInd w:val="0"/>
        <w:snapToGrid w:val="0"/>
        <w:jc w:val="both"/>
        <w:rPr>
          <w:rFonts w:eastAsia="Batang"/>
          <w:sz w:val="22"/>
          <w:szCs w:val="22"/>
          <w:lang w:eastAsia="ko-KR"/>
        </w:rPr>
      </w:pPr>
    </w:p>
    <w:p w14:paraId="00E0A126" w14:textId="77777777" w:rsidR="00D41635" w:rsidRPr="004635E5" w:rsidRDefault="00D41635" w:rsidP="00E41116">
      <w:pPr>
        <w:numPr>
          <w:ilvl w:val="1"/>
          <w:numId w:val="1"/>
        </w:numPr>
        <w:adjustRightInd w:val="0"/>
        <w:snapToGrid w:val="0"/>
        <w:jc w:val="both"/>
        <w:rPr>
          <w:b/>
          <w:sz w:val="22"/>
          <w:szCs w:val="22"/>
          <w:lang w:val="en-NZ"/>
        </w:rPr>
      </w:pPr>
      <w:r w:rsidRPr="004635E5">
        <w:rPr>
          <w:b/>
          <w:sz w:val="22"/>
          <w:szCs w:val="22"/>
          <w:lang w:val="en-NZ"/>
        </w:rPr>
        <w:t>Welcome address</w:t>
      </w:r>
    </w:p>
    <w:p w14:paraId="4492E727" w14:textId="77777777" w:rsidR="00D41635" w:rsidRPr="004635E5" w:rsidRDefault="00D41635" w:rsidP="00E41116">
      <w:pPr>
        <w:numPr>
          <w:ilvl w:val="1"/>
          <w:numId w:val="1"/>
        </w:numPr>
        <w:adjustRightInd w:val="0"/>
        <w:snapToGrid w:val="0"/>
        <w:jc w:val="both"/>
        <w:rPr>
          <w:b/>
          <w:sz w:val="22"/>
          <w:szCs w:val="22"/>
          <w:lang w:val="en-NZ"/>
        </w:rPr>
      </w:pPr>
      <w:r w:rsidRPr="004635E5">
        <w:rPr>
          <w:b/>
          <w:sz w:val="22"/>
          <w:szCs w:val="22"/>
          <w:lang w:val="en-NZ"/>
        </w:rPr>
        <w:t xml:space="preserve">Meeting arrangements </w:t>
      </w:r>
    </w:p>
    <w:p w14:paraId="52BA8D6C" w14:textId="77777777" w:rsidR="00D41635" w:rsidRPr="004635E5" w:rsidRDefault="00D41635" w:rsidP="00E41116">
      <w:pPr>
        <w:numPr>
          <w:ilvl w:val="1"/>
          <w:numId w:val="1"/>
        </w:numPr>
        <w:adjustRightInd w:val="0"/>
        <w:snapToGrid w:val="0"/>
        <w:jc w:val="both"/>
        <w:rPr>
          <w:b/>
          <w:sz w:val="22"/>
          <w:szCs w:val="22"/>
          <w:lang w:val="en-NZ"/>
        </w:rPr>
      </w:pPr>
      <w:r w:rsidRPr="004635E5">
        <w:rPr>
          <w:b/>
          <w:sz w:val="22"/>
          <w:szCs w:val="22"/>
        </w:rPr>
        <w:t>Issues arising from the Commission</w:t>
      </w:r>
    </w:p>
    <w:p w14:paraId="59D04DC3" w14:textId="77777777" w:rsidR="00D41635" w:rsidRPr="004635E5" w:rsidRDefault="00D41635" w:rsidP="00E41116">
      <w:pPr>
        <w:numPr>
          <w:ilvl w:val="1"/>
          <w:numId w:val="1"/>
        </w:numPr>
        <w:adjustRightInd w:val="0"/>
        <w:snapToGrid w:val="0"/>
        <w:jc w:val="both"/>
        <w:rPr>
          <w:b/>
          <w:sz w:val="22"/>
          <w:szCs w:val="22"/>
          <w:lang w:val="en-NZ"/>
        </w:rPr>
      </w:pPr>
      <w:r w:rsidRPr="004635E5">
        <w:rPr>
          <w:b/>
          <w:sz w:val="22"/>
          <w:szCs w:val="22"/>
          <w:lang w:val="en-NZ"/>
        </w:rPr>
        <w:t>Adoption of agenda</w:t>
      </w:r>
    </w:p>
    <w:p w14:paraId="27441067" w14:textId="77777777" w:rsidR="00D41635" w:rsidRPr="004635E5" w:rsidRDefault="00D41635" w:rsidP="00E41116">
      <w:pPr>
        <w:numPr>
          <w:ilvl w:val="1"/>
          <w:numId w:val="1"/>
        </w:numPr>
        <w:adjustRightInd w:val="0"/>
        <w:snapToGrid w:val="0"/>
        <w:jc w:val="both"/>
        <w:rPr>
          <w:b/>
          <w:sz w:val="22"/>
          <w:szCs w:val="22"/>
          <w:lang w:val="en-NZ"/>
        </w:rPr>
      </w:pPr>
      <w:r w:rsidRPr="004635E5">
        <w:rPr>
          <w:b/>
          <w:sz w:val="22"/>
          <w:szCs w:val="22"/>
          <w:lang w:val="en-NZ"/>
        </w:rPr>
        <w:t xml:space="preserve">Reporting arrangements </w:t>
      </w:r>
    </w:p>
    <w:p w14:paraId="7935FBBB" w14:textId="77777777" w:rsidR="00D41635" w:rsidRPr="004635E5" w:rsidRDefault="00D41635" w:rsidP="00E41116">
      <w:pPr>
        <w:numPr>
          <w:ilvl w:val="1"/>
          <w:numId w:val="1"/>
        </w:numPr>
        <w:adjustRightInd w:val="0"/>
        <w:snapToGrid w:val="0"/>
        <w:jc w:val="both"/>
        <w:rPr>
          <w:b/>
          <w:sz w:val="22"/>
          <w:szCs w:val="22"/>
          <w:lang w:val="en-NZ"/>
        </w:rPr>
      </w:pPr>
      <w:r w:rsidRPr="004635E5">
        <w:rPr>
          <w:b/>
          <w:sz w:val="22"/>
          <w:szCs w:val="22"/>
          <w:lang w:val="en-NZ"/>
        </w:rPr>
        <w:t xml:space="preserve">Intersessional activities of the Scientific Committee </w:t>
      </w:r>
    </w:p>
    <w:p w14:paraId="27073D9B" w14:textId="77777777" w:rsidR="00D41635" w:rsidRPr="004635E5" w:rsidRDefault="00D41635" w:rsidP="00E41116">
      <w:pPr>
        <w:adjustRightInd w:val="0"/>
        <w:snapToGrid w:val="0"/>
        <w:jc w:val="both"/>
        <w:rPr>
          <w:rFonts w:eastAsiaTheme="minorEastAsia"/>
          <w:sz w:val="22"/>
          <w:szCs w:val="22"/>
          <w:lang w:val="en-NZ" w:eastAsia="ko-KR"/>
        </w:rPr>
      </w:pPr>
    </w:p>
    <w:p w14:paraId="5BD322C6" w14:textId="77777777" w:rsidR="00D41635" w:rsidRPr="004635E5" w:rsidRDefault="00EE2E72" w:rsidP="00E41116">
      <w:pPr>
        <w:adjustRightInd w:val="0"/>
        <w:snapToGrid w:val="0"/>
        <w:rPr>
          <w:b/>
          <w:sz w:val="22"/>
          <w:szCs w:val="22"/>
          <w:lang w:val="en-NZ"/>
        </w:rPr>
      </w:pPr>
      <w:r w:rsidRPr="004635E5">
        <w:rPr>
          <w:b/>
          <w:sz w:val="22"/>
          <w:szCs w:val="22"/>
          <w:lang w:val="en-NZ"/>
        </w:rPr>
        <w:t xml:space="preserve">AGENDA ITEM 2 — </w:t>
      </w:r>
      <w:r w:rsidR="00D41635" w:rsidRPr="004635E5">
        <w:rPr>
          <w:b/>
          <w:sz w:val="22"/>
          <w:szCs w:val="22"/>
          <w:lang w:val="en-NZ"/>
        </w:rPr>
        <w:t>REVIEW OF FISHERIES</w:t>
      </w:r>
    </w:p>
    <w:p w14:paraId="4DE9DA00" w14:textId="77777777" w:rsidR="00D41635" w:rsidRPr="004635E5" w:rsidRDefault="00D41635" w:rsidP="00E41116">
      <w:pPr>
        <w:adjustRightInd w:val="0"/>
        <w:snapToGrid w:val="0"/>
        <w:jc w:val="both"/>
        <w:rPr>
          <w:sz w:val="22"/>
          <w:szCs w:val="22"/>
          <w:lang w:val="en-NZ"/>
        </w:rPr>
      </w:pPr>
    </w:p>
    <w:p w14:paraId="1F5D0433" w14:textId="77777777" w:rsidR="00D41635" w:rsidRPr="004635E5" w:rsidRDefault="00D41635" w:rsidP="00E41116">
      <w:pPr>
        <w:numPr>
          <w:ilvl w:val="1"/>
          <w:numId w:val="2"/>
        </w:numPr>
        <w:adjustRightInd w:val="0"/>
        <w:snapToGrid w:val="0"/>
        <w:jc w:val="both"/>
        <w:rPr>
          <w:b/>
          <w:sz w:val="22"/>
          <w:szCs w:val="22"/>
          <w:lang w:val="en-NZ"/>
        </w:rPr>
      </w:pPr>
      <w:r w:rsidRPr="004635E5">
        <w:rPr>
          <w:b/>
          <w:sz w:val="22"/>
          <w:szCs w:val="22"/>
          <w:lang w:val="en-NZ"/>
        </w:rPr>
        <w:t xml:space="preserve">Overview of Western and Central Pacific Ocean (WCPO) fisheries  </w:t>
      </w:r>
    </w:p>
    <w:p w14:paraId="4E76D5F8" w14:textId="77777777" w:rsidR="00D41635" w:rsidRPr="004635E5" w:rsidRDefault="00D41635" w:rsidP="00E41116">
      <w:pPr>
        <w:numPr>
          <w:ilvl w:val="1"/>
          <w:numId w:val="2"/>
        </w:numPr>
        <w:adjustRightInd w:val="0"/>
        <w:snapToGrid w:val="0"/>
        <w:jc w:val="both"/>
        <w:rPr>
          <w:b/>
          <w:sz w:val="22"/>
          <w:szCs w:val="22"/>
          <w:lang w:val="en-NZ"/>
        </w:rPr>
      </w:pPr>
      <w:r w:rsidRPr="004635E5">
        <w:rPr>
          <w:b/>
          <w:sz w:val="22"/>
          <w:szCs w:val="22"/>
          <w:lang w:val="en-NZ"/>
        </w:rPr>
        <w:t xml:space="preserve">Overview of Eastern Pacific Ocean (EPO) fisheries </w:t>
      </w:r>
    </w:p>
    <w:p w14:paraId="3FFB62D6" w14:textId="77777777" w:rsidR="00D41635" w:rsidRPr="004635E5" w:rsidRDefault="00D41635" w:rsidP="00E41116">
      <w:pPr>
        <w:numPr>
          <w:ilvl w:val="1"/>
          <w:numId w:val="2"/>
        </w:numPr>
        <w:adjustRightInd w:val="0"/>
        <w:snapToGrid w:val="0"/>
        <w:jc w:val="both"/>
        <w:rPr>
          <w:b/>
          <w:sz w:val="22"/>
          <w:szCs w:val="22"/>
          <w:lang w:val="en-NZ"/>
        </w:rPr>
      </w:pPr>
      <w:r w:rsidRPr="004635E5">
        <w:rPr>
          <w:b/>
          <w:sz w:val="22"/>
          <w:szCs w:val="22"/>
          <w:lang w:val="en-NZ"/>
        </w:rPr>
        <w:t>Annual Report</w:t>
      </w:r>
      <w:r w:rsidRPr="004635E5">
        <w:rPr>
          <w:rFonts w:eastAsiaTheme="minorEastAsia"/>
          <w:b/>
          <w:sz w:val="22"/>
          <w:szCs w:val="22"/>
          <w:lang w:val="en-NZ" w:eastAsia="ko-KR"/>
        </w:rPr>
        <w:t xml:space="preserve"> –</w:t>
      </w:r>
      <w:r w:rsidRPr="004635E5">
        <w:rPr>
          <w:b/>
          <w:sz w:val="22"/>
          <w:szCs w:val="22"/>
          <w:lang w:val="en-NZ"/>
        </w:rPr>
        <w:t xml:space="preserve"> Part 1 from Members, Cooperating Non-Members, and Participating Territories </w:t>
      </w:r>
    </w:p>
    <w:p w14:paraId="2A0B7A1E" w14:textId="77777777" w:rsidR="00D41635" w:rsidRPr="004635E5" w:rsidRDefault="00D41635" w:rsidP="00E41116">
      <w:pPr>
        <w:numPr>
          <w:ilvl w:val="1"/>
          <w:numId w:val="2"/>
        </w:numPr>
        <w:adjustRightInd w:val="0"/>
        <w:snapToGrid w:val="0"/>
        <w:jc w:val="both"/>
        <w:rPr>
          <w:b/>
          <w:sz w:val="22"/>
          <w:szCs w:val="22"/>
          <w:lang w:val="en-NZ"/>
        </w:rPr>
      </w:pPr>
      <w:r w:rsidRPr="004635E5">
        <w:rPr>
          <w:b/>
          <w:sz w:val="22"/>
          <w:szCs w:val="22"/>
          <w:lang w:val="en-NZ"/>
        </w:rPr>
        <w:t>Reports from regional fisheries bodies and other organizations</w:t>
      </w:r>
    </w:p>
    <w:p w14:paraId="1558AA97" w14:textId="77777777" w:rsidR="00EE2E72" w:rsidRPr="004635E5" w:rsidRDefault="00EE2E72" w:rsidP="00E41116">
      <w:pPr>
        <w:adjustRightInd w:val="0"/>
        <w:snapToGrid w:val="0"/>
        <w:ind w:left="2088"/>
        <w:jc w:val="both"/>
        <w:rPr>
          <w:rFonts w:eastAsiaTheme="minorEastAsia"/>
          <w:sz w:val="22"/>
          <w:szCs w:val="22"/>
          <w:lang w:val="en-NZ" w:eastAsia="ko-KR"/>
        </w:rPr>
      </w:pPr>
    </w:p>
    <w:p w14:paraId="05952698" w14:textId="77777777" w:rsidR="00D41635" w:rsidRPr="004635E5" w:rsidRDefault="00EE2E72" w:rsidP="00E41116">
      <w:pPr>
        <w:adjustRightInd w:val="0"/>
        <w:snapToGrid w:val="0"/>
        <w:rPr>
          <w:b/>
          <w:sz w:val="22"/>
          <w:szCs w:val="22"/>
          <w:lang w:val="en-NZ"/>
        </w:rPr>
      </w:pPr>
      <w:r w:rsidRPr="004635E5">
        <w:rPr>
          <w:b/>
          <w:sz w:val="22"/>
          <w:szCs w:val="22"/>
          <w:lang w:val="en-NZ"/>
        </w:rPr>
        <w:t xml:space="preserve">AGENDA ITEM 3 — </w:t>
      </w:r>
      <w:r w:rsidR="00D41635" w:rsidRPr="004635E5">
        <w:rPr>
          <w:b/>
          <w:sz w:val="22"/>
          <w:szCs w:val="22"/>
          <w:lang w:val="en-NZ"/>
        </w:rPr>
        <w:t>DATA AND STATISTICS THEME</w:t>
      </w:r>
    </w:p>
    <w:p w14:paraId="45F6507D" w14:textId="77777777" w:rsidR="00D41635" w:rsidRPr="004635E5" w:rsidRDefault="00D41635" w:rsidP="00E41116">
      <w:pPr>
        <w:adjustRightInd w:val="0"/>
        <w:snapToGrid w:val="0"/>
        <w:jc w:val="both"/>
        <w:rPr>
          <w:b/>
          <w:sz w:val="22"/>
          <w:szCs w:val="22"/>
          <w:lang w:val="en-NZ"/>
        </w:rPr>
      </w:pPr>
    </w:p>
    <w:p w14:paraId="157A98E4" w14:textId="77777777" w:rsidR="00D41635" w:rsidRPr="004635E5" w:rsidRDefault="00D41635" w:rsidP="00E41116">
      <w:pPr>
        <w:pStyle w:val="ListParagraph"/>
        <w:numPr>
          <w:ilvl w:val="1"/>
          <w:numId w:val="5"/>
        </w:numPr>
        <w:adjustRightInd w:val="0"/>
        <w:snapToGrid w:val="0"/>
        <w:ind w:left="720" w:hanging="720"/>
        <w:jc w:val="both"/>
        <w:rPr>
          <w:b/>
          <w:sz w:val="22"/>
          <w:szCs w:val="22"/>
          <w:lang w:val="en-NZ"/>
        </w:rPr>
      </w:pPr>
      <w:r w:rsidRPr="004635E5">
        <w:rPr>
          <w:b/>
          <w:sz w:val="22"/>
          <w:szCs w:val="22"/>
          <w:lang w:val="en-NZ"/>
        </w:rPr>
        <w:t>Data gaps</w:t>
      </w:r>
    </w:p>
    <w:p w14:paraId="1B480F43" w14:textId="77777777" w:rsidR="00D41635" w:rsidRPr="004635E5" w:rsidRDefault="00D41635" w:rsidP="00E41116">
      <w:pPr>
        <w:pStyle w:val="ListParagraph"/>
        <w:numPr>
          <w:ilvl w:val="2"/>
          <w:numId w:val="5"/>
        </w:numPr>
        <w:adjustRightInd w:val="0"/>
        <w:snapToGrid w:val="0"/>
        <w:jc w:val="both"/>
        <w:rPr>
          <w:bCs/>
          <w:sz w:val="22"/>
          <w:szCs w:val="22"/>
          <w:lang w:val="en-NZ"/>
        </w:rPr>
      </w:pPr>
      <w:r w:rsidRPr="004635E5">
        <w:rPr>
          <w:bCs/>
          <w:sz w:val="22"/>
          <w:szCs w:val="22"/>
          <w:lang w:val="en-NZ"/>
        </w:rPr>
        <w:t>Data gaps of the Commission</w:t>
      </w:r>
    </w:p>
    <w:p w14:paraId="367E4C2A" w14:textId="77777777" w:rsidR="00D41635" w:rsidRPr="004635E5" w:rsidRDefault="00D41635" w:rsidP="00E41116">
      <w:pPr>
        <w:pStyle w:val="ListParagraph"/>
        <w:numPr>
          <w:ilvl w:val="2"/>
          <w:numId w:val="5"/>
        </w:numPr>
        <w:adjustRightInd w:val="0"/>
        <w:snapToGrid w:val="0"/>
        <w:jc w:val="both"/>
        <w:rPr>
          <w:bCs/>
          <w:sz w:val="22"/>
          <w:szCs w:val="22"/>
          <w:lang w:val="en-NZ"/>
        </w:rPr>
      </w:pPr>
      <w:r w:rsidRPr="004635E5">
        <w:rPr>
          <w:bCs/>
          <w:sz w:val="22"/>
          <w:szCs w:val="22"/>
          <w:lang w:val="en-NZ"/>
        </w:rPr>
        <w:t>Species composition of purse-seine catches</w:t>
      </w:r>
      <w:r w:rsidRPr="004635E5">
        <w:rPr>
          <w:rFonts w:eastAsiaTheme="minorEastAsia"/>
          <w:bCs/>
          <w:sz w:val="22"/>
          <w:szCs w:val="22"/>
          <w:lang w:val="en-NZ" w:eastAsia="ko-KR"/>
        </w:rPr>
        <w:t xml:space="preserve"> </w:t>
      </w:r>
    </w:p>
    <w:p w14:paraId="263CC465" w14:textId="77777777" w:rsidR="00D41635" w:rsidRPr="004635E5" w:rsidRDefault="00D41635" w:rsidP="00E41116">
      <w:pPr>
        <w:pStyle w:val="Default"/>
        <w:numPr>
          <w:ilvl w:val="2"/>
          <w:numId w:val="5"/>
        </w:numPr>
        <w:snapToGrid w:val="0"/>
        <w:jc w:val="both"/>
        <w:rPr>
          <w:rFonts w:eastAsia="Batang"/>
          <w:bCs/>
          <w:color w:val="auto"/>
          <w:sz w:val="22"/>
          <w:szCs w:val="22"/>
          <w:lang w:eastAsia="ko-KR"/>
        </w:rPr>
      </w:pPr>
      <w:r w:rsidRPr="004635E5">
        <w:rPr>
          <w:rFonts w:eastAsia="Batang"/>
          <w:bCs/>
          <w:color w:val="auto"/>
          <w:sz w:val="22"/>
          <w:szCs w:val="22"/>
          <w:lang w:eastAsia="ko-KR"/>
        </w:rPr>
        <w:t>Potential use of cannery receipt data for the work of the WCPFC</w:t>
      </w:r>
    </w:p>
    <w:p w14:paraId="04472811" w14:textId="77777777" w:rsidR="00D41635" w:rsidRPr="004635E5" w:rsidRDefault="00D41635" w:rsidP="00E41116">
      <w:pPr>
        <w:pStyle w:val="ListParagraph"/>
        <w:numPr>
          <w:ilvl w:val="2"/>
          <w:numId w:val="5"/>
        </w:numPr>
        <w:adjustRightInd w:val="0"/>
        <w:snapToGrid w:val="0"/>
        <w:jc w:val="both"/>
        <w:rPr>
          <w:sz w:val="22"/>
          <w:szCs w:val="22"/>
        </w:rPr>
      </w:pPr>
      <w:r w:rsidRPr="004635E5">
        <w:rPr>
          <w:rFonts w:eastAsiaTheme="minorEastAsia"/>
          <w:sz w:val="22"/>
          <w:szCs w:val="22"/>
          <w:lang w:eastAsia="ko-KR"/>
        </w:rPr>
        <w:t>Bycatch e</w:t>
      </w:r>
      <w:r w:rsidRPr="004635E5">
        <w:rPr>
          <w:sz w:val="22"/>
          <w:szCs w:val="22"/>
        </w:rPr>
        <w:t>stimates of longline and purse seine</w:t>
      </w:r>
      <w:r w:rsidRPr="004635E5">
        <w:rPr>
          <w:rFonts w:eastAsiaTheme="minorEastAsia"/>
          <w:sz w:val="22"/>
          <w:szCs w:val="22"/>
          <w:lang w:eastAsia="ko-KR"/>
        </w:rPr>
        <w:t xml:space="preserve"> </w:t>
      </w:r>
    </w:p>
    <w:p w14:paraId="38D8D1B1" w14:textId="77777777" w:rsidR="00D41635" w:rsidRPr="004635E5" w:rsidRDefault="00D41635" w:rsidP="00E41116">
      <w:pPr>
        <w:pStyle w:val="ListParagraph"/>
        <w:numPr>
          <w:ilvl w:val="2"/>
          <w:numId w:val="5"/>
        </w:numPr>
        <w:adjustRightInd w:val="0"/>
        <w:snapToGrid w:val="0"/>
        <w:jc w:val="both"/>
        <w:rPr>
          <w:rFonts w:eastAsiaTheme="minorEastAsia"/>
          <w:sz w:val="22"/>
          <w:szCs w:val="22"/>
          <w:lang w:eastAsia="ko-KR"/>
        </w:rPr>
      </w:pPr>
      <w:r w:rsidRPr="004635E5">
        <w:rPr>
          <w:rFonts w:eastAsiaTheme="minorEastAsia"/>
          <w:sz w:val="22"/>
          <w:szCs w:val="22"/>
          <w:lang w:eastAsia="ko-KR"/>
        </w:rPr>
        <w:t>Project 90 (Better size data (length and weight) for scientific analyses)</w:t>
      </w:r>
    </w:p>
    <w:p w14:paraId="70F15202" w14:textId="77777777" w:rsidR="00D41635" w:rsidRPr="004635E5" w:rsidRDefault="00D41635" w:rsidP="00E41116">
      <w:pPr>
        <w:pStyle w:val="ListParagraph"/>
        <w:numPr>
          <w:ilvl w:val="1"/>
          <w:numId w:val="5"/>
        </w:numPr>
        <w:adjustRightInd w:val="0"/>
        <w:snapToGrid w:val="0"/>
        <w:ind w:left="720" w:hanging="720"/>
        <w:jc w:val="both"/>
        <w:rPr>
          <w:b/>
          <w:sz w:val="22"/>
          <w:szCs w:val="22"/>
          <w:lang w:val="en-NZ"/>
        </w:rPr>
      </w:pPr>
      <w:r w:rsidRPr="004635E5">
        <w:rPr>
          <w:b/>
          <w:sz w:val="22"/>
          <w:szCs w:val="22"/>
          <w:lang w:val="en-NZ"/>
        </w:rPr>
        <w:t xml:space="preserve">FAD </w:t>
      </w:r>
      <w:r w:rsidRPr="004635E5">
        <w:rPr>
          <w:rFonts w:eastAsiaTheme="minorEastAsia"/>
          <w:b/>
          <w:sz w:val="22"/>
          <w:szCs w:val="22"/>
          <w:lang w:val="en-NZ" w:eastAsia="ko-KR"/>
        </w:rPr>
        <w:t>data m</w:t>
      </w:r>
      <w:r w:rsidRPr="004635E5">
        <w:rPr>
          <w:b/>
          <w:sz w:val="22"/>
          <w:szCs w:val="22"/>
          <w:lang w:val="en-NZ"/>
        </w:rPr>
        <w:t xml:space="preserve">anagement </w:t>
      </w:r>
    </w:p>
    <w:p w14:paraId="74E40757" w14:textId="77777777" w:rsidR="00D41635" w:rsidRPr="004635E5" w:rsidRDefault="00D41635" w:rsidP="00E41116">
      <w:pPr>
        <w:pStyle w:val="ListParagraph"/>
        <w:numPr>
          <w:ilvl w:val="1"/>
          <w:numId w:val="5"/>
        </w:numPr>
        <w:adjustRightInd w:val="0"/>
        <w:snapToGrid w:val="0"/>
        <w:ind w:left="720" w:hanging="720"/>
        <w:jc w:val="both"/>
        <w:rPr>
          <w:b/>
          <w:sz w:val="22"/>
          <w:szCs w:val="22"/>
          <w:lang w:val="en-NZ"/>
        </w:rPr>
      </w:pPr>
      <w:r w:rsidRPr="004635E5">
        <w:rPr>
          <w:b/>
          <w:sz w:val="22"/>
          <w:szCs w:val="22"/>
          <w:lang w:val="en-NZ"/>
        </w:rPr>
        <w:t>Regional Observer Programme</w:t>
      </w:r>
    </w:p>
    <w:p w14:paraId="6AFA951B" w14:textId="77777777" w:rsidR="00D41635" w:rsidRPr="004635E5" w:rsidRDefault="00D41635" w:rsidP="00E41116">
      <w:pPr>
        <w:pStyle w:val="ListParagraph"/>
        <w:numPr>
          <w:ilvl w:val="2"/>
          <w:numId w:val="5"/>
        </w:numPr>
        <w:adjustRightInd w:val="0"/>
        <w:snapToGrid w:val="0"/>
        <w:jc w:val="both"/>
        <w:rPr>
          <w:rFonts w:eastAsiaTheme="minorEastAsia"/>
          <w:bCs/>
          <w:sz w:val="22"/>
          <w:szCs w:val="22"/>
          <w:lang w:val="en-NZ" w:eastAsia="ko-KR"/>
        </w:rPr>
      </w:pPr>
      <w:r w:rsidRPr="004635E5">
        <w:rPr>
          <w:rFonts w:eastAsiaTheme="minorEastAsia"/>
          <w:bCs/>
          <w:sz w:val="22"/>
          <w:szCs w:val="22"/>
          <w:lang w:val="en-NZ" w:eastAsia="ko-KR"/>
        </w:rPr>
        <w:t xml:space="preserve">ROP longline coverage </w:t>
      </w:r>
    </w:p>
    <w:p w14:paraId="2A371A6E" w14:textId="77777777" w:rsidR="00D41635" w:rsidRPr="004635E5" w:rsidRDefault="00D41635" w:rsidP="00E41116">
      <w:pPr>
        <w:pStyle w:val="ListParagraph"/>
        <w:numPr>
          <w:ilvl w:val="2"/>
          <w:numId w:val="5"/>
        </w:numPr>
        <w:adjustRightInd w:val="0"/>
        <w:snapToGrid w:val="0"/>
        <w:jc w:val="both"/>
        <w:rPr>
          <w:rFonts w:eastAsiaTheme="minorEastAsia"/>
          <w:bCs/>
          <w:sz w:val="22"/>
          <w:szCs w:val="22"/>
          <w:lang w:val="en-NZ" w:eastAsia="ko-KR"/>
        </w:rPr>
      </w:pPr>
      <w:r w:rsidRPr="004635E5">
        <w:rPr>
          <w:rFonts w:eastAsiaTheme="minorEastAsia"/>
          <w:bCs/>
          <w:sz w:val="22"/>
          <w:szCs w:val="22"/>
          <w:lang w:val="en-NZ" w:eastAsia="ko-KR"/>
        </w:rPr>
        <w:t xml:space="preserve">Review of </w:t>
      </w:r>
      <w:r w:rsidRPr="004635E5">
        <w:rPr>
          <w:sz w:val="22"/>
          <w:szCs w:val="22"/>
        </w:rPr>
        <w:t xml:space="preserve">ROP minimum standards data fields  </w:t>
      </w:r>
    </w:p>
    <w:p w14:paraId="1EFDBDE9" w14:textId="77777777" w:rsidR="00D41635" w:rsidRPr="004635E5" w:rsidRDefault="00D41635" w:rsidP="00E41116">
      <w:pPr>
        <w:pStyle w:val="ListParagraph"/>
        <w:numPr>
          <w:ilvl w:val="1"/>
          <w:numId w:val="5"/>
        </w:numPr>
        <w:adjustRightInd w:val="0"/>
        <w:snapToGrid w:val="0"/>
        <w:ind w:left="0" w:firstLine="0"/>
        <w:jc w:val="both"/>
        <w:rPr>
          <w:b/>
          <w:sz w:val="22"/>
          <w:szCs w:val="22"/>
          <w:lang w:val="en-NZ"/>
        </w:rPr>
      </w:pPr>
      <w:r w:rsidRPr="004635E5">
        <w:rPr>
          <w:b/>
          <w:sz w:val="22"/>
          <w:szCs w:val="22"/>
          <w:lang w:val="en-NZ"/>
        </w:rPr>
        <w:t>Electronic Reporting and Electronic Monitoring</w:t>
      </w:r>
    </w:p>
    <w:p w14:paraId="076B6638" w14:textId="77777777" w:rsidR="00D41635" w:rsidRPr="004635E5" w:rsidRDefault="00D41635" w:rsidP="00E41116">
      <w:pPr>
        <w:pStyle w:val="ListParagraph"/>
        <w:numPr>
          <w:ilvl w:val="1"/>
          <w:numId w:val="5"/>
        </w:numPr>
        <w:adjustRightInd w:val="0"/>
        <w:snapToGrid w:val="0"/>
        <w:ind w:left="0" w:firstLine="0"/>
        <w:jc w:val="both"/>
        <w:rPr>
          <w:rFonts w:eastAsiaTheme="minorEastAsia"/>
          <w:b/>
          <w:bCs/>
          <w:sz w:val="22"/>
          <w:szCs w:val="22"/>
          <w:lang w:val="en-NZ" w:eastAsia="ko-KR"/>
        </w:rPr>
      </w:pPr>
      <w:r w:rsidRPr="004635E5">
        <w:rPr>
          <w:rFonts w:eastAsiaTheme="minorEastAsia"/>
          <w:b/>
          <w:bCs/>
          <w:sz w:val="22"/>
          <w:szCs w:val="22"/>
          <w:lang w:val="en-NZ" w:eastAsia="ko-KR"/>
        </w:rPr>
        <w:t xml:space="preserve">Economic data </w:t>
      </w:r>
    </w:p>
    <w:p w14:paraId="3E3D2C44" w14:textId="77777777" w:rsidR="00D41635" w:rsidRPr="004635E5" w:rsidRDefault="00D41635" w:rsidP="00E41116">
      <w:pPr>
        <w:adjustRightInd w:val="0"/>
        <w:snapToGrid w:val="0"/>
        <w:jc w:val="both"/>
        <w:rPr>
          <w:rFonts w:eastAsiaTheme="minorEastAsia"/>
          <w:bCs/>
          <w:sz w:val="22"/>
          <w:szCs w:val="22"/>
          <w:lang w:val="en-NZ" w:eastAsia="ko-KR"/>
        </w:rPr>
      </w:pPr>
    </w:p>
    <w:p w14:paraId="4BD7EFD7" w14:textId="77777777" w:rsidR="00D41635" w:rsidRPr="004635E5" w:rsidRDefault="00EE2E72" w:rsidP="00E41116">
      <w:pPr>
        <w:adjustRightInd w:val="0"/>
        <w:snapToGrid w:val="0"/>
        <w:rPr>
          <w:b/>
          <w:sz w:val="22"/>
          <w:szCs w:val="22"/>
          <w:lang w:val="en-NZ"/>
        </w:rPr>
      </w:pPr>
      <w:r w:rsidRPr="004635E5">
        <w:rPr>
          <w:b/>
          <w:sz w:val="22"/>
          <w:szCs w:val="22"/>
          <w:lang w:val="en-NZ"/>
        </w:rPr>
        <w:t xml:space="preserve">AGENDA ITEM 4 — </w:t>
      </w:r>
      <w:r w:rsidR="00D41635" w:rsidRPr="004635E5">
        <w:rPr>
          <w:b/>
          <w:sz w:val="22"/>
          <w:szCs w:val="22"/>
          <w:lang w:val="en-NZ"/>
        </w:rPr>
        <w:t>STOCK ASSESSMENT THEME</w:t>
      </w:r>
    </w:p>
    <w:p w14:paraId="3618DB5B" w14:textId="77777777" w:rsidR="00D41635" w:rsidRPr="004635E5" w:rsidRDefault="00D41635" w:rsidP="00E41116">
      <w:pPr>
        <w:adjustRightInd w:val="0"/>
        <w:snapToGrid w:val="0"/>
        <w:jc w:val="both"/>
        <w:rPr>
          <w:rFonts w:eastAsia="Batang"/>
          <w:sz w:val="22"/>
          <w:szCs w:val="22"/>
          <w:lang w:val="en-NZ" w:eastAsia="ko-KR"/>
        </w:rPr>
      </w:pPr>
    </w:p>
    <w:p w14:paraId="72A3FA23" w14:textId="77777777" w:rsidR="00D41635" w:rsidRPr="00DB6E9A" w:rsidRDefault="00DB6E9A" w:rsidP="00580EA4">
      <w:pPr>
        <w:pStyle w:val="ListParagraph"/>
        <w:numPr>
          <w:ilvl w:val="1"/>
          <w:numId w:val="61"/>
        </w:numPr>
        <w:adjustRightInd w:val="0"/>
        <w:snapToGrid w:val="0"/>
        <w:ind w:hanging="720"/>
        <w:jc w:val="both"/>
        <w:rPr>
          <w:rFonts w:eastAsia="Batang"/>
          <w:b/>
          <w:sz w:val="22"/>
          <w:szCs w:val="22"/>
          <w:lang w:val="en-NZ" w:eastAsia="ko-KR"/>
        </w:rPr>
      </w:pPr>
      <w:r w:rsidRPr="00DB6E9A">
        <w:rPr>
          <w:rFonts w:eastAsia="Batang" w:hint="eastAsia"/>
          <w:b/>
          <w:bCs/>
          <w:sz w:val="22"/>
          <w:szCs w:val="22"/>
          <w:lang w:val="en-NZ" w:eastAsia="ko-KR"/>
        </w:rPr>
        <w:t xml:space="preserve"> </w:t>
      </w:r>
      <w:r w:rsidR="00D41635" w:rsidRPr="00DB6E9A">
        <w:rPr>
          <w:rFonts w:eastAsia="Batang"/>
          <w:b/>
          <w:bCs/>
          <w:sz w:val="22"/>
          <w:szCs w:val="22"/>
          <w:lang w:val="en-NZ" w:eastAsia="ko-KR"/>
        </w:rPr>
        <w:t>Improvement</w:t>
      </w:r>
      <w:r w:rsidR="00D41635" w:rsidRPr="00DB6E9A">
        <w:rPr>
          <w:rFonts w:eastAsia="Malgun Gothic"/>
          <w:b/>
          <w:bCs/>
          <w:sz w:val="22"/>
          <w:szCs w:val="22"/>
          <w:lang w:eastAsia="ko-KR"/>
        </w:rPr>
        <w:t xml:space="preserve"> of MULTIFAN-CL software </w:t>
      </w:r>
    </w:p>
    <w:p w14:paraId="17C006E1" w14:textId="77777777" w:rsidR="00DB6E9A" w:rsidRPr="00DB6E9A" w:rsidRDefault="00DB6E9A" w:rsidP="00580EA4">
      <w:pPr>
        <w:pStyle w:val="ListParagraph"/>
        <w:numPr>
          <w:ilvl w:val="1"/>
          <w:numId w:val="61"/>
        </w:numPr>
        <w:adjustRightInd w:val="0"/>
        <w:snapToGrid w:val="0"/>
        <w:ind w:hanging="720"/>
        <w:jc w:val="both"/>
        <w:rPr>
          <w:rFonts w:eastAsia="Batang"/>
          <w:b/>
          <w:sz w:val="22"/>
          <w:szCs w:val="22"/>
          <w:lang w:val="en-NZ" w:eastAsia="ko-KR"/>
        </w:rPr>
      </w:pPr>
      <w:r w:rsidRPr="00DB6E9A">
        <w:rPr>
          <w:rFonts w:eastAsia="Batang"/>
          <w:b/>
          <w:bCs/>
          <w:sz w:val="22"/>
          <w:szCs w:val="22"/>
          <w:lang w:val="en-NZ" w:eastAsia="ko-KR"/>
        </w:rPr>
        <w:t>WCPO tunas</w:t>
      </w:r>
    </w:p>
    <w:p w14:paraId="3CD4AA73" w14:textId="77777777" w:rsidR="00DB6E9A" w:rsidRDefault="00DB6E9A" w:rsidP="00580EA4">
      <w:pPr>
        <w:pStyle w:val="ListParagraph"/>
        <w:numPr>
          <w:ilvl w:val="2"/>
          <w:numId w:val="61"/>
        </w:numPr>
        <w:adjustRightInd w:val="0"/>
        <w:snapToGrid w:val="0"/>
        <w:ind w:left="720"/>
        <w:jc w:val="both"/>
        <w:rPr>
          <w:rFonts w:eastAsia="Batang"/>
          <w:b/>
          <w:bCs/>
          <w:sz w:val="22"/>
          <w:szCs w:val="22"/>
          <w:lang w:val="en-NZ" w:eastAsia="ko-KR"/>
        </w:rPr>
      </w:pPr>
      <w:r w:rsidRPr="00DB6E9A">
        <w:rPr>
          <w:rFonts w:eastAsia="Batang"/>
          <w:b/>
          <w:bCs/>
          <w:sz w:val="22"/>
          <w:szCs w:val="22"/>
          <w:lang w:val="en-NZ" w:eastAsia="ko-KR"/>
        </w:rPr>
        <w:t>WCPO bigeye tuna (</w:t>
      </w:r>
      <w:r w:rsidRPr="00DB6E9A">
        <w:rPr>
          <w:rFonts w:eastAsia="Batang"/>
          <w:b/>
          <w:bCs/>
          <w:i/>
          <w:sz w:val="22"/>
          <w:szCs w:val="22"/>
          <w:lang w:val="en-NZ" w:eastAsia="ko-KR"/>
        </w:rPr>
        <w:t>Thunnus obesus</w:t>
      </w:r>
      <w:r w:rsidRPr="00DB6E9A">
        <w:rPr>
          <w:rFonts w:eastAsia="Batang"/>
          <w:b/>
          <w:bCs/>
          <w:sz w:val="22"/>
          <w:szCs w:val="22"/>
          <w:lang w:val="en-NZ" w:eastAsia="ko-KR"/>
        </w:rPr>
        <w:t>)</w:t>
      </w:r>
    </w:p>
    <w:p w14:paraId="459BC6E8" w14:textId="77777777" w:rsidR="00DB6E9A" w:rsidRPr="00953800" w:rsidRDefault="00953800" w:rsidP="00580EA4">
      <w:pPr>
        <w:pStyle w:val="ListParagraph"/>
        <w:numPr>
          <w:ilvl w:val="3"/>
          <w:numId w:val="61"/>
        </w:numPr>
        <w:adjustRightInd w:val="0"/>
        <w:snapToGrid w:val="0"/>
        <w:ind w:left="720"/>
        <w:jc w:val="both"/>
        <w:rPr>
          <w:rFonts w:eastAsia="Batang"/>
          <w:sz w:val="22"/>
          <w:szCs w:val="22"/>
          <w:lang w:val="en-NZ" w:eastAsia="ko-KR"/>
        </w:rPr>
      </w:pPr>
      <w:r w:rsidRPr="00953800">
        <w:rPr>
          <w:rFonts w:eastAsia="Batang"/>
          <w:sz w:val="22"/>
          <w:szCs w:val="22"/>
          <w:lang w:val="en-NZ" w:eastAsia="ko-KR"/>
        </w:rPr>
        <w:t>Research and information</w:t>
      </w:r>
    </w:p>
    <w:p w14:paraId="042A96EA" w14:textId="77777777" w:rsidR="00D41635" w:rsidRPr="004635E5" w:rsidRDefault="00D41635" w:rsidP="00E41116">
      <w:pPr>
        <w:pStyle w:val="ListParagraph"/>
        <w:numPr>
          <w:ilvl w:val="2"/>
          <w:numId w:val="2"/>
        </w:numPr>
        <w:tabs>
          <w:tab w:val="clear" w:pos="720"/>
        </w:tabs>
        <w:adjustRightInd w:val="0"/>
        <w:snapToGrid w:val="0"/>
        <w:ind w:left="1080" w:hanging="360"/>
        <w:jc w:val="both"/>
        <w:rPr>
          <w:rFonts w:eastAsia="Batang"/>
          <w:sz w:val="22"/>
          <w:szCs w:val="22"/>
          <w:lang w:val="en-NZ" w:eastAsia="ko-KR"/>
        </w:rPr>
      </w:pPr>
      <w:r w:rsidRPr="004635E5">
        <w:rPr>
          <w:rFonts w:eastAsia="MS Mincho"/>
          <w:sz w:val="22"/>
          <w:szCs w:val="22"/>
          <w:lang w:val="en-NZ" w:eastAsia="ja-JP"/>
        </w:rPr>
        <w:t>Project 81</w:t>
      </w:r>
      <w:r w:rsidRPr="004635E5">
        <w:rPr>
          <w:rFonts w:eastAsiaTheme="minorEastAsia"/>
          <w:sz w:val="22"/>
          <w:szCs w:val="22"/>
          <w:lang w:val="en-NZ" w:eastAsia="ko-KR"/>
        </w:rPr>
        <w:t xml:space="preserve"> (</w:t>
      </w:r>
      <w:r w:rsidRPr="004635E5">
        <w:rPr>
          <w:sz w:val="22"/>
          <w:szCs w:val="22"/>
        </w:rPr>
        <w:t>Further work on bigeye tuna age and growth</w:t>
      </w:r>
      <w:r w:rsidRPr="004635E5">
        <w:rPr>
          <w:rFonts w:eastAsia="MS Mincho"/>
          <w:sz w:val="22"/>
          <w:szCs w:val="22"/>
          <w:lang w:val="en-NZ" w:eastAsia="ja-JP"/>
        </w:rPr>
        <w:t>)</w:t>
      </w:r>
    </w:p>
    <w:p w14:paraId="70EC404F" w14:textId="77777777" w:rsidR="00D41635" w:rsidRPr="004635E5" w:rsidRDefault="00D41635" w:rsidP="00E41116">
      <w:pPr>
        <w:pStyle w:val="ListParagraph"/>
        <w:numPr>
          <w:ilvl w:val="2"/>
          <w:numId w:val="2"/>
        </w:numPr>
        <w:tabs>
          <w:tab w:val="clear" w:pos="720"/>
        </w:tabs>
        <w:adjustRightInd w:val="0"/>
        <w:snapToGrid w:val="0"/>
        <w:ind w:left="1080" w:hanging="360"/>
        <w:jc w:val="both"/>
        <w:rPr>
          <w:rFonts w:eastAsia="Batang"/>
          <w:sz w:val="22"/>
          <w:szCs w:val="22"/>
          <w:lang w:val="en-NZ" w:eastAsia="ko-KR"/>
        </w:rPr>
      </w:pPr>
      <w:r w:rsidRPr="004635E5">
        <w:rPr>
          <w:rFonts w:eastAsia="Batang"/>
          <w:sz w:val="22"/>
          <w:szCs w:val="22"/>
          <w:lang w:val="en-NZ" w:eastAsia="ko-KR"/>
        </w:rPr>
        <w:t>Bigeye tuna stock assessment update</w:t>
      </w:r>
    </w:p>
    <w:p w14:paraId="326C0478" w14:textId="77777777" w:rsidR="00D41635" w:rsidRPr="00953800"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953800">
        <w:rPr>
          <w:rFonts w:eastAsia="Batang"/>
          <w:sz w:val="22"/>
          <w:szCs w:val="22"/>
          <w:lang w:val="en-NZ" w:eastAsia="ko-KR"/>
        </w:rPr>
        <w:t>Provision of scientific information</w:t>
      </w:r>
    </w:p>
    <w:p w14:paraId="74F44D7A" w14:textId="77777777" w:rsidR="00D41635" w:rsidRPr="004635E5" w:rsidRDefault="00D41635" w:rsidP="00580EA4">
      <w:pPr>
        <w:pStyle w:val="ListParagraph"/>
        <w:numPr>
          <w:ilvl w:val="0"/>
          <w:numId w:val="74"/>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Stock status and trends </w:t>
      </w:r>
    </w:p>
    <w:p w14:paraId="5B4D3203" w14:textId="77777777" w:rsidR="00D41635" w:rsidRPr="004635E5" w:rsidRDefault="00D41635" w:rsidP="00580EA4">
      <w:pPr>
        <w:pStyle w:val="ListParagraph"/>
        <w:numPr>
          <w:ilvl w:val="0"/>
          <w:numId w:val="74"/>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3B847E1F" w14:textId="77777777" w:rsidR="00D41635" w:rsidRPr="004635E5" w:rsidRDefault="00D41635" w:rsidP="00580EA4">
      <w:pPr>
        <w:pStyle w:val="ListParagraph"/>
        <w:numPr>
          <w:ilvl w:val="2"/>
          <w:numId w:val="61"/>
        </w:numPr>
        <w:adjustRightInd w:val="0"/>
        <w:snapToGrid w:val="0"/>
        <w:ind w:left="720"/>
        <w:jc w:val="both"/>
        <w:rPr>
          <w:rFonts w:eastAsia="Batang"/>
          <w:b/>
          <w:bCs/>
          <w:sz w:val="22"/>
          <w:szCs w:val="22"/>
          <w:lang w:val="en-NZ" w:eastAsia="ko-KR"/>
        </w:rPr>
      </w:pPr>
      <w:r w:rsidRPr="004635E5">
        <w:rPr>
          <w:rFonts w:eastAsia="Batang"/>
          <w:b/>
          <w:bCs/>
          <w:sz w:val="22"/>
          <w:szCs w:val="22"/>
          <w:lang w:val="en-NZ" w:eastAsia="ko-KR"/>
        </w:rPr>
        <w:t>WCPO yellowfin tuna (</w:t>
      </w:r>
      <w:r w:rsidRPr="004635E5">
        <w:rPr>
          <w:rFonts w:eastAsia="Batang"/>
          <w:b/>
          <w:bCs/>
          <w:i/>
          <w:sz w:val="22"/>
          <w:szCs w:val="22"/>
          <w:lang w:val="en-NZ" w:eastAsia="ko-KR"/>
        </w:rPr>
        <w:t>Thunnus albacares</w:t>
      </w:r>
      <w:r w:rsidRPr="004635E5">
        <w:rPr>
          <w:rFonts w:eastAsia="Batang"/>
          <w:b/>
          <w:bCs/>
          <w:sz w:val="22"/>
          <w:szCs w:val="22"/>
          <w:lang w:val="en-NZ" w:eastAsia="ko-KR"/>
        </w:rPr>
        <w:t>)</w:t>
      </w:r>
    </w:p>
    <w:p w14:paraId="64E74DB7"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Research and information</w:t>
      </w:r>
    </w:p>
    <w:p w14:paraId="189D593F" w14:textId="77777777" w:rsidR="00D41635" w:rsidRPr="004635E5" w:rsidRDefault="00D41635" w:rsidP="00580EA4">
      <w:pPr>
        <w:pStyle w:val="ListParagraph"/>
        <w:numPr>
          <w:ilvl w:val="2"/>
          <w:numId w:val="87"/>
        </w:numPr>
        <w:tabs>
          <w:tab w:val="clear" w:pos="720"/>
        </w:tabs>
        <w:adjustRightInd w:val="0"/>
        <w:snapToGrid w:val="0"/>
        <w:ind w:left="1080" w:hanging="360"/>
        <w:jc w:val="both"/>
        <w:rPr>
          <w:rFonts w:eastAsia="Batang"/>
          <w:sz w:val="22"/>
          <w:szCs w:val="22"/>
          <w:lang w:val="en-NZ" w:eastAsia="ko-KR"/>
        </w:rPr>
      </w:pPr>
      <w:r w:rsidRPr="004635E5">
        <w:rPr>
          <w:rFonts w:eastAsia="MS Mincho"/>
          <w:sz w:val="22"/>
          <w:szCs w:val="22"/>
          <w:lang w:val="en-NZ" w:eastAsia="ja-JP"/>
        </w:rPr>
        <w:t>Project 8</w:t>
      </w:r>
      <w:r w:rsidRPr="004635E5">
        <w:rPr>
          <w:rFonts w:eastAsiaTheme="minorEastAsia"/>
          <w:sz w:val="22"/>
          <w:szCs w:val="22"/>
          <w:lang w:val="en-NZ" w:eastAsia="ko-KR"/>
        </w:rPr>
        <w:t>2 (</w:t>
      </w:r>
      <w:r w:rsidRPr="004635E5">
        <w:rPr>
          <w:rFonts w:eastAsiaTheme="minorEastAsia"/>
          <w:sz w:val="22"/>
          <w:szCs w:val="22"/>
          <w:lang w:eastAsia="ko-KR"/>
        </w:rPr>
        <w:t>Yellowfin</w:t>
      </w:r>
      <w:r w:rsidRPr="004635E5">
        <w:rPr>
          <w:sz w:val="22"/>
          <w:szCs w:val="22"/>
        </w:rPr>
        <w:t xml:space="preserve"> tuna age and growth</w:t>
      </w:r>
      <w:r w:rsidRPr="004635E5">
        <w:rPr>
          <w:rFonts w:eastAsia="MS Mincho"/>
          <w:sz w:val="22"/>
          <w:szCs w:val="22"/>
          <w:lang w:val="en-NZ" w:eastAsia="ja-JP"/>
        </w:rPr>
        <w:t>)</w:t>
      </w:r>
    </w:p>
    <w:p w14:paraId="677591B6" w14:textId="77777777" w:rsidR="00D41635" w:rsidRPr="004635E5" w:rsidRDefault="00D41635" w:rsidP="00580EA4">
      <w:pPr>
        <w:pStyle w:val="ListParagraph"/>
        <w:numPr>
          <w:ilvl w:val="2"/>
          <w:numId w:val="87"/>
        </w:numPr>
        <w:tabs>
          <w:tab w:val="clear" w:pos="720"/>
        </w:tabs>
        <w:adjustRightInd w:val="0"/>
        <w:snapToGrid w:val="0"/>
        <w:ind w:left="1080" w:hanging="360"/>
        <w:jc w:val="both"/>
        <w:rPr>
          <w:rFonts w:eastAsia="Batang"/>
          <w:sz w:val="22"/>
          <w:szCs w:val="22"/>
          <w:lang w:val="en-NZ" w:eastAsia="ko-KR"/>
        </w:rPr>
      </w:pPr>
      <w:r w:rsidRPr="004635E5">
        <w:rPr>
          <w:rFonts w:eastAsia="Batang"/>
          <w:sz w:val="22"/>
          <w:szCs w:val="22"/>
          <w:lang w:val="en-NZ" w:eastAsia="ko-KR"/>
        </w:rPr>
        <w:t>Update of yellowfin tuna stock assessment information</w:t>
      </w:r>
    </w:p>
    <w:p w14:paraId="2463EC6E"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Provision of scientific information</w:t>
      </w:r>
    </w:p>
    <w:p w14:paraId="2871EE5C" w14:textId="77777777" w:rsidR="00D41635" w:rsidRPr="004635E5" w:rsidRDefault="00D41635" w:rsidP="00580EA4">
      <w:pPr>
        <w:pStyle w:val="ListParagraph"/>
        <w:numPr>
          <w:ilvl w:val="0"/>
          <w:numId w:val="75"/>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Status and trends </w:t>
      </w:r>
    </w:p>
    <w:p w14:paraId="35D21451" w14:textId="77777777" w:rsidR="00D41635" w:rsidRPr="004635E5" w:rsidRDefault="00D41635" w:rsidP="00580EA4">
      <w:pPr>
        <w:pStyle w:val="ListParagraph"/>
        <w:numPr>
          <w:ilvl w:val="0"/>
          <w:numId w:val="75"/>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5762398C" w14:textId="77777777" w:rsidR="00D41635" w:rsidRPr="004635E5" w:rsidRDefault="00D41635" w:rsidP="00580EA4">
      <w:pPr>
        <w:pStyle w:val="ListParagraph"/>
        <w:numPr>
          <w:ilvl w:val="2"/>
          <w:numId w:val="61"/>
        </w:numPr>
        <w:adjustRightInd w:val="0"/>
        <w:snapToGrid w:val="0"/>
        <w:ind w:left="720"/>
        <w:jc w:val="both"/>
        <w:rPr>
          <w:rFonts w:eastAsia="Batang"/>
          <w:b/>
          <w:bCs/>
          <w:sz w:val="22"/>
          <w:szCs w:val="22"/>
          <w:lang w:val="fr-FR" w:eastAsia="ko-KR"/>
        </w:rPr>
      </w:pPr>
      <w:r w:rsidRPr="004635E5">
        <w:rPr>
          <w:rFonts w:eastAsia="Batang"/>
          <w:b/>
          <w:bCs/>
          <w:sz w:val="22"/>
          <w:szCs w:val="22"/>
          <w:lang w:val="fr-FR" w:eastAsia="ko-KR"/>
        </w:rPr>
        <w:t xml:space="preserve">WCPO skipjack </w:t>
      </w:r>
      <w:r w:rsidRPr="00C6333E">
        <w:rPr>
          <w:rFonts w:eastAsia="Batang"/>
          <w:b/>
          <w:bCs/>
          <w:sz w:val="22"/>
          <w:szCs w:val="22"/>
          <w:lang w:eastAsia="ko-KR"/>
        </w:rPr>
        <w:t>tuna</w:t>
      </w:r>
      <w:r w:rsidRPr="004635E5">
        <w:rPr>
          <w:rFonts w:eastAsia="Batang"/>
          <w:b/>
          <w:bCs/>
          <w:sz w:val="22"/>
          <w:szCs w:val="22"/>
          <w:lang w:val="fr-FR" w:eastAsia="ko-KR"/>
        </w:rPr>
        <w:t xml:space="preserve"> (</w:t>
      </w:r>
      <w:r w:rsidRPr="004635E5">
        <w:rPr>
          <w:rFonts w:eastAsia="Batang"/>
          <w:b/>
          <w:bCs/>
          <w:i/>
          <w:sz w:val="22"/>
          <w:szCs w:val="22"/>
          <w:lang w:val="fr-FR" w:eastAsia="ko-KR"/>
        </w:rPr>
        <w:t>Katsuwonus pelamis</w:t>
      </w:r>
      <w:r w:rsidRPr="004635E5">
        <w:rPr>
          <w:rFonts w:eastAsia="Batang"/>
          <w:b/>
          <w:bCs/>
          <w:sz w:val="22"/>
          <w:szCs w:val="22"/>
          <w:lang w:val="fr-FR" w:eastAsia="ko-KR"/>
        </w:rPr>
        <w:t>)</w:t>
      </w:r>
    </w:p>
    <w:p w14:paraId="6E468CB1"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Research and information</w:t>
      </w:r>
    </w:p>
    <w:p w14:paraId="23906487" w14:textId="77777777" w:rsidR="00D41635" w:rsidRPr="004635E5" w:rsidRDefault="00D41635" w:rsidP="00580EA4">
      <w:pPr>
        <w:pStyle w:val="ListParagraph"/>
        <w:numPr>
          <w:ilvl w:val="0"/>
          <w:numId w:val="11"/>
        </w:numPr>
        <w:adjustRightInd w:val="0"/>
        <w:snapToGrid w:val="0"/>
        <w:jc w:val="both"/>
        <w:rPr>
          <w:rFonts w:eastAsia="Batang"/>
          <w:sz w:val="22"/>
          <w:szCs w:val="22"/>
          <w:lang w:val="en-NZ" w:eastAsia="ko-KR"/>
        </w:rPr>
      </w:pPr>
      <w:r w:rsidRPr="004635E5">
        <w:rPr>
          <w:rFonts w:eastAsia="Batang"/>
          <w:sz w:val="22"/>
          <w:szCs w:val="22"/>
          <w:lang w:val="en-NZ" w:eastAsia="ko-KR"/>
        </w:rPr>
        <w:t>Update of skipjack tuna stock assessment information</w:t>
      </w:r>
    </w:p>
    <w:p w14:paraId="756D5D31"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Provision of scientific information</w:t>
      </w:r>
    </w:p>
    <w:p w14:paraId="7F9D0BF2" w14:textId="77777777" w:rsidR="00D41635" w:rsidRPr="004635E5" w:rsidRDefault="00D41635" w:rsidP="00580EA4">
      <w:pPr>
        <w:pStyle w:val="ListParagraph"/>
        <w:numPr>
          <w:ilvl w:val="0"/>
          <w:numId w:val="83"/>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Status and trends </w:t>
      </w:r>
    </w:p>
    <w:p w14:paraId="46E03987" w14:textId="77777777" w:rsidR="00D41635" w:rsidRPr="004635E5" w:rsidRDefault="00D41635" w:rsidP="00580EA4">
      <w:pPr>
        <w:pStyle w:val="ListParagraph"/>
        <w:numPr>
          <w:ilvl w:val="0"/>
          <w:numId w:val="83"/>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230BB833" w14:textId="77777777" w:rsidR="00D41635" w:rsidRPr="004635E5" w:rsidRDefault="00D41635" w:rsidP="00580EA4">
      <w:pPr>
        <w:pStyle w:val="ListParagraph"/>
        <w:numPr>
          <w:ilvl w:val="2"/>
          <w:numId w:val="61"/>
        </w:numPr>
        <w:adjustRightInd w:val="0"/>
        <w:snapToGrid w:val="0"/>
        <w:ind w:left="720"/>
        <w:jc w:val="both"/>
        <w:rPr>
          <w:rFonts w:eastAsia="Batang"/>
          <w:b/>
          <w:bCs/>
          <w:sz w:val="22"/>
          <w:szCs w:val="22"/>
          <w:lang w:val="en-NZ" w:eastAsia="ko-KR"/>
        </w:rPr>
      </w:pPr>
      <w:r w:rsidRPr="004635E5">
        <w:rPr>
          <w:rFonts w:eastAsia="Batang"/>
          <w:b/>
          <w:bCs/>
          <w:sz w:val="22"/>
          <w:szCs w:val="22"/>
          <w:lang w:val="en-NZ" w:eastAsia="ko-KR"/>
        </w:rPr>
        <w:t>South Pacific albacore tuna (</w:t>
      </w:r>
      <w:r w:rsidRPr="004635E5">
        <w:rPr>
          <w:rFonts w:eastAsia="Batang"/>
          <w:b/>
          <w:bCs/>
          <w:i/>
          <w:sz w:val="22"/>
          <w:szCs w:val="22"/>
          <w:lang w:val="en-NZ" w:eastAsia="ko-KR"/>
        </w:rPr>
        <w:t>Thunnus alalunga</w:t>
      </w:r>
      <w:r w:rsidRPr="004635E5">
        <w:rPr>
          <w:rFonts w:eastAsia="Batang"/>
          <w:b/>
          <w:bCs/>
          <w:sz w:val="22"/>
          <w:szCs w:val="22"/>
          <w:lang w:val="en-NZ" w:eastAsia="ko-KR"/>
        </w:rPr>
        <w:t>)</w:t>
      </w:r>
    </w:p>
    <w:p w14:paraId="13A6534C"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Research and information</w:t>
      </w:r>
    </w:p>
    <w:p w14:paraId="6ED64B1F" w14:textId="77777777" w:rsidR="00D41635" w:rsidRPr="004635E5" w:rsidRDefault="00D41635" w:rsidP="00580EA4">
      <w:pPr>
        <w:pStyle w:val="ListParagraph"/>
        <w:numPr>
          <w:ilvl w:val="1"/>
          <w:numId w:val="17"/>
        </w:numPr>
        <w:adjustRightInd w:val="0"/>
        <w:snapToGrid w:val="0"/>
        <w:jc w:val="both"/>
        <w:rPr>
          <w:rFonts w:eastAsia="Batang"/>
          <w:sz w:val="22"/>
          <w:szCs w:val="22"/>
          <w:lang w:val="en-NZ" w:eastAsia="ko-KR"/>
        </w:rPr>
      </w:pPr>
      <w:r w:rsidRPr="004635E5">
        <w:rPr>
          <w:rFonts w:eastAsia="Batang"/>
          <w:sz w:val="22"/>
          <w:szCs w:val="22"/>
          <w:lang w:val="en-NZ" w:eastAsia="ko-KR"/>
        </w:rPr>
        <w:t>South Pacific albacore tuna stock assessment</w:t>
      </w:r>
    </w:p>
    <w:p w14:paraId="2E0CCD2A" w14:textId="77777777" w:rsidR="00D41635" w:rsidRPr="004635E5" w:rsidRDefault="00D41635" w:rsidP="00580EA4">
      <w:pPr>
        <w:pStyle w:val="ListParagraph"/>
        <w:numPr>
          <w:ilvl w:val="1"/>
          <w:numId w:val="17"/>
        </w:numPr>
        <w:adjustRightInd w:val="0"/>
        <w:snapToGrid w:val="0"/>
        <w:jc w:val="both"/>
        <w:rPr>
          <w:rFonts w:eastAsia="Batang"/>
          <w:iCs/>
          <w:sz w:val="22"/>
          <w:szCs w:val="22"/>
          <w:lang w:val="en-NZ" w:eastAsia="ko-KR"/>
        </w:rPr>
      </w:pPr>
      <w:r w:rsidRPr="004635E5">
        <w:rPr>
          <w:iCs/>
          <w:sz w:val="22"/>
          <w:szCs w:val="22"/>
          <w:lang w:val="en-AU"/>
        </w:rPr>
        <w:t>Trends in the South Pacific albacore longline and troll fisheries</w:t>
      </w:r>
    </w:p>
    <w:p w14:paraId="3C278320"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Provision of scientific information</w:t>
      </w:r>
    </w:p>
    <w:p w14:paraId="52DE254F" w14:textId="77777777" w:rsidR="00D41635" w:rsidRPr="004635E5" w:rsidRDefault="00D41635" w:rsidP="00580EA4">
      <w:pPr>
        <w:pStyle w:val="ListParagraph"/>
        <w:numPr>
          <w:ilvl w:val="0"/>
          <w:numId w:val="76"/>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Status and trends </w:t>
      </w:r>
    </w:p>
    <w:p w14:paraId="2F4A3ADE" w14:textId="77777777" w:rsidR="00D41635" w:rsidRPr="004635E5" w:rsidRDefault="00D41635" w:rsidP="00580EA4">
      <w:pPr>
        <w:pStyle w:val="ListParagraph"/>
        <w:numPr>
          <w:ilvl w:val="0"/>
          <w:numId w:val="76"/>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4DC11118" w14:textId="77777777" w:rsidR="00D41635" w:rsidRPr="004635E5" w:rsidRDefault="00D41635" w:rsidP="00580EA4">
      <w:pPr>
        <w:pStyle w:val="ListParagraph"/>
        <w:numPr>
          <w:ilvl w:val="1"/>
          <w:numId w:val="61"/>
        </w:numPr>
        <w:adjustRightInd w:val="0"/>
        <w:snapToGrid w:val="0"/>
        <w:ind w:hanging="720"/>
        <w:jc w:val="both"/>
        <w:rPr>
          <w:rFonts w:eastAsia="Batang"/>
          <w:b/>
          <w:bCs/>
          <w:sz w:val="22"/>
          <w:szCs w:val="22"/>
          <w:lang w:val="en-NZ" w:eastAsia="ko-KR"/>
        </w:rPr>
      </w:pPr>
      <w:r w:rsidRPr="004635E5">
        <w:rPr>
          <w:rFonts w:eastAsia="Batang"/>
          <w:b/>
          <w:bCs/>
          <w:sz w:val="22"/>
          <w:szCs w:val="22"/>
          <w:lang w:val="en-NZ" w:eastAsia="ko-KR"/>
        </w:rPr>
        <w:t xml:space="preserve">Northern stocks </w:t>
      </w:r>
    </w:p>
    <w:p w14:paraId="02B99346" w14:textId="77777777" w:rsidR="00D41635" w:rsidRPr="004635E5" w:rsidRDefault="00D41635" w:rsidP="00580EA4">
      <w:pPr>
        <w:pStyle w:val="ListParagraph"/>
        <w:numPr>
          <w:ilvl w:val="2"/>
          <w:numId w:val="61"/>
        </w:numPr>
        <w:adjustRightInd w:val="0"/>
        <w:snapToGrid w:val="0"/>
        <w:ind w:left="720"/>
        <w:jc w:val="both"/>
        <w:rPr>
          <w:rFonts w:eastAsia="Batang"/>
          <w:b/>
          <w:bCs/>
          <w:sz w:val="22"/>
          <w:szCs w:val="22"/>
          <w:lang w:val="en-NZ" w:eastAsia="ko-KR"/>
        </w:rPr>
      </w:pPr>
      <w:r w:rsidRPr="004635E5">
        <w:rPr>
          <w:rFonts w:eastAsia="Batang"/>
          <w:b/>
          <w:bCs/>
          <w:sz w:val="22"/>
          <w:szCs w:val="22"/>
          <w:lang w:val="en-NZ" w:eastAsia="ko-KR"/>
        </w:rPr>
        <w:t>North Pacific albacore (</w:t>
      </w:r>
      <w:r w:rsidRPr="004635E5">
        <w:rPr>
          <w:rFonts w:eastAsia="Batang"/>
          <w:b/>
          <w:bCs/>
          <w:i/>
          <w:sz w:val="22"/>
          <w:szCs w:val="22"/>
          <w:lang w:val="en-NZ" w:eastAsia="ko-KR"/>
        </w:rPr>
        <w:t>Thunnus alalunga</w:t>
      </w:r>
      <w:r w:rsidRPr="004635E5">
        <w:rPr>
          <w:rFonts w:eastAsia="Batang"/>
          <w:b/>
          <w:bCs/>
          <w:sz w:val="22"/>
          <w:szCs w:val="22"/>
          <w:lang w:val="en-NZ" w:eastAsia="ko-KR"/>
        </w:rPr>
        <w:t xml:space="preserve">) </w:t>
      </w:r>
    </w:p>
    <w:p w14:paraId="245397D5"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Research and information</w:t>
      </w:r>
    </w:p>
    <w:p w14:paraId="35F49116"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Provision of scientific information</w:t>
      </w:r>
    </w:p>
    <w:p w14:paraId="026EC725" w14:textId="77777777" w:rsidR="00D41635" w:rsidRPr="004635E5" w:rsidRDefault="00D41635" w:rsidP="00580EA4">
      <w:pPr>
        <w:pStyle w:val="ListParagraph"/>
        <w:numPr>
          <w:ilvl w:val="0"/>
          <w:numId w:val="79"/>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Status and trends </w:t>
      </w:r>
    </w:p>
    <w:p w14:paraId="6EDA9B39" w14:textId="77777777" w:rsidR="00D41635" w:rsidRPr="004635E5" w:rsidRDefault="00D41635" w:rsidP="00580EA4">
      <w:pPr>
        <w:pStyle w:val="ListParagraph"/>
        <w:numPr>
          <w:ilvl w:val="0"/>
          <w:numId w:val="79"/>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5381D02C" w14:textId="77777777" w:rsidR="00D41635" w:rsidRPr="004635E5" w:rsidRDefault="00D41635" w:rsidP="00580EA4">
      <w:pPr>
        <w:pStyle w:val="ListParagraph"/>
        <w:numPr>
          <w:ilvl w:val="2"/>
          <w:numId w:val="61"/>
        </w:numPr>
        <w:adjustRightInd w:val="0"/>
        <w:snapToGrid w:val="0"/>
        <w:ind w:left="720"/>
        <w:jc w:val="both"/>
        <w:rPr>
          <w:rFonts w:eastAsia="Batang"/>
          <w:b/>
          <w:bCs/>
          <w:sz w:val="22"/>
          <w:szCs w:val="22"/>
          <w:lang w:val="en-NZ" w:eastAsia="ko-KR"/>
        </w:rPr>
      </w:pPr>
      <w:r w:rsidRPr="004635E5">
        <w:rPr>
          <w:rFonts w:eastAsia="Batang"/>
          <w:b/>
          <w:bCs/>
          <w:sz w:val="22"/>
          <w:szCs w:val="22"/>
          <w:lang w:val="en-NZ" w:eastAsia="ko-KR"/>
        </w:rPr>
        <w:t>Pacific bluefin tuna (</w:t>
      </w:r>
      <w:r w:rsidRPr="004635E5">
        <w:rPr>
          <w:rFonts w:eastAsia="Batang"/>
          <w:b/>
          <w:bCs/>
          <w:i/>
          <w:sz w:val="22"/>
          <w:szCs w:val="22"/>
          <w:lang w:val="en-NZ" w:eastAsia="ko-KR"/>
        </w:rPr>
        <w:t>Thunnus orientalis</w:t>
      </w:r>
      <w:r w:rsidRPr="004635E5">
        <w:rPr>
          <w:rFonts w:eastAsia="Batang"/>
          <w:b/>
          <w:bCs/>
          <w:sz w:val="22"/>
          <w:szCs w:val="22"/>
          <w:lang w:val="en-NZ" w:eastAsia="ko-KR"/>
        </w:rPr>
        <w:t xml:space="preserve">) </w:t>
      </w:r>
    </w:p>
    <w:p w14:paraId="361BF922"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Research and information</w:t>
      </w:r>
    </w:p>
    <w:p w14:paraId="6A315C53"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Provision of scientific information</w:t>
      </w:r>
    </w:p>
    <w:p w14:paraId="02AFC73B" w14:textId="77777777" w:rsidR="00D41635" w:rsidRPr="004635E5" w:rsidRDefault="00D41635" w:rsidP="00580EA4">
      <w:pPr>
        <w:pStyle w:val="ListParagraph"/>
        <w:numPr>
          <w:ilvl w:val="0"/>
          <w:numId w:val="80"/>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Status and trends </w:t>
      </w:r>
    </w:p>
    <w:p w14:paraId="2C7AC534" w14:textId="77777777" w:rsidR="00D41635" w:rsidRPr="004635E5" w:rsidRDefault="00D41635" w:rsidP="00580EA4">
      <w:pPr>
        <w:pStyle w:val="ListParagraph"/>
        <w:numPr>
          <w:ilvl w:val="0"/>
          <w:numId w:val="80"/>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7CEC1A28" w14:textId="77777777" w:rsidR="00D41635" w:rsidRPr="004635E5" w:rsidRDefault="00D41635" w:rsidP="00580EA4">
      <w:pPr>
        <w:pStyle w:val="ListParagraph"/>
        <w:numPr>
          <w:ilvl w:val="2"/>
          <w:numId w:val="61"/>
        </w:numPr>
        <w:adjustRightInd w:val="0"/>
        <w:snapToGrid w:val="0"/>
        <w:ind w:left="720"/>
        <w:jc w:val="both"/>
        <w:rPr>
          <w:rFonts w:eastAsia="Batang"/>
          <w:b/>
          <w:bCs/>
          <w:sz w:val="22"/>
          <w:szCs w:val="22"/>
          <w:lang w:val="en-NZ" w:eastAsia="ko-KR"/>
        </w:rPr>
      </w:pPr>
      <w:r w:rsidRPr="004635E5">
        <w:rPr>
          <w:rFonts w:eastAsia="Batang"/>
          <w:b/>
          <w:bCs/>
          <w:sz w:val="22"/>
          <w:szCs w:val="22"/>
          <w:lang w:val="en-NZ" w:eastAsia="ko-KR"/>
        </w:rPr>
        <w:t>North Pacific swordfish (</w:t>
      </w:r>
      <w:r w:rsidRPr="004635E5">
        <w:rPr>
          <w:rFonts w:eastAsia="Batang"/>
          <w:b/>
          <w:bCs/>
          <w:i/>
          <w:sz w:val="22"/>
          <w:szCs w:val="22"/>
          <w:lang w:val="en-NZ" w:eastAsia="ko-KR"/>
        </w:rPr>
        <w:t>Xiphias gladius</w:t>
      </w:r>
      <w:r w:rsidRPr="004635E5">
        <w:rPr>
          <w:rFonts w:eastAsia="Batang"/>
          <w:b/>
          <w:bCs/>
          <w:sz w:val="22"/>
          <w:szCs w:val="22"/>
          <w:lang w:val="en-NZ" w:eastAsia="ko-KR"/>
        </w:rPr>
        <w:t>)</w:t>
      </w:r>
    </w:p>
    <w:p w14:paraId="08B45F34"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Research and information</w:t>
      </w:r>
    </w:p>
    <w:p w14:paraId="0AB50C4F"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Provision of scientific information</w:t>
      </w:r>
    </w:p>
    <w:p w14:paraId="5EA5F1F0" w14:textId="77777777" w:rsidR="00D41635" w:rsidRPr="004635E5" w:rsidRDefault="00D41635" w:rsidP="00580EA4">
      <w:pPr>
        <w:pStyle w:val="ListParagraph"/>
        <w:numPr>
          <w:ilvl w:val="0"/>
          <w:numId w:val="7"/>
        </w:numPr>
        <w:adjustRightInd w:val="0"/>
        <w:snapToGrid w:val="0"/>
        <w:ind w:left="1080"/>
        <w:jc w:val="both"/>
        <w:rPr>
          <w:rFonts w:eastAsia="Batang"/>
          <w:sz w:val="22"/>
          <w:szCs w:val="22"/>
          <w:lang w:val="en-NZ" w:eastAsia="ko-KR"/>
        </w:rPr>
      </w:pPr>
      <w:r w:rsidRPr="004635E5">
        <w:rPr>
          <w:rFonts w:eastAsia="Batang"/>
          <w:sz w:val="22"/>
          <w:szCs w:val="22"/>
          <w:lang w:val="en-NZ" w:eastAsia="ko-KR"/>
        </w:rPr>
        <w:t xml:space="preserve">Status and trends </w:t>
      </w:r>
    </w:p>
    <w:p w14:paraId="1F3F69B8" w14:textId="77777777" w:rsidR="00D41635" w:rsidRPr="004635E5" w:rsidRDefault="00D41635" w:rsidP="00580EA4">
      <w:pPr>
        <w:pStyle w:val="ListParagraph"/>
        <w:numPr>
          <w:ilvl w:val="0"/>
          <w:numId w:val="7"/>
        </w:numPr>
        <w:adjustRightInd w:val="0"/>
        <w:snapToGrid w:val="0"/>
        <w:ind w:left="108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5EC7700A" w14:textId="77777777" w:rsidR="00D41635" w:rsidRPr="004635E5" w:rsidRDefault="00D41635" w:rsidP="00580EA4">
      <w:pPr>
        <w:pStyle w:val="ListParagraph"/>
        <w:numPr>
          <w:ilvl w:val="1"/>
          <w:numId w:val="61"/>
        </w:numPr>
        <w:adjustRightInd w:val="0"/>
        <w:snapToGrid w:val="0"/>
        <w:ind w:hanging="720"/>
        <w:jc w:val="both"/>
        <w:rPr>
          <w:rFonts w:eastAsia="Batang"/>
          <w:b/>
          <w:bCs/>
          <w:sz w:val="22"/>
          <w:szCs w:val="22"/>
          <w:lang w:val="en-NZ" w:eastAsia="ko-KR"/>
        </w:rPr>
      </w:pPr>
      <w:r w:rsidRPr="004635E5">
        <w:rPr>
          <w:b/>
          <w:sz w:val="22"/>
          <w:szCs w:val="22"/>
          <w:lang w:val="en-NZ"/>
        </w:rPr>
        <w:t>WCPO sharks</w:t>
      </w:r>
    </w:p>
    <w:p w14:paraId="24221251" w14:textId="77777777" w:rsidR="00D41635" w:rsidRPr="004635E5" w:rsidRDefault="00D41635" w:rsidP="00580EA4">
      <w:pPr>
        <w:pStyle w:val="ListParagraph"/>
        <w:numPr>
          <w:ilvl w:val="0"/>
          <w:numId w:val="156"/>
        </w:numPr>
        <w:adjustRightInd w:val="0"/>
        <w:snapToGrid w:val="0"/>
        <w:jc w:val="both"/>
        <w:rPr>
          <w:b/>
          <w:vanish/>
          <w:sz w:val="22"/>
          <w:szCs w:val="22"/>
        </w:rPr>
      </w:pPr>
    </w:p>
    <w:p w14:paraId="4A25695E" w14:textId="77777777" w:rsidR="00D41635" w:rsidRPr="004635E5" w:rsidRDefault="00D41635" w:rsidP="00580EA4">
      <w:pPr>
        <w:pStyle w:val="ListParagraph"/>
        <w:numPr>
          <w:ilvl w:val="2"/>
          <w:numId w:val="156"/>
        </w:numPr>
        <w:adjustRightInd w:val="0"/>
        <w:snapToGrid w:val="0"/>
        <w:jc w:val="both"/>
        <w:rPr>
          <w:b/>
          <w:vanish/>
          <w:sz w:val="22"/>
          <w:szCs w:val="22"/>
          <w:lang w:val="en-NZ"/>
        </w:rPr>
      </w:pPr>
    </w:p>
    <w:p w14:paraId="184820FB" w14:textId="77777777" w:rsidR="00D41635" w:rsidRPr="00953800" w:rsidRDefault="00D41635" w:rsidP="00580EA4">
      <w:pPr>
        <w:pStyle w:val="ListParagraph"/>
        <w:numPr>
          <w:ilvl w:val="2"/>
          <w:numId w:val="61"/>
        </w:numPr>
        <w:adjustRightInd w:val="0"/>
        <w:snapToGrid w:val="0"/>
        <w:ind w:left="720"/>
        <w:jc w:val="both"/>
        <w:rPr>
          <w:b/>
          <w:sz w:val="22"/>
          <w:szCs w:val="22"/>
          <w:lang w:val="en-NZ"/>
        </w:rPr>
      </w:pPr>
      <w:r w:rsidRPr="00953800">
        <w:rPr>
          <w:b/>
          <w:sz w:val="22"/>
          <w:szCs w:val="22"/>
          <w:lang w:val="en-NZ"/>
        </w:rPr>
        <w:t>Oceanic whitetip shark</w:t>
      </w:r>
      <w:r w:rsidRPr="00953800">
        <w:rPr>
          <w:rFonts w:eastAsiaTheme="minorEastAsia"/>
          <w:b/>
          <w:sz w:val="22"/>
          <w:szCs w:val="22"/>
          <w:lang w:val="en-NZ" w:eastAsia="ko-KR"/>
        </w:rPr>
        <w:t xml:space="preserve"> </w:t>
      </w:r>
      <w:r w:rsidRPr="00953800">
        <w:rPr>
          <w:b/>
          <w:sz w:val="22"/>
          <w:szCs w:val="22"/>
          <w:lang w:val="en-NZ"/>
        </w:rPr>
        <w:t>(</w:t>
      </w:r>
      <w:r w:rsidRPr="00953800">
        <w:rPr>
          <w:b/>
          <w:i/>
          <w:sz w:val="22"/>
          <w:szCs w:val="22"/>
          <w:lang w:val="en-NZ"/>
        </w:rPr>
        <w:t>Carcharhinus longimanus</w:t>
      </w:r>
      <w:r w:rsidRPr="00953800">
        <w:rPr>
          <w:b/>
          <w:sz w:val="22"/>
          <w:szCs w:val="22"/>
          <w:lang w:val="en-NZ"/>
        </w:rPr>
        <w:t>)</w:t>
      </w:r>
    </w:p>
    <w:p w14:paraId="2225EAE4" w14:textId="77777777" w:rsidR="00D41635" w:rsidRPr="004635E5" w:rsidRDefault="00D41635" w:rsidP="00580EA4">
      <w:pPr>
        <w:pStyle w:val="ListParagraph"/>
        <w:numPr>
          <w:ilvl w:val="3"/>
          <w:numId w:val="61"/>
        </w:numPr>
        <w:adjustRightInd w:val="0"/>
        <w:snapToGrid w:val="0"/>
        <w:ind w:left="720"/>
        <w:jc w:val="both"/>
        <w:rPr>
          <w:bCs/>
          <w:sz w:val="22"/>
          <w:szCs w:val="22"/>
          <w:lang w:val="en-NZ"/>
        </w:rPr>
      </w:pPr>
      <w:r w:rsidRPr="004635E5">
        <w:rPr>
          <w:bCs/>
          <w:sz w:val="22"/>
          <w:szCs w:val="22"/>
          <w:lang w:val="en-NZ"/>
        </w:rPr>
        <w:t>Research and information</w:t>
      </w:r>
    </w:p>
    <w:p w14:paraId="23B0FF07"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bCs/>
          <w:sz w:val="22"/>
          <w:szCs w:val="22"/>
          <w:lang w:val="en-NZ"/>
        </w:rPr>
        <w:t>Provision of scientific information</w:t>
      </w:r>
    </w:p>
    <w:p w14:paraId="58346CFC" w14:textId="77777777" w:rsidR="00D41635" w:rsidRPr="004635E5" w:rsidRDefault="00D41635" w:rsidP="00580EA4">
      <w:pPr>
        <w:pStyle w:val="ListParagraph"/>
        <w:numPr>
          <w:ilvl w:val="0"/>
          <w:numId w:val="81"/>
        </w:numPr>
        <w:adjustRightInd w:val="0"/>
        <w:snapToGrid w:val="0"/>
        <w:jc w:val="both"/>
        <w:rPr>
          <w:rFonts w:eastAsia="Batang"/>
          <w:sz w:val="22"/>
          <w:szCs w:val="22"/>
          <w:lang w:val="en-NZ" w:eastAsia="ko-KR"/>
        </w:rPr>
      </w:pPr>
      <w:r w:rsidRPr="004635E5">
        <w:rPr>
          <w:bCs/>
          <w:sz w:val="22"/>
          <w:szCs w:val="22"/>
          <w:lang w:val="en-NZ"/>
        </w:rPr>
        <w:t xml:space="preserve">Status and trends </w:t>
      </w:r>
    </w:p>
    <w:p w14:paraId="6E45D749" w14:textId="77777777" w:rsidR="00D41635" w:rsidRPr="004635E5" w:rsidRDefault="00D41635" w:rsidP="00580EA4">
      <w:pPr>
        <w:pStyle w:val="ListParagraph"/>
        <w:numPr>
          <w:ilvl w:val="0"/>
          <w:numId w:val="81"/>
        </w:numPr>
        <w:adjustRightInd w:val="0"/>
        <w:snapToGrid w:val="0"/>
        <w:jc w:val="both"/>
        <w:rPr>
          <w:rFonts w:eastAsia="Batang"/>
          <w:sz w:val="22"/>
          <w:szCs w:val="22"/>
          <w:lang w:val="en-NZ" w:eastAsia="ko-KR"/>
        </w:rPr>
      </w:pPr>
      <w:r w:rsidRPr="004635E5">
        <w:rPr>
          <w:bCs/>
          <w:sz w:val="22"/>
          <w:szCs w:val="22"/>
          <w:lang w:val="en-NZ"/>
        </w:rPr>
        <w:t xml:space="preserve">Management advice and implications </w:t>
      </w:r>
    </w:p>
    <w:p w14:paraId="08610043" w14:textId="77777777" w:rsidR="00D41635" w:rsidRPr="004635E5" w:rsidRDefault="00D41635" w:rsidP="00580EA4">
      <w:pPr>
        <w:pStyle w:val="ListParagraph"/>
        <w:numPr>
          <w:ilvl w:val="2"/>
          <w:numId w:val="61"/>
        </w:numPr>
        <w:adjustRightInd w:val="0"/>
        <w:snapToGrid w:val="0"/>
        <w:ind w:left="720"/>
        <w:jc w:val="both"/>
        <w:rPr>
          <w:rFonts w:eastAsia="Batang"/>
          <w:b/>
          <w:bCs/>
          <w:sz w:val="22"/>
          <w:szCs w:val="22"/>
          <w:lang w:val="en-NZ" w:eastAsia="ko-KR"/>
        </w:rPr>
      </w:pPr>
      <w:r w:rsidRPr="004635E5">
        <w:rPr>
          <w:rFonts w:eastAsia="Batang"/>
          <w:b/>
          <w:bCs/>
          <w:sz w:val="22"/>
          <w:szCs w:val="22"/>
          <w:lang w:val="en-NZ" w:eastAsia="ko-KR"/>
        </w:rPr>
        <w:t>Silky shark (</w:t>
      </w:r>
      <w:r w:rsidRPr="004635E5">
        <w:rPr>
          <w:rFonts w:eastAsia="Batang"/>
          <w:b/>
          <w:bCs/>
          <w:i/>
          <w:sz w:val="22"/>
          <w:szCs w:val="22"/>
          <w:lang w:val="en-NZ" w:eastAsia="ko-KR"/>
        </w:rPr>
        <w:t>Carcharhinus falciformis</w:t>
      </w:r>
      <w:r w:rsidRPr="004635E5">
        <w:rPr>
          <w:rFonts w:eastAsia="Batang"/>
          <w:b/>
          <w:bCs/>
          <w:sz w:val="22"/>
          <w:szCs w:val="22"/>
          <w:lang w:val="en-NZ" w:eastAsia="ko-KR"/>
        </w:rPr>
        <w:t>)</w:t>
      </w:r>
    </w:p>
    <w:p w14:paraId="0C53BDD2"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Research and information</w:t>
      </w:r>
    </w:p>
    <w:p w14:paraId="03A5CC9A"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Provision of scientific information</w:t>
      </w:r>
    </w:p>
    <w:p w14:paraId="0AA6E2FA" w14:textId="77777777" w:rsidR="00D41635" w:rsidRPr="004635E5" w:rsidRDefault="00D41635" w:rsidP="00580EA4">
      <w:pPr>
        <w:pStyle w:val="ListParagraph"/>
        <w:numPr>
          <w:ilvl w:val="0"/>
          <w:numId w:val="82"/>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Status and trends </w:t>
      </w:r>
    </w:p>
    <w:p w14:paraId="3F5E38AF" w14:textId="77777777" w:rsidR="00D41635" w:rsidRPr="004635E5" w:rsidRDefault="00D41635" w:rsidP="00580EA4">
      <w:pPr>
        <w:pStyle w:val="ListParagraph"/>
        <w:numPr>
          <w:ilvl w:val="0"/>
          <w:numId w:val="82"/>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1CB15D54" w14:textId="77777777" w:rsidR="00D41635" w:rsidRPr="004635E5" w:rsidRDefault="00D41635" w:rsidP="00580EA4">
      <w:pPr>
        <w:pStyle w:val="ListParagraph"/>
        <w:numPr>
          <w:ilvl w:val="2"/>
          <w:numId w:val="61"/>
        </w:numPr>
        <w:adjustRightInd w:val="0"/>
        <w:snapToGrid w:val="0"/>
        <w:ind w:left="720"/>
        <w:jc w:val="both"/>
        <w:rPr>
          <w:rFonts w:eastAsia="Batang"/>
          <w:b/>
          <w:bCs/>
          <w:sz w:val="22"/>
          <w:szCs w:val="22"/>
          <w:lang w:val="en-NZ" w:eastAsia="ko-KR"/>
        </w:rPr>
      </w:pPr>
      <w:r w:rsidRPr="004635E5">
        <w:rPr>
          <w:rFonts w:eastAsia="Batang"/>
          <w:b/>
          <w:bCs/>
          <w:sz w:val="22"/>
          <w:szCs w:val="22"/>
          <w:lang w:val="en-NZ" w:eastAsia="ko-KR"/>
        </w:rPr>
        <w:t>South Pacific blue shark (</w:t>
      </w:r>
      <w:r w:rsidRPr="004635E5">
        <w:rPr>
          <w:rFonts w:eastAsia="Batang"/>
          <w:b/>
          <w:bCs/>
          <w:i/>
          <w:sz w:val="22"/>
          <w:szCs w:val="22"/>
          <w:lang w:val="en-NZ" w:eastAsia="ko-KR"/>
        </w:rPr>
        <w:t>Prionace glauca</w:t>
      </w:r>
      <w:r w:rsidRPr="004635E5">
        <w:rPr>
          <w:rFonts w:eastAsia="Batang"/>
          <w:b/>
          <w:bCs/>
          <w:sz w:val="22"/>
          <w:szCs w:val="22"/>
          <w:lang w:val="en-NZ" w:eastAsia="ko-KR"/>
        </w:rPr>
        <w:t>)</w:t>
      </w:r>
    </w:p>
    <w:p w14:paraId="5B562B7E"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Research and information</w:t>
      </w:r>
    </w:p>
    <w:p w14:paraId="13CF61A9"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Provision of scientific information</w:t>
      </w:r>
    </w:p>
    <w:p w14:paraId="15E23E8E" w14:textId="77777777" w:rsidR="00D41635" w:rsidRPr="004635E5" w:rsidRDefault="00D41635" w:rsidP="00580EA4">
      <w:pPr>
        <w:pStyle w:val="ListParagraph"/>
        <w:numPr>
          <w:ilvl w:val="0"/>
          <w:numId w:val="9"/>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Status and trends </w:t>
      </w:r>
    </w:p>
    <w:p w14:paraId="23867CDE" w14:textId="77777777" w:rsidR="00D41635" w:rsidRPr="004635E5" w:rsidRDefault="00D41635" w:rsidP="00580EA4">
      <w:pPr>
        <w:pStyle w:val="ListParagraph"/>
        <w:numPr>
          <w:ilvl w:val="0"/>
          <w:numId w:val="9"/>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79711BB9" w14:textId="77777777" w:rsidR="00D41635" w:rsidRPr="004635E5" w:rsidRDefault="00D41635" w:rsidP="00580EA4">
      <w:pPr>
        <w:pStyle w:val="ListParagraph"/>
        <w:numPr>
          <w:ilvl w:val="2"/>
          <w:numId w:val="61"/>
        </w:numPr>
        <w:adjustRightInd w:val="0"/>
        <w:snapToGrid w:val="0"/>
        <w:ind w:left="720"/>
        <w:jc w:val="both"/>
        <w:rPr>
          <w:rFonts w:eastAsia="Batang"/>
          <w:b/>
          <w:bCs/>
          <w:sz w:val="22"/>
          <w:szCs w:val="22"/>
          <w:lang w:val="en-NZ" w:eastAsia="ko-KR"/>
        </w:rPr>
      </w:pPr>
      <w:r w:rsidRPr="004635E5">
        <w:rPr>
          <w:rFonts w:eastAsia="Batang"/>
          <w:b/>
          <w:bCs/>
          <w:sz w:val="22"/>
          <w:szCs w:val="22"/>
          <w:lang w:val="en-NZ" w:eastAsia="ko-KR"/>
        </w:rPr>
        <w:t>North Pacific blue shark (</w:t>
      </w:r>
      <w:r w:rsidRPr="004635E5">
        <w:rPr>
          <w:rFonts w:eastAsia="Batang"/>
          <w:b/>
          <w:bCs/>
          <w:i/>
          <w:sz w:val="22"/>
          <w:szCs w:val="22"/>
          <w:lang w:val="en-NZ" w:eastAsia="ko-KR"/>
        </w:rPr>
        <w:t>Prionace glauca</w:t>
      </w:r>
      <w:r w:rsidRPr="004635E5">
        <w:rPr>
          <w:rFonts w:eastAsia="Batang"/>
          <w:b/>
          <w:bCs/>
          <w:sz w:val="22"/>
          <w:szCs w:val="22"/>
          <w:lang w:val="en-NZ" w:eastAsia="ko-KR"/>
        </w:rPr>
        <w:t>)</w:t>
      </w:r>
    </w:p>
    <w:p w14:paraId="03418890"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Research and information</w:t>
      </w:r>
    </w:p>
    <w:p w14:paraId="0420B5A3" w14:textId="77777777" w:rsidR="00D41635" w:rsidRPr="004635E5" w:rsidRDefault="00D41635" w:rsidP="00580EA4">
      <w:pPr>
        <w:pStyle w:val="ListParagraph"/>
        <w:numPr>
          <w:ilvl w:val="3"/>
          <w:numId w:val="61"/>
        </w:numPr>
        <w:adjustRightInd w:val="0"/>
        <w:snapToGrid w:val="0"/>
        <w:ind w:left="720"/>
        <w:jc w:val="both"/>
        <w:rPr>
          <w:rFonts w:eastAsia="Batang"/>
          <w:sz w:val="22"/>
          <w:szCs w:val="22"/>
          <w:lang w:val="en-NZ" w:eastAsia="ko-KR"/>
        </w:rPr>
      </w:pPr>
      <w:r w:rsidRPr="004635E5">
        <w:rPr>
          <w:rFonts w:eastAsia="Batang"/>
          <w:sz w:val="22"/>
          <w:szCs w:val="22"/>
          <w:lang w:val="en-NZ" w:eastAsia="ko-KR"/>
        </w:rPr>
        <w:t>Provision of scientific information</w:t>
      </w:r>
    </w:p>
    <w:p w14:paraId="75E4DFF7" w14:textId="77777777" w:rsidR="00D41635" w:rsidRPr="004635E5" w:rsidRDefault="00D41635" w:rsidP="00580EA4">
      <w:pPr>
        <w:pStyle w:val="ListParagraph"/>
        <w:numPr>
          <w:ilvl w:val="0"/>
          <w:numId w:val="10"/>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Status and trends </w:t>
      </w:r>
    </w:p>
    <w:p w14:paraId="68710EF0" w14:textId="77777777" w:rsidR="00D41635" w:rsidRPr="004635E5" w:rsidRDefault="00D41635" w:rsidP="00580EA4">
      <w:pPr>
        <w:pStyle w:val="ListParagraph"/>
        <w:numPr>
          <w:ilvl w:val="0"/>
          <w:numId w:val="10"/>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545706CC" w14:textId="77777777" w:rsidR="00D41635" w:rsidRPr="004635E5" w:rsidRDefault="00D41635" w:rsidP="00580EA4">
      <w:pPr>
        <w:pStyle w:val="ListParagraph"/>
        <w:numPr>
          <w:ilvl w:val="2"/>
          <w:numId w:val="61"/>
        </w:numPr>
        <w:adjustRightInd w:val="0"/>
        <w:snapToGrid w:val="0"/>
        <w:ind w:left="720"/>
        <w:jc w:val="both"/>
        <w:rPr>
          <w:rFonts w:eastAsia="Batang"/>
          <w:b/>
          <w:bCs/>
          <w:sz w:val="22"/>
          <w:szCs w:val="22"/>
          <w:lang w:val="en-NZ" w:eastAsia="ko-KR"/>
        </w:rPr>
      </w:pPr>
      <w:r w:rsidRPr="004635E5">
        <w:rPr>
          <w:rFonts w:eastAsia="Batang"/>
          <w:b/>
          <w:bCs/>
          <w:sz w:val="22"/>
          <w:szCs w:val="22"/>
          <w:lang w:val="en-NZ" w:eastAsia="ko-KR"/>
        </w:rPr>
        <w:t>North Pacific shortfin mako</w:t>
      </w:r>
      <w:r w:rsidRPr="004635E5">
        <w:rPr>
          <w:rFonts w:eastAsiaTheme="minorEastAsia"/>
          <w:b/>
          <w:sz w:val="22"/>
          <w:szCs w:val="22"/>
          <w:lang w:eastAsia="ko-KR"/>
        </w:rPr>
        <w:t xml:space="preserve"> </w:t>
      </w:r>
      <w:r w:rsidRPr="004635E5">
        <w:rPr>
          <w:rFonts w:eastAsia="MS Mincho"/>
          <w:b/>
          <w:sz w:val="22"/>
          <w:szCs w:val="22"/>
          <w:lang w:eastAsia="ja-JP"/>
        </w:rPr>
        <w:t>(</w:t>
      </w:r>
      <w:r w:rsidRPr="004635E5">
        <w:rPr>
          <w:rFonts w:eastAsia="MS Mincho"/>
          <w:b/>
          <w:i/>
          <w:sz w:val="22"/>
          <w:szCs w:val="22"/>
          <w:lang w:eastAsia="ja-JP"/>
        </w:rPr>
        <w:t>Isurus oxyrinchus</w:t>
      </w:r>
      <w:r w:rsidRPr="004635E5">
        <w:rPr>
          <w:rFonts w:eastAsia="MS Mincho"/>
          <w:b/>
          <w:sz w:val="22"/>
          <w:szCs w:val="22"/>
          <w:lang w:eastAsia="ja-JP"/>
        </w:rPr>
        <w:t>)</w:t>
      </w:r>
    </w:p>
    <w:p w14:paraId="29AC9262" w14:textId="77777777" w:rsidR="00D41635" w:rsidRPr="004635E5" w:rsidRDefault="00D41635" w:rsidP="00580EA4">
      <w:pPr>
        <w:pStyle w:val="ListParagraph"/>
        <w:numPr>
          <w:ilvl w:val="3"/>
          <w:numId w:val="61"/>
        </w:numPr>
        <w:adjustRightInd w:val="0"/>
        <w:snapToGrid w:val="0"/>
        <w:ind w:left="720"/>
        <w:jc w:val="both"/>
        <w:rPr>
          <w:rFonts w:eastAsia="Batang"/>
          <w:bCs/>
          <w:sz w:val="22"/>
          <w:szCs w:val="22"/>
          <w:lang w:val="en-NZ" w:eastAsia="ko-KR"/>
        </w:rPr>
      </w:pPr>
      <w:r w:rsidRPr="004635E5">
        <w:rPr>
          <w:rFonts w:eastAsia="Batang"/>
          <w:bCs/>
          <w:sz w:val="22"/>
          <w:szCs w:val="22"/>
          <w:lang w:val="en-NZ" w:eastAsia="ko-KR"/>
        </w:rPr>
        <w:t>Research and information</w:t>
      </w:r>
      <w:r w:rsidRPr="004635E5" w:rsidDel="000B636C">
        <w:rPr>
          <w:rFonts w:eastAsia="Batang"/>
          <w:bCs/>
          <w:sz w:val="22"/>
          <w:szCs w:val="22"/>
          <w:lang w:val="en-NZ" w:eastAsia="ko-KR"/>
        </w:rPr>
        <w:t xml:space="preserve"> </w:t>
      </w:r>
    </w:p>
    <w:p w14:paraId="5C787E02" w14:textId="77777777" w:rsidR="00D41635" w:rsidRPr="004635E5" w:rsidRDefault="00D41635" w:rsidP="00580EA4">
      <w:pPr>
        <w:pStyle w:val="ListParagraph"/>
        <w:numPr>
          <w:ilvl w:val="1"/>
          <w:numId w:val="10"/>
        </w:numPr>
        <w:adjustRightInd w:val="0"/>
        <w:snapToGrid w:val="0"/>
        <w:ind w:left="1080"/>
        <w:jc w:val="both"/>
        <w:rPr>
          <w:rFonts w:eastAsia="Batang"/>
          <w:sz w:val="22"/>
          <w:szCs w:val="22"/>
          <w:lang w:val="en-NZ" w:eastAsia="ko-KR"/>
        </w:rPr>
      </w:pPr>
      <w:r w:rsidRPr="004635E5">
        <w:rPr>
          <w:rFonts w:eastAsia="Batang"/>
          <w:sz w:val="22"/>
          <w:szCs w:val="22"/>
          <w:lang w:val="en-NZ" w:eastAsia="ko-KR"/>
        </w:rPr>
        <w:t>Review of 2018 North Pacific shortfin mako stock assessment</w:t>
      </w:r>
    </w:p>
    <w:p w14:paraId="15870CB6" w14:textId="77777777" w:rsidR="00D41635" w:rsidRPr="004635E5" w:rsidRDefault="00D41635" w:rsidP="00580EA4">
      <w:pPr>
        <w:pStyle w:val="ListParagraph"/>
        <w:numPr>
          <w:ilvl w:val="2"/>
          <w:numId w:val="61"/>
        </w:numPr>
        <w:adjustRightInd w:val="0"/>
        <w:snapToGrid w:val="0"/>
        <w:ind w:left="720"/>
        <w:jc w:val="both"/>
        <w:rPr>
          <w:rFonts w:eastAsia="Batang"/>
          <w:b/>
          <w:bCs/>
          <w:sz w:val="22"/>
          <w:szCs w:val="22"/>
          <w:lang w:val="en-NZ" w:eastAsia="ko-KR"/>
        </w:rPr>
      </w:pPr>
      <w:r w:rsidRPr="004635E5">
        <w:rPr>
          <w:rFonts w:eastAsiaTheme="minorEastAsia"/>
          <w:b/>
          <w:sz w:val="22"/>
          <w:szCs w:val="22"/>
          <w:lang w:eastAsia="ko-KR"/>
        </w:rPr>
        <w:t xml:space="preserve">Pacific </w:t>
      </w:r>
      <w:r w:rsidRPr="004635E5">
        <w:rPr>
          <w:b/>
          <w:sz w:val="22"/>
          <w:szCs w:val="22"/>
        </w:rPr>
        <w:t>bigeye thresher shark</w:t>
      </w:r>
      <w:r w:rsidRPr="004635E5">
        <w:rPr>
          <w:rFonts w:eastAsiaTheme="minorEastAsia"/>
          <w:b/>
          <w:sz w:val="22"/>
          <w:szCs w:val="22"/>
          <w:lang w:eastAsia="ko-KR"/>
        </w:rPr>
        <w:t xml:space="preserve"> (</w:t>
      </w:r>
      <w:r w:rsidRPr="004635E5">
        <w:rPr>
          <w:b/>
          <w:i/>
          <w:iCs/>
          <w:sz w:val="22"/>
          <w:szCs w:val="22"/>
        </w:rPr>
        <w:t>Alopias superciliosus</w:t>
      </w:r>
      <w:r w:rsidRPr="004635E5">
        <w:rPr>
          <w:rFonts w:eastAsiaTheme="minorEastAsia"/>
          <w:b/>
          <w:iCs/>
          <w:sz w:val="22"/>
          <w:szCs w:val="22"/>
          <w:lang w:eastAsia="ko-KR"/>
        </w:rPr>
        <w:t>)</w:t>
      </w:r>
    </w:p>
    <w:p w14:paraId="78FF70DD" w14:textId="77777777" w:rsidR="00D41635" w:rsidRPr="004635E5" w:rsidRDefault="00D41635" w:rsidP="00580EA4">
      <w:pPr>
        <w:pStyle w:val="ListParagraph"/>
        <w:numPr>
          <w:ilvl w:val="3"/>
          <w:numId w:val="61"/>
        </w:numPr>
        <w:adjustRightInd w:val="0"/>
        <w:snapToGrid w:val="0"/>
        <w:ind w:left="720"/>
        <w:jc w:val="both"/>
        <w:rPr>
          <w:rFonts w:eastAsia="Batang"/>
          <w:bCs/>
          <w:sz w:val="22"/>
          <w:szCs w:val="22"/>
          <w:lang w:val="en-NZ" w:eastAsia="ko-KR"/>
        </w:rPr>
      </w:pPr>
      <w:r w:rsidRPr="004635E5">
        <w:rPr>
          <w:rFonts w:eastAsia="Batang"/>
          <w:bCs/>
          <w:sz w:val="22"/>
          <w:szCs w:val="22"/>
          <w:lang w:val="en-NZ" w:eastAsia="ko-KR"/>
        </w:rPr>
        <w:t>Research and information</w:t>
      </w:r>
    </w:p>
    <w:p w14:paraId="7A99CAD0" w14:textId="77777777" w:rsidR="00D41635" w:rsidRPr="004635E5" w:rsidRDefault="00D41635" w:rsidP="00580EA4">
      <w:pPr>
        <w:pStyle w:val="ListParagraph"/>
        <w:numPr>
          <w:ilvl w:val="3"/>
          <w:numId w:val="61"/>
        </w:numPr>
        <w:adjustRightInd w:val="0"/>
        <w:snapToGrid w:val="0"/>
        <w:ind w:left="720"/>
        <w:jc w:val="both"/>
        <w:rPr>
          <w:rFonts w:eastAsiaTheme="minorEastAsia"/>
          <w:bCs/>
          <w:sz w:val="22"/>
          <w:szCs w:val="22"/>
          <w:lang w:val="en-NZ" w:eastAsia="ko-KR"/>
        </w:rPr>
      </w:pPr>
      <w:r w:rsidRPr="004635E5">
        <w:rPr>
          <w:rFonts w:eastAsiaTheme="minorEastAsia"/>
          <w:bCs/>
          <w:sz w:val="22"/>
          <w:szCs w:val="22"/>
          <w:lang w:val="en-NZ" w:eastAsia="ko-KR"/>
        </w:rPr>
        <w:t>Provision of scientific information</w:t>
      </w:r>
    </w:p>
    <w:p w14:paraId="79068991" w14:textId="77777777" w:rsidR="00D41635" w:rsidRPr="004635E5" w:rsidRDefault="00D41635" w:rsidP="00580EA4">
      <w:pPr>
        <w:pStyle w:val="ListParagraph"/>
        <w:numPr>
          <w:ilvl w:val="0"/>
          <w:numId w:val="19"/>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Status and trends </w:t>
      </w:r>
    </w:p>
    <w:p w14:paraId="0AD87132" w14:textId="77777777" w:rsidR="00D41635" w:rsidRPr="004635E5" w:rsidRDefault="00D41635" w:rsidP="00580EA4">
      <w:pPr>
        <w:pStyle w:val="ListParagraph"/>
        <w:numPr>
          <w:ilvl w:val="0"/>
          <w:numId w:val="19"/>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2C7B45D6" w14:textId="77777777" w:rsidR="00D41635" w:rsidRPr="004635E5" w:rsidRDefault="00D41635" w:rsidP="00580EA4">
      <w:pPr>
        <w:pStyle w:val="ListParagraph"/>
        <w:numPr>
          <w:ilvl w:val="2"/>
          <w:numId w:val="61"/>
        </w:numPr>
        <w:adjustRightInd w:val="0"/>
        <w:snapToGrid w:val="0"/>
        <w:ind w:left="720"/>
        <w:jc w:val="both"/>
        <w:rPr>
          <w:rFonts w:eastAsia="Batang"/>
          <w:b/>
          <w:bCs/>
          <w:sz w:val="22"/>
          <w:szCs w:val="22"/>
          <w:lang w:val="en-NZ" w:eastAsia="ko-KR"/>
        </w:rPr>
      </w:pPr>
      <w:r w:rsidRPr="004635E5">
        <w:rPr>
          <w:rFonts w:eastAsiaTheme="minorEastAsia"/>
          <w:b/>
          <w:sz w:val="22"/>
          <w:szCs w:val="22"/>
          <w:lang w:eastAsia="ko-KR"/>
        </w:rPr>
        <w:t>P</w:t>
      </w:r>
      <w:r w:rsidRPr="004635E5">
        <w:rPr>
          <w:b/>
          <w:sz w:val="22"/>
          <w:szCs w:val="22"/>
        </w:rPr>
        <w:t>orbeagle shark</w:t>
      </w:r>
      <w:r w:rsidRPr="004635E5">
        <w:rPr>
          <w:rFonts w:eastAsiaTheme="minorEastAsia"/>
          <w:b/>
          <w:sz w:val="22"/>
          <w:szCs w:val="22"/>
          <w:lang w:eastAsia="ko-KR"/>
        </w:rPr>
        <w:t xml:space="preserve"> (</w:t>
      </w:r>
      <w:r w:rsidRPr="004635E5">
        <w:rPr>
          <w:b/>
          <w:i/>
          <w:iCs/>
          <w:color w:val="222222"/>
          <w:sz w:val="22"/>
          <w:szCs w:val="22"/>
          <w:shd w:val="clear" w:color="auto" w:fill="FFFFFF"/>
        </w:rPr>
        <w:t>Lamna nasus</w:t>
      </w:r>
      <w:r w:rsidRPr="004635E5">
        <w:rPr>
          <w:rFonts w:eastAsiaTheme="minorEastAsia"/>
          <w:b/>
          <w:iCs/>
          <w:sz w:val="22"/>
          <w:szCs w:val="22"/>
          <w:lang w:eastAsia="ko-KR"/>
        </w:rPr>
        <w:t>)</w:t>
      </w:r>
    </w:p>
    <w:p w14:paraId="1032DED7" w14:textId="77777777" w:rsidR="00D41635" w:rsidRPr="004635E5" w:rsidRDefault="00D41635" w:rsidP="00580EA4">
      <w:pPr>
        <w:pStyle w:val="ListParagraph"/>
        <w:numPr>
          <w:ilvl w:val="3"/>
          <w:numId w:val="61"/>
        </w:numPr>
        <w:adjustRightInd w:val="0"/>
        <w:snapToGrid w:val="0"/>
        <w:ind w:left="720"/>
        <w:jc w:val="both"/>
        <w:rPr>
          <w:rFonts w:eastAsia="Batang"/>
          <w:bCs/>
          <w:sz w:val="22"/>
          <w:szCs w:val="22"/>
          <w:lang w:val="en-NZ" w:eastAsia="ko-KR"/>
        </w:rPr>
      </w:pPr>
      <w:r w:rsidRPr="004635E5">
        <w:rPr>
          <w:rFonts w:eastAsia="Batang"/>
          <w:bCs/>
          <w:sz w:val="22"/>
          <w:szCs w:val="22"/>
          <w:lang w:val="en-NZ" w:eastAsia="ko-KR"/>
        </w:rPr>
        <w:t>Research and information</w:t>
      </w:r>
    </w:p>
    <w:p w14:paraId="0A9B8526" w14:textId="77777777" w:rsidR="00D41635" w:rsidRPr="004635E5" w:rsidRDefault="00D41635" w:rsidP="00580EA4">
      <w:pPr>
        <w:pStyle w:val="ListParagraph"/>
        <w:numPr>
          <w:ilvl w:val="3"/>
          <w:numId w:val="61"/>
        </w:numPr>
        <w:adjustRightInd w:val="0"/>
        <w:snapToGrid w:val="0"/>
        <w:ind w:left="720"/>
        <w:jc w:val="both"/>
        <w:rPr>
          <w:rFonts w:eastAsiaTheme="minorEastAsia"/>
          <w:bCs/>
          <w:sz w:val="22"/>
          <w:szCs w:val="22"/>
          <w:lang w:val="en-NZ" w:eastAsia="ko-KR"/>
        </w:rPr>
      </w:pPr>
      <w:r w:rsidRPr="004635E5">
        <w:rPr>
          <w:rFonts w:eastAsiaTheme="minorEastAsia"/>
          <w:bCs/>
          <w:sz w:val="22"/>
          <w:szCs w:val="22"/>
          <w:lang w:val="en-NZ" w:eastAsia="ko-KR"/>
        </w:rPr>
        <w:t>Provision of scientific information</w:t>
      </w:r>
    </w:p>
    <w:p w14:paraId="0B4FA846" w14:textId="77777777" w:rsidR="00D41635" w:rsidRPr="004635E5" w:rsidRDefault="00D41635" w:rsidP="00580EA4">
      <w:pPr>
        <w:pStyle w:val="ListParagraph"/>
        <w:numPr>
          <w:ilvl w:val="0"/>
          <w:numId w:val="20"/>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Status and trends </w:t>
      </w:r>
    </w:p>
    <w:p w14:paraId="09F73204" w14:textId="77777777" w:rsidR="00D41635" w:rsidRPr="004635E5" w:rsidRDefault="00D41635" w:rsidP="00580EA4">
      <w:pPr>
        <w:pStyle w:val="ListParagraph"/>
        <w:numPr>
          <w:ilvl w:val="0"/>
          <w:numId w:val="20"/>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6B4679D9" w14:textId="77777777" w:rsidR="00D41635" w:rsidRPr="004635E5" w:rsidRDefault="00D41635" w:rsidP="00580EA4">
      <w:pPr>
        <w:pStyle w:val="ListParagraph"/>
        <w:numPr>
          <w:ilvl w:val="2"/>
          <w:numId w:val="61"/>
        </w:numPr>
        <w:adjustRightInd w:val="0"/>
        <w:snapToGrid w:val="0"/>
        <w:ind w:left="720"/>
        <w:jc w:val="both"/>
        <w:rPr>
          <w:rFonts w:eastAsiaTheme="minorEastAsia"/>
          <w:b/>
          <w:bCs/>
          <w:sz w:val="22"/>
          <w:szCs w:val="22"/>
          <w:lang w:eastAsia="ko-KR"/>
        </w:rPr>
      </w:pPr>
      <w:r w:rsidRPr="004635E5">
        <w:rPr>
          <w:rFonts w:eastAsiaTheme="minorEastAsia"/>
          <w:b/>
          <w:bCs/>
          <w:sz w:val="22"/>
          <w:szCs w:val="22"/>
          <w:lang w:eastAsia="ko-KR"/>
        </w:rPr>
        <w:t>whale shark (</w:t>
      </w:r>
      <w:r w:rsidRPr="004635E5">
        <w:rPr>
          <w:rStyle w:val="w8qarf"/>
          <w:b/>
          <w:bCs/>
          <w:color w:val="222222"/>
          <w:sz w:val="22"/>
          <w:szCs w:val="22"/>
          <w:shd w:val="clear" w:color="auto" w:fill="FFFFFF"/>
        </w:rPr>
        <w:t> </w:t>
      </w:r>
      <w:r w:rsidRPr="004635E5">
        <w:rPr>
          <w:rStyle w:val="lrzxr"/>
          <w:b/>
          <w:i/>
          <w:color w:val="222222"/>
          <w:sz w:val="22"/>
          <w:szCs w:val="22"/>
          <w:shd w:val="clear" w:color="auto" w:fill="FFFFFF"/>
        </w:rPr>
        <w:t>Rhincodon typus</w:t>
      </w:r>
      <w:r w:rsidRPr="004635E5">
        <w:rPr>
          <w:rFonts w:eastAsiaTheme="minorEastAsia"/>
          <w:b/>
          <w:bCs/>
          <w:sz w:val="22"/>
          <w:szCs w:val="22"/>
          <w:lang w:eastAsia="ko-KR"/>
        </w:rPr>
        <w:t>)</w:t>
      </w:r>
    </w:p>
    <w:p w14:paraId="09BD7518" w14:textId="77777777" w:rsidR="00D41635" w:rsidRPr="004635E5" w:rsidRDefault="00D41635" w:rsidP="00580EA4">
      <w:pPr>
        <w:pStyle w:val="ListParagraph"/>
        <w:numPr>
          <w:ilvl w:val="3"/>
          <w:numId w:val="61"/>
        </w:numPr>
        <w:adjustRightInd w:val="0"/>
        <w:snapToGrid w:val="0"/>
        <w:ind w:left="720"/>
        <w:jc w:val="both"/>
        <w:rPr>
          <w:rFonts w:eastAsia="Batang"/>
          <w:bCs/>
          <w:sz w:val="22"/>
          <w:szCs w:val="22"/>
          <w:lang w:val="en-NZ" w:eastAsia="ko-KR"/>
        </w:rPr>
      </w:pPr>
      <w:r w:rsidRPr="004635E5">
        <w:rPr>
          <w:rFonts w:eastAsia="Batang"/>
          <w:bCs/>
          <w:sz w:val="22"/>
          <w:szCs w:val="22"/>
          <w:lang w:val="en-NZ" w:eastAsia="ko-KR"/>
        </w:rPr>
        <w:t>Review of research and information</w:t>
      </w:r>
    </w:p>
    <w:p w14:paraId="4441C58D" w14:textId="77777777" w:rsidR="00D41635" w:rsidRPr="004635E5" w:rsidRDefault="00D41635" w:rsidP="00580EA4">
      <w:pPr>
        <w:pStyle w:val="ListParagraph"/>
        <w:numPr>
          <w:ilvl w:val="3"/>
          <w:numId w:val="61"/>
        </w:numPr>
        <w:adjustRightInd w:val="0"/>
        <w:snapToGrid w:val="0"/>
        <w:ind w:left="720"/>
        <w:jc w:val="both"/>
        <w:rPr>
          <w:rFonts w:eastAsiaTheme="minorEastAsia"/>
          <w:bCs/>
          <w:sz w:val="22"/>
          <w:szCs w:val="22"/>
          <w:lang w:val="en-NZ" w:eastAsia="ko-KR"/>
        </w:rPr>
      </w:pPr>
      <w:r w:rsidRPr="004635E5">
        <w:rPr>
          <w:rFonts w:eastAsiaTheme="minorEastAsia"/>
          <w:bCs/>
          <w:sz w:val="22"/>
          <w:szCs w:val="22"/>
          <w:lang w:val="en-NZ" w:eastAsia="ko-KR"/>
        </w:rPr>
        <w:t>Provision of scientific information</w:t>
      </w:r>
    </w:p>
    <w:p w14:paraId="2A449607" w14:textId="77777777" w:rsidR="00D41635" w:rsidRPr="004635E5" w:rsidRDefault="00D41635" w:rsidP="00580EA4">
      <w:pPr>
        <w:pStyle w:val="ListParagraph"/>
        <w:numPr>
          <w:ilvl w:val="0"/>
          <w:numId w:val="85"/>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Status and trends </w:t>
      </w:r>
    </w:p>
    <w:p w14:paraId="243C6249" w14:textId="77777777" w:rsidR="00D41635" w:rsidRPr="004635E5" w:rsidRDefault="00D41635" w:rsidP="00580EA4">
      <w:pPr>
        <w:pStyle w:val="ListParagraph"/>
        <w:numPr>
          <w:ilvl w:val="0"/>
          <w:numId w:val="85"/>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3B9358E5" w14:textId="77777777" w:rsidR="00D41635" w:rsidRPr="004635E5" w:rsidRDefault="00D41635" w:rsidP="00580EA4">
      <w:pPr>
        <w:pStyle w:val="ListParagraph"/>
        <w:numPr>
          <w:ilvl w:val="1"/>
          <w:numId w:val="61"/>
        </w:numPr>
        <w:adjustRightInd w:val="0"/>
        <w:snapToGrid w:val="0"/>
        <w:ind w:hanging="720"/>
        <w:jc w:val="both"/>
        <w:rPr>
          <w:rFonts w:eastAsia="Batang"/>
          <w:b/>
          <w:bCs/>
          <w:sz w:val="22"/>
          <w:szCs w:val="22"/>
          <w:lang w:val="en-NZ" w:eastAsia="ko-KR"/>
        </w:rPr>
      </w:pPr>
      <w:r w:rsidRPr="004635E5">
        <w:rPr>
          <w:rFonts w:eastAsia="Batang"/>
          <w:b/>
          <w:bCs/>
          <w:sz w:val="22"/>
          <w:szCs w:val="22"/>
          <w:lang w:val="en-NZ" w:eastAsia="ko-KR"/>
        </w:rPr>
        <w:t>WCPO billfishes</w:t>
      </w:r>
    </w:p>
    <w:p w14:paraId="1EC622E2" w14:textId="77777777" w:rsidR="00D41635" w:rsidRPr="004635E5" w:rsidRDefault="00D41635" w:rsidP="00580EA4">
      <w:pPr>
        <w:pStyle w:val="ListParagraph"/>
        <w:numPr>
          <w:ilvl w:val="2"/>
          <w:numId w:val="15"/>
        </w:numPr>
        <w:adjustRightInd w:val="0"/>
        <w:snapToGrid w:val="0"/>
        <w:jc w:val="both"/>
        <w:rPr>
          <w:rFonts w:eastAsia="Batang"/>
          <w:b/>
          <w:bCs/>
          <w:sz w:val="22"/>
          <w:szCs w:val="22"/>
          <w:lang w:val="en-NZ" w:eastAsia="ko-KR"/>
        </w:rPr>
      </w:pPr>
      <w:r w:rsidRPr="004635E5">
        <w:rPr>
          <w:rFonts w:eastAsia="Batang"/>
          <w:b/>
          <w:bCs/>
          <w:sz w:val="22"/>
          <w:szCs w:val="22"/>
          <w:lang w:val="en-NZ" w:eastAsia="ko-KR"/>
        </w:rPr>
        <w:t>South Pacific swordfish (</w:t>
      </w:r>
      <w:r w:rsidRPr="004635E5">
        <w:rPr>
          <w:rFonts w:eastAsia="Batang"/>
          <w:b/>
          <w:bCs/>
          <w:i/>
          <w:sz w:val="22"/>
          <w:szCs w:val="22"/>
          <w:lang w:val="en-NZ" w:eastAsia="ko-KR"/>
        </w:rPr>
        <w:t>Xiphias gladius</w:t>
      </w:r>
      <w:r w:rsidRPr="004635E5">
        <w:rPr>
          <w:rFonts w:eastAsia="Batang"/>
          <w:b/>
          <w:bCs/>
          <w:sz w:val="22"/>
          <w:szCs w:val="22"/>
          <w:lang w:val="en-NZ" w:eastAsia="ko-KR"/>
        </w:rPr>
        <w:t xml:space="preserve">) </w:t>
      </w:r>
    </w:p>
    <w:p w14:paraId="3234FBD7" w14:textId="77777777" w:rsidR="00D41635" w:rsidRPr="004635E5" w:rsidRDefault="00D41635" w:rsidP="00580EA4">
      <w:pPr>
        <w:pStyle w:val="ListParagraph"/>
        <w:numPr>
          <w:ilvl w:val="3"/>
          <w:numId w:val="15"/>
        </w:numPr>
        <w:adjustRightInd w:val="0"/>
        <w:snapToGrid w:val="0"/>
        <w:jc w:val="both"/>
        <w:rPr>
          <w:rFonts w:eastAsia="Batang"/>
          <w:sz w:val="22"/>
          <w:szCs w:val="22"/>
          <w:lang w:val="en-NZ" w:eastAsia="ko-KR"/>
        </w:rPr>
      </w:pPr>
      <w:r w:rsidRPr="004635E5">
        <w:rPr>
          <w:rFonts w:eastAsia="Batang"/>
          <w:sz w:val="22"/>
          <w:szCs w:val="22"/>
          <w:lang w:val="en-NZ" w:eastAsia="ko-KR"/>
        </w:rPr>
        <w:t>Research and information</w:t>
      </w:r>
    </w:p>
    <w:p w14:paraId="35AE2260" w14:textId="77777777" w:rsidR="00D41635" w:rsidRPr="004635E5" w:rsidRDefault="00D41635" w:rsidP="00580EA4">
      <w:pPr>
        <w:pStyle w:val="ListParagraph"/>
        <w:numPr>
          <w:ilvl w:val="3"/>
          <w:numId w:val="15"/>
        </w:numPr>
        <w:adjustRightInd w:val="0"/>
        <w:snapToGrid w:val="0"/>
        <w:jc w:val="both"/>
        <w:rPr>
          <w:rFonts w:eastAsia="Batang"/>
          <w:sz w:val="22"/>
          <w:szCs w:val="22"/>
          <w:lang w:val="en-NZ" w:eastAsia="ko-KR"/>
        </w:rPr>
      </w:pPr>
      <w:r w:rsidRPr="004635E5">
        <w:rPr>
          <w:rFonts w:eastAsia="Batang"/>
          <w:sz w:val="22"/>
          <w:szCs w:val="22"/>
          <w:lang w:val="en-NZ" w:eastAsia="ko-KR"/>
        </w:rPr>
        <w:t>Provision of scientific information</w:t>
      </w:r>
    </w:p>
    <w:p w14:paraId="74698A59" w14:textId="77777777" w:rsidR="00D41635" w:rsidRPr="004635E5" w:rsidRDefault="00D41635" w:rsidP="00580EA4">
      <w:pPr>
        <w:pStyle w:val="ListParagraph"/>
        <w:numPr>
          <w:ilvl w:val="0"/>
          <w:numId w:val="77"/>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Status and trends </w:t>
      </w:r>
    </w:p>
    <w:p w14:paraId="0FED717F" w14:textId="77777777" w:rsidR="00D41635" w:rsidRPr="004635E5" w:rsidRDefault="00D41635" w:rsidP="00580EA4">
      <w:pPr>
        <w:pStyle w:val="ListParagraph"/>
        <w:numPr>
          <w:ilvl w:val="0"/>
          <w:numId w:val="77"/>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2327BDAD" w14:textId="77777777" w:rsidR="00D41635" w:rsidRPr="004635E5" w:rsidRDefault="00D41635" w:rsidP="00580EA4">
      <w:pPr>
        <w:pStyle w:val="ListParagraph"/>
        <w:numPr>
          <w:ilvl w:val="2"/>
          <w:numId w:val="15"/>
        </w:numPr>
        <w:adjustRightInd w:val="0"/>
        <w:snapToGrid w:val="0"/>
        <w:jc w:val="both"/>
        <w:rPr>
          <w:rFonts w:eastAsia="Batang"/>
          <w:b/>
          <w:bCs/>
          <w:sz w:val="22"/>
          <w:szCs w:val="22"/>
          <w:lang w:val="en-NZ" w:eastAsia="ko-KR"/>
        </w:rPr>
      </w:pPr>
      <w:r w:rsidRPr="004635E5">
        <w:rPr>
          <w:rFonts w:eastAsia="Batang"/>
          <w:b/>
          <w:bCs/>
          <w:sz w:val="22"/>
          <w:szCs w:val="22"/>
          <w:lang w:val="en-NZ" w:eastAsia="ko-KR"/>
        </w:rPr>
        <w:t>Southwest Pacific striped marlin (</w:t>
      </w:r>
      <w:r w:rsidRPr="004635E5">
        <w:rPr>
          <w:rFonts w:eastAsia="Batang"/>
          <w:b/>
          <w:bCs/>
          <w:i/>
          <w:sz w:val="22"/>
          <w:szCs w:val="22"/>
          <w:lang w:val="en-NZ" w:eastAsia="ko-KR"/>
        </w:rPr>
        <w:t>Kajikia audax</w:t>
      </w:r>
      <w:r w:rsidRPr="004635E5">
        <w:rPr>
          <w:rFonts w:eastAsia="Batang"/>
          <w:b/>
          <w:bCs/>
          <w:sz w:val="22"/>
          <w:szCs w:val="22"/>
          <w:lang w:val="en-NZ" w:eastAsia="ko-KR"/>
        </w:rPr>
        <w:t>)</w:t>
      </w:r>
    </w:p>
    <w:p w14:paraId="46A45397" w14:textId="77777777" w:rsidR="00D41635" w:rsidRPr="004635E5" w:rsidRDefault="00D41635" w:rsidP="00580EA4">
      <w:pPr>
        <w:pStyle w:val="ListParagraph"/>
        <w:numPr>
          <w:ilvl w:val="3"/>
          <w:numId w:val="15"/>
        </w:numPr>
        <w:adjustRightInd w:val="0"/>
        <w:snapToGrid w:val="0"/>
        <w:jc w:val="both"/>
        <w:rPr>
          <w:rFonts w:eastAsia="Batang"/>
          <w:sz w:val="22"/>
          <w:szCs w:val="22"/>
          <w:lang w:val="en-NZ" w:eastAsia="ko-KR"/>
        </w:rPr>
      </w:pPr>
      <w:r w:rsidRPr="004635E5">
        <w:rPr>
          <w:rFonts w:eastAsia="Batang"/>
          <w:sz w:val="22"/>
          <w:szCs w:val="22"/>
          <w:lang w:val="en-NZ" w:eastAsia="ko-KR"/>
        </w:rPr>
        <w:t>Research and information</w:t>
      </w:r>
    </w:p>
    <w:p w14:paraId="2927951C" w14:textId="77777777" w:rsidR="00D41635" w:rsidRPr="004635E5" w:rsidRDefault="00D41635" w:rsidP="00580EA4">
      <w:pPr>
        <w:pStyle w:val="ListParagraph"/>
        <w:numPr>
          <w:ilvl w:val="3"/>
          <w:numId w:val="15"/>
        </w:numPr>
        <w:adjustRightInd w:val="0"/>
        <w:snapToGrid w:val="0"/>
        <w:jc w:val="both"/>
        <w:rPr>
          <w:rFonts w:eastAsia="Batang"/>
          <w:sz w:val="22"/>
          <w:szCs w:val="22"/>
          <w:lang w:val="en-NZ" w:eastAsia="ko-KR"/>
        </w:rPr>
      </w:pPr>
      <w:r w:rsidRPr="004635E5">
        <w:rPr>
          <w:rFonts w:eastAsia="Batang"/>
          <w:sz w:val="22"/>
          <w:szCs w:val="22"/>
          <w:lang w:val="en-NZ" w:eastAsia="ko-KR"/>
        </w:rPr>
        <w:t>Provision of scientific information</w:t>
      </w:r>
    </w:p>
    <w:p w14:paraId="6E90110F" w14:textId="77777777" w:rsidR="00D41635" w:rsidRPr="004635E5" w:rsidRDefault="00D41635" w:rsidP="00580EA4">
      <w:pPr>
        <w:pStyle w:val="ListParagraph"/>
        <w:numPr>
          <w:ilvl w:val="0"/>
          <w:numId w:val="78"/>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Status and trends </w:t>
      </w:r>
    </w:p>
    <w:p w14:paraId="27EB6E01" w14:textId="77777777" w:rsidR="00D41635" w:rsidRPr="004635E5" w:rsidRDefault="00D41635" w:rsidP="00580EA4">
      <w:pPr>
        <w:pStyle w:val="ListParagraph"/>
        <w:numPr>
          <w:ilvl w:val="0"/>
          <w:numId w:val="78"/>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0DE7D217" w14:textId="77777777" w:rsidR="00D41635" w:rsidRPr="004635E5" w:rsidRDefault="00D41635" w:rsidP="00580EA4">
      <w:pPr>
        <w:pStyle w:val="ListParagraph"/>
        <w:numPr>
          <w:ilvl w:val="2"/>
          <w:numId w:val="15"/>
        </w:numPr>
        <w:adjustRightInd w:val="0"/>
        <w:snapToGrid w:val="0"/>
        <w:jc w:val="both"/>
        <w:rPr>
          <w:rFonts w:eastAsia="Batang"/>
          <w:b/>
          <w:bCs/>
          <w:sz w:val="22"/>
          <w:szCs w:val="22"/>
          <w:lang w:val="en-NZ" w:eastAsia="ko-KR"/>
        </w:rPr>
      </w:pPr>
      <w:r w:rsidRPr="004635E5">
        <w:rPr>
          <w:rFonts w:eastAsia="Batang"/>
          <w:b/>
          <w:bCs/>
          <w:sz w:val="22"/>
          <w:szCs w:val="22"/>
          <w:lang w:val="en-NZ" w:eastAsia="ko-KR"/>
        </w:rPr>
        <w:t>North Pacific striped marlin (</w:t>
      </w:r>
      <w:r w:rsidRPr="004635E5">
        <w:rPr>
          <w:rFonts w:eastAsia="Batang"/>
          <w:b/>
          <w:bCs/>
          <w:i/>
          <w:sz w:val="22"/>
          <w:szCs w:val="22"/>
          <w:lang w:val="en-NZ" w:eastAsia="ko-KR"/>
        </w:rPr>
        <w:t>Kajikia audax</w:t>
      </w:r>
      <w:r w:rsidRPr="004635E5">
        <w:rPr>
          <w:rFonts w:eastAsia="Batang"/>
          <w:b/>
          <w:bCs/>
          <w:sz w:val="22"/>
          <w:szCs w:val="22"/>
          <w:lang w:val="en-NZ" w:eastAsia="ko-KR"/>
        </w:rPr>
        <w:t>)</w:t>
      </w:r>
    </w:p>
    <w:p w14:paraId="117378E7" w14:textId="77777777" w:rsidR="00D41635" w:rsidRPr="004635E5" w:rsidRDefault="00D41635" w:rsidP="00580EA4">
      <w:pPr>
        <w:pStyle w:val="ListParagraph"/>
        <w:numPr>
          <w:ilvl w:val="3"/>
          <w:numId w:val="15"/>
        </w:numPr>
        <w:adjustRightInd w:val="0"/>
        <w:snapToGrid w:val="0"/>
        <w:jc w:val="both"/>
        <w:rPr>
          <w:rFonts w:eastAsia="Batang"/>
          <w:sz w:val="22"/>
          <w:szCs w:val="22"/>
          <w:lang w:val="en-NZ" w:eastAsia="ko-KR"/>
        </w:rPr>
      </w:pPr>
      <w:r w:rsidRPr="004635E5">
        <w:rPr>
          <w:rFonts w:eastAsia="Batang"/>
          <w:sz w:val="22"/>
          <w:szCs w:val="22"/>
          <w:lang w:val="en-NZ" w:eastAsia="ko-KR"/>
        </w:rPr>
        <w:t>Research and information</w:t>
      </w:r>
    </w:p>
    <w:p w14:paraId="15F1E068" w14:textId="77777777" w:rsidR="00D41635" w:rsidRPr="004635E5" w:rsidRDefault="00D41635" w:rsidP="00580EA4">
      <w:pPr>
        <w:pStyle w:val="ListParagraph"/>
        <w:numPr>
          <w:ilvl w:val="3"/>
          <w:numId w:val="15"/>
        </w:numPr>
        <w:adjustRightInd w:val="0"/>
        <w:snapToGrid w:val="0"/>
        <w:jc w:val="both"/>
        <w:rPr>
          <w:rFonts w:eastAsia="Batang"/>
          <w:sz w:val="22"/>
          <w:szCs w:val="22"/>
          <w:lang w:val="en-NZ" w:eastAsia="ko-KR"/>
        </w:rPr>
      </w:pPr>
      <w:r w:rsidRPr="004635E5">
        <w:rPr>
          <w:rFonts w:eastAsia="Batang"/>
          <w:sz w:val="22"/>
          <w:szCs w:val="22"/>
          <w:lang w:val="en-NZ" w:eastAsia="ko-KR"/>
        </w:rPr>
        <w:t>Provision of scientific information</w:t>
      </w:r>
    </w:p>
    <w:p w14:paraId="7B3AA8E1" w14:textId="77777777" w:rsidR="00D41635" w:rsidRPr="004635E5" w:rsidRDefault="00D41635" w:rsidP="00580EA4">
      <w:pPr>
        <w:pStyle w:val="ListParagraph"/>
        <w:numPr>
          <w:ilvl w:val="0"/>
          <w:numId w:val="6"/>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Status and trends </w:t>
      </w:r>
    </w:p>
    <w:p w14:paraId="146DBB4C" w14:textId="77777777" w:rsidR="00D41635" w:rsidRPr="004635E5" w:rsidRDefault="00D41635" w:rsidP="00580EA4">
      <w:pPr>
        <w:pStyle w:val="ListParagraph"/>
        <w:numPr>
          <w:ilvl w:val="0"/>
          <w:numId w:val="6"/>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50B71A51" w14:textId="77777777" w:rsidR="00D41635" w:rsidRPr="004635E5" w:rsidRDefault="00D41635" w:rsidP="00580EA4">
      <w:pPr>
        <w:pStyle w:val="ListParagraph"/>
        <w:numPr>
          <w:ilvl w:val="2"/>
          <w:numId w:val="15"/>
        </w:numPr>
        <w:adjustRightInd w:val="0"/>
        <w:snapToGrid w:val="0"/>
        <w:jc w:val="both"/>
        <w:rPr>
          <w:rFonts w:eastAsia="Batang"/>
          <w:b/>
          <w:bCs/>
          <w:sz w:val="22"/>
          <w:szCs w:val="22"/>
          <w:lang w:val="en-NZ" w:eastAsia="ko-KR"/>
        </w:rPr>
      </w:pPr>
      <w:r w:rsidRPr="004635E5">
        <w:rPr>
          <w:rFonts w:eastAsia="Batang"/>
          <w:b/>
          <w:sz w:val="22"/>
          <w:szCs w:val="22"/>
          <w:lang w:val="en-AU" w:eastAsia="ko-KR"/>
        </w:rPr>
        <w:t>Pacific blue marlin</w:t>
      </w:r>
      <w:r w:rsidRPr="004635E5">
        <w:rPr>
          <w:rFonts w:eastAsia="Batang"/>
          <w:b/>
          <w:bCs/>
          <w:sz w:val="22"/>
          <w:szCs w:val="22"/>
          <w:lang w:val="en-NZ" w:eastAsia="ko-KR"/>
        </w:rPr>
        <w:t xml:space="preserve">  (</w:t>
      </w:r>
      <w:r w:rsidRPr="004635E5">
        <w:rPr>
          <w:rFonts w:eastAsia="Batang"/>
          <w:b/>
          <w:bCs/>
          <w:i/>
          <w:sz w:val="22"/>
          <w:szCs w:val="22"/>
          <w:lang w:val="en-NZ" w:eastAsia="ko-KR"/>
        </w:rPr>
        <w:t>Makaira nigricans</w:t>
      </w:r>
      <w:r w:rsidRPr="004635E5">
        <w:rPr>
          <w:rFonts w:eastAsia="Batang"/>
          <w:b/>
          <w:bCs/>
          <w:sz w:val="22"/>
          <w:szCs w:val="22"/>
          <w:lang w:val="en-NZ" w:eastAsia="ko-KR"/>
        </w:rPr>
        <w:t xml:space="preserve">) </w:t>
      </w:r>
    </w:p>
    <w:p w14:paraId="1B7968C0" w14:textId="77777777" w:rsidR="00D41635" w:rsidRPr="004635E5" w:rsidRDefault="00D41635" w:rsidP="00580EA4">
      <w:pPr>
        <w:pStyle w:val="ListParagraph"/>
        <w:numPr>
          <w:ilvl w:val="3"/>
          <w:numId w:val="15"/>
        </w:numPr>
        <w:adjustRightInd w:val="0"/>
        <w:snapToGrid w:val="0"/>
        <w:jc w:val="both"/>
        <w:rPr>
          <w:rFonts w:eastAsia="Batang"/>
          <w:sz w:val="22"/>
          <w:szCs w:val="22"/>
          <w:lang w:val="en-NZ" w:eastAsia="ko-KR"/>
        </w:rPr>
      </w:pPr>
      <w:r w:rsidRPr="004635E5">
        <w:rPr>
          <w:rFonts w:eastAsia="Batang"/>
          <w:sz w:val="22"/>
          <w:szCs w:val="22"/>
          <w:lang w:val="en-NZ" w:eastAsia="ko-KR"/>
        </w:rPr>
        <w:t>Research and information</w:t>
      </w:r>
    </w:p>
    <w:p w14:paraId="1BB440A1" w14:textId="77777777" w:rsidR="00D41635" w:rsidRPr="004635E5" w:rsidRDefault="00D41635" w:rsidP="00580EA4">
      <w:pPr>
        <w:pStyle w:val="ListParagraph"/>
        <w:numPr>
          <w:ilvl w:val="3"/>
          <w:numId w:val="15"/>
        </w:numPr>
        <w:adjustRightInd w:val="0"/>
        <w:snapToGrid w:val="0"/>
        <w:jc w:val="both"/>
        <w:rPr>
          <w:rFonts w:eastAsia="Batang"/>
          <w:sz w:val="22"/>
          <w:szCs w:val="22"/>
          <w:lang w:val="en-NZ" w:eastAsia="ko-KR"/>
        </w:rPr>
      </w:pPr>
      <w:r w:rsidRPr="004635E5">
        <w:rPr>
          <w:rFonts w:eastAsia="Batang"/>
          <w:sz w:val="22"/>
          <w:szCs w:val="22"/>
          <w:lang w:val="en-NZ" w:eastAsia="ko-KR"/>
        </w:rPr>
        <w:t>Provision of scientific information</w:t>
      </w:r>
    </w:p>
    <w:p w14:paraId="6D2020C6" w14:textId="77777777" w:rsidR="00D41635" w:rsidRPr="004635E5" w:rsidRDefault="00D41635" w:rsidP="00580EA4">
      <w:pPr>
        <w:pStyle w:val="ListParagraph"/>
        <w:numPr>
          <w:ilvl w:val="0"/>
          <w:numId w:val="12"/>
        </w:numPr>
        <w:adjustRightInd w:val="0"/>
        <w:snapToGrid w:val="0"/>
        <w:jc w:val="both"/>
        <w:rPr>
          <w:rFonts w:eastAsia="Batang"/>
          <w:sz w:val="22"/>
          <w:szCs w:val="22"/>
          <w:lang w:val="en-NZ" w:eastAsia="ko-KR"/>
        </w:rPr>
      </w:pPr>
      <w:r w:rsidRPr="004635E5">
        <w:rPr>
          <w:rFonts w:eastAsia="Batang"/>
          <w:sz w:val="22"/>
          <w:szCs w:val="22"/>
          <w:lang w:val="en-NZ" w:eastAsia="ko-KR"/>
        </w:rPr>
        <w:t xml:space="preserve">Status and trends </w:t>
      </w:r>
    </w:p>
    <w:p w14:paraId="0496464B" w14:textId="77777777" w:rsidR="00D41635" w:rsidRPr="004635E5" w:rsidRDefault="00D41635" w:rsidP="00580EA4">
      <w:pPr>
        <w:pStyle w:val="ListParagraph"/>
        <w:numPr>
          <w:ilvl w:val="0"/>
          <w:numId w:val="12"/>
        </w:numPr>
        <w:adjustRightInd w:val="0"/>
        <w:snapToGrid w:val="0"/>
        <w:jc w:val="both"/>
        <w:rPr>
          <w:rFonts w:eastAsia="Batang"/>
          <w:sz w:val="22"/>
          <w:szCs w:val="22"/>
          <w:lang w:val="en-NZ" w:eastAsia="ko-KR"/>
        </w:rPr>
      </w:pPr>
      <w:r w:rsidRPr="004635E5">
        <w:rPr>
          <w:rFonts w:eastAsia="Batang"/>
          <w:sz w:val="22"/>
          <w:szCs w:val="22"/>
          <w:lang w:val="en-NZ" w:eastAsia="ko-KR"/>
        </w:rPr>
        <w:t xml:space="preserve">Management advice and implications </w:t>
      </w:r>
    </w:p>
    <w:p w14:paraId="14135030" w14:textId="77777777" w:rsidR="00D41635" w:rsidRPr="004635E5" w:rsidRDefault="00D41635" w:rsidP="00E41116">
      <w:pPr>
        <w:pStyle w:val="ListParagraph"/>
        <w:adjustRightInd w:val="0"/>
        <w:snapToGrid w:val="0"/>
        <w:ind w:left="0"/>
        <w:jc w:val="both"/>
        <w:rPr>
          <w:b/>
          <w:vanish/>
          <w:sz w:val="22"/>
          <w:szCs w:val="22"/>
          <w:lang w:val="en-NZ"/>
        </w:rPr>
      </w:pPr>
    </w:p>
    <w:p w14:paraId="43F809F8" w14:textId="77777777" w:rsidR="00D41635" w:rsidRPr="004635E5" w:rsidRDefault="00EE2E72" w:rsidP="00E41116">
      <w:pPr>
        <w:adjustRightInd w:val="0"/>
        <w:snapToGrid w:val="0"/>
        <w:jc w:val="both"/>
        <w:rPr>
          <w:b/>
          <w:sz w:val="22"/>
          <w:szCs w:val="22"/>
          <w:lang w:val="en-NZ"/>
        </w:rPr>
      </w:pPr>
      <w:r w:rsidRPr="004635E5">
        <w:rPr>
          <w:b/>
          <w:sz w:val="22"/>
          <w:szCs w:val="22"/>
          <w:lang w:val="en-NZ"/>
        </w:rPr>
        <w:t xml:space="preserve">AGENDA ITEM 5 — </w:t>
      </w:r>
      <w:r w:rsidR="00D41635" w:rsidRPr="004635E5">
        <w:rPr>
          <w:b/>
          <w:sz w:val="22"/>
          <w:szCs w:val="22"/>
          <w:lang w:val="en-NZ"/>
        </w:rPr>
        <w:t>MANAGEMENT ISSUES THEME</w:t>
      </w:r>
    </w:p>
    <w:p w14:paraId="1DA34257" w14:textId="77777777" w:rsidR="00D41635" w:rsidRPr="004635E5" w:rsidRDefault="00D41635" w:rsidP="00E41116">
      <w:pPr>
        <w:adjustRightInd w:val="0"/>
        <w:snapToGrid w:val="0"/>
        <w:jc w:val="both"/>
        <w:rPr>
          <w:b/>
          <w:sz w:val="22"/>
          <w:szCs w:val="22"/>
          <w:lang w:val="en-NZ"/>
        </w:rPr>
      </w:pPr>
    </w:p>
    <w:p w14:paraId="1B34D5E1" w14:textId="77777777" w:rsidR="00D41635" w:rsidRPr="004635E5" w:rsidRDefault="00D41635" w:rsidP="00E41116">
      <w:pPr>
        <w:pStyle w:val="ListParagraph"/>
        <w:numPr>
          <w:ilvl w:val="0"/>
          <w:numId w:val="3"/>
        </w:numPr>
        <w:adjustRightInd w:val="0"/>
        <w:snapToGrid w:val="0"/>
        <w:jc w:val="both"/>
        <w:rPr>
          <w:b/>
          <w:vanish/>
          <w:sz w:val="22"/>
          <w:szCs w:val="22"/>
          <w:lang w:val="en-NZ"/>
        </w:rPr>
      </w:pPr>
    </w:p>
    <w:p w14:paraId="54FDDD26" w14:textId="77777777" w:rsidR="00D41635" w:rsidRPr="004635E5" w:rsidRDefault="00D41635" w:rsidP="00E41116">
      <w:pPr>
        <w:pStyle w:val="ListParagraph"/>
        <w:adjustRightInd w:val="0"/>
        <w:snapToGrid w:val="0"/>
        <w:ind w:left="360"/>
        <w:jc w:val="both"/>
        <w:rPr>
          <w:b/>
          <w:vanish/>
          <w:sz w:val="22"/>
          <w:szCs w:val="22"/>
          <w:lang w:val="en-NZ"/>
        </w:rPr>
      </w:pPr>
    </w:p>
    <w:p w14:paraId="2A19CE6D" w14:textId="77777777" w:rsidR="00D41635" w:rsidRPr="004635E5" w:rsidRDefault="00D41635" w:rsidP="00E41116">
      <w:pPr>
        <w:numPr>
          <w:ilvl w:val="1"/>
          <w:numId w:val="3"/>
        </w:numPr>
        <w:adjustRightInd w:val="0"/>
        <w:snapToGrid w:val="0"/>
        <w:jc w:val="both"/>
        <w:rPr>
          <w:b/>
          <w:sz w:val="22"/>
          <w:szCs w:val="22"/>
          <w:lang w:val="en-NZ"/>
        </w:rPr>
      </w:pPr>
      <w:r w:rsidRPr="004635E5">
        <w:rPr>
          <w:rFonts w:eastAsiaTheme="minorEastAsia"/>
          <w:b/>
          <w:sz w:val="22"/>
          <w:szCs w:val="22"/>
          <w:lang w:val="en-NZ" w:eastAsia="ko-KR"/>
        </w:rPr>
        <w:t>Development of harvest strategy framework</w:t>
      </w:r>
    </w:p>
    <w:p w14:paraId="3B10FA59" w14:textId="77777777" w:rsidR="00D41635" w:rsidRPr="004635E5" w:rsidRDefault="00D41635" w:rsidP="00580EA4">
      <w:pPr>
        <w:pStyle w:val="ListParagraph"/>
        <w:numPr>
          <w:ilvl w:val="0"/>
          <w:numId w:val="16"/>
        </w:numPr>
        <w:adjustRightInd w:val="0"/>
        <w:snapToGrid w:val="0"/>
        <w:ind w:left="0" w:firstLine="0"/>
        <w:jc w:val="both"/>
        <w:rPr>
          <w:rFonts w:eastAsiaTheme="minorEastAsia"/>
          <w:bCs/>
          <w:sz w:val="22"/>
          <w:szCs w:val="22"/>
          <w:lang w:val="en-NZ" w:eastAsia="ko-KR"/>
        </w:rPr>
      </w:pPr>
      <w:r w:rsidRPr="004635E5">
        <w:rPr>
          <w:rFonts w:eastAsiaTheme="minorEastAsia"/>
          <w:bCs/>
          <w:sz w:val="22"/>
          <w:szCs w:val="22"/>
          <w:lang w:val="en-NZ" w:eastAsia="ko-KR"/>
        </w:rPr>
        <w:t>Progress of the harvest strategy workplan</w:t>
      </w:r>
    </w:p>
    <w:p w14:paraId="1560FE81" w14:textId="77777777" w:rsidR="00D41635" w:rsidRPr="004635E5" w:rsidRDefault="00D41635" w:rsidP="00580EA4">
      <w:pPr>
        <w:pStyle w:val="ListParagraph"/>
        <w:numPr>
          <w:ilvl w:val="0"/>
          <w:numId w:val="16"/>
        </w:numPr>
        <w:adjustRightInd w:val="0"/>
        <w:snapToGrid w:val="0"/>
        <w:ind w:left="0" w:firstLine="0"/>
        <w:jc w:val="both"/>
        <w:rPr>
          <w:rFonts w:eastAsiaTheme="minorEastAsia"/>
          <w:bCs/>
          <w:sz w:val="22"/>
          <w:szCs w:val="22"/>
          <w:lang w:val="en-NZ" w:eastAsia="ko-KR"/>
        </w:rPr>
      </w:pPr>
      <w:r w:rsidRPr="004635E5">
        <w:rPr>
          <w:rFonts w:eastAsiaTheme="minorEastAsia"/>
          <w:bCs/>
          <w:sz w:val="22"/>
          <w:szCs w:val="22"/>
          <w:lang w:val="en-NZ" w:eastAsia="ko-KR"/>
        </w:rPr>
        <w:t>Target reference points</w:t>
      </w:r>
    </w:p>
    <w:p w14:paraId="451049FE" w14:textId="77777777" w:rsidR="00D41635" w:rsidRPr="004635E5" w:rsidRDefault="00D41635" w:rsidP="00580EA4">
      <w:pPr>
        <w:pStyle w:val="ListParagraph"/>
        <w:numPr>
          <w:ilvl w:val="0"/>
          <w:numId w:val="16"/>
        </w:numPr>
        <w:adjustRightInd w:val="0"/>
        <w:snapToGrid w:val="0"/>
        <w:ind w:left="0" w:firstLine="0"/>
        <w:jc w:val="both"/>
        <w:rPr>
          <w:rFonts w:eastAsiaTheme="minorEastAsia"/>
          <w:bCs/>
          <w:sz w:val="22"/>
          <w:szCs w:val="22"/>
          <w:lang w:val="en-NZ" w:eastAsia="ko-KR"/>
        </w:rPr>
      </w:pPr>
      <w:r w:rsidRPr="004635E5">
        <w:rPr>
          <w:rFonts w:eastAsiaTheme="minorEastAsia"/>
          <w:bCs/>
          <w:sz w:val="22"/>
          <w:szCs w:val="22"/>
          <w:lang w:val="en-NZ" w:eastAsia="ko-KR"/>
        </w:rPr>
        <w:t>Performance indicators, monitoring strategies and harvest control rules</w:t>
      </w:r>
    </w:p>
    <w:p w14:paraId="1CF378C8" w14:textId="77777777" w:rsidR="00D41635" w:rsidRPr="004635E5" w:rsidRDefault="00D41635" w:rsidP="00580EA4">
      <w:pPr>
        <w:pStyle w:val="ListParagraph"/>
        <w:numPr>
          <w:ilvl w:val="0"/>
          <w:numId w:val="16"/>
        </w:numPr>
        <w:adjustRightInd w:val="0"/>
        <w:snapToGrid w:val="0"/>
        <w:ind w:left="0" w:firstLine="0"/>
        <w:jc w:val="both"/>
        <w:rPr>
          <w:rFonts w:eastAsiaTheme="minorEastAsia"/>
          <w:bCs/>
          <w:sz w:val="22"/>
          <w:szCs w:val="22"/>
          <w:lang w:val="en-NZ" w:eastAsia="ko-KR"/>
        </w:rPr>
      </w:pPr>
      <w:r w:rsidRPr="004635E5">
        <w:rPr>
          <w:rFonts w:eastAsiaTheme="minorEastAsia"/>
          <w:bCs/>
          <w:sz w:val="22"/>
          <w:szCs w:val="22"/>
          <w:lang w:val="en-NZ" w:eastAsia="ko-KR"/>
        </w:rPr>
        <w:t>Management Strategy Evaluation (MSE)</w:t>
      </w:r>
    </w:p>
    <w:p w14:paraId="436D4C86" w14:textId="77777777" w:rsidR="00D41635" w:rsidRPr="004635E5" w:rsidRDefault="00D41635" w:rsidP="00580EA4">
      <w:pPr>
        <w:pStyle w:val="ListParagraph"/>
        <w:numPr>
          <w:ilvl w:val="0"/>
          <w:numId w:val="16"/>
        </w:numPr>
        <w:adjustRightInd w:val="0"/>
        <w:snapToGrid w:val="0"/>
        <w:ind w:left="0" w:firstLine="0"/>
        <w:jc w:val="both"/>
        <w:rPr>
          <w:rFonts w:eastAsiaTheme="minorEastAsia"/>
          <w:sz w:val="22"/>
          <w:szCs w:val="22"/>
          <w:lang w:eastAsia="ko-KR"/>
        </w:rPr>
      </w:pPr>
      <w:r w:rsidRPr="004635E5">
        <w:rPr>
          <w:rFonts w:eastAsiaTheme="minorEastAsia"/>
          <w:sz w:val="22"/>
          <w:szCs w:val="22"/>
          <w:lang w:eastAsia="ko-KR"/>
        </w:rPr>
        <w:t>Other matters</w:t>
      </w:r>
    </w:p>
    <w:p w14:paraId="531D8F8A" w14:textId="77777777" w:rsidR="00D41635" w:rsidRPr="004635E5" w:rsidRDefault="00D41635" w:rsidP="00580EA4">
      <w:pPr>
        <w:pStyle w:val="ListParagraph"/>
        <w:numPr>
          <w:ilvl w:val="1"/>
          <w:numId w:val="16"/>
        </w:numPr>
        <w:adjustRightInd w:val="0"/>
        <w:snapToGrid w:val="0"/>
        <w:ind w:left="1170"/>
        <w:jc w:val="both"/>
        <w:rPr>
          <w:rFonts w:eastAsiaTheme="minorEastAsia"/>
          <w:sz w:val="22"/>
          <w:szCs w:val="22"/>
          <w:lang w:val="en-AU" w:eastAsia="ko-KR"/>
        </w:rPr>
      </w:pPr>
      <w:r w:rsidRPr="004635E5">
        <w:rPr>
          <w:rFonts w:eastAsiaTheme="minorEastAsia"/>
          <w:sz w:val="22"/>
          <w:szCs w:val="22"/>
          <w:lang w:eastAsia="ko-KR"/>
        </w:rPr>
        <w:t>Science and management dialogue</w:t>
      </w:r>
    </w:p>
    <w:p w14:paraId="30187953" w14:textId="77777777" w:rsidR="00D41635" w:rsidRPr="004635E5" w:rsidRDefault="00D41635" w:rsidP="00E41116">
      <w:pPr>
        <w:numPr>
          <w:ilvl w:val="1"/>
          <w:numId w:val="3"/>
        </w:numPr>
        <w:adjustRightInd w:val="0"/>
        <w:snapToGrid w:val="0"/>
        <w:jc w:val="both"/>
        <w:rPr>
          <w:b/>
          <w:sz w:val="22"/>
          <w:szCs w:val="22"/>
          <w:lang w:val="en-NZ"/>
        </w:rPr>
      </w:pPr>
      <w:r w:rsidRPr="004635E5">
        <w:rPr>
          <w:b/>
          <w:sz w:val="22"/>
          <w:szCs w:val="22"/>
          <w:lang w:val="en-NZ"/>
        </w:rPr>
        <w:t>Limit reference points for WCPFC</w:t>
      </w:r>
      <w:r w:rsidRPr="004635E5">
        <w:rPr>
          <w:rFonts w:eastAsiaTheme="minorEastAsia"/>
          <w:b/>
          <w:sz w:val="22"/>
          <w:szCs w:val="22"/>
          <w:lang w:val="en-NZ" w:eastAsia="ko-KR"/>
        </w:rPr>
        <w:t xml:space="preserve"> sharks </w:t>
      </w:r>
    </w:p>
    <w:p w14:paraId="35F336FA" w14:textId="77777777" w:rsidR="00D41635" w:rsidRPr="004635E5" w:rsidRDefault="00D41635" w:rsidP="00580EA4">
      <w:pPr>
        <w:pStyle w:val="ListParagraph"/>
        <w:numPr>
          <w:ilvl w:val="0"/>
          <w:numId w:val="86"/>
        </w:numPr>
        <w:adjustRightInd w:val="0"/>
        <w:snapToGrid w:val="0"/>
        <w:jc w:val="both"/>
        <w:rPr>
          <w:vanish/>
          <w:sz w:val="22"/>
          <w:szCs w:val="22"/>
          <w:lang w:eastAsia="ko-KR"/>
        </w:rPr>
      </w:pPr>
    </w:p>
    <w:p w14:paraId="4E90D5C8" w14:textId="77777777" w:rsidR="00D41635" w:rsidRPr="004635E5" w:rsidRDefault="00D41635" w:rsidP="00580EA4">
      <w:pPr>
        <w:pStyle w:val="ListParagraph"/>
        <w:numPr>
          <w:ilvl w:val="1"/>
          <w:numId w:val="86"/>
        </w:numPr>
        <w:adjustRightInd w:val="0"/>
        <w:snapToGrid w:val="0"/>
        <w:jc w:val="both"/>
        <w:rPr>
          <w:vanish/>
          <w:sz w:val="22"/>
          <w:szCs w:val="22"/>
          <w:lang w:eastAsia="ko-KR"/>
        </w:rPr>
      </w:pPr>
    </w:p>
    <w:p w14:paraId="25664601" w14:textId="77777777" w:rsidR="00D41635" w:rsidRPr="004635E5" w:rsidRDefault="00D41635" w:rsidP="00580EA4">
      <w:pPr>
        <w:pStyle w:val="ListParagraph"/>
        <w:numPr>
          <w:ilvl w:val="1"/>
          <w:numId w:val="86"/>
        </w:numPr>
        <w:adjustRightInd w:val="0"/>
        <w:snapToGrid w:val="0"/>
        <w:jc w:val="both"/>
        <w:rPr>
          <w:vanish/>
          <w:sz w:val="22"/>
          <w:szCs w:val="22"/>
          <w:lang w:eastAsia="ko-KR"/>
        </w:rPr>
      </w:pPr>
    </w:p>
    <w:p w14:paraId="5F9860DD" w14:textId="77777777" w:rsidR="00D41635" w:rsidRPr="004635E5" w:rsidRDefault="00D41635" w:rsidP="00580EA4">
      <w:pPr>
        <w:pStyle w:val="ListParagraph"/>
        <w:numPr>
          <w:ilvl w:val="2"/>
          <w:numId w:val="86"/>
        </w:numPr>
        <w:adjustRightInd w:val="0"/>
        <w:snapToGrid w:val="0"/>
        <w:ind w:left="720"/>
        <w:jc w:val="both"/>
        <w:rPr>
          <w:bCs/>
          <w:i/>
          <w:sz w:val="22"/>
          <w:szCs w:val="22"/>
          <w:lang w:val="en-NZ"/>
        </w:rPr>
      </w:pPr>
      <w:r w:rsidRPr="004635E5">
        <w:rPr>
          <w:sz w:val="22"/>
          <w:szCs w:val="22"/>
          <w:lang w:eastAsia="ko-KR"/>
        </w:rPr>
        <w:t xml:space="preserve">Identifying appropriate </w:t>
      </w:r>
      <w:r w:rsidRPr="004635E5">
        <w:rPr>
          <w:rFonts w:eastAsiaTheme="minorEastAsia"/>
          <w:sz w:val="22"/>
          <w:szCs w:val="22"/>
          <w:lang w:eastAsia="ko-KR"/>
        </w:rPr>
        <w:t>limit reference points</w:t>
      </w:r>
      <w:r w:rsidRPr="004635E5">
        <w:rPr>
          <w:sz w:val="22"/>
          <w:szCs w:val="22"/>
          <w:lang w:eastAsia="ko-KR"/>
        </w:rPr>
        <w:t xml:space="preserve"> for elasmobranchs </w:t>
      </w:r>
      <w:r w:rsidRPr="004635E5">
        <w:rPr>
          <w:rFonts w:eastAsiaTheme="minorEastAsia"/>
          <w:sz w:val="22"/>
          <w:szCs w:val="22"/>
          <w:lang w:eastAsia="ko-KR"/>
        </w:rPr>
        <w:t>for</w:t>
      </w:r>
      <w:r w:rsidRPr="004635E5">
        <w:rPr>
          <w:sz w:val="22"/>
          <w:szCs w:val="22"/>
          <w:lang w:eastAsia="ko-KR"/>
        </w:rPr>
        <w:t xml:space="preserve"> the WCPFC</w:t>
      </w:r>
      <w:r w:rsidRPr="004635E5">
        <w:rPr>
          <w:rFonts w:eastAsiaTheme="minorEastAsia"/>
          <w:sz w:val="22"/>
          <w:szCs w:val="22"/>
          <w:lang w:eastAsia="ko-KR"/>
        </w:rPr>
        <w:t xml:space="preserve"> </w:t>
      </w:r>
    </w:p>
    <w:p w14:paraId="73C8E994" w14:textId="77777777" w:rsidR="00953800" w:rsidRPr="00953800" w:rsidRDefault="00953800" w:rsidP="00580EA4">
      <w:pPr>
        <w:pStyle w:val="ListParagraph"/>
        <w:numPr>
          <w:ilvl w:val="0"/>
          <w:numId w:val="21"/>
        </w:numPr>
        <w:adjustRightInd w:val="0"/>
        <w:snapToGrid w:val="0"/>
        <w:jc w:val="both"/>
        <w:rPr>
          <w:b/>
          <w:vanish/>
          <w:sz w:val="22"/>
          <w:szCs w:val="22"/>
          <w:lang w:val="en-NZ"/>
        </w:rPr>
      </w:pPr>
    </w:p>
    <w:p w14:paraId="7DB5D729" w14:textId="77777777" w:rsidR="00D41635" w:rsidRPr="00953800" w:rsidRDefault="00D41635" w:rsidP="00580EA4">
      <w:pPr>
        <w:pStyle w:val="ListParagraph"/>
        <w:numPr>
          <w:ilvl w:val="1"/>
          <w:numId w:val="21"/>
        </w:numPr>
        <w:adjustRightInd w:val="0"/>
        <w:snapToGrid w:val="0"/>
        <w:ind w:left="720" w:hanging="720"/>
        <w:jc w:val="both"/>
        <w:rPr>
          <w:b/>
          <w:sz w:val="22"/>
          <w:szCs w:val="22"/>
          <w:lang w:val="en-NZ"/>
        </w:rPr>
      </w:pPr>
      <w:r w:rsidRPr="00953800">
        <w:rPr>
          <w:b/>
          <w:sz w:val="22"/>
          <w:szCs w:val="22"/>
          <w:lang w:val="en-NZ"/>
        </w:rPr>
        <w:t>Implementation of CMM 201</w:t>
      </w:r>
      <w:r w:rsidRPr="00953800">
        <w:rPr>
          <w:rFonts w:eastAsiaTheme="minorEastAsia"/>
          <w:b/>
          <w:sz w:val="22"/>
          <w:szCs w:val="22"/>
          <w:lang w:val="en-NZ" w:eastAsia="ko-KR"/>
        </w:rPr>
        <w:t>7</w:t>
      </w:r>
      <w:r w:rsidRPr="00953800">
        <w:rPr>
          <w:b/>
          <w:sz w:val="22"/>
          <w:szCs w:val="22"/>
          <w:lang w:val="en-NZ"/>
        </w:rPr>
        <w:t>-01</w:t>
      </w:r>
    </w:p>
    <w:p w14:paraId="440C3E99" w14:textId="77777777" w:rsidR="00D41635" w:rsidRPr="004635E5" w:rsidRDefault="00D41635" w:rsidP="00580EA4">
      <w:pPr>
        <w:pStyle w:val="ListParagraph"/>
        <w:numPr>
          <w:ilvl w:val="2"/>
          <w:numId w:val="21"/>
        </w:numPr>
        <w:adjustRightInd w:val="0"/>
        <w:snapToGrid w:val="0"/>
        <w:jc w:val="both"/>
        <w:rPr>
          <w:rFonts w:eastAsiaTheme="minorEastAsia"/>
          <w:sz w:val="22"/>
          <w:szCs w:val="22"/>
          <w:lang w:val="en-NZ" w:eastAsia="ko-KR"/>
        </w:rPr>
      </w:pPr>
      <w:r w:rsidRPr="004635E5">
        <w:rPr>
          <w:rFonts w:eastAsiaTheme="minorEastAsia"/>
          <w:sz w:val="22"/>
          <w:szCs w:val="22"/>
          <w:lang w:val="en-NZ" w:eastAsia="ko-KR"/>
        </w:rPr>
        <w:t>Effectiveness of CMM 2017-01</w:t>
      </w:r>
    </w:p>
    <w:p w14:paraId="24CA536B" w14:textId="77777777" w:rsidR="00D41635" w:rsidRPr="004635E5" w:rsidRDefault="00D41635" w:rsidP="00580EA4">
      <w:pPr>
        <w:pStyle w:val="ListParagraph"/>
        <w:numPr>
          <w:ilvl w:val="2"/>
          <w:numId w:val="21"/>
        </w:numPr>
        <w:adjustRightInd w:val="0"/>
        <w:snapToGrid w:val="0"/>
        <w:jc w:val="both"/>
        <w:rPr>
          <w:rFonts w:eastAsiaTheme="minorEastAsia"/>
          <w:sz w:val="22"/>
          <w:szCs w:val="22"/>
          <w:lang w:val="en-NZ" w:eastAsia="ko-KR"/>
        </w:rPr>
      </w:pPr>
      <w:r w:rsidRPr="004635E5">
        <w:rPr>
          <w:rFonts w:eastAsiaTheme="minorEastAsia"/>
          <w:sz w:val="22"/>
          <w:szCs w:val="22"/>
          <w:lang w:val="en-NZ" w:eastAsia="ko-KR"/>
        </w:rPr>
        <w:t>Management issues related to FADs</w:t>
      </w:r>
    </w:p>
    <w:p w14:paraId="00EEEF90" w14:textId="77777777" w:rsidR="00D41635" w:rsidRPr="004635E5" w:rsidRDefault="00D41635" w:rsidP="00580EA4">
      <w:pPr>
        <w:pStyle w:val="ListParagraph"/>
        <w:numPr>
          <w:ilvl w:val="2"/>
          <w:numId w:val="9"/>
        </w:numPr>
        <w:adjustRightInd w:val="0"/>
        <w:snapToGrid w:val="0"/>
        <w:ind w:left="1080"/>
        <w:jc w:val="both"/>
        <w:rPr>
          <w:rFonts w:eastAsiaTheme="minorEastAsia"/>
          <w:sz w:val="22"/>
          <w:szCs w:val="22"/>
          <w:lang w:eastAsia="ko-KR"/>
        </w:rPr>
      </w:pPr>
      <w:r w:rsidRPr="004635E5">
        <w:rPr>
          <w:rFonts w:eastAsiaTheme="minorEastAsia"/>
          <w:sz w:val="22"/>
          <w:szCs w:val="22"/>
          <w:lang w:eastAsia="ko-KR"/>
        </w:rPr>
        <w:t>FAD tracking</w:t>
      </w:r>
    </w:p>
    <w:p w14:paraId="696929EC" w14:textId="77777777" w:rsidR="00D41635" w:rsidRPr="004635E5" w:rsidRDefault="00D41635" w:rsidP="00580EA4">
      <w:pPr>
        <w:pStyle w:val="ListParagraph"/>
        <w:numPr>
          <w:ilvl w:val="2"/>
          <w:numId w:val="9"/>
        </w:numPr>
        <w:adjustRightInd w:val="0"/>
        <w:snapToGrid w:val="0"/>
        <w:ind w:left="1080"/>
        <w:jc w:val="both"/>
        <w:rPr>
          <w:rFonts w:eastAsiaTheme="minorEastAsia"/>
          <w:sz w:val="22"/>
          <w:szCs w:val="22"/>
          <w:lang w:eastAsia="ko-KR"/>
        </w:rPr>
      </w:pPr>
      <w:r w:rsidRPr="004635E5">
        <w:rPr>
          <w:rFonts w:eastAsiaTheme="minorEastAsia"/>
          <w:sz w:val="22"/>
          <w:szCs w:val="22"/>
          <w:lang w:val="en-NZ" w:eastAsia="ko-KR"/>
        </w:rPr>
        <w:t>FAD management (FAD-limit per vessel)</w:t>
      </w:r>
    </w:p>
    <w:p w14:paraId="027A2EF0" w14:textId="77777777" w:rsidR="00EE2E72" w:rsidRPr="004635E5" w:rsidRDefault="00EE2E72" w:rsidP="00E41116">
      <w:pPr>
        <w:pStyle w:val="ListParagraph"/>
        <w:adjustRightInd w:val="0"/>
        <w:snapToGrid w:val="0"/>
        <w:ind w:left="1080"/>
        <w:jc w:val="both"/>
        <w:rPr>
          <w:rFonts w:eastAsiaTheme="minorEastAsia"/>
          <w:sz w:val="22"/>
          <w:szCs w:val="22"/>
          <w:lang w:eastAsia="ko-KR"/>
        </w:rPr>
      </w:pPr>
    </w:p>
    <w:p w14:paraId="246750DB" w14:textId="77777777" w:rsidR="00D41635" w:rsidRPr="004635E5" w:rsidRDefault="00D41635" w:rsidP="00E41116">
      <w:pPr>
        <w:pStyle w:val="ListParagraph"/>
        <w:adjustRightInd w:val="0"/>
        <w:snapToGrid w:val="0"/>
        <w:ind w:left="2160"/>
        <w:jc w:val="both"/>
        <w:rPr>
          <w:b/>
          <w:vanish/>
          <w:sz w:val="22"/>
          <w:szCs w:val="22"/>
          <w:lang w:val="en-NZ"/>
        </w:rPr>
      </w:pPr>
    </w:p>
    <w:p w14:paraId="2A95A6B9" w14:textId="77777777" w:rsidR="00D41635" w:rsidRPr="004635E5" w:rsidRDefault="00EE2E72" w:rsidP="00E41116">
      <w:pPr>
        <w:adjustRightInd w:val="0"/>
        <w:snapToGrid w:val="0"/>
        <w:jc w:val="both"/>
        <w:rPr>
          <w:b/>
          <w:sz w:val="22"/>
          <w:szCs w:val="22"/>
          <w:lang w:val="en-NZ"/>
        </w:rPr>
      </w:pPr>
      <w:r w:rsidRPr="004635E5">
        <w:rPr>
          <w:b/>
          <w:sz w:val="22"/>
          <w:szCs w:val="22"/>
          <w:lang w:val="en-NZ"/>
        </w:rPr>
        <w:t>AGENDA ITEM 6 —</w:t>
      </w:r>
      <w:r w:rsidR="00D41635" w:rsidRPr="004635E5">
        <w:rPr>
          <w:b/>
          <w:sz w:val="22"/>
          <w:szCs w:val="22"/>
          <w:lang w:val="en-NZ"/>
        </w:rPr>
        <w:t>ECOSYSTEM AND BYCATCH MITIGATION THEME</w:t>
      </w:r>
      <w:r w:rsidR="00D41635" w:rsidRPr="004635E5">
        <w:rPr>
          <w:rFonts w:eastAsiaTheme="minorEastAsia"/>
          <w:b/>
          <w:sz w:val="22"/>
          <w:szCs w:val="22"/>
          <w:lang w:val="en-NZ" w:eastAsia="ko-KR"/>
        </w:rPr>
        <w:t xml:space="preserve"> </w:t>
      </w:r>
    </w:p>
    <w:p w14:paraId="4A29C46C" w14:textId="77777777" w:rsidR="00D41635" w:rsidRPr="004635E5" w:rsidRDefault="00D41635" w:rsidP="00E41116">
      <w:pPr>
        <w:adjustRightInd w:val="0"/>
        <w:snapToGrid w:val="0"/>
        <w:ind w:left="720"/>
        <w:jc w:val="both"/>
        <w:rPr>
          <w:rFonts w:eastAsiaTheme="minorEastAsia"/>
          <w:sz w:val="22"/>
          <w:szCs w:val="22"/>
          <w:lang w:val="en-NZ" w:eastAsia="ko-KR"/>
        </w:rPr>
      </w:pPr>
    </w:p>
    <w:p w14:paraId="3F614C6F" w14:textId="77777777" w:rsidR="00D41635" w:rsidRPr="004635E5" w:rsidRDefault="00D41635" w:rsidP="00580EA4">
      <w:pPr>
        <w:pStyle w:val="ListParagraph"/>
        <w:numPr>
          <w:ilvl w:val="0"/>
          <w:numId w:val="65"/>
        </w:numPr>
        <w:adjustRightInd w:val="0"/>
        <w:snapToGrid w:val="0"/>
        <w:jc w:val="both"/>
        <w:rPr>
          <w:rFonts w:eastAsia="Batang"/>
          <w:b/>
          <w:vanish/>
          <w:sz w:val="22"/>
          <w:szCs w:val="22"/>
          <w:lang w:val="en-NZ" w:eastAsia="ko-KR"/>
        </w:rPr>
      </w:pPr>
    </w:p>
    <w:p w14:paraId="12BE1911" w14:textId="77777777" w:rsidR="00D41635" w:rsidRPr="004635E5" w:rsidRDefault="00D41635" w:rsidP="00580EA4">
      <w:pPr>
        <w:pStyle w:val="ListParagraph"/>
        <w:numPr>
          <w:ilvl w:val="0"/>
          <w:numId w:val="65"/>
        </w:numPr>
        <w:adjustRightInd w:val="0"/>
        <w:snapToGrid w:val="0"/>
        <w:jc w:val="both"/>
        <w:rPr>
          <w:rFonts w:eastAsia="Batang"/>
          <w:b/>
          <w:vanish/>
          <w:sz w:val="22"/>
          <w:szCs w:val="22"/>
          <w:lang w:val="en-NZ" w:eastAsia="ko-KR"/>
        </w:rPr>
      </w:pPr>
    </w:p>
    <w:p w14:paraId="21D45361" w14:textId="77777777" w:rsidR="00D41635" w:rsidRPr="004635E5" w:rsidRDefault="00D41635" w:rsidP="00580EA4">
      <w:pPr>
        <w:pStyle w:val="ListParagraph"/>
        <w:numPr>
          <w:ilvl w:val="0"/>
          <w:numId w:val="65"/>
        </w:numPr>
        <w:adjustRightInd w:val="0"/>
        <w:snapToGrid w:val="0"/>
        <w:jc w:val="both"/>
        <w:rPr>
          <w:rFonts w:eastAsia="Batang"/>
          <w:b/>
          <w:vanish/>
          <w:sz w:val="22"/>
          <w:szCs w:val="22"/>
          <w:lang w:val="en-NZ" w:eastAsia="ko-KR"/>
        </w:rPr>
      </w:pPr>
    </w:p>
    <w:p w14:paraId="698F7E89" w14:textId="77777777" w:rsidR="00D41635" w:rsidRPr="004635E5" w:rsidRDefault="00D41635" w:rsidP="00580EA4">
      <w:pPr>
        <w:pStyle w:val="ListParagraph"/>
        <w:numPr>
          <w:ilvl w:val="0"/>
          <w:numId w:val="65"/>
        </w:numPr>
        <w:adjustRightInd w:val="0"/>
        <w:snapToGrid w:val="0"/>
        <w:jc w:val="both"/>
        <w:rPr>
          <w:rFonts w:eastAsia="Batang"/>
          <w:b/>
          <w:vanish/>
          <w:sz w:val="22"/>
          <w:szCs w:val="22"/>
          <w:lang w:val="en-NZ" w:eastAsia="ko-KR"/>
        </w:rPr>
      </w:pPr>
    </w:p>
    <w:p w14:paraId="40F646DB" w14:textId="77777777" w:rsidR="00D41635" w:rsidRPr="004635E5" w:rsidRDefault="00D41635" w:rsidP="00580EA4">
      <w:pPr>
        <w:pStyle w:val="ListParagraph"/>
        <w:numPr>
          <w:ilvl w:val="0"/>
          <w:numId w:val="71"/>
        </w:numPr>
        <w:adjustRightInd w:val="0"/>
        <w:snapToGrid w:val="0"/>
        <w:jc w:val="both"/>
        <w:rPr>
          <w:rFonts w:eastAsia="Batang"/>
          <w:b/>
          <w:vanish/>
          <w:sz w:val="22"/>
          <w:szCs w:val="22"/>
          <w:lang w:val="en-NZ" w:eastAsia="ko-KR"/>
        </w:rPr>
      </w:pPr>
    </w:p>
    <w:p w14:paraId="4309076A" w14:textId="77777777" w:rsidR="00D41635" w:rsidRPr="004635E5" w:rsidRDefault="00D41635" w:rsidP="00580EA4">
      <w:pPr>
        <w:pStyle w:val="ListParagraph"/>
        <w:numPr>
          <w:ilvl w:val="0"/>
          <w:numId w:val="71"/>
        </w:numPr>
        <w:adjustRightInd w:val="0"/>
        <w:snapToGrid w:val="0"/>
        <w:jc w:val="both"/>
        <w:rPr>
          <w:rFonts w:eastAsia="Batang"/>
          <w:b/>
          <w:vanish/>
          <w:sz w:val="22"/>
          <w:szCs w:val="22"/>
          <w:lang w:val="en-NZ" w:eastAsia="ko-KR"/>
        </w:rPr>
      </w:pPr>
    </w:p>
    <w:p w14:paraId="4C6E4EC4" w14:textId="77777777" w:rsidR="00D41635" w:rsidRPr="004635E5" w:rsidRDefault="00D41635" w:rsidP="00580EA4">
      <w:pPr>
        <w:numPr>
          <w:ilvl w:val="1"/>
          <w:numId w:val="71"/>
        </w:numPr>
        <w:adjustRightInd w:val="0"/>
        <w:snapToGrid w:val="0"/>
        <w:ind w:left="360"/>
        <w:jc w:val="both"/>
        <w:rPr>
          <w:b/>
          <w:sz w:val="22"/>
          <w:szCs w:val="22"/>
          <w:lang w:val="en-NZ"/>
        </w:rPr>
      </w:pPr>
      <w:r w:rsidRPr="004635E5">
        <w:rPr>
          <w:rFonts w:eastAsia="Batang"/>
          <w:b/>
          <w:sz w:val="22"/>
          <w:szCs w:val="22"/>
          <w:lang w:val="en-NZ" w:eastAsia="ko-KR"/>
        </w:rPr>
        <w:t>Ecosystem effects of fishing</w:t>
      </w:r>
    </w:p>
    <w:p w14:paraId="3ED08633" w14:textId="77777777" w:rsidR="00D41635" w:rsidRPr="004635E5" w:rsidRDefault="00D41635" w:rsidP="00580EA4">
      <w:pPr>
        <w:pStyle w:val="ListParagraph"/>
        <w:numPr>
          <w:ilvl w:val="2"/>
          <w:numId w:val="84"/>
        </w:numPr>
        <w:adjustRightInd w:val="0"/>
        <w:snapToGrid w:val="0"/>
        <w:jc w:val="both"/>
        <w:rPr>
          <w:rFonts w:eastAsiaTheme="minorEastAsia"/>
          <w:sz w:val="22"/>
          <w:szCs w:val="22"/>
          <w:lang w:val="en-NZ" w:eastAsia="ko-KR"/>
        </w:rPr>
      </w:pPr>
      <w:r w:rsidRPr="004635E5">
        <w:rPr>
          <w:rFonts w:eastAsiaTheme="minorEastAsia"/>
          <w:sz w:val="22"/>
          <w:szCs w:val="22"/>
          <w:lang w:val="en-NZ" w:eastAsia="ko-KR"/>
        </w:rPr>
        <w:t>SEAPODYM</w:t>
      </w:r>
    </w:p>
    <w:p w14:paraId="60B939ED" w14:textId="77777777" w:rsidR="00D41635" w:rsidRPr="004635E5" w:rsidRDefault="00D41635" w:rsidP="00580EA4">
      <w:pPr>
        <w:pStyle w:val="ListParagraph"/>
        <w:numPr>
          <w:ilvl w:val="2"/>
          <w:numId w:val="84"/>
        </w:numPr>
        <w:adjustRightInd w:val="0"/>
        <w:snapToGrid w:val="0"/>
        <w:jc w:val="both"/>
        <w:rPr>
          <w:rFonts w:eastAsiaTheme="minorEastAsia"/>
          <w:sz w:val="22"/>
          <w:szCs w:val="22"/>
          <w:lang w:val="en-NZ" w:eastAsia="ko-KR"/>
        </w:rPr>
      </w:pPr>
      <w:r w:rsidRPr="004635E5">
        <w:rPr>
          <w:rFonts w:eastAsiaTheme="minorEastAsia"/>
          <w:sz w:val="22"/>
          <w:szCs w:val="22"/>
          <w:lang w:val="en-NZ" w:eastAsia="ko-KR"/>
        </w:rPr>
        <w:t>Ecosystem indicators</w:t>
      </w:r>
    </w:p>
    <w:p w14:paraId="3CF02C6A" w14:textId="77777777" w:rsidR="00D41635" w:rsidRPr="004635E5" w:rsidRDefault="00D41635" w:rsidP="00580EA4">
      <w:pPr>
        <w:pStyle w:val="ListParagraph"/>
        <w:numPr>
          <w:ilvl w:val="2"/>
          <w:numId w:val="84"/>
        </w:numPr>
        <w:adjustRightInd w:val="0"/>
        <w:snapToGrid w:val="0"/>
        <w:jc w:val="both"/>
        <w:rPr>
          <w:rFonts w:eastAsiaTheme="minorEastAsia"/>
          <w:sz w:val="22"/>
          <w:szCs w:val="22"/>
          <w:lang w:eastAsia="ko-KR"/>
        </w:rPr>
      </w:pPr>
      <w:r w:rsidRPr="004635E5">
        <w:rPr>
          <w:rFonts w:eastAsiaTheme="minorEastAsia"/>
          <w:sz w:val="22"/>
          <w:szCs w:val="22"/>
          <w:lang w:eastAsia="ko-KR"/>
        </w:rPr>
        <w:t xml:space="preserve">FAD impacts </w:t>
      </w:r>
    </w:p>
    <w:p w14:paraId="64E4A6E3" w14:textId="77777777" w:rsidR="00D41635" w:rsidRPr="004635E5" w:rsidRDefault="00D41635" w:rsidP="00580EA4">
      <w:pPr>
        <w:pStyle w:val="ListParagraph"/>
        <w:numPr>
          <w:ilvl w:val="3"/>
          <w:numId w:val="84"/>
        </w:numPr>
        <w:adjustRightInd w:val="0"/>
        <w:snapToGrid w:val="0"/>
        <w:jc w:val="both"/>
        <w:rPr>
          <w:rFonts w:eastAsiaTheme="minorEastAsia"/>
          <w:bCs/>
          <w:sz w:val="22"/>
          <w:szCs w:val="22"/>
          <w:lang w:val="en-NZ" w:eastAsia="ko-KR"/>
        </w:rPr>
      </w:pPr>
      <w:r w:rsidRPr="004635E5">
        <w:rPr>
          <w:rFonts w:eastAsiaTheme="minorEastAsia"/>
          <w:bCs/>
          <w:sz w:val="22"/>
          <w:szCs w:val="22"/>
          <w:lang w:val="en-NZ" w:eastAsia="ko-KR"/>
        </w:rPr>
        <w:t>Research on non-entangling FADs</w:t>
      </w:r>
    </w:p>
    <w:p w14:paraId="32E33E23" w14:textId="77777777" w:rsidR="00D41635" w:rsidRPr="004635E5" w:rsidRDefault="00D41635" w:rsidP="00580EA4">
      <w:pPr>
        <w:pStyle w:val="ListParagraph"/>
        <w:numPr>
          <w:ilvl w:val="3"/>
          <w:numId w:val="84"/>
        </w:numPr>
        <w:adjustRightInd w:val="0"/>
        <w:snapToGrid w:val="0"/>
        <w:jc w:val="both"/>
        <w:rPr>
          <w:rFonts w:eastAsiaTheme="minorEastAsia"/>
          <w:bCs/>
          <w:sz w:val="22"/>
          <w:szCs w:val="22"/>
          <w:lang w:val="en-NZ" w:eastAsia="ko-KR"/>
        </w:rPr>
      </w:pPr>
      <w:r w:rsidRPr="004635E5">
        <w:rPr>
          <w:rFonts w:eastAsiaTheme="minorEastAsia"/>
          <w:bCs/>
          <w:sz w:val="22"/>
          <w:szCs w:val="22"/>
          <w:lang w:val="en-NZ" w:eastAsia="ko-KR"/>
        </w:rPr>
        <w:t>FAD Research Plan</w:t>
      </w:r>
    </w:p>
    <w:p w14:paraId="52D39F3A" w14:textId="77777777" w:rsidR="00D41635" w:rsidRPr="004635E5" w:rsidRDefault="00D41635" w:rsidP="00580EA4">
      <w:pPr>
        <w:numPr>
          <w:ilvl w:val="1"/>
          <w:numId w:val="84"/>
        </w:numPr>
        <w:adjustRightInd w:val="0"/>
        <w:snapToGrid w:val="0"/>
        <w:ind w:left="720" w:hanging="720"/>
        <w:jc w:val="both"/>
        <w:rPr>
          <w:b/>
          <w:sz w:val="22"/>
          <w:szCs w:val="22"/>
          <w:lang w:val="en-NZ"/>
        </w:rPr>
      </w:pPr>
      <w:r w:rsidRPr="004635E5">
        <w:rPr>
          <w:b/>
          <w:sz w:val="22"/>
          <w:szCs w:val="22"/>
          <w:lang w:val="en-NZ"/>
        </w:rPr>
        <w:t xml:space="preserve">Sharks  </w:t>
      </w:r>
    </w:p>
    <w:p w14:paraId="1B905E19" w14:textId="77777777" w:rsidR="00D41635" w:rsidRPr="004635E5" w:rsidRDefault="00D41635" w:rsidP="00580EA4">
      <w:pPr>
        <w:pStyle w:val="ListParagraph"/>
        <w:numPr>
          <w:ilvl w:val="2"/>
          <w:numId w:val="84"/>
        </w:numPr>
        <w:adjustRightInd w:val="0"/>
        <w:snapToGrid w:val="0"/>
        <w:jc w:val="both"/>
        <w:rPr>
          <w:rFonts w:eastAsiaTheme="minorEastAsia"/>
          <w:sz w:val="22"/>
          <w:szCs w:val="22"/>
          <w:lang w:eastAsia="ko-KR"/>
        </w:rPr>
      </w:pPr>
      <w:r w:rsidRPr="004635E5">
        <w:rPr>
          <w:rFonts w:eastAsiaTheme="minorEastAsia"/>
          <w:sz w:val="22"/>
          <w:szCs w:val="22"/>
          <w:lang w:eastAsia="ko-KR"/>
        </w:rPr>
        <w:t xml:space="preserve">Development of a </w:t>
      </w:r>
      <w:r w:rsidRPr="004635E5">
        <w:rPr>
          <w:rFonts w:eastAsia="Batang"/>
          <w:bCs/>
          <w:sz w:val="22"/>
          <w:szCs w:val="22"/>
          <w:lang w:eastAsia="ko-KR" w:bidi="mn-Mong-CN"/>
        </w:rPr>
        <w:t>Comprehensive Shark and Ray CMM</w:t>
      </w:r>
    </w:p>
    <w:p w14:paraId="0C769963" w14:textId="77777777" w:rsidR="00D41635" w:rsidRPr="004635E5" w:rsidRDefault="00D41635" w:rsidP="00580EA4">
      <w:pPr>
        <w:numPr>
          <w:ilvl w:val="2"/>
          <w:numId w:val="84"/>
        </w:numPr>
        <w:adjustRightInd w:val="0"/>
        <w:snapToGrid w:val="0"/>
        <w:jc w:val="both"/>
        <w:rPr>
          <w:bCs/>
          <w:sz w:val="22"/>
          <w:szCs w:val="22"/>
          <w:lang w:val="en-NZ"/>
        </w:rPr>
      </w:pPr>
      <w:r w:rsidRPr="004635E5">
        <w:rPr>
          <w:bCs/>
          <w:sz w:val="22"/>
          <w:szCs w:val="22"/>
          <w:lang w:val="en-NZ"/>
        </w:rPr>
        <w:t xml:space="preserve">Review of </w:t>
      </w:r>
      <w:r w:rsidRPr="004635E5">
        <w:rPr>
          <w:rFonts w:eastAsiaTheme="minorEastAsia"/>
          <w:bCs/>
          <w:sz w:val="22"/>
          <w:szCs w:val="22"/>
          <w:lang w:val="en-NZ" w:eastAsia="ko-KR"/>
        </w:rPr>
        <w:t>conservation and management measures</w:t>
      </w:r>
      <w:r w:rsidRPr="004635E5">
        <w:rPr>
          <w:bCs/>
          <w:sz w:val="22"/>
          <w:szCs w:val="22"/>
          <w:lang w:val="en-NZ"/>
        </w:rPr>
        <w:t xml:space="preserve"> for </w:t>
      </w:r>
      <w:r w:rsidRPr="004635E5">
        <w:rPr>
          <w:rFonts w:eastAsiaTheme="minorEastAsia"/>
          <w:bCs/>
          <w:sz w:val="22"/>
          <w:szCs w:val="22"/>
          <w:lang w:val="en-NZ" w:eastAsia="ko-KR"/>
        </w:rPr>
        <w:t>s</w:t>
      </w:r>
      <w:r w:rsidRPr="004635E5">
        <w:rPr>
          <w:bCs/>
          <w:sz w:val="22"/>
          <w:szCs w:val="22"/>
          <w:lang w:val="en-NZ"/>
        </w:rPr>
        <w:t>harks</w:t>
      </w:r>
    </w:p>
    <w:p w14:paraId="3CE71633" w14:textId="77777777" w:rsidR="00D41635" w:rsidRPr="004635E5" w:rsidRDefault="00D41635" w:rsidP="00580EA4">
      <w:pPr>
        <w:pStyle w:val="ListParagraph"/>
        <w:numPr>
          <w:ilvl w:val="3"/>
          <w:numId w:val="84"/>
        </w:numPr>
        <w:adjustRightInd w:val="0"/>
        <w:snapToGrid w:val="0"/>
        <w:jc w:val="both"/>
        <w:rPr>
          <w:sz w:val="22"/>
          <w:szCs w:val="22"/>
          <w:lang w:val="en-NZ"/>
        </w:rPr>
      </w:pPr>
      <w:r w:rsidRPr="004635E5">
        <w:rPr>
          <w:sz w:val="22"/>
          <w:szCs w:val="22"/>
          <w:lang w:val="en-NZ"/>
        </w:rPr>
        <w:t>CMM 2010-07 (CMM for Sharks)</w:t>
      </w:r>
    </w:p>
    <w:p w14:paraId="084B74F4" w14:textId="77777777" w:rsidR="00D41635" w:rsidRPr="004635E5" w:rsidRDefault="00D41635" w:rsidP="00580EA4">
      <w:pPr>
        <w:pStyle w:val="ListParagraph"/>
        <w:numPr>
          <w:ilvl w:val="3"/>
          <w:numId w:val="84"/>
        </w:numPr>
        <w:adjustRightInd w:val="0"/>
        <w:snapToGrid w:val="0"/>
        <w:jc w:val="both"/>
        <w:rPr>
          <w:sz w:val="22"/>
          <w:szCs w:val="22"/>
          <w:lang w:val="en-NZ"/>
        </w:rPr>
      </w:pPr>
      <w:r w:rsidRPr="004635E5">
        <w:rPr>
          <w:sz w:val="22"/>
          <w:szCs w:val="22"/>
          <w:lang w:val="en-NZ"/>
        </w:rPr>
        <w:t>CMM 2011-04 (CMM for oceanic whitetip shark)</w:t>
      </w:r>
    </w:p>
    <w:p w14:paraId="51D2609F" w14:textId="77777777" w:rsidR="00D41635" w:rsidRPr="004635E5" w:rsidRDefault="00D41635" w:rsidP="00580EA4">
      <w:pPr>
        <w:pStyle w:val="ListParagraph"/>
        <w:numPr>
          <w:ilvl w:val="3"/>
          <w:numId w:val="84"/>
        </w:numPr>
        <w:adjustRightInd w:val="0"/>
        <w:snapToGrid w:val="0"/>
        <w:jc w:val="both"/>
        <w:rPr>
          <w:sz w:val="22"/>
          <w:szCs w:val="22"/>
          <w:lang w:val="en-NZ"/>
        </w:rPr>
      </w:pPr>
      <w:r w:rsidRPr="004635E5">
        <w:rPr>
          <w:sz w:val="22"/>
          <w:szCs w:val="22"/>
          <w:lang w:val="en-NZ"/>
        </w:rPr>
        <w:t>CMM 2012-04 (CMM for protection of whale sharks from purse seine fishing operations)</w:t>
      </w:r>
    </w:p>
    <w:p w14:paraId="0ED1A582" w14:textId="77777777" w:rsidR="00D41635" w:rsidRPr="004635E5" w:rsidRDefault="00D41635" w:rsidP="00580EA4">
      <w:pPr>
        <w:pStyle w:val="ListParagraph"/>
        <w:numPr>
          <w:ilvl w:val="3"/>
          <w:numId w:val="84"/>
        </w:numPr>
        <w:adjustRightInd w:val="0"/>
        <w:snapToGrid w:val="0"/>
        <w:jc w:val="both"/>
        <w:rPr>
          <w:sz w:val="22"/>
          <w:szCs w:val="22"/>
          <w:lang w:val="en-NZ"/>
        </w:rPr>
      </w:pPr>
      <w:r w:rsidRPr="004635E5">
        <w:rPr>
          <w:sz w:val="22"/>
          <w:szCs w:val="22"/>
          <w:lang w:val="en-NZ"/>
        </w:rPr>
        <w:t>CMM 2013-08 (CMM for silky sharks)</w:t>
      </w:r>
    </w:p>
    <w:p w14:paraId="1BC7155D" w14:textId="77777777" w:rsidR="00D41635" w:rsidRPr="004635E5" w:rsidRDefault="00D41635" w:rsidP="00580EA4">
      <w:pPr>
        <w:pStyle w:val="ListParagraph"/>
        <w:numPr>
          <w:ilvl w:val="3"/>
          <w:numId w:val="84"/>
        </w:numPr>
        <w:adjustRightInd w:val="0"/>
        <w:snapToGrid w:val="0"/>
        <w:jc w:val="both"/>
        <w:rPr>
          <w:sz w:val="22"/>
          <w:szCs w:val="22"/>
          <w:lang w:val="en-NZ"/>
        </w:rPr>
      </w:pPr>
      <w:r w:rsidRPr="004635E5">
        <w:rPr>
          <w:rFonts w:eastAsiaTheme="minorEastAsia"/>
          <w:sz w:val="22"/>
          <w:szCs w:val="22"/>
          <w:lang w:val="en-NZ" w:eastAsia="ko-KR"/>
        </w:rPr>
        <w:t>CMM 2014-05 (CMM for sharks)</w:t>
      </w:r>
    </w:p>
    <w:p w14:paraId="3F8B5FE9" w14:textId="77777777" w:rsidR="00D41635" w:rsidRPr="004635E5" w:rsidRDefault="00D41635" w:rsidP="00580EA4">
      <w:pPr>
        <w:pStyle w:val="ListParagraph"/>
        <w:numPr>
          <w:ilvl w:val="2"/>
          <w:numId w:val="84"/>
        </w:numPr>
        <w:adjustRightInd w:val="0"/>
        <w:snapToGrid w:val="0"/>
        <w:jc w:val="both"/>
        <w:rPr>
          <w:sz w:val="22"/>
          <w:szCs w:val="22"/>
          <w:lang w:val="en-NZ"/>
        </w:rPr>
      </w:pPr>
      <w:r w:rsidRPr="004635E5">
        <w:rPr>
          <w:rFonts w:eastAsiaTheme="minorEastAsia"/>
          <w:sz w:val="22"/>
          <w:szCs w:val="22"/>
          <w:lang w:val="en-NZ" w:eastAsia="ko-KR"/>
        </w:rPr>
        <w:t>Safe release g</w:t>
      </w:r>
      <w:r w:rsidRPr="004635E5">
        <w:rPr>
          <w:sz w:val="22"/>
          <w:szCs w:val="22"/>
          <w:lang w:val="en-NZ"/>
        </w:rPr>
        <w:t xml:space="preserve">uidelines </w:t>
      </w:r>
    </w:p>
    <w:p w14:paraId="60EB404A" w14:textId="77777777" w:rsidR="00D41635" w:rsidRPr="004635E5" w:rsidRDefault="00D41635" w:rsidP="00580EA4">
      <w:pPr>
        <w:numPr>
          <w:ilvl w:val="2"/>
          <w:numId w:val="84"/>
        </w:numPr>
        <w:adjustRightInd w:val="0"/>
        <w:snapToGrid w:val="0"/>
        <w:jc w:val="both"/>
        <w:rPr>
          <w:bCs/>
          <w:sz w:val="22"/>
          <w:szCs w:val="22"/>
          <w:lang w:val="en-NZ"/>
        </w:rPr>
      </w:pPr>
      <w:r w:rsidRPr="004635E5">
        <w:rPr>
          <w:rFonts w:eastAsiaTheme="minorEastAsia"/>
          <w:bCs/>
          <w:sz w:val="22"/>
          <w:szCs w:val="22"/>
          <w:lang w:val="en-NZ" w:eastAsia="ko-KR"/>
        </w:rPr>
        <w:t xml:space="preserve">Progress of </w:t>
      </w:r>
      <w:r w:rsidRPr="004635E5">
        <w:rPr>
          <w:bCs/>
          <w:sz w:val="22"/>
          <w:szCs w:val="22"/>
          <w:lang w:val="en-NZ"/>
        </w:rPr>
        <w:t>Shark Research Plan</w:t>
      </w:r>
    </w:p>
    <w:p w14:paraId="3C0E3E22" w14:textId="77777777" w:rsidR="00D41635" w:rsidRPr="004635E5" w:rsidRDefault="00D41635" w:rsidP="00580EA4">
      <w:pPr>
        <w:pStyle w:val="ListParagraph"/>
        <w:numPr>
          <w:ilvl w:val="2"/>
          <w:numId w:val="65"/>
        </w:numPr>
        <w:tabs>
          <w:tab w:val="clear" w:pos="1440"/>
        </w:tabs>
        <w:adjustRightInd w:val="0"/>
        <w:snapToGrid w:val="0"/>
        <w:ind w:left="1080" w:hanging="360"/>
        <w:jc w:val="both"/>
        <w:rPr>
          <w:rFonts w:eastAsiaTheme="minorEastAsia"/>
          <w:bCs/>
          <w:sz w:val="22"/>
          <w:szCs w:val="22"/>
          <w:lang w:val="en-NZ" w:eastAsia="ko-KR"/>
        </w:rPr>
      </w:pPr>
      <w:r w:rsidRPr="004635E5">
        <w:rPr>
          <w:sz w:val="22"/>
          <w:szCs w:val="22"/>
        </w:rPr>
        <w:t>Operational Planning for Shark Biological Data Improvement</w:t>
      </w:r>
      <w:r w:rsidRPr="004635E5">
        <w:rPr>
          <w:rFonts w:eastAsiaTheme="minorEastAsia"/>
          <w:bCs/>
          <w:sz w:val="22"/>
          <w:szCs w:val="22"/>
          <w:lang w:val="en-NZ" w:eastAsia="ko-KR"/>
        </w:rPr>
        <w:t xml:space="preserve"> (SRP Project Sheet Number 5, Attachment I, SC13 Summary Report);</w:t>
      </w:r>
    </w:p>
    <w:p w14:paraId="097283BC" w14:textId="77777777" w:rsidR="00D41635" w:rsidRPr="004635E5" w:rsidRDefault="00D41635" w:rsidP="00580EA4">
      <w:pPr>
        <w:pStyle w:val="ListParagraph"/>
        <w:numPr>
          <w:ilvl w:val="2"/>
          <w:numId w:val="65"/>
        </w:numPr>
        <w:tabs>
          <w:tab w:val="clear" w:pos="1440"/>
        </w:tabs>
        <w:adjustRightInd w:val="0"/>
        <w:snapToGrid w:val="0"/>
        <w:ind w:left="1080" w:hanging="360"/>
        <w:jc w:val="both"/>
        <w:rPr>
          <w:rFonts w:eastAsiaTheme="minorEastAsia"/>
          <w:bCs/>
          <w:sz w:val="22"/>
          <w:szCs w:val="22"/>
          <w:lang w:val="en-NZ" w:eastAsia="ko-KR"/>
        </w:rPr>
      </w:pPr>
      <w:r w:rsidRPr="004635E5">
        <w:rPr>
          <w:sz w:val="22"/>
          <w:szCs w:val="22"/>
        </w:rPr>
        <w:t>Project 78 (Review of shark data and modelling framework to support stock assessments</w:t>
      </w:r>
      <w:r w:rsidRPr="004635E5">
        <w:rPr>
          <w:rFonts w:eastAsiaTheme="minorEastAsia"/>
          <w:sz w:val="22"/>
          <w:szCs w:val="22"/>
          <w:lang w:eastAsia="ko-KR"/>
        </w:rPr>
        <w:t>); and</w:t>
      </w:r>
    </w:p>
    <w:p w14:paraId="09346D8F" w14:textId="77777777" w:rsidR="00D41635" w:rsidRPr="004635E5" w:rsidRDefault="00D41635" w:rsidP="00580EA4">
      <w:pPr>
        <w:pStyle w:val="ListParagraph"/>
        <w:numPr>
          <w:ilvl w:val="2"/>
          <w:numId w:val="65"/>
        </w:numPr>
        <w:tabs>
          <w:tab w:val="clear" w:pos="1440"/>
        </w:tabs>
        <w:adjustRightInd w:val="0"/>
        <w:snapToGrid w:val="0"/>
        <w:ind w:left="1080" w:hanging="360"/>
        <w:jc w:val="both"/>
        <w:rPr>
          <w:rFonts w:eastAsiaTheme="minorEastAsia"/>
          <w:bCs/>
          <w:sz w:val="22"/>
          <w:szCs w:val="22"/>
          <w:lang w:val="en-NZ" w:eastAsia="ko-KR"/>
        </w:rPr>
      </w:pPr>
      <w:r w:rsidRPr="004635E5">
        <w:rPr>
          <w:rFonts w:eastAsiaTheme="minorEastAsia"/>
          <w:sz w:val="22"/>
          <w:szCs w:val="22"/>
          <w:lang w:eastAsia="ko-KR"/>
        </w:rPr>
        <w:t>WCPFC shark p</w:t>
      </w:r>
      <w:r w:rsidRPr="004635E5">
        <w:rPr>
          <w:sz w:val="22"/>
          <w:szCs w:val="22"/>
        </w:rPr>
        <w:t>ost-</w:t>
      </w:r>
      <w:r w:rsidRPr="004635E5">
        <w:rPr>
          <w:rFonts w:eastAsiaTheme="minorEastAsia"/>
          <w:sz w:val="22"/>
          <w:szCs w:val="22"/>
          <w:lang w:eastAsia="ko-KR"/>
        </w:rPr>
        <w:t>r</w:t>
      </w:r>
      <w:r w:rsidRPr="004635E5">
        <w:rPr>
          <w:sz w:val="22"/>
          <w:szCs w:val="22"/>
        </w:rPr>
        <w:t xml:space="preserve">elease </w:t>
      </w:r>
      <w:r w:rsidRPr="004635E5">
        <w:rPr>
          <w:rFonts w:eastAsiaTheme="minorEastAsia"/>
          <w:sz w:val="22"/>
          <w:szCs w:val="22"/>
          <w:lang w:eastAsia="ko-KR"/>
        </w:rPr>
        <w:t>m</w:t>
      </w:r>
      <w:r w:rsidRPr="004635E5">
        <w:rPr>
          <w:sz w:val="22"/>
          <w:szCs w:val="22"/>
        </w:rPr>
        <w:t xml:space="preserve">ortality </w:t>
      </w:r>
      <w:r w:rsidRPr="004635E5">
        <w:rPr>
          <w:rFonts w:eastAsiaTheme="minorEastAsia"/>
          <w:sz w:val="22"/>
          <w:szCs w:val="22"/>
          <w:lang w:eastAsia="ko-KR"/>
        </w:rPr>
        <w:t>t</w:t>
      </w:r>
      <w:r w:rsidRPr="004635E5">
        <w:rPr>
          <w:sz w:val="22"/>
          <w:szCs w:val="22"/>
        </w:rPr>
        <w:t xml:space="preserve">agging </w:t>
      </w:r>
      <w:r w:rsidRPr="004635E5">
        <w:rPr>
          <w:rFonts w:eastAsiaTheme="minorEastAsia"/>
          <w:sz w:val="22"/>
          <w:szCs w:val="22"/>
          <w:lang w:eastAsia="ko-KR"/>
        </w:rPr>
        <w:t>s</w:t>
      </w:r>
      <w:r w:rsidRPr="004635E5">
        <w:rPr>
          <w:sz w:val="22"/>
          <w:szCs w:val="22"/>
        </w:rPr>
        <w:t>tudies</w:t>
      </w:r>
    </w:p>
    <w:p w14:paraId="3B5BCB82" w14:textId="77777777" w:rsidR="00D41635" w:rsidRPr="004635E5" w:rsidRDefault="00D41635" w:rsidP="00580EA4">
      <w:pPr>
        <w:pStyle w:val="ListParagraph"/>
        <w:numPr>
          <w:ilvl w:val="0"/>
          <w:numId w:val="73"/>
        </w:numPr>
        <w:adjustRightInd w:val="0"/>
        <w:snapToGrid w:val="0"/>
        <w:jc w:val="both"/>
        <w:rPr>
          <w:b/>
          <w:vanish/>
          <w:sz w:val="22"/>
          <w:szCs w:val="22"/>
          <w:lang w:val="en-NZ"/>
        </w:rPr>
      </w:pPr>
    </w:p>
    <w:p w14:paraId="4B9B1BC8" w14:textId="77777777" w:rsidR="00D41635" w:rsidRPr="004635E5" w:rsidRDefault="00D41635" w:rsidP="00580EA4">
      <w:pPr>
        <w:pStyle w:val="ListParagraph"/>
        <w:numPr>
          <w:ilvl w:val="0"/>
          <w:numId w:val="73"/>
        </w:numPr>
        <w:adjustRightInd w:val="0"/>
        <w:snapToGrid w:val="0"/>
        <w:jc w:val="both"/>
        <w:rPr>
          <w:b/>
          <w:vanish/>
          <w:sz w:val="22"/>
          <w:szCs w:val="22"/>
          <w:lang w:val="en-NZ"/>
        </w:rPr>
      </w:pPr>
    </w:p>
    <w:p w14:paraId="1885B488" w14:textId="77777777" w:rsidR="00D41635" w:rsidRPr="004635E5" w:rsidRDefault="00D41635" w:rsidP="00580EA4">
      <w:pPr>
        <w:numPr>
          <w:ilvl w:val="1"/>
          <w:numId w:val="73"/>
        </w:numPr>
        <w:adjustRightInd w:val="0"/>
        <w:snapToGrid w:val="0"/>
        <w:ind w:left="720" w:hanging="720"/>
        <w:jc w:val="both"/>
        <w:rPr>
          <w:b/>
          <w:sz w:val="22"/>
          <w:szCs w:val="22"/>
          <w:lang w:val="en-NZ"/>
        </w:rPr>
      </w:pPr>
      <w:r w:rsidRPr="004635E5">
        <w:rPr>
          <w:b/>
          <w:sz w:val="22"/>
          <w:szCs w:val="22"/>
          <w:lang w:val="en-NZ"/>
        </w:rPr>
        <w:t xml:space="preserve">Seabirds </w:t>
      </w:r>
    </w:p>
    <w:p w14:paraId="5C6B75F5" w14:textId="77777777" w:rsidR="00D41635" w:rsidRPr="004635E5" w:rsidRDefault="00D41635" w:rsidP="00580EA4">
      <w:pPr>
        <w:pStyle w:val="ListParagraph"/>
        <w:numPr>
          <w:ilvl w:val="1"/>
          <w:numId w:val="84"/>
        </w:numPr>
        <w:adjustRightInd w:val="0"/>
        <w:snapToGrid w:val="0"/>
        <w:jc w:val="both"/>
        <w:rPr>
          <w:rFonts w:eastAsiaTheme="minorEastAsia"/>
          <w:vanish/>
          <w:sz w:val="22"/>
          <w:szCs w:val="22"/>
          <w:lang w:val="en-NZ" w:eastAsia="ko-KR"/>
        </w:rPr>
      </w:pPr>
    </w:p>
    <w:p w14:paraId="21992CD2" w14:textId="77777777" w:rsidR="00D41635" w:rsidRPr="004635E5" w:rsidRDefault="00D41635" w:rsidP="00580EA4">
      <w:pPr>
        <w:numPr>
          <w:ilvl w:val="2"/>
          <w:numId w:val="84"/>
        </w:numPr>
        <w:adjustRightInd w:val="0"/>
        <w:snapToGrid w:val="0"/>
        <w:jc w:val="both"/>
        <w:rPr>
          <w:rFonts w:eastAsiaTheme="minorEastAsia"/>
          <w:sz w:val="22"/>
          <w:szCs w:val="22"/>
          <w:lang w:eastAsia="ko-KR"/>
        </w:rPr>
      </w:pPr>
      <w:r w:rsidRPr="004635E5">
        <w:rPr>
          <w:rFonts w:eastAsiaTheme="minorEastAsia"/>
          <w:sz w:val="22"/>
          <w:szCs w:val="22"/>
          <w:lang w:val="en-NZ" w:eastAsia="ko-KR"/>
        </w:rPr>
        <w:t>Review of seabird researches</w:t>
      </w:r>
    </w:p>
    <w:p w14:paraId="0C592E96" w14:textId="77777777" w:rsidR="00D41635" w:rsidRPr="004635E5" w:rsidRDefault="00D41635" w:rsidP="00580EA4">
      <w:pPr>
        <w:numPr>
          <w:ilvl w:val="2"/>
          <w:numId w:val="84"/>
        </w:numPr>
        <w:adjustRightInd w:val="0"/>
        <w:snapToGrid w:val="0"/>
        <w:jc w:val="both"/>
        <w:rPr>
          <w:rFonts w:eastAsiaTheme="minorEastAsia"/>
          <w:sz w:val="22"/>
          <w:szCs w:val="22"/>
          <w:lang w:eastAsia="ko-KR"/>
        </w:rPr>
      </w:pPr>
      <w:r w:rsidRPr="004635E5">
        <w:rPr>
          <w:rFonts w:eastAsiaTheme="minorEastAsia"/>
          <w:sz w:val="22"/>
          <w:szCs w:val="22"/>
          <w:lang w:val="en-NZ" w:eastAsia="ko-KR"/>
        </w:rPr>
        <w:t>Review of CMM 2017-03</w:t>
      </w:r>
    </w:p>
    <w:p w14:paraId="545CF01B" w14:textId="77777777" w:rsidR="00D41635" w:rsidRPr="004635E5" w:rsidRDefault="00D41635" w:rsidP="00580EA4">
      <w:pPr>
        <w:numPr>
          <w:ilvl w:val="1"/>
          <w:numId w:val="73"/>
        </w:numPr>
        <w:tabs>
          <w:tab w:val="left" w:pos="720"/>
        </w:tabs>
        <w:adjustRightInd w:val="0"/>
        <w:snapToGrid w:val="0"/>
        <w:ind w:left="720" w:hanging="720"/>
        <w:jc w:val="both"/>
        <w:rPr>
          <w:b/>
          <w:sz w:val="22"/>
          <w:szCs w:val="22"/>
          <w:lang w:val="en-NZ"/>
        </w:rPr>
      </w:pPr>
      <w:r w:rsidRPr="004635E5">
        <w:rPr>
          <w:b/>
          <w:sz w:val="22"/>
          <w:szCs w:val="22"/>
          <w:lang w:val="en-NZ"/>
        </w:rPr>
        <w:t xml:space="preserve">Sea turtles </w:t>
      </w:r>
      <w:r w:rsidRPr="004635E5">
        <w:rPr>
          <w:b/>
          <w:sz w:val="22"/>
          <w:szCs w:val="22"/>
          <w:lang w:val="en-NZ"/>
        </w:rPr>
        <w:tab/>
      </w:r>
    </w:p>
    <w:p w14:paraId="0C741DD1" w14:textId="77777777" w:rsidR="00D41635" w:rsidRPr="004635E5" w:rsidRDefault="00D41635" w:rsidP="00580EA4">
      <w:pPr>
        <w:pStyle w:val="ListParagraph"/>
        <w:numPr>
          <w:ilvl w:val="1"/>
          <w:numId w:val="84"/>
        </w:numPr>
        <w:adjustRightInd w:val="0"/>
        <w:snapToGrid w:val="0"/>
        <w:jc w:val="both"/>
        <w:rPr>
          <w:rFonts w:eastAsiaTheme="minorEastAsia"/>
          <w:vanish/>
          <w:sz w:val="22"/>
          <w:szCs w:val="22"/>
          <w:lang w:val="en-NZ" w:eastAsia="ko-KR"/>
        </w:rPr>
      </w:pPr>
    </w:p>
    <w:p w14:paraId="5DA8A4E1" w14:textId="77777777" w:rsidR="00D41635" w:rsidRPr="004635E5" w:rsidRDefault="00D41635" w:rsidP="00580EA4">
      <w:pPr>
        <w:numPr>
          <w:ilvl w:val="2"/>
          <w:numId w:val="84"/>
        </w:numPr>
        <w:adjustRightInd w:val="0"/>
        <w:snapToGrid w:val="0"/>
        <w:jc w:val="both"/>
        <w:rPr>
          <w:rFonts w:eastAsiaTheme="minorEastAsia"/>
          <w:sz w:val="22"/>
          <w:szCs w:val="22"/>
          <w:lang w:eastAsia="ko-KR"/>
        </w:rPr>
      </w:pPr>
      <w:r w:rsidRPr="004635E5">
        <w:rPr>
          <w:rFonts w:eastAsiaTheme="minorEastAsia"/>
          <w:sz w:val="22"/>
          <w:szCs w:val="22"/>
          <w:lang w:val="en-NZ" w:eastAsia="ko-KR"/>
        </w:rPr>
        <w:t>Review of sea turtle researches</w:t>
      </w:r>
    </w:p>
    <w:p w14:paraId="29CA304B" w14:textId="77777777" w:rsidR="00D41635" w:rsidRPr="004635E5" w:rsidRDefault="00D41635" w:rsidP="00580EA4">
      <w:pPr>
        <w:numPr>
          <w:ilvl w:val="2"/>
          <w:numId w:val="84"/>
        </w:numPr>
        <w:adjustRightInd w:val="0"/>
        <w:snapToGrid w:val="0"/>
        <w:jc w:val="both"/>
        <w:rPr>
          <w:rFonts w:eastAsiaTheme="minorEastAsia"/>
          <w:sz w:val="22"/>
          <w:szCs w:val="22"/>
          <w:lang w:eastAsia="ko-KR"/>
        </w:rPr>
      </w:pPr>
      <w:r w:rsidRPr="004635E5">
        <w:rPr>
          <w:rFonts w:eastAsiaTheme="minorEastAsia"/>
          <w:sz w:val="22"/>
          <w:szCs w:val="22"/>
          <w:lang w:val="en-NZ" w:eastAsia="ko-KR"/>
        </w:rPr>
        <w:t>Review of CMM 2008-03</w:t>
      </w:r>
    </w:p>
    <w:p w14:paraId="4CAB7DF2" w14:textId="77777777" w:rsidR="00D41635" w:rsidRPr="004635E5" w:rsidRDefault="00D41635" w:rsidP="00580EA4">
      <w:pPr>
        <w:pStyle w:val="ListParagraph"/>
        <w:numPr>
          <w:ilvl w:val="1"/>
          <w:numId w:val="73"/>
        </w:numPr>
        <w:adjustRightInd w:val="0"/>
        <w:snapToGrid w:val="0"/>
        <w:ind w:left="720" w:hanging="720"/>
        <w:jc w:val="both"/>
        <w:rPr>
          <w:rFonts w:eastAsiaTheme="minorEastAsia"/>
          <w:b/>
          <w:bCs/>
          <w:sz w:val="22"/>
          <w:szCs w:val="22"/>
          <w:lang w:val="en-NZ" w:eastAsia="ko-KR"/>
        </w:rPr>
      </w:pPr>
      <w:r w:rsidRPr="004635E5">
        <w:rPr>
          <w:rFonts w:eastAsiaTheme="minorEastAsia"/>
          <w:b/>
          <w:bCs/>
          <w:sz w:val="22"/>
          <w:szCs w:val="22"/>
          <w:lang w:val="en-NZ" w:eastAsia="ko-KR"/>
        </w:rPr>
        <w:t xml:space="preserve">Bycatch management </w:t>
      </w:r>
    </w:p>
    <w:p w14:paraId="6A0B7871" w14:textId="77777777" w:rsidR="00D41635" w:rsidRPr="004635E5" w:rsidRDefault="00D41635" w:rsidP="00580EA4">
      <w:pPr>
        <w:pStyle w:val="ListParagraph"/>
        <w:numPr>
          <w:ilvl w:val="1"/>
          <w:numId w:val="73"/>
        </w:numPr>
        <w:adjustRightInd w:val="0"/>
        <w:snapToGrid w:val="0"/>
        <w:ind w:left="0" w:firstLine="0"/>
        <w:jc w:val="both"/>
        <w:rPr>
          <w:rFonts w:eastAsiaTheme="minorEastAsia"/>
          <w:b/>
          <w:bCs/>
          <w:sz w:val="22"/>
          <w:szCs w:val="22"/>
          <w:lang w:eastAsia="ko-KR"/>
        </w:rPr>
      </w:pPr>
      <w:r w:rsidRPr="004635E5">
        <w:rPr>
          <w:rFonts w:eastAsiaTheme="minorEastAsia"/>
          <w:b/>
          <w:bCs/>
          <w:sz w:val="22"/>
          <w:szCs w:val="22"/>
          <w:lang w:eastAsia="ko-KR"/>
        </w:rPr>
        <w:t>Other issues</w:t>
      </w:r>
    </w:p>
    <w:p w14:paraId="5518647C" w14:textId="77777777" w:rsidR="00D41635" w:rsidRPr="004635E5" w:rsidRDefault="00D41635" w:rsidP="00E41116">
      <w:pPr>
        <w:adjustRightInd w:val="0"/>
        <w:snapToGrid w:val="0"/>
        <w:ind w:left="720"/>
        <w:jc w:val="both"/>
        <w:rPr>
          <w:rFonts w:eastAsiaTheme="minorEastAsia"/>
          <w:sz w:val="22"/>
          <w:szCs w:val="22"/>
          <w:lang w:val="en-NZ" w:eastAsia="ko-KR"/>
        </w:rPr>
      </w:pPr>
    </w:p>
    <w:p w14:paraId="23D3D64B" w14:textId="77777777" w:rsidR="00D41635" w:rsidRPr="004635E5" w:rsidRDefault="00EE2E72" w:rsidP="00E41116">
      <w:pPr>
        <w:adjustRightInd w:val="0"/>
        <w:snapToGrid w:val="0"/>
        <w:rPr>
          <w:b/>
          <w:sz w:val="22"/>
          <w:szCs w:val="22"/>
          <w:lang w:val="en-NZ"/>
        </w:rPr>
      </w:pPr>
      <w:r w:rsidRPr="004635E5">
        <w:rPr>
          <w:b/>
          <w:sz w:val="22"/>
          <w:szCs w:val="22"/>
          <w:lang w:val="en-NZ"/>
        </w:rPr>
        <w:t xml:space="preserve">AGENDA ITEM 7 — </w:t>
      </w:r>
      <w:r w:rsidR="00D41635" w:rsidRPr="004635E5">
        <w:rPr>
          <w:b/>
          <w:sz w:val="22"/>
          <w:szCs w:val="22"/>
          <w:lang w:val="en-NZ"/>
        </w:rPr>
        <w:t>OTHER RESEARCH PROJECTS</w:t>
      </w:r>
    </w:p>
    <w:p w14:paraId="10D0CEA5" w14:textId="77777777" w:rsidR="00D41635" w:rsidRPr="004635E5" w:rsidRDefault="00D41635" w:rsidP="00E41116">
      <w:pPr>
        <w:adjustRightInd w:val="0"/>
        <w:snapToGrid w:val="0"/>
        <w:ind w:left="2160"/>
        <w:jc w:val="both"/>
        <w:rPr>
          <w:b/>
          <w:sz w:val="22"/>
          <w:szCs w:val="22"/>
          <w:lang w:val="en-NZ"/>
        </w:rPr>
      </w:pPr>
    </w:p>
    <w:p w14:paraId="359449C9" w14:textId="77777777" w:rsidR="00D41635" w:rsidRPr="004635E5" w:rsidRDefault="00D41635" w:rsidP="00580EA4">
      <w:pPr>
        <w:pStyle w:val="ListParagraph"/>
        <w:numPr>
          <w:ilvl w:val="1"/>
          <w:numId w:val="8"/>
        </w:numPr>
        <w:adjustRightInd w:val="0"/>
        <w:snapToGrid w:val="0"/>
        <w:ind w:left="720" w:hanging="720"/>
        <w:jc w:val="both"/>
        <w:rPr>
          <w:b/>
          <w:sz w:val="22"/>
          <w:szCs w:val="22"/>
          <w:lang w:val="en-NZ"/>
        </w:rPr>
      </w:pPr>
      <w:r w:rsidRPr="004635E5">
        <w:rPr>
          <w:b/>
          <w:sz w:val="22"/>
          <w:szCs w:val="22"/>
          <w:lang w:val="en-NZ"/>
        </w:rPr>
        <w:t xml:space="preserve">West Pacific East Asia Project </w:t>
      </w:r>
    </w:p>
    <w:p w14:paraId="14DF868E" w14:textId="77777777" w:rsidR="00D41635" w:rsidRPr="004635E5" w:rsidRDefault="00D41635" w:rsidP="00580EA4">
      <w:pPr>
        <w:pStyle w:val="ListParagraph"/>
        <w:numPr>
          <w:ilvl w:val="1"/>
          <w:numId w:val="8"/>
        </w:numPr>
        <w:adjustRightInd w:val="0"/>
        <w:snapToGrid w:val="0"/>
        <w:ind w:left="720" w:hanging="720"/>
        <w:jc w:val="both"/>
        <w:rPr>
          <w:b/>
          <w:sz w:val="22"/>
          <w:szCs w:val="22"/>
          <w:lang w:val="en-NZ"/>
        </w:rPr>
      </w:pPr>
      <w:r w:rsidRPr="004635E5">
        <w:rPr>
          <w:b/>
          <w:bCs/>
          <w:sz w:val="22"/>
          <w:szCs w:val="22"/>
          <w:lang w:val="en-NZ"/>
        </w:rPr>
        <w:t>Pacific Tuna Tagging Project</w:t>
      </w:r>
      <w:r w:rsidRPr="004635E5">
        <w:rPr>
          <w:b/>
          <w:sz w:val="22"/>
          <w:szCs w:val="22"/>
          <w:lang w:val="en-NZ"/>
        </w:rPr>
        <w:t xml:space="preserve">  </w:t>
      </w:r>
    </w:p>
    <w:p w14:paraId="5E39A397" w14:textId="77777777" w:rsidR="00D41635" w:rsidRPr="004635E5" w:rsidRDefault="00D41635" w:rsidP="00580EA4">
      <w:pPr>
        <w:pStyle w:val="ListParagraph"/>
        <w:numPr>
          <w:ilvl w:val="1"/>
          <w:numId w:val="8"/>
        </w:numPr>
        <w:adjustRightInd w:val="0"/>
        <w:snapToGrid w:val="0"/>
        <w:ind w:left="720" w:hanging="720"/>
        <w:jc w:val="both"/>
        <w:rPr>
          <w:rFonts w:eastAsiaTheme="minorEastAsia"/>
          <w:b/>
          <w:bCs/>
          <w:sz w:val="22"/>
          <w:szCs w:val="22"/>
          <w:lang w:val="en-NZ" w:eastAsia="ko-KR"/>
        </w:rPr>
      </w:pPr>
      <w:r w:rsidRPr="004635E5">
        <w:rPr>
          <w:rFonts w:eastAsiaTheme="minorEastAsia"/>
          <w:b/>
          <w:bCs/>
          <w:sz w:val="22"/>
          <w:szCs w:val="22"/>
          <w:lang w:val="en-NZ" w:eastAsia="ko-KR"/>
        </w:rPr>
        <w:t>ABNJ (Common Oceans) Tuna Project-Shark and Bycatch Components</w:t>
      </w:r>
    </w:p>
    <w:p w14:paraId="6445C5EC" w14:textId="77777777" w:rsidR="00D41635" w:rsidRPr="004635E5" w:rsidRDefault="00D41635" w:rsidP="00580EA4">
      <w:pPr>
        <w:pStyle w:val="ListParagraph"/>
        <w:numPr>
          <w:ilvl w:val="1"/>
          <w:numId w:val="8"/>
        </w:numPr>
        <w:adjustRightInd w:val="0"/>
        <w:snapToGrid w:val="0"/>
        <w:ind w:left="0" w:firstLine="0"/>
        <w:jc w:val="both"/>
        <w:rPr>
          <w:rFonts w:eastAsiaTheme="minorEastAsia"/>
          <w:b/>
          <w:sz w:val="22"/>
          <w:szCs w:val="22"/>
          <w:lang w:val="en-NZ" w:eastAsia="ko-KR"/>
        </w:rPr>
      </w:pPr>
      <w:r w:rsidRPr="004635E5">
        <w:rPr>
          <w:rFonts w:eastAsiaTheme="minorEastAsia"/>
          <w:b/>
          <w:sz w:val="22"/>
          <w:szCs w:val="22"/>
          <w:lang w:val="en-NZ" w:eastAsia="ko-KR"/>
        </w:rPr>
        <w:t>WCPFC Tissue Bank (Project 35b)</w:t>
      </w:r>
    </w:p>
    <w:p w14:paraId="63C6E86B" w14:textId="77777777" w:rsidR="00D41635" w:rsidRPr="004635E5" w:rsidRDefault="00D41635" w:rsidP="00580EA4">
      <w:pPr>
        <w:pStyle w:val="ListParagraph"/>
        <w:numPr>
          <w:ilvl w:val="1"/>
          <w:numId w:val="8"/>
        </w:numPr>
        <w:adjustRightInd w:val="0"/>
        <w:snapToGrid w:val="0"/>
        <w:ind w:left="0" w:firstLine="0"/>
        <w:jc w:val="both"/>
        <w:rPr>
          <w:rFonts w:eastAsiaTheme="minorEastAsia"/>
          <w:b/>
          <w:sz w:val="22"/>
          <w:szCs w:val="22"/>
          <w:lang w:val="en-NZ" w:eastAsia="ko-KR"/>
        </w:rPr>
      </w:pPr>
      <w:r w:rsidRPr="004635E5">
        <w:rPr>
          <w:rFonts w:eastAsiaTheme="minorEastAsia"/>
          <w:b/>
          <w:sz w:val="22"/>
          <w:szCs w:val="22"/>
          <w:lang w:val="en-NZ" w:eastAsia="ko-KR"/>
        </w:rPr>
        <w:t>Other Projects</w:t>
      </w:r>
    </w:p>
    <w:p w14:paraId="60CF2A1C" w14:textId="77777777" w:rsidR="00EE2E72" w:rsidRPr="004635E5" w:rsidRDefault="00EE2E72" w:rsidP="00E41116">
      <w:pPr>
        <w:adjustRightInd w:val="0"/>
        <w:snapToGrid w:val="0"/>
        <w:ind w:left="2160"/>
        <w:jc w:val="both"/>
        <w:rPr>
          <w:rFonts w:eastAsiaTheme="minorEastAsia"/>
          <w:sz w:val="22"/>
          <w:szCs w:val="22"/>
          <w:lang w:val="en-NZ" w:eastAsia="ko-KR"/>
        </w:rPr>
      </w:pPr>
    </w:p>
    <w:p w14:paraId="068F5AD4" w14:textId="77777777" w:rsidR="00D41635" w:rsidRPr="004635E5" w:rsidRDefault="00EE2E72" w:rsidP="00E41116">
      <w:pPr>
        <w:adjustRightInd w:val="0"/>
        <w:snapToGrid w:val="0"/>
        <w:jc w:val="both"/>
        <w:rPr>
          <w:b/>
          <w:sz w:val="22"/>
          <w:szCs w:val="22"/>
          <w:lang w:val="en-NZ"/>
        </w:rPr>
      </w:pPr>
      <w:r w:rsidRPr="004635E5">
        <w:rPr>
          <w:b/>
          <w:sz w:val="22"/>
          <w:szCs w:val="22"/>
          <w:lang w:val="en-NZ"/>
        </w:rPr>
        <w:t xml:space="preserve">AGENDA ITEM 8 — </w:t>
      </w:r>
      <w:r w:rsidR="00D41635" w:rsidRPr="004635E5">
        <w:rPr>
          <w:b/>
          <w:sz w:val="22"/>
          <w:szCs w:val="22"/>
          <w:lang w:val="en-NZ"/>
        </w:rPr>
        <w:t>COOPERATION WITH OTHER ORGANISATIONS</w:t>
      </w:r>
    </w:p>
    <w:p w14:paraId="449C24A6" w14:textId="77777777" w:rsidR="00D41635" w:rsidRPr="004635E5" w:rsidRDefault="00D41635" w:rsidP="00E41116">
      <w:pPr>
        <w:pStyle w:val="ListParagraph"/>
        <w:numPr>
          <w:ilvl w:val="0"/>
          <w:numId w:val="4"/>
        </w:numPr>
        <w:adjustRightInd w:val="0"/>
        <w:snapToGrid w:val="0"/>
        <w:jc w:val="both"/>
        <w:rPr>
          <w:b/>
          <w:vanish/>
          <w:sz w:val="22"/>
          <w:szCs w:val="22"/>
          <w:lang w:val="en-NZ"/>
        </w:rPr>
      </w:pPr>
    </w:p>
    <w:p w14:paraId="3536BF89" w14:textId="77777777" w:rsidR="00D41635" w:rsidRPr="004635E5" w:rsidRDefault="00D41635" w:rsidP="00E41116">
      <w:pPr>
        <w:pStyle w:val="ListParagraph"/>
        <w:numPr>
          <w:ilvl w:val="0"/>
          <w:numId w:val="4"/>
        </w:numPr>
        <w:adjustRightInd w:val="0"/>
        <w:snapToGrid w:val="0"/>
        <w:jc w:val="both"/>
        <w:rPr>
          <w:b/>
          <w:vanish/>
          <w:sz w:val="22"/>
          <w:szCs w:val="22"/>
          <w:lang w:val="en-NZ"/>
        </w:rPr>
      </w:pPr>
    </w:p>
    <w:p w14:paraId="105EAC56" w14:textId="77777777" w:rsidR="00D41635" w:rsidRPr="004635E5" w:rsidRDefault="00D41635" w:rsidP="00E41116">
      <w:pPr>
        <w:pStyle w:val="ListParagraph"/>
        <w:numPr>
          <w:ilvl w:val="0"/>
          <w:numId w:val="4"/>
        </w:numPr>
        <w:adjustRightInd w:val="0"/>
        <w:snapToGrid w:val="0"/>
        <w:jc w:val="both"/>
        <w:rPr>
          <w:b/>
          <w:vanish/>
          <w:sz w:val="22"/>
          <w:szCs w:val="22"/>
          <w:lang w:val="en-NZ"/>
        </w:rPr>
      </w:pPr>
    </w:p>
    <w:p w14:paraId="1B06103F" w14:textId="77777777" w:rsidR="00D41635" w:rsidRPr="004635E5" w:rsidRDefault="00D41635" w:rsidP="00E41116">
      <w:pPr>
        <w:pStyle w:val="ListParagraph"/>
        <w:numPr>
          <w:ilvl w:val="0"/>
          <w:numId w:val="4"/>
        </w:numPr>
        <w:adjustRightInd w:val="0"/>
        <w:snapToGrid w:val="0"/>
        <w:jc w:val="both"/>
        <w:rPr>
          <w:b/>
          <w:vanish/>
          <w:sz w:val="22"/>
          <w:szCs w:val="22"/>
          <w:lang w:val="en-NZ"/>
        </w:rPr>
      </w:pPr>
    </w:p>
    <w:p w14:paraId="52AA12C8" w14:textId="77777777" w:rsidR="00D41635" w:rsidRPr="004635E5" w:rsidRDefault="00D41635" w:rsidP="00580EA4">
      <w:pPr>
        <w:pStyle w:val="ListParagraph"/>
        <w:numPr>
          <w:ilvl w:val="0"/>
          <w:numId w:val="72"/>
        </w:numPr>
        <w:adjustRightInd w:val="0"/>
        <w:snapToGrid w:val="0"/>
        <w:jc w:val="both"/>
        <w:rPr>
          <w:b/>
          <w:vanish/>
          <w:sz w:val="22"/>
          <w:szCs w:val="22"/>
          <w:lang w:val="en-NZ"/>
        </w:rPr>
      </w:pPr>
    </w:p>
    <w:p w14:paraId="619F70F3" w14:textId="77777777" w:rsidR="00D41635" w:rsidRPr="004635E5" w:rsidRDefault="00D41635" w:rsidP="00580EA4">
      <w:pPr>
        <w:pStyle w:val="ListParagraph"/>
        <w:numPr>
          <w:ilvl w:val="0"/>
          <w:numId w:val="72"/>
        </w:numPr>
        <w:adjustRightInd w:val="0"/>
        <w:snapToGrid w:val="0"/>
        <w:jc w:val="both"/>
        <w:rPr>
          <w:b/>
          <w:vanish/>
          <w:sz w:val="22"/>
          <w:szCs w:val="22"/>
          <w:lang w:val="en-NZ"/>
        </w:rPr>
      </w:pPr>
    </w:p>
    <w:p w14:paraId="3CBD0281" w14:textId="77777777" w:rsidR="00D41635" w:rsidRPr="004635E5" w:rsidRDefault="00D41635" w:rsidP="00E41116">
      <w:pPr>
        <w:adjustRightInd w:val="0"/>
        <w:snapToGrid w:val="0"/>
        <w:ind w:left="720"/>
        <w:jc w:val="both"/>
        <w:rPr>
          <w:rFonts w:eastAsia="Batang"/>
          <w:sz w:val="22"/>
          <w:szCs w:val="22"/>
          <w:lang w:eastAsia="ko-KR"/>
        </w:rPr>
      </w:pPr>
    </w:p>
    <w:p w14:paraId="3A15DBBE" w14:textId="77777777" w:rsidR="00D41635" w:rsidRPr="004635E5" w:rsidRDefault="00EE2E72" w:rsidP="00E41116">
      <w:pPr>
        <w:adjustRightInd w:val="0"/>
        <w:snapToGrid w:val="0"/>
        <w:jc w:val="both"/>
        <w:rPr>
          <w:b/>
          <w:sz w:val="22"/>
          <w:szCs w:val="22"/>
          <w:lang w:val="en-NZ"/>
        </w:rPr>
      </w:pPr>
      <w:r w:rsidRPr="004635E5">
        <w:rPr>
          <w:b/>
          <w:sz w:val="22"/>
          <w:szCs w:val="22"/>
          <w:lang w:val="en-NZ"/>
        </w:rPr>
        <w:t xml:space="preserve">AGENDA ITEM 9 — </w:t>
      </w:r>
      <w:r w:rsidR="00D41635" w:rsidRPr="004635E5">
        <w:rPr>
          <w:b/>
          <w:sz w:val="22"/>
          <w:szCs w:val="22"/>
          <w:lang w:val="en-NZ"/>
        </w:rPr>
        <w:t>SPECIAL REQUIREMENTS OF DEVELOPING STATES AND PARTICIPATING TERRITORIES</w:t>
      </w:r>
    </w:p>
    <w:p w14:paraId="739BC96F" w14:textId="77777777" w:rsidR="00D41635" w:rsidRPr="004635E5" w:rsidRDefault="00D41635" w:rsidP="00580EA4">
      <w:pPr>
        <w:pStyle w:val="ListParagraph"/>
        <w:numPr>
          <w:ilvl w:val="0"/>
          <w:numId w:val="67"/>
        </w:numPr>
        <w:adjustRightInd w:val="0"/>
        <w:snapToGrid w:val="0"/>
        <w:jc w:val="both"/>
        <w:rPr>
          <w:b/>
          <w:vanish/>
          <w:sz w:val="22"/>
          <w:szCs w:val="22"/>
          <w:lang w:val="en-NZ"/>
        </w:rPr>
      </w:pPr>
    </w:p>
    <w:p w14:paraId="3A8B971E" w14:textId="77777777" w:rsidR="00D41635" w:rsidRPr="004635E5" w:rsidRDefault="00D41635" w:rsidP="00580EA4">
      <w:pPr>
        <w:pStyle w:val="ListParagraph"/>
        <w:numPr>
          <w:ilvl w:val="0"/>
          <w:numId w:val="67"/>
        </w:numPr>
        <w:adjustRightInd w:val="0"/>
        <w:snapToGrid w:val="0"/>
        <w:jc w:val="both"/>
        <w:rPr>
          <w:b/>
          <w:vanish/>
          <w:sz w:val="22"/>
          <w:szCs w:val="22"/>
          <w:lang w:val="en-NZ"/>
        </w:rPr>
      </w:pPr>
    </w:p>
    <w:p w14:paraId="1831340A" w14:textId="77777777" w:rsidR="00D41635" w:rsidRPr="004635E5" w:rsidRDefault="00D41635" w:rsidP="00580EA4">
      <w:pPr>
        <w:pStyle w:val="ListParagraph"/>
        <w:numPr>
          <w:ilvl w:val="0"/>
          <w:numId w:val="67"/>
        </w:numPr>
        <w:adjustRightInd w:val="0"/>
        <w:snapToGrid w:val="0"/>
        <w:jc w:val="both"/>
        <w:rPr>
          <w:b/>
          <w:vanish/>
          <w:sz w:val="22"/>
          <w:szCs w:val="22"/>
          <w:lang w:val="en-NZ"/>
        </w:rPr>
      </w:pPr>
    </w:p>
    <w:p w14:paraId="32A62AD1" w14:textId="77777777" w:rsidR="00D41635" w:rsidRPr="004635E5" w:rsidRDefault="00D41635" w:rsidP="00580EA4">
      <w:pPr>
        <w:pStyle w:val="ListParagraph"/>
        <w:numPr>
          <w:ilvl w:val="0"/>
          <w:numId w:val="67"/>
        </w:numPr>
        <w:adjustRightInd w:val="0"/>
        <w:snapToGrid w:val="0"/>
        <w:jc w:val="both"/>
        <w:rPr>
          <w:b/>
          <w:vanish/>
          <w:sz w:val="22"/>
          <w:szCs w:val="22"/>
          <w:lang w:val="en-NZ"/>
        </w:rPr>
      </w:pPr>
    </w:p>
    <w:p w14:paraId="2BC55CD5" w14:textId="77777777" w:rsidR="00D41635" w:rsidRPr="004635E5" w:rsidRDefault="00D41635" w:rsidP="00580EA4">
      <w:pPr>
        <w:pStyle w:val="ListParagraph"/>
        <w:numPr>
          <w:ilvl w:val="0"/>
          <w:numId w:val="67"/>
        </w:numPr>
        <w:adjustRightInd w:val="0"/>
        <w:snapToGrid w:val="0"/>
        <w:jc w:val="both"/>
        <w:rPr>
          <w:b/>
          <w:vanish/>
          <w:sz w:val="22"/>
          <w:szCs w:val="22"/>
          <w:lang w:val="en-NZ"/>
        </w:rPr>
      </w:pPr>
    </w:p>
    <w:p w14:paraId="4D87271A" w14:textId="77777777" w:rsidR="00D41635" w:rsidRPr="004635E5" w:rsidRDefault="00D41635" w:rsidP="00580EA4">
      <w:pPr>
        <w:pStyle w:val="ListParagraph"/>
        <w:numPr>
          <w:ilvl w:val="0"/>
          <w:numId w:val="67"/>
        </w:numPr>
        <w:adjustRightInd w:val="0"/>
        <w:snapToGrid w:val="0"/>
        <w:jc w:val="both"/>
        <w:rPr>
          <w:b/>
          <w:vanish/>
          <w:sz w:val="22"/>
          <w:szCs w:val="22"/>
          <w:lang w:val="en-NZ"/>
        </w:rPr>
      </w:pPr>
    </w:p>
    <w:p w14:paraId="54F3F479" w14:textId="77777777" w:rsidR="00EE2E72" w:rsidRPr="004635E5" w:rsidRDefault="00EE2E72" w:rsidP="00E41116">
      <w:pPr>
        <w:adjustRightInd w:val="0"/>
        <w:snapToGrid w:val="0"/>
        <w:jc w:val="both"/>
        <w:rPr>
          <w:rFonts w:eastAsiaTheme="minorEastAsia"/>
          <w:sz w:val="22"/>
          <w:szCs w:val="22"/>
          <w:lang w:eastAsia="ko-KR"/>
        </w:rPr>
      </w:pPr>
    </w:p>
    <w:p w14:paraId="2DF6B29B" w14:textId="77777777" w:rsidR="00D41635" w:rsidRPr="004635E5" w:rsidRDefault="00EE2E72" w:rsidP="00E41116">
      <w:pPr>
        <w:adjustRightInd w:val="0"/>
        <w:snapToGrid w:val="0"/>
        <w:jc w:val="both"/>
        <w:rPr>
          <w:b/>
          <w:sz w:val="22"/>
          <w:szCs w:val="22"/>
          <w:lang w:val="en-NZ"/>
        </w:rPr>
      </w:pPr>
      <w:r w:rsidRPr="004635E5">
        <w:rPr>
          <w:b/>
          <w:sz w:val="22"/>
          <w:szCs w:val="22"/>
          <w:lang w:val="en-NZ"/>
        </w:rPr>
        <w:t xml:space="preserve">AGENDA ITEM 10 — </w:t>
      </w:r>
      <w:r w:rsidR="00D41635" w:rsidRPr="004635E5">
        <w:rPr>
          <w:b/>
          <w:sz w:val="22"/>
          <w:szCs w:val="22"/>
          <w:lang w:val="en-NZ"/>
        </w:rPr>
        <w:t>FUTURE WORK PROGRAM AND BUDGET</w:t>
      </w:r>
    </w:p>
    <w:p w14:paraId="6C2EA651" w14:textId="77777777" w:rsidR="00D41635" w:rsidRPr="004635E5" w:rsidRDefault="00D41635" w:rsidP="00E41116">
      <w:pPr>
        <w:adjustRightInd w:val="0"/>
        <w:snapToGrid w:val="0"/>
        <w:jc w:val="both"/>
        <w:rPr>
          <w:sz w:val="22"/>
          <w:szCs w:val="22"/>
          <w:lang w:val="en-NZ"/>
        </w:rPr>
      </w:pPr>
    </w:p>
    <w:p w14:paraId="54AF729A" w14:textId="77777777" w:rsidR="00D41635" w:rsidRPr="004635E5" w:rsidRDefault="00D41635" w:rsidP="00580EA4">
      <w:pPr>
        <w:pStyle w:val="ListParagraph"/>
        <w:numPr>
          <w:ilvl w:val="0"/>
          <w:numId w:val="70"/>
        </w:numPr>
        <w:adjustRightInd w:val="0"/>
        <w:snapToGrid w:val="0"/>
        <w:jc w:val="both"/>
        <w:rPr>
          <w:b/>
          <w:vanish/>
          <w:sz w:val="22"/>
          <w:szCs w:val="22"/>
          <w:lang w:val="en-NZ"/>
        </w:rPr>
      </w:pPr>
    </w:p>
    <w:p w14:paraId="69CC5D7A" w14:textId="77777777" w:rsidR="00D41635" w:rsidRPr="004635E5" w:rsidRDefault="00D41635" w:rsidP="00580EA4">
      <w:pPr>
        <w:pStyle w:val="ListParagraph"/>
        <w:numPr>
          <w:ilvl w:val="0"/>
          <w:numId w:val="70"/>
        </w:numPr>
        <w:adjustRightInd w:val="0"/>
        <w:snapToGrid w:val="0"/>
        <w:jc w:val="both"/>
        <w:rPr>
          <w:b/>
          <w:vanish/>
          <w:sz w:val="22"/>
          <w:szCs w:val="22"/>
          <w:lang w:val="en-NZ"/>
        </w:rPr>
      </w:pPr>
    </w:p>
    <w:p w14:paraId="602B01DC" w14:textId="77777777" w:rsidR="00D41635" w:rsidRPr="004635E5" w:rsidRDefault="00D41635" w:rsidP="00580EA4">
      <w:pPr>
        <w:pStyle w:val="ListParagraph"/>
        <w:numPr>
          <w:ilvl w:val="0"/>
          <w:numId w:val="70"/>
        </w:numPr>
        <w:adjustRightInd w:val="0"/>
        <w:snapToGrid w:val="0"/>
        <w:jc w:val="both"/>
        <w:rPr>
          <w:b/>
          <w:vanish/>
          <w:sz w:val="22"/>
          <w:szCs w:val="22"/>
          <w:lang w:val="en-NZ"/>
        </w:rPr>
      </w:pPr>
    </w:p>
    <w:p w14:paraId="6CF34E61" w14:textId="77777777" w:rsidR="00D41635" w:rsidRPr="004635E5" w:rsidRDefault="00D41635" w:rsidP="00580EA4">
      <w:pPr>
        <w:pStyle w:val="ListParagraph"/>
        <w:numPr>
          <w:ilvl w:val="0"/>
          <w:numId w:val="70"/>
        </w:numPr>
        <w:adjustRightInd w:val="0"/>
        <w:snapToGrid w:val="0"/>
        <w:jc w:val="both"/>
        <w:rPr>
          <w:b/>
          <w:vanish/>
          <w:sz w:val="22"/>
          <w:szCs w:val="22"/>
          <w:lang w:val="en-NZ"/>
        </w:rPr>
      </w:pPr>
    </w:p>
    <w:p w14:paraId="4D12C9F0" w14:textId="77777777" w:rsidR="00D41635" w:rsidRPr="004635E5" w:rsidRDefault="00D41635" w:rsidP="00580EA4">
      <w:pPr>
        <w:pStyle w:val="ListParagraph"/>
        <w:numPr>
          <w:ilvl w:val="0"/>
          <w:numId w:val="66"/>
        </w:numPr>
        <w:adjustRightInd w:val="0"/>
        <w:snapToGrid w:val="0"/>
        <w:jc w:val="both"/>
        <w:rPr>
          <w:b/>
          <w:vanish/>
          <w:sz w:val="22"/>
          <w:szCs w:val="22"/>
          <w:lang w:val="en-NZ"/>
        </w:rPr>
      </w:pPr>
    </w:p>
    <w:p w14:paraId="64D9C8D6" w14:textId="77777777" w:rsidR="00D41635" w:rsidRPr="004635E5" w:rsidRDefault="00D41635" w:rsidP="00580EA4">
      <w:pPr>
        <w:pStyle w:val="ListParagraph"/>
        <w:numPr>
          <w:ilvl w:val="0"/>
          <w:numId w:val="66"/>
        </w:numPr>
        <w:adjustRightInd w:val="0"/>
        <w:snapToGrid w:val="0"/>
        <w:jc w:val="both"/>
        <w:rPr>
          <w:b/>
          <w:vanish/>
          <w:sz w:val="22"/>
          <w:szCs w:val="22"/>
          <w:lang w:val="en-NZ"/>
        </w:rPr>
      </w:pPr>
    </w:p>
    <w:p w14:paraId="11FAB2FB" w14:textId="77777777" w:rsidR="00D41635" w:rsidRPr="004635E5" w:rsidRDefault="00D41635" w:rsidP="00580EA4">
      <w:pPr>
        <w:pStyle w:val="ListParagraph"/>
        <w:numPr>
          <w:ilvl w:val="0"/>
          <w:numId w:val="66"/>
        </w:numPr>
        <w:adjustRightInd w:val="0"/>
        <w:snapToGrid w:val="0"/>
        <w:jc w:val="both"/>
        <w:rPr>
          <w:b/>
          <w:vanish/>
          <w:sz w:val="22"/>
          <w:szCs w:val="22"/>
          <w:lang w:val="en-NZ"/>
        </w:rPr>
      </w:pPr>
    </w:p>
    <w:p w14:paraId="59B0F69D" w14:textId="77777777" w:rsidR="00D41635" w:rsidRPr="004635E5" w:rsidRDefault="00D41635" w:rsidP="00580EA4">
      <w:pPr>
        <w:pStyle w:val="ListParagraph"/>
        <w:numPr>
          <w:ilvl w:val="0"/>
          <w:numId w:val="66"/>
        </w:numPr>
        <w:adjustRightInd w:val="0"/>
        <w:snapToGrid w:val="0"/>
        <w:jc w:val="both"/>
        <w:rPr>
          <w:b/>
          <w:vanish/>
          <w:sz w:val="22"/>
          <w:szCs w:val="22"/>
          <w:lang w:val="en-NZ"/>
        </w:rPr>
      </w:pPr>
    </w:p>
    <w:p w14:paraId="74F1BE0C" w14:textId="77777777" w:rsidR="00D41635" w:rsidRPr="004635E5" w:rsidRDefault="00D41635" w:rsidP="00580EA4">
      <w:pPr>
        <w:pStyle w:val="ListParagraph"/>
        <w:numPr>
          <w:ilvl w:val="0"/>
          <w:numId w:val="66"/>
        </w:numPr>
        <w:adjustRightInd w:val="0"/>
        <w:snapToGrid w:val="0"/>
        <w:jc w:val="both"/>
        <w:rPr>
          <w:b/>
          <w:vanish/>
          <w:sz w:val="22"/>
          <w:szCs w:val="22"/>
          <w:lang w:val="en-NZ"/>
        </w:rPr>
      </w:pPr>
    </w:p>
    <w:p w14:paraId="7914CA77" w14:textId="77777777" w:rsidR="00D41635" w:rsidRPr="004635E5" w:rsidRDefault="00D41635" w:rsidP="00580EA4">
      <w:pPr>
        <w:numPr>
          <w:ilvl w:val="1"/>
          <w:numId w:val="66"/>
        </w:numPr>
        <w:adjustRightInd w:val="0"/>
        <w:snapToGrid w:val="0"/>
        <w:jc w:val="both"/>
        <w:rPr>
          <w:b/>
          <w:sz w:val="22"/>
          <w:szCs w:val="22"/>
          <w:lang w:val="en-NZ"/>
        </w:rPr>
      </w:pPr>
      <w:r w:rsidRPr="004635E5">
        <w:rPr>
          <w:b/>
          <w:sz w:val="22"/>
          <w:szCs w:val="22"/>
          <w:lang w:val="en-NZ"/>
        </w:rPr>
        <w:t>Review of the Scientific Committee Work Programme</w:t>
      </w:r>
    </w:p>
    <w:p w14:paraId="2DA83E07" w14:textId="77777777" w:rsidR="00D41635" w:rsidRPr="004635E5" w:rsidRDefault="00D41635" w:rsidP="00580EA4">
      <w:pPr>
        <w:numPr>
          <w:ilvl w:val="1"/>
          <w:numId w:val="66"/>
        </w:numPr>
        <w:adjustRightInd w:val="0"/>
        <w:snapToGrid w:val="0"/>
        <w:jc w:val="both"/>
        <w:rPr>
          <w:b/>
          <w:sz w:val="22"/>
          <w:szCs w:val="22"/>
          <w:lang w:val="en-NZ"/>
        </w:rPr>
      </w:pPr>
      <w:r w:rsidRPr="004635E5">
        <w:rPr>
          <w:b/>
          <w:sz w:val="22"/>
          <w:szCs w:val="22"/>
          <w:lang w:val="en-NZ"/>
        </w:rPr>
        <w:t>Development of the 201</w:t>
      </w:r>
      <w:r w:rsidRPr="004635E5">
        <w:rPr>
          <w:rFonts w:eastAsiaTheme="minorEastAsia"/>
          <w:b/>
          <w:sz w:val="22"/>
          <w:szCs w:val="22"/>
          <w:lang w:val="en-NZ" w:eastAsia="ko-KR"/>
        </w:rPr>
        <w:t>9</w:t>
      </w:r>
      <w:r w:rsidRPr="004635E5">
        <w:rPr>
          <w:b/>
          <w:sz w:val="22"/>
          <w:szCs w:val="22"/>
          <w:lang w:val="en-NZ"/>
        </w:rPr>
        <w:t xml:space="preserve"> </w:t>
      </w:r>
      <w:r w:rsidRPr="004635E5">
        <w:rPr>
          <w:rFonts w:eastAsiaTheme="minorEastAsia"/>
          <w:b/>
          <w:sz w:val="22"/>
          <w:szCs w:val="22"/>
          <w:lang w:val="en-NZ" w:eastAsia="ko-KR"/>
        </w:rPr>
        <w:t>w</w:t>
      </w:r>
      <w:r w:rsidRPr="004635E5">
        <w:rPr>
          <w:b/>
          <w:sz w:val="22"/>
          <w:szCs w:val="22"/>
          <w:lang w:val="en-NZ"/>
        </w:rPr>
        <w:t xml:space="preserve">ork </w:t>
      </w:r>
      <w:r w:rsidRPr="004635E5">
        <w:rPr>
          <w:rFonts w:eastAsiaTheme="minorEastAsia"/>
          <w:b/>
          <w:sz w:val="22"/>
          <w:szCs w:val="22"/>
          <w:lang w:val="en-NZ" w:eastAsia="ko-KR"/>
        </w:rPr>
        <w:t>p</w:t>
      </w:r>
      <w:r w:rsidRPr="004635E5">
        <w:rPr>
          <w:b/>
          <w:sz w:val="22"/>
          <w:szCs w:val="22"/>
          <w:lang w:val="en-NZ"/>
        </w:rPr>
        <w:t>rogramme and budget, and projection of 20</w:t>
      </w:r>
      <w:r w:rsidRPr="004635E5">
        <w:rPr>
          <w:rFonts w:eastAsiaTheme="minorEastAsia"/>
          <w:b/>
          <w:sz w:val="22"/>
          <w:szCs w:val="22"/>
          <w:lang w:val="en-NZ" w:eastAsia="ko-KR"/>
        </w:rPr>
        <w:t>20</w:t>
      </w:r>
      <w:r w:rsidRPr="004635E5">
        <w:rPr>
          <w:b/>
          <w:sz w:val="22"/>
          <w:szCs w:val="22"/>
          <w:lang w:val="en-NZ"/>
        </w:rPr>
        <w:t>-202</w:t>
      </w:r>
      <w:r w:rsidRPr="004635E5">
        <w:rPr>
          <w:rFonts w:eastAsiaTheme="minorEastAsia"/>
          <w:b/>
          <w:sz w:val="22"/>
          <w:szCs w:val="22"/>
          <w:lang w:val="en-NZ" w:eastAsia="ko-KR"/>
        </w:rPr>
        <w:t>1</w:t>
      </w:r>
      <w:r w:rsidRPr="004635E5">
        <w:rPr>
          <w:b/>
          <w:sz w:val="22"/>
          <w:szCs w:val="22"/>
          <w:lang w:val="en-NZ"/>
        </w:rPr>
        <w:t xml:space="preserve"> provisional </w:t>
      </w:r>
      <w:r w:rsidRPr="004635E5">
        <w:rPr>
          <w:rFonts w:eastAsiaTheme="minorEastAsia"/>
          <w:b/>
          <w:sz w:val="22"/>
          <w:szCs w:val="22"/>
          <w:lang w:val="en-NZ" w:eastAsia="ko-KR"/>
        </w:rPr>
        <w:t>w</w:t>
      </w:r>
      <w:r w:rsidRPr="004635E5">
        <w:rPr>
          <w:b/>
          <w:sz w:val="22"/>
          <w:szCs w:val="22"/>
          <w:lang w:val="en-NZ"/>
        </w:rPr>
        <w:t xml:space="preserve">ork </w:t>
      </w:r>
      <w:r w:rsidRPr="004635E5">
        <w:rPr>
          <w:rFonts w:eastAsiaTheme="minorEastAsia"/>
          <w:b/>
          <w:sz w:val="22"/>
          <w:szCs w:val="22"/>
          <w:lang w:val="en-NZ" w:eastAsia="ko-KR"/>
        </w:rPr>
        <w:t>p</w:t>
      </w:r>
      <w:r w:rsidRPr="004635E5">
        <w:rPr>
          <w:b/>
          <w:sz w:val="22"/>
          <w:szCs w:val="22"/>
          <w:lang w:val="en-NZ"/>
        </w:rPr>
        <w:t xml:space="preserve">rogramme and indicative budget </w:t>
      </w:r>
    </w:p>
    <w:p w14:paraId="2A6063B1" w14:textId="77777777" w:rsidR="00D41635" w:rsidRPr="004635E5" w:rsidRDefault="00D41635" w:rsidP="00E41116">
      <w:pPr>
        <w:adjustRightInd w:val="0"/>
        <w:snapToGrid w:val="0"/>
        <w:ind w:left="720"/>
        <w:jc w:val="both"/>
        <w:rPr>
          <w:rFonts w:eastAsiaTheme="minorEastAsia"/>
          <w:sz w:val="22"/>
          <w:szCs w:val="22"/>
          <w:lang w:val="en-NZ" w:eastAsia="ko-KR"/>
        </w:rPr>
      </w:pPr>
    </w:p>
    <w:p w14:paraId="4EDD4C46" w14:textId="77777777" w:rsidR="00D41635" w:rsidRPr="004635E5" w:rsidRDefault="00EE2E72" w:rsidP="00E41116">
      <w:pPr>
        <w:adjustRightInd w:val="0"/>
        <w:snapToGrid w:val="0"/>
        <w:jc w:val="both"/>
        <w:rPr>
          <w:b/>
          <w:sz w:val="22"/>
          <w:szCs w:val="22"/>
          <w:lang w:val="en-NZ"/>
        </w:rPr>
      </w:pPr>
      <w:r w:rsidRPr="004635E5">
        <w:rPr>
          <w:b/>
          <w:sz w:val="22"/>
          <w:szCs w:val="22"/>
          <w:lang w:val="en-NZ"/>
        </w:rPr>
        <w:t xml:space="preserve">AGENDA ITEM 11 — </w:t>
      </w:r>
      <w:r w:rsidR="00D41635" w:rsidRPr="004635E5">
        <w:rPr>
          <w:b/>
          <w:sz w:val="22"/>
          <w:szCs w:val="22"/>
          <w:lang w:val="en-NZ"/>
        </w:rPr>
        <w:t>ADMINISTRATIVE MATTERS</w:t>
      </w:r>
    </w:p>
    <w:p w14:paraId="1AC40481" w14:textId="77777777" w:rsidR="00D41635" w:rsidRPr="004635E5" w:rsidRDefault="00D41635" w:rsidP="00580EA4">
      <w:pPr>
        <w:pStyle w:val="ListParagraph"/>
        <w:numPr>
          <w:ilvl w:val="0"/>
          <w:numId w:val="68"/>
        </w:numPr>
        <w:adjustRightInd w:val="0"/>
        <w:snapToGrid w:val="0"/>
        <w:jc w:val="both"/>
        <w:rPr>
          <w:b/>
          <w:vanish/>
          <w:sz w:val="22"/>
          <w:szCs w:val="22"/>
          <w:lang w:val="en-NZ"/>
        </w:rPr>
      </w:pPr>
    </w:p>
    <w:p w14:paraId="6CED91FE" w14:textId="77777777" w:rsidR="00D41635" w:rsidRPr="004635E5" w:rsidRDefault="00D41635" w:rsidP="00580EA4">
      <w:pPr>
        <w:pStyle w:val="ListParagraph"/>
        <w:numPr>
          <w:ilvl w:val="0"/>
          <w:numId w:val="68"/>
        </w:numPr>
        <w:adjustRightInd w:val="0"/>
        <w:snapToGrid w:val="0"/>
        <w:jc w:val="both"/>
        <w:rPr>
          <w:b/>
          <w:vanish/>
          <w:sz w:val="22"/>
          <w:szCs w:val="22"/>
          <w:lang w:val="en-NZ"/>
        </w:rPr>
      </w:pPr>
    </w:p>
    <w:p w14:paraId="7106A1E6" w14:textId="77777777" w:rsidR="00D41635" w:rsidRPr="004635E5" w:rsidRDefault="00D41635" w:rsidP="00580EA4">
      <w:pPr>
        <w:pStyle w:val="ListParagraph"/>
        <w:numPr>
          <w:ilvl w:val="0"/>
          <w:numId w:val="68"/>
        </w:numPr>
        <w:adjustRightInd w:val="0"/>
        <w:snapToGrid w:val="0"/>
        <w:jc w:val="both"/>
        <w:rPr>
          <w:b/>
          <w:vanish/>
          <w:sz w:val="22"/>
          <w:szCs w:val="22"/>
          <w:lang w:val="en-NZ"/>
        </w:rPr>
      </w:pPr>
    </w:p>
    <w:p w14:paraId="267DF2A9" w14:textId="77777777" w:rsidR="00D41635" w:rsidRPr="004635E5" w:rsidRDefault="00D41635" w:rsidP="00580EA4">
      <w:pPr>
        <w:pStyle w:val="ListParagraph"/>
        <w:numPr>
          <w:ilvl w:val="0"/>
          <w:numId w:val="68"/>
        </w:numPr>
        <w:adjustRightInd w:val="0"/>
        <w:snapToGrid w:val="0"/>
        <w:jc w:val="both"/>
        <w:rPr>
          <w:b/>
          <w:vanish/>
          <w:sz w:val="22"/>
          <w:szCs w:val="22"/>
          <w:lang w:val="en-NZ"/>
        </w:rPr>
      </w:pPr>
    </w:p>
    <w:p w14:paraId="48D30BD8" w14:textId="77777777" w:rsidR="00D41635" w:rsidRPr="004635E5" w:rsidRDefault="00D41635" w:rsidP="00E41116">
      <w:pPr>
        <w:pStyle w:val="ListParagraph"/>
        <w:numPr>
          <w:ilvl w:val="0"/>
          <w:numId w:val="4"/>
        </w:numPr>
        <w:adjustRightInd w:val="0"/>
        <w:snapToGrid w:val="0"/>
        <w:jc w:val="both"/>
        <w:rPr>
          <w:b/>
          <w:vanish/>
          <w:sz w:val="22"/>
          <w:szCs w:val="22"/>
          <w:lang w:val="en-NZ"/>
        </w:rPr>
      </w:pPr>
    </w:p>
    <w:p w14:paraId="637A3E20" w14:textId="77777777" w:rsidR="00D41635" w:rsidRPr="004635E5" w:rsidRDefault="00D41635" w:rsidP="00E41116">
      <w:pPr>
        <w:tabs>
          <w:tab w:val="num" w:pos="567"/>
        </w:tabs>
        <w:autoSpaceDE w:val="0"/>
        <w:autoSpaceDN w:val="0"/>
        <w:adjustRightInd w:val="0"/>
        <w:snapToGrid w:val="0"/>
        <w:ind w:left="720"/>
        <w:jc w:val="both"/>
        <w:rPr>
          <w:sz w:val="22"/>
          <w:szCs w:val="22"/>
          <w:lang w:eastAsia="ja-JP"/>
        </w:rPr>
      </w:pPr>
    </w:p>
    <w:p w14:paraId="63AE379A" w14:textId="77777777" w:rsidR="00D41635" w:rsidRPr="004635E5" w:rsidRDefault="00D41635" w:rsidP="00E41116">
      <w:pPr>
        <w:numPr>
          <w:ilvl w:val="1"/>
          <w:numId w:val="4"/>
        </w:numPr>
        <w:adjustRightInd w:val="0"/>
        <w:snapToGrid w:val="0"/>
        <w:jc w:val="both"/>
        <w:rPr>
          <w:b/>
          <w:sz w:val="22"/>
          <w:szCs w:val="22"/>
          <w:lang w:val="en-NZ"/>
        </w:rPr>
      </w:pPr>
      <w:r w:rsidRPr="004635E5">
        <w:rPr>
          <w:b/>
          <w:sz w:val="22"/>
          <w:szCs w:val="22"/>
          <w:lang w:val="en-NZ"/>
        </w:rPr>
        <w:t xml:space="preserve">Future operation of the Scientific Committee </w:t>
      </w:r>
    </w:p>
    <w:p w14:paraId="2D97F0F4" w14:textId="77777777" w:rsidR="00D41635" w:rsidRPr="004635E5" w:rsidRDefault="00D41635" w:rsidP="00E41116">
      <w:pPr>
        <w:pStyle w:val="ListParagraph"/>
        <w:numPr>
          <w:ilvl w:val="1"/>
          <w:numId w:val="4"/>
        </w:numPr>
        <w:adjustRightInd w:val="0"/>
        <w:snapToGrid w:val="0"/>
        <w:jc w:val="both"/>
        <w:rPr>
          <w:b/>
          <w:sz w:val="22"/>
          <w:szCs w:val="22"/>
          <w:lang w:val="en-NZ"/>
        </w:rPr>
      </w:pPr>
      <w:r w:rsidRPr="004635E5">
        <w:rPr>
          <w:b/>
          <w:sz w:val="22"/>
          <w:szCs w:val="22"/>
          <w:lang w:val="en-NZ"/>
        </w:rPr>
        <w:t xml:space="preserve">Election of Officers of the Scientific Committee </w:t>
      </w:r>
    </w:p>
    <w:p w14:paraId="39038A98" w14:textId="77777777" w:rsidR="00D41635" w:rsidRPr="004635E5" w:rsidRDefault="00D41635" w:rsidP="00E41116">
      <w:pPr>
        <w:numPr>
          <w:ilvl w:val="1"/>
          <w:numId w:val="4"/>
        </w:numPr>
        <w:adjustRightInd w:val="0"/>
        <w:snapToGrid w:val="0"/>
        <w:jc w:val="both"/>
        <w:rPr>
          <w:b/>
          <w:sz w:val="22"/>
          <w:szCs w:val="22"/>
          <w:lang w:val="en-NZ"/>
        </w:rPr>
      </w:pPr>
      <w:r w:rsidRPr="004635E5">
        <w:rPr>
          <w:b/>
          <w:sz w:val="22"/>
          <w:szCs w:val="22"/>
          <w:lang w:val="en-NZ"/>
        </w:rPr>
        <w:t xml:space="preserve">Next meeting  </w:t>
      </w:r>
    </w:p>
    <w:p w14:paraId="57E8CDC5" w14:textId="77777777" w:rsidR="00D41635" w:rsidRPr="004635E5" w:rsidRDefault="00D41635" w:rsidP="00E41116">
      <w:pPr>
        <w:adjustRightInd w:val="0"/>
        <w:snapToGrid w:val="0"/>
        <w:ind w:left="720"/>
        <w:jc w:val="both"/>
        <w:rPr>
          <w:rFonts w:eastAsiaTheme="minorEastAsia"/>
          <w:sz w:val="22"/>
          <w:szCs w:val="22"/>
          <w:lang w:val="en-NZ" w:eastAsia="ko-KR"/>
        </w:rPr>
      </w:pPr>
    </w:p>
    <w:p w14:paraId="192AF5A1" w14:textId="77777777" w:rsidR="00D41635" w:rsidRPr="004635E5" w:rsidRDefault="00EE2E72" w:rsidP="00E41116">
      <w:pPr>
        <w:adjustRightInd w:val="0"/>
        <w:snapToGrid w:val="0"/>
        <w:rPr>
          <w:b/>
          <w:sz w:val="22"/>
          <w:szCs w:val="22"/>
          <w:lang w:val="en-NZ"/>
        </w:rPr>
      </w:pPr>
      <w:r w:rsidRPr="004635E5">
        <w:rPr>
          <w:b/>
          <w:sz w:val="22"/>
          <w:szCs w:val="22"/>
          <w:lang w:val="en-NZ"/>
        </w:rPr>
        <w:t xml:space="preserve">AGENDA ITEM 12 — </w:t>
      </w:r>
      <w:r w:rsidR="00D41635" w:rsidRPr="004635E5">
        <w:rPr>
          <w:b/>
          <w:sz w:val="22"/>
          <w:szCs w:val="22"/>
          <w:lang w:val="en-NZ"/>
        </w:rPr>
        <w:t>OTHER MATTERS</w:t>
      </w:r>
    </w:p>
    <w:p w14:paraId="201DED05" w14:textId="77777777" w:rsidR="00D41635" w:rsidRPr="004635E5" w:rsidRDefault="00D41635" w:rsidP="00E41116">
      <w:pPr>
        <w:adjustRightInd w:val="0"/>
        <w:snapToGrid w:val="0"/>
        <w:rPr>
          <w:rFonts w:eastAsiaTheme="minorEastAsia"/>
          <w:sz w:val="22"/>
          <w:szCs w:val="22"/>
          <w:lang w:val="en-NZ" w:eastAsia="ko-KR"/>
        </w:rPr>
      </w:pPr>
    </w:p>
    <w:p w14:paraId="371A8FE4" w14:textId="77777777" w:rsidR="00D41635" w:rsidRPr="004635E5" w:rsidRDefault="00EE2E72" w:rsidP="00E41116">
      <w:pPr>
        <w:adjustRightInd w:val="0"/>
        <w:snapToGrid w:val="0"/>
        <w:rPr>
          <w:b/>
          <w:sz w:val="22"/>
          <w:szCs w:val="22"/>
          <w:lang w:val="en-NZ"/>
        </w:rPr>
      </w:pPr>
      <w:r w:rsidRPr="004635E5">
        <w:rPr>
          <w:b/>
          <w:sz w:val="22"/>
          <w:szCs w:val="22"/>
          <w:lang w:val="en-NZ"/>
        </w:rPr>
        <w:t xml:space="preserve">AGENDA ITEM 13 — </w:t>
      </w:r>
      <w:r w:rsidR="00D41635" w:rsidRPr="004635E5">
        <w:rPr>
          <w:b/>
          <w:sz w:val="22"/>
          <w:szCs w:val="22"/>
          <w:lang w:val="en-NZ"/>
        </w:rPr>
        <w:t>ADOPTION OF THE SUMMARY RE</w:t>
      </w:r>
      <w:r w:rsidR="00D41635" w:rsidRPr="004635E5">
        <w:rPr>
          <w:rFonts w:eastAsia="Batang"/>
          <w:b/>
          <w:sz w:val="22"/>
          <w:szCs w:val="22"/>
          <w:lang w:val="en-NZ" w:eastAsia="ko-KR"/>
        </w:rPr>
        <w:t>P</w:t>
      </w:r>
      <w:r w:rsidR="00D41635" w:rsidRPr="004635E5">
        <w:rPr>
          <w:b/>
          <w:sz w:val="22"/>
          <w:szCs w:val="22"/>
          <w:lang w:val="en-NZ"/>
        </w:rPr>
        <w:t xml:space="preserve">ORT OF THE </w:t>
      </w:r>
      <w:r w:rsidR="00D41635" w:rsidRPr="004635E5">
        <w:rPr>
          <w:rFonts w:eastAsia="Batang"/>
          <w:b/>
          <w:sz w:val="22"/>
          <w:szCs w:val="22"/>
          <w:lang w:val="en-NZ" w:eastAsia="ko-KR"/>
        </w:rPr>
        <w:t>FOURTEENTH REGULAR</w:t>
      </w:r>
      <w:r w:rsidR="00D41635" w:rsidRPr="004635E5">
        <w:rPr>
          <w:b/>
          <w:sz w:val="22"/>
          <w:szCs w:val="22"/>
          <w:lang w:val="en-NZ"/>
        </w:rPr>
        <w:t xml:space="preserve"> SESSION OF THE SCIENTIFIC COMMITTEE</w:t>
      </w:r>
    </w:p>
    <w:p w14:paraId="110EE4B7" w14:textId="77777777" w:rsidR="00D41635" w:rsidRPr="004635E5" w:rsidRDefault="00D41635" w:rsidP="00580EA4">
      <w:pPr>
        <w:pStyle w:val="ListParagraph"/>
        <w:numPr>
          <w:ilvl w:val="0"/>
          <w:numId w:val="69"/>
        </w:numPr>
        <w:tabs>
          <w:tab w:val="clear" w:pos="390"/>
          <w:tab w:val="num" w:pos="-1770"/>
        </w:tabs>
        <w:adjustRightInd w:val="0"/>
        <w:snapToGrid w:val="0"/>
        <w:ind w:left="0"/>
        <w:rPr>
          <w:b/>
          <w:vanish/>
          <w:sz w:val="22"/>
          <w:szCs w:val="22"/>
          <w:lang w:val="en-NZ"/>
        </w:rPr>
      </w:pPr>
    </w:p>
    <w:p w14:paraId="0368ED84" w14:textId="77777777" w:rsidR="00D41635" w:rsidRPr="004635E5" w:rsidRDefault="00D41635" w:rsidP="00580EA4">
      <w:pPr>
        <w:pStyle w:val="ListParagraph"/>
        <w:numPr>
          <w:ilvl w:val="0"/>
          <w:numId w:val="69"/>
        </w:numPr>
        <w:tabs>
          <w:tab w:val="clear" w:pos="390"/>
          <w:tab w:val="num" w:pos="-1770"/>
        </w:tabs>
        <w:adjustRightInd w:val="0"/>
        <w:snapToGrid w:val="0"/>
        <w:ind w:left="0"/>
        <w:rPr>
          <w:b/>
          <w:vanish/>
          <w:sz w:val="22"/>
          <w:szCs w:val="22"/>
          <w:lang w:val="en-NZ"/>
        </w:rPr>
      </w:pPr>
    </w:p>
    <w:p w14:paraId="6B6C9ACC" w14:textId="77777777" w:rsidR="00D41635" w:rsidRPr="004635E5" w:rsidRDefault="00D41635" w:rsidP="00580EA4">
      <w:pPr>
        <w:pStyle w:val="ListParagraph"/>
        <w:numPr>
          <w:ilvl w:val="0"/>
          <w:numId w:val="69"/>
        </w:numPr>
        <w:tabs>
          <w:tab w:val="clear" w:pos="390"/>
          <w:tab w:val="num" w:pos="-1770"/>
        </w:tabs>
        <w:adjustRightInd w:val="0"/>
        <w:snapToGrid w:val="0"/>
        <w:ind w:left="0"/>
        <w:rPr>
          <w:b/>
          <w:vanish/>
          <w:sz w:val="22"/>
          <w:szCs w:val="22"/>
          <w:lang w:val="en-NZ"/>
        </w:rPr>
      </w:pPr>
    </w:p>
    <w:p w14:paraId="407B66A4" w14:textId="77777777" w:rsidR="00D41635" w:rsidRPr="004635E5" w:rsidRDefault="00D41635" w:rsidP="00580EA4">
      <w:pPr>
        <w:pStyle w:val="ListParagraph"/>
        <w:numPr>
          <w:ilvl w:val="0"/>
          <w:numId w:val="69"/>
        </w:numPr>
        <w:tabs>
          <w:tab w:val="clear" w:pos="390"/>
          <w:tab w:val="num" w:pos="-1770"/>
        </w:tabs>
        <w:adjustRightInd w:val="0"/>
        <w:snapToGrid w:val="0"/>
        <w:ind w:left="0"/>
        <w:rPr>
          <w:b/>
          <w:vanish/>
          <w:sz w:val="22"/>
          <w:szCs w:val="22"/>
          <w:lang w:val="en-NZ"/>
        </w:rPr>
      </w:pPr>
    </w:p>
    <w:p w14:paraId="591D7605" w14:textId="77777777" w:rsidR="00D41635" w:rsidRPr="004635E5" w:rsidRDefault="00D41635" w:rsidP="00580EA4">
      <w:pPr>
        <w:pStyle w:val="ListParagraph"/>
        <w:numPr>
          <w:ilvl w:val="0"/>
          <w:numId w:val="70"/>
        </w:numPr>
        <w:tabs>
          <w:tab w:val="clear" w:pos="360"/>
          <w:tab w:val="num" w:pos="-1800"/>
        </w:tabs>
        <w:adjustRightInd w:val="0"/>
        <w:snapToGrid w:val="0"/>
        <w:ind w:left="0"/>
        <w:rPr>
          <w:b/>
          <w:vanish/>
          <w:sz w:val="22"/>
          <w:szCs w:val="22"/>
          <w:lang w:val="en-NZ"/>
        </w:rPr>
      </w:pPr>
    </w:p>
    <w:p w14:paraId="5A4592DA" w14:textId="77777777" w:rsidR="00D41635" w:rsidRPr="004635E5" w:rsidRDefault="00D41635" w:rsidP="00E41116">
      <w:pPr>
        <w:adjustRightInd w:val="0"/>
        <w:snapToGrid w:val="0"/>
        <w:rPr>
          <w:rFonts w:eastAsiaTheme="minorEastAsia"/>
          <w:sz w:val="22"/>
          <w:szCs w:val="22"/>
          <w:lang w:val="en-NZ" w:eastAsia="ko-KR"/>
        </w:rPr>
      </w:pPr>
    </w:p>
    <w:p w14:paraId="3A1FAAC2" w14:textId="77777777" w:rsidR="00D41635" w:rsidRPr="004635E5" w:rsidRDefault="00EE2E72" w:rsidP="00E41116">
      <w:pPr>
        <w:adjustRightInd w:val="0"/>
        <w:snapToGrid w:val="0"/>
        <w:rPr>
          <w:b/>
          <w:sz w:val="22"/>
          <w:szCs w:val="22"/>
          <w:lang w:val="en-NZ"/>
        </w:rPr>
      </w:pPr>
      <w:r w:rsidRPr="004635E5">
        <w:rPr>
          <w:b/>
          <w:sz w:val="22"/>
          <w:szCs w:val="22"/>
          <w:lang w:val="en-NZ"/>
        </w:rPr>
        <w:t xml:space="preserve">AGENDA ITEM 14 — </w:t>
      </w:r>
      <w:r w:rsidR="00D41635" w:rsidRPr="004635E5">
        <w:rPr>
          <w:b/>
          <w:sz w:val="22"/>
          <w:szCs w:val="22"/>
          <w:lang w:val="en-NZ"/>
        </w:rPr>
        <w:t>CLOSE OF MEETING</w:t>
      </w:r>
    </w:p>
    <w:p w14:paraId="6BE6AE17" w14:textId="77777777" w:rsidR="00D41635" w:rsidRPr="004635E5" w:rsidRDefault="00D41635" w:rsidP="00E41116">
      <w:pPr>
        <w:adjustRightInd w:val="0"/>
        <w:snapToGrid w:val="0"/>
        <w:jc w:val="both"/>
        <w:rPr>
          <w:sz w:val="22"/>
          <w:szCs w:val="22"/>
          <w:lang w:val="en-NZ"/>
        </w:rPr>
      </w:pPr>
    </w:p>
    <w:p w14:paraId="0BB18B7D" w14:textId="77777777" w:rsidR="00D41635" w:rsidRPr="004635E5" w:rsidRDefault="00D41635" w:rsidP="00E41116">
      <w:pPr>
        <w:autoSpaceDE w:val="0"/>
        <w:autoSpaceDN w:val="0"/>
        <w:adjustRightInd w:val="0"/>
        <w:snapToGrid w:val="0"/>
        <w:ind w:left="720"/>
        <w:jc w:val="both"/>
        <w:rPr>
          <w:rFonts w:eastAsia="Batang"/>
          <w:sz w:val="22"/>
          <w:szCs w:val="22"/>
          <w:lang w:eastAsia="ko-KR"/>
        </w:rPr>
      </w:pPr>
    </w:p>
    <w:p w14:paraId="3540F9E0" w14:textId="77777777" w:rsidR="007F6B71" w:rsidRPr="004635E5" w:rsidRDefault="007F6B71" w:rsidP="00E41116">
      <w:pPr>
        <w:autoSpaceDE w:val="0"/>
        <w:autoSpaceDN w:val="0"/>
        <w:adjustRightInd w:val="0"/>
        <w:snapToGrid w:val="0"/>
        <w:jc w:val="both"/>
        <w:rPr>
          <w:sz w:val="22"/>
          <w:szCs w:val="22"/>
          <w:lang w:val="en-NZ"/>
        </w:rPr>
      </w:pPr>
    </w:p>
    <w:p w14:paraId="18BEDA73" w14:textId="77777777" w:rsidR="007F6B71" w:rsidRPr="004635E5" w:rsidRDefault="007F6B71" w:rsidP="00E41116">
      <w:pPr>
        <w:autoSpaceDE w:val="0"/>
        <w:autoSpaceDN w:val="0"/>
        <w:adjustRightInd w:val="0"/>
        <w:snapToGrid w:val="0"/>
        <w:jc w:val="both"/>
        <w:rPr>
          <w:sz w:val="22"/>
          <w:szCs w:val="22"/>
          <w:lang w:val="en-NZ"/>
        </w:rPr>
      </w:pPr>
    </w:p>
    <w:p w14:paraId="6CCF199C" w14:textId="77777777" w:rsidR="007F6B71" w:rsidRPr="004635E5" w:rsidRDefault="007F6B71" w:rsidP="00E41116">
      <w:pPr>
        <w:autoSpaceDE w:val="0"/>
        <w:autoSpaceDN w:val="0"/>
        <w:adjustRightInd w:val="0"/>
        <w:snapToGrid w:val="0"/>
        <w:jc w:val="both"/>
        <w:rPr>
          <w:sz w:val="22"/>
          <w:szCs w:val="22"/>
          <w:lang w:val="en-NZ"/>
        </w:rPr>
      </w:pPr>
    </w:p>
    <w:p w14:paraId="6016597A" w14:textId="77777777" w:rsidR="007F6B71" w:rsidRPr="004635E5" w:rsidRDefault="007F6B71" w:rsidP="00E41116">
      <w:pPr>
        <w:autoSpaceDE w:val="0"/>
        <w:autoSpaceDN w:val="0"/>
        <w:adjustRightInd w:val="0"/>
        <w:snapToGrid w:val="0"/>
        <w:jc w:val="both"/>
        <w:rPr>
          <w:sz w:val="22"/>
          <w:szCs w:val="22"/>
          <w:lang w:val="en-NZ"/>
        </w:rPr>
      </w:pPr>
    </w:p>
    <w:p w14:paraId="5473750F" w14:textId="77777777" w:rsidR="007F6B71" w:rsidRPr="004635E5" w:rsidRDefault="007F6B71" w:rsidP="00E41116">
      <w:pPr>
        <w:autoSpaceDE w:val="0"/>
        <w:autoSpaceDN w:val="0"/>
        <w:adjustRightInd w:val="0"/>
        <w:snapToGrid w:val="0"/>
        <w:jc w:val="both"/>
        <w:rPr>
          <w:sz w:val="22"/>
          <w:szCs w:val="22"/>
          <w:lang w:val="en-NZ"/>
        </w:rPr>
      </w:pPr>
    </w:p>
    <w:p w14:paraId="6C5EB52F" w14:textId="77777777" w:rsidR="007F6B71" w:rsidRPr="004635E5" w:rsidRDefault="007F6B71" w:rsidP="00E41116">
      <w:pPr>
        <w:autoSpaceDE w:val="0"/>
        <w:autoSpaceDN w:val="0"/>
        <w:adjustRightInd w:val="0"/>
        <w:snapToGrid w:val="0"/>
        <w:jc w:val="both"/>
        <w:rPr>
          <w:sz w:val="22"/>
          <w:szCs w:val="22"/>
          <w:lang w:val="en-NZ"/>
        </w:rPr>
      </w:pPr>
    </w:p>
    <w:p w14:paraId="0859CC21" w14:textId="77777777" w:rsidR="007F6B71" w:rsidRPr="004635E5" w:rsidRDefault="007F6B71" w:rsidP="00E41116">
      <w:pPr>
        <w:autoSpaceDE w:val="0"/>
        <w:autoSpaceDN w:val="0"/>
        <w:adjustRightInd w:val="0"/>
        <w:snapToGrid w:val="0"/>
        <w:jc w:val="both"/>
        <w:rPr>
          <w:sz w:val="22"/>
          <w:szCs w:val="22"/>
          <w:lang w:val="en-NZ"/>
        </w:rPr>
      </w:pPr>
    </w:p>
    <w:p w14:paraId="77F8D1CC" w14:textId="77777777" w:rsidR="007F6B71" w:rsidRPr="004635E5" w:rsidRDefault="007F6B71" w:rsidP="00E41116">
      <w:pPr>
        <w:autoSpaceDE w:val="0"/>
        <w:autoSpaceDN w:val="0"/>
        <w:adjustRightInd w:val="0"/>
        <w:snapToGrid w:val="0"/>
        <w:jc w:val="both"/>
        <w:rPr>
          <w:sz w:val="22"/>
          <w:szCs w:val="22"/>
          <w:lang w:val="en-NZ"/>
        </w:rPr>
      </w:pPr>
    </w:p>
    <w:p w14:paraId="1F9567B6" w14:textId="77777777" w:rsidR="007F6B71" w:rsidRPr="004635E5" w:rsidRDefault="007F6B71" w:rsidP="00E41116">
      <w:pPr>
        <w:autoSpaceDE w:val="0"/>
        <w:autoSpaceDN w:val="0"/>
        <w:adjustRightInd w:val="0"/>
        <w:snapToGrid w:val="0"/>
        <w:jc w:val="both"/>
        <w:rPr>
          <w:sz w:val="22"/>
          <w:szCs w:val="22"/>
          <w:lang w:val="en-NZ"/>
        </w:rPr>
      </w:pPr>
    </w:p>
    <w:p w14:paraId="41B87A79" w14:textId="77777777" w:rsidR="007F6B71" w:rsidRPr="004635E5" w:rsidRDefault="007F6B71" w:rsidP="00E41116">
      <w:pPr>
        <w:autoSpaceDE w:val="0"/>
        <w:autoSpaceDN w:val="0"/>
        <w:adjustRightInd w:val="0"/>
        <w:snapToGrid w:val="0"/>
        <w:jc w:val="both"/>
        <w:rPr>
          <w:sz w:val="22"/>
          <w:szCs w:val="22"/>
          <w:lang w:val="en-NZ"/>
        </w:rPr>
      </w:pPr>
    </w:p>
    <w:p w14:paraId="5D3F4720" w14:textId="77777777" w:rsidR="007F6B71" w:rsidRPr="004635E5" w:rsidRDefault="007F6B71" w:rsidP="00E41116">
      <w:pPr>
        <w:autoSpaceDE w:val="0"/>
        <w:autoSpaceDN w:val="0"/>
        <w:adjustRightInd w:val="0"/>
        <w:snapToGrid w:val="0"/>
        <w:jc w:val="both"/>
        <w:rPr>
          <w:sz w:val="22"/>
          <w:szCs w:val="22"/>
          <w:lang w:val="en-NZ"/>
        </w:rPr>
      </w:pPr>
    </w:p>
    <w:p w14:paraId="5F98884A" w14:textId="77777777" w:rsidR="007F6B71" w:rsidRPr="004635E5" w:rsidRDefault="007F6B71" w:rsidP="00E41116">
      <w:pPr>
        <w:autoSpaceDE w:val="0"/>
        <w:autoSpaceDN w:val="0"/>
        <w:adjustRightInd w:val="0"/>
        <w:snapToGrid w:val="0"/>
        <w:jc w:val="both"/>
        <w:rPr>
          <w:sz w:val="22"/>
          <w:szCs w:val="22"/>
          <w:lang w:val="en-NZ"/>
        </w:rPr>
      </w:pPr>
    </w:p>
    <w:p w14:paraId="79B16DC6" w14:textId="77777777" w:rsidR="007F6B71" w:rsidRPr="004635E5" w:rsidRDefault="007F6B71" w:rsidP="00E41116">
      <w:pPr>
        <w:autoSpaceDE w:val="0"/>
        <w:autoSpaceDN w:val="0"/>
        <w:adjustRightInd w:val="0"/>
        <w:snapToGrid w:val="0"/>
        <w:jc w:val="both"/>
        <w:rPr>
          <w:sz w:val="22"/>
          <w:szCs w:val="22"/>
          <w:lang w:val="en-NZ"/>
        </w:rPr>
      </w:pPr>
    </w:p>
    <w:p w14:paraId="26CD3E8A" w14:textId="77777777" w:rsidR="007F6B71" w:rsidRPr="004635E5" w:rsidRDefault="007F6B71" w:rsidP="00E41116">
      <w:pPr>
        <w:autoSpaceDE w:val="0"/>
        <w:autoSpaceDN w:val="0"/>
        <w:adjustRightInd w:val="0"/>
        <w:snapToGrid w:val="0"/>
        <w:jc w:val="both"/>
        <w:rPr>
          <w:sz w:val="22"/>
          <w:szCs w:val="22"/>
          <w:lang w:val="en-NZ"/>
        </w:rPr>
      </w:pPr>
    </w:p>
    <w:p w14:paraId="2AE5067B" w14:textId="77777777" w:rsidR="007F6B71" w:rsidRPr="004635E5" w:rsidRDefault="007F6B71" w:rsidP="00E41116">
      <w:pPr>
        <w:autoSpaceDE w:val="0"/>
        <w:autoSpaceDN w:val="0"/>
        <w:adjustRightInd w:val="0"/>
        <w:snapToGrid w:val="0"/>
        <w:jc w:val="both"/>
        <w:rPr>
          <w:sz w:val="22"/>
          <w:szCs w:val="22"/>
          <w:lang w:val="en-NZ"/>
        </w:rPr>
      </w:pPr>
    </w:p>
    <w:p w14:paraId="2F366810" w14:textId="77777777" w:rsidR="007F6B71" w:rsidRPr="004635E5" w:rsidRDefault="007F6B71" w:rsidP="00E41116">
      <w:pPr>
        <w:autoSpaceDE w:val="0"/>
        <w:autoSpaceDN w:val="0"/>
        <w:adjustRightInd w:val="0"/>
        <w:snapToGrid w:val="0"/>
        <w:jc w:val="both"/>
        <w:rPr>
          <w:sz w:val="22"/>
          <w:szCs w:val="22"/>
          <w:lang w:val="en-NZ"/>
        </w:rPr>
      </w:pPr>
    </w:p>
    <w:p w14:paraId="5542FD4F" w14:textId="77777777" w:rsidR="007F6B71" w:rsidRPr="004635E5" w:rsidRDefault="007F6B71" w:rsidP="00E41116">
      <w:pPr>
        <w:autoSpaceDE w:val="0"/>
        <w:autoSpaceDN w:val="0"/>
        <w:adjustRightInd w:val="0"/>
        <w:snapToGrid w:val="0"/>
        <w:jc w:val="both"/>
        <w:rPr>
          <w:sz w:val="22"/>
          <w:szCs w:val="22"/>
          <w:lang w:val="en-NZ"/>
        </w:rPr>
      </w:pPr>
    </w:p>
    <w:p w14:paraId="05FCB531" w14:textId="77777777" w:rsidR="007F6B71" w:rsidRPr="004635E5" w:rsidRDefault="007F6B71" w:rsidP="00E41116">
      <w:pPr>
        <w:autoSpaceDE w:val="0"/>
        <w:autoSpaceDN w:val="0"/>
        <w:adjustRightInd w:val="0"/>
        <w:snapToGrid w:val="0"/>
        <w:jc w:val="both"/>
        <w:rPr>
          <w:sz w:val="22"/>
          <w:szCs w:val="22"/>
          <w:lang w:val="en-NZ"/>
        </w:rPr>
      </w:pPr>
    </w:p>
    <w:p w14:paraId="4ABFC515" w14:textId="77777777" w:rsidR="007F6B71" w:rsidRPr="004635E5" w:rsidRDefault="007F6B71" w:rsidP="00E41116">
      <w:pPr>
        <w:autoSpaceDE w:val="0"/>
        <w:autoSpaceDN w:val="0"/>
        <w:adjustRightInd w:val="0"/>
        <w:snapToGrid w:val="0"/>
        <w:jc w:val="both"/>
        <w:rPr>
          <w:sz w:val="22"/>
          <w:szCs w:val="22"/>
          <w:lang w:val="en-NZ"/>
        </w:rPr>
        <w:sectPr w:rsidR="007F6B71" w:rsidRPr="004635E5" w:rsidSect="00436E03">
          <w:pgSz w:w="12240" w:h="15840" w:code="1"/>
          <w:pgMar w:top="1440" w:right="1440" w:bottom="1440" w:left="1440" w:header="720" w:footer="720" w:gutter="0"/>
          <w:cols w:space="720"/>
          <w:docGrid w:linePitch="360"/>
        </w:sectPr>
      </w:pPr>
    </w:p>
    <w:p w14:paraId="39F89DE1" w14:textId="77777777" w:rsidR="00D41635" w:rsidRPr="004635E5" w:rsidRDefault="00D41635" w:rsidP="00E41116">
      <w:pPr>
        <w:adjustRightInd w:val="0"/>
        <w:snapToGrid w:val="0"/>
        <w:jc w:val="right"/>
        <w:rPr>
          <w:b/>
          <w:bCs/>
          <w:sz w:val="22"/>
          <w:szCs w:val="22"/>
          <w:lang w:val="en-AU" w:eastAsia="en-NZ"/>
        </w:rPr>
      </w:pPr>
      <w:r w:rsidRPr="004635E5">
        <w:rPr>
          <w:b/>
          <w:bCs/>
          <w:sz w:val="22"/>
          <w:szCs w:val="22"/>
          <w:lang w:val="en-AU" w:eastAsia="en-NZ"/>
        </w:rPr>
        <w:t>Attachment F</w:t>
      </w:r>
    </w:p>
    <w:p w14:paraId="11CDA61F" w14:textId="77777777" w:rsidR="00D41635" w:rsidRPr="004635E5" w:rsidRDefault="00D41635" w:rsidP="00E41116">
      <w:pPr>
        <w:adjustRightInd w:val="0"/>
        <w:snapToGrid w:val="0"/>
        <w:jc w:val="center"/>
        <w:rPr>
          <w:b/>
          <w:bCs/>
          <w:sz w:val="22"/>
          <w:szCs w:val="22"/>
          <w:lang w:val="en-AU" w:eastAsia="en-NZ"/>
        </w:rPr>
      </w:pPr>
    </w:p>
    <w:p w14:paraId="196A9D86" w14:textId="77777777" w:rsidR="007F6B71" w:rsidRPr="004635E5" w:rsidRDefault="007F6B71" w:rsidP="00E41116">
      <w:pPr>
        <w:adjustRightInd w:val="0"/>
        <w:snapToGrid w:val="0"/>
        <w:jc w:val="center"/>
        <w:rPr>
          <w:b/>
          <w:bCs/>
          <w:sz w:val="22"/>
          <w:szCs w:val="22"/>
          <w:lang w:val="en-AU" w:eastAsia="en-NZ"/>
        </w:rPr>
      </w:pPr>
      <w:r w:rsidRPr="004635E5">
        <w:rPr>
          <w:b/>
          <w:bCs/>
          <w:sz w:val="22"/>
          <w:szCs w:val="22"/>
          <w:lang w:val="en-AU" w:eastAsia="en-NZ"/>
        </w:rPr>
        <w:t xml:space="preserve">The Commission for the Conservation and Management of </w:t>
      </w:r>
      <w:r w:rsidRPr="004635E5">
        <w:rPr>
          <w:b/>
          <w:bCs/>
          <w:sz w:val="22"/>
          <w:szCs w:val="22"/>
          <w:lang w:val="en-AU" w:eastAsia="en-NZ"/>
        </w:rPr>
        <w:br/>
        <w:t>Highly Migratory Fish Stocks in the Western and Central Pacific Ocean</w:t>
      </w:r>
    </w:p>
    <w:p w14:paraId="2A29E23E" w14:textId="77777777" w:rsidR="007F6B71" w:rsidRPr="004635E5" w:rsidRDefault="007F6B71"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 xml:space="preserve">Scientific Committee </w:t>
      </w:r>
    </w:p>
    <w:p w14:paraId="23D91FB8" w14:textId="77777777" w:rsidR="007F6B71" w:rsidRPr="004635E5" w:rsidRDefault="007F6B71"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Fourteenth Regular Session</w:t>
      </w:r>
    </w:p>
    <w:p w14:paraId="5BA29C5A" w14:textId="77777777" w:rsidR="007F6B71" w:rsidRPr="004635E5" w:rsidRDefault="007F6B71" w:rsidP="00E41116">
      <w:pPr>
        <w:adjustRightInd w:val="0"/>
        <w:snapToGrid w:val="0"/>
        <w:jc w:val="center"/>
        <w:rPr>
          <w:bCs/>
          <w:sz w:val="22"/>
          <w:szCs w:val="22"/>
        </w:rPr>
      </w:pPr>
      <w:r w:rsidRPr="004635E5">
        <w:rPr>
          <w:rFonts w:eastAsiaTheme="minorEastAsia"/>
          <w:bCs/>
          <w:sz w:val="22"/>
          <w:szCs w:val="22"/>
          <w:lang w:eastAsia="ko-KR"/>
        </w:rPr>
        <w:t>Busan, Republic of Korea</w:t>
      </w:r>
    </w:p>
    <w:p w14:paraId="0854FF9E" w14:textId="77777777" w:rsidR="007F6B71" w:rsidRPr="004635E5" w:rsidRDefault="007F6B71" w:rsidP="00E41116">
      <w:pPr>
        <w:adjustRightInd w:val="0"/>
        <w:snapToGrid w:val="0"/>
        <w:jc w:val="center"/>
        <w:rPr>
          <w:rFonts w:eastAsiaTheme="minorEastAsia"/>
          <w:bCs/>
          <w:sz w:val="22"/>
          <w:szCs w:val="22"/>
          <w:lang w:eastAsia="ko-KR"/>
        </w:rPr>
      </w:pPr>
      <w:r w:rsidRPr="004635E5">
        <w:rPr>
          <w:rFonts w:eastAsiaTheme="minorEastAsia"/>
          <w:bCs/>
          <w:sz w:val="22"/>
          <w:szCs w:val="22"/>
          <w:lang w:eastAsia="ko-KR"/>
        </w:rPr>
        <w:t>8–16</w:t>
      </w:r>
      <w:r w:rsidRPr="004635E5">
        <w:rPr>
          <w:bCs/>
          <w:sz w:val="22"/>
          <w:szCs w:val="22"/>
        </w:rPr>
        <w:t xml:space="preserve"> August 201</w:t>
      </w:r>
      <w:r w:rsidRPr="004635E5">
        <w:rPr>
          <w:rFonts w:eastAsiaTheme="minorEastAsia"/>
          <w:bCs/>
          <w:sz w:val="22"/>
          <w:szCs w:val="22"/>
          <w:lang w:eastAsia="ko-KR"/>
        </w:rPr>
        <w:t>8</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7F6B71" w:rsidRPr="004635E5" w14:paraId="67EF8DB4" w14:textId="77777777" w:rsidTr="007F6B71">
        <w:tc>
          <w:tcPr>
            <w:tcW w:w="9576" w:type="dxa"/>
            <w:tcBorders>
              <w:top w:val="single" w:sz="12" w:space="0" w:color="auto"/>
              <w:left w:val="nil"/>
              <w:bottom w:val="single" w:sz="12" w:space="0" w:color="auto"/>
              <w:right w:val="nil"/>
            </w:tcBorders>
            <w:hideMark/>
          </w:tcPr>
          <w:p w14:paraId="3FDEF87C" w14:textId="77777777" w:rsidR="007F6B71" w:rsidRPr="004635E5" w:rsidRDefault="00D41635" w:rsidP="00E41116">
            <w:pPr>
              <w:autoSpaceDE w:val="0"/>
              <w:autoSpaceDN w:val="0"/>
              <w:adjustRightInd w:val="0"/>
              <w:snapToGrid w:val="0"/>
              <w:jc w:val="center"/>
              <w:rPr>
                <w:b/>
                <w:sz w:val="22"/>
                <w:szCs w:val="22"/>
                <w:lang w:val="en-AU"/>
              </w:rPr>
            </w:pPr>
            <w:r w:rsidRPr="004635E5">
              <w:rPr>
                <w:b/>
                <w:sz w:val="22"/>
                <w:szCs w:val="22"/>
                <w:lang w:val="en-NZ"/>
              </w:rPr>
              <w:t>Terms of Reference for a WCPFC Science- Management Dialogue Meeting</w:t>
            </w:r>
            <w:r w:rsidR="00472973" w:rsidRPr="004635E5">
              <w:rPr>
                <w:b/>
                <w:sz w:val="22"/>
                <w:szCs w:val="22"/>
                <w:lang w:val="en-NZ"/>
              </w:rPr>
              <w:fldChar w:fldCharType="begin"/>
            </w:r>
            <w:r w:rsidR="00EE2E72" w:rsidRPr="004635E5">
              <w:rPr>
                <w:sz w:val="22"/>
                <w:szCs w:val="22"/>
              </w:rPr>
              <w:instrText xml:space="preserve"> TC "</w:instrText>
            </w:r>
            <w:bookmarkStart w:id="147" w:name="_Toc16418035"/>
            <w:r w:rsidR="00EE2E72" w:rsidRPr="004635E5">
              <w:rPr>
                <w:sz w:val="22"/>
                <w:szCs w:val="22"/>
              </w:rPr>
              <w:instrText xml:space="preserve">ATTACHMENT F — TORs FOR A </w:instrText>
            </w:r>
            <w:r w:rsidR="00EE2E72" w:rsidRPr="004635E5">
              <w:rPr>
                <w:sz w:val="22"/>
                <w:szCs w:val="22"/>
                <w:lang w:val="en-NZ"/>
              </w:rPr>
              <w:instrText>WCPFC SCIENCE-MANAGEMENT DIALOGUE MEETING</w:instrText>
            </w:r>
            <w:bookmarkEnd w:id="147"/>
            <w:r w:rsidR="00EE2E72" w:rsidRPr="004635E5">
              <w:rPr>
                <w:sz w:val="22"/>
                <w:szCs w:val="22"/>
              </w:rPr>
              <w:instrText xml:space="preserve">" \f C \l "1" </w:instrText>
            </w:r>
            <w:r w:rsidR="00472973" w:rsidRPr="004635E5">
              <w:rPr>
                <w:b/>
                <w:sz w:val="22"/>
                <w:szCs w:val="22"/>
                <w:lang w:val="en-NZ"/>
              </w:rPr>
              <w:fldChar w:fldCharType="end"/>
            </w:r>
          </w:p>
        </w:tc>
      </w:tr>
    </w:tbl>
    <w:p w14:paraId="6C1C185E" w14:textId="77777777" w:rsidR="007F6B71" w:rsidRPr="004635E5" w:rsidRDefault="007F6B71" w:rsidP="00E41116">
      <w:pPr>
        <w:autoSpaceDE w:val="0"/>
        <w:autoSpaceDN w:val="0"/>
        <w:adjustRightInd w:val="0"/>
        <w:snapToGrid w:val="0"/>
        <w:jc w:val="both"/>
        <w:rPr>
          <w:sz w:val="22"/>
          <w:szCs w:val="22"/>
          <w:lang w:val="en-NZ"/>
        </w:rPr>
      </w:pPr>
    </w:p>
    <w:p w14:paraId="0CDFB028" w14:textId="77777777" w:rsidR="00D41635" w:rsidRPr="004635E5" w:rsidRDefault="00D41635" w:rsidP="00E41116">
      <w:pPr>
        <w:autoSpaceDE w:val="0"/>
        <w:autoSpaceDN w:val="0"/>
        <w:adjustRightInd w:val="0"/>
        <w:snapToGrid w:val="0"/>
        <w:jc w:val="both"/>
        <w:rPr>
          <w:sz w:val="22"/>
          <w:szCs w:val="22"/>
          <w:lang w:val="en-NZ"/>
        </w:rPr>
      </w:pPr>
    </w:p>
    <w:p w14:paraId="7C75B87B" w14:textId="77777777" w:rsidR="00D41635" w:rsidRDefault="00D41635" w:rsidP="00E41116">
      <w:pPr>
        <w:adjustRightInd w:val="0"/>
        <w:snapToGrid w:val="0"/>
        <w:rPr>
          <w:rFonts w:eastAsia="Batang"/>
          <w:b/>
          <w:bCs/>
          <w:sz w:val="22"/>
          <w:szCs w:val="22"/>
          <w:lang w:val="en-AU" w:eastAsia="ko-KR"/>
        </w:rPr>
      </w:pPr>
      <w:r w:rsidRPr="004635E5">
        <w:rPr>
          <w:rFonts w:eastAsia="Batang"/>
          <w:b/>
          <w:bCs/>
          <w:sz w:val="22"/>
          <w:szCs w:val="22"/>
          <w:lang w:val="en-AU" w:eastAsia="en-AU"/>
        </w:rPr>
        <w:t>Consultative Draft Terms of Reference for a WCPFC Science-Management Dialogue meeting</w:t>
      </w:r>
    </w:p>
    <w:p w14:paraId="4B33519A" w14:textId="77777777" w:rsidR="00EE388C" w:rsidRPr="004635E5" w:rsidRDefault="00EE388C" w:rsidP="00E41116">
      <w:pPr>
        <w:adjustRightInd w:val="0"/>
        <w:snapToGrid w:val="0"/>
        <w:rPr>
          <w:rFonts w:eastAsia="Malgun Gothic"/>
          <w:sz w:val="22"/>
          <w:szCs w:val="22"/>
          <w:lang w:val="en-AU" w:eastAsia="ko-KR"/>
        </w:rPr>
      </w:pPr>
    </w:p>
    <w:p w14:paraId="0ACE51CC" w14:textId="77777777" w:rsidR="00D41635" w:rsidRPr="004635E5" w:rsidRDefault="00D41635" w:rsidP="00580EA4">
      <w:pPr>
        <w:numPr>
          <w:ilvl w:val="0"/>
          <w:numId w:val="53"/>
        </w:numPr>
        <w:tabs>
          <w:tab w:val="num" w:pos="360"/>
        </w:tabs>
        <w:adjustRightInd w:val="0"/>
        <w:snapToGrid w:val="0"/>
        <w:ind w:left="357" w:hanging="357"/>
        <w:jc w:val="both"/>
        <w:outlineLvl w:val="0"/>
        <w:rPr>
          <w:rFonts w:eastAsia="Malgun Gothic"/>
          <w:b/>
          <w:smallCaps/>
          <w:color w:val="1F497D"/>
          <w:spacing w:val="5"/>
          <w:sz w:val="22"/>
          <w:szCs w:val="22"/>
          <w:lang w:val="en-AU" w:eastAsia="en-AU"/>
        </w:rPr>
      </w:pPr>
      <w:r w:rsidRPr="004635E5">
        <w:rPr>
          <w:rFonts w:eastAsia="Malgun Gothic"/>
          <w:b/>
          <w:smallCaps/>
          <w:color w:val="1F497D"/>
          <w:spacing w:val="5"/>
          <w:sz w:val="22"/>
          <w:szCs w:val="22"/>
          <w:lang w:val="en-AU" w:eastAsia="en-AU"/>
        </w:rPr>
        <w:t xml:space="preserve">Consideration elements </w:t>
      </w:r>
    </w:p>
    <w:p w14:paraId="2824B236" w14:textId="77777777" w:rsidR="00EE388C" w:rsidRDefault="00EE388C" w:rsidP="00E41116">
      <w:pPr>
        <w:adjustRightInd w:val="0"/>
        <w:snapToGrid w:val="0"/>
        <w:rPr>
          <w:rFonts w:eastAsia="Malgun Gothic"/>
          <w:sz w:val="22"/>
          <w:szCs w:val="22"/>
          <w:lang w:val="en-AU" w:eastAsia="ko-KR"/>
        </w:rPr>
      </w:pPr>
    </w:p>
    <w:p w14:paraId="22D596D0" w14:textId="77777777" w:rsidR="00D41635" w:rsidRPr="004635E5" w:rsidRDefault="00D41635" w:rsidP="00E41116">
      <w:pPr>
        <w:adjustRightInd w:val="0"/>
        <w:snapToGrid w:val="0"/>
        <w:rPr>
          <w:rFonts w:eastAsia="Malgun Gothic"/>
          <w:sz w:val="22"/>
          <w:szCs w:val="22"/>
          <w:lang w:val="en-AU" w:eastAsia="en-AU"/>
        </w:rPr>
      </w:pPr>
      <w:r w:rsidRPr="004635E5">
        <w:rPr>
          <w:rFonts w:eastAsia="Malgun Gothic"/>
          <w:sz w:val="22"/>
          <w:szCs w:val="22"/>
          <w:lang w:val="en-AU" w:eastAsia="en-AU"/>
        </w:rPr>
        <w:t>The proposed science-management dialogue would be distinct from, but combine features of, Scientific Committee and Commission meetings. To facilitate further discussion on the ‘science-management dialogue’ meeting, a non-exhaustive list of key elements and issues is provided below, which would benefit from SC14 consideration.  It is noted that SC14 did not reach consensus on some of these issues:</w:t>
      </w:r>
    </w:p>
    <w:p w14:paraId="77077131" w14:textId="77777777" w:rsidR="00D41635" w:rsidRPr="004635E5" w:rsidRDefault="00D41635" w:rsidP="00E41116">
      <w:pPr>
        <w:adjustRightInd w:val="0"/>
        <w:snapToGrid w:val="0"/>
        <w:rPr>
          <w:rFonts w:eastAsia="Malgun Gothic"/>
          <w:sz w:val="22"/>
          <w:szCs w:val="22"/>
          <w:lang w:val="en-AU" w:eastAsia="en-AU"/>
        </w:rPr>
      </w:pPr>
    </w:p>
    <w:p w14:paraId="738E5783" w14:textId="77777777" w:rsidR="00D41635" w:rsidRPr="004635E5" w:rsidRDefault="00D41635" w:rsidP="00580EA4">
      <w:pPr>
        <w:numPr>
          <w:ilvl w:val="0"/>
          <w:numId w:val="89"/>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ko-KR"/>
        </w:rPr>
        <w:t>T</w:t>
      </w:r>
      <w:r w:rsidRPr="004635E5">
        <w:rPr>
          <w:rFonts w:eastAsia="Malgun Gothic"/>
          <w:sz w:val="22"/>
          <w:szCs w:val="22"/>
          <w:lang w:val="en-AU" w:eastAsia="en-AU"/>
        </w:rPr>
        <w:t>he science-management dialogue needs to make formal recommendations to the Commission (and also requests of other Commission bodies and groups). Should the dialogue be established as a formal subsidiary body of the Commission,</w:t>
      </w:r>
      <w:r w:rsidRPr="004635E5">
        <w:rPr>
          <w:rFonts w:eastAsia="Malgun Gothic"/>
          <w:sz w:val="22"/>
          <w:szCs w:val="22"/>
          <w:lang w:val="en-AU" w:eastAsia="ko-KR"/>
        </w:rPr>
        <w:t xml:space="preserve"> established by Paragraph 6, Article 11</w:t>
      </w:r>
      <w:r w:rsidRPr="004635E5">
        <w:rPr>
          <w:rFonts w:eastAsia="Malgun Gothic"/>
          <w:sz w:val="22"/>
          <w:szCs w:val="22"/>
          <w:lang w:val="en-AU" w:eastAsia="en-AU"/>
        </w:rPr>
        <w:t>?</w:t>
      </w:r>
    </w:p>
    <w:p w14:paraId="36C04064" w14:textId="77777777" w:rsidR="00D41635" w:rsidRPr="004635E5" w:rsidRDefault="00D41635" w:rsidP="00580EA4">
      <w:pPr>
        <w:numPr>
          <w:ilvl w:val="0"/>
          <w:numId w:val="89"/>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t>If the science-management dialogue holds formal meetings, does the SC see benefit in including an informal discussion element to the meeting, to ensure all stakeholders (science, management, industry, NGOs) are able to engage in the process?</w:t>
      </w:r>
    </w:p>
    <w:p w14:paraId="0873034A" w14:textId="77777777" w:rsidR="00D41635" w:rsidRPr="004635E5" w:rsidRDefault="00D41635" w:rsidP="00580EA4">
      <w:pPr>
        <w:numPr>
          <w:ilvl w:val="0"/>
          <w:numId w:val="89"/>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t>Should the structure of the science-management dialogue meeting therefore include both formal and informal sessions?</w:t>
      </w:r>
    </w:p>
    <w:p w14:paraId="3F51E1E2" w14:textId="77777777" w:rsidR="00D41635" w:rsidRPr="004635E5" w:rsidRDefault="00D41635" w:rsidP="00580EA4">
      <w:pPr>
        <w:numPr>
          <w:ilvl w:val="1"/>
          <w:numId w:val="89"/>
        </w:numPr>
        <w:adjustRightInd w:val="0"/>
        <w:snapToGrid w:val="0"/>
        <w:ind w:left="709" w:hanging="284"/>
        <w:jc w:val="both"/>
        <w:rPr>
          <w:rFonts w:eastAsia="Malgun Gothic"/>
          <w:sz w:val="22"/>
          <w:szCs w:val="22"/>
          <w:lang w:val="en-AU" w:eastAsia="en-AU"/>
        </w:rPr>
      </w:pPr>
      <w:r w:rsidRPr="004635E5">
        <w:rPr>
          <w:rFonts w:eastAsia="Malgun Gothic"/>
          <w:sz w:val="22"/>
          <w:szCs w:val="22"/>
          <w:lang w:val="en-AU" w:eastAsia="ko-KR"/>
        </w:rPr>
        <w:t xml:space="preserve">The informal session could provide opportunity for </w:t>
      </w:r>
      <w:r w:rsidRPr="004635E5">
        <w:rPr>
          <w:rFonts w:eastAsia="Malgun Gothic"/>
          <w:sz w:val="22"/>
          <w:szCs w:val="22"/>
          <w:lang w:val="en-AU" w:eastAsia="en-AU"/>
        </w:rPr>
        <w:t xml:space="preserve">capacity building </w:t>
      </w:r>
      <w:r w:rsidRPr="004635E5">
        <w:rPr>
          <w:rFonts w:eastAsia="Malgun Gothic"/>
          <w:sz w:val="22"/>
          <w:szCs w:val="22"/>
          <w:lang w:val="en-AU" w:eastAsia="ko-KR"/>
        </w:rPr>
        <w:t xml:space="preserve">for all attendees with </w:t>
      </w:r>
      <w:r w:rsidRPr="004635E5">
        <w:rPr>
          <w:rFonts w:eastAsia="Malgun Gothic"/>
          <w:sz w:val="22"/>
          <w:szCs w:val="22"/>
          <w:lang w:val="en-AU" w:eastAsia="en-AU"/>
        </w:rPr>
        <w:t>(minimal) presentation, and interactive discussion of available analytical results. The informal nature of this session would facilitate involvement by the wider stakeholder group</w:t>
      </w:r>
      <w:r w:rsidRPr="004635E5">
        <w:rPr>
          <w:rFonts w:eastAsia="Malgun Gothic"/>
          <w:sz w:val="22"/>
          <w:szCs w:val="22"/>
          <w:lang w:val="en-AU" w:eastAsia="ko-KR"/>
        </w:rPr>
        <w:t>.</w:t>
      </w:r>
      <w:r w:rsidRPr="004635E5">
        <w:rPr>
          <w:rFonts w:eastAsia="Malgun Gothic"/>
          <w:sz w:val="22"/>
          <w:szCs w:val="22"/>
          <w:lang w:val="en-AU" w:eastAsia="en-AU"/>
        </w:rPr>
        <w:t xml:space="preserve"> This may have implications for meeting length </w:t>
      </w:r>
      <w:r w:rsidRPr="004635E5">
        <w:rPr>
          <w:rFonts w:eastAsia="Malgun Gothic"/>
          <w:sz w:val="22"/>
          <w:szCs w:val="22"/>
          <w:lang w:val="en-AU" w:eastAsia="ko-KR"/>
        </w:rPr>
        <w:t>but t</w:t>
      </w:r>
      <w:r w:rsidRPr="004635E5">
        <w:rPr>
          <w:rFonts w:eastAsia="Malgun Gothic"/>
          <w:sz w:val="22"/>
          <w:szCs w:val="22"/>
          <w:lang w:val="en-AU" w:eastAsia="en-AU"/>
        </w:rPr>
        <w:t>his element is expected to decrease over time.</w:t>
      </w:r>
      <w:r w:rsidRPr="004635E5">
        <w:rPr>
          <w:rFonts w:eastAsia="Malgun Gothic"/>
          <w:sz w:val="22"/>
          <w:szCs w:val="22"/>
          <w:lang w:val="en-AU" w:eastAsia="ko-KR"/>
        </w:rPr>
        <w:t xml:space="preserve"> </w:t>
      </w:r>
    </w:p>
    <w:p w14:paraId="43537730" w14:textId="77777777" w:rsidR="00D41635" w:rsidRPr="004635E5" w:rsidRDefault="00D41635" w:rsidP="00580EA4">
      <w:pPr>
        <w:numPr>
          <w:ilvl w:val="1"/>
          <w:numId w:val="89"/>
        </w:numPr>
        <w:adjustRightInd w:val="0"/>
        <w:snapToGrid w:val="0"/>
        <w:ind w:left="709" w:hanging="284"/>
        <w:jc w:val="both"/>
        <w:rPr>
          <w:rFonts w:eastAsia="Malgun Gothic"/>
          <w:sz w:val="22"/>
          <w:szCs w:val="22"/>
          <w:lang w:val="en-AU" w:eastAsia="en-AU"/>
        </w:rPr>
      </w:pPr>
      <w:r w:rsidRPr="004635E5">
        <w:rPr>
          <w:rFonts w:eastAsia="Malgun Gothic"/>
          <w:sz w:val="22"/>
          <w:szCs w:val="22"/>
          <w:lang w:val="en-AU" w:eastAsia="ko-KR"/>
        </w:rPr>
        <w:t xml:space="preserve">The formal session can cover substantial issues, which may include developing and reviewing relevant CMMs and clearing meeting recommendations </w:t>
      </w:r>
      <w:r w:rsidRPr="004635E5">
        <w:rPr>
          <w:rFonts w:eastAsia="Malgun Gothic"/>
          <w:sz w:val="22"/>
          <w:szCs w:val="22"/>
          <w:lang w:val="en-AU" w:eastAsia="en-AU"/>
        </w:rPr>
        <w:t>(assuming the remainder of the report could be cleared electronically)</w:t>
      </w:r>
      <w:r w:rsidRPr="004635E5">
        <w:rPr>
          <w:rFonts w:eastAsia="Malgun Gothic"/>
          <w:sz w:val="22"/>
          <w:szCs w:val="22"/>
          <w:lang w:val="en-AU" w:eastAsia="ko-KR"/>
        </w:rPr>
        <w:t>.</w:t>
      </w:r>
    </w:p>
    <w:p w14:paraId="74104F57" w14:textId="77777777" w:rsidR="00D41635" w:rsidRPr="004635E5" w:rsidRDefault="00D41635" w:rsidP="00580EA4">
      <w:pPr>
        <w:numPr>
          <w:ilvl w:val="0"/>
          <w:numId w:val="89"/>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t>What elements should be considered to structure and organise a science-management dialogue, noting that a large, formal Commission-style meeting has become the norm? Should as a minimum a scientist and manager from each CCM, where possible, be recommended to attend?</w:t>
      </w:r>
    </w:p>
    <w:p w14:paraId="30C0B3D1" w14:textId="77777777" w:rsidR="00D41635" w:rsidRPr="004635E5" w:rsidRDefault="00D41635" w:rsidP="00580EA4">
      <w:pPr>
        <w:numPr>
          <w:ilvl w:val="0"/>
          <w:numId w:val="89"/>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t>Under the assumption that a Harvest Control Rule will be implemented through fishery/stock-specific CMMs, will the science-management dialogue meeting have any direct role in the development or review of those CMMs</w:t>
      </w:r>
      <w:r w:rsidRPr="004635E5">
        <w:rPr>
          <w:rFonts w:eastAsia="Malgun Gothic"/>
          <w:sz w:val="22"/>
          <w:szCs w:val="22"/>
          <w:lang w:val="en-AU" w:eastAsia="ko-KR"/>
        </w:rPr>
        <w:t xml:space="preserve"> and provide recommendations to the Commission</w:t>
      </w:r>
      <w:r w:rsidRPr="004635E5">
        <w:rPr>
          <w:rFonts w:eastAsia="Malgun Gothic"/>
          <w:sz w:val="22"/>
          <w:szCs w:val="22"/>
          <w:lang w:val="en-AU" w:eastAsia="en-AU"/>
        </w:rPr>
        <w:t xml:space="preserve">? </w:t>
      </w:r>
    </w:p>
    <w:p w14:paraId="6BBF3276" w14:textId="77777777" w:rsidR="00D41635" w:rsidRPr="004635E5" w:rsidRDefault="00D41635" w:rsidP="00580EA4">
      <w:pPr>
        <w:numPr>
          <w:ilvl w:val="0"/>
          <w:numId w:val="89"/>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t>Should it be required that all technical/analytical information be first reviewed by the Scientific Committee before it is made available to the science-management dialogue and to the Commission?  If so, should there be an exception made for new information that the Scientific Committee has specifically recommended to be made available?</w:t>
      </w:r>
    </w:p>
    <w:p w14:paraId="20FFDB65" w14:textId="77777777" w:rsidR="00D41635" w:rsidRPr="004635E5" w:rsidRDefault="00D41635" w:rsidP="00580EA4">
      <w:pPr>
        <w:numPr>
          <w:ilvl w:val="0"/>
          <w:numId w:val="89"/>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ko-KR"/>
        </w:rPr>
        <w:t>How should a Science-Management Dialogue be chaired? One option that reflects the management/science balance of the meeting could be for it to be co-chaired by the Chair of the Commission and the Chair of the Scientific Committee.</w:t>
      </w:r>
    </w:p>
    <w:p w14:paraId="1290755B" w14:textId="77777777" w:rsidR="00D41635" w:rsidRPr="004635E5" w:rsidRDefault="00D41635" w:rsidP="00580EA4">
      <w:pPr>
        <w:numPr>
          <w:ilvl w:val="0"/>
          <w:numId w:val="89"/>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t>Should the use of external experts to provide input to and potentially facilitate the meeting be considered?</w:t>
      </w:r>
    </w:p>
    <w:p w14:paraId="4AF2D85C" w14:textId="77777777" w:rsidR="00D41635" w:rsidRPr="004635E5" w:rsidRDefault="00D41635" w:rsidP="00580EA4">
      <w:pPr>
        <w:numPr>
          <w:ilvl w:val="0"/>
          <w:numId w:val="89"/>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t xml:space="preserve">Should the [inaugural?] science-management dialogue be proposed as a [one/two]-day meeting that incorporates both capacity building and the progression of substantial issues, including adoption of recommendations? </w:t>
      </w:r>
    </w:p>
    <w:p w14:paraId="61631304" w14:textId="77777777" w:rsidR="00D41635" w:rsidRPr="004635E5" w:rsidRDefault="00D41635" w:rsidP="00580EA4">
      <w:pPr>
        <w:numPr>
          <w:ilvl w:val="0"/>
          <w:numId w:val="89"/>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t>Are there ways that the SC agenda could be reprioritised to allow sufficient time for consideration of harvest strategy issues?</w:t>
      </w:r>
      <w:r w:rsidRPr="004635E5">
        <w:rPr>
          <w:rFonts w:eastAsia="Malgun Gothic"/>
          <w:sz w:val="22"/>
          <w:szCs w:val="22"/>
          <w:lang w:val="en-AU" w:eastAsia="ko-KR"/>
        </w:rPr>
        <w:t xml:space="preserve"> </w:t>
      </w:r>
    </w:p>
    <w:p w14:paraId="30DD793D" w14:textId="77777777" w:rsidR="00EE388C" w:rsidRDefault="00EE388C" w:rsidP="00EE388C">
      <w:pPr>
        <w:adjustRightInd w:val="0"/>
        <w:snapToGrid w:val="0"/>
        <w:ind w:left="357"/>
        <w:jc w:val="both"/>
        <w:outlineLvl w:val="0"/>
        <w:rPr>
          <w:rFonts w:eastAsia="Malgun Gothic"/>
          <w:b/>
          <w:smallCaps/>
          <w:color w:val="1F497D"/>
          <w:spacing w:val="5"/>
          <w:sz w:val="22"/>
          <w:szCs w:val="22"/>
          <w:lang w:val="en-AU" w:eastAsia="en-AU"/>
        </w:rPr>
      </w:pPr>
    </w:p>
    <w:p w14:paraId="3B80EB82" w14:textId="77777777" w:rsidR="00D41635" w:rsidRPr="004635E5" w:rsidRDefault="00D41635" w:rsidP="00580EA4">
      <w:pPr>
        <w:numPr>
          <w:ilvl w:val="0"/>
          <w:numId w:val="53"/>
        </w:numPr>
        <w:tabs>
          <w:tab w:val="num" w:pos="360"/>
        </w:tabs>
        <w:adjustRightInd w:val="0"/>
        <w:snapToGrid w:val="0"/>
        <w:ind w:left="357" w:hanging="357"/>
        <w:jc w:val="both"/>
        <w:outlineLvl w:val="0"/>
        <w:rPr>
          <w:rFonts w:eastAsia="Malgun Gothic"/>
          <w:b/>
          <w:smallCaps/>
          <w:color w:val="1F497D"/>
          <w:spacing w:val="5"/>
          <w:sz w:val="22"/>
          <w:szCs w:val="22"/>
          <w:lang w:val="en-AU" w:eastAsia="en-AU"/>
        </w:rPr>
      </w:pPr>
      <w:r w:rsidRPr="004635E5">
        <w:rPr>
          <w:rFonts w:eastAsia="Malgun Gothic"/>
          <w:b/>
          <w:smallCaps/>
          <w:color w:val="1F497D"/>
          <w:spacing w:val="5"/>
          <w:sz w:val="22"/>
          <w:szCs w:val="22"/>
          <w:lang w:val="en-AU" w:eastAsia="en-AU"/>
        </w:rPr>
        <w:t>Consultative draft Terms of Reference for the Working Group on harvest strategy development (WGHSD)</w:t>
      </w:r>
    </w:p>
    <w:p w14:paraId="5BD7A59A" w14:textId="77777777" w:rsidR="00EE388C" w:rsidRDefault="00EE388C" w:rsidP="00E41116">
      <w:pPr>
        <w:adjustRightInd w:val="0"/>
        <w:snapToGrid w:val="0"/>
        <w:rPr>
          <w:rFonts w:eastAsia="Malgun Gothic"/>
          <w:sz w:val="22"/>
          <w:szCs w:val="22"/>
          <w:lang w:val="en-AU" w:eastAsia="ko-KR"/>
        </w:rPr>
      </w:pPr>
    </w:p>
    <w:p w14:paraId="7AF8FACE" w14:textId="77777777" w:rsidR="00D41635" w:rsidRPr="004635E5" w:rsidRDefault="00D41635" w:rsidP="00E41116">
      <w:pPr>
        <w:adjustRightInd w:val="0"/>
        <w:snapToGrid w:val="0"/>
        <w:rPr>
          <w:rFonts w:eastAsia="Malgun Gothic"/>
          <w:b/>
          <w:sz w:val="22"/>
          <w:szCs w:val="22"/>
          <w:lang w:val="en-AU" w:eastAsia="en-AU"/>
        </w:rPr>
      </w:pPr>
      <w:r w:rsidRPr="004635E5">
        <w:rPr>
          <w:rFonts w:eastAsia="Malgun Gothic"/>
          <w:sz w:val="22"/>
          <w:szCs w:val="22"/>
          <w:lang w:val="en-AU" w:eastAsia="ko-KR"/>
        </w:rPr>
        <w:t>To facilitate further discussion on the ‘</w:t>
      </w:r>
      <w:r w:rsidRPr="004635E5">
        <w:rPr>
          <w:rFonts w:eastAsia="Malgun Gothic"/>
          <w:sz w:val="22"/>
          <w:szCs w:val="22"/>
          <w:lang w:val="en-AU" w:eastAsia="en-AU"/>
        </w:rPr>
        <w:t>Working Group on Harvest Strategy Development’</w:t>
      </w:r>
      <w:r w:rsidRPr="004635E5">
        <w:rPr>
          <w:rFonts w:eastAsia="Malgun Gothic"/>
          <w:sz w:val="22"/>
          <w:szCs w:val="22"/>
          <w:lang w:val="en-AU" w:eastAsia="ko-KR"/>
        </w:rPr>
        <w:t>, a consultative draft Terms of Reference is presented here, encompassing the input and advice of SC14. The harvest strategy work of this Working Group would focus specifically on those tuna fisheries and stocks detailed within the harvest strategy workplan</w:t>
      </w:r>
      <w:r w:rsidRPr="004635E5">
        <w:rPr>
          <w:rFonts w:eastAsia="Malgun Gothic"/>
          <w:sz w:val="22"/>
          <w:szCs w:val="22"/>
          <w:vertAlign w:val="superscript"/>
          <w:lang w:val="en-AU" w:eastAsia="ko-KR"/>
        </w:rPr>
        <w:footnoteReference w:id="9"/>
      </w:r>
      <w:r w:rsidRPr="004635E5">
        <w:rPr>
          <w:rFonts w:eastAsia="Malgun Gothic"/>
          <w:sz w:val="22"/>
          <w:szCs w:val="22"/>
          <w:lang w:val="en-AU" w:eastAsia="ko-KR"/>
        </w:rPr>
        <w:t xml:space="preserve"> and any other stocks the Commission might decide while noting that this does not apply to Northern stocks.</w:t>
      </w:r>
    </w:p>
    <w:p w14:paraId="3CBAA653" w14:textId="77777777" w:rsidR="00D41635" w:rsidRPr="004635E5" w:rsidRDefault="00D41635" w:rsidP="00E41116">
      <w:pPr>
        <w:adjustRightInd w:val="0"/>
        <w:snapToGrid w:val="0"/>
        <w:rPr>
          <w:rFonts w:eastAsia="Malgun Gothic"/>
          <w:b/>
          <w:sz w:val="22"/>
          <w:szCs w:val="22"/>
          <w:lang w:val="en-AU" w:eastAsia="en-AU"/>
        </w:rPr>
      </w:pPr>
    </w:p>
    <w:p w14:paraId="5F8B90CC" w14:textId="77777777" w:rsidR="00D41635" w:rsidRPr="004635E5" w:rsidRDefault="00D41635" w:rsidP="00E41116">
      <w:pPr>
        <w:adjustRightInd w:val="0"/>
        <w:snapToGrid w:val="0"/>
        <w:rPr>
          <w:rFonts w:eastAsia="Malgun Gothic"/>
          <w:b/>
          <w:sz w:val="22"/>
          <w:szCs w:val="22"/>
          <w:lang w:val="en-AU" w:eastAsia="ko-KR"/>
        </w:rPr>
      </w:pPr>
      <w:r w:rsidRPr="004635E5">
        <w:rPr>
          <w:rFonts w:eastAsia="Malgun Gothic"/>
          <w:b/>
          <w:sz w:val="22"/>
          <w:szCs w:val="22"/>
          <w:lang w:val="en-AU" w:eastAsia="en-AU"/>
        </w:rPr>
        <w:t>Objectives</w:t>
      </w:r>
    </w:p>
    <w:p w14:paraId="083EC95D" w14:textId="77777777" w:rsidR="00EE388C" w:rsidRDefault="00EE388C" w:rsidP="00E41116">
      <w:pPr>
        <w:adjustRightInd w:val="0"/>
        <w:snapToGrid w:val="0"/>
        <w:rPr>
          <w:rFonts w:eastAsia="Malgun Gothic"/>
          <w:sz w:val="22"/>
          <w:szCs w:val="22"/>
          <w:lang w:val="en-AU" w:eastAsia="ko-KR"/>
        </w:rPr>
      </w:pPr>
    </w:p>
    <w:p w14:paraId="6BBFB3CC" w14:textId="77777777" w:rsidR="00D41635" w:rsidRPr="004635E5" w:rsidRDefault="00D41635" w:rsidP="00E41116">
      <w:pPr>
        <w:adjustRightInd w:val="0"/>
        <w:snapToGrid w:val="0"/>
        <w:rPr>
          <w:rFonts w:eastAsia="Malgun Gothic"/>
          <w:sz w:val="22"/>
          <w:szCs w:val="22"/>
          <w:lang w:val="en-AU" w:eastAsia="ko-KR"/>
        </w:rPr>
      </w:pPr>
      <w:r w:rsidRPr="004635E5">
        <w:rPr>
          <w:rFonts w:eastAsia="Malgun Gothic"/>
          <w:sz w:val="22"/>
          <w:szCs w:val="22"/>
          <w:lang w:val="en-AU" w:eastAsia="en-AU"/>
        </w:rPr>
        <w:t>The Working Group on Harvest Strategy Development would have the following objectives:</w:t>
      </w:r>
    </w:p>
    <w:p w14:paraId="34619019" w14:textId="77777777" w:rsidR="00D41635" w:rsidRPr="004635E5" w:rsidRDefault="00D41635" w:rsidP="00580EA4">
      <w:pPr>
        <w:numPr>
          <w:ilvl w:val="0"/>
          <w:numId w:val="88"/>
        </w:numPr>
        <w:adjustRightInd w:val="0"/>
        <w:snapToGrid w:val="0"/>
        <w:jc w:val="both"/>
        <w:rPr>
          <w:rFonts w:eastAsia="Malgun Gothic"/>
          <w:sz w:val="22"/>
          <w:szCs w:val="22"/>
        </w:rPr>
      </w:pPr>
      <w:r w:rsidRPr="004635E5">
        <w:rPr>
          <w:rFonts w:eastAsia="Malgun Gothic"/>
          <w:sz w:val="22"/>
          <w:szCs w:val="22"/>
        </w:rPr>
        <w:t>To enhance mutual, consistent understanding and capacity building through focused interactions and communications among managers, scientists and other stakeholders on the objectives and outcomes relating to harvest strategies for key tuna fisheries and stocks in the western and central Pacific Ocean, thereby aiding:</w:t>
      </w:r>
    </w:p>
    <w:p w14:paraId="1DE1D3A5" w14:textId="77777777" w:rsidR="00D41635" w:rsidRPr="004635E5" w:rsidRDefault="00D41635" w:rsidP="00580EA4">
      <w:pPr>
        <w:numPr>
          <w:ilvl w:val="1"/>
          <w:numId w:val="88"/>
        </w:numPr>
        <w:adjustRightInd w:val="0"/>
        <w:snapToGrid w:val="0"/>
        <w:ind w:left="1080"/>
        <w:jc w:val="both"/>
        <w:rPr>
          <w:rFonts w:eastAsia="Malgun Gothic"/>
          <w:sz w:val="22"/>
          <w:szCs w:val="22"/>
        </w:rPr>
      </w:pPr>
      <w:r w:rsidRPr="004635E5">
        <w:rPr>
          <w:rFonts w:eastAsia="Malgun Gothic"/>
          <w:sz w:val="22"/>
          <w:szCs w:val="22"/>
        </w:rPr>
        <w:t xml:space="preserve">the ability of managers to drive the process </w:t>
      </w:r>
      <w:r w:rsidRPr="004635E5">
        <w:rPr>
          <w:rFonts w:eastAsia="Malgun Gothic"/>
          <w:sz w:val="22"/>
          <w:szCs w:val="22"/>
          <w:lang w:eastAsia="ko-KR"/>
        </w:rPr>
        <w:t xml:space="preserve">of harvest strategy development </w:t>
      </w:r>
      <w:r w:rsidRPr="004635E5">
        <w:rPr>
          <w:rFonts w:eastAsia="Malgun Gothic"/>
          <w:sz w:val="22"/>
          <w:szCs w:val="22"/>
        </w:rPr>
        <w:t xml:space="preserve">and guide further scientific work, by promoting full and consistent technical understanding on harvest strategy concepts and the </w:t>
      </w:r>
      <w:r w:rsidRPr="004635E5">
        <w:rPr>
          <w:rFonts w:eastAsia="Malgun Gothic"/>
          <w:sz w:val="22"/>
          <w:szCs w:val="22"/>
          <w:lang w:eastAsia="ko-KR"/>
        </w:rPr>
        <w:t xml:space="preserve">functions of its </w:t>
      </w:r>
      <w:r w:rsidRPr="004635E5">
        <w:rPr>
          <w:rFonts w:eastAsia="Malgun Gothic"/>
          <w:sz w:val="22"/>
          <w:szCs w:val="22"/>
        </w:rPr>
        <w:t>elements;</w:t>
      </w:r>
      <w:r w:rsidRPr="004635E5">
        <w:rPr>
          <w:rFonts w:eastAsia="Malgun Gothic"/>
          <w:sz w:val="22"/>
          <w:szCs w:val="22"/>
          <w:lang w:eastAsia="ko-KR"/>
        </w:rPr>
        <w:t xml:space="preserve"> and</w:t>
      </w:r>
    </w:p>
    <w:p w14:paraId="7B811C22" w14:textId="77777777" w:rsidR="00D41635" w:rsidRPr="004635E5" w:rsidRDefault="00D41635" w:rsidP="00580EA4">
      <w:pPr>
        <w:numPr>
          <w:ilvl w:val="1"/>
          <w:numId w:val="88"/>
        </w:numPr>
        <w:adjustRightInd w:val="0"/>
        <w:snapToGrid w:val="0"/>
        <w:ind w:left="1080"/>
        <w:jc w:val="both"/>
        <w:rPr>
          <w:rFonts w:eastAsia="Malgun Gothic"/>
          <w:sz w:val="22"/>
          <w:szCs w:val="22"/>
        </w:rPr>
      </w:pPr>
      <w:r w:rsidRPr="004635E5">
        <w:rPr>
          <w:rFonts w:eastAsia="Malgun Gothic"/>
          <w:sz w:val="22"/>
          <w:szCs w:val="22"/>
        </w:rPr>
        <w:t xml:space="preserve">the ability of scientists to </w:t>
      </w:r>
      <w:r w:rsidRPr="004635E5">
        <w:rPr>
          <w:rFonts w:eastAsia="Malgun Gothic"/>
          <w:sz w:val="22"/>
          <w:szCs w:val="22"/>
          <w:lang w:eastAsia="ko-KR"/>
        </w:rPr>
        <w:t xml:space="preserve">efficiently </w:t>
      </w:r>
      <w:r w:rsidRPr="004635E5">
        <w:rPr>
          <w:rFonts w:eastAsia="Malgun Gothic"/>
          <w:sz w:val="22"/>
          <w:szCs w:val="22"/>
        </w:rPr>
        <w:t xml:space="preserve">deliver relevant technical outputs by promoting full and consistent understanding of the WCPO </w:t>
      </w:r>
      <w:r w:rsidRPr="004635E5">
        <w:rPr>
          <w:rFonts w:eastAsia="Malgun Gothic"/>
          <w:sz w:val="22"/>
          <w:szCs w:val="22"/>
          <w:lang w:eastAsia="ko-KR"/>
        </w:rPr>
        <w:t xml:space="preserve">management and </w:t>
      </w:r>
      <w:r w:rsidRPr="004635E5">
        <w:rPr>
          <w:rFonts w:eastAsia="Malgun Gothic"/>
          <w:sz w:val="22"/>
          <w:szCs w:val="22"/>
        </w:rPr>
        <w:t>policy environment.</w:t>
      </w:r>
    </w:p>
    <w:p w14:paraId="23213139" w14:textId="77777777" w:rsidR="00D41635" w:rsidRPr="004635E5" w:rsidRDefault="00D41635" w:rsidP="00580EA4">
      <w:pPr>
        <w:numPr>
          <w:ilvl w:val="0"/>
          <w:numId w:val="88"/>
        </w:numPr>
        <w:adjustRightInd w:val="0"/>
        <w:snapToGrid w:val="0"/>
        <w:jc w:val="both"/>
        <w:rPr>
          <w:rFonts w:eastAsia="Malgun Gothic"/>
          <w:sz w:val="22"/>
          <w:szCs w:val="22"/>
        </w:rPr>
      </w:pPr>
      <w:r w:rsidRPr="004635E5">
        <w:rPr>
          <w:rFonts w:eastAsia="Malgun Gothic"/>
          <w:sz w:val="22"/>
          <w:szCs w:val="22"/>
        </w:rPr>
        <w:t>To facilitate the iterative process of decision making in relation to WCPO harvest strategies by the Commission and its Committees.</w:t>
      </w:r>
    </w:p>
    <w:p w14:paraId="4B6A2EB3" w14:textId="77777777" w:rsidR="00D41635" w:rsidRPr="004635E5" w:rsidRDefault="00D41635" w:rsidP="00580EA4">
      <w:pPr>
        <w:numPr>
          <w:ilvl w:val="0"/>
          <w:numId w:val="88"/>
        </w:numPr>
        <w:adjustRightInd w:val="0"/>
        <w:snapToGrid w:val="0"/>
        <w:jc w:val="both"/>
        <w:rPr>
          <w:rFonts w:eastAsia="Malgun Gothic"/>
          <w:sz w:val="22"/>
          <w:szCs w:val="22"/>
        </w:rPr>
      </w:pPr>
      <w:r w:rsidRPr="004635E5">
        <w:rPr>
          <w:rFonts w:eastAsia="Malgun Gothic"/>
          <w:sz w:val="22"/>
          <w:szCs w:val="22"/>
        </w:rPr>
        <w:t>To refine candidate harvest strategy options through review of analyses of the performance of candidate harvest strategies against noted management objectives, then forward a reduced number of acceptable candidates to the Commission, allowing the Commission to concentrate its decision making role on a reduced number of acceptable candidate options, thereby increasing efficiency.</w:t>
      </w:r>
    </w:p>
    <w:p w14:paraId="438E5E72" w14:textId="77777777" w:rsidR="00D41635" w:rsidRPr="004635E5" w:rsidRDefault="00D41635" w:rsidP="00E41116">
      <w:pPr>
        <w:adjustRightInd w:val="0"/>
        <w:snapToGrid w:val="0"/>
        <w:rPr>
          <w:rFonts w:eastAsia="Malgun Gothic"/>
          <w:sz w:val="22"/>
          <w:szCs w:val="22"/>
        </w:rPr>
      </w:pPr>
    </w:p>
    <w:p w14:paraId="47CA17F3" w14:textId="77777777" w:rsidR="00D41635" w:rsidRPr="004635E5" w:rsidRDefault="00D41635" w:rsidP="00E41116">
      <w:pPr>
        <w:adjustRightInd w:val="0"/>
        <w:snapToGrid w:val="0"/>
        <w:rPr>
          <w:rFonts w:eastAsia="Malgun Gothic"/>
          <w:b/>
          <w:sz w:val="22"/>
          <w:szCs w:val="22"/>
        </w:rPr>
      </w:pPr>
      <w:r w:rsidRPr="004635E5">
        <w:rPr>
          <w:rFonts w:eastAsia="Malgun Gothic"/>
          <w:b/>
          <w:sz w:val="22"/>
          <w:szCs w:val="22"/>
        </w:rPr>
        <w:t>Tasks</w:t>
      </w:r>
    </w:p>
    <w:p w14:paraId="2F05ABA1" w14:textId="77777777" w:rsidR="00D41635" w:rsidRPr="004635E5" w:rsidRDefault="00D41635" w:rsidP="00E41116">
      <w:pPr>
        <w:adjustRightInd w:val="0"/>
        <w:snapToGrid w:val="0"/>
        <w:rPr>
          <w:rFonts w:eastAsia="Malgun Gothic"/>
          <w:b/>
          <w:sz w:val="22"/>
          <w:szCs w:val="22"/>
        </w:rPr>
      </w:pPr>
      <w:r w:rsidRPr="004635E5">
        <w:rPr>
          <w:rFonts w:eastAsia="Malgun Gothic"/>
          <w:b/>
          <w:sz w:val="22"/>
          <w:szCs w:val="22"/>
        </w:rPr>
        <w:t>The activities of this Working Group</w:t>
      </w:r>
      <w:r w:rsidRPr="004635E5">
        <w:rPr>
          <w:rFonts w:eastAsia="Malgun Gothic"/>
          <w:sz w:val="22"/>
          <w:szCs w:val="22"/>
        </w:rPr>
        <w:t xml:space="preserve"> </w:t>
      </w:r>
      <w:r w:rsidRPr="004635E5">
        <w:rPr>
          <w:rFonts w:eastAsia="Malgun Gothic"/>
          <w:b/>
          <w:sz w:val="22"/>
          <w:szCs w:val="22"/>
        </w:rPr>
        <w:t>will be guided by the WCPFC harvest strategy workplan.</w:t>
      </w:r>
    </w:p>
    <w:p w14:paraId="07961DFA" w14:textId="77777777" w:rsidR="00D41635" w:rsidRPr="004635E5" w:rsidRDefault="00D41635" w:rsidP="00E41116">
      <w:pPr>
        <w:adjustRightInd w:val="0"/>
        <w:snapToGrid w:val="0"/>
        <w:rPr>
          <w:rFonts w:eastAsia="Malgun Gothic"/>
          <w:b/>
          <w:sz w:val="22"/>
          <w:szCs w:val="22"/>
        </w:rPr>
      </w:pPr>
    </w:p>
    <w:p w14:paraId="2508B52C" w14:textId="77777777" w:rsidR="00D41635" w:rsidRPr="004635E5" w:rsidRDefault="00D41635" w:rsidP="00580EA4">
      <w:pPr>
        <w:numPr>
          <w:ilvl w:val="0"/>
          <w:numId w:val="88"/>
        </w:numPr>
        <w:adjustRightInd w:val="0"/>
        <w:snapToGrid w:val="0"/>
        <w:jc w:val="both"/>
        <w:rPr>
          <w:rFonts w:eastAsia="Malgun Gothic"/>
          <w:sz w:val="22"/>
          <w:szCs w:val="22"/>
          <w:lang w:val="en-AU" w:eastAsia="ko-KR"/>
        </w:rPr>
      </w:pPr>
      <w:r w:rsidRPr="004635E5">
        <w:rPr>
          <w:rFonts w:eastAsia="Malgun Gothic"/>
          <w:sz w:val="22"/>
          <w:szCs w:val="22"/>
          <w:lang w:val="en-AU" w:eastAsia="en-AU"/>
        </w:rPr>
        <w:t>The Working Group on Harvest Strategy Development would have the following tasks, which are split into formal and informal meeting components:</w:t>
      </w:r>
    </w:p>
    <w:p w14:paraId="5A1B190C" w14:textId="77777777" w:rsidR="00D41635" w:rsidRPr="004635E5" w:rsidRDefault="00D41635" w:rsidP="00E41116">
      <w:pPr>
        <w:adjustRightInd w:val="0"/>
        <w:snapToGrid w:val="0"/>
        <w:rPr>
          <w:rFonts w:eastAsia="Malgun Gothic"/>
          <w:sz w:val="22"/>
          <w:szCs w:val="22"/>
          <w:lang w:val="en-AU" w:eastAsia="ko-KR"/>
        </w:rPr>
      </w:pPr>
    </w:p>
    <w:p w14:paraId="5C9CC6D0" w14:textId="77777777" w:rsidR="00D41635" w:rsidRPr="004635E5" w:rsidRDefault="00D41635" w:rsidP="00E41116">
      <w:pPr>
        <w:adjustRightInd w:val="0"/>
        <w:snapToGrid w:val="0"/>
        <w:rPr>
          <w:rFonts w:eastAsia="Malgun Gothic"/>
          <w:sz w:val="22"/>
          <w:szCs w:val="22"/>
          <w:lang w:val="en-AU" w:eastAsia="ko-KR"/>
        </w:rPr>
      </w:pPr>
      <w:r w:rsidRPr="004635E5">
        <w:rPr>
          <w:rFonts w:eastAsia="Malgun Gothic"/>
          <w:sz w:val="22"/>
          <w:szCs w:val="22"/>
          <w:lang w:val="en-AU" w:eastAsia="ko-KR"/>
        </w:rPr>
        <w:t>Meeting components:</w:t>
      </w:r>
    </w:p>
    <w:p w14:paraId="0583F128" w14:textId="77777777" w:rsidR="00D41635" w:rsidRPr="004635E5" w:rsidRDefault="00D41635" w:rsidP="00580EA4">
      <w:pPr>
        <w:numPr>
          <w:ilvl w:val="1"/>
          <w:numId w:val="88"/>
        </w:numPr>
        <w:adjustRightInd w:val="0"/>
        <w:snapToGrid w:val="0"/>
        <w:ind w:left="1080"/>
        <w:jc w:val="both"/>
        <w:rPr>
          <w:rFonts w:eastAsia="Malgun Gothic"/>
          <w:sz w:val="22"/>
          <w:szCs w:val="22"/>
        </w:rPr>
      </w:pPr>
      <w:r w:rsidRPr="004635E5">
        <w:rPr>
          <w:rFonts w:eastAsia="Malgun Gothic"/>
          <w:sz w:val="22"/>
          <w:szCs w:val="22"/>
          <w:lang w:eastAsia="ko-KR"/>
        </w:rPr>
        <w:t xml:space="preserve">Iterative development and refinement of the key elements of harvest strategies as described in CMM 2014-06 and other associated ingredients. </w:t>
      </w:r>
    </w:p>
    <w:p w14:paraId="31C74BF9" w14:textId="77777777" w:rsidR="00D41635" w:rsidRPr="004635E5" w:rsidRDefault="00D41635" w:rsidP="00580EA4">
      <w:pPr>
        <w:numPr>
          <w:ilvl w:val="1"/>
          <w:numId w:val="88"/>
        </w:numPr>
        <w:adjustRightInd w:val="0"/>
        <w:snapToGrid w:val="0"/>
        <w:ind w:left="1080"/>
        <w:jc w:val="both"/>
        <w:rPr>
          <w:rFonts w:eastAsia="Malgun Gothic"/>
          <w:sz w:val="22"/>
          <w:szCs w:val="22"/>
        </w:rPr>
      </w:pPr>
      <w:r w:rsidRPr="004635E5">
        <w:rPr>
          <w:rFonts w:eastAsia="Malgun Gothic"/>
          <w:sz w:val="22"/>
          <w:szCs w:val="22"/>
          <w:lang w:eastAsia="ko-KR"/>
        </w:rPr>
        <w:t>R</w:t>
      </w:r>
      <w:r w:rsidRPr="004635E5">
        <w:rPr>
          <w:rFonts w:eastAsia="Malgun Gothic"/>
          <w:sz w:val="22"/>
          <w:szCs w:val="22"/>
        </w:rPr>
        <w:t>eview</w:t>
      </w:r>
      <w:r w:rsidRPr="004635E5">
        <w:rPr>
          <w:rFonts w:eastAsia="Malgun Gothic"/>
          <w:sz w:val="22"/>
          <w:szCs w:val="22"/>
          <w:lang w:eastAsia="ko-KR"/>
        </w:rPr>
        <w:t>ing</w:t>
      </w:r>
      <w:r w:rsidRPr="004635E5">
        <w:rPr>
          <w:rFonts w:eastAsia="Malgun Gothic"/>
          <w:sz w:val="22"/>
          <w:szCs w:val="22"/>
        </w:rPr>
        <w:t xml:space="preserve"> and refin</w:t>
      </w:r>
      <w:r w:rsidRPr="004635E5">
        <w:rPr>
          <w:rFonts w:eastAsia="Malgun Gothic"/>
          <w:sz w:val="22"/>
          <w:szCs w:val="22"/>
          <w:lang w:eastAsia="ko-KR"/>
        </w:rPr>
        <w:t>ing</w:t>
      </w:r>
      <w:r w:rsidRPr="004635E5">
        <w:rPr>
          <w:rFonts w:eastAsia="Malgun Gothic"/>
          <w:color w:val="FF0000"/>
          <w:sz w:val="22"/>
          <w:szCs w:val="22"/>
        </w:rPr>
        <w:t xml:space="preserve"> </w:t>
      </w:r>
      <w:r w:rsidRPr="004635E5">
        <w:rPr>
          <w:rFonts w:eastAsia="Malgun Gothic"/>
          <w:sz w:val="22"/>
          <w:szCs w:val="22"/>
        </w:rPr>
        <w:t>the detailed Scientific Committee outputs on Management Strategy Evaluation (MSE).</w:t>
      </w:r>
    </w:p>
    <w:p w14:paraId="45BA4B06" w14:textId="77777777" w:rsidR="00D41635" w:rsidRPr="004635E5" w:rsidRDefault="00D41635" w:rsidP="00580EA4">
      <w:pPr>
        <w:numPr>
          <w:ilvl w:val="1"/>
          <w:numId w:val="88"/>
        </w:numPr>
        <w:adjustRightInd w:val="0"/>
        <w:snapToGrid w:val="0"/>
        <w:ind w:left="1080"/>
        <w:jc w:val="both"/>
        <w:rPr>
          <w:rFonts w:eastAsia="Malgun Gothic"/>
          <w:sz w:val="22"/>
          <w:szCs w:val="22"/>
        </w:rPr>
      </w:pPr>
      <w:r w:rsidRPr="004635E5">
        <w:rPr>
          <w:rFonts w:eastAsia="Malgun Gothic"/>
          <w:sz w:val="22"/>
          <w:szCs w:val="22"/>
        </w:rPr>
        <w:t>When appropriate, recommend</w:t>
      </w:r>
      <w:r w:rsidRPr="004635E5">
        <w:rPr>
          <w:rFonts w:eastAsia="Malgun Gothic"/>
          <w:sz w:val="22"/>
          <w:szCs w:val="22"/>
          <w:lang w:eastAsia="ko-KR"/>
        </w:rPr>
        <w:t>ing</w:t>
      </w:r>
      <w:r w:rsidRPr="004635E5">
        <w:rPr>
          <w:rFonts w:eastAsia="Malgun Gothic"/>
          <w:sz w:val="22"/>
          <w:szCs w:val="22"/>
        </w:rPr>
        <w:t xml:space="preserve"> to the Commission appropriate candidate harvest strategies that adequately meet noted management objectives for the fishery/stock, highlighting key trade-offs and risks.</w:t>
      </w:r>
    </w:p>
    <w:p w14:paraId="16DD0E88" w14:textId="77777777" w:rsidR="00D41635" w:rsidRPr="004635E5" w:rsidRDefault="00D41635" w:rsidP="00580EA4">
      <w:pPr>
        <w:numPr>
          <w:ilvl w:val="1"/>
          <w:numId w:val="88"/>
        </w:numPr>
        <w:adjustRightInd w:val="0"/>
        <w:snapToGrid w:val="0"/>
        <w:ind w:left="1080"/>
        <w:jc w:val="both"/>
        <w:rPr>
          <w:rFonts w:eastAsia="Malgun Gothic"/>
          <w:sz w:val="22"/>
          <w:szCs w:val="22"/>
        </w:rPr>
      </w:pPr>
      <w:r w:rsidRPr="004635E5">
        <w:rPr>
          <w:rFonts w:eastAsia="Malgun Gothic"/>
          <w:sz w:val="22"/>
          <w:szCs w:val="22"/>
          <w:lang w:eastAsia="ko-KR"/>
        </w:rPr>
        <w:t>R</w:t>
      </w:r>
      <w:r w:rsidRPr="004635E5">
        <w:rPr>
          <w:rFonts w:eastAsia="Malgun Gothic"/>
          <w:sz w:val="22"/>
          <w:szCs w:val="22"/>
        </w:rPr>
        <w:t>equest</w:t>
      </w:r>
      <w:r w:rsidRPr="004635E5">
        <w:rPr>
          <w:rFonts w:eastAsia="Malgun Gothic"/>
          <w:sz w:val="22"/>
          <w:szCs w:val="22"/>
          <w:lang w:eastAsia="ko-KR"/>
        </w:rPr>
        <w:t>ing</w:t>
      </w:r>
      <w:r w:rsidRPr="004635E5">
        <w:rPr>
          <w:rFonts w:eastAsia="Malgun Gothic"/>
          <w:sz w:val="22"/>
          <w:szCs w:val="22"/>
        </w:rPr>
        <w:t xml:space="preserve"> through the Commission of the </w:t>
      </w:r>
      <w:r w:rsidRPr="004635E5">
        <w:rPr>
          <w:rFonts w:eastAsia="Malgun Gothic"/>
          <w:sz w:val="22"/>
          <w:szCs w:val="22"/>
          <w:lang w:eastAsia="ko-KR"/>
        </w:rPr>
        <w:t>Scientific</w:t>
      </w:r>
      <w:r w:rsidRPr="004635E5">
        <w:rPr>
          <w:rFonts w:eastAsia="Malgun Gothic"/>
          <w:sz w:val="22"/>
          <w:szCs w:val="22"/>
        </w:rPr>
        <w:t xml:space="preserve"> Services Provider, additional analyses and new/refined harvest strategy elements (e.g. candidate harvest control rules, calculation and weighting of performance indicators) for re-evaluation, which may better achieve objectives and desired trade-offs.</w:t>
      </w:r>
    </w:p>
    <w:p w14:paraId="398339B8" w14:textId="77777777" w:rsidR="00D41635" w:rsidRPr="004635E5" w:rsidRDefault="00D41635" w:rsidP="00580EA4">
      <w:pPr>
        <w:numPr>
          <w:ilvl w:val="1"/>
          <w:numId w:val="88"/>
        </w:numPr>
        <w:adjustRightInd w:val="0"/>
        <w:snapToGrid w:val="0"/>
        <w:ind w:left="1080"/>
        <w:jc w:val="both"/>
        <w:rPr>
          <w:rFonts w:eastAsia="Malgun Gothic"/>
          <w:sz w:val="22"/>
          <w:szCs w:val="22"/>
        </w:rPr>
      </w:pPr>
      <w:r w:rsidRPr="004635E5">
        <w:rPr>
          <w:rFonts w:eastAsia="Malgun Gothic"/>
          <w:sz w:val="22"/>
          <w:szCs w:val="22"/>
          <w:lang w:eastAsia="ko-KR"/>
        </w:rPr>
        <w:t>R</w:t>
      </w:r>
      <w:r w:rsidRPr="004635E5">
        <w:rPr>
          <w:rFonts w:eastAsia="Malgun Gothic"/>
          <w:sz w:val="22"/>
          <w:szCs w:val="22"/>
        </w:rPr>
        <w:t>equest</w:t>
      </w:r>
      <w:r w:rsidRPr="004635E5">
        <w:rPr>
          <w:rFonts w:eastAsia="Malgun Gothic"/>
          <w:sz w:val="22"/>
          <w:szCs w:val="22"/>
          <w:lang w:eastAsia="ko-KR"/>
        </w:rPr>
        <w:t>ing</w:t>
      </w:r>
      <w:r w:rsidRPr="004635E5">
        <w:rPr>
          <w:rFonts w:eastAsia="Malgun Gothic"/>
          <w:sz w:val="22"/>
          <w:szCs w:val="22"/>
        </w:rPr>
        <w:t xml:space="preserve"> through the Commission of the </w:t>
      </w:r>
      <w:r w:rsidRPr="004635E5">
        <w:rPr>
          <w:rFonts w:eastAsia="Malgun Gothic"/>
          <w:sz w:val="22"/>
          <w:szCs w:val="22"/>
          <w:lang w:eastAsia="ko-KR"/>
        </w:rPr>
        <w:t>Scientific</w:t>
      </w:r>
      <w:r w:rsidRPr="004635E5">
        <w:rPr>
          <w:rFonts w:eastAsia="Malgun Gothic"/>
          <w:sz w:val="22"/>
          <w:szCs w:val="22"/>
        </w:rPr>
        <w:t xml:space="preserve"> Services Provider, improved approaches to presenting results to increase clarity and enhance decision making.</w:t>
      </w:r>
    </w:p>
    <w:p w14:paraId="7A4A182A" w14:textId="77777777" w:rsidR="00D41635" w:rsidRPr="004635E5" w:rsidRDefault="00D41635" w:rsidP="00580EA4">
      <w:pPr>
        <w:numPr>
          <w:ilvl w:val="1"/>
          <w:numId w:val="88"/>
        </w:numPr>
        <w:adjustRightInd w:val="0"/>
        <w:snapToGrid w:val="0"/>
        <w:ind w:left="1080"/>
        <w:jc w:val="both"/>
        <w:rPr>
          <w:rFonts w:eastAsia="Malgun Gothic"/>
          <w:sz w:val="22"/>
          <w:szCs w:val="22"/>
        </w:rPr>
      </w:pPr>
      <w:r w:rsidRPr="004635E5">
        <w:rPr>
          <w:rFonts w:eastAsia="Malgun Gothic"/>
          <w:sz w:val="22"/>
          <w:szCs w:val="22"/>
          <w:lang w:eastAsia="ko-KR"/>
        </w:rPr>
        <w:t>C</w:t>
      </w:r>
      <w:r w:rsidRPr="004635E5">
        <w:rPr>
          <w:rFonts w:eastAsia="Malgun Gothic"/>
          <w:sz w:val="22"/>
          <w:szCs w:val="22"/>
        </w:rPr>
        <w:t>onsider</w:t>
      </w:r>
      <w:r w:rsidRPr="004635E5">
        <w:rPr>
          <w:rFonts w:eastAsia="Malgun Gothic"/>
          <w:sz w:val="22"/>
          <w:szCs w:val="22"/>
          <w:lang w:eastAsia="ko-KR"/>
        </w:rPr>
        <w:t>ing</w:t>
      </w:r>
      <w:r w:rsidRPr="004635E5">
        <w:rPr>
          <w:rFonts w:eastAsia="Malgun Gothic"/>
          <w:sz w:val="22"/>
          <w:szCs w:val="22"/>
        </w:rPr>
        <w:t xml:space="preserve"> the implications of developing harvest strategies </w:t>
      </w:r>
      <w:r w:rsidRPr="004635E5">
        <w:rPr>
          <w:rFonts w:eastAsia="Malgun Gothic"/>
          <w:sz w:val="22"/>
          <w:szCs w:val="22"/>
          <w:lang w:eastAsia="ko-KR"/>
        </w:rPr>
        <w:t>in relation to</w:t>
      </w:r>
      <w:r w:rsidRPr="004635E5">
        <w:rPr>
          <w:rFonts w:eastAsia="Malgun Gothic"/>
          <w:sz w:val="22"/>
          <w:szCs w:val="22"/>
        </w:rPr>
        <w:t xml:space="preserve"> data collection and fishery monitoring systems and implementation mechanisms to ensure the future effectiveness of strategies, and mak</w:t>
      </w:r>
      <w:r w:rsidRPr="004635E5">
        <w:rPr>
          <w:rFonts w:eastAsia="Malgun Gothic"/>
          <w:sz w:val="22"/>
          <w:szCs w:val="22"/>
          <w:lang w:eastAsia="ko-KR"/>
        </w:rPr>
        <w:t>ing</w:t>
      </w:r>
      <w:r w:rsidRPr="004635E5">
        <w:rPr>
          <w:rFonts w:eastAsia="Malgun Gothic"/>
          <w:sz w:val="22"/>
          <w:szCs w:val="22"/>
        </w:rPr>
        <w:t xml:space="preserve"> recommendations to the Commission.</w:t>
      </w:r>
    </w:p>
    <w:p w14:paraId="078DF8AD" w14:textId="77777777" w:rsidR="00D41635" w:rsidRPr="004635E5" w:rsidRDefault="00D41635" w:rsidP="00580EA4">
      <w:pPr>
        <w:numPr>
          <w:ilvl w:val="1"/>
          <w:numId w:val="88"/>
        </w:numPr>
        <w:adjustRightInd w:val="0"/>
        <w:snapToGrid w:val="0"/>
        <w:ind w:left="1080"/>
        <w:jc w:val="both"/>
        <w:rPr>
          <w:rFonts w:eastAsia="Malgun Gothic"/>
          <w:sz w:val="22"/>
          <w:szCs w:val="22"/>
        </w:rPr>
      </w:pPr>
      <w:r w:rsidRPr="004635E5">
        <w:rPr>
          <w:rFonts w:eastAsia="Malgun Gothic"/>
          <w:sz w:val="22"/>
          <w:szCs w:val="22"/>
          <w:lang w:eastAsia="ko-KR"/>
        </w:rPr>
        <w:t>Review and update the WCPFC harvest strategy work plan for recommendation to the Commission.</w:t>
      </w:r>
    </w:p>
    <w:p w14:paraId="6C89AA3C" w14:textId="77777777" w:rsidR="00D41635" w:rsidRPr="004635E5" w:rsidRDefault="00D41635" w:rsidP="00580EA4">
      <w:pPr>
        <w:numPr>
          <w:ilvl w:val="1"/>
          <w:numId w:val="88"/>
        </w:numPr>
        <w:adjustRightInd w:val="0"/>
        <w:snapToGrid w:val="0"/>
        <w:ind w:left="1080"/>
        <w:jc w:val="both"/>
        <w:rPr>
          <w:rFonts w:eastAsia="Malgun Gothic"/>
          <w:sz w:val="22"/>
          <w:szCs w:val="22"/>
        </w:rPr>
      </w:pPr>
      <w:r w:rsidRPr="004635E5">
        <w:rPr>
          <w:rFonts w:eastAsia="Malgun Gothic"/>
          <w:sz w:val="22"/>
          <w:szCs w:val="22"/>
          <w:lang w:eastAsia="ko-KR"/>
        </w:rPr>
        <w:t>Review the performance and implementation of any agreed harvest strategy, including through the monitoring strategy.</w:t>
      </w:r>
    </w:p>
    <w:p w14:paraId="7854B222" w14:textId="77777777" w:rsidR="00D41635" w:rsidRPr="004635E5" w:rsidRDefault="00D41635" w:rsidP="00580EA4">
      <w:pPr>
        <w:numPr>
          <w:ilvl w:val="1"/>
          <w:numId w:val="88"/>
        </w:numPr>
        <w:adjustRightInd w:val="0"/>
        <w:snapToGrid w:val="0"/>
        <w:ind w:left="1080"/>
        <w:jc w:val="both"/>
        <w:rPr>
          <w:rFonts w:eastAsia="Malgun Gothic"/>
          <w:sz w:val="22"/>
          <w:szCs w:val="22"/>
        </w:rPr>
      </w:pPr>
      <w:r w:rsidRPr="004635E5">
        <w:rPr>
          <w:rFonts w:eastAsia="Malgun Gothic"/>
          <w:sz w:val="22"/>
          <w:szCs w:val="22"/>
        </w:rPr>
        <w:t>Enhancing the understanding of managers, scientists and the wider stakeholder group through review and discussion of detailed Scientific Committee outputs.</w:t>
      </w:r>
    </w:p>
    <w:p w14:paraId="6442C9BF" w14:textId="77777777" w:rsidR="00D41635" w:rsidRPr="004635E5" w:rsidRDefault="00D41635" w:rsidP="00E41116">
      <w:pPr>
        <w:adjustRightInd w:val="0"/>
        <w:snapToGrid w:val="0"/>
        <w:rPr>
          <w:rFonts w:eastAsia="Malgun Gothic"/>
          <w:sz w:val="22"/>
          <w:szCs w:val="22"/>
        </w:rPr>
      </w:pPr>
    </w:p>
    <w:p w14:paraId="714286EA" w14:textId="77777777" w:rsidR="00D41635" w:rsidRDefault="00D41635" w:rsidP="00E41116">
      <w:pPr>
        <w:adjustRightInd w:val="0"/>
        <w:snapToGrid w:val="0"/>
        <w:rPr>
          <w:rFonts w:eastAsia="Malgun Gothic"/>
          <w:b/>
          <w:sz w:val="22"/>
          <w:szCs w:val="22"/>
          <w:lang w:val="en-AU" w:eastAsia="ko-KR"/>
        </w:rPr>
      </w:pPr>
      <w:r w:rsidRPr="004635E5">
        <w:rPr>
          <w:rFonts w:eastAsia="Malgun Gothic"/>
          <w:b/>
          <w:sz w:val="22"/>
          <w:szCs w:val="22"/>
          <w:lang w:val="en-AU" w:eastAsia="en-AU"/>
        </w:rPr>
        <w:t>Meeting</w:t>
      </w:r>
    </w:p>
    <w:p w14:paraId="203EB9BE" w14:textId="77777777" w:rsidR="00EE388C" w:rsidRPr="004635E5" w:rsidRDefault="00EE388C" w:rsidP="00E41116">
      <w:pPr>
        <w:adjustRightInd w:val="0"/>
        <w:snapToGrid w:val="0"/>
        <w:rPr>
          <w:rFonts w:eastAsia="Malgun Gothic"/>
          <w:b/>
          <w:sz w:val="22"/>
          <w:szCs w:val="22"/>
          <w:lang w:val="en-AU" w:eastAsia="ko-KR"/>
        </w:rPr>
      </w:pPr>
    </w:p>
    <w:p w14:paraId="216875E2" w14:textId="77777777" w:rsidR="00D41635" w:rsidRPr="004635E5" w:rsidRDefault="00D41635" w:rsidP="00580EA4">
      <w:pPr>
        <w:numPr>
          <w:ilvl w:val="0"/>
          <w:numId w:val="88"/>
        </w:numPr>
        <w:adjustRightInd w:val="0"/>
        <w:snapToGrid w:val="0"/>
        <w:ind w:hanging="720"/>
        <w:jc w:val="both"/>
        <w:rPr>
          <w:rFonts w:eastAsia="Malgun Gothic"/>
          <w:sz w:val="22"/>
          <w:szCs w:val="22"/>
        </w:rPr>
      </w:pPr>
      <w:r w:rsidRPr="004635E5">
        <w:rPr>
          <w:rFonts w:eastAsia="Malgun Gothic"/>
          <w:sz w:val="22"/>
          <w:szCs w:val="22"/>
          <w:lang w:eastAsia="ko-KR"/>
        </w:rPr>
        <w:t>For t</w:t>
      </w:r>
      <w:r w:rsidRPr="004635E5">
        <w:rPr>
          <w:rFonts w:eastAsia="Malgun Gothic"/>
          <w:sz w:val="22"/>
          <w:szCs w:val="22"/>
        </w:rPr>
        <w:t xml:space="preserve">he Working Group on Harvest Strategy Development </w:t>
      </w:r>
      <w:r w:rsidRPr="004635E5">
        <w:rPr>
          <w:rFonts w:eastAsia="Malgun Gothic"/>
          <w:sz w:val="22"/>
          <w:szCs w:val="22"/>
          <w:lang w:eastAsia="ko-KR"/>
        </w:rPr>
        <w:t>to efficiently facilitate the development of harvest strategies,</w:t>
      </w:r>
      <w:r w:rsidRPr="004635E5">
        <w:rPr>
          <w:rFonts w:eastAsia="Malgun Gothic"/>
          <w:sz w:val="22"/>
          <w:szCs w:val="22"/>
        </w:rPr>
        <w:t xml:space="preserve"> </w:t>
      </w:r>
      <w:r w:rsidRPr="004635E5">
        <w:rPr>
          <w:rFonts w:eastAsia="Malgun Gothic"/>
          <w:sz w:val="22"/>
          <w:szCs w:val="22"/>
          <w:lang w:eastAsia="ko-KR"/>
        </w:rPr>
        <w:t>physical meetings</w:t>
      </w:r>
      <w:r w:rsidRPr="004635E5">
        <w:rPr>
          <w:rFonts w:eastAsia="Malgun Gothic"/>
          <w:sz w:val="22"/>
          <w:szCs w:val="22"/>
        </w:rPr>
        <w:t xml:space="preserve"> </w:t>
      </w:r>
      <w:r w:rsidRPr="004635E5">
        <w:rPr>
          <w:rFonts w:eastAsia="Malgun Gothic"/>
          <w:sz w:val="22"/>
          <w:szCs w:val="22"/>
          <w:lang w:eastAsia="ko-KR"/>
        </w:rPr>
        <w:t>will be convened consistent with Paragraph 6</w:t>
      </w:r>
      <w:r w:rsidRPr="004635E5">
        <w:rPr>
          <w:rFonts w:eastAsia="Malgun Gothic"/>
          <w:sz w:val="22"/>
          <w:szCs w:val="22"/>
          <w:vertAlign w:val="superscript"/>
          <w:lang w:eastAsia="ko-KR"/>
        </w:rPr>
        <w:footnoteReference w:id="10"/>
      </w:r>
      <w:r w:rsidRPr="004635E5">
        <w:rPr>
          <w:rFonts w:eastAsia="Malgun Gothic"/>
          <w:sz w:val="22"/>
          <w:szCs w:val="22"/>
          <w:lang w:eastAsia="ko-KR"/>
        </w:rPr>
        <w:t xml:space="preserve"> of the Convention Article 11, for the production of formal recommendations to the Commission. A</w:t>
      </w:r>
      <w:r w:rsidRPr="004635E5">
        <w:rPr>
          <w:rFonts w:eastAsia="Malgun Gothic"/>
          <w:sz w:val="22"/>
          <w:szCs w:val="22"/>
        </w:rPr>
        <w:t xml:space="preserve">ll Commission rules </w:t>
      </w:r>
      <w:r w:rsidRPr="004635E5">
        <w:rPr>
          <w:rFonts w:eastAsia="Malgun Gothic"/>
          <w:sz w:val="22"/>
          <w:szCs w:val="22"/>
          <w:lang w:eastAsia="ko-KR"/>
        </w:rPr>
        <w:t xml:space="preserve">will be applied to </w:t>
      </w:r>
      <w:r w:rsidRPr="004635E5">
        <w:rPr>
          <w:rFonts w:eastAsia="Malgun Gothic"/>
          <w:sz w:val="22"/>
          <w:szCs w:val="22"/>
        </w:rPr>
        <w:t xml:space="preserve">CCMs and observers, including provision of funding for participation by developing CCMs.  </w:t>
      </w:r>
    </w:p>
    <w:p w14:paraId="3F7F19FF" w14:textId="77777777" w:rsidR="00D41635" w:rsidRPr="004635E5" w:rsidRDefault="00D41635" w:rsidP="00580EA4">
      <w:pPr>
        <w:numPr>
          <w:ilvl w:val="0"/>
          <w:numId w:val="88"/>
        </w:numPr>
        <w:adjustRightInd w:val="0"/>
        <w:snapToGrid w:val="0"/>
        <w:ind w:hanging="720"/>
        <w:jc w:val="both"/>
        <w:rPr>
          <w:rFonts w:eastAsia="Malgun Gothic"/>
          <w:sz w:val="22"/>
          <w:szCs w:val="22"/>
        </w:rPr>
      </w:pPr>
      <w:r w:rsidRPr="004635E5">
        <w:rPr>
          <w:rFonts w:eastAsia="Malgun Gothic"/>
          <w:sz w:val="22"/>
          <w:szCs w:val="22"/>
        </w:rPr>
        <w:t xml:space="preserve">The </w:t>
      </w:r>
      <w:r w:rsidRPr="004635E5">
        <w:rPr>
          <w:rFonts w:eastAsia="Malgun Gothic"/>
          <w:sz w:val="22"/>
          <w:szCs w:val="22"/>
          <w:lang w:eastAsia="ko-KR"/>
        </w:rPr>
        <w:t xml:space="preserve">Chair(s) of the </w:t>
      </w:r>
      <w:r w:rsidRPr="004635E5">
        <w:rPr>
          <w:rFonts w:eastAsia="Malgun Gothic"/>
          <w:sz w:val="22"/>
          <w:szCs w:val="22"/>
        </w:rPr>
        <w:t xml:space="preserve">meeting shall be </w:t>
      </w:r>
      <w:r w:rsidRPr="004635E5">
        <w:rPr>
          <w:rFonts w:eastAsia="Malgun Gothic"/>
          <w:sz w:val="22"/>
          <w:szCs w:val="22"/>
          <w:lang w:eastAsia="ko-KR"/>
        </w:rPr>
        <w:t>determined by the Commission and the Chair will develop the agenda for the meeting, consistent with the harvest strategy workplan</w:t>
      </w:r>
      <w:r w:rsidRPr="004635E5">
        <w:rPr>
          <w:rFonts w:eastAsia="Malgun Gothic"/>
          <w:sz w:val="22"/>
          <w:szCs w:val="22"/>
        </w:rPr>
        <w:t>.</w:t>
      </w:r>
    </w:p>
    <w:p w14:paraId="0A151CA3" w14:textId="77777777" w:rsidR="00D41635" w:rsidRPr="004635E5" w:rsidRDefault="00D41635" w:rsidP="00580EA4">
      <w:pPr>
        <w:numPr>
          <w:ilvl w:val="0"/>
          <w:numId w:val="88"/>
        </w:numPr>
        <w:adjustRightInd w:val="0"/>
        <w:snapToGrid w:val="0"/>
        <w:ind w:hanging="720"/>
        <w:jc w:val="both"/>
        <w:rPr>
          <w:rFonts w:eastAsia="Malgun Gothic"/>
          <w:sz w:val="22"/>
          <w:szCs w:val="22"/>
        </w:rPr>
      </w:pPr>
      <w:r w:rsidRPr="004635E5">
        <w:rPr>
          <w:rFonts w:eastAsia="Malgun Gothic"/>
          <w:sz w:val="22"/>
          <w:szCs w:val="22"/>
        </w:rPr>
        <w:t>To facilitate appropriate dialogue, CCMs are encouraged to ensure attendance by both scientific and management personnel on their delegation. The participation of stakeholders is also encouraged.</w:t>
      </w:r>
    </w:p>
    <w:p w14:paraId="66F85A40" w14:textId="77777777" w:rsidR="00D41635" w:rsidRPr="004635E5" w:rsidRDefault="00D41635" w:rsidP="00580EA4">
      <w:pPr>
        <w:numPr>
          <w:ilvl w:val="0"/>
          <w:numId w:val="88"/>
        </w:numPr>
        <w:adjustRightInd w:val="0"/>
        <w:snapToGrid w:val="0"/>
        <w:ind w:hanging="720"/>
        <w:jc w:val="both"/>
        <w:rPr>
          <w:rFonts w:eastAsia="Malgun Gothic"/>
          <w:sz w:val="22"/>
          <w:szCs w:val="22"/>
        </w:rPr>
      </w:pPr>
      <w:r w:rsidRPr="004635E5">
        <w:rPr>
          <w:rFonts w:eastAsia="Malgun Gothic"/>
          <w:sz w:val="22"/>
          <w:szCs w:val="22"/>
        </w:rPr>
        <w:t xml:space="preserve">The </w:t>
      </w:r>
      <w:r w:rsidRPr="004635E5">
        <w:rPr>
          <w:rFonts w:eastAsia="Malgun Gothic"/>
          <w:sz w:val="22"/>
          <w:szCs w:val="22"/>
          <w:lang w:eastAsia="ko-KR"/>
        </w:rPr>
        <w:t xml:space="preserve">structure and size of the </w:t>
      </w:r>
      <w:r w:rsidRPr="004635E5">
        <w:rPr>
          <w:rFonts w:eastAsia="Malgun Gothic"/>
          <w:sz w:val="22"/>
          <w:szCs w:val="22"/>
        </w:rPr>
        <w:t>meeting</w:t>
      </w:r>
      <w:r w:rsidRPr="004635E5">
        <w:rPr>
          <w:rFonts w:eastAsia="Malgun Gothic"/>
          <w:sz w:val="22"/>
          <w:szCs w:val="22"/>
          <w:lang w:eastAsia="ko-KR"/>
        </w:rPr>
        <w:t xml:space="preserve">, including </w:t>
      </w:r>
      <w:r w:rsidRPr="004635E5">
        <w:rPr>
          <w:rFonts w:eastAsia="Malgun Gothic"/>
          <w:sz w:val="22"/>
          <w:szCs w:val="22"/>
        </w:rPr>
        <w:t xml:space="preserve">informal and formal sessions, </w:t>
      </w:r>
      <w:r w:rsidRPr="004635E5">
        <w:rPr>
          <w:rFonts w:eastAsia="Malgun Gothic"/>
          <w:sz w:val="22"/>
          <w:szCs w:val="22"/>
          <w:lang w:eastAsia="ko-KR"/>
        </w:rPr>
        <w:t xml:space="preserve">will be </w:t>
      </w:r>
      <w:r w:rsidRPr="004635E5">
        <w:rPr>
          <w:rFonts w:eastAsia="Malgun Gothic"/>
          <w:sz w:val="22"/>
          <w:szCs w:val="22"/>
        </w:rPr>
        <w:t xml:space="preserve">agreed by the </w:t>
      </w:r>
      <w:r w:rsidRPr="004635E5">
        <w:rPr>
          <w:rFonts w:eastAsia="Malgun Gothic"/>
          <w:sz w:val="22"/>
          <w:szCs w:val="22"/>
          <w:lang w:eastAsia="ko-KR"/>
        </w:rPr>
        <w:t>Commission</w:t>
      </w:r>
      <w:r w:rsidRPr="004635E5">
        <w:rPr>
          <w:rFonts w:eastAsia="Malgun Gothic"/>
          <w:sz w:val="22"/>
          <w:szCs w:val="22"/>
        </w:rPr>
        <w:t xml:space="preserve">. </w:t>
      </w:r>
    </w:p>
    <w:p w14:paraId="60AB3C90" w14:textId="77777777" w:rsidR="00D41635" w:rsidRPr="004635E5" w:rsidRDefault="00D41635" w:rsidP="00580EA4">
      <w:pPr>
        <w:numPr>
          <w:ilvl w:val="0"/>
          <w:numId w:val="88"/>
        </w:numPr>
        <w:adjustRightInd w:val="0"/>
        <w:snapToGrid w:val="0"/>
        <w:ind w:hanging="720"/>
        <w:jc w:val="both"/>
        <w:rPr>
          <w:rFonts w:eastAsia="Malgun Gothic"/>
          <w:sz w:val="22"/>
          <w:szCs w:val="22"/>
        </w:rPr>
      </w:pPr>
      <w:r w:rsidRPr="004635E5">
        <w:rPr>
          <w:rFonts w:eastAsia="Malgun Gothic"/>
          <w:sz w:val="22"/>
          <w:szCs w:val="22"/>
        </w:rPr>
        <w:t>The meeting shall adopt a summary report detailing advice and recommendations for consideration by the Commission, and requests of its relevant Committees and Scientific Services Provider, as described above.</w:t>
      </w:r>
    </w:p>
    <w:p w14:paraId="243F4F0F" w14:textId="77777777" w:rsidR="00D41635" w:rsidRPr="004635E5" w:rsidRDefault="00D41635" w:rsidP="00E41116">
      <w:pPr>
        <w:adjustRightInd w:val="0"/>
        <w:snapToGrid w:val="0"/>
        <w:rPr>
          <w:rFonts w:eastAsia="Malgun Gothic"/>
          <w:b/>
          <w:sz w:val="22"/>
          <w:szCs w:val="22"/>
          <w:lang w:val="en-AU" w:eastAsia="en-AU"/>
        </w:rPr>
      </w:pPr>
    </w:p>
    <w:p w14:paraId="2BC8B7C2" w14:textId="77777777" w:rsidR="00D41635" w:rsidRDefault="00D41635" w:rsidP="00E41116">
      <w:pPr>
        <w:adjustRightInd w:val="0"/>
        <w:snapToGrid w:val="0"/>
        <w:rPr>
          <w:rFonts w:eastAsia="Malgun Gothic"/>
          <w:b/>
          <w:sz w:val="22"/>
          <w:szCs w:val="22"/>
          <w:lang w:val="en-AU" w:eastAsia="ko-KR"/>
        </w:rPr>
      </w:pPr>
      <w:r w:rsidRPr="004635E5">
        <w:rPr>
          <w:rFonts w:eastAsia="Malgun Gothic"/>
          <w:b/>
          <w:sz w:val="22"/>
          <w:szCs w:val="22"/>
          <w:lang w:val="en-AU" w:eastAsia="en-AU"/>
        </w:rPr>
        <w:t>Timeframe</w:t>
      </w:r>
    </w:p>
    <w:p w14:paraId="4E3E67FD" w14:textId="77777777" w:rsidR="00EE388C" w:rsidRPr="004635E5" w:rsidRDefault="00EE388C" w:rsidP="00E41116">
      <w:pPr>
        <w:adjustRightInd w:val="0"/>
        <w:snapToGrid w:val="0"/>
        <w:rPr>
          <w:rFonts w:eastAsia="Malgun Gothic"/>
          <w:b/>
          <w:sz w:val="22"/>
          <w:szCs w:val="22"/>
          <w:lang w:val="en-AU" w:eastAsia="ko-KR"/>
        </w:rPr>
      </w:pPr>
    </w:p>
    <w:p w14:paraId="4B283EEF" w14:textId="77777777" w:rsidR="00D41635" w:rsidRPr="004635E5" w:rsidRDefault="00D41635" w:rsidP="00580EA4">
      <w:pPr>
        <w:numPr>
          <w:ilvl w:val="0"/>
          <w:numId w:val="88"/>
        </w:numPr>
        <w:adjustRightInd w:val="0"/>
        <w:snapToGrid w:val="0"/>
        <w:ind w:hanging="720"/>
        <w:jc w:val="both"/>
        <w:rPr>
          <w:rFonts w:eastAsia="Malgun Gothic"/>
          <w:sz w:val="22"/>
          <w:szCs w:val="22"/>
        </w:rPr>
      </w:pPr>
      <w:r w:rsidRPr="004635E5">
        <w:rPr>
          <w:rFonts w:eastAsia="Malgun Gothic"/>
          <w:sz w:val="22"/>
          <w:szCs w:val="22"/>
        </w:rPr>
        <w:t>The meeting will be held for [</w:t>
      </w:r>
      <w:r w:rsidRPr="004635E5">
        <w:rPr>
          <w:rFonts w:eastAsia="Malgun Gothic"/>
          <w:sz w:val="22"/>
          <w:szCs w:val="22"/>
          <w:lang w:eastAsia="ko-KR"/>
        </w:rPr>
        <w:t>one/</w:t>
      </w:r>
      <w:r w:rsidRPr="004635E5">
        <w:rPr>
          <w:rFonts w:eastAsia="Malgun Gothic"/>
          <w:sz w:val="22"/>
          <w:szCs w:val="22"/>
        </w:rPr>
        <w:t xml:space="preserve">two] days at a time determined by the Commission, as appropriate to maximise the attendance of CCM scientists and managers and facilitate the functioning of those other meetings. </w:t>
      </w:r>
    </w:p>
    <w:p w14:paraId="6203317C" w14:textId="77777777" w:rsidR="00D41635" w:rsidRPr="004635E5" w:rsidRDefault="00D41635" w:rsidP="00580EA4">
      <w:pPr>
        <w:numPr>
          <w:ilvl w:val="0"/>
          <w:numId w:val="88"/>
        </w:numPr>
        <w:adjustRightInd w:val="0"/>
        <w:snapToGrid w:val="0"/>
        <w:ind w:hanging="720"/>
        <w:jc w:val="both"/>
        <w:rPr>
          <w:rFonts w:eastAsia="Malgun Gothic"/>
          <w:sz w:val="22"/>
          <w:szCs w:val="22"/>
        </w:rPr>
      </w:pPr>
      <w:r w:rsidRPr="004635E5">
        <w:rPr>
          <w:rFonts w:eastAsia="Malgun Gothic"/>
          <w:sz w:val="22"/>
          <w:szCs w:val="22"/>
        </w:rPr>
        <w:t>The first meeting will be held in 2019. WCPFC16 will review the effectiveness of the meeting and determine its future.</w:t>
      </w:r>
    </w:p>
    <w:p w14:paraId="2F8E5A02" w14:textId="77777777" w:rsidR="00D41635" w:rsidRPr="004635E5" w:rsidRDefault="00D41635" w:rsidP="00E41116">
      <w:pPr>
        <w:adjustRightInd w:val="0"/>
        <w:snapToGrid w:val="0"/>
        <w:rPr>
          <w:rFonts w:eastAsia="Malgun Gothic"/>
          <w:sz w:val="22"/>
          <w:szCs w:val="22"/>
          <w:lang w:val="en-AU" w:eastAsia="en-AU"/>
        </w:rPr>
      </w:pPr>
      <w:r w:rsidRPr="004635E5">
        <w:rPr>
          <w:rFonts w:eastAsia="Malgun Gothic"/>
          <w:sz w:val="22"/>
          <w:szCs w:val="22"/>
          <w:lang w:val="en-AU" w:eastAsia="en-AU"/>
        </w:rPr>
        <w:t xml:space="preserve"> </w:t>
      </w:r>
    </w:p>
    <w:p w14:paraId="031FD127" w14:textId="77777777" w:rsidR="00D41635" w:rsidRPr="004635E5" w:rsidRDefault="00D41635" w:rsidP="00E41116">
      <w:pPr>
        <w:adjustRightInd w:val="0"/>
        <w:snapToGrid w:val="0"/>
        <w:rPr>
          <w:sz w:val="22"/>
          <w:szCs w:val="22"/>
          <w:lang w:val="en-NZ"/>
        </w:rPr>
      </w:pPr>
      <w:r w:rsidRPr="004635E5">
        <w:rPr>
          <w:rFonts w:eastAsia="Malgun Gothic"/>
          <w:sz w:val="22"/>
          <w:szCs w:val="22"/>
          <w:lang w:val="en-AU" w:eastAsia="en-AU"/>
        </w:rPr>
        <w:br w:type="page"/>
      </w:r>
    </w:p>
    <w:p w14:paraId="76A77126" w14:textId="77777777" w:rsidR="00D41635" w:rsidRPr="004635E5" w:rsidRDefault="00D41635" w:rsidP="00E41116">
      <w:pPr>
        <w:autoSpaceDE w:val="0"/>
        <w:autoSpaceDN w:val="0"/>
        <w:adjustRightInd w:val="0"/>
        <w:snapToGrid w:val="0"/>
        <w:jc w:val="both"/>
        <w:rPr>
          <w:sz w:val="22"/>
          <w:szCs w:val="22"/>
          <w:lang w:val="en-NZ"/>
        </w:rPr>
      </w:pPr>
    </w:p>
    <w:p w14:paraId="10ACB08D" w14:textId="77777777" w:rsidR="00BA3E50" w:rsidRPr="004635E5" w:rsidRDefault="00BA3E50" w:rsidP="00E41116">
      <w:pPr>
        <w:adjustRightInd w:val="0"/>
        <w:snapToGrid w:val="0"/>
        <w:jc w:val="right"/>
        <w:rPr>
          <w:b/>
          <w:bCs/>
          <w:sz w:val="22"/>
          <w:szCs w:val="22"/>
          <w:lang w:val="en-AU" w:eastAsia="en-NZ"/>
        </w:rPr>
      </w:pPr>
      <w:r w:rsidRPr="004635E5">
        <w:rPr>
          <w:b/>
          <w:bCs/>
          <w:sz w:val="22"/>
          <w:szCs w:val="22"/>
          <w:lang w:val="en-AU" w:eastAsia="en-NZ"/>
        </w:rPr>
        <w:t>Attachment G</w:t>
      </w:r>
    </w:p>
    <w:p w14:paraId="4BFDD170" w14:textId="77777777" w:rsidR="00BA3E50" w:rsidRPr="004635E5" w:rsidRDefault="00BA3E50" w:rsidP="00E41116">
      <w:pPr>
        <w:adjustRightInd w:val="0"/>
        <w:snapToGrid w:val="0"/>
        <w:jc w:val="center"/>
        <w:rPr>
          <w:b/>
          <w:bCs/>
          <w:sz w:val="22"/>
          <w:szCs w:val="22"/>
          <w:lang w:val="en-AU" w:eastAsia="en-NZ"/>
        </w:rPr>
      </w:pPr>
    </w:p>
    <w:p w14:paraId="635882B6" w14:textId="77777777" w:rsidR="00D41635" w:rsidRPr="004635E5" w:rsidRDefault="00D41635" w:rsidP="00E41116">
      <w:pPr>
        <w:adjustRightInd w:val="0"/>
        <w:snapToGrid w:val="0"/>
        <w:jc w:val="center"/>
        <w:rPr>
          <w:b/>
          <w:bCs/>
          <w:sz w:val="22"/>
          <w:szCs w:val="22"/>
          <w:lang w:val="en-AU" w:eastAsia="en-NZ"/>
        </w:rPr>
      </w:pPr>
      <w:r w:rsidRPr="004635E5">
        <w:rPr>
          <w:b/>
          <w:bCs/>
          <w:sz w:val="22"/>
          <w:szCs w:val="22"/>
          <w:lang w:val="en-AU" w:eastAsia="en-NZ"/>
        </w:rPr>
        <w:t xml:space="preserve">The Commission for the Conservation and Management of </w:t>
      </w:r>
      <w:r w:rsidRPr="004635E5">
        <w:rPr>
          <w:b/>
          <w:bCs/>
          <w:sz w:val="22"/>
          <w:szCs w:val="22"/>
          <w:lang w:val="en-AU" w:eastAsia="en-NZ"/>
        </w:rPr>
        <w:br/>
        <w:t>Highly Migratory Fish Stocks in the Western and Central Pacific Ocean</w:t>
      </w:r>
    </w:p>
    <w:p w14:paraId="559B75D4" w14:textId="77777777" w:rsidR="00D41635" w:rsidRPr="004635E5" w:rsidRDefault="00D41635"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 xml:space="preserve">Scientific Committee </w:t>
      </w:r>
    </w:p>
    <w:p w14:paraId="48042D91" w14:textId="77777777" w:rsidR="00D41635" w:rsidRPr="004635E5" w:rsidRDefault="00D41635"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Fourteenth Regular Session</w:t>
      </w:r>
    </w:p>
    <w:p w14:paraId="6354EE90" w14:textId="77777777" w:rsidR="00D41635" w:rsidRPr="004635E5" w:rsidRDefault="00D41635" w:rsidP="00E41116">
      <w:pPr>
        <w:adjustRightInd w:val="0"/>
        <w:snapToGrid w:val="0"/>
        <w:jc w:val="center"/>
        <w:rPr>
          <w:bCs/>
          <w:sz w:val="22"/>
          <w:szCs w:val="22"/>
        </w:rPr>
      </w:pPr>
      <w:r w:rsidRPr="004635E5">
        <w:rPr>
          <w:rFonts w:eastAsiaTheme="minorEastAsia"/>
          <w:bCs/>
          <w:sz w:val="22"/>
          <w:szCs w:val="22"/>
          <w:lang w:eastAsia="ko-KR"/>
        </w:rPr>
        <w:t>Busan, Republic of Korea</w:t>
      </w:r>
    </w:p>
    <w:p w14:paraId="4C50F0D0" w14:textId="77777777" w:rsidR="00D41635" w:rsidRPr="004635E5" w:rsidRDefault="00D41635" w:rsidP="00E41116">
      <w:pPr>
        <w:adjustRightInd w:val="0"/>
        <w:snapToGrid w:val="0"/>
        <w:jc w:val="center"/>
        <w:rPr>
          <w:rFonts w:eastAsiaTheme="minorEastAsia"/>
          <w:bCs/>
          <w:sz w:val="22"/>
          <w:szCs w:val="22"/>
          <w:lang w:eastAsia="ko-KR"/>
        </w:rPr>
      </w:pPr>
      <w:r w:rsidRPr="004635E5">
        <w:rPr>
          <w:rFonts w:eastAsiaTheme="minorEastAsia"/>
          <w:bCs/>
          <w:sz w:val="22"/>
          <w:szCs w:val="22"/>
          <w:lang w:eastAsia="ko-KR"/>
        </w:rPr>
        <w:t>8–16</w:t>
      </w:r>
      <w:r w:rsidRPr="004635E5">
        <w:rPr>
          <w:bCs/>
          <w:sz w:val="22"/>
          <w:szCs w:val="22"/>
        </w:rPr>
        <w:t xml:space="preserve"> August 201</w:t>
      </w:r>
      <w:r w:rsidRPr="004635E5">
        <w:rPr>
          <w:rFonts w:eastAsiaTheme="minorEastAsia"/>
          <w:bCs/>
          <w:sz w:val="22"/>
          <w:szCs w:val="22"/>
          <w:lang w:eastAsia="ko-KR"/>
        </w:rPr>
        <w:t>8</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D41635" w:rsidRPr="004635E5" w14:paraId="425D6204" w14:textId="77777777" w:rsidTr="002D5D17">
        <w:tc>
          <w:tcPr>
            <w:tcW w:w="9576" w:type="dxa"/>
            <w:tcBorders>
              <w:top w:val="single" w:sz="12" w:space="0" w:color="auto"/>
              <w:left w:val="nil"/>
              <w:bottom w:val="single" w:sz="12" w:space="0" w:color="auto"/>
              <w:right w:val="nil"/>
            </w:tcBorders>
            <w:hideMark/>
          </w:tcPr>
          <w:p w14:paraId="583347FC" w14:textId="77777777" w:rsidR="00D41635" w:rsidRPr="004635E5" w:rsidRDefault="00EE2E72" w:rsidP="00E41116">
            <w:pPr>
              <w:autoSpaceDE w:val="0"/>
              <w:autoSpaceDN w:val="0"/>
              <w:adjustRightInd w:val="0"/>
              <w:snapToGrid w:val="0"/>
              <w:jc w:val="center"/>
              <w:rPr>
                <w:b/>
                <w:sz w:val="22"/>
                <w:szCs w:val="22"/>
                <w:lang w:val="en-AU"/>
              </w:rPr>
            </w:pPr>
            <w:r w:rsidRPr="004635E5">
              <w:rPr>
                <w:b/>
                <w:sz w:val="22"/>
                <w:szCs w:val="22"/>
                <w:lang w:val="en-NZ"/>
              </w:rPr>
              <w:t>SHARK SAFE RELEASE GUIDELINES</w:t>
            </w:r>
            <w:r w:rsidR="00472973" w:rsidRPr="004635E5">
              <w:rPr>
                <w:b/>
                <w:sz w:val="22"/>
                <w:szCs w:val="22"/>
                <w:lang w:val="en-NZ"/>
              </w:rPr>
              <w:fldChar w:fldCharType="begin"/>
            </w:r>
            <w:r w:rsidRPr="004635E5">
              <w:rPr>
                <w:sz w:val="22"/>
                <w:szCs w:val="22"/>
              </w:rPr>
              <w:instrText xml:space="preserve"> TC "</w:instrText>
            </w:r>
            <w:bookmarkStart w:id="148" w:name="_Toc16418036"/>
            <w:r w:rsidRPr="004635E5">
              <w:rPr>
                <w:sz w:val="22"/>
                <w:szCs w:val="22"/>
              </w:rPr>
              <w:instrText xml:space="preserve">ATTACHMENT G — </w:instrText>
            </w:r>
            <w:r w:rsidRPr="004635E5">
              <w:rPr>
                <w:sz w:val="22"/>
                <w:szCs w:val="22"/>
                <w:lang w:val="en-NZ"/>
              </w:rPr>
              <w:instrText>SHARK SAFE RELEASE GUIDELINES</w:instrText>
            </w:r>
            <w:bookmarkEnd w:id="148"/>
            <w:r w:rsidRPr="004635E5">
              <w:rPr>
                <w:sz w:val="22"/>
                <w:szCs w:val="22"/>
              </w:rPr>
              <w:instrText xml:space="preserve">" \f C \l "1" </w:instrText>
            </w:r>
            <w:r w:rsidR="00472973" w:rsidRPr="004635E5">
              <w:rPr>
                <w:b/>
                <w:sz w:val="22"/>
                <w:szCs w:val="22"/>
                <w:lang w:val="en-NZ"/>
              </w:rPr>
              <w:fldChar w:fldCharType="end"/>
            </w:r>
          </w:p>
        </w:tc>
      </w:tr>
    </w:tbl>
    <w:p w14:paraId="13861AA2" w14:textId="77777777" w:rsidR="00D41635" w:rsidRPr="004635E5" w:rsidRDefault="00D41635" w:rsidP="00E41116">
      <w:pPr>
        <w:autoSpaceDE w:val="0"/>
        <w:autoSpaceDN w:val="0"/>
        <w:adjustRightInd w:val="0"/>
        <w:snapToGrid w:val="0"/>
        <w:jc w:val="both"/>
        <w:rPr>
          <w:sz w:val="22"/>
          <w:szCs w:val="22"/>
          <w:lang w:val="en-NZ"/>
        </w:rPr>
      </w:pPr>
    </w:p>
    <w:p w14:paraId="1AB870E7" w14:textId="77777777" w:rsidR="00BA3E50" w:rsidRPr="004635E5" w:rsidRDefault="00BA3E50" w:rsidP="00E41116">
      <w:pPr>
        <w:pBdr>
          <w:top w:val="nil"/>
          <w:left w:val="nil"/>
          <w:bottom w:val="nil"/>
          <w:right w:val="nil"/>
          <w:between w:val="nil"/>
          <w:bar w:val="nil"/>
        </w:pBdr>
        <w:adjustRightInd w:val="0"/>
        <w:snapToGrid w:val="0"/>
        <w:jc w:val="center"/>
        <w:rPr>
          <w:rFonts w:eastAsia="Arial Unicode MS"/>
          <w:color w:val="000000"/>
          <w:sz w:val="22"/>
          <w:szCs w:val="22"/>
          <w:u w:color="000000"/>
          <w:bdr w:val="nil"/>
        </w:rPr>
      </w:pPr>
      <w:r w:rsidRPr="004635E5">
        <w:rPr>
          <w:rFonts w:eastAsia="Arial Unicode MS"/>
          <w:color w:val="000000"/>
          <w:sz w:val="22"/>
          <w:szCs w:val="22"/>
          <w:u w:color="000000"/>
          <w:bdr w:val="nil"/>
        </w:rPr>
        <w:t>BEST HANDLING PRACTICES FOR THE SAFE RELEASE OF SHARKS (OTHER THAN WHALE SHARKS AND MANTAS/MOBULIDS)</w:t>
      </w:r>
      <w:r w:rsidRPr="004635E5">
        <w:rPr>
          <w:rFonts w:eastAsia="Arial Unicode MS"/>
          <w:color w:val="000000"/>
          <w:sz w:val="22"/>
          <w:szCs w:val="22"/>
          <w:u w:color="000000"/>
          <w:bdr w:val="nil"/>
          <w:vertAlign w:val="superscript"/>
        </w:rPr>
        <w:footnoteReference w:id="11"/>
      </w:r>
    </w:p>
    <w:p w14:paraId="30CFFC4D" w14:textId="77777777"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14:paraId="360EDA29" w14:textId="77777777"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The following are recommended non-binding guidelines of best handling practices of sharks for both purse seine and longline fisheries: </w:t>
      </w:r>
    </w:p>
    <w:p w14:paraId="72D4159B" w14:textId="77777777"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14:paraId="4D4DDCC9" w14:textId="77777777"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Safety First: These guidelines should be considered in light of safety and practicability for crew.  Crew safety should always come first.  Crew </w:t>
      </w:r>
      <w:r w:rsidRPr="004635E5">
        <w:rPr>
          <w:rFonts w:eastAsia="Arial Unicode MS"/>
          <w:sz w:val="22"/>
          <w:szCs w:val="22"/>
          <w:u w:color="000000"/>
          <w:bdr w:val="nil"/>
        </w:rPr>
        <w:t xml:space="preserve">should wear </w:t>
      </w:r>
      <w:r w:rsidRPr="004635E5">
        <w:rPr>
          <w:rFonts w:eastAsia="Arial Unicode MS"/>
          <w:sz w:val="22"/>
          <w:szCs w:val="22"/>
          <w:u w:color="FF006F"/>
          <w:bdr w:val="nil"/>
        </w:rPr>
        <w:t>suitable</w:t>
      </w:r>
      <w:r w:rsidRPr="004635E5">
        <w:rPr>
          <w:rFonts w:eastAsia="Arial Unicode MS"/>
          <w:sz w:val="22"/>
          <w:szCs w:val="22"/>
          <w:u w:color="000000"/>
          <w:bdr w:val="nil"/>
        </w:rPr>
        <w:t xml:space="preserve"> gloves</w:t>
      </w:r>
      <w:r w:rsidRPr="004635E5">
        <w:rPr>
          <w:rFonts w:eastAsia="Arial Unicode MS"/>
          <w:color w:val="000000"/>
          <w:sz w:val="22"/>
          <w:szCs w:val="22"/>
          <w:u w:color="000000"/>
          <w:bdr w:val="nil"/>
        </w:rPr>
        <w:t xml:space="preserve"> and avoid working around the jaws of sharks.</w:t>
      </w:r>
    </w:p>
    <w:p w14:paraId="3F1BE010" w14:textId="77777777"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14:paraId="2B6FA5DF" w14:textId="77777777"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For all gear types, keep animals in the water if possible. If necessary to land on deck, minimize time and release shark to the water as soon as possible.</w:t>
      </w:r>
    </w:p>
    <w:p w14:paraId="753B309A" w14:textId="77777777"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14:paraId="7AC486EB" w14:textId="77777777" w:rsidR="00BA3E50" w:rsidRPr="004635E5" w:rsidRDefault="00BA3E50" w:rsidP="00E41116">
      <w:pPr>
        <w:pBdr>
          <w:top w:val="nil"/>
          <w:left w:val="nil"/>
          <w:bottom w:val="nil"/>
          <w:right w:val="nil"/>
          <w:between w:val="nil"/>
          <w:bar w:val="nil"/>
        </w:pBdr>
        <w:adjustRightInd w:val="0"/>
        <w:snapToGrid w:val="0"/>
        <w:rPr>
          <w:rFonts w:eastAsia="Arial Unicode MS"/>
          <w:b/>
          <w:bCs/>
          <w:color w:val="000000"/>
          <w:sz w:val="22"/>
          <w:szCs w:val="22"/>
          <w:u w:val="single" w:color="000000"/>
          <w:bdr w:val="nil"/>
          <w:lang w:val="de-DE"/>
        </w:rPr>
      </w:pPr>
      <w:r w:rsidRPr="004635E5">
        <w:rPr>
          <w:rFonts w:eastAsia="Arial Unicode MS"/>
          <w:b/>
          <w:bCs/>
          <w:color w:val="000000"/>
          <w:sz w:val="22"/>
          <w:szCs w:val="22"/>
          <w:u w:val="single" w:color="000000"/>
          <w:bdr w:val="nil"/>
          <w:lang w:val="de-DE"/>
        </w:rPr>
        <w:t xml:space="preserve">Purse Seine </w:t>
      </w:r>
    </w:p>
    <w:p w14:paraId="6078D2B1" w14:textId="77777777" w:rsidR="00BA3E50" w:rsidRPr="004635E5" w:rsidRDefault="00BA3E50" w:rsidP="00E41116">
      <w:pPr>
        <w:pBdr>
          <w:top w:val="nil"/>
          <w:left w:val="nil"/>
          <w:bottom w:val="nil"/>
          <w:right w:val="nil"/>
          <w:between w:val="nil"/>
          <w:bar w:val="nil"/>
        </w:pBdr>
        <w:adjustRightInd w:val="0"/>
        <w:snapToGrid w:val="0"/>
        <w:rPr>
          <w:rFonts w:eastAsia="Arial Unicode MS"/>
          <w:b/>
          <w:bCs/>
          <w:color w:val="000000"/>
          <w:sz w:val="22"/>
          <w:szCs w:val="22"/>
          <w:u w:val="single" w:color="000000"/>
          <w:bdr w:val="nil"/>
        </w:rPr>
      </w:pPr>
    </w:p>
    <w:p w14:paraId="1637AABE" w14:textId="77777777"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b/>
          <w:bCs/>
          <w:color w:val="000000"/>
          <w:sz w:val="22"/>
          <w:szCs w:val="22"/>
          <w:u w:color="000000"/>
          <w:bdr w:val="nil"/>
        </w:rPr>
        <w:t>Do</w:t>
      </w:r>
      <w:r w:rsidRPr="004635E5">
        <w:rPr>
          <w:rFonts w:eastAsia="Arial Unicode MS"/>
          <w:b/>
          <w:bCs/>
          <w:color w:val="000000"/>
          <w:sz w:val="22"/>
          <w:szCs w:val="22"/>
          <w:u w:color="000000"/>
          <w:bdr w:val="nil"/>
          <w:lang w:val="fr-FR"/>
        </w:rPr>
        <w:t>’</w:t>
      </w:r>
      <w:r w:rsidRPr="004635E5">
        <w:rPr>
          <w:rFonts w:eastAsia="Arial Unicode MS"/>
          <w:b/>
          <w:bCs/>
          <w:color w:val="000000"/>
          <w:sz w:val="22"/>
          <w:szCs w:val="22"/>
          <w:u w:color="000000"/>
          <w:bdr w:val="nil"/>
        </w:rPr>
        <w:t xml:space="preserve">s (make sure that “do” graphics are clearly labelled as examples only): </w:t>
      </w:r>
    </w:p>
    <w:p w14:paraId="709DF7B6" w14:textId="77777777" w:rsidR="00BA3E50" w:rsidRPr="004635E5" w:rsidRDefault="00BA3E50" w:rsidP="00E41116">
      <w:pPr>
        <w:pBdr>
          <w:top w:val="nil"/>
          <w:left w:val="nil"/>
          <w:bottom w:val="nil"/>
          <w:right w:val="nil"/>
          <w:between w:val="nil"/>
          <w:bar w:val="nil"/>
        </w:pBdr>
        <w:adjustRightInd w:val="0"/>
        <w:snapToGrid w:val="0"/>
        <w:ind w:left="720"/>
        <w:rPr>
          <w:rFonts w:eastAsia="Arial Unicode MS"/>
          <w:color w:val="000000"/>
          <w:sz w:val="22"/>
          <w:szCs w:val="22"/>
          <w:u w:val="single" w:color="000000"/>
          <w:bdr w:val="nil"/>
        </w:rPr>
      </w:pPr>
      <w:r w:rsidRPr="004635E5">
        <w:rPr>
          <w:rFonts w:eastAsia="Arial Unicode MS"/>
          <w:color w:val="000000"/>
          <w:sz w:val="22"/>
          <w:szCs w:val="22"/>
          <w:u w:val="single" w:color="000000"/>
          <w:bdr w:val="nil"/>
        </w:rPr>
        <w:t>If in purse seine net:</w:t>
      </w:r>
    </w:p>
    <w:p w14:paraId="77350643" w14:textId="77777777" w:rsidR="00BA3E50" w:rsidRPr="004635E5" w:rsidRDefault="00BA3E50" w:rsidP="00580EA4">
      <w:pPr>
        <w:numPr>
          <w:ilvl w:val="0"/>
          <w:numId w:val="91"/>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Release sharks while they are still free-swimming whenever possible (e.g. back down procedure, submerging corks, cutting net)</w:t>
      </w:r>
    </w:p>
    <w:p w14:paraId="483E3000" w14:textId="77777777" w:rsidR="00BA3E50" w:rsidRPr="004635E5" w:rsidRDefault="00BA3E50" w:rsidP="00580EA4">
      <w:pPr>
        <w:numPr>
          <w:ilvl w:val="0"/>
          <w:numId w:val="91"/>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For sharks that cannot be released from the purse seine net, consider removing them using a hook and line.  </w:t>
      </w:r>
    </w:p>
    <w:p w14:paraId="14C44CFD" w14:textId="77777777" w:rsidR="00BA3E50" w:rsidRPr="004635E5" w:rsidRDefault="00BA3E50" w:rsidP="00E41116">
      <w:pPr>
        <w:pBdr>
          <w:top w:val="nil"/>
          <w:left w:val="nil"/>
          <w:bottom w:val="nil"/>
          <w:right w:val="nil"/>
          <w:between w:val="nil"/>
          <w:bar w:val="nil"/>
        </w:pBdr>
        <w:adjustRightInd w:val="0"/>
        <w:snapToGrid w:val="0"/>
        <w:ind w:left="720"/>
        <w:rPr>
          <w:rFonts w:eastAsia="Arial Unicode MS"/>
          <w:color w:val="000000"/>
          <w:sz w:val="22"/>
          <w:szCs w:val="22"/>
          <w:u w:color="000000"/>
          <w:bdr w:val="nil"/>
        </w:rPr>
      </w:pPr>
    </w:p>
    <w:p w14:paraId="49CA4958" w14:textId="77777777" w:rsidR="00BA3E50" w:rsidRPr="004635E5" w:rsidRDefault="00BA3E50" w:rsidP="00E41116">
      <w:pPr>
        <w:pBdr>
          <w:top w:val="nil"/>
          <w:left w:val="nil"/>
          <w:bottom w:val="nil"/>
          <w:right w:val="nil"/>
          <w:between w:val="nil"/>
          <w:bar w:val="nil"/>
        </w:pBdr>
        <w:adjustRightInd w:val="0"/>
        <w:snapToGrid w:val="0"/>
        <w:ind w:left="720"/>
        <w:rPr>
          <w:rFonts w:eastAsia="Arial Unicode MS"/>
          <w:color w:val="000000"/>
          <w:sz w:val="22"/>
          <w:szCs w:val="22"/>
          <w:u w:val="single" w:color="000000"/>
          <w:bdr w:val="nil"/>
        </w:rPr>
      </w:pPr>
      <w:r w:rsidRPr="004635E5">
        <w:rPr>
          <w:rFonts w:eastAsia="Arial Unicode MS"/>
          <w:color w:val="000000"/>
          <w:sz w:val="22"/>
          <w:szCs w:val="22"/>
          <w:u w:val="single" w:color="000000"/>
          <w:bdr w:val="nil"/>
        </w:rPr>
        <w:t>If in brail or on deck:</w:t>
      </w:r>
    </w:p>
    <w:p w14:paraId="706CA116" w14:textId="77777777" w:rsidR="00BA3E50" w:rsidRPr="004635E5" w:rsidRDefault="00BA3E50" w:rsidP="00580EA4">
      <w:pPr>
        <w:numPr>
          <w:ilvl w:val="0"/>
          <w:numId w:val="91"/>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For sharks that are too large to be lifted safely by hand out of the brailer, it is preferable they are released using a purpose-built large-mesh cargo net or canvas sling or similar device</w:t>
      </w:r>
      <w:r w:rsidRPr="004635E5">
        <w:rPr>
          <w:rFonts w:eastAsia="Arial Unicode MS"/>
          <w:color w:val="000000"/>
          <w:sz w:val="22"/>
          <w:szCs w:val="22"/>
          <w:u w:color="000000"/>
          <w:bdr w:val="nil"/>
          <w:vertAlign w:val="superscript"/>
        </w:rPr>
        <w:footnoteReference w:id="12"/>
      </w:r>
      <w:r w:rsidRPr="004635E5">
        <w:rPr>
          <w:rFonts w:eastAsia="Arial Unicode MS"/>
          <w:color w:val="000000"/>
          <w:sz w:val="22"/>
          <w:szCs w:val="22"/>
          <w:u w:color="000000"/>
          <w:bdr w:val="nil"/>
        </w:rPr>
        <w:t xml:space="preserve">.  If the vessel layout allows, these sharks could also be released by emptying the brail directly on a ramp held up at an angle that connects to an opening on the top deck railing, without need to be lifted or handled by the crew.  </w:t>
      </w:r>
    </w:p>
    <w:p w14:paraId="126CCD52" w14:textId="77777777" w:rsidR="00BA3E50" w:rsidRPr="004635E5" w:rsidRDefault="00BA3E50" w:rsidP="00580EA4">
      <w:pPr>
        <w:numPr>
          <w:ilvl w:val="0"/>
          <w:numId w:val="91"/>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Generally, small sharks are fragile and need to be handled very carefully.  If this can be done safely, it is best to handle and release them with two people, or one person using both hands.  </w:t>
      </w:r>
    </w:p>
    <w:p w14:paraId="730D6DDF" w14:textId="77777777" w:rsidR="00BA3E50" w:rsidRPr="004635E5" w:rsidRDefault="00BA3E50" w:rsidP="00580EA4">
      <w:pPr>
        <w:numPr>
          <w:ilvl w:val="0"/>
          <w:numId w:val="91"/>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When entangled in netting, if safe to do so carefully cut the net away from the animal and release to the sea as quickly as possible with no netting attached.  </w:t>
      </w:r>
      <w:r w:rsidRPr="004635E5">
        <w:rPr>
          <w:rFonts w:eastAsia="Arial Unicode MS"/>
          <w:color w:val="000000"/>
          <w:sz w:val="22"/>
          <w:szCs w:val="22"/>
          <w:u w:color="000000"/>
          <w:bdr w:val="nil"/>
        </w:rPr>
        <w:br/>
      </w:r>
    </w:p>
    <w:p w14:paraId="653CEEDC" w14:textId="77777777"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14:paraId="6DA448A8" w14:textId="77777777"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b/>
          <w:bCs/>
          <w:color w:val="000000"/>
          <w:sz w:val="22"/>
          <w:szCs w:val="22"/>
          <w:u w:color="000000"/>
          <w:bdr w:val="nil"/>
        </w:rPr>
        <w:t>Don</w:t>
      </w:r>
      <w:r w:rsidRPr="004635E5">
        <w:rPr>
          <w:rFonts w:eastAsia="Arial Unicode MS"/>
          <w:b/>
          <w:bCs/>
          <w:color w:val="000000"/>
          <w:sz w:val="22"/>
          <w:szCs w:val="22"/>
          <w:u w:color="000000"/>
          <w:bdr w:val="nil"/>
          <w:lang w:val="fr-FR"/>
        </w:rPr>
        <w:t>’</w:t>
      </w:r>
      <w:r w:rsidRPr="004635E5">
        <w:rPr>
          <w:rFonts w:eastAsia="Arial Unicode MS"/>
          <w:b/>
          <w:bCs/>
          <w:color w:val="000000"/>
          <w:sz w:val="22"/>
          <w:szCs w:val="22"/>
          <w:u w:color="000000"/>
          <w:bdr w:val="nil"/>
        </w:rPr>
        <w:t xml:space="preserve">ts (graphics are useful here): </w:t>
      </w:r>
      <w:r w:rsidRPr="004635E5">
        <w:rPr>
          <w:rFonts w:eastAsia="Arial Unicode MS"/>
          <w:color w:val="000000"/>
          <w:sz w:val="22"/>
          <w:szCs w:val="22"/>
          <w:u w:color="000000"/>
          <w:bdr w:val="nil"/>
        </w:rPr>
        <w:br/>
      </w:r>
    </w:p>
    <w:p w14:paraId="528453F5" w14:textId="77777777" w:rsidR="00BA3E50" w:rsidRPr="004635E5" w:rsidRDefault="00BA3E50" w:rsidP="00580EA4">
      <w:pPr>
        <w:numPr>
          <w:ilvl w:val="0"/>
          <w:numId w:val="93"/>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Do not wait until hauling is finished to release sharks.  Return them to the sea as soon as possible. </w:t>
      </w:r>
    </w:p>
    <w:p w14:paraId="3995D2D1" w14:textId="77777777" w:rsidR="00BA3E50" w:rsidRPr="004635E5" w:rsidRDefault="00BA3E50" w:rsidP="00580EA4">
      <w:pPr>
        <w:numPr>
          <w:ilvl w:val="0"/>
          <w:numId w:val="93"/>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Do not cut or punch holes through the shark’s body.</w:t>
      </w:r>
    </w:p>
    <w:p w14:paraId="43C57C95" w14:textId="77777777" w:rsidR="00BA3E50" w:rsidRPr="004635E5" w:rsidRDefault="00BA3E50" w:rsidP="00580EA4">
      <w:pPr>
        <w:numPr>
          <w:ilvl w:val="0"/>
          <w:numId w:val="93"/>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Do not gaffor kick a shark and do not insert hands into the gill slits.</w:t>
      </w:r>
      <w:r w:rsidRPr="004635E5">
        <w:rPr>
          <w:rFonts w:eastAsia="Arial Unicode MS"/>
          <w:color w:val="000000"/>
          <w:sz w:val="22"/>
          <w:szCs w:val="22"/>
          <w:u w:color="000000"/>
          <w:bdr w:val="nil"/>
        </w:rPr>
        <w:br/>
      </w:r>
    </w:p>
    <w:p w14:paraId="0A49461C" w14:textId="77777777"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14:paraId="38135BD1" w14:textId="77777777" w:rsidR="00BA3E50" w:rsidRPr="004635E5" w:rsidRDefault="00BA3E50" w:rsidP="00E41116">
      <w:pPr>
        <w:pBdr>
          <w:top w:val="nil"/>
          <w:left w:val="nil"/>
          <w:bottom w:val="nil"/>
          <w:right w:val="nil"/>
          <w:between w:val="nil"/>
          <w:bar w:val="nil"/>
        </w:pBdr>
        <w:adjustRightInd w:val="0"/>
        <w:snapToGrid w:val="0"/>
        <w:rPr>
          <w:rFonts w:eastAsia="Arial Unicode MS"/>
          <w:b/>
          <w:bCs/>
          <w:color w:val="000000"/>
          <w:sz w:val="22"/>
          <w:szCs w:val="22"/>
          <w:u w:val="single" w:color="000000"/>
          <w:bdr w:val="nil"/>
          <w:lang w:val="it-IT"/>
        </w:rPr>
      </w:pPr>
      <w:r w:rsidRPr="004635E5">
        <w:rPr>
          <w:rFonts w:eastAsia="Arial Unicode MS"/>
          <w:b/>
          <w:bCs/>
          <w:color w:val="000000"/>
          <w:sz w:val="22"/>
          <w:szCs w:val="22"/>
          <w:u w:val="single" w:color="000000"/>
          <w:bdr w:val="nil"/>
          <w:lang w:val="it-IT"/>
        </w:rPr>
        <w:t>Longline</w:t>
      </w:r>
    </w:p>
    <w:p w14:paraId="59B62AE1" w14:textId="77777777" w:rsidR="00BA3E50" w:rsidRPr="004635E5" w:rsidRDefault="00BA3E50" w:rsidP="00E41116">
      <w:pPr>
        <w:pBdr>
          <w:top w:val="nil"/>
          <w:left w:val="nil"/>
          <w:bottom w:val="nil"/>
          <w:right w:val="nil"/>
          <w:between w:val="nil"/>
          <w:bar w:val="nil"/>
        </w:pBdr>
        <w:adjustRightInd w:val="0"/>
        <w:snapToGrid w:val="0"/>
        <w:rPr>
          <w:rFonts w:eastAsia="Arial Unicode MS"/>
          <w:b/>
          <w:bCs/>
          <w:color w:val="000000"/>
          <w:sz w:val="22"/>
          <w:szCs w:val="22"/>
          <w:u w:color="000000"/>
          <w:bdr w:val="nil"/>
        </w:rPr>
      </w:pPr>
    </w:p>
    <w:p w14:paraId="3C97DE4B" w14:textId="77777777" w:rsidR="00BA3E50" w:rsidRPr="004635E5" w:rsidRDefault="00BA3E50" w:rsidP="00E41116">
      <w:pPr>
        <w:pBdr>
          <w:top w:val="nil"/>
          <w:left w:val="nil"/>
          <w:bottom w:val="nil"/>
          <w:right w:val="nil"/>
          <w:between w:val="nil"/>
          <w:bar w:val="nil"/>
        </w:pBdr>
        <w:adjustRightInd w:val="0"/>
        <w:snapToGrid w:val="0"/>
        <w:rPr>
          <w:rFonts w:eastAsia="Arial Unicode MS"/>
          <w:b/>
          <w:bCs/>
          <w:color w:val="000000"/>
          <w:sz w:val="22"/>
          <w:szCs w:val="22"/>
          <w:u w:color="000000"/>
          <w:bdr w:val="nil"/>
        </w:rPr>
      </w:pPr>
      <w:r w:rsidRPr="004635E5">
        <w:rPr>
          <w:rFonts w:eastAsia="Arial Unicode MS"/>
          <w:b/>
          <w:bCs/>
          <w:color w:val="000000"/>
          <w:sz w:val="22"/>
          <w:szCs w:val="22"/>
          <w:u w:color="000000"/>
          <w:bdr w:val="nil"/>
        </w:rPr>
        <w:t>Do</w:t>
      </w:r>
      <w:r w:rsidRPr="004635E5">
        <w:rPr>
          <w:rFonts w:eastAsia="Arial Unicode MS"/>
          <w:b/>
          <w:bCs/>
          <w:color w:val="000000"/>
          <w:sz w:val="22"/>
          <w:szCs w:val="22"/>
          <w:u w:color="000000"/>
          <w:bdr w:val="nil"/>
          <w:lang w:val="fr-FR"/>
        </w:rPr>
        <w:t>’</w:t>
      </w:r>
      <w:r w:rsidRPr="004635E5">
        <w:rPr>
          <w:rFonts w:eastAsia="Arial Unicode MS"/>
          <w:b/>
          <w:bCs/>
          <w:color w:val="000000"/>
          <w:sz w:val="22"/>
          <w:szCs w:val="22"/>
          <w:u w:color="000000"/>
          <w:bdr w:val="nil"/>
        </w:rPr>
        <w:t xml:space="preserve">s (make sure that “do” graphics are clearly labelled as examples only): </w:t>
      </w:r>
    </w:p>
    <w:p w14:paraId="2937B3F2" w14:textId="77777777"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14:paraId="58FF1671" w14:textId="77777777" w:rsidR="00BA3E50" w:rsidRPr="004635E5" w:rsidRDefault="00BA3E50" w:rsidP="00580EA4">
      <w:pPr>
        <w:numPr>
          <w:ilvl w:val="0"/>
          <w:numId w:val="95"/>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The preference is to release all sharks while they are still in the water, if possible.  Use a dehooker to remove the hook or a long-handled line cutter to cut the gear as close to the hook as possible (ideally leaving less than 0.5 meters of line attached to the animal).</w:t>
      </w:r>
    </w:p>
    <w:p w14:paraId="4D0CCA7C" w14:textId="77777777" w:rsidR="00BA3E50" w:rsidRPr="004635E5" w:rsidRDefault="00BA3E50" w:rsidP="00580EA4">
      <w:pPr>
        <w:numPr>
          <w:ilvl w:val="0"/>
          <w:numId w:val="95"/>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If de-hooking in the water proves to be difficult, and the shark is small enough to be accommodated in a dip net, bring it on board and remove as much gear as possible by using a dehooker.  If hooks are embedded, either cut the hook with bolt cutters or cut the line at the hook and gently return the animal to the sea. </w:t>
      </w:r>
    </w:p>
    <w:p w14:paraId="7EC0E44A" w14:textId="77777777" w:rsidR="00BA3E50" w:rsidRPr="004635E5" w:rsidRDefault="00BA3E50" w:rsidP="00580EA4">
      <w:pPr>
        <w:numPr>
          <w:ilvl w:val="0"/>
          <w:numId w:val="95"/>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For all sharks that are brought on deck, minimize time before releasing to the water. </w:t>
      </w:r>
    </w:p>
    <w:p w14:paraId="4902E4A4" w14:textId="77777777"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14:paraId="0F0A47DD" w14:textId="77777777"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b/>
          <w:bCs/>
          <w:color w:val="000000"/>
          <w:sz w:val="22"/>
          <w:szCs w:val="22"/>
          <w:u w:color="000000"/>
          <w:bdr w:val="nil"/>
        </w:rPr>
        <w:t>Don</w:t>
      </w:r>
      <w:r w:rsidRPr="004635E5">
        <w:rPr>
          <w:rFonts w:eastAsia="Arial Unicode MS"/>
          <w:b/>
          <w:bCs/>
          <w:color w:val="000000"/>
          <w:sz w:val="22"/>
          <w:szCs w:val="22"/>
          <w:u w:color="000000"/>
          <w:bdr w:val="nil"/>
          <w:lang w:val="fr-FR"/>
        </w:rPr>
        <w:t>’</w:t>
      </w:r>
      <w:r w:rsidRPr="004635E5">
        <w:rPr>
          <w:rFonts w:eastAsia="Arial Unicode MS"/>
          <w:b/>
          <w:bCs/>
          <w:color w:val="000000"/>
          <w:sz w:val="22"/>
          <w:szCs w:val="22"/>
          <w:u w:color="000000"/>
          <w:bdr w:val="nil"/>
        </w:rPr>
        <w:t xml:space="preserve">ts (graphics are useful here): </w:t>
      </w:r>
      <w:r w:rsidRPr="004635E5">
        <w:rPr>
          <w:rFonts w:eastAsia="Arial Unicode MS"/>
          <w:color w:val="000000"/>
          <w:sz w:val="22"/>
          <w:szCs w:val="22"/>
          <w:u w:color="000000"/>
          <w:bdr w:val="nil"/>
        </w:rPr>
        <w:br/>
      </w:r>
    </w:p>
    <w:p w14:paraId="1873AC6C" w14:textId="77777777" w:rsidR="00BA3E50" w:rsidRPr="004635E5" w:rsidRDefault="00BA3E50" w:rsidP="00580EA4">
      <w:pPr>
        <w:numPr>
          <w:ilvl w:val="0"/>
          <w:numId w:val="97"/>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Do not strike a shark against any surface to remove the animal from the line. </w:t>
      </w:r>
    </w:p>
    <w:p w14:paraId="28AA7B7C" w14:textId="77777777" w:rsidR="00BA3E50" w:rsidRPr="004635E5" w:rsidRDefault="00BA3E50" w:rsidP="00580EA4">
      <w:pPr>
        <w:numPr>
          <w:ilvl w:val="0"/>
          <w:numId w:val="97"/>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Do not attempt to dislodge a hook that is deeply ingested and not visible. </w:t>
      </w:r>
    </w:p>
    <w:p w14:paraId="2F500C21" w14:textId="77777777" w:rsidR="00BA3E50" w:rsidRPr="004635E5" w:rsidRDefault="00BA3E50" w:rsidP="00580EA4">
      <w:pPr>
        <w:numPr>
          <w:ilvl w:val="0"/>
          <w:numId w:val="97"/>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Do not try to remove a hook by pulling sharply on the branchline. </w:t>
      </w:r>
    </w:p>
    <w:p w14:paraId="2CEE1DCA" w14:textId="77777777" w:rsidR="00BA3E50" w:rsidRPr="004635E5" w:rsidRDefault="00BA3E50" w:rsidP="00580EA4">
      <w:pPr>
        <w:numPr>
          <w:ilvl w:val="0"/>
          <w:numId w:val="97"/>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Do not cut the tail or any other body part. </w:t>
      </w:r>
    </w:p>
    <w:p w14:paraId="45F99304" w14:textId="77777777" w:rsidR="00BA3E50" w:rsidRPr="004635E5" w:rsidRDefault="00BA3E50" w:rsidP="00580EA4">
      <w:pPr>
        <w:numPr>
          <w:ilvl w:val="0"/>
          <w:numId w:val="97"/>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Do not gaff or </w:t>
      </w:r>
      <w:r w:rsidRPr="004635E5">
        <w:rPr>
          <w:rFonts w:eastAsia="Arial Unicode MS"/>
          <w:strike/>
          <w:color w:val="000000"/>
          <w:sz w:val="22"/>
          <w:szCs w:val="22"/>
          <w:u w:color="000000"/>
          <w:bdr w:val="nil"/>
        </w:rPr>
        <w:t>drag,</w:t>
      </w:r>
      <w:r w:rsidRPr="004635E5">
        <w:rPr>
          <w:rFonts w:eastAsia="Arial Unicode MS"/>
          <w:color w:val="000000"/>
          <w:sz w:val="22"/>
          <w:szCs w:val="22"/>
          <w:u w:color="000000"/>
          <w:bdr w:val="nil"/>
        </w:rPr>
        <w:t xml:space="preserve"> kick </w:t>
      </w:r>
      <w:r w:rsidRPr="004635E5">
        <w:rPr>
          <w:rFonts w:eastAsia="Arial Unicode MS"/>
          <w:strike/>
          <w:color w:val="000000"/>
          <w:sz w:val="22"/>
          <w:szCs w:val="22"/>
          <w:u w:color="000000"/>
          <w:bdr w:val="nil"/>
        </w:rPr>
        <w:t>or pull</w:t>
      </w:r>
      <w:r w:rsidRPr="004635E5">
        <w:rPr>
          <w:rFonts w:eastAsia="Arial Unicode MS"/>
          <w:color w:val="000000"/>
          <w:sz w:val="22"/>
          <w:szCs w:val="22"/>
          <w:u w:color="000000"/>
          <w:bdr w:val="nil"/>
        </w:rPr>
        <w:t xml:space="preserve"> a shark, and do not insert hands into the gill slits.</w:t>
      </w:r>
      <w:r w:rsidRPr="004635E5">
        <w:rPr>
          <w:rFonts w:eastAsia="Arial Unicode MS"/>
          <w:color w:val="000000"/>
          <w:sz w:val="22"/>
          <w:szCs w:val="22"/>
          <w:u w:color="000000"/>
          <w:bdr w:val="nil"/>
        </w:rPr>
        <w:br/>
      </w:r>
    </w:p>
    <w:p w14:paraId="1289E8FB" w14:textId="77777777"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14:paraId="4FBBA792" w14:textId="77777777" w:rsidR="00CB6C95" w:rsidRDefault="00BA3E50" w:rsidP="00E41116">
      <w:pPr>
        <w:autoSpaceDE w:val="0"/>
        <w:autoSpaceDN w:val="0"/>
        <w:adjustRightInd w:val="0"/>
        <w:snapToGrid w:val="0"/>
        <w:jc w:val="both"/>
        <w:rPr>
          <w:rFonts w:eastAsia="Arial Unicode MS"/>
          <w:sz w:val="22"/>
          <w:szCs w:val="22"/>
          <w:bdr w:val="nil"/>
        </w:rPr>
      </w:pPr>
      <w:r w:rsidRPr="004635E5">
        <w:rPr>
          <w:rFonts w:eastAsia="Arial Unicode MS"/>
          <w:sz w:val="22"/>
          <w:szCs w:val="22"/>
          <w:bdr w:val="nil"/>
        </w:rPr>
        <w:t>Additional</w:t>
      </w:r>
      <w:r w:rsidR="00CB6C95">
        <w:rPr>
          <w:rFonts w:eastAsia="Arial Unicode MS"/>
          <w:sz w:val="22"/>
          <w:szCs w:val="22"/>
          <w:bdr w:val="nil"/>
        </w:rPr>
        <w:t xml:space="preserve"> </w:t>
      </w:r>
      <w:r w:rsidRPr="004635E5">
        <w:rPr>
          <w:rFonts w:eastAsia="Arial Unicode MS"/>
          <w:sz w:val="22"/>
          <w:szCs w:val="22"/>
          <w:bdr w:val="nil"/>
        </w:rPr>
        <w:t xml:space="preserve">recommendation: </w:t>
      </w:r>
    </w:p>
    <w:p w14:paraId="6D186354" w14:textId="77777777" w:rsidR="00CB6C95" w:rsidRDefault="00BA3E50" w:rsidP="00E41116">
      <w:pPr>
        <w:autoSpaceDE w:val="0"/>
        <w:autoSpaceDN w:val="0"/>
        <w:adjustRightInd w:val="0"/>
        <w:snapToGrid w:val="0"/>
        <w:jc w:val="both"/>
        <w:rPr>
          <w:rFonts w:eastAsia="Arial Unicode MS"/>
          <w:sz w:val="22"/>
          <w:szCs w:val="22"/>
          <w:bdr w:val="nil"/>
        </w:rPr>
      </w:pPr>
      <w:r w:rsidRPr="004635E5">
        <w:rPr>
          <w:rFonts w:eastAsia="Arial Unicode MS"/>
          <w:sz w:val="22"/>
          <w:szCs w:val="22"/>
          <w:bdr w:val="nil"/>
        </w:rPr>
        <w:br/>
        <w:t xml:space="preserve">Knowing that any fishing operation may catch sharks, several tools can be prepared in advance (e.g. canvas or net slings or stretchers for carrying or lifting, large mesh net or grid to cover hatches/hoppers in purse seine fisheries, long handled cutters and de-hookers in longline fisheries). </w:t>
      </w:r>
    </w:p>
    <w:p w14:paraId="5BA77ECE" w14:textId="77777777" w:rsidR="00D41635" w:rsidRPr="004635E5" w:rsidRDefault="00BA3E50" w:rsidP="00E41116">
      <w:pPr>
        <w:autoSpaceDE w:val="0"/>
        <w:autoSpaceDN w:val="0"/>
        <w:adjustRightInd w:val="0"/>
        <w:snapToGrid w:val="0"/>
        <w:jc w:val="both"/>
        <w:rPr>
          <w:sz w:val="22"/>
          <w:szCs w:val="22"/>
          <w:lang w:val="en-NZ"/>
        </w:rPr>
      </w:pPr>
      <w:r w:rsidRPr="004635E5">
        <w:rPr>
          <w:rFonts w:eastAsia="Arial Unicode MS"/>
          <w:sz w:val="22"/>
          <w:szCs w:val="22"/>
          <w:bdr w:val="nil"/>
        </w:rPr>
        <w:br/>
      </w:r>
    </w:p>
    <w:p w14:paraId="43B89740" w14:textId="77777777" w:rsidR="00D41635" w:rsidRPr="004635E5" w:rsidRDefault="00D41635" w:rsidP="00E41116">
      <w:pPr>
        <w:autoSpaceDE w:val="0"/>
        <w:autoSpaceDN w:val="0"/>
        <w:adjustRightInd w:val="0"/>
        <w:snapToGrid w:val="0"/>
        <w:jc w:val="both"/>
        <w:rPr>
          <w:sz w:val="22"/>
          <w:szCs w:val="22"/>
          <w:lang w:val="en-NZ"/>
        </w:rPr>
      </w:pPr>
    </w:p>
    <w:p w14:paraId="1B8F5A1A" w14:textId="77777777" w:rsidR="00D41635" w:rsidRPr="004635E5" w:rsidRDefault="00D41635" w:rsidP="00E41116">
      <w:pPr>
        <w:autoSpaceDE w:val="0"/>
        <w:autoSpaceDN w:val="0"/>
        <w:adjustRightInd w:val="0"/>
        <w:snapToGrid w:val="0"/>
        <w:jc w:val="both"/>
        <w:rPr>
          <w:sz w:val="22"/>
          <w:szCs w:val="22"/>
          <w:lang w:val="en-NZ"/>
        </w:rPr>
      </w:pPr>
    </w:p>
    <w:p w14:paraId="658067D7" w14:textId="77777777" w:rsidR="00D41635" w:rsidRPr="004635E5" w:rsidRDefault="00D41635" w:rsidP="00E41116">
      <w:pPr>
        <w:autoSpaceDE w:val="0"/>
        <w:autoSpaceDN w:val="0"/>
        <w:adjustRightInd w:val="0"/>
        <w:snapToGrid w:val="0"/>
        <w:jc w:val="both"/>
        <w:rPr>
          <w:sz w:val="22"/>
          <w:szCs w:val="22"/>
          <w:lang w:val="en-NZ"/>
        </w:rPr>
      </w:pPr>
    </w:p>
    <w:p w14:paraId="0A1C9F7D" w14:textId="77777777" w:rsidR="00D41635" w:rsidRPr="004635E5" w:rsidRDefault="00D41635" w:rsidP="00E41116">
      <w:pPr>
        <w:autoSpaceDE w:val="0"/>
        <w:autoSpaceDN w:val="0"/>
        <w:adjustRightInd w:val="0"/>
        <w:snapToGrid w:val="0"/>
        <w:jc w:val="both"/>
        <w:rPr>
          <w:sz w:val="22"/>
          <w:szCs w:val="22"/>
          <w:lang w:val="en-NZ"/>
        </w:rPr>
      </w:pPr>
    </w:p>
    <w:p w14:paraId="071F45F8" w14:textId="77777777" w:rsidR="00D41635" w:rsidRPr="004635E5" w:rsidRDefault="00D41635" w:rsidP="00E41116">
      <w:pPr>
        <w:autoSpaceDE w:val="0"/>
        <w:autoSpaceDN w:val="0"/>
        <w:adjustRightInd w:val="0"/>
        <w:snapToGrid w:val="0"/>
        <w:jc w:val="both"/>
        <w:rPr>
          <w:sz w:val="22"/>
          <w:szCs w:val="22"/>
          <w:lang w:val="en-NZ"/>
        </w:rPr>
        <w:sectPr w:rsidR="00D41635" w:rsidRPr="004635E5" w:rsidSect="00436E03">
          <w:headerReference w:type="default" r:id="rId145"/>
          <w:footerReference w:type="default" r:id="rId146"/>
          <w:pgSz w:w="12240" w:h="15840" w:code="1"/>
          <w:pgMar w:top="1440" w:right="1440" w:bottom="1440" w:left="1440" w:header="720" w:footer="720" w:gutter="0"/>
          <w:cols w:space="720"/>
          <w:docGrid w:linePitch="360"/>
        </w:sectPr>
      </w:pPr>
    </w:p>
    <w:p w14:paraId="55CC007A" w14:textId="77777777" w:rsidR="00BA3E50" w:rsidRPr="004635E5" w:rsidRDefault="00BA3E50" w:rsidP="00E41116">
      <w:pPr>
        <w:adjustRightInd w:val="0"/>
        <w:snapToGrid w:val="0"/>
        <w:jc w:val="right"/>
        <w:rPr>
          <w:b/>
          <w:bCs/>
          <w:sz w:val="22"/>
          <w:szCs w:val="22"/>
          <w:lang w:val="en-AU" w:eastAsia="en-NZ"/>
        </w:rPr>
      </w:pPr>
      <w:r w:rsidRPr="004635E5">
        <w:rPr>
          <w:b/>
          <w:bCs/>
          <w:sz w:val="22"/>
          <w:szCs w:val="22"/>
          <w:lang w:val="en-AU" w:eastAsia="en-NZ"/>
        </w:rPr>
        <w:tab/>
      </w:r>
      <w:r w:rsidRPr="004635E5">
        <w:rPr>
          <w:b/>
          <w:bCs/>
          <w:sz w:val="22"/>
          <w:szCs w:val="22"/>
          <w:lang w:val="en-AU" w:eastAsia="en-NZ"/>
        </w:rPr>
        <w:tab/>
      </w:r>
      <w:r w:rsidRPr="004635E5">
        <w:rPr>
          <w:b/>
          <w:bCs/>
          <w:sz w:val="22"/>
          <w:szCs w:val="22"/>
          <w:lang w:val="en-AU" w:eastAsia="en-NZ"/>
        </w:rPr>
        <w:tab/>
        <w:t>Attachment H</w:t>
      </w:r>
    </w:p>
    <w:p w14:paraId="0E3B29CE" w14:textId="77777777" w:rsidR="00BA3E50" w:rsidRPr="004635E5" w:rsidRDefault="00BA3E50" w:rsidP="00E41116">
      <w:pPr>
        <w:adjustRightInd w:val="0"/>
        <w:snapToGrid w:val="0"/>
        <w:jc w:val="center"/>
        <w:rPr>
          <w:b/>
          <w:bCs/>
          <w:sz w:val="22"/>
          <w:szCs w:val="22"/>
          <w:lang w:val="en-AU" w:eastAsia="en-NZ"/>
        </w:rPr>
      </w:pPr>
    </w:p>
    <w:p w14:paraId="0EBF8361" w14:textId="77777777" w:rsidR="00D41635" w:rsidRPr="004635E5" w:rsidRDefault="00D41635" w:rsidP="00E41116">
      <w:pPr>
        <w:adjustRightInd w:val="0"/>
        <w:snapToGrid w:val="0"/>
        <w:jc w:val="center"/>
        <w:rPr>
          <w:b/>
          <w:bCs/>
          <w:sz w:val="22"/>
          <w:szCs w:val="22"/>
          <w:lang w:val="en-AU" w:eastAsia="en-NZ"/>
        </w:rPr>
      </w:pPr>
      <w:r w:rsidRPr="004635E5">
        <w:rPr>
          <w:b/>
          <w:bCs/>
          <w:sz w:val="22"/>
          <w:szCs w:val="22"/>
          <w:lang w:val="en-AU" w:eastAsia="en-NZ"/>
        </w:rPr>
        <w:t xml:space="preserve">The Commission for the Conservation and Management of </w:t>
      </w:r>
      <w:r w:rsidRPr="004635E5">
        <w:rPr>
          <w:b/>
          <w:bCs/>
          <w:sz w:val="22"/>
          <w:szCs w:val="22"/>
          <w:lang w:val="en-AU" w:eastAsia="en-NZ"/>
        </w:rPr>
        <w:br/>
        <w:t>Highly Migratory Fish Stocks in the Western and Central Pacific Ocean</w:t>
      </w:r>
    </w:p>
    <w:p w14:paraId="641FD4E9" w14:textId="77777777" w:rsidR="00D41635" w:rsidRPr="004635E5" w:rsidRDefault="00D41635"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 xml:space="preserve">Scientific Committee </w:t>
      </w:r>
    </w:p>
    <w:p w14:paraId="3437E316" w14:textId="77777777" w:rsidR="00D41635" w:rsidRPr="004635E5" w:rsidRDefault="00D41635"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Fourteenth Regular Session</w:t>
      </w:r>
    </w:p>
    <w:p w14:paraId="5F0F80CE" w14:textId="77777777" w:rsidR="00D41635" w:rsidRPr="004635E5" w:rsidRDefault="00D41635" w:rsidP="00E41116">
      <w:pPr>
        <w:adjustRightInd w:val="0"/>
        <w:snapToGrid w:val="0"/>
        <w:jc w:val="center"/>
        <w:rPr>
          <w:bCs/>
          <w:sz w:val="22"/>
          <w:szCs w:val="22"/>
        </w:rPr>
      </w:pPr>
      <w:r w:rsidRPr="004635E5">
        <w:rPr>
          <w:rFonts w:eastAsiaTheme="minorEastAsia"/>
          <w:bCs/>
          <w:sz w:val="22"/>
          <w:szCs w:val="22"/>
          <w:lang w:eastAsia="ko-KR"/>
        </w:rPr>
        <w:t>Busan, Republic of Korea</w:t>
      </w:r>
    </w:p>
    <w:p w14:paraId="70CD596A" w14:textId="77777777" w:rsidR="00D41635" w:rsidRPr="004635E5" w:rsidRDefault="00D41635" w:rsidP="00E41116">
      <w:pPr>
        <w:adjustRightInd w:val="0"/>
        <w:snapToGrid w:val="0"/>
        <w:jc w:val="center"/>
        <w:rPr>
          <w:rFonts w:eastAsiaTheme="minorEastAsia"/>
          <w:bCs/>
          <w:sz w:val="22"/>
          <w:szCs w:val="22"/>
          <w:lang w:eastAsia="ko-KR"/>
        </w:rPr>
      </w:pPr>
      <w:r w:rsidRPr="004635E5">
        <w:rPr>
          <w:rFonts w:eastAsiaTheme="minorEastAsia"/>
          <w:bCs/>
          <w:sz w:val="22"/>
          <w:szCs w:val="22"/>
          <w:lang w:eastAsia="ko-KR"/>
        </w:rPr>
        <w:t>8–16</w:t>
      </w:r>
      <w:r w:rsidRPr="004635E5">
        <w:rPr>
          <w:bCs/>
          <w:sz w:val="22"/>
          <w:szCs w:val="22"/>
        </w:rPr>
        <w:t xml:space="preserve"> August 201</w:t>
      </w:r>
      <w:r w:rsidRPr="004635E5">
        <w:rPr>
          <w:rFonts w:eastAsiaTheme="minorEastAsia"/>
          <w:bCs/>
          <w:sz w:val="22"/>
          <w:szCs w:val="22"/>
          <w:lang w:eastAsia="ko-KR"/>
        </w:rPr>
        <w:t>8</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242"/>
      </w:tblGrid>
      <w:tr w:rsidR="00D41635" w:rsidRPr="004635E5" w14:paraId="52138800" w14:textId="77777777" w:rsidTr="00AE506E">
        <w:tc>
          <w:tcPr>
            <w:tcW w:w="9242" w:type="dxa"/>
            <w:tcBorders>
              <w:top w:val="single" w:sz="12" w:space="0" w:color="auto"/>
              <w:left w:val="nil"/>
              <w:bottom w:val="single" w:sz="12" w:space="0" w:color="auto"/>
              <w:right w:val="nil"/>
            </w:tcBorders>
            <w:hideMark/>
          </w:tcPr>
          <w:p w14:paraId="10EC3E02" w14:textId="77777777" w:rsidR="00D41635" w:rsidRPr="004635E5" w:rsidRDefault="00EE2E72" w:rsidP="00E41116">
            <w:pPr>
              <w:autoSpaceDE w:val="0"/>
              <w:autoSpaceDN w:val="0"/>
              <w:adjustRightInd w:val="0"/>
              <w:snapToGrid w:val="0"/>
              <w:jc w:val="center"/>
              <w:rPr>
                <w:b/>
                <w:sz w:val="22"/>
                <w:szCs w:val="22"/>
                <w:lang w:val="en-AU"/>
              </w:rPr>
            </w:pPr>
            <w:r w:rsidRPr="004635E5">
              <w:rPr>
                <w:b/>
                <w:sz w:val="22"/>
                <w:szCs w:val="22"/>
                <w:lang w:val="en-NZ"/>
              </w:rPr>
              <w:t>SHARK RESEARCH PLAN</w:t>
            </w:r>
            <w:r w:rsidR="00472973" w:rsidRPr="004635E5">
              <w:rPr>
                <w:b/>
                <w:sz w:val="22"/>
                <w:szCs w:val="22"/>
                <w:lang w:val="en-NZ"/>
              </w:rPr>
              <w:fldChar w:fldCharType="begin"/>
            </w:r>
            <w:r w:rsidRPr="004635E5">
              <w:rPr>
                <w:sz w:val="22"/>
                <w:szCs w:val="22"/>
              </w:rPr>
              <w:instrText xml:space="preserve"> TC "</w:instrText>
            </w:r>
            <w:bookmarkStart w:id="149" w:name="_Toc16418037"/>
            <w:r w:rsidRPr="004635E5">
              <w:rPr>
                <w:sz w:val="22"/>
                <w:szCs w:val="22"/>
                <w:lang w:val="en-NZ"/>
              </w:rPr>
              <w:instrText>ATTACHMENT H — SHARK RESEARCH PLAN</w:instrText>
            </w:r>
            <w:bookmarkEnd w:id="149"/>
            <w:r w:rsidRPr="004635E5">
              <w:rPr>
                <w:sz w:val="22"/>
                <w:szCs w:val="22"/>
              </w:rPr>
              <w:instrText xml:space="preserve">" \f C \l "1" </w:instrText>
            </w:r>
            <w:r w:rsidR="00472973" w:rsidRPr="004635E5">
              <w:rPr>
                <w:b/>
                <w:sz w:val="22"/>
                <w:szCs w:val="22"/>
                <w:lang w:val="en-NZ"/>
              </w:rPr>
              <w:fldChar w:fldCharType="end"/>
            </w:r>
          </w:p>
        </w:tc>
      </w:tr>
    </w:tbl>
    <w:p w14:paraId="52554775" w14:textId="77777777" w:rsidR="00D41635" w:rsidRPr="004635E5" w:rsidRDefault="00D41635" w:rsidP="00E41116">
      <w:pPr>
        <w:autoSpaceDE w:val="0"/>
        <w:autoSpaceDN w:val="0"/>
        <w:adjustRightInd w:val="0"/>
        <w:snapToGrid w:val="0"/>
        <w:jc w:val="both"/>
        <w:rPr>
          <w:sz w:val="22"/>
          <w:szCs w:val="22"/>
          <w:lang w:val="en-NZ"/>
        </w:rPr>
      </w:pPr>
    </w:p>
    <w:p w14:paraId="2CA33D14" w14:textId="77777777" w:rsidR="00D41635" w:rsidRPr="004635E5" w:rsidRDefault="00D41635" w:rsidP="00E41116">
      <w:pPr>
        <w:autoSpaceDE w:val="0"/>
        <w:autoSpaceDN w:val="0"/>
        <w:adjustRightInd w:val="0"/>
        <w:snapToGrid w:val="0"/>
        <w:jc w:val="both"/>
        <w:rPr>
          <w:sz w:val="22"/>
          <w:szCs w:val="22"/>
          <w:lang w:val="en-NZ"/>
        </w:rPr>
      </w:pPr>
    </w:p>
    <w:p w14:paraId="0D6AFF7C" w14:textId="77777777" w:rsidR="00BA3E50" w:rsidRPr="004635E5" w:rsidRDefault="00BA3E50" w:rsidP="00E41116">
      <w:pPr>
        <w:adjustRightInd w:val="0"/>
        <w:snapToGrid w:val="0"/>
        <w:jc w:val="center"/>
        <w:rPr>
          <w:rFonts w:eastAsia="Malgun Gothic"/>
          <w:b/>
          <w:sz w:val="22"/>
          <w:szCs w:val="22"/>
          <w:lang w:val="en-NZ" w:eastAsia="ko-KR"/>
        </w:rPr>
      </w:pPr>
    </w:p>
    <w:p w14:paraId="5CD7FC01" w14:textId="77777777" w:rsidR="00BA3E50" w:rsidRPr="004635E5" w:rsidRDefault="00BA3E50" w:rsidP="00E41116">
      <w:pPr>
        <w:adjustRightInd w:val="0"/>
        <w:snapToGrid w:val="0"/>
        <w:jc w:val="center"/>
        <w:rPr>
          <w:rFonts w:eastAsia="Malgun Gothic"/>
          <w:b/>
          <w:sz w:val="22"/>
          <w:szCs w:val="22"/>
          <w:lang w:val="en-NZ" w:eastAsia="ko-KR"/>
        </w:rPr>
      </w:pPr>
      <w:r w:rsidRPr="004635E5">
        <w:rPr>
          <w:rFonts w:eastAsia="Malgun Gothic"/>
          <w:b/>
          <w:sz w:val="22"/>
          <w:szCs w:val="22"/>
          <w:lang w:val="en-NZ" w:eastAsia="ko-KR"/>
        </w:rPr>
        <w:t xml:space="preserve">SC14 – ISG7 – Review of the Shark Research Plan </w:t>
      </w:r>
    </w:p>
    <w:p w14:paraId="64EBA8E6" w14:textId="77777777" w:rsidR="00BA3E50" w:rsidRPr="004635E5" w:rsidRDefault="00BA3E50" w:rsidP="00E41116">
      <w:pPr>
        <w:adjustRightInd w:val="0"/>
        <w:snapToGrid w:val="0"/>
        <w:jc w:val="both"/>
        <w:rPr>
          <w:rFonts w:eastAsia="Malgun Gothic"/>
          <w:b/>
          <w:sz w:val="22"/>
          <w:szCs w:val="22"/>
          <w:lang w:val="en-NZ" w:eastAsia="ko-KR"/>
        </w:rPr>
      </w:pPr>
    </w:p>
    <w:p w14:paraId="3FBB6708" w14:textId="77777777" w:rsidR="00BA3E50" w:rsidRPr="004635E5" w:rsidRDefault="00BA3E50" w:rsidP="00E41116">
      <w:pPr>
        <w:adjustRightInd w:val="0"/>
        <w:snapToGrid w:val="0"/>
        <w:jc w:val="both"/>
        <w:rPr>
          <w:rFonts w:eastAsia="SimSun"/>
          <w:sz w:val="22"/>
          <w:szCs w:val="22"/>
          <w:lang w:val="en-NZ" w:eastAsia="ja-JP"/>
        </w:rPr>
      </w:pPr>
      <w:r w:rsidRPr="004635E5">
        <w:rPr>
          <w:rFonts w:eastAsia="SimSun"/>
          <w:sz w:val="22"/>
          <w:szCs w:val="22"/>
          <w:lang w:val="en-NZ" w:eastAsia="ja-JP"/>
        </w:rPr>
        <w:t xml:space="preserve">ISG7 reviewed progress under the </w:t>
      </w:r>
      <w:r w:rsidRPr="004635E5">
        <w:rPr>
          <w:rFonts w:eastAsia="Malgun Gothic"/>
          <w:sz w:val="22"/>
          <w:szCs w:val="22"/>
          <w:lang w:val="en-NZ" w:eastAsia="ko-KR"/>
        </w:rPr>
        <w:t xml:space="preserve">Shark Research Plan and recommended </w:t>
      </w:r>
      <w:r w:rsidRPr="004635E5">
        <w:rPr>
          <w:rFonts w:eastAsia="SimSun"/>
          <w:sz w:val="22"/>
          <w:szCs w:val="22"/>
          <w:lang w:val="en-NZ" w:eastAsia="ja-JP"/>
        </w:rPr>
        <w:t xml:space="preserve">changes and updates that are reflected in Table 1 below. </w:t>
      </w:r>
    </w:p>
    <w:p w14:paraId="136C71D4" w14:textId="77777777" w:rsidR="00BA3E50" w:rsidRPr="004635E5" w:rsidRDefault="00BA3E50" w:rsidP="00E41116">
      <w:pPr>
        <w:adjustRightInd w:val="0"/>
        <w:snapToGrid w:val="0"/>
        <w:jc w:val="both"/>
        <w:rPr>
          <w:rFonts w:eastAsia="SimSun"/>
          <w:sz w:val="22"/>
          <w:szCs w:val="22"/>
          <w:lang w:val="en-NZ" w:eastAsia="ja-JP"/>
        </w:rPr>
      </w:pPr>
    </w:p>
    <w:p w14:paraId="42579647" w14:textId="77777777" w:rsidR="00BA3E50" w:rsidRPr="004635E5" w:rsidRDefault="00BA3E50" w:rsidP="00E41116">
      <w:pPr>
        <w:adjustRightInd w:val="0"/>
        <w:snapToGrid w:val="0"/>
        <w:jc w:val="both"/>
        <w:rPr>
          <w:rFonts w:eastAsia="Malgun Gothic"/>
          <w:sz w:val="22"/>
          <w:szCs w:val="22"/>
          <w:lang w:val="en-NZ" w:eastAsia="ko-KR"/>
        </w:rPr>
      </w:pPr>
      <w:r w:rsidRPr="004635E5">
        <w:rPr>
          <w:rFonts w:eastAsia="SimSun"/>
          <w:sz w:val="22"/>
          <w:szCs w:val="22"/>
          <w:lang w:val="en-NZ" w:eastAsia="ja-JP"/>
        </w:rPr>
        <w:t xml:space="preserve">ISG-7 considered the range of potential projects under the Shark Research Plan contained in SC14-EB-WP-04.  ISG-7 also considered the final report of Project 78 on data available for sharks which included potential assessment approaches supported by these data SC14-EB-WP-02. In the light of this, ISG-7 developed an additional project proposal entitled </w:t>
      </w:r>
      <w:r w:rsidRPr="004635E5">
        <w:rPr>
          <w:rFonts w:eastAsia="SimSun"/>
          <w:i/>
          <w:sz w:val="22"/>
          <w:szCs w:val="22"/>
          <w:lang w:val="en-NZ" w:eastAsia="ja-JP"/>
        </w:rPr>
        <w:t>Testing the performance of alternative stock assessments approaches for oceanic whitetip shark</w:t>
      </w:r>
      <w:r w:rsidRPr="004635E5">
        <w:rPr>
          <w:rFonts w:eastAsia="SimSun"/>
          <w:sz w:val="22"/>
          <w:szCs w:val="22"/>
          <w:lang w:val="en-NZ" w:eastAsia="ja-JP"/>
        </w:rPr>
        <w:t xml:space="preserve"> (SRP Sheet 9, attached below) and gave this new project the highest priority for completion in 2018/19.   </w:t>
      </w:r>
    </w:p>
    <w:p w14:paraId="352CE77A" w14:textId="77777777" w:rsidR="00BA3E50" w:rsidRPr="004635E5" w:rsidRDefault="00BA3E50" w:rsidP="00E41116">
      <w:pPr>
        <w:adjustRightInd w:val="0"/>
        <w:snapToGrid w:val="0"/>
        <w:jc w:val="both"/>
        <w:rPr>
          <w:rFonts w:eastAsia="Malgun Gothic"/>
          <w:sz w:val="22"/>
          <w:szCs w:val="22"/>
          <w:lang w:val="en-NZ" w:eastAsia="ko-KR"/>
        </w:rPr>
      </w:pPr>
    </w:p>
    <w:p w14:paraId="16B90A51" w14:textId="77777777" w:rsidR="00BA3E50" w:rsidRPr="004635E5" w:rsidRDefault="00BA3E50" w:rsidP="00E41116">
      <w:pPr>
        <w:adjustRightInd w:val="0"/>
        <w:snapToGrid w:val="0"/>
        <w:jc w:val="both"/>
        <w:rPr>
          <w:rFonts w:eastAsia="Malgun Gothic"/>
          <w:b/>
          <w:sz w:val="22"/>
          <w:szCs w:val="22"/>
          <w:lang w:val="en-NZ" w:eastAsia="ko-KR"/>
        </w:rPr>
        <w:sectPr w:rsidR="00BA3E50" w:rsidRPr="004635E5" w:rsidSect="00436E03">
          <w:pgSz w:w="12240" w:h="15840" w:code="1"/>
          <w:pgMar w:top="1440" w:right="1440" w:bottom="1440" w:left="1440" w:header="706" w:footer="706" w:gutter="0"/>
          <w:cols w:space="708"/>
          <w:docGrid w:linePitch="360"/>
        </w:sectPr>
      </w:pPr>
    </w:p>
    <w:p w14:paraId="53CD747B" w14:textId="77777777" w:rsidR="00BA3E50" w:rsidRPr="006E7655" w:rsidRDefault="00BA3E50" w:rsidP="006E7655">
      <w:pPr>
        <w:adjustRightInd w:val="0"/>
        <w:snapToGrid w:val="0"/>
        <w:jc w:val="both"/>
        <w:rPr>
          <w:rFonts w:eastAsia="Malgun Gothic"/>
          <w:bCs/>
          <w:sz w:val="22"/>
          <w:szCs w:val="22"/>
          <w:lang w:val="en-NZ" w:eastAsia="ko-KR"/>
        </w:rPr>
      </w:pPr>
      <w:r w:rsidRPr="004635E5">
        <w:rPr>
          <w:rFonts w:eastAsia="SimSun"/>
          <w:b/>
          <w:sz w:val="22"/>
          <w:szCs w:val="22"/>
          <w:lang w:val="en-NZ"/>
        </w:rPr>
        <w:t>Table 1</w:t>
      </w:r>
      <w:r w:rsidRPr="004635E5">
        <w:rPr>
          <w:rFonts w:eastAsia="Malgun Gothic"/>
          <w:b/>
          <w:sz w:val="22"/>
          <w:szCs w:val="22"/>
          <w:lang w:val="en-NZ" w:eastAsia="ko-KR"/>
        </w:rPr>
        <w:t>.</w:t>
      </w:r>
      <w:r w:rsidRPr="004635E5">
        <w:rPr>
          <w:rFonts w:eastAsia="SimSun"/>
          <w:b/>
          <w:sz w:val="22"/>
          <w:szCs w:val="22"/>
          <w:lang w:val="en-NZ"/>
        </w:rPr>
        <w:t xml:space="preserve"> </w:t>
      </w:r>
      <w:r w:rsidRPr="006E7655">
        <w:rPr>
          <w:rFonts w:eastAsia="SimSun"/>
          <w:bCs/>
          <w:sz w:val="22"/>
          <w:szCs w:val="22"/>
          <w:lang w:val="en-NZ"/>
        </w:rPr>
        <w:t>ISG7 S</w:t>
      </w:r>
      <w:r w:rsidRPr="006E7655">
        <w:rPr>
          <w:rFonts w:eastAsia="Malgun Gothic"/>
          <w:bCs/>
          <w:sz w:val="22"/>
          <w:szCs w:val="22"/>
          <w:lang w:val="en-NZ" w:eastAsia="ko-KR"/>
        </w:rPr>
        <w:t>chedule of analyses under the WCPFC Shark Research Plan. New proposed project outlines for 2019 are identified with # and the project details are provided in SC14-EB-WP-04 except for project #9 which is attached below.</w:t>
      </w:r>
      <w:r w:rsidRPr="006E7655">
        <w:rPr>
          <w:rFonts w:eastAsia="SimSun"/>
          <w:bCs/>
          <w:sz w:val="22"/>
          <w:szCs w:val="22"/>
          <w:lang w:val="en-NZ"/>
        </w:rPr>
        <w:t xml:space="preserve"> For 2018, work submitted to SC14 with reports or project updates are indicated in </w:t>
      </w:r>
      <w:r w:rsidRPr="006E7655">
        <w:rPr>
          <w:rFonts w:eastAsia="SimSun"/>
          <w:bCs/>
          <w:color w:val="FF0000"/>
          <w:sz w:val="22"/>
          <w:szCs w:val="22"/>
          <w:lang w:val="en-NZ"/>
        </w:rPr>
        <w:t xml:space="preserve">red </w:t>
      </w:r>
      <w:r w:rsidRPr="006E7655">
        <w:rPr>
          <w:rFonts w:eastAsia="SimSun"/>
          <w:bCs/>
          <w:sz w:val="22"/>
          <w:szCs w:val="22"/>
          <w:lang w:val="en-NZ"/>
        </w:rPr>
        <w:t xml:space="preserve">with the corresponding SC14 paper number for ease of reference.  </w:t>
      </w:r>
    </w:p>
    <w:tbl>
      <w:tblPr>
        <w:tblW w:w="5000" w:type="pct"/>
        <w:tblLook w:val="04A0" w:firstRow="1" w:lastRow="0" w:firstColumn="1" w:lastColumn="0" w:noHBand="0" w:noVBand="1"/>
      </w:tblPr>
      <w:tblGrid>
        <w:gridCol w:w="1410"/>
        <w:gridCol w:w="1106"/>
        <w:gridCol w:w="1066"/>
        <w:gridCol w:w="1596"/>
        <w:gridCol w:w="1329"/>
        <w:gridCol w:w="1066"/>
        <w:gridCol w:w="1066"/>
        <w:gridCol w:w="1146"/>
        <w:gridCol w:w="827"/>
        <w:gridCol w:w="1467"/>
        <w:gridCol w:w="2277"/>
      </w:tblGrid>
      <w:tr w:rsidR="00BA3E50" w:rsidRPr="00DA3B20" w14:paraId="23131857" w14:textId="77777777" w:rsidTr="00365FA5">
        <w:trPr>
          <w:tblHeader/>
        </w:trPr>
        <w:tc>
          <w:tcPr>
            <w:tcW w:w="49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0BFA6F39" w14:textId="77777777"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Species</w:t>
            </w:r>
          </w:p>
        </w:tc>
        <w:tc>
          <w:tcPr>
            <w:tcW w:w="385" w:type="pct"/>
            <w:tcBorders>
              <w:top w:val="single" w:sz="4" w:space="0" w:color="auto"/>
              <w:left w:val="nil"/>
              <w:bottom w:val="single" w:sz="4" w:space="0" w:color="auto"/>
              <w:right w:val="single" w:sz="4" w:space="0" w:color="auto"/>
            </w:tcBorders>
            <w:shd w:val="clear" w:color="000000" w:fill="BFBFBF"/>
            <w:vAlign w:val="center"/>
            <w:hideMark/>
          </w:tcPr>
          <w:p w14:paraId="21899DB3" w14:textId="77777777"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Region</w:t>
            </w:r>
          </w:p>
        </w:tc>
        <w:tc>
          <w:tcPr>
            <w:tcW w:w="371" w:type="pct"/>
            <w:tcBorders>
              <w:top w:val="single" w:sz="4" w:space="0" w:color="auto"/>
              <w:left w:val="nil"/>
              <w:bottom w:val="single" w:sz="4" w:space="0" w:color="auto"/>
              <w:right w:val="single" w:sz="4" w:space="0" w:color="auto"/>
            </w:tcBorders>
            <w:shd w:val="clear" w:color="000000" w:fill="BFBFBF"/>
            <w:vAlign w:val="center"/>
            <w:hideMark/>
          </w:tcPr>
          <w:p w14:paraId="37739426" w14:textId="77777777"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Last assessment</w:t>
            </w:r>
          </w:p>
        </w:tc>
        <w:tc>
          <w:tcPr>
            <w:tcW w:w="556" w:type="pct"/>
            <w:tcBorders>
              <w:top w:val="single" w:sz="4" w:space="0" w:color="auto"/>
              <w:left w:val="nil"/>
              <w:bottom w:val="single" w:sz="4" w:space="0" w:color="auto"/>
              <w:right w:val="single" w:sz="4" w:space="0" w:color="auto"/>
            </w:tcBorders>
            <w:shd w:val="clear" w:color="000000" w:fill="BFBFBF"/>
            <w:vAlign w:val="center"/>
            <w:hideMark/>
          </w:tcPr>
          <w:p w14:paraId="68075184" w14:textId="77777777"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2018</w:t>
            </w:r>
          </w:p>
        </w:tc>
        <w:tc>
          <w:tcPr>
            <w:tcW w:w="463" w:type="pct"/>
            <w:tcBorders>
              <w:top w:val="single" w:sz="4" w:space="0" w:color="auto"/>
              <w:left w:val="nil"/>
              <w:bottom w:val="single" w:sz="4" w:space="0" w:color="auto"/>
              <w:right w:val="single" w:sz="4" w:space="0" w:color="auto"/>
            </w:tcBorders>
            <w:shd w:val="clear" w:color="000000" w:fill="BFBFBF"/>
            <w:vAlign w:val="center"/>
            <w:hideMark/>
          </w:tcPr>
          <w:p w14:paraId="7BCF1B60" w14:textId="77777777"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2019</w:t>
            </w:r>
          </w:p>
        </w:tc>
        <w:tc>
          <w:tcPr>
            <w:tcW w:w="371" w:type="pct"/>
            <w:tcBorders>
              <w:top w:val="single" w:sz="4" w:space="0" w:color="auto"/>
              <w:left w:val="nil"/>
              <w:bottom w:val="single" w:sz="4" w:space="0" w:color="auto"/>
              <w:right w:val="single" w:sz="4" w:space="0" w:color="auto"/>
            </w:tcBorders>
            <w:shd w:val="clear" w:color="000000" w:fill="BFBFBF"/>
            <w:vAlign w:val="center"/>
            <w:hideMark/>
          </w:tcPr>
          <w:p w14:paraId="535A3DB1" w14:textId="77777777"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2020</w:t>
            </w:r>
          </w:p>
        </w:tc>
        <w:tc>
          <w:tcPr>
            <w:tcW w:w="371" w:type="pct"/>
            <w:tcBorders>
              <w:top w:val="single" w:sz="4" w:space="0" w:color="auto"/>
              <w:left w:val="nil"/>
              <w:bottom w:val="single" w:sz="4" w:space="0" w:color="auto"/>
              <w:right w:val="single" w:sz="4" w:space="0" w:color="auto"/>
            </w:tcBorders>
            <w:shd w:val="clear" w:color="000000" w:fill="BFBFBF"/>
            <w:vAlign w:val="center"/>
            <w:hideMark/>
          </w:tcPr>
          <w:p w14:paraId="47FD870B" w14:textId="77777777"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2021</w:t>
            </w:r>
          </w:p>
        </w:tc>
        <w:tc>
          <w:tcPr>
            <w:tcW w:w="399" w:type="pct"/>
            <w:tcBorders>
              <w:top w:val="single" w:sz="4" w:space="0" w:color="auto"/>
              <w:left w:val="nil"/>
              <w:bottom w:val="single" w:sz="4" w:space="0" w:color="auto"/>
              <w:right w:val="single" w:sz="4" w:space="0" w:color="auto"/>
            </w:tcBorders>
            <w:shd w:val="clear" w:color="000000" w:fill="BFBFBF"/>
            <w:vAlign w:val="center"/>
            <w:hideMark/>
          </w:tcPr>
          <w:p w14:paraId="64327F5F" w14:textId="77777777"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2022</w:t>
            </w:r>
          </w:p>
        </w:tc>
        <w:tc>
          <w:tcPr>
            <w:tcW w:w="288" w:type="pct"/>
            <w:tcBorders>
              <w:top w:val="single" w:sz="4" w:space="0" w:color="auto"/>
              <w:left w:val="nil"/>
              <w:bottom w:val="single" w:sz="4" w:space="0" w:color="auto"/>
              <w:right w:val="single" w:sz="4" w:space="0" w:color="auto"/>
            </w:tcBorders>
            <w:shd w:val="clear" w:color="000000" w:fill="BFBFBF"/>
            <w:vAlign w:val="center"/>
            <w:hideMark/>
          </w:tcPr>
          <w:p w14:paraId="004D3935" w14:textId="77777777"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Priority</w:t>
            </w:r>
          </w:p>
        </w:tc>
        <w:tc>
          <w:tcPr>
            <w:tcW w:w="511" w:type="pct"/>
            <w:tcBorders>
              <w:top w:val="single" w:sz="4" w:space="0" w:color="auto"/>
              <w:left w:val="nil"/>
              <w:bottom w:val="single" w:sz="4" w:space="0" w:color="auto"/>
              <w:right w:val="single" w:sz="4" w:space="0" w:color="auto"/>
            </w:tcBorders>
            <w:shd w:val="clear" w:color="000000" w:fill="BFBFBF"/>
            <w:vAlign w:val="center"/>
            <w:hideMark/>
          </w:tcPr>
          <w:p w14:paraId="2D9843A1" w14:textId="77777777"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Potential assessment approach</w:t>
            </w:r>
          </w:p>
        </w:tc>
        <w:tc>
          <w:tcPr>
            <w:tcW w:w="793" w:type="pct"/>
            <w:tcBorders>
              <w:top w:val="single" w:sz="4" w:space="0" w:color="auto"/>
              <w:left w:val="nil"/>
              <w:bottom w:val="single" w:sz="4" w:space="0" w:color="auto"/>
              <w:right w:val="single" w:sz="4" w:space="0" w:color="auto"/>
            </w:tcBorders>
            <w:shd w:val="clear" w:color="000000" w:fill="A5A5A5"/>
            <w:vAlign w:val="center"/>
            <w:hideMark/>
          </w:tcPr>
          <w:p w14:paraId="456732C2" w14:textId="77777777"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Notes</w:t>
            </w:r>
          </w:p>
        </w:tc>
      </w:tr>
      <w:tr w:rsidR="00BA3E50" w:rsidRPr="00DA3B20" w14:paraId="4F244A8B" w14:textId="77777777" w:rsidTr="00365FA5">
        <w:tc>
          <w:tcPr>
            <w:tcW w:w="491" w:type="pct"/>
            <w:vMerge w:val="restart"/>
            <w:tcBorders>
              <w:top w:val="single" w:sz="4" w:space="0" w:color="auto"/>
              <w:left w:val="single" w:sz="4" w:space="0" w:color="auto"/>
              <w:bottom w:val="single" w:sz="4" w:space="0" w:color="000000"/>
              <w:right w:val="single" w:sz="4" w:space="0" w:color="auto"/>
            </w:tcBorders>
            <w:shd w:val="clear" w:color="000000" w:fill="E2EFDA"/>
            <w:vAlign w:val="center"/>
            <w:hideMark/>
          </w:tcPr>
          <w:p w14:paraId="2E998F9B"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Silky shark</w:t>
            </w:r>
          </w:p>
        </w:tc>
        <w:tc>
          <w:tcPr>
            <w:tcW w:w="385" w:type="pct"/>
            <w:tcBorders>
              <w:top w:val="single" w:sz="4" w:space="0" w:color="auto"/>
              <w:left w:val="nil"/>
              <w:bottom w:val="single" w:sz="4" w:space="0" w:color="auto"/>
              <w:right w:val="single" w:sz="4" w:space="0" w:color="auto"/>
            </w:tcBorders>
            <w:shd w:val="clear" w:color="000000" w:fill="E2EFDA"/>
            <w:vAlign w:val="center"/>
            <w:hideMark/>
          </w:tcPr>
          <w:p w14:paraId="54270A85"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WCPO</w:t>
            </w:r>
          </w:p>
        </w:tc>
        <w:tc>
          <w:tcPr>
            <w:tcW w:w="371" w:type="pct"/>
            <w:tcBorders>
              <w:top w:val="single" w:sz="4" w:space="0" w:color="auto"/>
              <w:left w:val="nil"/>
              <w:bottom w:val="single" w:sz="4" w:space="0" w:color="auto"/>
              <w:right w:val="single" w:sz="4" w:space="0" w:color="auto"/>
            </w:tcBorders>
            <w:shd w:val="clear" w:color="000000" w:fill="E2EFDA"/>
            <w:vAlign w:val="center"/>
            <w:hideMark/>
          </w:tcPr>
          <w:p w14:paraId="78CB68A7"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2013 (SC9-SA-WP-03) (SPC)</w:t>
            </w:r>
          </w:p>
        </w:tc>
        <w:tc>
          <w:tcPr>
            <w:tcW w:w="556" w:type="pct"/>
            <w:tcBorders>
              <w:top w:val="single" w:sz="4" w:space="0" w:color="auto"/>
              <w:left w:val="nil"/>
              <w:bottom w:val="single" w:sz="4" w:space="0" w:color="auto"/>
              <w:right w:val="single" w:sz="4" w:space="0" w:color="auto"/>
            </w:tcBorders>
            <w:shd w:val="clear" w:color="000000" w:fill="E2EFDA"/>
            <w:vAlign w:val="center"/>
            <w:hideMark/>
          </w:tcPr>
          <w:p w14:paraId="2E7AD4CB" w14:textId="77777777" w:rsidR="00BA3E50" w:rsidRPr="00DA3B20" w:rsidRDefault="00BA3E50" w:rsidP="00365FA5">
            <w:pPr>
              <w:widowControl w:val="0"/>
              <w:adjustRightInd w:val="0"/>
              <w:snapToGrid w:val="0"/>
              <w:jc w:val="center"/>
              <w:rPr>
                <w:bCs/>
                <w:color w:val="000000"/>
                <w:sz w:val="18"/>
                <w:szCs w:val="18"/>
                <w:lang w:val="en-AU" w:eastAsia="en-AU"/>
              </w:rPr>
            </w:pPr>
            <w:r w:rsidRPr="00DA3B20">
              <w:rPr>
                <w:bCs/>
                <w:color w:val="000000"/>
                <w:sz w:val="18"/>
                <w:szCs w:val="18"/>
                <w:lang w:val="en-AU" w:eastAsia="en-AU"/>
              </w:rPr>
              <w:t>Assessment (SC14-SA-WP-08 addendum) (ABNJ)</w:t>
            </w:r>
          </w:p>
        </w:tc>
        <w:tc>
          <w:tcPr>
            <w:tcW w:w="463" w:type="pct"/>
            <w:tcBorders>
              <w:top w:val="single" w:sz="4" w:space="0" w:color="auto"/>
              <w:left w:val="nil"/>
              <w:bottom w:val="single" w:sz="4" w:space="0" w:color="auto"/>
              <w:right w:val="single" w:sz="4" w:space="0" w:color="auto"/>
            </w:tcBorders>
            <w:shd w:val="clear" w:color="000000" w:fill="E2EFDA"/>
            <w:vAlign w:val="center"/>
            <w:hideMark/>
          </w:tcPr>
          <w:p w14:paraId="3942289E"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strike/>
                <w:color w:val="000000"/>
                <w:sz w:val="18"/>
                <w:szCs w:val="18"/>
                <w:lang w:val="en-AU" w:eastAsia="en-AU"/>
              </w:rPr>
              <w:t> </w:t>
            </w:r>
          </w:p>
        </w:tc>
        <w:tc>
          <w:tcPr>
            <w:tcW w:w="371" w:type="pct"/>
            <w:tcBorders>
              <w:top w:val="single" w:sz="4" w:space="0" w:color="auto"/>
              <w:left w:val="nil"/>
              <w:bottom w:val="single" w:sz="4" w:space="0" w:color="auto"/>
              <w:right w:val="single" w:sz="4" w:space="0" w:color="auto"/>
            </w:tcBorders>
            <w:shd w:val="clear" w:color="000000" w:fill="E2EFDA"/>
            <w:vAlign w:val="center"/>
            <w:hideMark/>
          </w:tcPr>
          <w:p w14:paraId="3A1D0A11"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single" w:sz="4" w:space="0" w:color="auto"/>
              <w:left w:val="nil"/>
              <w:bottom w:val="single" w:sz="4" w:space="0" w:color="auto"/>
              <w:right w:val="single" w:sz="4" w:space="0" w:color="auto"/>
            </w:tcBorders>
            <w:shd w:val="clear" w:color="000000" w:fill="E2EFDA"/>
            <w:vAlign w:val="center"/>
            <w:hideMark/>
          </w:tcPr>
          <w:p w14:paraId="071811C2"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single" w:sz="4" w:space="0" w:color="auto"/>
              <w:left w:val="nil"/>
              <w:bottom w:val="single" w:sz="4" w:space="0" w:color="auto"/>
              <w:right w:val="single" w:sz="4" w:space="0" w:color="auto"/>
            </w:tcBorders>
            <w:shd w:val="clear" w:color="000000" w:fill="E2EFDA"/>
            <w:vAlign w:val="center"/>
            <w:hideMark/>
          </w:tcPr>
          <w:p w14:paraId="416E0250" w14:textId="77777777" w:rsidR="00BA3E50" w:rsidRPr="00DA3B20" w:rsidRDefault="00BA3E50" w:rsidP="00365FA5">
            <w:pPr>
              <w:widowControl w:val="0"/>
              <w:adjustRightInd w:val="0"/>
              <w:snapToGrid w:val="0"/>
              <w:jc w:val="center"/>
              <w:rPr>
                <w:bCs/>
                <w:color w:val="000000"/>
                <w:sz w:val="18"/>
                <w:szCs w:val="18"/>
                <w:lang w:val="en-AU" w:eastAsia="en-AU"/>
              </w:rPr>
            </w:pPr>
            <w:r w:rsidRPr="00DA3B20">
              <w:rPr>
                <w:bCs/>
                <w:color w:val="000000"/>
                <w:sz w:val="18"/>
                <w:szCs w:val="18"/>
                <w:lang w:val="en-AU" w:eastAsia="en-AU"/>
              </w:rPr>
              <w:t>Assessment?</w:t>
            </w:r>
          </w:p>
        </w:tc>
        <w:tc>
          <w:tcPr>
            <w:tcW w:w="288" w:type="pct"/>
            <w:tcBorders>
              <w:top w:val="nil"/>
              <w:left w:val="nil"/>
              <w:bottom w:val="single" w:sz="4" w:space="0" w:color="auto"/>
              <w:right w:val="single" w:sz="4" w:space="0" w:color="auto"/>
            </w:tcBorders>
            <w:shd w:val="clear" w:color="000000" w:fill="E2EFDA"/>
            <w:vAlign w:val="center"/>
            <w:hideMark/>
          </w:tcPr>
          <w:p w14:paraId="345B91CD"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High</w:t>
            </w:r>
          </w:p>
        </w:tc>
        <w:tc>
          <w:tcPr>
            <w:tcW w:w="511" w:type="pct"/>
            <w:tcBorders>
              <w:top w:val="nil"/>
              <w:left w:val="nil"/>
              <w:bottom w:val="single" w:sz="4" w:space="0" w:color="auto"/>
              <w:right w:val="single" w:sz="4" w:space="0" w:color="auto"/>
            </w:tcBorders>
            <w:shd w:val="clear" w:color="000000" w:fill="E2EFDA"/>
            <w:vAlign w:val="center"/>
            <w:hideMark/>
          </w:tcPr>
          <w:p w14:paraId="37F53E0A"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Integrated age-structured (F+B)</w:t>
            </w:r>
          </w:p>
        </w:tc>
        <w:tc>
          <w:tcPr>
            <w:tcW w:w="793" w:type="pct"/>
            <w:tcBorders>
              <w:top w:val="nil"/>
              <w:left w:val="nil"/>
              <w:bottom w:val="single" w:sz="4" w:space="0" w:color="auto"/>
              <w:right w:val="single" w:sz="4" w:space="0" w:color="auto"/>
            </w:tcBorders>
            <w:shd w:val="clear" w:color="000000" w:fill="E2EFDA"/>
            <w:vAlign w:val="center"/>
            <w:hideMark/>
          </w:tcPr>
          <w:p w14:paraId="5659D3EF" w14:textId="77777777"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 xml:space="preserve">no need for assessment in 2019; </w:t>
            </w:r>
            <w:r w:rsidR="001014EC" w:rsidRPr="00DA3B20">
              <w:rPr>
                <w:color w:val="000000"/>
                <w:sz w:val="18"/>
                <w:szCs w:val="18"/>
                <w:lang w:val="en-AU" w:eastAsia="en-AU"/>
              </w:rPr>
              <w:t>SC14-</w:t>
            </w:r>
            <w:r w:rsidRPr="00DA3B20">
              <w:rPr>
                <w:color w:val="000000"/>
                <w:sz w:val="18"/>
                <w:szCs w:val="18"/>
                <w:lang w:val="en-AU" w:eastAsia="en-AU"/>
              </w:rPr>
              <w:t>SA-WP-08 recommends re-visiting the assessment no later than 2021</w:t>
            </w:r>
          </w:p>
        </w:tc>
      </w:tr>
      <w:tr w:rsidR="00BA3E50" w:rsidRPr="00DA3B20" w14:paraId="31731814" w14:textId="77777777" w:rsidTr="00365FA5">
        <w:tc>
          <w:tcPr>
            <w:tcW w:w="491" w:type="pct"/>
            <w:vMerge/>
            <w:tcBorders>
              <w:top w:val="single" w:sz="4" w:space="0" w:color="auto"/>
              <w:left w:val="single" w:sz="4" w:space="0" w:color="auto"/>
              <w:bottom w:val="single" w:sz="4" w:space="0" w:color="000000"/>
              <w:right w:val="single" w:sz="4" w:space="0" w:color="auto"/>
            </w:tcBorders>
            <w:vAlign w:val="center"/>
            <w:hideMark/>
          </w:tcPr>
          <w:p w14:paraId="3E4CA4B7" w14:textId="77777777" w:rsidR="00BA3E50" w:rsidRPr="00DA3B20" w:rsidRDefault="00BA3E50" w:rsidP="00365FA5">
            <w:pPr>
              <w:widowControl w:val="0"/>
              <w:adjustRightInd w:val="0"/>
              <w:snapToGrid w:val="0"/>
              <w:rPr>
                <w:color w:val="000000"/>
                <w:sz w:val="18"/>
                <w:szCs w:val="18"/>
                <w:lang w:val="en-AU" w:eastAsia="en-AU"/>
              </w:rPr>
            </w:pPr>
          </w:p>
        </w:tc>
        <w:tc>
          <w:tcPr>
            <w:tcW w:w="385" w:type="pct"/>
            <w:tcBorders>
              <w:top w:val="nil"/>
              <w:left w:val="nil"/>
              <w:bottom w:val="single" w:sz="4" w:space="0" w:color="auto"/>
              <w:right w:val="single" w:sz="4" w:space="0" w:color="auto"/>
            </w:tcBorders>
            <w:shd w:val="clear" w:color="000000" w:fill="E2EFDA"/>
            <w:vAlign w:val="center"/>
            <w:hideMark/>
          </w:tcPr>
          <w:p w14:paraId="1D57E1BD"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Pacific-wide</w:t>
            </w:r>
          </w:p>
        </w:tc>
        <w:tc>
          <w:tcPr>
            <w:tcW w:w="371" w:type="pct"/>
            <w:tcBorders>
              <w:top w:val="nil"/>
              <w:left w:val="nil"/>
              <w:bottom w:val="single" w:sz="4" w:space="0" w:color="auto"/>
              <w:right w:val="single" w:sz="4" w:space="0" w:color="auto"/>
            </w:tcBorders>
            <w:shd w:val="clear" w:color="000000" w:fill="E2EFDA"/>
            <w:vAlign w:val="center"/>
            <w:hideMark/>
          </w:tcPr>
          <w:p w14:paraId="4F7BE0A8"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556" w:type="pct"/>
            <w:tcBorders>
              <w:top w:val="nil"/>
              <w:left w:val="nil"/>
              <w:bottom w:val="single" w:sz="4" w:space="0" w:color="auto"/>
              <w:right w:val="single" w:sz="4" w:space="0" w:color="auto"/>
            </w:tcBorders>
            <w:shd w:val="clear" w:color="000000" w:fill="E2EFDA"/>
            <w:vAlign w:val="center"/>
            <w:hideMark/>
          </w:tcPr>
          <w:p w14:paraId="5E66746E" w14:textId="77777777" w:rsidR="00BA3E50" w:rsidRPr="00DA3B20" w:rsidRDefault="00BA3E50" w:rsidP="00365FA5">
            <w:pPr>
              <w:widowControl w:val="0"/>
              <w:adjustRightInd w:val="0"/>
              <w:snapToGrid w:val="0"/>
              <w:jc w:val="center"/>
              <w:rPr>
                <w:bCs/>
                <w:sz w:val="18"/>
                <w:szCs w:val="18"/>
                <w:lang w:val="en-AU" w:eastAsia="en-AU"/>
              </w:rPr>
            </w:pPr>
            <w:r w:rsidRPr="00DA3B20">
              <w:rPr>
                <w:bCs/>
                <w:sz w:val="18"/>
                <w:szCs w:val="18"/>
                <w:lang w:val="en-AU" w:eastAsia="en-AU"/>
              </w:rPr>
              <w:t>Assessment (SC14-SA-WP-08) (ABNJ)</w:t>
            </w:r>
          </w:p>
        </w:tc>
        <w:tc>
          <w:tcPr>
            <w:tcW w:w="463" w:type="pct"/>
            <w:tcBorders>
              <w:top w:val="nil"/>
              <w:left w:val="nil"/>
              <w:bottom w:val="single" w:sz="4" w:space="0" w:color="auto"/>
              <w:right w:val="single" w:sz="4" w:space="0" w:color="auto"/>
            </w:tcBorders>
            <w:shd w:val="clear" w:color="000000" w:fill="E2EFDA"/>
            <w:vAlign w:val="center"/>
            <w:hideMark/>
          </w:tcPr>
          <w:p w14:paraId="1B8D9347"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E2EFDA"/>
            <w:vAlign w:val="center"/>
            <w:hideMark/>
          </w:tcPr>
          <w:p w14:paraId="2157D32D"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strike/>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E2EFDA"/>
            <w:vAlign w:val="center"/>
            <w:hideMark/>
          </w:tcPr>
          <w:p w14:paraId="414D2AA8"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strike/>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E2EFDA"/>
            <w:vAlign w:val="center"/>
            <w:hideMark/>
          </w:tcPr>
          <w:p w14:paraId="486A498B" w14:textId="77777777" w:rsidR="00BA3E50" w:rsidRPr="00DA3B20" w:rsidRDefault="00BA3E50" w:rsidP="00365FA5">
            <w:pPr>
              <w:widowControl w:val="0"/>
              <w:adjustRightInd w:val="0"/>
              <w:snapToGrid w:val="0"/>
              <w:jc w:val="center"/>
              <w:rPr>
                <w:bCs/>
                <w:color w:val="000000"/>
                <w:sz w:val="18"/>
                <w:szCs w:val="18"/>
                <w:lang w:val="en-AU" w:eastAsia="en-AU"/>
              </w:rPr>
            </w:pPr>
            <w:r w:rsidRPr="00DA3B20">
              <w:rPr>
                <w:bCs/>
                <w:color w:val="000000"/>
                <w:sz w:val="18"/>
                <w:szCs w:val="18"/>
                <w:lang w:val="en-AU" w:eastAsia="en-AU"/>
              </w:rPr>
              <w:t>Assessment?</w:t>
            </w:r>
          </w:p>
        </w:tc>
        <w:tc>
          <w:tcPr>
            <w:tcW w:w="288" w:type="pct"/>
            <w:tcBorders>
              <w:top w:val="nil"/>
              <w:left w:val="nil"/>
              <w:bottom w:val="single" w:sz="4" w:space="0" w:color="auto"/>
              <w:right w:val="single" w:sz="4" w:space="0" w:color="auto"/>
            </w:tcBorders>
            <w:shd w:val="clear" w:color="000000" w:fill="E2EFDA"/>
            <w:vAlign w:val="center"/>
            <w:hideMark/>
          </w:tcPr>
          <w:p w14:paraId="30944385"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High</w:t>
            </w:r>
          </w:p>
        </w:tc>
        <w:tc>
          <w:tcPr>
            <w:tcW w:w="511" w:type="pct"/>
            <w:tcBorders>
              <w:top w:val="nil"/>
              <w:left w:val="nil"/>
              <w:bottom w:val="single" w:sz="4" w:space="0" w:color="auto"/>
              <w:right w:val="single" w:sz="4" w:space="0" w:color="auto"/>
            </w:tcBorders>
            <w:shd w:val="clear" w:color="000000" w:fill="E2EFDA"/>
            <w:vAlign w:val="center"/>
            <w:hideMark/>
          </w:tcPr>
          <w:p w14:paraId="42EF1FFB"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Integrated age-structured (F+B)</w:t>
            </w:r>
          </w:p>
        </w:tc>
        <w:tc>
          <w:tcPr>
            <w:tcW w:w="793" w:type="pct"/>
            <w:tcBorders>
              <w:top w:val="nil"/>
              <w:left w:val="nil"/>
              <w:bottom w:val="single" w:sz="4" w:space="0" w:color="auto"/>
              <w:right w:val="single" w:sz="4" w:space="0" w:color="auto"/>
            </w:tcBorders>
            <w:shd w:val="clear" w:color="000000" w:fill="E2EFDA"/>
            <w:vAlign w:val="center"/>
            <w:hideMark/>
          </w:tcPr>
          <w:p w14:paraId="6AAAB1C7" w14:textId="77777777" w:rsidR="00BA3E50" w:rsidRPr="00DA3B20" w:rsidRDefault="001014EC" w:rsidP="00365FA5">
            <w:pPr>
              <w:widowControl w:val="0"/>
              <w:adjustRightInd w:val="0"/>
              <w:snapToGrid w:val="0"/>
              <w:rPr>
                <w:color w:val="000000"/>
                <w:sz w:val="18"/>
                <w:szCs w:val="18"/>
                <w:lang w:val="en-AU" w:eastAsia="en-AU"/>
              </w:rPr>
            </w:pPr>
            <w:r w:rsidRPr="00DA3B20">
              <w:rPr>
                <w:color w:val="000000"/>
                <w:sz w:val="18"/>
                <w:szCs w:val="18"/>
                <w:lang w:val="en-AU" w:eastAsia="en-AU"/>
              </w:rPr>
              <w:t>SC14-</w:t>
            </w:r>
            <w:r w:rsidR="00BA3E50" w:rsidRPr="00DA3B20">
              <w:rPr>
                <w:color w:val="000000"/>
                <w:sz w:val="18"/>
                <w:szCs w:val="18"/>
                <w:lang w:val="en-AU" w:eastAsia="en-AU"/>
              </w:rPr>
              <w:t>SA-WP-08 recommends re-assessment no later than 2021</w:t>
            </w:r>
          </w:p>
        </w:tc>
      </w:tr>
      <w:tr w:rsidR="00BA3E50" w:rsidRPr="00DA3B20" w14:paraId="4596EA7F" w14:textId="77777777" w:rsidTr="00365FA5">
        <w:tc>
          <w:tcPr>
            <w:tcW w:w="491" w:type="pct"/>
            <w:tcBorders>
              <w:top w:val="nil"/>
              <w:left w:val="single" w:sz="4" w:space="0" w:color="auto"/>
              <w:bottom w:val="single" w:sz="4" w:space="0" w:color="auto"/>
              <w:right w:val="single" w:sz="4" w:space="0" w:color="auto"/>
            </w:tcBorders>
            <w:shd w:val="clear" w:color="000000" w:fill="FCE4D6"/>
            <w:vAlign w:val="center"/>
            <w:hideMark/>
          </w:tcPr>
          <w:p w14:paraId="276F899D"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Oceanic whitetip shark</w:t>
            </w:r>
          </w:p>
        </w:tc>
        <w:tc>
          <w:tcPr>
            <w:tcW w:w="385" w:type="pct"/>
            <w:tcBorders>
              <w:top w:val="nil"/>
              <w:left w:val="nil"/>
              <w:bottom w:val="single" w:sz="4" w:space="0" w:color="auto"/>
              <w:right w:val="single" w:sz="4" w:space="0" w:color="auto"/>
            </w:tcBorders>
            <w:shd w:val="clear" w:color="000000" w:fill="FCE4D6"/>
            <w:vAlign w:val="center"/>
            <w:hideMark/>
          </w:tcPr>
          <w:p w14:paraId="7CFF1769"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WCPO</w:t>
            </w:r>
          </w:p>
        </w:tc>
        <w:tc>
          <w:tcPr>
            <w:tcW w:w="371" w:type="pct"/>
            <w:tcBorders>
              <w:top w:val="nil"/>
              <w:left w:val="nil"/>
              <w:bottom w:val="single" w:sz="4" w:space="0" w:color="auto"/>
              <w:right w:val="single" w:sz="4" w:space="0" w:color="auto"/>
            </w:tcBorders>
            <w:shd w:val="clear" w:color="000000" w:fill="FCE4D6"/>
            <w:vAlign w:val="center"/>
            <w:hideMark/>
          </w:tcPr>
          <w:p w14:paraId="61320D01"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2012 (SC8-SA-WP-06) (SPC)</w:t>
            </w:r>
          </w:p>
        </w:tc>
        <w:tc>
          <w:tcPr>
            <w:tcW w:w="556" w:type="pct"/>
            <w:tcBorders>
              <w:top w:val="nil"/>
              <w:left w:val="nil"/>
              <w:bottom w:val="single" w:sz="4" w:space="0" w:color="auto"/>
              <w:right w:val="single" w:sz="4" w:space="0" w:color="auto"/>
            </w:tcBorders>
            <w:shd w:val="clear" w:color="000000" w:fill="FCE4D6"/>
            <w:vAlign w:val="center"/>
            <w:hideMark/>
          </w:tcPr>
          <w:p w14:paraId="5829D4ED"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463" w:type="pct"/>
            <w:tcBorders>
              <w:top w:val="nil"/>
              <w:left w:val="nil"/>
              <w:bottom w:val="single" w:sz="4" w:space="0" w:color="auto"/>
              <w:right w:val="single" w:sz="4" w:space="0" w:color="auto"/>
            </w:tcBorders>
            <w:shd w:val="clear" w:color="000000" w:fill="FCE4D6"/>
            <w:vAlign w:val="center"/>
            <w:hideMark/>
          </w:tcPr>
          <w:p w14:paraId="57DA61B6"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Testing the performance of alternative OWT stock assessments approaches. #9</w:t>
            </w:r>
          </w:p>
        </w:tc>
        <w:tc>
          <w:tcPr>
            <w:tcW w:w="371" w:type="pct"/>
            <w:tcBorders>
              <w:top w:val="nil"/>
              <w:left w:val="nil"/>
              <w:bottom w:val="single" w:sz="4" w:space="0" w:color="auto"/>
              <w:right w:val="single" w:sz="4" w:space="0" w:color="auto"/>
            </w:tcBorders>
            <w:shd w:val="clear" w:color="000000" w:fill="FCE4D6"/>
            <w:vAlign w:val="center"/>
            <w:hideMark/>
          </w:tcPr>
          <w:p w14:paraId="6FE3663F"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371" w:type="pct"/>
            <w:tcBorders>
              <w:top w:val="nil"/>
              <w:left w:val="nil"/>
              <w:bottom w:val="single" w:sz="4" w:space="0" w:color="auto"/>
              <w:right w:val="single" w:sz="4" w:space="0" w:color="auto"/>
            </w:tcBorders>
            <w:shd w:val="clear" w:color="000000" w:fill="FCE4D6"/>
            <w:vAlign w:val="center"/>
            <w:hideMark/>
          </w:tcPr>
          <w:p w14:paraId="01D664A5"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399" w:type="pct"/>
            <w:tcBorders>
              <w:top w:val="nil"/>
              <w:left w:val="nil"/>
              <w:bottom w:val="single" w:sz="4" w:space="0" w:color="auto"/>
              <w:right w:val="single" w:sz="4" w:space="0" w:color="auto"/>
            </w:tcBorders>
            <w:shd w:val="clear" w:color="000000" w:fill="FCE4D6"/>
            <w:vAlign w:val="center"/>
            <w:hideMark/>
          </w:tcPr>
          <w:p w14:paraId="18DFB4D5"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288" w:type="pct"/>
            <w:tcBorders>
              <w:top w:val="nil"/>
              <w:left w:val="nil"/>
              <w:bottom w:val="single" w:sz="4" w:space="0" w:color="auto"/>
              <w:right w:val="single" w:sz="4" w:space="0" w:color="auto"/>
            </w:tcBorders>
            <w:shd w:val="clear" w:color="000000" w:fill="FCE4D6"/>
            <w:vAlign w:val="center"/>
            <w:hideMark/>
          </w:tcPr>
          <w:p w14:paraId="59290D45"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High</w:t>
            </w:r>
          </w:p>
        </w:tc>
        <w:tc>
          <w:tcPr>
            <w:tcW w:w="511" w:type="pct"/>
            <w:tcBorders>
              <w:top w:val="nil"/>
              <w:left w:val="nil"/>
              <w:bottom w:val="single" w:sz="4" w:space="0" w:color="auto"/>
              <w:right w:val="single" w:sz="4" w:space="0" w:color="auto"/>
            </w:tcBorders>
            <w:shd w:val="clear" w:color="000000" w:fill="FCE4D6"/>
            <w:vAlign w:val="center"/>
            <w:hideMark/>
          </w:tcPr>
          <w:p w14:paraId="16EF0243"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Integrated age-structured (F+B)</w:t>
            </w:r>
          </w:p>
        </w:tc>
        <w:tc>
          <w:tcPr>
            <w:tcW w:w="793" w:type="pct"/>
            <w:tcBorders>
              <w:top w:val="nil"/>
              <w:left w:val="nil"/>
              <w:bottom w:val="single" w:sz="4" w:space="0" w:color="auto"/>
              <w:right w:val="single" w:sz="4" w:space="0" w:color="auto"/>
            </w:tcBorders>
            <w:shd w:val="clear" w:color="000000" w:fill="FCE4D6"/>
            <w:vAlign w:val="center"/>
            <w:hideMark/>
          </w:tcPr>
          <w:p w14:paraId="6A3670EC" w14:textId="77777777" w:rsidR="00BA3E50" w:rsidRPr="00DA3B20" w:rsidRDefault="00BA3E50" w:rsidP="00365FA5">
            <w:pPr>
              <w:widowControl w:val="0"/>
              <w:adjustRightInd w:val="0"/>
              <w:snapToGrid w:val="0"/>
              <w:rPr>
                <w:sz w:val="18"/>
                <w:szCs w:val="18"/>
                <w:lang w:val="en-AU" w:eastAsia="en-AU"/>
              </w:rPr>
            </w:pPr>
            <w:r w:rsidRPr="00DA3B20">
              <w:rPr>
                <w:sz w:val="18"/>
                <w:szCs w:val="18"/>
                <w:lang w:val="en-AU" w:eastAsia="en-AU"/>
              </w:rPr>
              <w:t>Re-assessment with an integrated model should be possible as it was done in 2012</w:t>
            </w:r>
          </w:p>
        </w:tc>
      </w:tr>
      <w:tr w:rsidR="00BA3E50" w:rsidRPr="00DA3B20" w14:paraId="61223D8B" w14:textId="77777777" w:rsidTr="00365FA5">
        <w:tc>
          <w:tcPr>
            <w:tcW w:w="491" w:type="pct"/>
            <w:vMerge w:val="restart"/>
            <w:tcBorders>
              <w:top w:val="nil"/>
              <w:left w:val="single" w:sz="4" w:space="0" w:color="auto"/>
              <w:bottom w:val="single" w:sz="4" w:space="0" w:color="000000"/>
              <w:right w:val="single" w:sz="4" w:space="0" w:color="auto"/>
            </w:tcBorders>
            <w:shd w:val="clear" w:color="000000" w:fill="D9E1F2"/>
            <w:vAlign w:val="center"/>
            <w:hideMark/>
          </w:tcPr>
          <w:p w14:paraId="49AEDF08"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Blue shark</w:t>
            </w:r>
          </w:p>
        </w:tc>
        <w:tc>
          <w:tcPr>
            <w:tcW w:w="385" w:type="pct"/>
            <w:tcBorders>
              <w:top w:val="nil"/>
              <w:left w:val="nil"/>
              <w:bottom w:val="single" w:sz="4" w:space="0" w:color="auto"/>
              <w:right w:val="single" w:sz="4" w:space="0" w:color="auto"/>
            </w:tcBorders>
            <w:shd w:val="clear" w:color="000000" w:fill="D9E1F2"/>
            <w:vAlign w:val="center"/>
            <w:hideMark/>
          </w:tcPr>
          <w:p w14:paraId="54AF0807"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SW, SE or full South Pacific</w:t>
            </w:r>
          </w:p>
        </w:tc>
        <w:tc>
          <w:tcPr>
            <w:tcW w:w="371" w:type="pct"/>
            <w:tcBorders>
              <w:top w:val="nil"/>
              <w:left w:val="nil"/>
              <w:bottom w:val="single" w:sz="4" w:space="0" w:color="auto"/>
              <w:right w:val="single" w:sz="4" w:space="0" w:color="auto"/>
            </w:tcBorders>
            <w:shd w:val="clear" w:color="000000" w:fill="D9E1F2"/>
            <w:vAlign w:val="center"/>
            <w:hideMark/>
          </w:tcPr>
          <w:p w14:paraId="59D3D161"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2016</w:t>
            </w:r>
          </w:p>
        </w:tc>
        <w:tc>
          <w:tcPr>
            <w:tcW w:w="556" w:type="pct"/>
            <w:tcBorders>
              <w:top w:val="nil"/>
              <w:left w:val="nil"/>
              <w:bottom w:val="single" w:sz="4" w:space="0" w:color="auto"/>
              <w:right w:val="single" w:sz="4" w:space="0" w:color="auto"/>
            </w:tcBorders>
            <w:shd w:val="clear" w:color="000000" w:fill="D9E1F2"/>
            <w:vAlign w:val="center"/>
            <w:hideMark/>
          </w:tcPr>
          <w:p w14:paraId="2E14521A"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463" w:type="pct"/>
            <w:tcBorders>
              <w:top w:val="nil"/>
              <w:left w:val="nil"/>
              <w:bottom w:val="single" w:sz="4" w:space="0" w:color="auto"/>
              <w:right w:val="single" w:sz="4" w:space="0" w:color="auto"/>
            </w:tcBorders>
            <w:shd w:val="clear" w:color="000000" w:fill="D9E1F2"/>
            <w:vAlign w:val="center"/>
            <w:hideMark/>
          </w:tcPr>
          <w:p w14:paraId="5C9E7D72"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SE Data preparation #1 (ABNJ)</w:t>
            </w:r>
          </w:p>
        </w:tc>
        <w:tc>
          <w:tcPr>
            <w:tcW w:w="371" w:type="pct"/>
            <w:tcBorders>
              <w:top w:val="nil"/>
              <w:left w:val="nil"/>
              <w:bottom w:val="single" w:sz="4" w:space="0" w:color="auto"/>
              <w:right w:val="single" w:sz="4" w:space="0" w:color="auto"/>
            </w:tcBorders>
            <w:shd w:val="clear" w:color="000000" w:fill="D9E1F2"/>
            <w:vAlign w:val="center"/>
            <w:hideMark/>
          </w:tcPr>
          <w:p w14:paraId="473F5BA0"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SW Data preparation (SPC)</w:t>
            </w:r>
            <w:r w:rsidRPr="00DA3B20">
              <w:rPr>
                <w:sz w:val="18"/>
                <w:szCs w:val="18"/>
                <w:lang w:val="en-AU" w:eastAsia="en-AU"/>
              </w:rPr>
              <w:br/>
              <w:t>Assessment (move to avoid tuna work overlap?)</w:t>
            </w:r>
          </w:p>
        </w:tc>
        <w:tc>
          <w:tcPr>
            <w:tcW w:w="371" w:type="pct"/>
            <w:tcBorders>
              <w:top w:val="nil"/>
              <w:left w:val="nil"/>
              <w:bottom w:val="single" w:sz="4" w:space="0" w:color="auto"/>
              <w:right w:val="single" w:sz="4" w:space="0" w:color="auto"/>
            </w:tcBorders>
            <w:shd w:val="clear" w:color="000000" w:fill="D9E1F2"/>
            <w:vAlign w:val="center"/>
            <w:hideMark/>
          </w:tcPr>
          <w:p w14:paraId="64AAE177" w14:textId="77777777" w:rsidR="00BA3E50" w:rsidRPr="00DA3B20" w:rsidRDefault="00BA3E50" w:rsidP="00365FA5">
            <w:pPr>
              <w:widowControl w:val="0"/>
              <w:adjustRightInd w:val="0"/>
              <w:snapToGrid w:val="0"/>
              <w:jc w:val="center"/>
              <w:rPr>
                <w:b/>
                <w:bCs/>
                <w:sz w:val="18"/>
                <w:szCs w:val="18"/>
                <w:lang w:val="en-AU" w:eastAsia="en-AU"/>
              </w:rPr>
            </w:pPr>
            <w:r w:rsidRPr="00DA3B20">
              <w:rPr>
                <w:b/>
                <w:bCs/>
                <w:sz w:val="18"/>
                <w:szCs w:val="18"/>
                <w:lang w:val="en-AU" w:eastAsia="en-AU"/>
              </w:rPr>
              <w:t> </w:t>
            </w:r>
          </w:p>
        </w:tc>
        <w:tc>
          <w:tcPr>
            <w:tcW w:w="399" w:type="pct"/>
            <w:tcBorders>
              <w:top w:val="nil"/>
              <w:left w:val="nil"/>
              <w:bottom w:val="single" w:sz="4" w:space="0" w:color="auto"/>
              <w:right w:val="single" w:sz="4" w:space="0" w:color="auto"/>
            </w:tcBorders>
            <w:shd w:val="clear" w:color="000000" w:fill="D9E1F2"/>
            <w:vAlign w:val="center"/>
            <w:hideMark/>
          </w:tcPr>
          <w:p w14:paraId="0A9871FE"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288" w:type="pct"/>
            <w:tcBorders>
              <w:top w:val="nil"/>
              <w:left w:val="nil"/>
              <w:bottom w:val="single" w:sz="4" w:space="0" w:color="auto"/>
              <w:right w:val="single" w:sz="4" w:space="0" w:color="auto"/>
            </w:tcBorders>
            <w:shd w:val="clear" w:color="000000" w:fill="D9E1F2"/>
            <w:vAlign w:val="center"/>
            <w:hideMark/>
          </w:tcPr>
          <w:p w14:paraId="1559D5FF"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High</w:t>
            </w:r>
          </w:p>
        </w:tc>
        <w:tc>
          <w:tcPr>
            <w:tcW w:w="511" w:type="pct"/>
            <w:tcBorders>
              <w:top w:val="nil"/>
              <w:left w:val="nil"/>
              <w:bottom w:val="single" w:sz="4" w:space="0" w:color="auto"/>
              <w:right w:val="single" w:sz="4" w:space="0" w:color="auto"/>
            </w:tcBorders>
            <w:shd w:val="clear" w:color="000000" w:fill="D9E1F2"/>
            <w:vAlign w:val="center"/>
            <w:hideMark/>
          </w:tcPr>
          <w:p w14:paraId="32735E5F"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Integrated or surplus production stock assessment (F+B)</w:t>
            </w:r>
          </w:p>
        </w:tc>
        <w:tc>
          <w:tcPr>
            <w:tcW w:w="793" w:type="pct"/>
            <w:tcBorders>
              <w:top w:val="nil"/>
              <w:left w:val="nil"/>
              <w:bottom w:val="single" w:sz="4" w:space="0" w:color="auto"/>
              <w:right w:val="single" w:sz="4" w:space="0" w:color="auto"/>
            </w:tcBorders>
            <w:shd w:val="clear" w:color="000000" w:fill="D9E1F2"/>
            <w:vAlign w:val="center"/>
            <w:hideMark/>
          </w:tcPr>
          <w:p w14:paraId="0EF827F9" w14:textId="77777777" w:rsidR="00BA3E50" w:rsidRPr="00DA3B20" w:rsidRDefault="00BA3E50" w:rsidP="00365FA5">
            <w:pPr>
              <w:widowControl w:val="0"/>
              <w:adjustRightInd w:val="0"/>
              <w:snapToGrid w:val="0"/>
              <w:rPr>
                <w:sz w:val="18"/>
                <w:szCs w:val="18"/>
                <w:lang w:val="en-AU" w:eastAsia="en-AU"/>
              </w:rPr>
            </w:pPr>
            <w:r w:rsidRPr="00DA3B20">
              <w:rPr>
                <w:sz w:val="18"/>
                <w:szCs w:val="18"/>
                <w:lang w:val="en-AU" w:eastAsia="en-AU"/>
              </w:rPr>
              <w:t>As BSH is the most common species, if other sharks can be assessed BSH can probably be assessed too; SW Pacific data prep by SPC is required regardless of assessment region. Whole of Pacific assessment will require SE Pacific data are prepared (ABNJ funding).</w:t>
            </w:r>
          </w:p>
        </w:tc>
      </w:tr>
      <w:tr w:rsidR="00BA3E50" w:rsidRPr="00DA3B20" w14:paraId="5FB9E090" w14:textId="77777777" w:rsidTr="00365FA5">
        <w:tc>
          <w:tcPr>
            <w:tcW w:w="491" w:type="pct"/>
            <w:vMerge/>
            <w:tcBorders>
              <w:top w:val="nil"/>
              <w:left w:val="single" w:sz="4" w:space="0" w:color="auto"/>
              <w:bottom w:val="single" w:sz="4" w:space="0" w:color="000000"/>
              <w:right w:val="single" w:sz="4" w:space="0" w:color="auto"/>
            </w:tcBorders>
            <w:vAlign w:val="center"/>
            <w:hideMark/>
          </w:tcPr>
          <w:p w14:paraId="799FDF46" w14:textId="77777777" w:rsidR="00BA3E50" w:rsidRPr="00DA3B20" w:rsidRDefault="00BA3E50" w:rsidP="00365FA5">
            <w:pPr>
              <w:widowControl w:val="0"/>
              <w:adjustRightInd w:val="0"/>
              <w:snapToGrid w:val="0"/>
              <w:rPr>
                <w:sz w:val="18"/>
                <w:szCs w:val="18"/>
                <w:lang w:val="en-AU" w:eastAsia="en-AU"/>
              </w:rPr>
            </w:pPr>
          </w:p>
        </w:tc>
        <w:tc>
          <w:tcPr>
            <w:tcW w:w="385" w:type="pct"/>
            <w:tcBorders>
              <w:top w:val="nil"/>
              <w:left w:val="nil"/>
              <w:bottom w:val="single" w:sz="4" w:space="0" w:color="auto"/>
              <w:right w:val="single" w:sz="4" w:space="0" w:color="auto"/>
            </w:tcBorders>
            <w:shd w:val="clear" w:color="000000" w:fill="D9E1F2"/>
            <w:vAlign w:val="center"/>
            <w:hideMark/>
          </w:tcPr>
          <w:p w14:paraId="05458236"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North Pacific</w:t>
            </w:r>
          </w:p>
        </w:tc>
        <w:tc>
          <w:tcPr>
            <w:tcW w:w="371" w:type="pct"/>
            <w:tcBorders>
              <w:top w:val="nil"/>
              <w:left w:val="nil"/>
              <w:bottom w:val="single" w:sz="4" w:space="0" w:color="auto"/>
              <w:right w:val="single" w:sz="4" w:space="0" w:color="auto"/>
            </w:tcBorders>
            <w:shd w:val="clear" w:color="000000" w:fill="D9E1F2"/>
            <w:vAlign w:val="center"/>
            <w:hideMark/>
          </w:tcPr>
          <w:p w14:paraId="56A0F5CE"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2017</w:t>
            </w:r>
          </w:p>
        </w:tc>
        <w:tc>
          <w:tcPr>
            <w:tcW w:w="556" w:type="pct"/>
            <w:tcBorders>
              <w:top w:val="nil"/>
              <w:left w:val="nil"/>
              <w:bottom w:val="single" w:sz="4" w:space="0" w:color="auto"/>
              <w:right w:val="single" w:sz="4" w:space="0" w:color="auto"/>
            </w:tcBorders>
            <w:shd w:val="clear" w:color="000000" w:fill="D9E1F2"/>
            <w:vAlign w:val="center"/>
            <w:hideMark/>
          </w:tcPr>
          <w:p w14:paraId="7802D5C5"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Stock Assessment and Future Projections</w:t>
            </w:r>
          </w:p>
        </w:tc>
        <w:tc>
          <w:tcPr>
            <w:tcW w:w="463" w:type="pct"/>
            <w:tcBorders>
              <w:top w:val="nil"/>
              <w:left w:val="nil"/>
              <w:bottom w:val="single" w:sz="4" w:space="0" w:color="auto"/>
              <w:right w:val="single" w:sz="4" w:space="0" w:color="auto"/>
            </w:tcBorders>
            <w:shd w:val="clear" w:color="000000" w:fill="D9E1F2"/>
            <w:vAlign w:val="center"/>
            <w:hideMark/>
          </w:tcPr>
          <w:p w14:paraId="1FCFE306"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371" w:type="pct"/>
            <w:tcBorders>
              <w:top w:val="nil"/>
              <w:left w:val="nil"/>
              <w:bottom w:val="single" w:sz="4" w:space="0" w:color="auto"/>
              <w:right w:val="single" w:sz="4" w:space="0" w:color="auto"/>
            </w:tcBorders>
            <w:shd w:val="clear" w:color="000000" w:fill="D9E1F2"/>
            <w:vAlign w:val="center"/>
            <w:hideMark/>
          </w:tcPr>
          <w:p w14:paraId="05452BC9"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Assessment (ISC)</w:t>
            </w:r>
          </w:p>
        </w:tc>
        <w:tc>
          <w:tcPr>
            <w:tcW w:w="371" w:type="pct"/>
            <w:tcBorders>
              <w:top w:val="nil"/>
              <w:left w:val="nil"/>
              <w:bottom w:val="single" w:sz="4" w:space="0" w:color="auto"/>
              <w:right w:val="single" w:sz="4" w:space="0" w:color="auto"/>
            </w:tcBorders>
            <w:shd w:val="clear" w:color="000000" w:fill="D9E1F2"/>
            <w:vAlign w:val="center"/>
            <w:hideMark/>
          </w:tcPr>
          <w:p w14:paraId="49AD5FE3"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399" w:type="pct"/>
            <w:tcBorders>
              <w:top w:val="nil"/>
              <w:left w:val="nil"/>
              <w:bottom w:val="single" w:sz="4" w:space="0" w:color="auto"/>
              <w:right w:val="single" w:sz="4" w:space="0" w:color="auto"/>
            </w:tcBorders>
            <w:shd w:val="clear" w:color="000000" w:fill="D9E1F2"/>
            <w:vAlign w:val="center"/>
            <w:hideMark/>
          </w:tcPr>
          <w:p w14:paraId="1B446534"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288" w:type="pct"/>
            <w:tcBorders>
              <w:top w:val="nil"/>
              <w:left w:val="nil"/>
              <w:bottom w:val="single" w:sz="4" w:space="0" w:color="auto"/>
              <w:right w:val="single" w:sz="4" w:space="0" w:color="auto"/>
            </w:tcBorders>
            <w:shd w:val="clear" w:color="000000" w:fill="D9E1F2"/>
            <w:vAlign w:val="center"/>
            <w:hideMark/>
          </w:tcPr>
          <w:p w14:paraId="29EB3849"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High</w:t>
            </w:r>
          </w:p>
        </w:tc>
        <w:tc>
          <w:tcPr>
            <w:tcW w:w="511" w:type="pct"/>
            <w:tcBorders>
              <w:top w:val="nil"/>
              <w:left w:val="nil"/>
              <w:bottom w:val="single" w:sz="4" w:space="0" w:color="auto"/>
              <w:right w:val="single" w:sz="4" w:space="0" w:color="auto"/>
            </w:tcBorders>
            <w:shd w:val="clear" w:color="000000" w:fill="D9E1F2"/>
            <w:vAlign w:val="center"/>
            <w:hideMark/>
          </w:tcPr>
          <w:p w14:paraId="3FDB0B6E"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Integrated age-structured (F+B)</w:t>
            </w:r>
          </w:p>
        </w:tc>
        <w:tc>
          <w:tcPr>
            <w:tcW w:w="793" w:type="pct"/>
            <w:tcBorders>
              <w:top w:val="nil"/>
              <w:left w:val="nil"/>
              <w:bottom w:val="single" w:sz="4" w:space="0" w:color="auto"/>
              <w:right w:val="single" w:sz="4" w:space="0" w:color="auto"/>
            </w:tcBorders>
            <w:shd w:val="clear" w:color="000000" w:fill="D9E1F2"/>
            <w:vAlign w:val="center"/>
            <w:hideMark/>
          </w:tcPr>
          <w:p w14:paraId="51525CAB" w14:textId="77777777" w:rsidR="00BA3E50" w:rsidRPr="00DA3B20" w:rsidRDefault="00BA3E50" w:rsidP="00365FA5">
            <w:pPr>
              <w:widowControl w:val="0"/>
              <w:adjustRightInd w:val="0"/>
              <w:snapToGrid w:val="0"/>
              <w:rPr>
                <w:sz w:val="18"/>
                <w:szCs w:val="18"/>
                <w:lang w:val="en-AU" w:eastAsia="en-AU"/>
              </w:rPr>
            </w:pPr>
            <w:r w:rsidRPr="00DA3B20">
              <w:rPr>
                <w:sz w:val="18"/>
                <w:szCs w:val="18"/>
                <w:lang w:val="en-AU" w:eastAsia="en-AU"/>
              </w:rPr>
              <w:t>There was no decision on whether WCPFC should fund SPC participation</w:t>
            </w:r>
          </w:p>
        </w:tc>
      </w:tr>
      <w:tr w:rsidR="00BA3E50" w:rsidRPr="00DA3B20" w14:paraId="6F085D85" w14:textId="77777777" w:rsidTr="00365FA5">
        <w:tc>
          <w:tcPr>
            <w:tcW w:w="491" w:type="pct"/>
            <w:vMerge w:val="restart"/>
            <w:tcBorders>
              <w:top w:val="nil"/>
              <w:left w:val="single" w:sz="4" w:space="0" w:color="auto"/>
              <w:bottom w:val="single" w:sz="4" w:space="0" w:color="auto"/>
              <w:right w:val="single" w:sz="4" w:space="0" w:color="auto"/>
            </w:tcBorders>
            <w:shd w:val="clear" w:color="000000" w:fill="E7E6E6"/>
            <w:vAlign w:val="center"/>
            <w:hideMark/>
          </w:tcPr>
          <w:p w14:paraId="78E8E959"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Shortfin Mako</w:t>
            </w:r>
          </w:p>
        </w:tc>
        <w:tc>
          <w:tcPr>
            <w:tcW w:w="385" w:type="pct"/>
            <w:tcBorders>
              <w:top w:val="nil"/>
              <w:left w:val="nil"/>
              <w:bottom w:val="single" w:sz="4" w:space="0" w:color="auto"/>
              <w:right w:val="single" w:sz="4" w:space="0" w:color="auto"/>
            </w:tcBorders>
            <w:shd w:val="clear" w:color="000000" w:fill="E7E6E6"/>
            <w:vAlign w:val="center"/>
            <w:hideMark/>
          </w:tcPr>
          <w:p w14:paraId="1A4CF0E6"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SW, SE or full South Pacific</w:t>
            </w:r>
          </w:p>
        </w:tc>
        <w:tc>
          <w:tcPr>
            <w:tcW w:w="371" w:type="pct"/>
            <w:tcBorders>
              <w:top w:val="nil"/>
              <w:left w:val="nil"/>
              <w:bottom w:val="single" w:sz="4" w:space="0" w:color="auto"/>
              <w:right w:val="single" w:sz="4" w:space="0" w:color="auto"/>
            </w:tcBorders>
            <w:shd w:val="clear" w:color="000000" w:fill="E7E6E6"/>
            <w:vAlign w:val="center"/>
            <w:hideMark/>
          </w:tcPr>
          <w:p w14:paraId="14C25AE2"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w:t>
            </w:r>
          </w:p>
        </w:tc>
        <w:tc>
          <w:tcPr>
            <w:tcW w:w="556" w:type="pct"/>
            <w:tcBorders>
              <w:top w:val="nil"/>
              <w:left w:val="nil"/>
              <w:bottom w:val="single" w:sz="4" w:space="0" w:color="auto"/>
              <w:right w:val="single" w:sz="4" w:space="0" w:color="auto"/>
            </w:tcBorders>
            <w:shd w:val="clear" w:color="000000" w:fill="E7E6E6"/>
            <w:vAlign w:val="center"/>
            <w:hideMark/>
          </w:tcPr>
          <w:p w14:paraId="7F2553D5"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463" w:type="pct"/>
            <w:tcBorders>
              <w:top w:val="nil"/>
              <w:left w:val="nil"/>
              <w:bottom w:val="single" w:sz="4" w:space="0" w:color="auto"/>
              <w:right w:val="single" w:sz="4" w:space="0" w:color="auto"/>
            </w:tcBorders>
            <w:shd w:val="clear" w:color="000000" w:fill="E7E6E6"/>
            <w:vAlign w:val="center"/>
            <w:hideMark/>
          </w:tcPr>
          <w:p w14:paraId="560E1A5F"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SE Data preparation #1 (ABNJ)</w:t>
            </w:r>
          </w:p>
        </w:tc>
        <w:tc>
          <w:tcPr>
            <w:tcW w:w="371" w:type="pct"/>
            <w:tcBorders>
              <w:top w:val="nil"/>
              <w:left w:val="nil"/>
              <w:bottom w:val="single" w:sz="4" w:space="0" w:color="auto"/>
              <w:right w:val="single" w:sz="4" w:space="0" w:color="auto"/>
            </w:tcBorders>
            <w:shd w:val="clear" w:color="000000" w:fill="E7E6E6"/>
            <w:vAlign w:val="center"/>
            <w:hideMark/>
          </w:tcPr>
          <w:p w14:paraId="7616A26C"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SW Data preparation (SPC)</w:t>
            </w:r>
          </w:p>
        </w:tc>
        <w:tc>
          <w:tcPr>
            <w:tcW w:w="371" w:type="pct"/>
            <w:tcBorders>
              <w:top w:val="nil"/>
              <w:left w:val="nil"/>
              <w:bottom w:val="single" w:sz="4" w:space="0" w:color="auto"/>
              <w:right w:val="single" w:sz="4" w:space="0" w:color="auto"/>
            </w:tcBorders>
            <w:shd w:val="clear" w:color="000000" w:fill="E7E6E6"/>
            <w:vAlign w:val="center"/>
            <w:hideMark/>
          </w:tcPr>
          <w:p w14:paraId="5D62095C" w14:textId="77777777" w:rsidR="00BA3E50" w:rsidRPr="00DA3B20" w:rsidRDefault="00BA3E50" w:rsidP="00365FA5">
            <w:pPr>
              <w:widowControl w:val="0"/>
              <w:adjustRightInd w:val="0"/>
              <w:snapToGrid w:val="0"/>
              <w:jc w:val="center"/>
              <w:rPr>
                <w:bCs/>
                <w:sz w:val="18"/>
                <w:szCs w:val="18"/>
                <w:lang w:val="en-AU" w:eastAsia="en-AU"/>
              </w:rPr>
            </w:pPr>
            <w:r w:rsidRPr="00DA3B20">
              <w:rPr>
                <w:bCs/>
                <w:sz w:val="18"/>
                <w:szCs w:val="18"/>
                <w:lang w:val="en-AU" w:eastAsia="en-AU"/>
              </w:rPr>
              <w:t>Assessment (if data supports) #2</w:t>
            </w:r>
          </w:p>
        </w:tc>
        <w:tc>
          <w:tcPr>
            <w:tcW w:w="399" w:type="pct"/>
            <w:tcBorders>
              <w:top w:val="nil"/>
              <w:left w:val="nil"/>
              <w:bottom w:val="single" w:sz="4" w:space="0" w:color="auto"/>
              <w:right w:val="single" w:sz="4" w:space="0" w:color="auto"/>
            </w:tcBorders>
            <w:shd w:val="clear" w:color="000000" w:fill="E7E6E6"/>
            <w:vAlign w:val="center"/>
            <w:hideMark/>
          </w:tcPr>
          <w:p w14:paraId="150DFFA4"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288" w:type="pct"/>
            <w:tcBorders>
              <w:top w:val="nil"/>
              <w:left w:val="nil"/>
              <w:bottom w:val="single" w:sz="4" w:space="0" w:color="auto"/>
              <w:right w:val="single" w:sz="4" w:space="0" w:color="auto"/>
            </w:tcBorders>
            <w:shd w:val="clear" w:color="000000" w:fill="E7E6E6"/>
            <w:vAlign w:val="center"/>
            <w:hideMark/>
          </w:tcPr>
          <w:p w14:paraId="5514FBA9"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High</w:t>
            </w:r>
          </w:p>
        </w:tc>
        <w:tc>
          <w:tcPr>
            <w:tcW w:w="511" w:type="pct"/>
            <w:tcBorders>
              <w:top w:val="nil"/>
              <w:left w:val="nil"/>
              <w:bottom w:val="single" w:sz="4" w:space="0" w:color="auto"/>
              <w:right w:val="single" w:sz="4" w:space="0" w:color="auto"/>
            </w:tcBorders>
            <w:shd w:val="clear" w:color="000000" w:fill="E7E6E6"/>
            <w:vAlign w:val="center"/>
            <w:hideMark/>
          </w:tcPr>
          <w:p w14:paraId="21076E5E"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Integrated or surplus production stock assessment (F+B)</w:t>
            </w:r>
          </w:p>
        </w:tc>
        <w:tc>
          <w:tcPr>
            <w:tcW w:w="793" w:type="pct"/>
            <w:tcBorders>
              <w:top w:val="nil"/>
              <w:left w:val="nil"/>
              <w:bottom w:val="single" w:sz="4" w:space="0" w:color="auto"/>
              <w:right w:val="single" w:sz="4" w:space="0" w:color="auto"/>
            </w:tcBorders>
            <w:shd w:val="clear" w:color="000000" w:fill="E7E6E6"/>
            <w:vAlign w:val="center"/>
            <w:hideMark/>
          </w:tcPr>
          <w:p w14:paraId="3521DC2C" w14:textId="77777777" w:rsidR="00BA3E50" w:rsidRPr="00DA3B20" w:rsidRDefault="00BA3E50" w:rsidP="00365FA5">
            <w:pPr>
              <w:widowControl w:val="0"/>
              <w:adjustRightInd w:val="0"/>
              <w:snapToGrid w:val="0"/>
              <w:rPr>
                <w:sz w:val="18"/>
                <w:szCs w:val="18"/>
                <w:lang w:val="en-AU" w:eastAsia="en-AU"/>
              </w:rPr>
            </w:pPr>
            <w:r w:rsidRPr="00DA3B20">
              <w:rPr>
                <w:sz w:val="18"/>
                <w:szCs w:val="18"/>
                <w:lang w:val="en-AU" w:eastAsia="en-AU"/>
              </w:rPr>
              <w:t>SW Pacific data prep by SPC is required regardless of assessment region.</w:t>
            </w:r>
            <w:r w:rsidRPr="00DA3B20">
              <w:rPr>
                <w:sz w:val="18"/>
                <w:szCs w:val="18"/>
                <w:lang w:val="en-AU" w:eastAsia="en-AU"/>
              </w:rPr>
              <w:br/>
              <w:t>South Pacific wide is an option only if SE Pacific data are prepared.  ABNJ cannot fund the assessment.</w:t>
            </w:r>
          </w:p>
        </w:tc>
      </w:tr>
      <w:tr w:rsidR="00BA3E50" w:rsidRPr="00DA3B20" w14:paraId="59493392" w14:textId="77777777" w:rsidTr="00365FA5">
        <w:tc>
          <w:tcPr>
            <w:tcW w:w="491" w:type="pct"/>
            <w:vMerge/>
            <w:tcBorders>
              <w:top w:val="nil"/>
              <w:left w:val="single" w:sz="4" w:space="0" w:color="auto"/>
              <w:bottom w:val="single" w:sz="4" w:space="0" w:color="auto"/>
              <w:right w:val="single" w:sz="4" w:space="0" w:color="auto"/>
            </w:tcBorders>
            <w:vAlign w:val="center"/>
            <w:hideMark/>
          </w:tcPr>
          <w:p w14:paraId="2EF8B9D8" w14:textId="77777777" w:rsidR="00BA3E50" w:rsidRPr="00DA3B20" w:rsidRDefault="00BA3E50" w:rsidP="00365FA5">
            <w:pPr>
              <w:widowControl w:val="0"/>
              <w:adjustRightInd w:val="0"/>
              <w:snapToGrid w:val="0"/>
              <w:rPr>
                <w:color w:val="000000"/>
                <w:sz w:val="18"/>
                <w:szCs w:val="18"/>
                <w:lang w:val="en-AU" w:eastAsia="en-AU"/>
              </w:rPr>
            </w:pPr>
          </w:p>
        </w:tc>
        <w:tc>
          <w:tcPr>
            <w:tcW w:w="385" w:type="pct"/>
            <w:tcBorders>
              <w:top w:val="nil"/>
              <w:left w:val="nil"/>
              <w:bottom w:val="single" w:sz="4" w:space="0" w:color="auto"/>
              <w:right w:val="single" w:sz="4" w:space="0" w:color="auto"/>
            </w:tcBorders>
            <w:shd w:val="clear" w:color="000000" w:fill="E7E6E6"/>
            <w:vAlign w:val="center"/>
            <w:hideMark/>
          </w:tcPr>
          <w:p w14:paraId="16FE5722"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North Pacific</w:t>
            </w:r>
          </w:p>
        </w:tc>
        <w:tc>
          <w:tcPr>
            <w:tcW w:w="371" w:type="pct"/>
            <w:tcBorders>
              <w:top w:val="nil"/>
              <w:left w:val="nil"/>
              <w:bottom w:val="single" w:sz="4" w:space="0" w:color="auto"/>
              <w:right w:val="single" w:sz="4" w:space="0" w:color="auto"/>
            </w:tcBorders>
            <w:shd w:val="clear" w:color="000000" w:fill="E7E6E6"/>
            <w:vAlign w:val="center"/>
            <w:hideMark/>
          </w:tcPr>
          <w:p w14:paraId="366167A7"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2015 (Indicator analysis)</w:t>
            </w:r>
          </w:p>
        </w:tc>
        <w:tc>
          <w:tcPr>
            <w:tcW w:w="556" w:type="pct"/>
            <w:tcBorders>
              <w:top w:val="nil"/>
              <w:left w:val="nil"/>
              <w:bottom w:val="single" w:sz="4" w:space="0" w:color="auto"/>
              <w:right w:val="single" w:sz="4" w:space="0" w:color="auto"/>
            </w:tcBorders>
            <w:shd w:val="clear" w:color="000000" w:fill="E7E6E6"/>
            <w:vAlign w:val="center"/>
            <w:hideMark/>
          </w:tcPr>
          <w:p w14:paraId="51D24344"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Assessment  (ISC) (SC14-SA-WP-11)</w:t>
            </w:r>
          </w:p>
        </w:tc>
        <w:tc>
          <w:tcPr>
            <w:tcW w:w="463" w:type="pct"/>
            <w:tcBorders>
              <w:top w:val="nil"/>
              <w:left w:val="nil"/>
              <w:bottom w:val="single" w:sz="4" w:space="0" w:color="auto"/>
              <w:right w:val="single" w:sz="4" w:space="0" w:color="auto"/>
            </w:tcBorders>
            <w:shd w:val="clear" w:color="000000" w:fill="E7E6E6"/>
            <w:vAlign w:val="center"/>
            <w:hideMark/>
          </w:tcPr>
          <w:p w14:paraId="0A6B5A21"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E7E6E6"/>
            <w:vAlign w:val="center"/>
            <w:hideMark/>
          </w:tcPr>
          <w:p w14:paraId="536D4FF8"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E7E6E6"/>
            <w:vAlign w:val="center"/>
            <w:hideMark/>
          </w:tcPr>
          <w:p w14:paraId="23A1CED6"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Assessment (ISC)</w:t>
            </w:r>
          </w:p>
        </w:tc>
        <w:tc>
          <w:tcPr>
            <w:tcW w:w="399" w:type="pct"/>
            <w:tcBorders>
              <w:top w:val="nil"/>
              <w:left w:val="nil"/>
              <w:bottom w:val="single" w:sz="4" w:space="0" w:color="auto"/>
              <w:right w:val="single" w:sz="4" w:space="0" w:color="auto"/>
            </w:tcBorders>
            <w:shd w:val="clear" w:color="000000" w:fill="E7E6E6"/>
            <w:vAlign w:val="center"/>
            <w:hideMark/>
          </w:tcPr>
          <w:p w14:paraId="1188B73F"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E7E6E6"/>
            <w:vAlign w:val="center"/>
            <w:hideMark/>
          </w:tcPr>
          <w:p w14:paraId="44EA94A6"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High</w:t>
            </w:r>
          </w:p>
        </w:tc>
        <w:tc>
          <w:tcPr>
            <w:tcW w:w="511" w:type="pct"/>
            <w:tcBorders>
              <w:top w:val="nil"/>
              <w:left w:val="nil"/>
              <w:bottom w:val="single" w:sz="4" w:space="0" w:color="auto"/>
              <w:right w:val="single" w:sz="4" w:space="0" w:color="auto"/>
            </w:tcBorders>
            <w:shd w:val="clear" w:color="000000" w:fill="E7E6E6"/>
            <w:vAlign w:val="center"/>
            <w:hideMark/>
          </w:tcPr>
          <w:p w14:paraId="765576F3"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Integrated age-structured (F+B)</w:t>
            </w:r>
          </w:p>
        </w:tc>
        <w:tc>
          <w:tcPr>
            <w:tcW w:w="793" w:type="pct"/>
            <w:tcBorders>
              <w:top w:val="nil"/>
              <w:left w:val="nil"/>
              <w:bottom w:val="single" w:sz="4" w:space="0" w:color="auto"/>
              <w:right w:val="single" w:sz="4" w:space="0" w:color="auto"/>
            </w:tcBorders>
            <w:shd w:val="clear" w:color="000000" w:fill="E7E6E6"/>
            <w:vAlign w:val="center"/>
            <w:hideMark/>
          </w:tcPr>
          <w:p w14:paraId="47C12F87" w14:textId="77777777"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There was no decision on whether WCPFC should fund SPC participation</w:t>
            </w:r>
          </w:p>
        </w:tc>
      </w:tr>
      <w:tr w:rsidR="00BA3E50" w:rsidRPr="00DA3B20" w14:paraId="463ED5DA" w14:textId="77777777" w:rsidTr="00365FA5">
        <w:tc>
          <w:tcPr>
            <w:tcW w:w="491" w:type="pct"/>
            <w:tcBorders>
              <w:top w:val="nil"/>
              <w:left w:val="single" w:sz="4" w:space="0" w:color="auto"/>
              <w:bottom w:val="single" w:sz="4" w:space="0" w:color="auto"/>
              <w:right w:val="single" w:sz="4" w:space="0" w:color="auto"/>
            </w:tcBorders>
            <w:shd w:val="clear" w:color="000000" w:fill="E7E6E6"/>
            <w:vAlign w:val="center"/>
            <w:hideMark/>
          </w:tcPr>
          <w:p w14:paraId="684C4699"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Longfin Mako</w:t>
            </w:r>
          </w:p>
        </w:tc>
        <w:tc>
          <w:tcPr>
            <w:tcW w:w="385" w:type="pct"/>
            <w:tcBorders>
              <w:top w:val="nil"/>
              <w:left w:val="nil"/>
              <w:bottom w:val="single" w:sz="4" w:space="0" w:color="auto"/>
              <w:right w:val="single" w:sz="4" w:space="0" w:color="auto"/>
            </w:tcBorders>
            <w:shd w:val="clear" w:color="000000" w:fill="E7E6E6"/>
            <w:vAlign w:val="center"/>
            <w:hideMark/>
          </w:tcPr>
          <w:p w14:paraId="513D3E43"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E7E6E6"/>
            <w:vAlign w:val="center"/>
            <w:hideMark/>
          </w:tcPr>
          <w:p w14:paraId="358A72A6"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556" w:type="pct"/>
            <w:tcBorders>
              <w:top w:val="nil"/>
              <w:left w:val="nil"/>
              <w:bottom w:val="single" w:sz="4" w:space="0" w:color="auto"/>
              <w:right w:val="single" w:sz="4" w:space="0" w:color="auto"/>
            </w:tcBorders>
            <w:shd w:val="clear" w:color="000000" w:fill="E7E6E6"/>
            <w:vAlign w:val="center"/>
            <w:hideMark/>
          </w:tcPr>
          <w:p w14:paraId="1B5D09C6"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463" w:type="pct"/>
            <w:tcBorders>
              <w:top w:val="nil"/>
              <w:left w:val="nil"/>
              <w:bottom w:val="single" w:sz="4" w:space="0" w:color="auto"/>
              <w:right w:val="single" w:sz="4" w:space="0" w:color="auto"/>
            </w:tcBorders>
            <w:shd w:val="clear" w:color="000000" w:fill="E7E6E6"/>
            <w:vAlign w:val="center"/>
            <w:hideMark/>
          </w:tcPr>
          <w:p w14:paraId="5B4C9EA2"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E7E6E6"/>
            <w:vAlign w:val="center"/>
            <w:hideMark/>
          </w:tcPr>
          <w:p w14:paraId="256EA56A"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E7E6E6"/>
            <w:vAlign w:val="center"/>
            <w:hideMark/>
          </w:tcPr>
          <w:p w14:paraId="20CC90F4"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E7E6E6"/>
            <w:vAlign w:val="center"/>
            <w:hideMark/>
          </w:tcPr>
          <w:p w14:paraId="62E19204"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E7E6E6"/>
            <w:vAlign w:val="center"/>
            <w:hideMark/>
          </w:tcPr>
          <w:p w14:paraId="02AB9832"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single" w:sz="4" w:space="0" w:color="auto"/>
              <w:right w:val="single" w:sz="4" w:space="0" w:color="auto"/>
            </w:tcBorders>
            <w:shd w:val="clear" w:color="000000" w:fill="E7E6E6"/>
            <w:vAlign w:val="center"/>
            <w:hideMark/>
          </w:tcPr>
          <w:p w14:paraId="0BFA697E"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xml:space="preserve"> EASI-Fish, SAFE or similar</w:t>
            </w:r>
          </w:p>
        </w:tc>
        <w:tc>
          <w:tcPr>
            <w:tcW w:w="793" w:type="pct"/>
            <w:tcBorders>
              <w:top w:val="nil"/>
              <w:left w:val="nil"/>
              <w:bottom w:val="single" w:sz="4" w:space="0" w:color="auto"/>
              <w:right w:val="single" w:sz="4" w:space="0" w:color="auto"/>
            </w:tcBorders>
            <w:shd w:val="clear" w:color="000000" w:fill="E7E6E6"/>
            <w:vAlign w:val="center"/>
            <w:hideMark/>
          </w:tcPr>
          <w:p w14:paraId="20ADCA83" w14:textId="77777777"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 </w:t>
            </w:r>
          </w:p>
        </w:tc>
      </w:tr>
      <w:tr w:rsidR="00BA3E50" w:rsidRPr="00DA3B20" w14:paraId="4E1CB995" w14:textId="77777777" w:rsidTr="00365FA5">
        <w:tc>
          <w:tcPr>
            <w:tcW w:w="491" w:type="pct"/>
            <w:tcBorders>
              <w:top w:val="nil"/>
              <w:left w:val="single" w:sz="4" w:space="0" w:color="auto"/>
              <w:bottom w:val="single" w:sz="4" w:space="0" w:color="auto"/>
              <w:right w:val="single" w:sz="4" w:space="0" w:color="auto"/>
            </w:tcBorders>
            <w:shd w:val="clear" w:color="000000" w:fill="FFF2CC"/>
            <w:vAlign w:val="center"/>
            <w:hideMark/>
          </w:tcPr>
          <w:p w14:paraId="739EE7B8"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Porbeagle</w:t>
            </w:r>
          </w:p>
        </w:tc>
        <w:tc>
          <w:tcPr>
            <w:tcW w:w="385" w:type="pct"/>
            <w:tcBorders>
              <w:top w:val="nil"/>
              <w:left w:val="nil"/>
              <w:bottom w:val="single" w:sz="4" w:space="0" w:color="auto"/>
              <w:right w:val="single" w:sz="4" w:space="0" w:color="auto"/>
            </w:tcBorders>
            <w:shd w:val="clear" w:color="000000" w:fill="FFF2CC"/>
            <w:vAlign w:val="center"/>
            <w:hideMark/>
          </w:tcPr>
          <w:p w14:paraId="322C65FF"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Pacific-wide (southern hemisphere)</w:t>
            </w:r>
          </w:p>
        </w:tc>
        <w:tc>
          <w:tcPr>
            <w:tcW w:w="371" w:type="pct"/>
            <w:tcBorders>
              <w:top w:val="nil"/>
              <w:left w:val="nil"/>
              <w:bottom w:val="single" w:sz="4" w:space="0" w:color="auto"/>
              <w:right w:val="single" w:sz="4" w:space="0" w:color="auto"/>
            </w:tcBorders>
            <w:shd w:val="clear" w:color="000000" w:fill="FFF2CC"/>
            <w:vAlign w:val="center"/>
            <w:hideMark/>
          </w:tcPr>
          <w:p w14:paraId="6C51ADB1"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2017 (ABNJ)</w:t>
            </w:r>
          </w:p>
        </w:tc>
        <w:tc>
          <w:tcPr>
            <w:tcW w:w="556" w:type="pct"/>
            <w:tcBorders>
              <w:top w:val="nil"/>
              <w:left w:val="nil"/>
              <w:bottom w:val="single" w:sz="4" w:space="0" w:color="auto"/>
              <w:right w:val="single" w:sz="4" w:space="0" w:color="auto"/>
            </w:tcBorders>
            <w:shd w:val="clear" w:color="000000" w:fill="FFF2CC"/>
            <w:vAlign w:val="center"/>
            <w:hideMark/>
          </w:tcPr>
          <w:p w14:paraId="14815923"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463" w:type="pct"/>
            <w:tcBorders>
              <w:top w:val="nil"/>
              <w:left w:val="nil"/>
              <w:bottom w:val="single" w:sz="4" w:space="0" w:color="auto"/>
              <w:right w:val="single" w:sz="4" w:space="0" w:color="auto"/>
            </w:tcBorders>
            <w:shd w:val="clear" w:color="000000" w:fill="FFF2CC"/>
            <w:vAlign w:val="center"/>
            <w:hideMark/>
          </w:tcPr>
          <w:p w14:paraId="414554AE"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F2CC"/>
            <w:vAlign w:val="center"/>
            <w:hideMark/>
          </w:tcPr>
          <w:p w14:paraId="1BCE5D32"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F2CC"/>
            <w:vAlign w:val="center"/>
            <w:hideMark/>
          </w:tcPr>
          <w:p w14:paraId="56DA13AA"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FFF2CC"/>
            <w:vAlign w:val="center"/>
            <w:hideMark/>
          </w:tcPr>
          <w:p w14:paraId="07314C0F"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FFF2CC"/>
            <w:vAlign w:val="center"/>
            <w:hideMark/>
          </w:tcPr>
          <w:p w14:paraId="093F9320"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single" w:sz="4" w:space="0" w:color="auto"/>
              <w:right w:val="single" w:sz="4" w:space="0" w:color="auto"/>
            </w:tcBorders>
            <w:shd w:val="clear" w:color="000000" w:fill="FFF2CC"/>
            <w:vAlign w:val="center"/>
            <w:hideMark/>
          </w:tcPr>
          <w:p w14:paraId="66FBE486"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Spatially-explicit risk assessment (F only)</w:t>
            </w:r>
          </w:p>
        </w:tc>
        <w:tc>
          <w:tcPr>
            <w:tcW w:w="793" w:type="pct"/>
            <w:tcBorders>
              <w:top w:val="nil"/>
              <w:left w:val="nil"/>
              <w:bottom w:val="single" w:sz="4" w:space="0" w:color="auto"/>
              <w:right w:val="single" w:sz="4" w:space="0" w:color="auto"/>
            </w:tcBorders>
            <w:shd w:val="clear" w:color="000000" w:fill="FFF2CC"/>
            <w:vAlign w:val="center"/>
            <w:hideMark/>
          </w:tcPr>
          <w:p w14:paraId="687AE7D5" w14:textId="77777777"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2017 assessment showed low risk</w:t>
            </w:r>
          </w:p>
        </w:tc>
      </w:tr>
      <w:tr w:rsidR="00BA3E50" w:rsidRPr="00DA3B20" w14:paraId="3F651539" w14:textId="77777777" w:rsidTr="00365FA5">
        <w:tc>
          <w:tcPr>
            <w:tcW w:w="491" w:type="pct"/>
            <w:tcBorders>
              <w:top w:val="nil"/>
              <w:left w:val="single" w:sz="4" w:space="0" w:color="auto"/>
              <w:bottom w:val="single" w:sz="4" w:space="0" w:color="auto"/>
              <w:right w:val="single" w:sz="4" w:space="0" w:color="auto"/>
            </w:tcBorders>
            <w:shd w:val="clear" w:color="000000" w:fill="FFCA33"/>
            <w:vAlign w:val="center"/>
            <w:hideMark/>
          </w:tcPr>
          <w:p w14:paraId="3F0875DA"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Bigeye thresher</w:t>
            </w:r>
          </w:p>
        </w:tc>
        <w:tc>
          <w:tcPr>
            <w:tcW w:w="385" w:type="pct"/>
            <w:tcBorders>
              <w:top w:val="nil"/>
              <w:left w:val="nil"/>
              <w:bottom w:val="single" w:sz="4" w:space="0" w:color="auto"/>
              <w:right w:val="single" w:sz="4" w:space="0" w:color="auto"/>
            </w:tcBorders>
            <w:shd w:val="clear" w:color="000000" w:fill="FFCA33"/>
            <w:vAlign w:val="center"/>
            <w:hideMark/>
          </w:tcPr>
          <w:p w14:paraId="429DF52D"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Pacific-wide</w:t>
            </w:r>
          </w:p>
        </w:tc>
        <w:tc>
          <w:tcPr>
            <w:tcW w:w="371" w:type="pct"/>
            <w:tcBorders>
              <w:top w:val="nil"/>
              <w:left w:val="nil"/>
              <w:bottom w:val="single" w:sz="4" w:space="0" w:color="auto"/>
              <w:right w:val="single" w:sz="4" w:space="0" w:color="auto"/>
            </w:tcBorders>
            <w:shd w:val="clear" w:color="000000" w:fill="FFCA33"/>
            <w:vAlign w:val="center"/>
            <w:hideMark/>
          </w:tcPr>
          <w:p w14:paraId="40D3960A"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2017 (ABNJ)</w:t>
            </w:r>
          </w:p>
        </w:tc>
        <w:tc>
          <w:tcPr>
            <w:tcW w:w="556" w:type="pct"/>
            <w:tcBorders>
              <w:top w:val="nil"/>
              <w:left w:val="nil"/>
              <w:bottom w:val="single" w:sz="4" w:space="0" w:color="auto"/>
              <w:right w:val="single" w:sz="4" w:space="0" w:color="auto"/>
            </w:tcBorders>
            <w:shd w:val="clear" w:color="000000" w:fill="FFCA33"/>
            <w:vAlign w:val="center"/>
            <w:hideMark/>
          </w:tcPr>
          <w:p w14:paraId="102FDD8B"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463" w:type="pct"/>
            <w:tcBorders>
              <w:top w:val="nil"/>
              <w:left w:val="nil"/>
              <w:bottom w:val="single" w:sz="4" w:space="0" w:color="auto"/>
              <w:right w:val="single" w:sz="4" w:space="0" w:color="auto"/>
            </w:tcBorders>
            <w:shd w:val="clear" w:color="000000" w:fill="FFCA33"/>
            <w:vAlign w:val="center"/>
            <w:hideMark/>
          </w:tcPr>
          <w:p w14:paraId="1752E428"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14:paraId="62079105"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14:paraId="57535963"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FFCA33"/>
            <w:vAlign w:val="center"/>
            <w:hideMark/>
          </w:tcPr>
          <w:p w14:paraId="33990C5F"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FFCA33"/>
            <w:vAlign w:val="center"/>
            <w:hideMark/>
          </w:tcPr>
          <w:p w14:paraId="117C7773"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Medium</w:t>
            </w:r>
          </w:p>
        </w:tc>
        <w:tc>
          <w:tcPr>
            <w:tcW w:w="511" w:type="pct"/>
            <w:tcBorders>
              <w:top w:val="nil"/>
              <w:left w:val="nil"/>
              <w:bottom w:val="single" w:sz="4" w:space="0" w:color="auto"/>
              <w:right w:val="single" w:sz="4" w:space="0" w:color="auto"/>
            </w:tcBorders>
            <w:shd w:val="clear" w:color="000000" w:fill="FFCA33"/>
            <w:vAlign w:val="center"/>
            <w:hideMark/>
          </w:tcPr>
          <w:p w14:paraId="6EFF2F92"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Spatially-explicit risk assessment (F only)</w:t>
            </w:r>
          </w:p>
        </w:tc>
        <w:tc>
          <w:tcPr>
            <w:tcW w:w="793" w:type="pct"/>
            <w:tcBorders>
              <w:top w:val="nil"/>
              <w:left w:val="nil"/>
              <w:bottom w:val="single" w:sz="4" w:space="0" w:color="auto"/>
              <w:right w:val="single" w:sz="4" w:space="0" w:color="auto"/>
            </w:tcBorders>
            <w:shd w:val="clear" w:color="000000" w:fill="FFCA33"/>
            <w:vAlign w:val="center"/>
            <w:hideMark/>
          </w:tcPr>
          <w:p w14:paraId="4ED0E81A" w14:textId="77777777"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2017 assessment showed F exceeds notional limit reference points in some areas</w:t>
            </w:r>
          </w:p>
        </w:tc>
      </w:tr>
      <w:tr w:rsidR="00BA3E50" w:rsidRPr="00DA3B20" w14:paraId="2674F41B" w14:textId="77777777" w:rsidTr="00365FA5">
        <w:tc>
          <w:tcPr>
            <w:tcW w:w="491" w:type="pct"/>
            <w:tcBorders>
              <w:top w:val="nil"/>
              <w:left w:val="single" w:sz="4" w:space="0" w:color="auto"/>
              <w:bottom w:val="single" w:sz="4" w:space="0" w:color="auto"/>
              <w:right w:val="single" w:sz="4" w:space="0" w:color="auto"/>
            </w:tcBorders>
            <w:shd w:val="clear" w:color="000000" w:fill="FFCA33"/>
            <w:vAlign w:val="center"/>
            <w:hideMark/>
          </w:tcPr>
          <w:p w14:paraId="23EBF524"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Common thresher</w:t>
            </w:r>
          </w:p>
        </w:tc>
        <w:tc>
          <w:tcPr>
            <w:tcW w:w="385" w:type="pct"/>
            <w:tcBorders>
              <w:top w:val="nil"/>
              <w:left w:val="nil"/>
              <w:bottom w:val="single" w:sz="4" w:space="0" w:color="auto"/>
              <w:right w:val="single" w:sz="4" w:space="0" w:color="auto"/>
            </w:tcBorders>
            <w:shd w:val="clear" w:color="000000" w:fill="FFCA33"/>
            <w:vAlign w:val="center"/>
            <w:hideMark/>
          </w:tcPr>
          <w:p w14:paraId="2E2819DB"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14:paraId="5374ADBD"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556" w:type="pct"/>
            <w:tcBorders>
              <w:top w:val="nil"/>
              <w:left w:val="nil"/>
              <w:bottom w:val="single" w:sz="4" w:space="0" w:color="auto"/>
              <w:right w:val="single" w:sz="4" w:space="0" w:color="auto"/>
            </w:tcBorders>
            <w:shd w:val="clear" w:color="000000" w:fill="FFCA33"/>
            <w:vAlign w:val="center"/>
            <w:hideMark/>
          </w:tcPr>
          <w:p w14:paraId="3E3A1AEE"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463" w:type="pct"/>
            <w:tcBorders>
              <w:top w:val="nil"/>
              <w:left w:val="nil"/>
              <w:bottom w:val="single" w:sz="4" w:space="0" w:color="auto"/>
              <w:right w:val="single" w:sz="4" w:space="0" w:color="auto"/>
            </w:tcBorders>
            <w:shd w:val="clear" w:color="000000" w:fill="FFCA33"/>
            <w:vAlign w:val="center"/>
            <w:hideMark/>
          </w:tcPr>
          <w:p w14:paraId="5627EC2F"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14:paraId="549CAB1A"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14:paraId="195CF118"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FFCA33"/>
            <w:vAlign w:val="center"/>
            <w:hideMark/>
          </w:tcPr>
          <w:p w14:paraId="1D99E7BC"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FFCA33"/>
            <w:vAlign w:val="center"/>
            <w:hideMark/>
          </w:tcPr>
          <w:p w14:paraId="345BCBBF"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low</w:t>
            </w:r>
          </w:p>
        </w:tc>
        <w:tc>
          <w:tcPr>
            <w:tcW w:w="511" w:type="pct"/>
            <w:tcBorders>
              <w:top w:val="nil"/>
              <w:left w:val="nil"/>
              <w:bottom w:val="single" w:sz="4" w:space="0" w:color="auto"/>
              <w:right w:val="single" w:sz="4" w:space="0" w:color="auto"/>
            </w:tcBorders>
            <w:shd w:val="clear" w:color="000000" w:fill="FFCA33"/>
            <w:vAlign w:val="center"/>
            <w:hideMark/>
          </w:tcPr>
          <w:p w14:paraId="40A43DEC"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xml:space="preserve"> EASI-Fish, SAFE or similar</w:t>
            </w:r>
          </w:p>
        </w:tc>
        <w:tc>
          <w:tcPr>
            <w:tcW w:w="793" w:type="pct"/>
            <w:tcBorders>
              <w:top w:val="nil"/>
              <w:left w:val="nil"/>
              <w:bottom w:val="single" w:sz="4" w:space="0" w:color="auto"/>
              <w:right w:val="single" w:sz="4" w:space="0" w:color="auto"/>
            </w:tcBorders>
            <w:shd w:val="clear" w:color="000000" w:fill="FFCA33"/>
            <w:vAlign w:val="center"/>
            <w:hideMark/>
          </w:tcPr>
          <w:p w14:paraId="77E850E9"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r>
      <w:tr w:rsidR="00BA3E50" w:rsidRPr="00DA3B20" w14:paraId="1188519B" w14:textId="77777777" w:rsidTr="00365FA5">
        <w:tc>
          <w:tcPr>
            <w:tcW w:w="491" w:type="pct"/>
            <w:tcBorders>
              <w:top w:val="nil"/>
              <w:left w:val="single" w:sz="4" w:space="0" w:color="auto"/>
              <w:bottom w:val="single" w:sz="4" w:space="0" w:color="auto"/>
              <w:right w:val="single" w:sz="4" w:space="0" w:color="auto"/>
            </w:tcBorders>
            <w:shd w:val="clear" w:color="000000" w:fill="FFCA33"/>
            <w:vAlign w:val="center"/>
            <w:hideMark/>
          </w:tcPr>
          <w:p w14:paraId="6FC57437"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Pelagic thresher</w:t>
            </w:r>
          </w:p>
        </w:tc>
        <w:tc>
          <w:tcPr>
            <w:tcW w:w="385" w:type="pct"/>
            <w:tcBorders>
              <w:top w:val="nil"/>
              <w:left w:val="nil"/>
              <w:bottom w:val="single" w:sz="4" w:space="0" w:color="auto"/>
              <w:right w:val="single" w:sz="4" w:space="0" w:color="auto"/>
            </w:tcBorders>
            <w:shd w:val="clear" w:color="000000" w:fill="FFCA33"/>
            <w:vAlign w:val="center"/>
            <w:hideMark/>
          </w:tcPr>
          <w:p w14:paraId="05085BF8"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14:paraId="2CBCE17B"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556" w:type="pct"/>
            <w:tcBorders>
              <w:top w:val="nil"/>
              <w:left w:val="nil"/>
              <w:bottom w:val="single" w:sz="4" w:space="0" w:color="auto"/>
              <w:right w:val="single" w:sz="4" w:space="0" w:color="auto"/>
            </w:tcBorders>
            <w:shd w:val="clear" w:color="000000" w:fill="FFCA33"/>
            <w:vAlign w:val="center"/>
            <w:hideMark/>
          </w:tcPr>
          <w:p w14:paraId="652301D9"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463" w:type="pct"/>
            <w:tcBorders>
              <w:top w:val="nil"/>
              <w:left w:val="nil"/>
              <w:bottom w:val="single" w:sz="4" w:space="0" w:color="auto"/>
              <w:right w:val="single" w:sz="4" w:space="0" w:color="auto"/>
            </w:tcBorders>
            <w:shd w:val="clear" w:color="000000" w:fill="FFCA33"/>
            <w:vAlign w:val="center"/>
            <w:hideMark/>
          </w:tcPr>
          <w:p w14:paraId="0B0ADDB1"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14:paraId="3AE78C71"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14:paraId="6003AD48"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FFCA33"/>
            <w:vAlign w:val="center"/>
            <w:hideMark/>
          </w:tcPr>
          <w:p w14:paraId="081B8205"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FFCA33"/>
            <w:vAlign w:val="center"/>
            <w:hideMark/>
          </w:tcPr>
          <w:p w14:paraId="2257ABA5" w14:textId="77777777"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low</w:t>
            </w:r>
          </w:p>
        </w:tc>
        <w:tc>
          <w:tcPr>
            <w:tcW w:w="511" w:type="pct"/>
            <w:tcBorders>
              <w:top w:val="nil"/>
              <w:left w:val="nil"/>
              <w:bottom w:val="single" w:sz="4" w:space="0" w:color="auto"/>
              <w:right w:val="single" w:sz="4" w:space="0" w:color="auto"/>
            </w:tcBorders>
            <w:shd w:val="clear" w:color="000000" w:fill="FFCA33"/>
            <w:vAlign w:val="center"/>
            <w:hideMark/>
          </w:tcPr>
          <w:p w14:paraId="1860AAC4"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xml:space="preserve"> EASI-Fish, SAFE or similar</w:t>
            </w:r>
          </w:p>
        </w:tc>
        <w:tc>
          <w:tcPr>
            <w:tcW w:w="793" w:type="pct"/>
            <w:tcBorders>
              <w:top w:val="nil"/>
              <w:left w:val="nil"/>
              <w:bottom w:val="single" w:sz="4" w:space="0" w:color="auto"/>
              <w:right w:val="single" w:sz="4" w:space="0" w:color="auto"/>
            </w:tcBorders>
            <w:shd w:val="clear" w:color="000000" w:fill="FFCA33"/>
            <w:vAlign w:val="center"/>
            <w:hideMark/>
          </w:tcPr>
          <w:p w14:paraId="4F83E22A"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r>
      <w:tr w:rsidR="00BA3E50" w:rsidRPr="00DA3B20" w14:paraId="3FECFF5F" w14:textId="77777777" w:rsidTr="00365FA5">
        <w:tc>
          <w:tcPr>
            <w:tcW w:w="491" w:type="pct"/>
            <w:tcBorders>
              <w:top w:val="nil"/>
              <w:left w:val="single" w:sz="4" w:space="0" w:color="auto"/>
              <w:bottom w:val="single" w:sz="4" w:space="0" w:color="auto"/>
              <w:right w:val="single" w:sz="4" w:space="0" w:color="auto"/>
            </w:tcBorders>
            <w:shd w:val="clear" w:color="000000" w:fill="FFCCFF"/>
            <w:vAlign w:val="center"/>
            <w:hideMark/>
          </w:tcPr>
          <w:p w14:paraId="35AF73D0"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Hammerhead</w:t>
            </w:r>
            <w:r w:rsidRPr="00DA3B20">
              <w:rPr>
                <w:color w:val="000000"/>
                <w:sz w:val="18"/>
                <w:szCs w:val="18"/>
                <w:lang w:val="en-AU" w:eastAsia="en-AU"/>
              </w:rPr>
              <w:br/>
              <w:t>(4 species)</w:t>
            </w:r>
          </w:p>
        </w:tc>
        <w:tc>
          <w:tcPr>
            <w:tcW w:w="385" w:type="pct"/>
            <w:tcBorders>
              <w:top w:val="nil"/>
              <w:left w:val="nil"/>
              <w:bottom w:val="single" w:sz="4" w:space="0" w:color="auto"/>
              <w:right w:val="single" w:sz="4" w:space="0" w:color="auto"/>
            </w:tcBorders>
            <w:shd w:val="clear" w:color="000000" w:fill="FFCCFF"/>
            <w:vAlign w:val="center"/>
            <w:hideMark/>
          </w:tcPr>
          <w:p w14:paraId="26FAB780"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WCPO</w:t>
            </w:r>
          </w:p>
        </w:tc>
        <w:tc>
          <w:tcPr>
            <w:tcW w:w="371" w:type="pct"/>
            <w:tcBorders>
              <w:top w:val="nil"/>
              <w:left w:val="nil"/>
              <w:bottom w:val="single" w:sz="4" w:space="0" w:color="auto"/>
              <w:right w:val="single" w:sz="4" w:space="0" w:color="auto"/>
            </w:tcBorders>
            <w:shd w:val="clear" w:color="000000" w:fill="FFCCFF"/>
            <w:vAlign w:val="center"/>
            <w:hideMark/>
          </w:tcPr>
          <w:p w14:paraId="7B5E612B"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t>
            </w:r>
          </w:p>
        </w:tc>
        <w:tc>
          <w:tcPr>
            <w:tcW w:w="556" w:type="pct"/>
            <w:tcBorders>
              <w:top w:val="nil"/>
              <w:left w:val="nil"/>
              <w:bottom w:val="single" w:sz="4" w:space="0" w:color="auto"/>
              <w:right w:val="single" w:sz="4" w:space="0" w:color="auto"/>
            </w:tcBorders>
            <w:shd w:val="clear" w:color="000000" w:fill="FFCCFF"/>
            <w:vAlign w:val="center"/>
            <w:hideMark/>
          </w:tcPr>
          <w:p w14:paraId="6EC2AD3F"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463" w:type="pct"/>
            <w:tcBorders>
              <w:top w:val="nil"/>
              <w:left w:val="nil"/>
              <w:bottom w:val="single" w:sz="4" w:space="0" w:color="auto"/>
              <w:right w:val="single" w:sz="4" w:space="0" w:color="auto"/>
            </w:tcBorders>
            <w:shd w:val="clear" w:color="000000" w:fill="FFCCFF"/>
            <w:vAlign w:val="center"/>
            <w:hideMark/>
          </w:tcPr>
          <w:p w14:paraId="3D7D4931"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strike/>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CFF"/>
            <w:vAlign w:val="center"/>
            <w:hideMark/>
          </w:tcPr>
          <w:p w14:paraId="0A6DA7A8"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strike/>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CFF"/>
            <w:vAlign w:val="center"/>
            <w:hideMark/>
          </w:tcPr>
          <w:p w14:paraId="2BC59D1E"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FFCCFF"/>
            <w:vAlign w:val="center"/>
            <w:hideMark/>
          </w:tcPr>
          <w:p w14:paraId="57294D81"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FFCCFF"/>
            <w:vAlign w:val="center"/>
            <w:hideMark/>
          </w:tcPr>
          <w:p w14:paraId="668F443F"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single" w:sz="4" w:space="0" w:color="auto"/>
              <w:right w:val="single" w:sz="4" w:space="0" w:color="auto"/>
            </w:tcBorders>
            <w:shd w:val="clear" w:color="000000" w:fill="FFCCFF"/>
            <w:vAlign w:val="center"/>
            <w:hideMark/>
          </w:tcPr>
          <w:p w14:paraId="213A24CB"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xml:space="preserve"> EASI-Fish, SAFE or similar</w:t>
            </w:r>
          </w:p>
        </w:tc>
        <w:tc>
          <w:tcPr>
            <w:tcW w:w="793" w:type="pct"/>
            <w:tcBorders>
              <w:top w:val="nil"/>
              <w:left w:val="nil"/>
              <w:bottom w:val="single" w:sz="4" w:space="0" w:color="auto"/>
              <w:right w:val="single" w:sz="4" w:space="0" w:color="auto"/>
            </w:tcBorders>
            <w:shd w:val="clear" w:color="000000" w:fill="FFCCFF"/>
            <w:vAlign w:val="center"/>
            <w:hideMark/>
          </w:tcPr>
          <w:p w14:paraId="4EA2358B" w14:textId="77777777"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only ~1200 hammerhead records since the start of observer programme (recently ~100 per year) and ~half are not species-specific</w:t>
            </w:r>
          </w:p>
        </w:tc>
      </w:tr>
      <w:tr w:rsidR="00BA3E50" w:rsidRPr="00DA3B20" w14:paraId="73C8C023" w14:textId="77777777" w:rsidTr="00365FA5">
        <w:tc>
          <w:tcPr>
            <w:tcW w:w="491" w:type="pct"/>
            <w:tcBorders>
              <w:top w:val="nil"/>
              <w:left w:val="single" w:sz="4" w:space="0" w:color="auto"/>
              <w:bottom w:val="single" w:sz="4" w:space="0" w:color="auto"/>
              <w:right w:val="single" w:sz="4" w:space="0" w:color="auto"/>
            </w:tcBorders>
            <w:shd w:val="clear" w:color="000000" w:fill="9999FF"/>
            <w:vAlign w:val="center"/>
            <w:hideMark/>
          </w:tcPr>
          <w:p w14:paraId="020DAC3E"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Whale Shark</w:t>
            </w:r>
          </w:p>
        </w:tc>
        <w:tc>
          <w:tcPr>
            <w:tcW w:w="385" w:type="pct"/>
            <w:tcBorders>
              <w:top w:val="nil"/>
              <w:left w:val="nil"/>
              <w:bottom w:val="single" w:sz="4" w:space="0" w:color="auto"/>
              <w:right w:val="single" w:sz="4" w:space="0" w:color="auto"/>
            </w:tcBorders>
            <w:shd w:val="clear" w:color="000000" w:fill="9999FF"/>
            <w:vAlign w:val="center"/>
            <w:hideMark/>
          </w:tcPr>
          <w:p w14:paraId="619579FF"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Pacific-wide</w:t>
            </w:r>
          </w:p>
        </w:tc>
        <w:tc>
          <w:tcPr>
            <w:tcW w:w="371" w:type="pct"/>
            <w:tcBorders>
              <w:top w:val="nil"/>
              <w:left w:val="nil"/>
              <w:bottom w:val="single" w:sz="4" w:space="0" w:color="auto"/>
              <w:right w:val="single" w:sz="4" w:space="0" w:color="auto"/>
            </w:tcBorders>
            <w:shd w:val="clear" w:color="000000" w:fill="9999FF"/>
            <w:vAlign w:val="center"/>
            <w:hideMark/>
          </w:tcPr>
          <w:p w14:paraId="3E7623AD"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t>
            </w:r>
          </w:p>
        </w:tc>
        <w:tc>
          <w:tcPr>
            <w:tcW w:w="556" w:type="pct"/>
            <w:tcBorders>
              <w:top w:val="nil"/>
              <w:left w:val="nil"/>
              <w:bottom w:val="single" w:sz="4" w:space="0" w:color="auto"/>
              <w:right w:val="single" w:sz="4" w:space="0" w:color="auto"/>
            </w:tcBorders>
            <w:shd w:val="clear" w:color="000000" w:fill="9999FF"/>
            <w:vAlign w:val="center"/>
            <w:hideMark/>
          </w:tcPr>
          <w:p w14:paraId="55436DE0"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Risk assessment (SC14-SA-WP-12)</w:t>
            </w:r>
          </w:p>
        </w:tc>
        <w:tc>
          <w:tcPr>
            <w:tcW w:w="463" w:type="pct"/>
            <w:tcBorders>
              <w:top w:val="nil"/>
              <w:left w:val="nil"/>
              <w:bottom w:val="single" w:sz="4" w:space="0" w:color="auto"/>
              <w:right w:val="single" w:sz="4" w:space="0" w:color="auto"/>
            </w:tcBorders>
            <w:shd w:val="clear" w:color="000000" w:fill="9999FF"/>
            <w:vAlign w:val="center"/>
            <w:hideMark/>
          </w:tcPr>
          <w:p w14:paraId="16DB15E6"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9999FF"/>
            <w:vAlign w:val="center"/>
            <w:hideMark/>
          </w:tcPr>
          <w:p w14:paraId="6DE3E521"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9999FF"/>
            <w:vAlign w:val="center"/>
            <w:hideMark/>
          </w:tcPr>
          <w:p w14:paraId="5ADA1541"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9999FF"/>
            <w:vAlign w:val="center"/>
            <w:hideMark/>
          </w:tcPr>
          <w:p w14:paraId="7B6E3899"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9999FF"/>
            <w:vAlign w:val="center"/>
            <w:hideMark/>
          </w:tcPr>
          <w:p w14:paraId="4E7E4B8E"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single" w:sz="4" w:space="0" w:color="auto"/>
              <w:right w:val="single" w:sz="4" w:space="0" w:color="auto"/>
            </w:tcBorders>
            <w:shd w:val="clear" w:color="000000" w:fill="9999FF"/>
            <w:vAlign w:val="center"/>
            <w:hideMark/>
          </w:tcPr>
          <w:p w14:paraId="5E2557BB"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Spatially-explicit risk assessment (time series of F only)</w:t>
            </w:r>
          </w:p>
        </w:tc>
        <w:tc>
          <w:tcPr>
            <w:tcW w:w="793" w:type="pct"/>
            <w:tcBorders>
              <w:top w:val="nil"/>
              <w:left w:val="nil"/>
              <w:bottom w:val="single" w:sz="4" w:space="0" w:color="auto"/>
              <w:right w:val="single" w:sz="4" w:space="0" w:color="auto"/>
            </w:tcBorders>
            <w:shd w:val="clear" w:color="000000" w:fill="9999FF"/>
            <w:vAlign w:val="center"/>
            <w:hideMark/>
          </w:tcPr>
          <w:p w14:paraId="59A39645" w14:textId="77777777"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2018 assessment showed low risk</w:t>
            </w:r>
          </w:p>
        </w:tc>
      </w:tr>
      <w:tr w:rsidR="00BA3E50" w:rsidRPr="00DA3B20" w14:paraId="6904026E" w14:textId="77777777" w:rsidTr="00365FA5">
        <w:tc>
          <w:tcPr>
            <w:tcW w:w="491" w:type="pct"/>
            <w:tcBorders>
              <w:top w:val="nil"/>
              <w:left w:val="single" w:sz="4" w:space="0" w:color="auto"/>
              <w:bottom w:val="single" w:sz="4" w:space="0" w:color="auto"/>
              <w:right w:val="single" w:sz="4" w:space="0" w:color="auto"/>
            </w:tcBorders>
            <w:shd w:val="clear" w:color="000000" w:fill="99FFCC"/>
            <w:vAlign w:val="center"/>
            <w:hideMark/>
          </w:tcPr>
          <w:p w14:paraId="777FEE35"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Manta and mobulids</w:t>
            </w:r>
            <w:r w:rsidRPr="00DA3B20">
              <w:rPr>
                <w:color w:val="000000"/>
                <w:sz w:val="18"/>
                <w:szCs w:val="18"/>
                <w:lang w:val="en-AU" w:eastAsia="en-AU"/>
              </w:rPr>
              <w:br/>
              <w:t>(8 species)</w:t>
            </w:r>
          </w:p>
        </w:tc>
        <w:tc>
          <w:tcPr>
            <w:tcW w:w="385" w:type="pct"/>
            <w:tcBorders>
              <w:top w:val="nil"/>
              <w:left w:val="nil"/>
              <w:bottom w:val="single" w:sz="4" w:space="0" w:color="auto"/>
              <w:right w:val="single" w:sz="4" w:space="0" w:color="auto"/>
            </w:tcBorders>
            <w:shd w:val="clear" w:color="000000" w:fill="99FFCC"/>
            <w:vAlign w:val="center"/>
            <w:hideMark/>
          </w:tcPr>
          <w:p w14:paraId="01E24BE3"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WCPO</w:t>
            </w:r>
          </w:p>
        </w:tc>
        <w:tc>
          <w:tcPr>
            <w:tcW w:w="371" w:type="pct"/>
            <w:tcBorders>
              <w:top w:val="nil"/>
              <w:left w:val="nil"/>
              <w:bottom w:val="single" w:sz="4" w:space="0" w:color="auto"/>
              <w:right w:val="single" w:sz="4" w:space="0" w:color="auto"/>
            </w:tcBorders>
            <w:shd w:val="clear" w:color="000000" w:fill="99FFCC"/>
            <w:vAlign w:val="center"/>
            <w:hideMark/>
          </w:tcPr>
          <w:p w14:paraId="6185F4D7"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t>
            </w:r>
          </w:p>
        </w:tc>
        <w:tc>
          <w:tcPr>
            <w:tcW w:w="556" w:type="pct"/>
            <w:tcBorders>
              <w:top w:val="nil"/>
              <w:left w:val="nil"/>
              <w:bottom w:val="single" w:sz="4" w:space="0" w:color="auto"/>
              <w:right w:val="single" w:sz="4" w:space="0" w:color="auto"/>
            </w:tcBorders>
            <w:shd w:val="clear" w:color="000000" w:fill="99FFCC"/>
            <w:vAlign w:val="center"/>
            <w:hideMark/>
          </w:tcPr>
          <w:p w14:paraId="6B0ED0D8"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Develop manta and mobulid - observer training and identification guides (</w:t>
            </w:r>
            <w:r w:rsidRPr="00DA3B20">
              <w:rPr>
                <w:color w:val="FF0000"/>
                <w:sz w:val="18"/>
                <w:szCs w:val="18"/>
                <w:lang w:val="en-AU" w:eastAsia="en-AU"/>
              </w:rPr>
              <w:t>SC14-EB-IP-</w:t>
            </w:r>
            <w:r w:rsidR="001014EC" w:rsidRPr="00DA3B20">
              <w:rPr>
                <w:color w:val="FF0000"/>
                <w:sz w:val="18"/>
                <w:szCs w:val="18"/>
                <w:lang w:val="en-AU" w:eastAsia="en-AU"/>
              </w:rPr>
              <w:t>03</w:t>
            </w:r>
            <w:r w:rsidRPr="00DA3B20">
              <w:rPr>
                <w:color w:val="000000"/>
                <w:sz w:val="18"/>
                <w:szCs w:val="18"/>
                <w:lang w:val="en-AU" w:eastAsia="en-AU"/>
              </w:rPr>
              <w:t>) (ABNJ+SPC)</w:t>
            </w:r>
          </w:p>
        </w:tc>
        <w:tc>
          <w:tcPr>
            <w:tcW w:w="463" w:type="pct"/>
            <w:tcBorders>
              <w:top w:val="nil"/>
              <w:left w:val="nil"/>
              <w:bottom w:val="single" w:sz="4" w:space="0" w:color="auto"/>
              <w:right w:val="single" w:sz="4" w:space="0" w:color="auto"/>
            </w:tcBorders>
            <w:shd w:val="clear" w:color="000000" w:fill="99FFCC"/>
            <w:vAlign w:val="center"/>
            <w:hideMark/>
          </w:tcPr>
          <w:p w14:paraId="326EDF29"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99FFCC"/>
            <w:vAlign w:val="center"/>
            <w:hideMark/>
          </w:tcPr>
          <w:p w14:paraId="627408ED"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99FFCC"/>
            <w:vAlign w:val="center"/>
            <w:hideMark/>
          </w:tcPr>
          <w:p w14:paraId="18874E8E"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99FFCC"/>
            <w:vAlign w:val="center"/>
            <w:hideMark/>
          </w:tcPr>
          <w:p w14:paraId="19DD6AFD"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99FFCC"/>
            <w:vAlign w:val="center"/>
            <w:hideMark/>
          </w:tcPr>
          <w:p w14:paraId="5E5E37BC"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Medium</w:t>
            </w:r>
          </w:p>
        </w:tc>
        <w:tc>
          <w:tcPr>
            <w:tcW w:w="511" w:type="pct"/>
            <w:tcBorders>
              <w:top w:val="nil"/>
              <w:left w:val="nil"/>
              <w:bottom w:val="single" w:sz="4" w:space="0" w:color="auto"/>
              <w:right w:val="single" w:sz="4" w:space="0" w:color="auto"/>
            </w:tcBorders>
            <w:shd w:val="clear" w:color="000000" w:fill="99FFCC"/>
            <w:vAlign w:val="center"/>
            <w:hideMark/>
          </w:tcPr>
          <w:p w14:paraId="5F8D209B"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xml:space="preserve"> EASI-Fish, SAFE or similar</w:t>
            </w:r>
          </w:p>
        </w:tc>
        <w:tc>
          <w:tcPr>
            <w:tcW w:w="793" w:type="pct"/>
            <w:tcBorders>
              <w:top w:val="nil"/>
              <w:left w:val="nil"/>
              <w:bottom w:val="single" w:sz="4" w:space="0" w:color="auto"/>
              <w:right w:val="single" w:sz="4" w:space="0" w:color="auto"/>
            </w:tcBorders>
            <w:shd w:val="clear" w:color="000000" w:fill="99FFCC"/>
            <w:vAlign w:val="center"/>
            <w:hideMark/>
          </w:tcPr>
          <w:p w14:paraId="4428B712" w14:textId="77777777"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Focus on data improvement (high priority) but it will take time before any kind of quantitative assessment (indicators) can be done</w:t>
            </w:r>
          </w:p>
        </w:tc>
      </w:tr>
      <w:tr w:rsidR="00BA3E50" w:rsidRPr="00DA3B20" w14:paraId="1F49ADBF" w14:textId="77777777" w:rsidTr="00365FA5">
        <w:tc>
          <w:tcPr>
            <w:tcW w:w="49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9DE2E72"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xml:space="preserve">General shark work </w:t>
            </w:r>
          </w:p>
        </w:tc>
        <w:tc>
          <w:tcPr>
            <w:tcW w:w="385" w:type="pct"/>
            <w:vMerge w:val="restart"/>
            <w:tcBorders>
              <w:top w:val="nil"/>
              <w:left w:val="single" w:sz="4" w:space="0" w:color="auto"/>
              <w:bottom w:val="single" w:sz="4" w:space="0" w:color="auto"/>
              <w:right w:val="single" w:sz="4" w:space="0" w:color="auto"/>
            </w:tcBorders>
            <w:shd w:val="clear" w:color="000000" w:fill="FFFFFF"/>
            <w:vAlign w:val="center"/>
            <w:hideMark/>
          </w:tcPr>
          <w:p w14:paraId="3BA8A840"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WCPO</w:t>
            </w:r>
          </w:p>
        </w:tc>
        <w:tc>
          <w:tcPr>
            <w:tcW w:w="37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04B7B1D"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N/A</w:t>
            </w:r>
          </w:p>
        </w:tc>
        <w:tc>
          <w:tcPr>
            <w:tcW w:w="556" w:type="pct"/>
            <w:tcBorders>
              <w:top w:val="nil"/>
              <w:left w:val="nil"/>
              <w:bottom w:val="single" w:sz="4" w:space="0" w:color="auto"/>
              <w:right w:val="single" w:sz="4" w:space="0" w:color="auto"/>
            </w:tcBorders>
            <w:shd w:val="clear" w:color="000000" w:fill="FFFFFF"/>
            <w:vAlign w:val="center"/>
            <w:hideMark/>
          </w:tcPr>
          <w:p w14:paraId="7ABED588"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xml:space="preserve">Review of shark data and modelling framework to support stock assessments (proj 78) </w:t>
            </w:r>
            <w:r w:rsidRPr="00DA3B20">
              <w:rPr>
                <w:color w:val="FF0000"/>
                <w:sz w:val="18"/>
                <w:szCs w:val="18"/>
                <w:lang w:val="en-AU" w:eastAsia="en-AU"/>
              </w:rPr>
              <w:t>(SC14</w:t>
            </w:r>
            <w:r w:rsidRPr="00DA3B20">
              <w:rPr>
                <w:color w:val="FF0000"/>
                <w:sz w:val="18"/>
                <w:szCs w:val="18"/>
                <w:lang w:val="en-AU" w:eastAsia="en-AU"/>
              </w:rPr>
              <w:noBreakHyphen/>
              <w:t>EB</w:t>
            </w:r>
            <w:r w:rsidRPr="00DA3B20">
              <w:rPr>
                <w:color w:val="FF0000"/>
                <w:sz w:val="18"/>
                <w:szCs w:val="18"/>
                <w:lang w:val="en-AU" w:eastAsia="en-AU"/>
              </w:rPr>
              <w:noBreakHyphen/>
              <w:t>WP</w:t>
            </w:r>
            <w:r w:rsidRPr="00DA3B20">
              <w:rPr>
                <w:color w:val="FF0000"/>
                <w:sz w:val="18"/>
                <w:szCs w:val="18"/>
                <w:lang w:val="en-AU" w:eastAsia="en-AU"/>
              </w:rPr>
              <w:noBreakHyphen/>
              <w:t>02)</w:t>
            </w:r>
            <w:r w:rsidRPr="00DA3B20">
              <w:rPr>
                <w:color w:val="000000"/>
                <w:sz w:val="18"/>
                <w:szCs w:val="18"/>
                <w:lang w:val="en-AU" w:eastAsia="en-AU"/>
              </w:rPr>
              <w:t xml:space="preserve"> WCPFC/SPC</w:t>
            </w:r>
          </w:p>
        </w:tc>
        <w:tc>
          <w:tcPr>
            <w:tcW w:w="463" w:type="pct"/>
            <w:tcBorders>
              <w:top w:val="nil"/>
              <w:left w:val="nil"/>
              <w:bottom w:val="single" w:sz="4" w:space="0" w:color="auto"/>
              <w:right w:val="single" w:sz="4" w:space="0" w:color="auto"/>
            </w:tcBorders>
            <w:shd w:val="clear" w:color="000000" w:fill="FFFFFF"/>
            <w:vAlign w:val="center"/>
            <w:hideMark/>
          </w:tcPr>
          <w:p w14:paraId="0612C5FC"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Operational and management histories (#4)</w:t>
            </w:r>
          </w:p>
        </w:tc>
        <w:tc>
          <w:tcPr>
            <w:tcW w:w="371" w:type="pct"/>
            <w:vMerge w:val="restart"/>
            <w:tcBorders>
              <w:top w:val="nil"/>
              <w:left w:val="single" w:sz="4" w:space="0" w:color="auto"/>
              <w:bottom w:val="single" w:sz="4" w:space="0" w:color="auto"/>
              <w:right w:val="single" w:sz="4" w:space="0" w:color="auto"/>
            </w:tcBorders>
            <w:shd w:val="clear" w:color="000000" w:fill="FFFFFF"/>
            <w:vAlign w:val="center"/>
            <w:hideMark/>
          </w:tcPr>
          <w:p w14:paraId="19420687"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Develop a 20121-2025 shark research plan to be presented to SC16 in 2020?</w:t>
            </w:r>
          </w:p>
        </w:tc>
        <w:tc>
          <w:tcPr>
            <w:tcW w:w="371" w:type="pct"/>
            <w:vMerge w:val="restart"/>
            <w:tcBorders>
              <w:top w:val="nil"/>
              <w:left w:val="single" w:sz="4" w:space="0" w:color="auto"/>
              <w:bottom w:val="single" w:sz="4" w:space="0" w:color="auto"/>
              <w:right w:val="single" w:sz="4" w:space="0" w:color="auto"/>
            </w:tcBorders>
            <w:shd w:val="clear" w:color="000000" w:fill="FFFFFF"/>
            <w:vAlign w:val="center"/>
            <w:hideMark/>
          </w:tcPr>
          <w:p w14:paraId="15012271"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vMerge w:val="restart"/>
            <w:tcBorders>
              <w:top w:val="nil"/>
              <w:left w:val="single" w:sz="4" w:space="0" w:color="auto"/>
              <w:bottom w:val="single" w:sz="4" w:space="0" w:color="auto"/>
              <w:right w:val="single" w:sz="4" w:space="0" w:color="auto"/>
            </w:tcBorders>
            <w:shd w:val="clear" w:color="000000" w:fill="FFFFFF"/>
            <w:vAlign w:val="center"/>
            <w:hideMark/>
          </w:tcPr>
          <w:p w14:paraId="679301C5"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auto" w:fill="auto"/>
            <w:noWrap/>
            <w:vAlign w:val="center"/>
            <w:hideMark/>
          </w:tcPr>
          <w:p w14:paraId="0DB7CFAA"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nil"/>
              <w:right w:val="nil"/>
            </w:tcBorders>
            <w:shd w:val="clear" w:color="auto" w:fill="auto"/>
            <w:noWrap/>
            <w:vAlign w:val="center"/>
            <w:hideMark/>
          </w:tcPr>
          <w:p w14:paraId="5FA67237" w14:textId="77777777"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14:paraId="0F78906F" w14:textId="77777777" w:rsidR="00BA3E50" w:rsidRPr="00DA3B20" w:rsidRDefault="00BA3E50" w:rsidP="00365FA5">
            <w:pPr>
              <w:widowControl w:val="0"/>
              <w:adjustRightInd w:val="0"/>
              <w:snapToGrid w:val="0"/>
              <w:rPr>
                <w:sz w:val="18"/>
                <w:szCs w:val="18"/>
                <w:lang w:val="en-AU" w:eastAsia="en-AU"/>
              </w:rPr>
            </w:pPr>
          </w:p>
        </w:tc>
      </w:tr>
      <w:tr w:rsidR="00BA3E50" w:rsidRPr="00DA3B20" w14:paraId="1E8EFD29" w14:textId="77777777" w:rsidTr="00365FA5">
        <w:tc>
          <w:tcPr>
            <w:tcW w:w="491" w:type="pct"/>
            <w:vMerge/>
            <w:tcBorders>
              <w:top w:val="nil"/>
              <w:left w:val="single" w:sz="4" w:space="0" w:color="auto"/>
              <w:bottom w:val="single" w:sz="4" w:space="0" w:color="auto"/>
              <w:right w:val="single" w:sz="4" w:space="0" w:color="auto"/>
            </w:tcBorders>
            <w:vAlign w:val="center"/>
            <w:hideMark/>
          </w:tcPr>
          <w:p w14:paraId="689B2D6F" w14:textId="77777777" w:rsidR="00BA3E50" w:rsidRPr="00DA3B20" w:rsidRDefault="00BA3E50" w:rsidP="00365FA5">
            <w:pPr>
              <w:widowControl w:val="0"/>
              <w:adjustRightInd w:val="0"/>
              <w:snapToGrid w:val="0"/>
              <w:rPr>
                <w:color w:val="000000"/>
                <w:sz w:val="18"/>
                <w:szCs w:val="18"/>
                <w:lang w:val="en-AU" w:eastAsia="en-AU"/>
              </w:rPr>
            </w:pPr>
          </w:p>
        </w:tc>
        <w:tc>
          <w:tcPr>
            <w:tcW w:w="385" w:type="pct"/>
            <w:vMerge/>
            <w:tcBorders>
              <w:top w:val="nil"/>
              <w:left w:val="single" w:sz="4" w:space="0" w:color="auto"/>
              <w:bottom w:val="single" w:sz="4" w:space="0" w:color="auto"/>
              <w:right w:val="single" w:sz="4" w:space="0" w:color="auto"/>
            </w:tcBorders>
            <w:vAlign w:val="center"/>
            <w:hideMark/>
          </w:tcPr>
          <w:p w14:paraId="242AEC3E" w14:textId="77777777"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14:paraId="1DB5D61A" w14:textId="77777777" w:rsidR="00BA3E50" w:rsidRPr="00DA3B20" w:rsidRDefault="00BA3E50" w:rsidP="00365FA5">
            <w:pPr>
              <w:widowControl w:val="0"/>
              <w:adjustRightInd w:val="0"/>
              <w:snapToGrid w:val="0"/>
              <w:rPr>
                <w:color w:val="000000"/>
                <w:sz w:val="18"/>
                <w:szCs w:val="18"/>
                <w:lang w:val="en-AU" w:eastAsia="en-AU"/>
              </w:rPr>
            </w:pPr>
          </w:p>
        </w:tc>
        <w:tc>
          <w:tcPr>
            <w:tcW w:w="556" w:type="pct"/>
            <w:tcBorders>
              <w:top w:val="nil"/>
              <w:left w:val="nil"/>
              <w:bottom w:val="single" w:sz="4" w:space="0" w:color="auto"/>
              <w:right w:val="single" w:sz="4" w:space="0" w:color="auto"/>
            </w:tcBorders>
            <w:shd w:val="clear" w:color="000000" w:fill="FFFFFF"/>
            <w:vAlign w:val="center"/>
            <w:hideMark/>
          </w:tcPr>
          <w:p w14:paraId="63E3532C" w14:textId="77777777"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SRP mid-term review? SC13#7 but now rolled into proj 78.</w:t>
            </w:r>
          </w:p>
        </w:tc>
        <w:tc>
          <w:tcPr>
            <w:tcW w:w="463" w:type="pct"/>
            <w:tcBorders>
              <w:top w:val="nil"/>
              <w:left w:val="nil"/>
              <w:bottom w:val="single" w:sz="4" w:space="0" w:color="auto"/>
              <w:right w:val="single" w:sz="4" w:space="0" w:color="auto"/>
            </w:tcBorders>
            <w:shd w:val="clear" w:color="000000" w:fill="FFFFFF"/>
            <w:vAlign w:val="center"/>
            <w:hideMark/>
          </w:tcPr>
          <w:p w14:paraId="22FAB3E0"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Updated indicator analysis?</w:t>
            </w:r>
          </w:p>
        </w:tc>
        <w:tc>
          <w:tcPr>
            <w:tcW w:w="371" w:type="pct"/>
            <w:vMerge/>
            <w:tcBorders>
              <w:top w:val="nil"/>
              <w:left w:val="single" w:sz="4" w:space="0" w:color="auto"/>
              <w:bottom w:val="single" w:sz="4" w:space="0" w:color="auto"/>
              <w:right w:val="single" w:sz="4" w:space="0" w:color="auto"/>
            </w:tcBorders>
            <w:vAlign w:val="center"/>
            <w:hideMark/>
          </w:tcPr>
          <w:p w14:paraId="06D359A4" w14:textId="77777777"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14:paraId="7522A411" w14:textId="77777777" w:rsidR="00BA3E50" w:rsidRPr="00DA3B20" w:rsidRDefault="00BA3E50" w:rsidP="00365FA5">
            <w:pPr>
              <w:widowControl w:val="0"/>
              <w:adjustRightInd w:val="0"/>
              <w:snapToGrid w:val="0"/>
              <w:rPr>
                <w:color w:val="000000"/>
                <w:sz w:val="18"/>
                <w:szCs w:val="18"/>
                <w:lang w:val="en-AU" w:eastAsia="en-AU"/>
              </w:rPr>
            </w:pPr>
          </w:p>
        </w:tc>
        <w:tc>
          <w:tcPr>
            <w:tcW w:w="399" w:type="pct"/>
            <w:vMerge/>
            <w:tcBorders>
              <w:top w:val="nil"/>
              <w:left w:val="single" w:sz="4" w:space="0" w:color="auto"/>
              <w:bottom w:val="single" w:sz="4" w:space="0" w:color="auto"/>
              <w:right w:val="single" w:sz="4" w:space="0" w:color="auto"/>
            </w:tcBorders>
            <w:vAlign w:val="center"/>
            <w:hideMark/>
          </w:tcPr>
          <w:p w14:paraId="4CFD28EB" w14:textId="77777777" w:rsidR="00BA3E50" w:rsidRPr="00DA3B20" w:rsidRDefault="00BA3E50" w:rsidP="00365FA5">
            <w:pPr>
              <w:widowControl w:val="0"/>
              <w:adjustRightInd w:val="0"/>
              <w:snapToGrid w:val="0"/>
              <w:rPr>
                <w:color w:val="000000"/>
                <w:sz w:val="18"/>
                <w:szCs w:val="18"/>
                <w:lang w:val="en-AU" w:eastAsia="en-AU"/>
              </w:rPr>
            </w:pPr>
          </w:p>
        </w:tc>
        <w:tc>
          <w:tcPr>
            <w:tcW w:w="288" w:type="pct"/>
            <w:tcBorders>
              <w:top w:val="nil"/>
              <w:left w:val="nil"/>
              <w:bottom w:val="single" w:sz="4" w:space="0" w:color="auto"/>
              <w:right w:val="single" w:sz="4" w:space="0" w:color="auto"/>
            </w:tcBorders>
            <w:shd w:val="clear" w:color="auto" w:fill="auto"/>
            <w:noWrap/>
            <w:vAlign w:val="center"/>
            <w:hideMark/>
          </w:tcPr>
          <w:p w14:paraId="2717AC3E"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nil"/>
              <w:right w:val="nil"/>
            </w:tcBorders>
            <w:shd w:val="clear" w:color="auto" w:fill="auto"/>
            <w:noWrap/>
            <w:vAlign w:val="center"/>
            <w:hideMark/>
          </w:tcPr>
          <w:p w14:paraId="52379D71" w14:textId="77777777"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14:paraId="3A9FC680" w14:textId="77777777" w:rsidR="00BA3E50" w:rsidRPr="00DA3B20" w:rsidRDefault="00BA3E50" w:rsidP="00365FA5">
            <w:pPr>
              <w:widowControl w:val="0"/>
              <w:adjustRightInd w:val="0"/>
              <w:snapToGrid w:val="0"/>
              <w:rPr>
                <w:sz w:val="18"/>
                <w:szCs w:val="18"/>
                <w:lang w:val="en-AU" w:eastAsia="en-AU"/>
              </w:rPr>
            </w:pPr>
          </w:p>
        </w:tc>
      </w:tr>
      <w:tr w:rsidR="00BA3E50" w:rsidRPr="00DA3B20" w14:paraId="4538D88E" w14:textId="77777777" w:rsidTr="00365FA5">
        <w:tc>
          <w:tcPr>
            <w:tcW w:w="491" w:type="pct"/>
            <w:vMerge/>
            <w:tcBorders>
              <w:top w:val="nil"/>
              <w:left w:val="single" w:sz="4" w:space="0" w:color="auto"/>
              <w:bottom w:val="single" w:sz="4" w:space="0" w:color="auto"/>
              <w:right w:val="single" w:sz="4" w:space="0" w:color="auto"/>
            </w:tcBorders>
            <w:vAlign w:val="center"/>
            <w:hideMark/>
          </w:tcPr>
          <w:p w14:paraId="6E92CD82" w14:textId="77777777" w:rsidR="00BA3E50" w:rsidRPr="00DA3B20" w:rsidRDefault="00BA3E50" w:rsidP="00365FA5">
            <w:pPr>
              <w:widowControl w:val="0"/>
              <w:adjustRightInd w:val="0"/>
              <w:snapToGrid w:val="0"/>
              <w:rPr>
                <w:color w:val="000000"/>
                <w:sz w:val="18"/>
                <w:szCs w:val="18"/>
                <w:lang w:val="en-AU" w:eastAsia="en-AU"/>
              </w:rPr>
            </w:pPr>
          </w:p>
        </w:tc>
        <w:tc>
          <w:tcPr>
            <w:tcW w:w="385" w:type="pct"/>
            <w:vMerge/>
            <w:tcBorders>
              <w:top w:val="nil"/>
              <w:left w:val="single" w:sz="4" w:space="0" w:color="auto"/>
              <w:bottom w:val="single" w:sz="4" w:space="0" w:color="auto"/>
              <w:right w:val="single" w:sz="4" w:space="0" w:color="auto"/>
            </w:tcBorders>
            <w:vAlign w:val="center"/>
            <w:hideMark/>
          </w:tcPr>
          <w:p w14:paraId="10E2D63C" w14:textId="77777777"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14:paraId="694185C0" w14:textId="77777777" w:rsidR="00BA3E50" w:rsidRPr="00DA3B20" w:rsidRDefault="00BA3E50" w:rsidP="00365FA5">
            <w:pPr>
              <w:widowControl w:val="0"/>
              <w:adjustRightInd w:val="0"/>
              <w:snapToGrid w:val="0"/>
              <w:rPr>
                <w:color w:val="000000"/>
                <w:sz w:val="18"/>
                <w:szCs w:val="18"/>
                <w:lang w:val="en-AU" w:eastAsia="en-AU"/>
              </w:rPr>
            </w:pPr>
          </w:p>
        </w:tc>
        <w:tc>
          <w:tcPr>
            <w:tcW w:w="556" w:type="pct"/>
            <w:tcBorders>
              <w:top w:val="nil"/>
              <w:left w:val="nil"/>
              <w:bottom w:val="single" w:sz="4" w:space="0" w:color="auto"/>
              <w:right w:val="single" w:sz="4" w:space="0" w:color="auto"/>
            </w:tcBorders>
            <w:shd w:val="clear" w:color="000000" w:fill="FFFFFF"/>
            <w:vAlign w:val="center"/>
            <w:hideMark/>
          </w:tcPr>
          <w:p w14:paraId="11B4FB4F"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Post-release mortality of silky and oceanic whitetip sharks in longline and purse seine fisheries  (SC13</w:t>
            </w:r>
            <w:r w:rsidRPr="00DA3B20">
              <w:rPr>
                <w:color w:val="000000"/>
                <w:sz w:val="18"/>
                <w:szCs w:val="18"/>
                <w:lang w:val="en-AU" w:eastAsia="en-AU"/>
              </w:rPr>
              <w:noBreakHyphen/>
              <w:t>EB</w:t>
            </w:r>
            <w:r w:rsidRPr="00DA3B20">
              <w:rPr>
                <w:color w:val="000000"/>
                <w:sz w:val="18"/>
                <w:szCs w:val="18"/>
                <w:lang w:val="en-AU" w:eastAsia="en-AU"/>
              </w:rPr>
              <w:noBreakHyphen/>
              <w:t>IP</w:t>
            </w:r>
            <w:r w:rsidRPr="00DA3B20">
              <w:rPr>
                <w:color w:val="000000"/>
                <w:sz w:val="18"/>
                <w:szCs w:val="18"/>
                <w:lang w:val="en-AU" w:eastAsia="en-AU"/>
              </w:rPr>
              <w:noBreakHyphen/>
              <w:t>06 and SC14-EB-IP-06) (ABNJ/SPC)</w:t>
            </w:r>
          </w:p>
        </w:tc>
        <w:tc>
          <w:tcPr>
            <w:tcW w:w="463" w:type="pct"/>
            <w:tcBorders>
              <w:top w:val="nil"/>
              <w:left w:val="nil"/>
              <w:bottom w:val="single" w:sz="4" w:space="0" w:color="auto"/>
              <w:right w:val="single" w:sz="4" w:space="0" w:color="auto"/>
            </w:tcBorders>
            <w:shd w:val="clear" w:color="000000" w:fill="FFFFFF"/>
            <w:vAlign w:val="center"/>
            <w:hideMark/>
          </w:tcPr>
          <w:p w14:paraId="6719B008"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Shark modelling project (#6)</w:t>
            </w:r>
          </w:p>
        </w:tc>
        <w:tc>
          <w:tcPr>
            <w:tcW w:w="371" w:type="pct"/>
            <w:vMerge/>
            <w:tcBorders>
              <w:top w:val="nil"/>
              <w:left w:val="single" w:sz="4" w:space="0" w:color="auto"/>
              <w:bottom w:val="single" w:sz="4" w:space="0" w:color="auto"/>
              <w:right w:val="single" w:sz="4" w:space="0" w:color="auto"/>
            </w:tcBorders>
            <w:vAlign w:val="center"/>
            <w:hideMark/>
          </w:tcPr>
          <w:p w14:paraId="5F8314CC" w14:textId="77777777"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14:paraId="42C1B38C" w14:textId="77777777" w:rsidR="00BA3E50" w:rsidRPr="00DA3B20" w:rsidRDefault="00BA3E50" w:rsidP="00365FA5">
            <w:pPr>
              <w:widowControl w:val="0"/>
              <w:adjustRightInd w:val="0"/>
              <w:snapToGrid w:val="0"/>
              <w:rPr>
                <w:color w:val="000000"/>
                <w:sz w:val="18"/>
                <w:szCs w:val="18"/>
                <w:lang w:val="en-AU" w:eastAsia="en-AU"/>
              </w:rPr>
            </w:pPr>
          </w:p>
        </w:tc>
        <w:tc>
          <w:tcPr>
            <w:tcW w:w="399" w:type="pct"/>
            <w:vMerge/>
            <w:tcBorders>
              <w:top w:val="nil"/>
              <w:left w:val="single" w:sz="4" w:space="0" w:color="auto"/>
              <w:bottom w:val="single" w:sz="4" w:space="0" w:color="auto"/>
              <w:right w:val="single" w:sz="4" w:space="0" w:color="auto"/>
            </w:tcBorders>
            <w:vAlign w:val="center"/>
            <w:hideMark/>
          </w:tcPr>
          <w:p w14:paraId="1C11C8BE" w14:textId="77777777" w:rsidR="00BA3E50" w:rsidRPr="00DA3B20" w:rsidRDefault="00BA3E50" w:rsidP="00365FA5">
            <w:pPr>
              <w:widowControl w:val="0"/>
              <w:adjustRightInd w:val="0"/>
              <w:snapToGrid w:val="0"/>
              <w:rPr>
                <w:color w:val="000000"/>
                <w:sz w:val="18"/>
                <w:szCs w:val="18"/>
                <w:lang w:val="en-AU" w:eastAsia="en-AU"/>
              </w:rPr>
            </w:pPr>
          </w:p>
        </w:tc>
        <w:tc>
          <w:tcPr>
            <w:tcW w:w="288" w:type="pct"/>
            <w:tcBorders>
              <w:top w:val="nil"/>
              <w:left w:val="nil"/>
              <w:bottom w:val="single" w:sz="4" w:space="0" w:color="auto"/>
              <w:right w:val="single" w:sz="4" w:space="0" w:color="auto"/>
            </w:tcBorders>
            <w:shd w:val="clear" w:color="auto" w:fill="auto"/>
            <w:noWrap/>
            <w:vAlign w:val="center"/>
            <w:hideMark/>
          </w:tcPr>
          <w:p w14:paraId="714EF46A"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nil"/>
              <w:right w:val="nil"/>
            </w:tcBorders>
            <w:shd w:val="clear" w:color="auto" w:fill="auto"/>
            <w:noWrap/>
            <w:vAlign w:val="center"/>
            <w:hideMark/>
          </w:tcPr>
          <w:p w14:paraId="7D038D13" w14:textId="77777777"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14:paraId="0C481ACD" w14:textId="77777777" w:rsidR="00BA3E50" w:rsidRPr="00DA3B20" w:rsidRDefault="00BA3E50" w:rsidP="00365FA5">
            <w:pPr>
              <w:widowControl w:val="0"/>
              <w:adjustRightInd w:val="0"/>
              <w:snapToGrid w:val="0"/>
              <w:rPr>
                <w:sz w:val="18"/>
                <w:szCs w:val="18"/>
                <w:lang w:val="en-AU" w:eastAsia="en-AU"/>
              </w:rPr>
            </w:pPr>
          </w:p>
        </w:tc>
      </w:tr>
      <w:tr w:rsidR="00BA3E50" w:rsidRPr="00DA3B20" w14:paraId="2769B2D5" w14:textId="77777777" w:rsidTr="00365FA5">
        <w:tc>
          <w:tcPr>
            <w:tcW w:w="491" w:type="pct"/>
            <w:vMerge/>
            <w:tcBorders>
              <w:top w:val="nil"/>
              <w:left w:val="single" w:sz="4" w:space="0" w:color="auto"/>
              <w:bottom w:val="single" w:sz="4" w:space="0" w:color="auto"/>
              <w:right w:val="single" w:sz="4" w:space="0" w:color="auto"/>
            </w:tcBorders>
            <w:vAlign w:val="center"/>
            <w:hideMark/>
          </w:tcPr>
          <w:p w14:paraId="30D88E43" w14:textId="77777777" w:rsidR="00BA3E50" w:rsidRPr="00DA3B20" w:rsidRDefault="00BA3E50" w:rsidP="00365FA5">
            <w:pPr>
              <w:widowControl w:val="0"/>
              <w:adjustRightInd w:val="0"/>
              <w:snapToGrid w:val="0"/>
              <w:rPr>
                <w:color w:val="000000"/>
                <w:sz w:val="18"/>
                <w:szCs w:val="18"/>
                <w:lang w:val="en-AU" w:eastAsia="en-AU"/>
              </w:rPr>
            </w:pPr>
          </w:p>
        </w:tc>
        <w:tc>
          <w:tcPr>
            <w:tcW w:w="385" w:type="pct"/>
            <w:vMerge/>
            <w:tcBorders>
              <w:top w:val="nil"/>
              <w:left w:val="single" w:sz="4" w:space="0" w:color="auto"/>
              <w:bottom w:val="single" w:sz="4" w:space="0" w:color="auto"/>
              <w:right w:val="single" w:sz="4" w:space="0" w:color="auto"/>
            </w:tcBorders>
            <w:vAlign w:val="center"/>
            <w:hideMark/>
          </w:tcPr>
          <w:p w14:paraId="7ED66F89" w14:textId="77777777"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14:paraId="0381DAC0" w14:textId="77777777" w:rsidR="00BA3E50" w:rsidRPr="00DA3B20" w:rsidRDefault="00BA3E50" w:rsidP="00365FA5">
            <w:pPr>
              <w:widowControl w:val="0"/>
              <w:adjustRightInd w:val="0"/>
              <w:snapToGrid w:val="0"/>
              <w:rPr>
                <w:color w:val="000000"/>
                <w:sz w:val="18"/>
                <w:szCs w:val="18"/>
                <w:lang w:val="en-AU" w:eastAsia="en-AU"/>
              </w:rPr>
            </w:pPr>
          </w:p>
        </w:tc>
        <w:tc>
          <w:tcPr>
            <w:tcW w:w="556" w:type="pct"/>
            <w:tcBorders>
              <w:top w:val="nil"/>
              <w:left w:val="nil"/>
              <w:bottom w:val="single" w:sz="4" w:space="0" w:color="auto"/>
              <w:right w:val="single" w:sz="4" w:space="0" w:color="auto"/>
            </w:tcBorders>
            <w:shd w:val="clear" w:color="000000" w:fill="FFFFFF"/>
            <w:vAlign w:val="center"/>
            <w:hideMark/>
          </w:tcPr>
          <w:p w14:paraId="27B1B485" w14:textId="77777777"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Identifying LRPs for elasmobranchs (SC14-MI-WP-07) (WCPFC/ABNJ)</w:t>
            </w:r>
          </w:p>
        </w:tc>
        <w:tc>
          <w:tcPr>
            <w:tcW w:w="463" w:type="pct"/>
            <w:tcBorders>
              <w:top w:val="nil"/>
              <w:left w:val="nil"/>
              <w:bottom w:val="single" w:sz="4" w:space="0" w:color="auto"/>
              <w:right w:val="single" w:sz="4" w:space="0" w:color="auto"/>
            </w:tcBorders>
            <w:shd w:val="clear" w:color="000000" w:fill="FFFFFF"/>
            <w:vAlign w:val="center"/>
            <w:hideMark/>
          </w:tcPr>
          <w:p w14:paraId="676711B4" w14:textId="77777777"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Operational planning for shark biological data improvement (#7)</w:t>
            </w:r>
          </w:p>
        </w:tc>
        <w:tc>
          <w:tcPr>
            <w:tcW w:w="371" w:type="pct"/>
            <w:vMerge/>
            <w:tcBorders>
              <w:top w:val="nil"/>
              <w:left w:val="single" w:sz="4" w:space="0" w:color="auto"/>
              <w:bottom w:val="single" w:sz="4" w:space="0" w:color="auto"/>
              <w:right w:val="single" w:sz="4" w:space="0" w:color="auto"/>
            </w:tcBorders>
            <w:vAlign w:val="center"/>
            <w:hideMark/>
          </w:tcPr>
          <w:p w14:paraId="781F19DA" w14:textId="77777777"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14:paraId="5C2FBCE0" w14:textId="77777777" w:rsidR="00BA3E50" w:rsidRPr="00DA3B20" w:rsidRDefault="00BA3E50" w:rsidP="00365FA5">
            <w:pPr>
              <w:widowControl w:val="0"/>
              <w:adjustRightInd w:val="0"/>
              <w:snapToGrid w:val="0"/>
              <w:rPr>
                <w:color w:val="000000"/>
                <w:sz w:val="18"/>
                <w:szCs w:val="18"/>
                <w:lang w:val="en-AU" w:eastAsia="en-AU"/>
              </w:rPr>
            </w:pPr>
          </w:p>
        </w:tc>
        <w:tc>
          <w:tcPr>
            <w:tcW w:w="399" w:type="pct"/>
            <w:vMerge/>
            <w:tcBorders>
              <w:top w:val="nil"/>
              <w:left w:val="single" w:sz="4" w:space="0" w:color="auto"/>
              <w:bottom w:val="single" w:sz="4" w:space="0" w:color="auto"/>
              <w:right w:val="single" w:sz="4" w:space="0" w:color="auto"/>
            </w:tcBorders>
            <w:vAlign w:val="center"/>
            <w:hideMark/>
          </w:tcPr>
          <w:p w14:paraId="2E6DC0CE" w14:textId="77777777" w:rsidR="00BA3E50" w:rsidRPr="00DA3B20" w:rsidRDefault="00BA3E50" w:rsidP="00365FA5">
            <w:pPr>
              <w:widowControl w:val="0"/>
              <w:adjustRightInd w:val="0"/>
              <w:snapToGrid w:val="0"/>
              <w:rPr>
                <w:color w:val="000000"/>
                <w:sz w:val="18"/>
                <w:szCs w:val="18"/>
                <w:lang w:val="en-AU" w:eastAsia="en-AU"/>
              </w:rPr>
            </w:pPr>
          </w:p>
        </w:tc>
        <w:tc>
          <w:tcPr>
            <w:tcW w:w="288" w:type="pct"/>
            <w:tcBorders>
              <w:top w:val="nil"/>
              <w:left w:val="nil"/>
              <w:bottom w:val="single" w:sz="4" w:space="0" w:color="auto"/>
              <w:right w:val="single" w:sz="4" w:space="0" w:color="auto"/>
            </w:tcBorders>
            <w:shd w:val="clear" w:color="auto" w:fill="auto"/>
            <w:noWrap/>
            <w:vAlign w:val="center"/>
            <w:hideMark/>
          </w:tcPr>
          <w:p w14:paraId="438A7A19"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High</w:t>
            </w:r>
          </w:p>
        </w:tc>
        <w:tc>
          <w:tcPr>
            <w:tcW w:w="511" w:type="pct"/>
            <w:tcBorders>
              <w:top w:val="nil"/>
              <w:left w:val="nil"/>
              <w:bottom w:val="nil"/>
              <w:right w:val="nil"/>
            </w:tcBorders>
            <w:shd w:val="clear" w:color="auto" w:fill="auto"/>
            <w:noWrap/>
            <w:vAlign w:val="center"/>
            <w:hideMark/>
          </w:tcPr>
          <w:p w14:paraId="327AF410" w14:textId="77777777"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14:paraId="31F1E1A1" w14:textId="77777777" w:rsidR="00BA3E50" w:rsidRPr="00DA3B20" w:rsidRDefault="00BA3E50" w:rsidP="00365FA5">
            <w:pPr>
              <w:widowControl w:val="0"/>
              <w:adjustRightInd w:val="0"/>
              <w:snapToGrid w:val="0"/>
              <w:rPr>
                <w:sz w:val="18"/>
                <w:szCs w:val="18"/>
                <w:lang w:val="en-AU" w:eastAsia="en-AU"/>
              </w:rPr>
            </w:pPr>
          </w:p>
        </w:tc>
      </w:tr>
      <w:tr w:rsidR="00BA3E50" w:rsidRPr="00DA3B20" w14:paraId="7F056618" w14:textId="77777777" w:rsidTr="00365FA5">
        <w:tc>
          <w:tcPr>
            <w:tcW w:w="491" w:type="pct"/>
            <w:vMerge/>
            <w:tcBorders>
              <w:top w:val="nil"/>
              <w:left w:val="single" w:sz="4" w:space="0" w:color="auto"/>
              <w:bottom w:val="single" w:sz="4" w:space="0" w:color="auto"/>
              <w:right w:val="single" w:sz="4" w:space="0" w:color="auto"/>
            </w:tcBorders>
            <w:vAlign w:val="center"/>
            <w:hideMark/>
          </w:tcPr>
          <w:p w14:paraId="1CFE6AF3" w14:textId="77777777" w:rsidR="00BA3E50" w:rsidRPr="00DA3B20" w:rsidRDefault="00BA3E50" w:rsidP="00365FA5">
            <w:pPr>
              <w:widowControl w:val="0"/>
              <w:adjustRightInd w:val="0"/>
              <w:snapToGrid w:val="0"/>
              <w:rPr>
                <w:color w:val="000000"/>
                <w:sz w:val="18"/>
                <w:szCs w:val="18"/>
                <w:lang w:val="en-AU" w:eastAsia="en-AU"/>
              </w:rPr>
            </w:pPr>
          </w:p>
        </w:tc>
        <w:tc>
          <w:tcPr>
            <w:tcW w:w="385" w:type="pct"/>
            <w:vMerge/>
            <w:tcBorders>
              <w:top w:val="nil"/>
              <w:left w:val="single" w:sz="4" w:space="0" w:color="auto"/>
              <w:bottom w:val="single" w:sz="4" w:space="0" w:color="auto"/>
              <w:right w:val="single" w:sz="4" w:space="0" w:color="auto"/>
            </w:tcBorders>
            <w:vAlign w:val="center"/>
            <w:hideMark/>
          </w:tcPr>
          <w:p w14:paraId="6759B063" w14:textId="77777777"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14:paraId="76D0A412" w14:textId="77777777" w:rsidR="00BA3E50" w:rsidRPr="00DA3B20" w:rsidRDefault="00BA3E50" w:rsidP="00365FA5">
            <w:pPr>
              <w:widowControl w:val="0"/>
              <w:adjustRightInd w:val="0"/>
              <w:snapToGrid w:val="0"/>
              <w:rPr>
                <w:color w:val="000000"/>
                <w:sz w:val="18"/>
                <w:szCs w:val="18"/>
                <w:lang w:val="en-AU" w:eastAsia="en-AU"/>
              </w:rPr>
            </w:pPr>
          </w:p>
        </w:tc>
        <w:tc>
          <w:tcPr>
            <w:tcW w:w="556" w:type="pct"/>
            <w:tcBorders>
              <w:top w:val="nil"/>
              <w:left w:val="nil"/>
              <w:bottom w:val="single" w:sz="4" w:space="0" w:color="auto"/>
              <w:right w:val="single" w:sz="4" w:space="0" w:color="auto"/>
            </w:tcBorders>
            <w:shd w:val="clear" w:color="000000" w:fill="FFFFFF"/>
            <w:vAlign w:val="center"/>
            <w:hideMark/>
          </w:tcPr>
          <w:p w14:paraId="3D334C23"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Longline Bycatch Estimate (SC14-ST-WP-03) (SPC)</w:t>
            </w:r>
          </w:p>
        </w:tc>
        <w:tc>
          <w:tcPr>
            <w:tcW w:w="463" w:type="pct"/>
            <w:tcBorders>
              <w:top w:val="nil"/>
              <w:left w:val="nil"/>
              <w:bottom w:val="single" w:sz="4" w:space="0" w:color="auto"/>
              <w:right w:val="single" w:sz="4" w:space="0" w:color="auto"/>
            </w:tcBorders>
            <w:shd w:val="clear" w:color="000000" w:fill="FFFFFF"/>
            <w:vAlign w:val="center"/>
            <w:hideMark/>
          </w:tcPr>
          <w:p w14:paraId="73FCAF75"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Assess spawner recruit relationships? (#8)</w:t>
            </w:r>
          </w:p>
        </w:tc>
        <w:tc>
          <w:tcPr>
            <w:tcW w:w="371" w:type="pct"/>
            <w:vMerge/>
            <w:tcBorders>
              <w:top w:val="nil"/>
              <w:left w:val="single" w:sz="4" w:space="0" w:color="auto"/>
              <w:bottom w:val="single" w:sz="4" w:space="0" w:color="auto"/>
              <w:right w:val="single" w:sz="4" w:space="0" w:color="auto"/>
            </w:tcBorders>
            <w:vAlign w:val="center"/>
            <w:hideMark/>
          </w:tcPr>
          <w:p w14:paraId="3FE4060D" w14:textId="77777777"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14:paraId="29C905F4" w14:textId="77777777" w:rsidR="00BA3E50" w:rsidRPr="00DA3B20" w:rsidRDefault="00BA3E50" w:rsidP="00365FA5">
            <w:pPr>
              <w:widowControl w:val="0"/>
              <w:adjustRightInd w:val="0"/>
              <w:snapToGrid w:val="0"/>
              <w:rPr>
                <w:color w:val="000000"/>
                <w:sz w:val="18"/>
                <w:szCs w:val="18"/>
                <w:lang w:val="en-AU" w:eastAsia="en-AU"/>
              </w:rPr>
            </w:pPr>
          </w:p>
        </w:tc>
        <w:tc>
          <w:tcPr>
            <w:tcW w:w="399" w:type="pct"/>
            <w:vMerge/>
            <w:tcBorders>
              <w:top w:val="nil"/>
              <w:left w:val="single" w:sz="4" w:space="0" w:color="auto"/>
              <w:bottom w:val="single" w:sz="4" w:space="0" w:color="auto"/>
              <w:right w:val="single" w:sz="4" w:space="0" w:color="auto"/>
            </w:tcBorders>
            <w:vAlign w:val="center"/>
            <w:hideMark/>
          </w:tcPr>
          <w:p w14:paraId="1FF62454" w14:textId="77777777" w:rsidR="00BA3E50" w:rsidRPr="00DA3B20" w:rsidRDefault="00BA3E50" w:rsidP="00365FA5">
            <w:pPr>
              <w:widowControl w:val="0"/>
              <w:adjustRightInd w:val="0"/>
              <w:snapToGrid w:val="0"/>
              <w:rPr>
                <w:color w:val="000000"/>
                <w:sz w:val="18"/>
                <w:szCs w:val="18"/>
                <w:lang w:val="en-AU" w:eastAsia="en-AU"/>
              </w:rPr>
            </w:pPr>
          </w:p>
        </w:tc>
        <w:tc>
          <w:tcPr>
            <w:tcW w:w="288" w:type="pct"/>
            <w:tcBorders>
              <w:top w:val="nil"/>
              <w:left w:val="nil"/>
              <w:bottom w:val="single" w:sz="4" w:space="0" w:color="auto"/>
              <w:right w:val="single" w:sz="4" w:space="0" w:color="auto"/>
            </w:tcBorders>
            <w:shd w:val="clear" w:color="auto" w:fill="auto"/>
            <w:noWrap/>
            <w:vAlign w:val="center"/>
            <w:hideMark/>
          </w:tcPr>
          <w:p w14:paraId="40DC7751"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nil"/>
              <w:right w:val="nil"/>
            </w:tcBorders>
            <w:shd w:val="clear" w:color="auto" w:fill="auto"/>
            <w:noWrap/>
            <w:vAlign w:val="center"/>
            <w:hideMark/>
          </w:tcPr>
          <w:p w14:paraId="64DA3F3B" w14:textId="77777777"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14:paraId="23B8AE5A" w14:textId="77777777" w:rsidR="00BA3E50" w:rsidRPr="00DA3B20" w:rsidRDefault="00BA3E50" w:rsidP="00365FA5">
            <w:pPr>
              <w:widowControl w:val="0"/>
              <w:adjustRightInd w:val="0"/>
              <w:snapToGrid w:val="0"/>
              <w:rPr>
                <w:sz w:val="18"/>
                <w:szCs w:val="18"/>
                <w:lang w:val="en-AU" w:eastAsia="en-AU"/>
              </w:rPr>
            </w:pPr>
          </w:p>
        </w:tc>
      </w:tr>
      <w:tr w:rsidR="00BA3E50" w:rsidRPr="00DA3B20" w14:paraId="5F106660" w14:textId="77777777" w:rsidTr="00365FA5">
        <w:tc>
          <w:tcPr>
            <w:tcW w:w="491" w:type="pct"/>
            <w:vMerge/>
            <w:tcBorders>
              <w:top w:val="nil"/>
              <w:left w:val="single" w:sz="4" w:space="0" w:color="auto"/>
              <w:bottom w:val="single" w:sz="4" w:space="0" w:color="auto"/>
              <w:right w:val="single" w:sz="4" w:space="0" w:color="auto"/>
            </w:tcBorders>
            <w:vAlign w:val="center"/>
            <w:hideMark/>
          </w:tcPr>
          <w:p w14:paraId="0D2A97CA" w14:textId="77777777" w:rsidR="00BA3E50" w:rsidRPr="00DA3B20" w:rsidRDefault="00BA3E50" w:rsidP="00365FA5">
            <w:pPr>
              <w:widowControl w:val="0"/>
              <w:adjustRightInd w:val="0"/>
              <w:snapToGrid w:val="0"/>
              <w:rPr>
                <w:color w:val="000000"/>
                <w:sz w:val="18"/>
                <w:szCs w:val="18"/>
                <w:lang w:val="en-AU" w:eastAsia="en-AU"/>
              </w:rPr>
            </w:pPr>
          </w:p>
        </w:tc>
        <w:tc>
          <w:tcPr>
            <w:tcW w:w="385" w:type="pct"/>
            <w:vMerge/>
            <w:tcBorders>
              <w:top w:val="nil"/>
              <w:left w:val="single" w:sz="4" w:space="0" w:color="auto"/>
              <w:bottom w:val="single" w:sz="4" w:space="0" w:color="auto"/>
              <w:right w:val="single" w:sz="4" w:space="0" w:color="auto"/>
            </w:tcBorders>
            <w:vAlign w:val="center"/>
            <w:hideMark/>
          </w:tcPr>
          <w:p w14:paraId="360DD79B" w14:textId="77777777"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14:paraId="4C152A21" w14:textId="77777777" w:rsidR="00BA3E50" w:rsidRPr="00DA3B20" w:rsidRDefault="00BA3E50" w:rsidP="00365FA5">
            <w:pPr>
              <w:widowControl w:val="0"/>
              <w:adjustRightInd w:val="0"/>
              <w:snapToGrid w:val="0"/>
              <w:rPr>
                <w:color w:val="000000"/>
                <w:sz w:val="18"/>
                <w:szCs w:val="18"/>
                <w:lang w:val="en-AU" w:eastAsia="en-AU"/>
              </w:rPr>
            </w:pPr>
          </w:p>
        </w:tc>
        <w:tc>
          <w:tcPr>
            <w:tcW w:w="556" w:type="pct"/>
            <w:tcBorders>
              <w:top w:val="nil"/>
              <w:left w:val="nil"/>
              <w:bottom w:val="single" w:sz="4" w:space="0" w:color="auto"/>
              <w:right w:val="single" w:sz="4" w:space="0" w:color="auto"/>
            </w:tcBorders>
            <w:shd w:val="clear" w:color="000000" w:fill="FFFFFF"/>
            <w:vAlign w:val="center"/>
            <w:hideMark/>
          </w:tcPr>
          <w:p w14:paraId="62FDFF24"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Purse seine bycatch estimation (SC14-ST-IP-04) (SPC)</w:t>
            </w:r>
          </w:p>
        </w:tc>
        <w:tc>
          <w:tcPr>
            <w:tcW w:w="463" w:type="pct"/>
            <w:tcBorders>
              <w:top w:val="nil"/>
              <w:left w:val="nil"/>
              <w:bottom w:val="single" w:sz="4" w:space="0" w:color="auto"/>
              <w:right w:val="single" w:sz="4" w:space="0" w:color="auto"/>
            </w:tcBorders>
            <w:shd w:val="clear" w:color="000000" w:fill="FFFFFF"/>
            <w:vAlign w:val="center"/>
            <w:hideMark/>
          </w:tcPr>
          <w:p w14:paraId="4531E909"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xml:space="preserve">Testing the performance of alternative shark stock assessments approaches. (#9)    </w:t>
            </w:r>
          </w:p>
        </w:tc>
        <w:tc>
          <w:tcPr>
            <w:tcW w:w="371" w:type="pct"/>
            <w:vMerge/>
            <w:tcBorders>
              <w:top w:val="nil"/>
              <w:left w:val="single" w:sz="4" w:space="0" w:color="auto"/>
              <w:bottom w:val="single" w:sz="4" w:space="0" w:color="auto"/>
              <w:right w:val="single" w:sz="4" w:space="0" w:color="auto"/>
            </w:tcBorders>
            <w:vAlign w:val="center"/>
            <w:hideMark/>
          </w:tcPr>
          <w:p w14:paraId="26C5D9C2" w14:textId="77777777"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14:paraId="0F3FB900" w14:textId="77777777" w:rsidR="00BA3E50" w:rsidRPr="00DA3B20" w:rsidRDefault="00BA3E50" w:rsidP="00365FA5">
            <w:pPr>
              <w:widowControl w:val="0"/>
              <w:adjustRightInd w:val="0"/>
              <w:snapToGrid w:val="0"/>
              <w:rPr>
                <w:color w:val="000000"/>
                <w:sz w:val="18"/>
                <w:szCs w:val="18"/>
                <w:lang w:val="en-AU" w:eastAsia="en-AU"/>
              </w:rPr>
            </w:pPr>
          </w:p>
        </w:tc>
        <w:tc>
          <w:tcPr>
            <w:tcW w:w="399" w:type="pct"/>
            <w:vMerge/>
            <w:tcBorders>
              <w:top w:val="nil"/>
              <w:left w:val="single" w:sz="4" w:space="0" w:color="auto"/>
              <w:bottom w:val="single" w:sz="4" w:space="0" w:color="auto"/>
              <w:right w:val="single" w:sz="4" w:space="0" w:color="auto"/>
            </w:tcBorders>
            <w:vAlign w:val="center"/>
            <w:hideMark/>
          </w:tcPr>
          <w:p w14:paraId="1AA90075" w14:textId="77777777" w:rsidR="00BA3E50" w:rsidRPr="00DA3B20" w:rsidRDefault="00BA3E50" w:rsidP="00365FA5">
            <w:pPr>
              <w:widowControl w:val="0"/>
              <w:adjustRightInd w:val="0"/>
              <w:snapToGrid w:val="0"/>
              <w:rPr>
                <w:color w:val="000000"/>
                <w:sz w:val="18"/>
                <w:szCs w:val="18"/>
                <w:lang w:val="en-AU" w:eastAsia="en-AU"/>
              </w:rPr>
            </w:pPr>
          </w:p>
        </w:tc>
        <w:tc>
          <w:tcPr>
            <w:tcW w:w="288" w:type="pct"/>
            <w:tcBorders>
              <w:top w:val="nil"/>
              <w:left w:val="nil"/>
              <w:bottom w:val="single" w:sz="4" w:space="0" w:color="auto"/>
              <w:right w:val="single" w:sz="4" w:space="0" w:color="auto"/>
            </w:tcBorders>
            <w:shd w:val="clear" w:color="auto" w:fill="auto"/>
            <w:noWrap/>
            <w:vAlign w:val="center"/>
            <w:hideMark/>
          </w:tcPr>
          <w:p w14:paraId="6083389B"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High</w:t>
            </w:r>
          </w:p>
        </w:tc>
        <w:tc>
          <w:tcPr>
            <w:tcW w:w="511" w:type="pct"/>
            <w:tcBorders>
              <w:top w:val="nil"/>
              <w:left w:val="nil"/>
              <w:bottom w:val="nil"/>
              <w:right w:val="nil"/>
            </w:tcBorders>
            <w:shd w:val="clear" w:color="auto" w:fill="auto"/>
            <w:noWrap/>
            <w:vAlign w:val="center"/>
            <w:hideMark/>
          </w:tcPr>
          <w:p w14:paraId="251F83AD" w14:textId="77777777"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14:paraId="450B56DE" w14:textId="77777777" w:rsidR="00BA3E50" w:rsidRPr="00DA3B20" w:rsidRDefault="00BA3E50" w:rsidP="00365FA5">
            <w:pPr>
              <w:widowControl w:val="0"/>
              <w:adjustRightInd w:val="0"/>
              <w:snapToGrid w:val="0"/>
              <w:rPr>
                <w:sz w:val="18"/>
                <w:szCs w:val="18"/>
                <w:lang w:val="en-AU" w:eastAsia="en-AU"/>
              </w:rPr>
            </w:pPr>
          </w:p>
        </w:tc>
      </w:tr>
      <w:tr w:rsidR="00BA3E50" w:rsidRPr="00DA3B20" w14:paraId="169397BA" w14:textId="77777777" w:rsidTr="00365FA5">
        <w:tc>
          <w:tcPr>
            <w:tcW w:w="491" w:type="pct"/>
            <w:vMerge/>
            <w:tcBorders>
              <w:top w:val="nil"/>
              <w:left w:val="single" w:sz="4" w:space="0" w:color="auto"/>
              <w:bottom w:val="single" w:sz="4" w:space="0" w:color="auto"/>
              <w:right w:val="single" w:sz="4" w:space="0" w:color="auto"/>
            </w:tcBorders>
            <w:vAlign w:val="center"/>
            <w:hideMark/>
          </w:tcPr>
          <w:p w14:paraId="13346804" w14:textId="77777777" w:rsidR="00BA3E50" w:rsidRPr="00DA3B20" w:rsidRDefault="00BA3E50" w:rsidP="00365FA5">
            <w:pPr>
              <w:widowControl w:val="0"/>
              <w:adjustRightInd w:val="0"/>
              <w:snapToGrid w:val="0"/>
              <w:rPr>
                <w:color w:val="000000"/>
                <w:sz w:val="18"/>
                <w:szCs w:val="18"/>
                <w:lang w:val="en-AU" w:eastAsia="en-AU"/>
              </w:rPr>
            </w:pPr>
          </w:p>
        </w:tc>
        <w:tc>
          <w:tcPr>
            <w:tcW w:w="385" w:type="pct"/>
            <w:vMerge/>
            <w:tcBorders>
              <w:top w:val="nil"/>
              <w:left w:val="single" w:sz="4" w:space="0" w:color="auto"/>
              <w:bottom w:val="single" w:sz="4" w:space="0" w:color="auto"/>
              <w:right w:val="single" w:sz="4" w:space="0" w:color="auto"/>
            </w:tcBorders>
            <w:vAlign w:val="center"/>
            <w:hideMark/>
          </w:tcPr>
          <w:p w14:paraId="5C870D96" w14:textId="77777777"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14:paraId="44210CCF" w14:textId="77777777" w:rsidR="00BA3E50" w:rsidRPr="00DA3B20" w:rsidRDefault="00BA3E50" w:rsidP="00365FA5">
            <w:pPr>
              <w:widowControl w:val="0"/>
              <w:adjustRightInd w:val="0"/>
              <w:snapToGrid w:val="0"/>
              <w:rPr>
                <w:color w:val="000000"/>
                <w:sz w:val="18"/>
                <w:szCs w:val="18"/>
                <w:lang w:val="en-AU" w:eastAsia="en-AU"/>
              </w:rPr>
            </w:pPr>
          </w:p>
        </w:tc>
        <w:tc>
          <w:tcPr>
            <w:tcW w:w="556" w:type="pct"/>
            <w:tcBorders>
              <w:top w:val="nil"/>
              <w:left w:val="nil"/>
              <w:bottom w:val="single" w:sz="4" w:space="0" w:color="auto"/>
              <w:right w:val="single" w:sz="4" w:space="0" w:color="auto"/>
            </w:tcBorders>
            <w:shd w:val="clear" w:color="000000" w:fill="FFFFFF"/>
            <w:vAlign w:val="center"/>
            <w:hideMark/>
          </w:tcPr>
          <w:p w14:paraId="42F52875"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Silky shark tagging movement and FAD entanglement (ISSF-ongoing)</w:t>
            </w:r>
          </w:p>
        </w:tc>
        <w:tc>
          <w:tcPr>
            <w:tcW w:w="463" w:type="pct"/>
            <w:tcBorders>
              <w:top w:val="nil"/>
              <w:left w:val="nil"/>
              <w:bottom w:val="single" w:sz="4" w:space="0" w:color="auto"/>
              <w:right w:val="single" w:sz="4" w:space="0" w:color="auto"/>
            </w:tcBorders>
            <w:shd w:val="clear" w:color="000000" w:fill="FFFFFF"/>
            <w:vAlign w:val="center"/>
            <w:hideMark/>
          </w:tcPr>
          <w:p w14:paraId="521DE060"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vMerge/>
            <w:tcBorders>
              <w:top w:val="nil"/>
              <w:left w:val="single" w:sz="4" w:space="0" w:color="auto"/>
              <w:bottom w:val="single" w:sz="4" w:space="0" w:color="auto"/>
              <w:right w:val="single" w:sz="4" w:space="0" w:color="auto"/>
            </w:tcBorders>
            <w:vAlign w:val="center"/>
            <w:hideMark/>
          </w:tcPr>
          <w:p w14:paraId="5F35B4D7" w14:textId="77777777"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14:paraId="2A678083" w14:textId="77777777" w:rsidR="00BA3E50" w:rsidRPr="00DA3B20" w:rsidRDefault="00BA3E50" w:rsidP="00365FA5">
            <w:pPr>
              <w:widowControl w:val="0"/>
              <w:adjustRightInd w:val="0"/>
              <w:snapToGrid w:val="0"/>
              <w:rPr>
                <w:color w:val="000000"/>
                <w:sz w:val="18"/>
                <w:szCs w:val="18"/>
                <w:lang w:val="en-AU" w:eastAsia="en-AU"/>
              </w:rPr>
            </w:pPr>
          </w:p>
        </w:tc>
        <w:tc>
          <w:tcPr>
            <w:tcW w:w="399" w:type="pct"/>
            <w:vMerge/>
            <w:tcBorders>
              <w:top w:val="nil"/>
              <w:left w:val="single" w:sz="4" w:space="0" w:color="auto"/>
              <w:bottom w:val="single" w:sz="4" w:space="0" w:color="auto"/>
              <w:right w:val="single" w:sz="4" w:space="0" w:color="auto"/>
            </w:tcBorders>
            <w:vAlign w:val="center"/>
            <w:hideMark/>
          </w:tcPr>
          <w:p w14:paraId="5FB9E459" w14:textId="77777777" w:rsidR="00BA3E50" w:rsidRPr="00DA3B20" w:rsidRDefault="00BA3E50" w:rsidP="00365FA5">
            <w:pPr>
              <w:widowControl w:val="0"/>
              <w:adjustRightInd w:val="0"/>
              <w:snapToGrid w:val="0"/>
              <w:rPr>
                <w:color w:val="000000"/>
                <w:sz w:val="18"/>
                <w:szCs w:val="18"/>
                <w:lang w:val="en-AU" w:eastAsia="en-AU"/>
              </w:rPr>
            </w:pPr>
          </w:p>
        </w:tc>
        <w:tc>
          <w:tcPr>
            <w:tcW w:w="288" w:type="pct"/>
            <w:tcBorders>
              <w:top w:val="nil"/>
              <w:left w:val="nil"/>
              <w:bottom w:val="single" w:sz="4" w:space="0" w:color="auto"/>
              <w:right w:val="single" w:sz="4" w:space="0" w:color="auto"/>
            </w:tcBorders>
            <w:shd w:val="clear" w:color="auto" w:fill="auto"/>
            <w:noWrap/>
            <w:vAlign w:val="center"/>
            <w:hideMark/>
          </w:tcPr>
          <w:p w14:paraId="797A2476"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511" w:type="pct"/>
            <w:tcBorders>
              <w:top w:val="nil"/>
              <w:left w:val="nil"/>
              <w:bottom w:val="nil"/>
              <w:right w:val="nil"/>
            </w:tcBorders>
            <w:shd w:val="clear" w:color="auto" w:fill="auto"/>
            <w:noWrap/>
            <w:vAlign w:val="center"/>
            <w:hideMark/>
          </w:tcPr>
          <w:p w14:paraId="5DD5C5EA" w14:textId="77777777"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14:paraId="6D16965E" w14:textId="77777777" w:rsidR="00BA3E50" w:rsidRPr="00DA3B20" w:rsidRDefault="00BA3E50" w:rsidP="00365FA5">
            <w:pPr>
              <w:widowControl w:val="0"/>
              <w:adjustRightInd w:val="0"/>
              <w:snapToGrid w:val="0"/>
              <w:rPr>
                <w:sz w:val="18"/>
                <w:szCs w:val="18"/>
                <w:lang w:val="en-AU" w:eastAsia="en-AU"/>
              </w:rPr>
            </w:pPr>
          </w:p>
        </w:tc>
      </w:tr>
      <w:tr w:rsidR="00BA3E50" w:rsidRPr="00DA3B20" w14:paraId="67A565ED" w14:textId="77777777" w:rsidTr="00365FA5">
        <w:tc>
          <w:tcPr>
            <w:tcW w:w="491" w:type="pct"/>
            <w:tcBorders>
              <w:top w:val="nil"/>
              <w:left w:val="single" w:sz="4" w:space="0" w:color="auto"/>
              <w:bottom w:val="single" w:sz="4" w:space="0" w:color="auto"/>
              <w:right w:val="single" w:sz="4" w:space="0" w:color="auto"/>
            </w:tcBorders>
            <w:shd w:val="clear" w:color="auto" w:fill="auto"/>
            <w:vAlign w:val="center"/>
            <w:hideMark/>
          </w:tcPr>
          <w:p w14:paraId="37306C8C"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Review of shark CMM(s)</w:t>
            </w:r>
          </w:p>
        </w:tc>
        <w:tc>
          <w:tcPr>
            <w:tcW w:w="385" w:type="pct"/>
            <w:tcBorders>
              <w:top w:val="nil"/>
              <w:left w:val="nil"/>
              <w:bottom w:val="single" w:sz="4" w:space="0" w:color="auto"/>
              <w:right w:val="single" w:sz="4" w:space="0" w:color="auto"/>
            </w:tcBorders>
            <w:shd w:val="clear" w:color="auto" w:fill="auto"/>
            <w:vAlign w:val="center"/>
            <w:hideMark/>
          </w:tcPr>
          <w:p w14:paraId="57C1169E"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WCPFC key sharks</w:t>
            </w:r>
          </w:p>
        </w:tc>
        <w:tc>
          <w:tcPr>
            <w:tcW w:w="371" w:type="pct"/>
            <w:tcBorders>
              <w:top w:val="nil"/>
              <w:left w:val="nil"/>
              <w:bottom w:val="single" w:sz="4" w:space="0" w:color="auto"/>
              <w:right w:val="single" w:sz="4" w:space="0" w:color="auto"/>
            </w:tcBorders>
            <w:shd w:val="clear" w:color="auto" w:fill="auto"/>
            <w:vAlign w:val="center"/>
            <w:hideMark/>
          </w:tcPr>
          <w:p w14:paraId="258D8A7C"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Not previously undertaken:</w:t>
            </w:r>
          </w:p>
        </w:tc>
        <w:tc>
          <w:tcPr>
            <w:tcW w:w="2160" w:type="pct"/>
            <w:gridSpan w:val="5"/>
            <w:tcBorders>
              <w:top w:val="single" w:sz="4" w:space="0" w:color="auto"/>
              <w:left w:val="nil"/>
              <w:bottom w:val="single" w:sz="4" w:space="0" w:color="auto"/>
              <w:right w:val="single" w:sz="4" w:space="0" w:color="auto"/>
            </w:tcBorders>
            <w:shd w:val="clear" w:color="auto" w:fill="auto"/>
            <w:vAlign w:val="center"/>
            <w:hideMark/>
          </w:tcPr>
          <w:p w14:paraId="42067DC8" w14:textId="77777777" w:rsidR="00BA3E50" w:rsidRPr="00DA3B20" w:rsidRDefault="00BA3E50" w:rsidP="00365FA5">
            <w:pPr>
              <w:widowControl w:val="0"/>
              <w:adjustRightInd w:val="0"/>
              <w:snapToGrid w:val="0"/>
              <w:jc w:val="center"/>
              <w:rPr>
                <w:color w:val="FF0000"/>
                <w:sz w:val="18"/>
                <w:szCs w:val="18"/>
                <w:lang w:val="en-AU" w:eastAsia="en-AU"/>
              </w:rPr>
            </w:pPr>
            <w:r w:rsidRPr="00DA3B20">
              <w:rPr>
                <w:color w:val="FF0000"/>
                <w:sz w:val="18"/>
                <w:szCs w:val="18"/>
                <w:lang w:val="en-AU" w:eastAsia="en-AU"/>
              </w:rPr>
              <w:t>Potential scientific or technical work for SC pending finalised consolidated shark CMM.</w:t>
            </w:r>
          </w:p>
        </w:tc>
        <w:tc>
          <w:tcPr>
            <w:tcW w:w="288" w:type="pct"/>
            <w:tcBorders>
              <w:top w:val="nil"/>
              <w:left w:val="nil"/>
              <w:bottom w:val="single" w:sz="4" w:space="0" w:color="auto"/>
              <w:right w:val="single" w:sz="4" w:space="0" w:color="auto"/>
            </w:tcBorders>
            <w:shd w:val="clear" w:color="auto" w:fill="auto"/>
            <w:noWrap/>
            <w:vAlign w:val="center"/>
            <w:hideMark/>
          </w:tcPr>
          <w:p w14:paraId="0E14271E" w14:textId="77777777"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Pending</w:t>
            </w:r>
          </w:p>
        </w:tc>
        <w:tc>
          <w:tcPr>
            <w:tcW w:w="511" w:type="pct"/>
            <w:tcBorders>
              <w:top w:val="nil"/>
              <w:left w:val="nil"/>
              <w:bottom w:val="nil"/>
              <w:right w:val="nil"/>
            </w:tcBorders>
            <w:shd w:val="clear" w:color="auto" w:fill="auto"/>
            <w:noWrap/>
            <w:vAlign w:val="center"/>
            <w:hideMark/>
          </w:tcPr>
          <w:p w14:paraId="362D6BFC" w14:textId="77777777"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14:paraId="07948455" w14:textId="77777777" w:rsidR="00BA3E50" w:rsidRPr="00DA3B20" w:rsidRDefault="00BA3E50" w:rsidP="00365FA5">
            <w:pPr>
              <w:widowControl w:val="0"/>
              <w:adjustRightInd w:val="0"/>
              <w:snapToGrid w:val="0"/>
              <w:rPr>
                <w:sz w:val="18"/>
                <w:szCs w:val="18"/>
                <w:lang w:val="en-AU" w:eastAsia="en-AU"/>
              </w:rPr>
            </w:pPr>
          </w:p>
        </w:tc>
      </w:tr>
    </w:tbl>
    <w:p w14:paraId="4F442604" w14:textId="77777777" w:rsidR="00BA3E50" w:rsidRPr="004635E5" w:rsidRDefault="00BA3E50" w:rsidP="00E41116">
      <w:pPr>
        <w:adjustRightInd w:val="0"/>
        <w:snapToGrid w:val="0"/>
        <w:jc w:val="both"/>
        <w:rPr>
          <w:rFonts w:eastAsia="Malgun Gothic"/>
          <w:b/>
          <w:sz w:val="22"/>
          <w:szCs w:val="22"/>
          <w:lang w:val="en-NZ" w:eastAsia="ko-KR"/>
        </w:rPr>
      </w:pPr>
    </w:p>
    <w:p w14:paraId="04733708" w14:textId="77777777" w:rsidR="00BA3E50" w:rsidRPr="004635E5" w:rsidRDefault="00BA3E50" w:rsidP="00E41116">
      <w:pPr>
        <w:adjustRightInd w:val="0"/>
        <w:snapToGrid w:val="0"/>
        <w:jc w:val="both"/>
        <w:rPr>
          <w:rFonts w:eastAsia="Malgun Gothic"/>
          <w:b/>
          <w:sz w:val="22"/>
          <w:szCs w:val="22"/>
          <w:lang w:val="en-NZ" w:eastAsia="ko-KR"/>
        </w:rPr>
      </w:pPr>
    </w:p>
    <w:p w14:paraId="5312DDA2" w14:textId="77777777" w:rsidR="00BA3E50" w:rsidRPr="004635E5" w:rsidRDefault="00BA3E50" w:rsidP="00E41116">
      <w:pPr>
        <w:adjustRightInd w:val="0"/>
        <w:snapToGrid w:val="0"/>
        <w:jc w:val="both"/>
        <w:rPr>
          <w:rFonts w:eastAsia="Malgun Gothic"/>
          <w:b/>
          <w:sz w:val="22"/>
          <w:szCs w:val="22"/>
          <w:lang w:val="en-NZ" w:eastAsia="ko-KR"/>
        </w:rPr>
        <w:sectPr w:rsidR="00BA3E50" w:rsidRPr="004635E5" w:rsidSect="006E7655">
          <w:pgSz w:w="15840" w:h="12240" w:orient="landscape" w:code="1"/>
          <w:pgMar w:top="1440" w:right="850" w:bottom="1440" w:left="850" w:header="706" w:footer="706" w:gutter="0"/>
          <w:cols w:space="708"/>
          <w:docGrid w:linePitch="360"/>
        </w:sectPr>
      </w:pPr>
    </w:p>
    <w:tbl>
      <w:tblPr>
        <w:tblStyle w:val="TableGrid6"/>
        <w:tblW w:w="9828" w:type="dxa"/>
        <w:tblLook w:val="04A0" w:firstRow="1" w:lastRow="0" w:firstColumn="1" w:lastColumn="0" w:noHBand="0" w:noVBand="1"/>
      </w:tblPr>
      <w:tblGrid>
        <w:gridCol w:w="1908"/>
        <w:gridCol w:w="7920"/>
      </w:tblGrid>
      <w:tr w:rsidR="00BA3E50" w:rsidRPr="00DA3B20" w14:paraId="6C7E8860" w14:textId="77777777" w:rsidTr="00BA3E50">
        <w:trPr>
          <w:trHeight w:val="288"/>
        </w:trPr>
        <w:tc>
          <w:tcPr>
            <w:tcW w:w="1908" w:type="dxa"/>
            <w:shd w:val="clear" w:color="auto" w:fill="B2A1C7"/>
          </w:tcPr>
          <w:p w14:paraId="15CD84BE" w14:textId="77777777" w:rsidR="00BA3E50" w:rsidRPr="00DA3B20" w:rsidRDefault="00BA3E50" w:rsidP="00E41116">
            <w:pPr>
              <w:adjustRightInd w:val="0"/>
              <w:snapToGrid w:val="0"/>
              <w:jc w:val="both"/>
              <w:rPr>
                <w:rFonts w:ascii="Times New Roman" w:eastAsia="SimSun" w:hAnsi="Times New Roman"/>
                <w:b/>
                <w:sz w:val="21"/>
                <w:szCs w:val="21"/>
                <w:lang w:val="en-NZ" w:eastAsia="ja-JP"/>
              </w:rPr>
            </w:pPr>
            <w:r w:rsidRPr="00DA3B20">
              <w:rPr>
                <w:rFonts w:ascii="Times New Roman" w:eastAsia="SimSun" w:hAnsi="Times New Roman"/>
                <w:b/>
                <w:sz w:val="21"/>
                <w:szCs w:val="21"/>
                <w:lang w:val="en-NZ" w:eastAsia="ja-JP"/>
              </w:rPr>
              <w:t>Sheet Number</w:t>
            </w:r>
          </w:p>
        </w:tc>
        <w:tc>
          <w:tcPr>
            <w:tcW w:w="7920" w:type="dxa"/>
            <w:shd w:val="clear" w:color="auto" w:fill="B2A1C7"/>
          </w:tcPr>
          <w:p w14:paraId="086A2E4A" w14:textId="77777777"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SRP sheet 9 (draft)</w:t>
            </w:r>
          </w:p>
        </w:tc>
      </w:tr>
      <w:tr w:rsidR="00BA3E50" w:rsidRPr="00DA3B20" w14:paraId="45AA02F7" w14:textId="77777777" w:rsidTr="00BA3E50">
        <w:trPr>
          <w:trHeight w:val="288"/>
        </w:trPr>
        <w:tc>
          <w:tcPr>
            <w:tcW w:w="1908" w:type="dxa"/>
            <w:shd w:val="clear" w:color="auto" w:fill="C2D69B"/>
          </w:tcPr>
          <w:p w14:paraId="4D42AD41" w14:textId="77777777" w:rsidR="00BA3E50" w:rsidRPr="00DA3B20" w:rsidRDefault="00BA3E50" w:rsidP="00E41116">
            <w:pPr>
              <w:adjustRightInd w:val="0"/>
              <w:snapToGrid w:val="0"/>
              <w:jc w:val="both"/>
              <w:rPr>
                <w:rFonts w:ascii="Times New Roman" w:eastAsia="SimSun" w:hAnsi="Times New Roman"/>
                <w:b/>
                <w:sz w:val="21"/>
                <w:szCs w:val="21"/>
                <w:lang w:val="en-NZ" w:eastAsia="ja-JP"/>
              </w:rPr>
            </w:pPr>
            <w:r w:rsidRPr="00DA3B20">
              <w:rPr>
                <w:rFonts w:ascii="Times New Roman" w:eastAsia="SimSun" w:hAnsi="Times New Roman"/>
                <w:b/>
                <w:sz w:val="21"/>
                <w:szCs w:val="21"/>
                <w:lang w:val="en-NZ" w:eastAsia="ja-JP"/>
              </w:rPr>
              <w:t xml:space="preserve">Project </w:t>
            </w:r>
            <w:r w:rsidR="00831865">
              <w:rPr>
                <w:rFonts w:ascii="Times New Roman" w:eastAsiaTheme="minorEastAsia" w:hAnsi="Times New Roman" w:hint="eastAsia"/>
                <w:b/>
                <w:sz w:val="21"/>
                <w:szCs w:val="21"/>
                <w:lang w:val="en-NZ" w:eastAsia="ko-KR"/>
              </w:rPr>
              <w:t xml:space="preserve">92 </w:t>
            </w:r>
            <w:r w:rsidRPr="00DA3B20">
              <w:rPr>
                <w:rFonts w:ascii="Times New Roman" w:eastAsia="SimSun" w:hAnsi="Times New Roman"/>
                <w:b/>
                <w:sz w:val="21"/>
                <w:szCs w:val="21"/>
                <w:lang w:val="en-NZ" w:eastAsia="ja-JP"/>
              </w:rPr>
              <w:t>title</w:t>
            </w:r>
          </w:p>
        </w:tc>
        <w:tc>
          <w:tcPr>
            <w:tcW w:w="7920" w:type="dxa"/>
            <w:shd w:val="clear" w:color="auto" w:fill="C2D69B"/>
          </w:tcPr>
          <w:p w14:paraId="11FD837D" w14:textId="77777777"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 xml:space="preserve">Testing the performance of alternative stock assessments approaches for oceanic whitetip shark.  </w:t>
            </w:r>
          </w:p>
        </w:tc>
      </w:tr>
      <w:tr w:rsidR="00BA3E50" w:rsidRPr="00DA3B20" w14:paraId="53CBEACE" w14:textId="77777777" w:rsidTr="002D5D17">
        <w:trPr>
          <w:trHeight w:val="288"/>
        </w:trPr>
        <w:tc>
          <w:tcPr>
            <w:tcW w:w="1908" w:type="dxa"/>
          </w:tcPr>
          <w:p w14:paraId="26408C2F" w14:textId="77777777" w:rsidR="00BA3E50" w:rsidRPr="00DA3B20" w:rsidRDefault="00BA3E50" w:rsidP="00E41116">
            <w:pPr>
              <w:adjustRightInd w:val="0"/>
              <w:snapToGrid w:val="0"/>
              <w:jc w:val="both"/>
              <w:rPr>
                <w:rFonts w:ascii="Times New Roman" w:eastAsia="SimSun" w:hAnsi="Times New Roman"/>
                <w:b/>
                <w:sz w:val="21"/>
                <w:szCs w:val="21"/>
                <w:lang w:val="en-NZ" w:eastAsia="ja-JP"/>
              </w:rPr>
            </w:pPr>
            <w:r w:rsidRPr="00DA3B20">
              <w:rPr>
                <w:rFonts w:ascii="Times New Roman" w:eastAsia="SimSun" w:hAnsi="Times New Roman"/>
                <w:b/>
                <w:sz w:val="21"/>
                <w:szCs w:val="21"/>
                <w:lang w:val="en-NZ" w:eastAsia="ja-JP"/>
              </w:rPr>
              <w:t>Objectives</w:t>
            </w:r>
          </w:p>
        </w:tc>
        <w:tc>
          <w:tcPr>
            <w:tcW w:w="7920" w:type="dxa"/>
          </w:tcPr>
          <w:p w14:paraId="154EA15F" w14:textId="77777777"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Undertake quantitative stock assessments of WCPO oceanic whitetip shark to evaluate the performance of</w:t>
            </w:r>
            <w:r w:rsidRPr="00DA3B20">
              <w:rPr>
                <w:rFonts w:ascii="Times New Roman" w:eastAsia="SimSun" w:hAnsi="Times New Roman"/>
                <w:sz w:val="21"/>
                <w:szCs w:val="21"/>
                <w:lang w:val="en-US" w:eastAsia="ja-JP"/>
              </w:rPr>
              <w:t xml:space="preserve"> a variety of less data-demanding assessments approaches in comparison to a full, integrated, age-structured assessment model (such as MFCL or SS3).</w:t>
            </w:r>
            <w:r w:rsidRPr="00DA3B20">
              <w:rPr>
                <w:rFonts w:ascii="Times New Roman" w:eastAsia="SimSun" w:hAnsi="Times New Roman"/>
                <w:sz w:val="21"/>
                <w:szCs w:val="21"/>
                <w:lang w:val="en-NZ" w:eastAsia="ja-JP"/>
              </w:rPr>
              <w:t xml:space="preserve"> The project will provide:</w:t>
            </w:r>
          </w:p>
          <w:p w14:paraId="04917921" w14:textId="77777777" w:rsidR="00BA3E50" w:rsidRPr="00DA3B20" w:rsidRDefault="00BA3E50" w:rsidP="00580EA4">
            <w:pPr>
              <w:numPr>
                <w:ilvl w:val="0"/>
                <w:numId w:val="99"/>
              </w:numPr>
              <w:adjustRightInd w:val="0"/>
              <w:snapToGrid w:val="0"/>
              <w:rPr>
                <w:rFonts w:ascii="Times New Roman" w:eastAsia="Calibri" w:hAnsi="Times New Roman"/>
                <w:sz w:val="21"/>
                <w:szCs w:val="21"/>
                <w:lang w:val="en-NZ"/>
              </w:rPr>
            </w:pPr>
            <w:r w:rsidRPr="00DA3B20">
              <w:rPr>
                <w:rFonts w:ascii="Times New Roman" w:eastAsia="Calibri" w:hAnsi="Times New Roman"/>
                <w:sz w:val="21"/>
                <w:szCs w:val="21"/>
                <w:lang w:val="en-NZ"/>
              </w:rPr>
              <w:t>A stock assessment of WCPO oceanic whitetip shark for the purposes of generating management advice.</w:t>
            </w:r>
          </w:p>
          <w:p w14:paraId="5BE0A2A1" w14:textId="77777777" w:rsidR="00BA3E50" w:rsidRPr="00DA3B20" w:rsidRDefault="00BA3E50" w:rsidP="00580EA4">
            <w:pPr>
              <w:numPr>
                <w:ilvl w:val="0"/>
                <w:numId w:val="99"/>
              </w:numPr>
              <w:adjustRightInd w:val="0"/>
              <w:snapToGrid w:val="0"/>
              <w:rPr>
                <w:rFonts w:ascii="Times New Roman" w:eastAsia="Calibri" w:hAnsi="Times New Roman"/>
                <w:sz w:val="21"/>
                <w:szCs w:val="21"/>
                <w:lang w:val="en-NZ"/>
              </w:rPr>
            </w:pPr>
            <w:r w:rsidRPr="00DA3B20">
              <w:rPr>
                <w:rFonts w:ascii="Times New Roman" w:eastAsia="Calibri" w:hAnsi="Times New Roman"/>
                <w:sz w:val="21"/>
                <w:szCs w:val="21"/>
                <w:lang w:val="en-NZ"/>
              </w:rPr>
              <w:t xml:space="preserve">An evaluation of alternative assessment approaches that have potential application to other key shark species with less data.  </w:t>
            </w:r>
          </w:p>
        </w:tc>
      </w:tr>
      <w:tr w:rsidR="00BA3E50" w:rsidRPr="00DA3B20" w14:paraId="05B3FE13" w14:textId="77777777" w:rsidTr="002D5D17">
        <w:trPr>
          <w:trHeight w:val="288"/>
        </w:trPr>
        <w:tc>
          <w:tcPr>
            <w:tcW w:w="1908" w:type="dxa"/>
          </w:tcPr>
          <w:p w14:paraId="50FBC564" w14:textId="77777777" w:rsidR="00BA3E50" w:rsidRPr="00DA3B20" w:rsidRDefault="00BA3E50" w:rsidP="00E41116">
            <w:pPr>
              <w:adjustRightInd w:val="0"/>
              <w:snapToGrid w:val="0"/>
              <w:jc w:val="both"/>
              <w:rPr>
                <w:rFonts w:ascii="Times New Roman" w:eastAsia="SimSun" w:hAnsi="Times New Roman"/>
                <w:b/>
                <w:sz w:val="21"/>
                <w:szCs w:val="21"/>
                <w:lang w:val="en-NZ" w:eastAsia="ja-JP"/>
              </w:rPr>
            </w:pPr>
            <w:r w:rsidRPr="00DA3B20">
              <w:rPr>
                <w:rFonts w:ascii="Times New Roman" w:eastAsia="SimSun" w:hAnsi="Times New Roman"/>
                <w:b/>
                <w:sz w:val="21"/>
                <w:szCs w:val="21"/>
                <w:lang w:val="en-NZ" w:eastAsia="ja-JP"/>
              </w:rPr>
              <w:t>Rationale</w:t>
            </w:r>
          </w:p>
        </w:tc>
        <w:tc>
          <w:tcPr>
            <w:tcW w:w="7920" w:type="dxa"/>
          </w:tcPr>
          <w:p w14:paraId="65D05E06" w14:textId="77777777"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 xml:space="preserve">The Western and Central Pacific Fisheries Commission Scientific Committee has had a number of low information assessments of sharks but is has been difficult for members to interpret these results without a comparison to a known baseline. Undertaking both high and low-information assessments simultaneously on the same species may provide members with a better understanding of how full integrated age-structured assessment results can be compared to the results of less data-demanding assessments. </w:t>
            </w:r>
          </w:p>
        </w:tc>
      </w:tr>
      <w:tr w:rsidR="00BA3E50" w:rsidRPr="00DA3B20" w14:paraId="348D293A" w14:textId="77777777" w:rsidTr="002D5D17">
        <w:trPr>
          <w:trHeight w:val="288"/>
        </w:trPr>
        <w:tc>
          <w:tcPr>
            <w:tcW w:w="1908" w:type="dxa"/>
          </w:tcPr>
          <w:p w14:paraId="6526D5F9" w14:textId="77777777" w:rsidR="00BA3E50" w:rsidRPr="00DA3B20" w:rsidRDefault="00BA3E50" w:rsidP="00E41116">
            <w:pPr>
              <w:adjustRightInd w:val="0"/>
              <w:snapToGrid w:val="0"/>
              <w:jc w:val="both"/>
              <w:rPr>
                <w:rFonts w:ascii="Times New Roman" w:eastAsia="SimSun" w:hAnsi="Times New Roman"/>
                <w:b/>
                <w:sz w:val="21"/>
                <w:szCs w:val="21"/>
                <w:lang w:val="en-NZ" w:eastAsia="ja-JP"/>
              </w:rPr>
            </w:pPr>
            <w:r w:rsidRPr="00DA3B20">
              <w:rPr>
                <w:rFonts w:ascii="Times New Roman" w:eastAsia="SimSun" w:hAnsi="Times New Roman"/>
                <w:b/>
                <w:sz w:val="21"/>
                <w:szCs w:val="21"/>
                <w:lang w:val="en-NZ" w:eastAsia="ja-JP"/>
              </w:rPr>
              <w:t>Assumptions</w:t>
            </w:r>
          </w:p>
        </w:tc>
        <w:tc>
          <w:tcPr>
            <w:tcW w:w="7920" w:type="dxa"/>
          </w:tcPr>
          <w:p w14:paraId="1DEB9EB4" w14:textId="77777777" w:rsidR="00BA3E50" w:rsidRPr="00DA3B20" w:rsidRDefault="00BA3E50" w:rsidP="00580EA4">
            <w:pPr>
              <w:numPr>
                <w:ilvl w:val="0"/>
                <w:numId w:val="98"/>
              </w:numPr>
              <w:adjustRightInd w:val="0"/>
              <w:snapToGrid w:val="0"/>
              <w:rPr>
                <w:rFonts w:ascii="Times New Roman" w:eastAsia="Calibri" w:hAnsi="Times New Roman"/>
                <w:sz w:val="21"/>
                <w:szCs w:val="21"/>
                <w:lang w:val="en-NZ"/>
              </w:rPr>
            </w:pPr>
            <w:r w:rsidRPr="00DA3B20">
              <w:rPr>
                <w:rFonts w:ascii="Times New Roman" w:eastAsia="Calibri" w:hAnsi="Times New Roman"/>
                <w:sz w:val="21"/>
                <w:szCs w:val="21"/>
                <w:lang w:val="en-NZ"/>
              </w:rPr>
              <w:t>Much of the existing fisheries and biological data are readily available.</w:t>
            </w:r>
          </w:p>
          <w:p w14:paraId="733432C8" w14:textId="77777777" w:rsidR="00BA3E50" w:rsidRPr="00DA3B20" w:rsidRDefault="00BA3E50" w:rsidP="00580EA4">
            <w:pPr>
              <w:numPr>
                <w:ilvl w:val="0"/>
                <w:numId w:val="98"/>
              </w:numPr>
              <w:adjustRightInd w:val="0"/>
              <w:snapToGrid w:val="0"/>
              <w:rPr>
                <w:rFonts w:ascii="Times New Roman" w:eastAsia="Calibri" w:hAnsi="Times New Roman"/>
                <w:sz w:val="21"/>
                <w:szCs w:val="21"/>
                <w:lang w:val="en-NZ"/>
              </w:rPr>
            </w:pPr>
            <w:r w:rsidRPr="00DA3B20">
              <w:rPr>
                <w:rFonts w:ascii="Times New Roman" w:eastAsia="Calibri" w:hAnsi="Times New Roman"/>
                <w:sz w:val="21"/>
                <w:szCs w:val="21"/>
                <w:lang w:val="en-NZ"/>
              </w:rPr>
              <w:t>Assessment personnel are available to undertake this work</w:t>
            </w:r>
          </w:p>
        </w:tc>
      </w:tr>
      <w:tr w:rsidR="00BA3E50" w:rsidRPr="00DA3B20" w14:paraId="46D44BA8" w14:textId="77777777" w:rsidTr="002D5D17">
        <w:trPr>
          <w:trHeight w:val="288"/>
        </w:trPr>
        <w:tc>
          <w:tcPr>
            <w:tcW w:w="1908" w:type="dxa"/>
          </w:tcPr>
          <w:p w14:paraId="2673789A" w14:textId="77777777" w:rsidR="00BA3E50" w:rsidRPr="00DA3B20" w:rsidRDefault="00BA3E50" w:rsidP="00E41116">
            <w:pPr>
              <w:adjustRightInd w:val="0"/>
              <w:snapToGrid w:val="0"/>
              <w:jc w:val="both"/>
              <w:rPr>
                <w:rFonts w:ascii="Times New Roman" w:eastAsia="SimSun" w:hAnsi="Times New Roman"/>
                <w:b/>
                <w:sz w:val="21"/>
                <w:szCs w:val="21"/>
                <w:lang w:val="en-NZ" w:eastAsia="ja-JP"/>
              </w:rPr>
            </w:pPr>
            <w:r w:rsidRPr="00DA3B20">
              <w:rPr>
                <w:rFonts w:ascii="Times New Roman" w:eastAsia="SimSun" w:hAnsi="Times New Roman"/>
                <w:b/>
                <w:sz w:val="21"/>
                <w:szCs w:val="21"/>
                <w:lang w:val="en-NZ" w:eastAsia="ja-JP"/>
              </w:rPr>
              <w:t>Scope</w:t>
            </w:r>
          </w:p>
        </w:tc>
        <w:tc>
          <w:tcPr>
            <w:tcW w:w="7920" w:type="dxa"/>
          </w:tcPr>
          <w:p w14:paraId="36E68051" w14:textId="77777777" w:rsidR="00BA3E50" w:rsidRPr="00DA3B20" w:rsidRDefault="00BA3E50" w:rsidP="00E41116">
            <w:pPr>
              <w:autoSpaceDE w:val="0"/>
              <w:autoSpaceDN w:val="0"/>
              <w:adjustRightInd w:val="0"/>
              <w:snapToGrid w:val="0"/>
              <w:jc w:val="both"/>
              <w:rPr>
                <w:rFonts w:ascii="Times New Roman" w:eastAsia="SimSun" w:hAnsi="Times New Roman"/>
                <w:color w:val="000000"/>
                <w:sz w:val="21"/>
                <w:szCs w:val="21"/>
                <w:lang w:eastAsia="ja-JP"/>
              </w:rPr>
            </w:pPr>
            <w:r w:rsidRPr="00DA3B20">
              <w:rPr>
                <w:rFonts w:ascii="Times New Roman" w:eastAsia="SimSun" w:hAnsi="Times New Roman"/>
                <w:color w:val="000000"/>
                <w:sz w:val="21"/>
                <w:szCs w:val="21"/>
                <w:lang w:eastAsia="ja-JP"/>
              </w:rPr>
              <w:t xml:space="preserve">Reviewing the previous shark assessments in the WCPO and North Pacific to assess and improve on methods to increase the understanding of data strengths and weaknesses, and update stock status. Update WCPO longline and purse seine catch estimates and abundance indices using recent observer data. </w:t>
            </w:r>
          </w:p>
          <w:p w14:paraId="43D56B22" w14:textId="77777777" w:rsidR="00BA3E50" w:rsidRPr="00DA3B20" w:rsidRDefault="00BA3E50" w:rsidP="00E41116">
            <w:pPr>
              <w:autoSpaceDE w:val="0"/>
              <w:autoSpaceDN w:val="0"/>
              <w:adjustRightInd w:val="0"/>
              <w:snapToGrid w:val="0"/>
              <w:jc w:val="both"/>
              <w:rPr>
                <w:rFonts w:ascii="Times New Roman" w:eastAsia="SimSun" w:hAnsi="Times New Roman"/>
                <w:color w:val="000000"/>
                <w:sz w:val="21"/>
                <w:szCs w:val="21"/>
                <w:lang w:eastAsia="ja-JP"/>
              </w:rPr>
            </w:pPr>
          </w:p>
          <w:p w14:paraId="6D7BCAAB" w14:textId="77777777" w:rsidR="00BA3E50" w:rsidRPr="00DA3B20" w:rsidRDefault="00BA3E50" w:rsidP="00E41116">
            <w:pPr>
              <w:autoSpaceDE w:val="0"/>
              <w:autoSpaceDN w:val="0"/>
              <w:adjustRightInd w:val="0"/>
              <w:snapToGrid w:val="0"/>
              <w:jc w:val="both"/>
              <w:rPr>
                <w:rFonts w:ascii="Times New Roman" w:eastAsia="SimSun" w:hAnsi="Times New Roman"/>
                <w:color w:val="000000"/>
                <w:sz w:val="21"/>
                <w:szCs w:val="21"/>
                <w:lang w:eastAsia="ja-JP"/>
              </w:rPr>
            </w:pPr>
            <w:r w:rsidRPr="00DA3B20">
              <w:rPr>
                <w:rFonts w:ascii="Times New Roman" w:eastAsia="SimSun" w:hAnsi="Times New Roman"/>
                <w:color w:val="000000"/>
                <w:sz w:val="21"/>
                <w:szCs w:val="21"/>
                <w:lang w:eastAsia="ja-JP"/>
              </w:rPr>
              <w:t xml:space="preserve">Undertake a </w:t>
            </w:r>
            <w:r w:rsidRPr="00DA3B20">
              <w:rPr>
                <w:rFonts w:ascii="Times New Roman" w:eastAsia="SimSun" w:hAnsi="Times New Roman"/>
                <w:color w:val="000000"/>
                <w:sz w:val="21"/>
                <w:szCs w:val="21"/>
                <w:lang w:val="en-NZ" w:eastAsia="ja-JP"/>
              </w:rPr>
              <w:t xml:space="preserve">quantitative </w:t>
            </w:r>
            <w:r w:rsidRPr="00DA3B20">
              <w:rPr>
                <w:rFonts w:ascii="Times New Roman" w:eastAsia="SimSun" w:hAnsi="Times New Roman"/>
                <w:color w:val="000000"/>
                <w:sz w:val="21"/>
                <w:szCs w:val="21"/>
                <w:lang w:eastAsia="ja-JP"/>
              </w:rPr>
              <w:t xml:space="preserve">stock assessment on WCPO </w:t>
            </w:r>
            <w:r w:rsidRPr="00DA3B20">
              <w:rPr>
                <w:rFonts w:ascii="Times New Roman" w:eastAsia="SimSun" w:hAnsi="Times New Roman"/>
                <w:color w:val="000000"/>
                <w:sz w:val="21"/>
                <w:szCs w:val="21"/>
                <w:lang w:val="en-NZ" w:eastAsia="ja-JP"/>
              </w:rPr>
              <w:t xml:space="preserve">oceanic whitetip shark </w:t>
            </w:r>
            <w:r w:rsidRPr="00DA3B20">
              <w:rPr>
                <w:rFonts w:ascii="Times New Roman" w:eastAsia="SimSun" w:hAnsi="Times New Roman"/>
                <w:color w:val="000000"/>
                <w:sz w:val="21"/>
                <w:szCs w:val="21"/>
                <w:lang w:eastAsia="ja-JP"/>
              </w:rPr>
              <w:t>to assess the level of F (fishing mortality) and B (biomass) trends for this species. The analysis should present the stock status in terms of common WCPFC quantities of management interest such as F/F</w:t>
            </w:r>
            <w:r w:rsidRPr="00DA3B20">
              <w:rPr>
                <w:rFonts w:ascii="Times New Roman" w:eastAsia="SimSun" w:hAnsi="Times New Roman"/>
                <w:color w:val="000000"/>
                <w:sz w:val="21"/>
                <w:szCs w:val="21"/>
                <w:vertAlign w:val="subscript"/>
                <w:lang w:eastAsia="ja-JP"/>
              </w:rPr>
              <w:t>MSY</w:t>
            </w:r>
            <w:r w:rsidRPr="00DA3B20">
              <w:rPr>
                <w:rFonts w:ascii="Times New Roman" w:eastAsia="SimSun" w:hAnsi="Times New Roman"/>
                <w:color w:val="000000"/>
                <w:sz w:val="21"/>
                <w:szCs w:val="21"/>
                <w:lang w:eastAsia="ja-JP"/>
              </w:rPr>
              <w:t>, SB/SB</w:t>
            </w:r>
            <w:r w:rsidRPr="00DA3B20">
              <w:rPr>
                <w:rFonts w:ascii="Times New Roman" w:eastAsia="SimSun" w:hAnsi="Times New Roman"/>
                <w:color w:val="000000"/>
                <w:sz w:val="21"/>
                <w:szCs w:val="21"/>
                <w:vertAlign w:val="subscript"/>
                <w:lang w:eastAsia="ja-JP"/>
              </w:rPr>
              <w:t xml:space="preserve">MSY </w:t>
            </w:r>
            <w:r w:rsidRPr="00DA3B20">
              <w:rPr>
                <w:rFonts w:ascii="Times New Roman" w:eastAsia="SimSun" w:hAnsi="Times New Roman"/>
                <w:color w:val="000000"/>
                <w:sz w:val="21"/>
                <w:szCs w:val="21"/>
                <w:lang w:eastAsia="ja-JP"/>
              </w:rPr>
              <w:t>and SB/SB</w:t>
            </w:r>
            <w:r w:rsidRPr="00DA3B20">
              <w:rPr>
                <w:rFonts w:ascii="Times New Roman" w:eastAsia="SimSun" w:hAnsi="Times New Roman"/>
                <w:color w:val="000000"/>
                <w:sz w:val="21"/>
                <w:szCs w:val="21"/>
                <w:vertAlign w:val="subscript"/>
                <w:lang w:eastAsia="ja-JP"/>
              </w:rPr>
              <w:t xml:space="preserve">F=0 </w:t>
            </w:r>
            <w:r w:rsidRPr="00DA3B20">
              <w:rPr>
                <w:rFonts w:ascii="Times New Roman" w:eastAsia="SimSun" w:hAnsi="Times New Roman"/>
                <w:color w:val="000000"/>
                <w:sz w:val="21"/>
                <w:szCs w:val="21"/>
                <w:lang w:eastAsia="ja-JP"/>
              </w:rPr>
              <w:t xml:space="preserve">ratios, fishing mortality, (SPR) spawner per recruit, yield and biomass. </w:t>
            </w:r>
          </w:p>
          <w:p w14:paraId="411B01B9" w14:textId="77777777" w:rsidR="00BA3E50" w:rsidRPr="00DA3B20" w:rsidRDefault="00BA3E50" w:rsidP="00E41116">
            <w:pPr>
              <w:adjustRightInd w:val="0"/>
              <w:snapToGrid w:val="0"/>
              <w:jc w:val="both"/>
              <w:rPr>
                <w:rFonts w:ascii="Times New Roman" w:eastAsia="Batang" w:hAnsi="Times New Roman"/>
                <w:color w:val="000000"/>
                <w:sz w:val="21"/>
                <w:szCs w:val="21"/>
                <w:lang w:val="en-US" w:eastAsia="ja-JP"/>
              </w:rPr>
            </w:pPr>
            <w:r w:rsidRPr="00DA3B20">
              <w:rPr>
                <w:rFonts w:ascii="Times New Roman" w:eastAsia="Batang" w:hAnsi="Times New Roman"/>
                <w:color w:val="000000"/>
                <w:sz w:val="21"/>
                <w:szCs w:val="21"/>
                <w:lang w:val="en-US" w:eastAsia="ja-JP"/>
              </w:rPr>
              <w:t>Undertake less data-demanding assessments of WCPO oceanic whitetip shark to assess the level of similar common WCPFC quantities of management interest including the above (where applicable). Candidate assessment approaches can include:</w:t>
            </w:r>
          </w:p>
          <w:p w14:paraId="441DFCEF" w14:textId="77777777" w:rsidR="00BA3E50" w:rsidRPr="00DA3B20" w:rsidRDefault="00BA3E50" w:rsidP="00580EA4">
            <w:pPr>
              <w:numPr>
                <w:ilvl w:val="0"/>
                <w:numId w:val="100"/>
              </w:numPr>
              <w:adjustRightInd w:val="0"/>
              <w:snapToGrid w:val="0"/>
              <w:rPr>
                <w:rFonts w:ascii="Times New Roman" w:eastAsia="Calibri" w:hAnsi="Times New Roman"/>
                <w:sz w:val="21"/>
                <w:szCs w:val="21"/>
                <w:lang w:val="en-US"/>
              </w:rPr>
            </w:pPr>
            <w:r w:rsidRPr="00DA3B20">
              <w:rPr>
                <w:rFonts w:ascii="Times New Roman" w:eastAsia="Calibri" w:hAnsi="Times New Roman"/>
                <w:sz w:val="21"/>
                <w:szCs w:val="21"/>
                <w:lang w:val="en-US"/>
              </w:rPr>
              <w:t>Surplus production model</w:t>
            </w:r>
          </w:p>
          <w:p w14:paraId="4D7D37C9" w14:textId="77777777" w:rsidR="00BA3E50" w:rsidRPr="00DA3B20" w:rsidRDefault="00BA3E50" w:rsidP="00580EA4">
            <w:pPr>
              <w:numPr>
                <w:ilvl w:val="0"/>
                <w:numId w:val="100"/>
              </w:numPr>
              <w:adjustRightInd w:val="0"/>
              <w:snapToGrid w:val="0"/>
              <w:rPr>
                <w:rFonts w:ascii="Times New Roman" w:eastAsia="Calibri" w:hAnsi="Times New Roman"/>
                <w:sz w:val="21"/>
                <w:szCs w:val="21"/>
                <w:lang w:val="en-US"/>
              </w:rPr>
            </w:pPr>
            <w:r w:rsidRPr="00DA3B20">
              <w:rPr>
                <w:rFonts w:ascii="Times New Roman" w:eastAsia="Calibri" w:hAnsi="Times New Roman"/>
                <w:sz w:val="21"/>
                <w:szCs w:val="21"/>
                <w:lang w:val="en-US"/>
              </w:rPr>
              <w:t>Catch only methods</w:t>
            </w:r>
          </w:p>
          <w:p w14:paraId="57D2077D" w14:textId="77777777" w:rsidR="00BA3E50" w:rsidRPr="00DA3B20" w:rsidRDefault="00BA3E50" w:rsidP="00580EA4">
            <w:pPr>
              <w:numPr>
                <w:ilvl w:val="0"/>
                <w:numId w:val="100"/>
              </w:numPr>
              <w:adjustRightInd w:val="0"/>
              <w:snapToGrid w:val="0"/>
              <w:rPr>
                <w:rFonts w:ascii="Times New Roman" w:eastAsia="Calibri" w:hAnsi="Times New Roman"/>
                <w:sz w:val="21"/>
                <w:szCs w:val="21"/>
                <w:lang w:val="en-US"/>
              </w:rPr>
            </w:pPr>
            <w:r w:rsidRPr="00DA3B20">
              <w:rPr>
                <w:rFonts w:ascii="Times New Roman" w:eastAsia="Calibri" w:hAnsi="Times New Roman"/>
                <w:sz w:val="21"/>
                <w:szCs w:val="21"/>
                <w:lang w:val="en-US"/>
              </w:rPr>
              <w:t>Area-based assessment approaches with a range of decreasing data inputs (such as stock density, gear efficiency, and post-discard survival).</w:t>
            </w:r>
          </w:p>
          <w:p w14:paraId="2F762EB6" w14:textId="77777777" w:rsidR="00BA3E50" w:rsidRPr="00DA3B20" w:rsidRDefault="00BA3E50" w:rsidP="00580EA4">
            <w:pPr>
              <w:numPr>
                <w:ilvl w:val="1"/>
                <w:numId w:val="100"/>
              </w:numPr>
              <w:adjustRightInd w:val="0"/>
              <w:snapToGrid w:val="0"/>
              <w:rPr>
                <w:rFonts w:ascii="Times New Roman" w:eastAsia="Calibri" w:hAnsi="Times New Roman"/>
                <w:sz w:val="21"/>
                <w:szCs w:val="21"/>
                <w:lang w:val="en-US"/>
              </w:rPr>
            </w:pPr>
            <w:r w:rsidRPr="00DA3B20">
              <w:rPr>
                <w:rFonts w:ascii="Times New Roman" w:eastAsia="Calibri" w:hAnsi="Times New Roman"/>
                <w:sz w:val="21"/>
                <w:szCs w:val="21"/>
                <w:lang w:val="en-US"/>
              </w:rPr>
              <w:t>Spatially-explicit risk assessment</w:t>
            </w:r>
          </w:p>
          <w:p w14:paraId="63EACFF6" w14:textId="77777777" w:rsidR="00BA3E50" w:rsidRPr="00DA3B20" w:rsidRDefault="00BA3E50" w:rsidP="00580EA4">
            <w:pPr>
              <w:numPr>
                <w:ilvl w:val="1"/>
                <w:numId w:val="100"/>
              </w:numPr>
              <w:adjustRightInd w:val="0"/>
              <w:snapToGrid w:val="0"/>
              <w:rPr>
                <w:rFonts w:ascii="Times New Roman" w:eastAsia="Calibri" w:hAnsi="Times New Roman"/>
                <w:sz w:val="21"/>
                <w:szCs w:val="21"/>
                <w:lang w:val="en-US"/>
              </w:rPr>
            </w:pPr>
            <w:r w:rsidRPr="00DA3B20">
              <w:rPr>
                <w:rFonts w:ascii="Times New Roman" w:eastAsia="Calibri" w:hAnsi="Times New Roman"/>
                <w:sz w:val="21"/>
                <w:szCs w:val="21"/>
                <w:lang w:val="en-US"/>
              </w:rPr>
              <w:t>EASI-Fish model</w:t>
            </w:r>
          </w:p>
          <w:p w14:paraId="4238F406" w14:textId="77777777" w:rsidR="00BA3E50" w:rsidRPr="00DA3B20" w:rsidRDefault="00BA3E50" w:rsidP="00580EA4">
            <w:pPr>
              <w:numPr>
                <w:ilvl w:val="1"/>
                <w:numId w:val="100"/>
              </w:numPr>
              <w:adjustRightInd w:val="0"/>
              <w:snapToGrid w:val="0"/>
              <w:rPr>
                <w:rFonts w:ascii="Times New Roman" w:eastAsia="Calibri" w:hAnsi="Times New Roman"/>
                <w:sz w:val="21"/>
                <w:szCs w:val="21"/>
                <w:lang w:val="en-US"/>
              </w:rPr>
            </w:pPr>
            <w:r w:rsidRPr="00DA3B20">
              <w:rPr>
                <w:rFonts w:ascii="Times New Roman" w:eastAsia="Calibri" w:hAnsi="Times New Roman"/>
                <w:sz w:val="21"/>
                <w:szCs w:val="21"/>
                <w:lang w:val="en-US"/>
              </w:rPr>
              <w:t>Sustainability assessment for fishing effects (SAFE);</w:t>
            </w:r>
            <w:r w:rsidRPr="00DA3B20" w:rsidDel="00A923DD">
              <w:rPr>
                <w:rFonts w:ascii="Times New Roman" w:eastAsia="Calibri" w:hAnsi="Times New Roman"/>
                <w:sz w:val="21"/>
                <w:szCs w:val="21"/>
                <w:lang w:val="en-US"/>
              </w:rPr>
              <w:t xml:space="preserve"> </w:t>
            </w:r>
          </w:p>
          <w:p w14:paraId="1DF653FD" w14:textId="77777777" w:rsidR="00BA3E50" w:rsidRPr="00DA3B20" w:rsidRDefault="00BA3E50" w:rsidP="00E41116">
            <w:pPr>
              <w:adjustRightInd w:val="0"/>
              <w:snapToGrid w:val="0"/>
              <w:ind w:left="1440"/>
              <w:rPr>
                <w:rFonts w:ascii="Times New Roman" w:eastAsia="Calibri" w:hAnsi="Times New Roman"/>
                <w:sz w:val="21"/>
                <w:szCs w:val="21"/>
                <w:lang w:val="en-US"/>
              </w:rPr>
            </w:pPr>
          </w:p>
          <w:p w14:paraId="0E00C12B" w14:textId="77777777"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Input data must be consistent between assessment methods where the same data are an input. Separate analysis teams may be involved.</w:t>
            </w:r>
          </w:p>
          <w:p w14:paraId="4DFF4132" w14:textId="77777777"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US" w:eastAsia="ja-JP"/>
              </w:rPr>
              <w:t>The focus of these analyses is the estimate of management quantities rather than the development of reference points (shark limit reference points are the subject of a separate (Project 57)).</w:t>
            </w:r>
          </w:p>
          <w:p w14:paraId="54750C4E" w14:textId="77777777"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Consideration should be given to the suitability of assessment approaches for regular application across a large number of key shark species (simultaneously) or, alternatively, for separate one-off assessments of a species.</w:t>
            </w:r>
          </w:p>
          <w:p w14:paraId="2965F0D1" w14:textId="77777777"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US" w:eastAsia="ja-JP"/>
              </w:rPr>
              <w:t>Prepare a report containing the above results for SC15.</w:t>
            </w:r>
          </w:p>
        </w:tc>
      </w:tr>
      <w:tr w:rsidR="00BA3E50" w:rsidRPr="00DA3B20" w14:paraId="0E0A3562" w14:textId="77777777" w:rsidTr="002D5D17">
        <w:trPr>
          <w:trHeight w:val="288"/>
        </w:trPr>
        <w:tc>
          <w:tcPr>
            <w:tcW w:w="1908" w:type="dxa"/>
          </w:tcPr>
          <w:p w14:paraId="59673BAE" w14:textId="77777777" w:rsidR="00BA3E50" w:rsidRPr="00DA3B20" w:rsidRDefault="00BA3E50" w:rsidP="00E41116">
            <w:pPr>
              <w:adjustRightInd w:val="0"/>
              <w:snapToGrid w:val="0"/>
              <w:jc w:val="both"/>
              <w:rPr>
                <w:rFonts w:ascii="Times New Roman" w:eastAsia="SimSun" w:hAnsi="Times New Roman"/>
                <w:b/>
                <w:sz w:val="21"/>
                <w:szCs w:val="21"/>
                <w:lang w:val="en-NZ" w:eastAsia="ja-JP"/>
              </w:rPr>
            </w:pPr>
            <w:r w:rsidRPr="00DA3B20">
              <w:rPr>
                <w:rFonts w:ascii="Times New Roman" w:eastAsia="SimSun" w:hAnsi="Times New Roman"/>
                <w:b/>
                <w:sz w:val="21"/>
                <w:szCs w:val="21"/>
                <w:lang w:val="en-NZ" w:eastAsia="ja-JP"/>
              </w:rPr>
              <w:t>Budget</w:t>
            </w:r>
          </w:p>
        </w:tc>
        <w:tc>
          <w:tcPr>
            <w:tcW w:w="7920" w:type="dxa"/>
          </w:tcPr>
          <w:p w14:paraId="68695F45" w14:textId="77777777"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1.5 FTE</w:t>
            </w:r>
          </w:p>
          <w:p w14:paraId="2D78CAD6" w14:textId="77777777"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$75,000</w:t>
            </w:r>
          </w:p>
        </w:tc>
      </w:tr>
    </w:tbl>
    <w:p w14:paraId="38AEA893" w14:textId="77777777" w:rsidR="00BA3E50" w:rsidRPr="004635E5" w:rsidRDefault="00BA3E50" w:rsidP="00E41116">
      <w:pPr>
        <w:adjustRightInd w:val="0"/>
        <w:snapToGrid w:val="0"/>
        <w:jc w:val="both"/>
        <w:rPr>
          <w:rFonts w:eastAsia="Malgun Gothic"/>
          <w:b/>
          <w:sz w:val="22"/>
          <w:szCs w:val="22"/>
          <w:lang w:val="en-NZ" w:eastAsia="ko-KR"/>
        </w:rPr>
      </w:pPr>
    </w:p>
    <w:p w14:paraId="1F85DD2E" w14:textId="77777777" w:rsidR="00DA3B20" w:rsidRDefault="00DA3B20">
      <w:pPr>
        <w:rPr>
          <w:b/>
          <w:bCs/>
          <w:sz w:val="22"/>
          <w:szCs w:val="22"/>
          <w:lang w:val="en-AU" w:eastAsia="en-NZ"/>
        </w:rPr>
      </w:pPr>
      <w:r>
        <w:rPr>
          <w:b/>
          <w:bCs/>
          <w:sz w:val="22"/>
          <w:szCs w:val="22"/>
          <w:lang w:val="en-AU" w:eastAsia="en-NZ"/>
        </w:rPr>
        <w:br w:type="page"/>
      </w:r>
    </w:p>
    <w:p w14:paraId="6D82F604" w14:textId="77777777" w:rsidR="00BA3E50" w:rsidRPr="004635E5" w:rsidRDefault="00BA3E50" w:rsidP="00E41116">
      <w:pPr>
        <w:adjustRightInd w:val="0"/>
        <w:snapToGrid w:val="0"/>
        <w:jc w:val="right"/>
        <w:rPr>
          <w:b/>
          <w:bCs/>
          <w:sz w:val="22"/>
          <w:szCs w:val="22"/>
          <w:lang w:val="en-AU" w:eastAsia="en-NZ"/>
        </w:rPr>
      </w:pPr>
      <w:r w:rsidRPr="004635E5">
        <w:rPr>
          <w:b/>
          <w:bCs/>
          <w:sz w:val="22"/>
          <w:szCs w:val="22"/>
          <w:lang w:val="en-AU" w:eastAsia="en-NZ"/>
        </w:rPr>
        <w:t>Attachment I</w:t>
      </w:r>
    </w:p>
    <w:p w14:paraId="5424DC28" w14:textId="77777777" w:rsidR="00BA3E50" w:rsidRPr="004635E5" w:rsidRDefault="00BA3E50" w:rsidP="00E41116">
      <w:pPr>
        <w:adjustRightInd w:val="0"/>
        <w:snapToGrid w:val="0"/>
        <w:jc w:val="center"/>
        <w:rPr>
          <w:b/>
          <w:bCs/>
          <w:sz w:val="22"/>
          <w:szCs w:val="22"/>
          <w:lang w:val="en-AU" w:eastAsia="en-NZ"/>
        </w:rPr>
      </w:pPr>
    </w:p>
    <w:p w14:paraId="251EC92B" w14:textId="77777777" w:rsidR="00D41635" w:rsidRPr="004635E5" w:rsidRDefault="00D41635" w:rsidP="00E41116">
      <w:pPr>
        <w:adjustRightInd w:val="0"/>
        <w:snapToGrid w:val="0"/>
        <w:jc w:val="center"/>
        <w:rPr>
          <w:b/>
          <w:bCs/>
          <w:sz w:val="22"/>
          <w:szCs w:val="22"/>
          <w:lang w:val="en-AU" w:eastAsia="en-NZ"/>
        </w:rPr>
      </w:pPr>
      <w:r w:rsidRPr="004635E5">
        <w:rPr>
          <w:b/>
          <w:bCs/>
          <w:sz w:val="22"/>
          <w:szCs w:val="22"/>
          <w:lang w:val="en-AU" w:eastAsia="en-NZ"/>
        </w:rPr>
        <w:t xml:space="preserve">The Commission for the Conservation and Management of </w:t>
      </w:r>
      <w:r w:rsidRPr="004635E5">
        <w:rPr>
          <w:b/>
          <w:bCs/>
          <w:sz w:val="22"/>
          <w:szCs w:val="22"/>
          <w:lang w:val="en-AU" w:eastAsia="en-NZ"/>
        </w:rPr>
        <w:br/>
        <w:t>Highly Migratory Fish Stocks in the Western and Central Pacific Ocean</w:t>
      </w:r>
    </w:p>
    <w:p w14:paraId="291839E9" w14:textId="77777777" w:rsidR="00D41635" w:rsidRPr="004635E5" w:rsidRDefault="00D41635"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 xml:space="preserve">Scientific Committee </w:t>
      </w:r>
    </w:p>
    <w:p w14:paraId="21725778" w14:textId="77777777" w:rsidR="00D41635" w:rsidRPr="004635E5" w:rsidRDefault="00D41635"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Fourteenth Regular Session</w:t>
      </w:r>
    </w:p>
    <w:p w14:paraId="3A92566F" w14:textId="77777777" w:rsidR="00D41635" w:rsidRPr="004635E5" w:rsidRDefault="00D41635" w:rsidP="00E41116">
      <w:pPr>
        <w:adjustRightInd w:val="0"/>
        <w:snapToGrid w:val="0"/>
        <w:jc w:val="center"/>
        <w:rPr>
          <w:bCs/>
          <w:sz w:val="22"/>
          <w:szCs w:val="22"/>
        </w:rPr>
      </w:pPr>
      <w:r w:rsidRPr="004635E5">
        <w:rPr>
          <w:rFonts w:eastAsiaTheme="minorEastAsia"/>
          <w:bCs/>
          <w:sz w:val="22"/>
          <w:szCs w:val="22"/>
          <w:lang w:eastAsia="ko-KR"/>
        </w:rPr>
        <w:t>Busan, Republic of Korea</w:t>
      </w:r>
    </w:p>
    <w:p w14:paraId="1B0AB0E0" w14:textId="77777777" w:rsidR="00D41635" w:rsidRPr="004635E5" w:rsidRDefault="00D41635" w:rsidP="00E41116">
      <w:pPr>
        <w:adjustRightInd w:val="0"/>
        <w:snapToGrid w:val="0"/>
        <w:jc w:val="center"/>
        <w:rPr>
          <w:rFonts w:eastAsiaTheme="minorEastAsia"/>
          <w:bCs/>
          <w:sz w:val="22"/>
          <w:szCs w:val="22"/>
          <w:lang w:eastAsia="ko-KR"/>
        </w:rPr>
      </w:pPr>
      <w:r w:rsidRPr="004635E5">
        <w:rPr>
          <w:rFonts w:eastAsiaTheme="minorEastAsia"/>
          <w:bCs/>
          <w:sz w:val="22"/>
          <w:szCs w:val="22"/>
          <w:lang w:eastAsia="ko-KR"/>
        </w:rPr>
        <w:t>8–16</w:t>
      </w:r>
      <w:r w:rsidRPr="004635E5">
        <w:rPr>
          <w:bCs/>
          <w:sz w:val="22"/>
          <w:szCs w:val="22"/>
        </w:rPr>
        <w:t xml:space="preserve"> August 201</w:t>
      </w:r>
      <w:r w:rsidRPr="004635E5">
        <w:rPr>
          <w:rFonts w:eastAsiaTheme="minorEastAsia"/>
          <w:bCs/>
          <w:sz w:val="22"/>
          <w:szCs w:val="22"/>
          <w:lang w:eastAsia="ko-KR"/>
        </w:rPr>
        <w:t>8</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246"/>
      </w:tblGrid>
      <w:tr w:rsidR="00D41635" w:rsidRPr="004635E5" w14:paraId="0E7AD548" w14:textId="77777777" w:rsidTr="00AE506E">
        <w:tc>
          <w:tcPr>
            <w:tcW w:w="9246" w:type="dxa"/>
            <w:tcBorders>
              <w:top w:val="single" w:sz="12" w:space="0" w:color="auto"/>
              <w:left w:val="nil"/>
              <w:bottom w:val="single" w:sz="12" w:space="0" w:color="auto"/>
              <w:right w:val="nil"/>
            </w:tcBorders>
            <w:hideMark/>
          </w:tcPr>
          <w:p w14:paraId="04303EF8" w14:textId="77777777" w:rsidR="00BA3E50" w:rsidRPr="004635E5" w:rsidRDefault="00EE2E72" w:rsidP="00E41116">
            <w:pPr>
              <w:autoSpaceDE w:val="0"/>
              <w:autoSpaceDN w:val="0"/>
              <w:adjustRightInd w:val="0"/>
              <w:snapToGrid w:val="0"/>
              <w:jc w:val="center"/>
              <w:rPr>
                <w:b/>
                <w:sz w:val="22"/>
                <w:szCs w:val="22"/>
              </w:rPr>
            </w:pPr>
            <w:r w:rsidRPr="004635E5">
              <w:rPr>
                <w:b/>
                <w:sz w:val="22"/>
                <w:szCs w:val="22"/>
              </w:rPr>
              <w:t>REPORT OF THE ISG-08</w:t>
            </w:r>
          </w:p>
          <w:p w14:paraId="49EC6F68" w14:textId="77777777" w:rsidR="00D41635" w:rsidRPr="004635E5" w:rsidRDefault="00EE2E72" w:rsidP="00E41116">
            <w:pPr>
              <w:autoSpaceDE w:val="0"/>
              <w:autoSpaceDN w:val="0"/>
              <w:adjustRightInd w:val="0"/>
              <w:snapToGrid w:val="0"/>
              <w:jc w:val="center"/>
              <w:rPr>
                <w:b/>
                <w:sz w:val="22"/>
                <w:szCs w:val="22"/>
                <w:lang w:val="en-AU"/>
              </w:rPr>
            </w:pPr>
            <w:r w:rsidRPr="004635E5">
              <w:rPr>
                <w:b/>
                <w:sz w:val="22"/>
                <w:szCs w:val="22"/>
              </w:rPr>
              <w:t>SCIENTIFIC COMMITTEE WORK PROGRAMME AND BUDGET FOR 2019-2021</w:t>
            </w:r>
            <w:r w:rsidR="00472973" w:rsidRPr="004635E5">
              <w:rPr>
                <w:b/>
                <w:sz w:val="22"/>
                <w:szCs w:val="22"/>
              </w:rPr>
              <w:fldChar w:fldCharType="begin"/>
            </w:r>
            <w:r w:rsidRPr="004635E5">
              <w:rPr>
                <w:sz w:val="22"/>
                <w:szCs w:val="22"/>
              </w:rPr>
              <w:instrText xml:space="preserve"> TC "</w:instrText>
            </w:r>
            <w:bookmarkStart w:id="150" w:name="_Toc16418038"/>
            <w:r w:rsidRPr="004635E5">
              <w:rPr>
                <w:sz w:val="22"/>
                <w:szCs w:val="22"/>
              </w:rPr>
              <w:instrText>ATTACHMENT I — WORK PROGRAMME AND BUDGET FOR 2019-2021</w:instrText>
            </w:r>
            <w:bookmarkEnd w:id="150"/>
            <w:r w:rsidRPr="004635E5">
              <w:rPr>
                <w:sz w:val="22"/>
                <w:szCs w:val="22"/>
              </w:rPr>
              <w:instrText xml:space="preserve">" \f C \l "1" </w:instrText>
            </w:r>
            <w:r w:rsidR="00472973" w:rsidRPr="004635E5">
              <w:rPr>
                <w:b/>
                <w:sz w:val="22"/>
                <w:szCs w:val="22"/>
              </w:rPr>
              <w:fldChar w:fldCharType="end"/>
            </w:r>
          </w:p>
        </w:tc>
      </w:tr>
    </w:tbl>
    <w:p w14:paraId="1954DF3C" w14:textId="77777777" w:rsidR="00D41635" w:rsidRPr="004635E5" w:rsidRDefault="00D41635" w:rsidP="00E41116">
      <w:pPr>
        <w:autoSpaceDE w:val="0"/>
        <w:autoSpaceDN w:val="0"/>
        <w:adjustRightInd w:val="0"/>
        <w:snapToGrid w:val="0"/>
        <w:jc w:val="both"/>
        <w:rPr>
          <w:sz w:val="22"/>
          <w:szCs w:val="22"/>
          <w:lang w:val="en-NZ"/>
        </w:rPr>
      </w:pPr>
    </w:p>
    <w:p w14:paraId="6804BD7D" w14:textId="77777777" w:rsidR="00BA3E50" w:rsidRPr="004635E5" w:rsidRDefault="00BA3E50" w:rsidP="00E41116">
      <w:pPr>
        <w:autoSpaceDE w:val="0"/>
        <w:autoSpaceDN w:val="0"/>
        <w:adjustRightInd w:val="0"/>
        <w:snapToGrid w:val="0"/>
        <w:rPr>
          <w:rFonts w:eastAsia="SimSun"/>
          <w:sz w:val="22"/>
          <w:szCs w:val="22"/>
          <w:lang w:eastAsia="en-NZ"/>
        </w:rPr>
      </w:pPr>
      <w:r w:rsidRPr="004635E5">
        <w:rPr>
          <w:rFonts w:eastAsia="SimSun"/>
          <w:b/>
          <w:bCs/>
          <w:sz w:val="22"/>
          <w:szCs w:val="22"/>
          <w:lang w:val="en-NZ" w:eastAsia="en-NZ"/>
        </w:rPr>
        <w:t>Table 1</w:t>
      </w:r>
      <w:r w:rsidR="002E2DB6">
        <w:rPr>
          <w:rFonts w:eastAsiaTheme="minorEastAsia" w:hint="eastAsia"/>
          <w:b/>
          <w:bCs/>
          <w:sz w:val="22"/>
          <w:szCs w:val="22"/>
          <w:lang w:val="en-NZ" w:eastAsia="ko-KR"/>
        </w:rPr>
        <w:t>.</w:t>
      </w:r>
      <w:r w:rsidRPr="004635E5">
        <w:rPr>
          <w:rFonts w:eastAsia="SimSun"/>
          <w:b/>
          <w:bCs/>
          <w:sz w:val="22"/>
          <w:szCs w:val="22"/>
          <w:lang w:val="en-NZ" w:eastAsia="en-NZ"/>
        </w:rPr>
        <w:t xml:space="preserve"> </w:t>
      </w:r>
      <w:r w:rsidRPr="004635E5">
        <w:rPr>
          <w:rFonts w:eastAsia="SimSun"/>
          <w:sz w:val="22"/>
          <w:szCs w:val="22"/>
          <w:lang w:val="en-NZ" w:eastAsia="en-NZ"/>
        </w:rPr>
        <w:t>List of SC work programme titles and budget for 201</w:t>
      </w:r>
      <w:r w:rsidRPr="004635E5">
        <w:rPr>
          <w:rFonts w:eastAsia="Malgun Gothic"/>
          <w:sz w:val="22"/>
          <w:szCs w:val="22"/>
          <w:lang w:val="en-NZ" w:eastAsia="ko-KR"/>
        </w:rPr>
        <w:t>9</w:t>
      </w:r>
      <w:r w:rsidRPr="004635E5">
        <w:rPr>
          <w:rFonts w:eastAsia="SimSun"/>
          <w:sz w:val="22"/>
          <w:szCs w:val="22"/>
          <w:lang w:val="en-NZ" w:eastAsia="en-NZ"/>
        </w:rPr>
        <w:t>, and indicative budget for 20</w:t>
      </w:r>
      <w:r w:rsidRPr="004635E5">
        <w:rPr>
          <w:rFonts w:eastAsia="Malgun Gothic"/>
          <w:sz w:val="22"/>
          <w:szCs w:val="22"/>
          <w:lang w:val="en-NZ" w:eastAsia="ko-KR"/>
        </w:rPr>
        <w:t>20</w:t>
      </w:r>
      <w:r w:rsidRPr="004635E5">
        <w:rPr>
          <w:rFonts w:eastAsia="SimSun"/>
          <w:sz w:val="22"/>
          <w:szCs w:val="22"/>
          <w:lang w:val="en-NZ" w:eastAsia="en-NZ"/>
        </w:rPr>
        <w:t>–20</w:t>
      </w:r>
      <w:r w:rsidRPr="004635E5">
        <w:rPr>
          <w:rFonts w:eastAsia="SimSun"/>
          <w:sz w:val="22"/>
          <w:szCs w:val="22"/>
          <w:lang w:val="en-NZ" w:eastAsia="ko-KR"/>
        </w:rPr>
        <w:t>2</w:t>
      </w:r>
      <w:r w:rsidRPr="004635E5">
        <w:rPr>
          <w:rFonts w:eastAsia="Malgun Gothic"/>
          <w:sz w:val="22"/>
          <w:szCs w:val="22"/>
          <w:lang w:val="en-NZ" w:eastAsia="ko-KR"/>
        </w:rPr>
        <w:t>1</w:t>
      </w:r>
      <w:r w:rsidRPr="004635E5">
        <w:rPr>
          <w:rFonts w:eastAsia="SimSun"/>
          <w:sz w:val="22"/>
          <w:szCs w:val="22"/>
          <w:lang w:val="en-NZ" w:eastAsia="en-NZ"/>
        </w:rPr>
        <w:t>, which require funding from the Commission’s core budget</w:t>
      </w:r>
      <w:r w:rsidRPr="004635E5">
        <w:rPr>
          <w:rFonts w:eastAsia="Malgun Gothic"/>
          <w:sz w:val="22"/>
          <w:szCs w:val="22"/>
          <w:lang w:val="en-NZ" w:eastAsia="ko-KR"/>
        </w:rPr>
        <w:t>.</w:t>
      </w:r>
    </w:p>
    <w:tbl>
      <w:tblPr>
        <w:tblW w:w="5000" w:type="pct"/>
        <w:tblLook w:val="04A0" w:firstRow="1" w:lastRow="0" w:firstColumn="1" w:lastColumn="0" w:noHBand="0" w:noVBand="1"/>
      </w:tblPr>
      <w:tblGrid>
        <w:gridCol w:w="3027"/>
        <w:gridCol w:w="1048"/>
        <w:gridCol w:w="1097"/>
        <w:gridCol w:w="996"/>
        <w:gridCol w:w="1136"/>
        <w:gridCol w:w="1136"/>
        <w:gridCol w:w="1136"/>
      </w:tblGrid>
      <w:tr w:rsidR="00BA3E50" w:rsidRPr="00DA3B20" w14:paraId="32AC3DFD" w14:textId="77777777" w:rsidTr="00BA3E50">
        <w:trPr>
          <w:trHeight w:val="467"/>
          <w:tblHeader/>
        </w:trPr>
        <w:tc>
          <w:tcPr>
            <w:tcW w:w="1581" w:type="pct"/>
            <w:tcBorders>
              <w:top w:val="single" w:sz="4" w:space="0" w:color="auto"/>
              <w:left w:val="single" w:sz="4" w:space="0" w:color="auto"/>
              <w:right w:val="single" w:sz="4" w:space="0" w:color="auto"/>
            </w:tcBorders>
            <w:shd w:val="clear" w:color="auto" w:fill="D9D9D9"/>
            <w:vAlign w:val="center"/>
            <w:hideMark/>
          </w:tcPr>
          <w:p w14:paraId="18E64332" w14:textId="77777777" w:rsidR="00BA3E50" w:rsidRPr="00DA3B20" w:rsidRDefault="00BA3E50" w:rsidP="00E41116">
            <w:pPr>
              <w:adjustRightInd w:val="0"/>
              <w:snapToGrid w:val="0"/>
              <w:jc w:val="center"/>
              <w:rPr>
                <w:rFonts w:eastAsia="Malgun Gothic"/>
                <w:b/>
                <w:bCs/>
                <w:color w:val="000000"/>
                <w:sz w:val="18"/>
                <w:szCs w:val="18"/>
                <w:lang w:eastAsia="ko-KR"/>
              </w:rPr>
            </w:pPr>
            <w:r w:rsidRPr="00DA3B20">
              <w:rPr>
                <w:b/>
                <w:bCs/>
                <w:color w:val="000000"/>
                <w:sz w:val="18"/>
                <w:szCs w:val="18"/>
                <w:lang w:eastAsia="zh-CN"/>
              </w:rPr>
              <w:t>Project</w:t>
            </w:r>
            <w:r w:rsidRPr="00DA3B20">
              <w:rPr>
                <w:rFonts w:eastAsia="Malgun Gothic"/>
                <w:b/>
                <w:bCs/>
                <w:color w:val="000000"/>
                <w:sz w:val="18"/>
                <w:szCs w:val="18"/>
                <w:lang w:eastAsia="ko-KR"/>
              </w:rPr>
              <w:t xml:space="preserve"> title</w:t>
            </w:r>
          </w:p>
        </w:tc>
        <w:tc>
          <w:tcPr>
            <w:tcW w:w="547" w:type="pct"/>
            <w:tcBorders>
              <w:top w:val="single" w:sz="4" w:space="0" w:color="auto"/>
              <w:left w:val="single" w:sz="4" w:space="0" w:color="auto"/>
              <w:right w:val="single" w:sz="4" w:space="0" w:color="auto"/>
            </w:tcBorders>
            <w:shd w:val="clear" w:color="auto" w:fill="D9D9D9"/>
            <w:vAlign w:val="center"/>
          </w:tcPr>
          <w:p w14:paraId="54ACA663" w14:textId="77777777" w:rsidR="00BA3E50" w:rsidRPr="00DA3B20" w:rsidRDefault="00BA3E50" w:rsidP="00E41116">
            <w:pPr>
              <w:adjustRightInd w:val="0"/>
              <w:snapToGrid w:val="0"/>
              <w:jc w:val="center"/>
              <w:rPr>
                <w:rFonts w:eastAsia="Malgun Gothic"/>
                <w:b/>
                <w:bCs/>
                <w:color w:val="000000"/>
                <w:sz w:val="18"/>
                <w:szCs w:val="18"/>
                <w:lang w:eastAsia="ko-KR"/>
              </w:rPr>
            </w:pPr>
            <w:r w:rsidRPr="00DA3B20">
              <w:rPr>
                <w:rFonts w:eastAsia="Malgun Gothic"/>
                <w:b/>
                <w:bCs/>
                <w:color w:val="000000"/>
                <w:sz w:val="18"/>
                <w:szCs w:val="18"/>
                <w:lang w:eastAsia="ko-KR"/>
              </w:rPr>
              <w:t>TORs</w:t>
            </w:r>
          </w:p>
        </w:tc>
        <w:tc>
          <w:tcPr>
            <w:tcW w:w="573" w:type="pct"/>
            <w:tcBorders>
              <w:top w:val="single" w:sz="4" w:space="0" w:color="auto"/>
              <w:left w:val="single" w:sz="4" w:space="0" w:color="auto"/>
              <w:right w:val="single" w:sz="4" w:space="0" w:color="auto"/>
            </w:tcBorders>
            <w:shd w:val="clear" w:color="auto" w:fill="D9D9D9"/>
            <w:vAlign w:val="center"/>
            <w:hideMark/>
          </w:tcPr>
          <w:p w14:paraId="7E77F9E7" w14:textId="77777777" w:rsidR="00BA3E50" w:rsidRPr="00DA3B20" w:rsidRDefault="00BA3E50" w:rsidP="00E41116">
            <w:pPr>
              <w:adjustRightInd w:val="0"/>
              <w:snapToGrid w:val="0"/>
              <w:jc w:val="center"/>
              <w:rPr>
                <w:rFonts w:eastAsia="Malgun Gothic"/>
                <w:b/>
                <w:bCs/>
                <w:color w:val="000000"/>
                <w:sz w:val="18"/>
                <w:szCs w:val="18"/>
                <w:lang w:eastAsia="ko-KR"/>
              </w:rPr>
            </w:pPr>
            <w:r w:rsidRPr="00DA3B20">
              <w:rPr>
                <w:rFonts w:eastAsia="Malgun Gothic"/>
                <w:b/>
                <w:bCs/>
                <w:color w:val="000000"/>
                <w:sz w:val="18"/>
                <w:szCs w:val="18"/>
                <w:lang w:eastAsia="ko-KR"/>
              </w:rPr>
              <w:t>Essential</w:t>
            </w:r>
          </w:p>
        </w:tc>
        <w:tc>
          <w:tcPr>
            <w:tcW w:w="520" w:type="pct"/>
            <w:tcBorders>
              <w:top w:val="single" w:sz="4" w:space="0" w:color="auto"/>
              <w:left w:val="single" w:sz="4" w:space="0" w:color="auto"/>
              <w:right w:val="single" w:sz="4" w:space="0" w:color="auto"/>
            </w:tcBorders>
            <w:shd w:val="clear" w:color="auto" w:fill="D9D9D9"/>
            <w:vAlign w:val="center"/>
            <w:hideMark/>
          </w:tcPr>
          <w:p w14:paraId="5BBB203B" w14:textId="77777777" w:rsidR="00BA3E50" w:rsidRPr="00DA3B20" w:rsidRDefault="00BA3E50" w:rsidP="00E41116">
            <w:pPr>
              <w:adjustRightInd w:val="0"/>
              <w:snapToGrid w:val="0"/>
              <w:jc w:val="center"/>
              <w:rPr>
                <w:b/>
                <w:bCs/>
                <w:color w:val="000000"/>
                <w:sz w:val="18"/>
                <w:szCs w:val="18"/>
                <w:lang w:eastAsia="zh-CN"/>
              </w:rPr>
            </w:pPr>
            <w:r w:rsidRPr="00DA3B20">
              <w:rPr>
                <w:b/>
                <w:bCs/>
                <w:color w:val="000000"/>
                <w:sz w:val="18"/>
                <w:szCs w:val="18"/>
                <w:lang w:eastAsia="zh-CN"/>
              </w:rPr>
              <w:t>P</w:t>
            </w:r>
            <w:r w:rsidRPr="00DA3B20">
              <w:rPr>
                <w:rFonts w:eastAsia="Malgun Gothic"/>
                <w:b/>
                <w:bCs/>
                <w:color w:val="000000"/>
                <w:sz w:val="18"/>
                <w:szCs w:val="18"/>
                <w:lang w:eastAsia="ko-KR"/>
              </w:rPr>
              <w:t>riority rank for FAC</w:t>
            </w:r>
          </w:p>
        </w:tc>
        <w:tc>
          <w:tcPr>
            <w:tcW w:w="593" w:type="pct"/>
            <w:tcBorders>
              <w:top w:val="single" w:sz="4" w:space="0" w:color="auto"/>
              <w:left w:val="single" w:sz="4" w:space="0" w:color="auto"/>
              <w:right w:val="single" w:sz="4" w:space="0" w:color="auto"/>
            </w:tcBorders>
            <w:shd w:val="clear" w:color="auto" w:fill="FBD4B4"/>
            <w:noWrap/>
            <w:vAlign w:val="center"/>
          </w:tcPr>
          <w:p w14:paraId="34D06774" w14:textId="77777777" w:rsidR="00BA3E50" w:rsidRPr="00DA3B20" w:rsidRDefault="00BA3E50" w:rsidP="00E41116">
            <w:pPr>
              <w:adjustRightInd w:val="0"/>
              <w:snapToGrid w:val="0"/>
              <w:jc w:val="center"/>
              <w:rPr>
                <w:rFonts w:eastAsia="Malgun Gothic"/>
                <w:b/>
                <w:bCs/>
                <w:color w:val="000000"/>
                <w:sz w:val="18"/>
                <w:szCs w:val="18"/>
                <w:lang w:eastAsia="ko-KR"/>
              </w:rPr>
            </w:pPr>
            <w:r w:rsidRPr="00DA3B20">
              <w:rPr>
                <w:b/>
                <w:bCs/>
                <w:color w:val="000000"/>
                <w:sz w:val="18"/>
                <w:szCs w:val="18"/>
                <w:lang w:eastAsia="zh-CN"/>
              </w:rPr>
              <w:t>201</w:t>
            </w:r>
            <w:r w:rsidRPr="00DA3B20">
              <w:rPr>
                <w:rFonts w:eastAsia="Malgun Gothic"/>
                <w:b/>
                <w:bCs/>
                <w:color w:val="000000"/>
                <w:sz w:val="18"/>
                <w:szCs w:val="18"/>
                <w:lang w:eastAsia="ko-KR"/>
              </w:rPr>
              <w:t>9</w:t>
            </w:r>
          </w:p>
        </w:tc>
        <w:tc>
          <w:tcPr>
            <w:tcW w:w="593" w:type="pct"/>
            <w:tcBorders>
              <w:top w:val="single" w:sz="4" w:space="0" w:color="auto"/>
              <w:left w:val="single" w:sz="4" w:space="0" w:color="auto"/>
              <w:right w:val="single" w:sz="4" w:space="0" w:color="auto"/>
            </w:tcBorders>
            <w:shd w:val="clear" w:color="auto" w:fill="FBD4B4"/>
            <w:vAlign w:val="center"/>
          </w:tcPr>
          <w:p w14:paraId="3A1D95D2" w14:textId="77777777" w:rsidR="00BA3E50" w:rsidRPr="00DA3B20" w:rsidRDefault="00BA3E50" w:rsidP="00E41116">
            <w:pPr>
              <w:adjustRightInd w:val="0"/>
              <w:snapToGrid w:val="0"/>
              <w:jc w:val="center"/>
              <w:rPr>
                <w:rFonts w:eastAsia="Malgun Gothic"/>
                <w:b/>
                <w:bCs/>
                <w:color w:val="000000"/>
                <w:sz w:val="18"/>
                <w:szCs w:val="18"/>
                <w:lang w:eastAsia="ko-KR"/>
              </w:rPr>
            </w:pPr>
            <w:r w:rsidRPr="00DA3B20">
              <w:rPr>
                <w:rFonts w:eastAsia="Malgun Gothic"/>
                <w:b/>
                <w:bCs/>
                <w:color w:val="000000"/>
                <w:sz w:val="18"/>
                <w:szCs w:val="18"/>
                <w:lang w:eastAsia="ko-KR"/>
              </w:rPr>
              <w:t>2020</w:t>
            </w:r>
          </w:p>
        </w:tc>
        <w:tc>
          <w:tcPr>
            <w:tcW w:w="593" w:type="pct"/>
            <w:tcBorders>
              <w:top w:val="single" w:sz="4" w:space="0" w:color="auto"/>
              <w:left w:val="single" w:sz="4" w:space="0" w:color="auto"/>
              <w:right w:val="single" w:sz="4" w:space="0" w:color="auto"/>
            </w:tcBorders>
            <w:shd w:val="clear" w:color="auto" w:fill="FBD4B4"/>
            <w:vAlign w:val="center"/>
          </w:tcPr>
          <w:p w14:paraId="1C097A79" w14:textId="77777777" w:rsidR="00BA3E50" w:rsidRPr="00DA3B20" w:rsidRDefault="00BA3E50" w:rsidP="00E41116">
            <w:pPr>
              <w:adjustRightInd w:val="0"/>
              <w:snapToGrid w:val="0"/>
              <w:jc w:val="center"/>
              <w:rPr>
                <w:rFonts w:eastAsia="Malgun Gothic"/>
                <w:b/>
                <w:bCs/>
                <w:color w:val="000000"/>
                <w:sz w:val="18"/>
                <w:szCs w:val="18"/>
                <w:lang w:eastAsia="ko-KR"/>
              </w:rPr>
            </w:pPr>
            <w:r w:rsidRPr="00DA3B20">
              <w:rPr>
                <w:rFonts w:eastAsia="Malgun Gothic"/>
                <w:b/>
                <w:bCs/>
                <w:color w:val="000000"/>
                <w:sz w:val="18"/>
                <w:szCs w:val="18"/>
                <w:lang w:eastAsia="ko-KR"/>
              </w:rPr>
              <w:t>2021</w:t>
            </w:r>
          </w:p>
        </w:tc>
      </w:tr>
      <w:tr w:rsidR="00BA3E50" w:rsidRPr="00DA3B20" w14:paraId="600741BF" w14:textId="77777777" w:rsidTr="00BA3E50">
        <w:trPr>
          <w:trHeight w:val="431"/>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D2D812" w14:textId="77777777" w:rsidR="00BA3E50" w:rsidRPr="00DA3B20" w:rsidRDefault="00BA3E50" w:rsidP="00E41116">
            <w:pPr>
              <w:adjustRightInd w:val="0"/>
              <w:snapToGrid w:val="0"/>
              <w:rPr>
                <w:rFonts w:eastAsia="Malgun Gothic"/>
                <w:b/>
                <w:color w:val="000000"/>
                <w:sz w:val="18"/>
                <w:szCs w:val="18"/>
                <w:lang w:eastAsia="ko-KR"/>
              </w:rPr>
            </w:pPr>
            <w:r w:rsidRPr="00DA3B20">
              <w:rPr>
                <w:b/>
                <w:color w:val="000000"/>
                <w:sz w:val="18"/>
                <w:szCs w:val="18"/>
                <w:lang w:eastAsia="zh-CN"/>
              </w:rPr>
              <w:t>SPC Oceanic Fisheries Programme Budget</w:t>
            </w:r>
          </w:p>
        </w:tc>
        <w:tc>
          <w:tcPr>
            <w:tcW w:w="547" w:type="pct"/>
            <w:tcBorders>
              <w:top w:val="single" w:sz="4" w:space="0" w:color="auto"/>
              <w:left w:val="single" w:sz="4" w:space="0" w:color="auto"/>
              <w:bottom w:val="single" w:sz="4" w:space="0" w:color="auto"/>
              <w:right w:val="single" w:sz="4" w:space="0" w:color="auto"/>
            </w:tcBorders>
            <w:vAlign w:val="center"/>
          </w:tcPr>
          <w:p w14:paraId="77B7F71D"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MOU</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9005CC" w14:textId="77777777" w:rsidR="00BA3E50" w:rsidRPr="00DA3B20" w:rsidRDefault="00BA3E50" w:rsidP="00E41116">
            <w:pPr>
              <w:adjustRightInd w:val="0"/>
              <w:snapToGrid w:val="0"/>
              <w:jc w:val="center"/>
              <w:rPr>
                <w:color w:val="000000"/>
                <w:sz w:val="18"/>
                <w:szCs w:val="18"/>
                <w:lang w:eastAsia="zh-CN"/>
              </w:rPr>
            </w:pPr>
            <w:r w:rsidRPr="00DA3B20">
              <w:rPr>
                <w:color w:val="000000"/>
                <w:sz w:val="18"/>
                <w:szCs w:val="18"/>
                <w:lang w:eastAsia="zh-CN"/>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B6377"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1</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5063857A"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906,396</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15046A78"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924,524</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65754C91"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943,015</w:t>
            </w:r>
          </w:p>
        </w:tc>
      </w:tr>
      <w:tr w:rsidR="00BA3E50" w:rsidRPr="00DA3B20" w14:paraId="24266D25" w14:textId="77777777" w:rsidTr="00BA3E50">
        <w:trPr>
          <w:trHeight w:val="638"/>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11722BE2" w14:textId="77777777" w:rsidR="00BA3E50" w:rsidRPr="00DA3B20" w:rsidRDefault="00BA3E50" w:rsidP="00E41116">
            <w:pPr>
              <w:adjustRightInd w:val="0"/>
              <w:snapToGrid w:val="0"/>
              <w:rPr>
                <w:rFonts w:eastAsia="Batang"/>
                <w:b/>
                <w:color w:val="000000"/>
                <w:sz w:val="18"/>
                <w:szCs w:val="18"/>
                <w:lang w:eastAsia="ko-KR"/>
              </w:rPr>
            </w:pPr>
            <w:r w:rsidRPr="00DA3B20">
              <w:rPr>
                <w:rFonts w:eastAsia="Malgun Gothic"/>
                <w:b/>
                <w:color w:val="000000"/>
                <w:sz w:val="18"/>
                <w:szCs w:val="18"/>
                <w:lang w:eastAsia="ko-KR"/>
              </w:rPr>
              <w:t xml:space="preserve">SPC – </w:t>
            </w:r>
            <w:r w:rsidRPr="00DA3B20">
              <w:rPr>
                <w:rFonts w:eastAsia="Batang"/>
                <w:b/>
                <w:color w:val="000000"/>
                <w:sz w:val="18"/>
                <w:szCs w:val="18"/>
                <w:lang w:eastAsia="zh-CN"/>
              </w:rPr>
              <w:t xml:space="preserve">Additional </w:t>
            </w:r>
            <w:r w:rsidRPr="00DA3B20">
              <w:rPr>
                <w:rFonts w:eastAsia="Malgun Gothic"/>
                <w:b/>
                <w:color w:val="000000"/>
                <w:sz w:val="18"/>
                <w:szCs w:val="18"/>
                <w:lang w:eastAsia="ko-KR"/>
              </w:rPr>
              <w:t>r</w:t>
            </w:r>
            <w:r w:rsidRPr="00DA3B20">
              <w:rPr>
                <w:rFonts w:eastAsia="Batang"/>
                <w:b/>
                <w:color w:val="000000"/>
                <w:sz w:val="18"/>
                <w:szCs w:val="18"/>
                <w:lang w:eastAsia="zh-CN"/>
              </w:rPr>
              <w:t>esourcing for harvest strategy evaluation, including stock assessments</w:t>
            </w:r>
            <w:r w:rsidRPr="00DA3B20">
              <w:rPr>
                <w:rFonts w:eastAsia="Batang"/>
                <w:b/>
                <w:color w:val="000000"/>
                <w:sz w:val="18"/>
                <w:szCs w:val="18"/>
                <w:vertAlign w:val="superscript"/>
                <w:lang w:eastAsia="zh-CN"/>
              </w:rPr>
              <w:footnoteReference w:id="13"/>
            </w:r>
            <w:r w:rsidRPr="00DA3B20">
              <w:rPr>
                <w:rFonts w:eastAsia="Batang"/>
                <w:b/>
                <w:color w:val="000000"/>
                <w:sz w:val="18"/>
                <w:szCs w:val="18"/>
                <w:lang w:eastAsia="ko-KR"/>
              </w:rPr>
              <w:t xml:space="preserve"> (Rob Scott)</w:t>
            </w:r>
          </w:p>
        </w:tc>
        <w:tc>
          <w:tcPr>
            <w:tcW w:w="547" w:type="pct"/>
            <w:tcBorders>
              <w:top w:val="single" w:sz="4" w:space="0" w:color="auto"/>
              <w:left w:val="single" w:sz="4" w:space="0" w:color="auto"/>
              <w:bottom w:val="single" w:sz="4" w:space="0" w:color="auto"/>
              <w:right w:val="single" w:sz="4" w:space="0" w:color="auto"/>
            </w:tcBorders>
            <w:vAlign w:val="center"/>
          </w:tcPr>
          <w:p w14:paraId="640A3B5D"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MOU</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77945CD0" w14:textId="77777777" w:rsidR="00BA3E50" w:rsidRPr="00DA3B20" w:rsidRDefault="00BA3E50" w:rsidP="00E41116">
            <w:pPr>
              <w:adjustRightInd w:val="0"/>
              <w:snapToGrid w:val="0"/>
              <w:jc w:val="center"/>
              <w:rPr>
                <w:color w:val="000000"/>
                <w:sz w:val="18"/>
                <w:szCs w:val="18"/>
                <w:lang w:eastAsia="zh-CN"/>
              </w:rPr>
            </w:pPr>
            <w:r w:rsidRPr="00DA3B20">
              <w:rPr>
                <w:color w:val="000000"/>
                <w:sz w:val="18"/>
                <w:szCs w:val="18"/>
                <w:lang w:eastAsia="zh-CN"/>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11B98556"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1</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153CEBC4"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164,832</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5D2D8888"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166,480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36DBAA70"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168,145</w:t>
            </w:r>
          </w:p>
        </w:tc>
      </w:tr>
      <w:tr w:rsidR="00BA3E50" w:rsidRPr="00DA3B20" w14:paraId="4CAC2027" w14:textId="77777777" w:rsidTr="00BA3E50">
        <w:trPr>
          <w:trHeight w:val="697"/>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7135F1D7" w14:textId="77777777" w:rsidR="00BA3E50" w:rsidRPr="00DA3B20" w:rsidRDefault="00BA3E50" w:rsidP="00E41116">
            <w:pPr>
              <w:adjustRightInd w:val="0"/>
              <w:snapToGrid w:val="0"/>
              <w:rPr>
                <w:b/>
                <w:color w:val="000000"/>
                <w:sz w:val="18"/>
                <w:szCs w:val="18"/>
                <w:lang w:eastAsia="zh-CN"/>
              </w:rPr>
            </w:pPr>
            <w:r w:rsidRPr="00DA3B20">
              <w:rPr>
                <w:b/>
                <w:color w:val="000000"/>
                <w:sz w:val="18"/>
                <w:szCs w:val="18"/>
                <w:lang w:eastAsia="zh-CN"/>
              </w:rPr>
              <w:t>Project 35b. Maintenance and enhancement of the WCPFC Tissue Bank</w:t>
            </w:r>
          </w:p>
        </w:tc>
        <w:tc>
          <w:tcPr>
            <w:tcW w:w="547" w:type="pct"/>
            <w:tcBorders>
              <w:top w:val="single" w:sz="4" w:space="0" w:color="auto"/>
              <w:left w:val="single" w:sz="4" w:space="0" w:color="auto"/>
              <w:bottom w:val="single" w:sz="4" w:space="0" w:color="auto"/>
              <w:right w:val="single" w:sz="4" w:space="0" w:color="auto"/>
            </w:tcBorders>
            <w:vAlign w:val="center"/>
          </w:tcPr>
          <w:p w14:paraId="3D8BB74C"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3403B18E" w14:textId="77777777" w:rsidR="00BA3E50" w:rsidRPr="00DA3B20" w:rsidRDefault="00BA3E50" w:rsidP="00E41116">
            <w:pPr>
              <w:adjustRightInd w:val="0"/>
              <w:snapToGrid w:val="0"/>
              <w:jc w:val="center"/>
              <w:rPr>
                <w:color w:val="000000"/>
                <w:sz w:val="18"/>
                <w:szCs w:val="18"/>
                <w:lang w:eastAsia="zh-CN"/>
              </w:rPr>
            </w:pPr>
            <w:r w:rsidRPr="00DA3B20">
              <w:rPr>
                <w:color w:val="000000"/>
                <w:sz w:val="18"/>
                <w:szCs w:val="18"/>
                <w:lang w:eastAsia="zh-CN"/>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0CBF715A"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color w:val="000000"/>
                <w:sz w:val="18"/>
                <w:szCs w:val="18"/>
                <w:lang w:eastAsia="zh-CN"/>
              </w:rPr>
              <w:t>High</w:t>
            </w:r>
            <w:r w:rsidRPr="00DA3B20">
              <w:rPr>
                <w:rFonts w:eastAsia="Malgun Gothic"/>
                <w:color w:val="000000"/>
                <w:sz w:val="18"/>
                <w:szCs w:val="18"/>
                <w:lang w:eastAsia="ko-KR"/>
              </w:rPr>
              <w:t xml:space="preserve"> 1</w:t>
            </w: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14:paraId="276C383A" w14:textId="77777777" w:rsidR="00BA3E50" w:rsidRPr="00DA3B20" w:rsidRDefault="00BA3E50" w:rsidP="00E41116">
            <w:pPr>
              <w:adjustRightInd w:val="0"/>
              <w:snapToGrid w:val="0"/>
              <w:jc w:val="right"/>
              <w:rPr>
                <w:color w:val="000000"/>
                <w:sz w:val="18"/>
                <w:szCs w:val="18"/>
                <w:lang w:eastAsia="zh-CN"/>
              </w:rPr>
            </w:pPr>
            <w:r w:rsidRPr="00DA3B20">
              <w:rPr>
                <w:rFonts w:eastAsia="Malgun Gothic"/>
                <w:color w:val="000000"/>
                <w:sz w:val="18"/>
                <w:szCs w:val="18"/>
                <w:lang w:eastAsia="ko-KR"/>
              </w:rPr>
              <w:t>97,200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7DB5DB30" w14:textId="77777777" w:rsidR="00BA3E50" w:rsidRPr="00DA3B20" w:rsidRDefault="00BA3E50" w:rsidP="00E41116">
            <w:pPr>
              <w:adjustRightInd w:val="0"/>
              <w:snapToGrid w:val="0"/>
              <w:jc w:val="right"/>
              <w:rPr>
                <w:color w:val="000000"/>
                <w:sz w:val="18"/>
                <w:szCs w:val="18"/>
                <w:lang w:eastAsia="zh-CN"/>
              </w:rPr>
            </w:pPr>
            <w:r w:rsidRPr="00DA3B20">
              <w:rPr>
                <w:rFonts w:eastAsia="Malgun Gothic"/>
                <w:color w:val="000000"/>
                <w:sz w:val="18"/>
                <w:szCs w:val="18"/>
                <w:lang w:eastAsia="ko-KR"/>
              </w:rPr>
              <w:t>99,195</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44A6C3A3"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101,180</w:t>
            </w:r>
          </w:p>
        </w:tc>
      </w:tr>
      <w:tr w:rsidR="00BA3E50" w:rsidRPr="00DA3B20" w14:paraId="01CACAFA" w14:textId="77777777" w:rsidTr="00BA3E50">
        <w:trPr>
          <w:trHeight w:val="85"/>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025A4D24" w14:textId="77777777" w:rsidR="00BA3E50" w:rsidRPr="00DA3B20" w:rsidRDefault="00BA3E50" w:rsidP="00E41116">
            <w:pPr>
              <w:adjustRightInd w:val="0"/>
              <w:snapToGrid w:val="0"/>
              <w:rPr>
                <w:rFonts w:eastAsia="Malgun Gothic"/>
                <w:b/>
                <w:color w:val="000000"/>
                <w:sz w:val="18"/>
                <w:szCs w:val="18"/>
                <w:lang w:eastAsia="ko-KR"/>
              </w:rPr>
            </w:pPr>
            <w:r w:rsidRPr="00DA3B20">
              <w:rPr>
                <w:rFonts w:eastAsia="Batang"/>
                <w:b/>
                <w:color w:val="000000"/>
                <w:sz w:val="18"/>
                <w:szCs w:val="18"/>
                <w:lang w:eastAsia="ko-KR"/>
              </w:rPr>
              <w:t>Project 42 Pacific Tuna Tagging Program (PTTP)</w:t>
            </w:r>
          </w:p>
          <w:p w14:paraId="5D4E10CE" w14:textId="77777777" w:rsidR="00BA3E50" w:rsidRPr="00DA3B20" w:rsidRDefault="00BA3E50" w:rsidP="00E41116">
            <w:pPr>
              <w:adjustRightInd w:val="0"/>
              <w:snapToGrid w:val="0"/>
              <w:rPr>
                <w:rFonts w:eastAsia="Malgun Gothic"/>
                <w:color w:val="000000"/>
                <w:sz w:val="18"/>
                <w:szCs w:val="18"/>
                <w:lang w:eastAsia="ko-KR"/>
              </w:rPr>
            </w:pPr>
            <w:r w:rsidRPr="00DA3B20">
              <w:rPr>
                <w:rFonts w:eastAsia="Malgun Gothic"/>
                <w:color w:val="000000"/>
                <w:sz w:val="18"/>
                <w:szCs w:val="18"/>
                <w:lang w:eastAsia="ko-KR"/>
              </w:rPr>
              <w:t>Other budget: Approx. $170,000 from Korea</w:t>
            </w:r>
          </w:p>
        </w:tc>
        <w:tc>
          <w:tcPr>
            <w:tcW w:w="547" w:type="pct"/>
            <w:tcBorders>
              <w:top w:val="single" w:sz="4" w:space="0" w:color="auto"/>
              <w:left w:val="single" w:sz="4" w:space="0" w:color="auto"/>
              <w:bottom w:val="single" w:sz="4" w:space="0" w:color="auto"/>
              <w:right w:val="single" w:sz="4" w:space="0" w:color="auto"/>
            </w:tcBorders>
            <w:vAlign w:val="center"/>
          </w:tcPr>
          <w:p w14:paraId="16E7878E"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4B481F76" w14:textId="77777777" w:rsidR="00BA3E50" w:rsidRPr="00DA3B20" w:rsidRDefault="00BA3E50" w:rsidP="00E41116">
            <w:pPr>
              <w:adjustRightInd w:val="0"/>
              <w:snapToGrid w:val="0"/>
              <w:jc w:val="center"/>
              <w:rPr>
                <w:color w:val="000000"/>
                <w:sz w:val="18"/>
                <w:szCs w:val="18"/>
                <w:lang w:eastAsia="zh-CN"/>
              </w:rPr>
            </w:pPr>
            <w:r w:rsidRPr="00DA3B20">
              <w:rPr>
                <w:color w:val="000000"/>
                <w:sz w:val="18"/>
                <w:szCs w:val="18"/>
                <w:lang w:eastAsia="zh-CN"/>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28EBD9A5"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color w:val="000000"/>
                <w:sz w:val="18"/>
                <w:szCs w:val="18"/>
                <w:lang w:eastAsia="zh-CN"/>
              </w:rPr>
              <w:t>High</w:t>
            </w:r>
            <w:r w:rsidRPr="00DA3B20">
              <w:rPr>
                <w:rFonts w:eastAsia="Malgun Gothic"/>
                <w:color w:val="000000"/>
                <w:sz w:val="18"/>
                <w:szCs w:val="18"/>
                <w:lang w:eastAsia="ko-KR"/>
              </w:rPr>
              <w:t xml:space="preserve"> 1</w:t>
            </w:r>
          </w:p>
        </w:tc>
        <w:tc>
          <w:tcPr>
            <w:tcW w:w="593" w:type="pct"/>
            <w:tcBorders>
              <w:top w:val="single" w:sz="4" w:space="0" w:color="auto"/>
              <w:left w:val="single" w:sz="4" w:space="0" w:color="auto"/>
              <w:right w:val="single" w:sz="4" w:space="0" w:color="auto"/>
            </w:tcBorders>
            <w:shd w:val="clear" w:color="auto" w:fill="FBD4B4"/>
            <w:noWrap/>
            <w:vAlign w:val="center"/>
          </w:tcPr>
          <w:p w14:paraId="7B09585E" w14:textId="77777777" w:rsidR="00BA3E50" w:rsidRPr="00DA3B20" w:rsidRDefault="00BA3E50" w:rsidP="00E41116">
            <w:pPr>
              <w:adjustRightInd w:val="0"/>
              <w:snapToGrid w:val="0"/>
              <w:jc w:val="right"/>
              <w:rPr>
                <w:rFonts w:eastAsia="Batang"/>
                <w:color w:val="000000"/>
                <w:sz w:val="18"/>
                <w:szCs w:val="18"/>
                <w:lang w:eastAsia="ko-KR"/>
              </w:rPr>
            </w:pPr>
            <w:r w:rsidRPr="00DA3B20">
              <w:rPr>
                <w:rFonts w:eastAsia="Batang"/>
                <w:color w:val="000000"/>
                <w:sz w:val="18"/>
                <w:szCs w:val="18"/>
                <w:lang w:eastAsia="ko-KR"/>
              </w:rPr>
              <w:t>645,000</w:t>
            </w:r>
          </w:p>
        </w:tc>
        <w:tc>
          <w:tcPr>
            <w:tcW w:w="593" w:type="pct"/>
            <w:tcBorders>
              <w:top w:val="single" w:sz="4" w:space="0" w:color="auto"/>
              <w:left w:val="single" w:sz="4" w:space="0" w:color="auto"/>
              <w:right w:val="single" w:sz="4" w:space="0" w:color="auto"/>
            </w:tcBorders>
            <w:shd w:val="clear" w:color="auto" w:fill="FBD4B4"/>
            <w:vAlign w:val="center"/>
          </w:tcPr>
          <w:p w14:paraId="30900EA7" w14:textId="77777777" w:rsidR="00BA3E50" w:rsidRPr="00DA3B20" w:rsidRDefault="00BA3E50" w:rsidP="00E41116">
            <w:pPr>
              <w:adjustRightInd w:val="0"/>
              <w:snapToGrid w:val="0"/>
              <w:jc w:val="right"/>
              <w:rPr>
                <w:rFonts w:eastAsia="Batang"/>
                <w:color w:val="000000"/>
                <w:sz w:val="18"/>
                <w:szCs w:val="18"/>
                <w:lang w:eastAsia="ko-KR"/>
              </w:rPr>
            </w:pPr>
            <w:r w:rsidRPr="00DA3B20">
              <w:rPr>
                <w:rFonts w:eastAsia="Batang"/>
                <w:color w:val="000000"/>
                <w:sz w:val="18"/>
                <w:szCs w:val="18"/>
                <w:lang w:eastAsia="ko-KR"/>
              </w:rPr>
              <w:t>645,000</w:t>
            </w:r>
          </w:p>
        </w:tc>
        <w:tc>
          <w:tcPr>
            <w:tcW w:w="593" w:type="pct"/>
            <w:tcBorders>
              <w:top w:val="single" w:sz="4" w:space="0" w:color="auto"/>
              <w:left w:val="single" w:sz="4" w:space="0" w:color="auto"/>
              <w:right w:val="single" w:sz="4" w:space="0" w:color="auto"/>
            </w:tcBorders>
            <w:shd w:val="clear" w:color="auto" w:fill="FBD4B4"/>
            <w:vAlign w:val="center"/>
          </w:tcPr>
          <w:p w14:paraId="218EE3ED" w14:textId="77777777" w:rsidR="00BA3E50" w:rsidRPr="00DA3B20" w:rsidRDefault="00BA3E50" w:rsidP="00E41116">
            <w:pPr>
              <w:adjustRightInd w:val="0"/>
              <w:snapToGrid w:val="0"/>
              <w:jc w:val="right"/>
              <w:rPr>
                <w:rFonts w:eastAsia="Batang"/>
                <w:color w:val="000000"/>
                <w:sz w:val="18"/>
                <w:szCs w:val="18"/>
                <w:lang w:eastAsia="ko-KR"/>
              </w:rPr>
            </w:pPr>
            <w:r w:rsidRPr="00DA3B20">
              <w:rPr>
                <w:rFonts w:eastAsia="Batang"/>
                <w:color w:val="000000"/>
                <w:sz w:val="18"/>
                <w:szCs w:val="18"/>
                <w:lang w:eastAsia="ko-KR"/>
              </w:rPr>
              <w:t>730,000</w:t>
            </w:r>
          </w:p>
        </w:tc>
      </w:tr>
      <w:tr w:rsidR="00BA3E50" w:rsidRPr="00DA3B20" w14:paraId="74140886" w14:textId="77777777" w:rsidTr="00BA3E50">
        <w:trPr>
          <w:trHeight w:val="467"/>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5BD97E0F" w14:textId="77777777" w:rsidR="00BA3E50" w:rsidRPr="00DA3B20" w:rsidRDefault="00BA3E50" w:rsidP="00E41116">
            <w:pPr>
              <w:adjustRightInd w:val="0"/>
              <w:snapToGrid w:val="0"/>
              <w:rPr>
                <w:rFonts w:eastAsia="Batang"/>
                <w:b/>
                <w:color w:val="000000"/>
                <w:sz w:val="18"/>
                <w:szCs w:val="18"/>
                <w:lang w:val="en-NZ" w:eastAsia="ko-KR"/>
              </w:rPr>
            </w:pPr>
            <w:r w:rsidRPr="00DA3B20">
              <w:rPr>
                <w:rFonts w:eastAsia="Batang"/>
                <w:b/>
                <w:color w:val="000000"/>
                <w:sz w:val="18"/>
                <w:szCs w:val="18"/>
                <w:lang w:eastAsia="ja-JP"/>
              </w:rPr>
              <w:t xml:space="preserve">Project 57. </w:t>
            </w:r>
            <w:r w:rsidRPr="00DA3B20">
              <w:rPr>
                <w:rFonts w:eastAsia="Batang"/>
                <w:b/>
                <w:color w:val="000000"/>
                <w:sz w:val="18"/>
                <w:szCs w:val="18"/>
                <w:lang w:val="en-NZ" w:eastAsia="zh-CN"/>
              </w:rPr>
              <w:t>Limit Reference Points (LRPs) for elasmobranchs within the WCPFC</w:t>
            </w:r>
          </w:p>
        </w:tc>
        <w:tc>
          <w:tcPr>
            <w:tcW w:w="547" w:type="pct"/>
            <w:tcBorders>
              <w:top w:val="single" w:sz="4" w:space="0" w:color="auto"/>
              <w:left w:val="single" w:sz="4" w:space="0" w:color="auto"/>
              <w:bottom w:val="single" w:sz="4" w:space="0" w:color="auto"/>
              <w:right w:val="single" w:sz="4" w:space="0" w:color="auto"/>
            </w:tcBorders>
            <w:vAlign w:val="center"/>
          </w:tcPr>
          <w:p w14:paraId="41C5E9DB"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60A95052" w14:textId="77777777" w:rsidR="00BA3E50" w:rsidRPr="00DA3B20" w:rsidRDefault="00BA3E50" w:rsidP="00E41116">
            <w:pPr>
              <w:adjustRightInd w:val="0"/>
              <w:snapToGrid w:val="0"/>
              <w:jc w:val="center"/>
              <w:rPr>
                <w:color w:val="000000"/>
                <w:sz w:val="18"/>
                <w:szCs w:val="18"/>
                <w:lang w:eastAsia="zh-CN"/>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5A7B4ADB" w14:textId="77777777" w:rsidR="00BA3E50" w:rsidRPr="00DA3B20" w:rsidRDefault="00BA3E50" w:rsidP="00E41116">
            <w:pPr>
              <w:adjustRightInd w:val="0"/>
              <w:snapToGrid w:val="0"/>
              <w:jc w:val="center"/>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14:paraId="46F39112" w14:textId="77777777"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09112D65" w14:textId="77777777"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73072499" w14:textId="77777777" w:rsidR="00BA3E50" w:rsidRPr="00DA3B20" w:rsidRDefault="00BA3E50" w:rsidP="00E41116">
            <w:pPr>
              <w:adjustRightInd w:val="0"/>
              <w:snapToGrid w:val="0"/>
              <w:jc w:val="right"/>
              <w:rPr>
                <w:rFonts w:eastAsia="Malgun Gothic"/>
                <w:color w:val="000000"/>
                <w:sz w:val="18"/>
                <w:szCs w:val="18"/>
                <w:lang w:eastAsia="ko-KR"/>
              </w:rPr>
            </w:pPr>
          </w:p>
        </w:tc>
      </w:tr>
      <w:tr w:rsidR="00BA3E50" w:rsidRPr="00DA3B20" w14:paraId="67080153" w14:textId="77777777" w:rsidTr="00BA3E50">
        <w:trPr>
          <w:trHeight w:val="332"/>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3F980221" w14:textId="77777777" w:rsidR="00BA3E50" w:rsidRPr="00DA3B20" w:rsidRDefault="00BA3E50" w:rsidP="00E41116">
            <w:pPr>
              <w:adjustRightInd w:val="0"/>
              <w:snapToGrid w:val="0"/>
              <w:rPr>
                <w:rFonts w:eastAsia="Malgun Gothic"/>
                <w:b/>
                <w:color w:val="000000"/>
                <w:sz w:val="18"/>
                <w:szCs w:val="18"/>
                <w:lang w:eastAsia="ko-KR"/>
              </w:rPr>
            </w:pPr>
            <w:r w:rsidRPr="00DA3B20">
              <w:rPr>
                <w:b/>
                <w:color w:val="000000"/>
                <w:sz w:val="18"/>
                <w:szCs w:val="18"/>
                <w:lang w:eastAsia="zh-CN"/>
              </w:rPr>
              <w:t>Project 60: Improving purse seine species composition</w:t>
            </w:r>
          </w:p>
          <w:p w14:paraId="459672CC" w14:textId="77777777" w:rsidR="00BA3E50" w:rsidRPr="00DA3B20" w:rsidRDefault="00BA3E50" w:rsidP="00E41116">
            <w:pPr>
              <w:adjustRightInd w:val="0"/>
              <w:snapToGrid w:val="0"/>
              <w:rPr>
                <w:rFonts w:eastAsia="Malgun Gothic"/>
                <w:b/>
                <w:color w:val="000000"/>
                <w:sz w:val="18"/>
                <w:szCs w:val="18"/>
                <w:lang w:eastAsia="ko-KR"/>
              </w:rPr>
            </w:pPr>
            <w:r w:rsidRPr="00DA3B20">
              <w:rPr>
                <w:rFonts w:eastAsia="Malgun Gothic"/>
                <w:b/>
                <w:color w:val="000000"/>
                <w:sz w:val="18"/>
                <w:szCs w:val="18"/>
                <w:lang w:eastAsia="ko-KR"/>
              </w:rPr>
              <w:t xml:space="preserve">* </w:t>
            </w:r>
            <w:r w:rsidRPr="00DA3B20">
              <w:rPr>
                <w:rFonts w:eastAsia="Batang"/>
                <w:color w:val="000000"/>
                <w:sz w:val="18"/>
                <w:szCs w:val="18"/>
                <w:lang w:eastAsia="zh-CN"/>
              </w:rPr>
              <w:t>SPC will utilise funding from other sources in 2019</w:t>
            </w:r>
          </w:p>
        </w:tc>
        <w:tc>
          <w:tcPr>
            <w:tcW w:w="547" w:type="pct"/>
            <w:tcBorders>
              <w:top w:val="single" w:sz="4" w:space="0" w:color="auto"/>
              <w:left w:val="single" w:sz="4" w:space="0" w:color="auto"/>
              <w:bottom w:val="single" w:sz="4" w:space="0" w:color="auto"/>
              <w:right w:val="single" w:sz="4" w:space="0" w:color="auto"/>
            </w:tcBorders>
            <w:vAlign w:val="center"/>
          </w:tcPr>
          <w:p w14:paraId="37BEC889"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2D20141A" w14:textId="77777777" w:rsidR="00BA3E50" w:rsidRPr="00DA3B20" w:rsidRDefault="00BA3E50" w:rsidP="00E41116">
            <w:pPr>
              <w:adjustRightInd w:val="0"/>
              <w:snapToGrid w:val="0"/>
              <w:jc w:val="center"/>
              <w:rPr>
                <w:rFonts w:eastAsia="Malgun Gothic"/>
                <w:color w:val="000000"/>
                <w:sz w:val="18"/>
                <w:szCs w:val="18"/>
                <w:lang w:eastAsia="ko-KR"/>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42AFE53D" w14:textId="77777777" w:rsidR="00BA3E50" w:rsidRPr="00DA3B20" w:rsidRDefault="00BA3E50" w:rsidP="00E41116">
            <w:pPr>
              <w:adjustRightInd w:val="0"/>
              <w:snapToGrid w:val="0"/>
              <w:jc w:val="center"/>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14:paraId="70FA2D0C"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489F2809"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40,000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1CCFB2B8"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40,000</w:t>
            </w:r>
          </w:p>
        </w:tc>
      </w:tr>
      <w:tr w:rsidR="00BA3E50" w:rsidRPr="00DA3B20" w14:paraId="01AFDC1B" w14:textId="77777777" w:rsidTr="00BA3E50">
        <w:trPr>
          <w:trHeight w:val="251"/>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3927CE1B" w14:textId="77777777" w:rsidR="00BA3E50" w:rsidRPr="00DA3B20" w:rsidRDefault="00BA3E50" w:rsidP="00E41116">
            <w:pPr>
              <w:adjustRightInd w:val="0"/>
              <w:snapToGrid w:val="0"/>
              <w:rPr>
                <w:rFonts w:eastAsia="Malgun Gothic"/>
                <w:b/>
                <w:color w:val="000000"/>
                <w:sz w:val="18"/>
                <w:szCs w:val="18"/>
                <w:lang w:eastAsia="ko-KR"/>
              </w:rPr>
            </w:pPr>
            <w:r w:rsidRPr="00DA3B20">
              <w:rPr>
                <w:rFonts w:eastAsia="Malgun Gothic"/>
                <w:b/>
                <w:color w:val="000000"/>
                <w:sz w:val="18"/>
                <w:szCs w:val="18"/>
                <w:lang w:eastAsia="ko-KR"/>
              </w:rPr>
              <w:t xml:space="preserve">Project 68. Estimation of </w:t>
            </w:r>
            <w:r w:rsidRPr="00DA3B20">
              <w:rPr>
                <w:rFonts w:eastAsia="Batang"/>
                <w:b/>
                <w:color w:val="000000"/>
                <w:sz w:val="18"/>
                <w:szCs w:val="18"/>
                <w:lang w:eastAsia="zh-CN"/>
              </w:rPr>
              <w:t>seabird mortality across the WCPO Convention area</w:t>
            </w:r>
            <w:r w:rsidRPr="00DA3B20">
              <w:rPr>
                <w:rFonts w:eastAsia="Malgun Gothic"/>
                <w:b/>
                <w:color w:val="000000"/>
                <w:sz w:val="18"/>
                <w:szCs w:val="18"/>
                <w:lang w:eastAsia="ko-KR"/>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14:paraId="471AAC70"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65561B3A"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No</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335F7868"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2</w:t>
            </w: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14:paraId="709AFCAE"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17,500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04DC8352" w14:textId="77777777"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1AA687AE" w14:textId="77777777" w:rsidR="00BA3E50" w:rsidRPr="00DA3B20" w:rsidRDefault="00BA3E50" w:rsidP="00E41116">
            <w:pPr>
              <w:adjustRightInd w:val="0"/>
              <w:snapToGrid w:val="0"/>
              <w:jc w:val="right"/>
              <w:rPr>
                <w:rFonts w:eastAsia="Batang"/>
                <w:color w:val="000000"/>
                <w:sz w:val="18"/>
                <w:szCs w:val="18"/>
                <w:lang w:eastAsia="ko-KR"/>
              </w:rPr>
            </w:pPr>
          </w:p>
        </w:tc>
      </w:tr>
      <w:tr w:rsidR="00BA3E50" w:rsidRPr="00DA3B20" w14:paraId="19CD264A" w14:textId="77777777" w:rsidTr="00BA3E50">
        <w:trPr>
          <w:trHeight w:val="80"/>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529BACA2" w14:textId="77777777" w:rsidR="00BA3E50" w:rsidRPr="00DA3B20" w:rsidRDefault="00BA3E50" w:rsidP="00E41116">
            <w:pPr>
              <w:adjustRightInd w:val="0"/>
              <w:snapToGrid w:val="0"/>
              <w:rPr>
                <w:b/>
                <w:color w:val="000000"/>
                <w:sz w:val="18"/>
                <w:szCs w:val="18"/>
                <w:lang w:eastAsia="ko-KR"/>
              </w:rPr>
            </w:pPr>
            <w:r w:rsidRPr="00DA3B20">
              <w:rPr>
                <w:rFonts w:eastAsia="Malgun Gothic"/>
                <w:b/>
                <w:color w:val="000000"/>
                <w:sz w:val="18"/>
                <w:szCs w:val="18"/>
                <w:lang w:eastAsia="ko-KR"/>
              </w:rPr>
              <w:t xml:space="preserve">Project 81. </w:t>
            </w:r>
            <w:r w:rsidRPr="00DA3B20">
              <w:rPr>
                <w:rFonts w:eastAsia="Batang"/>
                <w:b/>
                <w:color w:val="000000"/>
                <w:sz w:val="18"/>
                <w:szCs w:val="18"/>
                <w:lang w:eastAsia="zh-CN"/>
              </w:rPr>
              <w:t>Further work on bigeye tuna age and growth</w:t>
            </w:r>
            <w:r w:rsidRPr="00DA3B20">
              <w:rPr>
                <w:rFonts w:eastAsia="Batang"/>
                <w:b/>
                <w:color w:val="000000"/>
                <w:sz w:val="18"/>
                <w:szCs w:val="18"/>
                <w:lang w:eastAsia="ko-KR"/>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14:paraId="393A9EDE"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18ED773A" w14:textId="77777777" w:rsidR="00BA3E50" w:rsidRPr="00DA3B20" w:rsidRDefault="00BA3E50" w:rsidP="00E41116">
            <w:pPr>
              <w:adjustRightInd w:val="0"/>
              <w:snapToGrid w:val="0"/>
              <w:jc w:val="center"/>
              <w:rPr>
                <w:rFonts w:eastAsia="Malgun Gothic"/>
                <w:color w:val="000000"/>
                <w:sz w:val="18"/>
                <w:szCs w:val="18"/>
                <w:lang w:eastAsia="ko-KR"/>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6903B7F8" w14:textId="77777777" w:rsidR="00BA3E50" w:rsidRPr="00DA3B20" w:rsidRDefault="00BA3E50" w:rsidP="00E41116">
            <w:pPr>
              <w:adjustRightInd w:val="0"/>
              <w:snapToGrid w:val="0"/>
              <w:jc w:val="center"/>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14:paraId="4EB5A55F" w14:textId="77777777" w:rsidR="00BA3E50" w:rsidRPr="00DA3B20" w:rsidRDefault="00BA3E50" w:rsidP="00E41116">
            <w:pPr>
              <w:adjustRightInd w:val="0"/>
              <w:snapToGrid w:val="0"/>
              <w:jc w:val="right"/>
              <w:rPr>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29960627" w14:textId="77777777" w:rsidR="00BA3E50" w:rsidRPr="00DA3B20" w:rsidRDefault="00BA3E50" w:rsidP="00E41116">
            <w:pPr>
              <w:adjustRightInd w:val="0"/>
              <w:snapToGrid w:val="0"/>
              <w:jc w:val="right"/>
              <w:rPr>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7B76DB6F" w14:textId="77777777" w:rsidR="00BA3E50" w:rsidRPr="00DA3B20" w:rsidRDefault="00BA3E50" w:rsidP="00E41116">
            <w:pPr>
              <w:adjustRightInd w:val="0"/>
              <w:snapToGrid w:val="0"/>
              <w:jc w:val="right"/>
              <w:rPr>
                <w:color w:val="000000"/>
                <w:sz w:val="18"/>
                <w:szCs w:val="18"/>
                <w:lang w:eastAsia="zh-CN"/>
              </w:rPr>
            </w:pPr>
          </w:p>
        </w:tc>
      </w:tr>
      <w:tr w:rsidR="00BA3E50" w:rsidRPr="00DA3B20" w14:paraId="4DBA2356" w14:textId="77777777" w:rsidTr="00BA3E50">
        <w:trPr>
          <w:trHeight w:val="152"/>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6E42AD30" w14:textId="77777777" w:rsidR="00BA3E50" w:rsidRPr="00DA3B20" w:rsidRDefault="00BA3E50" w:rsidP="00E41116">
            <w:pPr>
              <w:adjustRightInd w:val="0"/>
              <w:snapToGrid w:val="0"/>
              <w:rPr>
                <w:rFonts w:eastAsia="Malgun Gothic"/>
                <w:b/>
                <w:color w:val="000000"/>
                <w:sz w:val="18"/>
                <w:szCs w:val="18"/>
                <w:lang w:eastAsia="ko-KR"/>
              </w:rPr>
            </w:pPr>
            <w:r w:rsidRPr="00DA3B20">
              <w:rPr>
                <w:rFonts w:eastAsia="Malgun Gothic"/>
                <w:b/>
                <w:color w:val="000000"/>
                <w:sz w:val="18"/>
                <w:szCs w:val="18"/>
                <w:lang w:eastAsia="ko-KR"/>
              </w:rPr>
              <w:t xml:space="preserve">Project 82. </w:t>
            </w:r>
            <w:r w:rsidRPr="00DA3B20">
              <w:rPr>
                <w:rFonts w:eastAsia="Batang"/>
                <w:b/>
                <w:color w:val="000000"/>
                <w:sz w:val="18"/>
                <w:szCs w:val="18"/>
                <w:lang w:eastAsia="zh-CN"/>
              </w:rPr>
              <w:t>Yellowfin tuna age and growth</w:t>
            </w:r>
          </w:p>
        </w:tc>
        <w:tc>
          <w:tcPr>
            <w:tcW w:w="547" w:type="pct"/>
            <w:tcBorders>
              <w:top w:val="single" w:sz="4" w:space="0" w:color="auto"/>
              <w:left w:val="single" w:sz="4" w:space="0" w:color="auto"/>
              <w:bottom w:val="single" w:sz="4" w:space="0" w:color="auto"/>
              <w:right w:val="single" w:sz="4" w:space="0" w:color="auto"/>
            </w:tcBorders>
            <w:vAlign w:val="center"/>
          </w:tcPr>
          <w:p w14:paraId="0EFAEF25"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4BB516B6"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7D352DC3"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1</w:t>
            </w: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14:paraId="7C299662"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85,000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627B3A3D" w14:textId="77777777"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2C76341E" w14:textId="77777777" w:rsidR="00BA3E50" w:rsidRPr="00DA3B20" w:rsidRDefault="00BA3E50" w:rsidP="00E41116">
            <w:pPr>
              <w:adjustRightInd w:val="0"/>
              <w:snapToGrid w:val="0"/>
              <w:jc w:val="right"/>
              <w:rPr>
                <w:color w:val="000000"/>
                <w:sz w:val="18"/>
                <w:szCs w:val="18"/>
                <w:lang w:eastAsia="zh-CN"/>
              </w:rPr>
            </w:pPr>
          </w:p>
        </w:tc>
      </w:tr>
      <w:tr w:rsidR="00BA3E50" w:rsidRPr="00DA3B20" w14:paraId="302E1187" w14:textId="77777777" w:rsidTr="00BA3E50">
        <w:trPr>
          <w:trHeight w:val="60"/>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78EA7C2C" w14:textId="77777777" w:rsidR="00BA3E50" w:rsidRPr="00DA3B20" w:rsidRDefault="00BA3E50" w:rsidP="00E41116">
            <w:pPr>
              <w:adjustRightInd w:val="0"/>
              <w:snapToGrid w:val="0"/>
              <w:rPr>
                <w:rFonts w:eastAsia="Batang"/>
                <w:color w:val="000000"/>
                <w:sz w:val="18"/>
                <w:szCs w:val="18"/>
                <w:lang w:eastAsia="ja-JP"/>
              </w:rPr>
            </w:pPr>
            <w:r w:rsidRPr="00DA3B20">
              <w:rPr>
                <w:rFonts w:eastAsia="Malgun Gothic"/>
                <w:b/>
                <w:color w:val="000000"/>
                <w:sz w:val="18"/>
                <w:szCs w:val="18"/>
                <w:lang w:eastAsia="ko-KR"/>
              </w:rPr>
              <w:t>Project 83. Investigating the potential for a WCPFC tag vessel (</w:t>
            </w:r>
            <w:r w:rsidRPr="00DA3B20">
              <w:rPr>
                <w:rFonts w:eastAsia="Malgun Gothic"/>
                <w:color w:val="000000"/>
                <w:sz w:val="18"/>
                <w:szCs w:val="18"/>
                <w:lang w:eastAsia="ko-KR"/>
              </w:rPr>
              <w:t>Co-funded to be sought)</w:t>
            </w:r>
          </w:p>
        </w:tc>
        <w:tc>
          <w:tcPr>
            <w:tcW w:w="547" w:type="pct"/>
            <w:tcBorders>
              <w:top w:val="single" w:sz="4" w:space="0" w:color="auto"/>
              <w:left w:val="single" w:sz="4" w:space="0" w:color="auto"/>
              <w:bottom w:val="single" w:sz="4" w:space="0" w:color="auto"/>
              <w:right w:val="single" w:sz="4" w:space="0" w:color="auto"/>
            </w:tcBorders>
            <w:vAlign w:val="center"/>
          </w:tcPr>
          <w:p w14:paraId="56AA8D55"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67FCDEB4"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No</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6AF87DA6"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2</w:t>
            </w: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14:paraId="59F93679"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95,000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48ABB2D2" w14:textId="77777777"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7DF80D95" w14:textId="77777777" w:rsidR="00BA3E50" w:rsidRPr="00DA3B20" w:rsidRDefault="00BA3E50" w:rsidP="00E41116">
            <w:pPr>
              <w:adjustRightInd w:val="0"/>
              <w:snapToGrid w:val="0"/>
              <w:jc w:val="right"/>
              <w:rPr>
                <w:rFonts w:eastAsia="Malgun Gothic"/>
                <w:color w:val="000000"/>
                <w:sz w:val="18"/>
                <w:szCs w:val="18"/>
                <w:lang w:eastAsia="ko-KR"/>
              </w:rPr>
            </w:pPr>
          </w:p>
        </w:tc>
      </w:tr>
      <w:tr w:rsidR="00BA3E50" w:rsidRPr="00DA3B20" w14:paraId="33FC564C" w14:textId="77777777" w:rsidTr="00BA3E50">
        <w:trPr>
          <w:trHeight w:val="422"/>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72634061" w14:textId="77777777" w:rsidR="00BA3E50" w:rsidRPr="00DA3B20" w:rsidRDefault="00BA3E50" w:rsidP="00E41116">
            <w:pPr>
              <w:adjustRightInd w:val="0"/>
              <w:snapToGrid w:val="0"/>
              <w:rPr>
                <w:b/>
                <w:color w:val="000000"/>
                <w:sz w:val="18"/>
                <w:szCs w:val="18"/>
                <w:lang w:eastAsia="zh-CN"/>
              </w:rPr>
            </w:pPr>
            <w:r w:rsidRPr="00DA3B20">
              <w:rPr>
                <w:rFonts w:eastAsia="Batang"/>
                <w:b/>
                <w:bCs/>
                <w:color w:val="000000"/>
                <w:sz w:val="18"/>
                <w:szCs w:val="18"/>
                <w:lang w:eastAsia="zh-CN"/>
              </w:rPr>
              <w:t xml:space="preserve">Project 88. </w:t>
            </w:r>
            <w:r w:rsidRPr="00DA3B20">
              <w:rPr>
                <w:b/>
                <w:color w:val="000000"/>
                <w:sz w:val="18"/>
                <w:szCs w:val="18"/>
                <w:lang w:eastAsia="zh-CN"/>
              </w:rPr>
              <w:t>Acoustic FAD analyses</w:t>
            </w:r>
          </w:p>
        </w:tc>
        <w:tc>
          <w:tcPr>
            <w:tcW w:w="547" w:type="pct"/>
            <w:tcBorders>
              <w:top w:val="single" w:sz="4" w:space="0" w:color="auto"/>
              <w:left w:val="single" w:sz="4" w:space="0" w:color="auto"/>
              <w:bottom w:val="single" w:sz="4" w:space="0" w:color="auto"/>
              <w:right w:val="single" w:sz="4" w:space="0" w:color="auto"/>
            </w:tcBorders>
            <w:vAlign w:val="center"/>
          </w:tcPr>
          <w:p w14:paraId="64A9CF5C"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6184DBA7" w14:textId="77777777" w:rsidR="00BA3E50" w:rsidRPr="00DA3B20" w:rsidRDefault="00BA3E50" w:rsidP="00E41116">
            <w:pPr>
              <w:adjustRightInd w:val="0"/>
              <w:snapToGrid w:val="0"/>
              <w:jc w:val="center"/>
              <w:rPr>
                <w:color w:val="000000"/>
                <w:sz w:val="18"/>
                <w:szCs w:val="18"/>
                <w:lang w:eastAsia="zh-CN"/>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40EB90B3" w14:textId="77777777" w:rsidR="00BA3E50" w:rsidRPr="00DA3B20" w:rsidRDefault="00BA3E50" w:rsidP="00E41116">
            <w:pPr>
              <w:adjustRightInd w:val="0"/>
              <w:snapToGrid w:val="0"/>
              <w:jc w:val="center"/>
              <w:rPr>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14:paraId="281B069C" w14:textId="77777777"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2FD95182"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120,000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3F18C2F7"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72,000</w:t>
            </w:r>
          </w:p>
        </w:tc>
      </w:tr>
      <w:tr w:rsidR="00BA3E50" w:rsidRPr="00DA3B20" w14:paraId="0B37C4C3" w14:textId="77777777" w:rsidTr="00BA3E50">
        <w:trPr>
          <w:trHeight w:val="375"/>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72876FE8" w14:textId="77777777" w:rsidR="00BA3E50" w:rsidRPr="00DA3B20" w:rsidRDefault="00BA3E50" w:rsidP="00E41116">
            <w:pPr>
              <w:adjustRightInd w:val="0"/>
              <w:snapToGrid w:val="0"/>
              <w:rPr>
                <w:rFonts w:eastAsia="Malgun Gothic"/>
                <w:b/>
                <w:color w:val="000000"/>
                <w:sz w:val="18"/>
                <w:szCs w:val="18"/>
                <w:lang w:eastAsia="ko-KR"/>
              </w:rPr>
            </w:pPr>
            <w:r w:rsidRPr="00DA3B20">
              <w:rPr>
                <w:rFonts w:eastAsia="Malgun Gothic"/>
                <w:b/>
                <w:color w:val="000000"/>
                <w:sz w:val="18"/>
                <w:szCs w:val="18"/>
                <w:lang w:eastAsia="ko-KR"/>
              </w:rPr>
              <w:t>Project 90. Better data on fish weights and lengths for scientific analyses</w:t>
            </w:r>
          </w:p>
        </w:tc>
        <w:tc>
          <w:tcPr>
            <w:tcW w:w="547" w:type="pct"/>
            <w:tcBorders>
              <w:top w:val="single" w:sz="4" w:space="0" w:color="auto"/>
              <w:left w:val="single" w:sz="4" w:space="0" w:color="auto"/>
              <w:bottom w:val="single" w:sz="4" w:space="0" w:color="auto"/>
              <w:right w:val="single" w:sz="4" w:space="0" w:color="auto"/>
            </w:tcBorders>
            <w:vAlign w:val="center"/>
          </w:tcPr>
          <w:p w14:paraId="50DD105D"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4BC9AE01"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No</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13253DA0"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2</w:t>
            </w: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14:paraId="16B9CDC3" w14:textId="77777777" w:rsidR="00BA3E50" w:rsidRPr="00DA3B20" w:rsidRDefault="00BA3E50" w:rsidP="00E41116">
            <w:pPr>
              <w:adjustRightInd w:val="0"/>
              <w:snapToGrid w:val="0"/>
              <w:ind w:right="120"/>
              <w:jc w:val="right"/>
              <w:rPr>
                <w:rFonts w:eastAsia="Malgun Gothic"/>
                <w:color w:val="000000"/>
                <w:sz w:val="18"/>
                <w:szCs w:val="18"/>
                <w:lang w:eastAsia="ko-KR"/>
              </w:rPr>
            </w:pPr>
            <w:r w:rsidRPr="00DA3B20">
              <w:rPr>
                <w:rFonts w:eastAsia="Malgun Gothic"/>
                <w:color w:val="000000"/>
                <w:sz w:val="18"/>
                <w:szCs w:val="18"/>
                <w:lang w:eastAsia="ko-KR"/>
              </w:rPr>
              <w:t>60,000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711772E0"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30,000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2B9EEEB1"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20,000</w:t>
            </w:r>
          </w:p>
        </w:tc>
      </w:tr>
      <w:tr w:rsidR="00BA3E50" w:rsidRPr="00DA3B20" w14:paraId="21430651" w14:textId="77777777" w:rsidTr="00BA3E50">
        <w:trPr>
          <w:trHeight w:val="375"/>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758412C0" w14:textId="77777777" w:rsidR="00BA3E50" w:rsidRPr="00DA3B20" w:rsidRDefault="00BA3E50" w:rsidP="00E41116">
            <w:pPr>
              <w:adjustRightInd w:val="0"/>
              <w:snapToGrid w:val="0"/>
              <w:rPr>
                <w:rFonts w:eastAsia="Batang"/>
                <w:b/>
                <w:color w:val="000000"/>
                <w:sz w:val="18"/>
                <w:szCs w:val="18"/>
                <w:lang w:eastAsia="ko-KR"/>
              </w:rPr>
            </w:pPr>
            <w:r w:rsidRPr="00DA3B20">
              <w:rPr>
                <w:rFonts w:eastAsia="Malgun Gothic"/>
                <w:b/>
                <w:color w:val="000000"/>
                <w:sz w:val="18"/>
                <w:szCs w:val="18"/>
                <w:lang w:eastAsia="ko-KR"/>
              </w:rPr>
              <w:t xml:space="preserve">Project 91. </w:t>
            </w:r>
            <w:r w:rsidRPr="00DA3B20">
              <w:rPr>
                <w:rFonts w:eastAsia="Batang"/>
                <w:b/>
                <w:color w:val="000000"/>
                <w:sz w:val="18"/>
                <w:szCs w:val="18"/>
                <w:lang w:eastAsia="zh-CN"/>
              </w:rPr>
              <w:t>Operational planning for shark biological data improvement</w:t>
            </w:r>
          </w:p>
          <w:p w14:paraId="66D04C81" w14:textId="77777777" w:rsidR="00BA3E50" w:rsidRPr="00DA3B20" w:rsidRDefault="00BA3E50" w:rsidP="00E41116">
            <w:pPr>
              <w:adjustRightInd w:val="0"/>
              <w:snapToGrid w:val="0"/>
              <w:rPr>
                <w:rFonts w:eastAsia="Malgun Gothic"/>
                <w:color w:val="000000"/>
                <w:sz w:val="18"/>
                <w:szCs w:val="18"/>
                <w:lang w:eastAsia="ko-KR"/>
              </w:rPr>
            </w:pPr>
            <w:r w:rsidRPr="00DA3B20">
              <w:rPr>
                <w:rFonts w:eastAsia="Batang"/>
                <w:color w:val="000000"/>
                <w:sz w:val="18"/>
                <w:szCs w:val="18"/>
                <w:lang w:eastAsia="ko-KR"/>
              </w:rPr>
              <w:t>*ABNJ-funded project ($30,000) – need to re-advertise</w:t>
            </w:r>
          </w:p>
        </w:tc>
        <w:tc>
          <w:tcPr>
            <w:tcW w:w="547" w:type="pct"/>
            <w:tcBorders>
              <w:top w:val="single" w:sz="4" w:space="0" w:color="auto"/>
              <w:left w:val="single" w:sz="4" w:space="0" w:color="auto"/>
              <w:bottom w:val="single" w:sz="4" w:space="0" w:color="auto"/>
              <w:right w:val="single" w:sz="4" w:space="0" w:color="auto"/>
            </w:tcBorders>
          </w:tcPr>
          <w:p w14:paraId="6013DB56" w14:textId="77777777" w:rsidR="00BA3E50" w:rsidRPr="00DA3B20" w:rsidRDefault="00BA3E50" w:rsidP="00E41116">
            <w:pPr>
              <w:adjustRightInd w:val="0"/>
              <w:snapToGrid w:val="0"/>
              <w:rPr>
                <w:color w:val="000000"/>
                <w:sz w:val="18"/>
                <w:szCs w:val="18"/>
                <w:lang w:eastAsia="zh-CN"/>
              </w:rPr>
            </w:pP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74D25059" w14:textId="77777777" w:rsidR="00BA3E50" w:rsidRPr="00DA3B20" w:rsidRDefault="00BA3E50" w:rsidP="00E41116">
            <w:pPr>
              <w:adjustRightInd w:val="0"/>
              <w:snapToGrid w:val="0"/>
              <w:jc w:val="center"/>
              <w:rPr>
                <w:color w:val="000000"/>
                <w:sz w:val="18"/>
                <w:szCs w:val="18"/>
                <w:lang w:eastAsia="zh-CN"/>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43616BEE" w14:textId="77777777" w:rsidR="00BA3E50" w:rsidRPr="00DA3B20" w:rsidRDefault="00BA3E50" w:rsidP="00E41116">
            <w:pPr>
              <w:adjustRightInd w:val="0"/>
              <w:snapToGrid w:val="0"/>
              <w:jc w:val="center"/>
              <w:rPr>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14:paraId="0B765E35" w14:textId="77777777" w:rsidR="00BA3E50" w:rsidRPr="00DA3B20" w:rsidRDefault="00BA3E50" w:rsidP="00E41116">
            <w:pPr>
              <w:adjustRightInd w:val="0"/>
              <w:snapToGrid w:val="0"/>
              <w:jc w:val="right"/>
              <w:rPr>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5708DB70" w14:textId="77777777"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09D73CC5" w14:textId="77777777" w:rsidR="00BA3E50" w:rsidRPr="00DA3B20" w:rsidRDefault="00BA3E50" w:rsidP="00E41116">
            <w:pPr>
              <w:adjustRightInd w:val="0"/>
              <w:snapToGrid w:val="0"/>
              <w:jc w:val="right"/>
              <w:rPr>
                <w:rFonts w:eastAsia="Malgun Gothic"/>
                <w:color w:val="000000"/>
                <w:sz w:val="18"/>
                <w:szCs w:val="18"/>
                <w:lang w:eastAsia="ko-KR"/>
              </w:rPr>
            </w:pPr>
          </w:p>
        </w:tc>
      </w:tr>
      <w:tr w:rsidR="00BA3E50" w:rsidRPr="00DA3B20" w14:paraId="19707AFC" w14:textId="77777777" w:rsidTr="00BA3E50">
        <w:trPr>
          <w:trHeight w:val="1106"/>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23562679" w14:textId="77777777" w:rsidR="00BA3E50" w:rsidRPr="00DA3B20" w:rsidRDefault="00BA3E50" w:rsidP="00E41116">
            <w:pPr>
              <w:adjustRightInd w:val="0"/>
              <w:snapToGrid w:val="0"/>
              <w:rPr>
                <w:rFonts w:eastAsia="Malgun Gothic"/>
                <w:b/>
                <w:color w:val="000000"/>
                <w:sz w:val="18"/>
                <w:szCs w:val="18"/>
                <w:lang w:eastAsia="ko-KR"/>
              </w:rPr>
            </w:pPr>
            <w:r w:rsidRPr="00DA3B20">
              <w:rPr>
                <w:rFonts w:eastAsia="Malgun Gothic"/>
                <w:b/>
                <w:color w:val="000000"/>
                <w:sz w:val="18"/>
                <w:szCs w:val="18"/>
                <w:lang w:eastAsia="ko-KR"/>
              </w:rPr>
              <w:t xml:space="preserve">Project 92. </w:t>
            </w:r>
            <w:r w:rsidRPr="00DA3B20">
              <w:rPr>
                <w:rFonts w:eastAsia="Batang"/>
                <w:b/>
                <w:color w:val="000000"/>
                <w:sz w:val="18"/>
                <w:szCs w:val="18"/>
                <w:lang w:val="en-NZ" w:eastAsia="zh-CN"/>
              </w:rPr>
              <w:t>Testing the performance of alternative stock assessments approaches for oceanic whitetip shark.</w:t>
            </w:r>
            <w:r w:rsidRPr="00DA3B20">
              <w:rPr>
                <w:rFonts w:eastAsia="Batang"/>
                <w:color w:val="000000"/>
                <w:sz w:val="18"/>
                <w:szCs w:val="18"/>
                <w:lang w:val="en-NZ" w:eastAsia="zh-CN"/>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14:paraId="3B0EA9A7"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3C8F4043"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No</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5EA126F3"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2</w:t>
            </w: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14:paraId="67602598"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75,000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6E8F38F1" w14:textId="77777777"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07887801" w14:textId="77777777" w:rsidR="00BA3E50" w:rsidRPr="00DA3B20" w:rsidRDefault="00BA3E50" w:rsidP="00E41116">
            <w:pPr>
              <w:adjustRightInd w:val="0"/>
              <w:snapToGrid w:val="0"/>
              <w:jc w:val="right"/>
              <w:rPr>
                <w:rFonts w:eastAsia="Malgun Gothic"/>
                <w:color w:val="000000"/>
                <w:sz w:val="18"/>
                <w:szCs w:val="18"/>
                <w:lang w:eastAsia="ko-KR"/>
              </w:rPr>
            </w:pPr>
          </w:p>
        </w:tc>
      </w:tr>
      <w:tr w:rsidR="00BA3E50" w:rsidRPr="00DA3B20" w14:paraId="7B5E35F6" w14:textId="77777777" w:rsidTr="00BA3E50">
        <w:trPr>
          <w:trHeight w:val="530"/>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0B2AC701" w14:textId="77777777" w:rsidR="00BA3E50" w:rsidRPr="00DA3B20" w:rsidRDefault="00BA3E50" w:rsidP="00E41116">
            <w:pPr>
              <w:adjustRightInd w:val="0"/>
              <w:snapToGrid w:val="0"/>
              <w:rPr>
                <w:rFonts w:eastAsia="Malgun Gothic"/>
                <w:b/>
                <w:color w:val="000000"/>
                <w:sz w:val="18"/>
                <w:szCs w:val="18"/>
                <w:lang w:eastAsia="ko-KR"/>
              </w:rPr>
            </w:pPr>
            <w:r w:rsidRPr="00DA3B20">
              <w:rPr>
                <w:rFonts w:eastAsia="Malgun Gothic"/>
                <w:b/>
                <w:color w:val="000000"/>
                <w:sz w:val="18"/>
                <w:szCs w:val="18"/>
                <w:lang w:eastAsia="ko-KR"/>
              </w:rPr>
              <w:t xml:space="preserve">Project 93. </w:t>
            </w:r>
            <w:r w:rsidRPr="00DA3B20">
              <w:rPr>
                <w:rFonts w:eastAsia="Batang"/>
                <w:b/>
                <w:color w:val="000000"/>
                <w:sz w:val="18"/>
                <w:szCs w:val="18"/>
                <w:lang w:eastAsia="zh-CN"/>
              </w:rPr>
              <w:t>Review of the Commission’s data needs and collection programs</w:t>
            </w:r>
          </w:p>
        </w:tc>
        <w:tc>
          <w:tcPr>
            <w:tcW w:w="547" w:type="pct"/>
            <w:tcBorders>
              <w:top w:val="single" w:sz="4" w:space="0" w:color="auto"/>
              <w:left w:val="single" w:sz="4" w:space="0" w:color="auto"/>
              <w:bottom w:val="single" w:sz="4" w:space="0" w:color="auto"/>
              <w:right w:val="single" w:sz="4" w:space="0" w:color="auto"/>
            </w:tcBorders>
            <w:vAlign w:val="center"/>
          </w:tcPr>
          <w:p w14:paraId="03212059" w14:textId="77777777" w:rsidR="00BA3E50" w:rsidRPr="00DA3B20" w:rsidRDefault="00BA3E50" w:rsidP="00E41116">
            <w:pPr>
              <w:adjustRightInd w:val="0"/>
              <w:snapToGrid w:val="0"/>
              <w:rPr>
                <w:color w:val="000000"/>
                <w:sz w:val="18"/>
                <w:szCs w:val="18"/>
                <w:lang w:eastAsia="zh-CN"/>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28E2A58A" w14:textId="77777777" w:rsidR="00BA3E50" w:rsidRPr="00DA3B20" w:rsidRDefault="00BA3E50" w:rsidP="00E41116">
            <w:pPr>
              <w:adjustRightInd w:val="0"/>
              <w:snapToGrid w:val="0"/>
              <w:jc w:val="center"/>
              <w:rPr>
                <w:color w:val="000000"/>
                <w:sz w:val="18"/>
                <w:szCs w:val="18"/>
                <w:lang w:eastAsia="zh-CN"/>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19F5633F" w14:textId="77777777" w:rsidR="00BA3E50" w:rsidRPr="00DA3B20" w:rsidRDefault="00BA3E50" w:rsidP="00E41116">
            <w:pPr>
              <w:adjustRightInd w:val="0"/>
              <w:snapToGrid w:val="0"/>
              <w:jc w:val="center"/>
              <w:rPr>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14:paraId="75ED36A2" w14:textId="77777777"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2855E162" w14:textId="77777777"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01B44240" w14:textId="77777777" w:rsidR="00BA3E50" w:rsidRPr="00DA3B20" w:rsidRDefault="00BA3E50" w:rsidP="00E41116">
            <w:pPr>
              <w:adjustRightInd w:val="0"/>
              <w:snapToGrid w:val="0"/>
              <w:jc w:val="right"/>
              <w:rPr>
                <w:rFonts w:eastAsia="Malgun Gothic"/>
                <w:color w:val="000000"/>
                <w:sz w:val="18"/>
                <w:szCs w:val="18"/>
                <w:lang w:eastAsia="ko-KR"/>
              </w:rPr>
            </w:pPr>
          </w:p>
        </w:tc>
      </w:tr>
      <w:tr w:rsidR="00BA3E50" w:rsidRPr="00DA3B20" w14:paraId="53636697" w14:textId="77777777" w:rsidTr="00BA3E50">
        <w:trPr>
          <w:trHeight w:val="872"/>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68491EB8" w14:textId="77777777" w:rsidR="00BA3E50" w:rsidRPr="00DA3B20" w:rsidRDefault="00BA3E50" w:rsidP="00E41116">
            <w:pPr>
              <w:adjustRightInd w:val="0"/>
              <w:snapToGrid w:val="0"/>
              <w:rPr>
                <w:rFonts w:eastAsia="Malgun Gothic"/>
                <w:b/>
                <w:color w:val="000000"/>
                <w:sz w:val="18"/>
                <w:szCs w:val="18"/>
                <w:lang w:eastAsia="ko-KR"/>
              </w:rPr>
            </w:pPr>
            <w:r w:rsidRPr="00DA3B20">
              <w:rPr>
                <w:rFonts w:eastAsia="Malgun Gothic"/>
                <w:b/>
                <w:color w:val="000000"/>
                <w:sz w:val="18"/>
                <w:szCs w:val="18"/>
                <w:lang w:eastAsia="ko-KR"/>
              </w:rPr>
              <w:t xml:space="preserve">Project 94. </w:t>
            </w:r>
            <w:r w:rsidRPr="00DA3B20">
              <w:rPr>
                <w:rFonts w:eastAsia="Batang"/>
                <w:b/>
                <w:color w:val="000000"/>
                <w:sz w:val="18"/>
                <w:szCs w:val="18"/>
                <w:lang w:eastAsia="zh-CN"/>
              </w:rPr>
              <w:t>Workshop on yellowfin and bigeye tuna age and growth</w:t>
            </w:r>
          </w:p>
        </w:tc>
        <w:tc>
          <w:tcPr>
            <w:tcW w:w="547" w:type="pct"/>
            <w:tcBorders>
              <w:top w:val="single" w:sz="4" w:space="0" w:color="auto"/>
              <w:left w:val="single" w:sz="4" w:space="0" w:color="auto"/>
              <w:bottom w:val="single" w:sz="4" w:space="0" w:color="auto"/>
              <w:right w:val="single" w:sz="4" w:space="0" w:color="auto"/>
            </w:tcBorders>
            <w:vAlign w:val="center"/>
          </w:tcPr>
          <w:p w14:paraId="582C6F74" w14:textId="77777777" w:rsidR="00BA3E50" w:rsidRPr="00DA3B20" w:rsidRDefault="00BA3E50" w:rsidP="00E41116">
            <w:pPr>
              <w:adjustRightInd w:val="0"/>
              <w:snapToGrid w:val="0"/>
              <w:rPr>
                <w:color w:val="000000"/>
                <w:sz w:val="18"/>
                <w:szCs w:val="18"/>
                <w:lang w:eastAsia="zh-CN"/>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3BBCA396"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4EDC814A" w14:textId="77777777"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1</w:t>
            </w: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14:paraId="7C58DEE1" w14:textId="77777777" w:rsidR="00BA3E50" w:rsidRPr="00DA3B20" w:rsidRDefault="00BA3E50" w:rsidP="00E41116">
            <w:pPr>
              <w:adjustRightInd w:val="0"/>
              <w:snapToGrid w:val="0"/>
              <w:jc w:val="right"/>
              <w:rPr>
                <w:color w:val="000000"/>
                <w:sz w:val="18"/>
                <w:szCs w:val="18"/>
                <w:lang w:eastAsia="zh-CN"/>
              </w:rPr>
            </w:pPr>
            <w:r w:rsidRPr="00DA3B20">
              <w:rPr>
                <w:rFonts w:eastAsia="Malgun Gothic"/>
                <w:color w:val="000000"/>
                <w:sz w:val="18"/>
                <w:szCs w:val="18"/>
                <w:lang w:eastAsia="ko-KR"/>
              </w:rPr>
              <w:t>15,000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786B4643" w14:textId="77777777"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4673612A" w14:textId="77777777" w:rsidR="00BA3E50" w:rsidRPr="00DA3B20" w:rsidRDefault="00BA3E50" w:rsidP="00E41116">
            <w:pPr>
              <w:adjustRightInd w:val="0"/>
              <w:snapToGrid w:val="0"/>
              <w:jc w:val="right"/>
              <w:rPr>
                <w:rFonts w:eastAsia="Malgun Gothic"/>
                <w:color w:val="000000"/>
                <w:sz w:val="18"/>
                <w:szCs w:val="18"/>
                <w:lang w:eastAsia="ko-KR"/>
              </w:rPr>
            </w:pPr>
          </w:p>
        </w:tc>
      </w:tr>
      <w:tr w:rsidR="00BA3E50" w:rsidRPr="00DA3B20" w14:paraId="2A3AFF69" w14:textId="77777777" w:rsidTr="00BA3E50">
        <w:trPr>
          <w:trHeight w:val="375"/>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14:paraId="2763A2FF" w14:textId="77777777" w:rsidR="00BA3E50" w:rsidRPr="00DA3B20" w:rsidRDefault="00BA3E50" w:rsidP="00E41116">
            <w:pPr>
              <w:adjustRightInd w:val="0"/>
              <w:snapToGrid w:val="0"/>
              <w:rPr>
                <w:rFonts w:eastAsia="Malgun Gothic"/>
                <w:b/>
                <w:color w:val="000000"/>
                <w:sz w:val="18"/>
                <w:szCs w:val="18"/>
                <w:lang w:eastAsia="ko-KR"/>
              </w:rPr>
            </w:pPr>
            <w:r w:rsidRPr="00DA3B20">
              <w:rPr>
                <w:b/>
                <w:color w:val="000000"/>
                <w:sz w:val="18"/>
                <w:szCs w:val="18"/>
                <w:lang w:eastAsia="zh-CN"/>
              </w:rPr>
              <w:t>Unobligated</w:t>
            </w:r>
            <w:r w:rsidRPr="00DA3B20">
              <w:rPr>
                <w:rFonts w:eastAsia="Batang"/>
                <w:b/>
                <w:color w:val="000000"/>
                <w:sz w:val="18"/>
                <w:szCs w:val="18"/>
                <w:lang w:eastAsia="zh-CN"/>
              </w:rPr>
              <w:t xml:space="preserve"> (Contingency)</w:t>
            </w:r>
            <w:r w:rsidRPr="00DA3B20">
              <w:rPr>
                <w:b/>
                <w:color w:val="000000"/>
                <w:sz w:val="18"/>
                <w:szCs w:val="18"/>
                <w:lang w:eastAsia="zh-CN"/>
              </w:rPr>
              <w:t xml:space="preserve"> Budget </w:t>
            </w:r>
          </w:p>
          <w:p w14:paraId="3470D8F2" w14:textId="77777777" w:rsidR="00BA3E50" w:rsidRPr="00DA3B20" w:rsidRDefault="00BA3E50" w:rsidP="00E41116">
            <w:pPr>
              <w:adjustRightInd w:val="0"/>
              <w:snapToGrid w:val="0"/>
              <w:rPr>
                <w:rFonts w:eastAsia="Malgun Gothic"/>
                <w:color w:val="000000"/>
                <w:sz w:val="18"/>
                <w:szCs w:val="18"/>
                <w:lang w:eastAsia="ko-KR"/>
              </w:rPr>
            </w:pPr>
            <w:r w:rsidRPr="00DA3B20">
              <w:rPr>
                <w:rFonts w:eastAsia="Malgun Gothic"/>
                <w:color w:val="000000"/>
                <w:sz w:val="18"/>
                <w:szCs w:val="18"/>
                <w:u w:val="single"/>
                <w:lang w:eastAsia="ko-KR"/>
              </w:rPr>
              <w:t>Note</w:t>
            </w:r>
            <w:r w:rsidRPr="00DA3B20">
              <w:rPr>
                <w:rFonts w:eastAsia="Malgun Gothic"/>
                <w:color w:val="000000"/>
                <w:sz w:val="18"/>
                <w:szCs w:val="18"/>
                <w:lang w:eastAsia="ko-KR"/>
              </w:rPr>
              <w:t>: A</w:t>
            </w:r>
            <w:r w:rsidRPr="00DA3B20">
              <w:rPr>
                <w:rFonts w:eastAsia="Batang"/>
                <w:color w:val="000000"/>
                <w:sz w:val="18"/>
                <w:szCs w:val="18"/>
                <w:lang w:eastAsia="zh-CN"/>
              </w:rPr>
              <w:t>ny science-related projects requested by the Commission with no budget allocation</w:t>
            </w:r>
          </w:p>
        </w:tc>
        <w:tc>
          <w:tcPr>
            <w:tcW w:w="547" w:type="pct"/>
            <w:tcBorders>
              <w:top w:val="single" w:sz="4" w:space="0" w:color="auto"/>
              <w:left w:val="single" w:sz="4" w:space="0" w:color="auto"/>
              <w:bottom w:val="single" w:sz="4" w:space="0" w:color="auto"/>
              <w:right w:val="single" w:sz="4" w:space="0" w:color="auto"/>
            </w:tcBorders>
          </w:tcPr>
          <w:p w14:paraId="683F7A41" w14:textId="77777777" w:rsidR="00BA3E50" w:rsidRPr="00DA3B20" w:rsidRDefault="00BA3E50" w:rsidP="00E41116">
            <w:pPr>
              <w:adjustRightInd w:val="0"/>
              <w:snapToGrid w:val="0"/>
              <w:rPr>
                <w:color w:val="000000"/>
                <w:sz w:val="18"/>
                <w:szCs w:val="18"/>
                <w:lang w:eastAsia="zh-CN"/>
              </w:rPr>
            </w:pP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6641EE3F" w14:textId="77777777" w:rsidR="00BA3E50" w:rsidRPr="00DA3B20" w:rsidRDefault="00BA3E50" w:rsidP="00E41116">
            <w:pPr>
              <w:adjustRightInd w:val="0"/>
              <w:snapToGrid w:val="0"/>
              <w:jc w:val="center"/>
              <w:rPr>
                <w:color w:val="000000"/>
                <w:sz w:val="18"/>
                <w:szCs w:val="18"/>
                <w:lang w:eastAsia="zh-CN"/>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0A5DD08A" w14:textId="77777777" w:rsidR="00BA3E50" w:rsidRPr="00DA3B20" w:rsidRDefault="00BA3E50" w:rsidP="00E41116">
            <w:pPr>
              <w:adjustRightInd w:val="0"/>
              <w:snapToGrid w:val="0"/>
              <w:jc w:val="center"/>
              <w:rPr>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14:paraId="4C15F5F4" w14:textId="77777777"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018977D9"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83,000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11C76A05" w14:textId="77777777"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83,000</w:t>
            </w:r>
          </w:p>
        </w:tc>
      </w:tr>
      <w:tr w:rsidR="00BA3E50" w:rsidRPr="00DA3B20" w14:paraId="716686E4" w14:textId="77777777" w:rsidTr="00BA3E50">
        <w:trPr>
          <w:trHeight w:val="562"/>
        </w:trPr>
        <w:tc>
          <w:tcPr>
            <w:tcW w:w="15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46529F6" w14:textId="77777777" w:rsidR="00BA3E50" w:rsidRPr="00DA3B20" w:rsidRDefault="00BA3E50" w:rsidP="00E41116">
            <w:pPr>
              <w:adjustRightInd w:val="0"/>
              <w:snapToGrid w:val="0"/>
              <w:jc w:val="center"/>
              <w:rPr>
                <w:b/>
                <w:bCs/>
                <w:color w:val="000000"/>
                <w:sz w:val="18"/>
                <w:szCs w:val="18"/>
                <w:lang w:eastAsia="zh-CN"/>
              </w:rPr>
            </w:pPr>
            <w:r w:rsidRPr="00DA3B20">
              <w:rPr>
                <w:b/>
                <w:bCs/>
                <w:color w:val="000000"/>
                <w:sz w:val="18"/>
                <w:szCs w:val="18"/>
                <w:lang w:eastAsia="zh-CN"/>
              </w:rPr>
              <w:t>SC1</w:t>
            </w:r>
            <w:r w:rsidRPr="00DA3B20">
              <w:rPr>
                <w:rFonts w:eastAsia="Malgun Gothic"/>
                <w:b/>
                <w:bCs/>
                <w:color w:val="000000"/>
                <w:sz w:val="18"/>
                <w:szCs w:val="18"/>
                <w:lang w:eastAsia="ko-KR"/>
              </w:rPr>
              <w:t>4</w:t>
            </w:r>
            <w:r w:rsidRPr="00DA3B20">
              <w:rPr>
                <w:b/>
                <w:bCs/>
                <w:color w:val="000000"/>
                <w:sz w:val="18"/>
                <w:szCs w:val="18"/>
                <w:lang w:eastAsia="zh-CN"/>
              </w:rPr>
              <w:t xml:space="preserve"> TOTAL BUDGET</w:t>
            </w:r>
          </w:p>
        </w:tc>
        <w:tc>
          <w:tcPr>
            <w:tcW w:w="1640"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8079726" w14:textId="77777777" w:rsidR="00BA3E50" w:rsidRPr="00DA3B20" w:rsidRDefault="00BA3E50" w:rsidP="00E41116">
            <w:pPr>
              <w:adjustRightInd w:val="0"/>
              <w:snapToGrid w:val="0"/>
              <w:jc w:val="center"/>
              <w:rPr>
                <w:b/>
                <w:bCs/>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14:paraId="463E67A8" w14:textId="77777777" w:rsidR="00BA3E50" w:rsidRPr="00DA3B20" w:rsidRDefault="00BA3E50" w:rsidP="00E41116">
            <w:pPr>
              <w:adjustRightInd w:val="0"/>
              <w:snapToGrid w:val="0"/>
              <w:jc w:val="right"/>
              <w:rPr>
                <w:rFonts w:eastAsia="Malgun Gothic"/>
                <w:b/>
                <w:sz w:val="18"/>
                <w:szCs w:val="18"/>
                <w:lang w:eastAsia="ko-KR"/>
              </w:rPr>
            </w:pPr>
            <w:r w:rsidRPr="00DA3B20">
              <w:rPr>
                <w:rFonts w:eastAsia="Malgun Gothic"/>
                <w:b/>
                <w:color w:val="000000"/>
                <w:sz w:val="18"/>
                <w:szCs w:val="18"/>
                <w:lang w:eastAsia="ko-KR"/>
              </w:rPr>
              <w:t>2,160,928</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631B67DE" w14:textId="77777777" w:rsidR="00BA3E50" w:rsidRDefault="00BA3E50" w:rsidP="00E41116">
            <w:pPr>
              <w:adjustRightInd w:val="0"/>
              <w:snapToGrid w:val="0"/>
              <w:jc w:val="right"/>
              <w:rPr>
                <w:rFonts w:eastAsia="Malgun Gothic"/>
                <w:b/>
                <w:sz w:val="18"/>
                <w:szCs w:val="18"/>
                <w:lang w:eastAsia="ko-KR"/>
              </w:rPr>
            </w:pPr>
          </w:p>
          <w:p w14:paraId="2D6C8AEA" w14:textId="77777777" w:rsidR="00FD735C" w:rsidRPr="00DA3B20" w:rsidRDefault="00FD735C" w:rsidP="00E41116">
            <w:pPr>
              <w:adjustRightInd w:val="0"/>
              <w:snapToGrid w:val="0"/>
              <w:jc w:val="right"/>
              <w:rPr>
                <w:rFonts w:eastAsia="Malgun Gothic"/>
                <w:b/>
                <w:sz w:val="18"/>
                <w:szCs w:val="18"/>
                <w:lang w:eastAsia="ko-KR"/>
              </w:rPr>
            </w:pPr>
            <w:r>
              <w:rPr>
                <w:rFonts w:eastAsia="Malgun Gothic" w:hint="eastAsia"/>
                <w:b/>
                <w:sz w:val="19"/>
                <w:szCs w:val="19"/>
                <w:lang w:eastAsia="ko-KR"/>
              </w:rPr>
              <w:t>2,108,199</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14:paraId="3819EFA0" w14:textId="77777777" w:rsidR="00BA3E50" w:rsidRDefault="00BA3E50" w:rsidP="00E41116">
            <w:pPr>
              <w:adjustRightInd w:val="0"/>
              <w:snapToGrid w:val="0"/>
              <w:jc w:val="right"/>
              <w:rPr>
                <w:rFonts w:eastAsia="Malgun Gothic"/>
                <w:b/>
                <w:sz w:val="18"/>
                <w:szCs w:val="18"/>
                <w:lang w:eastAsia="ko-KR"/>
              </w:rPr>
            </w:pPr>
          </w:p>
          <w:p w14:paraId="560AA4F1" w14:textId="77777777" w:rsidR="00FD735C" w:rsidRPr="00DA3B20" w:rsidRDefault="00FD735C" w:rsidP="00E41116">
            <w:pPr>
              <w:adjustRightInd w:val="0"/>
              <w:snapToGrid w:val="0"/>
              <w:jc w:val="right"/>
              <w:rPr>
                <w:rFonts w:eastAsia="Malgun Gothic"/>
                <w:b/>
                <w:sz w:val="18"/>
                <w:szCs w:val="18"/>
                <w:lang w:eastAsia="ko-KR"/>
              </w:rPr>
            </w:pPr>
            <w:r>
              <w:rPr>
                <w:rFonts w:eastAsia="Malgun Gothic" w:hint="eastAsia"/>
                <w:b/>
                <w:sz w:val="19"/>
                <w:szCs w:val="19"/>
                <w:lang w:eastAsia="ko-KR"/>
              </w:rPr>
              <w:t>2,157,340</w:t>
            </w:r>
          </w:p>
        </w:tc>
      </w:tr>
    </w:tbl>
    <w:p w14:paraId="0551D4C3" w14:textId="77777777" w:rsidR="00BA3E50" w:rsidRPr="004635E5" w:rsidRDefault="00BA3E50" w:rsidP="00E41116">
      <w:pPr>
        <w:adjustRightInd w:val="0"/>
        <w:snapToGrid w:val="0"/>
        <w:rPr>
          <w:rFonts w:eastAsia="Batang"/>
          <w:color w:val="000000"/>
          <w:sz w:val="22"/>
          <w:szCs w:val="22"/>
          <w:lang w:eastAsia="zh-CN"/>
        </w:rPr>
      </w:pPr>
    </w:p>
    <w:p w14:paraId="2F5C011A" w14:textId="77777777" w:rsidR="00BA3E50" w:rsidRPr="004635E5" w:rsidRDefault="00BA3E50" w:rsidP="00E41116">
      <w:pPr>
        <w:adjustRightInd w:val="0"/>
        <w:snapToGrid w:val="0"/>
        <w:rPr>
          <w:rFonts w:eastAsia="Batang"/>
          <w:color w:val="000000"/>
          <w:sz w:val="22"/>
          <w:szCs w:val="22"/>
          <w:lang w:val="en-AU" w:eastAsia="zh-CN"/>
        </w:rPr>
        <w:sectPr w:rsidR="00BA3E50" w:rsidRPr="004635E5" w:rsidSect="00436E03">
          <w:pgSz w:w="12240" w:h="15840" w:code="1"/>
          <w:pgMar w:top="1008" w:right="1440" w:bottom="1008" w:left="1440" w:header="720" w:footer="720" w:gutter="0"/>
          <w:cols w:space="720"/>
          <w:docGrid w:linePitch="299"/>
        </w:sectPr>
      </w:pPr>
    </w:p>
    <w:p w14:paraId="77A30820" w14:textId="77777777" w:rsidR="00BA3E50" w:rsidRPr="00241619" w:rsidRDefault="00BA3E50" w:rsidP="00241619">
      <w:pPr>
        <w:adjustRightInd w:val="0"/>
        <w:snapToGrid w:val="0"/>
        <w:jc w:val="center"/>
        <w:rPr>
          <w:rFonts w:eastAsia="Malgun Gothic"/>
          <w:b/>
          <w:bCs/>
          <w:color w:val="000000"/>
          <w:sz w:val="22"/>
          <w:szCs w:val="22"/>
          <w:lang w:eastAsia="ko-KR"/>
        </w:rPr>
      </w:pPr>
      <w:r w:rsidRPr="00241619">
        <w:rPr>
          <w:rFonts w:eastAsia="Batang"/>
          <w:b/>
          <w:bCs/>
          <w:color w:val="000000"/>
          <w:sz w:val="22"/>
          <w:szCs w:val="22"/>
          <w:lang w:eastAsia="zh-CN"/>
        </w:rPr>
        <w:t>TERMS OF REFERENCE</w:t>
      </w:r>
      <w:r w:rsidRPr="00241619">
        <w:rPr>
          <w:rFonts w:eastAsia="Malgun Gothic"/>
          <w:b/>
          <w:bCs/>
          <w:color w:val="000000"/>
          <w:sz w:val="22"/>
          <w:szCs w:val="22"/>
          <w:lang w:eastAsia="ko-KR"/>
        </w:rPr>
        <w:t xml:space="preserve"> / SCOPE OF WORK</w:t>
      </w:r>
    </w:p>
    <w:p w14:paraId="447BB0FB" w14:textId="77777777" w:rsidR="00BA3E50" w:rsidRPr="00241619" w:rsidRDefault="00BA3E50" w:rsidP="00241619">
      <w:pPr>
        <w:adjustRightInd w:val="0"/>
        <w:snapToGrid w:val="0"/>
        <w:jc w:val="center"/>
        <w:rPr>
          <w:rFonts w:eastAsia="Batang"/>
          <w:b/>
          <w:bCs/>
          <w:color w:val="000000"/>
          <w:sz w:val="22"/>
          <w:szCs w:val="22"/>
          <w:lang w:eastAsia="zh-CN"/>
        </w:rPr>
      </w:pPr>
    </w:p>
    <w:p w14:paraId="584162AD" w14:textId="77777777" w:rsidR="00BA3E50" w:rsidRPr="00241619" w:rsidRDefault="00BA3E50" w:rsidP="00241619">
      <w:pPr>
        <w:adjustRightInd w:val="0"/>
        <w:snapToGrid w:val="0"/>
        <w:ind w:left="360"/>
        <w:outlineLvl w:val="0"/>
        <w:rPr>
          <w:rFonts w:eastAsia="SimSun"/>
          <w:b/>
          <w:caps/>
          <w:sz w:val="22"/>
          <w:szCs w:val="22"/>
          <w:lang w:val="en-AU" w:eastAsia="ko-KR"/>
        </w:rPr>
      </w:pPr>
    </w:p>
    <w:tbl>
      <w:tblPr>
        <w:tblStyle w:val="TableGrid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2D050"/>
        <w:tblLook w:val="04A0" w:firstRow="1" w:lastRow="0" w:firstColumn="1" w:lastColumn="0" w:noHBand="0" w:noVBand="1"/>
      </w:tblPr>
      <w:tblGrid>
        <w:gridCol w:w="9576"/>
      </w:tblGrid>
      <w:tr w:rsidR="00BA3E50" w:rsidRPr="00F07EFA" w14:paraId="1A98C2F6" w14:textId="77777777" w:rsidTr="002D5D17">
        <w:tc>
          <w:tcPr>
            <w:tcW w:w="9576" w:type="dxa"/>
            <w:shd w:val="clear" w:color="auto" w:fill="92D050"/>
          </w:tcPr>
          <w:p w14:paraId="5F736A5A" w14:textId="77777777" w:rsidR="00BA3E50" w:rsidRPr="00F07EFA" w:rsidRDefault="00BA3E50" w:rsidP="00241619">
            <w:pPr>
              <w:adjustRightInd w:val="0"/>
              <w:snapToGrid w:val="0"/>
              <w:outlineLvl w:val="0"/>
              <w:rPr>
                <w:rFonts w:eastAsia="SimSun" w:cs="Times New Roman"/>
                <w:b/>
                <w:caps/>
                <w:sz w:val="21"/>
                <w:szCs w:val="21"/>
                <w:lang w:val="en-AU" w:eastAsia="en-NZ"/>
              </w:rPr>
            </w:pPr>
            <w:r w:rsidRPr="00F07EFA">
              <w:rPr>
                <w:rFonts w:eastAsia="SimSun" w:cs="Times New Roman"/>
                <w:b/>
                <w:caps/>
                <w:sz w:val="21"/>
                <w:szCs w:val="21"/>
                <w:lang w:val="en-AU" w:eastAsia="en-NZ"/>
              </w:rPr>
              <w:t>project 35b</w:t>
            </w:r>
          </w:p>
          <w:p w14:paraId="69C3E0ED" w14:textId="77777777" w:rsidR="00BA3E50" w:rsidRPr="00F07EFA" w:rsidRDefault="00BA3E50" w:rsidP="00241619">
            <w:pPr>
              <w:adjustRightInd w:val="0"/>
              <w:snapToGrid w:val="0"/>
              <w:outlineLvl w:val="0"/>
              <w:rPr>
                <w:rFonts w:eastAsia="SimSun" w:cs="Times New Roman"/>
                <w:b/>
                <w:sz w:val="21"/>
                <w:szCs w:val="21"/>
                <w:lang w:val="en-AU" w:eastAsia="ko-KR"/>
              </w:rPr>
            </w:pPr>
            <w:r w:rsidRPr="00F07EFA">
              <w:rPr>
                <w:rFonts w:eastAsia="SimSun" w:cs="Times New Roman"/>
                <w:b/>
                <w:sz w:val="21"/>
                <w:szCs w:val="21"/>
                <w:lang w:val="en-AU" w:eastAsia="en-NZ"/>
              </w:rPr>
              <w:t>WCPFC Tuna Tissue Bank</w:t>
            </w:r>
          </w:p>
        </w:tc>
      </w:tr>
    </w:tbl>
    <w:p w14:paraId="717C0931" w14:textId="77777777" w:rsidR="00BA3E50" w:rsidRPr="00F07EFA" w:rsidRDefault="00BA3E50" w:rsidP="00241619">
      <w:pPr>
        <w:adjustRightInd w:val="0"/>
        <w:snapToGrid w:val="0"/>
        <w:jc w:val="both"/>
        <w:rPr>
          <w:rFonts w:eastAsia="Batang"/>
          <w:color w:val="000000"/>
          <w:sz w:val="21"/>
          <w:szCs w:val="21"/>
          <w:lang w:eastAsia="zh-CN"/>
        </w:rPr>
      </w:pPr>
    </w:p>
    <w:p w14:paraId="3E7994FC" w14:textId="77777777" w:rsidR="00BA3E50" w:rsidRPr="00F07EFA" w:rsidRDefault="00BA3E50" w:rsidP="00241619">
      <w:pPr>
        <w:adjustRightInd w:val="0"/>
        <w:snapToGrid w:val="0"/>
        <w:rPr>
          <w:rFonts w:eastAsia="Batang"/>
          <w:color w:val="000000"/>
          <w:sz w:val="21"/>
          <w:szCs w:val="21"/>
          <w:lang w:eastAsia="zh-CN"/>
        </w:rPr>
      </w:pPr>
      <w:r w:rsidRPr="00F07EFA">
        <w:rPr>
          <w:rFonts w:eastAsia="Batang"/>
          <w:color w:val="000000"/>
          <w:sz w:val="21"/>
          <w:szCs w:val="21"/>
          <w:lang w:eastAsia="zh-CN"/>
        </w:rPr>
        <w:t>The scope of work will include, but not limited to, the following:</w:t>
      </w:r>
    </w:p>
    <w:p w14:paraId="59556EDF" w14:textId="77777777" w:rsidR="00BA3E50" w:rsidRPr="00F07EFA" w:rsidRDefault="00BA3E50" w:rsidP="00580EA4">
      <w:pPr>
        <w:numPr>
          <w:ilvl w:val="0"/>
          <w:numId w:val="103"/>
        </w:numPr>
        <w:adjustRightInd w:val="0"/>
        <w:snapToGrid w:val="0"/>
        <w:jc w:val="both"/>
        <w:rPr>
          <w:rFonts w:eastAsia="SimSun"/>
          <w:sz w:val="21"/>
          <w:szCs w:val="21"/>
          <w:lang w:val="en-AU" w:eastAsia="en-NZ"/>
        </w:rPr>
      </w:pPr>
      <w:r w:rsidRPr="00F07EFA">
        <w:rPr>
          <w:rFonts w:eastAsia="SimSun"/>
          <w:sz w:val="21"/>
          <w:szCs w:val="21"/>
          <w:lang w:val="en-AU" w:eastAsia="en-NZ"/>
        </w:rPr>
        <w:t>Maintain and develop:</w:t>
      </w:r>
    </w:p>
    <w:p w14:paraId="3D8B4D5C" w14:textId="77777777" w:rsidR="00BA3E50" w:rsidRPr="00F07EFA" w:rsidRDefault="00BA3E50" w:rsidP="00580EA4">
      <w:pPr>
        <w:numPr>
          <w:ilvl w:val="1"/>
          <w:numId w:val="103"/>
        </w:numPr>
        <w:adjustRightInd w:val="0"/>
        <w:snapToGrid w:val="0"/>
        <w:jc w:val="both"/>
        <w:rPr>
          <w:rFonts w:eastAsia="SimSun"/>
          <w:sz w:val="21"/>
          <w:szCs w:val="21"/>
          <w:lang w:val="en-AU" w:eastAsia="en-NZ"/>
        </w:rPr>
      </w:pPr>
      <w:r w:rsidRPr="00F07EFA">
        <w:rPr>
          <w:rFonts w:eastAsia="SimSun"/>
          <w:sz w:val="21"/>
          <w:szCs w:val="21"/>
          <w:lang w:val="en-AU" w:eastAsia="en-NZ"/>
        </w:rPr>
        <w:t>the public SPC webpage informing interested parties of the tissue bank, including the rules of procedure to access samples from the tissue bank.</w:t>
      </w:r>
    </w:p>
    <w:p w14:paraId="24238EED" w14:textId="77777777" w:rsidR="00BA3E50" w:rsidRPr="00F07EFA" w:rsidRDefault="00BA3E50" w:rsidP="00580EA4">
      <w:pPr>
        <w:numPr>
          <w:ilvl w:val="1"/>
          <w:numId w:val="103"/>
        </w:numPr>
        <w:adjustRightInd w:val="0"/>
        <w:snapToGrid w:val="0"/>
        <w:jc w:val="both"/>
        <w:rPr>
          <w:rFonts w:eastAsia="SimSun"/>
          <w:sz w:val="21"/>
          <w:szCs w:val="21"/>
          <w:lang w:val="en-AU" w:eastAsia="en-NZ"/>
        </w:rPr>
      </w:pPr>
      <w:r w:rsidRPr="00F07EFA">
        <w:rPr>
          <w:rFonts w:eastAsia="SimSun"/>
          <w:sz w:val="21"/>
          <w:szCs w:val="21"/>
          <w:lang w:val="en-AU" w:eastAsia="en-NZ"/>
        </w:rPr>
        <w:t>a web-accessed database holding non-public data</w:t>
      </w:r>
    </w:p>
    <w:p w14:paraId="032EDF09" w14:textId="77777777" w:rsidR="00BA3E50" w:rsidRPr="00F07EFA" w:rsidRDefault="00BA3E50" w:rsidP="00580EA4">
      <w:pPr>
        <w:numPr>
          <w:ilvl w:val="1"/>
          <w:numId w:val="103"/>
        </w:numPr>
        <w:adjustRightInd w:val="0"/>
        <w:snapToGrid w:val="0"/>
        <w:jc w:val="both"/>
        <w:rPr>
          <w:rFonts w:eastAsia="SimSun"/>
          <w:sz w:val="21"/>
          <w:szCs w:val="21"/>
          <w:lang w:val="en-AU" w:eastAsia="en-NZ"/>
        </w:rPr>
      </w:pPr>
      <w:r w:rsidRPr="00F07EFA">
        <w:rPr>
          <w:rFonts w:eastAsia="SimSun"/>
          <w:sz w:val="21"/>
          <w:szCs w:val="21"/>
          <w:lang w:val="en-AU" w:eastAsia="en-NZ"/>
        </w:rPr>
        <w:t>a relational database that catalogues the samples to include fishery/sampling metadata</w:t>
      </w:r>
    </w:p>
    <w:p w14:paraId="382F13F1" w14:textId="77777777" w:rsidR="00BA3E50" w:rsidRPr="00F07EFA" w:rsidRDefault="00BA3E50" w:rsidP="00580EA4">
      <w:pPr>
        <w:numPr>
          <w:ilvl w:val="1"/>
          <w:numId w:val="103"/>
        </w:numPr>
        <w:adjustRightInd w:val="0"/>
        <w:snapToGrid w:val="0"/>
        <w:jc w:val="both"/>
        <w:rPr>
          <w:rFonts w:eastAsia="SimSun"/>
          <w:sz w:val="21"/>
          <w:szCs w:val="21"/>
          <w:lang w:val="en-AU" w:eastAsia="en-NZ"/>
        </w:rPr>
      </w:pPr>
      <w:r w:rsidRPr="00F07EFA">
        <w:rPr>
          <w:rFonts w:eastAsia="SimSun"/>
          <w:sz w:val="21"/>
          <w:szCs w:val="21"/>
          <w:lang w:val="en-AU" w:eastAsia="en-NZ"/>
        </w:rPr>
        <w:t>the Brisbane (CSIRO) storage site, including sorting specimens on arrival and reconciling with quarantine data, entering data describing specimens received into BioDaSys, storing specimens systematically so that they can be retrieved when requested and the laboratory and storage materials needed to complete curation. Australia has provided access to their quarantine and sample storage infrastructure through CSIRO. CSIRO has committed to the in-kind contribution of maintaining space and transfer of specimens on an ongoing basis with the sorting and curation funded through Project 35b. The specific work funded under Project 35b is to:</w:t>
      </w:r>
    </w:p>
    <w:p w14:paraId="011CDCD3" w14:textId="77777777" w:rsidR="00BA3E50" w:rsidRPr="00F07EFA" w:rsidRDefault="00BA3E50" w:rsidP="00580EA4">
      <w:pPr>
        <w:numPr>
          <w:ilvl w:val="2"/>
          <w:numId w:val="103"/>
        </w:numPr>
        <w:adjustRightInd w:val="0"/>
        <w:snapToGrid w:val="0"/>
        <w:jc w:val="both"/>
        <w:rPr>
          <w:rFonts w:eastAsia="SimSun"/>
          <w:sz w:val="21"/>
          <w:szCs w:val="21"/>
          <w:lang w:val="en-AU" w:eastAsia="en-NZ"/>
        </w:rPr>
      </w:pPr>
      <w:r w:rsidRPr="00F07EFA">
        <w:rPr>
          <w:rFonts w:eastAsia="SimSun"/>
          <w:sz w:val="21"/>
          <w:szCs w:val="21"/>
          <w:lang w:val="en-AU" w:eastAsia="en-NZ"/>
        </w:rPr>
        <w:t>Sort specimens on arrival and reconcile with quarantine data</w:t>
      </w:r>
    </w:p>
    <w:p w14:paraId="4B502DB8" w14:textId="77777777" w:rsidR="00BA3E50" w:rsidRPr="00F07EFA" w:rsidRDefault="00BA3E50" w:rsidP="00580EA4">
      <w:pPr>
        <w:numPr>
          <w:ilvl w:val="2"/>
          <w:numId w:val="103"/>
        </w:numPr>
        <w:adjustRightInd w:val="0"/>
        <w:snapToGrid w:val="0"/>
        <w:jc w:val="both"/>
        <w:rPr>
          <w:rFonts w:eastAsia="SimSun"/>
          <w:sz w:val="21"/>
          <w:szCs w:val="21"/>
          <w:lang w:val="en-AU" w:eastAsia="en-NZ"/>
        </w:rPr>
      </w:pPr>
      <w:r w:rsidRPr="00F07EFA">
        <w:rPr>
          <w:rFonts w:eastAsia="SimSun"/>
          <w:sz w:val="21"/>
          <w:szCs w:val="21"/>
          <w:lang w:val="en-AU" w:eastAsia="en-NZ"/>
        </w:rPr>
        <w:t>Enter data describing specimens received into BioDaSys</w:t>
      </w:r>
    </w:p>
    <w:p w14:paraId="5DF6C5FB" w14:textId="77777777" w:rsidR="00BA3E50" w:rsidRPr="00F07EFA" w:rsidRDefault="00BA3E50" w:rsidP="00580EA4">
      <w:pPr>
        <w:numPr>
          <w:ilvl w:val="2"/>
          <w:numId w:val="103"/>
        </w:numPr>
        <w:adjustRightInd w:val="0"/>
        <w:snapToGrid w:val="0"/>
        <w:jc w:val="both"/>
        <w:rPr>
          <w:rFonts w:eastAsia="SimSun"/>
          <w:sz w:val="21"/>
          <w:szCs w:val="21"/>
          <w:lang w:val="en-AU" w:eastAsia="en-NZ"/>
        </w:rPr>
      </w:pPr>
      <w:r w:rsidRPr="00F07EFA">
        <w:rPr>
          <w:rFonts w:eastAsia="SimSun"/>
          <w:sz w:val="21"/>
          <w:szCs w:val="21"/>
          <w:lang w:val="en-AU" w:eastAsia="en-NZ"/>
        </w:rPr>
        <w:t>Store specimens systematically so that they can be retrieved when requested</w:t>
      </w:r>
    </w:p>
    <w:p w14:paraId="5F162731" w14:textId="77777777" w:rsidR="00BA3E50" w:rsidRPr="00F07EFA" w:rsidRDefault="00BA3E50" w:rsidP="00580EA4">
      <w:pPr>
        <w:numPr>
          <w:ilvl w:val="2"/>
          <w:numId w:val="103"/>
        </w:numPr>
        <w:adjustRightInd w:val="0"/>
        <w:snapToGrid w:val="0"/>
        <w:jc w:val="both"/>
        <w:rPr>
          <w:rFonts w:eastAsia="SimSun"/>
          <w:sz w:val="21"/>
          <w:szCs w:val="21"/>
          <w:lang w:val="en-AU" w:eastAsia="en-NZ"/>
        </w:rPr>
      </w:pPr>
      <w:r w:rsidRPr="00F07EFA">
        <w:rPr>
          <w:rFonts w:eastAsia="SimSun"/>
          <w:sz w:val="21"/>
          <w:szCs w:val="21"/>
          <w:lang w:val="en-AU" w:eastAsia="en-NZ"/>
        </w:rPr>
        <w:t>Laboratory and storage materials to complete curation</w:t>
      </w:r>
    </w:p>
    <w:p w14:paraId="6FEA6A0D" w14:textId="77777777" w:rsidR="00BA3E50" w:rsidRPr="00F07EFA" w:rsidRDefault="00BA3E50" w:rsidP="00580EA4">
      <w:pPr>
        <w:numPr>
          <w:ilvl w:val="0"/>
          <w:numId w:val="103"/>
        </w:numPr>
        <w:adjustRightInd w:val="0"/>
        <w:snapToGrid w:val="0"/>
        <w:jc w:val="both"/>
        <w:rPr>
          <w:rFonts w:eastAsia="SimSun"/>
          <w:sz w:val="21"/>
          <w:szCs w:val="21"/>
          <w:lang w:val="en-AU" w:eastAsia="en-NZ"/>
        </w:rPr>
      </w:pPr>
      <w:r w:rsidRPr="00F07EFA">
        <w:rPr>
          <w:rFonts w:eastAsia="SimSun"/>
          <w:sz w:val="21"/>
          <w:szCs w:val="21"/>
          <w:lang w:val="en-AU" w:eastAsia="en-NZ"/>
        </w:rPr>
        <w:t>Tissue sample utilisation and a record of outcomes/outputs will also be detailed in the relational database.</w:t>
      </w:r>
    </w:p>
    <w:p w14:paraId="0EF35A1B" w14:textId="77777777" w:rsidR="00BA3E50" w:rsidRPr="00F07EFA" w:rsidRDefault="00BA3E50" w:rsidP="00580EA4">
      <w:pPr>
        <w:numPr>
          <w:ilvl w:val="0"/>
          <w:numId w:val="103"/>
        </w:numPr>
        <w:adjustRightInd w:val="0"/>
        <w:snapToGrid w:val="0"/>
        <w:jc w:val="both"/>
        <w:rPr>
          <w:rFonts w:eastAsia="SimSun"/>
          <w:sz w:val="21"/>
          <w:szCs w:val="21"/>
          <w:lang w:val="en-AU" w:eastAsia="en-NZ"/>
        </w:rPr>
      </w:pPr>
      <w:r w:rsidRPr="00F07EFA">
        <w:rPr>
          <w:rFonts w:eastAsia="SimSun"/>
          <w:sz w:val="21"/>
          <w:szCs w:val="21"/>
          <w:lang w:val="en-AU" w:eastAsia="en-NZ"/>
        </w:rPr>
        <w:t>Subject to approval by the WCPFC Executive Director:</w:t>
      </w:r>
    </w:p>
    <w:p w14:paraId="28D46825" w14:textId="77777777" w:rsidR="00BA3E50" w:rsidRPr="00F07EFA" w:rsidRDefault="00BA3E50" w:rsidP="00580EA4">
      <w:pPr>
        <w:numPr>
          <w:ilvl w:val="1"/>
          <w:numId w:val="103"/>
        </w:numPr>
        <w:adjustRightInd w:val="0"/>
        <w:snapToGrid w:val="0"/>
        <w:jc w:val="both"/>
        <w:rPr>
          <w:rFonts w:eastAsia="SimSun"/>
          <w:sz w:val="21"/>
          <w:szCs w:val="21"/>
          <w:lang w:val="en-AU" w:eastAsia="en-NZ"/>
        </w:rPr>
      </w:pPr>
      <w:r w:rsidRPr="00F07EFA">
        <w:rPr>
          <w:rFonts w:eastAsia="SimSun"/>
          <w:sz w:val="21"/>
          <w:szCs w:val="21"/>
          <w:lang w:val="en-AU" w:eastAsia="en-NZ"/>
        </w:rPr>
        <w:t>metadata will be made available to institutions or organizations responsible for providing scientific advice in fisheries through the web-accessible component of the database, and subsequently,</w:t>
      </w:r>
    </w:p>
    <w:p w14:paraId="77AC1EF7" w14:textId="77777777" w:rsidR="00BA3E50" w:rsidRPr="00F07EFA" w:rsidRDefault="00BA3E50" w:rsidP="00580EA4">
      <w:pPr>
        <w:numPr>
          <w:ilvl w:val="1"/>
          <w:numId w:val="103"/>
        </w:numPr>
        <w:adjustRightInd w:val="0"/>
        <w:snapToGrid w:val="0"/>
        <w:jc w:val="both"/>
        <w:rPr>
          <w:rFonts w:eastAsia="SimSun"/>
          <w:sz w:val="21"/>
          <w:szCs w:val="21"/>
          <w:lang w:val="en-AU" w:eastAsia="en-NZ"/>
        </w:rPr>
      </w:pPr>
      <w:r w:rsidRPr="00F07EFA">
        <w:rPr>
          <w:rFonts w:eastAsia="SimSun"/>
          <w:sz w:val="21"/>
          <w:szCs w:val="21"/>
          <w:lang w:val="en-AU" w:eastAsia="en-NZ"/>
        </w:rPr>
        <w:t>SPC-OFP will facilitate the transmission of requested samples to specified researchers/organisations, and the return of unused and/or processed samples to the relevant storage facility.</w:t>
      </w:r>
    </w:p>
    <w:p w14:paraId="212CED88" w14:textId="77777777" w:rsidR="00BA3E50" w:rsidRPr="00F07EFA" w:rsidRDefault="00BA3E50" w:rsidP="00580EA4">
      <w:pPr>
        <w:numPr>
          <w:ilvl w:val="0"/>
          <w:numId w:val="103"/>
        </w:numPr>
        <w:adjustRightInd w:val="0"/>
        <w:snapToGrid w:val="0"/>
        <w:jc w:val="both"/>
        <w:rPr>
          <w:rFonts w:eastAsia="SimSun"/>
          <w:sz w:val="21"/>
          <w:szCs w:val="21"/>
          <w:lang w:val="en-AU" w:eastAsia="en-NZ"/>
        </w:rPr>
      </w:pPr>
      <w:r w:rsidRPr="00F07EFA">
        <w:rPr>
          <w:rFonts w:eastAsia="SimSun"/>
          <w:sz w:val="21"/>
          <w:szCs w:val="21"/>
          <w:lang w:val="en-AU" w:eastAsia="en-NZ"/>
        </w:rPr>
        <w:t>Specifically in 2019 to work with the WCPFC Secretariat to investigate and propose options to address the implications of the Nagoya protocol in the ongoing work of the tissue bank.</w:t>
      </w:r>
    </w:p>
    <w:p w14:paraId="53A1415D" w14:textId="77777777" w:rsidR="00BA3E50" w:rsidRPr="00F07EFA" w:rsidRDefault="00BA3E50" w:rsidP="00241619">
      <w:pPr>
        <w:adjustRightInd w:val="0"/>
        <w:snapToGrid w:val="0"/>
        <w:jc w:val="both"/>
        <w:rPr>
          <w:rFonts w:eastAsia="Malgun Gothic"/>
          <w:b/>
          <w:caps/>
          <w:color w:val="000000"/>
          <w:sz w:val="21"/>
          <w:szCs w:val="21"/>
          <w:lang w:eastAsia="ko-KR"/>
        </w:rPr>
      </w:pPr>
    </w:p>
    <w:tbl>
      <w:tblPr>
        <w:tblStyle w:val="TableGrid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2D050"/>
        <w:tblLook w:val="04A0" w:firstRow="1" w:lastRow="0" w:firstColumn="1" w:lastColumn="0" w:noHBand="0" w:noVBand="1"/>
      </w:tblPr>
      <w:tblGrid>
        <w:gridCol w:w="9576"/>
      </w:tblGrid>
      <w:tr w:rsidR="00BA3E50" w:rsidRPr="00F07EFA" w14:paraId="26F325CF" w14:textId="77777777" w:rsidTr="002D5D17">
        <w:tc>
          <w:tcPr>
            <w:tcW w:w="9576" w:type="dxa"/>
            <w:shd w:val="clear" w:color="auto" w:fill="92D050"/>
          </w:tcPr>
          <w:p w14:paraId="6C556725" w14:textId="77777777" w:rsidR="00BA3E50" w:rsidRPr="00F07EFA" w:rsidRDefault="00BA3E50" w:rsidP="00241619">
            <w:pPr>
              <w:adjustRightInd w:val="0"/>
              <w:snapToGrid w:val="0"/>
              <w:jc w:val="both"/>
              <w:rPr>
                <w:rFonts w:eastAsia="Malgun Gothic" w:cs="Times New Roman"/>
                <w:b/>
                <w:caps/>
                <w:sz w:val="21"/>
                <w:szCs w:val="21"/>
                <w:lang w:eastAsia="ko-KR"/>
              </w:rPr>
            </w:pPr>
            <w:r w:rsidRPr="00F07EFA">
              <w:rPr>
                <w:rFonts w:eastAsia="SimSun" w:cs="Times New Roman"/>
                <w:b/>
                <w:caps/>
                <w:sz w:val="21"/>
                <w:szCs w:val="21"/>
                <w:lang w:eastAsia="ko-KR"/>
              </w:rPr>
              <w:t xml:space="preserve">Project 42 </w:t>
            </w:r>
            <w:r w:rsidRPr="00F07EFA">
              <w:rPr>
                <w:rFonts w:eastAsia="Malgun Gothic" w:cs="Times New Roman"/>
                <w:b/>
                <w:caps/>
                <w:sz w:val="21"/>
                <w:szCs w:val="21"/>
                <w:lang w:eastAsia="ko-KR"/>
              </w:rPr>
              <w:t>(REVISED PROPOSAL)</w:t>
            </w:r>
          </w:p>
          <w:p w14:paraId="2362F8E5" w14:textId="77777777" w:rsidR="00BA3E50" w:rsidRPr="00F07EFA" w:rsidRDefault="00BA3E50" w:rsidP="00241619">
            <w:pPr>
              <w:adjustRightInd w:val="0"/>
              <w:snapToGrid w:val="0"/>
              <w:jc w:val="both"/>
              <w:rPr>
                <w:rFonts w:eastAsia="SimSun" w:cs="Times New Roman"/>
                <w:b/>
                <w:sz w:val="21"/>
                <w:szCs w:val="21"/>
                <w:lang w:eastAsia="ko-KR"/>
              </w:rPr>
            </w:pPr>
            <w:r w:rsidRPr="00F07EFA">
              <w:rPr>
                <w:rFonts w:eastAsia="SimSun" w:cs="Times New Roman"/>
                <w:b/>
                <w:sz w:val="21"/>
                <w:szCs w:val="21"/>
                <w:lang w:eastAsia="ko-KR"/>
              </w:rPr>
              <w:t>Pacific Tuna Tagging Programme (PTTP)</w:t>
            </w:r>
          </w:p>
        </w:tc>
      </w:tr>
    </w:tbl>
    <w:p w14:paraId="58FE4E04" w14:textId="77777777" w:rsidR="00BA3E50" w:rsidRPr="00F07EFA" w:rsidRDefault="00BA3E50" w:rsidP="00241619">
      <w:pPr>
        <w:adjustRightInd w:val="0"/>
        <w:snapToGrid w:val="0"/>
        <w:jc w:val="both"/>
        <w:rPr>
          <w:rFonts w:eastAsia="Batang"/>
          <w:color w:val="000000"/>
          <w:sz w:val="21"/>
          <w:szCs w:val="21"/>
          <w:lang w:eastAsia="ko-KR"/>
        </w:rPr>
      </w:pPr>
    </w:p>
    <w:tbl>
      <w:tblPr>
        <w:tblW w:w="5000" w:type="pct"/>
        <w:tblLook w:val="04A0" w:firstRow="1" w:lastRow="0" w:firstColumn="1" w:lastColumn="0" w:noHBand="0" w:noVBand="1"/>
      </w:tblPr>
      <w:tblGrid>
        <w:gridCol w:w="3035"/>
        <w:gridCol w:w="975"/>
        <w:gridCol w:w="1022"/>
        <w:gridCol w:w="1047"/>
        <w:gridCol w:w="1165"/>
        <w:gridCol w:w="1167"/>
        <w:gridCol w:w="1165"/>
      </w:tblGrid>
      <w:tr w:rsidR="00BA3E50" w:rsidRPr="00F07EFA" w14:paraId="71314E2B" w14:textId="77777777" w:rsidTr="00BA3E50">
        <w:trPr>
          <w:tblHeader/>
        </w:trPr>
        <w:tc>
          <w:tcPr>
            <w:tcW w:w="15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F03C4CC" w14:textId="77777777" w:rsidR="00BA3E50" w:rsidRPr="00F07EFA" w:rsidRDefault="00BA3E50" w:rsidP="00241619">
            <w:pPr>
              <w:adjustRightInd w:val="0"/>
              <w:snapToGrid w:val="0"/>
              <w:jc w:val="center"/>
              <w:rPr>
                <w:rFonts w:eastAsia="Malgun Gothic"/>
                <w:b/>
                <w:bCs/>
                <w:color w:val="000000"/>
                <w:sz w:val="21"/>
                <w:szCs w:val="21"/>
                <w:lang w:eastAsia="ko-KR"/>
              </w:rPr>
            </w:pPr>
            <w:r w:rsidRPr="00F07EFA">
              <w:rPr>
                <w:b/>
                <w:bCs/>
                <w:color w:val="000000"/>
                <w:sz w:val="21"/>
                <w:szCs w:val="21"/>
                <w:lang w:eastAsia="zh-CN"/>
              </w:rPr>
              <w:t>Project</w:t>
            </w:r>
            <w:r w:rsidRPr="00F07EFA">
              <w:rPr>
                <w:rFonts w:eastAsia="Malgun Gothic"/>
                <w:b/>
                <w:bCs/>
                <w:color w:val="000000"/>
                <w:sz w:val="21"/>
                <w:szCs w:val="21"/>
                <w:lang w:eastAsia="ko-KR"/>
              </w:rPr>
              <w:t xml:space="preserve"> title</w:t>
            </w:r>
          </w:p>
        </w:tc>
        <w:tc>
          <w:tcPr>
            <w:tcW w:w="50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EA19BAE" w14:textId="77777777" w:rsidR="00BA3E50" w:rsidRPr="00F07EFA" w:rsidRDefault="00BA3E50" w:rsidP="00241619">
            <w:pPr>
              <w:adjustRightInd w:val="0"/>
              <w:snapToGrid w:val="0"/>
              <w:jc w:val="center"/>
              <w:rPr>
                <w:rFonts w:eastAsia="Malgun Gothic"/>
                <w:b/>
                <w:bCs/>
                <w:color w:val="000000"/>
                <w:sz w:val="21"/>
                <w:szCs w:val="21"/>
                <w:lang w:eastAsia="ko-KR"/>
              </w:rPr>
            </w:pPr>
            <w:r w:rsidRPr="00F07EFA">
              <w:rPr>
                <w:rFonts w:eastAsia="Malgun Gothic"/>
                <w:b/>
                <w:bCs/>
                <w:color w:val="000000"/>
                <w:sz w:val="21"/>
                <w:szCs w:val="21"/>
                <w:lang w:eastAsia="ko-KR"/>
              </w:rPr>
              <w:t>TORs</w:t>
            </w:r>
          </w:p>
        </w:tc>
        <w:tc>
          <w:tcPr>
            <w:tcW w:w="52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8DE2652" w14:textId="77777777" w:rsidR="00BA3E50" w:rsidRPr="00F07EFA" w:rsidRDefault="00BA3E50" w:rsidP="00241619">
            <w:pPr>
              <w:adjustRightInd w:val="0"/>
              <w:snapToGrid w:val="0"/>
              <w:jc w:val="center"/>
              <w:rPr>
                <w:rFonts w:eastAsia="Malgun Gothic"/>
                <w:b/>
                <w:bCs/>
                <w:color w:val="000000"/>
                <w:sz w:val="21"/>
                <w:szCs w:val="21"/>
                <w:lang w:eastAsia="ko-KR"/>
              </w:rPr>
            </w:pPr>
            <w:r w:rsidRPr="00F07EFA">
              <w:rPr>
                <w:rFonts w:eastAsia="Malgun Gothic"/>
                <w:b/>
                <w:bCs/>
                <w:color w:val="000000"/>
                <w:sz w:val="21"/>
                <w:szCs w:val="21"/>
                <w:lang w:eastAsia="ko-KR"/>
              </w:rPr>
              <w:t>Essential</w:t>
            </w:r>
          </w:p>
        </w:tc>
        <w:tc>
          <w:tcPr>
            <w:tcW w:w="5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70F5E6" w14:textId="77777777" w:rsidR="00BA3E50" w:rsidRPr="00F07EFA" w:rsidRDefault="00BA3E50" w:rsidP="00241619">
            <w:pPr>
              <w:adjustRightInd w:val="0"/>
              <w:snapToGrid w:val="0"/>
              <w:jc w:val="center"/>
              <w:rPr>
                <w:b/>
                <w:bCs/>
                <w:color w:val="000000"/>
                <w:sz w:val="21"/>
                <w:szCs w:val="21"/>
                <w:lang w:eastAsia="zh-CN"/>
              </w:rPr>
            </w:pPr>
            <w:r w:rsidRPr="00F07EFA">
              <w:rPr>
                <w:b/>
                <w:bCs/>
                <w:color w:val="000000"/>
                <w:sz w:val="21"/>
                <w:szCs w:val="21"/>
                <w:lang w:eastAsia="zh-CN"/>
              </w:rPr>
              <w:t>P</w:t>
            </w:r>
            <w:r w:rsidRPr="00F07EFA">
              <w:rPr>
                <w:rFonts w:eastAsia="Malgun Gothic"/>
                <w:b/>
                <w:bCs/>
                <w:color w:val="000000"/>
                <w:sz w:val="21"/>
                <w:szCs w:val="21"/>
                <w:lang w:eastAsia="ko-KR"/>
              </w:rPr>
              <w:t>riority / Rank</w:t>
            </w:r>
          </w:p>
        </w:tc>
        <w:tc>
          <w:tcPr>
            <w:tcW w:w="611"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9657CA" w14:textId="77777777" w:rsidR="00BA3E50" w:rsidRPr="00F07EFA" w:rsidRDefault="00BA3E50" w:rsidP="00241619">
            <w:pPr>
              <w:adjustRightInd w:val="0"/>
              <w:snapToGrid w:val="0"/>
              <w:jc w:val="center"/>
              <w:rPr>
                <w:b/>
                <w:bCs/>
                <w:color w:val="000000"/>
                <w:sz w:val="21"/>
                <w:szCs w:val="21"/>
                <w:lang w:eastAsia="zh-CN"/>
              </w:rPr>
            </w:pPr>
            <w:r w:rsidRPr="00F07EFA">
              <w:rPr>
                <w:b/>
                <w:bCs/>
                <w:color w:val="000000"/>
                <w:sz w:val="21"/>
                <w:szCs w:val="21"/>
                <w:lang w:eastAsia="zh-CN"/>
              </w:rPr>
              <w:t>2019</w:t>
            </w:r>
          </w:p>
        </w:tc>
        <w:tc>
          <w:tcPr>
            <w:tcW w:w="61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FB2B50E" w14:textId="77777777" w:rsidR="00BA3E50" w:rsidRPr="00F07EFA" w:rsidRDefault="00BA3E50" w:rsidP="00241619">
            <w:pPr>
              <w:adjustRightInd w:val="0"/>
              <w:snapToGrid w:val="0"/>
              <w:jc w:val="center"/>
              <w:rPr>
                <w:rFonts w:eastAsia="Malgun Gothic"/>
                <w:b/>
                <w:bCs/>
                <w:color w:val="000000"/>
                <w:sz w:val="21"/>
                <w:szCs w:val="21"/>
                <w:lang w:eastAsia="ko-KR"/>
              </w:rPr>
            </w:pPr>
            <w:r w:rsidRPr="00F07EFA">
              <w:rPr>
                <w:rFonts w:eastAsia="Malgun Gothic"/>
                <w:b/>
                <w:bCs/>
                <w:color w:val="000000"/>
                <w:sz w:val="21"/>
                <w:szCs w:val="21"/>
                <w:lang w:eastAsia="ko-KR"/>
              </w:rPr>
              <w:t>2020</w:t>
            </w:r>
          </w:p>
        </w:tc>
        <w:tc>
          <w:tcPr>
            <w:tcW w:w="61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D8974D" w14:textId="77777777" w:rsidR="00BA3E50" w:rsidRPr="00F07EFA" w:rsidRDefault="00BA3E50" w:rsidP="00241619">
            <w:pPr>
              <w:adjustRightInd w:val="0"/>
              <w:snapToGrid w:val="0"/>
              <w:jc w:val="center"/>
              <w:rPr>
                <w:rFonts w:eastAsia="Malgun Gothic"/>
                <w:b/>
                <w:bCs/>
                <w:color w:val="000000"/>
                <w:sz w:val="21"/>
                <w:szCs w:val="21"/>
                <w:lang w:eastAsia="ko-KR"/>
              </w:rPr>
            </w:pPr>
            <w:r w:rsidRPr="00F07EFA">
              <w:rPr>
                <w:rFonts w:eastAsia="Malgun Gothic"/>
                <w:b/>
                <w:bCs/>
                <w:color w:val="000000"/>
                <w:sz w:val="21"/>
                <w:szCs w:val="21"/>
                <w:lang w:eastAsia="ko-KR"/>
              </w:rPr>
              <w:t>2021</w:t>
            </w:r>
          </w:p>
        </w:tc>
      </w:tr>
      <w:tr w:rsidR="00BA3E50" w:rsidRPr="00F07EFA" w14:paraId="00738A15" w14:textId="77777777" w:rsidTr="002D5D17">
        <w:tc>
          <w:tcPr>
            <w:tcW w:w="1588" w:type="pct"/>
            <w:tcBorders>
              <w:top w:val="single" w:sz="4" w:space="0" w:color="auto"/>
              <w:left w:val="single" w:sz="4" w:space="0" w:color="auto"/>
              <w:bottom w:val="single" w:sz="4" w:space="0" w:color="auto"/>
              <w:right w:val="single" w:sz="4" w:space="0" w:color="auto"/>
            </w:tcBorders>
            <w:vAlign w:val="center"/>
            <w:hideMark/>
          </w:tcPr>
          <w:p w14:paraId="0B90C8BA" w14:textId="77777777" w:rsidR="00BA3E50" w:rsidRPr="00F07EFA" w:rsidRDefault="00BA3E50" w:rsidP="00241619">
            <w:pPr>
              <w:adjustRightInd w:val="0"/>
              <w:snapToGrid w:val="0"/>
              <w:rPr>
                <w:rFonts w:eastAsia="Malgun Gothic"/>
                <w:b/>
                <w:color w:val="000000"/>
                <w:sz w:val="21"/>
                <w:szCs w:val="21"/>
                <w:lang w:eastAsia="ko-KR"/>
              </w:rPr>
            </w:pPr>
            <w:r w:rsidRPr="00F07EFA">
              <w:rPr>
                <w:rFonts w:eastAsia="Batang"/>
                <w:b/>
                <w:color w:val="000000"/>
                <w:sz w:val="21"/>
                <w:szCs w:val="21"/>
                <w:lang w:eastAsia="ko-KR"/>
              </w:rPr>
              <w:t>Project 42 Pacific Tuna Tagging Program (PTTP)</w:t>
            </w:r>
          </w:p>
          <w:p w14:paraId="4C7139D9" w14:textId="77777777" w:rsidR="00BA3E50" w:rsidRPr="00F07EFA" w:rsidRDefault="00BA3E50" w:rsidP="00241619">
            <w:pPr>
              <w:adjustRightInd w:val="0"/>
              <w:snapToGrid w:val="0"/>
              <w:rPr>
                <w:rFonts w:eastAsia="Malgun Gothic"/>
                <w:color w:val="000000"/>
                <w:sz w:val="21"/>
                <w:szCs w:val="21"/>
                <w:lang w:eastAsia="ko-KR"/>
              </w:rPr>
            </w:pPr>
          </w:p>
          <w:p w14:paraId="2EC50F1A" w14:textId="77777777" w:rsidR="00BA3E50" w:rsidRPr="00F07EFA" w:rsidRDefault="00BA3E50" w:rsidP="00241619">
            <w:pPr>
              <w:adjustRightInd w:val="0"/>
              <w:snapToGrid w:val="0"/>
              <w:rPr>
                <w:rFonts w:eastAsia="Malgun Gothic"/>
                <w:color w:val="000000"/>
                <w:sz w:val="21"/>
                <w:szCs w:val="21"/>
                <w:lang w:eastAsia="ko-KR"/>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58E1270B" w14:textId="77777777" w:rsidR="00BA3E50" w:rsidRPr="00F07EFA" w:rsidRDefault="00BA3E50" w:rsidP="00241619">
            <w:pPr>
              <w:adjustRightInd w:val="0"/>
              <w:snapToGrid w:val="0"/>
              <w:jc w:val="center"/>
              <w:rPr>
                <w:rFonts w:eastAsia="Malgun Gothic"/>
                <w:color w:val="000000"/>
                <w:sz w:val="21"/>
                <w:szCs w:val="21"/>
                <w:lang w:eastAsia="ko-KR"/>
              </w:rPr>
            </w:pPr>
            <w:r w:rsidRPr="00F07EFA">
              <w:rPr>
                <w:rFonts w:eastAsia="Malgun Gothic"/>
                <w:color w:val="000000"/>
                <w:sz w:val="21"/>
                <w:szCs w:val="21"/>
                <w:lang w:eastAsia="ko-KR"/>
              </w:rPr>
              <w:t>Annexed</w:t>
            </w:r>
          </w:p>
        </w:tc>
        <w:tc>
          <w:tcPr>
            <w:tcW w:w="526" w:type="pct"/>
            <w:tcBorders>
              <w:top w:val="single" w:sz="4" w:space="0" w:color="auto"/>
              <w:left w:val="single" w:sz="4" w:space="0" w:color="auto"/>
              <w:bottom w:val="single" w:sz="4" w:space="0" w:color="auto"/>
              <w:right w:val="single" w:sz="4" w:space="0" w:color="auto"/>
            </w:tcBorders>
            <w:vAlign w:val="center"/>
            <w:hideMark/>
          </w:tcPr>
          <w:p w14:paraId="50A3BF97" w14:textId="77777777" w:rsidR="00BA3E50" w:rsidRPr="00F07EFA" w:rsidRDefault="00BA3E50" w:rsidP="00241619">
            <w:pPr>
              <w:adjustRightInd w:val="0"/>
              <w:snapToGrid w:val="0"/>
              <w:jc w:val="center"/>
              <w:rPr>
                <w:color w:val="000000"/>
                <w:sz w:val="21"/>
                <w:szCs w:val="21"/>
                <w:lang w:eastAsia="zh-CN"/>
              </w:rPr>
            </w:pPr>
            <w:r w:rsidRPr="00F07EFA">
              <w:rPr>
                <w:color w:val="000000"/>
                <w:sz w:val="21"/>
                <w:szCs w:val="21"/>
                <w:lang w:eastAsia="zh-CN"/>
              </w:rPr>
              <w:t>Yes</w:t>
            </w:r>
          </w:p>
        </w:tc>
        <w:tc>
          <w:tcPr>
            <w:tcW w:w="550" w:type="pct"/>
            <w:tcBorders>
              <w:top w:val="single" w:sz="4" w:space="0" w:color="auto"/>
              <w:left w:val="single" w:sz="4" w:space="0" w:color="auto"/>
              <w:bottom w:val="single" w:sz="4" w:space="0" w:color="auto"/>
              <w:right w:val="single" w:sz="4" w:space="0" w:color="auto"/>
            </w:tcBorders>
            <w:vAlign w:val="center"/>
            <w:hideMark/>
          </w:tcPr>
          <w:p w14:paraId="34F9E197" w14:textId="77777777" w:rsidR="00BA3E50" w:rsidRPr="00F07EFA" w:rsidRDefault="00BA3E50" w:rsidP="00241619">
            <w:pPr>
              <w:adjustRightInd w:val="0"/>
              <w:snapToGrid w:val="0"/>
              <w:jc w:val="center"/>
              <w:rPr>
                <w:rFonts w:eastAsia="Malgun Gothic"/>
                <w:color w:val="000000"/>
                <w:sz w:val="21"/>
                <w:szCs w:val="21"/>
                <w:lang w:eastAsia="ko-KR"/>
              </w:rPr>
            </w:pPr>
            <w:r w:rsidRPr="00F07EFA">
              <w:rPr>
                <w:color w:val="000000"/>
                <w:sz w:val="21"/>
                <w:szCs w:val="21"/>
                <w:lang w:eastAsia="zh-CN"/>
              </w:rPr>
              <w:t>High</w:t>
            </w:r>
          </w:p>
        </w:tc>
        <w:tc>
          <w:tcPr>
            <w:tcW w:w="611" w:type="pct"/>
            <w:tcBorders>
              <w:top w:val="single" w:sz="4" w:space="0" w:color="auto"/>
              <w:left w:val="single" w:sz="4" w:space="0" w:color="auto"/>
              <w:bottom w:val="single" w:sz="4" w:space="0" w:color="auto"/>
              <w:right w:val="single" w:sz="4" w:space="0" w:color="auto"/>
            </w:tcBorders>
            <w:noWrap/>
            <w:vAlign w:val="center"/>
          </w:tcPr>
          <w:p w14:paraId="7150409C" w14:textId="77777777" w:rsidR="00BA3E50" w:rsidRPr="00F07EFA" w:rsidRDefault="00BA3E50" w:rsidP="00241619">
            <w:pPr>
              <w:adjustRightInd w:val="0"/>
              <w:snapToGrid w:val="0"/>
              <w:jc w:val="right"/>
              <w:rPr>
                <w:rFonts w:eastAsia="Batang"/>
                <w:color w:val="000000"/>
                <w:sz w:val="21"/>
                <w:szCs w:val="21"/>
                <w:lang w:eastAsia="zh-CN"/>
              </w:rPr>
            </w:pPr>
            <w:r w:rsidRPr="00F07EFA">
              <w:rPr>
                <w:rFonts w:eastAsia="Batang"/>
                <w:color w:val="000000"/>
                <w:sz w:val="21"/>
                <w:szCs w:val="21"/>
                <w:lang w:eastAsia="zh-CN"/>
              </w:rPr>
              <w:t>730,000</w:t>
            </w:r>
          </w:p>
        </w:tc>
        <w:tc>
          <w:tcPr>
            <w:tcW w:w="612" w:type="pct"/>
            <w:tcBorders>
              <w:top w:val="single" w:sz="4" w:space="0" w:color="auto"/>
              <w:left w:val="single" w:sz="4" w:space="0" w:color="auto"/>
              <w:bottom w:val="single" w:sz="4" w:space="0" w:color="auto"/>
              <w:right w:val="single" w:sz="4" w:space="0" w:color="auto"/>
            </w:tcBorders>
            <w:vAlign w:val="center"/>
          </w:tcPr>
          <w:p w14:paraId="2ECB89F3" w14:textId="77777777" w:rsidR="00BA3E50" w:rsidRPr="00F07EFA" w:rsidRDefault="00BA3E50" w:rsidP="00241619">
            <w:pPr>
              <w:adjustRightInd w:val="0"/>
              <w:snapToGrid w:val="0"/>
              <w:jc w:val="right"/>
              <w:rPr>
                <w:rFonts w:eastAsia="Batang"/>
                <w:color w:val="000000"/>
                <w:sz w:val="21"/>
                <w:szCs w:val="21"/>
                <w:lang w:eastAsia="zh-CN"/>
              </w:rPr>
            </w:pPr>
            <w:r w:rsidRPr="00F07EFA">
              <w:rPr>
                <w:rFonts w:eastAsia="Batang"/>
                <w:color w:val="000000"/>
                <w:sz w:val="21"/>
                <w:szCs w:val="21"/>
                <w:lang w:eastAsia="zh-CN"/>
              </w:rPr>
              <w:t>730,000</w:t>
            </w:r>
          </w:p>
        </w:tc>
        <w:tc>
          <w:tcPr>
            <w:tcW w:w="611" w:type="pct"/>
            <w:tcBorders>
              <w:top w:val="single" w:sz="4" w:space="0" w:color="auto"/>
              <w:left w:val="single" w:sz="4" w:space="0" w:color="auto"/>
              <w:bottom w:val="single" w:sz="4" w:space="0" w:color="auto"/>
              <w:right w:val="single" w:sz="4" w:space="0" w:color="auto"/>
            </w:tcBorders>
            <w:vAlign w:val="center"/>
          </w:tcPr>
          <w:p w14:paraId="5177EAB2" w14:textId="77777777" w:rsidR="00BA3E50" w:rsidRPr="00F07EFA" w:rsidRDefault="00BA3E50" w:rsidP="00241619">
            <w:pPr>
              <w:adjustRightInd w:val="0"/>
              <w:snapToGrid w:val="0"/>
              <w:jc w:val="right"/>
              <w:rPr>
                <w:rFonts w:eastAsia="Batang"/>
                <w:color w:val="000000"/>
                <w:sz w:val="21"/>
                <w:szCs w:val="21"/>
                <w:lang w:eastAsia="zh-CN"/>
              </w:rPr>
            </w:pPr>
            <w:r w:rsidRPr="00F07EFA">
              <w:rPr>
                <w:rFonts w:eastAsia="Batang"/>
                <w:color w:val="000000"/>
                <w:sz w:val="21"/>
                <w:szCs w:val="21"/>
                <w:lang w:eastAsia="zh-CN"/>
              </w:rPr>
              <w:t>730,000</w:t>
            </w:r>
          </w:p>
        </w:tc>
      </w:tr>
      <w:tr w:rsidR="00BA3E50" w:rsidRPr="00F07EFA" w14:paraId="72B2F6C5" w14:textId="77777777" w:rsidTr="002D5D17">
        <w:tc>
          <w:tcPr>
            <w:tcW w:w="1588" w:type="pct"/>
            <w:tcBorders>
              <w:top w:val="single" w:sz="4" w:space="0" w:color="auto"/>
              <w:left w:val="single" w:sz="4" w:space="0" w:color="auto"/>
              <w:bottom w:val="single" w:sz="4" w:space="0" w:color="auto"/>
              <w:right w:val="single" w:sz="4" w:space="0" w:color="auto"/>
            </w:tcBorders>
            <w:vAlign w:val="center"/>
          </w:tcPr>
          <w:p w14:paraId="6B84EBD1" w14:textId="77777777" w:rsidR="00BA3E50" w:rsidRPr="00F07EFA" w:rsidRDefault="00BA3E50" w:rsidP="00241619">
            <w:pPr>
              <w:adjustRightInd w:val="0"/>
              <w:snapToGrid w:val="0"/>
              <w:rPr>
                <w:rFonts w:eastAsia="Batang"/>
                <w:b/>
                <w:color w:val="000000"/>
                <w:sz w:val="21"/>
                <w:szCs w:val="21"/>
                <w:lang w:eastAsia="ko-KR"/>
              </w:rPr>
            </w:pPr>
            <w:r w:rsidRPr="00F07EFA">
              <w:rPr>
                <w:rFonts w:eastAsia="Malgun Gothic"/>
                <w:color w:val="000000"/>
                <w:sz w:val="21"/>
                <w:szCs w:val="21"/>
                <w:lang w:eastAsia="ko-KR"/>
              </w:rPr>
              <w:t>Budget with $170,000 p.a. from Republic of Korea (2019-2023) and PTTP personal costs and some publication costs from SPC</w:t>
            </w:r>
          </w:p>
        </w:tc>
        <w:tc>
          <w:tcPr>
            <w:tcW w:w="502" w:type="pct"/>
            <w:tcBorders>
              <w:top w:val="single" w:sz="4" w:space="0" w:color="auto"/>
              <w:left w:val="single" w:sz="4" w:space="0" w:color="auto"/>
              <w:bottom w:val="single" w:sz="4" w:space="0" w:color="auto"/>
              <w:right w:val="single" w:sz="4" w:space="0" w:color="auto"/>
            </w:tcBorders>
            <w:vAlign w:val="center"/>
          </w:tcPr>
          <w:p w14:paraId="6557A6DD" w14:textId="77777777" w:rsidR="00BA3E50" w:rsidRPr="00F07EFA" w:rsidRDefault="00BA3E50" w:rsidP="00241619">
            <w:pPr>
              <w:adjustRightInd w:val="0"/>
              <w:snapToGrid w:val="0"/>
              <w:jc w:val="center"/>
              <w:rPr>
                <w:rFonts w:eastAsia="Malgun Gothic"/>
                <w:color w:val="000000"/>
                <w:sz w:val="21"/>
                <w:szCs w:val="21"/>
                <w:lang w:eastAsia="ko-KR"/>
              </w:rPr>
            </w:pPr>
          </w:p>
        </w:tc>
        <w:tc>
          <w:tcPr>
            <w:tcW w:w="526" w:type="pct"/>
            <w:tcBorders>
              <w:top w:val="single" w:sz="4" w:space="0" w:color="auto"/>
              <w:left w:val="single" w:sz="4" w:space="0" w:color="auto"/>
              <w:bottom w:val="single" w:sz="4" w:space="0" w:color="auto"/>
              <w:right w:val="single" w:sz="4" w:space="0" w:color="auto"/>
            </w:tcBorders>
            <w:vAlign w:val="center"/>
          </w:tcPr>
          <w:p w14:paraId="6EA94DEA" w14:textId="77777777" w:rsidR="00BA3E50" w:rsidRPr="00F07EFA" w:rsidRDefault="00BA3E50" w:rsidP="00241619">
            <w:pPr>
              <w:adjustRightInd w:val="0"/>
              <w:snapToGrid w:val="0"/>
              <w:jc w:val="center"/>
              <w:rPr>
                <w:color w:val="000000"/>
                <w:sz w:val="21"/>
                <w:szCs w:val="21"/>
                <w:lang w:eastAsia="zh-CN"/>
              </w:rPr>
            </w:pPr>
          </w:p>
        </w:tc>
        <w:tc>
          <w:tcPr>
            <w:tcW w:w="550" w:type="pct"/>
            <w:tcBorders>
              <w:top w:val="single" w:sz="4" w:space="0" w:color="auto"/>
              <w:left w:val="single" w:sz="4" w:space="0" w:color="auto"/>
              <w:bottom w:val="single" w:sz="4" w:space="0" w:color="auto"/>
              <w:right w:val="single" w:sz="4" w:space="0" w:color="auto"/>
            </w:tcBorders>
            <w:vAlign w:val="center"/>
          </w:tcPr>
          <w:p w14:paraId="701EFDD8" w14:textId="77777777" w:rsidR="00BA3E50" w:rsidRPr="00F07EFA" w:rsidRDefault="00BA3E50" w:rsidP="00241619">
            <w:pPr>
              <w:adjustRightInd w:val="0"/>
              <w:snapToGrid w:val="0"/>
              <w:jc w:val="center"/>
              <w:rPr>
                <w:color w:val="000000"/>
                <w:sz w:val="21"/>
                <w:szCs w:val="21"/>
                <w:lang w:eastAsia="zh-CN"/>
              </w:rPr>
            </w:pPr>
          </w:p>
        </w:tc>
        <w:tc>
          <w:tcPr>
            <w:tcW w:w="611" w:type="pct"/>
            <w:tcBorders>
              <w:top w:val="single" w:sz="4" w:space="0" w:color="auto"/>
              <w:left w:val="single" w:sz="4" w:space="0" w:color="auto"/>
              <w:bottom w:val="single" w:sz="4" w:space="0" w:color="auto"/>
              <w:right w:val="single" w:sz="4" w:space="0" w:color="auto"/>
            </w:tcBorders>
            <w:noWrap/>
            <w:vAlign w:val="center"/>
          </w:tcPr>
          <w:p w14:paraId="6FFD40C6" w14:textId="77777777" w:rsidR="00BA3E50" w:rsidRPr="00F07EFA" w:rsidRDefault="00BA3E50" w:rsidP="00241619">
            <w:pPr>
              <w:pBdr>
                <w:bottom w:val="sing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730,000</w:t>
            </w:r>
          </w:p>
          <w:p w14:paraId="61AAEF21" w14:textId="77777777" w:rsidR="00BA3E50" w:rsidRPr="00F07EFA" w:rsidRDefault="00BA3E50" w:rsidP="00241619">
            <w:pPr>
              <w:pBdr>
                <w:bottom w:val="doub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170,000</w:t>
            </w:r>
          </w:p>
          <w:p w14:paraId="75A4A0EC" w14:textId="77777777" w:rsidR="00BA3E50" w:rsidRPr="00F07EFA" w:rsidRDefault="00BA3E50" w:rsidP="00241619">
            <w:pPr>
              <w:pBdr>
                <w:bottom w:val="doub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285,000</w:t>
            </w:r>
          </w:p>
          <w:p w14:paraId="47BE7911" w14:textId="77777777" w:rsidR="00BA3E50" w:rsidRPr="00F07EFA" w:rsidRDefault="00BA3E50" w:rsidP="00241619">
            <w:pPr>
              <w:pBdr>
                <w:bottom w:val="sing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1,185,000</w:t>
            </w:r>
          </w:p>
        </w:tc>
        <w:tc>
          <w:tcPr>
            <w:tcW w:w="612" w:type="pct"/>
            <w:tcBorders>
              <w:top w:val="single" w:sz="4" w:space="0" w:color="auto"/>
              <w:left w:val="single" w:sz="4" w:space="0" w:color="auto"/>
              <w:bottom w:val="single" w:sz="4" w:space="0" w:color="auto"/>
              <w:right w:val="single" w:sz="4" w:space="0" w:color="auto"/>
            </w:tcBorders>
            <w:vAlign w:val="center"/>
          </w:tcPr>
          <w:p w14:paraId="71375A6A" w14:textId="77777777" w:rsidR="00BA3E50" w:rsidRPr="00F07EFA" w:rsidRDefault="00BA3E50" w:rsidP="00241619">
            <w:pPr>
              <w:pBdr>
                <w:bottom w:val="sing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730,000</w:t>
            </w:r>
          </w:p>
          <w:p w14:paraId="73947B28" w14:textId="77777777" w:rsidR="00BA3E50" w:rsidRPr="00F07EFA" w:rsidRDefault="00BA3E50" w:rsidP="00241619">
            <w:pPr>
              <w:pBdr>
                <w:bottom w:val="doub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170,000</w:t>
            </w:r>
          </w:p>
          <w:p w14:paraId="2245A80B" w14:textId="77777777" w:rsidR="00BA3E50" w:rsidRPr="00F07EFA" w:rsidRDefault="00BA3E50" w:rsidP="00241619">
            <w:pPr>
              <w:pBdr>
                <w:bottom w:val="doub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285,000</w:t>
            </w:r>
          </w:p>
          <w:p w14:paraId="654C60DF" w14:textId="77777777" w:rsidR="00BA3E50" w:rsidRPr="00F07EFA" w:rsidRDefault="00BA3E50" w:rsidP="00241619">
            <w:pPr>
              <w:pBdr>
                <w:bottom w:val="sing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1,185,000</w:t>
            </w:r>
          </w:p>
        </w:tc>
        <w:tc>
          <w:tcPr>
            <w:tcW w:w="611" w:type="pct"/>
            <w:tcBorders>
              <w:top w:val="single" w:sz="4" w:space="0" w:color="auto"/>
              <w:left w:val="single" w:sz="4" w:space="0" w:color="auto"/>
              <w:bottom w:val="single" w:sz="4" w:space="0" w:color="auto"/>
              <w:right w:val="single" w:sz="4" w:space="0" w:color="auto"/>
            </w:tcBorders>
            <w:vAlign w:val="center"/>
          </w:tcPr>
          <w:p w14:paraId="3E2D31AA" w14:textId="77777777" w:rsidR="00BA3E50" w:rsidRPr="00F07EFA" w:rsidRDefault="00BA3E50" w:rsidP="00241619">
            <w:pPr>
              <w:pBdr>
                <w:bottom w:val="sing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730,000</w:t>
            </w:r>
          </w:p>
          <w:p w14:paraId="66D71AC0" w14:textId="77777777" w:rsidR="00BA3E50" w:rsidRPr="00F07EFA" w:rsidRDefault="00BA3E50" w:rsidP="00241619">
            <w:pPr>
              <w:pBdr>
                <w:bottom w:val="doub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170,000</w:t>
            </w:r>
          </w:p>
          <w:p w14:paraId="652A2957" w14:textId="77777777" w:rsidR="00BA3E50" w:rsidRPr="00F07EFA" w:rsidRDefault="00BA3E50" w:rsidP="00241619">
            <w:pPr>
              <w:pBdr>
                <w:bottom w:val="doub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285,000</w:t>
            </w:r>
          </w:p>
          <w:p w14:paraId="1D80D689" w14:textId="77777777" w:rsidR="00BA3E50" w:rsidRPr="00F07EFA" w:rsidRDefault="00BA3E50" w:rsidP="00241619">
            <w:pPr>
              <w:pBdr>
                <w:bottom w:val="sing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1,185,000</w:t>
            </w:r>
          </w:p>
        </w:tc>
      </w:tr>
    </w:tbl>
    <w:p w14:paraId="56B1DBD3" w14:textId="77777777" w:rsidR="00BA3E50" w:rsidRPr="00F07EFA" w:rsidRDefault="00BA3E50" w:rsidP="00241619">
      <w:pPr>
        <w:adjustRightInd w:val="0"/>
        <w:snapToGrid w:val="0"/>
        <w:jc w:val="both"/>
        <w:rPr>
          <w:rFonts w:eastAsia="Batang"/>
          <w:color w:val="000000"/>
          <w:sz w:val="21"/>
          <w:szCs w:val="21"/>
          <w:lang w:eastAsia="ko-KR"/>
        </w:rPr>
      </w:pPr>
    </w:p>
    <w:p w14:paraId="004B1C07" w14:textId="77777777" w:rsidR="00BA3E50" w:rsidRPr="00F07EFA" w:rsidRDefault="00BA3E50" w:rsidP="00241619">
      <w:pPr>
        <w:adjustRightInd w:val="0"/>
        <w:snapToGrid w:val="0"/>
        <w:rPr>
          <w:rFonts w:eastAsia="MS Mincho"/>
          <w:color w:val="000000"/>
          <w:sz w:val="21"/>
          <w:szCs w:val="21"/>
          <w:lang w:eastAsia="ja-JP"/>
        </w:rPr>
      </w:pPr>
      <w:r w:rsidRPr="00F07EFA">
        <w:rPr>
          <w:rFonts w:eastAsia="MS Mincho"/>
          <w:color w:val="000000"/>
          <w:sz w:val="21"/>
          <w:szCs w:val="21"/>
          <w:lang w:eastAsia="ja-JP"/>
        </w:rPr>
        <w:t xml:space="preserve">It has been highlighted in SC12-SA-WP-04, SC12-MI-WP-05 and SC12-RP-PTTP-01 that regular tagging is required to support stock assessment and harvest strategy implementation for tropical tuna. SC12-RP-PTTP-01 proposed that skipjack and yellowfin focused tagging using pole-and-line fishing and bigeye tagging using handline fishing be conducted in alternate years. WCPFC 13 agreed to this approach and included a budget for 2017 and an indicative budget for out-years in its 2017 budget. SC13-RP-PTTP-01 and SC-13-RP-PTTP-02 highlighted implementation of that approach.  SC14-RP-PTTP-01 and SC-14-RP-PTTP-02 highlight further implementation of this </w:t>
      </w:r>
      <w:r w:rsidR="009C4A76" w:rsidRPr="00F07EFA">
        <w:rPr>
          <w:rFonts w:eastAsia="MS Mincho"/>
          <w:color w:val="000000"/>
          <w:sz w:val="21"/>
          <w:szCs w:val="21"/>
          <w:lang w:eastAsia="ja-JP"/>
        </w:rPr>
        <w:t>approach</w:t>
      </w:r>
      <w:r w:rsidRPr="00F07EFA">
        <w:rPr>
          <w:rFonts w:eastAsia="MS Mincho"/>
          <w:color w:val="000000"/>
          <w:sz w:val="21"/>
          <w:szCs w:val="21"/>
          <w:lang w:eastAsia="ja-JP"/>
        </w:rPr>
        <w:t xml:space="preserve"> and this project will support continuation in the medium term. Under this plan, a SKJ+YFT (PL) research voyage will occur in 2019 and 2021, and a BET (HL) research voyage will occur in 2020 and 2022.</w:t>
      </w:r>
    </w:p>
    <w:p w14:paraId="5C7EDB02" w14:textId="77777777" w:rsidR="00BA3E50" w:rsidRPr="00F07EFA" w:rsidRDefault="00BA3E50" w:rsidP="00241619">
      <w:pPr>
        <w:adjustRightInd w:val="0"/>
        <w:snapToGrid w:val="0"/>
        <w:rPr>
          <w:rFonts w:eastAsia="MS Mincho"/>
          <w:color w:val="000000"/>
          <w:sz w:val="21"/>
          <w:szCs w:val="21"/>
          <w:lang w:eastAsia="ja-JP"/>
        </w:rPr>
      </w:pPr>
    </w:p>
    <w:p w14:paraId="09A4CADA" w14:textId="77777777" w:rsidR="00BA3E50" w:rsidRPr="00F07EFA" w:rsidRDefault="00BA3E50" w:rsidP="00241619">
      <w:pPr>
        <w:adjustRightInd w:val="0"/>
        <w:snapToGrid w:val="0"/>
        <w:rPr>
          <w:rFonts w:eastAsia="Malgun Gothic"/>
          <w:color w:val="000000"/>
          <w:sz w:val="21"/>
          <w:szCs w:val="21"/>
          <w:lang w:eastAsia="ko-KR"/>
        </w:rPr>
      </w:pPr>
      <w:r w:rsidRPr="00F07EFA">
        <w:rPr>
          <w:rFonts w:eastAsia="MS Mincho"/>
          <w:color w:val="000000"/>
          <w:sz w:val="21"/>
          <w:szCs w:val="21"/>
          <w:lang w:eastAsia="ja-JP"/>
        </w:rPr>
        <w:t>The following funding support</w:t>
      </w:r>
      <w:r w:rsidRPr="00F07EFA">
        <w:rPr>
          <w:rFonts w:eastAsia="MS Mincho"/>
          <w:color w:val="000000"/>
          <w:sz w:val="21"/>
          <w:szCs w:val="21"/>
          <w:vertAlign w:val="superscript"/>
          <w:lang w:eastAsia="ja-JP"/>
        </w:rPr>
        <w:footnoteReference w:id="14"/>
      </w:r>
      <w:r w:rsidRPr="00F07EFA">
        <w:rPr>
          <w:rFonts w:eastAsia="MS Mincho"/>
          <w:color w:val="000000"/>
          <w:sz w:val="21"/>
          <w:szCs w:val="21"/>
          <w:lang w:eastAsia="ja-JP"/>
        </w:rPr>
        <w:t xml:space="preserve"> is required to implement this work on an ongoing basis, which would target the release of 25,000 skipjack tuna and 5,000 yellowfin tuna in each pole-and-line (PL) two-month voyage, and 2,000 bigeye tuna in each handline (HL) five-week voyage (with 100 archivally tagged). The two budget columns below refer to the alternating years targeting SKJ/YFT and BET:</w:t>
      </w:r>
    </w:p>
    <w:p w14:paraId="1206B702" w14:textId="77777777" w:rsidR="00BA3E50" w:rsidRPr="00F07EFA" w:rsidRDefault="00BA3E50" w:rsidP="00241619">
      <w:pPr>
        <w:adjustRightInd w:val="0"/>
        <w:snapToGrid w:val="0"/>
        <w:rPr>
          <w:rFonts w:eastAsia="Malgun Gothic"/>
          <w:color w:val="000000"/>
          <w:sz w:val="21"/>
          <w:szCs w:val="21"/>
          <w:lang w:eastAsia="ko-KR"/>
        </w:rPr>
      </w:pPr>
    </w:p>
    <w:tbl>
      <w:tblPr>
        <w:tblStyle w:val="TableGrid7"/>
        <w:tblW w:w="0" w:type="auto"/>
        <w:tblInd w:w="1440"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2864"/>
        <w:gridCol w:w="1878"/>
        <w:gridCol w:w="1878"/>
      </w:tblGrid>
      <w:tr w:rsidR="00BA3E50" w:rsidRPr="00F07EFA" w14:paraId="43D04885" w14:textId="77777777" w:rsidTr="00BA3E50">
        <w:tc>
          <w:tcPr>
            <w:tcW w:w="2364" w:type="dxa"/>
            <w:tcBorders>
              <w:bottom w:val="single" w:sz="4" w:space="0" w:color="000000"/>
            </w:tcBorders>
          </w:tcPr>
          <w:p w14:paraId="26A788D7" w14:textId="77777777" w:rsidR="00BA3E50" w:rsidRPr="00F07EFA" w:rsidRDefault="00BA3E50" w:rsidP="00241619">
            <w:pPr>
              <w:adjustRightInd w:val="0"/>
              <w:snapToGrid w:val="0"/>
              <w:rPr>
                <w:rFonts w:eastAsia="Malgun Gothic" w:cs="Times New Roman"/>
                <w:b/>
                <w:sz w:val="21"/>
                <w:szCs w:val="21"/>
                <w:lang w:eastAsia="ko-KR"/>
              </w:rPr>
            </w:pPr>
            <w:r w:rsidRPr="00F07EFA">
              <w:rPr>
                <w:rFonts w:eastAsia="MS Mincho" w:cs="Times New Roman"/>
                <w:b/>
                <w:sz w:val="21"/>
                <w:szCs w:val="21"/>
                <w:lang w:eastAsia="ja-JP"/>
              </w:rPr>
              <w:t>Budget item</w:t>
            </w:r>
          </w:p>
        </w:tc>
        <w:tc>
          <w:tcPr>
            <w:tcW w:w="1878" w:type="dxa"/>
            <w:tcBorders>
              <w:bottom w:val="single" w:sz="4" w:space="0" w:color="000000"/>
            </w:tcBorders>
          </w:tcPr>
          <w:p w14:paraId="04397407" w14:textId="77777777" w:rsidR="00BA3E50" w:rsidRPr="00F07EFA" w:rsidRDefault="00BA3E50" w:rsidP="00241619">
            <w:pPr>
              <w:adjustRightInd w:val="0"/>
              <w:snapToGrid w:val="0"/>
              <w:rPr>
                <w:rFonts w:eastAsia="Malgun Gothic" w:cs="Times New Roman"/>
                <w:b/>
                <w:sz w:val="21"/>
                <w:szCs w:val="21"/>
                <w:lang w:eastAsia="ko-KR"/>
              </w:rPr>
            </w:pPr>
            <w:r w:rsidRPr="00F07EFA">
              <w:rPr>
                <w:rFonts w:eastAsia="MS Mincho" w:cs="Times New Roman"/>
                <w:b/>
                <w:sz w:val="21"/>
                <w:szCs w:val="21"/>
                <w:lang w:eastAsia="ja-JP"/>
              </w:rPr>
              <w:t>SKJ+YFT (PL)</w:t>
            </w:r>
          </w:p>
        </w:tc>
        <w:tc>
          <w:tcPr>
            <w:tcW w:w="1878" w:type="dxa"/>
            <w:tcBorders>
              <w:bottom w:val="single" w:sz="4" w:space="0" w:color="000000"/>
            </w:tcBorders>
          </w:tcPr>
          <w:p w14:paraId="2B24F4CE" w14:textId="77777777" w:rsidR="00BA3E50" w:rsidRPr="00F07EFA" w:rsidRDefault="00BA3E50" w:rsidP="00241619">
            <w:pPr>
              <w:adjustRightInd w:val="0"/>
              <w:snapToGrid w:val="0"/>
              <w:rPr>
                <w:rFonts w:eastAsia="Malgun Gothic" w:cs="Times New Roman"/>
                <w:b/>
                <w:sz w:val="21"/>
                <w:szCs w:val="21"/>
                <w:lang w:eastAsia="ko-KR"/>
              </w:rPr>
            </w:pPr>
            <w:r w:rsidRPr="00F07EFA">
              <w:rPr>
                <w:rFonts w:eastAsia="MS Mincho" w:cs="Times New Roman"/>
                <w:b/>
                <w:sz w:val="21"/>
                <w:szCs w:val="21"/>
                <w:lang w:eastAsia="ja-JP"/>
              </w:rPr>
              <w:t>BET (HL)</w:t>
            </w:r>
          </w:p>
        </w:tc>
      </w:tr>
      <w:tr w:rsidR="00BA3E50" w:rsidRPr="00F07EFA" w14:paraId="7FD744AC" w14:textId="77777777" w:rsidTr="00BA3E50">
        <w:tc>
          <w:tcPr>
            <w:tcW w:w="2364" w:type="dxa"/>
            <w:tcBorders>
              <w:bottom w:val="nil"/>
            </w:tcBorders>
          </w:tcPr>
          <w:p w14:paraId="287AED4F" w14:textId="77777777"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Vessel charter</w:t>
            </w:r>
          </w:p>
        </w:tc>
        <w:tc>
          <w:tcPr>
            <w:tcW w:w="1878" w:type="dxa"/>
            <w:tcBorders>
              <w:bottom w:val="nil"/>
            </w:tcBorders>
          </w:tcPr>
          <w:p w14:paraId="0EEEC51F" w14:textId="77777777"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965,000</w:t>
            </w:r>
          </w:p>
        </w:tc>
        <w:tc>
          <w:tcPr>
            <w:tcW w:w="1878" w:type="dxa"/>
            <w:tcBorders>
              <w:bottom w:val="nil"/>
            </w:tcBorders>
          </w:tcPr>
          <w:p w14:paraId="790CEC6F" w14:textId="77777777"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360,000</w:t>
            </w:r>
          </w:p>
        </w:tc>
      </w:tr>
      <w:tr w:rsidR="00BA3E50" w:rsidRPr="00F07EFA" w14:paraId="68ADA35E" w14:textId="77777777" w:rsidTr="00BA3E50">
        <w:tc>
          <w:tcPr>
            <w:tcW w:w="2364" w:type="dxa"/>
            <w:tcBorders>
              <w:top w:val="nil"/>
              <w:bottom w:val="nil"/>
            </w:tcBorders>
          </w:tcPr>
          <w:p w14:paraId="00727F7C" w14:textId="77777777"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Tags/equipment</w:t>
            </w:r>
          </w:p>
        </w:tc>
        <w:tc>
          <w:tcPr>
            <w:tcW w:w="1878" w:type="dxa"/>
            <w:tcBorders>
              <w:top w:val="nil"/>
              <w:bottom w:val="nil"/>
            </w:tcBorders>
          </w:tcPr>
          <w:p w14:paraId="43917B68" w14:textId="77777777"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40,000</w:t>
            </w:r>
          </w:p>
        </w:tc>
        <w:tc>
          <w:tcPr>
            <w:tcW w:w="1878" w:type="dxa"/>
            <w:tcBorders>
              <w:top w:val="nil"/>
              <w:bottom w:val="nil"/>
            </w:tcBorders>
          </w:tcPr>
          <w:p w14:paraId="3F3829F0" w14:textId="77777777"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150,000</w:t>
            </w:r>
          </w:p>
        </w:tc>
      </w:tr>
      <w:tr w:rsidR="00BA3E50" w:rsidRPr="00F07EFA" w14:paraId="2F84C546" w14:textId="77777777" w:rsidTr="00BA3E50">
        <w:tc>
          <w:tcPr>
            <w:tcW w:w="2364" w:type="dxa"/>
            <w:tcBorders>
              <w:top w:val="nil"/>
              <w:bottom w:val="nil"/>
            </w:tcBorders>
          </w:tcPr>
          <w:p w14:paraId="68613C6A" w14:textId="77777777" w:rsidR="00BA3E50" w:rsidRPr="00F07EFA" w:rsidRDefault="00BA3E50" w:rsidP="00241619">
            <w:pPr>
              <w:adjustRightInd w:val="0"/>
              <w:snapToGrid w:val="0"/>
              <w:rPr>
                <w:rFonts w:eastAsia="MS Mincho" w:cs="Times New Roman"/>
                <w:sz w:val="21"/>
                <w:szCs w:val="21"/>
                <w:lang w:eastAsia="ja-JP"/>
              </w:rPr>
            </w:pPr>
            <w:r w:rsidRPr="00F07EFA">
              <w:rPr>
                <w:rFonts w:eastAsia="MS Mincho" w:cs="Times New Roman"/>
                <w:sz w:val="21"/>
                <w:szCs w:val="21"/>
                <w:lang w:eastAsia="ja-JP"/>
              </w:rPr>
              <w:t>Personnel at-sea</w:t>
            </w:r>
          </w:p>
          <w:p w14:paraId="7557A498" w14:textId="77777777" w:rsidR="00BA3E50" w:rsidRPr="00F07EFA" w:rsidRDefault="00BA3E50" w:rsidP="00241619">
            <w:pPr>
              <w:adjustRightInd w:val="0"/>
              <w:snapToGrid w:val="0"/>
              <w:rPr>
                <w:rFonts w:eastAsia="MS Mincho" w:cs="Times New Roman"/>
                <w:sz w:val="21"/>
                <w:szCs w:val="21"/>
                <w:lang w:eastAsia="ja-JP"/>
              </w:rPr>
            </w:pPr>
            <w:r w:rsidRPr="00F07EFA">
              <w:rPr>
                <w:rFonts w:eastAsia="MS Mincho" w:cs="Times New Roman"/>
                <w:sz w:val="21"/>
                <w:szCs w:val="21"/>
                <w:lang w:eastAsia="ja-JP"/>
              </w:rPr>
              <w:t>Personnel PTTP</w:t>
            </w:r>
          </w:p>
          <w:p w14:paraId="3E523F40" w14:textId="77777777"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Travel</w:t>
            </w:r>
          </w:p>
        </w:tc>
        <w:tc>
          <w:tcPr>
            <w:tcW w:w="1878" w:type="dxa"/>
            <w:tcBorders>
              <w:top w:val="nil"/>
              <w:bottom w:val="nil"/>
            </w:tcBorders>
          </w:tcPr>
          <w:p w14:paraId="7451409B" w14:textId="77777777" w:rsidR="00BA3E50" w:rsidRPr="00F07EFA" w:rsidRDefault="00BA3E50" w:rsidP="00241619">
            <w:pPr>
              <w:adjustRightInd w:val="0"/>
              <w:snapToGrid w:val="0"/>
              <w:rPr>
                <w:rFonts w:eastAsia="MS Mincho" w:cs="Times New Roman"/>
                <w:sz w:val="21"/>
                <w:szCs w:val="21"/>
                <w:lang w:eastAsia="ja-JP"/>
              </w:rPr>
            </w:pPr>
            <w:r w:rsidRPr="00F07EFA">
              <w:rPr>
                <w:rFonts w:eastAsia="MS Mincho" w:cs="Times New Roman"/>
                <w:sz w:val="21"/>
                <w:szCs w:val="21"/>
                <w:lang w:eastAsia="ja-JP"/>
              </w:rPr>
              <w:t>85,000</w:t>
            </w:r>
          </w:p>
          <w:p w14:paraId="6C2869A6" w14:textId="77777777" w:rsidR="00BA3E50" w:rsidRPr="00F07EFA" w:rsidRDefault="00BA3E50" w:rsidP="00241619">
            <w:pPr>
              <w:adjustRightInd w:val="0"/>
              <w:snapToGrid w:val="0"/>
              <w:rPr>
                <w:rFonts w:eastAsia="MS Mincho" w:cs="Times New Roman"/>
                <w:sz w:val="21"/>
                <w:szCs w:val="21"/>
                <w:lang w:eastAsia="ja-JP"/>
              </w:rPr>
            </w:pPr>
            <w:r w:rsidRPr="00F07EFA">
              <w:rPr>
                <w:rFonts w:eastAsia="MS Mincho" w:cs="Times New Roman"/>
                <w:sz w:val="21"/>
                <w:szCs w:val="21"/>
                <w:lang w:eastAsia="ja-JP"/>
              </w:rPr>
              <w:t>275,000</w:t>
            </w:r>
          </w:p>
          <w:p w14:paraId="656A0282" w14:textId="77777777"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35,000</w:t>
            </w:r>
          </w:p>
        </w:tc>
        <w:tc>
          <w:tcPr>
            <w:tcW w:w="1878" w:type="dxa"/>
            <w:tcBorders>
              <w:top w:val="nil"/>
              <w:bottom w:val="nil"/>
            </w:tcBorders>
          </w:tcPr>
          <w:p w14:paraId="2EEF2326" w14:textId="77777777" w:rsidR="00BA3E50" w:rsidRPr="00F07EFA" w:rsidRDefault="00BA3E50" w:rsidP="00241619">
            <w:pPr>
              <w:adjustRightInd w:val="0"/>
              <w:snapToGrid w:val="0"/>
              <w:rPr>
                <w:rFonts w:eastAsia="MS Mincho" w:cs="Times New Roman"/>
                <w:sz w:val="21"/>
                <w:szCs w:val="21"/>
                <w:lang w:eastAsia="ja-JP"/>
              </w:rPr>
            </w:pPr>
            <w:r w:rsidRPr="00F07EFA">
              <w:rPr>
                <w:rFonts w:eastAsia="MS Mincho" w:cs="Times New Roman"/>
                <w:sz w:val="21"/>
                <w:szCs w:val="21"/>
                <w:lang w:eastAsia="ja-JP"/>
              </w:rPr>
              <w:t>50,000</w:t>
            </w:r>
          </w:p>
          <w:p w14:paraId="27242E31" w14:textId="77777777" w:rsidR="00BA3E50" w:rsidRPr="00F07EFA" w:rsidRDefault="00BA3E50" w:rsidP="00241619">
            <w:pPr>
              <w:adjustRightInd w:val="0"/>
              <w:snapToGrid w:val="0"/>
              <w:rPr>
                <w:rFonts w:eastAsia="MS Mincho" w:cs="Times New Roman"/>
                <w:sz w:val="21"/>
                <w:szCs w:val="21"/>
                <w:lang w:eastAsia="ja-JP"/>
              </w:rPr>
            </w:pPr>
            <w:r w:rsidRPr="00F07EFA">
              <w:rPr>
                <w:rFonts w:eastAsia="MS Mincho" w:cs="Times New Roman"/>
                <w:sz w:val="21"/>
                <w:szCs w:val="21"/>
                <w:lang w:eastAsia="ja-JP"/>
              </w:rPr>
              <w:t>275,000</w:t>
            </w:r>
          </w:p>
          <w:p w14:paraId="320CC8EC" w14:textId="77777777"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35,000</w:t>
            </w:r>
          </w:p>
        </w:tc>
      </w:tr>
      <w:tr w:rsidR="00BA3E50" w:rsidRPr="00F07EFA" w14:paraId="4F1BB031" w14:textId="77777777" w:rsidTr="00BA3E50">
        <w:tc>
          <w:tcPr>
            <w:tcW w:w="2364" w:type="dxa"/>
            <w:tcBorders>
              <w:top w:val="nil"/>
              <w:bottom w:val="nil"/>
            </w:tcBorders>
          </w:tcPr>
          <w:p w14:paraId="1390E978" w14:textId="77777777"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Tag recovery rewards</w:t>
            </w:r>
          </w:p>
        </w:tc>
        <w:tc>
          <w:tcPr>
            <w:tcW w:w="1878" w:type="dxa"/>
            <w:tcBorders>
              <w:top w:val="nil"/>
              <w:bottom w:val="nil"/>
            </w:tcBorders>
          </w:tcPr>
          <w:p w14:paraId="39596EAB" w14:textId="77777777"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55,000</w:t>
            </w:r>
            <w:r w:rsidRPr="00F07EFA">
              <w:rPr>
                <w:rFonts w:eastAsia="MS Mincho" w:cs="Times New Roman"/>
                <w:sz w:val="21"/>
                <w:szCs w:val="21"/>
                <w:lang w:eastAsia="ja-JP"/>
              </w:rPr>
              <w:tab/>
            </w:r>
          </w:p>
        </w:tc>
        <w:tc>
          <w:tcPr>
            <w:tcW w:w="1878" w:type="dxa"/>
            <w:tcBorders>
              <w:top w:val="nil"/>
              <w:bottom w:val="nil"/>
            </w:tcBorders>
          </w:tcPr>
          <w:p w14:paraId="36F77A4D" w14:textId="77777777"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15,000</w:t>
            </w:r>
          </w:p>
        </w:tc>
      </w:tr>
      <w:tr w:rsidR="00BA3E50" w:rsidRPr="00F07EFA" w14:paraId="0D011495" w14:textId="77777777" w:rsidTr="00BA3E50">
        <w:tc>
          <w:tcPr>
            <w:tcW w:w="2364" w:type="dxa"/>
            <w:tcBorders>
              <w:top w:val="nil"/>
            </w:tcBorders>
          </w:tcPr>
          <w:p w14:paraId="744327EE" w14:textId="77777777"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Analysis/reporting/publications</w:t>
            </w:r>
          </w:p>
        </w:tc>
        <w:tc>
          <w:tcPr>
            <w:tcW w:w="1878" w:type="dxa"/>
            <w:tcBorders>
              <w:top w:val="nil"/>
            </w:tcBorders>
          </w:tcPr>
          <w:p w14:paraId="4F5FD763" w14:textId="77777777"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15,000</w:t>
            </w:r>
          </w:p>
        </w:tc>
        <w:tc>
          <w:tcPr>
            <w:tcW w:w="1878" w:type="dxa"/>
            <w:tcBorders>
              <w:top w:val="nil"/>
            </w:tcBorders>
          </w:tcPr>
          <w:p w14:paraId="2AD6C99B" w14:textId="77777777"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15,000</w:t>
            </w:r>
          </w:p>
        </w:tc>
      </w:tr>
      <w:tr w:rsidR="00BA3E50" w:rsidRPr="00F07EFA" w14:paraId="62C4CF36" w14:textId="77777777" w:rsidTr="00BA3E50">
        <w:tc>
          <w:tcPr>
            <w:tcW w:w="2364" w:type="dxa"/>
          </w:tcPr>
          <w:p w14:paraId="7D7F405D" w14:textId="77777777" w:rsidR="00BA3E50" w:rsidRPr="00F07EFA" w:rsidRDefault="00BA3E50" w:rsidP="00241619">
            <w:pPr>
              <w:adjustRightInd w:val="0"/>
              <w:snapToGrid w:val="0"/>
              <w:rPr>
                <w:rFonts w:eastAsia="Malgun Gothic" w:cs="Times New Roman"/>
                <w:b/>
                <w:sz w:val="21"/>
                <w:szCs w:val="21"/>
                <w:lang w:eastAsia="ko-KR"/>
              </w:rPr>
            </w:pPr>
            <w:r w:rsidRPr="00F07EFA">
              <w:rPr>
                <w:rFonts w:eastAsia="MS Mincho" w:cs="Times New Roman"/>
                <w:b/>
                <w:sz w:val="21"/>
                <w:szCs w:val="21"/>
                <w:lang w:eastAsia="ja-JP"/>
              </w:rPr>
              <w:t>TOTAL</w:t>
            </w:r>
          </w:p>
        </w:tc>
        <w:tc>
          <w:tcPr>
            <w:tcW w:w="1878" w:type="dxa"/>
          </w:tcPr>
          <w:p w14:paraId="15D51E62" w14:textId="77777777" w:rsidR="00BA3E50" w:rsidRPr="00F07EFA" w:rsidRDefault="00BA3E50" w:rsidP="00241619">
            <w:pPr>
              <w:adjustRightInd w:val="0"/>
              <w:snapToGrid w:val="0"/>
              <w:rPr>
                <w:rFonts w:eastAsia="Malgun Gothic" w:cs="Times New Roman"/>
                <w:b/>
                <w:sz w:val="21"/>
                <w:szCs w:val="21"/>
                <w:lang w:eastAsia="ko-KR"/>
              </w:rPr>
            </w:pPr>
            <w:r w:rsidRPr="00F07EFA">
              <w:rPr>
                <w:rFonts w:eastAsia="MS Mincho" w:cs="Times New Roman"/>
                <w:b/>
                <w:sz w:val="21"/>
                <w:szCs w:val="21"/>
                <w:lang w:eastAsia="ja-JP"/>
              </w:rPr>
              <w:t>1,470,000</w:t>
            </w:r>
          </w:p>
        </w:tc>
        <w:tc>
          <w:tcPr>
            <w:tcW w:w="1878" w:type="dxa"/>
          </w:tcPr>
          <w:p w14:paraId="2BFB4CFA" w14:textId="77777777" w:rsidR="00BA3E50" w:rsidRPr="00F07EFA" w:rsidRDefault="00BA3E50" w:rsidP="00241619">
            <w:pPr>
              <w:adjustRightInd w:val="0"/>
              <w:snapToGrid w:val="0"/>
              <w:rPr>
                <w:rFonts w:eastAsia="Malgun Gothic" w:cs="Times New Roman"/>
                <w:b/>
                <w:sz w:val="21"/>
                <w:szCs w:val="21"/>
                <w:lang w:eastAsia="ko-KR"/>
              </w:rPr>
            </w:pPr>
            <w:r w:rsidRPr="00F07EFA">
              <w:rPr>
                <w:rFonts w:eastAsia="MS Mincho" w:cs="Times New Roman"/>
                <w:b/>
                <w:sz w:val="21"/>
                <w:szCs w:val="21"/>
                <w:lang w:eastAsia="ja-JP"/>
              </w:rPr>
              <w:t>900,000</w:t>
            </w:r>
          </w:p>
        </w:tc>
      </w:tr>
    </w:tbl>
    <w:p w14:paraId="334E33E4" w14:textId="77777777" w:rsidR="00BA3E50" w:rsidRPr="00F07EFA" w:rsidRDefault="00BA3E50" w:rsidP="00241619">
      <w:pPr>
        <w:adjustRightInd w:val="0"/>
        <w:snapToGrid w:val="0"/>
        <w:rPr>
          <w:rFonts w:eastAsia="Malgun Gothic"/>
          <w:color w:val="000000"/>
          <w:sz w:val="21"/>
          <w:szCs w:val="21"/>
          <w:lang w:val="en-AU" w:eastAsia="ko-KR"/>
        </w:rPr>
      </w:pPr>
    </w:p>
    <w:p w14:paraId="5A299389" w14:textId="77777777" w:rsidR="00BA3E50" w:rsidRPr="00F07EFA" w:rsidRDefault="00BA3E50" w:rsidP="00241619">
      <w:pPr>
        <w:adjustRightInd w:val="0"/>
        <w:snapToGrid w:val="0"/>
        <w:rPr>
          <w:rFonts w:eastAsia="MS Mincho"/>
          <w:color w:val="000000"/>
          <w:sz w:val="21"/>
          <w:szCs w:val="21"/>
          <w:lang w:val="en-AU" w:eastAsia="ja-JP"/>
        </w:rPr>
      </w:pPr>
      <w:r w:rsidRPr="00F07EFA">
        <w:rPr>
          <w:rFonts w:eastAsia="MS Mincho"/>
          <w:color w:val="000000"/>
          <w:sz w:val="21"/>
          <w:szCs w:val="21"/>
          <w:lang w:val="en-AU" w:eastAsia="ja-JP"/>
        </w:rPr>
        <w:t>These amounts averaged across two years give an annualised budget for the PTTP of $1,185,000. To date, SPC has met the PTTP personnel costs from a variety of sources, as well as a range of analysis, reporting and publications costs ($285,000 p.a.). Until at least 2021 this can continue, however in future that is dependent on the goodwill and priorities of SPC’s donors. The Republic of Korea has been a long-term direct supporter of the PTTP and during SC14 announced it would continue this funding for another five years from 2019-2023 ($170,000 p.a.). With these two sources of external funding for the PTTP, the balance left to be met by WCPFC on an annualised budget basis is $730,000 per annum.</w:t>
      </w:r>
    </w:p>
    <w:p w14:paraId="080DC338" w14:textId="77777777" w:rsidR="00BA3E50" w:rsidRPr="00F07EFA" w:rsidRDefault="00BA3E50" w:rsidP="00241619">
      <w:pPr>
        <w:adjustRightInd w:val="0"/>
        <w:snapToGrid w:val="0"/>
        <w:rPr>
          <w:rFonts w:eastAsia="MS Mincho"/>
          <w:color w:val="000000"/>
          <w:sz w:val="21"/>
          <w:szCs w:val="21"/>
          <w:lang w:val="en-AU" w:eastAsia="ja-JP"/>
        </w:rPr>
      </w:pPr>
      <w:r w:rsidRPr="00F07EFA">
        <w:rPr>
          <w:rFonts w:eastAsia="MS Mincho"/>
          <w:color w:val="000000"/>
          <w:sz w:val="21"/>
          <w:szCs w:val="21"/>
          <w:lang w:val="en-AU" w:eastAsia="ja-JP"/>
        </w:rPr>
        <w:t xml:space="preserve">Note that it is assumed </w:t>
      </w:r>
      <w:r w:rsidRPr="00F07EFA">
        <w:rPr>
          <w:rFonts w:eastAsia="MS Mincho"/>
          <w:color w:val="000000"/>
          <w:sz w:val="21"/>
          <w:szCs w:val="21"/>
          <w:lang w:eastAsia="ja-JP"/>
        </w:rPr>
        <w:t>that a dedicated research vessel would reduce the costs in vessel charter for pole and line research in future (see Project 83), however the detailed study needs to be completed to confirm this.</w:t>
      </w:r>
    </w:p>
    <w:p w14:paraId="1306E3A9" w14:textId="77777777" w:rsidR="00BA3E50" w:rsidRPr="00F07EFA" w:rsidRDefault="00BA3E50" w:rsidP="00241619">
      <w:pPr>
        <w:adjustRightInd w:val="0"/>
        <w:snapToGrid w:val="0"/>
        <w:rPr>
          <w:rFonts w:eastAsia="Batang"/>
          <w:color w:val="000000"/>
          <w:sz w:val="21"/>
          <w:szCs w:val="21"/>
          <w:lang w:val="en-AU" w:eastAsia="ko-KR"/>
        </w:rPr>
      </w:pPr>
    </w:p>
    <w:tbl>
      <w:tblPr>
        <w:tblStyle w:val="TableGrid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2D050"/>
        <w:tblLook w:val="04A0" w:firstRow="1" w:lastRow="0" w:firstColumn="1" w:lastColumn="0" w:noHBand="0" w:noVBand="1"/>
      </w:tblPr>
      <w:tblGrid>
        <w:gridCol w:w="9576"/>
      </w:tblGrid>
      <w:tr w:rsidR="00BA3E50" w:rsidRPr="00F07EFA" w14:paraId="638F477D" w14:textId="77777777" w:rsidTr="002D5D17">
        <w:tc>
          <w:tcPr>
            <w:tcW w:w="9576" w:type="dxa"/>
            <w:shd w:val="clear" w:color="auto" w:fill="92D050"/>
          </w:tcPr>
          <w:p w14:paraId="0A58733C" w14:textId="77777777" w:rsidR="00BA3E50" w:rsidRPr="00F07EFA" w:rsidRDefault="00BA3E50" w:rsidP="00580EA4">
            <w:pPr>
              <w:numPr>
                <w:ilvl w:val="0"/>
                <w:numId w:val="53"/>
              </w:numPr>
              <w:tabs>
                <w:tab w:val="num" w:pos="360"/>
              </w:tabs>
              <w:adjustRightInd w:val="0"/>
              <w:snapToGrid w:val="0"/>
              <w:ind w:left="0" w:firstLine="0"/>
              <w:jc w:val="both"/>
              <w:outlineLvl w:val="0"/>
              <w:rPr>
                <w:rFonts w:eastAsia="SimSun" w:cs="Times New Roman"/>
                <w:b/>
                <w:caps/>
                <w:sz w:val="21"/>
                <w:szCs w:val="21"/>
                <w:lang w:val="en-AU" w:eastAsia="ko-KR"/>
              </w:rPr>
            </w:pPr>
            <w:r w:rsidRPr="00F07EFA">
              <w:rPr>
                <w:rFonts w:eastAsia="SimSun" w:cs="Times New Roman"/>
                <w:b/>
                <w:caps/>
                <w:sz w:val="21"/>
                <w:szCs w:val="21"/>
                <w:lang w:val="en-AU" w:eastAsia="ko-KR"/>
              </w:rPr>
              <w:t>PROJECT 57</w:t>
            </w:r>
          </w:p>
          <w:p w14:paraId="7E49780B" w14:textId="77777777" w:rsidR="00BA3E50" w:rsidRPr="00F07EFA" w:rsidRDefault="00BA3E50" w:rsidP="00241619">
            <w:pPr>
              <w:adjustRightInd w:val="0"/>
              <w:snapToGrid w:val="0"/>
              <w:rPr>
                <w:rFonts w:eastAsia="SimSun" w:cs="Times New Roman"/>
                <w:sz w:val="21"/>
                <w:szCs w:val="21"/>
                <w:lang w:eastAsia="ko-KR"/>
              </w:rPr>
            </w:pPr>
            <w:r w:rsidRPr="00F07EFA">
              <w:rPr>
                <w:rFonts w:eastAsia="SimSun" w:cs="Times New Roman"/>
                <w:b/>
                <w:sz w:val="21"/>
                <w:szCs w:val="21"/>
                <w:lang w:val="en-NZ" w:eastAsia="zh-CN"/>
              </w:rPr>
              <w:t>Identifying appropriate Limit Reference Points (LRPs) for elasmobranchs within the WCPFC</w:t>
            </w:r>
          </w:p>
        </w:tc>
      </w:tr>
    </w:tbl>
    <w:p w14:paraId="0AB66C3E" w14:textId="77777777" w:rsidR="00BA3E50" w:rsidRPr="00F07EFA" w:rsidRDefault="00BA3E50" w:rsidP="00241619">
      <w:pPr>
        <w:adjustRightInd w:val="0"/>
        <w:snapToGrid w:val="0"/>
        <w:jc w:val="both"/>
        <w:rPr>
          <w:rFonts w:eastAsia="Batang"/>
          <w:b/>
          <w:color w:val="000000"/>
          <w:sz w:val="21"/>
          <w:szCs w:val="21"/>
          <w:lang w:eastAsia="zh-CN"/>
        </w:rPr>
      </w:pPr>
    </w:p>
    <w:p w14:paraId="1363343C" w14:textId="77777777" w:rsidR="00BA3E50" w:rsidRPr="00F07EFA" w:rsidRDefault="00BA3E50" w:rsidP="00241619">
      <w:pPr>
        <w:adjustRightInd w:val="0"/>
        <w:snapToGrid w:val="0"/>
        <w:jc w:val="both"/>
        <w:rPr>
          <w:rFonts w:eastAsia="Batang"/>
          <w:b/>
          <w:color w:val="000000"/>
          <w:sz w:val="21"/>
          <w:szCs w:val="21"/>
          <w:lang w:eastAsia="ko-KR"/>
        </w:rPr>
      </w:pPr>
      <w:r w:rsidRPr="00F07EFA">
        <w:rPr>
          <w:rFonts w:eastAsia="Batang"/>
          <w:b/>
          <w:color w:val="000000"/>
          <w:sz w:val="21"/>
          <w:szCs w:val="21"/>
          <w:lang w:eastAsia="zh-CN"/>
        </w:rPr>
        <w:t>Background:</w:t>
      </w:r>
    </w:p>
    <w:p w14:paraId="5FD78DA1" w14:textId="77777777" w:rsidR="00BA3E50" w:rsidRPr="00F07EFA" w:rsidRDefault="00BA3E50" w:rsidP="00241619">
      <w:pPr>
        <w:adjustRightInd w:val="0"/>
        <w:snapToGrid w:val="0"/>
        <w:jc w:val="both"/>
        <w:rPr>
          <w:rFonts w:eastAsia="Batang"/>
          <w:color w:val="000000"/>
          <w:sz w:val="21"/>
          <w:szCs w:val="21"/>
          <w:lang w:eastAsia="zh-CN"/>
        </w:rPr>
      </w:pPr>
      <w:r w:rsidRPr="00F07EFA">
        <w:rPr>
          <w:rFonts w:eastAsia="Batang"/>
          <w:color w:val="000000"/>
          <w:sz w:val="21"/>
          <w:szCs w:val="21"/>
          <w:lang w:eastAsia="zh-CN"/>
        </w:rPr>
        <w:t xml:space="preserve">The Commission endorsed SC11’s request of USD 25,000 for the continued development of limit reference points for elasmobranchs. The Commission tasked SC12 to develop a scope of work to progress this work within the budget allocated for 2016 (Paras 69-70, FAC9 Summary Report). SC12-ISG-2 also supported the project collaborating with the work presently being undertaken by ISC on the development of stock-recruitment relationships and their parameter estimates, such as stock-recruitment steepness for North Pacific blue shark. </w:t>
      </w:r>
    </w:p>
    <w:p w14:paraId="6B613D4A" w14:textId="77777777" w:rsidR="00BA3E50" w:rsidRPr="00F07EFA" w:rsidRDefault="00BA3E50" w:rsidP="00241619">
      <w:pPr>
        <w:adjustRightInd w:val="0"/>
        <w:snapToGrid w:val="0"/>
        <w:jc w:val="both"/>
        <w:rPr>
          <w:rFonts w:eastAsia="Batang"/>
          <w:b/>
          <w:color w:val="000000"/>
          <w:sz w:val="21"/>
          <w:szCs w:val="21"/>
          <w:lang w:eastAsia="ko-KR"/>
        </w:rPr>
      </w:pPr>
    </w:p>
    <w:p w14:paraId="0C793DFE" w14:textId="77777777" w:rsidR="00BA3E50" w:rsidRPr="00F07EFA" w:rsidRDefault="00BA3E50" w:rsidP="00241619">
      <w:pPr>
        <w:adjustRightInd w:val="0"/>
        <w:snapToGrid w:val="0"/>
        <w:jc w:val="both"/>
        <w:rPr>
          <w:rFonts w:eastAsia="Batang"/>
          <w:b/>
          <w:color w:val="000000"/>
          <w:sz w:val="21"/>
          <w:szCs w:val="21"/>
          <w:lang w:eastAsia="ko-KR"/>
        </w:rPr>
      </w:pPr>
      <w:r w:rsidRPr="00F07EFA">
        <w:rPr>
          <w:rFonts w:eastAsia="Batang"/>
          <w:b/>
          <w:color w:val="000000"/>
          <w:sz w:val="21"/>
          <w:szCs w:val="21"/>
          <w:lang w:eastAsia="zh-CN"/>
        </w:rPr>
        <w:t>Aim:</w:t>
      </w:r>
    </w:p>
    <w:p w14:paraId="224BE15D" w14:textId="77777777" w:rsidR="00BA3E50" w:rsidRPr="00F07EFA" w:rsidRDefault="00BA3E50" w:rsidP="00241619">
      <w:pPr>
        <w:adjustRightInd w:val="0"/>
        <w:snapToGrid w:val="0"/>
        <w:jc w:val="both"/>
        <w:rPr>
          <w:rFonts w:eastAsia="Batang"/>
          <w:color w:val="000000"/>
          <w:sz w:val="21"/>
          <w:szCs w:val="21"/>
          <w:lang w:eastAsia="ko-KR"/>
        </w:rPr>
      </w:pPr>
      <w:r w:rsidRPr="00F07EFA">
        <w:rPr>
          <w:rFonts w:eastAsia="Batang"/>
          <w:color w:val="000000"/>
          <w:sz w:val="21"/>
          <w:szCs w:val="21"/>
          <w:lang w:eastAsia="zh-CN"/>
        </w:rPr>
        <w:t xml:space="preserve">This project is to complete the work initiated by S. Clarke and S. Hoyle and presented to SC10 (as described in SC10-MI-07), and the subsequent work undertaken by the Pacific Shark Life History Expert Panel (as described in SC11-EB-13), to identify and quantify appropriate limit reference points for key shark species in the WCPO. </w:t>
      </w:r>
    </w:p>
    <w:p w14:paraId="54116714" w14:textId="77777777" w:rsidR="00BA3E50" w:rsidRPr="00F07EFA" w:rsidRDefault="00BA3E50" w:rsidP="00241619">
      <w:pPr>
        <w:adjustRightInd w:val="0"/>
        <w:snapToGrid w:val="0"/>
        <w:jc w:val="both"/>
        <w:rPr>
          <w:rFonts w:eastAsia="Batang"/>
          <w:color w:val="000000"/>
          <w:sz w:val="21"/>
          <w:szCs w:val="21"/>
          <w:lang w:eastAsia="ko-KR"/>
        </w:rPr>
      </w:pPr>
    </w:p>
    <w:p w14:paraId="3AAC503E" w14:textId="77777777" w:rsidR="00BA3E50" w:rsidRPr="00F07EFA" w:rsidRDefault="00BA3E50" w:rsidP="00241619">
      <w:pPr>
        <w:adjustRightInd w:val="0"/>
        <w:snapToGrid w:val="0"/>
        <w:jc w:val="both"/>
        <w:rPr>
          <w:rFonts w:eastAsia="Batang"/>
          <w:b/>
          <w:color w:val="000000"/>
          <w:sz w:val="21"/>
          <w:szCs w:val="21"/>
          <w:lang w:eastAsia="ko-KR"/>
        </w:rPr>
      </w:pPr>
      <w:r w:rsidRPr="00F07EFA">
        <w:rPr>
          <w:rFonts w:eastAsia="Batang"/>
          <w:b/>
          <w:color w:val="000000"/>
          <w:sz w:val="21"/>
          <w:szCs w:val="21"/>
          <w:lang w:eastAsia="zh-CN"/>
        </w:rPr>
        <w:t>Scope of Work:</w:t>
      </w:r>
    </w:p>
    <w:p w14:paraId="7F8F3C87" w14:textId="77777777" w:rsidR="00BA3E50" w:rsidRPr="00F07EFA" w:rsidRDefault="00BA3E50" w:rsidP="00241619">
      <w:pPr>
        <w:adjustRightInd w:val="0"/>
        <w:snapToGrid w:val="0"/>
        <w:jc w:val="both"/>
        <w:rPr>
          <w:rFonts w:eastAsia="Batang"/>
          <w:color w:val="000000"/>
          <w:sz w:val="21"/>
          <w:szCs w:val="21"/>
          <w:lang w:eastAsia="ko-KR"/>
        </w:rPr>
      </w:pPr>
      <w:r w:rsidRPr="00F07EFA">
        <w:rPr>
          <w:rFonts w:eastAsia="Batang"/>
          <w:color w:val="000000"/>
          <w:sz w:val="21"/>
          <w:szCs w:val="21"/>
          <w:lang w:eastAsia="zh-CN"/>
        </w:rPr>
        <w:t>This project will facilitate a small workshop, or similar, of shark and stock assessment experts to undertake the following tasks:</w:t>
      </w:r>
    </w:p>
    <w:p w14:paraId="3511F75D" w14:textId="77777777" w:rsidR="00BA3E50" w:rsidRPr="00F07EFA" w:rsidRDefault="00BA3E50" w:rsidP="00241619">
      <w:pPr>
        <w:adjustRightInd w:val="0"/>
        <w:snapToGrid w:val="0"/>
        <w:jc w:val="both"/>
        <w:rPr>
          <w:rFonts w:eastAsia="Batang"/>
          <w:color w:val="000000"/>
          <w:sz w:val="21"/>
          <w:szCs w:val="21"/>
          <w:lang w:eastAsia="ko-KR"/>
        </w:rPr>
      </w:pPr>
    </w:p>
    <w:p w14:paraId="0D4B690E" w14:textId="77777777" w:rsidR="00BA3E50" w:rsidRPr="00F07EFA" w:rsidRDefault="00BA3E50" w:rsidP="00580EA4">
      <w:pPr>
        <w:numPr>
          <w:ilvl w:val="0"/>
          <w:numId w:val="105"/>
        </w:numPr>
        <w:adjustRightInd w:val="0"/>
        <w:snapToGrid w:val="0"/>
        <w:jc w:val="both"/>
        <w:rPr>
          <w:rFonts w:eastAsia="SimSun"/>
          <w:sz w:val="21"/>
          <w:szCs w:val="21"/>
          <w:lang w:val="en-AU" w:eastAsia="en-NZ"/>
        </w:rPr>
      </w:pPr>
      <w:r w:rsidRPr="00F07EFA">
        <w:rPr>
          <w:rFonts w:eastAsia="SimSun"/>
          <w:sz w:val="21"/>
          <w:szCs w:val="21"/>
          <w:lang w:val="en-AU" w:eastAsia="en-NZ"/>
        </w:rPr>
        <w:t xml:space="preserve">For those elasmobranchs which have been evaluated using a stock assessment model, recalculate the risk-based limit reference points (as described in Table 5, SC10-MI-07) using the updated life history information produced by the Shark Life History Expert Panel. </w:t>
      </w:r>
    </w:p>
    <w:p w14:paraId="2109EF64" w14:textId="77777777" w:rsidR="00BA3E50" w:rsidRPr="00F07EFA" w:rsidRDefault="00BA3E50" w:rsidP="00241619">
      <w:pPr>
        <w:adjustRightInd w:val="0"/>
        <w:snapToGrid w:val="0"/>
        <w:ind w:left="720"/>
        <w:jc w:val="both"/>
        <w:rPr>
          <w:rFonts w:eastAsia="SimSun"/>
          <w:sz w:val="21"/>
          <w:szCs w:val="21"/>
          <w:lang w:val="en-AU" w:eastAsia="en-NZ"/>
        </w:rPr>
      </w:pPr>
    </w:p>
    <w:p w14:paraId="153196BD" w14:textId="77777777" w:rsidR="00BA3E50" w:rsidRPr="00F07EFA" w:rsidRDefault="00BA3E50" w:rsidP="00580EA4">
      <w:pPr>
        <w:numPr>
          <w:ilvl w:val="0"/>
          <w:numId w:val="105"/>
        </w:numPr>
        <w:adjustRightInd w:val="0"/>
        <w:snapToGrid w:val="0"/>
        <w:jc w:val="both"/>
        <w:rPr>
          <w:rFonts w:eastAsia="SimSun"/>
          <w:sz w:val="21"/>
          <w:szCs w:val="21"/>
          <w:lang w:val="en-AU" w:eastAsia="en-NZ"/>
        </w:rPr>
      </w:pPr>
      <w:r w:rsidRPr="00F07EFA">
        <w:rPr>
          <w:rFonts w:eastAsia="SimSun"/>
          <w:sz w:val="21"/>
          <w:szCs w:val="21"/>
          <w:lang w:val="en-AU" w:eastAsia="en-NZ"/>
        </w:rPr>
        <w:t xml:space="preserve">For those elasmobranchs which have not been evaluated using a stock assessment model advise on alternative ways to estimate of current fishing mortality (F). Risk-based LRPs (as described in SC10-MI-07) should then be developed for all WCPFC key shark species.  </w:t>
      </w:r>
    </w:p>
    <w:p w14:paraId="2A70881C" w14:textId="77777777" w:rsidR="00BA3E50" w:rsidRPr="00F07EFA" w:rsidRDefault="00BA3E50" w:rsidP="00580EA4">
      <w:pPr>
        <w:numPr>
          <w:ilvl w:val="0"/>
          <w:numId w:val="105"/>
        </w:numPr>
        <w:adjustRightInd w:val="0"/>
        <w:snapToGrid w:val="0"/>
        <w:jc w:val="both"/>
        <w:rPr>
          <w:rFonts w:eastAsia="SimSun"/>
          <w:sz w:val="21"/>
          <w:szCs w:val="21"/>
          <w:lang w:val="en-AU" w:eastAsia="en-NZ"/>
        </w:rPr>
      </w:pPr>
      <w:r w:rsidRPr="00F07EFA">
        <w:rPr>
          <w:rFonts w:eastAsia="SimSun"/>
          <w:sz w:val="21"/>
          <w:szCs w:val="21"/>
          <w:lang w:val="en-AU" w:eastAsia="en-NZ"/>
        </w:rPr>
        <w:t>Where the stock-recruitment relationship is highly uncertain, compare F</w:t>
      </w:r>
      <w:r w:rsidRPr="00F07EFA">
        <w:rPr>
          <w:rFonts w:eastAsia="SimSun"/>
          <w:sz w:val="21"/>
          <w:szCs w:val="21"/>
          <w:vertAlign w:val="subscript"/>
          <w:lang w:val="en-AU" w:eastAsia="en-NZ"/>
        </w:rPr>
        <w:t>current</w:t>
      </w:r>
      <w:r w:rsidRPr="00F07EFA">
        <w:rPr>
          <w:rFonts w:eastAsia="SimSun"/>
          <w:i/>
          <w:iCs/>
          <w:sz w:val="21"/>
          <w:szCs w:val="21"/>
          <w:lang w:val="en-AU" w:eastAsia="en-NZ"/>
        </w:rPr>
        <w:t xml:space="preserve"> </w:t>
      </w:r>
      <w:r w:rsidRPr="00F07EFA">
        <w:rPr>
          <w:rFonts w:eastAsia="SimSun"/>
          <w:sz w:val="21"/>
          <w:szCs w:val="21"/>
          <w:lang w:val="en-AU" w:eastAsia="en-NZ"/>
        </w:rPr>
        <w:t>to SPR-based LRP such as F</w:t>
      </w:r>
      <w:r w:rsidRPr="00F07EFA">
        <w:rPr>
          <w:rFonts w:eastAsia="SimSun"/>
          <w:sz w:val="21"/>
          <w:szCs w:val="21"/>
          <w:vertAlign w:val="subscript"/>
          <w:lang w:val="en-AU" w:eastAsia="en-NZ"/>
        </w:rPr>
        <w:t>60%SPRunfished</w:t>
      </w:r>
      <w:r w:rsidRPr="00F07EFA">
        <w:rPr>
          <w:rFonts w:eastAsia="SimSun"/>
          <w:sz w:val="21"/>
          <w:szCs w:val="21"/>
          <w:lang w:val="en-AU" w:eastAsia="en-NZ"/>
        </w:rPr>
        <w:t xml:space="preserve"> and discuss any new insights into the recommended estimated LRPs so that the WCPFC Scientific Committee can decided on a case-by-case basis which LRP is most appropriate.</w:t>
      </w:r>
    </w:p>
    <w:p w14:paraId="3A225D88" w14:textId="77777777" w:rsidR="00BA3E50" w:rsidRPr="00F07EFA" w:rsidRDefault="00BA3E50" w:rsidP="00241619">
      <w:pPr>
        <w:adjustRightInd w:val="0"/>
        <w:snapToGrid w:val="0"/>
        <w:ind w:left="720"/>
        <w:jc w:val="both"/>
        <w:rPr>
          <w:rFonts w:eastAsia="SimSun"/>
          <w:sz w:val="21"/>
          <w:szCs w:val="21"/>
          <w:lang w:val="en-AU" w:eastAsia="en-NZ"/>
        </w:rPr>
      </w:pPr>
    </w:p>
    <w:p w14:paraId="536B0F8F" w14:textId="77777777" w:rsidR="00BA3E50" w:rsidRPr="00F07EFA" w:rsidRDefault="00BA3E50" w:rsidP="00580EA4">
      <w:pPr>
        <w:numPr>
          <w:ilvl w:val="0"/>
          <w:numId w:val="105"/>
        </w:numPr>
        <w:adjustRightInd w:val="0"/>
        <w:snapToGrid w:val="0"/>
        <w:jc w:val="both"/>
        <w:rPr>
          <w:rFonts w:eastAsia="SimSun"/>
          <w:sz w:val="21"/>
          <w:szCs w:val="21"/>
          <w:lang w:val="en-AU" w:eastAsia="en-NZ"/>
        </w:rPr>
      </w:pPr>
      <w:r w:rsidRPr="00F07EFA">
        <w:rPr>
          <w:rFonts w:eastAsia="SimSun"/>
          <w:sz w:val="21"/>
          <w:szCs w:val="21"/>
          <w:lang w:val="en-AU" w:eastAsia="en-NZ"/>
        </w:rPr>
        <w:t>Review the use or otherwise of other potential LRPs based on, for example, SPR, reduction of recruitment or empirical measures (e.g. catch rate or length values designed to signal unacceptable population states).</w:t>
      </w:r>
    </w:p>
    <w:p w14:paraId="4D40C308" w14:textId="77777777" w:rsidR="00BA3E50" w:rsidRPr="00F07EFA" w:rsidRDefault="00BA3E50" w:rsidP="00241619">
      <w:pPr>
        <w:adjustRightInd w:val="0"/>
        <w:snapToGrid w:val="0"/>
        <w:ind w:left="720"/>
        <w:rPr>
          <w:rFonts w:eastAsia="SimSun"/>
          <w:sz w:val="21"/>
          <w:szCs w:val="21"/>
          <w:lang w:val="en-AU" w:eastAsia="en-NZ"/>
        </w:rPr>
      </w:pPr>
    </w:p>
    <w:p w14:paraId="4886DAD4" w14:textId="77777777" w:rsidR="00BA3E50" w:rsidRPr="00F07EFA" w:rsidRDefault="00BA3E50" w:rsidP="00580EA4">
      <w:pPr>
        <w:numPr>
          <w:ilvl w:val="0"/>
          <w:numId w:val="105"/>
        </w:numPr>
        <w:adjustRightInd w:val="0"/>
        <w:snapToGrid w:val="0"/>
        <w:jc w:val="both"/>
        <w:rPr>
          <w:rFonts w:eastAsia="SimSun"/>
          <w:sz w:val="21"/>
          <w:szCs w:val="21"/>
          <w:lang w:val="en-AU" w:eastAsia="en-NZ"/>
        </w:rPr>
      </w:pPr>
      <w:r w:rsidRPr="00F07EFA">
        <w:rPr>
          <w:rFonts w:eastAsia="SimSun"/>
          <w:sz w:val="21"/>
          <w:szCs w:val="21"/>
          <w:lang w:val="en-AU" w:eastAsia="en-NZ"/>
        </w:rPr>
        <w:t>Advise on any changes or updates to the recommended LRPs in SC10-MI-07 based on new developments, including any suggestions for further technical work before consideration of adoption of LRPs by fishery managers.</w:t>
      </w:r>
    </w:p>
    <w:p w14:paraId="7885D772" w14:textId="77777777" w:rsidR="00BA3E50" w:rsidRPr="00F07EFA" w:rsidRDefault="00BA3E50" w:rsidP="00241619">
      <w:pPr>
        <w:adjustRightInd w:val="0"/>
        <w:snapToGrid w:val="0"/>
        <w:ind w:left="720"/>
        <w:rPr>
          <w:rFonts w:eastAsia="SimSun"/>
          <w:sz w:val="21"/>
          <w:szCs w:val="21"/>
          <w:lang w:val="en-AU" w:eastAsia="en-NZ"/>
        </w:rPr>
      </w:pPr>
    </w:p>
    <w:p w14:paraId="41A727DA" w14:textId="77777777" w:rsidR="00BA3E50" w:rsidRPr="00F07EFA" w:rsidRDefault="00BA3E50" w:rsidP="00580EA4">
      <w:pPr>
        <w:numPr>
          <w:ilvl w:val="0"/>
          <w:numId w:val="105"/>
        </w:numPr>
        <w:adjustRightInd w:val="0"/>
        <w:snapToGrid w:val="0"/>
        <w:jc w:val="both"/>
        <w:rPr>
          <w:rFonts w:eastAsia="SimSun"/>
          <w:sz w:val="21"/>
          <w:szCs w:val="21"/>
          <w:lang w:val="en-AU" w:eastAsia="en-NZ"/>
        </w:rPr>
      </w:pPr>
      <w:r w:rsidRPr="00F07EFA">
        <w:rPr>
          <w:rFonts w:eastAsia="SimSun"/>
          <w:sz w:val="21"/>
          <w:szCs w:val="21"/>
          <w:lang w:val="en-AU" w:eastAsia="en-NZ"/>
        </w:rPr>
        <w:t xml:space="preserve">Review the work presently being undertaken by ISC on the development of stock-recruitment relationships and their parameter estimates, such as stock-recruitment steepness for North Pacific blue shark and assess the applicability of extending this work to other key shark species, especially South Pacific blue shark. </w:t>
      </w:r>
    </w:p>
    <w:p w14:paraId="44B09E5A" w14:textId="77777777" w:rsidR="00BA3E50" w:rsidRPr="00F07EFA" w:rsidRDefault="00BA3E50" w:rsidP="00241619">
      <w:pPr>
        <w:adjustRightInd w:val="0"/>
        <w:snapToGrid w:val="0"/>
        <w:jc w:val="both"/>
        <w:rPr>
          <w:rFonts w:eastAsia="Batang"/>
          <w:b/>
          <w:color w:val="000000"/>
          <w:sz w:val="21"/>
          <w:szCs w:val="21"/>
          <w:lang w:eastAsia="ko-KR"/>
        </w:rPr>
      </w:pPr>
    </w:p>
    <w:p w14:paraId="46B7B976" w14:textId="77777777" w:rsidR="00BA3E50" w:rsidRPr="00F07EFA" w:rsidRDefault="00BA3E50" w:rsidP="00241619">
      <w:pPr>
        <w:adjustRightInd w:val="0"/>
        <w:snapToGrid w:val="0"/>
        <w:jc w:val="both"/>
        <w:rPr>
          <w:rFonts w:eastAsia="Batang"/>
          <w:b/>
          <w:color w:val="000000"/>
          <w:sz w:val="21"/>
          <w:szCs w:val="21"/>
          <w:lang w:eastAsia="ko-KR"/>
        </w:rPr>
      </w:pPr>
      <w:r w:rsidRPr="00F07EFA">
        <w:rPr>
          <w:rFonts w:eastAsia="Batang"/>
          <w:b/>
          <w:color w:val="000000"/>
          <w:sz w:val="21"/>
          <w:szCs w:val="21"/>
          <w:lang w:eastAsia="zh-CN"/>
        </w:rPr>
        <w:t>Output:</w:t>
      </w:r>
    </w:p>
    <w:p w14:paraId="1152CABF" w14:textId="77777777" w:rsidR="00BA3E50" w:rsidRPr="00F07EFA" w:rsidRDefault="00BA3E50" w:rsidP="00241619">
      <w:pPr>
        <w:adjustRightInd w:val="0"/>
        <w:snapToGrid w:val="0"/>
        <w:jc w:val="both"/>
        <w:rPr>
          <w:rFonts w:eastAsia="Batang"/>
          <w:color w:val="000000"/>
          <w:sz w:val="21"/>
          <w:szCs w:val="21"/>
          <w:lang w:eastAsia="zh-CN"/>
        </w:rPr>
      </w:pPr>
      <w:r w:rsidRPr="00F07EFA">
        <w:rPr>
          <w:rFonts w:eastAsia="Batang"/>
          <w:color w:val="000000"/>
          <w:sz w:val="21"/>
          <w:szCs w:val="21"/>
          <w:lang w:eastAsia="zh-CN"/>
        </w:rPr>
        <w:t xml:space="preserve">The project will produce a final report which shall be presented to and reviewed by SC13. </w:t>
      </w:r>
    </w:p>
    <w:p w14:paraId="3038C3ED" w14:textId="77777777" w:rsidR="00BA3E50" w:rsidRPr="00F07EFA" w:rsidRDefault="00BA3E50" w:rsidP="00241619">
      <w:pPr>
        <w:adjustRightInd w:val="0"/>
        <w:snapToGrid w:val="0"/>
        <w:jc w:val="both"/>
        <w:rPr>
          <w:rFonts w:eastAsia="Batang"/>
          <w:b/>
          <w:color w:val="000000"/>
          <w:sz w:val="21"/>
          <w:szCs w:val="21"/>
          <w:lang w:eastAsia="ko-KR"/>
        </w:rPr>
      </w:pPr>
    </w:p>
    <w:p w14:paraId="0CC119F7" w14:textId="77777777" w:rsidR="00BA3E50" w:rsidRPr="00F07EFA" w:rsidRDefault="00BA3E50" w:rsidP="00241619">
      <w:pPr>
        <w:adjustRightInd w:val="0"/>
        <w:snapToGrid w:val="0"/>
        <w:jc w:val="both"/>
        <w:rPr>
          <w:rFonts w:eastAsia="Batang"/>
          <w:b/>
          <w:color w:val="000000"/>
          <w:sz w:val="21"/>
          <w:szCs w:val="21"/>
          <w:lang w:eastAsia="ko-KR"/>
        </w:rPr>
      </w:pPr>
      <w:r w:rsidRPr="00F07EFA">
        <w:rPr>
          <w:rFonts w:eastAsia="Batang"/>
          <w:b/>
          <w:color w:val="000000"/>
          <w:sz w:val="21"/>
          <w:szCs w:val="21"/>
          <w:lang w:eastAsia="zh-CN"/>
        </w:rPr>
        <w:t>Secretariat Support:</w:t>
      </w:r>
    </w:p>
    <w:p w14:paraId="670DDB6A" w14:textId="77777777" w:rsidR="00BA3E50" w:rsidRPr="00F07EFA" w:rsidRDefault="00BA3E50" w:rsidP="00241619">
      <w:pPr>
        <w:adjustRightInd w:val="0"/>
        <w:snapToGrid w:val="0"/>
        <w:jc w:val="both"/>
        <w:rPr>
          <w:rFonts w:eastAsia="Batang"/>
          <w:color w:val="000000"/>
          <w:sz w:val="21"/>
          <w:szCs w:val="21"/>
          <w:lang w:eastAsia="zh-CN"/>
        </w:rPr>
      </w:pPr>
      <w:r w:rsidRPr="00F07EFA">
        <w:rPr>
          <w:rFonts w:eastAsia="Batang"/>
          <w:color w:val="000000"/>
          <w:sz w:val="21"/>
          <w:szCs w:val="21"/>
          <w:lang w:eastAsia="zh-CN"/>
        </w:rPr>
        <w:t>The Principal Investigator for the project should liaise with the WCPFC Secretariat to help facilitate and coordinate arrangements for the workshop (e.g. arranging travel for the participants).</w:t>
      </w:r>
    </w:p>
    <w:p w14:paraId="19A764AD" w14:textId="77777777" w:rsidR="00BA3E50" w:rsidRPr="00F07EFA" w:rsidRDefault="00BA3E50" w:rsidP="00241619">
      <w:pPr>
        <w:adjustRightInd w:val="0"/>
        <w:snapToGrid w:val="0"/>
        <w:rPr>
          <w:rFonts w:eastAsia="Batang"/>
          <w:color w:val="000000"/>
          <w:sz w:val="21"/>
          <w:szCs w:val="21"/>
          <w:lang w:eastAsia="ko-KR"/>
        </w:rPr>
      </w:pPr>
    </w:p>
    <w:tbl>
      <w:tblPr>
        <w:tblStyle w:val="TableGrid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2D050"/>
        <w:tblLook w:val="04A0" w:firstRow="1" w:lastRow="0" w:firstColumn="1" w:lastColumn="0" w:noHBand="0" w:noVBand="1"/>
      </w:tblPr>
      <w:tblGrid>
        <w:gridCol w:w="9576"/>
      </w:tblGrid>
      <w:tr w:rsidR="00BA3E50" w:rsidRPr="00F07EFA" w14:paraId="2A6C20E0" w14:textId="77777777" w:rsidTr="002D5D17">
        <w:tc>
          <w:tcPr>
            <w:tcW w:w="9576" w:type="dxa"/>
            <w:shd w:val="clear" w:color="auto" w:fill="92D050"/>
          </w:tcPr>
          <w:p w14:paraId="45CDFB4B" w14:textId="77777777" w:rsidR="00BA3E50" w:rsidRPr="00F07EFA" w:rsidRDefault="00BA3E50" w:rsidP="00580EA4">
            <w:pPr>
              <w:numPr>
                <w:ilvl w:val="0"/>
                <w:numId w:val="53"/>
              </w:numPr>
              <w:tabs>
                <w:tab w:val="num" w:pos="360"/>
              </w:tabs>
              <w:adjustRightInd w:val="0"/>
              <w:snapToGrid w:val="0"/>
              <w:ind w:left="0" w:firstLine="0"/>
              <w:jc w:val="both"/>
              <w:outlineLvl w:val="0"/>
              <w:rPr>
                <w:rFonts w:eastAsia="SimSun" w:cs="Times New Roman"/>
                <w:b/>
                <w:caps/>
                <w:sz w:val="21"/>
                <w:szCs w:val="21"/>
                <w:lang w:val="en-AU" w:eastAsia="en-NZ"/>
              </w:rPr>
            </w:pPr>
            <w:r w:rsidRPr="00F07EFA">
              <w:rPr>
                <w:rFonts w:eastAsia="SimSun" w:cs="Times New Roman"/>
                <w:b/>
                <w:caps/>
                <w:sz w:val="21"/>
                <w:szCs w:val="21"/>
                <w:lang w:val="en-AU" w:eastAsia="en-NZ"/>
              </w:rPr>
              <w:t>Project 60</w:t>
            </w:r>
          </w:p>
          <w:p w14:paraId="0A2E39CD" w14:textId="77777777" w:rsidR="00BA3E50" w:rsidRPr="00F07EFA" w:rsidRDefault="00BA3E50" w:rsidP="00580EA4">
            <w:pPr>
              <w:numPr>
                <w:ilvl w:val="0"/>
                <w:numId w:val="53"/>
              </w:numPr>
              <w:tabs>
                <w:tab w:val="num" w:pos="360"/>
              </w:tabs>
              <w:adjustRightInd w:val="0"/>
              <w:snapToGrid w:val="0"/>
              <w:ind w:left="0" w:firstLine="0"/>
              <w:jc w:val="both"/>
              <w:outlineLvl w:val="0"/>
              <w:rPr>
                <w:rFonts w:eastAsia="SimSun" w:cs="Times New Roman"/>
                <w:b/>
                <w:sz w:val="21"/>
                <w:szCs w:val="21"/>
                <w:lang w:val="en-AU" w:eastAsia="en-NZ"/>
              </w:rPr>
            </w:pPr>
            <w:r w:rsidRPr="00F07EFA">
              <w:rPr>
                <w:rFonts w:cs="Times New Roman"/>
                <w:b/>
                <w:sz w:val="21"/>
                <w:szCs w:val="21"/>
                <w:lang w:val="en-AU" w:eastAsia="en-NZ"/>
              </w:rPr>
              <w:t>Improving purse seine species composition</w:t>
            </w:r>
          </w:p>
        </w:tc>
      </w:tr>
    </w:tbl>
    <w:p w14:paraId="1135FC15" w14:textId="77777777" w:rsidR="00BA3E50" w:rsidRPr="00F07EFA" w:rsidRDefault="00BA3E50" w:rsidP="00241619">
      <w:pPr>
        <w:keepNext/>
        <w:adjustRightInd w:val="0"/>
        <w:snapToGrid w:val="0"/>
        <w:jc w:val="both"/>
        <w:outlineLvl w:val="0"/>
        <w:rPr>
          <w:b/>
          <w:bCs/>
          <w:caps/>
          <w:sz w:val="21"/>
          <w:szCs w:val="21"/>
        </w:rPr>
      </w:pPr>
    </w:p>
    <w:p w14:paraId="5F1468C6" w14:textId="77777777" w:rsidR="00BA3E50" w:rsidRPr="00F07EFA" w:rsidRDefault="00BA3E50" w:rsidP="00241619">
      <w:pPr>
        <w:adjustRightInd w:val="0"/>
        <w:snapToGrid w:val="0"/>
        <w:rPr>
          <w:rFonts w:eastAsia="Batang"/>
          <w:color w:val="000000"/>
          <w:sz w:val="21"/>
          <w:szCs w:val="21"/>
          <w:lang w:eastAsia="zh-CN"/>
        </w:rPr>
      </w:pPr>
      <w:r w:rsidRPr="00F07EFA">
        <w:rPr>
          <w:rFonts w:eastAsia="Batang"/>
          <w:color w:val="000000"/>
          <w:sz w:val="21"/>
          <w:szCs w:val="21"/>
          <w:lang w:eastAsia="zh-CN"/>
        </w:rPr>
        <w:t>This work continues to build upon work to date under Project 60 and reported in SC14-ST-WP-02. SC14 recommended that the:</w:t>
      </w:r>
    </w:p>
    <w:p w14:paraId="2D046825" w14:textId="77777777" w:rsidR="00BA3E50" w:rsidRPr="00F07EFA" w:rsidRDefault="00BA3E50" w:rsidP="00580EA4">
      <w:pPr>
        <w:numPr>
          <w:ilvl w:val="0"/>
          <w:numId w:val="119"/>
        </w:numPr>
        <w:adjustRightInd w:val="0"/>
        <w:snapToGrid w:val="0"/>
        <w:ind w:left="426" w:hanging="284"/>
        <w:jc w:val="both"/>
        <w:rPr>
          <w:rFonts w:eastAsia="SimSun"/>
          <w:sz w:val="21"/>
          <w:szCs w:val="21"/>
          <w:lang w:val="en-AU" w:eastAsia="en-NZ"/>
        </w:rPr>
      </w:pPr>
      <w:r w:rsidRPr="00F07EFA">
        <w:rPr>
          <w:rFonts w:eastAsia="SimSun"/>
          <w:sz w:val="21"/>
          <w:szCs w:val="21"/>
          <w:lang w:val="en-AU" w:eastAsia="en-NZ"/>
        </w:rPr>
        <w:t>Future work proposed by the Scientific Service</w:t>
      </w:r>
      <w:r w:rsidR="00C93CB8">
        <w:rPr>
          <w:rFonts w:eastAsiaTheme="minorEastAsia" w:hint="eastAsia"/>
          <w:sz w:val="21"/>
          <w:szCs w:val="21"/>
          <w:lang w:val="en-AU" w:eastAsia="ko-KR"/>
        </w:rPr>
        <w:t>s</w:t>
      </w:r>
      <w:r w:rsidRPr="00F07EFA">
        <w:rPr>
          <w:rFonts w:eastAsia="SimSun"/>
          <w:sz w:val="21"/>
          <w:szCs w:val="21"/>
          <w:lang w:val="en-AU" w:eastAsia="en-NZ"/>
        </w:rPr>
        <w:t xml:space="preserve"> Provider under Project 60 (Improving purse seine species composition) continue over the coming two years.</w:t>
      </w:r>
    </w:p>
    <w:p w14:paraId="1D1C22B8" w14:textId="77777777" w:rsidR="00BA3E50" w:rsidRPr="00F07EFA" w:rsidRDefault="00BA3E50" w:rsidP="00241619">
      <w:pPr>
        <w:adjustRightInd w:val="0"/>
        <w:snapToGrid w:val="0"/>
        <w:ind w:left="426" w:hanging="284"/>
        <w:rPr>
          <w:rFonts w:eastAsia="SimSun"/>
          <w:sz w:val="21"/>
          <w:szCs w:val="21"/>
          <w:lang w:val="en-AU" w:eastAsia="en-NZ"/>
        </w:rPr>
      </w:pPr>
    </w:p>
    <w:p w14:paraId="5B6CA710" w14:textId="77777777" w:rsidR="00BA3E50" w:rsidRPr="00F07EFA" w:rsidRDefault="00BA3E50" w:rsidP="00241619">
      <w:pPr>
        <w:adjustRightInd w:val="0"/>
        <w:snapToGrid w:val="0"/>
        <w:rPr>
          <w:rFonts w:eastAsia="Batang"/>
          <w:color w:val="000000"/>
          <w:sz w:val="21"/>
          <w:szCs w:val="21"/>
          <w:lang w:eastAsia="zh-CN"/>
        </w:rPr>
      </w:pPr>
      <w:r w:rsidRPr="00F07EFA">
        <w:rPr>
          <w:rFonts w:eastAsia="Batang"/>
          <w:color w:val="000000"/>
          <w:sz w:val="21"/>
          <w:szCs w:val="21"/>
          <w:lang w:eastAsia="zh-CN"/>
        </w:rPr>
        <w:t>The scope of work will include, but not limited to, the following items below:</w:t>
      </w:r>
    </w:p>
    <w:p w14:paraId="7251EFD2" w14:textId="77777777" w:rsidR="00BA3E50" w:rsidRPr="00F07EFA" w:rsidRDefault="00BA3E50" w:rsidP="00580EA4">
      <w:pPr>
        <w:numPr>
          <w:ilvl w:val="0"/>
          <w:numId w:val="101"/>
        </w:numPr>
        <w:autoSpaceDE w:val="0"/>
        <w:autoSpaceDN w:val="0"/>
        <w:adjustRightInd w:val="0"/>
        <w:snapToGrid w:val="0"/>
        <w:ind w:left="426"/>
        <w:jc w:val="both"/>
        <w:rPr>
          <w:rFonts w:eastAsia="SimSun"/>
          <w:sz w:val="21"/>
          <w:szCs w:val="21"/>
          <w:lang w:val="en-NZ" w:eastAsia="en-NZ"/>
        </w:rPr>
      </w:pPr>
      <w:r w:rsidRPr="00F07EFA">
        <w:rPr>
          <w:rFonts w:eastAsia="SimSun"/>
          <w:sz w:val="21"/>
          <w:szCs w:val="21"/>
          <w:lang w:val="en-NZ" w:eastAsia="en-NZ"/>
        </w:rPr>
        <w:t>Continue to identify key sources of sampling bias in the manner in which species composition data are currently collected from WCPO purse seine fisheries and investigate how such biases can be reduced</w:t>
      </w:r>
    </w:p>
    <w:p w14:paraId="4C6A316A" w14:textId="77777777" w:rsidR="00BA3E50" w:rsidRPr="00F07EFA" w:rsidRDefault="00BA3E50" w:rsidP="00580EA4">
      <w:pPr>
        <w:numPr>
          <w:ilvl w:val="0"/>
          <w:numId w:val="101"/>
        </w:numPr>
        <w:autoSpaceDE w:val="0"/>
        <w:autoSpaceDN w:val="0"/>
        <w:adjustRightInd w:val="0"/>
        <w:snapToGrid w:val="0"/>
        <w:ind w:left="426"/>
        <w:jc w:val="both"/>
        <w:rPr>
          <w:rFonts w:eastAsia="SimSun"/>
          <w:sz w:val="21"/>
          <w:szCs w:val="21"/>
          <w:lang w:val="en-NZ" w:eastAsia="en-NZ"/>
        </w:rPr>
      </w:pPr>
      <w:r w:rsidRPr="00F07EFA">
        <w:rPr>
          <w:rFonts w:eastAsia="SimSun"/>
          <w:sz w:val="21"/>
          <w:szCs w:val="21"/>
          <w:lang w:val="en-NZ" w:eastAsia="en-NZ"/>
        </w:rPr>
        <w:t xml:space="preserve">Review a broad range of sampling schemes at sea as well as onshore; develop appropriate sampling designs to obtain unbiased species composition data by evaluating the selected sampling procedures; extend sampling to include fleets, areas and set types where no representative sampling has taken place; verify, where possible, the results of the paired sampling against cannery, unloading and port sampling data </w:t>
      </w:r>
    </w:p>
    <w:p w14:paraId="20F69F87" w14:textId="77777777" w:rsidR="00BA3E50" w:rsidRPr="00F07EFA" w:rsidRDefault="00BA3E50" w:rsidP="00580EA4">
      <w:pPr>
        <w:numPr>
          <w:ilvl w:val="0"/>
          <w:numId w:val="101"/>
        </w:numPr>
        <w:autoSpaceDE w:val="0"/>
        <w:autoSpaceDN w:val="0"/>
        <w:adjustRightInd w:val="0"/>
        <w:snapToGrid w:val="0"/>
        <w:ind w:left="426"/>
        <w:jc w:val="both"/>
        <w:rPr>
          <w:rFonts w:eastAsia="SimSun"/>
          <w:sz w:val="21"/>
          <w:szCs w:val="21"/>
          <w:lang w:val="en-NZ" w:eastAsia="en-NZ"/>
        </w:rPr>
      </w:pPr>
      <w:r w:rsidRPr="00F07EFA">
        <w:rPr>
          <w:rFonts w:eastAsia="SimSun"/>
          <w:sz w:val="21"/>
          <w:szCs w:val="21"/>
          <w:lang w:val="en-NZ" w:eastAsia="en-NZ"/>
        </w:rPr>
        <w:t>Review current stock assessment input data in relation to purse-seine species composition and investigate any other areas to be improved in species composition data, including the improvements of the accuracy of collected data,</w:t>
      </w:r>
    </w:p>
    <w:p w14:paraId="3052C6BA" w14:textId="77777777" w:rsidR="00BA3E50" w:rsidRPr="00F07EFA" w:rsidRDefault="00BA3E50" w:rsidP="00580EA4">
      <w:pPr>
        <w:numPr>
          <w:ilvl w:val="0"/>
          <w:numId w:val="101"/>
        </w:numPr>
        <w:autoSpaceDE w:val="0"/>
        <w:autoSpaceDN w:val="0"/>
        <w:adjustRightInd w:val="0"/>
        <w:snapToGrid w:val="0"/>
        <w:ind w:left="426"/>
        <w:jc w:val="both"/>
        <w:rPr>
          <w:rFonts w:eastAsia="SimSun"/>
          <w:sz w:val="21"/>
          <w:szCs w:val="21"/>
          <w:lang w:val="en-NZ" w:eastAsia="en-NZ"/>
        </w:rPr>
      </w:pPr>
      <w:r w:rsidRPr="00F07EFA">
        <w:rPr>
          <w:rFonts w:eastAsia="SimSun"/>
          <w:sz w:val="21"/>
          <w:szCs w:val="21"/>
          <w:lang w:val="en-NZ" w:eastAsia="en-NZ"/>
        </w:rPr>
        <w:t>Update standard spill sampling methodology if required.</w:t>
      </w:r>
    </w:p>
    <w:p w14:paraId="729E8863" w14:textId="77777777" w:rsidR="00BA3E50" w:rsidRPr="00F07EFA" w:rsidRDefault="00BA3E50" w:rsidP="00580EA4">
      <w:pPr>
        <w:numPr>
          <w:ilvl w:val="0"/>
          <w:numId w:val="101"/>
        </w:numPr>
        <w:autoSpaceDE w:val="0"/>
        <w:autoSpaceDN w:val="0"/>
        <w:adjustRightInd w:val="0"/>
        <w:snapToGrid w:val="0"/>
        <w:ind w:left="426"/>
        <w:jc w:val="both"/>
        <w:rPr>
          <w:rFonts w:eastAsia="SimSun"/>
          <w:sz w:val="21"/>
          <w:szCs w:val="21"/>
          <w:lang w:val="en-NZ" w:eastAsia="en-NZ"/>
        </w:rPr>
      </w:pPr>
      <w:r w:rsidRPr="00F07EFA">
        <w:rPr>
          <w:rFonts w:eastAsia="SimSun"/>
          <w:sz w:val="21"/>
          <w:szCs w:val="21"/>
          <w:lang w:val="en-NZ" w:eastAsia="en-NZ"/>
        </w:rPr>
        <w:t>Analyse additional data collected to evaluate the benefits of spill sampling compared to corrected grab-sampling.</w:t>
      </w:r>
    </w:p>
    <w:p w14:paraId="46E32E5B" w14:textId="77777777" w:rsidR="00BA3E50" w:rsidRPr="00F07EFA" w:rsidRDefault="00BA3E50" w:rsidP="00241619">
      <w:pPr>
        <w:adjustRightInd w:val="0"/>
        <w:snapToGrid w:val="0"/>
        <w:rPr>
          <w:rFonts w:eastAsia="Batang"/>
          <w:color w:val="000000"/>
          <w:sz w:val="21"/>
          <w:szCs w:val="21"/>
          <w:lang w:eastAsia="zh-CN"/>
        </w:rPr>
      </w:pPr>
    </w:p>
    <w:p w14:paraId="14764495" w14:textId="77777777" w:rsidR="00BA3E50" w:rsidRPr="00F07EFA" w:rsidRDefault="00BA3E50" w:rsidP="00241619">
      <w:pPr>
        <w:adjustRightInd w:val="0"/>
        <w:snapToGrid w:val="0"/>
        <w:rPr>
          <w:rFonts w:eastAsia="Batang"/>
          <w:color w:val="000000"/>
          <w:sz w:val="21"/>
          <w:szCs w:val="21"/>
          <w:u w:val="single"/>
          <w:lang w:eastAsia="zh-CN"/>
        </w:rPr>
      </w:pPr>
      <w:r w:rsidRPr="00F07EFA">
        <w:rPr>
          <w:rFonts w:eastAsia="Batang"/>
          <w:color w:val="000000"/>
          <w:sz w:val="21"/>
          <w:szCs w:val="21"/>
          <w:u w:val="single"/>
          <w:lang w:eastAsia="zh-CN"/>
        </w:rPr>
        <w:t>2018 Tasks</w:t>
      </w:r>
    </w:p>
    <w:p w14:paraId="1831D4B5" w14:textId="77777777" w:rsidR="00BA3E50" w:rsidRPr="00F07EFA" w:rsidRDefault="00BA3E50" w:rsidP="00241619">
      <w:pPr>
        <w:adjustRightInd w:val="0"/>
        <w:snapToGrid w:val="0"/>
        <w:rPr>
          <w:rFonts w:eastAsia="Batang"/>
          <w:color w:val="000000"/>
          <w:sz w:val="21"/>
          <w:szCs w:val="21"/>
          <w:lang w:eastAsia="zh-CN"/>
        </w:rPr>
      </w:pPr>
      <w:r w:rsidRPr="00F07EFA">
        <w:rPr>
          <w:rFonts w:eastAsia="Batang"/>
          <w:color w:val="000000"/>
          <w:sz w:val="21"/>
          <w:szCs w:val="21"/>
          <w:lang w:eastAsia="zh-CN"/>
        </w:rPr>
        <w:t xml:space="preserve">This work should be progressed by the following activities: </w:t>
      </w:r>
    </w:p>
    <w:p w14:paraId="4AB9EFA8" w14:textId="77777777" w:rsidR="00BA3E50" w:rsidRPr="00F07EFA" w:rsidRDefault="00BA3E50" w:rsidP="00580EA4">
      <w:pPr>
        <w:numPr>
          <w:ilvl w:val="0"/>
          <w:numId w:val="102"/>
        </w:numPr>
        <w:adjustRightInd w:val="0"/>
        <w:snapToGrid w:val="0"/>
        <w:ind w:left="426"/>
        <w:jc w:val="both"/>
        <w:rPr>
          <w:rFonts w:eastAsia="SimSun"/>
          <w:sz w:val="21"/>
          <w:szCs w:val="21"/>
          <w:lang w:val="en-AU" w:eastAsia="en-NZ"/>
        </w:rPr>
      </w:pPr>
      <w:r w:rsidRPr="00F07EFA">
        <w:rPr>
          <w:rFonts w:eastAsia="SimSun"/>
          <w:sz w:val="21"/>
          <w:szCs w:val="21"/>
          <w:lang w:val="en-AU" w:eastAsia="en-NZ"/>
        </w:rPr>
        <w:t>Where possible and logistically feasible, observer programmes should continue to undertake paired sampling trials on a limited basis (up to 6 trips per year</w:t>
      </w:r>
      <w:r w:rsidRPr="00F07EFA">
        <w:rPr>
          <w:rFonts w:eastAsia="SimSun"/>
          <w:sz w:val="21"/>
          <w:szCs w:val="21"/>
          <w:vertAlign w:val="superscript"/>
          <w:lang w:val="en-AU" w:eastAsia="en-NZ"/>
        </w:rPr>
        <w:footnoteReference w:id="15"/>
      </w:r>
      <w:r w:rsidRPr="00F07EFA">
        <w:rPr>
          <w:rFonts w:eastAsia="SimSun"/>
          <w:sz w:val="21"/>
          <w:szCs w:val="21"/>
          <w:lang w:val="en-AU" w:eastAsia="en-NZ"/>
        </w:rPr>
        <w:t xml:space="preserve">) to continue to refine estimates of selectivity bias and to support additional simulation modelling (see also Table 1 below). </w:t>
      </w:r>
    </w:p>
    <w:p w14:paraId="5A2BD9F2" w14:textId="77777777" w:rsidR="00BA3E50" w:rsidRPr="00F07EFA" w:rsidRDefault="00BA3E50" w:rsidP="00580EA4">
      <w:pPr>
        <w:numPr>
          <w:ilvl w:val="0"/>
          <w:numId w:val="102"/>
        </w:numPr>
        <w:adjustRightInd w:val="0"/>
        <w:snapToGrid w:val="0"/>
        <w:ind w:left="426"/>
        <w:jc w:val="both"/>
        <w:rPr>
          <w:rFonts w:eastAsia="SimSun"/>
          <w:sz w:val="21"/>
          <w:szCs w:val="21"/>
          <w:lang w:val="en-AU" w:eastAsia="en-NZ"/>
        </w:rPr>
      </w:pPr>
      <w:r w:rsidRPr="00F07EFA">
        <w:rPr>
          <w:rFonts w:eastAsia="SimSun"/>
          <w:sz w:val="21"/>
          <w:szCs w:val="21"/>
          <w:lang w:val="en-AU" w:eastAsia="en-NZ"/>
        </w:rPr>
        <w:t xml:space="preserve">Where possible, paired sampling trials should be undertaken on trips for which high quality unloadings and port-sampling data are likely to be available, to allow additional observer sampling / unloading comparisons. </w:t>
      </w:r>
    </w:p>
    <w:p w14:paraId="5F54F18D" w14:textId="77777777" w:rsidR="00BA3E50" w:rsidRPr="00F07EFA" w:rsidRDefault="00BA3E50" w:rsidP="00580EA4">
      <w:pPr>
        <w:numPr>
          <w:ilvl w:val="0"/>
          <w:numId w:val="102"/>
        </w:numPr>
        <w:adjustRightInd w:val="0"/>
        <w:snapToGrid w:val="0"/>
        <w:ind w:left="426"/>
        <w:jc w:val="both"/>
        <w:rPr>
          <w:rFonts w:eastAsia="SimSun"/>
          <w:sz w:val="21"/>
          <w:szCs w:val="21"/>
          <w:lang w:val="en-AU" w:eastAsia="en-NZ"/>
        </w:rPr>
      </w:pPr>
      <w:r w:rsidRPr="00F07EFA">
        <w:rPr>
          <w:rFonts w:eastAsia="SimSun"/>
          <w:sz w:val="21"/>
          <w:szCs w:val="21"/>
          <w:lang w:val="en-AU" w:eastAsia="en-NZ"/>
        </w:rPr>
        <w:t>Undertake additional simulation modelling to estimate precision and bias of using corrected grab sampling data as the basis for estimating purse seine species composition at various levels of resolution, including consideration of within-brail variability in size compositions.</w:t>
      </w:r>
    </w:p>
    <w:p w14:paraId="58C3A9DA" w14:textId="77777777" w:rsidR="00BA3E50" w:rsidRPr="00F07EFA" w:rsidRDefault="00BA3E50" w:rsidP="00580EA4">
      <w:pPr>
        <w:numPr>
          <w:ilvl w:val="0"/>
          <w:numId w:val="102"/>
        </w:numPr>
        <w:adjustRightInd w:val="0"/>
        <w:snapToGrid w:val="0"/>
        <w:ind w:left="426"/>
        <w:jc w:val="both"/>
        <w:rPr>
          <w:rFonts w:eastAsia="SimSun"/>
          <w:sz w:val="21"/>
          <w:szCs w:val="21"/>
          <w:lang w:val="en-AU" w:eastAsia="en-NZ"/>
        </w:rPr>
      </w:pPr>
      <w:r w:rsidRPr="00F07EFA">
        <w:rPr>
          <w:rFonts w:eastAsia="SimSun"/>
          <w:sz w:val="21"/>
          <w:szCs w:val="21"/>
          <w:lang w:val="en-AU" w:eastAsia="en-NZ"/>
        </w:rPr>
        <w:t>Revise the models of species compositions that are used to estimate species-specific catches.</w:t>
      </w:r>
    </w:p>
    <w:p w14:paraId="65580528" w14:textId="77777777" w:rsidR="00BA3E50" w:rsidRPr="00F07EFA" w:rsidRDefault="00BA3E50" w:rsidP="00580EA4">
      <w:pPr>
        <w:numPr>
          <w:ilvl w:val="0"/>
          <w:numId w:val="102"/>
        </w:numPr>
        <w:adjustRightInd w:val="0"/>
        <w:snapToGrid w:val="0"/>
        <w:ind w:left="426"/>
        <w:jc w:val="both"/>
        <w:rPr>
          <w:rFonts w:eastAsia="SimSun"/>
          <w:sz w:val="21"/>
          <w:szCs w:val="21"/>
          <w:lang w:val="en-AU" w:eastAsia="en-NZ"/>
        </w:rPr>
      </w:pPr>
      <w:r w:rsidRPr="00F07EFA">
        <w:rPr>
          <w:rFonts w:eastAsia="SimSun"/>
          <w:sz w:val="21"/>
          <w:szCs w:val="21"/>
          <w:lang w:val="en-AU" w:eastAsia="en-NZ"/>
        </w:rPr>
        <w:t>Review, and if necessary revise the approach used to estimate catch compositions directly from observer samples.</w:t>
      </w:r>
    </w:p>
    <w:p w14:paraId="7CCABE1F" w14:textId="77777777" w:rsidR="00BA3E50" w:rsidRPr="00F07EFA" w:rsidRDefault="00BA3E50" w:rsidP="00580EA4">
      <w:pPr>
        <w:numPr>
          <w:ilvl w:val="0"/>
          <w:numId w:val="102"/>
        </w:numPr>
        <w:adjustRightInd w:val="0"/>
        <w:snapToGrid w:val="0"/>
        <w:ind w:left="426"/>
        <w:jc w:val="both"/>
        <w:rPr>
          <w:rFonts w:eastAsia="SimSun"/>
          <w:sz w:val="21"/>
          <w:szCs w:val="21"/>
          <w:lang w:val="en-AU" w:eastAsia="en-NZ"/>
        </w:rPr>
      </w:pPr>
      <w:r w:rsidRPr="00F07EFA">
        <w:rPr>
          <w:rFonts w:eastAsia="SimSun"/>
          <w:sz w:val="21"/>
          <w:szCs w:val="21"/>
          <w:lang w:val="en-AU" w:eastAsia="en-NZ"/>
        </w:rPr>
        <w:t>Report alternative species composition estimates to SC15 with stepwise changes from the existing approach, including: correction of bias using multinomial-model based correction factors; revised models of species compositions; and if necessary, stratification by flag when obtaining catch compositions directly from observer samples.</w:t>
      </w:r>
    </w:p>
    <w:p w14:paraId="08ECAF5D" w14:textId="77777777" w:rsidR="00BA3E50" w:rsidRPr="00F07EFA" w:rsidRDefault="00BA3E50" w:rsidP="00580EA4">
      <w:pPr>
        <w:numPr>
          <w:ilvl w:val="0"/>
          <w:numId w:val="102"/>
        </w:numPr>
        <w:adjustRightInd w:val="0"/>
        <w:snapToGrid w:val="0"/>
        <w:ind w:left="426"/>
        <w:jc w:val="both"/>
        <w:rPr>
          <w:rFonts w:eastAsia="SimSun"/>
          <w:sz w:val="21"/>
          <w:szCs w:val="21"/>
          <w:lang w:val="en-AU" w:eastAsia="en-NZ"/>
        </w:rPr>
      </w:pPr>
      <w:r w:rsidRPr="00F07EFA">
        <w:rPr>
          <w:rFonts w:eastAsia="SimSun"/>
          <w:sz w:val="21"/>
          <w:szCs w:val="21"/>
          <w:lang w:val="en-AU" w:eastAsia="en-NZ"/>
        </w:rPr>
        <w:t>Consider other work in progress to assess the accuracy of cannery records with respect to estimates of species composition at the trip level. If accurate data could be obtained from canneries, it would be an invaluable additional source of information for the estimation of species composition of the purse seine catch.</w:t>
      </w:r>
    </w:p>
    <w:p w14:paraId="7B103F40" w14:textId="77777777" w:rsidR="00BA3E50" w:rsidRPr="00F07EFA" w:rsidRDefault="00BA3E50" w:rsidP="00241619">
      <w:pPr>
        <w:adjustRightInd w:val="0"/>
        <w:snapToGrid w:val="0"/>
        <w:rPr>
          <w:rFonts w:eastAsia="Batang"/>
          <w:color w:val="000000"/>
          <w:sz w:val="21"/>
          <w:szCs w:val="21"/>
          <w:lang w:eastAsia="zh-CN"/>
        </w:rPr>
      </w:pPr>
    </w:p>
    <w:p w14:paraId="39576A7E" w14:textId="77777777" w:rsidR="00BA3E50" w:rsidRPr="00F07EFA" w:rsidRDefault="00BA3E50" w:rsidP="00241619">
      <w:pPr>
        <w:adjustRightInd w:val="0"/>
        <w:snapToGrid w:val="0"/>
        <w:rPr>
          <w:rFonts w:eastAsia="Batang"/>
          <w:color w:val="000000"/>
          <w:sz w:val="21"/>
          <w:szCs w:val="21"/>
          <w:lang w:val="en-AU" w:eastAsia="zh-CN"/>
        </w:rPr>
      </w:pPr>
      <w:r w:rsidRPr="00F07EFA">
        <w:rPr>
          <w:rFonts w:eastAsia="Batang"/>
          <w:b/>
          <w:bCs/>
          <w:color w:val="000000"/>
          <w:sz w:val="21"/>
          <w:szCs w:val="21"/>
          <w:lang w:val="en-AU" w:eastAsia="zh-CN"/>
        </w:rPr>
        <w:t xml:space="preserve">Table 1: </w:t>
      </w:r>
      <w:r w:rsidRPr="00F07EFA">
        <w:rPr>
          <w:rFonts w:eastAsia="Batang"/>
          <w:color w:val="000000"/>
          <w:sz w:val="21"/>
          <w:szCs w:val="21"/>
          <w:lang w:val="en-AU" w:eastAsia="zh-CN"/>
        </w:rPr>
        <w:t>Paired spill/grab sampling trips completed to date, and future sampling targets for Project 60.</w:t>
      </w:r>
    </w:p>
    <w:tbl>
      <w:tblPr>
        <w:tblW w:w="5182" w:type="dxa"/>
        <w:tblInd w:w="198" w:type="dxa"/>
        <w:tblCellMar>
          <w:left w:w="0" w:type="dxa"/>
          <w:right w:w="0" w:type="dxa"/>
        </w:tblCellMar>
        <w:tblLook w:val="04A0" w:firstRow="1" w:lastRow="0" w:firstColumn="1" w:lastColumn="0" w:noHBand="0" w:noVBand="1"/>
      </w:tblPr>
      <w:tblGrid>
        <w:gridCol w:w="1482"/>
        <w:gridCol w:w="2100"/>
        <w:gridCol w:w="1600"/>
      </w:tblGrid>
      <w:tr w:rsidR="00BA3E50" w:rsidRPr="00F07EFA" w14:paraId="0E496237" w14:textId="77777777" w:rsidTr="00F07EFA">
        <w:tc>
          <w:tcPr>
            <w:tcW w:w="148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99D4182" w14:textId="77777777" w:rsidR="00BA3E50" w:rsidRPr="00F07EFA" w:rsidRDefault="00BA3E50" w:rsidP="00F07EFA">
            <w:pPr>
              <w:adjustRightInd w:val="0"/>
              <w:snapToGrid w:val="0"/>
              <w:jc w:val="center"/>
              <w:rPr>
                <w:rFonts w:eastAsia="Batang"/>
                <w:b/>
                <w:bCs/>
                <w:color w:val="000000"/>
                <w:sz w:val="21"/>
                <w:szCs w:val="21"/>
                <w:lang w:val="en-AU" w:eastAsia="zh-CN"/>
              </w:rPr>
            </w:pPr>
            <w:r w:rsidRPr="00F07EFA">
              <w:rPr>
                <w:rFonts w:eastAsia="Batang"/>
                <w:b/>
                <w:bCs/>
                <w:color w:val="000000"/>
                <w:sz w:val="21"/>
                <w:szCs w:val="21"/>
                <w:lang w:val="en-AU" w:eastAsia="zh-CN"/>
              </w:rPr>
              <w:t>Flag</w:t>
            </w:r>
          </w:p>
        </w:tc>
        <w:tc>
          <w:tcPr>
            <w:tcW w:w="21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0E6FAFB" w14:textId="77777777" w:rsidR="00BA3E50" w:rsidRPr="00F07EFA" w:rsidRDefault="00BA3E50" w:rsidP="00F07EFA">
            <w:pPr>
              <w:adjustRightInd w:val="0"/>
              <w:snapToGrid w:val="0"/>
              <w:jc w:val="center"/>
              <w:rPr>
                <w:rFonts w:eastAsia="Batang"/>
                <w:b/>
                <w:bCs/>
                <w:color w:val="000000"/>
                <w:sz w:val="21"/>
                <w:szCs w:val="21"/>
                <w:lang w:val="en-AU" w:eastAsia="zh-CN"/>
              </w:rPr>
            </w:pPr>
            <w:r w:rsidRPr="00F07EFA">
              <w:rPr>
                <w:rFonts w:eastAsia="Batang"/>
                <w:b/>
                <w:bCs/>
                <w:color w:val="000000"/>
                <w:sz w:val="21"/>
                <w:szCs w:val="21"/>
                <w:lang w:val="en-AU" w:eastAsia="zh-CN"/>
              </w:rPr>
              <w:t>Paired trips completed</w:t>
            </w:r>
          </w:p>
        </w:tc>
        <w:tc>
          <w:tcPr>
            <w:tcW w:w="16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8375875" w14:textId="77777777" w:rsidR="00BA3E50" w:rsidRPr="00F07EFA" w:rsidRDefault="00BA3E50" w:rsidP="00F07EFA">
            <w:pPr>
              <w:adjustRightInd w:val="0"/>
              <w:snapToGrid w:val="0"/>
              <w:jc w:val="center"/>
              <w:rPr>
                <w:rFonts w:eastAsia="Batang"/>
                <w:b/>
                <w:bCs/>
                <w:color w:val="000000"/>
                <w:sz w:val="21"/>
                <w:szCs w:val="21"/>
                <w:lang w:val="en-AU" w:eastAsia="zh-CN"/>
              </w:rPr>
            </w:pPr>
            <w:r w:rsidRPr="00F07EFA">
              <w:rPr>
                <w:rFonts w:eastAsia="Batang"/>
                <w:b/>
                <w:bCs/>
                <w:color w:val="000000"/>
                <w:sz w:val="21"/>
                <w:szCs w:val="21"/>
                <w:lang w:val="en-AU" w:eastAsia="zh-CN"/>
              </w:rPr>
              <w:t>Target fleets</w:t>
            </w:r>
          </w:p>
        </w:tc>
      </w:tr>
      <w:tr w:rsidR="00BA3E50" w:rsidRPr="00F07EFA" w14:paraId="3C88CE49" w14:textId="77777777"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498610"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FM</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A8E27E"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3</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05A49C"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 </w:t>
            </w:r>
          </w:p>
        </w:tc>
      </w:tr>
      <w:tr w:rsidR="00BA3E50" w:rsidRPr="00F07EFA" w14:paraId="5D19168A" w14:textId="77777777"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5EA9A6"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JP</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9F2B0F"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6</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43AB8D"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w:t>
            </w:r>
          </w:p>
        </w:tc>
      </w:tr>
      <w:tr w:rsidR="00BA3E50" w:rsidRPr="00F07EFA" w14:paraId="4DC77B7E" w14:textId="77777777"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828F91"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KR</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CA6292"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7</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348461"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 </w:t>
            </w:r>
          </w:p>
        </w:tc>
      </w:tr>
      <w:tr w:rsidR="00BA3E50" w:rsidRPr="00F07EFA" w14:paraId="35F72F3B" w14:textId="77777777"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D96D15"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PG</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3AB670"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14</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75D19D"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 </w:t>
            </w:r>
          </w:p>
        </w:tc>
      </w:tr>
      <w:tr w:rsidR="00BA3E50" w:rsidRPr="00F07EFA" w14:paraId="4497ECA7" w14:textId="77777777"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DBB0F0"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PH</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1FE478"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10</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8C9E0C"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 </w:t>
            </w:r>
          </w:p>
        </w:tc>
      </w:tr>
      <w:tr w:rsidR="00BA3E50" w:rsidRPr="00F07EFA" w14:paraId="4EBC9AFD" w14:textId="77777777"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5EA8A6"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SB</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78A3F3"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12</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366B3A"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w:t>
            </w:r>
          </w:p>
        </w:tc>
      </w:tr>
      <w:tr w:rsidR="00BA3E50" w:rsidRPr="00F07EFA" w14:paraId="3C833018" w14:textId="77777777"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92ACC2"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TW</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FA67F0"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4</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725DBF"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 </w:t>
            </w:r>
          </w:p>
        </w:tc>
      </w:tr>
      <w:tr w:rsidR="00BA3E50" w:rsidRPr="00F07EFA" w14:paraId="67571EC0" w14:textId="77777777"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D8DC0B"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US</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7E44E0"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7</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2505AA" w14:textId="77777777"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w:t>
            </w:r>
          </w:p>
        </w:tc>
      </w:tr>
      <w:tr w:rsidR="00BA3E50" w:rsidRPr="00F07EFA" w14:paraId="40D11FD4" w14:textId="77777777"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439D58" w14:textId="77777777" w:rsidR="00BA3E50" w:rsidRPr="00F07EFA" w:rsidRDefault="00BA3E50" w:rsidP="00F07EFA">
            <w:pPr>
              <w:adjustRightInd w:val="0"/>
              <w:snapToGrid w:val="0"/>
              <w:rPr>
                <w:rFonts w:eastAsia="Batang"/>
                <w:b/>
                <w:bCs/>
                <w:color w:val="000000"/>
                <w:sz w:val="21"/>
                <w:szCs w:val="21"/>
                <w:lang w:val="en-AU" w:eastAsia="zh-CN"/>
              </w:rPr>
            </w:pPr>
            <w:r w:rsidRPr="00F07EFA">
              <w:rPr>
                <w:rFonts w:eastAsia="Batang"/>
                <w:b/>
                <w:bCs/>
                <w:color w:val="000000"/>
                <w:sz w:val="21"/>
                <w:szCs w:val="21"/>
                <w:lang w:val="en-AU" w:eastAsia="zh-CN"/>
              </w:rPr>
              <w:t>Total</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F7FA89" w14:textId="77777777" w:rsidR="00BA3E50" w:rsidRPr="00F07EFA" w:rsidRDefault="00BA3E50" w:rsidP="00F07EFA">
            <w:pPr>
              <w:adjustRightInd w:val="0"/>
              <w:snapToGrid w:val="0"/>
              <w:rPr>
                <w:rFonts w:eastAsia="Batang"/>
                <w:b/>
                <w:bCs/>
                <w:color w:val="000000"/>
                <w:sz w:val="21"/>
                <w:szCs w:val="21"/>
                <w:lang w:val="en-AU" w:eastAsia="zh-CN"/>
              </w:rPr>
            </w:pPr>
            <w:r w:rsidRPr="00F07EFA">
              <w:rPr>
                <w:rFonts w:eastAsia="Batang"/>
                <w:b/>
                <w:bCs/>
                <w:color w:val="000000"/>
                <w:sz w:val="21"/>
                <w:szCs w:val="21"/>
                <w:lang w:val="en-AU" w:eastAsia="zh-CN"/>
              </w:rPr>
              <w:t>63</w:t>
            </w:r>
            <w:r w:rsidRPr="00F07EFA">
              <w:rPr>
                <w:rFonts w:eastAsia="Batang"/>
                <w:b/>
                <w:bCs/>
                <w:color w:val="000000"/>
                <w:sz w:val="21"/>
                <w:szCs w:val="21"/>
                <w:vertAlign w:val="superscript"/>
                <w:lang w:val="en-AU" w:eastAsia="zh-CN"/>
              </w:rPr>
              <w:t>#</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530AC6" w14:textId="77777777" w:rsidR="00BA3E50" w:rsidRPr="00F07EFA" w:rsidRDefault="00BA3E50" w:rsidP="00F07EFA">
            <w:pPr>
              <w:adjustRightInd w:val="0"/>
              <w:snapToGrid w:val="0"/>
              <w:rPr>
                <w:rFonts w:eastAsia="Batang"/>
                <w:b/>
                <w:bCs/>
                <w:color w:val="000000"/>
                <w:sz w:val="21"/>
                <w:szCs w:val="21"/>
                <w:lang w:val="en-AU" w:eastAsia="zh-CN"/>
              </w:rPr>
            </w:pPr>
            <w:r w:rsidRPr="00F07EFA">
              <w:rPr>
                <w:rFonts w:eastAsia="Batang"/>
                <w:b/>
                <w:bCs/>
                <w:color w:val="000000"/>
                <w:sz w:val="21"/>
                <w:szCs w:val="21"/>
                <w:lang w:val="en-AU" w:eastAsia="zh-CN"/>
              </w:rPr>
              <w:t>4-6 per year</w:t>
            </w:r>
          </w:p>
        </w:tc>
      </w:tr>
    </w:tbl>
    <w:p w14:paraId="31BEDB69" w14:textId="77777777" w:rsidR="00BA3E50" w:rsidRPr="00F07EFA" w:rsidRDefault="00BA3E50" w:rsidP="00241619">
      <w:pPr>
        <w:adjustRightInd w:val="0"/>
        <w:snapToGrid w:val="0"/>
        <w:rPr>
          <w:rFonts w:eastAsia="SimSun"/>
          <w:sz w:val="21"/>
          <w:szCs w:val="21"/>
          <w:lang w:val="en-AU" w:eastAsia="en-NZ"/>
        </w:rPr>
      </w:pPr>
      <w:r w:rsidRPr="00F07EFA">
        <w:rPr>
          <w:rFonts w:eastAsia="SimSun"/>
          <w:sz w:val="21"/>
          <w:szCs w:val="21"/>
          <w:lang w:val="en-AU" w:eastAsia="en-NZ"/>
        </w:rPr>
        <w:t>* These fleets are targeted due to the access to high quality in-port catch sampling and/or unloadings data.</w:t>
      </w:r>
    </w:p>
    <w:p w14:paraId="01F42B5B" w14:textId="77777777" w:rsidR="00BA3E50" w:rsidRPr="00F07EFA" w:rsidRDefault="00BA3E50" w:rsidP="00241619">
      <w:pPr>
        <w:adjustRightInd w:val="0"/>
        <w:snapToGrid w:val="0"/>
        <w:rPr>
          <w:rFonts w:eastAsia="SimSun"/>
          <w:sz w:val="21"/>
          <w:szCs w:val="21"/>
          <w:lang w:val="en-AU" w:eastAsia="en-NZ"/>
        </w:rPr>
      </w:pPr>
      <w:r w:rsidRPr="00F07EFA">
        <w:rPr>
          <w:rFonts w:eastAsia="SimSun"/>
          <w:sz w:val="21"/>
          <w:szCs w:val="21"/>
          <w:vertAlign w:val="superscript"/>
          <w:lang w:val="en-AU" w:eastAsia="en-NZ"/>
        </w:rPr>
        <w:t>#</w:t>
      </w:r>
      <w:r w:rsidRPr="00F07EFA">
        <w:rPr>
          <w:rFonts w:eastAsia="SimSun"/>
          <w:sz w:val="21"/>
          <w:szCs w:val="21"/>
          <w:lang w:val="en-AU" w:eastAsia="en-NZ"/>
        </w:rPr>
        <w:t xml:space="preserve"> Target is now at least 75 trips, with an additional 4-6 trips per year over the next three years to achieve that target.</w:t>
      </w:r>
    </w:p>
    <w:p w14:paraId="0F2FFE3B" w14:textId="77777777" w:rsidR="00BA3E50" w:rsidRPr="00F07EFA" w:rsidRDefault="00BA3E50" w:rsidP="00241619">
      <w:pPr>
        <w:adjustRightInd w:val="0"/>
        <w:snapToGrid w:val="0"/>
        <w:jc w:val="both"/>
        <w:rPr>
          <w:rFonts w:eastAsia="Malgun Gothic"/>
          <w:color w:val="000000"/>
          <w:sz w:val="21"/>
          <w:szCs w:val="21"/>
          <w:lang w:eastAsia="ko-KR"/>
        </w:rPr>
      </w:pPr>
    </w:p>
    <w:tbl>
      <w:tblPr>
        <w:tblStyle w:val="TableGrid7"/>
        <w:tblW w:w="0" w:type="auto"/>
        <w:shd w:val="clear" w:color="auto" w:fill="92D050"/>
        <w:tblLook w:val="04A0" w:firstRow="1" w:lastRow="0" w:firstColumn="1" w:lastColumn="0" w:noHBand="0" w:noVBand="1"/>
      </w:tblPr>
      <w:tblGrid>
        <w:gridCol w:w="9576"/>
      </w:tblGrid>
      <w:tr w:rsidR="00BA3E50" w:rsidRPr="00F07EFA" w14:paraId="67E1DF17" w14:textId="77777777" w:rsidTr="002D5D17">
        <w:tc>
          <w:tcPr>
            <w:tcW w:w="9576" w:type="dxa"/>
            <w:shd w:val="clear" w:color="auto" w:fill="92D050"/>
          </w:tcPr>
          <w:p w14:paraId="3F38CB71" w14:textId="77777777" w:rsidR="00BA3E50" w:rsidRPr="00F07EFA" w:rsidRDefault="00BA3E50" w:rsidP="00241619">
            <w:pPr>
              <w:autoSpaceDE w:val="0"/>
              <w:autoSpaceDN w:val="0"/>
              <w:adjustRightInd w:val="0"/>
              <w:snapToGrid w:val="0"/>
              <w:jc w:val="both"/>
              <w:rPr>
                <w:rFonts w:eastAsia="Malgun Gothic" w:cs="Times New Roman"/>
                <w:b/>
                <w:caps/>
                <w:sz w:val="21"/>
                <w:szCs w:val="21"/>
                <w:lang w:eastAsia="ko-KR"/>
              </w:rPr>
            </w:pPr>
            <w:r w:rsidRPr="00F07EFA">
              <w:rPr>
                <w:rFonts w:eastAsia="Malgun Gothic" w:cs="Times New Roman"/>
                <w:b/>
                <w:caps/>
                <w:sz w:val="21"/>
                <w:szCs w:val="21"/>
                <w:lang w:eastAsia="ko-KR"/>
              </w:rPr>
              <w:t>PROJECT 68</w:t>
            </w:r>
          </w:p>
          <w:p w14:paraId="00E18CC4" w14:textId="77777777" w:rsidR="00BA3E50" w:rsidRPr="00F07EFA" w:rsidRDefault="00BA3E50" w:rsidP="00241619">
            <w:pPr>
              <w:autoSpaceDE w:val="0"/>
              <w:autoSpaceDN w:val="0"/>
              <w:adjustRightInd w:val="0"/>
              <w:snapToGrid w:val="0"/>
              <w:jc w:val="both"/>
              <w:rPr>
                <w:rFonts w:eastAsia="Malgun Gothic" w:cs="Times New Roman"/>
                <w:b/>
                <w:caps/>
                <w:sz w:val="21"/>
                <w:szCs w:val="21"/>
                <w:lang w:eastAsia="ko-KR"/>
              </w:rPr>
            </w:pPr>
            <w:r w:rsidRPr="00F07EFA">
              <w:rPr>
                <w:rFonts w:eastAsia="Malgun Gothic" w:cs="Times New Roman"/>
                <w:b/>
                <w:sz w:val="21"/>
                <w:szCs w:val="21"/>
                <w:lang w:eastAsia="ko-KR"/>
              </w:rPr>
              <w:t xml:space="preserve">Estimation of </w:t>
            </w:r>
            <w:r w:rsidRPr="00F07EFA">
              <w:rPr>
                <w:rFonts w:eastAsia="SimSun" w:cs="Times New Roman"/>
                <w:b/>
                <w:sz w:val="21"/>
                <w:szCs w:val="21"/>
                <w:lang w:eastAsia="zh-CN"/>
              </w:rPr>
              <w:t>seabird mortality across the WCPO Convention area</w:t>
            </w:r>
          </w:p>
        </w:tc>
      </w:tr>
    </w:tbl>
    <w:p w14:paraId="5F3875C8" w14:textId="77777777" w:rsidR="00BA3E50" w:rsidRPr="00F07EFA" w:rsidRDefault="00BA3E50" w:rsidP="00241619">
      <w:pPr>
        <w:autoSpaceDE w:val="0"/>
        <w:autoSpaceDN w:val="0"/>
        <w:adjustRightInd w:val="0"/>
        <w:snapToGrid w:val="0"/>
        <w:jc w:val="both"/>
        <w:rPr>
          <w:rFonts w:eastAsia="Malgun Gothic"/>
          <w:b/>
          <w:caps/>
          <w:color w:val="000000"/>
          <w:sz w:val="21"/>
          <w:szCs w:val="21"/>
          <w:lang w:eastAsia="ko-KR"/>
        </w:rPr>
      </w:pPr>
    </w:p>
    <w:p w14:paraId="140B6BB3" w14:textId="77777777" w:rsidR="00BA3E50" w:rsidRPr="00F07EFA" w:rsidRDefault="00BA3E50" w:rsidP="00241619">
      <w:pPr>
        <w:autoSpaceDE w:val="0"/>
        <w:autoSpaceDN w:val="0"/>
        <w:adjustRightInd w:val="0"/>
        <w:snapToGrid w:val="0"/>
        <w:rPr>
          <w:rFonts w:eastAsia="Malgun Gothic"/>
          <w:caps/>
          <w:color w:val="000000"/>
          <w:sz w:val="21"/>
          <w:szCs w:val="21"/>
          <w:lang w:eastAsia="ko-KR"/>
        </w:rPr>
      </w:pPr>
      <w:r w:rsidRPr="00F07EFA">
        <w:rPr>
          <w:rFonts w:eastAsia="Malgun Gothic"/>
          <w:caps/>
          <w:color w:val="000000"/>
          <w:sz w:val="21"/>
          <w:szCs w:val="21"/>
          <w:lang w:eastAsia="ko-KR"/>
        </w:rPr>
        <w:t>T</w:t>
      </w:r>
      <w:r w:rsidRPr="00F07EFA">
        <w:rPr>
          <w:rFonts w:eastAsia="Malgun Gothic"/>
          <w:color w:val="000000"/>
          <w:sz w:val="21"/>
          <w:szCs w:val="21"/>
          <w:lang w:eastAsia="ko-KR"/>
        </w:rPr>
        <w:t>o</w:t>
      </w:r>
      <w:r w:rsidRPr="00F07EFA">
        <w:rPr>
          <w:rFonts w:eastAsia="Malgun Gothic"/>
          <w:caps/>
          <w:color w:val="000000"/>
          <w:sz w:val="21"/>
          <w:szCs w:val="21"/>
          <w:lang w:eastAsia="ko-KR"/>
        </w:rPr>
        <w:t>:</w:t>
      </w:r>
    </w:p>
    <w:p w14:paraId="152F770A" w14:textId="77777777" w:rsidR="00BA3E50" w:rsidRPr="00F07EFA" w:rsidRDefault="00BA3E50" w:rsidP="00580EA4">
      <w:pPr>
        <w:numPr>
          <w:ilvl w:val="0"/>
          <w:numId w:val="104"/>
        </w:numPr>
        <w:adjustRightInd w:val="0"/>
        <w:snapToGrid w:val="0"/>
        <w:jc w:val="both"/>
        <w:rPr>
          <w:rFonts w:eastAsia="Batang"/>
          <w:color w:val="000000"/>
          <w:sz w:val="21"/>
          <w:szCs w:val="21"/>
          <w:lang w:val="en-GB" w:eastAsia="ko-KR"/>
        </w:rPr>
      </w:pPr>
      <w:r w:rsidRPr="00F07EFA">
        <w:rPr>
          <w:rFonts w:eastAsia="Batang"/>
          <w:color w:val="000000"/>
          <w:sz w:val="21"/>
          <w:szCs w:val="21"/>
          <w:lang w:val="en-GB" w:eastAsia="ko-KR"/>
        </w:rPr>
        <w:t>Fulfil the requirement under the WCPFC seabird CMMs to estimate the total number of seabirds being killed per year in WCPFC fisheries,</w:t>
      </w:r>
    </w:p>
    <w:p w14:paraId="58F67946" w14:textId="77777777" w:rsidR="00BA3E50" w:rsidRPr="00F07EFA" w:rsidRDefault="00BA3E50" w:rsidP="00580EA4">
      <w:pPr>
        <w:numPr>
          <w:ilvl w:val="0"/>
          <w:numId w:val="104"/>
        </w:numPr>
        <w:adjustRightInd w:val="0"/>
        <w:snapToGrid w:val="0"/>
        <w:jc w:val="both"/>
        <w:rPr>
          <w:rFonts w:eastAsia="Batang"/>
          <w:color w:val="000000"/>
          <w:sz w:val="21"/>
          <w:szCs w:val="21"/>
          <w:lang w:val="en-GB" w:eastAsia="ko-KR"/>
        </w:rPr>
      </w:pPr>
      <w:r w:rsidRPr="00F07EFA">
        <w:rPr>
          <w:rFonts w:eastAsia="Batang"/>
          <w:color w:val="000000"/>
          <w:sz w:val="21"/>
          <w:szCs w:val="21"/>
          <w:lang w:val="en-GB" w:eastAsia="ko-KR"/>
        </w:rPr>
        <w:t>Assess mortality per year over the ten years since the first WCPFC seabird CMM, as requested under CMM</w:t>
      </w:r>
      <w:r w:rsidR="00A4588D">
        <w:rPr>
          <w:rFonts w:eastAsia="Batang"/>
          <w:color w:val="000000"/>
          <w:sz w:val="21"/>
          <w:szCs w:val="21"/>
          <w:lang w:val="en-GB" w:eastAsia="ko-KR"/>
        </w:rPr>
        <w:t xml:space="preserve"> </w:t>
      </w:r>
      <w:r w:rsidRPr="00F07EFA">
        <w:rPr>
          <w:rFonts w:eastAsia="Batang"/>
          <w:color w:val="000000"/>
          <w:sz w:val="21"/>
          <w:szCs w:val="21"/>
          <w:lang w:val="en-GB" w:eastAsia="ko-KR"/>
        </w:rPr>
        <w:t>2006-02, CMM 2007-04 and CMM 2012-07, and assess whether there is any detectable trend,</w:t>
      </w:r>
    </w:p>
    <w:p w14:paraId="02974694" w14:textId="77777777" w:rsidR="00BA3E50" w:rsidRPr="00F07EFA" w:rsidRDefault="00BA3E50" w:rsidP="00580EA4">
      <w:pPr>
        <w:numPr>
          <w:ilvl w:val="0"/>
          <w:numId w:val="104"/>
        </w:numPr>
        <w:adjustRightInd w:val="0"/>
        <w:snapToGrid w:val="0"/>
        <w:jc w:val="both"/>
        <w:rPr>
          <w:rFonts w:eastAsia="Batang"/>
          <w:color w:val="000000"/>
          <w:sz w:val="21"/>
          <w:szCs w:val="21"/>
          <w:lang w:val="en-GB" w:eastAsia="ko-KR"/>
        </w:rPr>
      </w:pPr>
      <w:r w:rsidRPr="00F07EFA">
        <w:rPr>
          <w:rFonts w:eastAsia="Batang"/>
          <w:color w:val="000000"/>
          <w:sz w:val="21"/>
          <w:szCs w:val="21"/>
          <w:lang w:val="en-GB" w:eastAsia="ko-KR"/>
        </w:rPr>
        <w:t>Describe the methods used to estimate total mortality, including treatment of data gaps,</w:t>
      </w:r>
    </w:p>
    <w:p w14:paraId="007B4E92" w14:textId="77777777" w:rsidR="00BA3E50" w:rsidRPr="00F07EFA" w:rsidRDefault="00BA3E50" w:rsidP="00580EA4">
      <w:pPr>
        <w:numPr>
          <w:ilvl w:val="0"/>
          <w:numId w:val="104"/>
        </w:numPr>
        <w:adjustRightInd w:val="0"/>
        <w:snapToGrid w:val="0"/>
        <w:jc w:val="both"/>
        <w:rPr>
          <w:rFonts w:eastAsia="Batang"/>
          <w:color w:val="000000"/>
          <w:sz w:val="21"/>
          <w:szCs w:val="21"/>
          <w:lang w:val="en-GB" w:eastAsia="ko-KR"/>
        </w:rPr>
      </w:pPr>
      <w:r w:rsidRPr="00F07EFA">
        <w:rPr>
          <w:rFonts w:eastAsia="Batang"/>
          <w:color w:val="000000"/>
          <w:sz w:val="21"/>
          <w:szCs w:val="21"/>
          <w:lang w:val="en-GB" w:eastAsia="ko-KR"/>
        </w:rPr>
        <w:t>Identify the limitations in the data available, allowing the SC to generate advice to the Commission on what improvements are needed to enable better analyses to be made, and</w:t>
      </w:r>
    </w:p>
    <w:p w14:paraId="1581F05D" w14:textId="77777777" w:rsidR="00BA3E50" w:rsidRPr="00F07EFA" w:rsidRDefault="00BA3E50" w:rsidP="00580EA4">
      <w:pPr>
        <w:numPr>
          <w:ilvl w:val="0"/>
          <w:numId w:val="104"/>
        </w:numPr>
        <w:adjustRightInd w:val="0"/>
        <w:snapToGrid w:val="0"/>
        <w:jc w:val="both"/>
        <w:rPr>
          <w:rFonts w:eastAsia="Batang"/>
          <w:color w:val="000000"/>
          <w:sz w:val="21"/>
          <w:szCs w:val="21"/>
          <w:lang w:val="en-GB" w:eastAsia="ko-KR"/>
        </w:rPr>
      </w:pPr>
      <w:r w:rsidRPr="00F07EFA">
        <w:rPr>
          <w:rFonts w:eastAsia="Batang"/>
          <w:color w:val="000000"/>
          <w:sz w:val="21"/>
          <w:szCs w:val="21"/>
          <w:lang w:val="en-GB" w:eastAsia="ko-KR"/>
        </w:rPr>
        <w:t>Generate advice on what further level of seabird assessment at species or species-group level can be conducted, given the amount and quality of data currently available.</w:t>
      </w:r>
    </w:p>
    <w:p w14:paraId="34EEE889" w14:textId="77777777" w:rsidR="00BA3E50" w:rsidRPr="00F07EFA" w:rsidRDefault="00BA3E50" w:rsidP="00241619">
      <w:pPr>
        <w:autoSpaceDE w:val="0"/>
        <w:autoSpaceDN w:val="0"/>
        <w:adjustRightInd w:val="0"/>
        <w:snapToGrid w:val="0"/>
        <w:rPr>
          <w:rFonts w:eastAsia="Malgun Gothic"/>
          <w:b/>
          <w:caps/>
          <w:color w:val="000000"/>
          <w:sz w:val="21"/>
          <w:szCs w:val="21"/>
          <w:lang w:val="en-GB" w:eastAsia="ko-KR"/>
        </w:rPr>
      </w:pPr>
    </w:p>
    <w:tbl>
      <w:tblPr>
        <w:tblStyle w:val="TableGrid7"/>
        <w:tblW w:w="5000" w:type="pct"/>
        <w:tblLook w:val="04A0" w:firstRow="1" w:lastRow="0" w:firstColumn="1" w:lastColumn="0" w:noHBand="0" w:noVBand="1"/>
      </w:tblPr>
      <w:tblGrid>
        <w:gridCol w:w="1781"/>
        <w:gridCol w:w="7795"/>
      </w:tblGrid>
      <w:tr w:rsidR="00BA3E50" w:rsidRPr="00F07EFA" w14:paraId="603D88D9" w14:textId="77777777" w:rsidTr="00F07EFA">
        <w:trPr>
          <w:trHeight w:val="611"/>
        </w:trPr>
        <w:tc>
          <w:tcPr>
            <w:tcW w:w="93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C5BA4CB" w14:textId="77777777" w:rsidR="00BA3E50" w:rsidRPr="00F07EFA" w:rsidRDefault="00BA3E50" w:rsidP="00241619">
            <w:pPr>
              <w:adjustRightInd w:val="0"/>
              <w:snapToGrid w:val="0"/>
              <w:rPr>
                <w:rFonts w:eastAsia="Malgun Gothic" w:cs="Times New Roman"/>
                <w:b/>
                <w:sz w:val="21"/>
                <w:szCs w:val="21"/>
                <w:lang w:eastAsia="ko-KR"/>
              </w:rPr>
            </w:pPr>
            <w:r w:rsidRPr="00F07EFA">
              <w:rPr>
                <w:rFonts w:eastAsia="Malgun Gothic" w:cs="Times New Roman"/>
                <w:b/>
                <w:caps/>
                <w:sz w:val="21"/>
                <w:szCs w:val="21"/>
                <w:lang w:eastAsia="ko-KR"/>
              </w:rPr>
              <w:t xml:space="preserve">PROJECT </w:t>
            </w:r>
            <w:r w:rsidRPr="00F07EFA">
              <w:rPr>
                <w:rFonts w:eastAsia="Malgun Gothic" w:cs="Times New Roman"/>
                <w:b/>
                <w:sz w:val="21"/>
                <w:szCs w:val="21"/>
                <w:lang w:eastAsia="ko-KR"/>
              </w:rPr>
              <w:t>81</w:t>
            </w:r>
          </w:p>
        </w:tc>
        <w:tc>
          <w:tcPr>
            <w:tcW w:w="407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2CDE7AB" w14:textId="77777777" w:rsidR="00BA3E50" w:rsidRPr="00F07EFA" w:rsidRDefault="00BA3E50" w:rsidP="00241619">
            <w:pPr>
              <w:adjustRightInd w:val="0"/>
              <w:snapToGrid w:val="0"/>
              <w:rPr>
                <w:rFonts w:eastAsia="SimSun" w:cs="Times New Roman"/>
                <w:b/>
                <w:sz w:val="21"/>
                <w:szCs w:val="21"/>
                <w:lang w:eastAsia="zh-CN"/>
              </w:rPr>
            </w:pPr>
            <w:r w:rsidRPr="00F07EFA">
              <w:rPr>
                <w:rFonts w:eastAsia="SimSun" w:cs="Times New Roman"/>
                <w:b/>
                <w:sz w:val="21"/>
                <w:szCs w:val="21"/>
                <w:lang w:eastAsia="zh-CN"/>
              </w:rPr>
              <w:t>Further work on bigeye tuna age and growth</w:t>
            </w:r>
          </w:p>
        </w:tc>
      </w:tr>
      <w:tr w:rsidR="00BA3E50" w:rsidRPr="00F07EFA" w14:paraId="7559494F" w14:textId="77777777" w:rsidTr="00F07EFA">
        <w:tc>
          <w:tcPr>
            <w:tcW w:w="930" w:type="pct"/>
            <w:tcBorders>
              <w:top w:val="single" w:sz="4" w:space="0" w:color="auto"/>
              <w:left w:val="single" w:sz="4" w:space="0" w:color="auto"/>
              <w:bottom w:val="single" w:sz="4" w:space="0" w:color="auto"/>
              <w:right w:val="single" w:sz="4" w:space="0" w:color="auto"/>
            </w:tcBorders>
            <w:hideMark/>
          </w:tcPr>
          <w:p w14:paraId="33B7E53E"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Objectives</w:t>
            </w:r>
          </w:p>
        </w:tc>
        <w:tc>
          <w:tcPr>
            <w:tcW w:w="4070" w:type="pct"/>
            <w:tcBorders>
              <w:top w:val="single" w:sz="4" w:space="0" w:color="auto"/>
              <w:left w:val="single" w:sz="4" w:space="0" w:color="auto"/>
              <w:bottom w:val="single" w:sz="4" w:space="0" w:color="auto"/>
              <w:right w:val="single" w:sz="4" w:space="0" w:color="auto"/>
            </w:tcBorders>
            <w:hideMark/>
          </w:tcPr>
          <w:p w14:paraId="30E25164"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To further improve age and growth estimates for bigeye tuna in the WCPO to inform future stock assessments and related analyses.</w:t>
            </w:r>
          </w:p>
        </w:tc>
      </w:tr>
      <w:tr w:rsidR="00BA3E50" w:rsidRPr="00F07EFA" w14:paraId="2E79E852" w14:textId="77777777" w:rsidTr="00F07EFA">
        <w:tc>
          <w:tcPr>
            <w:tcW w:w="930" w:type="pct"/>
            <w:tcBorders>
              <w:top w:val="single" w:sz="4" w:space="0" w:color="auto"/>
              <w:left w:val="single" w:sz="4" w:space="0" w:color="auto"/>
              <w:bottom w:val="single" w:sz="4" w:space="0" w:color="auto"/>
              <w:right w:val="single" w:sz="4" w:space="0" w:color="auto"/>
            </w:tcBorders>
            <w:hideMark/>
          </w:tcPr>
          <w:p w14:paraId="7D5E4FAF"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Rationale</w:t>
            </w:r>
          </w:p>
        </w:tc>
        <w:tc>
          <w:tcPr>
            <w:tcW w:w="4070" w:type="pct"/>
            <w:tcBorders>
              <w:top w:val="single" w:sz="4" w:space="0" w:color="auto"/>
              <w:left w:val="single" w:sz="4" w:space="0" w:color="auto"/>
              <w:bottom w:val="single" w:sz="4" w:space="0" w:color="auto"/>
              <w:right w:val="single" w:sz="4" w:space="0" w:color="auto"/>
            </w:tcBorders>
          </w:tcPr>
          <w:p w14:paraId="2623F3AC"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This project builds upon work to date under Project 35 and reported in Farley et al. 2017 (SC13-SA-WP01). </w:t>
            </w:r>
          </w:p>
          <w:p w14:paraId="4C47D424" w14:textId="77777777" w:rsidR="00BA3E50" w:rsidRPr="00F07EFA" w:rsidRDefault="00BA3E50" w:rsidP="00241619">
            <w:pPr>
              <w:adjustRightInd w:val="0"/>
              <w:snapToGrid w:val="0"/>
              <w:rPr>
                <w:rFonts w:eastAsia="SimSun" w:cs="Times New Roman"/>
                <w:sz w:val="21"/>
                <w:szCs w:val="21"/>
                <w:lang w:eastAsia="zh-CN"/>
              </w:rPr>
            </w:pPr>
          </w:p>
          <w:p w14:paraId="7AA24DEE"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During review of Farley et al. (2017) during SC13, it was noted that the analyses could be strengthened through the inclusion of additional otoliths from larger fish. </w:t>
            </w:r>
          </w:p>
          <w:p w14:paraId="3F949008" w14:textId="77777777" w:rsidR="00BA3E50" w:rsidRPr="00F07EFA" w:rsidRDefault="00BA3E50" w:rsidP="00241619">
            <w:pPr>
              <w:adjustRightInd w:val="0"/>
              <w:snapToGrid w:val="0"/>
              <w:rPr>
                <w:rFonts w:eastAsia="SimSun" w:cs="Times New Roman"/>
                <w:sz w:val="21"/>
                <w:szCs w:val="21"/>
                <w:lang w:eastAsia="zh-CN"/>
              </w:rPr>
            </w:pPr>
          </w:p>
          <w:p w14:paraId="41666463"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Japan and SPC (for the WCPFC Tuna Tissue Bank) have identified additional bigeye otoliths, as yet unread, from fish &gt;130cm in length from the WCPO and CPO just outside the WCPFC area. They are plotted below along with the size distribution of fish already aged in Project 35. The 130-140 cm and 140-150 cm groups are considerably enhanced, but the &gt;150 cm groups only moderately so. The larger sized bigeye appear uncommon in the catch in the WCPO. Additional otoliths may be available from Chinese Taipei from larger fish in the WCPO and from USA from the CPO.</w:t>
            </w:r>
          </w:p>
          <w:p w14:paraId="10260FDF" w14:textId="77777777" w:rsidR="00BA3E50" w:rsidRPr="00F07EFA" w:rsidRDefault="00BA3E50" w:rsidP="00241619">
            <w:pPr>
              <w:adjustRightInd w:val="0"/>
              <w:snapToGrid w:val="0"/>
              <w:rPr>
                <w:rFonts w:eastAsia="SimSun" w:cs="Times New Roman"/>
                <w:sz w:val="21"/>
                <w:szCs w:val="21"/>
                <w:lang w:eastAsia="zh-CN"/>
              </w:rPr>
            </w:pPr>
          </w:p>
          <w:p w14:paraId="1F3B92B0" w14:textId="77777777" w:rsidR="00BA3E50" w:rsidRPr="00F07EFA" w:rsidRDefault="00B265EE" w:rsidP="00241619">
            <w:pPr>
              <w:adjustRightInd w:val="0"/>
              <w:snapToGrid w:val="0"/>
              <w:jc w:val="center"/>
              <w:rPr>
                <w:rFonts w:eastAsia="SimSun" w:cs="Times New Roman"/>
                <w:sz w:val="21"/>
                <w:szCs w:val="21"/>
                <w:lang w:eastAsia="zh-CN"/>
              </w:rPr>
            </w:pPr>
            <w:r w:rsidRPr="00F07EFA">
              <w:rPr>
                <w:noProof/>
                <w:sz w:val="21"/>
                <w:szCs w:val="21"/>
                <w:lang w:eastAsia="zh-CN" w:bidi="mn-Mong-CN"/>
              </w:rPr>
              <w:drawing>
                <wp:inline distT="0" distB="0" distL="0" distR="0" wp14:anchorId="64502151" wp14:editId="711AFDDC">
                  <wp:extent cx="3608615" cy="1795591"/>
                  <wp:effectExtent l="0" t="0" r="0" b="0"/>
                  <wp:docPr id="33" name="Picture 33" descr="cid:image003.png@01D315CC.E6421B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3.png@01D315CC.E6421B00"/>
                          <pic:cNvPicPr>
                            <a:picLocks noChangeAspect="1" noChangeArrowheads="1"/>
                          </pic:cNvPicPr>
                        </pic:nvPicPr>
                        <pic:blipFill>
                          <a:blip r:embed="rId147" r:link="rId148" cstate="print">
                            <a:extLst>
                              <a:ext uri="{28A0092B-C50C-407E-A947-70E740481C1C}">
                                <a14:useLocalDpi xmlns:a14="http://schemas.microsoft.com/office/drawing/2010/main" val="0"/>
                              </a:ext>
                            </a:extLst>
                          </a:blip>
                          <a:srcRect/>
                          <a:stretch>
                            <a:fillRect/>
                          </a:stretch>
                        </pic:blipFill>
                        <pic:spPr bwMode="auto">
                          <a:xfrm>
                            <a:off x="0" y="0"/>
                            <a:ext cx="3613628" cy="1798085"/>
                          </a:xfrm>
                          <a:prstGeom prst="rect">
                            <a:avLst/>
                          </a:prstGeom>
                          <a:noFill/>
                          <a:ln>
                            <a:noFill/>
                          </a:ln>
                        </pic:spPr>
                      </pic:pic>
                    </a:graphicData>
                  </a:graphic>
                </wp:inline>
              </w:drawing>
            </w:r>
          </w:p>
          <w:p w14:paraId="4B773803" w14:textId="77777777" w:rsidR="00BA3E50" w:rsidRPr="00F07EFA" w:rsidRDefault="00BA3E50" w:rsidP="00241619">
            <w:pPr>
              <w:adjustRightInd w:val="0"/>
              <w:snapToGrid w:val="0"/>
              <w:rPr>
                <w:rFonts w:eastAsia="SimSun" w:cs="Times New Roman"/>
                <w:sz w:val="21"/>
                <w:szCs w:val="21"/>
                <w:lang w:eastAsia="zh-CN"/>
              </w:rPr>
            </w:pPr>
          </w:p>
          <w:p w14:paraId="37ACAF45"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Some of the additional otolith sample</w:t>
            </w:r>
            <w:r w:rsidR="00753A0C">
              <w:rPr>
                <w:rFonts w:eastAsiaTheme="minorEastAsia" w:cs="Times New Roman" w:hint="eastAsia"/>
                <w:sz w:val="21"/>
                <w:szCs w:val="21"/>
                <w:lang w:eastAsia="ko-KR"/>
              </w:rPr>
              <w:t>s</w:t>
            </w:r>
            <w:r w:rsidRPr="00F07EFA">
              <w:rPr>
                <w:rFonts w:eastAsia="SimSun" w:cs="Times New Roman"/>
                <w:sz w:val="21"/>
                <w:szCs w:val="21"/>
                <w:lang w:eastAsia="zh-CN"/>
              </w:rPr>
              <w:t xml:space="preserve"> are single otoliths and some are pairs. The project would have all of the singles and one of each pair sent to CSIRO for processing and analysis. The 2</w:t>
            </w:r>
            <w:r w:rsidRPr="00F07EFA">
              <w:rPr>
                <w:rFonts w:eastAsia="SimSun" w:cs="Times New Roman"/>
                <w:sz w:val="21"/>
                <w:szCs w:val="21"/>
                <w:vertAlign w:val="superscript"/>
                <w:lang w:eastAsia="zh-CN"/>
              </w:rPr>
              <w:t>nd</w:t>
            </w:r>
            <w:r w:rsidRPr="00F07EFA">
              <w:rPr>
                <w:rFonts w:eastAsia="SimSun" w:cs="Times New Roman"/>
                <w:sz w:val="21"/>
                <w:szCs w:val="21"/>
                <w:lang w:eastAsia="zh-CN"/>
              </w:rPr>
              <w:t xml:space="preserve"> otoliths of the paired samples would be processed and analysed by project partners, and then the results for the same individual bigeye compared. This would likely involved collaborative work at the CSIRO laboratories.</w:t>
            </w:r>
          </w:p>
          <w:p w14:paraId="76CCBE48" w14:textId="77777777" w:rsidR="00BA3E50" w:rsidRPr="00F07EFA" w:rsidRDefault="00BA3E50" w:rsidP="00241619">
            <w:pPr>
              <w:adjustRightInd w:val="0"/>
              <w:snapToGrid w:val="0"/>
              <w:rPr>
                <w:rFonts w:eastAsia="SimSun" w:cs="Times New Roman"/>
                <w:sz w:val="21"/>
                <w:szCs w:val="21"/>
                <w:lang w:eastAsia="zh-CN"/>
              </w:rPr>
            </w:pPr>
          </w:p>
          <w:p w14:paraId="27ACD6A8"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Note that if additional otoliths from the &gt;150 cm groups were provided by other project partners, the number of otoliths in the 130-139 and 140-149cm groups read would be reduced as statistically appropriate to keep the analyses to 125 otolith readings. </w:t>
            </w:r>
          </w:p>
          <w:p w14:paraId="2CB3A04F" w14:textId="77777777" w:rsidR="00BA3E50" w:rsidRPr="00F07EFA" w:rsidRDefault="00BA3E50" w:rsidP="00241619">
            <w:pPr>
              <w:adjustRightInd w:val="0"/>
              <w:snapToGrid w:val="0"/>
              <w:rPr>
                <w:rFonts w:eastAsia="SimSun" w:cs="Times New Roman"/>
                <w:sz w:val="21"/>
                <w:szCs w:val="21"/>
                <w:lang w:eastAsia="zh-CN"/>
              </w:rPr>
            </w:pPr>
          </w:p>
          <w:p w14:paraId="0219AFCC"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The resulting analyses would be reported to SC14.</w:t>
            </w:r>
          </w:p>
        </w:tc>
      </w:tr>
      <w:tr w:rsidR="00BA3E50" w:rsidRPr="00F07EFA" w14:paraId="7A4351D6" w14:textId="77777777" w:rsidTr="00F07EFA">
        <w:tc>
          <w:tcPr>
            <w:tcW w:w="930" w:type="pct"/>
            <w:tcBorders>
              <w:top w:val="single" w:sz="4" w:space="0" w:color="auto"/>
              <w:left w:val="single" w:sz="4" w:space="0" w:color="auto"/>
              <w:bottom w:val="single" w:sz="4" w:space="0" w:color="auto"/>
              <w:right w:val="single" w:sz="4" w:space="0" w:color="auto"/>
            </w:tcBorders>
            <w:hideMark/>
          </w:tcPr>
          <w:p w14:paraId="15D26903"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Assumptions</w:t>
            </w:r>
          </w:p>
        </w:tc>
        <w:tc>
          <w:tcPr>
            <w:tcW w:w="4070" w:type="pct"/>
            <w:tcBorders>
              <w:top w:val="single" w:sz="4" w:space="0" w:color="auto"/>
              <w:left w:val="single" w:sz="4" w:space="0" w:color="auto"/>
              <w:bottom w:val="single" w:sz="4" w:space="0" w:color="auto"/>
              <w:right w:val="single" w:sz="4" w:space="0" w:color="auto"/>
            </w:tcBorders>
            <w:hideMark/>
          </w:tcPr>
          <w:p w14:paraId="44134CB1" w14:textId="77777777" w:rsidR="00BA3E50" w:rsidRPr="00F07EFA" w:rsidRDefault="00BA3E50" w:rsidP="00580EA4">
            <w:pPr>
              <w:numPr>
                <w:ilvl w:val="0"/>
                <w:numId w:val="12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The otoliths identified as available by project partners are provided in a timely manner.</w:t>
            </w:r>
          </w:p>
          <w:p w14:paraId="3371E969" w14:textId="77777777" w:rsidR="00BA3E50" w:rsidRPr="00F07EFA" w:rsidRDefault="00BA3E50" w:rsidP="00580EA4">
            <w:pPr>
              <w:numPr>
                <w:ilvl w:val="0"/>
                <w:numId w:val="12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The otoliths provided by project partners, and those from the WCPFC Tuna Tissue Bank are of sufficient quality to be produce readable slides.</w:t>
            </w:r>
          </w:p>
          <w:p w14:paraId="34142315" w14:textId="77777777" w:rsidR="00BA3E50" w:rsidRPr="00F07EFA" w:rsidRDefault="00BA3E50" w:rsidP="00580EA4">
            <w:pPr>
              <w:numPr>
                <w:ilvl w:val="0"/>
                <w:numId w:val="12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Work to be completed by project partners is finished on time.</w:t>
            </w:r>
          </w:p>
          <w:p w14:paraId="0392B07A" w14:textId="77777777" w:rsidR="00BA3E50" w:rsidRPr="00F07EFA" w:rsidRDefault="00BA3E50" w:rsidP="00580EA4">
            <w:pPr>
              <w:numPr>
                <w:ilvl w:val="0"/>
                <w:numId w:val="12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Otoliths from the WCPFC Tuna Tissue Bank will be released without needing to have the research proposal approved by the SC Research Committee.</w:t>
            </w:r>
          </w:p>
          <w:p w14:paraId="2D88F59D" w14:textId="77777777" w:rsidR="00BA3E50" w:rsidRPr="00F07EFA" w:rsidRDefault="00BA3E50" w:rsidP="00580EA4">
            <w:pPr>
              <w:numPr>
                <w:ilvl w:val="0"/>
                <w:numId w:val="12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CSIRO will undertake the core work and will actively collaborate with the Scientific Services Provider and Japan in the conduct of the analyses.</w:t>
            </w:r>
          </w:p>
        </w:tc>
      </w:tr>
      <w:tr w:rsidR="00BA3E50" w:rsidRPr="00F07EFA" w14:paraId="6A622366" w14:textId="77777777" w:rsidTr="00F07EFA">
        <w:tc>
          <w:tcPr>
            <w:tcW w:w="930" w:type="pct"/>
            <w:tcBorders>
              <w:top w:val="single" w:sz="4" w:space="0" w:color="auto"/>
              <w:left w:val="single" w:sz="4" w:space="0" w:color="auto"/>
              <w:bottom w:val="single" w:sz="4" w:space="0" w:color="auto"/>
              <w:right w:val="single" w:sz="4" w:space="0" w:color="auto"/>
            </w:tcBorders>
            <w:hideMark/>
          </w:tcPr>
          <w:p w14:paraId="03A77BBA"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Scope</w:t>
            </w:r>
          </w:p>
        </w:tc>
        <w:tc>
          <w:tcPr>
            <w:tcW w:w="4070" w:type="pct"/>
            <w:tcBorders>
              <w:top w:val="single" w:sz="4" w:space="0" w:color="auto"/>
              <w:left w:val="single" w:sz="4" w:space="0" w:color="auto"/>
              <w:bottom w:val="single" w:sz="4" w:space="0" w:color="auto"/>
              <w:right w:val="single" w:sz="4" w:space="0" w:color="auto"/>
            </w:tcBorders>
            <w:hideMark/>
          </w:tcPr>
          <w:p w14:paraId="4B424126"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This work will:</w:t>
            </w:r>
          </w:p>
          <w:p w14:paraId="47CA1995" w14:textId="77777777" w:rsidR="00BA3E50" w:rsidRPr="00F07EFA" w:rsidRDefault="00BA3E50" w:rsidP="00580EA4">
            <w:pPr>
              <w:numPr>
                <w:ilvl w:val="0"/>
                <w:numId w:val="121"/>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Prepare and read an additional 125 otoliths using the annual increment method identified in Farley et al. (2017);</w:t>
            </w:r>
          </w:p>
          <w:p w14:paraId="2F444D9C" w14:textId="77777777" w:rsidR="00BA3E50" w:rsidRPr="00F07EFA" w:rsidRDefault="00BA3E50" w:rsidP="00580EA4">
            <w:pPr>
              <w:numPr>
                <w:ilvl w:val="0"/>
                <w:numId w:val="121"/>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Revise and update the Farley et al. (2017) age and growth estimates based on the additional data.</w:t>
            </w:r>
          </w:p>
        </w:tc>
      </w:tr>
      <w:tr w:rsidR="00BA3E50" w:rsidRPr="00F07EFA" w14:paraId="76383990" w14:textId="77777777" w:rsidTr="00F07EFA">
        <w:tc>
          <w:tcPr>
            <w:tcW w:w="930" w:type="pct"/>
            <w:tcBorders>
              <w:top w:val="single" w:sz="4" w:space="0" w:color="auto"/>
              <w:left w:val="single" w:sz="4" w:space="0" w:color="auto"/>
              <w:bottom w:val="single" w:sz="4" w:space="0" w:color="auto"/>
              <w:right w:val="single" w:sz="4" w:space="0" w:color="auto"/>
            </w:tcBorders>
            <w:hideMark/>
          </w:tcPr>
          <w:p w14:paraId="51F4F611"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Timeframe</w:t>
            </w:r>
          </w:p>
        </w:tc>
        <w:tc>
          <w:tcPr>
            <w:tcW w:w="4070" w:type="pct"/>
            <w:tcBorders>
              <w:top w:val="single" w:sz="4" w:space="0" w:color="auto"/>
              <w:left w:val="single" w:sz="4" w:space="0" w:color="auto"/>
              <w:bottom w:val="single" w:sz="4" w:space="0" w:color="auto"/>
              <w:right w:val="single" w:sz="4" w:space="0" w:color="auto"/>
            </w:tcBorders>
            <w:hideMark/>
          </w:tcPr>
          <w:p w14:paraId="3D90C73D"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12 months</w:t>
            </w:r>
          </w:p>
        </w:tc>
      </w:tr>
      <w:tr w:rsidR="00BA3E50" w:rsidRPr="00F07EFA" w14:paraId="00CF7306" w14:textId="77777777" w:rsidTr="00F07EFA">
        <w:tc>
          <w:tcPr>
            <w:tcW w:w="930" w:type="pct"/>
            <w:tcBorders>
              <w:top w:val="single" w:sz="4" w:space="0" w:color="auto"/>
              <w:left w:val="single" w:sz="4" w:space="0" w:color="auto"/>
              <w:bottom w:val="single" w:sz="4" w:space="0" w:color="auto"/>
              <w:right w:val="single" w:sz="4" w:space="0" w:color="auto"/>
            </w:tcBorders>
          </w:tcPr>
          <w:p w14:paraId="66053150"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Budget</w:t>
            </w:r>
          </w:p>
          <w:p w14:paraId="7041A865" w14:textId="77777777" w:rsidR="00BA3E50" w:rsidRPr="00F07EFA" w:rsidRDefault="00BA3E50" w:rsidP="00241619">
            <w:pPr>
              <w:adjustRightInd w:val="0"/>
              <w:snapToGrid w:val="0"/>
              <w:rPr>
                <w:rFonts w:eastAsia="SimSun" w:cs="Times New Roman"/>
                <w:sz w:val="21"/>
                <w:szCs w:val="21"/>
                <w:lang w:eastAsia="zh-CN"/>
              </w:rPr>
            </w:pPr>
          </w:p>
        </w:tc>
        <w:tc>
          <w:tcPr>
            <w:tcW w:w="4070" w:type="pct"/>
            <w:tcBorders>
              <w:top w:val="single" w:sz="4" w:space="0" w:color="auto"/>
              <w:left w:val="single" w:sz="4" w:space="0" w:color="auto"/>
              <w:bottom w:val="single" w:sz="4" w:space="0" w:color="auto"/>
              <w:right w:val="single" w:sz="4" w:space="0" w:color="auto"/>
            </w:tcBorders>
            <w:hideMark/>
          </w:tcPr>
          <w:p w14:paraId="21E61ED5"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US$30,000*</w:t>
            </w:r>
          </w:p>
          <w:p w14:paraId="143999D6"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*Note that this covers the CSIRO component of the work, including reading 125 otoliths, preparing a report and travelling to WCPFC SC14 to present the results.</w:t>
            </w:r>
          </w:p>
        </w:tc>
      </w:tr>
      <w:tr w:rsidR="00BA3E50" w:rsidRPr="00F07EFA" w14:paraId="18897D50" w14:textId="77777777" w:rsidTr="00F07EFA">
        <w:tc>
          <w:tcPr>
            <w:tcW w:w="930" w:type="pct"/>
            <w:tcBorders>
              <w:top w:val="single" w:sz="4" w:space="0" w:color="auto"/>
              <w:left w:val="single" w:sz="4" w:space="0" w:color="auto"/>
              <w:bottom w:val="single" w:sz="4" w:space="0" w:color="auto"/>
              <w:right w:val="single" w:sz="4" w:space="0" w:color="auto"/>
            </w:tcBorders>
            <w:hideMark/>
          </w:tcPr>
          <w:p w14:paraId="317C5D36"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References</w:t>
            </w:r>
          </w:p>
        </w:tc>
        <w:tc>
          <w:tcPr>
            <w:tcW w:w="4070" w:type="pct"/>
            <w:tcBorders>
              <w:top w:val="single" w:sz="4" w:space="0" w:color="auto"/>
              <w:left w:val="single" w:sz="4" w:space="0" w:color="auto"/>
              <w:bottom w:val="single" w:sz="4" w:space="0" w:color="auto"/>
              <w:right w:val="single" w:sz="4" w:space="0" w:color="auto"/>
            </w:tcBorders>
            <w:hideMark/>
          </w:tcPr>
          <w:p w14:paraId="0B10A4A8"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Farley, J., Eveson, P., Krusic-Golub, Sanchez, C., Roupsard, F., McKechnie, S., Nicol, S., Leroy, B., Smith, N., and Chang, S-K. 2017. Project 35: Age, growth and maturity of bigeye tuna in the Western and Central Pacific Ocean. SC13-SA-WP-01. Thirteenth regular session of the Scientific Committee of the Western and Central Pacific Fisheries Commission. Rarotonga, Cook Islands, 9-17 August 2017.</w:t>
            </w:r>
          </w:p>
        </w:tc>
      </w:tr>
    </w:tbl>
    <w:p w14:paraId="6D9931B3" w14:textId="77777777" w:rsidR="00BA3E50" w:rsidRPr="00F07EFA" w:rsidRDefault="00BA3E50" w:rsidP="00241619">
      <w:pPr>
        <w:adjustRightInd w:val="0"/>
        <w:snapToGrid w:val="0"/>
        <w:jc w:val="both"/>
        <w:rPr>
          <w:rFonts w:eastAsia="Batang"/>
          <w:color w:val="000000"/>
          <w:sz w:val="21"/>
          <w:szCs w:val="21"/>
          <w:lang w:eastAsia="zh-CN"/>
        </w:rPr>
      </w:pPr>
    </w:p>
    <w:tbl>
      <w:tblPr>
        <w:tblStyle w:val="TableGrid7"/>
        <w:tblW w:w="4888" w:type="pct"/>
        <w:tblInd w:w="108" w:type="dxa"/>
        <w:tblLayout w:type="fixed"/>
        <w:tblLook w:val="04A0" w:firstRow="1" w:lastRow="0" w:firstColumn="1" w:lastColumn="0" w:noHBand="0" w:noVBand="1"/>
      </w:tblPr>
      <w:tblGrid>
        <w:gridCol w:w="1361"/>
        <w:gridCol w:w="8000"/>
      </w:tblGrid>
      <w:tr w:rsidR="00BA3E50" w:rsidRPr="00F07EFA" w14:paraId="0283E47F" w14:textId="77777777" w:rsidTr="004B6F4C">
        <w:trPr>
          <w:trHeight w:val="539"/>
        </w:trPr>
        <w:tc>
          <w:tcPr>
            <w:tcW w:w="727"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9149B19" w14:textId="77777777" w:rsidR="00BA3E50" w:rsidRPr="00F07EFA" w:rsidRDefault="00BA3E50" w:rsidP="00241619">
            <w:pPr>
              <w:widowControl w:val="0"/>
              <w:kinsoku w:val="0"/>
              <w:overflowPunct w:val="0"/>
              <w:autoSpaceDE w:val="0"/>
              <w:autoSpaceDN w:val="0"/>
              <w:adjustRightInd w:val="0"/>
              <w:snapToGrid w:val="0"/>
              <w:rPr>
                <w:rFonts w:eastAsia="Malgun Gothic" w:cs="Times New Roman"/>
                <w:b/>
                <w:sz w:val="21"/>
                <w:szCs w:val="21"/>
                <w:lang w:eastAsia="ko-KR"/>
              </w:rPr>
            </w:pPr>
            <w:r w:rsidRPr="00F07EFA">
              <w:rPr>
                <w:rFonts w:eastAsia="Malgun Gothic" w:cs="Times New Roman"/>
                <w:b/>
                <w:caps/>
                <w:sz w:val="21"/>
                <w:szCs w:val="21"/>
                <w:lang w:eastAsia="ko-KR"/>
              </w:rPr>
              <w:t xml:space="preserve">PROJECT </w:t>
            </w:r>
            <w:r w:rsidRPr="00F07EFA">
              <w:rPr>
                <w:rFonts w:eastAsia="Malgun Gothic" w:cs="Times New Roman"/>
                <w:b/>
                <w:sz w:val="21"/>
                <w:szCs w:val="21"/>
                <w:lang w:eastAsia="ko-KR"/>
              </w:rPr>
              <w:t>82</w:t>
            </w:r>
          </w:p>
        </w:tc>
        <w:tc>
          <w:tcPr>
            <w:tcW w:w="427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68EE214" w14:textId="77777777" w:rsidR="00BA3E50" w:rsidRPr="00F07EFA" w:rsidRDefault="00BA3E50" w:rsidP="00241619">
            <w:pPr>
              <w:widowControl w:val="0"/>
              <w:kinsoku w:val="0"/>
              <w:overflowPunct w:val="0"/>
              <w:autoSpaceDE w:val="0"/>
              <w:autoSpaceDN w:val="0"/>
              <w:adjustRightInd w:val="0"/>
              <w:snapToGrid w:val="0"/>
              <w:rPr>
                <w:rFonts w:eastAsia="SimSun" w:cs="Times New Roman"/>
                <w:b/>
                <w:sz w:val="21"/>
                <w:szCs w:val="21"/>
                <w:lang w:eastAsia="zh-CN"/>
              </w:rPr>
            </w:pPr>
            <w:r w:rsidRPr="00F07EFA">
              <w:rPr>
                <w:rFonts w:eastAsia="SimSun" w:cs="Times New Roman"/>
                <w:b/>
                <w:sz w:val="21"/>
                <w:szCs w:val="21"/>
                <w:lang w:eastAsia="zh-CN"/>
              </w:rPr>
              <w:t>Yellowfin tuna age and growth</w:t>
            </w:r>
          </w:p>
        </w:tc>
      </w:tr>
      <w:tr w:rsidR="00BA3E50" w:rsidRPr="00F07EFA" w14:paraId="18CE1298" w14:textId="77777777" w:rsidTr="004B6F4C">
        <w:tc>
          <w:tcPr>
            <w:tcW w:w="727" w:type="pct"/>
            <w:tcBorders>
              <w:top w:val="single" w:sz="4" w:space="0" w:color="auto"/>
              <w:left w:val="single" w:sz="4" w:space="0" w:color="auto"/>
              <w:bottom w:val="single" w:sz="4" w:space="0" w:color="auto"/>
              <w:right w:val="single" w:sz="4" w:space="0" w:color="auto"/>
            </w:tcBorders>
            <w:hideMark/>
          </w:tcPr>
          <w:p w14:paraId="18E19DB4"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Objectives</w:t>
            </w:r>
          </w:p>
        </w:tc>
        <w:tc>
          <w:tcPr>
            <w:tcW w:w="4273" w:type="pct"/>
            <w:tcBorders>
              <w:top w:val="single" w:sz="4" w:space="0" w:color="auto"/>
              <w:left w:val="single" w:sz="4" w:space="0" w:color="auto"/>
              <w:bottom w:val="single" w:sz="4" w:space="0" w:color="auto"/>
              <w:right w:val="single" w:sz="4" w:space="0" w:color="auto"/>
            </w:tcBorders>
            <w:hideMark/>
          </w:tcPr>
          <w:p w14:paraId="226BB366"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To provide robust age and growth estimates for yellowfin tuna in the WCPO to inform future stock assessments and related analyses.</w:t>
            </w:r>
          </w:p>
        </w:tc>
      </w:tr>
      <w:tr w:rsidR="00BA3E50" w:rsidRPr="00F07EFA" w14:paraId="41548EBD" w14:textId="77777777" w:rsidTr="004B6F4C">
        <w:tc>
          <w:tcPr>
            <w:tcW w:w="727" w:type="pct"/>
            <w:tcBorders>
              <w:top w:val="single" w:sz="4" w:space="0" w:color="auto"/>
              <w:left w:val="single" w:sz="4" w:space="0" w:color="auto"/>
              <w:bottom w:val="single" w:sz="4" w:space="0" w:color="auto"/>
              <w:right w:val="single" w:sz="4" w:space="0" w:color="auto"/>
            </w:tcBorders>
            <w:hideMark/>
          </w:tcPr>
          <w:p w14:paraId="34AC1016"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Rationale</w:t>
            </w:r>
          </w:p>
        </w:tc>
        <w:tc>
          <w:tcPr>
            <w:tcW w:w="4273" w:type="pct"/>
            <w:tcBorders>
              <w:top w:val="single" w:sz="4" w:space="0" w:color="auto"/>
              <w:left w:val="single" w:sz="4" w:space="0" w:color="auto"/>
              <w:bottom w:val="single" w:sz="4" w:space="0" w:color="auto"/>
              <w:right w:val="single" w:sz="4" w:space="0" w:color="auto"/>
            </w:tcBorders>
          </w:tcPr>
          <w:p w14:paraId="47F1DEAE"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 xml:space="preserve">The 2017 yellowfin tuna stock assessment (Tremblay-Boyer et al. 2017) identified that new estimates of age and growth be developed for yellowfin tuna in the WCPO. This recommendation arose given how influential updated growth estimates for bigeye tuna (Farley et al. 2017) proved on that assessment in 2017, noting similarities in the fisheries for those two species. In addition the current assessment model for yellowfin predicts a decline in the selectivity of large fish for longline fisheries, a counter-intuitive result which can occur if the growth is incorrectly specified within the assessment model. </w:t>
            </w:r>
          </w:p>
          <w:p w14:paraId="24F88604"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p>
          <w:p w14:paraId="6D3A01E5"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This project would undertake the first comprehensive age and growth study for yellowfin tuna in the WCPO using otoliths. This project represents an area of work not yet pursued in the WCPO. Through Project 35 and 35b, the Tuna Tissue Bank, a range of yellowfin otolith samples have been collected to date (&gt;4000). As for bigeye the limitation is otoliths for very small fish (&lt;30 cm) and for large fish (&gt;140 cm).</w:t>
            </w:r>
          </w:p>
          <w:p w14:paraId="6567A21B"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p>
          <w:p w14:paraId="53C2BFA6" w14:textId="77777777" w:rsidR="00BA3E50" w:rsidRPr="00F07EFA" w:rsidRDefault="00BA3E50" w:rsidP="00241619">
            <w:pPr>
              <w:widowControl w:val="0"/>
              <w:kinsoku w:val="0"/>
              <w:overflowPunct w:val="0"/>
              <w:autoSpaceDE w:val="0"/>
              <w:autoSpaceDN w:val="0"/>
              <w:adjustRightInd w:val="0"/>
              <w:snapToGrid w:val="0"/>
              <w:rPr>
                <w:rFonts w:eastAsia="Calibri" w:cs="Times New Roman"/>
                <w:sz w:val="21"/>
                <w:szCs w:val="21"/>
                <w:lang w:eastAsia="zh-CN"/>
              </w:rPr>
            </w:pPr>
            <w:r w:rsidRPr="00F07EFA">
              <w:rPr>
                <w:rFonts w:eastAsia="SimSun" w:cs="Times New Roman"/>
                <w:sz w:val="21"/>
                <w:szCs w:val="21"/>
                <w:lang w:eastAsia="zh-CN"/>
              </w:rPr>
              <w:t>SPC (for the WCPFC Tuna Tissue Bank) have identified the available yellowfin tuna otoliths, by size class sampled after 01 January 2014. These unread otoliths, along with additional yellowfin otoliths which Japan has indicated are available for this research, are plotted below with numbers of available otoliths per 10cm size bin. These samples should be adequate to complete a comprehensive and robust study of yellowfin tuna age and growth.  It may be useful to seek additional otoliths from larger fish in the WCPO from other project partners.</w:t>
            </w:r>
          </w:p>
          <w:p w14:paraId="713F14F9"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p>
          <w:p w14:paraId="1C149436" w14:textId="77777777" w:rsidR="00BA3E50" w:rsidRPr="00F07EFA" w:rsidRDefault="00B265EE" w:rsidP="00241619">
            <w:pPr>
              <w:widowControl w:val="0"/>
              <w:kinsoku w:val="0"/>
              <w:overflowPunct w:val="0"/>
              <w:autoSpaceDE w:val="0"/>
              <w:autoSpaceDN w:val="0"/>
              <w:adjustRightInd w:val="0"/>
              <w:snapToGrid w:val="0"/>
              <w:jc w:val="center"/>
              <w:rPr>
                <w:rFonts w:eastAsia="Calibri" w:cs="Times New Roman"/>
                <w:sz w:val="21"/>
                <w:szCs w:val="21"/>
                <w:lang w:eastAsia="zh-CN"/>
              </w:rPr>
            </w:pPr>
            <w:r w:rsidRPr="00F07EFA">
              <w:rPr>
                <w:noProof/>
                <w:sz w:val="21"/>
                <w:szCs w:val="21"/>
                <w:lang w:eastAsia="zh-CN" w:bidi="mn-Mong-CN"/>
              </w:rPr>
              <w:drawing>
                <wp:inline distT="0" distB="0" distL="0" distR="0" wp14:anchorId="3389CE2B" wp14:editId="48B71B2A">
                  <wp:extent cx="5010150" cy="2705100"/>
                  <wp:effectExtent l="0" t="0" r="0" b="0"/>
                  <wp:docPr id="34" name="Picture 34" descr="cid:image001.png@01D315BA.2055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01.png@01D315BA.20555540"/>
                          <pic:cNvPicPr>
                            <a:picLocks noChangeAspect="1" noChangeArrowheads="1"/>
                          </pic:cNvPicPr>
                        </pic:nvPicPr>
                        <pic:blipFill>
                          <a:blip r:embed="rId149" r:link="rId150">
                            <a:extLst>
                              <a:ext uri="{28A0092B-C50C-407E-A947-70E740481C1C}">
                                <a14:useLocalDpi xmlns:a14="http://schemas.microsoft.com/office/drawing/2010/main" val="0"/>
                              </a:ext>
                            </a:extLst>
                          </a:blip>
                          <a:srcRect/>
                          <a:stretch>
                            <a:fillRect/>
                          </a:stretch>
                        </pic:blipFill>
                        <pic:spPr bwMode="auto">
                          <a:xfrm>
                            <a:off x="0" y="0"/>
                            <a:ext cx="5010150" cy="2705100"/>
                          </a:xfrm>
                          <a:prstGeom prst="rect">
                            <a:avLst/>
                          </a:prstGeom>
                          <a:noFill/>
                          <a:ln>
                            <a:noFill/>
                          </a:ln>
                        </pic:spPr>
                      </pic:pic>
                    </a:graphicData>
                  </a:graphic>
                </wp:inline>
              </w:drawing>
            </w:r>
          </w:p>
          <w:p w14:paraId="5C86A9EA" w14:textId="77777777" w:rsidR="00BA3E50" w:rsidRPr="00F07EFA" w:rsidRDefault="00BA3E50" w:rsidP="00241619">
            <w:pPr>
              <w:widowControl w:val="0"/>
              <w:kinsoku w:val="0"/>
              <w:overflowPunct w:val="0"/>
              <w:autoSpaceDE w:val="0"/>
              <w:autoSpaceDN w:val="0"/>
              <w:adjustRightInd w:val="0"/>
              <w:snapToGrid w:val="0"/>
              <w:rPr>
                <w:rFonts w:eastAsia="Calibri" w:cs="Times New Roman"/>
                <w:sz w:val="21"/>
                <w:szCs w:val="21"/>
                <w:lang w:eastAsia="zh-CN"/>
              </w:rPr>
            </w:pPr>
            <w:r w:rsidRPr="00F07EFA">
              <w:rPr>
                <w:rFonts w:eastAsia="SimSun" w:cs="Times New Roman"/>
                <w:sz w:val="21"/>
                <w:szCs w:val="21"/>
                <w:lang w:eastAsia="zh-CN"/>
              </w:rPr>
              <w:t>Some of the additional otolith samples from Japan are single otoliths and some are pairs. The project would have all of the singles and one of each pair sent to CSIRO for processing and analysis. The 2</w:t>
            </w:r>
            <w:r w:rsidRPr="00F07EFA">
              <w:rPr>
                <w:rFonts w:eastAsia="SimSun" w:cs="Times New Roman"/>
                <w:sz w:val="21"/>
                <w:szCs w:val="21"/>
                <w:vertAlign w:val="superscript"/>
                <w:lang w:eastAsia="zh-CN"/>
              </w:rPr>
              <w:t>nd</w:t>
            </w:r>
            <w:r w:rsidRPr="00F07EFA">
              <w:rPr>
                <w:rFonts w:eastAsia="SimSun" w:cs="Times New Roman"/>
                <w:sz w:val="21"/>
                <w:szCs w:val="21"/>
                <w:lang w:eastAsia="zh-CN"/>
              </w:rPr>
              <w:t xml:space="preserve"> otoliths of the paired samples would be processed and analysed by Japan, and then the results for the same individual yellowfin compared. This would likely involved collaborative work at the CSIRO laboratories.</w:t>
            </w:r>
          </w:p>
          <w:p w14:paraId="35316F18"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p>
          <w:p w14:paraId="447FB393" w14:textId="77777777" w:rsidR="00BA3E50" w:rsidRPr="00F07EFA" w:rsidRDefault="00BA3E50" w:rsidP="00241619">
            <w:pPr>
              <w:widowControl w:val="0"/>
              <w:kinsoku w:val="0"/>
              <w:overflowPunct w:val="0"/>
              <w:autoSpaceDE w:val="0"/>
              <w:autoSpaceDN w:val="0"/>
              <w:adjustRightInd w:val="0"/>
              <w:snapToGrid w:val="0"/>
              <w:rPr>
                <w:rFonts w:eastAsia="Calibri" w:cs="Times New Roman"/>
                <w:sz w:val="21"/>
                <w:szCs w:val="21"/>
                <w:lang w:eastAsia="zh-CN"/>
              </w:rPr>
            </w:pPr>
            <w:r w:rsidRPr="00F07EFA">
              <w:rPr>
                <w:rFonts w:eastAsia="SimSun" w:cs="Times New Roman"/>
                <w:sz w:val="21"/>
                <w:szCs w:val="21"/>
                <w:lang w:eastAsia="zh-CN"/>
              </w:rPr>
              <w:t xml:space="preserve">Note that if additional otoliths from the &gt;140 cm groups were provided by other project partners they would be incorporated into the analyses in a similar manner, subject to funding. </w:t>
            </w:r>
          </w:p>
          <w:p w14:paraId="7218EFA8"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p>
          <w:p w14:paraId="41AEF764"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The project would begin with a preliminary analys</w:t>
            </w:r>
            <w:r w:rsidR="00753A0C">
              <w:rPr>
                <w:rFonts w:eastAsiaTheme="minorEastAsia" w:cs="Times New Roman" w:hint="eastAsia"/>
                <w:sz w:val="21"/>
                <w:szCs w:val="21"/>
                <w:lang w:eastAsia="ko-KR"/>
              </w:rPr>
              <w:t>i</w:t>
            </w:r>
            <w:r w:rsidRPr="00F07EFA">
              <w:rPr>
                <w:rFonts w:eastAsia="SimSun" w:cs="Times New Roman"/>
                <w:sz w:val="21"/>
                <w:szCs w:val="21"/>
                <w:lang w:eastAsia="zh-CN"/>
              </w:rPr>
              <w:t>s of WCPO yellowfin conducted by CSIRO to determine if the otoliths are suitable for annual age estimation. This study would include an initial reading of otoliths using daily increments to establish annual check marks, followed by an examination of otoliths across the available size range to assess readability. This work would establish a reference otolith set for the rest of the study.  At this time no otoliths with chemical check marks for validating age estimates are available. CSIRO and the Scientific Services Provider will collaborate to try and obtain strontium chloride marked otoliths within the life of the project, however it is more likely that these will not be available until after the project is complete. Accordingly, should the preliminary work determine yellowfin otoliths are suitable for a large-scale study (a target of 1500 otoliths across the size range read using the annual method, and 150 using the daily growth increment method, these targets including otoliths read in the preliminary study), a marginal increment analysis will be conducted to support the estimates of age and growth arising from that work.</w:t>
            </w:r>
          </w:p>
          <w:p w14:paraId="70559ECD"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p>
          <w:p w14:paraId="1FBA18C2" w14:textId="77777777" w:rsidR="00BA3E50" w:rsidRPr="00F07EFA" w:rsidRDefault="00BA3E50" w:rsidP="00753A0C">
            <w:pPr>
              <w:widowControl w:val="0"/>
              <w:kinsoku w:val="0"/>
              <w:overflowPunct w:val="0"/>
              <w:autoSpaceDE w:val="0"/>
              <w:autoSpaceDN w:val="0"/>
              <w:adjustRightInd w:val="0"/>
              <w:snapToGrid w:val="0"/>
              <w:rPr>
                <w:rFonts w:eastAsia="Calibri" w:cs="Times New Roman"/>
                <w:sz w:val="21"/>
                <w:szCs w:val="21"/>
                <w:lang w:eastAsia="zh-CN"/>
              </w:rPr>
            </w:pPr>
            <w:r w:rsidRPr="00F07EFA">
              <w:rPr>
                <w:rFonts w:eastAsia="SimSun" w:cs="Times New Roman"/>
                <w:sz w:val="21"/>
                <w:szCs w:val="21"/>
                <w:lang w:eastAsia="zh-CN"/>
              </w:rPr>
              <w:t>The project would conduct</w:t>
            </w:r>
            <w:r w:rsidR="00753A0C">
              <w:rPr>
                <w:rFonts w:eastAsiaTheme="minorEastAsia" w:cs="Times New Roman" w:hint="eastAsia"/>
                <w:sz w:val="21"/>
                <w:szCs w:val="21"/>
                <w:lang w:eastAsia="ko-KR"/>
              </w:rPr>
              <w:t xml:space="preserve"> a</w:t>
            </w:r>
            <w:r w:rsidRPr="00F07EFA">
              <w:rPr>
                <w:rFonts w:eastAsia="SimSun" w:cs="Times New Roman"/>
                <w:sz w:val="21"/>
                <w:szCs w:val="21"/>
                <w:lang w:eastAsia="zh-CN"/>
              </w:rPr>
              <w:t xml:space="preserve"> preliminary work early in 2018. A small workshop would be conducted during the 2018 PAWS to finalise the approach for the large-scale study. A preliminary report would be provided to SC14. The remaining work would be completed during the remainder of 2018, with a final presentation to SC15 in 2019.</w:t>
            </w:r>
          </w:p>
        </w:tc>
      </w:tr>
      <w:tr w:rsidR="00BA3E50" w:rsidRPr="00F07EFA" w14:paraId="04741D33" w14:textId="77777777" w:rsidTr="004B6F4C">
        <w:tc>
          <w:tcPr>
            <w:tcW w:w="727" w:type="pct"/>
            <w:tcBorders>
              <w:top w:val="single" w:sz="4" w:space="0" w:color="auto"/>
              <w:left w:val="single" w:sz="4" w:space="0" w:color="auto"/>
              <w:bottom w:val="single" w:sz="4" w:space="0" w:color="auto"/>
              <w:right w:val="single" w:sz="4" w:space="0" w:color="auto"/>
            </w:tcBorders>
            <w:hideMark/>
          </w:tcPr>
          <w:p w14:paraId="63F4AE57"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Assumptions</w:t>
            </w:r>
          </w:p>
        </w:tc>
        <w:tc>
          <w:tcPr>
            <w:tcW w:w="4273" w:type="pct"/>
            <w:tcBorders>
              <w:top w:val="single" w:sz="4" w:space="0" w:color="auto"/>
              <w:left w:val="single" w:sz="4" w:space="0" w:color="auto"/>
              <w:bottom w:val="single" w:sz="4" w:space="0" w:color="auto"/>
              <w:right w:val="single" w:sz="4" w:space="0" w:color="auto"/>
            </w:tcBorders>
            <w:hideMark/>
          </w:tcPr>
          <w:p w14:paraId="3CD13CF6" w14:textId="77777777" w:rsidR="00BA3E50" w:rsidRPr="00F07EFA" w:rsidRDefault="00BA3E50" w:rsidP="00580EA4">
            <w:pPr>
              <w:widowControl w:val="0"/>
              <w:numPr>
                <w:ilvl w:val="0"/>
                <w:numId w:val="122"/>
              </w:numPr>
              <w:kinsoku w:val="0"/>
              <w:overflowPunct w:val="0"/>
              <w:autoSpaceDE w:val="0"/>
              <w:autoSpaceDN w:val="0"/>
              <w:adjustRightInd w:val="0"/>
              <w:snapToGrid w:val="0"/>
              <w:ind w:left="203" w:hanging="142"/>
              <w:jc w:val="both"/>
              <w:rPr>
                <w:rFonts w:eastAsia="SimSun" w:cs="Times New Roman"/>
                <w:sz w:val="21"/>
                <w:szCs w:val="21"/>
                <w:lang w:val="en-AU" w:eastAsia="en-NZ"/>
              </w:rPr>
            </w:pPr>
            <w:r w:rsidRPr="00F07EFA">
              <w:rPr>
                <w:rFonts w:eastAsia="SimSun" w:cs="Times New Roman"/>
                <w:sz w:val="21"/>
                <w:szCs w:val="21"/>
                <w:lang w:val="en-AU" w:eastAsia="en-NZ"/>
              </w:rPr>
              <w:t>The otoliths identified as available by project partners are provided in a timely manner.</w:t>
            </w:r>
          </w:p>
          <w:p w14:paraId="421C7EC9" w14:textId="77777777" w:rsidR="00BA3E50" w:rsidRPr="00F07EFA" w:rsidRDefault="00BA3E50" w:rsidP="00580EA4">
            <w:pPr>
              <w:widowControl w:val="0"/>
              <w:numPr>
                <w:ilvl w:val="0"/>
                <w:numId w:val="122"/>
              </w:numPr>
              <w:kinsoku w:val="0"/>
              <w:overflowPunct w:val="0"/>
              <w:autoSpaceDE w:val="0"/>
              <w:autoSpaceDN w:val="0"/>
              <w:adjustRightInd w:val="0"/>
              <w:snapToGrid w:val="0"/>
              <w:ind w:left="203" w:hanging="142"/>
              <w:jc w:val="both"/>
              <w:rPr>
                <w:rFonts w:eastAsia="SimSun" w:cs="Times New Roman"/>
                <w:sz w:val="21"/>
                <w:szCs w:val="21"/>
                <w:lang w:val="en-AU" w:eastAsia="en-NZ"/>
              </w:rPr>
            </w:pPr>
            <w:r w:rsidRPr="00F07EFA">
              <w:rPr>
                <w:rFonts w:eastAsia="SimSun" w:cs="Times New Roman"/>
                <w:sz w:val="21"/>
                <w:szCs w:val="21"/>
                <w:lang w:val="en-AU" w:eastAsia="en-NZ"/>
              </w:rPr>
              <w:t>The otoliths provided by project partners, and those from the WCPFC Tuna Tissue Bank are of sufficient quality to be produce readable slides.</w:t>
            </w:r>
          </w:p>
          <w:p w14:paraId="5A38C18E" w14:textId="77777777" w:rsidR="00BA3E50" w:rsidRPr="00F07EFA" w:rsidRDefault="00BA3E50" w:rsidP="00580EA4">
            <w:pPr>
              <w:widowControl w:val="0"/>
              <w:numPr>
                <w:ilvl w:val="0"/>
                <w:numId w:val="122"/>
              </w:numPr>
              <w:kinsoku w:val="0"/>
              <w:overflowPunct w:val="0"/>
              <w:autoSpaceDE w:val="0"/>
              <w:autoSpaceDN w:val="0"/>
              <w:adjustRightInd w:val="0"/>
              <w:snapToGrid w:val="0"/>
              <w:ind w:left="203" w:hanging="142"/>
              <w:jc w:val="both"/>
              <w:rPr>
                <w:rFonts w:eastAsia="SimSun" w:cs="Times New Roman"/>
                <w:sz w:val="21"/>
                <w:szCs w:val="21"/>
                <w:lang w:val="en-AU" w:eastAsia="en-NZ"/>
              </w:rPr>
            </w:pPr>
            <w:r w:rsidRPr="00F07EFA">
              <w:rPr>
                <w:rFonts w:eastAsia="SimSun" w:cs="Times New Roman"/>
                <w:sz w:val="21"/>
                <w:szCs w:val="21"/>
                <w:lang w:val="en-AU" w:eastAsia="en-NZ"/>
              </w:rPr>
              <w:t>Work to be completed by project partners is finished on time.</w:t>
            </w:r>
          </w:p>
          <w:p w14:paraId="4E664AF0" w14:textId="77777777" w:rsidR="00BA3E50" w:rsidRPr="00F07EFA" w:rsidRDefault="00BA3E50" w:rsidP="00580EA4">
            <w:pPr>
              <w:widowControl w:val="0"/>
              <w:numPr>
                <w:ilvl w:val="0"/>
                <w:numId w:val="122"/>
              </w:numPr>
              <w:kinsoku w:val="0"/>
              <w:overflowPunct w:val="0"/>
              <w:autoSpaceDE w:val="0"/>
              <w:autoSpaceDN w:val="0"/>
              <w:adjustRightInd w:val="0"/>
              <w:snapToGrid w:val="0"/>
              <w:ind w:left="203" w:hanging="142"/>
              <w:jc w:val="both"/>
              <w:rPr>
                <w:rFonts w:eastAsia="SimSun" w:cs="Times New Roman"/>
                <w:sz w:val="21"/>
                <w:szCs w:val="21"/>
                <w:lang w:val="en-AU" w:eastAsia="en-NZ"/>
              </w:rPr>
            </w:pPr>
            <w:r w:rsidRPr="00F07EFA">
              <w:rPr>
                <w:rFonts w:eastAsia="SimSun" w:cs="Times New Roman"/>
                <w:sz w:val="21"/>
                <w:szCs w:val="21"/>
                <w:lang w:val="en-AU" w:eastAsia="en-NZ"/>
              </w:rPr>
              <w:t>Otoliths from the WCPFC Tuna Tissue Bank will be released without needing to have the research proposal approved by the SC Research Committee.</w:t>
            </w:r>
          </w:p>
          <w:p w14:paraId="4555B7AC" w14:textId="77777777" w:rsidR="00BA3E50" w:rsidRPr="00F07EFA" w:rsidRDefault="00BA3E50" w:rsidP="00580EA4">
            <w:pPr>
              <w:widowControl w:val="0"/>
              <w:numPr>
                <w:ilvl w:val="0"/>
                <w:numId w:val="122"/>
              </w:numPr>
              <w:kinsoku w:val="0"/>
              <w:overflowPunct w:val="0"/>
              <w:autoSpaceDE w:val="0"/>
              <w:autoSpaceDN w:val="0"/>
              <w:adjustRightInd w:val="0"/>
              <w:snapToGrid w:val="0"/>
              <w:ind w:left="203" w:hanging="142"/>
              <w:jc w:val="both"/>
              <w:rPr>
                <w:rFonts w:eastAsia="SimSun" w:cs="Times New Roman"/>
                <w:sz w:val="21"/>
                <w:szCs w:val="21"/>
                <w:lang w:val="en-AU" w:eastAsia="en-NZ"/>
              </w:rPr>
            </w:pPr>
            <w:r w:rsidRPr="00F07EFA">
              <w:rPr>
                <w:rFonts w:eastAsia="SimSun" w:cs="Times New Roman"/>
                <w:sz w:val="21"/>
                <w:szCs w:val="21"/>
                <w:lang w:val="en-AU" w:eastAsia="en-NZ"/>
              </w:rPr>
              <w:t>CSIRO will undertake the core work and will actively collaborate with the Scientific Services Provider and Japan in the conduct of the analyses.</w:t>
            </w:r>
          </w:p>
        </w:tc>
      </w:tr>
      <w:tr w:rsidR="00BA3E50" w:rsidRPr="00F07EFA" w14:paraId="6AC6BC99" w14:textId="77777777" w:rsidTr="004B6F4C">
        <w:tc>
          <w:tcPr>
            <w:tcW w:w="727" w:type="pct"/>
            <w:tcBorders>
              <w:top w:val="single" w:sz="4" w:space="0" w:color="auto"/>
              <w:left w:val="single" w:sz="4" w:space="0" w:color="auto"/>
              <w:bottom w:val="single" w:sz="4" w:space="0" w:color="auto"/>
              <w:right w:val="single" w:sz="4" w:space="0" w:color="auto"/>
            </w:tcBorders>
            <w:hideMark/>
          </w:tcPr>
          <w:p w14:paraId="7590ED97"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Scope</w:t>
            </w:r>
          </w:p>
        </w:tc>
        <w:tc>
          <w:tcPr>
            <w:tcW w:w="4273" w:type="pct"/>
            <w:tcBorders>
              <w:top w:val="single" w:sz="4" w:space="0" w:color="auto"/>
              <w:left w:val="single" w:sz="4" w:space="0" w:color="auto"/>
              <w:bottom w:val="single" w:sz="4" w:space="0" w:color="auto"/>
              <w:right w:val="single" w:sz="4" w:space="0" w:color="auto"/>
            </w:tcBorders>
            <w:hideMark/>
          </w:tcPr>
          <w:p w14:paraId="53F79F4F"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This work will:</w:t>
            </w:r>
          </w:p>
          <w:p w14:paraId="5DA77170" w14:textId="77777777" w:rsidR="00BA3E50" w:rsidRPr="00F07EFA" w:rsidRDefault="00BA3E50" w:rsidP="00580EA4">
            <w:pPr>
              <w:widowControl w:val="0"/>
              <w:numPr>
                <w:ilvl w:val="0"/>
                <w:numId w:val="121"/>
              </w:numPr>
              <w:kinsoku w:val="0"/>
              <w:overflowPunct w:val="0"/>
              <w:autoSpaceDE w:val="0"/>
              <w:autoSpaceDN w:val="0"/>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Conduct a preliminary analysis of the suitability of yellowfin tuna otoliths for providing robust estimates of age and growth;</w:t>
            </w:r>
          </w:p>
          <w:p w14:paraId="7BB7CA6C" w14:textId="77777777" w:rsidR="00BA3E50" w:rsidRPr="00F07EFA" w:rsidRDefault="00BA3E50" w:rsidP="00580EA4">
            <w:pPr>
              <w:widowControl w:val="0"/>
              <w:numPr>
                <w:ilvl w:val="0"/>
                <w:numId w:val="121"/>
              </w:numPr>
              <w:kinsoku w:val="0"/>
              <w:overflowPunct w:val="0"/>
              <w:autoSpaceDE w:val="0"/>
              <w:autoSpaceDN w:val="0"/>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Develop a reference collection and protocols for reading daily and annual growth checks in yellowfin tuna otoliths;</w:t>
            </w:r>
          </w:p>
          <w:p w14:paraId="54DD9149" w14:textId="77777777" w:rsidR="00BA3E50" w:rsidRPr="00F07EFA" w:rsidRDefault="00BA3E50" w:rsidP="00580EA4">
            <w:pPr>
              <w:widowControl w:val="0"/>
              <w:numPr>
                <w:ilvl w:val="0"/>
                <w:numId w:val="121"/>
              </w:numPr>
              <w:kinsoku w:val="0"/>
              <w:overflowPunct w:val="0"/>
              <w:autoSpaceDE w:val="0"/>
              <w:autoSpaceDN w:val="0"/>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Prepare and read 1500 otoliths using the annual increment method;</w:t>
            </w:r>
          </w:p>
          <w:p w14:paraId="531B87B1" w14:textId="77777777" w:rsidR="00BA3E50" w:rsidRPr="00F07EFA" w:rsidRDefault="00BA3E50" w:rsidP="00580EA4">
            <w:pPr>
              <w:widowControl w:val="0"/>
              <w:numPr>
                <w:ilvl w:val="0"/>
                <w:numId w:val="121"/>
              </w:numPr>
              <w:kinsoku w:val="0"/>
              <w:overflowPunct w:val="0"/>
              <w:autoSpaceDE w:val="0"/>
              <w:autoSpaceDN w:val="0"/>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Prepare and reading 150 otoliths using the daily growth increment method;</w:t>
            </w:r>
          </w:p>
          <w:p w14:paraId="623179E6" w14:textId="77777777" w:rsidR="00BA3E50" w:rsidRPr="00F07EFA" w:rsidRDefault="00BA3E50" w:rsidP="00580EA4">
            <w:pPr>
              <w:widowControl w:val="0"/>
              <w:numPr>
                <w:ilvl w:val="0"/>
                <w:numId w:val="121"/>
              </w:numPr>
              <w:kinsoku w:val="0"/>
              <w:overflowPunct w:val="0"/>
              <w:autoSpaceDE w:val="0"/>
              <w:autoSpaceDN w:val="0"/>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Undertake a marginal increment analysis to support the age and growth estimates;</w:t>
            </w:r>
          </w:p>
          <w:p w14:paraId="1F1E5C46" w14:textId="77777777" w:rsidR="00BA3E50" w:rsidRPr="00F07EFA" w:rsidRDefault="00BA3E50" w:rsidP="00580EA4">
            <w:pPr>
              <w:widowControl w:val="0"/>
              <w:numPr>
                <w:ilvl w:val="0"/>
                <w:numId w:val="121"/>
              </w:numPr>
              <w:kinsoku w:val="0"/>
              <w:overflowPunct w:val="0"/>
              <w:autoSpaceDE w:val="0"/>
              <w:autoSpaceDN w:val="0"/>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Report estimates of age and growth for yellowfin tuna to WCPFC SC15.</w:t>
            </w:r>
          </w:p>
        </w:tc>
      </w:tr>
      <w:tr w:rsidR="00BA3E50" w:rsidRPr="00F07EFA" w14:paraId="3CF6F1C6" w14:textId="77777777" w:rsidTr="004B6F4C">
        <w:tc>
          <w:tcPr>
            <w:tcW w:w="727" w:type="pct"/>
            <w:tcBorders>
              <w:top w:val="single" w:sz="4" w:space="0" w:color="auto"/>
              <w:left w:val="single" w:sz="4" w:space="0" w:color="auto"/>
              <w:bottom w:val="single" w:sz="4" w:space="0" w:color="auto"/>
              <w:right w:val="single" w:sz="4" w:space="0" w:color="auto"/>
            </w:tcBorders>
            <w:hideMark/>
          </w:tcPr>
          <w:p w14:paraId="653E2B3F"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Risks</w:t>
            </w:r>
          </w:p>
        </w:tc>
        <w:tc>
          <w:tcPr>
            <w:tcW w:w="4273" w:type="pct"/>
            <w:tcBorders>
              <w:top w:val="single" w:sz="4" w:space="0" w:color="auto"/>
              <w:left w:val="single" w:sz="4" w:space="0" w:color="auto"/>
              <w:bottom w:val="single" w:sz="4" w:space="0" w:color="auto"/>
              <w:right w:val="single" w:sz="4" w:space="0" w:color="auto"/>
            </w:tcBorders>
            <w:hideMark/>
          </w:tcPr>
          <w:p w14:paraId="1D0DFEDC"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Note that due to the generally tropical distribution of yellowfin tuna, and the available otoliths, this study may need to be halted after the preliminary investigations. Should that occur, the report to SC14 will provide an opportunity to review next steps for developing robust estimates of age and growth for yellowfin tuna in the WCPO.</w:t>
            </w:r>
          </w:p>
        </w:tc>
      </w:tr>
      <w:tr w:rsidR="00BA3E50" w:rsidRPr="00F07EFA" w14:paraId="4327339B" w14:textId="77777777" w:rsidTr="004B6F4C">
        <w:tc>
          <w:tcPr>
            <w:tcW w:w="727" w:type="pct"/>
            <w:tcBorders>
              <w:top w:val="single" w:sz="4" w:space="0" w:color="auto"/>
              <w:left w:val="single" w:sz="4" w:space="0" w:color="auto"/>
              <w:bottom w:val="single" w:sz="4" w:space="0" w:color="auto"/>
              <w:right w:val="single" w:sz="4" w:space="0" w:color="auto"/>
            </w:tcBorders>
            <w:hideMark/>
          </w:tcPr>
          <w:p w14:paraId="68A60714"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Timeframe</w:t>
            </w:r>
          </w:p>
        </w:tc>
        <w:tc>
          <w:tcPr>
            <w:tcW w:w="4273" w:type="pct"/>
            <w:tcBorders>
              <w:top w:val="single" w:sz="4" w:space="0" w:color="auto"/>
              <w:left w:val="single" w:sz="4" w:space="0" w:color="auto"/>
              <w:bottom w:val="single" w:sz="4" w:space="0" w:color="auto"/>
              <w:right w:val="single" w:sz="4" w:space="0" w:color="auto"/>
            </w:tcBorders>
            <w:hideMark/>
          </w:tcPr>
          <w:p w14:paraId="446A756A"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24 months</w:t>
            </w:r>
          </w:p>
        </w:tc>
      </w:tr>
      <w:tr w:rsidR="00BA3E50" w:rsidRPr="00F07EFA" w14:paraId="614D228F" w14:textId="77777777" w:rsidTr="004B6F4C">
        <w:tc>
          <w:tcPr>
            <w:tcW w:w="727" w:type="pct"/>
            <w:tcBorders>
              <w:top w:val="single" w:sz="4" w:space="0" w:color="auto"/>
              <w:left w:val="single" w:sz="4" w:space="0" w:color="auto"/>
              <w:bottom w:val="single" w:sz="4" w:space="0" w:color="auto"/>
              <w:right w:val="single" w:sz="4" w:space="0" w:color="auto"/>
            </w:tcBorders>
            <w:hideMark/>
          </w:tcPr>
          <w:p w14:paraId="51F3A1D1"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Budget</w:t>
            </w:r>
          </w:p>
        </w:tc>
        <w:tc>
          <w:tcPr>
            <w:tcW w:w="4273" w:type="pct"/>
            <w:tcBorders>
              <w:top w:val="single" w:sz="4" w:space="0" w:color="auto"/>
              <w:left w:val="single" w:sz="4" w:space="0" w:color="auto"/>
              <w:bottom w:val="single" w:sz="4" w:space="0" w:color="auto"/>
              <w:right w:val="single" w:sz="4" w:space="0" w:color="auto"/>
            </w:tcBorders>
            <w:hideMark/>
          </w:tcPr>
          <w:p w14:paraId="0A93A6F8"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2018 USD$100,000</w:t>
            </w:r>
          </w:p>
          <w:p w14:paraId="5D793BFA"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2019 USD$85,000</w:t>
            </w:r>
          </w:p>
          <w:p w14:paraId="0EFED564"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*Note that this covers the CSIRO component of the work, including reading 1650 otoliths, preparing two reports, travelling to the PAWS in 2018 and to WCPFC SC14 and SC15 to present the preliminary and final results. It does not cover costs of any project partners.</w:t>
            </w:r>
          </w:p>
        </w:tc>
      </w:tr>
      <w:tr w:rsidR="00BA3E50" w:rsidRPr="00F07EFA" w14:paraId="4ABBBC8B" w14:textId="77777777" w:rsidTr="004B6F4C">
        <w:tc>
          <w:tcPr>
            <w:tcW w:w="727" w:type="pct"/>
            <w:tcBorders>
              <w:top w:val="single" w:sz="4" w:space="0" w:color="auto"/>
              <w:left w:val="single" w:sz="4" w:space="0" w:color="auto"/>
              <w:bottom w:val="single" w:sz="4" w:space="0" w:color="auto"/>
              <w:right w:val="single" w:sz="4" w:space="0" w:color="auto"/>
            </w:tcBorders>
            <w:hideMark/>
          </w:tcPr>
          <w:p w14:paraId="6733C1DB"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References</w:t>
            </w:r>
          </w:p>
        </w:tc>
        <w:tc>
          <w:tcPr>
            <w:tcW w:w="4273" w:type="pct"/>
            <w:tcBorders>
              <w:top w:val="single" w:sz="4" w:space="0" w:color="auto"/>
              <w:left w:val="single" w:sz="4" w:space="0" w:color="auto"/>
              <w:bottom w:val="single" w:sz="4" w:space="0" w:color="auto"/>
              <w:right w:val="single" w:sz="4" w:space="0" w:color="auto"/>
            </w:tcBorders>
          </w:tcPr>
          <w:p w14:paraId="47A0DCB4"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Tremblay-Boyer, L., McKechnie, S., Pilling, G., and Hampton, J. 2017. Stock assessment of yellowfin tuna in the Western and Central Pacific Ocean. SC13-SA-WP-06. Thirteenth regular session of the Scientific Committee of the Western and Central Pacific Fisheries Commission. Rarotonga, Cook Islands, 9-17 August 2017.</w:t>
            </w:r>
          </w:p>
          <w:p w14:paraId="013FBFAF"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p>
          <w:p w14:paraId="05A94B55" w14:textId="77777777"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Farley, J., Eveson, P., Krusic-Golub, Sanchez, C., Roupsard, F., McKechnie, S., Nicol, S., Leroy, B., Smith, N., and Chang, S-K. 2017. Project 35: Age, growth and maturity of bigeye tuna in the Western and Central Pacific Ocean. SC13-SA-WP-01. Thirteenth regular session of the Scientific Committee of the Western and Central Pacific Fisheries Commission. Rarotonga, Cook Islands, 9-17 August 2017.</w:t>
            </w:r>
          </w:p>
        </w:tc>
      </w:tr>
    </w:tbl>
    <w:p w14:paraId="1F3CFC78" w14:textId="77777777" w:rsidR="00BA3E50" w:rsidRPr="00F07EFA" w:rsidRDefault="00BA3E50" w:rsidP="00241619">
      <w:pPr>
        <w:adjustRightInd w:val="0"/>
        <w:snapToGrid w:val="0"/>
        <w:rPr>
          <w:rFonts w:eastAsia="Batang"/>
          <w:color w:val="000000"/>
          <w:sz w:val="21"/>
          <w:szCs w:val="21"/>
          <w:lang w:val="en-AU" w:eastAsia="zh-CN"/>
        </w:rPr>
      </w:pPr>
    </w:p>
    <w:tbl>
      <w:tblPr>
        <w:tblStyle w:val="TableGrid7"/>
        <w:tblW w:w="4887" w:type="pct"/>
        <w:tblInd w:w="108" w:type="dxa"/>
        <w:tblLook w:val="04A0" w:firstRow="1" w:lastRow="0" w:firstColumn="1" w:lastColumn="0" w:noHBand="0" w:noVBand="1"/>
      </w:tblPr>
      <w:tblGrid>
        <w:gridCol w:w="1674"/>
        <w:gridCol w:w="7686"/>
      </w:tblGrid>
      <w:tr w:rsidR="00BA3E50" w:rsidRPr="00F07EFA" w14:paraId="4B137924" w14:textId="77777777" w:rsidTr="004B6F4C">
        <w:trPr>
          <w:trHeight w:val="638"/>
        </w:trPr>
        <w:tc>
          <w:tcPr>
            <w:tcW w:w="894" w:type="pct"/>
            <w:shd w:val="clear" w:color="auto" w:fill="92D050"/>
            <w:vAlign w:val="center"/>
            <w:hideMark/>
          </w:tcPr>
          <w:p w14:paraId="01AE4544"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Malgun Gothic" w:cs="Times New Roman"/>
                <w:b/>
                <w:caps/>
                <w:sz w:val="21"/>
                <w:szCs w:val="21"/>
                <w:lang w:eastAsia="ko-KR"/>
              </w:rPr>
              <w:t xml:space="preserve">PROJECT </w:t>
            </w:r>
            <w:r w:rsidRPr="00F07EFA">
              <w:rPr>
                <w:rFonts w:eastAsia="SimSun" w:cs="Times New Roman"/>
                <w:b/>
                <w:sz w:val="21"/>
                <w:szCs w:val="21"/>
                <w:lang w:val="en-NZ" w:eastAsia="zh-CN"/>
              </w:rPr>
              <w:t>83</w:t>
            </w:r>
          </w:p>
        </w:tc>
        <w:tc>
          <w:tcPr>
            <w:tcW w:w="4106" w:type="pct"/>
            <w:shd w:val="clear" w:color="auto" w:fill="92D050"/>
            <w:vAlign w:val="center"/>
            <w:hideMark/>
          </w:tcPr>
          <w:p w14:paraId="15A3E1A0"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Investigating the potential for a WCPFC tag research vessel</w:t>
            </w:r>
          </w:p>
        </w:tc>
      </w:tr>
      <w:tr w:rsidR="00BA3E50" w:rsidRPr="00F07EFA" w14:paraId="4C0A6461" w14:textId="77777777" w:rsidTr="004B6F4C">
        <w:tc>
          <w:tcPr>
            <w:tcW w:w="894" w:type="pct"/>
            <w:hideMark/>
          </w:tcPr>
          <w:p w14:paraId="451B2588"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Objectives</w:t>
            </w:r>
          </w:p>
        </w:tc>
        <w:tc>
          <w:tcPr>
            <w:tcW w:w="4106" w:type="pct"/>
            <w:hideMark/>
          </w:tcPr>
          <w:p w14:paraId="3D7BA8E0"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To explore the costs and benefits of the permanent use of an adaptable research vessel dedicated to the collection of the data used in tuna stock assessment in the WCPO.</w:t>
            </w:r>
          </w:p>
        </w:tc>
      </w:tr>
      <w:tr w:rsidR="00BA3E50" w:rsidRPr="00F07EFA" w14:paraId="328E5765" w14:textId="77777777" w:rsidTr="004B6F4C">
        <w:tc>
          <w:tcPr>
            <w:tcW w:w="894" w:type="pct"/>
            <w:hideMark/>
          </w:tcPr>
          <w:p w14:paraId="45B9B042"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Rationale</w:t>
            </w:r>
          </w:p>
        </w:tc>
        <w:tc>
          <w:tcPr>
            <w:tcW w:w="4106" w:type="pct"/>
          </w:tcPr>
          <w:p w14:paraId="7FABB7B4" w14:textId="77777777" w:rsidR="00BA3E50" w:rsidRPr="00F07EFA" w:rsidRDefault="00BA3E50" w:rsidP="00580EA4">
            <w:pPr>
              <w:numPr>
                <w:ilvl w:val="0"/>
                <w:numId w:val="123"/>
              </w:numPr>
              <w:adjustRightInd w:val="0"/>
              <w:snapToGrid w:val="0"/>
              <w:jc w:val="both"/>
              <w:rPr>
                <w:rFonts w:eastAsia="SimSun" w:cs="Times New Roman"/>
                <w:b/>
                <w:bCs/>
                <w:sz w:val="21"/>
                <w:szCs w:val="21"/>
                <w:lang w:val="en-NZ" w:eastAsia="zh-CN"/>
              </w:rPr>
            </w:pPr>
            <w:r w:rsidRPr="00F07EFA">
              <w:rPr>
                <w:rFonts w:eastAsia="SimSun" w:cs="Times New Roman"/>
                <w:b/>
                <w:bCs/>
                <w:sz w:val="21"/>
                <w:szCs w:val="21"/>
                <w:lang w:val="en-NZ" w:eastAsia="zh-CN"/>
              </w:rPr>
              <w:t>Rationale for project</w:t>
            </w:r>
          </w:p>
          <w:p w14:paraId="79B36B86" w14:textId="77777777" w:rsidR="00BA3E50" w:rsidRPr="00F07EFA" w:rsidRDefault="00BA3E50" w:rsidP="00580EA4">
            <w:pPr>
              <w:numPr>
                <w:ilvl w:val="0"/>
                <w:numId w:val="124"/>
              </w:numPr>
              <w:adjustRightInd w:val="0"/>
              <w:snapToGrid w:val="0"/>
              <w:jc w:val="both"/>
              <w:rPr>
                <w:rFonts w:eastAsia="SimSun" w:cs="Times New Roman"/>
                <w:b/>
                <w:bCs/>
                <w:sz w:val="21"/>
                <w:szCs w:val="21"/>
                <w:lang w:val="fr-FR" w:eastAsia="zh-CN"/>
              </w:rPr>
            </w:pPr>
            <w:r w:rsidRPr="00F07EFA">
              <w:rPr>
                <w:rFonts w:eastAsia="SimSun" w:cs="Times New Roman"/>
                <w:b/>
                <w:bCs/>
                <w:sz w:val="21"/>
                <w:szCs w:val="21"/>
                <w:lang w:val="fr-FR" w:eastAsia="zh-CN"/>
              </w:rPr>
              <w:t>General</w:t>
            </w:r>
          </w:p>
          <w:p w14:paraId="7330ECB0"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More than 70% of the global tuna catch are fished in the Pacific Ocean for an estimated value of over US$6 billion. The harvesting level of tuna resources and the efficiency of the involved industrial fleet henceforth impose a very responsive management mode. The management measures need to be supported by strong evidence based on high quality data allowing stock assessment containing a minimum of uncertainty. The data obtained independently from the fishing fleets have become essential and the science based management bodies have the responsibility to support their analysis with the best scientific evidence available. This requires a continuous acquiring of mortality rates for the impacted species, a detailed knowledge of their biology, along with their behaviour in response to fishing gears and in response to the variations in their environment. Assessing the fishing impact on the whole ecosystem requires collecting data on all the species living in association with tuna and tuna-like species, data about their prey and the pelagic ecosystem. The collection of all this information requires the permanent use of an adaptable research vessel properly designed for the purpose. There are currently no suitable tuna research vessels available in the region (or beyond).</w:t>
            </w:r>
          </w:p>
          <w:p w14:paraId="36F50344" w14:textId="77777777" w:rsidR="00BA3E50" w:rsidRPr="00F07EFA" w:rsidRDefault="00BA3E50" w:rsidP="00241619">
            <w:pPr>
              <w:adjustRightInd w:val="0"/>
              <w:snapToGrid w:val="0"/>
              <w:jc w:val="both"/>
              <w:rPr>
                <w:rFonts w:eastAsia="SimSun" w:cs="Times New Roman"/>
                <w:sz w:val="21"/>
                <w:szCs w:val="21"/>
                <w:lang w:val="en-NZ" w:eastAsia="zh-CN"/>
              </w:rPr>
            </w:pPr>
          </w:p>
          <w:p w14:paraId="708B0DC2"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 xml:space="preserve">Concurrently the fleet of vessels available to charter for research, especially in pole and line fisheries, are becoming increasingly difficult to procure or no longer meet standards necessary for the conduct of research (PTTP Steering Committee, 2018). </w:t>
            </w:r>
          </w:p>
          <w:p w14:paraId="219BC550" w14:textId="77777777" w:rsidR="00BA3E50" w:rsidRPr="00F07EFA" w:rsidRDefault="00BA3E50" w:rsidP="00241619">
            <w:pPr>
              <w:adjustRightInd w:val="0"/>
              <w:snapToGrid w:val="0"/>
              <w:jc w:val="both"/>
              <w:rPr>
                <w:rFonts w:eastAsia="SimSun" w:cs="Times New Roman"/>
                <w:sz w:val="21"/>
                <w:szCs w:val="21"/>
                <w:lang w:val="en-NZ" w:eastAsia="zh-CN"/>
              </w:rPr>
            </w:pPr>
          </w:p>
          <w:p w14:paraId="6FED4F06"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Accordingly it is increasingly urgent to carefully explore the permanent use of an adaptable research vessel dedicated to the collection of the data used in tuna stock assessment.</w:t>
            </w:r>
          </w:p>
          <w:p w14:paraId="7DFD8586" w14:textId="77777777" w:rsidR="00BA3E50" w:rsidRPr="00F07EFA" w:rsidRDefault="00BA3E50" w:rsidP="00241619">
            <w:pPr>
              <w:adjustRightInd w:val="0"/>
              <w:snapToGrid w:val="0"/>
              <w:jc w:val="both"/>
              <w:rPr>
                <w:rFonts w:eastAsia="SimSun" w:cs="Times New Roman"/>
                <w:b/>
                <w:bCs/>
                <w:sz w:val="21"/>
                <w:szCs w:val="21"/>
                <w:lang w:val="en-NZ" w:eastAsia="zh-CN"/>
              </w:rPr>
            </w:pPr>
          </w:p>
          <w:p w14:paraId="01F858B3" w14:textId="77777777" w:rsidR="00BA3E50" w:rsidRPr="00F07EFA" w:rsidRDefault="00BA3E50" w:rsidP="00580EA4">
            <w:pPr>
              <w:numPr>
                <w:ilvl w:val="0"/>
                <w:numId w:val="124"/>
              </w:numPr>
              <w:adjustRightInd w:val="0"/>
              <w:snapToGrid w:val="0"/>
              <w:jc w:val="both"/>
              <w:rPr>
                <w:rFonts w:eastAsia="SimSun" w:cs="Times New Roman"/>
                <w:b/>
                <w:bCs/>
                <w:sz w:val="21"/>
                <w:szCs w:val="21"/>
                <w:lang w:val="fr-FR" w:eastAsia="zh-CN"/>
              </w:rPr>
            </w:pPr>
            <w:r w:rsidRPr="00F07EFA">
              <w:rPr>
                <w:rFonts w:eastAsia="SimSun" w:cs="Times New Roman"/>
                <w:b/>
                <w:bCs/>
                <w:sz w:val="21"/>
                <w:szCs w:val="21"/>
                <w:lang w:val="fr-FR" w:eastAsia="zh-CN"/>
              </w:rPr>
              <w:t>SC 13 and SC 14</w:t>
            </w:r>
          </w:p>
          <w:p w14:paraId="2F6F779C"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At SC13 the PTTP Steering Committee considered the issue of the availability of suitable tagging vessels, especially for pole and line based research, at its 11</w:t>
            </w:r>
            <w:r w:rsidRPr="00F07EFA">
              <w:rPr>
                <w:rFonts w:eastAsia="SimSun" w:cs="Times New Roman"/>
                <w:sz w:val="21"/>
                <w:szCs w:val="21"/>
                <w:vertAlign w:val="superscript"/>
                <w:lang w:val="en-NZ" w:eastAsia="zh-CN"/>
              </w:rPr>
              <w:t>th</w:t>
            </w:r>
            <w:r w:rsidRPr="00F07EFA">
              <w:rPr>
                <w:rFonts w:eastAsia="SimSun" w:cs="Times New Roman"/>
                <w:sz w:val="21"/>
                <w:szCs w:val="21"/>
                <w:lang w:val="en-NZ" w:eastAsia="zh-CN"/>
              </w:rPr>
              <w:t xml:space="preserve"> meeting during SC13. The PTTP Steering Committee endorsed the proposal outlined in SC13-RP-P42-02 Appendix II and recommended that SC13 support an assessment of the cost-effectiveness of acquiring a dedicated tagging vessel (SC13-RP-P42-01). The 2018 report of the PTTP highlights the increased urgency of conducting this work (SPC-OFP 2018), especially given not only the increasing costs, but also the difficulty in securing a suitable vessel for charter in the region. At SC14 the PTTP Steering Committee recommended to SC14 that the priority of this work be increased to high.</w:t>
            </w:r>
          </w:p>
          <w:p w14:paraId="624C786F" w14:textId="77777777" w:rsidR="00BA3E50" w:rsidRPr="00F07EFA" w:rsidRDefault="00BA3E50" w:rsidP="00241619">
            <w:pPr>
              <w:adjustRightInd w:val="0"/>
              <w:snapToGrid w:val="0"/>
              <w:jc w:val="both"/>
              <w:rPr>
                <w:rFonts w:eastAsia="SimSun" w:cs="Times New Roman"/>
                <w:sz w:val="21"/>
                <w:szCs w:val="21"/>
                <w:lang w:val="en-NZ" w:eastAsia="zh-CN"/>
              </w:rPr>
            </w:pPr>
          </w:p>
          <w:p w14:paraId="2AB52639" w14:textId="77777777" w:rsidR="00BA3E50" w:rsidRPr="00F07EFA" w:rsidRDefault="00BA3E50" w:rsidP="00580EA4">
            <w:pPr>
              <w:numPr>
                <w:ilvl w:val="0"/>
                <w:numId w:val="123"/>
              </w:numPr>
              <w:adjustRightInd w:val="0"/>
              <w:snapToGrid w:val="0"/>
              <w:jc w:val="both"/>
              <w:rPr>
                <w:rFonts w:eastAsia="SimSun" w:cs="Times New Roman"/>
                <w:b/>
                <w:bCs/>
                <w:sz w:val="21"/>
                <w:szCs w:val="21"/>
                <w:lang w:val="en-NZ" w:eastAsia="zh-CN"/>
              </w:rPr>
            </w:pPr>
            <w:r w:rsidRPr="00F07EFA">
              <w:rPr>
                <w:rFonts w:eastAsia="SimSun" w:cs="Times New Roman"/>
                <w:b/>
                <w:bCs/>
                <w:sz w:val="21"/>
                <w:szCs w:val="21"/>
                <w:lang w:val="en-NZ" w:eastAsia="zh-CN"/>
              </w:rPr>
              <w:t>Current availability of suitable research platforms</w:t>
            </w:r>
          </w:p>
          <w:p w14:paraId="028821C4" w14:textId="77777777" w:rsidR="00BA3E50" w:rsidRPr="00F07EFA" w:rsidRDefault="00BA3E50" w:rsidP="00580EA4">
            <w:pPr>
              <w:numPr>
                <w:ilvl w:val="0"/>
                <w:numId w:val="125"/>
              </w:numPr>
              <w:adjustRightInd w:val="0"/>
              <w:snapToGrid w:val="0"/>
              <w:jc w:val="both"/>
              <w:rPr>
                <w:rFonts w:eastAsia="SimSun" w:cs="Times New Roman"/>
                <w:b/>
                <w:bCs/>
                <w:sz w:val="21"/>
                <w:szCs w:val="21"/>
                <w:lang w:eastAsia="zh-CN"/>
              </w:rPr>
            </w:pPr>
            <w:r w:rsidRPr="00F07EFA">
              <w:rPr>
                <w:rFonts w:eastAsia="SimSun" w:cs="Times New Roman"/>
                <w:b/>
                <w:bCs/>
                <w:sz w:val="21"/>
                <w:szCs w:val="21"/>
                <w:lang w:eastAsia="zh-CN"/>
              </w:rPr>
              <w:t>For tagging experiments</w:t>
            </w:r>
          </w:p>
          <w:p w14:paraId="3B841380" w14:textId="77777777" w:rsidR="00BA3E50" w:rsidRPr="00F07EFA" w:rsidRDefault="00BA3E50" w:rsidP="00241619">
            <w:pPr>
              <w:adjustRightInd w:val="0"/>
              <w:snapToGrid w:val="0"/>
              <w:jc w:val="both"/>
              <w:rPr>
                <w:rFonts w:eastAsia="SimSun" w:cs="Times New Roman"/>
                <w:bCs/>
                <w:sz w:val="21"/>
                <w:szCs w:val="21"/>
                <w:lang w:val="en-NZ" w:eastAsia="zh-CN"/>
              </w:rPr>
            </w:pPr>
            <w:r w:rsidRPr="00F07EFA">
              <w:rPr>
                <w:rFonts w:eastAsia="SimSun" w:cs="Times New Roman"/>
                <w:bCs/>
                <w:sz w:val="21"/>
                <w:szCs w:val="21"/>
                <w:lang w:eastAsia="zh-CN"/>
              </w:rPr>
              <w:t xml:space="preserve"> </w:t>
            </w:r>
            <w:r w:rsidRPr="00F07EFA">
              <w:rPr>
                <w:rFonts w:eastAsia="SimSun" w:cs="Times New Roman"/>
                <w:bCs/>
                <w:sz w:val="21"/>
                <w:szCs w:val="21"/>
                <w:lang w:val="en-NZ" w:eastAsia="zh-CN"/>
              </w:rPr>
              <w:t>Tagging studies are commonly used in fisheries research to improve estimation of animal population size, mortality, movement (spatial stock structure) and growth. Until now, large scale tuna tagging campaigns for skipjack tuna have chartered medium-size commercial fishing boats around 200 GT tonnage (199 GT for last PTTP, 237 GT for IOTP)  for cost reasons, and also due to size restrictions on bait ground access and restricted suitable anchorage in some areas. Releasing a large number of conventionally tagged tuna implies the use of a pole-and-line vessel, but suitable such tagging platforms are becoming increasingly scarce worldwide. In most countries, pole-and-line fleets have been replaced by purse-seine fleets.</w:t>
            </w:r>
          </w:p>
          <w:p w14:paraId="54ECF14A" w14:textId="77777777" w:rsidR="00BA3E50" w:rsidRPr="00F07EFA" w:rsidRDefault="00BA3E50" w:rsidP="00241619">
            <w:pPr>
              <w:adjustRightInd w:val="0"/>
              <w:snapToGrid w:val="0"/>
              <w:jc w:val="both"/>
              <w:rPr>
                <w:rFonts w:eastAsia="SimSun" w:cs="Times New Roman"/>
                <w:bCs/>
                <w:sz w:val="21"/>
                <w:szCs w:val="21"/>
                <w:lang w:val="en-NZ" w:eastAsia="zh-CN"/>
              </w:rPr>
            </w:pPr>
          </w:p>
          <w:p w14:paraId="20F181EC" w14:textId="77777777" w:rsidR="00BA3E50" w:rsidRPr="00F07EFA" w:rsidRDefault="00BA3E50" w:rsidP="00241619">
            <w:p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 xml:space="preserve">Research cruises more orientated towards electronic tagging and targeting all size tuna and their associated species need a more polyvalent tagging platform that could deploy a large variety of fishing gears (e.g. horizontal and vertical longlines, troll lines, danglers, and rod and reel). Catching and handling large size fish requires a working deck with easy access to the sea and a boat with high manoeuvrability facilitated by steering commands located at the working deck level. For example, the design of a standard Japanese pole and line vessel is not suitable for the purpose. </w:t>
            </w:r>
          </w:p>
          <w:p w14:paraId="6C11ECA2" w14:textId="77777777" w:rsidR="00BA3E50" w:rsidRPr="00F07EFA" w:rsidRDefault="00BA3E50" w:rsidP="00241619">
            <w:pPr>
              <w:adjustRightInd w:val="0"/>
              <w:snapToGrid w:val="0"/>
              <w:jc w:val="both"/>
              <w:rPr>
                <w:rFonts w:eastAsia="SimSun" w:cs="Times New Roman"/>
                <w:bCs/>
                <w:sz w:val="21"/>
                <w:szCs w:val="21"/>
                <w:lang w:val="en-NZ" w:eastAsia="zh-CN"/>
              </w:rPr>
            </w:pPr>
          </w:p>
          <w:p w14:paraId="06B00202" w14:textId="77777777" w:rsidR="00BA3E50" w:rsidRPr="00F07EFA" w:rsidRDefault="00BA3E50" w:rsidP="00241619">
            <w:p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 xml:space="preserve">In the Pacific, some longline type fishing boats have been used to target the tuna schools that are associated with floating objects, mainly the oceanographic buoys (TAOs) that are anchored along the equator and the drifting FADs used by the purse seine fleet. The distances involved between floating objects and from ports with appropriate facilities for deploying a research voyage require the use of long-range (&gt; 6,000 nm) platforms which are not common in the region for the necessary size of fishing vessels for successful research. </w:t>
            </w:r>
          </w:p>
          <w:p w14:paraId="2949C3A5" w14:textId="77777777" w:rsidR="00BA3E50" w:rsidRPr="00F07EFA" w:rsidRDefault="00BA3E50" w:rsidP="00241619">
            <w:pPr>
              <w:adjustRightInd w:val="0"/>
              <w:snapToGrid w:val="0"/>
              <w:jc w:val="both"/>
              <w:rPr>
                <w:rFonts w:eastAsia="SimSun" w:cs="Times New Roman"/>
                <w:b/>
                <w:bCs/>
                <w:sz w:val="21"/>
                <w:szCs w:val="21"/>
                <w:lang w:val="en-NZ" w:eastAsia="zh-CN"/>
              </w:rPr>
            </w:pPr>
          </w:p>
          <w:p w14:paraId="0DE35E45" w14:textId="77777777" w:rsidR="00BA3E50" w:rsidRPr="00F07EFA" w:rsidRDefault="00BA3E50" w:rsidP="00580EA4">
            <w:pPr>
              <w:numPr>
                <w:ilvl w:val="0"/>
                <w:numId w:val="125"/>
              </w:numPr>
              <w:adjustRightInd w:val="0"/>
              <w:snapToGrid w:val="0"/>
              <w:jc w:val="both"/>
              <w:rPr>
                <w:rFonts w:eastAsia="SimSun" w:cs="Times New Roman"/>
                <w:b/>
                <w:bCs/>
                <w:sz w:val="21"/>
                <w:szCs w:val="21"/>
                <w:lang w:val="en-NZ" w:eastAsia="zh-CN"/>
              </w:rPr>
            </w:pPr>
            <w:r w:rsidRPr="00F07EFA">
              <w:rPr>
                <w:rFonts w:eastAsia="SimSun" w:cs="Times New Roman"/>
                <w:b/>
                <w:bCs/>
                <w:sz w:val="21"/>
                <w:szCs w:val="21"/>
                <w:lang w:val="en-NZ" w:eastAsia="zh-CN"/>
              </w:rPr>
              <w:t>For collecting ecosystem biological and physical data</w:t>
            </w:r>
          </w:p>
          <w:p w14:paraId="66A441EC" w14:textId="77777777" w:rsidR="00BA3E50" w:rsidRPr="00F07EFA" w:rsidRDefault="00BA3E50" w:rsidP="00241619">
            <w:p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This necessitates the use of gears that are usually not found on a commercial tuna fishing vessel, including : trawling nets to catch tuna prey and plankton size organisms, CTDs to collect sea water temp/depth profiles, and multi-beam echo-sounders that can manage continuous records of highly detailed bio-acoustic data.</w:t>
            </w:r>
          </w:p>
          <w:p w14:paraId="4681F82A" w14:textId="77777777" w:rsidR="00BA3E50" w:rsidRPr="00F07EFA" w:rsidRDefault="00BA3E50" w:rsidP="00241619">
            <w:pPr>
              <w:adjustRightInd w:val="0"/>
              <w:snapToGrid w:val="0"/>
              <w:jc w:val="both"/>
              <w:rPr>
                <w:rFonts w:eastAsia="SimSun" w:cs="Times New Roman"/>
                <w:bCs/>
                <w:sz w:val="21"/>
                <w:szCs w:val="21"/>
                <w:lang w:val="en-NZ" w:eastAsia="zh-CN"/>
              </w:rPr>
            </w:pPr>
          </w:p>
          <w:p w14:paraId="031A3FA6" w14:textId="77777777" w:rsidR="00BA3E50" w:rsidRPr="00F07EFA" w:rsidRDefault="00BA3E50" w:rsidP="00241619">
            <w:p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Boats used in this type of research are typically from the oceanographic vessel category. They are usually linked to governmental scientific institutes. To operate the different types of gears used at an ocean wide scale, those vessels need to be large (&gt;400 GT). To cover important operational and maintenance costs, their use is often shared between multidisciplinary research projects. Their availability is therefore limited, subjected to utilisation applications that need to be planned years in advance.</w:t>
            </w:r>
          </w:p>
          <w:p w14:paraId="2108755C" w14:textId="77777777" w:rsidR="00BA3E50" w:rsidRPr="00F07EFA" w:rsidRDefault="00BA3E50" w:rsidP="00241619">
            <w:pPr>
              <w:adjustRightInd w:val="0"/>
              <w:snapToGrid w:val="0"/>
              <w:jc w:val="both"/>
              <w:rPr>
                <w:rFonts w:eastAsia="SimSun" w:cs="Times New Roman"/>
                <w:bCs/>
                <w:sz w:val="21"/>
                <w:szCs w:val="21"/>
                <w:lang w:val="en-NZ" w:eastAsia="zh-CN"/>
              </w:rPr>
            </w:pPr>
          </w:p>
          <w:p w14:paraId="5C8B0AC9" w14:textId="77777777" w:rsidR="00BA3E50" w:rsidRPr="00F07EFA" w:rsidRDefault="00BA3E50" w:rsidP="00580EA4">
            <w:pPr>
              <w:numPr>
                <w:ilvl w:val="0"/>
                <w:numId w:val="123"/>
              </w:numPr>
              <w:adjustRightInd w:val="0"/>
              <w:snapToGrid w:val="0"/>
              <w:jc w:val="both"/>
              <w:rPr>
                <w:rFonts w:eastAsia="SimSun" w:cs="Times New Roman"/>
                <w:b/>
                <w:bCs/>
                <w:sz w:val="21"/>
                <w:szCs w:val="21"/>
                <w:lang w:val="en-NZ" w:eastAsia="zh-CN"/>
              </w:rPr>
            </w:pPr>
            <w:r w:rsidRPr="00F07EFA">
              <w:rPr>
                <w:rFonts w:eastAsia="SimSun" w:cs="Times New Roman"/>
                <w:b/>
                <w:bCs/>
                <w:sz w:val="21"/>
                <w:szCs w:val="21"/>
                <w:lang w:val="en-NZ" w:eastAsia="zh-CN"/>
              </w:rPr>
              <w:t>Arguments for the construction of a new multipurpose platform dedicated to tuna research:</w:t>
            </w:r>
          </w:p>
          <w:p w14:paraId="5D29B2FC" w14:textId="77777777" w:rsidR="00BA3E50" w:rsidRPr="00F07EFA" w:rsidRDefault="00BA3E50" w:rsidP="00580EA4">
            <w:pPr>
              <w:numPr>
                <w:ilvl w:val="0"/>
                <w:numId w:val="126"/>
              </w:numPr>
              <w:adjustRightInd w:val="0"/>
              <w:snapToGrid w:val="0"/>
              <w:jc w:val="both"/>
              <w:rPr>
                <w:rFonts w:eastAsia="SimSun" w:cs="Times New Roman"/>
                <w:b/>
                <w:bCs/>
                <w:sz w:val="21"/>
                <w:szCs w:val="21"/>
                <w:lang w:val="en-NZ" w:eastAsia="zh-CN"/>
              </w:rPr>
            </w:pPr>
            <w:r w:rsidRPr="00F07EFA">
              <w:rPr>
                <w:rFonts w:eastAsia="SimSun" w:cs="Times New Roman"/>
                <w:b/>
                <w:bCs/>
                <w:sz w:val="21"/>
                <w:szCs w:val="21"/>
                <w:lang w:val="en-NZ" w:eastAsia="zh-CN"/>
              </w:rPr>
              <w:t>Practicality:</w:t>
            </w:r>
          </w:p>
          <w:p w14:paraId="23C451F4" w14:textId="77777777" w:rsidR="00BA3E50" w:rsidRPr="00F07EFA" w:rsidRDefault="00BA3E50" w:rsidP="00580EA4">
            <w:pPr>
              <w:numPr>
                <w:ilvl w:val="0"/>
                <w:numId w:val="127"/>
              </w:num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Tuna tagging data are likely to become increasingly important and need to be collected continuously rather than episodically. Other types of data need to be continuously collected to monitor the ecosystem changes.</w:t>
            </w:r>
          </w:p>
          <w:p w14:paraId="3D88C067" w14:textId="77777777" w:rsidR="00BA3E50" w:rsidRPr="00F07EFA" w:rsidRDefault="00BA3E50" w:rsidP="00580EA4">
            <w:pPr>
              <w:numPr>
                <w:ilvl w:val="0"/>
                <w:numId w:val="127"/>
              </w:num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The pole and line vessels that can currently still be chartered are disappearing along with the associated fisher knowledge on operations and bait grounds. These platforms cannot cover all the different data collection needs.</w:t>
            </w:r>
          </w:p>
          <w:p w14:paraId="424A0330" w14:textId="77777777" w:rsidR="00BA3E50" w:rsidRPr="00F07EFA" w:rsidRDefault="00BA3E50" w:rsidP="00580EA4">
            <w:pPr>
              <w:numPr>
                <w:ilvl w:val="0"/>
                <w:numId w:val="128"/>
              </w:numPr>
              <w:adjustRightInd w:val="0"/>
              <w:snapToGrid w:val="0"/>
              <w:ind w:left="360"/>
              <w:jc w:val="both"/>
              <w:rPr>
                <w:rFonts w:eastAsia="SimSun" w:cs="Times New Roman"/>
                <w:bCs/>
                <w:sz w:val="21"/>
                <w:szCs w:val="21"/>
                <w:lang w:val="en-NZ" w:eastAsia="zh-CN"/>
              </w:rPr>
            </w:pPr>
            <w:r w:rsidRPr="00F07EFA">
              <w:rPr>
                <w:rFonts w:eastAsia="SimSun" w:cs="Times New Roman"/>
                <w:bCs/>
                <w:sz w:val="21"/>
                <w:szCs w:val="21"/>
                <w:lang w:val="en-NZ" w:eastAsia="zh-CN"/>
              </w:rPr>
              <w:t>The global applicability of continuous data collection is likely to facilitate collaboration between the different tuna commissions (RFMOs). The cumulated needs at the Pacific scale could probably cover most parts of the yearly schedule of a single boat.</w:t>
            </w:r>
          </w:p>
          <w:p w14:paraId="2C692520" w14:textId="77777777" w:rsidR="00BA3E50" w:rsidRPr="00F07EFA" w:rsidRDefault="00BA3E50" w:rsidP="00580EA4">
            <w:pPr>
              <w:numPr>
                <w:ilvl w:val="0"/>
                <w:numId w:val="128"/>
              </w:numPr>
              <w:adjustRightInd w:val="0"/>
              <w:snapToGrid w:val="0"/>
              <w:ind w:left="360"/>
              <w:jc w:val="both"/>
              <w:rPr>
                <w:rFonts w:eastAsia="SimSun" w:cs="Times New Roman"/>
                <w:bCs/>
                <w:sz w:val="21"/>
                <w:szCs w:val="21"/>
                <w:lang w:val="en-NZ" w:eastAsia="zh-CN"/>
              </w:rPr>
            </w:pPr>
            <w:r w:rsidRPr="00F07EFA">
              <w:rPr>
                <w:rFonts w:eastAsia="SimSun" w:cs="Times New Roman"/>
                <w:bCs/>
                <w:sz w:val="21"/>
                <w:szCs w:val="21"/>
                <w:lang w:val="en-NZ" w:eastAsia="zh-CN"/>
              </w:rPr>
              <w:t>A crew specifically recruited and trained to the specific research methods and strategies will be more capable than a commercial fishing boat crew that often need a long training period before they become fully efficient.</w:t>
            </w:r>
          </w:p>
          <w:p w14:paraId="58C20A8D" w14:textId="77777777" w:rsidR="00BA3E50" w:rsidRPr="00F07EFA" w:rsidRDefault="00BA3E50" w:rsidP="00580EA4">
            <w:pPr>
              <w:numPr>
                <w:ilvl w:val="0"/>
                <w:numId w:val="126"/>
              </w:numPr>
              <w:adjustRightInd w:val="0"/>
              <w:snapToGrid w:val="0"/>
              <w:jc w:val="both"/>
              <w:rPr>
                <w:rFonts w:eastAsia="SimSun" w:cs="Times New Roman"/>
                <w:b/>
                <w:bCs/>
                <w:sz w:val="21"/>
                <w:szCs w:val="21"/>
                <w:lang w:val="en-NZ" w:eastAsia="zh-CN"/>
              </w:rPr>
            </w:pPr>
            <w:r w:rsidRPr="00F07EFA">
              <w:rPr>
                <w:rFonts w:eastAsia="SimSun" w:cs="Times New Roman"/>
                <w:b/>
                <w:bCs/>
                <w:sz w:val="21"/>
                <w:szCs w:val="21"/>
                <w:lang w:val="en-NZ" w:eastAsia="zh-CN"/>
              </w:rPr>
              <w:t>Cost:</w:t>
            </w:r>
          </w:p>
          <w:p w14:paraId="271B9978" w14:textId="77777777" w:rsidR="00BA3E50" w:rsidRPr="00F07EFA" w:rsidRDefault="00BA3E50" w:rsidP="00580EA4">
            <w:pPr>
              <w:numPr>
                <w:ilvl w:val="0"/>
                <w:numId w:val="129"/>
              </w:num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 xml:space="preserve">Continuous research would avoid the substantial establishment costs needed each time a new programme is started. </w:t>
            </w:r>
          </w:p>
          <w:p w14:paraId="68DB46B1" w14:textId="77777777" w:rsidR="00BA3E50" w:rsidRPr="00F07EFA" w:rsidRDefault="00BA3E50" w:rsidP="00580EA4">
            <w:pPr>
              <w:numPr>
                <w:ilvl w:val="0"/>
                <w:numId w:val="129"/>
              </w:num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 xml:space="preserve">Some examples: </w:t>
            </w:r>
          </w:p>
          <w:p w14:paraId="3F33D3AF" w14:textId="77777777" w:rsidR="00BA3E50" w:rsidRPr="00F07EFA" w:rsidRDefault="00BA3E50" w:rsidP="00580EA4">
            <w:pPr>
              <w:numPr>
                <w:ilvl w:val="1"/>
                <w:numId w:val="130"/>
              </w:numPr>
              <w:adjustRightInd w:val="0"/>
              <w:snapToGrid w:val="0"/>
              <w:rPr>
                <w:rFonts w:eastAsia="SimSun" w:cs="Times New Roman"/>
                <w:bCs/>
                <w:sz w:val="21"/>
                <w:szCs w:val="21"/>
                <w:lang w:val="en-NZ"/>
              </w:rPr>
            </w:pPr>
            <w:r w:rsidRPr="00F07EFA">
              <w:rPr>
                <w:rFonts w:eastAsia="SimSun" w:cs="Times New Roman"/>
                <w:bCs/>
                <w:sz w:val="21"/>
                <w:szCs w:val="21"/>
                <w:lang w:val="en-NZ"/>
              </w:rPr>
              <w:t>Previous recent charter costs, including fuel, for a long range tuna tagging platform (about 200GRT) were situated between 150,000 and 200,000 USD/month. The WP4 charter cost jumped to over 420,000 USD/month. Recent enquiries to utilise vessels from the north Pacific suggest considerably higher costs.</w:t>
            </w:r>
          </w:p>
          <w:p w14:paraId="424CC32E" w14:textId="77777777" w:rsidR="00BA3E50" w:rsidRPr="00F07EFA" w:rsidRDefault="00BA3E50" w:rsidP="00241619">
            <w:pPr>
              <w:adjustRightInd w:val="0"/>
              <w:snapToGrid w:val="0"/>
              <w:ind w:left="720"/>
              <w:rPr>
                <w:rFonts w:eastAsia="SimSun" w:cs="Times New Roman"/>
                <w:bCs/>
                <w:sz w:val="21"/>
                <w:szCs w:val="21"/>
                <w:lang w:val="en-NZ"/>
              </w:rPr>
            </w:pPr>
          </w:p>
          <w:p w14:paraId="15E8970D" w14:textId="77777777" w:rsidR="00BA3E50" w:rsidRPr="00F07EFA" w:rsidRDefault="00BA3E50" w:rsidP="00580EA4">
            <w:pPr>
              <w:numPr>
                <w:ilvl w:val="1"/>
                <w:numId w:val="130"/>
              </w:num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The total tagging platform charter costs spent during each of the last large tagging projects (PTTP and IOTP) is over the current estimated cost for building a new boat of around 35 metres/200GRT (</w:t>
            </w:r>
            <w:r w:rsidRPr="00F07EFA">
              <w:rPr>
                <w:rFonts w:eastAsia="SimSun" w:cs="Times New Roman"/>
                <w:bCs/>
                <w:i/>
                <w:sz w:val="21"/>
                <w:szCs w:val="21"/>
                <w:lang w:val="en-NZ" w:eastAsia="zh-CN"/>
              </w:rPr>
              <w:t>Between 5 and 8 USD millions, IOTP vessels were built at about 4 USD millions in 2000</w:t>
            </w:r>
            <w:r w:rsidRPr="00F07EFA">
              <w:rPr>
                <w:rFonts w:eastAsia="SimSun" w:cs="Times New Roman"/>
                <w:bCs/>
                <w:sz w:val="21"/>
                <w:szCs w:val="21"/>
                <w:lang w:val="en-NZ" w:eastAsia="zh-CN"/>
              </w:rPr>
              <w:t>). Last estimation for the currently running (2017) AOPT total charter cost is 9.1 million Euro (ICCAT, SCRS/2014/092).</w:t>
            </w:r>
          </w:p>
          <w:p w14:paraId="16F79150" w14:textId="77777777" w:rsidR="00BA3E50" w:rsidRPr="00F07EFA" w:rsidRDefault="00BA3E50" w:rsidP="00580EA4">
            <w:pPr>
              <w:numPr>
                <w:ilvl w:val="1"/>
                <w:numId w:val="130"/>
              </w:numPr>
              <w:adjustRightInd w:val="0"/>
              <w:snapToGrid w:val="0"/>
              <w:jc w:val="both"/>
              <w:rPr>
                <w:rFonts w:eastAsia="SimSun" w:cs="Times New Roman"/>
                <w:bCs/>
                <w:sz w:val="21"/>
                <w:szCs w:val="21"/>
                <w:lang w:val="en-NZ" w:eastAsia="zh-CN"/>
              </w:rPr>
            </w:pPr>
            <w:r w:rsidRPr="00F07EFA">
              <w:rPr>
                <w:rFonts w:eastAsia="SimSun" w:cs="Times New Roman"/>
                <w:sz w:val="21"/>
                <w:szCs w:val="21"/>
                <w:lang w:val="en-NZ" w:eastAsia="zh-CN"/>
              </w:rPr>
              <w:t>A pre-assessment of some of the operational costs of an appropriate platform that could be built to address all the tuna research needs for the Pacific Ocean has been provided to SPC by F&amp;S, a consultancy office specialized in the fisheries sector. That work would be available to this project.</w:t>
            </w:r>
          </w:p>
        </w:tc>
      </w:tr>
      <w:tr w:rsidR="00BA3E50" w:rsidRPr="00F07EFA" w14:paraId="24E47770" w14:textId="77777777" w:rsidTr="004B6F4C">
        <w:tc>
          <w:tcPr>
            <w:tcW w:w="894" w:type="pct"/>
            <w:hideMark/>
          </w:tcPr>
          <w:p w14:paraId="19BB9369"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Scope</w:t>
            </w:r>
          </w:p>
        </w:tc>
        <w:tc>
          <w:tcPr>
            <w:tcW w:w="4106" w:type="pct"/>
          </w:tcPr>
          <w:p w14:paraId="4C12F531"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The project would assess the full range of operational costs, including options on governance, inter-RFMO vessel sharing, multiple research modes, and future vessel replacement. These costs should be compared with the costs and benefits of the current approach. However, the current approach is not sustainable so the cost benefit analysis will need to consider alternate benchmarks in combination with the current approach. </w:t>
            </w:r>
          </w:p>
          <w:p w14:paraId="0E552EAC" w14:textId="77777777" w:rsidR="00BA3E50" w:rsidRPr="00F07EFA" w:rsidRDefault="00BA3E50" w:rsidP="00241619">
            <w:pPr>
              <w:adjustRightInd w:val="0"/>
              <w:snapToGrid w:val="0"/>
              <w:jc w:val="both"/>
              <w:rPr>
                <w:rFonts w:eastAsia="SimSun" w:cs="Times New Roman"/>
                <w:sz w:val="21"/>
                <w:szCs w:val="21"/>
                <w:lang w:val="en-NZ" w:eastAsia="zh-CN"/>
              </w:rPr>
            </w:pPr>
          </w:p>
          <w:p w14:paraId="74EC361A"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The scope of work includes undertaking this assessment utilising suitable external experts. A report will be prepared and provided to SC15 for its consideration.</w:t>
            </w:r>
          </w:p>
        </w:tc>
      </w:tr>
      <w:tr w:rsidR="00BA3E50" w:rsidRPr="00F07EFA" w14:paraId="45B86CF1" w14:textId="77777777" w:rsidTr="004B6F4C">
        <w:tc>
          <w:tcPr>
            <w:tcW w:w="894" w:type="pct"/>
            <w:hideMark/>
          </w:tcPr>
          <w:p w14:paraId="6BC6BE0E"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Timeframe</w:t>
            </w:r>
          </w:p>
        </w:tc>
        <w:tc>
          <w:tcPr>
            <w:tcW w:w="4106" w:type="pct"/>
            <w:hideMark/>
          </w:tcPr>
          <w:p w14:paraId="42760C08"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Start early 2019, completed by late 2019</w:t>
            </w:r>
          </w:p>
        </w:tc>
      </w:tr>
      <w:tr w:rsidR="00BA3E50" w:rsidRPr="00F07EFA" w14:paraId="5D31D497" w14:textId="77777777" w:rsidTr="004B6F4C">
        <w:tc>
          <w:tcPr>
            <w:tcW w:w="894" w:type="pct"/>
            <w:hideMark/>
          </w:tcPr>
          <w:p w14:paraId="4F3831D1"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Budget</w:t>
            </w:r>
          </w:p>
        </w:tc>
        <w:tc>
          <w:tcPr>
            <w:tcW w:w="4106" w:type="pct"/>
            <w:hideMark/>
          </w:tcPr>
          <w:p w14:paraId="39DBF7B7"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2019 USD$95,000</w:t>
            </w:r>
          </w:p>
          <w:p w14:paraId="46BB0AAF" w14:textId="77777777" w:rsidR="00BA3E50" w:rsidRPr="00F07EFA" w:rsidRDefault="00BA3E50" w:rsidP="00241619">
            <w:pPr>
              <w:adjustRightInd w:val="0"/>
              <w:snapToGrid w:val="0"/>
              <w:jc w:val="both"/>
              <w:rPr>
                <w:rFonts w:eastAsia="SimSun" w:cs="Times New Roman"/>
                <w:sz w:val="21"/>
                <w:szCs w:val="21"/>
                <w:lang w:val="en-NZ" w:eastAsia="zh-CN"/>
              </w:rPr>
            </w:pPr>
          </w:p>
          <w:p w14:paraId="1095C84C" w14:textId="77777777" w:rsidR="00BA3E50" w:rsidRPr="00F07EFA" w:rsidRDefault="00BA3E50" w:rsidP="00753A0C">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*Note that this covers the cost of the external consultancy/consultancies (60 days) and reporting of the project outcomes to SC. It is also includes travel to the various locations that will be required to review some of the available vessels. The Scientific Services Providers input to the project will be provided as in-kind support.</w:t>
            </w:r>
          </w:p>
        </w:tc>
      </w:tr>
      <w:tr w:rsidR="00BA3E50" w:rsidRPr="00F07EFA" w14:paraId="58BCCEBB" w14:textId="77777777" w:rsidTr="004B6F4C">
        <w:tc>
          <w:tcPr>
            <w:tcW w:w="894" w:type="pct"/>
            <w:hideMark/>
          </w:tcPr>
          <w:p w14:paraId="5BB57B8C"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References</w:t>
            </w:r>
          </w:p>
        </w:tc>
        <w:tc>
          <w:tcPr>
            <w:tcW w:w="4106" w:type="pct"/>
          </w:tcPr>
          <w:p w14:paraId="5C5189C4"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PTTP Steering Committee. 2017. Report of the Pacific Tuna Tagging Programme Steering Committee. SC13-RP-PTTP-01. Thirteenth regular session of the Scientific Committee of the Western and Central Pacific Fisheries Commission. Rarotonga, Cook Islands, 9-17 August 2017.</w:t>
            </w:r>
          </w:p>
          <w:p w14:paraId="3F1F1139" w14:textId="77777777" w:rsidR="00BA3E50" w:rsidRPr="00F07EFA" w:rsidRDefault="00BA3E50" w:rsidP="00241619">
            <w:pPr>
              <w:adjustRightInd w:val="0"/>
              <w:snapToGrid w:val="0"/>
              <w:jc w:val="both"/>
              <w:rPr>
                <w:rFonts w:eastAsia="SimSun" w:cs="Times New Roman"/>
                <w:sz w:val="21"/>
                <w:szCs w:val="21"/>
                <w:lang w:val="en-NZ" w:eastAsia="zh-CN"/>
              </w:rPr>
            </w:pPr>
          </w:p>
          <w:p w14:paraId="25E49C90"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PTTP Steering Committee. 2018. Report of the Pacific Tuna Tagging Programme Steering Committee. SC14-RP-PTTP-01. Fourteenth regular session of the Scientific Committee of the Western and Central Pacific Fisheries Commission. Busan, Korea, 8-17 August 2018.</w:t>
            </w:r>
          </w:p>
          <w:p w14:paraId="4E570685" w14:textId="77777777" w:rsidR="00BA3E50" w:rsidRPr="00F07EFA" w:rsidRDefault="00BA3E50" w:rsidP="00241619">
            <w:pPr>
              <w:adjustRightInd w:val="0"/>
              <w:snapToGrid w:val="0"/>
              <w:jc w:val="both"/>
              <w:rPr>
                <w:rFonts w:eastAsia="SimSun" w:cs="Times New Roman"/>
                <w:sz w:val="21"/>
                <w:szCs w:val="21"/>
                <w:lang w:val="en-NZ" w:eastAsia="zh-CN"/>
              </w:rPr>
            </w:pPr>
          </w:p>
          <w:p w14:paraId="7BA1FDB8"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SPC-OFP. 2017. Project 42: Pacific Tuna Tagging Project Report and Workplan for 2017-2020. SC13-RP-PTTP-02. Thirteenth regular session of the Scientific Committee of the Western and Central Pacific Fisheries Commission. Rarotonga, Cook Islands, 9-17 August 2017.</w:t>
            </w:r>
          </w:p>
          <w:p w14:paraId="108F8125" w14:textId="77777777" w:rsidR="00BA3E50" w:rsidRPr="00F07EFA" w:rsidRDefault="00BA3E50" w:rsidP="00241619">
            <w:pPr>
              <w:adjustRightInd w:val="0"/>
              <w:snapToGrid w:val="0"/>
              <w:jc w:val="both"/>
              <w:rPr>
                <w:rFonts w:eastAsia="SimSun" w:cs="Times New Roman"/>
                <w:sz w:val="21"/>
                <w:szCs w:val="21"/>
                <w:lang w:val="en-NZ" w:eastAsia="zh-CN"/>
              </w:rPr>
            </w:pPr>
          </w:p>
          <w:p w14:paraId="6C5A214F" w14:textId="77777777"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SPC-OFP. 2018. Project 42: Pacific Tuna Tagging Project Report and Workplan for 2018-2021. SC14-RP-PTTP-02. Fourteenth regular session of the Scientific Committee of the Western and Central Pacific Fisheries Commission. Busan, Korea, 8-17 August 2018.</w:t>
            </w:r>
          </w:p>
        </w:tc>
      </w:tr>
    </w:tbl>
    <w:p w14:paraId="5E53BFA9" w14:textId="77777777" w:rsidR="00BA3E50" w:rsidRPr="00F07EFA" w:rsidRDefault="00BA3E50" w:rsidP="00241619">
      <w:pPr>
        <w:adjustRightInd w:val="0"/>
        <w:snapToGrid w:val="0"/>
        <w:rPr>
          <w:rFonts w:eastAsia="Batang"/>
          <w:color w:val="000000"/>
          <w:sz w:val="21"/>
          <w:szCs w:val="21"/>
          <w:lang w:eastAsia="ko-KR"/>
        </w:rPr>
      </w:pPr>
    </w:p>
    <w:tbl>
      <w:tblPr>
        <w:tblStyle w:val="TableGrid7"/>
        <w:tblW w:w="4887" w:type="pct"/>
        <w:tblInd w:w="108" w:type="dxa"/>
        <w:tblLook w:val="04A0" w:firstRow="1" w:lastRow="0" w:firstColumn="1" w:lastColumn="0" w:noHBand="0" w:noVBand="1"/>
      </w:tblPr>
      <w:tblGrid>
        <w:gridCol w:w="1861"/>
        <w:gridCol w:w="7499"/>
      </w:tblGrid>
      <w:tr w:rsidR="00BA3E50" w:rsidRPr="00F07EFA" w14:paraId="615DD33B" w14:textId="77777777" w:rsidTr="004B6F4C">
        <w:trPr>
          <w:trHeight w:val="629"/>
        </w:trPr>
        <w:tc>
          <w:tcPr>
            <w:tcW w:w="994" w:type="pct"/>
            <w:shd w:val="clear" w:color="auto" w:fill="92D050"/>
            <w:vAlign w:val="center"/>
          </w:tcPr>
          <w:p w14:paraId="4DECAD88" w14:textId="77777777" w:rsidR="00BA3E50" w:rsidRPr="00F07EFA" w:rsidRDefault="00BA3E50" w:rsidP="00241619">
            <w:pPr>
              <w:adjustRightInd w:val="0"/>
              <w:snapToGrid w:val="0"/>
              <w:rPr>
                <w:rFonts w:eastAsia="Malgun Gothic" w:cs="Times New Roman"/>
                <w:b/>
                <w:sz w:val="21"/>
                <w:szCs w:val="21"/>
                <w:lang w:val="en-NZ" w:eastAsia="ko-KR"/>
              </w:rPr>
            </w:pPr>
            <w:r w:rsidRPr="00F07EFA">
              <w:rPr>
                <w:rFonts w:eastAsia="Malgun Gothic" w:cs="Times New Roman"/>
                <w:b/>
                <w:caps/>
                <w:sz w:val="21"/>
                <w:szCs w:val="21"/>
                <w:lang w:eastAsia="ko-KR"/>
              </w:rPr>
              <w:t xml:space="preserve">PROJECT </w:t>
            </w:r>
            <w:r w:rsidRPr="00F07EFA">
              <w:rPr>
                <w:rFonts w:eastAsia="Malgun Gothic" w:cs="Times New Roman"/>
                <w:b/>
                <w:sz w:val="21"/>
                <w:szCs w:val="21"/>
                <w:lang w:val="en-NZ" w:eastAsia="ko-KR"/>
              </w:rPr>
              <w:t>84</w:t>
            </w:r>
          </w:p>
        </w:tc>
        <w:tc>
          <w:tcPr>
            <w:tcW w:w="4006" w:type="pct"/>
            <w:shd w:val="clear" w:color="auto" w:fill="92D050"/>
            <w:vAlign w:val="center"/>
          </w:tcPr>
          <w:p w14:paraId="0BCA0CE8"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b/>
                <w:sz w:val="21"/>
                <w:szCs w:val="21"/>
                <w:lang w:val="en-NZ" w:eastAsia="zh-CN"/>
              </w:rPr>
              <w:t>Shark Research Plan mid-term review</w:t>
            </w:r>
          </w:p>
        </w:tc>
      </w:tr>
      <w:tr w:rsidR="00BA3E50" w:rsidRPr="00F07EFA" w14:paraId="1441BCF9" w14:textId="77777777" w:rsidTr="004B6F4C">
        <w:trPr>
          <w:trHeight w:val="288"/>
        </w:trPr>
        <w:tc>
          <w:tcPr>
            <w:tcW w:w="994" w:type="pct"/>
          </w:tcPr>
          <w:p w14:paraId="677D6C0D"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Objectives</w:t>
            </w:r>
          </w:p>
        </w:tc>
        <w:tc>
          <w:tcPr>
            <w:tcW w:w="4006" w:type="pct"/>
          </w:tcPr>
          <w:p w14:paraId="51A724F5"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Review the WCPFC Scientific Committee’s 2016-2020 shark research plan, to evaluate progress against the plan and assess future needs for shark research relevant to management of the WCPO shark stocks. </w:t>
            </w:r>
          </w:p>
        </w:tc>
      </w:tr>
      <w:tr w:rsidR="00BA3E50" w:rsidRPr="00F07EFA" w14:paraId="32E8DC5D" w14:textId="77777777" w:rsidTr="004B6F4C">
        <w:trPr>
          <w:trHeight w:val="288"/>
        </w:trPr>
        <w:tc>
          <w:tcPr>
            <w:tcW w:w="994" w:type="pct"/>
          </w:tcPr>
          <w:p w14:paraId="38FB5A80"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Rationale</w:t>
            </w:r>
          </w:p>
        </w:tc>
        <w:tc>
          <w:tcPr>
            <w:tcW w:w="4006" w:type="pct"/>
          </w:tcPr>
          <w:p w14:paraId="1DCBA343"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The first Shark Research Plan (SRP) covered 2010-2014. At its Tenth Session the Scientific Committee (SC10) agreed in 2014 on a programme of shark work for the Scientific Service Provider (SSP). This work was to be carried out in 2015, and included that the SSP draft a new SRP for consideration by SC11 to cover work in 2016-2020. This project will evaluate progress against that plan and consider the future shark information needs of the WCPFC. </w:t>
            </w:r>
          </w:p>
          <w:p w14:paraId="2843151D"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This work will also evaluate the progress against and need for the original SRP components:</w:t>
            </w:r>
          </w:p>
          <w:p w14:paraId="308DAFDC" w14:textId="77777777" w:rsidR="00BA3E50" w:rsidRPr="00F07EFA" w:rsidRDefault="00BA3E50" w:rsidP="00580EA4">
            <w:pPr>
              <w:numPr>
                <w:ilvl w:val="0"/>
                <w:numId w:val="106"/>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Phase 1: assessments to be undertaken with existing and available data;</w:t>
            </w:r>
          </w:p>
          <w:p w14:paraId="46A058D9" w14:textId="77777777" w:rsidR="00BA3E50" w:rsidRPr="00F07EFA" w:rsidRDefault="00BA3E50" w:rsidP="00580EA4">
            <w:pPr>
              <w:numPr>
                <w:ilvl w:val="0"/>
                <w:numId w:val="106"/>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Phase 2: coordination of research efforts to supplement biological and other assessment related information; and</w:t>
            </w:r>
          </w:p>
          <w:p w14:paraId="107D5314" w14:textId="77777777" w:rsidR="00BA3E50" w:rsidRPr="00F07EFA" w:rsidRDefault="00BA3E50" w:rsidP="00580EA4">
            <w:pPr>
              <w:numPr>
                <w:ilvl w:val="0"/>
                <w:numId w:val="106"/>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Phase 3: improvement of data from commercial fisheries.</w:t>
            </w:r>
          </w:p>
        </w:tc>
      </w:tr>
      <w:tr w:rsidR="00BA3E50" w:rsidRPr="00F07EFA" w14:paraId="11DEE369" w14:textId="77777777" w:rsidTr="004B6F4C">
        <w:trPr>
          <w:trHeight w:val="288"/>
        </w:trPr>
        <w:tc>
          <w:tcPr>
            <w:tcW w:w="994" w:type="pct"/>
          </w:tcPr>
          <w:p w14:paraId="2A5ABB2C"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Assumptions</w:t>
            </w:r>
          </w:p>
        </w:tc>
        <w:tc>
          <w:tcPr>
            <w:tcW w:w="4006" w:type="pct"/>
          </w:tcPr>
          <w:p w14:paraId="75CB4339"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SPC or another regional body has the personnel and budget available to undertake this work. </w:t>
            </w:r>
          </w:p>
        </w:tc>
      </w:tr>
      <w:tr w:rsidR="00BA3E50" w:rsidRPr="00F07EFA" w14:paraId="1F4D5B19" w14:textId="77777777" w:rsidTr="004B6F4C">
        <w:trPr>
          <w:trHeight w:val="288"/>
        </w:trPr>
        <w:tc>
          <w:tcPr>
            <w:tcW w:w="994" w:type="pct"/>
          </w:tcPr>
          <w:p w14:paraId="2EC6F6CE"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Scope</w:t>
            </w:r>
          </w:p>
        </w:tc>
        <w:tc>
          <w:tcPr>
            <w:tcW w:w="4006" w:type="pct"/>
          </w:tcPr>
          <w:p w14:paraId="21F71780"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While this document will focus on the WCPFC key shark species,</w:t>
            </w:r>
            <w:r w:rsidRPr="00F07EFA">
              <w:rPr>
                <w:rFonts w:eastAsia="SimSun" w:cs="Times New Roman"/>
                <w:sz w:val="21"/>
                <w:szCs w:val="21"/>
                <w:lang w:eastAsia="zh-CN"/>
              </w:rPr>
              <w:t xml:space="preserve"> </w:t>
            </w:r>
            <w:r w:rsidRPr="00F07EFA">
              <w:rPr>
                <w:rFonts w:eastAsia="SimSun" w:cs="Times New Roman"/>
                <w:sz w:val="21"/>
                <w:szCs w:val="21"/>
                <w:lang w:val="en-NZ" w:eastAsia="zh-CN"/>
              </w:rPr>
              <w:t xml:space="preserve">other elasmobranchs will be considered as required. </w:t>
            </w:r>
          </w:p>
        </w:tc>
      </w:tr>
      <w:tr w:rsidR="00BA3E50" w:rsidRPr="00F07EFA" w14:paraId="7236AE11" w14:textId="77777777" w:rsidTr="004B6F4C">
        <w:trPr>
          <w:trHeight w:val="288"/>
        </w:trPr>
        <w:tc>
          <w:tcPr>
            <w:tcW w:w="994" w:type="pct"/>
          </w:tcPr>
          <w:p w14:paraId="75ACA080"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Budget</w:t>
            </w:r>
          </w:p>
        </w:tc>
        <w:tc>
          <w:tcPr>
            <w:tcW w:w="4006" w:type="pct"/>
          </w:tcPr>
          <w:p w14:paraId="7A964735"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0.3 FTE </w:t>
            </w:r>
          </w:p>
        </w:tc>
      </w:tr>
    </w:tbl>
    <w:p w14:paraId="36C0BF15" w14:textId="77777777" w:rsidR="00BA3E50" w:rsidRPr="00F07EFA" w:rsidRDefault="00BA3E50" w:rsidP="00241619">
      <w:pPr>
        <w:adjustRightInd w:val="0"/>
        <w:snapToGrid w:val="0"/>
        <w:rPr>
          <w:rFonts w:eastAsia="Batang"/>
          <w:color w:val="000000"/>
          <w:sz w:val="21"/>
          <w:szCs w:val="21"/>
          <w:lang w:val="en-NZ" w:eastAsia="ko-KR"/>
        </w:rPr>
      </w:pPr>
    </w:p>
    <w:tbl>
      <w:tblPr>
        <w:tblStyle w:val="TableGrid7"/>
        <w:tblW w:w="4887" w:type="pct"/>
        <w:tblInd w:w="108" w:type="dxa"/>
        <w:tblLook w:val="04A0" w:firstRow="1" w:lastRow="0" w:firstColumn="1" w:lastColumn="0" w:noHBand="0" w:noVBand="1"/>
      </w:tblPr>
      <w:tblGrid>
        <w:gridCol w:w="1861"/>
        <w:gridCol w:w="7499"/>
      </w:tblGrid>
      <w:tr w:rsidR="00BA3E50" w:rsidRPr="00F07EFA" w14:paraId="1EE87077" w14:textId="77777777" w:rsidTr="004B6F4C">
        <w:trPr>
          <w:trHeight w:val="288"/>
        </w:trPr>
        <w:tc>
          <w:tcPr>
            <w:tcW w:w="994" w:type="pct"/>
            <w:shd w:val="clear" w:color="auto" w:fill="92D050"/>
            <w:vAlign w:val="center"/>
          </w:tcPr>
          <w:p w14:paraId="1B6F5AAE" w14:textId="77777777" w:rsidR="00BA3E50" w:rsidRPr="00F07EFA" w:rsidRDefault="00BA3E50" w:rsidP="00241619">
            <w:pPr>
              <w:adjustRightInd w:val="0"/>
              <w:snapToGrid w:val="0"/>
              <w:rPr>
                <w:rFonts w:eastAsia="Malgun Gothic" w:cs="Times New Roman"/>
                <w:b/>
                <w:sz w:val="21"/>
                <w:szCs w:val="21"/>
                <w:lang w:val="en-NZ" w:eastAsia="ko-KR"/>
              </w:rPr>
            </w:pPr>
            <w:r w:rsidRPr="00F07EFA">
              <w:rPr>
                <w:rFonts w:eastAsia="Malgun Gothic" w:cs="Times New Roman"/>
                <w:b/>
                <w:caps/>
                <w:sz w:val="21"/>
                <w:szCs w:val="21"/>
                <w:lang w:eastAsia="ko-KR"/>
              </w:rPr>
              <w:t xml:space="preserve">PROJECT </w:t>
            </w:r>
            <w:r w:rsidRPr="00F07EFA">
              <w:rPr>
                <w:rFonts w:eastAsia="Malgun Gothic" w:cs="Times New Roman"/>
                <w:b/>
                <w:sz w:val="21"/>
                <w:szCs w:val="21"/>
                <w:lang w:val="en-NZ" w:eastAsia="ko-KR"/>
              </w:rPr>
              <w:t>85</w:t>
            </w:r>
          </w:p>
        </w:tc>
        <w:tc>
          <w:tcPr>
            <w:tcW w:w="4006" w:type="pct"/>
            <w:shd w:val="clear" w:color="auto" w:fill="92D050"/>
            <w:vAlign w:val="center"/>
          </w:tcPr>
          <w:p w14:paraId="19F674B8"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b/>
                <w:sz w:val="21"/>
                <w:szCs w:val="21"/>
                <w:lang w:val="en-NZ" w:eastAsia="zh-CN"/>
              </w:rPr>
              <w:t>Participation in ISC North Pacific shortfin mako shark stock assessment activities</w:t>
            </w:r>
          </w:p>
        </w:tc>
      </w:tr>
      <w:tr w:rsidR="00BA3E50" w:rsidRPr="00F07EFA" w14:paraId="0BCF0FD5" w14:textId="77777777" w:rsidTr="004B6F4C">
        <w:trPr>
          <w:trHeight w:val="288"/>
        </w:trPr>
        <w:tc>
          <w:tcPr>
            <w:tcW w:w="994" w:type="pct"/>
          </w:tcPr>
          <w:p w14:paraId="562F52DB"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Objectives</w:t>
            </w:r>
          </w:p>
        </w:tc>
        <w:tc>
          <w:tcPr>
            <w:tcW w:w="4006" w:type="pct"/>
          </w:tcPr>
          <w:p w14:paraId="708A7C4A"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Contribute to and learn from ISC work toward revising the North Pacific shortfin mako shark stock assessment, thereby aiding methods development for other WCPO shark stocks.  </w:t>
            </w:r>
          </w:p>
        </w:tc>
      </w:tr>
      <w:tr w:rsidR="00BA3E50" w:rsidRPr="00F07EFA" w14:paraId="513B5D67" w14:textId="77777777" w:rsidTr="004B6F4C">
        <w:trPr>
          <w:trHeight w:val="288"/>
        </w:trPr>
        <w:tc>
          <w:tcPr>
            <w:tcW w:w="994" w:type="pct"/>
          </w:tcPr>
          <w:p w14:paraId="219F160E"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Rationale</w:t>
            </w:r>
          </w:p>
        </w:tc>
        <w:tc>
          <w:tcPr>
            <w:tcW w:w="4006" w:type="pct"/>
          </w:tcPr>
          <w:p w14:paraId="6F1DC8FC" w14:textId="77777777" w:rsidR="00BA3E50" w:rsidRPr="00F07EFA" w:rsidRDefault="00BA3E50" w:rsidP="00580EA4">
            <w:pPr>
              <w:numPr>
                <w:ilvl w:val="0"/>
                <w:numId w:val="107"/>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The ISC will be working toward an assessment of the North Pacific shortfin mako in 2017-2018 with an aim to complete it by July 2018</w:t>
            </w:r>
          </w:p>
          <w:p w14:paraId="64B46AB3" w14:textId="77777777" w:rsidR="00BA3E50" w:rsidRPr="00F07EFA" w:rsidRDefault="00BA3E50" w:rsidP="00580EA4">
            <w:pPr>
              <w:numPr>
                <w:ilvl w:val="0"/>
                <w:numId w:val="107"/>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The ISC assessment would benefit from the contribution of additional shortfin mako observer data (catch rates and total removals) in the North Pacific</w:t>
            </w:r>
          </w:p>
          <w:p w14:paraId="786E384E" w14:textId="77777777" w:rsidR="00BA3E50" w:rsidRPr="00F07EFA" w:rsidRDefault="00BA3E50" w:rsidP="00580EA4">
            <w:pPr>
              <w:numPr>
                <w:ilvl w:val="0"/>
                <w:numId w:val="107"/>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Participation in this collaborative stock assessment may lead to the development of new methods and/or new data insights for a future South Pacific shortfin mako assessment</w:t>
            </w:r>
          </w:p>
          <w:p w14:paraId="3772FC07" w14:textId="77777777" w:rsidR="00BA3E50" w:rsidRPr="00F07EFA" w:rsidRDefault="00BA3E50" w:rsidP="00580EA4">
            <w:pPr>
              <w:numPr>
                <w:ilvl w:val="0"/>
                <w:numId w:val="107"/>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Cooperation between the WCPFC and its Northern Committee could be strengthened</w:t>
            </w:r>
          </w:p>
        </w:tc>
      </w:tr>
      <w:tr w:rsidR="00BA3E50" w:rsidRPr="00F07EFA" w14:paraId="5114F8C5" w14:textId="77777777" w:rsidTr="004B6F4C">
        <w:trPr>
          <w:trHeight w:val="288"/>
        </w:trPr>
        <w:tc>
          <w:tcPr>
            <w:tcW w:w="994" w:type="pct"/>
          </w:tcPr>
          <w:p w14:paraId="6D7B0F7B"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Assumptions</w:t>
            </w:r>
          </w:p>
        </w:tc>
        <w:tc>
          <w:tcPr>
            <w:tcW w:w="4006" w:type="pct"/>
          </w:tcPr>
          <w:p w14:paraId="250DE46F" w14:textId="77777777" w:rsidR="00BA3E50" w:rsidRPr="00F07EFA" w:rsidRDefault="00BA3E50" w:rsidP="00580EA4">
            <w:pPr>
              <w:numPr>
                <w:ilvl w:val="0"/>
                <w:numId w:val="108"/>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If SPC were available to participate, it would contribute its shortfin mako data holdings</w:t>
            </w:r>
          </w:p>
          <w:p w14:paraId="21014ED1" w14:textId="77777777" w:rsidR="00BA3E50" w:rsidRPr="00F07EFA" w:rsidRDefault="00BA3E50" w:rsidP="00580EA4">
            <w:pPr>
              <w:numPr>
                <w:ilvl w:val="0"/>
                <w:numId w:val="108"/>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If the Secretariat or ABNJ participates, fewer data can be contributed due to data confidentiality rules</w:t>
            </w:r>
          </w:p>
          <w:p w14:paraId="4A396F42" w14:textId="77777777" w:rsidR="00BA3E50" w:rsidRPr="00F07EFA" w:rsidRDefault="00BA3E50" w:rsidP="00580EA4">
            <w:pPr>
              <w:numPr>
                <w:ilvl w:val="0"/>
                <w:numId w:val="108"/>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ISC is able and willing to incorporate these contributions to its work</w:t>
            </w:r>
          </w:p>
          <w:p w14:paraId="186E0DD2" w14:textId="77777777" w:rsidR="00BA3E50" w:rsidRPr="00F07EFA" w:rsidRDefault="00BA3E50" w:rsidP="00580EA4">
            <w:pPr>
              <w:numPr>
                <w:ilvl w:val="0"/>
                <w:numId w:val="108"/>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ISC meetings avoid scheduling conflicts with other work</w:t>
            </w:r>
          </w:p>
        </w:tc>
      </w:tr>
      <w:tr w:rsidR="00BA3E50" w:rsidRPr="00F07EFA" w14:paraId="6C727991" w14:textId="77777777" w:rsidTr="004B6F4C">
        <w:trPr>
          <w:trHeight w:val="288"/>
        </w:trPr>
        <w:tc>
          <w:tcPr>
            <w:tcW w:w="994" w:type="pct"/>
          </w:tcPr>
          <w:p w14:paraId="2C988259"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Scope</w:t>
            </w:r>
          </w:p>
        </w:tc>
        <w:tc>
          <w:tcPr>
            <w:tcW w:w="4006" w:type="pct"/>
          </w:tcPr>
          <w:p w14:paraId="71CD4F92"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Available WCPO data would be compiled, formatted and analysed to produce data products that could be contributed to ISC Shark Working Group (SWG) meetings (no raw data would be contributed; this is similar to the contributions of ISC member countries).  Data to be prepared would depend on needs identified by the ISC SWG but would be expected to include catch rate indices, catch estimates, effort statistics and/or biological data.  It is assumed that participation in two ISC SWG meetings would be required (the FTE estimate is intended to account for both time and travel costs).  These have tentatively been scheduled for November 2017 in Japan (data preparation meeting) and March-April 2018 in La Jolla (assessment meeting).  Total time input including data handling and analysis, ISC SWG meetings and other tasks, and report review is estimated at ~2.5 months.  </w:t>
            </w:r>
          </w:p>
        </w:tc>
      </w:tr>
      <w:tr w:rsidR="00BA3E50" w:rsidRPr="00F07EFA" w14:paraId="677E5276" w14:textId="77777777" w:rsidTr="004B6F4C">
        <w:trPr>
          <w:trHeight w:val="288"/>
        </w:trPr>
        <w:tc>
          <w:tcPr>
            <w:tcW w:w="994" w:type="pct"/>
          </w:tcPr>
          <w:p w14:paraId="7EAE8E4F"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Budget</w:t>
            </w:r>
          </w:p>
        </w:tc>
        <w:tc>
          <w:tcPr>
            <w:tcW w:w="4006" w:type="pct"/>
          </w:tcPr>
          <w:p w14:paraId="0996566D"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0.2 FTE</w:t>
            </w:r>
          </w:p>
        </w:tc>
      </w:tr>
    </w:tbl>
    <w:p w14:paraId="742E61EA" w14:textId="77777777" w:rsidR="00BA3E50" w:rsidRPr="00F07EFA" w:rsidRDefault="00BA3E50" w:rsidP="00241619">
      <w:pPr>
        <w:autoSpaceDE w:val="0"/>
        <w:autoSpaceDN w:val="0"/>
        <w:adjustRightInd w:val="0"/>
        <w:snapToGrid w:val="0"/>
        <w:rPr>
          <w:rFonts w:eastAsia="Malgun Gothic"/>
          <w:b/>
          <w:caps/>
          <w:color w:val="000000"/>
          <w:sz w:val="21"/>
          <w:szCs w:val="21"/>
          <w:lang w:val="en-GB" w:eastAsia="ko-KR"/>
        </w:rPr>
      </w:pPr>
    </w:p>
    <w:tbl>
      <w:tblPr>
        <w:tblStyle w:val="TableNormal1"/>
        <w:tblW w:w="49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4"/>
        <w:gridCol w:w="7654"/>
      </w:tblGrid>
      <w:tr w:rsidR="00BA3E50" w:rsidRPr="00F07EFA" w14:paraId="1067BA2C" w14:textId="77777777" w:rsidTr="004B6F4C">
        <w:tc>
          <w:tcPr>
            <w:tcW w:w="915" w:type="pct"/>
            <w:shd w:val="clear" w:color="auto" w:fill="92D050"/>
          </w:tcPr>
          <w:p w14:paraId="326F412C" w14:textId="77777777" w:rsidR="00BA3E50" w:rsidRPr="00F07EFA" w:rsidRDefault="00BA3E50" w:rsidP="00241619">
            <w:pPr>
              <w:kinsoku w:val="0"/>
              <w:overflowPunct w:val="0"/>
              <w:adjustRightInd w:val="0"/>
              <w:snapToGrid w:val="0"/>
              <w:ind w:left="103"/>
              <w:rPr>
                <w:rFonts w:ascii="Times New Roman" w:eastAsia="Malgun Gothic" w:hAnsi="Times New Roman" w:cs="Times New Roman"/>
                <w:b/>
                <w:sz w:val="21"/>
                <w:szCs w:val="21"/>
                <w:lang w:eastAsia="ko-KR"/>
              </w:rPr>
            </w:pPr>
            <w:r w:rsidRPr="00F07EFA">
              <w:rPr>
                <w:rFonts w:ascii="Times New Roman" w:eastAsia="Malgun Gothic" w:hAnsi="Times New Roman" w:cs="Times New Roman"/>
                <w:b/>
                <w:caps/>
                <w:sz w:val="21"/>
                <w:szCs w:val="21"/>
                <w:lang w:eastAsia="ko-KR"/>
              </w:rPr>
              <w:t xml:space="preserve">PROJECT </w:t>
            </w:r>
            <w:r w:rsidRPr="00F07EFA">
              <w:rPr>
                <w:rFonts w:ascii="Times New Roman" w:eastAsia="Malgun Gothic" w:hAnsi="Times New Roman" w:cs="Times New Roman"/>
                <w:b/>
                <w:sz w:val="21"/>
                <w:szCs w:val="21"/>
                <w:lang w:eastAsia="ko-KR"/>
              </w:rPr>
              <w:t>86</w:t>
            </w:r>
            <w:r w:rsidRPr="00F07EFA">
              <w:rPr>
                <w:rFonts w:ascii="Times New Roman" w:eastAsia="Calibri" w:hAnsi="Times New Roman" w:cs="Times New Roman"/>
                <w:b/>
                <w:sz w:val="21"/>
                <w:szCs w:val="21"/>
              </w:rPr>
              <w:t xml:space="preserve"> FAD Project #1</w:t>
            </w:r>
          </w:p>
        </w:tc>
        <w:tc>
          <w:tcPr>
            <w:tcW w:w="4085" w:type="pct"/>
            <w:shd w:val="clear" w:color="auto" w:fill="92D050"/>
          </w:tcPr>
          <w:p w14:paraId="712415DD" w14:textId="77777777" w:rsidR="00BA3E50" w:rsidRPr="00F07EFA" w:rsidRDefault="00BA3E50" w:rsidP="00241619">
            <w:pPr>
              <w:kinsoku w:val="0"/>
              <w:overflowPunct w:val="0"/>
              <w:adjustRightInd w:val="0"/>
              <w:snapToGrid w:val="0"/>
              <w:ind w:left="103"/>
              <w:rPr>
                <w:rFonts w:ascii="Times New Roman" w:eastAsia="Calibri" w:hAnsi="Times New Roman" w:cs="Times New Roman"/>
                <w:b/>
                <w:sz w:val="21"/>
                <w:szCs w:val="21"/>
              </w:rPr>
            </w:pPr>
            <w:r w:rsidRPr="00F07EFA">
              <w:rPr>
                <w:rFonts w:ascii="Times New Roman" w:eastAsia="Calibri" w:hAnsi="Times New Roman" w:cs="Times New Roman"/>
                <w:b/>
                <w:sz w:val="21"/>
                <w:szCs w:val="21"/>
              </w:rPr>
              <w:t>FAD designs to reduce unwanted interactions with Species of Special Interest (SSIs; sharks, turtles)</w:t>
            </w:r>
          </w:p>
        </w:tc>
      </w:tr>
      <w:tr w:rsidR="00BA3E50" w:rsidRPr="00F07EFA" w14:paraId="7BAA62CB" w14:textId="77777777" w:rsidTr="004B6F4C">
        <w:tc>
          <w:tcPr>
            <w:tcW w:w="915" w:type="pct"/>
          </w:tcPr>
          <w:p w14:paraId="765DD943"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Objectives</w:t>
            </w:r>
          </w:p>
        </w:tc>
        <w:tc>
          <w:tcPr>
            <w:tcW w:w="4085" w:type="pct"/>
          </w:tcPr>
          <w:p w14:paraId="0964D0C9"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Identify FAD design features that lead to lower interaction rates with key SSIs, while minimising the impact on catches of target tuna species</w:t>
            </w:r>
          </w:p>
        </w:tc>
      </w:tr>
      <w:tr w:rsidR="00BA3E50" w:rsidRPr="00F07EFA" w14:paraId="66DAAC54" w14:textId="77777777" w:rsidTr="004B6F4C">
        <w:tc>
          <w:tcPr>
            <w:tcW w:w="915" w:type="pct"/>
          </w:tcPr>
          <w:p w14:paraId="529CF34A"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Rationale</w:t>
            </w:r>
          </w:p>
        </w:tc>
        <w:tc>
          <w:tcPr>
            <w:tcW w:w="4085" w:type="pct"/>
          </w:tcPr>
          <w:p w14:paraId="6A2E4D4D" w14:textId="77777777" w:rsidR="00BA3E50" w:rsidRPr="00F07EFA" w:rsidRDefault="00BA3E50" w:rsidP="00580EA4">
            <w:pPr>
              <w:numPr>
                <w:ilvl w:val="0"/>
                <w:numId w:val="118"/>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Builds upon work in all other Oceans on the design of lower- and non- entangling FADs (e.g. WCPFC-2016-FADMgmtOptionsIWG02-OP02; SC13-EB-WP-02).</w:t>
            </w:r>
          </w:p>
          <w:p w14:paraId="0D5860A3" w14:textId="77777777" w:rsidR="00BA3E50" w:rsidRPr="00F07EFA" w:rsidRDefault="00BA3E50" w:rsidP="00580EA4">
            <w:pPr>
              <w:numPr>
                <w:ilvl w:val="0"/>
                <w:numId w:val="118"/>
              </w:numPr>
              <w:tabs>
                <w:tab w:val="left" w:pos="420"/>
              </w:tabs>
              <w:kinsoku w:val="0"/>
              <w:overflowPunct w:val="0"/>
              <w:adjustRightInd w:val="0"/>
              <w:snapToGrid w:val="0"/>
              <w:ind w:right="106"/>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Builds upon work by organisations such as ISSF in the development of SSI-friendly</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designs.</w:t>
            </w:r>
          </w:p>
          <w:p w14:paraId="128002A4" w14:textId="77777777" w:rsidR="00BA3E50" w:rsidRPr="00F07EFA" w:rsidRDefault="00BA3E50" w:rsidP="00580EA4">
            <w:pPr>
              <w:numPr>
                <w:ilvl w:val="0"/>
                <w:numId w:val="118"/>
              </w:numPr>
              <w:tabs>
                <w:tab w:val="left" w:pos="420"/>
              </w:tabs>
              <w:kinsoku w:val="0"/>
              <w:overflowPunct w:val="0"/>
              <w:adjustRightInd w:val="0"/>
              <w:snapToGrid w:val="0"/>
              <w:ind w:right="105"/>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Provides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region-specific</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information</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on</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efficacy</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SSI</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reduction</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and impacts on tuna catch levels in the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WCPO.</w:t>
            </w:r>
          </w:p>
          <w:p w14:paraId="53F2149C" w14:textId="77777777" w:rsidR="00BA3E50" w:rsidRPr="00F07EFA" w:rsidRDefault="00BA3E50" w:rsidP="00580EA4">
            <w:pPr>
              <w:numPr>
                <w:ilvl w:val="0"/>
                <w:numId w:val="118"/>
              </w:numPr>
              <w:tabs>
                <w:tab w:val="left" w:pos="419"/>
                <w:tab w:val="left" w:pos="420"/>
              </w:tabs>
              <w:kinsoku w:val="0"/>
              <w:overflowPunct w:val="0"/>
              <w:adjustRightInd w:val="0"/>
              <w:snapToGrid w:val="0"/>
              <w:rPr>
                <w:rFonts w:ascii="Times New Roman" w:eastAsia="Calibri" w:hAnsi="Times New Roman" w:cs="Times New Roman"/>
                <w:sz w:val="21"/>
                <w:szCs w:val="21"/>
              </w:rPr>
            </w:pPr>
            <w:r w:rsidRPr="00F07EFA">
              <w:rPr>
                <w:rFonts w:ascii="Times New Roman" w:eastAsia="Calibri" w:hAnsi="Times New Roman" w:cs="Times New Roman"/>
                <w:sz w:val="21"/>
                <w:szCs w:val="21"/>
              </w:rPr>
              <w:t>Provides a scientific basis for potential CMMs in this</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area.</w:t>
            </w:r>
          </w:p>
          <w:p w14:paraId="090D8602" w14:textId="77777777" w:rsidR="00BA3E50" w:rsidRPr="00F07EFA" w:rsidRDefault="00BA3E50" w:rsidP="00580EA4">
            <w:pPr>
              <w:numPr>
                <w:ilvl w:val="0"/>
                <w:numId w:val="118"/>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Given concerns of FAD beaching on reefs and shorelines, could also contribute to studies of appropriate biodegradable FAD</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materials.</w:t>
            </w:r>
          </w:p>
        </w:tc>
      </w:tr>
      <w:tr w:rsidR="00BA3E50" w:rsidRPr="00F07EFA" w14:paraId="75194C2E" w14:textId="77777777" w:rsidTr="004B6F4C">
        <w:tc>
          <w:tcPr>
            <w:tcW w:w="915" w:type="pct"/>
          </w:tcPr>
          <w:p w14:paraId="6E11F5CB"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Assumptions</w:t>
            </w:r>
          </w:p>
        </w:tc>
        <w:tc>
          <w:tcPr>
            <w:tcW w:w="4085" w:type="pct"/>
          </w:tcPr>
          <w:p w14:paraId="420F6070" w14:textId="77777777" w:rsidR="00BA3E50" w:rsidRPr="00F07EFA" w:rsidRDefault="00BA3E50" w:rsidP="00580EA4">
            <w:pPr>
              <w:numPr>
                <w:ilvl w:val="0"/>
                <w:numId w:val="117"/>
              </w:numPr>
              <w:tabs>
                <w:tab w:val="left" w:pos="420"/>
              </w:tabs>
              <w:kinsoku w:val="0"/>
              <w:overflowPunct w:val="0"/>
              <w:adjustRightInd w:val="0"/>
              <w:snapToGrid w:val="0"/>
              <w:ind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 information provided in SC13-EB-WP-02 is considered by SC13 to provide insufficient evidence of the potential effectiveness of non- entangling</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designs</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in</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WCPO,</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hence</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local</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trials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are</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needed.</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Note that if SC13-EB-WP-02 is considered by SC13 to provide sufficient evidence,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this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project</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should</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revised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focus</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on</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extension,</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ensure rapid uptake and deployment of non-entangling FAD designs, and to ensure the cost effectiveness of those designs for all WCPO fleets, in particular those domestic fleets of</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PICTs.</w:t>
            </w:r>
          </w:p>
          <w:p w14:paraId="62F36D8B" w14:textId="77777777" w:rsidR="00BA3E50" w:rsidRPr="00F07EFA" w:rsidRDefault="00BA3E50" w:rsidP="00580EA4">
            <w:pPr>
              <w:numPr>
                <w:ilvl w:val="0"/>
                <w:numId w:val="117"/>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 xml:space="preserve">The relationship between design and SSI interactions can be gained through tracking FADs from construction, through deployment, </w:t>
            </w:r>
            <w:r w:rsidRPr="00F07EFA">
              <w:rPr>
                <w:rFonts w:ascii="Times New Roman" w:eastAsia="Calibri" w:hAnsi="Times New Roman" w:cs="Times New Roman"/>
                <w:spacing w:val="-3"/>
                <w:sz w:val="21"/>
                <w:szCs w:val="21"/>
              </w:rPr>
              <w:t xml:space="preserve">to </w:t>
            </w:r>
            <w:r w:rsidRPr="00F07EFA">
              <w:rPr>
                <w:rFonts w:ascii="Times New Roman" w:eastAsia="Calibri" w:hAnsi="Times New Roman" w:cs="Times New Roman"/>
                <w:sz w:val="21"/>
                <w:szCs w:val="21"/>
              </w:rPr>
              <w:t>setting activity by any fleet, and SSI</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interactions.</w:t>
            </w:r>
          </w:p>
          <w:p w14:paraId="2FBE6AED" w14:textId="77777777" w:rsidR="00BA3E50" w:rsidRPr="00F07EFA" w:rsidRDefault="00BA3E50" w:rsidP="00580EA4">
            <w:pPr>
              <w:numPr>
                <w:ilvl w:val="0"/>
                <w:numId w:val="117"/>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If tracking is not possible, the regular removal of a set-upon FAD from the water can be undertaken so observations of its sub-surface structures and the occurrence of captured SSIs can be</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made.</w:t>
            </w:r>
          </w:p>
          <w:p w14:paraId="3718E27C" w14:textId="77777777" w:rsidR="00BA3E50" w:rsidRPr="00F07EFA" w:rsidRDefault="00BA3E50" w:rsidP="00580EA4">
            <w:pPr>
              <w:numPr>
                <w:ilvl w:val="0"/>
                <w:numId w:val="117"/>
              </w:numPr>
              <w:tabs>
                <w:tab w:val="left" w:pos="420"/>
              </w:tabs>
              <w:kinsoku w:val="0"/>
              <w:overflowPunct w:val="0"/>
              <w:adjustRightInd w:val="0"/>
              <w:snapToGrid w:val="0"/>
              <w:ind w:right="104"/>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Periodic removal of tracked designs may also be necessary to identify changes over time (e.g. unravelling of bound netting, degradation of components).</w:t>
            </w:r>
          </w:p>
          <w:p w14:paraId="50B58776" w14:textId="77777777" w:rsidR="00BA3E50" w:rsidRPr="00F07EFA" w:rsidRDefault="00BA3E50" w:rsidP="00580EA4">
            <w:pPr>
              <w:numPr>
                <w:ilvl w:val="0"/>
                <w:numId w:val="117"/>
              </w:numPr>
              <w:tabs>
                <w:tab w:val="left" w:pos="420"/>
              </w:tabs>
              <w:kinsoku w:val="0"/>
              <w:overflowPunct w:val="0"/>
              <w:adjustRightInd w:val="0"/>
              <w:snapToGrid w:val="0"/>
              <w:ind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 coordinated trial of designs, in collaboration with industry, is suggested as the most efficient approach. Cost, material availability and environmental impact would be key factors in assessing the merit of various</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designs.</w:t>
            </w:r>
          </w:p>
          <w:p w14:paraId="5F1AA098" w14:textId="77777777" w:rsidR="00BA3E50" w:rsidRPr="00F07EFA" w:rsidRDefault="00BA3E50" w:rsidP="00580EA4">
            <w:pPr>
              <w:numPr>
                <w:ilvl w:val="0"/>
                <w:numId w:val="117"/>
              </w:numPr>
              <w:tabs>
                <w:tab w:val="left" w:pos="420"/>
              </w:tabs>
              <w:kinsoku w:val="0"/>
              <w:overflowPunct w:val="0"/>
              <w:adjustRightInd w:val="0"/>
              <w:snapToGrid w:val="0"/>
              <w:ind w:right="106"/>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 xml:space="preserve">Sufficient data are available across different designs and locations </w:t>
            </w:r>
            <w:r w:rsidRPr="00F07EFA">
              <w:rPr>
                <w:rFonts w:ascii="Times New Roman" w:eastAsia="Calibri" w:hAnsi="Times New Roman" w:cs="Times New Roman"/>
                <w:spacing w:val="-3"/>
                <w:sz w:val="21"/>
                <w:szCs w:val="21"/>
              </w:rPr>
              <w:t xml:space="preserve">to </w:t>
            </w:r>
            <w:r w:rsidRPr="00F07EFA">
              <w:rPr>
                <w:rFonts w:ascii="Times New Roman" w:eastAsia="Calibri" w:hAnsi="Times New Roman" w:cs="Times New Roman"/>
                <w:sz w:val="21"/>
                <w:szCs w:val="21"/>
              </w:rPr>
              <w:t>allow statistical analyses to be</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effective.</w:t>
            </w:r>
          </w:p>
          <w:p w14:paraId="1B8FC22F" w14:textId="77777777" w:rsidR="00BA3E50" w:rsidRPr="00F07EFA" w:rsidRDefault="00BA3E50" w:rsidP="00580EA4">
            <w:pPr>
              <w:numPr>
                <w:ilvl w:val="0"/>
                <w:numId w:val="117"/>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Where specific field trials are undertaken, they might be able to be performed at the same time as trials required under FAD project #2 to create cost</w:t>
            </w:r>
            <w:r w:rsidRPr="00F07EFA">
              <w:rPr>
                <w:rFonts w:ascii="Times New Roman" w:eastAsia="Calibri" w:hAnsi="Times New Roman" w:cs="Times New Roman"/>
                <w:spacing w:val="-2"/>
                <w:sz w:val="21"/>
                <w:szCs w:val="21"/>
              </w:rPr>
              <w:t xml:space="preserve"> </w:t>
            </w:r>
            <w:r w:rsidRPr="00F07EFA">
              <w:rPr>
                <w:rFonts w:ascii="Times New Roman" w:eastAsia="Calibri" w:hAnsi="Times New Roman" w:cs="Times New Roman"/>
                <w:sz w:val="21"/>
                <w:szCs w:val="21"/>
              </w:rPr>
              <w:t>efficiencies.</w:t>
            </w:r>
          </w:p>
        </w:tc>
      </w:tr>
      <w:tr w:rsidR="00753A0C" w:rsidRPr="00F07EFA" w14:paraId="0CBD7D47" w14:textId="77777777" w:rsidTr="002F7711">
        <w:trPr>
          <w:trHeight w:val="8879"/>
        </w:trPr>
        <w:tc>
          <w:tcPr>
            <w:tcW w:w="915" w:type="pct"/>
          </w:tcPr>
          <w:p w14:paraId="668C6902" w14:textId="77777777" w:rsidR="00753A0C" w:rsidRPr="00F07EFA" w:rsidRDefault="00753A0C"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Scope</w:t>
            </w:r>
          </w:p>
        </w:tc>
        <w:tc>
          <w:tcPr>
            <w:tcW w:w="4085" w:type="pct"/>
          </w:tcPr>
          <w:p w14:paraId="33A56BF0" w14:textId="77777777" w:rsidR="00753A0C" w:rsidRPr="00F07EFA" w:rsidRDefault="00753A0C" w:rsidP="00241619">
            <w:pPr>
              <w:kinsoku w:val="0"/>
              <w:overflowPunct w:val="0"/>
              <w:adjustRightInd w:val="0"/>
              <w:snapToGrid w:val="0"/>
              <w:ind w:left="103"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Through review of existing studies and best practices in other oceans (see SC13-EB-WP-02) identify plausible non-entangling FAD designs, in collaboration with industry. This should include sub-FAD structure depth and mesh size, removal of netting on the surface of FADs and alternative platform widths.</w:t>
            </w:r>
          </w:p>
          <w:p w14:paraId="6C2A937A" w14:textId="77777777"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14:paraId="38689F7D" w14:textId="77777777" w:rsidR="00753A0C" w:rsidRPr="00F07EFA" w:rsidRDefault="00753A0C" w:rsidP="00753A0C">
            <w:pPr>
              <w:kinsoku w:val="0"/>
              <w:overflowPunct w:val="0"/>
              <w:adjustRightInd w:val="0"/>
              <w:snapToGrid w:val="0"/>
              <w:ind w:left="103"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Implement at-sea FAD trials across the WCPO [deployment and fishing activity] to be completed within 18 months. This will most effectively be</w:t>
            </w:r>
            <w:r>
              <w:rPr>
                <w:rFonts w:ascii="Times New Roman" w:eastAsiaTheme="minorEastAsia" w:hAnsi="Times New Roman" w:cs="Times New Roman" w:hint="eastAsia"/>
                <w:sz w:val="21"/>
                <w:szCs w:val="21"/>
                <w:lang w:eastAsia="ko-KR"/>
              </w:rPr>
              <w:t xml:space="preserve"> </w:t>
            </w:r>
            <w:r w:rsidRPr="00F07EFA">
              <w:rPr>
                <w:rFonts w:ascii="Times New Roman" w:eastAsia="Calibri" w:hAnsi="Times New Roman" w:cs="Times New Roman"/>
                <w:sz w:val="21"/>
                <w:szCs w:val="21"/>
              </w:rPr>
              <w:t>performed in partnership with observers and industry to ensure marking, deployment and monitoring of FADs in a coordinated way. Two levels of industry participation are anticipated: (1) the fleets that deploy the FADs and are actively engaged in the research. (2) All other fleets that find the FADs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(1)</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set</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upon</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them.</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Information</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(2)</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will</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critical</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the success of the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research.</w:t>
            </w:r>
          </w:p>
          <w:p w14:paraId="20BB551B" w14:textId="77777777"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14:paraId="4DBCA65A" w14:textId="77777777" w:rsidR="00753A0C" w:rsidRPr="00F07EFA" w:rsidRDefault="00753A0C"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Using ISSF Technical Report 2016-18A as a guide:</w:t>
            </w:r>
          </w:p>
          <w:p w14:paraId="5946B7B7" w14:textId="77777777" w:rsidR="00753A0C" w:rsidRPr="00F07EFA" w:rsidRDefault="00753A0C" w:rsidP="00580EA4">
            <w:pPr>
              <w:numPr>
                <w:ilvl w:val="0"/>
                <w:numId w:val="116"/>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Fleets deploy a given number of FADs per vessel (e.g. 10-20 FADs per vessel to reach a significant large number of</w:t>
            </w:r>
            <w:r w:rsidRPr="00F07EFA">
              <w:rPr>
                <w:rFonts w:ascii="Times New Roman" w:eastAsia="Calibri" w:hAnsi="Times New Roman" w:cs="Times New Roman"/>
                <w:spacing w:val="-20"/>
                <w:sz w:val="21"/>
                <w:szCs w:val="21"/>
              </w:rPr>
              <w:t xml:space="preserve"> </w:t>
            </w:r>
            <w:r w:rsidRPr="00F07EFA">
              <w:rPr>
                <w:rFonts w:ascii="Times New Roman" w:eastAsia="Calibri" w:hAnsi="Times New Roman" w:cs="Times New Roman"/>
                <w:sz w:val="21"/>
                <w:szCs w:val="21"/>
              </w:rPr>
              <w:t>FADs).</w:t>
            </w:r>
          </w:p>
          <w:p w14:paraId="0902CC56" w14:textId="77777777" w:rsidR="00753A0C" w:rsidRPr="00F07EFA" w:rsidRDefault="00753A0C" w:rsidP="00580EA4">
            <w:pPr>
              <w:numPr>
                <w:ilvl w:val="0"/>
                <w:numId w:val="116"/>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Maximum 4 standardized designs tested, constructed in port and deployed in the same area as traditional FADs, so their effectiveness could</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compared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with</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that</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traditional</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FADs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for</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same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spatial and temporal</w:t>
            </w:r>
            <w:r w:rsidRPr="00F07EFA">
              <w:rPr>
                <w:rFonts w:ascii="Times New Roman" w:eastAsia="Calibri" w:hAnsi="Times New Roman" w:cs="Times New Roman"/>
                <w:spacing w:val="-1"/>
                <w:sz w:val="21"/>
                <w:szCs w:val="21"/>
              </w:rPr>
              <w:t xml:space="preserve"> </w:t>
            </w:r>
            <w:r w:rsidRPr="00F07EFA">
              <w:rPr>
                <w:rFonts w:ascii="Times New Roman" w:eastAsia="Calibri" w:hAnsi="Times New Roman" w:cs="Times New Roman"/>
                <w:sz w:val="21"/>
                <w:szCs w:val="21"/>
              </w:rPr>
              <w:t>strata.</w:t>
            </w:r>
          </w:p>
          <w:p w14:paraId="4B65C573" w14:textId="77777777" w:rsidR="00753A0C" w:rsidRPr="00F07EFA" w:rsidRDefault="00753A0C" w:rsidP="00580EA4">
            <w:pPr>
              <w:numPr>
                <w:ilvl w:val="0"/>
                <w:numId w:val="116"/>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Deployment site, design and the code of the geo-locating buoy should be registered. Every FAD should be well identified so that data can be retrieved and followed if ownership</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changes.</w:t>
            </w:r>
          </w:p>
          <w:p w14:paraId="1A54AE30" w14:textId="77777777" w:rsidR="00753A0C" w:rsidRPr="00F07EFA" w:rsidRDefault="00753A0C" w:rsidP="00580EA4">
            <w:pPr>
              <w:numPr>
                <w:ilvl w:val="0"/>
                <w:numId w:val="116"/>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If a trial FAD is encountered at sea register: the catch (if any), interactions with SSI, the condition of the FAD and the new code for</w:t>
            </w:r>
            <w:r w:rsidRPr="00F07EFA">
              <w:rPr>
                <w:rFonts w:ascii="Times New Roman" w:eastAsia="Calibri" w:hAnsi="Times New Roman" w:cs="Times New Roman"/>
                <w:spacing w:val="-28"/>
                <w:sz w:val="21"/>
                <w:szCs w:val="21"/>
              </w:rPr>
              <w:t xml:space="preserve"> </w:t>
            </w:r>
            <w:r w:rsidRPr="00F07EFA">
              <w:rPr>
                <w:rFonts w:ascii="Times New Roman" w:eastAsia="Calibri" w:hAnsi="Times New Roman" w:cs="Times New Roman"/>
                <w:sz w:val="21"/>
                <w:szCs w:val="21"/>
              </w:rPr>
              <w:t>the buoy if the original has been</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replaced.</w:t>
            </w:r>
          </w:p>
          <w:p w14:paraId="3DAB2002" w14:textId="77777777" w:rsidR="00753A0C" w:rsidRPr="00F07EFA" w:rsidRDefault="00753A0C" w:rsidP="00580EA4">
            <w:pPr>
              <w:numPr>
                <w:ilvl w:val="0"/>
                <w:numId w:val="116"/>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Where possible, use trajectories and sounder of attached buoys to assess ability of alternative designs to aggregate tuna even if they are not visited or fished by purse seiners, as well as following their lifetime if they are not</w:t>
            </w:r>
            <w:r w:rsidRPr="00F07EFA">
              <w:rPr>
                <w:rFonts w:ascii="Times New Roman" w:eastAsia="Calibri" w:hAnsi="Times New Roman" w:cs="Times New Roman"/>
                <w:spacing w:val="-2"/>
                <w:sz w:val="21"/>
                <w:szCs w:val="21"/>
              </w:rPr>
              <w:t xml:space="preserve"> </w:t>
            </w:r>
            <w:r w:rsidRPr="00F07EFA">
              <w:rPr>
                <w:rFonts w:ascii="Times New Roman" w:eastAsia="Calibri" w:hAnsi="Times New Roman" w:cs="Times New Roman"/>
                <w:sz w:val="21"/>
                <w:szCs w:val="21"/>
              </w:rPr>
              <w:t>retrieved.</w:t>
            </w:r>
          </w:p>
          <w:p w14:paraId="68F7CBE2" w14:textId="77777777" w:rsidR="00753A0C" w:rsidRPr="00F07EFA" w:rsidRDefault="00753A0C" w:rsidP="00580EA4">
            <w:pPr>
              <w:numPr>
                <w:ilvl w:val="0"/>
                <w:numId w:val="116"/>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Collaboration</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between</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industry,</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related</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parties,</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14"/>
                <w:sz w:val="21"/>
                <w:szCs w:val="21"/>
              </w:rPr>
              <w:t xml:space="preserve"> </w:t>
            </w:r>
            <w:r>
              <w:rPr>
                <w:rFonts w:ascii="Times New Roman" w:eastAsiaTheme="minorEastAsia" w:hAnsi="Times New Roman" w:cs="Times New Roman" w:hint="eastAsia"/>
                <w:sz w:val="21"/>
                <w:szCs w:val="21"/>
                <w:lang w:eastAsia="ko-KR"/>
              </w:rPr>
              <w:t>scientific</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services provider to collect and analyse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data.</w:t>
            </w:r>
          </w:p>
          <w:p w14:paraId="0555912B" w14:textId="77777777" w:rsidR="00753A0C" w:rsidRPr="00753A0C" w:rsidRDefault="00753A0C" w:rsidP="00580EA4">
            <w:pPr>
              <w:numPr>
                <w:ilvl w:val="0"/>
                <w:numId w:val="116"/>
              </w:numPr>
              <w:tabs>
                <w:tab w:val="left" w:pos="420"/>
              </w:tabs>
              <w:kinsoku w:val="0"/>
              <w:overflowPunct w:val="0"/>
              <w:adjustRightInd w:val="0"/>
              <w:snapToGrid w:val="0"/>
              <w:jc w:val="both"/>
              <w:rPr>
                <w:rFonts w:ascii="Times New Roman" w:eastAsia="Calibri" w:hAnsi="Times New Roman" w:cs="Times New Roman"/>
                <w:sz w:val="21"/>
                <w:szCs w:val="21"/>
              </w:rPr>
            </w:pPr>
            <w:r w:rsidRPr="00753A0C">
              <w:rPr>
                <w:rFonts w:ascii="Times New Roman" w:eastAsia="Calibri" w:hAnsi="Times New Roman" w:cs="Times New Roman"/>
                <w:sz w:val="21"/>
                <w:szCs w:val="21"/>
              </w:rPr>
              <w:t>Collaborate with industry to identify the cost of alternative FAD</w:t>
            </w:r>
            <w:r w:rsidRPr="00753A0C">
              <w:rPr>
                <w:rFonts w:ascii="Times New Roman" w:eastAsia="Calibri" w:hAnsi="Times New Roman" w:cs="Times New Roman"/>
                <w:spacing w:val="6"/>
                <w:sz w:val="21"/>
                <w:szCs w:val="21"/>
              </w:rPr>
              <w:t xml:space="preserve"> </w:t>
            </w:r>
            <w:r w:rsidRPr="00753A0C">
              <w:rPr>
                <w:rFonts w:ascii="Times New Roman" w:eastAsia="Calibri" w:hAnsi="Times New Roman" w:cs="Times New Roman"/>
                <w:sz w:val="21"/>
                <w:szCs w:val="21"/>
              </w:rPr>
              <w:t>designs</w:t>
            </w:r>
            <w:r w:rsidRPr="00753A0C">
              <w:rPr>
                <w:rFonts w:ascii="Times New Roman" w:eastAsiaTheme="minorEastAsia" w:hAnsi="Times New Roman" w:cs="Times New Roman" w:hint="eastAsia"/>
                <w:sz w:val="21"/>
                <w:szCs w:val="21"/>
                <w:lang w:eastAsia="ko-KR"/>
              </w:rPr>
              <w:t xml:space="preserve"> </w:t>
            </w:r>
            <w:r w:rsidRPr="00753A0C">
              <w:rPr>
                <w:rFonts w:ascii="Times New Roman" w:eastAsia="Calibri" w:hAnsi="Times New Roman" w:cs="Times New Roman"/>
                <w:sz w:val="21"/>
                <w:szCs w:val="21"/>
              </w:rPr>
              <w:t>relative to ‘standard’ designs.</w:t>
            </w:r>
          </w:p>
          <w:p w14:paraId="3EAEDFF5" w14:textId="77777777"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14:paraId="55D2A2D4" w14:textId="77777777" w:rsidR="00753A0C" w:rsidRPr="00753A0C" w:rsidRDefault="00753A0C" w:rsidP="00241619">
            <w:pPr>
              <w:kinsoku w:val="0"/>
              <w:overflowPunct w:val="0"/>
              <w:adjustRightInd w:val="0"/>
              <w:snapToGrid w:val="0"/>
              <w:ind w:left="103" w:right="102"/>
              <w:jc w:val="both"/>
              <w:rPr>
                <w:rFonts w:ascii="Times New Roman" w:eastAsiaTheme="minorEastAsia" w:hAnsi="Times New Roman" w:cs="Times New Roman"/>
                <w:sz w:val="21"/>
                <w:szCs w:val="21"/>
                <w:lang w:eastAsia="ko-KR"/>
              </w:rPr>
            </w:pPr>
            <w:r w:rsidRPr="00F07EFA">
              <w:rPr>
                <w:rFonts w:ascii="Times New Roman" w:eastAsia="Calibri" w:hAnsi="Times New Roman" w:cs="Times New Roman"/>
                <w:sz w:val="21"/>
                <w:szCs w:val="21"/>
              </w:rPr>
              <w:t>Analysis</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results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should</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presented</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WCPFC</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SC</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(approximately</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2</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years after the trial begins). SC and TCC of that year to provide</w:t>
            </w:r>
            <w:r w:rsidRPr="00F07EFA">
              <w:rPr>
                <w:rFonts w:ascii="Times New Roman" w:eastAsia="Calibri" w:hAnsi="Times New Roman" w:cs="Times New Roman"/>
                <w:spacing w:val="-23"/>
                <w:sz w:val="21"/>
                <w:szCs w:val="21"/>
              </w:rPr>
              <w:t xml:space="preserve"> </w:t>
            </w:r>
            <w:r w:rsidRPr="00F07EFA">
              <w:rPr>
                <w:rFonts w:ascii="Times New Roman" w:eastAsia="Calibri" w:hAnsi="Times New Roman" w:cs="Times New Roman"/>
                <w:sz w:val="21"/>
                <w:szCs w:val="21"/>
              </w:rPr>
              <w:t>recommendations for a draft CMM on appropriate FAD</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designs.</w:t>
            </w:r>
          </w:p>
        </w:tc>
      </w:tr>
      <w:tr w:rsidR="00BA3E50" w:rsidRPr="00F07EFA" w14:paraId="3F632BD7" w14:textId="77777777" w:rsidTr="004B6F4C">
        <w:tc>
          <w:tcPr>
            <w:tcW w:w="915" w:type="pct"/>
          </w:tcPr>
          <w:p w14:paraId="5C7BD399"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Links to other work</w:t>
            </w:r>
          </w:p>
        </w:tc>
        <w:tc>
          <w:tcPr>
            <w:tcW w:w="4085" w:type="pct"/>
          </w:tcPr>
          <w:p w14:paraId="15718760"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The IATTC and ISSF have done considerable work on the design of non- entangling FADs (see SC13-EB-WP-02).</w:t>
            </w:r>
          </w:p>
        </w:tc>
      </w:tr>
      <w:tr w:rsidR="00BA3E50" w:rsidRPr="00F07EFA" w14:paraId="08150EC0" w14:textId="77777777" w:rsidTr="004B6F4C">
        <w:tc>
          <w:tcPr>
            <w:tcW w:w="915" w:type="pct"/>
          </w:tcPr>
          <w:p w14:paraId="5A95B943"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Timeframe</w:t>
            </w:r>
          </w:p>
        </w:tc>
        <w:tc>
          <w:tcPr>
            <w:tcW w:w="4085" w:type="pct"/>
          </w:tcPr>
          <w:p w14:paraId="3CF1173B"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24 months</w:t>
            </w:r>
          </w:p>
        </w:tc>
      </w:tr>
      <w:tr w:rsidR="00BA3E50" w:rsidRPr="00F07EFA" w14:paraId="200FEC35" w14:textId="77777777" w:rsidTr="004B6F4C">
        <w:trPr>
          <w:trHeight w:val="3599"/>
        </w:trPr>
        <w:tc>
          <w:tcPr>
            <w:tcW w:w="915" w:type="pct"/>
          </w:tcPr>
          <w:p w14:paraId="2AE386D6" w14:textId="77777777" w:rsidR="00BA3E50" w:rsidRPr="00F07EFA" w:rsidRDefault="00BA3E50" w:rsidP="00241619">
            <w:pPr>
              <w:kinsoku w:val="0"/>
              <w:overflowPunct w:val="0"/>
              <w:adjustRightInd w:val="0"/>
              <w:snapToGrid w:val="0"/>
              <w:ind w:left="103" w:right="91"/>
              <w:rPr>
                <w:rFonts w:ascii="Times New Roman" w:eastAsia="Calibri" w:hAnsi="Times New Roman" w:cs="Times New Roman"/>
                <w:sz w:val="21"/>
                <w:szCs w:val="21"/>
              </w:rPr>
            </w:pPr>
            <w:r w:rsidRPr="00F07EFA">
              <w:rPr>
                <w:rFonts w:ascii="Times New Roman" w:eastAsia="Calibri" w:hAnsi="Times New Roman" w:cs="Times New Roman"/>
                <w:sz w:val="21"/>
                <w:szCs w:val="21"/>
              </w:rPr>
              <w:t>Budget</w:t>
            </w:r>
          </w:p>
          <w:p w14:paraId="75B88439" w14:textId="77777777" w:rsidR="00BA3E50" w:rsidRPr="00F07EFA" w:rsidRDefault="00BA3E50" w:rsidP="00241619">
            <w:pPr>
              <w:kinsoku w:val="0"/>
              <w:overflowPunct w:val="0"/>
              <w:adjustRightInd w:val="0"/>
              <w:snapToGrid w:val="0"/>
              <w:ind w:left="103" w:right="91"/>
              <w:rPr>
                <w:rFonts w:ascii="Times New Roman" w:eastAsia="Calibri" w:hAnsi="Times New Roman" w:cs="Times New Roman"/>
                <w:sz w:val="21"/>
                <w:szCs w:val="21"/>
              </w:rPr>
            </w:pPr>
          </w:p>
          <w:p w14:paraId="42B57FA9" w14:textId="77777777" w:rsidR="00BA3E50" w:rsidRPr="00F07EFA" w:rsidRDefault="00BA3E50" w:rsidP="00241619">
            <w:pPr>
              <w:kinsoku w:val="0"/>
              <w:overflowPunct w:val="0"/>
              <w:adjustRightInd w:val="0"/>
              <w:snapToGrid w:val="0"/>
              <w:ind w:left="103" w:right="91"/>
              <w:rPr>
                <w:rFonts w:ascii="Times New Roman" w:eastAsia="Calibri" w:hAnsi="Times New Roman" w:cs="Times New Roman"/>
                <w:sz w:val="21"/>
                <w:szCs w:val="21"/>
              </w:rPr>
            </w:pPr>
            <w:r w:rsidRPr="00F07EFA">
              <w:rPr>
                <w:rFonts w:ascii="Times New Roman" w:eastAsia="Calibri" w:hAnsi="Times New Roman" w:cs="Times New Roman"/>
                <w:sz w:val="21"/>
                <w:szCs w:val="21"/>
              </w:rPr>
              <w:t>Note: Costed on a fieldwork required</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basis. If</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pacing w:val="-1"/>
                <w:sz w:val="21"/>
                <w:szCs w:val="21"/>
              </w:rPr>
              <w:t>project</w:t>
            </w:r>
            <w:r w:rsidRPr="00F07EFA">
              <w:rPr>
                <w:rFonts w:ascii="Times New Roman" w:eastAsia="Malgun Gothic" w:hAnsi="Times New Roman" w:cs="Times New Roman"/>
                <w:spacing w:val="-1"/>
                <w:sz w:val="21"/>
                <w:szCs w:val="21"/>
                <w:lang w:eastAsia="ko-KR"/>
              </w:rPr>
              <w:t xml:space="preserve"> </w:t>
            </w:r>
            <w:r w:rsidRPr="00F07EFA">
              <w:rPr>
                <w:rFonts w:ascii="Times New Roman" w:eastAsia="Calibri" w:hAnsi="Times New Roman" w:cs="Times New Roman"/>
                <w:sz w:val="21"/>
                <w:szCs w:val="21"/>
              </w:rPr>
              <w:t>is extension related</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z w:val="21"/>
                <w:szCs w:val="21"/>
              </w:rPr>
              <w:t>(i.e.</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z w:val="21"/>
                <w:szCs w:val="21"/>
              </w:rPr>
              <w:t>Trials</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z w:val="21"/>
                <w:szCs w:val="21"/>
              </w:rPr>
              <w:t>of</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z w:val="21"/>
                <w:szCs w:val="21"/>
              </w:rPr>
              <w:t>designs</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z w:val="21"/>
                <w:szCs w:val="21"/>
              </w:rPr>
              <w:t>not</w:t>
            </w:r>
          </w:p>
          <w:p w14:paraId="47EF4119" w14:textId="77777777" w:rsidR="00BA3E50" w:rsidRPr="00F07EFA" w:rsidRDefault="00BA3E50" w:rsidP="00241619">
            <w:pPr>
              <w:kinsoku w:val="0"/>
              <w:overflowPunct w:val="0"/>
              <w:adjustRightInd w:val="0"/>
              <w:snapToGrid w:val="0"/>
              <w:ind w:left="103" w:right="91"/>
              <w:rPr>
                <w:rFonts w:ascii="Times New Roman" w:eastAsia="Calibri" w:hAnsi="Times New Roman" w:cs="Times New Roman"/>
                <w:sz w:val="21"/>
                <w:szCs w:val="21"/>
              </w:rPr>
            </w:pPr>
            <w:r w:rsidRPr="00F07EFA">
              <w:rPr>
                <w:rFonts w:ascii="Times New Roman" w:eastAsia="Calibri" w:hAnsi="Times New Roman" w:cs="Times New Roman"/>
                <w:sz w:val="21"/>
                <w:szCs w:val="21"/>
              </w:rPr>
              <w:t>required on the basis of SC13-EB-WP-02</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pacing w:val="-1"/>
                <w:sz w:val="21"/>
                <w:szCs w:val="21"/>
              </w:rPr>
              <w:t xml:space="preserve">findings), </w:t>
            </w:r>
            <w:r w:rsidRPr="00F07EFA">
              <w:rPr>
                <w:rFonts w:ascii="Times New Roman" w:eastAsia="Calibri" w:hAnsi="Times New Roman" w:cs="Times New Roman"/>
                <w:sz w:val="21"/>
                <w:szCs w:val="21"/>
              </w:rPr>
              <w:t>project</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budget</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z w:val="21"/>
                <w:szCs w:val="21"/>
              </w:rPr>
              <w:t>will need to be revised</w:t>
            </w:r>
          </w:p>
        </w:tc>
        <w:tc>
          <w:tcPr>
            <w:tcW w:w="4085" w:type="pct"/>
          </w:tcPr>
          <w:p w14:paraId="40A13998" w14:textId="77777777" w:rsidR="00BA3E50" w:rsidRPr="00F07EFA" w:rsidRDefault="00BA3E50"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1 year FTE at SPC (data analysis)</w:t>
            </w:r>
          </w:p>
          <w:p w14:paraId="042B4A13" w14:textId="77777777" w:rsidR="00BA3E50" w:rsidRPr="00F07EFA" w:rsidRDefault="00BA3E50" w:rsidP="00241619">
            <w:pPr>
              <w:kinsoku w:val="0"/>
              <w:overflowPunct w:val="0"/>
              <w:adjustRightInd w:val="0"/>
              <w:snapToGrid w:val="0"/>
              <w:ind w:left="103" w:right="2232"/>
              <w:rPr>
                <w:rFonts w:ascii="Times New Roman" w:eastAsia="Calibri" w:hAnsi="Times New Roman" w:cs="Times New Roman"/>
                <w:sz w:val="21"/>
                <w:szCs w:val="21"/>
              </w:rPr>
            </w:pPr>
            <w:r w:rsidRPr="00F07EFA">
              <w:rPr>
                <w:rFonts w:ascii="Times New Roman" w:eastAsia="Calibri" w:hAnsi="Times New Roman" w:cs="Times New Roman"/>
                <w:sz w:val="21"/>
                <w:szCs w:val="21"/>
              </w:rPr>
              <w:t>1.5 year FTE at SPC (technical and fieldwork, travel) Project management</w:t>
            </w:r>
          </w:p>
          <w:p w14:paraId="0BC563D1" w14:textId="77777777" w:rsidR="00BA3E50" w:rsidRPr="00F07EFA" w:rsidRDefault="00BA3E50"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Observer training</w:t>
            </w:r>
          </w:p>
          <w:p w14:paraId="2E930325" w14:textId="77777777" w:rsidR="00BA3E50" w:rsidRPr="00F07EFA" w:rsidRDefault="00BA3E50"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Approximate total budget: US$446,000*</w:t>
            </w:r>
          </w:p>
          <w:p w14:paraId="58EC8173" w14:textId="77777777"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14:paraId="042EFEE9" w14:textId="77777777" w:rsidR="00BA3E50" w:rsidRPr="00F07EFA" w:rsidRDefault="00BA3E50" w:rsidP="00241619">
            <w:pPr>
              <w:kinsoku w:val="0"/>
              <w:overflowPunct w:val="0"/>
              <w:adjustRightInd w:val="0"/>
              <w:snapToGrid w:val="0"/>
              <w:ind w:left="103"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Note overlap with Project #2 – if both are undertaken concurrently then some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personnel</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costs</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can</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‘shared’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across</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two</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projects.</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(Approximate total budget if Projects 1 and 2 undertaken</w:t>
            </w:r>
            <w:r w:rsidRPr="00F07EFA">
              <w:rPr>
                <w:rFonts w:ascii="Times New Roman" w:eastAsia="Calibri" w:hAnsi="Times New Roman" w:cs="Times New Roman"/>
                <w:spacing w:val="-18"/>
                <w:sz w:val="21"/>
                <w:szCs w:val="21"/>
              </w:rPr>
              <w:t xml:space="preserve"> </w:t>
            </w:r>
            <w:r w:rsidRPr="00F07EFA">
              <w:rPr>
                <w:rFonts w:ascii="Times New Roman" w:eastAsia="Calibri" w:hAnsi="Times New Roman" w:cs="Times New Roman"/>
                <w:sz w:val="21"/>
                <w:szCs w:val="21"/>
              </w:rPr>
              <w:t>simultaneously:</w:t>
            </w:r>
          </w:p>
          <w:p w14:paraId="19F5D3DD" w14:textId="77777777" w:rsidR="00BA3E50" w:rsidRPr="00F07EFA" w:rsidRDefault="00BA3E50"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$871,000)</w:t>
            </w:r>
          </w:p>
          <w:p w14:paraId="06CD8700" w14:textId="77777777"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14:paraId="15C0C9F1" w14:textId="77777777" w:rsidR="00BA3E50" w:rsidRPr="00F07EFA" w:rsidRDefault="00BA3E50" w:rsidP="00241619">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*Final</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costings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will</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depend</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on</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approach</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undertaken</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within</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at-sea</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trials, including the level of practical and financial contribution by industry. Note this will need to include the purchase of necessary FAD materials, including marking and tracking components, facilitation of liaison with industry representatives, and any related</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travel.</w:t>
            </w:r>
          </w:p>
        </w:tc>
      </w:tr>
      <w:tr w:rsidR="00BA3E50" w:rsidRPr="00F07EFA" w14:paraId="799F6AD0" w14:textId="77777777" w:rsidTr="004B6F4C">
        <w:trPr>
          <w:trHeight w:hRule="exact" w:val="3691"/>
        </w:trPr>
        <w:tc>
          <w:tcPr>
            <w:tcW w:w="915" w:type="pct"/>
          </w:tcPr>
          <w:p w14:paraId="1DE575F0" w14:textId="77777777" w:rsidR="00BA3E50" w:rsidRPr="00F07EFA" w:rsidRDefault="00BA3E50" w:rsidP="00241619">
            <w:pPr>
              <w:kinsoku w:val="0"/>
              <w:overflowPunct w:val="0"/>
              <w:adjustRightInd w:val="0"/>
              <w:snapToGrid w:val="0"/>
              <w:ind w:left="103" w:right="83"/>
              <w:rPr>
                <w:rFonts w:ascii="Times New Roman" w:eastAsia="Calibri" w:hAnsi="Times New Roman" w:cs="Times New Roman"/>
                <w:sz w:val="21"/>
                <w:szCs w:val="21"/>
              </w:rPr>
            </w:pPr>
            <w:r w:rsidRPr="00F07EFA">
              <w:rPr>
                <w:rFonts w:ascii="Times New Roman" w:eastAsia="Calibri" w:hAnsi="Times New Roman" w:cs="Times New Roman"/>
                <w:sz w:val="21"/>
                <w:szCs w:val="21"/>
              </w:rPr>
              <w:t>Additional considerations</w:t>
            </w:r>
          </w:p>
        </w:tc>
        <w:tc>
          <w:tcPr>
            <w:tcW w:w="4085" w:type="pct"/>
          </w:tcPr>
          <w:p w14:paraId="06EA3303" w14:textId="77777777" w:rsidR="00BA3E50" w:rsidRPr="00F07EFA" w:rsidRDefault="00BA3E50" w:rsidP="00241619">
            <w:pPr>
              <w:kinsoku w:val="0"/>
              <w:overflowPunct w:val="0"/>
              <w:adjustRightInd w:val="0"/>
              <w:snapToGrid w:val="0"/>
              <w:ind w:left="103"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This</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project</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will</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necessitate</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additional</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data</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collection</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by</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fisheries</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observers, irrespective of whether it relates to additional trials, or, extension. This has consequence for forms, data management and observer</w:t>
            </w:r>
            <w:r w:rsidRPr="00F07EFA">
              <w:rPr>
                <w:rFonts w:ascii="Times New Roman" w:eastAsia="Calibri" w:hAnsi="Times New Roman" w:cs="Times New Roman"/>
                <w:spacing w:val="-19"/>
                <w:sz w:val="21"/>
                <w:szCs w:val="21"/>
              </w:rPr>
              <w:t xml:space="preserve"> </w:t>
            </w:r>
            <w:r w:rsidRPr="00F07EFA">
              <w:rPr>
                <w:rFonts w:ascii="Times New Roman" w:eastAsia="Calibri" w:hAnsi="Times New Roman" w:cs="Times New Roman"/>
                <w:sz w:val="21"/>
                <w:szCs w:val="21"/>
              </w:rPr>
              <w:t>training.</w:t>
            </w:r>
          </w:p>
          <w:p w14:paraId="61B39DC1" w14:textId="77777777"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14:paraId="42B7E0A3" w14:textId="77777777" w:rsidR="00BA3E50" w:rsidRPr="00F07EFA" w:rsidRDefault="00BA3E50" w:rsidP="00241619">
            <w:pPr>
              <w:kinsoku w:val="0"/>
              <w:overflowPunct w:val="0"/>
              <w:adjustRightInd w:val="0"/>
              <w:snapToGrid w:val="0"/>
              <w:ind w:left="103"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If</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FADs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are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not</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able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tracked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markings</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or</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similar,</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this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research</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will require fishers to lift all FADs for descriptions to be made (there are other technical solutions such as camera ROVs and/or research divers however they are likely overly</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costly).</w:t>
            </w:r>
          </w:p>
          <w:p w14:paraId="233199CB" w14:textId="77777777"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14:paraId="40E5CCA6" w14:textId="77777777" w:rsidR="00BA3E50" w:rsidRPr="00F07EFA" w:rsidRDefault="00BA3E50" w:rsidP="00241619">
            <w:pPr>
              <w:kinsoku w:val="0"/>
              <w:overflowPunct w:val="0"/>
              <w:adjustRightInd w:val="0"/>
              <w:snapToGrid w:val="0"/>
              <w:ind w:left="103"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Understanding the vertical behaviour of silky sharks at FADs within the WCPO would help inform how deep the FAD underwater structure should be checked.</w:t>
            </w:r>
          </w:p>
          <w:p w14:paraId="4AE8D638" w14:textId="77777777"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14:paraId="616EFAFB" w14:textId="77777777" w:rsidR="00BA3E50" w:rsidRPr="00F07EFA" w:rsidRDefault="00BA3E50" w:rsidP="00241619">
            <w:pPr>
              <w:kinsoku w:val="0"/>
              <w:overflowPunct w:val="0"/>
              <w:adjustRightInd w:val="0"/>
              <w:snapToGrid w:val="0"/>
              <w:ind w:left="103" w:right="98"/>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This</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project</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if</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it</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proceeds</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extension/implementation</w:t>
            </w:r>
            <w:r w:rsidRPr="00F07EFA">
              <w:rPr>
                <w:rFonts w:ascii="Times New Roman" w:eastAsia="Calibri" w:hAnsi="Times New Roman" w:cs="Times New Roman"/>
                <w:spacing w:val="-17"/>
                <w:sz w:val="21"/>
                <w:szCs w:val="21"/>
              </w:rPr>
              <w:t xml:space="preserve"> </w:t>
            </w:r>
            <w:r w:rsidRPr="00F07EFA">
              <w:rPr>
                <w:rFonts w:ascii="Times New Roman" w:eastAsia="Calibri" w:hAnsi="Times New Roman" w:cs="Times New Roman"/>
                <w:sz w:val="21"/>
                <w:szCs w:val="21"/>
              </w:rPr>
              <w:t>will</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have</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direct</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costs for</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fishers</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with</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lifting</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existing</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FADs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require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update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them</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with</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non- tangling designs. Obviously the period of implementation will determine if this occurs faster or slower than the normal frequency of lifting, and hence the incurred</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cost.</w:t>
            </w:r>
          </w:p>
        </w:tc>
      </w:tr>
    </w:tbl>
    <w:p w14:paraId="73D1A286" w14:textId="77777777" w:rsidR="00BA3E50" w:rsidRPr="00F07EFA" w:rsidRDefault="00BA3E50" w:rsidP="00241619">
      <w:pPr>
        <w:widowControl w:val="0"/>
        <w:kinsoku w:val="0"/>
        <w:overflowPunct w:val="0"/>
        <w:autoSpaceDE w:val="0"/>
        <w:autoSpaceDN w:val="0"/>
        <w:adjustRightInd w:val="0"/>
        <w:snapToGrid w:val="0"/>
        <w:rPr>
          <w:rFonts w:eastAsia="Malgun Gothic"/>
          <w:b/>
          <w:color w:val="000000"/>
          <w:sz w:val="21"/>
          <w:szCs w:val="21"/>
          <w:lang w:eastAsia="ko-KR"/>
        </w:rPr>
      </w:pPr>
    </w:p>
    <w:tbl>
      <w:tblPr>
        <w:tblStyle w:val="TableNormal1"/>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73"/>
        <w:gridCol w:w="7882"/>
      </w:tblGrid>
      <w:tr w:rsidR="00BA3E50" w:rsidRPr="00F07EFA" w14:paraId="15419076" w14:textId="77777777" w:rsidTr="00753A0C">
        <w:trPr>
          <w:cantSplit/>
        </w:trPr>
        <w:tc>
          <w:tcPr>
            <w:tcW w:w="0" w:type="auto"/>
            <w:shd w:val="clear" w:color="auto" w:fill="92D050"/>
            <w:vAlign w:val="center"/>
          </w:tcPr>
          <w:p w14:paraId="4C54DD59" w14:textId="77777777" w:rsidR="00BA3E50" w:rsidRPr="00F07EFA" w:rsidRDefault="00BA3E50" w:rsidP="00753A0C">
            <w:pPr>
              <w:kinsoku w:val="0"/>
              <w:overflowPunct w:val="0"/>
              <w:adjustRightInd w:val="0"/>
              <w:snapToGrid w:val="0"/>
              <w:ind w:left="103"/>
              <w:rPr>
                <w:rFonts w:ascii="Times New Roman" w:eastAsia="Malgun Gothic" w:hAnsi="Times New Roman" w:cs="Times New Roman"/>
                <w:b/>
                <w:sz w:val="21"/>
                <w:szCs w:val="21"/>
                <w:lang w:eastAsia="ko-KR"/>
              </w:rPr>
            </w:pPr>
            <w:r w:rsidRPr="00F07EFA">
              <w:rPr>
                <w:rFonts w:ascii="Times New Roman" w:eastAsia="Malgun Gothic" w:hAnsi="Times New Roman" w:cs="Times New Roman"/>
                <w:b/>
                <w:caps/>
                <w:sz w:val="21"/>
                <w:szCs w:val="21"/>
                <w:lang w:eastAsia="ko-KR"/>
              </w:rPr>
              <w:t xml:space="preserve">PROJECT </w:t>
            </w:r>
            <w:r w:rsidRPr="00F07EFA">
              <w:rPr>
                <w:rFonts w:ascii="Times New Roman" w:eastAsia="Malgun Gothic" w:hAnsi="Times New Roman" w:cs="Times New Roman"/>
                <w:b/>
                <w:sz w:val="21"/>
                <w:szCs w:val="21"/>
                <w:lang w:eastAsia="ko-KR"/>
              </w:rPr>
              <w:t>87</w:t>
            </w:r>
            <w:r w:rsidRPr="00F07EFA">
              <w:rPr>
                <w:rFonts w:ascii="Times New Roman" w:eastAsia="Calibri" w:hAnsi="Times New Roman" w:cs="Times New Roman"/>
                <w:b/>
                <w:sz w:val="21"/>
                <w:szCs w:val="21"/>
              </w:rPr>
              <w:t xml:space="preserve"> </w:t>
            </w:r>
          </w:p>
          <w:p w14:paraId="6EBC841C" w14:textId="77777777" w:rsidR="00BA3E50" w:rsidRPr="00F07EFA" w:rsidRDefault="00BA3E50" w:rsidP="00753A0C">
            <w:pPr>
              <w:kinsoku w:val="0"/>
              <w:overflowPunct w:val="0"/>
              <w:adjustRightInd w:val="0"/>
              <w:snapToGrid w:val="0"/>
              <w:ind w:left="103"/>
              <w:rPr>
                <w:rFonts w:ascii="Times New Roman" w:eastAsia="Malgun Gothic" w:hAnsi="Times New Roman" w:cs="Times New Roman"/>
                <w:b/>
                <w:sz w:val="21"/>
                <w:szCs w:val="21"/>
                <w:lang w:eastAsia="ko-KR"/>
              </w:rPr>
            </w:pPr>
            <w:r w:rsidRPr="00F07EFA">
              <w:rPr>
                <w:rFonts w:ascii="Times New Roman" w:eastAsia="Calibri" w:hAnsi="Times New Roman" w:cs="Times New Roman"/>
                <w:b/>
                <w:sz w:val="21"/>
                <w:szCs w:val="21"/>
              </w:rPr>
              <w:t>FAD Project #2</w:t>
            </w:r>
          </w:p>
        </w:tc>
        <w:tc>
          <w:tcPr>
            <w:tcW w:w="0" w:type="auto"/>
            <w:shd w:val="clear" w:color="auto" w:fill="92D050"/>
            <w:vAlign w:val="center"/>
          </w:tcPr>
          <w:p w14:paraId="51250BC6" w14:textId="77777777" w:rsidR="00BA3E50" w:rsidRPr="00F07EFA" w:rsidRDefault="00BA3E50" w:rsidP="00753A0C">
            <w:pPr>
              <w:kinsoku w:val="0"/>
              <w:overflowPunct w:val="0"/>
              <w:adjustRightInd w:val="0"/>
              <w:snapToGrid w:val="0"/>
              <w:ind w:left="103"/>
              <w:rPr>
                <w:rFonts w:ascii="Times New Roman" w:eastAsia="Calibri" w:hAnsi="Times New Roman" w:cs="Times New Roman"/>
                <w:b/>
                <w:sz w:val="21"/>
                <w:szCs w:val="21"/>
              </w:rPr>
            </w:pPr>
            <w:r w:rsidRPr="00F07EFA">
              <w:rPr>
                <w:rFonts w:ascii="Times New Roman" w:eastAsia="Calibri" w:hAnsi="Times New Roman" w:cs="Times New Roman"/>
                <w:b/>
                <w:sz w:val="21"/>
                <w:szCs w:val="21"/>
              </w:rPr>
              <w:t>FAD designs to reduce unwanted catches of juvenile bigeye and yellowfin tuna</w:t>
            </w:r>
          </w:p>
        </w:tc>
      </w:tr>
      <w:tr w:rsidR="00BA3E50" w:rsidRPr="00F07EFA" w14:paraId="1D0E9B15" w14:textId="77777777" w:rsidTr="00753A0C">
        <w:trPr>
          <w:cantSplit/>
        </w:trPr>
        <w:tc>
          <w:tcPr>
            <w:tcW w:w="0" w:type="auto"/>
          </w:tcPr>
          <w:p w14:paraId="0F4FB711" w14:textId="77777777" w:rsidR="00BA3E50" w:rsidRPr="00F07EFA" w:rsidRDefault="00BA3E50"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Objectives</w:t>
            </w:r>
          </w:p>
        </w:tc>
        <w:tc>
          <w:tcPr>
            <w:tcW w:w="0" w:type="auto"/>
          </w:tcPr>
          <w:p w14:paraId="002EC37F" w14:textId="77777777" w:rsidR="00BA3E50" w:rsidRPr="00F07EFA" w:rsidRDefault="00BA3E50" w:rsidP="00753A0C">
            <w:pPr>
              <w:kinsoku w:val="0"/>
              <w:overflowPunct w:val="0"/>
              <w:adjustRightInd w:val="0"/>
              <w:snapToGrid w:val="0"/>
              <w:ind w:left="103" w:right="104"/>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Identify any FAD design features that lead to lower catch rates of undersized/juvenile bigeye and yellowfin tuna, while minimising the impact on catches of larger target tuna species.</w:t>
            </w:r>
          </w:p>
        </w:tc>
      </w:tr>
      <w:tr w:rsidR="00BA3E50" w:rsidRPr="00F07EFA" w14:paraId="1D7E29A2" w14:textId="77777777" w:rsidTr="00753A0C">
        <w:trPr>
          <w:cantSplit/>
        </w:trPr>
        <w:tc>
          <w:tcPr>
            <w:tcW w:w="0" w:type="auto"/>
          </w:tcPr>
          <w:p w14:paraId="54603418" w14:textId="77777777" w:rsidR="00BA3E50" w:rsidRPr="00F07EFA" w:rsidRDefault="00BA3E50"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Rationale</w:t>
            </w:r>
          </w:p>
        </w:tc>
        <w:tc>
          <w:tcPr>
            <w:tcW w:w="0" w:type="auto"/>
          </w:tcPr>
          <w:p w14:paraId="09BB5F2E" w14:textId="77777777" w:rsidR="00BA3E50" w:rsidRPr="00F07EFA" w:rsidRDefault="00BA3E50" w:rsidP="00580EA4">
            <w:pPr>
              <w:numPr>
                <w:ilvl w:val="0"/>
                <w:numId w:val="115"/>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Builds upon trials underway in the IATTC area in collaboration with ISSF, but given oceanographic differences between regions WCPO trials may be required if designs in IATTC area focus on depths shallower than the WCPO thermocline</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depth.</w:t>
            </w:r>
          </w:p>
          <w:p w14:paraId="743F0EBF" w14:textId="77777777" w:rsidR="00BA3E50" w:rsidRPr="00F07EFA" w:rsidRDefault="00BA3E50" w:rsidP="00580EA4">
            <w:pPr>
              <w:numPr>
                <w:ilvl w:val="0"/>
                <w:numId w:val="115"/>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Represents an area of work not yet pursued in the WCPO that could provide a simple management intervention to reduce FAD</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impacts.</w:t>
            </w:r>
          </w:p>
          <w:p w14:paraId="3225A794" w14:textId="77777777" w:rsidR="00BA3E50" w:rsidRPr="00F07EFA" w:rsidRDefault="00BA3E50" w:rsidP="00580EA4">
            <w:pPr>
              <w:numPr>
                <w:ilvl w:val="0"/>
                <w:numId w:val="115"/>
              </w:numPr>
              <w:tabs>
                <w:tab w:val="left" w:pos="419"/>
                <w:tab w:val="left" w:pos="420"/>
              </w:tabs>
              <w:kinsoku w:val="0"/>
              <w:overflowPunct w:val="0"/>
              <w:adjustRightInd w:val="0"/>
              <w:snapToGrid w:val="0"/>
              <w:rPr>
                <w:rFonts w:ascii="Times New Roman" w:eastAsia="Calibri" w:hAnsi="Times New Roman" w:cs="Times New Roman"/>
                <w:sz w:val="21"/>
                <w:szCs w:val="21"/>
              </w:rPr>
            </w:pPr>
            <w:r w:rsidRPr="00F07EFA">
              <w:rPr>
                <w:rFonts w:ascii="Times New Roman" w:eastAsia="Calibri" w:hAnsi="Times New Roman" w:cs="Times New Roman"/>
                <w:sz w:val="21"/>
                <w:szCs w:val="21"/>
              </w:rPr>
              <w:t>Builds upon EU-funded work identifying factors influencing BET</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hotspots.</w:t>
            </w:r>
          </w:p>
          <w:p w14:paraId="699AABB6" w14:textId="77777777" w:rsidR="00BA3E50" w:rsidRPr="00F07EFA" w:rsidRDefault="00BA3E50" w:rsidP="00580EA4">
            <w:pPr>
              <w:numPr>
                <w:ilvl w:val="0"/>
                <w:numId w:val="115"/>
              </w:numPr>
              <w:tabs>
                <w:tab w:val="left" w:pos="419"/>
                <w:tab w:val="left" w:pos="420"/>
              </w:tabs>
              <w:kinsoku w:val="0"/>
              <w:overflowPunct w:val="0"/>
              <w:adjustRightInd w:val="0"/>
              <w:snapToGrid w:val="0"/>
              <w:rPr>
                <w:rFonts w:ascii="Times New Roman" w:eastAsia="Calibri" w:hAnsi="Times New Roman" w:cs="Times New Roman"/>
                <w:sz w:val="21"/>
                <w:szCs w:val="21"/>
              </w:rPr>
            </w:pPr>
            <w:r w:rsidRPr="00F07EFA">
              <w:rPr>
                <w:rFonts w:ascii="Times New Roman" w:eastAsia="Calibri" w:hAnsi="Times New Roman" w:cs="Times New Roman"/>
                <w:sz w:val="21"/>
                <w:szCs w:val="21"/>
              </w:rPr>
              <w:t>Provides a scientific basis for potential CMMs in this</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area.</w:t>
            </w:r>
          </w:p>
          <w:p w14:paraId="6DBA41E0" w14:textId="77777777" w:rsidR="00BA3E50" w:rsidRPr="00F07EFA" w:rsidRDefault="00BA3E50" w:rsidP="00580EA4">
            <w:pPr>
              <w:numPr>
                <w:ilvl w:val="0"/>
                <w:numId w:val="115"/>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Two key and related FAD design features may influence undersized/juvenile bigeye and yellowfin mortality: depth of the FAD, and its speed of</w:t>
            </w:r>
            <w:r w:rsidRPr="00F07EFA">
              <w:rPr>
                <w:rFonts w:ascii="Times New Roman" w:eastAsia="Calibri" w:hAnsi="Times New Roman" w:cs="Times New Roman"/>
                <w:spacing w:val="-27"/>
                <w:sz w:val="21"/>
                <w:szCs w:val="21"/>
              </w:rPr>
              <w:t xml:space="preserve"> </w:t>
            </w:r>
            <w:r w:rsidRPr="00F07EFA">
              <w:rPr>
                <w:rFonts w:ascii="Times New Roman" w:eastAsia="Calibri" w:hAnsi="Times New Roman" w:cs="Times New Roman"/>
                <w:sz w:val="21"/>
                <w:szCs w:val="21"/>
              </w:rPr>
              <w:t>drift.</w:t>
            </w:r>
          </w:p>
        </w:tc>
      </w:tr>
      <w:tr w:rsidR="00BA3E50" w:rsidRPr="00F07EFA" w14:paraId="12435DC6" w14:textId="77777777" w:rsidTr="00753A0C">
        <w:trPr>
          <w:cantSplit/>
        </w:trPr>
        <w:tc>
          <w:tcPr>
            <w:tcW w:w="0" w:type="auto"/>
          </w:tcPr>
          <w:p w14:paraId="0C0FFE0D" w14:textId="77777777" w:rsidR="00BA3E50" w:rsidRPr="00F07EFA" w:rsidRDefault="00BA3E50"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Assumptions</w:t>
            </w:r>
          </w:p>
        </w:tc>
        <w:tc>
          <w:tcPr>
            <w:tcW w:w="0" w:type="auto"/>
          </w:tcPr>
          <w:p w14:paraId="5C91F62A" w14:textId="77777777" w:rsidR="00BA3E50" w:rsidRPr="00F07EFA" w:rsidRDefault="00BA3E50" w:rsidP="00580EA4">
            <w:pPr>
              <w:numPr>
                <w:ilvl w:val="0"/>
                <w:numId w:val="114"/>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BET hotspot analyses provide some indication of potential FAD characteristics that can be examined within this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project.</w:t>
            </w:r>
          </w:p>
          <w:p w14:paraId="669D80FF" w14:textId="77777777" w:rsidR="00BA3E50" w:rsidRPr="00F07EFA" w:rsidRDefault="00BA3E50" w:rsidP="00580EA4">
            <w:pPr>
              <w:numPr>
                <w:ilvl w:val="0"/>
                <w:numId w:val="114"/>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 xml:space="preserve">Can relate the design of FADs noted by observers and/or others directly </w:t>
            </w:r>
            <w:r w:rsidRPr="00F07EFA">
              <w:rPr>
                <w:rFonts w:ascii="Times New Roman" w:eastAsia="Calibri" w:hAnsi="Times New Roman" w:cs="Times New Roman"/>
                <w:spacing w:val="-3"/>
                <w:sz w:val="21"/>
                <w:szCs w:val="21"/>
              </w:rPr>
              <w:t xml:space="preserve">to </w:t>
            </w:r>
            <w:r w:rsidRPr="00F07EFA">
              <w:rPr>
                <w:rFonts w:ascii="Times New Roman" w:eastAsia="Calibri" w:hAnsi="Times New Roman" w:cs="Times New Roman"/>
                <w:sz w:val="21"/>
                <w:szCs w:val="21"/>
              </w:rPr>
              <w:t>subsequent fishing sets that have reliable catch composition</w:t>
            </w:r>
            <w:r w:rsidRPr="00F07EFA">
              <w:rPr>
                <w:rFonts w:ascii="Times New Roman" w:eastAsia="Calibri" w:hAnsi="Times New Roman" w:cs="Times New Roman"/>
                <w:spacing w:val="-23"/>
                <w:sz w:val="21"/>
                <w:szCs w:val="21"/>
              </w:rPr>
              <w:t xml:space="preserve"> </w:t>
            </w:r>
            <w:r w:rsidRPr="00F07EFA">
              <w:rPr>
                <w:rFonts w:ascii="Times New Roman" w:eastAsia="Calibri" w:hAnsi="Times New Roman" w:cs="Times New Roman"/>
                <w:sz w:val="21"/>
                <w:szCs w:val="21"/>
              </w:rPr>
              <w:t>estimates.</w:t>
            </w:r>
          </w:p>
          <w:p w14:paraId="436AAB60" w14:textId="77777777" w:rsidR="00BA3E50" w:rsidRPr="00F07EFA" w:rsidRDefault="00BA3E50" w:rsidP="00580EA4">
            <w:pPr>
              <w:numPr>
                <w:ilvl w:val="0"/>
                <w:numId w:val="114"/>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 coordinated trial of designs, in collaboration with industry, is suggested as the most efficient approach. Cost and environmental impact would be key factors in assessing the merit of various</w:t>
            </w:r>
            <w:r w:rsidRPr="00F07EFA">
              <w:rPr>
                <w:rFonts w:ascii="Times New Roman" w:eastAsia="Calibri" w:hAnsi="Times New Roman" w:cs="Times New Roman"/>
                <w:spacing w:val="-17"/>
                <w:sz w:val="21"/>
                <w:szCs w:val="21"/>
              </w:rPr>
              <w:t xml:space="preserve"> </w:t>
            </w:r>
            <w:r w:rsidRPr="00F07EFA">
              <w:rPr>
                <w:rFonts w:ascii="Times New Roman" w:eastAsia="Calibri" w:hAnsi="Times New Roman" w:cs="Times New Roman"/>
                <w:sz w:val="21"/>
                <w:szCs w:val="21"/>
              </w:rPr>
              <w:t>designs.</w:t>
            </w:r>
          </w:p>
          <w:p w14:paraId="6E3D5B90" w14:textId="77777777" w:rsidR="00BA3E50" w:rsidRPr="00F07EFA" w:rsidRDefault="00BA3E50" w:rsidP="00580EA4">
            <w:pPr>
              <w:numPr>
                <w:ilvl w:val="0"/>
                <w:numId w:val="114"/>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Periodic</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removal</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tracked</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designs</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may</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also</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necessary</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identify</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changes over time (e.g. change in the depth of the structure or unravelling of bound netting, degradation of components that might modify drift</w:t>
            </w:r>
            <w:r w:rsidRPr="00F07EFA">
              <w:rPr>
                <w:rFonts w:ascii="Times New Roman" w:eastAsia="Calibri" w:hAnsi="Times New Roman" w:cs="Times New Roman"/>
                <w:spacing w:val="-17"/>
                <w:sz w:val="21"/>
                <w:szCs w:val="21"/>
              </w:rPr>
              <w:t xml:space="preserve"> </w:t>
            </w:r>
            <w:r w:rsidRPr="00F07EFA">
              <w:rPr>
                <w:rFonts w:ascii="Times New Roman" w:eastAsia="Calibri" w:hAnsi="Times New Roman" w:cs="Times New Roman"/>
                <w:sz w:val="21"/>
                <w:szCs w:val="21"/>
              </w:rPr>
              <w:t>speed).</w:t>
            </w:r>
          </w:p>
          <w:p w14:paraId="42EE8D69" w14:textId="77777777" w:rsidR="00BA3E50" w:rsidRPr="00F07EFA" w:rsidRDefault="00BA3E50" w:rsidP="00580EA4">
            <w:pPr>
              <w:numPr>
                <w:ilvl w:val="0"/>
                <w:numId w:val="114"/>
              </w:numPr>
              <w:tabs>
                <w:tab w:val="left" w:pos="420"/>
              </w:tabs>
              <w:kinsoku w:val="0"/>
              <w:overflowPunct w:val="0"/>
              <w:adjustRightInd w:val="0"/>
              <w:snapToGrid w:val="0"/>
              <w:ind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Sufficient data are available across different designs and locations to allow a statistical analysis to be</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performed.</w:t>
            </w:r>
          </w:p>
          <w:p w14:paraId="54B3D6C6" w14:textId="77777777" w:rsidR="00BA3E50" w:rsidRPr="00F07EFA" w:rsidRDefault="00BA3E50" w:rsidP="00580EA4">
            <w:pPr>
              <w:numPr>
                <w:ilvl w:val="0"/>
                <w:numId w:val="114"/>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Where field trials are required, they could possibly be performed at the same time as trials required under FAD project #1 to create cost</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efficiencies.</w:t>
            </w:r>
          </w:p>
        </w:tc>
      </w:tr>
      <w:tr w:rsidR="00753A0C" w:rsidRPr="00F07EFA" w14:paraId="3E4A21E6" w14:textId="77777777" w:rsidTr="00753A0C">
        <w:tc>
          <w:tcPr>
            <w:tcW w:w="0" w:type="auto"/>
          </w:tcPr>
          <w:p w14:paraId="3D71215D" w14:textId="77777777" w:rsidR="00753A0C" w:rsidRPr="00F07EFA" w:rsidRDefault="00753A0C" w:rsidP="00753A0C">
            <w:pPr>
              <w:kinsoku w:val="0"/>
              <w:overflowPunct w:val="0"/>
              <w:adjustRightInd w:val="0"/>
              <w:snapToGrid w:val="0"/>
              <w:ind w:left="103"/>
              <w:rPr>
                <w:rFonts w:eastAsia="Calibri"/>
                <w:sz w:val="21"/>
                <w:szCs w:val="21"/>
              </w:rPr>
            </w:pPr>
            <w:r w:rsidRPr="00F07EFA">
              <w:rPr>
                <w:rFonts w:ascii="Times New Roman" w:eastAsia="Calibri" w:hAnsi="Times New Roman" w:cs="Times New Roman"/>
                <w:sz w:val="21"/>
                <w:szCs w:val="21"/>
              </w:rPr>
              <w:t>Scope</w:t>
            </w:r>
          </w:p>
        </w:tc>
        <w:tc>
          <w:tcPr>
            <w:tcW w:w="0" w:type="auto"/>
          </w:tcPr>
          <w:p w14:paraId="3819BB9C" w14:textId="77777777" w:rsidR="00753A0C" w:rsidRPr="00F07EFA" w:rsidRDefault="00753A0C" w:rsidP="00753A0C">
            <w:pPr>
              <w:kinsoku w:val="0"/>
              <w:overflowPunct w:val="0"/>
              <w:adjustRightInd w:val="0"/>
              <w:snapToGrid w:val="0"/>
              <w:ind w:left="103"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While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Project</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#1</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benefits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existing</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activities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research</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in</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other</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oceans,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the background</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on</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FAD</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designs</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reduce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juvenile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tuna</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catch</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is</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less</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mature.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However, the proposed scope is comparable to that proposed for Project</w:t>
            </w:r>
            <w:r w:rsidRPr="00F07EFA">
              <w:rPr>
                <w:rFonts w:ascii="Times New Roman" w:eastAsia="Calibri" w:hAnsi="Times New Roman" w:cs="Times New Roman"/>
                <w:spacing w:val="-25"/>
                <w:sz w:val="21"/>
                <w:szCs w:val="21"/>
              </w:rPr>
              <w:t xml:space="preserve"> </w:t>
            </w:r>
            <w:r w:rsidRPr="00F07EFA">
              <w:rPr>
                <w:rFonts w:ascii="Times New Roman" w:eastAsia="Calibri" w:hAnsi="Times New Roman" w:cs="Times New Roman"/>
                <w:sz w:val="21"/>
                <w:szCs w:val="21"/>
              </w:rPr>
              <w:t>#1.</w:t>
            </w:r>
          </w:p>
          <w:p w14:paraId="4E3F2CCF" w14:textId="77777777" w:rsidR="00753A0C" w:rsidRPr="00F07EFA" w:rsidRDefault="00753A0C" w:rsidP="00753A0C">
            <w:pPr>
              <w:kinsoku w:val="0"/>
              <w:overflowPunct w:val="0"/>
              <w:adjustRightInd w:val="0"/>
              <w:snapToGrid w:val="0"/>
              <w:rPr>
                <w:rFonts w:ascii="Times New Roman" w:eastAsia="Calibri" w:hAnsi="Times New Roman" w:cs="Times New Roman"/>
                <w:sz w:val="21"/>
                <w:szCs w:val="21"/>
              </w:rPr>
            </w:pPr>
          </w:p>
          <w:p w14:paraId="68A6D292" w14:textId="77777777" w:rsidR="00753A0C" w:rsidRPr="00F07EFA" w:rsidRDefault="00753A0C" w:rsidP="00753A0C">
            <w:pPr>
              <w:kinsoku w:val="0"/>
              <w:overflowPunct w:val="0"/>
              <w:adjustRightInd w:val="0"/>
              <w:snapToGrid w:val="0"/>
              <w:ind w:left="103"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Use</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relevant</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results</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BET</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hotspot</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analyses</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information</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available from ISSF studies in the IATTC area, and in collaboration with industry, identify plausible FAD designs to</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trial.</w:t>
            </w:r>
          </w:p>
          <w:p w14:paraId="62E90EEB" w14:textId="77777777" w:rsidR="00753A0C" w:rsidRPr="00F07EFA" w:rsidRDefault="00753A0C" w:rsidP="00753A0C">
            <w:pPr>
              <w:kinsoku w:val="0"/>
              <w:overflowPunct w:val="0"/>
              <w:adjustRightInd w:val="0"/>
              <w:snapToGrid w:val="0"/>
              <w:rPr>
                <w:rFonts w:ascii="Times New Roman" w:eastAsia="Calibri" w:hAnsi="Times New Roman" w:cs="Times New Roman"/>
                <w:sz w:val="21"/>
                <w:szCs w:val="21"/>
              </w:rPr>
            </w:pPr>
          </w:p>
          <w:p w14:paraId="21EE2C15" w14:textId="77777777" w:rsidR="00753A0C" w:rsidRPr="00F07EFA" w:rsidRDefault="00753A0C" w:rsidP="00753A0C">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Implement</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at-sea</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FAD</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trials</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across</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WCPO</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[deployment</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fishing</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activity]</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to be completed within 18 months. This will most effectively be performed in partnership with industry and observers to ensure marking, deployment and monitoring of FADs in a coordinated way. Two levels of industry participation are anticipated: (1) the fleets that deploy the FADs and are actively engaged in the research. (2) All other fleets that find the FADs from (1) and set upon them. Information from (2) will be critical to the success of the</w:t>
            </w:r>
            <w:r w:rsidRPr="00F07EFA">
              <w:rPr>
                <w:rFonts w:ascii="Times New Roman" w:eastAsia="Calibri" w:hAnsi="Times New Roman" w:cs="Times New Roman"/>
                <w:spacing w:val="-20"/>
                <w:sz w:val="21"/>
                <w:szCs w:val="21"/>
              </w:rPr>
              <w:t xml:space="preserve"> </w:t>
            </w:r>
            <w:r w:rsidRPr="00F07EFA">
              <w:rPr>
                <w:rFonts w:ascii="Times New Roman" w:eastAsia="Calibri" w:hAnsi="Times New Roman" w:cs="Times New Roman"/>
                <w:sz w:val="21"/>
                <w:szCs w:val="21"/>
              </w:rPr>
              <w:t>research.</w:t>
            </w:r>
          </w:p>
          <w:p w14:paraId="491DEBE2" w14:textId="77777777" w:rsidR="00753A0C" w:rsidRPr="00F07EFA" w:rsidRDefault="00753A0C" w:rsidP="00753A0C">
            <w:pPr>
              <w:kinsoku w:val="0"/>
              <w:overflowPunct w:val="0"/>
              <w:adjustRightInd w:val="0"/>
              <w:snapToGrid w:val="0"/>
              <w:rPr>
                <w:rFonts w:ascii="Times New Roman" w:eastAsia="Calibri" w:hAnsi="Times New Roman" w:cs="Times New Roman"/>
                <w:sz w:val="21"/>
                <w:szCs w:val="21"/>
              </w:rPr>
            </w:pPr>
          </w:p>
          <w:p w14:paraId="1BEF172B" w14:textId="77777777" w:rsidR="00753A0C" w:rsidRPr="00F07EFA" w:rsidRDefault="00753A0C" w:rsidP="00753A0C">
            <w:pPr>
              <w:kinsoku w:val="0"/>
              <w:overflowPunct w:val="0"/>
              <w:adjustRightInd w:val="0"/>
              <w:snapToGrid w:val="0"/>
              <w:ind w:left="103"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Understanding</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how</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real</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working</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depth</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sub-surface</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FAD</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structures</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interacts with oceanographic features during the period of the drift, and the resulting influence on species biomass and catch will be important. Equipping FAD sub-surface structures with depth/temperature sensors, which are tracked for the</w:t>
            </w:r>
            <w:r>
              <w:rPr>
                <w:rFonts w:ascii="Times New Roman" w:eastAsiaTheme="minorEastAsia" w:hAnsi="Times New Roman" w:cs="Times New Roman" w:hint="eastAsia"/>
                <w:sz w:val="21"/>
                <w:szCs w:val="21"/>
                <w:lang w:eastAsia="ko-KR"/>
              </w:rPr>
              <w:t xml:space="preserve"> </w:t>
            </w:r>
            <w:r w:rsidRPr="00F07EFA">
              <w:rPr>
                <w:rFonts w:ascii="Times New Roman" w:eastAsia="Calibri" w:hAnsi="Times New Roman" w:cs="Times New Roman"/>
                <w:sz w:val="21"/>
                <w:szCs w:val="21"/>
              </w:rPr>
              <w:t>duration of a scientific trip and retrieved, regularly feed-back information, or pop off the FAD after a given period, should be used.</w:t>
            </w:r>
          </w:p>
          <w:p w14:paraId="3E588CD6" w14:textId="77777777" w:rsidR="00753A0C" w:rsidRPr="00F07EFA" w:rsidRDefault="00753A0C" w:rsidP="00753A0C">
            <w:pPr>
              <w:kinsoku w:val="0"/>
              <w:overflowPunct w:val="0"/>
              <w:adjustRightInd w:val="0"/>
              <w:snapToGrid w:val="0"/>
              <w:rPr>
                <w:rFonts w:ascii="Times New Roman" w:eastAsia="Calibri" w:hAnsi="Times New Roman" w:cs="Times New Roman"/>
                <w:sz w:val="21"/>
                <w:szCs w:val="21"/>
              </w:rPr>
            </w:pPr>
          </w:p>
          <w:p w14:paraId="661FBAC4" w14:textId="77777777" w:rsidR="00753A0C" w:rsidRPr="00F07EFA" w:rsidRDefault="00753A0C"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Using ISSF Technical Report 2016-18A as a guide:</w:t>
            </w:r>
          </w:p>
          <w:p w14:paraId="6A4CE6EA" w14:textId="77777777" w:rsidR="00753A0C" w:rsidRPr="00F07EFA" w:rsidRDefault="00753A0C" w:rsidP="00580EA4">
            <w:pPr>
              <w:numPr>
                <w:ilvl w:val="0"/>
                <w:numId w:val="113"/>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Fleets</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deploy</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given</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number</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FADs</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per</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vessel</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(e.g.</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10-20</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FADs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per</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vessel</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to reach a significant large number of</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FADs).</w:t>
            </w:r>
          </w:p>
          <w:p w14:paraId="23438690" w14:textId="77777777" w:rsidR="00753A0C" w:rsidRPr="00F07EFA" w:rsidRDefault="00753A0C" w:rsidP="00580EA4">
            <w:pPr>
              <w:numPr>
                <w:ilvl w:val="0"/>
                <w:numId w:val="113"/>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Maximum 4 standardized designs tested, constructed in port and deployed in the same area as traditional FADs, so their effectiveness could be compared with that of traditional FADs for the same spatial and temporal</w:t>
            </w:r>
            <w:r w:rsidRPr="00F07EFA">
              <w:rPr>
                <w:rFonts w:ascii="Times New Roman" w:eastAsia="Calibri" w:hAnsi="Times New Roman" w:cs="Times New Roman"/>
                <w:spacing w:val="-20"/>
                <w:sz w:val="21"/>
                <w:szCs w:val="21"/>
              </w:rPr>
              <w:t xml:space="preserve"> </w:t>
            </w:r>
            <w:r w:rsidRPr="00F07EFA">
              <w:rPr>
                <w:rFonts w:ascii="Times New Roman" w:eastAsia="Calibri" w:hAnsi="Times New Roman" w:cs="Times New Roman"/>
                <w:sz w:val="21"/>
                <w:szCs w:val="21"/>
              </w:rPr>
              <w:t>strata.</w:t>
            </w:r>
          </w:p>
          <w:p w14:paraId="708DF6D6" w14:textId="77777777" w:rsidR="00753A0C" w:rsidRPr="00F07EFA" w:rsidRDefault="00753A0C" w:rsidP="00580EA4">
            <w:pPr>
              <w:numPr>
                <w:ilvl w:val="0"/>
                <w:numId w:val="113"/>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Deployment site, design and code of the geo-locating buoy should be registered. Every FAD should be well identified so that data can be retrieved and followed id ownership</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changes.</w:t>
            </w:r>
          </w:p>
          <w:p w14:paraId="1143563F" w14:textId="77777777" w:rsidR="00753A0C" w:rsidRPr="00F07EFA" w:rsidRDefault="00753A0C" w:rsidP="00580EA4">
            <w:pPr>
              <w:numPr>
                <w:ilvl w:val="0"/>
                <w:numId w:val="113"/>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If</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trial</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FAD</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is</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encountered</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at</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sea,</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register:</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catch</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(if</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any),</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condition</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of the FAD and the new code for the buoy if the original has been</w:t>
            </w:r>
            <w:r w:rsidRPr="00F07EFA">
              <w:rPr>
                <w:rFonts w:ascii="Times New Roman" w:eastAsia="Calibri" w:hAnsi="Times New Roman" w:cs="Times New Roman"/>
                <w:spacing w:val="-20"/>
                <w:sz w:val="21"/>
                <w:szCs w:val="21"/>
              </w:rPr>
              <w:t xml:space="preserve"> </w:t>
            </w:r>
            <w:r w:rsidRPr="00F07EFA">
              <w:rPr>
                <w:rFonts w:ascii="Times New Roman" w:eastAsia="Calibri" w:hAnsi="Times New Roman" w:cs="Times New Roman"/>
                <w:sz w:val="21"/>
                <w:szCs w:val="21"/>
              </w:rPr>
              <w:t>replaced.</w:t>
            </w:r>
          </w:p>
          <w:p w14:paraId="5F5074F1" w14:textId="77777777" w:rsidR="00753A0C" w:rsidRPr="00F07EFA" w:rsidRDefault="00753A0C" w:rsidP="00580EA4">
            <w:pPr>
              <w:numPr>
                <w:ilvl w:val="0"/>
                <w:numId w:val="113"/>
              </w:numPr>
              <w:tabs>
                <w:tab w:val="left" w:pos="420"/>
              </w:tabs>
              <w:kinsoku w:val="0"/>
              <w:overflowPunct w:val="0"/>
              <w:adjustRightInd w:val="0"/>
              <w:snapToGrid w:val="0"/>
              <w:ind w:right="106"/>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 xml:space="preserve">Where possible, use trajectories and sounder of attached buoys to assess ability of alternative designs to aggregate tuna even if they are not visited or fished by purse seiners, as well as following their lifetime if they are </w:t>
            </w:r>
            <w:r w:rsidRPr="00F07EFA">
              <w:rPr>
                <w:rFonts w:ascii="Times New Roman" w:eastAsia="Calibri" w:hAnsi="Times New Roman" w:cs="Times New Roman"/>
                <w:spacing w:val="-2"/>
                <w:sz w:val="21"/>
                <w:szCs w:val="21"/>
              </w:rPr>
              <w:t xml:space="preserve">not </w:t>
            </w:r>
            <w:r w:rsidRPr="00F07EFA">
              <w:rPr>
                <w:rFonts w:ascii="Times New Roman" w:eastAsia="Calibri" w:hAnsi="Times New Roman" w:cs="Times New Roman"/>
                <w:sz w:val="21"/>
                <w:szCs w:val="21"/>
              </w:rPr>
              <w:t>retrieved.</w:t>
            </w:r>
          </w:p>
          <w:p w14:paraId="2CA33B63" w14:textId="77777777" w:rsidR="00753A0C" w:rsidRPr="00F07EFA" w:rsidRDefault="00753A0C" w:rsidP="00580EA4">
            <w:pPr>
              <w:numPr>
                <w:ilvl w:val="0"/>
                <w:numId w:val="113"/>
              </w:numPr>
              <w:tabs>
                <w:tab w:val="left" w:pos="420"/>
              </w:tabs>
              <w:kinsoku w:val="0"/>
              <w:overflowPunct w:val="0"/>
              <w:adjustRightInd w:val="0"/>
              <w:snapToGrid w:val="0"/>
              <w:ind w:right="106"/>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 xml:space="preserve">Collaboration between industry, e.g. ISSF and the </w:t>
            </w:r>
            <w:r>
              <w:rPr>
                <w:rFonts w:ascii="Times New Roman" w:eastAsiaTheme="minorEastAsia" w:hAnsi="Times New Roman" w:cs="Times New Roman" w:hint="eastAsia"/>
                <w:sz w:val="21"/>
                <w:szCs w:val="21"/>
                <w:lang w:eastAsia="ko-KR"/>
              </w:rPr>
              <w:t>scientific</w:t>
            </w:r>
            <w:r w:rsidRPr="00F07EFA">
              <w:rPr>
                <w:rFonts w:ascii="Times New Roman" w:eastAsia="Calibri" w:hAnsi="Times New Roman" w:cs="Times New Roman"/>
                <w:sz w:val="21"/>
                <w:szCs w:val="21"/>
              </w:rPr>
              <w:t xml:space="preserve"> services provider </w:t>
            </w:r>
            <w:r w:rsidRPr="00F07EFA">
              <w:rPr>
                <w:rFonts w:ascii="Times New Roman" w:eastAsia="Calibri" w:hAnsi="Times New Roman" w:cs="Times New Roman"/>
                <w:spacing w:val="-3"/>
                <w:sz w:val="21"/>
                <w:szCs w:val="21"/>
              </w:rPr>
              <w:t xml:space="preserve">to </w:t>
            </w:r>
            <w:r w:rsidRPr="00F07EFA">
              <w:rPr>
                <w:rFonts w:ascii="Times New Roman" w:eastAsia="Calibri" w:hAnsi="Times New Roman" w:cs="Times New Roman"/>
                <w:sz w:val="21"/>
                <w:szCs w:val="21"/>
              </w:rPr>
              <w:t>collect and analyse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data.</w:t>
            </w:r>
          </w:p>
          <w:p w14:paraId="0D2A05C8" w14:textId="77777777" w:rsidR="00753A0C" w:rsidRPr="00753A0C" w:rsidRDefault="00753A0C" w:rsidP="00580EA4">
            <w:pPr>
              <w:numPr>
                <w:ilvl w:val="0"/>
                <w:numId w:val="113"/>
              </w:numPr>
              <w:tabs>
                <w:tab w:val="left" w:pos="419"/>
                <w:tab w:val="left" w:pos="420"/>
              </w:tabs>
              <w:kinsoku w:val="0"/>
              <w:overflowPunct w:val="0"/>
              <w:adjustRightInd w:val="0"/>
              <w:snapToGrid w:val="0"/>
              <w:ind w:left="419"/>
              <w:rPr>
                <w:rFonts w:ascii="Times New Roman" w:eastAsia="Calibri" w:hAnsi="Times New Roman" w:cs="Times New Roman"/>
                <w:sz w:val="21"/>
                <w:szCs w:val="21"/>
              </w:rPr>
            </w:pPr>
            <w:r w:rsidRPr="00753A0C">
              <w:rPr>
                <w:rFonts w:ascii="Times New Roman" w:eastAsia="Calibri" w:hAnsi="Times New Roman" w:cs="Times New Roman"/>
                <w:sz w:val="21"/>
                <w:szCs w:val="21"/>
              </w:rPr>
              <w:t>Collaborate with industry to identify the cost of alternative FAD designs</w:t>
            </w:r>
            <w:r w:rsidRPr="00753A0C">
              <w:rPr>
                <w:rFonts w:ascii="Times New Roman" w:eastAsiaTheme="minorEastAsia" w:hAnsi="Times New Roman" w:cs="Times New Roman" w:hint="eastAsia"/>
                <w:sz w:val="21"/>
                <w:szCs w:val="21"/>
                <w:lang w:eastAsia="ko-KR"/>
              </w:rPr>
              <w:t xml:space="preserve"> </w:t>
            </w:r>
            <w:r w:rsidRPr="00753A0C">
              <w:rPr>
                <w:rFonts w:ascii="Times New Roman" w:eastAsia="Calibri" w:hAnsi="Times New Roman" w:cs="Times New Roman"/>
                <w:sz w:val="21"/>
                <w:szCs w:val="21"/>
              </w:rPr>
              <w:t>relative to ‘standard’ designs.</w:t>
            </w:r>
          </w:p>
          <w:p w14:paraId="202C81B4" w14:textId="77777777" w:rsidR="00753A0C" w:rsidRPr="00F07EFA" w:rsidRDefault="00753A0C" w:rsidP="00753A0C">
            <w:pPr>
              <w:kinsoku w:val="0"/>
              <w:overflowPunct w:val="0"/>
              <w:adjustRightInd w:val="0"/>
              <w:snapToGrid w:val="0"/>
              <w:rPr>
                <w:rFonts w:ascii="Times New Roman" w:eastAsia="Calibri" w:hAnsi="Times New Roman" w:cs="Times New Roman"/>
                <w:sz w:val="21"/>
                <w:szCs w:val="21"/>
              </w:rPr>
            </w:pPr>
          </w:p>
          <w:p w14:paraId="6678AB22" w14:textId="77777777" w:rsidR="00753A0C" w:rsidRPr="00F07EFA" w:rsidRDefault="00753A0C" w:rsidP="00753A0C">
            <w:pPr>
              <w:tabs>
                <w:tab w:val="left" w:pos="420"/>
              </w:tabs>
              <w:kinsoku w:val="0"/>
              <w:overflowPunct w:val="0"/>
              <w:adjustRightInd w:val="0"/>
              <w:snapToGrid w:val="0"/>
              <w:ind w:right="101"/>
              <w:jc w:val="both"/>
              <w:rPr>
                <w:rFonts w:eastAsia="Calibri"/>
                <w:sz w:val="21"/>
                <w:szCs w:val="21"/>
              </w:rPr>
            </w:pPr>
            <w:r w:rsidRPr="00F07EFA">
              <w:rPr>
                <w:rFonts w:ascii="Times New Roman" w:eastAsia="Calibri" w:hAnsi="Times New Roman" w:cs="Times New Roman"/>
                <w:sz w:val="21"/>
                <w:szCs w:val="21"/>
              </w:rPr>
              <w:t>Analysis of results should be presented to WCPFC SC (approximately 2 years after the trial begins). SC and TCC of that year to provide recommendations for a draft CMM on appropriate FAD designs.</w:t>
            </w:r>
          </w:p>
        </w:tc>
      </w:tr>
      <w:tr w:rsidR="00BA3E50" w:rsidRPr="00F07EFA" w14:paraId="41EAB6C6" w14:textId="77777777" w:rsidTr="00753A0C">
        <w:trPr>
          <w:cantSplit/>
        </w:trPr>
        <w:tc>
          <w:tcPr>
            <w:tcW w:w="0" w:type="auto"/>
          </w:tcPr>
          <w:p w14:paraId="3D0359A2" w14:textId="77777777" w:rsidR="00BA3E50" w:rsidRPr="00F07EFA" w:rsidRDefault="00BA3E50"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Links to other work</w:t>
            </w:r>
          </w:p>
        </w:tc>
        <w:tc>
          <w:tcPr>
            <w:tcW w:w="0" w:type="auto"/>
          </w:tcPr>
          <w:p w14:paraId="449276F7" w14:textId="77777777" w:rsidR="00BA3E50" w:rsidRPr="00F07EFA" w:rsidRDefault="00BA3E50" w:rsidP="00753A0C">
            <w:pPr>
              <w:kinsoku w:val="0"/>
              <w:overflowPunct w:val="0"/>
              <w:adjustRightInd w:val="0"/>
              <w:snapToGrid w:val="0"/>
              <w:ind w:left="103"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Note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that</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due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nature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thermocline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in</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WCPO</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impact</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the thermocline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on</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tuna</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behaviour,</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in</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particular</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for</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bigeye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tuna,</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results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EPO may not be of specific use in the western or central</w:t>
            </w:r>
            <w:r w:rsidRPr="00F07EFA">
              <w:rPr>
                <w:rFonts w:ascii="Times New Roman" w:eastAsia="Calibri" w:hAnsi="Times New Roman" w:cs="Times New Roman"/>
                <w:spacing w:val="-18"/>
                <w:sz w:val="21"/>
                <w:szCs w:val="21"/>
              </w:rPr>
              <w:t xml:space="preserve"> </w:t>
            </w:r>
            <w:r w:rsidRPr="00F07EFA">
              <w:rPr>
                <w:rFonts w:ascii="Times New Roman" w:eastAsia="Calibri" w:hAnsi="Times New Roman" w:cs="Times New Roman"/>
                <w:sz w:val="21"/>
                <w:szCs w:val="21"/>
              </w:rPr>
              <w:t>WCPO.</w:t>
            </w:r>
          </w:p>
        </w:tc>
      </w:tr>
      <w:tr w:rsidR="00BA3E50" w:rsidRPr="00F07EFA" w14:paraId="208EE87A" w14:textId="77777777" w:rsidTr="00753A0C">
        <w:trPr>
          <w:cantSplit/>
        </w:trPr>
        <w:tc>
          <w:tcPr>
            <w:tcW w:w="0" w:type="auto"/>
          </w:tcPr>
          <w:p w14:paraId="6472A9FC" w14:textId="77777777" w:rsidR="00BA3E50" w:rsidRPr="00F07EFA" w:rsidRDefault="00BA3E50"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Timeframe</w:t>
            </w:r>
          </w:p>
        </w:tc>
        <w:tc>
          <w:tcPr>
            <w:tcW w:w="0" w:type="auto"/>
          </w:tcPr>
          <w:p w14:paraId="1DF02382" w14:textId="77777777" w:rsidR="00BA3E50" w:rsidRPr="00F07EFA" w:rsidRDefault="00BA3E50"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24 months</w:t>
            </w:r>
          </w:p>
        </w:tc>
      </w:tr>
      <w:tr w:rsidR="00BA3E50" w:rsidRPr="00F07EFA" w14:paraId="12AC9A54" w14:textId="77777777" w:rsidTr="00753A0C">
        <w:trPr>
          <w:cantSplit/>
        </w:trPr>
        <w:tc>
          <w:tcPr>
            <w:tcW w:w="0" w:type="auto"/>
          </w:tcPr>
          <w:p w14:paraId="25795748" w14:textId="77777777" w:rsidR="00BA3E50" w:rsidRPr="00F07EFA" w:rsidRDefault="00BA3E50"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Budget</w:t>
            </w:r>
          </w:p>
        </w:tc>
        <w:tc>
          <w:tcPr>
            <w:tcW w:w="0" w:type="auto"/>
          </w:tcPr>
          <w:p w14:paraId="3B161928" w14:textId="77777777" w:rsidR="00BA3E50" w:rsidRPr="00F07EFA" w:rsidRDefault="00BA3E50" w:rsidP="00753A0C">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1 year FTE at SPC (data analysis)</w:t>
            </w:r>
          </w:p>
          <w:p w14:paraId="59CFEF9E" w14:textId="77777777" w:rsidR="00BA3E50" w:rsidRPr="00F07EFA" w:rsidRDefault="00BA3E50" w:rsidP="00753A0C">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1.5 year FTE at SPC (technical and fieldwork)</w:t>
            </w:r>
          </w:p>
          <w:p w14:paraId="1928634E" w14:textId="77777777" w:rsidR="00BA3E50" w:rsidRPr="00F07EFA" w:rsidRDefault="00BA3E50" w:rsidP="00753A0C">
            <w:pPr>
              <w:kinsoku w:val="0"/>
              <w:overflowPunct w:val="0"/>
              <w:adjustRightInd w:val="0"/>
              <w:snapToGrid w:val="0"/>
              <w:ind w:left="103" w:right="1756"/>
              <w:rPr>
                <w:rFonts w:ascii="Times New Roman" w:eastAsia="Calibri" w:hAnsi="Times New Roman" w:cs="Times New Roman"/>
                <w:sz w:val="21"/>
                <w:szCs w:val="21"/>
              </w:rPr>
            </w:pPr>
            <w:r w:rsidRPr="00F07EFA">
              <w:rPr>
                <w:rFonts w:ascii="Times New Roman" w:eastAsia="Calibri" w:hAnsi="Times New Roman" w:cs="Times New Roman"/>
                <w:sz w:val="21"/>
                <w:szCs w:val="21"/>
              </w:rPr>
              <w:t>Associated travel and subsistence to relevant WCPFC meetings Project management</w:t>
            </w:r>
          </w:p>
          <w:p w14:paraId="3D76782F" w14:textId="77777777" w:rsidR="00BA3E50" w:rsidRPr="00F07EFA" w:rsidRDefault="00BA3E50" w:rsidP="00753A0C">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Observer training</w:t>
            </w:r>
          </w:p>
          <w:p w14:paraId="04ED7C8B" w14:textId="77777777" w:rsidR="00BA3E50" w:rsidRPr="00F07EFA" w:rsidRDefault="00BA3E50" w:rsidP="00753A0C">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Approximate total budget: US$526,000*</w:t>
            </w:r>
          </w:p>
          <w:p w14:paraId="25CF8F54" w14:textId="77777777" w:rsidR="00BA3E50" w:rsidRPr="00F07EFA" w:rsidRDefault="00BA3E50" w:rsidP="00753A0C">
            <w:pPr>
              <w:kinsoku w:val="0"/>
              <w:overflowPunct w:val="0"/>
              <w:adjustRightInd w:val="0"/>
              <w:snapToGrid w:val="0"/>
              <w:rPr>
                <w:rFonts w:ascii="Times New Roman" w:eastAsia="Calibri" w:hAnsi="Times New Roman" w:cs="Times New Roman"/>
                <w:sz w:val="21"/>
                <w:szCs w:val="21"/>
              </w:rPr>
            </w:pPr>
          </w:p>
          <w:p w14:paraId="26BA5126" w14:textId="77777777" w:rsidR="00BA3E50" w:rsidRPr="00F07EFA" w:rsidRDefault="00BA3E50" w:rsidP="00753A0C">
            <w:pPr>
              <w:kinsoku w:val="0"/>
              <w:overflowPunct w:val="0"/>
              <w:adjustRightInd w:val="0"/>
              <w:snapToGrid w:val="0"/>
              <w:ind w:left="103"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Note overlap with Project #1 – if both are undertaken then some personnel costs can be ‘shared’ across the two projects. (Approximate total budget if Projects 1 and 2 undertaken simultaneously:</w:t>
            </w:r>
          </w:p>
          <w:p w14:paraId="54C7EB28" w14:textId="77777777" w:rsidR="00BA3E50" w:rsidRPr="00F07EFA" w:rsidRDefault="00BA3E50" w:rsidP="00753A0C">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$871,000)</w:t>
            </w:r>
          </w:p>
          <w:p w14:paraId="14953AE5" w14:textId="77777777" w:rsidR="00BA3E50" w:rsidRPr="00F07EFA" w:rsidRDefault="00BA3E50" w:rsidP="00753A0C">
            <w:pPr>
              <w:kinsoku w:val="0"/>
              <w:overflowPunct w:val="0"/>
              <w:adjustRightInd w:val="0"/>
              <w:snapToGrid w:val="0"/>
              <w:rPr>
                <w:rFonts w:ascii="Times New Roman" w:eastAsia="Calibri" w:hAnsi="Times New Roman" w:cs="Times New Roman"/>
                <w:sz w:val="21"/>
                <w:szCs w:val="21"/>
              </w:rPr>
            </w:pPr>
          </w:p>
          <w:p w14:paraId="3C01231B" w14:textId="77777777" w:rsidR="00BA3E50" w:rsidRPr="00F07EFA" w:rsidRDefault="00BA3E50" w:rsidP="00753A0C">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 Final costings will depend on the approach undertaken within at-sea trials, including</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level</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practical</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financial</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contribution</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by</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industry.</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Note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this</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will need to include the purchase of necessary FAD materials, including marking and tracking components, temperature/depth sensors, facilitation of liaison with industry representatives, and any related</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travel.</w:t>
            </w:r>
          </w:p>
        </w:tc>
      </w:tr>
      <w:tr w:rsidR="00BA3E50" w:rsidRPr="00F07EFA" w14:paraId="0C824490" w14:textId="77777777" w:rsidTr="00753A0C">
        <w:trPr>
          <w:cantSplit/>
        </w:trPr>
        <w:tc>
          <w:tcPr>
            <w:tcW w:w="0" w:type="auto"/>
          </w:tcPr>
          <w:p w14:paraId="02A941FD" w14:textId="77777777" w:rsidR="00BA3E50" w:rsidRPr="00F07EFA" w:rsidRDefault="00BA3E50" w:rsidP="00753A0C">
            <w:pPr>
              <w:kinsoku w:val="0"/>
              <w:overflowPunct w:val="0"/>
              <w:adjustRightInd w:val="0"/>
              <w:snapToGrid w:val="0"/>
              <w:ind w:left="103" w:right="83"/>
              <w:rPr>
                <w:rFonts w:ascii="Times New Roman" w:eastAsia="Calibri" w:hAnsi="Times New Roman" w:cs="Times New Roman"/>
                <w:sz w:val="21"/>
                <w:szCs w:val="21"/>
              </w:rPr>
            </w:pPr>
            <w:r w:rsidRPr="00F07EFA">
              <w:rPr>
                <w:rFonts w:ascii="Times New Roman" w:eastAsia="Calibri" w:hAnsi="Times New Roman" w:cs="Times New Roman"/>
                <w:sz w:val="21"/>
                <w:szCs w:val="21"/>
              </w:rPr>
              <w:t>Additional considerations</w:t>
            </w:r>
          </w:p>
        </w:tc>
        <w:tc>
          <w:tcPr>
            <w:tcW w:w="0" w:type="auto"/>
          </w:tcPr>
          <w:p w14:paraId="3255469A" w14:textId="77777777" w:rsidR="00BA3E50" w:rsidRPr="00F07EFA" w:rsidRDefault="00BA3E50" w:rsidP="00753A0C">
            <w:pPr>
              <w:kinsoku w:val="0"/>
              <w:overflowPunct w:val="0"/>
              <w:adjustRightInd w:val="0"/>
              <w:snapToGrid w:val="0"/>
              <w:ind w:left="103"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This project will necessitate additional data collection by fisheries observers, irrespective of whether it relates to additional trials, or, extension. This has consequence for forms, data management and observer training.</w:t>
            </w:r>
          </w:p>
        </w:tc>
      </w:tr>
      <w:tr w:rsidR="00BA3E50" w:rsidRPr="00F07EFA" w14:paraId="3CAA9F27" w14:textId="77777777" w:rsidTr="00753A0C">
        <w:trPr>
          <w:cantSplit/>
        </w:trPr>
        <w:tc>
          <w:tcPr>
            <w:tcW w:w="0" w:type="auto"/>
          </w:tcPr>
          <w:p w14:paraId="7C8CFEC8" w14:textId="77777777" w:rsidR="00BA3E50" w:rsidRPr="00F07EFA" w:rsidRDefault="00BA3E50" w:rsidP="00753A0C">
            <w:pPr>
              <w:kinsoku w:val="0"/>
              <w:overflowPunct w:val="0"/>
              <w:adjustRightInd w:val="0"/>
              <w:snapToGrid w:val="0"/>
              <w:rPr>
                <w:rFonts w:ascii="Times New Roman" w:eastAsia="Calibri" w:hAnsi="Times New Roman" w:cs="Times New Roman"/>
                <w:sz w:val="21"/>
                <w:szCs w:val="21"/>
              </w:rPr>
            </w:pPr>
          </w:p>
        </w:tc>
        <w:tc>
          <w:tcPr>
            <w:tcW w:w="0" w:type="auto"/>
          </w:tcPr>
          <w:p w14:paraId="481740E2" w14:textId="77777777" w:rsidR="00BA3E50" w:rsidRPr="00F07EFA" w:rsidRDefault="00BA3E50" w:rsidP="00753A0C">
            <w:pPr>
              <w:kinsoku w:val="0"/>
              <w:overflowPunct w:val="0"/>
              <w:adjustRightInd w:val="0"/>
              <w:snapToGrid w:val="0"/>
              <w:ind w:left="103" w:right="98"/>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 field work component of this research may require additional data collection on catch composition for specific sets from a trip (with the catch kept separated and subject to a census in port).</w:t>
            </w:r>
          </w:p>
          <w:p w14:paraId="3F20EC41" w14:textId="77777777" w:rsidR="00BA3E50" w:rsidRPr="00F07EFA" w:rsidRDefault="00BA3E50" w:rsidP="00753A0C">
            <w:pPr>
              <w:kinsoku w:val="0"/>
              <w:overflowPunct w:val="0"/>
              <w:adjustRightInd w:val="0"/>
              <w:snapToGrid w:val="0"/>
              <w:rPr>
                <w:rFonts w:ascii="Times New Roman" w:eastAsia="Calibri" w:hAnsi="Times New Roman" w:cs="Times New Roman"/>
                <w:sz w:val="21"/>
                <w:szCs w:val="21"/>
              </w:rPr>
            </w:pPr>
          </w:p>
          <w:p w14:paraId="6D143E65" w14:textId="77777777" w:rsidR="00BA3E50" w:rsidRPr="00F07EFA" w:rsidRDefault="00BA3E50" w:rsidP="00753A0C">
            <w:pPr>
              <w:kinsoku w:val="0"/>
              <w:overflowPunct w:val="0"/>
              <w:adjustRightInd w:val="0"/>
              <w:snapToGrid w:val="0"/>
              <w:ind w:left="103" w:right="105"/>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There may be the potential to geo-fence FADs used in these trials with special requirements around reporting and access to enhance the data collected.</w:t>
            </w:r>
          </w:p>
        </w:tc>
      </w:tr>
    </w:tbl>
    <w:p w14:paraId="78A87BBF" w14:textId="77777777" w:rsidR="00BA3E50" w:rsidRPr="00F07EFA" w:rsidRDefault="00BA3E50" w:rsidP="00241619">
      <w:pPr>
        <w:widowControl w:val="0"/>
        <w:kinsoku w:val="0"/>
        <w:overflowPunct w:val="0"/>
        <w:autoSpaceDE w:val="0"/>
        <w:autoSpaceDN w:val="0"/>
        <w:adjustRightInd w:val="0"/>
        <w:snapToGrid w:val="0"/>
        <w:rPr>
          <w:rFonts w:eastAsia="Malgun Gothic"/>
          <w:b/>
          <w:color w:val="000000"/>
          <w:sz w:val="21"/>
          <w:szCs w:val="21"/>
          <w:lang w:eastAsia="ko-KR"/>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83"/>
        <w:gridCol w:w="7687"/>
      </w:tblGrid>
      <w:tr w:rsidR="00BA3E50" w:rsidRPr="00F07EFA" w14:paraId="0EBE3A6A" w14:textId="77777777" w:rsidTr="00F07EFA">
        <w:tc>
          <w:tcPr>
            <w:tcW w:w="898" w:type="pct"/>
            <w:shd w:val="clear" w:color="auto" w:fill="92D050"/>
            <w:vAlign w:val="center"/>
          </w:tcPr>
          <w:p w14:paraId="72A053C2" w14:textId="77777777" w:rsidR="00BA3E50" w:rsidRPr="00F07EFA" w:rsidRDefault="00BA3E50" w:rsidP="00241619">
            <w:pPr>
              <w:kinsoku w:val="0"/>
              <w:overflowPunct w:val="0"/>
              <w:adjustRightInd w:val="0"/>
              <w:snapToGrid w:val="0"/>
              <w:ind w:left="103"/>
              <w:rPr>
                <w:rFonts w:ascii="Times New Roman" w:eastAsia="Malgun Gothic" w:hAnsi="Times New Roman" w:cs="Times New Roman"/>
                <w:b/>
                <w:sz w:val="21"/>
                <w:szCs w:val="21"/>
                <w:lang w:eastAsia="ko-KR"/>
              </w:rPr>
            </w:pPr>
            <w:r w:rsidRPr="00F07EFA">
              <w:rPr>
                <w:rFonts w:ascii="Times New Roman" w:eastAsia="Malgun Gothic" w:hAnsi="Times New Roman" w:cs="Times New Roman"/>
                <w:b/>
                <w:caps/>
                <w:sz w:val="21"/>
                <w:szCs w:val="21"/>
                <w:lang w:eastAsia="ko-KR"/>
              </w:rPr>
              <w:t xml:space="preserve">PROJECT </w:t>
            </w:r>
            <w:r w:rsidRPr="00F07EFA">
              <w:rPr>
                <w:rFonts w:ascii="Times New Roman" w:eastAsia="Malgun Gothic" w:hAnsi="Times New Roman" w:cs="Times New Roman"/>
                <w:b/>
                <w:sz w:val="21"/>
                <w:szCs w:val="21"/>
                <w:lang w:eastAsia="ko-KR"/>
              </w:rPr>
              <w:t>88</w:t>
            </w:r>
            <w:r w:rsidRPr="00F07EFA">
              <w:rPr>
                <w:rFonts w:ascii="Times New Roman" w:eastAsia="Calibri" w:hAnsi="Times New Roman" w:cs="Times New Roman"/>
                <w:b/>
                <w:sz w:val="21"/>
                <w:szCs w:val="21"/>
              </w:rPr>
              <w:t xml:space="preserve"> </w:t>
            </w:r>
          </w:p>
          <w:p w14:paraId="0BBA1F9B" w14:textId="77777777" w:rsidR="00BA3E50" w:rsidRPr="00F07EFA" w:rsidRDefault="00BA3E50" w:rsidP="00241619">
            <w:pPr>
              <w:kinsoku w:val="0"/>
              <w:overflowPunct w:val="0"/>
              <w:adjustRightInd w:val="0"/>
              <w:snapToGrid w:val="0"/>
              <w:ind w:left="103"/>
              <w:rPr>
                <w:rFonts w:ascii="Times New Roman" w:eastAsia="Malgun Gothic" w:hAnsi="Times New Roman" w:cs="Times New Roman"/>
                <w:b/>
                <w:sz w:val="21"/>
                <w:szCs w:val="21"/>
                <w:lang w:eastAsia="ko-KR"/>
              </w:rPr>
            </w:pPr>
            <w:r w:rsidRPr="00F07EFA">
              <w:rPr>
                <w:rFonts w:ascii="Times New Roman" w:eastAsia="Calibri" w:hAnsi="Times New Roman" w:cs="Times New Roman"/>
                <w:b/>
                <w:sz w:val="21"/>
                <w:szCs w:val="21"/>
              </w:rPr>
              <w:t>FAD Project #3</w:t>
            </w:r>
          </w:p>
        </w:tc>
        <w:tc>
          <w:tcPr>
            <w:tcW w:w="4102" w:type="pct"/>
            <w:shd w:val="clear" w:color="auto" w:fill="92D050"/>
            <w:vAlign w:val="center"/>
          </w:tcPr>
          <w:p w14:paraId="7E5B46F6" w14:textId="77777777" w:rsidR="00BA3E50" w:rsidRPr="00F07EFA" w:rsidRDefault="00BA3E50" w:rsidP="00241619">
            <w:pPr>
              <w:kinsoku w:val="0"/>
              <w:overflowPunct w:val="0"/>
              <w:adjustRightInd w:val="0"/>
              <w:snapToGrid w:val="0"/>
              <w:ind w:left="103"/>
              <w:rPr>
                <w:rFonts w:ascii="Times New Roman" w:eastAsia="Calibri" w:hAnsi="Times New Roman" w:cs="Times New Roman"/>
                <w:b/>
                <w:sz w:val="21"/>
                <w:szCs w:val="21"/>
              </w:rPr>
            </w:pPr>
            <w:r w:rsidRPr="00F07EFA">
              <w:rPr>
                <w:rFonts w:ascii="Times New Roman" w:eastAsia="Calibri" w:hAnsi="Times New Roman" w:cs="Times New Roman"/>
                <w:b/>
                <w:sz w:val="21"/>
                <w:szCs w:val="21"/>
              </w:rPr>
              <w:t>Acoustic FAD analyses</w:t>
            </w:r>
          </w:p>
        </w:tc>
      </w:tr>
      <w:tr w:rsidR="00BA3E50" w:rsidRPr="00F07EFA" w14:paraId="558DDACC" w14:textId="77777777" w:rsidTr="00F07EFA">
        <w:tc>
          <w:tcPr>
            <w:tcW w:w="898" w:type="pct"/>
          </w:tcPr>
          <w:p w14:paraId="32D3AF7A"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Objectives</w:t>
            </w:r>
          </w:p>
        </w:tc>
        <w:tc>
          <w:tcPr>
            <w:tcW w:w="4102" w:type="pct"/>
          </w:tcPr>
          <w:p w14:paraId="7DFFB348"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Identify whether limiting sets to only those FADs that have a large biomass beneath them can reduce the proportion of ‘non-target’ species caught.</w:t>
            </w:r>
          </w:p>
        </w:tc>
      </w:tr>
      <w:tr w:rsidR="00BA3E50" w:rsidRPr="00F07EFA" w14:paraId="0E61B8D9" w14:textId="77777777" w:rsidTr="00F07EFA">
        <w:tc>
          <w:tcPr>
            <w:tcW w:w="898" w:type="pct"/>
          </w:tcPr>
          <w:p w14:paraId="3E0FB7E0"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Rationale</w:t>
            </w:r>
          </w:p>
        </w:tc>
        <w:tc>
          <w:tcPr>
            <w:tcW w:w="4102" w:type="pct"/>
          </w:tcPr>
          <w:p w14:paraId="7C0DD833" w14:textId="77777777" w:rsidR="00BA3E50" w:rsidRPr="00F07EFA" w:rsidRDefault="00BA3E50" w:rsidP="00580EA4">
            <w:pPr>
              <w:numPr>
                <w:ilvl w:val="0"/>
                <w:numId w:val="112"/>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Larger purse seine sets on FADs tend to have higher proportions of skipjack</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commensurately</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lower</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proportions</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yellowfin</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bigeye (Lawson 2008,</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WCPFC-SC-4-ST-WP3).</w:t>
            </w:r>
          </w:p>
          <w:p w14:paraId="3A2C15D6" w14:textId="77777777" w:rsidR="00BA3E50" w:rsidRPr="00F07EFA" w:rsidRDefault="00BA3E50" w:rsidP="00580EA4">
            <w:pPr>
              <w:numPr>
                <w:ilvl w:val="0"/>
                <w:numId w:val="112"/>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Acoustic data from echo-sounder buoys can provide, given sufficient equipment,</w:t>
            </w:r>
            <w:r w:rsidRPr="00F07EFA">
              <w:rPr>
                <w:rFonts w:ascii="Times New Roman" w:eastAsia="Calibri" w:hAnsi="Times New Roman" w:cs="Times New Roman"/>
                <w:spacing w:val="-17"/>
                <w:sz w:val="21"/>
                <w:szCs w:val="21"/>
              </w:rPr>
              <w:t xml:space="preserve"> </w:t>
            </w:r>
            <w:r w:rsidRPr="00F07EFA">
              <w:rPr>
                <w:rFonts w:ascii="Times New Roman" w:eastAsia="Calibri" w:hAnsi="Times New Roman" w:cs="Times New Roman"/>
                <w:sz w:val="21"/>
                <w:szCs w:val="21"/>
              </w:rPr>
              <w:t>environmental</w:t>
            </w:r>
            <w:r w:rsidRPr="00F07EFA">
              <w:rPr>
                <w:rFonts w:ascii="Times New Roman" w:eastAsia="Calibri" w:hAnsi="Times New Roman" w:cs="Times New Roman"/>
                <w:spacing w:val="-20"/>
                <w:sz w:val="21"/>
                <w:szCs w:val="21"/>
              </w:rPr>
              <w:t xml:space="preserve"> </w:t>
            </w:r>
            <w:r w:rsidRPr="00F07EFA">
              <w:rPr>
                <w:rFonts w:ascii="Times New Roman" w:eastAsia="Calibri" w:hAnsi="Times New Roman" w:cs="Times New Roman"/>
                <w:sz w:val="21"/>
                <w:szCs w:val="21"/>
              </w:rPr>
              <w:t>conditions</w:t>
            </w:r>
            <w:r w:rsidRPr="00F07EFA">
              <w:rPr>
                <w:rFonts w:ascii="Times New Roman" w:eastAsia="Calibri" w:hAnsi="Times New Roman" w:cs="Times New Roman"/>
                <w:spacing w:val="-17"/>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interpretation</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skills,</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sufficient information on the biomass of tuna under a</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FAD.</w:t>
            </w:r>
          </w:p>
          <w:p w14:paraId="484E8F94" w14:textId="77777777" w:rsidR="00BA3E50" w:rsidRPr="00F07EFA" w:rsidRDefault="00BA3E50" w:rsidP="00580EA4">
            <w:pPr>
              <w:numPr>
                <w:ilvl w:val="0"/>
                <w:numId w:val="112"/>
              </w:numPr>
              <w:tabs>
                <w:tab w:val="left" w:pos="420"/>
              </w:tabs>
              <w:kinsoku w:val="0"/>
              <w:overflowPunct w:val="0"/>
              <w:adjustRightInd w:val="0"/>
              <w:snapToGrid w:val="0"/>
              <w:ind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Acoustic</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information</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has</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shown</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promise</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for</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discriminating</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skipjack</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from other species, if not yet routinely using commercial fishing equipment. However, there is a need to identify signals that discriminate other species within the WCPO, building on existing work by ISSF in this</w:t>
            </w:r>
            <w:r w:rsidRPr="00F07EFA">
              <w:rPr>
                <w:rFonts w:ascii="Times New Roman" w:eastAsia="Calibri" w:hAnsi="Times New Roman" w:cs="Times New Roman"/>
                <w:spacing w:val="-27"/>
                <w:sz w:val="21"/>
                <w:szCs w:val="21"/>
              </w:rPr>
              <w:t xml:space="preserve"> </w:t>
            </w:r>
            <w:r w:rsidRPr="00F07EFA">
              <w:rPr>
                <w:rFonts w:ascii="Times New Roman" w:eastAsia="Calibri" w:hAnsi="Times New Roman" w:cs="Times New Roman"/>
                <w:sz w:val="21"/>
                <w:szCs w:val="21"/>
              </w:rPr>
              <w:t>area.</w:t>
            </w:r>
          </w:p>
          <w:p w14:paraId="08E6FCA2" w14:textId="77777777" w:rsidR="00BA3E50" w:rsidRPr="00F07EFA" w:rsidRDefault="00BA3E50" w:rsidP="00580EA4">
            <w:pPr>
              <w:numPr>
                <w:ilvl w:val="0"/>
                <w:numId w:val="112"/>
              </w:numPr>
              <w:tabs>
                <w:tab w:val="left" w:pos="420"/>
              </w:tabs>
              <w:kinsoku w:val="0"/>
              <w:overflowPunct w:val="0"/>
              <w:adjustRightInd w:val="0"/>
              <w:snapToGrid w:val="0"/>
              <w:ind w:right="104"/>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Acoustic</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information</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has</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also</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suggested</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some</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ability</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differentiate</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fish sizes.</w:t>
            </w:r>
          </w:p>
          <w:p w14:paraId="20767A7E" w14:textId="77777777" w:rsidR="00BA3E50" w:rsidRPr="00F07EFA" w:rsidRDefault="00BA3E50" w:rsidP="00580EA4">
            <w:pPr>
              <w:numPr>
                <w:ilvl w:val="0"/>
                <w:numId w:val="112"/>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 acquisition of acoustic FAD data has the potential to provide</w:t>
            </w:r>
            <w:r w:rsidRPr="00F07EFA">
              <w:rPr>
                <w:rFonts w:ascii="Times New Roman" w:eastAsia="Calibri" w:hAnsi="Times New Roman" w:cs="Times New Roman"/>
                <w:spacing w:val="-27"/>
                <w:sz w:val="21"/>
                <w:szCs w:val="21"/>
              </w:rPr>
              <w:t xml:space="preserve"> </w:t>
            </w:r>
            <w:r w:rsidRPr="00F07EFA">
              <w:rPr>
                <w:rFonts w:ascii="Times New Roman" w:eastAsia="Calibri" w:hAnsi="Times New Roman" w:cs="Times New Roman"/>
                <w:sz w:val="21"/>
                <w:szCs w:val="21"/>
              </w:rPr>
              <w:t>insight into dynamics of the interaction between tuna and</w:t>
            </w:r>
            <w:r w:rsidRPr="00F07EFA">
              <w:rPr>
                <w:rFonts w:ascii="Times New Roman" w:eastAsia="Calibri" w:hAnsi="Times New Roman" w:cs="Times New Roman"/>
                <w:spacing w:val="-17"/>
                <w:sz w:val="21"/>
                <w:szCs w:val="21"/>
              </w:rPr>
              <w:t xml:space="preserve"> </w:t>
            </w:r>
            <w:r w:rsidRPr="00F07EFA">
              <w:rPr>
                <w:rFonts w:ascii="Times New Roman" w:eastAsia="Calibri" w:hAnsi="Times New Roman" w:cs="Times New Roman"/>
                <w:sz w:val="21"/>
                <w:szCs w:val="21"/>
              </w:rPr>
              <w:t>FADs.</w:t>
            </w:r>
          </w:p>
          <w:p w14:paraId="7C45EA9E" w14:textId="77777777" w:rsidR="00BA3E50" w:rsidRPr="00F07EFA" w:rsidRDefault="00BA3E50" w:rsidP="00580EA4">
            <w:pPr>
              <w:numPr>
                <w:ilvl w:val="0"/>
                <w:numId w:val="112"/>
              </w:numPr>
              <w:tabs>
                <w:tab w:val="left" w:pos="420"/>
              </w:tabs>
              <w:kinsoku w:val="0"/>
              <w:overflowPunct w:val="0"/>
              <w:adjustRightInd w:val="0"/>
              <w:snapToGrid w:val="0"/>
              <w:ind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Information could inform FAD design options, FAD deployment, remote identification of size and abundance of tuna under echo-sounder- equipped FADs, and spatial management</w:t>
            </w:r>
            <w:r w:rsidRPr="00F07EFA">
              <w:rPr>
                <w:rFonts w:ascii="Times New Roman" w:eastAsia="Calibri" w:hAnsi="Times New Roman" w:cs="Times New Roman"/>
                <w:spacing w:val="-21"/>
                <w:sz w:val="21"/>
                <w:szCs w:val="21"/>
              </w:rPr>
              <w:t xml:space="preserve"> </w:t>
            </w:r>
            <w:r w:rsidRPr="00F07EFA">
              <w:rPr>
                <w:rFonts w:ascii="Times New Roman" w:eastAsia="Calibri" w:hAnsi="Times New Roman" w:cs="Times New Roman"/>
                <w:sz w:val="21"/>
                <w:szCs w:val="21"/>
              </w:rPr>
              <w:t>considerations.</w:t>
            </w:r>
          </w:p>
          <w:p w14:paraId="2146AE1B" w14:textId="77777777" w:rsidR="00BA3E50" w:rsidRPr="00F07EFA" w:rsidRDefault="00BA3E50" w:rsidP="00580EA4">
            <w:pPr>
              <w:numPr>
                <w:ilvl w:val="0"/>
                <w:numId w:val="112"/>
              </w:numPr>
              <w:tabs>
                <w:tab w:val="left" w:pos="420"/>
              </w:tabs>
              <w:kinsoku w:val="0"/>
              <w:overflowPunct w:val="0"/>
              <w:adjustRightInd w:val="0"/>
              <w:snapToGrid w:val="0"/>
              <w:ind w:right="106"/>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Incentivising limiting setting activity to only FADs with large biomass could reduce the proportion of non-target species</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caught.</w:t>
            </w:r>
          </w:p>
          <w:p w14:paraId="2F91FB48" w14:textId="77777777" w:rsidR="00BA3E50" w:rsidRPr="00F07EFA" w:rsidRDefault="00BA3E50" w:rsidP="00580EA4">
            <w:pPr>
              <w:numPr>
                <w:ilvl w:val="0"/>
                <w:numId w:val="112"/>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In addition, acoustic FAD data could provide ‘ground truthing’ for the effective soak time of FADs, stock assessment biomass estimates (see SC12-SA-IP-14), FAD density effects on movement and catch rates of target</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spp.</w:t>
            </w:r>
          </w:p>
        </w:tc>
      </w:tr>
      <w:tr w:rsidR="00BA3E50" w:rsidRPr="00F07EFA" w14:paraId="3A374F1B" w14:textId="77777777" w:rsidTr="00F07EFA">
        <w:tc>
          <w:tcPr>
            <w:tcW w:w="898" w:type="pct"/>
          </w:tcPr>
          <w:p w14:paraId="55FD1F71"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Assumptions</w:t>
            </w:r>
          </w:p>
        </w:tc>
        <w:tc>
          <w:tcPr>
            <w:tcW w:w="4102" w:type="pct"/>
          </w:tcPr>
          <w:p w14:paraId="6AAC1E3F" w14:textId="77777777" w:rsidR="00BA3E50" w:rsidRPr="00F07EFA" w:rsidRDefault="00BA3E50" w:rsidP="00580EA4">
            <w:pPr>
              <w:numPr>
                <w:ilvl w:val="0"/>
                <w:numId w:val="111"/>
              </w:numPr>
              <w:tabs>
                <w:tab w:val="left" w:pos="420"/>
              </w:tabs>
              <w:kinsoku w:val="0"/>
              <w:overflowPunct w:val="0"/>
              <w:adjustRightInd w:val="0"/>
              <w:snapToGrid w:val="0"/>
              <w:ind w:right="104"/>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There is a consistent relationship between biomass levels on FADs and</w:t>
            </w:r>
            <w:r w:rsidR="00753A0C">
              <w:rPr>
                <w:rFonts w:ascii="Times New Roman" w:eastAsiaTheme="minorEastAsia" w:hAnsi="Times New Roman" w:cs="Times New Roman" w:hint="eastAsia"/>
                <w:sz w:val="21"/>
                <w:szCs w:val="21"/>
                <w:lang w:eastAsia="ko-KR"/>
              </w:rPr>
              <w:t xml:space="preserve"> </w:t>
            </w:r>
            <w:r w:rsidRPr="00F07EFA">
              <w:rPr>
                <w:rFonts w:ascii="Times New Roman" w:eastAsia="Calibri" w:hAnsi="Times New Roman" w:cs="Times New Roman"/>
                <w:sz w:val="21"/>
                <w:szCs w:val="21"/>
              </w:rPr>
              <w:t>tuna species composition across the WCPO, as indicated in Lawson (2008),</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SC</w:t>
            </w:r>
            <w:r w:rsidR="00347BA9">
              <w:rPr>
                <w:rFonts w:ascii="Times New Roman" w:eastAsia="Calibri" w:hAnsi="Times New Roman" w:cs="Times New Roman"/>
                <w:sz w:val="21"/>
                <w:szCs w:val="21"/>
              </w:rPr>
              <w:t>1</w:t>
            </w:r>
            <w:r w:rsidRPr="00F07EFA">
              <w:rPr>
                <w:rFonts w:ascii="Times New Roman" w:eastAsia="Calibri" w:hAnsi="Times New Roman" w:cs="Times New Roman"/>
                <w:sz w:val="21"/>
                <w:szCs w:val="21"/>
              </w:rPr>
              <w:t>4-ST-WP3.</w:t>
            </w:r>
          </w:p>
          <w:p w14:paraId="68113BD0" w14:textId="77777777" w:rsidR="00BA3E50" w:rsidRPr="00F07EFA" w:rsidRDefault="00BA3E50" w:rsidP="00580EA4">
            <w:pPr>
              <w:numPr>
                <w:ilvl w:val="0"/>
                <w:numId w:val="111"/>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Biomass can be accurately assessed through acoustic buoys, noting that it depends on the equipment used, environmental conditions and the interpretational skills of the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user.</w:t>
            </w:r>
          </w:p>
          <w:p w14:paraId="78308E19" w14:textId="77777777" w:rsidR="00BA3E50" w:rsidRPr="00F07EFA" w:rsidRDefault="00BA3E50" w:rsidP="00580EA4">
            <w:pPr>
              <w:numPr>
                <w:ilvl w:val="0"/>
                <w:numId w:val="111"/>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Existing acoustic information can be made available for analysis, combined with sufficient information to relate that information to a setting</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event.</w:t>
            </w:r>
          </w:p>
          <w:p w14:paraId="79C858BA" w14:textId="77777777" w:rsidR="00BA3E50" w:rsidRPr="00F07EFA" w:rsidRDefault="00BA3E50" w:rsidP="00580EA4">
            <w:pPr>
              <w:numPr>
                <w:ilvl w:val="0"/>
                <w:numId w:val="111"/>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Target</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strength</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information</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other</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studies</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is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sufficiently</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robust</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and comparable to that in the WCPO that it can be used</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directly.</w:t>
            </w:r>
          </w:p>
          <w:p w14:paraId="1600DD52" w14:textId="77777777" w:rsidR="00BA3E50" w:rsidRPr="00F07EFA" w:rsidRDefault="00BA3E50" w:rsidP="00580EA4">
            <w:pPr>
              <w:numPr>
                <w:ilvl w:val="0"/>
                <w:numId w:val="111"/>
              </w:numPr>
              <w:tabs>
                <w:tab w:val="left" w:pos="420"/>
              </w:tabs>
              <w:kinsoku w:val="0"/>
              <w:overflowPunct w:val="0"/>
              <w:adjustRightInd w:val="0"/>
              <w:snapToGrid w:val="0"/>
              <w:ind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analysis</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can</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undertaken</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over</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sufficient</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space/time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ensure</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any influences of those factors can be examined</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statistically.</w:t>
            </w:r>
          </w:p>
        </w:tc>
      </w:tr>
      <w:tr w:rsidR="00753A0C" w:rsidRPr="00F07EFA" w14:paraId="7789E103" w14:textId="77777777" w:rsidTr="00260D83">
        <w:tc>
          <w:tcPr>
            <w:tcW w:w="898" w:type="pct"/>
          </w:tcPr>
          <w:p w14:paraId="76E2A11D" w14:textId="77777777" w:rsidR="00753A0C" w:rsidRPr="00F07EFA" w:rsidRDefault="00753A0C"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Scope</w:t>
            </w:r>
          </w:p>
        </w:tc>
        <w:tc>
          <w:tcPr>
            <w:tcW w:w="4102" w:type="pct"/>
          </w:tcPr>
          <w:p w14:paraId="6F4BBB5C" w14:textId="77777777" w:rsidR="00753A0C" w:rsidRPr="00F07EFA" w:rsidRDefault="00753A0C" w:rsidP="00241619">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 scope of work is divided into three stages. The ability to undertake the second stage will depend on access to existing data, in particular acoustic biomass estimates, and the ability to relate set-level events to FAD-specific acoustic data.</w:t>
            </w:r>
          </w:p>
          <w:p w14:paraId="475FB2EE" w14:textId="77777777"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14:paraId="3D602DB3" w14:textId="77777777" w:rsidR="00753A0C" w:rsidRPr="00F07EFA" w:rsidRDefault="00753A0C" w:rsidP="00753A0C">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i/>
                <w:sz w:val="21"/>
                <w:szCs w:val="21"/>
              </w:rPr>
              <w:t xml:space="preserve">Stage 1. Examination of existing data to investigate the relationship between total biomass/catch and the proportion of small bigeye/yellowfin </w:t>
            </w:r>
            <w:r w:rsidRPr="00F07EFA">
              <w:rPr>
                <w:rFonts w:ascii="Times New Roman" w:eastAsia="Calibri" w:hAnsi="Times New Roman" w:cs="Times New Roman"/>
                <w:sz w:val="21"/>
                <w:szCs w:val="21"/>
              </w:rPr>
              <w:t>Based upon existing combined logsheet/observer data from FAD sets, investigate  the  relationship  between  total  biomass/catch  size  and   the</w:t>
            </w:r>
            <w:r>
              <w:rPr>
                <w:rFonts w:ascii="Times New Roman" w:eastAsiaTheme="minorEastAsia" w:hAnsi="Times New Roman" w:cs="Times New Roman" w:hint="eastAsia"/>
                <w:sz w:val="21"/>
                <w:szCs w:val="21"/>
                <w:lang w:eastAsia="ko-KR"/>
              </w:rPr>
              <w:t xml:space="preserve"> </w:t>
            </w:r>
            <w:r w:rsidRPr="00F07EFA">
              <w:rPr>
                <w:rFonts w:ascii="Times New Roman" w:eastAsia="Calibri" w:hAnsi="Times New Roman" w:cs="Times New Roman"/>
                <w:sz w:val="21"/>
                <w:szCs w:val="21"/>
              </w:rPr>
              <w:t>degree of small bigeye/yellowfin, both spatially and temporally within the WCPO. Based upon these analyses, identify the level of definition required by echo-sounder buoys to render this strategy effective.</w:t>
            </w:r>
          </w:p>
          <w:p w14:paraId="2DC612AE" w14:textId="77777777"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14:paraId="22C77135" w14:textId="77777777" w:rsidR="00753A0C" w:rsidRPr="00F07EFA" w:rsidRDefault="00753A0C" w:rsidP="00241619">
            <w:pPr>
              <w:kinsoku w:val="0"/>
              <w:overflowPunct w:val="0"/>
              <w:adjustRightInd w:val="0"/>
              <w:snapToGrid w:val="0"/>
              <w:ind w:left="103"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In addition, review available information on the vertical behaviour of individuals of different sizes relative to e.g. thermoclines, to examine whether a depth layer can be used to discriminate between species/sizes.</w:t>
            </w:r>
          </w:p>
          <w:p w14:paraId="584EC97B" w14:textId="77777777"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14:paraId="61945B9B" w14:textId="77777777" w:rsidR="00753A0C" w:rsidRPr="00F07EFA" w:rsidRDefault="00753A0C" w:rsidP="00241619">
            <w:pPr>
              <w:kinsoku w:val="0"/>
              <w:overflowPunct w:val="0"/>
              <w:adjustRightInd w:val="0"/>
              <w:snapToGrid w:val="0"/>
              <w:ind w:left="103" w:right="100"/>
              <w:jc w:val="both"/>
              <w:rPr>
                <w:rFonts w:ascii="Times New Roman" w:eastAsia="Calibri" w:hAnsi="Times New Roman" w:cs="Times New Roman"/>
                <w:i/>
                <w:sz w:val="21"/>
                <w:szCs w:val="21"/>
              </w:rPr>
            </w:pPr>
            <w:r w:rsidRPr="00F07EFA">
              <w:rPr>
                <w:rFonts w:ascii="Times New Roman" w:eastAsia="Calibri" w:hAnsi="Times New Roman" w:cs="Times New Roman"/>
                <w:i/>
                <w:sz w:val="21"/>
                <w:szCs w:val="21"/>
              </w:rPr>
              <w:t>Stage</w:t>
            </w:r>
            <w:r w:rsidRPr="00F07EFA">
              <w:rPr>
                <w:rFonts w:ascii="Times New Roman" w:eastAsia="Calibri" w:hAnsi="Times New Roman" w:cs="Times New Roman"/>
                <w:i/>
                <w:spacing w:val="-16"/>
                <w:sz w:val="21"/>
                <w:szCs w:val="21"/>
              </w:rPr>
              <w:t xml:space="preserve"> </w:t>
            </w:r>
            <w:r w:rsidRPr="00F07EFA">
              <w:rPr>
                <w:rFonts w:ascii="Times New Roman" w:eastAsia="Calibri" w:hAnsi="Times New Roman" w:cs="Times New Roman"/>
                <w:i/>
                <w:sz w:val="21"/>
                <w:szCs w:val="21"/>
              </w:rPr>
              <w:t>2.</w:t>
            </w:r>
            <w:r w:rsidRPr="00F07EFA">
              <w:rPr>
                <w:rFonts w:ascii="Times New Roman" w:eastAsia="Calibri" w:hAnsi="Times New Roman" w:cs="Times New Roman"/>
                <w:i/>
                <w:spacing w:val="-15"/>
                <w:sz w:val="21"/>
                <w:szCs w:val="21"/>
              </w:rPr>
              <w:t xml:space="preserve"> </w:t>
            </w:r>
            <w:r w:rsidRPr="00F07EFA">
              <w:rPr>
                <w:rFonts w:ascii="Times New Roman" w:eastAsia="Calibri" w:hAnsi="Times New Roman" w:cs="Times New Roman"/>
                <w:i/>
                <w:sz w:val="21"/>
                <w:szCs w:val="21"/>
              </w:rPr>
              <w:t>Examination</w:t>
            </w:r>
            <w:r w:rsidRPr="00F07EFA">
              <w:rPr>
                <w:rFonts w:ascii="Times New Roman" w:eastAsia="Calibri" w:hAnsi="Times New Roman" w:cs="Times New Roman"/>
                <w:i/>
                <w:spacing w:val="-16"/>
                <w:sz w:val="21"/>
                <w:szCs w:val="21"/>
              </w:rPr>
              <w:t xml:space="preserve"> </w:t>
            </w:r>
            <w:r w:rsidRPr="00F07EFA">
              <w:rPr>
                <w:rFonts w:ascii="Times New Roman" w:eastAsia="Calibri" w:hAnsi="Times New Roman" w:cs="Times New Roman"/>
                <w:i/>
                <w:sz w:val="21"/>
                <w:szCs w:val="21"/>
              </w:rPr>
              <w:t>of</w:t>
            </w:r>
            <w:r w:rsidRPr="00F07EFA">
              <w:rPr>
                <w:rFonts w:ascii="Times New Roman" w:eastAsia="Calibri" w:hAnsi="Times New Roman" w:cs="Times New Roman"/>
                <w:i/>
                <w:spacing w:val="-15"/>
                <w:sz w:val="21"/>
                <w:szCs w:val="21"/>
              </w:rPr>
              <w:t xml:space="preserve"> </w:t>
            </w:r>
            <w:r w:rsidRPr="00F07EFA">
              <w:rPr>
                <w:rFonts w:ascii="Times New Roman" w:eastAsia="Calibri" w:hAnsi="Times New Roman" w:cs="Times New Roman"/>
                <w:i/>
                <w:sz w:val="21"/>
                <w:szCs w:val="21"/>
              </w:rPr>
              <w:t>existing</w:t>
            </w:r>
            <w:r w:rsidRPr="00F07EFA">
              <w:rPr>
                <w:rFonts w:ascii="Times New Roman" w:eastAsia="Calibri" w:hAnsi="Times New Roman" w:cs="Times New Roman"/>
                <w:i/>
                <w:spacing w:val="-16"/>
                <w:sz w:val="21"/>
                <w:szCs w:val="21"/>
              </w:rPr>
              <w:t xml:space="preserve"> </w:t>
            </w:r>
            <w:r w:rsidRPr="00F07EFA">
              <w:rPr>
                <w:rFonts w:ascii="Times New Roman" w:eastAsia="Calibri" w:hAnsi="Times New Roman" w:cs="Times New Roman"/>
                <w:i/>
                <w:sz w:val="21"/>
                <w:szCs w:val="21"/>
              </w:rPr>
              <w:t>(historical)</w:t>
            </w:r>
            <w:r w:rsidRPr="00F07EFA">
              <w:rPr>
                <w:rFonts w:ascii="Times New Roman" w:eastAsia="Calibri" w:hAnsi="Times New Roman" w:cs="Times New Roman"/>
                <w:i/>
                <w:spacing w:val="-16"/>
                <w:sz w:val="21"/>
                <w:szCs w:val="21"/>
              </w:rPr>
              <w:t xml:space="preserve"> </w:t>
            </w:r>
            <w:r w:rsidRPr="00F07EFA">
              <w:rPr>
                <w:rFonts w:ascii="Times New Roman" w:eastAsia="Calibri" w:hAnsi="Times New Roman" w:cs="Times New Roman"/>
                <w:i/>
                <w:sz w:val="21"/>
                <w:szCs w:val="21"/>
              </w:rPr>
              <w:t>observer-based</w:t>
            </w:r>
            <w:r w:rsidRPr="00F07EFA">
              <w:rPr>
                <w:rFonts w:ascii="Times New Roman" w:eastAsia="Calibri" w:hAnsi="Times New Roman" w:cs="Times New Roman"/>
                <w:i/>
                <w:spacing w:val="-15"/>
                <w:sz w:val="21"/>
                <w:szCs w:val="21"/>
              </w:rPr>
              <w:t xml:space="preserve"> </w:t>
            </w:r>
            <w:r w:rsidRPr="00F07EFA">
              <w:rPr>
                <w:rFonts w:ascii="Times New Roman" w:eastAsia="Calibri" w:hAnsi="Times New Roman" w:cs="Times New Roman"/>
                <w:i/>
                <w:sz w:val="21"/>
                <w:szCs w:val="21"/>
              </w:rPr>
              <w:t>FAD</w:t>
            </w:r>
            <w:r w:rsidRPr="00F07EFA">
              <w:rPr>
                <w:rFonts w:ascii="Times New Roman" w:eastAsia="Calibri" w:hAnsi="Times New Roman" w:cs="Times New Roman"/>
                <w:i/>
                <w:spacing w:val="-16"/>
                <w:sz w:val="21"/>
                <w:szCs w:val="21"/>
              </w:rPr>
              <w:t xml:space="preserve"> </w:t>
            </w:r>
            <w:r w:rsidRPr="00F07EFA">
              <w:rPr>
                <w:rFonts w:ascii="Times New Roman" w:eastAsia="Calibri" w:hAnsi="Times New Roman" w:cs="Times New Roman"/>
                <w:i/>
                <w:sz w:val="21"/>
                <w:szCs w:val="21"/>
              </w:rPr>
              <w:t>set</w:t>
            </w:r>
            <w:r w:rsidRPr="00F07EFA">
              <w:rPr>
                <w:rFonts w:ascii="Times New Roman" w:eastAsia="Calibri" w:hAnsi="Times New Roman" w:cs="Times New Roman"/>
                <w:i/>
                <w:spacing w:val="-16"/>
                <w:sz w:val="21"/>
                <w:szCs w:val="21"/>
              </w:rPr>
              <w:t xml:space="preserve"> </w:t>
            </w:r>
            <w:r w:rsidRPr="00F07EFA">
              <w:rPr>
                <w:rFonts w:ascii="Times New Roman" w:eastAsia="Calibri" w:hAnsi="Times New Roman" w:cs="Times New Roman"/>
                <w:i/>
                <w:sz w:val="21"/>
                <w:szCs w:val="21"/>
              </w:rPr>
              <w:t>data</w:t>
            </w:r>
            <w:r w:rsidRPr="00F07EFA">
              <w:rPr>
                <w:rFonts w:ascii="Times New Roman" w:eastAsia="Calibri" w:hAnsi="Times New Roman" w:cs="Times New Roman"/>
                <w:i/>
                <w:spacing w:val="-15"/>
                <w:sz w:val="21"/>
                <w:szCs w:val="21"/>
              </w:rPr>
              <w:t xml:space="preserve"> </w:t>
            </w:r>
            <w:r w:rsidRPr="00F07EFA">
              <w:rPr>
                <w:rFonts w:ascii="Times New Roman" w:eastAsia="Calibri" w:hAnsi="Times New Roman" w:cs="Times New Roman"/>
                <w:i/>
                <w:sz w:val="21"/>
                <w:szCs w:val="21"/>
              </w:rPr>
              <w:t>and echo-sounder buoy</w:t>
            </w:r>
            <w:r w:rsidRPr="00F07EFA">
              <w:rPr>
                <w:rFonts w:ascii="Times New Roman" w:eastAsia="Calibri" w:hAnsi="Times New Roman" w:cs="Times New Roman"/>
                <w:i/>
                <w:spacing w:val="-8"/>
                <w:sz w:val="21"/>
                <w:szCs w:val="21"/>
              </w:rPr>
              <w:t xml:space="preserve"> </w:t>
            </w:r>
            <w:r w:rsidRPr="00F07EFA">
              <w:rPr>
                <w:rFonts w:ascii="Times New Roman" w:eastAsia="Calibri" w:hAnsi="Times New Roman" w:cs="Times New Roman"/>
                <w:i/>
                <w:sz w:val="21"/>
                <w:szCs w:val="21"/>
              </w:rPr>
              <w:t>data</w:t>
            </w:r>
          </w:p>
          <w:p w14:paraId="138B470B" w14:textId="77777777" w:rsidR="00753A0C" w:rsidRPr="00F07EFA" w:rsidRDefault="00753A0C" w:rsidP="00241619">
            <w:pPr>
              <w:kinsoku w:val="0"/>
              <w:overflowPunct w:val="0"/>
              <w:adjustRightInd w:val="0"/>
              <w:snapToGrid w:val="0"/>
              <w:ind w:left="103"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Where data are available to link an observed FAD set event to acoustic information, compare the most appropriate set-level overall catch and corresponding species composition to available acoustic information. Where data allow, further compare to relevant operational factors (e.g. location, FAD and vessel information, regional FAD density, etc.) to identify potential relationships.</w:t>
            </w:r>
          </w:p>
          <w:p w14:paraId="61311C87" w14:textId="77777777"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14:paraId="34205557" w14:textId="77777777" w:rsidR="00753A0C" w:rsidRPr="00F07EFA" w:rsidRDefault="00753A0C" w:rsidP="00241619">
            <w:pPr>
              <w:kinsoku w:val="0"/>
              <w:overflowPunct w:val="0"/>
              <w:adjustRightInd w:val="0"/>
              <w:snapToGrid w:val="0"/>
              <w:ind w:left="103" w:right="102"/>
              <w:jc w:val="both"/>
              <w:rPr>
                <w:rFonts w:ascii="Times New Roman" w:eastAsia="Calibri" w:hAnsi="Times New Roman" w:cs="Times New Roman"/>
                <w:i/>
                <w:sz w:val="21"/>
                <w:szCs w:val="21"/>
              </w:rPr>
            </w:pPr>
            <w:r w:rsidRPr="00F07EFA">
              <w:rPr>
                <w:rFonts w:ascii="Times New Roman" w:eastAsia="Calibri" w:hAnsi="Times New Roman" w:cs="Times New Roman"/>
                <w:i/>
                <w:sz w:val="21"/>
                <w:szCs w:val="21"/>
              </w:rPr>
              <w:t>Stage 2. Undertake at-sea experimental fishing trials to identify effective acoustic equipment and operational approaches</w:t>
            </w:r>
          </w:p>
          <w:p w14:paraId="5776AC77" w14:textId="77777777" w:rsidR="00753A0C" w:rsidRPr="00F07EFA" w:rsidRDefault="00753A0C" w:rsidP="00241619">
            <w:pPr>
              <w:kinsoku w:val="0"/>
              <w:overflowPunct w:val="0"/>
              <w:adjustRightInd w:val="0"/>
              <w:snapToGrid w:val="0"/>
              <w:ind w:left="103"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In collaboration with industry, and building on outputs from Stages 1 and</w:t>
            </w:r>
            <w:r w:rsidRPr="00F07EFA">
              <w:rPr>
                <w:rFonts w:ascii="Times New Roman" w:eastAsia="Calibri" w:hAnsi="Times New Roman" w:cs="Times New Roman"/>
                <w:spacing w:val="-34"/>
                <w:sz w:val="21"/>
                <w:szCs w:val="21"/>
              </w:rPr>
              <w:t xml:space="preserve"> </w:t>
            </w:r>
            <w:r w:rsidRPr="00F07EFA">
              <w:rPr>
                <w:rFonts w:ascii="Times New Roman" w:eastAsia="Calibri" w:hAnsi="Times New Roman" w:cs="Times New Roman"/>
                <w:sz w:val="21"/>
                <w:szCs w:val="21"/>
              </w:rPr>
              <w:t>2, design and implement a limited fishing trial of current and alternative cutting-edge</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acoustic</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gear/settings</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(e.g.</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multi-frequency)</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obtain</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acoustic information on FAD-associated tuna biomass and species/size composition, and related fishing trials to ‘ground-truth’ that information based upon resulting catches. Gaining target strength measurements for single schools (in particular of yellowfin) will be particularly important. Trials should be sufficiently extensive to examine the influence of spatial and potentially oceanographic</w:t>
            </w:r>
            <w:r w:rsidRPr="00F07EFA">
              <w:rPr>
                <w:rFonts w:ascii="Times New Roman" w:eastAsia="Calibri" w:hAnsi="Times New Roman" w:cs="Times New Roman"/>
                <w:spacing w:val="-2"/>
                <w:sz w:val="21"/>
                <w:szCs w:val="21"/>
              </w:rPr>
              <w:t xml:space="preserve"> </w:t>
            </w:r>
            <w:r w:rsidRPr="00F07EFA">
              <w:rPr>
                <w:rFonts w:ascii="Times New Roman" w:eastAsia="Calibri" w:hAnsi="Times New Roman" w:cs="Times New Roman"/>
                <w:sz w:val="21"/>
                <w:szCs w:val="21"/>
              </w:rPr>
              <w:t>factors.</w:t>
            </w:r>
          </w:p>
          <w:p w14:paraId="7EC34477" w14:textId="77777777"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14:paraId="2426975F" w14:textId="77777777" w:rsidR="00753A0C" w:rsidRPr="00F07EFA" w:rsidRDefault="00753A0C" w:rsidP="00241619">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Analyses of results from each stage should be presented to WCPFC SC for scientific review and where relevant for the consideration of advice to TCC and the Commission.</w:t>
            </w:r>
          </w:p>
        </w:tc>
      </w:tr>
      <w:tr w:rsidR="00BA3E50" w:rsidRPr="00F07EFA" w14:paraId="469EF63B" w14:textId="77777777" w:rsidTr="00F07EFA">
        <w:tc>
          <w:tcPr>
            <w:tcW w:w="898" w:type="pct"/>
          </w:tcPr>
          <w:p w14:paraId="7F8A378E"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Timeframe</w:t>
            </w:r>
          </w:p>
        </w:tc>
        <w:tc>
          <w:tcPr>
            <w:tcW w:w="4102" w:type="pct"/>
          </w:tcPr>
          <w:p w14:paraId="7482525F"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Approximately 36 months (see below)</w:t>
            </w:r>
          </w:p>
        </w:tc>
      </w:tr>
      <w:tr w:rsidR="00BA3E50" w:rsidRPr="00F07EFA" w14:paraId="30A298F2" w14:textId="77777777" w:rsidTr="00F07EFA">
        <w:tc>
          <w:tcPr>
            <w:tcW w:w="898" w:type="pct"/>
          </w:tcPr>
          <w:p w14:paraId="5B5908AD"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Budget</w:t>
            </w:r>
          </w:p>
        </w:tc>
        <w:tc>
          <w:tcPr>
            <w:tcW w:w="4102" w:type="pct"/>
          </w:tcPr>
          <w:p w14:paraId="01AECD7D" w14:textId="77777777" w:rsidR="00BA3E50" w:rsidRPr="00F07EFA" w:rsidRDefault="00BA3E50"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Stage 1</w:t>
            </w:r>
          </w:p>
          <w:p w14:paraId="2A0DD275" w14:textId="77777777" w:rsidR="00BA3E50" w:rsidRPr="00F07EFA" w:rsidRDefault="00BA3E50" w:rsidP="00241619">
            <w:pPr>
              <w:kinsoku w:val="0"/>
              <w:overflowPunct w:val="0"/>
              <w:adjustRightInd w:val="0"/>
              <w:snapToGrid w:val="0"/>
              <w:ind w:left="103" w:right="5121"/>
              <w:rPr>
                <w:rFonts w:ascii="Times New Roman" w:eastAsia="Calibri" w:hAnsi="Times New Roman" w:cs="Times New Roman"/>
                <w:sz w:val="21"/>
                <w:szCs w:val="21"/>
              </w:rPr>
            </w:pPr>
            <w:r w:rsidRPr="00F07EFA">
              <w:rPr>
                <w:rFonts w:ascii="Times New Roman" w:eastAsia="Calibri" w:hAnsi="Times New Roman" w:cs="Times New Roman"/>
                <w:sz w:val="21"/>
                <w:szCs w:val="21"/>
              </w:rPr>
              <w:t>1.5 year FTE at SPC USD$182,000</w:t>
            </w:r>
          </w:p>
          <w:p w14:paraId="6F4FA620" w14:textId="77777777" w:rsidR="00BA3E50" w:rsidRPr="00F07EFA" w:rsidRDefault="00BA3E50" w:rsidP="00241619">
            <w:pPr>
              <w:kinsoku w:val="0"/>
              <w:overflowPunct w:val="0"/>
              <w:adjustRightInd w:val="0"/>
              <w:snapToGrid w:val="0"/>
              <w:ind w:left="103" w:right="1214"/>
              <w:rPr>
                <w:rFonts w:ascii="Times New Roman" w:eastAsia="Calibri" w:hAnsi="Times New Roman" w:cs="Times New Roman"/>
                <w:sz w:val="21"/>
                <w:szCs w:val="21"/>
              </w:rPr>
            </w:pPr>
            <w:r w:rsidRPr="00F07EFA">
              <w:rPr>
                <w:rFonts w:ascii="Times New Roman" w:eastAsia="Calibri" w:hAnsi="Times New Roman" w:cs="Times New Roman"/>
                <w:sz w:val="21"/>
                <w:szCs w:val="21"/>
              </w:rPr>
              <w:t>Associated travel and subsistence to relevant WCPFC meetings USD$10,000</w:t>
            </w:r>
          </w:p>
          <w:p w14:paraId="5DA4FF60" w14:textId="77777777"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14:paraId="1DE5F97E" w14:textId="77777777" w:rsidR="00BA3E50" w:rsidRPr="00F07EFA" w:rsidRDefault="00BA3E50"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Stage 2</w:t>
            </w:r>
          </w:p>
          <w:p w14:paraId="1AA114AB" w14:textId="77777777" w:rsidR="00BA3E50" w:rsidRPr="00F07EFA" w:rsidRDefault="00BA3E50" w:rsidP="00241619">
            <w:pPr>
              <w:kinsoku w:val="0"/>
              <w:overflowPunct w:val="0"/>
              <w:adjustRightInd w:val="0"/>
              <w:snapToGrid w:val="0"/>
              <w:ind w:left="103" w:right="104"/>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Not costed at this time. It is likely to be on the scale of project one or two, but</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there</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may</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some</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other</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cost</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savings</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made</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by</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incorporating</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some fieldwork into the 2018 or 2020 tag research</w:t>
            </w:r>
            <w:r w:rsidRPr="00F07EFA">
              <w:rPr>
                <w:rFonts w:ascii="Times New Roman" w:eastAsia="Calibri" w:hAnsi="Times New Roman" w:cs="Times New Roman"/>
                <w:spacing w:val="-20"/>
                <w:sz w:val="21"/>
                <w:szCs w:val="21"/>
              </w:rPr>
              <w:t xml:space="preserve"> </w:t>
            </w:r>
            <w:r w:rsidRPr="00F07EFA">
              <w:rPr>
                <w:rFonts w:ascii="Times New Roman" w:eastAsia="Calibri" w:hAnsi="Times New Roman" w:cs="Times New Roman"/>
                <w:sz w:val="21"/>
                <w:szCs w:val="21"/>
              </w:rPr>
              <w:t>voyages.</w:t>
            </w:r>
          </w:p>
        </w:tc>
      </w:tr>
      <w:tr w:rsidR="00BA3E50" w:rsidRPr="00F07EFA" w14:paraId="2A425D3D" w14:textId="77777777" w:rsidTr="00F07EFA">
        <w:tc>
          <w:tcPr>
            <w:tcW w:w="898" w:type="pct"/>
          </w:tcPr>
          <w:p w14:paraId="68D257ED" w14:textId="77777777" w:rsidR="00BA3E50" w:rsidRPr="00F07EFA" w:rsidRDefault="00BA3E50" w:rsidP="00241619">
            <w:pPr>
              <w:kinsoku w:val="0"/>
              <w:overflowPunct w:val="0"/>
              <w:adjustRightInd w:val="0"/>
              <w:snapToGrid w:val="0"/>
              <w:ind w:left="103" w:right="83"/>
              <w:rPr>
                <w:rFonts w:ascii="Times New Roman" w:eastAsia="Calibri" w:hAnsi="Times New Roman" w:cs="Times New Roman"/>
                <w:sz w:val="21"/>
                <w:szCs w:val="21"/>
              </w:rPr>
            </w:pPr>
            <w:r w:rsidRPr="00F07EFA">
              <w:rPr>
                <w:rFonts w:ascii="Times New Roman" w:eastAsia="Calibri" w:hAnsi="Times New Roman" w:cs="Times New Roman"/>
                <w:sz w:val="21"/>
                <w:szCs w:val="21"/>
              </w:rPr>
              <w:t>Additional considerations</w:t>
            </w:r>
          </w:p>
        </w:tc>
        <w:tc>
          <w:tcPr>
            <w:tcW w:w="4102" w:type="pct"/>
          </w:tcPr>
          <w:p w14:paraId="6883FB08" w14:textId="77777777" w:rsidR="00BA3E50" w:rsidRPr="00F07EFA" w:rsidRDefault="00BA3E50" w:rsidP="00241619">
            <w:pPr>
              <w:kinsoku w:val="0"/>
              <w:overflowPunct w:val="0"/>
              <w:adjustRightInd w:val="0"/>
              <w:snapToGrid w:val="0"/>
              <w:ind w:left="103"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If this proceeds to a fieldwork stage, additional input on the design of the at-sea component should include consideration of concurrent data collection in the context of tuna foraging and links to ecosystem modelling (e.g. SEAPODYM).</w:t>
            </w:r>
          </w:p>
        </w:tc>
      </w:tr>
    </w:tbl>
    <w:p w14:paraId="4EFFC640" w14:textId="77777777" w:rsidR="00BA3E50" w:rsidRPr="00F07EFA" w:rsidRDefault="00BA3E50" w:rsidP="00241619">
      <w:pPr>
        <w:widowControl w:val="0"/>
        <w:kinsoku w:val="0"/>
        <w:overflowPunct w:val="0"/>
        <w:autoSpaceDE w:val="0"/>
        <w:autoSpaceDN w:val="0"/>
        <w:adjustRightInd w:val="0"/>
        <w:snapToGrid w:val="0"/>
        <w:rPr>
          <w:rFonts w:eastAsia="Calibri"/>
          <w:sz w:val="21"/>
          <w:szCs w:val="21"/>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66"/>
        <w:gridCol w:w="7704"/>
      </w:tblGrid>
      <w:tr w:rsidR="00BA3E50" w:rsidRPr="00F07EFA" w14:paraId="25EE5C03" w14:textId="77777777" w:rsidTr="004B6F4C">
        <w:tc>
          <w:tcPr>
            <w:tcW w:w="889" w:type="pct"/>
            <w:shd w:val="clear" w:color="auto" w:fill="92D050"/>
            <w:vAlign w:val="center"/>
          </w:tcPr>
          <w:p w14:paraId="45655DF7" w14:textId="77777777" w:rsidR="00BA3E50" w:rsidRPr="00F07EFA" w:rsidRDefault="00BA3E50" w:rsidP="00241619">
            <w:pPr>
              <w:kinsoku w:val="0"/>
              <w:overflowPunct w:val="0"/>
              <w:adjustRightInd w:val="0"/>
              <w:snapToGrid w:val="0"/>
              <w:ind w:left="103"/>
              <w:rPr>
                <w:rFonts w:ascii="Times New Roman" w:eastAsia="Malgun Gothic" w:hAnsi="Times New Roman" w:cs="Times New Roman"/>
                <w:b/>
                <w:sz w:val="21"/>
                <w:szCs w:val="21"/>
                <w:lang w:eastAsia="ko-KR"/>
              </w:rPr>
            </w:pPr>
            <w:r w:rsidRPr="00F07EFA">
              <w:rPr>
                <w:rFonts w:ascii="Times New Roman" w:eastAsia="Malgun Gothic" w:hAnsi="Times New Roman" w:cs="Times New Roman"/>
                <w:b/>
                <w:caps/>
                <w:sz w:val="21"/>
                <w:szCs w:val="21"/>
                <w:lang w:eastAsia="ko-KR"/>
              </w:rPr>
              <w:t xml:space="preserve">PROJECT </w:t>
            </w:r>
            <w:r w:rsidRPr="00F07EFA">
              <w:rPr>
                <w:rFonts w:ascii="Times New Roman" w:eastAsia="Malgun Gothic" w:hAnsi="Times New Roman" w:cs="Times New Roman"/>
                <w:b/>
                <w:sz w:val="21"/>
                <w:szCs w:val="21"/>
                <w:lang w:eastAsia="ko-KR"/>
              </w:rPr>
              <w:t>89</w:t>
            </w:r>
            <w:r w:rsidRPr="00F07EFA">
              <w:rPr>
                <w:rFonts w:ascii="Times New Roman" w:eastAsia="Calibri" w:hAnsi="Times New Roman" w:cs="Times New Roman"/>
                <w:b/>
                <w:sz w:val="21"/>
                <w:szCs w:val="21"/>
              </w:rPr>
              <w:t xml:space="preserve"> </w:t>
            </w:r>
          </w:p>
          <w:p w14:paraId="5CD2A8F7" w14:textId="77777777" w:rsidR="00BA3E50" w:rsidRPr="00F07EFA" w:rsidRDefault="00BA3E50" w:rsidP="00241619">
            <w:pPr>
              <w:kinsoku w:val="0"/>
              <w:overflowPunct w:val="0"/>
              <w:adjustRightInd w:val="0"/>
              <w:snapToGrid w:val="0"/>
              <w:ind w:left="103"/>
              <w:rPr>
                <w:rFonts w:ascii="Times New Roman" w:eastAsia="Malgun Gothic" w:hAnsi="Times New Roman" w:cs="Times New Roman"/>
                <w:b/>
                <w:sz w:val="21"/>
                <w:szCs w:val="21"/>
                <w:lang w:eastAsia="ko-KR"/>
              </w:rPr>
            </w:pPr>
            <w:r w:rsidRPr="00F07EFA">
              <w:rPr>
                <w:rFonts w:ascii="Times New Roman" w:eastAsia="Calibri" w:hAnsi="Times New Roman" w:cs="Times New Roman"/>
                <w:b/>
                <w:sz w:val="21"/>
                <w:szCs w:val="21"/>
              </w:rPr>
              <w:t>FAD Project #4</w:t>
            </w:r>
          </w:p>
        </w:tc>
        <w:tc>
          <w:tcPr>
            <w:tcW w:w="4111" w:type="pct"/>
            <w:shd w:val="clear" w:color="auto" w:fill="92D050"/>
            <w:vAlign w:val="center"/>
          </w:tcPr>
          <w:p w14:paraId="18A8FC93" w14:textId="77777777" w:rsidR="00BA3E50" w:rsidRPr="00F07EFA" w:rsidRDefault="00BA3E50" w:rsidP="00241619">
            <w:pPr>
              <w:kinsoku w:val="0"/>
              <w:overflowPunct w:val="0"/>
              <w:adjustRightInd w:val="0"/>
              <w:snapToGrid w:val="0"/>
              <w:ind w:left="103"/>
              <w:rPr>
                <w:rFonts w:ascii="Times New Roman" w:eastAsia="Calibri" w:hAnsi="Times New Roman" w:cs="Times New Roman"/>
                <w:b/>
                <w:sz w:val="21"/>
                <w:szCs w:val="21"/>
              </w:rPr>
            </w:pPr>
            <w:r w:rsidRPr="00F07EFA">
              <w:rPr>
                <w:rFonts w:ascii="Times New Roman" w:eastAsia="Calibri" w:hAnsi="Times New Roman" w:cs="Times New Roman"/>
                <w:b/>
                <w:sz w:val="21"/>
                <w:szCs w:val="21"/>
              </w:rPr>
              <w:t>Fleet behaviour</w:t>
            </w:r>
          </w:p>
        </w:tc>
      </w:tr>
      <w:tr w:rsidR="00BA3E50" w:rsidRPr="00F07EFA" w14:paraId="54B7BF2D" w14:textId="77777777" w:rsidTr="004B6F4C">
        <w:tc>
          <w:tcPr>
            <w:tcW w:w="889" w:type="pct"/>
          </w:tcPr>
          <w:p w14:paraId="444C92F1"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Objectives</w:t>
            </w:r>
          </w:p>
        </w:tc>
        <w:tc>
          <w:tcPr>
            <w:tcW w:w="4111" w:type="pct"/>
          </w:tcPr>
          <w:p w14:paraId="48ADF5B3"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Characterisation of effort creep due to FAD use and fleet specific factors resulting in large catches of ‘non-target’ species.</w:t>
            </w:r>
          </w:p>
        </w:tc>
      </w:tr>
      <w:tr w:rsidR="00BA3E50" w:rsidRPr="00F07EFA" w14:paraId="271FE92E" w14:textId="77777777" w:rsidTr="004B6F4C">
        <w:tc>
          <w:tcPr>
            <w:tcW w:w="889" w:type="pct"/>
          </w:tcPr>
          <w:p w14:paraId="282DF173"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Rationale</w:t>
            </w:r>
          </w:p>
        </w:tc>
        <w:tc>
          <w:tcPr>
            <w:tcW w:w="4111" w:type="pct"/>
          </w:tcPr>
          <w:p w14:paraId="059482ED" w14:textId="77777777" w:rsidR="00BA3E50" w:rsidRPr="00F07EFA" w:rsidRDefault="00BA3E50" w:rsidP="00580EA4">
            <w:pPr>
              <w:numPr>
                <w:ilvl w:val="0"/>
                <w:numId w:val="110"/>
              </w:numPr>
              <w:tabs>
                <w:tab w:val="left" w:pos="420"/>
              </w:tabs>
              <w:kinsoku w:val="0"/>
              <w:overflowPunct w:val="0"/>
              <w:adjustRightInd w:val="0"/>
              <w:snapToGrid w:val="0"/>
              <w:ind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Understanding</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how</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rapid</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developments</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in</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FAD</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technology</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their</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use within the WCPO can influence FAD-related catch rates will provide additional information for key stock assessments and the harvest strategy approach, and scientific advice that can inform discussions under future tropical tuna</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CMMs.</w:t>
            </w:r>
          </w:p>
          <w:p w14:paraId="2D6F6FC7" w14:textId="77777777" w:rsidR="00BA3E50" w:rsidRPr="00F07EFA" w:rsidRDefault="00BA3E50" w:rsidP="00580EA4">
            <w:pPr>
              <w:numPr>
                <w:ilvl w:val="0"/>
                <w:numId w:val="110"/>
              </w:numPr>
              <w:tabs>
                <w:tab w:val="left" w:pos="420"/>
              </w:tabs>
              <w:kinsoku w:val="0"/>
              <w:overflowPunct w:val="0"/>
              <w:adjustRightInd w:val="0"/>
              <w:snapToGrid w:val="0"/>
              <w:ind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Analyses will complement activities currently underway on PNA FAD tracking and those undertaken through the EU-funded ‘BET hotspot’ analysis presented to</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SC13.</w:t>
            </w:r>
          </w:p>
        </w:tc>
      </w:tr>
      <w:tr w:rsidR="00BA3E50" w:rsidRPr="00F07EFA" w14:paraId="7FB6A494" w14:textId="77777777" w:rsidTr="004B6F4C">
        <w:tc>
          <w:tcPr>
            <w:tcW w:w="889" w:type="pct"/>
          </w:tcPr>
          <w:p w14:paraId="0E4152EB"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Assumptions</w:t>
            </w:r>
          </w:p>
        </w:tc>
        <w:tc>
          <w:tcPr>
            <w:tcW w:w="4111" w:type="pct"/>
          </w:tcPr>
          <w:p w14:paraId="7B16C69A" w14:textId="77777777" w:rsidR="00BA3E50" w:rsidRPr="00F07EFA" w:rsidRDefault="00BA3E50" w:rsidP="00580EA4">
            <w:pPr>
              <w:numPr>
                <w:ilvl w:val="0"/>
                <w:numId w:val="109"/>
              </w:numPr>
              <w:tabs>
                <w:tab w:val="left" w:pos="419"/>
                <w:tab w:val="left" w:pos="420"/>
              </w:tabs>
              <w:kinsoku w:val="0"/>
              <w:overflowPunct w:val="0"/>
              <w:adjustRightInd w:val="0"/>
              <w:snapToGrid w:val="0"/>
              <w:rPr>
                <w:rFonts w:ascii="Times New Roman" w:eastAsia="Calibri" w:hAnsi="Times New Roman" w:cs="Times New Roman"/>
                <w:sz w:val="21"/>
                <w:szCs w:val="21"/>
              </w:rPr>
            </w:pPr>
            <w:r w:rsidRPr="00F07EFA">
              <w:rPr>
                <w:rFonts w:ascii="Times New Roman" w:eastAsia="Calibri" w:hAnsi="Times New Roman" w:cs="Times New Roman"/>
                <w:sz w:val="21"/>
                <w:szCs w:val="21"/>
              </w:rPr>
              <w:t>Sufficient data on FAD design and technology are available for</w:t>
            </w:r>
            <w:r w:rsidRPr="00F07EFA">
              <w:rPr>
                <w:rFonts w:ascii="Times New Roman" w:eastAsia="Calibri" w:hAnsi="Times New Roman" w:cs="Times New Roman"/>
                <w:spacing w:val="-22"/>
                <w:sz w:val="21"/>
                <w:szCs w:val="21"/>
              </w:rPr>
              <w:t xml:space="preserve"> </w:t>
            </w:r>
            <w:r w:rsidRPr="00F07EFA">
              <w:rPr>
                <w:rFonts w:ascii="Times New Roman" w:eastAsia="Calibri" w:hAnsi="Times New Roman" w:cs="Times New Roman"/>
                <w:sz w:val="21"/>
                <w:szCs w:val="21"/>
              </w:rPr>
              <w:t>analysis.</w:t>
            </w:r>
          </w:p>
          <w:p w14:paraId="33CDFBDB" w14:textId="77777777" w:rsidR="00BA3E50" w:rsidRPr="00F07EFA" w:rsidRDefault="00BA3E50" w:rsidP="00580EA4">
            <w:pPr>
              <w:numPr>
                <w:ilvl w:val="0"/>
                <w:numId w:val="109"/>
              </w:numPr>
              <w:tabs>
                <w:tab w:val="left" w:pos="419"/>
                <w:tab w:val="left" w:pos="420"/>
              </w:tabs>
              <w:kinsoku w:val="0"/>
              <w:overflowPunct w:val="0"/>
              <w:adjustRightInd w:val="0"/>
              <w:snapToGrid w:val="0"/>
              <w:rPr>
                <w:rFonts w:ascii="Times New Roman" w:eastAsia="Calibri" w:hAnsi="Times New Roman" w:cs="Times New Roman"/>
                <w:sz w:val="21"/>
                <w:szCs w:val="21"/>
              </w:rPr>
            </w:pPr>
            <w:r w:rsidRPr="00F07EFA">
              <w:rPr>
                <w:rFonts w:ascii="Times New Roman" w:eastAsia="Calibri" w:hAnsi="Times New Roman" w:cs="Times New Roman"/>
                <w:sz w:val="21"/>
                <w:szCs w:val="21"/>
              </w:rPr>
              <w:t>Sufficient time series of data are available to support</w:t>
            </w:r>
            <w:r w:rsidRPr="00F07EFA">
              <w:rPr>
                <w:rFonts w:ascii="Times New Roman" w:eastAsia="Calibri" w:hAnsi="Times New Roman" w:cs="Times New Roman"/>
                <w:spacing w:val="-20"/>
                <w:sz w:val="21"/>
                <w:szCs w:val="21"/>
              </w:rPr>
              <w:t xml:space="preserve"> </w:t>
            </w:r>
            <w:r w:rsidRPr="00F07EFA">
              <w:rPr>
                <w:rFonts w:ascii="Times New Roman" w:eastAsia="Calibri" w:hAnsi="Times New Roman" w:cs="Times New Roman"/>
                <w:sz w:val="21"/>
                <w:szCs w:val="21"/>
              </w:rPr>
              <w:t>analyses.</w:t>
            </w:r>
          </w:p>
          <w:p w14:paraId="0043C86B" w14:textId="77777777" w:rsidR="00BA3E50" w:rsidRPr="00F07EFA" w:rsidRDefault="00BA3E50" w:rsidP="00580EA4">
            <w:pPr>
              <w:numPr>
                <w:ilvl w:val="0"/>
                <w:numId w:val="109"/>
              </w:numPr>
              <w:tabs>
                <w:tab w:val="left" w:pos="419"/>
                <w:tab w:val="left" w:pos="420"/>
              </w:tabs>
              <w:kinsoku w:val="0"/>
              <w:overflowPunct w:val="0"/>
              <w:adjustRightInd w:val="0"/>
              <w:snapToGrid w:val="0"/>
              <w:ind w:right="104"/>
              <w:rPr>
                <w:rFonts w:ascii="Times New Roman" w:eastAsia="Calibri" w:hAnsi="Times New Roman" w:cs="Times New Roman"/>
                <w:sz w:val="21"/>
                <w:szCs w:val="21"/>
              </w:rPr>
            </w:pPr>
            <w:r w:rsidRPr="00F07EFA">
              <w:rPr>
                <w:rFonts w:ascii="Times New Roman" w:eastAsia="Calibri" w:hAnsi="Times New Roman" w:cs="Times New Roman"/>
                <w:sz w:val="21"/>
                <w:szCs w:val="21"/>
              </w:rPr>
              <w:t>Information is sufficiently detailed and accurate to allow analyses to be performed.</w:t>
            </w:r>
          </w:p>
          <w:p w14:paraId="436C6BC4" w14:textId="77777777" w:rsidR="00BA3E50" w:rsidRPr="00F07EFA" w:rsidRDefault="00BA3E50" w:rsidP="00580EA4">
            <w:pPr>
              <w:numPr>
                <w:ilvl w:val="0"/>
                <w:numId w:val="109"/>
              </w:numPr>
              <w:tabs>
                <w:tab w:val="left" w:pos="419"/>
                <w:tab w:val="left" w:pos="420"/>
              </w:tabs>
              <w:kinsoku w:val="0"/>
              <w:overflowPunct w:val="0"/>
              <w:adjustRightInd w:val="0"/>
              <w:snapToGrid w:val="0"/>
              <w:ind w:right="99"/>
              <w:rPr>
                <w:rFonts w:ascii="Times New Roman" w:eastAsia="Calibri" w:hAnsi="Times New Roman" w:cs="Times New Roman"/>
                <w:sz w:val="21"/>
                <w:szCs w:val="21"/>
              </w:rPr>
            </w:pPr>
            <w:r w:rsidRPr="00F07EFA">
              <w:rPr>
                <w:rFonts w:ascii="Times New Roman" w:eastAsia="Calibri" w:hAnsi="Times New Roman" w:cs="Times New Roman"/>
                <w:sz w:val="21"/>
                <w:szCs w:val="21"/>
              </w:rPr>
              <w:t>Fishing sets can be related to specific FADs and associated FAD/vessel technological</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information.</w:t>
            </w:r>
          </w:p>
          <w:p w14:paraId="316F0F34" w14:textId="77777777" w:rsidR="00BA3E50" w:rsidRPr="00F07EFA" w:rsidRDefault="00BA3E50" w:rsidP="00580EA4">
            <w:pPr>
              <w:numPr>
                <w:ilvl w:val="0"/>
                <w:numId w:val="109"/>
              </w:numPr>
              <w:tabs>
                <w:tab w:val="left" w:pos="419"/>
                <w:tab w:val="left" w:pos="420"/>
              </w:tabs>
              <w:kinsoku w:val="0"/>
              <w:overflowPunct w:val="0"/>
              <w:adjustRightInd w:val="0"/>
              <w:snapToGrid w:val="0"/>
              <w:rPr>
                <w:rFonts w:ascii="Times New Roman" w:eastAsia="Calibri" w:hAnsi="Times New Roman" w:cs="Times New Roman"/>
                <w:sz w:val="21"/>
                <w:szCs w:val="21"/>
              </w:rPr>
            </w:pPr>
            <w:r w:rsidRPr="00F07EFA">
              <w:rPr>
                <w:rFonts w:ascii="Times New Roman" w:eastAsia="Calibri" w:hAnsi="Times New Roman" w:cs="Times New Roman"/>
                <w:sz w:val="21"/>
                <w:szCs w:val="21"/>
              </w:rPr>
              <w:t>Fleet behaviours that influence fishing performance can be</w:t>
            </w:r>
            <w:r w:rsidRPr="00F07EFA">
              <w:rPr>
                <w:rFonts w:ascii="Times New Roman" w:eastAsia="Calibri" w:hAnsi="Times New Roman" w:cs="Times New Roman"/>
                <w:spacing w:val="-19"/>
                <w:sz w:val="21"/>
                <w:szCs w:val="21"/>
              </w:rPr>
              <w:t xml:space="preserve"> </w:t>
            </w:r>
            <w:r w:rsidRPr="00F07EFA">
              <w:rPr>
                <w:rFonts w:ascii="Times New Roman" w:eastAsia="Calibri" w:hAnsi="Times New Roman" w:cs="Times New Roman"/>
                <w:sz w:val="21"/>
                <w:szCs w:val="21"/>
              </w:rPr>
              <w:t>understood.</w:t>
            </w:r>
          </w:p>
          <w:p w14:paraId="0CA70D51" w14:textId="77777777" w:rsidR="00BA3E50" w:rsidRPr="00F07EFA" w:rsidRDefault="00BA3E50" w:rsidP="00580EA4">
            <w:pPr>
              <w:numPr>
                <w:ilvl w:val="0"/>
                <w:numId w:val="109"/>
              </w:numPr>
              <w:tabs>
                <w:tab w:val="left" w:pos="420"/>
              </w:tabs>
              <w:kinsoku w:val="0"/>
              <w:overflowPunct w:val="0"/>
              <w:adjustRightInd w:val="0"/>
              <w:snapToGrid w:val="0"/>
              <w:ind w:right="98"/>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 effort creep component of improved FAD technologies can be separated</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other</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elements</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(schooling</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behaviour</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fish,</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overall</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fleet behaviour,</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stock</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size,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oceanography,</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other</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technological</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advances</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etc.).</w:t>
            </w:r>
          </w:p>
        </w:tc>
      </w:tr>
      <w:tr w:rsidR="00BA3E50" w:rsidRPr="00F07EFA" w14:paraId="5B445C0E" w14:textId="77777777" w:rsidTr="004B6F4C">
        <w:tc>
          <w:tcPr>
            <w:tcW w:w="889" w:type="pct"/>
          </w:tcPr>
          <w:p w14:paraId="1CD4BEE6"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Scope</w:t>
            </w:r>
          </w:p>
        </w:tc>
        <w:tc>
          <w:tcPr>
            <w:tcW w:w="4111" w:type="pct"/>
          </w:tcPr>
          <w:p w14:paraId="28AC3E38" w14:textId="77777777" w:rsidR="00BA3E50" w:rsidRPr="00F07EFA" w:rsidRDefault="00BA3E50" w:rsidP="00241619">
            <w:pPr>
              <w:kinsoku w:val="0"/>
              <w:overflowPunct w:val="0"/>
              <w:adjustRightInd w:val="0"/>
              <w:snapToGrid w:val="0"/>
              <w:ind w:left="103"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 proposed work programme comprises a data compilation activity, subsequent</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statistical</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analysis</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activities</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a</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data</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review</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activity.</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These</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are briefly outlined</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below:</w:t>
            </w:r>
          </w:p>
          <w:p w14:paraId="72DBBAD0" w14:textId="77777777"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14:paraId="729AC0E9" w14:textId="77777777" w:rsidR="00BA3E50" w:rsidRPr="00F07EFA" w:rsidRDefault="00BA3E50" w:rsidP="00241619">
            <w:pPr>
              <w:kinsoku w:val="0"/>
              <w:overflowPunct w:val="0"/>
              <w:adjustRightInd w:val="0"/>
              <w:snapToGrid w:val="0"/>
              <w:ind w:left="103" w:right="98"/>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Evaluate</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combine</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available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logsheet,</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observer</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VMS</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data</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develop a comprehensive purse seine associated fishing data set. This data set should also include available (time series of) vessel and technical FAD characteristics, where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possible.</w:t>
            </w:r>
          </w:p>
          <w:p w14:paraId="35E79485" w14:textId="77777777"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14:paraId="10397F1F" w14:textId="77777777" w:rsidR="00BA3E50" w:rsidRPr="00F07EFA" w:rsidRDefault="00BA3E50" w:rsidP="00241619">
            <w:pPr>
              <w:kinsoku w:val="0"/>
              <w:overflowPunct w:val="0"/>
              <w:adjustRightInd w:val="0"/>
              <w:snapToGrid w:val="0"/>
              <w:ind w:left="103" w:right="98"/>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Analyse patterns of fleet activity relative to FAD setting based upon VMS/logsheet</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data,</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assess</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changes</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in</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vessel</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searching</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activity,</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as</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well</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as trip length. This may also be compared within and outside the FAD closure period, and be related to location (e.g. distance from port), time of the year/day, the period of the trip,</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etc.</w:t>
            </w:r>
          </w:p>
          <w:p w14:paraId="08CE82B6" w14:textId="77777777"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14:paraId="7579274D" w14:textId="77777777" w:rsidR="00BA3E50" w:rsidRPr="00F07EFA" w:rsidRDefault="00BA3E50"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Examine changes in the ‘reliance’ on FAD    fishing over time, at the fleet or</w:t>
            </w:r>
            <w:r w:rsidR="00260D83">
              <w:rPr>
                <w:rFonts w:ascii="Times New Roman" w:eastAsiaTheme="minorEastAsia" w:hAnsi="Times New Roman" w:cs="Times New Roman" w:hint="eastAsia"/>
                <w:sz w:val="21"/>
                <w:szCs w:val="21"/>
                <w:lang w:eastAsia="ko-KR"/>
              </w:rPr>
              <w:t xml:space="preserve"> </w:t>
            </w:r>
            <w:r w:rsidRPr="00F07EFA">
              <w:rPr>
                <w:rFonts w:ascii="Times New Roman" w:eastAsia="Calibri" w:hAnsi="Times New Roman" w:cs="Times New Roman"/>
                <w:sz w:val="21"/>
                <w:szCs w:val="21"/>
              </w:rPr>
              <w:t>vessel level. Relate the reliance on FADs to geographic location.</w:t>
            </w:r>
          </w:p>
          <w:p w14:paraId="43E5B51A" w14:textId="77777777"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14:paraId="5E61714C" w14:textId="77777777" w:rsidR="00BA3E50" w:rsidRPr="00F07EFA" w:rsidRDefault="00BA3E50" w:rsidP="00241619">
            <w:pPr>
              <w:kinsoku w:val="0"/>
              <w:overflowPunct w:val="0"/>
              <w:adjustRightInd w:val="0"/>
              <w:snapToGrid w:val="0"/>
              <w:ind w:left="103" w:right="98"/>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Analyse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using</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appropriate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statistical</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techniques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factors</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that</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could</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influence time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series</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or</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relative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patterns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in</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purse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seine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associated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set</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CPUE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(catch</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pacing w:val="-2"/>
                <w:sz w:val="21"/>
                <w:szCs w:val="21"/>
              </w:rPr>
              <w:t xml:space="preserve">per </w:t>
            </w:r>
            <w:r w:rsidRPr="00F07EFA">
              <w:rPr>
                <w:rFonts w:ascii="Times New Roman" w:eastAsia="Calibri" w:hAnsi="Times New Roman" w:cs="Times New Roman"/>
                <w:sz w:val="21"/>
                <w:szCs w:val="21"/>
              </w:rPr>
              <w:t>set, but catch per day or trip may also be examined), including fleet, location, oceanography, FAD set density (as a proxy for FAD density), observed FAD design, vessel characteristics, stock abundance, etc.</w:t>
            </w:r>
            <w:r w:rsidRPr="00F07EFA">
              <w:rPr>
                <w:rFonts w:ascii="Times New Roman" w:eastAsia="Calibri" w:hAnsi="Times New Roman" w:cs="Times New Roman"/>
                <w:spacing w:val="-36"/>
                <w:sz w:val="21"/>
                <w:szCs w:val="21"/>
              </w:rPr>
              <w:t xml:space="preserve"> </w:t>
            </w:r>
            <w:r w:rsidRPr="00F07EFA">
              <w:rPr>
                <w:rFonts w:ascii="Times New Roman" w:eastAsia="Calibri" w:hAnsi="Times New Roman" w:cs="Times New Roman"/>
                <w:sz w:val="21"/>
                <w:szCs w:val="21"/>
              </w:rPr>
              <w:t>This may evaluate the probability of a successful set, as well as the level of catch if a set were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successful.</w:t>
            </w:r>
          </w:p>
        </w:tc>
      </w:tr>
      <w:tr w:rsidR="00BA3E50" w:rsidRPr="00F07EFA" w14:paraId="454DA05B" w14:textId="77777777" w:rsidTr="004B6F4C">
        <w:tc>
          <w:tcPr>
            <w:tcW w:w="889" w:type="pct"/>
          </w:tcPr>
          <w:p w14:paraId="688C710E" w14:textId="77777777"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tc>
        <w:tc>
          <w:tcPr>
            <w:tcW w:w="4111" w:type="pct"/>
          </w:tcPr>
          <w:p w14:paraId="6EDA1C78" w14:textId="77777777" w:rsidR="00BA3E50" w:rsidRPr="00F07EFA" w:rsidRDefault="00BA3E50" w:rsidP="00241619">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Identify data gaps and provide advice on potential areas of additional data collection to improve future analyses.</w:t>
            </w:r>
          </w:p>
          <w:p w14:paraId="4083277F" w14:textId="77777777"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14:paraId="028F0F61" w14:textId="77777777" w:rsidR="00BA3E50" w:rsidRPr="00F07EFA" w:rsidRDefault="00BA3E50" w:rsidP="00241619">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Where observer information is sufficient, work will also examine the number and activities of supply vessels, including identifying which particular purse seine vessels each support, and the number of FADs being deployed and serviced by such vessels.</w:t>
            </w:r>
          </w:p>
        </w:tc>
      </w:tr>
      <w:tr w:rsidR="00BA3E50" w:rsidRPr="00F07EFA" w14:paraId="2923E0E8" w14:textId="77777777" w:rsidTr="004B6F4C">
        <w:tc>
          <w:tcPr>
            <w:tcW w:w="889" w:type="pct"/>
          </w:tcPr>
          <w:p w14:paraId="4E0D8BAA"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Timeframe</w:t>
            </w:r>
          </w:p>
        </w:tc>
        <w:tc>
          <w:tcPr>
            <w:tcW w:w="4111" w:type="pct"/>
          </w:tcPr>
          <w:p w14:paraId="78B3E9F9"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18 months</w:t>
            </w:r>
          </w:p>
        </w:tc>
      </w:tr>
      <w:tr w:rsidR="00BA3E50" w:rsidRPr="00F07EFA" w14:paraId="6AB673F0" w14:textId="77777777" w:rsidTr="004B6F4C">
        <w:tc>
          <w:tcPr>
            <w:tcW w:w="889" w:type="pct"/>
          </w:tcPr>
          <w:p w14:paraId="6077EA0A" w14:textId="77777777"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Budget</w:t>
            </w:r>
          </w:p>
        </w:tc>
        <w:tc>
          <w:tcPr>
            <w:tcW w:w="4111" w:type="pct"/>
          </w:tcPr>
          <w:p w14:paraId="735A5F97" w14:textId="77777777" w:rsidR="00BA3E50" w:rsidRPr="00F07EFA" w:rsidRDefault="00BA3E50" w:rsidP="00241619">
            <w:pPr>
              <w:kinsoku w:val="0"/>
              <w:overflowPunct w:val="0"/>
              <w:adjustRightInd w:val="0"/>
              <w:snapToGrid w:val="0"/>
              <w:ind w:left="103" w:right="5119"/>
              <w:rPr>
                <w:rFonts w:ascii="Times New Roman" w:eastAsia="Calibri" w:hAnsi="Times New Roman" w:cs="Times New Roman"/>
                <w:sz w:val="21"/>
                <w:szCs w:val="21"/>
              </w:rPr>
            </w:pPr>
            <w:r w:rsidRPr="00F07EFA">
              <w:rPr>
                <w:rFonts w:ascii="Times New Roman" w:eastAsia="Calibri" w:hAnsi="Times New Roman" w:cs="Times New Roman"/>
                <w:sz w:val="21"/>
                <w:szCs w:val="21"/>
              </w:rPr>
              <w:t>1.5 year FTE at SPC USD$182,000</w:t>
            </w:r>
          </w:p>
          <w:p w14:paraId="6D121B83" w14:textId="77777777" w:rsidR="00BA3E50" w:rsidRPr="00F07EFA" w:rsidRDefault="00BA3E50" w:rsidP="00241619">
            <w:pPr>
              <w:kinsoku w:val="0"/>
              <w:overflowPunct w:val="0"/>
              <w:adjustRightInd w:val="0"/>
              <w:snapToGrid w:val="0"/>
              <w:ind w:left="103" w:right="1211"/>
              <w:rPr>
                <w:rFonts w:ascii="Times New Roman" w:eastAsia="Calibri" w:hAnsi="Times New Roman" w:cs="Times New Roman"/>
                <w:sz w:val="21"/>
                <w:szCs w:val="21"/>
              </w:rPr>
            </w:pPr>
            <w:r w:rsidRPr="00F07EFA">
              <w:rPr>
                <w:rFonts w:ascii="Times New Roman" w:eastAsia="Calibri" w:hAnsi="Times New Roman" w:cs="Times New Roman"/>
                <w:sz w:val="21"/>
                <w:szCs w:val="21"/>
              </w:rPr>
              <w:t>Associated travel and subsistence to relevant WCPFC meetings USD$20,000</w:t>
            </w:r>
          </w:p>
        </w:tc>
      </w:tr>
    </w:tbl>
    <w:p w14:paraId="748AA80F" w14:textId="77777777" w:rsidR="00BA3E50" w:rsidRPr="00F07EFA" w:rsidRDefault="00BA3E50" w:rsidP="00241619">
      <w:pPr>
        <w:widowControl w:val="0"/>
        <w:kinsoku w:val="0"/>
        <w:overflowPunct w:val="0"/>
        <w:autoSpaceDE w:val="0"/>
        <w:autoSpaceDN w:val="0"/>
        <w:adjustRightInd w:val="0"/>
        <w:snapToGrid w:val="0"/>
        <w:rPr>
          <w:rFonts w:eastAsia="Batang"/>
          <w:color w:val="000000"/>
          <w:sz w:val="21"/>
          <w:szCs w:val="21"/>
          <w:lang w:eastAsia="ko-KR"/>
        </w:rPr>
      </w:pPr>
    </w:p>
    <w:tbl>
      <w:tblPr>
        <w:tblStyle w:val="TableGrid11"/>
        <w:tblW w:w="4887" w:type="pct"/>
        <w:tblInd w:w="108" w:type="dxa"/>
        <w:tblLook w:val="04A0" w:firstRow="1" w:lastRow="0" w:firstColumn="1" w:lastColumn="0" w:noHBand="0" w:noVBand="1"/>
      </w:tblPr>
      <w:tblGrid>
        <w:gridCol w:w="1528"/>
        <w:gridCol w:w="7832"/>
      </w:tblGrid>
      <w:tr w:rsidR="00BA3E50" w:rsidRPr="00F07EFA" w14:paraId="4737B721" w14:textId="77777777" w:rsidTr="004B6F4C">
        <w:trPr>
          <w:trHeight w:val="593"/>
        </w:trPr>
        <w:tc>
          <w:tcPr>
            <w:tcW w:w="816" w:type="pct"/>
            <w:shd w:val="clear" w:color="auto" w:fill="92D050"/>
            <w:vAlign w:val="center"/>
          </w:tcPr>
          <w:p w14:paraId="065E3A8B" w14:textId="77777777" w:rsidR="00BA3E50" w:rsidRPr="00F07EFA" w:rsidRDefault="00BA3E50" w:rsidP="00241619">
            <w:pPr>
              <w:adjustRightInd w:val="0"/>
              <w:snapToGrid w:val="0"/>
              <w:rPr>
                <w:rFonts w:eastAsia="Malgun Gothic"/>
                <w:b/>
                <w:sz w:val="21"/>
                <w:szCs w:val="21"/>
                <w:lang w:eastAsia="ko-KR"/>
              </w:rPr>
            </w:pPr>
            <w:r w:rsidRPr="00F07EFA">
              <w:rPr>
                <w:rFonts w:eastAsia="Malgun Gothic"/>
                <w:b/>
                <w:caps/>
                <w:sz w:val="21"/>
                <w:szCs w:val="21"/>
                <w:lang w:eastAsia="ko-KR"/>
              </w:rPr>
              <w:t xml:space="preserve">PROJECT </w:t>
            </w:r>
            <w:r w:rsidRPr="00F07EFA">
              <w:rPr>
                <w:rFonts w:eastAsia="Malgun Gothic"/>
                <w:b/>
                <w:sz w:val="21"/>
                <w:szCs w:val="21"/>
                <w:lang w:eastAsia="ko-KR"/>
              </w:rPr>
              <w:t>90</w:t>
            </w:r>
          </w:p>
        </w:tc>
        <w:tc>
          <w:tcPr>
            <w:tcW w:w="4184" w:type="pct"/>
            <w:shd w:val="clear" w:color="auto" w:fill="92D050"/>
            <w:vAlign w:val="center"/>
          </w:tcPr>
          <w:p w14:paraId="67F899F8" w14:textId="77777777" w:rsidR="00BA3E50" w:rsidRPr="00F07EFA" w:rsidRDefault="00BA3E50" w:rsidP="00241619">
            <w:pPr>
              <w:adjustRightInd w:val="0"/>
              <w:snapToGrid w:val="0"/>
              <w:rPr>
                <w:b/>
                <w:sz w:val="21"/>
                <w:szCs w:val="21"/>
                <w:lang w:eastAsia="en-AU"/>
              </w:rPr>
            </w:pPr>
            <w:r w:rsidRPr="00F07EFA">
              <w:rPr>
                <w:b/>
                <w:sz w:val="21"/>
                <w:szCs w:val="21"/>
                <w:lang w:eastAsia="en-AU"/>
              </w:rPr>
              <w:t>Better data on fish weights and lengths for scientific analyses</w:t>
            </w:r>
          </w:p>
        </w:tc>
      </w:tr>
      <w:tr w:rsidR="00BA3E50" w:rsidRPr="00F07EFA" w14:paraId="626007DD" w14:textId="77777777" w:rsidTr="004B6F4C">
        <w:tc>
          <w:tcPr>
            <w:tcW w:w="816" w:type="pct"/>
          </w:tcPr>
          <w:p w14:paraId="3F794661" w14:textId="77777777" w:rsidR="00BA3E50" w:rsidRPr="00F07EFA" w:rsidRDefault="00BA3E50" w:rsidP="00241619">
            <w:pPr>
              <w:adjustRightInd w:val="0"/>
              <w:snapToGrid w:val="0"/>
              <w:rPr>
                <w:sz w:val="21"/>
                <w:szCs w:val="21"/>
                <w:lang w:eastAsia="en-AU"/>
              </w:rPr>
            </w:pPr>
            <w:r w:rsidRPr="00F07EFA">
              <w:rPr>
                <w:sz w:val="21"/>
                <w:szCs w:val="21"/>
                <w:lang w:eastAsia="en-AU"/>
              </w:rPr>
              <w:t>Objectives</w:t>
            </w:r>
          </w:p>
        </w:tc>
        <w:tc>
          <w:tcPr>
            <w:tcW w:w="4184" w:type="pct"/>
          </w:tcPr>
          <w:p w14:paraId="2A8DC577" w14:textId="77777777" w:rsidR="00BA3E50" w:rsidRPr="00F07EFA" w:rsidRDefault="00BA3E50" w:rsidP="00241619">
            <w:pPr>
              <w:adjustRightInd w:val="0"/>
              <w:snapToGrid w:val="0"/>
              <w:rPr>
                <w:sz w:val="21"/>
                <w:szCs w:val="21"/>
                <w:lang w:eastAsia="en-AU"/>
              </w:rPr>
            </w:pPr>
            <w:r w:rsidRPr="00F07EFA">
              <w:rPr>
                <w:sz w:val="21"/>
                <w:szCs w:val="21"/>
                <w:lang w:eastAsia="en-AU"/>
              </w:rPr>
              <w:t xml:space="preserve">This project has three objectives </w:t>
            </w:r>
          </w:p>
          <w:p w14:paraId="1BDD31FC" w14:textId="77777777" w:rsidR="00BA3E50" w:rsidRPr="00F07EFA" w:rsidRDefault="00BA3E50" w:rsidP="00241619">
            <w:pPr>
              <w:adjustRightInd w:val="0"/>
              <w:snapToGrid w:val="0"/>
              <w:rPr>
                <w:sz w:val="21"/>
                <w:szCs w:val="21"/>
                <w:lang w:eastAsia="en-AU"/>
              </w:rPr>
            </w:pPr>
          </w:p>
          <w:p w14:paraId="0FD35C87" w14:textId="77777777" w:rsidR="00BA3E50" w:rsidRPr="00F07EFA" w:rsidRDefault="00BA3E50" w:rsidP="00241619">
            <w:pPr>
              <w:adjustRightInd w:val="0"/>
              <w:snapToGrid w:val="0"/>
              <w:rPr>
                <w:sz w:val="21"/>
                <w:szCs w:val="21"/>
                <w:lang w:eastAsia="en-AU"/>
              </w:rPr>
            </w:pPr>
            <w:r w:rsidRPr="00F07EFA">
              <w:rPr>
                <w:sz w:val="21"/>
                <w:szCs w:val="21"/>
                <w:lang w:eastAsia="en-AU"/>
              </w:rPr>
              <w:t>The first component aims to identify gaps, address those gaps which can be resolved with existing information, and develop the sampling plan and protocol to resolve additional gaps, through the following activities (but not limited to):</w:t>
            </w:r>
          </w:p>
          <w:p w14:paraId="3A916190" w14:textId="77777777" w:rsidR="00BA3E50" w:rsidRPr="00F07EFA" w:rsidRDefault="00BA3E50" w:rsidP="00580EA4">
            <w:pPr>
              <w:numPr>
                <w:ilvl w:val="0"/>
                <w:numId w:val="131"/>
              </w:numPr>
              <w:adjustRightInd w:val="0"/>
              <w:snapToGrid w:val="0"/>
              <w:jc w:val="both"/>
              <w:rPr>
                <w:rFonts w:eastAsia="SimSun"/>
                <w:sz w:val="21"/>
                <w:szCs w:val="21"/>
                <w:lang w:val="en-AU" w:eastAsia="en-NZ"/>
              </w:rPr>
            </w:pPr>
            <w:r w:rsidRPr="00F07EFA">
              <w:rPr>
                <w:rFonts w:eastAsia="SimSun"/>
                <w:sz w:val="21"/>
                <w:szCs w:val="21"/>
                <w:lang w:val="en-AU" w:eastAsia="en-NZ"/>
              </w:rPr>
              <w:t>identify the priority gaps in conversion factor data for the WCPFC key tuna species, key shark species, and key billfish species</w:t>
            </w:r>
          </w:p>
          <w:p w14:paraId="7658A5D4" w14:textId="77777777" w:rsidR="00BA3E50" w:rsidRPr="00F07EFA" w:rsidRDefault="00BA3E50" w:rsidP="00580EA4">
            <w:pPr>
              <w:numPr>
                <w:ilvl w:val="0"/>
                <w:numId w:val="131"/>
              </w:numPr>
              <w:adjustRightInd w:val="0"/>
              <w:snapToGrid w:val="0"/>
              <w:jc w:val="both"/>
              <w:rPr>
                <w:rFonts w:eastAsia="SimSun"/>
                <w:sz w:val="21"/>
                <w:szCs w:val="21"/>
                <w:lang w:val="en-AU" w:eastAsia="en-NZ"/>
              </w:rPr>
            </w:pPr>
            <w:r w:rsidRPr="00F07EFA">
              <w:rPr>
                <w:rFonts w:eastAsia="SimSun"/>
                <w:sz w:val="21"/>
                <w:szCs w:val="21"/>
                <w:lang w:val="en-AU" w:eastAsia="en-NZ"/>
              </w:rPr>
              <w:t>expand the conversion factors to cover the WCPFC key shark species for groups:  mako, thresher and hammerhead shark, after gap analysis against existing conversion factors</w:t>
            </w:r>
          </w:p>
          <w:p w14:paraId="41DEB206" w14:textId="77777777" w:rsidR="00BA3E50" w:rsidRPr="00F07EFA" w:rsidRDefault="00BA3E50" w:rsidP="00580EA4">
            <w:pPr>
              <w:numPr>
                <w:ilvl w:val="0"/>
                <w:numId w:val="131"/>
              </w:numPr>
              <w:adjustRightInd w:val="0"/>
              <w:snapToGrid w:val="0"/>
              <w:jc w:val="both"/>
              <w:rPr>
                <w:rFonts w:eastAsia="SimSun"/>
                <w:sz w:val="21"/>
                <w:szCs w:val="21"/>
                <w:lang w:val="en-AU" w:eastAsia="en-NZ"/>
              </w:rPr>
            </w:pPr>
            <w:r w:rsidRPr="00F07EFA">
              <w:rPr>
                <w:rFonts w:eastAsia="SimSun"/>
                <w:sz w:val="21"/>
                <w:szCs w:val="21"/>
                <w:lang w:val="en-AU" w:eastAsia="en-NZ"/>
              </w:rPr>
              <w:t>produce a list of species of special interest (SSIs, excluding key shark species) that require conversion factor data</w:t>
            </w:r>
          </w:p>
          <w:p w14:paraId="17605B56" w14:textId="77777777" w:rsidR="00BA3E50" w:rsidRPr="00F07EFA" w:rsidRDefault="00BA3E50" w:rsidP="00580EA4">
            <w:pPr>
              <w:numPr>
                <w:ilvl w:val="0"/>
                <w:numId w:val="131"/>
              </w:numPr>
              <w:adjustRightInd w:val="0"/>
              <w:snapToGrid w:val="0"/>
              <w:jc w:val="both"/>
              <w:rPr>
                <w:rFonts w:eastAsia="SimSun"/>
                <w:sz w:val="21"/>
                <w:szCs w:val="21"/>
                <w:lang w:val="en-AU" w:eastAsia="en-NZ"/>
              </w:rPr>
            </w:pPr>
            <w:r w:rsidRPr="00F07EFA">
              <w:rPr>
                <w:rFonts w:eastAsia="SimSun"/>
                <w:sz w:val="21"/>
                <w:szCs w:val="21"/>
                <w:lang w:val="en-AU" w:eastAsia="en-NZ"/>
              </w:rPr>
              <w:t>produce a list of commercially important bycatch species (not covered in the items above)</w:t>
            </w:r>
          </w:p>
          <w:p w14:paraId="669CACD6" w14:textId="77777777" w:rsidR="00BA3E50" w:rsidRPr="00F07EFA" w:rsidRDefault="00BA3E50" w:rsidP="00580EA4">
            <w:pPr>
              <w:numPr>
                <w:ilvl w:val="0"/>
                <w:numId w:val="131"/>
              </w:numPr>
              <w:adjustRightInd w:val="0"/>
              <w:snapToGrid w:val="0"/>
              <w:jc w:val="both"/>
              <w:rPr>
                <w:rFonts w:eastAsia="SimSun"/>
                <w:sz w:val="21"/>
                <w:szCs w:val="21"/>
                <w:lang w:val="en-AU" w:eastAsia="en-NZ"/>
              </w:rPr>
            </w:pPr>
            <w:r w:rsidRPr="00F07EFA">
              <w:rPr>
                <w:rFonts w:eastAsia="SimSun"/>
                <w:sz w:val="21"/>
                <w:szCs w:val="21"/>
                <w:lang w:val="en-AU" w:eastAsia="en-NZ"/>
              </w:rPr>
              <w:t>include more information on source of data for each conversion factor (e.g. reference of study, sample size, R2, minimum/maximum size of sample, etc.) in tables of conversion factors which will inform the need for more data collection</w:t>
            </w:r>
          </w:p>
          <w:p w14:paraId="239F693B" w14:textId="77777777" w:rsidR="00BA3E50" w:rsidRPr="00F07EFA" w:rsidRDefault="00BA3E50" w:rsidP="00580EA4">
            <w:pPr>
              <w:numPr>
                <w:ilvl w:val="0"/>
                <w:numId w:val="131"/>
              </w:numPr>
              <w:adjustRightInd w:val="0"/>
              <w:snapToGrid w:val="0"/>
              <w:jc w:val="both"/>
              <w:rPr>
                <w:rFonts w:eastAsia="SimSun"/>
                <w:sz w:val="21"/>
                <w:szCs w:val="21"/>
                <w:lang w:val="en-AU" w:eastAsia="en-NZ"/>
              </w:rPr>
            </w:pPr>
            <w:r w:rsidRPr="00F07EFA">
              <w:rPr>
                <w:rFonts w:eastAsia="SimSun"/>
                <w:sz w:val="21"/>
                <w:szCs w:val="21"/>
                <w:lang w:val="en-AU" w:eastAsia="en-NZ"/>
              </w:rPr>
              <w:t>produce a list of the remaining bycatch species that require conversion factor data</w:t>
            </w:r>
          </w:p>
          <w:p w14:paraId="3594CDF5" w14:textId="77777777" w:rsidR="00BA3E50" w:rsidRPr="00F07EFA" w:rsidRDefault="00BA3E50" w:rsidP="00580EA4">
            <w:pPr>
              <w:numPr>
                <w:ilvl w:val="0"/>
                <w:numId w:val="131"/>
              </w:numPr>
              <w:adjustRightInd w:val="0"/>
              <w:snapToGrid w:val="0"/>
              <w:jc w:val="both"/>
              <w:rPr>
                <w:rFonts w:eastAsia="SimSun"/>
                <w:sz w:val="21"/>
                <w:szCs w:val="21"/>
                <w:lang w:val="en-AU" w:eastAsia="en-NZ"/>
              </w:rPr>
            </w:pPr>
            <w:r w:rsidRPr="00F07EFA">
              <w:rPr>
                <w:rFonts w:eastAsia="SimSun"/>
                <w:sz w:val="21"/>
                <w:szCs w:val="21"/>
                <w:lang w:val="en-AU" w:eastAsia="en-NZ"/>
              </w:rPr>
              <w:t xml:space="preserve">produce standard protocols for conversion factor data collection to be collected by observers and port samplers, </w:t>
            </w:r>
          </w:p>
          <w:p w14:paraId="28ADFB75" w14:textId="77777777" w:rsidR="00BA3E50" w:rsidRPr="00F07EFA" w:rsidRDefault="00BA3E50" w:rsidP="00580EA4">
            <w:pPr>
              <w:numPr>
                <w:ilvl w:val="0"/>
                <w:numId w:val="131"/>
              </w:numPr>
              <w:adjustRightInd w:val="0"/>
              <w:snapToGrid w:val="0"/>
              <w:jc w:val="both"/>
              <w:rPr>
                <w:rFonts w:eastAsia="SimSun"/>
                <w:sz w:val="21"/>
                <w:szCs w:val="21"/>
                <w:lang w:val="en-AU" w:eastAsia="en-NZ"/>
              </w:rPr>
            </w:pPr>
            <w:r w:rsidRPr="00F07EFA">
              <w:rPr>
                <w:rFonts w:eastAsia="SimSun"/>
                <w:sz w:val="21"/>
                <w:szCs w:val="21"/>
                <w:lang w:val="en-AU" w:eastAsia="en-NZ"/>
              </w:rPr>
              <w:t xml:space="preserve">prioritize this list so that the most important work is achieved, and </w:t>
            </w:r>
          </w:p>
          <w:p w14:paraId="35948DF9" w14:textId="77777777" w:rsidR="00BA3E50" w:rsidRPr="00F07EFA" w:rsidRDefault="00BA3E50" w:rsidP="00580EA4">
            <w:pPr>
              <w:numPr>
                <w:ilvl w:val="0"/>
                <w:numId w:val="131"/>
              </w:numPr>
              <w:adjustRightInd w:val="0"/>
              <w:snapToGrid w:val="0"/>
              <w:jc w:val="both"/>
              <w:rPr>
                <w:rFonts w:eastAsia="SimSun"/>
                <w:sz w:val="21"/>
                <w:szCs w:val="21"/>
                <w:lang w:val="en-AU" w:eastAsia="en-NZ"/>
              </w:rPr>
            </w:pPr>
            <w:r w:rsidRPr="00F07EFA">
              <w:rPr>
                <w:rFonts w:eastAsia="SimSun"/>
                <w:sz w:val="21"/>
                <w:szCs w:val="21"/>
                <w:lang w:val="en-AU" w:eastAsia="en-NZ"/>
              </w:rPr>
              <w:t>present the findings at SC15 for review, acknowledging that some observer providers will voluntarily collect conversion factor data prior to SC15.</w:t>
            </w:r>
          </w:p>
          <w:p w14:paraId="1F175476" w14:textId="77777777" w:rsidR="00BA3E50" w:rsidRPr="00F07EFA" w:rsidRDefault="00BA3E50" w:rsidP="00241619">
            <w:pPr>
              <w:adjustRightInd w:val="0"/>
              <w:snapToGrid w:val="0"/>
              <w:rPr>
                <w:sz w:val="21"/>
                <w:szCs w:val="21"/>
                <w:lang w:eastAsia="en-AU"/>
              </w:rPr>
            </w:pPr>
          </w:p>
          <w:p w14:paraId="5D1005E3" w14:textId="77777777" w:rsidR="00BA3E50" w:rsidRPr="00F07EFA" w:rsidRDefault="00BA3E50" w:rsidP="00241619">
            <w:pPr>
              <w:adjustRightInd w:val="0"/>
              <w:snapToGrid w:val="0"/>
              <w:rPr>
                <w:sz w:val="21"/>
                <w:szCs w:val="21"/>
                <w:lang w:eastAsia="en-AU"/>
              </w:rPr>
            </w:pPr>
            <w:r w:rsidRPr="00F07EFA">
              <w:rPr>
                <w:sz w:val="21"/>
                <w:szCs w:val="21"/>
                <w:lang w:eastAsia="en-AU"/>
              </w:rPr>
              <w:t>The second component relates to investigating potential innovative methods to obtain length-length conversion factor data, including:</w:t>
            </w:r>
          </w:p>
          <w:p w14:paraId="4ABEB932" w14:textId="77777777" w:rsidR="00BA3E50" w:rsidRPr="00F07EFA" w:rsidRDefault="00BA3E50" w:rsidP="00580EA4">
            <w:pPr>
              <w:numPr>
                <w:ilvl w:val="0"/>
                <w:numId w:val="131"/>
              </w:numPr>
              <w:adjustRightInd w:val="0"/>
              <w:snapToGrid w:val="0"/>
              <w:jc w:val="both"/>
              <w:rPr>
                <w:rFonts w:eastAsia="SimSun"/>
                <w:sz w:val="21"/>
                <w:szCs w:val="21"/>
                <w:lang w:val="en-AU" w:eastAsia="en-NZ"/>
              </w:rPr>
            </w:pPr>
            <w:r w:rsidRPr="00F07EFA">
              <w:rPr>
                <w:rFonts w:eastAsia="SimSun"/>
                <w:sz w:val="21"/>
                <w:szCs w:val="21"/>
                <w:lang w:val="en-AU" w:eastAsia="en-NZ"/>
              </w:rPr>
              <w:t>explore the use of EM tools to capture multiple length measurements from fish e-measured by EM Analysts.</w:t>
            </w:r>
          </w:p>
          <w:p w14:paraId="11D383F1" w14:textId="77777777" w:rsidR="00BA3E50" w:rsidRPr="00F07EFA" w:rsidRDefault="00BA3E50" w:rsidP="00241619">
            <w:pPr>
              <w:adjustRightInd w:val="0"/>
              <w:snapToGrid w:val="0"/>
              <w:rPr>
                <w:sz w:val="21"/>
                <w:szCs w:val="21"/>
                <w:lang w:eastAsia="en-AU"/>
              </w:rPr>
            </w:pPr>
          </w:p>
          <w:p w14:paraId="7A7960AE" w14:textId="77777777" w:rsidR="00BA3E50" w:rsidRPr="00F07EFA" w:rsidRDefault="00BA3E50" w:rsidP="00241619">
            <w:pPr>
              <w:adjustRightInd w:val="0"/>
              <w:snapToGrid w:val="0"/>
              <w:rPr>
                <w:sz w:val="21"/>
                <w:szCs w:val="21"/>
                <w:lang w:eastAsia="en-AU"/>
              </w:rPr>
            </w:pPr>
            <w:r w:rsidRPr="00F07EFA">
              <w:rPr>
                <w:sz w:val="21"/>
                <w:szCs w:val="21"/>
                <w:lang w:eastAsia="en-AU"/>
              </w:rPr>
              <w:t>The third component relates to collecting the conversion factor data:</w:t>
            </w:r>
          </w:p>
          <w:p w14:paraId="1D7EF2E4" w14:textId="77777777" w:rsidR="00BA3E50" w:rsidRPr="00F07EFA" w:rsidRDefault="00BA3E50" w:rsidP="00580EA4">
            <w:pPr>
              <w:numPr>
                <w:ilvl w:val="0"/>
                <w:numId w:val="131"/>
              </w:numPr>
              <w:adjustRightInd w:val="0"/>
              <w:snapToGrid w:val="0"/>
              <w:jc w:val="both"/>
              <w:rPr>
                <w:rFonts w:eastAsia="SimSun"/>
                <w:sz w:val="21"/>
                <w:szCs w:val="21"/>
                <w:lang w:val="en-AU" w:eastAsia="en-NZ"/>
              </w:rPr>
            </w:pPr>
            <w:r w:rsidRPr="00F07EFA">
              <w:rPr>
                <w:rFonts w:eastAsia="SimSun"/>
                <w:sz w:val="21"/>
                <w:szCs w:val="21"/>
                <w:lang w:val="en-AU" w:eastAsia="en-NZ"/>
              </w:rPr>
              <w:t>systematically collect representative samples of length measurements of bycatch species support future estimation of fish bycatch in the WCPO; and</w:t>
            </w:r>
          </w:p>
          <w:p w14:paraId="2A38DC16" w14:textId="77777777" w:rsidR="00BA3E50" w:rsidRPr="00F07EFA" w:rsidRDefault="00BA3E50" w:rsidP="00580EA4">
            <w:pPr>
              <w:numPr>
                <w:ilvl w:val="0"/>
                <w:numId w:val="131"/>
              </w:numPr>
              <w:adjustRightInd w:val="0"/>
              <w:snapToGrid w:val="0"/>
              <w:jc w:val="both"/>
              <w:rPr>
                <w:rFonts w:eastAsia="SimSun"/>
                <w:sz w:val="21"/>
                <w:szCs w:val="21"/>
                <w:lang w:val="en-AU" w:eastAsia="en-NZ"/>
              </w:rPr>
            </w:pPr>
            <w:r w:rsidRPr="00F07EFA">
              <w:rPr>
                <w:rFonts w:eastAsia="SimSun"/>
                <w:sz w:val="21"/>
                <w:szCs w:val="21"/>
                <w:lang w:val="en-AU" w:eastAsia="en-NZ"/>
              </w:rPr>
              <w:t>systematically collect length:length, length:weight and weight:weight data on all species to better inform future estimation of fish bycatch in the WCPO.</w:t>
            </w:r>
          </w:p>
        </w:tc>
      </w:tr>
      <w:tr w:rsidR="00BA3E50" w:rsidRPr="00F07EFA" w14:paraId="2FCFE124" w14:textId="77777777" w:rsidTr="004B6F4C">
        <w:tc>
          <w:tcPr>
            <w:tcW w:w="816" w:type="pct"/>
          </w:tcPr>
          <w:p w14:paraId="191A9B41" w14:textId="77777777" w:rsidR="00BA3E50" w:rsidRPr="00F07EFA" w:rsidRDefault="00BA3E50" w:rsidP="00241619">
            <w:pPr>
              <w:adjustRightInd w:val="0"/>
              <w:snapToGrid w:val="0"/>
              <w:rPr>
                <w:sz w:val="21"/>
                <w:szCs w:val="21"/>
                <w:lang w:eastAsia="en-AU"/>
              </w:rPr>
            </w:pPr>
            <w:r w:rsidRPr="00F07EFA">
              <w:rPr>
                <w:sz w:val="21"/>
                <w:szCs w:val="21"/>
                <w:lang w:eastAsia="en-AU"/>
              </w:rPr>
              <w:t>Note</w:t>
            </w:r>
          </w:p>
        </w:tc>
        <w:tc>
          <w:tcPr>
            <w:tcW w:w="4184" w:type="pct"/>
          </w:tcPr>
          <w:p w14:paraId="2CC2CAA8" w14:textId="77777777" w:rsidR="00BA3E50" w:rsidRPr="00F07EFA" w:rsidRDefault="00BA3E50" w:rsidP="00241619">
            <w:pPr>
              <w:adjustRightInd w:val="0"/>
              <w:snapToGrid w:val="0"/>
              <w:rPr>
                <w:sz w:val="21"/>
                <w:szCs w:val="21"/>
                <w:lang w:eastAsia="en-AU"/>
              </w:rPr>
            </w:pPr>
            <w:r w:rsidRPr="00F07EFA">
              <w:rPr>
                <w:sz w:val="21"/>
                <w:szCs w:val="21"/>
                <w:lang w:eastAsia="en-AU"/>
              </w:rPr>
              <w:t>Although these three objectives are distinct, they have been combined into a single project to avoid any possible duplication of effort and, as there will likely be combined tasking of Pacific Island observers and port-samplers, in future data collection arising from the project.</w:t>
            </w:r>
          </w:p>
          <w:p w14:paraId="47E551CB" w14:textId="77777777" w:rsidR="00BA3E50" w:rsidRPr="00F07EFA" w:rsidRDefault="00BA3E50" w:rsidP="00241619">
            <w:pPr>
              <w:adjustRightInd w:val="0"/>
              <w:snapToGrid w:val="0"/>
              <w:rPr>
                <w:sz w:val="21"/>
                <w:szCs w:val="21"/>
                <w:lang w:eastAsia="en-AU"/>
              </w:rPr>
            </w:pPr>
          </w:p>
          <w:p w14:paraId="437FAC84" w14:textId="77777777" w:rsidR="00BA3E50" w:rsidRPr="00F07EFA" w:rsidRDefault="00BA3E50" w:rsidP="00241619">
            <w:pPr>
              <w:adjustRightInd w:val="0"/>
              <w:snapToGrid w:val="0"/>
              <w:rPr>
                <w:sz w:val="21"/>
                <w:szCs w:val="21"/>
                <w:lang w:eastAsia="en-AU"/>
              </w:rPr>
            </w:pPr>
            <w:r w:rsidRPr="00F07EFA">
              <w:rPr>
                <w:sz w:val="21"/>
                <w:szCs w:val="21"/>
                <w:lang w:eastAsia="en-AU"/>
              </w:rPr>
              <w:t>The project acknowledges that flag state CCMs with national port sampling and observer programmes may also want to collect conversion factor data using the standard protocols established under this project; these initiatives would be an invaluable contribution to the project.</w:t>
            </w:r>
          </w:p>
          <w:p w14:paraId="140A20A4" w14:textId="77777777" w:rsidR="00BA3E50" w:rsidRPr="00F07EFA" w:rsidRDefault="00BA3E50" w:rsidP="00241619">
            <w:pPr>
              <w:adjustRightInd w:val="0"/>
              <w:snapToGrid w:val="0"/>
              <w:rPr>
                <w:sz w:val="21"/>
                <w:szCs w:val="21"/>
                <w:lang w:eastAsia="en-AU"/>
              </w:rPr>
            </w:pPr>
          </w:p>
          <w:p w14:paraId="63930180" w14:textId="77777777" w:rsidR="00BA3E50" w:rsidRPr="00F07EFA" w:rsidRDefault="00BA3E50" w:rsidP="00241619">
            <w:pPr>
              <w:adjustRightInd w:val="0"/>
              <w:snapToGrid w:val="0"/>
              <w:rPr>
                <w:sz w:val="21"/>
                <w:szCs w:val="21"/>
                <w:lang w:eastAsia="en-AU"/>
              </w:rPr>
            </w:pPr>
            <w:r w:rsidRPr="00F07EFA">
              <w:rPr>
                <w:sz w:val="21"/>
                <w:szCs w:val="21"/>
                <w:lang w:eastAsia="en-AU"/>
              </w:rPr>
              <w:t xml:space="preserve">The project will also involve the work in transferring the conversion factor information compiled from other sources, such as the information presented in Clarke et al. (2015) </w:t>
            </w:r>
            <w:r w:rsidRPr="00F07EFA">
              <w:rPr>
                <w:i/>
                <w:sz w:val="21"/>
                <w:szCs w:val="21"/>
                <w:lang w:eastAsia="en-AU"/>
              </w:rPr>
              <w:t>Report of the Pacific Shark Life History Expert Panel Workshop, 28-30 April 2015; SC11-EB-IP-13</w:t>
            </w:r>
            <w:r w:rsidRPr="00F07EFA">
              <w:rPr>
                <w:sz w:val="21"/>
                <w:szCs w:val="21"/>
                <w:lang w:eastAsia="en-AU"/>
              </w:rPr>
              <w:t xml:space="preserve">,  and  conversion factor data compiled from the Australia domestic longline fishery. </w:t>
            </w:r>
          </w:p>
          <w:p w14:paraId="19AD881C" w14:textId="77777777" w:rsidR="00BA3E50" w:rsidRPr="00F07EFA" w:rsidRDefault="00BA3E50" w:rsidP="00241619">
            <w:pPr>
              <w:adjustRightInd w:val="0"/>
              <w:snapToGrid w:val="0"/>
              <w:rPr>
                <w:sz w:val="21"/>
                <w:szCs w:val="21"/>
                <w:lang w:eastAsia="en-AU"/>
              </w:rPr>
            </w:pPr>
          </w:p>
          <w:p w14:paraId="314B5045" w14:textId="77777777" w:rsidR="00BA3E50" w:rsidRPr="00F07EFA" w:rsidRDefault="00BA3E50" w:rsidP="00241619">
            <w:pPr>
              <w:adjustRightInd w:val="0"/>
              <w:snapToGrid w:val="0"/>
              <w:rPr>
                <w:sz w:val="21"/>
                <w:szCs w:val="21"/>
                <w:lang w:eastAsia="en-AU"/>
              </w:rPr>
            </w:pPr>
            <w:r w:rsidRPr="00F07EFA">
              <w:rPr>
                <w:sz w:val="21"/>
                <w:szCs w:val="21"/>
              </w:rPr>
              <w:t>Project 90 implementation acknowledges that issues of observer safety, overall workload and work conditions are paramount. The d</w:t>
            </w:r>
            <w:r w:rsidRPr="00F07EFA">
              <w:rPr>
                <w:sz w:val="21"/>
                <w:szCs w:val="21"/>
                <w:lang w:eastAsia="en-AU"/>
              </w:rPr>
              <w:t>evelopment of the data collection protocols for conversion factor measurements through observers should take into account the challenges with on-board observer activities, including, but not limited to;</w:t>
            </w:r>
          </w:p>
          <w:p w14:paraId="31534674" w14:textId="77777777" w:rsidR="00BA3E50" w:rsidRPr="00F07EFA" w:rsidRDefault="00BA3E50" w:rsidP="00241619">
            <w:pPr>
              <w:adjustRightInd w:val="0"/>
              <w:snapToGrid w:val="0"/>
              <w:rPr>
                <w:sz w:val="21"/>
                <w:szCs w:val="21"/>
                <w:lang w:eastAsia="en-AU"/>
              </w:rPr>
            </w:pPr>
          </w:p>
          <w:p w14:paraId="62C28C62" w14:textId="77777777" w:rsidR="00BA3E50" w:rsidRPr="00F07EFA" w:rsidRDefault="00BA3E50" w:rsidP="00580EA4">
            <w:pPr>
              <w:numPr>
                <w:ilvl w:val="0"/>
                <w:numId w:val="132"/>
              </w:numPr>
              <w:adjustRightInd w:val="0"/>
              <w:snapToGrid w:val="0"/>
              <w:jc w:val="both"/>
              <w:rPr>
                <w:sz w:val="21"/>
                <w:szCs w:val="21"/>
                <w:lang w:eastAsia="en-AU"/>
              </w:rPr>
            </w:pPr>
            <w:r w:rsidRPr="00F07EFA">
              <w:rPr>
                <w:sz w:val="21"/>
                <w:szCs w:val="21"/>
                <w:lang w:eastAsia="en-AU"/>
              </w:rPr>
              <w:t>Potential difficulty in measuring large specimens on small boats;</w:t>
            </w:r>
          </w:p>
          <w:p w14:paraId="5C9066F0" w14:textId="77777777" w:rsidR="00BA3E50" w:rsidRPr="00F07EFA" w:rsidRDefault="00BA3E50" w:rsidP="00580EA4">
            <w:pPr>
              <w:numPr>
                <w:ilvl w:val="0"/>
                <w:numId w:val="132"/>
              </w:numPr>
              <w:adjustRightInd w:val="0"/>
              <w:snapToGrid w:val="0"/>
              <w:jc w:val="both"/>
              <w:rPr>
                <w:sz w:val="21"/>
                <w:szCs w:val="21"/>
                <w:lang w:val="en-NZ" w:eastAsia="en-AU"/>
              </w:rPr>
            </w:pPr>
            <w:r w:rsidRPr="00F07EFA">
              <w:rPr>
                <w:sz w:val="21"/>
                <w:szCs w:val="21"/>
                <w:lang w:eastAsia="en-AU"/>
              </w:rPr>
              <w:t xml:space="preserve">Evaluating the feasibility of weighing fish at sea.  For example, consideration of the following: </w:t>
            </w:r>
          </w:p>
          <w:p w14:paraId="2AC9EF23" w14:textId="77777777" w:rsidR="00BA3E50" w:rsidRPr="00F07EFA" w:rsidRDefault="00BA3E50" w:rsidP="00580EA4">
            <w:pPr>
              <w:numPr>
                <w:ilvl w:val="1"/>
                <w:numId w:val="134"/>
              </w:numPr>
              <w:adjustRightInd w:val="0"/>
              <w:snapToGrid w:val="0"/>
              <w:jc w:val="both"/>
              <w:rPr>
                <w:sz w:val="21"/>
                <w:szCs w:val="21"/>
                <w:lang w:val="en-NZ" w:eastAsia="en-AU"/>
              </w:rPr>
            </w:pPr>
            <w:r w:rsidRPr="00F07EFA">
              <w:rPr>
                <w:sz w:val="21"/>
                <w:szCs w:val="21"/>
                <w:lang w:eastAsia="en-AU"/>
              </w:rPr>
              <w:t xml:space="preserve">Ensure any weighing equipment does not hinder the fishing operation. </w:t>
            </w:r>
          </w:p>
          <w:p w14:paraId="1FE7E569" w14:textId="77777777" w:rsidR="00BA3E50" w:rsidRPr="00F07EFA" w:rsidRDefault="00BA3E50" w:rsidP="00580EA4">
            <w:pPr>
              <w:numPr>
                <w:ilvl w:val="1"/>
                <w:numId w:val="134"/>
              </w:numPr>
              <w:adjustRightInd w:val="0"/>
              <w:snapToGrid w:val="0"/>
              <w:jc w:val="both"/>
              <w:rPr>
                <w:sz w:val="21"/>
                <w:szCs w:val="21"/>
                <w:lang w:val="en-NZ" w:eastAsia="en-AU"/>
              </w:rPr>
            </w:pPr>
            <w:r w:rsidRPr="00F07EFA">
              <w:rPr>
                <w:sz w:val="21"/>
                <w:szCs w:val="21"/>
                <w:lang w:eastAsia="en-AU"/>
              </w:rPr>
              <w:t>Simplifying the process of any onboard weight measurements;</w:t>
            </w:r>
          </w:p>
          <w:p w14:paraId="1E58C2DD" w14:textId="77777777" w:rsidR="00BA3E50" w:rsidRPr="00F07EFA" w:rsidRDefault="00BA3E50" w:rsidP="00580EA4">
            <w:pPr>
              <w:numPr>
                <w:ilvl w:val="1"/>
                <w:numId w:val="134"/>
              </w:numPr>
              <w:adjustRightInd w:val="0"/>
              <w:snapToGrid w:val="0"/>
              <w:jc w:val="both"/>
              <w:rPr>
                <w:sz w:val="21"/>
                <w:szCs w:val="21"/>
                <w:lang w:val="en-NZ" w:eastAsia="en-AU"/>
              </w:rPr>
            </w:pPr>
            <w:r w:rsidRPr="00F07EFA">
              <w:rPr>
                <w:sz w:val="21"/>
                <w:szCs w:val="21"/>
                <w:lang w:val="en-NZ" w:eastAsia="en-AU"/>
              </w:rPr>
              <w:t>T</w:t>
            </w:r>
            <w:r w:rsidRPr="00F07EFA">
              <w:rPr>
                <w:sz w:val="21"/>
                <w:szCs w:val="21"/>
                <w:lang w:eastAsia="en-AU"/>
              </w:rPr>
              <w:t xml:space="preserve">o what extent the assistance of the crew will be expected, and </w:t>
            </w:r>
          </w:p>
          <w:p w14:paraId="4E386A55" w14:textId="77777777" w:rsidR="00BA3E50" w:rsidRPr="00F07EFA" w:rsidRDefault="00BA3E50" w:rsidP="00580EA4">
            <w:pPr>
              <w:numPr>
                <w:ilvl w:val="1"/>
                <w:numId w:val="134"/>
              </w:numPr>
              <w:adjustRightInd w:val="0"/>
              <w:snapToGrid w:val="0"/>
              <w:jc w:val="both"/>
              <w:rPr>
                <w:sz w:val="21"/>
                <w:szCs w:val="21"/>
                <w:lang w:val="en-NZ" w:eastAsia="en-AU"/>
              </w:rPr>
            </w:pPr>
            <w:r w:rsidRPr="00F07EFA">
              <w:rPr>
                <w:sz w:val="21"/>
                <w:szCs w:val="21"/>
                <w:lang w:eastAsia="en-AU"/>
              </w:rPr>
              <w:t xml:space="preserve">Avoiding duplicate weighing of specimens by keeping and weighing removals. </w:t>
            </w:r>
          </w:p>
          <w:p w14:paraId="655414BF" w14:textId="77777777" w:rsidR="00BA3E50" w:rsidRPr="00F07EFA" w:rsidRDefault="00BA3E50" w:rsidP="00241619">
            <w:pPr>
              <w:adjustRightInd w:val="0"/>
              <w:snapToGrid w:val="0"/>
              <w:rPr>
                <w:sz w:val="21"/>
                <w:szCs w:val="21"/>
                <w:lang w:eastAsia="en-AU"/>
              </w:rPr>
            </w:pPr>
          </w:p>
          <w:p w14:paraId="65ACC35E" w14:textId="77777777" w:rsidR="00BA3E50" w:rsidRPr="004B6F4C" w:rsidRDefault="00BA3E50" w:rsidP="00580EA4">
            <w:pPr>
              <w:numPr>
                <w:ilvl w:val="0"/>
                <w:numId w:val="133"/>
              </w:numPr>
              <w:adjustRightInd w:val="0"/>
              <w:snapToGrid w:val="0"/>
              <w:ind w:left="360"/>
              <w:jc w:val="both"/>
              <w:rPr>
                <w:rFonts w:eastAsia="SimSun"/>
                <w:sz w:val="21"/>
                <w:szCs w:val="21"/>
                <w:lang w:val="en-AU" w:eastAsia="en-NZ"/>
              </w:rPr>
            </w:pPr>
            <w:r w:rsidRPr="00F07EFA">
              <w:rPr>
                <w:rFonts w:eastAsia="SimSun"/>
                <w:sz w:val="21"/>
                <w:szCs w:val="21"/>
                <w:lang w:val="en-AU" w:eastAsia="en-NZ"/>
              </w:rPr>
              <w:t>Note that any sharks which fishers are not allowed to retain will not be in the observer protocol for this project</w:t>
            </w:r>
            <w:r w:rsidRPr="00F07EFA">
              <w:rPr>
                <w:rFonts w:eastAsia="SimSun"/>
                <w:sz w:val="21"/>
                <w:szCs w:val="21"/>
                <w:lang w:val="en-AU" w:eastAsia="ja-JP"/>
              </w:rPr>
              <w:t>.</w:t>
            </w:r>
          </w:p>
        </w:tc>
      </w:tr>
      <w:tr w:rsidR="00BA3E50" w:rsidRPr="00F07EFA" w14:paraId="1F1CF8D9" w14:textId="77777777" w:rsidTr="004B6F4C">
        <w:tc>
          <w:tcPr>
            <w:tcW w:w="816" w:type="pct"/>
          </w:tcPr>
          <w:p w14:paraId="54FCDC72" w14:textId="77777777" w:rsidR="00BA3E50" w:rsidRPr="00F07EFA" w:rsidRDefault="00BA3E50" w:rsidP="00241619">
            <w:pPr>
              <w:adjustRightInd w:val="0"/>
              <w:snapToGrid w:val="0"/>
              <w:rPr>
                <w:sz w:val="21"/>
                <w:szCs w:val="21"/>
                <w:lang w:eastAsia="en-AU"/>
              </w:rPr>
            </w:pPr>
            <w:r w:rsidRPr="00F07EFA">
              <w:rPr>
                <w:sz w:val="21"/>
                <w:szCs w:val="21"/>
                <w:lang w:eastAsia="en-AU"/>
              </w:rPr>
              <w:t>Rationale</w:t>
            </w:r>
          </w:p>
          <w:p w14:paraId="03A1EE5D" w14:textId="77777777" w:rsidR="00BA3E50" w:rsidRPr="00F07EFA" w:rsidRDefault="00BA3E50" w:rsidP="00241619">
            <w:pPr>
              <w:adjustRightInd w:val="0"/>
              <w:snapToGrid w:val="0"/>
              <w:rPr>
                <w:sz w:val="21"/>
                <w:szCs w:val="21"/>
                <w:lang w:eastAsia="en-AU"/>
              </w:rPr>
            </w:pPr>
          </w:p>
          <w:p w14:paraId="76421D4E" w14:textId="77777777" w:rsidR="00BA3E50" w:rsidRPr="00F07EFA" w:rsidRDefault="00BA3E50" w:rsidP="00241619">
            <w:pPr>
              <w:adjustRightInd w:val="0"/>
              <w:snapToGrid w:val="0"/>
              <w:rPr>
                <w:sz w:val="21"/>
                <w:szCs w:val="21"/>
                <w:lang w:eastAsia="en-AU"/>
              </w:rPr>
            </w:pPr>
          </w:p>
        </w:tc>
        <w:tc>
          <w:tcPr>
            <w:tcW w:w="4184" w:type="pct"/>
          </w:tcPr>
          <w:p w14:paraId="616B2A07" w14:textId="77777777" w:rsidR="00BA3E50" w:rsidRPr="00F07EFA" w:rsidRDefault="00BA3E50" w:rsidP="00241619">
            <w:pPr>
              <w:adjustRightInd w:val="0"/>
              <w:snapToGrid w:val="0"/>
              <w:rPr>
                <w:sz w:val="21"/>
                <w:szCs w:val="21"/>
                <w:lang w:eastAsia="en-AU"/>
              </w:rPr>
            </w:pPr>
            <w:r w:rsidRPr="00F07EFA">
              <w:rPr>
                <w:sz w:val="21"/>
                <w:szCs w:val="21"/>
                <w:lang w:eastAsia="en-AU"/>
              </w:rPr>
              <w:t>Estimates of bycatch are currently collected through the ROP in units of number, weight or both. In order to convert from numbers to weight, and vice versa, it is necessary to have information on both the size of caught individuals, and appropriate length:weight relationships for the species in question. This conversion between numbers and weight allows analyses of bycatch data to use the full observer dataset, rather than a subset with a consistent unit of measurement, therefore maximising the utility of the bycatch data recorded by observers. Furthermore, bycatch length data allows for consideration of the life-stages of individuals. This information could be of particular interest when considering bycatches of SSIs. There are currently insufficient, or unrepresentative, length samples for species caught in purse seine and longline fisheries, with the exception of bigeye, yellowfin and bigeye in purse seine catches, which are sampled through observer grab samples. This project would fill this data gap.</w:t>
            </w:r>
          </w:p>
          <w:p w14:paraId="67382F93" w14:textId="77777777" w:rsidR="00BA3E50" w:rsidRPr="00F07EFA" w:rsidRDefault="00BA3E50" w:rsidP="00241619">
            <w:pPr>
              <w:adjustRightInd w:val="0"/>
              <w:snapToGrid w:val="0"/>
              <w:rPr>
                <w:sz w:val="21"/>
                <w:szCs w:val="21"/>
                <w:lang w:eastAsia="en-AU"/>
              </w:rPr>
            </w:pPr>
          </w:p>
          <w:p w14:paraId="7185FCDB" w14:textId="77777777" w:rsidR="00BA3E50" w:rsidRPr="00F07EFA" w:rsidRDefault="00BA3E50" w:rsidP="00241619">
            <w:pPr>
              <w:adjustRightInd w:val="0"/>
              <w:snapToGrid w:val="0"/>
              <w:rPr>
                <w:sz w:val="21"/>
                <w:szCs w:val="21"/>
                <w:lang w:eastAsia="en-AU"/>
              </w:rPr>
            </w:pPr>
            <w:r w:rsidRPr="00F07EFA">
              <w:rPr>
                <w:sz w:val="21"/>
                <w:szCs w:val="21"/>
                <w:lang w:eastAsia="en-AU"/>
              </w:rPr>
              <w:t xml:space="preserve">At least SEVEN (7) Pacific Island member countries with observer programmes have expressed interest in participating in conversion factor data collection, as long as funding support is available to cover any reasonable request for the additional work required by observers and port samplers. </w:t>
            </w:r>
          </w:p>
          <w:p w14:paraId="3C425153" w14:textId="77777777" w:rsidR="00BA3E50" w:rsidRPr="00F07EFA" w:rsidRDefault="00BA3E50" w:rsidP="00241619">
            <w:pPr>
              <w:adjustRightInd w:val="0"/>
              <w:snapToGrid w:val="0"/>
              <w:rPr>
                <w:sz w:val="21"/>
                <w:szCs w:val="21"/>
                <w:lang w:eastAsia="en-AU"/>
              </w:rPr>
            </w:pPr>
            <w:r w:rsidRPr="00F07EFA">
              <w:rPr>
                <w:sz w:val="21"/>
                <w:szCs w:val="21"/>
                <w:lang w:eastAsia="en-AU"/>
              </w:rPr>
              <w:t xml:space="preserve"> </w:t>
            </w:r>
          </w:p>
          <w:p w14:paraId="5736A90E" w14:textId="77777777" w:rsidR="00BA3E50" w:rsidRPr="00F07EFA" w:rsidRDefault="00BA3E50" w:rsidP="00241619">
            <w:pPr>
              <w:adjustRightInd w:val="0"/>
              <w:snapToGrid w:val="0"/>
              <w:rPr>
                <w:sz w:val="21"/>
                <w:szCs w:val="21"/>
                <w:lang w:eastAsia="en-AU"/>
              </w:rPr>
            </w:pPr>
            <w:r w:rsidRPr="00F07EFA">
              <w:rPr>
                <w:sz w:val="21"/>
                <w:szCs w:val="21"/>
                <w:lang w:eastAsia="en-AU"/>
              </w:rPr>
              <w:t>Accordingly, this project addresses objectives arising from discussions at SC13 about the results of regional estimates of purse seine and longline bycatch (Peatman et al., 2017; Peatman et al., 2018a; Peatman et al., 2018b). As a result of the discussions in 2017, SC13 recommended that the Scientific Service</w:t>
            </w:r>
            <w:r w:rsidR="00C93CB8">
              <w:rPr>
                <w:rFonts w:eastAsiaTheme="minorEastAsia" w:hint="eastAsia"/>
                <w:sz w:val="21"/>
                <w:szCs w:val="21"/>
                <w:lang w:eastAsia="ko-KR"/>
              </w:rPr>
              <w:t>s</w:t>
            </w:r>
            <w:r w:rsidRPr="00F07EFA">
              <w:rPr>
                <w:sz w:val="21"/>
                <w:szCs w:val="21"/>
                <w:lang w:eastAsia="en-AU"/>
              </w:rPr>
              <w:t xml:space="preserve"> Provider be tasked with:</w:t>
            </w:r>
          </w:p>
          <w:p w14:paraId="670057FF"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designing and co-ordinating the systematic collection of representative samples of length measurements of bycatch species; and</w:t>
            </w:r>
          </w:p>
          <w:p w14:paraId="133CD0A5"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a project to design and co-ordinate the systematic collection of length:length, length:weight and weight:weight data on all species to better inform bycatch estimation.</w:t>
            </w:r>
          </w:p>
        </w:tc>
      </w:tr>
      <w:tr w:rsidR="00BA3E50" w:rsidRPr="00F07EFA" w14:paraId="415F9759" w14:textId="77777777" w:rsidTr="004B6F4C">
        <w:tc>
          <w:tcPr>
            <w:tcW w:w="816" w:type="pct"/>
          </w:tcPr>
          <w:p w14:paraId="35836B6F" w14:textId="77777777" w:rsidR="00BA3E50" w:rsidRPr="00F07EFA" w:rsidRDefault="00BA3E50" w:rsidP="00241619">
            <w:pPr>
              <w:adjustRightInd w:val="0"/>
              <w:snapToGrid w:val="0"/>
              <w:rPr>
                <w:sz w:val="21"/>
                <w:szCs w:val="21"/>
                <w:lang w:eastAsia="en-AU"/>
              </w:rPr>
            </w:pPr>
            <w:r w:rsidRPr="00F07EFA">
              <w:rPr>
                <w:sz w:val="21"/>
                <w:szCs w:val="21"/>
                <w:lang w:eastAsia="en-AU"/>
              </w:rPr>
              <w:t>Assumptions</w:t>
            </w:r>
          </w:p>
        </w:tc>
        <w:tc>
          <w:tcPr>
            <w:tcW w:w="4184" w:type="pct"/>
          </w:tcPr>
          <w:p w14:paraId="0DBD498F" w14:textId="77777777" w:rsidR="00BA3E50" w:rsidRPr="00F07EFA" w:rsidRDefault="00BA3E50" w:rsidP="00241619">
            <w:pPr>
              <w:adjustRightInd w:val="0"/>
              <w:snapToGrid w:val="0"/>
              <w:rPr>
                <w:sz w:val="21"/>
                <w:szCs w:val="21"/>
                <w:lang w:eastAsia="en-AU"/>
              </w:rPr>
            </w:pPr>
            <w:r w:rsidRPr="00F07EFA">
              <w:rPr>
                <w:sz w:val="21"/>
                <w:szCs w:val="21"/>
                <w:lang w:eastAsia="en-AU"/>
              </w:rPr>
              <w:t>Achievement of the objectives is subject to the following assumptions:</w:t>
            </w:r>
          </w:p>
          <w:p w14:paraId="31BBAA53"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sufficient data are available to support the sampling design analyses;</w:t>
            </w:r>
          </w:p>
          <w:p w14:paraId="0781EE8C"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sampling designs can be developed which are statistically robust and would support future estimation of fish bycatch in the WCPO;</w:t>
            </w:r>
          </w:p>
          <w:p w14:paraId="1EA933C6"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 xml:space="preserve">current observer equipment (e.g. </w:t>
            </w:r>
            <w:r w:rsidR="00260D83" w:rsidRPr="00F07EFA">
              <w:rPr>
                <w:rFonts w:eastAsia="SimSun"/>
                <w:sz w:val="21"/>
                <w:szCs w:val="21"/>
                <w:lang w:val="en-AU" w:eastAsia="en-NZ"/>
              </w:rPr>
              <w:t>callipers</w:t>
            </w:r>
            <w:r w:rsidRPr="00F07EFA">
              <w:rPr>
                <w:rFonts w:eastAsia="SimSun"/>
                <w:sz w:val="21"/>
                <w:szCs w:val="21"/>
                <w:lang w:val="en-AU" w:eastAsia="en-NZ"/>
              </w:rPr>
              <w:t>) is suitable for the length sampling protocols;</w:t>
            </w:r>
          </w:p>
          <w:p w14:paraId="5C33EE46"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 xml:space="preserve">suitable and cost-effective equipment can be sourced for robust weight data collection; </w:t>
            </w:r>
          </w:p>
          <w:p w14:paraId="4F48C7E0"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data collection can be integrated into existing sampling events in-port and at-sea;.</w:t>
            </w:r>
          </w:p>
          <w:p w14:paraId="3628AB0D"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 xml:space="preserve">resources are available within selected countries to undertake this work; and </w:t>
            </w:r>
          </w:p>
          <w:p w14:paraId="5136E0EC"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the sub-regional DCC observer conversion factors form will be the basis for data collection.</w:t>
            </w:r>
          </w:p>
        </w:tc>
      </w:tr>
      <w:tr w:rsidR="00BA3E50" w:rsidRPr="00F07EFA" w14:paraId="5DC490AC" w14:textId="77777777" w:rsidTr="004B6F4C">
        <w:tc>
          <w:tcPr>
            <w:tcW w:w="816" w:type="pct"/>
          </w:tcPr>
          <w:p w14:paraId="0B3E1477" w14:textId="77777777" w:rsidR="00BA3E50" w:rsidRPr="00F07EFA" w:rsidRDefault="00BA3E50" w:rsidP="00241619">
            <w:pPr>
              <w:adjustRightInd w:val="0"/>
              <w:snapToGrid w:val="0"/>
              <w:rPr>
                <w:sz w:val="21"/>
                <w:szCs w:val="21"/>
                <w:lang w:eastAsia="en-AU"/>
              </w:rPr>
            </w:pPr>
            <w:r w:rsidRPr="00F07EFA">
              <w:rPr>
                <w:sz w:val="21"/>
                <w:szCs w:val="21"/>
                <w:lang w:eastAsia="en-AU"/>
              </w:rPr>
              <w:t>Scope</w:t>
            </w:r>
          </w:p>
        </w:tc>
        <w:tc>
          <w:tcPr>
            <w:tcW w:w="4184" w:type="pct"/>
          </w:tcPr>
          <w:p w14:paraId="67A3D89E" w14:textId="77777777" w:rsidR="00BA3E50" w:rsidRPr="00F07EFA" w:rsidRDefault="00BA3E50" w:rsidP="00241619">
            <w:pPr>
              <w:adjustRightInd w:val="0"/>
              <w:snapToGrid w:val="0"/>
              <w:rPr>
                <w:sz w:val="21"/>
                <w:szCs w:val="21"/>
                <w:lang w:eastAsia="en-AU"/>
              </w:rPr>
            </w:pPr>
            <w:r w:rsidRPr="00F07EFA">
              <w:rPr>
                <w:sz w:val="21"/>
                <w:szCs w:val="21"/>
                <w:lang w:eastAsia="en-AU"/>
              </w:rPr>
              <w:t>The proposed work programme comprises:</w:t>
            </w:r>
          </w:p>
          <w:p w14:paraId="13BA18DE"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data compilation activities;</w:t>
            </w:r>
          </w:p>
          <w:p w14:paraId="6558AC9A"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subsequent</w:t>
            </w:r>
            <w:r w:rsidRPr="00F07EFA">
              <w:rPr>
                <w:rFonts w:eastAsia="SimSun"/>
                <w:color w:val="FF0000"/>
                <w:sz w:val="21"/>
                <w:szCs w:val="21"/>
                <w:lang w:val="en-AU" w:eastAsia="en-NZ"/>
              </w:rPr>
              <w:t xml:space="preserve"> </w:t>
            </w:r>
            <w:r w:rsidRPr="00F07EFA">
              <w:rPr>
                <w:rFonts w:eastAsia="SimSun"/>
                <w:sz w:val="21"/>
                <w:szCs w:val="21"/>
                <w:lang w:val="en-AU" w:eastAsia="en-NZ"/>
              </w:rPr>
              <w:t>statistical analysis activities to design future sampling approaches;</w:t>
            </w:r>
          </w:p>
          <w:p w14:paraId="15E27361"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evaluation of designs for practical field application;</w:t>
            </w:r>
          </w:p>
          <w:p w14:paraId="2B710524"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 xml:space="preserve">trials of selected sampling approaches in the field along with trials of equipment required to complete the sampling designs; </w:t>
            </w:r>
          </w:p>
          <w:p w14:paraId="29DEF2B2"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finalisation of future sampling protocols;</w:t>
            </w:r>
          </w:p>
          <w:p w14:paraId="69116E7A"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development of associated training standards;</w:t>
            </w:r>
          </w:p>
          <w:p w14:paraId="5CC83A07"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incorporation of training into trainer trainings and biological sampling trainings as required;</w:t>
            </w:r>
          </w:p>
          <w:p w14:paraId="0866F41D"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ongoing co-ordination of sample collection and data submission; and</w:t>
            </w:r>
          </w:p>
          <w:p w14:paraId="70AFC0A4" w14:textId="77777777" w:rsidR="00BA3E50" w:rsidRPr="00F07EFA" w:rsidRDefault="00BA3E50" w:rsidP="00580EA4">
            <w:pPr>
              <w:numPr>
                <w:ilvl w:val="0"/>
                <w:numId w:val="131"/>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reporting on designs and progress with implementation and data collection.</w:t>
            </w:r>
          </w:p>
          <w:p w14:paraId="217E580E" w14:textId="77777777" w:rsidR="00BA3E50" w:rsidRPr="00F07EFA" w:rsidRDefault="00BA3E50" w:rsidP="00241619">
            <w:pPr>
              <w:adjustRightInd w:val="0"/>
              <w:snapToGrid w:val="0"/>
              <w:rPr>
                <w:sz w:val="21"/>
                <w:szCs w:val="21"/>
                <w:lang w:eastAsia="en-AU"/>
              </w:rPr>
            </w:pPr>
          </w:p>
          <w:p w14:paraId="0704C9F6" w14:textId="77777777" w:rsidR="00BA3E50" w:rsidRPr="00F07EFA" w:rsidRDefault="00BA3E50" w:rsidP="00241619">
            <w:pPr>
              <w:adjustRightInd w:val="0"/>
              <w:snapToGrid w:val="0"/>
              <w:rPr>
                <w:sz w:val="21"/>
                <w:szCs w:val="21"/>
                <w:lang w:eastAsia="en-AU"/>
              </w:rPr>
            </w:pPr>
            <w:r w:rsidRPr="00F07EFA">
              <w:rPr>
                <w:sz w:val="21"/>
                <w:szCs w:val="21"/>
                <w:lang w:eastAsia="en-AU"/>
              </w:rPr>
              <w:t>It is intended that a preliminary report would be prepared for SC15 and a more comprehensive report for SC16 and a final report at SC17.</w:t>
            </w:r>
          </w:p>
        </w:tc>
      </w:tr>
      <w:tr w:rsidR="00BA3E50" w:rsidRPr="00F07EFA" w14:paraId="7D8B4AD3" w14:textId="77777777" w:rsidTr="004B6F4C">
        <w:tc>
          <w:tcPr>
            <w:tcW w:w="816" w:type="pct"/>
          </w:tcPr>
          <w:p w14:paraId="58EEFA10" w14:textId="77777777" w:rsidR="00BA3E50" w:rsidRPr="00F07EFA" w:rsidRDefault="00BA3E50" w:rsidP="00241619">
            <w:pPr>
              <w:adjustRightInd w:val="0"/>
              <w:snapToGrid w:val="0"/>
              <w:rPr>
                <w:sz w:val="21"/>
                <w:szCs w:val="21"/>
                <w:lang w:eastAsia="en-AU"/>
              </w:rPr>
            </w:pPr>
            <w:r w:rsidRPr="00F07EFA">
              <w:rPr>
                <w:sz w:val="21"/>
                <w:szCs w:val="21"/>
                <w:lang w:eastAsia="en-AU"/>
              </w:rPr>
              <w:t>Timeframe</w:t>
            </w:r>
          </w:p>
        </w:tc>
        <w:tc>
          <w:tcPr>
            <w:tcW w:w="4184" w:type="pct"/>
          </w:tcPr>
          <w:p w14:paraId="62FC2103" w14:textId="77777777" w:rsidR="00BA3E50" w:rsidRPr="00F07EFA" w:rsidRDefault="00BA3E50" w:rsidP="00241619">
            <w:pPr>
              <w:adjustRightInd w:val="0"/>
              <w:snapToGrid w:val="0"/>
              <w:rPr>
                <w:sz w:val="21"/>
                <w:szCs w:val="21"/>
                <w:lang w:eastAsia="en-AU"/>
              </w:rPr>
            </w:pPr>
            <w:r w:rsidRPr="00F07EFA">
              <w:rPr>
                <w:sz w:val="21"/>
                <w:szCs w:val="21"/>
                <w:lang w:eastAsia="en-AU"/>
              </w:rPr>
              <w:t>33 months (from January 2019 through September 2021)</w:t>
            </w:r>
          </w:p>
        </w:tc>
      </w:tr>
      <w:tr w:rsidR="00BA3E50" w:rsidRPr="00F07EFA" w14:paraId="24F593EC" w14:textId="77777777" w:rsidTr="004B6F4C">
        <w:tc>
          <w:tcPr>
            <w:tcW w:w="816" w:type="pct"/>
          </w:tcPr>
          <w:p w14:paraId="63C27F94" w14:textId="77777777" w:rsidR="00BA3E50" w:rsidRPr="00F07EFA" w:rsidRDefault="00BA3E50" w:rsidP="00241619">
            <w:pPr>
              <w:adjustRightInd w:val="0"/>
              <w:snapToGrid w:val="0"/>
              <w:rPr>
                <w:sz w:val="21"/>
                <w:szCs w:val="21"/>
                <w:lang w:eastAsia="en-AU"/>
              </w:rPr>
            </w:pPr>
            <w:r w:rsidRPr="00F07EFA">
              <w:rPr>
                <w:sz w:val="21"/>
                <w:szCs w:val="21"/>
                <w:lang w:eastAsia="en-AU"/>
              </w:rPr>
              <w:t>Budget</w:t>
            </w:r>
          </w:p>
        </w:tc>
        <w:tc>
          <w:tcPr>
            <w:tcW w:w="4184" w:type="pct"/>
          </w:tcPr>
          <w:p w14:paraId="37A54594" w14:textId="77777777" w:rsidR="00BA3E50" w:rsidRPr="00F07EFA" w:rsidRDefault="00BA3E50" w:rsidP="00241619">
            <w:pPr>
              <w:adjustRightInd w:val="0"/>
              <w:snapToGrid w:val="0"/>
              <w:rPr>
                <w:sz w:val="21"/>
                <w:szCs w:val="21"/>
                <w:lang w:eastAsia="en-AU"/>
              </w:rPr>
            </w:pPr>
            <w:r w:rsidRPr="00F07EFA">
              <w:rPr>
                <w:sz w:val="21"/>
                <w:szCs w:val="21"/>
                <w:lang w:eastAsia="en-AU"/>
              </w:rPr>
              <w:t>2019 US$60,000</w:t>
            </w:r>
          </w:p>
          <w:p w14:paraId="5A6B1F6C" w14:textId="77777777" w:rsidR="00BA3E50" w:rsidRPr="00F07EFA" w:rsidRDefault="00BA3E50" w:rsidP="00241619">
            <w:pPr>
              <w:adjustRightInd w:val="0"/>
              <w:snapToGrid w:val="0"/>
              <w:rPr>
                <w:sz w:val="21"/>
                <w:szCs w:val="21"/>
                <w:lang w:eastAsia="en-AU"/>
              </w:rPr>
            </w:pPr>
            <w:r w:rsidRPr="00F07EFA">
              <w:rPr>
                <w:sz w:val="21"/>
                <w:szCs w:val="21"/>
                <w:lang w:eastAsia="en-AU"/>
              </w:rPr>
              <w:t>2020 US$30,000</w:t>
            </w:r>
          </w:p>
          <w:p w14:paraId="5AA15836" w14:textId="77777777" w:rsidR="00BA3E50" w:rsidRPr="00F07EFA" w:rsidRDefault="00BA3E50" w:rsidP="00241619">
            <w:pPr>
              <w:adjustRightInd w:val="0"/>
              <w:snapToGrid w:val="0"/>
              <w:rPr>
                <w:sz w:val="21"/>
                <w:szCs w:val="21"/>
                <w:lang w:eastAsia="en-AU"/>
              </w:rPr>
            </w:pPr>
            <w:r w:rsidRPr="00F07EFA">
              <w:rPr>
                <w:sz w:val="21"/>
                <w:szCs w:val="21"/>
                <w:lang w:eastAsia="en-AU"/>
              </w:rPr>
              <w:t>2021 US$20,000</w:t>
            </w:r>
          </w:p>
          <w:p w14:paraId="7AC1F19F" w14:textId="77777777" w:rsidR="00BA3E50" w:rsidRPr="00F07EFA" w:rsidRDefault="00BA3E50" w:rsidP="00241619">
            <w:pPr>
              <w:adjustRightInd w:val="0"/>
              <w:snapToGrid w:val="0"/>
              <w:rPr>
                <w:sz w:val="21"/>
                <w:szCs w:val="21"/>
                <w:lang w:eastAsia="en-AU"/>
              </w:rPr>
            </w:pPr>
          </w:p>
          <w:p w14:paraId="7D5F5113" w14:textId="77777777" w:rsidR="00BA3E50" w:rsidRPr="00F07EFA" w:rsidRDefault="00BA3E50" w:rsidP="00241619">
            <w:pPr>
              <w:adjustRightInd w:val="0"/>
              <w:snapToGrid w:val="0"/>
              <w:rPr>
                <w:sz w:val="21"/>
                <w:szCs w:val="21"/>
                <w:lang w:eastAsia="en-AU"/>
              </w:rPr>
            </w:pPr>
            <w:r w:rsidRPr="00F07EFA">
              <w:rPr>
                <w:sz w:val="21"/>
                <w:szCs w:val="21"/>
                <w:lang w:eastAsia="en-AU"/>
              </w:rPr>
              <w:t xml:space="preserve">Note that this funding is intended to cover the work of the Scientific Services Provider in the design and co-ordination of this work. This will cover the analytical components identified in the scope of the project. It will also cover trials of methodologies identified at-sea and in-port. </w:t>
            </w:r>
          </w:p>
          <w:p w14:paraId="4CB650E5" w14:textId="77777777" w:rsidR="00BA3E50" w:rsidRPr="00F07EFA" w:rsidRDefault="00BA3E50" w:rsidP="00241619">
            <w:pPr>
              <w:adjustRightInd w:val="0"/>
              <w:snapToGrid w:val="0"/>
              <w:rPr>
                <w:sz w:val="21"/>
                <w:szCs w:val="21"/>
                <w:lang w:eastAsia="en-AU"/>
              </w:rPr>
            </w:pPr>
          </w:p>
          <w:p w14:paraId="094A38F0" w14:textId="77777777" w:rsidR="00BA3E50" w:rsidRPr="00F07EFA" w:rsidRDefault="00BA3E50" w:rsidP="00241619">
            <w:pPr>
              <w:adjustRightInd w:val="0"/>
              <w:snapToGrid w:val="0"/>
              <w:rPr>
                <w:sz w:val="21"/>
                <w:szCs w:val="21"/>
                <w:lang w:eastAsia="en-AU"/>
              </w:rPr>
            </w:pPr>
            <w:r w:rsidRPr="00F07EFA">
              <w:rPr>
                <w:sz w:val="21"/>
                <w:szCs w:val="21"/>
                <w:lang w:eastAsia="en-AU"/>
              </w:rPr>
              <w:t>The funding in 2019 includes the costs to cover the additional work for selected observers from some observer providers, which will inform the process for refining the budget for this project in subsequent years.</w:t>
            </w:r>
          </w:p>
          <w:p w14:paraId="7F76F732" w14:textId="77777777" w:rsidR="00BA3E50" w:rsidRPr="00F07EFA" w:rsidRDefault="00BA3E50" w:rsidP="00241619">
            <w:pPr>
              <w:adjustRightInd w:val="0"/>
              <w:snapToGrid w:val="0"/>
              <w:rPr>
                <w:sz w:val="21"/>
                <w:szCs w:val="21"/>
                <w:lang w:eastAsia="en-AU"/>
              </w:rPr>
            </w:pPr>
            <w:r w:rsidRPr="00F07EFA">
              <w:rPr>
                <w:sz w:val="21"/>
                <w:szCs w:val="21"/>
                <w:lang w:eastAsia="en-AU"/>
              </w:rPr>
              <w:t xml:space="preserve"> </w:t>
            </w:r>
          </w:p>
          <w:p w14:paraId="11F63938" w14:textId="77777777" w:rsidR="00BA3E50" w:rsidRPr="00F07EFA" w:rsidRDefault="00BA3E50" w:rsidP="00241619">
            <w:pPr>
              <w:adjustRightInd w:val="0"/>
              <w:snapToGrid w:val="0"/>
              <w:rPr>
                <w:sz w:val="21"/>
                <w:szCs w:val="21"/>
                <w:lang w:eastAsia="en-AU"/>
              </w:rPr>
            </w:pPr>
            <w:r w:rsidRPr="00F07EFA">
              <w:rPr>
                <w:sz w:val="21"/>
                <w:szCs w:val="21"/>
                <w:lang w:eastAsia="en-AU"/>
              </w:rPr>
              <w:t xml:space="preserve">The 2019 funding also includes the costs to investigate and purchase 1-2 weighing devices in the initial implementation phase.  </w:t>
            </w:r>
          </w:p>
          <w:p w14:paraId="2DFDDD28" w14:textId="77777777" w:rsidR="00BA3E50" w:rsidRPr="00F07EFA" w:rsidRDefault="00BA3E50" w:rsidP="00241619">
            <w:pPr>
              <w:adjustRightInd w:val="0"/>
              <w:snapToGrid w:val="0"/>
              <w:rPr>
                <w:sz w:val="21"/>
                <w:szCs w:val="21"/>
                <w:lang w:eastAsia="en-AU"/>
              </w:rPr>
            </w:pPr>
          </w:p>
          <w:p w14:paraId="7F1A09C4" w14:textId="77777777" w:rsidR="00BA3E50" w:rsidRPr="00F07EFA" w:rsidRDefault="00BA3E50" w:rsidP="00241619">
            <w:pPr>
              <w:adjustRightInd w:val="0"/>
              <w:snapToGrid w:val="0"/>
              <w:rPr>
                <w:sz w:val="21"/>
                <w:szCs w:val="21"/>
                <w:lang w:eastAsia="en-AU"/>
              </w:rPr>
            </w:pPr>
            <w:r w:rsidRPr="00F07EFA">
              <w:rPr>
                <w:sz w:val="21"/>
                <w:szCs w:val="21"/>
                <w:lang w:eastAsia="en-AU"/>
              </w:rPr>
              <w:t xml:space="preserve">It does not cover the costs of CCMs in implementing the protocols or the purchase of related equipment. This will require co-funding or additional funding depending on the designs selected in the design and testing phase and may require additional requests for funding from SC15. </w:t>
            </w:r>
          </w:p>
        </w:tc>
      </w:tr>
      <w:tr w:rsidR="00BA3E50" w:rsidRPr="00F07EFA" w14:paraId="4B7DB52B" w14:textId="77777777" w:rsidTr="004B6F4C">
        <w:tc>
          <w:tcPr>
            <w:tcW w:w="816" w:type="pct"/>
          </w:tcPr>
          <w:p w14:paraId="7C3897FA" w14:textId="77777777" w:rsidR="00BA3E50" w:rsidRPr="00F07EFA" w:rsidRDefault="00BA3E50" w:rsidP="00241619">
            <w:pPr>
              <w:adjustRightInd w:val="0"/>
              <w:snapToGrid w:val="0"/>
              <w:rPr>
                <w:sz w:val="21"/>
                <w:szCs w:val="21"/>
                <w:lang w:eastAsia="en-AU"/>
              </w:rPr>
            </w:pPr>
            <w:r w:rsidRPr="00F07EFA">
              <w:rPr>
                <w:sz w:val="21"/>
                <w:szCs w:val="21"/>
                <w:lang w:eastAsia="en-AU"/>
              </w:rPr>
              <w:t>References</w:t>
            </w:r>
          </w:p>
        </w:tc>
        <w:tc>
          <w:tcPr>
            <w:tcW w:w="4184" w:type="pct"/>
          </w:tcPr>
          <w:p w14:paraId="222B4A75" w14:textId="77777777" w:rsidR="00BA3E50" w:rsidRPr="00F07EFA" w:rsidRDefault="00BA3E50" w:rsidP="00241619">
            <w:pPr>
              <w:adjustRightInd w:val="0"/>
              <w:snapToGrid w:val="0"/>
              <w:rPr>
                <w:sz w:val="21"/>
                <w:szCs w:val="21"/>
                <w:lang w:eastAsia="en-AU"/>
              </w:rPr>
            </w:pPr>
            <w:r w:rsidRPr="00F07EFA">
              <w:rPr>
                <w:sz w:val="21"/>
                <w:szCs w:val="21"/>
                <w:lang w:eastAsia="en-AU"/>
              </w:rPr>
              <w:t>Peatman, T., Allain, V., Caillot, S., Williams, P., and Smith, N. 2017. Summary of purse seine fishery bycatch at a regional scale, 2003-2016. SC13-ST-WP-05. Thirteenth regular session of the Scientific Committee of the Western and Central Pacific Fisheries Commission. Rarotonga, Cook Islands, 9-17 August 2017.</w:t>
            </w:r>
          </w:p>
          <w:p w14:paraId="71D42F10" w14:textId="77777777" w:rsidR="00BA3E50" w:rsidRPr="00F07EFA" w:rsidRDefault="00BA3E50" w:rsidP="00241619">
            <w:pPr>
              <w:adjustRightInd w:val="0"/>
              <w:snapToGrid w:val="0"/>
              <w:rPr>
                <w:sz w:val="21"/>
                <w:szCs w:val="21"/>
                <w:lang w:eastAsia="en-AU"/>
              </w:rPr>
            </w:pPr>
            <w:r w:rsidRPr="00F07EFA">
              <w:rPr>
                <w:sz w:val="21"/>
                <w:szCs w:val="21"/>
                <w:lang w:eastAsia="en-AU"/>
              </w:rPr>
              <w:t>Peatman, T., Bell, L., Allain, V., Caillot, S., Williams, P., Tuiloma, I., Panizza, A., Tremblay-Boyer, L., Fukofuka, S., and Smith, N. 2018a. Summary of longline fishery bycatch at a regional scale, 2003-2017. SC13-ST-WP-02. Fourteenth regular session of the Scientific Committee of the Western and Central Pacific Fisheries Commission. Busan, Republic of Korea, 8-16 August 2018.</w:t>
            </w:r>
          </w:p>
          <w:p w14:paraId="741E5A5E" w14:textId="77777777" w:rsidR="00BA3E50" w:rsidRPr="00F07EFA" w:rsidRDefault="00BA3E50" w:rsidP="00241619">
            <w:pPr>
              <w:adjustRightInd w:val="0"/>
              <w:snapToGrid w:val="0"/>
              <w:rPr>
                <w:sz w:val="21"/>
                <w:szCs w:val="21"/>
                <w:lang w:eastAsia="en-AU"/>
              </w:rPr>
            </w:pPr>
            <w:r w:rsidRPr="00F07EFA">
              <w:rPr>
                <w:sz w:val="21"/>
                <w:szCs w:val="21"/>
                <w:lang w:eastAsia="en-AU"/>
              </w:rPr>
              <w:t>Peatman, T., Allain, V., Caillot, S., Park, T., Williams, P., Tuiloma, I., Panizza, A., Fukofuka, S., and Smith, N. 2018b. Summary of purse seine fishery bycatch at a regional scale, 2003-2017. SC13-ST-IP-04. Fourteenth regular session of the Scientific Committee of the Western and Central Pacific Fisheries Commission. Busan, Republic of Korea, 8-16 August 2018.</w:t>
            </w:r>
          </w:p>
        </w:tc>
      </w:tr>
    </w:tbl>
    <w:p w14:paraId="309C178D" w14:textId="77777777" w:rsidR="00BA3E50" w:rsidRPr="00F07EFA" w:rsidRDefault="00BA3E50" w:rsidP="00241619">
      <w:pPr>
        <w:widowControl w:val="0"/>
        <w:kinsoku w:val="0"/>
        <w:overflowPunct w:val="0"/>
        <w:autoSpaceDE w:val="0"/>
        <w:autoSpaceDN w:val="0"/>
        <w:adjustRightInd w:val="0"/>
        <w:snapToGrid w:val="0"/>
        <w:rPr>
          <w:rFonts w:eastAsia="Batang"/>
          <w:color w:val="000000"/>
          <w:sz w:val="21"/>
          <w:szCs w:val="21"/>
          <w:lang w:eastAsia="ko-KR"/>
        </w:rPr>
      </w:pPr>
    </w:p>
    <w:tbl>
      <w:tblPr>
        <w:tblStyle w:val="TableGrid7"/>
        <w:tblW w:w="9360" w:type="dxa"/>
        <w:tblInd w:w="108" w:type="dxa"/>
        <w:tblLook w:val="04A0" w:firstRow="1" w:lastRow="0" w:firstColumn="1" w:lastColumn="0" w:noHBand="0" w:noVBand="1"/>
      </w:tblPr>
      <w:tblGrid>
        <w:gridCol w:w="1530"/>
        <w:gridCol w:w="7830"/>
      </w:tblGrid>
      <w:tr w:rsidR="00BA3E50" w:rsidRPr="00F07EFA" w14:paraId="685607FD" w14:textId="77777777" w:rsidTr="004B6F4C">
        <w:trPr>
          <w:trHeight w:val="288"/>
        </w:trPr>
        <w:tc>
          <w:tcPr>
            <w:tcW w:w="1530" w:type="dxa"/>
            <w:shd w:val="clear" w:color="auto" w:fill="92D050"/>
            <w:vAlign w:val="center"/>
          </w:tcPr>
          <w:p w14:paraId="6F404965" w14:textId="77777777" w:rsidR="00BA3E50" w:rsidRPr="00F07EFA" w:rsidRDefault="00BA3E50" w:rsidP="00241619">
            <w:pPr>
              <w:adjustRightInd w:val="0"/>
              <w:snapToGrid w:val="0"/>
              <w:rPr>
                <w:rFonts w:eastAsia="Malgun Gothic" w:cs="Times New Roman"/>
                <w:b/>
                <w:sz w:val="21"/>
                <w:szCs w:val="21"/>
                <w:lang w:val="en-NZ" w:eastAsia="ko-KR"/>
              </w:rPr>
            </w:pPr>
            <w:r w:rsidRPr="00F07EFA">
              <w:rPr>
                <w:rFonts w:eastAsia="Malgun Gothic" w:cs="Times New Roman"/>
                <w:b/>
                <w:caps/>
                <w:sz w:val="21"/>
                <w:szCs w:val="21"/>
                <w:lang w:eastAsia="ko-KR"/>
              </w:rPr>
              <w:t>PROJECT 92</w:t>
            </w:r>
          </w:p>
        </w:tc>
        <w:tc>
          <w:tcPr>
            <w:tcW w:w="7830" w:type="dxa"/>
            <w:shd w:val="clear" w:color="auto" w:fill="92D050"/>
            <w:vAlign w:val="center"/>
          </w:tcPr>
          <w:p w14:paraId="104CAB58"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Testing the performance of alternative stock assessments approaches for oceanic whitetip shark.  </w:t>
            </w:r>
          </w:p>
        </w:tc>
      </w:tr>
      <w:tr w:rsidR="00BA3E50" w:rsidRPr="00F07EFA" w14:paraId="27D3479F" w14:textId="77777777" w:rsidTr="004B6F4C">
        <w:trPr>
          <w:trHeight w:val="288"/>
        </w:trPr>
        <w:tc>
          <w:tcPr>
            <w:tcW w:w="1530" w:type="dxa"/>
          </w:tcPr>
          <w:p w14:paraId="477D5784"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Objectives</w:t>
            </w:r>
          </w:p>
        </w:tc>
        <w:tc>
          <w:tcPr>
            <w:tcW w:w="7830" w:type="dxa"/>
          </w:tcPr>
          <w:p w14:paraId="2E933E4B"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Undertake quantitative stock assessments of WCPO oceanic whitetip shark to evaluate the performance of</w:t>
            </w:r>
            <w:r w:rsidRPr="00F07EFA">
              <w:rPr>
                <w:rFonts w:eastAsia="SimSun" w:cs="Times New Roman"/>
                <w:sz w:val="21"/>
                <w:szCs w:val="21"/>
                <w:lang w:eastAsia="zh-CN"/>
              </w:rPr>
              <w:t xml:space="preserve"> a variety of less data-demanding assessments approaches in comparison to a full, integrated, age-structured assessment model (such as MFCL or SS3).</w:t>
            </w:r>
            <w:r w:rsidRPr="00F07EFA">
              <w:rPr>
                <w:rFonts w:eastAsia="SimSun" w:cs="Times New Roman"/>
                <w:sz w:val="21"/>
                <w:szCs w:val="21"/>
                <w:lang w:val="en-NZ" w:eastAsia="zh-CN"/>
              </w:rPr>
              <w:t xml:space="preserve"> The project will provide:</w:t>
            </w:r>
          </w:p>
          <w:p w14:paraId="61C986D4" w14:textId="77777777" w:rsidR="00BA3E50" w:rsidRPr="00F07EFA" w:rsidRDefault="00BA3E50" w:rsidP="00580EA4">
            <w:pPr>
              <w:numPr>
                <w:ilvl w:val="0"/>
                <w:numId w:val="99"/>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A stock assessment of WCPO oceanic whitetip shark for the purposes of generating management advice.</w:t>
            </w:r>
          </w:p>
          <w:p w14:paraId="0B466D14" w14:textId="77777777" w:rsidR="00BA3E50" w:rsidRPr="00F07EFA" w:rsidRDefault="00BA3E50" w:rsidP="00580EA4">
            <w:pPr>
              <w:numPr>
                <w:ilvl w:val="0"/>
                <w:numId w:val="99"/>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 xml:space="preserve">An evaluation of alternative assessment approaches that have potential application to other key shark species with less data.  </w:t>
            </w:r>
          </w:p>
        </w:tc>
      </w:tr>
      <w:tr w:rsidR="00BA3E50" w:rsidRPr="00F07EFA" w14:paraId="50AEEB4F" w14:textId="77777777" w:rsidTr="004B6F4C">
        <w:trPr>
          <w:trHeight w:val="288"/>
        </w:trPr>
        <w:tc>
          <w:tcPr>
            <w:tcW w:w="1530" w:type="dxa"/>
          </w:tcPr>
          <w:p w14:paraId="6F6F70CE"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Rationale</w:t>
            </w:r>
          </w:p>
        </w:tc>
        <w:tc>
          <w:tcPr>
            <w:tcW w:w="7830" w:type="dxa"/>
          </w:tcPr>
          <w:p w14:paraId="21478B12"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The Western and Central Pacific Fisheries Commission Scientific Committee has had a number of low information assessments of sharks but is has been difficult for members to interpret these results without a comparison to a known baseline. Undertaking both high and low-information assessments simultaneously on the same species may provide members with a better understanding of how full integrated age-structured assessment results can be compared to the results of less data-demanding assessments. </w:t>
            </w:r>
          </w:p>
        </w:tc>
      </w:tr>
      <w:tr w:rsidR="00BA3E50" w:rsidRPr="00F07EFA" w14:paraId="0C888DF6" w14:textId="77777777" w:rsidTr="004B6F4C">
        <w:trPr>
          <w:trHeight w:val="288"/>
        </w:trPr>
        <w:tc>
          <w:tcPr>
            <w:tcW w:w="1530" w:type="dxa"/>
          </w:tcPr>
          <w:p w14:paraId="61861143"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Assumptions</w:t>
            </w:r>
          </w:p>
        </w:tc>
        <w:tc>
          <w:tcPr>
            <w:tcW w:w="7830" w:type="dxa"/>
          </w:tcPr>
          <w:p w14:paraId="6F510FD4" w14:textId="77777777" w:rsidR="00BA3E50" w:rsidRPr="00F07EFA" w:rsidRDefault="00BA3E50" w:rsidP="00580EA4">
            <w:pPr>
              <w:numPr>
                <w:ilvl w:val="0"/>
                <w:numId w:val="98"/>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Much of the existing fisheries and biological data are readily available.</w:t>
            </w:r>
          </w:p>
          <w:p w14:paraId="13D925B7" w14:textId="77777777" w:rsidR="00BA3E50" w:rsidRPr="00F07EFA" w:rsidRDefault="00BA3E50" w:rsidP="00580EA4">
            <w:pPr>
              <w:numPr>
                <w:ilvl w:val="0"/>
                <w:numId w:val="98"/>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Assessment personnel are available to undertake this work</w:t>
            </w:r>
          </w:p>
        </w:tc>
      </w:tr>
      <w:tr w:rsidR="00BA3E50" w:rsidRPr="00F07EFA" w14:paraId="3D0F8B3B" w14:textId="77777777" w:rsidTr="004B6F4C">
        <w:trPr>
          <w:trHeight w:val="288"/>
        </w:trPr>
        <w:tc>
          <w:tcPr>
            <w:tcW w:w="1530" w:type="dxa"/>
          </w:tcPr>
          <w:p w14:paraId="6DBADDD9"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Scope</w:t>
            </w:r>
          </w:p>
        </w:tc>
        <w:tc>
          <w:tcPr>
            <w:tcW w:w="7830" w:type="dxa"/>
          </w:tcPr>
          <w:p w14:paraId="34DDB29D" w14:textId="77777777" w:rsidR="00BA3E50" w:rsidRPr="00F07EFA" w:rsidRDefault="00BA3E50" w:rsidP="00241619">
            <w:pPr>
              <w:autoSpaceDE w:val="0"/>
              <w:autoSpaceDN w:val="0"/>
              <w:adjustRightInd w:val="0"/>
              <w:snapToGrid w:val="0"/>
              <w:jc w:val="both"/>
              <w:rPr>
                <w:rFonts w:eastAsia="SimSun" w:cs="Times New Roman"/>
                <w:sz w:val="21"/>
                <w:szCs w:val="21"/>
                <w:lang w:val="en-NZ" w:eastAsia="en-NZ"/>
              </w:rPr>
            </w:pPr>
            <w:r w:rsidRPr="00F07EFA">
              <w:rPr>
                <w:rFonts w:eastAsia="SimSun" w:cs="Times New Roman"/>
                <w:sz w:val="21"/>
                <w:szCs w:val="21"/>
                <w:lang w:val="en-NZ" w:eastAsia="en-NZ"/>
              </w:rPr>
              <w:t xml:space="preserve">Reviewing the previous shark assessments in the WCPO and North Pacific to assess and improve on methods to increase the understanding of data strengths and weaknesses, and update stock status. Update WCPO longline and purse seine catch estimates and abundance indices using recent observer data. </w:t>
            </w:r>
          </w:p>
          <w:p w14:paraId="3819F05A" w14:textId="77777777" w:rsidR="00BA3E50" w:rsidRPr="00F07EFA" w:rsidRDefault="00BA3E50" w:rsidP="00241619">
            <w:pPr>
              <w:autoSpaceDE w:val="0"/>
              <w:autoSpaceDN w:val="0"/>
              <w:adjustRightInd w:val="0"/>
              <w:snapToGrid w:val="0"/>
              <w:jc w:val="both"/>
              <w:rPr>
                <w:rFonts w:eastAsia="SimSun" w:cs="Times New Roman"/>
                <w:sz w:val="21"/>
                <w:szCs w:val="21"/>
                <w:lang w:val="en-NZ" w:eastAsia="en-NZ"/>
              </w:rPr>
            </w:pPr>
          </w:p>
          <w:p w14:paraId="562672D4" w14:textId="77777777" w:rsidR="00BA3E50" w:rsidRPr="00F07EFA" w:rsidRDefault="00BA3E50" w:rsidP="00241619">
            <w:pPr>
              <w:autoSpaceDE w:val="0"/>
              <w:autoSpaceDN w:val="0"/>
              <w:adjustRightInd w:val="0"/>
              <w:snapToGrid w:val="0"/>
              <w:jc w:val="both"/>
              <w:rPr>
                <w:rFonts w:eastAsia="SimSun" w:cs="Times New Roman"/>
                <w:sz w:val="21"/>
                <w:szCs w:val="21"/>
                <w:lang w:val="en-NZ" w:eastAsia="en-NZ"/>
              </w:rPr>
            </w:pPr>
            <w:r w:rsidRPr="00F07EFA">
              <w:rPr>
                <w:rFonts w:eastAsia="SimSun" w:cs="Times New Roman"/>
                <w:sz w:val="21"/>
                <w:szCs w:val="21"/>
                <w:lang w:val="en-NZ" w:eastAsia="en-NZ"/>
              </w:rPr>
              <w:t>Undertake a quantitative stock assessment on WCPO oceanic whitetip shark to assess the level of F (fishing mortality) and B (biomass) trends for this species. The analysis should present the stock status in terms of common WCPFC quantities of management interest such as F/F</w:t>
            </w:r>
            <w:r w:rsidRPr="00F07EFA">
              <w:rPr>
                <w:rFonts w:eastAsia="SimSun" w:cs="Times New Roman"/>
                <w:sz w:val="21"/>
                <w:szCs w:val="21"/>
                <w:vertAlign w:val="subscript"/>
                <w:lang w:val="en-NZ" w:eastAsia="en-NZ"/>
              </w:rPr>
              <w:t>MSY</w:t>
            </w:r>
            <w:r w:rsidRPr="00F07EFA">
              <w:rPr>
                <w:rFonts w:eastAsia="SimSun" w:cs="Times New Roman"/>
                <w:sz w:val="21"/>
                <w:szCs w:val="21"/>
                <w:lang w:val="en-NZ" w:eastAsia="en-NZ"/>
              </w:rPr>
              <w:t>, SB/SB</w:t>
            </w:r>
            <w:r w:rsidRPr="00F07EFA">
              <w:rPr>
                <w:rFonts w:eastAsia="SimSun" w:cs="Times New Roman"/>
                <w:sz w:val="21"/>
                <w:szCs w:val="21"/>
                <w:vertAlign w:val="subscript"/>
                <w:lang w:val="en-NZ" w:eastAsia="en-NZ"/>
              </w:rPr>
              <w:t xml:space="preserve">MSY </w:t>
            </w:r>
            <w:r w:rsidRPr="00F07EFA">
              <w:rPr>
                <w:rFonts w:eastAsia="SimSun" w:cs="Times New Roman"/>
                <w:sz w:val="21"/>
                <w:szCs w:val="21"/>
                <w:lang w:val="en-NZ" w:eastAsia="en-NZ"/>
              </w:rPr>
              <w:t>and SB/SB</w:t>
            </w:r>
            <w:r w:rsidRPr="00F07EFA">
              <w:rPr>
                <w:rFonts w:eastAsia="SimSun" w:cs="Times New Roman"/>
                <w:sz w:val="21"/>
                <w:szCs w:val="21"/>
                <w:vertAlign w:val="subscript"/>
                <w:lang w:val="en-NZ" w:eastAsia="en-NZ"/>
              </w:rPr>
              <w:t xml:space="preserve">F=0 </w:t>
            </w:r>
            <w:r w:rsidRPr="00F07EFA">
              <w:rPr>
                <w:rFonts w:eastAsia="SimSun" w:cs="Times New Roman"/>
                <w:sz w:val="21"/>
                <w:szCs w:val="21"/>
                <w:lang w:val="en-NZ" w:eastAsia="en-NZ"/>
              </w:rPr>
              <w:t xml:space="preserve">ratios, fishing mortality, (SPR) spawner per recruit, yield and biomass. </w:t>
            </w:r>
          </w:p>
          <w:p w14:paraId="1C100975" w14:textId="77777777" w:rsidR="00BA3E50" w:rsidRPr="00F07EFA" w:rsidRDefault="00BA3E50" w:rsidP="00241619">
            <w:pPr>
              <w:adjustRightInd w:val="0"/>
              <w:snapToGrid w:val="0"/>
              <w:rPr>
                <w:rFonts w:eastAsia="Batang" w:cs="Times New Roman"/>
                <w:sz w:val="21"/>
                <w:szCs w:val="21"/>
                <w:lang w:eastAsia="zh-CN"/>
              </w:rPr>
            </w:pPr>
            <w:r w:rsidRPr="00F07EFA">
              <w:rPr>
                <w:rFonts w:eastAsia="Batang" w:cs="Times New Roman"/>
                <w:sz w:val="21"/>
                <w:szCs w:val="21"/>
                <w:lang w:eastAsia="zh-CN"/>
              </w:rPr>
              <w:t>Undertake less data-demanding assessments of WCPO oceanic whitetip shark to assess the level of similar common WCPFC quantities of management interest including the above (where applicable). Candidate assessment approaches can include:</w:t>
            </w:r>
          </w:p>
          <w:p w14:paraId="2E478A32" w14:textId="77777777" w:rsidR="00BA3E50" w:rsidRPr="00F07EFA" w:rsidRDefault="00BA3E50" w:rsidP="00580EA4">
            <w:pPr>
              <w:numPr>
                <w:ilvl w:val="0"/>
                <w:numId w:val="100"/>
              </w:numPr>
              <w:adjustRightInd w:val="0"/>
              <w:snapToGrid w:val="0"/>
              <w:rPr>
                <w:rFonts w:eastAsia="SimSun" w:cs="Times New Roman"/>
                <w:sz w:val="21"/>
                <w:szCs w:val="21"/>
                <w:lang w:val="en-AU" w:eastAsia="en-NZ"/>
              </w:rPr>
            </w:pPr>
            <w:r w:rsidRPr="00F07EFA">
              <w:rPr>
                <w:rFonts w:eastAsia="SimSun" w:cs="Times New Roman"/>
                <w:sz w:val="21"/>
                <w:szCs w:val="21"/>
                <w:lang w:val="en-AU" w:eastAsia="en-NZ"/>
              </w:rPr>
              <w:t>Surplus production model</w:t>
            </w:r>
          </w:p>
          <w:p w14:paraId="098D7EF4" w14:textId="77777777" w:rsidR="00BA3E50" w:rsidRPr="00F07EFA" w:rsidRDefault="00BA3E50" w:rsidP="00580EA4">
            <w:pPr>
              <w:numPr>
                <w:ilvl w:val="0"/>
                <w:numId w:val="100"/>
              </w:numPr>
              <w:adjustRightInd w:val="0"/>
              <w:snapToGrid w:val="0"/>
              <w:rPr>
                <w:rFonts w:eastAsia="SimSun" w:cs="Times New Roman"/>
                <w:sz w:val="21"/>
                <w:szCs w:val="21"/>
                <w:lang w:val="en-AU" w:eastAsia="en-NZ"/>
              </w:rPr>
            </w:pPr>
            <w:r w:rsidRPr="00F07EFA">
              <w:rPr>
                <w:rFonts w:eastAsia="SimSun" w:cs="Times New Roman"/>
                <w:sz w:val="21"/>
                <w:szCs w:val="21"/>
                <w:lang w:val="en-AU" w:eastAsia="en-NZ"/>
              </w:rPr>
              <w:t>Catch only methods</w:t>
            </w:r>
          </w:p>
          <w:p w14:paraId="144C0181" w14:textId="77777777" w:rsidR="00BA3E50" w:rsidRPr="00F07EFA" w:rsidRDefault="00BA3E50" w:rsidP="00580EA4">
            <w:pPr>
              <w:numPr>
                <w:ilvl w:val="0"/>
                <w:numId w:val="100"/>
              </w:numPr>
              <w:adjustRightInd w:val="0"/>
              <w:snapToGrid w:val="0"/>
              <w:rPr>
                <w:rFonts w:eastAsia="SimSun" w:cs="Times New Roman"/>
                <w:sz w:val="21"/>
                <w:szCs w:val="21"/>
                <w:lang w:val="en-AU" w:eastAsia="en-NZ"/>
              </w:rPr>
            </w:pPr>
            <w:r w:rsidRPr="00F07EFA">
              <w:rPr>
                <w:rFonts w:eastAsia="SimSun" w:cs="Times New Roman"/>
                <w:sz w:val="21"/>
                <w:szCs w:val="21"/>
                <w:lang w:val="en-AU" w:eastAsia="en-NZ"/>
              </w:rPr>
              <w:t>Area-based assessment approaches with a range of decreasing data inputs (such as stock density, gear efficiency, and post-discard survival).</w:t>
            </w:r>
          </w:p>
          <w:p w14:paraId="42E26171" w14:textId="77777777" w:rsidR="00BA3E50" w:rsidRPr="00F07EFA" w:rsidRDefault="00BA3E50" w:rsidP="00580EA4">
            <w:pPr>
              <w:numPr>
                <w:ilvl w:val="1"/>
                <w:numId w:val="100"/>
              </w:numPr>
              <w:adjustRightInd w:val="0"/>
              <w:snapToGrid w:val="0"/>
              <w:rPr>
                <w:rFonts w:eastAsia="SimSun" w:cs="Times New Roman"/>
                <w:sz w:val="21"/>
                <w:szCs w:val="21"/>
                <w:lang w:val="en-AU" w:eastAsia="en-NZ"/>
              </w:rPr>
            </w:pPr>
            <w:r w:rsidRPr="00F07EFA">
              <w:rPr>
                <w:rFonts w:eastAsia="SimSun" w:cs="Times New Roman"/>
                <w:sz w:val="21"/>
                <w:szCs w:val="21"/>
                <w:lang w:val="en-AU" w:eastAsia="en-NZ"/>
              </w:rPr>
              <w:t>Spatially-explicit risk assessment</w:t>
            </w:r>
          </w:p>
          <w:p w14:paraId="01C11302" w14:textId="77777777" w:rsidR="00BA3E50" w:rsidRPr="00F07EFA" w:rsidRDefault="00BA3E50" w:rsidP="00580EA4">
            <w:pPr>
              <w:numPr>
                <w:ilvl w:val="1"/>
                <w:numId w:val="100"/>
              </w:numPr>
              <w:adjustRightInd w:val="0"/>
              <w:snapToGrid w:val="0"/>
              <w:rPr>
                <w:rFonts w:eastAsia="SimSun" w:cs="Times New Roman"/>
                <w:sz w:val="21"/>
                <w:szCs w:val="21"/>
                <w:lang w:val="en-AU" w:eastAsia="en-NZ"/>
              </w:rPr>
            </w:pPr>
            <w:r w:rsidRPr="00F07EFA">
              <w:rPr>
                <w:rFonts w:eastAsia="SimSun" w:cs="Times New Roman"/>
                <w:sz w:val="21"/>
                <w:szCs w:val="21"/>
                <w:lang w:val="en-AU" w:eastAsia="en-NZ"/>
              </w:rPr>
              <w:t>EASI-Fish model</w:t>
            </w:r>
          </w:p>
          <w:p w14:paraId="6702D6DE" w14:textId="77777777" w:rsidR="00BA3E50" w:rsidRPr="00F07EFA" w:rsidRDefault="00BA3E50" w:rsidP="00580EA4">
            <w:pPr>
              <w:numPr>
                <w:ilvl w:val="1"/>
                <w:numId w:val="100"/>
              </w:numPr>
              <w:adjustRightInd w:val="0"/>
              <w:snapToGrid w:val="0"/>
              <w:rPr>
                <w:rFonts w:eastAsia="SimSun" w:cs="Times New Roman"/>
                <w:sz w:val="21"/>
                <w:szCs w:val="21"/>
                <w:lang w:val="en-AU" w:eastAsia="en-NZ"/>
              </w:rPr>
            </w:pPr>
            <w:r w:rsidRPr="00F07EFA">
              <w:rPr>
                <w:rFonts w:eastAsia="SimSun" w:cs="Times New Roman"/>
                <w:sz w:val="21"/>
                <w:szCs w:val="21"/>
                <w:lang w:val="en-AU" w:eastAsia="en-NZ"/>
              </w:rPr>
              <w:t>Sustainability assessment for fishing effects (SAFE);</w:t>
            </w:r>
            <w:r w:rsidRPr="00F07EFA" w:rsidDel="00A923DD">
              <w:rPr>
                <w:rFonts w:eastAsia="SimSun" w:cs="Times New Roman"/>
                <w:sz w:val="21"/>
                <w:szCs w:val="21"/>
                <w:lang w:val="en-AU" w:eastAsia="en-NZ"/>
              </w:rPr>
              <w:t xml:space="preserve"> </w:t>
            </w:r>
          </w:p>
          <w:p w14:paraId="72F9E3C1" w14:textId="77777777" w:rsidR="00BA3E50" w:rsidRPr="00F07EFA" w:rsidRDefault="00BA3E50" w:rsidP="00241619">
            <w:pPr>
              <w:adjustRightInd w:val="0"/>
              <w:snapToGrid w:val="0"/>
              <w:ind w:left="1440"/>
              <w:rPr>
                <w:rFonts w:eastAsia="SimSun" w:cs="Times New Roman"/>
                <w:sz w:val="21"/>
                <w:szCs w:val="21"/>
                <w:lang w:val="en-AU" w:eastAsia="en-NZ"/>
              </w:rPr>
            </w:pPr>
          </w:p>
          <w:p w14:paraId="77A3638A"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Input data must be consistent between assessment methods where the same data are an input. Separate analysis teams may be involved.</w:t>
            </w:r>
          </w:p>
          <w:p w14:paraId="522E8BDC"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eastAsia="zh-CN"/>
              </w:rPr>
              <w:t>The focus of these analyses is the estimate of management quantities rather than the development of reference points (shark limit reference points are the subject of a separate (Project 57)).</w:t>
            </w:r>
          </w:p>
          <w:p w14:paraId="5EB851F5"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Consideration should be given to the suitability of assessment approaches for regular application across a large number of key shark species (simultaneously) or, alternatively, for separate one-off assessments of a species.</w:t>
            </w:r>
          </w:p>
          <w:p w14:paraId="602D1871"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eastAsia="zh-CN"/>
              </w:rPr>
              <w:t>Prepare a report containing the above results for SC15.</w:t>
            </w:r>
          </w:p>
        </w:tc>
      </w:tr>
      <w:tr w:rsidR="00BA3E50" w:rsidRPr="00F07EFA" w14:paraId="380C5DC3" w14:textId="77777777" w:rsidTr="004B6F4C">
        <w:trPr>
          <w:trHeight w:val="288"/>
        </w:trPr>
        <w:tc>
          <w:tcPr>
            <w:tcW w:w="1530" w:type="dxa"/>
          </w:tcPr>
          <w:p w14:paraId="185D2AA8" w14:textId="77777777"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Budget</w:t>
            </w:r>
          </w:p>
        </w:tc>
        <w:tc>
          <w:tcPr>
            <w:tcW w:w="7830" w:type="dxa"/>
          </w:tcPr>
          <w:p w14:paraId="493A28CD"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1.5 FTE</w:t>
            </w:r>
          </w:p>
          <w:p w14:paraId="573C1C09" w14:textId="77777777"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$75,000</w:t>
            </w:r>
          </w:p>
        </w:tc>
      </w:tr>
    </w:tbl>
    <w:p w14:paraId="4D75C92C" w14:textId="77777777" w:rsidR="00BA3E50" w:rsidRPr="00F07EFA" w:rsidRDefault="00BA3E50" w:rsidP="00241619">
      <w:pPr>
        <w:widowControl w:val="0"/>
        <w:kinsoku w:val="0"/>
        <w:overflowPunct w:val="0"/>
        <w:autoSpaceDE w:val="0"/>
        <w:autoSpaceDN w:val="0"/>
        <w:adjustRightInd w:val="0"/>
        <w:snapToGrid w:val="0"/>
        <w:rPr>
          <w:rFonts w:eastAsia="Batang"/>
          <w:color w:val="000000"/>
          <w:sz w:val="21"/>
          <w:szCs w:val="21"/>
          <w:lang w:eastAsia="ko-KR"/>
        </w:rPr>
      </w:pPr>
    </w:p>
    <w:tbl>
      <w:tblPr>
        <w:tblStyle w:val="TableGrid7"/>
        <w:tblW w:w="4887" w:type="pct"/>
        <w:tblInd w:w="108" w:type="dxa"/>
        <w:tblLook w:val="04A0" w:firstRow="1" w:lastRow="0" w:firstColumn="1" w:lastColumn="0" w:noHBand="0" w:noVBand="1"/>
      </w:tblPr>
      <w:tblGrid>
        <w:gridCol w:w="1471"/>
        <w:gridCol w:w="7889"/>
      </w:tblGrid>
      <w:tr w:rsidR="00BA3E50" w:rsidRPr="00F07EFA" w14:paraId="76E313EA" w14:textId="77777777" w:rsidTr="004B6F4C">
        <w:trPr>
          <w:trHeight w:val="548"/>
        </w:trPr>
        <w:tc>
          <w:tcPr>
            <w:tcW w:w="786" w:type="pct"/>
            <w:shd w:val="clear" w:color="auto" w:fill="92D050"/>
            <w:vAlign w:val="center"/>
          </w:tcPr>
          <w:p w14:paraId="3AB373D4" w14:textId="77777777" w:rsidR="00BA3E50" w:rsidRPr="00F07EFA" w:rsidRDefault="00BA3E50" w:rsidP="00241619">
            <w:pPr>
              <w:adjustRightInd w:val="0"/>
              <w:snapToGrid w:val="0"/>
              <w:rPr>
                <w:rFonts w:eastAsia="SimSun" w:cs="Times New Roman"/>
                <w:b/>
                <w:sz w:val="21"/>
                <w:szCs w:val="21"/>
                <w:lang w:eastAsia="ko-KR"/>
              </w:rPr>
            </w:pPr>
            <w:r w:rsidRPr="00F07EFA">
              <w:rPr>
                <w:rFonts w:eastAsia="Malgun Gothic" w:cs="Times New Roman"/>
                <w:b/>
                <w:caps/>
                <w:sz w:val="21"/>
                <w:szCs w:val="21"/>
                <w:lang w:eastAsia="ko-KR"/>
              </w:rPr>
              <w:t xml:space="preserve">PROJECT </w:t>
            </w:r>
            <w:r w:rsidRPr="00F07EFA">
              <w:rPr>
                <w:rFonts w:eastAsia="SimSun" w:cs="Times New Roman"/>
                <w:b/>
                <w:sz w:val="21"/>
                <w:szCs w:val="21"/>
                <w:lang w:eastAsia="ko-KR"/>
              </w:rPr>
              <w:t>93</w:t>
            </w:r>
          </w:p>
        </w:tc>
        <w:tc>
          <w:tcPr>
            <w:tcW w:w="4214" w:type="pct"/>
            <w:shd w:val="clear" w:color="auto" w:fill="92D050"/>
            <w:vAlign w:val="center"/>
          </w:tcPr>
          <w:p w14:paraId="116F5380" w14:textId="77777777" w:rsidR="00BA3E50" w:rsidRPr="00F07EFA" w:rsidRDefault="00BA3E50" w:rsidP="00241619">
            <w:pPr>
              <w:adjustRightInd w:val="0"/>
              <w:snapToGrid w:val="0"/>
              <w:rPr>
                <w:rFonts w:eastAsia="SimSun" w:cs="Times New Roman"/>
                <w:b/>
                <w:sz w:val="21"/>
                <w:szCs w:val="21"/>
                <w:lang w:eastAsia="zh-CN"/>
              </w:rPr>
            </w:pPr>
            <w:r w:rsidRPr="00F07EFA">
              <w:rPr>
                <w:rFonts w:eastAsia="SimSun" w:cs="Times New Roman"/>
                <w:b/>
                <w:sz w:val="21"/>
                <w:szCs w:val="21"/>
                <w:lang w:eastAsia="zh-CN"/>
              </w:rPr>
              <w:t>Review of the Commission’s data needs and collection programs</w:t>
            </w:r>
          </w:p>
        </w:tc>
      </w:tr>
      <w:tr w:rsidR="00BA3E50" w:rsidRPr="00F07EFA" w14:paraId="07337618" w14:textId="77777777" w:rsidTr="004B6F4C">
        <w:tc>
          <w:tcPr>
            <w:tcW w:w="786" w:type="pct"/>
          </w:tcPr>
          <w:p w14:paraId="007FDD9D"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Objectives</w:t>
            </w:r>
          </w:p>
        </w:tc>
        <w:tc>
          <w:tcPr>
            <w:tcW w:w="4214" w:type="pct"/>
          </w:tcPr>
          <w:p w14:paraId="44658F33"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To compare the Commission’s data needs against the programs and tools available to the Commission (including the potential for a WCPFC EM program).</w:t>
            </w:r>
          </w:p>
        </w:tc>
      </w:tr>
      <w:tr w:rsidR="00BA3E50" w:rsidRPr="00F07EFA" w14:paraId="608231D0" w14:textId="77777777" w:rsidTr="004B6F4C">
        <w:tc>
          <w:tcPr>
            <w:tcW w:w="786" w:type="pct"/>
          </w:tcPr>
          <w:p w14:paraId="5C461823"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Rationale</w:t>
            </w:r>
          </w:p>
        </w:tc>
        <w:tc>
          <w:tcPr>
            <w:tcW w:w="4214" w:type="pct"/>
          </w:tcPr>
          <w:p w14:paraId="0818D102" w14:textId="77777777" w:rsidR="00BA3E50" w:rsidRPr="00F07EFA" w:rsidRDefault="00BA3E50" w:rsidP="00241619">
            <w:pPr>
              <w:adjustRightInd w:val="0"/>
              <w:snapToGrid w:val="0"/>
              <w:textAlignment w:val="center"/>
              <w:rPr>
                <w:rFonts w:eastAsia="SimSun" w:cs="Times New Roman"/>
                <w:sz w:val="21"/>
                <w:szCs w:val="21"/>
                <w:lang w:eastAsia="zh-CN"/>
              </w:rPr>
            </w:pPr>
            <w:r w:rsidRPr="00F07EFA">
              <w:rPr>
                <w:rFonts w:eastAsia="SimSun" w:cs="Times New Roman"/>
                <w:sz w:val="21"/>
                <w:szCs w:val="21"/>
                <w:lang w:eastAsia="zh-CN"/>
              </w:rPr>
              <w:t>There are several reasons for this review:</w:t>
            </w:r>
          </w:p>
          <w:p w14:paraId="3B16E87C" w14:textId="77777777" w:rsidR="00BA3E50" w:rsidRPr="00F07EFA" w:rsidRDefault="00BA3E50" w:rsidP="00580EA4">
            <w:pPr>
              <w:numPr>
                <w:ilvl w:val="0"/>
                <w:numId w:val="122"/>
              </w:numPr>
              <w:adjustRightInd w:val="0"/>
              <w:snapToGrid w:val="0"/>
              <w:ind w:left="351"/>
              <w:rPr>
                <w:rFonts w:eastAsia="SimSun" w:cs="Times New Roman"/>
                <w:sz w:val="21"/>
                <w:szCs w:val="21"/>
                <w:lang w:val="en-AU" w:eastAsia="en-NZ"/>
              </w:rPr>
            </w:pPr>
            <w:r w:rsidRPr="00F07EFA">
              <w:rPr>
                <w:rFonts w:eastAsia="SimSun" w:cs="Times New Roman"/>
                <w:sz w:val="21"/>
                <w:szCs w:val="21"/>
                <w:lang w:val="en-AU" w:eastAsia="en-NZ"/>
              </w:rPr>
              <w:t>In the context of EM specifically, it is about answering the fundamental question “what data does EM need to collect and what will that data be used for?”.  The E</w:t>
            </w:r>
            <w:r w:rsidR="00C40607">
              <w:rPr>
                <w:rFonts w:eastAsia="SimSun" w:cs="Times New Roman"/>
                <w:sz w:val="21"/>
                <w:szCs w:val="21"/>
                <w:lang w:val="en-AU" w:eastAsia="en-NZ"/>
              </w:rPr>
              <w:t>R</w:t>
            </w:r>
            <w:r w:rsidR="0006402D">
              <w:rPr>
                <w:rFonts w:eastAsia="SimSun" w:cs="Times New Roman"/>
                <w:sz w:val="21"/>
                <w:szCs w:val="21"/>
                <w:lang w:val="en-AU" w:eastAsia="en-NZ"/>
              </w:rPr>
              <w:t>and</w:t>
            </w:r>
            <w:r w:rsidRPr="00F07EFA">
              <w:rPr>
                <w:rFonts w:eastAsia="SimSun" w:cs="Times New Roman"/>
                <w:sz w:val="21"/>
                <w:szCs w:val="21"/>
                <w:lang w:val="en-AU" w:eastAsia="en-NZ"/>
              </w:rPr>
              <w:t>E</w:t>
            </w:r>
            <w:r w:rsidR="00C40607">
              <w:rPr>
                <w:rFonts w:eastAsia="SimSun" w:cs="Times New Roman"/>
                <w:sz w:val="21"/>
                <w:szCs w:val="21"/>
                <w:lang w:val="en-AU" w:eastAsia="en-NZ"/>
              </w:rPr>
              <w:t>M</w:t>
            </w:r>
            <w:r w:rsidRPr="00F07EFA">
              <w:rPr>
                <w:rFonts w:eastAsia="SimSun" w:cs="Times New Roman"/>
                <w:sz w:val="21"/>
                <w:szCs w:val="21"/>
                <w:lang w:val="en-AU" w:eastAsia="en-NZ"/>
              </w:rPr>
              <w:t xml:space="preserve"> working group was not able to answer this question, and as a result did not make too much progress on specific objectives for a WCPFC EM program.</w:t>
            </w:r>
          </w:p>
          <w:p w14:paraId="78E19DB5" w14:textId="77777777" w:rsidR="00BA3E50" w:rsidRPr="00F07EFA" w:rsidRDefault="00BA3E50" w:rsidP="00580EA4">
            <w:pPr>
              <w:numPr>
                <w:ilvl w:val="0"/>
                <w:numId w:val="122"/>
              </w:numPr>
              <w:adjustRightInd w:val="0"/>
              <w:snapToGrid w:val="0"/>
              <w:ind w:left="351"/>
              <w:rPr>
                <w:rFonts w:eastAsia="SimSun" w:cs="Times New Roman"/>
                <w:sz w:val="21"/>
                <w:szCs w:val="21"/>
                <w:lang w:val="en-AU" w:eastAsia="en-NZ"/>
              </w:rPr>
            </w:pPr>
            <w:r w:rsidRPr="00F07EFA">
              <w:rPr>
                <w:rFonts w:eastAsia="SimSun" w:cs="Times New Roman"/>
                <w:sz w:val="21"/>
                <w:szCs w:val="21"/>
                <w:lang w:val="en-AU" w:eastAsia="en-NZ"/>
              </w:rPr>
              <w:t>The review will also create efficiency in the Commission’s data programs by ensuring that there is no unnecessary duplication between data collection programs and that data is collected through the most appropriate program.</w:t>
            </w:r>
          </w:p>
          <w:p w14:paraId="026C1F98" w14:textId="77777777" w:rsidR="00BA3E50" w:rsidRPr="00F07EFA" w:rsidRDefault="00BA3E50" w:rsidP="00580EA4">
            <w:pPr>
              <w:numPr>
                <w:ilvl w:val="0"/>
                <w:numId w:val="122"/>
              </w:numPr>
              <w:adjustRightInd w:val="0"/>
              <w:snapToGrid w:val="0"/>
              <w:ind w:left="351"/>
              <w:rPr>
                <w:rFonts w:eastAsia="SimSun" w:cs="Times New Roman"/>
                <w:sz w:val="21"/>
                <w:szCs w:val="21"/>
                <w:lang w:val="en-AU" w:eastAsia="en-NZ"/>
              </w:rPr>
            </w:pPr>
            <w:r w:rsidRPr="00F07EFA">
              <w:rPr>
                <w:rFonts w:eastAsia="SimSun" w:cs="Times New Roman"/>
                <w:sz w:val="21"/>
                <w:szCs w:val="21"/>
                <w:lang w:val="en-AU" w:eastAsia="en-NZ"/>
              </w:rPr>
              <w:t>Improving the collection and verification of data will enhance the work of both the SC and the TCC.</w:t>
            </w:r>
          </w:p>
          <w:p w14:paraId="0904C0FF" w14:textId="77777777" w:rsidR="00BA3E50" w:rsidRPr="00F07EFA" w:rsidRDefault="00BA3E50" w:rsidP="00580EA4">
            <w:pPr>
              <w:numPr>
                <w:ilvl w:val="0"/>
                <w:numId w:val="122"/>
              </w:numPr>
              <w:adjustRightInd w:val="0"/>
              <w:snapToGrid w:val="0"/>
              <w:ind w:left="351"/>
              <w:rPr>
                <w:rFonts w:eastAsia="SimSun" w:cs="Times New Roman"/>
                <w:sz w:val="21"/>
                <w:szCs w:val="21"/>
                <w:lang w:val="en-AU" w:eastAsia="en-NZ"/>
              </w:rPr>
            </w:pPr>
            <w:r w:rsidRPr="00F07EFA">
              <w:rPr>
                <w:rFonts w:eastAsia="SimSun" w:cs="Times New Roman"/>
                <w:sz w:val="21"/>
                <w:szCs w:val="21"/>
                <w:lang w:val="en-AU" w:eastAsia="en-NZ"/>
              </w:rPr>
              <w:t>It will promote synergy between the different programs by linking them so that there is a common understanding of the collection of primary data through one program and verification through another.</w:t>
            </w:r>
          </w:p>
          <w:p w14:paraId="166CA1A7" w14:textId="77777777" w:rsidR="00BA3E50" w:rsidRPr="00F07EFA" w:rsidRDefault="00BA3E50" w:rsidP="00580EA4">
            <w:pPr>
              <w:numPr>
                <w:ilvl w:val="0"/>
                <w:numId w:val="122"/>
              </w:numPr>
              <w:adjustRightInd w:val="0"/>
              <w:snapToGrid w:val="0"/>
              <w:ind w:left="340"/>
              <w:jc w:val="both"/>
              <w:rPr>
                <w:rFonts w:eastAsia="SimSun" w:cs="Times New Roman"/>
                <w:sz w:val="21"/>
                <w:szCs w:val="21"/>
                <w:lang w:val="en-AU" w:eastAsia="en-NZ"/>
              </w:rPr>
            </w:pPr>
            <w:r w:rsidRPr="00F07EFA">
              <w:rPr>
                <w:rFonts w:eastAsia="SimSun" w:cs="Times New Roman"/>
                <w:sz w:val="21"/>
                <w:szCs w:val="21"/>
                <w:lang w:val="en-AU" w:eastAsia="en-NZ"/>
              </w:rPr>
              <w:t xml:space="preserve">Lastly, it will be useful first step to review and reconsider monitoring programs required by the Commission, to allow additional data collection with high priority, with a proper balance of observers’ workload and safety, </w:t>
            </w:r>
          </w:p>
        </w:tc>
      </w:tr>
      <w:tr w:rsidR="00BA3E50" w:rsidRPr="00F07EFA" w14:paraId="29733E51" w14:textId="77777777" w:rsidTr="004B6F4C">
        <w:tc>
          <w:tcPr>
            <w:tcW w:w="786" w:type="pct"/>
          </w:tcPr>
          <w:p w14:paraId="7DBDE551"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Assumptions</w:t>
            </w:r>
          </w:p>
        </w:tc>
        <w:tc>
          <w:tcPr>
            <w:tcW w:w="4214" w:type="pct"/>
          </w:tcPr>
          <w:p w14:paraId="79135A65" w14:textId="77777777" w:rsidR="00BA3E50" w:rsidRPr="00F07EFA" w:rsidRDefault="00BA3E50" w:rsidP="00580EA4">
            <w:pPr>
              <w:numPr>
                <w:ilvl w:val="0"/>
                <w:numId w:val="122"/>
              </w:numPr>
              <w:adjustRightInd w:val="0"/>
              <w:snapToGrid w:val="0"/>
              <w:ind w:left="351"/>
              <w:jc w:val="both"/>
              <w:rPr>
                <w:rFonts w:eastAsia="SimSun" w:cs="Times New Roman"/>
                <w:sz w:val="21"/>
                <w:szCs w:val="21"/>
                <w:lang w:val="en-AU" w:eastAsia="en-NZ"/>
              </w:rPr>
            </w:pPr>
            <w:r w:rsidRPr="00F07EFA">
              <w:rPr>
                <w:rFonts w:eastAsia="SimSun" w:cs="Times New Roman"/>
                <w:sz w:val="21"/>
                <w:szCs w:val="21"/>
                <w:lang w:val="en-AU" w:eastAsia="en-NZ"/>
              </w:rPr>
              <w:t>WCPFC is committed to continue development of a WCPFC EM program</w:t>
            </w:r>
          </w:p>
          <w:p w14:paraId="767FCC33" w14:textId="77777777" w:rsidR="00BA3E50" w:rsidRPr="00F07EFA" w:rsidRDefault="00BA3E50" w:rsidP="00580EA4">
            <w:pPr>
              <w:numPr>
                <w:ilvl w:val="0"/>
                <w:numId w:val="122"/>
              </w:numPr>
              <w:adjustRightInd w:val="0"/>
              <w:snapToGrid w:val="0"/>
              <w:ind w:left="351"/>
              <w:jc w:val="both"/>
              <w:rPr>
                <w:rFonts w:eastAsia="SimSun" w:cs="Times New Roman"/>
                <w:sz w:val="21"/>
                <w:szCs w:val="21"/>
                <w:lang w:val="en-AU" w:eastAsia="en-NZ"/>
              </w:rPr>
            </w:pPr>
            <w:r w:rsidRPr="00F07EFA">
              <w:rPr>
                <w:rFonts w:eastAsia="SimSun" w:cs="Times New Roman"/>
                <w:sz w:val="21"/>
                <w:szCs w:val="21"/>
                <w:lang w:val="en-AU" w:eastAsia="en-NZ"/>
              </w:rPr>
              <w:t>This review is essentially an extension of the work described in the following two documents:</w:t>
            </w:r>
          </w:p>
          <w:p w14:paraId="1FC9B5F1" w14:textId="77777777" w:rsidR="00BA3E50" w:rsidRPr="00F07EFA" w:rsidRDefault="00BA3E50" w:rsidP="00580EA4">
            <w:pPr>
              <w:numPr>
                <w:ilvl w:val="0"/>
                <w:numId w:val="122"/>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Emery et al. (2018) </w:t>
            </w:r>
            <w:r w:rsidRPr="00F07EFA">
              <w:rPr>
                <w:rFonts w:eastAsia="SimSun" w:cs="Times New Roman"/>
                <w:i/>
                <w:sz w:val="21"/>
                <w:szCs w:val="21"/>
                <w:lang w:val="en-AU" w:eastAsia="en-NZ"/>
              </w:rPr>
              <w:t xml:space="preserve">The use of Electronic Monitoring within tuna longline fisheries win the WCPO – implications for international data collection, analysis and reporting. WCPFC-2018-ERandEMWG3-IP04.  </w:t>
            </w:r>
          </w:p>
          <w:p w14:paraId="1855AA4E" w14:textId="77777777" w:rsidR="00BA3E50" w:rsidRPr="00F07EFA" w:rsidRDefault="00BA3E50" w:rsidP="00580EA4">
            <w:pPr>
              <w:numPr>
                <w:ilvl w:val="0"/>
                <w:numId w:val="122"/>
              </w:numPr>
              <w:adjustRightInd w:val="0"/>
              <w:snapToGrid w:val="0"/>
              <w:jc w:val="both"/>
              <w:rPr>
                <w:rFonts w:eastAsia="SimSun" w:cs="Times New Roman"/>
                <w:sz w:val="21"/>
                <w:szCs w:val="21"/>
                <w:lang w:val="en-AU" w:eastAsia="en-NZ"/>
              </w:rPr>
            </w:pPr>
            <w:r w:rsidRPr="00F07EFA">
              <w:rPr>
                <w:rFonts w:eastAsia="SimSun" w:cs="Times New Roman"/>
                <w:i/>
                <w:sz w:val="21"/>
                <w:szCs w:val="21"/>
                <w:lang w:val="en-AU" w:eastAsia="en-NZ"/>
              </w:rPr>
              <w:t xml:space="preserve">SPC-OFP (2018).  Outcomes from the Second Regional EM Process Standards Workshop (REMPS-2). WCPFC-2018-ERandEMWG3-IP02.  </w:t>
            </w:r>
          </w:p>
        </w:tc>
      </w:tr>
      <w:tr w:rsidR="00BA3E50" w:rsidRPr="00F07EFA" w14:paraId="637D7AB2" w14:textId="77777777" w:rsidTr="004B6F4C">
        <w:tc>
          <w:tcPr>
            <w:tcW w:w="786" w:type="pct"/>
          </w:tcPr>
          <w:p w14:paraId="452A63F2"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Scope</w:t>
            </w:r>
          </w:p>
        </w:tc>
        <w:tc>
          <w:tcPr>
            <w:tcW w:w="4214" w:type="pct"/>
          </w:tcPr>
          <w:p w14:paraId="06490F70" w14:textId="77777777" w:rsidR="00BA3E50" w:rsidRPr="00F07EFA" w:rsidRDefault="00BA3E50" w:rsidP="00241619">
            <w:pPr>
              <w:adjustRightInd w:val="0"/>
              <w:snapToGrid w:val="0"/>
              <w:textAlignment w:val="center"/>
              <w:rPr>
                <w:rFonts w:cs="Times New Roman"/>
                <w:sz w:val="21"/>
                <w:szCs w:val="21"/>
                <w:lang w:eastAsia="zh-CN"/>
              </w:rPr>
            </w:pPr>
            <w:r w:rsidRPr="00F07EFA">
              <w:rPr>
                <w:rFonts w:cs="Times New Roman"/>
                <w:sz w:val="21"/>
                <w:szCs w:val="21"/>
                <w:lang w:eastAsia="zh-CN"/>
              </w:rPr>
              <w:t>The scope and activities included in the review are:</w:t>
            </w:r>
          </w:p>
          <w:p w14:paraId="3BE1EAF8" w14:textId="77777777" w:rsidR="00BA3E50" w:rsidRPr="00F07EFA" w:rsidRDefault="00BA3E50" w:rsidP="00580EA4">
            <w:pPr>
              <w:numPr>
                <w:ilvl w:val="0"/>
                <w:numId w:val="135"/>
              </w:numPr>
              <w:adjustRightInd w:val="0"/>
              <w:snapToGrid w:val="0"/>
              <w:textAlignment w:val="center"/>
              <w:rPr>
                <w:rFonts w:cs="Times New Roman"/>
                <w:sz w:val="21"/>
                <w:szCs w:val="21"/>
                <w:lang w:eastAsia="zh-CN"/>
              </w:rPr>
            </w:pPr>
            <w:r w:rsidRPr="00F07EFA">
              <w:rPr>
                <w:rFonts w:cs="Times New Roman"/>
                <w:sz w:val="21"/>
                <w:szCs w:val="21"/>
                <w:lang w:eastAsia="zh-CN"/>
              </w:rPr>
              <w:t xml:space="preserve">Summarise existing data and information needs of the </w:t>
            </w:r>
            <w:r w:rsidR="002F7711">
              <w:rPr>
                <w:rFonts w:cs="Times New Roman"/>
                <w:sz w:val="21"/>
                <w:szCs w:val="21"/>
                <w:lang w:eastAsia="zh-CN"/>
              </w:rPr>
              <w:t>C</w:t>
            </w:r>
            <w:r w:rsidRPr="00F07EFA">
              <w:rPr>
                <w:rFonts w:cs="Times New Roman"/>
                <w:sz w:val="21"/>
                <w:szCs w:val="21"/>
                <w:lang w:eastAsia="zh-CN"/>
              </w:rPr>
              <w:t xml:space="preserve">ommission including scientific data and information to support compliance functions. </w:t>
            </w:r>
          </w:p>
          <w:p w14:paraId="64FFF72C" w14:textId="77777777" w:rsidR="00BA3E50" w:rsidRPr="00F07EFA" w:rsidRDefault="00BA3E50" w:rsidP="00580EA4">
            <w:pPr>
              <w:numPr>
                <w:ilvl w:val="0"/>
                <w:numId w:val="135"/>
              </w:numPr>
              <w:adjustRightInd w:val="0"/>
              <w:snapToGrid w:val="0"/>
              <w:textAlignment w:val="center"/>
              <w:rPr>
                <w:rFonts w:cs="Times New Roman"/>
                <w:sz w:val="21"/>
                <w:szCs w:val="21"/>
                <w:lang w:eastAsia="zh-CN"/>
              </w:rPr>
            </w:pPr>
            <w:r w:rsidRPr="00F07EFA">
              <w:rPr>
                <w:rFonts w:cs="Times New Roman"/>
                <w:sz w:val="21"/>
                <w:szCs w:val="21"/>
                <w:lang w:eastAsia="zh-CN"/>
              </w:rPr>
              <w:t xml:space="preserve">Describe how current monitoring programs required by the Commission (e.g. logsheets, observers, VMS, transshipment and other vessel generated reports) are used to collect and/or verify the data and information needed by the Commission. </w:t>
            </w:r>
          </w:p>
          <w:p w14:paraId="4ABA2CF9" w14:textId="77777777" w:rsidR="00BA3E50" w:rsidRPr="00F07EFA" w:rsidRDefault="00BA3E50" w:rsidP="00580EA4">
            <w:pPr>
              <w:numPr>
                <w:ilvl w:val="0"/>
                <w:numId w:val="135"/>
              </w:numPr>
              <w:adjustRightInd w:val="0"/>
              <w:snapToGrid w:val="0"/>
              <w:textAlignment w:val="center"/>
              <w:rPr>
                <w:rFonts w:cs="Times New Roman"/>
                <w:sz w:val="21"/>
                <w:szCs w:val="21"/>
                <w:lang w:eastAsia="zh-CN"/>
              </w:rPr>
            </w:pPr>
            <w:r w:rsidRPr="00F07EFA">
              <w:rPr>
                <w:rFonts w:cs="Times New Roman"/>
                <w:sz w:val="21"/>
                <w:szCs w:val="21"/>
                <w:lang w:eastAsia="zh-CN"/>
              </w:rPr>
              <w:t>Specify data and monitoring gaps and identify priority areas where fishery monitoring requires improvement.</w:t>
            </w:r>
          </w:p>
          <w:p w14:paraId="635C2C10" w14:textId="77777777" w:rsidR="00BA3E50" w:rsidRPr="00F07EFA" w:rsidRDefault="00BA3E50" w:rsidP="00580EA4">
            <w:pPr>
              <w:numPr>
                <w:ilvl w:val="0"/>
                <w:numId w:val="135"/>
              </w:numPr>
              <w:adjustRightInd w:val="0"/>
              <w:snapToGrid w:val="0"/>
              <w:textAlignment w:val="center"/>
              <w:rPr>
                <w:rFonts w:cs="Times New Roman"/>
                <w:sz w:val="21"/>
                <w:szCs w:val="21"/>
                <w:lang w:eastAsia="zh-CN"/>
              </w:rPr>
            </w:pPr>
            <w:r w:rsidRPr="00F07EFA">
              <w:rPr>
                <w:rFonts w:cs="Times New Roman"/>
                <w:sz w:val="21"/>
                <w:szCs w:val="21"/>
                <w:lang w:eastAsia="zh-CN"/>
              </w:rPr>
              <w:t xml:space="preserve">Define areas and roles where e-monitoring can be used to collect scientific data and verify data and information needed by the Commission, including whether there could/should be different areas of application. </w:t>
            </w:r>
          </w:p>
          <w:p w14:paraId="62135952" w14:textId="77777777" w:rsidR="00BA3E50" w:rsidRPr="00F07EFA" w:rsidRDefault="00BA3E50" w:rsidP="00241619">
            <w:pPr>
              <w:adjustRightInd w:val="0"/>
              <w:snapToGrid w:val="0"/>
              <w:textAlignment w:val="center"/>
              <w:rPr>
                <w:rFonts w:cs="Times New Roman"/>
                <w:sz w:val="21"/>
                <w:szCs w:val="21"/>
                <w:lang w:eastAsia="zh-CN"/>
              </w:rPr>
            </w:pPr>
          </w:p>
          <w:p w14:paraId="1B569421" w14:textId="77777777" w:rsidR="00BA3E50" w:rsidRPr="00F07EFA" w:rsidRDefault="00BA3E50" w:rsidP="00241619">
            <w:pPr>
              <w:adjustRightInd w:val="0"/>
              <w:snapToGrid w:val="0"/>
              <w:textAlignment w:val="center"/>
              <w:rPr>
                <w:rFonts w:cs="Times New Roman"/>
                <w:sz w:val="21"/>
                <w:szCs w:val="21"/>
                <w:lang w:eastAsia="zh-CN"/>
              </w:rPr>
            </w:pPr>
            <w:r w:rsidRPr="00F07EFA">
              <w:rPr>
                <w:rFonts w:cs="Times New Roman"/>
                <w:sz w:val="21"/>
                <w:szCs w:val="21"/>
                <w:lang w:eastAsia="zh-CN"/>
              </w:rPr>
              <w:t xml:space="preserve">The focus of the mapping exercise will </w:t>
            </w:r>
            <w:r w:rsidRPr="00F07EFA">
              <w:rPr>
                <w:rFonts w:cs="Times New Roman"/>
                <w:b/>
                <w:sz w:val="21"/>
                <w:szCs w:val="21"/>
                <w:lang w:eastAsia="zh-CN"/>
              </w:rPr>
              <w:t>not</w:t>
            </w:r>
            <w:r w:rsidRPr="00F07EFA">
              <w:rPr>
                <w:rFonts w:cs="Times New Roman"/>
                <w:sz w:val="21"/>
                <w:szCs w:val="21"/>
                <w:lang w:eastAsia="zh-CN"/>
              </w:rPr>
              <w:t xml:space="preserve"> be to undertake a detailed review of the adequacy or otherwise of specific data fields that have been developed for various WCPFC programs.</w:t>
            </w:r>
          </w:p>
        </w:tc>
      </w:tr>
      <w:tr w:rsidR="00BA3E50" w:rsidRPr="00F07EFA" w14:paraId="03AC18A8" w14:textId="77777777" w:rsidTr="004B6F4C">
        <w:tc>
          <w:tcPr>
            <w:tcW w:w="786" w:type="pct"/>
          </w:tcPr>
          <w:p w14:paraId="5FD8EE28"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Links to other work </w:t>
            </w:r>
          </w:p>
        </w:tc>
        <w:tc>
          <w:tcPr>
            <w:tcW w:w="4214" w:type="pct"/>
          </w:tcPr>
          <w:p w14:paraId="2035592A" w14:textId="77777777" w:rsidR="00BA3E50" w:rsidRPr="00F07EFA" w:rsidRDefault="00BA3E50" w:rsidP="00580EA4">
            <w:pPr>
              <w:numPr>
                <w:ilvl w:val="0"/>
                <w:numId w:val="136"/>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This is an essential contribution to the consideration of a WCPFC EM program as it will assist to define the objective and data needs.</w:t>
            </w:r>
          </w:p>
          <w:p w14:paraId="39AA5190" w14:textId="77777777" w:rsidR="00BA3E50" w:rsidRPr="00F07EFA" w:rsidRDefault="00BA3E50" w:rsidP="00580EA4">
            <w:pPr>
              <w:numPr>
                <w:ilvl w:val="0"/>
                <w:numId w:val="136"/>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Outputs from this work will help the Commission to identify where electronic reporting could be implemented to support timely access to and use of data. May help to identify areas where Commission policies and procedures relating to monitoring programs and data may need refinement</w:t>
            </w:r>
          </w:p>
          <w:p w14:paraId="5607C8B8" w14:textId="77777777" w:rsidR="00BA3E50" w:rsidRPr="00F07EFA" w:rsidRDefault="00BA3E50" w:rsidP="00580EA4">
            <w:pPr>
              <w:numPr>
                <w:ilvl w:val="0"/>
                <w:numId w:val="136"/>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It also has relevance to other WCPFC processes such as considering issues of transhipment management, CDS development and evolution of ER standards.</w:t>
            </w:r>
          </w:p>
        </w:tc>
      </w:tr>
      <w:tr w:rsidR="00BA3E50" w:rsidRPr="00F07EFA" w14:paraId="7A892CB5" w14:textId="77777777" w:rsidTr="004B6F4C">
        <w:tc>
          <w:tcPr>
            <w:tcW w:w="786" w:type="pct"/>
          </w:tcPr>
          <w:p w14:paraId="7C3AA863"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Timeframe</w:t>
            </w:r>
          </w:p>
        </w:tc>
        <w:tc>
          <w:tcPr>
            <w:tcW w:w="4214" w:type="pct"/>
          </w:tcPr>
          <w:p w14:paraId="715AE97B" w14:textId="77777777" w:rsidR="00BA3E50" w:rsidRPr="00F07EFA" w:rsidRDefault="00BA3E50" w:rsidP="00580EA4">
            <w:pPr>
              <w:numPr>
                <w:ilvl w:val="0"/>
                <w:numId w:val="137"/>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Draft distributed intersessionally to all CCMs for their inputs before SC</w:t>
            </w:r>
          </w:p>
          <w:p w14:paraId="47BBF5EA" w14:textId="77777777" w:rsidR="00BA3E50" w:rsidRPr="00F07EFA" w:rsidRDefault="00BA3E50" w:rsidP="00580EA4">
            <w:pPr>
              <w:numPr>
                <w:ilvl w:val="0"/>
                <w:numId w:val="137"/>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Presented to SC15 and TCC15</w:t>
            </w:r>
          </w:p>
          <w:p w14:paraId="10D5F0F2" w14:textId="77777777" w:rsidR="00BA3E50" w:rsidRPr="00F07EFA" w:rsidRDefault="00BA3E50" w:rsidP="00580EA4">
            <w:pPr>
              <w:numPr>
                <w:ilvl w:val="0"/>
                <w:numId w:val="137"/>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Final version and recommendations to WCPFC16</w:t>
            </w:r>
          </w:p>
        </w:tc>
      </w:tr>
      <w:tr w:rsidR="00BA3E50" w:rsidRPr="00F07EFA" w14:paraId="1C8BB84D" w14:textId="77777777" w:rsidTr="004B6F4C">
        <w:tc>
          <w:tcPr>
            <w:tcW w:w="786" w:type="pct"/>
          </w:tcPr>
          <w:p w14:paraId="7B850FD1"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Budget</w:t>
            </w:r>
          </w:p>
          <w:p w14:paraId="3ABCACB4" w14:textId="77777777" w:rsidR="00BA3E50" w:rsidRPr="00F07EFA" w:rsidRDefault="00BA3E50" w:rsidP="00241619">
            <w:pPr>
              <w:adjustRightInd w:val="0"/>
              <w:snapToGrid w:val="0"/>
              <w:rPr>
                <w:rFonts w:eastAsia="SimSun" w:cs="Times New Roman"/>
                <w:sz w:val="21"/>
                <w:szCs w:val="21"/>
                <w:lang w:eastAsia="zh-CN"/>
              </w:rPr>
            </w:pPr>
          </w:p>
        </w:tc>
        <w:tc>
          <w:tcPr>
            <w:tcW w:w="4214" w:type="pct"/>
          </w:tcPr>
          <w:p w14:paraId="733A3EE4"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NIL.  Work to be undertaken by SPC, FFA Secretariat and PNA Office and presented to SC and TCC by FFA members.</w:t>
            </w:r>
          </w:p>
        </w:tc>
      </w:tr>
      <w:tr w:rsidR="00BA3E50" w:rsidRPr="00F07EFA" w14:paraId="10B8546E" w14:textId="77777777" w:rsidTr="004B6F4C">
        <w:tc>
          <w:tcPr>
            <w:tcW w:w="786" w:type="pct"/>
          </w:tcPr>
          <w:p w14:paraId="372A2509"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Additional considerations</w:t>
            </w:r>
          </w:p>
        </w:tc>
        <w:tc>
          <w:tcPr>
            <w:tcW w:w="4214" w:type="pct"/>
          </w:tcPr>
          <w:p w14:paraId="66DB938C"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Assistance from the WCPFC Secretariat would also be welcome and very useful, but will obviously be subject to existing workloads and availability.</w:t>
            </w:r>
          </w:p>
        </w:tc>
      </w:tr>
    </w:tbl>
    <w:p w14:paraId="0A8BA906" w14:textId="77777777" w:rsidR="00BA3E50" w:rsidRPr="00F07EFA" w:rsidRDefault="00BA3E50" w:rsidP="00241619">
      <w:pPr>
        <w:widowControl w:val="0"/>
        <w:kinsoku w:val="0"/>
        <w:overflowPunct w:val="0"/>
        <w:autoSpaceDE w:val="0"/>
        <w:autoSpaceDN w:val="0"/>
        <w:adjustRightInd w:val="0"/>
        <w:snapToGrid w:val="0"/>
        <w:rPr>
          <w:rFonts w:eastAsia="Batang"/>
          <w:color w:val="000000"/>
          <w:sz w:val="21"/>
          <w:szCs w:val="21"/>
          <w:lang w:eastAsia="ko-KR"/>
        </w:rPr>
      </w:pPr>
    </w:p>
    <w:tbl>
      <w:tblPr>
        <w:tblStyle w:val="TableGrid7"/>
        <w:tblW w:w="0" w:type="auto"/>
        <w:tblInd w:w="108" w:type="dxa"/>
        <w:tblLook w:val="04A0" w:firstRow="1" w:lastRow="0" w:firstColumn="1" w:lastColumn="0" w:noHBand="0" w:noVBand="1"/>
      </w:tblPr>
      <w:tblGrid>
        <w:gridCol w:w="1767"/>
        <w:gridCol w:w="7593"/>
      </w:tblGrid>
      <w:tr w:rsidR="00BA3E50" w:rsidRPr="00F07EFA" w14:paraId="09F7B09B" w14:textId="77777777" w:rsidTr="004B6F4C">
        <w:trPr>
          <w:trHeight w:val="566"/>
        </w:trPr>
        <w:tc>
          <w:tcPr>
            <w:tcW w:w="176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AE01356" w14:textId="77777777" w:rsidR="00BA3E50" w:rsidRPr="00F07EFA" w:rsidRDefault="00BA3E50" w:rsidP="00241619">
            <w:pPr>
              <w:adjustRightInd w:val="0"/>
              <w:snapToGrid w:val="0"/>
              <w:rPr>
                <w:rFonts w:eastAsia="SimSun" w:cs="Times New Roman"/>
                <w:b/>
                <w:sz w:val="21"/>
                <w:szCs w:val="21"/>
                <w:lang w:eastAsia="ko-KR"/>
              </w:rPr>
            </w:pPr>
            <w:r w:rsidRPr="00F07EFA">
              <w:rPr>
                <w:rFonts w:eastAsia="Malgun Gothic" w:cs="Times New Roman"/>
                <w:b/>
                <w:caps/>
                <w:sz w:val="21"/>
                <w:szCs w:val="21"/>
                <w:lang w:eastAsia="ko-KR"/>
              </w:rPr>
              <w:t xml:space="preserve">PROJECT </w:t>
            </w:r>
            <w:r w:rsidRPr="00F07EFA">
              <w:rPr>
                <w:rFonts w:eastAsia="SimSun" w:cs="Times New Roman"/>
                <w:b/>
                <w:sz w:val="21"/>
                <w:szCs w:val="21"/>
                <w:lang w:eastAsia="ko-KR"/>
              </w:rPr>
              <w:t>94</w:t>
            </w:r>
          </w:p>
        </w:tc>
        <w:tc>
          <w:tcPr>
            <w:tcW w:w="759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152A102" w14:textId="77777777" w:rsidR="00BA3E50" w:rsidRPr="00F07EFA" w:rsidRDefault="00BA3E50" w:rsidP="00241619">
            <w:pPr>
              <w:adjustRightInd w:val="0"/>
              <w:snapToGrid w:val="0"/>
              <w:rPr>
                <w:rFonts w:eastAsia="SimSun" w:cs="Times New Roman"/>
                <w:b/>
                <w:sz w:val="21"/>
                <w:szCs w:val="21"/>
                <w:lang w:eastAsia="zh-CN"/>
              </w:rPr>
            </w:pPr>
            <w:r w:rsidRPr="00F07EFA">
              <w:rPr>
                <w:rFonts w:eastAsia="SimSun" w:cs="Times New Roman"/>
                <w:b/>
                <w:sz w:val="21"/>
                <w:szCs w:val="21"/>
                <w:lang w:eastAsia="zh-CN"/>
              </w:rPr>
              <w:t>Workshop on yellowfin and bigeye tuna age and growth</w:t>
            </w:r>
          </w:p>
        </w:tc>
      </w:tr>
      <w:tr w:rsidR="00BA3E50" w:rsidRPr="00F07EFA" w14:paraId="4874A29B" w14:textId="77777777" w:rsidTr="004B6F4C">
        <w:tc>
          <w:tcPr>
            <w:tcW w:w="1767" w:type="dxa"/>
            <w:tcBorders>
              <w:top w:val="single" w:sz="4" w:space="0" w:color="auto"/>
              <w:left w:val="single" w:sz="4" w:space="0" w:color="auto"/>
              <w:bottom w:val="single" w:sz="4" w:space="0" w:color="auto"/>
              <w:right w:val="single" w:sz="4" w:space="0" w:color="auto"/>
            </w:tcBorders>
            <w:hideMark/>
          </w:tcPr>
          <w:p w14:paraId="7E3EECEB"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Objectives</w:t>
            </w:r>
          </w:p>
        </w:tc>
        <w:tc>
          <w:tcPr>
            <w:tcW w:w="7593" w:type="dxa"/>
            <w:tcBorders>
              <w:top w:val="single" w:sz="4" w:space="0" w:color="auto"/>
              <w:left w:val="single" w:sz="4" w:space="0" w:color="auto"/>
              <w:bottom w:val="single" w:sz="4" w:space="0" w:color="auto"/>
              <w:right w:val="single" w:sz="4" w:space="0" w:color="auto"/>
            </w:tcBorders>
            <w:hideMark/>
          </w:tcPr>
          <w:p w14:paraId="4F13DF91"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To further improve age estimates for bigeye and yellowfin tuna in the WCPO to inform future stock assessments and related analyses through an inter-lab ageing workshop designed to specifically consider annual and daily ageing approaches between WCPFC and IATTC</w:t>
            </w:r>
          </w:p>
        </w:tc>
      </w:tr>
      <w:tr w:rsidR="00BA3E50" w:rsidRPr="00F07EFA" w14:paraId="693B084D" w14:textId="77777777" w:rsidTr="004B6F4C">
        <w:tc>
          <w:tcPr>
            <w:tcW w:w="1767" w:type="dxa"/>
            <w:tcBorders>
              <w:top w:val="single" w:sz="4" w:space="0" w:color="auto"/>
              <w:left w:val="single" w:sz="4" w:space="0" w:color="auto"/>
              <w:bottom w:val="single" w:sz="4" w:space="0" w:color="auto"/>
              <w:right w:val="single" w:sz="4" w:space="0" w:color="auto"/>
            </w:tcBorders>
            <w:hideMark/>
          </w:tcPr>
          <w:p w14:paraId="3D8EE17C"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Rationale</w:t>
            </w:r>
          </w:p>
        </w:tc>
        <w:tc>
          <w:tcPr>
            <w:tcW w:w="7593" w:type="dxa"/>
            <w:tcBorders>
              <w:top w:val="single" w:sz="4" w:space="0" w:color="auto"/>
              <w:left w:val="single" w:sz="4" w:space="0" w:color="auto"/>
              <w:bottom w:val="single" w:sz="4" w:space="0" w:color="auto"/>
              <w:right w:val="single" w:sz="4" w:space="0" w:color="auto"/>
            </w:tcBorders>
          </w:tcPr>
          <w:p w14:paraId="2D6D2F56"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This project builds upon work to date under Project 35 and reported in Farley et al. (2017; SC13-SA-WP-01), work under Project 81 and reported in Farley et al. (2018a SC14-SA-WP-01), and work under Project 82 reported in Farley et al. (2018b; SC14-SA-WP-13).</w:t>
            </w:r>
          </w:p>
          <w:p w14:paraId="50BDAF30" w14:textId="77777777" w:rsidR="00BA3E50" w:rsidRPr="00F07EFA" w:rsidRDefault="00BA3E50" w:rsidP="00241619">
            <w:pPr>
              <w:adjustRightInd w:val="0"/>
              <w:snapToGrid w:val="0"/>
              <w:rPr>
                <w:rFonts w:eastAsia="SimSun" w:cs="Times New Roman"/>
                <w:sz w:val="21"/>
                <w:szCs w:val="21"/>
                <w:lang w:eastAsia="zh-CN"/>
              </w:rPr>
            </w:pPr>
          </w:p>
          <w:p w14:paraId="17F6A014"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During review of Farley et al. (2018a) and Farley et al. (2018b) during SC14, and based on recommendations from the SPC Pre-Assessment Wo</w:t>
            </w:r>
            <w:r w:rsidR="00260D83">
              <w:rPr>
                <w:rFonts w:eastAsiaTheme="minorEastAsia" w:cs="Times New Roman" w:hint="eastAsia"/>
                <w:sz w:val="21"/>
                <w:szCs w:val="21"/>
                <w:lang w:eastAsia="ko-KR"/>
              </w:rPr>
              <w:t>r</w:t>
            </w:r>
            <w:r w:rsidRPr="00F07EFA">
              <w:rPr>
                <w:rFonts w:eastAsia="SimSun" w:cs="Times New Roman"/>
                <w:sz w:val="21"/>
                <w:szCs w:val="21"/>
                <w:lang w:eastAsia="zh-CN"/>
              </w:rPr>
              <w:t>kshop (PAW) in April 2018, it was noted that the differences in ageing approaches between WCPFC and IATTC needed further investigation.</w:t>
            </w:r>
          </w:p>
          <w:p w14:paraId="6B67D85C" w14:textId="77777777" w:rsidR="00BA3E50" w:rsidRPr="00F07EFA" w:rsidRDefault="00BA3E50" w:rsidP="00241619">
            <w:pPr>
              <w:adjustRightInd w:val="0"/>
              <w:snapToGrid w:val="0"/>
              <w:rPr>
                <w:rFonts w:eastAsia="SimSun" w:cs="Times New Roman"/>
                <w:sz w:val="21"/>
                <w:szCs w:val="21"/>
                <w:lang w:eastAsia="zh-CN"/>
              </w:rPr>
            </w:pPr>
          </w:p>
          <w:p w14:paraId="09E42B00"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Inter-laboratory ageing workshops have proven to be a useful approach in such situations for tunas including albacore, southern bluefin, Pacific bluefin, Atlantic bluefin (see Anon 2002; Anon 2004; Rodriguez-Marin et al. 2007). </w:t>
            </w:r>
          </w:p>
          <w:p w14:paraId="11524FEE" w14:textId="77777777" w:rsidR="00BA3E50" w:rsidRPr="00F07EFA" w:rsidRDefault="00BA3E50" w:rsidP="00241619">
            <w:pPr>
              <w:adjustRightInd w:val="0"/>
              <w:snapToGrid w:val="0"/>
              <w:rPr>
                <w:rFonts w:eastAsia="SimSun" w:cs="Times New Roman"/>
                <w:sz w:val="21"/>
                <w:szCs w:val="21"/>
                <w:lang w:eastAsia="zh-CN"/>
              </w:rPr>
            </w:pPr>
          </w:p>
          <w:p w14:paraId="1DD12864"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The 2018 SPC PAW (Pilling and Brouwer 2018) recommended:</w:t>
            </w:r>
          </w:p>
          <w:p w14:paraId="7C075061" w14:textId="77777777" w:rsidR="00BA3E50" w:rsidRPr="00F07EFA" w:rsidRDefault="00BA3E50" w:rsidP="00580EA4">
            <w:pPr>
              <w:numPr>
                <w:ilvl w:val="0"/>
                <w:numId w:val="140"/>
              </w:numPr>
              <w:adjustRightInd w:val="0"/>
              <w:snapToGrid w:val="0"/>
              <w:ind w:left="294"/>
              <w:rPr>
                <w:rFonts w:eastAsia="SimSun" w:cs="Times New Roman"/>
                <w:sz w:val="21"/>
                <w:szCs w:val="21"/>
                <w:lang w:val="en-AU" w:eastAsia="en-NZ"/>
              </w:rPr>
            </w:pPr>
            <w:r w:rsidRPr="00F07EFA">
              <w:rPr>
                <w:rFonts w:eastAsia="SimSun" w:cs="Times New Roman"/>
                <w:sz w:val="21"/>
                <w:szCs w:val="21"/>
                <w:lang w:val="en-AU" w:eastAsia="en-NZ"/>
              </w:rPr>
              <w:t>A workshop should be arranged to compare techniques and age estimates between otolith reading labs, to standardise the approaches for daily increment counts. If possible IATTC and FAS should read sister otoliths for daily counts, based upon SrCl marked otoliths.</w:t>
            </w:r>
          </w:p>
          <w:p w14:paraId="3FA38117" w14:textId="77777777" w:rsidR="00BA3E50" w:rsidRPr="00F07EFA" w:rsidRDefault="00BA3E50" w:rsidP="00241619">
            <w:pPr>
              <w:adjustRightInd w:val="0"/>
              <w:snapToGrid w:val="0"/>
              <w:rPr>
                <w:rFonts w:eastAsia="SimSun" w:cs="Times New Roman"/>
                <w:sz w:val="21"/>
                <w:szCs w:val="21"/>
                <w:lang w:eastAsia="zh-CN"/>
              </w:rPr>
            </w:pPr>
          </w:p>
          <w:p w14:paraId="7E9C1FE6"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The 2018 bigeye reassessment paper (Vincent et al. 2018) recommended:</w:t>
            </w:r>
          </w:p>
          <w:p w14:paraId="4680C4DF" w14:textId="77777777" w:rsidR="00BA3E50" w:rsidRPr="00F07EFA" w:rsidRDefault="00BA3E50" w:rsidP="00580EA4">
            <w:pPr>
              <w:numPr>
                <w:ilvl w:val="0"/>
                <w:numId w:val="139"/>
              </w:numPr>
              <w:adjustRightInd w:val="0"/>
              <w:snapToGrid w:val="0"/>
              <w:ind w:left="436"/>
              <w:rPr>
                <w:rFonts w:eastAsia="SimSun" w:cs="Times New Roman"/>
                <w:sz w:val="21"/>
                <w:szCs w:val="21"/>
                <w:lang w:val="en-AU" w:eastAsia="en-NZ"/>
              </w:rPr>
            </w:pPr>
            <w:r w:rsidRPr="00F07EFA">
              <w:rPr>
                <w:rFonts w:eastAsia="SimSun" w:cs="Times New Roman"/>
                <w:sz w:val="21"/>
                <w:szCs w:val="21"/>
                <w:lang w:val="en-AU" w:eastAsia="en-NZ"/>
              </w:rPr>
              <w:t>Analyzing the same otoliths by different laboratories, to build con</w:t>
            </w:r>
            <w:r w:rsidRPr="00F07EFA">
              <w:rPr>
                <w:rFonts w:eastAsia="SimSun" w:cs="Times New Roman"/>
                <w:sz w:val="21"/>
                <w:szCs w:val="21"/>
                <w:lang w:val="en-AU" w:eastAsia="en-NZ"/>
              </w:rPr>
              <w:br w:type="page"/>
              <w:t>dence in ageing estimates and to estimate ageing error.</w:t>
            </w:r>
          </w:p>
          <w:p w14:paraId="550D84D7" w14:textId="77777777" w:rsidR="00BA3E50" w:rsidRPr="00F07EFA" w:rsidRDefault="00BA3E50" w:rsidP="00580EA4">
            <w:pPr>
              <w:numPr>
                <w:ilvl w:val="0"/>
                <w:numId w:val="139"/>
              </w:numPr>
              <w:adjustRightInd w:val="0"/>
              <w:snapToGrid w:val="0"/>
              <w:ind w:left="436"/>
              <w:rPr>
                <w:rFonts w:eastAsia="SimSun" w:cs="Times New Roman"/>
                <w:sz w:val="21"/>
                <w:szCs w:val="21"/>
                <w:lang w:val="en-AU" w:eastAsia="en-NZ"/>
              </w:rPr>
            </w:pPr>
            <w:r w:rsidRPr="00F07EFA">
              <w:rPr>
                <w:rFonts w:eastAsia="SimSun" w:cs="Times New Roman"/>
                <w:sz w:val="21"/>
                <w:szCs w:val="21"/>
                <w:lang w:val="en-AU" w:eastAsia="en-NZ"/>
              </w:rPr>
              <w:t xml:space="preserve">Collect otoliths of very small bigeye that are captured by the Indonesian, Vietnamese, and Philippines domestic </w:t>
            </w:r>
            <w:r w:rsidRPr="00F07EFA">
              <w:rPr>
                <w:rFonts w:eastAsia="SimSun" w:cs="Times New Roman"/>
                <w:sz w:val="21"/>
                <w:szCs w:val="21"/>
                <w:lang w:val="en-AU" w:eastAsia="en-NZ"/>
              </w:rPr>
              <w:br w:type="page"/>
              <w:t>fisheries in region 7 and estimate age through daily ring counts to aid the estimation of the L1 parameter within the assessment model.”</w:t>
            </w:r>
          </w:p>
          <w:p w14:paraId="02AE002E" w14:textId="77777777" w:rsidR="00BA3E50" w:rsidRPr="00F07EFA" w:rsidRDefault="00BA3E50" w:rsidP="00241619">
            <w:pPr>
              <w:adjustRightInd w:val="0"/>
              <w:snapToGrid w:val="0"/>
              <w:rPr>
                <w:rFonts w:eastAsia="SimSun" w:cs="Times New Roman"/>
                <w:sz w:val="21"/>
                <w:szCs w:val="21"/>
                <w:lang w:eastAsia="zh-CN"/>
              </w:rPr>
            </w:pPr>
          </w:p>
          <w:p w14:paraId="6849908B"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The project will begin with the analyses of strontium chloride (SrCl</w:t>
            </w:r>
            <w:r w:rsidRPr="00F07EFA">
              <w:rPr>
                <w:rFonts w:eastAsia="SimSun" w:cs="Times New Roman"/>
                <w:sz w:val="21"/>
                <w:szCs w:val="21"/>
                <w:vertAlign w:val="subscript"/>
                <w:lang w:eastAsia="zh-CN"/>
              </w:rPr>
              <w:t>2</w:t>
            </w:r>
            <w:r w:rsidRPr="00F07EFA">
              <w:rPr>
                <w:rFonts w:eastAsia="SimSun" w:cs="Times New Roman"/>
                <w:sz w:val="21"/>
                <w:szCs w:val="21"/>
                <w:lang w:eastAsia="zh-CN"/>
              </w:rPr>
              <w:t xml:space="preserve">) marked otoliths from WCPO bigeye and yellowfin by CSIRO, Fish Ageing Services (FAS) and IATTC. In addition, YFT otoliths from the EPO will be prepared and read by FAS using </w:t>
            </w:r>
            <w:r w:rsidR="00260D83" w:rsidRPr="00F07EFA">
              <w:rPr>
                <w:rFonts w:eastAsia="SimSun" w:cs="Times New Roman"/>
                <w:sz w:val="21"/>
                <w:szCs w:val="21"/>
                <w:lang w:eastAsia="zh-CN"/>
              </w:rPr>
              <w:t>annual</w:t>
            </w:r>
            <w:r w:rsidRPr="00F07EFA">
              <w:rPr>
                <w:rFonts w:eastAsia="SimSun" w:cs="Times New Roman"/>
                <w:sz w:val="21"/>
                <w:szCs w:val="21"/>
                <w:lang w:eastAsia="zh-CN"/>
              </w:rPr>
              <w:t xml:space="preserve"> ageing methods (sister otoliths to those read by IATTC using daily ageing methods). BET and YFT otoliths from the WCPO will also be also prepared and read by IATTC using daily ageing methods (sister otoliths to those read by FAS using annual ageing methods). An inter-laboratory workshop will then be held to discuss ageing methods among specialists to resolve </w:t>
            </w:r>
            <w:r w:rsidR="00260D83" w:rsidRPr="00F07EFA">
              <w:rPr>
                <w:rFonts w:eastAsia="SimSun" w:cs="Times New Roman"/>
                <w:sz w:val="21"/>
                <w:szCs w:val="21"/>
                <w:lang w:eastAsia="zh-CN"/>
              </w:rPr>
              <w:t>differences</w:t>
            </w:r>
            <w:r w:rsidRPr="00F07EFA">
              <w:rPr>
                <w:rFonts w:eastAsia="SimSun" w:cs="Times New Roman"/>
                <w:sz w:val="21"/>
                <w:szCs w:val="21"/>
                <w:lang w:eastAsia="zh-CN"/>
              </w:rPr>
              <w:t xml:space="preserve"> in ageing methods. A report will be presented in 2019 at SC15.</w:t>
            </w:r>
          </w:p>
        </w:tc>
      </w:tr>
      <w:tr w:rsidR="00BA3E50" w:rsidRPr="00F07EFA" w14:paraId="4378D3DD" w14:textId="77777777" w:rsidTr="004B6F4C">
        <w:tc>
          <w:tcPr>
            <w:tcW w:w="1767" w:type="dxa"/>
            <w:tcBorders>
              <w:top w:val="single" w:sz="4" w:space="0" w:color="auto"/>
              <w:left w:val="single" w:sz="4" w:space="0" w:color="auto"/>
              <w:bottom w:val="single" w:sz="4" w:space="0" w:color="auto"/>
              <w:right w:val="single" w:sz="4" w:space="0" w:color="auto"/>
            </w:tcBorders>
            <w:hideMark/>
          </w:tcPr>
          <w:p w14:paraId="18BA60B8"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Assumptions</w:t>
            </w:r>
          </w:p>
        </w:tc>
        <w:tc>
          <w:tcPr>
            <w:tcW w:w="7593" w:type="dxa"/>
            <w:tcBorders>
              <w:top w:val="single" w:sz="4" w:space="0" w:color="auto"/>
              <w:left w:val="single" w:sz="4" w:space="0" w:color="auto"/>
              <w:bottom w:val="single" w:sz="4" w:space="0" w:color="auto"/>
              <w:right w:val="single" w:sz="4" w:space="0" w:color="auto"/>
            </w:tcBorders>
            <w:hideMark/>
          </w:tcPr>
          <w:p w14:paraId="411D3827" w14:textId="77777777" w:rsidR="00BA3E50" w:rsidRPr="00F07EFA" w:rsidRDefault="00BA3E50" w:rsidP="00580EA4">
            <w:pPr>
              <w:numPr>
                <w:ilvl w:val="0"/>
                <w:numId w:val="12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The strontium chloride marks on bigeye and yellowfin otoliths currently held in storage at CSIRO are still visible for validation purposes.</w:t>
            </w:r>
          </w:p>
          <w:p w14:paraId="19000AAF" w14:textId="77777777" w:rsidR="00BA3E50" w:rsidRPr="00F07EFA" w:rsidRDefault="00BA3E50" w:rsidP="00580EA4">
            <w:pPr>
              <w:numPr>
                <w:ilvl w:val="0"/>
                <w:numId w:val="12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Otoliths can be collected from bigeye stock </w:t>
            </w:r>
            <w:r w:rsidR="00260D83" w:rsidRPr="00F07EFA">
              <w:rPr>
                <w:rFonts w:eastAsia="SimSun" w:cs="Times New Roman"/>
                <w:sz w:val="21"/>
                <w:szCs w:val="21"/>
                <w:lang w:val="en-AU" w:eastAsia="en-NZ"/>
              </w:rPr>
              <w:t>assessment</w:t>
            </w:r>
            <w:r w:rsidRPr="00F07EFA">
              <w:rPr>
                <w:rFonts w:eastAsia="SimSun" w:cs="Times New Roman"/>
                <w:sz w:val="21"/>
                <w:szCs w:val="21"/>
                <w:lang w:val="en-AU" w:eastAsia="en-NZ"/>
              </w:rPr>
              <w:t xml:space="preserve"> region 7 in August/September 2018, and there is sufficient time available to age these otoliths in advance of the inter-lab workshop.</w:t>
            </w:r>
          </w:p>
          <w:p w14:paraId="31A69F3C" w14:textId="77777777" w:rsidR="00BA3E50" w:rsidRPr="00F07EFA" w:rsidRDefault="00BA3E50" w:rsidP="00580EA4">
            <w:pPr>
              <w:numPr>
                <w:ilvl w:val="0"/>
                <w:numId w:val="12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Otoliths are exchanged (CSIRO and IATTC) prior to the inter-lab ageing workshop.</w:t>
            </w:r>
          </w:p>
          <w:p w14:paraId="60379B75" w14:textId="77777777" w:rsidR="00BA3E50" w:rsidRPr="00F07EFA" w:rsidRDefault="00BA3E50" w:rsidP="00580EA4">
            <w:pPr>
              <w:numPr>
                <w:ilvl w:val="0"/>
                <w:numId w:val="12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IATTC and CSIRO complete the pre-workshop readings in advance of the workshop.</w:t>
            </w:r>
          </w:p>
          <w:p w14:paraId="5053CF77" w14:textId="77777777" w:rsidR="00BA3E50" w:rsidRPr="00F07EFA" w:rsidRDefault="00BA3E50" w:rsidP="00580EA4">
            <w:pPr>
              <w:numPr>
                <w:ilvl w:val="0"/>
                <w:numId w:val="12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All necessary data are made </w:t>
            </w:r>
            <w:r w:rsidR="00260D83" w:rsidRPr="00F07EFA">
              <w:rPr>
                <w:rFonts w:eastAsia="SimSun" w:cs="Times New Roman"/>
                <w:sz w:val="21"/>
                <w:szCs w:val="21"/>
                <w:lang w:val="en-AU" w:eastAsia="en-NZ"/>
              </w:rPr>
              <w:t>avail be</w:t>
            </w:r>
            <w:r w:rsidRPr="00F07EFA">
              <w:rPr>
                <w:rFonts w:eastAsia="SimSun" w:cs="Times New Roman"/>
                <w:sz w:val="21"/>
                <w:szCs w:val="21"/>
                <w:lang w:val="en-AU" w:eastAsia="en-NZ"/>
              </w:rPr>
              <w:t xml:space="preserve"> by both labs prior to the workshop.</w:t>
            </w:r>
          </w:p>
          <w:p w14:paraId="3A4ADAA7" w14:textId="77777777" w:rsidR="00BA3E50" w:rsidRPr="00F07EFA" w:rsidRDefault="00BA3E50" w:rsidP="00580EA4">
            <w:pPr>
              <w:numPr>
                <w:ilvl w:val="0"/>
                <w:numId w:val="12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Otoliths from the WCPFC Tuna Tissue Bank will be released without needing to have the research proposal approved by the SC Research Committee.</w:t>
            </w:r>
          </w:p>
          <w:p w14:paraId="64B30B03" w14:textId="77777777" w:rsidR="00BA3E50" w:rsidRPr="00F07EFA" w:rsidRDefault="00BA3E50" w:rsidP="00580EA4">
            <w:pPr>
              <w:numPr>
                <w:ilvl w:val="0"/>
                <w:numId w:val="12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CSIRO will undertake the core work (and Fish Ageing Services (FAS) P/L, Australia) will undertake the primary aging work) and will actively collaborate with the Scientific Services Provider and IATTC in the conduct of the analyses.</w:t>
            </w:r>
          </w:p>
          <w:p w14:paraId="43BA63D5" w14:textId="77777777" w:rsidR="00BA3E50" w:rsidRPr="00F07EFA" w:rsidRDefault="00BA3E50" w:rsidP="00580EA4">
            <w:pPr>
              <w:numPr>
                <w:ilvl w:val="0"/>
                <w:numId w:val="12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SPC will provide its time through other projects.</w:t>
            </w:r>
          </w:p>
          <w:p w14:paraId="6094B1E0" w14:textId="77777777" w:rsidR="00BA3E50" w:rsidRPr="00F07EFA" w:rsidRDefault="00BA3E50" w:rsidP="00580EA4">
            <w:pPr>
              <w:numPr>
                <w:ilvl w:val="0"/>
                <w:numId w:val="12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CSIRO will provide in-kind funding of US$20,000 for the project. </w:t>
            </w:r>
          </w:p>
        </w:tc>
      </w:tr>
      <w:tr w:rsidR="00BA3E50" w:rsidRPr="00F07EFA" w14:paraId="7A36BC9E" w14:textId="77777777" w:rsidTr="004B6F4C">
        <w:tc>
          <w:tcPr>
            <w:tcW w:w="1767" w:type="dxa"/>
            <w:tcBorders>
              <w:top w:val="single" w:sz="4" w:space="0" w:color="auto"/>
              <w:left w:val="single" w:sz="4" w:space="0" w:color="auto"/>
              <w:bottom w:val="single" w:sz="4" w:space="0" w:color="auto"/>
              <w:right w:val="single" w:sz="4" w:space="0" w:color="auto"/>
            </w:tcBorders>
            <w:hideMark/>
          </w:tcPr>
          <w:p w14:paraId="0D6497EF"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Scope</w:t>
            </w:r>
          </w:p>
        </w:tc>
        <w:tc>
          <w:tcPr>
            <w:tcW w:w="7593" w:type="dxa"/>
            <w:tcBorders>
              <w:top w:val="single" w:sz="4" w:space="0" w:color="auto"/>
              <w:left w:val="single" w:sz="4" w:space="0" w:color="auto"/>
              <w:bottom w:val="single" w:sz="4" w:space="0" w:color="auto"/>
              <w:right w:val="single" w:sz="4" w:space="0" w:color="auto"/>
            </w:tcBorders>
            <w:hideMark/>
          </w:tcPr>
          <w:p w14:paraId="67256CB6"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Prior to the workshop, the project will:</w:t>
            </w:r>
          </w:p>
          <w:p w14:paraId="21C8677F" w14:textId="77777777" w:rsidR="00BA3E50" w:rsidRPr="00F07EFA" w:rsidRDefault="00BA3E50" w:rsidP="00580EA4">
            <w:pPr>
              <w:numPr>
                <w:ilvl w:val="0"/>
                <w:numId w:val="121"/>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Analyse three SrCl</w:t>
            </w:r>
            <w:r w:rsidRPr="00F07EFA">
              <w:rPr>
                <w:rFonts w:eastAsia="SimSun" w:cs="Times New Roman"/>
                <w:sz w:val="21"/>
                <w:szCs w:val="21"/>
                <w:vertAlign w:val="subscript"/>
                <w:lang w:val="en-AU" w:eastAsia="en-NZ"/>
              </w:rPr>
              <w:t xml:space="preserve">2 </w:t>
            </w:r>
            <w:r w:rsidRPr="00F07EFA">
              <w:rPr>
                <w:rFonts w:eastAsia="SimSun" w:cs="Times New Roman"/>
                <w:sz w:val="21"/>
                <w:szCs w:val="21"/>
                <w:lang w:val="en-AU" w:eastAsia="en-NZ"/>
              </w:rPr>
              <w:t>marked bigeye otoliths and three SrCl</w:t>
            </w:r>
            <w:r w:rsidRPr="00F07EFA">
              <w:rPr>
                <w:rFonts w:eastAsia="SimSun" w:cs="Times New Roman"/>
                <w:sz w:val="21"/>
                <w:szCs w:val="21"/>
                <w:vertAlign w:val="subscript"/>
                <w:lang w:val="en-AU" w:eastAsia="en-NZ"/>
              </w:rPr>
              <w:t xml:space="preserve">2 </w:t>
            </w:r>
            <w:r w:rsidRPr="00F07EFA">
              <w:rPr>
                <w:rFonts w:eastAsia="SimSun" w:cs="Times New Roman"/>
                <w:sz w:val="21"/>
                <w:szCs w:val="21"/>
                <w:lang w:val="en-AU" w:eastAsia="en-NZ"/>
              </w:rPr>
              <w:t xml:space="preserve">marked yellowfin </w:t>
            </w:r>
            <w:r w:rsidR="00260D83" w:rsidRPr="00F07EFA">
              <w:rPr>
                <w:rFonts w:eastAsia="SimSun" w:cs="Times New Roman"/>
                <w:sz w:val="21"/>
                <w:szCs w:val="21"/>
                <w:lang w:val="en-AU" w:eastAsia="en-NZ"/>
              </w:rPr>
              <w:t>otoliths</w:t>
            </w:r>
            <w:r w:rsidRPr="00F07EFA">
              <w:rPr>
                <w:rFonts w:eastAsia="SimSun" w:cs="Times New Roman"/>
                <w:sz w:val="21"/>
                <w:szCs w:val="21"/>
                <w:lang w:val="en-AU" w:eastAsia="en-NZ"/>
              </w:rPr>
              <w:t xml:space="preserve"> from the WCPO using the daily ageing method by IATTC and annual ageing methods by FAS  using sister otoliths from the same fish.</w:t>
            </w:r>
          </w:p>
          <w:p w14:paraId="203743C3" w14:textId="77777777" w:rsidR="00BA3E50" w:rsidRPr="00F07EFA" w:rsidRDefault="00BA3E50" w:rsidP="00580EA4">
            <w:pPr>
              <w:numPr>
                <w:ilvl w:val="0"/>
                <w:numId w:val="121"/>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Analyse an additional three bigeye and three yellowfin tuna </w:t>
            </w:r>
            <w:r w:rsidR="00260D83" w:rsidRPr="00F07EFA">
              <w:rPr>
                <w:rFonts w:eastAsia="SimSun" w:cs="Times New Roman"/>
                <w:sz w:val="21"/>
                <w:szCs w:val="21"/>
                <w:lang w:val="en-AU" w:eastAsia="en-NZ"/>
              </w:rPr>
              <w:t>otoliths</w:t>
            </w:r>
            <w:r w:rsidRPr="00F07EFA">
              <w:rPr>
                <w:rFonts w:eastAsia="SimSun" w:cs="Times New Roman"/>
                <w:sz w:val="21"/>
                <w:szCs w:val="21"/>
                <w:lang w:val="en-AU" w:eastAsia="en-NZ"/>
              </w:rPr>
              <w:t xml:space="preserve"> from the WCPO using the daily ageing method by IATTC and FAS to resolve differences in ageing methods (using sister otoliths from the same fish).Analyse 50 bigeye otoliths from small fish region 7 using the daily increment method by FAS;</w:t>
            </w:r>
          </w:p>
          <w:p w14:paraId="032F5467" w14:textId="77777777" w:rsidR="00BA3E50" w:rsidRPr="00F07EFA" w:rsidRDefault="00BA3E50" w:rsidP="00241619">
            <w:pPr>
              <w:adjustRightInd w:val="0"/>
              <w:snapToGrid w:val="0"/>
              <w:rPr>
                <w:rFonts w:eastAsia="SimSun" w:cs="Times New Roman"/>
                <w:sz w:val="21"/>
                <w:szCs w:val="21"/>
                <w:lang w:eastAsia="zh-CN"/>
              </w:rPr>
            </w:pPr>
          </w:p>
          <w:p w14:paraId="49C5AE9C"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During the workshop, the participants will:</w:t>
            </w:r>
          </w:p>
          <w:p w14:paraId="3FC8838C" w14:textId="77777777" w:rsidR="00BA3E50" w:rsidRPr="00F07EFA" w:rsidRDefault="00BA3E50" w:rsidP="00580EA4">
            <w:pPr>
              <w:numPr>
                <w:ilvl w:val="0"/>
                <w:numId w:val="138"/>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Jointly read/examine WCPO and EPO </w:t>
            </w:r>
            <w:r w:rsidR="00260D83" w:rsidRPr="00F07EFA">
              <w:rPr>
                <w:rFonts w:eastAsia="SimSun" w:cs="Times New Roman"/>
                <w:sz w:val="21"/>
                <w:szCs w:val="21"/>
                <w:lang w:val="en-AU" w:eastAsia="en-NZ"/>
              </w:rPr>
              <w:t>otoliths</w:t>
            </w:r>
            <w:r w:rsidRPr="00F07EFA">
              <w:rPr>
                <w:rFonts w:eastAsia="SimSun" w:cs="Times New Roman"/>
                <w:sz w:val="21"/>
                <w:szCs w:val="21"/>
                <w:lang w:val="en-AU" w:eastAsia="en-NZ"/>
              </w:rPr>
              <w:t xml:space="preserve"> prepared for the project;</w:t>
            </w:r>
          </w:p>
          <w:p w14:paraId="0A6B596B" w14:textId="77777777" w:rsidR="00BA3E50" w:rsidRPr="00F07EFA" w:rsidRDefault="00BA3E50" w:rsidP="00580EA4">
            <w:pPr>
              <w:numPr>
                <w:ilvl w:val="0"/>
                <w:numId w:val="138"/>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Jointly read/examine EPO </w:t>
            </w:r>
            <w:r w:rsidR="00260D83" w:rsidRPr="00F07EFA">
              <w:rPr>
                <w:rFonts w:eastAsia="SimSun" w:cs="Times New Roman"/>
                <w:sz w:val="21"/>
                <w:szCs w:val="21"/>
                <w:lang w:val="en-AU" w:eastAsia="en-NZ"/>
              </w:rPr>
              <w:t>otoliths</w:t>
            </w:r>
            <w:r w:rsidRPr="00F07EFA">
              <w:rPr>
                <w:rFonts w:eastAsia="SimSun" w:cs="Times New Roman"/>
                <w:sz w:val="21"/>
                <w:szCs w:val="21"/>
                <w:lang w:val="en-AU" w:eastAsia="en-NZ"/>
              </w:rPr>
              <w:t xml:space="preserve"> previously prepared by IATTC (i.e., </w:t>
            </w:r>
            <w:r w:rsidR="00260D83" w:rsidRPr="00F07EFA">
              <w:rPr>
                <w:rFonts w:eastAsia="SimSun" w:cs="Times New Roman"/>
                <w:sz w:val="21"/>
                <w:szCs w:val="21"/>
                <w:lang w:val="en-AU" w:eastAsia="en-NZ"/>
              </w:rPr>
              <w:t>otoliths</w:t>
            </w:r>
            <w:r w:rsidRPr="00F07EFA">
              <w:rPr>
                <w:rFonts w:eastAsia="SimSun" w:cs="Times New Roman"/>
                <w:sz w:val="21"/>
                <w:szCs w:val="21"/>
                <w:lang w:val="en-AU" w:eastAsia="en-NZ"/>
              </w:rPr>
              <w:t xml:space="preserve"> used in the IATTC age validation work, and additional </w:t>
            </w:r>
            <w:r w:rsidR="00260D83" w:rsidRPr="00F07EFA">
              <w:rPr>
                <w:rFonts w:eastAsia="SimSun" w:cs="Times New Roman"/>
                <w:sz w:val="21"/>
                <w:szCs w:val="21"/>
                <w:lang w:val="en-AU" w:eastAsia="en-NZ"/>
              </w:rPr>
              <w:t>otoliths</w:t>
            </w:r>
            <w:r w:rsidRPr="00F07EFA">
              <w:rPr>
                <w:rFonts w:eastAsia="SimSun" w:cs="Times New Roman"/>
                <w:sz w:val="21"/>
                <w:szCs w:val="21"/>
                <w:lang w:val="en-AU" w:eastAsia="en-NZ"/>
              </w:rPr>
              <w:t xml:space="preserve"> from the full size range available);</w:t>
            </w:r>
          </w:p>
          <w:p w14:paraId="53522341" w14:textId="77777777" w:rsidR="00BA3E50" w:rsidRPr="00F07EFA" w:rsidRDefault="00BA3E50" w:rsidP="00580EA4">
            <w:pPr>
              <w:numPr>
                <w:ilvl w:val="0"/>
                <w:numId w:val="138"/>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Jointly read/examine WCPO </w:t>
            </w:r>
            <w:r w:rsidR="00260D83" w:rsidRPr="00F07EFA">
              <w:rPr>
                <w:rFonts w:eastAsia="SimSun" w:cs="Times New Roman"/>
                <w:sz w:val="21"/>
                <w:szCs w:val="21"/>
                <w:lang w:val="en-AU" w:eastAsia="en-NZ"/>
              </w:rPr>
              <w:t>otoliths</w:t>
            </w:r>
            <w:r w:rsidRPr="00F07EFA">
              <w:rPr>
                <w:rFonts w:eastAsia="SimSun" w:cs="Times New Roman"/>
                <w:sz w:val="21"/>
                <w:szCs w:val="21"/>
                <w:lang w:val="en-AU" w:eastAsia="en-NZ"/>
              </w:rPr>
              <w:t xml:space="preserve"> previously prepared by FAS for annual ageing.</w:t>
            </w:r>
          </w:p>
          <w:p w14:paraId="111F5619" w14:textId="77777777" w:rsidR="00BA3E50" w:rsidRPr="004B6F4C" w:rsidRDefault="00BA3E50" w:rsidP="00580EA4">
            <w:pPr>
              <w:numPr>
                <w:ilvl w:val="0"/>
                <w:numId w:val="138"/>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Discuss and share ageing methods to improve skill and resolve </w:t>
            </w:r>
            <w:r w:rsidR="00260D83" w:rsidRPr="00F07EFA">
              <w:rPr>
                <w:rFonts w:eastAsia="SimSun" w:cs="Times New Roman"/>
                <w:sz w:val="21"/>
                <w:szCs w:val="21"/>
                <w:lang w:val="en-AU" w:eastAsia="en-NZ"/>
              </w:rPr>
              <w:t>differences</w:t>
            </w:r>
            <w:r w:rsidRPr="00F07EFA">
              <w:rPr>
                <w:rFonts w:eastAsia="SimSun" w:cs="Times New Roman"/>
                <w:sz w:val="21"/>
                <w:szCs w:val="21"/>
                <w:lang w:val="en-AU" w:eastAsia="en-NZ"/>
              </w:rPr>
              <w:t xml:space="preserve"> in ageing methods.</w:t>
            </w:r>
          </w:p>
        </w:tc>
      </w:tr>
      <w:tr w:rsidR="00BA3E50" w:rsidRPr="00F07EFA" w14:paraId="400CB6E9" w14:textId="77777777" w:rsidTr="004B6F4C">
        <w:tc>
          <w:tcPr>
            <w:tcW w:w="1767" w:type="dxa"/>
            <w:tcBorders>
              <w:top w:val="single" w:sz="4" w:space="0" w:color="auto"/>
              <w:left w:val="single" w:sz="4" w:space="0" w:color="auto"/>
              <w:bottom w:val="single" w:sz="4" w:space="0" w:color="auto"/>
              <w:right w:val="single" w:sz="4" w:space="0" w:color="auto"/>
            </w:tcBorders>
            <w:hideMark/>
          </w:tcPr>
          <w:p w14:paraId="20EEFACD"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Timeframe</w:t>
            </w:r>
          </w:p>
        </w:tc>
        <w:tc>
          <w:tcPr>
            <w:tcW w:w="7593" w:type="dxa"/>
            <w:tcBorders>
              <w:top w:val="single" w:sz="4" w:space="0" w:color="auto"/>
              <w:left w:val="single" w:sz="4" w:space="0" w:color="auto"/>
              <w:bottom w:val="single" w:sz="4" w:space="0" w:color="auto"/>
              <w:right w:val="single" w:sz="4" w:space="0" w:color="auto"/>
            </w:tcBorders>
            <w:hideMark/>
          </w:tcPr>
          <w:p w14:paraId="0B1858A0"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12 months</w:t>
            </w:r>
          </w:p>
        </w:tc>
      </w:tr>
      <w:tr w:rsidR="00BA3E50" w:rsidRPr="00F07EFA" w14:paraId="6FA0BBF6" w14:textId="77777777" w:rsidTr="004B6F4C">
        <w:tc>
          <w:tcPr>
            <w:tcW w:w="1767" w:type="dxa"/>
            <w:tcBorders>
              <w:top w:val="single" w:sz="4" w:space="0" w:color="auto"/>
              <w:left w:val="single" w:sz="4" w:space="0" w:color="auto"/>
              <w:bottom w:val="single" w:sz="4" w:space="0" w:color="auto"/>
              <w:right w:val="single" w:sz="4" w:space="0" w:color="auto"/>
            </w:tcBorders>
          </w:tcPr>
          <w:p w14:paraId="42D1D8BE"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Budget</w:t>
            </w:r>
          </w:p>
          <w:p w14:paraId="0774D189" w14:textId="77777777" w:rsidR="00BA3E50" w:rsidRPr="00F07EFA" w:rsidRDefault="00BA3E50" w:rsidP="00241619">
            <w:pPr>
              <w:adjustRightInd w:val="0"/>
              <w:snapToGrid w:val="0"/>
              <w:rPr>
                <w:rFonts w:eastAsia="SimSun" w:cs="Times New Roman"/>
                <w:sz w:val="21"/>
                <w:szCs w:val="21"/>
                <w:lang w:eastAsia="zh-CN"/>
              </w:rPr>
            </w:pPr>
          </w:p>
        </w:tc>
        <w:tc>
          <w:tcPr>
            <w:tcW w:w="7593" w:type="dxa"/>
            <w:tcBorders>
              <w:top w:val="single" w:sz="4" w:space="0" w:color="auto"/>
              <w:left w:val="single" w:sz="4" w:space="0" w:color="auto"/>
              <w:bottom w:val="single" w:sz="4" w:space="0" w:color="auto"/>
              <w:right w:val="single" w:sz="4" w:space="0" w:color="auto"/>
            </w:tcBorders>
            <w:hideMark/>
          </w:tcPr>
          <w:p w14:paraId="27972673"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US$15,000*</w:t>
            </w:r>
          </w:p>
          <w:p w14:paraId="6CAACDA9"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*Note that this covers the CSIRO component of the work (including use of FAS pre-workshop), SPC work in advance of the workshop, and CSIRO, FAS and SPC travel to the workshop. This budget includes SEM reading of strontium chloride marked otoliths, reading bigeye otoliths using the daily method for smaller fish in stock assessment area seven, prepa</w:t>
            </w:r>
            <w:r w:rsidR="00260D83">
              <w:rPr>
                <w:rFonts w:eastAsiaTheme="minorEastAsia" w:cs="Times New Roman" w:hint="eastAsia"/>
                <w:sz w:val="21"/>
                <w:szCs w:val="21"/>
                <w:lang w:eastAsia="ko-KR"/>
              </w:rPr>
              <w:t>ra</w:t>
            </w:r>
            <w:r w:rsidRPr="00F07EFA">
              <w:rPr>
                <w:rFonts w:eastAsia="SimSun" w:cs="Times New Roman"/>
                <w:sz w:val="21"/>
                <w:szCs w:val="21"/>
                <w:lang w:eastAsia="zh-CN"/>
              </w:rPr>
              <w:t>tion and reading of yellowfin and bigeye WCPFC otoliths for the workshop, and preparing a report for WCPFC15.</w:t>
            </w:r>
          </w:p>
        </w:tc>
      </w:tr>
      <w:tr w:rsidR="00BA3E50" w:rsidRPr="00F07EFA" w14:paraId="1832930E" w14:textId="77777777" w:rsidTr="004B6F4C">
        <w:tc>
          <w:tcPr>
            <w:tcW w:w="1767" w:type="dxa"/>
            <w:tcBorders>
              <w:top w:val="single" w:sz="4" w:space="0" w:color="auto"/>
              <w:left w:val="single" w:sz="4" w:space="0" w:color="auto"/>
              <w:bottom w:val="single" w:sz="4" w:space="0" w:color="auto"/>
              <w:right w:val="single" w:sz="4" w:space="0" w:color="auto"/>
            </w:tcBorders>
            <w:hideMark/>
          </w:tcPr>
          <w:p w14:paraId="0457B80B"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References</w:t>
            </w:r>
          </w:p>
        </w:tc>
        <w:tc>
          <w:tcPr>
            <w:tcW w:w="7593" w:type="dxa"/>
            <w:tcBorders>
              <w:top w:val="single" w:sz="4" w:space="0" w:color="auto"/>
              <w:left w:val="single" w:sz="4" w:space="0" w:color="auto"/>
              <w:bottom w:val="single" w:sz="4" w:space="0" w:color="auto"/>
              <w:right w:val="single" w:sz="4" w:space="0" w:color="auto"/>
            </w:tcBorders>
            <w:hideMark/>
          </w:tcPr>
          <w:p w14:paraId="343C3239"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Anonymous (2002) A manual for age determination of southern bluefin tuna </w:t>
            </w:r>
            <w:r w:rsidRPr="00F07EFA">
              <w:rPr>
                <w:rFonts w:eastAsia="SimSun" w:cs="Times New Roman"/>
                <w:i/>
                <w:sz w:val="21"/>
                <w:szCs w:val="21"/>
                <w:lang w:eastAsia="zh-CN"/>
              </w:rPr>
              <w:t>Thunnus maccoyii</w:t>
            </w:r>
            <w:r w:rsidRPr="00F07EFA">
              <w:rPr>
                <w:rFonts w:eastAsia="SimSun" w:cs="Times New Roman"/>
                <w:sz w:val="21"/>
                <w:szCs w:val="21"/>
                <w:lang w:eastAsia="zh-CN"/>
              </w:rPr>
              <w:t xml:space="preserve"> – otolith sampling, preparation and interpretation. The direct age estimation workshop of the CCSBT, 11–14 June, 2002, Queenscliff, Australia. </w:t>
            </w:r>
          </w:p>
          <w:p w14:paraId="045F7F57" w14:textId="77777777" w:rsidR="00BA3E50" w:rsidRPr="00F07EFA" w:rsidRDefault="00BA3E50" w:rsidP="00241619">
            <w:pPr>
              <w:adjustRightInd w:val="0"/>
              <w:snapToGrid w:val="0"/>
              <w:rPr>
                <w:rFonts w:eastAsia="SimSun" w:cs="Times New Roman"/>
                <w:sz w:val="21"/>
                <w:szCs w:val="21"/>
                <w:lang w:eastAsia="zh-CN"/>
              </w:rPr>
            </w:pPr>
          </w:p>
          <w:p w14:paraId="5EA4DCC8"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Anonymous (2014) Pacific bluefin tuna and albacore tuna ageing workshop. International Scientific Committee for tuna and tuna-like species in the North Pacific Ocean, 13–16 November, Shimizu, Japan</w:t>
            </w:r>
          </w:p>
          <w:p w14:paraId="75B6DCFD" w14:textId="77777777" w:rsidR="00BA3E50" w:rsidRPr="00F07EFA" w:rsidRDefault="00BA3E50" w:rsidP="00241619">
            <w:pPr>
              <w:adjustRightInd w:val="0"/>
              <w:snapToGrid w:val="0"/>
              <w:rPr>
                <w:rFonts w:eastAsia="SimSun" w:cs="Times New Roman"/>
                <w:sz w:val="21"/>
                <w:szCs w:val="21"/>
                <w:lang w:eastAsia="zh-CN"/>
              </w:rPr>
            </w:pPr>
          </w:p>
          <w:p w14:paraId="0348CB2D"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Farley, J., Eveson, P., Krusic-Golub, Sanchez, C., Roupsard, F., McKechnie, S., Nicol, S., Leroy, B., Smith, N., and Chang, S-K. 2017. Project 35: Age, growth and maturity of bigeye tuna in the Western and Central Pacific Ocean. SC13-SA-WP-01. Thirteenth regular session of the Scientific Committee of the Western and Central Pacific Fisheries Commission. Rarotonga, Cook Islands, 9-17 August 2017.</w:t>
            </w:r>
          </w:p>
          <w:p w14:paraId="1AA73B2B" w14:textId="77777777" w:rsidR="00BA3E50" w:rsidRPr="00F07EFA" w:rsidRDefault="00BA3E50" w:rsidP="00241619">
            <w:pPr>
              <w:adjustRightInd w:val="0"/>
              <w:snapToGrid w:val="0"/>
              <w:rPr>
                <w:rFonts w:eastAsia="SimSun" w:cs="Times New Roman"/>
                <w:sz w:val="21"/>
                <w:szCs w:val="21"/>
                <w:lang w:eastAsia="zh-CN"/>
              </w:rPr>
            </w:pPr>
          </w:p>
          <w:p w14:paraId="1C958E7B"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Farley J, Eveson P, Krusic-Golub K, Clear N, Sanchez C, Roupsard F, Satoh K, Smith N, Hampton J. 2018. Update on age and growth of bigeye tuna in the WCPO WCPFC Project 81. </w:t>
            </w:r>
            <w:r w:rsidR="005C3CE1">
              <w:rPr>
                <w:rFonts w:eastAsia="Calibri"/>
                <w:sz w:val="22"/>
                <w:szCs w:val="22"/>
                <w:lang w:val="en-AU"/>
              </w:rPr>
              <w:t>SC14-</w:t>
            </w:r>
            <w:r w:rsidRPr="00F07EFA">
              <w:rPr>
                <w:rFonts w:eastAsia="SimSun" w:cs="Times New Roman"/>
                <w:sz w:val="21"/>
                <w:szCs w:val="21"/>
                <w:lang w:eastAsia="zh-CN"/>
              </w:rPr>
              <w:t>SA-WP-01. Fourteenth regular session of the Scientific Committee of the Western and Central Pacific Fisheries Commission. Busan, Republic of Korea, 8-16 August 2018.</w:t>
            </w:r>
          </w:p>
          <w:p w14:paraId="3087D575" w14:textId="77777777" w:rsidR="00BA3E50" w:rsidRPr="00F07EFA" w:rsidRDefault="00BA3E50" w:rsidP="00241619">
            <w:pPr>
              <w:adjustRightInd w:val="0"/>
              <w:snapToGrid w:val="0"/>
              <w:rPr>
                <w:rFonts w:eastAsia="SimSun" w:cs="Times New Roman"/>
                <w:sz w:val="21"/>
                <w:szCs w:val="21"/>
                <w:lang w:eastAsia="zh-CN"/>
              </w:rPr>
            </w:pPr>
          </w:p>
          <w:p w14:paraId="6614BBFF"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Farley J, Krusic-Golub K, Clear N, Eveson P, Smith N. 2018. Progress on yellowfin tuna age and growth in the WCPO WCPFC Project 82. </w:t>
            </w:r>
            <w:r w:rsidR="005C3CE1">
              <w:rPr>
                <w:rFonts w:eastAsia="Calibri"/>
                <w:sz w:val="22"/>
                <w:szCs w:val="22"/>
                <w:lang w:val="en-AU"/>
              </w:rPr>
              <w:t>SC14-</w:t>
            </w:r>
            <w:r w:rsidRPr="00F07EFA">
              <w:rPr>
                <w:rFonts w:eastAsia="SimSun" w:cs="Times New Roman"/>
                <w:sz w:val="21"/>
                <w:szCs w:val="21"/>
                <w:lang w:eastAsia="zh-CN"/>
              </w:rPr>
              <w:t>SA-WP-13. Fourteenth regular session of the Scientific Committee of the Western and Central Pacific Fisheries Commission, Busan, Republic of Korea, 8-16 August 2018.</w:t>
            </w:r>
          </w:p>
          <w:p w14:paraId="447D2551" w14:textId="77777777" w:rsidR="00BA3E50" w:rsidRPr="00F07EFA" w:rsidRDefault="00BA3E50" w:rsidP="00241619">
            <w:pPr>
              <w:adjustRightInd w:val="0"/>
              <w:snapToGrid w:val="0"/>
              <w:rPr>
                <w:rFonts w:eastAsia="SimSun" w:cs="Times New Roman"/>
                <w:sz w:val="21"/>
                <w:szCs w:val="21"/>
                <w:lang w:eastAsia="zh-CN"/>
              </w:rPr>
            </w:pPr>
          </w:p>
          <w:p w14:paraId="100D5BB0"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Vincent MT, Pilling GM, Hampton J 2018. Incorporation of updated growth information within the 2017 WCPO bigeye stock assessment grid, and examination of the sensitivity of estimates to alternative model spatial structures. </w:t>
            </w:r>
            <w:r w:rsidR="005C3CE1">
              <w:rPr>
                <w:rFonts w:eastAsia="Calibri"/>
                <w:sz w:val="22"/>
                <w:szCs w:val="22"/>
                <w:lang w:val="en-AU"/>
              </w:rPr>
              <w:t>SC14-</w:t>
            </w:r>
            <w:r w:rsidRPr="00F07EFA">
              <w:rPr>
                <w:rFonts w:eastAsia="SimSun" w:cs="Times New Roman"/>
                <w:sz w:val="21"/>
                <w:szCs w:val="21"/>
                <w:lang w:eastAsia="zh-CN"/>
              </w:rPr>
              <w:t>SA-WP-03. Fourteenth regular session of the Scientific Committee of the Western and Central Pacific Fisheries Commission. Busan, Republic of Korea, 8-16 August 2018.</w:t>
            </w:r>
          </w:p>
          <w:p w14:paraId="6B831872" w14:textId="77777777" w:rsidR="00BA3E50" w:rsidRPr="00F07EFA" w:rsidRDefault="00BA3E50" w:rsidP="00241619">
            <w:pPr>
              <w:adjustRightInd w:val="0"/>
              <w:snapToGrid w:val="0"/>
              <w:rPr>
                <w:rFonts w:eastAsia="SimSun" w:cs="Times New Roman"/>
                <w:sz w:val="21"/>
                <w:szCs w:val="21"/>
                <w:lang w:eastAsia="zh-CN"/>
              </w:rPr>
            </w:pPr>
          </w:p>
          <w:p w14:paraId="1F4DBF62"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Pilling G, Brouwer S, 2018. Report from the SPC pre-assessment workshop, Noumea, April 2018. WCPFC-SC14-2018/ SA IP-01. Fourteenth regular session of the Scientific Committee of the Western and Central Pacific Fisheries Commission. Busan, Republic of Korea, 8-16 August 2018.</w:t>
            </w:r>
          </w:p>
          <w:p w14:paraId="04B3D0B9" w14:textId="77777777" w:rsidR="00BA3E50" w:rsidRPr="00F07EFA" w:rsidRDefault="00BA3E50" w:rsidP="00241619">
            <w:pPr>
              <w:adjustRightInd w:val="0"/>
              <w:snapToGrid w:val="0"/>
              <w:rPr>
                <w:rFonts w:eastAsia="SimSun" w:cs="Times New Roman"/>
                <w:sz w:val="21"/>
                <w:szCs w:val="21"/>
                <w:lang w:eastAsia="zh-CN"/>
              </w:rPr>
            </w:pPr>
          </w:p>
          <w:p w14:paraId="015AEC94" w14:textId="77777777"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Rodriguez-Marin E, Clear N, Cort JL, Megafonou P, Neilson JD, Neves dos Santos M, Olafsdottir D, Rodrı´guez-Cabello C, Ruiz M, Valeiras J (2007) Report of the 2006 ICCAT Workshop for bluefin tuna direct ageing. Coll Vol Sci Pap ICCAT 60(4):1349–1392.</w:t>
            </w:r>
          </w:p>
        </w:tc>
      </w:tr>
    </w:tbl>
    <w:p w14:paraId="674036C8" w14:textId="77777777" w:rsidR="00F07EFA" w:rsidRDefault="00F07EFA" w:rsidP="00241619">
      <w:pPr>
        <w:adjustRightInd w:val="0"/>
        <w:snapToGrid w:val="0"/>
        <w:jc w:val="right"/>
        <w:rPr>
          <w:b/>
          <w:bCs/>
          <w:sz w:val="22"/>
          <w:szCs w:val="22"/>
          <w:lang w:val="en-AU" w:eastAsia="en-NZ"/>
        </w:rPr>
      </w:pPr>
    </w:p>
    <w:p w14:paraId="258292ED" w14:textId="77777777" w:rsidR="00F07EFA" w:rsidRDefault="00F07EFA">
      <w:pPr>
        <w:rPr>
          <w:b/>
          <w:bCs/>
          <w:sz w:val="22"/>
          <w:szCs w:val="22"/>
          <w:lang w:val="en-AU" w:eastAsia="en-NZ"/>
        </w:rPr>
      </w:pPr>
      <w:r>
        <w:rPr>
          <w:b/>
          <w:bCs/>
          <w:sz w:val="22"/>
          <w:szCs w:val="22"/>
          <w:lang w:val="en-AU" w:eastAsia="en-NZ"/>
        </w:rPr>
        <w:br w:type="page"/>
      </w:r>
    </w:p>
    <w:p w14:paraId="1D4B5E6C" w14:textId="77777777" w:rsidR="00BA3E50" w:rsidRPr="00241619" w:rsidRDefault="00BA3E50" w:rsidP="00241619">
      <w:pPr>
        <w:adjustRightInd w:val="0"/>
        <w:snapToGrid w:val="0"/>
        <w:jc w:val="right"/>
        <w:rPr>
          <w:b/>
          <w:bCs/>
          <w:sz w:val="22"/>
          <w:szCs w:val="22"/>
          <w:lang w:val="en-AU" w:eastAsia="en-NZ"/>
        </w:rPr>
      </w:pPr>
      <w:r w:rsidRPr="00241619">
        <w:rPr>
          <w:b/>
          <w:bCs/>
          <w:sz w:val="22"/>
          <w:szCs w:val="22"/>
          <w:lang w:val="en-AU" w:eastAsia="en-NZ"/>
        </w:rPr>
        <w:t>Attachment J</w:t>
      </w:r>
    </w:p>
    <w:p w14:paraId="6F722448" w14:textId="77777777" w:rsidR="00BA3E50" w:rsidRPr="00241619" w:rsidRDefault="00BA3E50" w:rsidP="00241619">
      <w:pPr>
        <w:adjustRightInd w:val="0"/>
        <w:snapToGrid w:val="0"/>
        <w:jc w:val="center"/>
        <w:rPr>
          <w:b/>
          <w:bCs/>
          <w:sz w:val="22"/>
          <w:szCs w:val="22"/>
          <w:lang w:val="en-AU" w:eastAsia="en-NZ"/>
        </w:rPr>
      </w:pPr>
    </w:p>
    <w:p w14:paraId="08E6D033" w14:textId="77777777" w:rsidR="00D41635" w:rsidRPr="00241619" w:rsidRDefault="00D41635" w:rsidP="00241619">
      <w:pPr>
        <w:adjustRightInd w:val="0"/>
        <w:snapToGrid w:val="0"/>
        <w:jc w:val="center"/>
        <w:rPr>
          <w:b/>
          <w:bCs/>
          <w:sz w:val="22"/>
          <w:szCs w:val="22"/>
          <w:lang w:val="en-AU" w:eastAsia="en-NZ"/>
        </w:rPr>
      </w:pPr>
      <w:r w:rsidRPr="00241619">
        <w:rPr>
          <w:b/>
          <w:bCs/>
          <w:sz w:val="22"/>
          <w:szCs w:val="22"/>
          <w:lang w:val="en-AU" w:eastAsia="en-NZ"/>
        </w:rPr>
        <w:t xml:space="preserve">The Commission for the Conservation and Management of </w:t>
      </w:r>
      <w:r w:rsidRPr="00241619">
        <w:rPr>
          <w:b/>
          <w:bCs/>
          <w:sz w:val="22"/>
          <w:szCs w:val="22"/>
          <w:lang w:val="en-AU" w:eastAsia="en-NZ"/>
        </w:rPr>
        <w:br/>
        <w:t>Highly Migratory Fish Stocks in the Western and Central Pacific Ocean</w:t>
      </w:r>
    </w:p>
    <w:p w14:paraId="19CDF9B0" w14:textId="77777777" w:rsidR="00D41635" w:rsidRPr="00241619" w:rsidRDefault="00D41635" w:rsidP="00241619">
      <w:pPr>
        <w:autoSpaceDE w:val="0"/>
        <w:autoSpaceDN w:val="0"/>
        <w:adjustRightInd w:val="0"/>
        <w:snapToGrid w:val="0"/>
        <w:jc w:val="center"/>
        <w:rPr>
          <w:b/>
          <w:bCs/>
          <w:sz w:val="22"/>
          <w:szCs w:val="22"/>
          <w:lang w:val="en-AU" w:eastAsia="ko-KR"/>
        </w:rPr>
      </w:pPr>
      <w:r w:rsidRPr="00241619">
        <w:rPr>
          <w:b/>
          <w:bCs/>
          <w:sz w:val="22"/>
          <w:szCs w:val="22"/>
          <w:lang w:val="en-AU" w:eastAsia="en-NZ"/>
        </w:rPr>
        <w:t xml:space="preserve">Scientific Committee </w:t>
      </w:r>
    </w:p>
    <w:p w14:paraId="0DF0A185" w14:textId="77777777" w:rsidR="00D41635" w:rsidRPr="00241619" w:rsidRDefault="00D41635" w:rsidP="00241619">
      <w:pPr>
        <w:autoSpaceDE w:val="0"/>
        <w:autoSpaceDN w:val="0"/>
        <w:adjustRightInd w:val="0"/>
        <w:snapToGrid w:val="0"/>
        <w:jc w:val="center"/>
        <w:rPr>
          <w:b/>
          <w:bCs/>
          <w:sz w:val="22"/>
          <w:szCs w:val="22"/>
          <w:lang w:val="en-AU" w:eastAsia="ko-KR"/>
        </w:rPr>
      </w:pPr>
      <w:r w:rsidRPr="00241619">
        <w:rPr>
          <w:b/>
          <w:bCs/>
          <w:sz w:val="22"/>
          <w:szCs w:val="22"/>
          <w:lang w:val="en-AU" w:eastAsia="en-NZ"/>
        </w:rPr>
        <w:t>Fourteenth Regular Session</w:t>
      </w:r>
    </w:p>
    <w:p w14:paraId="637110DB" w14:textId="77777777" w:rsidR="00D41635" w:rsidRPr="00241619" w:rsidRDefault="00D41635" w:rsidP="00241619">
      <w:pPr>
        <w:adjustRightInd w:val="0"/>
        <w:snapToGrid w:val="0"/>
        <w:jc w:val="center"/>
        <w:rPr>
          <w:bCs/>
          <w:sz w:val="22"/>
          <w:szCs w:val="22"/>
        </w:rPr>
      </w:pPr>
      <w:r w:rsidRPr="00241619">
        <w:rPr>
          <w:rFonts w:eastAsiaTheme="minorEastAsia"/>
          <w:bCs/>
          <w:sz w:val="22"/>
          <w:szCs w:val="22"/>
          <w:lang w:eastAsia="ko-KR"/>
        </w:rPr>
        <w:t>Busan, Republic of Korea</w:t>
      </w:r>
    </w:p>
    <w:p w14:paraId="03A07B7A" w14:textId="77777777" w:rsidR="00D41635" w:rsidRPr="00241619" w:rsidRDefault="00D41635" w:rsidP="00241619">
      <w:pPr>
        <w:adjustRightInd w:val="0"/>
        <w:snapToGrid w:val="0"/>
        <w:jc w:val="center"/>
        <w:rPr>
          <w:rFonts w:eastAsiaTheme="minorEastAsia"/>
          <w:bCs/>
          <w:sz w:val="22"/>
          <w:szCs w:val="22"/>
          <w:lang w:eastAsia="ko-KR"/>
        </w:rPr>
      </w:pPr>
      <w:r w:rsidRPr="00241619">
        <w:rPr>
          <w:rFonts w:eastAsiaTheme="minorEastAsia"/>
          <w:bCs/>
          <w:sz w:val="22"/>
          <w:szCs w:val="22"/>
          <w:lang w:eastAsia="ko-KR"/>
        </w:rPr>
        <w:t>8–16</w:t>
      </w:r>
      <w:r w:rsidRPr="00241619">
        <w:rPr>
          <w:bCs/>
          <w:sz w:val="22"/>
          <w:szCs w:val="22"/>
        </w:rPr>
        <w:t xml:space="preserve"> August 201</w:t>
      </w:r>
      <w:r w:rsidRPr="00241619">
        <w:rPr>
          <w:rFonts w:eastAsiaTheme="minorEastAsia"/>
          <w:bCs/>
          <w:sz w:val="22"/>
          <w:szCs w:val="22"/>
          <w:lang w:eastAsia="ko-KR"/>
        </w:rPr>
        <w:t>8</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D41635" w:rsidRPr="00241619" w14:paraId="275027DA" w14:textId="77777777" w:rsidTr="002D5D17">
        <w:tc>
          <w:tcPr>
            <w:tcW w:w="9576" w:type="dxa"/>
            <w:tcBorders>
              <w:top w:val="single" w:sz="12" w:space="0" w:color="auto"/>
              <w:left w:val="nil"/>
              <w:bottom w:val="single" w:sz="12" w:space="0" w:color="auto"/>
              <w:right w:val="nil"/>
            </w:tcBorders>
            <w:hideMark/>
          </w:tcPr>
          <w:p w14:paraId="3EADA999" w14:textId="77777777" w:rsidR="00D41635" w:rsidRPr="00241619" w:rsidRDefault="00EE2E72" w:rsidP="00CB6C95">
            <w:pPr>
              <w:autoSpaceDE w:val="0"/>
              <w:autoSpaceDN w:val="0"/>
              <w:adjustRightInd w:val="0"/>
              <w:snapToGrid w:val="0"/>
              <w:jc w:val="center"/>
              <w:rPr>
                <w:b/>
                <w:sz w:val="22"/>
                <w:szCs w:val="22"/>
                <w:lang w:val="en-AU"/>
              </w:rPr>
            </w:pPr>
            <w:r w:rsidRPr="00241619">
              <w:rPr>
                <w:b/>
                <w:sz w:val="22"/>
                <w:szCs w:val="22"/>
                <w:lang w:val="en-NZ"/>
              </w:rPr>
              <w:t>LIST OF ABBREVIATIONS</w:t>
            </w:r>
            <w:r w:rsidR="00472973" w:rsidRPr="00241619">
              <w:rPr>
                <w:b/>
                <w:sz w:val="22"/>
                <w:szCs w:val="22"/>
                <w:lang w:val="en-NZ"/>
              </w:rPr>
              <w:fldChar w:fldCharType="begin"/>
            </w:r>
            <w:r w:rsidRPr="00241619">
              <w:rPr>
                <w:sz w:val="22"/>
                <w:szCs w:val="22"/>
              </w:rPr>
              <w:instrText xml:space="preserve"> TC "</w:instrText>
            </w:r>
            <w:bookmarkStart w:id="151" w:name="_Toc16418039"/>
            <w:r w:rsidRPr="00241619">
              <w:rPr>
                <w:sz w:val="22"/>
                <w:szCs w:val="22"/>
                <w:lang w:val="en-NZ"/>
              </w:rPr>
              <w:instrText>ATTACHMENT J — LIST OF ABBREVIATIONS</w:instrText>
            </w:r>
            <w:bookmarkEnd w:id="151"/>
            <w:r w:rsidRPr="00241619">
              <w:rPr>
                <w:sz w:val="22"/>
                <w:szCs w:val="22"/>
              </w:rPr>
              <w:instrText xml:space="preserve">" \f C \l "1" </w:instrText>
            </w:r>
            <w:r w:rsidR="00472973" w:rsidRPr="00241619">
              <w:rPr>
                <w:b/>
                <w:sz w:val="22"/>
                <w:szCs w:val="22"/>
                <w:lang w:val="en-NZ"/>
              </w:rPr>
              <w:fldChar w:fldCharType="end"/>
            </w:r>
          </w:p>
        </w:tc>
      </w:tr>
    </w:tbl>
    <w:p w14:paraId="4915A4CB" w14:textId="77777777" w:rsidR="00D41635" w:rsidRDefault="00D41635" w:rsidP="00241619">
      <w:pPr>
        <w:autoSpaceDE w:val="0"/>
        <w:autoSpaceDN w:val="0"/>
        <w:adjustRightInd w:val="0"/>
        <w:snapToGrid w:val="0"/>
        <w:jc w:val="both"/>
        <w:rPr>
          <w:sz w:val="22"/>
          <w:szCs w:val="22"/>
          <w:lang w:val="en-NZ"/>
        </w:rPr>
      </w:pPr>
    </w:p>
    <w:p w14:paraId="5E5FEE57" w14:textId="77777777" w:rsidR="00DD72EF" w:rsidRDefault="00DD72EF" w:rsidP="00241619">
      <w:pPr>
        <w:autoSpaceDE w:val="0"/>
        <w:autoSpaceDN w:val="0"/>
        <w:adjustRightInd w:val="0"/>
        <w:snapToGrid w:val="0"/>
        <w:jc w:val="both"/>
        <w:rPr>
          <w:sz w:val="22"/>
          <w:szCs w:val="22"/>
          <w:lang w:val="en-NZ"/>
        </w:rPr>
      </w:pPr>
    </w:p>
    <w:tbl>
      <w:tblPr>
        <w:tblW w:w="0" w:type="auto"/>
        <w:tblLook w:val="04A0" w:firstRow="1" w:lastRow="0" w:firstColumn="1" w:lastColumn="0" w:noHBand="0" w:noVBand="1"/>
      </w:tblPr>
      <w:tblGrid>
        <w:gridCol w:w="1908"/>
        <w:gridCol w:w="2286"/>
        <w:gridCol w:w="4194"/>
        <w:gridCol w:w="1188"/>
      </w:tblGrid>
      <w:tr w:rsidR="00DD72EF" w:rsidRPr="00241619" w14:paraId="003E73B3" w14:textId="77777777" w:rsidTr="00365BEE">
        <w:trPr>
          <w:gridAfter w:val="1"/>
          <w:wAfter w:w="1188" w:type="dxa"/>
          <w:trHeight w:val="146"/>
        </w:trPr>
        <w:tc>
          <w:tcPr>
            <w:tcW w:w="4194" w:type="dxa"/>
            <w:gridSpan w:val="2"/>
            <w:tcBorders>
              <w:top w:val="nil"/>
              <w:left w:val="nil"/>
              <w:bottom w:val="nil"/>
              <w:right w:val="nil"/>
            </w:tcBorders>
            <w:hideMark/>
          </w:tcPr>
          <w:p w14:paraId="21475D58" w14:textId="77777777" w:rsidR="00DD72EF" w:rsidRPr="00241619" w:rsidRDefault="00DD72EF" w:rsidP="00365BEE">
            <w:pPr>
              <w:autoSpaceDE w:val="0"/>
              <w:autoSpaceDN w:val="0"/>
              <w:adjustRightInd w:val="0"/>
              <w:snapToGrid w:val="0"/>
              <w:jc w:val="both"/>
              <w:rPr>
                <w:sz w:val="22"/>
                <w:szCs w:val="22"/>
              </w:rPr>
            </w:pPr>
          </w:p>
        </w:tc>
        <w:tc>
          <w:tcPr>
            <w:tcW w:w="4194" w:type="dxa"/>
            <w:tcBorders>
              <w:top w:val="nil"/>
              <w:left w:val="nil"/>
              <w:bottom w:val="nil"/>
              <w:right w:val="nil"/>
            </w:tcBorders>
            <w:hideMark/>
          </w:tcPr>
          <w:p w14:paraId="49D4B55C" w14:textId="77777777" w:rsidR="00DD72EF" w:rsidRPr="00241619" w:rsidRDefault="00DD72EF" w:rsidP="00365BEE">
            <w:pPr>
              <w:autoSpaceDE w:val="0"/>
              <w:autoSpaceDN w:val="0"/>
              <w:adjustRightInd w:val="0"/>
              <w:snapToGrid w:val="0"/>
              <w:jc w:val="both"/>
              <w:rPr>
                <w:sz w:val="22"/>
                <w:szCs w:val="22"/>
              </w:rPr>
            </w:pPr>
          </w:p>
        </w:tc>
      </w:tr>
      <w:tr w:rsidR="00DD72EF" w:rsidRPr="00241619" w14:paraId="045B2125" w14:textId="77777777" w:rsidTr="00DD72EF">
        <w:trPr>
          <w:trHeight w:val="146"/>
        </w:trPr>
        <w:tc>
          <w:tcPr>
            <w:tcW w:w="1908" w:type="dxa"/>
            <w:tcBorders>
              <w:top w:val="single" w:sz="4" w:space="0" w:color="auto"/>
              <w:left w:val="single" w:sz="4" w:space="0" w:color="auto"/>
              <w:bottom w:val="single" w:sz="4" w:space="0" w:color="auto"/>
              <w:right w:val="single" w:sz="4" w:space="0" w:color="auto"/>
            </w:tcBorders>
            <w:hideMark/>
          </w:tcPr>
          <w:p w14:paraId="76E9555E"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ACAP </w:t>
            </w:r>
          </w:p>
        </w:tc>
        <w:tc>
          <w:tcPr>
            <w:tcW w:w="7668" w:type="dxa"/>
            <w:gridSpan w:val="3"/>
            <w:tcBorders>
              <w:top w:val="single" w:sz="4" w:space="0" w:color="auto"/>
              <w:left w:val="single" w:sz="4" w:space="0" w:color="auto"/>
              <w:bottom w:val="single" w:sz="4" w:space="0" w:color="auto"/>
              <w:right w:val="single" w:sz="4" w:space="0" w:color="auto"/>
            </w:tcBorders>
            <w:hideMark/>
          </w:tcPr>
          <w:p w14:paraId="707CF1F4"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Agreement for the Conservation of Albatrosses and Petrels </w:t>
            </w:r>
          </w:p>
        </w:tc>
      </w:tr>
      <w:tr w:rsidR="00DD72EF" w:rsidRPr="00241619" w14:paraId="53B1C3A1"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37133387" w14:textId="77777777" w:rsidR="00DD72EF" w:rsidRPr="00241619" w:rsidRDefault="00DD72EF" w:rsidP="00365BEE">
            <w:pPr>
              <w:autoSpaceDE w:val="0"/>
              <w:autoSpaceDN w:val="0"/>
              <w:adjustRightInd w:val="0"/>
              <w:snapToGrid w:val="0"/>
              <w:jc w:val="both"/>
              <w:rPr>
                <w:sz w:val="22"/>
                <w:szCs w:val="22"/>
              </w:rPr>
            </w:pPr>
            <w:r w:rsidRPr="00241619">
              <w:rPr>
                <w:sz w:val="22"/>
                <w:szCs w:val="22"/>
              </w:rPr>
              <w:t>BIC</w:t>
            </w:r>
          </w:p>
        </w:tc>
        <w:tc>
          <w:tcPr>
            <w:tcW w:w="7668" w:type="dxa"/>
            <w:gridSpan w:val="3"/>
            <w:tcBorders>
              <w:top w:val="single" w:sz="4" w:space="0" w:color="auto"/>
              <w:left w:val="single" w:sz="4" w:space="0" w:color="auto"/>
              <w:bottom w:val="single" w:sz="4" w:space="0" w:color="auto"/>
              <w:right w:val="single" w:sz="4" w:space="0" w:color="auto"/>
            </w:tcBorders>
            <w:hideMark/>
          </w:tcPr>
          <w:p w14:paraId="76AC8686" w14:textId="77777777" w:rsidR="00DD72EF" w:rsidRPr="00241619" w:rsidRDefault="00DD72EF" w:rsidP="00365BEE">
            <w:pPr>
              <w:autoSpaceDE w:val="0"/>
              <w:autoSpaceDN w:val="0"/>
              <w:adjustRightInd w:val="0"/>
              <w:snapToGrid w:val="0"/>
              <w:jc w:val="both"/>
              <w:rPr>
                <w:sz w:val="22"/>
                <w:szCs w:val="22"/>
              </w:rPr>
            </w:pPr>
            <w:r w:rsidRPr="00241619">
              <w:rPr>
                <w:sz w:val="22"/>
                <w:szCs w:val="22"/>
              </w:rPr>
              <w:t>Bayesian information criterion</w:t>
            </w:r>
          </w:p>
        </w:tc>
      </w:tr>
      <w:tr w:rsidR="00DD72EF" w:rsidRPr="00241619" w14:paraId="206E25EF"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tcPr>
          <w:p w14:paraId="65AAE88E" w14:textId="77777777" w:rsidR="00DD72EF" w:rsidRPr="00241619" w:rsidDel="00A7279C" w:rsidRDefault="00DD72EF" w:rsidP="00365BEE">
            <w:pPr>
              <w:autoSpaceDE w:val="0"/>
              <w:autoSpaceDN w:val="0"/>
              <w:adjustRightInd w:val="0"/>
              <w:snapToGrid w:val="0"/>
              <w:jc w:val="both"/>
              <w:rPr>
                <w:sz w:val="22"/>
                <w:szCs w:val="22"/>
              </w:rPr>
            </w:pPr>
            <w:r w:rsidRPr="00241619">
              <w:rPr>
                <w:sz w:val="22"/>
                <w:szCs w:val="22"/>
              </w:rPr>
              <w:t>BMIS</w:t>
            </w:r>
          </w:p>
        </w:tc>
        <w:tc>
          <w:tcPr>
            <w:tcW w:w="7668" w:type="dxa"/>
            <w:gridSpan w:val="3"/>
            <w:tcBorders>
              <w:top w:val="single" w:sz="4" w:space="0" w:color="auto"/>
              <w:left w:val="single" w:sz="4" w:space="0" w:color="auto"/>
              <w:bottom w:val="single" w:sz="4" w:space="0" w:color="auto"/>
              <w:right w:val="single" w:sz="4" w:space="0" w:color="auto"/>
            </w:tcBorders>
          </w:tcPr>
          <w:p w14:paraId="68A86D18" w14:textId="77777777" w:rsidR="00DD72EF" w:rsidRPr="00241619" w:rsidDel="00A7279C" w:rsidRDefault="00DD72EF" w:rsidP="00365BEE">
            <w:pPr>
              <w:autoSpaceDE w:val="0"/>
              <w:autoSpaceDN w:val="0"/>
              <w:adjustRightInd w:val="0"/>
              <w:snapToGrid w:val="0"/>
              <w:jc w:val="both"/>
              <w:rPr>
                <w:sz w:val="22"/>
                <w:szCs w:val="22"/>
              </w:rPr>
            </w:pPr>
            <w:r w:rsidRPr="00241619">
              <w:rPr>
                <w:sz w:val="22"/>
                <w:szCs w:val="22"/>
              </w:rPr>
              <w:t>Bycatch Mitigation Information System</w:t>
            </w:r>
            <w:r>
              <w:rPr>
                <w:sz w:val="22"/>
                <w:szCs w:val="22"/>
              </w:rPr>
              <w:t xml:space="preserve"> </w:t>
            </w:r>
          </w:p>
        </w:tc>
      </w:tr>
      <w:tr w:rsidR="00DD72EF" w:rsidRPr="00241619" w14:paraId="352674C5" w14:textId="77777777" w:rsidTr="00DD72EF">
        <w:trPr>
          <w:trHeight w:val="146"/>
        </w:trPr>
        <w:tc>
          <w:tcPr>
            <w:tcW w:w="1908" w:type="dxa"/>
            <w:tcBorders>
              <w:top w:val="single" w:sz="4" w:space="0" w:color="auto"/>
              <w:left w:val="single" w:sz="4" w:space="0" w:color="auto"/>
              <w:bottom w:val="single" w:sz="4" w:space="0" w:color="auto"/>
              <w:right w:val="single" w:sz="4" w:space="0" w:color="auto"/>
            </w:tcBorders>
          </w:tcPr>
          <w:p w14:paraId="3CB21119" w14:textId="77777777" w:rsidR="00DD72EF" w:rsidRPr="00241619" w:rsidRDefault="00DD72EF" w:rsidP="00365BEE">
            <w:pPr>
              <w:autoSpaceDE w:val="0"/>
              <w:autoSpaceDN w:val="0"/>
              <w:adjustRightInd w:val="0"/>
              <w:snapToGrid w:val="0"/>
              <w:jc w:val="both"/>
              <w:rPr>
                <w:i/>
                <w:sz w:val="22"/>
                <w:szCs w:val="22"/>
              </w:rPr>
            </w:pPr>
            <w:r w:rsidRPr="00241619">
              <w:rPr>
                <w:i/>
                <w:sz w:val="22"/>
                <w:szCs w:val="22"/>
              </w:rPr>
              <w:t>B</w:t>
            </w:r>
            <w:r w:rsidRPr="00241619">
              <w:rPr>
                <w:i/>
                <w:sz w:val="22"/>
                <w:szCs w:val="22"/>
                <w:vertAlign w:val="subscript"/>
              </w:rPr>
              <w:t>MSY</w:t>
            </w:r>
            <w:r w:rsidRPr="00241619">
              <w:rPr>
                <w:i/>
                <w:sz w:val="22"/>
                <w:szCs w:val="22"/>
              </w:rPr>
              <w:t xml:space="preserve"> </w:t>
            </w:r>
          </w:p>
        </w:tc>
        <w:tc>
          <w:tcPr>
            <w:tcW w:w="7668" w:type="dxa"/>
            <w:gridSpan w:val="3"/>
            <w:tcBorders>
              <w:top w:val="single" w:sz="4" w:space="0" w:color="auto"/>
              <w:left w:val="single" w:sz="4" w:space="0" w:color="auto"/>
              <w:bottom w:val="single" w:sz="4" w:space="0" w:color="auto"/>
              <w:right w:val="single" w:sz="4" w:space="0" w:color="auto"/>
            </w:tcBorders>
          </w:tcPr>
          <w:p w14:paraId="1646CCAB"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biomass that will support the maximum sustainable yield </w:t>
            </w:r>
          </w:p>
        </w:tc>
      </w:tr>
      <w:tr w:rsidR="00DD72EF" w:rsidRPr="00241619" w14:paraId="71C98F94"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1F5A6955" w14:textId="77777777" w:rsidR="00DD72EF" w:rsidRPr="00241619" w:rsidRDefault="00DD72EF" w:rsidP="00365BEE">
            <w:pPr>
              <w:autoSpaceDE w:val="0"/>
              <w:autoSpaceDN w:val="0"/>
              <w:adjustRightInd w:val="0"/>
              <w:snapToGrid w:val="0"/>
              <w:jc w:val="both"/>
              <w:rPr>
                <w:sz w:val="22"/>
                <w:szCs w:val="22"/>
              </w:rPr>
            </w:pPr>
            <w:r w:rsidRPr="00241619">
              <w:rPr>
                <w:sz w:val="22"/>
                <w:szCs w:val="22"/>
              </w:rPr>
              <w:t>CCM</w:t>
            </w:r>
            <w:r>
              <w:rPr>
                <w:sz w:val="22"/>
                <w:szCs w:val="22"/>
              </w:rPr>
              <w:t>s</w:t>
            </w:r>
            <w:r w:rsidRPr="00241619">
              <w:rPr>
                <w:sz w:val="22"/>
                <w:szCs w:val="22"/>
              </w:rPr>
              <w:t xml:space="preserve"> </w:t>
            </w:r>
          </w:p>
        </w:tc>
        <w:tc>
          <w:tcPr>
            <w:tcW w:w="7668" w:type="dxa"/>
            <w:gridSpan w:val="3"/>
            <w:tcBorders>
              <w:top w:val="single" w:sz="4" w:space="0" w:color="auto"/>
              <w:left w:val="single" w:sz="4" w:space="0" w:color="auto"/>
              <w:bottom w:val="single" w:sz="4" w:space="0" w:color="auto"/>
              <w:right w:val="single" w:sz="4" w:space="0" w:color="auto"/>
            </w:tcBorders>
            <w:hideMark/>
          </w:tcPr>
          <w:p w14:paraId="6A87AB75"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Members, Cooperating Non-members and participating Territories </w:t>
            </w:r>
          </w:p>
        </w:tc>
      </w:tr>
      <w:tr w:rsidR="00DD72EF" w:rsidRPr="00241619" w14:paraId="2A5508D9"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5C960611" w14:textId="77777777" w:rsidR="00DD72EF" w:rsidRPr="00241619" w:rsidRDefault="00DD72EF" w:rsidP="00365BEE">
            <w:pPr>
              <w:autoSpaceDE w:val="0"/>
              <w:autoSpaceDN w:val="0"/>
              <w:adjustRightInd w:val="0"/>
              <w:snapToGrid w:val="0"/>
              <w:jc w:val="both"/>
              <w:rPr>
                <w:sz w:val="22"/>
                <w:szCs w:val="22"/>
              </w:rPr>
            </w:pPr>
            <w:r w:rsidRPr="00241619">
              <w:rPr>
                <w:sz w:val="22"/>
                <w:szCs w:val="22"/>
              </w:rPr>
              <w:t>CCSBT</w:t>
            </w:r>
          </w:p>
        </w:tc>
        <w:tc>
          <w:tcPr>
            <w:tcW w:w="7668" w:type="dxa"/>
            <w:gridSpan w:val="3"/>
            <w:tcBorders>
              <w:top w:val="single" w:sz="4" w:space="0" w:color="auto"/>
              <w:left w:val="single" w:sz="4" w:space="0" w:color="auto"/>
              <w:bottom w:val="single" w:sz="4" w:space="0" w:color="auto"/>
              <w:right w:val="single" w:sz="4" w:space="0" w:color="auto"/>
            </w:tcBorders>
            <w:hideMark/>
          </w:tcPr>
          <w:p w14:paraId="0273AA33" w14:textId="77777777" w:rsidR="00DD72EF" w:rsidRPr="00241619" w:rsidRDefault="00DD72EF" w:rsidP="00365BEE">
            <w:pPr>
              <w:autoSpaceDE w:val="0"/>
              <w:autoSpaceDN w:val="0"/>
              <w:adjustRightInd w:val="0"/>
              <w:snapToGrid w:val="0"/>
              <w:jc w:val="both"/>
              <w:rPr>
                <w:sz w:val="22"/>
                <w:szCs w:val="22"/>
              </w:rPr>
            </w:pPr>
            <w:r w:rsidRPr="00241619">
              <w:rPr>
                <w:sz w:val="22"/>
                <w:szCs w:val="22"/>
                <w:lang w:val="en-NZ"/>
              </w:rPr>
              <w:t xml:space="preserve">Commission for the Conservation of </w:t>
            </w:r>
            <w:r>
              <w:rPr>
                <w:sz w:val="22"/>
                <w:szCs w:val="22"/>
                <w:lang w:val="en-NZ"/>
              </w:rPr>
              <w:t xml:space="preserve">Southern </w:t>
            </w:r>
            <w:r w:rsidRPr="00241619">
              <w:rPr>
                <w:sz w:val="22"/>
                <w:szCs w:val="22"/>
                <w:lang w:val="en-NZ"/>
              </w:rPr>
              <w:t>Bluefin Tuna</w:t>
            </w:r>
          </w:p>
        </w:tc>
      </w:tr>
      <w:tr w:rsidR="00DD72EF" w:rsidRPr="00241619" w14:paraId="31293F7C"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tcPr>
          <w:p w14:paraId="1B4127A8" w14:textId="77777777" w:rsidR="00DD72EF" w:rsidRPr="00241619" w:rsidRDefault="00DD72EF" w:rsidP="00365BEE">
            <w:pPr>
              <w:autoSpaceDE w:val="0"/>
              <w:autoSpaceDN w:val="0"/>
              <w:adjustRightInd w:val="0"/>
              <w:snapToGrid w:val="0"/>
              <w:jc w:val="both"/>
              <w:rPr>
                <w:sz w:val="22"/>
                <w:szCs w:val="22"/>
              </w:rPr>
            </w:pPr>
            <w:r w:rsidRPr="00241619">
              <w:rPr>
                <w:sz w:val="22"/>
                <w:szCs w:val="22"/>
              </w:rPr>
              <w:t>CMM</w:t>
            </w:r>
          </w:p>
        </w:tc>
        <w:tc>
          <w:tcPr>
            <w:tcW w:w="7668" w:type="dxa"/>
            <w:gridSpan w:val="3"/>
            <w:tcBorders>
              <w:top w:val="single" w:sz="4" w:space="0" w:color="auto"/>
              <w:left w:val="single" w:sz="4" w:space="0" w:color="auto"/>
              <w:bottom w:val="single" w:sz="4" w:space="0" w:color="auto"/>
              <w:right w:val="single" w:sz="4" w:space="0" w:color="auto"/>
            </w:tcBorders>
          </w:tcPr>
          <w:p w14:paraId="2D9B12B4" w14:textId="77777777" w:rsidR="00DD72EF" w:rsidRPr="00241619" w:rsidRDefault="00DD72EF" w:rsidP="00365BEE">
            <w:pPr>
              <w:autoSpaceDE w:val="0"/>
              <w:autoSpaceDN w:val="0"/>
              <w:adjustRightInd w:val="0"/>
              <w:snapToGrid w:val="0"/>
              <w:jc w:val="both"/>
              <w:rPr>
                <w:sz w:val="22"/>
                <w:szCs w:val="22"/>
              </w:rPr>
            </w:pPr>
            <w:r w:rsidRPr="00241619">
              <w:rPr>
                <w:sz w:val="22"/>
                <w:szCs w:val="22"/>
              </w:rPr>
              <w:t>Conservation and management measure</w:t>
            </w:r>
          </w:p>
        </w:tc>
      </w:tr>
      <w:tr w:rsidR="00DD72EF" w:rsidRPr="00241619" w14:paraId="1B1AC542" w14:textId="77777777" w:rsidTr="00DD72EF">
        <w:trPr>
          <w:trHeight w:val="272"/>
        </w:trPr>
        <w:tc>
          <w:tcPr>
            <w:tcW w:w="1908" w:type="dxa"/>
            <w:tcBorders>
              <w:top w:val="single" w:sz="4" w:space="0" w:color="auto"/>
              <w:left w:val="single" w:sz="4" w:space="0" w:color="auto"/>
              <w:bottom w:val="single" w:sz="4" w:space="0" w:color="auto"/>
              <w:right w:val="single" w:sz="4" w:space="0" w:color="auto"/>
            </w:tcBorders>
            <w:hideMark/>
          </w:tcPr>
          <w:p w14:paraId="16754573"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the Convention </w:t>
            </w:r>
          </w:p>
        </w:tc>
        <w:tc>
          <w:tcPr>
            <w:tcW w:w="7668" w:type="dxa"/>
            <w:gridSpan w:val="3"/>
            <w:tcBorders>
              <w:top w:val="single" w:sz="4" w:space="0" w:color="auto"/>
              <w:left w:val="single" w:sz="4" w:space="0" w:color="auto"/>
              <w:bottom w:val="single" w:sz="4" w:space="0" w:color="auto"/>
              <w:right w:val="single" w:sz="4" w:space="0" w:color="auto"/>
            </w:tcBorders>
            <w:hideMark/>
          </w:tcPr>
          <w:p w14:paraId="2BF6189B"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The Convention for the Conservation and Management of Highly Migratory Fish Stocks in the Western and Central Pacific Ocean </w:t>
            </w:r>
          </w:p>
        </w:tc>
      </w:tr>
      <w:tr w:rsidR="00DD72EF" w:rsidRPr="00241619" w14:paraId="291615C4" w14:textId="77777777" w:rsidTr="00DD72EF">
        <w:trPr>
          <w:trHeight w:val="272"/>
        </w:trPr>
        <w:tc>
          <w:tcPr>
            <w:tcW w:w="1908" w:type="dxa"/>
            <w:tcBorders>
              <w:top w:val="single" w:sz="4" w:space="0" w:color="auto"/>
              <w:left w:val="single" w:sz="4" w:space="0" w:color="auto"/>
              <w:bottom w:val="single" w:sz="4" w:space="0" w:color="auto"/>
              <w:right w:val="single" w:sz="4" w:space="0" w:color="auto"/>
            </w:tcBorders>
            <w:hideMark/>
          </w:tcPr>
          <w:p w14:paraId="6D0E2B5F"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CSIRO </w:t>
            </w:r>
          </w:p>
        </w:tc>
        <w:tc>
          <w:tcPr>
            <w:tcW w:w="7668" w:type="dxa"/>
            <w:gridSpan w:val="3"/>
            <w:tcBorders>
              <w:top w:val="single" w:sz="4" w:space="0" w:color="auto"/>
              <w:left w:val="single" w:sz="4" w:space="0" w:color="auto"/>
              <w:bottom w:val="single" w:sz="4" w:space="0" w:color="auto"/>
              <w:right w:val="single" w:sz="4" w:space="0" w:color="auto"/>
            </w:tcBorders>
            <w:hideMark/>
          </w:tcPr>
          <w:p w14:paraId="53A2D6C5"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Commonwealth Scientific and Industrial Research Organization (Australia) </w:t>
            </w:r>
          </w:p>
        </w:tc>
      </w:tr>
      <w:tr w:rsidR="00DD72EF" w:rsidRPr="00241619" w14:paraId="36E519F3" w14:textId="77777777" w:rsidTr="00DD72EF">
        <w:trPr>
          <w:trHeight w:val="272"/>
        </w:trPr>
        <w:tc>
          <w:tcPr>
            <w:tcW w:w="1908" w:type="dxa"/>
            <w:tcBorders>
              <w:top w:val="single" w:sz="4" w:space="0" w:color="auto"/>
              <w:left w:val="single" w:sz="4" w:space="0" w:color="auto"/>
              <w:bottom w:val="single" w:sz="4" w:space="0" w:color="auto"/>
              <w:right w:val="single" w:sz="4" w:space="0" w:color="auto"/>
            </w:tcBorders>
            <w:hideMark/>
          </w:tcPr>
          <w:p w14:paraId="4F4DBDA5" w14:textId="77777777" w:rsidR="00DD72EF" w:rsidRPr="00241619" w:rsidRDefault="00DD72EF" w:rsidP="00365BEE">
            <w:pPr>
              <w:autoSpaceDE w:val="0"/>
              <w:autoSpaceDN w:val="0"/>
              <w:adjustRightInd w:val="0"/>
              <w:snapToGrid w:val="0"/>
              <w:jc w:val="both"/>
              <w:rPr>
                <w:sz w:val="22"/>
                <w:szCs w:val="22"/>
              </w:rPr>
            </w:pPr>
            <w:r w:rsidRPr="00241619">
              <w:rPr>
                <w:sz w:val="22"/>
                <w:szCs w:val="22"/>
              </w:rPr>
              <w:t>CV</w:t>
            </w:r>
          </w:p>
        </w:tc>
        <w:tc>
          <w:tcPr>
            <w:tcW w:w="7668" w:type="dxa"/>
            <w:gridSpan w:val="3"/>
            <w:tcBorders>
              <w:top w:val="single" w:sz="4" w:space="0" w:color="auto"/>
              <w:left w:val="single" w:sz="4" w:space="0" w:color="auto"/>
              <w:bottom w:val="single" w:sz="4" w:space="0" w:color="auto"/>
              <w:right w:val="single" w:sz="4" w:space="0" w:color="auto"/>
            </w:tcBorders>
            <w:hideMark/>
          </w:tcPr>
          <w:p w14:paraId="74713AAE" w14:textId="77777777" w:rsidR="00DD72EF" w:rsidRPr="00241619" w:rsidRDefault="00DD72EF" w:rsidP="00365BEE">
            <w:pPr>
              <w:autoSpaceDE w:val="0"/>
              <w:autoSpaceDN w:val="0"/>
              <w:adjustRightInd w:val="0"/>
              <w:snapToGrid w:val="0"/>
              <w:jc w:val="both"/>
              <w:rPr>
                <w:sz w:val="22"/>
                <w:szCs w:val="22"/>
              </w:rPr>
            </w:pPr>
            <w:r w:rsidRPr="00241619">
              <w:rPr>
                <w:sz w:val="22"/>
                <w:szCs w:val="22"/>
              </w:rPr>
              <w:t>coefficient of variation</w:t>
            </w:r>
          </w:p>
        </w:tc>
      </w:tr>
      <w:tr w:rsidR="00DD72EF" w:rsidRPr="00241619" w14:paraId="2030AB6E"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0E21591F" w14:textId="77777777" w:rsidR="00DD72EF" w:rsidRPr="00241619" w:rsidRDefault="00DD72EF" w:rsidP="00365BEE">
            <w:pPr>
              <w:autoSpaceDE w:val="0"/>
              <w:autoSpaceDN w:val="0"/>
              <w:adjustRightInd w:val="0"/>
              <w:snapToGrid w:val="0"/>
              <w:jc w:val="both"/>
              <w:rPr>
                <w:sz w:val="22"/>
                <w:szCs w:val="22"/>
              </w:rPr>
            </w:pPr>
            <w:r w:rsidRPr="00241619">
              <w:rPr>
                <w:sz w:val="22"/>
                <w:szCs w:val="22"/>
              </w:rPr>
              <w:t>E</w:t>
            </w:r>
            <w:r>
              <w:rPr>
                <w:sz w:val="22"/>
                <w:szCs w:val="22"/>
              </w:rPr>
              <w:t>Rand</w:t>
            </w:r>
            <w:r w:rsidRPr="00241619">
              <w:rPr>
                <w:sz w:val="22"/>
                <w:szCs w:val="22"/>
              </w:rPr>
              <w:t>E</w:t>
            </w:r>
            <w:r>
              <w:rPr>
                <w:sz w:val="22"/>
                <w:szCs w:val="22"/>
              </w:rPr>
              <w:t>M</w:t>
            </w:r>
          </w:p>
        </w:tc>
        <w:tc>
          <w:tcPr>
            <w:tcW w:w="7668" w:type="dxa"/>
            <w:gridSpan w:val="3"/>
            <w:tcBorders>
              <w:top w:val="single" w:sz="4" w:space="0" w:color="auto"/>
              <w:left w:val="single" w:sz="4" w:space="0" w:color="auto"/>
              <w:bottom w:val="single" w:sz="4" w:space="0" w:color="auto"/>
              <w:right w:val="single" w:sz="4" w:space="0" w:color="auto"/>
            </w:tcBorders>
            <w:hideMark/>
          </w:tcPr>
          <w:p w14:paraId="3064A592"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electronic </w:t>
            </w:r>
            <w:r>
              <w:rPr>
                <w:sz w:val="22"/>
                <w:szCs w:val="22"/>
              </w:rPr>
              <w:t xml:space="preserve">reporting and electronic </w:t>
            </w:r>
            <w:r w:rsidRPr="00241619">
              <w:rPr>
                <w:sz w:val="22"/>
                <w:szCs w:val="22"/>
              </w:rPr>
              <w:t xml:space="preserve">monitoring </w:t>
            </w:r>
          </w:p>
        </w:tc>
      </w:tr>
      <w:tr w:rsidR="00DD72EF" w:rsidRPr="00241619" w14:paraId="20117DC8"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062D6931" w14:textId="77777777" w:rsidR="00DD72EF" w:rsidRPr="00241619" w:rsidRDefault="00DD72EF" w:rsidP="00365BEE">
            <w:pPr>
              <w:autoSpaceDE w:val="0"/>
              <w:autoSpaceDN w:val="0"/>
              <w:adjustRightInd w:val="0"/>
              <w:snapToGrid w:val="0"/>
              <w:jc w:val="both"/>
              <w:rPr>
                <w:sz w:val="22"/>
                <w:szCs w:val="22"/>
              </w:rPr>
            </w:pPr>
            <w:r w:rsidRPr="00241619">
              <w:rPr>
                <w:sz w:val="22"/>
                <w:szCs w:val="22"/>
              </w:rPr>
              <w:t>ENSO</w:t>
            </w:r>
          </w:p>
        </w:tc>
        <w:tc>
          <w:tcPr>
            <w:tcW w:w="7668" w:type="dxa"/>
            <w:gridSpan w:val="3"/>
            <w:tcBorders>
              <w:top w:val="single" w:sz="4" w:space="0" w:color="auto"/>
              <w:left w:val="single" w:sz="4" w:space="0" w:color="auto"/>
              <w:bottom w:val="single" w:sz="4" w:space="0" w:color="auto"/>
              <w:right w:val="single" w:sz="4" w:space="0" w:color="auto"/>
            </w:tcBorders>
            <w:hideMark/>
          </w:tcPr>
          <w:p w14:paraId="17292231" w14:textId="77777777" w:rsidR="00DD72EF" w:rsidRPr="00241619" w:rsidRDefault="00DD72EF" w:rsidP="00365BEE">
            <w:pPr>
              <w:autoSpaceDE w:val="0"/>
              <w:autoSpaceDN w:val="0"/>
              <w:adjustRightInd w:val="0"/>
              <w:snapToGrid w:val="0"/>
              <w:jc w:val="both"/>
              <w:rPr>
                <w:sz w:val="22"/>
                <w:szCs w:val="22"/>
              </w:rPr>
            </w:pPr>
            <w:r w:rsidRPr="00241619">
              <w:rPr>
                <w:sz w:val="22"/>
                <w:szCs w:val="22"/>
              </w:rPr>
              <w:t>El Niño-Southern Oscillation</w:t>
            </w:r>
          </w:p>
        </w:tc>
      </w:tr>
      <w:tr w:rsidR="00DD72EF" w:rsidRPr="00241619" w14:paraId="11A3204B"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5A131C2D"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ERA </w:t>
            </w:r>
          </w:p>
        </w:tc>
        <w:tc>
          <w:tcPr>
            <w:tcW w:w="7668" w:type="dxa"/>
            <w:gridSpan w:val="3"/>
            <w:tcBorders>
              <w:top w:val="single" w:sz="4" w:space="0" w:color="auto"/>
              <w:left w:val="single" w:sz="4" w:space="0" w:color="auto"/>
              <w:bottom w:val="single" w:sz="4" w:space="0" w:color="auto"/>
              <w:right w:val="single" w:sz="4" w:space="0" w:color="auto"/>
            </w:tcBorders>
            <w:hideMark/>
          </w:tcPr>
          <w:p w14:paraId="2A2CBEDE"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ecological risk assessment </w:t>
            </w:r>
          </w:p>
        </w:tc>
      </w:tr>
      <w:tr w:rsidR="00DD72EF" w:rsidRPr="00241619" w14:paraId="59340EAF"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3A1AA853"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FAD </w:t>
            </w:r>
          </w:p>
        </w:tc>
        <w:tc>
          <w:tcPr>
            <w:tcW w:w="7668" w:type="dxa"/>
            <w:gridSpan w:val="3"/>
            <w:tcBorders>
              <w:top w:val="single" w:sz="4" w:space="0" w:color="auto"/>
              <w:left w:val="single" w:sz="4" w:space="0" w:color="auto"/>
              <w:bottom w:val="single" w:sz="4" w:space="0" w:color="auto"/>
              <w:right w:val="single" w:sz="4" w:space="0" w:color="auto"/>
            </w:tcBorders>
            <w:hideMark/>
          </w:tcPr>
          <w:p w14:paraId="2BB85225"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fish aggregating device </w:t>
            </w:r>
          </w:p>
        </w:tc>
      </w:tr>
      <w:tr w:rsidR="00DD72EF" w:rsidRPr="00241619" w14:paraId="16CE1FCE"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3D244716"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FFA </w:t>
            </w:r>
          </w:p>
        </w:tc>
        <w:tc>
          <w:tcPr>
            <w:tcW w:w="7668" w:type="dxa"/>
            <w:gridSpan w:val="3"/>
            <w:tcBorders>
              <w:top w:val="single" w:sz="4" w:space="0" w:color="auto"/>
              <w:left w:val="single" w:sz="4" w:space="0" w:color="auto"/>
              <w:bottom w:val="single" w:sz="4" w:space="0" w:color="auto"/>
              <w:right w:val="single" w:sz="4" w:space="0" w:color="auto"/>
            </w:tcBorders>
            <w:hideMark/>
          </w:tcPr>
          <w:p w14:paraId="33C7E5F8"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Pacific Islands Forum Fisheries Agency </w:t>
            </w:r>
          </w:p>
        </w:tc>
      </w:tr>
      <w:tr w:rsidR="00DD72EF" w:rsidRPr="00241619" w14:paraId="147BA32A" w14:textId="77777777" w:rsidTr="00DD72EF">
        <w:trPr>
          <w:trHeight w:val="146"/>
        </w:trPr>
        <w:tc>
          <w:tcPr>
            <w:tcW w:w="1908" w:type="dxa"/>
            <w:tcBorders>
              <w:top w:val="single" w:sz="4" w:space="0" w:color="auto"/>
              <w:left w:val="single" w:sz="4" w:space="0" w:color="auto"/>
              <w:bottom w:val="single" w:sz="4" w:space="0" w:color="auto"/>
              <w:right w:val="single" w:sz="4" w:space="0" w:color="auto"/>
            </w:tcBorders>
            <w:hideMark/>
          </w:tcPr>
          <w:p w14:paraId="7CA6EAF6" w14:textId="77777777" w:rsidR="00DD72EF" w:rsidRPr="00241619" w:rsidRDefault="00DD72EF" w:rsidP="00365BEE">
            <w:pPr>
              <w:autoSpaceDE w:val="0"/>
              <w:autoSpaceDN w:val="0"/>
              <w:adjustRightInd w:val="0"/>
              <w:snapToGrid w:val="0"/>
              <w:jc w:val="both"/>
              <w:rPr>
                <w:sz w:val="22"/>
                <w:szCs w:val="22"/>
              </w:rPr>
            </w:pPr>
            <w:r w:rsidRPr="00241619">
              <w:rPr>
                <w:sz w:val="22"/>
                <w:szCs w:val="22"/>
              </w:rPr>
              <w:t>FL</w:t>
            </w:r>
          </w:p>
        </w:tc>
        <w:tc>
          <w:tcPr>
            <w:tcW w:w="7668" w:type="dxa"/>
            <w:gridSpan w:val="3"/>
            <w:tcBorders>
              <w:top w:val="single" w:sz="4" w:space="0" w:color="auto"/>
              <w:left w:val="single" w:sz="4" w:space="0" w:color="auto"/>
              <w:bottom w:val="single" w:sz="4" w:space="0" w:color="auto"/>
              <w:right w:val="single" w:sz="4" w:space="0" w:color="auto"/>
            </w:tcBorders>
            <w:hideMark/>
          </w:tcPr>
          <w:p w14:paraId="2A90EA5C" w14:textId="77777777" w:rsidR="00DD72EF" w:rsidRPr="00241619" w:rsidRDefault="00DD72EF" w:rsidP="00365BEE">
            <w:pPr>
              <w:autoSpaceDE w:val="0"/>
              <w:autoSpaceDN w:val="0"/>
              <w:adjustRightInd w:val="0"/>
              <w:snapToGrid w:val="0"/>
              <w:jc w:val="both"/>
              <w:rPr>
                <w:sz w:val="22"/>
                <w:szCs w:val="22"/>
              </w:rPr>
            </w:pPr>
            <w:r w:rsidRPr="00241619">
              <w:rPr>
                <w:sz w:val="22"/>
                <w:szCs w:val="22"/>
              </w:rPr>
              <w:t>fork length</w:t>
            </w:r>
          </w:p>
        </w:tc>
      </w:tr>
      <w:tr w:rsidR="00DD72EF" w:rsidRPr="00241619" w14:paraId="5394083B" w14:textId="77777777" w:rsidTr="00DD72EF">
        <w:trPr>
          <w:trHeight w:val="146"/>
        </w:trPr>
        <w:tc>
          <w:tcPr>
            <w:tcW w:w="1908" w:type="dxa"/>
            <w:tcBorders>
              <w:top w:val="single" w:sz="4" w:space="0" w:color="auto"/>
              <w:left w:val="single" w:sz="4" w:space="0" w:color="auto"/>
              <w:bottom w:val="single" w:sz="4" w:space="0" w:color="auto"/>
              <w:right w:val="single" w:sz="4" w:space="0" w:color="auto"/>
            </w:tcBorders>
            <w:hideMark/>
          </w:tcPr>
          <w:p w14:paraId="662F50A1" w14:textId="77777777" w:rsidR="00DD72EF" w:rsidRPr="00241619" w:rsidRDefault="00DD72EF" w:rsidP="00365BEE">
            <w:pPr>
              <w:autoSpaceDE w:val="0"/>
              <w:autoSpaceDN w:val="0"/>
              <w:adjustRightInd w:val="0"/>
              <w:snapToGrid w:val="0"/>
              <w:jc w:val="both"/>
              <w:rPr>
                <w:sz w:val="22"/>
                <w:szCs w:val="22"/>
              </w:rPr>
            </w:pPr>
            <w:r w:rsidRPr="00241619">
              <w:rPr>
                <w:sz w:val="22"/>
                <w:szCs w:val="22"/>
              </w:rPr>
              <w:t>F</w:t>
            </w:r>
            <w:r w:rsidRPr="00241619">
              <w:rPr>
                <w:sz w:val="22"/>
                <w:szCs w:val="22"/>
                <w:vertAlign w:val="subscript"/>
              </w:rPr>
              <w:t>MSY</w:t>
            </w:r>
            <w:r w:rsidRPr="00241619">
              <w:rPr>
                <w:sz w:val="22"/>
                <w:szCs w:val="22"/>
              </w:rPr>
              <w:t xml:space="preserve"> </w:t>
            </w:r>
          </w:p>
        </w:tc>
        <w:tc>
          <w:tcPr>
            <w:tcW w:w="7668" w:type="dxa"/>
            <w:gridSpan w:val="3"/>
            <w:tcBorders>
              <w:top w:val="single" w:sz="4" w:space="0" w:color="auto"/>
              <w:left w:val="single" w:sz="4" w:space="0" w:color="auto"/>
              <w:bottom w:val="single" w:sz="4" w:space="0" w:color="auto"/>
              <w:right w:val="single" w:sz="4" w:space="0" w:color="auto"/>
            </w:tcBorders>
            <w:hideMark/>
          </w:tcPr>
          <w:p w14:paraId="4035308B"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fishing mortality that will support the maximum sustainable yield </w:t>
            </w:r>
          </w:p>
        </w:tc>
      </w:tr>
      <w:tr w:rsidR="00DD72EF" w:rsidRPr="00241619" w14:paraId="6BB6979C"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710CA110" w14:textId="77777777" w:rsidR="00DD72EF" w:rsidRPr="00241619" w:rsidRDefault="00DD72EF" w:rsidP="00365BEE">
            <w:pPr>
              <w:autoSpaceDE w:val="0"/>
              <w:autoSpaceDN w:val="0"/>
              <w:adjustRightInd w:val="0"/>
              <w:snapToGrid w:val="0"/>
              <w:jc w:val="both"/>
              <w:rPr>
                <w:sz w:val="22"/>
                <w:szCs w:val="22"/>
              </w:rPr>
            </w:pPr>
            <w:r w:rsidRPr="00241619">
              <w:rPr>
                <w:sz w:val="22"/>
                <w:szCs w:val="22"/>
              </w:rPr>
              <w:t>FRP</w:t>
            </w:r>
          </w:p>
        </w:tc>
        <w:tc>
          <w:tcPr>
            <w:tcW w:w="7668" w:type="dxa"/>
            <w:gridSpan w:val="3"/>
            <w:tcBorders>
              <w:top w:val="single" w:sz="4" w:space="0" w:color="auto"/>
              <w:left w:val="single" w:sz="4" w:space="0" w:color="auto"/>
              <w:bottom w:val="single" w:sz="4" w:space="0" w:color="auto"/>
              <w:right w:val="single" w:sz="4" w:space="0" w:color="auto"/>
            </w:tcBorders>
            <w:hideMark/>
          </w:tcPr>
          <w:p w14:paraId="0C8BD6A8" w14:textId="77777777" w:rsidR="00DD72EF" w:rsidRPr="00241619" w:rsidRDefault="00DD72EF" w:rsidP="00365BEE">
            <w:pPr>
              <w:autoSpaceDE w:val="0"/>
              <w:autoSpaceDN w:val="0"/>
              <w:adjustRightInd w:val="0"/>
              <w:snapToGrid w:val="0"/>
              <w:jc w:val="both"/>
              <w:rPr>
                <w:sz w:val="22"/>
                <w:szCs w:val="22"/>
              </w:rPr>
            </w:pPr>
            <w:r w:rsidRPr="00241619">
              <w:rPr>
                <w:sz w:val="22"/>
                <w:szCs w:val="22"/>
                <w:lang w:val="en-AU"/>
              </w:rPr>
              <w:t>fishing mortality-based reference point</w:t>
            </w:r>
          </w:p>
        </w:tc>
      </w:tr>
      <w:tr w:rsidR="00DD72EF" w:rsidRPr="00241619" w14:paraId="2A52D13A"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56E33ECC" w14:textId="77777777" w:rsidR="00DD72EF" w:rsidRPr="00241619" w:rsidRDefault="00DD72EF" w:rsidP="00365BEE">
            <w:pPr>
              <w:autoSpaceDE w:val="0"/>
              <w:autoSpaceDN w:val="0"/>
              <w:adjustRightInd w:val="0"/>
              <w:snapToGrid w:val="0"/>
              <w:jc w:val="both"/>
              <w:rPr>
                <w:sz w:val="22"/>
                <w:szCs w:val="22"/>
              </w:rPr>
            </w:pPr>
            <w:r w:rsidRPr="00241619">
              <w:rPr>
                <w:sz w:val="22"/>
                <w:szCs w:val="22"/>
              </w:rPr>
              <w:t>GAM</w:t>
            </w:r>
          </w:p>
        </w:tc>
        <w:tc>
          <w:tcPr>
            <w:tcW w:w="7668" w:type="dxa"/>
            <w:gridSpan w:val="3"/>
            <w:tcBorders>
              <w:top w:val="single" w:sz="4" w:space="0" w:color="auto"/>
              <w:left w:val="single" w:sz="4" w:space="0" w:color="auto"/>
              <w:bottom w:val="single" w:sz="4" w:space="0" w:color="auto"/>
              <w:right w:val="single" w:sz="4" w:space="0" w:color="auto"/>
            </w:tcBorders>
            <w:hideMark/>
          </w:tcPr>
          <w:p w14:paraId="66ECED27" w14:textId="77777777" w:rsidR="00DD72EF" w:rsidRPr="00241619" w:rsidRDefault="00DD72EF" w:rsidP="00365BEE">
            <w:pPr>
              <w:autoSpaceDE w:val="0"/>
              <w:autoSpaceDN w:val="0"/>
              <w:adjustRightInd w:val="0"/>
              <w:snapToGrid w:val="0"/>
              <w:jc w:val="both"/>
              <w:rPr>
                <w:sz w:val="22"/>
                <w:szCs w:val="22"/>
              </w:rPr>
            </w:pPr>
            <w:r w:rsidRPr="00241619">
              <w:rPr>
                <w:sz w:val="22"/>
                <w:szCs w:val="22"/>
              </w:rPr>
              <w:t>generalized additive model</w:t>
            </w:r>
          </w:p>
        </w:tc>
      </w:tr>
      <w:tr w:rsidR="00DD72EF" w:rsidRPr="00241619" w14:paraId="54C8C378"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463172AA"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GLM </w:t>
            </w:r>
          </w:p>
        </w:tc>
        <w:tc>
          <w:tcPr>
            <w:tcW w:w="7668" w:type="dxa"/>
            <w:gridSpan w:val="3"/>
            <w:tcBorders>
              <w:top w:val="single" w:sz="4" w:space="0" w:color="auto"/>
              <w:left w:val="single" w:sz="4" w:space="0" w:color="auto"/>
              <w:bottom w:val="single" w:sz="4" w:space="0" w:color="auto"/>
              <w:right w:val="single" w:sz="4" w:space="0" w:color="auto"/>
            </w:tcBorders>
            <w:hideMark/>
          </w:tcPr>
          <w:p w14:paraId="7208C05E"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generalized linear model </w:t>
            </w:r>
          </w:p>
        </w:tc>
      </w:tr>
      <w:tr w:rsidR="00DD72EF" w:rsidRPr="00241619" w14:paraId="78E53226"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34FFAD08"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GT </w:t>
            </w:r>
          </w:p>
        </w:tc>
        <w:tc>
          <w:tcPr>
            <w:tcW w:w="7668" w:type="dxa"/>
            <w:gridSpan w:val="3"/>
            <w:tcBorders>
              <w:top w:val="single" w:sz="4" w:space="0" w:color="auto"/>
              <w:left w:val="single" w:sz="4" w:space="0" w:color="auto"/>
              <w:bottom w:val="single" w:sz="4" w:space="0" w:color="auto"/>
              <w:right w:val="single" w:sz="4" w:space="0" w:color="auto"/>
            </w:tcBorders>
            <w:hideMark/>
          </w:tcPr>
          <w:p w14:paraId="4F9DEEF6"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gross registered tonnage </w:t>
            </w:r>
          </w:p>
        </w:tc>
      </w:tr>
      <w:tr w:rsidR="00DD72EF" w:rsidRPr="00241619" w14:paraId="56543304"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0BC1D365" w14:textId="77777777" w:rsidR="00DD72EF" w:rsidRPr="00241619" w:rsidRDefault="00DD72EF" w:rsidP="00365BEE">
            <w:pPr>
              <w:autoSpaceDE w:val="0"/>
              <w:autoSpaceDN w:val="0"/>
              <w:adjustRightInd w:val="0"/>
              <w:snapToGrid w:val="0"/>
              <w:jc w:val="both"/>
              <w:rPr>
                <w:sz w:val="22"/>
                <w:szCs w:val="22"/>
              </w:rPr>
            </w:pPr>
            <w:r w:rsidRPr="00241619">
              <w:rPr>
                <w:sz w:val="22"/>
                <w:szCs w:val="22"/>
              </w:rPr>
              <w:t>HBF</w:t>
            </w:r>
          </w:p>
        </w:tc>
        <w:tc>
          <w:tcPr>
            <w:tcW w:w="7668" w:type="dxa"/>
            <w:gridSpan w:val="3"/>
            <w:tcBorders>
              <w:top w:val="single" w:sz="4" w:space="0" w:color="auto"/>
              <w:left w:val="single" w:sz="4" w:space="0" w:color="auto"/>
              <w:bottom w:val="single" w:sz="4" w:space="0" w:color="auto"/>
              <w:right w:val="single" w:sz="4" w:space="0" w:color="auto"/>
            </w:tcBorders>
            <w:hideMark/>
          </w:tcPr>
          <w:p w14:paraId="25D77946" w14:textId="77777777" w:rsidR="00DD72EF" w:rsidRPr="00241619" w:rsidRDefault="00DD72EF" w:rsidP="00365BEE">
            <w:pPr>
              <w:autoSpaceDE w:val="0"/>
              <w:autoSpaceDN w:val="0"/>
              <w:adjustRightInd w:val="0"/>
              <w:snapToGrid w:val="0"/>
              <w:jc w:val="both"/>
              <w:rPr>
                <w:sz w:val="22"/>
                <w:szCs w:val="22"/>
              </w:rPr>
            </w:pPr>
            <w:r w:rsidRPr="00241619">
              <w:rPr>
                <w:sz w:val="22"/>
                <w:szCs w:val="22"/>
              </w:rPr>
              <w:t>hooks between floats</w:t>
            </w:r>
          </w:p>
        </w:tc>
      </w:tr>
      <w:tr w:rsidR="00DD72EF" w:rsidRPr="00241619" w14:paraId="22D20C9E"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77361051" w14:textId="77777777" w:rsidR="00DD72EF" w:rsidRPr="00241619" w:rsidRDefault="00DD72EF" w:rsidP="00365BEE">
            <w:pPr>
              <w:autoSpaceDE w:val="0"/>
              <w:autoSpaceDN w:val="0"/>
              <w:adjustRightInd w:val="0"/>
              <w:snapToGrid w:val="0"/>
              <w:jc w:val="both"/>
              <w:rPr>
                <w:sz w:val="22"/>
                <w:szCs w:val="22"/>
              </w:rPr>
            </w:pPr>
            <w:r w:rsidRPr="00241619">
              <w:rPr>
                <w:sz w:val="22"/>
                <w:szCs w:val="22"/>
              </w:rPr>
              <w:t>HCR</w:t>
            </w:r>
          </w:p>
        </w:tc>
        <w:tc>
          <w:tcPr>
            <w:tcW w:w="7668" w:type="dxa"/>
            <w:gridSpan w:val="3"/>
            <w:tcBorders>
              <w:top w:val="single" w:sz="4" w:space="0" w:color="auto"/>
              <w:left w:val="single" w:sz="4" w:space="0" w:color="auto"/>
              <w:bottom w:val="single" w:sz="4" w:space="0" w:color="auto"/>
              <w:right w:val="single" w:sz="4" w:space="0" w:color="auto"/>
            </w:tcBorders>
            <w:hideMark/>
          </w:tcPr>
          <w:p w14:paraId="701CFAE5" w14:textId="77777777" w:rsidR="00DD72EF" w:rsidRPr="00241619" w:rsidRDefault="00DD72EF" w:rsidP="00365BEE">
            <w:pPr>
              <w:autoSpaceDE w:val="0"/>
              <w:autoSpaceDN w:val="0"/>
              <w:adjustRightInd w:val="0"/>
              <w:snapToGrid w:val="0"/>
              <w:jc w:val="both"/>
              <w:rPr>
                <w:sz w:val="22"/>
                <w:szCs w:val="22"/>
              </w:rPr>
            </w:pPr>
            <w:r w:rsidRPr="00241619">
              <w:rPr>
                <w:sz w:val="22"/>
                <w:szCs w:val="22"/>
              </w:rPr>
              <w:t>harvest control rule</w:t>
            </w:r>
          </w:p>
        </w:tc>
      </w:tr>
      <w:tr w:rsidR="00DD72EF" w:rsidRPr="00241619" w14:paraId="1BD500FA"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6F3AD2C0"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IATTC </w:t>
            </w:r>
          </w:p>
        </w:tc>
        <w:tc>
          <w:tcPr>
            <w:tcW w:w="7668" w:type="dxa"/>
            <w:gridSpan w:val="3"/>
            <w:tcBorders>
              <w:top w:val="single" w:sz="4" w:space="0" w:color="auto"/>
              <w:left w:val="single" w:sz="4" w:space="0" w:color="auto"/>
              <w:bottom w:val="single" w:sz="4" w:space="0" w:color="auto"/>
              <w:right w:val="single" w:sz="4" w:space="0" w:color="auto"/>
            </w:tcBorders>
            <w:hideMark/>
          </w:tcPr>
          <w:p w14:paraId="3EB40949"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Inter-American Tropical Tuna Commission </w:t>
            </w:r>
          </w:p>
        </w:tc>
      </w:tr>
      <w:tr w:rsidR="00DD72EF" w:rsidRPr="00241619" w14:paraId="54EE4177"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559326EC"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ICCAT </w:t>
            </w:r>
          </w:p>
        </w:tc>
        <w:tc>
          <w:tcPr>
            <w:tcW w:w="7668" w:type="dxa"/>
            <w:gridSpan w:val="3"/>
            <w:tcBorders>
              <w:top w:val="single" w:sz="4" w:space="0" w:color="auto"/>
              <w:left w:val="single" w:sz="4" w:space="0" w:color="auto"/>
              <w:bottom w:val="single" w:sz="4" w:space="0" w:color="auto"/>
              <w:right w:val="single" w:sz="4" w:space="0" w:color="auto"/>
            </w:tcBorders>
            <w:hideMark/>
          </w:tcPr>
          <w:p w14:paraId="09491D1B"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International Commission for the Conservation of Atlantic Tunas </w:t>
            </w:r>
          </w:p>
        </w:tc>
      </w:tr>
      <w:tr w:rsidR="00DD72EF" w:rsidRPr="00241619" w14:paraId="7B582A92"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535255F6"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IOTC </w:t>
            </w:r>
          </w:p>
        </w:tc>
        <w:tc>
          <w:tcPr>
            <w:tcW w:w="7668" w:type="dxa"/>
            <w:gridSpan w:val="3"/>
            <w:tcBorders>
              <w:top w:val="single" w:sz="4" w:space="0" w:color="auto"/>
              <w:left w:val="single" w:sz="4" w:space="0" w:color="auto"/>
              <w:bottom w:val="single" w:sz="4" w:space="0" w:color="auto"/>
              <w:right w:val="single" w:sz="4" w:space="0" w:color="auto"/>
            </w:tcBorders>
            <w:hideMark/>
          </w:tcPr>
          <w:p w14:paraId="18B88F25"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Indian Ocean Tuna Commission </w:t>
            </w:r>
          </w:p>
        </w:tc>
      </w:tr>
      <w:tr w:rsidR="00DD72EF" w:rsidRPr="00241619" w14:paraId="0B601953"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006622B9"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ISC </w:t>
            </w:r>
          </w:p>
        </w:tc>
        <w:tc>
          <w:tcPr>
            <w:tcW w:w="7668" w:type="dxa"/>
            <w:gridSpan w:val="3"/>
            <w:tcBorders>
              <w:top w:val="single" w:sz="4" w:space="0" w:color="auto"/>
              <w:left w:val="single" w:sz="4" w:space="0" w:color="auto"/>
              <w:bottom w:val="single" w:sz="4" w:space="0" w:color="auto"/>
              <w:right w:val="single" w:sz="4" w:space="0" w:color="auto"/>
            </w:tcBorders>
            <w:hideMark/>
          </w:tcPr>
          <w:p w14:paraId="694EB419"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International Scientific Committee for Tuna and Tuna-like Species in the North Pacific Ocean </w:t>
            </w:r>
          </w:p>
        </w:tc>
      </w:tr>
      <w:tr w:rsidR="00DD72EF" w:rsidRPr="00241619" w14:paraId="29F3B411"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00B838C8" w14:textId="77777777" w:rsidR="00DD72EF" w:rsidRPr="00241619" w:rsidRDefault="00DD72EF" w:rsidP="00365BEE">
            <w:pPr>
              <w:autoSpaceDE w:val="0"/>
              <w:autoSpaceDN w:val="0"/>
              <w:adjustRightInd w:val="0"/>
              <w:snapToGrid w:val="0"/>
              <w:jc w:val="both"/>
              <w:rPr>
                <w:sz w:val="22"/>
                <w:szCs w:val="22"/>
              </w:rPr>
            </w:pPr>
            <w:r w:rsidRPr="00241619">
              <w:rPr>
                <w:sz w:val="22"/>
                <w:szCs w:val="22"/>
              </w:rPr>
              <w:t>ISG</w:t>
            </w:r>
          </w:p>
        </w:tc>
        <w:tc>
          <w:tcPr>
            <w:tcW w:w="7668" w:type="dxa"/>
            <w:gridSpan w:val="3"/>
            <w:tcBorders>
              <w:top w:val="single" w:sz="4" w:space="0" w:color="auto"/>
              <w:left w:val="single" w:sz="4" w:space="0" w:color="auto"/>
              <w:bottom w:val="single" w:sz="4" w:space="0" w:color="auto"/>
              <w:right w:val="single" w:sz="4" w:space="0" w:color="auto"/>
            </w:tcBorders>
            <w:hideMark/>
          </w:tcPr>
          <w:p w14:paraId="366709E7" w14:textId="77777777" w:rsidR="00DD72EF" w:rsidRPr="00241619" w:rsidRDefault="00DD72EF" w:rsidP="00365BEE">
            <w:pPr>
              <w:autoSpaceDE w:val="0"/>
              <w:autoSpaceDN w:val="0"/>
              <w:adjustRightInd w:val="0"/>
              <w:snapToGrid w:val="0"/>
              <w:jc w:val="both"/>
              <w:rPr>
                <w:sz w:val="22"/>
                <w:szCs w:val="22"/>
              </w:rPr>
            </w:pPr>
            <w:r w:rsidRPr="00241619">
              <w:rPr>
                <w:sz w:val="22"/>
                <w:szCs w:val="22"/>
              </w:rPr>
              <w:t>Informal Small Group</w:t>
            </w:r>
          </w:p>
        </w:tc>
      </w:tr>
      <w:tr w:rsidR="00DD72EF" w:rsidRPr="00241619" w14:paraId="28CE6D24"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054FCA9E"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ISSF </w:t>
            </w:r>
          </w:p>
        </w:tc>
        <w:tc>
          <w:tcPr>
            <w:tcW w:w="7668" w:type="dxa"/>
            <w:gridSpan w:val="3"/>
            <w:tcBorders>
              <w:top w:val="single" w:sz="4" w:space="0" w:color="auto"/>
              <w:left w:val="single" w:sz="4" w:space="0" w:color="auto"/>
              <w:bottom w:val="single" w:sz="4" w:space="0" w:color="auto"/>
              <w:right w:val="single" w:sz="4" w:space="0" w:color="auto"/>
            </w:tcBorders>
            <w:hideMark/>
          </w:tcPr>
          <w:p w14:paraId="611CCC17"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International Seafood Sustainability Foundation </w:t>
            </w:r>
          </w:p>
        </w:tc>
      </w:tr>
      <w:tr w:rsidR="00DD72EF" w:rsidRPr="00241619" w14:paraId="767F01F5"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123DCF4E" w14:textId="77777777" w:rsidR="00DD72EF" w:rsidRPr="00241619" w:rsidRDefault="00DD72EF" w:rsidP="00365BEE">
            <w:pPr>
              <w:autoSpaceDE w:val="0"/>
              <w:autoSpaceDN w:val="0"/>
              <w:adjustRightInd w:val="0"/>
              <w:snapToGrid w:val="0"/>
              <w:jc w:val="both"/>
              <w:rPr>
                <w:sz w:val="22"/>
                <w:szCs w:val="22"/>
              </w:rPr>
            </w:pPr>
            <w:r w:rsidRPr="00241619">
              <w:rPr>
                <w:sz w:val="22"/>
                <w:szCs w:val="22"/>
              </w:rPr>
              <w:t>IWG</w:t>
            </w:r>
          </w:p>
        </w:tc>
        <w:tc>
          <w:tcPr>
            <w:tcW w:w="7668" w:type="dxa"/>
            <w:gridSpan w:val="3"/>
            <w:tcBorders>
              <w:top w:val="single" w:sz="4" w:space="0" w:color="auto"/>
              <w:left w:val="single" w:sz="4" w:space="0" w:color="auto"/>
              <w:bottom w:val="single" w:sz="4" w:space="0" w:color="auto"/>
              <w:right w:val="single" w:sz="4" w:space="0" w:color="auto"/>
            </w:tcBorders>
            <w:hideMark/>
          </w:tcPr>
          <w:p w14:paraId="684692EA" w14:textId="77777777" w:rsidR="00DD72EF" w:rsidRPr="00241619" w:rsidRDefault="00DD72EF" w:rsidP="00365BEE">
            <w:pPr>
              <w:autoSpaceDE w:val="0"/>
              <w:autoSpaceDN w:val="0"/>
              <w:adjustRightInd w:val="0"/>
              <w:snapToGrid w:val="0"/>
              <w:jc w:val="both"/>
              <w:rPr>
                <w:sz w:val="22"/>
                <w:szCs w:val="22"/>
              </w:rPr>
            </w:pPr>
            <w:r w:rsidRPr="00241619">
              <w:rPr>
                <w:sz w:val="22"/>
                <w:szCs w:val="22"/>
              </w:rPr>
              <w:t>Intersessional working group</w:t>
            </w:r>
          </w:p>
        </w:tc>
      </w:tr>
      <w:tr w:rsidR="00DD72EF" w:rsidRPr="00241619" w14:paraId="11FA3F33"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017B03E0"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JTF </w:t>
            </w:r>
          </w:p>
        </w:tc>
        <w:tc>
          <w:tcPr>
            <w:tcW w:w="7668" w:type="dxa"/>
            <w:gridSpan w:val="3"/>
            <w:tcBorders>
              <w:top w:val="single" w:sz="4" w:space="0" w:color="auto"/>
              <w:left w:val="single" w:sz="4" w:space="0" w:color="auto"/>
              <w:bottom w:val="single" w:sz="4" w:space="0" w:color="auto"/>
              <w:right w:val="single" w:sz="4" w:space="0" w:color="auto"/>
            </w:tcBorders>
            <w:hideMark/>
          </w:tcPr>
          <w:p w14:paraId="67506331"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Japan Trust Fund </w:t>
            </w:r>
          </w:p>
        </w:tc>
      </w:tr>
      <w:tr w:rsidR="00DD72EF" w:rsidRPr="00241619" w14:paraId="17CBBD1C"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485731C9" w14:textId="77777777" w:rsidR="00DD72EF" w:rsidRPr="00241619" w:rsidRDefault="00DD72EF" w:rsidP="00365BEE">
            <w:pPr>
              <w:autoSpaceDE w:val="0"/>
              <w:autoSpaceDN w:val="0"/>
              <w:adjustRightInd w:val="0"/>
              <w:snapToGrid w:val="0"/>
              <w:jc w:val="both"/>
              <w:rPr>
                <w:sz w:val="22"/>
                <w:szCs w:val="22"/>
              </w:rPr>
            </w:pPr>
            <w:r w:rsidRPr="004635E5">
              <w:rPr>
                <w:rFonts w:eastAsia="MS PMincho"/>
                <w:sz w:val="22"/>
                <w:lang w:eastAsia="ja-JP"/>
              </w:rPr>
              <w:t>LSTLL</w:t>
            </w:r>
          </w:p>
        </w:tc>
        <w:tc>
          <w:tcPr>
            <w:tcW w:w="7668" w:type="dxa"/>
            <w:gridSpan w:val="3"/>
            <w:tcBorders>
              <w:top w:val="single" w:sz="4" w:space="0" w:color="auto"/>
              <w:left w:val="single" w:sz="4" w:space="0" w:color="auto"/>
              <w:bottom w:val="single" w:sz="4" w:space="0" w:color="auto"/>
              <w:right w:val="single" w:sz="4" w:space="0" w:color="auto"/>
            </w:tcBorders>
            <w:hideMark/>
          </w:tcPr>
          <w:p w14:paraId="541DD6F1" w14:textId="77777777" w:rsidR="00DD72EF" w:rsidRPr="00241619" w:rsidRDefault="00DD72EF" w:rsidP="00365BEE">
            <w:pPr>
              <w:autoSpaceDE w:val="0"/>
              <w:autoSpaceDN w:val="0"/>
              <w:adjustRightInd w:val="0"/>
              <w:snapToGrid w:val="0"/>
              <w:jc w:val="both"/>
              <w:rPr>
                <w:sz w:val="22"/>
                <w:szCs w:val="22"/>
              </w:rPr>
            </w:pPr>
            <w:r>
              <w:rPr>
                <w:sz w:val="22"/>
                <w:szCs w:val="22"/>
              </w:rPr>
              <w:t xml:space="preserve">Large scale tuna </w:t>
            </w:r>
            <w:r w:rsidRPr="00241619">
              <w:rPr>
                <w:sz w:val="22"/>
                <w:szCs w:val="22"/>
              </w:rPr>
              <w:t>longline</w:t>
            </w:r>
          </w:p>
        </w:tc>
      </w:tr>
      <w:tr w:rsidR="00DD72EF" w:rsidRPr="00241619" w14:paraId="77FE2B6F"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7E22A1AD"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LRP </w:t>
            </w:r>
          </w:p>
        </w:tc>
        <w:tc>
          <w:tcPr>
            <w:tcW w:w="7668" w:type="dxa"/>
            <w:gridSpan w:val="3"/>
            <w:tcBorders>
              <w:top w:val="single" w:sz="4" w:space="0" w:color="auto"/>
              <w:left w:val="single" w:sz="4" w:space="0" w:color="auto"/>
              <w:bottom w:val="single" w:sz="4" w:space="0" w:color="auto"/>
              <w:right w:val="single" w:sz="4" w:space="0" w:color="auto"/>
            </w:tcBorders>
            <w:hideMark/>
          </w:tcPr>
          <w:p w14:paraId="11A16722"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limit reference point </w:t>
            </w:r>
          </w:p>
        </w:tc>
      </w:tr>
      <w:tr w:rsidR="00DD72EF" w:rsidRPr="00241619" w14:paraId="746C0EBC"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6CD54858" w14:textId="77777777" w:rsidR="00DD72EF" w:rsidRPr="00241619" w:rsidRDefault="00DD72EF" w:rsidP="00365BEE">
            <w:pPr>
              <w:autoSpaceDE w:val="0"/>
              <w:autoSpaceDN w:val="0"/>
              <w:adjustRightInd w:val="0"/>
              <w:snapToGrid w:val="0"/>
              <w:jc w:val="both"/>
              <w:rPr>
                <w:sz w:val="22"/>
                <w:szCs w:val="22"/>
              </w:rPr>
            </w:pPr>
            <w:r w:rsidRPr="00241619">
              <w:rPr>
                <w:sz w:val="22"/>
                <w:szCs w:val="22"/>
              </w:rPr>
              <w:t>M</w:t>
            </w:r>
          </w:p>
        </w:tc>
        <w:tc>
          <w:tcPr>
            <w:tcW w:w="7668" w:type="dxa"/>
            <w:gridSpan w:val="3"/>
            <w:tcBorders>
              <w:top w:val="single" w:sz="4" w:space="0" w:color="auto"/>
              <w:left w:val="single" w:sz="4" w:space="0" w:color="auto"/>
              <w:bottom w:val="single" w:sz="4" w:space="0" w:color="auto"/>
              <w:right w:val="single" w:sz="4" w:space="0" w:color="auto"/>
            </w:tcBorders>
            <w:hideMark/>
          </w:tcPr>
          <w:p w14:paraId="4D453E18" w14:textId="77777777" w:rsidR="00DD72EF" w:rsidRPr="00241619" w:rsidRDefault="00DD72EF" w:rsidP="00365BEE">
            <w:pPr>
              <w:autoSpaceDE w:val="0"/>
              <w:autoSpaceDN w:val="0"/>
              <w:adjustRightInd w:val="0"/>
              <w:snapToGrid w:val="0"/>
              <w:jc w:val="both"/>
              <w:rPr>
                <w:sz w:val="22"/>
                <w:szCs w:val="22"/>
              </w:rPr>
            </w:pPr>
            <w:r w:rsidRPr="00241619">
              <w:rPr>
                <w:sz w:val="22"/>
                <w:szCs w:val="22"/>
              </w:rPr>
              <w:t>mortality</w:t>
            </w:r>
          </w:p>
        </w:tc>
      </w:tr>
      <w:tr w:rsidR="00DD72EF" w:rsidRPr="00241619" w14:paraId="58984A3A"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707E3157"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MOU </w:t>
            </w:r>
          </w:p>
        </w:tc>
        <w:tc>
          <w:tcPr>
            <w:tcW w:w="7668" w:type="dxa"/>
            <w:gridSpan w:val="3"/>
            <w:tcBorders>
              <w:top w:val="single" w:sz="4" w:space="0" w:color="auto"/>
              <w:left w:val="single" w:sz="4" w:space="0" w:color="auto"/>
              <w:bottom w:val="single" w:sz="4" w:space="0" w:color="auto"/>
              <w:right w:val="single" w:sz="4" w:space="0" w:color="auto"/>
            </w:tcBorders>
            <w:hideMark/>
          </w:tcPr>
          <w:p w14:paraId="3437B7F0"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memorandum of understanding </w:t>
            </w:r>
          </w:p>
        </w:tc>
      </w:tr>
      <w:tr w:rsidR="00DD72EF" w:rsidRPr="00241619" w14:paraId="3B29AADF"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65647D51"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MSE </w:t>
            </w:r>
          </w:p>
        </w:tc>
        <w:tc>
          <w:tcPr>
            <w:tcW w:w="7668" w:type="dxa"/>
            <w:gridSpan w:val="3"/>
            <w:tcBorders>
              <w:top w:val="single" w:sz="4" w:space="0" w:color="auto"/>
              <w:left w:val="single" w:sz="4" w:space="0" w:color="auto"/>
              <w:bottom w:val="single" w:sz="4" w:space="0" w:color="auto"/>
              <w:right w:val="single" w:sz="4" w:space="0" w:color="auto"/>
            </w:tcBorders>
            <w:hideMark/>
          </w:tcPr>
          <w:p w14:paraId="5B287BFE"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management strategy evaluation </w:t>
            </w:r>
          </w:p>
        </w:tc>
      </w:tr>
      <w:tr w:rsidR="00DD72EF" w:rsidRPr="00241619" w14:paraId="1A29213A"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488D008E" w14:textId="77777777" w:rsidR="00DD72EF" w:rsidRPr="00241619" w:rsidRDefault="00DD72EF" w:rsidP="00365BEE">
            <w:pPr>
              <w:autoSpaceDE w:val="0"/>
              <w:autoSpaceDN w:val="0"/>
              <w:adjustRightInd w:val="0"/>
              <w:snapToGrid w:val="0"/>
              <w:jc w:val="both"/>
              <w:rPr>
                <w:i/>
                <w:sz w:val="22"/>
                <w:szCs w:val="22"/>
              </w:rPr>
            </w:pPr>
            <w:r w:rsidRPr="00241619">
              <w:rPr>
                <w:sz w:val="22"/>
                <w:szCs w:val="22"/>
              </w:rPr>
              <w:t>MSY</w:t>
            </w:r>
            <w:r w:rsidRPr="00241619">
              <w:rPr>
                <w:i/>
                <w:sz w:val="22"/>
                <w:szCs w:val="22"/>
              </w:rPr>
              <w:t xml:space="preserve"> </w:t>
            </w:r>
          </w:p>
        </w:tc>
        <w:tc>
          <w:tcPr>
            <w:tcW w:w="7668" w:type="dxa"/>
            <w:gridSpan w:val="3"/>
            <w:tcBorders>
              <w:top w:val="single" w:sz="4" w:space="0" w:color="auto"/>
              <w:left w:val="single" w:sz="4" w:space="0" w:color="auto"/>
              <w:bottom w:val="single" w:sz="4" w:space="0" w:color="auto"/>
              <w:right w:val="single" w:sz="4" w:space="0" w:color="auto"/>
            </w:tcBorders>
            <w:hideMark/>
          </w:tcPr>
          <w:p w14:paraId="645B35BB"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maximum sustainable yield </w:t>
            </w:r>
          </w:p>
        </w:tc>
      </w:tr>
      <w:tr w:rsidR="00DD72EF" w:rsidRPr="00241619" w14:paraId="599170AF"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36EC5CD4"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mt </w:t>
            </w:r>
          </w:p>
        </w:tc>
        <w:tc>
          <w:tcPr>
            <w:tcW w:w="7668" w:type="dxa"/>
            <w:gridSpan w:val="3"/>
            <w:tcBorders>
              <w:top w:val="single" w:sz="4" w:space="0" w:color="auto"/>
              <w:left w:val="single" w:sz="4" w:space="0" w:color="auto"/>
              <w:bottom w:val="single" w:sz="4" w:space="0" w:color="auto"/>
              <w:right w:val="single" w:sz="4" w:space="0" w:color="auto"/>
            </w:tcBorders>
            <w:hideMark/>
          </w:tcPr>
          <w:p w14:paraId="24B1F1AE"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metric tons </w:t>
            </w:r>
          </w:p>
        </w:tc>
      </w:tr>
      <w:tr w:rsidR="00DD72EF" w:rsidRPr="00241619" w14:paraId="55D29C82"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3B9CC690" w14:textId="77777777" w:rsidR="00DD72EF" w:rsidRPr="00241619" w:rsidRDefault="00DD72EF" w:rsidP="00365BEE">
            <w:pPr>
              <w:autoSpaceDE w:val="0"/>
              <w:autoSpaceDN w:val="0"/>
              <w:adjustRightInd w:val="0"/>
              <w:snapToGrid w:val="0"/>
              <w:jc w:val="both"/>
              <w:rPr>
                <w:sz w:val="22"/>
                <w:szCs w:val="22"/>
              </w:rPr>
            </w:pPr>
            <w:r w:rsidRPr="00241619">
              <w:rPr>
                <w:sz w:val="22"/>
                <w:szCs w:val="22"/>
              </w:rPr>
              <w:t>PEW</w:t>
            </w:r>
          </w:p>
        </w:tc>
        <w:tc>
          <w:tcPr>
            <w:tcW w:w="7668" w:type="dxa"/>
            <w:gridSpan w:val="3"/>
            <w:tcBorders>
              <w:top w:val="single" w:sz="4" w:space="0" w:color="auto"/>
              <w:left w:val="single" w:sz="4" w:space="0" w:color="auto"/>
              <w:bottom w:val="single" w:sz="4" w:space="0" w:color="auto"/>
              <w:right w:val="single" w:sz="4" w:space="0" w:color="auto"/>
            </w:tcBorders>
            <w:hideMark/>
          </w:tcPr>
          <w:p w14:paraId="087A45C0" w14:textId="77777777" w:rsidR="00DD72EF" w:rsidRPr="00241619" w:rsidRDefault="00DD72EF" w:rsidP="00365BEE">
            <w:pPr>
              <w:autoSpaceDE w:val="0"/>
              <w:autoSpaceDN w:val="0"/>
              <w:adjustRightInd w:val="0"/>
              <w:snapToGrid w:val="0"/>
              <w:jc w:val="both"/>
              <w:rPr>
                <w:sz w:val="22"/>
                <w:szCs w:val="22"/>
              </w:rPr>
            </w:pPr>
            <w:r w:rsidRPr="00241619">
              <w:rPr>
                <w:sz w:val="22"/>
                <w:szCs w:val="22"/>
                <w:lang w:val="en-AU"/>
              </w:rPr>
              <w:t>The Pew Charitable Trusts</w:t>
            </w:r>
          </w:p>
        </w:tc>
      </w:tr>
      <w:tr w:rsidR="00DD72EF" w:rsidRPr="00241619" w14:paraId="49D1B035"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0BCB0531"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PNA </w:t>
            </w:r>
          </w:p>
        </w:tc>
        <w:tc>
          <w:tcPr>
            <w:tcW w:w="7668" w:type="dxa"/>
            <w:gridSpan w:val="3"/>
            <w:tcBorders>
              <w:top w:val="single" w:sz="4" w:space="0" w:color="auto"/>
              <w:left w:val="single" w:sz="4" w:space="0" w:color="auto"/>
              <w:bottom w:val="single" w:sz="4" w:space="0" w:color="auto"/>
              <w:right w:val="single" w:sz="4" w:space="0" w:color="auto"/>
            </w:tcBorders>
            <w:hideMark/>
          </w:tcPr>
          <w:p w14:paraId="0692D3BD"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Parties to the Nauru Agreement </w:t>
            </w:r>
          </w:p>
        </w:tc>
      </w:tr>
      <w:tr w:rsidR="00DD72EF" w:rsidRPr="00241619" w14:paraId="759ACD98"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tcPr>
          <w:p w14:paraId="0C61C416"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PNG </w:t>
            </w:r>
          </w:p>
        </w:tc>
        <w:tc>
          <w:tcPr>
            <w:tcW w:w="7668" w:type="dxa"/>
            <w:gridSpan w:val="3"/>
            <w:tcBorders>
              <w:top w:val="single" w:sz="4" w:space="0" w:color="auto"/>
              <w:left w:val="single" w:sz="4" w:space="0" w:color="auto"/>
              <w:bottom w:val="single" w:sz="4" w:space="0" w:color="auto"/>
              <w:right w:val="single" w:sz="4" w:space="0" w:color="auto"/>
            </w:tcBorders>
          </w:tcPr>
          <w:p w14:paraId="1DAC49E0"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Papua New Guinea </w:t>
            </w:r>
          </w:p>
        </w:tc>
      </w:tr>
      <w:tr w:rsidR="00DD72EF" w:rsidRPr="00241619" w14:paraId="4B7B26FF"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4ECE3B66"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PTTP </w:t>
            </w:r>
          </w:p>
        </w:tc>
        <w:tc>
          <w:tcPr>
            <w:tcW w:w="7668" w:type="dxa"/>
            <w:gridSpan w:val="3"/>
            <w:tcBorders>
              <w:top w:val="single" w:sz="4" w:space="0" w:color="auto"/>
              <w:left w:val="single" w:sz="4" w:space="0" w:color="auto"/>
              <w:bottom w:val="single" w:sz="4" w:space="0" w:color="auto"/>
              <w:right w:val="single" w:sz="4" w:space="0" w:color="auto"/>
            </w:tcBorders>
            <w:hideMark/>
          </w:tcPr>
          <w:p w14:paraId="58C9A992"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Pacific Tuna Tagging Programme </w:t>
            </w:r>
          </w:p>
        </w:tc>
      </w:tr>
      <w:tr w:rsidR="00DD72EF" w:rsidRPr="00241619" w14:paraId="0C416643"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4E93E020" w14:textId="77777777" w:rsidR="00DD72EF" w:rsidRPr="00241619" w:rsidRDefault="00DD72EF" w:rsidP="00365BEE">
            <w:pPr>
              <w:autoSpaceDE w:val="0"/>
              <w:autoSpaceDN w:val="0"/>
              <w:adjustRightInd w:val="0"/>
              <w:snapToGrid w:val="0"/>
              <w:jc w:val="both"/>
              <w:rPr>
                <w:sz w:val="22"/>
                <w:szCs w:val="22"/>
              </w:rPr>
            </w:pPr>
            <w:r w:rsidRPr="00241619">
              <w:rPr>
                <w:sz w:val="22"/>
                <w:szCs w:val="22"/>
              </w:rPr>
              <w:t>ROP</w:t>
            </w:r>
          </w:p>
        </w:tc>
        <w:tc>
          <w:tcPr>
            <w:tcW w:w="7668" w:type="dxa"/>
            <w:gridSpan w:val="3"/>
            <w:tcBorders>
              <w:top w:val="single" w:sz="4" w:space="0" w:color="auto"/>
              <w:left w:val="single" w:sz="4" w:space="0" w:color="auto"/>
              <w:bottom w:val="single" w:sz="4" w:space="0" w:color="auto"/>
              <w:right w:val="single" w:sz="4" w:space="0" w:color="auto"/>
            </w:tcBorders>
            <w:hideMark/>
          </w:tcPr>
          <w:p w14:paraId="1A09FD26" w14:textId="77777777" w:rsidR="00DD72EF" w:rsidRPr="00241619" w:rsidRDefault="00DD72EF" w:rsidP="00365BEE">
            <w:pPr>
              <w:autoSpaceDE w:val="0"/>
              <w:autoSpaceDN w:val="0"/>
              <w:adjustRightInd w:val="0"/>
              <w:snapToGrid w:val="0"/>
              <w:jc w:val="both"/>
              <w:rPr>
                <w:sz w:val="22"/>
                <w:szCs w:val="22"/>
              </w:rPr>
            </w:pPr>
            <w:r w:rsidRPr="00241619">
              <w:rPr>
                <w:sz w:val="22"/>
                <w:szCs w:val="22"/>
              </w:rPr>
              <w:t>Regional Observer Programme</w:t>
            </w:r>
          </w:p>
        </w:tc>
      </w:tr>
      <w:tr w:rsidR="00DD72EF" w:rsidRPr="00241619" w14:paraId="1D5843E5"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43FCC872"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RFMO </w:t>
            </w:r>
          </w:p>
        </w:tc>
        <w:tc>
          <w:tcPr>
            <w:tcW w:w="7668" w:type="dxa"/>
            <w:gridSpan w:val="3"/>
            <w:tcBorders>
              <w:top w:val="single" w:sz="4" w:space="0" w:color="auto"/>
              <w:left w:val="single" w:sz="4" w:space="0" w:color="auto"/>
              <w:bottom w:val="single" w:sz="4" w:space="0" w:color="auto"/>
              <w:right w:val="single" w:sz="4" w:space="0" w:color="auto"/>
            </w:tcBorders>
            <w:hideMark/>
          </w:tcPr>
          <w:p w14:paraId="53A2886B"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regional fisheries management organization </w:t>
            </w:r>
          </w:p>
        </w:tc>
      </w:tr>
      <w:tr w:rsidR="00DD72EF" w:rsidRPr="00241619" w14:paraId="53265EB4"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5E31658E"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RMI </w:t>
            </w:r>
          </w:p>
        </w:tc>
        <w:tc>
          <w:tcPr>
            <w:tcW w:w="7668" w:type="dxa"/>
            <w:gridSpan w:val="3"/>
            <w:tcBorders>
              <w:top w:val="single" w:sz="4" w:space="0" w:color="auto"/>
              <w:left w:val="single" w:sz="4" w:space="0" w:color="auto"/>
              <w:bottom w:val="single" w:sz="4" w:space="0" w:color="auto"/>
              <w:right w:val="single" w:sz="4" w:space="0" w:color="auto"/>
            </w:tcBorders>
            <w:hideMark/>
          </w:tcPr>
          <w:p w14:paraId="2811EFB9"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Republic of the Marshall Islands </w:t>
            </w:r>
          </w:p>
        </w:tc>
      </w:tr>
      <w:tr w:rsidR="00DD72EF" w:rsidRPr="00241619" w14:paraId="5E53E5F7"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020BF8B6"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SB </w:t>
            </w:r>
          </w:p>
        </w:tc>
        <w:tc>
          <w:tcPr>
            <w:tcW w:w="7668" w:type="dxa"/>
            <w:gridSpan w:val="3"/>
            <w:tcBorders>
              <w:top w:val="single" w:sz="4" w:space="0" w:color="auto"/>
              <w:left w:val="single" w:sz="4" w:space="0" w:color="auto"/>
              <w:bottom w:val="single" w:sz="4" w:space="0" w:color="auto"/>
              <w:right w:val="single" w:sz="4" w:space="0" w:color="auto"/>
            </w:tcBorders>
            <w:hideMark/>
          </w:tcPr>
          <w:p w14:paraId="2050FF03"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spawning biomass </w:t>
            </w:r>
          </w:p>
        </w:tc>
      </w:tr>
      <w:tr w:rsidR="00DD72EF" w:rsidRPr="00241619" w14:paraId="32382CB7"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53AA1756" w14:textId="77777777" w:rsidR="00DD72EF" w:rsidRPr="00241619" w:rsidRDefault="00DD72EF" w:rsidP="00365BEE">
            <w:pPr>
              <w:autoSpaceDE w:val="0"/>
              <w:autoSpaceDN w:val="0"/>
              <w:adjustRightInd w:val="0"/>
              <w:snapToGrid w:val="0"/>
              <w:jc w:val="both"/>
              <w:rPr>
                <w:sz w:val="22"/>
                <w:szCs w:val="22"/>
              </w:rPr>
            </w:pPr>
            <w:r w:rsidRPr="00241619">
              <w:rPr>
                <w:sz w:val="22"/>
                <w:szCs w:val="22"/>
              </w:rPr>
              <w:t>SC</w:t>
            </w:r>
            <w:r w:rsidRPr="00241619">
              <w:rPr>
                <w:sz w:val="22"/>
                <w:szCs w:val="22"/>
              </w:rPr>
              <w:tab/>
            </w:r>
          </w:p>
        </w:tc>
        <w:tc>
          <w:tcPr>
            <w:tcW w:w="7668" w:type="dxa"/>
            <w:gridSpan w:val="3"/>
            <w:tcBorders>
              <w:top w:val="single" w:sz="4" w:space="0" w:color="auto"/>
              <w:left w:val="single" w:sz="4" w:space="0" w:color="auto"/>
              <w:bottom w:val="single" w:sz="4" w:space="0" w:color="auto"/>
              <w:right w:val="single" w:sz="4" w:space="0" w:color="auto"/>
            </w:tcBorders>
            <w:hideMark/>
          </w:tcPr>
          <w:p w14:paraId="3F4E1995" w14:textId="77777777" w:rsidR="00DD72EF" w:rsidRPr="00241619" w:rsidRDefault="00DD72EF" w:rsidP="00365BEE">
            <w:pPr>
              <w:autoSpaceDE w:val="0"/>
              <w:autoSpaceDN w:val="0"/>
              <w:adjustRightInd w:val="0"/>
              <w:snapToGrid w:val="0"/>
              <w:jc w:val="both"/>
              <w:rPr>
                <w:sz w:val="22"/>
                <w:szCs w:val="22"/>
              </w:rPr>
            </w:pPr>
            <w:r w:rsidRPr="00241619">
              <w:rPr>
                <w:sz w:val="22"/>
                <w:szCs w:val="22"/>
              </w:rPr>
              <w:t>Scientific Committee of the WCPFC</w:t>
            </w:r>
          </w:p>
        </w:tc>
      </w:tr>
      <w:tr w:rsidR="00DD72EF" w:rsidRPr="00241619" w14:paraId="44773E39"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30183C2D"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SEAPODYM </w:t>
            </w:r>
          </w:p>
        </w:tc>
        <w:tc>
          <w:tcPr>
            <w:tcW w:w="7668" w:type="dxa"/>
            <w:gridSpan w:val="3"/>
            <w:tcBorders>
              <w:top w:val="single" w:sz="4" w:space="0" w:color="auto"/>
              <w:left w:val="single" w:sz="4" w:space="0" w:color="auto"/>
              <w:bottom w:val="single" w:sz="4" w:space="0" w:color="auto"/>
              <w:right w:val="single" w:sz="4" w:space="0" w:color="auto"/>
            </w:tcBorders>
            <w:hideMark/>
          </w:tcPr>
          <w:p w14:paraId="2CC96011"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spatial ecosystem and population dynamics model </w:t>
            </w:r>
          </w:p>
        </w:tc>
      </w:tr>
      <w:tr w:rsidR="00DD72EF" w:rsidRPr="00241619" w14:paraId="69802497"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2D9AE694"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SIDS </w:t>
            </w:r>
          </w:p>
        </w:tc>
        <w:tc>
          <w:tcPr>
            <w:tcW w:w="7668" w:type="dxa"/>
            <w:gridSpan w:val="3"/>
            <w:tcBorders>
              <w:top w:val="single" w:sz="4" w:space="0" w:color="auto"/>
              <w:left w:val="single" w:sz="4" w:space="0" w:color="auto"/>
              <w:bottom w:val="single" w:sz="4" w:space="0" w:color="auto"/>
              <w:right w:val="single" w:sz="4" w:space="0" w:color="auto"/>
            </w:tcBorders>
            <w:hideMark/>
          </w:tcPr>
          <w:p w14:paraId="2A8C7563"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small island developing state </w:t>
            </w:r>
          </w:p>
        </w:tc>
      </w:tr>
      <w:tr w:rsidR="00DD72EF" w:rsidRPr="00241619" w14:paraId="54020EB9"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74089596"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SPC-OFP </w:t>
            </w:r>
          </w:p>
        </w:tc>
        <w:tc>
          <w:tcPr>
            <w:tcW w:w="7668" w:type="dxa"/>
            <w:gridSpan w:val="3"/>
            <w:tcBorders>
              <w:top w:val="single" w:sz="4" w:space="0" w:color="auto"/>
              <w:left w:val="single" w:sz="4" w:space="0" w:color="auto"/>
              <w:bottom w:val="single" w:sz="4" w:space="0" w:color="auto"/>
              <w:right w:val="single" w:sz="4" w:space="0" w:color="auto"/>
            </w:tcBorders>
            <w:hideMark/>
          </w:tcPr>
          <w:p w14:paraId="085F8871" w14:textId="77777777" w:rsidR="00DD72EF" w:rsidRPr="00241619" w:rsidRDefault="00DD72EF" w:rsidP="00365BEE">
            <w:pPr>
              <w:autoSpaceDE w:val="0"/>
              <w:autoSpaceDN w:val="0"/>
              <w:adjustRightInd w:val="0"/>
              <w:snapToGrid w:val="0"/>
              <w:jc w:val="both"/>
              <w:rPr>
                <w:sz w:val="22"/>
                <w:szCs w:val="22"/>
              </w:rPr>
            </w:pPr>
            <w:r w:rsidRPr="00241619">
              <w:rPr>
                <w:sz w:val="22"/>
                <w:szCs w:val="22"/>
              </w:rPr>
              <w:t>Oceanic Fisheries Programme</w:t>
            </w:r>
            <w:r>
              <w:rPr>
                <w:sz w:val="22"/>
                <w:szCs w:val="22"/>
              </w:rPr>
              <w:t xml:space="preserve"> of the Pacific Community</w:t>
            </w:r>
          </w:p>
        </w:tc>
      </w:tr>
      <w:tr w:rsidR="00DD72EF" w:rsidRPr="00241619" w14:paraId="4C6773AB"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6DFBA778"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SPR </w:t>
            </w:r>
          </w:p>
        </w:tc>
        <w:tc>
          <w:tcPr>
            <w:tcW w:w="7668" w:type="dxa"/>
            <w:gridSpan w:val="3"/>
            <w:tcBorders>
              <w:top w:val="single" w:sz="4" w:space="0" w:color="auto"/>
              <w:left w:val="single" w:sz="4" w:space="0" w:color="auto"/>
              <w:bottom w:val="single" w:sz="4" w:space="0" w:color="auto"/>
              <w:right w:val="single" w:sz="4" w:space="0" w:color="auto"/>
            </w:tcBorders>
            <w:hideMark/>
          </w:tcPr>
          <w:p w14:paraId="6A54A5BF"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spawning potential ratio </w:t>
            </w:r>
          </w:p>
        </w:tc>
      </w:tr>
      <w:tr w:rsidR="00DD72EF" w:rsidRPr="00241619" w14:paraId="048D1849"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37CD3473" w14:textId="77777777" w:rsidR="00DD72EF" w:rsidRPr="00241619" w:rsidRDefault="00DD72EF" w:rsidP="00365BEE">
            <w:pPr>
              <w:autoSpaceDE w:val="0"/>
              <w:autoSpaceDN w:val="0"/>
              <w:adjustRightInd w:val="0"/>
              <w:snapToGrid w:val="0"/>
              <w:jc w:val="both"/>
              <w:rPr>
                <w:sz w:val="22"/>
                <w:szCs w:val="22"/>
              </w:rPr>
            </w:pPr>
            <w:r w:rsidRPr="00241619">
              <w:rPr>
                <w:sz w:val="22"/>
                <w:szCs w:val="22"/>
              </w:rPr>
              <w:t>SRR</w:t>
            </w:r>
          </w:p>
        </w:tc>
        <w:tc>
          <w:tcPr>
            <w:tcW w:w="7668" w:type="dxa"/>
            <w:gridSpan w:val="3"/>
            <w:tcBorders>
              <w:top w:val="single" w:sz="4" w:space="0" w:color="auto"/>
              <w:left w:val="single" w:sz="4" w:space="0" w:color="auto"/>
              <w:bottom w:val="single" w:sz="4" w:space="0" w:color="auto"/>
              <w:right w:val="single" w:sz="4" w:space="0" w:color="auto"/>
            </w:tcBorders>
            <w:hideMark/>
          </w:tcPr>
          <w:p w14:paraId="5661E4A3" w14:textId="77777777" w:rsidR="00DD72EF" w:rsidRPr="00241619" w:rsidRDefault="00DD72EF" w:rsidP="00365BEE">
            <w:pPr>
              <w:autoSpaceDE w:val="0"/>
              <w:autoSpaceDN w:val="0"/>
              <w:adjustRightInd w:val="0"/>
              <w:snapToGrid w:val="0"/>
              <w:jc w:val="both"/>
              <w:rPr>
                <w:sz w:val="22"/>
                <w:szCs w:val="22"/>
              </w:rPr>
            </w:pPr>
            <w:r w:rsidRPr="00241619">
              <w:rPr>
                <w:sz w:val="22"/>
                <w:szCs w:val="22"/>
              </w:rPr>
              <w:t>stock-recruitment relationship</w:t>
            </w:r>
          </w:p>
        </w:tc>
      </w:tr>
      <w:tr w:rsidR="00DD72EF" w:rsidRPr="00241619" w14:paraId="24941B60"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33E95E8B"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SSB </w:t>
            </w:r>
          </w:p>
        </w:tc>
        <w:tc>
          <w:tcPr>
            <w:tcW w:w="7668" w:type="dxa"/>
            <w:gridSpan w:val="3"/>
            <w:tcBorders>
              <w:top w:val="single" w:sz="4" w:space="0" w:color="auto"/>
              <w:left w:val="single" w:sz="4" w:space="0" w:color="auto"/>
              <w:bottom w:val="single" w:sz="4" w:space="0" w:color="auto"/>
              <w:right w:val="single" w:sz="4" w:space="0" w:color="auto"/>
            </w:tcBorders>
            <w:hideMark/>
          </w:tcPr>
          <w:p w14:paraId="1ADCD2EA"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spawning stock biomass </w:t>
            </w:r>
          </w:p>
        </w:tc>
      </w:tr>
      <w:tr w:rsidR="00DD72EF" w:rsidRPr="00241619" w14:paraId="2FDC46E6"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60EAE679" w14:textId="77777777" w:rsidR="00DD72EF" w:rsidRPr="00241619" w:rsidRDefault="00DD72EF" w:rsidP="00365BEE">
            <w:pPr>
              <w:autoSpaceDE w:val="0"/>
              <w:autoSpaceDN w:val="0"/>
              <w:adjustRightInd w:val="0"/>
              <w:snapToGrid w:val="0"/>
              <w:jc w:val="both"/>
              <w:rPr>
                <w:sz w:val="22"/>
                <w:szCs w:val="22"/>
              </w:rPr>
            </w:pPr>
            <w:r w:rsidRPr="00241619">
              <w:rPr>
                <w:sz w:val="22"/>
                <w:szCs w:val="22"/>
              </w:rPr>
              <w:t>SSI</w:t>
            </w:r>
          </w:p>
        </w:tc>
        <w:tc>
          <w:tcPr>
            <w:tcW w:w="7668" w:type="dxa"/>
            <w:gridSpan w:val="3"/>
            <w:tcBorders>
              <w:top w:val="single" w:sz="4" w:space="0" w:color="auto"/>
              <w:left w:val="single" w:sz="4" w:space="0" w:color="auto"/>
              <w:bottom w:val="single" w:sz="4" w:space="0" w:color="auto"/>
              <w:right w:val="single" w:sz="4" w:space="0" w:color="auto"/>
            </w:tcBorders>
            <w:hideMark/>
          </w:tcPr>
          <w:p w14:paraId="2E989D6E" w14:textId="77777777" w:rsidR="00DD72EF" w:rsidRPr="00241619" w:rsidRDefault="00DD72EF" w:rsidP="00365BEE">
            <w:pPr>
              <w:autoSpaceDE w:val="0"/>
              <w:autoSpaceDN w:val="0"/>
              <w:adjustRightInd w:val="0"/>
              <w:snapToGrid w:val="0"/>
              <w:jc w:val="both"/>
              <w:rPr>
                <w:sz w:val="22"/>
                <w:szCs w:val="22"/>
              </w:rPr>
            </w:pPr>
            <w:r w:rsidRPr="00241619">
              <w:rPr>
                <w:sz w:val="22"/>
                <w:szCs w:val="22"/>
              </w:rPr>
              <w:t>species of special interest</w:t>
            </w:r>
          </w:p>
        </w:tc>
      </w:tr>
      <w:tr w:rsidR="00DD72EF" w:rsidRPr="00241619" w14:paraId="126A4CED"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3098B967" w14:textId="77777777" w:rsidR="00DD72EF" w:rsidRPr="00241619" w:rsidRDefault="00DD72EF" w:rsidP="00365BEE">
            <w:pPr>
              <w:autoSpaceDE w:val="0"/>
              <w:autoSpaceDN w:val="0"/>
              <w:adjustRightInd w:val="0"/>
              <w:snapToGrid w:val="0"/>
              <w:jc w:val="both"/>
              <w:rPr>
                <w:sz w:val="22"/>
                <w:szCs w:val="22"/>
              </w:rPr>
            </w:pPr>
            <w:r w:rsidRPr="00241619">
              <w:rPr>
                <w:sz w:val="22"/>
                <w:szCs w:val="22"/>
              </w:rPr>
              <w:t xml:space="preserve">TCC </w:t>
            </w:r>
          </w:p>
        </w:tc>
        <w:tc>
          <w:tcPr>
            <w:tcW w:w="7668" w:type="dxa"/>
            <w:gridSpan w:val="3"/>
            <w:tcBorders>
              <w:top w:val="single" w:sz="4" w:space="0" w:color="auto"/>
              <w:left w:val="single" w:sz="4" w:space="0" w:color="auto"/>
              <w:bottom w:val="single" w:sz="4" w:space="0" w:color="auto"/>
              <w:right w:val="single" w:sz="4" w:space="0" w:color="auto"/>
            </w:tcBorders>
            <w:hideMark/>
          </w:tcPr>
          <w:p w14:paraId="6E0D61B5" w14:textId="77777777" w:rsidR="00DD72EF" w:rsidRPr="00241619" w:rsidRDefault="00DD72EF" w:rsidP="00365BEE">
            <w:pPr>
              <w:autoSpaceDE w:val="0"/>
              <w:autoSpaceDN w:val="0"/>
              <w:adjustRightInd w:val="0"/>
              <w:snapToGrid w:val="0"/>
              <w:jc w:val="both"/>
              <w:rPr>
                <w:sz w:val="22"/>
                <w:szCs w:val="22"/>
              </w:rPr>
            </w:pPr>
            <w:r w:rsidRPr="00241619">
              <w:rPr>
                <w:sz w:val="22"/>
                <w:szCs w:val="22"/>
              </w:rPr>
              <w:t>Technical and Compliance Committee of the WCPFC</w:t>
            </w:r>
          </w:p>
        </w:tc>
      </w:tr>
      <w:tr w:rsidR="00DD72EF" w:rsidRPr="00241619" w14:paraId="114AD2E3"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1315D06E" w14:textId="77777777" w:rsidR="00DD72EF" w:rsidRPr="00241619" w:rsidRDefault="00DD72EF" w:rsidP="00365BEE">
            <w:pPr>
              <w:autoSpaceDE w:val="0"/>
              <w:autoSpaceDN w:val="0"/>
              <w:adjustRightInd w:val="0"/>
              <w:snapToGrid w:val="0"/>
              <w:jc w:val="both"/>
              <w:rPr>
                <w:sz w:val="22"/>
                <w:szCs w:val="22"/>
              </w:rPr>
            </w:pPr>
            <w:r w:rsidRPr="00241619">
              <w:rPr>
                <w:sz w:val="22"/>
                <w:szCs w:val="22"/>
              </w:rPr>
              <w:t>TOR</w:t>
            </w:r>
          </w:p>
        </w:tc>
        <w:tc>
          <w:tcPr>
            <w:tcW w:w="7668" w:type="dxa"/>
            <w:gridSpan w:val="3"/>
            <w:tcBorders>
              <w:top w:val="single" w:sz="4" w:space="0" w:color="auto"/>
              <w:left w:val="single" w:sz="4" w:space="0" w:color="auto"/>
              <w:bottom w:val="single" w:sz="4" w:space="0" w:color="auto"/>
              <w:right w:val="single" w:sz="4" w:space="0" w:color="auto"/>
            </w:tcBorders>
            <w:hideMark/>
          </w:tcPr>
          <w:p w14:paraId="46E9C581" w14:textId="77777777" w:rsidR="00DD72EF" w:rsidRPr="00241619" w:rsidRDefault="00DD72EF" w:rsidP="00365BEE">
            <w:pPr>
              <w:autoSpaceDE w:val="0"/>
              <w:autoSpaceDN w:val="0"/>
              <w:adjustRightInd w:val="0"/>
              <w:snapToGrid w:val="0"/>
              <w:jc w:val="both"/>
              <w:rPr>
                <w:sz w:val="22"/>
                <w:szCs w:val="22"/>
              </w:rPr>
            </w:pPr>
            <w:r w:rsidRPr="00241619">
              <w:rPr>
                <w:sz w:val="22"/>
                <w:szCs w:val="22"/>
              </w:rPr>
              <w:t>terms of reference</w:t>
            </w:r>
          </w:p>
        </w:tc>
      </w:tr>
      <w:tr w:rsidR="00DD72EF" w:rsidRPr="00241619" w14:paraId="5013CE19"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tcPr>
          <w:p w14:paraId="7E890CF4" w14:textId="77777777" w:rsidR="00DD72EF" w:rsidRPr="00241619" w:rsidRDefault="00DD72EF" w:rsidP="00365BEE">
            <w:pPr>
              <w:autoSpaceDE w:val="0"/>
              <w:autoSpaceDN w:val="0"/>
              <w:adjustRightInd w:val="0"/>
              <w:snapToGrid w:val="0"/>
              <w:jc w:val="both"/>
              <w:rPr>
                <w:sz w:val="22"/>
                <w:szCs w:val="22"/>
              </w:rPr>
            </w:pPr>
            <w:r w:rsidRPr="00241619">
              <w:rPr>
                <w:sz w:val="22"/>
                <w:szCs w:val="22"/>
              </w:rPr>
              <w:t>TRP</w:t>
            </w:r>
          </w:p>
        </w:tc>
        <w:tc>
          <w:tcPr>
            <w:tcW w:w="7668" w:type="dxa"/>
            <w:gridSpan w:val="3"/>
            <w:tcBorders>
              <w:top w:val="single" w:sz="4" w:space="0" w:color="auto"/>
              <w:left w:val="single" w:sz="4" w:space="0" w:color="auto"/>
              <w:bottom w:val="single" w:sz="4" w:space="0" w:color="auto"/>
              <w:right w:val="single" w:sz="4" w:space="0" w:color="auto"/>
            </w:tcBorders>
          </w:tcPr>
          <w:p w14:paraId="6AC2D936" w14:textId="77777777" w:rsidR="00DD72EF" w:rsidRPr="00241619" w:rsidRDefault="00DD72EF" w:rsidP="00365BEE">
            <w:pPr>
              <w:autoSpaceDE w:val="0"/>
              <w:autoSpaceDN w:val="0"/>
              <w:adjustRightInd w:val="0"/>
              <w:snapToGrid w:val="0"/>
              <w:jc w:val="both"/>
              <w:rPr>
                <w:sz w:val="22"/>
                <w:szCs w:val="22"/>
              </w:rPr>
            </w:pPr>
            <w:r w:rsidRPr="00241619">
              <w:rPr>
                <w:sz w:val="22"/>
                <w:szCs w:val="22"/>
              </w:rPr>
              <w:t>target reference point</w:t>
            </w:r>
          </w:p>
        </w:tc>
      </w:tr>
      <w:tr w:rsidR="00DD72EF" w:rsidRPr="00241619" w14:paraId="38727891"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tcPr>
          <w:p w14:paraId="22D67AFD" w14:textId="77777777" w:rsidR="00DD72EF" w:rsidRPr="00241619" w:rsidRDefault="00DD72EF" w:rsidP="00365BEE">
            <w:pPr>
              <w:autoSpaceDE w:val="0"/>
              <w:autoSpaceDN w:val="0"/>
              <w:adjustRightInd w:val="0"/>
              <w:snapToGrid w:val="0"/>
              <w:jc w:val="both"/>
              <w:rPr>
                <w:sz w:val="22"/>
                <w:szCs w:val="22"/>
              </w:rPr>
            </w:pPr>
            <w:r w:rsidRPr="00241619">
              <w:rPr>
                <w:sz w:val="22"/>
                <w:szCs w:val="22"/>
              </w:rPr>
              <w:t>TUFMAN</w:t>
            </w:r>
          </w:p>
        </w:tc>
        <w:tc>
          <w:tcPr>
            <w:tcW w:w="7668" w:type="dxa"/>
            <w:gridSpan w:val="3"/>
            <w:tcBorders>
              <w:top w:val="single" w:sz="4" w:space="0" w:color="auto"/>
              <w:left w:val="single" w:sz="4" w:space="0" w:color="auto"/>
              <w:bottom w:val="single" w:sz="4" w:space="0" w:color="auto"/>
              <w:right w:val="single" w:sz="4" w:space="0" w:color="auto"/>
            </w:tcBorders>
          </w:tcPr>
          <w:p w14:paraId="1938F096" w14:textId="77777777" w:rsidR="00DD72EF" w:rsidRPr="00241619" w:rsidRDefault="00DD72EF" w:rsidP="00365BEE">
            <w:pPr>
              <w:autoSpaceDE w:val="0"/>
              <w:autoSpaceDN w:val="0"/>
              <w:adjustRightInd w:val="0"/>
              <w:snapToGrid w:val="0"/>
              <w:jc w:val="both"/>
              <w:rPr>
                <w:sz w:val="22"/>
                <w:szCs w:val="22"/>
              </w:rPr>
            </w:pPr>
            <w:r w:rsidRPr="00241619">
              <w:rPr>
                <w:sz w:val="22"/>
                <w:szCs w:val="22"/>
              </w:rPr>
              <w:t>Tuna Fisheries Database Management System</w:t>
            </w:r>
          </w:p>
        </w:tc>
      </w:tr>
      <w:tr w:rsidR="00DD72EF" w:rsidRPr="00241619" w14:paraId="700E096C"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1A8836DC" w14:textId="77777777" w:rsidR="00DD72EF" w:rsidRPr="00241619" w:rsidRDefault="00DD72EF" w:rsidP="00365BEE">
            <w:pPr>
              <w:autoSpaceDE w:val="0"/>
              <w:autoSpaceDN w:val="0"/>
              <w:adjustRightInd w:val="0"/>
              <w:snapToGrid w:val="0"/>
              <w:jc w:val="both"/>
              <w:rPr>
                <w:sz w:val="22"/>
                <w:szCs w:val="22"/>
              </w:rPr>
            </w:pPr>
            <w:r w:rsidRPr="00241619">
              <w:rPr>
                <w:sz w:val="22"/>
                <w:szCs w:val="22"/>
              </w:rPr>
              <w:t>VBGF</w:t>
            </w:r>
          </w:p>
        </w:tc>
        <w:tc>
          <w:tcPr>
            <w:tcW w:w="7668" w:type="dxa"/>
            <w:gridSpan w:val="3"/>
            <w:tcBorders>
              <w:top w:val="single" w:sz="4" w:space="0" w:color="auto"/>
              <w:left w:val="single" w:sz="4" w:space="0" w:color="auto"/>
              <w:bottom w:val="single" w:sz="4" w:space="0" w:color="auto"/>
              <w:right w:val="single" w:sz="4" w:space="0" w:color="auto"/>
            </w:tcBorders>
            <w:hideMark/>
          </w:tcPr>
          <w:p w14:paraId="76AD43C6" w14:textId="77777777" w:rsidR="00DD72EF" w:rsidRPr="00241619" w:rsidRDefault="00DD72EF" w:rsidP="00365BEE">
            <w:pPr>
              <w:autoSpaceDE w:val="0"/>
              <w:autoSpaceDN w:val="0"/>
              <w:adjustRightInd w:val="0"/>
              <w:snapToGrid w:val="0"/>
              <w:jc w:val="both"/>
              <w:rPr>
                <w:sz w:val="22"/>
                <w:szCs w:val="22"/>
              </w:rPr>
            </w:pPr>
            <w:r w:rsidRPr="00241619">
              <w:rPr>
                <w:sz w:val="22"/>
                <w:szCs w:val="22"/>
                <w:lang w:val="en-AU"/>
              </w:rPr>
              <w:t>von Bertalanffy growth function</w:t>
            </w:r>
          </w:p>
        </w:tc>
      </w:tr>
      <w:tr w:rsidR="00DD72EF" w:rsidRPr="00241619" w14:paraId="293F760F"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tcPr>
          <w:p w14:paraId="658C763C" w14:textId="77777777" w:rsidR="00DD72EF" w:rsidRPr="00241619" w:rsidRDefault="00DD72EF" w:rsidP="00365BEE">
            <w:pPr>
              <w:autoSpaceDE w:val="0"/>
              <w:autoSpaceDN w:val="0"/>
              <w:adjustRightInd w:val="0"/>
              <w:snapToGrid w:val="0"/>
              <w:jc w:val="both"/>
              <w:rPr>
                <w:sz w:val="22"/>
                <w:szCs w:val="22"/>
              </w:rPr>
            </w:pPr>
            <w:r w:rsidRPr="00241619">
              <w:rPr>
                <w:sz w:val="22"/>
                <w:szCs w:val="22"/>
              </w:rPr>
              <w:t>VDS</w:t>
            </w:r>
          </w:p>
        </w:tc>
        <w:tc>
          <w:tcPr>
            <w:tcW w:w="7668" w:type="dxa"/>
            <w:gridSpan w:val="3"/>
            <w:tcBorders>
              <w:top w:val="single" w:sz="4" w:space="0" w:color="auto"/>
              <w:left w:val="single" w:sz="4" w:space="0" w:color="auto"/>
              <w:bottom w:val="single" w:sz="4" w:space="0" w:color="auto"/>
              <w:right w:val="single" w:sz="4" w:space="0" w:color="auto"/>
            </w:tcBorders>
          </w:tcPr>
          <w:p w14:paraId="58A0BB54" w14:textId="77777777" w:rsidR="00DD72EF" w:rsidRPr="00241619" w:rsidRDefault="00DD72EF" w:rsidP="00365BEE">
            <w:pPr>
              <w:autoSpaceDE w:val="0"/>
              <w:autoSpaceDN w:val="0"/>
              <w:adjustRightInd w:val="0"/>
              <w:snapToGrid w:val="0"/>
              <w:jc w:val="both"/>
              <w:rPr>
                <w:sz w:val="22"/>
                <w:szCs w:val="22"/>
              </w:rPr>
            </w:pPr>
            <w:r w:rsidRPr="00241619">
              <w:rPr>
                <w:sz w:val="22"/>
                <w:szCs w:val="22"/>
              </w:rPr>
              <w:t>vessel day scheme</w:t>
            </w:r>
          </w:p>
        </w:tc>
      </w:tr>
      <w:tr w:rsidR="00DD72EF" w:rsidRPr="00241619" w14:paraId="6A3D1DD1"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tcPr>
          <w:p w14:paraId="02A0F08C" w14:textId="77777777" w:rsidR="00DD72EF" w:rsidRPr="00241619" w:rsidRDefault="00DD72EF" w:rsidP="00365BEE">
            <w:pPr>
              <w:autoSpaceDE w:val="0"/>
              <w:autoSpaceDN w:val="0"/>
              <w:adjustRightInd w:val="0"/>
              <w:snapToGrid w:val="0"/>
              <w:jc w:val="both"/>
              <w:rPr>
                <w:sz w:val="22"/>
                <w:szCs w:val="22"/>
              </w:rPr>
            </w:pPr>
            <w:r w:rsidRPr="00241619">
              <w:rPr>
                <w:sz w:val="22"/>
                <w:szCs w:val="22"/>
              </w:rPr>
              <w:t>VMS</w:t>
            </w:r>
          </w:p>
        </w:tc>
        <w:tc>
          <w:tcPr>
            <w:tcW w:w="7668" w:type="dxa"/>
            <w:gridSpan w:val="3"/>
            <w:tcBorders>
              <w:top w:val="single" w:sz="4" w:space="0" w:color="auto"/>
              <w:left w:val="single" w:sz="4" w:space="0" w:color="auto"/>
              <w:bottom w:val="single" w:sz="4" w:space="0" w:color="auto"/>
              <w:right w:val="single" w:sz="4" w:space="0" w:color="auto"/>
            </w:tcBorders>
          </w:tcPr>
          <w:p w14:paraId="7338EF31" w14:textId="77777777" w:rsidR="00DD72EF" w:rsidRPr="00241619" w:rsidRDefault="00DD72EF" w:rsidP="00365BEE">
            <w:pPr>
              <w:autoSpaceDE w:val="0"/>
              <w:autoSpaceDN w:val="0"/>
              <w:adjustRightInd w:val="0"/>
              <w:snapToGrid w:val="0"/>
              <w:jc w:val="both"/>
              <w:rPr>
                <w:sz w:val="22"/>
                <w:szCs w:val="22"/>
              </w:rPr>
            </w:pPr>
            <w:r w:rsidRPr="00241619">
              <w:rPr>
                <w:sz w:val="22"/>
                <w:szCs w:val="22"/>
              </w:rPr>
              <w:t>vessel monitoring system</w:t>
            </w:r>
          </w:p>
        </w:tc>
      </w:tr>
      <w:tr w:rsidR="00DD72EF" w:rsidRPr="00241619" w14:paraId="2AC4B35E"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45ADC4CD" w14:textId="77777777" w:rsidR="00DD72EF" w:rsidRPr="00241619" w:rsidRDefault="00DD72EF" w:rsidP="00365BEE">
            <w:pPr>
              <w:autoSpaceDE w:val="0"/>
              <w:autoSpaceDN w:val="0"/>
              <w:adjustRightInd w:val="0"/>
              <w:snapToGrid w:val="0"/>
              <w:jc w:val="both"/>
              <w:rPr>
                <w:sz w:val="22"/>
                <w:szCs w:val="22"/>
              </w:rPr>
            </w:pPr>
            <w:r w:rsidRPr="00241619">
              <w:rPr>
                <w:sz w:val="22"/>
                <w:szCs w:val="22"/>
              </w:rPr>
              <w:t>WCPFC</w:t>
            </w:r>
          </w:p>
        </w:tc>
        <w:tc>
          <w:tcPr>
            <w:tcW w:w="7668" w:type="dxa"/>
            <w:gridSpan w:val="3"/>
            <w:tcBorders>
              <w:top w:val="single" w:sz="4" w:space="0" w:color="auto"/>
              <w:left w:val="single" w:sz="4" w:space="0" w:color="auto"/>
              <w:bottom w:val="single" w:sz="4" w:space="0" w:color="auto"/>
              <w:right w:val="single" w:sz="4" w:space="0" w:color="auto"/>
            </w:tcBorders>
            <w:hideMark/>
          </w:tcPr>
          <w:p w14:paraId="3663B933" w14:textId="77777777" w:rsidR="00DD72EF" w:rsidRPr="00241619" w:rsidRDefault="00DD72EF" w:rsidP="00365BEE">
            <w:pPr>
              <w:autoSpaceDE w:val="0"/>
              <w:autoSpaceDN w:val="0"/>
              <w:adjustRightInd w:val="0"/>
              <w:snapToGrid w:val="0"/>
              <w:jc w:val="both"/>
              <w:rPr>
                <w:sz w:val="22"/>
                <w:szCs w:val="22"/>
              </w:rPr>
            </w:pPr>
            <w:r w:rsidRPr="00241619">
              <w:rPr>
                <w:sz w:val="22"/>
                <w:szCs w:val="22"/>
              </w:rPr>
              <w:t>Western and Central Pacific Fisheries Commission</w:t>
            </w:r>
          </w:p>
        </w:tc>
      </w:tr>
      <w:tr w:rsidR="00DD72EF" w:rsidRPr="00241619" w14:paraId="16A02C70"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5721EED2" w14:textId="77777777" w:rsidR="00DD72EF" w:rsidRPr="00241619" w:rsidRDefault="00DD72EF" w:rsidP="00365BEE">
            <w:pPr>
              <w:autoSpaceDE w:val="0"/>
              <w:autoSpaceDN w:val="0"/>
              <w:adjustRightInd w:val="0"/>
              <w:snapToGrid w:val="0"/>
              <w:jc w:val="both"/>
              <w:rPr>
                <w:sz w:val="22"/>
                <w:szCs w:val="22"/>
              </w:rPr>
            </w:pPr>
            <w:r w:rsidRPr="00241619">
              <w:rPr>
                <w:sz w:val="22"/>
                <w:szCs w:val="22"/>
              </w:rPr>
              <w:t>WCPFC Convention Area</w:t>
            </w:r>
          </w:p>
        </w:tc>
        <w:tc>
          <w:tcPr>
            <w:tcW w:w="7668" w:type="dxa"/>
            <w:gridSpan w:val="3"/>
            <w:tcBorders>
              <w:top w:val="single" w:sz="4" w:space="0" w:color="auto"/>
              <w:left w:val="single" w:sz="4" w:space="0" w:color="auto"/>
              <w:bottom w:val="single" w:sz="4" w:space="0" w:color="auto"/>
              <w:right w:val="single" w:sz="4" w:space="0" w:color="auto"/>
            </w:tcBorders>
            <w:hideMark/>
          </w:tcPr>
          <w:p w14:paraId="4BD3C7AE" w14:textId="77777777" w:rsidR="00DD72EF" w:rsidRPr="00241619" w:rsidRDefault="00DD72EF" w:rsidP="00365BEE">
            <w:pPr>
              <w:autoSpaceDE w:val="0"/>
              <w:autoSpaceDN w:val="0"/>
              <w:adjustRightInd w:val="0"/>
              <w:snapToGrid w:val="0"/>
              <w:jc w:val="both"/>
              <w:rPr>
                <w:sz w:val="22"/>
                <w:szCs w:val="22"/>
              </w:rPr>
            </w:pPr>
            <w:r w:rsidRPr="00241619">
              <w:rPr>
                <w:sz w:val="22"/>
                <w:szCs w:val="22"/>
              </w:rPr>
              <w:t>The area of competence of the Commission for the Conservation and Management of Highly Migratory Fish Stocks in the Western and Central Pacific Ocean</w:t>
            </w:r>
          </w:p>
        </w:tc>
      </w:tr>
      <w:tr w:rsidR="00DD72EF" w:rsidRPr="00241619" w14:paraId="429AEC6D"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19D59071" w14:textId="77777777" w:rsidR="00DD72EF" w:rsidRPr="00241619" w:rsidRDefault="00DD72EF" w:rsidP="00365BEE">
            <w:pPr>
              <w:autoSpaceDE w:val="0"/>
              <w:autoSpaceDN w:val="0"/>
              <w:adjustRightInd w:val="0"/>
              <w:snapToGrid w:val="0"/>
              <w:jc w:val="both"/>
              <w:rPr>
                <w:sz w:val="22"/>
                <w:szCs w:val="22"/>
              </w:rPr>
            </w:pPr>
            <w:r w:rsidRPr="00241619">
              <w:rPr>
                <w:sz w:val="22"/>
                <w:szCs w:val="22"/>
              </w:rPr>
              <w:t>WCPFC Statistical Area</w:t>
            </w:r>
          </w:p>
        </w:tc>
        <w:tc>
          <w:tcPr>
            <w:tcW w:w="7668" w:type="dxa"/>
            <w:gridSpan w:val="3"/>
            <w:tcBorders>
              <w:top w:val="single" w:sz="4" w:space="0" w:color="auto"/>
              <w:left w:val="single" w:sz="4" w:space="0" w:color="auto"/>
              <w:bottom w:val="single" w:sz="4" w:space="0" w:color="auto"/>
              <w:right w:val="single" w:sz="4" w:space="0" w:color="auto"/>
            </w:tcBorders>
            <w:hideMark/>
          </w:tcPr>
          <w:p w14:paraId="31130B08" w14:textId="77777777" w:rsidR="00DD72EF" w:rsidRPr="00241619" w:rsidRDefault="00DD72EF" w:rsidP="00365BEE">
            <w:pPr>
              <w:autoSpaceDE w:val="0"/>
              <w:autoSpaceDN w:val="0"/>
              <w:adjustRightInd w:val="0"/>
              <w:snapToGrid w:val="0"/>
              <w:jc w:val="both"/>
              <w:rPr>
                <w:sz w:val="22"/>
                <w:szCs w:val="22"/>
              </w:rPr>
            </w:pPr>
            <w:r w:rsidRPr="00241619">
              <w:rPr>
                <w:sz w:val="22"/>
                <w:szCs w:val="22"/>
              </w:rPr>
              <w:t>The WCPFC Statistical Area is defined in para. 8 of the document “Scientific data to be provided to the Commission”</w:t>
            </w:r>
          </w:p>
        </w:tc>
      </w:tr>
      <w:tr w:rsidR="00DD72EF" w:rsidRPr="00241619" w14:paraId="0433B994"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4C6CE61E" w14:textId="77777777" w:rsidR="00DD72EF" w:rsidRPr="00241619" w:rsidRDefault="00DD72EF" w:rsidP="00365BEE">
            <w:pPr>
              <w:autoSpaceDE w:val="0"/>
              <w:autoSpaceDN w:val="0"/>
              <w:adjustRightInd w:val="0"/>
              <w:snapToGrid w:val="0"/>
              <w:jc w:val="both"/>
              <w:rPr>
                <w:sz w:val="22"/>
                <w:szCs w:val="22"/>
              </w:rPr>
            </w:pPr>
            <w:r w:rsidRPr="00241619">
              <w:rPr>
                <w:sz w:val="22"/>
                <w:szCs w:val="22"/>
              </w:rPr>
              <w:t>WCPO</w:t>
            </w:r>
          </w:p>
        </w:tc>
        <w:tc>
          <w:tcPr>
            <w:tcW w:w="7668" w:type="dxa"/>
            <w:gridSpan w:val="3"/>
            <w:tcBorders>
              <w:top w:val="single" w:sz="4" w:space="0" w:color="auto"/>
              <w:left w:val="single" w:sz="4" w:space="0" w:color="auto"/>
              <w:bottom w:val="single" w:sz="4" w:space="0" w:color="auto"/>
              <w:right w:val="single" w:sz="4" w:space="0" w:color="auto"/>
            </w:tcBorders>
            <w:hideMark/>
          </w:tcPr>
          <w:p w14:paraId="08C4E28C" w14:textId="77777777" w:rsidR="00DD72EF" w:rsidRPr="00241619" w:rsidRDefault="00DD72EF" w:rsidP="00365BEE">
            <w:pPr>
              <w:autoSpaceDE w:val="0"/>
              <w:autoSpaceDN w:val="0"/>
              <w:adjustRightInd w:val="0"/>
              <w:snapToGrid w:val="0"/>
              <w:jc w:val="both"/>
              <w:rPr>
                <w:sz w:val="22"/>
                <w:szCs w:val="22"/>
              </w:rPr>
            </w:pPr>
            <w:r w:rsidRPr="00241619">
              <w:rPr>
                <w:sz w:val="22"/>
                <w:szCs w:val="22"/>
              </w:rPr>
              <w:t>western and central Pacific Ocean</w:t>
            </w:r>
          </w:p>
        </w:tc>
      </w:tr>
      <w:tr w:rsidR="00DD72EF" w:rsidRPr="00241619" w14:paraId="7CDB9D55" w14:textId="77777777" w:rsidTr="00DD72EF">
        <w:trPr>
          <w:trHeight w:val="145"/>
        </w:trPr>
        <w:tc>
          <w:tcPr>
            <w:tcW w:w="1908" w:type="dxa"/>
            <w:tcBorders>
              <w:top w:val="single" w:sz="4" w:space="0" w:color="auto"/>
              <w:left w:val="single" w:sz="4" w:space="0" w:color="auto"/>
              <w:bottom w:val="single" w:sz="4" w:space="0" w:color="auto"/>
              <w:right w:val="single" w:sz="4" w:space="0" w:color="auto"/>
            </w:tcBorders>
            <w:hideMark/>
          </w:tcPr>
          <w:p w14:paraId="4F631664" w14:textId="77777777" w:rsidR="00DD72EF" w:rsidRPr="00241619" w:rsidRDefault="00DD72EF" w:rsidP="00365BEE">
            <w:pPr>
              <w:autoSpaceDE w:val="0"/>
              <w:autoSpaceDN w:val="0"/>
              <w:adjustRightInd w:val="0"/>
              <w:snapToGrid w:val="0"/>
              <w:jc w:val="both"/>
              <w:rPr>
                <w:sz w:val="22"/>
                <w:szCs w:val="22"/>
              </w:rPr>
            </w:pPr>
            <w:r w:rsidRPr="00241619">
              <w:rPr>
                <w:sz w:val="22"/>
                <w:szCs w:val="22"/>
              </w:rPr>
              <w:t>WG</w:t>
            </w:r>
          </w:p>
        </w:tc>
        <w:tc>
          <w:tcPr>
            <w:tcW w:w="7668" w:type="dxa"/>
            <w:gridSpan w:val="3"/>
            <w:tcBorders>
              <w:top w:val="single" w:sz="4" w:space="0" w:color="auto"/>
              <w:left w:val="single" w:sz="4" w:space="0" w:color="auto"/>
              <w:bottom w:val="single" w:sz="4" w:space="0" w:color="auto"/>
              <w:right w:val="single" w:sz="4" w:space="0" w:color="auto"/>
            </w:tcBorders>
            <w:hideMark/>
          </w:tcPr>
          <w:p w14:paraId="275ED9F0" w14:textId="77777777" w:rsidR="00DD72EF" w:rsidRPr="00241619" w:rsidRDefault="00DD72EF" w:rsidP="00365BEE">
            <w:pPr>
              <w:autoSpaceDE w:val="0"/>
              <w:autoSpaceDN w:val="0"/>
              <w:adjustRightInd w:val="0"/>
              <w:snapToGrid w:val="0"/>
              <w:jc w:val="both"/>
              <w:rPr>
                <w:sz w:val="22"/>
                <w:szCs w:val="22"/>
              </w:rPr>
            </w:pPr>
            <w:r w:rsidRPr="00241619">
              <w:rPr>
                <w:sz w:val="22"/>
                <w:szCs w:val="22"/>
              </w:rPr>
              <w:t>working group</w:t>
            </w:r>
          </w:p>
        </w:tc>
      </w:tr>
    </w:tbl>
    <w:p w14:paraId="102FBB38" w14:textId="77777777" w:rsidR="00EE2E72" w:rsidRPr="00146B98" w:rsidRDefault="00EE2E72" w:rsidP="00DD72EF">
      <w:pPr>
        <w:autoSpaceDE w:val="0"/>
        <w:autoSpaceDN w:val="0"/>
        <w:adjustRightInd w:val="0"/>
        <w:snapToGrid w:val="0"/>
        <w:jc w:val="both"/>
        <w:rPr>
          <w:sz w:val="22"/>
          <w:szCs w:val="22"/>
        </w:rPr>
      </w:pPr>
    </w:p>
    <w:sectPr w:rsidR="00EE2E72" w:rsidRPr="00146B98" w:rsidSect="00436E0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78842" w14:textId="77777777" w:rsidR="00BC5151" w:rsidRDefault="00BC5151">
      <w:r>
        <w:separator/>
      </w:r>
    </w:p>
  </w:endnote>
  <w:endnote w:type="continuationSeparator" w:id="0">
    <w:p w14:paraId="79B4BBE9" w14:textId="77777777" w:rsidR="00BC5151" w:rsidRDefault="00BC5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MR10">
    <w:altName w:val="Cambria"/>
    <w:panose1 w:val="00000000000000000000"/>
    <w:charset w:val="00"/>
    <w:family w:val="roman"/>
    <w:notTrueType/>
    <w:pitch w:val="default"/>
  </w:font>
  <w:font w:name="CMTI10">
    <w:altName w:val="Times New Roman"/>
    <w:panose1 w:val="00000000000000000000"/>
    <w:charset w:val="00"/>
    <w:family w:val="roman"/>
    <w:notTrueType/>
    <w:pitch w:val="default"/>
  </w:font>
  <w:font w:name="CMMI8">
    <w:altName w:val="Times New Roman"/>
    <w:panose1 w:val="00000000000000000000"/>
    <w:charset w:val="00"/>
    <w:family w:val="roman"/>
    <w:notTrueType/>
    <w:pitch w:val="default"/>
  </w:font>
  <w:font w:name="CMMI10">
    <w:altName w:val="Times New Roman"/>
    <w:panose1 w:val="00000000000000000000"/>
    <w:charset w:val="00"/>
    <w:family w:val="roman"/>
    <w:notTrueType/>
    <w:pitch w:val="default"/>
  </w:font>
  <w:font w:name="CMR8">
    <w:altName w:val="Times New Roman"/>
    <w:panose1 w:val="00000000000000000000"/>
    <w:charset w:val="00"/>
    <w:family w:val="roman"/>
    <w:notTrueType/>
    <w:pitch w:val="default"/>
  </w:font>
  <w:font w:name="MS PMincho">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7953112"/>
      <w:docPartObj>
        <w:docPartGallery w:val="Page Numbers (Bottom of Page)"/>
        <w:docPartUnique/>
      </w:docPartObj>
    </w:sdtPr>
    <w:sdtEndPr>
      <w:rPr>
        <w:noProof/>
      </w:rPr>
    </w:sdtEndPr>
    <w:sdtContent>
      <w:p w14:paraId="6CFB8074" w14:textId="77777777" w:rsidR="009F30CE" w:rsidRDefault="009F30CE">
        <w:pPr>
          <w:pStyle w:val="Footer"/>
          <w:jc w:val="center"/>
        </w:pPr>
        <w:r>
          <w:fldChar w:fldCharType="begin"/>
        </w:r>
        <w:r>
          <w:instrText xml:space="preserve"> PAGE   \* MERGEFORMAT </w:instrText>
        </w:r>
        <w:r>
          <w:fldChar w:fldCharType="separate"/>
        </w:r>
        <w:r w:rsidR="00A24300">
          <w:rPr>
            <w:noProof/>
          </w:rPr>
          <w:t>xxiv</w:t>
        </w:r>
        <w:r>
          <w:rPr>
            <w:noProof/>
          </w:rPr>
          <w:fldChar w:fldCharType="end"/>
        </w:r>
      </w:p>
    </w:sdtContent>
  </w:sdt>
  <w:p w14:paraId="077BE2A5" w14:textId="77777777" w:rsidR="009F30CE" w:rsidRDefault="009F30C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542962"/>
      <w:docPartObj>
        <w:docPartGallery w:val="Page Numbers (Bottom of Page)"/>
        <w:docPartUnique/>
      </w:docPartObj>
    </w:sdtPr>
    <w:sdtEndPr>
      <w:rPr>
        <w:noProof/>
      </w:rPr>
    </w:sdtEndPr>
    <w:sdtContent>
      <w:p w14:paraId="103FA26E" w14:textId="77777777" w:rsidR="009F30CE" w:rsidRDefault="009F30CE">
        <w:pPr>
          <w:pStyle w:val="Footer"/>
          <w:jc w:val="center"/>
        </w:pPr>
        <w:r>
          <w:fldChar w:fldCharType="begin"/>
        </w:r>
        <w:r>
          <w:instrText xml:space="preserve"> PAGE   \* MERGEFORMAT </w:instrText>
        </w:r>
        <w:r>
          <w:fldChar w:fldCharType="separate"/>
        </w:r>
        <w:r w:rsidR="00A24300">
          <w:rPr>
            <w:noProof/>
          </w:rPr>
          <w:t>253</w:t>
        </w:r>
        <w:r>
          <w:rPr>
            <w:noProof/>
          </w:rPr>
          <w:fldChar w:fldCharType="end"/>
        </w:r>
      </w:p>
    </w:sdtContent>
  </w:sdt>
  <w:p w14:paraId="74470E61" w14:textId="77777777" w:rsidR="009F30CE" w:rsidRDefault="009F30CE">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740593"/>
      <w:docPartObj>
        <w:docPartGallery w:val="Page Numbers (Bottom of Page)"/>
        <w:docPartUnique/>
      </w:docPartObj>
    </w:sdtPr>
    <w:sdtEndPr>
      <w:rPr>
        <w:noProof/>
      </w:rPr>
    </w:sdtEndPr>
    <w:sdtContent>
      <w:p w14:paraId="7CF8C366" w14:textId="77777777" w:rsidR="009F30CE" w:rsidRDefault="009F30CE">
        <w:pPr>
          <w:pStyle w:val="Footer"/>
          <w:jc w:val="center"/>
        </w:pPr>
        <w:r>
          <w:fldChar w:fldCharType="begin"/>
        </w:r>
        <w:r>
          <w:instrText xml:space="preserve"> PAGE   \* MERGEFORMAT </w:instrText>
        </w:r>
        <w:r>
          <w:fldChar w:fldCharType="separate"/>
        </w:r>
        <w:r w:rsidR="00A24300">
          <w:rPr>
            <w:noProof/>
          </w:rPr>
          <w:t>75</w:t>
        </w:r>
        <w:r>
          <w:rPr>
            <w:noProof/>
          </w:rPr>
          <w:fldChar w:fldCharType="end"/>
        </w:r>
      </w:p>
    </w:sdtContent>
  </w:sdt>
  <w:p w14:paraId="6E6D1205" w14:textId="77777777" w:rsidR="009F30CE" w:rsidRDefault="009F30C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1E36B" w14:textId="77777777" w:rsidR="009F30CE" w:rsidRDefault="009F30CE">
    <w:pPr>
      <w:pStyle w:val="BodyText"/>
      <w:spacing w:line="14" w:lineRule="auto"/>
      <w:rPr>
        <w:sz w:val="20"/>
      </w:rPr>
    </w:pPr>
    <w:r>
      <w:rPr>
        <w:noProof/>
        <w:lang w:val="en-US" w:eastAsia="zh-CN" w:bidi="mn-Mong-CN"/>
      </w:rPr>
      <mc:AlternateContent>
        <mc:Choice Requires="wps">
          <w:drawing>
            <wp:anchor distT="0" distB="0" distL="114300" distR="114300" simplePos="0" relativeHeight="251660800" behindDoc="1" locked="0" layoutInCell="1" allowOverlap="1" wp14:anchorId="7BEC982B" wp14:editId="3E96997D">
              <wp:simplePos x="0" y="0"/>
              <wp:positionH relativeFrom="page">
                <wp:posOffset>3785235</wp:posOffset>
              </wp:positionH>
              <wp:positionV relativeFrom="page">
                <wp:posOffset>9130665</wp:posOffset>
              </wp:positionV>
              <wp:extent cx="203200" cy="194310"/>
              <wp:effectExtent l="381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1FA50" w14:textId="77777777" w:rsidR="009F30CE" w:rsidRDefault="009F30CE">
                          <w:pPr>
                            <w:pStyle w:val="BodyText"/>
                            <w:spacing w:before="10"/>
                            <w:ind w:left="40"/>
                          </w:pPr>
                          <w:r>
                            <w:fldChar w:fldCharType="begin"/>
                          </w:r>
                          <w:r>
                            <w:instrText xml:space="preserve"> PAGE </w:instrText>
                          </w:r>
                          <w:r>
                            <w:fldChar w:fldCharType="separate"/>
                          </w:r>
                          <w:r w:rsidR="00A24300">
                            <w:rPr>
                              <w:noProof/>
                            </w:rPr>
                            <w:t>86</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C982B" id="_x0000_t202" coordsize="21600,21600" o:spt="202" path="m,l,21600r21600,l21600,xe">
              <v:stroke joinstyle="miter"/>
              <v:path gradientshapeok="t" o:connecttype="rect"/>
            </v:shapetype>
            <v:shape id="Text Box 1" o:spid="_x0000_s1040" type="#_x0000_t202" style="position:absolute;left:0;text-align:left;margin-left:298.05pt;margin-top:718.95pt;width:16pt;height:15.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1uV5Q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" filled="f" stroked="f">
              <v:textbox inset="0,0,0,0">
                <w:txbxContent>
                  <w:p w14:paraId="47F1FA50" w14:textId="77777777" w:rsidR="009F30CE" w:rsidRDefault="009F30CE">
                    <w:pPr>
                      <w:pStyle w:val="BodyText"/>
                      <w:spacing w:before="10"/>
                      <w:ind w:left="40"/>
                    </w:pPr>
                    <w:r>
                      <w:fldChar w:fldCharType="begin"/>
                    </w:r>
                    <w:r>
                      <w:instrText xml:space="preserve"> PAGE </w:instrText>
                    </w:r>
                    <w:r>
                      <w:fldChar w:fldCharType="separate"/>
                    </w:r>
                    <w:r w:rsidR="00A24300">
                      <w:rPr>
                        <w:noProof/>
                      </w:rPr>
                      <w:t>86</w:t>
                    </w:r>
                    <w:r>
                      <w:rPr>
                        <w:noProof/>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4042889"/>
      <w:docPartObj>
        <w:docPartGallery w:val="Page Numbers (Bottom of Page)"/>
        <w:docPartUnique/>
      </w:docPartObj>
    </w:sdtPr>
    <w:sdtEndPr>
      <w:rPr>
        <w:noProof/>
      </w:rPr>
    </w:sdtEndPr>
    <w:sdtContent>
      <w:p w14:paraId="6E9B4B9E" w14:textId="77777777" w:rsidR="009F30CE" w:rsidRDefault="009F30CE" w:rsidP="00D41635">
        <w:pPr>
          <w:pStyle w:val="Footer"/>
          <w:jc w:val="center"/>
        </w:pPr>
        <w:r>
          <w:fldChar w:fldCharType="begin"/>
        </w:r>
        <w:r>
          <w:instrText xml:space="preserve"> PAGE   \* MERGEFORMAT </w:instrText>
        </w:r>
        <w:r>
          <w:fldChar w:fldCharType="separate"/>
        </w:r>
        <w:r w:rsidR="00A24300">
          <w:rPr>
            <w:noProof/>
          </w:rPr>
          <w:t>110</w:t>
        </w:r>
        <w:r>
          <w:rPr>
            <w:noProof/>
          </w:rPr>
          <w:fldChar w:fldCharType="end"/>
        </w:r>
      </w:p>
    </w:sdtContent>
  </w:sdt>
  <w:p w14:paraId="56B0DC7D" w14:textId="77777777" w:rsidR="009F30CE" w:rsidRDefault="009F30C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28E2A" w14:textId="77777777" w:rsidR="009F30CE" w:rsidRDefault="009F30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40</w:t>
    </w:r>
    <w:r>
      <w:rPr>
        <w:rStyle w:val="PageNumber"/>
      </w:rPr>
      <w:fldChar w:fldCharType="end"/>
    </w:r>
  </w:p>
  <w:p w14:paraId="29B4C690" w14:textId="77777777" w:rsidR="009F30CE" w:rsidRDefault="009F30C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931C5" w14:textId="77777777" w:rsidR="009F30CE" w:rsidRDefault="009F30CE" w:rsidP="00D41635">
    <w:pPr>
      <w:pStyle w:val="Footer"/>
      <w:jc w:val="center"/>
    </w:pPr>
  </w:p>
  <w:p w14:paraId="33175A1D" w14:textId="77777777" w:rsidR="009F30CE" w:rsidRPr="00D41635" w:rsidRDefault="00BC5151" w:rsidP="00D41635">
    <w:pPr>
      <w:pStyle w:val="Footer"/>
      <w:jc w:val="center"/>
    </w:pPr>
    <w:sdt>
      <w:sdtPr>
        <w:id w:val="628364667"/>
        <w:docPartObj>
          <w:docPartGallery w:val="Page Numbers (Bottom of Page)"/>
          <w:docPartUnique/>
        </w:docPartObj>
      </w:sdtPr>
      <w:sdtEndPr/>
      <w:sdtContent>
        <w:r w:rsidR="009F30CE" w:rsidRPr="00D41635">
          <w:rPr>
            <w:sz w:val="22"/>
            <w:szCs w:val="22"/>
          </w:rPr>
          <w:fldChar w:fldCharType="begin"/>
        </w:r>
        <w:r w:rsidR="009F30CE" w:rsidRPr="00D41635">
          <w:rPr>
            <w:sz w:val="22"/>
            <w:szCs w:val="22"/>
          </w:rPr>
          <w:instrText xml:space="preserve"> PAGE   \* MERGEFORMAT </w:instrText>
        </w:r>
        <w:r w:rsidR="009F30CE" w:rsidRPr="00D41635">
          <w:rPr>
            <w:sz w:val="22"/>
            <w:szCs w:val="22"/>
          </w:rPr>
          <w:fldChar w:fldCharType="separate"/>
        </w:r>
        <w:r w:rsidR="00A24300">
          <w:rPr>
            <w:noProof/>
            <w:sz w:val="22"/>
            <w:szCs w:val="22"/>
          </w:rPr>
          <w:t>111</w:t>
        </w:r>
        <w:r w:rsidR="009F30CE" w:rsidRPr="00D41635">
          <w:rPr>
            <w:sz w:val="22"/>
            <w:szCs w:val="22"/>
          </w:rPr>
          <w:fldChar w:fldCharType="end"/>
        </w:r>
      </w:sdtContent>
    </w:sdt>
  </w:p>
  <w:p w14:paraId="21E8D4A4" w14:textId="77777777" w:rsidR="009F30CE" w:rsidRDefault="009F30CE">
    <w:pPr>
      <w:pStyle w:val="Footer"/>
      <w:jc w:val="center"/>
    </w:pPr>
  </w:p>
  <w:p w14:paraId="7C3263B4" w14:textId="77777777" w:rsidR="009F30CE" w:rsidRDefault="009F30C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16991" w14:textId="77777777" w:rsidR="009F30CE" w:rsidRDefault="009F30CE">
    <w:pPr>
      <w:pStyle w:val="Footer"/>
      <w:jc w:val="center"/>
    </w:pPr>
    <w:r>
      <w:fldChar w:fldCharType="begin"/>
    </w:r>
    <w:r>
      <w:instrText xml:space="preserve"> PAGE   \* MERGEFORMAT </w:instrText>
    </w:r>
    <w:r>
      <w:fldChar w:fldCharType="separate"/>
    </w:r>
    <w:r w:rsidR="00A24300">
      <w:rPr>
        <w:noProof/>
      </w:rPr>
      <w:t>185</w:t>
    </w:r>
    <w:r>
      <w:rPr>
        <w:noProof/>
      </w:rPr>
      <w:fldChar w:fldCharType="end"/>
    </w:r>
  </w:p>
  <w:p w14:paraId="674BC520" w14:textId="77777777" w:rsidR="009F30CE" w:rsidRDefault="009F30C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480332"/>
      <w:docPartObj>
        <w:docPartGallery w:val="Page Numbers (Bottom of Page)"/>
        <w:docPartUnique/>
      </w:docPartObj>
    </w:sdtPr>
    <w:sdtEndPr/>
    <w:sdtContent>
      <w:p w14:paraId="1A638650" w14:textId="77777777" w:rsidR="009F30CE" w:rsidRDefault="009F30CE">
        <w:pPr>
          <w:pStyle w:val="Footer"/>
          <w:jc w:val="center"/>
        </w:pPr>
        <w:r>
          <w:fldChar w:fldCharType="begin"/>
        </w:r>
        <w:r>
          <w:instrText xml:space="preserve"> PAGE   \* MERGEFORMAT </w:instrText>
        </w:r>
        <w:r>
          <w:fldChar w:fldCharType="separate"/>
        </w:r>
        <w:r w:rsidR="00A24300">
          <w:rPr>
            <w:noProof/>
          </w:rPr>
          <w:t>213</w:t>
        </w:r>
        <w:r>
          <w:rPr>
            <w:noProof/>
          </w:rPr>
          <w:fldChar w:fldCharType="end"/>
        </w:r>
      </w:p>
    </w:sdtContent>
  </w:sdt>
  <w:p w14:paraId="77245E63" w14:textId="77777777" w:rsidR="009F30CE" w:rsidRDefault="009F30C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413241"/>
      <w:docPartObj>
        <w:docPartGallery w:val="Page Numbers (Bottom of Page)"/>
        <w:docPartUnique/>
      </w:docPartObj>
    </w:sdtPr>
    <w:sdtEndPr>
      <w:rPr>
        <w:noProof/>
      </w:rPr>
    </w:sdtEndPr>
    <w:sdtContent>
      <w:p w14:paraId="1997D572" w14:textId="77777777" w:rsidR="009F30CE" w:rsidRDefault="009F30CE">
        <w:pPr>
          <w:pStyle w:val="Footer"/>
          <w:jc w:val="center"/>
        </w:pPr>
        <w:r>
          <w:fldChar w:fldCharType="begin"/>
        </w:r>
        <w:r>
          <w:instrText xml:space="preserve"> PAGE   \* MERGEFORMAT </w:instrText>
        </w:r>
        <w:r>
          <w:fldChar w:fldCharType="separate"/>
        </w:r>
        <w:r>
          <w:rPr>
            <w:noProof/>
          </w:rPr>
          <w:t>116</w:t>
        </w:r>
        <w:r>
          <w:rPr>
            <w:noProof/>
          </w:rPr>
          <w:fldChar w:fldCharType="end"/>
        </w:r>
      </w:p>
    </w:sdtContent>
  </w:sdt>
  <w:p w14:paraId="70E443E3" w14:textId="77777777" w:rsidR="009F30CE" w:rsidRDefault="009F3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4FE00" w14:textId="77777777" w:rsidR="00BC5151" w:rsidRDefault="00BC5151">
      <w:r>
        <w:separator/>
      </w:r>
    </w:p>
  </w:footnote>
  <w:footnote w:type="continuationSeparator" w:id="0">
    <w:p w14:paraId="6229D380" w14:textId="77777777" w:rsidR="00BC5151" w:rsidRDefault="00BC5151">
      <w:r>
        <w:continuationSeparator/>
      </w:r>
    </w:p>
  </w:footnote>
  <w:footnote w:id="1">
    <w:p w14:paraId="328B3198" w14:textId="77777777" w:rsidR="009F30CE" w:rsidRDefault="009F30CE" w:rsidP="003D217E">
      <w:pPr>
        <w:pStyle w:val="FootnoteText"/>
      </w:pPr>
      <w:r>
        <w:rPr>
          <w:rStyle w:val="FootnoteReference"/>
        </w:rPr>
        <w:footnoteRef/>
      </w:r>
      <w:r>
        <w:t xml:space="preserve"> The </w:t>
      </w:r>
      <w:r w:rsidRPr="000F755B">
        <w:t xml:space="preserve">IATTC </w:t>
      </w:r>
      <w:r>
        <w:t>has adopted the first rebuilding target, the second target is to be discussed at a future IATTC meeting</w:t>
      </w:r>
      <w:r w:rsidRPr="000F755B">
        <w:t>.</w:t>
      </w:r>
    </w:p>
  </w:footnote>
  <w:footnote w:id="2">
    <w:p w14:paraId="20FA5E40" w14:textId="77777777" w:rsidR="009F30CE" w:rsidRPr="00923094" w:rsidRDefault="009F30CE" w:rsidP="003D217E">
      <w:pPr>
        <w:pStyle w:val="FootnoteText"/>
        <w:rPr>
          <w:sz w:val="18"/>
          <w:szCs w:val="18"/>
          <w:lang w:eastAsia="ko-KR"/>
        </w:rPr>
      </w:pPr>
      <w:r w:rsidRPr="0049142C">
        <w:rPr>
          <w:rStyle w:val="FootnoteReference"/>
          <w:sz w:val="22"/>
          <w:szCs w:val="22"/>
        </w:rPr>
        <w:footnoteRef/>
      </w:r>
      <w:r w:rsidRPr="0049142C">
        <w:rPr>
          <w:sz w:val="22"/>
          <w:szCs w:val="22"/>
        </w:rPr>
        <w:t xml:space="preserve"> </w:t>
      </w:r>
      <w:r w:rsidRPr="00923094">
        <w:rPr>
          <w:rFonts w:hint="eastAsia"/>
          <w:sz w:val="18"/>
          <w:szCs w:val="18"/>
          <w:lang w:eastAsia="ko-KR"/>
        </w:rPr>
        <w:t xml:space="preserve">Revised terms of reference for this </w:t>
      </w:r>
      <w:r w:rsidRPr="00923094">
        <w:rPr>
          <w:sz w:val="18"/>
          <w:szCs w:val="18"/>
          <w:lang w:eastAsia="ko-KR"/>
        </w:rPr>
        <w:t>resourcing includes:</w:t>
      </w:r>
    </w:p>
    <w:p w14:paraId="3FFE8269" w14:textId="77777777" w:rsidR="009F30CE" w:rsidRPr="00923094" w:rsidRDefault="009F30CE" w:rsidP="00580EA4">
      <w:pPr>
        <w:pStyle w:val="ListParagraph"/>
        <w:numPr>
          <w:ilvl w:val="0"/>
          <w:numId w:val="47"/>
        </w:numPr>
        <w:rPr>
          <w:sz w:val="18"/>
          <w:szCs w:val="18"/>
        </w:rPr>
      </w:pPr>
      <w:r>
        <w:rPr>
          <w:sz w:val="18"/>
          <w:szCs w:val="18"/>
        </w:rPr>
        <w:t>f</w:t>
      </w:r>
      <w:r w:rsidRPr="00923094">
        <w:rPr>
          <w:sz w:val="18"/>
          <w:szCs w:val="18"/>
        </w:rPr>
        <w:t xml:space="preserve">urther development of MULTIFAN-CL to support </w:t>
      </w:r>
      <w:r>
        <w:rPr>
          <w:sz w:val="18"/>
          <w:szCs w:val="18"/>
        </w:rPr>
        <w:t xml:space="preserve">the </w:t>
      </w:r>
      <w:r w:rsidRPr="00923094">
        <w:rPr>
          <w:sz w:val="18"/>
          <w:szCs w:val="18"/>
        </w:rPr>
        <w:t>Management Strategy Evaluation and the Harvest Strategy development process</w:t>
      </w:r>
      <w:r>
        <w:rPr>
          <w:sz w:val="18"/>
          <w:szCs w:val="18"/>
        </w:rPr>
        <w:t>;</w:t>
      </w:r>
    </w:p>
    <w:p w14:paraId="21DDC2B9" w14:textId="77777777" w:rsidR="009F30CE" w:rsidRPr="00923094" w:rsidRDefault="009F30CE" w:rsidP="00580EA4">
      <w:pPr>
        <w:pStyle w:val="ListParagraph"/>
        <w:numPr>
          <w:ilvl w:val="0"/>
          <w:numId w:val="47"/>
        </w:numPr>
        <w:rPr>
          <w:sz w:val="18"/>
          <w:szCs w:val="18"/>
        </w:rPr>
      </w:pPr>
      <w:r>
        <w:rPr>
          <w:sz w:val="18"/>
          <w:szCs w:val="18"/>
        </w:rPr>
        <w:t>f</w:t>
      </w:r>
      <w:r w:rsidRPr="00923094">
        <w:rPr>
          <w:sz w:val="18"/>
          <w:szCs w:val="18"/>
        </w:rPr>
        <w:t>urther enhancement of MULTIFAN-CL and its use in stock assessment to implement SC recommendations</w:t>
      </w:r>
      <w:r>
        <w:rPr>
          <w:sz w:val="18"/>
          <w:szCs w:val="18"/>
        </w:rPr>
        <w:t>;</w:t>
      </w:r>
      <w:r w:rsidRPr="00923094">
        <w:rPr>
          <w:sz w:val="18"/>
          <w:szCs w:val="18"/>
        </w:rPr>
        <w:t xml:space="preserve"> </w:t>
      </w:r>
    </w:p>
    <w:p w14:paraId="5383FF1C" w14:textId="77777777" w:rsidR="009F30CE" w:rsidRPr="00923094" w:rsidRDefault="009F30CE" w:rsidP="00580EA4">
      <w:pPr>
        <w:pStyle w:val="ListParagraph"/>
        <w:numPr>
          <w:ilvl w:val="0"/>
          <w:numId w:val="47"/>
        </w:numPr>
        <w:rPr>
          <w:sz w:val="18"/>
          <w:szCs w:val="18"/>
        </w:rPr>
      </w:pPr>
      <w:r>
        <w:rPr>
          <w:sz w:val="18"/>
          <w:szCs w:val="18"/>
        </w:rPr>
        <w:t xml:space="preserve">maintenance </w:t>
      </w:r>
      <w:r w:rsidRPr="00923094">
        <w:rPr>
          <w:sz w:val="18"/>
          <w:szCs w:val="18"/>
        </w:rPr>
        <w:t>and further develop</w:t>
      </w:r>
      <w:r>
        <w:rPr>
          <w:sz w:val="18"/>
          <w:szCs w:val="18"/>
        </w:rPr>
        <w:t>ment of</w:t>
      </w:r>
      <w:r w:rsidRPr="00923094">
        <w:rPr>
          <w:sz w:val="18"/>
          <w:szCs w:val="18"/>
        </w:rPr>
        <w:t xml:space="preserve"> the MULTIFAN-CL website to facilitate access to software and support</w:t>
      </w:r>
      <w:r>
        <w:rPr>
          <w:sz w:val="18"/>
          <w:szCs w:val="18"/>
        </w:rPr>
        <w:t xml:space="preserve">; and </w:t>
      </w:r>
    </w:p>
    <w:p w14:paraId="09DEAF17" w14:textId="77777777" w:rsidR="009F30CE" w:rsidRPr="00923094" w:rsidRDefault="009F30CE" w:rsidP="00580EA4">
      <w:pPr>
        <w:pStyle w:val="ListParagraph"/>
        <w:numPr>
          <w:ilvl w:val="0"/>
          <w:numId w:val="47"/>
        </w:numPr>
        <w:rPr>
          <w:sz w:val="18"/>
          <w:szCs w:val="18"/>
        </w:rPr>
      </w:pPr>
      <w:r>
        <w:rPr>
          <w:sz w:val="18"/>
          <w:szCs w:val="18"/>
        </w:rPr>
        <w:t>i</w:t>
      </w:r>
      <w:r w:rsidRPr="00923094">
        <w:rPr>
          <w:sz w:val="18"/>
          <w:szCs w:val="18"/>
        </w:rPr>
        <w:t>mplement</w:t>
      </w:r>
      <w:r>
        <w:rPr>
          <w:sz w:val="18"/>
          <w:szCs w:val="18"/>
        </w:rPr>
        <w:t>ation</w:t>
      </w:r>
      <w:r w:rsidRPr="00923094">
        <w:rPr>
          <w:sz w:val="18"/>
          <w:szCs w:val="18"/>
        </w:rPr>
        <w:t xml:space="preserve"> </w:t>
      </w:r>
      <w:r>
        <w:rPr>
          <w:sz w:val="18"/>
          <w:szCs w:val="18"/>
        </w:rPr>
        <w:t xml:space="preserve">of </w:t>
      </w:r>
      <w:r w:rsidRPr="00923094">
        <w:rPr>
          <w:sz w:val="18"/>
          <w:szCs w:val="18"/>
        </w:rPr>
        <w:t xml:space="preserve">a formal framework for management of MULTIFAN-CL code updates, testing </w:t>
      </w:r>
      <w:r>
        <w:rPr>
          <w:sz w:val="18"/>
          <w:szCs w:val="18"/>
        </w:rPr>
        <w:t xml:space="preserve">of </w:t>
      </w:r>
      <w:r w:rsidRPr="00923094">
        <w:rPr>
          <w:sz w:val="18"/>
          <w:szCs w:val="18"/>
        </w:rPr>
        <w:t xml:space="preserve">new developments, </w:t>
      </w:r>
      <w:r>
        <w:rPr>
          <w:sz w:val="18"/>
          <w:szCs w:val="18"/>
        </w:rPr>
        <w:t xml:space="preserve">and </w:t>
      </w:r>
      <w:r w:rsidRPr="00923094">
        <w:rPr>
          <w:sz w:val="18"/>
          <w:szCs w:val="18"/>
        </w:rPr>
        <w:t xml:space="preserve">updating </w:t>
      </w:r>
      <w:r>
        <w:rPr>
          <w:sz w:val="18"/>
          <w:szCs w:val="18"/>
        </w:rPr>
        <w:t xml:space="preserve">of </w:t>
      </w:r>
      <w:r w:rsidRPr="00923094">
        <w:rPr>
          <w:sz w:val="18"/>
          <w:szCs w:val="18"/>
        </w:rPr>
        <w:t>the users’ guide</w:t>
      </w:r>
      <w:r>
        <w:rPr>
          <w:sz w:val="18"/>
          <w:szCs w:val="18"/>
        </w:rPr>
        <w:t>.</w:t>
      </w:r>
    </w:p>
    <w:p w14:paraId="3EEFB7A2" w14:textId="77777777" w:rsidR="009F30CE" w:rsidRPr="00EB02D7" w:rsidRDefault="009F30CE" w:rsidP="003D217E">
      <w:pPr>
        <w:pStyle w:val="FootnoteText"/>
        <w:rPr>
          <w:sz w:val="24"/>
          <w:szCs w:val="24"/>
          <w:lang w:val="en-AU" w:eastAsia="ko-KR"/>
        </w:rPr>
      </w:pPr>
    </w:p>
  </w:footnote>
  <w:footnote w:id="3">
    <w:p w14:paraId="0D649720" w14:textId="77777777" w:rsidR="009F30CE" w:rsidRDefault="009F30CE" w:rsidP="00DC52CB">
      <w:pPr>
        <w:pStyle w:val="FootnoteText"/>
      </w:pPr>
      <w:r>
        <w:rPr>
          <w:rStyle w:val="FootnoteReference"/>
        </w:rPr>
        <w:footnoteRef/>
      </w:r>
      <w:r>
        <w:t xml:space="preserve"> The </w:t>
      </w:r>
      <w:r w:rsidRPr="000F755B">
        <w:t xml:space="preserve">IATTC </w:t>
      </w:r>
      <w:r>
        <w:t>has adopted the first rebuilding target, the second target is to be discussed at a future IATTC meeting</w:t>
      </w:r>
      <w:r w:rsidRPr="000F755B">
        <w:t>.</w:t>
      </w:r>
    </w:p>
  </w:footnote>
  <w:footnote w:id="4">
    <w:p w14:paraId="67064EDC" w14:textId="77777777" w:rsidR="009F30CE" w:rsidRDefault="009F30CE">
      <w:pPr>
        <w:pStyle w:val="FootnoteText"/>
      </w:pPr>
      <w:r>
        <w:rPr>
          <w:rStyle w:val="FootnoteReference"/>
        </w:rPr>
        <w:footnoteRef/>
      </w:r>
      <w:r>
        <w:t xml:space="preserve"> </w:t>
      </w:r>
      <w:r w:rsidRPr="004334BB">
        <w:rPr>
          <w:sz w:val="18"/>
          <w:szCs w:val="18"/>
        </w:rPr>
        <w:t xml:space="preserve">Joung, S.J., Chen, C.T., Lee, H.H. &amp; Liu, K.M. 2008. Age, growth, and reproduction of silky sharks, </w:t>
      </w:r>
      <w:r w:rsidRPr="004334BB">
        <w:rPr>
          <w:i/>
          <w:sz w:val="18"/>
          <w:szCs w:val="18"/>
        </w:rPr>
        <w:t>Carcharhinus falciformis</w:t>
      </w:r>
      <w:r w:rsidRPr="004334BB">
        <w:rPr>
          <w:sz w:val="18"/>
          <w:szCs w:val="18"/>
        </w:rPr>
        <w:t>, in northeastern Taiwan waters. Fisheries Research, 90(1–3): 78–85.</w:t>
      </w:r>
    </w:p>
  </w:footnote>
  <w:footnote w:id="5">
    <w:p w14:paraId="780C3C83" w14:textId="77777777" w:rsidR="009F30CE" w:rsidRDefault="009F30CE">
      <w:pPr>
        <w:pStyle w:val="FootnoteText"/>
      </w:pPr>
      <w:r>
        <w:rPr>
          <w:rStyle w:val="FootnoteReference"/>
        </w:rPr>
        <w:footnoteRef/>
      </w:r>
      <w:r>
        <w:t xml:space="preserve"> </w:t>
      </w:r>
      <w:r w:rsidRPr="0041022C">
        <w:t>Then, A. Y., Hoenig, J. M., Hall, N. G., and Hewitt, D. A. 2015. Evaluating the predictive performance of empirical estimators of natural mortality rate using information on over 200 fish species. ICES Journal of Marine Science, 72: 82–92.</w:t>
      </w:r>
    </w:p>
  </w:footnote>
  <w:footnote w:id="6">
    <w:p w14:paraId="087A71B1" w14:textId="77777777" w:rsidR="009F30CE" w:rsidRDefault="009F30CE">
      <w:pPr>
        <w:pStyle w:val="FootnoteText"/>
      </w:pPr>
      <w:r>
        <w:rPr>
          <w:rStyle w:val="FootnoteReference"/>
        </w:rPr>
        <w:footnoteRef/>
      </w:r>
      <w:r>
        <w:t xml:space="preserve"> </w:t>
      </w:r>
      <w:r w:rsidRPr="00691C17">
        <w:rPr>
          <w:vertAlign w:val="superscript"/>
        </w:rPr>
        <w:footnoteRef/>
      </w:r>
      <w:r w:rsidRPr="00691C17">
        <w:t xml:space="preserve"> Kai, M., Fujinami, Y. 2018. Stock-recruitment relationships in elasmobranchs: Application to the North Pacific blue shark. Fish Res Mangel, M. et al. 2010. A perspective on steepness, reference points, and stock assessment. CJFAS</w:t>
      </w:r>
    </w:p>
  </w:footnote>
  <w:footnote w:id="7">
    <w:p w14:paraId="5C684FC4" w14:textId="77777777" w:rsidR="009F30CE" w:rsidRPr="0060702C" w:rsidRDefault="009F30CE" w:rsidP="009E3F13">
      <w:pPr>
        <w:pStyle w:val="FootnoteText"/>
        <w:rPr>
          <w:lang w:val="en-AU"/>
        </w:rPr>
      </w:pPr>
      <w:r>
        <w:rPr>
          <w:rStyle w:val="FootnoteReference"/>
        </w:rPr>
        <w:footnoteRef/>
      </w:r>
      <w:r>
        <w:t xml:space="preserve"> </w:t>
      </w:r>
      <w:r>
        <w:rPr>
          <w:lang w:val="en-AU"/>
        </w:rPr>
        <w:t>Spatial Ecosystem And POpulation DY</w:t>
      </w:r>
      <w:r w:rsidRPr="0060702C">
        <w:rPr>
          <w:lang w:val="en-AU"/>
        </w:rPr>
        <w:t>namics Model</w:t>
      </w:r>
      <w:r>
        <w:rPr>
          <w:lang w:val="en-AU"/>
        </w:rPr>
        <w:t xml:space="preserve"> (SEAPODYM)</w:t>
      </w:r>
    </w:p>
  </w:footnote>
  <w:footnote w:id="8">
    <w:p w14:paraId="28C90273" w14:textId="77777777" w:rsidR="009F30CE" w:rsidRPr="00923094" w:rsidRDefault="009F30CE" w:rsidP="001F2446">
      <w:pPr>
        <w:pStyle w:val="FootnoteText"/>
        <w:rPr>
          <w:sz w:val="18"/>
          <w:szCs w:val="18"/>
          <w:lang w:eastAsia="ko-KR"/>
        </w:rPr>
      </w:pPr>
      <w:r w:rsidRPr="0049142C">
        <w:rPr>
          <w:rStyle w:val="FootnoteReference"/>
          <w:sz w:val="22"/>
          <w:szCs w:val="22"/>
        </w:rPr>
        <w:footnoteRef/>
      </w:r>
      <w:r w:rsidRPr="0049142C">
        <w:rPr>
          <w:sz w:val="22"/>
          <w:szCs w:val="22"/>
        </w:rPr>
        <w:t xml:space="preserve"> </w:t>
      </w:r>
      <w:r w:rsidRPr="00923094">
        <w:rPr>
          <w:rFonts w:hint="eastAsia"/>
          <w:sz w:val="18"/>
          <w:szCs w:val="18"/>
          <w:lang w:eastAsia="ko-KR"/>
        </w:rPr>
        <w:t xml:space="preserve">Revised terms of reference for this </w:t>
      </w:r>
      <w:r w:rsidRPr="00923094">
        <w:rPr>
          <w:sz w:val="18"/>
          <w:szCs w:val="18"/>
          <w:lang w:eastAsia="ko-KR"/>
        </w:rPr>
        <w:t>resourcing includes:</w:t>
      </w:r>
    </w:p>
    <w:p w14:paraId="426FAD00" w14:textId="77777777" w:rsidR="009F30CE" w:rsidRPr="00923094" w:rsidRDefault="009F30CE" w:rsidP="00580EA4">
      <w:pPr>
        <w:pStyle w:val="ListParagraph"/>
        <w:numPr>
          <w:ilvl w:val="0"/>
          <w:numId w:val="47"/>
        </w:numPr>
        <w:rPr>
          <w:sz w:val="18"/>
          <w:szCs w:val="18"/>
        </w:rPr>
      </w:pPr>
      <w:r>
        <w:rPr>
          <w:sz w:val="18"/>
          <w:szCs w:val="18"/>
        </w:rPr>
        <w:t>f</w:t>
      </w:r>
      <w:r w:rsidRPr="00923094">
        <w:rPr>
          <w:sz w:val="18"/>
          <w:szCs w:val="18"/>
        </w:rPr>
        <w:t xml:space="preserve">urther development of MULTIFAN-CL to support </w:t>
      </w:r>
      <w:r>
        <w:rPr>
          <w:sz w:val="18"/>
          <w:szCs w:val="18"/>
        </w:rPr>
        <w:t xml:space="preserve">the </w:t>
      </w:r>
      <w:r w:rsidRPr="00923094">
        <w:rPr>
          <w:sz w:val="18"/>
          <w:szCs w:val="18"/>
        </w:rPr>
        <w:t>Management Strategy Evaluation and the Harvest Strategy development process</w:t>
      </w:r>
      <w:r>
        <w:rPr>
          <w:sz w:val="18"/>
          <w:szCs w:val="18"/>
        </w:rPr>
        <w:t>;</w:t>
      </w:r>
    </w:p>
    <w:p w14:paraId="514CADD1" w14:textId="77777777" w:rsidR="009F30CE" w:rsidRPr="00923094" w:rsidRDefault="009F30CE" w:rsidP="00580EA4">
      <w:pPr>
        <w:pStyle w:val="ListParagraph"/>
        <w:numPr>
          <w:ilvl w:val="0"/>
          <w:numId w:val="47"/>
        </w:numPr>
        <w:rPr>
          <w:sz w:val="18"/>
          <w:szCs w:val="18"/>
        </w:rPr>
      </w:pPr>
      <w:r>
        <w:rPr>
          <w:sz w:val="18"/>
          <w:szCs w:val="18"/>
        </w:rPr>
        <w:t>f</w:t>
      </w:r>
      <w:r w:rsidRPr="00923094">
        <w:rPr>
          <w:sz w:val="18"/>
          <w:szCs w:val="18"/>
        </w:rPr>
        <w:t>urther enhancement of MULTIFAN-CL and its use in stock assessment to implement SC recommendations</w:t>
      </w:r>
      <w:r>
        <w:rPr>
          <w:sz w:val="18"/>
          <w:szCs w:val="18"/>
        </w:rPr>
        <w:t>;</w:t>
      </w:r>
      <w:r w:rsidRPr="00923094">
        <w:rPr>
          <w:sz w:val="18"/>
          <w:szCs w:val="18"/>
        </w:rPr>
        <w:t xml:space="preserve"> </w:t>
      </w:r>
    </w:p>
    <w:p w14:paraId="05B51C72" w14:textId="77777777" w:rsidR="009F30CE" w:rsidRPr="00923094" w:rsidRDefault="009F30CE" w:rsidP="00580EA4">
      <w:pPr>
        <w:pStyle w:val="ListParagraph"/>
        <w:numPr>
          <w:ilvl w:val="0"/>
          <w:numId w:val="47"/>
        </w:numPr>
        <w:rPr>
          <w:sz w:val="18"/>
          <w:szCs w:val="18"/>
        </w:rPr>
      </w:pPr>
      <w:r>
        <w:rPr>
          <w:sz w:val="18"/>
          <w:szCs w:val="18"/>
        </w:rPr>
        <w:t xml:space="preserve">maintenance </w:t>
      </w:r>
      <w:r w:rsidRPr="00923094">
        <w:rPr>
          <w:sz w:val="18"/>
          <w:szCs w:val="18"/>
        </w:rPr>
        <w:t>and further develop</w:t>
      </w:r>
      <w:r>
        <w:rPr>
          <w:sz w:val="18"/>
          <w:szCs w:val="18"/>
        </w:rPr>
        <w:t>ment of</w:t>
      </w:r>
      <w:r w:rsidRPr="00923094">
        <w:rPr>
          <w:sz w:val="18"/>
          <w:szCs w:val="18"/>
        </w:rPr>
        <w:t xml:space="preserve"> the MULTIFAN-CL website to facilitate access to software and support</w:t>
      </w:r>
      <w:r>
        <w:rPr>
          <w:sz w:val="18"/>
          <w:szCs w:val="18"/>
        </w:rPr>
        <w:t xml:space="preserve">; and </w:t>
      </w:r>
    </w:p>
    <w:p w14:paraId="1010FC03" w14:textId="77777777" w:rsidR="009F30CE" w:rsidRPr="00923094" w:rsidRDefault="009F30CE" w:rsidP="00580EA4">
      <w:pPr>
        <w:pStyle w:val="ListParagraph"/>
        <w:numPr>
          <w:ilvl w:val="0"/>
          <w:numId w:val="47"/>
        </w:numPr>
        <w:rPr>
          <w:sz w:val="18"/>
          <w:szCs w:val="18"/>
        </w:rPr>
      </w:pPr>
      <w:r>
        <w:rPr>
          <w:sz w:val="18"/>
          <w:szCs w:val="18"/>
        </w:rPr>
        <w:t>i</w:t>
      </w:r>
      <w:r w:rsidRPr="00923094">
        <w:rPr>
          <w:sz w:val="18"/>
          <w:szCs w:val="18"/>
        </w:rPr>
        <w:t>mplement</w:t>
      </w:r>
      <w:r>
        <w:rPr>
          <w:sz w:val="18"/>
          <w:szCs w:val="18"/>
        </w:rPr>
        <w:t>ation</w:t>
      </w:r>
      <w:r w:rsidRPr="00923094">
        <w:rPr>
          <w:sz w:val="18"/>
          <w:szCs w:val="18"/>
        </w:rPr>
        <w:t xml:space="preserve"> </w:t>
      </w:r>
      <w:r>
        <w:rPr>
          <w:sz w:val="18"/>
          <w:szCs w:val="18"/>
        </w:rPr>
        <w:t xml:space="preserve">of </w:t>
      </w:r>
      <w:r w:rsidRPr="00923094">
        <w:rPr>
          <w:sz w:val="18"/>
          <w:szCs w:val="18"/>
        </w:rPr>
        <w:t xml:space="preserve">a formal framework for management of MULTIFAN-CL code updates, testing </w:t>
      </w:r>
      <w:r>
        <w:rPr>
          <w:sz w:val="18"/>
          <w:szCs w:val="18"/>
        </w:rPr>
        <w:t xml:space="preserve">of </w:t>
      </w:r>
      <w:r w:rsidRPr="00923094">
        <w:rPr>
          <w:sz w:val="18"/>
          <w:szCs w:val="18"/>
        </w:rPr>
        <w:t xml:space="preserve">new developments, </w:t>
      </w:r>
      <w:r>
        <w:rPr>
          <w:sz w:val="18"/>
          <w:szCs w:val="18"/>
        </w:rPr>
        <w:t xml:space="preserve">and </w:t>
      </w:r>
      <w:r w:rsidRPr="00923094">
        <w:rPr>
          <w:sz w:val="18"/>
          <w:szCs w:val="18"/>
        </w:rPr>
        <w:t xml:space="preserve">updating </w:t>
      </w:r>
      <w:r>
        <w:rPr>
          <w:sz w:val="18"/>
          <w:szCs w:val="18"/>
        </w:rPr>
        <w:t xml:space="preserve">of </w:t>
      </w:r>
      <w:r w:rsidRPr="00923094">
        <w:rPr>
          <w:sz w:val="18"/>
          <w:szCs w:val="18"/>
        </w:rPr>
        <w:t>the users’ guide</w:t>
      </w:r>
      <w:r>
        <w:rPr>
          <w:sz w:val="18"/>
          <w:szCs w:val="18"/>
        </w:rPr>
        <w:t>.</w:t>
      </w:r>
    </w:p>
    <w:p w14:paraId="76A0B436" w14:textId="77777777" w:rsidR="009F30CE" w:rsidRPr="00EB02D7" w:rsidRDefault="009F30CE" w:rsidP="001F2446">
      <w:pPr>
        <w:pStyle w:val="FootnoteText"/>
        <w:rPr>
          <w:sz w:val="24"/>
          <w:szCs w:val="24"/>
          <w:lang w:val="en-AU" w:eastAsia="ko-KR"/>
        </w:rPr>
      </w:pPr>
    </w:p>
  </w:footnote>
  <w:footnote w:id="9">
    <w:p w14:paraId="0E2E7381" w14:textId="77777777" w:rsidR="009F30CE" w:rsidRPr="00FF4084" w:rsidRDefault="009F30CE" w:rsidP="00D41635">
      <w:pPr>
        <w:pStyle w:val="FootnoteText"/>
        <w:rPr>
          <w:lang w:val="en-AU"/>
        </w:rPr>
      </w:pPr>
      <w:r>
        <w:rPr>
          <w:rStyle w:val="FootnoteReference"/>
        </w:rPr>
        <w:footnoteRef/>
      </w:r>
      <w:r>
        <w:t xml:space="preserve"> </w:t>
      </w:r>
      <w:r w:rsidRPr="00FF4084">
        <w:t>The draft workplan was outlined in WCPFC12-2015-DP09_rev1 and is reviewed and updated annually by the Commission as a permanent agenda item</w:t>
      </w:r>
      <w:r>
        <w:t>.</w:t>
      </w:r>
    </w:p>
  </w:footnote>
  <w:footnote w:id="10">
    <w:p w14:paraId="2711E751" w14:textId="77777777" w:rsidR="009F30CE" w:rsidRPr="004E0149" w:rsidRDefault="009F30CE" w:rsidP="00D41635">
      <w:pPr>
        <w:pStyle w:val="FootnoteText"/>
        <w:rPr>
          <w:rFonts w:eastAsia="Malgun Gothic"/>
          <w:lang w:eastAsia="ko-KR"/>
        </w:rPr>
      </w:pPr>
      <w:r w:rsidRPr="004E0149">
        <w:rPr>
          <w:rStyle w:val="FootnoteReference"/>
        </w:rPr>
        <w:footnoteRef/>
      </w:r>
      <w:r w:rsidRPr="004E0149">
        <w:t xml:space="preserve"> The Commission may establish such other subsidiary bodies as it deems necessary for the exercise of its functions, including working groups for the purpose of examining technical issues relating to particular species or stocks and reporting thereon to the Commission</w:t>
      </w:r>
      <w:r w:rsidRPr="004E0149">
        <w:rPr>
          <w:rFonts w:eastAsia="Malgun Gothic" w:hint="eastAsia"/>
          <w:lang w:eastAsia="ko-KR"/>
        </w:rPr>
        <w:t>.</w:t>
      </w:r>
    </w:p>
  </w:footnote>
  <w:footnote w:id="11">
    <w:p w14:paraId="74E3E4E4" w14:textId="77777777" w:rsidR="009F30CE" w:rsidRDefault="009F30CE" w:rsidP="00BA3E50">
      <w:pPr>
        <w:pStyle w:val="FootnoteText"/>
      </w:pPr>
      <w:r>
        <w:rPr>
          <w:sz w:val="28"/>
          <w:szCs w:val="28"/>
          <w:vertAlign w:val="superscript"/>
        </w:rPr>
        <w:footnoteRef/>
      </w:r>
      <w:r>
        <w:rPr>
          <w:rFonts w:eastAsia="Arial Unicode MS" w:cs="Arial Unicode MS"/>
        </w:rPr>
        <w:t xml:space="preserve"> These guidelines are appropriate for live individuals of shark species to be released under no-retention policies as well as any other live sharks to be released voluntarily. </w:t>
      </w:r>
    </w:p>
  </w:footnote>
  <w:footnote w:id="12">
    <w:p w14:paraId="65D0F031" w14:textId="77777777" w:rsidR="009F30CE" w:rsidRDefault="009F30CE" w:rsidP="00BA3E50">
      <w:pPr>
        <w:pStyle w:val="FootnoteText"/>
      </w:pPr>
      <w:r>
        <w:rPr>
          <w:rStyle w:val="FootnoteReference"/>
        </w:rPr>
        <w:footnoteRef/>
      </w:r>
      <w:r>
        <w:rPr>
          <w:rFonts w:eastAsia="Arial Unicode MS" w:cs="Arial Unicode MS"/>
        </w:rPr>
        <w:t xml:space="preserve"> As recommended in document SC8-EB-IP-12 (Poisson et al. 2012)</w:t>
      </w:r>
    </w:p>
  </w:footnote>
  <w:footnote w:id="13">
    <w:p w14:paraId="1B9B8143" w14:textId="77777777" w:rsidR="009F30CE" w:rsidRPr="00BA3E50" w:rsidRDefault="009F30CE" w:rsidP="00BA3E50">
      <w:pPr>
        <w:pStyle w:val="FootnoteText"/>
        <w:rPr>
          <w:sz w:val="18"/>
          <w:szCs w:val="18"/>
          <w:lang w:eastAsia="ko-KR"/>
        </w:rPr>
      </w:pPr>
      <w:r w:rsidRPr="00BA3E50">
        <w:rPr>
          <w:rStyle w:val="FootnoteReference"/>
          <w:sz w:val="18"/>
          <w:szCs w:val="18"/>
        </w:rPr>
        <w:footnoteRef/>
      </w:r>
      <w:r w:rsidRPr="00BA3E50">
        <w:rPr>
          <w:sz w:val="18"/>
          <w:szCs w:val="18"/>
        </w:rPr>
        <w:t xml:space="preserve"> </w:t>
      </w:r>
      <w:r w:rsidRPr="00BA3E50">
        <w:rPr>
          <w:rFonts w:hint="eastAsia"/>
          <w:sz w:val="18"/>
          <w:szCs w:val="18"/>
          <w:lang w:eastAsia="ko-KR"/>
        </w:rPr>
        <w:t xml:space="preserve">Revised terms of reference for this </w:t>
      </w:r>
      <w:r w:rsidRPr="00BA3E50">
        <w:rPr>
          <w:sz w:val="18"/>
          <w:szCs w:val="18"/>
          <w:lang w:eastAsia="ko-KR"/>
        </w:rPr>
        <w:t>resourcing includes:</w:t>
      </w:r>
    </w:p>
    <w:p w14:paraId="37BAABAD" w14:textId="77777777" w:rsidR="009F30CE" w:rsidRPr="00BA3E50" w:rsidRDefault="009F30CE" w:rsidP="00580EA4">
      <w:pPr>
        <w:pStyle w:val="ListParagraph"/>
        <w:numPr>
          <w:ilvl w:val="0"/>
          <w:numId w:val="47"/>
        </w:numPr>
        <w:rPr>
          <w:sz w:val="18"/>
          <w:szCs w:val="18"/>
        </w:rPr>
      </w:pPr>
      <w:r w:rsidRPr="00BA3E50">
        <w:rPr>
          <w:sz w:val="18"/>
          <w:szCs w:val="18"/>
        </w:rPr>
        <w:t>Further development of MULTIFAN-CL to support Management Strategy Evaluation and the Harvest Strategy development process</w:t>
      </w:r>
    </w:p>
    <w:p w14:paraId="0F58D881" w14:textId="77777777" w:rsidR="009F30CE" w:rsidRPr="00BA3E50" w:rsidRDefault="009F30CE" w:rsidP="00580EA4">
      <w:pPr>
        <w:pStyle w:val="ListParagraph"/>
        <w:numPr>
          <w:ilvl w:val="0"/>
          <w:numId w:val="47"/>
        </w:numPr>
        <w:rPr>
          <w:sz w:val="18"/>
          <w:szCs w:val="18"/>
        </w:rPr>
      </w:pPr>
      <w:r w:rsidRPr="00BA3E50">
        <w:rPr>
          <w:sz w:val="18"/>
          <w:szCs w:val="18"/>
        </w:rPr>
        <w:t xml:space="preserve">Further enhancement of MULTIFAN-CL and its use in stock assessment to implement SC recommendations </w:t>
      </w:r>
    </w:p>
    <w:p w14:paraId="5E76795F" w14:textId="77777777" w:rsidR="009F30CE" w:rsidRPr="00BA3E50" w:rsidRDefault="009F30CE" w:rsidP="00580EA4">
      <w:pPr>
        <w:pStyle w:val="ListParagraph"/>
        <w:numPr>
          <w:ilvl w:val="0"/>
          <w:numId w:val="47"/>
        </w:numPr>
        <w:rPr>
          <w:sz w:val="18"/>
          <w:szCs w:val="18"/>
        </w:rPr>
      </w:pPr>
      <w:r w:rsidRPr="00BA3E50">
        <w:rPr>
          <w:sz w:val="18"/>
          <w:szCs w:val="18"/>
        </w:rPr>
        <w:t>Maintain and further develop the MULTIFAN-CL website to facilitate access to software and support</w:t>
      </w:r>
    </w:p>
    <w:p w14:paraId="021B074F" w14:textId="77777777" w:rsidR="009F30CE" w:rsidRPr="00BA3E50" w:rsidRDefault="009F30CE" w:rsidP="00580EA4">
      <w:pPr>
        <w:pStyle w:val="ListParagraph"/>
        <w:numPr>
          <w:ilvl w:val="0"/>
          <w:numId w:val="47"/>
        </w:numPr>
        <w:rPr>
          <w:sz w:val="18"/>
          <w:szCs w:val="18"/>
        </w:rPr>
      </w:pPr>
      <w:r w:rsidRPr="00BA3E50">
        <w:rPr>
          <w:sz w:val="18"/>
          <w:szCs w:val="18"/>
        </w:rPr>
        <w:t>Implement a formal framework for management of MULTIFAN-CL code updates, testing new developments, updating the users’ guide</w:t>
      </w:r>
    </w:p>
    <w:p w14:paraId="61F41459" w14:textId="77777777" w:rsidR="009F30CE" w:rsidRPr="00EB02D7" w:rsidRDefault="009F30CE" w:rsidP="00BA3E50">
      <w:pPr>
        <w:pStyle w:val="FootnoteText"/>
        <w:rPr>
          <w:sz w:val="24"/>
          <w:szCs w:val="24"/>
          <w:lang w:val="en-AU" w:eastAsia="ko-KR"/>
        </w:rPr>
      </w:pPr>
    </w:p>
  </w:footnote>
  <w:footnote w:id="14">
    <w:p w14:paraId="6BBD9271" w14:textId="77777777" w:rsidR="009F30CE" w:rsidRPr="00BA3E50" w:rsidRDefault="009F30CE" w:rsidP="00BA3E50">
      <w:pPr>
        <w:pStyle w:val="FootnoteText"/>
        <w:rPr>
          <w:rFonts w:eastAsia="MS Mincho"/>
          <w:sz w:val="18"/>
          <w:szCs w:val="18"/>
          <w:highlight w:val="yellow"/>
          <w:lang w:eastAsia="ja-JP"/>
        </w:rPr>
      </w:pPr>
      <w:r w:rsidRPr="00BA3E50">
        <w:rPr>
          <w:rStyle w:val="FootnoteReference"/>
          <w:sz w:val="18"/>
          <w:szCs w:val="18"/>
        </w:rPr>
        <w:footnoteRef/>
      </w:r>
      <w:r w:rsidRPr="00BA3E50">
        <w:rPr>
          <w:sz w:val="18"/>
          <w:szCs w:val="18"/>
        </w:rPr>
        <w:t xml:space="preserve"> </w:t>
      </w:r>
      <w:r w:rsidRPr="00BA3E50">
        <w:rPr>
          <w:rFonts w:eastAsia="MS Mincho"/>
          <w:sz w:val="18"/>
          <w:szCs w:val="18"/>
          <w:lang w:eastAsia="ja-JP"/>
        </w:rPr>
        <w:t>This budget has been updated based on costs in 2016, 2017 and 2018 to date.</w:t>
      </w:r>
    </w:p>
  </w:footnote>
  <w:footnote w:id="15">
    <w:p w14:paraId="62A7F069" w14:textId="77777777" w:rsidR="009F30CE" w:rsidRPr="00BA3E50" w:rsidRDefault="009F30CE" w:rsidP="00BA3E50">
      <w:pPr>
        <w:adjustRightInd w:val="0"/>
        <w:snapToGrid w:val="0"/>
        <w:rPr>
          <w:sz w:val="18"/>
          <w:szCs w:val="18"/>
        </w:rPr>
      </w:pPr>
      <w:r w:rsidRPr="00BA3E50">
        <w:rPr>
          <w:rStyle w:val="FootnoteReference"/>
          <w:sz w:val="18"/>
          <w:szCs w:val="18"/>
        </w:rPr>
        <w:footnoteRef/>
      </w:r>
      <w:r w:rsidRPr="00BA3E50">
        <w:rPr>
          <w:sz w:val="18"/>
          <w:szCs w:val="18"/>
        </w:rPr>
        <w:t xml:space="preserve"> Note that it is intended that paired spill/grab sampling trips will only continue for the next 2-3 years at a rate of 4-6 trips per year. The additional data would give a much better understanding of between-brail variability in size, and whether it does vary between different set types - the smaller bin size and more frequent sampling adopoted at SC14 should give a much more informative dataset. Further, if there are differences in between-brail variability between free schools and associated sets, the additional data are needed to get more robust estimates of association-specific grab sample bias.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91491" w14:textId="77777777" w:rsidR="009F30CE" w:rsidRPr="00146282" w:rsidRDefault="009F30CE" w:rsidP="00B6380A">
    <w:pPr>
      <w:pStyle w:val="Header"/>
      <w:jc w:val="right"/>
      <w:rPr>
        <w:b/>
        <w:lang w:val="en-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F154B" w14:textId="77777777" w:rsidR="009F30CE" w:rsidRDefault="009F30C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AE6F7" w14:textId="77777777" w:rsidR="009F30CE" w:rsidRDefault="009F30CE">
    <w:pPr>
      <w:pStyle w:val="Header"/>
    </w:pPr>
    <w:r>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44D07" w14:textId="77777777" w:rsidR="009F30CE" w:rsidRDefault="009F30CE">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AA2"/>
    <w:multiLevelType w:val="multilevel"/>
    <w:tmpl w:val="0409001D"/>
    <w:styleLink w:val="SCList"/>
    <w:lvl w:ilvl="0">
      <w:start w:val="1"/>
      <w:numFmt w:val="decimal"/>
      <w:lvlText w:val="%1)"/>
      <w:lvlJc w:val="left"/>
      <w:pPr>
        <w:ind w:left="360" w:hanging="360"/>
      </w:pPr>
      <w:rPr>
        <w:rFonts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0E33ED3"/>
    <w:multiLevelType w:val="hybridMultilevel"/>
    <w:tmpl w:val="943C2A76"/>
    <w:lvl w:ilvl="0" w:tplc="04090017">
      <w:start w:val="1"/>
      <w:numFmt w:val="lowerLetter"/>
      <w:lvlText w:val="%1)"/>
      <w:lvlJc w:val="left"/>
      <w:pPr>
        <w:ind w:left="1287" w:hanging="360"/>
      </w:pPr>
    </w:lvl>
    <w:lvl w:ilvl="1" w:tplc="5882E174">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27C70C9"/>
    <w:multiLevelType w:val="hybridMultilevel"/>
    <w:tmpl w:val="2076D110"/>
    <w:styleLink w:val="ImportedStyle4"/>
    <w:lvl w:ilvl="0" w:tplc="F1DAD29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E21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8A2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6605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A4FA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62BF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88D29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0E5F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6624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358691C"/>
    <w:multiLevelType w:val="hybridMultilevel"/>
    <w:tmpl w:val="639CF3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4A8543A"/>
    <w:multiLevelType w:val="multilevel"/>
    <w:tmpl w:val="0254AF38"/>
    <w:lvl w:ilvl="0">
      <w:start w:val="4"/>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5" w15:restartNumberingAfterBreak="0">
    <w:nsid w:val="05FB2DB2"/>
    <w:multiLevelType w:val="hybridMultilevel"/>
    <w:tmpl w:val="FB7ED6A0"/>
    <w:lvl w:ilvl="0" w:tplc="BA12F5D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06051E3D"/>
    <w:multiLevelType w:val="hybridMultilevel"/>
    <w:tmpl w:val="2A28A4B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06702801"/>
    <w:multiLevelType w:val="hybridMultilevel"/>
    <w:tmpl w:val="43F0B786"/>
    <w:lvl w:ilvl="0" w:tplc="0590CF7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8DA370D"/>
    <w:multiLevelType w:val="multilevel"/>
    <w:tmpl w:val="5E3EDFB4"/>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A185C69"/>
    <w:multiLevelType w:val="multilevel"/>
    <w:tmpl w:val="BA444B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0A744118"/>
    <w:multiLevelType w:val="hybridMultilevel"/>
    <w:tmpl w:val="CCE4CD54"/>
    <w:lvl w:ilvl="0" w:tplc="6A5E046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FD242E"/>
    <w:multiLevelType w:val="hybridMultilevel"/>
    <w:tmpl w:val="626A1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E864E48"/>
    <w:multiLevelType w:val="hybridMultilevel"/>
    <w:tmpl w:val="EB8262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0E9B0CE7"/>
    <w:multiLevelType w:val="hybridMultilevel"/>
    <w:tmpl w:val="6562EF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CF3BEF"/>
    <w:multiLevelType w:val="hybridMultilevel"/>
    <w:tmpl w:val="17EAECF8"/>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104976F2"/>
    <w:multiLevelType w:val="multilevel"/>
    <w:tmpl w:val="D2F6D5F4"/>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0823DA"/>
    <w:multiLevelType w:val="multilevel"/>
    <w:tmpl w:val="43EAC5B4"/>
    <w:lvl w:ilvl="0">
      <w:start w:val="4"/>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3EB4B4F"/>
    <w:multiLevelType w:val="hybridMultilevel"/>
    <w:tmpl w:val="941A37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13EB5995"/>
    <w:multiLevelType w:val="hybridMultilevel"/>
    <w:tmpl w:val="53D0C57A"/>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51E66EA6">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4C33074"/>
    <w:multiLevelType w:val="hybridMultilevel"/>
    <w:tmpl w:val="1D221E9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4D42EDC"/>
    <w:multiLevelType w:val="hybridMultilevel"/>
    <w:tmpl w:val="EFC2816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16D51E40"/>
    <w:multiLevelType w:val="multilevel"/>
    <w:tmpl w:val="734486EC"/>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99B032A"/>
    <w:multiLevelType w:val="hybridMultilevel"/>
    <w:tmpl w:val="14C8C586"/>
    <w:lvl w:ilvl="0" w:tplc="59CC474A">
      <w:numFmt w:val="bullet"/>
      <w:lvlText w:val=""/>
      <w:lvlJc w:val="left"/>
      <w:pPr>
        <w:ind w:left="420" w:hanging="360"/>
      </w:pPr>
      <w:rPr>
        <w:rFonts w:ascii="Symbol" w:eastAsia="Symbol" w:hAnsi="Symbol" w:cs="Symbol" w:hint="default"/>
        <w:w w:val="100"/>
        <w:sz w:val="22"/>
        <w:szCs w:val="22"/>
      </w:rPr>
    </w:lvl>
    <w:lvl w:ilvl="1" w:tplc="481CBBF4">
      <w:numFmt w:val="bullet"/>
      <w:lvlText w:val="•"/>
      <w:lvlJc w:val="left"/>
      <w:pPr>
        <w:ind w:left="1072" w:hanging="360"/>
      </w:pPr>
      <w:rPr>
        <w:rFonts w:hint="default"/>
      </w:rPr>
    </w:lvl>
    <w:lvl w:ilvl="2" w:tplc="1F28871A">
      <w:numFmt w:val="bullet"/>
      <w:lvlText w:val="•"/>
      <w:lvlJc w:val="left"/>
      <w:pPr>
        <w:ind w:left="1724" w:hanging="360"/>
      </w:pPr>
      <w:rPr>
        <w:rFonts w:hint="default"/>
      </w:rPr>
    </w:lvl>
    <w:lvl w:ilvl="3" w:tplc="75F24FDC">
      <w:numFmt w:val="bullet"/>
      <w:lvlText w:val="•"/>
      <w:lvlJc w:val="left"/>
      <w:pPr>
        <w:ind w:left="2376" w:hanging="360"/>
      </w:pPr>
      <w:rPr>
        <w:rFonts w:hint="default"/>
      </w:rPr>
    </w:lvl>
    <w:lvl w:ilvl="4" w:tplc="1D8A8F2A">
      <w:numFmt w:val="bullet"/>
      <w:lvlText w:val="•"/>
      <w:lvlJc w:val="left"/>
      <w:pPr>
        <w:ind w:left="3028" w:hanging="360"/>
      </w:pPr>
      <w:rPr>
        <w:rFonts w:hint="default"/>
      </w:rPr>
    </w:lvl>
    <w:lvl w:ilvl="5" w:tplc="E0E42E26">
      <w:numFmt w:val="bullet"/>
      <w:lvlText w:val="•"/>
      <w:lvlJc w:val="left"/>
      <w:pPr>
        <w:ind w:left="3680" w:hanging="360"/>
      </w:pPr>
      <w:rPr>
        <w:rFonts w:hint="default"/>
      </w:rPr>
    </w:lvl>
    <w:lvl w:ilvl="6" w:tplc="C490645E">
      <w:numFmt w:val="bullet"/>
      <w:lvlText w:val="•"/>
      <w:lvlJc w:val="left"/>
      <w:pPr>
        <w:ind w:left="4332" w:hanging="360"/>
      </w:pPr>
      <w:rPr>
        <w:rFonts w:hint="default"/>
      </w:rPr>
    </w:lvl>
    <w:lvl w:ilvl="7" w:tplc="CDDACB4C">
      <w:numFmt w:val="bullet"/>
      <w:lvlText w:val="•"/>
      <w:lvlJc w:val="left"/>
      <w:pPr>
        <w:ind w:left="4984" w:hanging="360"/>
      </w:pPr>
      <w:rPr>
        <w:rFonts w:hint="default"/>
      </w:rPr>
    </w:lvl>
    <w:lvl w:ilvl="8" w:tplc="DA0E09E2">
      <w:numFmt w:val="bullet"/>
      <w:lvlText w:val="•"/>
      <w:lvlJc w:val="left"/>
      <w:pPr>
        <w:ind w:left="5636" w:hanging="360"/>
      </w:pPr>
      <w:rPr>
        <w:rFonts w:hint="default"/>
      </w:rPr>
    </w:lvl>
  </w:abstractNum>
  <w:abstractNum w:abstractNumId="28" w15:restartNumberingAfterBreak="0">
    <w:nsid w:val="19B73512"/>
    <w:multiLevelType w:val="hybridMultilevel"/>
    <w:tmpl w:val="1C843844"/>
    <w:lvl w:ilvl="0" w:tplc="5B485018">
      <w:start w:val="1"/>
      <w:numFmt w:val="decimal"/>
      <w:lvlText w:val="%1."/>
      <w:lvlJc w:val="left"/>
      <w:pPr>
        <w:tabs>
          <w:tab w:val="num" w:pos="1080"/>
        </w:tabs>
        <w:ind w:left="1080" w:hanging="360"/>
      </w:pPr>
    </w:lvl>
    <w:lvl w:ilvl="1" w:tplc="14090017">
      <w:start w:val="1"/>
      <w:numFmt w:val="lowerLetter"/>
      <w:lvlText w:val="%2)"/>
      <w:lvlJc w:val="left"/>
      <w:pPr>
        <w:tabs>
          <w:tab w:val="num" w:pos="1800"/>
        </w:tabs>
        <w:ind w:left="1800" w:hanging="360"/>
      </w:pPr>
    </w:lvl>
    <w:lvl w:ilvl="2" w:tplc="D698FDD6">
      <w:start w:val="2"/>
      <w:numFmt w:val="lowerLetter"/>
      <w:lvlText w:val="%3."/>
      <w:lvlJc w:val="left"/>
      <w:pPr>
        <w:ind w:left="2520" w:hanging="360"/>
      </w:pPr>
      <w:rPr>
        <w:rFonts w:hint="default"/>
      </w:rPr>
    </w:lvl>
    <w:lvl w:ilvl="3" w:tplc="A93E4E48" w:tentative="1">
      <w:start w:val="1"/>
      <w:numFmt w:val="decimal"/>
      <w:lvlText w:val="%4."/>
      <w:lvlJc w:val="left"/>
      <w:pPr>
        <w:tabs>
          <w:tab w:val="num" w:pos="3240"/>
        </w:tabs>
        <w:ind w:left="3240" w:hanging="360"/>
      </w:pPr>
    </w:lvl>
    <w:lvl w:ilvl="4" w:tplc="7C1480F2" w:tentative="1">
      <w:start w:val="1"/>
      <w:numFmt w:val="decimal"/>
      <w:lvlText w:val="%5."/>
      <w:lvlJc w:val="left"/>
      <w:pPr>
        <w:tabs>
          <w:tab w:val="num" w:pos="3960"/>
        </w:tabs>
        <w:ind w:left="3960" w:hanging="360"/>
      </w:pPr>
    </w:lvl>
    <w:lvl w:ilvl="5" w:tplc="34A618A2" w:tentative="1">
      <w:start w:val="1"/>
      <w:numFmt w:val="decimal"/>
      <w:lvlText w:val="%6."/>
      <w:lvlJc w:val="left"/>
      <w:pPr>
        <w:tabs>
          <w:tab w:val="num" w:pos="4680"/>
        </w:tabs>
        <w:ind w:left="4680" w:hanging="360"/>
      </w:pPr>
    </w:lvl>
    <w:lvl w:ilvl="6" w:tplc="454CC70A" w:tentative="1">
      <w:start w:val="1"/>
      <w:numFmt w:val="decimal"/>
      <w:lvlText w:val="%7."/>
      <w:lvlJc w:val="left"/>
      <w:pPr>
        <w:tabs>
          <w:tab w:val="num" w:pos="5400"/>
        </w:tabs>
        <w:ind w:left="5400" w:hanging="360"/>
      </w:pPr>
    </w:lvl>
    <w:lvl w:ilvl="7" w:tplc="3F8406C4" w:tentative="1">
      <w:start w:val="1"/>
      <w:numFmt w:val="decimal"/>
      <w:lvlText w:val="%8."/>
      <w:lvlJc w:val="left"/>
      <w:pPr>
        <w:tabs>
          <w:tab w:val="num" w:pos="6120"/>
        </w:tabs>
        <w:ind w:left="6120" w:hanging="360"/>
      </w:pPr>
    </w:lvl>
    <w:lvl w:ilvl="8" w:tplc="C67405CA" w:tentative="1">
      <w:start w:val="1"/>
      <w:numFmt w:val="decimal"/>
      <w:lvlText w:val="%9."/>
      <w:lvlJc w:val="left"/>
      <w:pPr>
        <w:tabs>
          <w:tab w:val="num" w:pos="6840"/>
        </w:tabs>
        <w:ind w:left="6840" w:hanging="360"/>
      </w:pPr>
    </w:lvl>
  </w:abstractNum>
  <w:abstractNum w:abstractNumId="29" w15:restartNumberingAfterBreak="0">
    <w:nsid w:val="19BA2F56"/>
    <w:multiLevelType w:val="hybridMultilevel"/>
    <w:tmpl w:val="436CF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B4431D9"/>
    <w:multiLevelType w:val="hybridMultilevel"/>
    <w:tmpl w:val="F7F882B0"/>
    <w:lvl w:ilvl="0" w:tplc="06A66126">
      <w:numFmt w:val="bullet"/>
      <w:lvlText w:val=""/>
      <w:lvlJc w:val="left"/>
      <w:pPr>
        <w:ind w:left="420" w:hanging="360"/>
      </w:pPr>
      <w:rPr>
        <w:rFonts w:ascii="Symbol" w:eastAsia="Symbol" w:hAnsi="Symbol" w:cs="Symbol" w:hint="default"/>
        <w:w w:val="100"/>
        <w:sz w:val="22"/>
        <w:szCs w:val="22"/>
      </w:rPr>
    </w:lvl>
    <w:lvl w:ilvl="1" w:tplc="724EB4EC">
      <w:numFmt w:val="bullet"/>
      <w:lvlText w:val="•"/>
      <w:lvlJc w:val="left"/>
      <w:pPr>
        <w:ind w:left="1126" w:hanging="360"/>
      </w:pPr>
      <w:rPr>
        <w:rFonts w:hint="default"/>
      </w:rPr>
    </w:lvl>
    <w:lvl w:ilvl="2" w:tplc="6B6A452C">
      <w:numFmt w:val="bullet"/>
      <w:lvlText w:val="•"/>
      <w:lvlJc w:val="left"/>
      <w:pPr>
        <w:ind w:left="1832" w:hanging="360"/>
      </w:pPr>
      <w:rPr>
        <w:rFonts w:hint="default"/>
      </w:rPr>
    </w:lvl>
    <w:lvl w:ilvl="3" w:tplc="21B22756">
      <w:numFmt w:val="bullet"/>
      <w:lvlText w:val="•"/>
      <w:lvlJc w:val="left"/>
      <w:pPr>
        <w:ind w:left="2538" w:hanging="360"/>
      </w:pPr>
      <w:rPr>
        <w:rFonts w:hint="default"/>
      </w:rPr>
    </w:lvl>
    <w:lvl w:ilvl="4" w:tplc="5ABAEF44">
      <w:numFmt w:val="bullet"/>
      <w:lvlText w:val="•"/>
      <w:lvlJc w:val="left"/>
      <w:pPr>
        <w:ind w:left="3244" w:hanging="360"/>
      </w:pPr>
      <w:rPr>
        <w:rFonts w:hint="default"/>
      </w:rPr>
    </w:lvl>
    <w:lvl w:ilvl="5" w:tplc="B61E43EE">
      <w:numFmt w:val="bullet"/>
      <w:lvlText w:val="•"/>
      <w:lvlJc w:val="left"/>
      <w:pPr>
        <w:ind w:left="3951" w:hanging="360"/>
      </w:pPr>
      <w:rPr>
        <w:rFonts w:hint="default"/>
      </w:rPr>
    </w:lvl>
    <w:lvl w:ilvl="6" w:tplc="6A3CEC68">
      <w:numFmt w:val="bullet"/>
      <w:lvlText w:val="•"/>
      <w:lvlJc w:val="left"/>
      <w:pPr>
        <w:ind w:left="4657" w:hanging="360"/>
      </w:pPr>
      <w:rPr>
        <w:rFonts w:hint="default"/>
      </w:rPr>
    </w:lvl>
    <w:lvl w:ilvl="7" w:tplc="0AC21C66">
      <w:numFmt w:val="bullet"/>
      <w:lvlText w:val="•"/>
      <w:lvlJc w:val="left"/>
      <w:pPr>
        <w:ind w:left="5363" w:hanging="360"/>
      </w:pPr>
      <w:rPr>
        <w:rFonts w:hint="default"/>
      </w:rPr>
    </w:lvl>
    <w:lvl w:ilvl="8" w:tplc="D104101A">
      <w:numFmt w:val="bullet"/>
      <w:lvlText w:val="•"/>
      <w:lvlJc w:val="left"/>
      <w:pPr>
        <w:ind w:left="6069" w:hanging="360"/>
      </w:pPr>
      <w:rPr>
        <w:rFonts w:hint="default"/>
      </w:rPr>
    </w:lvl>
  </w:abstractNum>
  <w:abstractNum w:abstractNumId="31" w15:restartNumberingAfterBreak="0">
    <w:nsid w:val="1B6A57F3"/>
    <w:multiLevelType w:val="hybridMultilevel"/>
    <w:tmpl w:val="A0569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C5D64FE"/>
    <w:multiLevelType w:val="hybridMultilevel"/>
    <w:tmpl w:val="5C7EC3D6"/>
    <w:lvl w:ilvl="0" w:tplc="7E92433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1D0449E3"/>
    <w:multiLevelType w:val="hybridMultilevel"/>
    <w:tmpl w:val="915882C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1D864B2D"/>
    <w:multiLevelType w:val="hybridMultilevel"/>
    <w:tmpl w:val="85AC9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1DD11EC1"/>
    <w:multiLevelType w:val="hybridMultilevel"/>
    <w:tmpl w:val="B136FFA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15:restartNumberingAfterBreak="0">
    <w:nsid w:val="1E0A09F4"/>
    <w:multiLevelType w:val="hybridMultilevel"/>
    <w:tmpl w:val="2ECA5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1F566E99"/>
    <w:multiLevelType w:val="hybridMultilevel"/>
    <w:tmpl w:val="7B04B3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9" w15:restartNumberingAfterBreak="0">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20A804A7"/>
    <w:multiLevelType w:val="hybridMultilevel"/>
    <w:tmpl w:val="6DBAF4CE"/>
    <w:numStyleLink w:val="ImportedStyle2"/>
  </w:abstractNum>
  <w:abstractNum w:abstractNumId="42" w15:restartNumberingAfterBreak="0">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1E57EDF"/>
    <w:multiLevelType w:val="multilevel"/>
    <w:tmpl w:val="C7A4644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23DE3481"/>
    <w:multiLevelType w:val="hybridMultilevel"/>
    <w:tmpl w:val="E0581C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6" w15:restartNumberingAfterBreak="0">
    <w:nsid w:val="24062464"/>
    <w:multiLevelType w:val="multilevel"/>
    <w:tmpl w:val="AF8ABC7E"/>
    <w:lvl w:ilvl="0">
      <w:start w:val="1"/>
      <w:numFmt w:val="decimal"/>
      <w:lvlText w:val="%1."/>
      <w:lvlJc w:val="left"/>
      <w:pPr>
        <w:ind w:left="567" w:hanging="567"/>
      </w:pPr>
      <w:rPr>
        <w:rFonts w:ascii="Times New Roman" w:hAnsi="Times New Roman" w:cs="Times New Roman"/>
        <w:b w:val="0"/>
        <w:i w:val="0"/>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upperLetter"/>
      <w:lvlText w:val="%4."/>
      <w:lvlJc w:val="left"/>
      <w:pPr>
        <w:ind w:left="2880" w:hanging="360"/>
      </w:p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val="0"/>
      </w:rPr>
    </w:lvl>
  </w:abstractNum>
  <w:abstractNum w:abstractNumId="47" w15:restartNumberingAfterBreak="0">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5671A1B"/>
    <w:multiLevelType w:val="hybridMultilevel"/>
    <w:tmpl w:val="842287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9" w15:restartNumberingAfterBreak="0">
    <w:nsid w:val="26937DC6"/>
    <w:multiLevelType w:val="hybridMultilevel"/>
    <w:tmpl w:val="C4FA60E6"/>
    <w:lvl w:ilvl="0" w:tplc="48B23E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6DD3766"/>
    <w:multiLevelType w:val="hybridMultilevel"/>
    <w:tmpl w:val="125A7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52" w15:restartNumberingAfterBreak="0">
    <w:nsid w:val="28737750"/>
    <w:multiLevelType w:val="hybridMultilevel"/>
    <w:tmpl w:val="01800656"/>
    <w:styleLink w:val="ImportedStyle3"/>
    <w:lvl w:ilvl="0" w:tplc="5B90411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C0C2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D4CD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0E572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2A9A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E1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AC78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145F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A04E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28BD1F20"/>
    <w:multiLevelType w:val="hybridMultilevel"/>
    <w:tmpl w:val="8274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BFF176C"/>
    <w:multiLevelType w:val="hybridMultilevel"/>
    <w:tmpl w:val="691A8116"/>
    <w:lvl w:ilvl="0" w:tplc="D930871A">
      <w:start w:val="1"/>
      <w:numFmt w:val="decimal"/>
      <w:lvlText w:val="%1)"/>
      <w:lvlJc w:val="left"/>
      <w:pPr>
        <w:ind w:left="720" w:hanging="360"/>
      </w:pPr>
      <w:rPr>
        <w:rFonts w:hint="default"/>
        <w:b w:val="0"/>
        <w:i w:val="0"/>
        <w:strike w:val="0"/>
        <w:sz w:val="22"/>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D41E0DC8">
      <w:start w:val="1"/>
      <w:numFmt w:val="decimal"/>
      <w:lvlText w:val="%4)"/>
      <w:lvlJc w:val="left"/>
      <w:pPr>
        <w:ind w:left="4320" w:hanging="360"/>
      </w:pPr>
      <w:rPr>
        <w:rFonts w:hint="default"/>
      </w:rPr>
    </w:lvl>
    <w:lvl w:ilvl="4" w:tplc="5608EEB8">
      <w:start w:val="1"/>
      <w:numFmt w:val="decimal"/>
      <w:lvlText w:val="(%5)"/>
      <w:lvlJc w:val="left"/>
      <w:pPr>
        <w:ind w:left="5040" w:hanging="360"/>
      </w:pPr>
      <w:rPr>
        <w:rFonts w:hint="default"/>
      </w:rPr>
    </w:lvl>
    <w:lvl w:ilvl="5" w:tplc="0C090005">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5" w15:restartNumberingAfterBreak="0">
    <w:nsid w:val="2C920D93"/>
    <w:multiLevelType w:val="hybridMultilevel"/>
    <w:tmpl w:val="F6A4BDA4"/>
    <w:lvl w:ilvl="0" w:tplc="0C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2CFA295B"/>
    <w:multiLevelType w:val="multilevel"/>
    <w:tmpl w:val="90FC92B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2D4C795B"/>
    <w:multiLevelType w:val="hybridMultilevel"/>
    <w:tmpl w:val="896C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D6074E1"/>
    <w:multiLevelType w:val="hybridMultilevel"/>
    <w:tmpl w:val="555AC18A"/>
    <w:lvl w:ilvl="0" w:tplc="BFBC0970">
      <w:numFmt w:val="bullet"/>
      <w:lvlText w:val="-"/>
      <w:lvlJc w:val="left"/>
      <w:pPr>
        <w:ind w:left="360" w:hanging="360"/>
      </w:pPr>
      <w:rPr>
        <w:rFonts w:ascii="Times New Roman" w:eastAsia="Malgun Gothic" w:hAnsi="Times New Roman" w:cs="Times New Roman" w:hint="default"/>
      </w:rPr>
    </w:lvl>
    <w:lvl w:ilvl="1" w:tplc="0C090001">
      <w:start w:val="1"/>
      <w:numFmt w:val="bullet"/>
      <w:lvlText w:val=""/>
      <w:lvlJc w:val="left"/>
      <w:pPr>
        <w:ind w:left="840" w:hanging="420"/>
      </w:pPr>
      <w:rPr>
        <w:rFonts w:ascii="Symbol" w:hAnsi="Symbo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2D9200B4"/>
    <w:multiLevelType w:val="hybridMultilevel"/>
    <w:tmpl w:val="3698D060"/>
    <w:lvl w:ilvl="0" w:tplc="9FB2D5EE">
      <w:start w:val="10"/>
      <w:numFmt w:val="upperLetter"/>
      <w:lvlText w:val="%1."/>
      <w:lvlJc w:val="left"/>
      <w:pPr>
        <w:ind w:left="100" w:hanging="216"/>
      </w:pPr>
      <w:rPr>
        <w:rFonts w:ascii="Times New Roman" w:eastAsia="Times New Roman" w:hAnsi="Times New Roman" w:cs="Times New Roman" w:hint="default"/>
        <w:spacing w:val="-6"/>
        <w:w w:val="99"/>
        <w:sz w:val="24"/>
        <w:szCs w:val="24"/>
      </w:rPr>
    </w:lvl>
    <w:lvl w:ilvl="1" w:tplc="BD9EE77A">
      <w:start w:val="1"/>
      <w:numFmt w:val="decimal"/>
      <w:lvlText w:val="%2."/>
      <w:lvlJc w:val="left"/>
      <w:pPr>
        <w:ind w:left="820" w:hanging="360"/>
      </w:pPr>
      <w:rPr>
        <w:rFonts w:hint="default"/>
        <w:b/>
        <w:bCs/>
        <w:spacing w:val="-4"/>
        <w:w w:val="99"/>
      </w:rPr>
    </w:lvl>
    <w:lvl w:ilvl="2" w:tplc="EEAA7E14">
      <w:numFmt w:val="bullet"/>
      <w:lvlText w:val="•"/>
      <w:lvlJc w:val="left"/>
      <w:pPr>
        <w:ind w:left="1793" w:hanging="360"/>
      </w:pPr>
      <w:rPr>
        <w:rFonts w:hint="default"/>
      </w:rPr>
    </w:lvl>
    <w:lvl w:ilvl="3" w:tplc="53D47CF2">
      <w:numFmt w:val="bullet"/>
      <w:lvlText w:val="•"/>
      <w:lvlJc w:val="left"/>
      <w:pPr>
        <w:ind w:left="2766" w:hanging="360"/>
      </w:pPr>
      <w:rPr>
        <w:rFonts w:hint="default"/>
      </w:rPr>
    </w:lvl>
    <w:lvl w:ilvl="4" w:tplc="DC4A7C26">
      <w:numFmt w:val="bullet"/>
      <w:lvlText w:val="•"/>
      <w:lvlJc w:val="left"/>
      <w:pPr>
        <w:ind w:left="3740" w:hanging="360"/>
      </w:pPr>
      <w:rPr>
        <w:rFonts w:hint="default"/>
      </w:rPr>
    </w:lvl>
    <w:lvl w:ilvl="5" w:tplc="288259C2">
      <w:numFmt w:val="bullet"/>
      <w:lvlText w:val="•"/>
      <w:lvlJc w:val="left"/>
      <w:pPr>
        <w:ind w:left="4713" w:hanging="360"/>
      </w:pPr>
      <w:rPr>
        <w:rFonts w:hint="default"/>
      </w:rPr>
    </w:lvl>
    <w:lvl w:ilvl="6" w:tplc="FDFC7934">
      <w:numFmt w:val="bullet"/>
      <w:lvlText w:val="•"/>
      <w:lvlJc w:val="left"/>
      <w:pPr>
        <w:ind w:left="5686" w:hanging="360"/>
      </w:pPr>
      <w:rPr>
        <w:rFonts w:hint="default"/>
      </w:rPr>
    </w:lvl>
    <w:lvl w:ilvl="7" w:tplc="2B386A22">
      <w:numFmt w:val="bullet"/>
      <w:lvlText w:val="•"/>
      <w:lvlJc w:val="left"/>
      <w:pPr>
        <w:ind w:left="6660" w:hanging="360"/>
      </w:pPr>
      <w:rPr>
        <w:rFonts w:hint="default"/>
      </w:rPr>
    </w:lvl>
    <w:lvl w:ilvl="8" w:tplc="351008C6">
      <w:numFmt w:val="bullet"/>
      <w:lvlText w:val="•"/>
      <w:lvlJc w:val="left"/>
      <w:pPr>
        <w:ind w:left="7633" w:hanging="360"/>
      </w:pPr>
      <w:rPr>
        <w:rFonts w:hint="default"/>
      </w:rPr>
    </w:lvl>
  </w:abstractNum>
  <w:abstractNum w:abstractNumId="60" w15:restartNumberingAfterBreak="0">
    <w:nsid w:val="2DAE32A5"/>
    <w:multiLevelType w:val="hybridMultilevel"/>
    <w:tmpl w:val="5B1213A2"/>
    <w:lvl w:ilvl="0" w:tplc="91F00B5A">
      <w:start w:val="1"/>
      <w:numFmt w:val="decimal"/>
      <w:lvlText w:val="%1)"/>
      <w:lvlJc w:val="left"/>
      <w:pPr>
        <w:tabs>
          <w:tab w:val="num" w:pos="1080"/>
        </w:tabs>
        <w:ind w:left="1080" w:hanging="360"/>
      </w:pPr>
      <w:rPr>
        <w:rFonts w:eastAsia="MS Mincho" w:hint="default"/>
      </w:rPr>
    </w:lvl>
    <w:lvl w:ilvl="1" w:tplc="14090017">
      <w:start w:val="1"/>
      <w:numFmt w:val="lowerLetter"/>
      <w:lvlText w:val="%2)"/>
      <w:lvlJc w:val="left"/>
      <w:pPr>
        <w:tabs>
          <w:tab w:val="num" w:pos="1800"/>
        </w:tabs>
        <w:ind w:left="1800" w:hanging="360"/>
      </w:pPr>
    </w:lvl>
    <w:lvl w:ilvl="2" w:tplc="9FEEF1C4" w:tentative="1">
      <w:start w:val="1"/>
      <w:numFmt w:val="decimal"/>
      <w:lvlText w:val="%3."/>
      <w:lvlJc w:val="left"/>
      <w:pPr>
        <w:tabs>
          <w:tab w:val="num" w:pos="2520"/>
        </w:tabs>
        <w:ind w:left="2520" w:hanging="360"/>
      </w:pPr>
    </w:lvl>
    <w:lvl w:ilvl="3" w:tplc="A93E4E48" w:tentative="1">
      <w:start w:val="1"/>
      <w:numFmt w:val="decimal"/>
      <w:lvlText w:val="%4."/>
      <w:lvlJc w:val="left"/>
      <w:pPr>
        <w:tabs>
          <w:tab w:val="num" w:pos="3240"/>
        </w:tabs>
        <w:ind w:left="3240" w:hanging="360"/>
      </w:pPr>
    </w:lvl>
    <w:lvl w:ilvl="4" w:tplc="7C1480F2" w:tentative="1">
      <w:start w:val="1"/>
      <w:numFmt w:val="decimal"/>
      <w:lvlText w:val="%5."/>
      <w:lvlJc w:val="left"/>
      <w:pPr>
        <w:tabs>
          <w:tab w:val="num" w:pos="3960"/>
        </w:tabs>
        <w:ind w:left="3960" w:hanging="360"/>
      </w:pPr>
    </w:lvl>
    <w:lvl w:ilvl="5" w:tplc="34A618A2" w:tentative="1">
      <w:start w:val="1"/>
      <w:numFmt w:val="decimal"/>
      <w:lvlText w:val="%6."/>
      <w:lvlJc w:val="left"/>
      <w:pPr>
        <w:tabs>
          <w:tab w:val="num" w:pos="4680"/>
        </w:tabs>
        <w:ind w:left="4680" w:hanging="360"/>
      </w:pPr>
    </w:lvl>
    <w:lvl w:ilvl="6" w:tplc="454CC70A" w:tentative="1">
      <w:start w:val="1"/>
      <w:numFmt w:val="decimal"/>
      <w:lvlText w:val="%7."/>
      <w:lvlJc w:val="left"/>
      <w:pPr>
        <w:tabs>
          <w:tab w:val="num" w:pos="5400"/>
        </w:tabs>
        <w:ind w:left="5400" w:hanging="360"/>
      </w:pPr>
    </w:lvl>
    <w:lvl w:ilvl="7" w:tplc="3F8406C4" w:tentative="1">
      <w:start w:val="1"/>
      <w:numFmt w:val="decimal"/>
      <w:lvlText w:val="%8."/>
      <w:lvlJc w:val="left"/>
      <w:pPr>
        <w:tabs>
          <w:tab w:val="num" w:pos="6120"/>
        </w:tabs>
        <w:ind w:left="6120" w:hanging="360"/>
      </w:pPr>
    </w:lvl>
    <w:lvl w:ilvl="8" w:tplc="C67405CA" w:tentative="1">
      <w:start w:val="1"/>
      <w:numFmt w:val="decimal"/>
      <w:lvlText w:val="%9."/>
      <w:lvlJc w:val="left"/>
      <w:pPr>
        <w:tabs>
          <w:tab w:val="num" w:pos="6840"/>
        </w:tabs>
        <w:ind w:left="6840" w:hanging="360"/>
      </w:pPr>
    </w:lvl>
  </w:abstractNum>
  <w:abstractNum w:abstractNumId="61" w15:restartNumberingAfterBreak="0">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309F0A6E"/>
    <w:multiLevelType w:val="hybridMultilevel"/>
    <w:tmpl w:val="9456170E"/>
    <w:lvl w:ilvl="0" w:tplc="ECC24ECE">
      <w:start w:val="1"/>
      <w:numFmt w:val="bullet"/>
      <w:lvlText w:val="­"/>
      <w:lvlJc w:val="left"/>
      <w:pPr>
        <w:ind w:left="1440" w:hanging="360"/>
      </w:pPr>
      <w:rPr>
        <w:rFonts w:ascii="Courier New" w:hAnsi="Courier New" w:cs="Times New Roman"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3" w15:restartNumberingAfterBreak="0">
    <w:nsid w:val="30C710E1"/>
    <w:multiLevelType w:val="hybridMultilevel"/>
    <w:tmpl w:val="C9402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31541CC3"/>
    <w:multiLevelType w:val="hybridMultilevel"/>
    <w:tmpl w:val="44CE1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315B3028"/>
    <w:multiLevelType w:val="multilevel"/>
    <w:tmpl w:val="87EE4CD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7" w15:restartNumberingAfterBreak="0">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34276960"/>
    <w:multiLevelType w:val="hybridMultilevel"/>
    <w:tmpl w:val="B5A4D164"/>
    <w:lvl w:ilvl="0" w:tplc="91F00B5A">
      <w:start w:val="1"/>
      <w:numFmt w:val="decimal"/>
      <w:lvlText w:val="%1)"/>
      <w:lvlJc w:val="left"/>
      <w:pPr>
        <w:ind w:left="1080" w:hanging="360"/>
      </w:pPr>
      <w:rPr>
        <w:rFonts w:eastAsia="MS Mincho"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69" w15:restartNumberingAfterBreak="0">
    <w:nsid w:val="359A1716"/>
    <w:multiLevelType w:val="hybridMultilevel"/>
    <w:tmpl w:val="DC4A8348"/>
    <w:lvl w:ilvl="0" w:tplc="E076D4DA">
      <w:start w:val="1"/>
      <w:numFmt w:val="decimal"/>
      <w:lvlText w:val="%1."/>
      <w:lvlJc w:val="left"/>
      <w:pPr>
        <w:ind w:left="820" w:hanging="360"/>
      </w:pPr>
      <w:rPr>
        <w:rFonts w:ascii="Times New Roman" w:eastAsia="Times New Roman" w:hAnsi="Times New Roman" w:cs="Times New Roman" w:hint="default"/>
        <w:b/>
        <w:bCs/>
        <w:spacing w:val="-4"/>
        <w:w w:val="99"/>
        <w:sz w:val="24"/>
        <w:szCs w:val="24"/>
      </w:rPr>
    </w:lvl>
    <w:lvl w:ilvl="1" w:tplc="35D823D4">
      <w:numFmt w:val="bullet"/>
      <w:lvlText w:val="•"/>
      <w:lvlJc w:val="left"/>
      <w:pPr>
        <w:ind w:left="1702" w:hanging="360"/>
      </w:pPr>
      <w:rPr>
        <w:rFonts w:hint="default"/>
      </w:rPr>
    </w:lvl>
    <w:lvl w:ilvl="2" w:tplc="F29AA682">
      <w:numFmt w:val="bullet"/>
      <w:lvlText w:val="•"/>
      <w:lvlJc w:val="left"/>
      <w:pPr>
        <w:ind w:left="2584" w:hanging="360"/>
      </w:pPr>
      <w:rPr>
        <w:rFonts w:hint="default"/>
      </w:rPr>
    </w:lvl>
    <w:lvl w:ilvl="3" w:tplc="6C766BCC">
      <w:numFmt w:val="bullet"/>
      <w:lvlText w:val="•"/>
      <w:lvlJc w:val="left"/>
      <w:pPr>
        <w:ind w:left="3466" w:hanging="360"/>
      </w:pPr>
      <w:rPr>
        <w:rFonts w:hint="default"/>
      </w:rPr>
    </w:lvl>
    <w:lvl w:ilvl="4" w:tplc="F3FEFAE0">
      <w:numFmt w:val="bullet"/>
      <w:lvlText w:val="•"/>
      <w:lvlJc w:val="left"/>
      <w:pPr>
        <w:ind w:left="4348" w:hanging="360"/>
      </w:pPr>
      <w:rPr>
        <w:rFonts w:hint="default"/>
      </w:rPr>
    </w:lvl>
    <w:lvl w:ilvl="5" w:tplc="FE8CF698">
      <w:numFmt w:val="bullet"/>
      <w:lvlText w:val="•"/>
      <w:lvlJc w:val="left"/>
      <w:pPr>
        <w:ind w:left="5230" w:hanging="360"/>
      </w:pPr>
      <w:rPr>
        <w:rFonts w:hint="default"/>
      </w:rPr>
    </w:lvl>
    <w:lvl w:ilvl="6" w:tplc="D1809446">
      <w:numFmt w:val="bullet"/>
      <w:lvlText w:val="•"/>
      <w:lvlJc w:val="left"/>
      <w:pPr>
        <w:ind w:left="6112" w:hanging="360"/>
      </w:pPr>
      <w:rPr>
        <w:rFonts w:hint="default"/>
      </w:rPr>
    </w:lvl>
    <w:lvl w:ilvl="7" w:tplc="C2E07CD8">
      <w:numFmt w:val="bullet"/>
      <w:lvlText w:val="•"/>
      <w:lvlJc w:val="left"/>
      <w:pPr>
        <w:ind w:left="6994" w:hanging="360"/>
      </w:pPr>
      <w:rPr>
        <w:rFonts w:hint="default"/>
      </w:rPr>
    </w:lvl>
    <w:lvl w:ilvl="8" w:tplc="E5E068E4">
      <w:numFmt w:val="bullet"/>
      <w:lvlText w:val="•"/>
      <w:lvlJc w:val="left"/>
      <w:pPr>
        <w:ind w:left="7876" w:hanging="360"/>
      </w:pPr>
      <w:rPr>
        <w:rFonts w:hint="default"/>
      </w:rPr>
    </w:lvl>
  </w:abstractNum>
  <w:abstractNum w:abstractNumId="70" w15:restartNumberingAfterBreak="0">
    <w:nsid w:val="3709250E"/>
    <w:multiLevelType w:val="hybridMultilevel"/>
    <w:tmpl w:val="A580C5F4"/>
    <w:lvl w:ilvl="0" w:tplc="17184000">
      <w:start w:val="1"/>
      <w:numFmt w:val="decimal"/>
      <w:pStyle w:val="WCPFC"/>
      <w:lvlText w:val="%1."/>
      <w:lvlJc w:val="left"/>
      <w:pPr>
        <w:ind w:left="360" w:hanging="360"/>
      </w:pPr>
      <w:rPr>
        <w:rFonts w:ascii="Times New Roman" w:hAnsi="Times New Roman" w:cs="Times New Roman" w:hint="default"/>
        <w:b w:val="0"/>
        <w:i w:val="0"/>
        <w:strike w:val="0"/>
        <w:color w:val="auto"/>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C400D1A0">
      <w:start w:val="1"/>
      <w:numFmt w:val="lowerLetter"/>
      <w:lvlText w:val="%6."/>
      <w:lvlJc w:val="left"/>
      <w:pPr>
        <w:ind w:left="5400" w:hanging="360"/>
      </w:pPr>
      <w:rPr>
        <w:rFont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1" w15:restartNumberingAfterBreak="0">
    <w:nsid w:val="370E4FB8"/>
    <w:multiLevelType w:val="hybridMultilevel"/>
    <w:tmpl w:val="CEB0BF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2" w15:restartNumberingAfterBreak="0">
    <w:nsid w:val="3A0B6E3D"/>
    <w:multiLevelType w:val="hybridMultilevel"/>
    <w:tmpl w:val="E458AA96"/>
    <w:lvl w:ilvl="0" w:tplc="8BE2D90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C287ED2"/>
    <w:multiLevelType w:val="multilevel"/>
    <w:tmpl w:val="11E85414"/>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3C6069FE"/>
    <w:multiLevelType w:val="hybridMultilevel"/>
    <w:tmpl w:val="13E20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7" w15:restartNumberingAfterBreak="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411E5248"/>
    <w:multiLevelType w:val="hybridMultilevel"/>
    <w:tmpl w:val="D59C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80" w15:restartNumberingAfterBreak="0">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1" w15:restartNumberingAfterBreak="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474147E2"/>
    <w:multiLevelType w:val="hybridMultilevel"/>
    <w:tmpl w:val="FFBA18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47CE6F22"/>
    <w:multiLevelType w:val="hybridMultilevel"/>
    <w:tmpl w:val="8A60F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84071B3"/>
    <w:multiLevelType w:val="hybridMultilevel"/>
    <w:tmpl w:val="6714CF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49AF7892"/>
    <w:multiLevelType w:val="multilevel"/>
    <w:tmpl w:val="31A2958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4A334EF0"/>
    <w:multiLevelType w:val="hybridMultilevel"/>
    <w:tmpl w:val="2E76E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A561170"/>
    <w:multiLevelType w:val="multilevel"/>
    <w:tmpl w:val="0CDEEEE8"/>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B88699B"/>
    <w:multiLevelType w:val="hybridMultilevel"/>
    <w:tmpl w:val="11CACBDC"/>
    <w:lvl w:ilvl="0" w:tplc="ECFAE29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4B8C7413"/>
    <w:multiLevelType w:val="hybridMultilevel"/>
    <w:tmpl w:val="897035A4"/>
    <w:lvl w:ilvl="0" w:tplc="0409000F">
      <w:start w:val="1"/>
      <w:numFmt w:val="decimal"/>
      <w:lvlText w:val="%1."/>
      <w:lvlJc w:val="left"/>
      <w:pPr>
        <w:ind w:left="3600" w:hanging="360"/>
      </w:pPr>
      <w:rPr>
        <w:rFonts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1" w15:restartNumberingAfterBreak="0">
    <w:nsid w:val="4DB37EBF"/>
    <w:multiLevelType w:val="hybridMultilevel"/>
    <w:tmpl w:val="74A2106E"/>
    <w:lvl w:ilvl="0" w:tplc="C7AED32E">
      <w:numFmt w:val="bullet"/>
      <w:lvlText w:val=""/>
      <w:lvlJc w:val="left"/>
      <w:pPr>
        <w:ind w:left="420" w:hanging="360"/>
      </w:pPr>
      <w:rPr>
        <w:rFonts w:ascii="Symbol" w:eastAsia="Symbol" w:hAnsi="Symbol" w:cs="Symbol" w:hint="default"/>
        <w:w w:val="100"/>
        <w:sz w:val="22"/>
        <w:szCs w:val="22"/>
      </w:rPr>
    </w:lvl>
    <w:lvl w:ilvl="1" w:tplc="334C5860">
      <w:numFmt w:val="bullet"/>
      <w:lvlText w:val="•"/>
      <w:lvlJc w:val="left"/>
      <w:pPr>
        <w:ind w:left="1072" w:hanging="360"/>
      </w:pPr>
      <w:rPr>
        <w:rFonts w:hint="default"/>
      </w:rPr>
    </w:lvl>
    <w:lvl w:ilvl="2" w:tplc="D8225030">
      <w:numFmt w:val="bullet"/>
      <w:lvlText w:val="•"/>
      <w:lvlJc w:val="left"/>
      <w:pPr>
        <w:ind w:left="1724" w:hanging="360"/>
      </w:pPr>
      <w:rPr>
        <w:rFonts w:hint="default"/>
      </w:rPr>
    </w:lvl>
    <w:lvl w:ilvl="3" w:tplc="D946F166">
      <w:numFmt w:val="bullet"/>
      <w:lvlText w:val="•"/>
      <w:lvlJc w:val="left"/>
      <w:pPr>
        <w:ind w:left="2376" w:hanging="360"/>
      </w:pPr>
      <w:rPr>
        <w:rFonts w:hint="default"/>
      </w:rPr>
    </w:lvl>
    <w:lvl w:ilvl="4" w:tplc="966C23F4">
      <w:numFmt w:val="bullet"/>
      <w:lvlText w:val="•"/>
      <w:lvlJc w:val="left"/>
      <w:pPr>
        <w:ind w:left="3028" w:hanging="360"/>
      </w:pPr>
      <w:rPr>
        <w:rFonts w:hint="default"/>
      </w:rPr>
    </w:lvl>
    <w:lvl w:ilvl="5" w:tplc="CA06D988">
      <w:numFmt w:val="bullet"/>
      <w:lvlText w:val="•"/>
      <w:lvlJc w:val="left"/>
      <w:pPr>
        <w:ind w:left="3680" w:hanging="360"/>
      </w:pPr>
      <w:rPr>
        <w:rFonts w:hint="default"/>
      </w:rPr>
    </w:lvl>
    <w:lvl w:ilvl="6" w:tplc="E4B452CA">
      <w:numFmt w:val="bullet"/>
      <w:lvlText w:val="•"/>
      <w:lvlJc w:val="left"/>
      <w:pPr>
        <w:ind w:left="4332" w:hanging="360"/>
      </w:pPr>
      <w:rPr>
        <w:rFonts w:hint="default"/>
      </w:rPr>
    </w:lvl>
    <w:lvl w:ilvl="7" w:tplc="8040955C">
      <w:numFmt w:val="bullet"/>
      <w:lvlText w:val="•"/>
      <w:lvlJc w:val="left"/>
      <w:pPr>
        <w:ind w:left="4984" w:hanging="360"/>
      </w:pPr>
      <w:rPr>
        <w:rFonts w:hint="default"/>
      </w:rPr>
    </w:lvl>
    <w:lvl w:ilvl="8" w:tplc="718C8440">
      <w:numFmt w:val="bullet"/>
      <w:lvlText w:val="•"/>
      <w:lvlJc w:val="left"/>
      <w:pPr>
        <w:ind w:left="5636" w:hanging="360"/>
      </w:pPr>
      <w:rPr>
        <w:rFonts w:hint="default"/>
      </w:rPr>
    </w:lvl>
  </w:abstractNum>
  <w:abstractNum w:abstractNumId="92" w15:restartNumberingAfterBreak="0">
    <w:nsid w:val="4F246330"/>
    <w:multiLevelType w:val="hybridMultilevel"/>
    <w:tmpl w:val="CD001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4F650B61"/>
    <w:multiLevelType w:val="multilevel"/>
    <w:tmpl w:val="58E0DD54"/>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94" w15:restartNumberingAfterBreak="0">
    <w:nsid w:val="4F6D5885"/>
    <w:multiLevelType w:val="hybridMultilevel"/>
    <w:tmpl w:val="7FF2E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5085323E"/>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6" w15:restartNumberingAfterBreak="0">
    <w:nsid w:val="5166716E"/>
    <w:multiLevelType w:val="hybridMultilevel"/>
    <w:tmpl w:val="D0C6C29A"/>
    <w:lvl w:ilvl="0" w:tplc="224C447C">
      <w:numFmt w:val="bullet"/>
      <w:lvlText w:val=""/>
      <w:lvlJc w:val="left"/>
      <w:pPr>
        <w:ind w:left="420" w:hanging="360"/>
      </w:pPr>
      <w:rPr>
        <w:rFonts w:ascii="Symbol" w:eastAsia="Symbol" w:hAnsi="Symbol" w:cs="Symbol" w:hint="default"/>
        <w:w w:val="100"/>
        <w:sz w:val="22"/>
        <w:szCs w:val="22"/>
      </w:rPr>
    </w:lvl>
    <w:lvl w:ilvl="1" w:tplc="B9B49C7E">
      <w:numFmt w:val="bullet"/>
      <w:lvlText w:val="•"/>
      <w:lvlJc w:val="left"/>
      <w:pPr>
        <w:ind w:left="1072" w:hanging="360"/>
      </w:pPr>
      <w:rPr>
        <w:rFonts w:hint="default"/>
      </w:rPr>
    </w:lvl>
    <w:lvl w:ilvl="2" w:tplc="1B922F74">
      <w:numFmt w:val="bullet"/>
      <w:lvlText w:val="•"/>
      <w:lvlJc w:val="left"/>
      <w:pPr>
        <w:ind w:left="1724" w:hanging="360"/>
      </w:pPr>
      <w:rPr>
        <w:rFonts w:hint="default"/>
      </w:rPr>
    </w:lvl>
    <w:lvl w:ilvl="3" w:tplc="D4C2949A">
      <w:numFmt w:val="bullet"/>
      <w:lvlText w:val="•"/>
      <w:lvlJc w:val="left"/>
      <w:pPr>
        <w:ind w:left="2376" w:hanging="360"/>
      </w:pPr>
      <w:rPr>
        <w:rFonts w:hint="default"/>
      </w:rPr>
    </w:lvl>
    <w:lvl w:ilvl="4" w:tplc="4218280A">
      <w:numFmt w:val="bullet"/>
      <w:lvlText w:val="•"/>
      <w:lvlJc w:val="left"/>
      <w:pPr>
        <w:ind w:left="3028" w:hanging="360"/>
      </w:pPr>
      <w:rPr>
        <w:rFonts w:hint="default"/>
      </w:rPr>
    </w:lvl>
    <w:lvl w:ilvl="5" w:tplc="5210C3DA">
      <w:numFmt w:val="bullet"/>
      <w:lvlText w:val="•"/>
      <w:lvlJc w:val="left"/>
      <w:pPr>
        <w:ind w:left="3680" w:hanging="360"/>
      </w:pPr>
      <w:rPr>
        <w:rFonts w:hint="default"/>
      </w:rPr>
    </w:lvl>
    <w:lvl w:ilvl="6" w:tplc="31E0CECA">
      <w:numFmt w:val="bullet"/>
      <w:lvlText w:val="•"/>
      <w:lvlJc w:val="left"/>
      <w:pPr>
        <w:ind w:left="4332" w:hanging="360"/>
      </w:pPr>
      <w:rPr>
        <w:rFonts w:hint="default"/>
      </w:rPr>
    </w:lvl>
    <w:lvl w:ilvl="7" w:tplc="B05EBAC6">
      <w:numFmt w:val="bullet"/>
      <w:lvlText w:val="•"/>
      <w:lvlJc w:val="left"/>
      <w:pPr>
        <w:ind w:left="4984" w:hanging="360"/>
      </w:pPr>
      <w:rPr>
        <w:rFonts w:hint="default"/>
      </w:rPr>
    </w:lvl>
    <w:lvl w:ilvl="8" w:tplc="CE7014D8">
      <w:numFmt w:val="bullet"/>
      <w:lvlText w:val="•"/>
      <w:lvlJc w:val="left"/>
      <w:pPr>
        <w:ind w:left="5636" w:hanging="360"/>
      </w:pPr>
      <w:rPr>
        <w:rFonts w:hint="default"/>
      </w:rPr>
    </w:lvl>
  </w:abstractNum>
  <w:abstractNum w:abstractNumId="97" w15:restartNumberingAfterBreak="0">
    <w:nsid w:val="51916D73"/>
    <w:multiLevelType w:val="hybridMultilevel"/>
    <w:tmpl w:val="6AB2B0A6"/>
    <w:lvl w:ilvl="0" w:tplc="6CC4036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2A719D1"/>
    <w:multiLevelType w:val="hybridMultilevel"/>
    <w:tmpl w:val="5A80605C"/>
    <w:lvl w:ilvl="0" w:tplc="0E06546C">
      <w:start w:val="1"/>
      <w:numFmt w:val="decimal"/>
      <w:pStyle w:val="SCa1"/>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9" w15:restartNumberingAfterBreak="0">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550B6162"/>
    <w:multiLevelType w:val="hybridMultilevel"/>
    <w:tmpl w:val="89842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5596346F"/>
    <w:multiLevelType w:val="hybridMultilevel"/>
    <w:tmpl w:val="CB26F258"/>
    <w:lvl w:ilvl="0" w:tplc="A21C8CA0">
      <w:start w:val="1"/>
      <w:numFmt w:val="upperLetter"/>
      <w:lvlText w:val="%1."/>
      <w:lvlJc w:val="left"/>
      <w:pPr>
        <w:ind w:left="360" w:hanging="360"/>
      </w:pPr>
      <w:rPr>
        <w:b/>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03" w15:restartNumberingAfterBreak="0">
    <w:nsid w:val="56431DDC"/>
    <w:multiLevelType w:val="hybridMultilevel"/>
    <w:tmpl w:val="4C6AE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564B3076"/>
    <w:multiLevelType w:val="hybridMultilevel"/>
    <w:tmpl w:val="B61025CE"/>
    <w:lvl w:ilvl="0" w:tplc="B002DFD8">
      <w:numFmt w:val="bullet"/>
      <w:lvlText w:val=""/>
      <w:lvlJc w:val="left"/>
      <w:pPr>
        <w:ind w:left="420" w:hanging="360"/>
      </w:pPr>
      <w:rPr>
        <w:rFonts w:ascii="Symbol" w:eastAsia="Symbol" w:hAnsi="Symbol" w:cs="Symbol" w:hint="default"/>
        <w:w w:val="100"/>
        <w:sz w:val="22"/>
        <w:szCs w:val="22"/>
      </w:rPr>
    </w:lvl>
    <w:lvl w:ilvl="1" w:tplc="E82A5078">
      <w:numFmt w:val="bullet"/>
      <w:lvlText w:val="•"/>
      <w:lvlJc w:val="left"/>
      <w:pPr>
        <w:ind w:left="1126" w:hanging="360"/>
      </w:pPr>
      <w:rPr>
        <w:rFonts w:hint="default"/>
      </w:rPr>
    </w:lvl>
    <w:lvl w:ilvl="2" w:tplc="5B1EF806">
      <w:numFmt w:val="bullet"/>
      <w:lvlText w:val="•"/>
      <w:lvlJc w:val="left"/>
      <w:pPr>
        <w:ind w:left="1832" w:hanging="360"/>
      </w:pPr>
      <w:rPr>
        <w:rFonts w:hint="default"/>
      </w:rPr>
    </w:lvl>
    <w:lvl w:ilvl="3" w:tplc="AB78CF90">
      <w:numFmt w:val="bullet"/>
      <w:lvlText w:val="•"/>
      <w:lvlJc w:val="left"/>
      <w:pPr>
        <w:ind w:left="2538" w:hanging="360"/>
      </w:pPr>
      <w:rPr>
        <w:rFonts w:hint="default"/>
      </w:rPr>
    </w:lvl>
    <w:lvl w:ilvl="4" w:tplc="5B5C4CC8">
      <w:numFmt w:val="bullet"/>
      <w:lvlText w:val="•"/>
      <w:lvlJc w:val="left"/>
      <w:pPr>
        <w:ind w:left="3244" w:hanging="360"/>
      </w:pPr>
      <w:rPr>
        <w:rFonts w:hint="default"/>
      </w:rPr>
    </w:lvl>
    <w:lvl w:ilvl="5" w:tplc="F09E9DEC">
      <w:numFmt w:val="bullet"/>
      <w:lvlText w:val="•"/>
      <w:lvlJc w:val="left"/>
      <w:pPr>
        <w:ind w:left="3951" w:hanging="360"/>
      </w:pPr>
      <w:rPr>
        <w:rFonts w:hint="default"/>
      </w:rPr>
    </w:lvl>
    <w:lvl w:ilvl="6" w:tplc="0C206B1E">
      <w:numFmt w:val="bullet"/>
      <w:lvlText w:val="•"/>
      <w:lvlJc w:val="left"/>
      <w:pPr>
        <w:ind w:left="4657" w:hanging="360"/>
      </w:pPr>
      <w:rPr>
        <w:rFonts w:hint="default"/>
      </w:rPr>
    </w:lvl>
    <w:lvl w:ilvl="7" w:tplc="F4865ED2">
      <w:numFmt w:val="bullet"/>
      <w:lvlText w:val="•"/>
      <w:lvlJc w:val="left"/>
      <w:pPr>
        <w:ind w:left="5363" w:hanging="360"/>
      </w:pPr>
      <w:rPr>
        <w:rFonts w:hint="default"/>
      </w:rPr>
    </w:lvl>
    <w:lvl w:ilvl="8" w:tplc="1AFEEA56">
      <w:numFmt w:val="bullet"/>
      <w:lvlText w:val="•"/>
      <w:lvlJc w:val="left"/>
      <w:pPr>
        <w:ind w:left="6069" w:hanging="360"/>
      </w:pPr>
      <w:rPr>
        <w:rFonts w:hint="default"/>
      </w:rPr>
    </w:lvl>
  </w:abstractNum>
  <w:abstractNum w:abstractNumId="105" w15:restartNumberingAfterBreak="0">
    <w:nsid w:val="57406796"/>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6" w15:restartNumberingAfterBreak="0">
    <w:nsid w:val="57C57B6F"/>
    <w:multiLevelType w:val="multilevel"/>
    <w:tmpl w:val="4010250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57D30C54"/>
    <w:multiLevelType w:val="hybridMultilevel"/>
    <w:tmpl w:val="46BCF3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8" w15:restartNumberingAfterBreak="0">
    <w:nsid w:val="587E2E2B"/>
    <w:multiLevelType w:val="multilevel"/>
    <w:tmpl w:val="8CAAD95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i w:val="0"/>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9" w15:restartNumberingAfterBreak="0">
    <w:nsid w:val="58FD2A51"/>
    <w:multiLevelType w:val="hybridMultilevel"/>
    <w:tmpl w:val="47DC1854"/>
    <w:lvl w:ilvl="0" w:tplc="94A4F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11" w15:restartNumberingAfterBreak="0">
    <w:nsid w:val="5BCB4D40"/>
    <w:multiLevelType w:val="hybridMultilevel"/>
    <w:tmpl w:val="CDCC9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C771007"/>
    <w:multiLevelType w:val="hybridMultilevel"/>
    <w:tmpl w:val="09D0E07E"/>
    <w:lvl w:ilvl="0" w:tplc="FDBA7462">
      <w:numFmt w:val="bullet"/>
      <w:lvlText w:val=""/>
      <w:lvlJc w:val="left"/>
      <w:pPr>
        <w:ind w:left="420" w:hanging="360"/>
      </w:pPr>
      <w:rPr>
        <w:rFonts w:ascii="Symbol" w:eastAsia="Symbol" w:hAnsi="Symbol" w:cs="Symbol" w:hint="default"/>
        <w:w w:val="100"/>
        <w:sz w:val="22"/>
        <w:szCs w:val="22"/>
      </w:rPr>
    </w:lvl>
    <w:lvl w:ilvl="1" w:tplc="4BD6D7B2">
      <w:numFmt w:val="bullet"/>
      <w:lvlText w:val="•"/>
      <w:lvlJc w:val="left"/>
      <w:pPr>
        <w:ind w:left="1072" w:hanging="360"/>
      </w:pPr>
      <w:rPr>
        <w:rFonts w:hint="default"/>
      </w:rPr>
    </w:lvl>
    <w:lvl w:ilvl="2" w:tplc="5D2CD1DA">
      <w:numFmt w:val="bullet"/>
      <w:lvlText w:val="•"/>
      <w:lvlJc w:val="left"/>
      <w:pPr>
        <w:ind w:left="1724" w:hanging="360"/>
      </w:pPr>
      <w:rPr>
        <w:rFonts w:hint="default"/>
      </w:rPr>
    </w:lvl>
    <w:lvl w:ilvl="3" w:tplc="294E0EDA">
      <w:numFmt w:val="bullet"/>
      <w:lvlText w:val="•"/>
      <w:lvlJc w:val="left"/>
      <w:pPr>
        <w:ind w:left="2376" w:hanging="360"/>
      </w:pPr>
      <w:rPr>
        <w:rFonts w:hint="default"/>
      </w:rPr>
    </w:lvl>
    <w:lvl w:ilvl="4" w:tplc="38A696FE">
      <w:numFmt w:val="bullet"/>
      <w:lvlText w:val="•"/>
      <w:lvlJc w:val="left"/>
      <w:pPr>
        <w:ind w:left="3028" w:hanging="360"/>
      </w:pPr>
      <w:rPr>
        <w:rFonts w:hint="default"/>
      </w:rPr>
    </w:lvl>
    <w:lvl w:ilvl="5" w:tplc="2DC8A9F8">
      <w:numFmt w:val="bullet"/>
      <w:lvlText w:val="•"/>
      <w:lvlJc w:val="left"/>
      <w:pPr>
        <w:ind w:left="3680" w:hanging="360"/>
      </w:pPr>
      <w:rPr>
        <w:rFonts w:hint="default"/>
      </w:rPr>
    </w:lvl>
    <w:lvl w:ilvl="6" w:tplc="18C6A1A4">
      <w:numFmt w:val="bullet"/>
      <w:lvlText w:val="•"/>
      <w:lvlJc w:val="left"/>
      <w:pPr>
        <w:ind w:left="4332" w:hanging="360"/>
      </w:pPr>
      <w:rPr>
        <w:rFonts w:hint="default"/>
      </w:rPr>
    </w:lvl>
    <w:lvl w:ilvl="7" w:tplc="8952A456">
      <w:numFmt w:val="bullet"/>
      <w:lvlText w:val="•"/>
      <w:lvlJc w:val="left"/>
      <w:pPr>
        <w:ind w:left="4984" w:hanging="360"/>
      </w:pPr>
      <w:rPr>
        <w:rFonts w:hint="default"/>
      </w:rPr>
    </w:lvl>
    <w:lvl w:ilvl="8" w:tplc="28243F3C">
      <w:numFmt w:val="bullet"/>
      <w:lvlText w:val="•"/>
      <w:lvlJc w:val="left"/>
      <w:pPr>
        <w:ind w:left="5636" w:hanging="360"/>
      </w:pPr>
      <w:rPr>
        <w:rFonts w:hint="default"/>
      </w:rPr>
    </w:lvl>
  </w:abstractNum>
  <w:abstractNum w:abstractNumId="113" w15:restartNumberingAfterBreak="0">
    <w:nsid w:val="5C8A6236"/>
    <w:multiLevelType w:val="hybridMultilevel"/>
    <w:tmpl w:val="907EB63A"/>
    <w:lvl w:ilvl="0" w:tplc="EFB45408">
      <w:start w:val="1"/>
      <w:numFmt w:val="decimal"/>
      <w:lvlText w:val="5.1.%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4" w15:restartNumberingAfterBreak="0">
    <w:nsid w:val="5D024ED3"/>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5D931C05"/>
    <w:multiLevelType w:val="hybridMultilevel"/>
    <w:tmpl w:val="23084CCE"/>
    <w:lvl w:ilvl="0" w:tplc="D766F67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DFC4A61"/>
    <w:multiLevelType w:val="hybridMultilevel"/>
    <w:tmpl w:val="6FC444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14D11A2"/>
    <w:multiLevelType w:val="hybridMultilevel"/>
    <w:tmpl w:val="6F4EA0E2"/>
    <w:lvl w:ilvl="0" w:tplc="0409000F">
      <w:start w:val="1"/>
      <w:numFmt w:val="decimal"/>
      <w:lvlText w:val="%1."/>
      <w:lvlJc w:val="left"/>
      <w:pPr>
        <w:ind w:left="360" w:hanging="360"/>
      </w:pPr>
      <w:rPr>
        <w:rFonts w:hint="default"/>
        <w:b w:val="0"/>
        <w:i w:val="0"/>
        <w:strike w:val="0"/>
        <w:color w:val="auto"/>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8" w15:restartNumberingAfterBreak="0">
    <w:nsid w:val="61873690"/>
    <w:multiLevelType w:val="multilevel"/>
    <w:tmpl w:val="E4681FD6"/>
    <w:lvl w:ilvl="0">
      <w:start w:val="1"/>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19" w15:restartNumberingAfterBreak="0">
    <w:nsid w:val="622A3F34"/>
    <w:multiLevelType w:val="hybridMultilevel"/>
    <w:tmpl w:val="02D4C4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0" w15:restartNumberingAfterBreak="0">
    <w:nsid w:val="62A236E6"/>
    <w:multiLevelType w:val="hybridMultilevel"/>
    <w:tmpl w:val="8B0E1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62AF1519"/>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6328448C"/>
    <w:multiLevelType w:val="hybridMultilevel"/>
    <w:tmpl w:val="2076D110"/>
    <w:numStyleLink w:val="ImportedStyle4"/>
  </w:abstractNum>
  <w:abstractNum w:abstractNumId="123" w15:restartNumberingAfterBreak="0">
    <w:nsid w:val="66941088"/>
    <w:multiLevelType w:val="hybridMultilevel"/>
    <w:tmpl w:val="E2488DD4"/>
    <w:lvl w:ilvl="0" w:tplc="A2A8A4E2">
      <w:numFmt w:val="bullet"/>
      <w:lvlText w:val=""/>
      <w:lvlJc w:val="left"/>
      <w:pPr>
        <w:ind w:left="420" w:hanging="360"/>
      </w:pPr>
      <w:rPr>
        <w:rFonts w:ascii="Symbol" w:eastAsia="Symbol" w:hAnsi="Symbol" w:cs="Symbol" w:hint="default"/>
        <w:w w:val="100"/>
        <w:sz w:val="22"/>
        <w:szCs w:val="22"/>
      </w:rPr>
    </w:lvl>
    <w:lvl w:ilvl="1" w:tplc="020C0918">
      <w:numFmt w:val="bullet"/>
      <w:lvlText w:val="•"/>
      <w:lvlJc w:val="left"/>
      <w:pPr>
        <w:ind w:left="1071" w:hanging="360"/>
      </w:pPr>
      <w:rPr>
        <w:rFonts w:hint="default"/>
      </w:rPr>
    </w:lvl>
    <w:lvl w:ilvl="2" w:tplc="48F8AEDE">
      <w:numFmt w:val="bullet"/>
      <w:lvlText w:val="•"/>
      <w:lvlJc w:val="left"/>
      <w:pPr>
        <w:ind w:left="1723" w:hanging="360"/>
      </w:pPr>
      <w:rPr>
        <w:rFonts w:hint="default"/>
      </w:rPr>
    </w:lvl>
    <w:lvl w:ilvl="3" w:tplc="17AC9AFA">
      <w:numFmt w:val="bullet"/>
      <w:lvlText w:val="•"/>
      <w:lvlJc w:val="left"/>
      <w:pPr>
        <w:ind w:left="2375" w:hanging="360"/>
      </w:pPr>
      <w:rPr>
        <w:rFonts w:hint="default"/>
      </w:rPr>
    </w:lvl>
    <w:lvl w:ilvl="4" w:tplc="E3BE9982">
      <w:numFmt w:val="bullet"/>
      <w:lvlText w:val="•"/>
      <w:lvlJc w:val="left"/>
      <w:pPr>
        <w:ind w:left="3027" w:hanging="360"/>
      </w:pPr>
      <w:rPr>
        <w:rFonts w:hint="default"/>
      </w:rPr>
    </w:lvl>
    <w:lvl w:ilvl="5" w:tplc="7DE89DF0">
      <w:numFmt w:val="bullet"/>
      <w:lvlText w:val="•"/>
      <w:lvlJc w:val="left"/>
      <w:pPr>
        <w:ind w:left="3678" w:hanging="360"/>
      </w:pPr>
      <w:rPr>
        <w:rFonts w:hint="default"/>
      </w:rPr>
    </w:lvl>
    <w:lvl w:ilvl="6" w:tplc="87FC3000">
      <w:numFmt w:val="bullet"/>
      <w:lvlText w:val="•"/>
      <w:lvlJc w:val="left"/>
      <w:pPr>
        <w:ind w:left="4330" w:hanging="360"/>
      </w:pPr>
      <w:rPr>
        <w:rFonts w:hint="default"/>
      </w:rPr>
    </w:lvl>
    <w:lvl w:ilvl="7" w:tplc="FEAA8B42">
      <w:numFmt w:val="bullet"/>
      <w:lvlText w:val="•"/>
      <w:lvlJc w:val="left"/>
      <w:pPr>
        <w:ind w:left="4982" w:hanging="360"/>
      </w:pPr>
      <w:rPr>
        <w:rFonts w:hint="default"/>
      </w:rPr>
    </w:lvl>
    <w:lvl w:ilvl="8" w:tplc="021C5576">
      <w:numFmt w:val="bullet"/>
      <w:lvlText w:val="•"/>
      <w:lvlJc w:val="left"/>
      <w:pPr>
        <w:ind w:left="5634" w:hanging="360"/>
      </w:pPr>
      <w:rPr>
        <w:rFonts w:hint="default"/>
      </w:rPr>
    </w:lvl>
  </w:abstractNum>
  <w:abstractNum w:abstractNumId="124" w15:restartNumberingAfterBreak="0">
    <w:nsid w:val="66D6688E"/>
    <w:multiLevelType w:val="hybridMultilevel"/>
    <w:tmpl w:val="A8649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66FE7ADD"/>
    <w:multiLevelType w:val="hybridMultilevel"/>
    <w:tmpl w:val="86E20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15:restartNumberingAfterBreak="0">
    <w:nsid w:val="67671777"/>
    <w:multiLevelType w:val="multilevel"/>
    <w:tmpl w:val="2170484C"/>
    <w:lvl w:ilvl="0">
      <w:start w:val="1"/>
      <w:numFmt w:val="decimal"/>
      <w:lvlText w:val="%1."/>
      <w:lvlJc w:val="left"/>
      <w:pPr>
        <w:ind w:left="720" w:hanging="360"/>
      </w:pPr>
      <w:rPr>
        <w:rFonts w:hint="default"/>
        <w:sz w:val="22"/>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7" w15:restartNumberingAfterBreak="0">
    <w:nsid w:val="68597964"/>
    <w:multiLevelType w:val="hybridMultilevel"/>
    <w:tmpl w:val="8D78A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697742FC"/>
    <w:multiLevelType w:val="hybridMultilevel"/>
    <w:tmpl w:val="127CA416"/>
    <w:styleLink w:val="ImportedStyle1"/>
    <w:lvl w:ilvl="0" w:tplc="80E8DA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5810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3463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542CB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22E7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6456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4EE7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830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1417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9" w15:restartNumberingAfterBreak="0">
    <w:nsid w:val="6ADF39DB"/>
    <w:multiLevelType w:val="hybridMultilevel"/>
    <w:tmpl w:val="8BDC0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0D14792"/>
    <w:multiLevelType w:val="hybridMultilevel"/>
    <w:tmpl w:val="D5361920"/>
    <w:lvl w:ilvl="0" w:tplc="91F00B5A">
      <w:start w:val="1"/>
      <w:numFmt w:val="decimal"/>
      <w:lvlText w:val="%1)"/>
      <w:lvlJc w:val="left"/>
      <w:pPr>
        <w:tabs>
          <w:tab w:val="num" w:pos="927"/>
        </w:tabs>
        <w:ind w:left="927" w:hanging="360"/>
      </w:pPr>
      <w:rPr>
        <w:rFonts w:eastAsia="MS Mincho" w:hint="default"/>
      </w:rPr>
    </w:lvl>
    <w:lvl w:ilvl="1" w:tplc="14090017">
      <w:start w:val="1"/>
      <w:numFmt w:val="lowerLetter"/>
      <w:lvlText w:val="%2)"/>
      <w:lvlJc w:val="left"/>
      <w:pPr>
        <w:tabs>
          <w:tab w:val="num" w:pos="1440"/>
        </w:tabs>
        <w:ind w:left="1440" w:hanging="360"/>
      </w:pPr>
    </w:lvl>
    <w:lvl w:ilvl="2" w:tplc="9FEEF1C4" w:tentative="1">
      <w:start w:val="1"/>
      <w:numFmt w:val="decimal"/>
      <w:lvlText w:val="%3."/>
      <w:lvlJc w:val="left"/>
      <w:pPr>
        <w:tabs>
          <w:tab w:val="num" w:pos="2160"/>
        </w:tabs>
        <w:ind w:left="2160" w:hanging="360"/>
      </w:pPr>
    </w:lvl>
    <w:lvl w:ilvl="3" w:tplc="A93E4E48" w:tentative="1">
      <w:start w:val="1"/>
      <w:numFmt w:val="decimal"/>
      <w:lvlText w:val="%4."/>
      <w:lvlJc w:val="left"/>
      <w:pPr>
        <w:tabs>
          <w:tab w:val="num" w:pos="2880"/>
        </w:tabs>
        <w:ind w:left="2880" w:hanging="360"/>
      </w:pPr>
    </w:lvl>
    <w:lvl w:ilvl="4" w:tplc="7C1480F2" w:tentative="1">
      <w:start w:val="1"/>
      <w:numFmt w:val="decimal"/>
      <w:lvlText w:val="%5."/>
      <w:lvlJc w:val="left"/>
      <w:pPr>
        <w:tabs>
          <w:tab w:val="num" w:pos="3600"/>
        </w:tabs>
        <w:ind w:left="3600" w:hanging="360"/>
      </w:pPr>
    </w:lvl>
    <w:lvl w:ilvl="5" w:tplc="34A618A2" w:tentative="1">
      <w:start w:val="1"/>
      <w:numFmt w:val="decimal"/>
      <w:lvlText w:val="%6."/>
      <w:lvlJc w:val="left"/>
      <w:pPr>
        <w:tabs>
          <w:tab w:val="num" w:pos="4320"/>
        </w:tabs>
        <w:ind w:left="4320" w:hanging="360"/>
      </w:pPr>
    </w:lvl>
    <w:lvl w:ilvl="6" w:tplc="454CC70A" w:tentative="1">
      <w:start w:val="1"/>
      <w:numFmt w:val="decimal"/>
      <w:lvlText w:val="%7."/>
      <w:lvlJc w:val="left"/>
      <w:pPr>
        <w:tabs>
          <w:tab w:val="num" w:pos="5040"/>
        </w:tabs>
        <w:ind w:left="5040" w:hanging="360"/>
      </w:pPr>
    </w:lvl>
    <w:lvl w:ilvl="7" w:tplc="3F8406C4" w:tentative="1">
      <w:start w:val="1"/>
      <w:numFmt w:val="decimal"/>
      <w:lvlText w:val="%8."/>
      <w:lvlJc w:val="left"/>
      <w:pPr>
        <w:tabs>
          <w:tab w:val="num" w:pos="5760"/>
        </w:tabs>
        <w:ind w:left="5760" w:hanging="360"/>
      </w:pPr>
    </w:lvl>
    <w:lvl w:ilvl="8" w:tplc="C67405CA" w:tentative="1">
      <w:start w:val="1"/>
      <w:numFmt w:val="decimal"/>
      <w:lvlText w:val="%9."/>
      <w:lvlJc w:val="left"/>
      <w:pPr>
        <w:tabs>
          <w:tab w:val="num" w:pos="6480"/>
        </w:tabs>
        <w:ind w:left="6480" w:hanging="360"/>
      </w:pPr>
    </w:lvl>
  </w:abstractNum>
  <w:abstractNum w:abstractNumId="131" w15:restartNumberingAfterBreak="0">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15:restartNumberingAfterBreak="0">
    <w:nsid w:val="71CC7BA0"/>
    <w:multiLevelType w:val="hybridMultilevel"/>
    <w:tmpl w:val="0C1C1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72200E22"/>
    <w:multiLevelType w:val="multilevel"/>
    <w:tmpl w:val="2432F0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wcpfcsubheading"/>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723F3B8A"/>
    <w:multiLevelType w:val="hybridMultilevel"/>
    <w:tmpl w:val="21C626DA"/>
    <w:lvl w:ilvl="0" w:tplc="A35C6E94">
      <w:start w:val="1"/>
      <w:numFmt w:val="lowerLetter"/>
      <w:lvlText w:val="%1."/>
      <w:lvlJc w:val="left"/>
      <w:pPr>
        <w:tabs>
          <w:tab w:val="num" w:pos="1440"/>
        </w:tabs>
        <w:ind w:left="1440" w:hanging="360"/>
      </w:pPr>
      <w:rPr>
        <w:rFonts w:hint="default"/>
        <w:sz w:val="22"/>
        <w:szCs w:val="22"/>
      </w:rPr>
    </w:lvl>
    <w:lvl w:ilvl="1" w:tplc="F096329E">
      <w:start w:val="1"/>
      <w:numFmt w:val="lowerLetter"/>
      <w:lvlText w:val="%2."/>
      <w:lvlJc w:val="left"/>
      <w:pPr>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5" w15:restartNumberingAfterBreak="0">
    <w:nsid w:val="7262703F"/>
    <w:multiLevelType w:val="hybridMultilevel"/>
    <w:tmpl w:val="81B45F24"/>
    <w:lvl w:ilvl="0" w:tplc="77FA4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72DF1E72"/>
    <w:multiLevelType w:val="hybridMultilevel"/>
    <w:tmpl w:val="583422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7" w15:restartNumberingAfterBreak="0">
    <w:nsid w:val="73183361"/>
    <w:multiLevelType w:val="hybridMultilevel"/>
    <w:tmpl w:val="77A8073E"/>
    <w:lvl w:ilvl="0" w:tplc="4F747EB8">
      <w:numFmt w:val="bullet"/>
      <w:lvlText w:val=""/>
      <w:lvlJc w:val="left"/>
      <w:pPr>
        <w:ind w:left="420" w:hanging="360"/>
      </w:pPr>
      <w:rPr>
        <w:rFonts w:ascii="Symbol" w:eastAsia="Symbol" w:hAnsi="Symbol" w:cs="Symbol" w:hint="default"/>
        <w:w w:val="100"/>
        <w:sz w:val="22"/>
        <w:szCs w:val="22"/>
      </w:rPr>
    </w:lvl>
    <w:lvl w:ilvl="1" w:tplc="BE02C9B8">
      <w:numFmt w:val="bullet"/>
      <w:lvlText w:val="•"/>
      <w:lvlJc w:val="left"/>
      <w:pPr>
        <w:ind w:left="1072" w:hanging="360"/>
      </w:pPr>
      <w:rPr>
        <w:rFonts w:hint="default"/>
      </w:rPr>
    </w:lvl>
    <w:lvl w:ilvl="2" w:tplc="54C0D354">
      <w:numFmt w:val="bullet"/>
      <w:lvlText w:val="•"/>
      <w:lvlJc w:val="left"/>
      <w:pPr>
        <w:ind w:left="1724" w:hanging="360"/>
      </w:pPr>
      <w:rPr>
        <w:rFonts w:hint="default"/>
      </w:rPr>
    </w:lvl>
    <w:lvl w:ilvl="3" w:tplc="E1C2657C">
      <w:numFmt w:val="bullet"/>
      <w:lvlText w:val="•"/>
      <w:lvlJc w:val="left"/>
      <w:pPr>
        <w:ind w:left="2376" w:hanging="360"/>
      </w:pPr>
      <w:rPr>
        <w:rFonts w:hint="default"/>
      </w:rPr>
    </w:lvl>
    <w:lvl w:ilvl="4" w:tplc="BF2690EC">
      <w:numFmt w:val="bullet"/>
      <w:lvlText w:val="•"/>
      <w:lvlJc w:val="left"/>
      <w:pPr>
        <w:ind w:left="3028" w:hanging="360"/>
      </w:pPr>
      <w:rPr>
        <w:rFonts w:hint="default"/>
      </w:rPr>
    </w:lvl>
    <w:lvl w:ilvl="5" w:tplc="290865E2">
      <w:numFmt w:val="bullet"/>
      <w:lvlText w:val="•"/>
      <w:lvlJc w:val="left"/>
      <w:pPr>
        <w:ind w:left="3680" w:hanging="360"/>
      </w:pPr>
      <w:rPr>
        <w:rFonts w:hint="default"/>
      </w:rPr>
    </w:lvl>
    <w:lvl w:ilvl="6" w:tplc="F9C46394">
      <w:numFmt w:val="bullet"/>
      <w:lvlText w:val="•"/>
      <w:lvlJc w:val="left"/>
      <w:pPr>
        <w:ind w:left="4332" w:hanging="360"/>
      </w:pPr>
      <w:rPr>
        <w:rFonts w:hint="default"/>
      </w:rPr>
    </w:lvl>
    <w:lvl w:ilvl="7" w:tplc="8984FBDC">
      <w:numFmt w:val="bullet"/>
      <w:lvlText w:val="•"/>
      <w:lvlJc w:val="left"/>
      <w:pPr>
        <w:ind w:left="4984" w:hanging="360"/>
      </w:pPr>
      <w:rPr>
        <w:rFonts w:hint="default"/>
      </w:rPr>
    </w:lvl>
    <w:lvl w:ilvl="8" w:tplc="C9B820DA">
      <w:numFmt w:val="bullet"/>
      <w:lvlText w:val="•"/>
      <w:lvlJc w:val="left"/>
      <w:pPr>
        <w:ind w:left="5636" w:hanging="360"/>
      </w:pPr>
      <w:rPr>
        <w:rFonts w:hint="default"/>
      </w:rPr>
    </w:lvl>
  </w:abstractNum>
  <w:abstractNum w:abstractNumId="138" w15:restartNumberingAfterBreak="0">
    <w:nsid w:val="73531024"/>
    <w:multiLevelType w:val="hybridMultilevel"/>
    <w:tmpl w:val="11462AEC"/>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73B54352"/>
    <w:multiLevelType w:val="hybridMultilevel"/>
    <w:tmpl w:val="127CA416"/>
    <w:numStyleLink w:val="ImportedStyle1"/>
  </w:abstractNum>
  <w:abstractNum w:abstractNumId="140" w15:restartNumberingAfterBreak="0">
    <w:nsid w:val="74676816"/>
    <w:multiLevelType w:val="hybridMultilevel"/>
    <w:tmpl w:val="484853E0"/>
    <w:lvl w:ilvl="0" w:tplc="BFBC0970">
      <w:numFmt w:val="bullet"/>
      <w:lvlText w:val="-"/>
      <w:lvlJc w:val="left"/>
      <w:pPr>
        <w:ind w:left="360" w:hanging="360"/>
      </w:pPr>
      <w:rPr>
        <w:rFonts w:ascii="Times New Roman" w:eastAsia="Malgun Gothic"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76683D26"/>
    <w:multiLevelType w:val="hybridMultilevel"/>
    <w:tmpl w:val="F562422C"/>
    <w:lvl w:ilvl="0" w:tplc="AA5ABA76">
      <w:start w:val="1"/>
      <w:numFmt w:val="lowerLetter"/>
      <w:lvlText w:val="%1."/>
      <w:lvlJc w:val="left"/>
      <w:pPr>
        <w:ind w:left="360" w:hanging="360"/>
      </w:pPr>
      <w:rPr>
        <w:rFonts w:eastAsia="Batang"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209C6ABC">
      <w:start w:val="1"/>
      <w:numFmt w:val="decimal"/>
      <w:lvlText w:val="%4)"/>
      <w:lvlJc w:val="left"/>
      <w:pPr>
        <w:ind w:left="2520" w:hanging="360"/>
      </w:pPr>
      <w:rPr>
        <w:rFonts w:hint="eastAsia"/>
      </w:rPr>
    </w:lvl>
    <w:lvl w:ilvl="4" w:tplc="C186C484">
      <w:start w:val="1"/>
      <w:numFmt w:val="lowerRoman"/>
      <w:lvlText w:val="%5)"/>
      <w:lvlJc w:val="left"/>
      <w:pPr>
        <w:ind w:left="3600" w:hanging="720"/>
      </w:pPr>
      <w:rPr>
        <w:rFonts w:hint="default"/>
      </w:rPr>
    </w:lvl>
    <w:lvl w:ilvl="5" w:tplc="DEA4D1A8">
      <w:start w:val="1"/>
      <w:numFmt w:val="lowerLetter"/>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76E86410"/>
    <w:multiLevelType w:val="multilevel"/>
    <w:tmpl w:val="10501B1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85938F5"/>
    <w:multiLevelType w:val="hybridMultilevel"/>
    <w:tmpl w:val="34D427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9405C12"/>
    <w:multiLevelType w:val="hybridMultilevel"/>
    <w:tmpl w:val="BDF26316"/>
    <w:lvl w:ilvl="0" w:tplc="04090001">
      <w:start w:val="1"/>
      <w:numFmt w:val="bullet"/>
      <w:lvlText w:val=""/>
      <w:lvlJc w:val="left"/>
      <w:pPr>
        <w:ind w:left="1440" w:hanging="360"/>
      </w:pPr>
      <w:rPr>
        <w:rFonts w:ascii="Symbol" w:hAnsi="Symbol" w:hint="default"/>
        <w:b w:val="0"/>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5" w15:restartNumberingAfterBreak="0">
    <w:nsid w:val="79AC15EC"/>
    <w:multiLevelType w:val="multilevel"/>
    <w:tmpl w:val="AC4425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SC4"/>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6" w15:restartNumberingAfterBreak="0">
    <w:nsid w:val="7AD33219"/>
    <w:multiLevelType w:val="hybridMultilevel"/>
    <w:tmpl w:val="3A5C3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7B22231F"/>
    <w:multiLevelType w:val="hybridMultilevel"/>
    <w:tmpl w:val="AA9469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8" w15:restartNumberingAfterBreak="0">
    <w:nsid w:val="7B3D2008"/>
    <w:multiLevelType w:val="hybridMultilevel"/>
    <w:tmpl w:val="01800656"/>
    <w:numStyleLink w:val="ImportedStyle3"/>
  </w:abstractNum>
  <w:abstractNum w:abstractNumId="149" w15:restartNumberingAfterBreak="0">
    <w:nsid w:val="7B5E165C"/>
    <w:multiLevelType w:val="hybridMultilevel"/>
    <w:tmpl w:val="CB9C9B60"/>
    <w:lvl w:ilvl="0" w:tplc="5E7AFEEC">
      <w:start w:val="1"/>
      <w:numFmt w:val="decimal"/>
      <w:pStyle w:val="Heading1"/>
      <w:lvlText w:val="AGENDA ITEM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C284D43"/>
    <w:multiLevelType w:val="hybridMultilevel"/>
    <w:tmpl w:val="6DBAF4CE"/>
    <w:styleLink w:val="ImportedStyle2"/>
    <w:lvl w:ilvl="0" w:tplc="26387D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5CD8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50F8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4A623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9813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7ECA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048A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38F8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9CDC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1" w15:restartNumberingAfterBreak="0">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2" w15:restartNumberingAfterBreak="0">
    <w:nsid w:val="7CDF41FE"/>
    <w:multiLevelType w:val="hybridMultilevel"/>
    <w:tmpl w:val="C6309E20"/>
    <w:lvl w:ilvl="0" w:tplc="A00A0F2A">
      <w:numFmt w:val="bullet"/>
      <w:lvlText w:val=""/>
      <w:lvlJc w:val="left"/>
      <w:pPr>
        <w:ind w:left="420" w:hanging="360"/>
      </w:pPr>
      <w:rPr>
        <w:rFonts w:ascii="Symbol" w:eastAsia="Symbol" w:hAnsi="Symbol" w:cs="Symbol" w:hint="default"/>
        <w:w w:val="100"/>
        <w:sz w:val="22"/>
        <w:szCs w:val="22"/>
      </w:rPr>
    </w:lvl>
    <w:lvl w:ilvl="1" w:tplc="FBC66000">
      <w:numFmt w:val="bullet"/>
      <w:lvlText w:val="•"/>
      <w:lvlJc w:val="left"/>
      <w:pPr>
        <w:ind w:left="1126" w:hanging="360"/>
      </w:pPr>
      <w:rPr>
        <w:rFonts w:hint="default"/>
      </w:rPr>
    </w:lvl>
    <w:lvl w:ilvl="2" w:tplc="7EF4DAEA">
      <w:numFmt w:val="bullet"/>
      <w:lvlText w:val="•"/>
      <w:lvlJc w:val="left"/>
      <w:pPr>
        <w:ind w:left="1832" w:hanging="360"/>
      </w:pPr>
      <w:rPr>
        <w:rFonts w:hint="default"/>
      </w:rPr>
    </w:lvl>
    <w:lvl w:ilvl="3" w:tplc="DA9E9A9C">
      <w:numFmt w:val="bullet"/>
      <w:lvlText w:val="•"/>
      <w:lvlJc w:val="left"/>
      <w:pPr>
        <w:ind w:left="2538" w:hanging="360"/>
      </w:pPr>
      <w:rPr>
        <w:rFonts w:hint="default"/>
      </w:rPr>
    </w:lvl>
    <w:lvl w:ilvl="4" w:tplc="E67485F2">
      <w:numFmt w:val="bullet"/>
      <w:lvlText w:val="•"/>
      <w:lvlJc w:val="left"/>
      <w:pPr>
        <w:ind w:left="3244" w:hanging="360"/>
      </w:pPr>
      <w:rPr>
        <w:rFonts w:hint="default"/>
      </w:rPr>
    </w:lvl>
    <w:lvl w:ilvl="5" w:tplc="086673C4">
      <w:numFmt w:val="bullet"/>
      <w:lvlText w:val="•"/>
      <w:lvlJc w:val="left"/>
      <w:pPr>
        <w:ind w:left="3951" w:hanging="360"/>
      </w:pPr>
      <w:rPr>
        <w:rFonts w:hint="default"/>
      </w:rPr>
    </w:lvl>
    <w:lvl w:ilvl="6" w:tplc="90C66F7C">
      <w:numFmt w:val="bullet"/>
      <w:lvlText w:val="•"/>
      <w:lvlJc w:val="left"/>
      <w:pPr>
        <w:ind w:left="4657" w:hanging="360"/>
      </w:pPr>
      <w:rPr>
        <w:rFonts w:hint="default"/>
      </w:rPr>
    </w:lvl>
    <w:lvl w:ilvl="7" w:tplc="5388ED20">
      <w:numFmt w:val="bullet"/>
      <w:lvlText w:val="•"/>
      <w:lvlJc w:val="left"/>
      <w:pPr>
        <w:ind w:left="5363" w:hanging="360"/>
      </w:pPr>
      <w:rPr>
        <w:rFonts w:hint="default"/>
      </w:rPr>
    </w:lvl>
    <w:lvl w:ilvl="8" w:tplc="A7BC5E14">
      <w:numFmt w:val="bullet"/>
      <w:lvlText w:val="•"/>
      <w:lvlJc w:val="left"/>
      <w:pPr>
        <w:ind w:left="6069" w:hanging="360"/>
      </w:pPr>
      <w:rPr>
        <w:rFonts w:hint="default"/>
      </w:rPr>
    </w:lvl>
  </w:abstractNum>
  <w:abstractNum w:abstractNumId="153" w15:restartNumberingAfterBreak="0">
    <w:nsid w:val="7D1323A2"/>
    <w:multiLevelType w:val="hybridMultilevel"/>
    <w:tmpl w:val="6F907D74"/>
    <w:lvl w:ilvl="0" w:tplc="4AD896EA">
      <w:numFmt w:val="bullet"/>
      <w:lvlText w:val=""/>
      <w:lvlJc w:val="left"/>
      <w:pPr>
        <w:ind w:left="420" w:hanging="360"/>
      </w:pPr>
      <w:rPr>
        <w:rFonts w:ascii="Symbol" w:eastAsia="Symbol" w:hAnsi="Symbol" w:cs="Symbol" w:hint="default"/>
        <w:w w:val="100"/>
        <w:sz w:val="22"/>
        <w:szCs w:val="22"/>
      </w:rPr>
    </w:lvl>
    <w:lvl w:ilvl="1" w:tplc="3ABCD214">
      <w:numFmt w:val="bullet"/>
      <w:lvlText w:val="•"/>
      <w:lvlJc w:val="left"/>
      <w:pPr>
        <w:ind w:left="1071" w:hanging="360"/>
      </w:pPr>
      <w:rPr>
        <w:rFonts w:hint="default"/>
      </w:rPr>
    </w:lvl>
    <w:lvl w:ilvl="2" w:tplc="C5F01D74">
      <w:numFmt w:val="bullet"/>
      <w:lvlText w:val="•"/>
      <w:lvlJc w:val="left"/>
      <w:pPr>
        <w:ind w:left="1723" w:hanging="360"/>
      </w:pPr>
      <w:rPr>
        <w:rFonts w:hint="default"/>
      </w:rPr>
    </w:lvl>
    <w:lvl w:ilvl="3" w:tplc="38BE5C4C">
      <w:numFmt w:val="bullet"/>
      <w:lvlText w:val="•"/>
      <w:lvlJc w:val="left"/>
      <w:pPr>
        <w:ind w:left="2375" w:hanging="360"/>
      </w:pPr>
      <w:rPr>
        <w:rFonts w:hint="default"/>
      </w:rPr>
    </w:lvl>
    <w:lvl w:ilvl="4" w:tplc="24A056C0">
      <w:numFmt w:val="bullet"/>
      <w:lvlText w:val="•"/>
      <w:lvlJc w:val="left"/>
      <w:pPr>
        <w:ind w:left="3027" w:hanging="360"/>
      </w:pPr>
      <w:rPr>
        <w:rFonts w:hint="default"/>
      </w:rPr>
    </w:lvl>
    <w:lvl w:ilvl="5" w:tplc="6E38DB3A">
      <w:numFmt w:val="bullet"/>
      <w:lvlText w:val="•"/>
      <w:lvlJc w:val="left"/>
      <w:pPr>
        <w:ind w:left="3678" w:hanging="360"/>
      </w:pPr>
      <w:rPr>
        <w:rFonts w:hint="default"/>
      </w:rPr>
    </w:lvl>
    <w:lvl w:ilvl="6" w:tplc="EFAE7E4C">
      <w:numFmt w:val="bullet"/>
      <w:lvlText w:val="•"/>
      <w:lvlJc w:val="left"/>
      <w:pPr>
        <w:ind w:left="4330" w:hanging="360"/>
      </w:pPr>
      <w:rPr>
        <w:rFonts w:hint="default"/>
      </w:rPr>
    </w:lvl>
    <w:lvl w:ilvl="7" w:tplc="99888320">
      <w:numFmt w:val="bullet"/>
      <w:lvlText w:val="•"/>
      <w:lvlJc w:val="left"/>
      <w:pPr>
        <w:ind w:left="4982" w:hanging="360"/>
      </w:pPr>
      <w:rPr>
        <w:rFonts w:hint="default"/>
      </w:rPr>
    </w:lvl>
    <w:lvl w:ilvl="8" w:tplc="FE360E10">
      <w:numFmt w:val="bullet"/>
      <w:lvlText w:val="•"/>
      <w:lvlJc w:val="left"/>
      <w:pPr>
        <w:ind w:left="5634" w:hanging="360"/>
      </w:pPr>
      <w:rPr>
        <w:rFonts w:hint="default"/>
      </w:rPr>
    </w:lvl>
  </w:abstractNum>
  <w:abstractNum w:abstractNumId="154" w15:restartNumberingAfterBreak="0">
    <w:nsid w:val="7EC063A2"/>
    <w:multiLevelType w:val="hybridMultilevel"/>
    <w:tmpl w:val="35E03834"/>
    <w:lvl w:ilvl="0" w:tplc="04090017">
      <w:start w:val="1"/>
      <w:numFmt w:val="lowerLetter"/>
      <w:lvlText w:val="%1)"/>
      <w:lvlJc w:val="left"/>
      <w:pPr>
        <w:ind w:left="1287" w:hanging="360"/>
      </w:pPr>
    </w:lvl>
    <w:lvl w:ilvl="1" w:tplc="FF6A3824">
      <w:start w:val="1"/>
      <w:numFmt w:val="decimal"/>
      <w:lvlText w:val="%2)"/>
      <w:lvlJc w:val="left"/>
      <w:pPr>
        <w:ind w:left="2007" w:hanging="360"/>
      </w:pPr>
      <w:rPr>
        <w:rFonts w:eastAsia="MS Mincho" w:hint="default"/>
      </w:rPr>
    </w:lvl>
    <w:lvl w:ilvl="2" w:tplc="3558E28E">
      <w:start w:val="2"/>
      <w:numFmt w:val="lowerLetter"/>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0"/>
  </w:num>
  <w:num w:numId="2">
    <w:abstractNumId w:val="43"/>
  </w:num>
  <w:num w:numId="3">
    <w:abstractNumId w:val="108"/>
  </w:num>
  <w:num w:numId="4">
    <w:abstractNumId w:val="8"/>
  </w:num>
  <w:num w:numId="5">
    <w:abstractNumId w:val="100"/>
  </w:num>
  <w:num w:numId="6">
    <w:abstractNumId w:val="16"/>
  </w:num>
  <w:num w:numId="7">
    <w:abstractNumId w:val="5"/>
  </w:num>
  <w:num w:numId="8">
    <w:abstractNumId w:val="76"/>
  </w:num>
  <w:num w:numId="9">
    <w:abstractNumId w:val="22"/>
  </w:num>
  <w:num w:numId="10">
    <w:abstractNumId w:val="121"/>
  </w:num>
  <w:num w:numId="11">
    <w:abstractNumId w:val="99"/>
  </w:num>
  <w:num w:numId="12">
    <w:abstractNumId w:val="13"/>
  </w:num>
  <w:num w:numId="13">
    <w:abstractNumId w:val="40"/>
  </w:num>
  <w:num w:numId="14">
    <w:abstractNumId w:val="145"/>
  </w:num>
  <w:num w:numId="15">
    <w:abstractNumId w:val="131"/>
  </w:num>
  <w:num w:numId="16">
    <w:abstractNumId w:val="113"/>
  </w:num>
  <w:num w:numId="17">
    <w:abstractNumId w:val="141"/>
  </w:num>
  <w:num w:numId="18">
    <w:abstractNumId w:val="70"/>
  </w:num>
  <w:num w:numId="19">
    <w:abstractNumId w:val="72"/>
  </w:num>
  <w:num w:numId="20">
    <w:abstractNumId w:val="115"/>
  </w:num>
  <w:num w:numId="21">
    <w:abstractNumId w:val="65"/>
  </w:num>
  <w:num w:numId="22">
    <w:abstractNumId w:val="143"/>
  </w:num>
  <w:num w:numId="23">
    <w:abstractNumId w:val="70"/>
    <w:lvlOverride w:ilvl="0">
      <w:startOverride w:val="1"/>
    </w:lvlOverride>
  </w:num>
  <w:num w:numId="24">
    <w:abstractNumId w:val="144"/>
  </w:num>
  <w:num w:numId="25">
    <w:abstractNumId w:val="12"/>
  </w:num>
  <w:num w:numId="26">
    <w:abstractNumId w:val="35"/>
  </w:num>
  <w:num w:numId="27">
    <w:abstractNumId w:val="25"/>
  </w:num>
  <w:num w:numId="28">
    <w:abstractNumId w:val="64"/>
  </w:num>
  <w:num w:numId="29">
    <w:abstractNumId w:val="83"/>
  </w:num>
  <w:num w:numId="30">
    <w:abstractNumId w:val="101"/>
  </w:num>
  <w:num w:numId="31">
    <w:abstractNumId w:val="31"/>
  </w:num>
  <w:num w:numId="32">
    <w:abstractNumId w:val="146"/>
  </w:num>
  <w:num w:numId="33">
    <w:abstractNumId w:val="92"/>
  </w:num>
  <w:num w:numId="34">
    <w:abstractNumId w:val="15"/>
  </w:num>
  <w:num w:numId="35">
    <w:abstractNumId w:val="125"/>
  </w:num>
  <w:num w:numId="36">
    <w:abstractNumId w:val="46"/>
  </w:num>
  <w:num w:numId="37">
    <w:abstractNumId w:val="88"/>
  </w:num>
  <w:num w:numId="38">
    <w:abstractNumId w:val="103"/>
  </w:num>
  <w:num w:numId="39">
    <w:abstractNumId w:val="59"/>
  </w:num>
  <w:num w:numId="40">
    <w:abstractNumId w:val="69"/>
  </w:num>
  <w:num w:numId="41">
    <w:abstractNumId w:val="11"/>
  </w:num>
  <w:num w:numId="42">
    <w:abstractNumId w:val="90"/>
  </w:num>
  <w:num w:numId="43">
    <w:abstractNumId w:val="50"/>
  </w:num>
  <w:num w:numId="44">
    <w:abstractNumId w:val="129"/>
  </w:num>
  <w:num w:numId="45">
    <w:abstractNumId w:val="132"/>
  </w:num>
  <w:num w:numId="46">
    <w:abstractNumId w:val="89"/>
  </w:num>
  <w:num w:numId="47">
    <w:abstractNumId w:val="17"/>
  </w:num>
  <w:num w:numId="48">
    <w:abstractNumId w:val="3"/>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0"/>
  </w:num>
  <w:num w:numId="51">
    <w:abstractNumId w:val="79"/>
  </w:num>
  <w:num w:numId="52">
    <w:abstractNumId w:val="70"/>
  </w:num>
  <w:num w:numId="53">
    <w:abstractNumId w:val="149"/>
  </w:num>
  <w:num w:numId="54">
    <w:abstractNumId w:val="0"/>
  </w:num>
  <w:num w:numId="55">
    <w:abstractNumId w:val="114"/>
  </w:num>
  <w:num w:numId="56">
    <w:abstractNumId w:val="18"/>
  </w:num>
  <w:num w:numId="57">
    <w:abstractNumId w:val="18"/>
    <w:lvlOverride w:ilvl="0">
      <w:lvl w:ilvl="0">
        <w:start w:val="1"/>
        <w:numFmt w:val="decimal"/>
        <w:lvlText w:val="%1."/>
        <w:lvlJc w:val="left"/>
        <w:pPr>
          <w:ind w:left="360" w:hanging="360"/>
        </w:pPr>
        <w:rPr>
          <w:rFonts w:hint="default"/>
        </w:rPr>
      </w:lvl>
    </w:lvlOverride>
    <w:lvlOverride w:ilvl="1">
      <w:lvl w:ilvl="1">
        <w:start w:val="1"/>
        <w:numFmt w:val="decimal"/>
        <w:pStyle w:val="SC2"/>
        <w:lvlText w:val="%1.%2."/>
        <w:lvlJc w:val="left"/>
        <w:pPr>
          <w:ind w:left="720" w:hanging="720"/>
        </w:pPr>
        <w:rPr>
          <w:rFonts w:ascii="Times New Roman" w:hAnsi="Times New Roman" w:cs="Times New Roman"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2">
      <w:lvl w:ilvl="2">
        <w:start w:val="1"/>
        <w:numFmt w:val="decimal"/>
        <w:pStyle w:val="SC3"/>
        <w:lvlText w:val="%1.%2.%3."/>
        <w:lvlJc w:val="left"/>
        <w:pPr>
          <w:ind w:left="1080" w:hanging="72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8">
    <w:abstractNumId w:val="98"/>
  </w:num>
  <w:num w:numId="59">
    <w:abstractNumId w:val="74"/>
  </w:num>
  <w:num w:numId="60">
    <w:abstractNumId w:val="54"/>
  </w:num>
  <w:num w:numId="61">
    <w:abstractNumId w:val="126"/>
  </w:num>
  <w:num w:numId="62">
    <w:abstractNumId w:val="28"/>
  </w:num>
  <w:num w:numId="63">
    <w:abstractNumId w:val="14"/>
  </w:num>
  <w:num w:numId="64">
    <w:abstractNumId w:val="116"/>
  </w:num>
  <w:num w:numId="65">
    <w:abstractNumId w:val="20"/>
  </w:num>
  <w:num w:numId="66">
    <w:abstractNumId w:val="77"/>
  </w:num>
  <w:num w:numId="67">
    <w:abstractNumId w:val="151"/>
  </w:num>
  <w:num w:numId="68">
    <w:abstractNumId w:val="39"/>
  </w:num>
  <w:num w:numId="69">
    <w:abstractNumId w:val="66"/>
  </w:num>
  <w:num w:numId="70">
    <w:abstractNumId w:val="80"/>
  </w:num>
  <w:num w:numId="71">
    <w:abstractNumId w:val="51"/>
  </w:num>
  <w:num w:numId="72">
    <w:abstractNumId w:val="44"/>
  </w:num>
  <w:num w:numId="73">
    <w:abstractNumId w:val="33"/>
  </w:num>
  <w:num w:numId="74">
    <w:abstractNumId w:val="135"/>
  </w:num>
  <w:num w:numId="75">
    <w:abstractNumId w:val="138"/>
  </w:num>
  <w:num w:numId="76">
    <w:abstractNumId w:val="75"/>
  </w:num>
  <w:num w:numId="77">
    <w:abstractNumId w:val="47"/>
  </w:num>
  <w:num w:numId="78">
    <w:abstractNumId w:val="42"/>
  </w:num>
  <w:num w:numId="79">
    <w:abstractNumId w:val="61"/>
  </w:num>
  <w:num w:numId="80">
    <w:abstractNumId w:val="26"/>
  </w:num>
  <w:num w:numId="81">
    <w:abstractNumId w:val="81"/>
  </w:num>
  <w:num w:numId="82">
    <w:abstractNumId w:val="85"/>
  </w:num>
  <w:num w:numId="83">
    <w:abstractNumId w:val="67"/>
  </w:num>
  <w:num w:numId="84">
    <w:abstractNumId w:val="106"/>
  </w:num>
  <w:num w:numId="85">
    <w:abstractNumId w:val="97"/>
  </w:num>
  <w:num w:numId="86">
    <w:abstractNumId w:val="86"/>
  </w:num>
  <w:num w:numId="87">
    <w:abstractNumId w:val="105"/>
  </w:num>
  <w:num w:numId="88">
    <w:abstractNumId w:val="34"/>
  </w:num>
  <w:num w:numId="89">
    <w:abstractNumId w:val="55"/>
  </w:num>
  <w:num w:numId="90">
    <w:abstractNumId w:val="128"/>
  </w:num>
  <w:num w:numId="91">
    <w:abstractNumId w:val="139"/>
  </w:num>
  <w:num w:numId="92">
    <w:abstractNumId w:val="150"/>
  </w:num>
  <w:num w:numId="93">
    <w:abstractNumId w:val="41"/>
  </w:num>
  <w:num w:numId="94">
    <w:abstractNumId w:val="52"/>
  </w:num>
  <w:num w:numId="95">
    <w:abstractNumId w:val="148"/>
  </w:num>
  <w:num w:numId="96">
    <w:abstractNumId w:val="2"/>
  </w:num>
  <w:num w:numId="97">
    <w:abstractNumId w:val="122"/>
  </w:num>
  <w:num w:numId="98">
    <w:abstractNumId w:val="23"/>
  </w:num>
  <w:num w:numId="99">
    <w:abstractNumId w:val="29"/>
  </w:num>
  <w:num w:numId="100">
    <w:abstractNumId w:val="84"/>
  </w:num>
  <w:num w:numId="101">
    <w:abstractNumId w:val="134"/>
  </w:num>
  <w:num w:numId="102">
    <w:abstractNumId w:val="57"/>
  </w:num>
  <w:num w:numId="103">
    <w:abstractNumId w:val="87"/>
  </w:num>
  <w:num w:numId="10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24"/>
  </w:num>
  <w:num w:numId="107">
    <w:abstractNumId w:val="53"/>
  </w:num>
  <w:num w:numId="108">
    <w:abstractNumId w:val="78"/>
  </w:num>
  <w:num w:numId="109">
    <w:abstractNumId w:val="123"/>
  </w:num>
  <w:num w:numId="110">
    <w:abstractNumId w:val="153"/>
  </w:num>
  <w:num w:numId="111">
    <w:abstractNumId w:val="137"/>
  </w:num>
  <w:num w:numId="112">
    <w:abstractNumId w:val="112"/>
  </w:num>
  <w:num w:numId="113">
    <w:abstractNumId w:val="30"/>
  </w:num>
  <w:num w:numId="114">
    <w:abstractNumId w:val="152"/>
  </w:num>
  <w:num w:numId="115">
    <w:abstractNumId w:val="104"/>
  </w:num>
  <w:num w:numId="116">
    <w:abstractNumId w:val="91"/>
  </w:num>
  <w:num w:numId="117">
    <w:abstractNumId w:val="27"/>
  </w:num>
  <w:num w:numId="118">
    <w:abstractNumId w:val="96"/>
  </w:num>
  <w:num w:numId="119">
    <w:abstractNumId w:val="119"/>
  </w:num>
  <w:num w:numId="120">
    <w:abstractNumId w:val="38"/>
  </w:num>
  <w:num w:numId="121">
    <w:abstractNumId w:val="21"/>
  </w:num>
  <w:num w:numId="122">
    <w:abstractNumId w:val="147"/>
  </w:num>
  <w:num w:numId="12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71"/>
  </w:num>
  <w:num w:numId="128">
    <w:abstractNumId w:val="136"/>
  </w:num>
  <w:num w:numId="129">
    <w:abstractNumId w:val="45"/>
  </w:num>
  <w:num w:numId="130">
    <w:abstractNumId w:val="95"/>
  </w:num>
  <w:num w:numId="131">
    <w:abstractNumId w:val="120"/>
  </w:num>
  <w:num w:numId="132">
    <w:abstractNumId w:val="140"/>
  </w:num>
  <w:num w:numId="133">
    <w:abstractNumId w:val="62"/>
  </w:num>
  <w:num w:numId="134">
    <w:abstractNumId w:val="58"/>
  </w:num>
  <w:num w:numId="135">
    <w:abstractNumId w:val="37"/>
  </w:num>
  <w:num w:numId="136">
    <w:abstractNumId w:val="82"/>
  </w:num>
  <w:num w:numId="137">
    <w:abstractNumId w:val="107"/>
  </w:num>
  <w:num w:numId="138">
    <w:abstractNumId w:val="94"/>
  </w:num>
  <w:num w:numId="139">
    <w:abstractNumId w:val="127"/>
  </w:num>
  <w:num w:numId="140">
    <w:abstractNumId w:val="63"/>
  </w:num>
  <w:num w:numId="141">
    <w:abstractNumId w:val="117"/>
  </w:num>
  <w:num w:numId="142">
    <w:abstractNumId w:val="18"/>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8"/>
  </w:num>
  <w:num w:numId="144">
    <w:abstractNumId w:val="18"/>
  </w:num>
  <w:num w:numId="145">
    <w:abstractNumId w:val="111"/>
  </w:num>
  <w:num w:numId="146">
    <w:abstractNumId w:val="109"/>
  </w:num>
  <w:num w:numId="147">
    <w:abstractNumId w:val="68"/>
  </w:num>
  <w:num w:numId="148">
    <w:abstractNumId w:val="49"/>
  </w:num>
  <w:num w:numId="149">
    <w:abstractNumId w:val="154"/>
  </w:num>
  <w:num w:numId="150">
    <w:abstractNumId w:val="60"/>
  </w:num>
  <w:num w:numId="151">
    <w:abstractNumId w:val="130"/>
  </w:num>
  <w:num w:numId="152">
    <w:abstractNumId w:val="133"/>
  </w:num>
  <w:num w:numId="153">
    <w:abstractNumId w:val="73"/>
  </w:num>
  <w:num w:numId="154">
    <w:abstractNumId w:val="70"/>
    <w:lvlOverride w:ilvl="0">
      <w:startOverride w:val="248"/>
    </w:lvlOverride>
  </w:num>
  <w:num w:numId="155">
    <w:abstractNumId w:val="70"/>
    <w:lvlOverride w:ilvl="0">
      <w:startOverride w:val="247"/>
    </w:lvlOverride>
  </w:num>
  <w:num w:numId="156">
    <w:abstractNumId w:val="19"/>
  </w:num>
  <w:num w:numId="157">
    <w:abstractNumId w:val="4"/>
  </w:num>
  <w:num w:numId="158">
    <w:abstractNumId w:val="93"/>
  </w:num>
  <w:num w:numId="159">
    <w:abstractNumId w:val="9"/>
  </w:num>
  <w:num w:numId="160">
    <w:abstractNumId w:val="56"/>
  </w:num>
  <w:num w:numId="161">
    <w:abstractNumId w:val="118"/>
  </w:num>
  <w:num w:numId="162">
    <w:abstractNumId w:val="32"/>
  </w:num>
  <w:num w:numId="163">
    <w:abstractNumId w:val="142"/>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4"/>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306"/>
    <w:rsid w:val="000001A0"/>
    <w:rsid w:val="00000C9D"/>
    <w:rsid w:val="00000DBA"/>
    <w:rsid w:val="00001058"/>
    <w:rsid w:val="00001D0B"/>
    <w:rsid w:val="000024C2"/>
    <w:rsid w:val="0000258F"/>
    <w:rsid w:val="000040DA"/>
    <w:rsid w:val="000042D6"/>
    <w:rsid w:val="0000467F"/>
    <w:rsid w:val="0000479C"/>
    <w:rsid w:val="0000488F"/>
    <w:rsid w:val="00004C1C"/>
    <w:rsid w:val="0000523C"/>
    <w:rsid w:val="0000583E"/>
    <w:rsid w:val="00005A70"/>
    <w:rsid w:val="00005EE2"/>
    <w:rsid w:val="000064AB"/>
    <w:rsid w:val="00006EB8"/>
    <w:rsid w:val="000075BC"/>
    <w:rsid w:val="00007CA4"/>
    <w:rsid w:val="000108D6"/>
    <w:rsid w:val="0001135E"/>
    <w:rsid w:val="000113CB"/>
    <w:rsid w:val="00011435"/>
    <w:rsid w:val="00011C10"/>
    <w:rsid w:val="00011E50"/>
    <w:rsid w:val="0001224A"/>
    <w:rsid w:val="000123AE"/>
    <w:rsid w:val="0001285E"/>
    <w:rsid w:val="00012873"/>
    <w:rsid w:val="00012C68"/>
    <w:rsid w:val="000130F7"/>
    <w:rsid w:val="00013805"/>
    <w:rsid w:val="00013AA2"/>
    <w:rsid w:val="00013DD0"/>
    <w:rsid w:val="000140A6"/>
    <w:rsid w:val="00014276"/>
    <w:rsid w:val="00014D5E"/>
    <w:rsid w:val="00014F82"/>
    <w:rsid w:val="00015402"/>
    <w:rsid w:val="00015C98"/>
    <w:rsid w:val="0001610C"/>
    <w:rsid w:val="00016360"/>
    <w:rsid w:val="00017001"/>
    <w:rsid w:val="00017FBF"/>
    <w:rsid w:val="00020DDF"/>
    <w:rsid w:val="000217BC"/>
    <w:rsid w:val="00021B13"/>
    <w:rsid w:val="00022222"/>
    <w:rsid w:val="000223D7"/>
    <w:rsid w:val="000227B3"/>
    <w:rsid w:val="0002282F"/>
    <w:rsid w:val="00022B73"/>
    <w:rsid w:val="000232E7"/>
    <w:rsid w:val="00023387"/>
    <w:rsid w:val="000237D9"/>
    <w:rsid w:val="000240D6"/>
    <w:rsid w:val="00024843"/>
    <w:rsid w:val="0002509D"/>
    <w:rsid w:val="0002525A"/>
    <w:rsid w:val="00025593"/>
    <w:rsid w:val="00025781"/>
    <w:rsid w:val="00025816"/>
    <w:rsid w:val="00025C8B"/>
    <w:rsid w:val="00027130"/>
    <w:rsid w:val="000273BF"/>
    <w:rsid w:val="00027882"/>
    <w:rsid w:val="00027B14"/>
    <w:rsid w:val="0003016B"/>
    <w:rsid w:val="00030C2C"/>
    <w:rsid w:val="0003128C"/>
    <w:rsid w:val="0003131C"/>
    <w:rsid w:val="000316CF"/>
    <w:rsid w:val="0003209E"/>
    <w:rsid w:val="000320CA"/>
    <w:rsid w:val="00032C5F"/>
    <w:rsid w:val="0003327A"/>
    <w:rsid w:val="00033908"/>
    <w:rsid w:val="00034393"/>
    <w:rsid w:val="00034A2E"/>
    <w:rsid w:val="00034B5C"/>
    <w:rsid w:val="000359E0"/>
    <w:rsid w:val="00035C51"/>
    <w:rsid w:val="00036C9D"/>
    <w:rsid w:val="00036E00"/>
    <w:rsid w:val="000372FC"/>
    <w:rsid w:val="00037704"/>
    <w:rsid w:val="0004084D"/>
    <w:rsid w:val="00040AC0"/>
    <w:rsid w:val="00040D02"/>
    <w:rsid w:val="00041D2E"/>
    <w:rsid w:val="000428DE"/>
    <w:rsid w:val="00042A7A"/>
    <w:rsid w:val="000435A2"/>
    <w:rsid w:val="000439C4"/>
    <w:rsid w:val="000441A6"/>
    <w:rsid w:val="00044239"/>
    <w:rsid w:val="00044AC8"/>
    <w:rsid w:val="00044DD2"/>
    <w:rsid w:val="00046D7C"/>
    <w:rsid w:val="0004745E"/>
    <w:rsid w:val="0004784B"/>
    <w:rsid w:val="00051030"/>
    <w:rsid w:val="0005111C"/>
    <w:rsid w:val="0005246E"/>
    <w:rsid w:val="00053066"/>
    <w:rsid w:val="0005316E"/>
    <w:rsid w:val="0005483A"/>
    <w:rsid w:val="0005624B"/>
    <w:rsid w:val="00056ACE"/>
    <w:rsid w:val="00056BC5"/>
    <w:rsid w:val="0006090B"/>
    <w:rsid w:val="00060F28"/>
    <w:rsid w:val="000612F4"/>
    <w:rsid w:val="00061454"/>
    <w:rsid w:val="000614F2"/>
    <w:rsid w:val="00061730"/>
    <w:rsid w:val="000628F1"/>
    <w:rsid w:val="00062DCB"/>
    <w:rsid w:val="00063D0C"/>
    <w:rsid w:val="00063F11"/>
    <w:rsid w:val="0006402D"/>
    <w:rsid w:val="0006458F"/>
    <w:rsid w:val="0006460A"/>
    <w:rsid w:val="00064CBA"/>
    <w:rsid w:val="0006599F"/>
    <w:rsid w:val="00065A34"/>
    <w:rsid w:val="00065A5F"/>
    <w:rsid w:val="00066D5B"/>
    <w:rsid w:val="000679B0"/>
    <w:rsid w:val="00070015"/>
    <w:rsid w:val="00070AC1"/>
    <w:rsid w:val="00070CD5"/>
    <w:rsid w:val="000715D1"/>
    <w:rsid w:val="00071777"/>
    <w:rsid w:val="0007177E"/>
    <w:rsid w:val="00071A97"/>
    <w:rsid w:val="00071C61"/>
    <w:rsid w:val="00071EA5"/>
    <w:rsid w:val="0007203E"/>
    <w:rsid w:val="00072168"/>
    <w:rsid w:val="000729DD"/>
    <w:rsid w:val="00072AE0"/>
    <w:rsid w:val="00072FEB"/>
    <w:rsid w:val="00073200"/>
    <w:rsid w:val="00073DD2"/>
    <w:rsid w:val="00074503"/>
    <w:rsid w:val="00074558"/>
    <w:rsid w:val="00074B18"/>
    <w:rsid w:val="00074DDE"/>
    <w:rsid w:val="000750B5"/>
    <w:rsid w:val="00075D66"/>
    <w:rsid w:val="000760D3"/>
    <w:rsid w:val="000763F0"/>
    <w:rsid w:val="0007653C"/>
    <w:rsid w:val="00076B6E"/>
    <w:rsid w:val="00077073"/>
    <w:rsid w:val="00077F19"/>
    <w:rsid w:val="000804A2"/>
    <w:rsid w:val="00080C99"/>
    <w:rsid w:val="00081628"/>
    <w:rsid w:val="00081EA7"/>
    <w:rsid w:val="00082BEE"/>
    <w:rsid w:val="00082C88"/>
    <w:rsid w:val="00083BB8"/>
    <w:rsid w:val="00083D1E"/>
    <w:rsid w:val="00083DED"/>
    <w:rsid w:val="00084719"/>
    <w:rsid w:val="0008481C"/>
    <w:rsid w:val="0008578D"/>
    <w:rsid w:val="000858B9"/>
    <w:rsid w:val="00085A96"/>
    <w:rsid w:val="00085BBA"/>
    <w:rsid w:val="0008628A"/>
    <w:rsid w:val="00086B12"/>
    <w:rsid w:val="000872BD"/>
    <w:rsid w:val="00087547"/>
    <w:rsid w:val="0008761D"/>
    <w:rsid w:val="00087BC1"/>
    <w:rsid w:val="00087C6B"/>
    <w:rsid w:val="00087E75"/>
    <w:rsid w:val="000905F9"/>
    <w:rsid w:val="00090C32"/>
    <w:rsid w:val="00091861"/>
    <w:rsid w:val="00093130"/>
    <w:rsid w:val="000933A4"/>
    <w:rsid w:val="000947E0"/>
    <w:rsid w:val="00094FED"/>
    <w:rsid w:val="00095B34"/>
    <w:rsid w:val="00097007"/>
    <w:rsid w:val="0009756A"/>
    <w:rsid w:val="00097959"/>
    <w:rsid w:val="00097C4D"/>
    <w:rsid w:val="000A0027"/>
    <w:rsid w:val="000A0DA0"/>
    <w:rsid w:val="000A161E"/>
    <w:rsid w:val="000A1F54"/>
    <w:rsid w:val="000A2875"/>
    <w:rsid w:val="000A3375"/>
    <w:rsid w:val="000A34CE"/>
    <w:rsid w:val="000A36DC"/>
    <w:rsid w:val="000A3D35"/>
    <w:rsid w:val="000A489E"/>
    <w:rsid w:val="000A4ED9"/>
    <w:rsid w:val="000A5413"/>
    <w:rsid w:val="000A5769"/>
    <w:rsid w:val="000A585A"/>
    <w:rsid w:val="000A5971"/>
    <w:rsid w:val="000A5A80"/>
    <w:rsid w:val="000A6D9A"/>
    <w:rsid w:val="000A7045"/>
    <w:rsid w:val="000B0148"/>
    <w:rsid w:val="000B096E"/>
    <w:rsid w:val="000B0993"/>
    <w:rsid w:val="000B0B51"/>
    <w:rsid w:val="000B0F63"/>
    <w:rsid w:val="000B0FB6"/>
    <w:rsid w:val="000B0FEA"/>
    <w:rsid w:val="000B10BD"/>
    <w:rsid w:val="000B131D"/>
    <w:rsid w:val="000B143A"/>
    <w:rsid w:val="000B3327"/>
    <w:rsid w:val="000B3902"/>
    <w:rsid w:val="000B39A6"/>
    <w:rsid w:val="000B39D1"/>
    <w:rsid w:val="000B4613"/>
    <w:rsid w:val="000B467B"/>
    <w:rsid w:val="000B58AA"/>
    <w:rsid w:val="000B636C"/>
    <w:rsid w:val="000B69EF"/>
    <w:rsid w:val="000B7B18"/>
    <w:rsid w:val="000B7D2E"/>
    <w:rsid w:val="000B7D69"/>
    <w:rsid w:val="000C01D7"/>
    <w:rsid w:val="000C01DF"/>
    <w:rsid w:val="000C02D3"/>
    <w:rsid w:val="000C04FC"/>
    <w:rsid w:val="000C0E3A"/>
    <w:rsid w:val="000C15FE"/>
    <w:rsid w:val="000C1D29"/>
    <w:rsid w:val="000C1F4C"/>
    <w:rsid w:val="000C1FE4"/>
    <w:rsid w:val="000C2252"/>
    <w:rsid w:val="000C2633"/>
    <w:rsid w:val="000C2B26"/>
    <w:rsid w:val="000C428B"/>
    <w:rsid w:val="000C5372"/>
    <w:rsid w:val="000C55B5"/>
    <w:rsid w:val="000C5C6A"/>
    <w:rsid w:val="000C6F61"/>
    <w:rsid w:val="000C78F2"/>
    <w:rsid w:val="000D0433"/>
    <w:rsid w:val="000D097B"/>
    <w:rsid w:val="000D1310"/>
    <w:rsid w:val="000D1FD5"/>
    <w:rsid w:val="000D236D"/>
    <w:rsid w:val="000D244C"/>
    <w:rsid w:val="000D2769"/>
    <w:rsid w:val="000D3884"/>
    <w:rsid w:val="000D47A6"/>
    <w:rsid w:val="000D6159"/>
    <w:rsid w:val="000D6462"/>
    <w:rsid w:val="000D75AF"/>
    <w:rsid w:val="000D7647"/>
    <w:rsid w:val="000D7CEF"/>
    <w:rsid w:val="000E0403"/>
    <w:rsid w:val="000E0689"/>
    <w:rsid w:val="000E114B"/>
    <w:rsid w:val="000E13CC"/>
    <w:rsid w:val="000E161F"/>
    <w:rsid w:val="000E24A6"/>
    <w:rsid w:val="000E2C71"/>
    <w:rsid w:val="000E2DFC"/>
    <w:rsid w:val="000E32D1"/>
    <w:rsid w:val="000E39FA"/>
    <w:rsid w:val="000E4410"/>
    <w:rsid w:val="000E482D"/>
    <w:rsid w:val="000E48D8"/>
    <w:rsid w:val="000E50F7"/>
    <w:rsid w:val="000E5174"/>
    <w:rsid w:val="000E5F24"/>
    <w:rsid w:val="000E6966"/>
    <w:rsid w:val="000E69EA"/>
    <w:rsid w:val="000E7139"/>
    <w:rsid w:val="000E739E"/>
    <w:rsid w:val="000E7A4C"/>
    <w:rsid w:val="000F04C7"/>
    <w:rsid w:val="000F0A8E"/>
    <w:rsid w:val="000F0B14"/>
    <w:rsid w:val="000F0DB9"/>
    <w:rsid w:val="000F0DC2"/>
    <w:rsid w:val="000F1497"/>
    <w:rsid w:val="000F19C3"/>
    <w:rsid w:val="000F1BF3"/>
    <w:rsid w:val="000F218C"/>
    <w:rsid w:val="000F2DFC"/>
    <w:rsid w:val="000F3915"/>
    <w:rsid w:val="000F4054"/>
    <w:rsid w:val="000F4DB7"/>
    <w:rsid w:val="000F508C"/>
    <w:rsid w:val="000F5AA2"/>
    <w:rsid w:val="000F5C05"/>
    <w:rsid w:val="000F5FAD"/>
    <w:rsid w:val="000F7086"/>
    <w:rsid w:val="000F7515"/>
    <w:rsid w:val="000F7B3D"/>
    <w:rsid w:val="00100236"/>
    <w:rsid w:val="00100856"/>
    <w:rsid w:val="00100864"/>
    <w:rsid w:val="00100FF6"/>
    <w:rsid w:val="001014EC"/>
    <w:rsid w:val="00101607"/>
    <w:rsid w:val="00101D92"/>
    <w:rsid w:val="001023CE"/>
    <w:rsid w:val="001027B1"/>
    <w:rsid w:val="00102837"/>
    <w:rsid w:val="001031BF"/>
    <w:rsid w:val="00103F9B"/>
    <w:rsid w:val="00104A6E"/>
    <w:rsid w:val="00104CEF"/>
    <w:rsid w:val="0010598C"/>
    <w:rsid w:val="00105C43"/>
    <w:rsid w:val="00110E47"/>
    <w:rsid w:val="00110EA8"/>
    <w:rsid w:val="0011139B"/>
    <w:rsid w:val="0011161C"/>
    <w:rsid w:val="00111F32"/>
    <w:rsid w:val="00112761"/>
    <w:rsid w:val="00112951"/>
    <w:rsid w:val="00112985"/>
    <w:rsid w:val="00112BCE"/>
    <w:rsid w:val="00112C3E"/>
    <w:rsid w:val="00112EA8"/>
    <w:rsid w:val="0011334C"/>
    <w:rsid w:val="00113CE1"/>
    <w:rsid w:val="00113E0F"/>
    <w:rsid w:val="00114D28"/>
    <w:rsid w:val="0011506B"/>
    <w:rsid w:val="00117A6F"/>
    <w:rsid w:val="00117C88"/>
    <w:rsid w:val="00120437"/>
    <w:rsid w:val="00120872"/>
    <w:rsid w:val="00122DC5"/>
    <w:rsid w:val="0012367A"/>
    <w:rsid w:val="00123BC0"/>
    <w:rsid w:val="001240B6"/>
    <w:rsid w:val="001241BF"/>
    <w:rsid w:val="001242F0"/>
    <w:rsid w:val="001245DB"/>
    <w:rsid w:val="00124710"/>
    <w:rsid w:val="00124756"/>
    <w:rsid w:val="0012477F"/>
    <w:rsid w:val="001249ED"/>
    <w:rsid w:val="00124CE6"/>
    <w:rsid w:val="00124D2E"/>
    <w:rsid w:val="00124EF1"/>
    <w:rsid w:val="0012584F"/>
    <w:rsid w:val="00126D46"/>
    <w:rsid w:val="00126F71"/>
    <w:rsid w:val="00127D8E"/>
    <w:rsid w:val="001309B0"/>
    <w:rsid w:val="00130D59"/>
    <w:rsid w:val="001313FA"/>
    <w:rsid w:val="00131DB0"/>
    <w:rsid w:val="00132438"/>
    <w:rsid w:val="00132A2F"/>
    <w:rsid w:val="0013303E"/>
    <w:rsid w:val="0013394D"/>
    <w:rsid w:val="0013451D"/>
    <w:rsid w:val="00134E8A"/>
    <w:rsid w:val="00135F30"/>
    <w:rsid w:val="0013626D"/>
    <w:rsid w:val="001365CB"/>
    <w:rsid w:val="001372C0"/>
    <w:rsid w:val="00137CAE"/>
    <w:rsid w:val="00137DEC"/>
    <w:rsid w:val="00137E94"/>
    <w:rsid w:val="0014105F"/>
    <w:rsid w:val="00142577"/>
    <w:rsid w:val="001435CE"/>
    <w:rsid w:val="001436AF"/>
    <w:rsid w:val="00143AD7"/>
    <w:rsid w:val="00143B0D"/>
    <w:rsid w:val="00143BF5"/>
    <w:rsid w:val="00143DE8"/>
    <w:rsid w:val="00145077"/>
    <w:rsid w:val="00145E5D"/>
    <w:rsid w:val="00145F2E"/>
    <w:rsid w:val="0014618E"/>
    <w:rsid w:val="0014685B"/>
    <w:rsid w:val="00146B98"/>
    <w:rsid w:val="00146C47"/>
    <w:rsid w:val="00147447"/>
    <w:rsid w:val="00147B9F"/>
    <w:rsid w:val="00147CBD"/>
    <w:rsid w:val="0015043B"/>
    <w:rsid w:val="00151C94"/>
    <w:rsid w:val="001521F6"/>
    <w:rsid w:val="001524E6"/>
    <w:rsid w:val="00152528"/>
    <w:rsid w:val="00152C96"/>
    <w:rsid w:val="00152D26"/>
    <w:rsid w:val="00152F52"/>
    <w:rsid w:val="00153D6E"/>
    <w:rsid w:val="00153EAA"/>
    <w:rsid w:val="00154A0C"/>
    <w:rsid w:val="0015508E"/>
    <w:rsid w:val="0015510B"/>
    <w:rsid w:val="0015567F"/>
    <w:rsid w:val="001559B3"/>
    <w:rsid w:val="00157317"/>
    <w:rsid w:val="001579A5"/>
    <w:rsid w:val="00160132"/>
    <w:rsid w:val="0016076D"/>
    <w:rsid w:val="00160BAA"/>
    <w:rsid w:val="00160D26"/>
    <w:rsid w:val="001610FD"/>
    <w:rsid w:val="001616E2"/>
    <w:rsid w:val="001619BF"/>
    <w:rsid w:val="00163012"/>
    <w:rsid w:val="001633EB"/>
    <w:rsid w:val="00164A6C"/>
    <w:rsid w:val="00164DDB"/>
    <w:rsid w:val="00164E62"/>
    <w:rsid w:val="00165325"/>
    <w:rsid w:val="00166C6C"/>
    <w:rsid w:val="00166D0D"/>
    <w:rsid w:val="001676C5"/>
    <w:rsid w:val="00167860"/>
    <w:rsid w:val="001679DA"/>
    <w:rsid w:val="00167C2C"/>
    <w:rsid w:val="001700E4"/>
    <w:rsid w:val="001707A2"/>
    <w:rsid w:val="001710BC"/>
    <w:rsid w:val="001710D5"/>
    <w:rsid w:val="00171796"/>
    <w:rsid w:val="00171D7A"/>
    <w:rsid w:val="00173844"/>
    <w:rsid w:val="00173981"/>
    <w:rsid w:val="00173A7A"/>
    <w:rsid w:val="00174039"/>
    <w:rsid w:val="001740C5"/>
    <w:rsid w:val="00174327"/>
    <w:rsid w:val="00174CC2"/>
    <w:rsid w:val="00174FEF"/>
    <w:rsid w:val="001750FC"/>
    <w:rsid w:val="00175210"/>
    <w:rsid w:val="00175752"/>
    <w:rsid w:val="0017578A"/>
    <w:rsid w:val="00175CF0"/>
    <w:rsid w:val="00176461"/>
    <w:rsid w:val="0017650F"/>
    <w:rsid w:val="0017683B"/>
    <w:rsid w:val="00176DF4"/>
    <w:rsid w:val="0017735E"/>
    <w:rsid w:val="001775FB"/>
    <w:rsid w:val="001804C6"/>
    <w:rsid w:val="001809F2"/>
    <w:rsid w:val="0018140D"/>
    <w:rsid w:val="00182C35"/>
    <w:rsid w:val="001833E1"/>
    <w:rsid w:val="00183A62"/>
    <w:rsid w:val="00184015"/>
    <w:rsid w:val="00185945"/>
    <w:rsid w:val="00185B09"/>
    <w:rsid w:val="00185B5B"/>
    <w:rsid w:val="00185CD8"/>
    <w:rsid w:val="001867E9"/>
    <w:rsid w:val="001873C4"/>
    <w:rsid w:val="0018753E"/>
    <w:rsid w:val="001877C7"/>
    <w:rsid w:val="0019080E"/>
    <w:rsid w:val="0019144F"/>
    <w:rsid w:val="00192D32"/>
    <w:rsid w:val="00192D74"/>
    <w:rsid w:val="0019369B"/>
    <w:rsid w:val="001941EF"/>
    <w:rsid w:val="00194AEE"/>
    <w:rsid w:val="00194D4A"/>
    <w:rsid w:val="0019514F"/>
    <w:rsid w:val="0019597D"/>
    <w:rsid w:val="00195D2A"/>
    <w:rsid w:val="0019638E"/>
    <w:rsid w:val="001972D5"/>
    <w:rsid w:val="00197717"/>
    <w:rsid w:val="00197CF4"/>
    <w:rsid w:val="001A136F"/>
    <w:rsid w:val="001A14BC"/>
    <w:rsid w:val="001A1C9A"/>
    <w:rsid w:val="001A310A"/>
    <w:rsid w:val="001A3185"/>
    <w:rsid w:val="001A3C90"/>
    <w:rsid w:val="001A3FB5"/>
    <w:rsid w:val="001A41AA"/>
    <w:rsid w:val="001A47AB"/>
    <w:rsid w:val="001A6137"/>
    <w:rsid w:val="001A6166"/>
    <w:rsid w:val="001A7028"/>
    <w:rsid w:val="001A781D"/>
    <w:rsid w:val="001B0BB7"/>
    <w:rsid w:val="001B16EA"/>
    <w:rsid w:val="001B2227"/>
    <w:rsid w:val="001B22F5"/>
    <w:rsid w:val="001B2603"/>
    <w:rsid w:val="001B2623"/>
    <w:rsid w:val="001B2920"/>
    <w:rsid w:val="001B302A"/>
    <w:rsid w:val="001B3707"/>
    <w:rsid w:val="001B3CBB"/>
    <w:rsid w:val="001B425D"/>
    <w:rsid w:val="001B4376"/>
    <w:rsid w:val="001B45B8"/>
    <w:rsid w:val="001B463A"/>
    <w:rsid w:val="001B46FB"/>
    <w:rsid w:val="001B49F1"/>
    <w:rsid w:val="001B4C44"/>
    <w:rsid w:val="001B5753"/>
    <w:rsid w:val="001B5B8F"/>
    <w:rsid w:val="001B60B4"/>
    <w:rsid w:val="001B66A8"/>
    <w:rsid w:val="001B6F02"/>
    <w:rsid w:val="001C02FE"/>
    <w:rsid w:val="001C0854"/>
    <w:rsid w:val="001C1AA9"/>
    <w:rsid w:val="001C32CD"/>
    <w:rsid w:val="001C3402"/>
    <w:rsid w:val="001C3AB3"/>
    <w:rsid w:val="001C3FF0"/>
    <w:rsid w:val="001C55C9"/>
    <w:rsid w:val="001C5BF8"/>
    <w:rsid w:val="001C6100"/>
    <w:rsid w:val="001C7844"/>
    <w:rsid w:val="001C7B11"/>
    <w:rsid w:val="001D01E1"/>
    <w:rsid w:val="001D035B"/>
    <w:rsid w:val="001D1048"/>
    <w:rsid w:val="001D276F"/>
    <w:rsid w:val="001D3266"/>
    <w:rsid w:val="001D3518"/>
    <w:rsid w:val="001D39D7"/>
    <w:rsid w:val="001D3BF9"/>
    <w:rsid w:val="001D48C1"/>
    <w:rsid w:val="001D496F"/>
    <w:rsid w:val="001D5095"/>
    <w:rsid w:val="001D5262"/>
    <w:rsid w:val="001D55E6"/>
    <w:rsid w:val="001D5857"/>
    <w:rsid w:val="001D691E"/>
    <w:rsid w:val="001D6997"/>
    <w:rsid w:val="001D6D26"/>
    <w:rsid w:val="001D76B2"/>
    <w:rsid w:val="001E06DB"/>
    <w:rsid w:val="001E0961"/>
    <w:rsid w:val="001E0CE0"/>
    <w:rsid w:val="001E1C81"/>
    <w:rsid w:val="001E2BDE"/>
    <w:rsid w:val="001E327D"/>
    <w:rsid w:val="001E4C5D"/>
    <w:rsid w:val="001E765E"/>
    <w:rsid w:val="001E7DB8"/>
    <w:rsid w:val="001E7E1C"/>
    <w:rsid w:val="001F0272"/>
    <w:rsid w:val="001F028D"/>
    <w:rsid w:val="001F0919"/>
    <w:rsid w:val="001F0D3D"/>
    <w:rsid w:val="001F116A"/>
    <w:rsid w:val="001F11FA"/>
    <w:rsid w:val="001F1291"/>
    <w:rsid w:val="001F13C6"/>
    <w:rsid w:val="001F183A"/>
    <w:rsid w:val="001F190E"/>
    <w:rsid w:val="001F1C51"/>
    <w:rsid w:val="001F1DC4"/>
    <w:rsid w:val="001F20A3"/>
    <w:rsid w:val="001F2446"/>
    <w:rsid w:val="001F2DA3"/>
    <w:rsid w:val="001F2F6A"/>
    <w:rsid w:val="001F33F2"/>
    <w:rsid w:val="001F3FF4"/>
    <w:rsid w:val="001F48FB"/>
    <w:rsid w:val="001F4A45"/>
    <w:rsid w:val="001F4E5D"/>
    <w:rsid w:val="001F539C"/>
    <w:rsid w:val="001F5F84"/>
    <w:rsid w:val="001F6468"/>
    <w:rsid w:val="001F66CF"/>
    <w:rsid w:val="001F6AF1"/>
    <w:rsid w:val="001F777D"/>
    <w:rsid w:val="002006B5"/>
    <w:rsid w:val="00200AAE"/>
    <w:rsid w:val="00200C8B"/>
    <w:rsid w:val="00201325"/>
    <w:rsid w:val="00201CD7"/>
    <w:rsid w:val="002020C9"/>
    <w:rsid w:val="002023B4"/>
    <w:rsid w:val="00202EA7"/>
    <w:rsid w:val="00203509"/>
    <w:rsid w:val="002036BF"/>
    <w:rsid w:val="002037C5"/>
    <w:rsid w:val="00203B04"/>
    <w:rsid w:val="00203FA3"/>
    <w:rsid w:val="00204294"/>
    <w:rsid w:val="002046C0"/>
    <w:rsid w:val="00205402"/>
    <w:rsid w:val="002054ED"/>
    <w:rsid w:val="00205705"/>
    <w:rsid w:val="00205951"/>
    <w:rsid w:val="00205CD8"/>
    <w:rsid w:val="00205FBB"/>
    <w:rsid w:val="00206CB0"/>
    <w:rsid w:val="00207230"/>
    <w:rsid w:val="002072E1"/>
    <w:rsid w:val="002074D4"/>
    <w:rsid w:val="00207521"/>
    <w:rsid w:val="00210206"/>
    <w:rsid w:val="0021097C"/>
    <w:rsid w:val="00210B51"/>
    <w:rsid w:val="00210D6F"/>
    <w:rsid w:val="002115ED"/>
    <w:rsid w:val="00211B27"/>
    <w:rsid w:val="002134AF"/>
    <w:rsid w:val="00215842"/>
    <w:rsid w:val="00216CA0"/>
    <w:rsid w:val="00216E16"/>
    <w:rsid w:val="002177AA"/>
    <w:rsid w:val="002200C4"/>
    <w:rsid w:val="00222ACB"/>
    <w:rsid w:val="00222DA3"/>
    <w:rsid w:val="00222F02"/>
    <w:rsid w:val="00223043"/>
    <w:rsid w:val="002232D1"/>
    <w:rsid w:val="00223741"/>
    <w:rsid w:val="0022465E"/>
    <w:rsid w:val="00224927"/>
    <w:rsid w:val="00224E44"/>
    <w:rsid w:val="00225EAC"/>
    <w:rsid w:val="00226418"/>
    <w:rsid w:val="002266FC"/>
    <w:rsid w:val="0022691E"/>
    <w:rsid w:val="002270B1"/>
    <w:rsid w:val="00227470"/>
    <w:rsid w:val="002277AC"/>
    <w:rsid w:val="0022792C"/>
    <w:rsid w:val="00227ECD"/>
    <w:rsid w:val="00230C63"/>
    <w:rsid w:val="002312DF"/>
    <w:rsid w:val="002318D8"/>
    <w:rsid w:val="00231CC6"/>
    <w:rsid w:val="0023246A"/>
    <w:rsid w:val="00232B75"/>
    <w:rsid w:val="00232CB3"/>
    <w:rsid w:val="00233450"/>
    <w:rsid w:val="00233634"/>
    <w:rsid w:val="00234717"/>
    <w:rsid w:val="00234768"/>
    <w:rsid w:val="00234965"/>
    <w:rsid w:val="002351DD"/>
    <w:rsid w:val="0023527D"/>
    <w:rsid w:val="00235963"/>
    <w:rsid w:val="00235F75"/>
    <w:rsid w:val="002368CB"/>
    <w:rsid w:val="002369C9"/>
    <w:rsid w:val="00236C18"/>
    <w:rsid w:val="00237365"/>
    <w:rsid w:val="00237D97"/>
    <w:rsid w:val="00237E46"/>
    <w:rsid w:val="00241619"/>
    <w:rsid w:val="00241D60"/>
    <w:rsid w:val="00241EC6"/>
    <w:rsid w:val="0024281D"/>
    <w:rsid w:val="002428D2"/>
    <w:rsid w:val="002428E8"/>
    <w:rsid w:val="002441B4"/>
    <w:rsid w:val="00244357"/>
    <w:rsid w:val="0024482D"/>
    <w:rsid w:val="002455A6"/>
    <w:rsid w:val="002459DF"/>
    <w:rsid w:val="002466E5"/>
    <w:rsid w:val="00246B5A"/>
    <w:rsid w:val="002477AE"/>
    <w:rsid w:val="00247DEA"/>
    <w:rsid w:val="002506B7"/>
    <w:rsid w:val="00250799"/>
    <w:rsid w:val="002510DD"/>
    <w:rsid w:val="002517FA"/>
    <w:rsid w:val="00251CF6"/>
    <w:rsid w:val="00251E1F"/>
    <w:rsid w:val="00252B01"/>
    <w:rsid w:val="00253F82"/>
    <w:rsid w:val="0025443D"/>
    <w:rsid w:val="00254DF7"/>
    <w:rsid w:val="002551D1"/>
    <w:rsid w:val="00255EC5"/>
    <w:rsid w:val="0025608E"/>
    <w:rsid w:val="002560A1"/>
    <w:rsid w:val="00256334"/>
    <w:rsid w:val="00256398"/>
    <w:rsid w:val="0025641A"/>
    <w:rsid w:val="00257D50"/>
    <w:rsid w:val="002609DF"/>
    <w:rsid w:val="00260D83"/>
    <w:rsid w:val="00261509"/>
    <w:rsid w:val="002615AE"/>
    <w:rsid w:val="00262029"/>
    <w:rsid w:val="0026234A"/>
    <w:rsid w:val="00262972"/>
    <w:rsid w:val="002635B6"/>
    <w:rsid w:val="00263BEC"/>
    <w:rsid w:val="00264028"/>
    <w:rsid w:val="00264610"/>
    <w:rsid w:val="00265A1D"/>
    <w:rsid w:val="002666B8"/>
    <w:rsid w:val="002669D2"/>
    <w:rsid w:val="002669E4"/>
    <w:rsid w:val="00266AEF"/>
    <w:rsid w:val="00267355"/>
    <w:rsid w:val="002676D0"/>
    <w:rsid w:val="0026787B"/>
    <w:rsid w:val="00267D9D"/>
    <w:rsid w:val="00270172"/>
    <w:rsid w:val="00270656"/>
    <w:rsid w:val="002715A1"/>
    <w:rsid w:val="002715B1"/>
    <w:rsid w:val="00273682"/>
    <w:rsid w:val="00273AC5"/>
    <w:rsid w:val="002740AE"/>
    <w:rsid w:val="0027474A"/>
    <w:rsid w:val="0027479C"/>
    <w:rsid w:val="00274B84"/>
    <w:rsid w:val="00274DB8"/>
    <w:rsid w:val="002763D5"/>
    <w:rsid w:val="00276FE8"/>
    <w:rsid w:val="00277083"/>
    <w:rsid w:val="00277F1B"/>
    <w:rsid w:val="002806D9"/>
    <w:rsid w:val="00280E1E"/>
    <w:rsid w:val="002810E9"/>
    <w:rsid w:val="00281466"/>
    <w:rsid w:val="00281500"/>
    <w:rsid w:val="00281F6F"/>
    <w:rsid w:val="00282287"/>
    <w:rsid w:val="002829D7"/>
    <w:rsid w:val="00282AB1"/>
    <w:rsid w:val="00282DD4"/>
    <w:rsid w:val="002831A0"/>
    <w:rsid w:val="00283D95"/>
    <w:rsid w:val="002851F6"/>
    <w:rsid w:val="00285A3E"/>
    <w:rsid w:val="00285FAB"/>
    <w:rsid w:val="0028788E"/>
    <w:rsid w:val="00287C59"/>
    <w:rsid w:val="00287DAA"/>
    <w:rsid w:val="0029058E"/>
    <w:rsid w:val="002910E2"/>
    <w:rsid w:val="00292054"/>
    <w:rsid w:val="002923F1"/>
    <w:rsid w:val="00293108"/>
    <w:rsid w:val="002936B8"/>
    <w:rsid w:val="002937B4"/>
    <w:rsid w:val="002938B7"/>
    <w:rsid w:val="00293C16"/>
    <w:rsid w:val="00293FAC"/>
    <w:rsid w:val="00294D6C"/>
    <w:rsid w:val="00294F58"/>
    <w:rsid w:val="00294F86"/>
    <w:rsid w:val="00295218"/>
    <w:rsid w:val="002952E4"/>
    <w:rsid w:val="00295DEA"/>
    <w:rsid w:val="002962EB"/>
    <w:rsid w:val="00296DA5"/>
    <w:rsid w:val="00297138"/>
    <w:rsid w:val="00297CE8"/>
    <w:rsid w:val="002A09C9"/>
    <w:rsid w:val="002A1BED"/>
    <w:rsid w:val="002A1C00"/>
    <w:rsid w:val="002A1EAF"/>
    <w:rsid w:val="002A2995"/>
    <w:rsid w:val="002A2E88"/>
    <w:rsid w:val="002A2FD3"/>
    <w:rsid w:val="002A3463"/>
    <w:rsid w:val="002A367A"/>
    <w:rsid w:val="002A4090"/>
    <w:rsid w:val="002A4180"/>
    <w:rsid w:val="002A4403"/>
    <w:rsid w:val="002A6055"/>
    <w:rsid w:val="002A6696"/>
    <w:rsid w:val="002A69C2"/>
    <w:rsid w:val="002A6FC6"/>
    <w:rsid w:val="002A793C"/>
    <w:rsid w:val="002B0803"/>
    <w:rsid w:val="002B08C7"/>
    <w:rsid w:val="002B0A03"/>
    <w:rsid w:val="002B135A"/>
    <w:rsid w:val="002B13D6"/>
    <w:rsid w:val="002B4597"/>
    <w:rsid w:val="002B4912"/>
    <w:rsid w:val="002B492F"/>
    <w:rsid w:val="002B4B25"/>
    <w:rsid w:val="002B4CD7"/>
    <w:rsid w:val="002B51C4"/>
    <w:rsid w:val="002B54D2"/>
    <w:rsid w:val="002B5E54"/>
    <w:rsid w:val="002B674D"/>
    <w:rsid w:val="002B67F1"/>
    <w:rsid w:val="002B6D9B"/>
    <w:rsid w:val="002B6F25"/>
    <w:rsid w:val="002B731B"/>
    <w:rsid w:val="002B7684"/>
    <w:rsid w:val="002C00C7"/>
    <w:rsid w:val="002C0DE7"/>
    <w:rsid w:val="002C0E99"/>
    <w:rsid w:val="002C13A9"/>
    <w:rsid w:val="002C25F9"/>
    <w:rsid w:val="002C37C6"/>
    <w:rsid w:val="002C4093"/>
    <w:rsid w:val="002C4961"/>
    <w:rsid w:val="002C56F8"/>
    <w:rsid w:val="002C5A25"/>
    <w:rsid w:val="002C5B63"/>
    <w:rsid w:val="002C637F"/>
    <w:rsid w:val="002C68D2"/>
    <w:rsid w:val="002C69DE"/>
    <w:rsid w:val="002C6EBF"/>
    <w:rsid w:val="002C6F79"/>
    <w:rsid w:val="002C749A"/>
    <w:rsid w:val="002C77F2"/>
    <w:rsid w:val="002D0091"/>
    <w:rsid w:val="002D0572"/>
    <w:rsid w:val="002D067D"/>
    <w:rsid w:val="002D06C0"/>
    <w:rsid w:val="002D073F"/>
    <w:rsid w:val="002D074D"/>
    <w:rsid w:val="002D0CF1"/>
    <w:rsid w:val="002D117F"/>
    <w:rsid w:val="002D1AAE"/>
    <w:rsid w:val="002D205F"/>
    <w:rsid w:val="002D220C"/>
    <w:rsid w:val="002D2829"/>
    <w:rsid w:val="002D2A92"/>
    <w:rsid w:val="002D2B29"/>
    <w:rsid w:val="002D2D3F"/>
    <w:rsid w:val="002D2E85"/>
    <w:rsid w:val="002D3894"/>
    <w:rsid w:val="002D3B71"/>
    <w:rsid w:val="002D3CCF"/>
    <w:rsid w:val="002D497B"/>
    <w:rsid w:val="002D49C2"/>
    <w:rsid w:val="002D4F1B"/>
    <w:rsid w:val="002D54B5"/>
    <w:rsid w:val="002D56A6"/>
    <w:rsid w:val="002D59BC"/>
    <w:rsid w:val="002D5B31"/>
    <w:rsid w:val="002D5D17"/>
    <w:rsid w:val="002D62F0"/>
    <w:rsid w:val="002D6F0B"/>
    <w:rsid w:val="002D751D"/>
    <w:rsid w:val="002D7AD6"/>
    <w:rsid w:val="002D7F65"/>
    <w:rsid w:val="002E0E6B"/>
    <w:rsid w:val="002E1C66"/>
    <w:rsid w:val="002E1F03"/>
    <w:rsid w:val="002E2346"/>
    <w:rsid w:val="002E2386"/>
    <w:rsid w:val="002E24DF"/>
    <w:rsid w:val="002E2796"/>
    <w:rsid w:val="002E284C"/>
    <w:rsid w:val="002E2899"/>
    <w:rsid w:val="002E2DB6"/>
    <w:rsid w:val="002E383D"/>
    <w:rsid w:val="002E39E9"/>
    <w:rsid w:val="002E3AA8"/>
    <w:rsid w:val="002E3D88"/>
    <w:rsid w:val="002E4867"/>
    <w:rsid w:val="002E4E24"/>
    <w:rsid w:val="002E538A"/>
    <w:rsid w:val="002E5A0D"/>
    <w:rsid w:val="002E608D"/>
    <w:rsid w:val="002E6169"/>
    <w:rsid w:val="002E6551"/>
    <w:rsid w:val="002E6B53"/>
    <w:rsid w:val="002E6BF7"/>
    <w:rsid w:val="002E721F"/>
    <w:rsid w:val="002E742E"/>
    <w:rsid w:val="002E7521"/>
    <w:rsid w:val="002E7A9A"/>
    <w:rsid w:val="002E7D15"/>
    <w:rsid w:val="002E7D44"/>
    <w:rsid w:val="002F00F8"/>
    <w:rsid w:val="002F02BA"/>
    <w:rsid w:val="002F12AD"/>
    <w:rsid w:val="002F21EE"/>
    <w:rsid w:val="002F2266"/>
    <w:rsid w:val="002F2491"/>
    <w:rsid w:val="002F2864"/>
    <w:rsid w:val="002F2A8A"/>
    <w:rsid w:val="002F2B7D"/>
    <w:rsid w:val="002F2CB5"/>
    <w:rsid w:val="002F38D4"/>
    <w:rsid w:val="002F3B07"/>
    <w:rsid w:val="002F3FD1"/>
    <w:rsid w:val="002F401C"/>
    <w:rsid w:val="002F4537"/>
    <w:rsid w:val="002F64C2"/>
    <w:rsid w:val="002F689D"/>
    <w:rsid w:val="002F6B26"/>
    <w:rsid w:val="002F70C1"/>
    <w:rsid w:val="002F7711"/>
    <w:rsid w:val="002F7E92"/>
    <w:rsid w:val="00301D8B"/>
    <w:rsid w:val="00302408"/>
    <w:rsid w:val="00302429"/>
    <w:rsid w:val="003024B1"/>
    <w:rsid w:val="00302BA1"/>
    <w:rsid w:val="0030316C"/>
    <w:rsid w:val="003039D1"/>
    <w:rsid w:val="00303BAE"/>
    <w:rsid w:val="00305457"/>
    <w:rsid w:val="00305F19"/>
    <w:rsid w:val="0030620F"/>
    <w:rsid w:val="00306A16"/>
    <w:rsid w:val="0030715F"/>
    <w:rsid w:val="00307209"/>
    <w:rsid w:val="00307BCA"/>
    <w:rsid w:val="00307C15"/>
    <w:rsid w:val="00310DB8"/>
    <w:rsid w:val="0031151F"/>
    <w:rsid w:val="00311564"/>
    <w:rsid w:val="00313236"/>
    <w:rsid w:val="00313E1D"/>
    <w:rsid w:val="0031463C"/>
    <w:rsid w:val="00314FC9"/>
    <w:rsid w:val="00315189"/>
    <w:rsid w:val="00315B22"/>
    <w:rsid w:val="00316121"/>
    <w:rsid w:val="0031691C"/>
    <w:rsid w:val="0031694F"/>
    <w:rsid w:val="00316C61"/>
    <w:rsid w:val="00316E70"/>
    <w:rsid w:val="00316EDF"/>
    <w:rsid w:val="0031725B"/>
    <w:rsid w:val="00317506"/>
    <w:rsid w:val="00317799"/>
    <w:rsid w:val="00317BBF"/>
    <w:rsid w:val="00317E21"/>
    <w:rsid w:val="00320371"/>
    <w:rsid w:val="00320598"/>
    <w:rsid w:val="003207CC"/>
    <w:rsid w:val="00321C7A"/>
    <w:rsid w:val="00322D6A"/>
    <w:rsid w:val="00323549"/>
    <w:rsid w:val="00323D4D"/>
    <w:rsid w:val="00324518"/>
    <w:rsid w:val="00324705"/>
    <w:rsid w:val="00325227"/>
    <w:rsid w:val="00325839"/>
    <w:rsid w:val="00325BC8"/>
    <w:rsid w:val="00326258"/>
    <w:rsid w:val="003300FF"/>
    <w:rsid w:val="00330F2A"/>
    <w:rsid w:val="003311E6"/>
    <w:rsid w:val="003312C5"/>
    <w:rsid w:val="0033153D"/>
    <w:rsid w:val="003315F7"/>
    <w:rsid w:val="00331AA2"/>
    <w:rsid w:val="00331AA5"/>
    <w:rsid w:val="00331F04"/>
    <w:rsid w:val="00332D20"/>
    <w:rsid w:val="003330C3"/>
    <w:rsid w:val="00334395"/>
    <w:rsid w:val="003346A8"/>
    <w:rsid w:val="00334745"/>
    <w:rsid w:val="00334B07"/>
    <w:rsid w:val="00335561"/>
    <w:rsid w:val="00335E84"/>
    <w:rsid w:val="00336124"/>
    <w:rsid w:val="003363CF"/>
    <w:rsid w:val="00336D17"/>
    <w:rsid w:val="00337E8B"/>
    <w:rsid w:val="0034002A"/>
    <w:rsid w:val="003404A0"/>
    <w:rsid w:val="0034159A"/>
    <w:rsid w:val="0034170B"/>
    <w:rsid w:val="00341E3D"/>
    <w:rsid w:val="00342C8E"/>
    <w:rsid w:val="00343754"/>
    <w:rsid w:val="003447CD"/>
    <w:rsid w:val="003449A1"/>
    <w:rsid w:val="00344DD1"/>
    <w:rsid w:val="0034564D"/>
    <w:rsid w:val="00346AB8"/>
    <w:rsid w:val="00346EC4"/>
    <w:rsid w:val="003479AB"/>
    <w:rsid w:val="00347BA9"/>
    <w:rsid w:val="00347D2B"/>
    <w:rsid w:val="003506C2"/>
    <w:rsid w:val="003507E8"/>
    <w:rsid w:val="00350C0C"/>
    <w:rsid w:val="00350DAB"/>
    <w:rsid w:val="00351CEB"/>
    <w:rsid w:val="00352916"/>
    <w:rsid w:val="00352AFF"/>
    <w:rsid w:val="0035399F"/>
    <w:rsid w:val="003549A2"/>
    <w:rsid w:val="003549AF"/>
    <w:rsid w:val="00354A91"/>
    <w:rsid w:val="00354CDB"/>
    <w:rsid w:val="00354EE1"/>
    <w:rsid w:val="0035522A"/>
    <w:rsid w:val="00355465"/>
    <w:rsid w:val="00355F5A"/>
    <w:rsid w:val="00356076"/>
    <w:rsid w:val="00357A81"/>
    <w:rsid w:val="003600E3"/>
    <w:rsid w:val="0036195A"/>
    <w:rsid w:val="00361E50"/>
    <w:rsid w:val="00362508"/>
    <w:rsid w:val="00362B6D"/>
    <w:rsid w:val="00363F89"/>
    <w:rsid w:val="00364385"/>
    <w:rsid w:val="003646E9"/>
    <w:rsid w:val="00365BEE"/>
    <w:rsid w:val="00365FA5"/>
    <w:rsid w:val="003662EB"/>
    <w:rsid w:val="00366EAB"/>
    <w:rsid w:val="00367529"/>
    <w:rsid w:val="00370DDE"/>
    <w:rsid w:val="00371B50"/>
    <w:rsid w:val="00371E39"/>
    <w:rsid w:val="00372092"/>
    <w:rsid w:val="0037237D"/>
    <w:rsid w:val="0037273F"/>
    <w:rsid w:val="00372AA1"/>
    <w:rsid w:val="00373296"/>
    <w:rsid w:val="003734A2"/>
    <w:rsid w:val="003749F2"/>
    <w:rsid w:val="003750F1"/>
    <w:rsid w:val="00375222"/>
    <w:rsid w:val="00375849"/>
    <w:rsid w:val="0037590D"/>
    <w:rsid w:val="00375EF1"/>
    <w:rsid w:val="00376014"/>
    <w:rsid w:val="0037614D"/>
    <w:rsid w:val="00377278"/>
    <w:rsid w:val="00377368"/>
    <w:rsid w:val="00377532"/>
    <w:rsid w:val="00377B1C"/>
    <w:rsid w:val="0038117C"/>
    <w:rsid w:val="00381663"/>
    <w:rsid w:val="00381FFB"/>
    <w:rsid w:val="003825EA"/>
    <w:rsid w:val="00383708"/>
    <w:rsid w:val="00383822"/>
    <w:rsid w:val="00383C3F"/>
    <w:rsid w:val="003841F7"/>
    <w:rsid w:val="003845B8"/>
    <w:rsid w:val="00384DFC"/>
    <w:rsid w:val="00385041"/>
    <w:rsid w:val="003851AF"/>
    <w:rsid w:val="00387BE7"/>
    <w:rsid w:val="00387D9F"/>
    <w:rsid w:val="0039071C"/>
    <w:rsid w:val="0039095B"/>
    <w:rsid w:val="00390DB7"/>
    <w:rsid w:val="00391314"/>
    <w:rsid w:val="00392021"/>
    <w:rsid w:val="00392F23"/>
    <w:rsid w:val="0039429B"/>
    <w:rsid w:val="003943B8"/>
    <w:rsid w:val="00395009"/>
    <w:rsid w:val="00395334"/>
    <w:rsid w:val="00395A39"/>
    <w:rsid w:val="0039612E"/>
    <w:rsid w:val="003976F7"/>
    <w:rsid w:val="003977F1"/>
    <w:rsid w:val="003978A6"/>
    <w:rsid w:val="003A0C2B"/>
    <w:rsid w:val="003A118D"/>
    <w:rsid w:val="003A13AF"/>
    <w:rsid w:val="003A14BB"/>
    <w:rsid w:val="003A17DC"/>
    <w:rsid w:val="003A1CC4"/>
    <w:rsid w:val="003A240D"/>
    <w:rsid w:val="003A26CC"/>
    <w:rsid w:val="003A2AE1"/>
    <w:rsid w:val="003A3FA2"/>
    <w:rsid w:val="003A4984"/>
    <w:rsid w:val="003A4E05"/>
    <w:rsid w:val="003A50F2"/>
    <w:rsid w:val="003A567C"/>
    <w:rsid w:val="003A6248"/>
    <w:rsid w:val="003A62E0"/>
    <w:rsid w:val="003A6B78"/>
    <w:rsid w:val="003A7672"/>
    <w:rsid w:val="003A76CD"/>
    <w:rsid w:val="003A7EC6"/>
    <w:rsid w:val="003B003E"/>
    <w:rsid w:val="003B0747"/>
    <w:rsid w:val="003B17F3"/>
    <w:rsid w:val="003B1D04"/>
    <w:rsid w:val="003B1DE5"/>
    <w:rsid w:val="003B31B9"/>
    <w:rsid w:val="003B39C2"/>
    <w:rsid w:val="003B3C85"/>
    <w:rsid w:val="003B453C"/>
    <w:rsid w:val="003B4777"/>
    <w:rsid w:val="003B4ACD"/>
    <w:rsid w:val="003B4B4E"/>
    <w:rsid w:val="003B4F4E"/>
    <w:rsid w:val="003B5977"/>
    <w:rsid w:val="003B5BEC"/>
    <w:rsid w:val="003B5F06"/>
    <w:rsid w:val="003B61E7"/>
    <w:rsid w:val="003B6793"/>
    <w:rsid w:val="003B67E8"/>
    <w:rsid w:val="003B6F5C"/>
    <w:rsid w:val="003B70F3"/>
    <w:rsid w:val="003B7417"/>
    <w:rsid w:val="003C0256"/>
    <w:rsid w:val="003C08E5"/>
    <w:rsid w:val="003C0F3B"/>
    <w:rsid w:val="003C1565"/>
    <w:rsid w:val="003C18F9"/>
    <w:rsid w:val="003C1C8E"/>
    <w:rsid w:val="003C262C"/>
    <w:rsid w:val="003C2E86"/>
    <w:rsid w:val="003C30CA"/>
    <w:rsid w:val="003C3EF6"/>
    <w:rsid w:val="003C41B9"/>
    <w:rsid w:val="003C4B15"/>
    <w:rsid w:val="003C4CD7"/>
    <w:rsid w:val="003C4D3D"/>
    <w:rsid w:val="003C4F96"/>
    <w:rsid w:val="003C6023"/>
    <w:rsid w:val="003C62E9"/>
    <w:rsid w:val="003C6741"/>
    <w:rsid w:val="003C6A73"/>
    <w:rsid w:val="003C6B29"/>
    <w:rsid w:val="003C6D4F"/>
    <w:rsid w:val="003C7748"/>
    <w:rsid w:val="003C79E9"/>
    <w:rsid w:val="003C7E4A"/>
    <w:rsid w:val="003D0209"/>
    <w:rsid w:val="003D0C82"/>
    <w:rsid w:val="003D15DC"/>
    <w:rsid w:val="003D217E"/>
    <w:rsid w:val="003D266C"/>
    <w:rsid w:val="003D309D"/>
    <w:rsid w:val="003D31A1"/>
    <w:rsid w:val="003D369C"/>
    <w:rsid w:val="003D36D6"/>
    <w:rsid w:val="003D3B32"/>
    <w:rsid w:val="003D3F90"/>
    <w:rsid w:val="003D460B"/>
    <w:rsid w:val="003D4F15"/>
    <w:rsid w:val="003D529B"/>
    <w:rsid w:val="003D56C2"/>
    <w:rsid w:val="003D601D"/>
    <w:rsid w:val="003D6270"/>
    <w:rsid w:val="003D6D14"/>
    <w:rsid w:val="003D6FE0"/>
    <w:rsid w:val="003D7547"/>
    <w:rsid w:val="003D7D98"/>
    <w:rsid w:val="003E0684"/>
    <w:rsid w:val="003E0D71"/>
    <w:rsid w:val="003E194D"/>
    <w:rsid w:val="003E1AA8"/>
    <w:rsid w:val="003E209F"/>
    <w:rsid w:val="003E20FC"/>
    <w:rsid w:val="003E2546"/>
    <w:rsid w:val="003E2826"/>
    <w:rsid w:val="003E2FDD"/>
    <w:rsid w:val="003E36E1"/>
    <w:rsid w:val="003E4416"/>
    <w:rsid w:val="003E5056"/>
    <w:rsid w:val="003E626D"/>
    <w:rsid w:val="003E638E"/>
    <w:rsid w:val="003E6549"/>
    <w:rsid w:val="003E67AB"/>
    <w:rsid w:val="003E6BBC"/>
    <w:rsid w:val="003E6C82"/>
    <w:rsid w:val="003E7093"/>
    <w:rsid w:val="003E79B9"/>
    <w:rsid w:val="003E7D4E"/>
    <w:rsid w:val="003F0553"/>
    <w:rsid w:val="003F071C"/>
    <w:rsid w:val="003F0C85"/>
    <w:rsid w:val="003F107A"/>
    <w:rsid w:val="003F121D"/>
    <w:rsid w:val="003F173B"/>
    <w:rsid w:val="003F1DF0"/>
    <w:rsid w:val="003F2051"/>
    <w:rsid w:val="003F352C"/>
    <w:rsid w:val="003F3CF1"/>
    <w:rsid w:val="003F3F67"/>
    <w:rsid w:val="003F428A"/>
    <w:rsid w:val="003F43D7"/>
    <w:rsid w:val="003F46B0"/>
    <w:rsid w:val="003F4804"/>
    <w:rsid w:val="003F6325"/>
    <w:rsid w:val="003F6B3B"/>
    <w:rsid w:val="003F6C38"/>
    <w:rsid w:val="00400689"/>
    <w:rsid w:val="004014AF"/>
    <w:rsid w:val="00401F49"/>
    <w:rsid w:val="00402087"/>
    <w:rsid w:val="004038AD"/>
    <w:rsid w:val="00403977"/>
    <w:rsid w:val="0040489B"/>
    <w:rsid w:val="00405284"/>
    <w:rsid w:val="004053B7"/>
    <w:rsid w:val="00405B68"/>
    <w:rsid w:val="00406D3F"/>
    <w:rsid w:val="00407030"/>
    <w:rsid w:val="0040740D"/>
    <w:rsid w:val="00410007"/>
    <w:rsid w:val="0041022C"/>
    <w:rsid w:val="00410373"/>
    <w:rsid w:val="00410710"/>
    <w:rsid w:val="004109EE"/>
    <w:rsid w:val="0041181D"/>
    <w:rsid w:val="00411D81"/>
    <w:rsid w:val="0041235F"/>
    <w:rsid w:val="004126D2"/>
    <w:rsid w:val="00412EE0"/>
    <w:rsid w:val="0041312E"/>
    <w:rsid w:val="00414214"/>
    <w:rsid w:val="004149FB"/>
    <w:rsid w:val="004156A3"/>
    <w:rsid w:val="00416167"/>
    <w:rsid w:val="00416434"/>
    <w:rsid w:val="00416A4B"/>
    <w:rsid w:val="00416C49"/>
    <w:rsid w:val="00416FC7"/>
    <w:rsid w:val="00417236"/>
    <w:rsid w:val="004173AB"/>
    <w:rsid w:val="00417A5D"/>
    <w:rsid w:val="00417E24"/>
    <w:rsid w:val="00417EC8"/>
    <w:rsid w:val="004202D0"/>
    <w:rsid w:val="00420E76"/>
    <w:rsid w:val="004212CD"/>
    <w:rsid w:val="00421589"/>
    <w:rsid w:val="00421EF7"/>
    <w:rsid w:val="00422155"/>
    <w:rsid w:val="004225C2"/>
    <w:rsid w:val="00422786"/>
    <w:rsid w:val="00423A11"/>
    <w:rsid w:val="00423ABA"/>
    <w:rsid w:val="00423AEB"/>
    <w:rsid w:val="004243C0"/>
    <w:rsid w:val="00424506"/>
    <w:rsid w:val="00424AC4"/>
    <w:rsid w:val="0042554F"/>
    <w:rsid w:val="004261D8"/>
    <w:rsid w:val="00426600"/>
    <w:rsid w:val="0042661C"/>
    <w:rsid w:val="00427C82"/>
    <w:rsid w:val="0043112B"/>
    <w:rsid w:val="004313F8"/>
    <w:rsid w:val="0043289D"/>
    <w:rsid w:val="00432DE0"/>
    <w:rsid w:val="0043311E"/>
    <w:rsid w:val="004334BB"/>
    <w:rsid w:val="0043392A"/>
    <w:rsid w:val="00434455"/>
    <w:rsid w:val="004345A1"/>
    <w:rsid w:val="00434730"/>
    <w:rsid w:val="00434D4E"/>
    <w:rsid w:val="00436134"/>
    <w:rsid w:val="00436192"/>
    <w:rsid w:val="004363BF"/>
    <w:rsid w:val="00436A64"/>
    <w:rsid w:val="00436E03"/>
    <w:rsid w:val="00437B4A"/>
    <w:rsid w:val="00437FCD"/>
    <w:rsid w:val="0044025A"/>
    <w:rsid w:val="004402C4"/>
    <w:rsid w:val="0044101E"/>
    <w:rsid w:val="0044104E"/>
    <w:rsid w:val="004421B3"/>
    <w:rsid w:val="00442329"/>
    <w:rsid w:val="00442D71"/>
    <w:rsid w:val="004430E0"/>
    <w:rsid w:val="004437A4"/>
    <w:rsid w:val="0044459B"/>
    <w:rsid w:val="00444C28"/>
    <w:rsid w:val="00444E08"/>
    <w:rsid w:val="0044552C"/>
    <w:rsid w:val="0044561C"/>
    <w:rsid w:val="004459EF"/>
    <w:rsid w:val="004460DF"/>
    <w:rsid w:val="004462B6"/>
    <w:rsid w:val="0044655A"/>
    <w:rsid w:val="00446682"/>
    <w:rsid w:val="00446D91"/>
    <w:rsid w:val="00447371"/>
    <w:rsid w:val="004478DF"/>
    <w:rsid w:val="00451280"/>
    <w:rsid w:val="0045254C"/>
    <w:rsid w:val="00452701"/>
    <w:rsid w:val="00453957"/>
    <w:rsid w:val="0045461D"/>
    <w:rsid w:val="004552D5"/>
    <w:rsid w:val="004554D4"/>
    <w:rsid w:val="004555CF"/>
    <w:rsid w:val="00455725"/>
    <w:rsid w:val="0045572E"/>
    <w:rsid w:val="00455E44"/>
    <w:rsid w:val="004562C7"/>
    <w:rsid w:val="00456618"/>
    <w:rsid w:val="00457221"/>
    <w:rsid w:val="00457A56"/>
    <w:rsid w:val="00460048"/>
    <w:rsid w:val="004606AE"/>
    <w:rsid w:val="00460F2F"/>
    <w:rsid w:val="00461278"/>
    <w:rsid w:val="00461356"/>
    <w:rsid w:val="00461BD4"/>
    <w:rsid w:val="00462021"/>
    <w:rsid w:val="004628BF"/>
    <w:rsid w:val="00463063"/>
    <w:rsid w:val="004635E5"/>
    <w:rsid w:val="00463745"/>
    <w:rsid w:val="004643F2"/>
    <w:rsid w:val="004644EF"/>
    <w:rsid w:val="00465065"/>
    <w:rsid w:val="00465726"/>
    <w:rsid w:val="00465D49"/>
    <w:rsid w:val="00465FCA"/>
    <w:rsid w:val="00466C76"/>
    <w:rsid w:val="004679D4"/>
    <w:rsid w:val="004679F5"/>
    <w:rsid w:val="00470383"/>
    <w:rsid w:val="00470E25"/>
    <w:rsid w:val="0047124B"/>
    <w:rsid w:val="00471490"/>
    <w:rsid w:val="00472463"/>
    <w:rsid w:val="00472973"/>
    <w:rsid w:val="00472A9C"/>
    <w:rsid w:val="00472BD1"/>
    <w:rsid w:val="00472C58"/>
    <w:rsid w:val="00472FBF"/>
    <w:rsid w:val="00473138"/>
    <w:rsid w:val="0047341E"/>
    <w:rsid w:val="004741DD"/>
    <w:rsid w:val="004743DF"/>
    <w:rsid w:val="00475336"/>
    <w:rsid w:val="00475A2F"/>
    <w:rsid w:val="00477A71"/>
    <w:rsid w:val="00477AFE"/>
    <w:rsid w:val="00480CAD"/>
    <w:rsid w:val="00481946"/>
    <w:rsid w:val="00482423"/>
    <w:rsid w:val="00482560"/>
    <w:rsid w:val="0048279B"/>
    <w:rsid w:val="00482A82"/>
    <w:rsid w:val="00483121"/>
    <w:rsid w:val="0048376D"/>
    <w:rsid w:val="00483C2D"/>
    <w:rsid w:val="00484261"/>
    <w:rsid w:val="004849AA"/>
    <w:rsid w:val="00484A7A"/>
    <w:rsid w:val="0048509D"/>
    <w:rsid w:val="00485125"/>
    <w:rsid w:val="00485199"/>
    <w:rsid w:val="0048600E"/>
    <w:rsid w:val="00486592"/>
    <w:rsid w:val="0048756C"/>
    <w:rsid w:val="0048763F"/>
    <w:rsid w:val="0048775B"/>
    <w:rsid w:val="0048789A"/>
    <w:rsid w:val="004878EB"/>
    <w:rsid w:val="00487BA1"/>
    <w:rsid w:val="00487DCA"/>
    <w:rsid w:val="00490B3F"/>
    <w:rsid w:val="00490B42"/>
    <w:rsid w:val="0049142C"/>
    <w:rsid w:val="00492048"/>
    <w:rsid w:val="004928E8"/>
    <w:rsid w:val="004928FA"/>
    <w:rsid w:val="00492D88"/>
    <w:rsid w:val="00493B8B"/>
    <w:rsid w:val="00493B9E"/>
    <w:rsid w:val="00494208"/>
    <w:rsid w:val="00494501"/>
    <w:rsid w:val="004945D3"/>
    <w:rsid w:val="004948A6"/>
    <w:rsid w:val="00494B7B"/>
    <w:rsid w:val="0049509D"/>
    <w:rsid w:val="0049546F"/>
    <w:rsid w:val="00495C2F"/>
    <w:rsid w:val="00495DC6"/>
    <w:rsid w:val="00496BCF"/>
    <w:rsid w:val="004979CE"/>
    <w:rsid w:val="004A0048"/>
    <w:rsid w:val="004A032D"/>
    <w:rsid w:val="004A07CA"/>
    <w:rsid w:val="004A0E13"/>
    <w:rsid w:val="004A1478"/>
    <w:rsid w:val="004A172B"/>
    <w:rsid w:val="004A25C9"/>
    <w:rsid w:val="004A2960"/>
    <w:rsid w:val="004A3F6D"/>
    <w:rsid w:val="004A44E2"/>
    <w:rsid w:val="004A4A24"/>
    <w:rsid w:val="004A5251"/>
    <w:rsid w:val="004A580C"/>
    <w:rsid w:val="004A6DF1"/>
    <w:rsid w:val="004A7102"/>
    <w:rsid w:val="004A7115"/>
    <w:rsid w:val="004A7460"/>
    <w:rsid w:val="004A78CE"/>
    <w:rsid w:val="004A7A26"/>
    <w:rsid w:val="004A7E4A"/>
    <w:rsid w:val="004B010F"/>
    <w:rsid w:val="004B0C30"/>
    <w:rsid w:val="004B102F"/>
    <w:rsid w:val="004B2390"/>
    <w:rsid w:val="004B2C64"/>
    <w:rsid w:val="004B2DC9"/>
    <w:rsid w:val="004B3CEF"/>
    <w:rsid w:val="004B3E8D"/>
    <w:rsid w:val="004B4420"/>
    <w:rsid w:val="004B4CBF"/>
    <w:rsid w:val="004B4F40"/>
    <w:rsid w:val="004B52B2"/>
    <w:rsid w:val="004B5EE9"/>
    <w:rsid w:val="004B6601"/>
    <w:rsid w:val="004B6F4C"/>
    <w:rsid w:val="004B7D92"/>
    <w:rsid w:val="004C02B7"/>
    <w:rsid w:val="004C03DF"/>
    <w:rsid w:val="004C0817"/>
    <w:rsid w:val="004C0BD0"/>
    <w:rsid w:val="004C10AC"/>
    <w:rsid w:val="004C1896"/>
    <w:rsid w:val="004C19CF"/>
    <w:rsid w:val="004C1CA8"/>
    <w:rsid w:val="004C20E1"/>
    <w:rsid w:val="004C2C22"/>
    <w:rsid w:val="004C3451"/>
    <w:rsid w:val="004C390D"/>
    <w:rsid w:val="004C3929"/>
    <w:rsid w:val="004C4932"/>
    <w:rsid w:val="004C4D9F"/>
    <w:rsid w:val="004C4DA9"/>
    <w:rsid w:val="004C520C"/>
    <w:rsid w:val="004C5330"/>
    <w:rsid w:val="004C5C47"/>
    <w:rsid w:val="004C647B"/>
    <w:rsid w:val="004C64ED"/>
    <w:rsid w:val="004C7047"/>
    <w:rsid w:val="004C7A0C"/>
    <w:rsid w:val="004D1C88"/>
    <w:rsid w:val="004D2159"/>
    <w:rsid w:val="004D2630"/>
    <w:rsid w:val="004D270B"/>
    <w:rsid w:val="004D3127"/>
    <w:rsid w:val="004D35A4"/>
    <w:rsid w:val="004D5458"/>
    <w:rsid w:val="004D61D6"/>
    <w:rsid w:val="004D6CC7"/>
    <w:rsid w:val="004D70CB"/>
    <w:rsid w:val="004D70F9"/>
    <w:rsid w:val="004D7734"/>
    <w:rsid w:val="004D799D"/>
    <w:rsid w:val="004D79B3"/>
    <w:rsid w:val="004D7DFC"/>
    <w:rsid w:val="004D7FB3"/>
    <w:rsid w:val="004E01B3"/>
    <w:rsid w:val="004E0E18"/>
    <w:rsid w:val="004E118C"/>
    <w:rsid w:val="004E160B"/>
    <w:rsid w:val="004E1AFF"/>
    <w:rsid w:val="004E1B05"/>
    <w:rsid w:val="004E1CEC"/>
    <w:rsid w:val="004E1D41"/>
    <w:rsid w:val="004E2291"/>
    <w:rsid w:val="004E3439"/>
    <w:rsid w:val="004E46A7"/>
    <w:rsid w:val="004E5F7B"/>
    <w:rsid w:val="004E6B7D"/>
    <w:rsid w:val="004E76DF"/>
    <w:rsid w:val="004E7A46"/>
    <w:rsid w:val="004F0118"/>
    <w:rsid w:val="004F06CE"/>
    <w:rsid w:val="004F0DB5"/>
    <w:rsid w:val="004F0E13"/>
    <w:rsid w:val="004F16B7"/>
    <w:rsid w:val="004F17E2"/>
    <w:rsid w:val="004F24C8"/>
    <w:rsid w:val="004F29ED"/>
    <w:rsid w:val="004F2A99"/>
    <w:rsid w:val="004F3004"/>
    <w:rsid w:val="004F3150"/>
    <w:rsid w:val="004F39E1"/>
    <w:rsid w:val="004F611C"/>
    <w:rsid w:val="004F671A"/>
    <w:rsid w:val="004F685E"/>
    <w:rsid w:val="004F692A"/>
    <w:rsid w:val="004F6A8A"/>
    <w:rsid w:val="004F708F"/>
    <w:rsid w:val="004F72A2"/>
    <w:rsid w:val="004F762A"/>
    <w:rsid w:val="004F78AC"/>
    <w:rsid w:val="004F7FA7"/>
    <w:rsid w:val="005005BC"/>
    <w:rsid w:val="00500858"/>
    <w:rsid w:val="00500884"/>
    <w:rsid w:val="005012AE"/>
    <w:rsid w:val="0050244B"/>
    <w:rsid w:val="00502501"/>
    <w:rsid w:val="00502771"/>
    <w:rsid w:val="00502D96"/>
    <w:rsid w:val="00502F0B"/>
    <w:rsid w:val="00503271"/>
    <w:rsid w:val="00503DE2"/>
    <w:rsid w:val="0050472C"/>
    <w:rsid w:val="00504891"/>
    <w:rsid w:val="0050552D"/>
    <w:rsid w:val="00505856"/>
    <w:rsid w:val="005061B8"/>
    <w:rsid w:val="00506C88"/>
    <w:rsid w:val="0051117A"/>
    <w:rsid w:val="0051164D"/>
    <w:rsid w:val="005119F0"/>
    <w:rsid w:val="00511CD6"/>
    <w:rsid w:val="00511D40"/>
    <w:rsid w:val="00511FD2"/>
    <w:rsid w:val="00512305"/>
    <w:rsid w:val="00512AF1"/>
    <w:rsid w:val="00513179"/>
    <w:rsid w:val="00513565"/>
    <w:rsid w:val="00513EA2"/>
    <w:rsid w:val="00513FA6"/>
    <w:rsid w:val="0051477B"/>
    <w:rsid w:val="00514A1F"/>
    <w:rsid w:val="005158C3"/>
    <w:rsid w:val="0051602E"/>
    <w:rsid w:val="00516159"/>
    <w:rsid w:val="00516544"/>
    <w:rsid w:val="00516797"/>
    <w:rsid w:val="005167A9"/>
    <w:rsid w:val="00516A10"/>
    <w:rsid w:val="00517F83"/>
    <w:rsid w:val="00520214"/>
    <w:rsid w:val="005202B9"/>
    <w:rsid w:val="005204AB"/>
    <w:rsid w:val="00520BA7"/>
    <w:rsid w:val="00520EFA"/>
    <w:rsid w:val="00521619"/>
    <w:rsid w:val="005219DA"/>
    <w:rsid w:val="00521DE9"/>
    <w:rsid w:val="00522538"/>
    <w:rsid w:val="0052259B"/>
    <w:rsid w:val="0052266F"/>
    <w:rsid w:val="005231DF"/>
    <w:rsid w:val="0052328A"/>
    <w:rsid w:val="0052344D"/>
    <w:rsid w:val="005236E5"/>
    <w:rsid w:val="00524495"/>
    <w:rsid w:val="00524685"/>
    <w:rsid w:val="0052516F"/>
    <w:rsid w:val="005257A8"/>
    <w:rsid w:val="00525A1A"/>
    <w:rsid w:val="00526070"/>
    <w:rsid w:val="0052628B"/>
    <w:rsid w:val="0052740E"/>
    <w:rsid w:val="00527C73"/>
    <w:rsid w:val="005301AF"/>
    <w:rsid w:val="00530E74"/>
    <w:rsid w:val="00531091"/>
    <w:rsid w:val="00531178"/>
    <w:rsid w:val="0053130D"/>
    <w:rsid w:val="00531B75"/>
    <w:rsid w:val="0053244F"/>
    <w:rsid w:val="00533C95"/>
    <w:rsid w:val="005353D2"/>
    <w:rsid w:val="00535BB4"/>
    <w:rsid w:val="00535EF0"/>
    <w:rsid w:val="00536412"/>
    <w:rsid w:val="00536653"/>
    <w:rsid w:val="0054055C"/>
    <w:rsid w:val="005406EC"/>
    <w:rsid w:val="00540932"/>
    <w:rsid w:val="00540A6E"/>
    <w:rsid w:val="00540C8A"/>
    <w:rsid w:val="00540D19"/>
    <w:rsid w:val="00541784"/>
    <w:rsid w:val="00541D69"/>
    <w:rsid w:val="005424BF"/>
    <w:rsid w:val="005431A3"/>
    <w:rsid w:val="005441A4"/>
    <w:rsid w:val="005452F6"/>
    <w:rsid w:val="00545434"/>
    <w:rsid w:val="005459D6"/>
    <w:rsid w:val="00545C6A"/>
    <w:rsid w:val="00545E20"/>
    <w:rsid w:val="0054637F"/>
    <w:rsid w:val="0054694A"/>
    <w:rsid w:val="00546DFF"/>
    <w:rsid w:val="0054707F"/>
    <w:rsid w:val="005476D8"/>
    <w:rsid w:val="0055069B"/>
    <w:rsid w:val="00550C75"/>
    <w:rsid w:val="00551416"/>
    <w:rsid w:val="005522B4"/>
    <w:rsid w:val="005527E7"/>
    <w:rsid w:val="00553AA3"/>
    <w:rsid w:val="00553E54"/>
    <w:rsid w:val="005548BE"/>
    <w:rsid w:val="00556E1A"/>
    <w:rsid w:val="00556F84"/>
    <w:rsid w:val="0055721C"/>
    <w:rsid w:val="005572BF"/>
    <w:rsid w:val="005572C6"/>
    <w:rsid w:val="005575A1"/>
    <w:rsid w:val="00557DD1"/>
    <w:rsid w:val="0056042A"/>
    <w:rsid w:val="0056086D"/>
    <w:rsid w:val="005610AC"/>
    <w:rsid w:val="005625C8"/>
    <w:rsid w:val="00563469"/>
    <w:rsid w:val="00564B23"/>
    <w:rsid w:val="005655CC"/>
    <w:rsid w:val="0056582F"/>
    <w:rsid w:val="0056676D"/>
    <w:rsid w:val="00566C68"/>
    <w:rsid w:val="00566F17"/>
    <w:rsid w:val="00567068"/>
    <w:rsid w:val="005671B2"/>
    <w:rsid w:val="005708FB"/>
    <w:rsid w:val="00570E09"/>
    <w:rsid w:val="00571318"/>
    <w:rsid w:val="005718A2"/>
    <w:rsid w:val="00571C80"/>
    <w:rsid w:val="00571D0E"/>
    <w:rsid w:val="00572091"/>
    <w:rsid w:val="005728A6"/>
    <w:rsid w:val="0057323E"/>
    <w:rsid w:val="00573E0E"/>
    <w:rsid w:val="00573EAE"/>
    <w:rsid w:val="005749BD"/>
    <w:rsid w:val="00574D02"/>
    <w:rsid w:val="00575D1C"/>
    <w:rsid w:val="00575D3A"/>
    <w:rsid w:val="00575FD7"/>
    <w:rsid w:val="00576190"/>
    <w:rsid w:val="00576B49"/>
    <w:rsid w:val="00577707"/>
    <w:rsid w:val="00580EA4"/>
    <w:rsid w:val="00581670"/>
    <w:rsid w:val="00581A86"/>
    <w:rsid w:val="00582EF0"/>
    <w:rsid w:val="005837FA"/>
    <w:rsid w:val="00583DC2"/>
    <w:rsid w:val="005840F1"/>
    <w:rsid w:val="005842F3"/>
    <w:rsid w:val="00584B36"/>
    <w:rsid w:val="005852EE"/>
    <w:rsid w:val="00586648"/>
    <w:rsid w:val="00587154"/>
    <w:rsid w:val="0059136B"/>
    <w:rsid w:val="00591416"/>
    <w:rsid w:val="00591C4B"/>
    <w:rsid w:val="00591FC5"/>
    <w:rsid w:val="00592BFF"/>
    <w:rsid w:val="00593BDC"/>
    <w:rsid w:val="00593ED3"/>
    <w:rsid w:val="00593F27"/>
    <w:rsid w:val="00594438"/>
    <w:rsid w:val="00594B58"/>
    <w:rsid w:val="00594C6C"/>
    <w:rsid w:val="00594C81"/>
    <w:rsid w:val="00595205"/>
    <w:rsid w:val="00595454"/>
    <w:rsid w:val="00595BEA"/>
    <w:rsid w:val="00596281"/>
    <w:rsid w:val="005963BA"/>
    <w:rsid w:val="0059660F"/>
    <w:rsid w:val="0059689C"/>
    <w:rsid w:val="00596FF9"/>
    <w:rsid w:val="00597AF1"/>
    <w:rsid w:val="005A0E95"/>
    <w:rsid w:val="005A1508"/>
    <w:rsid w:val="005A16BF"/>
    <w:rsid w:val="005A2450"/>
    <w:rsid w:val="005A2472"/>
    <w:rsid w:val="005A2897"/>
    <w:rsid w:val="005A3014"/>
    <w:rsid w:val="005A33B3"/>
    <w:rsid w:val="005A3DFB"/>
    <w:rsid w:val="005A4C41"/>
    <w:rsid w:val="005A5564"/>
    <w:rsid w:val="005A55C2"/>
    <w:rsid w:val="005A573C"/>
    <w:rsid w:val="005A5865"/>
    <w:rsid w:val="005A5A29"/>
    <w:rsid w:val="005A6DE4"/>
    <w:rsid w:val="005B20E3"/>
    <w:rsid w:val="005B2C66"/>
    <w:rsid w:val="005B3030"/>
    <w:rsid w:val="005B35B0"/>
    <w:rsid w:val="005B3812"/>
    <w:rsid w:val="005B543F"/>
    <w:rsid w:val="005B5B99"/>
    <w:rsid w:val="005B5D29"/>
    <w:rsid w:val="005B6146"/>
    <w:rsid w:val="005B692A"/>
    <w:rsid w:val="005B6D6E"/>
    <w:rsid w:val="005B77EF"/>
    <w:rsid w:val="005B7800"/>
    <w:rsid w:val="005B795A"/>
    <w:rsid w:val="005C0682"/>
    <w:rsid w:val="005C06F2"/>
    <w:rsid w:val="005C071E"/>
    <w:rsid w:val="005C09EE"/>
    <w:rsid w:val="005C0F9B"/>
    <w:rsid w:val="005C177E"/>
    <w:rsid w:val="005C1FFC"/>
    <w:rsid w:val="005C279C"/>
    <w:rsid w:val="005C375C"/>
    <w:rsid w:val="005C3AD3"/>
    <w:rsid w:val="005C3B83"/>
    <w:rsid w:val="005C3CE1"/>
    <w:rsid w:val="005C40D5"/>
    <w:rsid w:val="005C478D"/>
    <w:rsid w:val="005C4835"/>
    <w:rsid w:val="005C48FA"/>
    <w:rsid w:val="005C50C5"/>
    <w:rsid w:val="005C5376"/>
    <w:rsid w:val="005C53DB"/>
    <w:rsid w:val="005C633A"/>
    <w:rsid w:val="005C6747"/>
    <w:rsid w:val="005C68D7"/>
    <w:rsid w:val="005C76FA"/>
    <w:rsid w:val="005C7A24"/>
    <w:rsid w:val="005D03CD"/>
    <w:rsid w:val="005D1816"/>
    <w:rsid w:val="005D20D9"/>
    <w:rsid w:val="005D2E4D"/>
    <w:rsid w:val="005D33A4"/>
    <w:rsid w:val="005D38E7"/>
    <w:rsid w:val="005D39B4"/>
    <w:rsid w:val="005D3AB8"/>
    <w:rsid w:val="005D4FD9"/>
    <w:rsid w:val="005D525D"/>
    <w:rsid w:val="005D58AA"/>
    <w:rsid w:val="005D598D"/>
    <w:rsid w:val="005D5992"/>
    <w:rsid w:val="005D5AC8"/>
    <w:rsid w:val="005D5CB6"/>
    <w:rsid w:val="005D600C"/>
    <w:rsid w:val="005D68C8"/>
    <w:rsid w:val="005D6917"/>
    <w:rsid w:val="005D69BF"/>
    <w:rsid w:val="005D7CB0"/>
    <w:rsid w:val="005D7EA3"/>
    <w:rsid w:val="005E01D0"/>
    <w:rsid w:val="005E0F00"/>
    <w:rsid w:val="005E11F0"/>
    <w:rsid w:val="005E12AC"/>
    <w:rsid w:val="005E13F0"/>
    <w:rsid w:val="005E15B7"/>
    <w:rsid w:val="005E1AD1"/>
    <w:rsid w:val="005E2003"/>
    <w:rsid w:val="005E2349"/>
    <w:rsid w:val="005E28EE"/>
    <w:rsid w:val="005E2AE3"/>
    <w:rsid w:val="005E2F2D"/>
    <w:rsid w:val="005E3B0C"/>
    <w:rsid w:val="005E483D"/>
    <w:rsid w:val="005E4E05"/>
    <w:rsid w:val="005E5649"/>
    <w:rsid w:val="005E574D"/>
    <w:rsid w:val="005E5847"/>
    <w:rsid w:val="005E5951"/>
    <w:rsid w:val="005E6919"/>
    <w:rsid w:val="005E6BAC"/>
    <w:rsid w:val="005E75F0"/>
    <w:rsid w:val="005E7A19"/>
    <w:rsid w:val="005E7B7E"/>
    <w:rsid w:val="005E7C56"/>
    <w:rsid w:val="005F0249"/>
    <w:rsid w:val="005F059F"/>
    <w:rsid w:val="005F0A30"/>
    <w:rsid w:val="005F1269"/>
    <w:rsid w:val="005F17D1"/>
    <w:rsid w:val="005F19EA"/>
    <w:rsid w:val="005F2002"/>
    <w:rsid w:val="005F2962"/>
    <w:rsid w:val="005F2F25"/>
    <w:rsid w:val="005F3C41"/>
    <w:rsid w:val="005F5CB1"/>
    <w:rsid w:val="005F5E31"/>
    <w:rsid w:val="005F6E1A"/>
    <w:rsid w:val="005F6F0E"/>
    <w:rsid w:val="005F7AD8"/>
    <w:rsid w:val="00600CDB"/>
    <w:rsid w:val="0060148A"/>
    <w:rsid w:val="006024A0"/>
    <w:rsid w:val="00602BAD"/>
    <w:rsid w:val="006038FA"/>
    <w:rsid w:val="00603E63"/>
    <w:rsid w:val="0060556D"/>
    <w:rsid w:val="00605DB2"/>
    <w:rsid w:val="00606165"/>
    <w:rsid w:val="006071F7"/>
    <w:rsid w:val="00607E56"/>
    <w:rsid w:val="00610121"/>
    <w:rsid w:val="00610A49"/>
    <w:rsid w:val="0061195B"/>
    <w:rsid w:val="00611A96"/>
    <w:rsid w:val="00612190"/>
    <w:rsid w:val="00612599"/>
    <w:rsid w:val="00613F32"/>
    <w:rsid w:val="00614C46"/>
    <w:rsid w:val="00614CC5"/>
    <w:rsid w:val="00615099"/>
    <w:rsid w:val="00615372"/>
    <w:rsid w:val="0061581C"/>
    <w:rsid w:val="00616997"/>
    <w:rsid w:val="00616A94"/>
    <w:rsid w:val="00616CFF"/>
    <w:rsid w:val="0062008D"/>
    <w:rsid w:val="006203CC"/>
    <w:rsid w:val="00620732"/>
    <w:rsid w:val="00620AFF"/>
    <w:rsid w:val="006216D1"/>
    <w:rsid w:val="00621989"/>
    <w:rsid w:val="00621B66"/>
    <w:rsid w:val="00621BBE"/>
    <w:rsid w:val="006220A3"/>
    <w:rsid w:val="0062275D"/>
    <w:rsid w:val="00622C53"/>
    <w:rsid w:val="0062333E"/>
    <w:rsid w:val="006233FA"/>
    <w:rsid w:val="0062384E"/>
    <w:rsid w:val="00623A55"/>
    <w:rsid w:val="00623D76"/>
    <w:rsid w:val="006240FE"/>
    <w:rsid w:val="0062464D"/>
    <w:rsid w:val="00624746"/>
    <w:rsid w:val="00624D74"/>
    <w:rsid w:val="0062554D"/>
    <w:rsid w:val="00626518"/>
    <w:rsid w:val="00626792"/>
    <w:rsid w:val="00626F8E"/>
    <w:rsid w:val="00627797"/>
    <w:rsid w:val="00627D8E"/>
    <w:rsid w:val="00627E8E"/>
    <w:rsid w:val="00630E7E"/>
    <w:rsid w:val="00631513"/>
    <w:rsid w:val="006319C1"/>
    <w:rsid w:val="0063255B"/>
    <w:rsid w:val="006327D9"/>
    <w:rsid w:val="0063320A"/>
    <w:rsid w:val="00633679"/>
    <w:rsid w:val="00633DE6"/>
    <w:rsid w:val="00634EA0"/>
    <w:rsid w:val="00634EEB"/>
    <w:rsid w:val="00636983"/>
    <w:rsid w:val="00637184"/>
    <w:rsid w:val="0063725B"/>
    <w:rsid w:val="00637682"/>
    <w:rsid w:val="00637979"/>
    <w:rsid w:val="00637DFE"/>
    <w:rsid w:val="00640687"/>
    <w:rsid w:val="006411FB"/>
    <w:rsid w:val="00641765"/>
    <w:rsid w:val="00642229"/>
    <w:rsid w:val="006427C6"/>
    <w:rsid w:val="00642878"/>
    <w:rsid w:val="00642BD0"/>
    <w:rsid w:val="00642D04"/>
    <w:rsid w:val="00643D59"/>
    <w:rsid w:val="00644F1B"/>
    <w:rsid w:val="0064580F"/>
    <w:rsid w:val="006462D2"/>
    <w:rsid w:val="006468A3"/>
    <w:rsid w:val="00646F7B"/>
    <w:rsid w:val="006472A4"/>
    <w:rsid w:val="0065075A"/>
    <w:rsid w:val="00650927"/>
    <w:rsid w:val="00650CB4"/>
    <w:rsid w:val="00650E29"/>
    <w:rsid w:val="00651689"/>
    <w:rsid w:val="00651FCA"/>
    <w:rsid w:val="00653A60"/>
    <w:rsid w:val="00653C7B"/>
    <w:rsid w:val="00653E36"/>
    <w:rsid w:val="00654395"/>
    <w:rsid w:val="0065444F"/>
    <w:rsid w:val="00654D89"/>
    <w:rsid w:val="00655805"/>
    <w:rsid w:val="00655A4C"/>
    <w:rsid w:val="00656F8D"/>
    <w:rsid w:val="00656FD8"/>
    <w:rsid w:val="0065704B"/>
    <w:rsid w:val="00657A81"/>
    <w:rsid w:val="00660831"/>
    <w:rsid w:val="006612FF"/>
    <w:rsid w:val="00662042"/>
    <w:rsid w:val="0066289A"/>
    <w:rsid w:val="00662F72"/>
    <w:rsid w:val="006633A8"/>
    <w:rsid w:val="0066416A"/>
    <w:rsid w:val="006645E0"/>
    <w:rsid w:val="0066474B"/>
    <w:rsid w:val="00664C02"/>
    <w:rsid w:val="0066524F"/>
    <w:rsid w:val="00665365"/>
    <w:rsid w:val="006664C2"/>
    <w:rsid w:val="00667532"/>
    <w:rsid w:val="00667E0C"/>
    <w:rsid w:val="00667F10"/>
    <w:rsid w:val="00670146"/>
    <w:rsid w:val="0067081C"/>
    <w:rsid w:val="00670FF0"/>
    <w:rsid w:val="006713A7"/>
    <w:rsid w:val="006719D8"/>
    <w:rsid w:val="00671F09"/>
    <w:rsid w:val="00671F58"/>
    <w:rsid w:val="00672F11"/>
    <w:rsid w:val="00673BC4"/>
    <w:rsid w:val="00674B5E"/>
    <w:rsid w:val="00675A1A"/>
    <w:rsid w:val="0067651A"/>
    <w:rsid w:val="006766C3"/>
    <w:rsid w:val="00676790"/>
    <w:rsid w:val="00677256"/>
    <w:rsid w:val="00677491"/>
    <w:rsid w:val="0067786E"/>
    <w:rsid w:val="00677966"/>
    <w:rsid w:val="006801E9"/>
    <w:rsid w:val="00680271"/>
    <w:rsid w:val="00680800"/>
    <w:rsid w:val="00680AD7"/>
    <w:rsid w:val="006813C9"/>
    <w:rsid w:val="00682192"/>
    <w:rsid w:val="0068229C"/>
    <w:rsid w:val="006822C3"/>
    <w:rsid w:val="00684FDB"/>
    <w:rsid w:val="006851CC"/>
    <w:rsid w:val="0068521D"/>
    <w:rsid w:val="006856B9"/>
    <w:rsid w:val="00686CDE"/>
    <w:rsid w:val="00690EFE"/>
    <w:rsid w:val="00691C17"/>
    <w:rsid w:val="00691F67"/>
    <w:rsid w:val="006929E8"/>
    <w:rsid w:val="00692A30"/>
    <w:rsid w:val="00692A49"/>
    <w:rsid w:val="00692BD2"/>
    <w:rsid w:val="0069399C"/>
    <w:rsid w:val="00694406"/>
    <w:rsid w:val="00694BD5"/>
    <w:rsid w:val="006958E8"/>
    <w:rsid w:val="00695C71"/>
    <w:rsid w:val="00695E88"/>
    <w:rsid w:val="00696BC6"/>
    <w:rsid w:val="00696DD6"/>
    <w:rsid w:val="00696DFB"/>
    <w:rsid w:val="00697204"/>
    <w:rsid w:val="00697B76"/>
    <w:rsid w:val="00697E0D"/>
    <w:rsid w:val="006A1299"/>
    <w:rsid w:val="006A13B5"/>
    <w:rsid w:val="006A14CE"/>
    <w:rsid w:val="006A1504"/>
    <w:rsid w:val="006A1F5B"/>
    <w:rsid w:val="006A2168"/>
    <w:rsid w:val="006A3108"/>
    <w:rsid w:val="006A3853"/>
    <w:rsid w:val="006A68FF"/>
    <w:rsid w:val="006A708E"/>
    <w:rsid w:val="006A72C6"/>
    <w:rsid w:val="006A79F0"/>
    <w:rsid w:val="006A7E40"/>
    <w:rsid w:val="006B028A"/>
    <w:rsid w:val="006B02D4"/>
    <w:rsid w:val="006B04C9"/>
    <w:rsid w:val="006B0F52"/>
    <w:rsid w:val="006B187A"/>
    <w:rsid w:val="006B1A3E"/>
    <w:rsid w:val="006B1ADD"/>
    <w:rsid w:val="006B3277"/>
    <w:rsid w:val="006B354E"/>
    <w:rsid w:val="006B3E87"/>
    <w:rsid w:val="006B5162"/>
    <w:rsid w:val="006B5EBE"/>
    <w:rsid w:val="006B62B8"/>
    <w:rsid w:val="006B6903"/>
    <w:rsid w:val="006B6DDA"/>
    <w:rsid w:val="006B6E2B"/>
    <w:rsid w:val="006B73C2"/>
    <w:rsid w:val="006B763B"/>
    <w:rsid w:val="006B7C8E"/>
    <w:rsid w:val="006C014A"/>
    <w:rsid w:val="006C0238"/>
    <w:rsid w:val="006C093C"/>
    <w:rsid w:val="006C1132"/>
    <w:rsid w:val="006C1157"/>
    <w:rsid w:val="006C11D1"/>
    <w:rsid w:val="006C1DA1"/>
    <w:rsid w:val="006C223D"/>
    <w:rsid w:val="006C275F"/>
    <w:rsid w:val="006C2AB6"/>
    <w:rsid w:val="006C3742"/>
    <w:rsid w:val="006C386E"/>
    <w:rsid w:val="006C3E27"/>
    <w:rsid w:val="006C4301"/>
    <w:rsid w:val="006C4FAA"/>
    <w:rsid w:val="006C5275"/>
    <w:rsid w:val="006C5543"/>
    <w:rsid w:val="006C5744"/>
    <w:rsid w:val="006C5B05"/>
    <w:rsid w:val="006C5E96"/>
    <w:rsid w:val="006C65F8"/>
    <w:rsid w:val="006C73FC"/>
    <w:rsid w:val="006C760F"/>
    <w:rsid w:val="006C7A22"/>
    <w:rsid w:val="006D05B9"/>
    <w:rsid w:val="006D0861"/>
    <w:rsid w:val="006D1050"/>
    <w:rsid w:val="006D1C10"/>
    <w:rsid w:val="006D2167"/>
    <w:rsid w:val="006D34D1"/>
    <w:rsid w:val="006D363B"/>
    <w:rsid w:val="006D37D6"/>
    <w:rsid w:val="006D3B61"/>
    <w:rsid w:val="006D66CE"/>
    <w:rsid w:val="006D68CB"/>
    <w:rsid w:val="006D6966"/>
    <w:rsid w:val="006D6C0D"/>
    <w:rsid w:val="006D7377"/>
    <w:rsid w:val="006D76AB"/>
    <w:rsid w:val="006D779A"/>
    <w:rsid w:val="006D7E45"/>
    <w:rsid w:val="006E00CF"/>
    <w:rsid w:val="006E0365"/>
    <w:rsid w:val="006E0719"/>
    <w:rsid w:val="006E0D4F"/>
    <w:rsid w:val="006E1598"/>
    <w:rsid w:val="006E2E21"/>
    <w:rsid w:val="006E30CD"/>
    <w:rsid w:val="006E323B"/>
    <w:rsid w:val="006E3AC1"/>
    <w:rsid w:val="006E476F"/>
    <w:rsid w:val="006E4F87"/>
    <w:rsid w:val="006E513B"/>
    <w:rsid w:val="006E5EC3"/>
    <w:rsid w:val="006E5FCF"/>
    <w:rsid w:val="006E6605"/>
    <w:rsid w:val="006E67E1"/>
    <w:rsid w:val="006E68F9"/>
    <w:rsid w:val="006E6AEB"/>
    <w:rsid w:val="006E7118"/>
    <w:rsid w:val="006E7523"/>
    <w:rsid w:val="006E75F8"/>
    <w:rsid w:val="006E7655"/>
    <w:rsid w:val="006E7E86"/>
    <w:rsid w:val="006F02F7"/>
    <w:rsid w:val="006F0D14"/>
    <w:rsid w:val="006F1B32"/>
    <w:rsid w:val="006F1F7D"/>
    <w:rsid w:val="006F1FDC"/>
    <w:rsid w:val="006F236F"/>
    <w:rsid w:val="006F3CF9"/>
    <w:rsid w:val="006F469C"/>
    <w:rsid w:val="006F49D8"/>
    <w:rsid w:val="006F4F33"/>
    <w:rsid w:val="006F5245"/>
    <w:rsid w:val="006F569A"/>
    <w:rsid w:val="006F70DC"/>
    <w:rsid w:val="007009FB"/>
    <w:rsid w:val="00700B5B"/>
    <w:rsid w:val="00701CA1"/>
    <w:rsid w:val="00701DF6"/>
    <w:rsid w:val="0070249F"/>
    <w:rsid w:val="00702E74"/>
    <w:rsid w:val="00703EFC"/>
    <w:rsid w:val="00704493"/>
    <w:rsid w:val="00704634"/>
    <w:rsid w:val="007050AB"/>
    <w:rsid w:val="00705182"/>
    <w:rsid w:val="00705214"/>
    <w:rsid w:val="00705457"/>
    <w:rsid w:val="00705683"/>
    <w:rsid w:val="00705BBF"/>
    <w:rsid w:val="007062C3"/>
    <w:rsid w:val="00706531"/>
    <w:rsid w:val="007067AA"/>
    <w:rsid w:val="00707467"/>
    <w:rsid w:val="0070781E"/>
    <w:rsid w:val="00710776"/>
    <w:rsid w:val="00711425"/>
    <w:rsid w:val="00711BBB"/>
    <w:rsid w:val="007125C6"/>
    <w:rsid w:val="00712918"/>
    <w:rsid w:val="00712C4F"/>
    <w:rsid w:val="007131D7"/>
    <w:rsid w:val="00713293"/>
    <w:rsid w:val="007138BF"/>
    <w:rsid w:val="00713FA2"/>
    <w:rsid w:val="00714337"/>
    <w:rsid w:val="0071470C"/>
    <w:rsid w:val="00714B1C"/>
    <w:rsid w:val="00715319"/>
    <w:rsid w:val="00717177"/>
    <w:rsid w:val="00717488"/>
    <w:rsid w:val="007175DB"/>
    <w:rsid w:val="00720BEA"/>
    <w:rsid w:val="00720DE5"/>
    <w:rsid w:val="00721C7D"/>
    <w:rsid w:val="00721E51"/>
    <w:rsid w:val="00723322"/>
    <w:rsid w:val="007240A1"/>
    <w:rsid w:val="007249F4"/>
    <w:rsid w:val="007254DD"/>
    <w:rsid w:val="007254E7"/>
    <w:rsid w:val="00725B1E"/>
    <w:rsid w:val="0072696C"/>
    <w:rsid w:val="00727029"/>
    <w:rsid w:val="007270B1"/>
    <w:rsid w:val="007270C0"/>
    <w:rsid w:val="00727A9A"/>
    <w:rsid w:val="0073026D"/>
    <w:rsid w:val="007302B8"/>
    <w:rsid w:val="00731153"/>
    <w:rsid w:val="00731788"/>
    <w:rsid w:val="00731DEC"/>
    <w:rsid w:val="007324B2"/>
    <w:rsid w:val="007324D5"/>
    <w:rsid w:val="007325D8"/>
    <w:rsid w:val="007327DC"/>
    <w:rsid w:val="00732A8D"/>
    <w:rsid w:val="00732DF8"/>
    <w:rsid w:val="00733A61"/>
    <w:rsid w:val="00733F2F"/>
    <w:rsid w:val="0073525D"/>
    <w:rsid w:val="007353E1"/>
    <w:rsid w:val="0073548B"/>
    <w:rsid w:val="00735710"/>
    <w:rsid w:val="00735D43"/>
    <w:rsid w:val="00737E31"/>
    <w:rsid w:val="007401B5"/>
    <w:rsid w:val="0074095E"/>
    <w:rsid w:val="00740CFF"/>
    <w:rsid w:val="00740F90"/>
    <w:rsid w:val="00741441"/>
    <w:rsid w:val="00741D8E"/>
    <w:rsid w:val="00742473"/>
    <w:rsid w:val="00742AF2"/>
    <w:rsid w:val="007432A4"/>
    <w:rsid w:val="00743599"/>
    <w:rsid w:val="0074429E"/>
    <w:rsid w:val="007447CE"/>
    <w:rsid w:val="00744FD5"/>
    <w:rsid w:val="0074556E"/>
    <w:rsid w:val="00746DB4"/>
    <w:rsid w:val="00746E58"/>
    <w:rsid w:val="00747E02"/>
    <w:rsid w:val="00747F59"/>
    <w:rsid w:val="007503C3"/>
    <w:rsid w:val="007516AC"/>
    <w:rsid w:val="00751E80"/>
    <w:rsid w:val="00752E22"/>
    <w:rsid w:val="007533AC"/>
    <w:rsid w:val="00753699"/>
    <w:rsid w:val="007538D1"/>
    <w:rsid w:val="00753A0C"/>
    <w:rsid w:val="00753AC6"/>
    <w:rsid w:val="007544C1"/>
    <w:rsid w:val="007545C6"/>
    <w:rsid w:val="00754770"/>
    <w:rsid w:val="00754B06"/>
    <w:rsid w:val="00756012"/>
    <w:rsid w:val="007567A9"/>
    <w:rsid w:val="007568DA"/>
    <w:rsid w:val="00756933"/>
    <w:rsid w:val="00756B7A"/>
    <w:rsid w:val="0075712D"/>
    <w:rsid w:val="00757E2C"/>
    <w:rsid w:val="007601EB"/>
    <w:rsid w:val="00760814"/>
    <w:rsid w:val="00760869"/>
    <w:rsid w:val="007617AD"/>
    <w:rsid w:val="007623A8"/>
    <w:rsid w:val="00762BC2"/>
    <w:rsid w:val="00762E15"/>
    <w:rsid w:val="00762E6B"/>
    <w:rsid w:val="007630B6"/>
    <w:rsid w:val="007636C6"/>
    <w:rsid w:val="00764055"/>
    <w:rsid w:val="00765BE8"/>
    <w:rsid w:val="00765CF1"/>
    <w:rsid w:val="00767630"/>
    <w:rsid w:val="0077084B"/>
    <w:rsid w:val="00771634"/>
    <w:rsid w:val="00771709"/>
    <w:rsid w:val="007717EF"/>
    <w:rsid w:val="0077184F"/>
    <w:rsid w:val="007718E2"/>
    <w:rsid w:val="00771DDC"/>
    <w:rsid w:val="00772FD4"/>
    <w:rsid w:val="00773957"/>
    <w:rsid w:val="00773B81"/>
    <w:rsid w:val="00774097"/>
    <w:rsid w:val="00774252"/>
    <w:rsid w:val="00774635"/>
    <w:rsid w:val="007747E9"/>
    <w:rsid w:val="007748AB"/>
    <w:rsid w:val="007755EA"/>
    <w:rsid w:val="00775A5F"/>
    <w:rsid w:val="0077665F"/>
    <w:rsid w:val="007766B6"/>
    <w:rsid w:val="00776D14"/>
    <w:rsid w:val="00777044"/>
    <w:rsid w:val="0077785A"/>
    <w:rsid w:val="00777EE3"/>
    <w:rsid w:val="007802C0"/>
    <w:rsid w:val="007803E3"/>
    <w:rsid w:val="00780FEF"/>
    <w:rsid w:val="007812AA"/>
    <w:rsid w:val="0078131C"/>
    <w:rsid w:val="00782283"/>
    <w:rsid w:val="00782815"/>
    <w:rsid w:val="00782DF3"/>
    <w:rsid w:val="00783AC5"/>
    <w:rsid w:val="00783FEB"/>
    <w:rsid w:val="007843E6"/>
    <w:rsid w:val="00784D29"/>
    <w:rsid w:val="007853CE"/>
    <w:rsid w:val="00785B1B"/>
    <w:rsid w:val="0078683C"/>
    <w:rsid w:val="00787275"/>
    <w:rsid w:val="007875DD"/>
    <w:rsid w:val="00787AB4"/>
    <w:rsid w:val="00787C5F"/>
    <w:rsid w:val="00787DE5"/>
    <w:rsid w:val="00790360"/>
    <w:rsid w:val="007904A1"/>
    <w:rsid w:val="00790832"/>
    <w:rsid w:val="00790BFE"/>
    <w:rsid w:val="00791B27"/>
    <w:rsid w:val="00791C7C"/>
    <w:rsid w:val="00791D65"/>
    <w:rsid w:val="007923CD"/>
    <w:rsid w:val="00792486"/>
    <w:rsid w:val="0079257E"/>
    <w:rsid w:val="00793222"/>
    <w:rsid w:val="007932EC"/>
    <w:rsid w:val="00793397"/>
    <w:rsid w:val="00794307"/>
    <w:rsid w:val="00794600"/>
    <w:rsid w:val="00794D9D"/>
    <w:rsid w:val="00795F4E"/>
    <w:rsid w:val="0079632B"/>
    <w:rsid w:val="007963EE"/>
    <w:rsid w:val="00797B5F"/>
    <w:rsid w:val="00797BE4"/>
    <w:rsid w:val="00797E2B"/>
    <w:rsid w:val="007A0120"/>
    <w:rsid w:val="007A062B"/>
    <w:rsid w:val="007A064F"/>
    <w:rsid w:val="007A07F4"/>
    <w:rsid w:val="007A1614"/>
    <w:rsid w:val="007A1640"/>
    <w:rsid w:val="007A1642"/>
    <w:rsid w:val="007A1AFA"/>
    <w:rsid w:val="007A2228"/>
    <w:rsid w:val="007A288A"/>
    <w:rsid w:val="007A29AA"/>
    <w:rsid w:val="007A31CF"/>
    <w:rsid w:val="007A38A0"/>
    <w:rsid w:val="007A472F"/>
    <w:rsid w:val="007A4DA6"/>
    <w:rsid w:val="007A4F12"/>
    <w:rsid w:val="007A4F58"/>
    <w:rsid w:val="007A5039"/>
    <w:rsid w:val="007A5573"/>
    <w:rsid w:val="007A5942"/>
    <w:rsid w:val="007A6009"/>
    <w:rsid w:val="007A6195"/>
    <w:rsid w:val="007A62FC"/>
    <w:rsid w:val="007A6413"/>
    <w:rsid w:val="007A74EC"/>
    <w:rsid w:val="007A7B84"/>
    <w:rsid w:val="007A7D90"/>
    <w:rsid w:val="007B0781"/>
    <w:rsid w:val="007B0B00"/>
    <w:rsid w:val="007B0BB3"/>
    <w:rsid w:val="007B1177"/>
    <w:rsid w:val="007B14DA"/>
    <w:rsid w:val="007B25ED"/>
    <w:rsid w:val="007B28F9"/>
    <w:rsid w:val="007B3440"/>
    <w:rsid w:val="007B3BF0"/>
    <w:rsid w:val="007B41E1"/>
    <w:rsid w:val="007B4FC7"/>
    <w:rsid w:val="007B518F"/>
    <w:rsid w:val="007B57EB"/>
    <w:rsid w:val="007B5AD5"/>
    <w:rsid w:val="007B68BD"/>
    <w:rsid w:val="007B6FB6"/>
    <w:rsid w:val="007B7B16"/>
    <w:rsid w:val="007B7C47"/>
    <w:rsid w:val="007C04A5"/>
    <w:rsid w:val="007C08DC"/>
    <w:rsid w:val="007C1822"/>
    <w:rsid w:val="007C1DDB"/>
    <w:rsid w:val="007C1FA7"/>
    <w:rsid w:val="007C20F1"/>
    <w:rsid w:val="007C29E5"/>
    <w:rsid w:val="007C2D7E"/>
    <w:rsid w:val="007C2DFB"/>
    <w:rsid w:val="007C2E54"/>
    <w:rsid w:val="007C3ACC"/>
    <w:rsid w:val="007C3D16"/>
    <w:rsid w:val="007C4F7C"/>
    <w:rsid w:val="007C52E5"/>
    <w:rsid w:val="007C5E6C"/>
    <w:rsid w:val="007C6590"/>
    <w:rsid w:val="007C6D25"/>
    <w:rsid w:val="007C74FA"/>
    <w:rsid w:val="007D065E"/>
    <w:rsid w:val="007D0B65"/>
    <w:rsid w:val="007D0D26"/>
    <w:rsid w:val="007D16F9"/>
    <w:rsid w:val="007D1E81"/>
    <w:rsid w:val="007D22C9"/>
    <w:rsid w:val="007D2A75"/>
    <w:rsid w:val="007D30BB"/>
    <w:rsid w:val="007D3186"/>
    <w:rsid w:val="007D41EE"/>
    <w:rsid w:val="007D433B"/>
    <w:rsid w:val="007D4362"/>
    <w:rsid w:val="007D48D2"/>
    <w:rsid w:val="007D5DA5"/>
    <w:rsid w:val="007D5DEC"/>
    <w:rsid w:val="007D6504"/>
    <w:rsid w:val="007D65ED"/>
    <w:rsid w:val="007D6E38"/>
    <w:rsid w:val="007D6FF2"/>
    <w:rsid w:val="007D78C8"/>
    <w:rsid w:val="007D7C1D"/>
    <w:rsid w:val="007D7D05"/>
    <w:rsid w:val="007D7E1B"/>
    <w:rsid w:val="007E0374"/>
    <w:rsid w:val="007E0B09"/>
    <w:rsid w:val="007E1033"/>
    <w:rsid w:val="007E17D0"/>
    <w:rsid w:val="007E18F3"/>
    <w:rsid w:val="007E1D0B"/>
    <w:rsid w:val="007E2333"/>
    <w:rsid w:val="007E2715"/>
    <w:rsid w:val="007E277B"/>
    <w:rsid w:val="007E2881"/>
    <w:rsid w:val="007E2E89"/>
    <w:rsid w:val="007E3C69"/>
    <w:rsid w:val="007E4BE6"/>
    <w:rsid w:val="007E5456"/>
    <w:rsid w:val="007E5718"/>
    <w:rsid w:val="007E5752"/>
    <w:rsid w:val="007E58EC"/>
    <w:rsid w:val="007E6276"/>
    <w:rsid w:val="007E661B"/>
    <w:rsid w:val="007E6DD8"/>
    <w:rsid w:val="007E6E74"/>
    <w:rsid w:val="007E790F"/>
    <w:rsid w:val="007F0037"/>
    <w:rsid w:val="007F1657"/>
    <w:rsid w:val="007F1684"/>
    <w:rsid w:val="007F1944"/>
    <w:rsid w:val="007F202D"/>
    <w:rsid w:val="007F24C9"/>
    <w:rsid w:val="007F268C"/>
    <w:rsid w:val="007F2877"/>
    <w:rsid w:val="007F386F"/>
    <w:rsid w:val="007F3D1F"/>
    <w:rsid w:val="007F4118"/>
    <w:rsid w:val="007F5476"/>
    <w:rsid w:val="007F593D"/>
    <w:rsid w:val="007F616D"/>
    <w:rsid w:val="007F6904"/>
    <w:rsid w:val="007F6B71"/>
    <w:rsid w:val="007F6F27"/>
    <w:rsid w:val="007F74A4"/>
    <w:rsid w:val="007F7C94"/>
    <w:rsid w:val="007F7CEF"/>
    <w:rsid w:val="0080224B"/>
    <w:rsid w:val="00803930"/>
    <w:rsid w:val="00803E53"/>
    <w:rsid w:val="00804829"/>
    <w:rsid w:val="008050B8"/>
    <w:rsid w:val="00805409"/>
    <w:rsid w:val="00805FB0"/>
    <w:rsid w:val="00806CB1"/>
    <w:rsid w:val="00807662"/>
    <w:rsid w:val="00807928"/>
    <w:rsid w:val="00807A1A"/>
    <w:rsid w:val="00807EEC"/>
    <w:rsid w:val="00810324"/>
    <w:rsid w:val="00810392"/>
    <w:rsid w:val="008107AA"/>
    <w:rsid w:val="00810E61"/>
    <w:rsid w:val="00810F84"/>
    <w:rsid w:val="00811683"/>
    <w:rsid w:val="00811833"/>
    <w:rsid w:val="00811834"/>
    <w:rsid w:val="00811CF2"/>
    <w:rsid w:val="00812008"/>
    <w:rsid w:val="00812185"/>
    <w:rsid w:val="008124C6"/>
    <w:rsid w:val="00812D9A"/>
    <w:rsid w:val="008132C4"/>
    <w:rsid w:val="0081342E"/>
    <w:rsid w:val="0081380F"/>
    <w:rsid w:val="008148D7"/>
    <w:rsid w:val="00814EEA"/>
    <w:rsid w:val="00815574"/>
    <w:rsid w:val="00816169"/>
    <w:rsid w:val="00816D7E"/>
    <w:rsid w:val="008179A3"/>
    <w:rsid w:val="008179B2"/>
    <w:rsid w:val="00817F37"/>
    <w:rsid w:val="00817F67"/>
    <w:rsid w:val="00817FE5"/>
    <w:rsid w:val="008204ED"/>
    <w:rsid w:val="00820A06"/>
    <w:rsid w:val="008213D2"/>
    <w:rsid w:val="008216EF"/>
    <w:rsid w:val="00821845"/>
    <w:rsid w:val="008219E6"/>
    <w:rsid w:val="0082244F"/>
    <w:rsid w:val="00822631"/>
    <w:rsid w:val="00822D89"/>
    <w:rsid w:val="008230E0"/>
    <w:rsid w:val="008237EC"/>
    <w:rsid w:val="008237F0"/>
    <w:rsid w:val="00823F86"/>
    <w:rsid w:val="008240F3"/>
    <w:rsid w:val="00824192"/>
    <w:rsid w:val="00824380"/>
    <w:rsid w:val="008254EF"/>
    <w:rsid w:val="00826141"/>
    <w:rsid w:val="008264AB"/>
    <w:rsid w:val="00826E7B"/>
    <w:rsid w:val="008273E0"/>
    <w:rsid w:val="008273FA"/>
    <w:rsid w:val="008275C7"/>
    <w:rsid w:val="00827B4D"/>
    <w:rsid w:val="0083152B"/>
    <w:rsid w:val="00831865"/>
    <w:rsid w:val="00831E9E"/>
    <w:rsid w:val="00832C48"/>
    <w:rsid w:val="00832CBD"/>
    <w:rsid w:val="00832D1E"/>
    <w:rsid w:val="008335B6"/>
    <w:rsid w:val="0083363B"/>
    <w:rsid w:val="00834236"/>
    <w:rsid w:val="00834ADD"/>
    <w:rsid w:val="00834B40"/>
    <w:rsid w:val="00834E86"/>
    <w:rsid w:val="00835390"/>
    <w:rsid w:val="0083584A"/>
    <w:rsid w:val="00837078"/>
    <w:rsid w:val="008376EE"/>
    <w:rsid w:val="00837AA8"/>
    <w:rsid w:val="00840D9F"/>
    <w:rsid w:val="00841543"/>
    <w:rsid w:val="00841AA3"/>
    <w:rsid w:val="008422CD"/>
    <w:rsid w:val="008450B7"/>
    <w:rsid w:val="0084559E"/>
    <w:rsid w:val="00845AB9"/>
    <w:rsid w:val="00845F20"/>
    <w:rsid w:val="00846510"/>
    <w:rsid w:val="00846934"/>
    <w:rsid w:val="00846F81"/>
    <w:rsid w:val="0084765D"/>
    <w:rsid w:val="008476BA"/>
    <w:rsid w:val="0084798B"/>
    <w:rsid w:val="00847C99"/>
    <w:rsid w:val="00847EE1"/>
    <w:rsid w:val="00850214"/>
    <w:rsid w:val="0085143B"/>
    <w:rsid w:val="00851539"/>
    <w:rsid w:val="00851F1C"/>
    <w:rsid w:val="00852822"/>
    <w:rsid w:val="00852960"/>
    <w:rsid w:val="00852E65"/>
    <w:rsid w:val="008539DB"/>
    <w:rsid w:val="00854039"/>
    <w:rsid w:val="0085426E"/>
    <w:rsid w:val="008543A4"/>
    <w:rsid w:val="008557D6"/>
    <w:rsid w:val="00855C2C"/>
    <w:rsid w:val="0085694E"/>
    <w:rsid w:val="00856EB8"/>
    <w:rsid w:val="00857858"/>
    <w:rsid w:val="00857D0D"/>
    <w:rsid w:val="008601F4"/>
    <w:rsid w:val="00861066"/>
    <w:rsid w:val="00861CA8"/>
    <w:rsid w:val="00861D70"/>
    <w:rsid w:val="00862DF6"/>
    <w:rsid w:val="00864699"/>
    <w:rsid w:val="00864B57"/>
    <w:rsid w:val="00864C9F"/>
    <w:rsid w:val="008661F2"/>
    <w:rsid w:val="00870BEB"/>
    <w:rsid w:val="00871B41"/>
    <w:rsid w:val="00871CC5"/>
    <w:rsid w:val="008727E4"/>
    <w:rsid w:val="00873198"/>
    <w:rsid w:val="008736A9"/>
    <w:rsid w:val="00873FAD"/>
    <w:rsid w:val="0087429F"/>
    <w:rsid w:val="00874638"/>
    <w:rsid w:val="008746D4"/>
    <w:rsid w:val="00874A8B"/>
    <w:rsid w:val="00874B5B"/>
    <w:rsid w:val="00875036"/>
    <w:rsid w:val="008753B0"/>
    <w:rsid w:val="00875A08"/>
    <w:rsid w:val="00876065"/>
    <w:rsid w:val="00876C19"/>
    <w:rsid w:val="00876F46"/>
    <w:rsid w:val="008771D4"/>
    <w:rsid w:val="00877BBB"/>
    <w:rsid w:val="008803BC"/>
    <w:rsid w:val="0088056A"/>
    <w:rsid w:val="008806F6"/>
    <w:rsid w:val="0088219C"/>
    <w:rsid w:val="00882731"/>
    <w:rsid w:val="00882C2A"/>
    <w:rsid w:val="00882C61"/>
    <w:rsid w:val="0088469E"/>
    <w:rsid w:val="008847B9"/>
    <w:rsid w:val="0088524D"/>
    <w:rsid w:val="0088721F"/>
    <w:rsid w:val="00887C35"/>
    <w:rsid w:val="00890459"/>
    <w:rsid w:val="008904CF"/>
    <w:rsid w:val="00890A04"/>
    <w:rsid w:val="00890CA8"/>
    <w:rsid w:val="00890F28"/>
    <w:rsid w:val="00890FD8"/>
    <w:rsid w:val="0089139D"/>
    <w:rsid w:val="0089141D"/>
    <w:rsid w:val="0089187E"/>
    <w:rsid w:val="00891AC7"/>
    <w:rsid w:val="00892AD0"/>
    <w:rsid w:val="00892CF9"/>
    <w:rsid w:val="00893922"/>
    <w:rsid w:val="00893C17"/>
    <w:rsid w:val="008943BA"/>
    <w:rsid w:val="00894CAC"/>
    <w:rsid w:val="00894D5B"/>
    <w:rsid w:val="008959CE"/>
    <w:rsid w:val="008962E2"/>
    <w:rsid w:val="0089644D"/>
    <w:rsid w:val="008977BA"/>
    <w:rsid w:val="008A0342"/>
    <w:rsid w:val="008A083E"/>
    <w:rsid w:val="008A0DE8"/>
    <w:rsid w:val="008A1EEE"/>
    <w:rsid w:val="008A3275"/>
    <w:rsid w:val="008A33E2"/>
    <w:rsid w:val="008A3DB2"/>
    <w:rsid w:val="008A47BB"/>
    <w:rsid w:val="008A4AED"/>
    <w:rsid w:val="008A5E3F"/>
    <w:rsid w:val="008A5F85"/>
    <w:rsid w:val="008A61C9"/>
    <w:rsid w:val="008A61D1"/>
    <w:rsid w:val="008A6380"/>
    <w:rsid w:val="008A6720"/>
    <w:rsid w:val="008A67FE"/>
    <w:rsid w:val="008A70F4"/>
    <w:rsid w:val="008A7334"/>
    <w:rsid w:val="008A7658"/>
    <w:rsid w:val="008A76F2"/>
    <w:rsid w:val="008A7912"/>
    <w:rsid w:val="008B0B4E"/>
    <w:rsid w:val="008B0D72"/>
    <w:rsid w:val="008B0E6D"/>
    <w:rsid w:val="008B1B95"/>
    <w:rsid w:val="008B2BF3"/>
    <w:rsid w:val="008B2CC1"/>
    <w:rsid w:val="008B30B8"/>
    <w:rsid w:val="008B33D3"/>
    <w:rsid w:val="008B448B"/>
    <w:rsid w:val="008B4A92"/>
    <w:rsid w:val="008B4F12"/>
    <w:rsid w:val="008B51A2"/>
    <w:rsid w:val="008B5513"/>
    <w:rsid w:val="008B586C"/>
    <w:rsid w:val="008B5905"/>
    <w:rsid w:val="008B6066"/>
    <w:rsid w:val="008B65F3"/>
    <w:rsid w:val="008B6EE7"/>
    <w:rsid w:val="008B72B6"/>
    <w:rsid w:val="008B7324"/>
    <w:rsid w:val="008C0BB7"/>
    <w:rsid w:val="008C108B"/>
    <w:rsid w:val="008C12DE"/>
    <w:rsid w:val="008C161A"/>
    <w:rsid w:val="008C194B"/>
    <w:rsid w:val="008C1958"/>
    <w:rsid w:val="008C1B88"/>
    <w:rsid w:val="008C2095"/>
    <w:rsid w:val="008C28E5"/>
    <w:rsid w:val="008C3D7E"/>
    <w:rsid w:val="008C4469"/>
    <w:rsid w:val="008C4EB2"/>
    <w:rsid w:val="008C4FF3"/>
    <w:rsid w:val="008C51F8"/>
    <w:rsid w:val="008C54F8"/>
    <w:rsid w:val="008C58B8"/>
    <w:rsid w:val="008C5C94"/>
    <w:rsid w:val="008C60CA"/>
    <w:rsid w:val="008C6428"/>
    <w:rsid w:val="008C6B06"/>
    <w:rsid w:val="008C723E"/>
    <w:rsid w:val="008C786D"/>
    <w:rsid w:val="008C7A08"/>
    <w:rsid w:val="008D09BA"/>
    <w:rsid w:val="008D11F0"/>
    <w:rsid w:val="008D1518"/>
    <w:rsid w:val="008D1E77"/>
    <w:rsid w:val="008D1F6A"/>
    <w:rsid w:val="008D22E1"/>
    <w:rsid w:val="008D2D57"/>
    <w:rsid w:val="008D33F4"/>
    <w:rsid w:val="008D356D"/>
    <w:rsid w:val="008D3644"/>
    <w:rsid w:val="008D3D49"/>
    <w:rsid w:val="008D42E4"/>
    <w:rsid w:val="008D437F"/>
    <w:rsid w:val="008D44A0"/>
    <w:rsid w:val="008D4974"/>
    <w:rsid w:val="008D4B77"/>
    <w:rsid w:val="008D63CE"/>
    <w:rsid w:val="008D6F20"/>
    <w:rsid w:val="008E05CC"/>
    <w:rsid w:val="008E0857"/>
    <w:rsid w:val="008E0C7B"/>
    <w:rsid w:val="008E1318"/>
    <w:rsid w:val="008E16A2"/>
    <w:rsid w:val="008E28E5"/>
    <w:rsid w:val="008E2A8A"/>
    <w:rsid w:val="008E2D25"/>
    <w:rsid w:val="008E3112"/>
    <w:rsid w:val="008E3393"/>
    <w:rsid w:val="008E34F2"/>
    <w:rsid w:val="008E3A6E"/>
    <w:rsid w:val="008E3A79"/>
    <w:rsid w:val="008E4BB3"/>
    <w:rsid w:val="008E4CA2"/>
    <w:rsid w:val="008E542F"/>
    <w:rsid w:val="008E553A"/>
    <w:rsid w:val="008E553E"/>
    <w:rsid w:val="008E6630"/>
    <w:rsid w:val="008E6B2E"/>
    <w:rsid w:val="008E6E07"/>
    <w:rsid w:val="008E713F"/>
    <w:rsid w:val="008E7272"/>
    <w:rsid w:val="008E7325"/>
    <w:rsid w:val="008E7721"/>
    <w:rsid w:val="008E7EB5"/>
    <w:rsid w:val="008E7FF9"/>
    <w:rsid w:val="008F005F"/>
    <w:rsid w:val="008F006F"/>
    <w:rsid w:val="008F0F29"/>
    <w:rsid w:val="008F0F3F"/>
    <w:rsid w:val="008F1A84"/>
    <w:rsid w:val="008F1AD7"/>
    <w:rsid w:val="008F2211"/>
    <w:rsid w:val="008F29C0"/>
    <w:rsid w:val="008F3DB2"/>
    <w:rsid w:val="008F4C50"/>
    <w:rsid w:val="008F6E59"/>
    <w:rsid w:val="008F74B0"/>
    <w:rsid w:val="0090049B"/>
    <w:rsid w:val="00900746"/>
    <w:rsid w:val="0090089A"/>
    <w:rsid w:val="00901012"/>
    <w:rsid w:val="009013D4"/>
    <w:rsid w:val="009014F8"/>
    <w:rsid w:val="009015FA"/>
    <w:rsid w:val="009024C3"/>
    <w:rsid w:val="009034F1"/>
    <w:rsid w:val="00903992"/>
    <w:rsid w:val="00903D0D"/>
    <w:rsid w:val="00904020"/>
    <w:rsid w:val="00904127"/>
    <w:rsid w:val="009047AF"/>
    <w:rsid w:val="00905620"/>
    <w:rsid w:val="009059F4"/>
    <w:rsid w:val="00907675"/>
    <w:rsid w:val="009076EE"/>
    <w:rsid w:val="00907B70"/>
    <w:rsid w:val="00910A9B"/>
    <w:rsid w:val="0091180B"/>
    <w:rsid w:val="00912209"/>
    <w:rsid w:val="00912A73"/>
    <w:rsid w:val="00912AD4"/>
    <w:rsid w:val="009130BC"/>
    <w:rsid w:val="00914366"/>
    <w:rsid w:val="0091567A"/>
    <w:rsid w:val="0091592B"/>
    <w:rsid w:val="00915BB4"/>
    <w:rsid w:val="00920EA6"/>
    <w:rsid w:val="00921167"/>
    <w:rsid w:val="00921EF9"/>
    <w:rsid w:val="009222DB"/>
    <w:rsid w:val="00922AEE"/>
    <w:rsid w:val="00922C9C"/>
    <w:rsid w:val="00923094"/>
    <w:rsid w:val="00923843"/>
    <w:rsid w:val="00923A78"/>
    <w:rsid w:val="009241FB"/>
    <w:rsid w:val="009242FE"/>
    <w:rsid w:val="009244AD"/>
    <w:rsid w:val="009244FA"/>
    <w:rsid w:val="00924624"/>
    <w:rsid w:val="00924BDB"/>
    <w:rsid w:val="00924D22"/>
    <w:rsid w:val="009252BA"/>
    <w:rsid w:val="00925DA0"/>
    <w:rsid w:val="0092661B"/>
    <w:rsid w:val="00926650"/>
    <w:rsid w:val="009266FD"/>
    <w:rsid w:val="00926CAE"/>
    <w:rsid w:val="00930CBB"/>
    <w:rsid w:val="0093184F"/>
    <w:rsid w:val="00931A58"/>
    <w:rsid w:val="009322FA"/>
    <w:rsid w:val="00932CD9"/>
    <w:rsid w:val="00933354"/>
    <w:rsid w:val="0093342E"/>
    <w:rsid w:val="00933650"/>
    <w:rsid w:val="00934140"/>
    <w:rsid w:val="00934337"/>
    <w:rsid w:val="009347AA"/>
    <w:rsid w:val="00937EA9"/>
    <w:rsid w:val="00937EEE"/>
    <w:rsid w:val="00940444"/>
    <w:rsid w:val="00940BC2"/>
    <w:rsid w:val="00940BF5"/>
    <w:rsid w:val="00941501"/>
    <w:rsid w:val="0094159E"/>
    <w:rsid w:val="009422EA"/>
    <w:rsid w:val="009425AF"/>
    <w:rsid w:val="0094290C"/>
    <w:rsid w:val="009429B7"/>
    <w:rsid w:val="00942C41"/>
    <w:rsid w:val="00942CE3"/>
    <w:rsid w:val="009434C4"/>
    <w:rsid w:val="009437DB"/>
    <w:rsid w:val="00943BBD"/>
    <w:rsid w:val="0094473B"/>
    <w:rsid w:val="00944C25"/>
    <w:rsid w:val="00944D0C"/>
    <w:rsid w:val="009451F6"/>
    <w:rsid w:val="009458FF"/>
    <w:rsid w:val="00945BA7"/>
    <w:rsid w:val="00945D1E"/>
    <w:rsid w:val="009462C8"/>
    <w:rsid w:val="00946A40"/>
    <w:rsid w:val="00946A80"/>
    <w:rsid w:val="00947CF4"/>
    <w:rsid w:val="00950667"/>
    <w:rsid w:val="00950EA1"/>
    <w:rsid w:val="0095131F"/>
    <w:rsid w:val="009515A8"/>
    <w:rsid w:val="0095198E"/>
    <w:rsid w:val="009519EE"/>
    <w:rsid w:val="009523BC"/>
    <w:rsid w:val="00952423"/>
    <w:rsid w:val="009526C7"/>
    <w:rsid w:val="00952EC1"/>
    <w:rsid w:val="00953196"/>
    <w:rsid w:val="009537EC"/>
    <w:rsid w:val="00953800"/>
    <w:rsid w:val="00953858"/>
    <w:rsid w:val="00953A90"/>
    <w:rsid w:val="00954AFE"/>
    <w:rsid w:val="00954BB6"/>
    <w:rsid w:val="00954C7A"/>
    <w:rsid w:val="00954EEF"/>
    <w:rsid w:val="0095561D"/>
    <w:rsid w:val="009564C2"/>
    <w:rsid w:val="009566E2"/>
    <w:rsid w:val="00957725"/>
    <w:rsid w:val="00957A15"/>
    <w:rsid w:val="009600C3"/>
    <w:rsid w:val="009604DF"/>
    <w:rsid w:val="00961208"/>
    <w:rsid w:val="0096137C"/>
    <w:rsid w:val="00961E9A"/>
    <w:rsid w:val="0096300B"/>
    <w:rsid w:val="0096335C"/>
    <w:rsid w:val="00964173"/>
    <w:rsid w:val="0096460F"/>
    <w:rsid w:val="009658CA"/>
    <w:rsid w:val="0096593E"/>
    <w:rsid w:val="00966C9B"/>
    <w:rsid w:val="00966CAB"/>
    <w:rsid w:val="00966D1C"/>
    <w:rsid w:val="009674ED"/>
    <w:rsid w:val="009677B7"/>
    <w:rsid w:val="00967F5E"/>
    <w:rsid w:val="00970CC1"/>
    <w:rsid w:val="00970F16"/>
    <w:rsid w:val="00971477"/>
    <w:rsid w:val="009729D3"/>
    <w:rsid w:val="00974F90"/>
    <w:rsid w:val="00975693"/>
    <w:rsid w:val="009756F7"/>
    <w:rsid w:val="0097774C"/>
    <w:rsid w:val="009777E6"/>
    <w:rsid w:val="00977B49"/>
    <w:rsid w:val="00981134"/>
    <w:rsid w:val="0098122E"/>
    <w:rsid w:val="00981A86"/>
    <w:rsid w:val="00981FB6"/>
    <w:rsid w:val="00982053"/>
    <w:rsid w:val="00982801"/>
    <w:rsid w:val="00982D84"/>
    <w:rsid w:val="00983089"/>
    <w:rsid w:val="009831F0"/>
    <w:rsid w:val="00983459"/>
    <w:rsid w:val="009834AF"/>
    <w:rsid w:val="00983CE8"/>
    <w:rsid w:val="00983FEF"/>
    <w:rsid w:val="0098401C"/>
    <w:rsid w:val="00984DB8"/>
    <w:rsid w:val="009858D4"/>
    <w:rsid w:val="00985DC2"/>
    <w:rsid w:val="0098724C"/>
    <w:rsid w:val="00990EBB"/>
    <w:rsid w:val="0099128F"/>
    <w:rsid w:val="0099160B"/>
    <w:rsid w:val="00991BE0"/>
    <w:rsid w:val="00991D55"/>
    <w:rsid w:val="00991EE9"/>
    <w:rsid w:val="00991EEC"/>
    <w:rsid w:val="00992215"/>
    <w:rsid w:val="009925B7"/>
    <w:rsid w:val="00992821"/>
    <w:rsid w:val="00993530"/>
    <w:rsid w:val="00993582"/>
    <w:rsid w:val="0099408D"/>
    <w:rsid w:val="009941F4"/>
    <w:rsid w:val="00994934"/>
    <w:rsid w:val="00995E28"/>
    <w:rsid w:val="0099670A"/>
    <w:rsid w:val="00997367"/>
    <w:rsid w:val="00997A26"/>
    <w:rsid w:val="00997BFD"/>
    <w:rsid w:val="009A1CA0"/>
    <w:rsid w:val="009A227D"/>
    <w:rsid w:val="009A2768"/>
    <w:rsid w:val="009A285A"/>
    <w:rsid w:val="009A3C7B"/>
    <w:rsid w:val="009A4201"/>
    <w:rsid w:val="009A455E"/>
    <w:rsid w:val="009A5DCC"/>
    <w:rsid w:val="009A6093"/>
    <w:rsid w:val="009A6D92"/>
    <w:rsid w:val="009A7679"/>
    <w:rsid w:val="009A7968"/>
    <w:rsid w:val="009B00D2"/>
    <w:rsid w:val="009B1233"/>
    <w:rsid w:val="009B1FAE"/>
    <w:rsid w:val="009B24F3"/>
    <w:rsid w:val="009B2729"/>
    <w:rsid w:val="009B30A0"/>
    <w:rsid w:val="009B37AC"/>
    <w:rsid w:val="009B46C6"/>
    <w:rsid w:val="009B4CC3"/>
    <w:rsid w:val="009B5431"/>
    <w:rsid w:val="009B6745"/>
    <w:rsid w:val="009B6EC2"/>
    <w:rsid w:val="009B6F1E"/>
    <w:rsid w:val="009B7457"/>
    <w:rsid w:val="009B7C89"/>
    <w:rsid w:val="009C1402"/>
    <w:rsid w:val="009C169F"/>
    <w:rsid w:val="009C19BE"/>
    <w:rsid w:val="009C1B3A"/>
    <w:rsid w:val="009C213C"/>
    <w:rsid w:val="009C22C8"/>
    <w:rsid w:val="009C28D4"/>
    <w:rsid w:val="009C2AA5"/>
    <w:rsid w:val="009C4403"/>
    <w:rsid w:val="009C4827"/>
    <w:rsid w:val="009C4A76"/>
    <w:rsid w:val="009C5005"/>
    <w:rsid w:val="009C63B7"/>
    <w:rsid w:val="009C6598"/>
    <w:rsid w:val="009C6BE2"/>
    <w:rsid w:val="009C6FFD"/>
    <w:rsid w:val="009C745D"/>
    <w:rsid w:val="009C7783"/>
    <w:rsid w:val="009D13D7"/>
    <w:rsid w:val="009D1A88"/>
    <w:rsid w:val="009D2A98"/>
    <w:rsid w:val="009D2AF5"/>
    <w:rsid w:val="009D3EAB"/>
    <w:rsid w:val="009D4F57"/>
    <w:rsid w:val="009D6231"/>
    <w:rsid w:val="009D68CC"/>
    <w:rsid w:val="009D70E6"/>
    <w:rsid w:val="009D7125"/>
    <w:rsid w:val="009D7581"/>
    <w:rsid w:val="009D7631"/>
    <w:rsid w:val="009E048B"/>
    <w:rsid w:val="009E1D5E"/>
    <w:rsid w:val="009E302E"/>
    <w:rsid w:val="009E31B9"/>
    <w:rsid w:val="009E3322"/>
    <w:rsid w:val="009E395E"/>
    <w:rsid w:val="009E3C91"/>
    <w:rsid w:val="009E3F13"/>
    <w:rsid w:val="009E4BD3"/>
    <w:rsid w:val="009E4EC8"/>
    <w:rsid w:val="009E4FD6"/>
    <w:rsid w:val="009E592A"/>
    <w:rsid w:val="009E6214"/>
    <w:rsid w:val="009E62E2"/>
    <w:rsid w:val="009F09F4"/>
    <w:rsid w:val="009F0BE9"/>
    <w:rsid w:val="009F0C07"/>
    <w:rsid w:val="009F0CE8"/>
    <w:rsid w:val="009F0EEA"/>
    <w:rsid w:val="009F1356"/>
    <w:rsid w:val="009F15CB"/>
    <w:rsid w:val="009F30CE"/>
    <w:rsid w:val="009F4089"/>
    <w:rsid w:val="009F5415"/>
    <w:rsid w:val="009F5A34"/>
    <w:rsid w:val="009F5E4C"/>
    <w:rsid w:val="009F61C6"/>
    <w:rsid w:val="009F7CB1"/>
    <w:rsid w:val="00A002C9"/>
    <w:rsid w:val="00A008F2"/>
    <w:rsid w:val="00A00962"/>
    <w:rsid w:val="00A01E4C"/>
    <w:rsid w:val="00A02161"/>
    <w:rsid w:val="00A02373"/>
    <w:rsid w:val="00A0243C"/>
    <w:rsid w:val="00A03EB9"/>
    <w:rsid w:val="00A044D2"/>
    <w:rsid w:val="00A05E51"/>
    <w:rsid w:val="00A06552"/>
    <w:rsid w:val="00A06E74"/>
    <w:rsid w:val="00A078B5"/>
    <w:rsid w:val="00A07EF1"/>
    <w:rsid w:val="00A1081F"/>
    <w:rsid w:val="00A10D94"/>
    <w:rsid w:val="00A11046"/>
    <w:rsid w:val="00A11261"/>
    <w:rsid w:val="00A1181A"/>
    <w:rsid w:val="00A11B87"/>
    <w:rsid w:val="00A11CBF"/>
    <w:rsid w:val="00A11D3D"/>
    <w:rsid w:val="00A13059"/>
    <w:rsid w:val="00A1476E"/>
    <w:rsid w:val="00A14790"/>
    <w:rsid w:val="00A14B82"/>
    <w:rsid w:val="00A14BBB"/>
    <w:rsid w:val="00A15147"/>
    <w:rsid w:val="00A154D3"/>
    <w:rsid w:val="00A16680"/>
    <w:rsid w:val="00A16B53"/>
    <w:rsid w:val="00A17C9D"/>
    <w:rsid w:val="00A20054"/>
    <w:rsid w:val="00A208AA"/>
    <w:rsid w:val="00A20B00"/>
    <w:rsid w:val="00A20C06"/>
    <w:rsid w:val="00A2122B"/>
    <w:rsid w:val="00A22129"/>
    <w:rsid w:val="00A2238C"/>
    <w:rsid w:val="00A224CC"/>
    <w:rsid w:val="00A226D3"/>
    <w:rsid w:val="00A23B6B"/>
    <w:rsid w:val="00A23E2C"/>
    <w:rsid w:val="00A24300"/>
    <w:rsid w:val="00A24BEA"/>
    <w:rsid w:val="00A255C3"/>
    <w:rsid w:val="00A2648C"/>
    <w:rsid w:val="00A26AD7"/>
    <w:rsid w:val="00A26E55"/>
    <w:rsid w:val="00A276DA"/>
    <w:rsid w:val="00A27DD2"/>
    <w:rsid w:val="00A30685"/>
    <w:rsid w:val="00A30902"/>
    <w:rsid w:val="00A3097F"/>
    <w:rsid w:val="00A314EA"/>
    <w:rsid w:val="00A31540"/>
    <w:rsid w:val="00A31678"/>
    <w:rsid w:val="00A316A4"/>
    <w:rsid w:val="00A31828"/>
    <w:rsid w:val="00A31BE8"/>
    <w:rsid w:val="00A31C87"/>
    <w:rsid w:val="00A323FF"/>
    <w:rsid w:val="00A3269F"/>
    <w:rsid w:val="00A339EE"/>
    <w:rsid w:val="00A33A0A"/>
    <w:rsid w:val="00A33BDA"/>
    <w:rsid w:val="00A33CA2"/>
    <w:rsid w:val="00A34591"/>
    <w:rsid w:val="00A34ADA"/>
    <w:rsid w:val="00A34DF5"/>
    <w:rsid w:val="00A3528A"/>
    <w:rsid w:val="00A35EDE"/>
    <w:rsid w:val="00A36E71"/>
    <w:rsid w:val="00A3733E"/>
    <w:rsid w:val="00A376CC"/>
    <w:rsid w:val="00A40566"/>
    <w:rsid w:val="00A40D94"/>
    <w:rsid w:val="00A4102E"/>
    <w:rsid w:val="00A41778"/>
    <w:rsid w:val="00A42047"/>
    <w:rsid w:val="00A42169"/>
    <w:rsid w:val="00A42394"/>
    <w:rsid w:val="00A440C6"/>
    <w:rsid w:val="00A44272"/>
    <w:rsid w:val="00A4466E"/>
    <w:rsid w:val="00A449BB"/>
    <w:rsid w:val="00A4588D"/>
    <w:rsid w:val="00A4592A"/>
    <w:rsid w:val="00A46692"/>
    <w:rsid w:val="00A47B7E"/>
    <w:rsid w:val="00A47ECC"/>
    <w:rsid w:val="00A50702"/>
    <w:rsid w:val="00A50876"/>
    <w:rsid w:val="00A50F21"/>
    <w:rsid w:val="00A5145A"/>
    <w:rsid w:val="00A514FD"/>
    <w:rsid w:val="00A51635"/>
    <w:rsid w:val="00A51A2D"/>
    <w:rsid w:val="00A51C48"/>
    <w:rsid w:val="00A51D6E"/>
    <w:rsid w:val="00A51FA8"/>
    <w:rsid w:val="00A52AD0"/>
    <w:rsid w:val="00A52B4E"/>
    <w:rsid w:val="00A52BE1"/>
    <w:rsid w:val="00A52FEA"/>
    <w:rsid w:val="00A5364A"/>
    <w:rsid w:val="00A53F28"/>
    <w:rsid w:val="00A54161"/>
    <w:rsid w:val="00A54810"/>
    <w:rsid w:val="00A56A53"/>
    <w:rsid w:val="00A57028"/>
    <w:rsid w:val="00A57786"/>
    <w:rsid w:val="00A57BA4"/>
    <w:rsid w:val="00A57E0D"/>
    <w:rsid w:val="00A60D35"/>
    <w:rsid w:val="00A60E5D"/>
    <w:rsid w:val="00A60F52"/>
    <w:rsid w:val="00A61769"/>
    <w:rsid w:val="00A61B2B"/>
    <w:rsid w:val="00A6359B"/>
    <w:rsid w:val="00A63737"/>
    <w:rsid w:val="00A63776"/>
    <w:rsid w:val="00A63D59"/>
    <w:rsid w:val="00A649E3"/>
    <w:rsid w:val="00A64B20"/>
    <w:rsid w:val="00A6507F"/>
    <w:rsid w:val="00A65667"/>
    <w:rsid w:val="00A65DEE"/>
    <w:rsid w:val="00A66207"/>
    <w:rsid w:val="00A663FB"/>
    <w:rsid w:val="00A6667F"/>
    <w:rsid w:val="00A67013"/>
    <w:rsid w:val="00A6789D"/>
    <w:rsid w:val="00A701CB"/>
    <w:rsid w:val="00A7106C"/>
    <w:rsid w:val="00A71A84"/>
    <w:rsid w:val="00A71B21"/>
    <w:rsid w:val="00A723A3"/>
    <w:rsid w:val="00A72B4D"/>
    <w:rsid w:val="00A72CFC"/>
    <w:rsid w:val="00A738E2"/>
    <w:rsid w:val="00A73D9E"/>
    <w:rsid w:val="00A74346"/>
    <w:rsid w:val="00A74DAF"/>
    <w:rsid w:val="00A7506E"/>
    <w:rsid w:val="00A767ED"/>
    <w:rsid w:val="00A80091"/>
    <w:rsid w:val="00A8102F"/>
    <w:rsid w:val="00A81E2C"/>
    <w:rsid w:val="00A8269F"/>
    <w:rsid w:val="00A82A0C"/>
    <w:rsid w:val="00A83306"/>
    <w:rsid w:val="00A842D0"/>
    <w:rsid w:val="00A85CD2"/>
    <w:rsid w:val="00A86E59"/>
    <w:rsid w:val="00A87A90"/>
    <w:rsid w:val="00A9046B"/>
    <w:rsid w:val="00A91120"/>
    <w:rsid w:val="00A91198"/>
    <w:rsid w:val="00A91692"/>
    <w:rsid w:val="00A91940"/>
    <w:rsid w:val="00A92805"/>
    <w:rsid w:val="00A930F8"/>
    <w:rsid w:val="00A93DC0"/>
    <w:rsid w:val="00A945C7"/>
    <w:rsid w:val="00A946EC"/>
    <w:rsid w:val="00A94720"/>
    <w:rsid w:val="00A94B87"/>
    <w:rsid w:val="00A94CA6"/>
    <w:rsid w:val="00A94F20"/>
    <w:rsid w:val="00A95069"/>
    <w:rsid w:val="00A95475"/>
    <w:rsid w:val="00A96A03"/>
    <w:rsid w:val="00A96E2E"/>
    <w:rsid w:val="00A97D54"/>
    <w:rsid w:val="00AA08F0"/>
    <w:rsid w:val="00AA12F9"/>
    <w:rsid w:val="00AA21D4"/>
    <w:rsid w:val="00AA259C"/>
    <w:rsid w:val="00AA2800"/>
    <w:rsid w:val="00AA2949"/>
    <w:rsid w:val="00AA2F89"/>
    <w:rsid w:val="00AA3119"/>
    <w:rsid w:val="00AA32EF"/>
    <w:rsid w:val="00AA3C59"/>
    <w:rsid w:val="00AA555C"/>
    <w:rsid w:val="00AA5BAA"/>
    <w:rsid w:val="00AA5CF0"/>
    <w:rsid w:val="00AA5EAF"/>
    <w:rsid w:val="00AA7004"/>
    <w:rsid w:val="00AA7165"/>
    <w:rsid w:val="00AA718F"/>
    <w:rsid w:val="00AA77FF"/>
    <w:rsid w:val="00AA79AB"/>
    <w:rsid w:val="00AA7CAB"/>
    <w:rsid w:val="00AA7D90"/>
    <w:rsid w:val="00AB0BBD"/>
    <w:rsid w:val="00AB315C"/>
    <w:rsid w:val="00AB322B"/>
    <w:rsid w:val="00AB3713"/>
    <w:rsid w:val="00AB3AF6"/>
    <w:rsid w:val="00AB4573"/>
    <w:rsid w:val="00AB47F4"/>
    <w:rsid w:val="00AB4B25"/>
    <w:rsid w:val="00AB5148"/>
    <w:rsid w:val="00AB54AE"/>
    <w:rsid w:val="00AB5C94"/>
    <w:rsid w:val="00AB6215"/>
    <w:rsid w:val="00AB65E4"/>
    <w:rsid w:val="00AB70F3"/>
    <w:rsid w:val="00AC07F4"/>
    <w:rsid w:val="00AC0F68"/>
    <w:rsid w:val="00AC10FF"/>
    <w:rsid w:val="00AC15B7"/>
    <w:rsid w:val="00AC196F"/>
    <w:rsid w:val="00AC218A"/>
    <w:rsid w:val="00AC2A4F"/>
    <w:rsid w:val="00AC3565"/>
    <w:rsid w:val="00AC3A4F"/>
    <w:rsid w:val="00AC3B69"/>
    <w:rsid w:val="00AC3C23"/>
    <w:rsid w:val="00AC3D7E"/>
    <w:rsid w:val="00AC419C"/>
    <w:rsid w:val="00AC425D"/>
    <w:rsid w:val="00AC4394"/>
    <w:rsid w:val="00AC44E0"/>
    <w:rsid w:val="00AC4C8D"/>
    <w:rsid w:val="00AC5C5F"/>
    <w:rsid w:val="00AC6058"/>
    <w:rsid w:val="00AC6940"/>
    <w:rsid w:val="00AC6CD7"/>
    <w:rsid w:val="00AC6EE0"/>
    <w:rsid w:val="00AC74F4"/>
    <w:rsid w:val="00AC78C5"/>
    <w:rsid w:val="00AC7B6E"/>
    <w:rsid w:val="00AC7F49"/>
    <w:rsid w:val="00AD2898"/>
    <w:rsid w:val="00AD29CD"/>
    <w:rsid w:val="00AD2BCD"/>
    <w:rsid w:val="00AD2EC6"/>
    <w:rsid w:val="00AD410B"/>
    <w:rsid w:val="00AD41B2"/>
    <w:rsid w:val="00AD41E7"/>
    <w:rsid w:val="00AD4928"/>
    <w:rsid w:val="00AD516E"/>
    <w:rsid w:val="00AD6076"/>
    <w:rsid w:val="00AE038A"/>
    <w:rsid w:val="00AE05CB"/>
    <w:rsid w:val="00AE115A"/>
    <w:rsid w:val="00AE130A"/>
    <w:rsid w:val="00AE1BB3"/>
    <w:rsid w:val="00AE2332"/>
    <w:rsid w:val="00AE24AF"/>
    <w:rsid w:val="00AE2D4E"/>
    <w:rsid w:val="00AE3BE8"/>
    <w:rsid w:val="00AE506E"/>
    <w:rsid w:val="00AE5364"/>
    <w:rsid w:val="00AE5D54"/>
    <w:rsid w:val="00AE5E0E"/>
    <w:rsid w:val="00AE618A"/>
    <w:rsid w:val="00AE69D4"/>
    <w:rsid w:val="00AE6AB6"/>
    <w:rsid w:val="00AE7021"/>
    <w:rsid w:val="00AE75F3"/>
    <w:rsid w:val="00AE7DAC"/>
    <w:rsid w:val="00AF03C0"/>
    <w:rsid w:val="00AF09B8"/>
    <w:rsid w:val="00AF1159"/>
    <w:rsid w:val="00AF15F4"/>
    <w:rsid w:val="00AF22E4"/>
    <w:rsid w:val="00AF2578"/>
    <w:rsid w:val="00AF40E4"/>
    <w:rsid w:val="00AF459A"/>
    <w:rsid w:val="00AF51BC"/>
    <w:rsid w:val="00AF5670"/>
    <w:rsid w:val="00AF5C8D"/>
    <w:rsid w:val="00AF5DF2"/>
    <w:rsid w:val="00AF6C1E"/>
    <w:rsid w:val="00AF6DA7"/>
    <w:rsid w:val="00AF6F32"/>
    <w:rsid w:val="00AF73D5"/>
    <w:rsid w:val="00AF78E4"/>
    <w:rsid w:val="00AF7961"/>
    <w:rsid w:val="00B00414"/>
    <w:rsid w:val="00B01252"/>
    <w:rsid w:val="00B012B6"/>
    <w:rsid w:val="00B01596"/>
    <w:rsid w:val="00B01FF8"/>
    <w:rsid w:val="00B02C6C"/>
    <w:rsid w:val="00B02E3E"/>
    <w:rsid w:val="00B03832"/>
    <w:rsid w:val="00B03908"/>
    <w:rsid w:val="00B03DCB"/>
    <w:rsid w:val="00B03F8B"/>
    <w:rsid w:val="00B041F3"/>
    <w:rsid w:val="00B0452D"/>
    <w:rsid w:val="00B04CAF"/>
    <w:rsid w:val="00B06451"/>
    <w:rsid w:val="00B06471"/>
    <w:rsid w:val="00B06D35"/>
    <w:rsid w:val="00B07950"/>
    <w:rsid w:val="00B07CAC"/>
    <w:rsid w:val="00B10369"/>
    <w:rsid w:val="00B1043F"/>
    <w:rsid w:val="00B10F53"/>
    <w:rsid w:val="00B10FDC"/>
    <w:rsid w:val="00B114EA"/>
    <w:rsid w:val="00B1289F"/>
    <w:rsid w:val="00B132BE"/>
    <w:rsid w:val="00B1385D"/>
    <w:rsid w:val="00B1430A"/>
    <w:rsid w:val="00B14685"/>
    <w:rsid w:val="00B14695"/>
    <w:rsid w:val="00B14BEE"/>
    <w:rsid w:val="00B163F3"/>
    <w:rsid w:val="00B16FD5"/>
    <w:rsid w:val="00B172C6"/>
    <w:rsid w:val="00B17A90"/>
    <w:rsid w:val="00B206E6"/>
    <w:rsid w:val="00B20804"/>
    <w:rsid w:val="00B20805"/>
    <w:rsid w:val="00B20E72"/>
    <w:rsid w:val="00B20F43"/>
    <w:rsid w:val="00B21077"/>
    <w:rsid w:val="00B21828"/>
    <w:rsid w:val="00B21935"/>
    <w:rsid w:val="00B224EB"/>
    <w:rsid w:val="00B226BE"/>
    <w:rsid w:val="00B22831"/>
    <w:rsid w:val="00B23C85"/>
    <w:rsid w:val="00B23F9D"/>
    <w:rsid w:val="00B2411A"/>
    <w:rsid w:val="00B2439C"/>
    <w:rsid w:val="00B24413"/>
    <w:rsid w:val="00B2468A"/>
    <w:rsid w:val="00B24837"/>
    <w:rsid w:val="00B24845"/>
    <w:rsid w:val="00B2582A"/>
    <w:rsid w:val="00B25852"/>
    <w:rsid w:val="00B259B6"/>
    <w:rsid w:val="00B25BF6"/>
    <w:rsid w:val="00B25E84"/>
    <w:rsid w:val="00B25FBC"/>
    <w:rsid w:val="00B26413"/>
    <w:rsid w:val="00B26471"/>
    <w:rsid w:val="00B265EE"/>
    <w:rsid w:val="00B30C43"/>
    <w:rsid w:val="00B312EE"/>
    <w:rsid w:val="00B327CC"/>
    <w:rsid w:val="00B32A9E"/>
    <w:rsid w:val="00B33BD6"/>
    <w:rsid w:val="00B33FD8"/>
    <w:rsid w:val="00B340A6"/>
    <w:rsid w:val="00B34898"/>
    <w:rsid w:val="00B3500C"/>
    <w:rsid w:val="00B35371"/>
    <w:rsid w:val="00B36361"/>
    <w:rsid w:val="00B366D1"/>
    <w:rsid w:val="00B37A89"/>
    <w:rsid w:val="00B37F57"/>
    <w:rsid w:val="00B40566"/>
    <w:rsid w:val="00B40722"/>
    <w:rsid w:val="00B40BCC"/>
    <w:rsid w:val="00B40D78"/>
    <w:rsid w:val="00B40F8C"/>
    <w:rsid w:val="00B40F8E"/>
    <w:rsid w:val="00B414E4"/>
    <w:rsid w:val="00B416E4"/>
    <w:rsid w:val="00B41D90"/>
    <w:rsid w:val="00B41D99"/>
    <w:rsid w:val="00B423E0"/>
    <w:rsid w:val="00B42414"/>
    <w:rsid w:val="00B4284E"/>
    <w:rsid w:val="00B434E9"/>
    <w:rsid w:val="00B43553"/>
    <w:rsid w:val="00B43C0A"/>
    <w:rsid w:val="00B45555"/>
    <w:rsid w:val="00B457BC"/>
    <w:rsid w:val="00B45B76"/>
    <w:rsid w:val="00B4659D"/>
    <w:rsid w:val="00B46C9D"/>
    <w:rsid w:val="00B472F3"/>
    <w:rsid w:val="00B4735A"/>
    <w:rsid w:val="00B47784"/>
    <w:rsid w:val="00B47D81"/>
    <w:rsid w:val="00B47E67"/>
    <w:rsid w:val="00B515C3"/>
    <w:rsid w:val="00B5194A"/>
    <w:rsid w:val="00B51B7C"/>
    <w:rsid w:val="00B51EA3"/>
    <w:rsid w:val="00B52420"/>
    <w:rsid w:val="00B5245D"/>
    <w:rsid w:val="00B52D9E"/>
    <w:rsid w:val="00B536A8"/>
    <w:rsid w:val="00B538C3"/>
    <w:rsid w:val="00B53CC8"/>
    <w:rsid w:val="00B53D09"/>
    <w:rsid w:val="00B546A9"/>
    <w:rsid w:val="00B5503F"/>
    <w:rsid w:val="00B55266"/>
    <w:rsid w:val="00B55C19"/>
    <w:rsid w:val="00B55CA8"/>
    <w:rsid w:val="00B56855"/>
    <w:rsid w:val="00B56A01"/>
    <w:rsid w:val="00B56B85"/>
    <w:rsid w:val="00B56BCA"/>
    <w:rsid w:val="00B57680"/>
    <w:rsid w:val="00B57ED6"/>
    <w:rsid w:val="00B6068D"/>
    <w:rsid w:val="00B613C2"/>
    <w:rsid w:val="00B61847"/>
    <w:rsid w:val="00B61A51"/>
    <w:rsid w:val="00B62944"/>
    <w:rsid w:val="00B62B4A"/>
    <w:rsid w:val="00B62C5E"/>
    <w:rsid w:val="00B63099"/>
    <w:rsid w:val="00B634C1"/>
    <w:rsid w:val="00B637C7"/>
    <w:rsid w:val="00B6380A"/>
    <w:rsid w:val="00B643F6"/>
    <w:rsid w:val="00B64775"/>
    <w:rsid w:val="00B647E7"/>
    <w:rsid w:val="00B662FB"/>
    <w:rsid w:val="00B66933"/>
    <w:rsid w:val="00B66C43"/>
    <w:rsid w:val="00B66FE1"/>
    <w:rsid w:val="00B671DA"/>
    <w:rsid w:val="00B67C6B"/>
    <w:rsid w:val="00B67EFC"/>
    <w:rsid w:val="00B70283"/>
    <w:rsid w:val="00B702B3"/>
    <w:rsid w:val="00B71612"/>
    <w:rsid w:val="00B718A0"/>
    <w:rsid w:val="00B71A3A"/>
    <w:rsid w:val="00B71ACC"/>
    <w:rsid w:val="00B71CBE"/>
    <w:rsid w:val="00B71E01"/>
    <w:rsid w:val="00B71E88"/>
    <w:rsid w:val="00B72025"/>
    <w:rsid w:val="00B72E0A"/>
    <w:rsid w:val="00B72F6F"/>
    <w:rsid w:val="00B72FC7"/>
    <w:rsid w:val="00B73B92"/>
    <w:rsid w:val="00B74466"/>
    <w:rsid w:val="00B74728"/>
    <w:rsid w:val="00B74B8A"/>
    <w:rsid w:val="00B74F1E"/>
    <w:rsid w:val="00B750B4"/>
    <w:rsid w:val="00B7558A"/>
    <w:rsid w:val="00B75F55"/>
    <w:rsid w:val="00B766A8"/>
    <w:rsid w:val="00B76A97"/>
    <w:rsid w:val="00B76AEA"/>
    <w:rsid w:val="00B76B30"/>
    <w:rsid w:val="00B76C74"/>
    <w:rsid w:val="00B77A07"/>
    <w:rsid w:val="00B77D38"/>
    <w:rsid w:val="00B808F3"/>
    <w:rsid w:val="00B81147"/>
    <w:rsid w:val="00B81627"/>
    <w:rsid w:val="00B820BA"/>
    <w:rsid w:val="00B82A4D"/>
    <w:rsid w:val="00B82C23"/>
    <w:rsid w:val="00B82CBD"/>
    <w:rsid w:val="00B83C46"/>
    <w:rsid w:val="00B84469"/>
    <w:rsid w:val="00B84522"/>
    <w:rsid w:val="00B847EF"/>
    <w:rsid w:val="00B84E4A"/>
    <w:rsid w:val="00B86810"/>
    <w:rsid w:val="00B86874"/>
    <w:rsid w:val="00B86C47"/>
    <w:rsid w:val="00B86EF0"/>
    <w:rsid w:val="00B87E5E"/>
    <w:rsid w:val="00B9011E"/>
    <w:rsid w:val="00B90A73"/>
    <w:rsid w:val="00B90F63"/>
    <w:rsid w:val="00B913E9"/>
    <w:rsid w:val="00B91415"/>
    <w:rsid w:val="00B916F8"/>
    <w:rsid w:val="00B93087"/>
    <w:rsid w:val="00B931A1"/>
    <w:rsid w:val="00B93D7E"/>
    <w:rsid w:val="00B94635"/>
    <w:rsid w:val="00B9482F"/>
    <w:rsid w:val="00B951B2"/>
    <w:rsid w:val="00B95A6C"/>
    <w:rsid w:val="00B96317"/>
    <w:rsid w:val="00B96414"/>
    <w:rsid w:val="00B96EDF"/>
    <w:rsid w:val="00B977A0"/>
    <w:rsid w:val="00B978A2"/>
    <w:rsid w:val="00B97E53"/>
    <w:rsid w:val="00BA04A7"/>
    <w:rsid w:val="00BA137A"/>
    <w:rsid w:val="00BA25AD"/>
    <w:rsid w:val="00BA3072"/>
    <w:rsid w:val="00BA35D9"/>
    <w:rsid w:val="00BA3A7F"/>
    <w:rsid w:val="00BA3D86"/>
    <w:rsid w:val="00BA3E50"/>
    <w:rsid w:val="00BA45F1"/>
    <w:rsid w:val="00BA4705"/>
    <w:rsid w:val="00BA4FCE"/>
    <w:rsid w:val="00BA51E4"/>
    <w:rsid w:val="00BA5983"/>
    <w:rsid w:val="00BA65A1"/>
    <w:rsid w:val="00BA67AA"/>
    <w:rsid w:val="00BA6801"/>
    <w:rsid w:val="00BA6968"/>
    <w:rsid w:val="00BA6D1A"/>
    <w:rsid w:val="00BB02C9"/>
    <w:rsid w:val="00BB02DF"/>
    <w:rsid w:val="00BB040D"/>
    <w:rsid w:val="00BB1B3B"/>
    <w:rsid w:val="00BB1DAC"/>
    <w:rsid w:val="00BB278C"/>
    <w:rsid w:val="00BB2F0B"/>
    <w:rsid w:val="00BB3279"/>
    <w:rsid w:val="00BB330B"/>
    <w:rsid w:val="00BB34BD"/>
    <w:rsid w:val="00BB35CB"/>
    <w:rsid w:val="00BB3EA8"/>
    <w:rsid w:val="00BB45A3"/>
    <w:rsid w:val="00BB5160"/>
    <w:rsid w:val="00BB5AB8"/>
    <w:rsid w:val="00BB6143"/>
    <w:rsid w:val="00BB6BB9"/>
    <w:rsid w:val="00BB6C10"/>
    <w:rsid w:val="00BB705B"/>
    <w:rsid w:val="00BB73B9"/>
    <w:rsid w:val="00BB7B31"/>
    <w:rsid w:val="00BC09D3"/>
    <w:rsid w:val="00BC0D50"/>
    <w:rsid w:val="00BC1392"/>
    <w:rsid w:val="00BC22CD"/>
    <w:rsid w:val="00BC356F"/>
    <w:rsid w:val="00BC36F6"/>
    <w:rsid w:val="00BC401C"/>
    <w:rsid w:val="00BC5151"/>
    <w:rsid w:val="00BC592B"/>
    <w:rsid w:val="00BC6C3E"/>
    <w:rsid w:val="00BC7AA8"/>
    <w:rsid w:val="00BC7C0F"/>
    <w:rsid w:val="00BC7D0C"/>
    <w:rsid w:val="00BD02A8"/>
    <w:rsid w:val="00BD1C5D"/>
    <w:rsid w:val="00BD2855"/>
    <w:rsid w:val="00BD29C2"/>
    <w:rsid w:val="00BD3B71"/>
    <w:rsid w:val="00BD3C6D"/>
    <w:rsid w:val="00BD3F20"/>
    <w:rsid w:val="00BD47F7"/>
    <w:rsid w:val="00BD4DFF"/>
    <w:rsid w:val="00BD538E"/>
    <w:rsid w:val="00BD5B47"/>
    <w:rsid w:val="00BD5E40"/>
    <w:rsid w:val="00BD648C"/>
    <w:rsid w:val="00BD6700"/>
    <w:rsid w:val="00BD6E25"/>
    <w:rsid w:val="00BD7B2A"/>
    <w:rsid w:val="00BD7BB8"/>
    <w:rsid w:val="00BE0EEE"/>
    <w:rsid w:val="00BE11E2"/>
    <w:rsid w:val="00BE1357"/>
    <w:rsid w:val="00BE19FA"/>
    <w:rsid w:val="00BE1A17"/>
    <w:rsid w:val="00BE2578"/>
    <w:rsid w:val="00BE27B1"/>
    <w:rsid w:val="00BE38A8"/>
    <w:rsid w:val="00BE3DEF"/>
    <w:rsid w:val="00BE3ED2"/>
    <w:rsid w:val="00BE4305"/>
    <w:rsid w:val="00BE4980"/>
    <w:rsid w:val="00BE4A69"/>
    <w:rsid w:val="00BE5138"/>
    <w:rsid w:val="00BE57BD"/>
    <w:rsid w:val="00BE5D33"/>
    <w:rsid w:val="00BE7351"/>
    <w:rsid w:val="00BE7849"/>
    <w:rsid w:val="00BE7E8B"/>
    <w:rsid w:val="00BF1269"/>
    <w:rsid w:val="00BF1353"/>
    <w:rsid w:val="00BF1476"/>
    <w:rsid w:val="00BF206C"/>
    <w:rsid w:val="00BF2324"/>
    <w:rsid w:val="00BF3152"/>
    <w:rsid w:val="00BF33C5"/>
    <w:rsid w:val="00BF38A5"/>
    <w:rsid w:val="00BF4372"/>
    <w:rsid w:val="00BF490B"/>
    <w:rsid w:val="00BF52F6"/>
    <w:rsid w:val="00BF5335"/>
    <w:rsid w:val="00BF58EA"/>
    <w:rsid w:val="00BF5EF4"/>
    <w:rsid w:val="00BF65D2"/>
    <w:rsid w:val="00BF7954"/>
    <w:rsid w:val="00BF7C9E"/>
    <w:rsid w:val="00BF7EBA"/>
    <w:rsid w:val="00C005E8"/>
    <w:rsid w:val="00C007DC"/>
    <w:rsid w:val="00C01CF9"/>
    <w:rsid w:val="00C01EE9"/>
    <w:rsid w:val="00C02B8F"/>
    <w:rsid w:val="00C03014"/>
    <w:rsid w:val="00C0306E"/>
    <w:rsid w:val="00C03231"/>
    <w:rsid w:val="00C03773"/>
    <w:rsid w:val="00C03A96"/>
    <w:rsid w:val="00C03EA8"/>
    <w:rsid w:val="00C047D6"/>
    <w:rsid w:val="00C048B3"/>
    <w:rsid w:val="00C04A79"/>
    <w:rsid w:val="00C04C09"/>
    <w:rsid w:val="00C05721"/>
    <w:rsid w:val="00C05B26"/>
    <w:rsid w:val="00C05C70"/>
    <w:rsid w:val="00C062AF"/>
    <w:rsid w:val="00C06C1D"/>
    <w:rsid w:val="00C0727A"/>
    <w:rsid w:val="00C076C3"/>
    <w:rsid w:val="00C10A39"/>
    <w:rsid w:val="00C11873"/>
    <w:rsid w:val="00C11A16"/>
    <w:rsid w:val="00C12045"/>
    <w:rsid w:val="00C1253E"/>
    <w:rsid w:val="00C1256B"/>
    <w:rsid w:val="00C136AA"/>
    <w:rsid w:val="00C13D60"/>
    <w:rsid w:val="00C14670"/>
    <w:rsid w:val="00C146A2"/>
    <w:rsid w:val="00C14C67"/>
    <w:rsid w:val="00C15383"/>
    <w:rsid w:val="00C154B9"/>
    <w:rsid w:val="00C15BF6"/>
    <w:rsid w:val="00C15D3F"/>
    <w:rsid w:val="00C15E59"/>
    <w:rsid w:val="00C16054"/>
    <w:rsid w:val="00C1624E"/>
    <w:rsid w:val="00C167CC"/>
    <w:rsid w:val="00C171A1"/>
    <w:rsid w:val="00C17321"/>
    <w:rsid w:val="00C177F1"/>
    <w:rsid w:val="00C201D9"/>
    <w:rsid w:val="00C2162B"/>
    <w:rsid w:val="00C22459"/>
    <w:rsid w:val="00C22A34"/>
    <w:rsid w:val="00C22A7E"/>
    <w:rsid w:val="00C22E45"/>
    <w:rsid w:val="00C238E2"/>
    <w:rsid w:val="00C23E6C"/>
    <w:rsid w:val="00C24FE4"/>
    <w:rsid w:val="00C252BD"/>
    <w:rsid w:val="00C25552"/>
    <w:rsid w:val="00C25835"/>
    <w:rsid w:val="00C26952"/>
    <w:rsid w:val="00C2716B"/>
    <w:rsid w:val="00C2755B"/>
    <w:rsid w:val="00C27703"/>
    <w:rsid w:val="00C30A8B"/>
    <w:rsid w:val="00C30C3F"/>
    <w:rsid w:val="00C35783"/>
    <w:rsid w:val="00C35E6A"/>
    <w:rsid w:val="00C35FEA"/>
    <w:rsid w:val="00C3675E"/>
    <w:rsid w:val="00C367C0"/>
    <w:rsid w:val="00C36912"/>
    <w:rsid w:val="00C40607"/>
    <w:rsid w:val="00C4090E"/>
    <w:rsid w:val="00C41183"/>
    <w:rsid w:val="00C4137F"/>
    <w:rsid w:val="00C41446"/>
    <w:rsid w:val="00C41EAB"/>
    <w:rsid w:val="00C42495"/>
    <w:rsid w:val="00C425B2"/>
    <w:rsid w:val="00C4288B"/>
    <w:rsid w:val="00C42D8E"/>
    <w:rsid w:val="00C436A2"/>
    <w:rsid w:val="00C43853"/>
    <w:rsid w:val="00C440AB"/>
    <w:rsid w:val="00C443E4"/>
    <w:rsid w:val="00C44D99"/>
    <w:rsid w:val="00C453AF"/>
    <w:rsid w:val="00C456C1"/>
    <w:rsid w:val="00C45822"/>
    <w:rsid w:val="00C46C79"/>
    <w:rsid w:val="00C46D5C"/>
    <w:rsid w:val="00C47049"/>
    <w:rsid w:val="00C472D3"/>
    <w:rsid w:val="00C503D0"/>
    <w:rsid w:val="00C51D61"/>
    <w:rsid w:val="00C51E08"/>
    <w:rsid w:val="00C51F3F"/>
    <w:rsid w:val="00C52929"/>
    <w:rsid w:val="00C536FA"/>
    <w:rsid w:val="00C547C2"/>
    <w:rsid w:val="00C5596A"/>
    <w:rsid w:val="00C565CD"/>
    <w:rsid w:val="00C56B49"/>
    <w:rsid w:val="00C56F54"/>
    <w:rsid w:val="00C573EF"/>
    <w:rsid w:val="00C57784"/>
    <w:rsid w:val="00C57930"/>
    <w:rsid w:val="00C61523"/>
    <w:rsid w:val="00C61619"/>
    <w:rsid w:val="00C61C7B"/>
    <w:rsid w:val="00C623A2"/>
    <w:rsid w:val="00C62936"/>
    <w:rsid w:val="00C6333E"/>
    <w:rsid w:val="00C63758"/>
    <w:rsid w:val="00C66CE1"/>
    <w:rsid w:val="00C67834"/>
    <w:rsid w:val="00C67A8B"/>
    <w:rsid w:val="00C70889"/>
    <w:rsid w:val="00C70BFA"/>
    <w:rsid w:val="00C70CE1"/>
    <w:rsid w:val="00C71BA0"/>
    <w:rsid w:val="00C72994"/>
    <w:rsid w:val="00C73B87"/>
    <w:rsid w:val="00C73EBA"/>
    <w:rsid w:val="00C74545"/>
    <w:rsid w:val="00C74A51"/>
    <w:rsid w:val="00C74D3C"/>
    <w:rsid w:val="00C75764"/>
    <w:rsid w:val="00C7580A"/>
    <w:rsid w:val="00C76CD6"/>
    <w:rsid w:val="00C77DF0"/>
    <w:rsid w:val="00C80C00"/>
    <w:rsid w:val="00C8100A"/>
    <w:rsid w:val="00C81229"/>
    <w:rsid w:val="00C8169F"/>
    <w:rsid w:val="00C823C7"/>
    <w:rsid w:val="00C84421"/>
    <w:rsid w:val="00C856EE"/>
    <w:rsid w:val="00C85CA7"/>
    <w:rsid w:val="00C8666B"/>
    <w:rsid w:val="00C90AC4"/>
    <w:rsid w:val="00C9143F"/>
    <w:rsid w:val="00C9144F"/>
    <w:rsid w:val="00C91D50"/>
    <w:rsid w:val="00C91E28"/>
    <w:rsid w:val="00C92492"/>
    <w:rsid w:val="00C925A4"/>
    <w:rsid w:val="00C92684"/>
    <w:rsid w:val="00C9286B"/>
    <w:rsid w:val="00C93337"/>
    <w:rsid w:val="00C93CB8"/>
    <w:rsid w:val="00C942B4"/>
    <w:rsid w:val="00C94755"/>
    <w:rsid w:val="00C9556D"/>
    <w:rsid w:val="00C9604D"/>
    <w:rsid w:val="00C9608B"/>
    <w:rsid w:val="00C96DEE"/>
    <w:rsid w:val="00C97DD3"/>
    <w:rsid w:val="00CA05EE"/>
    <w:rsid w:val="00CA1F9A"/>
    <w:rsid w:val="00CA26F6"/>
    <w:rsid w:val="00CA2984"/>
    <w:rsid w:val="00CA2FBF"/>
    <w:rsid w:val="00CA39D1"/>
    <w:rsid w:val="00CA3BBF"/>
    <w:rsid w:val="00CA4083"/>
    <w:rsid w:val="00CA4ABD"/>
    <w:rsid w:val="00CA4DAA"/>
    <w:rsid w:val="00CA4DE1"/>
    <w:rsid w:val="00CA542E"/>
    <w:rsid w:val="00CA5671"/>
    <w:rsid w:val="00CA5753"/>
    <w:rsid w:val="00CA5ED9"/>
    <w:rsid w:val="00CA73AC"/>
    <w:rsid w:val="00CA743D"/>
    <w:rsid w:val="00CA77E3"/>
    <w:rsid w:val="00CA7CEA"/>
    <w:rsid w:val="00CB0A7B"/>
    <w:rsid w:val="00CB1093"/>
    <w:rsid w:val="00CB147D"/>
    <w:rsid w:val="00CB1BA6"/>
    <w:rsid w:val="00CB2579"/>
    <w:rsid w:val="00CB30DC"/>
    <w:rsid w:val="00CB3386"/>
    <w:rsid w:val="00CB3A24"/>
    <w:rsid w:val="00CB3B16"/>
    <w:rsid w:val="00CB3CA1"/>
    <w:rsid w:val="00CB4314"/>
    <w:rsid w:val="00CB52EC"/>
    <w:rsid w:val="00CB69B6"/>
    <w:rsid w:val="00CB6C95"/>
    <w:rsid w:val="00CB7014"/>
    <w:rsid w:val="00CB7059"/>
    <w:rsid w:val="00CB713B"/>
    <w:rsid w:val="00CB7203"/>
    <w:rsid w:val="00CB7FF8"/>
    <w:rsid w:val="00CC05D1"/>
    <w:rsid w:val="00CC128F"/>
    <w:rsid w:val="00CC1A7C"/>
    <w:rsid w:val="00CC247A"/>
    <w:rsid w:val="00CC287C"/>
    <w:rsid w:val="00CC2B36"/>
    <w:rsid w:val="00CC3154"/>
    <w:rsid w:val="00CC3B66"/>
    <w:rsid w:val="00CC43DE"/>
    <w:rsid w:val="00CC4872"/>
    <w:rsid w:val="00CC4B66"/>
    <w:rsid w:val="00CC5B8F"/>
    <w:rsid w:val="00CC694A"/>
    <w:rsid w:val="00CC6A1F"/>
    <w:rsid w:val="00CC6A9D"/>
    <w:rsid w:val="00CC6FB0"/>
    <w:rsid w:val="00CC71B2"/>
    <w:rsid w:val="00CC74AE"/>
    <w:rsid w:val="00CC79D3"/>
    <w:rsid w:val="00CD01DF"/>
    <w:rsid w:val="00CD06F1"/>
    <w:rsid w:val="00CD0782"/>
    <w:rsid w:val="00CD0D00"/>
    <w:rsid w:val="00CD13A5"/>
    <w:rsid w:val="00CD1451"/>
    <w:rsid w:val="00CD1A5E"/>
    <w:rsid w:val="00CD1FDA"/>
    <w:rsid w:val="00CD2818"/>
    <w:rsid w:val="00CD2C0D"/>
    <w:rsid w:val="00CD3276"/>
    <w:rsid w:val="00CD34AD"/>
    <w:rsid w:val="00CD377B"/>
    <w:rsid w:val="00CD3CFE"/>
    <w:rsid w:val="00CD3E59"/>
    <w:rsid w:val="00CD43EB"/>
    <w:rsid w:val="00CD48F0"/>
    <w:rsid w:val="00CD4C32"/>
    <w:rsid w:val="00CD4D9B"/>
    <w:rsid w:val="00CD5307"/>
    <w:rsid w:val="00CD5663"/>
    <w:rsid w:val="00CD59FC"/>
    <w:rsid w:val="00CD5AF5"/>
    <w:rsid w:val="00CD60BB"/>
    <w:rsid w:val="00CD64BE"/>
    <w:rsid w:val="00CD6739"/>
    <w:rsid w:val="00CD6C20"/>
    <w:rsid w:val="00CD728D"/>
    <w:rsid w:val="00CD7BC7"/>
    <w:rsid w:val="00CE0AA2"/>
    <w:rsid w:val="00CE0C15"/>
    <w:rsid w:val="00CE2A21"/>
    <w:rsid w:val="00CE2AD4"/>
    <w:rsid w:val="00CE2C65"/>
    <w:rsid w:val="00CE34E7"/>
    <w:rsid w:val="00CE3645"/>
    <w:rsid w:val="00CE3C62"/>
    <w:rsid w:val="00CE3D6B"/>
    <w:rsid w:val="00CE4255"/>
    <w:rsid w:val="00CE5299"/>
    <w:rsid w:val="00CE548A"/>
    <w:rsid w:val="00CE5C46"/>
    <w:rsid w:val="00CE5CE2"/>
    <w:rsid w:val="00CE5DA1"/>
    <w:rsid w:val="00CE5DD4"/>
    <w:rsid w:val="00CE67EA"/>
    <w:rsid w:val="00CE6A60"/>
    <w:rsid w:val="00CE707C"/>
    <w:rsid w:val="00CE7F26"/>
    <w:rsid w:val="00CF0390"/>
    <w:rsid w:val="00CF0742"/>
    <w:rsid w:val="00CF098C"/>
    <w:rsid w:val="00CF0DBD"/>
    <w:rsid w:val="00CF1627"/>
    <w:rsid w:val="00CF163F"/>
    <w:rsid w:val="00CF1709"/>
    <w:rsid w:val="00CF2267"/>
    <w:rsid w:val="00CF2280"/>
    <w:rsid w:val="00CF2B94"/>
    <w:rsid w:val="00CF2C94"/>
    <w:rsid w:val="00CF3E77"/>
    <w:rsid w:val="00CF4121"/>
    <w:rsid w:val="00CF45C6"/>
    <w:rsid w:val="00CF4AC4"/>
    <w:rsid w:val="00CF4AC5"/>
    <w:rsid w:val="00CF4AEA"/>
    <w:rsid w:val="00CF57C4"/>
    <w:rsid w:val="00CF5B78"/>
    <w:rsid w:val="00CF62CA"/>
    <w:rsid w:val="00CF6C50"/>
    <w:rsid w:val="00CF70FE"/>
    <w:rsid w:val="00CF71CC"/>
    <w:rsid w:val="00D0001F"/>
    <w:rsid w:val="00D00E9A"/>
    <w:rsid w:val="00D014E4"/>
    <w:rsid w:val="00D01EB4"/>
    <w:rsid w:val="00D02B54"/>
    <w:rsid w:val="00D02C3F"/>
    <w:rsid w:val="00D03758"/>
    <w:rsid w:val="00D038EA"/>
    <w:rsid w:val="00D03A88"/>
    <w:rsid w:val="00D03D8A"/>
    <w:rsid w:val="00D03E96"/>
    <w:rsid w:val="00D041A8"/>
    <w:rsid w:val="00D0468E"/>
    <w:rsid w:val="00D05000"/>
    <w:rsid w:val="00D05186"/>
    <w:rsid w:val="00D05190"/>
    <w:rsid w:val="00D05347"/>
    <w:rsid w:val="00D05616"/>
    <w:rsid w:val="00D05EB1"/>
    <w:rsid w:val="00D06383"/>
    <w:rsid w:val="00D07F23"/>
    <w:rsid w:val="00D07F32"/>
    <w:rsid w:val="00D1036E"/>
    <w:rsid w:val="00D104D1"/>
    <w:rsid w:val="00D10883"/>
    <w:rsid w:val="00D108D9"/>
    <w:rsid w:val="00D10905"/>
    <w:rsid w:val="00D1099E"/>
    <w:rsid w:val="00D114DA"/>
    <w:rsid w:val="00D119FF"/>
    <w:rsid w:val="00D11EF5"/>
    <w:rsid w:val="00D13876"/>
    <w:rsid w:val="00D147C2"/>
    <w:rsid w:val="00D14A44"/>
    <w:rsid w:val="00D14EDD"/>
    <w:rsid w:val="00D15AAA"/>
    <w:rsid w:val="00D15B8B"/>
    <w:rsid w:val="00D16DAE"/>
    <w:rsid w:val="00D17813"/>
    <w:rsid w:val="00D200D4"/>
    <w:rsid w:val="00D20324"/>
    <w:rsid w:val="00D21203"/>
    <w:rsid w:val="00D21D3E"/>
    <w:rsid w:val="00D2301A"/>
    <w:rsid w:val="00D231DB"/>
    <w:rsid w:val="00D23B14"/>
    <w:rsid w:val="00D23CB1"/>
    <w:rsid w:val="00D24197"/>
    <w:rsid w:val="00D247DD"/>
    <w:rsid w:val="00D24910"/>
    <w:rsid w:val="00D24C7E"/>
    <w:rsid w:val="00D24EC2"/>
    <w:rsid w:val="00D24F94"/>
    <w:rsid w:val="00D24FEA"/>
    <w:rsid w:val="00D24FFA"/>
    <w:rsid w:val="00D25975"/>
    <w:rsid w:val="00D2600D"/>
    <w:rsid w:val="00D2648D"/>
    <w:rsid w:val="00D267C2"/>
    <w:rsid w:val="00D274D6"/>
    <w:rsid w:val="00D27582"/>
    <w:rsid w:val="00D30886"/>
    <w:rsid w:val="00D30DBA"/>
    <w:rsid w:val="00D30E1D"/>
    <w:rsid w:val="00D312FB"/>
    <w:rsid w:val="00D315FA"/>
    <w:rsid w:val="00D31909"/>
    <w:rsid w:val="00D32396"/>
    <w:rsid w:val="00D36358"/>
    <w:rsid w:val="00D3668F"/>
    <w:rsid w:val="00D367CE"/>
    <w:rsid w:val="00D37097"/>
    <w:rsid w:val="00D37E54"/>
    <w:rsid w:val="00D37EB0"/>
    <w:rsid w:val="00D405D5"/>
    <w:rsid w:val="00D4082A"/>
    <w:rsid w:val="00D408AB"/>
    <w:rsid w:val="00D40B3A"/>
    <w:rsid w:val="00D41635"/>
    <w:rsid w:val="00D41F8A"/>
    <w:rsid w:val="00D42504"/>
    <w:rsid w:val="00D427E6"/>
    <w:rsid w:val="00D42CDA"/>
    <w:rsid w:val="00D4326B"/>
    <w:rsid w:val="00D43DA0"/>
    <w:rsid w:val="00D442D2"/>
    <w:rsid w:val="00D44642"/>
    <w:rsid w:val="00D4527C"/>
    <w:rsid w:val="00D458FA"/>
    <w:rsid w:val="00D46161"/>
    <w:rsid w:val="00D467DC"/>
    <w:rsid w:val="00D46B39"/>
    <w:rsid w:val="00D46BE4"/>
    <w:rsid w:val="00D4727A"/>
    <w:rsid w:val="00D47946"/>
    <w:rsid w:val="00D47FB0"/>
    <w:rsid w:val="00D5018D"/>
    <w:rsid w:val="00D509FD"/>
    <w:rsid w:val="00D50A05"/>
    <w:rsid w:val="00D5132F"/>
    <w:rsid w:val="00D513D6"/>
    <w:rsid w:val="00D52741"/>
    <w:rsid w:val="00D5291C"/>
    <w:rsid w:val="00D52A7A"/>
    <w:rsid w:val="00D52E73"/>
    <w:rsid w:val="00D52EA6"/>
    <w:rsid w:val="00D53579"/>
    <w:rsid w:val="00D536A4"/>
    <w:rsid w:val="00D536EF"/>
    <w:rsid w:val="00D53C5F"/>
    <w:rsid w:val="00D53E35"/>
    <w:rsid w:val="00D5420D"/>
    <w:rsid w:val="00D54419"/>
    <w:rsid w:val="00D553D3"/>
    <w:rsid w:val="00D55DD6"/>
    <w:rsid w:val="00D563A8"/>
    <w:rsid w:val="00D57007"/>
    <w:rsid w:val="00D57893"/>
    <w:rsid w:val="00D609C6"/>
    <w:rsid w:val="00D60B6F"/>
    <w:rsid w:val="00D6202D"/>
    <w:rsid w:val="00D624ED"/>
    <w:rsid w:val="00D63125"/>
    <w:rsid w:val="00D647DB"/>
    <w:rsid w:val="00D6480D"/>
    <w:rsid w:val="00D64CAE"/>
    <w:rsid w:val="00D6505B"/>
    <w:rsid w:val="00D6547F"/>
    <w:rsid w:val="00D6567D"/>
    <w:rsid w:val="00D65680"/>
    <w:rsid w:val="00D660EB"/>
    <w:rsid w:val="00D666AC"/>
    <w:rsid w:val="00D6730F"/>
    <w:rsid w:val="00D67EA5"/>
    <w:rsid w:val="00D70010"/>
    <w:rsid w:val="00D70619"/>
    <w:rsid w:val="00D70754"/>
    <w:rsid w:val="00D7082B"/>
    <w:rsid w:val="00D7158C"/>
    <w:rsid w:val="00D71A21"/>
    <w:rsid w:val="00D71C0A"/>
    <w:rsid w:val="00D71E62"/>
    <w:rsid w:val="00D72A9F"/>
    <w:rsid w:val="00D72C14"/>
    <w:rsid w:val="00D72CF9"/>
    <w:rsid w:val="00D736C2"/>
    <w:rsid w:val="00D73BF8"/>
    <w:rsid w:val="00D740EF"/>
    <w:rsid w:val="00D745A6"/>
    <w:rsid w:val="00D74A8A"/>
    <w:rsid w:val="00D76268"/>
    <w:rsid w:val="00D76D8C"/>
    <w:rsid w:val="00D76E31"/>
    <w:rsid w:val="00D803FC"/>
    <w:rsid w:val="00D81783"/>
    <w:rsid w:val="00D81D4D"/>
    <w:rsid w:val="00D81FC2"/>
    <w:rsid w:val="00D833E5"/>
    <w:rsid w:val="00D836DD"/>
    <w:rsid w:val="00D84627"/>
    <w:rsid w:val="00D84D94"/>
    <w:rsid w:val="00D85090"/>
    <w:rsid w:val="00D856D9"/>
    <w:rsid w:val="00D8646E"/>
    <w:rsid w:val="00D86E91"/>
    <w:rsid w:val="00D876DC"/>
    <w:rsid w:val="00D87A9D"/>
    <w:rsid w:val="00D90246"/>
    <w:rsid w:val="00D90A85"/>
    <w:rsid w:val="00D93583"/>
    <w:rsid w:val="00D94211"/>
    <w:rsid w:val="00D9468C"/>
    <w:rsid w:val="00D950C2"/>
    <w:rsid w:val="00D953B9"/>
    <w:rsid w:val="00D95437"/>
    <w:rsid w:val="00D954E8"/>
    <w:rsid w:val="00D95A2D"/>
    <w:rsid w:val="00D969DF"/>
    <w:rsid w:val="00DA09A7"/>
    <w:rsid w:val="00DA18E6"/>
    <w:rsid w:val="00DA1BE0"/>
    <w:rsid w:val="00DA1BEC"/>
    <w:rsid w:val="00DA21E6"/>
    <w:rsid w:val="00DA2FFE"/>
    <w:rsid w:val="00DA3B20"/>
    <w:rsid w:val="00DA3FFF"/>
    <w:rsid w:val="00DA4039"/>
    <w:rsid w:val="00DA468B"/>
    <w:rsid w:val="00DA4EFF"/>
    <w:rsid w:val="00DA4F8B"/>
    <w:rsid w:val="00DA53AB"/>
    <w:rsid w:val="00DA5647"/>
    <w:rsid w:val="00DA5C74"/>
    <w:rsid w:val="00DA5D1C"/>
    <w:rsid w:val="00DA5DC1"/>
    <w:rsid w:val="00DA60C6"/>
    <w:rsid w:val="00DA681A"/>
    <w:rsid w:val="00DA6D36"/>
    <w:rsid w:val="00DA7399"/>
    <w:rsid w:val="00DA740B"/>
    <w:rsid w:val="00DA7DCE"/>
    <w:rsid w:val="00DB0A3A"/>
    <w:rsid w:val="00DB0C19"/>
    <w:rsid w:val="00DB26AC"/>
    <w:rsid w:val="00DB2775"/>
    <w:rsid w:val="00DB2BB1"/>
    <w:rsid w:val="00DB3519"/>
    <w:rsid w:val="00DB3EEE"/>
    <w:rsid w:val="00DB43DF"/>
    <w:rsid w:val="00DB4D07"/>
    <w:rsid w:val="00DB4EFC"/>
    <w:rsid w:val="00DB4F07"/>
    <w:rsid w:val="00DB569A"/>
    <w:rsid w:val="00DB5B42"/>
    <w:rsid w:val="00DB5BE0"/>
    <w:rsid w:val="00DB5D72"/>
    <w:rsid w:val="00DB67BD"/>
    <w:rsid w:val="00DB69E3"/>
    <w:rsid w:val="00DB6C1D"/>
    <w:rsid w:val="00DB6E9A"/>
    <w:rsid w:val="00DB70A7"/>
    <w:rsid w:val="00DB719D"/>
    <w:rsid w:val="00DB7566"/>
    <w:rsid w:val="00DC0CE3"/>
    <w:rsid w:val="00DC118F"/>
    <w:rsid w:val="00DC1447"/>
    <w:rsid w:val="00DC1D22"/>
    <w:rsid w:val="00DC1EEB"/>
    <w:rsid w:val="00DC2440"/>
    <w:rsid w:val="00DC3359"/>
    <w:rsid w:val="00DC40F6"/>
    <w:rsid w:val="00DC52CB"/>
    <w:rsid w:val="00DC52F0"/>
    <w:rsid w:val="00DC54E4"/>
    <w:rsid w:val="00DC5D85"/>
    <w:rsid w:val="00DC5EE8"/>
    <w:rsid w:val="00DC64D7"/>
    <w:rsid w:val="00DC6D05"/>
    <w:rsid w:val="00DC738E"/>
    <w:rsid w:val="00DD1167"/>
    <w:rsid w:val="00DD1523"/>
    <w:rsid w:val="00DD1991"/>
    <w:rsid w:val="00DD1FF9"/>
    <w:rsid w:val="00DD21CC"/>
    <w:rsid w:val="00DD2C4D"/>
    <w:rsid w:val="00DD4361"/>
    <w:rsid w:val="00DD4805"/>
    <w:rsid w:val="00DD4A00"/>
    <w:rsid w:val="00DD4DFD"/>
    <w:rsid w:val="00DD5041"/>
    <w:rsid w:val="00DD5367"/>
    <w:rsid w:val="00DD5FBE"/>
    <w:rsid w:val="00DD5FC2"/>
    <w:rsid w:val="00DD72A8"/>
    <w:rsid w:val="00DD72EF"/>
    <w:rsid w:val="00DD75AD"/>
    <w:rsid w:val="00DD7EB0"/>
    <w:rsid w:val="00DD7FB4"/>
    <w:rsid w:val="00DE083B"/>
    <w:rsid w:val="00DE0C79"/>
    <w:rsid w:val="00DE0F7E"/>
    <w:rsid w:val="00DE1C07"/>
    <w:rsid w:val="00DE1D84"/>
    <w:rsid w:val="00DE24FB"/>
    <w:rsid w:val="00DE2514"/>
    <w:rsid w:val="00DE2BF3"/>
    <w:rsid w:val="00DE2F40"/>
    <w:rsid w:val="00DE304A"/>
    <w:rsid w:val="00DE3922"/>
    <w:rsid w:val="00DE41B9"/>
    <w:rsid w:val="00DE47D6"/>
    <w:rsid w:val="00DE5A7E"/>
    <w:rsid w:val="00DE5AFC"/>
    <w:rsid w:val="00DE76B6"/>
    <w:rsid w:val="00DE7981"/>
    <w:rsid w:val="00DE7CD0"/>
    <w:rsid w:val="00DF0116"/>
    <w:rsid w:val="00DF18CC"/>
    <w:rsid w:val="00DF19F0"/>
    <w:rsid w:val="00DF2079"/>
    <w:rsid w:val="00DF36AD"/>
    <w:rsid w:val="00DF4400"/>
    <w:rsid w:val="00DF4CF2"/>
    <w:rsid w:val="00DF59C3"/>
    <w:rsid w:val="00DF5FFC"/>
    <w:rsid w:val="00DF6684"/>
    <w:rsid w:val="00DF66D5"/>
    <w:rsid w:val="00DF68F8"/>
    <w:rsid w:val="00DF7A8F"/>
    <w:rsid w:val="00E0021C"/>
    <w:rsid w:val="00E002AB"/>
    <w:rsid w:val="00E00722"/>
    <w:rsid w:val="00E00949"/>
    <w:rsid w:val="00E00982"/>
    <w:rsid w:val="00E00B48"/>
    <w:rsid w:val="00E01A44"/>
    <w:rsid w:val="00E01BE8"/>
    <w:rsid w:val="00E01D58"/>
    <w:rsid w:val="00E02DD7"/>
    <w:rsid w:val="00E02FBF"/>
    <w:rsid w:val="00E03048"/>
    <w:rsid w:val="00E040BF"/>
    <w:rsid w:val="00E042BD"/>
    <w:rsid w:val="00E044E6"/>
    <w:rsid w:val="00E0474A"/>
    <w:rsid w:val="00E05286"/>
    <w:rsid w:val="00E05828"/>
    <w:rsid w:val="00E06476"/>
    <w:rsid w:val="00E065F0"/>
    <w:rsid w:val="00E06642"/>
    <w:rsid w:val="00E07689"/>
    <w:rsid w:val="00E07B7C"/>
    <w:rsid w:val="00E07E74"/>
    <w:rsid w:val="00E1082F"/>
    <w:rsid w:val="00E1091A"/>
    <w:rsid w:val="00E109C5"/>
    <w:rsid w:val="00E10BC3"/>
    <w:rsid w:val="00E10E16"/>
    <w:rsid w:val="00E10EC4"/>
    <w:rsid w:val="00E10F5F"/>
    <w:rsid w:val="00E1154B"/>
    <w:rsid w:val="00E11623"/>
    <w:rsid w:val="00E1166B"/>
    <w:rsid w:val="00E11730"/>
    <w:rsid w:val="00E1262C"/>
    <w:rsid w:val="00E12A3C"/>
    <w:rsid w:val="00E12CDA"/>
    <w:rsid w:val="00E13370"/>
    <w:rsid w:val="00E14204"/>
    <w:rsid w:val="00E149EF"/>
    <w:rsid w:val="00E15518"/>
    <w:rsid w:val="00E1560C"/>
    <w:rsid w:val="00E168E3"/>
    <w:rsid w:val="00E16B90"/>
    <w:rsid w:val="00E176D0"/>
    <w:rsid w:val="00E17749"/>
    <w:rsid w:val="00E17E5C"/>
    <w:rsid w:val="00E17FCC"/>
    <w:rsid w:val="00E21029"/>
    <w:rsid w:val="00E218A2"/>
    <w:rsid w:val="00E22008"/>
    <w:rsid w:val="00E22EBF"/>
    <w:rsid w:val="00E22F96"/>
    <w:rsid w:val="00E233AB"/>
    <w:rsid w:val="00E24812"/>
    <w:rsid w:val="00E24FE7"/>
    <w:rsid w:val="00E25891"/>
    <w:rsid w:val="00E25B34"/>
    <w:rsid w:val="00E25BD1"/>
    <w:rsid w:val="00E264EC"/>
    <w:rsid w:val="00E2650C"/>
    <w:rsid w:val="00E269E7"/>
    <w:rsid w:val="00E302EF"/>
    <w:rsid w:val="00E3050F"/>
    <w:rsid w:val="00E31843"/>
    <w:rsid w:val="00E31A59"/>
    <w:rsid w:val="00E31EE2"/>
    <w:rsid w:val="00E3251B"/>
    <w:rsid w:val="00E3299F"/>
    <w:rsid w:val="00E32CF1"/>
    <w:rsid w:val="00E32E8C"/>
    <w:rsid w:val="00E334A3"/>
    <w:rsid w:val="00E33F8B"/>
    <w:rsid w:val="00E343DE"/>
    <w:rsid w:val="00E34F82"/>
    <w:rsid w:val="00E351F4"/>
    <w:rsid w:val="00E35945"/>
    <w:rsid w:val="00E35A16"/>
    <w:rsid w:val="00E35E8D"/>
    <w:rsid w:val="00E36930"/>
    <w:rsid w:val="00E37274"/>
    <w:rsid w:val="00E374EF"/>
    <w:rsid w:val="00E40CED"/>
    <w:rsid w:val="00E40D58"/>
    <w:rsid w:val="00E40F26"/>
    <w:rsid w:val="00E41116"/>
    <w:rsid w:val="00E41955"/>
    <w:rsid w:val="00E419FB"/>
    <w:rsid w:val="00E41CB9"/>
    <w:rsid w:val="00E41D12"/>
    <w:rsid w:val="00E41D57"/>
    <w:rsid w:val="00E41D98"/>
    <w:rsid w:val="00E429D5"/>
    <w:rsid w:val="00E4310B"/>
    <w:rsid w:val="00E43141"/>
    <w:rsid w:val="00E4316F"/>
    <w:rsid w:val="00E43292"/>
    <w:rsid w:val="00E43A17"/>
    <w:rsid w:val="00E43D0F"/>
    <w:rsid w:val="00E43EDB"/>
    <w:rsid w:val="00E44156"/>
    <w:rsid w:val="00E44266"/>
    <w:rsid w:val="00E44FB9"/>
    <w:rsid w:val="00E45C2F"/>
    <w:rsid w:val="00E4672E"/>
    <w:rsid w:val="00E46825"/>
    <w:rsid w:val="00E50786"/>
    <w:rsid w:val="00E50B24"/>
    <w:rsid w:val="00E50E63"/>
    <w:rsid w:val="00E51140"/>
    <w:rsid w:val="00E5155F"/>
    <w:rsid w:val="00E5206B"/>
    <w:rsid w:val="00E52147"/>
    <w:rsid w:val="00E52586"/>
    <w:rsid w:val="00E53164"/>
    <w:rsid w:val="00E53E7D"/>
    <w:rsid w:val="00E5414C"/>
    <w:rsid w:val="00E541FE"/>
    <w:rsid w:val="00E552E5"/>
    <w:rsid w:val="00E554ED"/>
    <w:rsid w:val="00E55CBE"/>
    <w:rsid w:val="00E55F46"/>
    <w:rsid w:val="00E564A2"/>
    <w:rsid w:val="00E567B8"/>
    <w:rsid w:val="00E56C28"/>
    <w:rsid w:val="00E573B7"/>
    <w:rsid w:val="00E577BB"/>
    <w:rsid w:val="00E57924"/>
    <w:rsid w:val="00E57DF4"/>
    <w:rsid w:val="00E57FB8"/>
    <w:rsid w:val="00E60417"/>
    <w:rsid w:val="00E610A9"/>
    <w:rsid w:val="00E613AF"/>
    <w:rsid w:val="00E61798"/>
    <w:rsid w:val="00E61AC6"/>
    <w:rsid w:val="00E622B4"/>
    <w:rsid w:val="00E6321D"/>
    <w:rsid w:val="00E634D6"/>
    <w:rsid w:val="00E63503"/>
    <w:rsid w:val="00E645D3"/>
    <w:rsid w:val="00E64FCE"/>
    <w:rsid w:val="00E65831"/>
    <w:rsid w:val="00E65B14"/>
    <w:rsid w:val="00E66586"/>
    <w:rsid w:val="00E66BB9"/>
    <w:rsid w:val="00E675BF"/>
    <w:rsid w:val="00E70CF7"/>
    <w:rsid w:val="00E71119"/>
    <w:rsid w:val="00E71410"/>
    <w:rsid w:val="00E716F3"/>
    <w:rsid w:val="00E71882"/>
    <w:rsid w:val="00E72288"/>
    <w:rsid w:val="00E73405"/>
    <w:rsid w:val="00E739D8"/>
    <w:rsid w:val="00E741C3"/>
    <w:rsid w:val="00E74311"/>
    <w:rsid w:val="00E74906"/>
    <w:rsid w:val="00E74B76"/>
    <w:rsid w:val="00E74EC4"/>
    <w:rsid w:val="00E75339"/>
    <w:rsid w:val="00E753BD"/>
    <w:rsid w:val="00E759BE"/>
    <w:rsid w:val="00E759C6"/>
    <w:rsid w:val="00E76289"/>
    <w:rsid w:val="00E766C0"/>
    <w:rsid w:val="00E7671F"/>
    <w:rsid w:val="00E767D2"/>
    <w:rsid w:val="00E768F1"/>
    <w:rsid w:val="00E7726B"/>
    <w:rsid w:val="00E778B8"/>
    <w:rsid w:val="00E778E7"/>
    <w:rsid w:val="00E77971"/>
    <w:rsid w:val="00E77F18"/>
    <w:rsid w:val="00E77F52"/>
    <w:rsid w:val="00E80987"/>
    <w:rsid w:val="00E80A2B"/>
    <w:rsid w:val="00E80B90"/>
    <w:rsid w:val="00E81084"/>
    <w:rsid w:val="00E81789"/>
    <w:rsid w:val="00E81926"/>
    <w:rsid w:val="00E81C08"/>
    <w:rsid w:val="00E851D3"/>
    <w:rsid w:val="00E860BF"/>
    <w:rsid w:val="00E863D1"/>
    <w:rsid w:val="00E86404"/>
    <w:rsid w:val="00E865B9"/>
    <w:rsid w:val="00E86D74"/>
    <w:rsid w:val="00E87304"/>
    <w:rsid w:val="00E87BDF"/>
    <w:rsid w:val="00E87E71"/>
    <w:rsid w:val="00E87F57"/>
    <w:rsid w:val="00E91D37"/>
    <w:rsid w:val="00E9273F"/>
    <w:rsid w:val="00E9278D"/>
    <w:rsid w:val="00E93285"/>
    <w:rsid w:val="00E932C8"/>
    <w:rsid w:val="00E936B4"/>
    <w:rsid w:val="00E93DF0"/>
    <w:rsid w:val="00E943E0"/>
    <w:rsid w:val="00E94F63"/>
    <w:rsid w:val="00E968E0"/>
    <w:rsid w:val="00E97114"/>
    <w:rsid w:val="00E9754D"/>
    <w:rsid w:val="00E97B4D"/>
    <w:rsid w:val="00EA0A6D"/>
    <w:rsid w:val="00EA1DAD"/>
    <w:rsid w:val="00EA3745"/>
    <w:rsid w:val="00EA3894"/>
    <w:rsid w:val="00EA3CE2"/>
    <w:rsid w:val="00EA466B"/>
    <w:rsid w:val="00EA46E9"/>
    <w:rsid w:val="00EA4A52"/>
    <w:rsid w:val="00EA4D79"/>
    <w:rsid w:val="00EA4F09"/>
    <w:rsid w:val="00EA511E"/>
    <w:rsid w:val="00EA5AFD"/>
    <w:rsid w:val="00EA618A"/>
    <w:rsid w:val="00EA7D21"/>
    <w:rsid w:val="00EA7EA0"/>
    <w:rsid w:val="00EB09BF"/>
    <w:rsid w:val="00EB0CA4"/>
    <w:rsid w:val="00EB2AB4"/>
    <w:rsid w:val="00EB2D9D"/>
    <w:rsid w:val="00EB36DB"/>
    <w:rsid w:val="00EB3A57"/>
    <w:rsid w:val="00EB3E92"/>
    <w:rsid w:val="00EB3FD6"/>
    <w:rsid w:val="00EB4762"/>
    <w:rsid w:val="00EB4A36"/>
    <w:rsid w:val="00EB4EA1"/>
    <w:rsid w:val="00EB532D"/>
    <w:rsid w:val="00EB6295"/>
    <w:rsid w:val="00EB631E"/>
    <w:rsid w:val="00EB78BA"/>
    <w:rsid w:val="00EB7B6A"/>
    <w:rsid w:val="00EC06F4"/>
    <w:rsid w:val="00EC0767"/>
    <w:rsid w:val="00EC1D2A"/>
    <w:rsid w:val="00EC1E5A"/>
    <w:rsid w:val="00EC264B"/>
    <w:rsid w:val="00EC2690"/>
    <w:rsid w:val="00EC296A"/>
    <w:rsid w:val="00EC2DB3"/>
    <w:rsid w:val="00EC336F"/>
    <w:rsid w:val="00EC35EA"/>
    <w:rsid w:val="00EC5BB9"/>
    <w:rsid w:val="00EC5BD9"/>
    <w:rsid w:val="00EC6D6E"/>
    <w:rsid w:val="00EC774A"/>
    <w:rsid w:val="00ED0C46"/>
    <w:rsid w:val="00ED1499"/>
    <w:rsid w:val="00ED232C"/>
    <w:rsid w:val="00ED2DEC"/>
    <w:rsid w:val="00ED2E17"/>
    <w:rsid w:val="00ED326C"/>
    <w:rsid w:val="00ED3289"/>
    <w:rsid w:val="00ED394D"/>
    <w:rsid w:val="00ED4384"/>
    <w:rsid w:val="00ED522B"/>
    <w:rsid w:val="00ED5BF1"/>
    <w:rsid w:val="00ED5D89"/>
    <w:rsid w:val="00ED6197"/>
    <w:rsid w:val="00ED656E"/>
    <w:rsid w:val="00ED7456"/>
    <w:rsid w:val="00ED7F26"/>
    <w:rsid w:val="00EE10BD"/>
    <w:rsid w:val="00EE1A4A"/>
    <w:rsid w:val="00EE2870"/>
    <w:rsid w:val="00EE2A78"/>
    <w:rsid w:val="00EE2E72"/>
    <w:rsid w:val="00EE32C2"/>
    <w:rsid w:val="00EE360A"/>
    <w:rsid w:val="00EE388C"/>
    <w:rsid w:val="00EE4A9A"/>
    <w:rsid w:val="00EE5FEC"/>
    <w:rsid w:val="00EE6022"/>
    <w:rsid w:val="00EE61CA"/>
    <w:rsid w:val="00EE686C"/>
    <w:rsid w:val="00EE68D4"/>
    <w:rsid w:val="00EE69F0"/>
    <w:rsid w:val="00EE6B24"/>
    <w:rsid w:val="00EE6CCB"/>
    <w:rsid w:val="00EE6DF0"/>
    <w:rsid w:val="00EE6F55"/>
    <w:rsid w:val="00EE7120"/>
    <w:rsid w:val="00EE75D3"/>
    <w:rsid w:val="00EE7AE5"/>
    <w:rsid w:val="00EF059F"/>
    <w:rsid w:val="00EF065B"/>
    <w:rsid w:val="00EF15F3"/>
    <w:rsid w:val="00EF24C4"/>
    <w:rsid w:val="00EF298A"/>
    <w:rsid w:val="00EF2B9C"/>
    <w:rsid w:val="00EF3149"/>
    <w:rsid w:val="00EF3302"/>
    <w:rsid w:val="00EF350C"/>
    <w:rsid w:val="00EF3E9F"/>
    <w:rsid w:val="00EF48E9"/>
    <w:rsid w:val="00EF5393"/>
    <w:rsid w:val="00EF6238"/>
    <w:rsid w:val="00EF7277"/>
    <w:rsid w:val="00EF778C"/>
    <w:rsid w:val="00F006DB"/>
    <w:rsid w:val="00F009AC"/>
    <w:rsid w:val="00F01CBD"/>
    <w:rsid w:val="00F02669"/>
    <w:rsid w:val="00F0331E"/>
    <w:rsid w:val="00F0336B"/>
    <w:rsid w:val="00F039FB"/>
    <w:rsid w:val="00F051D2"/>
    <w:rsid w:val="00F064A5"/>
    <w:rsid w:val="00F06AEF"/>
    <w:rsid w:val="00F06D2C"/>
    <w:rsid w:val="00F074FD"/>
    <w:rsid w:val="00F079E3"/>
    <w:rsid w:val="00F07EFA"/>
    <w:rsid w:val="00F101D3"/>
    <w:rsid w:val="00F103AC"/>
    <w:rsid w:val="00F1043C"/>
    <w:rsid w:val="00F1091E"/>
    <w:rsid w:val="00F11A42"/>
    <w:rsid w:val="00F11A8C"/>
    <w:rsid w:val="00F11DD4"/>
    <w:rsid w:val="00F12C6C"/>
    <w:rsid w:val="00F12F63"/>
    <w:rsid w:val="00F13719"/>
    <w:rsid w:val="00F14490"/>
    <w:rsid w:val="00F14A29"/>
    <w:rsid w:val="00F14A46"/>
    <w:rsid w:val="00F1703E"/>
    <w:rsid w:val="00F17BC4"/>
    <w:rsid w:val="00F200D8"/>
    <w:rsid w:val="00F218DE"/>
    <w:rsid w:val="00F224CB"/>
    <w:rsid w:val="00F225ED"/>
    <w:rsid w:val="00F24190"/>
    <w:rsid w:val="00F24FBC"/>
    <w:rsid w:val="00F25607"/>
    <w:rsid w:val="00F256DB"/>
    <w:rsid w:val="00F260E1"/>
    <w:rsid w:val="00F26628"/>
    <w:rsid w:val="00F270CD"/>
    <w:rsid w:val="00F2730B"/>
    <w:rsid w:val="00F27626"/>
    <w:rsid w:val="00F277C0"/>
    <w:rsid w:val="00F30681"/>
    <w:rsid w:val="00F30923"/>
    <w:rsid w:val="00F30CEB"/>
    <w:rsid w:val="00F30D4C"/>
    <w:rsid w:val="00F31C82"/>
    <w:rsid w:val="00F32A86"/>
    <w:rsid w:val="00F32B86"/>
    <w:rsid w:val="00F34F63"/>
    <w:rsid w:val="00F34F8F"/>
    <w:rsid w:val="00F351E2"/>
    <w:rsid w:val="00F35E14"/>
    <w:rsid w:val="00F3604B"/>
    <w:rsid w:val="00F37016"/>
    <w:rsid w:val="00F3704E"/>
    <w:rsid w:val="00F37362"/>
    <w:rsid w:val="00F40105"/>
    <w:rsid w:val="00F403CE"/>
    <w:rsid w:val="00F40704"/>
    <w:rsid w:val="00F40E47"/>
    <w:rsid w:val="00F41281"/>
    <w:rsid w:val="00F416F6"/>
    <w:rsid w:val="00F417FB"/>
    <w:rsid w:val="00F41F9F"/>
    <w:rsid w:val="00F4221B"/>
    <w:rsid w:val="00F42BDA"/>
    <w:rsid w:val="00F42C43"/>
    <w:rsid w:val="00F44035"/>
    <w:rsid w:val="00F443BF"/>
    <w:rsid w:val="00F44F3D"/>
    <w:rsid w:val="00F45406"/>
    <w:rsid w:val="00F4555B"/>
    <w:rsid w:val="00F46254"/>
    <w:rsid w:val="00F46689"/>
    <w:rsid w:val="00F46AB9"/>
    <w:rsid w:val="00F46EBF"/>
    <w:rsid w:val="00F47D27"/>
    <w:rsid w:val="00F47D4E"/>
    <w:rsid w:val="00F47FC1"/>
    <w:rsid w:val="00F507D3"/>
    <w:rsid w:val="00F50A97"/>
    <w:rsid w:val="00F50F5B"/>
    <w:rsid w:val="00F5139A"/>
    <w:rsid w:val="00F51551"/>
    <w:rsid w:val="00F51D4B"/>
    <w:rsid w:val="00F52132"/>
    <w:rsid w:val="00F52536"/>
    <w:rsid w:val="00F52544"/>
    <w:rsid w:val="00F53296"/>
    <w:rsid w:val="00F53ABE"/>
    <w:rsid w:val="00F53F4D"/>
    <w:rsid w:val="00F54058"/>
    <w:rsid w:val="00F5445A"/>
    <w:rsid w:val="00F55355"/>
    <w:rsid w:val="00F55535"/>
    <w:rsid w:val="00F5597B"/>
    <w:rsid w:val="00F567B4"/>
    <w:rsid w:val="00F576DD"/>
    <w:rsid w:val="00F57DA6"/>
    <w:rsid w:val="00F6094D"/>
    <w:rsid w:val="00F610B1"/>
    <w:rsid w:val="00F610E7"/>
    <w:rsid w:val="00F61926"/>
    <w:rsid w:val="00F61B64"/>
    <w:rsid w:val="00F62023"/>
    <w:rsid w:val="00F62249"/>
    <w:rsid w:val="00F62583"/>
    <w:rsid w:val="00F62A87"/>
    <w:rsid w:val="00F63CB2"/>
    <w:rsid w:val="00F63D05"/>
    <w:rsid w:val="00F64383"/>
    <w:rsid w:val="00F64A9D"/>
    <w:rsid w:val="00F64CD1"/>
    <w:rsid w:val="00F657ED"/>
    <w:rsid w:val="00F659CA"/>
    <w:rsid w:val="00F65FBC"/>
    <w:rsid w:val="00F6648E"/>
    <w:rsid w:val="00F66BBB"/>
    <w:rsid w:val="00F6729E"/>
    <w:rsid w:val="00F70143"/>
    <w:rsid w:val="00F703AF"/>
    <w:rsid w:val="00F70690"/>
    <w:rsid w:val="00F71183"/>
    <w:rsid w:val="00F71D31"/>
    <w:rsid w:val="00F721DF"/>
    <w:rsid w:val="00F727AA"/>
    <w:rsid w:val="00F729F0"/>
    <w:rsid w:val="00F72E8C"/>
    <w:rsid w:val="00F73262"/>
    <w:rsid w:val="00F73649"/>
    <w:rsid w:val="00F736E5"/>
    <w:rsid w:val="00F739E2"/>
    <w:rsid w:val="00F73B97"/>
    <w:rsid w:val="00F73E4B"/>
    <w:rsid w:val="00F74142"/>
    <w:rsid w:val="00F7416D"/>
    <w:rsid w:val="00F7458B"/>
    <w:rsid w:val="00F7486B"/>
    <w:rsid w:val="00F74ECF"/>
    <w:rsid w:val="00F74EEE"/>
    <w:rsid w:val="00F75712"/>
    <w:rsid w:val="00F75DC2"/>
    <w:rsid w:val="00F76578"/>
    <w:rsid w:val="00F76E47"/>
    <w:rsid w:val="00F7719C"/>
    <w:rsid w:val="00F80AB8"/>
    <w:rsid w:val="00F81447"/>
    <w:rsid w:val="00F81976"/>
    <w:rsid w:val="00F81EF0"/>
    <w:rsid w:val="00F826F6"/>
    <w:rsid w:val="00F8291F"/>
    <w:rsid w:val="00F84241"/>
    <w:rsid w:val="00F84E6C"/>
    <w:rsid w:val="00F852CD"/>
    <w:rsid w:val="00F8700D"/>
    <w:rsid w:val="00F871B7"/>
    <w:rsid w:val="00F872F0"/>
    <w:rsid w:val="00F9010A"/>
    <w:rsid w:val="00F904F0"/>
    <w:rsid w:val="00F90661"/>
    <w:rsid w:val="00F906E1"/>
    <w:rsid w:val="00F90FB1"/>
    <w:rsid w:val="00F92289"/>
    <w:rsid w:val="00F923AF"/>
    <w:rsid w:val="00F93204"/>
    <w:rsid w:val="00F93A43"/>
    <w:rsid w:val="00F93D03"/>
    <w:rsid w:val="00F94312"/>
    <w:rsid w:val="00F94469"/>
    <w:rsid w:val="00F94509"/>
    <w:rsid w:val="00F95663"/>
    <w:rsid w:val="00F95C3A"/>
    <w:rsid w:val="00F9618C"/>
    <w:rsid w:val="00F96461"/>
    <w:rsid w:val="00F96609"/>
    <w:rsid w:val="00F96964"/>
    <w:rsid w:val="00F96F86"/>
    <w:rsid w:val="00F9711C"/>
    <w:rsid w:val="00FA0ABF"/>
    <w:rsid w:val="00FA11C3"/>
    <w:rsid w:val="00FA17A2"/>
    <w:rsid w:val="00FA2B00"/>
    <w:rsid w:val="00FA2D25"/>
    <w:rsid w:val="00FA3901"/>
    <w:rsid w:val="00FA4831"/>
    <w:rsid w:val="00FA4941"/>
    <w:rsid w:val="00FA4C93"/>
    <w:rsid w:val="00FA5983"/>
    <w:rsid w:val="00FA5E20"/>
    <w:rsid w:val="00FA69D2"/>
    <w:rsid w:val="00FA7AC7"/>
    <w:rsid w:val="00FA7EB7"/>
    <w:rsid w:val="00FB0FCB"/>
    <w:rsid w:val="00FB1708"/>
    <w:rsid w:val="00FB1756"/>
    <w:rsid w:val="00FB1ACA"/>
    <w:rsid w:val="00FB2384"/>
    <w:rsid w:val="00FB2485"/>
    <w:rsid w:val="00FB2A54"/>
    <w:rsid w:val="00FB3147"/>
    <w:rsid w:val="00FB3192"/>
    <w:rsid w:val="00FB47CF"/>
    <w:rsid w:val="00FB4A8D"/>
    <w:rsid w:val="00FB4DCD"/>
    <w:rsid w:val="00FB6596"/>
    <w:rsid w:val="00FB745B"/>
    <w:rsid w:val="00FB7D12"/>
    <w:rsid w:val="00FB7F19"/>
    <w:rsid w:val="00FC0318"/>
    <w:rsid w:val="00FC05C7"/>
    <w:rsid w:val="00FC07B8"/>
    <w:rsid w:val="00FC1C9F"/>
    <w:rsid w:val="00FC2553"/>
    <w:rsid w:val="00FC389A"/>
    <w:rsid w:val="00FC3C6F"/>
    <w:rsid w:val="00FC4836"/>
    <w:rsid w:val="00FC4C8A"/>
    <w:rsid w:val="00FC5B46"/>
    <w:rsid w:val="00FC5C54"/>
    <w:rsid w:val="00FC60A4"/>
    <w:rsid w:val="00FC629E"/>
    <w:rsid w:val="00FC6558"/>
    <w:rsid w:val="00FC74B1"/>
    <w:rsid w:val="00FC79D4"/>
    <w:rsid w:val="00FC7AB7"/>
    <w:rsid w:val="00FC7AB9"/>
    <w:rsid w:val="00FC7E0B"/>
    <w:rsid w:val="00FD0614"/>
    <w:rsid w:val="00FD17CA"/>
    <w:rsid w:val="00FD1CA6"/>
    <w:rsid w:val="00FD2602"/>
    <w:rsid w:val="00FD26AF"/>
    <w:rsid w:val="00FD3C21"/>
    <w:rsid w:val="00FD4416"/>
    <w:rsid w:val="00FD5227"/>
    <w:rsid w:val="00FD53C8"/>
    <w:rsid w:val="00FD5BBB"/>
    <w:rsid w:val="00FD5C8D"/>
    <w:rsid w:val="00FD5E40"/>
    <w:rsid w:val="00FD5EBF"/>
    <w:rsid w:val="00FD627A"/>
    <w:rsid w:val="00FD6B49"/>
    <w:rsid w:val="00FD7214"/>
    <w:rsid w:val="00FD735C"/>
    <w:rsid w:val="00FD7527"/>
    <w:rsid w:val="00FD775D"/>
    <w:rsid w:val="00FD782A"/>
    <w:rsid w:val="00FD786A"/>
    <w:rsid w:val="00FD7D66"/>
    <w:rsid w:val="00FE04A8"/>
    <w:rsid w:val="00FE08B1"/>
    <w:rsid w:val="00FE0B6A"/>
    <w:rsid w:val="00FE19A3"/>
    <w:rsid w:val="00FE19C1"/>
    <w:rsid w:val="00FE1E13"/>
    <w:rsid w:val="00FE246F"/>
    <w:rsid w:val="00FE27A3"/>
    <w:rsid w:val="00FE28E4"/>
    <w:rsid w:val="00FE3074"/>
    <w:rsid w:val="00FE30BF"/>
    <w:rsid w:val="00FE336C"/>
    <w:rsid w:val="00FE34A2"/>
    <w:rsid w:val="00FE369B"/>
    <w:rsid w:val="00FE3CF6"/>
    <w:rsid w:val="00FE4755"/>
    <w:rsid w:val="00FE4781"/>
    <w:rsid w:val="00FE4E2E"/>
    <w:rsid w:val="00FE5A3F"/>
    <w:rsid w:val="00FE6020"/>
    <w:rsid w:val="00FE66CF"/>
    <w:rsid w:val="00FE70E2"/>
    <w:rsid w:val="00FE72FC"/>
    <w:rsid w:val="00FE7476"/>
    <w:rsid w:val="00FE75A4"/>
    <w:rsid w:val="00FE7827"/>
    <w:rsid w:val="00FF0371"/>
    <w:rsid w:val="00FF1487"/>
    <w:rsid w:val="00FF1665"/>
    <w:rsid w:val="00FF225B"/>
    <w:rsid w:val="00FF2499"/>
    <w:rsid w:val="00FF2BE5"/>
    <w:rsid w:val="00FF333C"/>
    <w:rsid w:val="00FF40C3"/>
    <w:rsid w:val="00FF4F4E"/>
    <w:rsid w:val="00FF54F1"/>
    <w:rsid w:val="00FF5CCA"/>
    <w:rsid w:val="00FF5D9B"/>
    <w:rsid w:val="00FF654F"/>
    <w:rsid w:val="00FF6A15"/>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6912F6"/>
  <w15:docId w15:val="{7F1512A5-E181-4AA0-A78D-AA313450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6680"/>
    <w:rPr>
      <w:rFonts w:eastAsia="Times New Roman"/>
      <w:sz w:val="24"/>
      <w:szCs w:val="24"/>
      <w:lang w:eastAsia="en-US" w:bidi="ar-SA"/>
    </w:rPr>
  </w:style>
  <w:style w:type="paragraph" w:styleId="Heading1">
    <w:name w:val="heading 1"/>
    <w:basedOn w:val="Normal"/>
    <w:next w:val="Normal"/>
    <w:link w:val="Heading1Char"/>
    <w:qFormat/>
    <w:rsid w:val="0063725B"/>
    <w:pPr>
      <w:keepNext/>
      <w:keepLines/>
      <w:numPr>
        <w:numId w:val="53"/>
      </w:numPr>
      <w:spacing w:after="220"/>
      <w:jc w:val="center"/>
      <w:outlineLvl w:val="0"/>
    </w:pPr>
    <w:rPr>
      <w:rFonts w:eastAsiaTheme="majorEastAsia"/>
      <w:b/>
      <w:bCs/>
      <w:sz w:val="22"/>
      <w:szCs w:val="22"/>
      <w:lang w:val="en-NZ"/>
    </w:rPr>
  </w:style>
  <w:style w:type="paragraph" w:styleId="Heading2">
    <w:name w:val="heading 2"/>
    <w:aliases w:val="Heading a,b"/>
    <w:basedOn w:val="Normal"/>
    <w:next w:val="Normal"/>
    <w:link w:val="Heading2Char"/>
    <w:unhideWhenUsed/>
    <w:qFormat/>
    <w:rsid w:val="00077F19"/>
    <w:pPr>
      <w:spacing w:after="120"/>
      <w:outlineLvl w:val="1"/>
    </w:pPr>
    <w:rPr>
      <w:rFonts w:eastAsia="MS Mincho"/>
      <w:b/>
      <w:color w:val="000000"/>
      <w:sz w:val="22"/>
      <w:lang w:val="en-NZ" w:eastAsia="ja-JP"/>
    </w:rPr>
  </w:style>
  <w:style w:type="paragraph" w:styleId="Heading3">
    <w:name w:val="heading 3"/>
    <w:basedOn w:val="Normal"/>
    <w:next w:val="Normal"/>
    <w:link w:val="Heading3Char"/>
    <w:unhideWhenUsed/>
    <w:qFormat/>
    <w:rsid w:val="00077F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77F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860"/>
    <w:pPr>
      <w:keepNext/>
      <w:jc w:val="both"/>
      <w:outlineLvl w:val="4"/>
    </w:pPr>
    <w:rPr>
      <w:rFonts w:ascii="Arial" w:eastAsia="Batang" w:hAnsi="Arial" w:cs="Arial"/>
      <w:b/>
      <w:bCs/>
      <w:sz w:val="20"/>
      <w:szCs w:val="20"/>
    </w:rPr>
  </w:style>
  <w:style w:type="paragraph" w:styleId="Heading6">
    <w:name w:val="heading 6"/>
    <w:basedOn w:val="Normal"/>
    <w:next w:val="Normal"/>
    <w:link w:val="Heading6Char"/>
    <w:qFormat/>
    <w:rsid w:val="00167860"/>
    <w:pPr>
      <w:keepNext/>
      <w:outlineLvl w:val="5"/>
    </w:pPr>
    <w:rPr>
      <w:rFonts w:ascii="Arial" w:eastAsia="Batang" w:hAnsi="Arial" w:cs="Arial"/>
      <w:b/>
      <w:color w:val="FF0000"/>
      <w:sz w:val="16"/>
      <w:szCs w:val="20"/>
    </w:rPr>
  </w:style>
  <w:style w:type="paragraph" w:styleId="Heading7">
    <w:name w:val="heading 7"/>
    <w:basedOn w:val="Normal"/>
    <w:next w:val="Normal"/>
    <w:link w:val="Heading7Char"/>
    <w:unhideWhenUsed/>
    <w:qFormat/>
    <w:rsid w:val="00167860"/>
    <w:pPr>
      <w:keepNext/>
      <w:keepLines/>
      <w:spacing w:before="200"/>
      <w:jc w:val="both"/>
      <w:outlineLvl w:val="6"/>
    </w:pPr>
    <w:rPr>
      <w:rFonts w:ascii="Cambria" w:hAnsi="Cambria"/>
      <w:i/>
      <w:iCs/>
      <w:color w:val="404040"/>
      <w:sz w:val="22"/>
      <w:szCs w:val="22"/>
      <w:lang w:val="en-NZ"/>
    </w:rPr>
  </w:style>
  <w:style w:type="paragraph" w:styleId="Heading8">
    <w:name w:val="heading 8"/>
    <w:basedOn w:val="Normal"/>
    <w:next w:val="Normal"/>
    <w:link w:val="Heading8Char"/>
    <w:uiPriority w:val="9"/>
    <w:unhideWhenUsed/>
    <w:qFormat/>
    <w:rsid w:val="00167860"/>
    <w:pPr>
      <w:spacing w:before="240" w:after="60"/>
      <w:jc w:val="both"/>
      <w:outlineLvl w:val="7"/>
    </w:pPr>
    <w:rPr>
      <w:rFonts w:ascii="Calibri" w:hAnsi="Calibri"/>
      <w:i/>
      <w:iCs/>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77F19"/>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uiPriority w:val="99"/>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link w:val="CommentSubjectChar"/>
    <w:uiPriority w:val="99"/>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uiPriority w:val="99"/>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
    <w:basedOn w:val="Normal"/>
    <w:link w:val="ListParagraphChar"/>
    <w:uiPriority w:val="34"/>
    <w:qFormat/>
    <w:rsid w:val="00077F19"/>
    <w:pPr>
      <w:ind w:left="720"/>
    </w:pPr>
  </w:style>
  <w:style w:type="paragraph" w:styleId="FootnoteText">
    <w:name w:val="footnote text"/>
    <w:basedOn w:val="Normal"/>
    <w:link w:val="FootnoteTextChar"/>
    <w:rsid w:val="00AC218A"/>
    <w:rPr>
      <w:rFonts w:cs="Angsana New"/>
      <w:sz w:val="20"/>
      <w:szCs w:val="20"/>
      <w:lang w:bidi="th-TH"/>
    </w:rPr>
  </w:style>
  <w:style w:type="character" w:customStyle="1" w:styleId="FootnoteTextChar">
    <w:name w:val="Footnote Text Char"/>
    <w:link w:val="FootnoteText"/>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uiPriority w:val="5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qFormat/>
    <w:rsid w:val="00077F19"/>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
    <w:link w:val="ListParagraph"/>
    <w:uiPriority w:val="34"/>
    <w:locked/>
    <w:rsid w:val="00077F19"/>
    <w:rPr>
      <w:rFonts w:eastAsia="Times New Roman"/>
      <w:sz w:val="24"/>
      <w:szCs w:val="24"/>
      <w:lang w:eastAsia="en-US" w:bidi="ar-SA"/>
    </w:rPr>
  </w:style>
  <w:style w:type="paragraph" w:customStyle="1" w:styleId="favourite">
    <w:name w:val="favourite"/>
    <w:basedOn w:val="Default"/>
    <w:link w:val="favouriteChar"/>
    <w:qFormat/>
    <w:rsid w:val="00077F19"/>
    <w:pPr>
      <w:numPr>
        <w:numId w:val="50"/>
      </w:numPr>
    </w:pPr>
    <w:rPr>
      <w:rFonts w:eastAsiaTheme="minorEastAsia"/>
      <w:sz w:val="22"/>
      <w:szCs w:val="22"/>
      <w:lang w:val="en-NZ" w:eastAsia="en-NZ"/>
    </w:rPr>
  </w:style>
  <w:style w:type="character" w:customStyle="1" w:styleId="favouriteChar">
    <w:name w:val="favourite Char"/>
    <w:basedOn w:val="DefaultChar"/>
    <w:link w:val="favourite"/>
    <w:rsid w:val="00077F19"/>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077F19"/>
    <w:pPr>
      <w:numPr>
        <w:numId w:val="51"/>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077F19"/>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077F19"/>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rsid w:val="00077F19"/>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63725B"/>
    <w:rPr>
      <w:rFonts w:eastAsiaTheme="majorEastAsia"/>
      <w:b/>
      <w:bCs/>
      <w:sz w:val="22"/>
      <w:szCs w:val="22"/>
      <w:lang w:val="en-NZ" w:eastAsia="en-US" w:bidi="ar-SA"/>
    </w:rPr>
  </w:style>
  <w:style w:type="character" w:customStyle="1" w:styleId="Heading3Char">
    <w:name w:val="Heading 3 Char"/>
    <w:basedOn w:val="DefaultParagraphFont"/>
    <w:link w:val="Heading3"/>
    <w:rsid w:val="00077F1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077F19"/>
    <w:pPr>
      <w:numPr>
        <w:numId w:val="18"/>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077F1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styleId="Revision">
    <w:name w:val="Revision"/>
    <w:hidden/>
    <w:uiPriority w:val="99"/>
    <w:semiHidden/>
    <w:rsid w:val="00DE76B6"/>
    <w:rPr>
      <w:rFonts w:eastAsia="Times New Roman"/>
      <w:sz w:val="24"/>
      <w:szCs w:val="24"/>
      <w:lang w:eastAsia="en-US" w:bidi="ar-SA"/>
    </w:rPr>
  </w:style>
  <w:style w:type="paragraph" w:styleId="NoSpacing">
    <w:name w:val="No Spacing"/>
    <w:uiPriority w:val="1"/>
    <w:qFormat/>
    <w:rsid w:val="00077F19"/>
    <w:rPr>
      <w:rFonts w:asciiTheme="minorHAnsi" w:eastAsiaTheme="minorHAnsi" w:hAnsiTheme="minorHAnsi" w:cstheme="minorBidi"/>
      <w:sz w:val="22"/>
      <w:szCs w:val="22"/>
      <w:lang w:val="en-PH" w:eastAsia="en-US" w:bidi="ar-SA"/>
    </w:rPr>
  </w:style>
  <w:style w:type="paragraph" w:customStyle="1" w:styleId="WP">
    <w:name w:val="WP"/>
    <w:basedOn w:val="Normal"/>
    <w:rsid w:val="00FD5C8D"/>
    <w:pPr>
      <w:keepLines/>
      <w:tabs>
        <w:tab w:val="left" w:pos="1021"/>
        <w:tab w:val="left" w:pos="1560"/>
        <w:tab w:val="left" w:pos="1588"/>
        <w:tab w:val="left" w:pos="1985"/>
      </w:tabs>
      <w:spacing w:before="240"/>
      <w:ind w:left="1588" w:hanging="1588"/>
      <w:jc w:val="both"/>
    </w:pPr>
    <w:rPr>
      <w:sz w:val="20"/>
      <w:szCs w:val="20"/>
      <w:lang w:val="en-GB"/>
    </w:rPr>
  </w:style>
  <w:style w:type="paragraph" w:customStyle="1" w:styleId="m-4158761630292766844briefpara">
    <w:name w:val="m_-4158761630292766844briefpara"/>
    <w:basedOn w:val="Normal"/>
    <w:rsid w:val="0098401C"/>
    <w:pPr>
      <w:spacing w:before="100" w:beforeAutospacing="1" w:after="100" w:afterAutospacing="1"/>
    </w:pPr>
  </w:style>
  <w:style w:type="paragraph" w:styleId="Caption">
    <w:name w:val="caption"/>
    <w:basedOn w:val="Normal"/>
    <w:next w:val="Normal"/>
    <w:link w:val="CaptionChar"/>
    <w:uiPriority w:val="35"/>
    <w:qFormat/>
    <w:rsid w:val="00077F19"/>
    <w:pPr>
      <w:jc w:val="center"/>
    </w:pPr>
    <w:rPr>
      <w:b/>
      <w:sz w:val="22"/>
      <w:szCs w:val="20"/>
    </w:rPr>
  </w:style>
  <w:style w:type="character" w:customStyle="1" w:styleId="CaptionChar">
    <w:name w:val="Caption Char"/>
    <w:link w:val="Caption"/>
    <w:uiPriority w:val="35"/>
    <w:locked/>
    <w:rsid w:val="00077F19"/>
    <w:rPr>
      <w:rFonts w:eastAsia="Times New Roman"/>
      <w:b/>
      <w:sz w:val="22"/>
      <w:lang w:eastAsia="en-US" w:bidi="ar-SA"/>
    </w:rPr>
  </w:style>
  <w:style w:type="table" w:customStyle="1" w:styleId="TableGrid1">
    <w:name w:val="Table Grid1"/>
    <w:basedOn w:val="TableNormal"/>
    <w:next w:val="TableGrid"/>
    <w:uiPriority w:val="59"/>
    <w:rsid w:val="000232E7"/>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
    <w:name w:val="Simple science 1"/>
    <w:basedOn w:val="TableNormal"/>
    <w:uiPriority w:val="99"/>
    <w:rsid w:val="00B172C6"/>
    <w:rPr>
      <w:rFonts w:ascii="Calibri" w:eastAsia="Calibri" w:hAnsi="Calibri"/>
      <w:sz w:val="22"/>
      <w:szCs w:val="22"/>
      <w:lang w:eastAsia="zh-CN" w:bidi="ar-SA"/>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paragraph" w:customStyle="1" w:styleId="m5034176475003679229briefpara">
    <w:name w:val="m_5034176475003679229briefpara"/>
    <w:basedOn w:val="Normal"/>
    <w:rsid w:val="0063255B"/>
    <w:pPr>
      <w:spacing w:before="100" w:beforeAutospacing="1" w:after="100" w:afterAutospacing="1"/>
    </w:pPr>
  </w:style>
  <w:style w:type="paragraph" w:customStyle="1" w:styleId="m5256710388491436337msolistparagraph">
    <w:name w:val="m_5256710388491436337msolistparagraph"/>
    <w:basedOn w:val="Normal"/>
    <w:rsid w:val="00436192"/>
    <w:pPr>
      <w:spacing w:before="100" w:beforeAutospacing="1" w:after="100" w:afterAutospacing="1"/>
    </w:pPr>
  </w:style>
  <w:style w:type="paragraph" w:customStyle="1" w:styleId="m-9168421834186174049briefpara">
    <w:name w:val="m_-9168421834186174049briefpara"/>
    <w:basedOn w:val="Normal"/>
    <w:rsid w:val="009A6093"/>
    <w:pPr>
      <w:spacing w:before="100" w:beforeAutospacing="1" w:after="100" w:afterAutospacing="1"/>
    </w:pPr>
  </w:style>
  <w:style w:type="table" w:customStyle="1" w:styleId="TableGrid2">
    <w:name w:val="Table Grid2"/>
    <w:basedOn w:val="TableNormal"/>
    <w:next w:val="TableGrid"/>
    <w:uiPriority w:val="39"/>
    <w:rsid w:val="002C5A25"/>
    <w:rPr>
      <w:rFonts w:ascii="Calibri" w:eastAsia="Yu Mincho" w:hAnsi="Calibri" w:cs="Calibri"/>
      <w:sz w:val="22"/>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2D88"/>
    <w:rPr>
      <w:color w:val="808080"/>
    </w:rPr>
  </w:style>
  <w:style w:type="numbering" w:customStyle="1" w:styleId="NoList1">
    <w:name w:val="No List1"/>
    <w:next w:val="NoList"/>
    <w:uiPriority w:val="99"/>
    <w:semiHidden/>
    <w:unhideWhenUsed/>
    <w:rsid w:val="00FE72FC"/>
  </w:style>
  <w:style w:type="character" w:customStyle="1" w:styleId="BodyTextChar">
    <w:name w:val="Body Text Char"/>
    <w:basedOn w:val="DefaultParagraphFont"/>
    <w:link w:val="BodyText"/>
    <w:uiPriority w:val="1"/>
    <w:rsid w:val="00077F19"/>
    <w:rPr>
      <w:rFonts w:eastAsia="Times New Roman"/>
      <w:sz w:val="24"/>
      <w:szCs w:val="24"/>
      <w:lang w:val="en-GB" w:eastAsia="en-US" w:bidi="ar-SA"/>
    </w:rPr>
  </w:style>
  <w:style w:type="paragraph" w:customStyle="1" w:styleId="TableParagraph">
    <w:name w:val="Table Paragraph"/>
    <w:basedOn w:val="Normal"/>
    <w:uiPriority w:val="1"/>
    <w:qFormat/>
    <w:rsid w:val="00077F19"/>
    <w:pPr>
      <w:widowControl w:val="0"/>
      <w:autoSpaceDE w:val="0"/>
      <w:autoSpaceDN w:val="0"/>
      <w:spacing w:line="247" w:lineRule="exact"/>
      <w:ind w:left="191"/>
    </w:pPr>
    <w:rPr>
      <w:sz w:val="22"/>
      <w:szCs w:val="22"/>
    </w:rPr>
  </w:style>
  <w:style w:type="character" w:customStyle="1" w:styleId="fontstyle01">
    <w:name w:val="fontstyle01"/>
    <w:basedOn w:val="DefaultParagraphFont"/>
    <w:rsid w:val="001B22F5"/>
    <w:rPr>
      <w:rFonts w:ascii="CMR10" w:hAnsi="CMR10" w:hint="default"/>
      <w:b w:val="0"/>
      <w:bCs w:val="0"/>
      <w:i w:val="0"/>
      <w:iCs w:val="0"/>
      <w:color w:val="008A73"/>
      <w:sz w:val="22"/>
      <w:szCs w:val="22"/>
    </w:rPr>
  </w:style>
  <w:style w:type="character" w:customStyle="1" w:styleId="fontstyle21">
    <w:name w:val="fontstyle21"/>
    <w:basedOn w:val="DefaultParagraphFont"/>
    <w:rsid w:val="001B22F5"/>
    <w:rPr>
      <w:rFonts w:ascii="CMTI10" w:hAnsi="CMTI10" w:hint="default"/>
      <w:b w:val="0"/>
      <w:bCs w:val="0"/>
      <w:i/>
      <w:iCs/>
      <w:color w:val="008A73"/>
      <w:sz w:val="22"/>
      <w:szCs w:val="22"/>
    </w:rPr>
  </w:style>
  <w:style w:type="character" w:customStyle="1" w:styleId="fontstyle31">
    <w:name w:val="fontstyle31"/>
    <w:basedOn w:val="DefaultParagraphFont"/>
    <w:rsid w:val="001B22F5"/>
    <w:rPr>
      <w:rFonts w:ascii="CMMI8" w:hAnsi="CMMI8" w:hint="default"/>
      <w:b w:val="0"/>
      <w:bCs w:val="0"/>
      <w:i/>
      <w:iCs/>
      <w:color w:val="008A73"/>
      <w:sz w:val="16"/>
      <w:szCs w:val="16"/>
    </w:rPr>
  </w:style>
  <w:style w:type="character" w:customStyle="1" w:styleId="fontstyle41">
    <w:name w:val="fontstyle41"/>
    <w:basedOn w:val="DefaultParagraphFont"/>
    <w:rsid w:val="001B22F5"/>
    <w:rPr>
      <w:rFonts w:ascii="CMMI10" w:hAnsi="CMMI10" w:hint="default"/>
      <w:b w:val="0"/>
      <w:bCs w:val="0"/>
      <w:i/>
      <w:iCs/>
      <w:color w:val="008A73"/>
      <w:sz w:val="22"/>
      <w:szCs w:val="22"/>
    </w:rPr>
  </w:style>
  <w:style w:type="character" w:customStyle="1" w:styleId="fontstyle51">
    <w:name w:val="fontstyle51"/>
    <w:basedOn w:val="DefaultParagraphFont"/>
    <w:rsid w:val="001B22F5"/>
    <w:rPr>
      <w:rFonts w:ascii="CMR8" w:hAnsi="CMR8" w:hint="default"/>
      <w:b w:val="0"/>
      <w:bCs w:val="0"/>
      <w:i w:val="0"/>
      <w:iCs w:val="0"/>
      <w:color w:val="008A73"/>
      <w:sz w:val="16"/>
      <w:szCs w:val="16"/>
    </w:rPr>
  </w:style>
  <w:style w:type="character" w:customStyle="1" w:styleId="fontstyle61">
    <w:name w:val="fontstyle61"/>
    <w:basedOn w:val="DefaultParagraphFont"/>
    <w:rsid w:val="001B22F5"/>
    <w:rPr>
      <w:rFonts w:ascii="CMR8" w:hAnsi="CMR8" w:hint="default"/>
      <w:b w:val="0"/>
      <w:bCs w:val="0"/>
      <w:i w:val="0"/>
      <w:iCs w:val="0"/>
      <w:color w:val="008A73"/>
      <w:sz w:val="16"/>
      <w:szCs w:val="16"/>
    </w:rPr>
  </w:style>
  <w:style w:type="table" w:customStyle="1" w:styleId="TableGrid3">
    <w:name w:val="Table Grid3"/>
    <w:basedOn w:val="TableNormal"/>
    <w:next w:val="TableGrid"/>
    <w:uiPriority w:val="39"/>
    <w:rsid w:val="00CB1BA6"/>
    <w:rPr>
      <w:rFonts w:eastAsia="MS Mincho"/>
      <w:kern w:val="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669E4"/>
    <w:rPr>
      <w:rFonts w:eastAsia="MS PMincho"/>
      <w:kern w:val="2"/>
      <w:sz w:val="21"/>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1">
    <w:name w:val="Simple science 11"/>
    <w:basedOn w:val="TableNormal"/>
    <w:uiPriority w:val="99"/>
    <w:rsid w:val="0041235F"/>
    <w:rPr>
      <w:rFonts w:ascii="Calibri" w:eastAsia="Calibri" w:hAnsi="Calibri"/>
      <w:lang w:eastAsia="zh-CN"/>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numbering" w:customStyle="1" w:styleId="NoList2">
    <w:name w:val="No List2"/>
    <w:next w:val="NoList"/>
    <w:uiPriority w:val="99"/>
    <w:semiHidden/>
    <w:unhideWhenUsed/>
    <w:rsid w:val="00BA4FCE"/>
  </w:style>
  <w:style w:type="character" w:customStyle="1" w:styleId="CommentSubjectChar">
    <w:name w:val="Comment Subject Char"/>
    <w:basedOn w:val="CommentTextChar"/>
    <w:link w:val="CommentSubject"/>
    <w:uiPriority w:val="99"/>
    <w:semiHidden/>
    <w:rsid w:val="00BA4FCE"/>
    <w:rPr>
      <w:rFonts w:eastAsia="Times New Roman"/>
      <w:b/>
      <w:bCs/>
      <w:lang w:eastAsia="en-US" w:bidi="ar-SA"/>
    </w:rPr>
  </w:style>
  <w:style w:type="table" w:customStyle="1" w:styleId="TableGrid5">
    <w:name w:val="Table Grid5"/>
    <w:basedOn w:val="TableNormal"/>
    <w:next w:val="TableGrid"/>
    <w:uiPriority w:val="59"/>
    <w:rsid w:val="00BA4FCE"/>
    <w:rPr>
      <w:rFonts w:eastAsia="Times New Roman"/>
      <w:sz w:val="22"/>
      <w:szCs w:val="22"/>
      <w:lang w:val="en-A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623038302119416282msonormal">
    <w:name w:val="m_-3623038302119416282msonormal"/>
    <w:basedOn w:val="Normal"/>
    <w:rsid w:val="00F17BC4"/>
    <w:pPr>
      <w:spacing w:before="100" w:beforeAutospacing="1" w:after="100" w:afterAutospacing="1"/>
    </w:pPr>
  </w:style>
  <w:style w:type="paragraph" w:styleId="TOCHeading">
    <w:name w:val="TOC Heading"/>
    <w:basedOn w:val="Heading1"/>
    <w:next w:val="Normal"/>
    <w:uiPriority w:val="39"/>
    <w:unhideWhenUsed/>
    <w:qFormat/>
    <w:rsid w:val="00235F75"/>
    <w:pPr>
      <w:outlineLvl w:val="9"/>
    </w:pPr>
  </w:style>
  <w:style w:type="paragraph" w:customStyle="1" w:styleId="SC2">
    <w:name w:val="SC 2"/>
    <w:basedOn w:val="Normal"/>
    <w:link w:val="SC2Char"/>
    <w:qFormat/>
    <w:rsid w:val="00C91D50"/>
    <w:pPr>
      <w:keepNext/>
      <w:numPr>
        <w:ilvl w:val="1"/>
        <w:numId w:val="56"/>
      </w:numPr>
      <w:suppressLineNumbers/>
      <w:adjustRightInd w:val="0"/>
      <w:snapToGrid w:val="0"/>
      <w:spacing w:after="220"/>
      <w:jc w:val="both"/>
    </w:pPr>
    <w:rPr>
      <w:b/>
      <w:sz w:val="22"/>
      <w:szCs w:val="22"/>
      <w:lang w:val="en-NZ"/>
    </w:rPr>
  </w:style>
  <w:style w:type="numbering" w:customStyle="1" w:styleId="SCList">
    <w:name w:val="SC List"/>
    <w:uiPriority w:val="99"/>
    <w:rsid w:val="00B56855"/>
    <w:pPr>
      <w:numPr>
        <w:numId w:val="54"/>
      </w:numPr>
    </w:pPr>
  </w:style>
  <w:style w:type="character" w:customStyle="1" w:styleId="SC2Char">
    <w:name w:val="SC 2 Char"/>
    <w:basedOn w:val="DefaultParagraphFont"/>
    <w:link w:val="SC2"/>
    <w:rsid w:val="00C91D50"/>
    <w:rPr>
      <w:rFonts w:eastAsia="Times New Roman"/>
      <w:b/>
      <w:sz w:val="22"/>
      <w:szCs w:val="22"/>
      <w:lang w:val="en-NZ" w:eastAsia="en-US" w:bidi="ar-SA"/>
    </w:rPr>
  </w:style>
  <w:style w:type="numbering" w:customStyle="1" w:styleId="Style1">
    <w:name w:val="Style1"/>
    <w:uiPriority w:val="99"/>
    <w:rsid w:val="00400689"/>
    <w:pPr>
      <w:numPr>
        <w:numId w:val="55"/>
      </w:numPr>
    </w:pPr>
  </w:style>
  <w:style w:type="paragraph" w:customStyle="1" w:styleId="SC3">
    <w:name w:val="SC 3"/>
    <w:basedOn w:val="SC2"/>
    <w:link w:val="SC3Char"/>
    <w:qFormat/>
    <w:rsid w:val="008124C6"/>
    <w:pPr>
      <w:numPr>
        <w:ilvl w:val="2"/>
      </w:numPr>
    </w:pPr>
  </w:style>
  <w:style w:type="paragraph" w:customStyle="1" w:styleId="SCa">
    <w:name w:val="SC a"/>
    <w:basedOn w:val="ListParagraph"/>
    <w:link w:val="SCaChar"/>
    <w:qFormat/>
    <w:rsid w:val="00F73262"/>
    <w:pPr>
      <w:tabs>
        <w:tab w:val="left" w:pos="1080"/>
      </w:tabs>
      <w:adjustRightInd w:val="0"/>
      <w:snapToGrid w:val="0"/>
      <w:spacing w:after="240"/>
      <w:ind w:left="1080"/>
      <w:jc w:val="both"/>
    </w:pPr>
    <w:rPr>
      <w:rFonts w:eastAsia="Batang"/>
      <w:b/>
      <w:sz w:val="22"/>
      <w:szCs w:val="22"/>
      <w:lang w:eastAsia="ko-KR"/>
    </w:rPr>
  </w:style>
  <w:style w:type="character" w:customStyle="1" w:styleId="SC3Char">
    <w:name w:val="SC 3 Char"/>
    <w:basedOn w:val="SC2Char"/>
    <w:link w:val="SC3"/>
    <w:rsid w:val="008124C6"/>
    <w:rPr>
      <w:rFonts w:eastAsia="Times New Roman"/>
      <w:b/>
      <w:sz w:val="22"/>
      <w:szCs w:val="22"/>
      <w:lang w:val="en-NZ" w:eastAsia="en-US" w:bidi="ar-SA"/>
    </w:rPr>
  </w:style>
  <w:style w:type="paragraph" w:customStyle="1" w:styleId="SCa1">
    <w:name w:val="SC a1"/>
    <w:basedOn w:val="SCa"/>
    <w:link w:val="SCa1Char"/>
    <w:qFormat/>
    <w:rsid w:val="00F93D03"/>
    <w:pPr>
      <w:numPr>
        <w:numId w:val="58"/>
      </w:numPr>
      <w:ind w:left="1440"/>
    </w:pPr>
    <w:rPr>
      <w:lang w:val="en-NZ"/>
    </w:rPr>
  </w:style>
  <w:style w:type="character" w:customStyle="1" w:styleId="SCaChar">
    <w:name w:val="SC a Char"/>
    <w:basedOn w:val="ListParagraphChar"/>
    <w:link w:val="SCa"/>
    <w:rsid w:val="00F73262"/>
    <w:rPr>
      <w:rFonts w:eastAsia="Times New Roman"/>
      <w:b/>
      <w:sz w:val="22"/>
      <w:szCs w:val="22"/>
      <w:lang w:eastAsia="en-US" w:bidi="ar-SA"/>
    </w:rPr>
  </w:style>
  <w:style w:type="paragraph" w:customStyle="1" w:styleId="SC4">
    <w:name w:val="SC 4"/>
    <w:basedOn w:val="ListParagraph"/>
    <w:link w:val="SC4Char"/>
    <w:qFormat/>
    <w:rsid w:val="00DD1167"/>
    <w:pPr>
      <w:numPr>
        <w:ilvl w:val="3"/>
        <w:numId w:val="14"/>
      </w:numPr>
      <w:adjustRightInd w:val="0"/>
      <w:snapToGrid w:val="0"/>
      <w:spacing w:after="220"/>
      <w:jc w:val="both"/>
    </w:pPr>
    <w:rPr>
      <w:rFonts w:eastAsia="Batang"/>
      <w:b/>
      <w:sz w:val="22"/>
      <w:szCs w:val="22"/>
      <w:lang w:val="en-NZ" w:eastAsia="ko-KR"/>
    </w:rPr>
  </w:style>
  <w:style w:type="character" w:customStyle="1" w:styleId="SCa1Char">
    <w:name w:val="SC a1 Char"/>
    <w:basedOn w:val="SCaChar"/>
    <w:link w:val="SCa1"/>
    <w:rsid w:val="00F93D03"/>
    <w:rPr>
      <w:rFonts w:eastAsia="Times New Roman"/>
      <w:b/>
      <w:sz w:val="22"/>
      <w:szCs w:val="22"/>
      <w:lang w:val="en-NZ" w:eastAsia="en-US" w:bidi="ar-SA"/>
    </w:rPr>
  </w:style>
  <w:style w:type="paragraph" w:customStyle="1" w:styleId="HeaderFooter">
    <w:name w:val="Header &amp; Footer"/>
    <w:rsid w:val="00BA3E50"/>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eastAsia="en-US" w:bidi="ar-SA"/>
    </w:rPr>
  </w:style>
  <w:style w:type="character" w:customStyle="1" w:styleId="SC4Char">
    <w:name w:val="SC 4 Char"/>
    <w:basedOn w:val="ListParagraphChar"/>
    <w:link w:val="SC4"/>
    <w:rsid w:val="00DD1167"/>
    <w:rPr>
      <w:rFonts w:eastAsia="Times New Roman"/>
      <w:b/>
      <w:sz w:val="22"/>
      <w:szCs w:val="22"/>
      <w:lang w:val="en-NZ" w:eastAsia="en-US" w:bidi="ar-SA"/>
    </w:rPr>
  </w:style>
  <w:style w:type="numbering" w:customStyle="1" w:styleId="ImportedStyle1">
    <w:name w:val="Imported Style 1"/>
    <w:rsid w:val="00BA3E50"/>
    <w:pPr>
      <w:numPr>
        <w:numId w:val="90"/>
      </w:numPr>
    </w:pPr>
  </w:style>
  <w:style w:type="numbering" w:customStyle="1" w:styleId="ImportedStyle2">
    <w:name w:val="Imported Style 2"/>
    <w:rsid w:val="00BA3E50"/>
    <w:pPr>
      <w:numPr>
        <w:numId w:val="92"/>
      </w:numPr>
    </w:pPr>
  </w:style>
  <w:style w:type="numbering" w:customStyle="1" w:styleId="ImportedStyle3">
    <w:name w:val="Imported Style 3"/>
    <w:rsid w:val="00BA3E50"/>
    <w:pPr>
      <w:numPr>
        <w:numId w:val="94"/>
      </w:numPr>
    </w:pPr>
  </w:style>
  <w:style w:type="numbering" w:customStyle="1" w:styleId="ImportedStyle4">
    <w:name w:val="Imported Style 4"/>
    <w:rsid w:val="00BA3E50"/>
    <w:pPr>
      <w:numPr>
        <w:numId w:val="96"/>
      </w:numPr>
    </w:pPr>
  </w:style>
  <w:style w:type="table" w:customStyle="1" w:styleId="TableGrid6">
    <w:name w:val="Table Grid6"/>
    <w:basedOn w:val="TableNormal"/>
    <w:next w:val="TableGrid"/>
    <w:uiPriority w:val="59"/>
    <w:rsid w:val="00BA3E50"/>
    <w:rPr>
      <w:rFonts w:ascii="Calibri" w:eastAsia="SimSun" w:hAnsi="Calibri"/>
      <w:sz w:val="22"/>
      <w:szCs w:val="22"/>
      <w:lang w:val="en-AU"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A3E50"/>
  </w:style>
  <w:style w:type="table" w:customStyle="1" w:styleId="TableGrid7">
    <w:name w:val="Table Grid7"/>
    <w:basedOn w:val="TableNormal"/>
    <w:next w:val="TableGrid"/>
    <w:uiPriority w:val="59"/>
    <w:rsid w:val="00BA3E50"/>
    <w:rPr>
      <w:rFonts w:eastAsia="SimSun" w:cs="Batang"/>
      <w:color w:val="000000"/>
      <w:sz w:val="22"/>
      <w:szCs w:val="22"/>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Left0">
    <w:name w:val="Style Heading 1 + Left:  0&quot;"/>
    <w:basedOn w:val="Heading1"/>
    <w:rsid w:val="00BA3E50"/>
    <w:pPr>
      <w:keepLines w:val="0"/>
      <w:numPr>
        <w:numId w:val="0"/>
      </w:numPr>
      <w:spacing w:before="240" w:after="60"/>
      <w:jc w:val="left"/>
    </w:pPr>
    <w:rPr>
      <w:rFonts w:ascii="Times New (W1)" w:eastAsia="Times New Roman" w:hAnsi="Times New (W1)"/>
      <w:caps/>
      <w:sz w:val="24"/>
      <w:szCs w:val="24"/>
      <w:lang w:val="en-US"/>
    </w:rPr>
  </w:style>
  <w:style w:type="character" w:customStyle="1" w:styleId="HeaderChar">
    <w:name w:val="Header Char"/>
    <w:basedOn w:val="DefaultParagraphFont"/>
    <w:link w:val="Header"/>
    <w:uiPriority w:val="99"/>
    <w:rsid w:val="00BA3E50"/>
    <w:rPr>
      <w:rFonts w:eastAsia="Times New Roman"/>
      <w:sz w:val="24"/>
      <w:szCs w:val="24"/>
      <w:lang w:val="en-GB" w:eastAsia="en-US" w:bidi="ar-SA"/>
    </w:rPr>
  </w:style>
  <w:style w:type="table" w:customStyle="1" w:styleId="TableNormal1">
    <w:name w:val="Table Normal1"/>
    <w:uiPriority w:val="2"/>
    <w:semiHidden/>
    <w:unhideWhenUsed/>
    <w:qFormat/>
    <w:rsid w:val="00BA3E50"/>
    <w:pPr>
      <w:widowControl w:val="0"/>
      <w:autoSpaceDE w:val="0"/>
      <w:autoSpaceDN w:val="0"/>
    </w:pPr>
    <w:rPr>
      <w:rFonts w:ascii="Calibri" w:eastAsia="Calibri" w:hAnsi="Calibri" w:cs="Mongolian Baiti"/>
      <w:sz w:val="22"/>
      <w:szCs w:val="22"/>
      <w:lang w:eastAsia="en-US" w:bidi="ar-SA"/>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BA3E50"/>
    <w:rPr>
      <w:rFonts w:eastAsia="Times New Roman"/>
      <w:color w:val="00000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37274"/>
    <w:pPr>
      <w:spacing w:after="100"/>
    </w:pPr>
    <w:rPr>
      <w:sz w:val="22"/>
    </w:rPr>
  </w:style>
  <w:style w:type="paragraph" w:styleId="TOC3">
    <w:name w:val="toc 3"/>
    <w:basedOn w:val="Normal"/>
    <w:next w:val="Normal"/>
    <w:autoRedefine/>
    <w:uiPriority w:val="39"/>
    <w:unhideWhenUsed/>
    <w:rsid w:val="00540A6E"/>
    <w:pPr>
      <w:spacing w:after="100"/>
      <w:ind w:left="480"/>
    </w:pPr>
  </w:style>
  <w:style w:type="character" w:customStyle="1" w:styleId="Heading5Char">
    <w:name w:val="Heading 5 Char"/>
    <w:basedOn w:val="DefaultParagraphFont"/>
    <w:link w:val="Heading5"/>
    <w:rsid w:val="00167860"/>
    <w:rPr>
      <w:rFonts w:ascii="Arial" w:hAnsi="Arial" w:cs="Arial"/>
      <w:b/>
      <w:bCs/>
      <w:lang w:eastAsia="en-US" w:bidi="ar-SA"/>
    </w:rPr>
  </w:style>
  <w:style w:type="character" w:customStyle="1" w:styleId="Heading6Char">
    <w:name w:val="Heading 6 Char"/>
    <w:basedOn w:val="DefaultParagraphFont"/>
    <w:link w:val="Heading6"/>
    <w:rsid w:val="00167860"/>
    <w:rPr>
      <w:rFonts w:ascii="Arial" w:hAnsi="Arial" w:cs="Arial"/>
      <w:b/>
      <w:color w:val="FF0000"/>
      <w:sz w:val="16"/>
      <w:lang w:eastAsia="en-US" w:bidi="ar-SA"/>
    </w:rPr>
  </w:style>
  <w:style w:type="character" w:customStyle="1" w:styleId="Heading7Char">
    <w:name w:val="Heading 7 Char"/>
    <w:basedOn w:val="DefaultParagraphFont"/>
    <w:link w:val="Heading7"/>
    <w:rsid w:val="00167860"/>
    <w:rPr>
      <w:rFonts w:ascii="Cambria" w:eastAsia="Times New Roman" w:hAnsi="Cambria"/>
      <w:i/>
      <w:iCs/>
      <w:color w:val="404040"/>
      <w:sz w:val="22"/>
      <w:szCs w:val="22"/>
      <w:lang w:val="en-NZ" w:eastAsia="en-US" w:bidi="ar-SA"/>
    </w:rPr>
  </w:style>
  <w:style w:type="character" w:customStyle="1" w:styleId="Heading8Char">
    <w:name w:val="Heading 8 Char"/>
    <w:basedOn w:val="DefaultParagraphFont"/>
    <w:link w:val="Heading8"/>
    <w:uiPriority w:val="9"/>
    <w:rsid w:val="00167860"/>
    <w:rPr>
      <w:rFonts w:ascii="Calibri" w:eastAsia="Times New Roman" w:hAnsi="Calibri"/>
      <w:i/>
      <w:iCs/>
      <w:sz w:val="24"/>
      <w:szCs w:val="24"/>
      <w:lang w:val="en-NZ" w:eastAsia="en-US" w:bidi="ar-SA"/>
    </w:rPr>
  </w:style>
  <w:style w:type="paragraph" w:customStyle="1" w:styleId="WCPFCSUBHEADING0">
    <w:name w:val="WCPFC SUBHEADING"/>
    <w:basedOn w:val="Normal"/>
    <w:link w:val="WCPFCSUBHEADINGChar"/>
    <w:autoRedefine/>
    <w:qFormat/>
    <w:rsid w:val="00167860"/>
    <w:pPr>
      <w:spacing w:after="240"/>
      <w:ind w:left="720" w:hanging="720"/>
      <w:jc w:val="both"/>
    </w:pPr>
    <w:rPr>
      <w:rFonts w:eastAsiaTheme="minorEastAsia"/>
      <w:b/>
      <w:sz w:val="22"/>
      <w:szCs w:val="22"/>
      <w:lang w:val="en-NZ"/>
    </w:rPr>
  </w:style>
  <w:style w:type="character" w:customStyle="1" w:styleId="WCPFCSUBHEADINGChar">
    <w:name w:val="WCPFC SUBHEADING Char"/>
    <w:link w:val="WCPFCSUBHEADING0"/>
    <w:rsid w:val="00167860"/>
    <w:rPr>
      <w:rFonts w:eastAsiaTheme="minorEastAsia"/>
      <w:b/>
      <w:sz w:val="22"/>
      <w:szCs w:val="22"/>
      <w:lang w:val="en-NZ" w:eastAsia="en-US" w:bidi="ar-SA"/>
    </w:rPr>
  </w:style>
  <w:style w:type="paragraph" w:customStyle="1" w:styleId="wcpfcsubheading">
    <w:name w:val="wcpfc subheading"/>
    <w:basedOn w:val="ListParagraph"/>
    <w:link w:val="wcpfcsubheadingChar0"/>
    <w:qFormat/>
    <w:rsid w:val="00167860"/>
    <w:pPr>
      <w:numPr>
        <w:ilvl w:val="2"/>
        <w:numId w:val="152"/>
      </w:numPr>
      <w:adjustRightInd w:val="0"/>
      <w:snapToGrid w:val="0"/>
      <w:contextualSpacing/>
      <w:jc w:val="both"/>
    </w:pPr>
    <w:rPr>
      <w:rFonts w:eastAsia="Batang"/>
      <w:b/>
      <w:bCs/>
      <w:szCs w:val="22"/>
      <w:lang w:val="en-NZ" w:eastAsia="ko-KR"/>
    </w:rPr>
  </w:style>
  <w:style w:type="character" w:customStyle="1" w:styleId="wcpfcsubheadingChar0">
    <w:name w:val="wcpfc subheading Char"/>
    <w:link w:val="wcpfcsubheading"/>
    <w:rsid w:val="00167860"/>
    <w:rPr>
      <w:b/>
      <w:bCs/>
      <w:sz w:val="24"/>
      <w:szCs w:val="22"/>
      <w:lang w:val="en-NZ" w:bidi="ar-SA"/>
    </w:rPr>
  </w:style>
  <w:style w:type="paragraph" w:styleId="TOC2">
    <w:name w:val="toc 2"/>
    <w:basedOn w:val="Normal"/>
    <w:next w:val="Normal"/>
    <w:autoRedefine/>
    <w:uiPriority w:val="39"/>
    <w:unhideWhenUsed/>
    <w:rsid w:val="00167860"/>
    <w:pPr>
      <w:spacing w:after="240"/>
      <w:ind w:left="220"/>
      <w:jc w:val="both"/>
    </w:pPr>
    <w:rPr>
      <w:rFonts w:ascii="Calibri" w:eastAsiaTheme="minorEastAsia" w:hAnsi="Calibri"/>
      <w:sz w:val="22"/>
      <w:szCs w:val="22"/>
      <w:lang w:val="en-NZ"/>
    </w:rPr>
  </w:style>
  <w:style w:type="character" w:customStyle="1" w:styleId="Mention1">
    <w:name w:val="Mention1"/>
    <w:basedOn w:val="DefaultParagraphFont"/>
    <w:uiPriority w:val="99"/>
    <w:semiHidden/>
    <w:unhideWhenUsed/>
    <w:rsid w:val="00167860"/>
    <w:rPr>
      <w:color w:val="2B579A"/>
      <w:shd w:val="clear" w:color="auto" w:fill="E6E6E6"/>
    </w:rPr>
  </w:style>
  <w:style w:type="character" w:customStyle="1" w:styleId="bumpedfont15">
    <w:name w:val="bumpedfont15"/>
    <w:basedOn w:val="DefaultParagraphFont"/>
    <w:rsid w:val="00167860"/>
  </w:style>
  <w:style w:type="character" w:customStyle="1" w:styleId="DocumentMapChar">
    <w:name w:val="Document Map Char"/>
    <w:basedOn w:val="DefaultParagraphFont"/>
    <w:link w:val="DocumentMap"/>
    <w:semiHidden/>
    <w:rsid w:val="00167860"/>
    <w:rPr>
      <w:rFonts w:ascii="Tahoma" w:hAnsi="Tahoma"/>
      <w:shd w:val="clear" w:color="auto" w:fill="000080"/>
    </w:rPr>
  </w:style>
  <w:style w:type="paragraph" w:styleId="DocumentMap">
    <w:name w:val="Document Map"/>
    <w:basedOn w:val="Normal"/>
    <w:link w:val="DocumentMapChar"/>
    <w:semiHidden/>
    <w:rsid w:val="00167860"/>
    <w:pPr>
      <w:shd w:val="clear" w:color="auto" w:fill="000080"/>
    </w:pPr>
    <w:rPr>
      <w:rFonts w:ascii="Tahoma" w:eastAsia="Batang" w:hAnsi="Tahoma"/>
      <w:sz w:val="20"/>
      <w:szCs w:val="20"/>
      <w:lang w:eastAsia="ko-KR" w:bidi="th-TH"/>
    </w:rPr>
  </w:style>
  <w:style w:type="character" w:customStyle="1" w:styleId="DocumentMapChar1">
    <w:name w:val="Document Map Char1"/>
    <w:basedOn w:val="DefaultParagraphFont"/>
    <w:uiPriority w:val="99"/>
    <w:semiHidden/>
    <w:rsid w:val="00167860"/>
    <w:rPr>
      <w:rFonts w:ascii="Tahoma" w:eastAsia="Times New Roman" w:hAnsi="Tahoma" w:cs="Tahoma"/>
      <w:sz w:val="16"/>
      <w:szCs w:val="16"/>
      <w:lang w:eastAsia="en-US" w:bidi="ar-SA"/>
    </w:rPr>
  </w:style>
  <w:style w:type="character" w:styleId="Strong">
    <w:name w:val="Strong"/>
    <w:uiPriority w:val="22"/>
    <w:qFormat/>
    <w:rsid w:val="00167860"/>
    <w:rPr>
      <w:b/>
      <w:bCs/>
    </w:rPr>
  </w:style>
  <w:style w:type="character" w:customStyle="1" w:styleId="PlainTextChar1">
    <w:name w:val="Plain Text Char1"/>
    <w:basedOn w:val="DefaultParagraphFont"/>
    <w:uiPriority w:val="99"/>
    <w:semiHidden/>
    <w:rsid w:val="00167860"/>
    <w:rPr>
      <w:rFonts w:ascii="Consolas" w:hAnsi="Consolas" w:cs="Consolas"/>
      <w:sz w:val="21"/>
      <w:szCs w:val="21"/>
      <w:lang w:val="en-NZ" w:eastAsia="en-US"/>
    </w:rPr>
  </w:style>
  <w:style w:type="paragraph" w:customStyle="1" w:styleId="SCCHeading1">
    <w:name w:val="SCC Heading 1"/>
    <w:basedOn w:val="Normal"/>
    <w:qFormat/>
    <w:rsid w:val="00167860"/>
    <w:pPr>
      <w:numPr>
        <w:numId w:val="153"/>
      </w:numPr>
      <w:spacing w:before="200" w:after="200"/>
      <w:ind w:right="677" w:hanging="720"/>
    </w:pPr>
    <w:rPr>
      <w:rFonts w:asciiTheme="majorHAnsi" w:eastAsia="MS Mincho" w:hAnsiTheme="majorHAnsi"/>
      <w:b/>
      <w:sz w:val="28"/>
      <w:szCs w:val="28"/>
      <w:lang w:val="en-GB" w:eastAsia="ja-JP"/>
    </w:rPr>
  </w:style>
  <w:style w:type="paragraph" w:customStyle="1" w:styleId="SCCHeading2">
    <w:name w:val="SCC Heading 2"/>
    <w:basedOn w:val="Normal"/>
    <w:qFormat/>
    <w:rsid w:val="00167860"/>
    <w:pPr>
      <w:numPr>
        <w:ilvl w:val="1"/>
        <w:numId w:val="153"/>
      </w:numPr>
      <w:ind w:left="720" w:right="675"/>
    </w:pPr>
    <w:rPr>
      <w:rFonts w:ascii="Cambria" w:eastAsia="MS Mincho" w:hAnsi="Cambria"/>
      <w:b/>
      <w:lang w:val="en-GB" w:eastAsia="ja-JP"/>
    </w:rPr>
  </w:style>
  <w:style w:type="paragraph" w:customStyle="1" w:styleId="SCCHeading3">
    <w:name w:val="SCC Heading 3"/>
    <w:basedOn w:val="SCCHeading2"/>
    <w:qFormat/>
    <w:rsid w:val="00167860"/>
    <w:pPr>
      <w:numPr>
        <w:ilvl w:val="2"/>
      </w:numPr>
      <w:ind w:hanging="1080"/>
    </w:pPr>
    <w:rPr>
      <w:i/>
    </w:rPr>
  </w:style>
  <w:style w:type="table" w:customStyle="1" w:styleId="PlainTable41">
    <w:name w:val="Plain Table 41"/>
    <w:basedOn w:val="TableNormal"/>
    <w:uiPriority w:val="44"/>
    <w:rsid w:val="001245DB"/>
    <w:rPr>
      <w:rFonts w:ascii="Cambria" w:eastAsia="MS Mincho" w:hAnsi="Cambria" w:cs="Cambria"/>
      <w:color w:val="000000"/>
      <w:sz w:val="24"/>
      <w:szCs w:val="24"/>
      <w:lang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1508">
      <w:bodyDiv w:val="1"/>
      <w:marLeft w:val="0"/>
      <w:marRight w:val="0"/>
      <w:marTop w:val="0"/>
      <w:marBottom w:val="0"/>
      <w:divBdr>
        <w:top w:val="none" w:sz="0" w:space="0" w:color="auto"/>
        <w:left w:val="none" w:sz="0" w:space="0" w:color="auto"/>
        <w:bottom w:val="none" w:sz="0" w:space="0" w:color="auto"/>
        <w:right w:val="none" w:sz="0" w:space="0" w:color="auto"/>
      </w:divBdr>
    </w:div>
    <w:div w:id="10305896">
      <w:bodyDiv w:val="1"/>
      <w:marLeft w:val="0"/>
      <w:marRight w:val="0"/>
      <w:marTop w:val="0"/>
      <w:marBottom w:val="0"/>
      <w:divBdr>
        <w:top w:val="none" w:sz="0" w:space="0" w:color="auto"/>
        <w:left w:val="none" w:sz="0" w:space="0" w:color="auto"/>
        <w:bottom w:val="none" w:sz="0" w:space="0" w:color="auto"/>
        <w:right w:val="none" w:sz="0" w:space="0" w:color="auto"/>
      </w:divBdr>
    </w:div>
    <w:div w:id="23219750">
      <w:bodyDiv w:val="1"/>
      <w:marLeft w:val="0"/>
      <w:marRight w:val="0"/>
      <w:marTop w:val="0"/>
      <w:marBottom w:val="0"/>
      <w:divBdr>
        <w:top w:val="none" w:sz="0" w:space="0" w:color="auto"/>
        <w:left w:val="none" w:sz="0" w:space="0" w:color="auto"/>
        <w:bottom w:val="none" w:sz="0" w:space="0" w:color="auto"/>
        <w:right w:val="none" w:sz="0" w:space="0" w:color="auto"/>
      </w:divBdr>
    </w:div>
    <w:div w:id="24598137">
      <w:bodyDiv w:val="1"/>
      <w:marLeft w:val="0"/>
      <w:marRight w:val="0"/>
      <w:marTop w:val="0"/>
      <w:marBottom w:val="0"/>
      <w:divBdr>
        <w:top w:val="none" w:sz="0" w:space="0" w:color="auto"/>
        <w:left w:val="none" w:sz="0" w:space="0" w:color="auto"/>
        <w:bottom w:val="none" w:sz="0" w:space="0" w:color="auto"/>
        <w:right w:val="none" w:sz="0" w:space="0" w:color="auto"/>
      </w:divBdr>
    </w:div>
    <w:div w:id="27729819">
      <w:bodyDiv w:val="1"/>
      <w:marLeft w:val="0"/>
      <w:marRight w:val="0"/>
      <w:marTop w:val="0"/>
      <w:marBottom w:val="0"/>
      <w:divBdr>
        <w:top w:val="none" w:sz="0" w:space="0" w:color="auto"/>
        <w:left w:val="none" w:sz="0" w:space="0" w:color="auto"/>
        <w:bottom w:val="none" w:sz="0" w:space="0" w:color="auto"/>
        <w:right w:val="none" w:sz="0" w:space="0" w:color="auto"/>
      </w:divBdr>
    </w:div>
    <w:div w:id="40984361">
      <w:bodyDiv w:val="1"/>
      <w:marLeft w:val="0"/>
      <w:marRight w:val="0"/>
      <w:marTop w:val="0"/>
      <w:marBottom w:val="0"/>
      <w:divBdr>
        <w:top w:val="none" w:sz="0" w:space="0" w:color="auto"/>
        <w:left w:val="none" w:sz="0" w:space="0" w:color="auto"/>
        <w:bottom w:val="none" w:sz="0" w:space="0" w:color="auto"/>
        <w:right w:val="none" w:sz="0" w:space="0" w:color="auto"/>
      </w:divBdr>
    </w:div>
    <w:div w:id="42368524">
      <w:bodyDiv w:val="1"/>
      <w:marLeft w:val="0"/>
      <w:marRight w:val="0"/>
      <w:marTop w:val="0"/>
      <w:marBottom w:val="0"/>
      <w:divBdr>
        <w:top w:val="none" w:sz="0" w:space="0" w:color="auto"/>
        <w:left w:val="none" w:sz="0" w:space="0" w:color="auto"/>
        <w:bottom w:val="none" w:sz="0" w:space="0" w:color="auto"/>
        <w:right w:val="none" w:sz="0" w:space="0" w:color="auto"/>
      </w:divBdr>
    </w:div>
    <w:div w:id="54284654">
      <w:bodyDiv w:val="1"/>
      <w:marLeft w:val="0"/>
      <w:marRight w:val="0"/>
      <w:marTop w:val="0"/>
      <w:marBottom w:val="0"/>
      <w:divBdr>
        <w:top w:val="none" w:sz="0" w:space="0" w:color="auto"/>
        <w:left w:val="none" w:sz="0" w:space="0" w:color="auto"/>
        <w:bottom w:val="none" w:sz="0" w:space="0" w:color="auto"/>
        <w:right w:val="none" w:sz="0" w:space="0" w:color="auto"/>
      </w:divBdr>
    </w:div>
    <w:div w:id="57703947">
      <w:bodyDiv w:val="1"/>
      <w:marLeft w:val="0"/>
      <w:marRight w:val="0"/>
      <w:marTop w:val="0"/>
      <w:marBottom w:val="0"/>
      <w:divBdr>
        <w:top w:val="none" w:sz="0" w:space="0" w:color="auto"/>
        <w:left w:val="none" w:sz="0" w:space="0" w:color="auto"/>
        <w:bottom w:val="none" w:sz="0" w:space="0" w:color="auto"/>
        <w:right w:val="none" w:sz="0" w:space="0" w:color="auto"/>
      </w:divBdr>
    </w:div>
    <w:div w:id="70933463">
      <w:bodyDiv w:val="1"/>
      <w:marLeft w:val="0"/>
      <w:marRight w:val="0"/>
      <w:marTop w:val="0"/>
      <w:marBottom w:val="0"/>
      <w:divBdr>
        <w:top w:val="none" w:sz="0" w:space="0" w:color="auto"/>
        <w:left w:val="none" w:sz="0" w:space="0" w:color="auto"/>
        <w:bottom w:val="none" w:sz="0" w:space="0" w:color="auto"/>
        <w:right w:val="none" w:sz="0" w:space="0" w:color="auto"/>
      </w:divBdr>
    </w:div>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93675094">
      <w:bodyDiv w:val="1"/>
      <w:marLeft w:val="0"/>
      <w:marRight w:val="0"/>
      <w:marTop w:val="0"/>
      <w:marBottom w:val="0"/>
      <w:divBdr>
        <w:top w:val="none" w:sz="0" w:space="0" w:color="auto"/>
        <w:left w:val="none" w:sz="0" w:space="0" w:color="auto"/>
        <w:bottom w:val="none" w:sz="0" w:space="0" w:color="auto"/>
        <w:right w:val="none" w:sz="0" w:space="0" w:color="auto"/>
      </w:divBdr>
    </w:div>
    <w:div w:id="94328415">
      <w:bodyDiv w:val="1"/>
      <w:marLeft w:val="0"/>
      <w:marRight w:val="0"/>
      <w:marTop w:val="0"/>
      <w:marBottom w:val="0"/>
      <w:divBdr>
        <w:top w:val="none" w:sz="0" w:space="0" w:color="auto"/>
        <w:left w:val="none" w:sz="0" w:space="0" w:color="auto"/>
        <w:bottom w:val="none" w:sz="0" w:space="0" w:color="auto"/>
        <w:right w:val="none" w:sz="0" w:space="0" w:color="auto"/>
      </w:divBdr>
    </w:div>
    <w:div w:id="134028393">
      <w:bodyDiv w:val="1"/>
      <w:marLeft w:val="0"/>
      <w:marRight w:val="0"/>
      <w:marTop w:val="0"/>
      <w:marBottom w:val="0"/>
      <w:divBdr>
        <w:top w:val="none" w:sz="0" w:space="0" w:color="auto"/>
        <w:left w:val="none" w:sz="0" w:space="0" w:color="auto"/>
        <w:bottom w:val="none" w:sz="0" w:space="0" w:color="auto"/>
        <w:right w:val="none" w:sz="0" w:space="0" w:color="auto"/>
      </w:divBdr>
    </w:div>
    <w:div w:id="143200589">
      <w:bodyDiv w:val="1"/>
      <w:marLeft w:val="0"/>
      <w:marRight w:val="0"/>
      <w:marTop w:val="0"/>
      <w:marBottom w:val="0"/>
      <w:divBdr>
        <w:top w:val="none" w:sz="0" w:space="0" w:color="auto"/>
        <w:left w:val="none" w:sz="0" w:space="0" w:color="auto"/>
        <w:bottom w:val="none" w:sz="0" w:space="0" w:color="auto"/>
        <w:right w:val="none" w:sz="0" w:space="0" w:color="auto"/>
      </w:divBdr>
    </w:div>
    <w:div w:id="152379740">
      <w:bodyDiv w:val="1"/>
      <w:marLeft w:val="0"/>
      <w:marRight w:val="0"/>
      <w:marTop w:val="0"/>
      <w:marBottom w:val="0"/>
      <w:divBdr>
        <w:top w:val="none" w:sz="0" w:space="0" w:color="auto"/>
        <w:left w:val="none" w:sz="0" w:space="0" w:color="auto"/>
        <w:bottom w:val="none" w:sz="0" w:space="0" w:color="auto"/>
        <w:right w:val="none" w:sz="0" w:space="0" w:color="auto"/>
      </w:divBdr>
    </w:div>
    <w:div w:id="156314197">
      <w:bodyDiv w:val="1"/>
      <w:marLeft w:val="0"/>
      <w:marRight w:val="0"/>
      <w:marTop w:val="0"/>
      <w:marBottom w:val="0"/>
      <w:divBdr>
        <w:top w:val="none" w:sz="0" w:space="0" w:color="auto"/>
        <w:left w:val="none" w:sz="0" w:space="0" w:color="auto"/>
        <w:bottom w:val="none" w:sz="0" w:space="0" w:color="auto"/>
        <w:right w:val="none" w:sz="0" w:space="0" w:color="auto"/>
      </w:divBdr>
    </w:div>
    <w:div w:id="162398516">
      <w:bodyDiv w:val="1"/>
      <w:marLeft w:val="0"/>
      <w:marRight w:val="0"/>
      <w:marTop w:val="0"/>
      <w:marBottom w:val="0"/>
      <w:divBdr>
        <w:top w:val="none" w:sz="0" w:space="0" w:color="auto"/>
        <w:left w:val="none" w:sz="0" w:space="0" w:color="auto"/>
        <w:bottom w:val="none" w:sz="0" w:space="0" w:color="auto"/>
        <w:right w:val="none" w:sz="0" w:space="0" w:color="auto"/>
      </w:divBdr>
    </w:div>
    <w:div w:id="178934807">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13539447">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215432761">
      <w:bodyDiv w:val="1"/>
      <w:marLeft w:val="0"/>
      <w:marRight w:val="0"/>
      <w:marTop w:val="0"/>
      <w:marBottom w:val="0"/>
      <w:divBdr>
        <w:top w:val="none" w:sz="0" w:space="0" w:color="auto"/>
        <w:left w:val="none" w:sz="0" w:space="0" w:color="auto"/>
        <w:bottom w:val="none" w:sz="0" w:space="0" w:color="auto"/>
        <w:right w:val="none" w:sz="0" w:space="0" w:color="auto"/>
      </w:divBdr>
    </w:div>
    <w:div w:id="228922029">
      <w:bodyDiv w:val="1"/>
      <w:marLeft w:val="0"/>
      <w:marRight w:val="0"/>
      <w:marTop w:val="0"/>
      <w:marBottom w:val="0"/>
      <w:divBdr>
        <w:top w:val="none" w:sz="0" w:space="0" w:color="auto"/>
        <w:left w:val="none" w:sz="0" w:space="0" w:color="auto"/>
        <w:bottom w:val="none" w:sz="0" w:space="0" w:color="auto"/>
        <w:right w:val="none" w:sz="0" w:space="0" w:color="auto"/>
      </w:divBdr>
    </w:div>
    <w:div w:id="244845842">
      <w:bodyDiv w:val="1"/>
      <w:marLeft w:val="0"/>
      <w:marRight w:val="0"/>
      <w:marTop w:val="0"/>
      <w:marBottom w:val="0"/>
      <w:divBdr>
        <w:top w:val="none" w:sz="0" w:space="0" w:color="auto"/>
        <w:left w:val="none" w:sz="0" w:space="0" w:color="auto"/>
        <w:bottom w:val="none" w:sz="0" w:space="0" w:color="auto"/>
        <w:right w:val="none" w:sz="0" w:space="0" w:color="auto"/>
      </w:divBdr>
    </w:div>
    <w:div w:id="280305819">
      <w:bodyDiv w:val="1"/>
      <w:marLeft w:val="0"/>
      <w:marRight w:val="0"/>
      <w:marTop w:val="0"/>
      <w:marBottom w:val="0"/>
      <w:divBdr>
        <w:top w:val="none" w:sz="0" w:space="0" w:color="auto"/>
        <w:left w:val="none" w:sz="0" w:space="0" w:color="auto"/>
        <w:bottom w:val="none" w:sz="0" w:space="0" w:color="auto"/>
        <w:right w:val="none" w:sz="0" w:space="0" w:color="auto"/>
      </w:divBdr>
    </w:div>
    <w:div w:id="292449490">
      <w:bodyDiv w:val="1"/>
      <w:marLeft w:val="0"/>
      <w:marRight w:val="0"/>
      <w:marTop w:val="0"/>
      <w:marBottom w:val="0"/>
      <w:divBdr>
        <w:top w:val="none" w:sz="0" w:space="0" w:color="auto"/>
        <w:left w:val="none" w:sz="0" w:space="0" w:color="auto"/>
        <w:bottom w:val="none" w:sz="0" w:space="0" w:color="auto"/>
        <w:right w:val="none" w:sz="0" w:space="0" w:color="auto"/>
      </w:divBdr>
    </w:div>
    <w:div w:id="297079613">
      <w:bodyDiv w:val="1"/>
      <w:marLeft w:val="0"/>
      <w:marRight w:val="0"/>
      <w:marTop w:val="0"/>
      <w:marBottom w:val="0"/>
      <w:divBdr>
        <w:top w:val="none" w:sz="0" w:space="0" w:color="auto"/>
        <w:left w:val="none" w:sz="0" w:space="0" w:color="auto"/>
        <w:bottom w:val="none" w:sz="0" w:space="0" w:color="auto"/>
        <w:right w:val="none" w:sz="0" w:space="0" w:color="auto"/>
      </w:divBdr>
    </w:div>
    <w:div w:id="299383019">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317922930">
      <w:bodyDiv w:val="1"/>
      <w:marLeft w:val="0"/>
      <w:marRight w:val="0"/>
      <w:marTop w:val="0"/>
      <w:marBottom w:val="0"/>
      <w:divBdr>
        <w:top w:val="none" w:sz="0" w:space="0" w:color="auto"/>
        <w:left w:val="none" w:sz="0" w:space="0" w:color="auto"/>
        <w:bottom w:val="none" w:sz="0" w:space="0" w:color="auto"/>
        <w:right w:val="none" w:sz="0" w:space="0" w:color="auto"/>
      </w:divBdr>
    </w:div>
    <w:div w:id="321079891">
      <w:bodyDiv w:val="1"/>
      <w:marLeft w:val="0"/>
      <w:marRight w:val="0"/>
      <w:marTop w:val="0"/>
      <w:marBottom w:val="0"/>
      <w:divBdr>
        <w:top w:val="none" w:sz="0" w:space="0" w:color="auto"/>
        <w:left w:val="none" w:sz="0" w:space="0" w:color="auto"/>
        <w:bottom w:val="none" w:sz="0" w:space="0" w:color="auto"/>
        <w:right w:val="none" w:sz="0" w:space="0" w:color="auto"/>
      </w:divBdr>
    </w:div>
    <w:div w:id="324556806">
      <w:bodyDiv w:val="1"/>
      <w:marLeft w:val="0"/>
      <w:marRight w:val="0"/>
      <w:marTop w:val="0"/>
      <w:marBottom w:val="0"/>
      <w:divBdr>
        <w:top w:val="none" w:sz="0" w:space="0" w:color="auto"/>
        <w:left w:val="none" w:sz="0" w:space="0" w:color="auto"/>
        <w:bottom w:val="none" w:sz="0" w:space="0" w:color="auto"/>
        <w:right w:val="none" w:sz="0" w:space="0" w:color="auto"/>
      </w:divBdr>
    </w:div>
    <w:div w:id="339501940">
      <w:bodyDiv w:val="1"/>
      <w:marLeft w:val="0"/>
      <w:marRight w:val="0"/>
      <w:marTop w:val="0"/>
      <w:marBottom w:val="0"/>
      <w:divBdr>
        <w:top w:val="none" w:sz="0" w:space="0" w:color="auto"/>
        <w:left w:val="none" w:sz="0" w:space="0" w:color="auto"/>
        <w:bottom w:val="none" w:sz="0" w:space="0" w:color="auto"/>
        <w:right w:val="none" w:sz="0" w:space="0" w:color="auto"/>
      </w:divBdr>
    </w:div>
    <w:div w:id="341706634">
      <w:bodyDiv w:val="1"/>
      <w:marLeft w:val="0"/>
      <w:marRight w:val="0"/>
      <w:marTop w:val="0"/>
      <w:marBottom w:val="0"/>
      <w:divBdr>
        <w:top w:val="none" w:sz="0" w:space="0" w:color="auto"/>
        <w:left w:val="none" w:sz="0" w:space="0" w:color="auto"/>
        <w:bottom w:val="none" w:sz="0" w:space="0" w:color="auto"/>
        <w:right w:val="none" w:sz="0" w:space="0" w:color="auto"/>
      </w:divBdr>
    </w:div>
    <w:div w:id="383331832">
      <w:bodyDiv w:val="1"/>
      <w:marLeft w:val="0"/>
      <w:marRight w:val="0"/>
      <w:marTop w:val="0"/>
      <w:marBottom w:val="0"/>
      <w:divBdr>
        <w:top w:val="none" w:sz="0" w:space="0" w:color="auto"/>
        <w:left w:val="none" w:sz="0" w:space="0" w:color="auto"/>
        <w:bottom w:val="none" w:sz="0" w:space="0" w:color="auto"/>
        <w:right w:val="none" w:sz="0" w:space="0" w:color="auto"/>
      </w:divBdr>
    </w:div>
    <w:div w:id="424346143">
      <w:bodyDiv w:val="1"/>
      <w:marLeft w:val="0"/>
      <w:marRight w:val="0"/>
      <w:marTop w:val="0"/>
      <w:marBottom w:val="0"/>
      <w:divBdr>
        <w:top w:val="none" w:sz="0" w:space="0" w:color="auto"/>
        <w:left w:val="none" w:sz="0" w:space="0" w:color="auto"/>
        <w:bottom w:val="none" w:sz="0" w:space="0" w:color="auto"/>
        <w:right w:val="none" w:sz="0" w:space="0" w:color="auto"/>
      </w:divBdr>
    </w:div>
    <w:div w:id="431900152">
      <w:bodyDiv w:val="1"/>
      <w:marLeft w:val="0"/>
      <w:marRight w:val="0"/>
      <w:marTop w:val="0"/>
      <w:marBottom w:val="0"/>
      <w:divBdr>
        <w:top w:val="none" w:sz="0" w:space="0" w:color="auto"/>
        <w:left w:val="none" w:sz="0" w:space="0" w:color="auto"/>
        <w:bottom w:val="none" w:sz="0" w:space="0" w:color="auto"/>
        <w:right w:val="none" w:sz="0" w:space="0" w:color="auto"/>
      </w:divBdr>
    </w:div>
    <w:div w:id="459686933">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470711466">
      <w:bodyDiv w:val="1"/>
      <w:marLeft w:val="0"/>
      <w:marRight w:val="0"/>
      <w:marTop w:val="0"/>
      <w:marBottom w:val="0"/>
      <w:divBdr>
        <w:top w:val="none" w:sz="0" w:space="0" w:color="auto"/>
        <w:left w:val="none" w:sz="0" w:space="0" w:color="auto"/>
        <w:bottom w:val="none" w:sz="0" w:space="0" w:color="auto"/>
        <w:right w:val="none" w:sz="0" w:space="0" w:color="auto"/>
      </w:divBdr>
    </w:div>
    <w:div w:id="470901645">
      <w:bodyDiv w:val="1"/>
      <w:marLeft w:val="0"/>
      <w:marRight w:val="0"/>
      <w:marTop w:val="0"/>
      <w:marBottom w:val="0"/>
      <w:divBdr>
        <w:top w:val="none" w:sz="0" w:space="0" w:color="auto"/>
        <w:left w:val="none" w:sz="0" w:space="0" w:color="auto"/>
        <w:bottom w:val="none" w:sz="0" w:space="0" w:color="auto"/>
        <w:right w:val="none" w:sz="0" w:space="0" w:color="auto"/>
      </w:divBdr>
    </w:div>
    <w:div w:id="475925031">
      <w:bodyDiv w:val="1"/>
      <w:marLeft w:val="0"/>
      <w:marRight w:val="0"/>
      <w:marTop w:val="0"/>
      <w:marBottom w:val="0"/>
      <w:divBdr>
        <w:top w:val="none" w:sz="0" w:space="0" w:color="auto"/>
        <w:left w:val="none" w:sz="0" w:space="0" w:color="auto"/>
        <w:bottom w:val="none" w:sz="0" w:space="0" w:color="auto"/>
        <w:right w:val="none" w:sz="0" w:space="0" w:color="auto"/>
      </w:divBdr>
    </w:div>
    <w:div w:id="479544069">
      <w:bodyDiv w:val="1"/>
      <w:marLeft w:val="0"/>
      <w:marRight w:val="0"/>
      <w:marTop w:val="0"/>
      <w:marBottom w:val="0"/>
      <w:divBdr>
        <w:top w:val="none" w:sz="0" w:space="0" w:color="auto"/>
        <w:left w:val="none" w:sz="0" w:space="0" w:color="auto"/>
        <w:bottom w:val="none" w:sz="0" w:space="0" w:color="auto"/>
        <w:right w:val="none" w:sz="0" w:space="0" w:color="auto"/>
      </w:divBdr>
    </w:div>
    <w:div w:id="503597446">
      <w:bodyDiv w:val="1"/>
      <w:marLeft w:val="0"/>
      <w:marRight w:val="0"/>
      <w:marTop w:val="0"/>
      <w:marBottom w:val="0"/>
      <w:divBdr>
        <w:top w:val="none" w:sz="0" w:space="0" w:color="auto"/>
        <w:left w:val="none" w:sz="0" w:space="0" w:color="auto"/>
        <w:bottom w:val="none" w:sz="0" w:space="0" w:color="auto"/>
        <w:right w:val="none" w:sz="0" w:space="0" w:color="auto"/>
      </w:divBdr>
    </w:div>
    <w:div w:id="524293595">
      <w:bodyDiv w:val="1"/>
      <w:marLeft w:val="0"/>
      <w:marRight w:val="0"/>
      <w:marTop w:val="0"/>
      <w:marBottom w:val="0"/>
      <w:divBdr>
        <w:top w:val="none" w:sz="0" w:space="0" w:color="auto"/>
        <w:left w:val="none" w:sz="0" w:space="0" w:color="auto"/>
        <w:bottom w:val="none" w:sz="0" w:space="0" w:color="auto"/>
        <w:right w:val="none" w:sz="0" w:space="0" w:color="auto"/>
      </w:divBdr>
    </w:div>
    <w:div w:id="539830375">
      <w:bodyDiv w:val="1"/>
      <w:marLeft w:val="0"/>
      <w:marRight w:val="0"/>
      <w:marTop w:val="0"/>
      <w:marBottom w:val="0"/>
      <w:divBdr>
        <w:top w:val="none" w:sz="0" w:space="0" w:color="auto"/>
        <w:left w:val="none" w:sz="0" w:space="0" w:color="auto"/>
        <w:bottom w:val="none" w:sz="0" w:space="0" w:color="auto"/>
        <w:right w:val="none" w:sz="0" w:space="0" w:color="auto"/>
      </w:divBdr>
    </w:div>
    <w:div w:id="564603651">
      <w:bodyDiv w:val="1"/>
      <w:marLeft w:val="0"/>
      <w:marRight w:val="0"/>
      <w:marTop w:val="0"/>
      <w:marBottom w:val="0"/>
      <w:divBdr>
        <w:top w:val="none" w:sz="0" w:space="0" w:color="auto"/>
        <w:left w:val="none" w:sz="0" w:space="0" w:color="auto"/>
        <w:bottom w:val="none" w:sz="0" w:space="0" w:color="auto"/>
        <w:right w:val="none" w:sz="0" w:space="0" w:color="auto"/>
      </w:divBdr>
    </w:div>
    <w:div w:id="564607483">
      <w:bodyDiv w:val="1"/>
      <w:marLeft w:val="0"/>
      <w:marRight w:val="0"/>
      <w:marTop w:val="0"/>
      <w:marBottom w:val="0"/>
      <w:divBdr>
        <w:top w:val="none" w:sz="0" w:space="0" w:color="auto"/>
        <w:left w:val="none" w:sz="0" w:space="0" w:color="auto"/>
        <w:bottom w:val="none" w:sz="0" w:space="0" w:color="auto"/>
        <w:right w:val="none" w:sz="0" w:space="0" w:color="auto"/>
      </w:divBdr>
    </w:div>
    <w:div w:id="565729678">
      <w:bodyDiv w:val="1"/>
      <w:marLeft w:val="0"/>
      <w:marRight w:val="0"/>
      <w:marTop w:val="0"/>
      <w:marBottom w:val="0"/>
      <w:divBdr>
        <w:top w:val="none" w:sz="0" w:space="0" w:color="auto"/>
        <w:left w:val="none" w:sz="0" w:space="0" w:color="auto"/>
        <w:bottom w:val="none" w:sz="0" w:space="0" w:color="auto"/>
        <w:right w:val="none" w:sz="0" w:space="0" w:color="auto"/>
      </w:divBdr>
    </w:div>
    <w:div w:id="567694384">
      <w:bodyDiv w:val="1"/>
      <w:marLeft w:val="0"/>
      <w:marRight w:val="0"/>
      <w:marTop w:val="0"/>
      <w:marBottom w:val="0"/>
      <w:divBdr>
        <w:top w:val="none" w:sz="0" w:space="0" w:color="auto"/>
        <w:left w:val="none" w:sz="0" w:space="0" w:color="auto"/>
        <w:bottom w:val="none" w:sz="0" w:space="0" w:color="auto"/>
        <w:right w:val="none" w:sz="0" w:space="0" w:color="auto"/>
      </w:divBdr>
    </w:div>
    <w:div w:id="568417871">
      <w:bodyDiv w:val="1"/>
      <w:marLeft w:val="0"/>
      <w:marRight w:val="0"/>
      <w:marTop w:val="0"/>
      <w:marBottom w:val="0"/>
      <w:divBdr>
        <w:top w:val="none" w:sz="0" w:space="0" w:color="auto"/>
        <w:left w:val="none" w:sz="0" w:space="0" w:color="auto"/>
        <w:bottom w:val="none" w:sz="0" w:space="0" w:color="auto"/>
        <w:right w:val="none" w:sz="0" w:space="0" w:color="auto"/>
      </w:divBdr>
    </w:div>
    <w:div w:id="568542735">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4031256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86177438">
      <w:bodyDiv w:val="1"/>
      <w:marLeft w:val="0"/>
      <w:marRight w:val="0"/>
      <w:marTop w:val="0"/>
      <w:marBottom w:val="0"/>
      <w:divBdr>
        <w:top w:val="none" w:sz="0" w:space="0" w:color="auto"/>
        <w:left w:val="none" w:sz="0" w:space="0" w:color="auto"/>
        <w:bottom w:val="none" w:sz="0" w:space="0" w:color="auto"/>
        <w:right w:val="none" w:sz="0" w:space="0" w:color="auto"/>
      </w:divBdr>
    </w:div>
    <w:div w:id="695036474">
      <w:bodyDiv w:val="1"/>
      <w:marLeft w:val="0"/>
      <w:marRight w:val="0"/>
      <w:marTop w:val="0"/>
      <w:marBottom w:val="0"/>
      <w:divBdr>
        <w:top w:val="none" w:sz="0" w:space="0" w:color="auto"/>
        <w:left w:val="none" w:sz="0" w:space="0" w:color="auto"/>
        <w:bottom w:val="none" w:sz="0" w:space="0" w:color="auto"/>
        <w:right w:val="none" w:sz="0" w:space="0" w:color="auto"/>
      </w:divBdr>
    </w:div>
    <w:div w:id="696085728">
      <w:bodyDiv w:val="1"/>
      <w:marLeft w:val="0"/>
      <w:marRight w:val="0"/>
      <w:marTop w:val="0"/>
      <w:marBottom w:val="0"/>
      <w:divBdr>
        <w:top w:val="none" w:sz="0" w:space="0" w:color="auto"/>
        <w:left w:val="none" w:sz="0" w:space="0" w:color="auto"/>
        <w:bottom w:val="none" w:sz="0" w:space="0" w:color="auto"/>
        <w:right w:val="none" w:sz="0" w:space="0" w:color="auto"/>
      </w:divBdr>
    </w:div>
    <w:div w:id="701588814">
      <w:bodyDiv w:val="1"/>
      <w:marLeft w:val="0"/>
      <w:marRight w:val="0"/>
      <w:marTop w:val="0"/>
      <w:marBottom w:val="0"/>
      <w:divBdr>
        <w:top w:val="none" w:sz="0" w:space="0" w:color="auto"/>
        <w:left w:val="none" w:sz="0" w:space="0" w:color="auto"/>
        <w:bottom w:val="none" w:sz="0" w:space="0" w:color="auto"/>
        <w:right w:val="none" w:sz="0" w:space="0" w:color="auto"/>
      </w:divBdr>
    </w:div>
    <w:div w:id="709375163">
      <w:bodyDiv w:val="1"/>
      <w:marLeft w:val="0"/>
      <w:marRight w:val="0"/>
      <w:marTop w:val="0"/>
      <w:marBottom w:val="0"/>
      <w:divBdr>
        <w:top w:val="none" w:sz="0" w:space="0" w:color="auto"/>
        <w:left w:val="none" w:sz="0" w:space="0" w:color="auto"/>
        <w:bottom w:val="none" w:sz="0" w:space="0" w:color="auto"/>
        <w:right w:val="none" w:sz="0" w:space="0" w:color="auto"/>
      </w:divBdr>
    </w:div>
    <w:div w:id="714473499">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729425210">
      <w:bodyDiv w:val="1"/>
      <w:marLeft w:val="0"/>
      <w:marRight w:val="0"/>
      <w:marTop w:val="0"/>
      <w:marBottom w:val="0"/>
      <w:divBdr>
        <w:top w:val="none" w:sz="0" w:space="0" w:color="auto"/>
        <w:left w:val="none" w:sz="0" w:space="0" w:color="auto"/>
        <w:bottom w:val="none" w:sz="0" w:space="0" w:color="auto"/>
        <w:right w:val="none" w:sz="0" w:space="0" w:color="auto"/>
      </w:divBdr>
    </w:div>
    <w:div w:id="732584005">
      <w:bodyDiv w:val="1"/>
      <w:marLeft w:val="0"/>
      <w:marRight w:val="0"/>
      <w:marTop w:val="0"/>
      <w:marBottom w:val="0"/>
      <w:divBdr>
        <w:top w:val="none" w:sz="0" w:space="0" w:color="auto"/>
        <w:left w:val="none" w:sz="0" w:space="0" w:color="auto"/>
        <w:bottom w:val="none" w:sz="0" w:space="0" w:color="auto"/>
        <w:right w:val="none" w:sz="0" w:space="0" w:color="auto"/>
      </w:divBdr>
    </w:div>
    <w:div w:id="735712905">
      <w:bodyDiv w:val="1"/>
      <w:marLeft w:val="0"/>
      <w:marRight w:val="0"/>
      <w:marTop w:val="0"/>
      <w:marBottom w:val="0"/>
      <w:divBdr>
        <w:top w:val="none" w:sz="0" w:space="0" w:color="auto"/>
        <w:left w:val="none" w:sz="0" w:space="0" w:color="auto"/>
        <w:bottom w:val="none" w:sz="0" w:space="0" w:color="auto"/>
        <w:right w:val="none" w:sz="0" w:space="0" w:color="auto"/>
      </w:divBdr>
    </w:div>
    <w:div w:id="740324700">
      <w:bodyDiv w:val="1"/>
      <w:marLeft w:val="0"/>
      <w:marRight w:val="0"/>
      <w:marTop w:val="0"/>
      <w:marBottom w:val="0"/>
      <w:divBdr>
        <w:top w:val="none" w:sz="0" w:space="0" w:color="auto"/>
        <w:left w:val="none" w:sz="0" w:space="0" w:color="auto"/>
        <w:bottom w:val="none" w:sz="0" w:space="0" w:color="auto"/>
        <w:right w:val="none" w:sz="0" w:space="0" w:color="auto"/>
      </w:divBdr>
    </w:div>
    <w:div w:id="769156285">
      <w:bodyDiv w:val="1"/>
      <w:marLeft w:val="0"/>
      <w:marRight w:val="0"/>
      <w:marTop w:val="0"/>
      <w:marBottom w:val="0"/>
      <w:divBdr>
        <w:top w:val="none" w:sz="0" w:space="0" w:color="auto"/>
        <w:left w:val="none" w:sz="0" w:space="0" w:color="auto"/>
        <w:bottom w:val="none" w:sz="0" w:space="0" w:color="auto"/>
        <w:right w:val="none" w:sz="0" w:space="0" w:color="auto"/>
      </w:divBdr>
      <w:divsChild>
        <w:div w:id="686055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087657">
              <w:marLeft w:val="0"/>
              <w:marRight w:val="0"/>
              <w:marTop w:val="0"/>
              <w:marBottom w:val="0"/>
              <w:divBdr>
                <w:top w:val="none" w:sz="0" w:space="0" w:color="auto"/>
                <w:left w:val="none" w:sz="0" w:space="0" w:color="auto"/>
                <w:bottom w:val="none" w:sz="0" w:space="0" w:color="auto"/>
                <w:right w:val="none" w:sz="0" w:space="0" w:color="auto"/>
              </w:divBdr>
              <w:divsChild>
                <w:div w:id="1212423312">
                  <w:marLeft w:val="0"/>
                  <w:marRight w:val="0"/>
                  <w:marTop w:val="0"/>
                  <w:marBottom w:val="0"/>
                  <w:divBdr>
                    <w:top w:val="none" w:sz="0" w:space="0" w:color="auto"/>
                    <w:left w:val="none" w:sz="0" w:space="0" w:color="auto"/>
                    <w:bottom w:val="none" w:sz="0" w:space="0" w:color="auto"/>
                    <w:right w:val="none" w:sz="0" w:space="0" w:color="auto"/>
                  </w:divBdr>
                  <w:divsChild>
                    <w:div w:id="19757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095610">
      <w:bodyDiv w:val="1"/>
      <w:marLeft w:val="0"/>
      <w:marRight w:val="0"/>
      <w:marTop w:val="0"/>
      <w:marBottom w:val="0"/>
      <w:divBdr>
        <w:top w:val="none" w:sz="0" w:space="0" w:color="auto"/>
        <w:left w:val="none" w:sz="0" w:space="0" w:color="auto"/>
        <w:bottom w:val="none" w:sz="0" w:space="0" w:color="auto"/>
        <w:right w:val="none" w:sz="0" w:space="0" w:color="auto"/>
      </w:divBdr>
    </w:div>
    <w:div w:id="778109797">
      <w:bodyDiv w:val="1"/>
      <w:marLeft w:val="0"/>
      <w:marRight w:val="0"/>
      <w:marTop w:val="0"/>
      <w:marBottom w:val="0"/>
      <w:divBdr>
        <w:top w:val="none" w:sz="0" w:space="0" w:color="auto"/>
        <w:left w:val="none" w:sz="0" w:space="0" w:color="auto"/>
        <w:bottom w:val="none" w:sz="0" w:space="0" w:color="auto"/>
        <w:right w:val="none" w:sz="0" w:space="0" w:color="auto"/>
      </w:divBdr>
    </w:div>
    <w:div w:id="796072166">
      <w:bodyDiv w:val="1"/>
      <w:marLeft w:val="0"/>
      <w:marRight w:val="0"/>
      <w:marTop w:val="0"/>
      <w:marBottom w:val="0"/>
      <w:divBdr>
        <w:top w:val="none" w:sz="0" w:space="0" w:color="auto"/>
        <w:left w:val="none" w:sz="0" w:space="0" w:color="auto"/>
        <w:bottom w:val="none" w:sz="0" w:space="0" w:color="auto"/>
        <w:right w:val="none" w:sz="0" w:space="0" w:color="auto"/>
      </w:divBdr>
    </w:div>
    <w:div w:id="804201019">
      <w:bodyDiv w:val="1"/>
      <w:marLeft w:val="0"/>
      <w:marRight w:val="0"/>
      <w:marTop w:val="0"/>
      <w:marBottom w:val="0"/>
      <w:divBdr>
        <w:top w:val="none" w:sz="0" w:space="0" w:color="auto"/>
        <w:left w:val="none" w:sz="0" w:space="0" w:color="auto"/>
        <w:bottom w:val="none" w:sz="0" w:space="0" w:color="auto"/>
        <w:right w:val="none" w:sz="0" w:space="0" w:color="auto"/>
      </w:divBdr>
    </w:div>
    <w:div w:id="834496044">
      <w:bodyDiv w:val="1"/>
      <w:marLeft w:val="0"/>
      <w:marRight w:val="0"/>
      <w:marTop w:val="0"/>
      <w:marBottom w:val="0"/>
      <w:divBdr>
        <w:top w:val="none" w:sz="0" w:space="0" w:color="auto"/>
        <w:left w:val="none" w:sz="0" w:space="0" w:color="auto"/>
        <w:bottom w:val="none" w:sz="0" w:space="0" w:color="auto"/>
        <w:right w:val="none" w:sz="0" w:space="0" w:color="auto"/>
      </w:divBdr>
    </w:div>
    <w:div w:id="835002148">
      <w:bodyDiv w:val="1"/>
      <w:marLeft w:val="0"/>
      <w:marRight w:val="0"/>
      <w:marTop w:val="0"/>
      <w:marBottom w:val="0"/>
      <w:divBdr>
        <w:top w:val="none" w:sz="0" w:space="0" w:color="auto"/>
        <w:left w:val="none" w:sz="0" w:space="0" w:color="auto"/>
        <w:bottom w:val="none" w:sz="0" w:space="0" w:color="auto"/>
        <w:right w:val="none" w:sz="0" w:space="0" w:color="auto"/>
      </w:divBdr>
    </w:div>
    <w:div w:id="865295504">
      <w:bodyDiv w:val="1"/>
      <w:marLeft w:val="0"/>
      <w:marRight w:val="0"/>
      <w:marTop w:val="0"/>
      <w:marBottom w:val="0"/>
      <w:divBdr>
        <w:top w:val="none" w:sz="0" w:space="0" w:color="auto"/>
        <w:left w:val="none" w:sz="0" w:space="0" w:color="auto"/>
        <w:bottom w:val="none" w:sz="0" w:space="0" w:color="auto"/>
        <w:right w:val="none" w:sz="0" w:space="0" w:color="auto"/>
      </w:divBdr>
    </w:div>
    <w:div w:id="868177682">
      <w:bodyDiv w:val="1"/>
      <w:marLeft w:val="0"/>
      <w:marRight w:val="0"/>
      <w:marTop w:val="0"/>
      <w:marBottom w:val="0"/>
      <w:divBdr>
        <w:top w:val="none" w:sz="0" w:space="0" w:color="auto"/>
        <w:left w:val="none" w:sz="0" w:space="0" w:color="auto"/>
        <w:bottom w:val="none" w:sz="0" w:space="0" w:color="auto"/>
        <w:right w:val="none" w:sz="0" w:space="0" w:color="auto"/>
      </w:divBdr>
    </w:div>
    <w:div w:id="889001327">
      <w:bodyDiv w:val="1"/>
      <w:marLeft w:val="0"/>
      <w:marRight w:val="0"/>
      <w:marTop w:val="0"/>
      <w:marBottom w:val="0"/>
      <w:divBdr>
        <w:top w:val="none" w:sz="0" w:space="0" w:color="auto"/>
        <w:left w:val="none" w:sz="0" w:space="0" w:color="auto"/>
        <w:bottom w:val="none" w:sz="0" w:space="0" w:color="auto"/>
        <w:right w:val="none" w:sz="0" w:space="0" w:color="auto"/>
      </w:divBdr>
    </w:div>
    <w:div w:id="889152845">
      <w:bodyDiv w:val="1"/>
      <w:marLeft w:val="0"/>
      <w:marRight w:val="0"/>
      <w:marTop w:val="0"/>
      <w:marBottom w:val="0"/>
      <w:divBdr>
        <w:top w:val="none" w:sz="0" w:space="0" w:color="auto"/>
        <w:left w:val="none" w:sz="0" w:space="0" w:color="auto"/>
        <w:bottom w:val="none" w:sz="0" w:space="0" w:color="auto"/>
        <w:right w:val="none" w:sz="0" w:space="0" w:color="auto"/>
      </w:divBdr>
    </w:div>
    <w:div w:id="947353911">
      <w:bodyDiv w:val="1"/>
      <w:marLeft w:val="0"/>
      <w:marRight w:val="0"/>
      <w:marTop w:val="0"/>
      <w:marBottom w:val="0"/>
      <w:divBdr>
        <w:top w:val="none" w:sz="0" w:space="0" w:color="auto"/>
        <w:left w:val="none" w:sz="0" w:space="0" w:color="auto"/>
        <w:bottom w:val="none" w:sz="0" w:space="0" w:color="auto"/>
        <w:right w:val="none" w:sz="0" w:space="0" w:color="auto"/>
      </w:divBdr>
    </w:div>
    <w:div w:id="960645438">
      <w:bodyDiv w:val="1"/>
      <w:marLeft w:val="0"/>
      <w:marRight w:val="0"/>
      <w:marTop w:val="0"/>
      <w:marBottom w:val="0"/>
      <w:divBdr>
        <w:top w:val="none" w:sz="0" w:space="0" w:color="auto"/>
        <w:left w:val="none" w:sz="0" w:space="0" w:color="auto"/>
        <w:bottom w:val="none" w:sz="0" w:space="0" w:color="auto"/>
        <w:right w:val="none" w:sz="0" w:space="0" w:color="auto"/>
      </w:divBdr>
    </w:div>
    <w:div w:id="1006322917">
      <w:bodyDiv w:val="1"/>
      <w:marLeft w:val="0"/>
      <w:marRight w:val="0"/>
      <w:marTop w:val="0"/>
      <w:marBottom w:val="0"/>
      <w:divBdr>
        <w:top w:val="none" w:sz="0" w:space="0" w:color="auto"/>
        <w:left w:val="none" w:sz="0" w:space="0" w:color="auto"/>
        <w:bottom w:val="none" w:sz="0" w:space="0" w:color="auto"/>
        <w:right w:val="none" w:sz="0" w:space="0" w:color="auto"/>
      </w:divBdr>
    </w:div>
    <w:div w:id="1013069355">
      <w:bodyDiv w:val="1"/>
      <w:marLeft w:val="0"/>
      <w:marRight w:val="0"/>
      <w:marTop w:val="0"/>
      <w:marBottom w:val="0"/>
      <w:divBdr>
        <w:top w:val="none" w:sz="0" w:space="0" w:color="auto"/>
        <w:left w:val="none" w:sz="0" w:space="0" w:color="auto"/>
        <w:bottom w:val="none" w:sz="0" w:space="0" w:color="auto"/>
        <w:right w:val="none" w:sz="0" w:space="0" w:color="auto"/>
      </w:divBdr>
    </w:div>
    <w:div w:id="1013647091">
      <w:bodyDiv w:val="1"/>
      <w:marLeft w:val="0"/>
      <w:marRight w:val="0"/>
      <w:marTop w:val="0"/>
      <w:marBottom w:val="0"/>
      <w:divBdr>
        <w:top w:val="none" w:sz="0" w:space="0" w:color="auto"/>
        <w:left w:val="none" w:sz="0" w:space="0" w:color="auto"/>
        <w:bottom w:val="none" w:sz="0" w:space="0" w:color="auto"/>
        <w:right w:val="none" w:sz="0" w:space="0" w:color="auto"/>
      </w:divBdr>
    </w:div>
    <w:div w:id="1028678439">
      <w:bodyDiv w:val="1"/>
      <w:marLeft w:val="0"/>
      <w:marRight w:val="0"/>
      <w:marTop w:val="0"/>
      <w:marBottom w:val="0"/>
      <w:divBdr>
        <w:top w:val="none" w:sz="0" w:space="0" w:color="auto"/>
        <w:left w:val="none" w:sz="0" w:space="0" w:color="auto"/>
        <w:bottom w:val="none" w:sz="0" w:space="0" w:color="auto"/>
        <w:right w:val="none" w:sz="0" w:space="0" w:color="auto"/>
      </w:divBdr>
    </w:div>
    <w:div w:id="1047606732">
      <w:bodyDiv w:val="1"/>
      <w:marLeft w:val="0"/>
      <w:marRight w:val="0"/>
      <w:marTop w:val="0"/>
      <w:marBottom w:val="0"/>
      <w:divBdr>
        <w:top w:val="none" w:sz="0" w:space="0" w:color="auto"/>
        <w:left w:val="none" w:sz="0" w:space="0" w:color="auto"/>
        <w:bottom w:val="none" w:sz="0" w:space="0" w:color="auto"/>
        <w:right w:val="none" w:sz="0" w:space="0" w:color="auto"/>
      </w:divBdr>
    </w:div>
    <w:div w:id="1089079056">
      <w:bodyDiv w:val="1"/>
      <w:marLeft w:val="0"/>
      <w:marRight w:val="0"/>
      <w:marTop w:val="0"/>
      <w:marBottom w:val="0"/>
      <w:divBdr>
        <w:top w:val="none" w:sz="0" w:space="0" w:color="auto"/>
        <w:left w:val="none" w:sz="0" w:space="0" w:color="auto"/>
        <w:bottom w:val="none" w:sz="0" w:space="0" w:color="auto"/>
        <w:right w:val="none" w:sz="0" w:space="0" w:color="auto"/>
      </w:divBdr>
    </w:div>
    <w:div w:id="110461514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170481956">
      <w:bodyDiv w:val="1"/>
      <w:marLeft w:val="0"/>
      <w:marRight w:val="0"/>
      <w:marTop w:val="0"/>
      <w:marBottom w:val="0"/>
      <w:divBdr>
        <w:top w:val="none" w:sz="0" w:space="0" w:color="auto"/>
        <w:left w:val="none" w:sz="0" w:space="0" w:color="auto"/>
        <w:bottom w:val="none" w:sz="0" w:space="0" w:color="auto"/>
        <w:right w:val="none" w:sz="0" w:space="0" w:color="auto"/>
      </w:divBdr>
    </w:div>
    <w:div w:id="1201355632">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13155122">
      <w:bodyDiv w:val="1"/>
      <w:marLeft w:val="0"/>
      <w:marRight w:val="0"/>
      <w:marTop w:val="0"/>
      <w:marBottom w:val="0"/>
      <w:divBdr>
        <w:top w:val="none" w:sz="0" w:space="0" w:color="auto"/>
        <w:left w:val="none" w:sz="0" w:space="0" w:color="auto"/>
        <w:bottom w:val="none" w:sz="0" w:space="0" w:color="auto"/>
        <w:right w:val="none" w:sz="0" w:space="0" w:color="auto"/>
      </w:divBdr>
    </w:div>
    <w:div w:id="1230074201">
      <w:bodyDiv w:val="1"/>
      <w:marLeft w:val="0"/>
      <w:marRight w:val="0"/>
      <w:marTop w:val="0"/>
      <w:marBottom w:val="0"/>
      <w:divBdr>
        <w:top w:val="none" w:sz="0" w:space="0" w:color="auto"/>
        <w:left w:val="none" w:sz="0" w:space="0" w:color="auto"/>
        <w:bottom w:val="none" w:sz="0" w:space="0" w:color="auto"/>
        <w:right w:val="none" w:sz="0" w:space="0" w:color="auto"/>
      </w:divBdr>
    </w:div>
    <w:div w:id="1286623984">
      <w:bodyDiv w:val="1"/>
      <w:marLeft w:val="0"/>
      <w:marRight w:val="0"/>
      <w:marTop w:val="0"/>
      <w:marBottom w:val="0"/>
      <w:divBdr>
        <w:top w:val="none" w:sz="0" w:space="0" w:color="auto"/>
        <w:left w:val="none" w:sz="0" w:space="0" w:color="auto"/>
        <w:bottom w:val="none" w:sz="0" w:space="0" w:color="auto"/>
        <w:right w:val="none" w:sz="0" w:space="0" w:color="auto"/>
      </w:divBdr>
    </w:div>
    <w:div w:id="1287008418">
      <w:bodyDiv w:val="1"/>
      <w:marLeft w:val="0"/>
      <w:marRight w:val="0"/>
      <w:marTop w:val="0"/>
      <w:marBottom w:val="0"/>
      <w:divBdr>
        <w:top w:val="none" w:sz="0" w:space="0" w:color="auto"/>
        <w:left w:val="none" w:sz="0" w:space="0" w:color="auto"/>
        <w:bottom w:val="none" w:sz="0" w:space="0" w:color="auto"/>
        <w:right w:val="none" w:sz="0" w:space="0" w:color="auto"/>
      </w:divBdr>
    </w:div>
    <w:div w:id="1312632466">
      <w:bodyDiv w:val="1"/>
      <w:marLeft w:val="0"/>
      <w:marRight w:val="0"/>
      <w:marTop w:val="0"/>
      <w:marBottom w:val="0"/>
      <w:divBdr>
        <w:top w:val="none" w:sz="0" w:space="0" w:color="auto"/>
        <w:left w:val="none" w:sz="0" w:space="0" w:color="auto"/>
        <w:bottom w:val="none" w:sz="0" w:space="0" w:color="auto"/>
        <w:right w:val="none" w:sz="0" w:space="0" w:color="auto"/>
      </w:divBdr>
    </w:div>
    <w:div w:id="1329282496">
      <w:bodyDiv w:val="1"/>
      <w:marLeft w:val="0"/>
      <w:marRight w:val="0"/>
      <w:marTop w:val="0"/>
      <w:marBottom w:val="0"/>
      <w:divBdr>
        <w:top w:val="none" w:sz="0" w:space="0" w:color="auto"/>
        <w:left w:val="none" w:sz="0" w:space="0" w:color="auto"/>
        <w:bottom w:val="none" w:sz="0" w:space="0" w:color="auto"/>
        <w:right w:val="none" w:sz="0" w:space="0" w:color="auto"/>
      </w:divBdr>
    </w:div>
    <w:div w:id="1332412988">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677671">
      <w:bodyDiv w:val="1"/>
      <w:marLeft w:val="0"/>
      <w:marRight w:val="0"/>
      <w:marTop w:val="0"/>
      <w:marBottom w:val="0"/>
      <w:divBdr>
        <w:top w:val="none" w:sz="0" w:space="0" w:color="auto"/>
        <w:left w:val="none" w:sz="0" w:space="0" w:color="auto"/>
        <w:bottom w:val="none" w:sz="0" w:space="0" w:color="auto"/>
        <w:right w:val="none" w:sz="0" w:space="0" w:color="auto"/>
      </w:divBdr>
    </w:div>
    <w:div w:id="1369407199">
      <w:bodyDiv w:val="1"/>
      <w:marLeft w:val="0"/>
      <w:marRight w:val="0"/>
      <w:marTop w:val="0"/>
      <w:marBottom w:val="0"/>
      <w:divBdr>
        <w:top w:val="none" w:sz="0" w:space="0" w:color="auto"/>
        <w:left w:val="none" w:sz="0" w:space="0" w:color="auto"/>
        <w:bottom w:val="none" w:sz="0" w:space="0" w:color="auto"/>
        <w:right w:val="none" w:sz="0" w:space="0" w:color="auto"/>
      </w:divBdr>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26532737">
      <w:bodyDiv w:val="1"/>
      <w:marLeft w:val="0"/>
      <w:marRight w:val="0"/>
      <w:marTop w:val="0"/>
      <w:marBottom w:val="0"/>
      <w:divBdr>
        <w:top w:val="none" w:sz="0" w:space="0" w:color="auto"/>
        <w:left w:val="none" w:sz="0" w:space="0" w:color="auto"/>
        <w:bottom w:val="none" w:sz="0" w:space="0" w:color="auto"/>
        <w:right w:val="none" w:sz="0" w:space="0" w:color="auto"/>
      </w:divBdr>
    </w:div>
    <w:div w:id="1460151481">
      <w:bodyDiv w:val="1"/>
      <w:marLeft w:val="0"/>
      <w:marRight w:val="0"/>
      <w:marTop w:val="0"/>
      <w:marBottom w:val="0"/>
      <w:divBdr>
        <w:top w:val="none" w:sz="0" w:space="0" w:color="auto"/>
        <w:left w:val="none" w:sz="0" w:space="0" w:color="auto"/>
        <w:bottom w:val="none" w:sz="0" w:space="0" w:color="auto"/>
        <w:right w:val="none" w:sz="0" w:space="0" w:color="auto"/>
      </w:divBdr>
    </w:div>
    <w:div w:id="1465004598">
      <w:bodyDiv w:val="1"/>
      <w:marLeft w:val="0"/>
      <w:marRight w:val="0"/>
      <w:marTop w:val="0"/>
      <w:marBottom w:val="0"/>
      <w:divBdr>
        <w:top w:val="none" w:sz="0" w:space="0" w:color="auto"/>
        <w:left w:val="none" w:sz="0" w:space="0" w:color="auto"/>
        <w:bottom w:val="none" w:sz="0" w:space="0" w:color="auto"/>
        <w:right w:val="none" w:sz="0" w:space="0" w:color="auto"/>
      </w:divBdr>
    </w:div>
    <w:div w:id="1470900558">
      <w:bodyDiv w:val="1"/>
      <w:marLeft w:val="0"/>
      <w:marRight w:val="0"/>
      <w:marTop w:val="0"/>
      <w:marBottom w:val="0"/>
      <w:divBdr>
        <w:top w:val="none" w:sz="0" w:space="0" w:color="auto"/>
        <w:left w:val="none" w:sz="0" w:space="0" w:color="auto"/>
        <w:bottom w:val="none" w:sz="0" w:space="0" w:color="auto"/>
        <w:right w:val="none" w:sz="0" w:space="0" w:color="auto"/>
      </w:divBdr>
    </w:div>
    <w:div w:id="1485463052">
      <w:bodyDiv w:val="1"/>
      <w:marLeft w:val="0"/>
      <w:marRight w:val="0"/>
      <w:marTop w:val="0"/>
      <w:marBottom w:val="0"/>
      <w:divBdr>
        <w:top w:val="none" w:sz="0" w:space="0" w:color="auto"/>
        <w:left w:val="none" w:sz="0" w:space="0" w:color="auto"/>
        <w:bottom w:val="none" w:sz="0" w:space="0" w:color="auto"/>
        <w:right w:val="none" w:sz="0" w:space="0" w:color="auto"/>
      </w:divBdr>
    </w:div>
    <w:div w:id="1485774322">
      <w:bodyDiv w:val="1"/>
      <w:marLeft w:val="0"/>
      <w:marRight w:val="0"/>
      <w:marTop w:val="0"/>
      <w:marBottom w:val="0"/>
      <w:divBdr>
        <w:top w:val="none" w:sz="0" w:space="0" w:color="auto"/>
        <w:left w:val="none" w:sz="0" w:space="0" w:color="auto"/>
        <w:bottom w:val="none" w:sz="0" w:space="0" w:color="auto"/>
        <w:right w:val="none" w:sz="0" w:space="0" w:color="auto"/>
      </w:divBdr>
    </w:div>
    <w:div w:id="1506483013">
      <w:bodyDiv w:val="1"/>
      <w:marLeft w:val="0"/>
      <w:marRight w:val="0"/>
      <w:marTop w:val="0"/>
      <w:marBottom w:val="0"/>
      <w:divBdr>
        <w:top w:val="none" w:sz="0" w:space="0" w:color="auto"/>
        <w:left w:val="none" w:sz="0" w:space="0" w:color="auto"/>
        <w:bottom w:val="none" w:sz="0" w:space="0" w:color="auto"/>
        <w:right w:val="none" w:sz="0" w:space="0" w:color="auto"/>
      </w:divBdr>
    </w:div>
    <w:div w:id="1527333463">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1569749">
      <w:bodyDiv w:val="1"/>
      <w:marLeft w:val="0"/>
      <w:marRight w:val="0"/>
      <w:marTop w:val="0"/>
      <w:marBottom w:val="0"/>
      <w:divBdr>
        <w:top w:val="none" w:sz="0" w:space="0" w:color="auto"/>
        <w:left w:val="none" w:sz="0" w:space="0" w:color="auto"/>
        <w:bottom w:val="none" w:sz="0" w:space="0" w:color="auto"/>
        <w:right w:val="none" w:sz="0" w:space="0" w:color="auto"/>
      </w:divBdr>
    </w:div>
    <w:div w:id="1579511317">
      <w:bodyDiv w:val="1"/>
      <w:marLeft w:val="0"/>
      <w:marRight w:val="0"/>
      <w:marTop w:val="0"/>
      <w:marBottom w:val="0"/>
      <w:divBdr>
        <w:top w:val="none" w:sz="0" w:space="0" w:color="auto"/>
        <w:left w:val="none" w:sz="0" w:space="0" w:color="auto"/>
        <w:bottom w:val="none" w:sz="0" w:space="0" w:color="auto"/>
        <w:right w:val="none" w:sz="0" w:space="0" w:color="auto"/>
      </w:divBdr>
    </w:div>
    <w:div w:id="1595357557">
      <w:bodyDiv w:val="1"/>
      <w:marLeft w:val="0"/>
      <w:marRight w:val="0"/>
      <w:marTop w:val="0"/>
      <w:marBottom w:val="0"/>
      <w:divBdr>
        <w:top w:val="none" w:sz="0" w:space="0" w:color="auto"/>
        <w:left w:val="none" w:sz="0" w:space="0" w:color="auto"/>
        <w:bottom w:val="none" w:sz="0" w:space="0" w:color="auto"/>
        <w:right w:val="none" w:sz="0" w:space="0" w:color="auto"/>
      </w:divBdr>
    </w:div>
    <w:div w:id="1605847119">
      <w:bodyDiv w:val="1"/>
      <w:marLeft w:val="0"/>
      <w:marRight w:val="0"/>
      <w:marTop w:val="0"/>
      <w:marBottom w:val="0"/>
      <w:divBdr>
        <w:top w:val="none" w:sz="0" w:space="0" w:color="auto"/>
        <w:left w:val="none" w:sz="0" w:space="0" w:color="auto"/>
        <w:bottom w:val="none" w:sz="0" w:space="0" w:color="auto"/>
        <w:right w:val="none" w:sz="0" w:space="0" w:color="auto"/>
      </w:divBdr>
    </w:div>
    <w:div w:id="1609853032">
      <w:bodyDiv w:val="1"/>
      <w:marLeft w:val="0"/>
      <w:marRight w:val="0"/>
      <w:marTop w:val="0"/>
      <w:marBottom w:val="0"/>
      <w:divBdr>
        <w:top w:val="none" w:sz="0" w:space="0" w:color="auto"/>
        <w:left w:val="none" w:sz="0" w:space="0" w:color="auto"/>
        <w:bottom w:val="none" w:sz="0" w:space="0" w:color="auto"/>
        <w:right w:val="none" w:sz="0" w:space="0" w:color="auto"/>
      </w:divBdr>
    </w:div>
    <w:div w:id="1616718833">
      <w:bodyDiv w:val="1"/>
      <w:marLeft w:val="0"/>
      <w:marRight w:val="0"/>
      <w:marTop w:val="0"/>
      <w:marBottom w:val="0"/>
      <w:divBdr>
        <w:top w:val="none" w:sz="0" w:space="0" w:color="auto"/>
        <w:left w:val="none" w:sz="0" w:space="0" w:color="auto"/>
        <w:bottom w:val="none" w:sz="0" w:space="0" w:color="auto"/>
        <w:right w:val="none" w:sz="0" w:space="0" w:color="auto"/>
      </w:divBdr>
    </w:div>
    <w:div w:id="1664621296">
      <w:bodyDiv w:val="1"/>
      <w:marLeft w:val="0"/>
      <w:marRight w:val="0"/>
      <w:marTop w:val="0"/>
      <w:marBottom w:val="0"/>
      <w:divBdr>
        <w:top w:val="none" w:sz="0" w:space="0" w:color="auto"/>
        <w:left w:val="none" w:sz="0" w:space="0" w:color="auto"/>
        <w:bottom w:val="none" w:sz="0" w:space="0" w:color="auto"/>
        <w:right w:val="none" w:sz="0" w:space="0" w:color="auto"/>
      </w:divBdr>
    </w:div>
    <w:div w:id="1670329188">
      <w:bodyDiv w:val="1"/>
      <w:marLeft w:val="0"/>
      <w:marRight w:val="0"/>
      <w:marTop w:val="0"/>
      <w:marBottom w:val="0"/>
      <w:divBdr>
        <w:top w:val="none" w:sz="0" w:space="0" w:color="auto"/>
        <w:left w:val="none" w:sz="0" w:space="0" w:color="auto"/>
        <w:bottom w:val="none" w:sz="0" w:space="0" w:color="auto"/>
        <w:right w:val="none" w:sz="0" w:space="0" w:color="auto"/>
      </w:divBdr>
    </w:div>
    <w:div w:id="1670988066">
      <w:bodyDiv w:val="1"/>
      <w:marLeft w:val="0"/>
      <w:marRight w:val="0"/>
      <w:marTop w:val="0"/>
      <w:marBottom w:val="0"/>
      <w:divBdr>
        <w:top w:val="none" w:sz="0" w:space="0" w:color="auto"/>
        <w:left w:val="none" w:sz="0" w:space="0" w:color="auto"/>
        <w:bottom w:val="none" w:sz="0" w:space="0" w:color="auto"/>
        <w:right w:val="none" w:sz="0" w:space="0" w:color="auto"/>
      </w:divBdr>
    </w:div>
    <w:div w:id="1678650338">
      <w:bodyDiv w:val="1"/>
      <w:marLeft w:val="0"/>
      <w:marRight w:val="0"/>
      <w:marTop w:val="0"/>
      <w:marBottom w:val="0"/>
      <w:divBdr>
        <w:top w:val="none" w:sz="0" w:space="0" w:color="auto"/>
        <w:left w:val="none" w:sz="0" w:space="0" w:color="auto"/>
        <w:bottom w:val="none" w:sz="0" w:space="0" w:color="auto"/>
        <w:right w:val="none" w:sz="0" w:space="0" w:color="auto"/>
      </w:divBdr>
    </w:div>
    <w:div w:id="1697122788">
      <w:bodyDiv w:val="1"/>
      <w:marLeft w:val="0"/>
      <w:marRight w:val="0"/>
      <w:marTop w:val="0"/>
      <w:marBottom w:val="0"/>
      <w:divBdr>
        <w:top w:val="none" w:sz="0" w:space="0" w:color="auto"/>
        <w:left w:val="none" w:sz="0" w:space="0" w:color="auto"/>
        <w:bottom w:val="none" w:sz="0" w:space="0" w:color="auto"/>
        <w:right w:val="none" w:sz="0" w:space="0" w:color="auto"/>
      </w:divBdr>
    </w:div>
    <w:div w:id="1752460571">
      <w:bodyDiv w:val="1"/>
      <w:marLeft w:val="0"/>
      <w:marRight w:val="0"/>
      <w:marTop w:val="0"/>
      <w:marBottom w:val="0"/>
      <w:divBdr>
        <w:top w:val="none" w:sz="0" w:space="0" w:color="auto"/>
        <w:left w:val="none" w:sz="0" w:space="0" w:color="auto"/>
        <w:bottom w:val="none" w:sz="0" w:space="0" w:color="auto"/>
        <w:right w:val="none" w:sz="0" w:space="0" w:color="auto"/>
      </w:divBdr>
    </w:div>
    <w:div w:id="1752774284">
      <w:bodyDiv w:val="1"/>
      <w:marLeft w:val="0"/>
      <w:marRight w:val="0"/>
      <w:marTop w:val="0"/>
      <w:marBottom w:val="0"/>
      <w:divBdr>
        <w:top w:val="none" w:sz="0" w:space="0" w:color="auto"/>
        <w:left w:val="none" w:sz="0" w:space="0" w:color="auto"/>
        <w:bottom w:val="none" w:sz="0" w:space="0" w:color="auto"/>
        <w:right w:val="none" w:sz="0" w:space="0" w:color="auto"/>
      </w:divBdr>
    </w:div>
    <w:div w:id="1765685826">
      <w:bodyDiv w:val="1"/>
      <w:marLeft w:val="0"/>
      <w:marRight w:val="0"/>
      <w:marTop w:val="0"/>
      <w:marBottom w:val="0"/>
      <w:divBdr>
        <w:top w:val="none" w:sz="0" w:space="0" w:color="auto"/>
        <w:left w:val="none" w:sz="0" w:space="0" w:color="auto"/>
        <w:bottom w:val="none" w:sz="0" w:space="0" w:color="auto"/>
        <w:right w:val="none" w:sz="0" w:space="0" w:color="auto"/>
      </w:divBdr>
    </w:div>
    <w:div w:id="1776173429">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29245927">
      <w:bodyDiv w:val="1"/>
      <w:marLeft w:val="0"/>
      <w:marRight w:val="0"/>
      <w:marTop w:val="0"/>
      <w:marBottom w:val="0"/>
      <w:divBdr>
        <w:top w:val="none" w:sz="0" w:space="0" w:color="auto"/>
        <w:left w:val="none" w:sz="0" w:space="0" w:color="auto"/>
        <w:bottom w:val="none" w:sz="0" w:space="0" w:color="auto"/>
        <w:right w:val="none" w:sz="0" w:space="0" w:color="auto"/>
      </w:divBdr>
    </w:div>
    <w:div w:id="1846699801">
      <w:bodyDiv w:val="1"/>
      <w:marLeft w:val="0"/>
      <w:marRight w:val="0"/>
      <w:marTop w:val="0"/>
      <w:marBottom w:val="0"/>
      <w:divBdr>
        <w:top w:val="none" w:sz="0" w:space="0" w:color="auto"/>
        <w:left w:val="none" w:sz="0" w:space="0" w:color="auto"/>
        <w:bottom w:val="none" w:sz="0" w:space="0" w:color="auto"/>
        <w:right w:val="none" w:sz="0" w:space="0" w:color="auto"/>
      </w:divBdr>
    </w:div>
    <w:div w:id="1851677574">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1923291626">
      <w:bodyDiv w:val="1"/>
      <w:marLeft w:val="0"/>
      <w:marRight w:val="0"/>
      <w:marTop w:val="0"/>
      <w:marBottom w:val="0"/>
      <w:divBdr>
        <w:top w:val="none" w:sz="0" w:space="0" w:color="auto"/>
        <w:left w:val="none" w:sz="0" w:space="0" w:color="auto"/>
        <w:bottom w:val="none" w:sz="0" w:space="0" w:color="auto"/>
        <w:right w:val="none" w:sz="0" w:space="0" w:color="auto"/>
      </w:divBdr>
    </w:div>
    <w:div w:id="1945140335">
      <w:bodyDiv w:val="1"/>
      <w:marLeft w:val="0"/>
      <w:marRight w:val="0"/>
      <w:marTop w:val="0"/>
      <w:marBottom w:val="0"/>
      <w:divBdr>
        <w:top w:val="none" w:sz="0" w:space="0" w:color="auto"/>
        <w:left w:val="none" w:sz="0" w:space="0" w:color="auto"/>
        <w:bottom w:val="none" w:sz="0" w:space="0" w:color="auto"/>
        <w:right w:val="none" w:sz="0" w:space="0" w:color="auto"/>
      </w:divBdr>
    </w:div>
    <w:div w:id="1961689618">
      <w:bodyDiv w:val="1"/>
      <w:marLeft w:val="0"/>
      <w:marRight w:val="0"/>
      <w:marTop w:val="0"/>
      <w:marBottom w:val="0"/>
      <w:divBdr>
        <w:top w:val="none" w:sz="0" w:space="0" w:color="auto"/>
        <w:left w:val="none" w:sz="0" w:space="0" w:color="auto"/>
        <w:bottom w:val="none" w:sz="0" w:space="0" w:color="auto"/>
        <w:right w:val="none" w:sz="0" w:space="0" w:color="auto"/>
      </w:divBdr>
    </w:div>
    <w:div w:id="1962564008">
      <w:bodyDiv w:val="1"/>
      <w:marLeft w:val="0"/>
      <w:marRight w:val="0"/>
      <w:marTop w:val="0"/>
      <w:marBottom w:val="0"/>
      <w:divBdr>
        <w:top w:val="none" w:sz="0" w:space="0" w:color="auto"/>
        <w:left w:val="none" w:sz="0" w:space="0" w:color="auto"/>
        <w:bottom w:val="none" w:sz="0" w:space="0" w:color="auto"/>
        <w:right w:val="none" w:sz="0" w:space="0" w:color="auto"/>
      </w:divBdr>
    </w:div>
    <w:div w:id="1970086232">
      <w:bodyDiv w:val="1"/>
      <w:marLeft w:val="0"/>
      <w:marRight w:val="0"/>
      <w:marTop w:val="0"/>
      <w:marBottom w:val="0"/>
      <w:divBdr>
        <w:top w:val="none" w:sz="0" w:space="0" w:color="auto"/>
        <w:left w:val="none" w:sz="0" w:space="0" w:color="auto"/>
        <w:bottom w:val="none" w:sz="0" w:space="0" w:color="auto"/>
        <w:right w:val="none" w:sz="0" w:space="0" w:color="auto"/>
      </w:divBdr>
    </w:div>
    <w:div w:id="1970427427">
      <w:bodyDiv w:val="1"/>
      <w:marLeft w:val="0"/>
      <w:marRight w:val="0"/>
      <w:marTop w:val="0"/>
      <w:marBottom w:val="0"/>
      <w:divBdr>
        <w:top w:val="none" w:sz="0" w:space="0" w:color="auto"/>
        <w:left w:val="none" w:sz="0" w:space="0" w:color="auto"/>
        <w:bottom w:val="none" w:sz="0" w:space="0" w:color="auto"/>
        <w:right w:val="none" w:sz="0" w:space="0" w:color="auto"/>
      </w:divBdr>
    </w:div>
    <w:div w:id="1981229843">
      <w:bodyDiv w:val="1"/>
      <w:marLeft w:val="0"/>
      <w:marRight w:val="0"/>
      <w:marTop w:val="0"/>
      <w:marBottom w:val="0"/>
      <w:divBdr>
        <w:top w:val="none" w:sz="0" w:space="0" w:color="auto"/>
        <w:left w:val="none" w:sz="0" w:space="0" w:color="auto"/>
        <w:bottom w:val="none" w:sz="0" w:space="0" w:color="auto"/>
        <w:right w:val="none" w:sz="0" w:space="0" w:color="auto"/>
      </w:divBdr>
    </w:div>
    <w:div w:id="1987126800">
      <w:bodyDiv w:val="1"/>
      <w:marLeft w:val="0"/>
      <w:marRight w:val="0"/>
      <w:marTop w:val="0"/>
      <w:marBottom w:val="0"/>
      <w:divBdr>
        <w:top w:val="none" w:sz="0" w:space="0" w:color="auto"/>
        <w:left w:val="none" w:sz="0" w:space="0" w:color="auto"/>
        <w:bottom w:val="none" w:sz="0" w:space="0" w:color="auto"/>
        <w:right w:val="none" w:sz="0" w:space="0" w:color="auto"/>
      </w:divBdr>
    </w:div>
    <w:div w:id="2011329318">
      <w:bodyDiv w:val="1"/>
      <w:marLeft w:val="0"/>
      <w:marRight w:val="0"/>
      <w:marTop w:val="0"/>
      <w:marBottom w:val="0"/>
      <w:divBdr>
        <w:top w:val="none" w:sz="0" w:space="0" w:color="auto"/>
        <w:left w:val="none" w:sz="0" w:space="0" w:color="auto"/>
        <w:bottom w:val="none" w:sz="0" w:space="0" w:color="auto"/>
        <w:right w:val="none" w:sz="0" w:space="0" w:color="auto"/>
      </w:divBdr>
    </w:div>
    <w:div w:id="2115052676">
      <w:bodyDiv w:val="1"/>
      <w:marLeft w:val="0"/>
      <w:marRight w:val="0"/>
      <w:marTop w:val="0"/>
      <w:marBottom w:val="0"/>
      <w:divBdr>
        <w:top w:val="none" w:sz="0" w:space="0" w:color="auto"/>
        <w:left w:val="none" w:sz="0" w:space="0" w:color="auto"/>
        <w:bottom w:val="none" w:sz="0" w:space="0" w:color="auto"/>
        <w:right w:val="none" w:sz="0" w:space="0" w:color="auto"/>
      </w:divBdr>
    </w:div>
    <w:div w:id="2131125285">
      <w:bodyDiv w:val="1"/>
      <w:marLeft w:val="0"/>
      <w:marRight w:val="0"/>
      <w:marTop w:val="0"/>
      <w:marBottom w:val="0"/>
      <w:divBdr>
        <w:top w:val="none" w:sz="0" w:space="0" w:color="auto"/>
        <w:left w:val="none" w:sz="0" w:space="0" w:color="auto"/>
        <w:bottom w:val="none" w:sz="0" w:space="0" w:color="auto"/>
        <w:right w:val="none" w:sz="0" w:space="0" w:color="auto"/>
      </w:divBdr>
    </w:div>
    <w:div w:id="213929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88.tiff"/><Relationship Id="rId21" Type="http://schemas.openxmlformats.org/officeDocument/2006/relationships/image" Target="media/image13.png"/><Relationship Id="rId42" Type="http://schemas.openxmlformats.org/officeDocument/2006/relationships/image" Target="media/image30.emf"/><Relationship Id="rId47" Type="http://schemas.openxmlformats.org/officeDocument/2006/relationships/image" Target="media/image35.jpeg"/><Relationship Id="rId63" Type="http://schemas.openxmlformats.org/officeDocument/2006/relationships/hyperlink" Target="https://www.wcpfc.int/node/29904" TargetMode="External"/><Relationship Id="rId68" Type="http://schemas.openxmlformats.org/officeDocument/2006/relationships/image" Target="media/image54.jpeg"/><Relationship Id="rId84" Type="http://schemas.openxmlformats.org/officeDocument/2006/relationships/image" Target="media/image63.png"/><Relationship Id="rId89" Type="http://schemas.openxmlformats.org/officeDocument/2006/relationships/image" Target="media/image65.png"/><Relationship Id="rId112" Type="http://schemas.openxmlformats.org/officeDocument/2006/relationships/image" Target="media/image84.png"/><Relationship Id="rId133" Type="http://schemas.openxmlformats.org/officeDocument/2006/relationships/hyperlink" Target="https://www.wcpfc.int/node/3396" TargetMode="External"/><Relationship Id="rId138" Type="http://schemas.openxmlformats.org/officeDocument/2006/relationships/hyperlink" Target="mailto:feleti.teo@wcpfc.int" TargetMode="External"/><Relationship Id="rId16" Type="http://schemas.openxmlformats.org/officeDocument/2006/relationships/image" Target="media/image8.png"/><Relationship Id="rId107" Type="http://schemas.openxmlformats.org/officeDocument/2006/relationships/image" Target="media/image82.png"/><Relationship Id="rId11" Type="http://schemas.openxmlformats.org/officeDocument/2006/relationships/footer" Target="footer1.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1.emf"/><Relationship Id="rId58" Type="http://schemas.openxmlformats.org/officeDocument/2006/relationships/image" Target="media/image46.png"/><Relationship Id="rId74" Type="http://schemas.openxmlformats.org/officeDocument/2006/relationships/hyperlink" Target="https://www.wcpfc.int/node/3396" TargetMode="External"/><Relationship Id="rId79" Type="http://schemas.openxmlformats.org/officeDocument/2006/relationships/image" Target="media/image58.png"/><Relationship Id="rId102" Type="http://schemas.openxmlformats.org/officeDocument/2006/relationships/image" Target="media/image77.jpeg"/><Relationship Id="rId123" Type="http://schemas.openxmlformats.org/officeDocument/2006/relationships/footer" Target="footer5.xml"/><Relationship Id="rId128" Type="http://schemas.openxmlformats.org/officeDocument/2006/relationships/image" Target="media/image92.png"/><Relationship Id="rId144" Type="http://schemas.openxmlformats.org/officeDocument/2006/relationships/footer" Target="footer9.xml"/><Relationship Id="rId149" Type="http://schemas.openxmlformats.org/officeDocument/2006/relationships/image" Target="media/image95.png"/><Relationship Id="rId5" Type="http://schemas.openxmlformats.org/officeDocument/2006/relationships/webSettings" Target="webSettings.xml"/><Relationship Id="rId90" Type="http://schemas.openxmlformats.org/officeDocument/2006/relationships/image" Target="media/image66.png"/><Relationship Id="rId95" Type="http://schemas.openxmlformats.org/officeDocument/2006/relationships/image" Target="media/image71.png"/><Relationship Id="rId22" Type="http://schemas.openxmlformats.org/officeDocument/2006/relationships/image" Target="media/image14.png"/><Relationship Id="rId27" Type="http://schemas.openxmlformats.org/officeDocument/2006/relationships/image" Target="media/image16.png"/><Relationship Id="rId43" Type="http://schemas.openxmlformats.org/officeDocument/2006/relationships/image" Target="media/image31.emf"/><Relationship Id="rId48" Type="http://schemas.openxmlformats.org/officeDocument/2006/relationships/image" Target="media/image36.jpeg"/><Relationship Id="rId64" Type="http://schemas.openxmlformats.org/officeDocument/2006/relationships/image" Target="media/image50.png"/><Relationship Id="rId69" Type="http://schemas.openxmlformats.org/officeDocument/2006/relationships/hyperlink" Target="https://www.wcpfc.int/node/29904" TargetMode="External"/><Relationship Id="rId113" Type="http://schemas.openxmlformats.org/officeDocument/2006/relationships/chart" Target="charts/chart1.xml"/><Relationship Id="rId118" Type="http://schemas.openxmlformats.org/officeDocument/2006/relationships/image" Target="media/image89.tiff"/><Relationship Id="rId134" Type="http://schemas.openxmlformats.org/officeDocument/2006/relationships/hyperlink" Target="https://www.wcpfc.int/node/26922" TargetMode="External"/><Relationship Id="rId139" Type="http://schemas.openxmlformats.org/officeDocument/2006/relationships/hyperlink" Target="mailto:Aaron.Nighswander@wcpfc.int" TargetMode="External"/><Relationship Id="rId80" Type="http://schemas.openxmlformats.org/officeDocument/2006/relationships/image" Target="media/image59.png"/><Relationship Id="rId85" Type="http://schemas.openxmlformats.org/officeDocument/2006/relationships/image" Target="media/image64.png"/><Relationship Id="rId150" Type="http://schemas.openxmlformats.org/officeDocument/2006/relationships/image" Target="cid:image001.png@01D315BA.20555540" TargetMode="Externa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s://www.wcpfc.int/node/27769" TargetMode="External"/><Relationship Id="rId33" Type="http://schemas.openxmlformats.org/officeDocument/2006/relationships/image" Target="media/image22.png"/><Relationship Id="rId38" Type="http://schemas.openxmlformats.org/officeDocument/2006/relationships/hyperlink" Target="https://www.wcpfc.int/node/29904" TargetMode="External"/><Relationship Id="rId46" Type="http://schemas.openxmlformats.org/officeDocument/2006/relationships/image" Target="media/image34.jpeg"/><Relationship Id="rId59" Type="http://schemas.openxmlformats.org/officeDocument/2006/relationships/image" Target="media/image47.png"/><Relationship Id="rId67" Type="http://schemas.openxmlformats.org/officeDocument/2006/relationships/image" Target="media/image53.png"/><Relationship Id="rId103" Type="http://schemas.openxmlformats.org/officeDocument/2006/relationships/image" Target="media/image78.jpeg"/><Relationship Id="rId108" Type="http://schemas.openxmlformats.org/officeDocument/2006/relationships/footer" Target="footer3.xml"/><Relationship Id="rId116" Type="http://schemas.openxmlformats.org/officeDocument/2006/relationships/image" Target="media/image87.tiff"/><Relationship Id="rId124" Type="http://schemas.openxmlformats.org/officeDocument/2006/relationships/footer" Target="footer6.xml"/><Relationship Id="rId129" Type="http://schemas.openxmlformats.org/officeDocument/2006/relationships/image" Target="media/image93.png"/><Relationship Id="rId137" Type="http://schemas.openxmlformats.org/officeDocument/2006/relationships/footer" Target="footer7.xml"/><Relationship Id="rId20" Type="http://schemas.openxmlformats.org/officeDocument/2006/relationships/image" Target="media/image12.png"/><Relationship Id="rId41" Type="http://schemas.openxmlformats.org/officeDocument/2006/relationships/image" Target="media/image29.emf"/><Relationship Id="rId54" Type="http://schemas.openxmlformats.org/officeDocument/2006/relationships/image" Target="media/image42.png"/><Relationship Id="rId62" Type="http://schemas.openxmlformats.org/officeDocument/2006/relationships/image" Target="media/image49.png"/><Relationship Id="rId70" Type="http://schemas.openxmlformats.org/officeDocument/2006/relationships/hyperlink" Target="https://www.wcpfc.int/node/29904" TargetMode="External"/><Relationship Id="rId75" Type="http://schemas.openxmlformats.org/officeDocument/2006/relationships/hyperlink" Target="https://www.wcpfc.int/node/26922" TargetMode="External"/><Relationship Id="rId83" Type="http://schemas.openxmlformats.org/officeDocument/2006/relationships/image" Target="media/image62.png"/><Relationship Id="rId88" Type="http://schemas.openxmlformats.org/officeDocument/2006/relationships/hyperlink" Target="https://www.wcpfc.int/node/27769" TargetMode="External"/><Relationship Id="rId91" Type="http://schemas.openxmlformats.org/officeDocument/2006/relationships/image" Target="media/image67.png"/><Relationship Id="rId96" Type="http://schemas.openxmlformats.org/officeDocument/2006/relationships/image" Target="media/image72.png"/><Relationship Id="rId111" Type="http://schemas.openxmlformats.org/officeDocument/2006/relationships/hyperlink" Target="https://www.wcpfc.int/node/29904" TargetMode="External"/><Relationship Id="rId132" Type="http://schemas.openxmlformats.org/officeDocument/2006/relationships/hyperlink" Target="https://www.wcpfc.int/node/29904" TargetMode="External"/><Relationship Id="rId140" Type="http://schemas.openxmlformats.org/officeDocument/2006/relationships/hyperlink" Target="mailto:Karl.Staisch@wcpfc.int" TargetMode="External"/><Relationship Id="rId14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wcpfc.int/node/29904" TargetMode="External"/><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7.jpeg"/><Relationship Id="rId57" Type="http://schemas.openxmlformats.org/officeDocument/2006/relationships/image" Target="media/image45.jpeg"/><Relationship Id="rId106" Type="http://schemas.openxmlformats.org/officeDocument/2006/relationships/image" Target="media/image81.png"/><Relationship Id="rId114" Type="http://schemas.openxmlformats.org/officeDocument/2006/relationships/image" Target="media/image85.png"/><Relationship Id="rId119" Type="http://schemas.openxmlformats.org/officeDocument/2006/relationships/chart" Target="charts/chart2.xml"/><Relationship Id="rId127" Type="http://schemas.openxmlformats.org/officeDocument/2006/relationships/image" Target="media/image91.png"/><Relationship Id="rId10" Type="http://schemas.openxmlformats.org/officeDocument/2006/relationships/image" Target="media/image3.emf"/><Relationship Id="rId31" Type="http://schemas.openxmlformats.org/officeDocument/2006/relationships/image" Target="media/image20.png"/><Relationship Id="rId44" Type="http://schemas.openxmlformats.org/officeDocument/2006/relationships/image" Target="media/image32.jpeg"/><Relationship Id="rId52" Type="http://schemas.openxmlformats.org/officeDocument/2006/relationships/image" Target="media/image40.png"/><Relationship Id="rId60" Type="http://schemas.openxmlformats.org/officeDocument/2006/relationships/hyperlink" Target="https://www.wcpfc.int/node/3396" TargetMode="External"/><Relationship Id="rId65" Type="http://schemas.openxmlformats.org/officeDocument/2006/relationships/image" Target="media/image51.png"/><Relationship Id="rId73" Type="http://schemas.openxmlformats.org/officeDocument/2006/relationships/hyperlink" Target="https://www.wcpfc.int/node/29904" TargetMode="External"/><Relationship Id="rId78" Type="http://schemas.openxmlformats.org/officeDocument/2006/relationships/image" Target="media/image57.png"/><Relationship Id="rId81" Type="http://schemas.openxmlformats.org/officeDocument/2006/relationships/image" Target="media/image60.png"/><Relationship Id="rId86" Type="http://schemas.openxmlformats.org/officeDocument/2006/relationships/hyperlink" Target="https://www.wcpfc.int/node/29904" TargetMode="External"/><Relationship Id="rId94" Type="http://schemas.openxmlformats.org/officeDocument/2006/relationships/image" Target="media/image70.png"/><Relationship Id="rId99" Type="http://schemas.openxmlformats.org/officeDocument/2006/relationships/image" Target="media/image74.jpeg"/><Relationship Id="rId101" Type="http://schemas.openxmlformats.org/officeDocument/2006/relationships/image" Target="media/image76.jpeg"/><Relationship Id="rId122" Type="http://schemas.openxmlformats.org/officeDocument/2006/relationships/header" Target="header2.xml"/><Relationship Id="rId130" Type="http://schemas.openxmlformats.org/officeDocument/2006/relationships/hyperlink" Target="https://www.wcpfc.int/node/29904" TargetMode="External"/><Relationship Id="rId135" Type="http://schemas.openxmlformats.org/officeDocument/2006/relationships/hyperlink" Target="https://www.wcpfc.int/node/27769" TargetMode="External"/><Relationship Id="rId143" Type="http://schemas.openxmlformats.org/officeDocument/2006/relationships/footer" Target="footer8.xml"/><Relationship Id="rId148" Type="http://schemas.openxmlformats.org/officeDocument/2006/relationships/image" Target="cid:image003.png@01D315CC.E6421B00" TargetMode="External"/><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7.emf"/><Relationship Id="rId109" Type="http://schemas.openxmlformats.org/officeDocument/2006/relationships/hyperlink" Target="https://www.wcpfc.int/node/3396" TargetMode="External"/><Relationship Id="rId34" Type="http://schemas.openxmlformats.org/officeDocument/2006/relationships/image" Target="media/image23.png"/><Relationship Id="rId50" Type="http://schemas.openxmlformats.org/officeDocument/2006/relationships/image" Target="media/image38.png"/><Relationship Id="rId55" Type="http://schemas.openxmlformats.org/officeDocument/2006/relationships/image" Target="media/image43.jpeg"/><Relationship Id="rId76" Type="http://schemas.openxmlformats.org/officeDocument/2006/relationships/hyperlink" Target="https://www.wcpfc.int/node/27769" TargetMode="External"/><Relationship Id="rId97" Type="http://schemas.openxmlformats.org/officeDocument/2006/relationships/hyperlink" Target="https://www.wcpfc.int/node/29904" TargetMode="External"/><Relationship Id="rId104" Type="http://schemas.openxmlformats.org/officeDocument/2006/relationships/image" Target="media/image79.png"/><Relationship Id="rId120" Type="http://schemas.openxmlformats.org/officeDocument/2006/relationships/header" Target="header1.xml"/><Relationship Id="rId125" Type="http://schemas.openxmlformats.org/officeDocument/2006/relationships/header" Target="header3.xml"/><Relationship Id="rId141" Type="http://schemas.openxmlformats.org/officeDocument/2006/relationships/hyperlink" Target="mailto:Anthony.Beeching@wcpfc.int" TargetMode="External"/><Relationship Id="rId146" Type="http://schemas.openxmlformats.org/officeDocument/2006/relationships/footer" Target="footer10.xml"/><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68.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hyperlink" Target="https://www.wcpfc.int/node/29904" TargetMode="External"/><Relationship Id="rId40" Type="http://schemas.openxmlformats.org/officeDocument/2006/relationships/image" Target="media/image28.emf"/><Relationship Id="rId45" Type="http://schemas.openxmlformats.org/officeDocument/2006/relationships/image" Target="media/image33.jpeg"/><Relationship Id="rId66" Type="http://schemas.openxmlformats.org/officeDocument/2006/relationships/image" Target="media/image52.png"/><Relationship Id="rId87" Type="http://schemas.openxmlformats.org/officeDocument/2006/relationships/hyperlink" Target="https://www.wcpfc.int/node/29904" TargetMode="External"/><Relationship Id="rId110" Type="http://schemas.openxmlformats.org/officeDocument/2006/relationships/image" Target="media/image83.png"/><Relationship Id="rId115" Type="http://schemas.openxmlformats.org/officeDocument/2006/relationships/image" Target="media/image86.tiff"/><Relationship Id="rId131" Type="http://schemas.openxmlformats.org/officeDocument/2006/relationships/hyperlink" Target="https://www.wcpfc.int/node/29904" TargetMode="External"/><Relationship Id="rId136" Type="http://schemas.openxmlformats.org/officeDocument/2006/relationships/hyperlink" Target="https://www.wcpfc.int/doc/sc-10/guidelines-safe-release-encircled-animals-including-whale-sharks" TargetMode="External"/><Relationship Id="rId61" Type="http://schemas.openxmlformats.org/officeDocument/2006/relationships/image" Target="media/image48.png"/><Relationship Id="rId82" Type="http://schemas.openxmlformats.org/officeDocument/2006/relationships/image" Target="media/image61.png"/><Relationship Id="rId152"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4.png"/><Relationship Id="rId77" Type="http://schemas.openxmlformats.org/officeDocument/2006/relationships/footer" Target="footer2.xml"/><Relationship Id="rId100" Type="http://schemas.openxmlformats.org/officeDocument/2006/relationships/image" Target="media/image75.jpeg"/><Relationship Id="rId105" Type="http://schemas.openxmlformats.org/officeDocument/2006/relationships/image" Target="media/image80.png"/><Relationship Id="rId126" Type="http://schemas.openxmlformats.org/officeDocument/2006/relationships/image" Target="media/image90.png"/><Relationship Id="rId147" Type="http://schemas.openxmlformats.org/officeDocument/2006/relationships/image" Target="media/image94.png"/><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56.png"/><Relationship Id="rId93" Type="http://schemas.openxmlformats.org/officeDocument/2006/relationships/image" Target="media/image69.png"/><Relationship Id="rId98" Type="http://schemas.openxmlformats.org/officeDocument/2006/relationships/image" Target="media/image73.jpeg"/><Relationship Id="rId121" Type="http://schemas.openxmlformats.org/officeDocument/2006/relationships/footer" Target="footer4.xml"/><Relationship Id="rId142" Type="http://schemas.openxmlformats.org/officeDocument/2006/relationships/hyperlink" Target="mailto:Ana.Taholo@wcpfc.int"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Felipe.Carvalho\Desktop\Mako_SWFSC\Report\CPUe.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Felipe.Carvalho\Desktop\Mako_SWFSC\Plenary\ASPM.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91409246921098"/>
          <c:y val="3.1461491691330543E-2"/>
          <c:w val="0.86011205330102969"/>
          <c:h val="0.81387294041978064"/>
        </c:manualLayout>
      </c:layout>
      <c:lineChart>
        <c:grouping val="standard"/>
        <c:varyColors val="0"/>
        <c:ser>
          <c:idx val="1"/>
          <c:order val="0"/>
          <c:tx>
            <c:strRef>
              <c:f>Sheet1!$AH$51</c:f>
              <c:strCache>
                <c:ptCount val="1"/>
                <c:pt idx="0">
                  <c:v>S1_US_SS</c:v>
                </c:pt>
              </c:strCache>
            </c:strRef>
          </c:tx>
          <c:spPr>
            <a:ln w="28575" cap="rnd">
              <a:solidFill>
                <a:srgbClr val="FFFF00"/>
              </a:solidFill>
              <a:round/>
            </a:ln>
            <a:effectLst/>
          </c:spPr>
          <c:marker>
            <c:symbol val="none"/>
          </c:marker>
          <c:cat>
            <c:numRef>
              <c:f>Sheet1!$AG$52:$AG$93</c:f>
              <c:numCache>
                <c:formatCode>General</c:formatCode>
                <c:ptCount val="42"/>
                <c:pt idx="0">
                  <c:v>1975</c:v>
                </c:pt>
                <c:pt idx="1">
                  <c:v>1976</c:v>
                </c:pt>
                <c:pt idx="2">
                  <c:v>1977</c:v>
                </c:pt>
                <c:pt idx="3">
                  <c:v>1978</c:v>
                </c:pt>
                <c:pt idx="4">
                  <c:v>1979</c:v>
                </c:pt>
                <c:pt idx="5">
                  <c:v>1980</c:v>
                </c:pt>
                <c:pt idx="6">
                  <c:v>1981</c:v>
                </c:pt>
                <c:pt idx="7">
                  <c:v>1982</c:v>
                </c:pt>
                <c:pt idx="8">
                  <c:v>1983</c:v>
                </c:pt>
                <c:pt idx="9">
                  <c:v>1984</c:v>
                </c:pt>
                <c:pt idx="10">
                  <c:v>1985</c:v>
                </c:pt>
                <c:pt idx="11">
                  <c:v>1986</c:v>
                </c:pt>
                <c:pt idx="12">
                  <c:v>1987</c:v>
                </c:pt>
                <c:pt idx="13">
                  <c:v>1988</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pt idx="39">
                  <c:v>2014</c:v>
                </c:pt>
                <c:pt idx="40">
                  <c:v>2015</c:v>
                </c:pt>
                <c:pt idx="41">
                  <c:v>2016</c:v>
                </c:pt>
              </c:numCache>
            </c:numRef>
          </c:cat>
          <c:val>
            <c:numRef>
              <c:f>Sheet1!$AH$52:$AH$93</c:f>
              <c:numCache>
                <c:formatCode>General</c:formatCode>
                <c:ptCount val="42"/>
                <c:pt idx="30">
                  <c:v>1.0104532289999999</c:v>
                </c:pt>
                <c:pt idx="31">
                  <c:v>1.0394127449999999</c:v>
                </c:pt>
                <c:pt idx="32">
                  <c:v>1.0305244599999934</c:v>
                </c:pt>
                <c:pt idx="33">
                  <c:v>1.0648586569999998</c:v>
                </c:pt>
                <c:pt idx="34">
                  <c:v>0.99575423100000005</c:v>
                </c:pt>
                <c:pt idx="35">
                  <c:v>1.0091340549999932</c:v>
                </c:pt>
                <c:pt idx="36">
                  <c:v>0.99830382299999998</c:v>
                </c:pt>
                <c:pt idx="37">
                  <c:v>0.96854616999999699</c:v>
                </c:pt>
                <c:pt idx="38">
                  <c:v>1.0452367699999998</c:v>
                </c:pt>
                <c:pt idx="39">
                  <c:v>0.98352194299999951</c:v>
                </c:pt>
                <c:pt idx="40">
                  <c:v>1.1119593189999939</c:v>
                </c:pt>
                <c:pt idx="41">
                  <c:v>1.090479704</c:v>
                </c:pt>
              </c:numCache>
            </c:numRef>
          </c:val>
          <c:smooth val="0"/>
          <c:extLst>
            <c:ext xmlns:c16="http://schemas.microsoft.com/office/drawing/2014/chart" uri="{C3380CC4-5D6E-409C-BE32-E72D297353CC}">
              <c16:uniqueId val="{00000000-A5E9-41DF-A5FB-E389E92EBAC9}"/>
            </c:ext>
          </c:extLst>
        </c:ser>
        <c:ser>
          <c:idx val="2"/>
          <c:order val="1"/>
          <c:tx>
            <c:strRef>
              <c:f>Sheet1!$AI$51</c:f>
              <c:strCache>
                <c:ptCount val="1"/>
                <c:pt idx="0">
                  <c:v>S3_TW_LRG</c:v>
                </c:pt>
              </c:strCache>
            </c:strRef>
          </c:tx>
          <c:spPr>
            <a:ln w="28575" cap="rnd">
              <a:solidFill>
                <a:srgbClr val="00B050"/>
              </a:solidFill>
              <a:round/>
            </a:ln>
            <a:effectLst/>
          </c:spPr>
          <c:marker>
            <c:symbol val="none"/>
          </c:marker>
          <c:cat>
            <c:numRef>
              <c:f>Sheet1!$AG$52:$AG$93</c:f>
              <c:numCache>
                <c:formatCode>General</c:formatCode>
                <c:ptCount val="42"/>
                <c:pt idx="0">
                  <c:v>1975</c:v>
                </c:pt>
                <c:pt idx="1">
                  <c:v>1976</c:v>
                </c:pt>
                <c:pt idx="2">
                  <c:v>1977</c:v>
                </c:pt>
                <c:pt idx="3">
                  <c:v>1978</c:v>
                </c:pt>
                <c:pt idx="4">
                  <c:v>1979</c:v>
                </c:pt>
                <c:pt idx="5">
                  <c:v>1980</c:v>
                </c:pt>
                <c:pt idx="6">
                  <c:v>1981</c:v>
                </c:pt>
                <c:pt idx="7">
                  <c:v>1982</c:v>
                </c:pt>
                <c:pt idx="8">
                  <c:v>1983</c:v>
                </c:pt>
                <c:pt idx="9">
                  <c:v>1984</c:v>
                </c:pt>
                <c:pt idx="10">
                  <c:v>1985</c:v>
                </c:pt>
                <c:pt idx="11">
                  <c:v>1986</c:v>
                </c:pt>
                <c:pt idx="12">
                  <c:v>1987</c:v>
                </c:pt>
                <c:pt idx="13">
                  <c:v>1988</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pt idx="39">
                  <c:v>2014</c:v>
                </c:pt>
                <c:pt idx="40">
                  <c:v>2015</c:v>
                </c:pt>
                <c:pt idx="41">
                  <c:v>2016</c:v>
                </c:pt>
              </c:numCache>
            </c:numRef>
          </c:cat>
          <c:val>
            <c:numRef>
              <c:f>Sheet1!$AI$52:$AI$93</c:f>
              <c:numCache>
                <c:formatCode>General</c:formatCode>
                <c:ptCount val="42"/>
                <c:pt idx="30">
                  <c:v>0.93140794199999732</c:v>
                </c:pt>
                <c:pt idx="31">
                  <c:v>1.163486333</c:v>
                </c:pt>
                <c:pt idx="32">
                  <c:v>0.80763280000000004</c:v>
                </c:pt>
                <c:pt idx="33">
                  <c:v>0.47962867500000289</c:v>
                </c:pt>
                <c:pt idx="34">
                  <c:v>0.72099020100000266</c:v>
                </c:pt>
                <c:pt idx="35">
                  <c:v>0.37132542500000237</c:v>
                </c:pt>
                <c:pt idx="36">
                  <c:v>0.85404847900000336</c:v>
                </c:pt>
                <c:pt idx="37">
                  <c:v>0.58174316699999951</c:v>
                </c:pt>
                <c:pt idx="38">
                  <c:v>1.683341929000006</c:v>
                </c:pt>
                <c:pt idx="39">
                  <c:v>1.865910263</c:v>
                </c:pt>
                <c:pt idx="40">
                  <c:v>1.08612687</c:v>
                </c:pt>
                <c:pt idx="41">
                  <c:v>1.4543579160000053</c:v>
                </c:pt>
              </c:numCache>
            </c:numRef>
          </c:val>
          <c:smooth val="0"/>
          <c:extLst>
            <c:ext xmlns:c16="http://schemas.microsoft.com/office/drawing/2014/chart" uri="{C3380CC4-5D6E-409C-BE32-E72D297353CC}">
              <c16:uniqueId val="{00000001-A5E9-41DF-A5FB-E389E92EBAC9}"/>
            </c:ext>
          </c:extLst>
        </c:ser>
        <c:ser>
          <c:idx val="3"/>
          <c:order val="2"/>
          <c:tx>
            <c:strRef>
              <c:f>Sheet1!$AJ$51</c:f>
              <c:strCache>
                <c:ptCount val="1"/>
                <c:pt idx="0">
                  <c:v>S5_JPN_RTV</c:v>
                </c:pt>
              </c:strCache>
            </c:strRef>
          </c:tx>
          <c:spPr>
            <a:ln w="28575" cap="rnd">
              <a:solidFill>
                <a:srgbClr val="FF0000"/>
              </a:solidFill>
              <a:round/>
            </a:ln>
            <a:effectLst/>
          </c:spPr>
          <c:marker>
            <c:symbol val="none"/>
          </c:marker>
          <c:cat>
            <c:numRef>
              <c:f>Sheet1!$AG$52:$AG$93</c:f>
              <c:numCache>
                <c:formatCode>General</c:formatCode>
                <c:ptCount val="42"/>
                <c:pt idx="0">
                  <c:v>1975</c:v>
                </c:pt>
                <c:pt idx="1">
                  <c:v>1976</c:v>
                </c:pt>
                <c:pt idx="2">
                  <c:v>1977</c:v>
                </c:pt>
                <c:pt idx="3">
                  <c:v>1978</c:v>
                </c:pt>
                <c:pt idx="4">
                  <c:v>1979</c:v>
                </c:pt>
                <c:pt idx="5">
                  <c:v>1980</c:v>
                </c:pt>
                <c:pt idx="6">
                  <c:v>1981</c:v>
                </c:pt>
                <c:pt idx="7">
                  <c:v>1982</c:v>
                </c:pt>
                <c:pt idx="8">
                  <c:v>1983</c:v>
                </c:pt>
                <c:pt idx="9">
                  <c:v>1984</c:v>
                </c:pt>
                <c:pt idx="10">
                  <c:v>1985</c:v>
                </c:pt>
                <c:pt idx="11">
                  <c:v>1986</c:v>
                </c:pt>
                <c:pt idx="12">
                  <c:v>1987</c:v>
                </c:pt>
                <c:pt idx="13">
                  <c:v>1988</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pt idx="39">
                  <c:v>2014</c:v>
                </c:pt>
                <c:pt idx="40">
                  <c:v>2015</c:v>
                </c:pt>
                <c:pt idx="41">
                  <c:v>2016</c:v>
                </c:pt>
              </c:numCache>
            </c:numRef>
          </c:cat>
          <c:val>
            <c:numRef>
              <c:f>Sheet1!$AJ$52:$AJ$93</c:f>
              <c:numCache>
                <c:formatCode>General</c:formatCode>
                <c:ptCount val="42"/>
                <c:pt idx="19">
                  <c:v>0.96478930800000062</c:v>
                </c:pt>
                <c:pt idx="20">
                  <c:v>0.7514325669999995</c:v>
                </c:pt>
                <c:pt idx="21">
                  <c:v>0.60659921300000474</c:v>
                </c:pt>
                <c:pt idx="22">
                  <c:v>0.76560070800000302</c:v>
                </c:pt>
                <c:pt idx="23">
                  <c:v>0.88500928099999998</c:v>
                </c:pt>
                <c:pt idx="24">
                  <c:v>1.150633062</c:v>
                </c:pt>
                <c:pt idx="25">
                  <c:v>0.81012489500000062</c:v>
                </c:pt>
                <c:pt idx="26">
                  <c:v>0.95959839400000002</c:v>
                </c:pt>
                <c:pt idx="27">
                  <c:v>1.2733452079999934</c:v>
                </c:pt>
                <c:pt idx="28">
                  <c:v>1.0729559890000058</c:v>
                </c:pt>
                <c:pt idx="29">
                  <c:v>0.95727193400000266</c:v>
                </c:pt>
                <c:pt idx="30">
                  <c:v>0.99858757899999639</c:v>
                </c:pt>
                <c:pt idx="31">
                  <c:v>1.2465007669999999</c:v>
                </c:pt>
                <c:pt idx="32">
                  <c:v>1.3777391809999942</c:v>
                </c:pt>
                <c:pt idx="33">
                  <c:v>1.075492661</c:v>
                </c:pt>
                <c:pt idx="34">
                  <c:v>0.71225144900000004</c:v>
                </c:pt>
                <c:pt idx="35">
                  <c:v>1.180428783</c:v>
                </c:pt>
                <c:pt idx="36">
                  <c:v>0.66136927500000064</c:v>
                </c:pt>
                <c:pt idx="37">
                  <c:v>1.2677086309999934</c:v>
                </c:pt>
                <c:pt idx="38">
                  <c:v>0.59493523599999998</c:v>
                </c:pt>
                <c:pt idx="39">
                  <c:v>0.87790329600000372</c:v>
                </c:pt>
                <c:pt idx="40">
                  <c:v>1.4408661159999923</c:v>
                </c:pt>
                <c:pt idx="41">
                  <c:v>1.3688564660000058</c:v>
                </c:pt>
              </c:numCache>
            </c:numRef>
          </c:val>
          <c:smooth val="0"/>
          <c:extLst>
            <c:ext xmlns:c16="http://schemas.microsoft.com/office/drawing/2014/chart" uri="{C3380CC4-5D6E-409C-BE32-E72D297353CC}">
              <c16:uniqueId val="{00000002-A5E9-41DF-A5FB-E389E92EBAC9}"/>
            </c:ext>
          </c:extLst>
        </c:ser>
        <c:ser>
          <c:idx val="4"/>
          <c:order val="3"/>
          <c:tx>
            <c:strRef>
              <c:f>Sheet1!$AK$51</c:f>
              <c:strCache>
                <c:ptCount val="1"/>
                <c:pt idx="0">
                  <c:v>S8_MEX</c:v>
                </c:pt>
              </c:strCache>
            </c:strRef>
          </c:tx>
          <c:spPr>
            <a:ln w="28575" cap="rnd">
              <a:solidFill>
                <a:srgbClr val="7030A0"/>
              </a:solidFill>
              <a:round/>
            </a:ln>
            <a:effectLst/>
          </c:spPr>
          <c:marker>
            <c:symbol val="none"/>
          </c:marker>
          <c:cat>
            <c:numRef>
              <c:f>Sheet1!$AG$52:$AG$93</c:f>
              <c:numCache>
                <c:formatCode>General</c:formatCode>
                <c:ptCount val="42"/>
                <c:pt idx="0">
                  <c:v>1975</c:v>
                </c:pt>
                <c:pt idx="1">
                  <c:v>1976</c:v>
                </c:pt>
                <c:pt idx="2">
                  <c:v>1977</c:v>
                </c:pt>
                <c:pt idx="3">
                  <c:v>1978</c:v>
                </c:pt>
                <c:pt idx="4">
                  <c:v>1979</c:v>
                </c:pt>
                <c:pt idx="5">
                  <c:v>1980</c:v>
                </c:pt>
                <c:pt idx="6">
                  <c:v>1981</c:v>
                </c:pt>
                <c:pt idx="7">
                  <c:v>1982</c:v>
                </c:pt>
                <c:pt idx="8">
                  <c:v>1983</c:v>
                </c:pt>
                <c:pt idx="9">
                  <c:v>1984</c:v>
                </c:pt>
                <c:pt idx="10">
                  <c:v>1985</c:v>
                </c:pt>
                <c:pt idx="11">
                  <c:v>1986</c:v>
                </c:pt>
                <c:pt idx="12">
                  <c:v>1987</c:v>
                </c:pt>
                <c:pt idx="13">
                  <c:v>1988</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pt idx="39">
                  <c:v>2014</c:v>
                </c:pt>
                <c:pt idx="40">
                  <c:v>2015</c:v>
                </c:pt>
                <c:pt idx="41">
                  <c:v>2016</c:v>
                </c:pt>
              </c:numCache>
            </c:numRef>
          </c:cat>
          <c:val>
            <c:numRef>
              <c:f>Sheet1!$AK$52:$AK$93</c:f>
              <c:numCache>
                <c:formatCode>General</c:formatCode>
                <c:ptCount val="42"/>
                <c:pt idx="31">
                  <c:v>1.2775312389999907</c:v>
                </c:pt>
                <c:pt idx="32">
                  <c:v>0.6191712780000036</c:v>
                </c:pt>
                <c:pt idx="33">
                  <c:v>0.46189039200000032</c:v>
                </c:pt>
                <c:pt idx="34">
                  <c:v>1.3919040759999937</c:v>
                </c:pt>
                <c:pt idx="35">
                  <c:v>0.95873684199999998</c:v>
                </c:pt>
                <c:pt idx="36">
                  <c:v>1.0376614989999893</c:v>
                </c:pt>
                <c:pt idx="37">
                  <c:v>1.8669301359999999</c:v>
                </c:pt>
                <c:pt idx="38">
                  <c:v>0.84042855599999999</c:v>
                </c:pt>
                <c:pt idx="39">
                  <c:v>0.86506419499999998</c:v>
                </c:pt>
                <c:pt idx="40">
                  <c:v>0.80293952400000002</c:v>
                </c:pt>
                <c:pt idx="41">
                  <c:v>0.87774226300000313</c:v>
                </c:pt>
              </c:numCache>
            </c:numRef>
          </c:val>
          <c:smooth val="0"/>
          <c:extLst>
            <c:ext xmlns:c16="http://schemas.microsoft.com/office/drawing/2014/chart" uri="{C3380CC4-5D6E-409C-BE32-E72D297353CC}">
              <c16:uniqueId val="{00000003-A5E9-41DF-A5FB-E389E92EBAC9}"/>
            </c:ext>
          </c:extLst>
        </c:ser>
        <c:ser>
          <c:idx val="5"/>
          <c:order val="4"/>
          <c:tx>
            <c:strRef>
              <c:f>Sheet1!$AL$51</c:f>
              <c:strCache>
                <c:ptCount val="1"/>
                <c:pt idx="0">
                  <c:v>S9_JPN_SS_I</c:v>
                </c:pt>
              </c:strCache>
            </c:strRef>
          </c:tx>
          <c:spPr>
            <a:ln w="28575" cap="rnd">
              <a:solidFill>
                <a:schemeClr val="tx1"/>
              </a:solidFill>
              <a:round/>
            </a:ln>
            <a:effectLst/>
          </c:spPr>
          <c:marker>
            <c:symbol val="none"/>
          </c:marker>
          <c:cat>
            <c:numRef>
              <c:f>Sheet1!$AG$52:$AG$93</c:f>
              <c:numCache>
                <c:formatCode>General</c:formatCode>
                <c:ptCount val="42"/>
                <c:pt idx="0">
                  <c:v>1975</c:v>
                </c:pt>
                <c:pt idx="1">
                  <c:v>1976</c:v>
                </c:pt>
                <c:pt idx="2">
                  <c:v>1977</c:v>
                </c:pt>
                <c:pt idx="3">
                  <c:v>1978</c:v>
                </c:pt>
                <c:pt idx="4">
                  <c:v>1979</c:v>
                </c:pt>
                <c:pt idx="5">
                  <c:v>1980</c:v>
                </c:pt>
                <c:pt idx="6">
                  <c:v>1981</c:v>
                </c:pt>
                <c:pt idx="7">
                  <c:v>1982</c:v>
                </c:pt>
                <c:pt idx="8">
                  <c:v>1983</c:v>
                </c:pt>
                <c:pt idx="9">
                  <c:v>1984</c:v>
                </c:pt>
                <c:pt idx="10">
                  <c:v>1985</c:v>
                </c:pt>
                <c:pt idx="11">
                  <c:v>1986</c:v>
                </c:pt>
                <c:pt idx="12">
                  <c:v>1987</c:v>
                </c:pt>
                <c:pt idx="13">
                  <c:v>1988</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pt idx="39">
                  <c:v>2014</c:v>
                </c:pt>
                <c:pt idx="40">
                  <c:v>2015</c:v>
                </c:pt>
                <c:pt idx="41">
                  <c:v>2016</c:v>
                </c:pt>
              </c:numCache>
            </c:numRef>
          </c:cat>
          <c:val>
            <c:numRef>
              <c:f>Sheet1!$AL$52:$AL$93</c:f>
              <c:numCache>
                <c:formatCode>General</c:formatCode>
                <c:ptCount val="42"/>
                <c:pt idx="0">
                  <c:v>1.0566974</c:v>
                </c:pt>
                <c:pt idx="1">
                  <c:v>1.3007315999999998</c:v>
                </c:pt>
                <c:pt idx="2">
                  <c:v>1.2078690999999881</c:v>
                </c:pt>
                <c:pt idx="3">
                  <c:v>1.2572247999999884</c:v>
                </c:pt>
                <c:pt idx="4">
                  <c:v>1.1477253999999939</c:v>
                </c:pt>
                <c:pt idx="5">
                  <c:v>1.2440831999999999</c:v>
                </c:pt>
                <c:pt idx="6">
                  <c:v>0.93265489999999995</c:v>
                </c:pt>
                <c:pt idx="7">
                  <c:v>1.0019133999999934</c:v>
                </c:pt>
                <c:pt idx="8">
                  <c:v>1.0704359999999999</c:v>
                </c:pt>
                <c:pt idx="9">
                  <c:v>0.98120059999999698</c:v>
                </c:pt>
                <c:pt idx="10">
                  <c:v>0.77942460000000324</c:v>
                </c:pt>
                <c:pt idx="11">
                  <c:v>0.93998749999999998</c:v>
                </c:pt>
                <c:pt idx="12">
                  <c:v>0.710549600000003</c:v>
                </c:pt>
                <c:pt idx="13">
                  <c:v>0.81607879999999999</c:v>
                </c:pt>
                <c:pt idx="14">
                  <c:v>0.86343930000000002</c:v>
                </c:pt>
                <c:pt idx="15">
                  <c:v>0.82216699999999698</c:v>
                </c:pt>
                <c:pt idx="16">
                  <c:v>0.90855980000000003</c:v>
                </c:pt>
                <c:pt idx="17">
                  <c:v>0.90294379999999996</c:v>
                </c:pt>
                <c:pt idx="18">
                  <c:v>1.0563132</c:v>
                </c:pt>
              </c:numCache>
            </c:numRef>
          </c:val>
          <c:smooth val="0"/>
          <c:extLst>
            <c:ext xmlns:c16="http://schemas.microsoft.com/office/drawing/2014/chart" uri="{C3380CC4-5D6E-409C-BE32-E72D297353CC}">
              <c16:uniqueId val="{00000004-A5E9-41DF-A5FB-E389E92EBAC9}"/>
            </c:ext>
          </c:extLst>
        </c:ser>
        <c:ser>
          <c:idx val="0"/>
          <c:order val="5"/>
          <c:tx>
            <c:strRef>
              <c:f>Sheet1!$AM$51</c:f>
              <c:strCache>
                <c:ptCount val="1"/>
              </c:strCache>
            </c:strRef>
          </c:tx>
          <c:spPr>
            <a:ln w="28575" cap="rnd">
              <a:solidFill>
                <a:schemeClr val="bg2">
                  <a:lumMod val="50000"/>
                </a:schemeClr>
              </a:solidFill>
              <a:prstDash val="sysDot"/>
              <a:round/>
            </a:ln>
            <a:effectLst/>
          </c:spPr>
          <c:marker>
            <c:symbol val="none"/>
          </c:marker>
          <c:cat>
            <c:numRef>
              <c:f>Sheet1!$AG$52:$AG$93</c:f>
              <c:numCache>
                <c:formatCode>General</c:formatCode>
                <c:ptCount val="42"/>
                <c:pt idx="0">
                  <c:v>1975</c:v>
                </c:pt>
                <c:pt idx="1">
                  <c:v>1976</c:v>
                </c:pt>
                <c:pt idx="2">
                  <c:v>1977</c:v>
                </c:pt>
                <c:pt idx="3">
                  <c:v>1978</c:v>
                </c:pt>
                <c:pt idx="4">
                  <c:v>1979</c:v>
                </c:pt>
                <c:pt idx="5">
                  <c:v>1980</c:v>
                </c:pt>
                <c:pt idx="6">
                  <c:v>1981</c:v>
                </c:pt>
                <c:pt idx="7">
                  <c:v>1982</c:v>
                </c:pt>
                <c:pt idx="8">
                  <c:v>1983</c:v>
                </c:pt>
                <c:pt idx="9">
                  <c:v>1984</c:v>
                </c:pt>
                <c:pt idx="10">
                  <c:v>1985</c:v>
                </c:pt>
                <c:pt idx="11">
                  <c:v>1986</c:v>
                </c:pt>
                <c:pt idx="12">
                  <c:v>1987</c:v>
                </c:pt>
                <c:pt idx="13">
                  <c:v>1988</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pt idx="39">
                  <c:v>2014</c:v>
                </c:pt>
                <c:pt idx="40">
                  <c:v>2015</c:v>
                </c:pt>
                <c:pt idx="41">
                  <c:v>2016</c:v>
                </c:pt>
              </c:numCache>
            </c:numRef>
          </c:cat>
          <c:val>
            <c:numRef>
              <c:f>Sheet1!$AM$52:$AM$93</c:f>
              <c:numCache>
                <c:formatCode>General</c:formatCode>
                <c:ptCount val="42"/>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numCache>
            </c:numRef>
          </c:val>
          <c:smooth val="0"/>
          <c:extLst>
            <c:ext xmlns:c16="http://schemas.microsoft.com/office/drawing/2014/chart" uri="{C3380CC4-5D6E-409C-BE32-E72D297353CC}">
              <c16:uniqueId val="{00000005-A5E9-41DF-A5FB-E389E92EBAC9}"/>
            </c:ext>
          </c:extLst>
        </c:ser>
        <c:dLbls>
          <c:showLegendKey val="0"/>
          <c:showVal val="0"/>
          <c:showCatName val="0"/>
          <c:showSerName val="0"/>
          <c:showPercent val="0"/>
          <c:showBubbleSize val="0"/>
        </c:dLbls>
        <c:smooth val="0"/>
        <c:axId val="160240384"/>
        <c:axId val="170529152"/>
      </c:lineChart>
      <c:catAx>
        <c:axId val="160240384"/>
        <c:scaling>
          <c:orientation val="minMax"/>
        </c:scaling>
        <c:delete val="0"/>
        <c:axPos val="b"/>
        <c:title>
          <c:tx>
            <c:rich>
              <a:bodyPr rot="0" spcFirstLastPara="1" vertOverflow="ellipsis" vert="horz" wrap="square" anchor="ctr" anchorCtr="1"/>
              <a:lstStyle/>
              <a:p>
                <a:pPr>
                  <a:defRPr lang="ja-JP" sz="1200" b="0" i="0" u="none" strike="noStrike" kern="1200" baseline="0">
                    <a:solidFill>
                      <a:schemeClr val="tx1"/>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lang="ja-JP" sz="1200" b="0" i="0" u="none" strike="noStrike" kern="1200" baseline="0">
                <a:solidFill>
                  <a:schemeClr val="tx1"/>
                </a:solidFill>
                <a:latin typeface="+mn-lt"/>
                <a:ea typeface="+mn-ea"/>
                <a:cs typeface="+mn-cs"/>
              </a:defRPr>
            </a:pPr>
            <a:endParaRPr lang="en-US"/>
          </a:p>
        </c:txPr>
        <c:crossAx val="170529152"/>
        <c:crosses val="autoZero"/>
        <c:auto val="1"/>
        <c:lblAlgn val="ctr"/>
        <c:lblOffset val="100"/>
        <c:noMultiLvlLbl val="0"/>
      </c:catAx>
      <c:valAx>
        <c:axId val="170529152"/>
        <c:scaling>
          <c:orientation val="minMax"/>
        </c:scaling>
        <c:delete val="0"/>
        <c:axPos val="l"/>
        <c:title>
          <c:tx>
            <c:rich>
              <a:bodyPr rot="-5400000" spcFirstLastPara="1" vertOverflow="ellipsis" vert="horz" wrap="square" anchor="ctr" anchorCtr="1"/>
              <a:lstStyle/>
              <a:p>
                <a:pPr>
                  <a:defRPr lang="ja-JP" sz="1200" b="0" i="0" u="none" strike="noStrike" kern="1200" baseline="0">
                    <a:solidFill>
                      <a:schemeClr val="tx1"/>
                    </a:solidFill>
                    <a:latin typeface="+mn-lt"/>
                    <a:ea typeface="+mn-ea"/>
                    <a:cs typeface="+mn-cs"/>
                  </a:defRPr>
                </a:pPr>
                <a:r>
                  <a:rPr lang="en-US"/>
                  <a:t>Scaled CPUE</a:t>
                </a:r>
              </a:p>
            </c:rich>
          </c:tx>
          <c:layout>
            <c:manualLayout>
              <c:xMode val="edge"/>
              <c:yMode val="edge"/>
              <c:x val="1.2074169900819319E-2"/>
              <c:y val="0.34000391942072972"/>
            </c:manualLayout>
          </c:layout>
          <c:overlay val="0"/>
          <c:spPr>
            <a:noFill/>
            <a:ln>
              <a:noFill/>
            </a:ln>
            <a:effectLst/>
          </c:sp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lang="ja-JP" sz="1200" b="0" i="0" u="none" strike="noStrike" kern="1200" baseline="0">
                <a:solidFill>
                  <a:schemeClr val="tx1"/>
                </a:solidFill>
                <a:latin typeface="+mn-lt"/>
                <a:ea typeface="+mn-ea"/>
                <a:cs typeface="+mn-cs"/>
              </a:defRPr>
            </a:pPr>
            <a:endParaRPr lang="en-US"/>
          </a:p>
        </c:txPr>
        <c:crossAx val="160240384"/>
        <c:crosses val="autoZero"/>
        <c:crossBetween val="between"/>
      </c:valAx>
      <c:spPr>
        <a:noFill/>
        <a:ln>
          <a:noFill/>
        </a:ln>
        <a:effectLst/>
      </c:spPr>
    </c:plotArea>
    <c:legend>
      <c:legendPos val="b"/>
      <c:legendEntry>
        <c:idx val="5"/>
        <c:delete val="1"/>
      </c:legendEntry>
      <c:layout>
        <c:manualLayout>
          <c:xMode val="edge"/>
          <c:yMode val="edge"/>
          <c:x val="0.16296964819889187"/>
          <c:y val="3.8055443563077211E-2"/>
          <c:w val="0.43071757857190934"/>
          <c:h val="0.27052005851047278"/>
        </c:manualLayout>
      </c:layout>
      <c:overlay val="0"/>
      <c:spPr>
        <a:noFill/>
        <a:ln>
          <a:noFill/>
        </a:ln>
        <a:effectLst/>
      </c:spPr>
      <c:txPr>
        <a:bodyPr rot="0" spcFirstLastPara="1" vertOverflow="ellipsis" vert="horz" wrap="square" anchor="ctr" anchorCtr="1"/>
        <a:lstStyle/>
        <a:p>
          <a:pPr>
            <a:defRPr lang="ja-JP" sz="12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ja-JP" sz="1320" b="0" i="0" u="none" strike="noStrike" kern="1200" spc="0" baseline="0">
                <a:solidFill>
                  <a:schemeClr val="tx1"/>
                </a:solidFill>
                <a:latin typeface="+mn-lt"/>
                <a:ea typeface="+mn-ea"/>
                <a:cs typeface="+mn-cs"/>
              </a:defRPr>
            </a:pPr>
            <a:r>
              <a:rPr lang="en-US"/>
              <a:t>Future projections - 10 years</a:t>
            </a:r>
          </a:p>
        </c:rich>
      </c:tx>
      <c:overlay val="0"/>
      <c:spPr>
        <a:noFill/>
        <a:ln>
          <a:noFill/>
        </a:ln>
        <a:effectLst/>
      </c:spPr>
    </c:title>
    <c:autoTitleDeleted val="0"/>
    <c:plotArea>
      <c:layout>
        <c:manualLayout>
          <c:layoutTarget val="inner"/>
          <c:xMode val="edge"/>
          <c:yMode val="edge"/>
          <c:x val="0.13788507953708792"/>
          <c:y val="0.12146939542143526"/>
          <c:w val="0.84136784088434458"/>
          <c:h val="0.65425279609645071"/>
        </c:manualLayout>
      </c:layout>
      <c:lineChart>
        <c:grouping val="standard"/>
        <c:varyColors val="0"/>
        <c:ser>
          <c:idx val="1"/>
          <c:order val="0"/>
          <c:tx>
            <c:strRef>
              <c:f>Sheet1!$O$47</c:f>
              <c:strCache>
                <c:ptCount val="1"/>
                <c:pt idx="0">
                  <c:v>Constant F</c:v>
                </c:pt>
              </c:strCache>
            </c:strRef>
          </c:tx>
          <c:spPr>
            <a:ln w="28575" cap="rnd">
              <a:solidFill>
                <a:srgbClr val="FF0000"/>
              </a:solidFill>
              <a:round/>
            </a:ln>
            <a:effectLst/>
          </c:spPr>
          <c:marker>
            <c:symbol val="none"/>
          </c:marker>
          <c:cat>
            <c:numRef>
              <c:f>Sheet1!$N$49:$N$58</c:f>
              <c:numCache>
                <c:formatCode>General</c:formatCode>
                <c:ptCount val="10"/>
                <c:pt idx="0">
                  <c:v>2017</c:v>
                </c:pt>
                <c:pt idx="1">
                  <c:v>2018</c:v>
                </c:pt>
                <c:pt idx="2">
                  <c:v>2019</c:v>
                </c:pt>
                <c:pt idx="3">
                  <c:v>2020</c:v>
                </c:pt>
                <c:pt idx="4">
                  <c:v>2021</c:v>
                </c:pt>
                <c:pt idx="5">
                  <c:v>2022</c:v>
                </c:pt>
                <c:pt idx="6">
                  <c:v>2023</c:v>
                </c:pt>
                <c:pt idx="7">
                  <c:v>2024</c:v>
                </c:pt>
                <c:pt idx="8">
                  <c:v>2025</c:v>
                </c:pt>
                <c:pt idx="9">
                  <c:v>2026</c:v>
                </c:pt>
              </c:numCache>
            </c:numRef>
          </c:cat>
          <c:val>
            <c:numRef>
              <c:f>Sheet1!$O$49:$O$58</c:f>
              <c:numCache>
                <c:formatCode>General</c:formatCode>
                <c:ptCount val="10"/>
                <c:pt idx="0">
                  <c:v>861.78833333333853</c:v>
                </c:pt>
                <c:pt idx="1">
                  <c:v>864.34666666666669</c:v>
                </c:pt>
                <c:pt idx="2">
                  <c:v>867.75833333333355</c:v>
                </c:pt>
                <c:pt idx="3">
                  <c:v>871.83166666666659</c:v>
                </c:pt>
                <c:pt idx="4">
                  <c:v>876.19666666666853</c:v>
                </c:pt>
                <c:pt idx="5">
                  <c:v>880.30166666666673</c:v>
                </c:pt>
                <c:pt idx="6">
                  <c:v>883.74333333333664</c:v>
                </c:pt>
                <c:pt idx="7">
                  <c:v>886.42333333333352</c:v>
                </c:pt>
                <c:pt idx="8">
                  <c:v>888.41833333333352</c:v>
                </c:pt>
                <c:pt idx="9">
                  <c:v>889.89166666666802</c:v>
                </c:pt>
              </c:numCache>
            </c:numRef>
          </c:val>
          <c:smooth val="0"/>
          <c:extLst>
            <c:ext xmlns:c16="http://schemas.microsoft.com/office/drawing/2014/chart" uri="{C3380CC4-5D6E-409C-BE32-E72D297353CC}">
              <c16:uniqueId val="{00000000-D9AB-4FCA-9BB8-3CB96F11F143}"/>
            </c:ext>
          </c:extLst>
        </c:ser>
        <c:ser>
          <c:idx val="2"/>
          <c:order val="1"/>
          <c:tx>
            <c:strRef>
              <c:f>Sheet1!$P$47</c:f>
              <c:strCache>
                <c:ptCount val="1"/>
                <c:pt idx="0">
                  <c:v>F+20%</c:v>
                </c:pt>
              </c:strCache>
            </c:strRef>
          </c:tx>
          <c:spPr>
            <a:ln w="28575" cap="rnd">
              <a:solidFill>
                <a:schemeClr val="tx1">
                  <a:lumMod val="50000"/>
                  <a:lumOff val="50000"/>
                </a:schemeClr>
              </a:solidFill>
              <a:round/>
            </a:ln>
            <a:effectLst/>
          </c:spPr>
          <c:marker>
            <c:symbol val="none"/>
          </c:marker>
          <c:cat>
            <c:numRef>
              <c:f>Sheet1!$N$49:$N$58</c:f>
              <c:numCache>
                <c:formatCode>General</c:formatCode>
                <c:ptCount val="10"/>
                <c:pt idx="0">
                  <c:v>2017</c:v>
                </c:pt>
                <c:pt idx="1">
                  <c:v>2018</c:v>
                </c:pt>
                <c:pt idx="2">
                  <c:v>2019</c:v>
                </c:pt>
                <c:pt idx="3">
                  <c:v>2020</c:v>
                </c:pt>
                <c:pt idx="4">
                  <c:v>2021</c:v>
                </c:pt>
                <c:pt idx="5">
                  <c:v>2022</c:v>
                </c:pt>
                <c:pt idx="6">
                  <c:v>2023</c:v>
                </c:pt>
                <c:pt idx="7">
                  <c:v>2024</c:v>
                </c:pt>
                <c:pt idx="8">
                  <c:v>2025</c:v>
                </c:pt>
                <c:pt idx="9">
                  <c:v>2026</c:v>
                </c:pt>
              </c:numCache>
            </c:numRef>
          </c:cat>
          <c:val>
            <c:numRef>
              <c:f>Sheet1!$P$49:$P$58</c:f>
              <c:numCache>
                <c:formatCode>General</c:formatCode>
                <c:ptCount val="10"/>
                <c:pt idx="0">
                  <c:v>861.78833333333853</c:v>
                </c:pt>
                <c:pt idx="1">
                  <c:v>864.17666666666855</c:v>
                </c:pt>
                <c:pt idx="2">
                  <c:v>867.32499999999948</c:v>
                </c:pt>
                <c:pt idx="3">
                  <c:v>870.98333333333699</c:v>
                </c:pt>
                <c:pt idx="4">
                  <c:v>874.71</c:v>
                </c:pt>
                <c:pt idx="5">
                  <c:v>877.87833333333674</c:v>
                </c:pt>
                <c:pt idx="6">
                  <c:v>880.04666666666662</c:v>
                </c:pt>
                <c:pt idx="7">
                  <c:v>881.125</c:v>
                </c:pt>
                <c:pt idx="8">
                  <c:v>881.26833333333354</c:v>
                </c:pt>
                <c:pt idx="9">
                  <c:v>880.74333333333664</c:v>
                </c:pt>
              </c:numCache>
            </c:numRef>
          </c:val>
          <c:smooth val="0"/>
          <c:extLst>
            <c:ext xmlns:c16="http://schemas.microsoft.com/office/drawing/2014/chart" uri="{C3380CC4-5D6E-409C-BE32-E72D297353CC}">
              <c16:uniqueId val="{00000001-D9AB-4FCA-9BB8-3CB96F11F143}"/>
            </c:ext>
          </c:extLst>
        </c:ser>
        <c:ser>
          <c:idx val="3"/>
          <c:order val="2"/>
          <c:tx>
            <c:strRef>
              <c:f>Sheet1!$Q$47</c:f>
              <c:strCache>
                <c:ptCount val="1"/>
                <c:pt idx="0">
                  <c:v>F-20%</c:v>
                </c:pt>
              </c:strCache>
            </c:strRef>
          </c:tx>
          <c:spPr>
            <a:ln w="28575" cap="rnd">
              <a:solidFill>
                <a:schemeClr val="tx1"/>
              </a:solidFill>
              <a:round/>
            </a:ln>
            <a:effectLst/>
          </c:spPr>
          <c:marker>
            <c:symbol val="none"/>
          </c:marker>
          <c:cat>
            <c:numRef>
              <c:f>Sheet1!$N$49:$N$58</c:f>
              <c:numCache>
                <c:formatCode>General</c:formatCode>
                <c:ptCount val="10"/>
                <c:pt idx="0">
                  <c:v>2017</c:v>
                </c:pt>
                <c:pt idx="1">
                  <c:v>2018</c:v>
                </c:pt>
                <c:pt idx="2">
                  <c:v>2019</c:v>
                </c:pt>
                <c:pt idx="3">
                  <c:v>2020</c:v>
                </c:pt>
                <c:pt idx="4">
                  <c:v>2021</c:v>
                </c:pt>
                <c:pt idx="5">
                  <c:v>2022</c:v>
                </c:pt>
                <c:pt idx="6">
                  <c:v>2023</c:v>
                </c:pt>
                <c:pt idx="7">
                  <c:v>2024</c:v>
                </c:pt>
                <c:pt idx="8">
                  <c:v>2025</c:v>
                </c:pt>
                <c:pt idx="9">
                  <c:v>2026</c:v>
                </c:pt>
              </c:numCache>
            </c:numRef>
          </c:cat>
          <c:val>
            <c:numRef>
              <c:f>Sheet1!$Q$49:$Q$58</c:f>
              <c:numCache>
                <c:formatCode>General</c:formatCode>
                <c:ptCount val="10"/>
                <c:pt idx="0">
                  <c:v>861.78833333333853</c:v>
                </c:pt>
                <c:pt idx="1">
                  <c:v>864.51833333333354</c:v>
                </c:pt>
                <c:pt idx="2">
                  <c:v>868.19500000000005</c:v>
                </c:pt>
                <c:pt idx="3">
                  <c:v>872.68333333333851</c:v>
                </c:pt>
                <c:pt idx="4">
                  <c:v>877.69333333333782</c:v>
                </c:pt>
                <c:pt idx="5">
                  <c:v>882.75</c:v>
                </c:pt>
                <c:pt idx="6">
                  <c:v>887.49666666666803</c:v>
                </c:pt>
                <c:pt idx="7">
                  <c:v>891.81999999999948</c:v>
                </c:pt>
                <c:pt idx="8">
                  <c:v>895.72833333333722</c:v>
                </c:pt>
                <c:pt idx="9">
                  <c:v>899.27000000000055</c:v>
                </c:pt>
              </c:numCache>
            </c:numRef>
          </c:val>
          <c:smooth val="0"/>
          <c:extLst>
            <c:ext xmlns:c16="http://schemas.microsoft.com/office/drawing/2014/chart" uri="{C3380CC4-5D6E-409C-BE32-E72D297353CC}">
              <c16:uniqueId val="{00000002-D9AB-4FCA-9BB8-3CB96F11F143}"/>
            </c:ext>
          </c:extLst>
        </c:ser>
        <c:dLbls>
          <c:showLegendKey val="0"/>
          <c:showVal val="0"/>
          <c:showCatName val="0"/>
          <c:showSerName val="0"/>
          <c:showPercent val="0"/>
          <c:showBubbleSize val="0"/>
        </c:dLbls>
        <c:smooth val="0"/>
        <c:axId val="172898944"/>
        <c:axId val="178596096"/>
      </c:lineChart>
      <c:catAx>
        <c:axId val="172898944"/>
        <c:scaling>
          <c:orientation val="minMax"/>
        </c:scaling>
        <c:delete val="0"/>
        <c:axPos val="b"/>
        <c:title>
          <c:tx>
            <c:rich>
              <a:bodyPr rot="0" spcFirstLastPara="1" vertOverflow="ellipsis" vert="horz" wrap="square" anchor="ctr" anchorCtr="1"/>
              <a:lstStyle/>
              <a:p>
                <a:pPr>
                  <a:defRPr lang="ja-JP" sz="1100" b="0" i="0" u="none" strike="noStrike" kern="1200" baseline="0">
                    <a:solidFill>
                      <a:schemeClr val="tx1"/>
                    </a:solidFill>
                    <a:latin typeface="+mn-lt"/>
                    <a:ea typeface="+mn-ea"/>
                    <a:cs typeface="+mn-cs"/>
                  </a:defRPr>
                </a:pPr>
                <a:r>
                  <a:rPr lang="en-US"/>
                  <a:t>Year</a:t>
                </a:r>
              </a:p>
            </c:rich>
          </c:tx>
          <c:layout>
            <c:manualLayout>
              <c:xMode val="edge"/>
              <c:yMode val="edge"/>
              <c:x val="0.53187964700880874"/>
              <c:y val="0.9121590929350368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lang="ja-JP" sz="1100" b="0" i="0" u="none" strike="noStrike" kern="1200" baseline="0">
                <a:solidFill>
                  <a:schemeClr val="tx1"/>
                </a:solidFill>
                <a:latin typeface="+mn-lt"/>
                <a:ea typeface="+mn-ea"/>
                <a:cs typeface="+mn-cs"/>
              </a:defRPr>
            </a:pPr>
            <a:endParaRPr lang="en-US"/>
          </a:p>
        </c:txPr>
        <c:crossAx val="178596096"/>
        <c:crosses val="autoZero"/>
        <c:auto val="1"/>
        <c:lblAlgn val="ctr"/>
        <c:lblOffset val="100"/>
        <c:noMultiLvlLbl val="0"/>
      </c:catAx>
      <c:valAx>
        <c:axId val="178596096"/>
        <c:scaling>
          <c:orientation val="minMax"/>
        </c:scaling>
        <c:delete val="0"/>
        <c:axPos val="l"/>
        <c:title>
          <c:tx>
            <c:rich>
              <a:bodyPr rot="-5400000" spcFirstLastPara="1" vertOverflow="ellipsis" vert="horz" wrap="square" anchor="ctr" anchorCtr="1"/>
              <a:lstStyle/>
              <a:p>
                <a:pPr>
                  <a:defRPr lang="ja-JP" sz="1100" b="0" i="0" u="none" strike="noStrike" kern="1200" baseline="0">
                    <a:solidFill>
                      <a:schemeClr val="tx1"/>
                    </a:solidFill>
                    <a:latin typeface="+mn-lt"/>
                    <a:ea typeface="+mn-ea"/>
                    <a:cs typeface="+mn-cs"/>
                  </a:defRPr>
                </a:pPr>
                <a:r>
                  <a:rPr lang="en-US"/>
                  <a:t>Spawning abundance (1000s of fish)</a:t>
                </a:r>
              </a:p>
            </c:rich>
          </c:tx>
          <c:layout>
            <c:manualLayout>
              <c:xMode val="edge"/>
              <c:yMode val="edge"/>
              <c:x val="2.175069089419597E-2"/>
              <c:y val="0.1645745169967961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ja-JP" sz="1100" b="0" i="0" u="none" strike="noStrike" kern="1200" baseline="0">
                <a:solidFill>
                  <a:schemeClr val="tx1"/>
                </a:solidFill>
                <a:latin typeface="+mn-lt"/>
                <a:ea typeface="+mn-ea"/>
                <a:cs typeface="+mn-cs"/>
              </a:defRPr>
            </a:pPr>
            <a:endParaRPr lang="en-US"/>
          </a:p>
        </c:txPr>
        <c:crossAx val="172898944"/>
        <c:crosses val="autoZero"/>
        <c:crossBetween val="between"/>
      </c:valAx>
      <c:spPr>
        <a:noFill/>
        <a:ln>
          <a:solidFill>
            <a:schemeClr val="tx1"/>
          </a:solidFill>
        </a:ln>
        <a:effectLst/>
      </c:spPr>
    </c:plotArea>
    <c:legend>
      <c:legendPos val="b"/>
      <c:layout>
        <c:manualLayout>
          <c:xMode val="edge"/>
          <c:yMode val="edge"/>
          <c:x val="0.33344929251397348"/>
          <c:y val="0.58095804392647987"/>
          <c:w val="0.43631961439548966"/>
          <c:h val="6.1534084617244723E-2"/>
        </c:manualLayout>
      </c:layout>
      <c:overlay val="0"/>
      <c:spPr>
        <a:noFill/>
        <a:ln>
          <a:noFill/>
        </a:ln>
        <a:effectLst/>
      </c:spPr>
      <c:txPr>
        <a:bodyPr rot="0" spcFirstLastPara="1" vertOverflow="ellipsis" vert="horz" wrap="square" anchor="ctr" anchorCtr="1"/>
        <a:lstStyle/>
        <a:p>
          <a:pPr>
            <a:defRPr lang="ja-JP" sz="11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610F7-D31E-4C09-B283-CF368B3B6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120538</Words>
  <Characters>687067</Characters>
  <Application>Microsoft Office Word</Application>
  <DocSecurity>0</DocSecurity>
  <Lines>5725</Lines>
  <Paragraphs>1611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805994</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7</cp:revision>
  <cp:lastPrinted>2019-11-05T05:36:00Z</cp:lastPrinted>
  <dcterms:created xsi:type="dcterms:W3CDTF">2019-08-11T01:20:00Z</dcterms:created>
  <dcterms:modified xsi:type="dcterms:W3CDTF">2019-11-05T05:40:00Z</dcterms:modified>
</cp:coreProperties>
</file>